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BEA" w:rsidRDefault="00C05F91" w:rsidP="00212BEA">
      <w:bookmarkStart w:id="0" w:name="_GoBack"/>
      <w:bookmarkEnd w:id="0"/>
      <w:r w:rsidRPr="00B82A00">
        <w:rPr>
          <w:rFonts w:ascii="Calibri" w:eastAsia="Calibri" w:hAnsi="Calibri" w:cs="Times New Roman"/>
          <w:noProof/>
          <w:lang w:val="es-MX" w:eastAsia="es-MX"/>
        </w:rPr>
        <w:drawing>
          <wp:anchor distT="0" distB="0" distL="114300" distR="114300" simplePos="0" relativeHeight="251667456" behindDoc="0" locked="0" layoutInCell="1" allowOverlap="1" wp14:anchorId="208A6720" wp14:editId="78A30632">
            <wp:simplePos x="0" y="0"/>
            <wp:positionH relativeFrom="column">
              <wp:posOffset>2698115</wp:posOffset>
            </wp:positionH>
            <wp:positionV relativeFrom="paragraph">
              <wp:posOffset>-4445</wp:posOffset>
            </wp:positionV>
            <wp:extent cx="3781425" cy="762000"/>
            <wp:effectExtent l="19050" t="19050" r="28575" b="19050"/>
            <wp:wrapNone/>
            <wp:docPr id="8" name="Imagen 4" descr="http://www.sbn.gob.pe/sbnblog/wp-content/uploads/2009/02/logui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bn.gob.pe/sbnblog/wp-content/uploads/2009/02/loguito.jpg"/>
                    <pic:cNvPicPr>
                      <a:picLocks noChangeAspect="1" noChangeArrowheads="1"/>
                    </pic:cNvPicPr>
                  </pic:nvPicPr>
                  <pic:blipFill>
                    <a:blip r:embed="rId8" cstate="print"/>
                    <a:srcRect/>
                    <a:stretch>
                      <a:fillRect/>
                    </a:stretch>
                  </pic:blipFill>
                  <pic:spPr bwMode="auto">
                    <a:xfrm>
                      <a:off x="0" y="0"/>
                      <a:ext cx="3781425" cy="762000"/>
                    </a:xfrm>
                    <a:prstGeom prst="rect">
                      <a:avLst/>
                    </a:prstGeom>
                    <a:noFill/>
                    <a:ln w="19050">
                      <a:solidFill>
                        <a:schemeClr val="tx1">
                          <a:alpha val="98000"/>
                        </a:schemeClr>
                      </a:solidFill>
                      <a:miter lim="800000"/>
                      <a:headEnd/>
                      <a:tailEnd/>
                    </a:ln>
                  </pic:spPr>
                </pic:pic>
              </a:graphicData>
            </a:graphic>
            <wp14:sizeRelH relativeFrom="margin">
              <wp14:pctWidth>0</wp14:pctWidth>
            </wp14:sizeRelH>
            <wp14:sizeRelV relativeFrom="margin">
              <wp14:pctHeight>0</wp14:pctHeight>
            </wp14:sizeRelV>
          </wp:anchor>
        </w:drawing>
      </w:r>
      <w:r w:rsidR="001B107F">
        <w:rPr>
          <w:noProof/>
          <w:lang w:val="es-MX" w:eastAsia="es-MX"/>
        </w:rPr>
        <mc:AlternateContent>
          <mc:Choice Requires="wps">
            <w:drawing>
              <wp:anchor distT="0" distB="0" distL="114300" distR="114300" simplePos="0" relativeHeight="251662336" behindDoc="0" locked="0" layoutInCell="1" allowOverlap="1" wp14:anchorId="2131A89F" wp14:editId="091EAA5D">
                <wp:simplePos x="0" y="0"/>
                <wp:positionH relativeFrom="column">
                  <wp:posOffset>-26035</wp:posOffset>
                </wp:positionH>
                <wp:positionV relativeFrom="paragraph">
                  <wp:posOffset>-4445</wp:posOffset>
                </wp:positionV>
                <wp:extent cx="2609850" cy="1438275"/>
                <wp:effectExtent l="0" t="0" r="19050" b="28575"/>
                <wp:wrapNone/>
                <wp:docPr id="4" name="Rectángulo 4"/>
                <wp:cNvGraphicFramePr/>
                <a:graphic xmlns:a="http://schemas.openxmlformats.org/drawingml/2006/main">
                  <a:graphicData uri="http://schemas.microsoft.com/office/word/2010/wordprocessingShape">
                    <wps:wsp>
                      <wps:cNvSpPr/>
                      <wps:spPr>
                        <a:xfrm>
                          <a:off x="0" y="0"/>
                          <a:ext cx="2609850" cy="1438275"/>
                        </a:xfrm>
                        <a:prstGeom prst="rect">
                          <a:avLst/>
                        </a:prstGeom>
                        <a:blipFill>
                          <a:blip r:embed="rId9"/>
                          <a:stretch>
                            <a:fillRect/>
                          </a:stretch>
                        </a:blip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9378B" id="Rectángulo 4" o:spid="_x0000_s1026" style="position:absolute;margin-left:-2.05pt;margin-top:-.35pt;width:205.5pt;height:11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" strokecolor="black [3213]" strokeweight="2pt">
                <v:fill r:id="rId10" o:title="" recolor="t" rotate="t" type="frame"/>
              </v:rect>
            </w:pict>
          </mc:Fallback>
        </mc:AlternateContent>
      </w:r>
    </w:p>
    <w:p w:rsidR="00212BEA" w:rsidRPr="00212BEA" w:rsidRDefault="00212BEA" w:rsidP="00212BEA"/>
    <w:p w:rsidR="00212BEA" w:rsidRPr="00212BEA" w:rsidRDefault="00C05F91" w:rsidP="00212BEA">
      <w:r>
        <w:rPr>
          <w:noProof/>
          <w:lang w:val="es-MX" w:eastAsia="es-MX"/>
        </w:rPr>
        <mc:AlternateContent>
          <mc:Choice Requires="wps">
            <w:drawing>
              <wp:anchor distT="0" distB="0" distL="114300" distR="114300" simplePos="0" relativeHeight="251669504" behindDoc="0" locked="0" layoutInCell="1" allowOverlap="1" wp14:anchorId="41E8CC8A" wp14:editId="1AFBA5FF">
                <wp:simplePos x="0" y="0"/>
                <wp:positionH relativeFrom="column">
                  <wp:posOffset>2698115</wp:posOffset>
                </wp:positionH>
                <wp:positionV relativeFrom="paragraph">
                  <wp:posOffset>262255</wp:posOffset>
                </wp:positionV>
                <wp:extent cx="3781425" cy="600075"/>
                <wp:effectExtent l="57150" t="0" r="85725" b="142875"/>
                <wp:wrapNone/>
                <wp:docPr id="11" name="Rectángulo 11"/>
                <wp:cNvGraphicFramePr/>
                <a:graphic xmlns:a="http://schemas.openxmlformats.org/drawingml/2006/main">
                  <a:graphicData uri="http://schemas.microsoft.com/office/word/2010/wordprocessingShape">
                    <wps:wsp>
                      <wps:cNvSpPr/>
                      <wps:spPr>
                        <a:xfrm>
                          <a:off x="0" y="0"/>
                          <a:ext cx="3781425" cy="600075"/>
                        </a:xfrm>
                        <a:prstGeom prst="rect">
                          <a:avLst/>
                        </a:prstGeom>
                        <a:blipFill>
                          <a:blip r:embed="rId11"/>
                          <a:stretch>
                            <a:fillRect/>
                          </a:stretch>
                        </a:blipFill>
                        <a:ln w="25400">
                          <a:solidFill>
                            <a:schemeClr val="tx1"/>
                          </a:solidFill>
                        </a:ln>
                        <a:effectLst>
                          <a:outerShdw blurRad="50800" dist="50800" dir="5400000" algn="ctr" rotWithShape="0">
                            <a:schemeClr val="bg1"/>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DD9563" id="Rectángulo 11" o:spid="_x0000_s1026" style="position:absolute;margin-left:212.45pt;margin-top:20.65pt;width:297.75pt;height:47.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" strokecolor="black [3213]" strokeweight="2pt">
                <v:fill r:id="rId12" o:title="" recolor="t" rotate="t" type="frame"/>
                <v:shadow on="t" color="white [3212]" offset="0,4pt"/>
              </v:rect>
            </w:pict>
          </mc:Fallback>
        </mc:AlternateContent>
      </w:r>
    </w:p>
    <w:p w:rsidR="00212BEA" w:rsidRPr="00212BEA" w:rsidRDefault="00212BEA" w:rsidP="00212BEA"/>
    <w:p w:rsidR="00212BEA" w:rsidRPr="00212BEA" w:rsidRDefault="00212BEA" w:rsidP="00212BEA"/>
    <w:p w:rsidR="00212BEA" w:rsidRPr="00212BEA" w:rsidRDefault="002C0058" w:rsidP="00212BEA">
      <w:r>
        <w:rPr>
          <w:noProof/>
          <w:lang w:val="es-MX" w:eastAsia="es-MX"/>
        </w:rPr>
        <mc:AlternateContent>
          <mc:Choice Requires="wps">
            <w:drawing>
              <wp:anchor distT="0" distB="0" distL="114300" distR="114300" simplePos="0" relativeHeight="251661312" behindDoc="0" locked="0" layoutInCell="1" allowOverlap="1" wp14:anchorId="4681820B" wp14:editId="7166CA64">
                <wp:simplePos x="0" y="0"/>
                <wp:positionH relativeFrom="column">
                  <wp:posOffset>5527040</wp:posOffset>
                </wp:positionH>
                <wp:positionV relativeFrom="paragraph">
                  <wp:posOffset>91440</wp:posOffset>
                </wp:positionV>
                <wp:extent cx="952500" cy="523875"/>
                <wp:effectExtent l="0" t="0" r="19050" b="28575"/>
                <wp:wrapNone/>
                <wp:docPr id="3" name="Rectángulo 3"/>
                <wp:cNvGraphicFramePr/>
                <a:graphic xmlns:a="http://schemas.openxmlformats.org/drawingml/2006/main">
                  <a:graphicData uri="http://schemas.microsoft.com/office/word/2010/wordprocessingShape">
                    <wps:wsp>
                      <wps:cNvSpPr/>
                      <wps:spPr>
                        <a:xfrm>
                          <a:off x="0" y="0"/>
                          <a:ext cx="952500" cy="523875"/>
                        </a:xfrm>
                        <a:prstGeom prst="rect">
                          <a:avLst/>
                        </a:prstGeom>
                        <a:solidFill>
                          <a:srgbClr val="C00000"/>
                        </a:solid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B4D23" id="Rectángulo 3" o:spid="_x0000_s1026" style="position:absolute;margin-left:435.2pt;margin-top:7.2pt;width:75pt;height:4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" fillcolor="#c00000" strokecolor="black [3213]" strokeweight="2pt"/>
            </w:pict>
          </mc:Fallback>
        </mc:AlternateContent>
      </w:r>
      <w:r>
        <w:rPr>
          <w:noProof/>
          <w:lang w:val="es-MX" w:eastAsia="es-MX"/>
        </w:rPr>
        <mc:AlternateContent>
          <mc:Choice Requires="wps">
            <w:drawing>
              <wp:anchor distT="0" distB="0" distL="114300" distR="114300" simplePos="0" relativeHeight="251659264" behindDoc="0" locked="0" layoutInCell="1" allowOverlap="1" wp14:anchorId="3EEF2DCC" wp14:editId="78BCD056">
                <wp:simplePos x="0" y="0"/>
                <wp:positionH relativeFrom="column">
                  <wp:posOffset>-26035</wp:posOffset>
                </wp:positionH>
                <wp:positionV relativeFrom="paragraph">
                  <wp:posOffset>91440</wp:posOffset>
                </wp:positionV>
                <wp:extent cx="5495925" cy="1162050"/>
                <wp:effectExtent l="0" t="0" r="28575" b="19050"/>
                <wp:wrapThrough wrapText="bothSides">
                  <wp:wrapPolygon edited="0">
                    <wp:start x="0" y="0"/>
                    <wp:lineTo x="0" y="21600"/>
                    <wp:lineTo x="21637" y="21600"/>
                    <wp:lineTo x="21637" y="0"/>
                    <wp:lineTo x="0" y="0"/>
                  </wp:wrapPolygon>
                </wp:wrapThrough>
                <wp:docPr id="1" name="Rectángulo 1"/>
                <wp:cNvGraphicFramePr/>
                <a:graphic xmlns:a="http://schemas.openxmlformats.org/drawingml/2006/main">
                  <a:graphicData uri="http://schemas.microsoft.com/office/word/2010/wordprocessingShape">
                    <wps:wsp>
                      <wps:cNvSpPr/>
                      <wps:spPr>
                        <a:xfrm>
                          <a:off x="0" y="0"/>
                          <a:ext cx="5495925" cy="1162050"/>
                        </a:xfrm>
                        <a:prstGeom prst="rect">
                          <a:avLst/>
                        </a:prstGeom>
                        <a:solidFill>
                          <a:schemeClr val="tx1"/>
                        </a:solidFill>
                      </wps:spPr>
                      <wps:style>
                        <a:lnRef idx="2">
                          <a:schemeClr val="accent6"/>
                        </a:lnRef>
                        <a:fillRef idx="1">
                          <a:schemeClr val="lt1"/>
                        </a:fillRef>
                        <a:effectRef idx="0">
                          <a:schemeClr val="accent6"/>
                        </a:effectRef>
                        <a:fontRef idx="minor">
                          <a:schemeClr val="dk1"/>
                        </a:fontRef>
                      </wps:style>
                      <wps:txbx>
                        <w:txbxContent>
                          <w:p w:rsidR="004515A7" w:rsidRPr="004058A6" w:rsidRDefault="004515A7" w:rsidP="00212BEA">
                            <w:pPr>
                              <w:jc w:val="center"/>
                              <w:rPr>
                                <w:rFonts w:ascii="Mongolian Baiti" w:hAnsi="Mongolian Baiti" w:cs="Mongolian Baiti"/>
                                <w:b/>
                                <w:color w:val="FFFFFF" w:themeColor="background1"/>
                                <w:sz w:val="72"/>
                                <w:szCs w:val="72"/>
                                <w14:glow w14:rad="63500">
                                  <w14:schemeClr w14:val="accent1">
                                    <w14:alpha w14:val="60000"/>
                                    <w14:satMod w14:val="175000"/>
                                  </w14:schemeClr>
                                </w14:glow>
                              </w:rPr>
                            </w:pPr>
                            <w:r w:rsidRPr="004058A6">
                              <w:rPr>
                                <w:rFonts w:ascii="Mongolian Baiti" w:hAnsi="Mongolian Baiti" w:cs="Mongolian Baiti"/>
                                <w:b/>
                                <w:color w:val="FFFFFF" w:themeColor="background1"/>
                                <w:sz w:val="72"/>
                                <w:szCs w:val="72"/>
                                <w14:glow w14:rad="63500">
                                  <w14:schemeClr w14:val="accent1">
                                    <w14:alpha w14:val="60000"/>
                                    <w14:satMod w14:val="175000"/>
                                  </w14:schemeClr>
                                </w14:glow>
                              </w:rPr>
                              <w:t>SISTEMA NACIONAL DE BIENES ESTATALES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EF2DCC" id="Rectángulo 1" o:spid="_x0000_s1026" style="position:absolute;margin-left:-2.05pt;margin-top:7.2pt;width:432.7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" fillcolor="black [3213]" strokecolor="#70ad47 [3209]" strokeweight="1pt">
                <v:textbox>
                  <w:txbxContent>
                    <w:p w:rsidR="004515A7" w:rsidRPr="004058A6" w:rsidRDefault="004515A7" w:rsidP="00212BEA">
                      <w:pPr>
                        <w:jc w:val="center"/>
                        <w:rPr>
                          <w:rFonts w:ascii="Mongolian Baiti" w:hAnsi="Mongolian Baiti" w:cs="Mongolian Baiti"/>
                          <w:b/>
                          <w:color w:val="FFFFFF" w:themeColor="background1"/>
                          <w:sz w:val="72"/>
                          <w:szCs w:val="72"/>
                          <w14:glow w14:rad="63500">
                            <w14:schemeClr w14:val="accent1">
                              <w14:alpha w14:val="60000"/>
                              <w14:satMod w14:val="175000"/>
                            </w14:schemeClr>
                          </w14:glow>
                        </w:rPr>
                      </w:pPr>
                      <w:r w:rsidRPr="004058A6">
                        <w:rPr>
                          <w:rFonts w:ascii="Mongolian Baiti" w:hAnsi="Mongolian Baiti" w:cs="Mongolian Baiti"/>
                          <w:b/>
                          <w:color w:val="FFFFFF" w:themeColor="background1"/>
                          <w:sz w:val="72"/>
                          <w:szCs w:val="72"/>
                          <w14:glow w14:rad="63500">
                            <w14:schemeClr w14:val="accent1">
                              <w14:alpha w14:val="60000"/>
                              <w14:satMod w14:val="175000"/>
                            </w14:schemeClr>
                          </w14:glow>
                        </w:rPr>
                        <w:t>SISTEMA NACIONAL DE BIENES ESTATALES</w:t>
                      </w:r>
                    </w:p>
                  </w:txbxContent>
                </v:textbox>
                <w10:wrap type="through"/>
              </v:rect>
            </w:pict>
          </mc:Fallback>
        </mc:AlternateContent>
      </w:r>
    </w:p>
    <w:p w:rsidR="00212BEA" w:rsidRPr="00212BEA" w:rsidRDefault="00212BEA" w:rsidP="00212BEA"/>
    <w:p w:rsidR="00212BEA" w:rsidRPr="00212BEA" w:rsidRDefault="006F140F" w:rsidP="00212BEA">
      <w:r>
        <w:rPr>
          <w:noProof/>
          <w:lang w:val="es-MX" w:eastAsia="es-MX"/>
        </w:rPr>
        <mc:AlternateContent>
          <mc:Choice Requires="wps">
            <w:drawing>
              <wp:anchor distT="0" distB="0" distL="114300" distR="114300" simplePos="0" relativeHeight="251660288" behindDoc="0" locked="0" layoutInCell="1" allowOverlap="1" wp14:anchorId="7F986B7C" wp14:editId="15606A5D">
                <wp:simplePos x="0" y="0"/>
                <wp:positionH relativeFrom="column">
                  <wp:posOffset>5527040</wp:posOffset>
                </wp:positionH>
                <wp:positionV relativeFrom="paragraph">
                  <wp:posOffset>129541</wp:posOffset>
                </wp:positionV>
                <wp:extent cx="952500" cy="5524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952500" cy="552450"/>
                        </a:xfrm>
                        <a:prstGeom prst="rect">
                          <a:avLst/>
                        </a:prstGeom>
                        <a:blipFill>
                          <a:blip r:embed="rId11"/>
                          <a:stretch>
                            <a:fillRect/>
                          </a:stretch>
                        </a:blip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88A23" id="Rectángulo 2" o:spid="_x0000_s1026" style="position:absolute;margin-left:435.2pt;margin-top:10.2pt;width:7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" strokecolor="black [3213]" strokeweight="2pt">
                <v:fill r:id="rId12" o:title="" recolor="t" rotate="t" type="frame"/>
              </v:rect>
            </w:pict>
          </mc:Fallback>
        </mc:AlternateContent>
      </w:r>
    </w:p>
    <w:p w:rsidR="00212BEA" w:rsidRPr="00212BEA" w:rsidRDefault="00212BEA" w:rsidP="00212BEA"/>
    <w:p w:rsidR="00212BEA" w:rsidRPr="00212BEA" w:rsidRDefault="006312E8" w:rsidP="00212BEA">
      <w:r>
        <w:rPr>
          <w:noProof/>
          <w:lang w:val="es-MX" w:eastAsia="es-MX"/>
        </w:rPr>
        <mc:AlternateContent>
          <mc:Choice Requires="wps">
            <w:drawing>
              <wp:anchor distT="0" distB="0" distL="114300" distR="114300" simplePos="0" relativeHeight="251664384" behindDoc="0" locked="0" layoutInCell="1" allowOverlap="1" wp14:anchorId="455F3F44" wp14:editId="720AE72C">
                <wp:simplePos x="0" y="0"/>
                <wp:positionH relativeFrom="column">
                  <wp:posOffset>4914265</wp:posOffset>
                </wp:positionH>
                <wp:positionV relativeFrom="paragraph">
                  <wp:posOffset>184785</wp:posOffset>
                </wp:positionV>
                <wp:extent cx="1562100" cy="6826885"/>
                <wp:effectExtent l="19050" t="19050" r="19050" b="12065"/>
                <wp:wrapNone/>
                <wp:docPr id="6" name="Rectángulo 6"/>
                <wp:cNvGraphicFramePr/>
                <a:graphic xmlns:a="http://schemas.openxmlformats.org/drawingml/2006/main">
                  <a:graphicData uri="http://schemas.microsoft.com/office/word/2010/wordprocessingShape">
                    <wps:wsp>
                      <wps:cNvSpPr/>
                      <wps:spPr>
                        <a:xfrm>
                          <a:off x="0" y="0"/>
                          <a:ext cx="1562100" cy="6826885"/>
                        </a:xfrm>
                        <a:prstGeom prst="rect">
                          <a:avLst/>
                        </a:prstGeom>
                        <a:blipFill>
                          <a:blip r:embed="rId11"/>
                          <a:stretch>
                            <a:fillRect/>
                          </a:stretch>
                        </a:blipFill>
                        <a:ln w="349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591203" id="Rectángulo 6" o:spid="_x0000_s1026" style="position:absolute;margin-left:386.95pt;margin-top:14.55pt;width:123pt;height:53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" strokecolor="black [3213]" strokeweight="2.75pt">
                <v:fill r:id="rId12" o:title="" recolor="t" rotate="t" type="frame"/>
              </v:rect>
            </w:pict>
          </mc:Fallback>
        </mc:AlternateContent>
      </w:r>
      <w:r>
        <w:rPr>
          <w:noProof/>
          <w:lang w:val="es-MX" w:eastAsia="es-MX"/>
        </w:rPr>
        <mc:AlternateContent>
          <mc:Choice Requires="wps">
            <w:drawing>
              <wp:anchor distT="0" distB="0" distL="114300" distR="114300" simplePos="0" relativeHeight="251665408" behindDoc="0" locked="0" layoutInCell="1" allowOverlap="1" wp14:anchorId="0AD9A178" wp14:editId="5A143476">
                <wp:simplePos x="0" y="0"/>
                <wp:positionH relativeFrom="column">
                  <wp:posOffset>-26035</wp:posOffset>
                </wp:positionH>
                <wp:positionV relativeFrom="paragraph">
                  <wp:posOffset>187325</wp:posOffset>
                </wp:positionV>
                <wp:extent cx="4829175" cy="6826885"/>
                <wp:effectExtent l="133350" t="133350" r="161925" b="145415"/>
                <wp:wrapNone/>
                <wp:docPr id="7" name="Rectángulo 7"/>
                <wp:cNvGraphicFramePr/>
                <a:graphic xmlns:a="http://schemas.openxmlformats.org/drawingml/2006/main">
                  <a:graphicData uri="http://schemas.microsoft.com/office/word/2010/wordprocessingShape">
                    <wps:wsp>
                      <wps:cNvSpPr/>
                      <wps:spPr>
                        <a:xfrm>
                          <a:off x="0" y="0"/>
                          <a:ext cx="4829175" cy="6826885"/>
                        </a:xfrm>
                        <a:prstGeom prst="rect">
                          <a:avLst/>
                        </a:prstGeom>
                        <a:blipFill>
                          <a:blip r:embed="rId13"/>
                          <a:stretch>
                            <a:fillRect/>
                          </a:stretch>
                        </a:blipFill>
                        <a:ln w="25400">
                          <a:solidFill>
                            <a:schemeClr val="tx1"/>
                          </a:solidFill>
                        </a:ln>
                        <a:effectLst>
                          <a:glow rad="127000">
                            <a:schemeClr val="accent2">
                              <a:lumMod val="20000"/>
                              <a:lumOff val="8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4515A7" w:rsidRDefault="004515A7" w:rsidP="006F140F">
                            <w:pPr>
                              <w:jc w:val="center"/>
                            </w:pPr>
                          </w:p>
                          <w:p w:rsidR="004515A7" w:rsidRDefault="004515A7" w:rsidP="006F140F">
                            <w:pPr>
                              <w:jc w:val="center"/>
                            </w:pPr>
                          </w:p>
                          <w:p w:rsidR="004515A7" w:rsidRDefault="004515A7" w:rsidP="006F140F">
                            <w:pPr>
                              <w:jc w:val="center"/>
                            </w:pPr>
                          </w:p>
                          <w:p w:rsidR="004515A7" w:rsidRDefault="004515A7" w:rsidP="006F140F">
                            <w:pPr>
                              <w:jc w:val="center"/>
                            </w:pPr>
                          </w:p>
                          <w:p w:rsidR="004515A7" w:rsidRDefault="004515A7" w:rsidP="006F140F">
                            <w:pPr>
                              <w:jc w:val="center"/>
                            </w:pPr>
                          </w:p>
                          <w:p w:rsidR="004515A7" w:rsidRDefault="004515A7" w:rsidP="006F140F">
                            <w:pPr>
                              <w:jc w:val="center"/>
                            </w:pPr>
                          </w:p>
                          <w:p w:rsidR="004515A7" w:rsidRDefault="004515A7" w:rsidP="006F140F">
                            <w:pPr>
                              <w:jc w:val="center"/>
                            </w:pPr>
                          </w:p>
                          <w:p w:rsidR="004515A7" w:rsidRDefault="004515A7" w:rsidP="006F140F">
                            <w:pPr>
                              <w:jc w:val="center"/>
                            </w:pPr>
                          </w:p>
                          <w:p w:rsidR="004515A7" w:rsidRDefault="004515A7" w:rsidP="006F140F">
                            <w:pPr>
                              <w:jc w:val="center"/>
                            </w:pPr>
                          </w:p>
                          <w:p w:rsidR="004515A7" w:rsidRDefault="004515A7" w:rsidP="006F140F">
                            <w:pPr>
                              <w:jc w:val="center"/>
                            </w:pPr>
                          </w:p>
                          <w:p w:rsidR="004515A7" w:rsidRDefault="004515A7" w:rsidP="006F140F">
                            <w:pPr>
                              <w:jc w:val="center"/>
                            </w:pPr>
                          </w:p>
                          <w:p w:rsidR="004515A7" w:rsidRDefault="004515A7" w:rsidP="006F140F">
                            <w:pPr>
                              <w:jc w:val="center"/>
                            </w:pPr>
                          </w:p>
                          <w:p w:rsidR="004515A7" w:rsidRDefault="004515A7" w:rsidP="006F140F">
                            <w:pPr>
                              <w:jc w:val="center"/>
                            </w:pPr>
                          </w:p>
                          <w:p w:rsidR="004515A7" w:rsidRDefault="004515A7" w:rsidP="006F140F">
                            <w:pPr>
                              <w:jc w:val="center"/>
                            </w:pPr>
                          </w:p>
                          <w:p w:rsidR="004515A7" w:rsidRDefault="004515A7" w:rsidP="006F140F">
                            <w:pPr>
                              <w:jc w:val="center"/>
                            </w:pPr>
                          </w:p>
                          <w:p w:rsidR="004515A7" w:rsidRDefault="004515A7" w:rsidP="006F140F">
                            <w:pPr>
                              <w:jc w:val="center"/>
                            </w:pPr>
                          </w:p>
                          <w:p w:rsidR="004515A7" w:rsidRDefault="004515A7" w:rsidP="006F140F">
                            <w:pPr>
                              <w:jc w:val="center"/>
                            </w:pPr>
                          </w:p>
                          <w:p w:rsidR="004515A7" w:rsidRDefault="004515A7" w:rsidP="006F140F">
                            <w:pPr>
                              <w:jc w:val="center"/>
                            </w:pPr>
                          </w:p>
                          <w:p w:rsidR="004515A7" w:rsidRDefault="004515A7" w:rsidP="008F5DE8">
                            <w:pPr>
                              <w:spacing w:after="0" w:line="240" w:lineRule="auto"/>
                              <w:ind w:left="1560"/>
                              <w:jc w:val="center"/>
                              <w:rPr>
                                <w:rFonts w:ascii="Cooper Black" w:hAnsi="Cooper Black" w:cs="Mongolian Baiti"/>
                                <w:b/>
                                <w14:textOutline w14:w="6350" w14:cap="rnd" w14:cmpd="sng" w14:algn="ctr">
                                  <w14:solidFill>
                                    <w14:schemeClr w14:val="tx1"/>
                                  </w14:solidFill>
                                  <w14:prstDash w14:val="solid"/>
                                  <w14:bevel/>
                                </w14:textOutline>
                              </w:rPr>
                            </w:pPr>
                          </w:p>
                          <w:p w:rsidR="004515A7" w:rsidRDefault="004515A7" w:rsidP="008F5DE8">
                            <w:pPr>
                              <w:spacing w:after="0" w:line="240" w:lineRule="auto"/>
                              <w:ind w:left="1560"/>
                              <w:jc w:val="center"/>
                              <w:rPr>
                                <w:rFonts w:ascii="Cooper Black" w:hAnsi="Cooper Black" w:cs="Mongolian Baiti"/>
                                <w:b/>
                                <w14:textOutline w14:w="6350" w14:cap="rnd" w14:cmpd="sng" w14:algn="ctr">
                                  <w14:solidFill>
                                    <w14:schemeClr w14:val="tx1"/>
                                  </w14:solidFill>
                                  <w14:prstDash w14:val="solid"/>
                                  <w14:bevel/>
                                </w14:textOutline>
                              </w:rPr>
                            </w:pPr>
                          </w:p>
                          <w:p w:rsidR="004515A7" w:rsidRDefault="004515A7" w:rsidP="008F5DE8">
                            <w:pPr>
                              <w:spacing w:after="0" w:line="240" w:lineRule="auto"/>
                              <w:ind w:left="1560"/>
                              <w:jc w:val="center"/>
                              <w:rPr>
                                <w:rFonts w:ascii="Cooper Black" w:hAnsi="Cooper Black" w:cs="Mongolian Baiti"/>
                                <w:b/>
                                <w14:textOutline w14:w="6350" w14:cap="rnd" w14:cmpd="sng" w14:algn="ctr">
                                  <w14:solidFill>
                                    <w14:schemeClr w14:val="tx1"/>
                                  </w14:solidFill>
                                  <w14:prstDash w14:val="solid"/>
                                  <w14:bevel/>
                                </w14:textOutline>
                              </w:rPr>
                            </w:pPr>
                          </w:p>
                          <w:p w:rsidR="004515A7" w:rsidRDefault="004515A7" w:rsidP="008F5DE8">
                            <w:pPr>
                              <w:spacing w:after="0" w:line="240" w:lineRule="auto"/>
                              <w:ind w:left="1560"/>
                              <w:jc w:val="center"/>
                              <w:rPr>
                                <w:rFonts w:ascii="Cooper Black" w:hAnsi="Cooper Black" w:cs="Mongolian Baiti"/>
                                <w:b/>
                                <w14:textOutline w14:w="6350" w14:cap="rnd" w14:cmpd="sng" w14:algn="ctr">
                                  <w14:solidFill>
                                    <w14:schemeClr w14:val="tx1"/>
                                  </w14:solidFill>
                                  <w14:prstDash w14:val="solid"/>
                                  <w14:bevel/>
                                </w14:textOutline>
                              </w:rPr>
                            </w:pPr>
                          </w:p>
                          <w:p w:rsidR="004515A7" w:rsidRDefault="004515A7" w:rsidP="008F5DE8">
                            <w:pPr>
                              <w:spacing w:after="0" w:line="240" w:lineRule="auto"/>
                              <w:ind w:left="1560"/>
                              <w:jc w:val="center"/>
                              <w:rPr>
                                <w:rFonts w:ascii="Cooper Black" w:hAnsi="Cooper Black" w:cs="Mongolian Baiti"/>
                                <w:b/>
                                <w14:textOutline w14:w="6350" w14:cap="rnd" w14:cmpd="sng" w14:algn="ctr">
                                  <w14:solidFill>
                                    <w14:schemeClr w14:val="tx1"/>
                                  </w14:solidFill>
                                  <w14:prstDash w14:val="solid"/>
                                  <w14:bevel/>
                                </w14:textOutline>
                              </w:rPr>
                            </w:pPr>
                          </w:p>
                          <w:p w:rsidR="004515A7" w:rsidRDefault="004515A7" w:rsidP="008F5DE8">
                            <w:pPr>
                              <w:spacing w:after="0" w:line="240" w:lineRule="auto"/>
                              <w:ind w:left="1560"/>
                              <w:jc w:val="center"/>
                              <w:rPr>
                                <w:rFonts w:ascii="Cooper Black" w:hAnsi="Cooper Black" w:cs="Mongolian Baiti"/>
                                <w:b/>
                                <w14:textOutline w14:w="6350" w14:cap="rnd" w14:cmpd="sng" w14:algn="ctr">
                                  <w14:solidFill>
                                    <w14:schemeClr w14:val="tx1"/>
                                  </w14:solidFill>
                                  <w14:prstDash w14:val="solid"/>
                                  <w14:bevel/>
                                </w14:textOutline>
                              </w:rPr>
                            </w:pPr>
                          </w:p>
                          <w:p w:rsidR="004515A7" w:rsidRDefault="004515A7" w:rsidP="008F5DE8">
                            <w:pPr>
                              <w:spacing w:after="0" w:line="240" w:lineRule="auto"/>
                              <w:ind w:left="1560"/>
                              <w:jc w:val="center"/>
                              <w:rPr>
                                <w:rFonts w:ascii="Cooper Black" w:hAnsi="Cooper Black" w:cs="Mongolian Baiti"/>
                                <w:b/>
                                <w14:textOutline w14:w="6350" w14:cap="rnd" w14:cmpd="sng" w14:algn="ctr">
                                  <w14:solidFill>
                                    <w14:schemeClr w14:val="tx1"/>
                                  </w14:solidFill>
                                  <w14:prstDash w14:val="solid"/>
                                  <w14:bevel/>
                                </w14:textOutline>
                              </w:rPr>
                            </w:pPr>
                          </w:p>
                          <w:p w:rsidR="004515A7" w:rsidRPr="003A6776" w:rsidRDefault="004515A7" w:rsidP="008F5DE8">
                            <w:pPr>
                              <w:spacing w:after="0" w:line="240" w:lineRule="auto"/>
                              <w:ind w:left="1560"/>
                              <w:jc w:val="center"/>
                              <w:rPr>
                                <w:rFonts w:ascii="Cooper Black" w:hAnsi="Cooper Black" w:cs="Mongolian Baiti"/>
                                <w:b/>
                                <w14:textOutline w14:w="6350" w14:cap="rnd" w14:cmpd="sng" w14:algn="ctr">
                                  <w14:solidFill>
                                    <w14:schemeClr w14:val="tx1"/>
                                  </w14:solidFill>
                                  <w14:prstDash w14:val="solid"/>
                                  <w14:bevel/>
                                </w14:textOutline>
                              </w:rPr>
                            </w:pPr>
                            <w:r w:rsidRPr="003A6776">
                              <w:rPr>
                                <w:rFonts w:ascii="Cooper Black" w:hAnsi="Cooper Black" w:cs="Mongolian Baiti"/>
                                <w:b/>
                                <w14:textOutline w14:w="6350" w14:cap="rnd" w14:cmpd="sng" w14:algn="ctr">
                                  <w14:solidFill>
                                    <w14:schemeClr w14:val="tx1"/>
                                  </w14:solidFill>
                                  <w14:prstDash w14:val="solid"/>
                                  <w14:bevel/>
                                </w14:textOutline>
                              </w:rPr>
                              <w:t>DIRECCION DE NORMAS Y REGISTRO</w:t>
                            </w:r>
                          </w:p>
                          <w:p w:rsidR="004515A7" w:rsidRPr="003A6776" w:rsidRDefault="004515A7" w:rsidP="008F5DE8">
                            <w:pPr>
                              <w:spacing w:after="0" w:line="240" w:lineRule="auto"/>
                              <w:ind w:left="1560"/>
                              <w:jc w:val="center"/>
                              <w:rPr>
                                <w:rFonts w:ascii="Cooper Black" w:hAnsi="Cooper Black" w:cs="Mongolian Baiti"/>
                                <w:b/>
                                <w14:textOutline w14:w="6350" w14:cap="rnd" w14:cmpd="sng" w14:algn="ctr">
                                  <w14:solidFill>
                                    <w14:schemeClr w14:val="tx1"/>
                                  </w14:solidFill>
                                  <w14:prstDash w14:val="solid"/>
                                  <w14:bevel/>
                                </w14:textOutline>
                              </w:rPr>
                            </w:pPr>
                            <w:r w:rsidRPr="003A6776">
                              <w:rPr>
                                <w:rFonts w:ascii="Cooper Black" w:hAnsi="Cooper Black" w:cs="Mongolian Baiti"/>
                                <w:b/>
                                <w14:textOutline w14:w="6350" w14:cap="rnd" w14:cmpd="sng" w14:algn="ctr">
                                  <w14:solidFill>
                                    <w14:schemeClr w14:val="tx1"/>
                                  </w14:solidFill>
                                  <w14:prstDash w14:val="solid"/>
                                  <w14:bevel/>
                                </w14:textOutline>
                              </w:rPr>
                              <w:t>SUBDIRECCION DE NORMAS Y CAPACITACION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9A178" id="Rectángulo 7" o:spid="_x0000_s1027" style="position:absolute;margin-left:-2.05pt;margin-top:14.75pt;width:380.25pt;height:53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" strokecolor="black [3213]" strokeweight="2pt">
                <v:fill r:id="rId14" o:title="" recolor="t" rotate="t" type="frame"/>
                <v:textbox>
                  <w:txbxContent>
                    <w:p w:rsidR="004515A7" w:rsidRDefault="004515A7" w:rsidP="006F140F">
                      <w:pPr>
                        <w:jc w:val="center"/>
                      </w:pPr>
                    </w:p>
                    <w:p w:rsidR="004515A7" w:rsidRDefault="004515A7" w:rsidP="006F140F">
                      <w:pPr>
                        <w:jc w:val="center"/>
                      </w:pPr>
                    </w:p>
                    <w:p w:rsidR="004515A7" w:rsidRDefault="004515A7" w:rsidP="006F140F">
                      <w:pPr>
                        <w:jc w:val="center"/>
                      </w:pPr>
                    </w:p>
                    <w:p w:rsidR="004515A7" w:rsidRDefault="004515A7" w:rsidP="006F140F">
                      <w:pPr>
                        <w:jc w:val="center"/>
                      </w:pPr>
                    </w:p>
                    <w:p w:rsidR="004515A7" w:rsidRDefault="004515A7" w:rsidP="006F140F">
                      <w:pPr>
                        <w:jc w:val="center"/>
                      </w:pPr>
                    </w:p>
                    <w:p w:rsidR="004515A7" w:rsidRDefault="004515A7" w:rsidP="006F140F">
                      <w:pPr>
                        <w:jc w:val="center"/>
                      </w:pPr>
                    </w:p>
                    <w:p w:rsidR="004515A7" w:rsidRDefault="004515A7" w:rsidP="006F140F">
                      <w:pPr>
                        <w:jc w:val="center"/>
                      </w:pPr>
                    </w:p>
                    <w:p w:rsidR="004515A7" w:rsidRDefault="004515A7" w:rsidP="006F140F">
                      <w:pPr>
                        <w:jc w:val="center"/>
                      </w:pPr>
                    </w:p>
                    <w:p w:rsidR="004515A7" w:rsidRDefault="004515A7" w:rsidP="006F140F">
                      <w:pPr>
                        <w:jc w:val="center"/>
                      </w:pPr>
                    </w:p>
                    <w:p w:rsidR="004515A7" w:rsidRDefault="004515A7" w:rsidP="006F140F">
                      <w:pPr>
                        <w:jc w:val="center"/>
                      </w:pPr>
                    </w:p>
                    <w:p w:rsidR="004515A7" w:rsidRDefault="004515A7" w:rsidP="006F140F">
                      <w:pPr>
                        <w:jc w:val="center"/>
                      </w:pPr>
                    </w:p>
                    <w:p w:rsidR="004515A7" w:rsidRDefault="004515A7" w:rsidP="006F140F">
                      <w:pPr>
                        <w:jc w:val="center"/>
                      </w:pPr>
                    </w:p>
                    <w:p w:rsidR="004515A7" w:rsidRDefault="004515A7" w:rsidP="006F140F">
                      <w:pPr>
                        <w:jc w:val="center"/>
                      </w:pPr>
                    </w:p>
                    <w:p w:rsidR="004515A7" w:rsidRDefault="004515A7" w:rsidP="006F140F">
                      <w:pPr>
                        <w:jc w:val="center"/>
                      </w:pPr>
                    </w:p>
                    <w:p w:rsidR="004515A7" w:rsidRDefault="004515A7" w:rsidP="006F140F">
                      <w:pPr>
                        <w:jc w:val="center"/>
                      </w:pPr>
                    </w:p>
                    <w:p w:rsidR="004515A7" w:rsidRDefault="004515A7" w:rsidP="006F140F">
                      <w:pPr>
                        <w:jc w:val="center"/>
                      </w:pPr>
                    </w:p>
                    <w:p w:rsidR="004515A7" w:rsidRDefault="004515A7" w:rsidP="006F140F">
                      <w:pPr>
                        <w:jc w:val="center"/>
                      </w:pPr>
                    </w:p>
                    <w:p w:rsidR="004515A7" w:rsidRDefault="004515A7" w:rsidP="006F140F">
                      <w:pPr>
                        <w:jc w:val="center"/>
                      </w:pPr>
                    </w:p>
                    <w:p w:rsidR="004515A7" w:rsidRDefault="004515A7" w:rsidP="008F5DE8">
                      <w:pPr>
                        <w:spacing w:after="0" w:line="240" w:lineRule="auto"/>
                        <w:ind w:left="1560"/>
                        <w:jc w:val="center"/>
                        <w:rPr>
                          <w:rFonts w:ascii="Cooper Black" w:hAnsi="Cooper Black" w:cs="Mongolian Baiti"/>
                          <w:b/>
                          <w14:textOutline w14:w="6350" w14:cap="rnd" w14:cmpd="sng" w14:algn="ctr">
                            <w14:solidFill>
                              <w14:schemeClr w14:val="tx1"/>
                            </w14:solidFill>
                            <w14:prstDash w14:val="solid"/>
                            <w14:bevel/>
                          </w14:textOutline>
                        </w:rPr>
                      </w:pPr>
                    </w:p>
                    <w:p w:rsidR="004515A7" w:rsidRDefault="004515A7" w:rsidP="008F5DE8">
                      <w:pPr>
                        <w:spacing w:after="0" w:line="240" w:lineRule="auto"/>
                        <w:ind w:left="1560"/>
                        <w:jc w:val="center"/>
                        <w:rPr>
                          <w:rFonts w:ascii="Cooper Black" w:hAnsi="Cooper Black" w:cs="Mongolian Baiti"/>
                          <w:b/>
                          <w14:textOutline w14:w="6350" w14:cap="rnd" w14:cmpd="sng" w14:algn="ctr">
                            <w14:solidFill>
                              <w14:schemeClr w14:val="tx1"/>
                            </w14:solidFill>
                            <w14:prstDash w14:val="solid"/>
                            <w14:bevel/>
                          </w14:textOutline>
                        </w:rPr>
                      </w:pPr>
                    </w:p>
                    <w:p w:rsidR="004515A7" w:rsidRDefault="004515A7" w:rsidP="008F5DE8">
                      <w:pPr>
                        <w:spacing w:after="0" w:line="240" w:lineRule="auto"/>
                        <w:ind w:left="1560"/>
                        <w:jc w:val="center"/>
                        <w:rPr>
                          <w:rFonts w:ascii="Cooper Black" w:hAnsi="Cooper Black" w:cs="Mongolian Baiti"/>
                          <w:b/>
                          <w14:textOutline w14:w="6350" w14:cap="rnd" w14:cmpd="sng" w14:algn="ctr">
                            <w14:solidFill>
                              <w14:schemeClr w14:val="tx1"/>
                            </w14:solidFill>
                            <w14:prstDash w14:val="solid"/>
                            <w14:bevel/>
                          </w14:textOutline>
                        </w:rPr>
                      </w:pPr>
                    </w:p>
                    <w:p w:rsidR="004515A7" w:rsidRDefault="004515A7" w:rsidP="008F5DE8">
                      <w:pPr>
                        <w:spacing w:after="0" w:line="240" w:lineRule="auto"/>
                        <w:ind w:left="1560"/>
                        <w:jc w:val="center"/>
                        <w:rPr>
                          <w:rFonts w:ascii="Cooper Black" w:hAnsi="Cooper Black" w:cs="Mongolian Baiti"/>
                          <w:b/>
                          <w14:textOutline w14:w="6350" w14:cap="rnd" w14:cmpd="sng" w14:algn="ctr">
                            <w14:solidFill>
                              <w14:schemeClr w14:val="tx1"/>
                            </w14:solidFill>
                            <w14:prstDash w14:val="solid"/>
                            <w14:bevel/>
                          </w14:textOutline>
                        </w:rPr>
                      </w:pPr>
                    </w:p>
                    <w:p w:rsidR="004515A7" w:rsidRDefault="004515A7" w:rsidP="008F5DE8">
                      <w:pPr>
                        <w:spacing w:after="0" w:line="240" w:lineRule="auto"/>
                        <w:ind w:left="1560"/>
                        <w:jc w:val="center"/>
                        <w:rPr>
                          <w:rFonts w:ascii="Cooper Black" w:hAnsi="Cooper Black" w:cs="Mongolian Baiti"/>
                          <w:b/>
                          <w14:textOutline w14:w="6350" w14:cap="rnd" w14:cmpd="sng" w14:algn="ctr">
                            <w14:solidFill>
                              <w14:schemeClr w14:val="tx1"/>
                            </w14:solidFill>
                            <w14:prstDash w14:val="solid"/>
                            <w14:bevel/>
                          </w14:textOutline>
                        </w:rPr>
                      </w:pPr>
                    </w:p>
                    <w:p w:rsidR="004515A7" w:rsidRDefault="004515A7" w:rsidP="008F5DE8">
                      <w:pPr>
                        <w:spacing w:after="0" w:line="240" w:lineRule="auto"/>
                        <w:ind w:left="1560"/>
                        <w:jc w:val="center"/>
                        <w:rPr>
                          <w:rFonts w:ascii="Cooper Black" w:hAnsi="Cooper Black" w:cs="Mongolian Baiti"/>
                          <w:b/>
                          <w14:textOutline w14:w="6350" w14:cap="rnd" w14:cmpd="sng" w14:algn="ctr">
                            <w14:solidFill>
                              <w14:schemeClr w14:val="tx1"/>
                            </w14:solidFill>
                            <w14:prstDash w14:val="solid"/>
                            <w14:bevel/>
                          </w14:textOutline>
                        </w:rPr>
                      </w:pPr>
                    </w:p>
                    <w:p w:rsidR="004515A7" w:rsidRDefault="004515A7" w:rsidP="008F5DE8">
                      <w:pPr>
                        <w:spacing w:after="0" w:line="240" w:lineRule="auto"/>
                        <w:ind w:left="1560"/>
                        <w:jc w:val="center"/>
                        <w:rPr>
                          <w:rFonts w:ascii="Cooper Black" w:hAnsi="Cooper Black" w:cs="Mongolian Baiti"/>
                          <w:b/>
                          <w14:textOutline w14:w="6350" w14:cap="rnd" w14:cmpd="sng" w14:algn="ctr">
                            <w14:solidFill>
                              <w14:schemeClr w14:val="tx1"/>
                            </w14:solidFill>
                            <w14:prstDash w14:val="solid"/>
                            <w14:bevel/>
                          </w14:textOutline>
                        </w:rPr>
                      </w:pPr>
                    </w:p>
                    <w:p w:rsidR="004515A7" w:rsidRPr="003A6776" w:rsidRDefault="004515A7" w:rsidP="008F5DE8">
                      <w:pPr>
                        <w:spacing w:after="0" w:line="240" w:lineRule="auto"/>
                        <w:ind w:left="1560"/>
                        <w:jc w:val="center"/>
                        <w:rPr>
                          <w:rFonts w:ascii="Cooper Black" w:hAnsi="Cooper Black" w:cs="Mongolian Baiti"/>
                          <w:b/>
                          <w14:textOutline w14:w="6350" w14:cap="rnd" w14:cmpd="sng" w14:algn="ctr">
                            <w14:solidFill>
                              <w14:schemeClr w14:val="tx1"/>
                            </w14:solidFill>
                            <w14:prstDash w14:val="solid"/>
                            <w14:bevel/>
                          </w14:textOutline>
                        </w:rPr>
                      </w:pPr>
                      <w:r w:rsidRPr="003A6776">
                        <w:rPr>
                          <w:rFonts w:ascii="Cooper Black" w:hAnsi="Cooper Black" w:cs="Mongolian Baiti"/>
                          <w:b/>
                          <w14:textOutline w14:w="6350" w14:cap="rnd" w14:cmpd="sng" w14:algn="ctr">
                            <w14:solidFill>
                              <w14:schemeClr w14:val="tx1"/>
                            </w14:solidFill>
                            <w14:prstDash w14:val="solid"/>
                            <w14:bevel/>
                          </w14:textOutline>
                        </w:rPr>
                        <w:t>DIRECCION DE NORMAS Y REGISTRO</w:t>
                      </w:r>
                    </w:p>
                    <w:p w:rsidR="004515A7" w:rsidRPr="003A6776" w:rsidRDefault="004515A7" w:rsidP="008F5DE8">
                      <w:pPr>
                        <w:spacing w:after="0" w:line="240" w:lineRule="auto"/>
                        <w:ind w:left="1560"/>
                        <w:jc w:val="center"/>
                        <w:rPr>
                          <w:rFonts w:ascii="Cooper Black" w:hAnsi="Cooper Black" w:cs="Mongolian Baiti"/>
                          <w:b/>
                          <w14:textOutline w14:w="6350" w14:cap="rnd" w14:cmpd="sng" w14:algn="ctr">
                            <w14:solidFill>
                              <w14:schemeClr w14:val="tx1"/>
                            </w14:solidFill>
                            <w14:prstDash w14:val="solid"/>
                            <w14:bevel/>
                          </w14:textOutline>
                        </w:rPr>
                      </w:pPr>
                      <w:r w:rsidRPr="003A6776">
                        <w:rPr>
                          <w:rFonts w:ascii="Cooper Black" w:hAnsi="Cooper Black" w:cs="Mongolian Baiti"/>
                          <w:b/>
                          <w14:textOutline w14:w="6350" w14:cap="rnd" w14:cmpd="sng" w14:algn="ctr">
                            <w14:solidFill>
                              <w14:schemeClr w14:val="tx1"/>
                            </w14:solidFill>
                            <w14:prstDash w14:val="solid"/>
                            <w14:bevel/>
                          </w14:textOutline>
                        </w:rPr>
                        <w:t>SUBDIRECCION DE NORMAS Y CAPACITACION</w:t>
                      </w:r>
                    </w:p>
                  </w:txbxContent>
                </v:textbox>
              </v:rect>
            </w:pict>
          </mc:Fallback>
        </mc:AlternateContent>
      </w:r>
    </w:p>
    <w:p w:rsidR="00212BEA" w:rsidRPr="00212BEA" w:rsidRDefault="00212BEA" w:rsidP="00212BEA"/>
    <w:p w:rsidR="00212BEA" w:rsidRPr="00212BEA" w:rsidRDefault="00212BEA" w:rsidP="00212BEA"/>
    <w:p w:rsidR="00212BEA" w:rsidRDefault="00212BEA" w:rsidP="00212BEA"/>
    <w:p w:rsidR="004058A6" w:rsidRDefault="004058A6" w:rsidP="00212BEA"/>
    <w:p w:rsidR="004058A6" w:rsidRPr="00212BEA" w:rsidRDefault="004058A6" w:rsidP="00212BEA"/>
    <w:p w:rsidR="00212BEA" w:rsidRDefault="00212BEA" w:rsidP="00212BEA"/>
    <w:p w:rsidR="006312E8" w:rsidRDefault="00212BEA" w:rsidP="00212BEA">
      <w:pPr>
        <w:tabs>
          <w:tab w:val="left" w:pos="3945"/>
        </w:tabs>
      </w:pPr>
      <w:r>
        <w:tab/>
      </w:r>
    </w:p>
    <w:p w:rsidR="006312E8" w:rsidRPr="006312E8" w:rsidRDefault="006312E8" w:rsidP="006312E8">
      <w:r>
        <w:rPr>
          <w:noProof/>
          <w:lang w:val="es-MX" w:eastAsia="es-MX"/>
        </w:rPr>
        <mc:AlternateContent>
          <mc:Choice Requires="wps">
            <w:drawing>
              <wp:anchor distT="0" distB="0" distL="114300" distR="114300" simplePos="0" relativeHeight="251668480" behindDoc="0" locked="0" layoutInCell="1" allowOverlap="1" wp14:anchorId="0D87D1B1" wp14:editId="2E842761">
                <wp:simplePos x="0" y="0"/>
                <wp:positionH relativeFrom="column">
                  <wp:posOffset>1840865</wp:posOffset>
                </wp:positionH>
                <wp:positionV relativeFrom="paragraph">
                  <wp:posOffset>102235</wp:posOffset>
                </wp:positionV>
                <wp:extent cx="4343400" cy="1647825"/>
                <wp:effectExtent l="152400" t="152400" r="152400" b="161925"/>
                <wp:wrapNone/>
                <wp:docPr id="10" name="Rectángulo redondeado 10"/>
                <wp:cNvGraphicFramePr/>
                <a:graphic xmlns:a="http://schemas.openxmlformats.org/drawingml/2006/main">
                  <a:graphicData uri="http://schemas.microsoft.com/office/word/2010/wordprocessingShape">
                    <wps:wsp>
                      <wps:cNvSpPr/>
                      <wps:spPr>
                        <a:xfrm>
                          <a:off x="0" y="0"/>
                          <a:ext cx="4343400" cy="1647825"/>
                        </a:xfrm>
                        <a:prstGeom prst="roundRect">
                          <a:avLst/>
                        </a:prstGeom>
                        <a:blipFill>
                          <a:blip r:embed="rId11"/>
                          <a:stretch>
                            <a:fillRect/>
                          </a:stretch>
                        </a:blipFill>
                        <a:ln w="44450">
                          <a:solidFill>
                            <a:schemeClr val="bg1"/>
                          </a:solidFill>
                        </a:ln>
                        <a:effectLst>
                          <a:glow rad="127000">
                            <a:schemeClr val="bg1"/>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4515A7" w:rsidRPr="003A6776" w:rsidRDefault="004515A7" w:rsidP="003A6776">
                            <w:pPr>
                              <w:spacing w:after="0" w:line="240" w:lineRule="auto"/>
                              <w:jc w:val="center"/>
                              <w:rPr>
                                <w:rFonts w:ascii="Bookman Old Style" w:hAnsi="Bookman Old Style" w:cs="Mongolian Baiti"/>
                                <w:b/>
                                <w:color w:val="70AD47"/>
                                <w:spacing w:val="10"/>
                                <w:sz w:val="64"/>
                                <w:szCs w:val="64"/>
                                <w14:glow w14:rad="38100">
                                  <w14:schemeClr w14:val="bg1">
                                    <w14:alpha w14:val="60000"/>
                                  </w14:schemeClr>
                                </w14:glow>
                                <w14:textOutline w14:w="15875" w14:cap="flat" w14:cmpd="sng" w14:algn="ctr">
                                  <w14:solidFill>
                                    <w14:schemeClr w14:val="tx1">
                                      <w14:alpha w14:val="14000"/>
                                    </w14:schemeClr>
                                  </w14:solidFill>
                                  <w14:prstDash w14:val="solid"/>
                                  <w14:round/>
                                </w14:textOutline>
                                <w14:textFill>
                                  <w14:solidFill>
                                    <w14:srgbClr w14:val="70AD47">
                                      <w14:tint w14:val="1000"/>
                                    </w14:srgbClr>
                                  </w14:solidFill>
                                </w14:textFill>
                              </w:rPr>
                            </w:pPr>
                            <w:r w:rsidRPr="003A6776">
                              <w:rPr>
                                <w:rFonts w:ascii="Bookman Old Style" w:hAnsi="Bookman Old Style" w:cs="Mongolian Baiti"/>
                                <w:b/>
                                <w:color w:val="70AD47"/>
                                <w:spacing w:val="10"/>
                                <w:sz w:val="64"/>
                                <w:szCs w:val="64"/>
                                <w14:glow w14:rad="38100">
                                  <w14:schemeClr w14:val="bg1">
                                    <w14:alpha w14:val="60000"/>
                                  </w14:schemeClr>
                                </w14:glow>
                                <w14:textOutline w14:w="15875" w14:cap="flat" w14:cmpd="sng" w14:algn="ctr">
                                  <w14:solidFill>
                                    <w14:schemeClr w14:val="tx1">
                                      <w14:alpha w14:val="14000"/>
                                    </w14:schemeClr>
                                  </w14:solidFill>
                                  <w14:prstDash w14:val="solid"/>
                                  <w14:round/>
                                </w14:textOutline>
                                <w14:textFill>
                                  <w14:solidFill>
                                    <w14:srgbClr w14:val="70AD47">
                                      <w14:tint w14:val="1000"/>
                                    </w14:srgbClr>
                                  </w14:solidFill>
                                </w14:textFill>
                              </w:rPr>
                              <w:t>COMPENDIO NORMATIVO</w:t>
                            </w:r>
                          </w:p>
                          <w:p w:rsidR="004515A7" w:rsidRPr="003A6776" w:rsidRDefault="004515A7" w:rsidP="003A6776">
                            <w:pPr>
                              <w:pStyle w:val="Prrafodelista"/>
                              <w:ind w:left="-426"/>
                              <w:jc w:val="center"/>
                              <w:rPr>
                                <w:rFonts w:ascii="Bookman Old Style" w:hAnsi="Bookman Old Style" w:cs="Mongolian Baiti"/>
                                <w:b/>
                                <w:color w:val="70AD47"/>
                                <w:spacing w:val="10"/>
                                <w:sz w:val="44"/>
                                <w:szCs w:val="44"/>
                                <w14:glow w14:rad="63500">
                                  <w14:schemeClr w14:val="bg1">
                                    <w14:alpha w14:val="60000"/>
                                  </w14:schemeClr>
                                </w14:glow>
                                <w14:shadow w14:blurRad="50800" w14:dist="50800" w14:dir="5400000" w14:sx="0" w14:sy="0" w14:kx="0" w14:ky="0" w14:algn="ctr">
                                  <w14:schemeClr w14:val="accent4">
                                    <w14:lumMod w14:val="20000"/>
                                    <w14:lumOff w14:val="80000"/>
                                  </w14:schemeClr>
                                </w14:shadow>
                                <w14:textOutline w14:w="15875" w14:cap="flat" w14:cmpd="sng" w14:algn="ctr">
                                  <w14:solidFill>
                                    <w14:schemeClr w14:val="tx1">
                                      <w14:alpha w14:val="14000"/>
                                    </w14:schemeClr>
                                  </w14:solidFill>
                                  <w14:prstDash w14:val="solid"/>
                                  <w14:round/>
                                </w14:textOutline>
                                <w14:textFill>
                                  <w14:solidFill>
                                    <w14:srgbClr w14:val="70AD47">
                                      <w14:tint w14:val="1000"/>
                                    </w14:srgbClr>
                                  </w14:solidFill>
                                </w14:textFill>
                              </w:rPr>
                            </w:pPr>
                            <w:r w:rsidRPr="003A6776">
                              <w:rPr>
                                <w:rFonts w:ascii="Bookman Old Style" w:hAnsi="Bookman Old Style" w:cs="Mongolian Baiti"/>
                                <w:b/>
                                <w:color w:val="70AD47"/>
                                <w:spacing w:val="10"/>
                                <w:sz w:val="44"/>
                                <w:szCs w:val="44"/>
                                <w14:glow w14:rad="63500">
                                  <w14:schemeClr w14:val="bg1">
                                    <w14:alpha w14:val="60000"/>
                                  </w14:schemeClr>
                                </w14:glow>
                                <w14:shadow w14:blurRad="50800" w14:dist="50800" w14:dir="5400000" w14:sx="0" w14:sy="0" w14:kx="0" w14:ky="0" w14:algn="ctr">
                                  <w14:schemeClr w14:val="accent4">
                                    <w14:lumMod w14:val="20000"/>
                                    <w14:lumOff w14:val="80000"/>
                                  </w14:schemeClr>
                                </w14:shadow>
                                <w14:textOutline w14:w="15875" w14:cap="flat" w14:cmpd="sng" w14:algn="ctr">
                                  <w14:solidFill>
                                    <w14:schemeClr w14:val="tx1">
                                      <w14:alpha w14:val="14000"/>
                                    </w14:schemeClr>
                                  </w14:solidFill>
                                  <w14:prstDash w14:val="solid"/>
                                  <w14:round/>
                                </w14:textOutline>
                                <w14:textFill>
                                  <w14:solidFill>
                                    <w14:srgbClr w14:val="70AD47">
                                      <w14:tint w14:val="1000"/>
                                    </w14:srgbClr>
                                  </w14:solidFill>
                                </w14:textFill>
                              </w:rPr>
                              <w:t xml:space="preserve">  -BIENES INMUEBLES-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87D1B1" id="Rectángulo redondeado 10" o:spid="_x0000_s1028" style="position:absolute;margin-left:144.95pt;margin-top:8.05pt;width:342pt;height:12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" strokecolor="white [3212]" strokeweight="3.5pt">
                <v:fill r:id="rId15" o:title="" recolor="t" rotate="t" type="frame"/>
                <v:stroke joinstyle="miter"/>
                <v:textbox>
                  <w:txbxContent>
                    <w:p w:rsidR="004515A7" w:rsidRPr="003A6776" w:rsidRDefault="004515A7" w:rsidP="003A6776">
                      <w:pPr>
                        <w:spacing w:after="0" w:line="240" w:lineRule="auto"/>
                        <w:jc w:val="center"/>
                        <w:rPr>
                          <w:rFonts w:ascii="Bookman Old Style" w:hAnsi="Bookman Old Style" w:cs="Mongolian Baiti"/>
                          <w:b/>
                          <w:color w:val="70AD47"/>
                          <w:spacing w:val="10"/>
                          <w:sz w:val="64"/>
                          <w:szCs w:val="64"/>
                          <w14:glow w14:rad="38100">
                            <w14:schemeClr w14:val="bg1">
                              <w14:alpha w14:val="60000"/>
                            </w14:schemeClr>
                          </w14:glow>
                          <w14:textOutline w14:w="15875" w14:cap="flat" w14:cmpd="sng" w14:algn="ctr">
                            <w14:solidFill>
                              <w14:schemeClr w14:val="tx1">
                                <w14:alpha w14:val="14000"/>
                              </w14:schemeClr>
                            </w14:solidFill>
                            <w14:prstDash w14:val="solid"/>
                            <w14:round/>
                          </w14:textOutline>
                          <w14:textFill>
                            <w14:solidFill>
                              <w14:srgbClr w14:val="70AD47">
                                <w14:tint w14:val="1000"/>
                              </w14:srgbClr>
                            </w14:solidFill>
                          </w14:textFill>
                        </w:rPr>
                      </w:pPr>
                      <w:r w:rsidRPr="003A6776">
                        <w:rPr>
                          <w:rFonts w:ascii="Bookman Old Style" w:hAnsi="Bookman Old Style" w:cs="Mongolian Baiti"/>
                          <w:b/>
                          <w:color w:val="70AD47"/>
                          <w:spacing w:val="10"/>
                          <w:sz w:val="64"/>
                          <w:szCs w:val="64"/>
                          <w14:glow w14:rad="38100">
                            <w14:schemeClr w14:val="bg1">
                              <w14:alpha w14:val="60000"/>
                            </w14:schemeClr>
                          </w14:glow>
                          <w14:textOutline w14:w="15875" w14:cap="flat" w14:cmpd="sng" w14:algn="ctr">
                            <w14:solidFill>
                              <w14:schemeClr w14:val="tx1">
                                <w14:alpha w14:val="14000"/>
                              </w14:schemeClr>
                            </w14:solidFill>
                            <w14:prstDash w14:val="solid"/>
                            <w14:round/>
                          </w14:textOutline>
                          <w14:textFill>
                            <w14:solidFill>
                              <w14:srgbClr w14:val="70AD47">
                                <w14:tint w14:val="1000"/>
                              </w14:srgbClr>
                            </w14:solidFill>
                          </w14:textFill>
                        </w:rPr>
                        <w:t>COMPENDIO NORMATIVO</w:t>
                      </w:r>
                    </w:p>
                    <w:p w:rsidR="004515A7" w:rsidRPr="003A6776" w:rsidRDefault="004515A7" w:rsidP="003A6776">
                      <w:pPr>
                        <w:pStyle w:val="Prrafodelista"/>
                        <w:ind w:left="-426"/>
                        <w:jc w:val="center"/>
                        <w:rPr>
                          <w:rFonts w:ascii="Bookman Old Style" w:hAnsi="Bookman Old Style" w:cs="Mongolian Baiti"/>
                          <w:b/>
                          <w:color w:val="70AD47"/>
                          <w:spacing w:val="10"/>
                          <w:sz w:val="44"/>
                          <w:szCs w:val="44"/>
                          <w14:glow w14:rad="63500">
                            <w14:schemeClr w14:val="bg1">
                              <w14:alpha w14:val="60000"/>
                            </w14:schemeClr>
                          </w14:glow>
                          <w14:shadow w14:blurRad="50800" w14:dist="50800" w14:dir="5400000" w14:sx="0" w14:sy="0" w14:kx="0" w14:ky="0" w14:algn="ctr">
                            <w14:schemeClr w14:val="accent4">
                              <w14:lumMod w14:val="20000"/>
                              <w14:lumOff w14:val="80000"/>
                            </w14:schemeClr>
                          </w14:shadow>
                          <w14:textOutline w14:w="15875" w14:cap="flat" w14:cmpd="sng" w14:algn="ctr">
                            <w14:solidFill>
                              <w14:schemeClr w14:val="tx1">
                                <w14:alpha w14:val="14000"/>
                              </w14:schemeClr>
                            </w14:solidFill>
                            <w14:prstDash w14:val="solid"/>
                            <w14:round/>
                          </w14:textOutline>
                          <w14:textFill>
                            <w14:solidFill>
                              <w14:srgbClr w14:val="70AD47">
                                <w14:tint w14:val="1000"/>
                              </w14:srgbClr>
                            </w14:solidFill>
                          </w14:textFill>
                        </w:rPr>
                      </w:pPr>
                      <w:r w:rsidRPr="003A6776">
                        <w:rPr>
                          <w:rFonts w:ascii="Bookman Old Style" w:hAnsi="Bookman Old Style" w:cs="Mongolian Baiti"/>
                          <w:b/>
                          <w:color w:val="70AD47"/>
                          <w:spacing w:val="10"/>
                          <w:sz w:val="44"/>
                          <w:szCs w:val="44"/>
                          <w14:glow w14:rad="63500">
                            <w14:schemeClr w14:val="bg1">
                              <w14:alpha w14:val="60000"/>
                            </w14:schemeClr>
                          </w14:glow>
                          <w14:shadow w14:blurRad="50800" w14:dist="50800" w14:dir="5400000" w14:sx="0" w14:sy="0" w14:kx="0" w14:ky="0" w14:algn="ctr">
                            <w14:schemeClr w14:val="accent4">
                              <w14:lumMod w14:val="20000"/>
                              <w14:lumOff w14:val="80000"/>
                            </w14:schemeClr>
                          </w14:shadow>
                          <w14:textOutline w14:w="15875" w14:cap="flat" w14:cmpd="sng" w14:algn="ctr">
                            <w14:solidFill>
                              <w14:schemeClr w14:val="tx1">
                                <w14:alpha w14:val="14000"/>
                              </w14:schemeClr>
                            </w14:solidFill>
                            <w14:prstDash w14:val="solid"/>
                            <w14:round/>
                          </w14:textOutline>
                          <w14:textFill>
                            <w14:solidFill>
                              <w14:srgbClr w14:val="70AD47">
                                <w14:tint w14:val="1000"/>
                              </w14:srgbClr>
                            </w14:solidFill>
                          </w14:textFill>
                        </w:rPr>
                        <w:t xml:space="preserve">  -BIENES INMUEBLES-</w:t>
                      </w:r>
                    </w:p>
                  </w:txbxContent>
                </v:textbox>
              </v:roundrect>
            </w:pict>
          </mc:Fallback>
        </mc:AlternateContent>
      </w:r>
    </w:p>
    <w:p w:rsidR="006312E8" w:rsidRPr="006312E8" w:rsidRDefault="006312E8" w:rsidP="006312E8"/>
    <w:p w:rsidR="006312E8" w:rsidRPr="006312E8" w:rsidRDefault="006312E8" w:rsidP="006312E8"/>
    <w:p w:rsidR="006312E8" w:rsidRPr="006312E8" w:rsidRDefault="006312E8" w:rsidP="006312E8"/>
    <w:p w:rsidR="006312E8" w:rsidRPr="006312E8" w:rsidRDefault="006312E8" w:rsidP="006312E8"/>
    <w:p w:rsidR="006312E8" w:rsidRPr="006312E8" w:rsidRDefault="006312E8" w:rsidP="006312E8"/>
    <w:p w:rsidR="006312E8" w:rsidRPr="006312E8" w:rsidRDefault="006312E8" w:rsidP="006312E8"/>
    <w:p w:rsidR="006312E8" w:rsidRPr="006312E8" w:rsidRDefault="006312E8" w:rsidP="006312E8"/>
    <w:p w:rsidR="006312E8" w:rsidRPr="006312E8" w:rsidRDefault="006312E8" w:rsidP="006312E8"/>
    <w:p w:rsidR="006312E8" w:rsidRPr="006312E8" w:rsidRDefault="006312E8" w:rsidP="006312E8"/>
    <w:p w:rsidR="006312E8" w:rsidRPr="006312E8" w:rsidRDefault="006312E8" w:rsidP="006312E8"/>
    <w:p w:rsidR="006312E8" w:rsidRPr="006312E8" w:rsidRDefault="006312E8" w:rsidP="006312E8"/>
    <w:p w:rsidR="006312E8" w:rsidRPr="006312E8" w:rsidRDefault="006312E8" w:rsidP="006312E8"/>
    <w:p w:rsidR="006312E8" w:rsidRDefault="006312E8" w:rsidP="006312E8">
      <w:pPr>
        <w:tabs>
          <w:tab w:val="left" w:pos="2400"/>
          <w:tab w:val="right" w:pos="10206"/>
        </w:tabs>
      </w:pPr>
      <w:r>
        <w:tab/>
      </w:r>
      <w:r>
        <w:tab/>
      </w:r>
    </w:p>
    <w:p w:rsidR="006312E8" w:rsidRPr="006312E8" w:rsidRDefault="006312E8" w:rsidP="006312E8">
      <w:pPr>
        <w:tabs>
          <w:tab w:val="left" w:pos="5873"/>
        </w:tabs>
        <w:spacing w:after="0" w:line="240" w:lineRule="auto"/>
        <w:ind w:right="136"/>
        <w:rPr>
          <w:rFonts w:ascii="Arial" w:eastAsia="Calibri" w:hAnsi="Arial" w:cs="Arial"/>
          <w:b/>
          <w:noProof/>
          <w:sz w:val="24"/>
          <w:szCs w:val="24"/>
          <w:lang w:eastAsia="es-PE"/>
        </w:rPr>
      </w:pPr>
    </w:p>
    <w:p w:rsidR="006312E8" w:rsidRPr="006312E8" w:rsidRDefault="006312E8" w:rsidP="006312E8">
      <w:pPr>
        <w:tabs>
          <w:tab w:val="left" w:pos="5873"/>
        </w:tabs>
        <w:spacing w:after="0" w:line="240" w:lineRule="auto"/>
        <w:ind w:right="136"/>
        <w:rPr>
          <w:rFonts w:ascii="Arial" w:eastAsia="Calibri" w:hAnsi="Arial" w:cs="Arial"/>
          <w:b/>
          <w:noProof/>
          <w:sz w:val="24"/>
          <w:szCs w:val="24"/>
          <w:lang w:eastAsia="es-PE"/>
        </w:rPr>
      </w:pPr>
    </w:p>
    <w:p w:rsidR="006312E8" w:rsidRPr="006312E8" w:rsidRDefault="006312E8" w:rsidP="006312E8">
      <w:pPr>
        <w:tabs>
          <w:tab w:val="left" w:pos="5873"/>
        </w:tabs>
        <w:spacing w:after="0" w:line="240" w:lineRule="auto"/>
        <w:ind w:right="136"/>
        <w:rPr>
          <w:rFonts w:ascii="Arial" w:eastAsia="Calibri" w:hAnsi="Arial" w:cs="Arial"/>
          <w:b/>
          <w:noProof/>
          <w:sz w:val="24"/>
          <w:szCs w:val="24"/>
          <w:lang w:eastAsia="es-PE"/>
        </w:rPr>
      </w:pPr>
    </w:p>
    <w:p w:rsidR="006312E8" w:rsidRPr="006312E8" w:rsidRDefault="006312E8" w:rsidP="006312E8">
      <w:pPr>
        <w:tabs>
          <w:tab w:val="left" w:pos="5873"/>
        </w:tabs>
        <w:spacing w:after="0" w:line="240" w:lineRule="auto"/>
        <w:ind w:right="136"/>
        <w:rPr>
          <w:rFonts w:ascii="Arial" w:eastAsia="Calibri" w:hAnsi="Arial" w:cs="Arial"/>
          <w:b/>
          <w:noProof/>
          <w:sz w:val="24"/>
          <w:szCs w:val="24"/>
          <w:lang w:eastAsia="es-PE"/>
        </w:rPr>
      </w:pPr>
    </w:p>
    <w:p w:rsidR="006312E8" w:rsidRPr="006312E8" w:rsidRDefault="006312E8" w:rsidP="006312E8">
      <w:pPr>
        <w:tabs>
          <w:tab w:val="left" w:pos="5873"/>
        </w:tabs>
        <w:spacing w:after="0" w:line="240" w:lineRule="auto"/>
        <w:ind w:right="136"/>
        <w:rPr>
          <w:rFonts w:ascii="Arial" w:eastAsia="Calibri" w:hAnsi="Arial" w:cs="Arial"/>
          <w:b/>
          <w:noProof/>
          <w:sz w:val="24"/>
          <w:szCs w:val="24"/>
          <w:lang w:eastAsia="es-PE"/>
        </w:rPr>
      </w:pPr>
    </w:p>
    <w:p w:rsidR="006312E8" w:rsidRPr="006312E8" w:rsidRDefault="006312E8" w:rsidP="006312E8">
      <w:pPr>
        <w:autoSpaceDE w:val="0"/>
        <w:autoSpaceDN w:val="0"/>
        <w:adjustRightInd w:val="0"/>
        <w:spacing w:after="0" w:line="240" w:lineRule="auto"/>
        <w:rPr>
          <w:rFonts w:ascii="Arial-BoldMT" w:hAnsi="Arial-BoldMT" w:cs="Arial-BoldMT"/>
          <w:b/>
          <w:bCs/>
          <w:sz w:val="18"/>
          <w:szCs w:val="18"/>
        </w:rPr>
      </w:pPr>
    </w:p>
    <w:p w:rsidR="006312E8" w:rsidRPr="006312E8" w:rsidRDefault="006312E8" w:rsidP="006312E8">
      <w:pPr>
        <w:autoSpaceDE w:val="0"/>
        <w:autoSpaceDN w:val="0"/>
        <w:adjustRightInd w:val="0"/>
        <w:spacing w:after="0" w:line="240" w:lineRule="auto"/>
        <w:rPr>
          <w:rFonts w:ascii="Arial-BoldMT" w:hAnsi="Arial-BoldMT" w:cs="Arial-BoldMT"/>
          <w:b/>
          <w:bCs/>
          <w:sz w:val="18"/>
          <w:szCs w:val="18"/>
        </w:rPr>
      </w:pPr>
    </w:p>
    <w:p w:rsidR="006312E8" w:rsidRPr="006312E8" w:rsidRDefault="006312E8" w:rsidP="006312E8">
      <w:pPr>
        <w:autoSpaceDE w:val="0"/>
        <w:autoSpaceDN w:val="0"/>
        <w:adjustRightInd w:val="0"/>
        <w:spacing w:after="0" w:line="240" w:lineRule="auto"/>
        <w:rPr>
          <w:rFonts w:ascii="Arial-BoldMT" w:hAnsi="Arial-BoldMT" w:cs="Arial-BoldMT"/>
          <w:b/>
          <w:bCs/>
          <w:sz w:val="18"/>
          <w:szCs w:val="18"/>
        </w:rPr>
      </w:pPr>
    </w:p>
    <w:p w:rsidR="006312E8" w:rsidRPr="006312E8" w:rsidRDefault="006312E8" w:rsidP="006312E8">
      <w:pPr>
        <w:autoSpaceDE w:val="0"/>
        <w:autoSpaceDN w:val="0"/>
        <w:adjustRightInd w:val="0"/>
        <w:spacing w:after="0" w:line="240" w:lineRule="auto"/>
        <w:rPr>
          <w:rFonts w:ascii="Arial-BoldMT" w:hAnsi="Arial-BoldMT" w:cs="Arial-BoldMT"/>
          <w:b/>
          <w:bCs/>
          <w:sz w:val="18"/>
          <w:szCs w:val="18"/>
        </w:rPr>
      </w:pPr>
    </w:p>
    <w:p w:rsidR="006312E8" w:rsidRPr="006312E8" w:rsidRDefault="006312E8" w:rsidP="006312E8">
      <w:pPr>
        <w:autoSpaceDE w:val="0"/>
        <w:autoSpaceDN w:val="0"/>
        <w:adjustRightInd w:val="0"/>
        <w:spacing w:after="0" w:line="240" w:lineRule="auto"/>
        <w:rPr>
          <w:rFonts w:ascii="Arial-BoldMT" w:hAnsi="Arial-BoldMT" w:cs="Arial-BoldMT"/>
          <w:b/>
          <w:bCs/>
          <w:sz w:val="18"/>
          <w:szCs w:val="18"/>
        </w:rPr>
      </w:pPr>
    </w:p>
    <w:p w:rsidR="006312E8" w:rsidRPr="006312E8" w:rsidRDefault="006312E8" w:rsidP="006312E8">
      <w:pPr>
        <w:autoSpaceDE w:val="0"/>
        <w:autoSpaceDN w:val="0"/>
        <w:adjustRightInd w:val="0"/>
        <w:spacing w:after="0" w:line="240" w:lineRule="auto"/>
        <w:rPr>
          <w:rFonts w:ascii="Arial-BoldMT" w:hAnsi="Arial-BoldMT" w:cs="Arial-BoldMT"/>
          <w:b/>
          <w:bCs/>
          <w:sz w:val="18"/>
          <w:szCs w:val="18"/>
        </w:rPr>
      </w:pPr>
    </w:p>
    <w:p w:rsidR="006312E8" w:rsidRPr="006312E8" w:rsidRDefault="006312E8" w:rsidP="006312E8">
      <w:pPr>
        <w:autoSpaceDE w:val="0"/>
        <w:autoSpaceDN w:val="0"/>
        <w:adjustRightInd w:val="0"/>
        <w:spacing w:after="0" w:line="240" w:lineRule="auto"/>
        <w:rPr>
          <w:rFonts w:ascii="Arial-BoldMT" w:hAnsi="Arial-BoldMT" w:cs="Arial-BoldMT"/>
          <w:b/>
          <w:bCs/>
          <w:sz w:val="18"/>
          <w:szCs w:val="18"/>
        </w:rPr>
      </w:pPr>
    </w:p>
    <w:p w:rsidR="006312E8" w:rsidRPr="006312E8" w:rsidRDefault="006312E8" w:rsidP="006312E8">
      <w:pPr>
        <w:autoSpaceDE w:val="0"/>
        <w:autoSpaceDN w:val="0"/>
        <w:adjustRightInd w:val="0"/>
        <w:spacing w:after="0" w:line="240" w:lineRule="auto"/>
        <w:rPr>
          <w:rFonts w:ascii="Arial-BoldMT" w:hAnsi="Arial-BoldMT" w:cs="Arial-BoldMT"/>
          <w:b/>
          <w:bCs/>
          <w:sz w:val="18"/>
          <w:szCs w:val="18"/>
        </w:rPr>
      </w:pPr>
    </w:p>
    <w:p w:rsidR="006312E8" w:rsidRPr="006312E8" w:rsidRDefault="006312E8" w:rsidP="006312E8">
      <w:pPr>
        <w:autoSpaceDE w:val="0"/>
        <w:autoSpaceDN w:val="0"/>
        <w:adjustRightInd w:val="0"/>
        <w:spacing w:after="0" w:line="240" w:lineRule="auto"/>
        <w:rPr>
          <w:rFonts w:ascii="Arial-BoldMT" w:hAnsi="Arial-BoldMT" w:cs="Arial-BoldMT"/>
          <w:b/>
          <w:bCs/>
          <w:sz w:val="18"/>
          <w:szCs w:val="18"/>
        </w:rPr>
      </w:pPr>
    </w:p>
    <w:p w:rsidR="006312E8" w:rsidRPr="006312E8" w:rsidRDefault="006312E8" w:rsidP="006312E8">
      <w:pPr>
        <w:autoSpaceDE w:val="0"/>
        <w:autoSpaceDN w:val="0"/>
        <w:adjustRightInd w:val="0"/>
        <w:spacing w:after="0" w:line="240" w:lineRule="auto"/>
        <w:rPr>
          <w:rFonts w:ascii="Arial-BoldMT" w:hAnsi="Arial-BoldMT" w:cs="Arial-BoldMT"/>
          <w:b/>
          <w:bCs/>
          <w:sz w:val="18"/>
          <w:szCs w:val="18"/>
        </w:rPr>
      </w:pPr>
    </w:p>
    <w:p w:rsidR="006312E8" w:rsidRPr="006312E8" w:rsidRDefault="006312E8" w:rsidP="006312E8">
      <w:pPr>
        <w:autoSpaceDE w:val="0"/>
        <w:autoSpaceDN w:val="0"/>
        <w:adjustRightInd w:val="0"/>
        <w:spacing w:after="0" w:line="240" w:lineRule="auto"/>
        <w:rPr>
          <w:rFonts w:ascii="Arial-BoldMT" w:hAnsi="Arial-BoldMT" w:cs="Arial-BoldMT"/>
          <w:b/>
          <w:bCs/>
          <w:sz w:val="18"/>
          <w:szCs w:val="18"/>
        </w:rPr>
      </w:pPr>
    </w:p>
    <w:p w:rsidR="006312E8" w:rsidRPr="006312E8" w:rsidRDefault="006312E8" w:rsidP="006312E8">
      <w:pPr>
        <w:autoSpaceDE w:val="0"/>
        <w:autoSpaceDN w:val="0"/>
        <w:adjustRightInd w:val="0"/>
        <w:spacing w:after="0" w:line="240" w:lineRule="auto"/>
        <w:rPr>
          <w:rFonts w:ascii="Arial-BoldMT" w:hAnsi="Arial-BoldMT" w:cs="Arial-BoldMT"/>
          <w:b/>
          <w:bCs/>
          <w:sz w:val="18"/>
          <w:szCs w:val="18"/>
        </w:rPr>
      </w:pPr>
    </w:p>
    <w:p w:rsidR="006312E8" w:rsidRPr="006312E8" w:rsidRDefault="006312E8" w:rsidP="006312E8">
      <w:pPr>
        <w:autoSpaceDE w:val="0"/>
        <w:autoSpaceDN w:val="0"/>
        <w:adjustRightInd w:val="0"/>
        <w:spacing w:after="0" w:line="240" w:lineRule="auto"/>
        <w:rPr>
          <w:rFonts w:ascii="Arial-BoldMT" w:hAnsi="Arial-BoldMT" w:cs="Arial-BoldMT"/>
          <w:b/>
          <w:bCs/>
          <w:sz w:val="18"/>
          <w:szCs w:val="18"/>
        </w:rPr>
      </w:pPr>
    </w:p>
    <w:p w:rsidR="006312E8" w:rsidRPr="006312E8" w:rsidRDefault="006312E8" w:rsidP="006312E8">
      <w:pPr>
        <w:autoSpaceDE w:val="0"/>
        <w:autoSpaceDN w:val="0"/>
        <w:adjustRightInd w:val="0"/>
        <w:spacing w:after="0" w:line="240" w:lineRule="auto"/>
        <w:rPr>
          <w:rFonts w:ascii="Arial-BoldMT" w:hAnsi="Arial-BoldMT" w:cs="Arial-BoldMT"/>
          <w:b/>
          <w:bCs/>
          <w:sz w:val="18"/>
          <w:szCs w:val="18"/>
        </w:rPr>
      </w:pPr>
    </w:p>
    <w:p w:rsidR="006312E8" w:rsidRPr="006312E8" w:rsidRDefault="006312E8" w:rsidP="006312E8">
      <w:pPr>
        <w:autoSpaceDE w:val="0"/>
        <w:autoSpaceDN w:val="0"/>
        <w:adjustRightInd w:val="0"/>
        <w:spacing w:after="0" w:line="240" w:lineRule="auto"/>
        <w:rPr>
          <w:rFonts w:ascii="Arial-BoldMT" w:hAnsi="Arial-BoldMT" w:cs="Arial-BoldMT"/>
          <w:b/>
          <w:bCs/>
          <w:sz w:val="18"/>
          <w:szCs w:val="18"/>
        </w:rPr>
      </w:pPr>
    </w:p>
    <w:p w:rsidR="006312E8" w:rsidRPr="006312E8" w:rsidRDefault="006312E8" w:rsidP="006312E8">
      <w:pPr>
        <w:autoSpaceDE w:val="0"/>
        <w:autoSpaceDN w:val="0"/>
        <w:adjustRightInd w:val="0"/>
        <w:spacing w:after="0" w:line="240" w:lineRule="auto"/>
        <w:rPr>
          <w:rFonts w:ascii="Arial-BoldMT" w:hAnsi="Arial-BoldMT" w:cs="Arial-BoldMT"/>
          <w:b/>
          <w:bCs/>
          <w:sz w:val="18"/>
          <w:szCs w:val="18"/>
        </w:rPr>
      </w:pPr>
    </w:p>
    <w:p w:rsidR="006312E8" w:rsidRPr="006312E8" w:rsidRDefault="006312E8" w:rsidP="006312E8">
      <w:pPr>
        <w:autoSpaceDE w:val="0"/>
        <w:autoSpaceDN w:val="0"/>
        <w:adjustRightInd w:val="0"/>
        <w:spacing w:after="0" w:line="240" w:lineRule="auto"/>
        <w:rPr>
          <w:rFonts w:ascii="Arial-BoldMT" w:hAnsi="Arial-BoldMT" w:cs="Arial-BoldMT"/>
          <w:b/>
          <w:bCs/>
          <w:sz w:val="18"/>
          <w:szCs w:val="18"/>
        </w:rPr>
      </w:pPr>
    </w:p>
    <w:p w:rsidR="006312E8" w:rsidRPr="006312E8" w:rsidRDefault="006312E8" w:rsidP="006312E8">
      <w:pPr>
        <w:autoSpaceDE w:val="0"/>
        <w:autoSpaceDN w:val="0"/>
        <w:adjustRightInd w:val="0"/>
        <w:spacing w:after="0" w:line="240" w:lineRule="auto"/>
        <w:rPr>
          <w:rFonts w:ascii="Arial-BoldMT" w:hAnsi="Arial-BoldMT" w:cs="Arial-BoldMT"/>
          <w:b/>
          <w:bCs/>
          <w:sz w:val="18"/>
          <w:szCs w:val="18"/>
        </w:rPr>
      </w:pPr>
    </w:p>
    <w:p w:rsidR="006312E8" w:rsidRPr="006312E8" w:rsidRDefault="006312E8" w:rsidP="006312E8">
      <w:pPr>
        <w:autoSpaceDE w:val="0"/>
        <w:autoSpaceDN w:val="0"/>
        <w:adjustRightInd w:val="0"/>
        <w:spacing w:after="0" w:line="240" w:lineRule="auto"/>
        <w:rPr>
          <w:rFonts w:ascii="Arial-BoldMT" w:hAnsi="Arial-BoldMT" w:cs="Arial-BoldMT"/>
          <w:b/>
          <w:bCs/>
          <w:sz w:val="18"/>
          <w:szCs w:val="18"/>
        </w:rPr>
      </w:pPr>
    </w:p>
    <w:p w:rsidR="006312E8" w:rsidRPr="006312E8" w:rsidRDefault="006312E8" w:rsidP="006312E8">
      <w:pPr>
        <w:autoSpaceDE w:val="0"/>
        <w:autoSpaceDN w:val="0"/>
        <w:adjustRightInd w:val="0"/>
        <w:spacing w:after="0" w:line="240" w:lineRule="auto"/>
        <w:rPr>
          <w:rFonts w:ascii="Arial-BoldMT" w:hAnsi="Arial-BoldMT" w:cs="Arial-BoldMT"/>
          <w:b/>
          <w:bCs/>
          <w:sz w:val="18"/>
          <w:szCs w:val="18"/>
        </w:rPr>
      </w:pPr>
    </w:p>
    <w:p w:rsidR="006312E8" w:rsidRPr="006312E8" w:rsidRDefault="006312E8" w:rsidP="006312E8">
      <w:pPr>
        <w:autoSpaceDE w:val="0"/>
        <w:autoSpaceDN w:val="0"/>
        <w:adjustRightInd w:val="0"/>
        <w:spacing w:after="0" w:line="240" w:lineRule="auto"/>
        <w:rPr>
          <w:rFonts w:ascii="Arial-BoldMT" w:hAnsi="Arial-BoldMT" w:cs="Arial-BoldMT"/>
          <w:b/>
          <w:bCs/>
          <w:sz w:val="18"/>
          <w:szCs w:val="18"/>
        </w:rPr>
      </w:pPr>
    </w:p>
    <w:p w:rsidR="006312E8" w:rsidRPr="006312E8" w:rsidRDefault="006312E8" w:rsidP="006312E8">
      <w:pPr>
        <w:autoSpaceDE w:val="0"/>
        <w:autoSpaceDN w:val="0"/>
        <w:adjustRightInd w:val="0"/>
        <w:spacing w:after="0" w:line="240" w:lineRule="auto"/>
        <w:rPr>
          <w:rFonts w:ascii="Arial-BoldMT" w:hAnsi="Arial-BoldMT" w:cs="Arial-BoldMT"/>
          <w:b/>
          <w:bCs/>
          <w:sz w:val="18"/>
          <w:szCs w:val="18"/>
        </w:rPr>
      </w:pPr>
    </w:p>
    <w:p w:rsidR="006312E8" w:rsidRPr="006312E8" w:rsidRDefault="006312E8" w:rsidP="006312E8">
      <w:pPr>
        <w:autoSpaceDE w:val="0"/>
        <w:autoSpaceDN w:val="0"/>
        <w:adjustRightInd w:val="0"/>
        <w:spacing w:after="0" w:line="240" w:lineRule="auto"/>
        <w:rPr>
          <w:rFonts w:ascii="Arial-BoldMT" w:hAnsi="Arial-BoldMT" w:cs="Arial-BoldMT"/>
          <w:b/>
          <w:bCs/>
          <w:sz w:val="18"/>
          <w:szCs w:val="18"/>
        </w:rPr>
      </w:pPr>
    </w:p>
    <w:p w:rsidR="006312E8" w:rsidRPr="006312E8" w:rsidRDefault="006312E8" w:rsidP="006312E8">
      <w:pPr>
        <w:autoSpaceDE w:val="0"/>
        <w:autoSpaceDN w:val="0"/>
        <w:adjustRightInd w:val="0"/>
        <w:spacing w:after="0" w:line="240" w:lineRule="auto"/>
        <w:rPr>
          <w:rFonts w:ascii="Arial-BoldMT" w:hAnsi="Arial-BoldMT" w:cs="Arial-BoldMT"/>
          <w:b/>
          <w:bCs/>
          <w:sz w:val="18"/>
          <w:szCs w:val="18"/>
        </w:rPr>
      </w:pPr>
    </w:p>
    <w:p w:rsidR="006312E8" w:rsidRPr="006312E8" w:rsidRDefault="006312E8" w:rsidP="006312E8">
      <w:pPr>
        <w:autoSpaceDE w:val="0"/>
        <w:autoSpaceDN w:val="0"/>
        <w:adjustRightInd w:val="0"/>
        <w:spacing w:after="0" w:line="240" w:lineRule="auto"/>
        <w:rPr>
          <w:rFonts w:ascii="Arial-BoldMT" w:hAnsi="Arial-BoldMT" w:cs="Arial-BoldMT"/>
          <w:b/>
          <w:bCs/>
          <w:sz w:val="18"/>
          <w:szCs w:val="18"/>
        </w:rPr>
      </w:pPr>
    </w:p>
    <w:p w:rsidR="006312E8" w:rsidRPr="006312E8" w:rsidRDefault="006312E8" w:rsidP="006312E8">
      <w:pPr>
        <w:autoSpaceDE w:val="0"/>
        <w:autoSpaceDN w:val="0"/>
        <w:adjustRightInd w:val="0"/>
        <w:spacing w:after="0" w:line="240" w:lineRule="auto"/>
        <w:rPr>
          <w:rFonts w:ascii="Arial-BoldMT" w:hAnsi="Arial-BoldMT" w:cs="Arial-BoldMT"/>
          <w:b/>
          <w:bCs/>
          <w:sz w:val="18"/>
          <w:szCs w:val="18"/>
        </w:rPr>
      </w:pPr>
    </w:p>
    <w:p w:rsidR="006312E8" w:rsidRPr="006312E8" w:rsidRDefault="006312E8" w:rsidP="006312E8">
      <w:pPr>
        <w:autoSpaceDE w:val="0"/>
        <w:autoSpaceDN w:val="0"/>
        <w:adjustRightInd w:val="0"/>
        <w:spacing w:after="0" w:line="240" w:lineRule="auto"/>
        <w:rPr>
          <w:rFonts w:ascii="Arial-BoldMT" w:hAnsi="Arial-BoldMT" w:cs="Arial-BoldMT"/>
          <w:b/>
          <w:bCs/>
          <w:sz w:val="18"/>
          <w:szCs w:val="18"/>
        </w:rPr>
      </w:pPr>
    </w:p>
    <w:p w:rsidR="006312E8" w:rsidRPr="006312E8" w:rsidRDefault="006312E8" w:rsidP="006312E8">
      <w:pPr>
        <w:autoSpaceDE w:val="0"/>
        <w:autoSpaceDN w:val="0"/>
        <w:adjustRightInd w:val="0"/>
        <w:spacing w:after="0" w:line="240" w:lineRule="auto"/>
        <w:rPr>
          <w:rFonts w:ascii="Arial-BoldMT" w:hAnsi="Arial-BoldMT" w:cs="Arial-BoldMT"/>
          <w:b/>
          <w:bCs/>
          <w:sz w:val="18"/>
          <w:szCs w:val="18"/>
        </w:rPr>
      </w:pPr>
    </w:p>
    <w:p w:rsidR="006312E8" w:rsidRPr="006312E8" w:rsidRDefault="006312E8" w:rsidP="006312E8">
      <w:pPr>
        <w:autoSpaceDE w:val="0"/>
        <w:autoSpaceDN w:val="0"/>
        <w:adjustRightInd w:val="0"/>
        <w:spacing w:after="0" w:line="240" w:lineRule="auto"/>
        <w:rPr>
          <w:rFonts w:ascii="Arial-BoldMT" w:hAnsi="Arial-BoldMT" w:cs="Arial-BoldMT"/>
          <w:b/>
          <w:bCs/>
          <w:sz w:val="18"/>
          <w:szCs w:val="18"/>
        </w:rPr>
      </w:pPr>
    </w:p>
    <w:p w:rsidR="006312E8" w:rsidRDefault="006312E8" w:rsidP="006312E8">
      <w:pPr>
        <w:autoSpaceDE w:val="0"/>
        <w:autoSpaceDN w:val="0"/>
        <w:adjustRightInd w:val="0"/>
        <w:spacing w:after="0" w:line="240" w:lineRule="auto"/>
        <w:rPr>
          <w:rFonts w:ascii="Arial-BoldMT" w:hAnsi="Arial-BoldMT" w:cs="Arial-BoldMT"/>
          <w:b/>
          <w:bCs/>
          <w:sz w:val="18"/>
          <w:szCs w:val="18"/>
        </w:rPr>
      </w:pPr>
    </w:p>
    <w:p w:rsidR="006312E8" w:rsidRDefault="006312E8" w:rsidP="006312E8">
      <w:pPr>
        <w:autoSpaceDE w:val="0"/>
        <w:autoSpaceDN w:val="0"/>
        <w:adjustRightInd w:val="0"/>
        <w:spacing w:after="0" w:line="240" w:lineRule="auto"/>
        <w:rPr>
          <w:rFonts w:ascii="Arial-BoldMT" w:hAnsi="Arial-BoldMT" w:cs="Arial-BoldMT"/>
          <w:b/>
          <w:bCs/>
          <w:sz w:val="18"/>
          <w:szCs w:val="18"/>
        </w:rPr>
      </w:pPr>
    </w:p>
    <w:p w:rsidR="006312E8" w:rsidRDefault="006312E8" w:rsidP="006312E8">
      <w:pPr>
        <w:autoSpaceDE w:val="0"/>
        <w:autoSpaceDN w:val="0"/>
        <w:adjustRightInd w:val="0"/>
        <w:spacing w:after="0" w:line="240" w:lineRule="auto"/>
        <w:rPr>
          <w:rFonts w:ascii="Arial-BoldMT" w:hAnsi="Arial-BoldMT" w:cs="Arial-BoldMT"/>
          <w:b/>
          <w:bCs/>
          <w:sz w:val="18"/>
          <w:szCs w:val="18"/>
        </w:rPr>
      </w:pPr>
    </w:p>
    <w:p w:rsidR="006312E8" w:rsidRDefault="006312E8" w:rsidP="006312E8">
      <w:pPr>
        <w:autoSpaceDE w:val="0"/>
        <w:autoSpaceDN w:val="0"/>
        <w:adjustRightInd w:val="0"/>
        <w:spacing w:after="0" w:line="240" w:lineRule="auto"/>
        <w:rPr>
          <w:rFonts w:ascii="Arial-BoldMT" w:hAnsi="Arial-BoldMT" w:cs="Arial-BoldMT"/>
          <w:b/>
          <w:bCs/>
          <w:sz w:val="18"/>
          <w:szCs w:val="18"/>
        </w:rPr>
      </w:pPr>
    </w:p>
    <w:p w:rsidR="006312E8" w:rsidRDefault="006312E8" w:rsidP="006312E8">
      <w:pPr>
        <w:autoSpaceDE w:val="0"/>
        <w:autoSpaceDN w:val="0"/>
        <w:adjustRightInd w:val="0"/>
        <w:spacing w:after="0" w:line="240" w:lineRule="auto"/>
        <w:rPr>
          <w:rFonts w:ascii="Arial-BoldMT" w:hAnsi="Arial-BoldMT" w:cs="Arial-BoldMT"/>
          <w:b/>
          <w:bCs/>
          <w:sz w:val="18"/>
          <w:szCs w:val="18"/>
        </w:rPr>
      </w:pPr>
    </w:p>
    <w:p w:rsidR="006312E8" w:rsidRDefault="006312E8" w:rsidP="006312E8">
      <w:pPr>
        <w:autoSpaceDE w:val="0"/>
        <w:autoSpaceDN w:val="0"/>
        <w:adjustRightInd w:val="0"/>
        <w:spacing w:after="0" w:line="240" w:lineRule="auto"/>
        <w:rPr>
          <w:rFonts w:ascii="Arial-BoldMT" w:hAnsi="Arial-BoldMT" w:cs="Arial-BoldMT"/>
          <w:b/>
          <w:bCs/>
          <w:sz w:val="18"/>
          <w:szCs w:val="18"/>
        </w:rPr>
      </w:pPr>
    </w:p>
    <w:p w:rsidR="006312E8" w:rsidRDefault="006312E8" w:rsidP="006312E8">
      <w:pPr>
        <w:autoSpaceDE w:val="0"/>
        <w:autoSpaceDN w:val="0"/>
        <w:adjustRightInd w:val="0"/>
        <w:spacing w:after="0" w:line="240" w:lineRule="auto"/>
        <w:rPr>
          <w:rFonts w:ascii="Arial-BoldMT" w:hAnsi="Arial-BoldMT" w:cs="Arial-BoldMT"/>
          <w:b/>
          <w:bCs/>
          <w:sz w:val="18"/>
          <w:szCs w:val="18"/>
        </w:rPr>
      </w:pPr>
    </w:p>
    <w:p w:rsidR="006312E8" w:rsidRDefault="006312E8" w:rsidP="006312E8">
      <w:pPr>
        <w:autoSpaceDE w:val="0"/>
        <w:autoSpaceDN w:val="0"/>
        <w:adjustRightInd w:val="0"/>
        <w:spacing w:after="0" w:line="240" w:lineRule="auto"/>
        <w:rPr>
          <w:rFonts w:ascii="Arial-BoldMT" w:hAnsi="Arial-BoldMT" w:cs="Arial-BoldMT"/>
          <w:b/>
          <w:bCs/>
          <w:sz w:val="18"/>
          <w:szCs w:val="18"/>
        </w:rPr>
      </w:pPr>
    </w:p>
    <w:p w:rsidR="006312E8" w:rsidRDefault="006312E8" w:rsidP="006312E8">
      <w:pPr>
        <w:autoSpaceDE w:val="0"/>
        <w:autoSpaceDN w:val="0"/>
        <w:adjustRightInd w:val="0"/>
        <w:spacing w:after="0" w:line="240" w:lineRule="auto"/>
        <w:rPr>
          <w:rFonts w:ascii="Arial-BoldMT" w:hAnsi="Arial-BoldMT" w:cs="Arial-BoldMT"/>
          <w:b/>
          <w:bCs/>
          <w:sz w:val="18"/>
          <w:szCs w:val="18"/>
        </w:rPr>
      </w:pPr>
    </w:p>
    <w:p w:rsidR="006312E8" w:rsidRDefault="006312E8" w:rsidP="006312E8">
      <w:pPr>
        <w:autoSpaceDE w:val="0"/>
        <w:autoSpaceDN w:val="0"/>
        <w:adjustRightInd w:val="0"/>
        <w:spacing w:after="0" w:line="240" w:lineRule="auto"/>
        <w:rPr>
          <w:rFonts w:ascii="Arial-BoldMT" w:hAnsi="Arial-BoldMT" w:cs="Arial-BoldMT"/>
          <w:b/>
          <w:bCs/>
          <w:sz w:val="18"/>
          <w:szCs w:val="18"/>
        </w:rPr>
      </w:pPr>
    </w:p>
    <w:p w:rsidR="006312E8" w:rsidRDefault="006312E8" w:rsidP="006312E8">
      <w:pPr>
        <w:autoSpaceDE w:val="0"/>
        <w:autoSpaceDN w:val="0"/>
        <w:adjustRightInd w:val="0"/>
        <w:spacing w:after="0" w:line="240" w:lineRule="auto"/>
        <w:rPr>
          <w:rFonts w:ascii="Arial-BoldMT" w:hAnsi="Arial-BoldMT" w:cs="Arial-BoldMT"/>
          <w:b/>
          <w:bCs/>
          <w:sz w:val="18"/>
          <w:szCs w:val="18"/>
        </w:rPr>
      </w:pPr>
    </w:p>
    <w:p w:rsidR="006312E8" w:rsidRPr="006312E8" w:rsidRDefault="006312E8" w:rsidP="006312E8">
      <w:pPr>
        <w:autoSpaceDE w:val="0"/>
        <w:autoSpaceDN w:val="0"/>
        <w:adjustRightInd w:val="0"/>
        <w:spacing w:after="0" w:line="240" w:lineRule="auto"/>
        <w:rPr>
          <w:rFonts w:ascii="Arial-BoldMT" w:hAnsi="Arial-BoldMT" w:cs="Arial-BoldMT"/>
          <w:b/>
          <w:bCs/>
          <w:sz w:val="18"/>
          <w:szCs w:val="18"/>
        </w:rPr>
      </w:pPr>
    </w:p>
    <w:p w:rsidR="006312E8" w:rsidRPr="006312E8" w:rsidRDefault="006312E8" w:rsidP="006312E8">
      <w:pPr>
        <w:autoSpaceDE w:val="0"/>
        <w:autoSpaceDN w:val="0"/>
        <w:adjustRightInd w:val="0"/>
        <w:spacing w:after="0" w:line="240" w:lineRule="auto"/>
        <w:rPr>
          <w:rFonts w:ascii="Arial-BoldMT" w:hAnsi="Arial-BoldMT" w:cs="Arial-BoldMT"/>
          <w:b/>
          <w:bCs/>
          <w:sz w:val="18"/>
          <w:szCs w:val="18"/>
        </w:rPr>
      </w:pPr>
      <w:r w:rsidRPr="006312E8">
        <w:rPr>
          <w:rFonts w:ascii="Arial-BoldMT" w:hAnsi="Arial-BoldMT" w:cs="Arial-BoldMT"/>
          <w:b/>
          <w:bCs/>
          <w:sz w:val="18"/>
          <w:szCs w:val="18"/>
        </w:rPr>
        <w:t>COMPENDIO DE LEGISLACIÓN SOBRE BIENES INMUEBLES DEL SISTEMA NACIONAL DE BIENES ESTATALES</w:t>
      </w:r>
    </w:p>
    <w:p w:rsidR="006312E8" w:rsidRPr="006312E8" w:rsidRDefault="006312E8" w:rsidP="006312E8">
      <w:pPr>
        <w:autoSpaceDE w:val="0"/>
        <w:autoSpaceDN w:val="0"/>
        <w:adjustRightInd w:val="0"/>
        <w:spacing w:after="0" w:line="240" w:lineRule="auto"/>
        <w:jc w:val="both"/>
        <w:rPr>
          <w:rFonts w:ascii="ArialNarrow" w:hAnsi="ArialNarrow" w:cs="ArialNarrow"/>
          <w:sz w:val="18"/>
          <w:szCs w:val="18"/>
        </w:rPr>
      </w:pPr>
      <w:r w:rsidRPr="006312E8">
        <w:rPr>
          <w:rFonts w:ascii="ArialNarrow" w:hAnsi="ArialNarrow" w:cs="ArialNarrow"/>
          <w:sz w:val="18"/>
          <w:szCs w:val="18"/>
        </w:rPr>
        <w:t>Elaborado por la Subdirección de Normas y Capacitación de la Dirección de Normas y Registro de la Superintendencia Nacional de Bienes Estatales</w:t>
      </w:r>
    </w:p>
    <w:p w:rsidR="006312E8" w:rsidRPr="006312E8" w:rsidRDefault="006312E8" w:rsidP="006312E8">
      <w:pPr>
        <w:autoSpaceDE w:val="0"/>
        <w:autoSpaceDN w:val="0"/>
        <w:adjustRightInd w:val="0"/>
        <w:spacing w:after="0" w:line="240" w:lineRule="auto"/>
        <w:rPr>
          <w:rFonts w:ascii="Arial-BoldMT" w:hAnsi="Arial-BoldMT" w:cs="Arial-BoldMT"/>
          <w:b/>
          <w:bCs/>
          <w:sz w:val="18"/>
          <w:szCs w:val="18"/>
        </w:rPr>
      </w:pPr>
    </w:p>
    <w:p w:rsidR="006312E8" w:rsidRPr="006312E8" w:rsidRDefault="00437681" w:rsidP="006312E8">
      <w:pPr>
        <w:autoSpaceDE w:val="0"/>
        <w:autoSpaceDN w:val="0"/>
        <w:adjustRightInd w:val="0"/>
        <w:spacing w:after="0" w:line="240" w:lineRule="auto"/>
        <w:rPr>
          <w:rFonts w:ascii="Arial-BoldMT" w:hAnsi="Arial-BoldMT" w:cs="Arial-BoldMT"/>
          <w:b/>
          <w:bCs/>
          <w:sz w:val="18"/>
          <w:szCs w:val="18"/>
        </w:rPr>
      </w:pPr>
      <w:r>
        <w:rPr>
          <w:rFonts w:ascii="Arial-BoldMT" w:hAnsi="Arial-BoldMT" w:cs="Arial-BoldMT"/>
          <w:b/>
          <w:bCs/>
          <w:sz w:val="18"/>
          <w:szCs w:val="18"/>
        </w:rPr>
        <w:t>JOSE LUIS PAIRAZAMAN TORRES</w:t>
      </w:r>
    </w:p>
    <w:p w:rsidR="006312E8" w:rsidRPr="006312E8" w:rsidRDefault="006312E8" w:rsidP="006312E8">
      <w:pPr>
        <w:autoSpaceDE w:val="0"/>
        <w:autoSpaceDN w:val="0"/>
        <w:adjustRightInd w:val="0"/>
        <w:spacing w:after="0" w:line="240" w:lineRule="auto"/>
        <w:rPr>
          <w:rFonts w:ascii="ArialNarrow" w:hAnsi="ArialNarrow" w:cs="ArialNarrow"/>
          <w:sz w:val="18"/>
          <w:szCs w:val="18"/>
        </w:rPr>
      </w:pPr>
      <w:r w:rsidRPr="006312E8">
        <w:rPr>
          <w:rFonts w:ascii="ArialNarrow" w:hAnsi="ArialNarrow" w:cs="ArialNarrow"/>
          <w:sz w:val="18"/>
          <w:szCs w:val="18"/>
        </w:rPr>
        <w:t>Superintendente</w:t>
      </w:r>
    </w:p>
    <w:p w:rsidR="006312E8" w:rsidRPr="006312E8" w:rsidRDefault="006312E8" w:rsidP="006312E8">
      <w:pPr>
        <w:autoSpaceDE w:val="0"/>
        <w:autoSpaceDN w:val="0"/>
        <w:adjustRightInd w:val="0"/>
        <w:spacing w:after="0" w:line="240" w:lineRule="auto"/>
        <w:rPr>
          <w:rFonts w:ascii="Arial-BoldMT" w:hAnsi="Arial-BoldMT" w:cs="Arial-BoldMT"/>
          <w:b/>
          <w:bCs/>
          <w:sz w:val="18"/>
          <w:szCs w:val="18"/>
        </w:rPr>
      </w:pPr>
    </w:p>
    <w:p w:rsidR="006312E8" w:rsidRPr="006312E8" w:rsidRDefault="006312E8" w:rsidP="006312E8">
      <w:pPr>
        <w:autoSpaceDE w:val="0"/>
        <w:autoSpaceDN w:val="0"/>
        <w:adjustRightInd w:val="0"/>
        <w:spacing w:after="0" w:line="240" w:lineRule="auto"/>
        <w:rPr>
          <w:rFonts w:ascii="Arial-BoldMT" w:hAnsi="Arial-BoldMT" w:cs="Arial-BoldMT"/>
          <w:b/>
          <w:bCs/>
          <w:sz w:val="18"/>
          <w:szCs w:val="18"/>
        </w:rPr>
      </w:pPr>
      <w:r w:rsidRPr="006312E8">
        <w:rPr>
          <w:rFonts w:ascii="Arial-BoldMT" w:hAnsi="Arial-BoldMT" w:cs="Arial-BoldMT"/>
          <w:b/>
          <w:bCs/>
          <w:sz w:val="18"/>
          <w:szCs w:val="18"/>
        </w:rPr>
        <w:t>JOSÉ FELISANDRO MAS CAMUS</w:t>
      </w:r>
    </w:p>
    <w:p w:rsidR="006312E8" w:rsidRPr="006312E8" w:rsidRDefault="006312E8" w:rsidP="006312E8">
      <w:pPr>
        <w:autoSpaceDE w:val="0"/>
        <w:autoSpaceDN w:val="0"/>
        <w:adjustRightInd w:val="0"/>
        <w:spacing w:after="0" w:line="240" w:lineRule="auto"/>
        <w:rPr>
          <w:rFonts w:ascii="ArialNarrow" w:hAnsi="ArialNarrow" w:cs="ArialNarrow"/>
          <w:sz w:val="18"/>
          <w:szCs w:val="18"/>
        </w:rPr>
      </w:pPr>
      <w:r w:rsidRPr="006312E8">
        <w:rPr>
          <w:rFonts w:ascii="ArialNarrow" w:hAnsi="ArialNarrow" w:cs="ArialNarrow"/>
          <w:sz w:val="18"/>
          <w:szCs w:val="18"/>
        </w:rPr>
        <w:t>Director de Normas y Registro</w:t>
      </w:r>
    </w:p>
    <w:p w:rsidR="006312E8" w:rsidRPr="006312E8" w:rsidRDefault="006312E8" w:rsidP="006312E8">
      <w:pPr>
        <w:autoSpaceDE w:val="0"/>
        <w:autoSpaceDN w:val="0"/>
        <w:adjustRightInd w:val="0"/>
        <w:spacing w:after="0" w:line="240" w:lineRule="auto"/>
        <w:rPr>
          <w:rFonts w:ascii="Arial-BoldMT" w:hAnsi="Arial-BoldMT" w:cs="Arial-BoldMT"/>
          <w:b/>
          <w:bCs/>
          <w:sz w:val="18"/>
          <w:szCs w:val="18"/>
        </w:rPr>
      </w:pPr>
    </w:p>
    <w:p w:rsidR="00C60A91" w:rsidRDefault="00C60A91" w:rsidP="006312E8">
      <w:pPr>
        <w:tabs>
          <w:tab w:val="left" w:pos="5873"/>
        </w:tabs>
        <w:spacing w:after="0" w:line="240" w:lineRule="auto"/>
        <w:ind w:right="136"/>
        <w:rPr>
          <w:rFonts w:ascii="Arial-BoldMT" w:hAnsi="Arial-BoldMT" w:cs="Arial-BoldMT"/>
          <w:b/>
          <w:bCs/>
          <w:sz w:val="18"/>
          <w:szCs w:val="18"/>
        </w:rPr>
      </w:pPr>
      <w:r>
        <w:rPr>
          <w:rFonts w:ascii="Arial-BoldMT" w:hAnsi="Arial-BoldMT" w:cs="Arial-BoldMT"/>
          <w:b/>
          <w:bCs/>
          <w:sz w:val="18"/>
          <w:szCs w:val="18"/>
        </w:rPr>
        <w:t>JESSICA JANETT PERALTA POVEDA</w:t>
      </w:r>
    </w:p>
    <w:p w:rsidR="00C60A91" w:rsidRPr="00C60A91" w:rsidRDefault="00C60A91" w:rsidP="006312E8">
      <w:pPr>
        <w:tabs>
          <w:tab w:val="left" w:pos="5873"/>
        </w:tabs>
        <w:spacing w:after="0" w:line="240" w:lineRule="auto"/>
        <w:ind w:right="136"/>
        <w:rPr>
          <w:rFonts w:ascii="Arial-BoldMT" w:hAnsi="Arial-BoldMT" w:cs="Arial-BoldMT"/>
          <w:bCs/>
          <w:sz w:val="18"/>
          <w:szCs w:val="18"/>
        </w:rPr>
      </w:pPr>
      <w:r>
        <w:rPr>
          <w:rFonts w:ascii="Arial-BoldMT" w:hAnsi="Arial-BoldMT" w:cs="Arial-BoldMT"/>
          <w:bCs/>
          <w:sz w:val="18"/>
          <w:szCs w:val="18"/>
        </w:rPr>
        <w:t>Subdirectora de Normas y Capacitación</w:t>
      </w:r>
    </w:p>
    <w:p w:rsidR="00C60A91" w:rsidRDefault="00C60A91" w:rsidP="006312E8">
      <w:pPr>
        <w:tabs>
          <w:tab w:val="left" w:pos="5873"/>
        </w:tabs>
        <w:spacing w:after="0" w:line="240" w:lineRule="auto"/>
        <w:ind w:right="136"/>
        <w:rPr>
          <w:rFonts w:ascii="Arial-BoldMT" w:hAnsi="Arial-BoldMT" w:cs="Arial-BoldMT"/>
          <w:b/>
          <w:bCs/>
          <w:sz w:val="18"/>
          <w:szCs w:val="18"/>
        </w:rPr>
      </w:pPr>
    </w:p>
    <w:p w:rsidR="006312E8" w:rsidRPr="006312E8" w:rsidRDefault="006312E8" w:rsidP="006312E8">
      <w:pPr>
        <w:tabs>
          <w:tab w:val="left" w:pos="5873"/>
        </w:tabs>
        <w:spacing w:after="0" w:line="240" w:lineRule="auto"/>
        <w:ind w:right="136"/>
        <w:rPr>
          <w:rFonts w:ascii="Arial-BoldMT" w:hAnsi="Arial-BoldMT" w:cs="Arial-BoldMT"/>
          <w:b/>
          <w:bCs/>
          <w:sz w:val="18"/>
          <w:szCs w:val="18"/>
        </w:rPr>
      </w:pPr>
      <w:r w:rsidRPr="006312E8">
        <w:rPr>
          <w:rFonts w:ascii="Arial-BoldMT" w:hAnsi="Arial-BoldMT" w:cs="Arial-BoldMT"/>
          <w:b/>
          <w:bCs/>
          <w:sz w:val="18"/>
          <w:szCs w:val="18"/>
        </w:rPr>
        <w:t>CHRISTIAN</w:t>
      </w:r>
      <w:r w:rsidR="000361F3">
        <w:rPr>
          <w:rFonts w:ascii="Arial-BoldMT" w:hAnsi="Arial-BoldMT" w:cs="Arial-BoldMT"/>
          <w:b/>
          <w:bCs/>
          <w:sz w:val="18"/>
          <w:szCs w:val="18"/>
        </w:rPr>
        <w:t xml:space="preserve"> ROGER </w:t>
      </w:r>
      <w:r w:rsidRPr="006312E8">
        <w:rPr>
          <w:rFonts w:ascii="Arial-BoldMT" w:hAnsi="Arial-BoldMT" w:cs="Arial-BoldMT"/>
          <w:b/>
          <w:bCs/>
          <w:sz w:val="18"/>
          <w:szCs w:val="18"/>
        </w:rPr>
        <w:t xml:space="preserve"> MORON VASQUEZ</w:t>
      </w:r>
    </w:p>
    <w:p w:rsidR="006312E8" w:rsidRDefault="006312E8" w:rsidP="006312E8">
      <w:pPr>
        <w:tabs>
          <w:tab w:val="left" w:pos="5873"/>
        </w:tabs>
        <w:spacing w:after="0" w:line="240" w:lineRule="auto"/>
        <w:ind w:right="136"/>
        <w:rPr>
          <w:rFonts w:ascii="Arial-BoldMT" w:hAnsi="Arial-BoldMT" w:cs="Arial-BoldMT"/>
          <w:bCs/>
          <w:sz w:val="18"/>
          <w:szCs w:val="18"/>
        </w:rPr>
      </w:pPr>
      <w:r w:rsidRPr="006312E8">
        <w:rPr>
          <w:rFonts w:ascii="Arial-BoldMT" w:hAnsi="Arial-BoldMT" w:cs="Arial-BoldMT"/>
          <w:bCs/>
          <w:sz w:val="18"/>
          <w:szCs w:val="18"/>
        </w:rPr>
        <w:t>Abogado Subdirección de Normas y Capacitación</w:t>
      </w:r>
    </w:p>
    <w:p w:rsidR="006312E8" w:rsidRDefault="006312E8" w:rsidP="006312E8">
      <w:pPr>
        <w:tabs>
          <w:tab w:val="left" w:pos="5873"/>
        </w:tabs>
        <w:spacing w:after="0" w:line="240" w:lineRule="auto"/>
        <w:ind w:right="136"/>
        <w:rPr>
          <w:rFonts w:ascii="Arial-BoldMT" w:hAnsi="Arial-BoldMT" w:cs="Arial-BoldMT"/>
          <w:bCs/>
          <w:sz w:val="18"/>
          <w:szCs w:val="18"/>
        </w:rPr>
      </w:pPr>
    </w:p>
    <w:p w:rsidR="006312E8" w:rsidRDefault="002E53BF" w:rsidP="006312E8">
      <w:pPr>
        <w:tabs>
          <w:tab w:val="left" w:pos="5873"/>
        </w:tabs>
        <w:spacing w:after="0" w:line="240" w:lineRule="auto"/>
        <w:ind w:right="136"/>
        <w:rPr>
          <w:rFonts w:ascii="Arial-BoldMT" w:hAnsi="Arial-BoldMT" w:cs="Arial-BoldMT"/>
          <w:b/>
          <w:bCs/>
          <w:sz w:val="18"/>
          <w:szCs w:val="18"/>
        </w:rPr>
      </w:pPr>
      <w:r>
        <w:rPr>
          <w:rFonts w:ascii="Arial-BoldMT" w:hAnsi="Arial-BoldMT" w:cs="Arial-BoldMT"/>
          <w:b/>
          <w:bCs/>
          <w:sz w:val="18"/>
          <w:szCs w:val="18"/>
        </w:rPr>
        <w:t>Actualizad</w:t>
      </w:r>
      <w:r w:rsidR="00392F7C">
        <w:rPr>
          <w:rFonts w:ascii="Arial-BoldMT" w:hAnsi="Arial-BoldMT" w:cs="Arial-BoldMT"/>
          <w:b/>
          <w:bCs/>
          <w:sz w:val="18"/>
          <w:szCs w:val="18"/>
        </w:rPr>
        <w:t>o</w:t>
      </w:r>
      <w:r w:rsidR="00C0291C">
        <w:rPr>
          <w:rFonts w:ascii="Arial-BoldMT" w:hAnsi="Arial-BoldMT" w:cs="Arial-BoldMT"/>
          <w:b/>
          <w:bCs/>
          <w:sz w:val="18"/>
          <w:szCs w:val="18"/>
        </w:rPr>
        <w:t xml:space="preserve"> diciembre</w:t>
      </w:r>
      <w:r w:rsidR="006312E8" w:rsidRPr="006312E8">
        <w:rPr>
          <w:rFonts w:ascii="Arial-BoldMT" w:hAnsi="Arial-BoldMT" w:cs="Arial-BoldMT"/>
          <w:b/>
          <w:bCs/>
          <w:sz w:val="18"/>
          <w:szCs w:val="18"/>
        </w:rPr>
        <w:t xml:space="preserve"> de 201</w:t>
      </w:r>
      <w:r w:rsidR="00C60A91">
        <w:rPr>
          <w:rFonts w:ascii="Arial-BoldMT" w:hAnsi="Arial-BoldMT" w:cs="Arial-BoldMT"/>
          <w:b/>
          <w:bCs/>
          <w:sz w:val="18"/>
          <w:szCs w:val="18"/>
        </w:rPr>
        <w:t>6</w:t>
      </w:r>
    </w:p>
    <w:p w:rsidR="00C60A91" w:rsidRDefault="00C60A91" w:rsidP="006312E8">
      <w:pPr>
        <w:tabs>
          <w:tab w:val="left" w:pos="5873"/>
        </w:tabs>
        <w:spacing w:after="0" w:line="240" w:lineRule="auto"/>
        <w:ind w:right="136"/>
        <w:rPr>
          <w:rFonts w:ascii="Arial-BoldMT" w:hAnsi="Arial-BoldMT" w:cs="Arial-BoldMT"/>
          <w:b/>
          <w:bCs/>
          <w:sz w:val="18"/>
          <w:szCs w:val="18"/>
        </w:rPr>
      </w:pPr>
    </w:p>
    <w:p w:rsidR="00C60A91" w:rsidRPr="006312E8" w:rsidRDefault="00C60A91" w:rsidP="006312E8">
      <w:pPr>
        <w:tabs>
          <w:tab w:val="left" w:pos="5873"/>
        </w:tabs>
        <w:spacing w:after="0" w:line="240" w:lineRule="auto"/>
        <w:ind w:right="136"/>
        <w:rPr>
          <w:rFonts w:ascii="Arial" w:eastAsia="Calibri" w:hAnsi="Arial" w:cs="Arial"/>
          <w:b/>
          <w:noProof/>
          <w:sz w:val="24"/>
          <w:szCs w:val="24"/>
          <w:lang w:eastAsia="es-PE"/>
        </w:rPr>
      </w:pPr>
    </w:p>
    <w:p w:rsidR="006312E8" w:rsidRPr="006312E8" w:rsidRDefault="006312E8" w:rsidP="006312E8">
      <w:pPr>
        <w:spacing w:after="200" w:line="276" w:lineRule="auto"/>
        <w:jc w:val="center"/>
        <w:rPr>
          <w:rFonts w:ascii="Arial" w:eastAsia="Calibri" w:hAnsi="Arial" w:cs="Arial"/>
          <w:b/>
          <w:sz w:val="28"/>
          <w:szCs w:val="28"/>
        </w:rPr>
      </w:pPr>
      <w:r w:rsidRPr="006312E8">
        <w:rPr>
          <w:rFonts w:ascii="Arial" w:eastAsia="Calibri" w:hAnsi="Arial" w:cs="Arial"/>
          <w:b/>
          <w:sz w:val="28"/>
          <w:szCs w:val="28"/>
        </w:rPr>
        <w:t>PRESENTACIÓN</w:t>
      </w:r>
    </w:p>
    <w:p w:rsidR="006312E8" w:rsidRPr="006312E8" w:rsidRDefault="006312E8" w:rsidP="006312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overflowPunct w:val="0"/>
        <w:autoSpaceDE w:val="0"/>
        <w:autoSpaceDN w:val="0"/>
        <w:adjustRightInd w:val="0"/>
        <w:spacing w:after="0" w:line="240" w:lineRule="auto"/>
        <w:jc w:val="both"/>
        <w:textAlignment w:val="baseline"/>
        <w:rPr>
          <w:rFonts w:ascii="Arial" w:eastAsia="SimSun" w:hAnsi="Arial" w:cs="Arial"/>
          <w:b/>
          <w:lang w:eastAsia="es-ES"/>
        </w:rPr>
      </w:pPr>
    </w:p>
    <w:p w:rsidR="006312E8" w:rsidRPr="006312E8" w:rsidRDefault="006312E8" w:rsidP="006312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overflowPunct w:val="0"/>
        <w:autoSpaceDE w:val="0"/>
        <w:autoSpaceDN w:val="0"/>
        <w:adjustRightInd w:val="0"/>
        <w:spacing w:after="0" w:line="240" w:lineRule="auto"/>
        <w:jc w:val="both"/>
        <w:textAlignment w:val="baseline"/>
        <w:rPr>
          <w:rFonts w:ascii="Arial" w:eastAsia="SimSun" w:hAnsi="Arial" w:cs="Arial"/>
          <w:b/>
          <w:lang w:eastAsia="es-ES"/>
        </w:rPr>
      </w:pPr>
    </w:p>
    <w:p w:rsidR="006312E8" w:rsidRPr="006312E8" w:rsidRDefault="006312E8" w:rsidP="006312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overflowPunct w:val="0"/>
        <w:autoSpaceDE w:val="0"/>
        <w:autoSpaceDN w:val="0"/>
        <w:adjustRightInd w:val="0"/>
        <w:spacing w:after="0" w:line="240" w:lineRule="auto"/>
        <w:jc w:val="both"/>
        <w:textAlignment w:val="baseline"/>
        <w:rPr>
          <w:rFonts w:ascii="Arial" w:eastAsia="SimSun" w:hAnsi="Arial" w:cs="Arial"/>
          <w:b/>
          <w:lang w:eastAsia="es-ES"/>
        </w:rPr>
      </w:pPr>
    </w:p>
    <w:p w:rsidR="006312E8" w:rsidRPr="006312E8" w:rsidRDefault="006312E8" w:rsidP="006312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overflowPunct w:val="0"/>
        <w:autoSpaceDE w:val="0"/>
        <w:autoSpaceDN w:val="0"/>
        <w:adjustRightInd w:val="0"/>
        <w:spacing w:after="0" w:line="240" w:lineRule="auto"/>
        <w:jc w:val="both"/>
        <w:textAlignment w:val="baseline"/>
        <w:rPr>
          <w:rFonts w:ascii="Arial" w:eastAsia="SimSun" w:hAnsi="Arial" w:cs="Arial"/>
          <w:highlight w:val="white"/>
          <w:lang w:val="es-ES" w:eastAsia="es-ES"/>
        </w:rPr>
      </w:pPr>
      <w:r w:rsidRPr="006312E8">
        <w:rPr>
          <w:rFonts w:ascii="Arial" w:eastAsia="SimSun" w:hAnsi="Arial" w:cs="Arial"/>
          <w:lang w:eastAsia="es-ES"/>
        </w:rPr>
        <w:t xml:space="preserve">Con la promulgación de la </w:t>
      </w:r>
      <w:r w:rsidRPr="000361F3">
        <w:rPr>
          <w:rFonts w:ascii="Arial" w:eastAsia="SimSun" w:hAnsi="Arial" w:cs="Arial"/>
          <w:lang w:eastAsia="es-ES"/>
        </w:rPr>
        <w:t xml:space="preserve">Ley Nº 29151, </w:t>
      </w:r>
      <w:r w:rsidRPr="000361F3">
        <w:rPr>
          <w:rFonts w:ascii="Arial" w:eastAsia="SimSun" w:hAnsi="Arial" w:cs="Arial"/>
          <w:i/>
          <w:lang w:eastAsia="es-ES"/>
        </w:rPr>
        <w:t>Ley General del Sistema Nacional de Bienes Estatales</w:t>
      </w:r>
      <w:r w:rsidRPr="006312E8">
        <w:rPr>
          <w:rFonts w:ascii="Arial" w:eastAsia="SimSun" w:hAnsi="Arial" w:cs="Arial"/>
          <w:b/>
          <w:highlight w:val="white"/>
          <w:lang w:eastAsia="es-ES"/>
        </w:rPr>
        <w:t xml:space="preserve">, </w:t>
      </w:r>
      <w:r w:rsidRPr="006312E8">
        <w:rPr>
          <w:rFonts w:ascii="Arial" w:eastAsia="SimSun" w:hAnsi="Arial" w:cs="Arial"/>
          <w:highlight w:val="white"/>
          <w:lang w:val="es-ES" w:eastAsia="es-ES"/>
        </w:rPr>
        <w:t xml:space="preserve">se </w:t>
      </w:r>
      <w:r w:rsidRPr="006312E8">
        <w:rPr>
          <w:rFonts w:ascii="Arial" w:eastAsia="SimSun" w:hAnsi="Arial" w:cs="Arial"/>
          <w:lang w:val="es-ES" w:eastAsia="es-ES"/>
        </w:rPr>
        <w:t>da origen a un conjunto de organismos, garantías y normas que regulan, de manera integral y coherente, los bienes estatales, en sus niveles de Gobierno Nacional, regional y local, a fin de lograr una administración ordenada, simplificada y eficiente, teniendo a la Superintendencia</w:t>
      </w:r>
      <w:r w:rsidR="000361F3">
        <w:rPr>
          <w:rFonts w:ascii="Arial" w:eastAsia="SimSun" w:hAnsi="Arial" w:cs="Arial"/>
          <w:lang w:val="es-ES" w:eastAsia="es-ES"/>
        </w:rPr>
        <w:t xml:space="preserve"> Nacional de Bienes Estatales (</w:t>
      </w:r>
      <w:r w:rsidRPr="006312E8">
        <w:rPr>
          <w:rFonts w:ascii="Arial" w:eastAsia="SimSun" w:hAnsi="Arial" w:cs="Arial"/>
          <w:lang w:val="es-ES" w:eastAsia="es-ES"/>
        </w:rPr>
        <w:t>SBN</w:t>
      </w:r>
      <w:r w:rsidR="000361F3">
        <w:rPr>
          <w:rFonts w:ascii="Arial" w:eastAsia="SimSun" w:hAnsi="Arial" w:cs="Arial"/>
          <w:lang w:val="es-ES" w:eastAsia="es-ES"/>
        </w:rPr>
        <w:t>)</w:t>
      </w:r>
      <w:r w:rsidRPr="006312E8">
        <w:rPr>
          <w:rFonts w:ascii="Arial" w:eastAsia="SimSun" w:hAnsi="Arial" w:cs="Arial"/>
          <w:lang w:val="es-ES" w:eastAsia="es-ES"/>
        </w:rPr>
        <w:t xml:space="preserve"> como ente rector.</w:t>
      </w:r>
    </w:p>
    <w:p w:rsidR="006312E8" w:rsidRPr="006312E8" w:rsidRDefault="006312E8" w:rsidP="006312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overflowPunct w:val="0"/>
        <w:autoSpaceDE w:val="0"/>
        <w:autoSpaceDN w:val="0"/>
        <w:adjustRightInd w:val="0"/>
        <w:spacing w:after="0" w:line="240" w:lineRule="auto"/>
        <w:jc w:val="both"/>
        <w:textAlignment w:val="baseline"/>
        <w:rPr>
          <w:rFonts w:ascii="Arial" w:eastAsia="SimSun" w:hAnsi="Arial" w:cs="Arial"/>
          <w:highlight w:val="white"/>
          <w:lang w:val="es-ES" w:eastAsia="es-ES"/>
        </w:rPr>
      </w:pPr>
    </w:p>
    <w:p w:rsidR="006312E8" w:rsidRPr="006312E8" w:rsidRDefault="006312E8" w:rsidP="006312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overflowPunct w:val="0"/>
        <w:autoSpaceDE w:val="0"/>
        <w:autoSpaceDN w:val="0"/>
        <w:adjustRightInd w:val="0"/>
        <w:spacing w:after="0" w:line="240" w:lineRule="auto"/>
        <w:jc w:val="both"/>
        <w:textAlignment w:val="baseline"/>
        <w:rPr>
          <w:rFonts w:ascii="Arial" w:eastAsia="SimSun" w:hAnsi="Arial" w:cs="Arial"/>
          <w:highlight w:val="white"/>
          <w:lang w:val="es-ES" w:eastAsia="es-ES"/>
        </w:rPr>
      </w:pPr>
      <w:r w:rsidRPr="006312E8">
        <w:rPr>
          <w:rFonts w:ascii="Arial" w:eastAsia="SimSun" w:hAnsi="Arial" w:cs="Arial"/>
          <w:highlight w:val="white"/>
          <w:lang w:val="es-ES" w:eastAsia="es-ES"/>
        </w:rPr>
        <w:t>Bajo ese panorama, la SBN se encuentra abocada a una labor de difusión normativa en aras de facilitar a los diversos operadores jurídicos una herramienta que les permita tomar decisiones acordes con la normatividad vigente sobre los actos de administración, disposición, adquisición, registro y supervisión que realizan sobre los bienes de dominio público y el patrimonio del Estado.</w:t>
      </w:r>
    </w:p>
    <w:p w:rsidR="006312E8" w:rsidRPr="006312E8" w:rsidRDefault="006312E8" w:rsidP="006312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overflowPunct w:val="0"/>
        <w:autoSpaceDE w:val="0"/>
        <w:autoSpaceDN w:val="0"/>
        <w:adjustRightInd w:val="0"/>
        <w:spacing w:after="0" w:line="240" w:lineRule="auto"/>
        <w:jc w:val="both"/>
        <w:textAlignment w:val="baseline"/>
        <w:rPr>
          <w:rFonts w:ascii="Arial" w:eastAsia="SimSun" w:hAnsi="Arial" w:cs="Arial"/>
          <w:highlight w:val="white"/>
          <w:lang w:val="es-ES" w:eastAsia="es-ES"/>
        </w:rPr>
      </w:pPr>
    </w:p>
    <w:p w:rsidR="006312E8" w:rsidRPr="006312E8" w:rsidRDefault="006312E8" w:rsidP="006312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overflowPunct w:val="0"/>
        <w:autoSpaceDE w:val="0"/>
        <w:autoSpaceDN w:val="0"/>
        <w:adjustRightInd w:val="0"/>
        <w:spacing w:after="0" w:line="240" w:lineRule="auto"/>
        <w:jc w:val="both"/>
        <w:textAlignment w:val="baseline"/>
        <w:rPr>
          <w:rFonts w:ascii="Arial" w:eastAsia="SimSun" w:hAnsi="Arial" w:cs="Arial"/>
          <w:highlight w:val="white"/>
          <w:lang w:val="es-ES" w:eastAsia="es-ES"/>
        </w:rPr>
      </w:pPr>
      <w:r w:rsidRPr="006312E8">
        <w:rPr>
          <w:rFonts w:ascii="Arial" w:eastAsia="SimSun" w:hAnsi="Arial" w:cs="Arial"/>
          <w:highlight w:val="white"/>
          <w:lang w:val="es-ES" w:eastAsia="es-ES"/>
        </w:rPr>
        <w:t>En este contexto, se busca contribuir al fortalecimiento de las capacidades de las entidades públicas que integran el Sistema Nacional de Bienes Estatales y de la sociedad civil, promoviendo la transparencia en la gestión pública, en el marco del respeto del derecho de acceso a la información pública y la vigilancia ciudadana en la correcta administración de los bienes estatales.</w:t>
      </w:r>
    </w:p>
    <w:p w:rsidR="006312E8" w:rsidRPr="006312E8" w:rsidRDefault="006312E8" w:rsidP="006312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overflowPunct w:val="0"/>
        <w:autoSpaceDE w:val="0"/>
        <w:autoSpaceDN w:val="0"/>
        <w:adjustRightInd w:val="0"/>
        <w:spacing w:after="0" w:line="240" w:lineRule="auto"/>
        <w:jc w:val="both"/>
        <w:textAlignment w:val="baseline"/>
        <w:rPr>
          <w:rFonts w:ascii="Arial" w:eastAsia="SimSun" w:hAnsi="Arial" w:cs="Arial"/>
          <w:highlight w:val="white"/>
          <w:lang w:val="es-ES" w:eastAsia="es-ES"/>
        </w:rPr>
      </w:pPr>
    </w:p>
    <w:p w:rsidR="006312E8" w:rsidRPr="006312E8" w:rsidRDefault="006312E8" w:rsidP="006312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overflowPunct w:val="0"/>
        <w:autoSpaceDE w:val="0"/>
        <w:autoSpaceDN w:val="0"/>
        <w:adjustRightInd w:val="0"/>
        <w:spacing w:after="0" w:line="240" w:lineRule="auto"/>
        <w:jc w:val="both"/>
        <w:textAlignment w:val="baseline"/>
        <w:rPr>
          <w:rFonts w:ascii="Arial" w:eastAsia="SimSun" w:hAnsi="Arial" w:cs="Arial"/>
          <w:highlight w:val="white"/>
          <w:lang w:val="es-ES" w:eastAsia="es-ES"/>
        </w:rPr>
      </w:pPr>
      <w:r w:rsidRPr="006312E8">
        <w:rPr>
          <w:rFonts w:ascii="Arial" w:eastAsia="SimSun" w:hAnsi="Arial" w:cs="Arial"/>
          <w:highlight w:val="white"/>
          <w:lang w:val="es-ES" w:eastAsia="es-ES"/>
        </w:rPr>
        <w:t>Con tal propósito, y considerando la importancia del marco normativo, la SBN pone a disposición de los funcionarios y servidores públicos, y de la ciudadanía en general el presente compendio normativo sobre Marco General e Inmuebles,  sus normas complementarias y directivas correspondientes.</w:t>
      </w:r>
    </w:p>
    <w:p w:rsidR="006312E8" w:rsidRPr="006312E8" w:rsidRDefault="006312E8" w:rsidP="006312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overflowPunct w:val="0"/>
        <w:autoSpaceDE w:val="0"/>
        <w:autoSpaceDN w:val="0"/>
        <w:adjustRightInd w:val="0"/>
        <w:spacing w:after="0" w:line="240" w:lineRule="auto"/>
        <w:jc w:val="both"/>
        <w:textAlignment w:val="baseline"/>
        <w:rPr>
          <w:rFonts w:ascii="Arial" w:eastAsia="SimSun" w:hAnsi="Arial" w:cs="Arial"/>
          <w:highlight w:val="white"/>
          <w:lang w:val="es-ES" w:eastAsia="es-ES"/>
        </w:rPr>
      </w:pPr>
    </w:p>
    <w:p w:rsidR="006312E8" w:rsidRPr="006312E8" w:rsidRDefault="006312E8" w:rsidP="006312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overflowPunct w:val="0"/>
        <w:autoSpaceDE w:val="0"/>
        <w:autoSpaceDN w:val="0"/>
        <w:adjustRightInd w:val="0"/>
        <w:spacing w:after="0" w:line="240" w:lineRule="auto"/>
        <w:jc w:val="both"/>
        <w:textAlignment w:val="baseline"/>
        <w:rPr>
          <w:rFonts w:ascii="Arial" w:eastAsia="SimSun" w:hAnsi="Arial" w:cs="Arial"/>
          <w:highlight w:val="white"/>
          <w:lang w:val="es-ES" w:eastAsia="es-ES"/>
        </w:rPr>
      </w:pPr>
    </w:p>
    <w:p w:rsidR="006312E8" w:rsidRPr="006312E8" w:rsidRDefault="006312E8" w:rsidP="006312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overflowPunct w:val="0"/>
        <w:autoSpaceDE w:val="0"/>
        <w:autoSpaceDN w:val="0"/>
        <w:adjustRightInd w:val="0"/>
        <w:spacing w:after="0" w:line="240" w:lineRule="auto"/>
        <w:jc w:val="both"/>
        <w:textAlignment w:val="baseline"/>
        <w:rPr>
          <w:rFonts w:ascii="Arial" w:eastAsia="SimSun" w:hAnsi="Arial" w:cs="Arial"/>
          <w:highlight w:val="white"/>
          <w:lang w:val="es-ES" w:eastAsia="es-ES"/>
        </w:rPr>
      </w:pPr>
      <w:r w:rsidRPr="006312E8">
        <w:rPr>
          <w:rFonts w:ascii="Arial" w:eastAsia="SimSun" w:hAnsi="Arial" w:cs="Arial"/>
          <w:highlight w:val="white"/>
          <w:lang w:val="es-ES" w:eastAsia="es-ES"/>
        </w:rPr>
        <w:t>Finalmente, cabe anotar que se vienen realizando talleres de capacitación a nivel nacional como parte del proceso de modernización del Estado y en apoyo y fortalecimiento al proceso de descentralización, lo cual a su vez permitirá contribuir al fortalecimiento de la democracia, considerada como un espacio idóneo para la satisfacción de las necesidades e intereses de las personas y la eficaz garantía de sus derechos.</w:t>
      </w:r>
    </w:p>
    <w:p w:rsidR="006312E8" w:rsidRPr="006312E8" w:rsidRDefault="006312E8" w:rsidP="006312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overflowPunct w:val="0"/>
        <w:autoSpaceDE w:val="0"/>
        <w:autoSpaceDN w:val="0"/>
        <w:adjustRightInd w:val="0"/>
        <w:spacing w:after="0" w:line="240" w:lineRule="auto"/>
        <w:jc w:val="both"/>
        <w:textAlignment w:val="baseline"/>
        <w:rPr>
          <w:rFonts w:ascii="Arial" w:eastAsia="SimSun" w:hAnsi="Arial" w:cs="Arial"/>
          <w:highlight w:val="white"/>
          <w:lang w:val="es-ES" w:eastAsia="es-ES"/>
        </w:rPr>
      </w:pPr>
    </w:p>
    <w:p w:rsidR="006312E8" w:rsidRPr="006312E8" w:rsidRDefault="006312E8" w:rsidP="006312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overflowPunct w:val="0"/>
        <w:autoSpaceDE w:val="0"/>
        <w:autoSpaceDN w:val="0"/>
        <w:adjustRightInd w:val="0"/>
        <w:spacing w:after="0" w:line="240" w:lineRule="auto"/>
        <w:jc w:val="both"/>
        <w:textAlignment w:val="baseline"/>
        <w:rPr>
          <w:rFonts w:ascii="Arial" w:eastAsia="SimSun" w:hAnsi="Arial" w:cs="Arial"/>
          <w:highlight w:val="white"/>
          <w:lang w:val="es-ES" w:eastAsia="es-ES"/>
        </w:rPr>
      </w:pPr>
    </w:p>
    <w:p w:rsidR="006312E8" w:rsidRPr="006312E8" w:rsidRDefault="006312E8" w:rsidP="006312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overflowPunct w:val="0"/>
        <w:autoSpaceDE w:val="0"/>
        <w:autoSpaceDN w:val="0"/>
        <w:adjustRightInd w:val="0"/>
        <w:spacing w:after="0" w:line="240" w:lineRule="auto"/>
        <w:jc w:val="center"/>
        <w:textAlignment w:val="baseline"/>
        <w:rPr>
          <w:rFonts w:ascii="Arial" w:eastAsia="SimSun" w:hAnsi="Arial" w:cs="Arial"/>
          <w:b/>
          <w:highlight w:val="white"/>
          <w:lang w:val="es-ES" w:eastAsia="es-ES"/>
        </w:rPr>
      </w:pPr>
    </w:p>
    <w:p w:rsidR="006312E8" w:rsidRDefault="006312E8" w:rsidP="006312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overflowPunct w:val="0"/>
        <w:autoSpaceDE w:val="0"/>
        <w:autoSpaceDN w:val="0"/>
        <w:adjustRightInd w:val="0"/>
        <w:spacing w:after="0" w:line="240" w:lineRule="auto"/>
        <w:jc w:val="center"/>
        <w:textAlignment w:val="baseline"/>
        <w:rPr>
          <w:rFonts w:ascii="Arial" w:eastAsia="SimSun" w:hAnsi="Arial" w:cs="Arial"/>
          <w:b/>
          <w:highlight w:val="white"/>
          <w:lang w:val="es-ES" w:eastAsia="es-ES"/>
        </w:rPr>
      </w:pPr>
    </w:p>
    <w:p w:rsidR="006312E8" w:rsidRDefault="006312E8" w:rsidP="006312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overflowPunct w:val="0"/>
        <w:autoSpaceDE w:val="0"/>
        <w:autoSpaceDN w:val="0"/>
        <w:adjustRightInd w:val="0"/>
        <w:spacing w:after="0" w:line="240" w:lineRule="auto"/>
        <w:jc w:val="center"/>
        <w:textAlignment w:val="baseline"/>
        <w:rPr>
          <w:rFonts w:ascii="Arial" w:eastAsia="SimSun" w:hAnsi="Arial" w:cs="Arial"/>
          <w:b/>
          <w:highlight w:val="white"/>
          <w:lang w:val="es-ES" w:eastAsia="es-ES"/>
        </w:rPr>
      </w:pPr>
    </w:p>
    <w:p w:rsidR="006312E8" w:rsidRPr="006312E8" w:rsidRDefault="006312E8" w:rsidP="006312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overflowPunct w:val="0"/>
        <w:autoSpaceDE w:val="0"/>
        <w:autoSpaceDN w:val="0"/>
        <w:adjustRightInd w:val="0"/>
        <w:spacing w:after="0" w:line="240" w:lineRule="auto"/>
        <w:jc w:val="center"/>
        <w:textAlignment w:val="baseline"/>
        <w:rPr>
          <w:rFonts w:ascii="Arial" w:eastAsia="SimSun" w:hAnsi="Arial" w:cs="Arial"/>
          <w:b/>
          <w:highlight w:val="white"/>
          <w:lang w:val="es-ES" w:eastAsia="es-ES"/>
        </w:rPr>
      </w:pPr>
    </w:p>
    <w:p w:rsidR="006312E8" w:rsidRPr="006312E8" w:rsidRDefault="00437681" w:rsidP="006312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overflowPunct w:val="0"/>
        <w:autoSpaceDE w:val="0"/>
        <w:autoSpaceDN w:val="0"/>
        <w:adjustRightInd w:val="0"/>
        <w:spacing w:after="0" w:line="240" w:lineRule="auto"/>
        <w:jc w:val="center"/>
        <w:textAlignment w:val="baseline"/>
        <w:rPr>
          <w:rFonts w:ascii="Arial" w:eastAsia="SimSun" w:hAnsi="Arial" w:cs="Arial"/>
          <w:b/>
          <w:sz w:val="24"/>
          <w:szCs w:val="24"/>
          <w:highlight w:val="white"/>
          <w:lang w:val="es-ES" w:eastAsia="es-ES"/>
        </w:rPr>
      </w:pPr>
      <w:r>
        <w:rPr>
          <w:rFonts w:ascii="Arial" w:eastAsia="SimSun" w:hAnsi="Arial" w:cs="Arial"/>
          <w:b/>
          <w:sz w:val="24"/>
          <w:szCs w:val="24"/>
          <w:highlight w:val="white"/>
          <w:lang w:val="es-ES" w:eastAsia="es-ES"/>
        </w:rPr>
        <w:t>Dr. JOSE LUIS PAIRAZAMAN TORRES</w:t>
      </w:r>
    </w:p>
    <w:p w:rsidR="006312E8" w:rsidRDefault="006312E8" w:rsidP="006312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overflowPunct w:val="0"/>
        <w:autoSpaceDE w:val="0"/>
        <w:autoSpaceDN w:val="0"/>
        <w:adjustRightInd w:val="0"/>
        <w:spacing w:after="0" w:line="240" w:lineRule="auto"/>
        <w:jc w:val="center"/>
        <w:textAlignment w:val="baseline"/>
        <w:rPr>
          <w:rFonts w:ascii="Arial" w:eastAsia="SimSun" w:hAnsi="Arial" w:cs="Arial"/>
          <w:b/>
          <w:sz w:val="16"/>
          <w:szCs w:val="16"/>
          <w:highlight w:val="white"/>
          <w:lang w:val="es-ES" w:eastAsia="es-ES"/>
        </w:rPr>
      </w:pPr>
      <w:r w:rsidRPr="006312E8">
        <w:rPr>
          <w:rFonts w:ascii="Arial" w:eastAsia="SimSun" w:hAnsi="Arial" w:cs="Arial"/>
          <w:b/>
          <w:sz w:val="16"/>
          <w:szCs w:val="16"/>
          <w:highlight w:val="white"/>
          <w:lang w:val="es-ES" w:eastAsia="es-ES"/>
        </w:rPr>
        <w:t xml:space="preserve">SUPERINTENDENTE </w:t>
      </w:r>
    </w:p>
    <w:p w:rsidR="006312E8" w:rsidRPr="006312E8" w:rsidRDefault="006312E8" w:rsidP="006312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overflowPunct w:val="0"/>
        <w:autoSpaceDE w:val="0"/>
        <w:autoSpaceDN w:val="0"/>
        <w:adjustRightInd w:val="0"/>
        <w:spacing w:after="0" w:line="240" w:lineRule="auto"/>
        <w:jc w:val="center"/>
        <w:textAlignment w:val="baseline"/>
        <w:rPr>
          <w:rFonts w:ascii="Arial" w:eastAsia="SimSun" w:hAnsi="Arial" w:cs="Arial"/>
          <w:b/>
          <w:sz w:val="16"/>
          <w:szCs w:val="16"/>
          <w:highlight w:val="white"/>
          <w:lang w:val="es-ES" w:eastAsia="es-ES"/>
        </w:rPr>
      </w:pPr>
      <w:r>
        <w:rPr>
          <w:rFonts w:ascii="Arial" w:eastAsia="SimSun" w:hAnsi="Arial" w:cs="Arial"/>
          <w:b/>
          <w:sz w:val="16"/>
          <w:szCs w:val="16"/>
          <w:highlight w:val="white"/>
          <w:lang w:val="es-ES" w:eastAsia="es-ES"/>
        </w:rPr>
        <w:t>SUPERINTENDENCIA NACIONAL DE BIENES ESTATALES</w:t>
      </w:r>
    </w:p>
    <w:p w:rsidR="006312E8" w:rsidRPr="006312E8" w:rsidRDefault="006312E8" w:rsidP="006312E8">
      <w:pPr>
        <w:spacing w:after="200" w:line="276" w:lineRule="auto"/>
        <w:rPr>
          <w:rFonts w:ascii="Arial" w:eastAsia="Calibri" w:hAnsi="Arial" w:cs="Arial"/>
          <w:b/>
          <w:sz w:val="20"/>
          <w:szCs w:val="20"/>
        </w:rPr>
      </w:pPr>
      <w:r w:rsidRPr="006312E8">
        <w:rPr>
          <w:rFonts w:ascii="Arial" w:eastAsia="Calibri" w:hAnsi="Arial" w:cs="Arial"/>
          <w:b/>
          <w:sz w:val="20"/>
          <w:szCs w:val="20"/>
        </w:rPr>
        <w:br w:type="page"/>
      </w:r>
    </w:p>
    <w:p w:rsidR="006312E8" w:rsidRPr="006312E8" w:rsidRDefault="006312E8" w:rsidP="006312E8">
      <w:pPr>
        <w:spacing w:after="0" w:line="240" w:lineRule="auto"/>
        <w:jc w:val="center"/>
        <w:rPr>
          <w:rFonts w:ascii="Arial" w:eastAsia="Calibri" w:hAnsi="Arial" w:cs="Arial"/>
          <w:b/>
          <w:sz w:val="28"/>
          <w:szCs w:val="28"/>
          <w:lang w:val="es-ES"/>
        </w:rPr>
      </w:pPr>
      <w:r w:rsidRPr="006312E8">
        <w:rPr>
          <w:rFonts w:ascii="Arial" w:eastAsia="Calibri" w:hAnsi="Arial" w:cs="Arial"/>
          <w:b/>
          <w:sz w:val="28"/>
          <w:szCs w:val="28"/>
          <w:lang w:val="es-ES"/>
        </w:rPr>
        <w:t>INDICE</w:t>
      </w:r>
    </w:p>
    <w:p w:rsidR="006312E8" w:rsidRPr="001F767D" w:rsidRDefault="006312E8" w:rsidP="006312E8">
      <w:pPr>
        <w:spacing w:after="0" w:line="240" w:lineRule="auto"/>
        <w:jc w:val="center"/>
        <w:rPr>
          <w:rFonts w:ascii="Arial" w:eastAsia="Calibri" w:hAnsi="Arial" w:cs="Arial"/>
          <w:b/>
          <w:lang w:val="es-ES"/>
        </w:rPr>
      </w:pPr>
    </w:p>
    <w:p w:rsidR="00B71B75" w:rsidRPr="002514D7" w:rsidRDefault="00B71B75" w:rsidP="00B71B75">
      <w:pPr>
        <w:pStyle w:val="TDC1"/>
        <w:rPr>
          <w:rFonts w:eastAsiaTheme="minorEastAsia"/>
          <w:sz w:val="20"/>
          <w:szCs w:val="20"/>
          <w:lang w:eastAsia="es-PE"/>
        </w:rPr>
      </w:pPr>
      <w:r w:rsidRPr="002514D7">
        <w:rPr>
          <w:sz w:val="20"/>
          <w:szCs w:val="20"/>
        </w:rPr>
        <w:t>LEY DEL SISTEMA NACIONAL DE BIENES ESTATALES</w:t>
      </w:r>
      <w:r w:rsidR="00D738A5" w:rsidRPr="002514D7">
        <w:rPr>
          <w:sz w:val="20"/>
          <w:szCs w:val="20"/>
        </w:rPr>
        <w:fldChar w:fldCharType="begin"/>
      </w:r>
      <w:r w:rsidR="00D738A5" w:rsidRPr="002514D7">
        <w:rPr>
          <w:sz w:val="20"/>
          <w:szCs w:val="20"/>
        </w:rPr>
        <w:instrText xml:space="preserve"> TOC \h \z \t "TITO2,2,TITO 1,1" </w:instrText>
      </w:r>
      <w:r w:rsidR="00D738A5" w:rsidRPr="002514D7">
        <w:rPr>
          <w:sz w:val="20"/>
          <w:szCs w:val="20"/>
        </w:rPr>
        <w:fldChar w:fldCharType="separate"/>
      </w:r>
      <w:hyperlink w:anchor="_Toc470855508" w:history="1">
        <w:r w:rsidR="00430919" w:rsidRPr="00430919">
          <w:rPr>
            <w:rStyle w:val="Hipervnculo"/>
            <w:rFonts w:asciiTheme="minorHAnsi" w:eastAsiaTheme="minorHAnsi" w:hAnsiTheme="minorHAnsi" w:cstheme="minorBidi"/>
            <w:b w:val="0"/>
            <w:noProof w:val="0"/>
            <w:sz w:val="22"/>
            <w:szCs w:val="22"/>
            <w:lang w:val="es-PE"/>
          </w:rPr>
          <w:t>_Toc470855508</w:t>
        </w:r>
      </w:hyperlink>
    </w:p>
    <w:p w:rsidR="00B71B75" w:rsidRPr="002514D7" w:rsidRDefault="000A5EA6" w:rsidP="004515A7">
      <w:pPr>
        <w:pStyle w:val="TDC2"/>
        <w:rPr>
          <w:rFonts w:eastAsiaTheme="minorEastAsia"/>
          <w:sz w:val="20"/>
          <w:szCs w:val="20"/>
          <w:lang w:eastAsia="es-PE"/>
        </w:rPr>
      </w:pPr>
      <w:hyperlink w:anchor="_Toc470855509" w:history="1">
        <w:r w:rsidR="00B71B75" w:rsidRPr="002514D7">
          <w:rPr>
            <w:rStyle w:val="Hipervnculo"/>
            <w:sz w:val="20"/>
            <w:szCs w:val="20"/>
          </w:rPr>
          <w:t>LEY Nº 29151 - Ley General del Sistema Nacional de Bienes Estatales</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_Toc470855509 \h </w:instrText>
        </w:r>
        <w:r w:rsidR="00B71B75" w:rsidRPr="002514D7">
          <w:rPr>
            <w:webHidden/>
            <w:sz w:val="20"/>
            <w:szCs w:val="20"/>
          </w:rPr>
        </w:r>
        <w:r w:rsidR="00B71B75" w:rsidRPr="002514D7">
          <w:rPr>
            <w:webHidden/>
            <w:sz w:val="20"/>
            <w:szCs w:val="20"/>
          </w:rPr>
          <w:fldChar w:fldCharType="separate"/>
        </w:r>
        <w:r w:rsidR="00430919">
          <w:rPr>
            <w:webHidden/>
            <w:sz w:val="20"/>
            <w:szCs w:val="20"/>
          </w:rPr>
          <w:t>7</w:t>
        </w:r>
        <w:r w:rsidR="00B71B75" w:rsidRPr="002514D7">
          <w:rPr>
            <w:webHidden/>
            <w:sz w:val="20"/>
            <w:szCs w:val="20"/>
          </w:rPr>
          <w:fldChar w:fldCharType="end"/>
        </w:r>
      </w:hyperlink>
    </w:p>
    <w:p w:rsidR="00B71B75" w:rsidRPr="002514D7" w:rsidRDefault="00B71B75" w:rsidP="00B71B75">
      <w:pPr>
        <w:pStyle w:val="TDC1"/>
        <w:rPr>
          <w:rStyle w:val="Hipervnculo"/>
          <w:sz w:val="20"/>
          <w:szCs w:val="20"/>
        </w:rPr>
      </w:pPr>
    </w:p>
    <w:p w:rsidR="00B71B75" w:rsidRPr="002514D7" w:rsidRDefault="000A5EA6" w:rsidP="00B71B75">
      <w:pPr>
        <w:pStyle w:val="TDC1"/>
        <w:rPr>
          <w:rFonts w:eastAsiaTheme="minorEastAsia"/>
          <w:sz w:val="20"/>
          <w:szCs w:val="20"/>
          <w:lang w:eastAsia="es-PE"/>
        </w:rPr>
      </w:pPr>
      <w:hyperlink w:anchor="_Toc470855510" w:history="1">
        <w:r w:rsidR="00B71B75" w:rsidRPr="002514D7">
          <w:rPr>
            <w:rStyle w:val="Hipervnculo"/>
            <w:sz w:val="20"/>
            <w:szCs w:val="20"/>
          </w:rPr>
          <w:t>REGLAMENTO DE LA LEY GENERAL DEL SISTEMA NACIONAL DE BIENES ESTATALES</w:t>
        </w:r>
      </w:hyperlink>
    </w:p>
    <w:p w:rsidR="00B71B75" w:rsidRPr="002514D7" w:rsidRDefault="000A5EA6" w:rsidP="004515A7">
      <w:pPr>
        <w:pStyle w:val="TDC2"/>
        <w:rPr>
          <w:rFonts w:eastAsiaTheme="minorEastAsia"/>
          <w:sz w:val="20"/>
          <w:szCs w:val="20"/>
          <w:lang w:eastAsia="es-PE"/>
        </w:rPr>
      </w:pPr>
      <w:hyperlink w:anchor="_Toc470855511" w:history="1">
        <w:r w:rsidR="00B71B75" w:rsidRPr="002514D7">
          <w:rPr>
            <w:rStyle w:val="Hipervnculo"/>
            <w:sz w:val="20"/>
            <w:szCs w:val="20"/>
          </w:rPr>
          <w:t>DECRETO SUPREMO Nº 007-2008-VIVIENDA</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_Toc470855511 \h </w:instrText>
        </w:r>
        <w:r w:rsidR="00B71B75" w:rsidRPr="002514D7">
          <w:rPr>
            <w:webHidden/>
            <w:sz w:val="20"/>
            <w:szCs w:val="20"/>
          </w:rPr>
        </w:r>
        <w:r w:rsidR="00B71B75" w:rsidRPr="002514D7">
          <w:rPr>
            <w:webHidden/>
            <w:sz w:val="20"/>
            <w:szCs w:val="20"/>
          </w:rPr>
          <w:fldChar w:fldCharType="separate"/>
        </w:r>
        <w:r w:rsidR="00430919">
          <w:rPr>
            <w:webHidden/>
            <w:sz w:val="20"/>
            <w:szCs w:val="20"/>
          </w:rPr>
          <w:t>20</w:t>
        </w:r>
        <w:r w:rsidR="00B71B75" w:rsidRPr="002514D7">
          <w:rPr>
            <w:webHidden/>
            <w:sz w:val="20"/>
            <w:szCs w:val="20"/>
          </w:rPr>
          <w:fldChar w:fldCharType="end"/>
        </w:r>
      </w:hyperlink>
    </w:p>
    <w:p w:rsidR="00B71B75" w:rsidRPr="002514D7" w:rsidRDefault="00B71B75" w:rsidP="00B71B75">
      <w:pPr>
        <w:pStyle w:val="TDC1"/>
        <w:rPr>
          <w:rStyle w:val="Hipervnculo"/>
          <w:sz w:val="20"/>
          <w:szCs w:val="20"/>
        </w:rPr>
      </w:pPr>
    </w:p>
    <w:p w:rsidR="00B71B75" w:rsidRPr="002514D7" w:rsidRDefault="000A5EA6" w:rsidP="00B71B75">
      <w:pPr>
        <w:pStyle w:val="TDC1"/>
        <w:rPr>
          <w:rFonts w:eastAsiaTheme="minorEastAsia"/>
          <w:sz w:val="20"/>
          <w:szCs w:val="20"/>
          <w:lang w:eastAsia="es-PE"/>
        </w:rPr>
      </w:pPr>
      <w:hyperlink w:anchor="_Toc470855512" w:history="1">
        <w:r w:rsidR="00B71B75" w:rsidRPr="002514D7">
          <w:rPr>
            <w:rStyle w:val="Hipervnculo"/>
            <w:sz w:val="20"/>
            <w:szCs w:val="20"/>
          </w:rPr>
          <w:t>NORMAS COMPLEMENTARIAS</w:t>
        </w:r>
      </w:hyperlink>
      <w:r w:rsidR="00B71B75" w:rsidRPr="002514D7">
        <w:rPr>
          <w:rStyle w:val="Hipervnculo"/>
          <w:sz w:val="20"/>
          <w:szCs w:val="20"/>
        </w:rPr>
        <w:t xml:space="preserve"> </w:t>
      </w:r>
      <w:hyperlink w:anchor="_Toc470855513" w:history="1">
        <w:r w:rsidR="00B71B75" w:rsidRPr="002514D7">
          <w:rPr>
            <w:rStyle w:val="Hipervnculo"/>
            <w:sz w:val="20"/>
            <w:szCs w:val="20"/>
          </w:rPr>
          <w:t>DEL SNBE</w:t>
        </w:r>
      </w:hyperlink>
    </w:p>
    <w:p w:rsidR="00B71B75" w:rsidRPr="002514D7" w:rsidRDefault="000A5EA6" w:rsidP="004515A7">
      <w:pPr>
        <w:pStyle w:val="TDC2"/>
        <w:rPr>
          <w:rFonts w:eastAsiaTheme="minorEastAsia"/>
          <w:sz w:val="20"/>
          <w:szCs w:val="20"/>
          <w:lang w:eastAsia="es-PE"/>
        </w:rPr>
      </w:pPr>
      <w:hyperlink w:anchor="_Toc470855514" w:history="1">
        <w:r w:rsidR="00B71B75" w:rsidRPr="002514D7">
          <w:rPr>
            <w:rStyle w:val="Hipervnculo"/>
            <w:sz w:val="20"/>
            <w:szCs w:val="20"/>
          </w:rPr>
          <w:t>LEY Nº 29588 - Complementa facultades de la SBN (modificada por la Ley N° 29928)</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_Toc470855514 \h </w:instrText>
        </w:r>
        <w:r w:rsidR="00B71B75" w:rsidRPr="002514D7">
          <w:rPr>
            <w:webHidden/>
            <w:sz w:val="20"/>
            <w:szCs w:val="20"/>
          </w:rPr>
        </w:r>
        <w:r w:rsidR="00B71B75" w:rsidRPr="002514D7">
          <w:rPr>
            <w:webHidden/>
            <w:sz w:val="20"/>
            <w:szCs w:val="20"/>
          </w:rPr>
          <w:fldChar w:fldCharType="separate"/>
        </w:r>
        <w:r w:rsidR="00430919">
          <w:rPr>
            <w:webHidden/>
            <w:sz w:val="20"/>
            <w:szCs w:val="20"/>
          </w:rPr>
          <w:t>65</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15" w:history="1">
        <w:r w:rsidR="00B71B75" w:rsidRPr="002514D7">
          <w:rPr>
            <w:rStyle w:val="Hipervnculo"/>
            <w:sz w:val="20"/>
            <w:szCs w:val="20"/>
          </w:rPr>
          <w:t xml:space="preserve">LEY Nº 29618 – Imprescriptibilidad de los predios de dominio privado del Estado </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_Toc470855515 \h </w:instrText>
        </w:r>
        <w:r w:rsidR="00B71B75" w:rsidRPr="002514D7">
          <w:rPr>
            <w:webHidden/>
            <w:sz w:val="20"/>
            <w:szCs w:val="20"/>
          </w:rPr>
        </w:r>
        <w:r w:rsidR="00B71B75" w:rsidRPr="002514D7">
          <w:rPr>
            <w:webHidden/>
            <w:sz w:val="20"/>
            <w:szCs w:val="20"/>
          </w:rPr>
          <w:fldChar w:fldCharType="separate"/>
        </w:r>
        <w:r w:rsidR="00430919">
          <w:rPr>
            <w:webHidden/>
            <w:sz w:val="20"/>
            <w:szCs w:val="20"/>
          </w:rPr>
          <w:t>68</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16" w:history="1">
        <w:r w:rsidR="00B71B75" w:rsidRPr="002514D7">
          <w:rPr>
            <w:rStyle w:val="Hipervnculo"/>
            <w:sz w:val="20"/>
            <w:szCs w:val="20"/>
          </w:rPr>
          <w:t>LEY Nº 30047 – Ley que modifica la Ley N° 29151</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_Toc470855516 \h </w:instrText>
        </w:r>
        <w:r w:rsidR="00B71B75" w:rsidRPr="002514D7">
          <w:rPr>
            <w:webHidden/>
            <w:sz w:val="20"/>
            <w:szCs w:val="20"/>
          </w:rPr>
        </w:r>
        <w:r w:rsidR="00B71B75" w:rsidRPr="002514D7">
          <w:rPr>
            <w:webHidden/>
            <w:sz w:val="20"/>
            <w:szCs w:val="20"/>
          </w:rPr>
          <w:fldChar w:fldCharType="separate"/>
        </w:r>
        <w:r w:rsidR="00430919">
          <w:rPr>
            <w:webHidden/>
            <w:sz w:val="20"/>
            <w:szCs w:val="20"/>
          </w:rPr>
          <w:t>70</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17" w:history="1">
        <w:r w:rsidR="00B71B75" w:rsidRPr="002514D7">
          <w:rPr>
            <w:rStyle w:val="Hipervnculo"/>
            <w:sz w:val="20"/>
            <w:szCs w:val="20"/>
          </w:rPr>
          <w:t>LEY Nº 30076</w:t>
        </w:r>
        <w:r w:rsidR="004515A7" w:rsidRPr="002514D7">
          <w:rPr>
            <w:rStyle w:val="Hipervnculo"/>
            <w:sz w:val="20"/>
            <w:szCs w:val="20"/>
          </w:rPr>
          <w:t xml:space="preserve"> – Ley que modifica el Código Penal</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_Toc470855517 \h </w:instrText>
        </w:r>
        <w:r w:rsidR="00B71B75" w:rsidRPr="002514D7">
          <w:rPr>
            <w:webHidden/>
            <w:sz w:val="20"/>
            <w:szCs w:val="20"/>
          </w:rPr>
        </w:r>
        <w:r w:rsidR="00B71B75" w:rsidRPr="002514D7">
          <w:rPr>
            <w:webHidden/>
            <w:sz w:val="20"/>
            <w:szCs w:val="20"/>
          </w:rPr>
          <w:fldChar w:fldCharType="separate"/>
        </w:r>
        <w:r w:rsidR="00430919">
          <w:rPr>
            <w:webHidden/>
            <w:sz w:val="20"/>
            <w:szCs w:val="20"/>
          </w:rPr>
          <w:t>72</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18" w:history="1">
        <w:r w:rsidR="00B71B75" w:rsidRPr="002514D7">
          <w:rPr>
            <w:rStyle w:val="Hipervnculo"/>
            <w:sz w:val="20"/>
            <w:szCs w:val="20"/>
          </w:rPr>
          <w:t>LEY Nº 30230</w:t>
        </w:r>
        <w:r w:rsidR="004515A7" w:rsidRPr="002514D7">
          <w:rPr>
            <w:rStyle w:val="Hipervnculo"/>
            <w:sz w:val="20"/>
            <w:szCs w:val="20"/>
          </w:rPr>
          <w:t xml:space="preserve"> – (extracto) Ley de Saneamiento y recuperación extrajudicial de predios estatales</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_Toc470855518 \h </w:instrText>
        </w:r>
        <w:r w:rsidR="00B71B75" w:rsidRPr="002514D7">
          <w:rPr>
            <w:webHidden/>
            <w:sz w:val="20"/>
            <w:szCs w:val="20"/>
          </w:rPr>
        </w:r>
        <w:r w:rsidR="00B71B75" w:rsidRPr="002514D7">
          <w:rPr>
            <w:webHidden/>
            <w:sz w:val="20"/>
            <w:szCs w:val="20"/>
          </w:rPr>
          <w:fldChar w:fldCharType="separate"/>
        </w:r>
        <w:r w:rsidR="00430919">
          <w:rPr>
            <w:webHidden/>
            <w:sz w:val="20"/>
            <w:szCs w:val="20"/>
          </w:rPr>
          <w:t>75</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19" w:history="1">
        <w:r w:rsidR="00B71B75" w:rsidRPr="002514D7">
          <w:rPr>
            <w:rStyle w:val="Hipervnculo"/>
            <w:sz w:val="20"/>
            <w:szCs w:val="20"/>
          </w:rPr>
          <w:t>DECRETO SUPREMO N° 019-2015-VIVIENDA</w:t>
        </w:r>
        <w:r w:rsidR="004515A7" w:rsidRPr="002514D7">
          <w:rPr>
            <w:rStyle w:val="Hipervnculo"/>
            <w:sz w:val="20"/>
            <w:szCs w:val="20"/>
          </w:rPr>
          <w:t xml:space="preserve"> – (extracto) Reglamento de la Ley N° 30230</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_Toc470855519 \h </w:instrText>
        </w:r>
        <w:r w:rsidR="00B71B75" w:rsidRPr="002514D7">
          <w:rPr>
            <w:webHidden/>
            <w:sz w:val="20"/>
            <w:szCs w:val="20"/>
          </w:rPr>
        </w:r>
        <w:r w:rsidR="00B71B75" w:rsidRPr="002514D7">
          <w:rPr>
            <w:webHidden/>
            <w:sz w:val="20"/>
            <w:szCs w:val="20"/>
          </w:rPr>
          <w:fldChar w:fldCharType="separate"/>
        </w:r>
        <w:r w:rsidR="00430919">
          <w:rPr>
            <w:webHidden/>
            <w:sz w:val="20"/>
            <w:szCs w:val="20"/>
          </w:rPr>
          <w:t>80</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21" w:history="1">
        <w:r w:rsidR="00B71B75" w:rsidRPr="002514D7">
          <w:rPr>
            <w:rStyle w:val="Hipervnculo"/>
            <w:sz w:val="20"/>
            <w:szCs w:val="20"/>
          </w:rPr>
          <w:t>DECRETO LEGISLATIVO  N° 1187</w:t>
        </w:r>
        <w:r w:rsidR="004515A7" w:rsidRPr="002514D7">
          <w:rPr>
            <w:rStyle w:val="Hipervnculo"/>
            <w:sz w:val="20"/>
            <w:szCs w:val="20"/>
          </w:rPr>
          <w:t xml:space="preserve"> – Modifica el Código Penal</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_Toc470855521 \h </w:instrText>
        </w:r>
        <w:r w:rsidR="00B71B75" w:rsidRPr="002514D7">
          <w:rPr>
            <w:webHidden/>
            <w:sz w:val="20"/>
            <w:szCs w:val="20"/>
          </w:rPr>
        </w:r>
        <w:r w:rsidR="00B71B75" w:rsidRPr="002514D7">
          <w:rPr>
            <w:webHidden/>
            <w:sz w:val="20"/>
            <w:szCs w:val="20"/>
          </w:rPr>
          <w:fldChar w:fldCharType="separate"/>
        </w:r>
        <w:r w:rsidR="00430919">
          <w:rPr>
            <w:webHidden/>
            <w:sz w:val="20"/>
            <w:szCs w:val="20"/>
          </w:rPr>
          <w:t>92</w:t>
        </w:r>
        <w:r w:rsidR="00B71B75" w:rsidRPr="002514D7">
          <w:rPr>
            <w:webHidden/>
            <w:sz w:val="20"/>
            <w:szCs w:val="20"/>
          </w:rPr>
          <w:fldChar w:fldCharType="end"/>
        </w:r>
      </w:hyperlink>
    </w:p>
    <w:p w:rsidR="00B71B75" w:rsidRPr="002514D7" w:rsidRDefault="00B71B75" w:rsidP="00B71B75">
      <w:pPr>
        <w:pStyle w:val="TDC1"/>
        <w:rPr>
          <w:rStyle w:val="Hipervnculo"/>
          <w:sz w:val="20"/>
          <w:szCs w:val="20"/>
        </w:rPr>
      </w:pPr>
    </w:p>
    <w:p w:rsidR="00B71B75" w:rsidRPr="002514D7" w:rsidRDefault="000A5EA6" w:rsidP="00B71B75">
      <w:pPr>
        <w:pStyle w:val="TDC1"/>
        <w:rPr>
          <w:rFonts w:eastAsiaTheme="minorEastAsia"/>
          <w:sz w:val="20"/>
          <w:szCs w:val="20"/>
          <w:lang w:eastAsia="es-PE"/>
        </w:rPr>
      </w:pPr>
      <w:hyperlink w:anchor="_Toc470855522" w:history="1">
        <w:r w:rsidR="00B71B75" w:rsidRPr="002514D7">
          <w:rPr>
            <w:rStyle w:val="Hipervnculo"/>
            <w:sz w:val="20"/>
            <w:szCs w:val="20"/>
          </w:rPr>
          <w:t>DIRECTIVAS EMITIDAS POR LA SBN EN CAPACITACION Y CERTIFICACIÓN</w:t>
        </w:r>
      </w:hyperlink>
    </w:p>
    <w:p w:rsidR="00B71B75" w:rsidRPr="002514D7" w:rsidRDefault="000A5EA6" w:rsidP="004515A7">
      <w:pPr>
        <w:pStyle w:val="TDC2"/>
        <w:rPr>
          <w:rFonts w:eastAsiaTheme="minorEastAsia"/>
          <w:sz w:val="20"/>
          <w:szCs w:val="20"/>
          <w:lang w:eastAsia="es-PE"/>
        </w:rPr>
      </w:pPr>
      <w:hyperlink w:anchor="_Toc470855523" w:history="1">
        <w:r w:rsidR="00B71B75" w:rsidRPr="002514D7">
          <w:rPr>
            <w:rStyle w:val="Hipervnculo"/>
            <w:sz w:val="20"/>
            <w:szCs w:val="20"/>
          </w:rPr>
          <w:t>DIRECTIVA Nº 003-2015/SBN</w:t>
        </w:r>
        <w:r w:rsidR="004515A7" w:rsidRPr="002514D7">
          <w:rPr>
            <w:rStyle w:val="Hipervnculo"/>
            <w:sz w:val="20"/>
            <w:szCs w:val="20"/>
          </w:rPr>
          <w:t xml:space="preserve"> – Capacitación y certificación de profesionales del SNBE</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_Toc470855523 \h </w:instrText>
        </w:r>
        <w:r w:rsidR="00B71B75" w:rsidRPr="002514D7">
          <w:rPr>
            <w:webHidden/>
            <w:sz w:val="20"/>
            <w:szCs w:val="20"/>
          </w:rPr>
        </w:r>
        <w:r w:rsidR="00B71B75" w:rsidRPr="002514D7">
          <w:rPr>
            <w:webHidden/>
            <w:sz w:val="20"/>
            <w:szCs w:val="20"/>
          </w:rPr>
          <w:fldChar w:fldCharType="separate"/>
        </w:r>
        <w:r w:rsidR="00430919">
          <w:rPr>
            <w:webHidden/>
            <w:sz w:val="20"/>
            <w:szCs w:val="20"/>
          </w:rPr>
          <w:t>95</w:t>
        </w:r>
        <w:r w:rsidR="00B71B75" w:rsidRPr="002514D7">
          <w:rPr>
            <w:webHidden/>
            <w:sz w:val="20"/>
            <w:szCs w:val="20"/>
          </w:rPr>
          <w:fldChar w:fldCharType="end"/>
        </w:r>
      </w:hyperlink>
    </w:p>
    <w:p w:rsidR="00B71B75" w:rsidRPr="002514D7" w:rsidRDefault="00B71B75" w:rsidP="00523154">
      <w:pPr>
        <w:pStyle w:val="TDC1"/>
        <w:ind w:left="284"/>
        <w:rPr>
          <w:rStyle w:val="Hipervnculo"/>
          <w:b w:val="0"/>
          <w:color w:val="000000" w:themeColor="text1"/>
          <w:sz w:val="20"/>
          <w:szCs w:val="20"/>
          <w:u w:val="none"/>
        </w:rPr>
      </w:pPr>
    </w:p>
    <w:p w:rsidR="00B71B75" w:rsidRPr="002514D7" w:rsidRDefault="000A5EA6" w:rsidP="00B71B75">
      <w:pPr>
        <w:pStyle w:val="TDC1"/>
        <w:rPr>
          <w:rFonts w:eastAsiaTheme="minorEastAsia"/>
          <w:sz w:val="20"/>
          <w:szCs w:val="20"/>
          <w:lang w:eastAsia="es-PE"/>
        </w:rPr>
      </w:pPr>
      <w:hyperlink w:anchor="_Toc470855524" w:history="1">
        <w:r w:rsidR="00B71B75" w:rsidRPr="002514D7">
          <w:rPr>
            <w:rStyle w:val="Hipervnculo"/>
            <w:sz w:val="20"/>
            <w:szCs w:val="20"/>
          </w:rPr>
          <w:t>DIRECTIVAS EMITIDAS POR LA SBN SOBRE BIENES INMUEBLES</w:t>
        </w:r>
      </w:hyperlink>
    </w:p>
    <w:p w:rsidR="00B71B75" w:rsidRPr="002514D7" w:rsidRDefault="000A5EA6" w:rsidP="004515A7">
      <w:pPr>
        <w:pStyle w:val="TDC2"/>
        <w:rPr>
          <w:rFonts w:eastAsiaTheme="minorEastAsia"/>
          <w:sz w:val="20"/>
          <w:szCs w:val="20"/>
          <w:lang w:eastAsia="es-PE"/>
        </w:rPr>
      </w:pPr>
      <w:hyperlink w:anchor="_Toc470855525" w:history="1">
        <w:r w:rsidR="00B71B75" w:rsidRPr="002514D7">
          <w:rPr>
            <w:rStyle w:val="Hipervnculo"/>
            <w:b/>
            <w:sz w:val="20"/>
            <w:szCs w:val="20"/>
          </w:rPr>
          <w:t>FORMATO DE INFORME TÉCNICO LEGAL</w:t>
        </w:r>
      </w:hyperlink>
    </w:p>
    <w:p w:rsidR="00B71B75" w:rsidRPr="002514D7" w:rsidRDefault="000A5EA6" w:rsidP="004515A7">
      <w:pPr>
        <w:pStyle w:val="TDC2"/>
        <w:rPr>
          <w:rFonts w:eastAsiaTheme="minorEastAsia"/>
          <w:sz w:val="20"/>
          <w:szCs w:val="20"/>
          <w:lang w:eastAsia="es-PE"/>
        </w:rPr>
      </w:pPr>
      <w:hyperlink w:anchor="_Toc470855526" w:history="1">
        <w:r w:rsidR="00B71B75" w:rsidRPr="002514D7">
          <w:rPr>
            <w:rStyle w:val="Hipervnculo"/>
            <w:sz w:val="20"/>
            <w:szCs w:val="20"/>
          </w:rPr>
          <w:t>RESOLUCION Nº 040-2013-SBN</w:t>
        </w:r>
        <w:r w:rsidR="004515A7" w:rsidRPr="002514D7">
          <w:rPr>
            <w:rStyle w:val="Hipervnculo"/>
            <w:sz w:val="20"/>
            <w:szCs w:val="20"/>
          </w:rPr>
          <w:t xml:space="preserve"> – Aprueba el Formato de Informe Técnico Legal</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_Toc470855526 \h </w:instrText>
        </w:r>
        <w:r w:rsidR="00B71B75" w:rsidRPr="002514D7">
          <w:rPr>
            <w:webHidden/>
            <w:sz w:val="20"/>
            <w:szCs w:val="20"/>
          </w:rPr>
        </w:r>
        <w:r w:rsidR="00B71B75" w:rsidRPr="002514D7">
          <w:rPr>
            <w:webHidden/>
            <w:sz w:val="20"/>
            <w:szCs w:val="20"/>
          </w:rPr>
          <w:fldChar w:fldCharType="separate"/>
        </w:r>
        <w:r w:rsidR="00430919">
          <w:rPr>
            <w:webHidden/>
            <w:sz w:val="20"/>
            <w:szCs w:val="20"/>
          </w:rPr>
          <w:t>105</w:t>
        </w:r>
        <w:r w:rsidR="00B71B75" w:rsidRPr="002514D7">
          <w:rPr>
            <w:webHidden/>
            <w:sz w:val="20"/>
            <w:szCs w:val="20"/>
          </w:rPr>
          <w:fldChar w:fldCharType="end"/>
        </w:r>
      </w:hyperlink>
    </w:p>
    <w:p w:rsidR="004515A7" w:rsidRPr="002514D7" w:rsidRDefault="004515A7" w:rsidP="004515A7">
      <w:pPr>
        <w:pStyle w:val="TDC2"/>
        <w:rPr>
          <w:rStyle w:val="Hipervnculo"/>
          <w:sz w:val="20"/>
          <w:szCs w:val="20"/>
        </w:rPr>
      </w:pPr>
    </w:p>
    <w:p w:rsidR="00B71B75" w:rsidRPr="002514D7" w:rsidRDefault="000A5EA6" w:rsidP="004515A7">
      <w:pPr>
        <w:pStyle w:val="TDC2"/>
        <w:rPr>
          <w:rFonts w:eastAsiaTheme="minorEastAsia"/>
          <w:sz w:val="20"/>
          <w:szCs w:val="20"/>
          <w:lang w:eastAsia="es-PE"/>
        </w:rPr>
      </w:pPr>
      <w:hyperlink w:anchor="_Toc470855527" w:history="1">
        <w:r w:rsidR="00B71B75" w:rsidRPr="002514D7">
          <w:rPr>
            <w:rStyle w:val="Hipervnculo"/>
            <w:b/>
            <w:sz w:val="20"/>
            <w:szCs w:val="20"/>
          </w:rPr>
          <w:t>REGISTRO Y CATASTRO</w:t>
        </w:r>
      </w:hyperlink>
    </w:p>
    <w:p w:rsidR="00B71B75" w:rsidRPr="002514D7" w:rsidRDefault="000A5EA6" w:rsidP="004515A7">
      <w:pPr>
        <w:pStyle w:val="TDC2"/>
        <w:rPr>
          <w:rFonts w:eastAsiaTheme="minorEastAsia"/>
          <w:sz w:val="20"/>
          <w:szCs w:val="20"/>
          <w:lang w:eastAsia="es-PE"/>
        </w:rPr>
      </w:pPr>
      <w:hyperlink w:anchor="_Toc470855528" w:history="1">
        <w:r w:rsidR="00B71B75" w:rsidRPr="002514D7">
          <w:rPr>
            <w:rStyle w:val="Hipervnculo"/>
            <w:sz w:val="20"/>
            <w:szCs w:val="20"/>
          </w:rPr>
          <w:t>DIRECTIVA Nº 002-2011-SBN</w:t>
        </w:r>
        <w:r w:rsidR="004515A7" w:rsidRPr="002514D7">
          <w:rPr>
            <w:rStyle w:val="Hipervnculo"/>
            <w:sz w:val="20"/>
            <w:szCs w:val="20"/>
          </w:rPr>
          <w:t xml:space="preserve"> – Registro de bienes estatales en el SINABIP</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_Toc470855528 \h </w:instrText>
        </w:r>
        <w:r w:rsidR="00B71B75" w:rsidRPr="002514D7">
          <w:rPr>
            <w:webHidden/>
            <w:sz w:val="20"/>
            <w:szCs w:val="20"/>
          </w:rPr>
        </w:r>
        <w:r w:rsidR="00B71B75" w:rsidRPr="002514D7">
          <w:rPr>
            <w:webHidden/>
            <w:sz w:val="20"/>
            <w:szCs w:val="20"/>
          </w:rPr>
          <w:fldChar w:fldCharType="separate"/>
        </w:r>
        <w:r w:rsidR="00430919">
          <w:rPr>
            <w:webHidden/>
            <w:sz w:val="20"/>
            <w:szCs w:val="20"/>
          </w:rPr>
          <w:t>113</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29" w:history="1">
        <w:r w:rsidR="00B71B75" w:rsidRPr="002514D7">
          <w:rPr>
            <w:rStyle w:val="Hipervnculo"/>
            <w:sz w:val="20"/>
            <w:szCs w:val="20"/>
          </w:rPr>
          <w:t>DIRECTIVA Nº 004-2016/SBN</w:t>
        </w:r>
        <w:r w:rsidR="004515A7" w:rsidRPr="002514D7">
          <w:rPr>
            <w:rStyle w:val="Hipervnculo"/>
            <w:sz w:val="20"/>
            <w:szCs w:val="20"/>
          </w:rPr>
          <w:t xml:space="preserve"> – Lineamientos para la asignación de CUS</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_Toc470855529 \h </w:instrText>
        </w:r>
        <w:r w:rsidR="00B71B75" w:rsidRPr="002514D7">
          <w:rPr>
            <w:webHidden/>
            <w:sz w:val="20"/>
            <w:szCs w:val="20"/>
          </w:rPr>
        </w:r>
        <w:r w:rsidR="00B71B75" w:rsidRPr="002514D7">
          <w:rPr>
            <w:webHidden/>
            <w:sz w:val="20"/>
            <w:szCs w:val="20"/>
          </w:rPr>
          <w:fldChar w:fldCharType="separate"/>
        </w:r>
        <w:r w:rsidR="00430919">
          <w:rPr>
            <w:webHidden/>
            <w:sz w:val="20"/>
            <w:szCs w:val="20"/>
          </w:rPr>
          <w:t>122</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30" w:history="1">
        <w:r w:rsidR="00B71B75" w:rsidRPr="002514D7">
          <w:rPr>
            <w:rStyle w:val="Hipervnculo"/>
            <w:sz w:val="20"/>
            <w:szCs w:val="20"/>
          </w:rPr>
          <w:t>DIRECTIVA Nº 006-2016/SBN</w:t>
        </w:r>
        <w:r w:rsidR="004515A7" w:rsidRPr="002514D7">
          <w:rPr>
            <w:rStyle w:val="Hipervnculo"/>
            <w:sz w:val="20"/>
            <w:szCs w:val="20"/>
          </w:rPr>
          <w:t xml:space="preserve"> – Lineamientos</w:t>
        </w:r>
        <w:r w:rsidR="00523154" w:rsidRPr="002514D7">
          <w:rPr>
            <w:rStyle w:val="Hipervnculo"/>
            <w:sz w:val="20"/>
            <w:szCs w:val="20"/>
          </w:rPr>
          <w:t xml:space="preserve"> para levantamiento catastral inmuebles estatales</w:t>
        </w:r>
        <w:r w:rsidR="004515A7" w:rsidRPr="002514D7">
          <w:rPr>
            <w:rStyle w:val="Hipervnculo"/>
            <w:sz w:val="20"/>
            <w:szCs w:val="20"/>
          </w:rPr>
          <w:t xml:space="preserve"> </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_Toc470855530 \h </w:instrText>
        </w:r>
        <w:r w:rsidR="00B71B75" w:rsidRPr="002514D7">
          <w:rPr>
            <w:webHidden/>
            <w:sz w:val="20"/>
            <w:szCs w:val="20"/>
          </w:rPr>
        </w:r>
        <w:r w:rsidR="00B71B75" w:rsidRPr="002514D7">
          <w:rPr>
            <w:webHidden/>
            <w:sz w:val="20"/>
            <w:szCs w:val="20"/>
          </w:rPr>
          <w:fldChar w:fldCharType="separate"/>
        </w:r>
        <w:r w:rsidR="00430919">
          <w:rPr>
            <w:webHidden/>
            <w:sz w:val="20"/>
            <w:szCs w:val="20"/>
          </w:rPr>
          <w:t>128</w:t>
        </w:r>
        <w:r w:rsidR="00B71B75" w:rsidRPr="002514D7">
          <w:rPr>
            <w:webHidden/>
            <w:sz w:val="20"/>
            <w:szCs w:val="20"/>
          </w:rPr>
          <w:fldChar w:fldCharType="end"/>
        </w:r>
      </w:hyperlink>
    </w:p>
    <w:p w:rsidR="004515A7" w:rsidRPr="002514D7" w:rsidRDefault="004515A7" w:rsidP="004515A7">
      <w:pPr>
        <w:pStyle w:val="TDC2"/>
        <w:rPr>
          <w:rStyle w:val="Hipervnculo"/>
          <w:sz w:val="20"/>
          <w:szCs w:val="20"/>
        </w:rPr>
      </w:pPr>
    </w:p>
    <w:p w:rsidR="00B71B75" w:rsidRPr="002514D7" w:rsidRDefault="000A5EA6" w:rsidP="004515A7">
      <w:pPr>
        <w:pStyle w:val="TDC2"/>
        <w:rPr>
          <w:rFonts w:eastAsiaTheme="minorEastAsia"/>
          <w:sz w:val="20"/>
          <w:szCs w:val="20"/>
          <w:lang w:eastAsia="es-PE"/>
        </w:rPr>
      </w:pPr>
      <w:hyperlink w:anchor="_Toc470855531" w:history="1">
        <w:r w:rsidR="00B71B75" w:rsidRPr="002514D7">
          <w:rPr>
            <w:rStyle w:val="Hipervnculo"/>
            <w:b/>
            <w:sz w:val="20"/>
            <w:szCs w:val="20"/>
          </w:rPr>
          <w:t>ACTOS DE ADQUISICION</w:t>
        </w:r>
      </w:hyperlink>
    </w:p>
    <w:p w:rsidR="00B71B75" w:rsidRPr="002514D7" w:rsidRDefault="000A5EA6" w:rsidP="004515A7">
      <w:pPr>
        <w:pStyle w:val="TDC2"/>
        <w:rPr>
          <w:rFonts w:eastAsiaTheme="minorEastAsia"/>
          <w:sz w:val="20"/>
          <w:szCs w:val="20"/>
          <w:lang w:eastAsia="es-PE"/>
        </w:rPr>
      </w:pPr>
      <w:hyperlink w:anchor="_Toc470855532" w:history="1">
        <w:r w:rsidR="00B71B75" w:rsidRPr="002514D7">
          <w:rPr>
            <w:rStyle w:val="Hipervnculo"/>
            <w:sz w:val="20"/>
            <w:szCs w:val="20"/>
          </w:rPr>
          <w:t>DIRECTIVA Nº 002-2016/SBN</w:t>
        </w:r>
        <w:r w:rsidR="004515A7" w:rsidRPr="002514D7">
          <w:rPr>
            <w:rStyle w:val="Hipervnculo"/>
            <w:sz w:val="20"/>
            <w:szCs w:val="20"/>
          </w:rPr>
          <w:t xml:space="preserve"> – Inscripción en primera de dominio de predios estatales</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_Toc470855532 \h </w:instrText>
        </w:r>
        <w:r w:rsidR="00B71B75" w:rsidRPr="002514D7">
          <w:rPr>
            <w:webHidden/>
            <w:sz w:val="20"/>
            <w:szCs w:val="20"/>
          </w:rPr>
        </w:r>
        <w:r w:rsidR="00B71B75" w:rsidRPr="002514D7">
          <w:rPr>
            <w:webHidden/>
            <w:sz w:val="20"/>
            <w:szCs w:val="20"/>
          </w:rPr>
          <w:fldChar w:fldCharType="separate"/>
        </w:r>
        <w:r w:rsidR="00430919">
          <w:rPr>
            <w:webHidden/>
            <w:sz w:val="20"/>
            <w:szCs w:val="20"/>
          </w:rPr>
          <w:t>157</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33" w:history="1">
        <w:r w:rsidR="00B71B75" w:rsidRPr="002514D7">
          <w:rPr>
            <w:rStyle w:val="Hipervnculo"/>
            <w:sz w:val="20"/>
            <w:szCs w:val="20"/>
          </w:rPr>
          <w:t>DIRECTIVA Nº 006-2002/SBN</w:t>
        </w:r>
        <w:r w:rsidR="004515A7" w:rsidRPr="002514D7">
          <w:rPr>
            <w:rStyle w:val="Hipervnculo"/>
            <w:sz w:val="20"/>
            <w:szCs w:val="20"/>
          </w:rPr>
          <w:t xml:space="preserve"> – Donación de predios del dominio privado del Estado</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_Toc470855533 \h </w:instrText>
        </w:r>
        <w:r w:rsidR="00B71B75" w:rsidRPr="002514D7">
          <w:rPr>
            <w:webHidden/>
            <w:sz w:val="20"/>
            <w:szCs w:val="20"/>
          </w:rPr>
        </w:r>
        <w:r w:rsidR="00B71B75" w:rsidRPr="002514D7">
          <w:rPr>
            <w:webHidden/>
            <w:sz w:val="20"/>
            <w:szCs w:val="20"/>
          </w:rPr>
          <w:fldChar w:fldCharType="separate"/>
        </w:r>
        <w:r w:rsidR="00430919">
          <w:rPr>
            <w:webHidden/>
            <w:sz w:val="20"/>
            <w:szCs w:val="20"/>
          </w:rPr>
          <w:t>165</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34" w:history="1">
        <w:r w:rsidR="00B71B75" w:rsidRPr="002514D7">
          <w:rPr>
            <w:rStyle w:val="Hipervnculo"/>
            <w:sz w:val="20"/>
            <w:szCs w:val="20"/>
          </w:rPr>
          <w:t>DIRECTIVA Nº 001-2011-SBN</w:t>
        </w:r>
        <w:r w:rsidR="004515A7" w:rsidRPr="002514D7">
          <w:rPr>
            <w:rStyle w:val="Hipervnculo"/>
            <w:sz w:val="20"/>
            <w:szCs w:val="20"/>
          </w:rPr>
          <w:t xml:space="preserve"> – Asunción de titularidad de predios del dominio privado estatal</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_Toc470855534 \h </w:instrText>
        </w:r>
        <w:r w:rsidR="00B71B75" w:rsidRPr="002514D7">
          <w:rPr>
            <w:webHidden/>
            <w:sz w:val="20"/>
            <w:szCs w:val="20"/>
          </w:rPr>
        </w:r>
        <w:r w:rsidR="00B71B75" w:rsidRPr="002514D7">
          <w:rPr>
            <w:webHidden/>
            <w:sz w:val="20"/>
            <w:szCs w:val="20"/>
          </w:rPr>
          <w:fldChar w:fldCharType="separate"/>
        </w:r>
        <w:r w:rsidR="00430919">
          <w:rPr>
            <w:webHidden/>
            <w:sz w:val="20"/>
            <w:szCs w:val="20"/>
          </w:rPr>
          <w:t>170</w:t>
        </w:r>
        <w:r w:rsidR="00B71B75" w:rsidRPr="002514D7">
          <w:rPr>
            <w:webHidden/>
            <w:sz w:val="20"/>
            <w:szCs w:val="20"/>
          </w:rPr>
          <w:fldChar w:fldCharType="end"/>
        </w:r>
      </w:hyperlink>
    </w:p>
    <w:p w:rsidR="004515A7" w:rsidRPr="002514D7" w:rsidRDefault="004515A7" w:rsidP="004515A7">
      <w:pPr>
        <w:pStyle w:val="TDC2"/>
        <w:rPr>
          <w:rStyle w:val="Hipervnculo"/>
          <w:sz w:val="20"/>
          <w:szCs w:val="20"/>
        </w:rPr>
      </w:pPr>
    </w:p>
    <w:p w:rsidR="00B71B75" w:rsidRPr="002514D7" w:rsidRDefault="000A5EA6" w:rsidP="004515A7">
      <w:pPr>
        <w:pStyle w:val="TDC2"/>
        <w:rPr>
          <w:rFonts w:eastAsiaTheme="minorEastAsia"/>
          <w:sz w:val="20"/>
          <w:szCs w:val="20"/>
          <w:lang w:eastAsia="es-PE"/>
        </w:rPr>
      </w:pPr>
      <w:hyperlink w:anchor="_Toc470855535" w:history="1">
        <w:r w:rsidR="00B71B75" w:rsidRPr="002514D7">
          <w:rPr>
            <w:rStyle w:val="Hipervnculo"/>
            <w:b/>
            <w:sz w:val="20"/>
            <w:szCs w:val="20"/>
          </w:rPr>
          <w:t>ACTOS DE ADMINISTRACION</w:t>
        </w:r>
      </w:hyperlink>
    </w:p>
    <w:p w:rsidR="00B71B75" w:rsidRPr="002514D7" w:rsidRDefault="000A5EA6" w:rsidP="004515A7">
      <w:pPr>
        <w:pStyle w:val="TDC2"/>
        <w:rPr>
          <w:rFonts w:eastAsiaTheme="minorEastAsia"/>
          <w:sz w:val="20"/>
          <w:szCs w:val="20"/>
          <w:lang w:eastAsia="es-PE"/>
        </w:rPr>
      </w:pPr>
      <w:hyperlink w:anchor="_Toc470855536" w:history="1">
        <w:r w:rsidR="00B71B75" w:rsidRPr="002514D7">
          <w:rPr>
            <w:rStyle w:val="Hipervnculo"/>
            <w:sz w:val="20"/>
            <w:szCs w:val="20"/>
          </w:rPr>
          <w:t>DIRECTIVA Nº 005-2016/SBN</w:t>
        </w:r>
        <w:r w:rsidR="004515A7" w:rsidRPr="002514D7">
          <w:rPr>
            <w:rStyle w:val="Hipervnculo"/>
            <w:sz w:val="20"/>
            <w:szCs w:val="20"/>
          </w:rPr>
          <w:t xml:space="preserve"> – Arrendamiento de predios estatales de libre disponibilidad</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_Toc470855536 \h </w:instrText>
        </w:r>
        <w:r w:rsidR="00B71B75" w:rsidRPr="002514D7">
          <w:rPr>
            <w:webHidden/>
            <w:sz w:val="20"/>
            <w:szCs w:val="20"/>
          </w:rPr>
        </w:r>
        <w:r w:rsidR="00B71B75" w:rsidRPr="002514D7">
          <w:rPr>
            <w:webHidden/>
            <w:sz w:val="20"/>
            <w:szCs w:val="20"/>
          </w:rPr>
          <w:fldChar w:fldCharType="separate"/>
        </w:r>
        <w:r w:rsidR="00430919">
          <w:rPr>
            <w:webHidden/>
            <w:sz w:val="20"/>
            <w:szCs w:val="20"/>
          </w:rPr>
          <w:t>175</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37" w:history="1">
        <w:r w:rsidR="00B71B75" w:rsidRPr="002514D7">
          <w:rPr>
            <w:rStyle w:val="Hipervnculo"/>
            <w:sz w:val="20"/>
            <w:szCs w:val="20"/>
          </w:rPr>
          <w:t>DIRECTIVA Nº 007-2016/SBN</w:t>
        </w:r>
        <w:r w:rsidR="004515A7" w:rsidRPr="002514D7">
          <w:rPr>
            <w:rStyle w:val="Hipervnculo"/>
            <w:sz w:val="20"/>
            <w:szCs w:val="20"/>
          </w:rPr>
          <w:t xml:space="preserve"> –</w:t>
        </w:r>
        <w:r w:rsidR="00523154" w:rsidRPr="002514D7">
          <w:rPr>
            <w:rStyle w:val="Hipervnculo"/>
            <w:sz w:val="20"/>
            <w:szCs w:val="20"/>
          </w:rPr>
          <w:t>Constitución del derecho de servidumbre</w:t>
        </w:r>
        <w:r w:rsidR="004515A7" w:rsidRPr="002514D7">
          <w:rPr>
            <w:rStyle w:val="Hipervnculo"/>
            <w:sz w:val="20"/>
            <w:szCs w:val="20"/>
          </w:rPr>
          <w:t xml:space="preserve"> </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_Toc470855537 \h </w:instrText>
        </w:r>
        <w:r w:rsidR="00B71B75" w:rsidRPr="002514D7">
          <w:rPr>
            <w:webHidden/>
            <w:sz w:val="20"/>
            <w:szCs w:val="20"/>
          </w:rPr>
        </w:r>
        <w:r w:rsidR="00B71B75" w:rsidRPr="002514D7">
          <w:rPr>
            <w:webHidden/>
            <w:sz w:val="20"/>
            <w:szCs w:val="20"/>
          </w:rPr>
          <w:fldChar w:fldCharType="separate"/>
        </w:r>
        <w:r w:rsidR="00430919">
          <w:rPr>
            <w:webHidden/>
            <w:sz w:val="20"/>
            <w:szCs w:val="20"/>
          </w:rPr>
          <w:t>191</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38" w:history="1">
        <w:r w:rsidR="00B71B75" w:rsidRPr="002514D7">
          <w:rPr>
            <w:rStyle w:val="Hipervnculo"/>
            <w:sz w:val="20"/>
            <w:szCs w:val="20"/>
          </w:rPr>
          <w:t>DIRECTIVA N° 002-2007/GG</w:t>
        </w:r>
        <w:r w:rsidR="004515A7" w:rsidRPr="002514D7">
          <w:rPr>
            <w:rStyle w:val="Hipervnculo"/>
            <w:sz w:val="20"/>
            <w:szCs w:val="20"/>
          </w:rPr>
          <w:t xml:space="preserve"> –</w:t>
        </w:r>
        <w:r w:rsidR="00523154" w:rsidRPr="002514D7">
          <w:rPr>
            <w:rStyle w:val="Hipervnculo"/>
            <w:sz w:val="20"/>
            <w:szCs w:val="20"/>
          </w:rPr>
          <w:t xml:space="preserve"> </w:t>
        </w:r>
        <w:r w:rsidR="004515A7" w:rsidRPr="002514D7">
          <w:rPr>
            <w:rStyle w:val="Hipervnculo"/>
            <w:sz w:val="20"/>
            <w:szCs w:val="20"/>
          </w:rPr>
          <w:t>Arrendamiento de predios del Estado administrados por la SBN</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_Toc470855538 \h </w:instrText>
        </w:r>
        <w:r w:rsidR="00B71B75" w:rsidRPr="002514D7">
          <w:rPr>
            <w:webHidden/>
            <w:sz w:val="20"/>
            <w:szCs w:val="20"/>
          </w:rPr>
        </w:r>
        <w:r w:rsidR="00B71B75" w:rsidRPr="002514D7">
          <w:rPr>
            <w:webHidden/>
            <w:sz w:val="20"/>
            <w:szCs w:val="20"/>
          </w:rPr>
          <w:fldChar w:fldCharType="separate"/>
        </w:r>
        <w:r w:rsidR="00430919">
          <w:rPr>
            <w:webHidden/>
            <w:sz w:val="20"/>
            <w:szCs w:val="20"/>
          </w:rPr>
          <w:t>201</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39" w:history="1">
        <w:r w:rsidR="00B71B75" w:rsidRPr="002514D7">
          <w:rPr>
            <w:rStyle w:val="Hipervnculo"/>
            <w:sz w:val="20"/>
            <w:szCs w:val="20"/>
          </w:rPr>
          <w:t>DIRECTIVA N° 004 -2011/SBN</w:t>
        </w:r>
        <w:r w:rsidR="004515A7" w:rsidRPr="002514D7">
          <w:rPr>
            <w:rStyle w:val="Hipervnculo"/>
            <w:sz w:val="20"/>
            <w:szCs w:val="20"/>
          </w:rPr>
          <w:t xml:space="preserve"> – Constitución del derecho de usufructo oneroso</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_Toc470855539 \h </w:instrText>
        </w:r>
        <w:r w:rsidR="00B71B75" w:rsidRPr="002514D7">
          <w:rPr>
            <w:webHidden/>
            <w:sz w:val="20"/>
            <w:szCs w:val="20"/>
          </w:rPr>
        </w:r>
        <w:r w:rsidR="00B71B75" w:rsidRPr="002514D7">
          <w:rPr>
            <w:webHidden/>
            <w:sz w:val="20"/>
            <w:szCs w:val="20"/>
          </w:rPr>
          <w:fldChar w:fldCharType="separate"/>
        </w:r>
        <w:r w:rsidR="00430919">
          <w:rPr>
            <w:webHidden/>
            <w:sz w:val="20"/>
            <w:szCs w:val="20"/>
          </w:rPr>
          <w:t>207</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40" w:history="1">
        <w:r w:rsidR="00B71B75" w:rsidRPr="002514D7">
          <w:rPr>
            <w:rStyle w:val="Hipervnculo"/>
            <w:sz w:val="20"/>
            <w:szCs w:val="20"/>
          </w:rPr>
          <w:t>DIRECTIVA Nº 005-2011-SBN</w:t>
        </w:r>
        <w:r w:rsidR="004515A7" w:rsidRPr="002514D7">
          <w:rPr>
            <w:rStyle w:val="Hipervnculo"/>
            <w:sz w:val="20"/>
            <w:szCs w:val="20"/>
          </w:rPr>
          <w:t xml:space="preserve"> – Constitución de afectación en uso de predios estatales </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_Toc470855540 \h </w:instrText>
        </w:r>
        <w:r w:rsidR="00B71B75" w:rsidRPr="002514D7">
          <w:rPr>
            <w:webHidden/>
            <w:sz w:val="20"/>
            <w:szCs w:val="20"/>
          </w:rPr>
        </w:r>
        <w:r w:rsidR="00B71B75" w:rsidRPr="002514D7">
          <w:rPr>
            <w:webHidden/>
            <w:sz w:val="20"/>
            <w:szCs w:val="20"/>
          </w:rPr>
          <w:fldChar w:fldCharType="separate"/>
        </w:r>
        <w:r w:rsidR="00430919">
          <w:rPr>
            <w:webHidden/>
            <w:sz w:val="20"/>
            <w:szCs w:val="20"/>
          </w:rPr>
          <w:t>220</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41" w:history="1">
        <w:r w:rsidR="00B71B75" w:rsidRPr="002514D7">
          <w:rPr>
            <w:rStyle w:val="Hipervnculo"/>
            <w:sz w:val="20"/>
            <w:szCs w:val="20"/>
          </w:rPr>
          <w:t>DIRECTIVA N° 002-2015-SBN</w:t>
        </w:r>
        <w:r w:rsidR="004515A7" w:rsidRPr="002514D7">
          <w:rPr>
            <w:rStyle w:val="Hipervnculo"/>
            <w:sz w:val="20"/>
            <w:szCs w:val="20"/>
          </w:rPr>
          <w:t xml:space="preserve"> – Lineamientos para contraprestación del derecho de servidumbre</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_Toc470855541 \h </w:instrText>
        </w:r>
        <w:r w:rsidR="00B71B75" w:rsidRPr="002514D7">
          <w:rPr>
            <w:webHidden/>
            <w:sz w:val="20"/>
            <w:szCs w:val="20"/>
          </w:rPr>
        </w:r>
        <w:r w:rsidR="00B71B75" w:rsidRPr="002514D7">
          <w:rPr>
            <w:webHidden/>
            <w:sz w:val="20"/>
            <w:szCs w:val="20"/>
          </w:rPr>
          <w:fldChar w:fldCharType="separate"/>
        </w:r>
        <w:r w:rsidR="00430919">
          <w:rPr>
            <w:webHidden/>
            <w:sz w:val="20"/>
            <w:szCs w:val="20"/>
          </w:rPr>
          <w:t>232</w:t>
        </w:r>
        <w:r w:rsidR="00B71B75" w:rsidRPr="002514D7">
          <w:rPr>
            <w:webHidden/>
            <w:sz w:val="20"/>
            <w:szCs w:val="20"/>
          </w:rPr>
          <w:fldChar w:fldCharType="end"/>
        </w:r>
      </w:hyperlink>
    </w:p>
    <w:p w:rsidR="004515A7" w:rsidRPr="002514D7" w:rsidRDefault="004515A7" w:rsidP="004515A7">
      <w:pPr>
        <w:pStyle w:val="TDC2"/>
        <w:rPr>
          <w:rStyle w:val="Hipervnculo"/>
          <w:sz w:val="20"/>
          <w:szCs w:val="20"/>
        </w:rPr>
      </w:pPr>
    </w:p>
    <w:p w:rsidR="00B71B75" w:rsidRPr="002514D7" w:rsidRDefault="000A5EA6" w:rsidP="004515A7">
      <w:pPr>
        <w:pStyle w:val="TDC2"/>
        <w:rPr>
          <w:rFonts w:eastAsiaTheme="minorEastAsia"/>
          <w:sz w:val="20"/>
          <w:szCs w:val="20"/>
          <w:lang w:eastAsia="es-PE"/>
        </w:rPr>
      </w:pPr>
      <w:hyperlink w:anchor="_Toc470855542" w:history="1">
        <w:r w:rsidR="00B71B75" w:rsidRPr="002514D7">
          <w:rPr>
            <w:rStyle w:val="Hipervnculo"/>
            <w:b/>
            <w:sz w:val="20"/>
            <w:szCs w:val="20"/>
          </w:rPr>
          <w:t>ACTOS DE DISPOSICION</w:t>
        </w:r>
      </w:hyperlink>
    </w:p>
    <w:p w:rsidR="00B71B75" w:rsidRPr="002514D7" w:rsidRDefault="000A5EA6" w:rsidP="004515A7">
      <w:pPr>
        <w:pStyle w:val="TDC2"/>
        <w:rPr>
          <w:rFonts w:eastAsiaTheme="minorEastAsia"/>
          <w:sz w:val="20"/>
          <w:szCs w:val="20"/>
          <w:lang w:eastAsia="es-PE"/>
        </w:rPr>
      </w:pPr>
      <w:hyperlink w:anchor="_Toc470855543" w:history="1">
        <w:r w:rsidR="00B71B75" w:rsidRPr="002514D7">
          <w:rPr>
            <w:rStyle w:val="Hipervnculo"/>
            <w:sz w:val="20"/>
            <w:szCs w:val="20"/>
          </w:rPr>
          <w:t>DIRECTIVA Nº 007-2004/SBN</w:t>
        </w:r>
        <w:r w:rsidR="004515A7" w:rsidRPr="002514D7">
          <w:rPr>
            <w:rStyle w:val="Hipervnculo"/>
            <w:sz w:val="20"/>
            <w:szCs w:val="20"/>
          </w:rPr>
          <w:t xml:space="preserve"> – Constitución del derecho de superficie</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_Toc470855543 \h </w:instrText>
        </w:r>
        <w:r w:rsidR="00B71B75" w:rsidRPr="002514D7">
          <w:rPr>
            <w:webHidden/>
            <w:sz w:val="20"/>
            <w:szCs w:val="20"/>
          </w:rPr>
        </w:r>
        <w:r w:rsidR="00B71B75" w:rsidRPr="002514D7">
          <w:rPr>
            <w:webHidden/>
            <w:sz w:val="20"/>
            <w:szCs w:val="20"/>
          </w:rPr>
          <w:fldChar w:fldCharType="separate"/>
        </w:r>
        <w:r w:rsidR="00430919">
          <w:rPr>
            <w:webHidden/>
            <w:sz w:val="20"/>
            <w:szCs w:val="20"/>
          </w:rPr>
          <w:t>237</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44" w:history="1">
        <w:r w:rsidR="00B71B75" w:rsidRPr="002514D7">
          <w:rPr>
            <w:rStyle w:val="Hipervnculo"/>
            <w:sz w:val="20"/>
            <w:szCs w:val="20"/>
          </w:rPr>
          <w:t>DIRECTIVA Nº 008-2016/SBN</w:t>
        </w:r>
        <w:r w:rsidR="004515A7" w:rsidRPr="002514D7">
          <w:rPr>
            <w:rStyle w:val="Hipervnculo"/>
            <w:sz w:val="20"/>
            <w:szCs w:val="20"/>
          </w:rPr>
          <w:t xml:space="preserve"> – Permuta de predios estatales</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_Toc470855544 \h </w:instrText>
        </w:r>
        <w:r w:rsidR="00B71B75" w:rsidRPr="002514D7">
          <w:rPr>
            <w:webHidden/>
            <w:sz w:val="20"/>
            <w:szCs w:val="20"/>
          </w:rPr>
        </w:r>
        <w:r w:rsidR="00B71B75" w:rsidRPr="002514D7">
          <w:rPr>
            <w:webHidden/>
            <w:sz w:val="20"/>
            <w:szCs w:val="20"/>
          </w:rPr>
          <w:fldChar w:fldCharType="separate"/>
        </w:r>
        <w:r w:rsidR="00430919">
          <w:rPr>
            <w:webHidden/>
            <w:sz w:val="20"/>
            <w:szCs w:val="20"/>
          </w:rPr>
          <w:t>244</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45" w:history="1">
        <w:r w:rsidR="00B71B75" w:rsidRPr="002514D7">
          <w:rPr>
            <w:rStyle w:val="Hipervnculo"/>
            <w:sz w:val="20"/>
            <w:szCs w:val="20"/>
          </w:rPr>
          <w:t>DIRECTIVA N° 004-2015/SBN</w:t>
        </w:r>
        <w:r w:rsidR="004515A7" w:rsidRPr="002514D7">
          <w:rPr>
            <w:rStyle w:val="Hipervnculo"/>
            <w:sz w:val="20"/>
            <w:szCs w:val="20"/>
          </w:rPr>
          <w:t xml:space="preserve"> – Inscripción y transferencia de predios por el D. Leg. 1192</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_Toc470855545 \h </w:instrText>
        </w:r>
        <w:r w:rsidR="00B71B75" w:rsidRPr="002514D7">
          <w:rPr>
            <w:webHidden/>
            <w:sz w:val="20"/>
            <w:szCs w:val="20"/>
          </w:rPr>
        </w:r>
        <w:r w:rsidR="00B71B75" w:rsidRPr="002514D7">
          <w:rPr>
            <w:webHidden/>
            <w:sz w:val="20"/>
            <w:szCs w:val="20"/>
          </w:rPr>
          <w:fldChar w:fldCharType="separate"/>
        </w:r>
        <w:r w:rsidR="00430919">
          <w:rPr>
            <w:webHidden/>
            <w:sz w:val="20"/>
            <w:szCs w:val="20"/>
          </w:rPr>
          <w:t>258</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46" w:history="1">
        <w:r w:rsidR="00B71B75" w:rsidRPr="002514D7">
          <w:rPr>
            <w:rStyle w:val="Hipervnculo"/>
            <w:sz w:val="20"/>
            <w:szCs w:val="20"/>
          </w:rPr>
          <w:t>DIRECTIVA Nº 006-2014-SBN</w:t>
        </w:r>
        <w:r w:rsidR="004515A7" w:rsidRPr="002514D7">
          <w:rPr>
            <w:rStyle w:val="Hipervnculo"/>
            <w:sz w:val="20"/>
            <w:szCs w:val="20"/>
          </w:rPr>
          <w:t xml:space="preserve"> – Venta Directa de predios estatales</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_Toc470855546 \h </w:instrText>
        </w:r>
        <w:r w:rsidR="00B71B75" w:rsidRPr="002514D7">
          <w:rPr>
            <w:webHidden/>
            <w:sz w:val="20"/>
            <w:szCs w:val="20"/>
          </w:rPr>
        </w:r>
        <w:r w:rsidR="00B71B75" w:rsidRPr="002514D7">
          <w:rPr>
            <w:webHidden/>
            <w:sz w:val="20"/>
            <w:szCs w:val="20"/>
          </w:rPr>
          <w:fldChar w:fldCharType="separate"/>
        </w:r>
        <w:r w:rsidR="00430919">
          <w:rPr>
            <w:webHidden/>
            <w:sz w:val="20"/>
            <w:szCs w:val="20"/>
          </w:rPr>
          <w:t>266</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47" w:history="1">
        <w:r w:rsidR="00B71B75" w:rsidRPr="002514D7">
          <w:rPr>
            <w:rStyle w:val="Hipervnculo"/>
            <w:sz w:val="20"/>
            <w:szCs w:val="20"/>
          </w:rPr>
          <w:t>DIRECTIVA Nº 001-2016/SBN</w:t>
        </w:r>
        <w:r w:rsidR="004515A7" w:rsidRPr="002514D7">
          <w:rPr>
            <w:rStyle w:val="Hipervnculo"/>
            <w:sz w:val="20"/>
            <w:szCs w:val="20"/>
          </w:rPr>
          <w:t xml:space="preserve"> – Subasta Pública de predios estatales</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_Toc470855547 \h </w:instrText>
        </w:r>
        <w:r w:rsidR="00B71B75" w:rsidRPr="002514D7">
          <w:rPr>
            <w:webHidden/>
            <w:sz w:val="20"/>
            <w:szCs w:val="20"/>
          </w:rPr>
        </w:r>
        <w:r w:rsidR="00B71B75" w:rsidRPr="002514D7">
          <w:rPr>
            <w:webHidden/>
            <w:sz w:val="20"/>
            <w:szCs w:val="20"/>
          </w:rPr>
          <w:fldChar w:fldCharType="separate"/>
        </w:r>
        <w:r w:rsidR="00430919">
          <w:rPr>
            <w:webHidden/>
            <w:sz w:val="20"/>
            <w:szCs w:val="20"/>
          </w:rPr>
          <w:t>286</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48" w:history="1">
        <w:r w:rsidR="00B71B75" w:rsidRPr="002514D7">
          <w:rPr>
            <w:rStyle w:val="Hipervnculo"/>
            <w:sz w:val="20"/>
            <w:szCs w:val="20"/>
          </w:rPr>
          <w:t>DIRECTIVA Nº 005-2013-SBN</w:t>
        </w:r>
        <w:r w:rsidR="004515A7" w:rsidRPr="002514D7">
          <w:rPr>
            <w:rStyle w:val="Hipervnculo"/>
            <w:sz w:val="20"/>
            <w:szCs w:val="20"/>
          </w:rPr>
          <w:t xml:space="preserve"> – Transferencia de dominio interestatal</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_Toc470855548 \h </w:instrText>
        </w:r>
        <w:r w:rsidR="00B71B75" w:rsidRPr="002514D7">
          <w:rPr>
            <w:webHidden/>
            <w:sz w:val="20"/>
            <w:szCs w:val="20"/>
          </w:rPr>
        </w:r>
        <w:r w:rsidR="00B71B75" w:rsidRPr="002514D7">
          <w:rPr>
            <w:webHidden/>
            <w:sz w:val="20"/>
            <w:szCs w:val="20"/>
          </w:rPr>
          <w:fldChar w:fldCharType="separate"/>
        </w:r>
        <w:r w:rsidR="00430919">
          <w:rPr>
            <w:webHidden/>
            <w:sz w:val="20"/>
            <w:szCs w:val="20"/>
          </w:rPr>
          <w:t>304</w:t>
        </w:r>
        <w:r w:rsidR="00B71B75" w:rsidRPr="002514D7">
          <w:rPr>
            <w:webHidden/>
            <w:sz w:val="20"/>
            <w:szCs w:val="20"/>
          </w:rPr>
          <w:fldChar w:fldCharType="end"/>
        </w:r>
      </w:hyperlink>
    </w:p>
    <w:p w:rsidR="004515A7" w:rsidRPr="002514D7" w:rsidRDefault="004515A7" w:rsidP="004515A7">
      <w:pPr>
        <w:pStyle w:val="TDC2"/>
        <w:rPr>
          <w:rStyle w:val="Hipervnculo"/>
          <w:sz w:val="20"/>
          <w:szCs w:val="20"/>
        </w:rPr>
      </w:pPr>
    </w:p>
    <w:p w:rsidR="00B71B75" w:rsidRPr="002514D7" w:rsidRDefault="000A5EA6" w:rsidP="004515A7">
      <w:pPr>
        <w:pStyle w:val="TDC2"/>
        <w:rPr>
          <w:rFonts w:eastAsiaTheme="minorEastAsia"/>
          <w:sz w:val="20"/>
          <w:szCs w:val="20"/>
          <w:lang w:eastAsia="es-PE"/>
        </w:rPr>
      </w:pPr>
      <w:hyperlink w:anchor="_Toc470855549" w:history="1">
        <w:r w:rsidR="00B71B75" w:rsidRPr="002514D7">
          <w:rPr>
            <w:rStyle w:val="Hipervnculo"/>
            <w:b/>
            <w:sz w:val="20"/>
            <w:szCs w:val="20"/>
          </w:rPr>
          <w:t>ACTOS DE SUPERVISION</w:t>
        </w:r>
      </w:hyperlink>
    </w:p>
    <w:p w:rsidR="00B71B75" w:rsidRPr="002514D7" w:rsidRDefault="000A5EA6" w:rsidP="004515A7">
      <w:pPr>
        <w:pStyle w:val="TDC2"/>
        <w:rPr>
          <w:rFonts w:eastAsiaTheme="minorEastAsia"/>
          <w:sz w:val="20"/>
          <w:szCs w:val="20"/>
          <w:lang w:eastAsia="es-PE"/>
        </w:rPr>
      </w:pPr>
      <w:hyperlink w:anchor="_Toc470855550" w:history="1">
        <w:r w:rsidR="00B71B75" w:rsidRPr="002514D7">
          <w:rPr>
            <w:rStyle w:val="Hipervnculo"/>
            <w:sz w:val="20"/>
            <w:szCs w:val="20"/>
          </w:rPr>
          <w:t>DIRECTIVA Nº 003-2016/SBN</w:t>
        </w:r>
        <w:r w:rsidR="004515A7" w:rsidRPr="002514D7">
          <w:rPr>
            <w:rStyle w:val="Hipervnculo"/>
            <w:sz w:val="20"/>
            <w:szCs w:val="20"/>
          </w:rPr>
          <w:t xml:space="preserve"> – Lineamientos para la supervisión de predios estatales</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_Toc470855550 \h </w:instrText>
        </w:r>
        <w:r w:rsidR="00B71B75" w:rsidRPr="002514D7">
          <w:rPr>
            <w:webHidden/>
            <w:sz w:val="20"/>
            <w:szCs w:val="20"/>
          </w:rPr>
        </w:r>
        <w:r w:rsidR="00B71B75" w:rsidRPr="002514D7">
          <w:rPr>
            <w:webHidden/>
            <w:sz w:val="20"/>
            <w:szCs w:val="20"/>
          </w:rPr>
          <w:fldChar w:fldCharType="separate"/>
        </w:r>
        <w:r w:rsidR="00430919">
          <w:rPr>
            <w:webHidden/>
            <w:sz w:val="20"/>
            <w:szCs w:val="20"/>
          </w:rPr>
          <w:t>319</w:t>
        </w:r>
        <w:r w:rsidR="00B71B75" w:rsidRPr="002514D7">
          <w:rPr>
            <w:webHidden/>
            <w:sz w:val="20"/>
            <w:szCs w:val="20"/>
          </w:rPr>
          <w:fldChar w:fldCharType="end"/>
        </w:r>
      </w:hyperlink>
    </w:p>
    <w:p w:rsidR="004515A7" w:rsidRPr="002514D7" w:rsidRDefault="004515A7" w:rsidP="00B71B75">
      <w:pPr>
        <w:pStyle w:val="TDC1"/>
        <w:rPr>
          <w:rStyle w:val="Hipervnculo"/>
          <w:sz w:val="20"/>
          <w:szCs w:val="20"/>
        </w:rPr>
      </w:pPr>
    </w:p>
    <w:p w:rsidR="00B71B75" w:rsidRPr="002514D7" w:rsidRDefault="000A5EA6" w:rsidP="00B71B75">
      <w:pPr>
        <w:pStyle w:val="TDC1"/>
        <w:rPr>
          <w:rFonts w:eastAsiaTheme="minorEastAsia"/>
          <w:sz w:val="20"/>
          <w:szCs w:val="20"/>
          <w:lang w:eastAsia="es-PE"/>
        </w:rPr>
      </w:pPr>
      <w:hyperlink w:anchor="_Toc470855551" w:history="1">
        <w:r w:rsidR="00B71B75" w:rsidRPr="002514D7">
          <w:rPr>
            <w:rStyle w:val="Hipervnculo"/>
            <w:sz w:val="20"/>
            <w:szCs w:val="20"/>
          </w:rPr>
          <w:t>NORMAS ESPECIALES PARA EL SANEAMIENTO DE INMUEBLES ESTATALES</w:t>
        </w:r>
      </w:hyperlink>
    </w:p>
    <w:p w:rsidR="00B71B75" w:rsidRPr="002514D7" w:rsidRDefault="000A5EA6" w:rsidP="004515A7">
      <w:pPr>
        <w:pStyle w:val="TDC2"/>
        <w:rPr>
          <w:rFonts w:eastAsiaTheme="minorEastAsia"/>
          <w:sz w:val="20"/>
          <w:szCs w:val="20"/>
          <w:lang w:eastAsia="es-PE"/>
        </w:rPr>
      </w:pPr>
      <w:hyperlink w:anchor="_Toc470855552" w:history="1">
        <w:r w:rsidR="00B71B75" w:rsidRPr="002514D7">
          <w:rPr>
            <w:rStyle w:val="Hipervnculo"/>
            <w:sz w:val="20"/>
            <w:szCs w:val="20"/>
          </w:rPr>
          <w:t>LEY Nº 26512</w:t>
        </w:r>
        <w:r w:rsidR="00654272" w:rsidRPr="002514D7">
          <w:rPr>
            <w:rStyle w:val="Hipervnculo"/>
            <w:sz w:val="20"/>
            <w:szCs w:val="20"/>
          </w:rPr>
          <w:t xml:space="preserve"> – Declara de necesidad pública el saneamiento de predios estatales</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_Toc470855552 \h </w:instrText>
        </w:r>
        <w:r w:rsidR="00B71B75" w:rsidRPr="002514D7">
          <w:rPr>
            <w:webHidden/>
            <w:sz w:val="20"/>
            <w:szCs w:val="20"/>
          </w:rPr>
        </w:r>
        <w:r w:rsidR="00B71B75" w:rsidRPr="002514D7">
          <w:rPr>
            <w:webHidden/>
            <w:sz w:val="20"/>
            <w:szCs w:val="20"/>
          </w:rPr>
          <w:fldChar w:fldCharType="separate"/>
        </w:r>
        <w:r w:rsidR="00430919">
          <w:rPr>
            <w:webHidden/>
            <w:sz w:val="20"/>
            <w:szCs w:val="20"/>
          </w:rPr>
          <w:t>339</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53" w:history="1">
        <w:r w:rsidR="00B71B75" w:rsidRPr="002514D7">
          <w:rPr>
            <w:rStyle w:val="Hipervnculo"/>
            <w:sz w:val="20"/>
            <w:szCs w:val="20"/>
          </w:rPr>
          <w:t>LEY Nº 27493</w:t>
        </w:r>
        <w:r w:rsidR="00654272" w:rsidRPr="002514D7">
          <w:rPr>
            <w:rStyle w:val="Hipervnculo"/>
            <w:sz w:val="20"/>
            <w:szCs w:val="20"/>
          </w:rPr>
          <w:t xml:space="preserve"> – Saneamiento físico legal de inmuebles del Estado</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_Toc470855553 \h </w:instrText>
        </w:r>
        <w:r w:rsidR="00B71B75" w:rsidRPr="002514D7">
          <w:rPr>
            <w:webHidden/>
            <w:sz w:val="20"/>
            <w:szCs w:val="20"/>
          </w:rPr>
        </w:r>
        <w:r w:rsidR="00B71B75" w:rsidRPr="002514D7">
          <w:rPr>
            <w:webHidden/>
            <w:sz w:val="20"/>
            <w:szCs w:val="20"/>
          </w:rPr>
          <w:fldChar w:fldCharType="separate"/>
        </w:r>
        <w:r w:rsidR="00430919">
          <w:rPr>
            <w:webHidden/>
            <w:sz w:val="20"/>
            <w:szCs w:val="20"/>
          </w:rPr>
          <w:t>342</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54" w:history="1">
        <w:r w:rsidR="00B71B75" w:rsidRPr="002514D7">
          <w:rPr>
            <w:rStyle w:val="Hipervnculo"/>
            <w:sz w:val="20"/>
            <w:szCs w:val="20"/>
          </w:rPr>
          <w:t>DECRETO SUPREMO Nº 14-95-MTC</w:t>
        </w:r>
        <w:r w:rsidR="00654272" w:rsidRPr="002514D7">
          <w:rPr>
            <w:rStyle w:val="Hipervnculo"/>
            <w:sz w:val="20"/>
            <w:szCs w:val="20"/>
          </w:rPr>
          <w:t xml:space="preserve"> – Saneamiento legal de inmuebles del Estado</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_Toc470855554 \h </w:instrText>
        </w:r>
        <w:r w:rsidR="00B71B75" w:rsidRPr="002514D7">
          <w:rPr>
            <w:webHidden/>
            <w:sz w:val="20"/>
            <w:szCs w:val="20"/>
          </w:rPr>
        </w:r>
        <w:r w:rsidR="00B71B75" w:rsidRPr="002514D7">
          <w:rPr>
            <w:webHidden/>
            <w:sz w:val="20"/>
            <w:szCs w:val="20"/>
          </w:rPr>
          <w:fldChar w:fldCharType="separate"/>
        </w:r>
        <w:r w:rsidR="00430919">
          <w:rPr>
            <w:webHidden/>
            <w:sz w:val="20"/>
            <w:szCs w:val="20"/>
          </w:rPr>
          <w:t>343</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55" w:history="1">
        <w:r w:rsidR="00B71B75" w:rsidRPr="002514D7">
          <w:rPr>
            <w:rStyle w:val="Hipervnculo"/>
            <w:sz w:val="20"/>
            <w:szCs w:val="20"/>
          </w:rPr>
          <w:t>DECRETO SUPREMO Nº 130-2001-EF</w:t>
        </w:r>
        <w:r w:rsidR="00654272" w:rsidRPr="002514D7">
          <w:rPr>
            <w:rStyle w:val="Hipervnculo"/>
            <w:sz w:val="20"/>
            <w:szCs w:val="20"/>
          </w:rPr>
          <w:t xml:space="preserve"> – Saneamiento de inmuebles de propiedad estatal</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_Toc470855555 \h </w:instrText>
        </w:r>
        <w:r w:rsidR="00B71B75" w:rsidRPr="002514D7">
          <w:rPr>
            <w:webHidden/>
            <w:sz w:val="20"/>
            <w:szCs w:val="20"/>
          </w:rPr>
        </w:r>
        <w:r w:rsidR="00B71B75" w:rsidRPr="002514D7">
          <w:rPr>
            <w:webHidden/>
            <w:sz w:val="20"/>
            <w:szCs w:val="20"/>
          </w:rPr>
          <w:fldChar w:fldCharType="separate"/>
        </w:r>
        <w:r w:rsidR="00430919">
          <w:rPr>
            <w:webHidden/>
            <w:sz w:val="20"/>
            <w:szCs w:val="20"/>
          </w:rPr>
          <w:t>345</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56" w:history="1">
        <w:r w:rsidR="00B71B75" w:rsidRPr="002514D7">
          <w:rPr>
            <w:rStyle w:val="Hipervnculo"/>
            <w:sz w:val="20"/>
            <w:szCs w:val="20"/>
          </w:rPr>
          <w:t>DECRETO SUPREMO Nº 136-2001-EF</w:t>
        </w:r>
        <w:r w:rsidR="00654272" w:rsidRPr="002514D7">
          <w:rPr>
            <w:rStyle w:val="Hipervnculo"/>
            <w:sz w:val="20"/>
            <w:szCs w:val="20"/>
          </w:rPr>
          <w:t xml:space="preserve"> – Amplían alcances de la Ley N° 27493</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_Toc470855556 \h </w:instrText>
        </w:r>
        <w:r w:rsidR="00B71B75" w:rsidRPr="002514D7">
          <w:rPr>
            <w:webHidden/>
            <w:sz w:val="20"/>
            <w:szCs w:val="20"/>
          </w:rPr>
        </w:r>
        <w:r w:rsidR="00B71B75" w:rsidRPr="002514D7">
          <w:rPr>
            <w:webHidden/>
            <w:sz w:val="20"/>
            <w:szCs w:val="20"/>
          </w:rPr>
          <w:fldChar w:fldCharType="separate"/>
        </w:r>
        <w:r w:rsidR="00430919">
          <w:rPr>
            <w:webHidden/>
            <w:sz w:val="20"/>
            <w:szCs w:val="20"/>
          </w:rPr>
          <w:t>350</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57" w:history="1">
        <w:r w:rsidR="00B71B75" w:rsidRPr="002514D7">
          <w:rPr>
            <w:rStyle w:val="Hipervnculo"/>
            <w:sz w:val="20"/>
            <w:szCs w:val="20"/>
          </w:rPr>
          <w:t>DECRETO DE URGENCIA Nº 071-2001</w:t>
        </w:r>
        <w:r w:rsidR="00654272" w:rsidRPr="002514D7">
          <w:rPr>
            <w:rStyle w:val="Hipervnculo"/>
            <w:sz w:val="20"/>
            <w:szCs w:val="20"/>
          </w:rPr>
          <w:t xml:space="preserve"> – Saneamiento de inmuebles de entidades públicas</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_Toc470855557 \h </w:instrText>
        </w:r>
        <w:r w:rsidR="00B71B75" w:rsidRPr="002514D7">
          <w:rPr>
            <w:webHidden/>
            <w:sz w:val="20"/>
            <w:szCs w:val="20"/>
          </w:rPr>
        </w:r>
        <w:r w:rsidR="00B71B75" w:rsidRPr="002514D7">
          <w:rPr>
            <w:webHidden/>
            <w:sz w:val="20"/>
            <w:szCs w:val="20"/>
          </w:rPr>
          <w:fldChar w:fldCharType="separate"/>
        </w:r>
        <w:r w:rsidR="00430919">
          <w:rPr>
            <w:webHidden/>
            <w:sz w:val="20"/>
            <w:szCs w:val="20"/>
          </w:rPr>
          <w:t>351</w:t>
        </w:r>
        <w:r w:rsidR="00B71B75" w:rsidRPr="002514D7">
          <w:rPr>
            <w:webHidden/>
            <w:sz w:val="20"/>
            <w:szCs w:val="20"/>
          </w:rPr>
          <w:fldChar w:fldCharType="end"/>
        </w:r>
      </w:hyperlink>
    </w:p>
    <w:p w:rsidR="00654272" w:rsidRPr="002514D7" w:rsidRDefault="00654272" w:rsidP="00B71B75">
      <w:pPr>
        <w:pStyle w:val="TDC1"/>
        <w:rPr>
          <w:rStyle w:val="Hipervnculo"/>
          <w:sz w:val="20"/>
          <w:szCs w:val="20"/>
        </w:rPr>
      </w:pPr>
    </w:p>
    <w:p w:rsidR="00B71B75" w:rsidRPr="002514D7" w:rsidRDefault="000A5EA6" w:rsidP="00B71B75">
      <w:pPr>
        <w:pStyle w:val="TDC1"/>
        <w:rPr>
          <w:rFonts w:eastAsiaTheme="minorEastAsia"/>
          <w:sz w:val="20"/>
          <w:szCs w:val="20"/>
          <w:lang w:eastAsia="es-PE"/>
        </w:rPr>
      </w:pPr>
      <w:hyperlink w:anchor="_Toc470855558" w:history="1">
        <w:r w:rsidR="00B71B75" w:rsidRPr="002514D7">
          <w:rPr>
            <w:rStyle w:val="Hipervnculo"/>
            <w:sz w:val="20"/>
            <w:szCs w:val="20"/>
          </w:rPr>
          <w:t>NORMAS SOBRE GOBIERNOS REGIONALES Y LOCALES</w:t>
        </w:r>
      </w:hyperlink>
    </w:p>
    <w:p w:rsidR="00B71B75" w:rsidRPr="002514D7" w:rsidRDefault="000A5EA6" w:rsidP="004515A7">
      <w:pPr>
        <w:pStyle w:val="TDC2"/>
        <w:rPr>
          <w:rFonts w:eastAsiaTheme="minorEastAsia"/>
          <w:sz w:val="20"/>
          <w:szCs w:val="20"/>
          <w:lang w:eastAsia="es-PE"/>
        </w:rPr>
      </w:pPr>
      <w:hyperlink w:anchor="_Toc470855559" w:history="1">
        <w:r w:rsidR="00B71B75" w:rsidRPr="002514D7">
          <w:rPr>
            <w:rStyle w:val="Hipervnculo"/>
            <w:sz w:val="20"/>
            <w:szCs w:val="20"/>
          </w:rPr>
          <w:t>LEY Nº 27783</w:t>
        </w:r>
        <w:r w:rsidR="00654272" w:rsidRPr="002514D7">
          <w:rPr>
            <w:rStyle w:val="Hipervnculo"/>
            <w:sz w:val="20"/>
            <w:szCs w:val="20"/>
          </w:rPr>
          <w:t xml:space="preserve"> – (extracto) Ley de Bases de la Descenrtralización</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_Toc470855559 \h </w:instrText>
        </w:r>
        <w:r w:rsidR="00B71B75" w:rsidRPr="002514D7">
          <w:rPr>
            <w:webHidden/>
            <w:sz w:val="20"/>
            <w:szCs w:val="20"/>
          </w:rPr>
        </w:r>
        <w:r w:rsidR="00B71B75" w:rsidRPr="002514D7">
          <w:rPr>
            <w:webHidden/>
            <w:sz w:val="20"/>
            <w:szCs w:val="20"/>
          </w:rPr>
          <w:fldChar w:fldCharType="separate"/>
        </w:r>
        <w:r w:rsidR="00430919">
          <w:rPr>
            <w:webHidden/>
            <w:sz w:val="20"/>
            <w:szCs w:val="20"/>
          </w:rPr>
          <w:t>355</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60" w:history="1">
        <w:r w:rsidR="00B71B75" w:rsidRPr="002514D7">
          <w:rPr>
            <w:rStyle w:val="Hipervnculo"/>
            <w:sz w:val="20"/>
            <w:szCs w:val="20"/>
          </w:rPr>
          <w:t>LEY Nº 27867</w:t>
        </w:r>
        <w:r w:rsidR="00654272" w:rsidRPr="002514D7">
          <w:rPr>
            <w:rStyle w:val="Hipervnculo"/>
            <w:sz w:val="20"/>
            <w:szCs w:val="20"/>
          </w:rPr>
          <w:t xml:space="preserve"> – (extracto) Ley Orgánica de Gobiernos Regionales</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_Toc470855560 \h </w:instrText>
        </w:r>
        <w:r w:rsidR="00B71B75" w:rsidRPr="002514D7">
          <w:rPr>
            <w:webHidden/>
            <w:sz w:val="20"/>
            <w:szCs w:val="20"/>
          </w:rPr>
        </w:r>
        <w:r w:rsidR="00B71B75" w:rsidRPr="002514D7">
          <w:rPr>
            <w:webHidden/>
            <w:sz w:val="20"/>
            <w:szCs w:val="20"/>
          </w:rPr>
          <w:fldChar w:fldCharType="separate"/>
        </w:r>
        <w:r w:rsidR="00430919">
          <w:rPr>
            <w:webHidden/>
            <w:sz w:val="20"/>
            <w:szCs w:val="20"/>
          </w:rPr>
          <w:t>357</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61" w:history="1">
        <w:r w:rsidR="00B71B75" w:rsidRPr="002514D7">
          <w:rPr>
            <w:rStyle w:val="Hipervnculo"/>
            <w:sz w:val="20"/>
            <w:szCs w:val="20"/>
          </w:rPr>
          <w:t>LEY Nº 27972</w:t>
        </w:r>
        <w:r w:rsidR="00654272" w:rsidRPr="002514D7">
          <w:rPr>
            <w:rStyle w:val="Hipervnculo"/>
            <w:sz w:val="20"/>
            <w:szCs w:val="20"/>
          </w:rPr>
          <w:t xml:space="preserve"> – (Extracto) Ley Orgánica de Municipalidades</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_Toc470855561 \h </w:instrText>
        </w:r>
        <w:r w:rsidR="00B71B75" w:rsidRPr="002514D7">
          <w:rPr>
            <w:webHidden/>
            <w:sz w:val="20"/>
            <w:szCs w:val="20"/>
          </w:rPr>
        </w:r>
        <w:r w:rsidR="00B71B75" w:rsidRPr="002514D7">
          <w:rPr>
            <w:webHidden/>
            <w:sz w:val="20"/>
            <w:szCs w:val="20"/>
          </w:rPr>
          <w:fldChar w:fldCharType="separate"/>
        </w:r>
        <w:r w:rsidR="00430919">
          <w:rPr>
            <w:webHidden/>
            <w:sz w:val="20"/>
            <w:szCs w:val="20"/>
          </w:rPr>
          <w:t>358</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62" w:history="1">
        <w:r w:rsidR="00B71B75" w:rsidRPr="002514D7">
          <w:rPr>
            <w:rStyle w:val="Hipervnculo"/>
            <w:sz w:val="20"/>
            <w:szCs w:val="20"/>
          </w:rPr>
          <w:t>DECRETO SUPREMO Nº 023-2004-PCM</w:t>
        </w:r>
        <w:r w:rsidR="00654272" w:rsidRPr="002514D7">
          <w:rPr>
            <w:rStyle w:val="Hipervnculo"/>
            <w:sz w:val="20"/>
            <w:szCs w:val="20"/>
          </w:rPr>
          <w:t xml:space="preserve"> – Jerarquización de los bienes estatales </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_Toc470855562 \h </w:instrText>
        </w:r>
        <w:r w:rsidR="00B71B75" w:rsidRPr="002514D7">
          <w:rPr>
            <w:webHidden/>
            <w:sz w:val="20"/>
            <w:szCs w:val="20"/>
          </w:rPr>
        </w:r>
        <w:r w:rsidR="00B71B75" w:rsidRPr="002514D7">
          <w:rPr>
            <w:webHidden/>
            <w:sz w:val="20"/>
            <w:szCs w:val="20"/>
          </w:rPr>
          <w:fldChar w:fldCharType="separate"/>
        </w:r>
        <w:r w:rsidR="00430919">
          <w:rPr>
            <w:webHidden/>
            <w:sz w:val="20"/>
            <w:szCs w:val="20"/>
          </w:rPr>
          <w:t>360</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63" w:history="1">
        <w:r w:rsidR="00B71B75" w:rsidRPr="002514D7">
          <w:rPr>
            <w:rStyle w:val="Hipervnculo"/>
            <w:sz w:val="20"/>
            <w:szCs w:val="20"/>
          </w:rPr>
          <w:t>RESOLUCION MINISTERIAL Nº 429-2006-EF-10</w:t>
        </w:r>
        <w:r w:rsidR="00654272" w:rsidRPr="002514D7">
          <w:rPr>
            <w:rStyle w:val="Hipervnculo"/>
            <w:sz w:val="20"/>
            <w:szCs w:val="20"/>
          </w:rPr>
          <w:t xml:space="preserve"> - Transferencia de funciones  </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_Toc470855563 \h </w:instrText>
        </w:r>
        <w:r w:rsidR="00B71B75" w:rsidRPr="002514D7">
          <w:rPr>
            <w:webHidden/>
            <w:sz w:val="20"/>
            <w:szCs w:val="20"/>
          </w:rPr>
        </w:r>
        <w:r w:rsidR="00B71B75" w:rsidRPr="002514D7">
          <w:rPr>
            <w:webHidden/>
            <w:sz w:val="20"/>
            <w:szCs w:val="20"/>
          </w:rPr>
          <w:fldChar w:fldCharType="separate"/>
        </w:r>
        <w:r w:rsidR="00430919">
          <w:rPr>
            <w:webHidden/>
            <w:sz w:val="20"/>
            <w:szCs w:val="20"/>
          </w:rPr>
          <w:t>364</w:t>
        </w:r>
        <w:r w:rsidR="00B71B75" w:rsidRPr="002514D7">
          <w:rPr>
            <w:webHidden/>
            <w:sz w:val="20"/>
            <w:szCs w:val="20"/>
          </w:rPr>
          <w:fldChar w:fldCharType="end"/>
        </w:r>
      </w:hyperlink>
    </w:p>
    <w:p w:rsidR="00B71B75" w:rsidRPr="002514D7" w:rsidRDefault="000A5EA6" w:rsidP="004515A7">
      <w:pPr>
        <w:pStyle w:val="TDC2"/>
        <w:rPr>
          <w:rStyle w:val="Hipervnculo"/>
          <w:sz w:val="20"/>
          <w:szCs w:val="20"/>
        </w:rPr>
      </w:pPr>
      <w:hyperlink w:anchor="_Toc470855564" w:history="1">
        <w:r w:rsidR="00B71B75" w:rsidRPr="002514D7">
          <w:rPr>
            <w:rStyle w:val="Hipervnculo"/>
            <w:sz w:val="20"/>
            <w:szCs w:val="20"/>
          </w:rPr>
          <w:t>RESOLUCION MINISTERIAL Nº 656-2006-EF-10</w:t>
        </w:r>
        <w:r w:rsidR="00654272" w:rsidRPr="002514D7">
          <w:rPr>
            <w:rStyle w:val="Hipervnculo"/>
            <w:sz w:val="20"/>
            <w:szCs w:val="20"/>
          </w:rPr>
          <w:t xml:space="preserve"> – Transferencia de funciones</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_Toc470855564 \h </w:instrText>
        </w:r>
        <w:r w:rsidR="00B71B75" w:rsidRPr="002514D7">
          <w:rPr>
            <w:webHidden/>
            <w:sz w:val="20"/>
            <w:szCs w:val="20"/>
          </w:rPr>
        </w:r>
        <w:r w:rsidR="00B71B75" w:rsidRPr="002514D7">
          <w:rPr>
            <w:webHidden/>
            <w:sz w:val="20"/>
            <w:szCs w:val="20"/>
          </w:rPr>
          <w:fldChar w:fldCharType="separate"/>
        </w:r>
        <w:r w:rsidR="00430919">
          <w:rPr>
            <w:webHidden/>
            <w:sz w:val="20"/>
            <w:szCs w:val="20"/>
          </w:rPr>
          <w:t>366</w:t>
        </w:r>
        <w:r w:rsidR="00B71B75" w:rsidRPr="002514D7">
          <w:rPr>
            <w:webHidden/>
            <w:sz w:val="20"/>
            <w:szCs w:val="20"/>
          </w:rPr>
          <w:fldChar w:fldCharType="end"/>
        </w:r>
      </w:hyperlink>
    </w:p>
    <w:p w:rsidR="002514D7" w:rsidRPr="002514D7" w:rsidRDefault="002514D7" w:rsidP="002514D7">
      <w:pPr>
        <w:ind w:left="284"/>
        <w:rPr>
          <w:rFonts w:ascii="Cambria Math" w:hAnsi="Cambria Math"/>
          <w:noProof/>
          <w:sz w:val="20"/>
          <w:szCs w:val="20"/>
        </w:rPr>
      </w:pPr>
      <w:r w:rsidRPr="002514D7">
        <w:rPr>
          <w:rFonts w:ascii="Cambria Math" w:hAnsi="Cambria Math"/>
          <w:noProof/>
          <w:sz w:val="20"/>
          <w:szCs w:val="20"/>
        </w:rPr>
        <w:t>RESOLUCION MINISTERIAL N° 398-2016-VIVIENDA - Transferencia de funciones………………………</w:t>
      </w:r>
      <w:r w:rsidR="00430919">
        <w:rPr>
          <w:rFonts w:ascii="Cambria Math" w:hAnsi="Cambria Math"/>
          <w:noProof/>
          <w:sz w:val="20"/>
          <w:szCs w:val="20"/>
        </w:rPr>
        <w:t>……………… 368</w:t>
      </w:r>
    </w:p>
    <w:p w:rsidR="00B71B75" w:rsidRPr="002514D7" w:rsidRDefault="000A5EA6" w:rsidP="00B71B75">
      <w:pPr>
        <w:pStyle w:val="TDC1"/>
        <w:rPr>
          <w:rFonts w:eastAsiaTheme="minorEastAsia"/>
          <w:sz w:val="20"/>
          <w:szCs w:val="20"/>
          <w:lang w:eastAsia="es-PE"/>
        </w:rPr>
      </w:pPr>
      <w:hyperlink w:anchor="_Toc470855565" w:history="1">
        <w:r w:rsidR="00B71B75" w:rsidRPr="002514D7">
          <w:rPr>
            <w:rStyle w:val="Hipervnculo"/>
            <w:sz w:val="20"/>
            <w:szCs w:val="20"/>
          </w:rPr>
          <w:t>NORMAS SOBRE PLAYAS</w:t>
        </w:r>
      </w:hyperlink>
    </w:p>
    <w:p w:rsidR="00B71B75" w:rsidRPr="002514D7" w:rsidRDefault="000A5EA6" w:rsidP="004515A7">
      <w:pPr>
        <w:pStyle w:val="TDC2"/>
        <w:rPr>
          <w:rFonts w:eastAsiaTheme="minorEastAsia"/>
          <w:sz w:val="20"/>
          <w:szCs w:val="20"/>
          <w:lang w:eastAsia="es-PE"/>
        </w:rPr>
      </w:pPr>
      <w:hyperlink w:anchor="_Toc470855566" w:history="1">
        <w:r w:rsidR="00B71B75" w:rsidRPr="002514D7">
          <w:rPr>
            <w:rStyle w:val="Hipervnculo"/>
            <w:sz w:val="20"/>
            <w:szCs w:val="20"/>
          </w:rPr>
          <w:t>LEY Nº 26856</w:t>
        </w:r>
        <w:r w:rsidR="00654272" w:rsidRPr="002514D7">
          <w:rPr>
            <w:rStyle w:val="Hipervnculo"/>
            <w:sz w:val="20"/>
            <w:szCs w:val="20"/>
          </w:rPr>
          <w:t xml:space="preserve"> – Ley de Playas</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_Toc470855566 \h </w:instrText>
        </w:r>
        <w:r w:rsidR="00B71B75" w:rsidRPr="002514D7">
          <w:rPr>
            <w:webHidden/>
            <w:sz w:val="20"/>
            <w:szCs w:val="20"/>
          </w:rPr>
        </w:r>
        <w:r w:rsidR="00B71B75" w:rsidRPr="002514D7">
          <w:rPr>
            <w:webHidden/>
            <w:sz w:val="20"/>
            <w:szCs w:val="20"/>
          </w:rPr>
          <w:fldChar w:fldCharType="separate"/>
        </w:r>
        <w:r w:rsidR="00430919">
          <w:rPr>
            <w:webHidden/>
            <w:sz w:val="20"/>
            <w:szCs w:val="20"/>
          </w:rPr>
          <w:t>371</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67" w:history="1">
        <w:r w:rsidR="00B71B75" w:rsidRPr="002514D7">
          <w:rPr>
            <w:rStyle w:val="Hipervnculo"/>
            <w:sz w:val="20"/>
            <w:szCs w:val="20"/>
          </w:rPr>
          <w:t>DECRETO SUPREMO Nº 050-2006-EF</w:t>
        </w:r>
        <w:r w:rsidR="00654272" w:rsidRPr="002514D7">
          <w:rPr>
            <w:rStyle w:val="Hipervnculo"/>
            <w:sz w:val="20"/>
            <w:szCs w:val="20"/>
          </w:rPr>
          <w:t xml:space="preserve"> – Reglamento de la Ley de Playas</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_Toc470855567 \h </w:instrText>
        </w:r>
        <w:r w:rsidR="00B71B75" w:rsidRPr="002514D7">
          <w:rPr>
            <w:webHidden/>
            <w:sz w:val="20"/>
            <w:szCs w:val="20"/>
          </w:rPr>
        </w:r>
        <w:r w:rsidR="00B71B75" w:rsidRPr="002514D7">
          <w:rPr>
            <w:webHidden/>
            <w:sz w:val="20"/>
            <w:szCs w:val="20"/>
          </w:rPr>
          <w:fldChar w:fldCharType="separate"/>
        </w:r>
        <w:r w:rsidR="00430919">
          <w:rPr>
            <w:webHidden/>
            <w:sz w:val="20"/>
            <w:szCs w:val="20"/>
          </w:rPr>
          <w:t>376</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68" w:history="1">
        <w:r w:rsidR="00B71B75" w:rsidRPr="002514D7">
          <w:rPr>
            <w:rStyle w:val="Hipervnculo"/>
            <w:sz w:val="20"/>
            <w:szCs w:val="20"/>
          </w:rPr>
          <w:t>DECRETO SUPREMO Nº 010-2008-VIVIENDA</w:t>
        </w:r>
        <w:r w:rsidR="00654272" w:rsidRPr="002514D7">
          <w:rPr>
            <w:rStyle w:val="Hipervnculo"/>
            <w:sz w:val="20"/>
            <w:szCs w:val="20"/>
          </w:rPr>
          <w:t xml:space="preserve"> – Supervisión de la zona de playa protegida</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_Toc470855568 \h </w:instrText>
        </w:r>
        <w:r w:rsidR="00B71B75" w:rsidRPr="002514D7">
          <w:rPr>
            <w:webHidden/>
            <w:sz w:val="20"/>
            <w:szCs w:val="20"/>
          </w:rPr>
        </w:r>
        <w:r w:rsidR="00B71B75" w:rsidRPr="002514D7">
          <w:rPr>
            <w:webHidden/>
            <w:sz w:val="20"/>
            <w:szCs w:val="20"/>
          </w:rPr>
          <w:fldChar w:fldCharType="separate"/>
        </w:r>
        <w:r w:rsidR="00430919">
          <w:rPr>
            <w:webHidden/>
            <w:sz w:val="20"/>
            <w:szCs w:val="20"/>
          </w:rPr>
          <w:t>387</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69" w:history="1">
        <w:r w:rsidR="00B71B75" w:rsidRPr="002514D7">
          <w:rPr>
            <w:rStyle w:val="Hipervnculo"/>
            <w:sz w:val="20"/>
            <w:szCs w:val="20"/>
          </w:rPr>
          <w:t>DECRETO LEGISLATIVO Nº 1147</w:t>
        </w:r>
        <w:r w:rsidR="00654272" w:rsidRPr="002514D7">
          <w:rPr>
            <w:rStyle w:val="Hipervnculo"/>
            <w:sz w:val="20"/>
            <w:szCs w:val="20"/>
          </w:rPr>
          <w:t xml:space="preserve"> – Competencias de la DICAPI</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_Toc470855569 \h </w:instrText>
        </w:r>
        <w:r w:rsidR="00B71B75" w:rsidRPr="002514D7">
          <w:rPr>
            <w:webHidden/>
            <w:sz w:val="20"/>
            <w:szCs w:val="20"/>
          </w:rPr>
        </w:r>
        <w:r w:rsidR="00B71B75" w:rsidRPr="002514D7">
          <w:rPr>
            <w:webHidden/>
            <w:sz w:val="20"/>
            <w:szCs w:val="20"/>
          </w:rPr>
          <w:fldChar w:fldCharType="separate"/>
        </w:r>
        <w:r w:rsidR="00430919">
          <w:rPr>
            <w:webHidden/>
            <w:sz w:val="20"/>
            <w:szCs w:val="20"/>
          </w:rPr>
          <w:t>389</w:t>
        </w:r>
        <w:r w:rsidR="00B71B75" w:rsidRPr="002514D7">
          <w:rPr>
            <w:webHidden/>
            <w:sz w:val="20"/>
            <w:szCs w:val="20"/>
          </w:rPr>
          <w:fldChar w:fldCharType="end"/>
        </w:r>
      </w:hyperlink>
    </w:p>
    <w:p w:rsidR="00654272" w:rsidRPr="002514D7" w:rsidRDefault="00654272" w:rsidP="00B71B75">
      <w:pPr>
        <w:pStyle w:val="TDC1"/>
        <w:rPr>
          <w:rStyle w:val="Hipervnculo"/>
          <w:sz w:val="20"/>
          <w:szCs w:val="20"/>
        </w:rPr>
      </w:pPr>
    </w:p>
    <w:p w:rsidR="00B71B75" w:rsidRPr="002514D7" w:rsidRDefault="000A5EA6" w:rsidP="00B71B75">
      <w:pPr>
        <w:pStyle w:val="TDC1"/>
        <w:rPr>
          <w:rFonts w:eastAsiaTheme="minorEastAsia"/>
          <w:sz w:val="20"/>
          <w:szCs w:val="20"/>
          <w:lang w:eastAsia="es-PE"/>
        </w:rPr>
      </w:pPr>
      <w:hyperlink w:anchor="_Toc470855570" w:history="1">
        <w:r w:rsidR="00B71B75" w:rsidRPr="002514D7">
          <w:rPr>
            <w:rStyle w:val="Hipervnculo"/>
            <w:sz w:val="20"/>
            <w:szCs w:val="20"/>
          </w:rPr>
          <w:t>NORMAS PARA LA DISPOSICION DE INMUEBLES EN EL SECTOR DEFENSA</w:t>
        </w:r>
      </w:hyperlink>
    </w:p>
    <w:p w:rsidR="00B71B75" w:rsidRPr="002514D7" w:rsidRDefault="000A5EA6" w:rsidP="004515A7">
      <w:pPr>
        <w:pStyle w:val="TDC2"/>
        <w:rPr>
          <w:rFonts w:eastAsiaTheme="minorEastAsia"/>
          <w:sz w:val="20"/>
          <w:szCs w:val="20"/>
          <w:lang w:eastAsia="es-PE"/>
        </w:rPr>
      </w:pPr>
      <w:hyperlink w:anchor="_Toc470855571" w:history="1">
        <w:r w:rsidR="00B71B75" w:rsidRPr="002514D7">
          <w:rPr>
            <w:rStyle w:val="Hipervnculo"/>
            <w:sz w:val="20"/>
            <w:szCs w:val="20"/>
          </w:rPr>
          <w:t>LEY Nº 29006</w:t>
        </w:r>
        <w:r w:rsidR="00654272" w:rsidRPr="002514D7">
          <w:rPr>
            <w:rStyle w:val="Hipervnculo"/>
            <w:sz w:val="20"/>
            <w:szCs w:val="20"/>
          </w:rPr>
          <w:t xml:space="preserve"> – Autoriza disposición de inmeubles del Sector Defensa</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_Toc470855571 \h </w:instrText>
        </w:r>
        <w:r w:rsidR="00B71B75" w:rsidRPr="002514D7">
          <w:rPr>
            <w:webHidden/>
            <w:sz w:val="20"/>
            <w:szCs w:val="20"/>
          </w:rPr>
        </w:r>
        <w:r w:rsidR="00B71B75" w:rsidRPr="002514D7">
          <w:rPr>
            <w:webHidden/>
            <w:sz w:val="20"/>
            <w:szCs w:val="20"/>
          </w:rPr>
          <w:fldChar w:fldCharType="separate"/>
        </w:r>
        <w:r w:rsidR="00430919">
          <w:rPr>
            <w:webHidden/>
            <w:sz w:val="20"/>
            <w:szCs w:val="20"/>
          </w:rPr>
          <w:t>399</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72" w:history="1">
        <w:r w:rsidR="00B71B75" w:rsidRPr="002514D7">
          <w:rPr>
            <w:rStyle w:val="Hipervnculo"/>
            <w:sz w:val="20"/>
            <w:szCs w:val="20"/>
          </w:rPr>
          <w:t>DECRETO SUPREMO Nº 024-DE-SG</w:t>
        </w:r>
        <w:r w:rsidR="00654272" w:rsidRPr="002514D7">
          <w:rPr>
            <w:rStyle w:val="Hipervnculo"/>
            <w:sz w:val="20"/>
            <w:szCs w:val="20"/>
          </w:rPr>
          <w:t xml:space="preserve"> – Bienes de las FF.AA. son inalienables e imprescriptibles</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_Toc470855572 \h </w:instrText>
        </w:r>
        <w:r w:rsidR="00B71B75" w:rsidRPr="002514D7">
          <w:rPr>
            <w:webHidden/>
            <w:sz w:val="20"/>
            <w:szCs w:val="20"/>
          </w:rPr>
        </w:r>
        <w:r w:rsidR="00B71B75" w:rsidRPr="002514D7">
          <w:rPr>
            <w:webHidden/>
            <w:sz w:val="20"/>
            <w:szCs w:val="20"/>
          </w:rPr>
          <w:fldChar w:fldCharType="separate"/>
        </w:r>
        <w:r w:rsidR="00430919">
          <w:rPr>
            <w:webHidden/>
            <w:sz w:val="20"/>
            <w:szCs w:val="20"/>
          </w:rPr>
          <w:t>402</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73" w:history="1">
        <w:r w:rsidR="00B71B75" w:rsidRPr="002514D7">
          <w:rPr>
            <w:rStyle w:val="Hipervnculo"/>
            <w:sz w:val="20"/>
            <w:szCs w:val="20"/>
          </w:rPr>
          <w:t>DECRETO SUPREMO Nº 032-DE-SG</w:t>
        </w:r>
        <w:r w:rsidR="00654272" w:rsidRPr="002514D7">
          <w:rPr>
            <w:rStyle w:val="Hipervnculo"/>
            <w:sz w:val="20"/>
            <w:szCs w:val="20"/>
          </w:rPr>
          <w:t xml:space="preserve"> – Reglamento de Administración de los bienes de Defensa</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_Toc470855573 \h </w:instrText>
        </w:r>
        <w:r w:rsidR="00B71B75" w:rsidRPr="002514D7">
          <w:rPr>
            <w:webHidden/>
            <w:sz w:val="20"/>
            <w:szCs w:val="20"/>
          </w:rPr>
        </w:r>
        <w:r w:rsidR="00B71B75" w:rsidRPr="002514D7">
          <w:rPr>
            <w:webHidden/>
            <w:sz w:val="20"/>
            <w:szCs w:val="20"/>
          </w:rPr>
          <w:fldChar w:fldCharType="separate"/>
        </w:r>
        <w:r w:rsidR="00430919">
          <w:rPr>
            <w:webHidden/>
            <w:sz w:val="20"/>
            <w:szCs w:val="20"/>
          </w:rPr>
          <w:t>404</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74" w:history="1">
        <w:r w:rsidR="00B71B75" w:rsidRPr="002514D7">
          <w:rPr>
            <w:rStyle w:val="Hipervnculo"/>
            <w:sz w:val="20"/>
            <w:szCs w:val="20"/>
          </w:rPr>
          <w:t>DECRETO SUPREMO Nº 021-2007-DE-SG</w:t>
        </w:r>
        <w:r w:rsidR="00654272" w:rsidRPr="002514D7">
          <w:rPr>
            <w:rStyle w:val="Hipervnculo"/>
            <w:sz w:val="20"/>
            <w:szCs w:val="20"/>
          </w:rPr>
          <w:t xml:space="preserve"> – Reglamento de la Ley N° 29006</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_Toc470855574 \h </w:instrText>
        </w:r>
        <w:r w:rsidR="00B71B75" w:rsidRPr="002514D7">
          <w:rPr>
            <w:webHidden/>
            <w:sz w:val="20"/>
            <w:szCs w:val="20"/>
          </w:rPr>
        </w:r>
        <w:r w:rsidR="00B71B75" w:rsidRPr="002514D7">
          <w:rPr>
            <w:webHidden/>
            <w:sz w:val="20"/>
            <w:szCs w:val="20"/>
          </w:rPr>
          <w:fldChar w:fldCharType="separate"/>
        </w:r>
        <w:r w:rsidR="00430919">
          <w:rPr>
            <w:webHidden/>
            <w:sz w:val="20"/>
            <w:szCs w:val="20"/>
          </w:rPr>
          <w:t>413</w:t>
        </w:r>
        <w:r w:rsidR="00B71B75" w:rsidRPr="002514D7">
          <w:rPr>
            <w:webHidden/>
            <w:sz w:val="20"/>
            <w:szCs w:val="20"/>
          </w:rPr>
          <w:fldChar w:fldCharType="end"/>
        </w:r>
      </w:hyperlink>
    </w:p>
    <w:p w:rsidR="00654272" w:rsidRPr="002514D7" w:rsidRDefault="00654272" w:rsidP="00B71B75">
      <w:pPr>
        <w:pStyle w:val="TDC1"/>
        <w:rPr>
          <w:rStyle w:val="Hipervnculo"/>
          <w:sz w:val="20"/>
          <w:szCs w:val="20"/>
        </w:rPr>
      </w:pPr>
    </w:p>
    <w:p w:rsidR="00B71B75" w:rsidRPr="002514D7" w:rsidRDefault="000A5EA6" w:rsidP="00B71B75">
      <w:pPr>
        <w:pStyle w:val="TDC1"/>
        <w:rPr>
          <w:rFonts w:eastAsiaTheme="minorEastAsia"/>
          <w:sz w:val="20"/>
          <w:szCs w:val="20"/>
          <w:lang w:eastAsia="es-PE"/>
        </w:rPr>
      </w:pPr>
      <w:hyperlink w:anchor="_Toc470855575" w:history="1">
        <w:r w:rsidR="00B71B75" w:rsidRPr="002514D7">
          <w:rPr>
            <w:rStyle w:val="Hipervnculo"/>
            <w:sz w:val="20"/>
            <w:szCs w:val="20"/>
          </w:rPr>
          <w:t>NORMAS SECTORIALES VINCULADAS A PREDIOS DEL ESTADO</w:t>
        </w:r>
      </w:hyperlink>
    </w:p>
    <w:p w:rsidR="00B71B75" w:rsidRPr="002514D7" w:rsidRDefault="000A5EA6" w:rsidP="004515A7">
      <w:pPr>
        <w:pStyle w:val="TDC2"/>
        <w:rPr>
          <w:rFonts w:eastAsiaTheme="minorEastAsia"/>
          <w:sz w:val="20"/>
          <w:szCs w:val="20"/>
          <w:lang w:eastAsia="es-PE"/>
        </w:rPr>
      </w:pPr>
      <w:hyperlink w:anchor="_Toc470855576" w:history="1">
        <w:r w:rsidR="00B71B75" w:rsidRPr="002514D7">
          <w:rPr>
            <w:rStyle w:val="Hipervnculo"/>
            <w:sz w:val="20"/>
            <w:szCs w:val="20"/>
          </w:rPr>
          <w:t>LEY N° 26834</w:t>
        </w:r>
        <w:r w:rsidR="00654272" w:rsidRPr="002514D7">
          <w:rPr>
            <w:rStyle w:val="Hipervnculo"/>
            <w:sz w:val="20"/>
            <w:szCs w:val="20"/>
          </w:rPr>
          <w:t xml:space="preserve"> – Ley de Áreas Naturales Protegidas</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_Toc470855576 \h </w:instrText>
        </w:r>
        <w:r w:rsidR="00B71B75" w:rsidRPr="002514D7">
          <w:rPr>
            <w:webHidden/>
            <w:sz w:val="20"/>
            <w:szCs w:val="20"/>
          </w:rPr>
        </w:r>
        <w:r w:rsidR="00B71B75" w:rsidRPr="002514D7">
          <w:rPr>
            <w:webHidden/>
            <w:sz w:val="20"/>
            <w:szCs w:val="20"/>
          </w:rPr>
          <w:fldChar w:fldCharType="separate"/>
        </w:r>
        <w:r w:rsidR="00430919">
          <w:rPr>
            <w:webHidden/>
            <w:sz w:val="20"/>
            <w:szCs w:val="20"/>
          </w:rPr>
          <w:t>421</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77" w:history="1">
        <w:r w:rsidR="00B71B75" w:rsidRPr="002514D7">
          <w:rPr>
            <w:rStyle w:val="Hipervnculo"/>
            <w:sz w:val="20"/>
            <w:szCs w:val="20"/>
          </w:rPr>
          <w:t>LEY Nº 28296</w:t>
        </w:r>
        <w:r w:rsidR="00654272" w:rsidRPr="002514D7">
          <w:rPr>
            <w:rStyle w:val="Hipervnculo"/>
            <w:sz w:val="20"/>
            <w:szCs w:val="20"/>
          </w:rPr>
          <w:t xml:space="preserve"> – Ley del Patrimonio Cultural de la Nación</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_Toc470855577 \h </w:instrText>
        </w:r>
        <w:r w:rsidR="00B71B75" w:rsidRPr="002514D7">
          <w:rPr>
            <w:webHidden/>
            <w:sz w:val="20"/>
            <w:szCs w:val="20"/>
          </w:rPr>
        </w:r>
        <w:r w:rsidR="00B71B75" w:rsidRPr="002514D7">
          <w:rPr>
            <w:webHidden/>
            <w:sz w:val="20"/>
            <w:szCs w:val="20"/>
          </w:rPr>
          <w:fldChar w:fldCharType="separate"/>
        </w:r>
        <w:r w:rsidR="00430919">
          <w:rPr>
            <w:webHidden/>
            <w:sz w:val="20"/>
            <w:szCs w:val="20"/>
          </w:rPr>
          <w:t>422</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78" w:history="1">
        <w:r w:rsidR="00B71B75" w:rsidRPr="002514D7">
          <w:rPr>
            <w:rStyle w:val="Hipervnculo"/>
            <w:sz w:val="20"/>
            <w:szCs w:val="20"/>
          </w:rPr>
          <w:t>LEY Nº 29869</w:t>
        </w:r>
        <w:r w:rsidR="00654272" w:rsidRPr="002514D7">
          <w:rPr>
            <w:rStyle w:val="Hipervnculo"/>
            <w:sz w:val="20"/>
            <w:szCs w:val="20"/>
          </w:rPr>
          <w:t xml:space="preserve"> – Ley del Reasentamiento Poblacional</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_Toc470855578 \h </w:instrText>
        </w:r>
        <w:r w:rsidR="00B71B75" w:rsidRPr="002514D7">
          <w:rPr>
            <w:webHidden/>
            <w:sz w:val="20"/>
            <w:szCs w:val="20"/>
          </w:rPr>
        </w:r>
        <w:r w:rsidR="00B71B75" w:rsidRPr="002514D7">
          <w:rPr>
            <w:webHidden/>
            <w:sz w:val="20"/>
            <w:szCs w:val="20"/>
          </w:rPr>
          <w:fldChar w:fldCharType="separate"/>
        </w:r>
        <w:r w:rsidR="00430919">
          <w:rPr>
            <w:webHidden/>
            <w:sz w:val="20"/>
            <w:szCs w:val="20"/>
          </w:rPr>
          <w:t>438</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79" w:history="1">
        <w:r w:rsidR="00B71B75" w:rsidRPr="002514D7">
          <w:rPr>
            <w:rStyle w:val="Hipervnculo"/>
            <w:sz w:val="20"/>
            <w:szCs w:val="20"/>
          </w:rPr>
          <w:t>LEY Nº 30025</w:t>
        </w:r>
        <w:r w:rsidR="00654272" w:rsidRPr="002514D7">
          <w:rPr>
            <w:rStyle w:val="Hipervnculo"/>
            <w:sz w:val="20"/>
            <w:szCs w:val="20"/>
          </w:rPr>
          <w:t xml:space="preserve"> – </w:t>
        </w:r>
        <w:r w:rsidR="00501B28" w:rsidRPr="002514D7">
          <w:rPr>
            <w:rStyle w:val="Hipervnculo"/>
            <w:sz w:val="20"/>
            <w:szCs w:val="20"/>
          </w:rPr>
          <w:t>Ley para proyectos de infraestructura (parte vigente)</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_Toc470855579 \h </w:instrText>
        </w:r>
        <w:r w:rsidR="00B71B75" w:rsidRPr="002514D7">
          <w:rPr>
            <w:webHidden/>
            <w:sz w:val="20"/>
            <w:szCs w:val="20"/>
          </w:rPr>
        </w:r>
        <w:r w:rsidR="00B71B75" w:rsidRPr="002514D7">
          <w:rPr>
            <w:webHidden/>
            <w:sz w:val="20"/>
            <w:szCs w:val="20"/>
          </w:rPr>
          <w:fldChar w:fldCharType="separate"/>
        </w:r>
        <w:r w:rsidR="00430919">
          <w:rPr>
            <w:webHidden/>
            <w:sz w:val="20"/>
            <w:szCs w:val="20"/>
          </w:rPr>
          <w:t>445</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80" w:history="1">
        <w:r w:rsidR="00B71B75" w:rsidRPr="002514D7">
          <w:rPr>
            <w:rStyle w:val="Hipervnculo"/>
            <w:sz w:val="20"/>
            <w:szCs w:val="20"/>
          </w:rPr>
          <w:t>LEY Nº 30056</w:t>
        </w:r>
        <w:r w:rsidR="00501B28" w:rsidRPr="002514D7">
          <w:rPr>
            <w:rStyle w:val="Hipervnculo"/>
            <w:sz w:val="20"/>
            <w:szCs w:val="20"/>
          </w:rPr>
          <w:t xml:space="preserve"> – Ley que facilita la inversión y desarrollo productivo</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_Toc470855580 \h </w:instrText>
        </w:r>
        <w:r w:rsidR="00B71B75" w:rsidRPr="002514D7">
          <w:rPr>
            <w:webHidden/>
            <w:sz w:val="20"/>
            <w:szCs w:val="20"/>
          </w:rPr>
        </w:r>
        <w:r w:rsidR="00B71B75" w:rsidRPr="002514D7">
          <w:rPr>
            <w:webHidden/>
            <w:sz w:val="20"/>
            <w:szCs w:val="20"/>
          </w:rPr>
          <w:fldChar w:fldCharType="separate"/>
        </w:r>
        <w:r w:rsidR="00430919">
          <w:rPr>
            <w:webHidden/>
            <w:sz w:val="20"/>
            <w:szCs w:val="20"/>
          </w:rPr>
          <w:t>454</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81" w:history="1">
        <w:r w:rsidR="00B71B75" w:rsidRPr="002514D7">
          <w:rPr>
            <w:rStyle w:val="Hipervnculo"/>
            <w:sz w:val="20"/>
            <w:szCs w:val="20"/>
          </w:rPr>
          <w:t>LEY Nº 30078</w:t>
        </w:r>
        <w:r w:rsidR="00501B28" w:rsidRPr="002514D7">
          <w:rPr>
            <w:rStyle w:val="Hipervnculo"/>
            <w:sz w:val="20"/>
            <w:szCs w:val="20"/>
          </w:rPr>
          <w:t xml:space="preserve"> – Ley de Parques Industriales Tecnoecológicos</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_Toc470855581 \h </w:instrText>
        </w:r>
        <w:r w:rsidR="00B71B75" w:rsidRPr="002514D7">
          <w:rPr>
            <w:webHidden/>
            <w:sz w:val="20"/>
            <w:szCs w:val="20"/>
          </w:rPr>
        </w:r>
        <w:r w:rsidR="00B71B75" w:rsidRPr="002514D7">
          <w:rPr>
            <w:webHidden/>
            <w:sz w:val="20"/>
            <w:szCs w:val="20"/>
          </w:rPr>
          <w:fldChar w:fldCharType="separate"/>
        </w:r>
        <w:r w:rsidR="00430919">
          <w:rPr>
            <w:webHidden/>
            <w:sz w:val="20"/>
            <w:szCs w:val="20"/>
          </w:rPr>
          <w:t>459</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82" w:history="1">
        <w:r w:rsidR="00B71B75" w:rsidRPr="002514D7">
          <w:rPr>
            <w:rStyle w:val="Hipervnculo"/>
            <w:sz w:val="20"/>
            <w:szCs w:val="20"/>
          </w:rPr>
          <w:t>LEY Nº 30327</w:t>
        </w:r>
        <w:r w:rsidR="00501B28" w:rsidRPr="002514D7">
          <w:rPr>
            <w:rStyle w:val="Hipervnculo"/>
            <w:sz w:val="20"/>
            <w:szCs w:val="20"/>
          </w:rPr>
          <w:t xml:space="preserve"> – Inversiones para el crecimiento y desarrollo sostenible</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_Toc470855582 \h </w:instrText>
        </w:r>
        <w:r w:rsidR="00B71B75" w:rsidRPr="002514D7">
          <w:rPr>
            <w:webHidden/>
            <w:sz w:val="20"/>
            <w:szCs w:val="20"/>
          </w:rPr>
        </w:r>
        <w:r w:rsidR="00B71B75" w:rsidRPr="002514D7">
          <w:rPr>
            <w:webHidden/>
            <w:sz w:val="20"/>
            <w:szCs w:val="20"/>
          </w:rPr>
          <w:fldChar w:fldCharType="separate"/>
        </w:r>
        <w:r w:rsidR="00430919">
          <w:rPr>
            <w:webHidden/>
            <w:sz w:val="20"/>
            <w:szCs w:val="20"/>
          </w:rPr>
          <w:t>467</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83" w:history="1">
        <w:r w:rsidR="00B71B75" w:rsidRPr="002514D7">
          <w:rPr>
            <w:rStyle w:val="Hipervnculo"/>
            <w:sz w:val="20"/>
            <w:szCs w:val="20"/>
          </w:rPr>
          <w:t>DECRETO LEGISLATIVO Nº 1166</w:t>
        </w:r>
        <w:r w:rsidR="00501B28" w:rsidRPr="002514D7">
          <w:rPr>
            <w:rStyle w:val="Hipervnculo"/>
            <w:sz w:val="20"/>
            <w:szCs w:val="20"/>
          </w:rPr>
          <w:t xml:space="preserve"> – Tranferencia de inmuebles ocupados por el Sector Salud</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_Toc470855583 \h </w:instrText>
        </w:r>
        <w:r w:rsidR="00B71B75" w:rsidRPr="002514D7">
          <w:rPr>
            <w:webHidden/>
            <w:sz w:val="20"/>
            <w:szCs w:val="20"/>
          </w:rPr>
        </w:r>
        <w:r w:rsidR="00B71B75" w:rsidRPr="002514D7">
          <w:rPr>
            <w:webHidden/>
            <w:sz w:val="20"/>
            <w:szCs w:val="20"/>
          </w:rPr>
          <w:fldChar w:fldCharType="separate"/>
        </w:r>
        <w:r w:rsidR="00430919">
          <w:rPr>
            <w:webHidden/>
            <w:sz w:val="20"/>
            <w:szCs w:val="20"/>
          </w:rPr>
          <w:t>474</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84" w:history="1">
        <w:r w:rsidR="00B71B75" w:rsidRPr="002514D7">
          <w:rPr>
            <w:rStyle w:val="Hipervnculo"/>
            <w:sz w:val="20"/>
            <w:szCs w:val="20"/>
          </w:rPr>
          <w:t>DECRETO LEGISLATIVO N° 1192</w:t>
        </w:r>
        <w:r w:rsidR="00501B28" w:rsidRPr="002514D7">
          <w:rPr>
            <w:rStyle w:val="Hipervnculo"/>
            <w:sz w:val="20"/>
            <w:szCs w:val="20"/>
          </w:rPr>
          <w:t xml:space="preserve"> – Ley Marco de adquisición y expropiación de inmuebles</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_Toc470855584 \h </w:instrText>
        </w:r>
        <w:r w:rsidR="00B71B75" w:rsidRPr="002514D7">
          <w:rPr>
            <w:webHidden/>
            <w:sz w:val="20"/>
            <w:szCs w:val="20"/>
          </w:rPr>
        </w:r>
        <w:r w:rsidR="00B71B75" w:rsidRPr="002514D7">
          <w:rPr>
            <w:webHidden/>
            <w:sz w:val="20"/>
            <w:szCs w:val="20"/>
          </w:rPr>
          <w:fldChar w:fldCharType="separate"/>
        </w:r>
        <w:r w:rsidR="00430919">
          <w:rPr>
            <w:webHidden/>
            <w:sz w:val="20"/>
            <w:szCs w:val="20"/>
          </w:rPr>
          <w:t>475</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85" w:history="1">
        <w:r w:rsidR="00B71B75" w:rsidRPr="002514D7">
          <w:rPr>
            <w:rStyle w:val="Hipervnculo"/>
            <w:sz w:val="20"/>
            <w:szCs w:val="20"/>
          </w:rPr>
          <w:t>DECRETO LEGISLATIVO N° 1199</w:t>
        </w:r>
        <w:r w:rsidR="00501B28" w:rsidRPr="002514D7">
          <w:rPr>
            <w:rStyle w:val="Hipervnculo"/>
            <w:sz w:val="20"/>
            <w:szCs w:val="20"/>
          </w:rPr>
          <w:t xml:space="preserve"> – Sistema Nacional de Parques Industriales</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_Toc470855585 \h </w:instrText>
        </w:r>
        <w:r w:rsidR="00B71B75" w:rsidRPr="002514D7">
          <w:rPr>
            <w:webHidden/>
            <w:sz w:val="20"/>
            <w:szCs w:val="20"/>
          </w:rPr>
        </w:r>
        <w:r w:rsidR="00B71B75" w:rsidRPr="002514D7">
          <w:rPr>
            <w:webHidden/>
            <w:sz w:val="20"/>
            <w:szCs w:val="20"/>
          </w:rPr>
          <w:fldChar w:fldCharType="separate"/>
        </w:r>
        <w:r w:rsidR="00430919">
          <w:rPr>
            <w:webHidden/>
            <w:sz w:val="20"/>
            <w:szCs w:val="20"/>
          </w:rPr>
          <w:t>478</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86" w:history="1">
        <w:r w:rsidR="00B71B75" w:rsidRPr="002514D7">
          <w:rPr>
            <w:rStyle w:val="Hipervnculo"/>
            <w:sz w:val="20"/>
            <w:szCs w:val="20"/>
          </w:rPr>
          <w:t>DECRETO LEGISLATIVO N° 1202</w:t>
        </w:r>
        <w:r w:rsidR="00501B28" w:rsidRPr="002514D7">
          <w:rPr>
            <w:rStyle w:val="Hipervnculo"/>
            <w:sz w:val="20"/>
            <w:szCs w:val="20"/>
          </w:rPr>
          <w:t xml:space="preserve"> – Modifica el D. Leg. 803</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_Toc470855586 \h </w:instrText>
        </w:r>
        <w:r w:rsidR="00B71B75" w:rsidRPr="002514D7">
          <w:rPr>
            <w:webHidden/>
            <w:sz w:val="20"/>
            <w:szCs w:val="20"/>
          </w:rPr>
        </w:r>
        <w:r w:rsidR="00B71B75" w:rsidRPr="002514D7">
          <w:rPr>
            <w:webHidden/>
            <w:sz w:val="20"/>
            <w:szCs w:val="20"/>
          </w:rPr>
          <w:fldChar w:fldCharType="separate"/>
        </w:r>
        <w:r w:rsidR="00430919">
          <w:rPr>
            <w:webHidden/>
            <w:sz w:val="20"/>
            <w:szCs w:val="20"/>
          </w:rPr>
          <w:t>485</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87" w:history="1">
        <w:r w:rsidR="00B71B75" w:rsidRPr="002514D7">
          <w:rPr>
            <w:rStyle w:val="Hipervnculo"/>
            <w:sz w:val="20"/>
            <w:szCs w:val="20"/>
          </w:rPr>
          <w:t>DECRETO LEGISLATIVO N° 1209</w:t>
        </w:r>
        <w:r w:rsidR="00501B28" w:rsidRPr="002514D7">
          <w:rPr>
            <w:rStyle w:val="Hipervnculo"/>
            <w:sz w:val="20"/>
            <w:szCs w:val="20"/>
          </w:rPr>
          <w:t xml:space="preserve"> – Inmatriculación de predios</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_Toc470855587 \h </w:instrText>
        </w:r>
        <w:r w:rsidR="00B71B75" w:rsidRPr="002514D7">
          <w:rPr>
            <w:webHidden/>
            <w:sz w:val="20"/>
            <w:szCs w:val="20"/>
          </w:rPr>
        </w:r>
        <w:r w:rsidR="00B71B75" w:rsidRPr="002514D7">
          <w:rPr>
            <w:webHidden/>
            <w:sz w:val="20"/>
            <w:szCs w:val="20"/>
          </w:rPr>
          <w:fldChar w:fldCharType="separate"/>
        </w:r>
        <w:r w:rsidR="00430919">
          <w:rPr>
            <w:webHidden/>
            <w:sz w:val="20"/>
            <w:szCs w:val="20"/>
          </w:rPr>
          <w:t>490</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88" w:history="1">
        <w:r w:rsidR="00B71B75" w:rsidRPr="002514D7">
          <w:rPr>
            <w:rStyle w:val="Hipervnculo"/>
            <w:sz w:val="20"/>
            <w:szCs w:val="20"/>
          </w:rPr>
          <w:t>DECRETO SUPREMO Nº 038-2001-AG</w:t>
        </w:r>
        <w:r w:rsidR="00501B28" w:rsidRPr="002514D7">
          <w:rPr>
            <w:rStyle w:val="Hipervnculo"/>
            <w:sz w:val="20"/>
            <w:szCs w:val="20"/>
          </w:rPr>
          <w:t xml:space="preserve"> – Reglamento de la Ley de áreas naturales</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_Toc470855588 \h </w:instrText>
        </w:r>
        <w:r w:rsidR="00B71B75" w:rsidRPr="002514D7">
          <w:rPr>
            <w:webHidden/>
            <w:sz w:val="20"/>
            <w:szCs w:val="20"/>
          </w:rPr>
        </w:r>
        <w:r w:rsidR="00B71B75" w:rsidRPr="002514D7">
          <w:rPr>
            <w:webHidden/>
            <w:sz w:val="20"/>
            <w:szCs w:val="20"/>
          </w:rPr>
          <w:fldChar w:fldCharType="separate"/>
        </w:r>
        <w:r w:rsidR="00430919">
          <w:rPr>
            <w:webHidden/>
            <w:sz w:val="20"/>
            <w:szCs w:val="20"/>
          </w:rPr>
          <w:t>491</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89" w:history="1">
        <w:r w:rsidR="00B71B75" w:rsidRPr="002514D7">
          <w:rPr>
            <w:rStyle w:val="Hipervnculo"/>
            <w:sz w:val="20"/>
            <w:szCs w:val="20"/>
          </w:rPr>
          <w:t>DECRETO SUPREMO Nº 060-2013-PCM</w:t>
        </w:r>
        <w:r w:rsidR="00501B28" w:rsidRPr="002514D7">
          <w:rPr>
            <w:rStyle w:val="Hipervnculo"/>
            <w:sz w:val="20"/>
            <w:szCs w:val="20"/>
          </w:rPr>
          <w:t xml:space="preserve"> – Impulsar proyctos de inversión pública</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_Toc470855589 \h </w:instrText>
        </w:r>
        <w:r w:rsidR="00B71B75" w:rsidRPr="002514D7">
          <w:rPr>
            <w:webHidden/>
            <w:sz w:val="20"/>
            <w:szCs w:val="20"/>
          </w:rPr>
        </w:r>
        <w:r w:rsidR="00B71B75" w:rsidRPr="002514D7">
          <w:rPr>
            <w:webHidden/>
            <w:sz w:val="20"/>
            <w:szCs w:val="20"/>
          </w:rPr>
          <w:fldChar w:fldCharType="separate"/>
        </w:r>
        <w:r w:rsidR="00430919">
          <w:rPr>
            <w:webHidden/>
            <w:sz w:val="20"/>
            <w:szCs w:val="20"/>
          </w:rPr>
          <w:t>494</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90" w:history="1">
        <w:r w:rsidR="00B71B75" w:rsidRPr="002514D7">
          <w:rPr>
            <w:rStyle w:val="Hipervnculo"/>
            <w:sz w:val="20"/>
            <w:szCs w:val="20"/>
          </w:rPr>
          <w:t>DECRETO SUPREMO Nº 011-2013-VIVIENDA</w:t>
        </w:r>
        <w:r w:rsidR="00501B28" w:rsidRPr="002514D7">
          <w:rPr>
            <w:rStyle w:val="Hipervnculo"/>
            <w:sz w:val="20"/>
            <w:szCs w:val="20"/>
          </w:rPr>
          <w:t xml:space="preserve"> – (parte vigente)</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_Toc470855590 \h </w:instrText>
        </w:r>
        <w:r w:rsidR="00B71B75" w:rsidRPr="002514D7">
          <w:rPr>
            <w:webHidden/>
            <w:sz w:val="20"/>
            <w:szCs w:val="20"/>
          </w:rPr>
        </w:r>
        <w:r w:rsidR="00B71B75" w:rsidRPr="002514D7">
          <w:rPr>
            <w:webHidden/>
            <w:sz w:val="20"/>
            <w:szCs w:val="20"/>
          </w:rPr>
          <w:fldChar w:fldCharType="separate"/>
        </w:r>
        <w:r w:rsidR="00430919">
          <w:rPr>
            <w:webHidden/>
            <w:sz w:val="20"/>
            <w:szCs w:val="20"/>
          </w:rPr>
          <w:t>499</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91" w:history="1">
        <w:r w:rsidR="00B71B75" w:rsidRPr="002514D7">
          <w:rPr>
            <w:rStyle w:val="Hipervnculo"/>
            <w:sz w:val="20"/>
            <w:szCs w:val="20"/>
          </w:rPr>
          <w:t>DECRETO SUPREMO Nº 013-2015-PRODUCE</w:t>
        </w:r>
        <w:r w:rsidR="00501B28" w:rsidRPr="002514D7">
          <w:rPr>
            <w:rStyle w:val="Hipervnculo"/>
            <w:sz w:val="20"/>
            <w:szCs w:val="20"/>
          </w:rPr>
          <w:t xml:space="preserve"> – Reglamento de la Ley de Parques tecnoecológicos</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_Toc470855591 \h </w:instrText>
        </w:r>
        <w:r w:rsidR="00B71B75" w:rsidRPr="002514D7">
          <w:rPr>
            <w:webHidden/>
            <w:sz w:val="20"/>
            <w:szCs w:val="20"/>
          </w:rPr>
        </w:r>
        <w:r w:rsidR="00B71B75" w:rsidRPr="002514D7">
          <w:rPr>
            <w:webHidden/>
            <w:sz w:val="20"/>
            <w:szCs w:val="20"/>
          </w:rPr>
          <w:fldChar w:fldCharType="separate"/>
        </w:r>
        <w:r w:rsidR="00430919">
          <w:rPr>
            <w:webHidden/>
            <w:sz w:val="20"/>
            <w:szCs w:val="20"/>
          </w:rPr>
          <w:t>502</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92" w:history="1">
        <w:r w:rsidR="00B71B75" w:rsidRPr="002514D7">
          <w:rPr>
            <w:rStyle w:val="Hipervnculo"/>
            <w:sz w:val="20"/>
            <w:szCs w:val="20"/>
          </w:rPr>
          <w:t>DECRETO SUPREMO N° 002-2016-VIVIENDA</w:t>
        </w:r>
        <w:r w:rsidR="00501B28" w:rsidRPr="002514D7">
          <w:rPr>
            <w:rStyle w:val="Hipervnculo"/>
            <w:sz w:val="20"/>
            <w:szCs w:val="20"/>
          </w:rPr>
          <w:t xml:space="preserve"> – Reglamento de la Ley N° 30327</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_Toc470855592 \h </w:instrText>
        </w:r>
        <w:r w:rsidR="00B71B75" w:rsidRPr="002514D7">
          <w:rPr>
            <w:webHidden/>
            <w:sz w:val="20"/>
            <w:szCs w:val="20"/>
          </w:rPr>
        </w:r>
        <w:r w:rsidR="00B71B75" w:rsidRPr="002514D7">
          <w:rPr>
            <w:webHidden/>
            <w:sz w:val="20"/>
            <w:szCs w:val="20"/>
          </w:rPr>
          <w:fldChar w:fldCharType="separate"/>
        </w:r>
        <w:r w:rsidR="00430919">
          <w:rPr>
            <w:webHidden/>
            <w:sz w:val="20"/>
            <w:szCs w:val="20"/>
          </w:rPr>
          <w:t>518</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93" w:history="1">
        <w:r w:rsidR="00B71B75" w:rsidRPr="002514D7">
          <w:rPr>
            <w:rStyle w:val="Hipervnculo"/>
            <w:sz w:val="20"/>
            <w:szCs w:val="20"/>
          </w:rPr>
          <w:t>RESOLUCION MINISTERIAL Nº 369-2013-PRODUCE</w:t>
        </w:r>
        <w:r w:rsidR="00501B28" w:rsidRPr="002514D7">
          <w:rPr>
            <w:rStyle w:val="Hipervnculo"/>
            <w:sz w:val="20"/>
            <w:szCs w:val="20"/>
          </w:rPr>
          <w:t xml:space="preserve"> – Declaratoria de Proyectos Industriales</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_Toc470855593 \h </w:instrText>
        </w:r>
        <w:r w:rsidR="00B71B75" w:rsidRPr="002514D7">
          <w:rPr>
            <w:webHidden/>
            <w:sz w:val="20"/>
            <w:szCs w:val="20"/>
          </w:rPr>
        </w:r>
        <w:r w:rsidR="00B71B75" w:rsidRPr="002514D7">
          <w:rPr>
            <w:webHidden/>
            <w:sz w:val="20"/>
            <w:szCs w:val="20"/>
          </w:rPr>
          <w:fldChar w:fldCharType="separate"/>
        </w:r>
        <w:r w:rsidR="00430919">
          <w:rPr>
            <w:webHidden/>
            <w:sz w:val="20"/>
            <w:szCs w:val="20"/>
          </w:rPr>
          <w:t>532</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94" w:history="1">
        <w:r w:rsidR="00B71B75" w:rsidRPr="002514D7">
          <w:rPr>
            <w:rStyle w:val="Hipervnculo"/>
            <w:sz w:val="20"/>
            <w:szCs w:val="20"/>
          </w:rPr>
          <w:t>RESOLUCIÓN MINISTERIAL N° 141-2015-MINCETUR</w:t>
        </w:r>
        <w:r w:rsidR="00501B28" w:rsidRPr="002514D7">
          <w:rPr>
            <w:rStyle w:val="Hipervnculo"/>
            <w:sz w:val="20"/>
            <w:szCs w:val="20"/>
          </w:rPr>
          <w:t xml:space="preserve"> – Declaratoria de Proyectos Turísticos</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_Toc470855594 \h </w:instrText>
        </w:r>
        <w:r w:rsidR="00B71B75" w:rsidRPr="002514D7">
          <w:rPr>
            <w:webHidden/>
            <w:sz w:val="20"/>
            <w:szCs w:val="20"/>
          </w:rPr>
        </w:r>
        <w:r w:rsidR="00B71B75" w:rsidRPr="002514D7">
          <w:rPr>
            <w:webHidden/>
            <w:sz w:val="20"/>
            <w:szCs w:val="20"/>
          </w:rPr>
          <w:fldChar w:fldCharType="separate"/>
        </w:r>
        <w:r w:rsidR="00430919">
          <w:rPr>
            <w:webHidden/>
            <w:sz w:val="20"/>
            <w:szCs w:val="20"/>
          </w:rPr>
          <w:t>540</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95" w:history="1">
        <w:r w:rsidR="00B71B75" w:rsidRPr="002514D7">
          <w:rPr>
            <w:rStyle w:val="Hipervnculo"/>
            <w:sz w:val="20"/>
            <w:szCs w:val="20"/>
          </w:rPr>
          <w:t>RESOLUCIÓN DIRECTORAL N° 006-2015/MEM-DGE</w:t>
        </w:r>
        <w:r w:rsidR="00501B28" w:rsidRPr="002514D7">
          <w:rPr>
            <w:rStyle w:val="Hipervnculo"/>
            <w:sz w:val="20"/>
            <w:szCs w:val="20"/>
          </w:rPr>
          <w:t xml:space="preserve"> – Lineamientos del subsector electricidad</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_Toc470855595 \h </w:instrText>
        </w:r>
        <w:r w:rsidR="00B71B75" w:rsidRPr="002514D7">
          <w:rPr>
            <w:webHidden/>
            <w:sz w:val="20"/>
            <w:szCs w:val="20"/>
          </w:rPr>
        </w:r>
        <w:r w:rsidR="00B71B75" w:rsidRPr="002514D7">
          <w:rPr>
            <w:webHidden/>
            <w:sz w:val="20"/>
            <w:szCs w:val="20"/>
          </w:rPr>
          <w:fldChar w:fldCharType="separate"/>
        </w:r>
        <w:r w:rsidR="00430919">
          <w:rPr>
            <w:webHidden/>
            <w:sz w:val="20"/>
            <w:szCs w:val="20"/>
          </w:rPr>
          <w:t>548</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596" w:history="1">
        <w:r w:rsidR="00B71B75" w:rsidRPr="002514D7">
          <w:rPr>
            <w:rStyle w:val="Hipervnculo"/>
            <w:sz w:val="20"/>
            <w:szCs w:val="20"/>
          </w:rPr>
          <w:t>RESOLUCION N° 275-2015-SUNARP-SN</w:t>
        </w:r>
        <w:r w:rsidR="00501B28" w:rsidRPr="002514D7">
          <w:rPr>
            <w:rStyle w:val="Hipervnculo"/>
            <w:sz w:val="20"/>
            <w:szCs w:val="20"/>
          </w:rPr>
          <w:t xml:space="preserve"> – Aprueba Directiva N° 08-2015-SUNARP/SN</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_Toc470855596 \h </w:instrText>
        </w:r>
        <w:r w:rsidR="00B71B75" w:rsidRPr="002514D7">
          <w:rPr>
            <w:webHidden/>
            <w:sz w:val="20"/>
            <w:szCs w:val="20"/>
          </w:rPr>
        </w:r>
        <w:r w:rsidR="00B71B75" w:rsidRPr="002514D7">
          <w:rPr>
            <w:webHidden/>
            <w:sz w:val="20"/>
            <w:szCs w:val="20"/>
          </w:rPr>
          <w:fldChar w:fldCharType="separate"/>
        </w:r>
        <w:r w:rsidR="00430919">
          <w:rPr>
            <w:webHidden/>
            <w:sz w:val="20"/>
            <w:szCs w:val="20"/>
          </w:rPr>
          <w:t>553</w:t>
        </w:r>
        <w:r w:rsidR="00B71B75" w:rsidRPr="002514D7">
          <w:rPr>
            <w:webHidden/>
            <w:sz w:val="20"/>
            <w:szCs w:val="20"/>
          </w:rPr>
          <w:fldChar w:fldCharType="end"/>
        </w:r>
      </w:hyperlink>
    </w:p>
    <w:p w:rsidR="00501B28" w:rsidRPr="002514D7" w:rsidRDefault="00501B28" w:rsidP="00B71B75">
      <w:pPr>
        <w:pStyle w:val="TDC1"/>
        <w:rPr>
          <w:rStyle w:val="Hipervnculo"/>
          <w:sz w:val="20"/>
          <w:szCs w:val="20"/>
        </w:rPr>
      </w:pPr>
    </w:p>
    <w:p w:rsidR="00B71B75" w:rsidRPr="002514D7" w:rsidRDefault="000A5EA6" w:rsidP="00B71B75">
      <w:pPr>
        <w:pStyle w:val="TDC1"/>
        <w:rPr>
          <w:rFonts w:eastAsiaTheme="minorEastAsia"/>
          <w:sz w:val="20"/>
          <w:szCs w:val="20"/>
          <w:lang w:eastAsia="es-PE"/>
        </w:rPr>
      </w:pPr>
      <w:hyperlink w:anchor="_Toc470855597" w:history="1">
        <w:r w:rsidR="00B71B75" w:rsidRPr="002514D7">
          <w:rPr>
            <w:rStyle w:val="Hipervnculo"/>
            <w:sz w:val="20"/>
            <w:szCs w:val="20"/>
          </w:rPr>
          <w:t>NORMAS SOBRE</w:t>
        </w:r>
      </w:hyperlink>
      <w:r w:rsidR="00501B28" w:rsidRPr="002514D7">
        <w:rPr>
          <w:rFonts w:eastAsiaTheme="minorEastAsia"/>
          <w:sz w:val="20"/>
          <w:szCs w:val="20"/>
          <w:lang w:eastAsia="es-PE"/>
        </w:rPr>
        <w:t xml:space="preserve"> </w:t>
      </w:r>
      <w:hyperlink w:anchor="_Toc470855598" w:history="1">
        <w:r w:rsidR="00B71B75" w:rsidRPr="002514D7">
          <w:rPr>
            <w:rStyle w:val="Hipervnculo"/>
            <w:sz w:val="20"/>
            <w:szCs w:val="20"/>
          </w:rPr>
          <w:t>PROMOCIÓN DE VIVIENDA</w:t>
        </w:r>
      </w:hyperlink>
    </w:p>
    <w:p w:rsidR="00B71B75" w:rsidRPr="002514D7" w:rsidRDefault="000A5EA6" w:rsidP="004515A7">
      <w:pPr>
        <w:pStyle w:val="TDC2"/>
        <w:rPr>
          <w:rFonts w:eastAsiaTheme="minorEastAsia"/>
          <w:sz w:val="20"/>
          <w:szCs w:val="20"/>
          <w:lang w:eastAsia="es-PE"/>
        </w:rPr>
      </w:pPr>
      <w:hyperlink w:anchor="_Toc470855599" w:history="1">
        <w:r w:rsidR="00B71B75" w:rsidRPr="002514D7">
          <w:rPr>
            <w:rStyle w:val="Hipervnculo"/>
            <w:sz w:val="20"/>
            <w:szCs w:val="20"/>
          </w:rPr>
          <w:t>LEY 28687</w:t>
        </w:r>
        <w:r w:rsidR="00501B28" w:rsidRPr="002514D7">
          <w:rPr>
            <w:rStyle w:val="Hipervnculo"/>
            <w:sz w:val="20"/>
            <w:szCs w:val="20"/>
          </w:rPr>
          <w:t xml:space="preserve"> – Ley de formalización de la propiedad informal</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_Toc470855599 \h </w:instrText>
        </w:r>
        <w:r w:rsidR="00B71B75" w:rsidRPr="002514D7">
          <w:rPr>
            <w:webHidden/>
            <w:sz w:val="20"/>
            <w:szCs w:val="20"/>
          </w:rPr>
        </w:r>
        <w:r w:rsidR="00B71B75" w:rsidRPr="002514D7">
          <w:rPr>
            <w:webHidden/>
            <w:sz w:val="20"/>
            <w:szCs w:val="20"/>
          </w:rPr>
          <w:fldChar w:fldCharType="separate"/>
        </w:r>
        <w:r w:rsidR="00430919">
          <w:rPr>
            <w:webHidden/>
            <w:sz w:val="20"/>
            <w:szCs w:val="20"/>
          </w:rPr>
          <w:t>556</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600" w:history="1">
        <w:r w:rsidR="00B71B75" w:rsidRPr="002514D7">
          <w:rPr>
            <w:rStyle w:val="Hipervnculo"/>
            <w:sz w:val="20"/>
            <w:szCs w:val="20"/>
          </w:rPr>
          <w:t>DECRETO SUPREMO 011-2015-VIVIENDA</w:t>
        </w:r>
        <w:r w:rsidR="00501B28" w:rsidRPr="002514D7">
          <w:rPr>
            <w:rStyle w:val="Hipervnculo"/>
            <w:sz w:val="20"/>
            <w:szCs w:val="20"/>
          </w:rPr>
          <w:t xml:space="preserve"> – Transferencia de predios estatales para vivienda</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_Toc470855600 \h </w:instrText>
        </w:r>
        <w:r w:rsidR="00B71B75" w:rsidRPr="002514D7">
          <w:rPr>
            <w:webHidden/>
            <w:sz w:val="20"/>
            <w:szCs w:val="20"/>
          </w:rPr>
        </w:r>
        <w:r w:rsidR="00B71B75" w:rsidRPr="002514D7">
          <w:rPr>
            <w:webHidden/>
            <w:sz w:val="20"/>
            <w:szCs w:val="20"/>
          </w:rPr>
          <w:fldChar w:fldCharType="separate"/>
        </w:r>
        <w:r w:rsidR="00430919">
          <w:rPr>
            <w:webHidden/>
            <w:sz w:val="20"/>
            <w:szCs w:val="20"/>
          </w:rPr>
          <w:t>567</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601" w:history="1">
        <w:r w:rsidR="00B71B75" w:rsidRPr="002514D7">
          <w:rPr>
            <w:rStyle w:val="Hipervnculo"/>
            <w:sz w:val="20"/>
            <w:szCs w:val="20"/>
          </w:rPr>
          <w:t>DECRETO SUPREMO N° 010-2002-MTC</w:t>
        </w:r>
        <w:r w:rsidR="00501B28" w:rsidRPr="002514D7">
          <w:rPr>
            <w:rStyle w:val="Hipervnculo"/>
            <w:sz w:val="20"/>
            <w:szCs w:val="20"/>
          </w:rPr>
          <w:t xml:space="preserve"> – Comisión de coordinación para construcción de vivienda</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_Toc470855601 \h </w:instrText>
        </w:r>
        <w:r w:rsidR="00B71B75" w:rsidRPr="002514D7">
          <w:rPr>
            <w:webHidden/>
            <w:sz w:val="20"/>
            <w:szCs w:val="20"/>
          </w:rPr>
        </w:r>
        <w:r w:rsidR="00B71B75" w:rsidRPr="002514D7">
          <w:rPr>
            <w:webHidden/>
            <w:sz w:val="20"/>
            <w:szCs w:val="20"/>
          </w:rPr>
          <w:fldChar w:fldCharType="separate"/>
        </w:r>
        <w:r w:rsidR="00430919">
          <w:rPr>
            <w:webHidden/>
            <w:sz w:val="20"/>
            <w:szCs w:val="20"/>
          </w:rPr>
          <w:t>570</w:t>
        </w:r>
        <w:r w:rsidR="00B71B75" w:rsidRPr="002514D7">
          <w:rPr>
            <w:webHidden/>
            <w:sz w:val="20"/>
            <w:szCs w:val="20"/>
          </w:rPr>
          <w:fldChar w:fldCharType="end"/>
        </w:r>
      </w:hyperlink>
    </w:p>
    <w:p w:rsidR="00501B28" w:rsidRPr="002514D7" w:rsidRDefault="00501B28" w:rsidP="00B71B75">
      <w:pPr>
        <w:pStyle w:val="TDC1"/>
        <w:rPr>
          <w:rStyle w:val="Hipervnculo"/>
          <w:sz w:val="20"/>
          <w:szCs w:val="20"/>
        </w:rPr>
      </w:pPr>
    </w:p>
    <w:p w:rsidR="00B71B75" w:rsidRPr="002514D7" w:rsidRDefault="000A5EA6" w:rsidP="00B71B75">
      <w:pPr>
        <w:pStyle w:val="TDC1"/>
        <w:rPr>
          <w:rFonts w:eastAsiaTheme="minorEastAsia"/>
          <w:sz w:val="20"/>
          <w:szCs w:val="20"/>
          <w:lang w:eastAsia="es-PE"/>
        </w:rPr>
      </w:pPr>
      <w:hyperlink w:anchor="_Toc470855602" w:history="1">
        <w:r w:rsidR="00B71B75" w:rsidRPr="002514D7">
          <w:rPr>
            <w:rStyle w:val="Hipervnculo"/>
            <w:sz w:val="20"/>
            <w:szCs w:val="20"/>
          </w:rPr>
          <w:t>NORMAS DE ORGANIZACIÓN</w:t>
        </w:r>
      </w:hyperlink>
      <w:r w:rsidR="00501B28" w:rsidRPr="002514D7">
        <w:rPr>
          <w:rFonts w:eastAsiaTheme="minorEastAsia"/>
          <w:sz w:val="20"/>
          <w:szCs w:val="20"/>
          <w:lang w:eastAsia="es-PE"/>
        </w:rPr>
        <w:t xml:space="preserve"> </w:t>
      </w:r>
      <w:hyperlink w:anchor="_Toc470855603" w:history="1">
        <w:r w:rsidR="00B71B75" w:rsidRPr="002514D7">
          <w:rPr>
            <w:rStyle w:val="Hipervnculo"/>
            <w:sz w:val="20"/>
            <w:szCs w:val="20"/>
          </w:rPr>
          <w:t>DE LA SBN</w:t>
        </w:r>
      </w:hyperlink>
    </w:p>
    <w:p w:rsidR="00B71B75" w:rsidRPr="002514D7" w:rsidRDefault="000A5EA6" w:rsidP="004515A7">
      <w:pPr>
        <w:pStyle w:val="TDC2"/>
        <w:rPr>
          <w:rFonts w:eastAsiaTheme="minorEastAsia"/>
          <w:sz w:val="20"/>
          <w:szCs w:val="20"/>
          <w:lang w:eastAsia="es-PE"/>
        </w:rPr>
      </w:pPr>
      <w:hyperlink w:anchor="_Toc470855604" w:history="1">
        <w:r w:rsidR="00B71B75" w:rsidRPr="002514D7">
          <w:rPr>
            <w:rStyle w:val="Hipervnculo"/>
            <w:sz w:val="20"/>
            <w:szCs w:val="20"/>
          </w:rPr>
          <w:t>DECRETO SUPREMO Nº 016-2010-VIVIENDA</w:t>
        </w:r>
        <w:r w:rsidR="00501B28" w:rsidRPr="002514D7">
          <w:rPr>
            <w:rStyle w:val="Hipervnculo"/>
            <w:sz w:val="20"/>
            <w:szCs w:val="20"/>
          </w:rPr>
          <w:t xml:space="preserve"> – ROF SBN</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_Toc470855604 \h </w:instrText>
        </w:r>
        <w:r w:rsidR="00B71B75" w:rsidRPr="002514D7">
          <w:rPr>
            <w:webHidden/>
            <w:sz w:val="20"/>
            <w:szCs w:val="20"/>
          </w:rPr>
        </w:r>
        <w:r w:rsidR="00B71B75" w:rsidRPr="002514D7">
          <w:rPr>
            <w:webHidden/>
            <w:sz w:val="20"/>
            <w:szCs w:val="20"/>
          </w:rPr>
          <w:fldChar w:fldCharType="separate"/>
        </w:r>
        <w:r w:rsidR="00430919">
          <w:rPr>
            <w:webHidden/>
            <w:sz w:val="20"/>
            <w:szCs w:val="20"/>
          </w:rPr>
          <w:t>574</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605" w:history="1">
        <w:r w:rsidR="00B71B75" w:rsidRPr="002514D7">
          <w:rPr>
            <w:rStyle w:val="Hipervnculo"/>
            <w:sz w:val="20"/>
            <w:szCs w:val="20"/>
          </w:rPr>
          <w:t>DECRETO SUPREMO Nº 021-2012-VIVIENDA</w:t>
        </w:r>
        <w:r w:rsidR="00501B28" w:rsidRPr="002514D7">
          <w:rPr>
            <w:rStyle w:val="Hipervnculo"/>
            <w:sz w:val="20"/>
            <w:szCs w:val="20"/>
          </w:rPr>
          <w:t xml:space="preserve"> – TUPA SBN</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_Toc470855605 \h </w:instrText>
        </w:r>
        <w:r w:rsidR="00B71B75" w:rsidRPr="002514D7">
          <w:rPr>
            <w:webHidden/>
            <w:sz w:val="20"/>
            <w:szCs w:val="20"/>
          </w:rPr>
        </w:r>
        <w:r w:rsidR="00B71B75" w:rsidRPr="002514D7">
          <w:rPr>
            <w:webHidden/>
            <w:sz w:val="20"/>
            <w:szCs w:val="20"/>
          </w:rPr>
          <w:fldChar w:fldCharType="separate"/>
        </w:r>
        <w:r w:rsidR="00430919">
          <w:rPr>
            <w:webHidden/>
            <w:sz w:val="20"/>
            <w:szCs w:val="20"/>
          </w:rPr>
          <w:t>598</w:t>
        </w:r>
        <w:r w:rsidR="00B71B75" w:rsidRPr="002514D7">
          <w:rPr>
            <w:webHidden/>
            <w:sz w:val="20"/>
            <w:szCs w:val="20"/>
          </w:rPr>
          <w:fldChar w:fldCharType="end"/>
        </w:r>
      </w:hyperlink>
    </w:p>
    <w:p w:rsidR="00501B28" w:rsidRPr="002514D7" w:rsidRDefault="00501B28" w:rsidP="004515A7">
      <w:pPr>
        <w:pStyle w:val="TDC2"/>
        <w:rPr>
          <w:rStyle w:val="Hipervnculo"/>
          <w:sz w:val="20"/>
          <w:szCs w:val="20"/>
        </w:rPr>
      </w:pPr>
    </w:p>
    <w:p w:rsidR="00B71B75" w:rsidRPr="002514D7" w:rsidRDefault="000A5EA6" w:rsidP="004515A7">
      <w:pPr>
        <w:pStyle w:val="TDC2"/>
        <w:rPr>
          <w:rFonts w:eastAsiaTheme="minorEastAsia"/>
          <w:sz w:val="20"/>
          <w:szCs w:val="20"/>
          <w:lang w:eastAsia="es-PE"/>
        </w:rPr>
      </w:pPr>
      <w:hyperlink w:anchor="_Toc470855606" w:history="1">
        <w:r w:rsidR="00B71B75" w:rsidRPr="002514D7">
          <w:rPr>
            <w:rStyle w:val="Hipervnculo"/>
            <w:sz w:val="20"/>
            <w:szCs w:val="20"/>
          </w:rPr>
          <w:t>CUADRO DE MODIFICATORIAS DE LA LEY 29151</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_Toc470855606 \h </w:instrText>
        </w:r>
        <w:r w:rsidR="00B71B75" w:rsidRPr="002514D7">
          <w:rPr>
            <w:webHidden/>
            <w:sz w:val="20"/>
            <w:szCs w:val="20"/>
          </w:rPr>
        </w:r>
        <w:r w:rsidR="00B71B75" w:rsidRPr="002514D7">
          <w:rPr>
            <w:webHidden/>
            <w:sz w:val="20"/>
            <w:szCs w:val="20"/>
          </w:rPr>
          <w:fldChar w:fldCharType="separate"/>
        </w:r>
        <w:r w:rsidR="00430919">
          <w:rPr>
            <w:webHidden/>
            <w:sz w:val="20"/>
            <w:szCs w:val="20"/>
          </w:rPr>
          <w:t>601</w:t>
        </w:r>
        <w:r w:rsidR="00B71B75" w:rsidRPr="002514D7">
          <w:rPr>
            <w:webHidden/>
            <w:sz w:val="20"/>
            <w:szCs w:val="20"/>
          </w:rPr>
          <w:fldChar w:fldCharType="end"/>
        </w:r>
      </w:hyperlink>
    </w:p>
    <w:p w:rsidR="00B71B75" w:rsidRPr="002514D7" w:rsidRDefault="000A5EA6" w:rsidP="004515A7">
      <w:pPr>
        <w:pStyle w:val="TDC2"/>
        <w:rPr>
          <w:rFonts w:eastAsiaTheme="minorEastAsia"/>
          <w:sz w:val="20"/>
          <w:szCs w:val="20"/>
          <w:lang w:eastAsia="es-PE"/>
        </w:rPr>
      </w:pPr>
      <w:hyperlink w:anchor="_Toc470855607" w:history="1">
        <w:r w:rsidR="00B71B75" w:rsidRPr="002514D7">
          <w:rPr>
            <w:rStyle w:val="Hipervnculo"/>
            <w:sz w:val="20"/>
            <w:szCs w:val="20"/>
          </w:rPr>
          <w:t>CUADRO DE MODIFICATORIAS DEL DECRETO SUPREMO Nº 007-2008-VIVIENDA</w:t>
        </w:r>
        <w:r w:rsidR="00B71B75" w:rsidRPr="002514D7">
          <w:rPr>
            <w:webHidden/>
            <w:sz w:val="20"/>
            <w:szCs w:val="20"/>
          </w:rPr>
          <w:tab/>
        </w:r>
        <w:r w:rsidR="00B71B75" w:rsidRPr="002514D7">
          <w:rPr>
            <w:webHidden/>
            <w:sz w:val="20"/>
            <w:szCs w:val="20"/>
          </w:rPr>
          <w:fldChar w:fldCharType="begin"/>
        </w:r>
        <w:r w:rsidR="00B71B75" w:rsidRPr="002514D7">
          <w:rPr>
            <w:webHidden/>
            <w:sz w:val="20"/>
            <w:szCs w:val="20"/>
          </w:rPr>
          <w:instrText xml:space="preserve"> PAGEREF _Toc470855607 \h </w:instrText>
        </w:r>
        <w:r w:rsidR="00B71B75" w:rsidRPr="002514D7">
          <w:rPr>
            <w:webHidden/>
            <w:sz w:val="20"/>
            <w:szCs w:val="20"/>
          </w:rPr>
        </w:r>
        <w:r w:rsidR="00B71B75" w:rsidRPr="002514D7">
          <w:rPr>
            <w:webHidden/>
            <w:sz w:val="20"/>
            <w:szCs w:val="20"/>
          </w:rPr>
          <w:fldChar w:fldCharType="separate"/>
        </w:r>
        <w:r w:rsidR="00430919">
          <w:rPr>
            <w:webHidden/>
            <w:sz w:val="20"/>
            <w:szCs w:val="20"/>
          </w:rPr>
          <w:t>602</w:t>
        </w:r>
        <w:r w:rsidR="00B71B75" w:rsidRPr="002514D7">
          <w:rPr>
            <w:webHidden/>
            <w:sz w:val="20"/>
            <w:szCs w:val="20"/>
          </w:rPr>
          <w:fldChar w:fldCharType="end"/>
        </w:r>
      </w:hyperlink>
    </w:p>
    <w:p w:rsidR="006312E8" w:rsidRPr="000F65FD" w:rsidRDefault="00D738A5" w:rsidP="001F767D">
      <w:pPr>
        <w:spacing w:after="0" w:line="240" w:lineRule="auto"/>
        <w:jc w:val="center"/>
        <w:rPr>
          <w:rFonts w:ascii="Arial" w:eastAsia="Calibri" w:hAnsi="Arial" w:cs="Arial"/>
          <w:b/>
          <w:sz w:val="21"/>
          <w:szCs w:val="21"/>
          <w:lang w:val="es-ES"/>
        </w:rPr>
      </w:pPr>
      <w:r w:rsidRPr="002514D7">
        <w:rPr>
          <w:rFonts w:ascii="Cambria Math" w:eastAsia="Calibri" w:hAnsi="Cambria Math" w:cs="Arial"/>
          <w:b/>
          <w:sz w:val="20"/>
          <w:szCs w:val="20"/>
          <w:lang w:val="es-ES"/>
        </w:rPr>
        <w:fldChar w:fldCharType="end"/>
      </w: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right"/>
        <w:rPr>
          <w:rFonts w:ascii="Arial" w:eastAsia="Calibri" w:hAnsi="Arial" w:cs="Arial"/>
          <w:b/>
          <w:sz w:val="48"/>
          <w:szCs w:val="48"/>
          <w:u w:val="single"/>
          <w:lang w:val="es-ES"/>
        </w:rPr>
      </w:pPr>
    </w:p>
    <w:p w:rsidR="007F2AC8" w:rsidRDefault="007F2AC8" w:rsidP="006312E8">
      <w:pPr>
        <w:spacing w:after="0" w:line="240" w:lineRule="auto"/>
        <w:jc w:val="center"/>
        <w:rPr>
          <w:rFonts w:ascii="Arial" w:eastAsia="Calibri" w:hAnsi="Arial" w:cs="Arial"/>
          <w:b/>
          <w:sz w:val="48"/>
          <w:szCs w:val="48"/>
          <w:lang w:val="es-ES"/>
        </w:rPr>
      </w:pPr>
    </w:p>
    <w:p w:rsidR="007F2AC8" w:rsidRDefault="007F2AC8" w:rsidP="006312E8">
      <w:pPr>
        <w:spacing w:after="0" w:line="240" w:lineRule="auto"/>
        <w:jc w:val="center"/>
        <w:rPr>
          <w:rFonts w:ascii="Arial" w:eastAsia="Calibri" w:hAnsi="Arial" w:cs="Arial"/>
          <w:b/>
          <w:sz w:val="48"/>
          <w:szCs w:val="48"/>
          <w:lang w:val="es-ES"/>
        </w:rPr>
      </w:pPr>
    </w:p>
    <w:p w:rsidR="007F2AC8" w:rsidRDefault="007F2AC8" w:rsidP="006312E8">
      <w:pPr>
        <w:spacing w:after="0" w:line="240" w:lineRule="auto"/>
        <w:jc w:val="center"/>
        <w:rPr>
          <w:rFonts w:ascii="Arial" w:eastAsia="Calibri" w:hAnsi="Arial" w:cs="Arial"/>
          <w:b/>
          <w:sz w:val="48"/>
          <w:szCs w:val="48"/>
          <w:lang w:val="es-ES"/>
        </w:rPr>
      </w:pPr>
    </w:p>
    <w:p w:rsidR="007F2AC8" w:rsidRDefault="007F2AC8" w:rsidP="006312E8">
      <w:pPr>
        <w:spacing w:after="0" w:line="240" w:lineRule="auto"/>
        <w:jc w:val="center"/>
        <w:rPr>
          <w:rFonts w:ascii="Arial" w:eastAsia="Calibri" w:hAnsi="Arial" w:cs="Arial"/>
          <w:b/>
          <w:sz w:val="48"/>
          <w:szCs w:val="48"/>
          <w:lang w:val="es-ES"/>
        </w:rPr>
      </w:pPr>
    </w:p>
    <w:p w:rsidR="00D91F1A" w:rsidRDefault="00D91F1A" w:rsidP="006312E8">
      <w:pPr>
        <w:spacing w:after="0" w:line="240" w:lineRule="auto"/>
        <w:jc w:val="center"/>
        <w:rPr>
          <w:rFonts w:ascii="Arial" w:eastAsia="Calibri" w:hAnsi="Arial" w:cs="Arial"/>
          <w:b/>
          <w:sz w:val="48"/>
          <w:szCs w:val="48"/>
          <w:lang w:val="es-ES"/>
        </w:rPr>
      </w:pPr>
    </w:p>
    <w:p w:rsidR="002514D7" w:rsidRDefault="002514D7" w:rsidP="006312E8">
      <w:pPr>
        <w:spacing w:after="0" w:line="240" w:lineRule="auto"/>
        <w:jc w:val="center"/>
        <w:rPr>
          <w:rFonts w:ascii="Arial" w:eastAsia="Calibri" w:hAnsi="Arial" w:cs="Arial"/>
          <w:b/>
          <w:sz w:val="48"/>
          <w:szCs w:val="48"/>
          <w:lang w:val="es-ES"/>
        </w:rPr>
      </w:pPr>
    </w:p>
    <w:p w:rsidR="00D91F1A" w:rsidRDefault="00D91F1A" w:rsidP="006312E8">
      <w:pPr>
        <w:spacing w:after="0" w:line="240" w:lineRule="auto"/>
        <w:jc w:val="center"/>
        <w:rPr>
          <w:rFonts w:ascii="Arial" w:eastAsia="Calibri" w:hAnsi="Arial" w:cs="Arial"/>
          <w:b/>
          <w:sz w:val="48"/>
          <w:szCs w:val="48"/>
          <w:lang w:val="es-ES"/>
        </w:rPr>
      </w:pPr>
    </w:p>
    <w:p w:rsidR="00D91F1A" w:rsidRDefault="00D91F1A" w:rsidP="006312E8">
      <w:pPr>
        <w:spacing w:after="0" w:line="240" w:lineRule="auto"/>
        <w:jc w:val="center"/>
        <w:rPr>
          <w:rFonts w:ascii="Arial" w:eastAsia="Calibri" w:hAnsi="Arial" w:cs="Arial"/>
          <w:b/>
          <w:sz w:val="48"/>
          <w:szCs w:val="48"/>
          <w:lang w:val="es-ES"/>
        </w:rPr>
      </w:pPr>
    </w:p>
    <w:p w:rsidR="00D91F1A" w:rsidRDefault="00D91F1A" w:rsidP="006312E8">
      <w:pPr>
        <w:spacing w:after="0" w:line="240" w:lineRule="auto"/>
        <w:jc w:val="center"/>
        <w:rPr>
          <w:rFonts w:ascii="Arial" w:eastAsia="Calibri" w:hAnsi="Arial" w:cs="Arial"/>
          <w:b/>
          <w:sz w:val="48"/>
          <w:szCs w:val="48"/>
          <w:lang w:val="es-ES"/>
        </w:rPr>
      </w:pPr>
    </w:p>
    <w:p w:rsidR="00D91F1A" w:rsidRDefault="00D91F1A" w:rsidP="006312E8">
      <w:pPr>
        <w:spacing w:after="0" w:line="240" w:lineRule="auto"/>
        <w:jc w:val="center"/>
        <w:rPr>
          <w:rFonts w:ascii="Arial" w:eastAsia="Calibri" w:hAnsi="Arial" w:cs="Arial"/>
          <w:b/>
          <w:sz w:val="48"/>
          <w:szCs w:val="48"/>
          <w:lang w:val="es-ES"/>
        </w:rPr>
      </w:pPr>
    </w:p>
    <w:p w:rsidR="006312E8" w:rsidRPr="006312E8" w:rsidRDefault="006312E8" w:rsidP="00D04998">
      <w:pPr>
        <w:pStyle w:val="TITO10"/>
      </w:pPr>
      <w:bookmarkStart w:id="1" w:name="_Toc392856115"/>
      <w:bookmarkStart w:id="2" w:name="_Toc399335390"/>
      <w:bookmarkStart w:id="3" w:name="_Toc421025410"/>
      <w:bookmarkStart w:id="4" w:name="_Toc470855508"/>
      <w:r w:rsidRPr="006312E8">
        <w:t>LEY GENERAL DEL SISTEMA NACIONAL DE BIENES ESTATALES</w:t>
      </w:r>
      <w:bookmarkEnd w:id="1"/>
      <w:bookmarkEnd w:id="2"/>
      <w:bookmarkEnd w:id="3"/>
      <w:bookmarkEnd w:id="4"/>
    </w:p>
    <w:bookmarkStart w:id="5" w:name="_Toc392856116"/>
    <w:p w:rsidR="006312E8" w:rsidRPr="006312E8" w:rsidRDefault="006312E8" w:rsidP="006312E8">
      <w:pPr>
        <w:spacing w:after="0" w:line="240" w:lineRule="auto"/>
        <w:jc w:val="center"/>
        <w:rPr>
          <w:rFonts w:ascii="Arial" w:eastAsia="Calibri" w:hAnsi="Arial" w:cs="Arial"/>
          <w:b/>
          <w:sz w:val="48"/>
          <w:szCs w:val="48"/>
          <w:lang w:val="es-ES"/>
        </w:rPr>
      </w:pPr>
      <w:r w:rsidRPr="006312E8">
        <w:rPr>
          <w:rFonts w:ascii="Arial" w:eastAsia="Calibri" w:hAnsi="Arial" w:cs="Arial"/>
          <w:b/>
          <w:noProof/>
          <w:sz w:val="48"/>
          <w:szCs w:val="48"/>
          <w:lang w:val="es-MX" w:eastAsia="es-MX"/>
        </w:rPr>
        <mc:AlternateContent>
          <mc:Choice Requires="wps">
            <w:drawing>
              <wp:anchor distT="0" distB="0" distL="114300" distR="114300" simplePos="0" relativeHeight="251672576" behindDoc="0" locked="0" layoutInCell="1" allowOverlap="1" wp14:anchorId="2B3E15CA" wp14:editId="07D6C373">
                <wp:simplePos x="0" y="0"/>
                <wp:positionH relativeFrom="column">
                  <wp:posOffset>1428115</wp:posOffset>
                </wp:positionH>
                <wp:positionV relativeFrom="paragraph">
                  <wp:posOffset>242570</wp:posOffset>
                </wp:positionV>
                <wp:extent cx="3438525" cy="635"/>
                <wp:effectExtent l="38100" t="31750" r="38100" b="34290"/>
                <wp:wrapNone/>
                <wp:docPr id="72" name="Conector recto de flecha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38525" cy="635"/>
                        </a:xfrm>
                        <a:prstGeom prst="straightConnector1">
                          <a:avLst/>
                        </a:prstGeom>
                        <a:noFill/>
                        <a:ln w="635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188E760" id="_x0000_t32" coordsize="21600,21600" o:spt="32" o:oned="t" path="m,l21600,21600e" filled="f">
                <v:path arrowok="t" fillok="f" o:connecttype="none"/>
                <o:lock v:ext="edit" shapetype="t"/>
              </v:shapetype>
              <v:shape id="Conector recto de flecha 72" o:spid="_x0000_s1026" type="#_x0000_t32" style="position:absolute;margin-left:112.45pt;margin-top:19.1pt;width:270.75pt;height:.0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" strokeweight="5pt">
                <v:shadow color="#7f7f7f" opacity=".5" offset="1pt"/>
              </v:shape>
            </w:pict>
          </mc:Fallback>
        </mc:AlternateContent>
      </w:r>
      <w:bookmarkEnd w:id="5"/>
    </w:p>
    <w:p w:rsidR="006312E8" w:rsidRPr="006312E8" w:rsidRDefault="006312E8" w:rsidP="006312E8">
      <w:pPr>
        <w:spacing w:after="0" w:line="240" w:lineRule="auto"/>
        <w:jc w:val="center"/>
        <w:rPr>
          <w:rFonts w:ascii="Arial" w:eastAsia="Calibri" w:hAnsi="Arial" w:cs="Arial"/>
          <w:b/>
          <w:sz w:val="28"/>
          <w:szCs w:val="28"/>
          <w:lang w:val="es-ES"/>
        </w:rPr>
      </w:pPr>
      <w:r w:rsidRPr="006312E8">
        <w:rPr>
          <w:rFonts w:ascii="Arial" w:eastAsia="Calibri" w:hAnsi="Arial" w:cs="Arial"/>
          <w:b/>
          <w:sz w:val="28"/>
          <w:szCs w:val="28"/>
          <w:lang w:val="es-ES"/>
        </w:rPr>
        <w:t>(LEY Nº 29151)</w:t>
      </w:r>
    </w:p>
    <w:p w:rsidR="006312E8" w:rsidRPr="006312E8" w:rsidRDefault="006312E8" w:rsidP="006312E8">
      <w:pPr>
        <w:spacing w:after="0" w:line="240" w:lineRule="auto"/>
        <w:jc w:val="center"/>
        <w:rPr>
          <w:rFonts w:ascii="Arial" w:eastAsia="Calibri" w:hAnsi="Arial" w:cs="Arial"/>
          <w:b/>
          <w:sz w:val="28"/>
          <w:szCs w:val="28"/>
          <w:lang w:val="es-ES"/>
        </w:rPr>
      </w:pPr>
      <w:r w:rsidRPr="006312E8">
        <w:rPr>
          <w:rFonts w:ascii="Arial" w:eastAsia="Calibri" w:hAnsi="Arial" w:cs="Arial"/>
          <w:b/>
          <w:sz w:val="28"/>
          <w:szCs w:val="28"/>
          <w:lang w:val="es-ES"/>
        </w:rPr>
        <w:t>CONCORDADA</w:t>
      </w: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Default="006312E8" w:rsidP="006312E8">
      <w:pPr>
        <w:spacing w:after="0" w:line="240" w:lineRule="auto"/>
        <w:jc w:val="center"/>
        <w:rPr>
          <w:rFonts w:ascii="Arial" w:eastAsia="Calibri" w:hAnsi="Arial" w:cs="Arial"/>
          <w:b/>
          <w:sz w:val="28"/>
          <w:szCs w:val="28"/>
          <w:lang w:val="es-ES"/>
        </w:rPr>
      </w:pPr>
    </w:p>
    <w:p w:rsidR="005A1FEF" w:rsidRDefault="005A1FEF" w:rsidP="006312E8">
      <w:pPr>
        <w:spacing w:after="0" w:line="240" w:lineRule="auto"/>
        <w:jc w:val="center"/>
        <w:rPr>
          <w:rFonts w:ascii="Arial" w:eastAsia="Calibri" w:hAnsi="Arial" w:cs="Arial"/>
          <w:b/>
          <w:sz w:val="28"/>
          <w:szCs w:val="28"/>
          <w:lang w:val="es-ES"/>
        </w:rPr>
      </w:pPr>
    </w:p>
    <w:p w:rsidR="003510CF" w:rsidRDefault="003510CF" w:rsidP="006312E8">
      <w:pPr>
        <w:spacing w:after="0" w:line="240" w:lineRule="auto"/>
        <w:jc w:val="center"/>
        <w:rPr>
          <w:rFonts w:ascii="Arial" w:eastAsia="Calibri" w:hAnsi="Arial" w:cs="Arial"/>
          <w:b/>
          <w:sz w:val="28"/>
          <w:szCs w:val="28"/>
          <w:lang w:val="es-ES"/>
        </w:rPr>
      </w:pPr>
    </w:p>
    <w:p w:rsidR="006312E8" w:rsidRPr="006312E8" w:rsidRDefault="006312E8" w:rsidP="00D04998">
      <w:pPr>
        <w:pStyle w:val="TITO2"/>
      </w:pPr>
      <w:bookmarkStart w:id="6" w:name="_Toc399335391"/>
      <w:bookmarkStart w:id="7" w:name="_Toc421025411"/>
      <w:bookmarkStart w:id="8" w:name="_Toc470855509"/>
      <w:bookmarkStart w:id="9" w:name="ley29151"/>
      <w:r w:rsidRPr="006312E8">
        <w:t>LEY Nº 29151</w:t>
      </w:r>
      <w:bookmarkEnd w:id="6"/>
      <w:bookmarkEnd w:id="7"/>
      <w:bookmarkEnd w:id="8"/>
    </w:p>
    <w:bookmarkEnd w:id="9"/>
    <w:p w:rsidR="006312E8" w:rsidRPr="006312E8" w:rsidRDefault="006312E8" w:rsidP="006312E8">
      <w:pPr>
        <w:spacing w:after="0" w:line="240" w:lineRule="auto"/>
        <w:jc w:val="right"/>
        <w:rPr>
          <w:rFonts w:ascii="Arial" w:eastAsia="Calibri" w:hAnsi="Arial" w:cs="Arial"/>
          <w:b/>
          <w:lang w:val="es-ES"/>
        </w:rPr>
      </w:pPr>
    </w:p>
    <w:p w:rsidR="006312E8" w:rsidRPr="006312E8" w:rsidRDefault="006312E8" w:rsidP="006312E8">
      <w:pPr>
        <w:spacing w:after="0" w:line="240" w:lineRule="auto"/>
        <w:jc w:val="right"/>
        <w:rPr>
          <w:rFonts w:ascii="Arial" w:eastAsia="Calibri" w:hAnsi="Arial" w:cs="Arial"/>
          <w:b/>
          <w:lang w:val="es-ES"/>
        </w:rPr>
      </w:pPr>
      <w:r w:rsidRPr="006312E8">
        <w:rPr>
          <w:rFonts w:ascii="Arial" w:eastAsia="Calibri" w:hAnsi="Arial" w:cs="Arial"/>
          <w:b/>
          <w:lang w:val="es-ES"/>
        </w:rPr>
        <w:t>Fecha de publicación: 14-12-2007</w:t>
      </w: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EL PRESIDENTE DE LA REPÚBLICA</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b/>
          <w:lang w:val="es-ES"/>
        </w:rPr>
        <w:t>POR CUANTO: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El Congreso de la República</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Ha dado la ley siguiente: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EL CONGRESO DE LA REPÚBLICA;</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Ha dado la Ley siguiente: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sz w:val="24"/>
          <w:szCs w:val="24"/>
          <w:lang w:val="es-ES"/>
        </w:rPr>
      </w:pPr>
      <w:r w:rsidRPr="006312E8">
        <w:rPr>
          <w:rFonts w:ascii="Arial" w:eastAsia="Calibri" w:hAnsi="Arial" w:cs="Arial"/>
          <w:b/>
          <w:sz w:val="24"/>
          <w:szCs w:val="24"/>
          <w:lang w:val="es-ES"/>
        </w:rPr>
        <w:t>LEY GENERAL DEL SISTEMA NACIONAL DE BIENES ESTATALES</w:t>
      </w:r>
    </w:p>
    <w:p w:rsidR="006312E8" w:rsidRPr="006312E8" w:rsidRDefault="006312E8" w:rsidP="006312E8">
      <w:pPr>
        <w:spacing w:after="0" w:line="240" w:lineRule="auto"/>
        <w:jc w:val="center"/>
        <w:rPr>
          <w:rFonts w:ascii="Arial" w:eastAsia="Calibri" w:hAnsi="Arial" w:cs="Arial"/>
          <w:b/>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TÍTULO I</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DISPOSICIONES GENERALES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1.- Objeto de la Ley</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presente Ley establece las normas que regulan el ámbito, organización, atribuciones y funcionamiento del Sistema Nacional de Bienes Estatales, en el marco del proceso de modernización de la gestión del Estado y en apoyo y fortalecimiento al proceso de descentralización.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2.- Ámbito de aplicación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Las normas contenidas en la presente Ley, normas reglamentarias y aquellas que emita la Superintendencia Nacional de Bienes Estatales - SBN son de estricto cumplimiento para las entidades que conforman el Sistema Nacional de Bienes Estatales, en concordancia con las competencias y autonomías atribuidas por la Constitución Política del Perú y las leyes correspondientes; asimismo, para las personas naturales o jurídicas que ejerzan algún derecho sobre bienes estatales.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6312E8">
      <w:pPr>
        <w:numPr>
          <w:ilvl w:val="0"/>
          <w:numId w:val="8"/>
        </w:numPr>
        <w:spacing w:after="0" w:line="240" w:lineRule="auto"/>
        <w:ind w:left="426" w:hanging="284"/>
        <w:contextualSpacing/>
        <w:jc w:val="both"/>
        <w:rPr>
          <w:rFonts w:ascii="Arial" w:eastAsia="Calibri" w:hAnsi="Arial" w:cs="Arial"/>
          <w:b/>
          <w:color w:val="4F6228"/>
          <w:sz w:val="16"/>
          <w:szCs w:val="16"/>
        </w:rPr>
      </w:pPr>
      <w:hyperlink w:anchor="DS007" w:history="1">
        <w:r w:rsidR="006312E8" w:rsidRPr="006312E8">
          <w:rPr>
            <w:rFonts w:ascii="Arial" w:eastAsia="Calibri" w:hAnsi="Arial" w:cs="Arial"/>
            <w:b/>
            <w:color w:val="4F6228"/>
            <w:sz w:val="16"/>
            <w:szCs w:val="16"/>
          </w:rPr>
          <w:t>Decreto Supremo Nº 007-2008-VIVIENDA</w:t>
        </w:r>
      </w:hyperlink>
      <w:r w:rsidR="006312E8" w:rsidRPr="006312E8">
        <w:rPr>
          <w:rFonts w:ascii="Arial" w:eastAsia="Calibri" w:hAnsi="Arial" w:cs="Arial"/>
          <w:color w:val="4F6228"/>
          <w:sz w:val="16"/>
          <w:szCs w:val="16"/>
        </w:rPr>
        <w:t xml:space="preserve"> – </w:t>
      </w:r>
      <w:r w:rsidR="006312E8" w:rsidRPr="006312E8">
        <w:rPr>
          <w:rFonts w:ascii="Arial" w:eastAsia="Calibri" w:hAnsi="Arial" w:cs="Arial"/>
          <w:b/>
          <w:color w:val="4F6228"/>
          <w:sz w:val="16"/>
          <w:szCs w:val="16"/>
        </w:rPr>
        <w:t>Reglamento de la Ley Nº 29151</w:t>
      </w:r>
      <w:r w:rsidR="006312E8" w:rsidRPr="006312E8">
        <w:rPr>
          <w:rFonts w:ascii="Arial" w:eastAsia="Calibri" w:hAnsi="Arial" w:cs="Arial"/>
          <w:color w:val="4F6228"/>
          <w:sz w:val="16"/>
          <w:szCs w:val="16"/>
        </w:rPr>
        <w:t xml:space="preserve"> </w:t>
      </w:r>
      <w:r w:rsidR="006312E8" w:rsidRPr="006312E8">
        <w:rPr>
          <w:rFonts w:ascii="Arial" w:eastAsia="Calibri" w:hAnsi="Arial" w:cs="Arial"/>
          <w:b/>
          <w:color w:val="4F6228"/>
          <w:sz w:val="16"/>
          <w:szCs w:val="16"/>
        </w:rPr>
        <w:t xml:space="preserve"> (arts. 4, 5, 7)</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3.- Bienes estatales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Para los efectos de esta Ley, los bienes estatales comprenden los bienes muebles e inmuebles, de dominio privado y de dominio público, que tienen como titular al Estado o a cualquier entidad pública que conforma el Sistema Nacional de Bienes Estatales, independientemente del nivel de gobierno al que pertenezcan.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6312E8" w:rsidP="006312E8">
      <w:pPr>
        <w:numPr>
          <w:ilvl w:val="0"/>
          <w:numId w:val="8"/>
        </w:numPr>
        <w:spacing w:after="0" w:line="240" w:lineRule="auto"/>
        <w:ind w:left="426" w:hanging="284"/>
        <w:contextualSpacing/>
        <w:jc w:val="both"/>
        <w:rPr>
          <w:rFonts w:ascii="Arial" w:eastAsia="Calibri" w:hAnsi="Arial" w:cs="Arial"/>
          <w:b/>
          <w:color w:val="4F6228"/>
          <w:sz w:val="16"/>
          <w:szCs w:val="16"/>
        </w:rPr>
      </w:pPr>
      <w:r w:rsidRPr="006312E8">
        <w:rPr>
          <w:rFonts w:ascii="Arial" w:eastAsia="Calibri" w:hAnsi="Arial" w:cs="Arial"/>
          <w:b/>
          <w:color w:val="4F6228"/>
          <w:sz w:val="16"/>
          <w:szCs w:val="16"/>
        </w:rPr>
        <w:t>Constitución Política del Perú (art. 73)</w:t>
      </w:r>
    </w:p>
    <w:p w:rsidR="006312E8" w:rsidRPr="006312E8" w:rsidRDefault="000A5EA6" w:rsidP="006312E8">
      <w:pPr>
        <w:numPr>
          <w:ilvl w:val="0"/>
          <w:numId w:val="8"/>
        </w:numPr>
        <w:spacing w:after="0" w:line="240" w:lineRule="auto"/>
        <w:ind w:left="426" w:hanging="284"/>
        <w:contextualSpacing/>
        <w:jc w:val="both"/>
        <w:rPr>
          <w:rFonts w:ascii="Arial" w:eastAsia="Calibri" w:hAnsi="Arial" w:cs="Arial"/>
          <w:b/>
          <w:color w:val="4F6228"/>
          <w:sz w:val="16"/>
          <w:szCs w:val="16"/>
        </w:rPr>
      </w:pPr>
      <w:hyperlink w:anchor="DS007" w:history="1">
        <w:r w:rsidR="006312E8" w:rsidRPr="006312E8">
          <w:rPr>
            <w:rFonts w:ascii="Arial" w:eastAsia="Calibri" w:hAnsi="Arial" w:cs="Arial"/>
            <w:b/>
            <w:color w:val="4F6228"/>
            <w:sz w:val="16"/>
            <w:szCs w:val="16"/>
          </w:rPr>
          <w:t>Decreto Supremo Nº  007-2008-VIVIENDA</w:t>
        </w:r>
      </w:hyperlink>
      <w:r w:rsidR="006312E8" w:rsidRPr="006312E8">
        <w:rPr>
          <w:rFonts w:ascii="Arial" w:eastAsia="Calibri" w:hAnsi="Arial" w:cs="Arial"/>
          <w:color w:val="4F6228"/>
          <w:sz w:val="16"/>
          <w:szCs w:val="16"/>
        </w:rPr>
        <w:t xml:space="preserve"> - </w:t>
      </w:r>
      <w:r w:rsidR="006312E8" w:rsidRPr="006312E8">
        <w:rPr>
          <w:rFonts w:ascii="Arial" w:eastAsia="Calibri" w:hAnsi="Arial" w:cs="Arial"/>
          <w:b/>
          <w:color w:val="4F6228"/>
          <w:sz w:val="16"/>
          <w:szCs w:val="16"/>
        </w:rPr>
        <w:t>Reglamento de la Ley Nº 29151</w:t>
      </w:r>
      <w:r w:rsidR="006312E8" w:rsidRPr="006312E8">
        <w:rPr>
          <w:rFonts w:ascii="Arial" w:eastAsia="Calibri" w:hAnsi="Arial" w:cs="Arial"/>
          <w:color w:val="4F6228"/>
          <w:sz w:val="16"/>
          <w:szCs w:val="16"/>
        </w:rPr>
        <w:t xml:space="preserve"> </w:t>
      </w:r>
      <w:r w:rsidR="006312E8" w:rsidRPr="006312E8">
        <w:rPr>
          <w:rFonts w:ascii="Arial" w:eastAsia="Calibri" w:hAnsi="Arial" w:cs="Arial"/>
          <w:b/>
          <w:color w:val="4F6228"/>
          <w:sz w:val="16"/>
          <w:szCs w:val="16"/>
        </w:rPr>
        <w:t xml:space="preserve">  (numeral 2.2 del art. 2)</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4.- Glosario de términos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numPr>
          <w:ilvl w:val="0"/>
          <w:numId w:val="1"/>
        </w:numPr>
        <w:spacing w:after="0" w:line="240" w:lineRule="auto"/>
        <w:ind w:left="567"/>
        <w:contextualSpacing/>
        <w:jc w:val="both"/>
        <w:rPr>
          <w:rFonts w:ascii="Arial" w:eastAsia="Calibri" w:hAnsi="Arial" w:cs="Arial"/>
          <w:lang w:val="es-ES"/>
        </w:rPr>
      </w:pPr>
      <w:r w:rsidRPr="006312E8">
        <w:rPr>
          <w:rFonts w:ascii="Arial" w:eastAsia="Calibri" w:hAnsi="Arial" w:cs="Arial"/>
          <w:b/>
          <w:lang w:val="es-ES"/>
        </w:rPr>
        <w:t>Bienes de Alcance Nacional:</w:t>
      </w:r>
      <w:r w:rsidRPr="006312E8">
        <w:rPr>
          <w:rFonts w:ascii="Arial" w:eastAsia="Calibri" w:hAnsi="Arial" w:cs="Arial"/>
          <w:lang w:val="es-ES"/>
        </w:rPr>
        <w:t xml:space="preserve"> Son aquellos bienes comprendidos en los incisos c), d), e), f), g) y h) del numeral 3 del artículo 2 del Decreto Supremo Nº 023-2004-PCM.</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6312E8">
      <w:pPr>
        <w:numPr>
          <w:ilvl w:val="0"/>
          <w:numId w:val="1"/>
        </w:numPr>
        <w:spacing w:after="0" w:line="240" w:lineRule="auto"/>
        <w:ind w:left="567"/>
        <w:contextualSpacing/>
        <w:jc w:val="both"/>
        <w:rPr>
          <w:rFonts w:ascii="Arial" w:eastAsia="Calibri" w:hAnsi="Arial" w:cs="Arial"/>
          <w:lang w:val="es-ES"/>
        </w:rPr>
      </w:pPr>
      <w:r w:rsidRPr="006312E8">
        <w:rPr>
          <w:rFonts w:ascii="Arial" w:eastAsia="Calibri" w:hAnsi="Arial" w:cs="Arial"/>
          <w:b/>
          <w:lang w:val="es-ES"/>
        </w:rPr>
        <w:t>Actos de administración:</w:t>
      </w:r>
      <w:r w:rsidRPr="006312E8">
        <w:rPr>
          <w:rFonts w:ascii="Arial" w:eastAsia="Calibri" w:hAnsi="Arial" w:cs="Arial"/>
          <w:lang w:val="es-ES"/>
        </w:rPr>
        <w:t xml:space="preserve"> Son los actos a través de los cuales el Estado, representado por la Superintendencia Nacional de Bienes Estatales - SBN; los gobiernos regionales, que han asumido las competencias; y las demás entidades públicas ordenan el uso y aprovechamiento de los bienes estatales.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1"/>
        </w:numPr>
        <w:spacing w:after="0" w:line="240" w:lineRule="auto"/>
        <w:ind w:left="567"/>
        <w:contextualSpacing/>
        <w:jc w:val="both"/>
        <w:rPr>
          <w:rFonts w:ascii="Arial" w:eastAsia="Calibri" w:hAnsi="Arial" w:cs="Arial"/>
          <w:lang w:val="es-ES"/>
        </w:rPr>
      </w:pPr>
      <w:r w:rsidRPr="006312E8">
        <w:rPr>
          <w:rFonts w:ascii="Arial" w:eastAsia="Calibri" w:hAnsi="Arial" w:cs="Arial"/>
          <w:b/>
          <w:lang w:val="es-ES"/>
        </w:rPr>
        <w:t>Actos de disposición:</w:t>
      </w:r>
      <w:r w:rsidRPr="006312E8">
        <w:rPr>
          <w:rFonts w:ascii="Arial" w:eastAsia="Calibri" w:hAnsi="Arial" w:cs="Arial"/>
          <w:lang w:val="es-ES"/>
        </w:rPr>
        <w:t xml:space="preserve"> Son los actos a través de los cuales el Estado, representado por la Superintendencia Nacional de Bienes Estatales - SBN; los gobiernos regionales, que han asumido las competencias; y las demás entidades públicas aprueban acciones que implican desplazamiento del dominio de los bienes estatales.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1"/>
        </w:numPr>
        <w:spacing w:after="0" w:line="240" w:lineRule="auto"/>
        <w:ind w:left="567"/>
        <w:contextualSpacing/>
        <w:jc w:val="both"/>
        <w:rPr>
          <w:rFonts w:ascii="Arial" w:eastAsia="Calibri" w:hAnsi="Arial" w:cs="Arial"/>
          <w:lang w:val="es-ES"/>
        </w:rPr>
      </w:pPr>
      <w:r w:rsidRPr="006312E8">
        <w:rPr>
          <w:rFonts w:ascii="Arial" w:eastAsia="Calibri" w:hAnsi="Arial" w:cs="Arial"/>
          <w:b/>
          <w:lang w:val="es-ES"/>
        </w:rPr>
        <w:t>Actos de adquisición:</w:t>
      </w:r>
      <w:r w:rsidRPr="006312E8">
        <w:rPr>
          <w:rFonts w:ascii="Arial" w:eastAsia="Calibri" w:hAnsi="Arial" w:cs="Arial"/>
          <w:lang w:val="es-ES"/>
        </w:rPr>
        <w:t xml:space="preserve"> Son los actos a través de los cuales el Estado, representado por la Superintendencia Nacional de Bienes Estatales - SBN; los gobiernos regionales, que han asumido las competencias; y las demás entidades públicas incorporan a su patrimonio bienes estatales.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1"/>
        </w:numPr>
        <w:spacing w:after="0" w:line="240" w:lineRule="auto"/>
        <w:ind w:left="567"/>
        <w:contextualSpacing/>
        <w:jc w:val="both"/>
        <w:rPr>
          <w:rFonts w:ascii="Arial" w:eastAsia="Calibri" w:hAnsi="Arial" w:cs="Arial"/>
          <w:lang w:val="es-ES"/>
        </w:rPr>
      </w:pPr>
      <w:r w:rsidRPr="006312E8">
        <w:rPr>
          <w:rFonts w:ascii="Arial" w:eastAsia="Calibri" w:hAnsi="Arial" w:cs="Arial"/>
          <w:b/>
          <w:lang w:val="es-ES"/>
        </w:rPr>
        <w:t>Acto de registro:</w:t>
      </w:r>
      <w:r w:rsidRPr="006312E8">
        <w:rPr>
          <w:rFonts w:ascii="Arial" w:eastAsia="Calibri" w:hAnsi="Arial" w:cs="Arial"/>
          <w:lang w:val="es-ES"/>
        </w:rPr>
        <w:t xml:space="preserve"> Es el acto por el cual se incorpora un bien estatal en el Sistema de Información Nacional de Bienes Estatales - SINABIP a mérito de los títulos que corresponden a la naturaleza de los actos que se generen.</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1"/>
        </w:numPr>
        <w:spacing w:after="0" w:line="240" w:lineRule="auto"/>
        <w:ind w:left="567"/>
        <w:contextualSpacing/>
        <w:jc w:val="both"/>
        <w:rPr>
          <w:rFonts w:ascii="Arial" w:eastAsia="Calibri" w:hAnsi="Arial" w:cs="Arial"/>
          <w:lang w:val="es-ES"/>
        </w:rPr>
      </w:pPr>
      <w:r w:rsidRPr="006312E8">
        <w:rPr>
          <w:rFonts w:ascii="Arial" w:eastAsia="Calibri" w:hAnsi="Arial" w:cs="Arial"/>
          <w:b/>
          <w:lang w:val="es-ES"/>
        </w:rPr>
        <w:t>Acto de supervisión:</w:t>
      </w:r>
      <w:r w:rsidRPr="006312E8">
        <w:rPr>
          <w:rFonts w:ascii="Arial" w:eastAsia="Calibri" w:hAnsi="Arial" w:cs="Arial"/>
          <w:lang w:val="es-ES"/>
        </w:rPr>
        <w:t xml:space="preserve"> Es el acto que desarrolla el ente rector sobre los bienes estatales y sobre los actos que recaen sobre éstos; asimismo, respecto del cumplimiento del debido procedimiento que ejecuten las entidades públicas que conforman el Sistema Nacional de Bienes Estatales.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180"/>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6312E8">
      <w:pPr>
        <w:numPr>
          <w:ilvl w:val="0"/>
          <w:numId w:val="9"/>
        </w:numPr>
        <w:spacing w:after="0" w:line="240" w:lineRule="auto"/>
        <w:contextualSpacing/>
        <w:jc w:val="both"/>
        <w:rPr>
          <w:rFonts w:ascii="Arial" w:eastAsia="Calibri" w:hAnsi="Arial" w:cs="Arial"/>
          <w:b/>
          <w:color w:val="4F6228"/>
          <w:sz w:val="16"/>
          <w:szCs w:val="16"/>
        </w:rPr>
      </w:pPr>
      <w:hyperlink w:anchor="LEY27783" w:history="1">
        <w:r w:rsidR="006312E8" w:rsidRPr="006312E8">
          <w:rPr>
            <w:rFonts w:ascii="Arial" w:eastAsia="Calibri" w:hAnsi="Arial" w:cs="Arial"/>
            <w:b/>
            <w:color w:val="4F6228"/>
            <w:sz w:val="16"/>
            <w:szCs w:val="16"/>
          </w:rPr>
          <w:t xml:space="preserve">Ley Nº27783 </w:t>
        </w:r>
      </w:hyperlink>
      <w:r w:rsidR="006312E8" w:rsidRPr="006312E8">
        <w:rPr>
          <w:rFonts w:ascii="Arial" w:eastAsia="Calibri" w:hAnsi="Arial" w:cs="Arial"/>
          <w:b/>
          <w:color w:val="4F6228"/>
          <w:sz w:val="16"/>
          <w:szCs w:val="16"/>
        </w:rPr>
        <w:t>(art. 35 literal j)</w:t>
      </w:r>
    </w:p>
    <w:p w:rsidR="006312E8" w:rsidRPr="006312E8" w:rsidRDefault="000A5EA6" w:rsidP="006312E8">
      <w:pPr>
        <w:numPr>
          <w:ilvl w:val="0"/>
          <w:numId w:val="9"/>
        </w:numPr>
        <w:spacing w:after="0" w:line="240" w:lineRule="auto"/>
        <w:contextualSpacing/>
        <w:jc w:val="both"/>
        <w:rPr>
          <w:rFonts w:ascii="Arial" w:eastAsia="Calibri" w:hAnsi="Arial" w:cs="Arial"/>
          <w:b/>
          <w:color w:val="4F6228"/>
          <w:sz w:val="16"/>
          <w:szCs w:val="16"/>
        </w:rPr>
      </w:pPr>
      <w:hyperlink w:anchor="LEY27867" w:history="1">
        <w:r w:rsidR="006312E8" w:rsidRPr="006312E8">
          <w:rPr>
            <w:rFonts w:ascii="Arial" w:eastAsia="Calibri" w:hAnsi="Arial" w:cs="Arial"/>
            <w:b/>
            <w:color w:val="4F6228"/>
            <w:sz w:val="16"/>
            <w:szCs w:val="16"/>
          </w:rPr>
          <w:t>Ley Nº 27867</w:t>
        </w:r>
      </w:hyperlink>
      <w:r w:rsidR="006312E8" w:rsidRPr="006312E8">
        <w:rPr>
          <w:rFonts w:ascii="Arial" w:eastAsia="Calibri" w:hAnsi="Arial" w:cs="Arial"/>
          <w:b/>
          <w:color w:val="4F6228"/>
          <w:sz w:val="16"/>
          <w:szCs w:val="16"/>
        </w:rPr>
        <w:t>(art. 62)</w:t>
      </w:r>
    </w:p>
    <w:p w:rsidR="006312E8" w:rsidRPr="006312E8" w:rsidRDefault="000A5EA6" w:rsidP="006312E8">
      <w:pPr>
        <w:numPr>
          <w:ilvl w:val="0"/>
          <w:numId w:val="9"/>
        </w:numPr>
        <w:spacing w:after="0" w:line="240" w:lineRule="auto"/>
        <w:contextualSpacing/>
        <w:jc w:val="both"/>
        <w:rPr>
          <w:rFonts w:ascii="Arial" w:eastAsia="Calibri" w:hAnsi="Arial" w:cs="Arial"/>
          <w:b/>
          <w:color w:val="4F6228"/>
          <w:sz w:val="16"/>
          <w:szCs w:val="16"/>
        </w:rPr>
      </w:pPr>
      <w:hyperlink w:anchor="DS0232004" w:history="1">
        <w:r w:rsidR="006312E8" w:rsidRPr="006312E8">
          <w:rPr>
            <w:rFonts w:ascii="Arial" w:eastAsia="Calibri" w:hAnsi="Arial" w:cs="Arial"/>
            <w:b/>
            <w:color w:val="4F6228"/>
            <w:sz w:val="16"/>
            <w:szCs w:val="16"/>
          </w:rPr>
          <w:t>Decreto Supremo Nº 023-2004-PCM</w:t>
        </w:r>
      </w:hyperlink>
    </w:p>
    <w:p w:rsidR="006312E8" w:rsidRPr="006312E8" w:rsidRDefault="000A5EA6" w:rsidP="006312E8">
      <w:pPr>
        <w:numPr>
          <w:ilvl w:val="0"/>
          <w:numId w:val="9"/>
        </w:numPr>
        <w:spacing w:after="0" w:line="240" w:lineRule="auto"/>
        <w:contextualSpacing/>
        <w:jc w:val="both"/>
        <w:rPr>
          <w:rFonts w:ascii="Arial" w:eastAsia="Calibri" w:hAnsi="Arial" w:cs="Arial"/>
          <w:b/>
          <w:color w:val="4F6228"/>
          <w:sz w:val="16"/>
          <w:szCs w:val="16"/>
        </w:rPr>
      </w:pPr>
      <w:hyperlink w:anchor="DS007" w:history="1">
        <w:r w:rsidR="006312E8" w:rsidRPr="006312E8">
          <w:rPr>
            <w:rFonts w:ascii="Arial" w:eastAsia="Calibri" w:hAnsi="Arial" w:cs="Arial"/>
            <w:b/>
            <w:color w:val="4F6228"/>
            <w:sz w:val="16"/>
            <w:szCs w:val="16"/>
          </w:rPr>
          <w:t>Decreto Supremo Nº  007-2008-VIVIENDA</w:t>
        </w:r>
      </w:hyperlink>
      <w:r w:rsidR="006312E8" w:rsidRPr="006312E8">
        <w:rPr>
          <w:rFonts w:ascii="Arial" w:eastAsia="Calibri" w:hAnsi="Arial" w:cs="Arial"/>
          <w:color w:val="4F6228"/>
          <w:sz w:val="16"/>
          <w:szCs w:val="16"/>
        </w:rPr>
        <w:t xml:space="preserve"> </w:t>
      </w:r>
      <w:r w:rsidR="006312E8" w:rsidRPr="006312E8">
        <w:rPr>
          <w:rFonts w:ascii="Arial" w:eastAsia="Calibri" w:hAnsi="Arial" w:cs="Arial"/>
          <w:b/>
          <w:color w:val="4F6228"/>
          <w:sz w:val="16"/>
          <w:szCs w:val="16"/>
        </w:rPr>
        <w:t>(art. 18)</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TÍTULO II</w:t>
      </w:r>
    </w:p>
    <w:p w:rsidR="006312E8" w:rsidRPr="006312E8" w:rsidRDefault="006312E8" w:rsidP="006312E8">
      <w:pPr>
        <w:spacing w:after="0" w:line="240" w:lineRule="auto"/>
        <w:jc w:val="center"/>
        <w:rPr>
          <w:rFonts w:ascii="Arial" w:eastAsia="Calibri" w:hAnsi="Arial" w:cs="Arial"/>
          <w:b/>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CAPÍTULO I</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SISTEMA NACIONAL DE BIENES ESTATALES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5.- Creación del Sistema Nacional de Bienes Estatales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Créase el Sistema Nacional de Bienes Estatales como el conjunto de organismos, garantías y normas que regulan, de manera integral y coherente, los bienes estatales, en sus niveles de Gobierno Nacional, regional y local, a fin de lograr una administración ordenada, simplificada y eficiente, teniendo a la Superintendencia Nacional de Bienes Estatales - SBN como ente rector.</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180"/>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6312E8">
      <w:pPr>
        <w:numPr>
          <w:ilvl w:val="0"/>
          <w:numId w:val="9"/>
        </w:numPr>
        <w:spacing w:after="0" w:line="240" w:lineRule="auto"/>
        <w:contextualSpacing/>
        <w:jc w:val="both"/>
        <w:rPr>
          <w:rFonts w:ascii="Arial" w:eastAsia="Calibri" w:hAnsi="Arial" w:cs="Arial"/>
          <w:b/>
          <w:color w:val="4F6228"/>
          <w:sz w:val="16"/>
          <w:szCs w:val="16"/>
        </w:rPr>
      </w:pPr>
      <w:hyperlink w:anchor="DS007" w:history="1">
        <w:r w:rsidR="006312E8" w:rsidRPr="006312E8">
          <w:rPr>
            <w:rFonts w:ascii="Arial" w:eastAsia="Calibri" w:hAnsi="Arial" w:cs="Arial"/>
            <w:b/>
            <w:color w:val="4F6228"/>
            <w:sz w:val="16"/>
            <w:szCs w:val="16"/>
          </w:rPr>
          <w:t>Decreto Supremo Nº  007-2008-VIVIENDA</w:t>
        </w:r>
      </w:hyperlink>
      <w:r w:rsidR="006312E8" w:rsidRPr="006312E8">
        <w:rPr>
          <w:rFonts w:ascii="Arial" w:eastAsia="Calibri" w:hAnsi="Arial" w:cs="Arial"/>
          <w:b/>
          <w:color w:val="4F6228"/>
          <w:sz w:val="16"/>
          <w:szCs w:val="16"/>
        </w:rPr>
        <w:t xml:space="preserve"> (art. 3)</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6.- Finalidades del Sistema Nacional de Bienes Estatales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El Sistema Nacional de Bienes Estatales tiene por finalidades: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numPr>
          <w:ilvl w:val="0"/>
          <w:numId w:val="2"/>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Contribuir al desarrollo del país promoviendo el saneamiento de la propiedad estatal, para incentivar la inversión pública y privada, procurando una eficiente gestión del portafolio mobiliario e inmobiliario del Estado.</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6312E8">
      <w:pPr>
        <w:numPr>
          <w:ilvl w:val="0"/>
          <w:numId w:val="2"/>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Ordenar, integrar y simplificar los procedimientos de adquisición, administración, disposición, registro y supervisión de los bienes estatales a nivel del Gobierno Nacional, regional y local para lograr una gestión eficiente.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6312E8">
      <w:pPr>
        <w:numPr>
          <w:ilvl w:val="0"/>
          <w:numId w:val="10"/>
        </w:numPr>
        <w:spacing w:after="0" w:line="240" w:lineRule="auto"/>
        <w:contextualSpacing/>
        <w:jc w:val="both"/>
        <w:rPr>
          <w:rFonts w:ascii="Arial" w:eastAsia="Calibri" w:hAnsi="Arial" w:cs="Arial"/>
          <w:b/>
          <w:color w:val="4F6228"/>
          <w:sz w:val="16"/>
          <w:szCs w:val="16"/>
        </w:rPr>
      </w:pPr>
      <w:hyperlink w:anchor="LEY27493" w:history="1">
        <w:r w:rsidR="006312E8" w:rsidRPr="006312E8">
          <w:rPr>
            <w:rFonts w:ascii="Arial" w:eastAsia="Calibri" w:hAnsi="Arial" w:cs="Arial"/>
            <w:b/>
            <w:color w:val="4F6228"/>
            <w:sz w:val="16"/>
            <w:szCs w:val="16"/>
          </w:rPr>
          <w:t>Ley Nº 27493</w:t>
        </w:r>
      </w:hyperlink>
      <w:r w:rsidR="006312E8" w:rsidRPr="006312E8">
        <w:rPr>
          <w:rFonts w:ascii="Arial" w:eastAsia="Calibri" w:hAnsi="Arial" w:cs="Arial"/>
          <w:b/>
          <w:color w:val="4F6228"/>
          <w:sz w:val="16"/>
          <w:szCs w:val="16"/>
        </w:rPr>
        <w:t xml:space="preserve"> </w:t>
      </w:r>
    </w:p>
    <w:p w:rsidR="006312E8" w:rsidRPr="006312E8" w:rsidRDefault="000A5EA6" w:rsidP="006312E8">
      <w:pPr>
        <w:numPr>
          <w:ilvl w:val="0"/>
          <w:numId w:val="10"/>
        </w:numPr>
        <w:spacing w:after="0" w:line="240" w:lineRule="auto"/>
        <w:contextualSpacing/>
        <w:jc w:val="both"/>
        <w:rPr>
          <w:rFonts w:ascii="Arial" w:eastAsia="Calibri" w:hAnsi="Arial" w:cs="Arial"/>
          <w:b/>
          <w:color w:val="4F6228"/>
          <w:sz w:val="16"/>
          <w:szCs w:val="16"/>
        </w:rPr>
      </w:pPr>
      <w:hyperlink w:anchor="DS1302001" w:history="1">
        <w:r w:rsidR="006312E8" w:rsidRPr="006312E8">
          <w:rPr>
            <w:rFonts w:ascii="Arial" w:eastAsia="Calibri" w:hAnsi="Arial" w:cs="Arial"/>
            <w:b/>
            <w:color w:val="4F6228"/>
            <w:sz w:val="16"/>
            <w:szCs w:val="16"/>
          </w:rPr>
          <w:t>Decreto Supremo Nº 130-2001-EF</w:t>
        </w:r>
      </w:hyperlink>
      <w:r w:rsidR="006312E8" w:rsidRPr="006312E8">
        <w:rPr>
          <w:rFonts w:ascii="Arial" w:eastAsia="Calibri" w:hAnsi="Arial" w:cs="Arial"/>
          <w:b/>
          <w:color w:val="4F6228"/>
          <w:sz w:val="16"/>
          <w:szCs w:val="16"/>
        </w:rPr>
        <w:t xml:space="preserve"> (art. 5) </w:t>
      </w:r>
    </w:p>
    <w:p w:rsidR="006312E8" w:rsidRPr="006312E8" w:rsidRDefault="000A5EA6" w:rsidP="006312E8">
      <w:pPr>
        <w:numPr>
          <w:ilvl w:val="0"/>
          <w:numId w:val="10"/>
        </w:numPr>
        <w:spacing w:after="0" w:line="240" w:lineRule="auto"/>
        <w:contextualSpacing/>
        <w:jc w:val="both"/>
        <w:rPr>
          <w:rFonts w:ascii="Arial" w:eastAsia="Calibri" w:hAnsi="Arial" w:cs="Arial"/>
          <w:b/>
          <w:color w:val="4F6228"/>
          <w:sz w:val="16"/>
          <w:szCs w:val="16"/>
        </w:rPr>
      </w:pPr>
      <w:hyperlink w:anchor="DS1362001" w:history="1">
        <w:r w:rsidR="006312E8" w:rsidRPr="006312E8">
          <w:rPr>
            <w:rFonts w:ascii="Arial" w:eastAsia="Calibri" w:hAnsi="Arial" w:cs="Arial"/>
            <w:b/>
            <w:color w:val="4F6228"/>
            <w:sz w:val="16"/>
            <w:szCs w:val="16"/>
          </w:rPr>
          <w:t>Decreto Supremo Nº 136-2001-EF</w:t>
        </w:r>
      </w:hyperlink>
    </w:p>
    <w:p w:rsidR="006312E8" w:rsidRPr="006312E8" w:rsidRDefault="000A5EA6" w:rsidP="006312E8">
      <w:pPr>
        <w:numPr>
          <w:ilvl w:val="0"/>
          <w:numId w:val="10"/>
        </w:numPr>
        <w:spacing w:after="0" w:line="240" w:lineRule="auto"/>
        <w:contextualSpacing/>
        <w:jc w:val="both"/>
        <w:rPr>
          <w:rFonts w:ascii="Arial" w:eastAsia="Calibri" w:hAnsi="Arial" w:cs="Arial"/>
          <w:b/>
          <w:color w:val="4F6228"/>
          <w:sz w:val="16"/>
          <w:szCs w:val="16"/>
        </w:rPr>
      </w:pPr>
      <w:hyperlink w:anchor="DU0712001" w:history="1">
        <w:r w:rsidR="006312E8" w:rsidRPr="006312E8">
          <w:rPr>
            <w:rFonts w:ascii="Arial" w:eastAsia="Calibri" w:hAnsi="Arial" w:cs="Arial"/>
            <w:b/>
            <w:color w:val="4F6228"/>
            <w:sz w:val="16"/>
            <w:szCs w:val="16"/>
          </w:rPr>
          <w:t>Decreto de Urgencia Nº 071-2001</w:t>
        </w:r>
      </w:hyperlink>
      <w:r w:rsidR="006312E8" w:rsidRPr="006312E8">
        <w:rPr>
          <w:rFonts w:ascii="Arial" w:eastAsia="Calibri" w:hAnsi="Arial" w:cs="Arial"/>
          <w:b/>
          <w:color w:val="4F6228"/>
          <w:sz w:val="16"/>
          <w:szCs w:val="16"/>
        </w:rPr>
        <w:t xml:space="preserve">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7.- Garantías del Sistema Nacional de Bienes Estatales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Son garantías que rigen el Sistema Nacional de Bienes Estatales, las siguientes: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numPr>
          <w:ilvl w:val="0"/>
          <w:numId w:val="3"/>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La primacía de las disposiciones de esta Ley, así como las normas reglamentarias y complementarias, por su especialidad, que conforman el Sistema Nacional de Bienes Estatales, sobre las que, en oposición o menoscabo de éstas, puedan dictarse.</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6312E8">
      <w:pPr>
        <w:numPr>
          <w:ilvl w:val="0"/>
          <w:numId w:val="3"/>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La permanencia del dominio del Estado sobre los bienes inmuebles cuyas competencias, para su administración y disposición, hayan sido o sean transferidas a las entidades que conforman el Sistema Nacional de Bienes Estatales.</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6312E8">
      <w:pPr>
        <w:numPr>
          <w:ilvl w:val="0"/>
          <w:numId w:val="3"/>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La supervisión permanente, a cargo del ente rector, de los actos de adquisición, administración y disposición ejecutados por los organismos que conforman el Sistema Nacional de Bienes Estatales.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3"/>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Que todo acto de disposición de dominio, a favor de particulares, de los bienes inmuebles de dominio privado estatal sea a título oneroso, teniendo como referencia el valor comercial y según los procedimientos establecidos en las normas legales vigentes, en tanto los mismos constituyen patrimonio de la Nación.</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3"/>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La venta por subasta pública de los bienes de dominio privado estatal; y, de manera excepcional, en forma directa.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3"/>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La transparencia en los procedimientos de adquisición, administración y disposición de los bienes estatales, los cuales se encuentran sujetos a la facultad de fiscalización ciudadana.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6312E8">
      <w:pPr>
        <w:numPr>
          <w:ilvl w:val="0"/>
          <w:numId w:val="11"/>
        </w:numPr>
        <w:spacing w:after="0" w:line="240" w:lineRule="auto"/>
        <w:contextualSpacing/>
        <w:jc w:val="both"/>
        <w:rPr>
          <w:rFonts w:ascii="Arial" w:eastAsia="Calibri" w:hAnsi="Arial" w:cs="Arial"/>
          <w:b/>
          <w:color w:val="4F6228"/>
          <w:sz w:val="16"/>
          <w:szCs w:val="16"/>
        </w:rPr>
      </w:pPr>
      <w:hyperlink w:anchor="LEY29618" w:history="1">
        <w:r w:rsidR="006312E8" w:rsidRPr="006312E8">
          <w:rPr>
            <w:rFonts w:ascii="Arial" w:eastAsia="Calibri" w:hAnsi="Arial" w:cs="Arial"/>
            <w:b/>
            <w:color w:val="4F6228"/>
            <w:sz w:val="16"/>
            <w:szCs w:val="16"/>
          </w:rPr>
          <w:t>Ley Nº 29618</w:t>
        </w:r>
      </w:hyperlink>
      <w:r w:rsidR="006312E8" w:rsidRPr="006312E8">
        <w:rPr>
          <w:rFonts w:ascii="Arial" w:eastAsia="Calibri" w:hAnsi="Arial" w:cs="Arial"/>
          <w:b/>
          <w:color w:val="4F6228"/>
          <w:sz w:val="16"/>
          <w:szCs w:val="16"/>
        </w:rPr>
        <w:t xml:space="preserve"> (Única  disposición complementaria transitoria)</w:t>
      </w:r>
    </w:p>
    <w:p w:rsidR="006312E8" w:rsidRPr="006312E8" w:rsidRDefault="006312E8" w:rsidP="006312E8">
      <w:pPr>
        <w:numPr>
          <w:ilvl w:val="0"/>
          <w:numId w:val="11"/>
        </w:numPr>
        <w:spacing w:after="0" w:line="240" w:lineRule="auto"/>
        <w:contextualSpacing/>
        <w:jc w:val="both"/>
        <w:rPr>
          <w:rFonts w:ascii="Arial" w:eastAsia="Calibri" w:hAnsi="Arial" w:cs="Arial"/>
          <w:b/>
          <w:color w:val="4F6228"/>
          <w:sz w:val="16"/>
          <w:szCs w:val="16"/>
        </w:rPr>
      </w:pPr>
      <w:r w:rsidRPr="006312E8">
        <w:rPr>
          <w:rFonts w:ascii="Arial" w:eastAsia="Calibri" w:hAnsi="Arial" w:cs="Arial"/>
          <w:b/>
          <w:color w:val="4F6228"/>
          <w:sz w:val="16"/>
          <w:szCs w:val="16"/>
        </w:rPr>
        <w:t>Ley Nº 27806 (numeral 2 del art. 3)</w:t>
      </w:r>
    </w:p>
    <w:p w:rsidR="006312E8" w:rsidRPr="006312E8" w:rsidRDefault="000A5EA6" w:rsidP="006312E8">
      <w:pPr>
        <w:numPr>
          <w:ilvl w:val="0"/>
          <w:numId w:val="11"/>
        </w:numPr>
        <w:spacing w:after="0" w:line="240" w:lineRule="auto"/>
        <w:contextualSpacing/>
        <w:jc w:val="both"/>
        <w:rPr>
          <w:rFonts w:ascii="Arial" w:eastAsia="Calibri" w:hAnsi="Arial" w:cs="Arial"/>
          <w:b/>
          <w:color w:val="4F6228"/>
          <w:sz w:val="16"/>
          <w:szCs w:val="16"/>
        </w:rPr>
      </w:pPr>
      <w:hyperlink w:anchor="DS007" w:history="1">
        <w:r w:rsidR="006312E8" w:rsidRPr="006312E8">
          <w:rPr>
            <w:rFonts w:ascii="Arial" w:eastAsia="Calibri" w:hAnsi="Arial" w:cs="Arial"/>
            <w:b/>
            <w:color w:val="4F6228"/>
            <w:sz w:val="16"/>
            <w:szCs w:val="16"/>
          </w:rPr>
          <w:t>Decreto Supremo Nº 007-2008-VIVIENDA</w:t>
        </w:r>
      </w:hyperlink>
      <w:r w:rsidR="006312E8" w:rsidRPr="006312E8">
        <w:rPr>
          <w:rFonts w:ascii="Arial" w:eastAsia="Calibri" w:hAnsi="Arial" w:cs="Arial"/>
          <w:b/>
          <w:color w:val="4F6228"/>
          <w:sz w:val="16"/>
          <w:szCs w:val="16"/>
        </w:rPr>
        <w:t xml:space="preserve"> “Reglamento de la Ley Nº 29151” (arts. 5, 7, 9)</w:t>
      </w:r>
    </w:p>
    <w:p w:rsidR="006312E8" w:rsidRPr="006312E8" w:rsidRDefault="000A5EA6" w:rsidP="006312E8">
      <w:pPr>
        <w:numPr>
          <w:ilvl w:val="0"/>
          <w:numId w:val="11"/>
        </w:numPr>
        <w:spacing w:after="0" w:line="240" w:lineRule="auto"/>
        <w:contextualSpacing/>
        <w:jc w:val="both"/>
        <w:rPr>
          <w:rFonts w:ascii="Arial" w:eastAsia="Calibri" w:hAnsi="Arial" w:cs="Arial"/>
          <w:lang w:val="es-ES"/>
        </w:rPr>
      </w:pPr>
      <w:hyperlink w:anchor="D0042011" w:history="1">
        <w:r w:rsidR="006312E8" w:rsidRPr="006312E8">
          <w:rPr>
            <w:rFonts w:ascii="Arial" w:eastAsia="Calibri" w:hAnsi="Arial" w:cs="Arial"/>
            <w:b/>
            <w:color w:val="4F6228"/>
            <w:sz w:val="16"/>
            <w:szCs w:val="16"/>
          </w:rPr>
          <w:t>Directiva Nº 004-2013/SBN</w:t>
        </w:r>
      </w:hyperlink>
      <w:r w:rsidR="006312E8" w:rsidRPr="006312E8">
        <w:rPr>
          <w:rFonts w:ascii="Arial" w:eastAsia="Calibri" w:hAnsi="Arial" w:cs="Arial"/>
          <w:b/>
          <w:color w:val="4F6228"/>
          <w:sz w:val="16"/>
          <w:szCs w:val="16"/>
        </w:rPr>
        <w:t xml:space="preserve"> </w:t>
      </w:r>
    </w:p>
    <w:p w:rsidR="006312E8" w:rsidRPr="006312E8" w:rsidRDefault="006312E8" w:rsidP="006312E8">
      <w:pPr>
        <w:numPr>
          <w:ilvl w:val="0"/>
          <w:numId w:val="11"/>
        </w:numPr>
        <w:spacing w:after="0" w:line="240" w:lineRule="auto"/>
        <w:contextualSpacing/>
        <w:jc w:val="both"/>
        <w:rPr>
          <w:rFonts w:ascii="Arial" w:eastAsia="Calibri" w:hAnsi="Arial" w:cs="Arial"/>
          <w:lang w:val="es-ES"/>
        </w:rPr>
      </w:pPr>
      <w:r w:rsidRPr="006312E8">
        <w:rPr>
          <w:rFonts w:ascii="Arial" w:eastAsia="Calibri" w:hAnsi="Arial" w:cs="Arial"/>
          <w:b/>
          <w:color w:val="4F6228"/>
          <w:sz w:val="16"/>
          <w:szCs w:val="16"/>
        </w:rPr>
        <w:t>Directiva N° 006-2014-SBN</w:t>
      </w:r>
    </w:p>
    <w:p w:rsidR="006312E8" w:rsidRPr="006312E8" w:rsidRDefault="006312E8" w:rsidP="006312E8">
      <w:pPr>
        <w:spacing w:after="0" w:line="240" w:lineRule="auto"/>
        <w:ind w:left="720"/>
        <w:contextualSpacing/>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8.- Entidades que conforman el Sistema Nacional de Bienes Estatales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Las entidades que conforman el Sistema Nacional de Bienes Estatales, en cuanto administran o disponen bienes estatales, son las siguientes: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numPr>
          <w:ilvl w:val="0"/>
          <w:numId w:val="4"/>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La Superintendencia Nacional de Bienes Estatales - SBN, como ente rector.</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6312E8">
      <w:pPr>
        <w:numPr>
          <w:ilvl w:val="0"/>
          <w:numId w:val="4"/>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El Gobierno Nacional integrado por el Poder Ejecutivo, incluyendo a los ministerios y organismos públicos descentralizados, el Poder Legislativo y el Poder Judicial.</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4"/>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Los organismos públicos a los que la Constitución Política del Perú y las leyes confieren autonomía.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4"/>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Las entidades, organismos, proyectos y programas del Estado, cuyas actividades se realizan en virtud de potestades administrativas legalmente otorgadas.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4"/>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Los gobiernos regionales.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4"/>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Los gobiernos locales y sus empresas.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4"/>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Las empresas estatales de derecho público.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No se encuentran comprendidas en la presente Ley, las empresas estatales de derecho privado.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6312E8">
      <w:pPr>
        <w:numPr>
          <w:ilvl w:val="0"/>
          <w:numId w:val="15"/>
        </w:numPr>
        <w:spacing w:after="0" w:line="240" w:lineRule="auto"/>
        <w:contextualSpacing/>
        <w:jc w:val="both"/>
        <w:rPr>
          <w:rFonts w:ascii="Arial" w:eastAsia="Calibri" w:hAnsi="Arial" w:cs="Arial"/>
          <w:b/>
          <w:color w:val="4F6228"/>
          <w:sz w:val="16"/>
          <w:szCs w:val="16"/>
        </w:rPr>
      </w:pPr>
      <w:hyperlink w:anchor="DS007" w:history="1">
        <w:r w:rsidR="006312E8" w:rsidRPr="006312E8">
          <w:rPr>
            <w:rFonts w:ascii="Arial" w:eastAsia="Calibri" w:hAnsi="Arial" w:cs="Arial"/>
            <w:b/>
            <w:color w:val="4F6228"/>
            <w:sz w:val="16"/>
            <w:szCs w:val="16"/>
          </w:rPr>
          <w:t>Decreto Supremo N° 007-2008-VIVIENDA</w:t>
        </w:r>
      </w:hyperlink>
      <w:r w:rsidR="006312E8" w:rsidRPr="006312E8">
        <w:rPr>
          <w:rFonts w:ascii="Arial" w:eastAsia="Calibri" w:hAnsi="Arial" w:cs="Arial"/>
          <w:b/>
          <w:color w:val="4F6228"/>
          <w:sz w:val="16"/>
          <w:szCs w:val="16"/>
        </w:rPr>
        <w:t xml:space="preserve"> (arts. 3, 4, 12, 13, 18, 72)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9.- Gobiernos regionales y gobiernos locales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Los actos que ejecuten los gobiernos regionales, respecto de los bienes de su propiedad, se rigen por lo dispuesto en la Ley Nº 27867, Ley Orgánica de Gobiernos Regionales, y la presente Ley, así como por su reglamento, en lo que fuera aplicable, estando obligados a remitir a la Superintendencia Nacional de Bienes Estatales - SBN información de los referidos bienes para su registro en el Sistema de Información Nacional de Bienes Estatales - SINABIP.</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Los gobiernos regionales, respecto de los bienes de propiedad del Estado bajo su administración, en cumplimiento de las transferencias de competencias, ejecutarán los actos conforme a lo establecido en el artículo 35 literal j) de la Ley Nº 27783, Ley de Bases de la Descentralización, y en el artículo 62 de la Ley Nº 27867, Ley Orgánica de Gobiernos Regionales, en la presente Ley y en su reglamento.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Los actos que realizan los gobiernos locales, respecto de los bienes de su propiedad, así como los de dominio público que se encuentran bajo su administración, se ejecutan conforme a la Ley Nº 27972, Ley Orgánica de Municipalidades, y a la presente Ley y su reglamento, en lo que fuera aplicable, estando obligados a remitir a la Superintendencia Nacional de Bienes Estatales - SBN información de los referidos bienes para su registro en el Sistema de Información Nacional de Bienes Estatales - SINABIP.</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Respecto de los bienes de dominio público bajo administración local, la Superintendencia Nacional de Bienes Estatales - SBN deberá efectuar las funciones de supervisión y registro.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Las universidades, respecto de sus bienes, se rigen por la Ley Nº 23733, Ley Universitaria, sin perjuicio de la obligación de remitir a la Superintendencia Nacional de Bienes Estatales - SBN la información sobre los referidos bienes para su registro en el Sistema de Información Nacional de Bienes Estatales - SINABIP.</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Los bienes del Sector Defensa se rigen por la Ley Nº 29006, Ley que autoriza la disponibilidad de inmuebles del Sector Defensa, y por las disposiciones de carácter especial sobre la materia.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 xml:space="preserve">CONCORDANCIAS: </w:t>
      </w:r>
      <w:r w:rsidRPr="006312E8">
        <w:rPr>
          <w:rFonts w:ascii="Arial" w:eastAsia="Calibri" w:hAnsi="Arial" w:cs="Arial"/>
          <w:b/>
          <w:color w:val="4F6228"/>
          <w:sz w:val="16"/>
          <w:szCs w:val="16"/>
        </w:rPr>
        <w:tab/>
      </w:r>
    </w:p>
    <w:p w:rsidR="006312E8" w:rsidRPr="006312E8" w:rsidRDefault="000A5EA6" w:rsidP="006312E8">
      <w:pPr>
        <w:numPr>
          <w:ilvl w:val="0"/>
          <w:numId w:val="14"/>
        </w:numPr>
        <w:spacing w:after="0" w:line="240" w:lineRule="auto"/>
        <w:contextualSpacing/>
        <w:jc w:val="both"/>
        <w:rPr>
          <w:rFonts w:ascii="Arial" w:eastAsia="Calibri" w:hAnsi="Arial" w:cs="Arial"/>
          <w:b/>
          <w:color w:val="4F6228"/>
          <w:sz w:val="16"/>
          <w:szCs w:val="16"/>
        </w:rPr>
      </w:pPr>
      <w:hyperlink w:anchor="LEY27783" w:history="1">
        <w:r w:rsidR="006312E8" w:rsidRPr="006312E8">
          <w:rPr>
            <w:rFonts w:ascii="Arial" w:eastAsia="Calibri" w:hAnsi="Arial" w:cs="Arial"/>
            <w:b/>
            <w:color w:val="4F6228"/>
            <w:sz w:val="16"/>
            <w:szCs w:val="16"/>
          </w:rPr>
          <w:t>Ley Nº27783</w:t>
        </w:r>
      </w:hyperlink>
      <w:r w:rsidR="006312E8" w:rsidRPr="006312E8">
        <w:rPr>
          <w:rFonts w:ascii="Arial" w:eastAsia="Calibri" w:hAnsi="Arial" w:cs="Arial"/>
          <w:b/>
          <w:color w:val="4F6228"/>
          <w:sz w:val="16"/>
          <w:szCs w:val="16"/>
        </w:rPr>
        <w:t xml:space="preserve"> (art. 35 literal j)</w:t>
      </w:r>
    </w:p>
    <w:p w:rsidR="006312E8" w:rsidRPr="006312E8" w:rsidRDefault="000A5EA6" w:rsidP="006312E8">
      <w:pPr>
        <w:numPr>
          <w:ilvl w:val="0"/>
          <w:numId w:val="14"/>
        </w:numPr>
        <w:spacing w:after="0" w:line="240" w:lineRule="auto"/>
        <w:contextualSpacing/>
        <w:jc w:val="both"/>
        <w:rPr>
          <w:rFonts w:ascii="Arial" w:eastAsia="Calibri" w:hAnsi="Arial" w:cs="Arial"/>
          <w:b/>
          <w:color w:val="4F6228"/>
          <w:sz w:val="16"/>
          <w:szCs w:val="16"/>
        </w:rPr>
      </w:pPr>
      <w:hyperlink w:anchor="LEY27867" w:history="1">
        <w:r w:rsidR="006312E8" w:rsidRPr="006312E8">
          <w:rPr>
            <w:rFonts w:ascii="Arial" w:eastAsia="Calibri" w:hAnsi="Arial" w:cs="Arial"/>
            <w:b/>
            <w:color w:val="4F6228"/>
            <w:sz w:val="16"/>
            <w:szCs w:val="16"/>
          </w:rPr>
          <w:t>Ley Nº 27867</w:t>
        </w:r>
      </w:hyperlink>
      <w:r w:rsidR="006312E8" w:rsidRPr="006312E8">
        <w:rPr>
          <w:rFonts w:ascii="Arial" w:eastAsia="Calibri" w:hAnsi="Arial" w:cs="Arial"/>
          <w:b/>
          <w:color w:val="4F6228"/>
          <w:sz w:val="16"/>
          <w:szCs w:val="16"/>
        </w:rPr>
        <w:t xml:space="preserve"> (art. 62)</w:t>
      </w:r>
    </w:p>
    <w:p w:rsidR="006312E8" w:rsidRPr="006312E8" w:rsidRDefault="000A5EA6" w:rsidP="006312E8">
      <w:pPr>
        <w:numPr>
          <w:ilvl w:val="0"/>
          <w:numId w:val="14"/>
        </w:numPr>
        <w:spacing w:after="0" w:line="240" w:lineRule="auto"/>
        <w:contextualSpacing/>
        <w:jc w:val="both"/>
        <w:rPr>
          <w:rFonts w:ascii="Arial" w:eastAsia="Calibri" w:hAnsi="Arial" w:cs="Arial"/>
          <w:b/>
          <w:color w:val="4F6228"/>
          <w:sz w:val="16"/>
          <w:szCs w:val="16"/>
        </w:rPr>
      </w:pPr>
      <w:hyperlink w:anchor="LEY27972" w:history="1">
        <w:r w:rsidR="006312E8" w:rsidRPr="006312E8">
          <w:rPr>
            <w:rFonts w:ascii="Arial" w:eastAsia="Calibri" w:hAnsi="Arial" w:cs="Arial"/>
            <w:b/>
            <w:color w:val="4F6228"/>
            <w:sz w:val="16"/>
            <w:szCs w:val="16"/>
          </w:rPr>
          <w:t>Ley Nº 27972</w:t>
        </w:r>
      </w:hyperlink>
      <w:r w:rsidR="006312E8" w:rsidRPr="006312E8">
        <w:rPr>
          <w:rFonts w:ascii="Arial" w:eastAsia="Calibri" w:hAnsi="Arial" w:cs="Arial"/>
          <w:b/>
          <w:color w:val="4F6228"/>
          <w:sz w:val="16"/>
          <w:szCs w:val="16"/>
        </w:rPr>
        <w:t xml:space="preserve"> (arts. 59)</w:t>
      </w:r>
    </w:p>
    <w:p w:rsidR="006312E8" w:rsidRPr="006312E8" w:rsidRDefault="006312E8" w:rsidP="006312E8">
      <w:pPr>
        <w:numPr>
          <w:ilvl w:val="0"/>
          <w:numId w:val="14"/>
        </w:numPr>
        <w:spacing w:after="0" w:line="240" w:lineRule="auto"/>
        <w:contextualSpacing/>
        <w:jc w:val="both"/>
        <w:rPr>
          <w:rFonts w:ascii="Arial" w:eastAsia="Calibri" w:hAnsi="Arial" w:cs="Arial"/>
          <w:b/>
          <w:color w:val="4F6228"/>
          <w:sz w:val="16"/>
          <w:szCs w:val="16"/>
          <w:lang w:val="en-US"/>
        </w:rPr>
      </w:pPr>
      <w:r w:rsidRPr="006312E8">
        <w:rPr>
          <w:rFonts w:ascii="Arial" w:eastAsia="Calibri" w:hAnsi="Arial" w:cs="Arial"/>
          <w:b/>
          <w:color w:val="4F6228"/>
          <w:sz w:val="16"/>
          <w:szCs w:val="16"/>
          <w:lang w:val="en-US"/>
        </w:rPr>
        <w:t>Ley Nº 23733 (art. 4 literal c)</w:t>
      </w:r>
    </w:p>
    <w:p w:rsidR="006312E8" w:rsidRPr="006312E8" w:rsidRDefault="000A5EA6" w:rsidP="006312E8">
      <w:pPr>
        <w:numPr>
          <w:ilvl w:val="0"/>
          <w:numId w:val="14"/>
        </w:numPr>
        <w:spacing w:after="0" w:line="240" w:lineRule="auto"/>
        <w:contextualSpacing/>
        <w:jc w:val="both"/>
        <w:rPr>
          <w:rFonts w:ascii="Arial" w:eastAsia="Calibri" w:hAnsi="Arial" w:cs="Arial"/>
          <w:b/>
          <w:color w:val="4F6228"/>
          <w:sz w:val="16"/>
          <w:szCs w:val="16"/>
        </w:rPr>
      </w:pPr>
      <w:hyperlink w:anchor="LEY29006" w:history="1">
        <w:r w:rsidR="006312E8" w:rsidRPr="006312E8">
          <w:rPr>
            <w:rFonts w:ascii="Arial" w:eastAsia="Calibri" w:hAnsi="Arial" w:cs="Arial"/>
            <w:b/>
            <w:color w:val="4F6228"/>
            <w:sz w:val="16"/>
            <w:szCs w:val="16"/>
          </w:rPr>
          <w:t>Ley Nº 29006</w:t>
        </w:r>
      </w:hyperlink>
      <w:r w:rsidR="006312E8" w:rsidRPr="006312E8">
        <w:rPr>
          <w:rFonts w:ascii="Arial" w:eastAsia="Calibri" w:hAnsi="Arial" w:cs="Arial"/>
          <w:b/>
          <w:color w:val="4F6228"/>
          <w:sz w:val="16"/>
          <w:szCs w:val="16"/>
        </w:rPr>
        <w:t xml:space="preserve"> (art. 1)</w:t>
      </w:r>
    </w:p>
    <w:p w:rsidR="006312E8" w:rsidRPr="006312E8" w:rsidRDefault="000A5EA6" w:rsidP="006312E8">
      <w:pPr>
        <w:numPr>
          <w:ilvl w:val="0"/>
          <w:numId w:val="14"/>
        </w:numPr>
        <w:spacing w:after="0" w:line="240" w:lineRule="auto"/>
        <w:contextualSpacing/>
        <w:jc w:val="both"/>
        <w:rPr>
          <w:rFonts w:ascii="Arial" w:eastAsia="Calibri" w:hAnsi="Arial" w:cs="Arial"/>
          <w:b/>
          <w:color w:val="4F6228"/>
          <w:sz w:val="16"/>
          <w:szCs w:val="16"/>
        </w:rPr>
      </w:pPr>
      <w:hyperlink w:anchor="DS007" w:history="1">
        <w:r w:rsidR="006312E8" w:rsidRPr="006312E8">
          <w:rPr>
            <w:rFonts w:ascii="Arial" w:eastAsia="Calibri" w:hAnsi="Arial" w:cs="Arial"/>
            <w:b/>
            <w:color w:val="4F6228"/>
            <w:sz w:val="16"/>
            <w:szCs w:val="16"/>
          </w:rPr>
          <w:t>Decreto Supremo  Nº 007-2008-VIVIENDA</w:t>
        </w:r>
      </w:hyperlink>
      <w:r w:rsidR="006312E8" w:rsidRPr="006312E8">
        <w:rPr>
          <w:rFonts w:ascii="Arial" w:eastAsia="Calibri" w:hAnsi="Arial" w:cs="Arial"/>
          <w:b/>
          <w:color w:val="4F6228"/>
          <w:sz w:val="16"/>
          <w:szCs w:val="16"/>
        </w:rPr>
        <w:t xml:space="preserve"> – Reglamento de la Ley Nº 29151 (arts. 12, 14, 15 y 18)</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10.- Empresas estatales de derecho público y empresas municipales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Los actos que realizan las empresas estatales de derecho público y las empresas municipales, respecto de los bienes de su propiedad, se rigen por sus leyes de creación y demás normas legales sobre la materia, encontrándose obligadas a remitir a la Superintendencia Nacional de Bienes Estatales - SBN la información de los referidos bienes para su registro en el Sistema de Información Nacional de Bienes Estatales - SINABIP.</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 xml:space="preserve">CONCORDANCIAS: </w:t>
      </w:r>
      <w:r w:rsidRPr="006312E8">
        <w:rPr>
          <w:rFonts w:ascii="Arial" w:eastAsia="Calibri" w:hAnsi="Arial" w:cs="Arial"/>
          <w:b/>
          <w:color w:val="4F6228"/>
          <w:sz w:val="16"/>
          <w:szCs w:val="16"/>
        </w:rPr>
        <w:tab/>
      </w:r>
    </w:p>
    <w:p w:rsidR="006312E8" w:rsidRPr="006312E8" w:rsidRDefault="000A5EA6" w:rsidP="006312E8">
      <w:pPr>
        <w:numPr>
          <w:ilvl w:val="0"/>
          <w:numId w:val="13"/>
        </w:numPr>
        <w:spacing w:after="0" w:line="240" w:lineRule="auto"/>
        <w:contextualSpacing/>
        <w:jc w:val="both"/>
        <w:rPr>
          <w:rFonts w:ascii="Arial" w:eastAsia="Calibri" w:hAnsi="Arial" w:cs="Arial"/>
          <w:b/>
          <w:color w:val="4F6228"/>
          <w:sz w:val="16"/>
          <w:szCs w:val="16"/>
        </w:rPr>
      </w:pPr>
      <w:hyperlink w:anchor="DS007" w:history="1">
        <w:r w:rsidR="006312E8" w:rsidRPr="006312E8">
          <w:rPr>
            <w:rFonts w:ascii="Arial" w:eastAsia="Calibri" w:hAnsi="Arial" w:cs="Arial"/>
            <w:b/>
            <w:color w:val="4F6228"/>
            <w:sz w:val="16"/>
            <w:szCs w:val="16"/>
          </w:rPr>
          <w:t>Decreto Supremo  Nº 007-2008-VIVIENDA</w:t>
        </w:r>
      </w:hyperlink>
      <w:r w:rsidR="006312E8" w:rsidRPr="006312E8">
        <w:rPr>
          <w:rFonts w:ascii="Arial" w:eastAsia="Calibri" w:hAnsi="Arial" w:cs="Arial"/>
          <w:b/>
          <w:color w:val="4F6228"/>
          <w:sz w:val="16"/>
          <w:szCs w:val="16"/>
        </w:rPr>
        <w:t xml:space="preserve"> (art. 13)</w:t>
      </w:r>
    </w:p>
    <w:p w:rsidR="006312E8" w:rsidRPr="006312E8" w:rsidRDefault="006312E8" w:rsidP="006312E8">
      <w:pPr>
        <w:spacing w:after="0" w:line="240" w:lineRule="auto"/>
        <w:jc w:val="both"/>
        <w:rPr>
          <w:rFonts w:ascii="Arial" w:eastAsia="Calibri" w:hAnsi="Arial" w:cs="Arial"/>
          <w:color w:val="4F6228"/>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11.- Acciones sobre los bienes estatales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Las entidades públicas que conforman el Sistema Nacional de Bienes Estatales realizarán los actos de adquisición, administración, disposición, registro y supervisión de los bienes estatales, de acuerdo con lo dispuesto por la presente Ley y su reglamento.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 xml:space="preserve">CONCORDANCIAS: </w:t>
      </w:r>
      <w:r w:rsidRPr="006312E8">
        <w:rPr>
          <w:rFonts w:ascii="Arial" w:eastAsia="Calibri" w:hAnsi="Arial" w:cs="Arial"/>
          <w:b/>
          <w:color w:val="4F6228"/>
          <w:sz w:val="16"/>
          <w:szCs w:val="16"/>
        </w:rPr>
        <w:tab/>
      </w:r>
    </w:p>
    <w:p w:rsidR="006312E8" w:rsidRPr="006312E8" w:rsidRDefault="000A5EA6" w:rsidP="006312E8">
      <w:pPr>
        <w:numPr>
          <w:ilvl w:val="0"/>
          <w:numId w:val="12"/>
        </w:numPr>
        <w:spacing w:after="0" w:line="240" w:lineRule="auto"/>
        <w:contextualSpacing/>
        <w:jc w:val="both"/>
        <w:rPr>
          <w:rFonts w:ascii="Arial" w:eastAsia="Calibri" w:hAnsi="Arial" w:cs="Arial"/>
          <w:b/>
          <w:color w:val="4F6228"/>
          <w:sz w:val="16"/>
          <w:szCs w:val="16"/>
        </w:rPr>
      </w:pPr>
      <w:hyperlink w:anchor="DS007" w:history="1">
        <w:r w:rsidR="006312E8" w:rsidRPr="006312E8">
          <w:rPr>
            <w:rFonts w:ascii="Arial" w:eastAsia="Calibri" w:hAnsi="Arial" w:cs="Arial"/>
            <w:b/>
            <w:color w:val="4F6228"/>
            <w:sz w:val="16"/>
            <w:szCs w:val="16"/>
          </w:rPr>
          <w:t>Decreto Supremo  Nº 007-2008-VIVIENDA</w:t>
        </w:r>
      </w:hyperlink>
      <w:r w:rsidR="006312E8" w:rsidRPr="006312E8">
        <w:rPr>
          <w:rFonts w:ascii="Arial" w:eastAsia="Calibri" w:hAnsi="Arial" w:cs="Arial"/>
          <w:b/>
          <w:color w:val="4F6228"/>
          <w:sz w:val="16"/>
          <w:szCs w:val="16"/>
        </w:rPr>
        <w:t xml:space="preserve"> (arts. 5, 7)</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12.- Obligatoriedad de remitir información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Las entidades públicas que integran el Sistema Nacional de Bienes Estatales deben remitir a la Superintendencia Nacional de Bienes Estatales - SBN la documentación sustentatoria de los actos vinculados a los bienes estatales sobre los que ejercen algún derecho o se encuentran bajo su administración, a partir de la fecha de expedición de la resolución aprobatoria, suscripción del contrato o inscripción del acto, según sea el caso, y conforme a los plazos y condiciones que se establezcan en el reglamento de la presente Ley, bajo responsabilidad del titular de la entidad pública correspondiente.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 xml:space="preserve">CONCORDANCIAS: </w:t>
      </w:r>
      <w:r w:rsidRPr="006312E8">
        <w:rPr>
          <w:rFonts w:ascii="Arial" w:eastAsia="Calibri" w:hAnsi="Arial" w:cs="Arial"/>
          <w:b/>
          <w:color w:val="4F6228"/>
          <w:sz w:val="16"/>
          <w:szCs w:val="16"/>
        </w:rPr>
        <w:tab/>
      </w:r>
    </w:p>
    <w:p w:rsidR="006312E8" w:rsidRPr="006312E8" w:rsidRDefault="000A5EA6" w:rsidP="006312E8">
      <w:pPr>
        <w:numPr>
          <w:ilvl w:val="0"/>
          <w:numId w:val="12"/>
        </w:numPr>
        <w:spacing w:after="0" w:line="240" w:lineRule="auto"/>
        <w:contextualSpacing/>
        <w:jc w:val="both"/>
        <w:rPr>
          <w:rFonts w:ascii="Arial" w:eastAsia="Calibri" w:hAnsi="Arial" w:cs="Arial"/>
          <w:b/>
          <w:color w:val="4F6228"/>
          <w:sz w:val="16"/>
          <w:szCs w:val="16"/>
        </w:rPr>
      </w:pPr>
      <w:hyperlink w:anchor="DS007" w:history="1">
        <w:r w:rsidR="006312E8" w:rsidRPr="006312E8">
          <w:rPr>
            <w:rFonts w:ascii="Arial" w:eastAsia="Calibri" w:hAnsi="Arial" w:cs="Arial"/>
            <w:b/>
            <w:color w:val="4F6228"/>
            <w:sz w:val="16"/>
            <w:szCs w:val="16"/>
          </w:rPr>
          <w:t>Decreto Supremo  Nº 007-2008-VIVIENDA</w:t>
        </w:r>
      </w:hyperlink>
      <w:r w:rsidR="006312E8" w:rsidRPr="006312E8">
        <w:rPr>
          <w:rFonts w:ascii="Arial" w:eastAsia="Calibri" w:hAnsi="Arial" w:cs="Arial"/>
          <w:b/>
          <w:color w:val="4F6228"/>
          <w:sz w:val="16"/>
          <w:szCs w:val="16"/>
        </w:rPr>
        <w:t xml:space="preserve"> – Reglamento de la Ley Nº 29151 (arts. 19, 22, 24)</w:t>
      </w:r>
    </w:p>
    <w:p w:rsidR="006312E8" w:rsidRPr="006312E8" w:rsidRDefault="006312E8" w:rsidP="006312E8">
      <w:pPr>
        <w:numPr>
          <w:ilvl w:val="0"/>
          <w:numId w:val="12"/>
        </w:numPr>
        <w:spacing w:after="0" w:line="240" w:lineRule="auto"/>
        <w:contextualSpacing/>
        <w:jc w:val="both"/>
        <w:rPr>
          <w:rFonts w:ascii="Arial" w:eastAsia="Calibri" w:hAnsi="Arial" w:cs="Arial"/>
          <w:b/>
          <w:color w:val="4F6228"/>
          <w:sz w:val="16"/>
          <w:szCs w:val="16"/>
        </w:rPr>
      </w:pPr>
      <w:r w:rsidRPr="006312E8">
        <w:rPr>
          <w:rFonts w:ascii="Arial" w:eastAsia="Calibri" w:hAnsi="Arial" w:cs="Arial"/>
          <w:b/>
          <w:color w:val="4F6228"/>
          <w:sz w:val="16"/>
          <w:szCs w:val="16"/>
        </w:rPr>
        <w:t>Ley Nº 26512 (art. 7)</w:t>
      </w:r>
    </w:p>
    <w:p w:rsidR="006312E8" w:rsidRPr="006312E8" w:rsidRDefault="000A5EA6" w:rsidP="006312E8">
      <w:pPr>
        <w:numPr>
          <w:ilvl w:val="0"/>
          <w:numId w:val="12"/>
        </w:numPr>
        <w:spacing w:after="0" w:line="240" w:lineRule="auto"/>
        <w:contextualSpacing/>
        <w:jc w:val="both"/>
        <w:rPr>
          <w:rFonts w:ascii="Arial" w:eastAsia="Calibri" w:hAnsi="Arial" w:cs="Arial"/>
          <w:b/>
          <w:color w:val="4F6228"/>
          <w:sz w:val="16"/>
          <w:szCs w:val="16"/>
        </w:rPr>
      </w:pPr>
      <w:hyperlink w:anchor="D0022011" w:history="1">
        <w:r w:rsidR="00540248">
          <w:rPr>
            <w:rFonts w:ascii="Arial" w:eastAsia="Calibri" w:hAnsi="Arial" w:cs="Arial"/>
            <w:b/>
            <w:color w:val="4F6228"/>
            <w:sz w:val="16"/>
            <w:szCs w:val="16"/>
          </w:rPr>
          <w:t>Directiva Nº 002-2011/</w:t>
        </w:r>
        <w:r w:rsidR="006312E8" w:rsidRPr="006312E8">
          <w:rPr>
            <w:rFonts w:ascii="Arial" w:eastAsia="Calibri" w:hAnsi="Arial" w:cs="Arial"/>
            <w:b/>
            <w:color w:val="4F6228"/>
            <w:sz w:val="16"/>
            <w:szCs w:val="16"/>
          </w:rPr>
          <w:t>SBN – aprobada por Resolución Nº 017-2011-SBN (numeral 6.2, art</w:t>
        </w:r>
      </w:hyperlink>
      <w:r w:rsidR="006312E8" w:rsidRPr="006312E8">
        <w:rPr>
          <w:rFonts w:ascii="Arial" w:eastAsia="Calibri" w:hAnsi="Arial" w:cs="Arial"/>
          <w:b/>
          <w:color w:val="4F6228"/>
          <w:sz w:val="16"/>
          <w:szCs w:val="16"/>
        </w:rPr>
        <w:t>. 6)</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CAPÍTULO II</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SUPERINTENDENCIA NACIONAL DE BIENES ESTATALES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13.- De la Superintendencia Nacional de Bienes Estatales y su representación judicial</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Superintendencia Nacional de Bienes Estatales - SBN es un organismo público descentralizado y constituye un pliego presupuestal, siendo el ente rector responsable tanto de normar los actos de adquisición, disposición, administración y supervisión de los bienes estatales, como de ejecutar dichos actos respecto de los bienes cuya administración está a su cargo, de acuerdo a la normatividad vigente, gozando de autonomía económica, presupuestal, financiera, técnica y funcional, con representación judicial propia.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6312E8">
      <w:pPr>
        <w:numPr>
          <w:ilvl w:val="0"/>
          <w:numId w:val="12"/>
        </w:numPr>
        <w:spacing w:after="0" w:line="240" w:lineRule="auto"/>
        <w:contextualSpacing/>
        <w:jc w:val="both"/>
        <w:rPr>
          <w:rFonts w:ascii="Arial" w:eastAsia="Calibri" w:hAnsi="Arial" w:cs="Arial"/>
          <w:b/>
          <w:color w:val="4F6228"/>
          <w:sz w:val="16"/>
          <w:szCs w:val="16"/>
        </w:rPr>
      </w:pPr>
      <w:hyperlink w:anchor="DS007" w:history="1">
        <w:r w:rsidR="006312E8" w:rsidRPr="006312E8">
          <w:rPr>
            <w:rFonts w:ascii="Arial" w:eastAsia="Calibri" w:hAnsi="Arial" w:cs="Arial"/>
            <w:b/>
            <w:color w:val="4F6228"/>
            <w:sz w:val="16"/>
            <w:szCs w:val="16"/>
          </w:rPr>
          <w:t>Decreto Supremo  Nº 007-2008-VIVIENDA</w:t>
        </w:r>
      </w:hyperlink>
      <w:r w:rsidR="006312E8" w:rsidRPr="006312E8">
        <w:rPr>
          <w:rFonts w:ascii="Calibri" w:eastAsia="Calibri" w:hAnsi="Calibri" w:cs="Times New Roman"/>
        </w:rPr>
        <w:t xml:space="preserve"> </w:t>
      </w:r>
      <w:r w:rsidR="006312E8" w:rsidRPr="006312E8">
        <w:rPr>
          <w:rFonts w:ascii="Arial" w:eastAsia="Calibri" w:hAnsi="Arial" w:cs="Arial"/>
          <w:b/>
          <w:color w:val="4F6228"/>
          <w:sz w:val="16"/>
          <w:szCs w:val="16"/>
        </w:rPr>
        <w:t>(art. 8)</w:t>
      </w:r>
    </w:p>
    <w:p w:rsidR="006312E8" w:rsidRPr="006312E8" w:rsidRDefault="000A5EA6" w:rsidP="006312E8">
      <w:pPr>
        <w:numPr>
          <w:ilvl w:val="0"/>
          <w:numId w:val="12"/>
        </w:numPr>
        <w:spacing w:after="0" w:line="240" w:lineRule="auto"/>
        <w:contextualSpacing/>
        <w:jc w:val="both"/>
        <w:rPr>
          <w:rFonts w:ascii="Arial" w:eastAsia="Calibri" w:hAnsi="Arial" w:cs="Arial"/>
          <w:b/>
          <w:color w:val="4F6228"/>
          <w:sz w:val="16"/>
          <w:szCs w:val="16"/>
        </w:rPr>
      </w:pPr>
      <w:hyperlink w:anchor="DS0162010" w:history="1">
        <w:r w:rsidR="006312E8" w:rsidRPr="006312E8">
          <w:rPr>
            <w:rFonts w:ascii="Arial" w:eastAsia="Calibri" w:hAnsi="Arial" w:cs="Arial"/>
            <w:b/>
            <w:color w:val="4F6228"/>
            <w:sz w:val="16"/>
            <w:szCs w:val="16"/>
          </w:rPr>
          <w:t>Decreto Supremo  Nº 016-2010-VIVIENDA</w:t>
        </w:r>
      </w:hyperlink>
      <w:r w:rsidR="006312E8" w:rsidRPr="006312E8">
        <w:rPr>
          <w:rFonts w:ascii="Arial" w:eastAsia="Calibri" w:hAnsi="Arial" w:cs="Arial"/>
          <w:b/>
          <w:color w:val="4F6228"/>
          <w:sz w:val="16"/>
          <w:szCs w:val="16"/>
        </w:rPr>
        <w:t xml:space="preserve"> – ROF de la SBN  (art. 1 )</w:t>
      </w:r>
    </w:p>
    <w:p w:rsidR="006312E8" w:rsidRPr="006312E8" w:rsidRDefault="006312E8" w:rsidP="006312E8">
      <w:pPr>
        <w:spacing w:after="0" w:line="240" w:lineRule="auto"/>
        <w:ind w:left="720"/>
        <w:contextualSpacing/>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14.- Funciones y atribuciones de la Superintendencia Nacional de Bienes Estatales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709" w:hanging="567"/>
        <w:jc w:val="both"/>
        <w:rPr>
          <w:rFonts w:ascii="Arial" w:eastAsia="Calibri" w:hAnsi="Arial" w:cs="Arial"/>
          <w:b/>
          <w:lang w:val="es-ES"/>
        </w:rPr>
      </w:pPr>
      <w:r w:rsidRPr="006312E8">
        <w:rPr>
          <w:rFonts w:ascii="Arial" w:eastAsia="Calibri" w:hAnsi="Arial" w:cs="Arial"/>
          <w:b/>
          <w:lang w:val="es-ES"/>
        </w:rPr>
        <w:t xml:space="preserve">14.1 </w:t>
      </w:r>
      <w:r w:rsidRPr="006312E8">
        <w:rPr>
          <w:rFonts w:ascii="Arial" w:eastAsia="Calibri" w:hAnsi="Arial" w:cs="Arial"/>
          <w:b/>
          <w:lang w:val="es-ES"/>
        </w:rPr>
        <w:tab/>
        <w:t>Son funciones y atribuciones exclusivas de la Superintendencia Nacional de Bienes Estatales - SBN, las siguientes:</w:t>
      </w:r>
    </w:p>
    <w:p w:rsidR="006312E8" w:rsidRPr="006312E8" w:rsidRDefault="006312E8" w:rsidP="006312E8">
      <w:pPr>
        <w:spacing w:after="0" w:line="240" w:lineRule="auto"/>
        <w:ind w:left="709" w:hanging="567"/>
        <w:jc w:val="both"/>
        <w:rPr>
          <w:rFonts w:ascii="Arial" w:eastAsia="Calibri" w:hAnsi="Arial" w:cs="Arial"/>
          <w:lang w:val="es-ES"/>
        </w:rPr>
      </w:pPr>
    </w:p>
    <w:p w:rsidR="006312E8" w:rsidRPr="006312E8" w:rsidRDefault="006312E8" w:rsidP="006312E8">
      <w:pPr>
        <w:numPr>
          <w:ilvl w:val="0"/>
          <w:numId w:val="5"/>
        </w:numPr>
        <w:spacing w:after="0" w:line="240" w:lineRule="auto"/>
        <w:contextualSpacing/>
        <w:jc w:val="both"/>
        <w:rPr>
          <w:rFonts w:ascii="Arial" w:eastAsia="Calibri" w:hAnsi="Arial" w:cs="Arial"/>
          <w:lang w:val="es-ES"/>
        </w:rPr>
      </w:pPr>
      <w:r w:rsidRPr="006312E8">
        <w:rPr>
          <w:rFonts w:ascii="Arial" w:eastAsia="Calibri" w:hAnsi="Arial" w:cs="Arial"/>
          <w:lang w:val="es-ES"/>
        </w:rPr>
        <w:t>Proponer y promover la aprobación de normas legales destinadas al fortalecimiento del Sistema Nacional de Bienes Estatales, priorizando la modernización de la gestión del Estado y el proceso de descentralización.</w:t>
      </w:r>
    </w:p>
    <w:p w:rsidR="006312E8" w:rsidRPr="006312E8" w:rsidRDefault="006312E8" w:rsidP="006312E8">
      <w:pPr>
        <w:spacing w:after="0" w:line="240" w:lineRule="auto"/>
        <w:ind w:left="1095"/>
        <w:contextualSpacing/>
        <w:jc w:val="both"/>
        <w:rPr>
          <w:rFonts w:ascii="Arial" w:eastAsia="Calibri" w:hAnsi="Arial" w:cs="Arial"/>
          <w:lang w:val="es-ES"/>
        </w:rPr>
      </w:pPr>
    </w:p>
    <w:p w:rsidR="006312E8" w:rsidRPr="006312E8" w:rsidRDefault="006312E8" w:rsidP="006312E8">
      <w:pPr>
        <w:numPr>
          <w:ilvl w:val="0"/>
          <w:numId w:val="5"/>
        </w:numPr>
        <w:spacing w:after="0" w:line="240" w:lineRule="auto"/>
        <w:contextualSpacing/>
        <w:jc w:val="both"/>
        <w:rPr>
          <w:rFonts w:ascii="Arial" w:eastAsia="Calibri" w:hAnsi="Arial" w:cs="Arial"/>
          <w:lang w:val="es-ES"/>
        </w:rPr>
      </w:pPr>
      <w:r w:rsidRPr="006312E8">
        <w:rPr>
          <w:rFonts w:ascii="Arial" w:eastAsia="Calibri" w:hAnsi="Arial" w:cs="Arial"/>
          <w:lang w:val="es-ES"/>
        </w:rPr>
        <w:t>Formular políticas y expedir directivas sobre los actos de adquisición, administración, disposición, registro y supervisión de bienes estatales.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5"/>
        </w:numPr>
        <w:spacing w:after="0" w:line="240" w:lineRule="auto"/>
        <w:contextualSpacing/>
        <w:jc w:val="both"/>
        <w:rPr>
          <w:rFonts w:ascii="Arial" w:eastAsia="Calibri" w:hAnsi="Arial" w:cs="Arial"/>
          <w:lang w:val="es-ES"/>
        </w:rPr>
      </w:pPr>
      <w:r w:rsidRPr="006312E8">
        <w:rPr>
          <w:rFonts w:ascii="Arial" w:eastAsia="Calibri" w:hAnsi="Arial" w:cs="Arial"/>
          <w:lang w:val="es-ES"/>
        </w:rPr>
        <w:t>Procurar una eficiente gestión del portafolio mobiliario e inmobiliario de los bienes estatales, optimizando su uso y valor.</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5"/>
        </w:numPr>
        <w:spacing w:after="0" w:line="240" w:lineRule="auto"/>
        <w:contextualSpacing/>
        <w:jc w:val="both"/>
        <w:rPr>
          <w:rFonts w:ascii="Arial" w:eastAsia="Calibri" w:hAnsi="Arial" w:cs="Arial"/>
          <w:lang w:val="es-ES"/>
        </w:rPr>
      </w:pPr>
      <w:r w:rsidRPr="006312E8">
        <w:rPr>
          <w:rFonts w:ascii="Arial" w:eastAsia="Calibri" w:hAnsi="Arial" w:cs="Arial"/>
          <w:lang w:val="es-ES"/>
        </w:rPr>
        <w:t>Supervisar los bienes estatales, así como el cumplimiento del debido procedimiento y de los actos que ejecuten las entidades pertenecientes al Sistema Nacional de Bienes Estatales. En caso que la Superintendencia Nacional de Bienes Estatales - SBN determine infracciones a la normatividad, pondrá las mismas en conocimiento de la entidad pública correspondiente y de la Contraloría General de la República, para las acciones correctivas y sanciones respectivas, bajo responsabilidad del Titular de la entidad pública.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5"/>
        </w:numPr>
        <w:spacing w:after="0" w:line="240" w:lineRule="auto"/>
        <w:contextualSpacing/>
        <w:jc w:val="both"/>
        <w:rPr>
          <w:rFonts w:ascii="Arial" w:eastAsia="Calibri" w:hAnsi="Arial" w:cs="Arial"/>
          <w:lang w:val="es-ES"/>
        </w:rPr>
      </w:pPr>
      <w:r w:rsidRPr="006312E8">
        <w:rPr>
          <w:rFonts w:ascii="Arial" w:eastAsia="Calibri" w:hAnsi="Arial" w:cs="Arial"/>
          <w:lang w:val="es-ES"/>
        </w:rPr>
        <w:t>Administrar el Sistema de Información Nacional de Bienes Estatales - SINABIP como un registro único obligatorio con la información que, de manera obligatoria, deben remitir todas las entidades públicas, respecto de los bienes estatales.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5"/>
        </w:numPr>
        <w:spacing w:after="0" w:line="240" w:lineRule="auto"/>
        <w:contextualSpacing/>
        <w:jc w:val="both"/>
        <w:rPr>
          <w:rFonts w:ascii="Arial" w:eastAsia="Calibri" w:hAnsi="Arial" w:cs="Arial"/>
          <w:lang w:val="es-ES"/>
        </w:rPr>
      </w:pPr>
      <w:r w:rsidRPr="006312E8">
        <w:rPr>
          <w:rFonts w:ascii="Arial" w:eastAsia="Calibri" w:hAnsi="Arial" w:cs="Arial"/>
          <w:lang w:val="es-ES"/>
        </w:rPr>
        <w:t>Identificar los bienes estatales de carácter y alcance nacional y disponer su reserva para desarrollar proyectos de interés nacional.</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5"/>
        </w:numPr>
        <w:spacing w:after="0" w:line="240" w:lineRule="auto"/>
        <w:contextualSpacing/>
        <w:jc w:val="both"/>
        <w:rPr>
          <w:rFonts w:ascii="Arial" w:eastAsia="Calibri" w:hAnsi="Arial" w:cs="Arial"/>
          <w:lang w:val="es-ES"/>
        </w:rPr>
      </w:pPr>
      <w:r w:rsidRPr="006312E8">
        <w:rPr>
          <w:rFonts w:ascii="Arial" w:eastAsia="Calibri" w:hAnsi="Arial" w:cs="Arial"/>
          <w:lang w:val="es-ES"/>
        </w:rPr>
        <w:t>Sustentar y aprobar los actos de adquisición, administración y disposición de los bienes estatales de carácter y alcance nacional, y demás bienes que se encuentren bajo su competencia.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5"/>
        </w:numPr>
        <w:spacing w:after="0" w:line="240" w:lineRule="auto"/>
        <w:contextualSpacing/>
        <w:jc w:val="both"/>
        <w:rPr>
          <w:rFonts w:ascii="Arial" w:eastAsia="Calibri" w:hAnsi="Arial" w:cs="Arial"/>
          <w:lang w:val="es-ES"/>
        </w:rPr>
      </w:pPr>
      <w:r w:rsidRPr="006312E8">
        <w:rPr>
          <w:rFonts w:ascii="Arial" w:eastAsia="Calibri" w:hAnsi="Arial" w:cs="Arial"/>
          <w:lang w:val="es-ES"/>
        </w:rPr>
        <w:t>Aprobar la transferencia, en dominio fiduciario, de los bienes inmuebles de dominio privado del Estado, de libre disponibilidad, que se encuentren bajo su administración, así como la de aquellos bienes de las entidades públicas.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5"/>
        </w:numPr>
        <w:spacing w:after="0" w:line="240" w:lineRule="auto"/>
        <w:contextualSpacing/>
        <w:jc w:val="both"/>
        <w:rPr>
          <w:rFonts w:ascii="Arial" w:eastAsia="Calibri" w:hAnsi="Arial" w:cs="Arial"/>
          <w:lang w:val="es-ES"/>
        </w:rPr>
      </w:pPr>
      <w:r w:rsidRPr="006312E8">
        <w:rPr>
          <w:rFonts w:ascii="Arial" w:eastAsia="Calibri" w:hAnsi="Arial" w:cs="Arial"/>
          <w:lang w:val="es-ES"/>
        </w:rPr>
        <w:t>Emitir opinión técnica en los actos de disposición de predios de propiedad del Estado, con excepción de los bienes de propiedad municipal, y de aquellos que sean materia de procesos de formalización o estén comprendidos en procesos de privatización o concesión en cumplimiento de disposiciones especiales.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5"/>
        </w:numPr>
        <w:spacing w:after="0" w:line="240" w:lineRule="auto"/>
        <w:contextualSpacing/>
        <w:jc w:val="both"/>
        <w:rPr>
          <w:rFonts w:ascii="Arial" w:eastAsia="Calibri" w:hAnsi="Arial" w:cs="Arial"/>
          <w:lang w:val="es-ES"/>
        </w:rPr>
      </w:pPr>
      <w:r w:rsidRPr="006312E8">
        <w:rPr>
          <w:rFonts w:ascii="Arial" w:eastAsia="Calibri" w:hAnsi="Arial" w:cs="Arial"/>
          <w:lang w:val="es-ES"/>
        </w:rPr>
        <w:t>Absolver consultas, interpretar y emitir pronunciamientos institucionales sobre bienes estatales con carácter orientador.</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5"/>
        </w:numPr>
        <w:spacing w:after="0" w:line="240" w:lineRule="auto"/>
        <w:contextualSpacing/>
        <w:jc w:val="both"/>
        <w:rPr>
          <w:rFonts w:ascii="Arial" w:eastAsia="Calibri" w:hAnsi="Arial" w:cs="Arial"/>
          <w:lang w:val="es-ES"/>
        </w:rPr>
      </w:pPr>
      <w:r w:rsidRPr="006312E8">
        <w:rPr>
          <w:rFonts w:ascii="Arial" w:eastAsia="Calibri" w:hAnsi="Arial" w:cs="Arial"/>
          <w:lang w:val="es-ES"/>
        </w:rPr>
        <w:t>Tener acceso a los registros, documentos e información respecto de los actos de disposición y administración de los bienes estatales, con las limitaciones establecidas en la Ley de Transparencia y Acceso a la Información Pública.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5"/>
        </w:numPr>
        <w:spacing w:after="0" w:line="240" w:lineRule="auto"/>
        <w:contextualSpacing/>
        <w:jc w:val="both"/>
        <w:rPr>
          <w:rFonts w:ascii="Arial" w:eastAsia="Calibri" w:hAnsi="Arial" w:cs="Arial"/>
          <w:lang w:val="es-ES"/>
        </w:rPr>
      </w:pPr>
      <w:r w:rsidRPr="006312E8">
        <w:rPr>
          <w:rFonts w:ascii="Arial" w:eastAsia="Calibri" w:hAnsi="Arial" w:cs="Arial"/>
          <w:lang w:val="es-ES"/>
        </w:rPr>
        <w:t>Sancionar y aplicar medidas correctivas a los particulares que promuevan o invadan predios de propiedad estatal bajo la titularidad de dominio y administración de la SBN (*)</w:t>
      </w:r>
    </w:p>
    <w:p w:rsidR="006312E8" w:rsidRPr="006312E8" w:rsidRDefault="006312E8" w:rsidP="006312E8">
      <w:pPr>
        <w:spacing w:after="0" w:line="240" w:lineRule="auto"/>
        <w:ind w:firstLine="705"/>
        <w:jc w:val="both"/>
        <w:rPr>
          <w:rFonts w:ascii="Arial" w:eastAsia="Calibri" w:hAnsi="Arial" w:cs="Arial"/>
          <w:b/>
          <w:color w:val="FF0000"/>
          <w:sz w:val="16"/>
          <w:szCs w:val="16"/>
          <w:lang w:val="es-ES"/>
        </w:rPr>
      </w:pPr>
    </w:p>
    <w:p w:rsidR="006312E8" w:rsidRPr="006312E8" w:rsidRDefault="006312E8" w:rsidP="006312E8">
      <w:pPr>
        <w:spacing w:after="0" w:line="240" w:lineRule="auto"/>
        <w:ind w:left="1134"/>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w:t>
      </w:r>
      <w:r w:rsidRPr="006312E8">
        <w:rPr>
          <w:rFonts w:ascii="Arial" w:eastAsia="Calibri" w:hAnsi="Arial" w:cs="Arial"/>
          <w:sz w:val="16"/>
          <w:szCs w:val="16"/>
          <w:lang w:val="es-ES"/>
        </w:rPr>
        <w:t xml:space="preserve"> </w:t>
      </w:r>
      <w:r w:rsidRPr="006312E8">
        <w:rPr>
          <w:rFonts w:ascii="Arial" w:eastAsia="Calibri" w:hAnsi="Arial" w:cs="Arial"/>
          <w:b/>
          <w:color w:val="FF0000"/>
          <w:sz w:val="16"/>
          <w:szCs w:val="16"/>
          <w:lang w:val="es-ES"/>
        </w:rPr>
        <w:t>Literal incorporado por el Artículo 58° de la Ley Nº 30230, publicada el 12 de julio 2014.</w:t>
      </w:r>
    </w:p>
    <w:p w:rsidR="006312E8" w:rsidRPr="006312E8" w:rsidRDefault="006312E8" w:rsidP="006312E8">
      <w:pPr>
        <w:spacing w:after="0" w:line="240" w:lineRule="auto"/>
        <w:ind w:left="1095"/>
        <w:contextualSpacing/>
        <w:jc w:val="both"/>
        <w:rPr>
          <w:rFonts w:ascii="Arial" w:eastAsia="Calibri" w:hAnsi="Arial" w:cs="Arial"/>
          <w:lang w:val="es-ES"/>
        </w:rPr>
      </w:pPr>
    </w:p>
    <w:p w:rsidR="006312E8" w:rsidRPr="006312E8" w:rsidRDefault="006312E8" w:rsidP="006312E8">
      <w:pPr>
        <w:spacing w:after="0" w:line="240" w:lineRule="auto"/>
        <w:ind w:left="709" w:hanging="567"/>
        <w:jc w:val="both"/>
        <w:rPr>
          <w:rFonts w:ascii="Arial" w:eastAsia="Calibri" w:hAnsi="Arial" w:cs="Arial"/>
          <w:b/>
          <w:lang w:val="es-ES"/>
        </w:rPr>
      </w:pPr>
      <w:r w:rsidRPr="006312E8">
        <w:rPr>
          <w:rFonts w:ascii="Arial" w:eastAsia="Calibri" w:hAnsi="Arial" w:cs="Arial"/>
          <w:b/>
          <w:lang w:val="es-ES"/>
        </w:rPr>
        <w:t xml:space="preserve">14.2 </w:t>
      </w:r>
      <w:r w:rsidRPr="006312E8">
        <w:rPr>
          <w:rFonts w:ascii="Arial" w:eastAsia="Calibri" w:hAnsi="Arial" w:cs="Arial"/>
          <w:b/>
          <w:lang w:val="es-ES"/>
        </w:rPr>
        <w:tab/>
        <w:t>Son funciones y atribuciones compartidas de la Superintendencia Nacional de Bienes Estatales - SBN, las siguientes: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numPr>
          <w:ilvl w:val="0"/>
          <w:numId w:val="6"/>
        </w:numPr>
        <w:spacing w:after="0" w:line="240" w:lineRule="auto"/>
        <w:contextualSpacing/>
        <w:jc w:val="both"/>
        <w:rPr>
          <w:rFonts w:ascii="Arial" w:eastAsia="Calibri" w:hAnsi="Arial" w:cs="Arial"/>
          <w:lang w:val="es-ES"/>
        </w:rPr>
      </w:pPr>
      <w:r w:rsidRPr="006312E8">
        <w:rPr>
          <w:rFonts w:ascii="Arial" w:eastAsia="Calibri" w:hAnsi="Arial" w:cs="Arial"/>
          <w:lang w:val="es-ES"/>
        </w:rPr>
        <w:t>Tramitar y aprobar la conversión de bienes de dominio público al dominio privado del Estado, por la pérdida de la naturaleza o condición apropiada para su uso o servicio público, sin perjuicio de la competencia de los gobiernos locales, para este efecto, asignada por normas especiales, luego de lo cual los bienes quedarán a cargo de la Superintendencia Nacional de Bienes Estatales - SBN.</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6312E8">
      <w:pPr>
        <w:spacing w:after="0" w:line="240" w:lineRule="auto"/>
        <w:ind w:left="1134"/>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6312E8">
      <w:pPr>
        <w:numPr>
          <w:ilvl w:val="0"/>
          <w:numId w:val="16"/>
        </w:numPr>
        <w:spacing w:after="0" w:line="240" w:lineRule="auto"/>
        <w:ind w:left="1985"/>
        <w:contextualSpacing/>
        <w:jc w:val="both"/>
        <w:rPr>
          <w:rFonts w:ascii="Arial" w:eastAsia="Calibri" w:hAnsi="Arial" w:cs="Arial"/>
          <w:b/>
          <w:color w:val="4F6228"/>
          <w:sz w:val="18"/>
          <w:szCs w:val="18"/>
        </w:rPr>
      </w:pPr>
      <w:hyperlink w:anchor="LEY29588" w:history="1">
        <w:r w:rsidR="006312E8" w:rsidRPr="006312E8">
          <w:rPr>
            <w:rFonts w:ascii="Arial" w:eastAsia="Calibri" w:hAnsi="Arial" w:cs="Arial"/>
            <w:b/>
            <w:color w:val="4F6228"/>
            <w:sz w:val="16"/>
            <w:szCs w:val="16"/>
          </w:rPr>
          <w:t>Ley Nº 29588</w:t>
        </w:r>
      </w:hyperlink>
      <w:r w:rsidR="006312E8" w:rsidRPr="006312E8">
        <w:rPr>
          <w:rFonts w:ascii="Arial" w:eastAsia="Calibri" w:hAnsi="Arial" w:cs="Arial"/>
          <w:b/>
          <w:color w:val="4F6228"/>
          <w:sz w:val="16"/>
          <w:szCs w:val="16"/>
        </w:rPr>
        <w:t xml:space="preserve"> (Segunda Disposición Complementaria) </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6312E8">
      <w:pPr>
        <w:numPr>
          <w:ilvl w:val="0"/>
          <w:numId w:val="6"/>
        </w:numPr>
        <w:spacing w:after="0" w:line="240" w:lineRule="auto"/>
        <w:contextualSpacing/>
        <w:jc w:val="both"/>
        <w:rPr>
          <w:rFonts w:ascii="Arial" w:eastAsia="Calibri" w:hAnsi="Arial" w:cs="Arial"/>
          <w:lang w:val="es-ES"/>
        </w:rPr>
      </w:pPr>
      <w:r w:rsidRPr="006312E8">
        <w:rPr>
          <w:rFonts w:ascii="Arial" w:eastAsia="Calibri" w:hAnsi="Arial" w:cs="Arial"/>
          <w:lang w:val="es-ES"/>
        </w:rPr>
        <w:t>Realizar el diagnóstico y/o saneamiento físico legal de bienes inmuebles de las entidades públicas del Gobierno Nacional; inclusive, de aquellas comprendidas en proyectos de inversión, obras de infraestructura y servicios públicos del Estado, sin perjuicio del saneamiento que las entidades públicas, integrantes del Sistema Nacional de Bienes Estatales, efectúen por normas especiales.</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6312E8">
      <w:pPr>
        <w:numPr>
          <w:ilvl w:val="0"/>
          <w:numId w:val="6"/>
        </w:numPr>
        <w:spacing w:after="0" w:line="240" w:lineRule="auto"/>
        <w:contextualSpacing/>
        <w:jc w:val="both"/>
        <w:rPr>
          <w:rFonts w:ascii="Arial" w:eastAsia="Calibri" w:hAnsi="Arial" w:cs="Arial"/>
          <w:lang w:val="es-ES"/>
        </w:rPr>
      </w:pPr>
      <w:r w:rsidRPr="006312E8">
        <w:rPr>
          <w:rFonts w:ascii="Arial" w:eastAsia="Calibri" w:hAnsi="Arial" w:cs="Arial"/>
          <w:lang w:val="es-ES"/>
        </w:rPr>
        <w:t>Requerir, al igual que las entidades públicas integrantes del Sistema Nacional de Bienes Estatales, información a particulares que ejerzan o hayan ejercido algún derecho sobre bienes estatales.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6"/>
        </w:numPr>
        <w:spacing w:after="0" w:line="240" w:lineRule="auto"/>
        <w:contextualSpacing/>
        <w:jc w:val="both"/>
        <w:rPr>
          <w:rFonts w:ascii="Arial" w:eastAsia="Calibri" w:hAnsi="Arial" w:cs="Arial"/>
          <w:lang w:val="es-ES"/>
        </w:rPr>
      </w:pPr>
      <w:r w:rsidRPr="006312E8">
        <w:rPr>
          <w:rFonts w:ascii="Arial" w:eastAsia="Calibri" w:hAnsi="Arial" w:cs="Arial"/>
          <w:lang w:val="es-ES"/>
        </w:rPr>
        <w:t>Recibir y atender, en similar forma que las entidades públicas integrantes del Sistema Nacional de Bienes Estatales, denuncias y sugerencias de la ciudadanía, relacionadas con la administración de los bienes estatales, en el ejercicio de la facultad de fiscalización ciudadana, otorgándoles el trámite correspondiente, sea en el ámbito interno o derivándolas ante la autoridad competente; estando la identidad de los denunciantes y el contenido de la denuncia protegidos por el principio de reserva.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Las funciones y atribuciones antes señaladas no son taxativas, pudiendo incorporarse otras conforme a ley.</w:t>
      </w:r>
    </w:p>
    <w:p w:rsidR="00D91F1A" w:rsidRDefault="00D91F1A" w:rsidP="006312E8">
      <w:pPr>
        <w:spacing w:after="0" w:line="240" w:lineRule="auto"/>
        <w:jc w:val="both"/>
        <w:rPr>
          <w:rFonts w:ascii="Arial" w:eastAsia="Calibri" w:hAnsi="Arial" w:cs="Arial"/>
          <w:lang w:val="es-ES"/>
        </w:rPr>
      </w:pPr>
    </w:p>
    <w:p w:rsidR="00381192" w:rsidRDefault="00381192" w:rsidP="006312E8">
      <w:pPr>
        <w:spacing w:after="0" w:line="240" w:lineRule="auto"/>
        <w:jc w:val="both"/>
        <w:rPr>
          <w:rFonts w:ascii="Arial" w:eastAsia="Calibri" w:hAnsi="Arial" w:cs="Arial"/>
          <w:lang w:val="es-ES"/>
        </w:rPr>
      </w:pPr>
    </w:p>
    <w:p w:rsidR="00381192" w:rsidRPr="006312E8" w:rsidRDefault="00381192"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15.- Del Superintendente Nacional de Bienes Estatales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El Superintendente Nacional de Bienes Estatales es el funcionario público de mayor nivel jerárquico de la Superintendencia Nacional de Bienes Estatales - SBN. Su designación tiene un período de cuatro (4) años. La designación y vacancia del cargo se rige por la Ley Nº 27594, Ley que regula la participación del Poder Ejecutivo en el nombramiento y designación de funcionarios públicos, y la Ley Nº 28175, Ley marco del empleo público.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124" w:hanging="2124"/>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6312E8" w:rsidP="006312E8">
      <w:pPr>
        <w:numPr>
          <w:ilvl w:val="0"/>
          <w:numId w:val="17"/>
        </w:numPr>
        <w:spacing w:after="0" w:line="240" w:lineRule="auto"/>
        <w:contextualSpacing/>
        <w:jc w:val="both"/>
        <w:rPr>
          <w:rFonts w:ascii="Arial" w:eastAsia="Calibri" w:hAnsi="Arial" w:cs="Arial"/>
          <w:b/>
          <w:color w:val="4F6228"/>
          <w:sz w:val="16"/>
          <w:szCs w:val="16"/>
        </w:rPr>
      </w:pPr>
      <w:r w:rsidRPr="006312E8">
        <w:rPr>
          <w:rFonts w:ascii="Arial" w:eastAsia="Calibri" w:hAnsi="Arial" w:cs="Arial"/>
          <w:b/>
          <w:color w:val="4F6228"/>
          <w:sz w:val="16"/>
          <w:szCs w:val="16"/>
        </w:rPr>
        <w:t xml:space="preserve">Ley Nº 27594 </w:t>
      </w:r>
    </w:p>
    <w:p w:rsidR="006312E8" w:rsidRPr="006312E8" w:rsidRDefault="006312E8" w:rsidP="006312E8">
      <w:pPr>
        <w:numPr>
          <w:ilvl w:val="0"/>
          <w:numId w:val="17"/>
        </w:numPr>
        <w:spacing w:after="0" w:line="240" w:lineRule="auto"/>
        <w:contextualSpacing/>
        <w:jc w:val="both"/>
        <w:rPr>
          <w:rFonts w:ascii="Arial" w:eastAsia="Calibri" w:hAnsi="Arial" w:cs="Arial"/>
          <w:b/>
          <w:color w:val="4F6228"/>
          <w:sz w:val="16"/>
          <w:szCs w:val="16"/>
        </w:rPr>
      </w:pPr>
      <w:r w:rsidRPr="006312E8">
        <w:rPr>
          <w:rFonts w:ascii="Arial" w:eastAsia="Calibri" w:hAnsi="Arial" w:cs="Arial"/>
          <w:b/>
          <w:color w:val="4F6228"/>
          <w:sz w:val="16"/>
          <w:szCs w:val="16"/>
        </w:rPr>
        <w:t>Ley Nº 28175</w:t>
      </w:r>
    </w:p>
    <w:p w:rsidR="006312E8" w:rsidRPr="006312E8" w:rsidRDefault="000A5EA6" w:rsidP="006312E8">
      <w:pPr>
        <w:numPr>
          <w:ilvl w:val="0"/>
          <w:numId w:val="17"/>
        </w:numPr>
        <w:spacing w:after="0" w:line="240" w:lineRule="auto"/>
        <w:contextualSpacing/>
        <w:jc w:val="both"/>
        <w:rPr>
          <w:rFonts w:ascii="Arial" w:eastAsia="Calibri" w:hAnsi="Arial" w:cs="Arial"/>
          <w:b/>
          <w:color w:val="4F6228"/>
          <w:sz w:val="16"/>
          <w:szCs w:val="16"/>
        </w:rPr>
      </w:pPr>
      <w:hyperlink w:anchor="DS0162010" w:history="1">
        <w:r w:rsidR="006312E8" w:rsidRPr="006312E8">
          <w:rPr>
            <w:rFonts w:ascii="Arial" w:eastAsia="Calibri" w:hAnsi="Arial" w:cs="Arial"/>
            <w:b/>
            <w:color w:val="4F6228"/>
            <w:sz w:val="16"/>
            <w:szCs w:val="16"/>
          </w:rPr>
          <w:t>Decreto Supremo Nº 016-2010-VIVIENDA</w:t>
        </w:r>
      </w:hyperlink>
      <w:r w:rsidR="006312E8" w:rsidRPr="006312E8">
        <w:rPr>
          <w:rFonts w:ascii="Arial" w:eastAsia="Calibri" w:hAnsi="Arial" w:cs="Arial"/>
          <w:b/>
          <w:color w:val="4F6228"/>
          <w:sz w:val="16"/>
          <w:szCs w:val="16"/>
        </w:rPr>
        <w:t xml:space="preserve"> (arts. 10-11)</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16.- Órgano de revisión de la propiedad estatal</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El órgano de revisión de la propiedad estatal constituye la instancia revisora de la Superintendencia Nacional de Bienes Estatales - SBN, con competencia nacional, encargada de resolver, en última instancia administrativa, los conflictos sobre bienes de propiedad estatal que surjan entre las entidades públicas, integrantes del Sistema Nacional de Bienes Estatales, las que, en forma obligatoria, deben recurrir a ella.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124" w:hanging="2124"/>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6312E8">
      <w:pPr>
        <w:numPr>
          <w:ilvl w:val="0"/>
          <w:numId w:val="16"/>
        </w:numPr>
        <w:spacing w:after="0" w:line="240" w:lineRule="auto"/>
        <w:contextualSpacing/>
        <w:jc w:val="both"/>
        <w:rPr>
          <w:rFonts w:ascii="Arial" w:eastAsia="Calibri" w:hAnsi="Arial" w:cs="Arial"/>
          <w:b/>
          <w:color w:val="4F6228"/>
          <w:sz w:val="16"/>
          <w:szCs w:val="16"/>
        </w:rPr>
      </w:pPr>
      <w:hyperlink w:anchor="DS007" w:history="1">
        <w:r w:rsidR="006312E8" w:rsidRPr="006312E8">
          <w:rPr>
            <w:rFonts w:ascii="Arial" w:eastAsia="Calibri" w:hAnsi="Arial" w:cs="Arial"/>
            <w:b/>
            <w:color w:val="4F6228"/>
            <w:sz w:val="16"/>
            <w:szCs w:val="16"/>
          </w:rPr>
          <w:t>Decreto Supremo Nº 007-2008-VIVIENDA</w:t>
        </w:r>
      </w:hyperlink>
      <w:r w:rsidR="006312E8" w:rsidRPr="006312E8">
        <w:rPr>
          <w:rFonts w:ascii="Arial" w:eastAsia="Calibri" w:hAnsi="Arial" w:cs="Arial"/>
          <w:b/>
          <w:color w:val="4F6228"/>
          <w:sz w:val="16"/>
          <w:szCs w:val="16"/>
        </w:rPr>
        <w:t xml:space="preserve"> (arts. 26 – 29)</w:t>
      </w:r>
    </w:p>
    <w:p w:rsidR="006312E8" w:rsidRPr="006312E8" w:rsidRDefault="000A5EA6" w:rsidP="006312E8">
      <w:pPr>
        <w:numPr>
          <w:ilvl w:val="0"/>
          <w:numId w:val="16"/>
        </w:numPr>
        <w:spacing w:after="0" w:line="240" w:lineRule="auto"/>
        <w:contextualSpacing/>
        <w:jc w:val="both"/>
        <w:rPr>
          <w:rFonts w:ascii="Arial" w:eastAsia="Calibri" w:hAnsi="Arial" w:cs="Arial"/>
          <w:b/>
          <w:color w:val="4F6228"/>
          <w:sz w:val="16"/>
          <w:szCs w:val="16"/>
        </w:rPr>
      </w:pPr>
      <w:hyperlink w:anchor="DS0162010" w:history="1">
        <w:r w:rsidR="006312E8" w:rsidRPr="006312E8">
          <w:rPr>
            <w:rFonts w:ascii="Arial" w:eastAsia="Calibri" w:hAnsi="Arial" w:cs="Arial"/>
            <w:b/>
            <w:color w:val="4F6228"/>
            <w:sz w:val="16"/>
            <w:szCs w:val="16"/>
          </w:rPr>
          <w:t>Decreto Supremo Nº 016-2010-VIVIENDA</w:t>
        </w:r>
      </w:hyperlink>
      <w:r w:rsidR="006312E8" w:rsidRPr="006312E8">
        <w:rPr>
          <w:rFonts w:ascii="Arial" w:eastAsia="Calibri" w:hAnsi="Arial" w:cs="Arial"/>
          <w:b/>
          <w:color w:val="4F6228"/>
          <w:sz w:val="16"/>
          <w:szCs w:val="16"/>
        </w:rPr>
        <w:t xml:space="preserve"> (arts. 16 - 17)</w:t>
      </w:r>
    </w:p>
    <w:p w:rsidR="006312E8" w:rsidRPr="006312E8" w:rsidRDefault="000A5EA6" w:rsidP="006312E8">
      <w:pPr>
        <w:numPr>
          <w:ilvl w:val="0"/>
          <w:numId w:val="16"/>
        </w:numPr>
        <w:spacing w:after="0" w:line="240" w:lineRule="auto"/>
        <w:contextualSpacing/>
        <w:jc w:val="both"/>
        <w:rPr>
          <w:rFonts w:ascii="Arial" w:eastAsia="Calibri" w:hAnsi="Arial" w:cs="Arial"/>
          <w:b/>
          <w:color w:val="4F6228"/>
          <w:sz w:val="16"/>
          <w:szCs w:val="16"/>
        </w:rPr>
      </w:pPr>
      <w:hyperlink w:anchor="DS1302001" w:history="1">
        <w:r w:rsidR="006312E8" w:rsidRPr="006312E8">
          <w:rPr>
            <w:rFonts w:ascii="Arial" w:eastAsia="Calibri" w:hAnsi="Arial" w:cs="Arial"/>
            <w:b/>
            <w:color w:val="4F6228"/>
            <w:sz w:val="16"/>
            <w:szCs w:val="16"/>
          </w:rPr>
          <w:t>Decreto Supremo Nº 130-2001-EF</w:t>
        </w:r>
      </w:hyperlink>
      <w:r w:rsidR="006312E8" w:rsidRPr="006312E8">
        <w:rPr>
          <w:rFonts w:ascii="Arial" w:eastAsia="Calibri" w:hAnsi="Arial" w:cs="Arial"/>
          <w:b/>
          <w:color w:val="4F6228"/>
          <w:sz w:val="16"/>
          <w:szCs w:val="16"/>
        </w:rPr>
        <w:t xml:space="preserve"> (art. 8) </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17.- Normas aplicables a la conformación del órgano de revisión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conformación, requisitos y designación de los integrantes del órgano de revisión serán determinados por el reglamento de la presente Ley y demás normas de gestión de la Superintendencia Nacional de Bienes Estatales - SBN.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124" w:hanging="2124"/>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6312E8">
      <w:pPr>
        <w:numPr>
          <w:ilvl w:val="0"/>
          <w:numId w:val="17"/>
        </w:numPr>
        <w:spacing w:after="0" w:line="240" w:lineRule="auto"/>
        <w:contextualSpacing/>
        <w:jc w:val="both"/>
        <w:rPr>
          <w:rFonts w:ascii="Arial" w:eastAsia="Calibri" w:hAnsi="Arial" w:cs="Arial"/>
          <w:b/>
          <w:color w:val="4F6228"/>
          <w:sz w:val="16"/>
          <w:szCs w:val="16"/>
        </w:rPr>
      </w:pPr>
      <w:hyperlink w:anchor="DS007" w:history="1">
        <w:r w:rsidR="006312E8" w:rsidRPr="006312E8">
          <w:rPr>
            <w:rFonts w:ascii="Arial" w:eastAsia="Calibri" w:hAnsi="Arial" w:cs="Arial"/>
            <w:b/>
            <w:color w:val="4F6228"/>
            <w:sz w:val="16"/>
            <w:szCs w:val="16"/>
          </w:rPr>
          <w:t>Decreto Supremo Nº 007-2008-VIVIENDA</w:t>
        </w:r>
      </w:hyperlink>
      <w:r w:rsidR="006312E8" w:rsidRPr="006312E8">
        <w:rPr>
          <w:rFonts w:ascii="Arial" w:eastAsia="Calibri" w:hAnsi="Arial" w:cs="Arial"/>
          <w:b/>
          <w:color w:val="4F6228"/>
          <w:sz w:val="16"/>
          <w:szCs w:val="16"/>
        </w:rPr>
        <w:t xml:space="preserve"> “Reglamento de la Ley Nº 29151 (art.  28)</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CAPÍTULO III</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ASPECTOS ESPECÍFICOS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18.- Aprovechamiento de los bienes estatales y de la asunción de titularidad</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Las entidades a las cuales se hace referencia en el artículo 8 de la presente Ley, deben otorgar un eﬁciente uso y aprovechamiento económico y/o social de sus bienes y de los que se encuentran bajo su administración, conforme a los procedimientos establecidos en el reglamento de la presente Ley y atendiendo a los ﬁnes y objetivos institucionales.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El Estado, representado por la Superintendencia Nacional de Bienes Estatales (SBN), revertirá o asumirá la titularidad, según corresponda, sobre los predios de las entidades del Sistema a que hacen referencia los literales b), c) y d) del artículo 8, cuando como consecuencia de la función de supervisión realizada sobre los bienes de propiedad estatal se comprueba que tienen un destino distinto a la ﬁnalidad asignada por Ley, acto administrativo u otro título o, que sin tener ﬁnalidad expresa, se encuentran en situación de abandono por parte de las entidades conformantes del Sistema Nacional de Bienes Estatales.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SBN revertirá la propiedad de los predios del Estado que aquella haya transferido a título gratuito en favor de las entidades del Sistema a que hacen referencia los literales e), f) y g) en el caso que ejercida su función de supervisión se compruebe que no han sido destinados a la ﬁnalidad para la que fueron transferidos dentro del plazo consignado en la resolución de la transferencia o han sido abandonados, sin obligación de reembolso alguno.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De no haberse establecido plazo para el cumplimiento de la ﬁnalidad, este será de dos (2) años. Excepcionalmente, si al término del plazo para cumplir con la ﬁnalidad la entidad afectada acredita un avance de por lo menos un 60% en la ejecución de obras o en la satisfacción de la prestación de un servicio, según sea el caso, el plazo antes referido se prorrogará por un año adicional.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Asimismo, la SBN asume la titularidad de dominio respecto de los bienes que las entidades del Sistema, hayan puesto a su disposición, por no resultarle de utilidad para la ﬁnalidad asignada en el marco de la aplicación de una política de uso racional de los bienes y gestión inmobiliaria eﬁciente.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w:t>
      </w:r>
      <w:r w:rsidRPr="006312E8">
        <w:rPr>
          <w:rFonts w:ascii="Arial" w:eastAsia="Calibri" w:hAnsi="Arial" w:cs="Arial"/>
          <w:sz w:val="16"/>
          <w:szCs w:val="16"/>
          <w:lang w:val="es-ES"/>
        </w:rPr>
        <w:t xml:space="preserve"> </w:t>
      </w:r>
      <w:r w:rsidRPr="006312E8">
        <w:rPr>
          <w:rFonts w:ascii="Arial" w:eastAsia="Calibri" w:hAnsi="Arial" w:cs="Arial"/>
          <w:b/>
          <w:color w:val="FF0000"/>
          <w:sz w:val="16"/>
          <w:szCs w:val="16"/>
          <w:lang w:val="es-ES"/>
        </w:rPr>
        <w:t>Artículo modificado por el Artículo 57° de la Ley Nº 30230, publicada el 12 de julio 2014</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p>
    <w:p w:rsidR="006312E8" w:rsidRPr="006312E8" w:rsidRDefault="006312E8" w:rsidP="006312E8">
      <w:pPr>
        <w:numPr>
          <w:ilvl w:val="0"/>
          <w:numId w:val="17"/>
        </w:numPr>
        <w:spacing w:after="0" w:line="240" w:lineRule="auto"/>
        <w:contextualSpacing/>
        <w:jc w:val="both"/>
        <w:rPr>
          <w:rFonts w:ascii="Arial" w:eastAsia="Calibri" w:hAnsi="Arial" w:cs="Arial"/>
          <w:b/>
          <w:color w:val="4F6228"/>
          <w:sz w:val="16"/>
          <w:szCs w:val="16"/>
        </w:rPr>
      </w:pPr>
      <w:r w:rsidRPr="006312E8">
        <w:rPr>
          <w:rFonts w:ascii="Arial" w:eastAsia="Calibri" w:hAnsi="Arial" w:cs="Arial"/>
          <w:b/>
          <w:color w:val="4F6228"/>
          <w:sz w:val="16"/>
          <w:szCs w:val="16"/>
        </w:rPr>
        <w:t>Ley Nº 29151 (arts. 6, 7 literal d)</w:t>
      </w:r>
      <w:r w:rsidRPr="006312E8">
        <w:rPr>
          <w:rFonts w:ascii="Arial" w:eastAsia="Calibri" w:hAnsi="Arial" w:cs="Arial"/>
          <w:b/>
          <w:color w:val="4F6228"/>
          <w:sz w:val="16"/>
          <w:szCs w:val="16"/>
        </w:rPr>
        <w:tab/>
      </w:r>
    </w:p>
    <w:p w:rsidR="006312E8" w:rsidRPr="006312E8" w:rsidRDefault="000A5EA6" w:rsidP="006312E8">
      <w:pPr>
        <w:numPr>
          <w:ilvl w:val="0"/>
          <w:numId w:val="17"/>
        </w:numPr>
        <w:spacing w:after="0" w:line="240" w:lineRule="auto"/>
        <w:contextualSpacing/>
        <w:jc w:val="both"/>
        <w:rPr>
          <w:rFonts w:ascii="Arial" w:eastAsia="Calibri" w:hAnsi="Arial" w:cs="Arial"/>
          <w:b/>
          <w:color w:val="4F6228"/>
          <w:sz w:val="18"/>
          <w:szCs w:val="18"/>
        </w:rPr>
      </w:pPr>
      <w:hyperlink w:anchor="DS007" w:history="1">
        <w:r w:rsidR="006312E8" w:rsidRPr="006312E8">
          <w:rPr>
            <w:rFonts w:ascii="Arial" w:eastAsia="Calibri" w:hAnsi="Arial" w:cs="Arial"/>
            <w:b/>
            <w:color w:val="4F6228"/>
            <w:sz w:val="16"/>
            <w:szCs w:val="16"/>
          </w:rPr>
          <w:t>Decreto Supremo Nº 007-2008-VIVIENDA</w:t>
        </w:r>
      </w:hyperlink>
      <w:r w:rsidR="006312E8" w:rsidRPr="006312E8">
        <w:rPr>
          <w:rFonts w:ascii="Calibri" w:eastAsia="Calibri" w:hAnsi="Calibri" w:cs="Times New Roman"/>
          <w:color w:val="4F6228"/>
          <w:sz w:val="16"/>
          <w:szCs w:val="16"/>
        </w:rPr>
        <w:t xml:space="preserve"> - </w:t>
      </w:r>
      <w:r w:rsidR="006312E8" w:rsidRPr="006312E8">
        <w:rPr>
          <w:rFonts w:ascii="Arial" w:eastAsia="Calibri" w:hAnsi="Arial" w:cs="Arial"/>
          <w:b/>
          <w:color w:val="4F6228"/>
          <w:sz w:val="16"/>
          <w:szCs w:val="16"/>
        </w:rPr>
        <w:t xml:space="preserve"> Reglamento de la Ley Nº 29151 (art. 7, 9 numeral 9.3 y  72)</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19.- Defensa de los bienes estatales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Las entidades públicas deberán adoptar las acciones necesarias para la defensa administrativa y judicial de los bienes estatales de su propiedad o los que tengan a su cargo.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6312E8">
      <w:pPr>
        <w:numPr>
          <w:ilvl w:val="0"/>
          <w:numId w:val="17"/>
        </w:numPr>
        <w:spacing w:after="0" w:line="240" w:lineRule="auto"/>
        <w:contextualSpacing/>
        <w:jc w:val="both"/>
        <w:rPr>
          <w:rFonts w:ascii="Arial" w:eastAsia="Calibri" w:hAnsi="Arial" w:cs="Arial"/>
          <w:b/>
          <w:color w:val="4F6228"/>
          <w:sz w:val="16"/>
          <w:szCs w:val="16"/>
        </w:rPr>
      </w:pPr>
      <w:hyperlink w:anchor="DS0162010" w:history="1">
        <w:r w:rsidR="006312E8" w:rsidRPr="006312E8">
          <w:rPr>
            <w:rFonts w:ascii="Arial" w:eastAsia="Calibri" w:hAnsi="Arial" w:cs="Arial"/>
            <w:b/>
            <w:color w:val="4F6228"/>
            <w:sz w:val="16"/>
            <w:szCs w:val="16"/>
          </w:rPr>
          <w:t>Decreto Supremo Nº 016-2010-VIVIENDA</w:t>
        </w:r>
      </w:hyperlink>
      <w:r w:rsidR="006312E8" w:rsidRPr="006312E8">
        <w:rPr>
          <w:rFonts w:ascii="Arial" w:eastAsia="Calibri" w:hAnsi="Arial" w:cs="Arial"/>
          <w:b/>
          <w:color w:val="4F6228"/>
          <w:sz w:val="16"/>
          <w:szCs w:val="16"/>
        </w:rPr>
        <w:t xml:space="preserve"> (arts. 20-21, literal a)</w:t>
      </w:r>
    </w:p>
    <w:p w:rsidR="006312E8" w:rsidRPr="006312E8" w:rsidRDefault="006312E8" w:rsidP="006312E8">
      <w:pPr>
        <w:numPr>
          <w:ilvl w:val="0"/>
          <w:numId w:val="17"/>
        </w:numPr>
        <w:spacing w:after="0" w:line="240" w:lineRule="auto"/>
        <w:contextualSpacing/>
        <w:jc w:val="both"/>
        <w:rPr>
          <w:rFonts w:ascii="Arial" w:eastAsia="Calibri" w:hAnsi="Arial" w:cs="Arial"/>
          <w:b/>
          <w:color w:val="4F6228"/>
          <w:sz w:val="16"/>
          <w:szCs w:val="16"/>
        </w:rPr>
      </w:pPr>
      <w:r w:rsidRPr="006312E8">
        <w:rPr>
          <w:rFonts w:ascii="Arial" w:eastAsia="Calibri" w:hAnsi="Arial" w:cs="Arial"/>
          <w:b/>
          <w:color w:val="4F6228"/>
          <w:sz w:val="16"/>
          <w:szCs w:val="16"/>
        </w:rPr>
        <w:t>Decreto Legislativo Nº 1068 – Sistema de Defensa Jurídica del Estado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19-A.- Infracciones y sanciones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 partir de la vigencia de la presente Ley, se consideran como conductas infractoras cometidas por particulares, sobre los predios de propiedad estatal bajo titularidad de dominio y administración de las entidades comprendidas en el artículo 8 de la Ley, las siguientes: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numPr>
          <w:ilvl w:val="1"/>
          <w:numId w:val="3"/>
        </w:numPr>
        <w:spacing w:after="0" w:line="240" w:lineRule="auto"/>
        <w:contextualSpacing/>
        <w:jc w:val="both"/>
        <w:rPr>
          <w:rFonts w:ascii="Arial" w:eastAsia="Calibri" w:hAnsi="Arial" w:cs="Arial"/>
          <w:lang w:val="es-ES"/>
        </w:rPr>
      </w:pPr>
      <w:r w:rsidRPr="006312E8">
        <w:rPr>
          <w:rFonts w:ascii="Arial" w:eastAsia="Calibri" w:hAnsi="Arial" w:cs="Arial"/>
          <w:lang w:val="es-ES"/>
        </w:rPr>
        <w:t>Promover invasiones.</w:t>
      </w:r>
    </w:p>
    <w:p w:rsidR="006312E8" w:rsidRPr="006312E8" w:rsidRDefault="006312E8" w:rsidP="006312E8">
      <w:pPr>
        <w:numPr>
          <w:ilvl w:val="1"/>
          <w:numId w:val="3"/>
        </w:numPr>
        <w:spacing w:after="0" w:line="240" w:lineRule="auto"/>
        <w:contextualSpacing/>
        <w:jc w:val="both"/>
        <w:rPr>
          <w:rFonts w:ascii="Arial" w:eastAsia="Calibri" w:hAnsi="Arial" w:cs="Arial"/>
          <w:lang w:val="es-ES"/>
        </w:rPr>
      </w:pPr>
      <w:r w:rsidRPr="006312E8">
        <w:rPr>
          <w:rFonts w:ascii="Arial" w:eastAsia="Calibri" w:hAnsi="Arial" w:cs="Arial"/>
          <w:lang w:val="es-ES"/>
        </w:rPr>
        <w:t>Invadir predios.</w:t>
      </w:r>
    </w:p>
    <w:p w:rsidR="006312E8" w:rsidRPr="006312E8" w:rsidRDefault="006312E8" w:rsidP="006312E8">
      <w:pPr>
        <w:numPr>
          <w:ilvl w:val="1"/>
          <w:numId w:val="3"/>
        </w:numPr>
        <w:spacing w:after="0" w:line="240" w:lineRule="auto"/>
        <w:contextualSpacing/>
        <w:jc w:val="both"/>
        <w:rPr>
          <w:rFonts w:ascii="Arial" w:eastAsia="Calibri" w:hAnsi="Arial" w:cs="Arial"/>
          <w:lang w:val="es-ES"/>
        </w:rPr>
      </w:pPr>
      <w:r w:rsidRPr="006312E8">
        <w:rPr>
          <w:rFonts w:ascii="Arial" w:eastAsia="Calibri" w:hAnsi="Arial" w:cs="Arial"/>
          <w:lang w:val="es-ES"/>
        </w:rPr>
        <w:t>Construir, sin autorización ni título alguno, ediﬁcaciones de material noble o temporal sobre los predios.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SBN, en el ejercicio de su función sancionadora, ante los supuestos descritos en el párrafo anterior, podrá imponer las sanciones de amonestación y multa; así como aplicar las medidas correctivas de incautación y decomiso de bienes, solicitar la demolición y destrucción de bienes que sirvieron como medio para la infracción, sin derecho a reembolso ni indemnización.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Por decreto supremo se regulan las conductas infractoras y sus respectivas sanciones, el procedimiento administrativo sancionador y de ejecución coactiva para infracciones de particulares, así como otros aspectos vinculados.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responsabilidad administrativa es independiente de las acciones civiles y penales a que hubiera lugar, de acuerdo a su fundamento y bien jurídico protegido.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w:t>
      </w:r>
      <w:r w:rsidRPr="006312E8">
        <w:rPr>
          <w:rFonts w:ascii="Arial" w:eastAsia="Calibri" w:hAnsi="Arial" w:cs="Arial"/>
          <w:sz w:val="16"/>
          <w:szCs w:val="16"/>
          <w:lang w:val="es-ES"/>
        </w:rPr>
        <w:t xml:space="preserve"> </w:t>
      </w:r>
      <w:r w:rsidRPr="006312E8">
        <w:rPr>
          <w:rFonts w:ascii="Arial" w:eastAsia="Calibri" w:hAnsi="Arial" w:cs="Arial"/>
          <w:color w:val="FF0000"/>
          <w:sz w:val="16"/>
          <w:szCs w:val="16"/>
          <w:lang w:val="es-ES"/>
        </w:rPr>
        <w:t>Artículo</w:t>
      </w:r>
      <w:r w:rsidRPr="006312E8">
        <w:rPr>
          <w:rFonts w:ascii="Arial" w:eastAsia="Calibri" w:hAnsi="Arial" w:cs="Arial"/>
          <w:b/>
          <w:color w:val="FF0000"/>
          <w:sz w:val="16"/>
          <w:szCs w:val="16"/>
          <w:lang w:val="es-ES"/>
        </w:rPr>
        <w:t xml:space="preserve"> incorporado por el Artículo 58° de la Ley Nº 30230, publicada el 12 de julio 2014.</w:t>
      </w: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lang w:val="es-ES"/>
        </w:rPr>
        <w:cr/>
      </w:r>
      <w:r w:rsidRPr="006312E8">
        <w:rPr>
          <w:rFonts w:ascii="Arial" w:eastAsia="Calibri" w:hAnsi="Arial" w:cs="Arial"/>
          <w:b/>
          <w:lang w:val="es-ES"/>
        </w:rPr>
        <w:t>Artículo 20.- Actuación de los particulares ante el órgano jurisdiccional</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Las resoluciones emitidas por las entidades integrantes del Sistema Nacional de Bienes Estatales, respecto de bienes estatales que involucren intereses de particulares, serán recurribles ante el órgano jurisdiccional conforme a la normatividad vigente.</w:t>
      </w:r>
    </w:p>
    <w:p w:rsidR="006312E8" w:rsidRPr="006312E8" w:rsidRDefault="006312E8" w:rsidP="006312E8">
      <w:pPr>
        <w:spacing w:after="0" w:line="240" w:lineRule="auto"/>
        <w:jc w:val="both"/>
        <w:rPr>
          <w:rFonts w:ascii="Arial" w:eastAsia="Calibri" w:hAnsi="Arial" w:cs="Arial"/>
          <w:sz w:val="16"/>
          <w:szCs w:val="16"/>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6312E8" w:rsidP="006312E8">
      <w:pPr>
        <w:numPr>
          <w:ilvl w:val="0"/>
          <w:numId w:val="17"/>
        </w:numPr>
        <w:spacing w:after="0" w:line="240" w:lineRule="auto"/>
        <w:contextualSpacing/>
        <w:jc w:val="both"/>
        <w:rPr>
          <w:rFonts w:ascii="Arial" w:eastAsia="Calibri" w:hAnsi="Arial" w:cs="Arial"/>
          <w:b/>
          <w:color w:val="4F6228"/>
          <w:sz w:val="16"/>
          <w:szCs w:val="16"/>
        </w:rPr>
      </w:pPr>
      <w:r w:rsidRPr="006312E8">
        <w:rPr>
          <w:rFonts w:ascii="Arial" w:eastAsia="Calibri" w:hAnsi="Arial" w:cs="Arial"/>
          <w:b/>
          <w:color w:val="4F6228"/>
          <w:sz w:val="16"/>
          <w:szCs w:val="16"/>
        </w:rPr>
        <w:t>Constitución Política del Estado (art. 148)</w:t>
      </w:r>
    </w:p>
    <w:p w:rsidR="006312E8" w:rsidRPr="006312E8" w:rsidRDefault="006312E8" w:rsidP="006312E8">
      <w:pPr>
        <w:numPr>
          <w:ilvl w:val="0"/>
          <w:numId w:val="17"/>
        </w:numPr>
        <w:spacing w:after="0" w:line="240" w:lineRule="auto"/>
        <w:contextualSpacing/>
        <w:jc w:val="both"/>
        <w:rPr>
          <w:rFonts w:ascii="Arial" w:eastAsia="Calibri" w:hAnsi="Arial" w:cs="Arial"/>
          <w:b/>
          <w:color w:val="4F6228"/>
          <w:sz w:val="16"/>
          <w:szCs w:val="16"/>
        </w:rPr>
      </w:pPr>
      <w:r w:rsidRPr="006312E8">
        <w:rPr>
          <w:rFonts w:ascii="Arial" w:eastAsia="Calibri" w:hAnsi="Arial" w:cs="Arial"/>
          <w:b/>
          <w:color w:val="4F6228"/>
          <w:sz w:val="16"/>
          <w:szCs w:val="16"/>
        </w:rPr>
        <w:t>Ley Nº 27584 “Ley que regula el Proceso Contencioso Administrativo”</w:t>
      </w:r>
    </w:p>
    <w:p w:rsidR="006312E8" w:rsidRPr="006312E8" w:rsidRDefault="006312E8" w:rsidP="006312E8">
      <w:pPr>
        <w:numPr>
          <w:ilvl w:val="0"/>
          <w:numId w:val="17"/>
        </w:numPr>
        <w:spacing w:after="0" w:line="240" w:lineRule="auto"/>
        <w:contextualSpacing/>
        <w:jc w:val="both"/>
        <w:rPr>
          <w:rFonts w:ascii="Arial" w:eastAsia="Calibri" w:hAnsi="Arial" w:cs="Arial"/>
          <w:b/>
          <w:color w:val="4F6228"/>
          <w:sz w:val="16"/>
          <w:szCs w:val="16"/>
        </w:rPr>
      </w:pPr>
      <w:r w:rsidRPr="006312E8">
        <w:rPr>
          <w:rFonts w:ascii="Arial" w:eastAsia="Calibri" w:hAnsi="Arial" w:cs="Arial"/>
          <w:b/>
          <w:color w:val="4F6228"/>
          <w:sz w:val="16"/>
          <w:szCs w:val="16"/>
        </w:rPr>
        <w:t>Ley Nº 27444 “Ley del Procedimiento Administrativo General”</w:t>
      </w: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21.- De la capacitación por parte del ente rector</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El ente rector brindará capacitación permanente al personal técnico a cargo de la administración de los bienes estatales.</w:t>
      </w:r>
    </w:p>
    <w:p w:rsidR="006312E8" w:rsidRDefault="006312E8" w:rsidP="006312E8">
      <w:pPr>
        <w:spacing w:after="0" w:line="240" w:lineRule="auto"/>
        <w:jc w:val="both"/>
        <w:rPr>
          <w:rFonts w:ascii="Arial" w:eastAsia="Calibri" w:hAnsi="Arial" w:cs="Arial"/>
          <w:lang w:val="es-ES"/>
        </w:rPr>
      </w:pPr>
    </w:p>
    <w:p w:rsidR="00D91F1A" w:rsidRPr="006312E8" w:rsidRDefault="00D91F1A"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6312E8" w:rsidP="006312E8">
      <w:pPr>
        <w:numPr>
          <w:ilvl w:val="0"/>
          <w:numId w:val="18"/>
        </w:numPr>
        <w:spacing w:after="0" w:line="240" w:lineRule="auto"/>
        <w:contextualSpacing/>
        <w:jc w:val="both"/>
        <w:rPr>
          <w:rFonts w:ascii="Arial" w:eastAsia="Calibri" w:hAnsi="Arial" w:cs="Arial"/>
          <w:b/>
          <w:color w:val="4F6228"/>
          <w:sz w:val="16"/>
          <w:szCs w:val="16"/>
        </w:rPr>
      </w:pPr>
      <w:r w:rsidRPr="006312E8">
        <w:rPr>
          <w:rFonts w:ascii="Arial" w:eastAsia="Calibri" w:hAnsi="Arial" w:cs="Arial"/>
          <w:b/>
          <w:color w:val="4F6228"/>
          <w:sz w:val="16"/>
          <w:szCs w:val="16"/>
        </w:rPr>
        <w:t>Ley Nº 29151 (art. 24)</w:t>
      </w:r>
    </w:p>
    <w:p w:rsidR="006312E8" w:rsidRPr="006312E8" w:rsidRDefault="000A5EA6" w:rsidP="006312E8">
      <w:pPr>
        <w:numPr>
          <w:ilvl w:val="0"/>
          <w:numId w:val="18"/>
        </w:numPr>
        <w:spacing w:after="0" w:line="240" w:lineRule="auto"/>
        <w:contextualSpacing/>
        <w:jc w:val="both"/>
        <w:rPr>
          <w:rFonts w:ascii="Arial" w:eastAsia="Calibri" w:hAnsi="Arial" w:cs="Arial"/>
          <w:b/>
          <w:color w:val="4F6228"/>
          <w:sz w:val="16"/>
          <w:szCs w:val="16"/>
        </w:rPr>
      </w:pPr>
      <w:hyperlink w:anchor="DS007" w:history="1">
        <w:r w:rsidR="006312E8" w:rsidRPr="006312E8">
          <w:rPr>
            <w:rFonts w:ascii="Arial" w:eastAsia="Calibri" w:hAnsi="Arial" w:cs="Arial"/>
            <w:b/>
            <w:color w:val="4F6228"/>
            <w:sz w:val="16"/>
            <w:szCs w:val="16"/>
          </w:rPr>
          <w:t>Decreto Supremo Nº 007-2008-VIVIENDA</w:t>
        </w:r>
      </w:hyperlink>
      <w:r w:rsidR="006312E8" w:rsidRPr="006312E8">
        <w:rPr>
          <w:rFonts w:ascii="Arial" w:eastAsia="Calibri" w:hAnsi="Arial" w:cs="Arial"/>
          <w:b/>
          <w:color w:val="4F6228"/>
          <w:sz w:val="16"/>
          <w:szCs w:val="16"/>
        </w:rPr>
        <w:t xml:space="preserve"> (art. 9, numeral 9.6)</w:t>
      </w:r>
    </w:p>
    <w:p w:rsidR="006312E8" w:rsidRPr="006312E8" w:rsidRDefault="000A5EA6" w:rsidP="006312E8">
      <w:pPr>
        <w:numPr>
          <w:ilvl w:val="0"/>
          <w:numId w:val="18"/>
        </w:numPr>
        <w:spacing w:after="0" w:line="240" w:lineRule="auto"/>
        <w:contextualSpacing/>
        <w:jc w:val="both"/>
        <w:rPr>
          <w:rFonts w:ascii="Arial" w:eastAsia="Calibri" w:hAnsi="Arial" w:cs="Arial"/>
          <w:b/>
          <w:color w:val="4F6228"/>
          <w:sz w:val="16"/>
          <w:szCs w:val="16"/>
        </w:rPr>
      </w:pPr>
      <w:hyperlink w:anchor="DS0162010" w:history="1">
        <w:r w:rsidR="006312E8" w:rsidRPr="006312E8">
          <w:rPr>
            <w:rFonts w:ascii="Arial" w:eastAsia="Calibri" w:hAnsi="Arial" w:cs="Arial"/>
            <w:b/>
            <w:color w:val="4F6228"/>
            <w:sz w:val="16"/>
            <w:szCs w:val="16"/>
          </w:rPr>
          <w:t>Decreto Supremo Nº 016-2010-VIVIENDA</w:t>
        </w:r>
      </w:hyperlink>
      <w:r w:rsidR="006312E8" w:rsidRPr="006312E8">
        <w:rPr>
          <w:rFonts w:ascii="Arial" w:eastAsia="Calibri" w:hAnsi="Arial" w:cs="Arial"/>
          <w:b/>
          <w:color w:val="4F6228"/>
          <w:sz w:val="16"/>
          <w:szCs w:val="16"/>
        </w:rPr>
        <w:t xml:space="preserve"> (art. 37, literal b)</w:t>
      </w:r>
    </w:p>
    <w:p w:rsidR="006312E8" w:rsidRPr="006312E8" w:rsidRDefault="000A5EA6" w:rsidP="006312E8">
      <w:pPr>
        <w:numPr>
          <w:ilvl w:val="0"/>
          <w:numId w:val="18"/>
        </w:numPr>
        <w:spacing w:after="0" w:line="240" w:lineRule="auto"/>
        <w:contextualSpacing/>
        <w:jc w:val="both"/>
        <w:rPr>
          <w:rFonts w:ascii="Arial" w:eastAsia="Calibri" w:hAnsi="Arial" w:cs="Arial"/>
          <w:b/>
          <w:color w:val="4F6228"/>
          <w:sz w:val="16"/>
          <w:szCs w:val="16"/>
        </w:rPr>
      </w:pPr>
      <w:hyperlink w:anchor="DS1302001" w:history="1">
        <w:r w:rsidR="006312E8" w:rsidRPr="006312E8">
          <w:rPr>
            <w:rFonts w:ascii="Arial" w:eastAsia="Calibri" w:hAnsi="Arial" w:cs="Arial"/>
            <w:b/>
            <w:color w:val="4F6228"/>
            <w:sz w:val="16"/>
            <w:szCs w:val="16"/>
          </w:rPr>
          <w:t>Decreto Supremo Nº 130-2001-EF</w:t>
        </w:r>
      </w:hyperlink>
      <w:r w:rsidR="006312E8" w:rsidRPr="006312E8">
        <w:rPr>
          <w:rFonts w:ascii="Arial" w:eastAsia="Calibri" w:hAnsi="Arial" w:cs="Arial"/>
          <w:b/>
          <w:color w:val="4F6228"/>
          <w:sz w:val="16"/>
          <w:szCs w:val="16"/>
        </w:rPr>
        <w:t xml:space="preserve"> (Cuarta Disposición Complementaria)</w:t>
      </w:r>
    </w:p>
    <w:p w:rsidR="006312E8" w:rsidRPr="006312E8" w:rsidRDefault="006312E8" w:rsidP="006312E8">
      <w:pPr>
        <w:spacing w:after="0" w:line="240" w:lineRule="auto"/>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22.- Prohibiciones de servidores y funcionarios públicos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Los funcionarios y servidores públicos, así como toda persona que presta servicios en las entidades de la administración pública bajo cualquier régimen laboral o contractual, no pueden adquirir derechos reales por contrato, legado o subasta pública, directa o indirectamente o por persona interpuesta, respecto de los bienes de propiedad de la entidad pública a la que pertenecen, de los confiados a su administración o custodia ni de los que para ser transferidos requieren de su intervención.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Dichas prohibiciones se aplican también a los parientes hasta el cuarto grado de consanguinidad y segundo de afinidad de las personas antes señaladas, así como a las personas jurídicas en las que todas las personas antes referidas tengan una participación superior al cinco por ciento (5%) del capital o patrimonio social, antes de adquirirse el derecho real.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Estas prohibiciones rigen hasta seis (6) meses después de que las personas impedidas cesen o renuncien en sus respectivos cargos.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Los actos administrativos y contratos que se suscriban, contraviniendo lo dispuesto en el presente artículo, son nulos de pleno derecho sin perjuicio de las responsabilidades a que hubiera lugar.</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6312E8" w:rsidP="006312E8">
      <w:pPr>
        <w:numPr>
          <w:ilvl w:val="0"/>
          <w:numId w:val="19"/>
        </w:numPr>
        <w:spacing w:after="0" w:line="240" w:lineRule="auto"/>
        <w:contextualSpacing/>
        <w:jc w:val="both"/>
        <w:rPr>
          <w:rFonts w:ascii="Arial" w:eastAsia="Calibri" w:hAnsi="Arial" w:cs="Arial"/>
          <w:b/>
          <w:color w:val="4F6228"/>
          <w:sz w:val="16"/>
          <w:szCs w:val="16"/>
        </w:rPr>
      </w:pPr>
      <w:r w:rsidRPr="006312E8">
        <w:rPr>
          <w:rFonts w:ascii="Arial" w:eastAsia="Calibri" w:hAnsi="Arial" w:cs="Arial"/>
          <w:b/>
          <w:color w:val="4F6228"/>
          <w:sz w:val="16"/>
          <w:szCs w:val="16"/>
        </w:rPr>
        <w:t>Código Civil (art. 1366)</w:t>
      </w:r>
    </w:p>
    <w:p w:rsidR="006312E8" w:rsidRPr="006312E8" w:rsidRDefault="006312E8" w:rsidP="006312E8">
      <w:pPr>
        <w:numPr>
          <w:ilvl w:val="0"/>
          <w:numId w:val="19"/>
        </w:numPr>
        <w:spacing w:after="0" w:line="240" w:lineRule="auto"/>
        <w:contextualSpacing/>
        <w:jc w:val="both"/>
        <w:rPr>
          <w:rFonts w:ascii="Arial" w:eastAsia="Calibri" w:hAnsi="Arial" w:cs="Arial"/>
          <w:b/>
          <w:color w:val="4F6228"/>
          <w:sz w:val="16"/>
          <w:szCs w:val="16"/>
          <w:lang w:val="en-US"/>
        </w:rPr>
      </w:pPr>
      <w:r w:rsidRPr="006312E8">
        <w:rPr>
          <w:rFonts w:ascii="Arial" w:eastAsia="Calibri" w:hAnsi="Arial" w:cs="Arial"/>
          <w:b/>
          <w:color w:val="4F6228"/>
          <w:sz w:val="16"/>
          <w:szCs w:val="16"/>
          <w:lang w:val="en-US"/>
        </w:rPr>
        <w:t>Ley Nº 30057 (art. 39, literal h)</w:t>
      </w:r>
    </w:p>
    <w:p w:rsidR="006312E8" w:rsidRPr="006312E8" w:rsidRDefault="006312E8" w:rsidP="006312E8">
      <w:pPr>
        <w:numPr>
          <w:ilvl w:val="0"/>
          <w:numId w:val="19"/>
        </w:numPr>
        <w:spacing w:after="0" w:line="240" w:lineRule="auto"/>
        <w:contextualSpacing/>
        <w:jc w:val="both"/>
        <w:rPr>
          <w:rFonts w:ascii="Arial" w:eastAsia="Calibri" w:hAnsi="Arial" w:cs="Arial"/>
          <w:b/>
          <w:color w:val="4F6228"/>
          <w:sz w:val="16"/>
          <w:szCs w:val="16"/>
        </w:rPr>
      </w:pPr>
      <w:r w:rsidRPr="006312E8">
        <w:rPr>
          <w:rFonts w:ascii="Arial" w:eastAsia="Calibri" w:hAnsi="Arial" w:cs="Arial"/>
          <w:b/>
          <w:color w:val="4F6228"/>
          <w:sz w:val="16"/>
          <w:szCs w:val="16"/>
        </w:rPr>
        <w:t>Decreto Supremo Nº 093-2012-PCM (Séptima Disposición Complementaria Final)</w:t>
      </w:r>
    </w:p>
    <w:p w:rsidR="006312E8" w:rsidRPr="006312E8" w:rsidRDefault="000A5EA6" w:rsidP="006312E8">
      <w:pPr>
        <w:numPr>
          <w:ilvl w:val="0"/>
          <w:numId w:val="19"/>
        </w:numPr>
        <w:spacing w:after="0" w:line="240" w:lineRule="auto"/>
        <w:contextualSpacing/>
        <w:jc w:val="both"/>
        <w:rPr>
          <w:rFonts w:ascii="Arial" w:eastAsia="Calibri" w:hAnsi="Arial" w:cs="Arial"/>
          <w:b/>
          <w:color w:val="4F6228"/>
          <w:sz w:val="16"/>
          <w:szCs w:val="16"/>
        </w:rPr>
      </w:pPr>
      <w:hyperlink w:anchor="D0042011" w:history="1">
        <w:r w:rsidR="006312E8" w:rsidRPr="006312E8">
          <w:rPr>
            <w:rFonts w:ascii="Arial" w:eastAsia="Calibri" w:hAnsi="Arial" w:cs="Arial"/>
            <w:b/>
            <w:color w:val="4F6228"/>
            <w:sz w:val="16"/>
            <w:szCs w:val="16"/>
          </w:rPr>
          <w:t>Directiva Nº 004-2011/SBN</w:t>
        </w:r>
      </w:hyperlink>
      <w:r w:rsidR="006312E8" w:rsidRPr="006312E8">
        <w:rPr>
          <w:rFonts w:ascii="Arial" w:eastAsia="Calibri" w:hAnsi="Arial" w:cs="Arial"/>
          <w:b/>
          <w:color w:val="4F6228"/>
          <w:sz w:val="16"/>
          <w:szCs w:val="16"/>
        </w:rPr>
        <w:t>, aprobada por Resolución Nº 044-2011-SBN (art. 3 numeral 3.15)</w:t>
      </w: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23.- Titularidad de los predios no inscritos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Los predios que no se encuentren inscritos en el Registro de Predios y que no constituyan propiedad de particulares, ni de las Comunidades Campesinas y Nativas, son de dominio del Estado, cuya inmatriculación compete a la Superintendencia Nacional de Bienes Estatales - SBN; y en las zonas en que se haya efectuado transferencia de competencias, a los gobiernos regionales, sin perjuicio de las competencias legalmente reconocidas por norma especial a otras entidades y de las funciones y atribuciones del ente rector del Sistema Nacional de Bienes Estatales.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6312E8" w:rsidP="006312E8">
      <w:pPr>
        <w:numPr>
          <w:ilvl w:val="0"/>
          <w:numId w:val="20"/>
        </w:numPr>
        <w:spacing w:after="0" w:line="240" w:lineRule="auto"/>
        <w:contextualSpacing/>
        <w:jc w:val="both"/>
        <w:rPr>
          <w:rFonts w:ascii="Arial" w:eastAsia="Calibri" w:hAnsi="Arial" w:cs="Arial"/>
          <w:b/>
          <w:color w:val="4F6228"/>
          <w:sz w:val="16"/>
          <w:szCs w:val="16"/>
        </w:rPr>
      </w:pPr>
      <w:r w:rsidRPr="006312E8">
        <w:rPr>
          <w:rFonts w:ascii="Arial" w:eastAsia="Calibri" w:hAnsi="Arial" w:cs="Arial"/>
          <w:b/>
          <w:color w:val="4F6228"/>
          <w:sz w:val="16"/>
          <w:szCs w:val="16"/>
        </w:rPr>
        <w:t>Ley Nº 29151 (Primera Disposición Complementaria)</w:t>
      </w:r>
    </w:p>
    <w:p w:rsidR="006312E8" w:rsidRPr="006312E8" w:rsidRDefault="000A5EA6" w:rsidP="006312E8">
      <w:pPr>
        <w:numPr>
          <w:ilvl w:val="0"/>
          <w:numId w:val="20"/>
        </w:numPr>
        <w:spacing w:after="0" w:line="240" w:lineRule="auto"/>
        <w:contextualSpacing/>
        <w:jc w:val="both"/>
        <w:rPr>
          <w:rFonts w:ascii="Arial" w:eastAsia="Calibri" w:hAnsi="Arial" w:cs="Arial"/>
          <w:b/>
          <w:color w:val="4F6228"/>
          <w:sz w:val="16"/>
          <w:szCs w:val="16"/>
        </w:rPr>
      </w:pPr>
      <w:hyperlink w:anchor="DS0112013" w:history="1">
        <w:r w:rsidR="006312E8" w:rsidRPr="006312E8">
          <w:rPr>
            <w:rFonts w:ascii="Arial" w:eastAsia="Calibri" w:hAnsi="Arial" w:cs="Arial"/>
            <w:b/>
            <w:color w:val="4F6228"/>
            <w:sz w:val="16"/>
            <w:szCs w:val="16"/>
          </w:rPr>
          <w:t>Decreto Supremo Nº 011-2013-VIVIENDA</w:t>
        </w:r>
      </w:hyperlink>
      <w:r w:rsidR="006312E8" w:rsidRPr="006312E8">
        <w:rPr>
          <w:rFonts w:ascii="Arial" w:eastAsia="Calibri" w:hAnsi="Arial" w:cs="Arial"/>
          <w:b/>
          <w:color w:val="4F6228"/>
          <w:sz w:val="16"/>
          <w:szCs w:val="16"/>
        </w:rPr>
        <w:t xml:space="preserve"> (art. 5)</w:t>
      </w:r>
    </w:p>
    <w:p w:rsidR="006312E8" w:rsidRPr="006312E8" w:rsidRDefault="000A5EA6" w:rsidP="006312E8">
      <w:pPr>
        <w:numPr>
          <w:ilvl w:val="0"/>
          <w:numId w:val="20"/>
        </w:numPr>
        <w:spacing w:after="0" w:line="240" w:lineRule="auto"/>
        <w:contextualSpacing/>
        <w:jc w:val="both"/>
        <w:rPr>
          <w:rFonts w:ascii="Arial" w:eastAsia="Calibri" w:hAnsi="Arial" w:cs="Arial"/>
          <w:b/>
          <w:color w:val="4F6228"/>
          <w:sz w:val="16"/>
          <w:szCs w:val="16"/>
        </w:rPr>
      </w:pPr>
      <w:hyperlink w:anchor="DS007" w:history="1">
        <w:r w:rsidR="006312E8" w:rsidRPr="006312E8">
          <w:rPr>
            <w:rFonts w:ascii="Arial" w:eastAsia="Calibri" w:hAnsi="Arial" w:cs="Arial"/>
            <w:b/>
            <w:color w:val="4F6228"/>
            <w:sz w:val="16"/>
            <w:szCs w:val="16"/>
          </w:rPr>
          <w:t>Decreto Supremo Nº 007-2008-VIVIENDA</w:t>
        </w:r>
      </w:hyperlink>
      <w:r w:rsidR="006312E8" w:rsidRPr="006312E8">
        <w:rPr>
          <w:rFonts w:ascii="Arial" w:eastAsia="Calibri" w:hAnsi="Arial" w:cs="Arial"/>
          <w:b/>
          <w:color w:val="4F6228"/>
          <w:sz w:val="16"/>
          <w:szCs w:val="16"/>
        </w:rPr>
        <w:t xml:space="preserve"> (arts. 32,38 - 40)</w:t>
      </w:r>
    </w:p>
    <w:p w:rsidR="006312E8" w:rsidRPr="006312E8" w:rsidRDefault="000A5EA6" w:rsidP="006312E8">
      <w:pPr>
        <w:numPr>
          <w:ilvl w:val="0"/>
          <w:numId w:val="20"/>
        </w:numPr>
        <w:spacing w:after="0" w:line="240" w:lineRule="auto"/>
        <w:contextualSpacing/>
        <w:jc w:val="both"/>
        <w:rPr>
          <w:rFonts w:ascii="Arial" w:eastAsia="Calibri" w:hAnsi="Arial" w:cs="Arial"/>
          <w:b/>
          <w:color w:val="4F6228"/>
          <w:sz w:val="16"/>
          <w:szCs w:val="16"/>
        </w:rPr>
      </w:pPr>
      <w:hyperlink w:anchor="D0012002" w:history="1">
        <w:r w:rsidR="006312E8" w:rsidRPr="006312E8">
          <w:rPr>
            <w:rFonts w:ascii="Arial" w:eastAsia="Calibri" w:hAnsi="Arial" w:cs="Arial"/>
            <w:b/>
            <w:color w:val="4F6228"/>
            <w:sz w:val="16"/>
            <w:szCs w:val="16"/>
          </w:rPr>
          <w:t>Direct</w:t>
        </w:r>
        <w:r w:rsidR="00381192">
          <w:rPr>
            <w:rFonts w:ascii="Arial" w:eastAsia="Calibri" w:hAnsi="Arial" w:cs="Arial"/>
            <w:b/>
            <w:color w:val="4F6228"/>
            <w:sz w:val="16"/>
            <w:szCs w:val="16"/>
          </w:rPr>
          <w:t>iva Nº 002</w:t>
        </w:r>
        <w:r w:rsidR="006312E8" w:rsidRPr="006312E8">
          <w:rPr>
            <w:rFonts w:ascii="Arial" w:eastAsia="Calibri" w:hAnsi="Arial" w:cs="Arial"/>
            <w:b/>
            <w:color w:val="4F6228"/>
            <w:sz w:val="16"/>
            <w:szCs w:val="16"/>
          </w:rPr>
          <w:t>-20</w:t>
        </w:r>
        <w:r w:rsidR="00381192">
          <w:rPr>
            <w:rFonts w:ascii="Arial" w:eastAsia="Calibri" w:hAnsi="Arial" w:cs="Arial"/>
            <w:b/>
            <w:color w:val="4F6228"/>
            <w:sz w:val="16"/>
            <w:szCs w:val="16"/>
          </w:rPr>
          <w:t>16</w:t>
        </w:r>
        <w:r w:rsidR="006312E8" w:rsidRPr="006312E8">
          <w:rPr>
            <w:rFonts w:ascii="Arial" w:eastAsia="Calibri" w:hAnsi="Arial" w:cs="Arial"/>
            <w:b/>
            <w:color w:val="4F6228"/>
            <w:sz w:val="16"/>
            <w:szCs w:val="16"/>
          </w:rPr>
          <w:t>/SBN</w:t>
        </w:r>
      </w:hyperlink>
      <w:r w:rsidR="006312E8" w:rsidRPr="006312E8">
        <w:rPr>
          <w:rFonts w:ascii="Arial" w:eastAsia="Calibri" w:hAnsi="Arial" w:cs="Arial"/>
          <w:color w:val="4F6228"/>
          <w:sz w:val="16"/>
          <w:szCs w:val="16"/>
        </w:rPr>
        <w:t xml:space="preserve"> – </w:t>
      </w:r>
      <w:r w:rsidR="006312E8" w:rsidRPr="006312E8">
        <w:rPr>
          <w:rFonts w:ascii="Arial" w:eastAsia="Calibri" w:hAnsi="Arial" w:cs="Arial"/>
          <w:b/>
          <w:color w:val="4F6228"/>
          <w:sz w:val="16"/>
          <w:szCs w:val="16"/>
        </w:rPr>
        <w:t>Aprobada por Resolución Nº 0</w:t>
      </w:r>
      <w:r w:rsidR="00381192">
        <w:rPr>
          <w:rFonts w:ascii="Arial" w:eastAsia="Calibri" w:hAnsi="Arial" w:cs="Arial"/>
          <w:b/>
          <w:color w:val="4F6228"/>
          <w:sz w:val="16"/>
          <w:szCs w:val="16"/>
        </w:rPr>
        <w:t>52</w:t>
      </w:r>
      <w:r w:rsidR="006312E8" w:rsidRPr="006312E8">
        <w:rPr>
          <w:rFonts w:ascii="Arial" w:eastAsia="Calibri" w:hAnsi="Arial" w:cs="Arial"/>
          <w:b/>
          <w:color w:val="4F6228"/>
          <w:sz w:val="16"/>
          <w:szCs w:val="16"/>
        </w:rPr>
        <w:t>-20</w:t>
      </w:r>
      <w:r w:rsidR="00381192">
        <w:rPr>
          <w:rFonts w:ascii="Arial" w:eastAsia="Calibri" w:hAnsi="Arial" w:cs="Arial"/>
          <w:b/>
          <w:color w:val="4F6228"/>
          <w:sz w:val="16"/>
          <w:szCs w:val="16"/>
        </w:rPr>
        <w:t>16</w:t>
      </w:r>
      <w:r w:rsidR="006312E8" w:rsidRPr="006312E8">
        <w:rPr>
          <w:rFonts w:ascii="Arial" w:eastAsia="Calibri" w:hAnsi="Arial" w:cs="Arial"/>
          <w:b/>
          <w:color w:val="4F6228"/>
          <w:sz w:val="16"/>
          <w:szCs w:val="16"/>
        </w:rPr>
        <w:t xml:space="preserve">/SBN </w:t>
      </w:r>
    </w:p>
    <w:p w:rsidR="006312E8" w:rsidRPr="006312E8" w:rsidRDefault="000A5EA6" w:rsidP="006312E8">
      <w:pPr>
        <w:numPr>
          <w:ilvl w:val="0"/>
          <w:numId w:val="20"/>
        </w:numPr>
        <w:spacing w:after="0" w:line="240" w:lineRule="auto"/>
        <w:contextualSpacing/>
        <w:jc w:val="both"/>
        <w:rPr>
          <w:rFonts w:ascii="Arial" w:eastAsia="Calibri" w:hAnsi="Arial" w:cs="Arial"/>
          <w:b/>
          <w:color w:val="4F6228"/>
          <w:sz w:val="16"/>
          <w:szCs w:val="16"/>
        </w:rPr>
      </w:pPr>
      <w:hyperlink w:anchor="D0032004" w:history="1">
        <w:r w:rsidR="006312E8" w:rsidRPr="006312E8">
          <w:rPr>
            <w:rFonts w:ascii="Arial" w:eastAsia="Calibri" w:hAnsi="Arial" w:cs="Arial"/>
            <w:b/>
            <w:color w:val="4F6228"/>
            <w:sz w:val="16"/>
            <w:szCs w:val="16"/>
          </w:rPr>
          <w:t>Directiva Nº 003-2004/SBN</w:t>
        </w:r>
      </w:hyperlink>
      <w:r w:rsidR="006312E8" w:rsidRPr="006312E8">
        <w:rPr>
          <w:rFonts w:ascii="Arial" w:eastAsia="Calibri" w:hAnsi="Arial" w:cs="Arial"/>
          <w:color w:val="4F6228"/>
          <w:sz w:val="16"/>
          <w:szCs w:val="16"/>
        </w:rPr>
        <w:t xml:space="preserve"> - </w:t>
      </w:r>
      <w:r w:rsidR="006312E8" w:rsidRPr="006312E8">
        <w:rPr>
          <w:rFonts w:ascii="Arial" w:eastAsia="Calibri" w:hAnsi="Arial" w:cs="Arial"/>
          <w:b/>
          <w:color w:val="4F6228"/>
          <w:sz w:val="16"/>
          <w:szCs w:val="16"/>
        </w:rPr>
        <w:t>Resolución Nº 014-2004/SBN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24.- Requisitos exigidos a los funcionarios encargados de la gestión de bienes estatales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Los funcionarios y servidores encargados de las actividades relativas a la gestión de bienes estatales que, en razón de sus funciones, intervienen directamente en la aplicación de la Ley 29151, Ley General del Sistema Nacional de Bienes Estatales, su reglamento aprobado por Decreto Supremo 007-2008-VIVIENDA, las normas emitidas por el Sistema Nacional de Bienes Estatales y las normas que emita la Superintendencia Nacional de Bienes Estatales, deben ser profesionales y técnicos debidamente certificados, que reúnan como mínimo los siguientes requisitos: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numPr>
          <w:ilvl w:val="0"/>
          <w:numId w:val="7"/>
        </w:numPr>
        <w:spacing w:after="0" w:line="240" w:lineRule="auto"/>
        <w:contextualSpacing/>
        <w:jc w:val="both"/>
        <w:rPr>
          <w:rFonts w:ascii="Arial" w:eastAsia="Calibri" w:hAnsi="Arial" w:cs="Arial"/>
          <w:lang w:val="es-ES"/>
        </w:rPr>
      </w:pPr>
      <w:r w:rsidRPr="006312E8">
        <w:rPr>
          <w:rFonts w:ascii="Arial" w:eastAsia="Calibri" w:hAnsi="Arial" w:cs="Arial"/>
          <w:lang w:val="es-ES"/>
        </w:rPr>
        <w:t>Capacitación técnica en el Sistema Nacional de Bienes Estatales o gestión patrimonial en general, no menor a ochenta (80) horas lectivas.</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6312E8">
      <w:pPr>
        <w:numPr>
          <w:ilvl w:val="0"/>
          <w:numId w:val="7"/>
        </w:numPr>
        <w:spacing w:after="0" w:line="240" w:lineRule="auto"/>
        <w:contextualSpacing/>
        <w:jc w:val="both"/>
        <w:rPr>
          <w:rFonts w:ascii="Arial" w:eastAsia="Calibri" w:hAnsi="Arial" w:cs="Arial"/>
          <w:lang w:val="es-ES"/>
        </w:rPr>
      </w:pPr>
      <w:r w:rsidRPr="006312E8">
        <w:rPr>
          <w:rFonts w:ascii="Arial" w:eastAsia="Calibri" w:hAnsi="Arial" w:cs="Arial"/>
          <w:lang w:val="es-ES"/>
        </w:rPr>
        <w:t>Experiencia laboral en general, no menor de dos (2) años.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7"/>
        </w:numPr>
        <w:spacing w:after="0" w:line="240" w:lineRule="auto"/>
        <w:contextualSpacing/>
        <w:jc w:val="both"/>
        <w:rPr>
          <w:rFonts w:ascii="Arial" w:eastAsia="Calibri" w:hAnsi="Arial" w:cs="Arial"/>
          <w:lang w:val="es-ES"/>
        </w:rPr>
      </w:pPr>
      <w:r w:rsidRPr="006312E8">
        <w:rPr>
          <w:rFonts w:ascii="Arial" w:eastAsia="Calibri" w:hAnsi="Arial" w:cs="Arial"/>
          <w:lang w:val="es-ES"/>
        </w:rPr>
        <w:t>Experiencia laboral en gestión de los bienes estatales, no menor de un (1) año.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El procedimiento de certificación es establecido a través de directivas emitidas por la Superintendencia Nacional de Bienes Estatales - SBN, entidad que administra la base de datos de los profesionales y técnicos que cuenten con la respectiva certificación. (*)</w:t>
      </w:r>
    </w:p>
    <w:p w:rsidR="006312E8" w:rsidRPr="006312E8" w:rsidRDefault="006312E8" w:rsidP="006312E8">
      <w:pPr>
        <w:spacing w:after="0" w:line="240" w:lineRule="auto"/>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w:t>
      </w:r>
      <w:r w:rsidRPr="006312E8">
        <w:rPr>
          <w:rFonts w:ascii="Arial" w:eastAsia="Calibri" w:hAnsi="Arial" w:cs="Arial"/>
          <w:sz w:val="16"/>
          <w:szCs w:val="16"/>
          <w:lang w:val="es-ES"/>
        </w:rPr>
        <w:t xml:space="preserve"> </w:t>
      </w:r>
      <w:r w:rsidRPr="006312E8">
        <w:rPr>
          <w:rFonts w:ascii="Arial" w:eastAsia="Calibri" w:hAnsi="Arial" w:cs="Arial"/>
          <w:b/>
          <w:color w:val="FF0000"/>
          <w:sz w:val="16"/>
          <w:szCs w:val="16"/>
          <w:lang w:val="es-ES"/>
        </w:rPr>
        <w:t>Artículo incorporado por el Artículo Único de la Ley Nº 30047, publicada el 20 junio 2013.</w:t>
      </w:r>
    </w:p>
    <w:p w:rsidR="00381192" w:rsidRDefault="00381192"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25.- Servicios no exclusivos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Autorízase a la Superintendencia Nacional de Bienes Estatales - SBN a realizar, entre otras actividades, las siguientes: difusión normativa, publicaciones, capacitaciones e investigaciones, así como a efectuar los cobros correspondientes, que permitan sufragar los respectivos gastos, cuyos montos de retribución son aprobados y reajustados periódicamente por su titular.</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Asimismo, la SBN podrá percibir ingresos por los siguientes servicios no exclusivos que brinde a solicitud de parte: diagnóstico, saneamiento físico-legal de la propiedad e inspección técnica de predios bajo el ámbito de su competencia o comprendidos dentro del área de inﬂuencia directa o indirecta de proyectos de inversión pública, ingresos que se incorporan a su presupuesto como recursos propios.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Los montos de retribución por las actividades y servicios antes descritos son aprobados y reajustados periódicamente por su titular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b/>
          <w:i/>
          <w:color w:val="FF0000"/>
          <w:sz w:val="16"/>
          <w:szCs w:val="16"/>
          <w:lang w:val="es-ES"/>
        </w:rPr>
        <w:t xml:space="preserve">(*) </w:t>
      </w:r>
      <w:r w:rsidRPr="006312E8">
        <w:rPr>
          <w:rFonts w:ascii="Arial" w:eastAsia="Calibri" w:hAnsi="Arial" w:cs="Arial"/>
          <w:b/>
          <w:color w:val="FF0000"/>
          <w:sz w:val="16"/>
          <w:szCs w:val="16"/>
          <w:lang w:val="es-ES"/>
        </w:rPr>
        <w:t>Artículo modificado por el Artículo 57° de la Ley Nº 30230, publicada el 12 de julio 2014</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26.- Distribución de ingresos obtenidos en la gestión de predios de propiedad estatal</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Los ingresos obtenidos por los actos de administración o disposición efectuados sobre los predios de propiedad estatal se distribuyen, previa deducción de los gastos operativos y administrativos incurridos y se rigen por las reglas siguientes: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92471C">
      <w:pPr>
        <w:numPr>
          <w:ilvl w:val="0"/>
          <w:numId w:val="154"/>
        </w:numPr>
        <w:spacing w:after="0" w:line="240" w:lineRule="auto"/>
        <w:contextualSpacing/>
        <w:jc w:val="both"/>
        <w:rPr>
          <w:rFonts w:ascii="Arial" w:eastAsia="Calibri" w:hAnsi="Arial" w:cs="Arial"/>
          <w:lang w:val="es-ES"/>
        </w:rPr>
      </w:pPr>
      <w:r w:rsidRPr="006312E8">
        <w:rPr>
          <w:rFonts w:ascii="Arial" w:eastAsia="Calibri" w:hAnsi="Arial" w:cs="Arial"/>
          <w:lang w:val="es-ES"/>
        </w:rPr>
        <w:t>Del producto de la venta de los predios del Estado, administrados por la SBN: 30% corresponde a la SBN y 70% corresponde al Tesoro Público.</w:t>
      </w:r>
    </w:p>
    <w:p w:rsidR="006312E8" w:rsidRPr="006312E8" w:rsidRDefault="006312E8" w:rsidP="006312E8">
      <w:pPr>
        <w:spacing w:after="0" w:line="240" w:lineRule="auto"/>
        <w:ind w:left="720"/>
        <w:contextualSpacing/>
        <w:jc w:val="both"/>
        <w:rPr>
          <w:rFonts w:ascii="Arial" w:eastAsia="Calibri" w:hAnsi="Arial" w:cs="Arial"/>
          <w:lang w:val="es-ES"/>
        </w:rPr>
      </w:pPr>
    </w:p>
    <w:p w:rsidR="006312E8" w:rsidRPr="006312E8" w:rsidRDefault="006312E8" w:rsidP="0092471C">
      <w:pPr>
        <w:numPr>
          <w:ilvl w:val="0"/>
          <w:numId w:val="154"/>
        </w:numPr>
        <w:spacing w:after="0" w:line="240" w:lineRule="auto"/>
        <w:contextualSpacing/>
        <w:jc w:val="both"/>
        <w:rPr>
          <w:rFonts w:ascii="Arial" w:eastAsia="Calibri" w:hAnsi="Arial" w:cs="Arial"/>
          <w:lang w:val="es-ES"/>
        </w:rPr>
      </w:pPr>
      <w:r w:rsidRPr="006312E8">
        <w:rPr>
          <w:rFonts w:ascii="Arial" w:eastAsia="Calibri" w:hAnsi="Arial" w:cs="Arial"/>
          <w:lang w:val="es-ES"/>
        </w:rPr>
        <w:t>Del producto de la venta de los predios del Estado, administrados por los Gobiernos Regionales con competencias transferidas: 15% corresponde a la SBN; 15% corresponde al Gobierno Regional y 70% corresponde al Tesoro Público.</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0"/>
          <w:numId w:val="154"/>
        </w:numPr>
        <w:spacing w:after="0" w:line="240" w:lineRule="auto"/>
        <w:contextualSpacing/>
        <w:jc w:val="both"/>
        <w:rPr>
          <w:rFonts w:ascii="Arial" w:eastAsia="Calibri" w:hAnsi="Arial" w:cs="Arial"/>
          <w:lang w:val="es-ES"/>
        </w:rPr>
      </w:pPr>
      <w:r w:rsidRPr="006312E8">
        <w:rPr>
          <w:rFonts w:ascii="Arial" w:eastAsia="Calibri" w:hAnsi="Arial" w:cs="Arial"/>
          <w:lang w:val="es-ES"/>
        </w:rPr>
        <w:t>Del producto de la venta efectuada por las entidades a favor de terceros, cuando el predio les fue transferido por el Estado a título gratuito; 30% corresponde a la SBN y 70% corresponde a la entidad.</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0"/>
          <w:numId w:val="154"/>
        </w:num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Los ingresos obtenidos como producto de otros actos de disposición o administración efectuados por la SBN o por las demás entidades del Sistema Nacional de Bienes Estatales, se distribuyen de acuerdo a los porcentajes establecidos en el reglamento de la presente Ley.</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0"/>
          <w:numId w:val="154"/>
        </w:numPr>
        <w:spacing w:after="0" w:line="240" w:lineRule="auto"/>
        <w:contextualSpacing/>
        <w:jc w:val="both"/>
        <w:rPr>
          <w:rFonts w:ascii="Arial" w:eastAsia="Calibri" w:hAnsi="Arial" w:cs="Arial"/>
          <w:lang w:val="es-ES"/>
        </w:rPr>
      </w:pPr>
      <w:r w:rsidRPr="006312E8">
        <w:rPr>
          <w:rFonts w:ascii="Arial" w:eastAsia="Calibri" w:hAnsi="Arial" w:cs="Arial"/>
          <w:lang w:val="es-ES"/>
        </w:rPr>
        <w:t>Los ingresos obtenidos por los servicios no exclusivos efectuados por la SBN, así como, por las entidades del Sistema que cuenten con autorización legal expresa constituyen ingresos propios de cada entidad. (*)</w:t>
      </w:r>
    </w:p>
    <w:p w:rsidR="006312E8" w:rsidRPr="006312E8" w:rsidRDefault="006312E8" w:rsidP="006312E8">
      <w:pPr>
        <w:spacing w:after="0" w:line="240" w:lineRule="auto"/>
        <w:jc w:val="center"/>
        <w:rPr>
          <w:rFonts w:ascii="Arial" w:eastAsia="Calibri" w:hAnsi="Arial" w:cs="Arial"/>
          <w:b/>
          <w:lang w:val="es-ES"/>
        </w:rPr>
      </w:pPr>
    </w:p>
    <w:p w:rsidR="006312E8" w:rsidRPr="006312E8" w:rsidRDefault="006312E8" w:rsidP="006312E8">
      <w:pPr>
        <w:spacing w:after="0" w:line="240" w:lineRule="auto"/>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w:t>
      </w:r>
      <w:r w:rsidRPr="006312E8">
        <w:rPr>
          <w:rFonts w:ascii="Arial" w:eastAsia="Calibri" w:hAnsi="Arial" w:cs="Arial"/>
          <w:sz w:val="16"/>
          <w:szCs w:val="16"/>
          <w:lang w:val="es-ES"/>
        </w:rPr>
        <w:t xml:space="preserve"> </w:t>
      </w:r>
      <w:r w:rsidRPr="006312E8">
        <w:rPr>
          <w:rFonts w:ascii="Arial" w:eastAsia="Calibri" w:hAnsi="Arial" w:cs="Arial"/>
          <w:b/>
          <w:color w:val="FF0000"/>
          <w:sz w:val="16"/>
          <w:szCs w:val="16"/>
          <w:lang w:val="es-ES"/>
        </w:rPr>
        <w:t>Artículo incorporado por el Artículo 58° de la Ley Nº 30230, publicada el 12 de julio 2014.</w:t>
      </w:r>
    </w:p>
    <w:p w:rsidR="006312E8" w:rsidRPr="006312E8" w:rsidRDefault="006312E8" w:rsidP="006312E8">
      <w:pPr>
        <w:spacing w:after="0" w:line="240" w:lineRule="auto"/>
        <w:rPr>
          <w:rFonts w:ascii="Arial" w:eastAsia="Calibri" w:hAnsi="Arial" w:cs="Arial"/>
          <w:b/>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CAPÍTULO IV</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DISPOSICIONES COMPLEMENTARIAS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PRIMERA.- Alcances de la transferencia</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En los casos de transferencia de competencias, en el marco del proceso de descentralización, las funciones en materia de administración y adjudicación de terrenos urbanos y eriazos de propiedad del Estado, a que hace referencia el inciso j) del artículo 35 de la Ley Nº 27783, Ley de bases de la descentralización, y demás normas complementarias y reglamentarias, comprenden también aquellos que cuenten con edificaciones.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Los predios del Estado, identificados como de alcance nacional, y los comprendidos en proyectos de interés nacional, permanecerán bajo competencia de la Superintendencia Nacional de Bienes Estatales - SBN y/o de la entidad pública titular del bien o responsable del proyecto, de conformidad con la normatividad vigente y lo establecido en el reglamento de la presente Ley.</w:t>
      </w:r>
    </w:p>
    <w:p w:rsidR="006312E8" w:rsidRPr="006312E8" w:rsidRDefault="006312E8" w:rsidP="006312E8">
      <w:pPr>
        <w:spacing w:after="0" w:line="240" w:lineRule="auto"/>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6312E8" w:rsidP="006312E8">
      <w:pPr>
        <w:numPr>
          <w:ilvl w:val="0"/>
          <w:numId w:val="20"/>
        </w:numPr>
        <w:spacing w:after="0" w:line="240" w:lineRule="auto"/>
        <w:contextualSpacing/>
        <w:jc w:val="both"/>
        <w:rPr>
          <w:rFonts w:ascii="Arial" w:eastAsia="Calibri" w:hAnsi="Arial" w:cs="Arial"/>
          <w:b/>
          <w:color w:val="4F6228"/>
          <w:sz w:val="16"/>
          <w:szCs w:val="16"/>
        </w:rPr>
      </w:pPr>
      <w:r w:rsidRPr="006312E8">
        <w:rPr>
          <w:rFonts w:ascii="Arial" w:eastAsia="Calibri" w:hAnsi="Arial" w:cs="Arial"/>
          <w:b/>
          <w:color w:val="4F6228"/>
          <w:sz w:val="16"/>
          <w:szCs w:val="16"/>
        </w:rPr>
        <w:t>Ley Nº 27783 (art. 35)</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SEGUNDA.- De las acciones de reversión, desafectación o extinción de cesión en uso a favor del Estado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SBN está facultada para expedir resoluciones declarando la reversión, desafectación, extinción de la afectación o de la cesión en uso, extinción de la designación o de la reserva sobre las transferencias de dominio, afectaciones, cesiones en uso, u otras formas de designación, asignación, afectación o reserva de predios estatales aprobadas inclusive antes de la entrada en vigencia de la presente Ley, que no hayan cumplido con la ﬁnalidad asignada, independientemente del dispositivo, acto o nivel jerárquico con el cual hayan sido otorgados.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Los contratos de arrendamiento, cesión en uso y derecho de superﬁcie, regidos por la Ley 24561, modiﬁcada por el Decreto Ley 25799, no tendrán un plazo de vigencia superior a quince (15) años. Todo contrato que contravenga esta norma es nulo de pleno derecho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w:t>
      </w:r>
      <w:r w:rsidRPr="006312E8">
        <w:rPr>
          <w:rFonts w:ascii="Arial" w:eastAsia="Calibri" w:hAnsi="Arial" w:cs="Arial"/>
          <w:sz w:val="16"/>
          <w:szCs w:val="16"/>
          <w:lang w:val="es-ES"/>
        </w:rPr>
        <w:t xml:space="preserve"> </w:t>
      </w:r>
      <w:r w:rsidRPr="006312E8">
        <w:rPr>
          <w:rFonts w:ascii="Arial" w:eastAsia="Calibri" w:hAnsi="Arial" w:cs="Arial"/>
          <w:b/>
          <w:color w:val="FF0000"/>
          <w:sz w:val="16"/>
          <w:szCs w:val="16"/>
          <w:lang w:val="es-ES"/>
        </w:rPr>
        <w:t>Artículo modificado por el Artículo 57° de la Ley Nº 30230, publicada el 12 de julio 2014</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TERCERA.- Acceso a la información de la Superintendencia Nacional de los Registros Públicos - SUNARP, del Organismo de Formalización de la Propiedad Informal - COFOPRI y de las municipalidades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Para efectos de actualización del Sistema de Información Nacional de Bienes Estatales - SINABIP y con la finalidad de llevar a cabo el saneamiento de los bienes estatales, el Organismo de Formalización de la Propiedad Informal - COFOPRI, la Superintendencia Nacional de los Registros Públicos - SUNARP y las municipalidades brindarán acceso a la información a su cargo a solicitud de la Superintendencia Nacional de Bienes Estatales - SBN.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CUARTA.- Financiamiento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Los gastos que genere la implementación de la presente Ley se realizarán con cargo al presupuesto de la Superintendencia Nacional de Bienes Estatales - SBN.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QUINTA.- Procedimientos excluidos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No se encuentran comprendidos en la presente Ley, los bienes estatales regulados por la Ley Nº 24561, modificada por el Decreto Ley Nº 25799, y los bienes estatales comprendidos en la Ley Nº 27758. </w:t>
      </w:r>
      <w:r w:rsidRPr="006312E8">
        <w:rPr>
          <w:rFonts w:ascii="Arial" w:eastAsia="Calibri" w:hAnsi="Arial" w:cs="Arial"/>
          <w:b/>
          <w:lang w:val="es-ES"/>
        </w:rPr>
        <w:t>(1)(2)</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(1) De conformidad con la Única Disposición Complementaria de la Ley Nº 29545, publicada el 25 junio 2010, se incorpora la citada Ley dentro de la presente disposición complementaria.</w:t>
      </w:r>
    </w:p>
    <w:p w:rsidR="006312E8" w:rsidRPr="006312E8" w:rsidRDefault="006312E8" w:rsidP="006312E8">
      <w:pPr>
        <w:spacing w:after="0" w:line="240" w:lineRule="auto"/>
        <w:jc w:val="both"/>
        <w:rPr>
          <w:rFonts w:ascii="Arial" w:eastAsia="Calibri" w:hAnsi="Arial" w:cs="Arial"/>
          <w:b/>
          <w:color w:val="FF0000"/>
          <w:sz w:val="16"/>
          <w:szCs w:val="16"/>
          <w:lang w:val="es-ES"/>
        </w:rPr>
      </w:pPr>
    </w:p>
    <w:p w:rsidR="006312E8" w:rsidRPr="006312E8" w:rsidRDefault="006312E8" w:rsidP="006312E8">
      <w:pPr>
        <w:spacing w:after="0" w:line="240" w:lineRule="auto"/>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(2) De conformidad con la Única Disposición Complementaria Final de la Ley Nº 29677, publicada el 16 abril 2011, se incorpora la citada Ley dentro de la presente disposición complementaria.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SEXTA.- De la denominación de la Superintendencia de Bienes Nacionales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En adelante, la Superintendencia de Bienes Nacionales, se denominará Superintendencia Nacional de Bienes Estatales, pudiéndose utilizar las siglas SBN.</w:t>
      </w:r>
    </w:p>
    <w:p w:rsidR="006312E8" w:rsidRDefault="006312E8" w:rsidP="006312E8">
      <w:pPr>
        <w:spacing w:after="0" w:line="240" w:lineRule="auto"/>
        <w:jc w:val="center"/>
        <w:rPr>
          <w:rFonts w:ascii="Arial" w:eastAsia="Calibri" w:hAnsi="Arial" w:cs="Arial"/>
          <w:b/>
          <w:lang w:val="es-ES"/>
        </w:rPr>
      </w:pPr>
    </w:p>
    <w:p w:rsidR="00D91F1A" w:rsidRDefault="00D91F1A" w:rsidP="006312E8">
      <w:pPr>
        <w:spacing w:after="0" w:line="240" w:lineRule="auto"/>
        <w:jc w:val="center"/>
        <w:rPr>
          <w:rFonts w:ascii="Arial" w:eastAsia="Calibri" w:hAnsi="Arial" w:cs="Arial"/>
          <w:b/>
          <w:lang w:val="es-ES"/>
        </w:rPr>
      </w:pPr>
    </w:p>
    <w:p w:rsidR="00D91F1A" w:rsidRDefault="00D91F1A" w:rsidP="006312E8">
      <w:pPr>
        <w:spacing w:after="0" w:line="240" w:lineRule="auto"/>
        <w:jc w:val="center"/>
        <w:rPr>
          <w:rFonts w:ascii="Arial" w:eastAsia="Calibri" w:hAnsi="Arial" w:cs="Arial"/>
          <w:b/>
          <w:lang w:val="es-ES"/>
        </w:rPr>
      </w:pPr>
    </w:p>
    <w:p w:rsidR="00D91F1A" w:rsidRPr="006312E8" w:rsidRDefault="00D91F1A" w:rsidP="006312E8">
      <w:pPr>
        <w:spacing w:after="0" w:line="240" w:lineRule="auto"/>
        <w:jc w:val="center"/>
        <w:rPr>
          <w:rFonts w:ascii="Arial" w:eastAsia="Calibri" w:hAnsi="Arial" w:cs="Arial"/>
          <w:b/>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DISPOSICIONES TRANSITORIAS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PRIMERA.- Adecuación del Reglamento de Organización y Funciones de la Superintendencia Nacional de Bienes Estatales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Superintendencia Nacional de Bienes Estatales - SBN propondrá un proyecto de Reglamento de Organización y Funciones para adecuarse a la presente Ley.</w:t>
      </w:r>
    </w:p>
    <w:p w:rsidR="006312E8" w:rsidRPr="006312E8" w:rsidRDefault="006312E8" w:rsidP="006312E8">
      <w:pPr>
        <w:spacing w:after="0" w:line="240" w:lineRule="auto"/>
        <w:jc w:val="both"/>
        <w:rPr>
          <w:rFonts w:ascii="Arial" w:eastAsia="Calibri" w:hAnsi="Arial" w:cs="Arial"/>
          <w:lang w:val="es-ES"/>
        </w:rPr>
      </w:pPr>
    </w:p>
    <w:p w:rsidR="008C2FF1" w:rsidRDefault="008C2FF1" w:rsidP="006312E8">
      <w:pPr>
        <w:spacing w:after="0" w:line="240" w:lineRule="auto"/>
        <w:jc w:val="both"/>
        <w:rPr>
          <w:rFonts w:ascii="Arial" w:eastAsia="Calibri" w:hAnsi="Arial" w:cs="Arial"/>
          <w:b/>
          <w:lang w:val="es-ES"/>
        </w:rPr>
      </w:pPr>
    </w:p>
    <w:p w:rsidR="008C2FF1" w:rsidRDefault="008C2FF1"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SEGUNDA.- De la inclusión en el Sistema Nacional Integrado de Catastro Predial</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 partir de la vigencia de la presente Ley, la Superintendencia Nacional de Bienes Estatales - SBN pasará a conformar, conjuntamente con las otras entidades indicadas en el artículo 3 de la Ley Nº 28294, Ley que crea el Sistema Nacional Integrado de Catastro y su vinculación con el Registro de Predios, el Sistema Nacional Integrado de Catastro Predial.</w:t>
      </w:r>
      <w:r w:rsidRPr="006312E8">
        <w:rPr>
          <w:rFonts w:ascii="Arial" w:eastAsia="Calibri" w:hAnsi="Arial" w:cs="Arial"/>
          <w:b/>
          <w:color w:val="FF0000"/>
          <w:lang w:val="es-ES"/>
        </w:rPr>
        <w:t xml:space="preserve"> </w:t>
      </w:r>
      <w:r w:rsidRPr="006312E8">
        <w:rPr>
          <w:rFonts w:ascii="Arial" w:eastAsia="Calibri" w:hAnsi="Arial" w:cs="Arial"/>
          <w:lang w:val="es-ES"/>
        </w:rPr>
        <w:t>(*)</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Confrontar con la Única Disposición Complementaria Modificatoria de la Ley N° 30156, publicada el 19 enero 2014.</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TERCERA.- Remisión de información de las entidades públicas del Sistema Nacional de Bienes Estatales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Todas las entidades públicas deben remitir a la Superintendencia Nacional de Bienes Estatales - SBN la información sobre los bienes estatales respecto de los cuales ejercen algún derecho o se encuentran bajo su administración, bajo responsabilidad administrativa del Titular de la Oficina General de Administración, o de quien haga sus veces, en un plazo máximo de ciento veinte (120) días, contados desde la entrada en vigencia de la presente norma, para su registro en el Sistema de Información Nacional de Bienes Estatales - SINABIP.</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En el caso de predios inscritos a nombre del Organismo de Formalización de la Propiedad Informal - COFOPRI, la información solamente se referirá a los predios destinados a áreas de equipamiento y/o usos comunales.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CUARTA.- Regulación transitoria</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Los procedimientos administrativos, iniciados antes de la vigencia de la presente Ley, continuarán con el procedimiento que regía desde su inicio, hasta su conclusión.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DISPOSICIÓN DEROGATORIA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ÚNICA.- Derogatorias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Derógase el artículo 1 del Decreto de Urgencia Nº 071-2001, el Decreto Ley Nº 25554 y las disposiciones legales en vigencia, en cuanto se oponen a la presente Ley.</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DISPOSICIÓN FINAL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ÚNICA.- Vigencia de la Ley</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presente Ley entra en vigencia a partir de la fecha de publicación de su reglamento, el cual será refrendado por el Ministro de Vivienda, Construcción y Saneamiento, en un plazo no mayor de sesenta (60) días calendario.</w:t>
      </w: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Default="006312E8" w:rsidP="006312E8">
      <w:pPr>
        <w:spacing w:after="0" w:line="240" w:lineRule="auto"/>
        <w:jc w:val="center"/>
        <w:rPr>
          <w:rFonts w:ascii="Arial" w:eastAsia="Calibri" w:hAnsi="Arial" w:cs="Arial"/>
          <w:b/>
          <w:sz w:val="28"/>
          <w:szCs w:val="28"/>
          <w:lang w:val="es-ES"/>
        </w:rPr>
      </w:pPr>
    </w:p>
    <w:p w:rsidR="00D91F1A" w:rsidRDefault="00D91F1A" w:rsidP="006312E8">
      <w:pPr>
        <w:spacing w:after="0" w:line="240" w:lineRule="auto"/>
        <w:jc w:val="center"/>
        <w:rPr>
          <w:rFonts w:ascii="Arial" w:eastAsia="Calibri" w:hAnsi="Arial" w:cs="Arial"/>
          <w:b/>
          <w:sz w:val="28"/>
          <w:szCs w:val="28"/>
          <w:lang w:val="es-ES"/>
        </w:rPr>
      </w:pPr>
    </w:p>
    <w:p w:rsidR="00D91F1A" w:rsidRDefault="00D91F1A" w:rsidP="006312E8">
      <w:pPr>
        <w:spacing w:after="0" w:line="240" w:lineRule="auto"/>
        <w:jc w:val="center"/>
        <w:rPr>
          <w:rFonts w:ascii="Arial" w:eastAsia="Calibri" w:hAnsi="Arial" w:cs="Arial"/>
          <w:b/>
          <w:sz w:val="28"/>
          <w:szCs w:val="28"/>
          <w:lang w:val="es-ES"/>
        </w:rPr>
      </w:pPr>
    </w:p>
    <w:p w:rsidR="00D91F1A" w:rsidRDefault="00D91F1A" w:rsidP="006312E8">
      <w:pPr>
        <w:spacing w:after="0" w:line="240" w:lineRule="auto"/>
        <w:jc w:val="center"/>
        <w:rPr>
          <w:rFonts w:ascii="Arial" w:eastAsia="Calibri" w:hAnsi="Arial" w:cs="Arial"/>
          <w:b/>
          <w:sz w:val="28"/>
          <w:szCs w:val="28"/>
          <w:lang w:val="es-ES"/>
        </w:rPr>
      </w:pPr>
    </w:p>
    <w:p w:rsidR="00D91F1A" w:rsidRPr="006312E8" w:rsidRDefault="00D91F1A"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5A311B" w:rsidRDefault="005A311B" w:rsidP="00D04998">
      <w:pPr>
        <w:pStyle w:val="TITO10"/>
      </w:pPr>
      <w:bookmarkStart w:id="10" w:name="_Toc392856118"/>
      <w:bookmarkStart w:id="11" w:name="_Toc399335392"/>
      <w:bookmarkStart w:id="12" w:name="_Toc421025412"/>
    </w:p>
    <w:p w:rsidR="005A311B" w:rsidRDefault="005A311B" w:rsidP="00D04998">
      <w:pPr>
        <w:pStyle w:val="TITO10"/>
      </w:pPr>
    </w:p>
    <w:p w:rsidR="006312E8" w:rsidRPr="006312E8" w:rsidRDefault="005A311B" w:rsidP="00D04998">
      <w:pPr>
        <w:pStyle w:val="TITO10"/>
      </w:pPr>
      <w:bookmarkStart w:id="13" w:name="_Toc470855510"/>
      <w:r>
        <w:t>R</w:t>
      </w:r>
      <w:r w:rsidR="006312E8" w:rsidRPr="006312E8">
        <w:t>EGLAMENTO DE LA LEY GENERAL DEL SISTEMA NACIONAL DE BIENES ESTATALES</w:t>
      </w:r>
      <w:bookmarkEnd w:id="10"/>
      <w:bookmarkEnd w:id="11"/>
      <w:bookmarkEnd w:id="12"/>
      <w:bookmarkEnd w:id="13"/>
    </w:p>
    <w:bookmarkStart w:id="14" w:name="_Toc392856119"/>
    <w:p w:rsidR="006312E8" w:rsidRPr="006312E8" w:rsidRDefault="006312E8" w:rsidP="006312E8">
      <w:pPr>
        <w:spacing w:after="0" w:line="240" w:lineRule="auto"/>
        <w:jc w:val="center"/>
        <w:rPr>
          <w:rFonts w:ascii="Arial" w:eastAsia="Calibri" w:hAnsi="Arial" w:cs="Arial"/>
          <w:b/>
          <w:sz w:val="48"/>
          <w:szCs w:val="48"/>
          <w:lang w:val="es-ES"/>
        </w:rPr>
      </w:pPr>
      <w:r w:rsidRPr="006312E8">
        <w:rPr>
          <w:rFonts w:ascii="Arial" w:eastAsia="Calibri" w:hAnsi="Arial" w:cs="Arial"/>
          <w:b/>
          <w:noProof/>
          <w:sz w:val="48"/>
          <w:szCs w:val="48"/>
          <w:lang w:val="es-MX" w:eastAsia="es-MX"/>
        </w:rPr>
        <mc:AlternateContent>
          <mc:Choice Requires="wps">
            <w:drawing>
              <wp:anchor distT="0" distB="0" distL="114300" distR="114300" simplePos="0" relativeHeight="251671552" behindDoc="0" locked="0" layoutInCell="1" allowOverlap="1" wp14:anchorId="5514B6D1" wp14:editId="16B657EE">
                <wp:simplePos x="0" y="0"/>
                <wp:positionH relativeFrom="column">
                  <wp:posOffset>1123315</wp:posOffset>
                </wp:positionH>
                <wp:positionV relativeFrom="paragraph">
                  <wp:posOffset>242570</wp:posOffset>
                </wp:positionV>
                <wp:extent cx="4000500" cy="635"/>
                <wp:effectExtent l="38100" t="32385" r="38100" b="33655"/>
                <wp:wrapNone/>
                <wp:docPr id="71" name="Conector recto de flecha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00500" cy="635"/>
                        </a:xfrm>
                        <a:prstGeom prst="straightConnector1">
                          <a:avLst/>
                        </a:prstGeom>
                        <a:noFill/>
                        <a:ln w="635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BA04364" id="Conector recto de flecha 71" o:spid="_x0000_s1026" type="#_x0000_t32" style="position:absolute;margin-left:88.45pt;margin-top:19.1pt;width:315pt;height:.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" strokeweight="5pt">
                <v:shadow color="#7f7f7f" opacity=".5" offset="1pt"/>
              </v:shape>
            </w:pict>
          </mc:Fallback>
        </mc:AlternateContent>
      </w:r>
      <w:bookmarkEnd w:id="14"/>
    </w:p>
    <w:p w:rsidR="006312E8" w:rsidRPr="006312E8" w:rsidRDefault="006312E8" w:rsidP="006312E8">
      <w:pPr>
        <w:spacing w:after="0" w:line="240" w:lineRule="auto"/>
        <w:jc w:val="center"/>
        <w:rPr>
          <w:rFonts w:ascii="Arial" w:eastAsia="Calibri" w:hAnsi="Arial" w:cs="Arial"/>
          <w:b/>
          <w:sz w:val="28"/>
          <w:szCs w:val="28"/>
          <w:lang w:val="es-ES"/>
        </w:rPr>
      </w:pPr>
      <w:r w:rsidRPr="006312E8">
        <w:rPr>
          <w:rFonts w:ascii="Arial" w:eastAsia="Calibri" w:hAnsi="Arial" w:cs="Arial"/>
          <w:b/>
          <w:sz w:val="28"/>
          <w:szCs w:val="28"/>
          <w:lang w:val="es-ES"/>
        </w:rPr>
        <w:t>(DECRETO SUPREMO Nº 007-2008-VIVIENDA)</w:t>
      </w:r>
    </w:p>
    <w:p w:rsidR="006312E8" w:rsidRPr="006312E8" w:rsidRDefault="006312E8" w:rsidP="006312E8">
      <w:pPr>
        <w:spacing w:after="0" w:line="240" w:lineRule="auto"/>
        <w:jc w:val="center"/>
        <w:rPr>
          <w:rFonts w:ascii="Arial" w:eastAsia="Calibri" w:hAnsi="Arial" w:cs="Arial"/>
          <w:b/>
          <w:sz w:val="28"/>
          <w:szCs w:val="28"/>
          <w:lang w:val="es-ES"/>
        </w:rPr>
      </w:pPr>
      <w:r w:rsidRPr="006312E8">
        <w:rPr>
          <w:rFonts w:ascii="Arial" w:eastAsia="Calibri" w:hAnsi="Arial" w:cs="Arial"/>
          <w:b/>
          <w:sz w:val="28"/>
          <w:szCs w:val="28"/>
          <w:lang w:val="es-ES"/>
        </w:rPr>
        <w:t>CONCORDADO</w:t>
      </w: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D04998">
      <w:pPr>
        <w:pStyle w:val="TITO2"/>
      </w:pPr>
      <w:bookmarkStart w:id="15" w:name="_Toc399335393"/>
      <w:bookmarkStart w:id="16" w:name="_Toc421025413"/>
      <w:bookmarkStart w:id="17" w:name="_Toc428169949"/>
      <w:bookmarkStart w:id="18" w:name="_Toc470855511"/>
      <w:r w:rsidRPr="006312E8">
        <w:t>DECRETO SUPREMO Nº 007-2008-VIVIENDA</w:t>
      </w:r>
      <w:bookmarkEnd w:id="15"/>
      <w:bookmarkEnd w:id="16"/>
      <w:bookmarkEnd w:id="17"/>
      <w:bookmarkEnd w:id="18"/>
    </w:p>
    <w:p w:rsidR="006312E8" w:rsidRPr="006312E8" w:rsidRDefault="006312E8" w:rsidP="006312E8">
      <w:pPr>
        <w:spacing w:after="0" w:line="240" w:lineRule="auto"/>
        <w:jc w:val="center"/>
        <w:rPr>
          <w:rFonts w:ascii="Arial" w:eastAsia="Calibri" w:hAnsi="Arial" w:cs="Arial"/>
          <w:b/>
          <w:lang w:val="es-ES"/>
        </w:rPr>
      </w:pPr>
    </w:p>
    <w:p w:rsidR="006312E8" w:rsidRPr="006312E8" w:rsidRDefault="006312E8" w:rsidP="006312E8">
      <w:pPr>
        <w:spacing w:after="0" w:line="240" w:lineRule="auto"/>
        <w:jc w:val="right"/>
        <w:rPr>
          <w:rFonts w:ascii="Arial" w:eastAsia="Calibri" w:hAnsi="Arial" w:cs="Arial"/>
          <w:b/>
          <w:lang w:val="es-ES"/>
        </w:rPr>
      </w:pPr>
      <w:r w:rsidRPr="006312E8">
        <w:rPr>
          <w:rFonts w:ascii="Arial" w:eastAsia="Calibri" w:hAnsi="Arial" w:cs="Arial"/>
          <w:b/>
          <w:lang w:val="es-ES"/>
        </w:rPr>
        <w:t>Fecha de publicación: 15-03-2008</w:t>
      </w:r>
    </w:p>
    <w:p w:rsidR="006312E8" w:rsidRPr="006312E8" w:rsidRDefault="006312E8" w:rsidP="006312E8">
      <w:pPr>
        <w:spacing w:after="0" w:line="240" w:lineRule="auto"/>
        <w:jc w:val="right"/>
        <w:rPr>
          <w:rFonts w:ascii="Arial" w:eastAsia="Calibri" w:hAnsi="Arial" w:cs="Arial"/>
          <w:b/>
          <w:lang w:val="es-ES"/>
        </w:rPr>
      </w:pPr>
    </w:p>
    <w:p w:rsidR="006312E8" w:rsidRPr="006312E8" w:rsidRDefault="006312E8" w:rsidP="006312E8">
      <w:pPr>
        <w:spacing w:after="0" w:line="240" w:lineRule="auto"/>
        <w:jc w:val="right"/>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EL PRESIDENTE DE LA REPÚBLICA</w:t>
      </w: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CONSIDERANDO:</w:t>
      </w: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por Ley Nº 29151 se aprobó la Ley General del Sistema Nacional de Bienes Estatales que regula el ámbito, organización, atribuciones y funcionamiento del Sistema Nacional de Bienes Estatales;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la citada Ley le asigna a la Superintendencia Nacional de Bienes Estatales la calidad de Ente Rector del Sistema Nacional de Bienes Estatales responsable de normar los actos de adquisición, disposición, administración, supervisión y registro de los bienes;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la única Disposición Final de la Ley Nº 29151 dispone que su entrada en vigencia se producirá a partir de la fecha de publicación de su Reglamento, el cual será refrendado por el Ministro de Vivienda, Construcción y Saneamiento;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De conformidad con lo dispuesto en el numeral 8) del Artículo 118 de la Constitución Política del Perú y el numeral 3 del artículo 11 de la Ley Nº 29158 - Ley Orgánica del Poder Ejecutivo;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DECRETA:</w:t>
      </w: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1.- Aprobación del Reglamento de la Ley Nº 29151</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Aprobar el Reglamento de la Ley Nº 29151, Ley General del Sistema Nacional de Bienes Estatales, el cual consta de tres (3) Títulos, once (11) Capítulos, veinte (20) Subcapítulos, ciento treinta y tres (133) artículos, diez (10) Disposiciones Complementarias Finales, dos (2) Disposiciones Complementarias Transitorias, una (1) Disposición Complementaria Modificatoria y dos (2) Disposiciones Complementarias Derogatorias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Artículo modificado por el Artículo 3 del Decreto Supremo N° 007-2010-VIVIENDA, publicado el 06 agosto 2010</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2.- Refrendo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El presente Decreto Supremo será refrendado por el Ministro de Vivienda, Construcción y Saneamiento.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Dado en la Casa de Gobierno, en Lima, a los catorce días del mes de marzo del año dos mil ocho.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r>
    </w:p>
    <w:p w:rsidR="006312E8" w:rsidRPr="006312E8" w:rsidRDefault="006312E8" w:rsidP="006312E8">
      <w:pPr>
        <w:spacing w:after="0" w:line="240" w:lineRule="auto"/>
        <w:ind w:firstLine="708"/>
        <w:jc w:val="both"/>
        <w:rPr>
          <w:rFonts w:ascii="Arial" w:eastAsia="Calibri" w:hAnsi="Arial" w:cs="Arial"/>
          <w:b/>
          <w:lang w:val="es-ES"/>
        </w:rPr>
      </w:pPr>
      <w:r w:rsidRPr="006312E8">
        <w:rPr>
          <w:rFonts w:ascii="Arial" w:eastAsia="Calibri" w:hAnsi="Arial" w:cs="Arial"/>
          <w:b/>
          <w:lang w:val="es-ES"/>
        </w:rPr>
        <w:t>ALAN GARCÍA PÉREZ</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Presidente Constitucional de la República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ENRIQUE CORNEJO RAMÍREZ</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Ministro de Vivienda, Construcción y Saneamiento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sz w:val="28"/>
          <w:szCs w:val="28"/>
          <w:lang w:val="es-ES"/>
        </w:rPr>
      </w:pPr>
      <w:r w:rsidRPr="006312E8">
        <w:rPr>
          <w:rFonts w:ascii="Arial" w:eastAsia="Calibri" w:hAnsi="Arial" w:cs="Arial"/>
          <w:b/>
          <w:sz w:val="28"/>
          <w:szCs w:val="28"/>
          <w:lang w:val="es-ES"/>
        </w:rPr>
        <w:t xml:space="preserve">REGLAMENTO DE LA LEY GENERAL DEL SISTEMA </w:t>
      </w:r>
    </w:p>
    <w:p w:rsidR="006312E8" w:rsidRPr="006312E8" w:rsidRDefault="006312E8" w:rsidP="006312E8">
      <w:pPr>
        <w:spacing w:after="0" w:line="240" w:lineRule="auto"/>
        <w:jc w:val="center"/>
        <w:rPr>
          <w:rFonts w:ascii="Arial" w:eastAsia="Calibri" w:hAnsi="Arial" w:cs="Arial"/>
          <w:b/>
          <w:sz w:val="28"/>
          <w:szCs w:val="28"/>
          <w:lang w:val="es-ES"/>
        </w:rPr>
      </w:pPr>
      <w:r w:rsidRPr="006312E8">
        <w:rPr>
          <w:rFonts w:ascii="Arial" w:eastAsia="Calibri" w:hAnsi="Arial" w:cs="Arial"/>
          <w:b/>
          <w:sz w:val="28"/>
          <w:szCs w:val="28"/>
          <w:lang w:val="es-ES"/>
        </w:rPr>
        <w:t>NACIONAL DE BIENES ESTATALES</w:t>
      </w:r>
    </w:p>
    <w:p w:rsidR="006312E8" w:rsidRPr="006312E8" w:rsidRDefault="006312E8" w:rsidP="006312E8">
      <w:pPr>
        <w:spacing w:after="0" w:line="240" w:lineRule="auto"/>
        <w:jc w:val="center"/>
        <w:rPr>
          <w:rFonts w:ascii="Arial" w:eastAsia="Calibri" w:hAnsi="Arial" w:cs="Arial"/>
          <w:b/>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INDICE</w:t>
      </w:r>
    </w:p>
    <w:p w:rsidR="006312E8" w:rsidRPr="006312E8" w:rsidRDefault="006312E8" w:rsidP="006312E8">
      <w:pPr>
        <w:spacing w:after="0" w:line="240" w:lineRule="auto"/>
        <w:jc w:val="center"/>
        <w:rPr>
          <w:rFonts w:ascii="Arial" w:eastAsia="Calibri" w:hAnsi="Arial" w:cs="Arial"/>
          <w:b/>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TÍTULO I</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DISPOSICIONES GENERALES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1.- Del Objeto del Reglamento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2.- De los Términos</w:t>
      </w:r>
    </w:p>
    <w:p w:rsidR="006312E8" w:rsidRPr="006312E8" w:rsidRDefault="006312E8" w:rsidP="006312E8">
      <w:pPr>
        <w:spacing w:after="0" w:line="240" w:lineRule="auto"/>
        <w:jc w:val="both"/>
        <w:rPr>
          <w:rFonts w:ascii="Arial" w:eastAsia="Calibri" w:hAnsi="Arial" w:cs="Arial"/>
          <w:lang w:val="es-ES"/>
        </w:rPr>
      </w:pPr>
    </w:p>
    <w:p w:rsidR="00D04998" w:rsidRDefault="00D04998" w:rsidP="006312E8">
      <w:pPr>
        <w:spacing w:after="0" w:line="240" w:lineRule="auto"/>
        <w:jc w:val="center"/>
        <w:rPr>
          <w:rFonts w:ascii="Arial" w:eastAsia="Calibri" w:hAnsi="Arial" w:cs="Arial"/>
          <w:b/>
          <w:lang w:val="es-ES"/>
        </w:rPr>
      </w:pPr>
    </w:p>
    <w:p w:rsidR="00D04998" w:rsidRDefault="00D04998" w:rsidP="006312E8">
      <w:pPr>
        <w:spacing w:after="0" w:line="240" w:lineRule="auto"/>
        <w:jc w:val="center"/>
        <w:rPr>
          <w:rFonts w:ascii="Arial" w:eastAsia="Calibri" w:hAnsi="Arial" w:cs="Arial"/>
          <w:b/>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TÍTULO II</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INTEGRANTES DEL SISTEMA</w:t>
      </w:r>
    </w:p>
    <w:p w:rsidR="006312E8" w:rsidRPr="006312E8" w:rsidRDefault="006312E8" w:rsidP="006312E8">
      <w:pPr>
        <w:spacing w:after="0" w:line="240" w:lineRule="auto"/>
        <w:jc w:val="center"/>
        <w:rPr>
          <w:rFonts w:ascii="Arial" w:eastAsia="Calibri" w:hAnsi="Arial" w:cs="Arial"/>
          <w:b/>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CAPÍTULO I</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SISTEMA NACIONAL DE BIENES ESTATALES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3.- Del Sistema Nacional de Bienes Estatales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4.- De la vinculación de las entidades del SNBE</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5.- Del cumplimiento de las normas que regulan el SNBE</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6.- De la adecuación tecnológica de las entidades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7.- De la adecuación de los procedimientos sobre los bienes estatales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CAPÍTULO II</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ENTE RECTOR</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8.- Del Ente Rector</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9.- De las funciones y atribuciones del Ente Rector</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CAPÍTULO III</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INTERRELACION DEL ENTE RECTOR CON LAS DEMAS ENTIDADES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10.- Funciones, atribuciones y obligaciones de las entidades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11.- De la Unidad Orgánica responsable del control patrimonial</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12.- Vinculación con los Gobiernos Locales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13.- Vinculación con las empresas estatales y municipales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14.- Vinculación con las universidades públicas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15.- Vinculación con el Sector Defensa y sus órganos de ejecución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16.- De la custodia y conservación de la documentación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17.- De la capacitación y especialización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CAPÍTULO IV</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GOBIERNOS REGIONALES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18.- De la competencia exclusiva de los Gobiernos Regionales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CAPÍTULO V</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REGISTRO UNICO OBLIGATORIO DE LOS BIENES ESTATALES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19.- Del Registro Único Obligatorio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20.- Del contenido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21.- Del acto de registro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22.- De la obligatoriedad de los actos de registro y actualización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23.- Del plazo para registrar la información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24.- De la obligatoriedad de remitir información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25.- Del acceso a la información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CAPÍTULO VI</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DEL ORGANO DE REVISION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26.- De las materias de competencia</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27.- De las materias excluidas de la competencia del Órgano de Revisión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28.- De la conformación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29.- De la acreditación del derecho o interés materia del conflicto</w:t>
      </w:r>
    </w:p>
    <w:p w:rsidR="005A311B" w:rsidRDefault="005A311B" w:rsidP="006312E8">
      <w:pPr>
        <w:spacing w:after="0" w:line="240" w:lineRule="auto"/>
        <w:jc w:val="center"/>
        <w:rPr>
          <w:rFonts w:ascii="Arial" w:eastAsia="Calibri" w:hAnsi="Arial" w:cs="Arial"/>
          <w:b/>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TÍTULO III</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DE LOS ACTOS VINCULADOS A LOS BIENES ESTATALES</w:t>
      </w:r>
    </w:p>
    <w:p w:rsidR="006312E8" w:rsidRPr="006312E8" w:rsidRDefault="006312E8" w:rsidP="006312E8">
      <w:pPr>
        <w:spacing w:after="0" w:line="240" w:lineRule="auto"/>
        <w:jc w:val="center"/>
        <w:rPr>
          <w:rFonts w:ascii="Arial" w:eastAsia="Calibri" w:hAnsi="Arial" w:cs="Arial"/>
          <w:b/>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CAPÍTULO I</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ASPECTOS GENERALES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30.- Del fin lícito del destino de los bienes estatales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31.- De la supervisión del Ente Rector</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32.- De la capacidad para aprobar los actos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33.- De la instancia que aprueba los actos sobre bienes inmuebles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34.- De la sustentación de los actos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35.- De la Entrega y recepción de bienes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36.- De la Valorización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37.- Del depósito del producto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CAPÍTULO II</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PRIMERA INSCRIPCION DE DOMINIO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38.- Del Procedimiento de aprobación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39.- Inmatriculación de los predios ubicados en las zonas de playa</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40.- Documentos que sustentan la inscripción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CAPÍTULO III</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DE LOS BIENES INMUEBLES DE DOMINIO PÚBLICO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41.- De las entidades responsables de los bienes de dominio público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42.- De la calificación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43.- De la desafectación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44.- De la desafectación en zonas de dominio restringido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45.- De la concesión de bienes de dominio público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46.- De la regularización del uso de los bienes de dominio público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47.- Del mantenimiento y conservación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CAPÍTULO IV</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DE LOS BIENES INMUEBLES DE DOMINIO PRIVADO</w:t>
      </w:r>
    </w:p>
    <w:p w:rsidR="006312E8" w:rsidRPr="006312E8" w:rsidRDefault="006312E8" w:rsidP="006312E8">
      <w:pPr>
        <w:spacing w:after="0" w:line="240" w:lineRule="auto"/>
        <w:jc w:val="center"/>
        <w:rPr>
          <w:rFonts w:ascii="Arial" w:eastAsia="Calibri" w:hAnsi="Arial" w:cs="Arial"/>
          <w:b/>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SUB CAPÍTULO I</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ASPECTOS GENERALES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48.- Inscripción del derecho de propiedad previo a los actos de disposición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49.- Del encargo a la SBN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SUB CAPÍTULO II</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DE LA RESERVA DE BIENES ESTATALES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50.- De la Identificación y reserva</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51.- De la preferencia de proyectos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52.- De la inscripción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SUB CAPÍTULO III</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DONACIÓN A FAVOR DEL ESTADO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53.- Del ofrecimiento de donación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54.- De la aceptación de la donación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SUB CAPÍTULO IV</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DACIÓN EN PAGO A FAVOR DEL ESTADO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55.- De la solicitud de dación en pago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56.- De la aprobación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Articulo 57.- De los gastos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SUB CAPÍTULO V</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INCAUTACIÓN Y DECOMISO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58.- De la Custodia de bienes incautados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59.- Del decomiso de bienes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SUB CAPÍTULO VI</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TRANSFERENCIA EN DOMINIO FIDUCIARIO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60.- De los bienes susceptibles de disposición en dominio fiduciario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61.- De la normatividad aplicable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SUB CAPÍTULO VII</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TRANSFERENCIA DE DOMINIO EN EL ESTADO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62.- De la Transferencia</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63.- Donación entre entidades públicas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64.- Donación a favor de Gobiernos Regionales y /o Gobiernos Locales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65.- Del procedimiento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66.- Transferencias a Empresas bajo el ámbito de FONAFE</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67.- De la Transferencia por aporte de capital</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68.- De la Inscripción de las Transferencias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SUB CAPÍTULO VIII</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REVERSIÓN DE DOMINIO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69.- De la Reversión al Estado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70.- Del procedimiento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71.- Inscripción de la Reversión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SUB CAPÍTULO IX</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ASUNCION DE TITULARIDAD</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72.- De la asunción de titularidad de la SBN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73.- Del procedimiento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SUB CAPÍTULO X</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COMPRAVENTA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74.- De las Modalidades de la compraventa</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75.- Del procedimiento de aprobación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76.- De la subasta pública</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77.- De las causales para la venta directa</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78.- Del procedimiento de compraventa directa</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79.- Del destino del precio de venta</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80.- De la inscripción de la compraventa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SUB CAPÍTULO XI</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PERMUTA</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81.- Del procedimiento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82.- De la diferencia de valores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83.- De la permuta de aportes reglamentarios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SUB CAPÍTULO XII</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SUPERFICIE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84.- De las Modalidades de constitución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85.- Del procedimiento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86.- De la extinción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87.- De las causales de suspensión del contrato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88.- Del destino del producto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SUB CAPÍTULO XIII</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USUFRUCTO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89.- De las Modalidades de constitución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90.- Del procedimiento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91.- Del destino de la contraprestación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SUB CAPÍTULO XIV</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ARRENDAMIENTO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92.- De las modalidades de entrega en arrendamiento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93.- Del arrendamiento por Convocatoria Pública</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94.- Del arrendamiento Directo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95.- Del procedimiento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96.- De la distribución de la renta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SUB CAPÍTULO XV</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AFECTACION EN USO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97.- De la definición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98.- Del derecho de reserva</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99.- Del procedimiento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100.- De la entrega provisional</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101.- Del Plazo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102.- De las Obligaciones de la entidad afectataria</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103.- De la Pluralidad de afectatarios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104.- De la Afectaciones por leyes especiales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105.- De la Extinción de la afectación en uso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106.- De los Efectos de la extinción de la afectación en uso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SUB CAPÍTULO XVI</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CESION EN USO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107.- De la definición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108.- Del Plazo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109.- De la extinción de la cesión en uso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110.- De la regulación supletoria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SUB CAPÍTULO XVII</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COMODATO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111.- Del comodato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112.- Del Plazo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113.- De la formalización</w:t>
      </w:r>
    </w:p>
    <w:p w:rsidR="00D04998" w:rsidRDefault="00D04998" w:rsidP="006312E8">
      <w:pPr>
        <w:spacing w:after="0" w:line="240" w:lineRule="auto"/>
        <w:jc w:val="center"/>
        <w:rPr>
          <w:rFonts w:ascii="Arial" w:eastAsia="Calibri" w:hAnsi="Arial" w:cs="Arial"/>
          <w:b/>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SUB CAPÍTULO XVIII</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DECLARATORIA DE FÁBRICA Y DEMOLICION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114.- De la formalización de la fábrica o demolición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115.- De la titularidad de las edificaciones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116.- De la demolición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117.- De la decisión de demoler</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CAPÍTULO V</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DE LOS BIENES MUEBLES ESTATALES</w:t>
      </w:r>
    </w:p>
    <w:p w:rsidR="006312E8" w:rsidRPr="006312E8" w:rsidRDefault="006312E8" w:rsidP="006312E8">
      <w:pPr>
        <w:spacing w:after="0" w:line="240" w:lineRule="auto"/>
        <w:jc w:val="center"/>
        <w:rPr>
          <w:rFonts w:ascii="Arial" w:eastAsia="Calibri" w:hAnsi="Arial" w:cs="Arial"/>
          <w:b/>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SUB CAPÍTULO I</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DISPOSICIONES GENERALES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118.- De los órganos responsables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119.- Del Registro en el SINABIP</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120.- De la Catalogación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121.- Del Inventario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SUB CAPÍTULO II</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DE LOS PROCEDIMIENTOS ESPECIFICOS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122.- De los actos de disposición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123.- De los actos de administración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124.- Del procedimiento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125.- De la compraventa por subasta pública</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126.- De la compraventa por subasta restringida</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127.- De la permuta</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128.- De la donación o transferencia</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129.- De la destrucción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130.- De la afectación en uso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131.- De la cesión en uso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132.- De la supletoriedad</w:t>
      </w:r>
    </w:p>
    <w:p w:rsidR="006312E8" w:rsidRPr="006312E8" w:rsidRDefault="006312E8" w:rsidP="006312E8">
      <w:pPr>
        <w:spacing w:after="0" w:line="240" w:lineRule="auto"/>
        <w:rPr>
          <w:rFonts w:ascii="Arial" w:eastAsia="Calibri" w:hAnsi="Arial" w:cs="Arial"/>
          <w:lang w:val="es-ES"/>
        </w:rPr>
      </w:pPr>
    </w:p>
    <w:p w:rsidR="006312E8" w:rsidRPr="006312E8" w:rsidRDefault="006312E8" w:rsidP="006312E8">
      <w:pPr>
        <w:spacing w:after="0" w:line="240" w:lineRule="auto"/>
        <w:rPr>
          <w:rFonts w:ascii="Arial" w:eastAsia="Calibri" w:hAnsi="Arial" w:cs="Arial"/>
          <w:lang w:val="es-ES"/>
        </w:rPr>
      </w:pPr>
      <w:r w:rsidRPr="006312E8">
        <w:rPr>
          <w:rFonts w:ascii="Arial" w:eastAsia="Calibri" w:hAnsi="Arial" w:cs="Arial"/>
          <w:lang w:val="es-ES"/>
        </w:rPr>
        <w:t>DISPOSICIONES COMPLEMENTARIAS FINALES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DISPOSICIONES COMPLEMENTARIAS TRANSITORIAS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DISPOSICIONES COMPLEMENTARIAS MODIFICATORIAS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DISPOSICIONES COMPLEMENTARIAS DEROGATORIAS</w:t>
      </w:r>
    </w:p>
    <w:p w:rsidR="006312E8" w:rsidRDefault="006312E8" w:rsidP="006312E8">
      <w:pPr>
        <w:spacing w:after="0" w:line="240" w:lineRule="auto"/>
        <w:jc w:val="both"/>
        <w:rPr>
          <w:rFonts w:ascii="Arial" w:eastAsia="Calibri" w:hAnsi="Arial" w:cs="Arial"/>
          <w:lang w:val="es-ES"/>
        </w:rPr>
      </w:pPr>
    </w:p>
    <w:p w:rsidR="005A311B" w:rsidRDefault="005A311B" w:rsidP="006312E8">
      <w:pPr>
        <w:spacing w:after="0" w:line="240" w:lineRule="auto"/>
        <w:jc w:val="both"/>
        <w:rPr>
          <w:rFonts w:ascii="Arial" w:eastAsia="Calibri" w:hAnsi="Arial" w:cs="Arial"/>
          <w:lang w:val="es-ES"/>
        </w:rPr>
      </w:pPr>
    </w:p>
    <w:p w:rsidR="005A311B" w:rsidRDefault="005A311B" w:rsidP="006312E8">
      <w:pPr>
        <w:spacing w:after="0" w:line="240" w:lineRule="auto"/>
        <w:jc w:val="both"/>
        <w:rPr>
          <w:rFonts w:ascii="Arial" w:eastAsia="Calibri" w:hAnsi="Arial" w:cs="Arial"/>
          <w:lang w:val="es-ES"/>
        </w:rPr>
      </w:pPr>
    </w:p>
    <w:p w:rsidR="005A311B" w:rsidRDefault="005A311B" w:rsidP="006312E8">
      <w:pPr>
        <w:spacing w:after="0" w:line="240" w:lineRule="auto"/>
        <w:jc w:val="both"/>
        <w:rPr>
          <w:rFonts w:ascii="Arial" w:eastAsia="Calibri" w:hAnsi="Arial" w:cs="Arial"/>
          <w:lang w:val="es-ES"/>
        </w:rPr>
      </w:pPr>
    </w:p>
    <w:p w:rsidR="005A311B" w:rsidRDefault="005A311B" w:rsidP="006312E8">
      <w:pPr>
        <w:spacing w:after="0" w:line="240" w:lineRule="auto"/>
        <w:jc w:val="both"/>
        <w:rPr>
          <w:rFonts w:ascii="Arial" w:eastAsia="Calibri" w:hAnsi="Arial" w:cs="Arial"/>
          <w:lang w:val="es-ES"/>
        </w:rPr>
      </w:pPr>
    </w:p>
    <w:p w:rsidR="005A311B" w:rsidRPr="006312E8" w:rsidRDefault="005A311B" w:rsidP="006312E8">
      <w:pPr>
        <w:spacing w:after="0" w:line="240" w:lineRule="auto"/>
        <w:jc w:val="both"/>
        <w:rPr>
          <w:rFonts w:ascii="Arial" w:eastAsia="Calibri" w:hAnsi="Arial" w:cs="Arial"/>
          <w:lang w:val="es-ES"/>
        </w:rPr>
      </w:pPr>
    </w:p>
    <w:p w:rsidR="005A311B" w:rsidRDefault="006312E8" w:rsidP="006312E8">
      <w:pPr>
        <w:spacing w:after="0" w:line="240" w:lineRule="auto"/>
        <w:jc w:val="center"/>
        <w:rPr>
          <w:rFonts w:ascii="Arial" w:eastAsia="Calibri" w:hAnsi="Arial" w:cs="Arial"/>
          <w:b/>
          <w:sz w:val="28"/>
          <w:szCs w:val="28"/>
          <w:lang w:val="es-ES"/>
        </w:rPr>
      </w:pPr>
      <w:r w:rsidRPr="006312E8">
        <w:rPr>
          <w:rFonts w:ascii="Arial" w:eastAsia="Calibri" w:hAnsi="Arial" w:cs="Arial"/>
          <w:b/>
          <w:sz w:val="28"/>
          <w:szCs w:val="28"/>
          <w:lang w:val="es-ES"/>
        </w:rPr>
        <w:t xml:space="preserve">REGLAMENTO DE LA LEY GENERAL </w:t>
      </w:r>
    </w:p>
    <w:p w:rsidR="006312E8" w:rsidRPr="006312E8" w:rsidRDefault="006312E8" w:rsidP="006312E8">
      <w:pPr>
        <w:spacing w:after="0" w:line="240" w:lineRule="auto"/>
        <w:jc w:val="center"/>
        <w:rPr>
          <w:rFonts w:ascii="Arial" w:eastAsia="Calibri" w:hAnsi="Arial" w:cs="Arial"/>
          <w:b/>
          <w:sz w:val="28"/>
          <w:szCs w:val="28"/>
          <w:lang w:val="es-ES"/>
        </w:rPr>
      </w:pPr>
      <w:r w:rsidRPr="006312E8">
        <w:rPr>
          <w:rFonts w:ascii="Arial" w:eastAsia="Calibri" w:hAnsi="Arial" w:cs="Arial"/>
          <w:b/>
          <w:sz w:val="28"/>
          <w:szCs w:val="28"/>
          <w:lang w:val="es-ES"/>
        </w:rPr>
        <w:t>DEL SISTEMA NACIONAL DE BIENES ESTATALES</w:t>
      </w:r>
    </w:p>
    <w:p w:rsidR="006312E8" w:rsidRPr="006312E8" w:rsidRDefault="006312E8" w:rsidP="006312E8">
      <w:pPr>
        <w:spacing w:after="0" w:line="240" w:lineRule="auto"/>
        <w:jc w:val="center"/>
        <w:rPr>
          <w:rFonts w:ascii="Arial" w:eastAsia="Calibri" w:hAnsi="Arial" w:cs="Arial"/>
          <w:b/>
          <w:lang w:val="es-ES"/>
        </w:rPr>
      </w:pPr>
    </w:p>
    <w:p w:rsidR="006312E8" w:rsidRPr="006312E8" w:rsidRDefault="006312E8" w:rsidP="006312E8">
      <w:pPr>
        <w:spacing w:after="0" w:line="240" w:lineRule="auto"/>
        <w:jc w:val="center"/>
        <w:rPr>
          <w:rFonts w:ascii="Arial" w:eastAsia="Calibri" w:hAnsi="Arial" w:cs="Arial"/>
          <w:b/>
          <w:lang w:val="es-ES"/>
        </w:rPr>
      </w:pPr>
      <w:bookmarkStart w:id="19" w:name="_Toc392856121"/>
      <w:bookmarkStart w:id="20" w:name="_Toc399335394"/>
      <w:r w:rsidRPr="006312E8">
        <w:rPr>
          <w:rFonts w:ascii="Arial" w:eastAsia="Calibri" w:hAnsi="Arial" w:cs="Arial"/>
          <w:b/>
          <w:lang w:val="es-ES"/>
        </w:rPr>
        <w:t>TÍTULO I</w:t>
      </w:r>
      <w:bookmarkEnd w:id="19"/>
      <w:bookmarkEnd w:id="20"/>
    </w:p>
    <w:p w:rsidR="006312E8" w:rsidRPr="006312E8" w:rsidRDefault="006312E8" w:rsidP="006312E8">
      <w:pPr>
        <w:spacing w:after="0" w:line="240" w:lineRule="auto"/>
        <w:jc w:val="center"/>
        <w:rPr>
          <w:rFonts w:ascii="Arial" w:eastAsia="Calibri" w:hAnsi="Arial" w:cs="Arial"/>
          <w:b/>
          <w:lang w:val="es-ES"/>
        </w:rPr>
      </w:pPr>
      <w:bookmarkStart w:id="21" w:name="_Toc392856122"/>
      <w:bookmarkStart w:id="22" w:name="_Toc399335395"/>
      <w:r w:rsidRPr="006312E8">
        <w:rPr>
          <w:rFonts w:ascii="Arial" w:eastAsia="Calibri" w:hAnsi="Arial" w:cs="Arial"/>
          <w:b/>
          <w:lang w:val="es-ES"/>
        </w:rPr>
        <w:t>DISPOSICIONES GENERALES</w:t>
      </w:r>
      <w:bookmarkEnd w:id="21"/>
      <w:bookmarkEnd w:id="22"/>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1.- Del objeto del Reglamento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presente norma tiene por objeto reglamentar la Ley General del Sistema Nacional de Bienes Estatales, cuyo ente rector es la Superintendencia Nacional de Bienes Estatales, y desarrollar los mecanismos y procedimientos que permitan una eficiente gestión de los bienes estatales, maximizando su rendimiento económico y social, sostenido en una plataforma de información segura, confiable e interconectada, contribuyendo al proceso de descentralización y modernización de la gestión del Estado.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2.- De los términos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709" w:hanging="567"/>
        <w:jc w:val="both"/>
        <w:rPr>
          <w:rFonts w:ascii="Arial" w:eastAsia="Calibri" w:hAnsi="Arial" w:cs="Arial"/>
          <w:lang w:val="es-ES"/>
        </w:rPr>
      </w:pPr>
      <w:r w:rsidRPr="006312E8">
        <w:rPr>
          <w:rFonts w:ascii="Arial" w:eastAsia="Calibri" w:hAnsi="Arial" w:cs="Arial"/>
          <w:lang w:val="es-ES"/>
        </w:rPr>
        <w:t xml:space="preserve">2.1.- </w:t>
      </w:r>
      <w:r w:rsidRPr="006312E8">
        <w:rPr>
          <w:rFonts w:ascii="Arial" w:eastAsia="Calibri" w:hAnsi="Arial" w:cs="Arial"/>
          <w:lang w:val="es-ES"/>
        </w:rPr>
        <w:tab/>
        <w:t>Abreviaturas: En adelante y para los efectos de este Reglamento, se entenderá por:</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numPr>
          <w:ilvl w:val="1"/>
          <w:numId w:val="21"/>
        </w:numPr>
        <w:spacing w:after="0" w:line="240" w:lineRule="auto"/>
        <w:ind w:left="993"/>
        <w:contextualSpacing/>
        <w:jc w:val="both"/>
        <w:rPr>
          <w:rFonts w:ascii="Arial" w:eastAsia="Calibri" w:hAnsi="Arial" w:cs="Arial"/>
          <w:lang w:val="es-ES"/>
        </w:rPr>
      </w:pPr>
      <w:r w:rsidRPr="006312E8">
        <w:rPr>
          <w:rFonts w:ascii="Arial" w:eastAsia="Calibri" w:hAnsi="Arial" w:cs="Arial"/>
          <w:b/>
          <w:lang w:val="es-ES"/>
        </w:rPr>
        <w:t>Ley:</w:t>
      </w:r>
      <w:r w:rsidRPr="006312E8">
        <w:rPr>
          <w:rFonts w:ascii="Arial" w:eastAsia="Calibri" w:hAnsi="Arial" w:cs="Arial"/>
          <w:lang w:val="es-ES"/>
        </w:rPr>
        <w:t xml:space="preserve"> La Ley Nº 29151- Ley General del Sistema Nacional de Bienes Estatales.</w:t>
      </w:r>
    </w:p>
    <w:p w:rsidR="006312E8" w:rsidRPr="006312E8" w:rsidRDefault="006312E8" w:rsidP="006312E8">
      <w:pPr>
        <w:numPr>
          <w:ilvl w:val="1"/>
          <w:numId w:val="21"/>
        </w:numPr>
        <w:spacing w:after="0" w:line="240" w:lineRule="auto"/>
        <w:ind w:left="993"/>
        <w:contextualSpacing/>
        <w:jc w:val="both"/>
        <w:rPr>
          <w:rFonts w:ascii="Arial" w:eastAsia="Calibri" w:hAnsi="Arial" w:cs="Arial"/>
          <w:lang w:val="es-ES"/>
        </w:rPr>
      </w:pPr>
      <w:r w:rsidRPr="006312E8">
        <w:rPr>
          <w:rFonts w:ascii="Arial" w:eastAsia="Calibri" w:hAnsi="Arial" w:cs="Arial"/>
          <w:b/>
          <w:lang w:val="es-ES"/>
        </w:rPr>
        <w:t>SBN:</w:t>
      </w:r>
      <w:r w:rsidRPr="006312E8">
        <w:rPr>
          <w:rFonts w:ascii="Arial" w:eastAsia="Calibri" w:hAnsi="Arial" w:cs="Arial"/>
          <w:lang w:val="es-ES"/>
        </w:rPr>
        <w:t xml:space="preserve"> La Superintendencia Nacional de Bienes Estatales.</w:t>
      </w:r>
    </w:p>
    <w:p w:rsidR="006312E8" w:rsidRPr="006312E8" w:rsidRDefault="006312E8" w:rsidP="006312E8">
      <w:pPr>
        <w:numPr>
          <w:ilvl w:val="1"/>
          <w:numId w:val="21"/>
        </w:numPr>
        <w:spacing w:after="0" w:line="240" w:lineRule="auto"/>
        <w:ind w:left="993"/>
        <w:contextualSpacing/>
        <w:jc w:val="both"/>
        <w:rPr>
          <w:rFonts w:ascii="Arial" w:eastAsia="Calibri" w:hAnsi="Arial" w:cs="Arial"/>
          <w:lang w:val="es-ES"/>
        </w:rPr>
      </w:pPr>
      <w:r w:rsidRPr="006312E8">
        <w:rPr>
          <w:rFonts w:ascii="Arial" w:eastAsia="Calibri" w:hAnsi="Arial" w:cs="Arial"/>
          <w:b/>
          <w:lang w:val="es-ES"/>
        </w:rPr>
        <w:t xml:space="preserve">Entidad(es): </w:t>
      </w:r>
      <w:r w:rsidRPr="006312E8">
        <w:rPr>
          <w:rFonts w:ascii="Arial" w:eastAsia="Calibri" w:hAnsi="Arial" w:cs="Arial"/>
          <w:lang w:val="es-ES"/>
        </w:rPr>
        <w:t>Aquella entidad pública comprendida en el Artículo 8 de la Ley.</w:t>
      </w:r>
    </w:p>
    <w:p w:rsidR="006312E8" w:rsidRPr="006312E8" w:rsidRDefault="006312E8" w:rsidP="006312E8">
      <w:pPr>
        <w:numPr>
          <w:ilvl w:val="1"/>
          <w:numId w:val="21"/>
        </w:numPr>
        <w:spacing w:after="0" w:line="240" w:lineRule="auto"/>
        <w:ind w:left="993"/>
        <w:contextualSpacing/>
        <w:jc w:val="both"/>
        <w:rPr>
          <w:rFonts w:ascii="Arial" w:eastAsia="Calibri" w:hAnsi="Arial" w:cs="Arial"/>
          <w:lang w:val="es-ES"/>
        </w:rPr>
      </w:pPr>
      <w:r w:rsidRPr="006312E8">
        <w:rPr>
          <w:rFonts w:ascii="Arial" w:eastAsia="Calibri" w:hAnsi="Arial" w:cs="Arial"/>
          <w:b/>
          <w:lang w:val="es-ES"/>
        </w:rPr>
        <w:t>SNBE:</w:t>
      </w:r>
      <w:r w:rsidRPr="006312E8">
        <w:rPr>
          <w:rFonts w:ascii="Arial" w:eastAsia="Calibri" w:hAnsi="Arial" w:cs="Arial"/>
          <w:lang w:val="es-ES"/>
        </w:rPr>
        <w:t xml:space="preserve"> El Sistema Nacional de Bienes Estatales.</w:t>
      </w:r>
    </w:p>
    <w:p w:rsidR="006312E8" w:rsidRPr="006312E8" w:rsidRDefault="006312E8" w:rsidP="006312E8">
      <w:pPr>
        <w:numPr>
          <w:ilvl w:val="1"/>
          <w:numId w:val="21"/>
        </w:numPr>
        <w:spacing w:after="0" w:line="240" w:lineRule="auto"/>
        <w:ind w:left="993"/>
        <w:contextualSpacing/>
        <w:jc w:val="both"/>
        <w:rPr>
          <w:rFonts w:ascii="Arial" w:eastAsia="Calibri" w:hAnsi="Arial" w:cs="Arial"/>
          <w:lang w:val="es-ES"/>
        </w:rPr>
      </w:pPr>
      <w:r w:rsidRPr="006312E8">
        <w:rPr>
          <w:rFonts w:ascii="Arial" w:eastAsia="Calibri" w:hAnsi="Arial" w:cs="Arial"/>
          <w:b/>
          <w:lang w:val="es-ES"/>
        </w:rPr>
        <w:t>Reglamento:</w:t>
      </w:r>
      <w:r w:rsidRPr="006312E8">
        <w:rPr>
          <w:rFonts w:ascii="Arial" w:eastAsia="Calibri" w:hAnsi="Arial" w:cs="Arial"/>
          <w:lang w:val="es-ES"/>
        </w:rPr>
        <w:t xml:space="preserve"> El Reglamento de la Ley General del Sistema Nacional de Bienes Estatales.</w:t>
      </w:r>
    </w:p>
    <w:p w:rsidR="006312E8" w:rsidRPr="006312E8" w:rsidRDefault="006312E8" w:rsidP="006312E8">
      <w:pPr>
        <w:numPr>
          <w:ilvl w:val="1"/>
          <w:numId w:val="21"/>
        </w:numPr>
        <w:spacing w:after="0" w:line="240" w:lineRule="auto"/>
        <w:ind w:left="993"/>
        <w:contextualSpacing/>
        <w:jc w:val="both"/>
        <w:rPr>
          <w:rFonts w:ascii="Arial" w:eastAsia="Calibri" w:hAnsi="Arial" w:cs="Arial"/>
          <w:lang w:val="es-ES"/>
        </w:rPr>
      </w:pPr>
      <w:r w:rsidRPr="006312E8">
        <w:rPr>
          <w:rFonts w:ascii="Arial" w:eastAsia="Calibri" w:hAnsi="Arial" w:cs="Arial"/>
          <w:b/>
          <w:lang w:val="es-ES"/>
        </w:rPr>
        <w:t>SINABIP:</w:t>
      </w:r>
      <w:r w:rsidRPr="006312E8">
        <w:rPr>
          <w:rFonts w:ascii="Arial" w:eastAsia="Calibri" w:hAnsi="Arial" w:cs="Arial"/>
          <w:lang w:val="es-ES"/>
        </w:rPr>
        <w:t xml:space="preserve"> El Sistema de Información Nacional de Bienes Estatales.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709" w:hanging="567"/>
        <w:jc w:val="both"/>
        <w:rPr>
          <w:rFonts w:ascii="Arial" w:eastAsia="Calibri" w:hAnsi="Arial" w:cs="Arial"/>
          <w:lang w:val="es-ES"/>
        </w:rPr>
      </w:pPr>
      <w:r w:rsidRPr="006312E8">
        <w:rPr>
          <w:rFonts w:ascii="Arial" w:eastAsia="Calibri" w:hAnsi="Arial" w:cs="Arial"/>
          <w:lang w:val="es-ES"/>
        </w:rPr>
        <w:t xml:space="preserve">2.2.- </w:t>
      </w:r>
      <w:r w:rsidRPr="006312E8">
        <w:rPr>
          <w:rFonts w:ascii="Arial" w:eastAsia="Calibri" w:hAnsi="Arial" w:cs="Arial"/>
          <w:lang w:val="es-ES"/>
        </w:rPr>
        <w:tab/>
        <w:t>Definiciones: Para los efectos del presente Reglamento se entenderá por:</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numPr>
          <w:ilvl w:val="0"/>
          <w:numId w:val="22"/>
        </w:numPr>
        <w:spacing w:after="0" w:line="240" w:lineRule="auto"/>
        <w:contextualSpacing/>
        <w:jc w:val="both"/>
        <w:rPr>
          <w:rFonts w:ascii="Arial" w:eastAsia="Calibri" w:hAnsi="Arial" w:cs="Arial"/>
          <w:lang w:val="es-ES"/>
        </w:rPr>
      </w:pPr>
      <w:r w:rsidRPr="006312E8">
        <w:rPr>
          <w:rFonts w:ascii="Arial" w:eastAsia="Calibri" w:hAnsi="Arial" w:cs="Arial"/>
          <w:b/>
          <w:lang w:val="es-ES"/>
        </w:rPr>
        <w:t>Bienes de dominio público</w:t>
      </w:r>
      <w:r w:rsidRPr="006312E8">
        <w:rPr>
          <w:rFonts w:ascii="Arial" w:eastAsia="Calibri" w:hAnsi="Arial" w:cs="Arial"/>
          <w:lang w:val="es-ES"/>
        </w:rPr>
        <w:t>: Aquellos bienes estatales, destinados al uso público como playas, plazas, parques, infraestructura vial, vías férreas, caminos y otros, cuya administración, conservación y mantenimiento corresponde a una entidad; aquellos que sirven de soporte para la prestación de cualquier servicio público como los palacios, sedes gubernativas e institucionales, escuelas, hospitales, estadios, aportes reglamentarios, bienes reservados y afectados en uso a la defensa nacional, establecimientos penitenciarios, museos, cementerios, puertos, aeropuertos y otros destinados al cumplimiento de los fines de responsabilidad estatal, o cuya concesión compete al Estado. Tienen el carácter de inalienables e imprescriptibles. Sobre ellos, el Estado ejerce su potestad administrativa, reglamentaria y de tutela conforme a ley.</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6312E8">
      <w:pPr>
        <w:numPr>
          <w:ilvl w:val="0"/>
          <w:numId w:val="22"/>
        </w:numPr>
        <w:spacing w:after="0" w:line="240" w:lineRule="auto"/>
        <w:contextualSpacing/>
        <w:jc w:val="both"/>
        <w:rPr>
          <w:rFonts w:ascii="Arial" w:eastAsia="Calibri" w:hAnsi="Arial" w:cs="Arial"/>
          <w:lang w:val="es-ES"/>
        </w:rPr>
      </w:pPr>
      <w:r w:rsidRPr="006312E8">
        <w:rPr>
          <w:rFonts w:ascii="Arial" w:eastAsia="Calibri" w:hAnsi="Arial" w:cs="Arial"/>
          <w:b/>
          <w:lang w:val="es-ES"/>
        </w:rPr>
        <w:t>Bienes de dominio privado del Estado.-</w:t>
      </w:r>
      <w:r w:rsidRPr="006312E8">
        <w:rPr>
          <w:rFonts w:ascii="Arial" w:eastAsia="Calibri" w:hAnsi="Arial" w:cs="Arial"/>
          <w:lang w:val="es-ES"/>
        </w:rPr>
        <w:t xml:space="preserve"> Aquellos bienes estatales que siendo de propiedad del Estado o de alguna entidad, no están destinados al uso público ni afectados a algún servicio público, y respecto de los cuales sus titulares ejercen el derecho de propiedad con todos sus atributos.</w:t>
      </w:r>
    </w:p>
    <w:p w:rsidR="006312E8" w:rsidRPr="006312E8" w:rsidRDefault="006312E8" w:rsidP="006312E8">
      <w:pPr>
        <w:spacing w:after="0" w:line="240" w:lineRule="auto"/>
        <w:ind w:left="2124" w:hanging="2124"/>
        <w:jc w:val="both"/>
        <w:rPr>
          <w:rFonts w:ascii="Arial" w:eastAsia="Calibri" w:hAnsi="Arial" w:cs="Arial"/>
          <w:b/>
          <w:color w:val="4F6228"/>
          <w:sz w:val="16"/>
          <w:szCs w:val="16"/>
        </w:rPr>
      </w:pPr>
    </w:p>
    <w:p w:rsidR="006312E8" w:rsidRPr="006312E8" w:rsidRDefault="006312E8" w:rsidP="006312E8">
      <w:pPr>
        <w:spacing w:after="0" w:line="240" w:lineRule="auto"/>
        <w:ind w:left="3261" w:hanging="2124"/>
        <w:jc w:val="both"/>
        <w:rPr>
          <w:rFonts w:ascii="Arial" w:eastAsia="Calibri" w:hAnsi="Arial" w:cs="Arial"/>
          <w:b/>
          <w:color w:val="4F6228"/>
          <w:sz w:val="16"/>
          <w:szCs w:val="16"/>
        </w:rPr>
      </w:pPr>
    </w:p>
    <w:p w:rsidR="006312E8" w:rsidRPr="006312E8" w:rsidRDefault="006312E8" w:rsidP="006312E8">
      <w:pPr>
        <w:spacing w:after="0" w:line="240" w:lineRule="auto"/>
        <w:ind w:left="3261" w:hanging="2124"/>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6312E8" w:rsidP="006312E8">
      <w:pPr>
        <w:numPr>
          <w:ilvl w:val="0"/>
          <w:numId w:val="41"/>
        </w:numPr>
        <w:spacing w:after="0" w:line="240" w:lineRule="auto"/>
        <w:ind w:left="1701"/>
        <w:jc w:val="both"/>
        <w:rPr>
          <w:rFonts w:ascii="Arial" w:eastAsia="Calibri" w:hAnsi="Arial" w:cs="Arial"/>
          <w:b/>
          <w:color w:val="4F6228"/>
          <w:sz w:val="16"/>
          <w:szCs w:val="16"/>
        </w:rPr>
      </w:pPr>
      <w:r w:rsidRPr="006312E8">
        <w:rPr>
          <w:rFonts w:ascii="Arial" w:eastAsia="Calibri" w:hAnsi="Arial" w:cs="Arial"/>
          <w:b/>
          <w:color w:val="4F6228"/>
          <w:sz w:val="16"/>
          <w:szCs w:val="16"/>
        </w:rPr>
        <w:t>Constitución Política del Perú (art. 73)</w:t>
      </w:r>
    </w:p>
    <w:p w:rsidR="006312E8" w:rsidRPr="006312E8" w:rsidRDefault="000A5EA6" w:rsidP="006312E8">
      <w:pPr>
        <w:numPr>
          <w:ilvl w:val="0"/>
          <w:numId w:val="41"/>
        </w:numPr>
        <w:spacing w:after="0" w:line="240" w:lineRule="auto"/>
        <w:ind w:left="1701"/>
        <w:jc w:val="both"/>
        <w:rPr>
          <w:rFonts w:ascii="Arial" w:eastAsia="Calibri" w:hAnsi="Arial" w:cs="Arial"/>
          <w:b/>
          <w:color w:val="4F6228"/>
          <w:sz w:val="16"/>
          <w:szCs w:val="16"/>
        </w:rPr>
      </w:pPr>
      <w:hyperlink w:anchor="LEY29618" w:history="1">
        <w:r w:rsidR="006312E8" w:rsidRPr="006312E8">
          <w:rPr>
            <w:rFonts w:ascii="Arial" w:eastAsia="Calibri" w:hAnsi="Arial" w:cs="Arial"/>
            <w:b/>
            <w:color w:val="4F6228"/>
            <w:sz w:val="16"/>
            <w:szCs w:val="16"/>
          </w:rPr>
          <w:t>Ley Nº 29618</w:t>
        </w:r>
      </w:hyperlink>
    </w:p>
    <w:p w:rsidR="006312E8" w:rsidRPr="006312E8" w:rsidRDefault="006312E8" w:rsidP="006312E8">
      <w:pPr>
        <w:numPr>
          <w:ilvl w:val="0"/>
          <w:numId w:val="41"/>
        </w:numPr>
        <w:spacing w:after="0" w:line="240" w:lineRule="auto"/>
        <w:ind w:left="1701"/>
        <w:jc w:val="both"/>
        <w:rPr>
          <w:rFonts w:ascii="Arial" w:eastAsia="Calibri" w:hAnsi="Arial" w:cs="Arial"/>
          <w:b/>
          <w:color w:val="4F6228"/>
          <w:sz w:val="16"/>
          <w:szCs w:val="16"/>
        </w:rPr>
      </w:pPr>
      <w:r w:rsidRPr="006312E8">
        <w:rPr>
          <w:rFonts w:ascii="Arial" w:eastAsia="Calibri" w:hAnsi="Arial" w:cs="Arial"/>
          <w:b/>
          <w:color w:val="4F6228"/>
          <w:sz w:val="16"/>
          <w:szCs w:val="16"/>
        </w:rPr>
        <w:t>Decreto Supremo Nº 011-2006-VIVIENDA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22"/>
        </w:numPr>
        <w:spacing w:after="0" w:line="240" w:lineRule="auto"/>
        <w:contextualSpacing/>
        <w:jc w:val="both"/>
        <w:rPr>
          <w:rFonts w:ascii="Arial" w:eastAsia="Calibri" w:hAnsi="Arial" w:cs="Arial"/>
          <w:lang w:val="es-ES"/>
        </w:rPr>
      </w:pPr>
      <w:r w:rsidRPr="006312E8">
        <w:rPr>
          <w:rFonts w:ascii="Arial" w:eastAsia="Calibri" w:hAnsi="Arial" w:cs="Arial"/>
          <w:b/>
          <w:lang w:val="es-ES"/>
        </w:rPr>
        <w:t>Bienes de alcance nacional.-</w:t>
      </w:r>
      <w:r w:rsidRPr="006312E8">
        <w:rPr>
          <w:rFonts w:ascii="Arial" w:eastAsia="Calibri" w:hAnsi="Arial" w:cs="Arial"/>
          <w:lang w:val="es-ES"/>
        </w:rPr>
        <w:t xml:space="preserve"> Constituyen bienes de alcance nacional los siguientes: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spacing w:after="0" w:line="240" w:lineRule="auto"/>
        <w:ind w:left="1701" w:hanging="567"/>
        <w:jc w:val="both"/>
        <w:rPr>
          <w:rFonts w:ascii="Arial" w:eastAsia="Calibri" w:hAnsi="Arial" w:cs="Arial"/>
          <w:lang w:val="es-ES"/>
        </w:rPr>
      </w:pPr>
      <w:r w:rsidRPr="006312E8">
        <w:rPr>
          <w:rFonts w:ascii="Arial" w:eastAsia="Calibri" w:hAnsi="Arial" w:cs="Arial"/>
          <w:lang w:val="es-ES"/>
        </w:rPr>
        <w:t xml:space="preserve">c.1) </w:t>
      </w:r>
      <w:r w:rsidRPr="006312E8">
        <w:rPr>
          <w:rFonts w:ascii="Arial" w:eastAsia="Calibri" w:hAnsi="Arial" w:cs="Arial"/>
          <w:lang w:val="es-ES"/>
        </w:rPr>
        <w:tab/>
        <w:t>Los bienes muebles e inmuebles del Estado no registrados como activos de los Gobiernos Regionales ni de los Gobiernos Locales, que fueran transferidos por los Consejos Transitorios de Administración Regional en el marco del proceso de descentralización pendientes de saneamiento.</w:t>
      </w:r>
    </w:p>
    <w:p w:rsidR="006312E8" w:rsidRPr="006312E8" w:rsidRDefault="006312E8" w:rsidP="006312E8">
      <w:pPr>
        <w:spacing w:after="0" w:line="240" w:lineRule="auto"/>
        <w:ind w:left="1701" w:hanging="567"/>
        <w:jc w:val="both"/>
        <w:rPr>
          <w:rFonts w:ascii="Arial" w:eastAsia="Calibri" w:hAnsi="Arial" w:cs="Arial"/>
          <w:lang w:val="es-ES"/>
        </w:rPr>
      </w:pPr>
    </w:p>
    <w:p w:rsidR="006312E8" w:rsidRPr="006312E8" w:rsidRDefault="006312E8" w:rsidP="006312E8">
      <w:pPr>
        <w:spacing w:after="0" w:line="240" w:lineRule="auto"/>
        <w:ind w:left="1701" w:hanging="567"/>
        <w:jc w:val="both"/>
        <w:rPr>
          <w:rFonts w:ascii="Arial" w:eastAsia="Calibri" w:hAnsi="Arial" w:cs="Arial"/>
          <w:lang w:val="es-ES"/>
        </w:rPr>
      </w:pPr>
      <w:r w:rsidRPr="006312E8">
        <w:rPr>
          <w:rFonts w:ascii="Arial" w:eastAsia="Calibri" w:hAnsi="Arial" w:cs="Arial"/>
          <w:lang w:val="es-ES"/>
        </w:rPr>
        <w:t xml:space="preserve">c.2) </w:t>
      </w:r>
      <w:r w:rsidRPr="006312E8">
        <w:rPr>
          <w:rFonts w:ascii="Arial" w:eastAsia="Calibri" w:hAnsi="Arial" w:cs="Arial"/>
          <w:lang w:val="es-ES"/>
        </w:rPr>
        <w:tab/>
        <w:t>La infraestructura pública a cargo de la administración de entidades conformantes del Gobierno Nacional, excepto de las Empresas Estatales.</w:t>
      </w:r>
    </w:p>
    <w:p w:rsidR="006312E8" w:rsidRPr="006312E8" w:rsidRDefault="006312E8" w:rsidP="006312E8">
      <w:pPr>
        <w:spacing w:after="0" w:line="240" w:lineRule="auto"/>
        <w:ind w:left="1701" w:hanging="567"/>
        <w:jc w:val="both"/>
        <w:rPr>
          <w:rFonts w:ascii="Arial" w:eastAsia="Calibri" w:hAnsi="Arial" w:cs="Arial"/>
          <w:lang w:val="es-ES"/>
        </w:rPr>
      </w:pPr>
    </w:p>
    <w:p w:rsidR="006312E8" w:rsidRPr="006312E8" w:rsidRDefault="006312E8" w:rsidP="006312E8">
      <w:pPr>
        <w:spacing w:after="0" w:line="240" w:lineRule="auto"/>
        <w:ind w:left="1701" w:hanging="567"/>
        <w:jc w:val="both"/>
        <w:rPr>
          <w:rFonts w:ascii="Arial" w:eastAsia="Calibri" w:hAnsi="Arial" w:cs="Arial"/>
          <w:lang w:val="es-ES"/>
        </w:rPr>
      </w:pPr>
      <w:r w:rsidRPr="006312E8">
        <w:rPr>
          <w:rFonts w:ascii="Arial" w:eastAsia="Calibri" w:hAnsi="Arial" w:cs="Arial"/>
          <w:lang w:val="es-ES"/>
        </w:rPr>
        <w:t xml:space="preserve">c.3) </w:t>
      </w:r>
      <w:r w:rsidRPr="006312E8">
        <w:rPr>
          <w:rFonts w:ascii="Arial" w:eastAsia="Calibri" w:hAnsi="Arial" w:cs="Arial"/>
          <w:lang w:val="es-ES"/>
        </w:rPr>
        <w:tab/>
        <w:t>La infraestructura y equipos de la Defensa y Seguridad Nacional, Orden Interno, Fuerzas Armadas y de la Policía Nacional.</w:t>
      </w:r>
    </w:p>
    <w:p w:rsidR="006312E8" w:rsidRPr="006312E8" w:rsidRDefault="006312E8" w:rsidP="006312E8">
      <w:pPr>
        <w:spacing w:after="0" w:line="240" w:lineRule="auto"/>
        <w:ind w:left="1701" w:hanging="567"/>
        <w:jc w:val="both"/>
        <w:rPr>
          <w:rFonts w:ascii="Arial" w:eastAsia="Calibri" w:hAnsi="Arial" w:cs="Arial"/>
          <w:lang w:val="es-ES"/>
        </w:rPr>
      </w:pPr>
    </w:p>
    <w:p w:rsidR="006312E8" w:rsidRPr="006312E8" w:rsidRDefault="006312E8" w:rsidP="006312E8">
      <w:pPr>
        <w:spacing w:after="0" w:line="240" w:lineRule="auto"/>
        <w:ind w:left="1701" w:hanging="567"/>
        <w:jc w:val="both"/>
        <w:rPr>
          <w:rFonts w:ascii="Arial" w:eastAsia="Calibri" w:hAnsi="Arial" w:cs="Arial"/>
          <w:lang w:val="es-ES"/>
        </w:rPr>
      </w:pPr>
      <w:r w:rsidRPr="006312E8">
        <w:rPr>
          <w:rFonts w:ascii="Arial" w:eastAsia="Calibri" w:hAnsi="Arial" w:cs="Arial"/>
          <w:lang w:val="es-ES"/>
        </w:rPr>
        <w:t xml:space="preserve">c.4) </w:t>
      </w:r>
      <w:r w:rsidRPr="006312E8">
        <w:rPr>
          <w:rFonts w:ascii="Arial" w:eastAsia="Calibri" w:hAnsi="Arial" w:cs="Arial"/>
          <w:lang w:val="es-ES"/>
        </w:rPr>
        <w:tab/>
        <w:t>Los bienes muebles e inmuebles reservados para la administración de una entidad, conforme a norma legal expresa.</w:t>
      </w:r>
    </w:p>
    <w:p w:rsidR="006312E8" w:rsidRPr="006312E8" w:rsidRDefault="006312E8" w:rsidP="006312E8">
      <w:pPr>
        <w:spacing w:after="0" w:line="240" w:lineRule="auto"/>
        <w:ind w:left="1701" w:hanging="567"/>
        <w:jc w:val="both"/>
        <w:rPr>
          <w:rFonts w:ascii="Arial" w:eastAsia="Calibri" w:hAnsi="Arial" w:cs="Arial"/>
          <w:lang w:val="es-ES"/>
        </w:rPr>
      </w:pPr>
    </w:p>
    <w:p w:rsidR="006312E8" w:rsidRPr="006312E8" w:rsidRDefault="006312E8" w:rsidP="006312E8">
      <w:pPr>
        <w:spacing w:after="0" w:line="240" w:lineRule="auto"/>
        <w:ind w:left="1701" w:hanging="567"/>
        <w:jc w:val="both"/>
        <w:rPr>
          <w:rFonts w:ascii="Arial" w:eastAsia="Calibri" w:hAnsi="Arial" w:cs="Arial"/>
          <w:lang w:val="es-ES"/>
        </w:rPr>
      </w:pPr>
      <w:r w:rsidRPr="006312E8">
        <w:rPr>
          <w:rFonts w:ascii="Arial" w:eastAsia="Calibri" w:hAnsi="Arial" w:cs="Arial"/>
          <w:lang w:val="es-ES"/>
        </w:rPr>
        <w:t xml:space="preserve">c.5) </w:t>
      </w:r>
      <w:r w:rsidRPr="006312E8">
        <w:rPr>
          <w:rFonts w:ascii="Arial" w:eastAsia="Calibri" w:hAnsi="Arial" w:cs="Arial"/>
          <w:lang w:val="es-ES"/>
        </w:rPr>
        <w:tab/>
        <w:t>Los bienes muebles e inmuebles del Gobierno Nacional ubicados en el extranjero, en calidad de sedes diplomáticas, militares, policiales, incluyendo aquellos reconocidos como tales por las leyes y tratados internacionales.</w:t>
      </w:r>
    </w:p>
    <w:p w:rsidR="006312E8" w:rsidRPr="006312E8" w:rsidRDefault="006312E8" w:rsidP="006312E8">
      <w:pPr>
        <w:spacing w:after="0" w:line="240" w:lineRule="auto"/>
        <w:ind w:left="3119" w:hanging="2124"/>
        <w:jc w:val="both"/>
        <w:rPr>
          <w:rFonts w:ascii="Arial" w:eastAsia="Calibri" w:hAnsi="Arial" w:cs="Arial"/>
          <w:b/>
          <w:color w:val="4F6228"/>
          <w:sz w:val="16"/>
          <w:szCs w:val="16"/>
        </w:rPr>
      </w:pPr>
    </w:p>
    <w:p w:rsidR="006312E8" w:rsidRPr="006312E8" w:rsidRDefault="006312E8" w:rsidP="006312E8">
      <w:pPr>
        <w:spacing w:after="0" w:line="240" w:lineRule="auto"/>
        <w:ind w:left="3119" w:hanging="2124"/>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r w:rsidRPr="006312E8">
        <w:rPr>
          <w:rFonts w:ascii="Arial" w:eastAsia="Calibri" w:hAnsi="Arial" w:cs="Arial"/>
          <w:b/>
          <w:color w:val="4F6228"/>
          <w:sz w:val="16"/>
          <w:szCs w:val="16"/>
        </w:rPr>
        <w:fldChar w:fldCharType="begin"/>
      </w:r>
      <w:r w:rsidRPr="006312E8">
        <w:rPr>
          <w:rFonts w:ascii="Arial" w:eastAsia="Calibri" w:hAnsi="Arial" w:cs="Arial"/>
          <w:b/>
          <w:color w:val="4F6228"/>
          <w:sz w:val="16"/>
          <w:szCs w:val="16"/>
        </w:rPr>
        <w:instrText xml:space="preserve"> HYPERLINK  \l "DS0232004" </w:instrText>
      </w:r>
      <w:r w:rsidRPr="006312E8">
        <w:rPr>
          <w:rFonts w:ascii="Arial" w:eastAsia="Calibri" w:hAnsi="Arial" w:cs="Arial"/>
          <w:b/>
          <w:color w:val="4F6228"/>
          <w:sz w:val="16"/>
          <w:szCs w:val="16"/>
        </w:rPr>
        <w:fldChar w:fldCharType="separate"/>
      </w:r>
    </w:p>
    <w:p w:rsidR="006312E8" w:rsidRPr="006312E8" w:rsidRDefault="006312E8" w:rsidP="006312E8">
      <w:pPr>
        <w:numPr>
          <w:ilvl w:val="0"/>
          <w:numId w:val="42"/>
        </w:numPr>
        <w:spacing w:after="0" w:line="240" w:lineRule="auto"/>
        <w:ind w:left="1701"/>
        <w:jc w:val="both"/>
        <w:rPr>
          <w:rFonts w:ascii="Arial" w:eastAsia="Calibri" w:hAnsi="Arial" w:cs="Arial"/>
          <w:b/>
          <w:color w:val="4F6228"/>
          <w:sz w:val="16"/>
          <w:szCs w:val="16"/>
        </w:rPr>
      </w:pPr>
      <w:r w:rsidRPr="006312E8">
        <w:rPr>
          <w:rFonts w:ascii="Arial" w:eastAsia="Calibri" w:hAnsi="Arial" w:cs="Arial"/>
          <w:b/>
          <w:color w:val="4F6228"/>
          <w:sz w:val="16"/>
          <w:szCs w:val="16"/>
        </w:rPr>
        <w:t>Decreto Supremo Nº 023-2004-PCM</w:t>
      </w:r>
      <w:r w:rsidRPr="006312E8">
        <w:rPr>
          <w:rFonts w:ascii="Arial" w:eastAsia="Calibri" w:hAnsi="Arial" w:cs="Arial"/>
          <w:b/>
          <w:color w:val="4F6228"/>
          <w:sz w:val="16"/>
          <w:szCs w:val="16"/>
        </w:rPr>
        <w:fldChar w:fldCharType="end"/>
      </w:r>
      <w:r w:rsidRPr="006312E8">
        <w:rPr>
          <w:rFonts w:ascii="Arial" w:eastAsia="Calibri" w:hAnsi="Arial" w:cs="Arial"/>
          <w:b/>
          <w:color w:val="4F6228"/>
          <w:sz w:val="16"/>
          <w:szCs w:val="16"/>
        </w:rPr>
        <w:t xml:space="preserve"> (art. 2)</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22"/>
        </w:numPr>
        <w:spacing w:after="0" w:line="240" w:lineRule="auto"/>
        <w:contextualSpacing/>
        <w:jc w:val="both"/>
        <w:rPr>
          <w:rFonts w:ascii="Arial" w:eastAsia="Calibri" w:hAnsi="Arial" w:cs="Arial"/>
          <w:lang w:val="es-ES"/>
        </w:rPr>
      </w:pPr>
      <w:r w:rsidRPr="006312E8">
        <w:rPr>
          <w:rFonts w:ascii="Arial" w:eastAsia="Calibri" w:hAnsi="Arial" w:cs="Arial"/>
          <w:b/>
          <w:lang w:val="es-ES"/>
        </w:rPr>
        <w:t xml:space="preserve">Bienes Incautados: </w:t>
      </w:r>
      <w:r w:rsidRPr="006312E8">
        <w:rPr>
          <w:rFonts w:ascii="Arial" w:eastAsia="Calibri" w:hAnsi="Arial" w:cs="Arial"/>
          <w:lang w:val="es-ES"/>
        </w:rPr>
        <w:t>Son aquellos sobre los cuales ha recaído una medida cautelar por constituir objeto, medio, instrumento o efecto de un hecho punible o infracción administrativa, y que forman parte de un procedimiento administrativo sancionador, investigación preliminar o proceso judicial.</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22"/>
        </w:numPr>
        <w:spacing w:after="0" w:line="240" w:lineRule="auto"/>
        <w:contextualSpacing/>
        <w:jc w:val="both"/>
        <w:rPr>
          <w:rFonts w:ascii="Arial" w:eastAsia="Calibri" w:hAnsi="Arial" w:cs="Arial"/>
          <w:lang w:val="es-ES"/>
        </w:rPr>
      </w:pPr>
      <w:r w:rsidRPr="006312E8">
        <w:rPr>
          <w:rFonts w:ascii="Arial" w:eastAsia="Calibri" w:hAnsi="Arial" w:cs="Arial"/>
          <w:b/>
          <w:lang w:val="es-ES"/>
        </w:rPr>
        <w:t>Bienes Decomisados:</w:t>
      </w:r>
      <w:r w:rsidRPr="006312E8">
        <w:rPr>
          <w:rFonts w:ascii="Arial" w:eastAsia="Calibri" w:hAnsi="Arial" w:cs="Arial"/>
          <w:lang w:val="es-ES"/>
        </w:rPr>
        <w:t xml:space="preserve"> Son aquellos incorporados al dominio del Estado en virtud de una sanción impuesta por decisión judicial o administrativa.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22"/>
        </w:numPr>
        <w:spacing w:after="0" w:line="240" w:lineRule="auto"/>
        <w:contextualSpacing/>
        <w:jc w:val="both"/>
        <w:rPr>
          <w:rFonts w:ascii="Arial" w:eastAsia="Calibri" w:hAnsi="Arial" w:cs="Arial"/>
          <w:lang w:val="es-ES"/>
        </w:rPr>
      </w:pPr>
      <w:r w:rsidRPr="006312E8">
        <w:rPr>
          <w:rFonts w:ascii="Arial" w:eastAsia="Calibri" w:hAnsi="Arial" w:cs="Arial"/>
          <w:b/>
          <w:lang w:val="es-ES"/>
        </w:rPr>
        <w:t>Alta:</w:t>
      </w:r>
      <w:r w:rsidRPr="006312E8">
        <w:rPr>
          <w:rFonts w:ascii="Arial" w:eastAsia="Calibri" w:hAnsi="Arial" w:cs="Arial"/>
          <w:lang w:val="es-ES"/>
        </w:rPr>
        <w:t xml:space="preserve"> Es el procedimiento que consiste en la incorporación física y contable de bienes al patrimonio del Estado o de una entidad.</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22"/>
        </w:numPr>
        <w:spacing w:after="0" w:line="240" w:lineRule="auto"/>
        <w:contextualSpacing/>
        <w:jc w:val="both"/>
        <w:rPr>
          <w:rFonts w:ascii="Arial" w:eastAsia="Calibri" w:hAnsi="Arial" w:cs="Arial"/>
          <w:lang w:val="es-ES"/>
        </w:rPr>
      </w:pPr>
      <w:r w:rsidRPr="006312E8">
        <w:rPr>
          <w:rFonts w:ascii="Arial" w:eastAsia="Calibri" w:hAnsi="Arial" w:cs="Arial"/>
          <w:b/>
          <w:lang w:val="es-ES"/>
        </w:rPr>
        <w:t>Baja:</w:t>
      </w:r>
      <w:r w:rsidRPr="006312E8">
        <w:rPr>
          <w:rFonts w:ascii="Arial" w:eastAsia="Calibri" w:hAnsi="Arial" w:cs="Arial"/>
          <w:lang w:val="es-ES"/>
        </w:rPr>
        <w:t xml:space="preserve"> Es el procedimiento que consiste en la extracción contable de bienes del patrimonio del Estado o de una entidad.</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22"/>
        </w:numPr>
        <w:spacing w:after="0" w:line="240" w:lineRule="auto"/>
        <w:contextualSpacing/>
        <w:jc w:val="both"/>
        <w:rPr>
          <w:rFonts w:ascii="Arial" w:eastAsia="Calibri" w:hAnsi="Arial" w:cs="Arial"/>
          <w:lang w:val="es-ES"/>
        </w:rPr>
      </w:pPr>
      <w:r w:rsidRPr="006312E8">
        <w:rPr>
          <w:rFonts w:ascii="Arial" w:eastAsia="Calibri" w:hAnsi="Arial" w:cs="Arial"/>
          <w:b/>
          <w:lang w:val="es-ES"/>
        </w:rPr>
        <w:t>Saneamiento técnico - legal:</w:t>
      </w:r>
      <w:r w:rsidRPr="006312E8">
        <w:rPr>
          <w:rFonts w:ascii="Arial" w:eastAsia="Calibri" w:hAnsi="Arial" w:cs="Arial"/>
          <w:lang w:val="es-ES"/>
        </w:rPr>
        <w:t xml:space="preserve"> Comprende todas las acciones destinadas a lograr que se inscriba en los Registros Públicos la situación real de los bienes muebles e inmuebles en relación a los derechos reales que sobre éstos ejerza el Estado y las entidades.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22"/>
        </w:numPr>
        <w:spacing w:after="0" w:line="240" w:lineRule="auto"/>
        <w:contextualSpacing/>
        <w:jc w:val="both"/>
        <w:rPr>
          <w:rFonts w:ascii="Arial" w:eastAsia="Calibri" w:hAnsi="Arial" w:cs="Arial"/>
          <w:lang w:val="es-ES"/>
        </w:rPr>
      </w:pPr>
      <w:r w:rsidRPr="006312E8">
        <w:rPr>
          <w:rFonts w:ascii="Arial" w:eastAsia="Calibri" w:hAnsi="Arial" w:cs="Arial"/>
          <w:b/>
          <w:lang w:val="es-ES"/>
        </w:rPr>
        <w:t>Saneamiento contable:</w:t>
      </w:r>
      <w:r w:rsidRPr="006312E8">
        <w:rPr>
          <w:rFonts w:ascii="Arial" w:eastAsia="Calibri" w:hAnsi="Arial" w:cs="Arial"/>
          <w:lang w:val="es-ES"/>
        </w:rPr>
        <w:t xml:space="preserve"> Se rige por las normas pertinentes de la Ley Nº 28708, Ley General del Sistema Nacional de Contabilidad y demás normas sobre la materia.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709" w:hanging="567"/>
        <w:jc w:val="both"/>
        <w:rPr>
          <w:rFonts w:ascii="Arial" w:eastAsia="Calibri" w:hAnsi="Arial" w:cs="Arial"/>
          <w:lang w:val="es-ES"/>
        </w:rPr>
      </w:pPr>
      <w:r w:rsidRPr="006312E8">
        <w:rPr>
          <w:rFonts w:ascii="Arial" w:eastAsia="Calibri" w:hAnsi="Arial" w:cs="Arial"/>
          <w:lang w:val="es-ES"/>
        </w:rPr>
        <w:t xml:space="preserve">2.3.- </w:t>
      </w:r>
      <w:r w:rsidRPr="006312E8">
        <w:rPr>
          <w:rFonts w:ascii="Arial" w:eastAsia="Calibri" w:hAnsi="Arial" w:cs="Arial"/>
          <w:lang w:val="es-ES"/>
        </w:rPr>
        <w:tab/>
        <w:t>Precisiones de definiciones de la Ley: Para los efectos del presente Reglamento se entenderá por:</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numPr>
          <w:ilvl w:val="0"/>
          <w:numId w:val="23"/>
        </w:numPr>
        <w:spacing w:after="0" w:line="240" w:lineRule="auto"/>
        <w:contextualSpacing/>
        <w:jc w:val="both"/>
        <w:rPr>
          <w:rFonts w:ascii="Arial" w:eastAsia="Calibri" w:hAnsi="Arial" w:cs="Arial"/>
          <w:lang w:val="es-ES"/>
        </w:rPr>
      </w:pPr>
      <w:r w:rsidRPr="006312E8">
        <w:rPr>
          <w:rFonts w:ascii="Arial" w:eastAsia="Calibri" w:hAnsi="Arial" w:cs="Arial"/>
          <w:b/>
          <w:lang w:val="es-ES"/>
        </w:rPr>
        <w:t>Actos de administración</w:t>
      </w:r>
      <w:r w:rsidRPr="006312E8">
        <w:rPr>
          <w:rFonts w:ascii="Arial" w:eastAsia="Calibri" w:hAnsi="Arial" w:cs="Arial"/>
          <w:lang w:val="es-ES"/>
        </w:rPr>
        <w:t>: Son aquellos a través de los cuales se ordena el uso y aprovechamiento de los bienes estatales como: usufructo, arrendamiento, afectación en uso, cesión de uso, comodato, declaratoria de fábrica, demolición y otros actos que no impliquen desplazamiento de dominio.</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6312E8">
      <w:pPr>
        <w:numPr>
          <w:ilvl w:val="0"/>
          <w:numId w:val="23"/>
        </w:numPr>
        <w:spacing w:after="0" w:line="240" w:lineRule="auto"/>
        <w:contextualSpacing/>
        <w:jc w:val="both"/>
        <w:rPr>
          <w:rFonts w:ascii="Arial" w:eastAsia="Calibri" w:hAnsi="Arial" w:cs="Arial"/>
          <w:lang w:val="es-ES"/>
        </w:rPr>
      </w:pPr>
      <w:r w:rsidRPr="006312E8">
        <w:rPr>
          <w:rFonts w:ascii="Arial" w:eastAsia="Calibri" w:hAnsi="Arial" w:cs="Arial"/>
          <w:b/>
          <w:lang w:val="es-ES"/>
        </w:rPr>
        <w:t>Actos de disposición:</w:t>
      </w:r>
      <w:r w:rsidRPr="006312E8">
        <w:rPr>
          <w:rFonts w:ascii="Arial" w:eastAsia="Calibri" w:hAnsi="Arial" w:cs="Arial"/>
          <w:lang w:val="es-ES"/>
        </w:rPr>
        <w:t xml:space="preserve"> Son aquellos que implican desplazamiento de dominio de los bienes estatales como: venta, permuta, transferencia de dominio fiduciario, transferencia de dominio en el Estado y constitución de derecho de superficie.</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23"/>
        </w:numPr>
        <w:spacing w:after="0" w:line="240" w:lineRule="auto"/>
        <w:contextualSpacing/>
        <w:jc w:val="both"/>
        <w:rPr>
          <w:rFonts w:ascii="Arial" w:eastAsia="Calibri" w:hAnsi="Arial" w:cs="Arial"/>
          <w:lang w:val="es-ES"/>
        </w:rPr>
      </w:pPr>
      <w:r w:rsidRPr="006312E8">
        <w:rPr>
          <w:rFonts w:ascii="Arial" w:eastAsia="Calibri" w:hAnsi="Arial" w:cs="Arial"/>
          <w:b/>
          <w:lang w:val="es-ES"/>
        </w:rPr>
        <w:t>Actos de adquisición:</w:t>
      </w:r>
      <w:r w:rsidRPr="006312E8">
        <w:rPr>
          <w:rFonts w:ascii="Arial" w:eastAsia="Calibri" w:hAnsi="Arial" w:cs="Arial"/>
          <w:lang w:val="es-ES"/>
        </w:rPr>
        <w:t xml:space="preserve"> Son aquellos a través de los cuales se incorporan al patrimonio estatal o se formaliza el dominio a favor del Estado como: donación, dación en pago, decomiso, primera inscripción de dominio, reversión de dominio, asunción de titularidad por abandono y otros.</w:t>
      </w:r>
    </w:p>
    <w:p w:rsidR="006312E8" w:rsidRPr="006312E8" w:rsidRDefault="006312E8" w:rsidP="006312E8">
      <w:pPr>
        <w:spacing w:after="0" w:line="240" w:lineRule="auto"/>
        <w:jc w:val="both"/>
        <w:rPr>
          <w:rFonts w:ascii="Arial" w:eastAsia="Calibri" w:hAnsi="Arial" w:cs="Arial"/>
          <w:lang w:val="es-ES"/>
        </w:rPr>
      </w:pPr>
    </w:p>
    <w:p w:rsidR="005A311B" w:rsidRDefault="005A311B" w:rsidP="006312E8">
      <w:pPr>
        <w:spacing w:after="0" w:line="240" w:lineRule="auto"/>
        <w:jc w:val="center"/>
        <w:rPr>
          <w:rFonts w:ascii="Arial" w:eastAsia="Calibri" w:hAnsi="Arial" w:cs="Arial"/>
          <w:b/>
          <w:lang w:val="es-ES"/>
        </w:rPr>
      </w:pPr>
      <w:bookmarkStart w:id="23" w:name="_Toc392856123"/>
      <w:bookmarkStart w:id="24" w:name="_Toc399335396"/>
    </w:p>
    <w:p w:rsidR="005A311B" w:rsidRDefault="005A311B" w:rsidP="006312E8">
      <w:pPr>
        <w:spacing w:after="0" w:line="240" w:lineRule="auto"/>
        <w:jc w:val="center"/>
        <w:rPr>
          <w:rFonts w:ascii="Arial" w:eastAsia="Calibri" w:hAnsi="Arial" w:cs="Arial"/>
          <w:b/>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TÍTULO II</w:t>
      </w:r>
      <w:bookmarkEnd w:id="23"/>
      <w:bookmarkEnd w:id="24"/>
    </w:p>
    <w:p w:rsidR="006312E8" w:rsidRPr="006312E8" w:rsidRDefault="006312E8" w:rsidP="006312E8">
      <w:pPr>
        <w:spacing w:after="0" w:line="240" w:lineRule="auto"/>
        <w:jc w:val="center"/>
        <w:rPr>
          <w:rFonts w:ascii="Arial" w:eastAsia="Calibri" w:hAnsi="Arial" w:cs="Arial"/>
          <w:b/>
          <w:lang w:val="es-ES"/>
        </w:rPr>
      </w:pPr>
      <w:bookmarkStart w:id="25" w:name="_Toc392856124"/>
      <w:bookmarkStart w:id="26" w:name="_Toc399335397"/>
      <w:r w:rsidRPr="006312E8">
        <w:rPr>
          <w:rFonts w:ascii="Arial" w:eastAsia="Calibri" w:hAnsi="Arial" w:cs="Arial"/>
          <w:b/>
          <w:lang w:val="es-ES"/>
        </w:rPr>
        <w:t>INTEGRANTES DEL SISTEMA</w:t>
      </w:r>
      <w:bookmarkEnd w:id="25"/>
      <w:bookmarkEnd w:id="26"/>
    </w:p>
    <w:p w:rsidR="006312E8" w:rsidRPr="006312E8" w:rsidRDefault="006312E8" w:rsidP="006312E8">
      <w:pPr>
        <w:spacing w:after="0" w:line="240" w:lineRule="auto"/>
        <w:jc w:val="center"/>
        <w:rPr>
          <w:rFonts w:ascii="Arial" w:eastAsia="Calibri" w:hAnsi="Arial" w:cs="Arial"/>
          <w:b/>
          <w:lang w:val="es-ES"/>
        </w:rPr>
      </w:pPr>
    </w:p>
    <w:p w:rsidR="006312E8" w:rsidRPr="006312E8" w:rsidRDefault="006312E8" w:rsidP="006312E8">
      <w:pPr>
        <w:spacing w:after="0" w:line="240" w:lineRule="auto"/>
        <w:jc w:val="center"/>
        <w:rPr>
          <w:rFonts w:ascii="Arial" w:eastAsia="Calibri" w:hAnsi="Arial" w:cs="Arial"/>
          <w:b/>
          <w:lang w:val="es-ES"/>
        </w:rPr>
      </w:pPr>
      <w:bookmarkStart w:id="27" w:name="_Toc392856125"/>
      <w:bookmarkStart w:id="28" w:name="_Toc399335398"/>
      <w:r w:rsidRPr="006312E8">
        <w:rPr>
          <w:rFonts w:ascii="Arial" w:eastAsia="Calibri" w:hAnsi="Arial" w:cs="Arial"/>
          <w:b/>
          <w:lang w:val="es-ES"/>
        </w:rPr>
        <w:t>CAPÍTULO I</w:t>
      </w:r>
      <w:bookmarkEnd w:id="27"/>
      <w:bookmarkEnd w:id="28"/>
    </w:p>
    <w:p w:rsidR="006312E8" w:rsidRPr="006312E8" w:rsidRDefault="006312E8" w:rsidP="006312E8">
      <w:pPr>
        <w:spacing w:after="0" w:line="240" w:lineRule="auto"/>
        <w:jc w:val="center"/>
        <w:rPr>
          <w:rFonts w:ascii="Arial" w:eastAsia="Calibri" w:hAnsi="Arial" w:cs="Arial"/>
          <w:b/>
          <w:lang w:val="es-ES"/>
        </w:rPr>
      </w:pPr>
      <w:bookmarkStart w:id="29" w:name="_Toc392856126"/>
      <w:bookmarkStart w:id="30" w:name="_Toc399335399"/>
      <w:r w:rsidRPr="006312E8">
        <w:rPr>
          <w:rFonts w:ascii="Arial" w:eastAsia="Calibri" w:hAnsi="Arial" w:cs="Arial"/>
          <w:b/>
          <w:lang w:val="es-ES"/>
        </w:rPr>
        <w:t>SISTEMA NACIONAL DE BIENES ESTATALES</w:t>
      </w:r>
      <w:bookmarkEnd w:id="29"/>
      <w:bookmarkEnd w:id="30"/>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3.- Del Sistema Nacional de Bienes Estatales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El Sistema Nacional de Bienes Estatales - SNBE es el conjunto de organismos, garantías y normas que regulan integral y coherentemente los bienes estatales en sus niveles de Gobierno Nacional, Regional o Local, que apoya al proceso de descentralización y modernización de la gestión del Estado desarrollando una gestión basada en los principios de eficiencia, transparencia y racionalidad del uso del patrimonio mobiliario e inmobiliario estatal.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127" w:hanging="2127"/>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6312E8">
      <w:pPr>
        <w:numPr>
          <w:ilvl w:val="0"/>
          <w:numId w:val="42"/>
        </w:numPr>
        <w:spacing w:after="0" w:line="240" w:lineRule="auto"/>
        <w:jc w:val="both"/>
        <w:rPr>
          <w:rFonts w:ascii="Arial" w:eastAsia="Calibri" w:hAnsi="Arial" w:cs="Arial"/>
          <w:sz w:val="16"/>
          <w:szCs w:val="16"/>
        </w:rPr>
      </w:pPr>
      <w:hyperlink w:anchor="ley29151" w:history="1">
        <w:r w:rsidR="006312E8" w:rsidRPr="006312E8">
          <w:rPr>
            <w:rFonts w:ascii="Arial" w:eastAsia="Calibri" w:hAnsi="Arial" w:cs="Arial"/>
            <w:b/>
            <w:color w:val="0000FF"/>
            <w:sz w:val="16"/>
            <w:szCs w:val="16"/>
            <w:u w:val="single"/>
          </w:rPr>
          <w:t>Ley Nº 29151</w:t>
        </w:r>
      </w:hyperlink>
      <w:r w:rsidR="006312E8" w:rsidRPr="006312E8">
        <w:rPr>
          <w:rFonts w:ascii="Arial" w:eastAsia="Calibri" w:hAnsi="Arial" w:cs="Arial"/>
          <w:b/>
          <w:color w:val="4F6228"/>
          <w:sz w:val="16"/>
          <w:szCs w:val="16"/>
        </w:rPr>
        <w:t xml:space="preserve"> (arts. .5, 6, 7,  8 y 12)</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4.- De la vinculación de las entidades del SNBE</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El SNBE vincula a todas las entidades que lo integran, en los términos establecidos en la Ley, en el Reglamento y demás normas complementarias y conexas, respecto de los actos de administración, adquisición, disposición, supervisión y registro de los bienes estatales, preservando su coherencia y racionalidad.</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5.- Del cumplimiento de las normas que regulan el SNBE</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Las entidades en cuanto administren o dispongan de bienes estatales se rigen por la Ley, el presente Reglamento y demás normas sobre la materia.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En la ejecución de cualquier acto relacionado a los bienes estatales, deberá observarse el adecuado cumplimiento de las garantías y normas vinculadas a dichos bienes.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127" w:hanging="2127"/>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6312E8">
      <w:pPr>
        <w:numPr>
          <w:ilvl w:val="0"/>
          <w:numId w:val="42"/>
        </w:numPr>
        <w:spacing w:after="0" w:line="240" w:lineRule="auto"/>
        <w:jc w:val="both"/>
        <w:rPr>
          <w:rFonts w:ascii="Arial" w:eastAsia="Calibri" w:hAnsi="Arial" w:cs="Arial"/>
          <w:sz w:val="16"/>
          <w:szCs w:val="16"/>
        </w:rPr>
      </w:pPr>
      <w:hyperlink w:anchor="ley29151" w:history="1">
        <w:r w:rsidR="006312E8" w:rsidRPr="006312E8">
          <w:rPr>
            <w:rFonts w:ascii="Arial" w:eastAsia="Calibri" w:hAnsi="Arial" w:cs="Arial"/>
            <w:b/>
            <w:color w:val="0000FF"/>
            <w:sz w:val="16"/>
            <w:szCs w:val="16"/>
            <w:u w:val="single"/>
          </w:rPr>
          <w:t>Ley Nº 29151</w:t>
        </w:r>
      </w:hyperlink>
      <w:r w:rsidR="006312E8" w:rsidRPr="006312E8">
        <w:rPr>
          <w:rFonts w:ascii="Arial" w:eastAsia="Calibri" w:hAnsi="Arial" w:cs="Arial"/>
          <w:b/>
          <w:color w:val="4F6228"/>
          <w:sz w:val="16"/>
          <w:szCs w:val="16"/>
        </w:rPr>
        <w:t xml:space="preserve"> (art . 7)</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6.- De la adecuación tecnológica de las entidades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Para garantizar la modernización e integración de las funciones del Estado relacionadas al registro de los bienes estatales, las entidades deberán adecuar permanentemente su tecnología para el intercambio de información en línea, respecto de los actos que ejecutan en el marco de las citadas funciones.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7.- De la adecuación de los procedimientos sobre los bienes estatales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Las entidades están en la obligación de adecuar sus procedimientos, conforme a los alcances de la Ley, el Reglamento y las normas que emita el Ente Rector.</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bookmarkStart w:id="31" w:name="_Toc392856127"/>
      <w:bookmarkStart w:id="32" w:name="_Toc399335400"/>
      <w:r w:rsidRPr="006312E8">
        <w:rPr>
          <w:rFonts w:ascii="Arial" w:eastAsia="Calibri" w:hAnsi="Arial" w:cs="Arial"/>
          <w:b/>
          <w:lang w:val="es-ES"/>
        </w:rPr>
        <w:t>CAPÍTULO II</w:t>
      </w:r>
      <w:bookmarkEnd w:id="31"/>
      <w:bookmarkEnd w:id="32"/>
    </w:p>
    <w:p w:rsidR="006312E8" w:rsidRPr="006312E8" w:rsidRDefault="006312E8" w:rsidP="006312E8">
      <w:pPr>
        <w:spacing w:after="0" w:line="240" w:lineRule="auto"/>
        <w:jc w:val="center"/>
        <w:rPr>
          <w:rFonts w:ascii="Arial" w:eastAsia="Calibri" w:hAnsi="Arial" w:cs="Arial"/>
          <w:b/>
          <w:lang w:val="es-ES"/>
        </w:rPr>
      </w:pPr>
      <w:bookmarkStart w:id="33" w:name="_Toc392856128"/>
      <w:bookmarkStart w:id="34" w:name="_Toc399335401"/>
      <w:r w:rsidRPr="006312E8">
        <w:rPr>
          <w:rFonts w:ascii="Arial" w:eastAsia="Calibri" w:hAnsi="Arial" w:cs="Arial"/>
          <w:b/>
          <w:lang w:val="es-ES"/>
        </w:rPr>
        <w:t>ENTE RECTOR</w:t>
      </w:r>
      <w:bookmarkEnd w:id="33"/>
      <w:bookmarkEnd w:id="34"/>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8.- Del Ente Rector</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SBN es el Ente Rector del SNBE y está encargada de normar y supervisar los actos de adquisición, disposición, administración y registro de los bienes estatales que realicen las entidades, a efectos de lograr una administración ordenada y eficiente.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SBN es la responsable de ejecutar los actos vinculados a los bienes que se encuentran a su cargo, de conformidad con lo dispuesto en la Ley, el Reglamento y demás normas complementarias y conexas.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127" w:hanging="2127"/>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6312E8">
      <w:pPr>
        <w:numPr>
          <w:ilvl w:val="0"/>
          <w:numId w:val="42"/>
        </w:numPr>
        <w:spacing w:after="0" w:line="240" w:lineRule="auto"/>
        <w:jc w:val="both"/>
        <w:rPr>
          <w:rFonts w:ascii="Arial" w:eastAsia="Calibri" w:hAnsi="Arial" w:cs="Arial"/>
          <w:sz w:val="16"/>
          <w:szCs w:val="16"/>
        </w:rPr>
      </w:pPr>
      <w:hyperlink w:anchor="ley29151" w:history="1">
        <w:r w:rsidR="006312E8" w:rsidRPr="006312E8">
          <w:rPr>
            <w:rFonts w:ascii="Arial" w:eastAsia="Calibri" w:hAnsi="Arial" w:cs="Arial"/>
            <w:b/>
            <w:color w:val="0000FF"/>
            <w:sz w:val="16"/>
            <w:szCs w:val="16"/>
            <w:u w:val="single"/>
          </w:rPr>
          <w:t>Ley Nº 29151</w:t>
        </w:r>
      </w:hyperlink>
      <w:r w:rsidR="006312E8" w:rsidRPr="006312E8">
        <w:rPr>
          <w:rFonts w:ascii="Arial" w:eastAsia="Calibri" w:hAnsi="Arial" w:cs="Arial"/>
          <w:b/>
          <w:color w:val="4F6228"/>
          <w:sz w:val="16"/>
          <w:szCs w:val="16"/>
        </w:rPr>
        <w:t xml:space="preserve"> (art . 13)</w:t>
      </w:r>
    </w:p>
    <w:p w:rsidR="006312E8" w:rsidRPr="006312E8" w:rsidRDefault="000A5EA6" w:rsidP="006312E8">
      <w:pPr>
        <w:numPr>
          <w:ilvl w:val="0"/>
          <w:numId w:val="42"/>
        </w:numPr>
        <w:spacing w:after="0" w:line="240" w:lineRule="auto"/>
        <w:jc w:val="both"/>
        <w:rPr>
          <w:rFonts w:ascii="Arial" w:eastAsia="Calibri" w:hAnsi="Arial" w:cs="Arial"/>
          <w:sz w:val="16"/>
          <w:szCs w:val="16"/>
        </w:rPr>
      </w:pPr>
      <w:hyperlink w:anchor="DS0162010" w:history="1">
        <w:r w:rsidR="006312E8" w:rsidRPr="006312E8">
          <w:rPr>
            <w:rFonts w:ascii="Arial" w:eastAsia="Calibri" w:hAnsi="Arial" w:cs="Arial"/>
            <w:b/>
            <w:color w:val="0000FF"/>
            <w:sz w:val="16"/>
            <w:szCs w:val="16"/>
            <w:u w:val="single"/>
          </w:rPr>
          <w:t>Decreto Supremo Nº 016-2010-VIVIENDA</w:t>
        </w:r>
      </w:hyperlink>
      <w:r w:rsidR="006312E8" w:rsidRPr="006312E8">
        <w:rPr>
          <w:rFonts w:ascii="Arial" w:eastAsia="Calibri" w:hAnsi="Arial" w:cs="Arial"/>
          <w:b/>
          <w:color w:val="4F6228"/>
          <w:sz w:val="16"/>
          <w:szCs w:val="16"/>
        </w:rPr>
        <w:t xml:space="preserve"> (arts. 37 literal a; 46 literal a)</w:t>
      </w:r>
    </w:p>
    <w:p w:rsidR="006312E8" w:rsidRPr="006312E8" w:rsidRDefault="006312E8" w:rsidP="006312E8">
      <w:pPr>
        <w:spacing w:after="0" w:line="240" w:lineRule="auto"/>
        <w:jc w:val="both"/>
        <w:rPr>
          <w:rFonts w:ascii="Arial" w:eastAsia="Calibri" w:hAnsi="Arial" w:cs="Arial"/>
          <w:lang w:val="es-ES"/>
        </w:rPr>
      </w:pPr>
    </w:p>
    <w:p w:rsidR="005A311B" w:rsidRDefault="005A311B"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9.- De las funciones y atribuciones del Ente Rector</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Son funciones y atribuciones del Ente Rector, además de las establecidas en la Ley, las siguientes: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709" w:hanging="425"/>
        <w:jc w:val="both"/>
        <w:rPr>
          <w:rFonts w:ascii="Arial" w:eastAsia="Calibri" w:hAnsi="Arial" w:cs="Arial"/>
          <w:b/>
          <w:lang w:val="es-ES"/>
        </w:rPr>
      </w:pPr>
      <w:r w:rsidRPr="006312E8">
        <w:rPr>
          <w:rFonts w:ascii="Arial" w:eastAsia="Calibri" w:hAnsi="Arial" w:cs="Arial"/>
          <w:b/>
          <w:lang w:val="es-ES"/>
        </w:rPr>
        <w:t xml:space="preserve">9.1 </w:t>
      </w:r>
      <w:r w:rsidRPr="006312E8">
        <w:rPr>
          <w:rFonts w:ascii="Arial" w:eastAsia="Calibri" w:hAnsi="Arial" w:cs="Arial"/>
          <w:b/>
          <w:lang w:val="es-ES"/>
        </w:rPr>
        <w:tab/>
        <w:t>Normativas: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numPr>
          <w:ilvl w:val="0"/>
          <w:numId w:val="24"/>
        </w:numPr>
        <w:spacing w:after="0" w:line="240" w:lineRule="auto"/>
        <w:contextualSpacing/>
        <w:jc w:val="both"/>
        <w:rPr>
          <w:rFonts w:ascii="Arial" w:eastAsia="Calibri" w:hAnsi="Arial" w:cs="Arial"/>
          <w:lang w:val="es-ES"/>
        </w:rPr>
      </w:pPr>
      <w:r w:rsidRPr="006312E8">
        <w:rPr>
          <w:rFonts w:ascii="Arial" w:eastAsia="Calibri" w:hAnsi="Arial" w:cs="Arial"/>
          <w:lang w:val="es-ES"/>
        </w:rPr>
        <w:t>Promover o expedir, cuando corresponda, las disposiciones legales en materia de adquisición, administración, disposición, registro y supervisión de bienes estatales siendo de cumplimiento obligatorio por parte de las entidades.</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6312E8">
      <w:pPr>
        <w:numPr>
          <w:ilvl w:val="0"/>
          <w:numId w:val="24"/>
        </w:numPr>
        <w:spacing w:after="0" w:line="240" w:lineRule="auto"/>
        <w:contextualSpacing/>
        <w:jc w:val="both"/>
        <w:rPr>
          <w:rFonts w:ascii="Arial" w:eastAsia="Calibri" w:hAnsi="Arial" w:cs="Arial"/>
          <w:lang w:val="es-ES"/>
        </w:rPr>
      </w:pPr>
      <w:r w:rsidRPr="006312E8">
        <w:rPr>
          <w:rFonts w:ascii="Arial" w:eastAsia="Calibri" w:hAnsi="Arial" w:cs="Arial"/>
          <w:lang w:val="es-ES"/>
        </w:rPr>
        <w:t>Absolver consultas, interpretar y emitir pronunciamientos institucionales sobre bienes estatales con carácter orientador.</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709" w:hanging="425"/>
        <w:jc w:val="both"/>
        <w:rPr>
          <w:rFonts w:ascii="Arial" w:eastAsia="Calibri" w:hAnsi="Arial" w:cs="Arial"/>
          <w:b/>
          <w:lang w:val="es-ES"/>
        </w:rPr>
      </w:pPr>
      <w:r w:rsidRPr="006312E8">
        <w:rPr>
          <w:rFonts w:ascii="Arial" w:eastAsia="Calibri" w:hAnsi="Arial" w:cs="Arial"/>
          <w:b/>
          <w:lang w:val="es-ES"/>
        </w:rPr>
        <w:t xml:space="preserve">9.2 </w:t>
      </w:r>
      <w:r w:rsidRPr="006312E8">
        <w:rPr>
          <w:rFonts w:ascii="Arial" w:eastAsia="Calibri" w:hAnsi="Arial" w:cs="Arial"/>
          <w:b/>
          <w:lang w:val="es-ES"/>
        </w:rPr>
        <w:tab/>
        <w:t>De Supervisión: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numPr>
          <w:ilvl w:val="0"/>
          <w:numId w:val="25"/>
        </w:numPr>
        <w:spacing w:after="0" w:line="240" w:lineRule="auto"/>
        <w:contextualSpacing/>
        <w:jc w:val="both"/>
        <w:rPr>
          <w:rFonts w:ascii="Arial" w:eastAsia="Calibri" w:hAnsi="Arial" w:cs="Arial"/>
          <w:lang w:val="es-ES"/>
        </w:rPr>
      </w:pPr>
      <w:r w:rsidRPr="006312E8">
        <w:rPr>
          <w:rFonts w:ascii="Arial" w:eastAsia="Calibri" w:hAnsi="Arial" w:cs="Arial"/>
          <w:lang w:val="es-ES"/>
        </w:rPr>
        <w:t>Cautelar que las entidades cumplan con los requisitos y ejecuten los procedimientos contenidos en el Reglamento y demás normas sobre la materia, conforme a la naturaleza del bien.</w:t>
      </w:r>
    </w:p>
    <w:p w:rsidR="006312E8" w:rsidRPr="006312E8" w:rsidRDefault="006312E8" w:rsidP="006312E8">
      <w:pPr>
        <w:spacing w:after="0" w:line="240" w:lineRule="auto"/>
        <w:ind w:left="1080"/>
        <w:contextualSpacing/>
        <w:jc w:val="both"/>
        <w:rPr>
          <w:rFonts w:ascii="Arial" w:eastAsia="Calibri" w:hAnsi="Arial" w:cs="Arial"/>
          <w:lang w:val="es-ES"/>
        </w:rPr>
      </w:pPr>
    </w:p>
    <w:p w:rsidR="006312E8" w:rsidRPr="006312E8" w:rsidRDefault="006312E8" w:rsidP="006312E8">
      <w:pPr>
        <w:numPr>
          <w:ilvl w:val="0"/>
          <w:numId w:val="25"/>
        </w:numPr>
        <w:spacing w:after="0" w:line="240" w:lineRule="auto"/>
        <w:contextualSpacing/>
        <w:jc w:val="both"/>
        <w:rPr>
          <w:rFonts w:ascii="Arial" w:eastAsia="Calibri" w:hAnsi="Arial" w:cs="Arial"/>
          <w:lang w:val="es-ES"/>
        </w:rPr>
      </w:pPr>
      <w:r w:rsidRPr="006312E8">
        <w:rPr>
          <w:rFonts w:ascii="Arial" w:eastAsia="Calibri" w:hAnsi="Arial" w:cs="Arial"/>
          <w:lang w:val="es-ES"/>
        </w:rPr>
        <w:t>Efectuar periódicamente acciones de supervisión de los actos que recaigan sobre bienes estatales y de los bienes incautados; así como el cumplimiento de la finalidad para el que fueron entregados; estas acciones podrán ser de naturaleza preventiva o correctiva.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25"/>
        </w:numPr>
        <w:spacing w:after="0" w:line="240" w:lineRule="auto"/>
        <w:contextualSpacing/>
        <w:jc w:val="both"/>
        <w:rPr>
          <w:rFonts w:ascii="Arial" w:eastAsia="Calibri" w:hAnsi="Arial" w:cs="Arial"/>
          <w:lang w:val="es-ES"/>
        </w:rPr>
      </w:pPr>
      <w:r w:rsidRPr="006312E8">
        <w:rPr>
          <w:rFonts w:ascii="Arial" w:eastAsia="Calibri" w:hAnsi="Arial" w:cs="Arial"/>
          <w:lang w:val="es-ES"/>
        </w:rPr>
        <w:t>Efectuar Inspecciones Técnicas inopinadas sobre los bienes estatales que formen parte del portafolio mobiliario e inmobiliario de las entidades, debiendo los funcionarios otorgar las facilidades del caso.</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25"/>
        </w:numPr>
        <w:spacing w:after="0" w:line="240" w:lineRule="auto"/>
        <w:contextualSpacing/>
        <w:jc w:val="both"/>
        <w:rPr>
          <w:rFonts w:ascii="Arial" w:eastAsia="Calibri" w:hAnsi="Arial" w:cs="Arial"/>
          <w:lang w:val="es-ES"/>
        </w:rPr>
      </w:pPr>
      <w:r w:rsidRPr="006312E8">
        <w:rPr>
          <w:rFonts w:ascii="Arial" w:eastAsia="Calibri" w:hAnsi="Arial" w:cs="Arial"/>
          <w:lang w:val="es-ES"/>
        </w:rPr>
        <w:t>Acceder a los registros, documentos e información respecto de los actos de adquisición, disposición y administración de bienes estatales que las entidades lleven a cabo con las limitaciones establecidas en la Ley.</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25"/>
        </w:numPr>
        <w:spacing w:after="0" w:line="240" w:lineRule="auto"/>
        <w:contextualSpacing/>
        <w:jc w:val="both"/>
        <w:rPr>
          <w:rFonts w:ascii="Arial" w:eastAsia="Calibri" w:hAnsi="Arial" w:cs="Arial"/>
          <w:lang w:val="es-ES"/>
        </w:rPr>
      </w:pPr>
      <w:r w:rsidRPr="006312E8">
        <w:rPr>
          <w:rFonts w:ascii="Arial" w:eastAsia="Calibri" w:hAnsi="Arial" w:cs="Arial"/>
          <w:lang w:val="es-ES"/>
        </w:rPr>
        <w:t>Determinar la existencia de infracciones en la ejecución de los actos de administración, adquisición, disposición y registro de los bienes estatales contenidas en la Ley, el Reglamento y demás normas complementarias y conexas, comunicando al Titular de la entidad correspondiente y a la Contraloría General de la República para que adopten las acciones respectivas, bajo responsabilidad del Titular de la entidad y sin perjuicio de las acciones que el Ente Rector ejecute en defensa de los bienes estatales.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25"/>
        </w:numPr>
        <w:spacing w:after="0" w:line="240" w:lineRule="auto"/>
        <w:contextualSpacing/>
        <w:jc w:val="both"/>
        <w:rPr>
          <w:rFonts w:ascii="Arial" w:eastAsia="Calibri" w:hAnsi="Arial" w:cs="Arial"/>
          <w:lang w:val="es-ES"/>
        </w:rPr>
      </w:pPr>
      <w:r w:rsidRPr="006312E8">
        <w:rPr>
          <w:rFonts w:ascii="Arial" w:eastAsia="Calibri" w:hAnsi="Arial" w:cs="Arial"/>
          <w:lang w:val="es-ES"/>
        </w:rPr>
        <w:t>Emitir Opinión Técnica en los actos de disposición de predios de propiedad del Estado, con excepción de los bienes de propiedad regional y municipal, de aquellos que sean materia de procesos de formalización y titulación, o de los que estén comprendidos en procesos de privatización o concesión en cumplimiento de normas especiales.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25"/>
        </w:numPr>
        <w:spacing w:after="0" w:line="240" w:lineRule="auto"/>
        <w:contextualSpacing/>
        <w:jc w:val="both"/>
        <w:rPr>
          <w:rFonts w:ascii="Arial" w:eastAsia="Calibri" w:hAnsi="Arial" w:cs="Arial"/>
          <w:lang w:val="es-ES"/>
        </w:rPr>
      </w:pPr>
      <w:r w:rsidRPr="006312E8">
        <w:rPr>
          <w:rFonts w:ascii="Arial" w:eastAsia="Calibri" w:hAnsi="Arial" w:cs="Arial"/>
          <w:lang w:val="es-ES"/>
        </w:rPr>
        <w:t>Al igual que todas las entidades, requerir información a particulares que ejerzan o hayan ejercido algún derecho sobre bienes estatales.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25"/>
        </w:numPr>
        <w:spacing w:after="0" w:line="240" w:lineRule="auto"/>
        <w:contextualSpacing/>
        <w:jc w:val="both"/>
        <w:rPr>
          <w:rFonts w:ascii="Arial" w:eastAsia="Calibri" w:hAnsi="Arial" w:cs="Arial"/>
          <w:lang w:val="es-ES"/>
        </w:rPr>
      </w:pPr>
      <w:r w:rsidRPr="006312E8">
        <w:rPr>
          <w:rFonts w:ascii="Arial" w:eastAsia="Calibri" w:hAnsi="Arial" w:cs="Arial"/>
          <w:lang w:val="es-ES"/>
        </w:rPr>
        <w:t>Ejercitar las acciones de revisión de los Actos de Registro efectuados por las entidades en el SINABIP.</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709" w:hanging="425"/>
        <w:jc w:val="both"/>
        <w:rPr>
          <w:rFonts w:ascii="Arial" w:eastAsia="Calibri" w:hAnsi="Arial" w:cs="Arial"/>
          <w:b/>
          <w:lang w:val="es-ES"/>
        </w:rPr>
      </w:pPr>
      <w:r w:rsidRPr="006312E8">
        <w:rPr>
          <w:rFonts w:ascii="Arial" w:eastAsia="Calibri" w:hAnsi="Arial" w:cs="Arial"/>
          <w:b/>
          <w:lang w:val="es-ES"/>
        </w:rPr>
        <w:t xml:space="preserve">9.3 </w:t>
      </w:r>
      <w:r w:rsidRPr="006312E8">
        <w:rPr>
          <w:rFonts w:ascii="Arial" w:eastAsia="Calibri" w:hAnsi="Arial" w:cs="Arial"/>
          <w:b/>
          <w:lang w:val="es-ES"/>
        </w:rPr>
        <w:tab/>
        <w:t>De gestión: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numPr>
          <w:ilvl w:val="0"/>
          <w:numId w:val="26"/>
        </w:numPr>
        <w:spacing w:after="0" w:line="240" w:lineRule="auto"/>
        <w:contextualSpacing/>
        <w:jc w:val="both"/>
        <w:rPr>
          <w:rFonts w:ascii="Arial" w:eastAsia="Calibri" w:hAnsi="Arial" w:cs="Arial"/>
          <w:lang w:val="es-ES"/>
        </w:rPr>
      </w:pPr>
      <w:r w:rsidRPr="006312E8">
        <w:rPr>
          <w:rFonts w:ascii="Arial" w:eastAsia="Calibri" w:hAnsi="Arial" w:cs="Arial"/>
          <w:lang w:val="es-ES"/>
        </w:rPr>
        <w:t>Procurar una eficiente gestión del portafolio mobiliario e inmobiliario de los bienes estatales racionalizando su uso y optimizando su valor.</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6312E8">
      <w:pPr>
        <w:numPr>
          <w:ilvl w:val="0"/>
          <w:numId w:val="26"/>
        </w:numPr>
        <w:spacing w:after="0" w:line="240" w:lineRule="auto"/>
        <w:contextualSpacing/>
        <w:jc w:val="both"/>
        <w:rPr>
          <w:rFonts w:ascii="Arial" w:eastAsia="Calibri" w:hAnsi="Arial" w:cs="Arial"/>
          <w:lang w:val="es-ES"/>
        </w:rPr>
      </w:pPr>
      <w:r w:rsidRPr="006312E8">
        <w:rPr>
          <w:rFonts w:ascii="Arial" w:eastAsia="Calibri" w:hAnsi="Arial" w:cs="Arial"/>
          <w:lang w:val="es-ES"/>
        </w:rPr>
        <w:t>Promover el saneamiento de la propiedad estatal por parte de las entidades para incentivar la inversión pública y privada.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26"/>
        </w:numPr>
        <w:spacing w:after="0" w:line="240" w:lineRule="auto"/>
        <w:contextualSpacing/>
        <w:jc w:val="both"/>
        <w:rPr>
          <w:rFonts w:ascii="Arial" w:eastAsia="Calibri" w:hAnsi="Arial" w:cs="Arial"/>
          <w:lang w:val="es-ES"/>
        </w:rPr>
      </w:pPr>
      <w:r w:rsidRPr="006312E8">
        <w:rPr>
          <w:rFonts w:ascii="Arial" w:eastAsia="Calibri" w:hAnsi="Arial" w:cs="Arial"/>
          <w:lang w:val="es-ES"/>
        </w:rPr>
        <w:t>Realizar el diagnóstico y/o saneamiento físico-legal de bienes inmuebles de las entidades, inclusive aquellas comprendidas en proyectos de inversión, obras de infraestructura y servicios públicos del Estado, siempre que las entidades no puedan ejecutar por sí mismas el saneamiento respectivo, debiendo solicitar por escrito la intervención del Ente Rector y bajo los términos del Convenio que se suscriba para dicho efecto. (*)</w:t>
      </w:r>
    </w:p>
    <w:p w:rsidR="006312E8" w:rsidRPr="006312E8" w:rsidRDefault="006312E8" w:rsidP="006312E8">
      <w:pPr>
        <w:spacing w:after="0" w:line="240" w:lineRule="auto"/>
        <w:ind w:left="1134"/>
        <w:jc w:val="both"/>
        <w:rPr>
          <w:rFonts w:ascii="Arial" w:eastAsia="Calibri" w:hAnsi="Arial" w:cs="Arial"/>
          <w:b/>
          <w:i/>
          <w:color w:val="FF0000"/>
          <w:sz w:val="16"/>
          <w:szCs w:val="16"/>
          <w:lang w:val="es-ES"/>
        </w:rPr>
      </w:pPr>
    </w:p>
    <w:p w:rsidR="006312E8" w:rsidRPr="00381192" w:rsidRDefault="006312E8" w:rsidP="006312E8">
      <w:pPr>
        <w:spacing w:after="0" w:line="240" w:lineRule="auto"/>
        <w:ind w:left="1134"/>
        <w:jc w:val="both"/>
        <w:rPr>
          <w:rFonts w:ascii="Arial" w:eastAsia="Calibri" w:hAnsi="Arial" w:cs="Arial"/>
          <w:b/>
          <w:color w:val="FF0000"/>
          <w:sz w:val="16"/>
          <w:szCs w:val="16"/>
          <w:lang w:val="es-ES"/>
        </w:rPr>
      </w:pPr>
      <w:r w:rsidRPr="00381192">
        <w:rPr>
          <w:rFonts w:ascii="Arial" w:eastAsia="Calibri" w:hAnsi="Arial" w:cs="Arial"/>
          <w:b/>
          <w:color w:val="FF0000"/>
          <w:sz w:val="16"/>
          <w:szCs w:val="16"/>
          <w:lang w:val="es-ES"/>
        </w:rPr>
        <w:t>(*) Inciso modificado por el Artículo 1 del Decreto Supremo Nº 013-2012-VIVIENDA, publicado el 03 junio 2012</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6312E8">
      <w:pPr>
        <w:numPr>
          <w:ilvl w:val="0"/>
          <w:numId w:val="26"/>
        </w:numPr>
        <w:spacing w:after="0" w:line="240" w:lineRule="auto"/>
        <w:contextualSpacing/>
        <w:jc w:val="both"/>
        <w:rPr>
          <w:rFonts w:ascii="Arial" w:eastAsia="Calibri" w:hAnsi="Arial" w:cs="Arial"/>
          <w:lang w:val="es-ES"/>
        </w:rPr>
      </w:pPr>
      <w:r w:rsidRPr="006312E8">
        <w:rPr>
          <w:rFonts w:ascii="Arial" w:eastAsia="Calibri" w:hAnsi="Arial" w:cs="Arial"/>
          <w:lang w:val="es-ES"/>
        </w:rPr>
        <w:t>Otorgar la conformidad para el levantamiento de la reserva y posterior transferencia en propiedad del Estado, de los inmuebles reservados para fines de Defensa Nacional, previo informe técnico - legal sobre la situación de dichos bienes.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709" w:hanging="425"/>
        <w:jc w:val="both"/>
        <w:rPr>
          <w:rFonts w:ascii="Arial" w:eastAsia="Calibri" w:hAnsi="Arial" w:cs="Arial"/>
          <w:b/>
          <w:lang w:val="es-ES"/>
        </w:rPr>
      </w:pPr>
      <w:r w:rsidRPr="006312E8">
        <w:rPr>
          <w:rFonts w:ascii="Arial" w:eastAsia="Calibri" w:hAnsi="Arial" w:cs="Arial"/>
          <w:b/>
          <w:lang w:val="es-ES"/>
        </w:rPr>
        <w:t xml:space="preserve">9.4 </w:t>
      </w:r>
      <w:r w:rsidRPr="006312E8">
        <w:rPr>
          <w:rFonts w:ascii="Arial" w:eastAsia="Calibri" w:hAnsi="Arial" w:cs="Arial"/>
          <w:b/>
          <w:lang w:val="es-ES"/>
        </w:rPr>
        <w:tab/>
        <w:t>De decisión, a través del Órgano de Revisión de la Propiedad Estatal: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numPr>
          <w:ilvl w:val="0"/>
          <w:numId w:val="27"/>
        </w:numPr>
        <w:spacing w:after="0" w:line="240" w:lineRule="auto"/>
        <w:contextualSpacing/>
        <w:jc w:val="both"/>
        <w:rPr>
          <w:rFonts w:ascii="Arial" w:eastAsia="Calibri" w:hAnsi="Arial" w:cs="Arial"/>
          <w:lang w:val="es-ES"/>
        </w:rPr>
      </w:pPr>
      <w:r w:rsidRPr="006312E8">
        <w:rPr>
          <w:rFonts w:ascii="Arial" w:eastAsia="Calibri" w:hAnsi="Arial" w:cs="Arial"/>
          <w:lang w:val="es-ES"/>
        </w:rPr>
        <w:t>Resolver como última instancia administrativa los conflictos sobre bienes de propiedad estatal que surjan entre las entidades.</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6312E8">
      <w:pPr>
        <w:numPr>
          <w:ilvl w:val="0"/>
          <w:numId w:val="27"/>
        </w:numPr>
        <w:spacing w:after="0" w:line="240" w:lineRule="auto"/>
        <w:contextualSpacing/>
        <w:jc w:val="both"/>
        <w:rPr>
          <w:rFonts w:ascii="Arial" w:eastAsia="Calibri" w:hAnsi="Arial" w:cs="Arial"/>
          <w:lang w:val="es-ES"/>
        </w:rPr>
      </w:pPr>
      <w:r w:rsidRPr="006312E8">
        <w:rPr>
          <w:rFonts w:ascii="Arial" w:eastAsia="Calibri" w:hAnsi="Arial" w:cs="Arial"/>
          <w:lang w:val="es-ES"/>
        </w:rPr>
        <w:t>Emitir pronunciamientos institucionales que constituyen precedentes en casos de similar naturaleza.</w:t>
      </w:r>
    </w:p>
    <w:p w:rsidR="006312E8" w:rsidRPr="006312E8" w:rsidRDefault="006312E8" w:rsidP="006312E8">
      <w:pPr>
        <w:spacing w:after="0" w:line="240" w:lineRule="auto"/>
        <w:ind w:left="709" w:hanging="425"/>
        <w:jc w:val="both"/>
        <w:rPr>
          <w:rFonts w:ascii="Arial" w:eastAsia="Calibri" w:hAnsi="Arial" w:cs="Arial"/>
          <w:b/>
          <w:lang w:val="es-ES"/>
        </w:rPr>
      </w:pPr>
    </w:p>
    <w:p w:rsidR="006312E8" w:rsidRPr="006312E8" w:rsidRDefault="006312E8" w:rsidP="006312E8">
      <w:pPr>
        <w:spacing w:after="0" w:line="240" w:lineRule="auto"/>
        <w:ind w:left="709" w:hanging="425"/>
        <w:jc w:val="both"/>
        <w:rPr>
          <w:rFonts w:ascii="Arial" w:eastAsia="Calibri" w:hAnsi="Arial" w:cs="Arial"/>
          <w:b/>
          <w:lang w:val="es-ES"/>
        </w:rPr>
      </w:pPr>
      <w:r w:rsidRPr="006312E8">
        <w:rPr>
          <w:rFonts w:ascii="Arial" w:eastAsia="Calibri" w:hAnsi="Arial" w:cs="Arial"/>
          <w:b/>
          <w:lang w:val="es-ES"/>
        </w:rPr>
        <w:t xml:space="preserve">9.5 </w:t>
      </w:r>
      <w:r w:rsidRPr="006312E8">
        <w:rPr>
          <w:rFonts w:ascii="Arial" w:eastAsia="Calibri" w:hAnsi="Arial" w:cs="Arial"/>
          <w:b/>
          <w:lang w:val="es-ES"/>
        </w:rPr>
        <w:tab/>
        <w:t>De registro: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numPr>
          <w:ilvl w:val="0"/>
          <w:numId w:val="28"/>
        </w:numPr>
        <w:spacing w:after="0" w:line="240" w:lineRule="auto"/>
        <w:contextualSpacing/>
        <w:jc w:val="both"/>
        <w:rPr>
          <w:rFonts w:ascii="Arial" w:eastAsia="Calibri" w:hAnsi="Arial" w:cs="Arial"/>
          <w:lang w:val="es-ES"/>
        </w:rPr>
      </w:pPr>
      <w:r w:rsidRPr="006312E8">
        <w:rPr>
          <w:rFonts w:ascii="Arial" w:eastAsia="Calibri" w:hAnsi="Arial" w:cs="Arial"/>
          <w:lang w:val="es-ES"/>
        </w:rPr>
        <w:t>Organizar y conducir el SINABIP que contiene el registro administrativo de carácter único y obligatorio de los bienes estatales.</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6312E8">
      <w:pPr>
        <w:numPr>
          <w:ilvl w:val="0"/>
          <w:numId w:val="28"/>
        </w:numPr>
        <w:spacing w:after="0" w:line="240" w:lineRule="auto"/>
        <w:contextualSpacing/>
        <w:jc w:val="both"/>
        <w:rPr>
          <w:rFonts w:ascii="Arial" w:eastAsia="Calibri" w:hAnsi="Arial" w:cs="Arial"/>
          <w:lang w:val="es-ES"/>
        </w:rPr>
      </w:pPr>
      <w:r w:rsidRPr="006312E8">
        <w:rPr>
          <w:rFonts w:ascii="Arial" w:eastAsia="Calibri" w:hAnsi="Arial" w:cs="Arial"/>
          <w:lang w:val="es-ES"/>
        </w:rPr>
        <w:t>Registrar y/o actualizar en el SINABIP la información que de forma obligatoria remitan las entidades sobre los bienes estatales, bajo su competencia directa.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28"/>
        </w:numPr>
        <w:spacing w:after="0" w:line="240" w:lineRule="auto"/>
        <w:contextualSpacing/>
        <w:jc w:val="both"/>
        <w:rPr>
          <w:rFonts w:ascii="Arial" w:eastAsia="Calibri" w:hAnsi="Arial" w:cs="Arial"/>
          <w:lang w:val="es-ES"/>
        </w:rPr>
      </w:pPr>
      <w:r w:rsidRPr="006312E8">
        <w:rPr>
          <w:rFonts w:ascii="Arial" w:eastAsia="Calibri" w:hAnsi="Arial" w:cs="Arial"/>
          <w:lang w:val="es-ES"/>
        </w:rPr>
        <w:t>Administrar la información contenida en el SINABIP.</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28"/>
        </w:numPr>
        <w:spacing w:after="0" w:line="240" w:lineRule="auto"/>
        <w:contextualSpacing/>
        <w:jc w:val="both"/>
        <w:rPr>
          <w:rFonts w:ascii="Arial" w:eastAsia="Calibri" w:hAnsi="Arial" w:cs="Arial"/>
          <w:lang w:val="es-ES"/>
        </w:rPr>
      </w:pPr>
      <w:r w:rsidRPr="006312E8">
        <w:rPr>
          <w:rFonts w:ascii="Arial" w:eastAsia="Calibri" w:hAnsi="Arial" w:cs="Arial"/>
          <w:lang w:val="es-ES"/>
        </w:rPr>
        <w:t>Brindar información contenida en el SINABIP a las entidades que así lo soliciten y a los particulares con las limitaciones establecidas en la Ley Nº 27806, Ley de Transparencia y Acceso a la Información Pública.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709" w:hanging="425"/>
        <w:jc w:val="both"/>
        <w:rPr>
          <w:rFonts w:ascii="Arial" w:eastAsia="Calibri" w:hAnsi="Arial" w:cs="Arial"/>
          <w:b/>
          <w:lang w:val="es-ES"/>
        </w:rPr>
      </w:pPr>
      <w:r w:rsidRPr="006312E8">
        <w:rPr>
          <w:rFonts w:ascii="Arial" w:eastAsia="Calibri" w:hAnsi="Arial" w:cs="Arial"/>
          <w:b/>
          <w:lang w:val="es-ES"/>
        </w:rPr>
        <w:t xml:space="preserve">9.6 </w:t>
      </w:r>
      <w:r w:rsidRPr="006312E8">
        <w:rPr>
          <w:rFonts w:ascii="Arial" w:eastAsia="Calibri" w:hAnsi="Arial" w:cs="Arial"/>
          <w:b/>
          <w:lang w:val="es-ES"/>
        </w:rPr>
        <w:tab/>
        <w:t>De la capacitación: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709"/>
        <w:jc w:val="both"/>
        <w:rPr>
          <w:rFonts w:ascii="Arial" w:eastAsia="Calibri" w:hAnsi="Arial" w:cs="Arial"/>
          <w:lang w:val="es-ES"/>
        </w:rPr>
      </w:pPr>
      <w:r w:rsidRPr="006312E8">
        <w:rPr>
          <w:rFonts w:ascii="Arial" w:eastAsia="Calibri" w:hAnsi="Arial" w:cs="Arial"/>
          <w:lang w:val="es-ES"/>
        </w:rPr>
        <w:t>Brindar capacitación permanente al personal a cargo de la administración de los bienes estatales, conforme al Plan Anual de Capacitación sobre Propiedad Estatal que apruebe por Resolución de SBN.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bookmarkStart w:id="35" w:name="_Toc392856129"/>
      <w:bookmarkStart w:id="36" w:name="_Toc399335402"/>
      <w:r w:rsidRPr="006312E8">
        <w:rPr>
          <w:rFonts w:ascii="Arial" w:eastAsia="Calibri" w:hAnsi="Arial" w:cs="Arial"/>
          <w:b/>
          <w:lang w:val="es-ES"/>
        </w:rPr>
        <w:t>CAPÍTULO III</w:t>
      </w:r>
      <w:bookmarkEnd w:id="35"/>
      <w:bookmarkEnd w:id="36"/>
    </w:p>
    <w:p w:rsidR="006312E8" w:rsidRPr="006312E8" w:rsidRDefault="006312E8" w:rsidP="006312E8">
      <w:pPr>
        <w:spacing w:after="0" w:line="240" w:lineRule="auto"/>
        <w:jc w:val="center"/>
        <w:rPr>
          <w:rFonts w:ascii="Arial" w:eastAsia="Calibri" w:hAnsi="Arial" w:cs="Arial"/>
          <w:b/>
          <w:lang w:val="es-ES"/>
        </w:rPr>
      </w:pPr>
      <w:bookmarkStart w:id="37" w:name="_Toc392856130"/>
      <w:bookmarkStart w:id="38" w:name="_Toc399335403"/>
      <w:r w:rsidRPr="006312E8">
        <w:rPr>
          <w:rFonts w:ascii="Arial" w:eastAsia="Calibri" w:hAnsi="Arial" w:cs="Arial"/>
          <w:b/>
          <w:lang w:val="es-ES"/>
        </w:rPr>
        <w:t>INTERRELACION DEL ENTE RECTOR CON LAS DEMAS ENTIDADES</w:t>
      </w:r>
      <w:bookmarkEnd w:id="37"/>
      <w:bookmarkEnd w:id="38"/>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10.- Funciones, atribuciones y obligaciones de las entidades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Son funciones, atribuciones y obligaciones de las entidades, las siguientes: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numPr>
          <w:ilvl w:val="0"/>
          <w:numId w:val="29"/>
        </w:numPr>
        <w:spacing w:after="0" w:line="240" w:lineRule="auto"/>
        <w:contextualSpacing/>
        <w:jc w:val="both"/>
        <w:rPr>
          <w:rFonts w:ascii="Arial" w:eastAsia="Calibri" w:hAnsi="Arial" w:cs="Arial"/>
          <w:lang w:val="es-ES"/>
        </w:rPr>
      </w:pPr>
      <w:r w:rsidRPr="006312E8">
        <w:rPr>
          <w:rFonts w:ascii="Arial" w:eastAsia="Calibri" w:hAnsi="Arial" w:cs="Arial"/>
          <w:lang w:val="es-ES"/>
        </w:rPr>
        <w:t>Identificar los bienes de su propiedad y los que se encuentren bajo su administración.</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6312E8">
      <w:pPr>
        <w:numPr>
          <w:ilvl w:val="0"/>
          <w:numId w:val="29"/>
        </w:numPr>
        <w:spacing w:after="0" w:line="240" w:lineRule="auto"/>
        <w:contextualSpacing/>
        <w:jc w:val="both"/>
        <w:rPr>
          <w:rFonts w:ascii="Arial" w:eastAsia="Calibri" w:hAnsi="Arial" w:cs="Arial"/>
          <w:lang w:val="es-ES"/>
        </w:rPr>
      </w:pPr>
      <w:r w:rsidRPr="006312E8">
        <w:rPr>
          <w:rFonts w:ascii="Arial" w:eastAsia="Calibri" w:hAnsi="Arial" w:cs="Arial"/>
          <w:lang w:val="es-ES"/>
        </w:rPr>
        <w:t>Realizar inspecciones técnicas de sus bienes y de los que se encuentran bajo su administración para verificar el uso y destino a fin de lograr una eficiente gestión de los mismos.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29"/>
        </w:numPr>
        <w:spacing w:after="0" w:line="240" w:lineRule="auto"/>
        <w:contextualSpacing/>
        <w:jc w:val="both"/>
        <w:rPr>
          <w:rFonts w:ascii="Arial" w:eastAsia="Calibri" w:hAnsi="Arial" w:cs="Arial"/>
          <w:lang w:val="es-ES"/>
        </w:rPr>
      </w:pPr>
      <w:r w:rsidRPr="006312E8">
        <w:rPr>
          <w:rFonts w:ascii="Arial" w:eastAsia="Calibri" w:hAnsi="Arial" w:cs="Arial"/>
          <w:lang w:val="es-ES"/>
        </w:rPr>
        <w:t>Procurar que los bienes inmuebles de su propiedad o los que estén a su cargo, mantengan o incrementen su valor de acuerdo a la finalidad asignada.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29"/>
        </w:numPr>
        <w:spacing w:after="0" w:line="240" w:lineRule="auto"/>
        <w:contextualSpacing/>
        <w:jc w:val="both"/>
        <w:rPr>
          <w:rFonts w:ascii="Arial" w:eastAsia="Calibri" w:hAnsi="Arial" w:cs="Arial"/>
          <w:lang w:val="es-ES"/>
        </w:rPr>
      </w:pPr>
      <w:r w:rsidRPr="006312E8">
        <w:rPr>
          <w:rFonts w:ascii="Arial" w:eastAsia="Calibri" w:hAnsi="Arial" w:cs="Arial"/>
          <w:lang w:val="es-ES"/>
        </w:rPr>
        <w:t>Efectuar el diagnóstico de la situación técnica y legal de sus bienes y de los que se encuentran bajo su administración, ejecutando cuando corresponda, las acciones de saneamiento técnico y legal de los mismos, de acuerdo a la normatividad vigente.</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29"/>
        </w:numPr>
        <w:spacing w:after="0" w:line="240" w:lineRule="auto"/>
        <w:contextualSpacing/>
        <w:jc w:val="both"/>
        <w:rPr>
          <w:rFonts w:ascii="Arial" w:eastAsia="Calibri" w:hAnsi="Arial" w:cs="Arial"/>
          <w:lang w:val="es-ES"/>
        </w:rPr>
      </w:pPr>
      <w:r w:rsidRPr="006312E8">
        <w:rPr>
          <w:rFonts w:ascii="Arial" w:eastAsia="Calibri" w:hAnsi="Arial" w:cs="Arial"/>
          <w:lang w:val="es-ES"/>
        </w:rPr>
        <w:t>Remitir y/o actualizar la información sobre los bienes de su propiedad o los que se encuentren bajo su administración, para su incorporación en el SINABIP.</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29"/>
        </w:numPr>
        <w:spacing w:after="0" w:line="240" w:lineRule="auto"/>
        <w:contextualSpacing/>
        <w:jc w:val="both"/>
        <w:rPr>
          <w:rFonts w:ascii="Arial" w:eastAsia="Calibri" w:hAnsi="Arial" w:cs="Arial"/>
          <w:lang w:val="es-ES"/>
        </w:rPr>
      </w:pPr>
      <w:r w:rsidRPr="006312E8">
        <w:rPr>
          <w:rFonts w:ascii="Arial" w:eastAsia="Calibri" w:hAnsi="Arial" w:cs="Arial"/>
          <w:lang w:val="es-ES"/>
        </w:rPr>
        <w:t>Poner a disposición de los Gobiernos Regionales o de la SBN, según corresponda, a través de la transferencia de dominio a favor del Estado u otro procedimiento que resulte pertinente, los bienes que no resulten de utilidad para la finalidad asignada o aquellos que se encuentren en estado de abandono, en el marco de la aplicación de una política del uso racional de los bienes y gestión inmobiliaria eficiente. (*)</w:t>
      </w:r>
    </w:p>
    <w:p w:rsidR="006312E8" w:rsidRPr="006312E8" w:rsidRDefault="006312E8" w:rsidP="006312E8">
      <w:pPr>
        <w:spacing w:after="200" w:line="276" w:lineRule="auto"/>
        <w:ind w:left="1134"/>
        <w:contextualSpacing/>
        <w:jc w:val="both"/>
        <w:rPr>
          <w:rFonts w:ascii="Arial" w:eastAsia="Calibri" w:hAnsi="Arial" w:cs="Arial"/>
          <w:b/>
          <w:color w:val="FF0000"/>
          <w:sz w:val="16"/>
          <w:szCs w:val="16"/>
          <w:lang w:val="es-ES"/>
        </w:rPr>
      </w:pPr>
    </w:p>
    <w:p w:rsidR="006312E8" w:rsidRPr="006312E8" w:rsidRDefault="006312E8" w:rsidP="006312E8">
      <w:pPr>
        <w:spacing w:after="200" w:line="276" w:lineRule="auto"/>
        <w:ind w:left="1134"/>
        <w:contextualSpacing/>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Inciso modificado por el Artículo 1 del Decreto Supremo Nº 013-2012- VIVIENDA, publicado el 03 junio 2012</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29"/>
        </w:numPr>
        <w:spacing w:after="0" w:line="240" w:lineRule="auto"/>
        <w:contextualSpacing/>
        <w:jc w:val="both"/>
        <w:rPr>
          <w:rFonts w:ascii="Arial" w:eastAsia="Calibri" w:hAnsi="Arial" w:cs="Arial"/>
          <w:lang w:val="es-ES"/>
        </w:rPr>
      </w:pPr>
      <w:r w:rsidRPr="006312E8">
        <w:rPr>
          <w:rFonts w:ascii="Arial" w:eastAsia="Calibri" w:hAnsi="Arial" w:cs="Arial"/>
          <w:lang w:val="es-ES"/>
        </w:rPr>
        <w:t>Aprobar los actos de saneamiento, adquisición y administración de sus bienes, organizando los expedientes sustentatorios correspondientes, procurando el mejor aprovechamiento económico y social de los mismos.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29"/>
        </w:numPr>
        <w:spacing w:after="0" w:line="240" w:lineRule="auto"/>
        <w:contextualSpacing/>
        <w:jc w:val="both"/>
        <w:rPr>
          <w:rFonts w:ascii="Arial" w:eastAsia="Calibri" w:hAnsi="Arial" w:cs="Arial"/>
          <w:lang w:val="es-ES"/>
        </w:rPr>
      </w:pPr>
      <w:r w:rsidRPr="006312E8">
        <w:rPr>
          <w:rFonts w:ascii="Arial" w:eastAsia="Calibri" w:hAnsi="Arial" w:cs="Arial"/>
          <w:lang w:val="es-ES"/>
        </w:rPr>
        <w:t>Disponer de sus bienes, previa opinión técnica de la SBN, de acuerdo a lo regulado en el Reglamento y con las excepciones señaladas en la Ley y demás normas sobre la materia.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29"/>
        </w:numPr>
        <w:spacing w:after="0" w:line="240" w:lineRule="auto"/>
        <w:contextualSpacing/>
        <w:jc w:val="both"/>
        <w:rPr>
          <w:rFonts w:ascii="Arial" w:eastAsia="Calibri" w:hAnsi="Arial" w:cs="Arial"/>
          <w:lang w:val="es-ES"/>
        </w:rPr>
      </w:pPr>
      <w:r w:rsidRPr="006312E8">
        <w:rPr>
          <w:rFonts w:ascii="Arial" w:eastAsia="Calibri" w:hAnsi="Arial" w:cs="Arial"/>
          <w:lang w:val="es-ES"/>
        </w:rPr>
        <w:t>Contratar Pólizas de Seguros para los bienes de su propiedad y los que se encuentren bajo su administración, conforme a la prioridad y disponibilidad presupuestal.</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29"/>
        </w:numPr>
        <w:spacing w:after="0" w:line="240" w:lineRule="auto"/>
        <w:contextualSpacing/>
        <w:jc w:val="both"/>
        <w:rPr>
          <w:rFonts w:ascii="Arial" w:eastAsia="Calibri" w:hAnsi="Arial" w:cs="Arial"/>
          <w:lang w:val="es-ES"/>
        </w:rPr>
      </w:pPr>
      <w:r w:rsidRPr="006312E8">
        <w:rPr>
          <w:rFonts w:ascii="Arial" w:eastAsia="Calibri" w:hAnsi="Arial" w:cs="Arial"/>
          <w:lang w:val="es-ES"/>
        </w:rPr>
        <w:t>Aprobar el Alta y la Baja de sus bienes.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29"/>
        </w:numPr>
        <w:spacing w:after="0" w:line="240" w:lineRule="auto"/>
        <w:contextualSpacing/>
        <w:jc w:val="both"/>
        <w:rPr>
          <w:rFonts w:ascii="Arial" w:eastAsia="Calibri" w:hAnsi="Arial" w:cs="Arial"/>
          <w:lang w:val="es-ES"/>
        </w:rPr>
      </w:pPr>
      <w:r w:rsidRPr="006312E8">
        <w:rPr>
          <w:rFonts w:ascii="Arial" w:eastAsia="Calibri" w:hAnsi="Arial" w:cs="Arial"/>
          <w:lang w:val="es-ES"/>
        </w:rPr>
        <w:t>Realizar las demás acciones vinculadas a bienes muebles, tales como:</w:t>
      </w:r>
    </w:p>
    <w:p w:rsidR="006312E8" w:rsidRPr="006312E8" w:rsidRDefault="006312E8" w:rsidP="006312E8">
      <w:pPr>
        <w:spacing w:after="0" w:line="240" w:lineRule="auto"/>
        <w:ind w:left="1134"/>
        <w:jc w:val="both"/>
        <w:rPr>
          <w:rFonts w:ascii="Arial" w:eastAsia="Calibri" w:hAnsi="Arial" w:cs="Arial"/>
          <w:lang w:val="es-ES"/>
        </w:rPr>
      </w:pPr>
      <w:r w:rsidRPr="006312E8">
        <w:rPr>
          <w:rFonts w:ascii="Arial" w:eastAsia="Calibri" w:hAnsi="Arial" w:cs="Arial"/>
          <w:lang w:val="es-ES"/>
        </w:rPr>
        <w:t>k.1) Aprobar los actos de adquisición, administración y disposición.</w:t>
      </w:r>
    </w:p>
    <w:p w:rsidR="006312E8" w:rsidRPr="006312E8" w:rsidRDefault="006312E8" w:rsidP="006312E8">
      <w:pPr>
        <w:spacing w:after="0" w:line="240" w:lineRule="auto"/>
        <w:ind w:left="1701" w:hanging="567"/>
        <w:jc w:val="both"/>
        <w:rPr>
          <w:rFonts w:ascii="Arial" w:eastAsia="Calibri" w:hAnsi="Arial" w:cs="Arial"/>
          <w:lang w:val="es-ES"/>
        </w:rPr>
      </w:pPr>
      <w:r w:rsidRPr="006312E8">
        <w:rPr>
          <w:rFonts w:ascii="Arial" w:eastAsia="Calibri" w:hAnsi="Arial" w:cs="Arial"/>
          <w:lang w:val="es-ES"/>
        </w:rPr>
        <w:t>k.2) Organizar y presidir los actos mediante los cuales se dispone su enajenación.</w:t>
      </w:r>
    </w:p>
    <w:p w:rsidR="006312E8" w:rsidRPr="006312E8" w:rsidRDefault="006312E8" w:rsidP="006312E8">
      <w:pPr>
        <w:spacing w:after="0" w:line="240" w:lineRule="auto"/>
        <w:ind w:left="1134"/>
        <w:jc w:val="both"/>
        <w:rPr>
          <w:rFonts w:ascii="Arial" w:eastAsia="Calibri" w:hAnsi="Arial" w:cs="Arial"/>
          <w:lang w:val="es-ES"/>
        </w:rPr>
      </w:pPr>
      <w:r w:rsidRPr="006312E8">
        <w:rPr>
          <w:rFonts w:ascii="Arial" w:eastAsia="Calibri" w:hAnsi="Arial" w:cs="Arial"/>
          <w:lang w:val="es-ES"/>
        </w:rPr>
        <w:t>k.3) Codificarlos.</w:t>
      </w:r>
    </w:p>
    <w:p w:rsidR="006312E8" w:rsidRPr="006312E8" w:rsidRDefault="006312E8" w:rsidP="006312E8">
      <w:pPr>
        <w:spacing w:after="0" w:line="240" w:lineRule="auto"/>
        <w:ind w:left="1134"/>
        <w:jc w:val="both"/>
        <w:rPr>
          <w:rFonts w:ascii="Arial" w:eastAsia="Calibri" w:hAnsi="Arial" w:cs="Arial"/>
          <w:lang w:val="es-ES"/>
        </w:rPr>
      </w:pPr>
      <w:r w:rsidRPr="006312E8">
        <w:rPr>
          <w:rFonts w:ascii="Arial" w:eastAsia="Calibri" w:hAnsi="Arial" w:cs="Arial"/>
          <w:lang w:val="es-ES"/>
        </w:rPr>
        <w:t>k.4) Realizar Inventarios Anuales.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29"/>
        </w:numPr>
        <w:spacing w:after="0" w:line="240" w:lineRule="auto"/>
        <w:contextualSpacing/>
        <w:jc w:val="both"/>
        <w:rPr>
          <w:rFonts w:ascii="Arial" w:eastAsia="Calibri" w:hAnsi="Arial" w:cs="Arial"/>
          <w:lang w:val="es-ES"/>
        </w:rPr>
      </w:pPr>
      <w:r w:rsidRPr="006312E8">
        <w:rPr>
          <w:rFonts w:ascii="Arial" w:eastAsia="Calibri" w:hAnsi="Arial" w:cs="Arial"/>
          <w:lang w:val="es-ES"/>
        </w:rPr>
        <w:t>Aplicar sanciones administrativas al personal que incumpla la normatividad sobre el SNBE, de acuerdo las normas de la materia.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29"/>
        </w:numPr>
        <w:spacing w:after="0" w:line="240" w:lineRule="auto"/>
        <w:contextualSpacing/>
        <w:jc w:val="both"/>
        <w:rPr>
          <w:rFonts w:ascii="Arial" w:eastAsia="Calibri" w:hAnsi="Arial" w:cs="Arial"/>
          <w:lang w:val="es-ES"/>
        </w:rPr>
      </w:pPr>
      <w:r w:rsidRPr="006312E8">
        <w:rPr>
          <w:rFonts w:ascii="Arial" w:eastAsia="Calibri" w:hAnsi="Arial" w:cs="Arial"/>
          <w:lang w:val="es-ES"/>
        </w:rPr>
        <w:t>Formular denuncias ante las autoridades correspondientes por el uso indebido o pérdida de sus bienes y de los que se encuentren bajo su administración.</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29"/>
        </w:numPr>
        <w:spacing w:after="0" w:line="240" w:lineRule="auto"/>
        <w:contextualSpacing/>
        <w:jc w:val="both"/>
        <w:rPr>
          <w:rFonts w:ascii="Arial" w:eastAsia="Calibri" w:hAnsi="Arial" w:cs="Arial"/>
          <w:lang w:val="es-ES"/>
        </w:rPr>
      </w:pPr>
      <w:r w:rsidRPr="006312E8">
        <w:rPr>
          <w:rFonts w:ascii="Arial" w:eastAsia="Calibri" w:hAnsi="Arial" w:cs="Arial"/>
          <w:lang w:val="es-ES"/>
        </w:rPr>
        <w:t>Realizar consultas a la SBN sobre la aplicación o interpretación de las normas sobre adquisición, registro, supervisión, administración y disposición de los bienes estatales.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29"/>
        </w:numPr>
        <w:spacing w:after="0" w:line="240" w:lineRule="auto"/>
        <w:contextualSpacing/>
        <w:jc w:val="both"/>
        <w:rPr>
          <w:rFonts w:ascii="Arial" w:eastAsia="Calibri" w:hAnsi="Arial" w:cs="Arial"/>
          <w:lang w:val="es-ES"/>
        </w:rPr>
      </w:pPr>
      <w:r w:rsidRPr="006312E8">
        <w:rPr>
          <w:rFonts w:ascii="Arial" w:eastAsia="Calibri" w:hAnsi="Arial" w:cs="Arial"/>
          <w:lang w:val="es-ES"/>
        </w:rPr>
        <w:t>Las demás que establezca la normatividad vigente.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127" w:hanging="2127"/>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6312E8">
      <w:pPr>
        <w:numPr>
          <w:ilvl w:val="0"/>
          <w:numId w:val="42"/>
        </w:numPr>
        <w:spacing w:after="0" w:line="240" w:lineRule="auto"/>
        <w:jc w:val="both"/>
        <w:rPr>
          <w:rFonts w:ascii="Arial" w:eastAsia="Calibri" w:hAnsi="Arial" w:cs="Arial"/>
          <w:sz w:val="16"/>
          <w:szCs w:val="16"/>
        </w:rPr>
      </w:pPr>
      <w:hyperlink w:anchor="DS0162010" w:history="1">
        <w:r w:rsidR="006312E8" w:rsidRPr="006312E8">
          <w:rPr>
            <w:rFonts w:ascii="Arial" w:eastAsia="Calibri" w:hAnsi="Arial" w:cs="Arial"/>
            <w:b/>
            <w:color w:val="0000FF"/>
            <w:sz w:val="16"/>
            <w:szCs w:val="16"/>
            <w:u w:val="single"/>
          </w:rPr>
          <w:t>Decreto Supremo Nº 016-2010-VIVIENDA</w:t>
        </w:r>
      </w:hyperlink>
      <w:r w:rsidR="006312E8" w:rsidRPr="006312E8">
        <w:rPr>
          <w:rFonts w:ascii="Arial" w:eastAsia="Calibri" w:hAnsi="Arial" w:cs="Arial"/>
          <w:b/>
          <w:color w:val="4F6228"/>
          <w:sz w:val="16"/>
          <w:szCs w:val="16"/>
        </w:rPr>
        <w:t xml:space="preserve"> (art. 49)</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11.- De la Unidad Orgánica responsable del control patrimonial</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planificación, coordinación y ejecución de las acciones referidas al registro, administración, supervisión y disposición de los bienes de propiedad de la entidad y de los que se encuentren bajo su administración, son de responsabilidad de la Unidad Orgánica existente para tal fin.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12.- Vinculación con los Gobiernos Locales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Los actos que realizan los Gobiernos Locales respecto de los bienes de su propiedad y los de dominio público que se encuentran bajo su administración, se rigen por las disposiciones de la Ley Nº 27972, Ley Orgánica de Municipalidades, así como por la Ley y el Reglamento, en lo que fuere aplicable, debiendo registrar y/o actualizar la información de los referidos bienes en el SINABIP.</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 xml:space="preserve">CONCORDANCIAS: </w:t>
      </w:r>
      <w:r w:rsidRPr="006312E8">
        <w:rPr>
          <w:rFonts w:ascii="Arial" w:eastAsia="Calibri" w:hAnsi="Arial" w:cs="Arial"/>
          <w:b/>
          <w:color w:val="4F6228"/>
          <w:sz w:val="16"/>
          <w:szCs w:val="16"/>
        </w:rPr>
        <w:tab/>
      </w:r>
    </w:p>
    <w:p w:rsidR="006312E8" w:rsidRPr="006312E8" w:rsidRDefault="000A5EA6" w:rsidP="006312E8">
      <w:pPr>
        <w:numPr>
          <w:ilvl w:val="0"/>
          <w:numId w:val="42"/>
        </w:numPr>
        <w:spacing w:after="0" w:line="240" w:lineRule="auto"/>
        <w:jc w:val="both"/>
        <w:rPr>
          <w:rFonts w:ascii="Arial" w:eastAsia="Calibri" w:hAnsi="Arial" w:cs="Arial"/>
          <w:b/>
          <w:color w:val="4F6228"/>
          <w:sz w:val="16"/>
          <w:szCs w:val="16"/>
        </w:rPr>
      </w:pPr>
      <w:hyperlink w:anchor="LEY27972" w:history="1">
        <w:r w:rsidR="006312E8" w:rsidRPr="006312E8">
          <w:rPr>
            <w:rFonts w:ascii="Arial" w:eastAsia="Calibri" w:hAnsi="Arial" w:cs="Arial"/>
            <w:b/>
            <w:color w:val="4F6228"/>
            <w:sz w:val="16"/>
            <w:szCs w:val="16"/>
          </w:rPr>
          <w:t>Ley Nº 27972</w:t>
        </w:r>
      </w:hyperlink>
      <w:r w:rsidR="006312E8" w:rsidRPr="006312E8">
        <w:rPr>
          <w:rFonts w:ascii="Arial" w:eastAsia="Calibri" w:hAnsi="Arial" w:cs="Arial"/>
          <w:b/>
          <w:color w:val="4F6228"/>
          <w:sz w:val="16"/>
          <w:szCs w:val="16"/>
        </w:rPr>
        <w:t xml:space="preserve"> (art. 59)</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13.- Vinculación con las empresas estatales y municipales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Los actos que realizan las empresas estatales de derecho público y las empresas municipales respecto de los bienes de su propiedad se rigen por sus leyes de creación y demás normas legales sobre la materia, encontrándose obligadas a remitir a la SBN la información de los referidos bienes para su registro en el SINABIP.</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Ley y el Reglamento no son de aplicación a las empresas estatales de derecho privado, salvo las disposiciones establecidas en los artículos 66 y 67 del presente Reglamento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Artículo modificado por el Artículo 1 del Decreto Supremo Nº 009-2013-VIVIENDA, publicado el 01 agosto 2013</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14.- Vinculación con las universidades públicas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Los actos que realizan las universidades públicas respecto de los bienes de su propiedad se rigen por la Ley Nº 23733, Ley Universitaria y, en su defecto, por la Ley y el Reglamento, en lo que fuere aplicable, debiendo remitir a los Gobiernos Regionales o a la SBN la información de los referidos bienes para su registro en el SINABIP, conforme a las directivas que emita el Ente Rector.</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6312E8" w:rsidP="006312E8">
      <w:pPr>
        <w:numPr>
          <w:ilvl w:val="0"/>
          <w:numId w:val="42"/>
        </w:numPr>
        <w:spacing w:after="0" w:line="240" w:lineRule="auto"/>
        <w:jc w:val="both"/>
        <w:rPr>
          <w:rFonts w:ascii="Arial" w:eastAsia="Calibri" w:hAnsi="Arial" w:cs="Arial"/>
          <w:color w:val="4F6228"/>
          <w:sz w:val="16"/>
          <w:szCs w:val="16"/>
          <w:lang w:val="en-US"/>
        </w:rPr>
      </w:pPr>
      <w:r w:rsidRPr="006312E8">
        <w:rPr>
          <w:rFonts w:ascii="Arial" w:eastAsia="Calibri" w:hAnsi="Arial" w:cs="Arial"/>
          <w:b/>
          <w:color w:val="4F6228"/>
          <w:sz w:val="16"/>
          <w:szCs w:val="16"/>
          <w:lang w:val="en-US"/>
        </w:rPr>
        <w:t xml:space="preserve">Ley Nº 30220 </w:t>
      </w:r>
    </w:p>
    <w:p w:rsidR="006312E8" w:rsidRPr="006312E8" w:rsidRDefault="006312E8" w:rsidP="006312E8">
      <w:pPr>
        <w:spacing w:after="0" w:line="240" w:lineRule="auto"/>
        <w:jc w:val="both"/>
        <w:rPr>
          <w:rFonts w:ascii="Arial" w:eastAsia="Calibri" w:hAnsi="Arial" w:cs="Arial"/>
          <w:lang w:val="en-U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15.- Vinculación con el Sector Defensa y sus órganos de ejecución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Los actos que realiza el Sector Defensa y sus órganos de ejecución respecto de los bienes de su propiedad se rigen por la Ley Nº 29006, Ley que autoriza la disposición de inmuebles del Sector Defensa, las demás normas especiales y, en su defecto, por la Ley y el Reglamento, en lo que fuere aplicable, debiendo remitir a la SBN la información de los referidos bienes para su registro en el SINABIP, conforme a las directivas que emita el Ente Rector.</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 xml:space="preserve">CONCORDANCIAS: </w:t>
      </w:r>
      <w:r w:rsidRPr="006312E8">
        <w:rPr>
          <w:rFonts w:ascii="Arial" w:eastAsia="Calibri" w:hAnsi="Arial" w:cs="Arial"/>
          <w:b/>
          <w:color w:val="4F6228"/>
          <w:sz w:val="16"/>
          <w:szCs w:val="16"/>
        </w:rPr>
        <w:tab/>
      </w:r>
    </w:p>
    <w:p w:rsidR="006312E8" w:rsidRPr="006312E8" w:rsidRDefault="000A5EA6" w:rsidP="006312E8">
      <w:pPr>
        <w:numPr>
          <w:ilvl w:val="0"/>
          <w:numId w:val="42"/>
        </w:numPr>
        <w:spacing w:after="0" w:line="240" w:lineRule="auto"/>
        <w:jc w:val="both"/>
        <w:rPr>
          <w:rFonts w:ascii="Arial" w:eastAsia="Calibri" w:hAnsi="Arial" w:cs="Arial"/>
          <w:b/>
          <w:color w:val="4F6228"/>
          <w:sz w:val="18"/>
          <w:szCs w:val="18"/>
        </w:rPr>
      </w:pPr>
      <w:hyperlink w:anchor="LEY29006" w:history="1">
        <w:r w:rsidR="006312E8" w:rsidRPr="006312E8">
          <w:rPr>
            <w:rFonts w:ascii="Arial" w:eastAsia="Calibri" w:hAnsi="Arial" w:cs="Arial"/>
            <w:b/>
            <w:color w:val="4F6228"/>
            <w:sz w:val="16"/>
            <w:szCs w:val="16"/>
          </w:rPr>
          <w:t>Ley Nº 29006</w:t>
        </w:r>
        <w:r w:rsidR="006312E8" w:rsidRPr="006312E8">
          <w:rPr>
            <w:rFonts w:ascii="Arial" w:eastAsia="Calibri" w:hAnsi="Arial" w:cs="Arial"/>
            <w:b/>
            <w:color w:val="4F6228"/>
            <w:sz w:val="18"/>
            <w:szCs w:val="18"/>
          </w:rPr>
          <w:t xml:space="preserve"> (</w:t>
        </w:r>
      </w:hyperlink>
      <w:r w:rsidR="006312E8" w:rsidRPr="006312E8">
        <w:rPr>
          <w:rFonts w:ascii="Arial" w:eastAsia="Calibri" w:hAnsi="Arial" w:cs="Arial"/>
          <w:b/>
          <w:color w:val="4F6228"/>
          <w:sz w:val="18"/>
          <w:szCs w:val="18"/>
        </w:rPr>
        <w:t xml:space="preserve">art. 1)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16.- De la custodia y conservación de la documentación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Los documentos sustentatorios de los registros constituyen información del SNBE, cuyo mantenimiento y custodia es responsabilidad de las entidades.</w:t>
      </w:r>
    </w:p>
    <w:p w:rsidR="00D04998" w:rsidRDefault="00D0499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17.- De la capacitación y especialización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SBN aprobará y ejecutará anualmente un Plan de Capacitación sobre Propiedad Estatal, debiendo asistir de manera obligatoria el personal técnico de las entidades que tenga a su cargo los actos de adquisición, registro, supervisión, administración y disposición de los bienes estatales.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Para una eficiente gestión de los bienes estatales, las entidades deben impulsar la capacitación y actualización permanente de su personal, en los programas que para dicho fin elabore y ejecute la SBN, sin perjuicio de la capacitación que puede programarse a cargo de la propia entidad.</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127" w:hanging="2127"/>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6312E8">
      <w:pPr>
        <w:numPr>
          <w:ilvl w:val="0"/>
          <w:numId w:val="42"/>
        </w:numPr>
        <w:spacing w:after="0" w:line="240" w:lineRule="auto"/>
        <w:jc w:val="both"/>
        <w:rPr>
          <w:rFonts w:ascii="Arial" w:eastAsia="Calibri" w:hAnsi="Arial" w:cs="Arial"/>
          <w:b/>
          <w:color w:val="4F6228"/>
          <w:sz w:val="16"/>
          <w:szCs w:val="16"/>
        </w:rPr>
      </w:pPr>
      <w:hyperlink w:anchor="ley29151" w:history="1">
        <w:r w:rsidR="006312E8" w:rsidRPr="006312E8">
          <w:rPr>
            <w:rFonts w:ascii="Arial" w:eastAsia="Calibri" w:hAnsi="Arial" w:cs="Arial"/>
            <w:b/>
            <w:color w:val="0000FF"/>
            <w:sz w:val="16"/>
            <w:szCs w:val="16"/>
            <w:u w:val="single"/>
          </w:rPr>
          <w:t>Ley Nº 29151</w:t>
        </w:r>
      </w:hyperlink>
      <w:r w:rsidR="006312E8" w:rsidRPr="006312E8">
        <w:rPr>
          <w:rFonts w:ascii="Arial" w:eastAsia="Calibri" w:hAnsi="Arial" w:cs="Arial"/>
          <w:b/>
          <w:color w:val="4F6228"/>
          <w:sz w:val="16"/>
          <w:szCs w:val="16"/>
        </w:rPr>
        <w:t xml:space="preserve"> (Arts. 24º y 25º)</w:t>
      </w:r>
    </w:p>
    <w:p w:rsidR="006312E8" w:rsidRPr="006312E8" w:rsidRDefault="000A5EA6" w:rsidP="006312E8">
      <w:pPr>
        <w:numPr>
          <w:ilvl w:val="0"/>
          <w:numId w:val="42"/>
        </w:numPr>
        <w:spacing w:after="0" w:line="240" w:lineRule="auto"/>
        <w:jc w:val="both"/>
        <w:rPr>
          <w:rFonts w:ascii="Arial" w:eastAsia="Calibri" w:hAnsi="Arial" w:cs="Arial"/>
          <w:b/>
          <w:color w:val="4F6228"/>
          <w:sz w:val="16"/>
          <w:szCs w:val="16"/>
        </w:rPr>
      </w:pPr>
      <w:hyperlink w:anchor="DS0162010" w:history="1">
        <w:r w:rsidR="006312E8" w:rsidRPr="006312E8">
          <w:rPr>
            <w:rFonts w:ascii="Arial" w:eastAsia="Calibri" w:hAnsi="Arial" w:cs="Arial"/>
            <w:b/>
            <w:color w:val="4F6228"/>
            <w:sz w:val="16"/>
            <w:szCs w:val="16"/>
          </w:rPr>
          <w:t>Decreto Supremo Nº 016-2010-VIVIENDA</w:t>
        </w:r>
      </w:hyperlink>
      <w:r w:rsidR="006312E8" w:rsidRPr="006312E8">
        <w:rPr>
          <w:rFonts w:ascii="Arial" w:eastAsia="Calibri" w:hAnsi="Arial" w:cs="Arial"/>
          <w:b/>
          <w:color w:val="4F6228"/>
          <w:sz w:val="16"/>
          <w:szCs w:val="16"/>
        </w:rPr>
        <w:t xml:space="preserve"> (art. 37, literal b)</w:t>
      </w:r>
    </w:p>
    <w:p w:rsidR="006312E8" w:rsidRPr="006312E8" w:rsidRDefault="006312E8" w:rsidP="006312E8">
      <w:pPr>
        <w:spacing w:after="0" w:line="240" w:lineRule="auto"/>
        <w:jc w:val="center"/>
        <w:rPr>
          <w:rFonts w:ascii="Arial" w:eastAsia="Calibri" w:hAnsi="Arial" w:cs="Arial"/>
          <w:b/>
          <w:lang w:val="es-ES"/>
        </w:rPr>
      </w:pPr>
    </w:p>
    <w:p w:rsidR="005A311B" w:rsidRDefault="005A311B" w:rsidP="006312E8">
      <w:pPr>
        <w:spacing w:after="0" w:line="240" w:lineRule="auto"/>
        <w:jc w:val="center"/>
        <w:rPr>
          <w:rFonts w:ascii="Arial" w:eastAsia="Calibri" w:hAnsi="Arial" w:cs="Arial"/>
          <w:b/>
          <w:lang w:val="es-ES"/>
        </w:rPr>
      </w:pPr>
      <w:bookmarkStart w:id="39" w:name="_Toc392856131"/>
      <w:bookmarkStart w:id="40" w:name="_Toc399335404"/>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CAPÍTULO IV</w:t>
      </w:r>
      <w:bookmarkEnd w:id="39"/>
      <w:bookmarkEnd w:id="40"/>
    </w:p>
    <w:p w:rsidR="006312E8" w:rsidRPr="006312E8" w:rsidRDefault="006312E8" w:rsidP="006312E8">
      <w:pPr>
        <w:spacing w:after="0" w:line="240" w:lineRule="auto"/>
        <w:jc w:val="center"/>
        <w:rPr>
          <w:rFonts w:ascii="Arial" w:eastAsia="Calibri" w:hAnsi="Arial" w:cs="Arial"/>
          <w:b/>
          <w:lang w:val="es-ES"/>
        </w:rPr>
      </w:pPr>
      <w:bookmarkStart w:id="41" w:name="_Toc392856132"/>
      <w:bookmarkStart w:id="42" w:name="_Toc399335405"/>
      <w:r w:rsidRPr="006312E8">
        <w:rPr>
          <w:rFonts w:ascii="Arial" w:eastAsia="Calibri" w:hAnsi="Arial" w:cs="Arial"/>
          <w:b/>
          <w:lang w:val="es-ES"/>
        </w:rPr>
        <w:t>GOBIERNOS REGIONALES</w:t>
      </w:r>
      <w:bookmarkEnd w:id="41"/>
      <w:bookmarkEnd w:id="42"/>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18.- De la competencia exclusiva de los Gobiernos Regionales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Los Gobiernos Regionales administran y adjudican los terrenos urbanos y eriazos de propiedad del Estado dentro de su jurisdicción, incluyendo aquellos que cuenten con edificaciones, a excepción de los bienes de alcance nacional, los comprendidos en proyectos de interés nacional identificados por la SBN, y los terrenos de propiedad municipal de conformidad con el Artículo 62 de la Ley Nº 27867, Ley Orgánica de Gobiernos Regionales, y la Ley.</w:t>
      </w:r>
    </w:p>
    <w:p w:rsidR="006312E8" w:rsidRPr="006312E8" w:rsidRDefault="006312E8" w:rsidP="006312E8">
      <w:pPr>
        <w:spacing w:after="0" w:line="240" w:lineRule="auto"/>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 xml:space="preserve">CONCORDANCIAS: </w:t>
      </w:r>
      <w:r w:rsidRPr="006312E8">
        <w:rPr>
          <w:rFonts w:ascii="Arial" w:eastAsia="Calibri" w:hAnsi="Arial" w:cs="Arial"/>
          <w:b/>
          <w:color w:val="4F6228"/>
          <w:sz w:val="16"/>
          <w:szCs w:val="16"/>
        </w:rPr>
        <w:tab/>
      </w:r>
    </w:p>
    <w:p w:rsidR="006312E8" w:rsidRPr="006312E8" w:rsidRDefault="000A5EA6" w:rsidP="006312E8">
      <w:pPr>
        <w:numPr>
          <w:ilvl w:val="0"/>
          <w:numId w:val="42"/>
        </w:numPr>
        <w:spacing w:after="0" w:line="240" w:lineRule="auto"/>
        <w:jc w:val="both"/>
        <w:rPr>
          <w:rFonts w:ascii="Arial" w:eastAsia="Calibri" w:hAnsi="Arial" w:cs="Arial"/>
          <w:b/>
          <w:color w:val="4F6228"/>
          <w:sz w:val="16"/>
          <w:szCs w:val="16"/>
        </w:rPr>
      </w:pPr>
      <w:hyperlink w:anchor="L27783" w:history="1">
        <w:r w:rsidR="006312E8" w:rsidRPr="006312E8">
          <w:rPr>
            <w:rFonts w:ascii="Arial" w:eastAsia="Calibri" w:hAnsi="Arial" w:cs="Arial"/>
            <w:b/>
            <w:color w:val="4F6228"/>
            <w:sz w:val="16"/>
            <w:szCs w:val="16"/>
          </w:rPr>
          <w:t>Ley Nº27783</w:t>
        </w:r>
      </w:hyperlink>
      <w:r w:rsidR="006312E8" w:rsidRPr="006312E8">
        <w:rPr>
          <w:rFonts w:ascii="Arial" w:eastAsia="Calibri" w:hAnsi="Arial" w:cs="Arial"/>
          <w:b/>
          <w:color w:val="4F6228"/>
          <w:sz w:val="16"/>
          <w:szCs w:val="16"/>
        </w:rPr>
        <w:t xml:space="preserve"> (art. 35 literal j)</w:t>
      </w:r>
    </w:p>
    <w:p w:rsidR="006312E8" w:rsidRPr="006312E8" w:rsidRDefault="000A5EA6" w:rsidP="006312E8">
      <w:pPr>
        <w:numPr>
          <w:ilvl w:val="0"/>
          <w:numId w:val="42"/>
        </w:numPr>
        <w:spacing w:after="0" w:line="240" w:lineRule="auto"/>
        <w:jc w:val="both"/>
        <w:rPr>
          <w:rFonts w:ascii="Arial" w:eastAsia="Calibri" w:hAnsi="Arial" w:cs="Arial"/>
          <w:b/>
          <w:color w:val="4F6228"/>
          <w:sz w:val="16"/>
          <w:szCs w:val="16"/>
        </w:rPr>
      </w:pPr>
      <w:hyperlink w:anchor="L27867" w:history="1">
        <w:r w:rsidR="006312E8" w:rsidRPr="006312E8">
          <w:rPr>
            <w:rFonts w:ascii="Arial" w:eastAsia="Calibri" w:hAnsi="Arial" w:cs="Arial"/>
            <w:b/>
            <w:color w:val="4F6228"/>
            <w:sz w:val="16"/>
            <w:szCs w:val="16"/>
          </w:rPr>
          <w:t>Ley Nº 27867 (</w:t>
        </w:r>
      </w:hyperlink>
      <w:r w:rsidR="006312E8" w:rsidRPr="006312E8">
        <w:rPr>
          <w:rFonts w:ascii="Arial" w:eastAsia="Calibri" w:hAnsi="Arial" w:cs="Arial"/>
          <w:b/>
          <w:color w:val="4F6228"/>
          <w:sz w:val="16"/>
          <w:szCs w:val="16"/>
        </w:rPr>
        <w:t>art. 62)</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bookmarkStart w:id="43" w:name="_Toc392856133"/>
      <w:bookmarkStart w:id="44" w:name="_Toc399335406"/>
      <w:r w:rsidRPr="006312E8">
        <w:rPr>
          <w:rFonts w:ascii="Arial" w:eastAsia="Calibri" w:hAnsi="Arial" w:cs="Arial"/>
          <w:b/>
          <w:lang w:val="es-ES"/>
        </w:rPr>
        <w:t>CAPÍTULO V</w:t>
      </w:r>
      <w:bookmarkEnd w:id="43"/>
      <w:bookmarkEnd w:id="44"/>
    </w:p>
    <w:p w:rsidR="006312E8" w:rsidRPr="006312E8" w:rsidRDefault="006312E8" w:rsidP="006312E8">
      <w:pPr>
        <w:spacing w:after="0" w:line="240" w:lineRule="auto"/>
        <w:jc w:val="center"/>
        <w:rPr>
          <w:rFonts w:ascii="Arial" w:eastAsia="Calibri" w:hAnsi="Arial" w:cs="Arial"/>
          <w:b/>
          <w:lang w:val="es-ES"/>
        </w:rPr>
      </w:pPr>
      <w:bookmarkStart w:id="45" w:name="_Toc392856134"/>
      <w:bookmarkStart w:id="46" w:name="_Toc399335407"/>
      <w:r w:rsidRPr="006312E8">
        <w:rPr>
          <w:rFonts w:ascii="Arial" w:eastAsia="Calibri" w:hAnsi="Arial" w:cs="Arial"/>
          <w:b/>
          <w:lang w:val="es-ES"/>
        </w:rPr>
        <w:t>REGISTRO UNICO OBLIGATORIO DE LOS BIENES ESTATALES</w:t>
      </w:r>
      <w:bookmarkEnd w:id="45"/>
      <w:bookmarkEnd w:id="46"/>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19.- Del Registro Único Obligatorio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El SINABIP es un registro administrativo de carácter único y obligatorio de los bienes estatales de dominio público y privado en sus diferentes niveles de gobierno, el cual ofrece información sistematizada, completa, oportuna y actualizada al SNBE para una adecuada gestión mobiliaria e inmobiliaria. La SBN organiza y conduce el SINABIP.</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124" w:hanging="2124"/>
        <w:jc w:val="both"/>
        <w:rPr>
          <w:rFonts w:ascii="Arial" w:eastAsia="Calibri" w:hAnsi="Arial" w:cs="Arial"/>
          <w:b/>
          <w:color w:val="4F6228"/>
          <w:sz w:val="16"/>
          <w:szCs w:val="16"/>
        </w:rPr>
      </w:pPr>
    </w:p>
    <w:p w:rsidR="006312E8" w:rsidRPr="006312E8" w:rsidRDefault="006312E8" w:rsidP="006312E8">
      <w:pPr>
        <w:spacing w:after="0" w:line="240" w:lineRule="auto"/>
        <w:ind w:left="2124" w:hanging="2124"/>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6312E8">
      <w:pPr>
        <w:numPr>
          <w:ilvl w:val="0"/>
          <w:numId w:val="44"/>
        </w:numPr>
        <w:spacing w:after="0" w:line="240" w:lineRule="auto"/>
        <w:jc w:val="both"/>
        <w:rPr>
          <w:rFonts w:ascii="Arial" w:eastAsia="Calibri" w:hAnsi="Arial" w:cs="Arial"/>
          <w:b/>
          <w:color w:val="4F6228"/>
          <w:sz w:val="16"/>
          <w:szCs w:val="16"/>
        </w:rPr>
      </w:pPr>
      <w:hyperlink w:anchor="DS0162010" w:history="1">
        <w:r w:rsidR="006312E8" w:rsidRPr="006312E8">
          <w:rPr>
            <w:rFonts w:ascii="Arial" w:eastAsia="Calibri" w:hAnsi="Arial" w:cs="Arial"/>
            <w:b/>
            <w:color w:val="0000FF"/>
            <w:sz w:val="16"/>
            <w:szCs w:val="16"/>
            <w:u w:val="single"/>
          </w:rPr>
          <w:t>Decreto Supremo Nº 016-2010-VIVIENDA</w:t>
        </w:r>
      </w:hyperlink>
      <w:r w:rsidR="006312E8" w:rsidRPr="006312E8">
        <w:rPr>
          <w:rFonts w:ascii="Arial" w:eastAsia="Calibri" w:hAnsi="Arial" w:cs="Arial"/>
          <w:b/>
          <w:color w:val="4F6228"/>
          <w:sz w:val="16"/>
          <w:szCs w:val="16"/>
        </w:rPr>
        <w:t xml:space="preserve"> (arts. 38 -39)</w:t>
      </w:r>
    </w:p>
    <w:p w:rsidR="006312E8" w:rsidRPr="006312E8" w:rsidRDefault="000A5EA6" w:rsidP="006312E8">
      <w:pPr>
        <w:numPr>
          <w:ilvl w:val="0"/>
          <w:numId w:val="44"/>
        </w:numPr>
        <w:spacing w:after="0" w:line="240" w:lineRule="auto"/>
        <w:contextualSpacing/>
        <w:jc w:val="both"/>
        <w:rPr>
          <w:rFonts w:ascii="Arial" w:eastAsia="Calibri" w:hAnsi="Arial" w:cs="Arial"/>
          <w:sz w:val="16"/>
          <w:szCs w:val="16"/>
          <w:lang w:val="es-ES"/>
        </w:rPr>
      </w:pPr>
      <w:hyperlink w:anchor="D0022011" w:history="1">
        <w:r w:rsidR="006312E8" w:rsidRPr="006312E8">
          <w:rPr>
            <w:rFonts w:ascii="Arial" w:eastAsia="Calibri" w:hAnsi="Arial" w:cs="Arial"/>
            <w:b/>
            <w:color w:val="0000FF"/>
            <w:sz w:val="16"/>
            <w:szCs w:val="16"/>
            <w:u w:val="single"/>
          </w:rPr>
          <w:t>Directiva Nº 002-2011/SBN</w:t>
        </w:r>
      </w:hyperlink>
      <w:r w:rsidR="006312E8" w:rsidRPr="006312E8">
        <w:rPr>
          <w:rFonts w:ascii="Arial" w:eastAsia="Calibri" w:hAnsi="Arial" w:cs="Arial"/>
          <w:b/>
          <w:color w:val="4F6228"/>
          <w:sz w:val="16"/>
          <w:szCs w:val="16"/>
        </w:rPr>
        <w:t xml:space="preserve">, aprobada por </w:t>
      </w:r>
      <w:hyperlink w:anchor="D0022011" w:history="1">
        <w:r w:rsidR="006312E8" w:rsidRPr="006312E8">
          <w:rPr>
            <w:rFonts w:ascii="Arial" w:eastAsia="Calibri" w:hAnsi="Arial" w:cs="Arial"/>
            <w:b/>
            <w:color w:val="4F6228"/>
            <w:sz w:val="16"/>
            <w:szCs w:val="16"/>
          </w:rPr>
          <w:t>Resolución Nº 017-2011-SBN</w:t>
        </w:r>
      </w:hyperlink>
      <w:r w:rsidR="006312E8" w:rsidRPr="006312E8">
        <w:rPr>
          <w:rFonts w:ascii="Arial" w:eastAsia="Calibri" w:hAnsi="Arial" w:cs="Arial"/>
          <w:b/>
          <w:color w:val="4F6228"/>
          <w:sz w:val="16"/>
          <w:szCs w:val="16"/>
        </w:rPr>
        <w:t xml:space="preserve"> (art. 7, numeral 7.1)</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20.- Del contenido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El SINABIP contiene información catastral, técnica, jurídica y económica de los bienes estatales, en sus dimensiones espacial, temporal y temática; útil para una adecuada gestión de dichos bienes así como para el ordenamiento territorial.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124" w:hanging="2124"/>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6312E8">
      <w:pPr>
        <w:numPr>
          <w:ilvl w:val="0"/>
          <w:numId w:val="43"/>
        </w:numPr>
        <w:spacing w:after="0" w:line="240" w:lineRule="auto"/>
        <w:jc w:val="both"/>
        <w:rPr>
          <w:rFonts w:ascii="Arial" w:eastAsia="Calibri" w:hAnsi="Arial" w:cs="Arial"/>
          <w:b/>
          <w:color w:val="4F6228"/>
          <w:sz w:val="16"/>
          <w:szCs w:val="16"/>
        </w:rPr>
      </w:pPr>
      <w:hyperlink w:anchor="D0022011" w:history="1">
        <w:r w:rsidR="006312E8" w:rsidRPr="006312E8">
          <w:rPr>
            <w:rFonts w:ascii="Arial" w:eastAsia="Calibri" w:hAnsi="Arial" w:cs="Arial"/>
            <w:b/>
            <w:color w:val="0000FF"/>
            <w:sz w:val="16"/>
            <w:szCs w:val="16"/>
            <w:u w:val="single"/>
          </w:rPr>
          <w:t>Directiva Nº 002-2011/SBN</w:t>
        </w:r>
      </w:hyperlink>
      <w:r w:rsidR="006312E8" w:rsidRPr="006312E8">
        <w:rPr>
          <w:rFonts w:ascii="Arial" w:eastAsia="Calibri" w:hAnsi="Arial" w:cs="Arial"/>
          <w:b/>
          <w:color w:val="4F6228"/>
          <w:sz w:val="16"/>
          <w:szCs w:val="16"/>
        </w:rPr>
        <w:t xml:space="preserve">, aprobada por </w:t>
      </w:r>
      <w:hyperlink w:anchor="D0022011" w:history="1">
        <w:r w:rsidR="006312E8" w:rsidRPr="006312E8">
          <w:rPr>
            <w:rFonts w:ascii="Arial" w:eastAsia="Calibri" w:hAnsi="Arial" w:cs="Arial"/>
            <w:b/>
            <w:color w:val="4F6228"/>
            <w:sz w:val="16"/>
            <w:szCs w:val="16"/>
          </w:rPr>
          <w:t>Resolución Nº 017-2011-SBN</w:t>
        </w:r>
      </w:hyperlink>
      <w:r w:rsidR="006312E8" w:rsidRPr="006312E8">
        <w:rPr>
          <w:rFonts w:ascii="Arial" w:eastAsia="Calibri" w:hAnsi="Arial" w:cs="Arial"/>
          <w:b/>
          <w:color w:val="4F6228"/>
          <w:sz w:val="16"/>
          <w:szCs w:val="16"/>
        </w:rPr>
        <w:t xml:space="preserve"> (art. 7, numeral 7.2) </w:t>
      </w: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21.- Del acto de registro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El registro comprende el ingreso de la información en el SINABIP por parte de todas las entidades, asignándole un Código Único correlativo a nivel nacional de acuerdo a lo dispuesto por las directivas que emita el Ente Rector.</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124" w:hanging="2124"/>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6312E8" w:rsidP="006312E8">
      <w:pPr>
        <w:numPr>
          <w:ilvl w:val="0"/>
          <w:numId w:val="43"/>
        </w:num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Ley Nº 28296 (art. 15, numeral 15.2)</w:t>
      </w:r>
    </w:p>
    <w:p w:rsidR="006312E8" w:rsidRPr="006312E8" w:rsidRDefault="000A5EA6" w:rsidP="006312E8">
      <w:pPr>
        <w:numPr>
          <w:ilvl w:val="0"/>
          <w:numId w:val="43"/>
        </w:numPr>
        <w:spacing w:after="0" w:line="240" w:lineRule="auto"/>
        <w:jc w:val="both"/>
        <w:rPr>
          <w:rFonts w:ascii="Arial" w:eastAsia="Calibri" w:hAnsi="Arial" w:cs="Arial"/>
          <w:b/>
          <w:color w:val="4F6228"/>
          <w:sz w:val="16"/>
          <w:szCs w:val="16"/>
        </w:rPr>
      </w:pPr>
      <w:hyperlink w:anchor="DS0102008" w:history="1">
        <w:r w:rsidR="006312E8" w:rsidRPr="006312E8">
          <w:rPr>
            <w:rFonts w:ascii="Arial" w:eastAsia="Calibri" w:hAnsi="Arial" w:cs="Arial"/>
            <w:b/>
            <w:color w:val="0000FF"/>
            <w:sz w:val="16"/>
            <w:szCs w:val="16"/>
            <w:u w:val="single"/>
          </w:rPr>
          <w:t>Decreto Supremo  Nº 010-2008-VIVIENDA</w:t>
        </w:r>
      </w:hyperlink>
      <w:r w:rsidR="006312E8" w:rsidRPr="006312E8">
        <w:rPr>
          <w:rFonts w:ascii="Arial" w:eastAsia="Calibri" w:hAnsi="Arial" w:cs="Arial"/>
          <w:b/>
          <w:color w:val="4F6228"/>
          <w:sz w:val="16"/>
          <w:szCs w:val="16"/>
        </w:rPr>
        <w:t xml:space="preserve"> (art. 4)</w:t>
      </w:r>
    </w:p>
    <w:p w:rsidR="006312E8" w:rsidRPr="006312E8" w:rsidRDefault="000A5EA6" w:rsidP="006312E8">
      <w:pPr>
        <w:numPr>
          <w:ilvl w:val="0"/>
          <w:numId w:val="43"/>
        </w:numPr>
        <w:spacing w:after="0" w:line="240" w:lineRule="auto"/>
        <w:jc w:val="both"/>
        <w:rPr>
          <w:rFonts w:ascii="Arial" w:eastAsia="Calibri" w:hAnsi="Arial" w:cs="Arial"/>
          <w:b/>
          <w:color w:val="4F6228"/>
          <w:sz w:val="16"/>
          <w:szCs w:val="16"/>
        </w:rPr>
      </w:pPr>
      <w:hyperlink w:anchor="DS0162010" w:history="1">
        <w:r w:rsidR="006312E8" w:rsidRPr="006312E8">
          <w:rPr>
            <w:rFonts w:ascii="Arial" w:eastAsia="Calibri" w:hAnsi="Arial" w:cs="Arial"/>
            <w:b/>
            <w:color w:val="0000FF"/>
            <w:sz w:val="16"/>
            <w:szCs w:val="16"/>
            <w:u w:val="single"/>
          </w:rPr>
          <w:t>Decreto Supremo Nº 016-2010-VIVIENDA</w:t>
        </w:r>
      </w:hyperlink>
      <w:r w:rsidR="006312E8" w:rsidRPr="006312E8">
        <w:rPr>
          <w:rFonts w:ascii="Arial" w:eastAsia="Calibri" w:hAnsi="Arial" w:cs="Arial"/>
          <w:b/>
          <w:color w:val="4F6228"/>
          <w:sz w:val="16"/>
          <w:szCs w:val="16"/>
        </w:rPr>
        <w:t xml:space="preserve"> (art. 39, literal b)</w:t>
      </w:r>
    </w:p>
    <w:p w:rsidR="006312E8" w:rsidRPr="006312E8" w:rsidRDefault="000A5EA6" w:rsidP="006312E8">
      <w:pPr>
        <w:numPr>
          <w:ilvl w:val="0"/>
          <w:numId w:val="43"/>
        </w:numPr>
        <w:spacing w:after="0" w:line="240" w:lineRule="auto"/>
        <w:jc w:val="both"/>
        <w:rPr>
          <w:rFonts w:ascii="Arial" w:eastAsia="Calibri" w:hAnsi="Arial" w:cs="Arial"/>
          <w:b/>
          <w:color w:val="4F6228"/>
          <w:sz w:val="16"/>
          <w:szCs w:val="16"/>
        </w:rPr>
      </w:pPr>
      <w:hyperlink w:anchor="D0022011" w:history="1">
        <w:r w:rsidR="006312E8" w:rsidRPr="006312E8">
          <w:rPr>
            <w:rFonts w:ascii="Arial" w:eastAsia="Calibri" w:hAnsi="Arial" w:cs="Arial"/>
            <w:b/>
            <w:color w:val="0000FF"/>
            <w:sz w:val="16"/>
            <w:szCs w:val="16"/>
            <w:u w:val="single"/>
          </w:rPr>
          <w:t>Directiva Nº 002-2011/SBN</w:t>
        </w:r>
      </w:hyperlink>
      <w:r w:rsidR="006312E8" w:rsidRPr="006312E8">
        <w:rPr>
          <w:rFonts w:ascii="Arial" w:eastAsia="Calibri" w:hAnsi="Arial" w:cs="Arial"/>
          <w:b/>
          <w:color w:val="4F6228"/>
          <w:sz w:val="16"/>
          <w:szCs w:val="16"/>
        </w:rPr>
        <w:t xml:space="preserve">, aprobada por </w:t>
      </w:r>
      <w:hyperlink w:anchor="D0022011" w:history="1">
        <w:r w:rsidR="006312E8" w:rsidRPr="006312E8">
          <w:rPr>
            <w:rFonts w:ascii="Arial" w:eastAsia="Calibri" w:hAnsi="Arial" w:cs="Arial"/>
            <w:b/>
            <w:color w:val="4F6228"/>
            <w:sz w:val="16"/>
            <w:szCs w:val="16"/>
          </w:rPr>
          <w:t>Resolución Nº 017-2011-SBN</w:t>
        </w:r>
      </w:hyperlink>
      <w:r w:rsidR="006312E8" w:rsidRPr="006312E8">
        <w:rPr>
          <w:rFonts w:ascii="Arial" w:eastAsia="Calibri" w:hAnsi="Arial" w:cs="Arial"/>
          <w:b/>
          <w:color w:val="4F6228"/>
          <w:sz w:val="16"/>
          <w:szCs w:val="16"/>
        </w:rPr>
        <w:t xml:space="preserve"> (art.6, numeral 6.4)</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22.- De la obligatoriedad de los actos de registro y actualización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Las entidades que conforman el Sistema tienen la obligación de registrar y actualizar en el SINABIP, la información respecto de los bienes de su propiedad y de aquellos que administran.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Tratándose de los actos susceptibles de inscripción en los Registros Públicos, éstos deberán ser anotados preventivamente en el SINABIP, anotación que se convertirá en definitiva luego de culminada la inscripción en los Registros Públicos.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124" w:hanging="2124"/>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6312E8">
      <w:pPr>
        <w:numPr>
          <w:ilvl w:val="0"/>
          <w:numId w:val="43"/>
        </w:numPr>
        <w:spacing w:after="0" w:line="240" w:lineRule="auto"/>
        <w:jc w:val="both"/>
        <w:rPr>
          <w:rFonts w:ascii="Arial" w:eastAsia="Calibri" w:hAnsi="Arial" w:cs="Arial"/>
          <w:b/>
          <w:color w:val="4F6228"/>
          <w:sz w:val="16"/>
          <w:szCs w:val="16"/>
        </w:rPr>
      </w:pPr>
      <w:hyperlink w:anchor="ley29151" w:history="1">
        <w:r w:rsidR="006312E8" w:rsidRPr="006312E8">
          <w:rPr>
            <w:rFonts w:ascii="Arial" w:eastAsia="Calibri" w:hAnsi="Arial" w:cs="Arial"/>
            <w:b/>
            <w:color w:val="0000FF"/>
            <w:sz w:val="16"/>
            <w:szCs w:val="16"/>
            <w:u w:val="single"/>
          </w:rPr>
          <w:t>Ley Nº 29151</w:t>
        </w:r>
      </w:hyperlink>
      <w:r w:rsidR="006312E8" w:rsidRPr="006312E8">
        <w:rPr>
          <w:rFonts w:ascii="Arial" w:eastAsia="Calibri" w:hAnsi="Arial" w:cs="Arial"/>
          <w:b/>
          <w:color w:val="4F6228"/>
          <w:sz w:val="16"/>
          <w:szCs w:val="16"/>
        </w:rPr>
        <w:t xml:space="preserve"> (art. 12)</w:t>
      </w:r>
    </w:p>
    <w:p w:rsidR="006312E8" w:rsidRPr="006312E8" w:rsidRDefault="000A5EA6" w:rsidP="006312E8">
      <w:pPr>
        <w:numPr>
          <w:ilvl w:val="0"/>
          <w:numId w:val="43"/>
        </w:numPr>
        <w:spacing w:after="0" w:line="240" w:lineRule="auto"/>
        <w:jc w:val="both"/>
        <w:rPr>
          <w:rFonts w:ascii="Arial" w:eastAsia="Calibri" w:hAnsi="Arial" w:cs="Arial"/>
          <w:b/>
          <w:color w:val="4F6228"/>
          <w:sz w:val="16"/>
          <w:szCs w:val="16"/>
        </w:rPr>
      </w:pPr>
      <w:hyperlink w:anchor="LEY26512" w:history="1">
        <w:r w:rsidR="006312E8" w:rsidRPr="006312E8">
          <w:rPr>
            <w:rFonts w:ascii="Arial" w:eastAsia="Calibri" w:hAnsi="Arial" w:cs="Arial"/>
            <w:b/>
            <w:color w:val="0000FF"/>
            <w:sz w:val="16"/>
            <w:szCs w:val="16"/>
            <w:u w:val="single"/>
          </w:rPr>
          <w:t>Ley Nº 26512</w:t>
        </w:r>
      </w:hyperlink>
      <w:r w:rsidR="006312E8" w:rsidRPr="006312E8">
        <w:rPr>
          <w:rFonts w:ascii="Arial" w:eastAsia="Calibri" w:hAnsi="Arial" w:cs="Arial"/>
          <w:b/>
          <w:color w:val="4F6228"/>
          <w:sz w:val="16"/>
          <w:szCs w:val="16"/>
        </w:rPr>
        <w:t xml:space="preserve"> (art. 7)</w:t>
      </w:r>
    </w:p>
    <w:p w:rsidR="006312E8" w:rsidRPr="006312E8" w:rsidRDefault="000A5EA6" w:rsidP="006312E8">
      <w:pPr>
        <w:numPr>
          <w:ilvl w:val="0"/>
          <w:numId w:val="43"/>
        </w:numPr>
        <w:spacing w:after="0" w:line="240" w:lineRule="auto"/>
        <w:jc w:val="both"/>
        <w:rPr>
          <w:rFonts w:ascii="Arial" w:eastAsia="Calibri" w:hAnsi="Arial" w:cs="Arial"/>
          <w:b/>
          <w:color w:val="4F6228"/>
          <w:sz w:val="16"/>
          <w:szCs w:val="16"/>
        </w:rPr>
      </w:pPr>
      <w:hyperlink w:anchor="D0012002" w:history="1">
        <w:r w:rsidR="006312E8" w:rsidRPr="006312E8">
          <w:rPr>
            <w:rFonts w:ascii="Arial" w:eastAsia="Calibri" w:hAnsi="Arial" w:cs="Arial"/>
            <w:b/>
            <w:color w:val="0000FF"/>
            <w:sz w:val="16"/>
            <w:szCs w:val="16"/>
            <w:u w:val="single"/>
          </w:rPr>
          <w:t>Directiva Nº</w:t>
        </w:r>
        <w:r w:rsidR="00381192">
          <w:rPr>
            <w:rFonts w:ascii="Arial" w:eastAsia="Calibri" w:hAnsi="Arial" w:cs="Arial"/>
            <w:b/>
            <w:color w:val="0000FF"/>
            <w:sz w:val="16"/>
            <w:szCs w:val="16"/>
            <w:u w:val="single"/>
          </w:rPr>
          <w:t xml:space="preserve"> 002</w:t>
        </w:r>
        <w:r w:rsidR="006312E8" w:rsidRPr="006312E8">
          <w:rPr>
            <w:rFonts w:ascii="Arial" w:eastAsia="Calibri" w:hAnsi="Arial" w:cs="Arial"/>
            <w:b/>
            <w:color w:val="0000FF"/>
            <w:sz w:val="16"/>
            <w:szCs w:val="16"/>
            <w:u w:val="single"/>
          </w:rPr>
          <w:t>-20</w:t>
        </w:r>
        <w:r w:rsidR="00381192">
          <w:rPr>
            <w:rFonts w:ascii="Arial" w:eastAsia="Calibri" w:hAnsi="Arial" w:cs="Arial"/>
            <w:b/>
            <w:color w:val="0000FF"/>
            <w:sz w:val="16"/>
            <w:szCs w:val="16"/>
            <w:u w:val="single"/>
          </w:rPr>
          <w:t>16</w:t>
        </w:r>
        <w:r w:rsidR="006312E8" w:rsidRPr="006312E8">
          <w:rPr>
            <w:rFonts w:ascii="Arial" w:eastAsia="Calibri" w:hAnsi="Arial" w:cs="Arial"/>
            <w:b/>
            <w:color w:val="0000FF"/>
            <w:sz w:val="16"/>
            <w:szCs w:val="16"/>
            <w:u w:val="single"/>
          </w:rPr>
          <w:t>/SBN</w:t>
        </w:r>
      </w:hyperlink>
      <w:r w:rsidR="006312E8" w:rsidRPr="006312E8">
        <w:rPr>
          <w:rFonts w:ascii="Arial" w:eastAsia="Calibri" w:hAnsi="Arial" w:cs="Arial"/>
          <w:b/>
          <w:color w:val="4F6228"/>
          <w:sz w:val="16"/>
          <w:szCs w:val="16"/>
        </w:rPr>
        <w:t>, aprobada por Resolución Nº 0</w:t>
      </w:r>
      <w:r w:rsidR="00381192">
        <w:rPr>
          <w:rFonts w:ascii="Arial" w:eastAsia="Calibri" w:hAnsi="Arial" w:cs="Arial"/>
          <w:b/>
          <w:color w:val="4F6228"/>
          <w:sz w:val="16"/>
          <w:szCs w:val="16"/>
        </w:rPr>
        <w:t>52</w:t>
      </w:r>
      <w:r w:rsidR="006312E8" w:rsidRPr="006312E8">
        <w:rPr>
          <w:rFonts w:ascii="Arial" w:eastAsia="Calibri" w:hAnsi="Arial" w:cs="Arial"/>
          <w:b/>
          <w:color w:val="4F6228"/>
          <w:sz w:val="16"/>
          <w:szCs w:val="16"/>
        </w:rPr>
        <w:t>-20</w:t>
      </w:r>
      <w:r w:rsidR="00381192">
        <w:rPr>
          <w:rFonts w:ascii="Arial" w:eastAsia="Calibri" w:hAnsi="Arial" w:cs="Arial"/>
          <w:b/>
          <w:color w:val="4F6228"/>
          <w:sz w:val="16"/>
          <w:szCs w:val="16"/>
        </w:rPr>
        <w:t>16/</w:t>
      </w:r>
      <w:r w:rsidR="006312E8" w:rsidRPr="006312E8">
        <w:rPr>
          <w:rFonts w:ascii="Arial" w:eastAsia="Calibri" w:hAnsi="Arial" w:cs="Arial"/>
          <w:b/>
          <w:color w:val="4F6228"/>
          <w:sz w:val="16"/>
          <w:szCs w:val="16"/>
        </w:rPr>
        <w:t xml:space="preserve">SBN </w:t>
      </w:r>
    </w:p>
    <w:p w:rsidR="006312E8" w:rsidRPr="006312E8" w:rsidRDefault="000A5EA6" w:rsidP="006312E8">
      <w:pPr>
        <w:numPr>
          <w:ilvl w:val="0"/>
          <w:numId w:val="43"/>
        </w:numPr>
        <w:spacing w:after="0" w:line="240" w:lineRule="auto"/>
        <w:jc w:val="both"/>
        <w:rPr>
          <w:rFonts w:ascii="Arial" w:eastAsia="Calibri" w:hAnsi="Arial" w:cs="Arial"/>
          <w:b/>
          <w:color w:val="4F6228"/>
          <w:sz w:val="16"/>
          <w:szCs w:val="16"/>
        </w:rPr>
      </w:pPr>
      <w:hyperlink w:anchor="D0062002" w:history="1">
        <w:r w:rsidR="006312E8" w:rsidRPr="006312E8">
          <w:rPr>
            <w:rFonts w:ascii="Arial" w:eastAsia="Calibri" w:hAnsi="Arial" w:cs="Arial"/>
            <w:b/>
            <w:color w:val="0000FF"/>
            <w:sz w:val="16"/>
            <w:szCs w:val="16"/>
            <w:u w:val="single"/>
          </w:rPr>
          <w:t>Directiva Nº 006-2002/SBN</w:t>
        </w:r>
      </w:hyperlink>
      <w:r w:rsidR="006312E8" w:rsidRPr="006312E8">
        <w:rPr>
          <w:rFonts w:ascii="Arial" w:eastAsia="Calibri" w:hAnsi="Arial" w:cs="Arial"/>
          <w:b/>
          <w:color w:val="4F6228"/>
          <w:sz w:val="16"/>
          <w:szCs w:val="16"/>
        </w:rPr>
        <w:t>, aprobada por Resolución Nº 026-2002-SBN (arts. 2, 3, numerales 2.2.8 y 3.2.6)</w:t>
      </w:r>
    </w:p>
    <w:p w:rsidR="006312E8" w:rsidRPr="006312E8" w:rsidRDefault="000A5EA6" w:rsidP="006312E8">
      <w:pPr>
        <w:numPr>
          <w:ilvl w:val="0"/>
          <w:numId w:val="43"/>
        </w:numPr>
        <w:spacing w:after="0" w:line="240" w:lineRule="auto"/>
        <w:jc w:val="both"/>
        <w:rPr>
          <w:rFonts w:ascii="Arial" w:eastAsia="Calibri" w:hAnsi="Arial" w:cs="Arial"/>
          <w:b/>
          <w:color w:val="4F6228"/>
          <w:sz w:val="16"/>
          <w:szCs w:val="16"/>
        </w:rPr>
      </w:pPr>
      <w:hyperlink w:anchor="D0072004" w:history="1">
        <w:r w:rsidR="006312E8" w:rsidRPr="006312E8">
          <w:rPr>
            <w:rFonts w:ascii="Arial" w:eastAsia="Calibri" w:hAnsi="Arial" w:cs="Arial"/>
            <w:b/>
            <w:color w:val="0000FF"/>
            <w:sz w:val="16"/>
            <w:szCs w:val="16"/>
            <w:u w:val="single"/>
          </w:rPr>
          <w:t>Directiva Nº 007-2004/SBN</w:t>
        </w:r>
      </w:hyperlink>
      <w:r w:rsidR="006312E8" w:rsidRPr="006312E8">
        <w:rPr>
          <w:rFonts w:ascii="Arial" w:eastAsia="Calibri" w:hAnsi="Arial" w:cs="Arial"/>
          <w:b/>
          <w:color w:val="4F6228"/>
          <w:sz w:val="16"/>
          <w:szCs w:val="16"/>
        </w:rPr>
        <w:t>, aprobada por Resolución Nº 028-2004/SBN (art. 2, numeral 2.2.7)</w:t>
      </w:r>
    </w:p>
    <w:p w:rsidR="006312E8" w:rsidRPr="006312E8" w:rsidRDefault="000A5EA6" w:rsidP="006312E8">
      <w:pPr>
        <w:numPr>
          <w:ilvl w:val="0"/>
          <w:numId w:val="43"/>
        </w:numPr>
        <w:spacing w:after="0" w:line="240" w:lineRule="auto"/>
        <w:jc w:val="both"/>
        <w:rPr>
          <w:rFonts w:ascii="Arial" w:eastAsia="Calibri" w:hAnsi="Arial" w:cs="Arial"/>
          <w:b/>
          <w:color w:val="4F6228"/>
          <w:sz w:val="16"/>
          <w:szCs w:val="16"/>
        </w:rPr>
      </w:pPr>
      <w:hyperlink w:anchor="D0022007" w:history="1">
        <w:r w:rsidR="006312E8" w:rsidRPr="006312E8">
          <w:rPr>
            <w:rFonts w:ascii="Arial" w:eastAsia="Calibri" w:hAnsi="Arial" w:cs="Arial"/>
            <w:b/>
            <w:color w:val="0000FF"/>
            <w:sz w:val="16"/>
            <w:szCs w:val="16"/>
            <w:u w:val="single"/>
          </w:rPr>
          <w:t>Directiva Nº 002-2007/SBN</w:t>
        </w:r>
      </w:hyperlink>
      <w:r w:rsidR="006312E8" w:rsidRPr="006312E8">
        <w:rPr>
          <w:rFonts w:ascii="Arial" w:eastAsia="Calibri" w:hAnsi="Arial" w:cs="Arial"/>
          <w:b/>
          <w:color w:val="4F6228"/>
          <w:sz w:val="16"/>
          <w:szCs w:val="16"/>
        </w:rPr>
        <w:t>, aprobada por Resolución Nº 018-2007/SBN ((art. 2, numeral 2.6)</w:t>
      </w:r>
    </w:p>
    <w:p w:rsidR="006312E8" w:rsidRPr="006312E8" w:rsidRDefault="000A5EA6" w:rsidP="006312E8">
      <w:pPr>
        <w:numPr>
          <w:ilvl w:val="0"/>
          <w:numId w:val="43"/>
        </w:numPr>
        <w:spacing w:after="0" w:line="240" w:lineRule="auto"/>
        <w:jc w:val="both"/>
        <w:rPr>
          <w:rFonts w:ascii="Arial" w:eastAsia="Calibri" w:hAnsi="Arial" w:cs="Arial"/>
          <w:b/>
          <w:color w:val="4F6228"/>
          <w:sz w:val="16"/>
          <w:szCs w:val="16"/>
        </w:rPr>
      </w:pPr>
      <w:hyperlink w:anchor="D0062007" w:history="1">
        <w:r w:rsidR="00540248">
          <w:rPr>
            <w:rFonts w:ascii="Arial" w:eastAsia="Calibri" w:hAnsi="Arial" w:cs="Arial"/>
            <w:b/>
            <w:color w:val="0000FF"/>
            <w:sz w:val="16"/>
            <w:szCs w:val="16"/>
            <w:u w:val="single"/>
          </w:rPr>
          <w:t>Directiva Nº 005</w:t>
        </w:r>
        <w:r w:rsidR="006312E8" w:rsidRPr="006312E8">
          <w:rPr>
            <w:rFonts w:ascii="Arial" w:eastAsia="Calibri" w:hAnsi="Arial" w:cs="Arial"/>
            <w:b/>
            <w:color w:val="0000FF"/>
            <w:sz w:val="16"/>
            <w:szCs w:val="16"/>
            <w:u w:val="single"/>
          </w:rPr>
          <w:t>-20</w:t>
        </w:r>
        <w:r w:rsidR="00540248">
          <w:rPr>
            <w:rFonts w:ascii="Arial" w:eastAsia="Calibri" w:hAnsi="Arial" w:cs="Arial"/>
            <w:b/>
            <w:color w:val="0000FF"/>
            <w:sz w:val="16"/>
            <w:szCs w:val="16"/>
            <w:u w:val="single"/>
          </w:rPr>
          <w:t>16</w:t>
        </w:r>
        <w:r w:rsidR="006312E8" w:rsidRPr="006312E8">
          <w:rPr>
            <w:rFonts w:ascii="Arial" w:eastAsia="Calibri" w:hAnsi="Arial" w:cs="Arial"/>
            <w:b/>
            <w:color w:val="0000FF"/>
            <w:sz w:val="16"/>
            <w:szCs w:val="16"/>
            <w:u w:val="single"/>
          </w:rPr>
          <w:t>/SBN,</w:t>
        </w:r>
      </w:hyperlink>
      <w:r w:rsidR="006312E8" w:rsidRPr="006312E8">
        <w:rPr>
          <w:rFonts w:ascii="Arial" w:eastAsia="Calibri" w:hAnsi="Arial" w:cs="Arial"/>
          <w:b/>
          <w:color w:val="4F6228"/>
          <w:sz w:val="16"/>
          <w:szCs w:val="16"/>
        </w:rPr>
        <w:t xml:space="preserve"> aprobada por Resolución Nº 0</w:t>
      </w:r>
      <w:r w:rsidR="00540248">
        <w:rPr>
          <w:rFonts w:ascii="Arial" w:eastAsia="Calibri" w:hAnsi="Arial" w:cs="Arial"/>
          <w:b/>
          <w:color w:val="4F6228"/>
          <w:sz w:val="16"/>
          <w:szCs w:val="16"/>
        </w:rPr>
        <w:t>68-2016</w:t>
      </w:r>
      <w:r w:rsidR="006312E8" w:rsidRPr="006312E8">
        <w:rPr>
          <w:rFonts w:ascii="Arial" w:eastAsia="Calibri" w:hAnsi="Arial" w:cs="Arial"/>
          <w:b/>
          <w:color w:val="4F6228"/>
          <w:sz w:val="16"/>
          <w:szCs w:val="16"/>
        </w:rPr>
        <w:t xml:space="preserve">/SBN </w:t>
      </w:r>
    </w:p>
    <w:p w:rsidR="006312E8" w:rsidRPr="006312E8" w:rsidRDefault="000A5EA6" w:rsidP="006312E8">
      <w:pPr>
        <w:numPr>
          <w:ilvl w:val="0"/>
          <w:numId w:val="43"/>
        </w:numPr>
        <w:spacing w:after="0" w:line="240" w:lineRule="auto"/>
        <w:jc w:val="both"/>
        <w:rPr>
          <w:rFonts w:ascii="Arial" w:eastAsia="Calibri" w:hAnsi="Arial" w:cs="Arial"/>
          <w:b/>
          <w:color w:val="4F6228"/>
          <w:sz w:val="16"/>
          <w:szCs w:val="16"/>
        </w:rPr>
      </w:pPr>
      <w:hyperlink w:anchor="D0042013" w:history="1">
        <w:r w:rsidR="00540248">
          <w:rPr>
            <w:rFonts w:ascii="Arial" w:eastAsia="Calibri" w:hAnsi="Arial" w:cs="Arial"/>
            <w:b/>
            <w:color w:val="0000FF"/>
            <w:sz w:val="16"/>
            <w:szCs w:val="16"/>
            <w:u w:val="single"/>
          </w:rPr>
          <w:t>Directiva Nº 001</w:t>
        </w:r>
        <w:r w:rsidR="006312E8" w:rsidRPr="006312E8">
          <w:rPr>
            <w:rFonts w:ascii="Arial" w:eastAsia="Calibri" w:hAnsi="Arial" w:cs="Arial"/>
            <w:b/>
            <w:color w:val="0000FF"/>
            <w:sz w:val="16"/>
            <w:szCs w:val="16"/>
            <w:u w:val="single"/>
          </w:rPr>
          <w:t>-201</w:t>
        </w:r>
        <w:r w:rsidR="00540248">
          <w:rPr>
            <w:rFonts w:ascii="Arial" w:eastAsia="Calibri" w:hAnsi="Arial" w:cs="Arial"/>
            <w:b/>
            <w:color w:val="0000FF"/>
            <w:sz w:val="16"/>
            <w:szCs w:val="16"/>
            <w:u w:val="single"/>
          </w:rPr>
          <w:t>6</w:t>
        </w:r>
        <w:r w:rsidR="006312E8" w:rsidRPr="006312E8">
          <w:rPr>
            <w:rFonts w:ascii="Arial" w:eastAsia="Calibri" w:hAnsi="Arial" w:cs="Arial"/>
            <w:b/>
            <w:color w:val="0000FF"/>
            <w:sz w:val="16"/>
            <w:szCs w:val="16"/>
            <w:u w:val="single"/>
          </w:rPr>
          <w:t>/SBN</w:t>
        </w:r>
      </w:hyperlink>
      <w:r w:rsidR="006312E8" w:rsidRPr="006312E8">
        <w:rPr>
          <w:rFonts w:ascii="Arial" w:eastAsia="Calibri" w:hAnsi="Arial" w:cs="Arial"/>
          <w:b/>
          <w:color w:val="4F6228"/>
          <w:sz w:val="16"/>
          <w:szCs w:val="16"/>
        </w:rPr>
        <w:t xml:space="preserve">, aprobada por Resolución Nº </w:t>
      </w:r>
      <w:r w:rsidR="00540248">
        <w:rPr>
          <w:rFonts w:ascii="Arial" w:eastAsia="Calibri" w:hAnsi="Arial" w:cs="Arial"/>
          <w:b/>
          <w:color w:val="4F6228"/>
          <w:sz w:val="16"/>
          <w:szCs w:val="16"/>
        </w:rPr>
        <w:t>048</w:t>
      </w:r>
      <w:r w:rsidR="006312E8" w:rsidRPr="006312E8">
        <w:rPr>
          <w:rFonts w:ascii="Arial" w:eastAsia="Calibri" w:hAnsi="Arial" w:cs="Arial"/>
          <w:b/>
          <w:color w:val="4F6228"/>
          <w:sz w:val="16"/>
          <w:szCs w:val="16"/>
        </w:rPr>
        <w:t>-201</w:t>
      </w:r>
      <w:r w:rsidR="00540248">
        <w:rPr>
          <w:rFonts w:ascii="Arial" w:eastAsia="Calibri" w:hAnsi="Arial" w:cs="Arial"/>
          <w:b/>
          <w:color w:val="4F6228"/>
          <w:sz w:val="16"/>
          <w:szCs w:val="16"/>
        </w:rPr>
        <w:t>6</w:t>
      </w:r>
      <w:r w:rsidR="006312E8" w:rsidRPr="006312E8">
        <w:rPr>
          <w:rFonts w:ascii="Arial" w:eastAsia="Calibri" w:hAnsi="Arial" w:cs="Arial"/>
          <w:b/>
          <w:color w:val="4F6228"/>
          <w:sz w:val="16"/>
          <w:szCs w:val="16"/>
        </w:rPr>
        <w:t xml:space="preserve">/SBN </w:t>
      </w:r>
    </w:p>
    <w:p w:rsidR="006312E8" w:rsidRPr="006312E8" w:rsidRDefault="000A5EA6" w:rsidP="006312E8">
      <w:pPr>
        <w:numPr>
          <w:ilvl w:val="0"/>
          <w:numId w:val="43"/>
        </w:numPr>
        <w:spacing w:after="0" w:line="240" w:lineRule="auto"/>
        <w:jc w:val="both"/>
        <w:rPr>
          <w:rFonts w:ascii="Arial" w:eastAsia="Calibri" w:hAnsi="Arial" w:cs="Arial"/>
          <w:b/>
          <w:color w:val="4F6228"/>
          <w:sz w:val="16"/>
          <w:szCs w:val="16"/>
        </w:rPr>
      </w:pPr>
      <w:hyperlink w:anchor="D0012011" w:history="1">
        <w:r w:rsidR="006312E8" w:rsidRPr="006312E8">
          <w:rPr>
            <w:rFonts w:ascii="Arial" w:eastAsia="Calibri" w:hAnsi="Arial" w:cs="Arial"/>
            <w:b/>
            <w:color w:val="0000FF"/>
            <w:sz w:val="16"/>
            <w:szCs w:val="16"/>
            <w:u w:val="single"/>
          </w:rPr>
          <w:t>Directiva Nº 001-2011/SBN</w:t>
        </w:r>
      </w:hyperlink>
      <w:r w:rsidR="006312E8" w:rsidRPr="006312E8">
        <w:rPr>
          <w:rFonts w:ascii="Arial" w:eastAsia="Calibri" w:hAnsi="Arial" w:cs="Arial"/>
          <w:b/>
          <w:color w:val="4F6228"/>
          <w:sz w:val="16"/>
          <w:szCs w:val="16"/>
        </w:rPr>
        <w:t>, aprobada por Resolución Nº 014-2011/SBN (art.3, numeral 3.8)</w:t>
      </w:r>
    </w:p>
    <w:p w:rsidR="006312E8" w:rsidRPr="006312E8" w:rsidRDefault="000A5EA6" w:rsidP="006312E8">
      <w:pPr>
        <w:numPr>
          <w:ilvl w:val="0"/>
          <w:numId w:val="43"/>
        </w:numPr>
        <w:spacing w:after="0" w:line="240" w:lineRule="auto"/>
        <w:jc w:val="both"/>
        <w:rPr>
          <w:rFonts w:ascii="Arial" w:eastAsia="Calibri" w:hAnsi="Arial" w:cs="Arial"/>
          <w:b/>
          <w:color w:val="4F6228"/>
          <w:sz w:val="16"/>
          <w:szCs w:val="16"/>
        </w:rPr>
      </w:pPr>
      <w:hyperlink w:anchor="D0022011" w:history="1">
        <w:r w:rsidR="006312E8" w:rsidRPr="006312E8">
          <w:rPr>
            <w:rFonts w:ascii="Arial" w:eastAsia="Calibri" w:hAnsi="Arial" w:cs="Arial"/>
            <w:b/>
            <w:color w:val="0000FF"/>
            <w:sz w:val="16"/>
            <w:szCs w:val="16"/>
            <w:u w:val="single"/>
          </w:rPr>
          <w:t>Directiva Nº 002-2011/SBN</w:t>
        </w:r>
      </w:hyperlink>
      <w:r w:rsidR="006312E8" w:rsidRPr="006312E8">
        <w:rPr>
          <w:rFonts w:ascii="Arial" w:eastAsia="Calibri" w:hAnsi="Arial" w:cs="Arial"/>
          <w:b/>
          <w:color w:val="4F6228"/>
          <w:sz w:val="16"/>
          <w:szCs w:val="16"/>
        </w:rPr>
        <w:t xml:space="preserve">, aprobada por </w:t>
      </w:r>
      <w:hyperlink w:anchor="D0022011" w:history="1">
        <w:r w:rsidR="006312E8" w:rsidRPr="006312E8">
          <w:rPr>
            <w:rFonts w:ascii="Arial" w:eastAsia="Calibri" w:hAnsi="Arial" w:cs="Arial"/>
            <w:b/>
            <w:color w:val="4F6228"/>
            <w:sz w:val="16"/>
            <w:szCs w:val="16"/>
          </w:rPr>
          <w:t>Resolución Nº 017-2011/SBN</w:t>
        </w:r>
      </w:hyperlink>
      <w:r w:rsidR="006312E8" w:rsidRPr="006312E8">
        <w:rPr>
          <w:rFonts w:ascii="Arial" w:eastAsia="Calibri" w:hAnsi="Arial" w:cs="Arial"/>
          <w:b/>
          <w:color w:val="4F6228"/>
          <w:sz w:val="16"/>
          <w:szCs w:val="16"/>
        </w:rPr>
        <w:t xml:space="preserve"> (art.6, numeral 6.2)</w:t>
      </w:r>
    </w:p>
    <w:p w:rsidR="006312E8" w:rsidRPr="006312E8" w:rsidRDefault="000A5EA6" w:rsidP="006312E8">
      <w:pPr>
        <w:numPr>
          <w:ilvl w:val="0"/>
          <w:numId w:val="43"/>
        </w:numPr>
        <w:spacing w:after="0" w:line="240" w:lineRule="auto"/>
        <w:jc w:val="both"/>
        <w:rPr>
          <w:rFonts w:ascii="Arial" w:eastAsia="Calibri" w:hAnsi="Arial" w:cs="Arial"/>
          <w:b/>
          <w:color w:val="4F6228"/>
          <w:sz w:val="16"/>
          <w:szCs w:val="16"/>
        </w:rPr>
      </w:pPr>
      <w:hyperlink w:anchor="D0042011" w:history="1">
        <w:r w:rsidR="006312E8" w:rsidRPr="006312E8">
          <w:rPr>
            <w:rFonts w:ascii="Arial" w:eastAsia="Calibri" w:hAnsi="Arial" w:cs="Arial"/>
            <w:b/>
            <w:color w:val="0000FF"/>
            <w:sz w:val="16"/>
            <w:szCs w:val="16"/>
            <w:u w:val="single"/>
          </w:rPr>
          <w:t>Directiva Nº 004-2011/SBN</w:t>
        </w:r>
      </w:hyperlink>
      <w:r w:rsidR="006312E8" w:rsidRPr="006312E8">
        <w:rPr>
          <w:rFonts w:ascii="Arial" w:eastAsia="Calibri" w:hAnsi="Arial" w:cs="Arial"/>
          <w:b/>
          <w:color w:val="4F6228"/>
          <w:sz w:val="16"/>
          <w:szCs w:val="16"/>
        </w:rPr>
        <w:t>, aprobada por Resolución Nº 044-2011/SBN (art. 3, numeral 3.28)</w:t>
      </w:r>
    </w:p>
    <w:p w:rsidR="006312E8" w:rsidRPr="006312E8" w:rsidRDefault="000A5EA6" w:rsidP="006312E8">
      <w:pPr>
        <w:numPr>
          <w:ilvl w:val="0"/>
          <w:numId w:val="43"/>
        </w:numPr>
        <w:spacing w:after="0" w:line="240" w:lineRule="auto"/>
        <w:jc w:val="both"/>
        <w:rPr>
          <w:rFonts w:ascii="Arial" w:eastAsia="Calibri" w:hAnsi="Arial" w:cs="Arial"/>
          <w:b/>
          <w:color w:val="4F6228"/>
          <w:sz w:val="16"/>
          <w:szCs w:val="16"/>
        </w:rPr>
      </w:pPr>
      <w:hyperlink w:anchor="D0052011" w:history="1">
        <w:r w:rsidR="006312E8" w:rsidRPr="006312E8">
          <w:rPr>
            <w:rFonts w:ascii="Arial" w:eastAsia="Calibri" w:hAnsi="Arial" w:cs="Arial"/>
            <w:b/>
            <w:color w:val="0000FF"/>
            <w:sz w:val="16"/>
            <w:szCs w:val="16"/>
            <w:u w:val="single"/>
          </w:rPr>
          <w:t>Directiva Nº 005-2011/SBN</w:t>
        </w:r>
      </w:hyperlink>
      <w:r w:rsidR="006312E8" w:rsidRPr="006312E8">
        <w:rPr>
          <w:rFonts w:ascii="Arial" w:eastAsia="Calibri" w:hAnsi="Arial" w:cs="Arial"/>
          <w:b/>
          <w:color w:val="4F6228"/>
          <w:sz w:val="16"/>
          <w:szCs w:val="16"/>
        </w:rPr>
        <w:t>, aprobada por Resolución Nº 050-2011/SBN (art. 3, numeral 3.10)</w:t>
      </w:r>
    </w:p>
    <w:p w:rsidR="006312E8" w:rsidRPr="006312E8" w:rsidRDefault="000A5EA6" w:rsidP="006312E8">
      <w:pPr>
        <w:numPr>
          <w:ilvl w:val="0"/>
          <w:numId w:val="43"/>
        </w:numPr>
        <w:spacing w:after="0" w:line="240" w:lineRule="auto"/>
        <w:jc w:val="both"/>
        <w:rPr>
          <w:rFonts w:ascii="Arial" w:eastAsia="Calibri" w:hAnsi="Arial" w:cs="Arial"/>
          <w:b/>
          <w:color w:val="4F6228"/>
          <w:sz w:val="16"/>
          <w:szCs w:val="16"/>
        </w:rPr>
      </w:pPr>
      <w:hyperlink w:anchor="D0052013" w:history="1">
        <w:r w:rsidR="006312E8" w:rsidRPr="006312E8">
          <w:rPr>
            <w:rFonts w:ascii="Arial" w:eastAsia="Calibri" w:hAnsi="Arial" w:cs="Arial"/>
            <w:b/>
            <w:color w:val="0000FF"/>
            <w:sz w:val="16"/>
            <w:szCs w:val="16"/>
            <w:u w:val="single"/>
          </w:rPr>
          <w:t>Directiva Nº 005-2013/SBN</w:t>
        </w:r>
      </w:hyperlink>
      <w:r w:rsidR="006312E8" w:rsidRPr="006312E8">
        <w:rPr>
          <w:rFonts w:ascii="Arial" w:eastAsia="Calibri" w:hAnsi="Arial" w:cs="Arial"/>
          <w:b/>
          <w:color w:val="4F6228"/>
          <w:sz w:val="16"/>
          <w:szCs w:val="16"/>
        </w:rPr>
        <w:t>, aprobada por Resolución Nº 067-2013/SBN (art. 7 numeral 7.10)</w:t>
      </w:r>
    </w:p>
    <w:p w:rsidR="006312E8" w:rsidRPr="006312E8" w:rsidRDefault="006312E8" w:rsidP="006312E8">
      <w:pPr>
        <w:spacing w:after="0" w:line="240" w:lineRule="auto"/>
        <w:ind w:left="720"/>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23.- Del plazo para registrar la información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Las entidades deberán registrar en el SINABIP la información de los actos vinculados sobre los bienes estatales, en el plazo de diez (10) días hábiles contados a partir de la expedición de la Resolución que corresponda o de suscrito el respectivo Contrato. En el caso de bienes inscribibles en los Registros Públicos, el plazo se contará desde la inscripción registral.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124" w:hanging="2124"/>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6312E8">
      <w:pPr>
        <w:numPr>
          <w:ilvl w:val="0"/>
          <w:numId w:val="43"/>
        </w:numPr>
        <w:spacing w:after="0" w:line="240" w:lineRule="auto"/>
        <w:jc w:val="both"/>
        <w:rPr>
          <w:rFonts w:ascii="Arial" w:eastAsia="Calibri" w:hAnsi="Arial" w:cs="Arial"/>
          <w:b/>
          <w:color w:val="4F6228"/>
          <w:sz w:val="16"/>
          <w:szCs w:val="16"/>
        </w:rPr>
      </w:pPr>
      <w:hyperlink w:anchor="D0022011" w:history="1">
        <w:r w:rsidR="006312E8" w:rsidRPr="006312E8">
          <w:rPr>
            <w:rFonts w:ascii="Arial" w:eastAsia="Calibri" w:hAnsi="Arial" w:cs="Arial"/>
            <w:b/>
            <w:color w:val="0000FF"/>
            <w:sz w:val="16"/>
            <w:szCs w:val="16"/>
            <w:u w:val="single"/>
          </w:rPr>
          <w:t>Directiva Nº 002-2011/SBN,</w:t>
        </w:r>
      </w:hyperlink>
      <w:r w:rsidR="006312E8" w:rsidRPr="006312E8">
        <w:rPr>
          <w:rFonts w:ascii="Arial" w:eastAsia="Calibri" w:hAnsi="Arial" w:cs="Arial"/>
          <w:b/>
          <w:color w:val="4F6228"/>
          <w:sz w:val="16"/>
          <w:szCs w:val="16"/>
        </w:rPr>
        <w:t xml:space="preserve"> aprobada por </w:t>
      </w:r>
      <w:hyperlink w:anchor="D0022011" w:history="1">
        <w:r w:rsidR="006312E8" w:rsidRPr="006312E8">
          <w:rPr>
            <w:rFonts w:ascii="Arial" w:eastAsia="Calibri" w:hAnsi="Arial" w:cs="Arial"/>
            <w:b/>
            <w:color w:val="4F6228"/>
            <w:sz w:val="16"/>
            <w:szCs w:val="16"/>
          </w:rPr>
          <w:t>Resolución Nº 017-2011-SBN</w:t>
        </w:r>
      </w:hyperlink>
      <w:r w:rsidR="006312E8" w:rsidRPr="006312E8">
        <w:rPr>
          <w:rFonts w:ascii="Arial" w:eastAsia="Calibri" w:hAnsi="Arial" w:cs="Arial"/>
          <w:b/>
          <w:color w:val="4F6228"/>
          <w:sz w:val="16"/>
          <w:szCs w:val="16"/>
        </w:rPr>
        <w:t xml:space="preserve"> (art.6, numeral 6.5, apartado 6.5.2)</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24.- De la obligatoriedad de remitir información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Tratándose de organismos formalizadores de propiedad y que tengan a su cargo la aprobación de habilitaciones urbanas, deberán registrar en el SINABIP y/o remitir a la SBN, la información referida sólo a las áreas de equipamiento urbano, usos comunales y/o aportes reglamentarios, debiendo proporcionar en todos los casos los planos de Trazado y Lotización de las áreas antes señaladas, los títulos de afectación en uso y partidas registrales correspondientes.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124" w:hanging="2124"/>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6312E8">
      <w:pPr>
        <w:numPr>
          <w:ilvl w:val="0"/>
          <w:numId w:val="43"/>
        </w:numPr>
        <w:spacing w:after="0" w:line="240" w:lineRule="auto"/>
        <w:jc w:val="both"/>
        <w:rPr>
          <w:rFonts w:ascii="Arial" w:eastAsia="Calibri" w:hAnsi="Arial" w:cs="Arial"/>
          <w:b/>
          <w:color w:val="4F6228"/>
          <w:sz w:val="16"/>
          <w:szCs w:val="16"/>
        </w:rPr>
      </w:pPr>
      <w:hyperlink w:anchor="ley29151" w:history="1">
        <w:r w:rsidR="006312E8" w:rsidRPr="006312E8">
          <w:rPr>
            <w:rFonts w:ascii="Arial" w:eastAsia="Calibri" w:hAnsi="Arial" w:cs="Arial"/>
            <w:b/>
            <w:color w:val="0000FF"/>
            <w:sz w:val="16"/>
            <w:szCs w:val="16"/>
            <w:u w:val="single"/>
          </w:rPr>
          <w:t>Ley Nº 29151</w:t>
        </w:r>
      </w:hyperlink>
      <w:r w:rsidR="006312E8" w:rsidRPr="006312E8">
        <w:rPr>
          <w:rFonts w:ascii="Arial" w:eastAsia="Calibri" w:hAnsi="Arial" w:cs="Arial"/>
          <w:b/>
          <w:color w:val="4F6228"/>
          <w:sz w:val="16"/>
          <w:szCs w:val="16"/>
        </w:rPr>
        <w:t xml:space="preserve"> (art. 12)</w:t>
      </w:r>
    </w:p>
    <w:p w:rsidR="006312E8" w:rsidRPr="006312E8" w:rsidRDefault="000A5EA6" w:rsidP="006312E8">
      <w:pPr>
        <w:numPr>
          <w:ilvl w:val="0"/>
          <w:numId w:val="43"/>
        </w:numPr>
        <w:spacing w:after="0" w:line="240" w:lineRule="auto"/>
        <w:contextualSpacing/>
        <w:jc w:val="both"/>
        <w:rPr>
          <w:rFonts w:ascii="Arial" w:eastAsia="Calibri" w:hAnsi="Arial" w:cs="Arial"/>
          <w:lang w:val="es-ES"/>
        </w:rPr>
      </w:pPr>
      <w:hyperlink w:anchor="D0022011" w:history="1">
        <w:r w:rsidR="006312E8" w:rsidRPr="006312E8">
          <w:rPr>
            <w:rFonts w:ascii="Arial" w:eastAsia="Calibri" w:hAnsi="Arial" w:cs="Arial"/>
            <w:b/>
            <w:color w:val="0000FF"/>
            <w:sz w:val="16"/>
            <w:szCs w:val="16"/>
            <w:u w:val="single"/>
          </w:rPr>
          <w:t>Directiva Nº 002-2011/SBN</w:t>
        </w:r>
      </w:hyperlink>
      <w:r w:rsidR="006312E8" w:rsidRPr="006312E8">
        <w:rPr>
          <w:rFonts w:ascii="Arial" w:eastAsia="Calibri" w:hAnsi="Arial" w:cs="Arial"/>
          <w:b/>
          <w:color w:val="4F6228"/>
          <w:sz w:val="16"/>
          <w:szCs w:val="16"/>
        </w:rPr>
        <w:t xml:space="preserve">, aprobada por </w:t>
      </w:r>
      <w:hyperlink w:anchor="D0022011" w:history="1">
        <w:r w:rsidR="006312E8" w:rsidRPr="006312E8">
          <w:rPr>
            <w:rFonts w:ascii="Arial" w:eastAsia="Calibri" w:hAnsi="Arial" w:cs="Arial"/>
            <w:b/>
            <w:color w:val="4F6228"/>
            <w:sz w:val="16"/>
            <w:szCs w:val="16"/>
          </w:rPr>
          <w:t>Resolución Nº 017-2011-SBN</w:t>
        </w:r>
      </w:hyperlink>
      <w:r w:rsidR="006312E8" w:rsidRPr="006312E8">
        <w:rPr>
          <w:rFonts w:ascii="Arial" w:eastAsia="Calibri" w:hAnsi="Arial" w:cs="Arial"/>
          <w:b/>
          <w:color w:val="4F6228"/>
          <w:sz w:val="16"/>
          <w:szCs w:val="16"/>
        </w:rPr>
        <w:t xml:space="preserve"> (art.6, numeral 6.2)</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25.- De los derechos de tramitación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Cualquier persona podrá solicitar información contenida en el SINABIP, previo pago de la tasa correspondiente que se establezca en el Texto Único de Procedimientos Administrativos - TUPA de la SBN.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Asimismo, para otros procedimientos que se tramiten, la SBN está facultada para requerir el pago de la tasa correspondiente que se establezca en su Texto Único de Procedimientos Administrativos - TUPA. Igualmente en el caso de los servicios no exclusivos que brinde, la SBN está facultada para solicitar el pago del precio aprobado por resolución del titular de la SBN. (*)</w:t>
      </w:r>
    </w:p>
    <w:p w:rsidR="006312E8" w:rsidRPr="006312E8" w:rsidRDefault="006312E8" w:rsidP="006312E8">
      <w:pPr>
        <w:spacing w:after="0" w:line="240" w:lineRule="auto"/>
        <w:jc w:val="both"/>
        <w:rPr>
          <w:rFonts w:ascii="Arial" w:eastAsia="Calibri" w:hAnsi="Arial" w:cs="Arial"/>
          <w:b/>
          <w:color w:val="FF0000"/>
          <w:sz w:val="16"/>
          <w:szCs w:val="16"/>
          <w:lang w:val="es-ES"/>
        </w:rPr>
      </w:pPr>
    </w:p>
    <w:p w:rsidR="006312E8" w:rsidRPr="006312E8" w:rsidRDefault="006312E8" w:rsidP="006312E8">
      <w:pPr>
        <w:spacing w:after="0" w:line="240" w:lineRule="auto"/>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Artículo modificado por el Artículo 1 del Decreto Supremo Nº 013-2012-VIVIENDA, publicado el 03 junio 2012</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124" w:hanging="2124"/>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6312E8">
      <w:pPr>
        <w:numPr>
          <w:ilvl w:val="0"/>
          <w:numId w:val="44"/>
        </w:numPr>
        <w:spacing w:after="0" w:line="240" w:lineRule="auto"/>
        <w:jc w:val="both"/>
        <w:rPr>
          <w:rFonts w:ascii="Arial" w:eastAsia="Calibri" w:hAnsi="Arial" w:cs="Arial"/>
          <w:b/>
          <w:color w:val="4F6228"/>
          <w:sz w:val="16"/>
          <w:szCs w:val="16"/>
        </w:rPr>
      </w:pPr>
      <w:hyperlink w:anchor="DS0212012" w:history="1">
        <w:r w:rsidR="006312E8" w:rsidRPr="006312E8">
          <w:rPr>
            <w:rFonts w:ascii="Arial" w:eastAsia="Calibri" w:hAnsi="Arial" w:cs="Arial"/>
            <w:b/>
            <w:color w:val="0000FF"/>
            <w:sz w:val="16"/>
            <w:szCs w:val="16"/>
            <w:u w:val="single"/>
          </w:rPr>
          <w:t>Decreto Supremo Nº 021-2012-VIVIENDA</w:t>
        </w:r>
      </w:hyperlink>
      <w:r w:rsidR="006312E8" w:rsidRPr="006312E8">
        <w:rPr>
          <w:rFonts w:ascii="Arial" w:eastAsia="Calibri" w:hAnsi="Arial" w:cs="Arial"/>
          <w:b/>
          <w:color w:val="4F6228"/>
          <w:sz w:val="16"/>
          <w:szCs w:val="16"/>
        </w:rPr>
        <w:t xml:space="preserve"> (anexo Nº 1, servicios brindados en exclusividad, proced. 1y 2)</w:t>
      </w:r>
    </w:p>
    <w:p w:rsidR="006312E8" w:rsidRPr="006312E8" w:rsidRDefault="000A5EA6" w:rsidP="006312E8">
      <w:pPr>
        <w:numPr>
          <w:ilvl w:val="0"/>
          <w:numId w:val="44"/>
        </w:numPr>
        <w:spacing w:after="0" w:line="240" w:lineRule="auto"/>
        <w:jc w:val="both"/>
        <w:rPr>
          <w:rFonts w:ascii="Arial" w:eastAsia="Calibri" w:hAnsi="Arial" w:cs="Arial"/>
          <w:b/>
          <w:color w:val="4F6228"/>
          <w:sz w:val="16"/>
          <w:szCs w:val="16"/>
        </w:rPr>
      </w:pPr>
      <w:hyperlink w:anchor="DS0162010" w:history="1">
        <w:r w:rsidR="006312E8" w:rsidRPr="006312E8">
          <w:rPr>
            <w:rFonts w:ascii="Arial" w:eastAsia="Calibri" w:hAnsi="Arial" w:cs="Arial"/>
            <w:b/>
            <w:color w:val="0000FF"/>
            <w:sz w:val="16"/>
            <w:szCs w:val="16"/>
            <w:u w:val="single"/>
          </w:rPr>
          <w:t>Decreto Supremo Nº 016-2010-VIVIENDA</w:t>
        </w:r>
      </w:hyperlink>
      <w:r w:rsidR="006312E8" w:rsidRPr="006312E8">
        <w:rPr>
          <w:rFonts w:ascii="Arial" w:eastAsia="Calibri" w:hAnsi="Arial" w:cs="Arial"/>
          <w:b/>
          <w:color w:val="4F6228"/>
          <w:sz w:val="16"/>
          <w:szCs w:val="16"/>
        </w:rPr>
        <w:t xml:space="preserve"> (art. 39, literal g)</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bookmarkStart w:id="47" w:name="_Toc392856135"/>
      <w:bookmarkStart w:id="48" w:name="_Toc399335408"/>
      <w:r w:rsidRPr="006312E8">
        <w:rPr>
          <w:rFonts w:ascii="Arial" w:eastAsia="Calibri" w:hAnsi="Arial" w:cs="Arial"/>
          <w:b/>
          <w:lang w:val="es-ES"/>
        </w:rPr>
        <w:t>CAPÍTULO VI</w:t>
      </w:r>
      <w:bookmarkEnd w:id="47"/>
      <w:bookmarkEnd w:id="48"/>
    </w:p>
    <w:p w:rsidR="006312E8" w:rsidRPr="006312E8" w:rsidRDefault="006312E8" w:rsidP="006312E8">
      <w:pPr>
        <w:spacing w:after="0" w:line="240" w:lineRule="auto"/>
        <w:jc w:val="center"/>
        <w:rPr>
          <w:rFonts w:ascii="Arial" w:eastAsia="Calibri" w:hAnsi="Arial" w:cs="Arial"/>
          <w:b/>
          <w:lang w:val="es-ES"/>
        </w:rPr>
      </w:pPr>
      <w:bookmarkStart w:id="49" w:name="_Toc392856136"/>
      <w:bookmarkStart w:id="50" w:name="_Toc399335409"/>
      <w:r w:rsidRPr="006312E8">
        <w:rPr>
          <w:rFonts w:ascii="Arial" w:eastAsia="Calibri" w:hAnsi="Arial" w:cs="Arial"/>
          <w:b/>
          <w:lang w:val="es-ES"/>
        </w:rPr>
        <w:t>DEL ORGANO DE REVISION</w:t>
      </w:r>
      <w:bookmarkEnd w:id="49"/>
      <w:bookmarkEnd w:id="50"/>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26.- De las materias de competencia</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El Órgano de Revisión será competente para conocer de: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1134" w:hanging="708"/>
        <w:jc w:val="both"/>
        <w:rPr>
          <w:rFonts w:ascii="Arial" w:eastAsia="Calibri" w:hAnsi="Arial" w:cs="Arial"/>
          <w:lang w:val="es-ES"/>
        </w:rPr>
      </w:pPr>
      <w:r w:rsidRPr="006312E8">
        <w:rPr>
          <w:rFonts w:ascii="Arial" w:eastAsia="Calibri" w:hAnsi="Arial" w:cs="Arial"/>
          <w:lang w:val="es-ES"/>
        </w:rPr>
        <w:t xml:space="preserve">26.1 </w:t>
      </w:r>
      <w:r w:rsidRPr="006312E8">
        <w:rPr>
          <w:rFonts w:ascii="Arial" w:eastAsia="Calibri" w:hAnsi="Arial" w:cs="Arial"/>
          <w:lang w:val="es-ES"/>
        </w:rPr>
        <w:tab/>
        <w:t>Los conflictos entre entidades respecto de los actos administrativos que recaigan sobre bienes estatales.</w:t>
      </w:r>
    </w:p>
    <w:p w:rsidR="006312E8" w:rsidRPr="006312E8" w:rsidRDefault="006312E8" w:rsidP="006312E8">
      <w:pPr>
        <w:spacing w:after="0" w:line="240" w:lineRule="auto"/>
        <w:ind w:left="1134" w:hanging="708"/>
        <w:jc w:val="both"/>
        <w:rPr>
          <w:rFonts w:ascii="Arial" w:eastAsia="Calibri" w:hAnsi="Arial" w:cs="Arial"/>
          <w:lang w:val="es-ES"/>
        </w:rPr>
      </w:pPr>
    </w:p>
    <w:p w:rsidR="006312E8" w:rsidRPr="006312E8" w:rsidRDefault="006312E8" w:rsidP="006312E8">
      <w:pPr>
        <w:spacing w:after="0" w:line="240" w:lineRule="auto"/>
        <w:ind w:left="1134" w:hanging="708"/>
        <w:jc w:val="both"/>
        <w:rPr>
          <w:rFonts w:ascii="Arial" w:eastAsia="Calibri" w:hAnsi="Arial" w:cs="Arial"/>
          <w:lang w:val="es-ES"/>
        </w:rPr>
      </w:pPr>
      <w:r w:rsidRPr="006312E8">
        <w:rPr>
          <w:rFonts w:ascii="Arial" w:eastAsia="Calibri" w:hAnsi="Arial" w:cs="Arial"/>
          <w:lang w:val="es-ES"/>
        </w:rPr>
        <w:t xml:space="preserve">26.2 </w:t>
      </w:r>
      <w:r w:rsidRPr="006312E8">
        <w:rPr>
          <w:rFonts w:ascii="Arial" w:eastAsia="Calibri" w:hAnsi="Arial" w:cs="Arial"/>
          <w:lang w:val="es-ES"/>
        </w:rPr>
        <w:tab/>
        <w:t>Las oposiciones que formulen las entidades en los procedimientos de saneamiento contenidos en el Decreto Supremo Nº 130-2001-EF.</w:t>
      </w:r>
    </w:p>
    <w:p w:rsidR="006312E8" w:rsidRPr="006312E8" w:rsidRDefault="006312E8" w:rsidP="006312E8">
      <w:pPr>
        <w:spacing w:after="0" w:line="240" w:lineRule="auto"/>
        <w:ind w:left="1134" w:hanging="708"/>
        <w:jc w:val="both"/>
        <w:rPr>
          <w:rFonts w:ascii="Arial" w:eastAsia="Calibri" w:hAnsi="Arial" w:cs="Arial"/>
          <w:lang w:val="es-ES"/>
        </w:rPr>
      </w:pPr>
    </w:p>
    <w:p w:rsidR="006312E8" w:rsidRPr="006312E8" w:rsidRDefault="006312E8" w:rsidP="006312E8">
      <w:pPr>
        <w:spacing w:after="0" w:line="240" w:lineRule="auto"/>
        <w:ind w:left="1134" w:hanging="708"/>
        <w:jc w:val="both"/>
        <w:rPr>
          <w:rFonts w:ascii="Arial" w:eastAsia="Calibri" w:hAnsi="Arial" w:cs="Arial"/>
          <w:lang w:val="es-ES"/>
        </w:rPr>
      </w:pPr>
      <w:r w:rsidRPr="006312E8">
        <w:rPr>
          <w:rFonts w:ascii="Arial" w:eastAsia="Calibri" w:hAnsi="Arial" w:cs="Arial"/>
          <w:lang w:val="es-ES"/>
        </w:rPr>
        <w:t xml:space="preserve">26.3 </w:t>
      </w:r>
      <w:r w:rsidRPr="006312E8">
        <w:rPr>
          <w:rFonts w:ascii="Arial" w:eastAsia="Calibri" w:hAnsi="Arial" w:cs="Arial"/>
          <w:lang w:val="es-ES"/>
        </w:rPr>
        <w:tab/>
        <w:t>Los conflictos que se generen por la identificación y reserva de bienes del Estado para proyectos de interés y alcance nacional.</w:t>
      </w:r>
    </w:p>
    <w:p w:rsidR="006312E8" w:rsidRPr="006312E8" w:rsidRDefault="006312E8" w:rsidP="006312E8">
      <w:pPr>
        <w:spacing w:after="0" w:line="240" w:lineRule="auto"/>
        <w:ind w:left="1134" w:hanging="708"/>
        <w:jc w:val="both"/>
        <w:rPr>
          <w:rFonts w:ascii="Arial" w:eastAsia="Calibri" w:hAnsi="Arial" w:cs="Arial"/>
          <w:lang w:val="es-ES"/>
        </w:rPr>
      </w:pPr>
    </w:p>
    <w:p w:rsidR="006312E8" w:rsidRPr="006312E8" w:rsidRDefault="006312E8" w:rsidP="006312E8">
      <w:pPr>
        <w:spacing w:after="0" w:line="240" w:lineRule="auto"/>
        <w:ind w:left="1134" w:hanging="708"/>
        <w:jc w:val="both"/>
        <w:rPr>
          <w:rFonts w:ascii="Arial" w:eastAsia="Calibri" w:hAnsi="Arial" w:cs="Arial"/>
          <w:lang w:val="es-ES"/>
        </w:rPr>
      </w:pPr>
      <w:r w:rsidRPr="006312E8">
        <w:rPr>
          <w:rFonts w:ascii="Arial" w:eastAsia="Calibri" w:hAnsi="Arial" w:cs="Arial"/>
          <w:lang w:val="es-ES"/>
        </w:rPr>
        <w:t xml:space="preserve">26.4 </w:t>
      </w:r>
      <w:r w:rsidRPr="006312E8">
        <w:rPr>
          <w:rFonts w:ascii="Arial" w:eastAsia="Calibri" w:hAnsi="Arial" w:cs="Arial"/>
          <w:lang w:val="es-ES"/>
        </w:rPr>
        <w:tab/>
        <w:t>Los conflictos que se generen por la identificación, calificación y declaración de las condiciones de los terrenos del Estado o el levantamiento de las mismas.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124" w:hanging="2124"/>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6312E8">
      <w:pPr>
        <w:numPr>
          <w:ilvl w:val="0"/>
          <w:numId w:val="44"/>
        </w:numPr>
        <w:spacing w:after="0" w:line="240" w:lineRule="auto"/>
        <w:jc w:val="both"/>
        <w:rPr>
          <w:rFonts w:ascii="Arial" w:eastAsia="Calibri" w:hAnsi="Arial" w:cs="Arial"/>
          <w:b/>
          <w:color w:val="4F6228"/>
          <w:sz w:val="16"/>
          <w:szCs w:val="16"/>
        </w:rPr>
      </w:pPr>
      <w:hyperlink w:anchor="ley29151" w:history="1">
        <w:r w:rsidR="006312E8" w:rsidRPr="006312E8">
          <w:rPr>
            <w:rFonts w:ascii="Arial" w:eastAsia="Calibri" w:hAnsi="Arial" w:cs="Arial"/>
            <w:b/>
            <w:color w:val="0000FF"/>
            <w:sz w:val="16"/>
            <w:szCs w:val="16"/>
            <w:u w:val="single"/>
          </w:rPr>
          <w:t>Ley Nº 29151</w:t>
        </w:r>
      </w:hyperlink>
      <w:r w:rsidR="006312E8" w:rsidRPr="006312E8">
        <w:rPr>
          <w:rFonts w:ascii="Arial" w:eastAsia="Calibri" w:hAnsi="Arial" w:cs="Arial"/>
          <w:b/>
          <w:color w:val="4F6228"/>
          <w:sz w:val="16"/>
          <w:szCs w:val="16"/>
        </w:rPr>
        <w:t xml:space="preserve"> (art. 16)</w:t>
      </w:r>
    </w:p>
    <w:p w:rsidR="006312E8" w:rsidRPr="006312E8" w:rsidRDefault="000A5EA6" w:rsidP="006312E8">
      <w:pPr>
        <w:numPr>
          <w:ilvl w:val="0"/>
          <w:numId w:val="44"/>
        </w:numPr>
        <w:spacing w:after="0" w:line="240" w:lineRule="auto"/>
        <w:jc w:val="both"/>
        <w:rPr>
          <w:rFonts w:ascii="Arial" w:eastAsia="Calibri" w:hAnsi="Arial" w:cs="Arial"/>
          <w:b/>
          <w:color w:val="4F6228"/>
          <w:sz w:val="16"/>
          <w:szCs w:val="16"/>
        </w:rPr>
      </w:pPr>
      <w:hyperlink w:anchor="DS0162010" w:history="1">
        <w:r w:rsidR="006312E8" w:rsidRPr="006312E8">
          <w:rPr>
            <w:rFonts w:ascii="Arial" w:eastAsia="Calibri" w:hAnsi="Arial" w:cs="Arial"/>
            <w:b/>
            <w:color w:val="0000FF"/>
            <w:sz w:val="16"/>
            <w:szCs w:val="16"/>
            <w:u w:val="single"/>
          </w:rPr>
          <w:t>Decreto Supremo Nº 016-2010-VIVIENDA</w:t>
        </w:r>
      </w:hyperlink>
      <w:r w:rsidR="006312E8" w:rsidRPr="006312E8">
        <w:rPr>
          <w:rFonts w:ascii="Arial" w:eastAsia="Calibri" w:hAnsi="Arial" w:cs="Arial"/>
          <w:b/>
          <w:color w:val="4F6228"/>
          <w:sz w:val="16"/>
          <w:szCs w:val="16"/>
        </w:rPr>
        <w:t xml:space="preserve"> (art 17)</w:t>
      </w:r>
    </w:p>
    <w:p w:rsidR="006312E8" w:rsidRPr="006312E8" w:rsidRDefault="000A5EA6" w:rsidP="006312E8">
      <w:pPr>
        <w:numPr>
          <w:ilvl w:val="0"/>
          <w:numId w:val="44"/>
        </w:numPr>
        <w:spacing w:after="0" w:line="240" w:lineRule="auto"/>
        <w:jc w:val="both"/>
        <w:rPr>
          <w:rFonts w:ascii="Arial" w:eastAsia="Calibri" w:hAnsi="Arial" w:cs="Arial"/>
          <w:b/>
          <w:color w:val="4F6228"/>
          <w:sz w:val="16"/>
          <w:szCs w:val="16"/>
        </w:rPr>
      </w:pPr>
      <w:hyperlink w:anchor="DS1302001" w:history="1">
        <w:r w:rsidR="006312E8" w:rsidRPr="006312E8">
          <w:rPr>
            <w:rFonts w:ascii="Arial" w:eastAsia="Calibri" w:hAnsi="Arial" w:cs="Arial"/>
            <w:b/>
            <w:color w:val="4F6228"/>
            <w:sz w:val="16"/>
            <w:szCs w:val="16"/>
          </w:rPr>
          <w:t>Decreto Supremo Nº 130-2001-EF</w:t>
        </w:r>
      </w:hyperlink>
      <w:r w:rsidR="006312E8" w:rsidRPr="006312E8">
        <w:rPr>
          <w:rFonts w:ascii="Arial" w:eastAsia="Calibri" w:hAnsi="Arial" w:cs="Arial"/>
          <w:b/>
          <w:color w:val="4F6228"/>
          <w:sz w:val="16"/>
          <w:szCs w:val="16"/>
        </w:rPr>
        <w:t xml:space="preserve"> (art. 8)</w:t>
      </w: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27.- De las materias excluidas de la competencia del Órgano de Revisión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No serán de competencia del órgano de revisión: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1134" w:hanging="708"/>
        <w:jc w:val="both"/>
        <w:rPr>
          <w:rFonts w:ascii="Arial" w:eastAsia="Calibri" w:hAnsi="Arial" w:cs="Arial"/>
          <w:lang w:val="es-ES"/>
        </w:rPr>
      </w:pPr>
      <w:r w:rsidRPr="006312E8">
        <w:rPr>
          <w:rFonts w:ascii="Arial" w:eastAsia="Calibri" w:hAnsi="Arial" w:cs="Arial"/>
          <w:lang w:val="es-ES"/>
        </w:rPr>
        <w:t xml:space="preserve">27.1 </w:t>
      </w:r>
      <w:r w:rsidRPr="006312E8">
        <w:rPr>
          <w:rFonts w:ascii="Arial" w:eastAsia="Calibri" w:hAnsi="Arial" w:cs="Arial"/>
          <w:lang w:val="es-ES"/>
        </w:rPr>
        <w:tab/>
        <w:t>Los actos administrativos respecto de los bienes estatales expedidos por las entidades en el ejercicio de sus competencias.</w:t>
      </w:r>
    </w:p>
    <w:p w:rsidR="006312E8" w:rsidRPr="006312E8" w:rsidRDefault="006312E8" w:rsidP="006312E8">
      <w:pPr>
        <w:spacing w:after="0" w:line="240" w:lineRule="auto"/>
        <w:ind w:left="1134" w:hanging="708"/>
        <w:jc w:val="both"/>
        <w:rPr>
          <w:rFonts w:ascii="Arial" w:eastAsia="Calibri" w:hAnsi="Arial" w:cs="Arial"/>
          <w:lang w:val="es-ES"/>
        </w:rPr>
      </w:pPr>
    </w:p>
    <w:p w:rsidR="006312E8" w:rsidRPr="006312E8" w:rsidRDefault="006312E8" w:rsidP="006312E8">
      <w:pPr>
        <w:spacing w:after="0" w:line="240" w:lineRule="auto"/>
        <w:ind w:left="1134" w:hanging="708"/>
        <w:jc w:val="both"/>
        <w:rPr>
          <w:rFonts w:ascii="Arial" w:eastAsia="Calibri" w:hAnsi="Arial" w:cs="Arial"/>
          <w:lang w:val="es-ES"/>
        </w:rPr>
      </w:pPr>
      <w:r w:rsidRPr="006312E8">
        <w:rPr>
          <w:rFonts w:ascii="Arial" w:eastAsia="Calibri" w:hAnsi="Arial" w:cs="Arial"/>
          <w:lang w:val="es-ES"/>
        </w:rPr>
        <w:t xml:space="preserve">27.2 </w:t>
      </w:r>
      <w:r w:rsidRPr="006312E8">
        <w:rPr>
          <w:rFonts w:ascii="Arial" w:eastAsia="Calibri" w:hAnsi="Arial" w:cs="Arial"/>
          <w:lang w:val="es-ES"/>
        </w:rPr>
        <w:tab/>
        <w:t>Los actos denegatorios emanados dentro de los procedimientos regulares ejecutados por las entidades, contenidos en el presente reglamento.</w:t>
      </w:r>
    </w:p>
    <w:p w:rsidR="006312E8" w:rsidRPr="006312E8" w:rsidRDefault="006312E8" w:rsidP="006312E8">
      <w:pPr>
        <w:spacing w:after="0" w:line="240" w:lineRule="auto"/>
        <w:ind w:left="1134" w:hanging="708"/>
        <w:jc w:val="both"/>
        <w:rPr>
          <w:rFonts w:ascii="Arial" w:eastAsia="Calibri" w:hAnsi="Arial" w:cs="Arial"/>
          <w:lang w:val="es-ES"/>
        </w:rPr>
      </w:pPr>
    </w:p>
    <w:p w:rsidR="006312E8" w:rsidRPr="006312E8" w:rsidRDefault="006312E8" w:rsidP="006312E8">
      <w:pPr>
        <w:spacing w:after="0" w:line="240" w:lineRule="auto"/>
        <w:ind w:left="1134" w:hanging="708"/>
        <w:jc w:val="both"/>
        <w:rPr>
          <w:rFonts w:ascii="Arial" w:eastAsia="Calibri" w:hAnsi="Arial" w:cs="Arial"/>
          <w:lang w:val="es-ES"/>
        </w:rPr>
      </w:pPr>
      <w:r w:rsidRPr="006312E8">
        <w:rPr>
          <w:rFonts w:ascii="Arial" w:eastAsia="Calibri" w:hAnsi="Arial" w:cs="Arial"/>
          <w:lang w:val="es-ES"/>
        </w:rPr>
        <w:t xml:space="preserve">27.3 </w:t>
      </w:r>
      <w:r w:rsidRPr="006312E8">
        <w:rPr>
          <w:rFonts w:ascii="Arial" w:eastAsia="Calibri" w:hAnsi="Arial" w:cs="Arial"/>
          <w:lang w:val="es-ES"/>
        </w:rPr>
        <w:tab/>
        <w:t>Las discrepancias que surjan en los procesos de formalización y titulación dispuestos por normas especiales.</w:t>
      </w:r>
    </w:p>
    <w:p w:rsidR="006312E8" w:rsidRPr="006312E8" w:rsidRDefault="006312E8" w:rsidP="006312E8">
      <w:pPr>
        <w:spacing w:after="0" w:line="240" w:lineRule="auto"/>
        <w:ind w:left="1134" w:hanging="708"/>
        <w:jc w:val="both"/>
        <w:rPr>
          <w:rFonts w:ascii="Arial" w:eastAsia="Calibri" w:hAnsi="Arial" w:cs="Arial"/>
          <w:lang w:val="es-ES"/>
        </w:rPr>
      </w:pPr>
    </w:p>
    <w:p w:rsidR="006312E8" w:rsidRPr="006312E8" w:rsidRDefault="006312E8" w:rsidP="006312E8">
      <w:pPr>
        <w:spacing w:after="0" w:line="240" w:lineRule="auto"/>
        <w:ind w:left="1134" w:hanging="708"/>
        <w:jc w:val="both"/>
        <w:rPr>
          <w:rFonts w:ascii="Arial" w:eastAsia="Calibri" w:hAnsi="Arial" w:cs="Arial"/>
          <w:lang w:val="es-ES"/>
        </w:rPr>
      </w:pPr>
      <w:r w:rsidRPr="006312E8">
        <w:rPr>
          <w:rFonts w:ascii="Arial" w:eastAsia="Calibri" w:hAnsi="Arial" w:cs="Arial"/>
          <w:lang w:val="es-ES"/>
        </w:rPr>
        <w:t xml:space="preserve">27.4 </w:t>
      </w:r>
      <w:r w:rsidRPr="006312E8">
        <w:rPr>
          <w:rFonts w:ascii="Arial" w:eastAsia="Calibri" w:hAnsi="Arial" w:cs="Arial"/>
          <w:lang w:val="es-ES"/>
        </w:rPr>
        <w:tab/>
        <w:t>Los conflictos en que se discuten derechos emanados de concesiones.</w:t>
      </w:r>
    </w:p>
    <w:p w:rsidR="006312E8" w:rsidRPr="006312E8" w:rsidRDefault="006312E8" w:rsidP="006312E8">
      <w:pPr>
        <w:spacing w:after="0" w:line="240" w:lineRule="auto"/>
        <w:ind w:left="1134" w:hanging="708"/>
        <w:jc w:val="both"/>
        <w:rPr>
          <w:rFonts w:ascii="Arial" w:eastAsia="Calibri" w:hAnsi="Arial" w:cs="Arial"/>
          <w:lang w:val="es-ES"/>
        </w:rPr>
      </w:pPr>
    </w:p>
    <w:p w:rsidR="006312E8" w:rsidRPr="006312E8" w:rsidRDefault="006312E8" w:rsidP="006312E8">
      <w:pPr>
        <w:spacing w:after="0" w:line="240" w:lineRule="auto"/>
        <w:ind w:left="1134" w:hanging="708"/>
        <w:jc w:val="both"/>
        <w:rPr>
          <w:rFonts w:ascii="Arial" w:eastAsia="Calibri" w:hAnsi="Arial" w:cs="Arial"/>
          <w:lang w:val="es-ES"/>
        </w:rPr>
      </w:pPr>
      <w:r w:rsidRPr="006312E8">
        <w:rPr>
          <w:rFonts w:ascii="Arial" w:eastAsia="Calibri" w:hAnsi="Arial" w:cs="Arial"/>
          <w:lang w:val="es-ES"/>
        </w:rPr>
        <w:t xml:space="preserve">27.5 </w:t>
      </w:r>
      <w:r w:rsidRPr="006312E8">
        <w:rPr>
          <w:rFonts w:ascii="Arial" w:eastAsia="Calibri" w:hAnsi="Arial" w:cs="Arial"/>
          <w:lang w:val="es-ES"/>
        </w:rPr>
        <w:tab/>
        <w:t>Los conflictos que surjan por demarcación territorial.</w:t>
      </w:r>
    </w:p>
    <w:p w:rsidR="006312E8" w:rsidRPr="006312E8" w:rsidRDefault="006312E8" w:rsidP="006312E8">
      <w:pPr>
        <w:spacing w:after="0" w:line="240" w:lineRule="auto"/>
        <w:ind w:left="1134" w:hanging="708"/>
        <w:jc w:val="both"/>
        <w:rPr>
          <w:rFonts w:ascii="Arial" w:eastAsia="Calibri" w:hAnsi="Arial" w:cs="Arial"/>
          <w:lang w:val="es-ES"/>
        </w:rPr>
      </w:pPr>
    </w:p>
    <w:p w:rsidR="006312E8" w:rsidRPr="006312E8" w:rsidRDefault="006312E8" w:rsidP="006312E8">
      <w:pPr>
        <w:spacing w:after="0" w:line="240" w:lineRule="auto"/>
        <w:ind w:left="1134" w:hanging="708"/>
        <w:jc w:val="both"/>
        <w:rPr>
          <w:rFonts w:ascii="Arial" w:eastAsia="Calibri" w:hAnsi="Arial" w:cs="Arial"/>
          <w:lang w:val="es-ES"/>
        </w:rPr>
      </w:pPr>
      <w:r w:rsidRPr="006312E8">
        <w:rPr>
          <w:rFonts w:ascii="Arial" w:eastAsia="Calibri" w:hAnsi="Arial" w:cs="Arial"/>
          <w:lang w:val="es-ES"/>
        </w:rPr>
        <w:t xml:space="preserve">27.6 </w:t>
      </w:r>
      <w:r w:rsidRPr="006312E8">
        <w:rPr>
          <w:rFonts w:ascii="Arial" w:eastAsia="Calibri" w:hAnsi="Arial" w:cs="Arial"/>
          <w:lang w:val="es-ES"/>
        </w:rPr>
        <w:tab/>
        <w:t>Otros conflictos cuya resolución se encuentre regulada por norma legal expresa.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28.- De la conformación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El Órgano de Revisión está integrado por tres (03) miembros, de los cuales uno debe ser abogado, y serán nombrados por Resolución de la SBN.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organización y funcionamiento del Órgano de Revisión será aprobado como parte del Reglamento de Organización y Funciones de la SBN.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124" w:hanging="2124"/>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6312E8">
      <w:pPr>
        <w:numPr>
          <w:ilvl w:val="0"/>
          <w:numId w:val="44"/>
        </w:numPr>
        <w:spacing w:after="0" w:line="240" w:lineRule="auto"/>
        <w:jc w:val="both"/>
        <w:rPr>
          <w:rFonts w:ascii="Arial" w:eastAsia="Calibri" w:hAnsi="Arial" w:cs="Arial"/>
          <w:b/>
          <w:color w:val="4F6228"/>
          <w:sz w:val="16"/>
          <w:szCs w:val="16"/>
        </w:rPr>
      </w:pPr>
      <w:hyperlink w:anchor="ley29151" w:history="1">
        <w:r w:rsidR="006312E8" w:rsidRPr="006312E8">
          <w:rPr>
            <w:rFonts w:ascii="Arial" w:eastAsia="Calibri" w:hAnsi="Arial" w:cs="Arial"/>
            <w:b/>
            <w:color w:val="0000FF"/>
            <w:sz w:val="16"/>
            <w:szCs w:val="16"/>
            <w:u w:val="single"/>
          </w:rPr>
          <w:t>Ley Nº 29151</w:t>
        </w:r>
      </w:hyperlink>
      <w:r w:rsidR="006312E8" w:rsidRPr="006312E8">
        <w:rPr>
          <w:rFonts w:ascii="Arial" w:eastAsia="Calibri" w:hAnsi="Arial" w:cs="Arial"/>
          <w:b/>
          <w:color w:val="4F6228"/>
          <w:sz w:val="16"/>
          <w:szCs w:val="16"/>
        </w:rPr>
        <w:t xml:space="preserve"> (art. 17)</w:t>
      </w:r>
    </w:p>
    <w:p w:rsidR="006312E8" w:rsidRPr="006312E8" w:rsidRDefault="000A5EA6" w:rsidP="006312E8">
      <w:pPr>
        <w:numPr>
          <w:ilvl w:val="0"/>
          <w:numId w:val="44"/>
        </w:numPr>
        <w:spacing w:after="0" w:line="240" w:lineRule="auto"/>
        <w:jc w:val="both"/>
        <w:rPr>
          <w:rFonts w:ascii="Arial" w:eastAsia="Calibri" w:hAnsi="Arial" w:cs="Arial"/>
          <w:b/>
          <w:color w:val="4F6228"/>
          <w:sz w:val="16"/>
          <w:szCs w:val="16"/>
        </w:rPr>
      </w:pPr>
      <w:hyperlink w:anchor="DS0162010" w:history="1">
        <w:r w:rsidR="006312E8" w:rsidRPr="006312E8">
          <w:rPr>
            <w:rFonts w:ascii="Arial" w:eastAsia="Calibri" w:hAnsi="Arial" w:cs="Arial"/>
            <w:b/>
            <w:color w:val="0000FF"/>
            <w:sz w:val="16"/>
            <w:szCs w:val="16"/>
            <w:u w:val="single"/>
          </w:rPr>
          <w:t>Decreto Supremo Nº 016-2010-VIVIENDA</w:t>
        </w:r>
      </w:hyperlink>
      <w:r w:rsidR="006312E8" w:rsidRPr="006312E8">
        <w:rPr>
          <w:rFonts w:ascii="Arial" w:eastAsia="Calibri" w:hAnsi="Arial" w:cs="Arial"/>
          <w:b/>
          <w:color w:val="4F6228"/>
          <w:sz w:val="16"/>
          <w:szCs w:val="16"/>
        </w:rPr>
        <w:t xml:space="preserve"> (art 16)</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29.- De la acreditación del derecho o interés materia del conflicto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Las entidades que decidan someter sus controversias al Órgano de Revisión deberán acreditar de manera indubitable su derecho o interés legítimo sobre el bien o materia en conflicto.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bookmarkStart w:id="51" w:name="_Toc392856137"/>
      <w:bookmarkStart w:id="52" w:name="_Toc399335410"/>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TÍTULO III</w:t>
      </w:r>
      <w:bookmarkEnd w:id="51"/>
      <w:bookmarkEnd w:id="52"/>
    </w:p>
    <w:p w:rsidR="006312E8" w:rsidRPr="006312E8" w:rsidRDefault="006312E8" w:rsidP="006312E8">
      <w:pPr>
        <w:spacing w:after="0" w:line="240" w:lineRule="auto"/>
        <w:jc w:val="center"/>
        <w:rPr>
          <w:rFonts w:ascii="Arial" w:eastAsia="Calibri" w:hAnsi="Arial" w:cs="Arial"/>
          <w:b/>
          <w:lang w:val="es-ES"/>
        </w:rPr>
      </w:pPr>
      <w:bookmarkStart w:id="53" w:name="_Toc392856138"/>
      <w:bookmarkStart w:id="54" w:name="_Toc399335411"/>
      <w:r w:rsidRPr="006312E8">
        <w:rPr>
          <w:rFonts w:ascii="Arial" w:eastAsia="Calibri" w:hAnsi="Arial" w:cs="Arial"/>
          <w:b/>
          <w:lang w:val="es-ES"/>
        </w:rPr>
        <w:t>DE LOS ACTOS VINCULADOS A LOS BIENES ESTATALES</w:t>
      </w:r>
      <w:bookmarkEnd w:id="53"/>
      <w:bookmarkEnd w:id="54"/>
    </w:p>
    <w:p w:rsidR="006312E8" w:rsidRPr="006312E8" w:rsidRDefault="006312E8" w:rsidP="006312E8">
      <w:pPr>
        <w:spacing w:after="0" w:line="240" w:lineRule="auto"/>
        <w:jc w:val="center"/>
        <w:rPr>
          <w:rFonts w:ascii="Arial" w:eastAsia="Calibri" w:hAnsi="Arial" w:cs="Arial"/>
          <w:b/>
          <w:lang w:val="es-ES"/>
        </w:rPr>
      </w:pPr>
    </w:p>
    <w:p w:rsidR="006312E8" w:rsidRPr="006312E8" w:rsidRDefault="006312E8" w:rsidP="006312E8">
      <w:pPr>
        <w:spacing w:after="0" w:line="240" w:lineRule="auto"/>
        <w:jc w:val="center"/>
        <w:rPr>
          <w:rFonts w:ascii="Arial" w:eastAsia="Calibri" w:hAnsi="Arial" w:cs="Arial"/>
          <w:b/>
          <w:lang w:val="es-ES"/>
        </w:rPr>
      </w:pPr>
      <w:bookmarkStart w:id="55" w:name="_Toc392856139"/>
      <w:bookmarkStart w:id="56" w:name="_Toc399335412"/>
      <w:r w:rsidRPr="006312E8">
        <w:rPr>
          <w:rFonts w:ascii="Arial" w:eastAsia="Calibri" w:hAnsi="Arial" w:cs="Arial"/>
          <w:b/>
          <w:lang w:val="es-ES"/>
        </w:rPr>
        <w:t>CAPÍTULO I</w:t>
      </w:r>
      <w:bookmarkEnd w:id="55"/>
      <w:bookmarkEnd w:id="56"/>
    </w:p>
    <w:p w:rsidR="006312E8" w:rsidRPr="006312E8" w:rsidRDefault="006312E8" w:rsidP="006312E8">
      <w:pPr>
        <w:spacing w:after="0" w:line="240" w:lineRule="auto"/>
        <w:jc w:val="center"/>
        <w:rPr>
          <w:rFonts w:ascii="Arial" w:eastAsia="Calibri" w:hAnsi="Arial" w:cs="Arial"/>
          <w:b/>
          <w:lang w:val="es-ES"/>
        </w:rPr>
      </w:pPr>
      <w:bookmarkStart w:id="57" w:name="_Toc392856140"/>
      <w:bookmarkStart w:id="58" w:name="_Toc399335413"/>
      <w:r w:rsidRPr="006312E8">
        <w:rPr>
          <w:rFonts w:ascii="Arial" w:eastAsia="Calibri" w:hAnsi="Arial" w:cs="Arial"/>
          <w:b/>
          <w:lang w:val="es-ES"/>
        </w:rPr>
        <w:t>ASPECTOS GENERALES</w:t>
      </w:r>
      <w:bookmarkEnd w:id="57"/>
      <w:bookmarkEnd w:id="58"/>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30.- Del fin lícito del destino de los bienes estatales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Las personas naturales o jurídicas de derecho público o de derecho privado que tengan a su cargo bienes estatales bajo cualquier modalidad, deberán destinarlos a actividades que no sean contrarias a los fines del Estado, bajo sanción de extinción del derecho o resolución del contrato.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127" w:hanging="2127"/>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6312E8">
      <w:pPr>
        <w:numPr>
          <w:ilvl w:val="0"/>
          <w:numId w:val="45"/>
        </w:numPr>
        <w:spacing w:after="0" w:line="240" w:lineRule="auto"/>
        <w:jc w:val="both"/>
        <w:rPr>
          <w:rFonts w:ascii="Arial" w:eastAsia="Calibri" w:hAnsi="Arial" w:cs="Arial"/>
          <w:b/>
          <w:color w:val="4F6228"/>
          <w:sz w:val="16"/>
          <w:szCs w:val="16"/>
        </w:rPr>
      </w:pPr>
      <w:hyperlink w:anchor="ley29151" w:history="1">
        <w:r w:rsidR="006312E8" w:rsidRPr="006312E8">
          <w:rPr>
            <w:rFonts w:ascii="Arial" w:eastAsia="Calibri" w:hAnsi="Arial" w:cs="Arial"/>
            <w:b/>
            <w:color w:val="0000FF"/>
            <w:sz w:val="16"/>
            <w:szCs w:val="16"/>
            <w:u w:val="single"/>
          </w:rPr>
          <w:t>Ley Nº 29151</w:t>
        </w:r>
      </w:hyperlink>
      <w:r w:rsidR="006312E8" w:rsidRPr="006312E8">
        <w:rPr>
          <w:rFonts w:ascii="Arial" w:eastAsia="Calibri" w:hAnsi="Arial" w:cs="Arial"/>
          <w:b/>
          <w:color w:val="4F6228"/>
          <w:sz w:val="16"/>
          <w:szCs w:val="16"/>
        </w:rPr>
        <w:t xml:space="preserve"> (Art. 18)</w:t>
      </w:r>
    </w:p>
    <w:p w:rsidR="006312E8" w:rsidRPr="006312E8" w:rsidRDefault="000A5EA6" w:rsidP="006312E8">
      <w:pPr>
        <w:numPr>
          <w:ilvl w:val="0"/>
          <w:numId w:val="45"/>
        </w:numPr>
        <w:spacing w:after="0" w:line="240" w:lineRule="auto"/>
        <w:jc w:val="both"/>
        <w:rPr>
          <w:rFonts w:ascii="Arial" w:eastAsia="Calibri" w:hAnsi="Arial" w:cs="Arial"/>
          <w:b/>
          <w:color w:val="4F6228"/>
          <w:sz w:val="16"/>
          <w:szCs w:val="16"/>
        </w:rPr>
      </w:pPr>
      <w:hyperlink w:anchor="DS007" w:history="1">
        <w:r w:rsidR="006312E8" w:rsidRPr="006312E8">
          <w:rPr>
            <w:rFonts w:ascii="Arial" w:eastAsia="Calibri" w:hAnsi="Arial" w:cs="Arial"/>
            <w:b/>
            <w:color w:val="0000FF"/>
            <w:sz w:val="16"/>
            <w:szCs w:val="16"/>
            <w:u w:val="single"/>
          </w:rPr>
          <w:t>Decreto Supremo Nº 007-2008-VIVIENDA</w:t>
        </w:r>
      </w:hyperlink>
      <w:r w:rsidR="006312E8" w:rsidRPr="006312E8">
        <w:rPr>
          <w:rFonts w:ascii="Arial" w:eastAsia="Calibri" w:hAnsi="Arial" w:cs="Arial"/>
          <w:b/>
          <w:color w:val="4F6228"/>
          <w:sz w:val="16"/>
          <w:szCs w:val="16"/>
        </w:rPr>
        <w:t xml:space="preserve"> (Art. 41)</w:t>
      </w:r>
    </w:p>
    <w:p w:rsidR="006312E8" w:rsidRDefault="006312E8" w:rsidP="006312E8">
      <w:pPr>
        <w:spacing w:after="0" w:line="240" w:lineRule="auto"/>
        <w:jc w:val="both"/>
        <w:rPr>
          <w:rFonts w:ascii="Arial" w:eastAsia="Calibri" w:hAnsi="Arial" w:cs="Arial"/>
          <w:b/>
          <w:color w:val="4F6228"/>
          <w:sz w:val="16"/>
          <w:szCs w:val="16"/>
        </w:rPr>
      </w:pPr>
    </w:p>
    <w:p w:rsidR="00994010" w:rsidRPr="006312E8" w:rsidRDefault="00994010" w:rsidP="006312E8">
      <w:pPr>
        <w:spacing w:after="0" w:line="240" w:lineRule="auto"/>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31.- De la supervisión del Ente Rector</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Los actos de adquisición, administración y disposición que realizan las entidades, así como el cumplimiento del debido procedimiento en los actos ejecutados por las entidades del Sistema, son supervisados por el Ente Rector.</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127" w:hanging="2127"/>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Default="000A5EA6" w:rsidP="006312E8">
      <w:pPr>
        <w:numPr>
          <w:ilvl w:val="0"/>
          <w:numId w:val="45"/>
        </w:numPr>
        <w:spacing w:after="0" w:line="240" w:lineRule="auto"/>
        <w:jc w:val="both"/>
        <w:rPr>
          <w:rFonts w:ascii="Arial" w:eastAsia="Calibri" w:hAnsi="Arial" w:cs="Arial"/>
          <w:b/>
          <w:color w:val="4F6228"/>
          <w:sz w:val="16"/>
          <w:szCs w:val="16"/>
        </w:rPr>
      </w:pPr>
      <w:hyperlink w:anchor="ley29151" w:history="1">
        <w:r w:rsidR="006312E8" w:rsidRPr="006312E8">
          <w:rPr>
            <w:rFonts w:ascii="Arial" w:eastAsia="Calibri" w:hAnsi="Arial" w:cs="Arial"/>
            <w:b/>
            <w:color w:val="0000FF"/>
            <w:sz w:val="16"/>
            <w:szCs w:val="16"/>
            <w:u w:val="single"/>
          </w:rPr>
          <w:t>Ley Nº 29151</w:t>
        </w:r>
      </w:hyperlink>
      <w:r w:rsidR="006312E8" w:rsidRPr="006312E8">
        <w:rPr>
          <w:rFonts w:ascii="Arial" w:eastAsia="Calibri" w:hAnsi="Arial" w:cs="Arial"/>
          <w:b/>
          <w:color w:val="4F6228"/>
          <w:sz w:val="16"/>
          <w:szCs w:val="16"/>
        </w:rPr>
        <w:t xml:space="preserve"> (Arts. 4 literal f; 7 literal c; 9; 13; 14 literal d; 18)</w:t>
      </w:r>
    </w:p>
    <w:p w:rsidR="00381192" w:rsidRPr="006312E8" w:rsidRDefault="00381192" w:rsidP="006312E8">
      <w:pPr>
        <w:numPr>
          <w:ilvl w:val="0"/>
          <w:numId w:val="45"/>
        </w:numPr>
        <w:spacing w:after="0" w:line="240" w:lineRule="auto"/>
        <w:jc w:val="both"/>
        <w:rPr>
          <w:rFonts w:ascii="Arial" w:eastAsia="Calibri" w:hAnsi="Arial" w:cs="Arial"/>
          <w:b/>
          <w:color w:val="4F6228"/>
          <w:sz w:val="16"/>
          <w:szCs w:val="16"/>
        </w:rPr>
      </w:pPr>
      <w:r>
        <w:rPr>
          <w:rFonts w:ascii="Arial" w:eastAsia="Calibri" w:hAnsi="Arial" w:cs="Arial"/>
          <w:b/>
          <w:color w:val="4F6228"/>
          <w:sz w:val="16"/>
          <w:szCs w:val="16"/>
        </w:rPr>
        <w:t>Directiva N° 003-2016/SBN, aprobada por Resolución N° 058-2016/SBN</w:t>
      </w:r>
    </w:p>
    <w:p w:rsidR="006312E8" w:rsidRPr="006312E8" w:rsidRDefault="000A5EA6" w:rsidP="006312E8">
      <w:pPr>
        <w:numPr>
          <w:ilvl w:val="0"/>
          <w:numId w:val="45"/>
        </w:numPr>
        <w:spacing w:after="0" w:line="240" w:lineRule="auto"/>
        <w:jc w:val="both"/>
        <w:rPr>
          <w:rFonts w:ascii="Arial" w:eastAsia="Calibri" w:hAnsi="Arial" w:cs="Arial"/>
          <w:b/>
          <w:color w:val="4F6228"/>
          <w:sz w:val="16"/>
          <w:szCs w:val="16"/>
        </w:rPr>
      </w:pPr>
      <w:hyperlink w:anchor="DS007" w:history="1">
        <w:r w:rsidR="006312E8" w:rsidRPr="006312E8">
          <w:rPr>
            <w:rFonts w:ascii="Arial" w:eastAsia="Calibri" w:hAnsi="Arial" w:cs="Arial"/>
            <w:b/>
            <w:color w:val="0000FF"/>
            <w:sz w:val="16"/>
            <w:szCs w:val="16"/>
            <w:u w:val="single"/>
          </w:rPr>
          <w:t>Decreto Supremo Nº 007-2008-VIVIENDA</w:t>
        </w:r>
      </w:hyperlink>
      <w:r w:rsidR="006312E8" w:rsidRPr="006312E8">
        <w:rPr>
          <w:rFonts w:ascii="Arial" w:eastAsia="Calibri" w:hAnsi="Arial" w:cs="Arial"/>
          <w:b/>
          <w:color w:val="4F6228"/>
          <w:sz w:val="16"/>
          <w:szCs w:val="16"/>
        </w:rPr>
        <w:t xml:space="preserve"> (art. 9 numeral 9.2; 41; 41-A)</w:t>
      </w:r>
    </w:p>
    <w:p w:rsidR="006312E8" w:rsidRPr="006312E8" w:rsidRDefault="000A5EA6" w:rsidP="006312E8">
      <w:pPr>
        <w:numPr>
          <w:ilvl w:val="0"/>
          <w:numId w:val="45"/>
        </w:numPr>
        <w:spacing w:after="0" w:line="240" w:lineRule="auto"/>
        <w:jc w:val="both"/>
        <w:rPr>
          <w:rFonts w:ascii="Arial" w:eastAsia="Calibri" w:hAnsi="Arial" w:cs="Arial"/>
          <w:b/>
          <w:color w:val="4F6228"/>
          <w:sz w:val="16"/>
          <w:szCs w:val="16"/>
        </w:rPr>
      </w:pPr>
      <w:hyperlink w:anchor="DS0102008" w:history="1">
        <w:r w:rsidR="006312E8" w:rsidRPr="006312E8">
          <w:rPr>
            <w:rFonts w:ascii="Arial" w:eastAsia="Calibri" w:hAnsi="Arial" w:cs="Arial"/>
            <w:b/>
            <w:color w:val="0000FF"/>
            <w:sz w:val="16"/>
            <w:szCs w:val="16"/>
            <w:u w:val="single"/>
          </w:rPr>
          <w:t>Decreto Supremo Nº 010-2008-VIVIENDA</w:t>
        </w:r>
      </w:hyperlink>
      <w:r w:rsidR="006312E8" w:rsidRPr="006312E8">
        <w:rPr>
          <w:rFonts w:ascii="Arial" w:eastAsia="Calibri" w:hAnsi="Arial" w:cs="Arial"/>
          <w:b/>
          <w:color w:val="4F6228"/>
          <w:sz w:val="16"/>
          <w:szCs w:val="16"/>
        </w:rPr>
        <w:t xml:space="preserve"> (art. 1)</w:t>
      </w:r>
    </w:p>
    <w:p w:rsidR="006312E8" w:rsidRPr="006312E8" w:rsidRDefault="000A5EA6" w:rsidP="006312E8">
      <w:pPr>
        <w:numPr>
          <w:ilvl w:val="0"/>
          <w:numId w:val="45"/>
        </w:numPr>
        <w:spacing w:after="0" w:line="240" w:lineRule="auto"/>
        <w:jc w:val="both"/>
        <w:rPr>
          <w:rFonts w:ascii="Arial" w:eastAsia="Calibri" w:hAnsi="Arial" w:cs="Arial"/>
          <w:b/>
          <w:color w:val="4F6228"/>
          <w:sz w:val="16"/>
          <w:szCs w:val="16"/>
        </w:rPr>
      </w:pPr>
      <w:hyperlink w:anchor="DS0162010" w:history="1">
        <w:r w:rsidR="006312E8" w:rsidRPr="006312E8">
          <w:rPr>
            <w:rFonts w:ascii="Arial" w:eastAsia="Calibri" w:hAnsi="Arial" w:cs="Arial"/>
            <w:b/>
            <w:color w:val="0000FF"/>
            <w:sz w:val="16"/>
            <w:szCs w:val="16"/>
            <w:u w:val="single"/>
          </w:rPr>
          <w:t>Decreto Supremo Nº 016-2010-VIVIENDA</w:t>
        </w:r>
      </w:hyperlink>
      <w:r w:rsidR="006312E8" w:rsidRPr="006312E8">
        <w:rPr>
          <w:rFonts w:ascii="Arial" w:eastAsia="Calibri" w:hAnsi="Arial" w:cs="Arial"/>
          <w:b/>
          <w:color w:val="4F6228"/>
          <w:sz w:val="16"/>
          <w:szCs w:val="16"/>
        </w:rPr>
        <w:t xml:space="preserve"> (arts. 1; 45; 46; 49)</w:t>
      </w:r>
    </w:p>
    <w:p w:rsidR="006312E8" w:rsidRPr="006312E8" w:rsidRDefault="000A5EA6" w:rsidP="006312E8">
      <w:pPr>
        <w:numPr>
          <w:ilvl w:val="0"/>
          <w:numId w:val="45"/>
        </w:numPr>
        <w:spacing w:after="0" w:line="240" w:lineRule="auto"/>
        <w:jc w:val="both"/>
        <w:rPr>
          <w:rFonts w:ascii="Arial" w:eastAsia="Calibri" w:hAnsi="Arial" w:cs="Arial"/>
          <w:b/>
          <w:color w:val="4F6228"/>
          <w:sz w:val="16"/>
          <w:szCs w:val="16"/>
        </w:rPr>
      </w:pPr>
      <w:hyperlink w:anchor="D0012011" w:history="1">
        <w:r w:rsidR="006312E8" w:rsidRPr="006312E8">
          <w:rPr>
            <w:rFonts w:ascii="Arial" w:eastAsia="Calibri" w:hAnsi="Arial" w:cs="Arial"/>
            <w:b/>
            <w:color w:val="0000FF"/>
            <w:sz w:val="16"/>
            <w:szCs w:val="16"/>
            <w:u w:val="single"/>
          </w:rPr>
          <w:t>Directiva Nº 001-2011/SBN</w:t>
        </w:r>
      </w:hyperlink>
      <w:r w:rsidR="006312E8" w:rsidRPr="006312E8">
        <w:rPr>
          <w:rFonts w:ascii="Arial" w:eastAsia="Calibri" w:hAnsi="Arial" w:cs="Arial"/>
          <w:b/>
          <w:color w:val="4F6228"/>
          <w:sz w:val="16"/>
          <w:szCs w:val="16"/>
        </w:rPr>
        <w:t>, aprobada por Resolución Nº 014-2011/SBN (art. 2 numerales 2.1, 2.2)</w:t>
      </w:r>
    </w:p>
    <w:p w:rsidR="006312E8" w:rsidRPr="006312E8" w:rsidRDefault="000A5EA6" w:rsidP="006312E8">
      <w:pPr>
        <w:numPr>
          <w:ilvl w:val="0"/>
          <w:numId w:val="45"/>
        </w:numPr>
        <w:spacing w:after="0" w:line="240" w:lineRule="auto"/>
        <w:jc w:val="both"/>
        <w:rPr>
          <w:rFonts w:ascii="Arial" w:eastAsia="Calibri" w:hAnsi="Arial" w:cs="Arial"/>
          <w:b/>
          <w:color w:val="4F6228"/>
          <w:sz w:val="16"/>
          <w:szCs w:val="16"/>
        </w:rPr>
      </w:pPr>
      <w:hyperlink w:anchor="D0042011" w:history="1">
        <w:r w:rsidR="006312E8" w:rsidRPr="006312E8">
          <w:rPr>
            <w:rFonts w:ascii="Arial" w:eastAsia="Calibri" w:hAnsi="Arial" w:cs="Arial"/>
            <w:b/>
            <w:color w:val="0000FF"/>
            <w:sz w:val="16"/>
            <w:szCs w:val="16"/>
            <w:u w:val="single"/>
          </w:rPr>
          <w:t>Directiva Nº 004-2011/SBN</w:t>
        </w:r>
      </w:hyperlink>
      <w:r w:rsidR="006312E8" w:rsidRPr="006312E8">
        <w:rPr>
          <w:rFonts w:ascii="Arial" w:eastAsia="Calibri" w:hAnsi="Arial" w:cs="Arial"/>
          <w:b/>
          <w:color w:val="4F6228"/>
          <w:sz w:val="16"/>
          <w:szCs w:val="16"/>
        </w:rPr>
        <w:t>, aprobada por Resolución Nº 044-2011/SBN (art. 3 numeral 3.29)</w:t>
      </w:r>
    </w:p>
    <w:p w:rsidR="006312E8" w:rsidRPr="006312E8" w:rsidRDefault="000A5EA6" w:rsidP="006312E8">
      <w:pPr>
        <w:numPr>
          <w:ilvl w:val="0"/>
          <w:numId w:val="45"/>
        </w:numPr>
        <w:spacing w:after="0" w:line="240" w:lineRule="auto"/>
        <w:jc w:val="both"/>
        <w:rPr>
          <w:rFonts w:ascii="Arial" w:eastAsia="Calibri" w:hAnsi="Arial" w:cs="Arial"/>
          <w:b/>
          <w:color w:val="4F6228"/>
          <w:sz w:val="16"/>
          <w:szCs w:val="16"/>
        </w:rPr>
      </w:pPr>
      <w:hyperlink w:anchor="D0052011" w:history="1">
        <w:r w:rsidR="006312E8" w:rsidRPr="006312E8">
          <w:rPr>
            <w:rFonts w:ascii="Arial" w:eastAsia="Calibri" w:hAnsi="Arial" w:cs="Arial"/>
            <w:b/>
            <w:color w:val="0000FF"/>
            <w:sz w:val="16"/>
            <w:szCs w:val="16"/>
            <w:u w:val="single"/>
          </w:rPr>
          <w:t>Directiva Nº 005-2011/SBN</w:t>
        </w:r>
      </w:hyperlink>
      <w:r w:rsidR="006312E8" w:rsidRPr="006312E8">
        <w:rPr>
          <w:rFonts w:ascii="Arial" w:eastAsia="Calibri" w:hAnsi="Arial" w:cs="Arial"/>
          <w:b/>
          <w:color w:val="4F6228"/>
          <w:sz w:val="16"/>
          <w:szCs w:val="16"/>
        </w:rPr>
        <w:t>, aprobada por Resolución Nº 050-2011/SBN (art. 2 numerales 2.11, 2.19)</w:t>
      </w:r>
    </w:p>
    <w:p w:rsidR="006312E8" w:rsidRPr="006312E8" w:rsidRDefault="000A5EA6" w:rsidP="006312E8">
      <w:pPr>
        <w:numPr>
          <w:ilvl w:val="0"/>
          <w:numId w:val="45"/>
        </w:numPr>
        <w:spacing w:after="0" w:line="240" w:lineRule="auto"/>
        <w:jc w:val="both"/>
        <w:rPr>
          <w:rFonts w:ascii="Arial" w:eastAsia="Calibri" w:hAnsi="Arial" w:cs="Arial"/>
          <w:b/>
          <w:color w:val="4F6228"/>
          <w:sz w:val="16"/>
          <w:szCs w:val="16"/>
        </w:rPr>
      </w:pPr>
      <w:hyperlink w:anchor="D0052013" w:history="1">
        <w:r w:rsidR="006312E8" w:rsidRPr="006312E8">
          <w:rPr>
            <w:rFonts w:ascii="Arial" w:eastAsia="Calibri" w:hAnsi="Arial" w:cs="Arial"/>
            <w:b/>
            <w:color w:val="0000FF"/>
            <w:sz w:val="16"/>
            <w:szCs w:val="16"/>
            <w:u w:val="single"/>
          </w:rPr>
          <w:t>Directiva Nº 005-2013/SBN</w:t>
        </w:r>
      </w:hyperlink>
      <w:r w:rsidR="006312E8" w:rsidRPr="006312E8">
        <w:rPr>
          <w:rFonts w:ascii="Arial" w:eastAsia="Calibri" w:hAnsi="Arial" w:cs="Arial"/>
          <w:b/>
          <w:color w:val="4F6228"/>
          <w:sz w:val="16"/>
          <w:szCs w:val="16"/>
        </w:rPr>
        <w:t>, aprobada por Resolución Nº 067-2013/SBN art.  9 numerales 9.3, 9.4)</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32.- De la capacidad para aprobar los actos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El trámite y aprobación de los actos de adquisición, administración y disposición de bienes estatales, conforme con las particularidades que para cada acto establece el Reglamento, se realiza ante y por:</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numPr>
          <w:ilvl w:val="0"/>
          <w:numId w:val="30"/>
        </w:numPr>
        <w:spacing w:after="0" w:line="240" w:lineRule="auto"/>
        <w:contextualSpacing/>
        <w:jc w:val="both"/>
        <w:rPr>
          <w:rFonts w:ascii="Arial" w:eastAsia="Calibri" w:hAnsi="Arial" w:cs="Arial"/>
          <w:lang w:val="es-ES"/>
        </w:rPr>
      </w:pPr>
      <w:r w:rsidRPr="006312E8">
        <w:rPr>
          <w:rFonts w:ascii="Arial" w:eastAsia="Calibri" w:hAnsi="Arial" w:cs="Arial"/>
          <w:lang w:val="es-ES"/>
        </w:rPr>
        <w:t>La SBN, para aquellos de carácter y alcance nacional y demás que se encuentren bajo su competencia.</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6312E8">
      <w:pPr>
        <w:numPr>
          <w:ilvl w:val="0"/>
          <w:numId w:val="30"/>
        </w:numPr>
        <w:spacing w:after="0" w:line="240" w:lineRule="auto"/>
        <w:contextualSpacing/>
        <w:jc w:val="both"/>
        <w:rPr>
          <w:rFonts w:ascii="Arial" w:eastAsia="Calibri" w:hAnsi="Arial" w:cs="Arial"/>
          <w:lang w:val="es-ES"/>
        </w:rPr>
      </w:pPr>
      <w:r w:rsidRPr="006312E8">
        <w:rPr>
          <w:rFonts w:ascii="Arial" w:eastAsia="Calibri" w:hAnsi="Arial" w:cs="Arial"/>
          <w:lang w:val="es-ES"/>
        </w:rPr>
        <w:t>Los Gobiernos Regionales, para aquellos de su propiedad o del Estado que estén bajo su administración.</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30"/>
        </w:numPr>
        <w:spacing w:after="0" w:line="240" w:lineRule="auto"/>
        <w:contextualSpacing/>
        <w:jc w:val="both"/>
        <w:rPr>
          <w:rFonts w:ascii="Arial" w:eastAsia="Calibri" w:hAnsi="Arial" w:cs="Arial"/>
          <w:lang w:val="es-ES"/>
        </w:rPr>
      </w:pPr>
      <w:r w:rsidRPr="006312E8">
        <w:rPr>
          <w:rFonts w:ascii="Arial" w:eastAsia="Calibri" w:hAnsi="Arial" w:cs="Arial"/>
          <w:lang w:val="es-ES"/>
        </w:rPr>
        <w:t>Las demás entidades, para aquellos de su propiedad.</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33.- De la instancia que aprueba los actos sobre bienes inmuebles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Los actos de adquisición y administración de los bienes inmuebles regulados en el Reglamento, tramitados por las entidades señaladas en el artículo 8 literales b, c y d de la Ley, son aprobados por la autoridad administrativa de la entidad que corresponda de acuerdo con sus respectivas competencias.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En el caso de disposición de bienes inmuebles de propiedad del Estado, la aprobación será efectuada por Resolución del Titular del Pliego o de la máxima autoridad administrativa de la entidad, previa opinión técnica de la SBN sobre la procedencia del acto, excepto para los bienes de propiedad regional y municipal, de aquellos que sean materia de procesos de formalización y titulación o estén comprendidos en procesos de privatización o concesión en cumplimiento de disposiciones especiales.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127" w:hanging="2127"/>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6312E8">
      <w:pPr>
        <w:numPr>
          <w:ilvl w:val="0"/>
          <w:numId w:val="45"/>
        </w:numPr>
        <w:spacing w:after="0" w:line="240" w:lineRule="auto"/>
        <w:jc w:val="both"/>
        <w:rPr>
          <w:rFonts w:ascii="Arial" w:eastAsia="Calibri" w:hAnsi="Arial" w:cs="Arial"/>
          <w:b/>
          <w:color w:val="4F6228"/>
          <w:sz w:val="16"/>
          <w:szCs w:val="16"/>
        </w:rPr>
      </w:pPr>
      <w:hyperlink w:anchor="DS007" w:history="1">
        <w:r w:rsidR="006312E8" w:rsidRPr="006312E8">
          <w:rPr>
            <w:rFonts w:ascii="Arial" w:eastAsia="Calibri" w:hAnsi="Arial" w:cs="Arial"/>
            <w:b/>
            <w:color w:val="0000FF"/>
            <w:sz w:val="16"/>
            <w:szCs w:val="16"/>
            <w:u w:val="single"/>
          </w:rPr>
          <w:t>Decreto Supremo Nº 007-2008-VIVIENDA</w:t>
        </w:r>
      </w:hyperlink>
      <w:r w:rsidR="006312E8" w:rsidRPr="006312E8">
        <w:rPr>
          <w:rFonts w:ascii="Arial" w:eastAsia="Calibri" w:hAnsi="Arial" w:cs="Arial"/>
          <w:b/>
          <w:color w:val="4F6228"/>
          <w:sz w:val="16"/>
          <w:szCs w:val="16"/>
        </w:rPr>
        <w:t xml:space="preserve"> (arts. 64, 65, 75 numeral 75.1)</w:t>
      </w:r>
    </w:p>
    <w:p w:rsidR="006312E8" w:rsidRPr="006312E8" w:rsidRDefault="000A5EA6" w:rsidP="006312E8">
      <w:pPr>
        <w:numPr>
          <w:ilvl w:val="0"/>
          <w:numId w:val="45"/>
        </w:numPr>
        <w:spacing w:after="0" w:line="240" w:lineRule="auto"/>
        <w:jc w:val="both"/>
        <w:rPr>
          <w:rFonts w:ascii="Arial" w:eastAsia="Calibri" w:hAnsi="Arial" w:cs="Arial"/>
          <w:b/>
          <w:color w:val="4F6228"/>
          <w:sz w:val="16"/>
          <w:szCs w:val="16"/>
        </w:rPr>
      </w:pPr>
      <w:hyperlink w:anchor="D0032004" w:history="1">
        <w:r w:rsidR="006312E8" w:rsidRPr="006312E8">
          <w:rPr>
            <w:rFonts w:ascii="Arial" w:eastAsia="Calibri" w:hAnsi="Arial" w:cs="Arial"/>
            <w:b/>
            <w:color w:val="0000FF"/>
            <w:sz w:val="16"/>
            <w:szCs w:val="16"/>
            <w:u w:val="single"/>
          </w:rPr>
          <w:t>Directiva Nº 003-2004-SBN</w:t>
        </w:r>
      </w:hyperlink>
      <w:r w:rsidR="006312E8" w:rsidRPr="006312E8">
        <w:rPr>
          <w:rFonts w:ascii="Arial" w:eastAsia="Calibri" w:hAnsi="Arial" w:cs="Arial"/>
          <w:b/>
          <w:color w:val="4F6228"/>
          <w:sz w:val="16"/>
          <w:szCs w:val="16"/>
        </w:rPr>
        <w:t>, aprobada por Resolución Nº 014-2004-SBN (numeral 2.1.4)</w:t>
      </w:r>
    </w:p>
    <w:p w:rsidR="006312E8" w:rsidRPr="006312E8" w:rsidRDefault="000A5EA6" w:rsidP="006312E8">
      <w:pPr>
        <w:numPr>
          <w:ilvl w:val="0"/>
          <w:numId w:val="45"/>
        </w:numPr>
        <w:spacing w:after="0" w:line="240" w:lineRule="auto"/>
        <w:jc w:val="both"/>
        <w:rPr>
          <w:rFonts w:ascii="Arial" w:eastAsia="Calibri" w:hAnsi="Arial" w:cs="Arial"/>
          <w:b/>
          <w:color w:val="4F6228"/>
          <w:sz w:val="16"/>
          <w:szCs w:val="16"/>
        </w:rPr>
      </w:pPr>
      <w:hyperlink w:anchor="D0072004" w:history="1">
        <w:r w:rsidR="006312E8" w:rsidRPr="006312E8">
          <w:rPr>
            <w:rFonts w:ascii="Arial" w:eastAsia="Calibri" w:hAnsi="Arial" w:cs="Arial"/>
            <w:b/>
            <w:color w:val="0000FF"/>
            <w:sz w:val="16"/>
            <w:szCs w:val="16"/>
            <w:u w:val="single"/>
          </w:rPr>
          <w:t>Directiva Nº 007-2004/SBN</w:t>
        </w:r>
      </w:hyperlink>
      <w:r w:rsidR="006312E8" w:rsidRPr="006312E8">
        <w:rPr>
          <w:rFonts w:ascii="Arial" w:eastAsia="Calibri" w:hAnsi="Arial" w:cs="Arial"/>
          <w:b/>
          <w:color w:val="4F6228"/>
          <w:sz w:val="16"/>
          <w:szCs w:val="16"/>
        </w:rPr>
        <w:t>, aprobada por Resolución Nº 028-2004/SBN (art. 2 numerales 2.2.2, 2.2.4)</w:t>
      </w:r>
    </w:p>
    <w:p w:rsidR="006312E8" w:rsidRPr="006312E8" w:rsidRDefault="000A5EA6" w:rsidP="006312E8">
      <w:pPr>
        <w:numPr>
          <w:ilvl w:val="0"/>
          <w:numId w:val="45"/>
        </w:numPr>
        <w:spacing w:after="0" w:line="240" w:lineRule="auto"/>
        <w:jc w:val="both"/>
        <w:rPr>
          <w:rFonts w:ascii="Arial" w:eastAsia="Calibri" w:hAnsi="Arial" w:cs="Arial"/>
          <w:b/>
          <w:color w:val="4F6228"/>
          <w:sz w:val="16"/>
          <w:szCs w:val="16"/>
        </w:rPr>
      </w:pPr>
      <w:hyperlink w:anchor="D0042013" w:history="1">
        <w:r w:rsidR="00904A9B">
          <w:rPr>
            <w:rFonts w:ascii="Arial" w:eastAsia="Calibri" w:hAnsi="Arial" w:cs="Arial"/>
            <w:b/>
            <w:color w:val="0000FF"/>
            <w:sz w:val="16"/>
            <w:szCs w:val="16"/>
            <w:u w:val="single"/>
          </w:rPr>
          <w:t>Directiva Nº 001</w:t>
        </w:r>
        <w:r w:rsidR="006312E8" w:rsidRPr="006312E8">
          <w:rPr>
            <w:rFonts w:ascii="Arial" w:eastAsia="Calibri" w:hAnsi="Arial" w:cs="Arial"/>
            <w:b/>
            <w:color w:val="0000FF"/>
            <w:sz w:val="16"/>
            <w:szCs w:val="16"/>
            <w:u w:val="single"/>
          </w:rPr>
          <w:t>-201</w:t>
        </w:r>
        <w:r w:rsidR="00904A9B">
          <w:rPr>
            <w:rFonts w:ascii="Arial" w:eastAsia="Calibri" w:hAnsi="Arial" w:cs="Arial"/>
            <w:b/>
            <w:color w:val="0000FF"/>
            <w:sz w:val="16"/>
            <w:szCs w:val="16"/>
            <w:u w:val="single"/>
          </w:rPr>
          <w:t>6</w:t>
        </w:r>
        <w:r w:rsidR="006312E8" w:rsidRPr="006312E8">
          <w:rPr>
            <w:rFonts w:ascii="Arial" w:eastAsia="Calibri" w:hAnsi="Arial" w:cs="Arial"/>
            <w:b/>
            <w:color w:val="0000FF"/>
            <w:sz w:val="16"/>
            <w:szCs w:val="16"/>
            <w:u w:val="single"/>
          </w:rPr>
          <w:t>/SBN</w:t>
        </w:r>
      </w:hyperlink>
      <w:r w:rsidR="006312E8" w:rsidRPr="006312E8">
        <w:rPr>
          <w:rFonts w:ascii="Arial" w:eastAsia="Calibri" w:hAnsi="Arial" w:cs="Arial"/>
          <w:b/>
          <w:color w:val="4F6228"/>
          <w:sz w:val="16"/>
          <w:szCs w:val="16"/>
        </w:rPr>
        <w:t xml:space="preserve">, aprobada por Resolución Nº </w:t>
      </w:r>
      <w:r w:rsidR="00904A9B">
        <w:rPr>
          <w:rFonts w:ascii="Arial" w:eastAsia="Calibri" w:hAnsi="Arial" w:cs="Arial"/>
          <w:b/>
          <w:color w:val="4F6228"/>
          <w:sz w:val="16"/>
          <w:szCs w:val="16"/>
        </w:rPr>
        <w:t>048</w:t>
      </w:r>
      <w:r w:rsidR="006312E8" w:rsidRPr="006312E8">
        <w:rPr>
          <w:rFonts w:ascii="Arial" w:eastAsia="Calibri" w:hAnsi="Arial" w:cs="Arial"/>
          <w:b/>
          <w:color w:val="4F6228"/>
          <w:sz w:val="16"/>
          <w:szCs w:val="16"/>
        </w:rPr>
        <w:t>-201</w:t>
      </w:r>
      <w:r w:rsidR="00904A9B">
        <w:rPr>
          <w:rFonts w:ascii="Arial" w:eastAsia="Calibri" w:hAnsi="Arial" w:cs="Arial"/>
          <w:b/>
          <w:color w:val="4F6228"/>
          <w:sz w:val="16"/>
          <w:szCs w:val="16"/>
        </w:rPr>
        <w:t>6</w:t>
      </w:r>
      <w:r w:rsidR="006312E8" w:rsidRPr="006312E8">
        <w:rPr>
          <w:rFonts w:ascii="Arial" w:eastAsia="Calibri" w:hAnsi="Arial" w:cs="Arial"/>
          <w:b/>
          <w:color w:val="4F6228"/>
          <w:sz w:val="16"/>
          <w:szCs w:val="16"/>
        </w:rPr>
        <w:t>/SBN</w:t>
      </w:r>
    </w:p>
    <w:p w:rsidR="006312E8" w:rsidRPr="006312E8" w:rsidRDefault="000A5EA6" w:rsidP="006312E8">
      <w:pPr>
        <w:numPr>
          <w:ilvl w:val="0"/>
          <w:numId w:val="45"/>
        </w:numPr>
        <w:spacing w:after="0" w:line="240" w:lineRule="auto"/>
        <w:jc w:val="both"/>
        <w:rPr>
          <w:rFonts w:ascii="Arial" w:eastAsia="Calibri" w:hAnsi="Arial" w:cs="Arial"/>
          <w:b/>
          <w:color w:val="4F6228"/>
          <w:sz w:val="16"/>
          <w:szCs w:val="16"/>
        </w:rPr>
      </w:pPr>
      <w:hyperlink w:anchor="D0032011" w:history="1">
        <w:r w:rsidR="006312E8" w:rsidRPr="006312E8">
          <w:rPr>
            <w:rFonts w:ascii="Arial" w:eastAsia="Calibri" w:hAnsi="Arial" w:cs="Arial"/>
            <w:b/>
            <w:color w:val="0000FF"/>
            <w:sz w:val="16"/>
            <w:szCs w:val="16"/>
            <w:u w:val="single"/>
          </w:rPr>
          <w:t>Directiva Nº 003-2011/SBN</w:t>
        </w:r>
      </w:hyperlink>
      <w:r w:rsidR="006312E8" w:rsidRPr="006312E8">
        <w:rPr>
          <w:rFonts w:ascii="Arial" w:eastAsia="Calibri" w:hAnsi="Arial" w:cs="Arial"/>
          <w:b/>
          <w:color w:val="4F6228"/>
          <w:sz w:val="16"/>
          <w:szCs w:val="16"/>
        </w:rPr>
        <w:t>, aprobada por Resolución Nº 020-2011-SBN (art. 3 numeral 3.15)</w:t>
      </w:r>
    </w:p>
    <w:p w:rsidR="006312E8" w:rsidRPr="006312E8" w:rsidRDefault="000A5EA6" w:rsidP="006312E8">
      <w:pPr>
        <w:numPr>
          <w:ilvl w:val="0"/>
          <w:numId w:val="45"/>
        </w:numPr>
        <w:spacing w:after="0" w:line="240" w:lineRule="auto"/>
        <w:jc w:val="both"/>
        <w:rPr>
          <w:rFonts w:ascii="Arial" w:eastAsia="Calibri" w:hAnsi="Arial" w:cs="Arial"/>
          <w:b/>
          <w:color w:val="4F6228"/>
          <w:sz w:val="16"/>
          <w:szCs w:val="16"/>
        </w:rPr>
      </w:pPr>
      <w:hyperlink w:anchor="D0012011" w:history="1">
        <w:r w:rsidR="006312E8" w:rsidRPr="006312E8">
          <w:rPr>
            <w:rFonts w:ascii="Arial" w:eastAsia="Calibri" w:hAnsi="Arial" w:cs="Arial"/>
            <w:b/>
            <w:color w:val="0000FF"/>
            <w:sz w:val="16"/>
            <w:szCs w:val="16"/>
            <w:u w:val="single"/>
          </w:rPr>
          <w:t>Directiva Nº 001-2011/SBN</w:t>
        </w:r>
      </w:hyperlink>
      <w:r w:rsidR="006312E8" w:rsidRPr="006312E8">
        <w:rPr>
          <w:rFonts w:ascii="Arial" w:eastAsia="Calibri" w:hAnsi="Arial" w:cs="Arial"/>
          <w:b/>
          <w:color w:val="4F6228"/>
          <w:sz w:val="16"/>
          <w:szCs w:val="16"/>
        </w:rPr>
        <w:t>, aprobada por Resolución Nº 014-2011-SBN (art. 3 numeral 3.6)</w:t>
      </w:r>
    </w:p>
    <w:p w:rsidR="006312E8" w:rsidRPr="006312E8" w:rsidRDefault="000A5EA6" w:rsidP="006312E8">
      <w:pPr>
        <w:numPr>
          <w:ilvl w:val="0"/>
          <w:numId w:val="45"/>
        </w:numPr>
        <w:spacing w:after="0" w:line="240" w:lineRule="auto"/>
        <w:jc w:val="both"/>
        <w:rPr>
          <w:rFonts w:ascii="Arial" w:eastAsia="Calibri" w:hAnsi="Arial" w:cs="Arial"/>
          <w:b/>
          <w:color w:val="4F6228"/>
          <w:sz w:val="16"/>
          <w:szCs w:val="16"/>
        </w:rPr>
      </w:pPr>
      <w:hyperlink w:anchor="D0042011" w:history="1">
        <w:r w:rsidR="006312E8" w:rsidRPr="006312E8">
          <w:rPr>
            <w:rFonts w:ascii="Arial" w:eastAsia="Calibri" w:hAnsi="Arial" w:cs="Arial"/>
            <w:b/>
            <w:color w:val="0000FF"/>
            <w:sz w:val="16"/>
            <w:szCs w:val="16"/>
            <w:u w:val="single"/>
          </w:rPr>
          <w:t>Directiva Nº 004-2011/SBN</w:t>
        </w:r>
      </w:hyperlink>
      <w:r w:rsidR="006312E8" w:rsidRPr="006312E8">
        <w:rPr>
          <w:rFonts w:ascii="Arial" w:eastAsia="Calibri" w:hAnsi="Arial" w:cs="Arial"/>
          <w:b/>
          <w:color w:val="4F6228"/>
          <w:sz w:val="16"/>
          <w:szCs w:val="16"/>
        </w:rPr>
        <w:t>, aprobada por Resolución Nº 044-2011/SBN (art. 3 numeral 3.20)</w:t>
      </w:r>
    </w:p>
    <w:p w:rsidR="006312E8" w:rsidRPr="006312E8" w:rsidRDefault="000A5EA6" w:rsidP="006312E8">
      <w:pPr>
        <w:numPr>
          <w:ilvl w:val="0"/>
          <w:numId w:val="45"/>
        </w:numPr>
        <w:spacing w:after="0" w:line="240" w:lineRule="auto"/>
        <w:jc w:val="both"/>
        <w:rPr>
          <w:rFonts w:ascii="Arial" w:eastAsia="Calibri" w:hAnsi="Arial" w:cs="Arial"/>
          <w:b/>
          <w:color w:val="4F6228"/>
          <w:sz w:val="16"/>
          <w:szCs w:val="16"/>
        </w:rPr>
      </w:pPr>
      <w:hyperlink w:anchor="D0052011" w:history="1">
        <w:r w:rsidR="006312E8" w:rsidRPr="006312E8">
          <w:rPr>
            <w:rFonts w:ascii="Arial" w:eastAsia="Calibri" w:hAnsi="Arial" w:cs="Arial"/>
            <w:b/>
            <w:color w:val="0000FF"/>
            <w:sz w:val="16"/>
            <w:szCs w:val="16"/>
            <w:u w:val="single"/>
          </w:rPr>
          <w:t>Directiva Nº 005-2011/SBN</w:t>
        </w:r>
      </w:hyperlink>
      <w:r w:rsidR="006312E8" w:rsidRPr="006312E8">
        <w:rPr>
          <w:rFonts w:ascii="Arial" w:eastAsia="Calibri" w:hAnsi="Arial" w:cs="Arial"/>
          <w:b/>
          <w:color w:val="4F6228"/>
          <w:sz w:val="16"/>
          <w:szCs w:val="16"/>
        </w:rPr>
        <w:t>, aprobada por Resolución Nº 050-2011/SBN (art. 3 numeral 3.7)</w:t>
      </w:r>
    </w:p>
    <w:p w:rsidR="006312E8" w:rsidRPr="006312E8" w:rsidRDefault="000A5EA6" w:rsidP="006312E8">
      <w:pPr>
        <w:numPr>
          <w:ilvl w:val="0"/>
          <w:numId w:val="45"/>
        </w:numPr>
        <w:spacing w:after="0" w:line="240" w:lineRule="auto"/>
        <w:jc w:val="both"/>
        <w:rPr>
          <w:rFonts w:ascii="Arial" w:eastAsia="Calibri" w:hAnsi="Arial" w:cs="Arial"/>
          <w:b/>
          <w:color w:val="4F6228"/>
          <w:sz w:val="16"/>
          <w:szCs w:val="16"/>
        </w:rPr>
      </w:pPr>
      <w:hyperlink w:anchor="D0052013" w:history="1">
        <w:r w:rsidR="006312E8" w:rsidRPr="006312E8">
          <w:rPr>
            <w:rFonts w:ascii="Arial" w:eastAsia="Calibri" w:hAnsi="Arial" w:cs="Arial"/>
            <w:b/>
            <w:color w:val="0000FF"/>
            <w:sz w:val="16"/>
            <w:szCs w:val="16"/>
            <w:u w:val="single"/>
          </w:rPr>
          <w:t>Directiva Nº 005-2013/SBN</w:t>
        </w:r>
      </w:hyperlink>
      <w:r w:rsidR="006312E8" w:rsidRPr="006312E8">
        <w:rPr>
          <w:rFonts w:ascii="Arial" w:eastAsia="Calibri" w:hAnsi="Arial" w:cs="Arial"/>
          <w:b/>
          <w:color w:val="4F6228"/>
          <w:sz w:val="16"/>
          <w:szCs w:val="16"/>
        </w:rPr>
        <w:t>, aprobada por Resolución Nº 067-2013/SBN (art. 7, numeral 7.5)</w:t>
      </w:r>
    </w:p>
    <w:p w:rsidR="006312E8" w:rsidRPr="006312E8" w:rsidRDefault="006312E8" w:rsidP="006312E8">
      <w:pPr>
        <w:spacing w:after="0" w:line="240" w:lineRule="auto"/>
        <w:ind w:left="720"/>
        <w:jc w:val="both"/>
        <w:rPr>
          <w:rFonts w:ascii="Arial" w:eastAsia="Calibri" w:hAnsi="Arial" w:cs="Arial"/>
          <w:b/>
          <w:color w:val="4F6228"/>
          <w:sz w:val="16"/>
          <w:szCs w:val="16"/>
        </w:rPr>
      </w:pPr>
    </w:p>
    <w:p w:rsidR="006312E8" w:rsidRPr="006312E8" w:rsidRDefault="006312E8" w:rsidP="006312E8">
      <w:pPr>
        <w:spacing w:after="0" w:line="240" w:lineRule="auto"/>
        <w:ind w:left="720"/>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34.- De la sustentación de los actos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Todos los actos de adquisición, administración y disposición de los bienes estatales deben estar sustentados por la entidad que los dispone mediante un Informe Técnico - Legal que analice el beneficio económico y social para el Estado, de acuerdo con la finalidad asignada, el que estará acompañado, de la solicitud del interesado y, de ser el caso, copia literal actualizada de la Partida Registral respectiva, Plano Perimétrico, de Ubicación, de Distribución, Memoria Descriptiva, así como los demás que establezca el Reglamento.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127" w:hanging="2127"/>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6312E8">
      <w:pPr>
        <w:numPr>
          <w:ilvl w:val="0"/>
          <w:numId w:val="45"/>
        </w:numPr>
        <w:spacing w:after="0" w:line="240" w:lineRule="auto"/>
        <w:jc w:val="both"/>
        <w:rPr>
          <w:rFonts w:ascii="Arial" w:eastAsia="Calibri" w:hAnsi="Arial" w:cs="Arial"/>
          <w:b/>
          <w:color w:val="4F6228"/>
          <w:sz w:val="16"/>
          <w:szCs w:val="16"/>
        </w:rPr>
      </w:pPr>
      <w:hyperlink w:anchor="RS0402013" w:history="1">
        <w:r w:rsidR="006312E8" w:rsidRPr="006312E8">
          <w:rPr>
            <w:rFonts w:ascii="Arial" w:eastAsia="Calibri" w:hAnsi="Arial" w:cs="Arial"/>
            <w:b/>
            <w:color w:val="0000FF"/>
            <w:sz w:val="16"/>
            <w:szCs w:val="16"/>
            <w:u w:val="single"/>
          </w:rPr>
          <w:t>Resolución Nº 040-2013-SBN</w:t>
        </w:r>
      </w:hyperlink>
    </w:p>
    <w:p w:rsidR="006312E8" w:rsidRPr="006312E8" w:rsidRDefault="006312E8" w:rsidP="006312E8">
      <w:pPr>
        <w:numPr>
          <w:ilvl w:val="0"/>
          <w:numId w:val="45"/>
        </w:num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 xml:space="preserve">Resolución Nº 084-2013-SBN </w:t>
      </w:r>
    </w:p>
    <w:p w:rsidR="006312E8" w:rsidRPr="006312E8" w:rsidRDefault="000A5EA6" w:rsidP="006312E8">
      <w:pPr>
        <w:numPr>
          <w:ilvl w:val="0"/>
          <w:numId w:val="45"/>
        </w:numPr>
        <w:spacing w:after="0" w:line="240" w:lineRule="auto"/>
        <w:jc w:val="both"/>
        <w:rPr>
          <w:rFonts w:ascii="Arial" w:eastAsia="Calibri" w:hAnsi="Arial" w:cs="Arial"/>
          <w:b/>
          <w:color w:val="4F6228"/>
          <w:sz w:val="16"/>
          <w:szCs w:val="16"/>
        </w:rPr>
      </w:pPr>
      <w:hyperlink w:anchor="D0012002" w:history="1">
        <w:r w:rsidR="00381192">
          <w:rPr>
            <w:rFonts w:ascii="Arial" w:eastAsia="Calibri" w:hAnsi="Arial" w:cs="Arial"/>
            <w:b/>
            <w:color w:val="0000FF"/>
            <w:sz w:val="16"/>
            <w:szCs w:val="16"/>
            <w:u w:val="single"/>
          </w:rPr>
          <w:t>Directiva Nº 003</w:t>
        </w:r>
        <w:r w:rsidR="006312E8" w:rsidRPr="006312E8">
          <w:rPr>
            <w:rFonts w:ascii="Arial" w:eastAsia="Calibri" w:hAnsi="Arial" w:cs="Arial"/>
            <w:b/>
            <w:color w:val="0000FF"/>
            <w:sz w:val="16"/>
            <w:szCs w:val="16"/>
            <w:u w:val="single"/>
          </w:rPr>
          <w:t>-20</w:t>
        </w:r>
        <w:r w:rsidR="00381192">
          <w:rPr>
            <w:rFonts w:ascii="Arial" w:eastAsia="Calibri" w:hAnsi="Arial" w:cs="Arial"/>
            <w:b/>
            <w:color w:val="0000FF"/>
            <w:sz w:val="16"/>
            <w:szCs w:val="16"/>
            <w:u w:val="single"/>
          </w:rPr>
          <w:t>16/</w:t>
        </w:r>
        <w:r w:rsidR="006312E8" w:rsidRPr="006312E8">
          <w:rPr>
            <w:rFonts w:ascii="Arial" w:eastAsia="Calibri" w:hAnsi="Arial" w:cs="Arial"/>
            <w:b/>
            <w:color w:val="0000FF"/>
            <w:sz w:val="16"/>
            <w:szCs w:val="16"/>
            <w:u w:val="single"/>
          </w:rPr>
          <w:t>SBN</w:t>
        </w:r>
      </w:hyperlink>
      <w:r w:rsidR="006312E8" w:rsidRPr="006312E8">
        <w:rPr>
          <w:rFonts w:ascii="Arial" w:eastAsia="Calibri" w:hAnsi="Arial" w:cs="Arial"/>
          <w:b/>
          <w:color w:val="4F6228"/>
          <w:sz w:val="16"/>
          <w:szCs w:val="16"/>
        </w:rPr>
        <w:t xml:space="preserve">, aprobada por Resolución Nº </w:t>
      </w:r>
      <w:r w:rsidR="00381192">
        <w:rPr>
          <w:rFonts w:ascii="Arial" w:eastAsia="Calibri" w:hAnsi="Arial" w:cs="Arial"/>
          <w:b/>
          <w:color w:val="4F6228"/>
          <w:sz w:val="16"/>
          <w:szCs w:val="16"/>
        </w:rPr>
        <w:t>052</w:t>
      </w:r>
      <w:r w:rsidR="006312E8" w:rsidRPr="006312E8">
        <w:rPr>
          <w:rFonts w:ascii="Arial" w:eastAsia="Calibri" w:hAnsi="Arial" w:cs="Arial"/>
          <w:b/>
          <w:color w:val="4F6228"/>
          <w:sz w:val="16"/>
          <w:szCs w:val="16"/>
        </w:rPr>
        <w:t>-20</w:t>
      </w:r>
      <w:r w:rsidR="00381192">
        <w:rPr>
          <w:rFonts w:ascii="Arial" w:eastAsia="Calibri" w:hAnsi="Arial" w:cs="Arial"/>
          <w:b/>
          <w:color w:val="4F6228"/>
          <w:sz w:val="16"/>
          <w:szCs w:val="16"/>
        </w:rPr>
        <w:t>16/</w:t>
      </w:r>
      <w:r w:rsidR="006312E8" w:rsidRPr="006312E8">
        <w:rPr>
          <w:rFonts w:ascii="Arial" w:eastAsia="Calibri" w:hAnsi="Arial" w:cs="Arial"/>
          <w:b/>
          <w:color w:val="4F6228"/>
          <w:sz w:val="16"/>
          <w:szCs w:val="16"/>
        </w:rPr>
        <w:t xml:space="preserve">SBN </w:t>
      </w:r>
    </w:p>
    <w:p w:rsidR="006312E8" w:rsidRPr="006312E8" w:rsidRDefault="000A5EA6" w:rsidP="006312E8">
      <w:pPr>
        <w:numPr>
          <w:ilvl w:val="0"/>
          <w:numId w:val="45"/>
        </w:numPr>
        <w:spacing w:after="0" w:line="240" w:lineRule="auto"/>
        <w:jc w:val="both"/>
        <w:rPr>
          <w:rFonts w:ascii="Arial" w:eastAsia="Calibri" w:hAnsi="Arial" w:cs="Arial"/>
          <w:b/>
          <w:color w:val="4F6228"/>
          <w:sz w:val="16"/>
          <w:szCs w:val="16"/>
        </w:rPr>
      </w:pPr>
      <w:hyperlink w:anchor="D0072004" w:history="1">
        <w:r w:rsidR="006312E8" w:rsidRPr="006312E8">
          <w:rPr>
            <w:rFonts w:ascii="Arial" w:eastAsia="Calibri" w:hAnsi="Arial" w:cs="Arial"/>
            <w:b/>
            <w:color w:val="0000FF"/>
            <w:sz w:val="16"/>
            <w:szCs w:val="16"/>
            <w:u w:val="single"/>
          </w:rPr>
          <w:t>Directiva Nº 007-2004/SBN</w:t>
        </w:r>
      </w:hyperlink>
      <w:r w:rsidR="006312E8" w:rsidRPr="006312E8">
        <w:rPr>
          <w:rFonts w:ascii="Arial" w:eastAsia="Calibri" w:hAnsi="Arial" w:cs="Arial"/>
          <w:b/>
          <w:color w:val="4F6228"/>
          <w:sz w:val="16"/>
          <w:szCs w:val="16"/>
        </w:rPr>
        <w:t>, aprobada por Resolución Nº 028-2004/SBN (art.2 numeral 2.2.3, literal e)</w:t>
      </w:r>
    </w:p>
    <w:p w:rsidR="006312E8" w:rsidRPr="006312E8" w:rsidRDefault="000A5EA6" w:rsidP="006312E8">
      <w:pPr>
        <w:numPr>
          <w:ilvl w:val="0"/>
          <w:numId w:val="45"/>
        </w:numPr>
        <w:spacing w:after="0" w:line="240" w:lineRule="auto"/>
        <w:jc w:val="both"/>
        <w:rPr>
          <w:rFonts w:ascii="Arial" w:eastAsia="Calibri" w:hAnsi="Arial" w:cs="Arial"/>
          <w:b/>
          <w:color w:val="4F6228"/>
          <w:sz w:val="16"/>
          <w:szCs w:val="16"/>
        </w:rPr>
      </w:pPr>
      <w:hyperlink w:anchor="D0022007" w:history="1">
        <w:r w:rsidR="006312E8" w:rsidRPr="006312E8">
          <w:rPr>
            <w:rFonts w:ascii="Arial" w:eastAsia="Calibri" w:hAnsi="Arial" w:cs="Arial"/>
            <w:b/>
            <w:color w:val="0000FF"/>
            <w:sz w:val="16"/>
            <w:szCs w:val="16"/>
            <w:u w:val="single"/>
          </w:rPr>
          <w:t>Directiva Nº 002-2007/SBN</w:t>
        </w:r>
      </w:hyperlink>
      <w:r w:rsidR="006312E8" w:rsidRPr="006312E8">
        <w:rPr>
          <w:rFonts w:ascii="Arial" w:eastAsia="Calibri" w:hAnsi="Arial" w:cs="Arial"/>
          <w:b/>
          <w:color w:val="4F6228"/>
          <w:sz w:val="16"/>
          <w:szCs w:val="16"/>
        </w:rPr>
        <w:t>, aprobada por Resolución Nº 018-2007/SBN ((art. 2, numeral 2.3, literal h)</w:t>
      </w:r>
    </w:p>
    <w:p w:rsidR="006312E8" w:rsidRPr="006312E8" w:rsidRDefault="000A5EA6" w:rsidP="006312E8">
      <w:pPr>
        <w:numPr>
          <w:ilvl w:val="0"/>
          <w:numId w:val="45"/>
        </w:numPr>
        <w:spacing w:after="0" w:line="240" w:lineRule="auto"/>
        <w:jc w:val="both"/>
        <w:rPr>
          <w:rFonts w:ascii="Arial" w:eastAsia="Calibri" w:hAnsi="Arial" w:cs="Arial"/>
          <w:b/>
          <w:color w:val="4F6228"/>
          <w:sz w:val="16"/>
          <w:szCs w:val="16"/>
        </w:rPr>
      </w:pPr>
      <w:hyperlink w:anchor="D0062007" w:history="1">
        <w:r w:rsidR="006312E8" w:rsidRPr="006312E8">
          <w:rPr>
            <w:rFonts w:ascii="Arial" w:eastAsia="Calibri" w:hAnsi="Arial" w:cs="Arial"/>
            <w:b/>
            <w:color w:val="0000FF"/>
            <w:sz w:val="16"/>
            <w:szCs w:val="16"/>
            <w:u w:val="single"/>
          </w:rPr>
          <w:t>Directiva Nº 00</w:t>
        </w:r>
        <w:r w:rsidR="00904A9B">
          <w:rPr>
            <w:rFonts w:ascii="Arial" w:eastAsia="Calibri" w:hAnsi="Arial" w:cs="Arial"/>
            <w:b/>
            <w:color w:val="0000FF"/>
            <w:sz w:val="16"/>
            <w:szCs w:val="16"/>
            <w:u w:val="single"/>
          </w:rPr>
          <w:t>5</w:t>
        </w:r>
        <w:r w:rsidR="006312E8" w:rsidRPr="006312E8">
          <w:rPr>
            <w:rFonts w:ascii="Arial" w:eastAsia="Calibri" w:hAnsi="Arial" w:cs="Arial"/>
            <w:b/>
            <w:color w:val="0000FF"/>
            <w:sz w:val="16"/>
            <w:szCs w:val="16"/>
            <w:u w:val="single"/>
          </w:rPr>
          <w:t>-20</w:t>
        </w:r>
        <w:r w:rsidR="00904A9B">
          <w:rPr>
            <w:rFonts w:ascii="Arial" w:eastAsia="Calibri" w:hAnsi="Arial" w:cs="Arial"/>
            <w:b/>
            <w:color w:val="0000FF"/>
            <w:sz w:val="16"/>
            <w:szCs w:val="16"/>
            <w:u w:val="single"/>
          </w:rPr>
          <w:t>16</w:t>
        </w:r>
        <w:r w:rsidR="006312E8" w:rsidRPr="006312E8">
          <w:rPr>
            <w:rFonts w:ascii="Arial" w:eastAsia="Calibri" w:hAnsi="Arial" w:cs="Arial"/>
            <w:b/>
            <w:color w:val="0000FF"/>
            <w:sz w:val="16"/>
            <w:szCs w:val="16"/>
            <w:u w:val="single"/>
          </w:rPr>
          <w:t>/SBN</w:t>
        </w:r>
      </w:hyperlink>
      <w:r w:rsidR="006312E8" w:rsidRPr="006312E8">
        <w:rPr>
          <w:rFonts w:ascii="Arial" w:eastAsia="Calibri" w:hAnsi="Arial" w:cs="Arial"/>
          <w:b/>
          <w:color w:val="4F6228"/>
          <w:sz w:val="16"/>
          <w:szCs w:val="16"/>
        </w:rPr>
        <w:t>, aprobada por resolución Nº 0</w:t>
      </w:r>
      <w:r w:rsidR="00904A9B">
        <w:rPr>
          <w:rFonts w:ascii="Arial" w:eastAsia="Calibri" w:hAnsi="Arial" w:cs="Arial"/>
          <w:b/>
          <w:color w:val="4F6228"/>
          <w:sz w:val="16"/>
          <w:szCs w:val="16"/>
        </w:rPr>
        <w:t>68</w:t>
      </w:r>
      <w:r w:rsidR="006312E8" w:rsidRPr="006312E8">
        <w:rPr>
          <w:rFonts w:ascii="Arial" w:eastAsia="Calibri" w:hAnsi="Arial" w:cs="Arial"/>
          <w:b/>
          <w:color w:val="4F6228"/>
          <w:sz w:val="16"/>
          <w:szCs w:val="16"/>
        </w:rPr>
        <w:t>-20</w:t>
      </w:r>
      <w:r w:rsidR="00904A9B">
        <w:rPr>
          <w:rFonts w:ascii="Arial" w:eastAsia="Calibri" w:hAnsi="Arial" w:cs="Arial"/>
          <w:b/>
          <w:color w:val="4F6228"/>
          <w:sz w:val="16"/>
          <w:szCs w:val="16"/>
        </w:rPr>
        <w:t>16</w:t>
      </w:r>
      <w:r w:rsidR="006312E8" w:rsidRPr="006312E8">
        <w:rPr>
          <w:rFonts w:ascii="Arial" w:eastAsia="Calibri" w:hAnsi="Arial" w:cs="Arial"/>
          <w:b/>
          <w:color w:val="4F6228"/>
          <w:sz w:val="16"/>
          <w:szCs w:val="16"/>
        </w:rPr>
        <w:t xml:space="preserve">/SBN </w:t>
      </w:r>
    </w:p>
    <w:p w:rsidR="006312E8" w:rsidRPr="006312E8" w:rsidRDefault="000A5EA6" w:rsidP="006312E8">
      <w:pPr>
        <w:numPr>
          <w:ilvl w:val="0"/>
          <w:numId w:val="45"/>
        </w:numPr>
        <w:spacing w:after="0" w:line="240" w:lineRule="auto"/>
        <w:jc w:val="both"/>
        <w:rPr>
          <w:rFonts w:ascii="Arial" w:eastAsia="Calibri" w:hAnsi="Arial" w:cs="Arial"/>
          <w:b/>
          <w:color w:val="4F6228"/>
          <w:sz w:val="16"/>
          <w:szCs w:val="16"/>
        </w:rPr>
      </w:pPr>
      <w:hyperlink w:anchor="D0042013" w:history="1">
        <w:r w:rsidR="006312E8" w:rsidRPr="006312E8">
          <w:rPr>
            <w:rFonts w:ascii="Arial" w:eastAsia="Calibri" w:hAnsi="Arial" w:cs="Arial"/>
            <w:b/>
            <w:color w:val="0000FF"/>
            <w:sz w:val="16"/>
            <w:szCs w:val="16"/>
            <w:u w:val="single"/>
          </w:rPr>
          <w:t>Directiva Nº 00</w:t>
        </w:r>
        <w:r w:rsidR="00904A9B">
          <w:rPr>
            <w:rFonts w:ascii="Arial" w:eastAsia="Calibri" w:hAnsi="Arial" w:cs="Arial"/>
            <w:b/>
            <w:color w:val="0000FF"/>
            <w:sz w:val="16"/>
            <w:szCs w:val="16"/>
            <w:u w:val="single"/>
          </w:rPr>
          <w:t>1</w:t>
        </w:r>
        <w:r w:rsidR="006312E8" w:rsidRPr="006312E8">
          <w:rPr>
            <w:rFonts w:ascii="Arial" w:eastAsia="Calibri" w:hAnsi="Arial" w:cs="Arial"/>
            <w:b/>
            <w:color w:val="0000FF"/>
            <w:sz w:val="16"/>
            <w:szCs w:val="16"/>
            <w:u w:val="single"/>
          </w:rPr>
          <w:t>-201</w:t>
        </w:r>
        <w:r w:rsidR="00904A9B">
          <w:rPr>
            <w:rFonts w:ascii="Arial" w:eastAsia="Calibri" w:hAnsi="Arial" w:cs="Arial"/>
            <w:b/>
            <w:color w:val="0000FF"/>
            <w:sz w:val="16"/>
            <w:szCs w:val="16"/>
            <w:u w:val="single"/>
          </w:rPr>
          <w:t>6</w:t>
        </w:r>
        <w:r w:rsidR="006312E8" w:rsidRPr="006312E8">
          <w:rPr>
            <w:rFonts w:ascii="Arial" w:eastAsia="Calibri" w:hAnsi="Arial" w:cs="Arial"/>
            <w:b/>
            <w:color w:val="0000FF"/>
            <w:sz w:val="16"/>
            <w:szCs w:val="16"/>
            <w:u w:val="single"/>
          </w:rPr>
          <w:t>/SBN</w:t>
        </w:r>
      </w:hyperlink>
      <w:r w:rsidR="006312E8" w:rsidRPr="006312E8">
        <w:rPr>
          <w:rFonts w:ascii="Arial" w:eastAsia="Calibri" w:hAnsi="Arial" w:cs="Arial"/>
          <w:b/>
          <w:color w:val="4F6228"/>
          <w:sz w:val="16"/>
          <w:szCs w:val="16"/>
        </w:rPr>
        <w:t>, aprobada por Resolución Nº 0</w:t>
      </w:r>
      <w:r w:rsidR="00904A9B">
        <w:rPr>
          <w:rFonts w:ascii="Arial" w:eastAsia="Calibri" w:hAnsi="Arial" w:cs="Arial"/>
          <w:b/>
          <w:color w:val="4F6228"/>
          <w:sz w:val="16"/>
          <w:szCs w:val="16"/>
        </w:rPr>
        <w:t>48</w:t>
      </w:r>
      <w:r w:rsidR="006312E8" w:rsidRPr="006312E8">
        <w:rPr>
          <w:rFonts w:ascii="Arial" w:eastAsia="Calibri" w:hAnsi="Arial" w:cs="Arial"/>
          <w:b/>
          <w:color w:val="4F6228"/>
          <w:sz w:val="16"/>
          <w:szCs w:val="16"/>
        </w:rPr>
        <w:t>-201</w:t>
      </w:r>
      <w:r w:rsidR="00904A9B">
        <w:rPr>
          <w:rFonts w:ascii="Arial" w:eastAsia="Calibri" w:hAnsi="Arial" w:cs="Arial"/>
          <w:b/>
          <w:color w:val="4F6228"/>
          <w:sz w:val="16"/>
          <w:szCs w:val="16"/>
        </w:rPr>
        <w:t>6/</w:t>
      </w:r>
      <w:r w:rsidR="006312E8" w:rsidRPr="006312E8">
        <w:rPr>
          <w:rFonts w:ascii="Arial" w:eastAsia="Calibri" w:hAnsi="Arial" w:cs="Arial"/>
          <w:b/>
          <w:color w:val="4F6228"/>
          <w:sz w:val="16"/>
          <w:szCs w:val="16"/>
        </w:rPr>
        <w:t>SBN</w:t>
      </w:r>
    </w:p>
    <w:p w:rsidR="006312E8" w:rsidRPr="006312E8" w:rsidRDefault="000A5EA6" w:rsidP="006312E8">
      <w:pPr>
        <w:numPr>
          <w:ilvl w:val="0"/>
          <w:numId w:val="45"/>
        </w:numPr>
        <w:spacing w:after="0" w:line="240" w:lineRule="auto"/>
        <w:jc w:val="both"/>
        <w:rPr>
          <w:rFonts w:ascii="Arial" w:eastAsia="Calibri" w:hAnsi="Arial" w:cs="Arial"/>
          <w:b/>
          <w:color w:val="4F6228"/>
          <w:sz w:val="16"/>
          <w:szCs w:val="16"/>
        </w:rPr>
      </w:pPr>
      <w:hyperlink w:anchor="D0012011" w:history="1">
        <w:r w:rsidR="006312E8" w:rsidRPr="006312E8">
          <w:rPr>
            <w:rFonts w:ascii="Arial" w:eastAsia="Calibri" w:hAnsi="Arial" w:cs="Arial"/>
            <w:b/>
            <w:color w:val="0000FF"/>
            <w:sz w:val="16"/>
            <w:szCs w:val="16"/>
            <w:u w:val="single"/>
          </w:rPr>
          <w:t>Directiva Nº 001-2011/SBN</w:t>
        </w:r>
      </w:hyperlink>
      <w:r w:rsidR="006312E8" w:rsidRPr="006312E8">
        <w:rPr>
          <w:rFonts w:ascii="Arial" w:eastAsia="Calibri" w:hAnsi="Arial" w:cs="Arial"/>
          <w:b/>
          <w:color w:val="4F6228"/>
          <w:sz w:val="16"/>
          <w:szCs w:val="16"/>
        </w:rPr>
        <w:t>, aprobada por Resolución Nº 014-2011-SBN (art. 3 numeral 3.5)</w:t>
      </w:r>
    </w:p>
    <w:p w:rsidR="006312E8" w:rsidRPr="006312E8" w:rsidRDefault="000A5EA6" w:rsidP="006312E8">
      <w:pPr>
        <w:numPr>
          <w:ilvl w:val="0"/>
          <w:numId w:val="45"/>
        </w:numPr>
        <w:spacing w:after="0" w:line="240" w:lineRule="auto"/>
        <w:jc w:val="both"/>
        <w:rPr>
          <w:rFonts w:ascii="Arial" w:eastAsia="Calibri" w:hAnsi="Arial" w:cs="Arial"/>
          <w:b/>
          <w:color w:val="4F6228"/>
          <w:sz w:val="16"/>
          <w:szCs w:val="16"/>
        </w:rPr>
      </w:pPr>
      <w:hyperlink w:anchor="D0032011" w:history="1">
        <w:r w:rsidR="006312E8" w:rsidRPr="006312E8">
          <w:rPr>
            <w:rFonts w:ascii="Arial" w:eastAsia="Calibri" w:hAnsi="Arial" w:cs="Arial"/>
            <w:b/>
            <w:color w:val="0000FF"/>
            <w:sz w:val="16"/>
            <w:szCs w:val="16"/>
            <w:u w:val="single"/>
          </w:rPr>
          <w:t>Directiva Nº 003-2011/SBN</w:t>
        </w:r>
      </w:hyperlink>
      <w:r w:rsidR="006312E8" w:rsidRPr="006312E8">
        <w:rPr>
          <w:rFonts w:ascii="Arial" w:eastAsia="Calibri" w:hAnsi="Arial" w:cs="Arial"/>
          <w:b/>
          <w:color w:val="4F6228"/>
          <w:sz w:val="16"/>
          <w:szCs w:val="16"/>
        </w:rPr>
        <w:t>, aprobada por Resolución Nº 020-2011-SBN (art. 3 numeral 3.13)</w:t>
      </w:r>
    </w:p>
    <w:p w:rsidR="006312E8" w:rsidRPr="006312E8" w:rsidRDefault="000A5EA6" w:rsidP="006312E8">
      <w:pPr>
        <w:numPr>
          <w:ilvl w:val="0"/>
          <w:numId w:val="45"/>
        </w:numPr>
        <w:spacing w:after="0" w:line="240" w:lineRule="auto"/>
        <w:jc w:val="both"/>
        <w:rPr>
          <w:rFonts w:ascii="Arial" w:eastAsia="Calibri" w:hAnsi="Arial" w:cs="Arial"/>
          <w:b/>
          <w:color w:val="4F6228"/>
          <w:sz w:val="16"/>
          <w:szCs w:val="16"/>
        </w:rPr>
      </w:pPr>
      <w:hyperlink w:anchor="D0042011" w:history="1">
        <w:r w:rsidR="006312E8" w:rsidRPr="006312E8">
          <w:rPr>
            <w:rFonts w:ascii="Arial" w:eastAsia="Calibri" w:hAnsi="Arial" w:cs="Arial"/>
            <w:b/>
            <w:color w:val="0000FF"/>
            <w:sz w:val="16"/>
            <w:szCs w:val="16"/>
            <w:u w:val="single"/>
          </w:rPr>
          <w:t>Directiva Nº 004-2011/SBN</w:t>
        </w:r>
      </w:hyperlink>
      <w:r w:rsidR="006312E8" w:rsidRPr="006312E8">
        <w:rPr>
          <w:rFonts w:ascii="Arial" w:eastAsia="Calibri" w:hAnsi="Arial" w:cs="Arial"/>
          <w:b/>
          <w:color w:val="4F6228"/>
          <w:sz w:val="16"/>
          <w:szCs w:val="16"/>
        </w:rPr>
        <w:t>, aprobada por Resolución Nº 044-2011/SBN (art. 3 numeral 3.19)</w:t>
      </w:r>
    </w:p>
    <w:p w:rsidR="006312E8" w:rsidRPr="006312E8" w:rsidRDefault="000A5EA6" w:rsidP="006312E8">
      <w:pPr>
        <w:numPr>
          <w:ilvl w:val="0"/>
          <w:numId w:val="45"/>
        </w:numPr>
        <w:spacing w:after="0" w:line="240" w:lineRule="auto"/>
        <w:jc w:val="both"/>
        <w:rPr>
          <w:rFonts w:ascii="Arial" w:eastAsia="Calibri" w:hAnsi="Arial" w:cs="Arial"/>
          <w:b/>
          <w:color w:val="4F6228"/>
          <w:sz w:val="16"/>
          <w:szCs w:val="16"/>
        </w:rPr>
      </w:pPr>
      <w:hyperlink w:anchor="D0052011" w:history="1">
        <w:r w:rsidR="006312E8" w:rsidRPr="006312E8">
          <w:rPr>
            <w:rFonts w:ascii="Arial" w:eastAsia="Calibri" w:hAnsi="Arial" w:cs="Arial"/>
            <w:b/>
            <w:color w:val="0000FF"/>
            <w:sz w:val="16"/>
            <w:szCs w:val="16"/>
            <w:u w:val="single"/>
          </w:rPr>
          <w:t>Directiva Nº 005-2011/SBN</w:t>
        </w:r>
      </w:hyperlink>
      <w:r w:rsidR="006312E8" w:rsidRPr="006312E8">
        <w:rPr>
          <w:rFonts w:ascii="Arial" w:eastAsia="Calibri" w:hAnsi="Arial" w:cs="Arial"/>
          <w:b/>
          <w:color w:val="4F6228"/>
          <w:sz w:val="16"/>
          <w:szCs w:val="16"/>
        </w:rPr>
        <w:t>, aprobada por Resolución Nº 050-2011/SBN (art. 3 numeral 3.6)</w:t>
      </w:r>
    </w:p>
    <w:p w:rsidR="006312E8" w:rsidRPr="006312E8" w:rsidRDefault="000A5EA6" w:rsidP="006312E8">
      <w:pPr>
        <w:numPr>
          <w:ilvl w:val="0"/>
          <w:numId w:val="45"/>
        </w:numPr>
        <w:spacing w:after="0" w:line="240" w:lineRule="auto"/>
        <w:jc w:val="both"/>
        <w:rPr>
          <w:rFonts w:ascii="Arial" w:eastAsia="Calibri" w:hAnsi="Arial" w:cs="Arial"/>
          <w:b/>
          <w:color w:val="4F6228"/>
          <w:sz w:val="16"/>
          <w:szCs w:val="16"/>
        </w:rPr>
      </w:pPr>
      <w:hyperlink w:anchor="D0052013" w:history="1">
        <w:r w:rsidR="006312E8" w:rsidRPr="006312E8">
          <w:rPr>
            <w:rFonts w:ascii="Arial" w:eastAsia="Calibri" w:hAnsi="Arial" w:cs="Arial"/>
            <w:b/>
            <w:color w:val="0000FF"/>
            <w:sz w:val="16"/>
            <w:szCs w:val="16"/>
            <w:u w:val="single"/>
          </w:rPr>
          <w:t>Directiva Nº 005-2013/SBN</w:t>
        </w:r>
      </w:hyperlink>
      <w:r w:rsidR="006312E8" w:rsidRPr="006312E8">
        <w:rPr>
          <w:rFonts w:ascii="Arial" w:eastAsia="Calibri" w:hAnsi="Arial" w:cs="Arial"/>
          <w:b/>
          <w:color w:val="4F6228"/>
          <w:sz w:val="16"/>
          <w:szCs w:val="16"/>
        </w:rPr>
        <w:t>, aprobada por Resolución Nº 067-2013/SBN (art. 7, numeral 7.4)</w:t>
      </w: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35.- De la Entrega y recepción de bienes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entrega o recepción de bienes en los actos de adquisición y disposición constará en Acta debidamente suscrita por los representantes de las partes intervinientes, con indicación expresa de su identificación así como del bien, debiendo contener datos como la ubicación, características generales, estado de conservación, finalidad a la que será destinado, entre otros.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127" w:hanging="2127"/>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6312E8">
      <w:pPr>
        <w:numPr>
          <w:ilvl w:val="0"/>
          <w:numId w:val="45"/>
        </w:numPr>
        <w:spacing w:after="0" w:line="240" w:lineRule="auto"/>
        <w:jc w:val="both"/>
        <w:rPr>
          <w:rFonts w:ascii="Arial" w:eastAsia="Calibri" w:hAnsi="Arial" w:cs="Arial"/>
          <w:b/>
          <w:color w:val="4F6228"/>
          <w:sz w:val="16"/>
          <w:szCs w:val="16"/>
        </w:rPr>
      </w:pPr>
      <w:hyperlink w:anchor="D0062002" w:history="1">
        <w:r w:rsidR="006312E8" w:rsidRPr="006312E8">
          <w:rPr>
            <w:rFonts w:ascii="Arial" w:eastAsia="Calibri" w:hAnsi="Arial" w:cs="Arial"/>
            <w:b/>
            <w:color w:val="0000FF"/>
            <w:sz w:val="16"/>
            <w:szCs w:val="16"/>
            <w:u w:val="single"/>
          </w:rPr>
          <w:t>Directiva Nº 006-2002/SBN</w:t>
        </w:r>
      </w:hyperlink>
      <w:r w:rsidR="006312E8" w:rsidRPr="006312E8">
        <w:rPr>
          <w:rFonts w:ascii="Arial" w:eastAsia="Calibri" w:hAnsi="Arial" w:cs="Arial"/>
          <w:b/>
          <w:color w:val="4F6228"/>
          <w:sz w:val="16"/>
          <w:szCs w:val="16"/>
        </w:rPr>
        <w:t>, aprobada por Resolución Nº 026-2002-SBN (art. 3 numeral 3.2.5)</w:t>
      </w:r>
    </w:p>
    <w:p w:rsidR="006312E8" w:rsidRPr="006312E8" w:rsidRDefault="000A5EA6" w:rsidP="006312E8">
      <w:pPr>
        <w:numPr>
          <w:ilvl w:val="0"/>
          <w:numId w:val="45"/>
        </w:numPr>
        <w:spacing w:after="0" w:line="240" w:lineRule="auto"/>
        <w:jc w:val="both"/>
        <w:rPr>
          <w:rFonts w:ascii="Arial" w:eastAsia="Calibri" w:hAnsi="Arial" w:cs="Arial"/>
          <w:b/>
          <w:color w:val="4F6228"/>
          <w:sz w:val="16"/>
          <w:szCs w:val="16"/>
        </w:rPr>
      </w:pPr>
      <w:hyperlink w:anchor="D0072004" w:history="1">
        <w:r w:rsidR="006312E8" w:rsidRPr="006312E8">
          <w:rPr>
            <w:rFonts w:ascii="Arial" w:eastAsia="Calibri" w:hAnsi="Arial" w:cs="Arial"/>
            <w:b/>
            <w:color w:val="0000FF"/>
            <w:sz w:val="16"/>
            <w:szCs w:val="16"/>
            <w:u w:val="single"/>
          </w:rPr>
          <w:t>Directiva Nº 007-2004/SBN</w:t>
        </w:r>
      </w:hyperlink>
      <w:r w:rsidR="006312E8" w:rsidRPr="006312E8">
        <w:rPr>
          <w:rFonts w:ascii="Arial" w:eastAsia="Calibri" w:hAnsi="Arial" w:cs="Arial"/>
          <w:b/>
          <w:color w:val="4F6228"/>
          <w:sz w:val="16"/>
          <w:szCs w:val="16"/>
        </w:rPr>
        <w:t>, aprobada por Resolución Nº 028-2004/SBN (art.2 numeral 2.2.8)</w:t>
      </w:r>
    </w:p>
    <w:p w:rsidR="006312E8" w:rsidRPr="006312E8" w:rsidRDefault="000A5EA6" w:rsidP="006312E8">
      <w:pPr>
        <w:numPr>
          <w:ilvl w:val="0"/>
          <w:numId w:val="45"/>
        </w:numPr>
        <w:spacing w:after="0" w:line="240" w:lineRule="auto"/>
        <w:jc w:val="both"/>
        <w:rPr>
          <w:rFonts w:ascii="Arial" w:eastAsia="Calibri" w:hAnsi="Arial" w:cs="Arial"/>
          <w:b/>
          <w:color w:val="4F6228"/>
          <w:sz w:val="16"/>
          <w:szCs w:val="16"/>
        </w:rPr>
      </w:pPr>
      <w:hyperlink w:anchor="D0042011" w:history="1">
        <w:r w:rsidR="006312E8" w:rsidRPr="006312E8">
          <w:rPr>
            <w:rFonts w:ascii="Arial" w:eastAsia="Calibri" w:hAnsi="Arial" w:cs="Arial"/>
            <w:b/>
            <w:color w:val="0000FF"/>
            <w:sz w:val="16"/>
            <w:szCs w:val="16"/>
            <w:u w:val="single"/>
          </w:rPr>
          <w:t>Directiva Nº 004-2011/SBN</w:t>
        </w:r>
      </w:hyperlink>
      <w:r w:rsidR="006312E8" w:rsidRPr="006312E8">
        <w:rPr>
          <w:rFonts w:ascii="Arial" w:eastAsia="Calibri" w:hAnsi="Arial" w:cs="Arial"/>
          <w:b/>
          <w:color w:val="4F6228"/>
          <w:sz w:val="16"/>
          <w:szCs w:val="16"/>
        </w:rPr>
        <w:t>, aprobada por Resolución Nº 044-2011/SBN (art. 2 numeral 2.8)</w:t>
      </w:r>
    </w:p>
    <w:p w:rsidR="006312E8" w:rsidRPr="006312E8" w:rsidRDefault="000A5EA6" w:rsidP="006312E8">
      <w:pPr>
        <w:numPr>
          <w:ilvl w:val="0"/>
          <w:numId w:val="45"/>
        </w:numPr>
        <w:spacing w:after="0" w:line="240" w:lineRule="auto"/>
        <w:jc w:val="both"/>
        <w:rPr>
          <w:rFonts w:ascii="Arial" w:eastAsia="Calibri" w:hAnsi="Arial" w:cs="Arial"/>
          <w:b/>
          <w:color w:val="4F6228"/>
          <w:sz w:val="16"/>
          <w:szCs w:val="16"/>
        </w:rPr>
      </w:pPr>
      <w:hyperlink w:anchor="D0052011" w:history="1">
        <w:r w:rsidR="006312E8" w:rsidRPr="006312E8">
          <w:rPr>
            <w:rFonts w:ascii="Arial" w:eastAsia="Calibri" w:hAnsi="Arial" w:cs="Arial"/>
            <w:b/>
            <w:color w:val="0000FF"/>
            <w:sz w:val="16"/>
            <w:szCs w:val="16"/>
            <w:u w:val="single"/>
          </w:rPr>
          <w:t>Directiva Nº 005-2011/SBN</w:t>
        </w:r>
      </w:hyperlink>
      <w:r w:rsidR="006312E8" w:rsidRPr="006312E8">
        <w:rPr>
          <w:rFonts w:ascii="Arial" w:eastAsia="Calibri" w:hAnsi="Arial" w:cs="Arial"/>
          <w:b/>
          <w:color w:val="4F6228"/>
          <w:sz w:val="16"/>
          <w:szCs w:val="16"/>
        </w:rPr>
        <w:t>, aprobada por Resolución Nº 050-2011/SBN (art. 3 numeral 3.9)</w:t>
      </w:r>
    </w:p>
    <w:p w:rsidR="006312E8" w:rsidRPr="006312E8" w:rsidRDefault="000A5EA6" w:rsidP="006312E8">
      <w:pPr>
        <w:numPr>
          <w:ilvl w:val="0"/>
          <w:numId w:val="45"/>
        </w:numPr>
        <w:spacing w:after="0" w:line="240" w:lineRule="auto"/>
        <w:jc w:val="both"/>
        <w:rPr>
          <w:rFonts w:ascii="Arial" w:eastAsia="Calibri" w:hAnsi="Arial" w:cs="Arial"/>
          <w:b/>
          <w:color w:val="4F6228"/>
          <w:sz w:val="16"/>
          <w:szCs w:val="16"/>
        </w:rPr>
      </w:pPr>
      <w:hyperlink w:anchor="D0052013" w:history="1">
        <w:r w:rsidR="006312E8" w:rsidRPr="006312E8">
          <w:rPr>
            <w:rFonts w:ascii="Arial" w:eastAsia="Calibri" w:hAnsi="Arial" w:cs="Arial"/>
            <w:b/>
            <w:color w:val="0000FF"/>
            <w:sz w:val="16"/>
            <w:szCs w:val="16"/>
            <w:u w:val="single"/>
          </w:rPr>
          <w:t>Directiva Nº 005-2013/SBN</w:t>
        </w:r>
      </w:hyperlink>
      <w:r w:rsidR="006312E8" w:rsidRPr="006312E8">
        <w:rPr>
          <w:rFonts w:ascii="Arial" w:eastAsia="Calibri" w:hAnsi="Arial" w:cs="Arial"/>
          <w:b/>
          <w:color w:val="4F6228"/>
          <w:sz w:val="16"/>
          <w:szCs w:val="16"/>
        </w:rPr>
        <w:t>, aprobada por Resolución Nº 067-2013/SBN (art. 7, numerales 7.7 – 7.8)</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36.- De la Valorización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La valorización de los predios objeto de los actos de administración y disposición contenidos en el presente Reglamento deberá ser efectuada a valor comercial.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La valorización para los actos de disposición a favor de particulares será efectuada por un organismo especializado en la materia con reconocida y acreditada experiencia; y, en caso de no existir en la zona, la valorización podrá ser efectuada por un perito tasador debidamente acreditado, conforme a las normas y procedimientos correspondientes; para los demás actos, la valorización de los predios podrá ser efectuada por profesionales de la entidad propietaria o administradora del predio.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valorización tendrá una vigencia de 8 meses a partir de su elaboración, a cuyo vencimiento se realizará la actualización de la misma, la que tendrá también una vigencia de 8 meses. (*)</w:t>
      </w:r>
    </w:p>
    <w:p w:rsidR="006312E8" w:rsidRPr="006312E8" w:rsidRDefault="006312E8" w:rsidP="006312E8">
      <w:pPr>
        <w:spacing w:after="0" w:line="240" w:lineRule="auto"/>
        <w:ind w:left="2127" w:hanging="2127"/>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Artículo modificado por el Artículo 1 del Decreto Supremo Nº 013-2012-VIVIENDA, publicado el 03 junio 2012.</w:t>
      </w:r>
    </w:p>
    <w:p w:rsidR="006312E8" w:rsidRPr="006312E8" w:rsidRDefault="006312E8" w:rsidP="006312E8">
      <w:pPr>
        <w:spacing w:after="0" w:line="240" w:lineRule="auto"/>
        <w:jc w:val="both"/>
        <w:rPr>
          <w:rFonts w:ascii="Arial" w:eastAsia="Calibri" w:hAnsi="Arial" w:cs="Arial"/>
          <w:b/>
          <w:color w:val="4F6228"/>
          <w:sz w:val="16"/>
          <w:szCs w:val="16"/>
          <w:lang w:val="es-ES"/>
        </w:rPr>
      </w:pPr>
    </w:p>
    <w:p w:rsidR="006312E8" w:rsidRPr="006312E8" w:rsidRDefault="006312E8" w:rsidP="006312E8">
      <w:pPr>
        <w:spacing w:after="0" w:line="240" w:lineRule="auto"/>
        <w:ind w:left="2127" w:hanging="2127"/>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6312E8">
      <w:pPr>
        <w:numPr>
          <w:ilvl w:val="0"/>
          <w:numId w:val="45"/>
        </w:numPr>
        <w:spacing w:after="0" w:line="240" w:lineRule="auto"/>
        <w:jc w:val="both"/>
        <w:rPr>
          <w:rFonts w:ascii="Arial" w:eastAsia="Calibri" w:hAnsi="Arial" w:cs="Arial"/>
          <w:b/>
          <w:color w:val="4F6228"/>
          <w:sz w:val="16"/>
          <w:szCs w:val="16"/>
        </w:rPr>
      </w:pPr>
      <w:hyperlink w:anchor="D0012002" w:history="1">
        <w:r w:rsidR="00381192">
          <w:rPr>
            <w:rFonts w:ascii="Arial" w:eastAsia="Calibri" w:hAnsi="Arial" w:cs="Arial"/>
            <w:b/>
            <w:color w:val="0000FF"/>
            <w:sz w:val="16"/>
            <w:szCs w:val="16"/>
            <w:u w:val="single"/>
          </w:rPr>
          <w:t>Directiva Nº 002</w:t>
        </w:r>
        <w:r w:rsidR="006312E8" w:rsidRPr="006312E8">
          <w:rPr>
            <w:rFonts w:ascii="Arial" w:eastAsia="Calibri" w:hAnsi="Arial" w:cs="Arial"/>
            <w:b/>
            <w:color w:val="0000FF"/>
            <w:sz w:val="16"/>
            <w:szCs w:val="16"/>
            <w:u w:val="single"/>
          </w:rPr>
          <w:t>-20</w:t>
        </w:r>
        <w:r w:rsidR="00381192">
          <w:rPr>
            <w:rFonts w:ascii="Arial" w:eastAsia="Calibri" w:hAnsi="Arial" w:cs="Arial"/>
            <w:b/>
            <w:color w:val="0000FF"/>
            <w:sz w:val="16"/>
            <w:szCs w:val="16"/>
            <w:u w:val="single"/>
          </w:rPr>
          <w:t>16</w:t>
        </w:r>
        <w:r w:rsidR="006312E8" w:rsidRPr="006312E8">
          <w:rPr>
            <w:rFonts w:ascii="Arial" w:eastAsia="Calibri" w:hAnsi="Arial" w:cs="Arial"/>
            <w:b/>
            <w:color w:val="0000FF"/>
            <w:sz w:val="16"/>
            <w:szCs w:val="16"/>
            <w:u w:val="single"/>
          </w:rPr>
          <w:t>-SBN</w:t>
        </w:r>
      </w:hyperlink>
      <w:r w:rsidR="006312E8" w:rsidRPr="006312E8">
        <w:rPr>
          <w:rFonts w:ascii="Arial" w:eastAsia="Calibri" w:hAnsi="Arial" w:cs="Arial"/>
          <w:b/>
          <w:color w:val="4F6228"/>
          <w:sz w:val="16"/>
          <w:szCs w:val="16"/>
        </w:rPr>
        <w:t xml:space="preserve">, aprobada por Resolución Nº </w:t>
      </w:r>
      <w:r w:rsidR="00381192">
        <w:rPr>
          <w:rFonts w:ascii="Arial" w:eastAsia="Calibri" w:hAnsi="Arial" w:cs="Arial"/>
          <w:b/>
          <w:color w:val="4F6228"/>
          <w:sz w:val="16"/>
          <w:szCs w:val="16"/>
        </w:rPr>
        <w:t>052</w:t>
      </w:r>
      <w:r w:rsidR="006312E8" w:rsidRPr="006312E8">
        <w:rPr>
          <w:rFonts w:ascii="Arial" w:eastAsia="Calibri" w:hAnsi="Arial" w:cs="Arial"/>
          <w:b/>
          <w:color w:val="4F6228"/>
          <w:sz w:val="16"/>
          <w:szCs w:val="16"/>
        </w:rPr>
        <w:t>-20</w:t>
      </w:r>
      <w:r w:rsidR="00381192">
        <w:rPr>
          <w:rFonts w:ascii="Arial" w:eastAsia="Calibri" w:hAnsi="Arial" w:cs="Arial"/>
          <w:b/>
          <w:color w:val="4F6228"/>
          <w:sz w:val="16"/>
          <w:szCs w:val="16"/>
        </w:rPr>
        <w:t>16</w:t>
      </w:r>
      <w:r w:rsidR="006312E8" w:rsidRPr="006312E8">
        <w:rPr>
          <w:rFonts w:ascii="Arial" w:eastAsia="Calibri" w:hAnsi="Arial" w:cs="Arial"/>
          <w:b/>
          <w:color w:val="4F6228"/>
          <w:sz w:val="16"/>
          <w:szCs w:val="16"/>
        </w:rPr>
        <w:t xml:space="preserve">-SBN </w:t>
      </w:r>
    </w:p>
    <w:p w:rsidR="006312E8" w:rsidRPr="006312E8" w:rsidRDefault="000A5EA6" w:rsidP="006312E8">
      <w:pPr>
        <w:numPr>
          <w:ilvl w:val="0"/>
          <w:numId w:val="45"/>
        </w:numPr>
        <w:spacing w:after="0" w:line="240" w:lineRule="auto"/>
        <w:jc w:val="both"/>
        <w:rPr>
          <w:rFonts w:ascii="Arial" w:eastAsia="Calibri" w:hAnsi="Arial" w:cs="Arial"/>
          <w:b/>
          <w:color w:val="4F6228"/>
          <w:sz w:val="16"/>
          <w:szCs w:val="16"/>
        </w:rPr>
      </w:pPr>
      <w:hyperlink w:anchor="D0022007" w:history="1">
        <w:r w:rsidR="006312E8" w:rsidRPr="006312E8">
          <w:rPr>
            <w:rFonts w:ascii="Arial" w:eastAsia="Calibri" w:hAnsi="Arial" w:cs="Arial"/>
            <w:b/>
            <w:color w:val="0000FF"/>
            <w:sz w:val="16"/>
            <w:szCs w:val="16"/>
            <w:u w:val="single"/>
          </w:rPr>
          <w:t>Directiva Nº 002-2007/SBN</w:t>
        </w:r>
      </w:hyperlink>
      <w:r w:rsidR="006312E8" w:rsidRPr="006312E8">
        <w:rPr>
          <w:rFonts w:ascii="Arial" w:eastAsia="Calibri" w:hAnsi="Arial" w:cs="Arial"/>
          <w:b/>
          <w:color w:val="4F6228"/>
          <w:sz w:val="16"/>
          <w:szCs w:val="16"/>
        </w:rPr>
        <w:t>, aprobada por Resolución Nº 018-2007-SBN (art. 2 numeral 2.3, literal d)</w:t>
      </w:r>
    </w:p>
    <w:p w:rsidR="006312E8" w:rsidRPr="006312E8" w:rsidRDefault="000A5EA6" w:rsidP="006312E8">
      <w:pPr>
        <w:numPr>
          <w:ilvl w:val="0"/>
          <w:numId w:val="45"/>
        </w:numPr>
        <w:spacing w:after="0" w:line="240" w:lineRule="auto"/>
        <w:jc w:val="both"/>
        <w:rPr>
          <w:rFonts w:ascii="Arial" w:eastAsia="Calibri" w:hAnsi="Arial" w:cs="Arial"/>
          <w:b/>
          <w:color w:val="4F6228"/>
          <w:sz w:val="16"/>
          <w:szCs w:val="16"/>
        </w:rPr>
      </w:pPr>
      <w:hyperlink w:anchor="D0042013" w:history="1">
        <w:r w:rsidR="00B32596">
          <w:rPr>
            <w:rFonts w:ascii="Arial" w:eastAsia="Calibri" w:hAnsi="Arial" w:cs="Arial"/>
            <w:b/>
            <w:color w:val="0000FF"/>
            <w:sz w:val="16"/>
            <w:szCs w:val="16"/>
            <w:u w:val="single"/>
          </w:rPr>
          <w:t>Directiva Nº 001</w:t>
        </w:r>
        <w:r w:rsidR="006312E8" w:rsidRPr="006312E8">
          <w:rPr>
            <w:rFonts w:ascii="Arial" w:eastAsia="Calibri" w:hAnsi="Arial" w:cs="Arial"/>
            <w:b/>
            <w:color w:val="0000FF"/>
            <w:sz w:val="16"/>
            <w:szCs w:val="16"/>
            <w:u w:val="single"/>
          </w:rPr>
          <w:t>-201</w:t>
        </w:r>
        <w:r w:rsidR="00B32596">
          <w:rPr>
            <w:rFonts w:ascii="Arial" w:eastAsia="Calibri" w:hAnsi="Arial" w:cs="Arial"/>
            <w:b/>
            <w:color w:val="0000FF"/>
            <w:sz w:val="16"/>
            <w:szCs w:val="16"/>
            <w:u w:val="single"/>
          </w:rPr>
          <w:t>6</w:t>
        </w:r>
        <w:r w:rsidR="006312E8" w:rsidRPr="006312E8">
          <w:rPr>
            <w:rFonts w:ascii="Arial" w:eastAsia="Calibri" w:hAnsi="Arial" w:cs="Arial"/>
            <w:b/>
            <w:color w:val="0000FF"/>
            <w:sz w:val="16"/>
            <w:szCs w:val="16"/>
            <w:u w:val="single"/>
          </w:rPr>
          <w:t>/SBN</w:t>
        </w:r>
      </w:hyperlink>
      <w:r w:rsidR="006312E8" w:rsidRPr="006312E8">
        <w:rPr>
          <w:rFonts w:ascii="Arial" w:eastAsia="Calibri" w:hAnsi="Arial" w:cs="Arial"/>
          <w:b/>
          <w:color w:val="4F6228"/>
          <w:sz w:val="16"/>
          <w:szCs w:val="16"/>
        </w:rPr>
        <w:t xml:space="preserve">, aprobada por Resolución Nº </w:t>
      </w:r>
      <w:r w:rsidR="00B32596">
        <w:rPr>
          <w:rFonts w:ascii="Arial" w:eastAsia="Calibri" w:hAnsi="Arial" w:cs="Arial"/>
          <w:b/>
          <w:color w:val="4F6228"/>
          <w:sz w:val="16"/>
          <w:szCs w:val="16"/>
        </w:rPr>
        <w:t>048</w:t>
      </w:r>
      <w:r w:rsidR="006312E8" w:rsidRPr="006312E8">
        <w:rPr>
          <w:rFonts w:ascii="Arial" w:eastAsia="Calibri" w:hAnsi="Arial" w:cs="Arial"/>
          <w:b/>
          <w:color w:val="4F6228"/>
          <w:sz w:val="16"/>
          <w:szCs w:val="16"/>
        </w:rPr>
        <w:t>-201</w:t>
      </w:r>
      <w:r w:rsidR="00B32596">
        <w:rPr>
          <w:rFonts w:ascii="Arial" w:eastAsia="Calibri" w:hAnsi="Arial" w:cs="Arial"/>
          <w:b/>
          <w:color w:val="4F6228"/>
          <w:sz w:val="16"/>
          <w:szCs w:val="16"/>
        </w:rPr>
        <w:t>6</w:t>
      </w:r>
      <w:r w:rsidR="006312E8" w:rsidRPr="006312E8">
        <w:rPr>
          <w:rFonts w:ascii="Arial" w:eastAsia="Calibri" w:hAnsi="Arial" w:cs="Arial"/>
          <w:b/>
          <w:color w:val="4F6228"/>
          <w:sz w:val="16"/>
          <w:szCs w:val="16"/>
        </w:rPr>
        <w:t xml:space="preserve">-SBN </w:t>
      </w:r>
    </w:p>
    <w:p w:rsidR="006312E8" w:rsidRPr="006312E8" w:rsidRDefault="000A5EA6" w:rsidP="006312E8">
      <w:pPr>
        <w:numPr>
          <w:ilvl w:val="0"/>
          <w:numId w:val="45"/>
        </w:numPr>
        <w:spacing w:after="0" w:line="240" w:lineRule="auto"/>
        <w:jc w:val="both"/>
        <w:rPr>
          <w:rFonts w:ascii="Arial" w:eastAsia="Calibri" w:hAnsi="Arial" w:cs="Arial"/>
          <w:b/>
          <w:color w:val="4F6228"/>
          <w:sz w:val="16"/>
          <w:szCs w:val="16"/>
        </w:rPr>
      </w:pPr>
      <w:hyperlink w:anchor="D0032011" w:history="1">
        <w:r w:rsidR="006312E8" w:rsidRPr="006312E8">
          <w:rPr>
            <w:rFonts w:ascii="Arial" w:eastAsia="Calibri" w:hAnsi="Arial" w:cs="Arial"/>
            <w:b/>
            <w:color w:val="0000FF"/>
            <w:sz w:val="16"/>
            <w:szCs w:val="16"/>
            <w:u w:val="single"/>
          </w:rPr>
          <w:t>Directiva Nº 003-2011/SBN</w:t>
        </w:r>
      </w:hyperlink>
      <w:r w:rsidR="006312E8" w:rsidRPr="006312E8">
        <w:rPr>
          <w:rFonts w:ascii="Arial" w:eastAsia="Calibri" w:hAnsi="Arial" w:cs="Arial"/>
          <w:b/>
          <w:color w:val="4F6228"/>
          <w:sz w:val="16"/>
          <w:szCs w:val="16"/>
        </w:rPr>
        <w:t>, aprobada por Resolución Nº 020-2011-SBN (art. 3 numerales 3.7 – 3.9)</w:t>
      </w:r>
    </w:p>
    <w:p w:rsidR="006312E8" w:rsidRPr="006312E8" w:rsidRDefault="000A5EA6" w:rsidP="006312E8">
      <w:pPr>
        <w:numPr>
          <w:ilvl w:val="0"/>
          <w:numId w:val="45"/>
        </w:numPr>
        <w:spacing w:after="0" w:line="240" w:lineRule="auto"/>
        <w:jc w:val="both"/>
        <w:rPr>
          <w:rFonts w:ascii="Arial" w:eastAsia="Calibri" w:hAnsi="Arial" w:cs="Arial"/>
          <w:b/>
          <w:color w:val="4F6228"/>
          <w:sz w:val="16"/>
          <w:szCs w:val="16"/>
        </w:rPr>
      </w:pPr>
      <w:hyperlink w:anchor="D0042011" w:history="1">
        <w:r w:rsidR="006312E8" w:rsidRPr="006312E8">
          <w:rPr>
            <w:rFonts w:ascii="Arial" w:eastAsia="Calibri" w:hAnsi="Arial" w:cs="Arial"/>
            <w:b/>
            <w:color w:val="0000FF"/>
            <w:sz w:val="16"/>
            <w:szCs w:val="16"/>
            <w:u w:val="single"/>
          </w:rPr>
          <w:t>Directiva Nº 004-2011/SBN</w:t>
        </w:r>
      </w:hyperlink>
      <w:r w:rsidR="006312E8" w:rsidRPr="006312E8">
        <w:rPr>
          <w:rFonts w:ascii="Arial" w:eastAsia="Calibri" w:hAnsi="Arial" w:cs="Arial"/>
          <w:b/>
          <w:color w:val="4F6228"/>
          <w:sz w:val="16"/>
          <w:szCs w:val="16"/>
        </w:rPr>
        <w:t>, aprobada por Resolución Nº 044-2011/SBN (arts. 2, 3 numerales 2.4, 3.6, 3.8)</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37.- Del depósito del producto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Los recursos percibidos por la ejecución de cualquier acto sobre bienes estatales, deberán depositarse conforme a los procedimientos y plazos establecidos a través de las directivas del Sistema Nacional de Tesorería.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 xml:space="preserve">CONCORDANCIAS: </w:t>
      </w:r>
      <w:r w:rsidRPr="006312E8">
        <w:rPr>
          <w:rFonts w:ascii="Arial" w:eastAsia="Calibri" w:hAnsi="Arial" w:cs="Arial"/>
          <w:b/>
          <w:color w:val="4F6228"/>
          <w:sz w:val="16"/>
          <w:szCs w:val="16"/>
        </w:rPr>
        <w:tab/>
      </w:r>
    </w:p>
    <w:p w:rsidR="006312E8" w:rsidRPr="006312E8" w:rsidRDefault="006312E8" w:rsidP="006312E8">
      <w:pPr>
        <w:numPr>
          <w:ilvl w:val="0"/>
          <w:numId w:val="46"/>
        </w:numPr>
        <w:spacing w:after="0" w:line="240" w:lineRule="auto"/>
        <w:contextualSpacing/>
        <w:jc w:val="both"/>
        <w:rPr>
          <w:rFonts w:ascii="Arial" w:eastAsia="Calibri" w:hAnsi="Arial" w:cs="Arial"/>
          <w:b/>
          <w:color w:val="4F6228"/>
          <w:sz w:val="16"/>
          <w:szCs w:val="16"/>
        </w:rPr>
      </w:pPr>
      <w:r w:rsidRPr="006312E8">
        <w:rPr>
          <w:rFonts w:ascii="Arial" w:eastAsia="Calibri" w:hAnsi="Arial" w:cs="Arial"/>
          <w:b/>
          <w:color w:val="4F6228"/>
          <w:sz w:val="16"/>
          <w:szCs w:val="16"/>
        </w:rPr>
        <w:t xml:space="preserve">Ley Nº 28693 </w:t>
      </w:r>
    </w:p>
    <w:p w:rsidR="006312E8" w:rsidRPr="006312E8" w:rsidRDefault="006312E8" w:rsidP="006312E8">
      <w:pPr>
        <w:spacing w:after="0" w:line="240" w:lineRule="auto"/>
        <w:jc w:val="center"/>
        <w:rPr>
          <w:rFonts w:ascii="Arial" w:eastAsia="Calibri" w:hAnsi="Arial" w:cs="Arial"/>
          <w:b/>
          <w:lang w:val="es-ES"/>
        </w:rPr>
      </w:pPr>
      <w:bookmarkStart w:id="59" w:name="_Toc392856141"/>
      <w:bookmarkStart w:id="60" w:name="_Toc399335414"/>
      <w:r w:rsidRPr="006312E8">
        <w:rPr>
          <w:rFonts w:ascii="Arial" w:eastAsia="Calibri" w:hAnsi="Arial" w:cs="Arial"/>
          <w:b/>
          <w:lang w:val="es-ES"/>
        </w:rPr>
        <w:t>CAPÍTULO II</w:t>
      </w:r>
      <w:bookmarkEnd w:id="59"/>
      <w:bookmarkEnd w:id="60"/>
    </w:p>
    <w:p w:rsidR="006312E8" w:rsidRPr="006312E8" w:rsidRDefault="006312E8" w:rsidP="006312E8">
      <w:pPr>
        <w:spacing w:after="0" w:line="240" w:lineRule="auto"/>
        <w:jc w:val="center"/>
        <w:rPr>
          <w:rFonts w:ascii="Arial" w:eastAsia="Calibri" w:hAnsi="Arial" w:cs="Arial"/>
          <w:b/>
          <w:lang w:val="es-ES"/>
        </w:rPr>
      </w:pPr>
      <w:bookmarkStart w:id="61" w:name="_Toc392856142"/>
      <w:bookmarkStart w:id="62" w:name="_Toc399335415"/>
      <w:r w:rsidRPr="006312E8">
        <w:rPr>
          <w:rFonts w:ascii="Arial" w:eastAsia="Calibri" w:hAnsi="Arial" w:cs="Arial"/>
          <w:b/>
          <w:lang w:val="es-ES"/>
        </w:rPr>
        <w:t>PRIMERA INSCRIPCION DE DOMINIO</w:t>
      </w:r>
      <w:bookmarkEnd w:id="61"/>
      <w:bookmarkEnd w:id="62"/>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38.- Del procedimiento de aprobación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primera inscripción de dominio de predios estatales, sin perjuicio de lo establecido en normas especiales, será sustentada y aprobada por los Gobiernos Regionales o la SBN de acuerdo a sus respectivas competencias.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resolución que dispone la primera inscripción de dominio del predio del Estado, deberá publicarse por única vez en el Diario Oficial “El Peruano” y, un extracto, en un diario de mayor circulación en la Región en que se encuentre el predio.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inscripción de los bienes del Estado de dominio público y de dominio privado se efectuará en el Registro de Predios a favor del Estado.</w:t>
      </w:r>
    </w:p>
    <w:p w:rsidR="00D04998" w:rsidRPr="006312E8" w:rsidRDefault="00D0499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 xml:space="preserve">CONCORDANCIAS: </w:t>
      </w:r>
      <w:r w:rsidRPr="006312E8">
        <w:rPr>
          <w:rFonts w:ascii="Arial" w:eastAsia="Calibri" w:hAnsi="Arial" w:cs="Arial"/>
          <w:b/>
          <w:color w:val="4F6228"/>
          <w:sz w:val="16"/>
          <w:szCs w:val="16"/>
        </w:rPr>
        <w:tab/>
      </w:r>
    </w:p>
    <w:p w:rsidR="006312E8" w:rsidRPr="006312E8" w:rsidRDefault="006312E8" w:rsidP="006312E8">
      <w:pPr>
        <w:numPr>
          <w:ilvl w:val="0"/>
          <w:numId w:val="46"/>
        </w:numPr>
        <w:spacing w:after="0" w:line="240" w:lineRule="auto"/>
        <w:contextualSpacing/>
        <w:jc w:val="both"/>
        <w:rPr>
          <w:rFonts w:ascii="Arial" w:eastAsia="Calibri" w:hAnsi="Arial" w:cs="Arial"/>
          <w:b/>
          <w:color w:val="4F6228"/>
          <w:sz w:val="16"/>
          <w:szCs w:val="16"/>
        </w:rPr>
      </w:pPr>
      <w:r w:rsidRPr="006312E8">
        <w:rPr>
          <w:rFonts w:ascii="Arial" w:eastAsia="Calibri" w:hAnsi="Arial" w:cs="Arial"/>
          <w:b/>
          <w:color w:val="4F6228"/>
          <w:sz w:val="16"/>
          <w:szCs w:val="16"/>
        </w:rPr>
        <w:t>Código Civil (art. 2018)</w:t>
      </w:r>
    </w:p>
    <w:p w:rsidR="006312E8" w:rsidRPr="006312E8" w:rsidRDefault="000A5EA6" w:rsidP="006312E8">
      <w:pPr>
        <w:numPr>
          <w:ilvl w:val="0"/>
          <w:numId w:val="46"/>
        </w:numPr>
        <w:spacing w:after="0" w:line="240" w:lineRule="auto"/>
        <w:contextualSpacing/>
        <w:jc w:val="both"/>
        <w:rPr>
          <w:rFonts w:ascii="Arial" w:eastAsia="Calibri" w:hAnsi="Arial" w:cs="Arial"/>
          <w:b/>
          <w:color w:val="4F6228"/>
          <w:sz w:val="16"/>
          <w:szCs w:val="16"/>
        </w:rPr>
      </w:pPr>
      <w:hyperlink w:anchor="DS1302001" w:history="1">
        <w:r w:rsidR="006312E8" w:rsidRPr="006312E8">
          <w:rPr>
            <w:rFonts w:ascii="Arial" w:eastAsia="Calibri" w:hAnsi="Arial" w:cs="Arial"/>
            <w:b/>
            <w:color w:val="4F6228"/>
            <w:sz w:val="16"/>
            <w:szCs w:val="16"/>
          </w:rPr>
          <w:t>Decreto Supremo Nº 130-2001</w:t>
        </w:r>
      </w:hyperlink>
      <w:r w:rsidR="006312E8" w:rsidRPr="006312E8">
        <w:rPr>
          <w:rFonts w:ascii="Arial" w:eastAsia="Calibri" w:hAnsi="Arial" w:cs="Arial"/>
          <w:b/>
          <w:color w:val="4F6228"/>
          <w:sz w:val="16"/>
          <w:szCs w:val="16"/>
        </w:rPr>
        <w:t>-EF (art. 7 literal b)</w:t>
      </w:r>
    </w:p>
    <w:p w:rsidR="006312E8" w:rsidRPr="006312E8" w:rsidRDefault="000A5EA6" w:rsidP="006312E8">
      <w:pPr>
        <w:numPr>
          <w:ilvl w:val="0"/>
          <w:numId w:val="46"/>
        </w:numPr>
        <w:spacing w:after="0" w:line="240" w:lineRule="auto"/>
        <w:contextualSpacing/>
        <w:jc w:val="both"/>
        <w:rPr>
          <w:rFonts w:ascii="Arial" w:eastAsia="Calibri" w:hAnsi="Arial" w:cs="Arial"/>
          <w:b/>
          <w:color w:val="4F6228"/>
          <w:sz w:val="16"/>
          <w:szCs w:val="16"/>
        </w:rPr>
      </w:pPr>
      <w:hyperlink w:anchor="D0012002" w:history="1">
        <w:r w:rsidR="00D91F1A">
          <w:rPr>
            <w:rFonts w:ascii="Arial" w:eastAsia="Calibri" w:hAnsi="Arial" w:cs="Arial"/>
            <w:b/>
            <w:color w:val="4F6228"/>
            <w:sz w:val="16"/>
            <w:szCs w:val="16"/>
          </w:rPr>
          <w:t>Directiva Nº 00</w:t>
        </w:r>
        <w:r w:rsidR="00381192">
          <w:rPr>
            <w:rFonts w:ascii="Arial" w:eastAsia="Calibri" w:hAnsi="Arial" w:cs="Arial"/>
            <w:b/>
            <w:color w:val="4F6228"/>
            <w:sz w:val="16"/>
            <w:szCs w:val="16"/>
          </w:rPr>
          <w:t>2</w:t>
        </w:r>
        <w:r w:rsidR="006312E8" w:rsidRPr="006312E8">
          <w:rPr>
            <w:rFonts w:ascii="Arial" w:eastAsia="Calibri" w:hAnsi="Arial" w:cs="Arial"/>
            <w:b/>
            <w:color w:val="4F6228"/>
            <w:sz w:val="16"/>
            <w:szCs w:val="16"/>
          </w:rPr>
          <w:t>-20</w:t>
        </w:r>
        <w:r w:rsidR="00381192">
          <w:rPr>
            <w:rFonts w:ascii="Arial" w:eastAsia="Calibri" w:hAnsi="Arial" w:cs="Arial"/>
            <w:b/>
            <w:color w:val="4F6228"/>
            <w:sz w:val="16"/>
            <w:szCs w:val="16"/>
          </w:rPr>
          <w:t>16</w:t>
        </w:r>
        <w:r w:rsidR="006312E8" w:rsidRPr="006312E8">
          <w:rPr>
            <w:rFonts w:ascii="Arial" w:eastAsia="Calibri" w:hAnsi="Arial" w:cs="Arial"/>
            <w:b/>
            <w:color w:val="4F6228"/>
            <w:sz w:val="16"/>
            <w:szCs w:val="16"/>
          </w:rPr>
          <w:t>/SBN</w:t>
        </w:r>
      </w:hyperlink>
      <w:r w:rsidR="00381192">
        <w:rPr>
          <w:rFonts w:ascii="Arial" w:eastAsia="Calibri" w:hAnsi="Arial" w:cs="Arial"/>
          <w:b/>
          <w:color w:val="4F6228"/>
          <w:sz w:val="16"/>
          <w:szCs w:val="16"/>
        </w:rPr>
        <w:t>, aprobada por Resolución N° 052-2016/SBN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39.- Inmatriculación de los predios ubicados en las zonas de playa</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inmatriculación en el Registro de Predios de los predios ubicados en zonas de playa y de los terrenos de propiedad estatal ubicados en las zonas de dominio restringido corresponde a la SBN, la que deberá disponerse mediante la resolución respectiva. Dicha resolución, conjuntamente con la memoria descriptiva y el plano perimétrico-ubicación que la sustenta, constituyen título suficiente para todos los efectos legales.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 xml:space="preserve">CONCORDANCIAS: </w:t>
      </w:r>
      <w:r w:rsidRPr="006312E8">
        <w:rPr>
          <w:rFonts w:ascii="Arial" w:eastAsia="Calibri" w:hAnsi="Arial" w:cs="Arial"/>
          <w:b/>
          <w:color w:val="4F6228"/>
          <w:sz w:val="16"/>
          <w:szCs w:val="16"/>
        </w:rPr>
        <w:tab/>
      </w:r>
    </w:p>
    <w:p w:rsidR="006312E8" w:rsidRPr="006312E8" w:rsidRDefault="000A5EA6" w:rsidP="006312E8">
      <w:pPr>
        <w:numPr>
          <w:ilvl w:val="0"/>
          <w:numId w:val="47"/>
        </w:numPr>
        <w:spacing w:after="0" w:line="240" w:lineRule="auto"/>
        <w:contextualSpacing/>
        <w:jc w:val="both"/>
        <w:rPr>
          <w:rFonts w:ascii="Arial" w:eastAsia="Calibri" w:hAnsi="Arial" w:cs="Arial"/>
          <w:b/>
          <w:color w:val="4F6228"/>
          <w:sz w:val="16"/>
          <w:szCs w:val="16"/>
        </w:rPr>
      </w:pPr>
      <w:hyperlink w:anchor="DS0102008" w:history="1">
        <w:r w:rsidR="006312E8" w:rsidRPr="006312E8">
          <w:rPr>
            <w:rFonts w:ascii="Arial" w:eastAsia="Calibri" w:hAnsi="Arial" w:cs="Arial"/>
            <w:b/>
            <w:color w:val="4F6228"/>
            <w:sz w:val="16"/>
            <w:szCs w:val="16"/>
          </w:rPr>
          <w:t>Decreto Supremo Nº 010-2008-VIVIENDA</w:t>
        </w:r>
      </w:hyperlink>
      <w:r w:rsidR="006312E8" w:rsidRPr="006312E8">
        <w:rPr>
          <w:rFonts w:ascii="Arial" w:eastAsia="Calibri" w:hAnsi="Arial" w:cs="Arial"/>
          <w:sz w:val="16"/>
          <w:szCs w:val="16"/>
        </w:rPr>
        <w:t xml:space="preserve"> </w:t>
      </w:r>
      <w:r w:rsidR="006312E8" w:rsidRPr="006312E8">
        <w:rPr>
          <w:rFonts w:ascii="Arial" w:eastAsia="Calibri" w:hAnsi="Arial" w:cs="Arial"/>
          <w:b/>
          <w:color w:val="4F6228"/>
          <w:sz w:val="16"/>
          <w:szCs w:val="16"/>
        </w:rPr>
        <w:t>(art. 2)</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40.- Documentos que sustentan la inscripción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resolución que dispone la primera inscripción de dominio, conjuntamente con el Plano Perimétrico - Ubicación y Memoria Descriptiva, constituyen título suficiente para todos los efectos legales.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 xml:space="preserve">CONCORDANCIAS: </w:t>
      </w:r>
      <w:r w:rsidRPr="006312E8">
        <w:rPr>
          <w:rFonts w:ascii="Arial" w:eastAsia="Calibri" w:hAnsi="Arial" w:cs="Arial"/>
          <w:b/>
          <w:color w:val="4F6228"/>
          <w:sz w:val="16"/>
          <w:szCs w:val="16"/>
        </w:rPr>
        <w:tab/>
      </w:r>
    </w:p>
    <w:p w:rsidR="006312E8" w:rsidRPr="006312E8" w:rsidRDefault="000A5EA6" w:rsidP="006312E8">
      <w:pPr>
        <w:numPr>
          <w:ilvl w:val="0"/>
          <w:numId w:val="46"/>
        </w:numPr>
        <w:spacing w:after="0" w:line="240" w:lineRule="auto"/>
        <w:contextualSpacing/>
        <w:jc w:val="both"/>
        <w:rPr>
          <w:rFonts w:ascii="Arial" w:eastAsia="Calibri" w:hAnsi="Arial" w:cs="Arial"/>
          <w:lang w:val="es-ES"/>
        </w:rPr>
      </w:pPr>
      <w:hyperlink w:anchor="D0012002" w:history="1">
        <w:r w:rsidR="00AA2D63">
          <w:rPr>
            <w:rFonts w:ascii="Arial" w:eastAsia="Calibri" w:hAnsi="Arial" w:cs="Arial"/>
            <w:b/>
            <w:color w:val="4F6228"/>
            <w:sz w:val="16"/>
            <w:szCs w:val="16"/>
          </w:rPr>
          <w:t>Directiva Nº 002</w:t>
        </w:r>
        <w:r w:rsidR="006312E8" w:rsidRPr="006312E8">
          <w:rPr>
            <w:rFonts w:ascii="Arial" w:eastAsia="Calibri" w:hAnsi="Arial" w:cs="Arial"/>
            <w:b/>
            <w:color w:val="4F6228"/>
            <w:sz w:val="16"/>
            <w:szCs w:val="16"/>
          </w:rPr>
          <w:t>-20</w:t>
        </w:r>
        <w:r w:rsidR="00AA2D63">
          <w:rPr>
            <w:rFonts w:ascii="Arial" w:eastAsia="Calibri" w:hAnsi="Arial" w:cs="Arial"/>
            <w:b/>
            <w:color w:val="4F6228"/>
            <w:sz w:val="16"/>
            <w:szCs w:val="16"/>
          </w:rPr>
          <w:t>16</w:t>
        </w:r>
        <w:r w:rsidR="006312E8" w:rsidRPr="006312E8">
          <w:rPr>
            <w:rFonts w:ascii="Arial" w:eastAsia="Calibri" w:hAnsi="Arial" w:cs="Arial"/>
            <w:b/>
            <w:color w:val="4F6228"/>
            <w:sz w:val="16"/>
            <w:szCs w:val="16"/>
          </w:rPr>
          <w:t>/SBN</w:t>
        </w:r>
      </w:hyperlink>
      <w:r w:rsidR="006312E8" w:rsidRPr="006312E8">
        <w:rPr>
          <w:rFonts w:ascii="Arial" w:eastAsia="Calibri" w:hAnsi="Arial" w:cs="Arial"/>
          <w:b/>
          <w:color w:val="4F6228"/>
          <w:sz w:val="16"/>
          <w:szCs w:val="16"/>
        </w:rPr>
        <w:t>, aprobada por Resolución Nº 0</w:t>
      </w:r>
      <w:r w:rsidR="00AA2D63">
        <w:rPr>
          <w:rFonts w:ascii="Arial" w:eastAsia="Calibri" w:hAnsi="Arial" w:cs="Arial"/>
          <w:b/>
          <w:color w:val="4F6228"/>
          <w:sz w:val="16"/>
          <w:szCs w:val="16"/>
        </w:rPr>
        <w:t>52</w:t>
      </w:r>
      <w:r w:rsidR="006312E8" w:rsidRPr="006312E8">
        <w:rPr>
          <w:rFonts w:ascii="Arial" w:eastAsia="Calibri" w:hAnsi="Arial" w:cs="Arial"/>
          <w:b/>
          <w:color w:val="4F6228"/>
          <w:sz w:val="16"/>
          <w:szCs w:val="16"/>
        </w:rPr>
        <w:t>-20</w:t>
      </w:r>
      <w:r w:rsidR="00AA2D63">
        <w:rPr>
          <w:rFonts w:ascii="Arial" w:eastAsia="Calibri" w:hAnsi="Arial" w:cs="Arial"/>
          <w:b/>
          <w:color w:val="4F6228"/>
          <w:sz w:val="16"/>
          <w:szCs w:val="16"/>
        </w:rPr>
        <w:t>16/</w:t>
      </w:r>
      <w:r w:rsidR="006312E8" w:rsidRPr="006312E8">
        <w:rPr>
          <w:rFonts w:ascii="Arial" w:eastAsia="Calibri" w:hAnsi="Arial" w:cs="Arial"/>
          <w:b/>
          <w:color w:val="4F6228"/>
          <w:sz w:val="16"/>
          <w:szCs w:val="16"/>
        </w:rPr>
        <w:t xml:space="preserve">SBN </w:t>
      </w:r>
    </w:p>
    <w:p w:rsidR="006312E8" w:rsidRPr="006312E8" w:rsidRDefault="006312E8" w:rsidP="006312E8">
      <w:pPr>
        <w:spacing w:after="0" w:line="240" w:lineRule="auto"/>
        <w:jc w:val="center"/>
        <w:rPr>
          <w:rFonts w:ascii="Arial" w:eastAsia="Calibri" w:hAnsi="Arial" w:cs="Arial"/>
          <w:b/>
          <w:lang w:val="es-ES"/>
        </w:rPr>
      </w:pPr>
    </w:p>
    <w:p w:rsidR="006312E8" w:rsidRPr="006312E8" w:rsidRDefault="006312E8" w:rsidP="006312E8">
      <w:pPr>
        <w:spacing w:after="0" w:line="240" w:lineRule="auto"/>
        <w:jc w:val="center"/>
        <w:rPr>
          <w:rFonts w:ascii="Arial" w:eastAsia="Calibri" w:hAnsi="Arial" w:cs="Arial"/>
          <w:b/>
          <w:lang w:val="es-ES"/>
        </w:rPr>
      </w:pPr>
      <w:bookmarkStart w:id="63" w:name="_Toc392856143"/>
      <w:bookmarkStart w:id="64" w:name="_Toc399335416"/>
      <w:r w:rsidRPr="006312E8">
        <w:rPr>
          <w:rFonts w:ascii="Arial" w:eastAsia="Calibri" w:hAnsi="Arial" w:cs="Arial"/>
          <w:b/>
          <w:lang w:val="es-ES"/>
        </w:rPr>
        <w:t>CAPÍTULO III</w:t>
      </w:r>
      <w:bookmarkEnd w:id="63"/>
      <w:bookmarkEnd w:id="64"/>
    </w:p>
    <w:p w:rsidR="006312E8" w:rsidRPr="006312E8" w:rsidRDefault="006312E8" w:rsidP="006312E8">
      <w:pPr>
        <w:spacing w:after="0" w:line="240" w:lineRule="auto"/>
        <w:jc w:val="center"/>
        <w:rPr>
          <w:rFonts w:ascii="Arial" w:eastAsia="Calibri" w:hAnsi="Arial" w:cs="Arial"/>
          <w:b/>
          <w:lang w:val="es-ES"/>
        </w:rPr>
      </w:pPr>
      <w:bookmarkStart w:id="65" w:name="_Toc392856144"/>
      <w:bookmarkStart w:id="66" w:name="_Toc399335417"/>
      <w:r w:rsidRPr="006312E8">
        <w:rPr>
          <w:rFonts w:ascii="Arial" w:eastAsia="Calibri" w:hAnsi="Arial" w:cs="Arial"/>
          <w:b/>
          <w:lang w:val="es-ES"/>
        </w:rPr>
        <w:t>DE LOS BIENES INMUEBLES DE DOMINIO PÚBLICO</w:t>
      </w:r>
      <w:bookmarkEnd w:id="65"/>
      <w:bookmarkEnd w:id="66"/>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41.- De las entidades responsables de los bienes de dominio público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administración, conservación y tutela de los bienes de dominio público compete a las entidades responsables del uso público del bien o de la prestación del servicio público, según corresponda, y conforme con las normas de la respectiva materia. La supervisión del carácter inalienable e imprescriptible de los bienes de dominio público, está a cargo de la Superintendencia Nacional de Bienes Estatales -SBN, en su calidad de Ente Rector del Sistema Nacional de Bienes Estatales.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Atendiendo a razones debidamente justificadas, la administración de los bienes de dominio público podrá ser asignada o reasignada a otra entidad responsable del uso público del bien o de la prestación del servicio público, mediante resolución de la SBN. Dicha resolución constituye título suficiente para su inscripción registral.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Si como consecuencia de las labores de supervisión de la SBN se detectara una indebida inscripción del bien de dominio público originada en normas especiales que dieron mérito a la misma, la SBN podrá precisar, rectificar o aclarar la titularidad del mismo. Dicha resolución tiene mérito suficiente para su inscripción registral.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Artículo modificado por el Artículo 1 del Decreto Supremo Nº 017-2009-VIVIENDA, publicado el 24 octubre 2009</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6312E8" w:rsidP="0092471C">
      <w:pPr>
        <w:numPr>
          <w:ilvl w:val="0"/>
          <w:numId w:val="138"/>
        </w:num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Constitución Política del Estado ( art. 73)</w:t>
      </w:r>
    </w:p>
    <w:p w:rsidR="006312E8" w:rsidRPr="006312E8" w:rsidRDefault="000A5EA6" w:rsidP="0092471C">
      <w:pPr>
        <w:numPr>
          <w:ilvl w:val="0"/>
          <w:numId w:val="138"/>
        </w:numPr>
        <w:spacing w:after="0" w:line="240" w:lineRule="auto"/>
        <w:jc w:val="both"/>
        <w:rPr>
          <w:rFonts w:ascii="Arial" w:eastAsia="Calibri" w:hAnsi="Arial" w:cs="Arial"/>
          <w:b/>
          <w:color w:val="4F6228"/>
          <w:sz w:val="16"/>
          <w:szCs w:val="16"/>
        </w:rPr>
      </w:pPr>
      <w:hyperlink w:anchor="DS0162010" w:history="1">
        <w:r w:rsidR="006312E8" w:rsidRPr="006312E8">
          <w:rPr>
            <w:rFonts w:ascii="Arial" w:eastAsia="Calibri" w:hAnsi="Arial" w:cs="Arial"/>
            <w:b/>
            <w:color w:val="0000FF"/>
            <w:sz w:val="16"/>
            <w:szCs w:val="16"/>
            <w:u w:val="single"/>
          </w:rPr>
          <w:t>Decreto Supremo Nº 016-2010-VIVIENDA</w:t>
        </w:r>
      </w:hyperlink>
      <w:r w:rsidR="006312E8" w:rsidRPr="006312E8">
        <w:rPr>
          <w:rFonts w:ascii="Arial" w:eastAsia="Calibri" w:hAnsi="Arial" w:cs="Arial"/>
          <w:b/>
          <w:color w:val="4F6228"/>
          <w:sz w:val="16"/>
          <w:szCs w:val="16"/>
        </w:rPr>
        <w:t xml:space="preserve"> (arts. . 44  literal a; 46 literal b)</w:t>
      </w:r>
    </w:p>
    <w:p w:rsidR="006312E8" w:rsidRPr="006312E8" w:rsidRDefault="006312E8" w:rsidP="0092471C">
      <w:pPr>
        <w:numPr>
          <w:ilvl w:val="0"/>
          <w:numId w:val="138"/>
        </w:num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Reglamento del Registro de Predios (art. 18º inciso c)</w:t>
      </w:r>
    </w:p>
    <w:p w:rsidR="006312E8" w:rsidRDefault="006312E8" w:rsidP="006312E8">
      <w:pPr>
        <w:spacing w:after="0" w:line="240" w:lineRule="auto"/>
        <w:jc w:val="both"/>
        <w:rPr>
          <w:rFonts w:ascii="Arial" w:eastAsia="Calibri" w:hAnsi="Arial" w:cs="Arial"/>
          <w:lang w:val="es-ES"/>
        </w:rPr>
      </w:pPr>
    </w:p>
    <w:p w:rsidR="00994010" w:rsidRDefault="00994010" w:rsidP="006312E8">
      <w:pPr>
        <w:spacing w:after="0" w:line="240" w:lineRule="auto"/>
        <w:jc w:val="both"/>
        <w:rPr>
          <w:rFonts w:ascii="Arial" w:eastAsia="Calibri" w:hAnsi="Arial" w:cs="Arial"/>
          <w:lang w:val="es-ES"/>
        </w:rPr>
      </w:pPr>
    </w:p>
    <w:p w:rsidR="00994010" w:rsidRDefault="00994010"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41 - A.- De la Supervisión de los bienes de dominio Público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supervisión de la SBN sobre los bienes de dominio público comprende también las acciones que en conjunto pueda promover con las entidades responsables de la administración, conservación y tutela de los bienes de dominio público tendientes al ejercicio efectivo del uso o servicio público”.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Artículo incorporado por el Artículo 2 del Decreto Supremo Nº 017-2009-VIVIENDA, publicado el 24 octubre 2009.</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92471C">
      <w:pPr>
        <w:numPr>
          <w:ilvl w:val="0"/>
          <w:numId w:val="138"/>
        </w:numPr>
        <w:spacing w:after="0" w:line="240" w:lineRule="auto"/>
        <w:jc w:val="both"/>
        <w:rPr>
          <w:rFonts w:ascii="Arial" w:eastAsia="Calibri" w:hAnsi="Arial" w:cs="Arial"/>
          <w:b/>
          <w:color w:val="4F6228"/>
          <w:sz w:val="16"/>
          <w:szCs w:val="16"/>
        </w:rPr>
      </w:pPr>
      <w:hyperlink w:anchor="DS0102008" w:history="1">
        <w:r w:rsidR="006312E8" w:rsidRPr="006312E8">
          <w:rPr>
            <w:rFonts w:ascii="Arial" w:eastAsia="Calibri" w:hAnsi="Arial" w:cs="Arial"/>
            <w:b/>
            <w:color w:val="0000FF"/>
            <w:sz w:val="16"/>
            <w:szCs w:val="16"/>
            <w:u w:val="single"/>
          </w:rPr>
          <w:t>Decreto Supremo Nº 010-2008-VIVIENDA</w:t>
        </w:r>
      </w:hyperlink>
      <w:r w:rsidR="006312E8" w:rsidRPr="006312E8">
        <w:rPr>
          <w:rFonts w:ascii="Arial" w:eastAsia="Calibri" w:hAnsi="Arial" w:cs="Arial"/>
          <w:b/>
          <w:color w:val="4F6228"/>
          <w:sz w:val="16"/>
          <w:szCs w:val="16"/>
        </w:rPr>
        <w:t xml:space="preserve"> (art. 1)</w:t>
      </w:r>
    </w:p>
    <w:p w:rsidR="006312E8" w:rsidRPr="006312E8" w:rsidRDefault="000A5EA6" w:rsidP="0092471C">
      <w:pPr>
        <w:numPr>
          <w:ilvl w:val="0"/>
          <w:numId w:val="138"/>
        </w:numPr>
        <w:spacing w:after="0" w:line="240" w:lineRule="auto"/>
        <w:jc w:val="both"/>
        <w:rPr>
          <w:rFonts w:ascii="Arial" w:eastAsia="Calibri" w:hAnsi="Arial" w:cs="Arial"/>
          <w:b/>
          <w:color w:val="4F6228"/>
          <w:sz w:val="16"/>
          <w:szCs w:val="16"/>
        </w:rPr>
      </w:pPr>
      <w:hyperlink w:anchor="DS0162010" w:history="1">
        <w:r w:rsidR="006312E8" w:rsidRPr="006312E8">
          <w:rPr>
            <w:rFonts w:ascii="Arial" w:eastAsia="Calibri" w:hAnsi="Arial" w:cs="Arial"/>
            <w:b/>
            <w:color w:val="0000FF"/>
            <w:sz w:val="16"/>
            <w:szCs w:val="16"/>
            <w:u w:val="single"/>
          </w:rPr>
          <w:t>Decreto Supremo Nº 016-2010-VIVIENDA</w:t>
        </w:r>
      </w:hyperlink>
      <w:r w:rsidR="006312E8" w:rsidRPr="006312E8">
        <w:rPr>
          <w:rFonts w:ascii="Arial" w:eastAsia="Calibri" w:hAnsi="Arial" w:cs="Arial"/>
          <w:b/>
          <w:color w:val="4F6228"/>
          <w:sz w:val="16"/>
          <w:szCs w:val="16"/>
        </w:rPr>
        <w:t xml:space="preserve"> (art . 46 literal b)</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42.- De la calificación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calificación de un inmueble como de dominio público, de ser necesaria, será efectuada mediante Resolución de la SBN o del Gobierno Regional, de acuerdo con sus respectivas competencias.</w:t>
      </w:r>
    </w:p>
    <w:p w:rsid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43.- De la desafectación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desafectación de un bien de dominio público, al dominio privado del Estado procederá cuando haya perdido la naturaleza o condición apropiada para su uso público o para prestar un servicio público, y será aprobada por la SBN, de acuerdo con sus respectivas competencias.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Excepcionalmente, a solicitud de la entidad previo informe sustentatorio, la SBN procederá a aprobar la desafectación de los predios de dominio público.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En caso de bienes administrados por los Gobiernos Locales, la desafectación será efectuada por éstos, conforme a la normatividad vigente. Una vez concluida la desafectación, el Gobierno Local podrá solicitar el bien al Gobierno Regional o a la SBN, conforme a los procedimientos establecidos en el Reglamento.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desafectación se inscribe en el Registro de Predios a favor del Estado, por el sólo mérito de la Resolución que así lo declara.</w:t>
      </w:r>
    </w:p>
    <w:p w:rsidR="006312E8" w:rsidRPr="006312E8" w:rsidRDefault="006312E8" w:rsidP="006312E8">
      <w:pPr>
        <w:spacing w:after="0" w:line="240" w:lineRule="auto"/>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6312E8" w:rsidP="0092471C">
      <w:pPr>
        <w:numPr>
          <w:ilvl w:val="0"/>
          <w:numId w:val="138"/>
        </w:numPr>
        <w:spacing w:after="0" w:line="240" w:lineRule="auto"/>
        <w:contextualSpacing/>
        <w:jc w:val="both"/>
        <w:rPr>
          <w:rFonts w:ascii="Arial" w:eastAsia="Calibri" w:hAnsi="Arial" w:cs="Arial"/>
          <w:b/>
          <w:color w:val="4F6228"/>
          <w:sz w:val="16"/>
          <w:szCs w:val="16"/>
        </w:rPr>
      </w:pPr>
      <w:r w:rsidRPr="006312E8">
        <w:rPr>
          <w:rFonts w:ascii="Arial" w:eastAsia="Calibri" w:hAnsi="Arial" w:cs="Arial"/>
          <w:b/>
          <w:color w:val="4F6228"/>
          <w:sz w:val="16"/>
          <w:szCs w:val="16"/>
        </w:rPr>
        <w:t>Decreto Supremo Nº 029-2008-VIVIENDA (art. 6º)</w:t>
      </w:r>
    </w:p>
    <w:p w:rsidR="006312E8" w:rsidRPr="006312E8" w:rsidRDefault="000A5EA6" w:rsidP="0092471C">
      <w:pPr>
        <w:numPr>
          <w:ilvl w:val="0"/>
          <w:numId w:val="138"/>
        </w:numPr>
        <w:spacing w:after="0" w:line="240" w:lineRule="auto"/>
        <w:jc w:val="both"/>
        <w:rPr>
          <w:rFonts w:ascii="Arial" w:eastAsia="Calibri" w:hAnsi="Arial" w:cs="Arial"/>
          <w:b/>
          <w:color w:val="4F6228"/>
          <w:sz w:val="16"/>
          <w:szCs w:val="16"/>
        </w:rPr>
      </w:pPr>
      <w:hyperlink w:anchor="DS0162010" w:history="1">
        <w:r w:rsidR="006312E8" w:rsidRPr="006312E8">
          <w:rPr>
            <w:rFonts w:ascii="Arial" w:eastAsia="Calibri" w:hAnsi="Arial" w:cs="Arial"/>
            <w:b/>
            <w:color w:val="0000FF"/>
            <w:sz w:val="16"/>
            <w:szCs w:val="16"/>
            <w:u w:val="single"/>
          </w:rPr>
          <w:t>Decreto Supremo Nº 016-2010-VIVIENDA</w:t>
        </w:r>
      </w:hyperlink>
      <w:r w:rsidR="006312E8" w:rsidRPr="006312E8">
        <w:rPr>
          <w:rFonts w:ascii="Arial" w:eastAsia="Calibri" w:hAnsi="Arial" w:cs="Arial"/>
          <w:b/>
          <w:color w:val="4F6228"/>
          <w:sz w:val="16"/>
          <w:szCs w:val="16"/>
        </w:rPr>
        <w:t xml:space="preserve"> (art . 48 literal f)</w:t>
      </w:r>
    </w:p>
    <w:p w:rsidR="006312E8" w:rsidRPr="006312E8" w:rsidRDefault="000A5EA6" w:rsidP="0092471C">
      <w:pPr>
        <w:numPr>
          <w:ilvl w:val="0"/>
          <w:numId w:val="138"/>
        </w:numPr>
        <w:spacing w:after="0" w:line="240" w:lineRule="auto"/>
        <w:jc w:val="both"/>
        <w:rPr>
          <w:rFonts w:ascii="Arial" w:eastAsia="Calibri" w:hAnsi="Arial" w:cs="Arial"/>
          <w:b/>
          <w:color w:val="4F6228"/>
          <w:sz w:val="16"/>
          <w:szCs w:val="16"/>
        </w:rPr>
      </w:pPr>
      <w:hyperlink w:anchor="D0062002" w:history="1">
        <w:r w:rsidR="006312E8" w:rsidRPr="006312E8">
          <w:rPr>
            <w:rFonts w:ascii="Arial" w:eastAsia="Calibri" w:hAnsi="Arial" w:cs="Arial"/>
            <w:b/>
            <w:color w:val="0000FF"/>
            <w:sz w:val="16"/>
            <w:szCs w:val="16"/>
            <w:u w:val="single"/>
          </w:rPr>
          <w:t>Directiva Nº 006-2002/SBN</w:t>
        </w:r>
      </w:hyperlink>
      <w:r w:rsidR="006312E8" w:rsidRPr="006312E8">
        <w:rPr>
          <w:rFonts w:ascii="Arial" w:eastAsia="Calibri" w:hAnsi="Arial" w:cs="Arial"/>
          <w:b/>
          <w:color w:val="4F6228"/>
          <w:sz w:val="16"/>
          <w:szCs w:val="16"/>
        </w:rPr>
        <w:t>¸ aprobada por Resolución Nº 026-2002-SBN (art. 1 numeral 1.4.2)</w:t>
      </w:r>
    </w:p>
    <w:p w:rsidR="006312E8" w:rsidRPr="006312E8" w:rsidRDefault="000A5EA6" w:rsidP="0092471C">
      <w:pPr>
        <w:numPr>
          <w:ilvl w:val="0"/>
          <w:numId w:val="138"/>
        </w:numPr>
        <w:spacing w:after="0" w:line="240" w:lineRule="auto"/>
        <w:jc w:val="both"/>
        <w:rPr>
          <w:rFonts w:ascii="Arial" w:eastAsia="Calibri" w:hAnsi="Arial" w:cs="Arial"/>
          <w:b/>
          <w:color w:val="4F6228"/>
          <w:sz w:val="16"/>
          <w:szCs w:val="16"/>
        </w:rPr>
      </w:pPr>
      <w:hyperlink w:anchor="D0072004" w:history="1">
        <w:r w:rsidR="006312E8" w:rsidRPr="006312E8">
          <w:rPr>
            <w:rFonts w:ascii="Arial" w:eastAsia="Calibri" w:hAnsi="Arial" w:cs="Arial"/>
            <w:b/>
            <w:color w:val="0000FF"/>
            <w:sz w:val="16"/>
            <w:szCs w:val="16"/>
            <w:u w:val="single"/>
          </w:rPr>
          <w:t>Directiva Nº 007-2004/SBN</w:t>
        </w:r>
      </w:hyperlink>
      <w:r w:rsidR="006312E8" w:rsidRPr="006312E8">
        <w:rPr>
          <w:rFonts w:ascii="Arial" w:eastAsia="Calibri" w:hAnsi="Arial" w:cs="Arial"/>
          <w:b/>
          <w:color w:val="4F6228"/>
          <w:sz w:val="16"/>
          <w:szCs w:val="16"/>
        </w:rPr>
        <w:t>, aprobada por Resolución Nº 028-2004-SBN (art. 2 numeral 2.1.9)</w:t>
      </w:r>
    </w:p>
    <w:p w:rsidR="006312E8" w:rsidRPr="006312E8" w:rsidRDefault="000A5EA6" w:rsidP="0092471C">
      <w:pPr>
        <w:numPr>
          <w:ilvl w:val="0"/>
          <w:numId w:val="138"/>
        </w:numPr>
        <w:spacing w:after="0" w:line="240" w:lineRule="auto"/>
        <w:jc w:val="both"/>
        <w:rPr>
          <w:rFonts w:ascii="Arial" w:eastAsia="Calibri" w:hAnsi="Arial" w:cs="Arial"/>
          <w:b/>
          <w:color w:val="4F6228"/>
          <w:sz w:val="16"/>
          <w:szCs w:val="16"/>
        </w:rPr>
      </w:pPr>
      <w:hyperlink w:anchor="D0032011" w:history="1">
        <w:r w:rsidR="006312E8" w:rsidRPr="006312E8">
          <w:rPr>
            <w:rFonts w:ascii="Arial" w:eastAsia="Calibri" w:hAnsi="Arial" w:cs="Arial"/>
            <w:b/>
            <w:color w:val="0000FF"/>
            <w:sz w:val="16"/>
            <w:szCs w:val="16"/>
            <w:u w:val="single"/>
          </w:rPr>
          <w:t>Directiva Nº 003-2011-SBN</w:t>
        </w:r>
      </w:hyperlink>
      <w:r w:rsidR="006312E8" w:rsidRPr="006312E8">
        <w:rPr>
          <w:rFonts w:ascii="Arial" w:eastAsia="Calibri" w:hAnsi="Arial" w:cs="Arial"/>
          <w:b/>
          <w:color w:val="4F6228"/>
          <w:sz w:val="16"/>
          <w:szCs w:val="16"/>
        </w:rPr>
        <w:t>, aprobada por Resolución Nº 020-2011-SBN (art. 3, numeral 3.3)</w:t>
      </w:r>
    </w:p>
    <w:p w:rsidR="006312E8" w:rsidRPr="006312E8" w:rsidRDefault="000A5EA6" w:rsidP="0092471C">
      <w:pPr>
        <w:numPr>
          <w:ilvl w:val="0"/>
          <w:numId w:val="138"/>
        </w:numPr>
        <w:spacing w:after="0" w:line="240" w:lineRule="auto"/>
        <w:jc w:val="both"/>
        <w:rPr>
          <w:rFonts w:ascii="Arial" w:eastAsia="Calibri" w:hAnsi="Arial" w:cs="Arial"/>
          <w:b/>
          <w:color w:val="4F6228"/>
          <w:sz w:val="16"/>
          <w:szCs w:val="16"/>
        </w:rPr>
      </w:pPr>
      <w:hyperlink w:anchor="D0042011" w:history="1">
        <w:r w:rsidR="006312E8" w:rsidRPr="006312E8">
          <w:rPr>
            <w:rFonts w:ascii="Arial" w:eastAsia="Calibri" w:hAnsi="Arial" w:cs="Arial"/>
            <w:b/>
            <w:color w:val="0000FF"/>
            <w:sz w:val="16"/>
            <w:szCs w:val="16"/>
            <w:u w:val="single"/>
          </w:rPr>
          <w:t>Directiva Nº 004-2011-SBN</w:t>
        </w:r>
      </w:hyperlink>
      <w:r w:rsidR="006312E8" w:rsidRPr="006312E8">
        <w:rPr>
          <w:rFonts w:ascii="Arial" w:eastAsia="Calibri" w:hAnsi="Arial" w:cs="Arial"/>
          <w:b/>
          <w:color w:val="4F6228"/>
          <w:sz w:val="16"/>
          <w:szCs w:val="16"/>
        </w:rPr>
        <w:t>, aprobada por Resolución Nº 044-2011-SBN (art.3 numeral 3.3)</w:t>
      </w:r>
    </w:p>
    <w:p w:rsidR="006312E8" w:rsidRPr="006312E8" w:rsidRDefault="000A5EA6" w:rsidP="0092471C">
      <w:pPr>
        <w:numPr>
          <w:ilvl w:val="0"/>
          <w:numId w:val="138"/>
        </w:numPr>
        <w:spacing w:after="0" w:line="240" w:lineRule="auto"/>
        <w:jc w:val="both"/>
        <w:rPr>
          <w:rFonts w:ascii="Arial" w:eastAsia="Calibri" w:hAnsi="Arial" w:cs="Arial"/>
          <w:b/>
          <w:color w:val="4F6228"/>
          <w:sz w:val="16"/>
          <w:szCs w:val="16"/>
        </w:rPr>
      </w:pPr>
      <w:hyperlink w:anchor="D0042013" w:history="1">
        <w:r w:rsidR="006312E8" w:rsidRPr="006312E8">
          <w:rPr>
            <w:rFonts w:ascii="Arial" w:eastAsia="Calibri" w:hAnsi="Arial" w:cs="Arial"/>
            <w:b/>
            <w:color w:val="0000FF"/>
            <w:sz w:val="16"/>
            <w:szCs w:val="16"/>
            <w:u w:val="single"/>
          </w:rPr>
          <w:t>Directiva Nº 004-2013/SBN</w:t>
        </w:r>
      </w:hyperlink>
      <w:r w:rsidR="006312E8" w:rsidRPr="006312E8">
        <w:rPr>
          <w:rFonts w:ascii="Arial" w:eastAsia="Calibri" w:hAnsi="Arial" w:cs="Arial"/>
          <w:b/>
          <w:color w:val="4F6228"/>
          <w:sz w:val="16"/>
          <w:szCs w:val="16"/>
        </w:rPr>
        <w:t>, aprobada por Resolución Nº 065-2013/SBN (art. V numeral 5.3.6)</w:t>
      </w:r>
    </w:p>
    <w:p w:rsidR="006312E8" w:rsidRPr="006312E8" w:rsidRDefault="000A5EA6" w:rsidP="0092471C">
      <w:pPr>
        <w:numPr>
          <w:ilvl w:val="0"/>
          <w:numId w:val="138"/>
        </w:numPr>
        <w:spacing w:after="0" w:line="240" w:lineRule="auto"/>
        <w:jc w:val="both"/>
        <w:rPr>
          <w:rFonts w:ascii="Arial" w:eastAsia="Calibri" w:hAnsi="Arial" w:cs="Arial"/>
          <w:b/>
          <w:color w:val="4F6228"/>
          <w:sz w:val="16"/>
          <w:szCs w:val="16"/>
        </w:rPr>
      </w:pPr>
      <w:hyperlink w:anchor="D0052013" w:history="1">
        <w:r w:rsidR="006312E8" w:rsidRPr="006312E8">
          <w:rPr>
            <w:rFonts w:ascii="Arial" w:eastAsia="Calibri" w:hAnsi="Arial" w:cs="Arial"/>
            <w:b/>
            <w:color w:val="0000FF"/>
            <w:sz w:val="16"/>
            <w:szCs w:val="16"/>
            <w:u w:val="single"/>
          </w:rPr>
          <w:t>Directiva Nº 005-2013/SBN</w:t>
        </w:r>
      </w:hyperlink>
      <w:r w:rsidR="006312E8" w:rsidRPr="006312E8">
        <w:rPr>
          <w:rFonts w:ascii="Arial" w:eastAsia="Calibri" w:hAnsi="Arial" w:cs="Arial"/>
          <w:b/>
          <w:color w:val="4F6228"/>
          <w:sz w:val="16"/>
          <w:szCs w:val="16"/>
        </w:rPr>
        <w:t>, aprobada por Resolución Nº 067-2013-SBN (art. VI numeral 6.3)</w:t>
      </w: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44.- De la desafectación en zonas de dominio restringido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desafectación de terrenos estatales comprendidos en las zonas de dominio restringido a que se refiere la Ley Nº 26856, Ley de Playas, y su Reglamento aprobado por Decreto Supremo Nº 050-2006-EF, será aprobada por la SBN.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 xml:space="preserve">CONCORDANCIAS: </w:t>
      </w:r>
      <w:r w:rsidRPr="006312E8">
        <w:rPr>
          <w:rFonts w:ascii="Arial" w:eastAsia="Calibri" w:hAnsi="Arial" w:cs="Arial"/>
          <w:b/>
          <w:color w:val="4F6228"/>
          <w:sz w:val="16"/>
          <w:szCs w:val="16"/>
        </w:rPr>
        <w:tab/>
      </w:r>
    </w:p>
    <w:p w:rsidR="006312E8" w:rsidRPr="006312E8" w:rsidRDefault="000A5EA6" w:rsidP="0092471C">
      <w:pPr>
        <w:numPr>
          <w:ilvl w:val="0"/>
          <w:numId w:val="138"/>
        </w:numPr>
        <w:spacing w:after="0" w:line="240" w:lineRule="auto"/>
        <w:jc w:val="both"/>
        <w:rPr>
          <w:rFonts w:ascii="Arial" w:eastAsia="Calibri" w:hAnsi="Arial" w:cs="Arial"/>
          <w:b/>
          <w:color w:val="4F6228"/>
          <w:sz w:val="16"/>
          <w:szCs w:val="16"/>
        </w:rPr>
      </w:pPr>
      <w:hyperlink w:anchor="LEY26856" w:history="1">
        <w:r w:rsidR="006312E8" w:rsidRPr="006312E8">
          <w:rPr>
            <w:rFonts w:ascii="Arial" w:eastAsia="Calibri" w:hAnsi="Arial" w:cs="Arial"/>
            <w:b/>
            <w:color w:val="0000FF"/>
            <w:sz w:val="16"/>
            <w:szCs w:val="16"/>
            <w:u w:val="single"/>
          </w:rPr>
          <w:t>Ley Nº 26856</w:t>
        </w:r>
      </w:hyperlink>
    </w:p>
    <w:p w:rsidR="006312E8" w:rsidRPr="006312E8" w:rsidRDefault="000A5EA6" w:rsidP="0092471C">
      <w:pPr>
        <w:numPr>
          <w:ilvl w:val="0"/>
          <w:numId w:val="138"/>
        </w:numPr>
        <w:spacing w:after="0" w:line="240" w:lineRule="auto"/>
        <w:jc w:val="both"/>
        <w:rPr>
          <w:rFonts w:ascii="Arial" w:eastAsia="Calibri" w:hAnsi="Arial" w:cs="Arial"/>
          <w:b/>
          <w:color w:val="4F6228"/>
          <w:sz w:val="16"/>
          <w:szCs w:val="16"/>
        </w:rPr>
      </w:pPr>
      <w:hyperlink w:anchor="DS0502006" w:history="1">
        <w:r w:rsidR="006312E8" w:rsidRPr="006312E8">
          <w:rPr>
            <w:rFonts w:ascii="Arial" w:eastAsia="Calibri" w:hAnsi="Arial" w:cs="Arial"/>
            <w:b/>
            <w:color w:val="4F6228"/>
            <w:sz w:val="16"/>
            <w:szCs w:val="16"/>
          </w:rPr>
          <w:t>Decreto Supremo Nº 050-2006-EF</w:t>
        </w:r>
      </w:hyperlink>
      <w:r w:rsidR="006312E8" w:rsidRPr="006312E8">
        <w:rPr>
          <w:rFonts w:ascii="Arial" w:eastAsia="Calibri" w:hAnsi="Arial" w:cs="Arial"/>
          <w:b/>
          <w:color w:val="4F6228"/>
          <w:sz w:val="16"/>
          <w:szCs w:val="16"/>
        </w:rPr>
        <w:t xml:space="preserve"> (art. 16)</w:t>
      </w:r>
    </w:p>
    <w:p w:rsidR="006312E8" w:rsidRPr="006312E8" w:rsidRDefault="000A5EA6" w:rsidP="0092471C">
      <w:pPr>
        <w:numPr>
          <w:ilvl w:val="0"/>
          <w:numId w:val="138"/>
        </w:numPr>
        <w:spacing w:after="0" w:line="240" w:lineRule="auto"/>
        <w:jc w:val="both"/>
        <w:rPr>
          <w:rFonts w:ascii="Arial" w:eastAsia="Calibri" w:hAnsi="Arial" w:cs="Arial"/>
          <w:b/>
          <w:color w:val="4F6228"/>
          <w:sz w:val="16"/>
          <w:szCs w:val="16"/>
        </w:rPr>
      </w:pPr>
      <w:hyperlink w:anchor="DS0102008" w:history="1">
        <w:r w:rsidR="006312E8" w:rsidRPr="006312E8">
          <w:rPr>
            <w:rFonts w:ascii="Arial" w:eastAsia="Calibri" w:hAnsi="Arial" w:cs="Arial"/>
            <w:b/>
            <w:color w:val="4F6228"/>
            <w:sz w:val="16"/>
            <w:szCs w:val="16"/>
          </w:rPr>
          <w:t>Decreto Supremo Nº 010-2008-VIVIENDA</w:t>
        </w:r>
      </w:hyperlink>
    </w:p>
    <w:p w:rsidR="006312E8" w:rsidRPr="006312E8" w:rsidRDefault="000A5EA6" w:rsidP="0092471C">
      <w:pPr>
        <w:numPr>
          <w:ilvl w:val="0"/>
          <w:numId w:val="138"/>
        </w:numPr>
        <w:spacing w:after="0" w:line="240" w:lineRule="auto"/>
        <w:jc w:val="both"/>
        <w:rPr>
          <w:rFonts w:ascii="Arial" w:eastAsia="Calibri" w:hAnsi="Arial" w:cs="Arial"/>
          <w:b/>
          <w:color w:val="4F6228"/>
          <w:sz w:val="16"/>
          <w:szCs w:val="16"/>
        </w:rPr>
      </w:pPr>
      <w:hyperlink w:anchor="DS0162010" w:history="1">
        <w:r w:rsidR="006312E8" w:rsidRPr="006312E8">
          <w:rPr>
            <w:rFonts w:ascii="Arial" w:eastAsia="Calibri" w:hAnsi="Arial" w:cs="Arial"/>
            <w:b/>
            <w:color w:val="0000FF"/>
            <w:sz w:val="16"/>
            <w:szCs w:val="16"/>
            <w:u w:val="single"/>
          </w:rPr>
          <w:t>Decreto Supremo Nº 016-2010-VIVIENDA</w:t>
        </w:r>
      </w:hyperlink>
      <w:r w:rsidR="006312E8" w:rsidRPr="006312E8">
        <w:rPr>
          <w:rFonts w:ascii="Arial" w:eastAsia="Calibri" w:hAnsi="Arial" w:cs="Arial"/>
          <w:b/>
          <w:color w:val="4F6228"/>
          <w:sz w:val="16"/>
          <w:szCs w:val="16"/>
        </w:rPr>
        <w:t xml:space="preserve"> (art . 48 literal g)</w:t>
      </w:r>
    </w:p>
    <w:p w:rsidR="006312E8" w:rsidRPr="006312E8" w:rsidRDefault="000A5EA6" w:rsidP="0092471C">
      <w:pPr>
        <w:numPr>
          <w:ilvl w:val="0"/>
          <w:numId w:val="138"/>
        </w:numPr>
        <w:spacing w:after="0" w:line="240" w:lineRule="auto"/>
        <w:jc w:val="both"/>
        <w:rPr>
          <w:rFonts w:ascii="Arial" w:eastAsia="Calibri" w:hAnsi="Arial" w:cs="Arial"/>
          <w:b/>
          <w:color w:val="4F6228"/>
          <w:sz w:val="16"/>
          <w:szCs w:val="16"/>
        </w:rPr>
      </w:pPr>
      <w:hyperlink w:anchor="D0032011" w:history="1">
        <w:r w:rsidR="006312E8" w:rsidRPr="006312E8">
          <w:rPr>
            <w:rFonts w:ascii="Arial" w:eastAsia="Calibri" w:hAnsi="Arial" w:cs="Arial"/>
            <w:b/>
            <w:color w:val="0000FF"/>
            <w:sz w:val="16"/>
            <w:szCs w:val="16"/>
            <w:u w:val="single"/>
          </w:rPr>
          <w:t>Directiva Nº 003-2011-VIVIENDA,</w:t>
        </w:r>
      </w:hyperlink>
      <w:r w:rsidR="006312E8" w:rsidRPr="006312E8">
        <w:rPr>
          <w:rFonts w:ascii="Arial" w:eastAsia="Calibri" w:hAnsi="Arial" w:cs="Arial"/>
          <w:b/>
          <w:color w:val="4F6228"/>
          <w:sz w:val="16"/>
          <w:szCs w:val="16"/>
        </w:rPr>
        <w:t xml:space="preserve"> aprobada por Resolución Nº 020-2011-SBN (art. 3 numeral 3.16)</w:t>
      </w:r>
    </w:p>
    <w:p w:rsidR="006312E8" w:rsidRPr="006312E8" w:rsidRDefault="000A5EA6" w:rsidP="0092471C">
      <w:pPr>
        <w:numPr>
          <w:ilvl w:val="0"/>
          <w:numId w:val="138"/>
        </w:numPr>
        <w:spacing w:after="0" w:line="240" w:lineRule="auto"/>
        <w:jc w:val="both"/>
        <w:rPr>
          <w:rFonts w:ascii="Arial" w:eastAsia="Calibri" w:hAnsi="Arial" w:cs="Arial"/>
          <w:b/>
          <w:color w:val="4F6228"/>
          <w:sz w:val="16"/>
          <w:szCs w:val="16"/>
        </w:rPr>
      </w:pPr>
      <w:hyperlink w:anchor="D0042011" w:history="1">
        <w:r w:rsidR="006312E8" w:rsidRPr="006312E8">
          <w:rPr>
            <w:rFonts w:ascii="Arial" w:eastAsia="Calibri" w:hAnsi="Arial" w:cs="Arial"/>
            <w:b/>
            <w:color w:val="0000FF"/>
            <w:sz w:val="16"/>
            <w:szCs w:val="16"/>
            <w:u w:val="single"/>
          </w:rPr>
          <w:t>Directiva Nº 004-2011-VIVIENDA</w:t>
        </w:r>
      </w:hyperlink>
      <w:r w:rsidR="006312E8" w:rsidRPr="006312E8">
        <w:rPr>
          <w:rFonts w:ascii="Arial" w:eastAsia="Calibri" w:hAnsi="Arial" w:cs="Arial"/>
          <w:b/>
          <w:color w:val="4F6228"/>
          <w:sz w:val="16"/>
          <w:szCs w:val="16"/>
        </w:rPr>
        <w:t>, aprobada por Resolución Nº 044-2011-SBN (art. 3 numerales, 3.1 literal l;  3.3)</w:t>
      </w:r>
    </w:p>
    <w:p w:rsidR="006312E8" w:rsidRPr="006312E8" w:rsidRDefault="006312E8" w:rsidP="006312E8">
      <w:pPr>
        <w:spacing w:after="0" w:line="240" w:lineRule="auto"/>
        <w:ind w:left="720"/>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45.- De la concesión de bienes de dominio público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Los bienes de dominio público podrán ser otorgados en concesión a favor de particulares conforme a la normatividad sobre la materia. </w:t>
      </w:r>
    </w:p>
    <w:p w:rsidR="006312E8" w:rsidRPr="006312E8" w:rsidRDefault="006312E8" w:rsidP="006312E8">
      <w:pPr>
        <w:spacing w:after="0" w:line="240" w:lineRule="auto"/>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6312E8" w:rsidP="0092471C">
      <w:pPr>
        <w:numPr>
          <w:ilvl w:val="0"/>
          <w:numId w:val="138"/>
        </w:num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Constitución Política del Estado ( art. 73)</w:t>
      </w:r>
    </w:p>
    <w:p w:rsidR="006312E8" w:rsidRPr="006312E8" w:rsidRDefault="006312E8" w:rsidP="006312E8">
      <w:pPr>
        <w:spacing w:after="0" w:line="240" w:lineRule="auto"/>
        <w:jc w:val="both"/>
        <w:rPr>
          <w:rFonts w:ascii="Arial" w:eastAsia="Calibri" w:hAnsi="Arial" w:cs="Arial"/>
          <w:lang w:val="es-ES"/>
        </w:rPr>
      </w:pPr>
    </w:p>
    <w:p w:rsidR="005A311B" w:rsidRDefault="005A311B" w:rsidP="006312E8">
      <w:pPr>
        <w:spacing w:after="0" w:line="240" w:lineRule="auto"/>
        <w:jc w:val="both"/>
        <w:rPr>
          <w:rFonts w:ascii="Arial" w:eastAsia="Calibri" w:hAnsi="Arial" w:cs="Arial"/>
          <w:b/>
          <w:lang w:val="es-ES"/>
        </w:rPr>
      </w:pPr>
    </w:p>
    <w:p w:rsidR="00AA2D63" w:rsidRDefault="00AA2D63"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46.- De la regularización del uso de los bienes de dominio público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Los predios que estén siendo destinados al uso público o que sirvan para la prestación de un servicio público, podrán ser afectados en uso, en vía de regularización, por la SBN, a favor de la entidad responsable de la administración del bien o de la prestación del servicio.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92471C">
      <w:pPr>
        <w:numPr>
          <w:ilvl w:val="0"/>
          <w:numId w:val="139"/>
        </w:numPr>
        <w:spacing w:after="0" w:line="240" w:lineRule="auto"/>
        <w:contextualSpacing/>
        <w:jc w:val="both"/>
        <w:rPr>
          <w:rFonts w:ascii="Arial" w:eastAsia="Calibri" w:hAnsi="Arial" w:cs="Arial"/>
          <w:color w:val="4F6228"/>
          <w:lang w:val="es-ES"/>
        </w:rPr>
      </w:pPr>
      <w:hyperlink w:anchor="D0052011" w:history="1">
        <w:r w:rsidR="006312E8" w:rsidRPr="006312E8">
          <w:rPr>
            <w:rFonts w:ascii="Arial" w:eastAsia="Calibri" w:hAnsi="Arial" w:cs="Arial"/>
            <w:b/>
            <w:color w:val="0000FF"/>
            <w:sz w:val="16"/>
            <w:szCs w:val="16"/>
            <w:u w:val="single"/>
          </w:rPr>
          <w:t>Directiva Nº 005-2011/SBN</w:t>
        </w:r>
      </w:hyperlink>
      <w:r w:rsidR="006312E8" w:rsidRPr="006312E8">
        <w:rPr>
          <w:rFonts w:ascii="Arial" w:eastAsia="Calibri" w:hAnsi="Arial" w:cs="Arial"/>
          <w:b/>
          <w:color w:val="4F6228"/>
          <w:sz w:val="16"/>
          <w:szCs w:val="16"/>
        </w:rPr>
        <w:t>, aprobada por Resolución Nº 050-2011/SBN (art. 3 numeral 3.5)</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47.- Del mantenimiento y conservación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Excepcional y temporalmente, las entidades públicas están facultadas para otorgar el derecho de uso que permitan obtener recursos que serán destinados exclusivamente al mantenimiento y conservación del bien a su cargo, a la mejora del servicio o al pago de los tributos que correspondan, comunicando a la SBN o a los Gobiernos Regionales según sus respectivas competencias.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92471C">
      <w:pPr>
        <w:numPr>
          <w:ilvl w:val="0"/>
          <w:numId w:val="139"/>
        </w:numPr>
        <w:spacing w:after="0" w:line="240" w:lineRule="auto"/>
        <w:contextualSpacing/>
        <w:jc w:val="both"/>
        <w:rPr>
          <w:rFonts w:ascii="Arial" w:eastAsia="Calibri" w:hAnsi="Arial" w:cs="Arial"/>
          <w:lang w:val="es-ES"/>
        </w:rPr>
      </w:pPr>
      <w:hyperlink w:anchor="D0052011" w:history="1">
        <w:r w:rsidR="006312E8" w:rsidRPr="006312E8">
          <w:rPr>
            <w:rFonts w:ascii="Arial" w:eastAsia="Calibri" w:hAnsi="Arial" w:cs="Arial"/>
            <w:b/>
            <w:color w:val="0000FF"/>
            <w:sz w:val="16"/>
            <w:szCs w:val="16"/>
            <w:u w:val="single"/>
          </w:rPr>
          <w:t>Directiva Nº 005-2011/SBN,</w:t>
        </w:r>
      </w:hyperlink>
      <w:r w:rsidR="006312E8" w:rsidRPr="006312E8">
        <w:rPr>
          <w:rFonts w:ascii="Arial" w:eastAsia="Calibri" w:hAnsi="Arial" w:cs="Arial"/>
          <w:b/>
          <w:color w:val="4F6228"/>
          <w:sz w:val="16"/>
          <w:szCs w:val="16"/>
        </w:rPr>
        <w:t xml:space="preserve"> aprobada por Resolución Nº 050-2011/SBN (art. 2 numeral 2.15)</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bookmarkStart w:id="67" w:name="_Toc392856145"/>
      <w:bookmarkStart w:id="68" w:name="_Toc399335418"/>
      <w:r w:rsidRPr="006312E8">
        <w:rPr>
          <w:rFonts w:ascii="Arial" w:eastAsia="Calibri" w:hAnsi="Arial" w:cs="Arial"/>
          <w:b/>
          <w:lang w:val="es-ES"/>
        </w:rPr>
        <w:t>CAPÍTULO IV</w:t>
      </w:r>
      <w:bookmarkEnd w:id="67"/>
      <w:bookmarkEnd w:id="68"/>
    </w:p>
    <w:p w:rsidR="006312E8" w:rsidRPr="006312E8" w:rsidRDefault="006312E8" w:rsidP="006312E8">
      <w:pPr>
        <w:spacing w:after="0" w:line="240" w:lineRule="auto"/>
        <w:jc w:val="center"/>
        <w:rPr>
          <w:rFonts w:ascii="Arial" w:eastAsia="Calibri" w:hAnsi="Arial" w:cs="Arial"/>
          <w:b/>
          <w:lang w:val="es-ES"/>
        </w:rPr>
      </w:pPr>
      <w:bookmarkStart w:id="69" w:name="_Toc392856146"/>
      <w:bookmarkStart w:id="70" w:name="_Toc399335419"/>
      <w:r w:rsidRPr="006312E8">
        <w:rPr>
          <w:rFonts w:ascii="Arial" w:eastAsia="Calibri" w:hAnsi="Arial" w:cs="Arial"/>
          <w:b/>
          <w:lang w:val="es-ES"/>
        </w:rPr>
        <w:t>DE LOS BIENES INMUEBLES DE DOMINIO PRIVADO</w:t>
      </w:r>
      <w:bookmarkEnd w:id="69"/>
      <w:bookmarkEnd w:id="70"/>
    </w:p>
    <w:p w:rsidR="006312E8" w:rsidRPr="006312E8" w:rsidRDefault="006312E8" w:rsidP="006312E8">
      <w:pPr>
        <w:spacing w:after="0" w:line="240" w:lineRule="auto"/>
        <w:jc w:val="center"/>
        <w:rPr>
          <w:rFonts w:ascii="Arial" w:eastAsia="Calibri" w:hAnsi="Arial" w:cs="Arial"/>
          <w:b/>
          <w:lang w:val="es-ES"/>
        </w:rPr>
      </w:pPr>
    </w:p>
    <w:p w:rsidR="006312E8" w:rsidRPr="006312E8" w:rsidRDefault="006312E8" w:rsidP="006312E8">
      <w:pPr>
        <w:spacing w:after="0" w:line="240" w:lineRule="auto"/>
        <w:jc w:val="center"/>
        <w:rPr>
          <w:rFonts w:ascii="Arial" w:eastAsia="Calibri" w:hAnsi="Arial" w:cs="Arial"/>
          <w:b/>
          <w:lang w:val="es-ES"/>
        </w:rPr>
      </w:pPr>
      <w:bookmarkStart w:id="71" w:name="_Toc392856147"/>
      <w:bookmarkStart w:id="72" w:name="_Toc399335420"/>
      <w:r w:rsidRPr="006312E8">
        <w:rPr>
          <w:rFonts w:ascii="Arial" w:eastAsia="Calibri" w:hAnsi="Arial" w:cs="Arial"/>
          <w:b/>
          <w:lang w:val="es-ES"/>
        </w:rPr>
        <w:t>SUBCAPÍTULO I</w:t>
      </w:r>
      <w:bookmarkEnd w:id="71"/>
      <w:bookmarkEnd w:id="72"/>
    </w:p>
    <w:p w:rsidR="006312E8" w:rsidRPr="006312E8" w:rsidRDefault="006312E8" w:rsidP="006312E8">
      <w:pPr>
        <w:spacing w:after="0" w:line="240" w:lineRule="auto"/>
        <w:jc w:val="center"/>
        <w:rPr>
          <w:rFonts w:ascii="Arial" w:eastAsia="Calibri" w:hAnsi="Arial" w:cs="Arial"/>
          <w:b/>
          <w:lang w:val="es-ES"/>
        </w:rPr>
      </w:pPr>
      <w:bookmarkStart w:id="73" w:name="_Toc392856148"/>
      <w:bookmarkStart w:id="74" w:name="_Toc399335421"/>
      <w:r w:rsidRPr="006312E8">
        <w:rPr>
          <w:rFonts w:ascii="Arial" w:eastAsia="Calibri" w:hAnsi="Arial" w:cs="Arial"/>
          <w:b/>
          <w:lang w:val="es-ES"/>
        </w:rPr>
        <w:t>ASPECTOS GENERALES</w:t>
      </w:r>
      <w:bookmarkEnd w:id="73"/>
      <w:bookmarkEnd w:id="74"/>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48.- Inscripción del derecho de propiedad previo a los actos de disposición.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Todo acto de disposición inmobiliaria requiere que se haya culminado con la inscripción del derecho de propiedad a favor del Estado o de la entidad correspondiente; salvo que la entidad transferente, bajo responsabilidad, acredite el derecho de propiedad que le asiste, y, el adquirente asuma la obligación de efectuar el saneamiento registral respectivo.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existencia de cargas, gravámenes y procesos judiciales, administrativos o registrales que afecten a bienes estatales, no limitan la disposición a que se refiere el presente artículo, siempre que dichas circunstancias sean puestas en conocimiento del eventual adquirente del bien o derecho, al momento de aprobarse el acto de disposición; lo cual constará en la Resolución que aprueba dicho acto, así como en los contratos respectivos, bajo sanción de nulidad.</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En tales casos, el eventual adquirente del bien o derecho asume el riesgo por la pérdida o deterioro del bien, así como de sus frutos o productos.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Artículo modificado por el Artículo 1 del Decreto Supremo Nº 009-2013-VIVIENDA, publicado el 01 agosto 2013</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92471C">
      <w:pPr>
        <w:numPr>
          <w:ilvl w:val="0"/>
          <w:numId w:val="138"/>
        </w:numPr>
        <w:spacing w:after="0" w:line="240" w:lineRule="auto"/>
        <w:jc w:val="both"/>
        <w:rPr>
          <w:rFonts w:ascii="Arial" w:eastAsia="Calibri" w:hAnsi="Arial" w:cs="Arial"/>
          <w:b/>
          <w:color w:val="4F6228"/>
          <w:sz w:val="16"/>
          <w:szCs w:val="16"/>
        </w:rPr>
      </w:pPr>
      <w:hyperlink w:anchor="DS0112013" w:history="1">
        <w:r w:rsidR="006312E8" w:rsidRPr="006312E8">
          <w:rPr>
            <w:rFonts w:ascii="Arial" w:eastAsia="Calibri" w:hAnsi="Arial" w:cs="Arial"/>
            <w:b/>
            <w:color w:val="0000FF"/>
            <w:sz w:val="16"/>
            <w:szCs w:val="16"/>
            <w:u w:val="single"/>
          </w:rPr>
          <w:t>Decreto Supremo Nº 011-2013-VIVIENDA</w:t>
        </w:r>
      </w:hyperlink>
      <w:r w:rsidR="006312E8" w:rsidRPr="006312E8">
        <w:rPr>
          <w:rFonts w:ascii="Arial" w:eastAsia="Calibri" w:hAnsi="Arial" w:cs="Arial"/>
          <w:b/>
          <w:color w:val="4F6228"/>
          <w:sz w:val="16"/>
          <w:szCs w:val="16"/>
        </w:rPr>
        <w:t xml:space="preserve"> (art. 4)</w:t>
      </w:r>
    </w:p>
    <w:p w:rsidR="006312E8" w:rsidRPr="006312E8" w:rsidRDefault="000A5EA6" w:rsidP="0092471C">
      <w:pPr>
        <w:numPr>
          <w:ilvl w:val="0"/>
          <w:numId w:val="138"/>
        </w:numPr>
        <w:spacing w:after="0" w:line="240" w:lineRule="auto"/>
        <w:jc w:val="both"/>
        <w:rPr>
          <w:rFonts w:ascii="Arial" w:eastAsia="Calibri" w:hAnsi="Arial" w:cs="Arial"/>
          <w:b/>
          <w:color w:val="4F6228"/>
          <w:sz w:val="16"/>
          <w:szCs w:val="16"/>
        </w:rPr>
      </w:pPr>
      <w:hyperlink w:anchor="D0072004" w:history="1">
        <w:r w:rsidR="006312E8" w:rsidRPr="006312E8">
          <w:rPr>
            <w:rFonts w:ascii="Arial" w:eastAsia="Calibri" w:hAnsi="Arial" w:cs="Arial"/>
            <w:b/>
            <w:color w:val="0000FF"/>
            <w:sz w:val="16"/>
            <w:szCs w:val="16"/>
            <w:u w:val="single"/>
          </w:rPr>
          <w:t>Directiva Nº 007-2004-SBN</w:t>
        </w:r>
      </w:hyperlink>
      <w:r w:rsidR="006312E8" w:rsidRPr="006312E8">
        <w:rPr>
          <w:rFonts w:ascii="Arial" w:eastAsia="Calibri" w:hAnsi="Arial" w:cs="Arial"/>
          <w:b/>
          <w:color w:val="4F6228"/>
          <w:sz w:val="16"/>
          <w:szCs w:val="16"/>
        </w:rPr>
        <w:t>,  aprobada por Resolución Nº 028-2004-SBN (art. 2, numeral 2.1.8)</w:t>
      </w:r>
    </w:p>
    <w:p w:rsidR="006312E8" w:rsidRPr="006312E8" w:rsidRDefault="000A5EA6" w:rsidP="0092471C">
      <w:pPr>
        <w:numPr>
          <w:ilvl w:val="0"/>
          <w:numId w:val="138"/>
        </w:numPr>
        <w:spacing w:after="0" w:line="240" w:lineRule="auto"/>
        <w:jc w:val="both"/>
        <w:rPr>
          <w:rFonts w:ascii="Arial" w:eastAsia="Calibri" w:hAnsi="Arial" w:cs="Arial"/>
          <w:b/>
          <w:color w:val="4F6228"/>
          <w:sz w:val="16"/>
          <w:szCs w:val="16"/>
        </w:rPr>
      </w:pPr>
      <w:hyperlink w:anchor="D0032011" w:history="1">
        <w:r w:rsidR="006312E8" w:rsidRPr="006312E8">
          <w:rPr>
            <w:rFonts w:ascii="Arial" w:eastAsia="Calibri" w:hAnsi="Arial" w:cs="Arial"/>
            <w:b/>
            <w:color w:val="0000FF"/>
            <w:sz w:val="16"/>
            <w:szCs w:val="16"/>
            <w:u w:val="single"/>
          </w:rPr>
          <w:t>Directiva Nº 003-2011-SBN</w:t>
        </w:r>
      </w:hyperlink>
      <w:r w:rsidR="006312E8" w:rsidRPr="006312E8">
        <w:rPr>
          <w:rFonts w:ascii="Arial" w:eastAsia="Calibri" w:hAnsi="Arial" w:cs="Arial"/>
          <w:b/>
          <w:color w:val="4F6228"/>
          <w:sz w:val="16"/>
          <w:szCs w:val="16"/>
        </w:rPr>
        <w:t>, aprobada por Resolución Nº 020-2011-SBN (art. 2, numeral 2.6)</w:t>
      </w:r>
    </w:p>
    <w:p w:rsidR="006312E8" w:rsidRPr="006312E8" w:rsidRDefault="000A5EA6" w:rsidP="0092471C">
      <w:pPr>
        <w:numPr>
          <w:ilvl w:val="0"/>
          <w:numId w:val="138"/>
        </w:numPr>
        <w:spacing w:after="0" w:line="240" w:lineRule="auto"/>
        <w:jc w:val="both"/>
        <w:rPr>
          <w:rFonts w:ascii="Arial" w:eastAsia="Calibri" w:hAnsi="Arial" w:cs="Arial"/>
          <w:b/>
          <w:color w:val="4F6228"/>
          <w:sz w:val="16"/>
          <w:szCs w:val="16"/>
        </w:rPr>
      </w:pPr>
      <w:hyperlink w:anchor="D0042011" w:history="1">
        <w:r w:rsidR="006312E8" w:rsidRPr="006312E8">
          <w:rPr>
            <w:rFonts w:ascii="Arial" w:eastAsia="Calibri" w:hAnsi="Arial" w:cs="Arial"/>
            <w:b/>
            <w:color w:val="0000FF"/>
            <w:sz w:val="16"/>
            <w:szCs w:val="16"/>
            <w:u w:val="single"/>
          </w:rPr>
          <w:t>Directiva Nº 004-2011-</w:t>
        </w:r>
      </w:hyperlink>
      <w:r w:rsidR="006312E8" w:rsidRPr="006312E8">
        <w:rPr>
          <w:rFonts w:ascii="Arial" w:eastAsia="Calibri" w:hAnsi="Arial" w:cs="Arial"/>
          <w:b/>
          <w:color w:val="4F6228"/>
          <w:sz w:val="16"/>
          <w:szCs w:val="16"/>
        </w:rPr>
        <w:t>SBN, aprobada por Resolución Nº 044-2011-SBN (art.2 numeral 2.5)</w:t>
      </w:r>
    </w:p>
    <w:p w:rsidR="006312E8" w:rsidRPr="006312E8" w:rsidRDefault="000A5EA6" w:rsidP="0092471C">
      <w:pPr>
        <w:numPr>
          <w:ilvl w:val="0"/>
          <w:numId w:val="138"/>
        </w:numPr>
        <w:spacing w:after="0" w:line="240" w:lineRule="auto"/>
        <w:jc w:val="both"/>
        <w:rPr>
          <w:rFonts w:ascii="Arial" w:eastAsia="Calibri" w:hAnsi="Arial" w:cs="Arial"/>
          <w:b/>
          <w:color w:val="4F6228"/>
          <w:sz w:val="16"/>
          <w:szCs w:val="16"/>
        </w:rPr>
      </w:pPr>
      <w:hyperlink w:anchor="D0042013" w:history="1">
        <w:r w:rsidR="00904A9B">
          <w:rPr>
            <w:rFonts w:ascii="Arial" w:eastAsia="Calibri" w:hAnsi="Arial" w:cs="Arial"/>
            <w:b/>
            <w:color w:val="0000FF"/>
            <w:sz w:val="16"/>
            <w:szCs w:val="16"/>
            <w:u w:val="single"/>
          </w:rPr>
          <w:t>Directiva Nº 001</w:t>
        </w:r>
        <w:r w:rsidR="006312E8" w:rsidRPr="006312E8">
          <w:rPr>
            <w:rFonts w:ascii="Arial" w:eastAsia="Calibri" w:hAnsi="Arial" w:cs="Arial"/>
            <w:b/>
            <w:color w:val="0000FF"/>
            <w:sz w:val="16"/>
            <w:szCs w:val="16"/>
            <w:u w:val="single"/>
          </w:rPr>
          <w:t>-201</w:t>
        </w:r>
        <w:r w:rsidR="00904A9B">
          <w:rPr>
            <w:rFonts w:ascii="Arial" w:eastAsia="Calibri" w:hAnsi="Arial" w:cs="Arial"/>
            <w:b/>
            <w:color w:val="0000FF"/>
            <w:sz w:val="16"/>
            <w:szCs w:val="16"/>
            <w:u w:val="single"/>
          </w:rPr>
          <w:t>6</w:t>
        </w:r>
        <w:r w:rsidR="006312E8" w:rsidRPr="006312E8">
          <w:rPr>
            <w:rFonts w:ascii="Arial" w:eastAsia="Calibri" w:hAnsi="Arial" w:cs="Arial"/>
            <w:b/>
            <w:color w:val="0000FF"/>
            <w:sz w:val="16"/>
            <w:szCs w:val="16"/>
            <w:u w:val="single"/>
          </w:rPr>
          <w:t>/SBN</w:t>
        </w:r>
      </w:hyperlink>
      <w:r w:rsidR="006312E8" w:rsidRPr="006312E8">
        <w:rPr>
          <w:rFonts w:ascii="Arial" w:eastAsia="Calibri" w:hAnsi="Arial" w:cs="Arial"/>
          <w:b/>
          <w:color w:val="4F6228"/>
          <w:sz w:val="16"/>
          <w:szCs w:val="16"/>
        </w:rPr>
        <w:t>, , aprobada por Resolución Nº 0</w:t>
      </w:r>
      <w:r w:rsidR="00904A9B">
        <w:rPr>
          <w:rFonts w:ascii="Arial" w:eastAsia="Calibri" w:hAnsi="Arial" w:cs="Arial"/>
          <w:b/>
          <w:color w:val="4F6228"/>
          <w:sz w:val="16"/>
          <w:szCs w:val="16"/>
        </w:rPr>
        <w:t>48</w:t>
      </w:r>
      <w:r w:rsidR="006312E8" w:rsidRPr="006312E8">
        <w:rPr>
          <w:rFonts w:ascii="Arial" w:eastAsia="Calibri" w:hAnsi="Arial" w:cs="Arial"/>
          <w:b/>
          <w:color w:val="4F6228"/>
          <w:sz w:val="16"/>
          <w:szCs w:val="16"/>
        </w:rPr>
        <w:t>-201</w:t>
      </w:r>
      <w:r w:rsidR="00904A9B">
        <w:rPr>
          <w:rFonts w:ascii="Arial" w:eastAsia="Calibri" w:hAnsi="Arial" w:cs="Arial"/>
          <w:b/>
          <w:color w:val="4F6228"/>
          <w:sz w:val="16"/>
          <w:szCs w:val="16"/>
        </w:rPr>
        <w:t>6</w:t>
      </w:r>
      <w:r w:rsidR="006312E8" w:rsidRPr="006312E8">
        <w:rPr>
          <w:rFonts w:ascii="Arial" w:eastAsia="Calibri" w:hAnsi="Arial" w:cs="Arial"/>
          <w:b/>
          <w:color w:val="4F6228"/>
          <w:sz w:val="16"/>
          <w:szCs w:val="16"/>
        </w:rPr>
        <w:t>/</w:t>
      </w:r>
      <w:r w:rsidR="00904A9B">
        <w:rPr>
          <w:rFonts w:ascii="Arial" w:eastAsia="Calibri" w:hAnsi="Arial" w:cs="Arial"/>
          <w:b/>
          <w:color w:val="4F6228"/>
          <w:sz w:val="16"/>
          <w:szCs w:val="16"/>
        </w:rPr>
        <w:t>S</w:t>
      </w:r>
      <w:r w:rsidR="006312E8" w:rsidRPr="006312E8">
        <w:rPr>
          <w:rFonts w:ascii="Arial" w:eastAsia="Calibri" w:hAnsi="Arial" w:cs="Arial"/>
          <w:b/>
          <w:color w:val="4F6228"/>
          <w:sz w:val="16"/>
          <w:szCs w:val="16"/>
        </w:rPr>
        <w:t xml:space="preserve">BN </w:t>
      </w:r>
    </w:p>
    <w:p w:rsidR="006312E8" w:rsidRPr="006312E8" w:rsidRDefault="000A5EA6" w:rsidP="0092471C">
      <w:pPr>
        <w:numPr>
          <w:ilvl w:val="0"/>
          <w:numId w:val="138"/>
        </w:numPr>
        <w:spacing w:after="0" w:line="240" w:lineRule="auto"/>
        <w:jc w:val="both"/>
        <w:rPr>
          <w:rFonts w:ascii="Arial" w:eastAsia="Calibri" w:hAnsi="Arial" w:cs="Arial"/>
          <w:b/>
          <w:color w:val="4F6228"/>
          <w:sz w:val="16"/>
          <w:szCs w:val="16"/>
        </w:rPr>
      </w:pPr>
      <w:hyperlink w:anchor="D0052013" w:history="1">
        <w:r w:rsidR="006312E8" w:rsidRPr="006312E8">
          <w:rPr>
            <w:rFonts w:ascii="Arial" w:eastAsia="Calibri" w:hAnsi="Arial" w:cs="Arial"/>
            <w:b/>
            <w:color w:val="0000FF"/>
            <w:sz w:val="16"/>
            <w:szCs w:val="16"/>
            <w:u w:val="single"/>
          </w:rPr>
          <w:t>Directiva Nº 005-2013/SBN</w:t>
        </w:r>
      </w:hyperlink>
      <w:r w:rsidR="006312E8" w:rsidRPr="006312E8">
        <w:rPr>
          <w:rFonts w:ascii="Arial" w:eastAsia="Calibri" w:hAnsi="Arial" w:cs="Arial"/>
          <w:b/>
          <w:color w:val="4F6228"/>
          <w:sz w:val="16"/>
          <w:szCs w:val="16"/>
        </w:rPr>
        <w:t>, aprobada por Resolución Nº 067-2013-SBN (art. V, numerales 5.3.4; 5.3.6)</w:t>
      </w:r>
    </w:p>
    <w:p w:rsidR="006312E8" w:rsidRPr="006312E8" w:rsidRDefault="006312E8" w:rsidP="006312E8">
      <w:pPr>
        <w:spacing w:after="0" w:line="240" w:lineRule="auto"/>
        <w:ind w:left="720"/>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49.- Del encargo a la SBN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El sustento técnico y legal en los actos de compraventa por subasta pública o directa, superficie y usufructo podrá ser efectuado por la SBN por encargo de las entidades, previa suscripción del respectivo Convenio. La aprobación y formalización de dichos actos será efectuada por cada entidad de acuerdo a sus competencias, a excepción de la venta por subasta pública que será ejecutada por la SBN o el Gobierno Regional conforme a lo dispuesto en el artículo 76 del presente reglamento.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92471C">
      <w:pPr>
        <w:numPr>
          <w:ilvl w:val="0"/>
          <w:numId w:val="138"/>
        </w:numPr>
        <w:spacing w:after="0" w:line="240" w:lineRule="auto"/>
        <w:jc w:val="both"/>
        <w:rPr>
          <w:rFonts w:ascii="Arial" w:eastAsia="Calibri" w:hAnsi="Arial" w:cs="Arial"/>
          <w:b/>
          <w:color w:val="4F6228"/>
          <w:sz w:val="16"/>
          <w:szCs w:val="16"/>
        </w:rPr>
      </w:pPr>
      <w:hyperlink w:anchor="D0032011" w:history="1">
        <w:r w:rsidR="006312E8" w:rsidRPr="006312E8">
          <w:rPr>
            <w:rFonts w:ascii="Arial" w:eastAsia="Calibri" w:hAnsi="Arial" w:cs="Arial"/>
            <w:b/>
            <w:color w:val="0000FF"/>
            <w:sz w:val="16"/>
            <w:szCs w:val="16"/>
            <w:u w:val="single"/>
          </w:rPr>
          <w:t>Directiva Nº 003-2011-SBN</w:t>
        </w:r>
      </w:hyperlink>
      <w:r w:rsidR="006312E8" w:rsidRPr="006312E8">
        <w:rPr>
          <w:rFonts w:ascii="Arial" w:eastAsia="Calibri" w:hAnsi="Arial" w:cs="Arial"/>
          <w:b/>
          <w:color w:val="4F6228"/>
          <w:sz w:val="16"/>
          <w:szCs w:val="16"/>
        </w:rPr>
        <w:t>, aprobada por Resolución Nº 020-2011-SBN (art. 3, numeral 3.7)</w:t>
      </w:r>
    </w:p>
    <w:p w:rsidR="006312E8" w:rsidRPr="006312E8" w:rsidRDefault="000A5EA6" w:rsidP="0092471C">
      <w:pPr>
        <w:numPr>
          <w:ilvl w:val="0"/>
          <w:numId w:val="138"/>
        </w:numPr>
        <w:spacing w:after="0" w:line="240" w:lineRule="auto"/>
        <w:jc w:val="both"/>
        <w:rPr>
          <w:rFonts w:ascii="Arial" w:eastAsia="Calibri" w:hAnsi="Arial" w:cs="Arial"/>
          <w:b/>
          <w:color w:val="4F6228"/>
          <w:sz w:val="16"/>
          <w:szCs w:val="16"/>
        </w:rPr>
      </w:pPr>
      <w:hyperlink w:anchor="D0042011" w:history="1">
        <w:r w:rsidR="006312E8" w:rsidRPr="006312E8">
          <w:rPr>
            <w:rFonts w:ascii="Arial" w:eastAsia="Calibri" w:hAnsi="Arial" w:cs="Arial"/>
            <w:b/>
            <w:color w:val="0000FF"/>
            <w:sz w:val="16"/>
            <w:szCs w:val="16"/>
            <w:u w:val="single"/>
          </w:rPr>
          <w:t>Directiva Nº 004-2011-SBN</w:t>
        </w:r>
      </w:hyperlink>
      <w:r w:rsidR="006312E8" w:rsidRPr="006312E8">
        <w:rPr>
          <w:rFonts w:ascii="Arial" w:eastAsia="Calibri" w:hAnsi="Arial" w:cs="Arial"/>
          <w:b/>
          <w:color w:val="4F6228"/>
          <w:sz w:val="16"/>
          <w:szCs w:val="16"/>
        </w:rPr>
        <w:t>, aprobada por Resolución Nº 044-2011-SBN (art.3 numeral 3.19)</w:t>
      </w:r>
    </w:p>
    <w:p w:rsidR="006312E8" w:rsidRPr="006312E8" w:rsidRDefault="000A5EA6" w:rsidP="0092471C">
      <w:pPr>
        <w:numPr>
          <w:ilvl w:val="0"/>
          <w:numId w:val="138"/>
        </w:numPr>
        <w:spacing w:after="0" w:line="240" w:lineRule="auto"/>
        <w:jc w:val="both"/>
        <w:rPr>
          <w:rFonts w:ascii="Arial" w:eastAsia="Calibri" w:hAnsi="Arial" w:cs="Arial"/>
          <w:b/>
          <w:color w:val="4F6228"/>
          <w:sz w:val="16"/>
          <w:szCs w:val="16"/>
        </w:rPr>
      </w:pPr>
      <w:hyperlink w:anchor="D0042013" w:history="1">
        <w:r w:rsidR="006312E8" w:rsidRPr="006312E8">
          <w:rPr>
            <w:rFonts w:ascii="Arial" w:eastAsia="Calibri" w:hAnsi="Arial" w:cs="Arial"/>
            <w:b/>
            <w:color w:val="0000FF"/>
            <w:sz w:val="16"/>
            <w:szCs w:val="16"/>
            <w:u w:val="single"/>
          </w:rPr>
          <w:t xml:space="preserve">Directiva Nº </w:t>
        </w:r>
        <w:r w:rsidR="00904A9B">
          <w:rPr>
            <w:rFonts w:ascii="Arial" w:eastAsia="Calibri" w:hAnsi="Arial" w:cs="Arial"/>
            <w:b/>
            <w:color w:val="0000FF"/>
            <w:sz w:val="16"/>
            <w:szCs w:val="16"/>
            <w:u w:val="single"/>
          </w:rPr>
          <w:t>001</w:t>
        </w:r>
        <w:r w:rsidR="006312E8" w:rsidRPr="006312E8">
          <w:rPr>
            <w:rFonts w:ascii="Arial" w:eastAsia="Calibri" w:hAnsi="Arial" w:cs="Arial"/>
            <w:b/>
            <w:color w:val="0000FF"/>
            <w:sz w:val="16"/>
            <w:szCs w:val="16"/>
            <w:u w:val="single"/>
          </w:rPr>
          <w:t>-201</w:t>
        </w:r>
        <w:r w:rsidR="00904A9B">
          <w:rPr>
            <w:rFonts w:ascii="Arial" w:eastAsia="Calibri" w:hAnsi="Arial" w:cs="Arial"/>
            <w:b/>
            <w:color w:val="0000FF"/>
            <w:sz w:val="16"/>
            <w:szCs w:val="16"/>
            <w:u w:val="single"/>
          </w:rPr>
          <w:t>6</w:t>
        </w:r>
        <w:r w:rsidR="006312E8" w:rsidRPr="006312E8">
          <w:rPr>
            <w:rFonts w:ascii="Arial" w:eastAsia="Calibri" w:hAnsi="Arial" w:cs="Arial"/>
            <w:b/>
            <w:color w:val="0000FF"/>
            <w:sz w:val="16"/>
            <w:szCs w:val="16"/>
            <w:u w:val="single"/>
          </w:rPr>
          <w:t>/SBN</w:t>
        </w:r>
      </w:hyperlink>
      <w:r w:rsidR="006312E8" w:rsidRPr="006312E8">
        <w:rPr>
          <w:rFonts w:ascii="Arial" w:eastAsia="Calibri" w:hAnsi="Arial" w:cs="Arial"/>
          <w:b/>
          <w:color w:val="4F6228"/>
          <w:sz w:val="16"/>
          <w:szCs w:val="16"/>
        </w:rPr>
        <w:t>, , aprobada por Resolución Nº 0</w:t>
      </w:r>
      <w:r w:rsidR="00904A9B">
        <w:rPr>
          <w:rFonts w:ascii="Arial" w:eastAsia="Calibri" w:hAnsi="Arial" w:cs="Arial"/>
          <w:b/>
          <w:color w:val="4F6228"/>
          <w:sz w:val="16"/>
          <w:szCs w:val="16"/>
        </w:rPr>
        <w:t>48</w:t>
      </w:r>
      <w:r w:rsidR="006312E8" w:rsidRPr="006312E8">
        <w:rPr>
          <w:rFonts w:ascii="Arial" w:eastAsia="Calibri" w:hAnsi="Arial" w:cs="Arial"/>
          <w:b/>
          <w:color w:val="4F6228"/>
          <w:sz w:val="16"/>
          <w:szCs w:val="16"/>
        </w:rPr>
        <w:t>-201</w:t>
      </w:r>
      <w:r w:rsidR="00904A9B">
        <w:rPr>
          <w:rFonts w:ascii="Arial" w:eastAsia="Calibri" w:hAnsi="Arial" w:cs="Arial"/>
          <w:b/>
          <w:color w:val="4F6228"/>
          <w:sz w:val="16"/>
          <w:szCs w:val="16"/>
        </w:rPr>
        <w:t>6</w:t>
      </w:r>
      <w:r w:rsidR="006312E8" w:rsidRPr="006312E8">
        <w:rPr>
          <w:rFonts w:ascii="Arial" w:eastAsia="Calibri" w:hAnsi="Arial" w:cs="Arial"/>
          <w:b/>
          <w:color w:val="4F6228"/>
          <w:sz w:val="16"/>
          <w:szCs w:val="16"/>
        </w:rPr>
        <w:t xml:space="preserve">/SBN </w:t>
      </w:r>
    </w:p>
    <w:p w:rsidR="006312E8" w:rsidRPr="006312E8" w:rsidRDefault="006312E8" w:rsidP="006312E8">
      <w:pPr>
        <w:spacing w:after="0" w:line="240" w:lineRule="auto"/>
        <w:ind w:left="720"/>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49-A.- De la entrega provisional</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En cualquiera de los procedimientos de administración o disposición de predios estatales entre entidades públicas, la entidad competente podrá hacer entrega provisional de la posesión a la entidad solicitante, en los casos en que peligre la seguridad del predio o existan razones debidamente acreditadas.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Podrá efectuarse la entrega provisional en los procedimientos seguidos con particulares, siempre que adicionalmente se cuente con la opinión favorable de la SBN.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entrega provisional constará en acta de entrega-recepción, sin que ello signifique la aprobación previa de la solicitud.</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Los gastos que demande la conservación del predio, así como las obras que se ejecuten en el periodo de entrega provisional no generan derecho a reembolso (*)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Artículo incorporado por el Artículo 2 del Decreto Supremo Nº 013-2012-VIVIENDA, publicado el 03 junio 2012.</w:t>
      </w:r>
    </w:p>
    <w:p w:rsidR="006312E8" w:rsidRPr="006312E8" w:rsidRDefault="006312E8" w:rsidP="006312E8">
      <w:pPr>
        <w:spacing w:after="0" w:line="240" w:lineRule="auto"/>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Artículo modificado por el Artículo 1 del Decreto Supremo Nº 009-2013-VIVIENDA, publicado el 01 agosto 2013</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92471C">
      <w:pPr>
        <w:numPr>
          <w:ilvl w:val="0"/>
          <w:numId w:val="138"/>
        </w:numPr>
        <w:spacing w:after="0" w:line="240" w:lineRule="auto"/>
        <w:jc w:val="both"/>
        <w:rPr>
          <w:rFonts w:ascii="Arial" w:eastAsia="Calibri" w:hAnsi="Arial" w:cs="Arial"/>
          <w:b/>
          <w:color w:val="4F6228"/>
          <w:sz w:val="16"/>
          <w:szCs w:val="16"/>
        </w:rPr>
      </w:pPr>
      <w:hyperlink w:anchor="D0052013" w:history="1">
        <w:r w:rsidR="006312E8" w:rsidRPr="006312E8">
          <w:rPr>
            <w:rFonts w:ascii="Arial" w:eastAsia="Calibri" w:hAnsi="Arial" w:cs="Arial"/>
            <w:b/>
            <w:color w:val="0000FF"/>
            <w:sz w:val="16"/>
            <w:szCs w:val="16"/>
            <w:u w:val="single"/>
          </w:rPr>
          <w:t>Directiva Nº 005-2013/SBN</w:t>
        </w:r>
      </w:hyperlink>
      <w:r w:rsidR="006312E8" w:rsidRPr="006312E8">
        <w:rPr>
          <w:rFonts w:ascii="Arial" w:eastAsia="Calibri" w:hAnsi="Arial" w:cs="Arial"/>
          <w:b/>
          <w:color w:val="4F6228"/>
          <w:sz w:val="16"/>
          <w:szCs w:val="16"/>
        </w:rPr>
        <w:t>, aprobada por Resolución Nº 067-2013-SBN (art. VII, numeral 7.8)</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bookmarkStart w:id="75" w:name="_Toc392856149"/>
      <w:bookmarkStart w:id="76" w:name="_Toc399335422"/>
      <w:r w:rsidRPr="006312E8">
        <w:rPr>
          <w:rFonts w:ascii="Arial" w:eastAsia="Calibri" w:hAnsi="Arial" w:cs="Arial"/>
          <w:b/>
          <w:lang w:val="es-ES"/>
        </w:rPr>
        <w:t>SUBCAPÍTULO II</w:t>
      </w:r>
      <w:bookmarkEnd w:id="75"/>
      <w:bookmarkEnd w:id="76"/>
    </w:p>
    <w:p w:rsidR="006312E8" w:rsidRPr="006312E8" w:rsidRDefault="006312E8" w:rsidP="006312E8">
      <w:pPr>
        <w:spacing w:after="0" w:line="240" w:lineRule="auto"/>
        <w:jc w:val="center"/>
        <w:rPr>
          <w:rFonts w:ascii="Arial" w:eastAsia="Calibri" w:hAnsi="Arial" w:cs="Arial"/>
          <w:b/>
          <w:lang w:val="es-ES"/>
        </w:rPr>
      </w:pPr>
      <w:bookmarkStart w:id="77" w:name="_Toc392856150"/>
      <w:bookmarkStart w:id="78" w:name="_Toc399335423"/>
      <w:r w:rsidRPr="006312E8">
        <w:rPr>
          <w:rFonts w:ascii="Arial" w:eastAsia="Calibri" w:hAnsi="Arial" w:cs="Arial"/>
          <w:b/>
          <w:lang w:val="es-ES"/>
        </w:rPr>
        <w:t>DE LA RESERVA DE BIENES ESTATALES</w:t>
      </w:r>
      <w:bookmarkEnd w:id="77"/>
      <w:bookmarkEnd w:id="78"/>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50.- De la Identificación y reserva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La SBN, en representación del Estado, a solicitud del sector correspondiente, identificará y aprobará la reserva de predios para destinarlos a proyectos de interés nacional. Corresponde al Sector mediante Resolución Ministerial declarar el proyecto de interés nacional y proponer el plazo de vigencia de la reserva de predios para el cumplimiento del citado proyecto. </w:t>
      </w:r>
    </w:p>
    <w:p w:rsidR="006312E8" w:rsidRPr="006312E8" w:rsidRDefault="006312E8" w:rsidP="006312E8">
      <w:pPr>
        <w:spacing w:after="0" w:line="240" w:lineRule="auto"/>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92471C">
      <w:pPr>
        <w:numPr>
          <w:ilvl w:val="0"/>
          <w:numId w:val="138"/>
        </w:numPr>
        <w:spacing w:after="0" w:line="240" w:lineRule="auto"/>
        <w:contextualSpacing/>
        <w:jc w:val="both"/>
        <w:rPr>
          <w:rFonts w:ascii="Arial" w:eastAsia="Calibri" w:hAnsi="Arial" w:cs="Arial"/>
          <w:lang w:val="en-US"/>
        </w:rPr>
      </w:pPr>
      <w:hyperlink w:anchor="ley29151" w:history="1">
        <w:r w:rsidR="006312E8" w:rsidRPr="006312E8">
          <w:rPr>
            <w:rFonts w:ascii="Arial" w:eastAsia="Calibri" w:hAnsi="Arial" w:cs="Arial"/>
            <w:b/>
            <w:color w:val="0000FF"/>
            <w:sz w:val="16"/>
            <w:szCs w:val="16"/>
            <w:u w:val="single"/>
            <w:lang w:val="en-US"/>
          </w:rPr>
          <w:t>Ley Nº 29151</w:t>
        </w:r>
      </w:hyperlink>
      <w:r w:rsidR="006312E8" w:rsidRPr="006312E8">
        <w:rPr>
          <w:rFonts w:ascii="Arial" w:eastAsia="Calibri" w:hAnsi="Arial" w:cs="Arial"/>
          <w:b/>
          <w:color w:val="4F6228"/>
          <w:sz w:val="16"/>
          <w:szCs w:val="16"/>
          <w:lang w:val="en-US"/>
        </w:rPr>
        <w:t xml:space="preserve"> (art. 14, literal f)</w:t>
      </w:r>
    </w:p>
    <w:p w:rsidR="006312E8" w:rsidRPr="006312E8" w:rsidRDefault="006312E8" w:rsidP="0092471C">
      <w:pPr>
        <w:numPr>
          <w:ilvl w:val="0"/>
          <w:numId w:val="138"/>
        </w:numPr>
        <w:spacing w:after="0" w:line="240" w:lineRule="auto"/>
        <w:contextualSpacing/>
        <w:jc w:val="both"/>
        <w:rPr>
          <w:rFonts w:ascii="Arial" w:eastAsia="Calibri" w:hAnsi="Arial" w:cs="Arial"/>
          <w:lang w:val="es-ES"/>
        </w:rPr>
      </w:pPr>
      <w:r w:rsidRPr="006312E8">
        <w:rPr>
          <w:rFonts w:ascii="Arial" w:eastAsia="Calibri" w:hAnsi="Arial" w:cs="Arial"/>
          <w:b/>
          <w:color w:val="4F6228"/>
          <w:sz w:val="16"/>
          <w:szCs w:val="16"/>
        </w:rPr>
        <w:t>Decreto Supremo Nº 023-2004-PCM (art. 2)</w:t>
      </w:r>
    </w:p>
    <w:p w:rsidR="006312E8" w:rsidRPr="006312E8" w:rsidRDefault="000A5EA6" w:rsidP="0092471C">
      <w:pPr>
        <w:numPr>
          <w:ilvl w:val="0"/>
          <w:numId w:val="138"/>
        </w:numPr>
        <w:spacing w:after="0" w:line="240" w:lineRule="auto"/>
        <w:contextualSpacing/>
        <w:jc w:val="both"/>
        <w:rPr>
          <w:rFonts w:ascii="Arial" w:eastAsia="Calibri" w:hAnsi="Arial" w:cs="Arial"/>
          <w:b/>
          <w:lang w:val="es-ES"/>
        </w:rPr>
      </w:pPr>
      <w:hyperlink w:anchor="DS0162010" w:history="1">
        <w:r w:rsidR="006312E8" w:rsidRPr="006312E8">
          <w:rPr>
            <w:rFonts w:ascii="Arial" w:eastAsia="Calibri" w:hAnsi="Arial" w:cs="Arial"/>
            <w:b/>
            <w:color w:val="0000FF"/>
            <w:sz w:val="16"/>
            <w:szCs w:val="16"/>
            <w:u w:val="single"/>
            <w:lang w:val="es-ES"/>
          </w:rPr>
          <w:t>Decreto Supremo Nº 016-2010-VIVIENDA</w:t>
        </w:r>
      </w:hyperlink>
      <w:r w:rsidR="006312E8" w:rsidRPr="006312E8">
        <w:rPr>
          <w:rFonts w:ascii="Arial" w:eastAsia="Calibri" w:hAnsi="Arial" w:cs="Arial"/>
          <w:b/>
          <w:color w:val="4F6228"/>
          <w:sz w:val="16"/>
          <w:szCs w:val="16"/>
          <w:lang w:val="es-ES"/>
        </w:rPr>
        <w:t xml:space="preserve"> (art. 48)</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51.- De la preferencia de proyectos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Las entidades del Gobierno Nacional dentro de sus respectivas competencias, deberán coordinar con aquellas del nivel regional o local, o sus respectivos Gobiernos, los planes y prioridades en materia de proyectos de interés.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6312E8" w:rsidP="0092471C">
      <w:pPr>
        <w:numPr>
          <w:ilvl w:val="0"/>
          <w:numId w:val="138"/>
        </w:numPr>
        <w:spacing w:after="0" w:line="240" w:lineRule="auto"/>
        <w:contextualSpacing/>
        <w:jc w:val="both"/>
        <w:rPr>
          <w:rFonts w:ascii="Arial" w:eastAsia="Calibri" w:hAnsi="Arial" w:cs="Arial"/>
          <w:lang w:val="es-ES"/>
        </w:rPr>
      </w:pPr>
      <w:r w:rsidRPr="006312E8">
        <w:rPr>
          <w:rFonts w:ascii="Arial" w:eastAsia="Calibri" w:hAnsi="Arial" w:cs="Arial"/>
          <w:b/>
          <w:color w:val="4F6228"/>
          <w:sz w:val="16"/>
          <w:szCs w:val="16"/>
        </w:rPr>
        <w:t>Resolución Ministerial Nº 171-2011-MINCETUR-DM</w:t>
      </w:r>
    </w:p>
    <w:p w:rsidR="006312E8" w:rsidRPr="006312E8" w:rsidRDefault="006312E8" w:rsidP="0092471C">
      <w:pPr>
        <w:numPr>
          <w:ilvl w:val="0"/>
          <w:numId w:val="138"/>
        </w:numPr>
        <w:spacing w:after="0" w:line="240" w:lineRule="auto"/>
        <w:contextualSpacing/>
        <w:jc w:val="both"/>
        <w:rPr>
          <w:rFonts w:ascii="Arial" w:eastAsia="Calibri" w:hAnsi="Arial" w:cs="Arial"/>
          <w:lang w:val="es-ES"/>
        </w:rPr>
      </w:pPr>
      <w:r w:rsidRPr="006312E8">
        <w:rPr>
          <w:rFonts w:ascii="Arial" w:eastAsia="Calibri" w:hAnsi="Arial" w:cs="Arial"/>
          <w:b/>
          <w:color w:val="4F6228"/>
          <w:sz w:val="16"/>
          <w:szCs w:val="16"/>
        </w:rPr>
        <w:t>Resolución Ministerial Nº 369-2013-PRODUCE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52.- De la inscripción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La reserva se anotará en el rubro “cargas y gravámenes” de la Partida que corresponda en el Registro de Predios, por el mérito de la Resolución que expida la SBN, a la que se acompañará Plano Perimétrico y de Ubicación así como Memoria Descriptiva. En caso de bienes no inscritos, previamente se efectuará el saneamiento técnico - legal.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bookmarkStart w:id="79" w:name="_Toc392856151"/>
      <w:bookmarkStart w:id="80" w:name="_Toc399335424"/>
      <w:r w:rsidRPr="006312E8">
        <w:rPr>
          <w:rFonts w:ascii="Arial" w:eastAsia="Calibri" w:hAnsi="Arial" w:cs="Arial"/>
          <w:b/>
          <w:lang w:val="es-ES"/>
        </w:rPr>
        <w:t>SUBCAPÍTULO III</w:t>
      </w:r>
      <w:bookmarkEnd w:id="79"/>
      <w:bookmarkEnd w:id="80"/>
    </w:p>
    <w:p w:rsidR="006312E8" w:rsidRPr="006312E8" w:rsidRDefault="006312E8" w:rsidP="006312E8">
      <w:pPr>
        <w:spacing w:after="0" w:line="240" w:lineRule="auto"/>
        <w:jc w:val="center"/>
        <w:rPr>
          <w:rFonts w:ascii="Arial" w:eastAsia="Calibri" w:hAnsi="Arial" w:cs="Arial"/>
          <w:b/>
          <w:lang w:val="es-ES"/>
        </w:rPr>
      </w:pPr>
      <w:bookmarkStart w:id="81" w:name="_Toc392856152"/>
      <w:bookmarkStart w:id="82" w:name="_Toc399335425"/>
      <w:r w:rsidRPr="006312E8">
        <w:rPr>
          <w:rFonts w:ascii="Arial" w:eastAsia="Calibri" w:hAnsi="Arial" w:cs="Arial"/>
          <w:b/>
          <w:lang w:val="es-ES"/>
        </w:rPr>
        <w:t>DONACIÓN A FAVOR DEL ESTADO</w:t>
      </w:r>
      <w:bookmarkEnd w:id="81"/>
      <w:bookmarkEnd w:id="82"/>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53.- Del ofrecimiento de donación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El ofrecimiento de donación a favor del Estado se presenta ante el Gobierno Regional, la SBN o la entidad beneficiada, acompañando los documentos que acrediten la propiedad del bien así como su valor comercial. </w:t>
      </w:r>
    </w:p>
    <w:p w:rsidR="005A311B" w:rsidRDefault="005A311B" w:rsidP="006312E8">
      <w:pPr>
        <w:spacing w:after="0" w:line="240" w:lineRule="auto"/>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92471C">
      <w:pPr>
        <w:numPr>
          <w:ilvl w:val="0"/>
          <w:numId w:val="138"/>
        </w:numPr>
        <w:spacing w:after="0" w:line="240" w:lineRule="auto"/>
        <w:contextualSpacing/>
        <w:jc w:val="both"/>
        <w:rPr>
          <w:rFonts w:ascii="Arial" w:eastAsia="Calibri" w:hAnsi="Arial" w:cs="Arial"/>
          <w:lang w:val="es-ES"/>
        </w:rPr>
      </w:pPr>
      <w:hyperlink w:anchor="D0062002" w:history="1">
        <w:r w:rsidR="006312E8" w:rsidRPr="006312E8">
          <w:rPr>
            <w:rFonts w:ascii="Arial" w:eastAsia="Calibri" w:hAnsi="Arial" w:cs="Arial"/>
            <w:b/>
            <w:color w:val="0000FF"/>
            <w:sz w:val="16"/>
            <w:szCs w:val="16"/>
            <w:u w:val="single"/>
          </w:rPr>
          <w:t>Directiva Nº 006-2002-SBN</w:t>
        </w:r>
      </w:hyperlink>
      <w:r w:rsidR="006312E8" w:rsidRPr="006312E8">
        <w:rPr>
          <w:rFonts w:ascii="Arial" w:eastAsia="Calibri" w:hAnsi="Arial" w:cs="Arial"/>
          <w:b/>
          <w:color w:val="4F6228"/>
          <w:sz w:val="16"/>
          <w:szCs w:val="16"/>
        </w:rPr>
        <w:t>, aprobada por Resolución Nº 026-2002/SBN (art. 3 numeral 3.2.2)</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54.- De la aceptación de la donación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La aceptación de la donación, previa evaluación de los documentos presentados y emisión de un informe técnico - legal, se efectuará por Resolución de la autoridad administrativa de la entidad beneficiaria, la SBN o el Gobierno Regional, de acuerdo con sus competencias. La Resolución se insertará en la Escritura Pública correspondiente, con arreglo a lo establecido en el artículo 1625 del Código Civil.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6312E8" w:rsidP="0092471C">
      <w:pPr>
        <w:numPr>
          <w:ilvl w:val="0"/>
          <w:numId w:val="138"/>
        </w:numPr>
        <w:spacing w:after="0" w:line="240" w:lineRule="auto"/>
        <w:contextualSpacing/>
        <w:jc w:val="both"/>
        <w:rPr>
          <w:rFonts w:ascii="Arial" w:eastAsia="Calibri" w:hAnsi="Arial" w:cs="Arial"/>
          <w:b/>
          <w:lang w:val="es-ES"/>
        </w:rPr>
      </w:pPr>
      <w:r w:rsidRPr="006312E8">
        <w:rPr>
          <w:rFonts w:ascii="Arial" w:eastAsia="Calibri" w:hAnsi="Arial" w:cs="Arial"/>
          <w:b/>
          <w:color w:val="4F6228"/>
          <w:sz w:val="16"/>
          <w:szCs w:val="16"/>
          <w:lang w:val="es-ES"/>
        </w:rPr>
        <w:t>Código Civil ( art. 1625)</w:t>
      </w:r>
    </w:p>
    <w:p w:rsidR="006312E8" w:rsidRPr="006312E8" w:rsidRDefault="000A5EA6" w:rsidP="0092471C">
      <w:pPr>
        <w:numPr>
          <w:ilvl w:val="0"/>
          <w:numId w:val="138"/>
        </w:numPr>
        <w:spacing w:after="0" w:line="240" w:lineRule="auto"/>
        <w:contextualSpacing/>
        <w:jc w:val="both"/>
        <w:rPr>
          <w:rFonts w:ascii="Arial" w:eastAsia="Calibri" w:hAnsi="Arial" w:cs="Arial"/>
          <w:lang w:val="es-ES"/>
        </w:rPr>
      </w:pPr>
      <w:hyperlink w:anchor="D0062002" w:history="1">
        <w:r w:rsidR="006312E8" w:rsidRPr="006312E8">
          <w:rPr>
            <w:rFonts w:ascii="Arial" w:eastAsia="Calibri" w:hAnsi="Arial" w:cs="Arial"/>
            <w:b/>
            <w:color w:val="0000FF"/>
            <w:sz w:val="16"/>
            <w:szCs w:val="16"/>
            <w:u w:val="single"/>
          </w:rPr>
          <w:t>Directiva Nº 006-2002-SBN</w:t>
        </w:r>
      </w:hyperlink>
      <w:r w:rsidR="006312E8" w:rsidRPr="006312E8">
        <w:rPr>
          <w:rFonts w:ascii="Arial" w:eastAsia="Calibri" w:hAnsi="Arial" w:cs="Arial"/>
          <w:b/>
          <w:color w:val="4F6228"/>
          <w:sz w:val="16"/>
          <w:szCs w:val="16"/>
        </w:rPr>
        <w:t>, aprobada por Resolución Nº 026-2002/SBN (art. 3 numerales  3.2.3, 3.2.4)</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bookmarkStart w:id="83" w:name="_Toc392856153"/>
      <w:bookmarkStart w:id="84" w:name="_Toc399335426"/>
      <w:r w:rsidRPr="006312E8">
        <w:rPr>
          <w:rFonts w:ascii="Arial" w:eastAsia="Calibri" w:hAnsi="Arial" w:cs="Arial"/>
          <w:b/>
          <w:lang w:val="es-ES"/>
        </w:rPr>
        <w:t>SUBCAPÍTULO IV</w:t>
      </w:r>
      <w:bookmarkEnd w:id="83"/>
      <w:bookmarkEnd w:id="84"/>
    </w:p>
    <w:p w:rsidR="006312E8" w:rsidRPr="006312E8" w:rsidRDefault="006312E8" w:rsidP="006312E8">
      <w:pPr>
        <w:spacing w:after="0" w:line="240" w:lineRule="auto"/>
        <w:jc w:val="center"/>
        <w:rPr>
          <w:rFonts w:ascii="Arial" w:eastAsia="Calibri" w:hAnsi="Arial" w:cs="Arial"/>
          <w:b/>
          <w:lang w:val="es-ES"/>
        </w:rPr>
      </w:pPr>
      <w:bookmarkStart w:id="85" w:name="_Toc392856154"/>
      <w:bookmarkStart w:id="86" w:name="_Toc399335427"/>
      <w:r w:rsidRPr="006312E8">
        <w:rPr>
          <w:rFonts w:ascii="Arial" w:eastAsia="Calibri" w:hAnsi="Arial" w:cs="Arial"/>
          <w:b/>
          <w:lang w:val="es-ES"/>
        </w:rPr>
        <w:t>DACIÓN EN PAGO A FAVOR DEL ESTADO</w:t>
      </w:r>
      <w:bookmarkEnd w:id="85"/>
      <w:bookmarkEnd w:id="86"/>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55.- De la solicitud de dación en pago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El deudor del Estado u otra entidad podrá solicitar ante el acreedor o responsable de la recuperación del crédito, la entrega de bienes en dación en pago, para lo cual deberá acreditar la propiedad y el valor comercial del bien.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6312E8" w:rsidP="0092471C">
      <w:pPr>
        <w:numPr>
          <w:ilvl w:val="0"/>
          <w:numId w:val="140"/>
        </w:num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Código Civil (art. 1265)</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56.- De la aprobación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La dación en pago se aprueba por Resolución de la autoridad administrativa de la entidad acreedora o de la responsable de la recuperación del crédito, debiendo estar sustentada en un informe técnico - legal, acompañando los documentos que sustenten la exigibilidad y monto de la deuda incluyendo los intereses que correspondan, el valor comercial, la propiedad, ubicación, situación legal y demás características del bien.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57.- De los gastos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Será de cargo del deudor el pago de los gastos notariales y registrales que irrogue la formalización de la dación en pago.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bookmarkStart w:id="87" w:name="_Toc392856155"/>
      <w:bookmarkStart w:id="88" w:name="_Toc399335428"/>
      <w:r w:rsidRPr="006312E8">
        <w:rPr>
          <w:rFonts w:ascii="Arial" w:eastAsia="Calibri" w:hAnsi="Arial" w:cs="Arial"/>
          <w:b/>
          <w:lang w:val="es-ES"/>
        </w:rPr>
        <w:t>SUBCAPÍTULO V</w:t>
      </w:r>
      <w:bookmarkEnd w:id="87"/>
      <w:bookmarkEnd w:id="88"/>
    </w:p>
    <w:p w:rsidR="006312E8" w:rsidRPr="006312E8" w:rsidRDefault="006312E8" w:rsidP="006312E8">
      <w:pPr>
        <w:spacing w:after="0" w:line="240" w:lineRule="auto"/>
        <w:jc w:val="center"/>
        <w:rPr>
          <w:rFonts w:ascii="Arial" w:eastAsia="Calibri" w:hAnsi="Arial" w:cs="Arial"/>
          <w:b/>
          <w:lang w:val="es-ES"/>
        </w:rPr>
      </w:pPr>
      <w:bookmarkStart w:id="89" w:name="_Toc392856156"/>
      <w:bookmarkStart w:id="90" w:name="_Toc399335429"/>
      <w:r w:rsidRPr="006312E8">
        <w:rPr>
          <w:rFonts w:ascii="Arial" w:eastAsia="Calibri" w:hAnsi="Arial" w:cs="Arial"/>
          <w:b/>
          <w:lang w:val="es-ES"/>
        </w:rPr>
        <w:t>INCAUTACIÓN Y DECOMISO</w:t>
      </w:r>
      <w:bookmarkEnd w:id="89"/>
      <w:bookmarkEnd w:id="90"/>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58.- De la Custodia de bienes incautados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La custodia de los bienes incautados es de responsabilidad de las entidades competentes quienes procederán de acuerdo a las normas de la materia, sin perjuicio de lo establecido en normas especiales, estas entidades remitirán a la SBN la documentación correspondiente para su anotación preventiva en el SINABIP. </w:t>
      </w:r>
    </w:p>
    <w:p w:rsidR="006312E8" w:rsidRPr="006312E8" w:rsidRDefault="006312E8" w:rsidP="006312E8">
      <w:pPr>
        <w:spacing w:after="0" w:line="240" w:lineRule="auto"/>
        <w:jc w:val="both"/>
        <w:rPr>
          <w:rFonts w:ascii="Arial" w:eastAsia="Calibri" w:hAnsi="Arial" w:cs="Arial"/>
          <w:b/>
          <w:color w:val="0F243E"/>
          <w:sz w:val="16"/>
          <w:szCs w:val="16"/>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59.- Del decomiso de bienes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Una vez que quede firme la sentencia condenatoria o el acto administrativo respectivo, las entidades que custodian bienes incautados, gestionarán la inscripción de los mismos a nombre del Estado ante los Registros Públicos. Culminado dicho trámite, remitirán la documentación respectiva a la SBN para su anotación definitiva en el SINABIP, a partir de lo cual la SBN asume la administración del bien decomisado (*)</w:t>
      </w:r>
    </w:p>
    <w:p w:rsidR="006312E8" w:rsidRPr="006312E8" w:rsidRDefault="006312E8" w:rsidP="006312E8">
      <w:pPr>
        <w:spacing w:after="0" w:line="240" w:lineRule="auto"/>
        <w:ind w:left="567" w:hanging="425"/>
        <w:jc w:val="both"/>
        <w:rPr>
          <w:rFonts w:ascii="Arial" w:eastAsia="Calibri" w:hAnsi="Arial" w:cs="Arial"/>
          <w:b/>
          <w:color w:val="FF0000"/>
          <w:sz w:val="16"/>
          <w:szCs w:val="16"/>
        </w:rPr>
      </w:pPr>
      <w:r w:rsidRPr="006312E8">
        <w:rPr>
          <w:rFonts w:ascii="Arial" w:eastAsia="Calibri" w:hAnsi="Arial" w:cs="Arial"/>
          <w:b/>
          <w:color w:val="FF0000"/>
          <w:sz w:val="16"/>
          <w:szCs w:val="16"/>
        </w:rPr>
        <w:t xml:space="preserve">(*) </w:t>
      </w:r>
      <w:r w:rsidRPr="006312E8">
        <w:rPr>
          <w:rFonts w:ascii="Arial" w:eastAsia="Calibri" w:hAnsi="Arial" w:cs="Arial"/>
          <w:b/>
          <w:color w:val="FF0000"/>
          <w:sz w:val="16"/>
          <w:szCs w:val="16"/>
        </w:rPr>
        <w:tab/>
        <w:t>Según el Decreto Legislativo Nº 1104 “Decreto Legislativo que modifica la Legislación sobre Pérdida de Dominio”, publicado el 19 de abril de 2012, los bienes decomisados por delitos cometidos en agravio del Estado son administrados por CONABI. Confrontar con el articulado pertinente del Decreto Legislativo Nº 1104.</w:t>
      </w:r>
    </w:p>
    <w:p w:rsidR="006312E8" w:rsidRPr="006312E8" w:rsidRDefault="006312E8" w:rsidP="006312E8">
      <w:pPr>
        <w:spacing w:after="0" w:line="240" w:lineRule="auto"/>
        <w:jc w:val="both"/>
        <w:rPr>
          <w:rFonts w:ascii="Arial" w:eastAsia="Calibri" w:hAnsi="Arial" w:cs="Arial"/>
        </w:rPr>
      </w:pPr>
    </w:p>
    <w:p w:rsidR="005A311B" w:rsidRDefault="005A311B" w:rsidP="006312E8">
      <w:pPr>
        <w:spacing w:after="0" w:line="240" w:lineRule="auto"/>
        <w:jc w:val="center"/>
        <w:rPr>
          <w:rFonts w:ascii="Arial" w:eastAsia="Calibri" w:hAnsi="Arial" w:cs="Arial"/>
          <w:b/>
          <w:lang w:val="es-ES"/>
        </w:rPr>
      </w:pPr>
      <w:bookmarkStart w:id="91" w:name="_Toc392856157"/>
      <w:bookmarkStart w:id="92" w:name="_Toc399335430"/>
    </w:p>
    <w:p w:rsidR="00994010" w:rsidRDefault="00994010" w:rsidP="006312E8">
      <w:pPr>
        <w:spacing w:after="0" w:line="240" w:lineRule="auto"/>
        <w:jc w:val="center"/>
        <w:rPr>
          <w:rFonts w:ascii="Arial" w:eastAsia="Calibri" w:hAnsi="Arial" w:cs="Arial"/>
          <w:b/>
          <w:lang w:val="es-ES"/>
        </w:rPr>
      </w:pPr>
    </w:p>
    <w:p w:rsidR="00994010" w:rsidRDefault="00994010" w:rsidP="006312E8">
      <w:pPr>
        <w:spacing w:after="0" w:line="240" w:lineRule="auto"/>
        <w:jc w:val="center"/>
        <w:rPr>
          <w:rFonts w:ascii="Arial" w:eastAsia="Calibri" w:hAnsi="Arial" w:cs="Arial"/>
          <w:b/>
          <w:lang w:val="es-ES"/>
        </w:rPr>
      </w:pPr>
    </w:p>
    <w:p w:rsidR="00994010" w:rsidRDefault="00994010" w:rsidP="006312E8">
      <w:pPr>
        <w:spacing w:after="0" w:line="240" w:lineRule="auto"/>
        <w:jc w:val="center"/>
        <w:rPr>
          <w:rFonts w:ascii="Arial" w:eastAsia="Calibri" w:hAnsi="Arial" w:cs="Arial"/>
          <w:b/>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SUBCAPÍTULO VI</w:t>
      </w:r>
      <w:bookmarkEnd w:id="91"/>
      <w:bookmarkEnd w:id="92"/>
    </w:p>
    <w:p w:rsidR="006312E8" w:rsidRPr="006312E8" w:rsidRDefault="006312E8" w:rsidP="006312E8">
      <w:pPr>
        <w:spacing w:after="0" w:line="240" w:lineRule="auto"/>
        <w:jc w:val="center"/>
        <w:rPr>
          <w:rFonts w:ascii="Arial" w:eastAsia="Calibri" w:hAnsi="Arial" w:cs="Arial"/>
          <w:b/>
          <w:lang w:val="es-ES"/>
        </w:rPr>
      </w:pPr>
      <w:bookmarkStart w:id="93" w:name="_Toc392856158"/>
      <w:bookmarkStart w:id="94" w:name="_Toc399335431"/>
      <w:r w:rsidRPr="006312E8">
        <w:rPr>
          <w:rFonts w:ascii="Arial" w:eastAsia="Calibri" w:hAnsi="Arial" w:cs="Arial"/>
          <w:b/>
          <w:lang w:val="es-ES"/>
        </w:rPr>
        <w:t>TRANSFERENCIA EN DOMINIO FIDUCIARIO</w:t>
      </w:r>
      <w:bookmarkEnd w:id="93"/>
      <w:bookmarkEnd w:id="94"/>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60.- De los bienes susceptibles de disposición en dominio fiduciario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La transferencia en dominio fiduciario sólo procederá respecto de bienes inmuebles de dominio privado estatal y será aprobada por Resolución de la SBN o por los Gobiernos Regionales de acuerdo con sus competencias, requiriéndose para tal efecto adjuntar los documentos que acrediten la titularidad del predio y el valor del mismo, así como un informe técnico - legal.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Excepcionalmente, podrá transferirse en dominio fiduciario aquellos bienes estatales que se encuentren prestando un servicio público, para desarrollar proyectos y programas de interés nacional.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La resolución que aprueba la constitución del fidecomiso debe ser publicada, por única vez, en el Diario Oficial El Peruano.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92471C">
      <w:pPr>
        <w:numPr>
          <w:ilvl w:val="0"/>
          <w:numId w:val="140"/>
        </w:numPr>
        <w:spacing w:after="0" w:line="240" w:lineRule="auto"/>
        <w:jc w:val="both"/>
        <w:rPr>
          <w:rFonts w:ascii="Arial" w:eastAsia="Calibri" w:hAnsi="Arial" w:cs="Arial"/>
          <w:b/>
          <w:color w:val="4F6228"/>
          <w:sz w:val="16"/>
          <w:szCs w:val="16"/>
        </w:rPr>
      </w:pPr>
      <w:hyperlink w:anchor="ley29151" w:history="1">
        <w:r w:rsidR="006312E8" w:rsidRPr="006312E8">
          <w:rPr>
            <w:rFonts w:ascii="Arial" w:eastAsia="Calibri" w:hAnsi="Arial" w:cs="Arial"/>
            <w:b/>
            <w:color w:val="0000FF"/>
            <w:sz w:val="16"/>
            <w:szCs w:val="16"/>
            <w:u w:val="single"/>
          </w:rPr>
          <w:t>Ley Nº 29151</w:t>
        </w:r>
      </w:hyperlink>
      <w:r w:rsidR="006312E8" w:rsidRPr="006312E8">
        <w:rPr>
          <w:rFonts w:ascii="Arial" w:eastAsia="Calibri" w:hAnsi="Arial" w:cs="Arial"/>
          <w:b/>
          <w:color w:val="4F6228"/>
          <w:sz w:val="16"/>
          <w:szCs w:val="16"/>
        </w:rPr>
        <w:t xml:space="preserve"> (art. 14, numeral 14.1, literal h)</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61.- De la normatividad aplicable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La constitución y ejecución del fideicomiso se rige por las normas pertinentes de la Ley Nº 26702, Ley General del Sistema Financiero y del Sistema de Seguros y Orgánica de la Superintendencia de Banca y Seguros y demás normas sobre la materia.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6312E8" w:rsidP="0092471C">
      <w:pPr>
        <w:numPr>
          <w:ilvl w:val="0"/>
          <w:numId w:val="140"/>
        </w:num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Ley Nº 26702</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bookmarkStart w:id="95" w:name="_Toc392856159"/>
      <w:bookmarkStart w:id="96" w:name="_Toc399335432"/>
      <w:r w:rsidRPr="006312E8">
        <w:rPr>
          <w:rFonts w:ascii="Arial" w:eastAsia="Calibri" w:hAnsi="Arial" w:cs="Arial"/>
          <w:b/>
          <w:lang w:val="es-ES"/>
        </w:rPr>
        <w:t>SUBCAPÍTULO VII</w:t>
      </w:r>
      <w:bookmarkEnd w:id="95"/>
      <w:bookmarkEnd w:id="96"/>
    </w:p>
    <w:p w:rsidR="006312E8" w:rsidRPr="006312E8" w:rsidRDefault="006312E8" w:rsidP="006312E8">
      <w:pPr>
        <w:spacing w:after="0" w:line="240" w:lineRule="auto"/>
        <w:jc w:val="center"/>
        <w:rPr>
          <w:rFonts w:ascii="Arial" w:eastAsia="Calibri" w:hAnsi="Arial" w:cs="Arial"/>
          <w:b/>
          <w:lang w:val="es-ES"/>
        </w:rPr>
      </w:pPr>
      <w:bookmarkStart w:id="97" w:name="_Toc392856160"/>
      <w:bookmarkStart w:id="98" w:name="_Toc399335433"/>
      <w:r w:rsidRPr="006312E8">
        <w:rPr>
          <w:rFonts w:ascii="Arial" w:eastAsia="Calibri" w:hAnsi="Arial" w:cs="Arial"/>
          <w:b/>
          <w:lang w:val="es-ES"/>
        </w:rPr>
        <w:t>TRANSFERENCIA DE DOMINIO EN EL ESTADO</w:t>
      </w:r>
      <w:bookmarkEnd w:id="97"/>
      <w:bookmarkEnd w:id="98"/>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62.- De la Transferencia</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transferencia de predios estatales es la traslación de dominio a título gratuito u oneroso de predios del dominio privado estatal, que se realiza entre las entidades conformantes del Sistema.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distribución de los ingresos producto de las transferencias a título oneroso se rigen por las reglas de la compra venta.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Artículo modificado por el Artículo 1 del Decreto Supremo Nº 009-2013-VIVIENDA, publicado el 01 agosto 2013</w:t>
      </w:r>
    </w:p>
    <w:p w:rsidR="006312E8" w:rsidRPr="006312E8" w:rsidRDefault="006312E8" w:rsidP="006312E8">
      <w:pPr>
        <w:spacing w:after="0" w:line="240" w:lineRule="auto"/>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6312E8" w:rsidP="0092471C">
      <w:pPr>
        <w:numPr>
          <w:ilvl w:val="0"/>
          <w:numId w:val="138"/>
        </w:num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Decreto Supremo Nº 010-2002-MTC (art. 3)</w:t>
      </w:r>
    </w:p>
    <w:p w:rsidR="006312E8" w:rsidRPr="006312E8" w:rsidRDefault="000A5EA6" w:rsidP="0092471C">
      <w:pPr>
        <w:numPr>
          <w:ilvl w:val="0"/>
          <w:numId w:val="138"/>
        </w:numPr>
        <w:spacing w:after="0" w:line="240" w:lineRule="auto"/>
        <w:jc w:val="both"/>
        <w:rPr>
          <w:rFonts w:ascii="Arial" w:eastAsia="Calibri" w:hAnsi="Arial" w:cs="Arial"/>
          <w:b/>
          <w:color w:val="4F6228"/>
          <w:sz w:val="16"/>
          <w:szCs w:val="16"/>
        </w:rPr>
      </w:pPr>
      <w:hyperlink w:anchor="D0052013" w:history="1">
        <w:r w:rsidR="006312E8" w:rsidRPr="006312E8">
          <w:rPr>
            <w:rFonts w:ascii="Arial" w:eastAsia="Calibri" w:hAnsi="Arial" w:cs="Arial"/>
            <w:b/>
            <w:color w:val="0000FF"/>
            <w:sz w:val="16"/>
            <w:szCs w:val="16"/>
            <w:u w:val="single"/>
          </w:rPr>
          <w:t>Directiva Nº 005-2013/SBN</w:t>
        </w:r>
      </w:hyperlink>
      <w:r w:rsidR="006312E8" w:rsidRPr="006312E8">
        <w:rPr>
          <w:rFonts w:ascii="Arial" w:eastAsia="Calibri" w:hAnsi="Arial" w:cs="Arial"/>
          <w:b/>
          <w:color w:val="4F6228"/>
          <w:sz w:val="16"/>
          <w:szCs w:val="16"/>
        </w:rPr>
        <w:t>, aprobada por Resolución Nº 067-2013-SBN (art. 5, numeral 5.3.2)</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63.- Donación entre entidades públicas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La transferencia de predios a título gratuito puede efectuarse siempre y cuando el bien sea destinado para programas o proyectos de desarrollo o inversión de conformidad con sus respectivas competencias, fijándose en la resolución aprobatoria dicha finalidad y el plazo de ejecución de la misma, bajo sanción de reversión en caso de incumplimiento.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92471C">
      <w:pPr>
        <w:numPr>
          <w:ilvl w:val="0"/>
          <w:numId w:val="140"/>
        </w:numPr>
        <w:spacing w:after="0" w:line="240" w:lineRule="auto"/>
        <w:contextualSpacing/>
        <w:jc w:val="both"/>
        <w:rPr>
          <w:rFonts w:ascii="Arial" w:eastAsia="Calibri" w:hAnsi="Arial" w:cs="Arial"/>
          <w:lang w:val="es-ES"/>
        </w:rPr>
      </w:pPr>
      <w:hyperlink w:anchor="D0052013" w:history="1">
        <w:r w:rsidR="006312E8" w:rsidRPr="006312E8">
          <w:rPr>
            <w:rFonts w:ascii="Arial" w:eastAsia="Calibri" w:hAnsi="Arial" w:cs="Arial"/>
            <w:b/>
            <w:color w:val="0000FF"/>
            <w:sz w:val="16"/>
            <w:szCs w:val="16"/>
            <w:u w:val="single"/>
          </w:rPr>
          <w:t>Directiva Nº 005-2013/SBN</w:t>
        </w:r>
      </w:hyperlink>
      <w:r w:rsidR="006312E8" w:rsidRPr="006312E8">
        <w:rPr>
          <w:rFonts w:ascii="Arial" w:eastAsia="Calibri" w:hAnsi="Arial" w:cs="Arial"/>
          <w:b/>
          <w:color w:val="4F6228"/>
          <w:sz w:val="16"/>
          <w:szCs w:val="16"/>
        </w:rPr>
        <w:t>, aprobada por Resolución Nº 067-2013-SBN (art. 5, numeral 5.3.2)</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64.- Donación a favor de Gobiernos Regionales y/o Gobiernos Locales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Las transferencias de propiedad del Estado a favor de los Gobiernos Regionales o Gobiernos Locales, podrá ser efectuada a título gratuito, a menos que dichas entidades obtengan algún beneficio económico producto de la transferencia antes señalada, en cuyo caso deberán entregar el 50% del valor del predio al Estado, quedando el 50% restante a favor de los citados gobiernos. </w:t>
      </w:r>
    </w:p>
    <w:p w:rsidR="006312E8" w:rsidRDefault="006312E8" w:rsidP="006312E8">
      <w:pPr>
        <w:spacing w:after="0" w:line="240" w:lineRule="auto"/>
        <w:jc w:val="both"/>
        <w:rPr>
          <w:rFonts w:ascii="Arial" w:eastAsia="Calibri" w:hAnsi="Arial" w:cs="Arial"/>
          <w:lang w:val="es-ES"/>
        </w:rPr>
      </w:pPr>
    </w:p>
    <w:p w:rsidR="005A311B" w:rsidRPr="006312E8" w:rsidRDefault="005A311B"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92471C">
      <w:pPr>
        <w:numPr>
          <w:ilvl w:val="0"/>
          <w:numId w:val="140"/>
        </w:numPr>
        <w:spacing w:after="0" w:line="240" w:lineRule="auto"/>
        <w:contextualSpacing/>
        <w:jc w:val="both"/>
        <w:rPr>
          <w:rFonts w:ascii="Arial" w:eastAsia="Calibri" w:hAnsi="Arial" w:cs="Arial"/>
          <w:b/>
          <w:color w:val="4F6228"/>
          <w:sz w:val="16"/>
          <w:szCs w:val="16"/>
          <w:lang w:val="es-ES"/>
        </w:rPr>
      </w:pPr>
      <w:hyperlink w:anchor="LEY27972" w:history="1">
        <w:r w:rsidR="006312E8" w:rsidRPr="006312E8">
          <w:rPr>
            <w:rFonts w:ascii="Arial" w:eastAsia="Calibri" w:hAnsi="Arial" w:cs="Arial"/>
            <w:b/>
            <w:color w:val="0000FF"/>
            <w:sz w:val="16"/>
            <w:szCs w:val="16"/>
            <w:u w:val="single"/>
            <w:lang w:val="es-ES"/>
          </w:rPr>
          <w:t>Ley Nº 27972</w:t>
        </w:r>
      </w:hyperlink>
      <w:r w:rsidR="006312E8" w:rsidRPr="006312E8">
        <w:rPr>
          <w:rFonts w:ascii="Arial" w:eastAsia="Calibri" w:hAnsi="Arial" w:cs="Arial"/>
          <w:b/>
          <w:color w:val="4F6228"/>
          <w:sz w:val="16"/>
          <w:szCs w:val="16"/>
          <w:lang w:val="es-ES"/>
        </w:rPr>
        <w:t xml:space="preserve"> (art. 64) </w:t>
      </w:r>
    </w:p>
    <w:p w:rsidR="006312E8" w:rsidRPr="006312E8" w:rsidRDefault="000A5EA6" w:rsidP="0092471C">
      <w:pPr>
        <w:numPr>
          <w:ilvl w:val="0"/>
          <w:numId w:val="140"/>
        </w:numPr>
        <w:spacing w:after="0" w:line="240" w:lineRule="auto"/>
        <w:contextualSpacing/>
        <w:jc w:val="both"/>
        <w:rPr>
          <w:rFonts w:ascii="Arial" w:eastAsia="Calibri" w:hAnsi="Arial" w:cs="Arial"/>
          <w:lang w:val="es-ES"/>
        </w:rPr>
      </w:pPr>
      <w:hyperlink w:anchor="D0052013" w:history="1">
        <w:r w:rsidR="006312E8" w:rsidRPr="006312E8">
          <w:rPr>
            <w:rFonts w:ascii="Arial" w:eastAsia="Calibri" w:hAnsi="Arial" w:cs="Arial"/>
            <w:b/>
            <w:color w:val="0000FF"/>
            <w:sz w:val="16"/>
            <w:szCs w:val="16"/>
            <w:u w:val="single"/>
          </w:rPr>
          <w:t>Directiva Nº 005-2013/SBN</w:t>
        </w:r>
      </w:hyperlink>
      <w:r w:rsidR="006312E8" w:rsidRPr="006312E8">
        <w:rPr>
          <w:rFonts w:ascii="Arial" w:eastAsia="Calibri" w:hAnsi="Arial" w:cs="Arial"/>
          <w:b/>
          <w:color w:val="4F6228"/>
          <w:sz w:val="16"/>
          <w:szCs w:val="16"/>
        </w:rPr>
        <w:t>, aprobada por Resolución Nº 067-2013-SBN (art. 5, numeral 5.3.2)</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65.- Del procedimiento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La solicitud para la transferencia entre entidades deberá ser presentada ante la entidad propietaria del bien, el Gobierno Regional o la SBN, según sea el caso; indicando el uso que se otorgará al predio, y además el programa de desarrollo o inversión acreditando los respectivos planes y estudios técnico-legales para la ejecución del programa correspondiente; el que podrá realizarse por cuenta propia o de terceros. La aprobación se efectuará, previa opinión técnica de la SBN, por resolución del titular del Pliego o de la máxima autoridad administrativa de la entidad propietaria del bien, el Gobierno Regional, o la SBN, de acuerdo a sus competencias.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92471C">
      <w:pPr>
        <w:numPr>
          <w:ilvl w:val="0"/>
          <w:numId w:val="140"/>
        </w:numPr>
        <w:spacing w:after="0" w:line="240" w:lineRule="auto"/>
        <w:contextualSpacing/>
        <w:jc w:val="both"/>
        <w:rPr>
          <w:rFonts w:ascii="Arial" w:eastAsia="Calibri" w:hAnsi="Arial" w:cs="Arial"/>
          <w:b/>
          <w:lang w:val="es-ES"/>
        </w:rPr>
      </w:pPr>
      <w:hyperlink w:anchor="DS0162010" w:history="1">
        <w:r w:rsidR="006312E8" w:rsidRPr="006312E8">
          <w:rPr>
            <w:rFonts w:ascii="Arial" w:eastAsia="Calibri" w:hAnsi="Arial" w:cs="Arial"/>
            <w:b/>
            <w:color w:val="0000FF"/>
            <w:sz w:val="16"/>
            <w:szCs w:val="16"/>
            <w:u w:val="single"/>
            <w:lang w:val="es-ES"/>
          </w:rPr>
          <w:t>Decreto Supremo Nº 016-2010-VIVIENDA</w:t>
        </w:r>
      </w:hyperlink>
      <w:r w:rsidR="006312E8" w:rsidRPr="006312E8">
        <w:rPr>
          <w:rFonts w:ascii="Arial" w:eastAsia="Calibri" w:hAnsi="Arial" w:cs="Arial"/>
          <w:b/>
          <w:color w:val="4F6228"/>
          <w:sz w:val="16"/>
          <w:szCs w:val="16"/>
          <w:lang w:val="es-ES"/>
        </w:rPr>
        <w:t xml:space="preserve"> (art. 48)</w:t>
      </w:r>
    </w:p>
    <w:p w:rsidR="006312E8" w:rsidRPr="006312E8" w:rsidRDefault="006312E8" w:rsidP="0092471C">
      <w:pPr>
        <w:numPr>
          <w:ilvl w:val="0"/>
          <w:numId w:val="140"/>
        </w:numPr>
        <w:spacing w:after="0" w:line="240" w:lineRule="auto"/>
        <w:contextualSpacing/>
        <w:jc w:val="both"/>
        <w:rPr>
          <w:rFonts w:ascii="Arial" w:eastAsia="Calibri" w:hAnsi="Arial" w:cs="Arial"/>
          <w:lang w:val="es-ES"/>
        </w:rPr>
      </w:pPr>
      <w:r w:rsidRPr="006312E8">
        <w:rPr>
          <w:rFonts w:ascii="Arial" w:eastAsia="Calibri" w:hAnsi="Arial" w:cs="Arial"/>
          <w:b/>
          <w:color w:val="4F6228"/>
          <w:sz w:val="16"/>
          <w:szCs w:val="16"/>
        </w:rPr>
        <w:t>Directiva Nº 005-2013/SBN, aprobada por Resolución Nº 067-2013-SBN (art. VII, numerales 7.1; 7.5)</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66.- De las Transferencias a Empresas bajo el ámbito de FONAFE</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Las empresas del Estado bajo el ámbito del Fondo Nacional de Financiamiento de la Actividad Empresarial del Estado - FONAFE, pueden solicitar directamente o a través del FONAFE a la SBN o al Gobierno Regional, dentro de sus respectivas competencias, la transferencia de predios del dominio privado del Estado para destinarlos al desarrollo de sus actividades comerciales, industriales o de servicios.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transferencia podrá ser a título gratuito cuando el bien se destine al interés general o social debidamente acreditado, en cumplimiento de fines legales y/o estatutarios.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Dichas transferencias serán aprobadas por la SBN o el Gobierno Regional, de acuerdo con sus competencias, previa opinión técnica de la SBN.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Artículo modificado por el Artículo 1 del Decreto Supremo Nº 009-2013-VIVIENDA, publicado el 01 agosto 2013</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67.- De la Transferencia por aporte de capital</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En el caso que la transferencia de predios de libre disponibilidad se efectúe como aporte de capital, las empresas del Estado bajo el ámbito del Fondo Nacional de Financiamiento de la Actividad Empresarial del Estado - FONAFE, deberán solicitarla a través del FONAFE a la SBN o al Gobierno Regional, dentro de sus respectivas competencias. (*)</w:t>
      </w:r>
    </w:p>
    <w:p w:rsidR="00D04998" w:rsidRDefault="00D04998" w:rsidP="006312E8">
      <w:pPr>
        <w:spacing w:after="0" w:line="240" w:lineRule="auto"/>
        <w:jc w:val="both"/>
        <w:rPr>
          <w:rFonts w:ascii="Arial" w:eastAsia="Calibri" w:hAnsi="Arial" w:cs="Arial"/>
          <w:b/>
          <w:color w:val="FF0000"/>
          <w:sz w:val="16"/>
          <w:szCs w:val="16"/>
          <w:lang w:val="es-ES"/>
        </w:rPr>
      </w:pPr>
    </w:p>
    <w:p w:rsidR="006312E8" w:rsidRPr="006312E8" w:rsidRDefault="006312E8" w:rsidP="006312E8">
      <w:pPr>
        <w:spacing w:after="0" w:line="240" w:lineRule="auto"/>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Artículo modificado por el Artículo 1 del Decreto Supremo Nº 009-2013-VIVIENDA, publicado el 01 agosto 2013</w:t>
      </w:r>
    </w:p>
    <w:p w:rsidR="005A311B" w:rsidRDefault="005A311B"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68.- De la Inscripción de las transferencias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resolución aprobatoria de la transferencia entre entidades públicas tiene mérito suficiente para su inscripción en los Registros Públicos.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En el caso de las transferencias onerosas, el pago se acreditará con una constancia de cancelación emitida por la entidad transferente.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bookmarkStart w:id="99" w:name="_Toc392856161"/>
      <w:bookmarkStart w:id="100" w:name="_Toc399335434"/>
      <w:r w:rsidRPr="006312E8">
        <w:rPr>
          <w:rFonts w:ascii="Arial" w:eastAsia="Calibri" w:hAnsi="Arial" w:cs="Arial"/>
          <w:b/>
          <w:lang w:val="es-ES"/>
        </w:rPr>
        <w:t>SUBCAPÍTULO VIII</w:t>
      </w:r>
      <w:bookmarkEnd w:id="99"/>
      <w:bookmarkEnd w:id="100"/>
    </w:p>
    <w:p w:rsidR="006312E8" w:rsidRPr="006312E8" w:rsidRDefault="006312E8" w:rsidP="006312E8">
      <w:pPr>
        <w:spacing w:after="0" w:line="240" w:lineRule="auto"/>
        <w:jc w:val="center"/>
        <w:rPr>
          <w:rFonts w:ascii="Arial" w:eastAsia="Calibri" w:hAnsi="Arial" w:cs="Arial"/>
          <w:b/>
          <w:lang w:val="es-ES"/>
        </w:rPr>
      </w:pPr>
      <w:bookmarkStart w:id="101" w:name="_Toc392856162"/>
      <w:bookmarkStart w:id="102" w:name="_Toc399335435"/>
      <w:r w:rsidRPr="006312E8">
        <w:rPr>
          <w:rFonts w:ascii="Arial" w:eastAsia="Calibri" w:hAnsi="Arial" w:cs="Arial"/>
          <w:b/>
          <w:lang w:val="es-ES"/>
        </w:rPr>
        <w:t>REVERSIÓN DE DOMINIO</w:t>
      </w:r>
      <w:bookmarkEnd w:id="101"/>
      <w:bookmarkEnd w:id="102"/>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69.- De la reversión al Estado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En caso el adquirente de un bien estatal a título gratuito no lo destine a la finalidad para la que le fue transferido dentro del plazo establecido, revertirá el dominio del bien al Estado, sin obligación de reembolso alguno a favor del afectado con la reversión.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Excepcionalmente, en las transferencias onerosas y siempre que la resolución o contrato de transferencia así lo precise, procederá la reversión de dominio al Estado, sin obligación de reembolso alguno a favor del afectado con la reversión.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De no haberse establecido plazo para el cumplimiento de la finalidad, éste será de dos (02) años. La resolución respectiva será emitida por el Gobierno Regional o la SBN, de acuerdo a sus competencias.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92471C">
      <w:pPr>
        <w:numPr>
          <w:ilvl w:val="0"/>
          <w:numId w:val="140"/>
        </w:numPr>
        <w:spacing w:after="0" w:line="240" w:lineRule="auto"/>
        <w:contextualSpacing/>
        <w:jc w:val="both"/>
        <w:rPr>
          <w:rFonts w:ascii="Arial" w:eastAsia="Calibri" w:hAnsi="Arial" w:cs="Arial"/>
          <w:lang w:val="es-ES"/>
        </w:rPr>
      </w:pPr>
      <w:hyperlink w:anchor="D0052013" w:history="1">
        <w:r w:rsidR="006312E8" w:rsidRPr="006312E8">
          <w:rPr>
            <w:rFonts w:ascii="Arial" w:eastAsia="Calibri" w:hAnsi="Arial" w:cs="Arial"/>
            <w:b/>
            <w:color w:val="0000FF"/>
            <w:sz w:val="16"/>
            <w:szCs w:val="16"/>
            <w:u w:val="single"/>
          </w:rPr>
          <w:t>Directiva Nº 005-2013/SBN</w:t>
        </w:r>
      </w:hyperlink>
      <w:r w:rsidR="006312E8" w:rsidRPr="006312E8">
        <w:rPr>
          <w:rFonts w:ascii="Arial" w:eastAsia="Calibri" w:hAnsi="Arial" w:cs="Arial"/>
          <w:b/>
          <w:color w:val="4F6228"/>
          <w:sz w:val="16"/>
          <w:szCs w:val="16"/>
        </w:rPr>
        <w:t>, aprobada por Resolución Nº 067-2013-SBN (art. 5, numeral 5.3.8)</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70.- Del procedimiento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La SBN o el Gobierno Regional, según sea el caso, una vez verificado los supuestos contenidos en el artículo anterior, procederán a notificar a la entidad a efectos que en el plazo de quince (15) días hábiles presente sus descargos.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En caso los descargos no sean suficientes o se presenten fuera de plazo, la SBN o el Gobierno Regional, según sus competencias, dispondrá la reversión del bien al dominio del Estado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Artículo modificado por el Artículo 1 del Decreto Supremo Nº 013-2012-VIVIENDA, publicado el 03 junio 2012</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71.- Inscripción de la reversión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La Resolución aprobatoria de la Reversión constituye título suficiente para su inscripción en el Registro de Predios.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bookmarkStart w:id="103" w:name="_Toc392856163"/>
      <w:bookmarkStart w:id="104" w:name="_Toc399335436"/>
      <w:r w:rsidRPr="006312E8">
        <w:rPr>
          <w:rFonts w:ascii="Arial" w:eastAsia="Calibri" w:hAnsi="Arial" w:cs="Arial"/>
          <w:b/>
          <w:lang w:val="es-ES"/>
        </w:rPr>
        <w:t>SUBCAPÍTULO IX</w:t>
      </w:r>
      <w:bookmarkEnd w:id="103"/>
      <w:bookmarkEnd w:id="104"/>
    </w:p>
    <w:p w:rsidR="006312E8" w:rsidRPr="006312E8" w:rsidRDefault="006312E8" w:rsidP="006312E8">
      <w:pPr>
        <w:spacing w:after="0" w:line="240" w:lineRule="auto"/>
        <w:jc w:val="center"/>
        <w:rPr>
          <w:rFonts w:ascii="Arial" w:eastAsia="Calibri" w:hAnsi="Arial" w:cs="Arial"/>
          <w:b/>
          <w:lang w:val="es-ES"/>
        </w:rPr>
      </w:pPr>
      <w:bookmarkStart w:id="105" w:name="_Toc392856164"/>
      <w:bookmarkStart w:id="106" w:name="_Toc399335437"/>
      <w:r w:rsidRPr="006312E8">
        <w:rPr>
          <w:rFonts w:ascii="Arial" w:eastAsia="Calibri" w:hAnsi="Arial" w:cs="Arial"/>
          <w:b/>
          <w:lang w:val="es-ES"/>
        </w:rPr>
        <w:t>ASUNCIÓN DE TITULARIDAD</w:t>
      </w:r>
      <w:bookmarkEnd w:id="105"/>
      <w:bookmarkEnd w:id="106"/>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72.- De la asunción de titularidad de la SBN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El Estado representado por la SBN asumirá la titularidad de los bienes de las entidades señaladas en los literales b), c) y d) del artículo 8 de la Ley, en caso de comprobarse un destino distinto a la finalidad asignada o haberse verificado el abandono de los bienes de su propiedad por el plazo de dos años.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92471C">
      <w:pPr>
        <w:numPr>
          <w:ilvl w:val="0"/>
          <w:numId w:val="140"/>
        </w:numPr>
        <w:spacing w:after="0" w:line="240" w:lineRule="auto"/>
        <w:contextualSpacing/>
        <w:jc w:val="both"/>
        <w:rPr>
          <w:rFonts w:ascii="Arial" w:eastAsia="Calibri" w:hAnsi="Arial" w:cs="Arial"/>
          <w:lang w:val="es-ES"/>
        </w:rPr>
      </w:pPr>
      <w:hyperlink w:anchor="D0012011" w:history="1">
        <w:r w:rsidR="006312E8" w:rsidRPr="006312E8">
          <w:rPr>
            <w:rFonts w:ascii="Arial" w:eastAsia="Calibri" w:hAnsi="Arial" w:cs="Arial"/>
            <w:b/>
            <w:color w:val="0000FF"/>
            <w:sz w:val="16"/>
            <w:szCs w:val="16"/>
            <w:u w:val="single"/>
          </w:rPr>
          <w:t>Directiva Nº 001-2011/SBN</w:t>
        </w:r>
      </w:hyperlink>
      <w:r w:rsidR="006312E8" w:rsidRPr="006312E8">
        <w:rPr>
          <w:rFonts w:ascii="Arial" w:eastAsia="Calibri" w:hAnsi="Arial" w:cs="Arial"/>
          <w:b/>
          <w:color w:val="4F6228"/>
          <w:sz w:val="16"/>
          <w:szCs w:val="16"/>
        </w:rPr>
        <w:t>, aprobada por Resolución Nº 014-2011-SBN (art. 2, numerales 2.2)</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73.- Del procedimiento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SBN una vez verificados los supuestos contenidos en el artículo anterior, procederá a notificar a la entidad a efectos de que en el plazo de quince (15) días calendario presente sus descargos.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En caso que los descargos no sean suficientes o se presenten fuera de plazo, la SBN asumirá la titularidad del bien.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92471C">
      <w:pPr>
        <w:numPr>
          <w:ilvl w:val="0"/>
          <w:numId w:val="140"/>
        </w:numPr>
        <w:spacing w:after="0" w:line="240" w:lineRule="auto"/>
        <w:contextualSpacing/>
        <w:jc w:val="both"/>
        <w:rPr>
          <w:rFonts w:ascii="Arial" w:eastAsia="Calibri" w:hAnsi="Arial" w:cs="Arial"/>
          <w:lang w:val="es-ES"/>
        </w:rPr>
      </w:pPr>
      <w:hyperlink w:anchor="D0012011" w:history="1">
        <w:r w:rsidR="006312E8" w:rsidRPr="006312E8">
          <w:rPr>
            <w:rFonts w:ascii="Arial" w:eastAsia="Calibri" w:hAnsi="Arial" w:cs="Arial"/>
            <w:b/>
            <w:color w:val="0000FF"/>
            <w:sz w:val="16"/>
            <w:szCs w:val="16"/>
            <w:u w:val="single"/>
          </w:rPr>
          <w:t>Directiva Nº 001-2011/SBN</w:t>
        </w:r>
      </w:hyperlink>
      <w:r w:rsidR="006312E8" w:rsidRPr="006312E8">
        <w:rPr>
          <w:rFonts w:ascii="Arial" w:eastAsia="Calibri" w:hAnsi="Arial" w:cs="Arial"/>
          <w:b/>
          <w:color w:val="4F6228"/>
          <w:sz w:val="16"/>
          <w:szCs w:val="16"/>
        </w:rPr>
        <w:t>, aprobada por Resolución Nº 014-2011-SBN (art. 3)</w:t>
      </w:r>
    </w:p>
    <w:p w:rsidR="006312E8" w:rsidRPr="006312E8" w:rsidRDefault="006312E8" w:rsidP="006312E8">
      <w:pPr>
        <w:spacing w:after="0" w:line="240" w:lineRule="auto"/>
        <w:jc w:val="both"/>
        <w:rPr>
          <w:rFonts w:ascii="Arial" w:eastAsia="Calibri" w:hAnsi="Arial" w:cs="Arial"/>
          <w:lang w:val="es-ES"/>
        </w:rPr>
      </w:pPr>
    </w:p>
    <w:p w:rsidR="00D04998" w:rsidRDefault="00D04998" w:rsidP="006312E8">
      <w:pPr>
        <w:spacing w:after="0" w:line="240" w:lineRule="auto"/>
        <w:jc w:val="center"/>
        <w:rPr>
          <w:rFonts w:ascii="Arial" w:eastAsia="Calibri" w:hAnsi="Arial" w:cs="Arial"/>
          <w:b/>
          <w:lang w:val="es-ES"/>
        </w:rPr>
      </w:pPr>
      <w:bookmarkStart w:id="107" w:name="_Toc392856165"/>
      <w:bookmarkStart w:id="108" w:name="_Toc399335438"/>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SUBCAPÍTULO X</w:t>
      </w:r>
      <w:bookmarkEnd w:id="107"/>
      <w:bookmarkEnd w:id="108"/>
    </w:p>
    <w:p w:rsidR="006312E8" w:rsidRPr="006312E8" w:rsidRDefault="006312E8" w:rsidP="006312E8">
      <w:pPr>
        <w:spacing w:after="0" w:line="240" w:lineRule="auto"/>
        <w:jc w:val="center"/>
        <w:rPr>
          <w:rFonts w:ascii="Arial" w:eastAsia="Calibri" w:hAnsi="Arial" w:cs="Arial"/>
          <w:b/>
          <w:lang w:val="es-ES"/>
        </w:rPr>
      </w:pPr>
      <w:bookmarkStart w:id="109" w:name="_Toc392856166"/>
      <w:bookmarkStart w:id="110" w:name="_Toc399335439"/>
      <w:r w:rsidRPr="006312E8">
        <w:rPr>
          <w:rFonts w:ascii="Arial" w:eastAsia="Calibri" w:hAnsi="Arial" w:cs="Arial"/>
          <w:b/>
          <w:lang w:val="es-ES"/>
        </w:rPr>
        <w:t>COMPRAVENTA</w:t>
      </w:r>
      <w:bookmarkEnd w:id="109"/>
      <w:bookmarkEnd w:id="110"/>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74.- De las modalidades de la compra venta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Los bienes de dominio privado estatal pueden ser objeto de compra venta sólo bajo la modalidad de subasta pública y excepcionalmente por compra venta directa.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La potestad de impulsar y sustentar el trámite para la aprobación de la venta mediante subasta pública de un predio estatal, corresponde a la entidad propietaria o, cuando el bien es de propiedad del Estado, a la SBN o al Gobierno Regional que haya asumido competencia en el marco del proceso de descentralización.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El impulso del trámite de venta por subasta de un predio puede originarse a petición de terceros interesados en la compra, pero ello no obliga a la entidad a iniciar el procedimiento de venta.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Artículo modificado por el Artículo 1 del Decreto Supremo Nº 013-2012-VIVIENDA, publicado el 03 junio 2012.</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92471C">
      <w:pPr>
        <w:numPr>
          <w:ilvl w:val="0"/>
          <w:numId w:val="138"/>
        </w:numPr>
        <w:spacing w:after="0" w:line="240" w:lineRule="auto"/>
        <w:jc w:val="both"/>
        <w:rPr>
          <w:rFonts w:ascii="Arial" w:eastAsia="Calibri" w:hAnsi="Arial" w:cs="Arial"/>
          <w:b/>
          <w:color w:val="4F6228"/>
          <w:sz w:val="16"/>
          <w:szCs w:val="16"/>
        </w:rPr>
      </w:pPr>
      <w:hyperlink w:anchor="D0032011" w:history="1">
        <w:r w:rsidR="006312E8" w:rsidRPr="006312E8">
          <w:rPr>
            <w:rFonts w:ascii="Arial" w:eastAsia="Calibri" w:hAnsi="Arial" w:cs="Arial"/>
            <w:b/>
            <w:color w:val="0000FF"/>
            <w:sz w:val="16"/>
            <w:szCs w:val="16"/>
            <w:u w:val="single"/>
          </w:rPr>
          <w:t>Directiva Nº 003-2011-SBN</w:t>
        </w:r>
      </w:hyperlink>
      <w:r w:rsidR="006312E8" w:rsidRPr="006312E8">
        <w:rPr>
          <w:rFonts w:ascii="Arial" w:eastAsia="Calibri" w:hAnsi="Arial" w:cs="Arial"/>
          <w:b/>
          <w:color w:val="4F6228"/>
          <w:sz w:val="16"/>
          <w:szCs w:val="16"/>
        </w:rPr>
        <w:t>, aprobada por Resolución Nº 020-2011-SBN (art. 2)</w:t>
      </w:r>
    </w:p>
    <w:p w:rsidR="006312E8" w:rsidRPr="006312E8" w:rsidRDefault="000A5EA6" w:rsidP="0092471C">
      <w:pPr>
        <w:numPr>
          <w:ilvl w:val="0"/>
          <w:numId w:val="138"/>
        </w:numPr>
        <w:spacing w:after="0" w:line="240" w:lineRule="auto"/>
        <w:jc w:val="both"/>
        <w:rPr>
          <w:rFonts w:ascii="Arial" w:eastAsia="Calibri" w:hAnsi="Arial" w:cs="Arial"/>
          <w:b/>
          <w:color w:val="4F6228"/>
          <w:sz w:val="16"/>
          <w:szCs w:val="16"/>
        </w:rPr>
      </w:pPr>
      <w:hyperlink w:anchor="D0042013" w:history="1">
        <w:r w:rsidR="00904A9B">
          <w:rPr>
            <w:rFonts w:ascii="Arial" w:eastAsia="Calibri" w:hAnsi="Arial" w:cs="Arial"/>
            <w:b/>
            <w:color w:val="0000FF"/>
            <w:sz w:val="16"/>
            <w:szCs w:val="16"/>
            <w:u w:val="single"/>
          </w:rPr>
          <w:t>Directiva Nº 001</w:t>
        </w:r>
        <w:r w:rsidR="006312E8" w:rsidRPr="006312E8">
          <w:rPr>
            <w:rFonts w:ascii="Arial" w:eastAsia="Calibri" w:hAnsi="Arial" w:cs="Arial"/>
            <w:b/>
            <w:color w:val="0000FF"/>
            <w:sz w:val="16"/>
            <w:szCs w:val="16"/>
            <w:u w:val="single"/>
          </w:rPr>
          <w:t>-201</w:t>
        </w:r>
        <w:r w:rsidR="00904A9B">
          <w:rPr>
            <w:rFonts w:ascii="Arial" w:eastAsia="Calibri" w:hAnsi="Arial" w:cs="Arial"/>
            <w:b/>
            <w:color w:val="0000FF"/>
            <w:sz w:val="16"/>
            <w:szCs w:val="16"/>
            <w:u w:val="single"/>
          </w:rPr>
          <w:t>6</w:t>
        </w:r>
        <w:r w:rsidR="006312E8" w:rsidRPr="006312E8">
          <w:rPr>
            <w:rFonts w:ascii="Arial" w:eastAsia="Calibri" w:hAnsi="Arial" w:cs="Arial"/>
            <w:b/>
            <w:color w:val="0000FF"/>
            <w:sz w:val="16"/>
            <w:szCs w:val="16"/>
            <w:u w:val="single"/>
          </w:rPr>
          <w:t>/SBN</w:t>
        </w:r>
      </w:hyperlink>
      <w:r w:rsidR="006312E8" w:rsidRPr="006312E8">
        <w:rPr>
          <w:rFonts w:ascii="Arial" w:eastAsia="Calibri" w:hAnsi="Arial" w:cs="Arial"/>
          <w:b/>
          <w:color w:val="4F6228"/>
          <w:sz w:val="16"/>
          <w:szCs w:val="16"/>
        </w:rPr>
        <w:t xml:space="preserve">, , aprobada por Resolución Nº </w:t>
      </w:r>
      <w:r w:rsidR="00904A9B">
        <w:rPr>
          <w:rFonts w:ascii="Arial" w:eastAsia="Calibri" w:hAnsi="Arial" w:cs="Arial"/>
          <w:b/>
          <w:color w:val="4F6228"/>
          <w:sz w:val="16"/>
          <w:szCs w:val="16"/>
        </w:rPr>
        <w:t>048</w:t>
      </w:r>
      <w:r w:rsidR="006312E8" w:rsidRPr="006312E8">
        <w:rPr>
          <w:rFonts w:ascii="Arial" w:eastAsia="Calibri" w:hAnsi="Arial" w:cs="Arial"/>
          <w:b/>
          <w:color w:val="4F6228"/>
          <w:sz w:val="16"/>
          <w:szCs w:val="16"/>
        </w:rPr>
        <w:t>-201</w:t>
      </w:r>
      <w:r w:rsidR="00904A9B">
        <w:rPr>
          <w:rFonts w:ascii="Arial" w:eastAsia="Calibri" w:hAnsi="Arial" w:cs="Arial"/>
          <w:b/>
          <w:color w:val="4F6228"/>
          <w:sz w:val="16"/>
          <w:szCs w:val="16"/>
        </w:rPr>
        <w:t>6</w:t>
      </w:r>
      <w:r w:rsidR="006312E8" w:rsidRPr="006312E8">
        <w:rPr>
          <w:rFonts w:ascii="Arial" w:eastAsia="Calibri" w:hAnsi="Arial" w:cs="Arial"/>
          <w:b/>
          <w:color w:val="4F6228"/>
          <w:sz w:val="16"/>
          <w:szCs w:val="16"/>
        </w:rPr>
        <w:t xml:space="preserve">/SBN </w:t>
      </w:r>
    </w:p>
    <w:p w:rsidR="006312E8" w:rsidRPr="006312E8" w:rsidRDefault="006312E8" w:rsidP="006312E8">
      <w:pPr>
        <w:spacing w:after="0" w:line="240" w:lineRule="auto"/>
        <w:ind w:left="720"/>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75.- Del procedimiento de aprobación </w:t>
      </w:r>
    </w:p>
    <w:p w:rsidR="006312E8" w:rsidRPr="006312E8" w:rsidRDefault="006312E8" w:rsidP="006312E8">
      <w:pPr>
        <w:spacing w:after="0" w:line="240" w:lineRule="auto"/>
        <w:ind w:left="851" w:hanging="709"/>
        <w:jc w:val="both"/>
        <w:rPr>
          <w:rFonts w:ascii="Arial" w:eastAsia="Calibri" w:hAnsi="Arial" w:cs="Arial"/>
          <w:lang w:val="es-ES"/>
        </w:rPr>
      </w:pPr>
    </w:p>
    <w:p w:rsidR="006312E8" w:rsidRPr="006312E8" w:rsidRDefault="006312E8" w:rsidP="006312E8">
      <w:pPr>
        <w:spacing w:after="0" w:line="240" w:lineRule="auto"/>
        <w:ind w:left="851" w:hanging="709"/>
        <w:jc w:val="both"/>
        <w:rPr>
          <w:rFonts w:ascii="Arial" w:eastAsia="Calibri" w:hAnsi="Arial" w:cs="Arial"/>
          <w:lang w:val="es-ES"/>
        </w:rPr>
      </w:pPr>
      <w:r w:rsidRPr="006312E8">
        <w:rPr>
          <w:rFonts w:ascii="Arial" w:eastAsia="Calibri" w:hAnsi="Arial" w:cs="Arial"/>
          <w:lang w:val="es-ES"/>
        </w:rPr>
        <w:t xml:space="preserve">75.1 </w:t>
      </w:r>
      <w:r w:rsidRPr="006312E8">
        <w:rPr>
          <w:rFonts w:ascii="Arial" w:eastAsia="Calibri" w:hAnsi="Arial" w:cs="Arial"/>
          <w:lang w:val="es-ES"/>
        </w:rPr>
        <w:tab/>
        <w:t xml:space="preserve">La compraventa por subasta pública será aprobada por Resolución del Titular del Pliego sustentada en el respectivo Informe Técnico - Legal, previa opinión técnica de la SBN. La convocatoria de subasta pública deberá efectuarse a través de la página web de la SBN, sin perjuicio de las demás publicaciones que regule la directiva correspondiente. </w:t>
      </w:r>
    </w:p>
    <w:p w:rsidR="006312E8" w:rsidRPr="006312E8" w:rsidRDefault="006312E8" w:rsidP="006312E8">
      <w:pPr>
        <w:spacing w:after="0" w:line="240" w:lineRule="auto"/>
        <w:ind w:left="851" w:hanging="709"/>
        <w:jc w:val="both"/>
        <w:rPr>
          <w:rFonts w:ascii="Arial" w:eastAsia="Calibri" w:hAnsi="Arial" w:cs="Arial"/>
          <w:lang w:val="es-ES"/>
        </w:rPr>
      </w:pP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El precio base del predio a subastarse será en primera convocatoria el del valor comercial fijado en la tasación.</w:t>
      </w: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 xml:space="preserve"> </w:t>
      </w: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b/>
          <w:color w:val="4F6228"/>
          <w:sz w:val="16"/>
          <w:szCs w:val="16"/>
        </w:rPr>
        <w:t>CONCORDANCIAS:</w:t>
      </w:r>
    </w:p>
    <w:p w:rsidR="006312E8" w:rsidRPr="006312E8" w:rsidRDefault="000A5EA6" w:rsidP="0092471C">
      <w:pPr>
        <w:numPr>
          <w:ilvl w:val="0"/>
          <w:numId w:val="138"/>
        </w:numPr>
        <w:spacing w:after="0" w:line="240" w:lineRule="auto"/>
        <w:ind w:left="1560"/>
        <w:jc w:val="both"/>
        <w:rPr>
          <w:rFonts w:ascii="Arial" w:eastAsia="Calibri" w:hAnsi="Arial" w:cs="Arial"/>
          <w:b/>
          <w:color w:val="4F6228"/>
          <w:sz w:val="16"/>
          <w:szCs w:val="16"/>
        </w:rPr>
      </w:pPr>
      <w:hyperlink w:anchor="D0042013" w:history="1">
        <w:r w:rsidR="006312E8" w:rsidRPr="006312E8">
          <w:rPr>
            <w:rFonts w:ascii="Arial" w:eastAsia="Calibri" w:hAnsi="Arial" w:cs="Arial"/>
            <w:b/>
            <w:color w:val="0000FF"/>
            <w:sz w:val="16"/>
            <w:szCs w:val="16"/>
            <w:u w:val="single"/>
          </w:rPr>
          <w:t>Directiva Nº 00</w:t>
        </w:r>
        <w:r w:rsidR="00904A9B">
          <w:rPr>
            <w:rFonts w:ascii="Arial" w:eastAsia="Calibri" w:hAnsi="Arial" w:cs="Arial"/>
            <w:b/>
            <w:color w:val="0000FF"/>
            <w:sz w:val="16"/>
            <w:szCs w:val="16"/>
            <w:u w:val="single"/>
          </w:rPr>
          <w:t>1</w:t>
        </w:r>
        <w:r w:rsidR="006312E8" w:rsidRPr="006312E8">
          <w:rPr>
            <w:rFonts w:ascii="Arial" w:eastAsia="Calibri" w:hAnsi="Arial" w:cs="Arial"/>
            <w:b/>
            <w:color w:val="0000FF"/>
            <w:sz w:val="16"/>
            <w:szCs w:val="16"/>
            <w:u w:val="single"/>
          </w:rPr>
          <w:t>-201</w:t>
        </w:r>
        <w:r w:rsidR="00904A9B">
          <w:rPr>
            <w:rFonts w:ascii="Arial" w:eastAsia="Calibri" w:hAnsi="Arial" w:cs="Arial"/>
            <w:b/>
            <w:color w:val="0000FF"/>
            <w:sz w:val="16"/>
            <w:szCs w:val="16"/>
            <w:u w:val="single"/>
          </w:rPr>
          <w:t>6</w:t>
        </w:r>
        <w:r w:rsidR="006312E8" w:rsidRPr="006312E8">
          <w:rPr>
            <w:rFonts w:ascii="Arial" w:eastAsia="Calibri" w:hAnsi="Arial" w:cs="Arial"/>
            <w:b/>
            <w:color w:val="0000FF"/>
            <w:sz w:val="16"/>
            <w:szCs w:val="16"/>
            <w:u w:val="single"/>
          </w:rPr>
          <w:t>/SBN</w:t>
        </w:r>
      </w:hyperlink>
      <w:r w:rsidR="006312E8" w:rsidRPr="006312E8">
        <w:rPr>
          <w:rFonts w:ascii="Arial" w:eastAsia="Calibri" w:hAnsi="Arial" w:cs="Arial"/>
          <w:b/>
          <w:color w:val="4F6228"/>
          <w:sz w:val="16"/>
          <w:szCs w:val="16"/>
        </w:rPr>
        <w:t>, , aprobada por Resolución Nº 0</w:t>
      </w:r>
      <w:r w:rsidR="00904A9B">
        <w:rPr>
          <w:rFonts w:ascii="Arial" w:eastAsia="Calibri" w:hAnsi="Arial" w:cs="Arial"/>
          <w:b/>
          <w:color w:val="4F6228"/>
          <w:sz w:val="16"/>
          <w:szCs w:val="16"/>
        </w:rPr>
        <w:t>48</w:t>
      </w:r>
      <w:r w:rsidR="006312E8" w:rsidRPr="006312E8">
        <w:rPr>
          <w:rFonts w:ascii="Arial" w:eastAsia="Calibri" w:hAnsi="Arial" w:cs="Arial"/>
          <w:b/>
          <w:color w:val="4F6228"/>
          <w:sz w:val="16"/>
          <w:szCs w:val="16"/>
        </w:rPr>
        <w:t>-201</w:t>
      </w:r>
      <w:r w:rsidR="00904A9B">
        <w:rPr>
          <w:rFonts w:ascii="Arial" w:eastAsia="Calibri" w:hAnsi="Arial" w:cs="Arial"/>
          <w:b/>
          <w:color w:val="4F6228"/>
          <w:sz w:val="16"/>
          <w:szCs w:val="16"/>
        </w:rPr>
        <w:t>6</w:t>
      </w:r>
      <w:r w:rsidR="006312E8" w:rsidRPr="006312E8">
        <w:rPr>
          <w:rFonts w:ascii="Arial" w:eastAsia="Calibri" w:hAnsi="Arial" w:cs="Arial"/>
          <w:b/>
          <w:color w:val="4F6228"/>
          <w:sz w:val="16"/>
          <w:szCs w:val="16"/>
        </w:rPr>
        <w:t>/SBN</w:t>
      </w:r>
    </w:p>
    <w:p w:rsidR="006312E8" w:rsidRPr="006312E8" w:rsidRDefault="006312E8" w:rsidP="006312E8">
      <w:pPr>
        <w:spacing w:after="0" w:line="240" w:lineRule="auto"/>
        <w:ind w:left="851"/>
        <w:jc w:val="both"/>
        <w:rPr>
          <w:rFonts w:ascii="Arial" w:eastAsia="Calibri" w:hAnsi="Arial" w:cs="Arial"/>
          <w:lang w:val="es-ES"/>
        </w:rPr>
      </w:pPr>
    </w:p>
    <w:p w:rsidR="006312E8" w:rsidRPr="006312E8" w:rsidRDefault="006312E8" w:rsidP="006312E8">
      <w:pPr>
        <w:spacing w:after="0" w:line="240" w:lineRule="auto"/>
        <w:ind w:left="851" w:hanging="709"/>
        <w:jc w:val="both"/>
        <w:rPr>
          <w:rFonts w:ascii="Arial" w:eastAsia="Calibri" w:hAnsi="Arial" w:cs="Arial"/>
          <w:lang w:val="es-ES"/>
        </w:rPr>
      </w:pPr>
      <w:r w:rsidRPr="006312E8">
        <w:rPr>
          <w:rFonts w:ascii="Arial" w:eastAsia="Calibri" w:hAnsi="Arial" w:cs="Arial"/>
          <w:lang w:val="es-ES"/>
        </w:rPr>
        <w:t xml:space="preserve">75.2 </w:t>
      </w:r>
      <w:r w:rsidRPr="006312E8">
        <w:rPr>
          <w:rFonts w:ascii="Arial" w:eastAsia="Calibri" w:hAnsi="Arial" w:cs="Arial"/>
          <w:lang w:val="es-ES"/>
        </w:rPr>
        <w:tab/>
        <w:t xml:space="preserve">La solicitud de venta directa deberá ser presentada ante la entidad propietaria del bien o el Gobierno Regional, según corresponda, adjuntando los documentos que acrediten la causal respectiva, así como el Plano Perimétrico, de Ubicación y Memoria Descriptiva, y será aprobada por Resolución del Titular del Pliego sustentada en el respectivo Informe Técnico - Legal, previa opinión técnica de la SBN.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b/>
          <w:color w:val="4F6228"/>
          <w:sz w:val="16"/>
          <w:szCs w:val="16"/>
        </w:rPr>
        <w:t>CONCORDANCIAS:</w:t>
      </w:r>
    </w:p>
    <w:p w:rsidR="006312E8" w:rsidRPr="006312E8" w:rsidRDefault="000A5EA6" w:rsidP="0092471C">
      <w:pPr>
        <w:numPr>
          <w:ilvl w:val="0"/>
          <w:numId w:val="138"/>
        </w:numPr>
        <w:spacing w:after="0" w:line="240" w:lineRule="auto"/>
        <w:ind w:left="1560"/>
        <w:jc w:val="both"/>
        <w:rPr>
          <w:rFonts w:ascii="Arial" w:eastAsia="Calibri" w:hAnsi="Arial" w:cs="Arial"/>
          <w:b/>
          <w:color w:val="4F6228"/>
          <w:sz w:val="16"/>
          <w:szCs w:val="16"/>
        </w:rPr>
      </w:pPr>
      <w:hyperlink w:anchor="D0042013" w:history="1">
        <w:r w:rsidR="006312E8" w:rsidRPr="006312E8">
          <w:rPr>
            <w:rFonts w:ascii="Arial" w:eastAsia="Calibri" w:hAnsi="Arial" w:cs="Arial"/>
            <w:b/>
            <w:color w:val="0000FF"/>
            <w:sz w:val="16"/>
            <w:szCs w:val="16"/>
            <w:u w:val="single"/>
          </w:rPr>
          <w:t>Directiva Nº 00</w:t>
        </w:r>
        <w:r w:rsidR="00904A9B">
          <w:rPr>
            <w:rFonts w:ascii="Arial" w:eastAsia="Calibri" w:hAnsi="Arial" w:cs="Arial"/>
            <w:b/>
            <w:color w:val="0000FF"/>
            <w:sz w:val="16"/>
            <w:szCs w:val="16"/>
            <w:u w:val="single"/>
          </w:rPr>
          <w:t>1</w:t>
        </w:r>
        <w:r w:rsidR="006312E8" w:rsidRPr="006312E8">
          <w:rPr>
            <w:rFonts w:ascii="Arial" w:eastAsia="Calibri" w:hAnsi="Arial" w:cs="Arial"/>
            <w:b/>
            <w:color w:val="0000FF"/>
            <w:sz w:val="16"/>
            <w:szCs w:val="16"/>
            <w:u w:val="single"/>
          </w:rPr>
          <w:t>-201</w:t>
        </w:r>
        <w:r w:rsidR="00904A9B">
          <w:rPr>
            <w:rFonts w:ascii="Arial" w:eastAsia="Calibri" w:hAnsi="Arial" w:cs="Arial"/>
            <w:b/>
            <w:color w:val="0000FF"/>
            <w:sz w:val="16"/>
            <w:szCs w:val="16"/>
            <w:u w:val="single"/>
          </w:rPr>
          <w:t>6</w:t>
        </w:r>
        <w:r w:rsidR="006312E8" w:rsidRPr="006312E8">
          <w:rPr>
            <w:rFonts w:ascii="Arial" w:eastAsia="Calibri" w:hAnsi="Arial" w:cs="Arial"/>
            <w:b/>
            <w:color w:val="0000FF"/>
            <w:sz w:val="16"/>
            <w:szCs w:val="16"/>
            <w:u w:val="single"/>
          </w:rPr>
          <w:t>/SBN</w:t>
        </w:r>
      </w:hyperlink>
      <w:r w:rsidR="006312E8" w:rsidRPr="006312E8">
        <w:rPr>
          <w:rFonts w:ascii="Arial" w:eastAsia="Calibri" w:hAnsi="Arial" w:cs="Arial"/>
          <w:b/>
          <w:color w:val="4F6228"/>
          <w:sz w:val="16"/>
          <w:szCs w:val="16"/>
        </w:rPr>
        <w:t xml:space="preserve">, , aprobada por Resolución Nº </w:t>
      </w:r>
      <w:r w:rsidR="00904A9B">
        <w:rPr>
          <w:rFonts w:ascii="Arial" w:eastAsia="Calibri" w:hAnsi="Arial" w:cs="Arial"/>
          <w:b/>
          <w:color w:val="4F6228"/>
          <w:sz w:val="16"/>
          <w:szCs w:val="16"/>
        </w:rPr>
        <w:t>048</w:t>
      </w:r>
      <w:r w:rsidR="006312E8" w:rsidRPr="006312E8">
        <w:rPr>
          <w:rFonts w:ascii="Arial" w:eastAsia="Calibri" w:hAnsi="Arial" w:cs="Arial"/>
          <w:b/>
          <w:color w:val="4F6228"/>
          <w:sz w:val="16"/>
          <w:szCs w:val="16"/>
        </w:rPr>
        <w:t>-201</w:t>
      </w:r>
      <w:r w:rsidR="00904A9B">
        <w:rPr>
          <w:rFonts w:ascii="Arial" w:eastAsia="Calibri" w:hAnsi="Arial" w:cs="Arial"/>
          <w:b/>
          <w:color w:val="4F6228"/>
          <w:sz w:val="16"/>
          <w:szCs w:val="16"/>
        </w:rPr>
        <w:t>6</w:t>
      </w:r>
      <w:r w:rsidR="006312E8" w:rsidRPr="006312E8">
        <w:rPr>
          <w:rFonts w:ascii="Arial" w:eastAsia="Calibri" w:hAnsi="Arial" w:cs="Arial"/>
          <w:b/>
          <w:color w:val="4F6228"/>
          <w:sz w:val="16"/>
          <w:szCs w:val="16"/>
        </w:rPr>
        <w:t xml:space="preserve">/SBN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76.- De la subasta pública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La subasta pública será ejecutada por la SBN para lo cual las entidades remitirán la documentación que determine la SBN mediante Directiva. Excepcionalmente, la SBN podrá autorizar a que la subasta pública sea ejecutada por la entidad propietaria del bien.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Los Gobiernos Regionales podrán subastar sus bienes y aquellos de propiedad del Estado bajo su competencia.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124" w:hanging="2124"/>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6312E8" w:rsidP="0092471C">
      <w:pPr>
        <w:numPr>
          <w:ilvl w:val="0"/>
          <w:numId w:val="141"/>
        </w:num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Ley Nº 27728 (art.3)</w:t>
      </w:r>
    </w:p>
    <w:p w:rsidR="006312E8" w:rsidRPr="006312E8" w:rsidRDefault="000A5EA6" w:rsidP="0092471C">
      <w:pPr>
        <w:numPr>
          <w:ilvl w:val="0"/>
          <w:numId w:val="141"/>
        </w:numPr>
        <w:spacing w:after="0" w:line="240" w:lineRule="auto"/>
        <w:contextualSpacing/>
        <w:jc w:val="both"/>
        <w:rPr>
          <w:rFonts w:ascii="Arial" w:eastAsia="Calibri" w:hAnsi="Arial" w:cs="Arial"/>
          <w:lang w:val="es-ES"/>
        </w:rPr>
      </w:pPr>
      <w:hyperlink w:anchor="D0042013" w:history="1">
        <w:r w:rsidR="00904A9B">
          <w:rPr>
            <w:rFonts w:ascii="Arial" w:eastAsia="Calibri" w:hAnsi="Arial" w:cs="Arial"/>
            <w:b/>
            <w:color w:val="0000FF"/>
            <w:sz w:val="16"/>
            <w:szCs w:val="16"/>
            <w:u w:val="single"/>
          </w:rPr>
          <w:t>Directiva Nº 001</w:t>
        </w:r>
        <w:r w:rsidR="006312E8" w:rsidRPr="006312E8">
          <w:rPr>
            <w:rFonts w:ascii="Arial" w:eastAsia="Calibri" w:hAnsi="Arial" w:cs="Arial"/>
            <w:b/>
            <w:color w:val="0000FF"/>
            <w:sz w:val="16"/>
            <w:szCs w:val="16"/>
            <w:u w:val="single"/>
          </w:rPr>
          <w:t>-201</w:t>
        </w:r>
        <w:r w:rsidR="00904A9B">
          <w:rPr>
            <w:rFonts w:ascii="Arial" w:eastAsia="Calibri" w:hAnsi="Arial" w:cs="Arial"/>
            <w:b/>
            <w:color w:val="0000FF"/>
            <w:sz w:val="16"/>
            <w:szCs w:val="16"/>
            <w:u w:val="single"/>
          </w:rPr>
          <w:t>6</w:t>
        </w:r>
        <w:r w:rsidR="006312E8" w:rsidRPr="006312E8">
          <w:rPr>
            <w:rFonts w:ascii="Arial" w:eastAsia="Calibri" w:hAnsi="Arial" w:cs="Arial"/>
            <w:b/>
            <w:color w:val="0000FF"/>
            <w:sz w:val="16"/>
            <w:szCs w:val="16"/>
            <w:u w:val="single"/>
          </w:rPr>
          <w:t>/SBN,</w:t>
        </w:r>
      </w:hyperlink>
      <w:r w:rsidR="006312E8" w:rsidRPr="006312E8">
        <w:rPr>
          <w:rFonts w:ascii="Arial" w:eastAsia="Calibri" w:hAnsi="Arial" w:cs="Arial"/>
          <w:b/>
          <w:color w:val="4F6228"/>
          <w:sz w:val="16"/>
          <w:szCs w:val="16"/>
        </w:rPr>
        <w:t xml:space="preserve"> , aprobada por Resolución Nº 0</w:t>
      </w:r>
      <w:r w:rsidR="00904A9B">
        <w:rPr>
          <w:rFonts w:ascii="Arial" w:eastAsia="Calibri" w:hAnsi="Arial" w:cs="Arial"/>
          <w:b/>
          <w:color w:val="4F6228"/>
          <w:sz w:val="16"/>
          <w:szCs w:val="16"/>
        </w:rPr>
        <w:t>48</w:t>
      </w:r>
      <w:r w:rsidR="006312E8" w:rsidRPr="006312E8">
        <w:rPr>
          <w:rFonts w:ascii="Arial" w:eastAsia="Calibri" w:hAnsi="Arial" w:cs="Arial"/>
          <w:b/>
          <w:color w:val="4F6228"/>
          <w:sz w:val="16"/>
          <w:szCs w:val="16"/>
        </w:rPr>
        <w:t>-201</w:t>
      </w:r>
      <w:r w:rsidR="00904A9B">
        <w:rPr>
          <w:rFonts w:ascii="Arial" w:eastAsia="Calibri" w:hAnsi="Arial" w:cs="Arial"/>
          <w:b/>
          <w:color w:val="4F6228"/>
          <w:sz w:val="16"/>
          <w:szCs w:val="16"/>
        </w:rPr>
        <w:t>6</w:t>
      </w:r>
      <w:r w:rsidR="006312E8" w:rsidRPr="006312E8">
        <w:rPr>
          <w:rFonts w:ascii="Arial" w:eastAsia="Calibri" w:hAnsi="Arial" w:cs="Arial"/>
          <w:b/>
          <w:color w:val="4F6228"/>
          <w:sz w:val="16"/>
          <w:szCs w:val="16"/>
        </w:rPr>
        <w:t>/SBN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77.- De las causales para la venta directa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Por excepción, podrá procederse a la compraventa directa de bienes de dominio privado a favor de particulares, en cualquiera de los siguientes casos: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numPr>
          <w:ilvl w:val="0"/>
          <w:numId w:val="31"/>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Cuando colinde con el predio de propiedad del solicitante y cuyo único acceso directo sea a través de aquél.</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6312E8">
      <w:pPr>
        <w:numPr>
          <w:ilvl w:val="0"/>
          <w:numId w:val="31"/>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 xml:space="preserve"> Con la finalidad de ejecutar un proyecto de interés nacional o regional, cuya viabilidad haya sido calificada y aprobada por el sector o la entidad competente, acorde con la normatividad y políticas de Estado.</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31"/>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 xml:space="preserve"> Con posesión consolidada, encontrándose el área delimitada en su totalidad, con obras civiles, que esté siendo destinado para fines habitacionales, comerciales, industriales, educativos, recreacionales u otros, en la mayor parte del predio, compatibles con la zonificación vigente; y, además se cuente con los documentos que acrediten indubitablemente que el solicitante viene ejerciendo su posesión desde antes del 25 de noviembre de 2010, fecha de entrada en vigencia de la Ley Nº 29618, “Ley que establece la presunción de que el Estado es poseedor de los inmuebles de su propiedad y declara imprescriptibles los bienes inmuebles de dominio privado estatal”, siempre que no se encuentre comprendido en otros supuestos de compraventa regulada por normas especiales de competencia de otras entidades.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31"/>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 xml:space="preserve"> Cuya posesión no cumpla con las condiciones indicadas en el literal precedente, pero se ejercite efectivamente en el predio actividad posesoria, encontrándose el área delimitada en su totalidad por obra civil de carácter permanente, de tal forma que restrinja el acceso de manera efectiva de terceros distintos a quien ejerce su posesión y se cuente con los documentos que acrediten indubitablemente que el solicitante viene ejerciendo la protección, custodia y conservación del área para sí, con una antigüedad mayor a cinco (05) años cumplida al 25 de noviembre de 2010, siempre que no se encuentre comprendido en otros supuestos de compraventa regulada por normas especiales de competencia de otras entidades. </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31"/>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 xml:space="preserve">Cuando la dimensión de la totalidad del predio sea inferior a la del lote normativo previsto en el Certificado de Parámetros Urbanísticos y Edificatorios o en el Certificado de Zonificación y Vías vigente, en cuyo caso la venta procederá a favor de cualquiera de los propietarios colindantes. </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31"/>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Otros supuestos regulados por leyes especiales.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El cumplimiento de las causales no obliga por sí misma a la aprobación de la venta, pudiendo ser denegada por razones de interés público u otras situaciones de importancia colectiva.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Artículo modificado por el Artículo 1 del Decreto Supremo Nº 013-2012-VIVIENDA, publicado el 03 junio 2012</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124" w:hanging="2124"/>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92471C">
      <w:pPr>
        <w:numPr>
          <w:ilvl w:val="0"/>
          <w:numId w:val="141"/>
        </w:numPr>
        <w:spacing w:after="0" w:line="240" w:lineRule="auto"/>
        <w:jc w:val="both"/>
        <w:rPr>
          <w:rFonts w:ascii="Arial" w:eastAsia="Calibri" w:hAnsi="Arial" w:cs="Arial"/>
          <w:b/>
          <w:color w:val="4F6228"/>
          <w:sz w:val="16"/>
          <w:szCs w:val="16"/>
        </w:rPr>
      </w:pPr>
      <w:hyperlink w:anchor="LEY29618" w:history="1">
        <w:r w:rsidR="006312E8" w:rsidRPr="006312E8">
          <w:rPr>
            <w:rFonts w:ascii="Arial" w:eastAsia="Calibri" w:hAnsi="Arial" w:cs="Arial"/>
            <w:b/>
            <w:color w:val="0000FF"/>
            <w:sz w:val="16"/>
            <w:szCs w:val="16"/>
            <w:u w:val="single"/>
          </w:rPr>
          <w:t>Ley Nº 29618 (</w:t>
        </w:r>
      </w:hyperlink>
      <w:r w:rsidR="006312E8" w:rsidRPr="006312E8">
        <w:rPr>
          <w:rFonts w:ascii="Arial" w:eastAsia="Calibri" w:hAnsi="Arial" w:cs="Arial"/>
          <w:b/>
          <w:color w:val="4F6228"/>
          <w:sz w:val="16"/>
          <w:szCs w:val="16"/>
        </w:rPr>
        <w:t>Disposición Complementaria Transitoria)</w:t>
      </w:r>
    </w:p>
    <w:p w:rsidR="006312E8" w:rsidRPr="006312E8" w:rsidRDefault="000A5EA6" w:rsidP="0092471C">
      <w:pPr>
        <w:numPr>
          <w:ilvl w:val="0"/>
          <w:numId w:val="141"/>
        </w:numPr>
        <w:spacing w:after="0" w:line="240" w:lineRule="auto"/>
        <w:jc w:val="both"/>
        <w:rPr>
          <w:rFonts w:ascii="Arial" w:eastAsia="Calibri" w:hAnsi="Arial" w:cs="Arial"/>
          <w:b/>
          <w:color w:val="4F6228"/>
          <w:sz w:val="16"/>
          <w:szCs w:val="16"/>
        </w:rPr>
      </w:pPr>
      <w:hyperlink w:anchor="DS0112013" w:history="1">
        <w:r w:rsidR="006312E8" w:rsidRPr="006312E8">
          <w:rPr>
            <w:rFonts w:ascii="Arial" w:eastAsia="Calibri" w:hAnsi="Arial" w:cs="Arial"/>
            <w:b/>
            <w:color w:val="0000FF"/>
            <w:sz w:val="16"/>
            <w:szCs w:val="16"/>
            <w:u w:val="single"/>
          </w:rPr>
          <w:t>Decreto Supremo Nº 011-2013</w:t>
        </w:r>
      </w:hyperlink>
      <w:r w:rsidR="006312E8" w:rsidRPr="006312E8">
        <w:rPr>
          <w:rFonts w:ascii="Arial" w:eastAsia="Calibri" w:hAnsi="Arial" w:cs="Arial"/>
          <w:b/>
          <w:sz w:val="16"/>
          <w:szCs w:val="16"/>
        </w:rPr>
        <w:t>-</w:t>
      </w:r>
      <w:r w:rsidR="006312E8" w:rsidRPr="006312E8">
        <w:rPr>
          <w:rFonts w:ascii="Calibri" w:eastAsia="Calibri" w:hAnsi="Calibri" w:cs="Times New Roman"/>
          <w:b/>
          <w:color w:val="4F6228"/>
          <w:sz w:val="16"/>
          <w:szCs w:val="16"/>
        </w:rPr>
        <w:t>VIVIENDA (art. 6)</w:t>
      </w:r>
    </w:p>
    <w:p w:rsidR="006312E8" w:rsidRPr="006312E8" w:rsidRDefault="006312E8" w:rsidP="0092471C">
      <w:pPr>
        <w:numPr>
          <w:ilvl w:val="0"/>
          <w:numId w:val="141"/>
        </w:numPr>
        <w:spacing w:after="0" w:line="240" w:lineRule="auto"/>
        <w:contextualSpacing/>
        <w:jc w:val="both"/>
        <w:rPr>
          <w:rFonts w:ascii="Arial" w:eastAsia="Calibri" w:hAnsi="Arial" w:cs="Arial"/>
          <w:lang w:val="es-ES"/>
        </w:rPr>
      </w:pPr>
      <w:r w:rsidRPr="006312E8">
        <w:rPr>
          <w:rFonts w:ascii="Arial" w:eastAsia="Calibri" w:hAnsi="Arial" w:cs="Arial"/>
          <w:b/>
          <w:color w:val="4F6228"/>
          <w:sz w:val="16"/>
          <w:szCs w:val="16"/>
        </w:rPr>
        <w:t>Resolución Ministerial Nº 171-2011-MINCETUR-DM</w:t>
      </w:r>
    </w:p>
    <w:p w:rsidR="006312E8" w:rsidRPr="006312E8" w:rsidRDefault="006312E8" w:rsidP="0092471C">
      <w:pPr>
        <w:numPr>
          <w:ilvl w:val="0"/>
          <w:numId w:val="141"/>
        </w:numPr>
        <w:spacing w:after="0" w:line="240" w:lineRule="auto"/>
        <w:contextualSpacing/>
        <w:jc w:val="both"/>
        <w:rPr>
          <w:rFonts w:ascii="Arial" w:eastAsia="Calibri" w:hAnsi="Arial" w:cs="Arial"/>
          <w:lang w:val="es-ES"/>
        </w:rPr>
      </w:pPr>
      <w:r w:rsidRPr="006312E8">
        <w:rPr>
          <w:rFonts w:ascii="Arial" w:eastAsia="Calibri" w:hAnsi="Arial" w:cs="Arial"/>
          <w:b/>
          <w:color w:val="4F6228"/>
          <w:sz w:val="16"/>
          <w:szCs w:val="16"/>
        </w:rPr>
        <w:t>Resolución Ministerial Nº 369-2013-PRODUCE</w:t>
      </w:r>
    </w:p>
    <w:p w:rsidR="006312E8" w:rsidRPr="006312E8" w:rsidRDefault="000A5EA6" w:rsidP="0092471C">
      <w:pPr>
        <w:numPr>
          <w:ilvl w:val="0"/>
          <w:numId w:val="141"/>
        </w:numPr>
        <w:spacing w:after="0" w:line="240" w:lineRule="auto"/>
        <w:jc w:val="both"/>
        <w:rPr>
          <w:rFonts w:ascii="Arial" w:eastAsia="Calibri" w:hAnsi="Arial" w:cs="Arial"/>
          <w:b/>
          <w:color w:val="4F6228"/>
          <w:sz w:val="16"/>
          <w:szCs w:val="16"/>
        </w:rPr>
      </w:pPr>
      <w:hyperlink w:anchor="D0032011" w:history="1">
        <w:r w:rsidR="006312E8" w:rsidRPr="006312E8">
          <w:rPr>
            <w:rFonts w:ascii="Arial" w:eastAsia="Calibri" w:hAnsi="Arial" w:cs="Arial"/>
            <w:b/>
            <w:color w:val="0000FF"/>
            <w:sz w:val="16"/>
            <w:szCs w:val="16"/>
            <w:u w:val="single"/>
          </w:rPr>
          <w:t>Directiva Nº 003-2011-SBN,</w:t>
        </w:r>
      </w:hyperlink>
      <w:r w:rsidR="006312E8" w:rsidRPr="006312E8">
        <w:rPr>
          <w:rFonts w:ascii="Arial" w:eastAsia="Calibri" w:hAnsi="Arial" w:cs="Arial"/>
          <w:b/>
          <w:color w:val="4F6228"/>
          <w:sz w:val="16"/>
          <w:szCs w:val="16"/>
        </w:rPr>
        <w:t xml:space="preserve"> aprobada por Resolución Nº 020-2011-SBN (art. 2 numeral 2.1)</w:t>
      </w:r>
    </w:p>
    <w:p w:rsidR="006312E8" w:rsidRPr="006312E8" w:rsidRDefault="006312E8" w:rsidP="006312E8">
      <w:pPr>
        <w:spacing w:after="0" w:line="240" w:lineRule="auto"/>
        <w:ind w:left="644"/>
        <w:jc w:val="both"/>
        <w:rPr>
          <w:rFonts w:ascii="Arial" w:eastAsia="Calibri" w:hAnsi="Arial" w:cs="Arial"/>
          <w:b/>
          <w:color w:val="4F6228"/>
          <w:sz w:val="16"/>
          <w:szCs w:val="16"/>
        </w:rPr>
      </w:pPr>
    </w:p>
    <w:p w:rsidR="006312E8" w:rsidRPr="006312E8" w:rsidRDefault="006312E8" w:rsidP="006312E8">
      <w:pPr>
        <w:spacing w:after="0" w:line="240" w:lineRule="auto"/>
        <w:ind w:left="644"/>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77-A.- Sobre los bienes que tienen alguna restricción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adecuación de la fecha de posesión a lo establecido en la Ley Nº 29618 para solicitar la venta directa de inmuebles de dominio privado del Estado, regulada en los incisos c) y d) del artículo 77 del Reglamento, no comprende las posesiones que recaigan sobre áreas de dominio restringido y dominio público, las cuales se rigen por sus propias normas.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Artículo incorporado por el Artículo 2 del Decreto Supremo Nº 013-2012-VIVIENDA, publicado el 03 junio 2012.</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124" w:hanging="2124"/>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92471C">
      <w:pPr>
        <w:numPr>
          <w:ilvl w:val="0"/>
          <w:numId w:val="141"/>
        </w:numPr>
        <w:spacing w:after="0" w:line="240" w:lineRule="auto"/>
        <w:jc w:val="both"/>
        <w:rPr>
          <w:rFonts w:ascii="Arial" w:eastAsia="Calibri" w:hAnsi="Arial" w:cs="Arial"/>
          <w:b/>
          <w:color w:val="4F6228"/>
          <w:sz w:val="16"/>
          <w:szCs w:val="16"/>
        </w:rPr>
      </w:pPr>
      <w:hyperlink w:anchor="D0032011" w:history="1">
        <w:r w:rsidR="006312E8" w:rsidRPr="006312E8">
          <w:rPr>
            <w:rFonts w:ascii="Arial" w:eastAsia="Calibri" w:hAnsi="Arial" w:cs="Arial"/>
            <w:b/>
            <w:color w:val="0000FF"/>
            <w:sz w:val="16"/>
            <w:szCs w:val="16"/>
            <w:u w:val="single"/>
          </w:rPr>
          <w:t>Directiva Nº 003-2011-SBN</w:t>
        </w:r>
      </w:hyperlink>
      <w:r w:rsidR="006312E8" w:rsidRPr="006312E8">
        <w:rPr>
          <w:rFonts w:ascii="Arial" w:eastAsia="Calibri" w:hAnsi="Arial" w:cs="Arial"/>
          <w:b/>
          <w:color w:val="4F6228"/>
          <w:sz w:val="16"/>
          <w:szCs w:val="16"/>
        </w:rPr>
        <w:t>, aprobada por Resolución Nº 020-2011-SBN (art. 3 numeral 3.1 literal l)</w:t>
      </w:r>
    </w:p>
    <w:p w:rsidR="006312E8" w:rsidRPr="006312E8" w:rsidRDefault="006312E8" w:rsidP="006312E8">
      <w:pPr>
        <w:spacing w:after="0" w:line="240" w:lineRule="auto"/>
        <w:jc w:val="both"/>
        <w:rPr>
          <w:rFonts w:ascii="Arial" w:eastAsia="Calibri" w:hAnsi="Arial" w:cs="Arial"/>
          <w:b/>
          <w:i/>
          <w:color w:val="0F243E"/>
          <w:sz w:val="16"/>
          <w:szCs w:val="16"/>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78.- De la publicidad del procedimiento de compraventa directa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La solicitud de venta directa con el precio a valor comercial será publicada en el Diario Oficial El Peruano y en otro de mayor circulación de la Región en que se ubica el predio, así como en la página web de la SBN.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Los terceros que se consideren afectados en algún derecho real que tuvieran sobre el predio materia de venta, podrán formular oposición debidamente sustentada, dentro del plazo de 10 días hábiles de efectuada la última publicación.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En caso que se presentara oposición y fuere necesario algún descargo por parte del interesado en la compra del predio, será puesto en su conocimiento y con el descargo o sin él, se resolverá en la resolución de venta.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Artículo modificado por el Artículo 1 del Decreto Supremo Nº 013-2012-VIVIENDA, publicado el 03 junio 2012</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124" w:hanging="2124"/>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92471C">
      <w:pPr>
        <w:numPr>
          <w:ilvl w:val="0"/>
          <w:numId w:val="141"/>
        </w:numPr>
        <w:spacing w:after="0" w:line="240" w:lineRule="auto"/>
        <w:jc w:val="both"/>
        <w:rPr>
          <w:rFonts w:ascii="Arial" w:eastAsia="Calibri" w:hAnsi="Arial" w:cs="Arial"/>
          <w:b/>
          <w:color w:val="4F6228"/>
          <w:sz w:val="16"/>
          <w:szCs w:val="16"/>
        </w:rPr>
      </w:pPr>
      <w:hyperlink w:anchor="D0032011" w:history="1">
        <w:r w:rsidR="006312E8" w:rsidRPr="006312E8">
          <w:rPr>
            <w:rFonts w:ascii="Arial" w:eastAsia="Calibri" w:hAnsi="Arial" w:cs="Arial"/>
            <w:b/>
            <w:color w:val="0000FF"/>
            <w:sz w:val="16"/>
            <w:szCs w:val="16"/>
            <w:u w:val="single"/>
          </w:rPr>
          <w:t>Directiva Nº 003-2011-SBN,</w:t>
        </w:r>
      </w:hyperlink>
      <w:r w:rsidR="006312E8" w:rsidRPr="006312E8">
        <w:rPr>
          <w:rFonts w:ascii="Arial" w:eastAsia="Calibri" w:hAnsi="Arial" w:cs="Arial"/>
          <w:b/>
          <w:color w:val="4F6228"/>
          <w:sz w:val="16"/>
          <w:szCs w:val="16"/>
        </w:rPr>
        <w:t xml:space="preserve"> aprobada por Resolución Nº 020-2011-SBN (art. 3 numeral 3.10)</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78-A.- De la exigencia para el cumplimiento de la finalidad del proyecto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En caso que la venta sea efectuada para ejecutar un proyecto de interés nacional o regional previsto en el inciso b) del artículo 77 del presente Reglamento, en la resolución que aprueba la venta se debe precisar la finalidad para la cual se adjudica el bien y el plazo para que se ejecute, bajo sanción de reversión al dominio del Estado en caso de su incumplimiento, sin la obligación de reembolso alguno por el pago del precio</w:t>
      </w:r>
      <w:r w:rsidR="00725066">
        <w:rPr>
          <w:rFonts w:ascii="Arial" w:eastAsia="Calibri" w:hAnsi="Arial" w:cs="Arial"/>
          <w:lang w:val="es-ES"/>
        </w:rPr>
        <w:t xml:space="preserve"> o edificaciones efectuadas.</w:t>
      </w:r>
      <w:r w:rsidRPr="006312E8">
        <w:rPr>
          <w:rFonts w:ascii="Arial" w:eastAsia="Calibri" w:hAnsi="Arial" w:cs="Arial"/>
          <w:lang w:val="es-ES"/>
        </w:rPr>
        <w:t xml:space="preserve">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Artículo incorporado por el Artículo 2 del Decreto Supremo Nº 013-2012-VIVIENDA, publicado el 03 junio 2012.</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124" w:hanging="2124"/>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92471C">
      <w:pPr>
        <w:numPr>
          <w:ilvl w:val="0"/>
          <w:numId w:val="141"/>
        </w:numPr>
        <w:spacing w:after="0" w:line="240" w:lineRule="auto"/>
        <w:jc w:val="both"/>
        <w:rPr>
          <w:rFonts w:ascii="Arial" w:eastAsia="Calibri" w:hAnsi="Arial" w:cs="Arial"/>
          <w:b/>
          <w:color w:val="4F6228"/>
          <w:sz w:val="16"/>
          <w:szCs w:val="16"/>
        </w:rPr>
      </w:pPr>
      <w:hyperlink w:anchor="D0032011" w:history="1">
        <w:r w:rsidR="006312E8" w:rsidRPr="006312E8">
          <w:rPr>
            <w:rFonts w:ascii="Arial" w:eastAsia="Calibri" w:hAnsi="Arial" w:cs="Arial"/>
            <w:b/>
            <w:color w:val="0000FF"/>
            <w:sz w:val="16"/>
            <w:szCs w:val="16"/>
            <w:u w:val="single"/>
          </w:rPr>
          <w:t>Directiva Nº 003-2011-SBN</w:t>
        </w:r>
      </w:hyperlink>
      <w:r w:rsidR="006312E8" w:rsidRPr="006312E8">
        <w:rPr>
          <w:rFonts w:ascii="Arial" w:eastAsia="Calibri" w:hAnsi="Arial" w:cs="Arial"/>
          <w:b/>
          <w:color w:val="4F6228"/>
          <w:sz w:val="16"/>
          <w:szCs w:val="16"/>
        </w:rPr>
        <w:t>, aprobada por Resolución Nº 020-2011-SBN (art. 3 numeral 3.16)</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78-B.- De la mejora del precio de venta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En caso que el procedimiento de venta se sustente en los supuestos previstos en los incisos d) o e) del artículo 77 del presente Reglamento, cualquier interesado puede presentar su propuesta de compra mejorando el valor de venta y adjuntando una carta fianza de fiel cumplimiento de oferta por el 10% (diez por ciento) del valor de la misma, dentro del plazo de 10 días hábiles de efectuada la última publicación indicada en el artículo 78.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En el supuesto previsto en el inciso e) del artículo 77, la mejor oferta podrá ser efectuada sólo por el o los propietarios colindantes.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Evaluada la oferta, ésta se comunicará a la persona natural o jurídica que inició el trámite de venta, a efectos de que pueda igualar o mejorar la propuesta, lo que de ocurrir concluirá la etapa de fijación del precio de venta.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En caso de que el primer solicitante no iguale o mejore la propuesta, la venta se efectuará a favor del que mejoró la oferta.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Si la solicitud de venta directa se sustenta, de manera conjunta, en los supuestos previstos en los literales d) y e) del artículo 77, no procede adm</w:t>
      </w:r>
      <w:r w:rsidR="00725066">
        <w:rPr>
          <w:rFonts w:ascii="Arial" w:eastAsia="Calibri" w:hAnsi="Arial" w:cs="Arial"/>
          <w:lang w:val="es-ES"/>
        </w:rPr>
        <w:t>itir propuesta de mejor oferta.</w:t>
      </w:r>
      <w:r w:rsidRPr="006312E8">
        <w:rPr>
          <w:rFonts w:ascii="Arial" w:eastAsia="Calibri" w:hAnsi="Arial" w:cs="Arial"/>
          <w:lang w:val="es-ES"/>
        </w:rPr>
        <w:t xml:space="preserve">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Artículo incorporado por el Artículo 2 del Decreto Supremo Nº 013-2012-VIVIENDA, publicado el 03 junio 2012.</w:t>
      </w:r>
    </w:p>
    <w:p w:rsidR="006312E8" w:rsidRPr="006312E8" w:rsidRDefault="006312E8" w:rsidP="006312E8">
      <w:pPr>
        <w:spacing w:after="0" w:line="240" w:lineRule="auto"/>
        <w:ind w:left="2124" w:hanging="2124"/>
        <w:jc w:val="both"/>
        <w:rPr>
          <w:rFonts w:ascii="Arial" w:eastAsia="Calibri" w:hAnsi="Arial" w:cs="Arial"/>
          <w:b/>
          <w:color w:val="4F6228"/>
          <w:sz w:val="16"/>
          <w:szCs w:val="16"/>
        </w:rPr>
      </w:pPr>
    </w:p>
    <w:p w:rsidR="006312E8" w:rsidRPr="006312E8" w:rsidRDefault="006312E8" w:rsidP="006312E8">
      <w:pPr>
        <w:spacing w:after="0" w:line="240" w:lineRule="auto"/>
        <w:ind w:left="2124" w:hanging="2124"/>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92471C">
      <w:pPr>
        <w:numPr>
          <w:ilvl w:val="0"/>
          <w:numId w:val="141"/>
        </w:numPr>
        <w:spacing w:after="0" w:line="240" w:lineRule="auto"/>
        <w:jc w:val="both"/>
        <w:rPr>
          <w:rFonts w:ascii="Arial" w:eastAsia="Calibri" w:hAnsi="Arial" w:cs="Arial"/>
          <w:b/>
          <w:color w:val="4F6228"/>
          <w:sz w:val="16"/>
          <w:szCs w:val="16"/>
        </w:rPr>
      </w:pPr>
      <w:hyperlink w:anchor="D0032011" w:history="1">
        <w:r w:rsidR="006312E8" w:rsidRPr="006312E8">
          <w:rPr>
            <w:rFonts w:ascii="Arial" w:eastAsia="Calibri" w:hAnsi="Arial" w:cs="Arial"/>
            <w:b/>
            <w:color w:val="0000FF"/>
            <w:sz w:val="16"/>
            <w:szCs w:val="16"/>
            <w:u w:val="single"/>
          </w:rPr>
          <w:t>Directiva Nº 003-2011-SBN</w:t>
        </w:r>
      </w:hyperlink>
      <w:r w:rsidR="006312E8" w:rsidRPr="006312E8">
        <w:rPr>
          <w:rFonts w:ascii="Arial" w:eastAsia="Calibri" w:hAnsi="Arial" w:cs="Arial"/>
          <w:b/>
          <w:color w:val="4F6228"/>
          <w:sz w:val="16"/>
          <w:szCs w:val="16"/>
        </w:rPr>
        <w:t>, aprobada por Resolución Nº 020-2011-SBN (art. 3 numeral 3.10)</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78-C.- Del pago del precio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El precio de venta debe ser pagado íntegramente dentro de los treinta (30) días hábiles de notificada la resolución que aprueba la venta. En caso que el comprador comunique que el precio será cancelado con financiamiento bancario, puede otorgarse la minuta de compraventa con el adelanto de por lo menos el 20% del precio de venta, y las demás condiciones que se regulen en la directiva correspondiente.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En las ventas efectuadas por las causales contenidas en los literales c) y d) del artículo 77 del presente Reglamento, por excepción y en caso el predio adjudicado constituya única propiedad del adquirente en la jurisdicción en la que se ubica el citado predio, puede pactarse que el precio de venta sea pagado en armadas y en un plazo no mayor de tres (3) años, con aplicación de los respectivos intereses, según la Tasa Activa en Moneda Nacional - TAMN promedio, publicada por la Superintendencia de Banca y Seguros - SBS, en la fecha de adjudicación del predio. En ese supuesto, conforme a lo establecido en el artículo 1118 y siguientes del Código Civil, se entenderá constituida una hipoteca legal sobre el inmueble enajenado, la misma que será inscrita, de oficio, simultáneamente </w:t>
      </w:r>
      <w:r w:rsidR="002A2125">
        <w:rPr>
          <w:rFonts w:ascii="Arial" w:eastAsia="Calibri" w:hAnsi="Arial" w:cs="Arial"/>
          <w:lang w:val="es-ES"/>
        </w:rPr>
        <w:t>con el contrato de compraventa.</w:t>
      </w:r>
      <w:r w:rsidRPr="006312E8">
        <w:rPr>
          <w:rFonts w:ascii="Arial" w:eastAsia="Calibri" w:hAnsi="Arial" w:cs="Arial"/>
          <w:lang w:val="es-ES"/>
        </w:rPr>
        <w:t xml:space="preserve"> (*)</w:t>
      </w:r>
    </w:p>
    <w:p w:rsidR="006312E8" w:rsidRPr="006312E8" w:rsidRDefault="006312E8" w:rsidP="006312E8">
      <w:pPr>
        <w:spacing w:after="0" w:line="240" w:lineRule="auto"/>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Artículo incorporado por el Artículo 2 del Decreto Supremo Nº 013-2012-VIVIENDA, publicado el 03 junio 2012.</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124" w:hanging="2124"/>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92471C">
      <w:pPr>
        <w:numPr>
          <w:ilvl w:val="0"/>
          <w:numId w:val="141"/>
        </w:numPr>
        <w:spacing w:after="0" w:line="240" w:lineRule="auto"/>
        <w:jc w:val="both"/>
        <w:rPr>
          <w:rFonts w:ascii="Arial" w:eastAsia="Calibri" w:hAnsi="Arial" w:cs="Arial"/>
          <w:b/>
          <w:color w:val="4F6228"/>
          <w:sz w:val="16"/>
          <w:szCs w:val="16"/>
        </w:rPr>
      </w:pPr>
      <w:hyperlink w:anchor="D0032011" w:history="1">
        <w:r w:rsidR="006312E8" w:rsidRPr="006312E8">
          <w:rPr>
            <w:rFonts w:ascii="Arial" w:eastAsia="Calibri" w:hAnsi="Arial" w:cs="Arial"/>
            <w:b/>
            <w:color w:val="0000FF"/>
            <w:sz w:val="16"/>
            <w:szCs w:val="16"/>
            <w:u w:val="single"/>
          </w:rPr>
          <w:t>Directiva Nº 003-2011-SBN</w:t>
        </w:r>
      </w:hyperlink>
      <w:r w:rsidR="006312E8" w:rsidRPr="006312E8">
        <w:rPr>
          <w:rFonts w:ascii="Arial" w:eastAsia="Calibri" w:hAnsi="Arial" w:cs="Arial"/>
          <w:b/>
          <w:color w:val="4F6228"/>
          <w:sz w:val="16"/>
          <w:szCs w:val="16"/>
        </w:rPr>
        <w:t>, aprobada por Resolución Nº 020-2011-SBN (art. 3 numeral 3.22)</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79.- Del destino del precio de venta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Los ingresos obtenidos productos de la venta de los predios estatales, previa deducción de los gastos operativos y administrativos incurridos, se distribuye conforme a las normas legales previstas.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Cuando el predio es de propiedad del Estado administrado por el Gobierno Regional, se aplicará la siguiente distribución: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 xml:space="preserve">94% para el Tesoro Público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 xml:space="preserve">3% para el Gobierno Regional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 xml:space="preserve">3% para la SBN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Cuando el predio es de propiedad de una entidad, a falta de una norma legal expresa, se aplicará la siguiente distribución: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RANGO (en Nuevos Soles)</w:t>
      </w:r>
      <w:r w:rsidRPr="006312E8">
        <w:rPr>
          <w:rFonts w:ascii="Arial" w:eastAsia="Calibri" w:hAnsi="Arial" w:cs="Arial"/>
          <w:b/>
          <w:lang w:val="es-ES"/>
        </w:rPr>
        <w:tab/>
      </w:r>
      <w:r w:rsidRPr="006312E8">
        <w:rPr>
          <w:rFonts w:ascii="Arial" w:eastAsia="Calibri" w:hAnsi="Arial" w:cs="Arial"/>
          <w:b/>
          <w:lang w:val="es-ES"/>
        </w:rPr>
        <w:tab/>
      </w:r>
      <w:r w:rsidRPr="006312E8">
        <w:rPr>
          <w:rFonts w:ascii="Arial" w:eastAsia="Calibri" w:hAnsi="Arial" w:cs="Arial"/>
          <w:b/>
          <w:lang w:val="es-ES"/>
        </w:rPr>
        <w:tab/>
        <w:t>ENTIDAD PÚBLICA</w:t>
      </w:r>
      <w:r w:rsidRPr="006312E8">
        <w:rPr>
          <w:rFonts w:ascii="Arial" w:eastAsia="Calibri" w:hAnsi="Arial" w:cs="Arial"/>
          <w:b/>
          <w:lang w:val="es-ES"/>
        </w:rPr>
        <w:tab/>
      </w:r>
      <w:r w:rsidRPr="006312E8">
        <w:rPr>
          <w:rFonts w:ascii="Arial" w:eastAsia="Calibri" w:hAnsi="Arial" w:cs="Arial"/>
          <w:b/>
          <w:lang w:val="es-ES"/>
        </w:rPr>
        <w:tab/>
      </w:r>
      <w:r w:rsidRPr="006312E8">
        <w:rPr>
          <w:rFonts w:ascii="Arial" w:eastAsia="Calibri" w:hAnsi="Arial" w:cs="Arial"/>
          <w:b/>
          <w:lang w:val="es-ES"/>
        </w:rPr>
        <w:tab/>
        <w:t>SBN</w:t>
      </w:r>
      <w:r w:rsidRPr="006312E8">
        <w:rPr>
          <w:rFonts w:ascii="Arial" w:eastAsia="Calibri" w:hAnsi="Arial" w:cs="Arial"/>
          <w:b/>
          <w:lang w:val="es-ES"/>
        </w:rPr>
        <w:tab/>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Hasta 3 Millones</w:t>
      </w:r>
      <w:r w:rsidRPr="006312E8">
        <w:rPr>
          <w:rFonts w:ascii="Arial" w:eastAsia="Calibri" w:hAnsi="Arial" w:cs="Arial"/>
          <w:lang w:val="es-ES"/>
        </w:rPr>
        <w:tab/>
      </w:r>
      <w:r w:rsidRPr="006312E8">
        <w:rPr>
          <w:rFonts w:ascii="Arial" w:eastAsia="Calibri" w:hAnsi="Arial" w:cs="Arial"/>
          <w:lang w:val="es-ES"/>
        </w:rPr>
        <w:tab/>
      </w:r>
      <w:r w:rsidRPr="006312E8">
        <w:rPr>
          <w:rFonts w:ascii="Arial" w:eastAsia="Calibri" w:hAnsi="Arial" w:cs="Arial"/>
          <w:lang w:val="es-ES"/>
        </w:rPr>
        <w:tab/>
      </w:r>
      <w:r w:rsidRPr="006312E8">
        <w:rPr>
          <w:rFonts w:ascii="Arial" w:eastAsia="Calibri" w:hAnsi="Arial" w:cs="Arial"/>
          <w:lang w:val="es-ES"/>
        </w:rPr>
        <w:tab/>
      </w:r>
      <w:r w:rsidRPr="006312E8">
        <w:rPr>
          <w:rFonts w:ascii="Arial" w:eastAsia="Calibri" w:hAnsi="Arial" w:cs="Arial"/>
          <w:lang w:val="es-ES"/>
        </w:rPr>
        <w:tab/>
        <w:t>97.00%</w:t>
      </w:r>
      <w:r w:rsidRPr="006312E8">
        <w:rPr>
          <w:rFonts w:ascii="Arial" w:eastAsia="Calibri" w:hAnsi="Arial" w:cs="Arial"/>
          <w:lang w:val="es-ES"/>
        </w:rPr>
        <w:tab/>
      </w:r>
      <w:r w:rsidRPr="006312E8">
        <w:rPr>
          <w:rFonts w:ascii="Arial" w:eastAsia="Calibri" w:hAnsi="Arial" w:cs="Arial"/>
          <w:lang w:val="es-ES"/>
        </w:rPr>
        <w:tab/>
      </w:r>
      <w:r w:rsidRPr="006312E8">
        <w:rPr>
          <w:rFonts w:ascii="Arial" w:eastAsia="Calibri" w:hAnsi="Arial" w:cs="Arial"/>
          <w:lang w:val="es-ES"/>
        </w:rPr>
        <w:tab/>
        <w:t>3.00%</w:t>
      </w:r>
      <w:r w:rsidRPr="006312E8">
        <w:rPr>
          <w:rFonts w:ascii="Arial" w:eastAsia="Calibri" w:hAnsi="Arial" w:cs="Arial"/>
          <w:lang w:val="es-ES"/>
        </w:rPr>
        <w:tab/>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Más de 3 hasta 9 millones</w:t>
      </w:r>
      <w:r w:rsidRPr="006312E8">
        <w:rPr>
          <w:rFonts w:ascii="Arial" w:eastAsia="Calibri" w:hAnsi="Arial" w:cs="Arial"/>
          <w:lang w:val="es-ES"/>
        </w:rPr>
        <w:tab/>
      </w:r>
      <w:r w:rsidRPr="006312E8">
        <w:rPr>
          <w:rFonts w:ascii="Arial" w:eastAsia="Calibri" w:hAnsi="Arial" w:cs="Arial"/>
          <w:lang w:val="es-ES"/>
        </w:rPr>
        <w:tab/>
      </w:r>
      <w:r w:rsidRPr="006312E8">
        <w:rPr>
          <w:rFonts w:ascii="Arial" w:eastAsia="Calibri" w:hAnsi="Arial" w:cs="Arial"/>
          <w:lang w:val="es-ES"/>
        </w:rPr>
        <w:tab/>
      </w:r>
      <w:r w:rsidRPr="006312E8">
        <w:rPr>
          <w:rFonts w:ascii="Arial" w:eastAsia="Calibri" w:hAnsi="Arial" w:cs="Arial"/>
          <w:lang w:val="es-ES"/>
        </w:rPr>
        <w:tab/>
        <w:t>97.50%</w:t>
      </w:r>
      <w:r w:rsidRPr="006312E8">
        <w:rPr>
          <w:rFonts w:ascii="Arial" w:eastAsia="Calibri" w:hAnsi="Arial" w:cs="Arial"/>
          <w:lang w:val="es-ES"/>
        </w:rPr>
        <w:tab/>
      </w:r>
      <w:r w:rsidRPr="006312E8">
        <w:rPr>
          <w:rFonts w:ascii="Arial" w:eastAsia="Calibri" w:hAnsi="Arial" w:cs="Arial"/>
          <w:lang w:val="es-ES"/>
        </w:rPr>
        <w:tab/>
      </w:r>
      <w:r w:rsidRPr="006312E8">
        <w:rPr>
          <w:rFonts w:ascii="Arial" w:eastAsia="Calibri" w:hAnsi="Arial" w:cs="Arial"/>
          <w:lang w:val="es-ES"/>
        </w:rPr>
        <w:tab/>
        <w:t>2.50%</w:t>
      </w:r>
      <w:r w:rsidRPr="006312E8">
        <w:rPr>
          <w:rFonts w:ascii="Arial" w:eastAsia="Calibri" w:hAnsi="Arial" w:cs="Arial"/>
          <w:lang w:val="es-ES"/>
        </w:rPr>
        <w:tab/>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Más de 9 hasta 15 Millones</w:t>
      </w:r>
      <w:r w:rsidRPr="006312E8">
        <w:rPr>
          <w:rFonts w:ascii="Arial" w:eastAsia="Calibri" w:hAnsi="Arial" w:cs="Arial"/>
          <w:lang w:val="es-ES"/>
        </w:rPr>
        <w:tab/>
      </w:r>
      <w:r w:rsidRPr="006312E8">
        <w:rPr>
          <w:rFonts w:ascii="Arial" w:eastAsia="Calibri" w:hAnsi="Arial" w:cs="Arial"/>
          <w:lang w:val="es-ES"/>
        </w:rPr>
        <w:tab/>
      </w:r>
      <w:r w:rsidRPr="006312E8">
        <w:rPr>
          <w:rFonts w:ascii="Arial" w:eastAsia="Calibri" w:hAnsi="Arial" w:cs="Arial"/>
          <w:lang w:val="es-ES"/>
        </w:rPr>
        <w:tab/>
      </w:r>
      <w:r w:rsidRPr="006312E8">
        <w:rPr>
          <w:rFonts w:ascii="Arial" w:eastAsia="Calibri" w:hAnsi="Arial" w:cs="Arial"/>
          <w:lang w:val="es-ES"/>
        </w:rPr>
        <w:tab/>
        <w:t>98.00%</w:t>
      </w:r>
      <w:r w:rsidRPr="006312E8">
        <w:rPr>
          <w:rFonts w:ascii="Arial" w:eastAsia="Calibri" w:hAnsi="Arial" w:cs="Arial"/>
          <w:lang w:val="es-ES"/>
        </w:rPr>
        <w:tab/>
      </w:r>
      <w:r w:rsidRPr="006312E8">
        <w:rPr>
          <w:rFonts w:ascii="Arial" w:eastAsia="Calibri" w:hAnsi="Arial" w:cs="Arial"/>
          <w:lang w:val="es-ES"/>
        </w:rPr>
        <w:tab/>
      </w:r>
      <w:r w:rsidRPr="006312E8">
        <w:rPr>
          <w:rFonts w:ascii="Arial" w:eastAsia="Calibri" w:hAnsi="Arial" w:cs="Arial"/>
          <w:lang w:val="es-ES"/>
        </w:rPr>
        <w:tab/>
        <w:t>2.00%</w:t>
      </w:r>
      <w:r w:rsidRPr="006312E8">
        <w:rPr>
          <w:rFonts w:ascii="Arial" w:eastAsia="Calibri" w:hAnsi="Arial" w:cs="Arial"/>
          <w:lang w:val="es-ES"/>
        </w:rPr>
        <w:tab/>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Más de 15 Millones</w:t>
      </w:r>
      <w:r w:rsidRPr="006312E8">
        <w:rPr>
          <w:rFonts w:ascii="Arial" w:eastAsia="Calibri" w:hAnsi="Arial" w:cs="Arial"/>
          <w:lang w:val="es-ES"/>
        </w:rPr>
        <w:tab/>
      </w:r>
      <w:r w:rsidRPr="006312E8">
        <w:rPr>
          <w:rFonts w:ascii="Arial" w:eastAsia="Calibri" w:hAnsi="Arial" w:cs="Arial"/>
          <w:lang w:val="es-ES"/>
        </w:rPr>
        <w:tab/>
      </w:r>
      <w:r w:rsidRPr="006312E8">
        <w:rPr>
          <w:rFonts w:ascii="Arial" w:eastAsia="Calibri" w:hAnsi="Arial" w:cs="Arial"/>
          <w:lang w:val="es-ES"/>
        </w:rPr>
        <w:tab/>
      </w:r>
      <w:r w:rsidRPr="006312E8">
        <w:rPr>
          <w:rFonts w:ascii="Arial" w:eastAsia="Calibri" w:hAnsi="Arial" w:cs="Arial"/>
          <w:lang w:val="es-ES"/>
        </w:rPr>
        <w:tab/>
      </w:r>
      <w:r w:rsidRPr="006312E8">
        <w:rPr>
          <w:rFonts w:ascii="Arial" w:eastAsia="Calibri" w:hAnsi="Arial" w:cs="Arial"/>
          <w:lang w:val="es-ES"/>
        </w:rPr>
        <w:tab/>
        <w:t>99.00%</w:t>
      </w:r>
      <w:r w:rsidRPr="006312E8">
        <w:rPr>
          <w:rFonts w:ascii="Arial" w:eastAsia="Calibri" w:hAnsi="Arial" w:cs="Arial"/>
          <w:lang w:val="es-ES"/>
        </w:rPr>
        <w:tab/>
      </w:r>
      <w:r w:rsidRPr="006312E8">
        <w:rPr>
          <w:rFonts w:ascii="Arial" w:eastAsia="Calibri" w:hAnsi="Arial" w:cs="Arial"/>
          <w:lang w:val="es-ES"/>
        </w:rPr>
        <w:tab/>
      </w:r>
      <w:r w:rsidRPr="006312E8">
        <w:rPr>
          <w:rFonts w:ascii="Arial" w:eastAsia="Calibri" w:hAnsi="Arial" w:cs="Arial"/>
          <w:lang w:val="es-ES"/>
        </w:rPr>
        <w:tab/>
        <w:t>1.00%</w:t>
      </w:r>
      <w:r w:rsidRPr="006312E8">
        <w:rPr>
          <w:rFonts w:ascii="Arial" w:eastAsia="Calibri" w:hAnsi="Arial" w:cs="Arial"/>
          <w:lang w:val="es-ES"/>
        </w:rPr>
        <w:tab/>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Los recursos obtenidos por la Superintendencia Nacional de Bienes Estatales como producto de la venta de bienes inmuebles de propiedad del Estado y de las Entidades Públicas, serán destinados exclusivamente para el cumplimiento de sus fines públicos de responsabilidad estatal, de acuerdo a su competencia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Artículo modificado por el Artículo 1 del Decreto Supremo Nº 013-2012-VIVIENDA, publicado el 03 junio 2012</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80.- De la inscripción de la compraventa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La compraventa se formalizará e inscribirá en el Registro de Predios de acuerdo con las normas del derecho común, debiendo insertarse en la Escritura Pública respectiva la Resolución de aprobación.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bookmarkStart w:id="111" w:name="_Toc392856167"/>
      <w:bookmarkStart w:id="112" w:name="_Toc399335440"/>
      <w:r w:rsidRPr="006312E8">
        <w:rPr>
          <w:rFonts w:ascii="Arial" w:eastAsia="Calibri" w:hAnsi="Arial" w:cs="Arial"/>
          <w:b/>
          <w:lang w:val="es-ES"/>
        </w:rPr>
        <w:t>SUBCAPÍTULO XI</w:t>
      </w:r>
      <w:bookmarkEnd w:id="111"/>
      <w:bookmarkEnd w:id="112"/>
    </w:p>
    <w:p w:rsidR="006312E8" w:rsidRPr="006312E8" w:rsidRDefault="006312E8" w:rsidP="006312E8">
      <w:pPr>
        <w:spacing w:after="0" w:line="240" w:lineRule="auto"/>
        <w:jc w:val="center"/>
        <w:rPr>
          <w:rFonts w:ascii="Arial" w:eastAsia="Calibri" w:hAnsi="Arial" w:cs="Arial"/>
          <w:b/>
          <w:lang w:val="es-ES"/>
        </w:rPr>
      </w:pPr>
      <w:bookmarkStart w:id="113" w:name="_Toc392856168"/>
      <w:bookmarkStart w:id="114" w:name="_Toc399335441"/>
      <w:r w:rsidRPr="006312E8">
        <w:rPr>
          <w:rFonts w:ascii="Arial" w:eastAsia="Calibri" w:hAnsi="Arial" w:cs="Arial"/>
          <w:b/>
          <w:lang w:val="es-ES"/>
        </w:rPr>
        <w:t>PERMUTA</w:t>
      </w:r>
      <w:bookmarkEnd w:id="113"/>
      <w:bookmarkEnd w:id="114"/>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81.- Del procedimiento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La solicitud de permuta deberá ser presentada, por las personas naturales o jurídicas de derecho privado, ante la entidad propietaria del bien o el Gobierno Regional, según corresponda, debiendo acreditar el derecho de propiedad del bien ofrecido en permuta mediante los documentos que correspondan (copia literal de la partida registral respectiva, obtenida con una antigüedad no mayor a treinta -30- días de la fecha de expedición, documentos técnicos, entre otros), así como el valor comercial y, será aprobada, previa opinión técnica de la SBN, por Resolución del Titular del Pliego o de la máxima autoridad administrativa de la entidad, sustentada en un informe técnico - legal.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La permuta de bienes entre entidades públicas, será aprobada, previa opinión técnica de la SBN, por Resolución del Titular del Pliego o de la máxima autoridad administrativa de la entidad, sustentada en un informe técnico - legal.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124" w:hanging="2124"/>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6312E8" w:rsidP="0092471C">
      <w:pPr>
        <w:numPr>
          <w:ilvl w:val="0"/>
          <w:numId w:val="142"/>
        </w:num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Código Civil (art. 1602)</w:t>
      </w:r>
    </w:p>
    <w:p w:rsidR="006312E8" w:rsidRPr="006312E8" w:rsidRDefault="000A5EA6" w:rsidP="0092471C">
      <w:pPr>
        <w:numPr>
          <w:ilvl w:val="0"/>
          <w:numId w:val="142"/>
        </w:numPr>
        <w:spacing w:after="0" w:line="240" w:lineRule="auto"/>
        <w:jc w:val="both"/>
        <w:rPr>
          <w:rFonts w:ascii="Arial" w:eastAsia="Calibri" w:hAnsi="Arial" w:cs="Arial"/>
          <w:b/>
          <w:color w:val="4F6228"/>
          <w:sz w:val="16"/>
          <w:szCs w:val="16"/>
        </w:rPr>
      </w:pPr>
      <w:hyperlink w:anchor="D0022007" w:history="1">
        <w:r w:rsidR="006312E8" w:rsidRPr="006312E8">
          <w:rPr>
            <w:rFonts w:ascii="Arial" w:eastAsia="Calibri" w:hAnsi="Arial" w:cs="Arial"/>
            <w:b/>
            <w:color w:val="0000FF"/>
            <w:sz w:val="16"/>
            <w:szCs w:val="16"/>
            <w:u w:val="single"/>
          </w:rPr>
          <w:t>Directiva Nº 002-2007/SBN</w:t>
        </w:r>
      </w:hyperlink>
      <w:r w:rsidR="006312E8" w:rsidRPr="006312E8">
        <w:rPr>
          <w:rFonts w:ascii="Arial" w:eastAsia="Calibri" w:hAnsi="Arial" w:cs="Arial"/>
          <w:b/>
          <w:color w:val="4F6228"/>
          <w:sz w:val="16"/>
          <w:szCs w:val="16"/>
        </w:rPr>
        <w:t>, aprobada por Resolución Nº 018-2007/SBN (art. 1 numeral 1.5.1)</w:t>
      </w:r>
    </w:p>
    <w:p w:rsidR="006312E8" w:rsidRPr="006312E8" w:rsidRDefault="006312E8" w:rsidP="006312E8">
      <w:pPr>
        <w:spacing w:after="0" w:line="240" w:lineRule="auto"/>
        <w:ind w:left="720"/>
        <w:jc w:val="both"/>
        <w:rPr>
          <w:rFonts w:ascii="Arial" w:eastAsia="Calibri" w:hAnsi="Arial" w:cs="Arial"/>
          <w:b/>
          <w:color w:val="4F6228"/>
          <w:sz w:val="16"/>
          <w:szCs w:val="16"/>
        </w:rPr>
      </w:pPr>
    </w:p>
    <w:p w:rsidR="005A311B" w:rsidRDefault="005A311B" w:rsidP="006312E8">
      <w:pPr>
        <w:spacing w:after="0" w:line="240" w:lineRule="auto"/>
        <w:jc w:val="both"/>
        <w:rPr>
          <w:rFonts w:ascii="Arial" w:eastAsia="Calibri" w:hAnsi="Arial" w:cs="Arial"/>
          <w:b/>
          <w:lang w:val="es-ES"/>
        </w:rPr>
      </w:pPr>
    </w:p>
    <w:p w:rsidR="005A311B" w:rsidRDefault="005A311B"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82.- De la diferencia de valores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El Estado no podrá recibir en permuta un inmueble cuyo valor comercial sea inferior en un 20% al valor comercial del bien que entrega. Cuando el valor comercial del inmueble que entrega el Estado sea superior al que recibe, pero inferior al porcentaje antes indicado, el solicitante deberá pagar en dinero la diferencia de valor. Dicho pago constituye ingresos propios de la entidad propietaria, debiendo efectuarse el depósito respectivo dentro de los diez (10) días naturales contados a partir de la respectiva comunicación.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En caso de ser mayor el valor comercial del bien que recibe el Estado, éste compensará en dinero la diferencia. Para lo cual, antes de la aprobación de la permuta deberá contarse con la disponibilidad presupuestaria respectiva.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Tratándose de la permuta entre entidades públicas, de existir diferencia entre el valor comercial de los inmuebles a permutar, operará la compensación de la diferencia.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124" w:hanging="2124"/>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92471C">
      <w:pPr>
        <w:numPr>
          <w:ilvl w:val="0"/>
          <w:numId w:val="142"/>
        </w:numPr>
        <w:spacing w:after="0" w:line="240" w:lineRule="auto"/>
        <w:jc w:val="both"/>
        <w:rPr>
          <w:rFonts w:ascii="Arial" w:eastAsia="Calibri" w:hAnsi="Arial" w:cs="Arial"/>
          <w:b/>
          <w:color w:val="4F6228"/>
          <w:sz w:val="16"/>
          <w:szCs w:val="16"/>
        </w:rPr>
      </w:pPr>
      <w:hyperlink w:anchor="D0022007" w:history="1">
        <w:r w:rsidR="006312E8" w:rsidRPr="006312E8">
          <w:rPr>
            <w:rFonts w:ascii="Arial" w:eastAsia="Calibri" w:hAnsi="Arial" w:cs="Arial"/>
            <w:b/>
            <w:color w:val="0000FF"/>
            <w:sz w:val="16"/>
            <w:szCs w:val="16"/>
            <w:u w:val="single"/>
          </w:rPr>
          <w:t>Directiva Nº 002-2007/SBN,</w:t>
        </w:r>
      </w:hyperlink>
      <w:r w:rsidR="006312E8" w:rsidRPr="006312E8">
        <w:rPr>
          <w:rFonts w:ascii="Arial" w:eastAsia="Calibri" w:hAnsi="Arial" w:cs="Arial"/>
          <w:b/>
          <w:color w:val="4F6228"/>
          <w:sz w:val="16"/>
          <w:szCs w:val="16"/>
        </w:rPr>
        <w:t xml:space="preserve"> aprobada por Resolución Nº 018-2007/SBN (art. 1 numerales 1.5.2, 1.5.3, 1.5.4)</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83.- De la permuta de aportes reglamentarios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Excepcionalmente, el Estado representado por la SBN, previa conversión del bien al dominio privado del Estado, podrá entregar en permuta terrenos calificados como aportes reglamentarios siempre que éstos se encuentren bajo su administración directa.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bookmarkStart w:id="115" w:name="_Toc392856169"/>
      <w:bookmarkStart w:id="116" w:name="_Toc399335442"/>
      <w:r w:rsidRPr="006312E8">
        <w:rPr>
          <w:rFonts w:ascii="Arial" w:eastAsia="Calibri" w:hAnsi="Arial" w:cs="Arial"/>
          <w:b/>
          <w:lang w:val="es-ES"/>
        </w:rPr>
        <w:t>SUBCAPÍTULO XII</w:t>
      </w:r>
      <w:bookmarkEnd w:id="115"/>
      <w:bookmarkEnd w:id="116"/>
    </w:p>
    <w:p w:rsidR="006312E8" w:rsidRPr="006312E8" w:rsidRDefault="006312E8" w:rsidP="006312E8">
      <w:pPr>
        <w:spacing w:after="0" w:line="240" w:lineRule="auto"/>
        <w:jc w:val="center"/>
        <w:rPr>
          <w:rFonts w:ascii="Arial" w:eastAsia="Calibri" w:hAnsi="Arial" w:cs="Arial"/>
          <w:b/>
          <w:lang w:val="es-ES"/>
        </w:rPr>
      </w:pPr>
      <w:bookmarkStart w:id="117" w:name="_Toc392856170"/>
      <w:bookmarkStart w:id="118" w:name="_Toc399335443"/>
      <w:r w:rsidRPr="006312E8">
        <w:rPr>
          <w:rFonts w:ascii="Arial" w:eastAsia="Calibri" w:hAnsi="Arial" w:cs="Arial"/>
          <w:b/>
          <w:lang w:val="es-ES"/>
        </w:rPr>
        <w:t>SUPERFICIE</w:t>
      </w:r>
      <w:bookmarkEnd w:id="117"/>
      <w:bookmarkEnd w:id="118"/>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84.- De las modalidades de constitución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constitución del derecho de superficie de predios del Estado y de las entidades públicas puede efectuarse por convocatoria pública o de manera directa.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constitución directa del derecho de superficie puede efectuarse siempre y cuando exista posesión mayor a dos (2) años o se sustente en proyectos de inversión orientados a un aprovechamiento económico y social del bien, debidamente aprobados por la entidad competente.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Entre entidades públicas conformantes del Sistema Nacional de Bienes Estatales podrá otorgarse el derecho de superficie de manera directa para el cumplimiento de la función pública que tienen asignada o el desarrollo de programas o proyectos de inversión vinculados a sus respectivas competencias.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Artículo modificado por el Artículo 1 del Decreto Supremo Nº 009-2013-VIVIENDA, publicado el 01 agosto 2013</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124" w:hanging="2124"/>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6312E8" w:rsidP="0092471C">
      <w:pPr>
        <w:numPr>
          <w:ilvl w:val="0"/>
          <w:numId w:val="143"/>
        </w:numPr>
        <w:spacing w:after="0" w:line="240" w:lineRule="auto"/>
        <w:jc w:val="both"/>
        <w:rPr>
          <w:rFonts w:ascii="Arial" w:eastAsia="Calibri" w:hAnsi="Arial" w:cs="Arial"/>
          <w:color w:val="4F6228"/>
          <w:sz w:val="16"/>
          <w:szCs w:val="16"/>
        </w:rPr>
      </w:pPr>
      <w:r w:rsidRPr="006312E8">
        <w:rPr>
          <w:rFonts w:ascii="Arial" w:eastAsia="Calibri" w:hAnsi="Arial" w:cs="Arial"/>
          <w:b/>
          <w:color w:val="4F6228"/>
          <w:sz w:val="16"/>
          <w:szCs w:val="16"/>
        </w:rPr>
        <w:t xml:space="preserve">Código Civil (art. 1030) </w:t>
      </w:r>
    </w:p>
    <w:p w:rsidR="006312E8" w:rsidRPr="006312E8" w:rsidRDefault="000A5EA6" w:rsidP="0092471C">
      <w:pPr>
        <w:numPr>
          <w:ilvl w:val="0"/>
          <w:numId w:val="143"/>
        </w:numPr>
        <w:spacing w:after="0" w:line="240" w:lineRule="auto"/>
        <w:jc w:val="both"/>
        <w:rPr>
          <w:rFonts w:ascii="Arial" w:eastAsia="Calibri" w:hAnsi="Arial" w:cs="Arial"/>
          <w:color w:val="4F6228"/>
          <w:sz w:val="16"/>
          <w:szCs w:val="16"/>
        </w:rPr>
      </w:pPr>
      <w:hyperlink w:anchor="D0072004" w:history="1">
        <w:r w:rsidR="006312E8" w:rsidRPr="006312E8">
          <w:rPr>
            <w:rFonts w:ascii="Arial" w:eastAsia="Calibri" w:hAnsi="Arial" w:cs="Arial"/>
            <w:b/>
            <w:color w:val="0000FF"/>
            <w:sz w:val="16"/>
            <w:szCs w:val="16"/>
            <w:u w:val="single"/>
          </w:rPr>
          <w:t>Directiva Nº 007-2004/SBN</w:t>
        </w:r>
      </w:hyperlink>
      <w:r w:rsidR="006312E8" w:rsidRPr="006312E8">
        <w:rPr>
          <w:rFonts w:ascii="Arial" w:eastAsia="Calibri" w:hAnsi="Arial" w:cs="Arial"/>
          <w:b/>
          <w:color w:val="4F6228"/>
          <w:sz w:val="16"/>
          <w:szCs w:val="16"/>
        </w:rPr>
        <w:t>, aprobada por Resolución Nº 028-20047SBN (art. 2 numeral 2.1)</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85.- Del procedimiento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La solicitud de constitución del derecho de superficie deberá ser presentada ante la entidad propietaria del bien o el Gobierno Regional, según corresponda, y será aprobada por Resolución de la máxima autoridad administrativa de la entidad, sustentada en un informe técnico - legal, previa opinión técnica de la SBN.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124" w:hanging="2124"/>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92471C">
      <w:pPr>
        <w:numPr>
          <w:ilvl w:val="0"/>
          <w:numId w:val="143"/>
        </w:numPr>
        <w:spacing w:after="0" w:line="240" w:lineRule="auto"/>
        <w:jc w:val="both"/>
        <w:rPr>
          <w:rFonts w:ascii="Arial" w:eastAsia="Calibri" w:hAnsi="Arial" w:cs="Arial"/>
          <w:color w:val="4F6228"/>
          <w:sz w:val="16"/>
          <w:szCs w:val="16"/>
        </w:rPr>
      </w:pPr>
      <w:hyperlink w:anchor="D0072004" w:history="1">
        <w:r w:rsidR="006312E8" w:rsidRPr="006312E8">
          <w:rPr>
            <w:rFonts w:ascii="Arial" w:eastAsia="Calibri" w:hAnsi="Arial" w:cs="Arial"/>
            <w:b/>
            <w:color w:val="0000FF"/>
            <w:sz w:val="16"/>
            <w:szCs w:val="16"/>
            <w:u w:val="single"/>
          </w:rPr>
          <w:t>Directiva Nº 007-2004/SBN</w:t>
        </w:r>
      </w:hyperlink>
      <w:r w:rsidR="006312E8" w:rsidRPr="006312E8">
        <w:rPr>
          <w:rFonts w:ascii="Arial" w:eastAsia="Calibri" w:hAnsi="Arial" w:cs="Arial"/>
          <w:b/>
          <w:color w:val="4F6228"/>
          <w:sz w:val="16"/>
          <w:szCs w:val="16"/>
        </w:rPr>
        <w:t>, aprobada por Resolución Nº 028-20047SBN (art. 2 numeral 2.1)</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86.- De la extinción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El derecho de superficie se extingue por: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3679F2">
      <w:pPr>
        <w:numPr>
          <w:ilvl w:val="0"/>
          <w:numId w:val="32"/>
        </w:numPr>
        <w:spacing w:after="0" w:line="240" w:lineRule="auto"/>
        <w:contextualSpacing/>
        <w:jc w:val="both"/>
        <w:rPr>
          <w:rFonts w:ascii="Arial" w:eastAsia="Calibri" w:hAnsi="Arial" w:cs="Arial"/>
          <w:lang w:val="es-ES"/>
        </w:rPr>
      </w:pPr>
      <w:r w:rsidRPr="006312E8">
        <w:rPr>
          <w:rFonts w:ascii="Arial" w:eastAsia="Calibri" w:hAnsi="Arial" w:cs="Arial"/>
          <w:lang w:val="es-ES"/>
        </w:rPr>
        <w:t>Transcurso del plazo pactado.</w:t>
      </w:r>
    </w:p>
    <w:p w:rsidR="006312E8" w:rsidRPr="006312E8" w:rsidRDefault="006312E8" w:rsidP="003679F2">
      <w:pPr>
        <w:spacing w:after="0" w:line="240" w:lineRule="auto"/>
        <w:ind w:left="1065"/>
        <w:contextualSpacing/>
        <w:jc w:val="both"/>
        <w:rPr>
          <w:rFonts w:ascii="Arial" w:eastAsia="Calibri" w:hAnsi="Arial" w:cs="Arial"/>
          <w:lang w:val="es-ES"/>
        </w:rPr>
      </w:pPr>
    </w:p>
    <w:p w:rsidR="006312E8" w:rsidRPr="006312E8" w:rsidRDefault="006312E8" w:rsidP="003679F2">
      <w:pPr>
        <w:numPr>
          <w:ilvl w:val="0"/>
          <w:numId w:val="32"/>
        </w:num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Renuncia del superficiario.</w:t>
      </w:r>
    </w:p>
    <w:p w:rsidR="006312E8" w:rsidRPr="006312E8" w:rsidRDefault="006312E8" w:rsidP="003679F2">
      <w:pPr>
        <w:spacing w:after="0" w:line="240" w:lineRule="auto"/>
        <w:ind w:left="720"/>
        <w:contextualSpacing/>
        <w:rPr>
          <w:rFonts w:ascii="Arial" w:eastAsia="Calibri" w:hAnsi="Arial" w:cs="Arial"/>
          <w:lang w:val="es-ES"/>
        </w:rPr>
      </w:pPr>
    </w:p>
    <w:p w:rsidR="006312E8" w:rsidRPr="006312E8" w:rsidRDefault="006312E8" w:rsidP="003679F2">
      <w:pPr>
        <w:numPr>
          <w:ilvl w:val="0"/>
          <w:numId w:val="32"/>
        </w:num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Incumplimiento de la finalidad en el plazo pactado, sea total o parcial. </w:t>
      </w:r>
    </w:p>
    <w:p w:rsidR="006312E8" w:rsidRPr="006312E8" w:rsidRDefault="006312E8" w:rsidP="003679F2">
      <w:pPr>
        <w:spacing w:after="0" w:line="240" w:lineRule="auto"/>
        <w:ind w:left="720"/>
        <w:contextualSpacing/>
        <w:rPr>
          <w:rFonts w:ascii="Arial" w:eastAsia="Calibri" w:hAnsi="Arial" w:cs="Arial"/>
          <w:lang w:val="es-ES"/>
        </w:rPr>
      </w:pPr>
    </w:p>
    <w:p w:rsidR="006312E8" w:rsidRPr="006312E8" w:rsidRDefault="006312E8" w:rsidP="003679F2">
      <w:pPr>
        <w:numPr>
          <w:ilvl w:val="0"/>
          <w:numId w:val="32"/>
        </w:num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Resolución del contrato respectivo por cualquier causal. </w:t>
      </w:r>
    </w:p>
    <w:p w:rsidR="006312E8" w:rsidRPr="006312E8" w:rsidRDefault="006312E8" w:rsidP="003679F2">
      <w:pPr>
        <w:spacing w:after="0" w:line="240" w:lineRule="auto"/>
        <w:ind w:left="720"/>
        <w:contextualSpacing/>
        <w:rPr>
          <w:rFonts w:ascii="Arial" w:eastAsia="Calibri" w:hAnsi="Arial" w:cs="Arial"/>
          <w:lang w:val="es-ES"/>
        </w:rPr>
      </w:pPr>
    </w:p>
    <w:p w:rsidR="006312E8" w:rsidRPr="006312E8" w:rsidRDefault="006312E8" w:rsidP="003679F2">
      <w:pPr>
        <w:numPr>
          <w:ilvl w:val="0"/>
          <w:numId w:val="32"/>
        </w:num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La destrucción del proyecto siempre que el superficiario manifieste incapacidad o falta de voluntad para sustituir la obra destruida.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Para el caso de los literales c), d) y e), la entidad titular del terreno o el Gobierno Regional podrán resolver de pleno derecho y unilateralmente el contrato sin necesidad de declaración judicial previa. Asimismo, en cualquier caso de extinción, el superficiario está obligado a restituir el bien sin derecho a reembolso alguno por cualquier concepto.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124" w:hanging="2124"/>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92471C">
      <w:pPr>
        <w:numPr>
          <w:ilvl w:val="0"/>
          <w:numId w:val="143"/>
        </w:numPr>
        <w:spacing w:after="0" w:line="240" w:lineRule="auto"/>
        <w:jc w:val="both"/>
        <w:rPr>
          <w:rFonts w:ascii="Arial" w:eastAsia="Calibri" w:hAnsi="Arial" w:cs="Arial"/>
          <w:color w:val="4F6228"/>
          <w:sz w:val="16"/>
          <w:szCs w:val="16"/>
        </w:rPr>
      </w:pPr>
      <w:hyperlink w:anchor="D0072004" w:history="1">
        <w:r w:rsidR="006312E8" w:rsidRPr="006312E8">
          <w:rPr>
            <w:rFonts w:ascii="Arial" w:eastAsia="Calibri" w:hAnsi="Arial" w:cs="Arial"/>
            <w:b/>
            <w:color w:val="0000FF"/>
            <w:sz w:val="16"/>
            <w:szCs w:val="16"/>
            <w:u w:val="single"/>
          </w:rPr>
          <w:t>Directiva Nº 007-2004/SBN</w:t>
        </w:r>
      </w:hyperlink>
      <w:r w:rsidR="006312E8" w:rsidRPr="006312E8">
        <w:rPr>
          <w:rFonts w:ascii="Arial" w:eastAsia="Calibri" w:hAnsi="Arial" w:cs="Arial"/>
          <w:b/>
          <w:color w:val="4F6228"/>
          <w:sz w:val="16"/>
          <w:szCs w:val="16"/>
        </w:rPr>
        <w:t>, aprobada por Resolución Nº 028-20047SBN (art. 2 numeral 2.1.15)</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87.- De las causales de suspensión del contrato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Son causales de suspensión del contrato: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3679F2">
      <w:pPr>
        <w:numPr>
          <w:ilvl w:val="0"/>
          <w:numId w:val="33"/>
        </w:numPr>
        <w:spacing w:after="0" w:line="240" w:lineRule="auto"/>
        <w:ind w:left="1066"/>
        <w:contextualSpacing/>
        <w:jc w:val="both"/>
        <w:rPr>
          <w:rFonts w:ascii="Arial" w:eastAsia="Calibri" w:hAnsi="Arial" w:cs="Arial"/>
          <w:lang w:val="es-ES"/>
        </w:rPr>
      </w:pPr>
      <w:r w:rsidRPr="006312E8">
        <w:rPr>
          <w:rFonts w:ascii="Arial" w:eastAsia="Calibri" w:hAnsi="Arial" w:cs="Arial"/>
          <w:lang w:val="es-ES"/>
        </w:rPr>
        <w:t>Caso fortuito o fuerza mayor que impidan la ejecución del proyecto.</w:t>
      </w:r>
    </w:p>
    <w:p w:rsidR="006312E8" w:rsidRPr="006312E8" w:rsidRDefault="006312E8" w:rsidP="003679F2">
      <w:pPr>
        <w:spacing w:after="0" w:line="240" w:lineRule="auto"/>
        <w:ind w:left="1066"/>
        <w:contextualSpacing/>
        <w:jc w:val="both"/>
        <w:rPr>
          <w:rFonts w:ascii="Arial" w:eastAsia="Calibri" w:hAnsi="Arial" w:cs="Arial"/>
          <w:lang w:val="es-ES"/>
        </w:rPr>
      </w:pPr>
    </w:p>
    <w:p w:rsidR="006312E8" w:rsidRPr="006312E8" w:rsidRDefault="006312E8" w:rsidP="003679F2">
      <w:pPr>
        <w:numPr>
          <w:ilvl w:val="0"/>
          <w:numId w:val="33"/>
        </w:numPr>
        <w:spacing w:after="0" w:line="240" w:lineRule="auto"/>
        <w:ind w:left="1066"/>
        <w:contextualSpacing/>
        <w:jc w:val="both"/>
        <w:rPr>
          <w:rFonts w:ascii="Arial" w:eastAsia="Calibri" w:hAnsi="Arial" w:cs="Arial"/>
          <w:lang w:val="es-ES"/>
        </w:rPr>
      </w:pPr>
      <w:r w:rsidRPr="006312E8">
        <w:rPr>
          <w:rFonts w:ascii="Arial" w:eastAsia="Calibri" w:hAnsi="Arial" w:cs="Arial"/>
          <w:lang w:val="es-ES"/>
        </w:rPr>
        <w:t xml:space="preserve">La destrucción parcial del proyecto por causa no imputable al superficiario, de modo que resulte imposible su utilización por período determinado en los términos señalados en el Contrato.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124" w:hanging="2124"/>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92471C">
      <w:pPr>
        <w:numPr>
          <w:ilvl w:val="0"/>
          <w:numId w:val="143"/>
        </w:numPr>
        <w:spacing w:after="0" w:line="240" w:lineRule="auto"/>
        <w:jc w:val="both"/>
        <w:rPr>
          <w:rFonts w:ascii="Arial" w:eastAsia="Calibri" w:hAnsi="Arial" w:cs="Arial"/>
          <w:color w:val="4F6228"/>
          <w:sz w:val="16"/>
          <w:szCs w:val="16"/>
        </w:rPr>
      </w:pPr>
      <w:hyperlink w:anchor="D0072004" w:history="1">
        <w:r w:rsidR="006312E8" w:rsidRPr="006312E8">
          <w:rPr>
            <w:rFonts w:ascii="Arial" w:eastAsia="Calibri" w:hAnsi="Arial" w:cs="Arial"/>
            <w:b/>
            <w:color w:val="0000FF"/>
            <w:sz w:val="16"/>
            <w:szCs w:val="16"/>
            <w:u w:val="single"/>
          </w:rPr>
          <w:t>Directiva Nº 007-2004/SBN</w:t>
        </w:r>
      </w:hyperlink>
      <w:r w:rsidR="006312E8" w:rsidRPr="006312E8">
        <w:rPr>
          <w:rFonts w:ascii="Arial" w:eastAsia="Calibri" w:hAnsi="Arial" w:cs="Arial"/>
          <w:b/>
          <w:color w:val="4F6228"/>
          <w:sz w:val="16"/>
          <w:szCs w:val="16"/>
        </w:rPr>
        <w:t>, aprobada por Resolución Nº 028-20047SBN (art. 2 numeral 2.1.16)</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88.- Del destino del producto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Los ingresos obtenidos producto de la constitución del derecho de superficie, previa deducción de los gastos operativos y administrativos incurridos, se distribuye de la siguiente manera: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numPr>
          <w:ilvl w:val="0"/>
          <w:numId w:val="34"/>
        </w:numPr>
        <w:spacing w:after="0" w:line="240" w:lineRule="auto"/>
        <w:contextualSpacing/>
        <w:jc w:val="both"/>
        <w:rPr>
          <w:rFonts w:ascii="Arial" w:eastAsia="Calibri" w:hAnsi="Arial" w:cs="Arial"/>
          <w:lang w:val="es-ES"/>
        </w:rPr>
      </w:pPr>
      <w:r w:rsidRPr="006312E8">
        <w:rPr>
          <w:rFonts w:ascii="Arial" w:eastAsia="Calibri" w:hAnsi="Arial" w:cs="Arial"/>
          <w:lang w:val="es-ES"/>
        </w:rPr>
        <w:t>Cuando el predio es de propiedad de la entidad:</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r>
      <w:r w:rsidRPr="006312E8">
        <w:rPr>
          <w:rFonts w:ascii="Arial" w:eastAsia="Calibri" w:hAnsi="Arial" w:cs="Arial"/>
          <w:lang w:val="es-ES"/>
        </w:rPr>
        <w:tab/>
        <w:t xml:space="preserve">97% para la entidad propietaria, y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r>
      <w:r w:rsidRPr="006312E8">
        <w:rPr>
          <w:rFonts w:ascii="Arial" w:eastAsia="Calibri" w:hAnsi="Arial" w:cs="Arial"/>
          <w:lang w:val="es-ES"/>
        </w:rPr>
        <w:tab/>
        <w:t xml:space="preserve">3% para la SBN. </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6312E8">
      <w:pPr>
        <w:numPr>
          <w:ilvl w:val="0"/>
          <w:numId w:val="34"/>
        </w:numPr>
        <w:spacing w:after="0" w:line="240" w:lineRule="auto"/>
        <w:contextualSpacing/>
        <w:jc w:val="both"/>
        <w:rPr>
          <w:rFonts w:ascii="Arial" w:eastAsia="Calibri" w:hAnsi="Arial" w:cs="Arial"/>
          <w:lang w:val="es-ES"/>
        </w:rPr>
      </w:pPr>
      <w:r w:rsidRPr="006312E8">
        <w:rPr>
          <w:rFonts w:ascii="Arial" w:eastAsia="Calibri" w:hAnsi="Arial" w:cs="Arial"/>
          <w:lang w:val="es-ES"/>
        </w:rPr>
        <w:t>Cuando el predio es de propiedad del Estado administrado por el Gobierno Regional:</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6312E8">
      <w:pPr>
        <w:spacing w:after="0" w:line="240" w:lineRule="auto"/>
        <w:ind w:left="708" w:firstLine="708"/>
        <w:jc w:val="both"/>
        <w:rPr>
          <w:rFonts w:ascii="Arial" w:eastAsia="Calibri" w:hAnsi="Arial" w:cs="Arial"/>
          <w:lang w:val="es-ES"/>
        </w:rPr>
      </w:pPr>
      <w:r w:rsidRPr="006312E8">
        <w:rPr>
          <w:rFonts w:ascii="Arial" w:eastAsia="Calibri" w:hAnsi="Arial" w:cs="Arial"/>
          <w:lang w:val="es-ES"/>
        </w:rPr>
        <w:t xml:space="preserve">50% para el Gobierno Regional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r>
      <w:r w:rsidRPr="006312E8">
        <w:rPr>
          <w:rFonts w:ascii="Arial" w:eastAsia="Calibri" w:hAnsi="Arial" w:cs="Arial"/>
          <w:lang w:val="es-ES"/>
        </w:rPr>
        <w:tab/>
        <w:t xml:space="preserve">47% para el Tesoro Público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r>
      <w:r w:rsidRPr="006312E8">
        <w:rPr>
          <w:rFonts w:ascii="Arial" w:eastAsia="Calibri" w:hAnsi="Arial" w:cs="Arial"/>
          <w:lang w:val="es-ES"/>
        </w:rPr>
        <w:tab/>
        <w:t xml:space="preserve">3% para la SBN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numPr>
          <w:ilvl w:val="0"/>
          <w:numId w:val="34"/>
        </w:num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Cuando el predio es de propiedad del Estado administrado por la SBN: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r>
      <w:r w:rsidRPr="006312E8">
        <w:rPr>
          <w:rFonts w:ascii="Arial" w:eastAsia="Calibri" w:hAnsi="Arial" w:cs="Arial"/>
          <w:lang w:val="es-ES"/>
        </w:rPr>
        <w:tab/>
        <w:t xml:space="preserve">50% para la SBN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r>
      <w:r w:rsidRPr="006312E8">
        <w:rPr>
          <w:rFonts w:ascii="Arial" w:eastAsia="Calibri" w:hAnsi="Arial" w:cs="Arial"/>
          <w:lang w:val="es-ES"/>
        </w:rPr>
        <w:tab/>
        <w:t xml:space="preserve">50% para el Tesoro Público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bookmarkStart w:id="119" w:name="_Toc392856171"/>
      <w:bookmarkStart w:id="120" w:name="_Toc399335444"/>
      <w:r w:rsidRPr="006312E8">
        <w:rPr>
          <w:rFonts w:ascii="Arial" w:eastAsia="Calibri" w:hAnsi="Arial" w:cs="Arial"/>
          <w:b/>
          <w:lang w:val="es-ES"/>
        </w:rPr>
        <w:t>SUBCAPÍTULO XIII</w:t>
      </w:r>
      <w:bookmarkEnd w:id="119"/>
      <w:bookmarkEnd w:id="120"/>
    </w:p>
    <w:p w:rsidR="006312E8" w:rsidRPr="006312E8" w:rsidRDefault="006312E8" w:rsidP="006312E8">
      <w:pPr>
        <w:spacing w:after="0" w:line="240" w:lineRule="auto"/>
        <w:jc w:val="center"/>
        <w:rPr>
          <w:rFonts w:ascii="Arial" w:eastAsia="Calibri" w:hAnsi="Arial" w:cs="Arial"/>
          <w:b/>
          <w:lang w:val="es-ES"/>
        </w:rPr>
      </w:pPr>
      <w:bookmarkStart w:id="121" w:name="_Toc392856172"/>
      <w:bookmarkStart w:id="122" w:name="_Toc399335445"/>
      <w:r w:rsidRPr="006312E8">
        <w:rPr>
          <w:rFonts w:ascii="Arial" w:eastAsia="Calibri" w:hAnsi="Arial" w:cs="Arial"/>
          <w:b/>
          <w:lang w:val="es-ES"/>
        </w:rPr>
        <w:t>USUFRUCTO</w:t>
      </w:r>
      <w:bookmarkEnd w:id="121"/>
      <w:bookmarkEnd w:id="122"/>
    </w:p>
    <w:p w:rsidR="003679F2" w:rsidRDefault="003679F2"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89.- De las modalidades de constitución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La constitución del derecho de usufructo puede efectuarse por convocatoria pública o de manera directa.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La constitución directa del derecho de usufructo puede efectuarse siempre y cuando exista posesión mayor a dos (2) años o se sustente en proyectos de inversión orientados a un aprovechamiento económico y social del bien, debidamente aprobados por la entidad competente.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6312E8" w:rsidP="0092471C">
      <w:pPr>
        <w:numPr>
          <w:ilvl w:val="0"/>
          <w:numId w:val="143"/>
        </w:num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Código Civil (arts. 999, 1002, 1009, 1013, 1014, 1015)</w:t>
      </w:r>
    </w:p>
    <w:p w:rsidR="006312E8" w:rsidRPr="006312E8" w:rsidRDefault="000A5EA6" w:rsidP="0092471C">
      <w:pPr>
        <w:numPr>
          <w:ilvl w:val="0"/>
          <w:numId w:val="143"/>
        </w:numPr>
        <w:spacing w:after="0" w:line="240" w:lineRule="auto"/>
        <w:jc w:val="both"/>
        <w:rPr>
          <w:rFonts w:ascii="Arial" w:eastAsia="Calibri" w:hAnsi="Arial" w:cs="Arial"/>
          <w:b/>
          <w:color w:val="4F6228"/>
          <w:sz w:val="16"/>
          <w:szCs w:val="16"/>
        </w:rPr>
      </w:pPr>
      <w:hyperlink w:anchor="D0042011" w:history="1">
        <w:r w:rsidR="006312E8" w:rsidRPr="006312E8">
          <w:rPr>
            <w:rFonts w:ascii="Arial" w:eastAsia="Calibri" w:hAnsi="Arial" w:cs="Arial"/>
            <w:b/>
            <w:color w:val="0000FF"/>
            <w:sz w:val="16"/>
            <w:szCs w:val="16"/>
            <w:u w:val="single"/>
          </w:rPr>
          <w:t>Directiva Nº 004-2011/SBN</w:t>
        </w:r>
      </w:hyperlink>
      <w:r w:rsidR="006312E8" w:rsidRPr="006312E8">
        <w:rPr>
          <w:rFonts w:ascii="Arial" w:eastAsia="Calibri" w:hAnsi="Arial" w:cs="Arial"/>
          <w:b/>
          <w:color w:val="4F6228"/>
          <w:sz w:val="16"/>
          <w:szCs w:val="16"/>
        </w:rPr>
        <w:t>, aprobada por Resolución Nº 044-2011-SBN (art. 2)</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90.- Del procedimiento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La solicitud de constitución del derecho de usufructo deberá ser presentada ante la entidad competente, y será aprobada por Resolución de la autoridad administrativa de la entidad, que estará sustentada en un informe técnico - legal, previa opinión técnica de la SBN. </w:t>
      </w:r>
    </w:p>
    <w:p w:rsid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92471C">
      <w:pPr>
        <w:numPr>
          <w:ilvl w:val="0"/>
          <w:numId w:val="143"/>
        </w:numPr>
        <w:spacing w:after="0" w:line="240" w:lineRule="auto"/>
        <w:jc w:val="both"/>
        <w:rPr>
          <w:rFonts w:ascii="Arial" w:eastAsia="Calibri" w:hAnsi="Arial" w:cs="Arial"/>
          <w:b/>
          <w:color w:val="4F6228"/>
          <w:sz w:val="16"/>
          <w:szCs w:val="16"/>
        </w:rPr>
      </w:pPr>
      <w:hyperlink w:anchor="D0042011" w:history="1">
        <w:r w:rsidR="006312E8" w:rsidRPr="006312E8">
          <w:rPr>
            <w:rFonts w:ascii="Arial" w:eastAsia="Calibri" w:hAnsi="Arial" w:cs="Arial"/>
            <w:b/>
            <w:color w:val="0000FF"/>
            <w:sz w:val="16"/>
            <w:szCs w:val="16"/>
            <w:u w:val="single"/>
          </w:rPr>
          <w:t>Directiva Nº 004-2011/SBN</w:t>
        </w:r>
      </w:hyperlink>
      <w:r w:rsidR="006312E8" w:rsidRPr="006312E8">
        <w:rPr>
          <w:rFonts w:ascii="Arial" w:eastAsia="Calibri" w:hAnsi="Arial" w:cs="Arial"/>
          <w:b/>
          <w:color w:val="4F6228"/>
          <w:sz w:val="16"/>
          <w:szCs w:val="16"/>
        </w:rPr>
        <w:t>, aprobada por Resolución Nº 044-2011-SBN (art. 3)</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91.- Del destino de la contraprestación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Los ingresos obtenidos por el usufructo constituido se distribuirán conforme a lo establecido en el artículo 88 del presente Reglamento.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bookmarkStart w:id="123" w:name="_Toc392856173"/>
      <w:bookmarkStart w:id="124" w:name="_Toc399335446"/>
      <w:r w:rsidRPr="006312E8">
        <w:rPr>
          <w:rFonts w:ascii="Arial" w:eastAsia="Calibri" w:hAnsi="Arial" w:cs="Arial"/>
          <w:b/>
          <w:lang w:val="es-ES"/>
        </w:rPr>
        <w:t>SUBCAPÍTULO XIV</w:t>
      </w:r>
      <w:bookmarkEnd w:id="123"/>
      <w:bookmarkEnd w:id="124"/>
    </w:p>
    <w:p w:rsidR="006312E8" w:rsidRPr="006312E8" w:rsidRDefault="006312E8" w:rsidP="006312E8">
      <w:pPr>
        <w:spacing w:after="0" w:line="240" w:lineRule="auto"/>
        <w:jc w:val="center"/>
        <w:rPr>
          <w:rFonts w:ascii="Arial" w:eastAsia="Calibri" w:hAnsi="Arial" w:cs="Arial"/>
          <w:b/>
          <w:lang w:val="es-ES"/>
        </w:rPr>
      </w:pPr>
      <w:bookmarkStart w:id="125" w:name="_Toc392856174"/>
      <w:bookmarkStart w:id="126" w:name="_Toc399335447"/>
      <w:r w:rsidRPr="006312E8">
        <w:rPr>
          <w:rFonts w:ascii="Arial" w:eastAsia="Calibri" w:hAnsi="Arial" w:cs="Arial"/>
          <w:b/>
          <w:lang w:val="es-ES"/>
        </w:rPr>
        <w:t>ARRENDAMIENTO</w:t>
      </w:r>
      <w:bookmarkEnd w:id="125"/>
      <w:bookmarkEnd w:id="126"/>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92.- De las modalidades de entrega en arrendamiento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El arrendamiento de predios estatales se efectuará mediante convocatoria pública y, excepcionalmente, de manera directa.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92471C">
      <w:pPr>
        <w:numPr>
          <w:ilvl w:val="0"/>
          <w:numId w:val="143"/>
        </w:numPr>
        <w:spacing w:after="0" w:line="240" w:lineRule="auto"/>
        <w:jc w:val="both"/>
        <w:rPr>
          <w:rFonts w:ascii="Arial" w:eastAsia="Calibri" w:hAnsi="Arial" w:cs="Arial"/>
          <w:b/>
          <w:color w:val="4F6228"/>
          <w:sz w:val="16"/>
          <w:szCs w:val="16"/>
        </w:rPr>
      </w:pPr>
      <w:hyperlink w:anchor="D0062007" w:history="1">
        <w:r w:rsidR="006312E8" w:rsidRPr="006312E8">
          <w:rPr>
            <w:rFonts w:ascii="Arial" w:eastAsia="Calibri" w:hAnsi="Arial" w:cs="Arial"/>
            <w:b/>
            <w:color w:val="0000FF"/>
            <w:sz w:val="16"/>
            <w:szCs w:val="16"/>
            <w:u w:val="single"/>
          </w:rPr>
          <w:t>Directiva Nº 00</w:t>
        </w:r>
        <w:r w:rsidR="00904A9B">
          <w:rPr>
            <w:rFonts w:ascii="Arial" w:eastAsia="Calibri" w:hAnsi="Arial" w:cs="Arial"/>
            <w:b/>
            <w:color w:val="0000FF"/>
            <w:sz w:val="16"/>
            <w:szCs w:val="16"/>
            <w:u w:val="single"/>
          </w:rPr>
          <w:t>5</w:t>
        </w:r>
        <w:r w:rsidR="006312E8" w:rsidRPr="006312E8">
          <w:rPr>
            <w:rFonts w:ascii="Arial" w:eastAsia="Calibri" w:hAnsi="Arial" w:cs="Arial"/>
            <w:b/>
            <w:color w:val="0000FF"/>
            <w:sz w:val="16"/>
            <w:szCs w:val="16"/>
            <w:u w:val="single"/>
          </w:rPr>
          <w:t>-20</w:t>
        </w:r>
        <w:r w:rsidR="00904A9B">
          <w:rPr>
            <w:rFonts w:ascii="Arial" w:eastAsia="Calibri" w:hAnsi="Arial" w:cs="Arial"/>
            <w:b/>
            <w:color w:val="0000FF"/>
            <w:sz w:val="16"/>
            <w:szCs w:val="16"/>
            <w:u w:val="single"/>
          </w:rPr>
          <w:t>1</w:t>
        </w:r>
        <w:r w:rsidR="00994010">
          <w:rPr>
            <w:rFonts w:ascii="Arial" w:eastAsia="Calibri" w:hAnsi="Arial" w:cs="Arial"/>
            <w:b/>
            <w:color w:val="0000FF"/>
            <w:sz w:val="16"/>
            <w:szCs w:val="16"/>
            <w:u w:val="single"/>
          </w:rPr>
          <w:t>6</w:t>
        </w:r>
        <w:r w:rsidR="006312E8" w:rsidRPr="006312E8">
          <w:rPr>
            <w:rFonts w:ascii="Arial" w:eastAsia="Calibri" w:hAnsi="Arial" w:cs="Arial"/>
            <w:b/>
            <w:color w:val="0000FF"/>
            <w:sz w:val="16"/>
            <w:szCs w:val="16"/>
            <w:u w:val="single"/>
          </w:rPr>
          <w:t>/SBN</w:t>
        </w:r>
      </w:hyperlink>
      <w:r w:rsidR="006312E8" w:rsidRPr="006312E8">
        <w:rPr>
          <w:rFonts w:ascii="Arial" w:eastAsia="Calibri" w:hAnsi="Arial" w:cs="Arial"/>
          <w:b/>
          <w:color w:val="4F6228"/>
          <w:sz w:val="16"/>
          <w:szCs w:val="16"/>
        </w:rPr>
        <w:t>, aprobada por Resolución Nº 0</w:t>
      </w:r>
      <w:r w:rsidR="00994010">
        <w:rPr>
          <w:rFonts w:ascii="Arial" w:eastAsia="Calibri" w:hAnsi="Arial" w:cs="Arial"/>
          <w:b/>
          <w:color w:val="4F6228"/>
          <w:sz w:val="16"/>
          <w:szCs w:val="16"/>
        </w:rPr>
        <w:t>68</w:t>
      </w:r>
      <w:r w:rsidR="006312E8" w:rsidRPr="006312E8">
        <w:rPr>
          <w:rFonts w:ascii="Arial" w:eastAsia="Calibri" w:hAnsi="Arial" w:cs="Arial"/>
          <w:b/>
          <w:color w:val="4F6228"/>
          <w:sz w:val="16"/>
          <w:szCs w:val="16"/>
        </w:rPr>
        <w:t>-20</w:t>
      </w:r>
      <w:r w:rsidR="00994010">
        <w:rPr>
          <w:rFonts w:ascii="Arial" w:eastAsia="Calibri" w:hAnsi="Arial" w:cs="Arial"/>
          <w:b/>
          <w:color w:val="4F6228"/>
          <w:sz w:val="16"/>
          <w:szCs w:val="16"/>
        </w:rPr>
        <w:t>16/</w:t>
      </w:r>
      <w:r w:rsidR="006312E8" w:rsidRPr="006312E8">
        <w:rPr>
          <w:rFonts w:ascii="Arial" w:eastAsia="Calibri" w:hAnsi="Arial" w:cs="Arial"/>
          <w:b/>
          <w:color w:val="4F6228"/>
          <w:sz w:val="16"/>
          <w:szCs w:val="16"/>
        </w:rPr>
        <w:t xml:space="preserve">SBN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93.- Del arrendamiento por convocatoria pública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La convocatoria se publicará por única vez, en el Diario Oficial El Peruano o en uno de mayor circulación de la localidad. Cuando no existan medios escritos en el lugar de la convocatoria, ésta se realizará por cualquier medio de comunicación masiva de la localidad.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La convocatoria establecerá las condiciones y características de la invitación de arrendamiento. El adjudicatario será aquel que ofrezca la mejor propuesta de pago de renta sobre la base del valor comercial.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92471C">
      <w:pPr>
        <w:numPr>
          <w:ilvl w:val="0"/>
          <w:numId w:val="143"/>
        </w:numPr>
        <w:spacing w:after="0" w:line="240" w:lineRule="auto"/>
        <w:jc w:val="both"/>
        <w:rPr>
          <w:rFonts w:ascii="Arial" w:eastAsia="Calibri" w:hAnsi="Arial" w:cs="Arial"/>
          <w:b/>
          <w:color w:val="4F6228"/>
          <w:sz w:val="16"/>
          <w:szCs w:val="16"/>
        </w:rPr>
      </w:pPr>
      <w:hyperlink w:anchor="D0062007" w:history="1">
        <w:r w:rsidR="006312E8" w:rsidRPr="006312E8">
          <w:rPr>
            <w:rFonts w:ascii="Arial" w:eastAsia="Calibri" w:hAnsi="Arial" w:cs="Arial"/>
            <w:b/>
            <w:color w:val="0000FF"/>
            <w:sz w:val="16"/>
            <w:szCs w:val="16"/>
            <w:u w:val="single"/>
          </w:rPr>
          <w:t>Directiva Nº 00</w:t>
        </w:r>
        <w:r w:rsidR="00994010">
          <w:rPr>
            <w:rFonts w:ascii="Arial" w:eastAsia="Calibri" w:hAnsi="Arial" w:cs="Arial"/>
            <w:b/>
            <w:color w:val="0000FF"/>
            <w:sz w:val="16"/>
            <w:szCs w:val="16"/>
            <w:u w:val="single"/>
          </w:rPr>
          <w:t>5</w:t>
        </w:r>
        <w:r w:rsidR="006312E8" w:rsidRPr="006312E8">
          <w:rPr>
            <w:rFonts w:ascii="Arial" w:eastAsia="Calibri" w:hAnsi="Arial" w:cs="Arial"/>
            <w:b/>
            <w:color w:val="0000FF"/>
            <w:sz w:val="16"/>
            <w:szCs w:val="16"/>
            <w:u w:val="single"/>
          </w:rPr>
          <w:t>-20</w:t>
        </w:r>
        <w:r w:rsidR="00994010">
          <w:rPr>
            <w:rFonts w:ascii="Arial" w:eastAsia="Calibri" w:hAnsi="Arial" w:cs="Arial"/>
            <w:b/>
            <w:color w:val="0000FF"/>
            <w:sz w:val="16"/>
            <w:szCs w:val="16"/>
            <w:u w:val="single"/>
          </w:rPr>
          <w:t>16</w:t>
        </w:r>
        <w:r w:rsidR="006312E8" w:rsidRPr="006312E8">
          <w:rPr>
            <w:rFonts w:ascii="Arial" w:eastAsia="Calibri" w:hAnsi="Arial" w:cs="Arial"/>
            <w:b/>
            <w:color w:val="0000FF"/>
            <w:sz w:val="16"/>
            <w:szCs w:val="16"/>
            <w:u w:val="single"/>
          </w:rPr>
          <w:t>/SBN,</w:t>
        </w:r>
      </w:hyperlink>
      <w:r w:rsidR="006312E8" w:rsidRPr="006312E8">
        <w:rPr>
          <w:rFonts w:ascii="Arial" w:eastAsia="Calibri" w:hAnsi="Arial" w:cs="Arial"/>
          <w:b/>
          <w:color w:val="4F6228"/>
          <w:sz w:val="16"/>
          <w:szCs w:val="16"/>
        </w:rPr>
        <w:t xml:space="preserve"> aprobada por Resolución Nº 0</w:t>
      </w:r>
      <w:r w:rsidR="00994010">
        <w:rPr>
          <w:rFonts w:ascii="Arial" w:eastAsia="Calibri" w:hAnsi="Arial" w:cs="Arial"/>
          <w:b/>
          <w:color w:val="4F6228"/>
          <w:sz w:val="16"/>
          <w:szCs w:val="16"/>
        </w:rPr>
        <w:t>68</w:t>
      </w:r>
      <w:r w:rsidR="006312E8" w:rsidRPr="006312E8">
        <w:rPr>
          <w:rFonts w:ascii="Arial" w:eastAsia="Calibri" w:hAnsi="Arial" w:cs="Arial"/>
          <w:b/>
          <w:color w:val="4F6228"/>
          <w:sz w:val="16"/>
          <w:szCs w:val="16"/>
        </w:rPr>
        <w:t>-20</w:t>
      </w:r>
      <w:r w:rsidR="00994010">
        <w:rPr>
          <w:rFonts w:ascii="Arial" w:eastAsia="Calibri" w:hAnsi="Arial" w:cs="Arial"/>
          <w:b/>
          <w:color w:val="4F6228"/>
          <w:sz w:val="16"/>
          <w:szCs w:val="16"/>
        </w:rPr>
        <w:t>16/</w:t>
      </w:r>
      <w:r w:rsidR="006312E8" w:rsidRPr="006312E8">
        <w:rPr>
          <w:rFonts w:ascii="Arial" w:eastAsia="Calibri" w:hAnsi="Arial" w:cs="Arial"/>
          <w:b/>
          <w:color w:val="4F6228"/>
          <w:sz w:val="16"/>
          <w:szCs w:val="16"/>
        </w:rPr>
        <w:t>SBN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94.- Del arrendamiento directo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Sólo se podrá dar en arrendamiento directo predios del dominio privado estatal, en los siguientes casos: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numPr>
          <w:ilvl w:val="0"/>
          <w:numId w:val="35"/>
        </w:numPr>
        <w:spacing w:after="0" w:line="240" w:lineRule="auto"/>
        <w:contextualSpacing/>
        <w:jc w:val="both"/>
        <w:rPr>
          <w:rFonts w:ascii="Arial" w:eastAsia="Calibri" w:hAnsi="Arial" w:cs="Arial"/>
          <w:lang w:val="es-ES"/>
        </w:rPr>
      </w:pPr>
      <w:r w:rsidRPr="006312E8">
        <w:rPr>
          <w:rFonts w:ascii="Arial" w:eastAsia="Calibri" w:hAnsi="Arial" w:cs="Arial"/>
          <w:lang w:val="es-ES"/>
        </w:rPr>
        <w:t>Cuando se encuentre ocupado por más de un (01) año anterior a la fecha de publicación del Reglamento sin mediar vínculo contractual alguno, siempre que el poseedor pague la renta dejada de percibir durante el año inmediato anterior a la suscripción del contrato. La renta será fijada al valor comercial.</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6312E8">
      <w:pPr>
        <w:numPr>
          <w:ilvl w:val="0"/>
          <w:numId w:val="35"/>
        </w:num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Cuando la renta mensual a valor comercial resulte ser inferior al 50% de la Unidad Impositiva Tributaria vigente, y el período de alquiler no exceda de un año, pudiendo ser renovado como máximo hasta en dos (02) oportunidades.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95.- Del procedimiento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El arrendamiento se aprueba por Resolución de la autoridad administrativa de la entidad que corresponda de acuerdo con sus competencias.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En los casos de arrendamiento directo, la solicitud deberá estar acompañada de los documentos que acrediten la posesión por más de un (01) año; asimismo, en cualquier caso de arrendamiento directo se deberá acreditar el valor comercial del bien.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92471C">
      <w:pPr>
        <w:numPr>
          <w:ilvl w:val="0"/>
          <w:numId w:val="143"/>
        </w:numPr>
        <w:spacing w:after="0" w:line="240" w:lineRule="auto"/>
        <w:jc w:val="both"/>
        <w:rPr>
          <w:rFonts w:ascii="Arial" w:eastAsia="Calibri" w:hAnsi="Arial" w:cs="Arial"/>
          <w:b/>
          <w:color w:val="4F6228"/>
          <w:sz w:val="16"/>
          <w:szCs w:val="16"/>
        </w:rPr>
      </w:pPr>
      <w:hyperlink w:anchor="D0062007" w:history="1">
        <w:r w:rsidR="00994010">
          <w:rPr>
            <w:rFonts w:ascii="Arial" w:eastAsia="Calibri" w:hAnsi="Arial" w:cs="Arial"/>
            <w:b/>
            <w:color w:val="0000FF"/>
            <w:sz w:val="16"/>
            <w:szCs w:val="16"/>
            <w:u w:val="single"/>
          </w:rPr>
          <w:t>Directiva Nº 005</w:t>
        </w:r>
        <w:r w:rsidR="006312E8" w:rsidRPr="006312E8">
          <w:rPr>
            <w:rFonts w:ascii="Arial" w:eastAsia="Calibri" w:hAnsi="Arial" w:cs="Arial"/>
            <w:b/>
            <w:color w:val="0000FF"/>
            <w:sz w:val="16"/>
            <w:szCs w:val="16"/>
            <w:u w:val="single"/>
          </w:rPr>
          <w:t>-20</w:t>
        </w:r>
        <w:r w:rsidR="00994010">
          <w:rPr>
            <w:rFonts w:ascii="Arial" w:eastAsia="Calibri" w:hAnsi="Arial" w:cs="Arial"/>
            <w:b/>
            <w:color w:val="0000FF"/>
            <w:sz w:val="16"/>
            <w:szCs w:val="16"/>
            <w:u w:val="single"/>
          </w:rPr>
          <w:t>16</w:t>
        </w:r>
        <w:r w:rsidR="006312E8" w:rsidRPr="006312E8">
          <w:rPr>
            <w:rFonts w:ascii="Arial" w:eastAsia="Calibri" w:hAnsi="Arial" w:cs="Arial"/>
            <w:b/>
            <w:color w:val="0000FF"/>
            <w:sz w:val="16"/>
            <w:szCs w:val="16"/>
            <w:u w:val="single"/>
          </w:rPr>
          <w:t>/SBN</w:t>
        </w:r>
      </w:hyperlink>
      <w:r w:rsidR="006312E8" w:rsidRPr="006312E8">
        <w:rPr>
          <w:rFonts w:ascii="Arial" w:eastAsia="Calibri" w:hAnsi="Arial" w:cs="Arial"/>
          <w:b/>
          <w:color w:val="4F6228"/>
          <w:sz w:val="16"/>
          <w:szCs w:val="16"/>
        </w:rPr>
        <w:t>, aprobada por Resolución Nº 0</w:t>
      </w:r>
      <w:r w:rsidR="00994010">
        <w:rPr>
          <w:rFonts w:ascii="Arial" w:eastAsia="Calibri" w:hAnsi="Arial" w:cs="Arial"/>
          <w:b/>
          <w:color w:val="4F6228"/>
          <w:sz w:val="16"/>
          <w:szCs w:val="16"/>
        </w:rPr>
        <w:t>68</w:t>
      </w:r>
      <w:r w:rsidR="006312E8" w:rsidRPr="006312E8">
        <w:rPr>
          <w:rFonts w:ascii="Arial" w:eastAsia="Calibri" w:hAnsi="Arial" w:cs="Arial"/>
          <w:b/>
          <w:color w:val="4F6228"/>
          <w:sz w:val="16"/>
          <w:szCs w:val="16"/>
        </w:rPr>
        <w:t>-20</w:t>
      </w:r>
      <w:r w:rsidR="00994010">
        <w:rPr>
          <w:rFonts w:ascii="Arial" w:eastAsia="Calibri" w:hAnsi="Arial" w:cs="Arial"/>
          <w:b/>
          <w:color w:val="4F6228"/>
          <w:sz w:val="16"/>
          <w:szCs w:val="16"/>
        </w:rPr>
        <w:t>16/</w:t>
      </w:r>
      <w:r w:rsidR="006312E8" w:rsidRPr="006312E8">
        <w:rPr>
          <w:rFonts w:ascii="Arial" w:eastAsia="Calibri" w:hAnsi="Arial" w:cs="Arial"/>
          <w:b/>
          <w:color w:val="4F6228"/>
          <w:sz w:val="16"/>
          <w:szCs w:val="16"/>
        </w:rPr>
        <w:t>SBN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96.- De la distribución de la renta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Los ingresos obtenidos por el arrendamiento se distribuirán conforme a lo establecido en el artículo 88 del presente Reglamento.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bookmarkStart w:id="127" w:name="_Toc392856175"/>
      <w:bookmarkStart w:id="128" w:name="_Toc399335448"/>
      <w:r w:rsidRPr="006312E8">
        <w:rPr>
          <w:rFonts w:ascii="Arial" w:eastAsia="Calibri" w:hAnsi="Arial" w:cs="Arial"/>
          <w:b/>
          <w:lang w:val="es-ES"/>
        </w:rPr>
        <w:t>SUBCAPÍTULO XV</w:t>
      </w:r>
      <w:bookmarkEnd w:id="127"/>
      <w:bookmarkEnd w:id="128"/>
    </w:p>
    <w:p w:rsidR="006312E8" w:rsidRPr="006312E8" w:rsidRDefault="006312E8" w:rsidP="006312E8">
      <w:pPr>
        <w:spacing w:after="0" w:line="240" w:lineRule="auto"/>
        <w:jc w:val="center"/>
        <w:rPr>
          <w:rFonts w:ascii="Arial" w:eastAsia="Calibri" w:hAnsi="Arial" w:cs="Arial"/>
          <w:b/>
          <w:lang w:val="es-ES"/>
        </w:rPr>
      </w:pPr>
      <w:bookmarkStart w:id="129" w:name="_Toc392856176"/>
      <w:bookmarkStart w:id="130" w:name="_Toc399335449"/>
      <w:r w:rsidRPr="006312E8">
        <w:rPr>
          <w:rFonts w:ascii="Arial" w:eastAsia="Calibri" w:hAnsi="Arial" w:cs="Arial"/>
          <w:b/>
          <w:lang w:val="es-ES"/>
        </w:rPr>
        <w:t>AFECTACION EN USO</w:t>
      </w:r>
      <w:bookmarkEnd w:id="129"/>
      <w:bookmarkEnd w:id="130"/>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97.- De la definición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Por la afectación en uso sólo se otorga el derecho de usar a título gratuito un predio a una entidad para que lo destine al uso o servicio público y excepcionalmente para fines de interés y desarrollo social. Las condiciones específicas de la afectación en uso serán establecidas en la Resolución que la aprueba o en sus anexos, de ser el caso.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92471C">
      <w:pPr>
        <w:numPr>
          <w:ilvl w:val="0"/>
          <w:numId w:val="143"/>
        </w:numPr>
        <w:spacing w:after="0" w:line="240" w:lineRule="auto"/>
        <w:jc w:val="both"/>
        <w:rPr>
          <w:rFonts w:ascii="Arial" w:eastAsia="Calibri" w:hAnsi="Arial" w:cs="Arial"/>
          <w:b/>
          <w:color w:val="4F6228"/>
          <w:sz w:val="16"/>
          <w:szCs w:val="16"/>
        </w:rPr>
      </w:pPr>
      <w:hyperlink w:anchor="D0052011" w:history="1">
        <w:r w:rsidR="006312E8" w:rsidRPr="006312E8">
          <w:rPr>
            <w:rFonts w:ascii="Arial" w:eastAsia="Calibri" w:hAnsi="Arial" w:cs="Arial"/>
            <w:b/>
            <w:color w:val="0000FF"/>
            <w:sz w:val="16"/>
            <w:szCs w:val="16"/>
            <w:u w:val="single"/>
          </w:rPr>
          <w:t>Directiva Nº 005-2011/SBN</w:t>
        </w:r>
      </w:hyperlink>
      <w:r w:rsidR="006312E8" w:rsidRPr="006312E8">
        <w:rPr>
          <w:rFonts w:ascii="Arial" w:eastAsia="Calibri" w:hAnsi="Arial" w:cs="Arial"/>
          <w:b/>
          <w:color w:val="4F6228"/>
          <w:sz w:val="16"/>
          <w:szCs w:val="16"/>
        </w:rPr>
        <w:t xml:space="preserve">, aprobada por Resolución Nº 050-2007-SBN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98.- Del derecho de reserva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El Estado se reserva el derecho de poner término unilateralmente y de pleno derecho a la afectación en uso que otorgue, por razones de seguridad o interés público.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99.- Del procedimiento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La solicitud de afectación en uso, debidamente sustentada, se presentará ante la entidad competente, indicando el uso o servicio público al que se destinará.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92471C">
      <w:pPr>
        <w:numPr>
          <w:ilvl w:val="0"/>
          <w:numId w:val="143"/>
        </w:numPr>
        <w:spacing w:after="0" w:line="240" w:lineRule="auto"/>
        <w:jc w:val="both"/>
        <w:rPr>
          <w:rFonts w:ascii="Arial" w:eastAsia="Calibri" w:hAnsi="Arial" w:cs="Arial"/>
          <w:b/>
          <w:color w:val="4F6228"/>
          <w:sz w:val="16"/>
          <w:szCs w:val="16"/>
        </w:rPr>
      </w:pPr>
      <w:hyperlink w:anchor="D0052011" w:history="1">
        <w:r w:rsidR="006312E8" w:rsidRPr="006312E8">
          <w:rPr>
            <w:rFonts w:ascii="Arial" w:eastAsia="Calibri" w:hAnsi="Arial" w:cs="Arial"/>
            <w:b/>
            <w:color w:val="0000FF"/>
            <w:sz w:val="16"/>
            <w:szCs w:val="16"/>
            <w:u w:val="single"/>
          </w:rPr>
          <w:t>Directiva Nº 005-2011/SBN</w:t>
        </w:r>
      </w:hyperlink>
      <w:r w:rsidR="006312E8" w:rsidRPr="006312E8">
        <w:rPr>
          <w:rFonts w:ascii="Arial" w:eastAsia="Calibri" w:hAnsi="Arial" w:cs="Arial"/>
          <w:b/>
          <w:color w:val="4F6228"/>
          <w:sz w:val="16"/>
          <w:szCs w:val="16"/>
        </w:rPr>
        <w:t>, aprobada por Resolución Nº 050-2007-SBN (art. 3)</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100.- De la entrega provisional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En los casos en que peligre la seguridad del predio o exista razones debidamente justificadas, la entidad competente podrá entregar su posesión a la entidad solicitante, mediante acta de entrega-recepción, en tanto se expida la respectiva Resolución, sin que ello signifique la aprobación previa de la solicitud.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Los gastos que demande la conservación del predio, así como las obras que se ejecuten en el período de entrega provisional no son reembolsables.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i/>
          <w:color w:val="FF0000"/>
          <w:sz w:val="16"/>
          <w:szCs w:val="16"/>
          <w:lang w:val="es-ES"/>
        </w:rPr>
      </w:pPr>
      <w:r w:rsidRPr="006312E8">
        <w:rPr>
          <w:rFonts w:ascii="Arial" w:eastAsia="Calibri" w:hAnsi="Arial" w:cs="Arial"/>
          <w:b/>
          <w:i/>
          <w:color w:val="FF0000"/>
          <w:sz w:val="16"/>
          <w:szCs w:val="16"/>
          <w:lang w:val="es-ES"/>
        </w:rPr>
        <w:t>(*) Artículo modificado por el Artículo 1 del Decreto Supremo Nº 013-2012-VIVIENDA, publicado el 03 junio 2012</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92471C">
      <w:pPr>
        <w:numPr>
          <w:ilvl w:val="0"/>
          <w:numId w:val="143"/>
        </w:numPr>
        <w:spacing w:after="0" w:line="240" w:lineRule="auto"/>
        <w:jc w:val="both"/>
        <w:rPr>
          <w:rFonts w:ascii="Arial" w:eastAsia="Calibri" w:hAnsi="Arial" w:cs="Arial"/>
          <w:b/>
          <w:color w:val="4F6228"/>
          <w:sz w:val="16"/>
          <w:szCs w:val="16"/>
        </w:rPr>
      </w:pPr>
      <w:hyperlink w:anchor="D0052011" w:history="1">
        <w:r w:rsidR="006312E8" w:rsidRPr="006312E8">
          <w:rPr>
            <w:rFonts w:ascii="Arial" w:eastAsia="Calibri" w:hAnsi="Arial" w:cs="Arial"/>
            <w:b/>
            <w:color w:val="0000FF"/>
            <w:sz w:val="16"/>
            <w:szCs w:val="16"/>
            <w:u w:val="single"/>
          </w:rPr>
          <w:t>Directiva Nº 005-2011/SBN</w:t>
        </w:r>
      </w:hyperlink>
      <w:r w:rsidR="006312E8" w:rsidRPr="006312E8">
        <w:rPr>
          <w:rFonts w:ascii="Arial" w:eastAsia="Calibri" w:hAnsi="Arial" w:cs="Arial"/>
          <w:b/>
          <w:color w:val="4F6228"/>
          <w:sz w:val="16"/>
          <w:szCs w:val="16"/>
        </w:rPr>
        <w:t>, aprobada por Resolución Nº 050-2007-SBN (art. 2 numeral 2.12)</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101.- Del plazo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La afectación en uso es a plazo determinado o indeterminado, de acuerdo a la naturaleza del proyecto para el uso o servicio público, debiendo establecerse el mismo en la Resolución aprobatoria bajo sanción de nulidad. La entidad que aprueba el acto podrá modificar el plazo de acuerdo con la naturaleza del uso o servicio público, para lo cual emitirá la respectiva Resolución debidamente sustentada.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92471C">
      <w:pPr>
        <w:numPr>
          <w:ilvl w:val="0"/>
          <w:numId w:val="143"/>
        </w:numPr>
        <w:spacing w:after="0" w:line="240" w:lineRule="auto"/>
        <w:jc w:val="both"/>
        <w:rPr>
          <w:rFonts w:ascii="Arial" w:eastAsia="Calibri" w:hAnsi="Arial" w:cs="Arial"/>
          <w:b/>
          <w:color w:val="4F6228"/>
          <w:sz w:val="16"/>
          <w:szCs w:val="16"/>
        </w:rPr>
      </w:pPr>
      <w:hyperlink w:anchor="D0052011" w:history="1">
        <w:r w:rsidR="006312E8" w:rsidRPr="006312E8">
          <w:rPr>
            <w:rFonts w:ascii="Arial" w:eastAsia="Calibri" w:hAnsi="Arial" w:cs="Arial"/>
            <w:b/>
            <w:color w:val="0000FF"/>
            <w:sz w:val="16"/>
            <w:szCs w:val="16"/>
            <w:u w:val="single"/>
          </w:rPr>
          <w:t>Directiva Nº 005-2011/SBN</w:t>
        </w:r>
      </w:hyperlink>
      <w:r w:rsidR="006312E8" w:rsidRPr="006312E8">
        <w:rPr>
          <w:rFonts w:ascii="Arial" w:eastAsia="Calibri" w:hAnsi="Arial" w:cs="Arial"/>
          <w:b/>
          <w:color w:val="4F6228"/>
          <w:sz w:val="16"/>
          <w:szCs w:val="16"/>
        </w:rPr>
        <w:t>, aprobada por Resolución Nº 050-2007-SBN (art. 2 numeral 2.6)</w:t>
      </w:r>
    </w:p>
    <w:p w:rsidR="006312E8" w:rsidRPr="006312E8" w:rsidRDefault="006312E8" w:rsidP="006312E8">
      <w:pPr>
        <w:spacing w:after="0" w:line="240" w:lineRule="auto"/>
        <w:jc w:val="both"/>
        <w:rPr>
          <w:rFonts w:ascii="Arial" w:eastAsia="Calibri" w:hAnsi="Arial" w:cs="Arial"/>
          <w:lang w:val="es-ES"/>
        </w:rPr>
      </w:pPr>
    </w:p>
    <w:p w:rsidR="005A311B" w:rsidRDefault="005A311B"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102.- De las obligaciones de la entidad afectataria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La entidad afectataria está obligada a: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numPr>
          <w:ilvl w:val="0"/>
          <w:numId w:val="36"/>
        </w:numPr>
        <w:spacing w:after="0" w:line="240" w:lineRule="auto"/>
        <w:contextualSpacing/>
        <w:jc w:val="both"/>
        <w:rPr>
          <w:rFonts w:ascii="Arial" w:eastAsia="Calibri" w:hAnsi="Arial" w:cs="Arial"/>
          <w:lang w:val="es-ES"/>
        </w:rPr>
      </w:pPr>
      <w:r w:rsidRPr="006312E8">
        <w:rPr>
          <w:rFonts w:ascii="Arial" w:eastAsia="Calibri" w:hAnsi="Arial" w:cs="Arial"/>
          <w:lang w:val="es-ES"/>
        </w:rPr>
        <w:t>Cumplir con la finalidad de la afectación en uso.</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6312E8">
      <w:pPr>
        <w:numPr>
          <w:ilvl w:val="0"/>
          <w:numId w:val="36"/>
        </w:num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Conservar diligentemente el bien afectado, debiendo asumir los gastos de conservación, mantenimiento y tributarios del bien afectado. </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36"/>
        </w:num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Devolver el bien con todas sus partes integrantes y accesorias, sin más desgaste que el de su uso ordinario, al culminar la afectación en uso por cualquier causal. </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36"/>
        </w:num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Efectuar la declaratoria de la fábrica de las obras que haya ejecutado sobre el bien afectado, estando autorizada para suscribir los documentos públicos o privados que fueran necesarios para el efecto. </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36"/>
        </w:num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Las demás que se establezcan por norma expresa.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92471C">
      <w:pPr>
        <w:numPr>
          <w:ilvl w:val="0"/>
          <w:numId w:val="143"/>
        </w:numPr>
        <w:spacing w:after="0" w:line="240" w:lineRule="auto"/>
        <w:jc w:val="both"/>
        <w:rPr>
          <w:rFonts w:ascii="Arial" w:eastAsia="Calibri" w:hAnsi="Arial" w:cs="Arial"/>
          <w:b/>
          <w:color w:val="4F6228"/>
          <w:sz w:val="16"/>
          <w:szCs w:val="16"/>
        </w:rPr>
      </w:pPr>
      <w:hyperlink w:anchor="D0052011" w:history="1">
        <w:r w:rsidR="006312E8" w:rsidRPr="006312E8">
          <w:rPr>
            <w:rFonts w:ascii="Arial" w:eastAsia="Calibri" w:hAnsi="Arial" w:cs="Arial"/>
            <w:b/>
            <w:color w:val="0000FF"/>
            <w:sz w:val="16"/>
            <w:szCs w:val="16"/>
            <w:u w:val="single"/>
          </w:rPr>
          <w:t>Directiva Nº 005-2011/SBN</w:t>
        </w:r>
      </w:hyperlink>
      <w:r w:rsidR="006312E8" w:rsidRPr="006312E8">
        <w:rPr>
          <w:rFonts w:ascii="Arial" w:eastAsia="Calibri" w:hAnsi="Arial" w:cs="Arial"/>
          <w:b/>
          <w:color w:val="4F6228"/>
          <w:sz w:val="16"/>
          <w:szCs w:val="16"/>
        </w:rPr>
        <w:t>, aprobada por Resolución Nº 050-2007-SBN (art. 2 numeral 2.14)</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103.- De la pluralidad de afectatarios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Existe pluralidad de afectatarios cuando dos o más entidades destinan parcialmente un mismo inmueble a un servicio público; en estos casos, los gastos de conservación, mantenimiento y tributarios serán asumidos proporcionalmente por todos los afectatarios.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92471C">
      <w:pPr>
        <w:numPr>
          <w:ilvl w:val="0"/>
          <w:numId w:val="143"/>
        </w:numPr>
        <w:spacing w:after="0" w:line="240" w:lineRule="auto"/>
        <w:jc w:val="both"/>
        <w:rPr>
          <w:rFonts w:ascii="Arial" w:eastAsia="Calibri" w:hAnsi="Arial" w:cs="Arial"/>
          <w:b/>
          <w:color w:val="4F6228"/>
          <w:sz w:val="16"/>
          <w:szCs w:val="16"/>
        </w:rPr>
      </w:pPr>
      <w:hyperlink w:anchor="D0052011" w:history="1">
        <w:r w:rsidR="006312E8" w:rsidRPr="006312E8">
          <w:rPr>
            <w:rFonts w:ascii="Arial" w:eastAsia="Calibri" w:hAnsi="Arial" w:cs="Arial"/>
            <w:b/>
            <w:color w:val="0000FF"/>
            <w:sz w:val="16"/>
            <w:szCs w:val="16"/>
            <w:u w:val="single"/>
          </w:rPr>
          <w:t>Directiva Nº 005-2011/SBN,</w:t>
        </w:r>
      </w:hyperlink>
      <w:r w:rsidR="006312E8" w:rsidRPr="006312E8">
        <w:rPr>
          <w:rFonts w:ascii="Arial" w:eastAsia="Calibri" w:hAnsi="Arial" w:cs="Arial"/>
          <w:b/>
          <w:color w:val="4F6228"/>
          <w:sz w:val="16"/>
          <w:szCs w:val="16"/>
        </w:rPr>
        <w:t xml:space="preserve"> aprobada por Resolución Nº 050-2007-SBN (art. 2 numeral 2.8)</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104.- De las afectaciones por leyes especiales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Las afectaciones en uso declaradas por leyes especiales en las que no exista indicación expresa de la finalidad ni plazo, se adecuarán a las estipulaciones del presente subcapítulo.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105.- De la extinción de la afectación en uso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La afectación en uso se extingue por: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 xml:space="preserve">1. Incumplimiento y/o desnaturalización de su finalidad.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 xml:space="preserve">2. Renuncia a la afectación.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 xml:space="preserve">3. Extinción de la entidad afectataria.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 xml:space="preserve">4. Destrucción del bien.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 xml:space="preserve">5. Consolidación del dominio.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 xml:space="preserve">6. Cese de la finalidad.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7. Otras que se determinen por norma expresa.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En todos los casos, se deberá expedir una Resolución de la autoridad administrativa de la entidad que concedió la afectación en la que se declare expresamente la extinción; dicha Resolución deberá ser sustentada en un informe técnico - legal. La Resolución constituye título suficiente para su inscripción en el Registro de Predios.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92471C">
      <w:pPr>
        <w:numPr>
          <w:ilvl w:val="0"/>
          <w:numId w:val="143"/>
        </w:numPr>
        <w:spacing w:after="0" w:line="240" w:lineRule="auto"/>
        <w:jc w:val="both"/>
        <w:rPr>
          <w:rFonts w:ascii="Arial" w:eastAsia="Calibri" w:hAnsi="Arial" w:cs="Arial"/>
          <w:b/>
          <w:color w:val="4F6228"/>
          <w:sz w:val="16"/>
          <w:szCs w:val="16"/>
        </w:rPr>
      </w:pPr>
      <w:hyperlink w:anchor="D0052011" w:history="1">
        <w:r w:rsidR="006312E8" w:rsidRPr="006312E8">
          <w:rPr>
            <w:rFonts w:ascii="Arial" w:eastAsia="Calibri" w:hAnsi="Arial" w:cs="Arial"/>
            <w:b/>
            <w:color w:val="0000FF"/>
            <w:sz w:val="16"/>
            <w:szCs w:val="16"/>
            <w:u w:val="single"/>
          </w:rPr>
          <w:t>Directiva Nº 005-2011/SBN</w:t>
        </w:r>
      </w:hyperlink>
      <w:r w:rsidR="006312E8" w:rsidRPr="006312E8">
        <w:rPr>
          <w:rFonts w:ascii="Arial" w:eastAsia="Calibri" w:hAnsi="Arial" w:cs="Arial"/>
          <w:b/>
          <w:color w:val="4F6228"/>
          <w:sz w:val="16"/>
          <w:szCs w:val="16"/>
        </w:rPr>
        <w:t>, aprobada por Resolución Nº 050-2007-SBN (art. 3 numeral 3.13)</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106.- De los efectos de la extinción de la afectación en uso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La extinción de la afectación en uso no otorga derecho de reembolso alguno por las obras o gastos que se hubieran ejecutado en el predio.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92471C">
      <w:pPr>
        <w:numPr>
          <w:ilvl w:val="0"/>
          <w:numId w:val="143"/>
        </w:numPr>
        <w:spacing w:after="0" w:line="240" w:lineRule="auto"/>
        <w:jc w:val="both"/>
        <w:rPr>
          <w:rFonts w:ascii="Arial" w:eastAsia="Calibri" w:hAnsi="Arial" w:cs="Arial"/>
          <w:b/>
          <w:color w:val="4F6228"/>
          <w:sz w:val="16"/>
          <w:szCs w:val="16"/>
        </w:rPr>
      </w:pPr>
      <w:hyperlink w:anchor="D0052011" w:history="1">
        <w:r w:rsidR="006312E8" w:rsidRPr="006312E8">
          <w:rPr>
            <w:rFonts w:ascii="Arial" w:eastAsia="Calibri" w:hAnsi="Arial" w:cs="Arial"/>
            <w:b/>
            <w:color w:val="0000FF"/>
            <w:sz w:val="16"/>
            <w:szCs w:val="16"/>
            <w:u w:val="single"/>
          </w:rPr>
          <w:t>Directiva Nº 005-2011/SBN</w:t>
        </w:r>
      </w:hyperlink>
      <w:r w:rsidR="006312E8" w:rsidRPr="006312E8">
        <w:rPr>
          <w:rFonts w:ascii="Arial" w:eastAsia="Calibri" w:hAnsi="Arial" w:cs="Arial"/>
          <w:b/>
          <w:color w:val="4F6228"/>
          <w:sz w:val="16"/>
          <w:szCs w:val="16"/>
        </w:rPr>
        <w:t>, aprobada por Resolución Nº 050-2007-SBN (art. 2 numeral 2.22)</w:t>
      </w:r>
    </w:p>
    <w:p w:rsidR="006312E8" w:rsidRPr="006312E8" w:rsidRDefault="006312E8" w:rsidP="006312E8">
      <w:pPr>
        <w:spacing w:after="0" w:line="240" w:lineRule="auto"/>
        <w:jc w:val="center"/>
        <w:rPr>
          <w:rFonts w:ascii="Arial" w:eastAsia="Calibri" w:hAnsi="Arial" w:cs="Arial"/>
          <w:b/>
          <w:lang w:val="es-ES"/>
        </w:rPr>
      </w:pPr>
      <w:bookmarkStart w:id="131" w:name="_Toc392856177"/>
      <w:bookmarkStart w:id="132" w:name="_Toc399335450"/>
      <w:r w:rsidRPr="006312E8">
        <w:rPr>
          <w:rFonts w:ascii="Arial" w:eastAsia="Calibri" w:hAnsi="Arial" w:cs="Arial"/>
          <w:b/>
          <w:lang w:val="es-ES"/>
        </w:rPr>
        <w:t>SUBCAPÍTULO XVI</w:t>
      </w:r>
      <w:bookmarkEnd w:id="131"/>
      <w:bookmarkEnd w:id="132"/>
    </w:p>
    <w:p w:rsidR="006312E8" w:rsidRPr="006312E8" w:rsidRDefault="006312E8" w:rsidP="006312E8">
      <w:pPr>
        <w:spacing w:after="0" w:line="240" w:lineRule="auto"/>
        <w:jc w:val="center"/>
        <w:rPr>
          <w:rFonts w:ascii="Arial" w:eastAsia="Calibri" w:hAnsi="Arial" w:cs="Arial"/>
          <w:b/>
          <w:lang w:val="es-ES"/>
        </w:rPr>
      </w:pPr>
      <w:bookmarkStart w:id="133" w:name="_Toc392856178"/>
      <w:bookmarkStart w:id="134" w:name="_Toc399335451"/>
      <w:r w:rsidRPr="006312E8">
        <w:rPr>
          <w:rFonts w:ascii="Arial" w:eastAsia="Calibri" w:hAnsi="Arial" w:cs="Arial"/>
          <w:b/>
          <w:lang w:val="es-ES"/>
        </w:rPr>
        <w:t>CESION EN USO</w:t>
      </w:r>
      <w:bookmarkEnd w:id="133"/>
      <w:bookmarkEnd w:id="134"/>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i/>
          <w:color w:val="0F243E"/>
          <w:sz w:val="16"/>
          <w:szCs w:val="16"/>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107.- De la definición </w:t>
      </w: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lang w:val="es-ES"/>
        </w:rPr>
        <w:t xml:space="preserve">Por la cesión en uso sólo se otorga el derecho, excepcional, de usar temporalmente a título gratuito un predio estatal a un particular, a efectos que lo destine a la ejecución de un proyecto de desarrollo social, cultural y/o deportivo, sin fines de lucro.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Los cesionarios presentarán a la entidad cedente, periódicamente y al culminar la ejecución del proyecto, informes de su gestión y de los logros y/o avances del proyecto. La Resolución que concede la cesión en uso, establecerá la periodicidad de los informes, bajo sanción de nulidad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Artículo modificado por el Artículo 1 del Decreto Supremo Nº 013-2012-VIVIENDA, publicado el 03 junio 2012</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108.- Del plazo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cesión en uso es a plazo determinado, de acuerdo a la naturaleza del proyecto de desarrollo social, cultural y/o deportivo, hasta por un plazo de 10 años, renovables, debiendo establecerse los mismos en la Resolución aprobatoria bajo sanción de nulidad. La entidad que aprueba el acto modificará el plazo de acuerdo con la naturaleza del proyecto, para lo cual emitirá la respectiva Resolución debidamente sustentada.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Artículo modificado por el Artículo 1 del Decreto Supremo Nº 013-2012-VIVIENDA, publicado el 03 junio 2012</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109.- De la extinción de la cesión en uso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La cesión en uso se extingue por: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 xml:space="preserve">1. Incumplimiento y/o desnaturalización de la finalidad de la cesión en uso.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 xml:space="preserve">2. Renuncia a la cesión en uso.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 xml:space="preserve">3. Extinción de la cesionaria.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 xml:space="preserve">4. Muerte del cesionario.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 xml:space="preserve">5. Consolidación de dominio.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 xml:space="preserve">6. Destrucción del bien.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 xml:space="preserve">7. Cese de la finalidad.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 xml:space="preserve">8. Otras que se determinen por norma expresa.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110.- De la regulación supletoria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Todo lo no previsto en el presente subcapítulo se regulará conforme a las disposiciones establecidas para la afectación en uso, en lo que fuera aplicable.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bookmarkStart w:id="135" w:name="_Toc392856179"/>
      <w:bookmarkStart w:id="136" w:name="_Toc399335452"/>
      <w:r w:rsidRPr="006312E8">
        <w:rPr>
          <w:rFonts w:ascii="Arial" w:eastAsia="Calibri" w:hAnsi="Arial" w:cs="Arial"/>
          <w:b/>
          <w:lang w:val="es-ES"/>
        </w:rPr>
        <w:t>SUBCAPÍTULO XVII</w:t>
      </w:r>
      <w:bookmarkEnd w:id="135"/>
      <w:bookmarkEnd w:id="136"/>
    </w:p>
    <w:p w:rsidR="006312E8" w:rsidRPr="006312E8" w:rsidRDefault="006312E8" w:rsidP="006312E8">
      <w:pPr>
        <w:spacing w:after="0" w:line="240" w:lineRule="auto"/>
        <w:jc w:val="center"/>
        <w:rPr>
          <w:rFonts w:ascii="Arial" w:eastAsia="Calibri" w:hAnsi="Arial" w:cs="Arial"/>
          <w:b/>
          <w:lang w:val="es-ES"/>
        </w:rPr>
      </w:pPr>
      <w:bookmarkStart w:id="137" w:name="_Toc392856180"/>
      <w:bookmarkStart w:id="138" w:name="_Toc399335453"/>
      <w:r w:rsidRPr="006312E8">
        <w:rPr>
          <w:rFonts w:ascii="Arial" w:eastAsia="Calibri" w:hAnsi="Arial" w:cs="Arial"/>
          <w:b/>
          <w:lang w:val="es-ES"/>
        </w:rPr>
        <w:t>COMODATO</w:t>
      </w:r>
      <w:bookmarkEnd w:id="137"/>
      <w:bookmarkEnd w:id="138"/>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111.- Del comodato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El comodato de bienes estatales tiene carácter temporal y se realiza a favor de una entidad; por excepción debidamente sustentada, se podrá realizar a favor de un particular.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124" w:hanging="2124"/>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6312E8" w:rsidP="0092471C">
      <w:pPr>
        <w:numPr>
          <w:ilvl w:val="0"/>
          <w:numId w:val="144"/>
        </w:numPr>
        <w:spacing w:after="0" w:line="240" w:lineRule="auto"/>
        <w:jc w:val="both"/>
        <w:rPr>
          <w:rFonts w:ascii="Arial" w:eastAsia="Calibri" w:hAnsi="Arial" w:cs="Arial"/>
          <w:color w:val="7F9E40"/>
          <w:sz w:val="16"/>
          <w:szCs w:val="16"/>
        </w:rPr>
      </w:pPr>
      <w:r w:rsidRPr="006312E8">
        <w:rPr>
          <w:rFonts w:ascii="Arial" w:eastAsia="Calibri" w:hAnsi="Arial" w:cs="Arial"/>
          <w:b/>
          <w:color w:val="4F6228"/>
          <w:sz w:val="16"/>
          <w:szCs w:val="16"/>
        </w:rPr>
        <w:t>Código Civil (art. 1728)</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112.- Del plazo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El plazo del comodato será de noventa (90) días calendario, como máximo, pudiendo prorrogarse por un plazo similar y por una sola vez. </w:t>
      </w:r>
    </w:p>
    <w:p w:rsidR="006312E8" w:rsidRPr="006312E8" w:rsidRDefault="006312E8" w:rsidP="006312E8">
      <w:pPr>
        <w:spacing w:after="0" w:line="240" w:lineRule="auto"/>
        <w:jc w:val="both"/>
        <w:rPr>
          <w:rFonts w:ascii="Arial" w:eastAsia="Calibri" w:hAnsi="Arial" w:cs="Arial"/>
          <w:lang w:val="es-ES"/>
        </w:rPr>
      </w:pPr>
    </w:p>
    <w:p w:rsidR="005A311B" w:rsidRDefault="005A311B" w:rsidP="006312E8">
      <w:pPr>
        <w:spacing w:after="0" w:line="240" w:lineRule="auto"/>
        <w:jc w:val="both"/>
        <w:rPr>
          <w:rFonts w:ascii="Arial" w:eastAsia="Calibri" w:hAnsi="Arial" w:cs="Arial"/>
          <w:b/>
          <w:lang w:val="es-ES"/>
        </w:rPr>
      </w:pPr>
    </w:p>
    <w:p w:rsidR="005A311B" w:rsidRDefault="005A311B"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113.- De la formalización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Emitida la Resolución aprobatoria que deberá estar sustentada en informe técnico - legal, se suscribirá el respectivo contrato, con firmas legalizadas, en el que se establecerán sus particularidades de ejecución, dejándose expresa constancia del plazo, de la finalidad a la que será destinado el bien y de las obligaciones del comodatario.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bookmarkStart w:id="139" w:name="_Toc392856181"/>
      <w:bookmarkStart w:id="140" w:name="_Toc399335454"/>
      <w:r w:rsidRPr="006312E8">
        <w:rPr>
          <w:rFonts w:ascii="Arial" w:eastAsia="Calibri" w:hAnsi="Arial" w:cs="Arial"/>
          <w:b/>
          <w:lang w:val="es-ES"/>
        </w:rPr>
        <w:t>SUBCAPÍTULO XVIII</w:t>
      </w:r>
      <w:bookmarkEnd w:id="139"/>
      <w:bookmarkEnd w:id="140"/>
    </w:p>
    <w:p w:rsidR="006312E8" w:rsidRPr="006312E8" w:rsidRDefault="006312E8" w:rsidP="006312E8">
      <w:pPr>
        <w:spacing w:after="0" w:line="240" w:lineRule="auto"/>
        <w:jc w:val="center"/>
        <w:rPr>
          <w:rFonts w:ascii="Arial" w:eastAsia="Calibri" w:hAnsi="Arial" w:cs="Arial"/>
          <w:b/>
          <w:lang w:val="es-ES"/>
        </w:rPr>
      </w:pPr>
      <w:bookmarkStart w:id="141" w:name="_Toc392856182"/>
      <w:bookmarkStart w:id="142" w:name="_Toc399335455"/>
      <w:r w:rsidRPr="006312E8">
        <w:rPr>
          <w:rFonts w:ascii="Arial" w:eastAsia="Calibri" w:hAnsi="Arial" w:cs="Arial"/>
          <w:b/>
          <w:lang w:val="es-ES"/>
        </w:rPr>
        <w:t>DECLARATORIA DE FÁBRICA Y DEMOLICION</w:t>
      </w:r>
      <w:bookmarkEnd w:id="141"/>
      <w:bookmarkEnd w:id="142"/>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114.- De la formalización de la fábrica o demolición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La declaratoria de fábrica o demolición de las construcciones efectuadas sobre predios estatales será realizada por la entidad titular del inmueble; en caso que el predio sea objeto de algún acto de administración o disposición, el beneficiario de éste deberá efectuar dichas declaraciones, estando autorizados para suscribir los documentos públicos o privados que fueran necesarios para el efecto, con conocimiento de la entidad concedente.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115.- De la titularidad de las edificaciones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Toda edificación efectuada sobre predios estatales beneficia a la propiedad, por lo que la restitución del predio no otorga derecho a resarcimiento o compensación alguna por la ejecución de dichas edificaciones o mejoras efectuadas al bien, salvo lo dispuesto por norma expresa.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116.- De la demolición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Las entidades públicas y privadas que tengan bajo su administración un predio estatal cuyas construcciones se encuentren en estado ruinoso o no respondan a sus requerimientos, sustentarán ante el Gobierno Regional o la SBN, según sea el caso, la necesidad de la demolición total o parcial de las construcciones.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La entidad que solicita la demolición debe ejecutar inmediatamente una nueva edificación adecuada a las necesidades de la finalidad para la cual se le entregó el bien, salvo que la causa de la demolición sea por estado ruinoso, la que se sustentará con un informe de la autoridad responsable y/o competente en la jurisdicción del bien. En este último caso, el predio deberá ser restituido a la entidad concedente del derecho respectivo.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117.- De la decisión de demoler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Sin perjuicio de los trámites y requisitos exigidos por la autoridad municipal, la decisión de proceder con la demolición de inmuebles estatales se formaliza mediante Resolución del Gobierno Regional o de la SBN, de acuerdo con sus respectivas competencias.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bookmarkStart w:id="143" w:name="_Toc392856183"/>
      <w:bookmarkStart w:id="144" w:name="_Toc399335456"/>
      <w:r w:rsidRPr="006312E8">
        <w:rPr>
          <w:rFonts w:ascii="Arial" w:eastAsia="Calibri" w:hAnsi="Arial" w:cs="Arial"/>
          <w:b/>
          <w:lang w:val="es-ES"/>
        </w:rPr>
        <w:t>CAPÍTULO V</w:t>
      </w:r>
      <w:bookmarkEnd w:id="143"/>
      <w:bookmarkEnd w:id="144"/>
    </w:p>
    <w:p w:rsidR="006312E8" w:rsidRPr="006312E8" w:rsidRDefault="006312E8" w:rsidP="006312E8">
      <w:pPr>
        <w:spacing w:after="0" w:line="240" w:lineRule="auto"/>
        <w:jc w:val="center"/>
        <w:rPr>
          <w:rFonts w:ascii="Arial" w:eastAsia="Calibri" w:hAnsi="Arial" w:cs="Arial"/>
          <w:b/>
          <w:lang w:val="es-ES"/>
        </w:rPr>
      </w:pPr>
      <w:bookmarkStart w:id="145" w:name="_Toc392856184"/>
      <w:bookmarkStart w:id="146" w:name="_Toc399335457"/>
      <w:r w:rsidRPr="006312E8">
        <w:rPr>
          <w:rFonts w:ascii="Arial" w:eastAsia="Calibri" w:hAnsi="Arial" w:cs="Arial"/>
          <w:b/>
          <w:lang w:val="es-ES"/>
        </w:rPr>
        <w:t>DE LOS BIENES MUEBLES ESTATALES</w:t>
      </w:r>
      <w:bookmarkEnd w:id="145"/>
      <w:bookmarkEnd w:id="146"/>
    </w:p>
    <w:p w:rsidR="006312E8" w:rsidRPr="006312E8" w:rsidRDefault="006312E8" w:rsidP="006312E8">
      <w:pPr>
        <w:spacing w:after="0" w:line="240" w:lineRule="auto"/>
        <w:jc w:val="center"/>
        <w:rPr>
          <w:rFonts w:ascii="Arial" w:eastAsia="Calibri" w:hAnsi="Arial" w:cs="Arial"/>
          <w:b/>
          <w:lang w:val="es-ES"/>
        </w:rPr>
      </w:pPr>
    </w:p>
    <w:p w:rsidR="006312E8" w:rsidRPr="006312E8" w:rsidRDefault="006312E8" w:rsidP="006312E8">
      <w:pPr>
        <w:spacing w:after="0" w:line="240" w:lineRule="auto"/>
        <w:jc w:val="center"/>
        <w:rPr>
          <w:rFonts w:ascii="Arial" w:eastAsia="Calibri" w:hAnsi="Arial" w:cs="Arial"/>
          <w:b/>
          <w:lang w:val="es-ES"/>
        </w:rPr>
      </w:pPr>
      <w:bookmarkStart w:id="147" w:name="_Toc392856185"/>
      <w:bookmarkStart w:id="148" w:name="_Toc399335458"/>
      <w:r w:rsidRPr="006312E8">
        <w:rPr>
          <w:rFonts w:ascii="Arial" w:eastAsia="Calibri" w:hAnsi="Arial" w:cs="Arial"/>
          <w:b/>
          <w:lang w:val="es-ES"/>
        </w:rPr>
        <w:t>SUBCAPÍTULO I</w:t>
      </w:r>
      <w:bookmarkEnd w:id="147"/>
      <w:bookmarkEnd w:id="148"/>
    </w:p>
    <w:p w:rsidR="006312E8" w:rsidRPr="006312E8" w:rsidRDefault="006312E8" w:rsidP="006312E8">
      <w:pPr>
        <w:spacing w:after="0" w:line="240" w:lineRule="auto"/>
        <w:jc w:val="center"/>
        <w:rPr>
          <w:rFonts w:ascii="Arial" w:eastAsia="Calibri" w:hAnsi="Arial" w:cs="Arial"/>
          <w:b/>
          <w:lang w:val="es-ES"/>
        </w:rPr>
      </w:pPr>
      <w:bookmarkStart w:id="149" w:name="_Toc392856186"/>
      <w:bookmarkStart w:id="150" w:name="_Toc399335459"/>
      <w:r w:rsidRPr="006312E8">
        <w:rPr>
          <w:rFonts w:ascii="Arial" w:eastAsia="Calibri" w:hAnsi="Arial" w:cs="Arial"/>
          <w:b/>
          <w:lang w:val="es-ES"/>
        </w:rPr>
        <w:t>DISPOSICIONES GENERALES</w:t>
      </w:r>
      <w:bookmarkEnd w:id="149"/>
      <w:bookmarkEnd w:id="150"/>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118.- De los órganos responsables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Oficina General de Administración o la que haga sus veces de cada entidad es el órgano responsable del correcto registro, administración y disposición de sus bienes muebles.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En cumplimiento de las funciones que le son propias, el Órgano de Control Institucional participará en calidad de veedor en los procedimientos o actos que realice la entidad sobre su patrimonio mobiliario, de conformidad con la normatividad especial vigente.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119.- Del registro en el SINABIP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Los bienes muebles de propiedad estatal se registran en el SINABIP, sobre la base del inventario conciliado de conformidad con las disposiciones emitidas por la SBN.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127" w:hanging="2127"/>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92471C">
      <w:pPr>
        <w:numPr>
          <w:ilvl w:val="0"/>
          <w:numId w:val="144"/>
        </w:numPr>
        <w:spacing w:after="0" w:line="240" w:lineRule="auto"/>
        <w:jc w:val="both"/>
        <w:rPr>
          <w:rFonts w:ascii="Arial" w:eastAsia="Calibri" w:hAnsi="Arial" w:cs="Arial"/>
          <w:b/>
          <w:color w:val="4F6228"/>
          <w:sz w:val="16"/>
          <w:szCs w:val="16"/>
        </w:rPr>
      </w:pPr>
      <w:hyperlink w:anchor="ley29151" w:history="1">
        <w:r w:rsidR="006312E8" w:rsidRPr="006312E8">
          <w:rPr>
            <w:rFonts w:ascii="Arial" w:eastAsia="Calibri" w:hAnsi="Arial" w:cs="Arial"/>
            <w:b/>
            <w:color w:val="0000FF"/>
            <w:sz w:val="16"/>
            <w:szCs w:val="16"/>
            <w:u w:val="single"/>
          </w:rPr>
          <w:t>Ley Nº 29151</w:t>
        </w:r>
      </w:hyperlink>
      <w:r w:rsidR="006312E8" w:rsidRPr="006312E8">
        <w:rPr>
          <w:rFonts w:ascii="Arial" w:eastAsia="Calibri" w:hAnsi="Arial" w:cs="Arial"/>
          <w:b/>
          <w:color w:val="4F6228"/>
          <w:sz w:val="16"/>
          <w:szCs w:val="16"/>
        </w:rPr>
        <w:t xml:space="preserve"> (art. 12)</w:t>
      </w:r>
    </w:p>
    <w:p w:rsidR="006312E8" w:rsidRPr="006312E8" w:rsidRDefault="006312E8" w:rsidP="0092471C">
      <w:pPr>
        <w:numPr>
          <w:ilvl w:val="0"/>
          <w:numId w:val="144"/>
        </w:num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Directiva N° 001-2015/SBN (numeral 6.7.2)</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120.- De la catalogación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La SBN es la única entidad que aprueba y actualiza el Catálogo Nacional de Bienes Muebles del Estado, el cual contiene los tipos de bienes muebles materia de incorporación al patrimonio estatal.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127" w:hanging="2127"/>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6312E8" w:rsidP="0092471C">
      <w:pPr>
        <w:numPr>
          <w:ilvl w:val="0"/>
          <w:numId w:val="144"/>
        </w:num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Directiva Nº 001-97-SBN-UG-CIMN, aprobada por Resolución Nº 158-97-SBN (art. 1)</w:t>
      </w:r>
    </w:p>
    <w:p w:rsidR="006312E8" w:rsidRPr="006312E8" w:rsidRDefault="006312E8" w:rsidP="0092471C">
      <w:pPr>
        <w:numPr>
          <w:ilvl w:val="0"/>
          <w:numId w:val="144"/>
        </w:num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Directiva N° 001-2015/SBN (numeral 6.7.1)</w:t>
      </w:r>
    </w:p>
    <w:p w:rsidR="006312E8" w:rsidRPr="006312E8" w:rsidRDefault="006312E8" w:rsidP="006312E8">
      <w:pPr>
        <w:spacing w:after="0" w:line="240" w:lineRule="auto"/>
        <w:ind w:left="720"/>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121.- Del inventario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El Inventario es el procedimiento que consiste en verificar físicamente, codificar y registrar los bienes muebles con que cuenta cada entidad a una determinada fecha, con el fin de verificar la existencia de los bienes, contrastar su resultado con el registro contable, investigar las diferencias que pudieran existir y proceder a las regularizaciones que correspondan.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Bajo responsabilidad del Jefe de la Oficina General de Administración o la que haga sus veces, se efectuará un inventario anual en todas las entidades, con fecha de cierre al 31 de diciembre del año inmediato anterior al de su presentación, y deberá ser remitido a la SBN entre los meses de enero y marzo de cada año. La información deberá remitirse a través del Software Inventario Mobiliario Institucional (SIMI), la que será acompañada del Informe Final de Inventario y del Acta de Conciliación.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Para realizar el Inventario se conformará necesariamente la Comisión de Inventario designada por la Oficina General de Administración o la que haga sus veces, la que deberá elaborar el Informe Final de Inventario y firmar el Acta de Conciliación Patrimonio-Contable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Artículo modificado por el Artículo 1 del Decreto Supremo Nº 013-2012-VIVIENDA, publicado el 03 junio 2012</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127" w:hanging="2127"/>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6312E8" w:rsidP="0092471C">
      <w:pPr>
        <w:numPr>
          <w:ilvl w:val="0"/>
          <w:numId w:val="144"/>
        </w:num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Directiva N° 001-2015/SBN (numeral 6.7.3)</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121-A.- De la comunicación de resoluciones a la SBN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Las resoluciones de alta, baja, administración y disposición de bienes muebles deberán ser comunicadas a la SBN, dentro del plazo de diez (10) días hábiles de emitidas, bajo responsabilidad del</w:t>
      </w:r>
      <w:r w:rsidR="00562F2E">
        <w:rPr>
          <w:rFonts w:ascii="Arial" w:eastAsia="Calibri" w:hAnsi="Arial" w:cs="Arial"/>
          <w:lang w:val="es-ES"/>
        </w:rPr>
        <w:t xml:space="preserve"> titular de la entidad pública.</w:t>
      </w:r>
      <w:r w:rsidRPr="006312E8">
        <w:rPr>
          <w:rFonts w:ascii="Arial" w:eastAsia="Calibri" w:hAnsi="Arial" w:cs="Arial"/>
          <w:lang w:val="es-ES"/>
        </w:rPr>
        <w:t xml:space="preserve">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Artículo incorporado por el Artículo 2 del Decreto Supremo Nº 013-2012-VIVIENDA, publicado el 03 junio 2012.</w:t>
      </w:r>
    </w:p>
    <w:p w:rsidR="006312E8" w:rsidRPr="006312E8" w:rsidRDefault="006312E8" w:rsidP="006312E8">
      <w:pPr>
        <w:spacing w:after="0" w:line="240" w:lineRule="auto"/>
        <w:jc w:val="both"/>
        <w:rPr>
          <w:rFonts w:ascii="Arial" w:eastAsia="Calibri" w:hAnsi="Arial" w:cs="Arial"/>
          <w:b/>
          <w:color w:val="FF0000"/>
          <w:sz w:val="16"/>
          <w:szCs w:val="16"/>
          <w:lang w:val="es-ES"/>
        </w:rPr>
      </w:pPr>
    </w:p>
    <w:p w:rsidR="006312E8" w:rsidRPr="006312E8" w:rsidRDefault="006312E8" w:rsidP="006312E8">
      <w:pPr>
        <w:spacing w:after="0" w:line="240" w:lineRule="auto"/>
        <w:jc w:val="center"/>
        <w:rPr>
          <w:rFonts w:ascii="Arial" w:eastAsia="Calibri" w:hAnsi="Arial" w:cs="Arial"/>
          <w:b/>
          <w:lang w:val="es-ES"/>
        </w:rPr>
      </w:pPr>
      <w:bookmarkStart w:id="151" w:name="_Toc392856187"/>
      <w:bookmarkStart w:id="152" w:name="_Toc399335460"/>
      <w:r w:rsidRPr="006312E8">
        <w:rPr>
          <w:rFonts w:ascii="Arial" w:eastAsia="Calibri" w:hAnsi="Arial" w:cs="Arial"/>
          <w:b/>
          <w:lang w:val="es-ES"/>
        </w:rPr>
        <w:t>SUBCAPÍTULO II</w:t>
      </w:r>
      <w:bookmarkEnd w:id="151"/>
      <w:bookmarkEnd w:id="152"/>
    </w:p>
    <w:p w:rsidR="006312E8" w:rsidRPr="006312E8" w:rsidRDefault="006312E8" w:rsidP="006312E8">
      <w:pPr>
        <w:spacing w:after="0" w:line="240" w:lineRule="auto"/>
        <w:jc w:val="center"/>
        <w:rPr>
          <w:rFonts w:ascii="Arial" w:eastAsia="Calibri" w:hAnsi="Arial" w:cs="Arial"/>
          <w:b/>
          <w:lang w:val="es-ES"/>
        </w:rPr>
      </w:pPr>
      <w:bookmarkStart w:id="153" w:name="_Toc392856188"/>
      <w:bookmarkStart w:id="154" w:name="_Toc399335461"/>
      <w:r w:rsidRPr="006312E8">
        <w:rPr>
          <w:rFonts w:ascii="Arial" w:eastAsia="Calibri" w:hAnsi="Arial" w:cs="Arial"/>
          <w:b/>
          <w:lang w:val="es-ES"/>
        </w:rPr>
        <w:t>DE LOS PROCEDIMIENTOS ESPECIFICOS</w:t>
      </w:r>
      <w:bookmarkEnd w:id="153"/>
      <w:bookmarkEnd w:id="154"/>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122.- De los actos de disposición: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disposición de los bienes muebles dados de baja por las entidades deberá ejecutarse dentro de los cinco (5) meses de emitida la Resolución de Baja correspondiente, mediante: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 Subasta pública o restringida,</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 Donación,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 Transferencia, incluyendo la retribución de servicios,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 Permuta,</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 Destrucción, 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 Dación en pago. (*)</w:t>
      </w:r>
    </w:p>
    <w:p w:rsidR="006312E8" w:rsidRPr="006312E8" w:rsidRDefault="006312E8" w:rsidP="006312E8">
      <w:pPr>
        <w:spacing w:after="0" w:line="240" w:lineRule="auto"/>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Artículo modificado por el Artículo 1 del Decreto Supremo N° 007-2010-VIVIENDA, publicado el 06 agosto 2010</w:t>
      </w: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123.- De los actos de administración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Los actos de administración de los bienes muebles se producen por la entrega de la posesión a título gratuito u oneroso y por un plazo determinado, a favor de entidades públicas o privadas, mediante: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 xml:space="preserve">- Afectación en uso,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 xml:space="preserve">- Cesión en uso, o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 xml:space="preserve">- Arrendamiento.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124.- Del procedimiento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La unidad orgánica responsable del control patrimonial emitirá el informe técnico que sustente el acto de disposición o administración a realizar, el mismo que se elevará a la Oficina General de Administración o la que haga sus veces, la que, de encontrarlo conforme, emitirá la Resolución aprobatoria respectiva dentro de los quince (15) días de recibido el citado Informe.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Emitida la Resolución, la unidad orgánica responsable del control patrimonial deberá llevar a cabo las acciones que fueran necesarias para proceder con el acto de administración o disposición, el que se formaliza mediante la suscripción del acta de entrega - recepción en la que se indicará la finalidad, plazo y contraprestación que correspondan.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127" w:hanging="2127"/>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6312E8" w:rsidP="0092471C">
      <w:pPr>
        <w:numPr>
          <w:ilvl w:val="0"/>
          <w:numId w:val="145"/>
        </w:num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Directiva Nº 001-2015/SBN (numeral 5.5)</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125.- De la compraventa por subasta pública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La subasta pública se llevará a cabo en acto público convocado mediante publicación por una vez en el Diario Oficial El Peruano con una anticipación mínima de cinco (05) días hábiles a su fecha de realización; la compraventa se realizará mediante la adjudicación del bien que corresponda al postor que ofrezca la mejor oferta, por encima del precio base determinado a valor comercial.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El monto total recaudado, previa deducción de los gastos respectivos, se distribuirá de la siguiente manera: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 xml:space="preserve">a) 97% serán Recursos Propios de la respectiva entidad.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 xml:space="preserve">b) 3% serán Recursos Propios de la SBN.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El producto de la subasta pública efectuada por la SBN de los bienes que las entidades hayan puesto a su disposición, previa la deducción de los gastos respectivos, se distribuirá de la siguiente forma: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 xml:space="preserve">a) 50% a favor del Tesoro Público.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 xml:space="preserve">b) 50% serán Recursos Propios de la SBN.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127" w:hanging="2127"/>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6312E8" w:rsidP="0092471C">
      <w:pPr>
        <w:numPr>
          <w:ilvl w:val="0"/>
          <w:numId w:val="144"/>
        </w:num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Directiva Nº 001-2015/SBN (numeral 6.5.3)</w:t>
      </w:r>
    </w:p>
    <w:p w:rsidR="006312E8" w:rsidRPr="006312E8" w:rsidRDefault="006312E8" w:rsidP="006312E8">
      <w:pPr>
        <w:spacing w:after="0" w:line="240" w:lineRule="auto"/>
        <w:ind w:left="720"/>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126.- De la compraventa por subasta restringida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Por la subasta restringida se dispone de: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numPr>
          <w:ilvl w:val="0"/>
          <w:numId w:val="37"/>
        </w:num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Lotes de bienes muebles cuyo valor comercial total sea inferior a tres (03) Unidades Impositivas Tributarias. </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6312E8">
      <w:pPr>
        <w:numPr>
          <w:ilvl w:val="0"/>
          <w:numId w:val="37"/>
        </w:num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Los bienes no adjudicados en la subasta pública previamente convocada; el precio base será el precio base de la subasta pública con la deducción del 20%.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El acto se realiza bajo la dirección del área de control patrimonial bajo la modalidad de sobre cerrado, debiendo invitarse a por lo menos tres (03) postores.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El monto total recaudado constituirá recursos propios de la entidad. En el caso de bienes puestos a disposición de la SBN, previa deducción de los gastos respectivos, el monto recaudado se distribuirá de la siguiente forma: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 xml:space="preserve">a) 50% a favor del Tesoro Público.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 xml:space="preserve">b) 50% serán Recursos Propios de la SBN.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127" w:hanging="2127"/>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6312E8" w:rsidP="0092471C">
      <w:pPr>
        <w:numPr>
          <w:ilvl w:val="0"/>
          <w:numId w:val="144"/>
        </w:num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Directiva Nº 001-2015/SBN (numeral 6.5.4)</w:t>
      </w:r>
    </w:p>
    <w:p w:rsidR="006312E8" w:rsidRPr="006312E8" w:rsidRDefault="006312E8" w:rsidP="006312E8">
      <w:pPr>
        <w:spacing w:after="0" w:line="240" w:lineRule="auto"/>
        <w:ind w:left="720"/>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127.- De la permuta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Las entidades no podrán permutar bienes muebles de su propiedad cuyo valor comercial sea superior al 10% del valor comercial de los bienes ofrecidos por un particular. En caso de permuta entre entidades es irrelevante la diferencia del valor.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127" w:hanging="2127"/>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6312E8" w:rsidP="0092471C">
      <w:pPr>
        <w:numPr>
          <w:ilvl w:val="0"/>
          <w:numId w:val="145"/>
        </w:num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Directiva Nº 001-2015/SBN (numeral 6.5.8)</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128.- De la donación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La donación se utiliza inclusive para la transferencia de dominio de bienes muebles entre entidades públicas.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127" w:hanging="2127"/>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6312E8" w:rsidP="0092471C">
      <w:pPr>
        <w:numPr>
          <w:ilvl w:val="0"/>
          <w:numId w:val="145"/>
        </w:num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Directiva Nº 001-2015/SBN (numeral 6.5.1)</w:t>
      </w:r>
    </w:p>
    <w:p w:rsidR="006312E8" w:rsidRPr="006312E8" w:rsidRDefault="006312E8" w:rsidP="006312E8">
      <w:pPr>
        <w:spacing w:after="0" w:line="240" w:lineRule="auto"/>
        <w:ind w:left="720"/>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128-A.- De la aceptación de la donación dentro del territorio nacional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donación de bienes muebles dentro del territorio nacional, que sea efectuada por persona natural o jurídica, entidad privada, gobierno extranjero, sociedad conyugal o la conjunción de cualquiera de ellas, a favor de una entidad pública o del Estado, serán aceptadas mediante Resolución Administrativa de la entidad pública donataria, salvo dis</w:t>
      </w:r>
      <w:r w:rsidR="00562F2E">
        <w:rPr>
          <w:rFonts w:ascii="Arial" w:eastAsia="Calibri" w:hAnsi="Arial" w:cs="Arial"/>
          <w:lang w:val="es-ES"/>
        </w:rPr>
        <w:t>posición especial en contrario.</w:t>
      </w:r>
      <w:r w:rsidRPr="006312E8">
        <w:rPr>
          <w:rFonts w:ascii="Arial" w:eastAsia="Calibri" w:hAnsi="Arial" w:cs="Arial"/>
          <w:lang w:val="es-ES"/>
        </w:rPr>
        <w:t xml:space="preserve">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Artículo incorporado por el Artículo 2 del Decreto Supremo Nº 013-2012-VIVIENDA, publicado el 03 junio 2012.</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127" w:hanging="2127"/>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6312E8" w:rsidP="0092471C">
      <w:pPr>
        <w:numPr>
          <w:ilvl w:val="0"/>
          <w:numId w:val="145"/>
        </w:num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Directiva Nº 009-2002/SBN, aprobada por Resolución Nº 031-2002-SBN (art. 3 numeral 3.1.2)</w:t>
      </w:r>
    </w:p>
    <w:p w:rsidR="006312E8" w:rsidRPr="006312E8" w:rsidRDefault="006312E8" w:rsidP="0092471C">
      <w:pPr>
        <w:numPr>
          <w:ilvl w:val="0"/>
          <w:numId w:val="145"/>
        </w:num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Directiva Nº 001-2015/SBN (numeral 6.3.1)</w:t>
      </w:r>
    </w:p>
    <w:p w:rsidR="006312E8" w:rsidRPr="006312E8" w:rsidRDefault="006312E8" w:rsidP="006312E8">
      <w:pPr>
        <w:spacing w:after="0" w:line="240" w:lineRule="auto"/>
        <w:ind w:left="720"/>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129.- De la destrucción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La destrucción es la eliminación como residuos sólidos de aquellos bienes muebles dados de baja que se encuentran deteriorados y no tienen posibilidad de uso o recuperación.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127" w:hanging="2127"/>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6312E8" w:rsidP="0092471C">
      <w:pPr>
        <w:numPr>
          <w:ilvl w:val="0"/>
          <w:numId w:val="145"/>
        </w:num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Directiva Nº 001-2015/SBN (6.5.9)</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130.- De la afectación en uso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Por la afectación en uso una entidad entrega, a título gratuito y por un plazo de dos (02) años, la posesión de bienes muebles de su propiedad a favor de otra entidad. Dicho plazo puede ser renovado por única vez.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127" w:hanging="2127"/>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6312E8" w:rsidP="0092471C">
      <w:pPr>
        <w:numPr>
          <w:ilvl w:val="0"/>
          <w:numId w:val="145"/>
        </w:num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Directiva Nº 001-2015/SBN (numeral 6.4.1)</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131.- De la cesión en uso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Por la cesión una entidad, en forma excepcional y debidamente justificada, entrega la posesión de bienes muebles de su propiedad, a título gratuito y por el plazo de un (01) año, a favor de particulares sin fines de lucro para que sean destinados al cumplimiento de actividades de interés y desarrollo social. Dicho plazo puede ser renovado por única vez.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127" w:hanging="2127"/>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6312E8" w:rsidP="0092471C">
      <w:pPr>
        <w:numPr>
          <w:ilvl w:val="0"/>
          <w:numId w:val="145"/>
        </w:num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Directiva Nº 001-2015/SBN (numeral 6.4.2)</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132.- De la supletoriedad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Las normas previstas en el Reglamento para los bienes inmuebles son de aplicación a los bienes muebles en lo que les fuere pertinente. </w:t>
      </w:r>
    </w:p>
    <w:p w:rsidR="006312E8" w:rsidRPr="006312E8" w:rsidRDefault="006312E8" w:rsidP="006312E8">
      <w:pPr>
        <w:spacing w:after="0" w:line="240" w:lineRule="auto"/>
        <w:ind w:left="2127" w:hanging="2127"/>
        <w:jc w:val="both"/>
        <w:rPr>
          <w:rFonts w:ascii="Arial" w:eastAsia="Calibri" w:hAnsi="Arial" w:cs="Arial"/>
          <w:b/>
          <w:color w:val="4F6228"/>
          <w:sz w:val="16"/>
          <w:szCs w:val="16"/>
        </w:rPr>
      </w:pPr>
    </w:p>
    <w:p w:rsidR="006312E8" w:rsidRPr="006312E8" w:rsidRDefault="006312E8" w:rsidP="006312E8">
      <w:pPr>
        <w:spacing w:after="0" w:line="240" w:lineRule="auto"/>
        <w:ind w:left="2127" w:hanging="2127"/>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92471C">
      <w:pPr>
        <w:numPr>
          <w:ilvl w:val="0"/>
          <w:numId w:val="145"/>
        </w:numPr>
        <w:spacing w:after="0" w:line="240" w:lineRule="auto"/>
        <w:jc w:val="both"/>
        <w:rPr>
          <w:rFonts w:ascii="Arial" w:eastAsia="Calibri" w:hAnsi="Arial" w:cs="Arial"/>
          <w:b/>
          <w:color w:val="4F6228"/>
          <w:sz w:val="16"/>
          <w:szCs w:val="16"/>
        </w:rPr>
      </w:pPr>
      <w:hyperlink w:anchor="ley29151" w:history="1">
        <w:r w:rsidR="006312E8" w:rsidRPr="006312E8">
          <w:rPr>
            <w:rFonts w:ascii="Arial" w:eastAsia="Calibri" w:hAnsi="Arial" w:cs="Arial"/>
            <w:b/>
            <w:color w:val="0000FF"/>
            <w:sz w:val="16"/>
            <w:szCs w:val="16"/>
            <w:u w:val="single"/>
          </w:rPr>
          <w:t>Ley Nº 29151</w:t>
        </w:r>
      </w:hyperlink>
      <w:r w:rsidR="006312E8" w:rsidRPr="006312E8">
        <w:rPr>
          <w:rFonts w:ascii="Arial" w:eastAsia="Calibri" w:hAnsi="Arial" w:cs="Arial"/>
          <w:b/>
          <w:color w:val="4F6228"/>
          <w:sz w:val="16"/>
          <w:szCs w:val="16"/>
        </w:rPr>
        <w:t xml:space="preserve"> (art. 3)</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133.- De la transferencia en retribución de servicios y de la dación en pago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Los bienes muebles dados de baja pueden ser transferidos por la entidad propietaria en favor de otra entidad o de particulares, en contraprestación por servicios, así como en pago de cualquier deuda.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Los bienes muebles que entregará la entidad pública deberán ser tasados a valor comercial”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127" w:hanging="2127"/>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6312E8" w:rsidP="0092471C">
      <w:pPr>
        <w:numPr>
          <w:ilvl w:val="0"/>
          <w:numId w:val="145"/>
        </w:num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Directiva Nº 001-2015/SBN (numerales 6.5.10 y 6.5.11)</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Artículo incorporado por el Artículo 2 del Decreto Supremo N° 007-2010-VIVIENDA, publicado el 06 agosto 2010.</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bookmarkStart w:id="155" w:name="_Toc392856189"/>
      <w:bookmarkStart w:id="156" w:name="_Toc399335462"/>
      <w:r w:rsidRPr="006312E8">
        <w:rPr>
          <w:rFonts w:ascii="Arial" w:eastAsia="Calibri" w:hAnsi="Arial" w:cs="Arial"/>
          <w:b/>
          <w:lang w:val="es-ES"/>
        </w:rPr>
        <w:t>DISPOSICIONES COMPLEMENTARIAS FINALES</w:t>
      </w:r>
      <w:bookmarkEnd w:id="155"/>
      <w:bookmarkEnd w:id="156"/>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Primera.- Adecuación de los procedimientos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En un plazo de ciento veinte (120) días calendario computados a partir de la vigencia del presente Reglamento, las entidades adecuarán sus procedimientos a lo establecido en la presente norma. </w:t>
      </w: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Segunda.- Desactivación del Comité de Gestión Patrimonial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Las entidades deberán desactivar los Comités de Gestión Patrimonial una vez efectuada la adecuación referida en el artículo precedente. Dentro del mismo plazo, los Comités de Gestión Patrimonial deberán entregar a la unidad orgánica responsable del control patrimonial el acervo documentario que tuvieren bajo su custodia.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Tercera.- De la unidad orgánica responsable del control patrimonial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Las entidades que no cuenten con la unidad orgánica responsable de las acciones sobre los bienes estatales a que se refiere el artículo 11 del Reglamento, en un plazo de ciento veinte (120) días calendario contados desde su vigencia deberán designar a dicha unidad, en caso contrario sus funciones corresponden a la Oficina General de Administración o la que haga sus veces.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Cuarta.- Denominación del titular de los bienes estatales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Los títulos otorgados a nombre del Fisco, Supremo Gobierno, Hacienda Pública, Dirección General de Bienes Nacionales u otra entidad que haya tenido a su cargo la administración de los bienes del Estado, debe considerarse como extendidos a favor del Estado.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Los bienes inscritos en los Registros Públicos a nombre del Fisco, Supremo Gobierno, Hacienda Pública, Dirección General de Bienes Nacionales u otra entidad que haya tenido a su cargo la administración de los bienes del Estado son de propiedad del Estado, debiendo efectuarse la aclaración registral correspondiente a solicitud de cualquiera de las entidades. </w:t>
      </w: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Quinta.- Aplicación supletoria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Ante los vacíos de las normas contenidas en el Reglamento, son de aplicación supletoria las normas y principios del derecho administrativo, y las del derecho común, atendiendo a la naturaleza de los actos y fines de las entidades involucradas.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Sexta.- Bienes de entidades extintas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Los bienes comprendidos en los procesos de extinción de entidades cuyo destino no se haya previsto, serán incorporados por la SBN como bienes de propiedad del Estado.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Sétima.- De la reversión de bienes entregados con anterioridad a la vigencia de la Ley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La reversión de adjudicaciones o transferencias dispuestas por actos anteriores a la vigencia de la Ley, se efectuará de acuerdo a lo siguiente: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numPr>
          <w:ilvl w:val="0"/>
          <w:numId w:val="38"/>
        </w:numPr>
        <w:spacing w:after="0" w:line="240" w:lineRule="auto"/>
        <w:contextualSpacing/>
        <w:jc w:val="both"/>
        <w:rPr>
          <w:rFonts w:ascii="Arial" w:eastAsia="Calibri" w:hAnsi="Arial" w:cs="Arial"/>
          <w:lang w:val="es-ES"/>
        </w:rPr>
      </w:pPr>
      <w:r w:rsidRPr="006312E8">
        <w:rPr>
          <w:rFonts w:ascii="Arial" w:eastAsia="Calibri" w:hAnsi="Arial" w:cs="Arial"/>
          <w:lang w:val="es-ES"/>
        </w:rPr>
        <w:t>Cuando no se hubiera establecido el plazo de la adjudicación o transferencia, éste quedará reducido a dos (02) años.</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6312E8">
      <w:pPr>
        <w:numPr>
          <w:ilvl w:val="0"/>
          <w:numId w:val="38"/>
        </w:num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La reversión operará aún en el caso que no se haya establecido la sanción de reversión. </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38"/>
        </w:num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Vencido el plazo o de verificarse el incumplimiento de la finalidad, la SBN o el Gobierno Regional, de acuerdo a sus competencias, notificarán al interesado para que formulen sus descargos en el plazo de quince (15) días hábiles. </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38"/>
        </w:num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En cualquier caso, los interesados podrán solicitar una prórroga al plazo referido en el numeral 1 que antecede, sustentando debidamente su pedido; la prórroga será otorgada por la entidad que fuere competente, en función a la envergadura del proyecto respectivo.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Octava.- Saneamiento de bienes estatales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El saneamiento de los bienes estatales se realizará de acuerdo a lo siguiente: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firstLine="708"/>
        <w:jc w:val="both"/>
        <w:rPr>
          <w:rFonts w:ascii="Arial" w:eastAsia="Calibri" w:hAnsi="Arial" w:cs="Arial"/>
          <w:lang w:val="es-ES"/>
        </w:rPr>
      </w:pPr>
      <w:r w:rsidRPr="006312E8">
        <w:rPr>
          <w:rFonts w:ascii="Arial" w:eastAsia="Calibri" w:hAnsi="Arial" w:cs="Arial"/>
          <w:lang w:val="es-ES"/>
        </w:rPr>
        <w:t>1. En caso que la SBN, al efectuar su función de supervisión, detectara: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numPr>
          <w:ilvl w:val="0"/>
          <w:numId w:val="39"/>
        </w:numPr>
        <w:spacing w:after="0" w:line="240" w:lineRule="auto"/>
        <w:ind w:left="1701"/>
        <w:contextualSpacing/>
        <w:jc w:val="both"/>
        <w:rPr>
          <w:rFonts w:ascii="Arial" w:eastAsia="Calibri" w:hAnsi="Arial" w:cs="Arial"/>
          <w:lang w:val="es-ES"/>
        </w:rPr>
      </w:pPr>
      <w:r w:rsidRPr="006312E8">
        <w:rPr>
          <w:rFonts w:ascii="Arial" w:eastAsia="Calibri" w:hAnsi="Arial" w:cs="Arial"/>
          <w:lang w:val="es-ES"/>
        </w:rPr>
        <w:t>La cancelación en Registros Públicos de derechos del Estado producto de una indebida aplicación de normas especiales de saneamiento, emitirá una Resolución aclarando la inscripción de dominio a favor del Estado, la misma que tendrá mérito inscribible ante Registros Públicos.</w:t>
      </w:r>
    </w:p>
    <w:p w:rsidR="006312E8" w:rsidRPr="006312E8" w:rsidRDefault="006312E8" w:rsidP="006312E8">
      <w:pPr>
        <w:spacing w:after="0" w:line="240" w:lineRule="auto"/>
        <w:ind w:left="1701"/>
        <w:contextualSpacing/>
        <w:jc w:val="both"/>
        <w:rPr>
          <w:rFonts w:ascii="Arial" w:eastAsia="Calibri" w:hAnsi="Arial" w:cs="Arial"/>
          <w:lang w:val="es-ES"/>
        </w:rPr>
      </w:pPr>
    </w:p>
    <w:p w:rsidR="006312E8" w:rsidRPr="006312E8" w:rsidRDefault="006312E8" w:rsidP="006312E8">
      <w:pPr>
        <w:numPr>
          <w:ilvl w:val="0"/>
          <w:numId w:val="39"/>
        </w:numPr>
        <w:spacing w:after="0" w:line="240" w:lineRule="auto"/>
        <w:ind w:left="1701"/>
        <w:contextualSpacing/>
        <w:jc w:val="both"/>
        <w:rPr>
          <w:rFonts w:ascii="Arial" w:eastAsia="Calibri" w:hAnsi="Arial" w:cs="Arial"/>
          <w:lang w:val="es-ES"/>
        </w:rPr>
      </w:pPr>
      <w:r w:rsidRPr="006312E8">
        <w:rPr>
          <w:rFonts w:ascii="Arial" w:eastAsia="Calibri" w:hAnsi="Arial" w:cs="Arial"/>
          <w:lang w:val="es-ES"/>
        </w:rPr>
        <w:t>La inscripción en primera de dominio a favor de Gobiernos Regionales o Locales sin contar con facultades para ello, emitirá una Resolución aclarando la titularidad de dominio a favor del Estado, la misma que tendrá mérito inscribible ante Registros Públicos, quedando a salvo el derecho de los adquirentes de buena fe.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numPr>
          <w:ilvl w:val="0"/>
          <w:numId w:val="40"/>
        </w:numPr>
        <w:spacing w:after="0" w:line="240" w:lineRule="auto"/>
        <w:ind w:left="993"/>
        <w:contextualSpacing/>
        <w:jc w:val="both"/>
        <w:rPr>
          <w:rFonts w:ascii="Arial" w:eastAsia="Calibri" w:hAnsi="Arial" w:cs="Arial"/>
          <w:lang w:val="es-ES"/>
        </w:rPr>
      </w:pPr>
      <w:r w:rsidRPr="006312E8">
        <w:rPr>
          <w:rFonts w:ascii="Arial" w:eastAsia="Calibri" w:hAnsi="Arial" w:cs="Arial"/>
          <w:lang w:val="es-ES"/>
        </w:rPr>
        <w:t>El Registrador Público, por el solo mérito de las Resoluciones mencionadas en el numeral que antecede, a las que se anexará el Plano Perimétrico y Memoria Descriptiva, cuando el caso lo amerite, realizará la inscripción de dichos actos.</w:t>
      </w:r>
    </w:p>
    <w:p w:rsidR="006312E8" w:rsidRPr="006312E8" w:rsidRDefault="006312E8" w:rsidP="006312E8">
      <w:pPr>
        <w:spacing w:after="0" w:line="240" w:lineRule="auto"/>
        <w:ind w:left="993"/>
        <w:contextualSpacing/>
        <w:jc w:val="both"/>
        <w:rPr>
          <w:rFonts w:ascii="Arial" w:eastAsia="Calibri" w:hAnsi="Arial" w:cs="Arial"/>
          <w:lang w:val="es-ES"/>
        </w:rPr>
      </w:pPr>
    </w:p>
    <w:p w:rsidR="006312E8" w:rsidRPr="006312E8" w:rsidRDefault="006312E8" w:rsidP="006312E8">
      <w:pPr>
        <w:numPr>
          <w:ilvl w:val="0"/>
          <w:numId w:val="40"/>
        </w:numPr>
        <w:spacing w:after="0" w:line="240" w:lineRule="auto"/>
        <w:ind w:left="993"/>
        <w:contextualSpacing/>
        <w:jc w:val="both"/>
        <w:rPr>
          <w:rFonts w:ascii="Arial" w:eastAsia="Calibri" w:hAnsi="Arial" w:cs="Arial"/>
          <w:lang w:val="es-ES"/>
        </w:rPr>
      </w:pPr>
      <w:r w:rsidRPr="006312E8">
        <w:rPr>
          <w:rFonts w:ascii="Arial" w:eastAsia="Calibri" w:hAnsi="Arial" w:cs="Arial"/>
          <w:lang w:val="es-ES"/>
        </w:rPr>
        <w:t xml:space="preserve">El saneamiento de bienes estatales a cargo de las entidades, se regula por las Leyes Nos. 26512 y 27493, por el Decreto de Urgencia Nº 071-2001, por los Decretos Supremos Nºs. 130 y 136-2001-EF, y demás normas complementarias y conexas. </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0"/>
          <w:numId w:val="40"/>
        </w:numPr>
        <w:spacing w:after="0" w:line="240" w:lineRule="auto"/>
        <w:ind w:left="993"/>
        <w:contextualSpacing/>
        <w:jc w:val="both"/>
        <w:rPr>
          <w:rFonts w:ascii="Arial" w:eastAsia="Calibri" w:hAnsi="Arial" w:cs="Arial"/>
          <w:lang w:val="es-ES"/>
        </w:rPr>
      </w:pPr>
      <w:r w:rsidRPr="006312E8">
        <w:rPr>
          <w:rFonts w:ascii="Arial" w:eastAsia="Calibri" w:hAnsi="Arial" w:cs="Arial"/>
          <w:lang w:val="es-ES"/>
        </w:rPr>
        <w:t>La rectificación del área, perímetro y linderos de los predios estatales podrá ser aprobada con Resolución del Gobierno Regional o la SBN de acuerdo con sus competencias. (*)</w:t>
      </w:r>
    </w:p>
    <w:p w:rsidR="006312E8" w:rsidRPr="006312E8" w:rsidRDefault="006312E8" w:rsidP="006312E8">
      <w:pPr>
        <w:spacing w:after="0" w:line="240" w:lineRule="auto"/>
        <w:ind w:left="1134"/>
        <w:jc w:val="both"/>
        <w:rPr>
          <w:rFonts w:ascii="Arial" w:eastAsia="Calibri" w:hAnsi="Arial" w:cs="Arial"/>
          <w:b/>
          <w:i/>
          <w:color w:val="FF0000"/>
          <w:sz w:val="16"/>
          <w:szCs w:val="16"/>
          <w:lang w:val="es-ES"/>
        </w:rPr>
      </w:pPr>
    </w:p>
    <w:p w:rsidR="006312E8" w:rsidRPr="006312E8" w:rsidRDefault="006312E8" w:rsidP="006312E8">
      <w:pPr>
        <w:spacing w:after="0" w:line="240" w:lineRule="auto"/>
        <w:ind w:left="1134"/>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Disposición modificada por el Artículo 1 del Decreto Supremo Nº 017-2009-VIVIENDA, publicado el 24 octubre 2009</w:t>
      </w:r>
    </w:p>
    <w:p w:rsidR="006312E8" w:rsidRPr="006312E8" w:rsidRDefault="006312E8" w:rsidP="006312E8">
      <w:pPr>
        <w:spacing w:after="0" w:line="240" w:lineRule="auto"/>
        <w:ind w:left="993"/>
        <w:contextualSpacing/>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Novena.- De la normatividad aplicable a las misiones en el exterior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Los actos referidos a la adquisición, construcción, permuta o venta de inmuebles en el exterior, por parte del Ministerio de Relaciones Exteriores, o cesión en uso de una propiedad del Estado, representado por el citado Ministerio, en el territorio nacional y aceptar a cambio una propiedad en el exterior en aplicación del principio de reciprocidad, se rigen por lo dispuesto en el Decreto Supremo Nº 064-2007-RE, así como por lo dispuesto en el presente Reglamento, en lo que le fuera aplicable.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Décima.- Vigencia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El Reglamento entrará en vigencia a partir del día siguiente de su publicación. </w:t>
      </w:r>
    </w:p>
    <w:p w:rsidR="006312E8" w:rsidRPr="006312E8" w:rsidRDefault="006312E8" w:rsidP="006312E8">
      <w:pPr>
        <w:spacing w:after="0" w:line="240" w:lineRule="auto"/>
        <w:jc w:val="center"/>
        <w:rPr>
          <w:rFonts w:ascii="Arial" w:eastAsia="Calibri" w:hAnsi="Arial" w:cs="Arial"/>
          <w:b/>
          <w:lang w:val="es-ES"/>
        </w:rPr>
      </w:pPr>
    </w:p>
    <w:p w:rsidR="006312E8" w:rsidRPr="006312E8" w:rsidRDefault="006312E8" w:rsidP="006312E8">
      <w:pPr>
        <w:spacing w:after="0" w:line="240" w:lineRule="auto"/>
        <w:jc w:val="center"/>
        <w:rPr>
          <w:rFonts w:ascii="Arial" w:eastAsia="Calibri" w:hAnsi="Arial" w:cs="Arial"/>
          <w:b/>
          <w:lang w:val="es-ES"/>
        </w:rPr>
      </w:pPr>
      <w:bookmarkStart w:id="157" w:name="_Toc392856190"/>
      <w:bookmarkStart w:id="158" w:name="_Toc399335463"/>
      <w:r w:rsidRPr="006312E8">
        <w:rPr>
          <w:rFonts w:ascii="Arial" w:eastAsia="Calibri" w:hAnsi="Arial" w:cs="Arial"/>
          <w:b/>
          <w:lang w:val="es-ES"/>
        </w:rPr>
        <w:t>DISPOSICIONES COMPLEMENTARIAS TRANSITORIAS</w:t>
      </w:r>
      <w:bookmarkEnd w:id="157"/>
      <w:bookmarkEnd w:id="158"/>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Primera.- Competencia Transitoria de la SBN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En tanto no concluya el proceso de transferencia de funciones a los Gobiernos Regionales para la administración y disposición de los predios estatales conforme a la Ley Nº 27783 - Ley de Bases de la Descentralización, la SBN continuará ejerciendo dichas funciones conforme a la normatividad vigente.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Segunda.- Adecuación de la afectación y cesión en uso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Las afectaciones y cesiones en uso otorgadas antes de la vigencia de la Ley, se adecuarán a las normas establecidas en el Reglamento.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Tercera.- De la transferencia de predios que sirven de soporte para la prestación de servicios públicos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Los predios que estén siendo destinados al uso público o que constituyan parte de una infraestructura para la prestación de un servicio público, podrán ser transferidos a título gratuito por la entidad titular o, cuando el bien es de titularidad del Estado, por la SBN, en favor de la entidad responsable de la administración del bien o</w:t>
      </w:r>
      <w:r w:rsidR="00562F2E">
        <w:rPr>
          <w:rFonts w:ascii="Arial" w:eastAsia="Calibri" w:hAnsi="Arial" w:cs="Arial"/>
          <w:lang w:val="es-ES"/>
        </w:rPr>
        <w:t xml:space="preserve"> de la prestación del servicio.</w:t>
      </w:r>
      <w:r w:rsidRPr="006312E8">
        <w:rPr>
          <w:rFonts w:ascii="Arial" w:eastAsia="Calibri" w:hAnsi="Arial" w:cs="Arial"/>
          <w:lang w:val="es-ES"/>
        </w:rPr>
        <w:t xml:space="preserve">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Disposición incorporada por el Artículo 2 del Decreto Supremo Nº 013-2012-VIVIENDA, publicado el 03 junio 2012.</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127" w:hanging="2127"/>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92471C">
      <w:pPr>
        <w:numPr>
          <w:ilvl w:val="0"/>
          <w:numId w:val="145"/>
        </w:numPr>
        <w:spacing w:after="0" w:line="240" w:lineRule="auto"/>
        <w:jc w:val="both"/>
        <w:rPr>
          <w:rFonts w:ascii="Arial" w:eastAsia="Calibri" w:hAnsi="Arial" w:cs="Arial"/>
          <w:b/>
          <w:color w:val="4F6228"/>
          <w:sz w:val="16"/>
          <w:szCs w:val="16"/>
        </w:rPr>
      </w:pPr>
      <w:hyperlink w:anchor="DS007" w:history="1">
        <w:r w:rsidR="006312E8" w:rsidRPr="006312E8">
          <w:rPr>
            <w:rFonts w:ascii="Arial" w:eastAsia="Calibri" w:hAnsi="Arial" w:cs="Arial"/>
            <w:b/>
            <w:color w:val="0000FF"/>
            <w:sz w:val="16"/>
            <w:szCs w:val="16"/>
            <w:u w:val="single"/>
          </w:rPr>
          <w:t>Decreto Supremo Nº 007-2008-VIVIENDA</w:t>
        </w:r>
      </w:hyperlink>
      <w:r w:rsidR="006312E8" w:rsidRPr="006312E8">
        <w:rPr>
          <w:rFonts w:ascii="Arial" w:eastAsia="Calibri" w:hAnsi="Arial" w:cs="Arial"/>
          <w:b/>
          <w:color w:val="4F6228"/>
          <w:sz w:val="16"/>
          <w:szCs w:val="16"/>
        </w:rPr>
        <w:t xml:space="preserve"> (art. 62)</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bookmarkStart w:id="159" w:name="_Toc392856191"/>
      <w:bookmarkStart w:id="160" w:name="_Toc399335464"/>
      <w:r w:rsidRPr="006312E8">
        <w:rPr>
          <w:rFonts w:ascii="Arial" w:eastAsia="Calibri" w:hAnsi="Arial" w:cs="Arial"/>
          <w:b/>
          <w:lang w:val="es-ES"/>
        </w:rPr>
        <w:t>DISPOSICION COMPLEMENTARIA MODIFICATORIA</w:t>
      </w:r>
      <w:bookmarkEnd w:id="159"/>
      <w:bookmarkEnd w:id="160"/>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b/>
          <w:lang w:val="es-ES"/>
        </w:rPr>
        <w:t>Única.-</w:t>
      </w:r>
      <w:r w:rsidRPr="006312E8">
        <w:rPr>
          <w:rFonts w:ascii="Arial" w:eastAsia="Calibri" w:hAnsi="Arial" w:cs="Arial"/>
          <w:lang w:val="es-ES"/>
        </w:rPr>
        <w:t xml:space="preserve"> Modifíquese los artículos 7 inciso d), 8, 9, 10 y 11 del Decreto Supremo Nº 130-2001-EF, los que quedarán redactados conforme en los siguientes términos: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w:t>
      </w:r>
      <w:r w:rsidRPr="006312E8">
        <w:rPr>
          <w:rFonts w:ascii="Arial" w:eastAsia="Calibri" w:hAnsi="Arial" w:cs="Arial"/>
          <w:b/>
          <w:lang w:val="es-ES"/>
        </w:rPr>
        <w:t>Artículo 7.-</w:t>
      </w:r>
      <w:r w:rsidRPr="006312E8">
        <w:rPr>
          <w:rFonts w:ascii="Arial" w:eastAsia="Calibri" w:hAnsi="Arial" w:cs="Arial"/>
          <w:lang w:val="es-ES"/>
        </w:rPr>
        <w:t xml:space="preserve"> Las inscripciones a ser realizadas al amparo del presente Decreto Supremo, comprenden los siguientes actos: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 xml:space="preserve">(...).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d) Declaratorias o constataciones de fábrica, así como ampliaciones o aclaraciones de la descripción de fábrica, demolición.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 xml:space="preserve">(...).”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w:t>
      </w:r>
      <w:r w:rsidRPr="006312E8">
        <w:rPr>
          <w:rFonts w:ascii="Arial" w:eastAsia="Calibri" w:hAnsi="Arial" w:cs="Arial"/>
          <w:b/>
          <w:lang w:val="es-ES"/>
        </w:rPr>
        <w:t>Artículo 8.-</w:t>
      </w:r>
      <w:r w:rsidRPr="006312E8">
        <w:rPr>
          <w:rFonts w:ascii="Arial" w:eastAsia="Calibri" w:hAnsi="Arial" w:cs="Arial"/>
          <w:lang w:val="es-ES"/>
        </w:rPr>
        <w:t xml:space="preserve"> Las entidades públicas deberán publicar por una (01) vez en el Diario Oficial “El Peruano” y en otro de circulación regional, así como en la Página Web institucional, la relación de bienes y actos materia de saneamiento.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Los terceros que se sientan afectados en algún derecho podrán oponerse judicialmente a la inscripción definitiva.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El ejercicio del derecho de oposición suspende el proceso de inscripción registral definitiva, quedando vigente la inscripción provisional hasta que se resuelva la oposición judicial.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Cuando la afectada sea una entidad estatal, ésta podrá solicitar ante la SBN la oposición del trámite del saneamiento promovido. Esta solicitud suspenderá el proceso de inscripción registral definitiva hasta su resolución por ésta, la que deberá pronunciarse en un plazo no mayor de treinta (30) días hábiles.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La Resolución de la SBN tiene mérito suficiente para su inscripción registral definitiva a favor de la entidad estatal que señale.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Transcurrido el plazo antes indicado sin pronunciamiento de la SBN, el Registrador, a solicitud de la entidad interesada y por el solo mérito de la verificación del transcurso del plazo, procederá a la inscripción definitiva del acto registral.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En caso de que la SBN resulte ser la entidad afectada por el trámite de saneamiento a cargo de otra entidad, corresponde al Órgano de Revisión de la SBN resolver la oposición formulada por aquélla.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b/>
          <w:lang w:val="es-ES"/>
        </w:rPr>
        <w:t>“Artículo 9.-</w:t>
      </w:r>
      <w:r w:rsidRPr="006312E8">
        <w:rPr>
          <w:rFonts w:ascii="Arial" w:eastAsia="Calibri" w:hAnsi="Arial" w:cs="Arial"/>
          <w:lang w:val="es-ES"/>
        </w:rPr>
        <w:t xml:space="preserve"> Efectuada la publicación referida en el artículo precedente y dentro de un plazo no mayor a sesenta (60) días calendarios, las entidades públicas deberán presentar ante el Registro de Predios la solicitud de anotación preventiva adjuntando los siguientes documentos: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567" w:hanging="141"/>
        <w:jc w:val="both"/>
        <w:rPr>
          <w:rFonts w:ascii="Arial" w:eastAsia="Calibri" w:hAnsi="Arial" w:cs="Arial"/>
          <w:lang w:val="es-ES"/>
        </w:rPr>
      </w:pPr>
      <w:r w:rsidRPr="006312E8">
        <w:rPr>
          <w:rFonts w:ascii="Arial" w:eastAsia="Calibri" w:hAnsi="Arial" w:cs="Arial"/>
          <w:lang w:val="es-ES"/>
        </w:rPr>
        <w:t xml:space="preserve">- </w:t>
      </w:r>
      <w:r w:rsidRPr="006312E8">
        <w:rPr>
          <w:rFonts w:ascii="Arial" w:eastAsia="Calibri" w:hAnsi="Arial" w:cs="Arial"/>
          <w:lang w:val="es-ES"/>
        </w:rPr>
        <w:tab/>
        <w:t>Declaración Jurada mencionando el documento en el que sustenta su derecho y manifestando que los inmuebles y derechos materia de los actos que se pretenden inscribir, rectificar o aclarar en el Registro, no son materia de procedimiento judicial alguno en el que se cuestione la titularidad del bien.</w:t>
      </w:r>
    </w:p>
    <w:p w:rsidR="006312E8" w:rsidRPr="006312E8" w:rsidRDefault="006312E8" w:rsidP="006312E8">
      <w:pPr>
        <w:spacing w:after="0" w:line="240" w:lineRule="auto"/>
        <w:ind w:left="567" w:hanging="141"/>
        <w:jc w:val="both"/>
        <w:rPr>
          <w:rFonts w:ascii="Arial" w:eastAsia="Calibri" w:hAnsi="Arial" w:cs="Arial"/>
          <w:lang w:val="es-ES"/>
        </w:rPr>
      </w:pPr>
    </w:p>
    <w:p w:rsidR="006312E8" w:rsidRPr="006312E8" w:rsidRDefault="006312E8" w:rsidP="006312E8">
      <w:pPr>
        <w:spacing w:after="0" w:line="240" w:lineRule="auto"/>
        <w:ind w:left="567" w:hanging="141"/>
        <w:jc w:val="both"/>
        <w:rPr>
          <w:rFonts w:ascii="Arial" w:eastAsia="Calibri" w:hAnsi="Arial" w:cs="Arial"/>
          <w:lang w:val="es-ES"/>
        </w:rPr>
      </w:pPr>
      <w:r w:rsidRPr="006312E8">
        <w:rPr>
          <w:rFonts w:ascii="Arial" w:eastAsia="Calibri" w:hAnsi="Arial" w:cs="Arial"/>
          <w:lang w:val="es-ES"/>
        </w:rPr>
        <w:t xml:space="preserve">- </w:t>
      </w:r>
      <w:r w:rsidRPr="006312E8">
        <w:rPr>
          <w:rFonts w:ascii="Arial" w:eastAsia="Calibri" w:hAnsi="Arial" w:cs="Arial"/>
          <w:lang w:val="es-ES"/>
        </w:rPr>
        <w:tab/>
        <w:t xml:space="preserve">La memoria descriptiva correspondiente a la realidad actual del área, linderos y medidas perimétricas del terreno, así como de las construcciones existentes con independencia de las fechas en que pudieran haberse efectuado, las que se regularizarán con este único documento. </w:t>
      </w:r>
    </w:p>
    <w:p w:rsidR="006312E8" w:rsidRPr="006312E8" w:rsidRDefault="006312E8" w:rsidP="006312E8">
      <w:pPr>
        <w:spacing w:after="0" w:line="240" w:lineRule="auto"/>
        <w:ind w:left="567" w:hanging="141"/>
        <w:jc w:val="both"/>
        <w:rPr>
          <w:rFonts w:ascii="Arial" w:eastAsia="Calibri" w:hAnsi="Arial" w:cs="Arial"/>
          <w:lang w:val="es-ES"/>
        </w:rPr>
      </w:pPr>
    </w:p>
    <w:p w:rsidR="006312E8" w:rsidRPr="006312E8" w:rsidRDefault="006312E8" w:rsidP="006312E8">
      <w:pPr>
        <w:spacing w:after="0" w:line="240" w:lineRule="auto"/>
        <w:ind w:left="567" w:hanging="141"/>
        <w:jc w:val="both"/>
        <w:rPr>
          <w:rFonts w:ascii="Arial" w:eastAsia="Calibri" w:hAnsi="Arial" w:cs="Arial"/>
          <w:lang w:val="es-ES"/>
        </w:rPr>
      </w:pPr>
      <w:r w:rsidRPr="006312E8">
        <w:rPr>
          <w:rFonts w:ascii="Arial" w:eastAsia="Calibri" w:hAnsi="Arial" w:cs="Arial"/>
          <w:lang w:val="es-ES"/>
        </w:rPr>
        <w:t xml:space="preserve">- </w:t>
      </w:r>
      <w:r w:rsidRPr="006312E8">
        <w:rPr>
          <w:rFonts w:ascii="Arial" w:eastAsia="Calibri" w:hAnsi="Arial" w:cs="Arial"/>
          <w:lang w:val="es-ES"/>
        </w:rPr>
        <w:tab/>
        <w:t xml:space="preserve">Los planos de ubicación, perimétrico y de distribución. </w:t>
      </w:r>
    </w:p>
    <w:p w:rsidR="006312E8" w:rsidRPr="006312E8" w:rsidRDefault="006312E8" w:rsidP="006312E8">
      <w:pPr>
        <w:spacing w:after="0" w:line="240" w:lineRule="auto"/>
        <w:ind w:left="567" w:hanging="141"/>
        <w:jc w:val="both"/>
        <w:rPr>
          <w:rFonts w:ascii="Arial" w:eastAsia="Calibri" w:hAnsi="Arial" w:cs="Arial"/>
          <w:lang w:val="es-ES"/>
        </w:rPr>
      </w:pPr>
    </w:p>
    <w:p w:rsidR="006312E8" w:rsidRPr="006312E8" w:rsidRDefault="006312E8" w:rsidP="006312E8">
      <w:pPr>
        <w:spacing w:after="0" w:line="240" w:lineRule="auto"/>
        <w:ind w:left="567" w:hanging="141"/>
        <w:jc w:val="both"/>
        <w:rPr>
          <w:rFonts w:ascii="Arial" w:eastAsia="Calibri" w:hAnsi="Arial" w:cs="Arial"/>
          <w:lang w:val="es-ES"/>
        </w:rPr>
      </w:pPr>
      <w:r w:rsidRPr="006312E8">
        <w:rPr>
          <w:rFonts w:ascii="Arial" w:eastAsia="Calibri" w:hAnsi="Arial" w:cs="Arial"/>
          <w:lang w:val="es-ES"/>
        </w:rPr>
        <w:t xml:space="preserve">- </w:t>
      </w:r>
      <w:r w:rsidRPr="006312E8">
        <w:rPr>
          <w:rFonts w:ascii="Arial" w:eastAsia="Calibri" w:hAnsi="Arial" w:cs="Arial"/>
          <w:lang w:val="es-ES"/>
        </w:rPr>
        <w:tab/>
        <w:t xml:space="preserve">Declaración jurada del verificador responsable, dando fe de todos los datos técnicos necesarios para la inscripción, así como de los planos presentados. </w:t>
      </w:r>
    </w:p>
    <w:p w:rsidR="006312E8" w:rsidRPr="006312E8" w:rsidRDefault="006312E8" w:rsidP="006312E8">
      <w:pPr>
        <w:spacing w:after="0" w:line="240" w:lineRule="auto"/>
        <w:ind w:left="567" w:hanging="141"/>
        <w:jc w:val="both"/>
        <w:rPr>
          <w:rFonts w:ascii="Arial" w:eastAsia="Calibri" w:hAnsi="Arial" w:cs="Arial"/>
          <w:lang w:val="es-ES"/>
        </w:rPr>
      </w:pPr>
    </w:p>
    <w:p w:rsidR="006312E8" w:rsidRPr="006312E8" w:rsidRDefault="006312E8" w:rsidP="006312E8">
      <w:pPr>
        <w:spacing w:after="0" w:line="240" w:lineRule="auto"/>
        <w:ind w:left="567" w:hanging="141"/>
        <w:jc w:val="both"/>
        <w:rPr>
          <w:rFonts w:ascii="Arial" w:eastAsia="Calibri" w:hAnsi="Arial" w:cs="Arial"/>
          <w:lang w:val="es-ES"/>
        </w:rPr>
      </w:pPr>
      <w:r w:rsidRPr="006312E8">
        <w:rPr>
          <w:rFonts w:ascii="Arial" w:eastAsia="Calibri" w:hAnsi="Arial" w:cs="Arial"/>
          <w:lang w:val="es-ES"/>
        </w:rPr>
        <w:t xml:space="preserve">- </w:t>
      </w:r>
      <w:r w:rsidRPr="006312E8">
        <w:rPr>
          <w:rFonts w:ascii="Arial" w:eastAsia="Calibri" w:hAnsi="Arial" w:cs="Arial"/>
          <w:lang w:val="es-ES"/>
        </w:rPr>
        <w:tab/>
        <w:t xml:space="preserve">Copia de la publicación. </w:t>
      </w:r>
    </w:p>
    <w:p w:rsidR="006312E8" w:rsidRPr="006312E8" w:rsidRDefault="006312E8" w:rsidP="006312E8">
      <w:pPr>
        <w:spacing w:after="0" w:line="240" w:lineRule="auto"/>
        <w:ind w:left="567" w:hanging="141"/>
        <w:jc w:val="both"/>
        <w:rPr>
          <w:rFonts w:ascii="Arial" w:eastAsia="Calibri" w:hAnsi="Arial" w:cs="Arial"/>
          <w:lang w:val="es-ES"/>
        </w:rPr>
      </w:pPr>
    </w:p>
    <w:p w:rsidR="006312E8" w:rsidRPr="006312E8" w:rsidRDefault="006312E8" w:rsidP="006312E8">
      <w:pPr>
        <w:spacing w:after="0" w:line="240" w:lineRule="auto"/>
        <w:ind w:left="567" w:hanging="141"/>
        <w:jc w:val="both"/>
        <w:rPr>
          <w:rFonts w:ascii="Arial" w:eastAsia="Calibri" w:hAnsi="Arial" w:cs="Arial"/>
          <w:lang w:val="es-ES"/>
        </w:rPr>
      </w:pPr>
      <w:r w:rsidRPr="006312E8">
        <w:rPr>
          <w:rFonts w:ascii="Arial" w:eastAsia="Calibri" w:hAnsi="Arial" w:cs="Arial"/>
          <w:lang w:val="es-ES"/>
        </w:rPr>
        <w:t xml:space="preserve">- </w:t>
      </w:r>
      <w:r w:rsidRPr="006312E8">
        <w:rPr>
          <w:rFonts w:ascii="Arial" w:eastAsia="Calibri" w:hAnsi="Arial" w:cs="Arial"/>
          <w:lang w:val="es-ES"/>
        </w:rPr>
        <w:tab/>
        <w:t xml:space="preserve">Cualquier documento que, adicionalmente, permita el saneamiento legal de los inmuebles de propiedad estatal.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Los planos, memorias descriptivas y demás documentos técnicos será necesario presentarlos siempre y cuando se modifique la situación técnica del inmueble.”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10.- En el caso que la entidad cuente con títulos comprobatorios de dominio que por sí solos no son suficientes para su inscripción registral, el dominio se inscribirá a favor del Estado representado por dicha entidad.</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Cuando la entidad se encuentre ejerciendo actos posesorios sin contar con títulos comprobatorios de dominio, la inscripción de dominio del predio se efectuará a favor del Estado, inscribiéndose en el rubro correspondiente las cargas y gravámenes que hubieren.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Las inscripciones que no se efectúen según lo dispuesto en este artículo, deberán ser rectificadas a solicitud de la entidad que efectuó el saneamiento o, en su defecto, a solicitud del Gobierno Regional o de la SBN.”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Texto modificado por el Artículo 1 del Decreto Supremo Nº 017-2009-VIVIENDA, publicado el 24 octubre 2009</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Artículo 11.- Las inscripciones registrales a que se refiere el Artículo 7 del presente Decreto Supremo, serán realizadas de manera provisional. Transcurrido el plazo de treinta (30) días calendario de efectuada la inscripción provisional sin que haya mediado oposición de una entidad estatal ante la SBN o judicial de terceras personas, procederá la conversión en inscripción definitiva a solicitud de las citadas entidades públicas. </w:t>
      </w:r>
    </w:p>
    <w:p w:rsidR="006312E8" w:rsidRPr="006312E8" w:rsidRDefault="006312E8" w:rsidP="006312E8">
      <w:pPr>
        <w:spacing w:after="0" w:line="240" w:lineRule="auto"/>
        <w:jc w:val="center"/>
        <w:rPr>
          <w:rFonts w:ascii="Arial" w:eastAsia="Calibri" w:hAnsi="Arial" w:cs="Arial"/>
          <w:b/>
          <w:lang w:val="es-ES"/>
        </w:rPr>
      </w:pPr>
      <w:bookmarkStart w:id="161" w:name="_Toc399335465"/>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DISPOSICION COMPLEMENTARIA DEROGATORIA</w:t>
      </w:r>
      <w:bookmarkEnd w:id="161"/>
    </w:p>
    <w:p w:rsidR="006312E8" w:rsidRPr="006312E8" w:rsidRDefault="006312E8" w:rsidP="006312E8">
      <w:pPr>
        <w:spacing w:after="0" w:line="240" w:lineRule="auto"/>
        <w:jc w:val="center"/>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b/>
          <w:lang w:val="es-ES"/>
        </w:rPr>
        <w:t>Primera.-</w:t>
      </w:r>
      <w:r w:rsidRPr="006312E8">
        <w:rPr>
          <w:rFonts w:ascii="Arial" w:eastAsia="Calibri" w:hAnsi="Arial" w:cs="Arial"/>
          <w:lang w:val="es-ES"/>
        </w:rPr>
        <w:t xml:space="preserve"> Deróguese el Reglamento General de Procedimientos Administrativos de los Bienes de Propiedad Estatal, aprobado por el Decreto Supremo Nº 154-2001-EF y modificatorias, así como todas aquellas normas que se opongan a lo dispuesto en el presente Reglamento.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b/>
          <w:lang w:val="es-ES"/>
        </w:rPr>
        <w:t>Segunda.-</w:t>
      </w:r>
      <w:r w:rsidRPr="006312E8">
        <w:rPr>
          <w:rFonts w:ascii="Arial" w:eastAsia="Calibri" w:hAnsi="Arial" w:cs="Arial"/>
          <w:lang w:val="es-ES"/>
        </w:rPr>
        <w:t xml:space="preserve"> Manténgase la vigencia de las directivas emitidas por la SBN en materia de bienes muebles e inmuebles en tanto no se opongan a lo dispuesto en el presente Reglamento.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994010" w:rsidRDefault="00994010" w:rsidP="006312E8">
      <w:pPr>
        <w:spacing w:after="0" w:line="240" w:lineRule="auto"/>
        <w:jc w:val="both"/>
        <w:rPr>
          <w:rFonts w:ascii="Arial" w:eastAsia="Calibri" w:hAnsi="Arial" w:cs="Arial"/>
          <w:b/>
          <w:sz w:val="40"/>
          <w:szCs w:val="40"/>
          <w:u w:val="single"/>
          <w:lang w:val="es-ES"/>
        </w:rPr>
      </w:pPr>
    </w:p>
    <w:p w:rsidR="00994010" w:rsidRDefault="00994010" w:rsidP="006312E8">
      <w:pPr>
        <w:spacing w:after="0" w:line="240" w:lineRule="auto"/>
        <w:jc w:val="both"/>
        <w:rPr>
          <w:rFonts w:ascii="Arial" w:eastAsia="Calibri" w:hAnsi="Arial" w:cs="Arial"/>
          <w:b/>
          <w:sz w:val="40"/>
          <w:szCs w:val="40"/>
          <w:u w:val="single"/>
          <w:lang w:val="es-ES"/>
        </w:rPr>
      </w:pPr>
    </w:p>
    <w:p w:rsidR="00994010" w:rsidRPr="006312E8" w:rsidRDefault="00994010" w:rsidP="006312E8">
      <w:pPr>
        <w:spacing w:after="0" w:line="240" w:lineRule="auto"/>
        <w:jc w:val="both"/>
        <w:rPr>
          <w:rFonts w:ascii="Arial" w:eastAsia="Calibri" w:hAnsi="Arial" w:cs="Arial"/>
          <w:b/>
          <w:sz w:val="40"/>
          <w:szCs w:val="40"/>
          <w:u w:val="single"/>
          <w:lang w:val="es-ES"/>
        </w:rPr>
      </w:pPr>
    </w:p>
    <w:p w:rsidR="006312E8" w:rsidRPr="006312E8" w:rsidRDefault="006312E8" w:rsidP="006312E8">
      <w:pPr>
        <w:spacing w:after="0" w:line="240" w:lineRule="auto"/>
        <w:jc w:val="both"/>
        <w:rPr>
          <w:rFonts w:ascii="Arial" w:eastAsia="Calibri" w:hAnsi="Arial" w:cs="Arial"/>
          <w:b/>
          <w:sz w:val="40"/>
          <w:szCs w:val="40"/>
          <w:u w:val="single"/>
          <w:lang w:val="es-ES"/>
        </w:rPr>
      </w:pPr>
    </w:p>
    <w:p w:rsidR="006312E8" w:rsidRPr="006312E8" w:rsidRDefault="006312E8" w:rsidP="003679F2">
      <w:pPr>
        <w:pStyle w:val="TITO10"/>
      </w:pPr>
      <w:bookmarkStart w:id="162" w:name="_Toc392856192"/>
      <w:bookmarkStart w:id="163" w:name="_Toc399335466"/>
      <w:bookmarkStart w:id="164" w:name="_Toc421025414"/>
      <w:bookmarkStart w:id="165" w:name="_Toc470855512"/>
      <w:r w:rsidRPr="006312E8">
        <w:t>NORMAS COMPLEMENTARIAS</w:t>
      </w:r>
      <w:bookmarkEnd w:id="162"/>
      <w:bookmarkEnd w:id="163"/>
      <w:bookmarkEnd w:id="164"/>
      <w:bookmarkEnd w:id="165"/>
      <w:r w:rsidRPr="006312E8">
        <w:t xml:space="preserve"> </w:t>
      </w:r>
    </w:p>
    <w:p w:rsidR="006312E8" w:rsidRPr="006312E8" w:rsidRDefault="006312E8" w:rsidP="003679F2">
      <w:pPr>
        <w:pStyle w:val="TITO10"/>
      </w:pPr>
      <w:bookmarkStart w:id="166" w:name="_Toc392856193"/>
      <w:bookmarkStart w:id="167" w:name="_Toc399335467"/>
      <w:bookmarkStart w:id="168" w:name="_Toc421025415"/>
      <w:bookmarkStart w:id="169" w:name="_Toc470855513"/>
      <w:r w:rsidRPr="006312E8">
        <w:t>DEL SNBE</w:t>
      </w:r>
      <w:bookmarkEnd w:id="166"/>
      <w:bookmarkEnd w:id="167"/>
      <w:bookmarkEnd w:id="168"/>
      <w:bookmarkEnd w:id="169"/>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Calibri" w:eastAsia="Calibri" w:hAnsi="Calibri" w:cs="Times New Roman"/>
          <w:noProof/>
          <w:lang w:val="es-MX" w:eastAsia="es-MX"/>
        </w:rPr>
        <mc:AlternateContent>
          <mc:Choice Requires="wps">
            <w:drawing>
              <wp:anchor distT="0" distB="0" distL="114300" distR="114300" simplePos="0" relativeHeight="251681792" behindDoc="0" locked="0" layoutInCell="1" allowOverlap="1" wp14:anchorId="6C57FD6E" wp14:editId="06A2591B">
                <wp:simplePos x="0" y="0"/>
                <wp:positionH relativeFrom="column">
                  <wp:posOffset>885190</wp:posOffset>
                </wp:positionH>
                <wp:positionV relativeFrom="paragraph">
                  <wp:posOffset>31750</wp:posOffset>
                </wp:positionV>
                <wp:extent cx="4476750" cy="9525"/>
                <wp:effectExtent l="38100" t="36195" r="38100" b="40005"/>
                <wp:wrapNone/>
                <wp:docPr id="70" name="Conector recto de flecha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0" cy="9525"/>
                        </a:xfrm>
                        <a:prstGeom prst="straightConnector1">
                          <a:avLst/>
                        </a:prstGeom>
                        <a:noFill/>
                        <a:ln w="635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1C0A0AE" id="Conector recto de flecha 70" o:spid="_x0000_s1026" type="#_x0000_t32" style="position:absolute;margin-left:69.7pt;margin-top:2.5pt;width:352.5pt;height:.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" strokeweight="5pt">
                <v:shadow color="#7f7f7f" opacity=".5" offset="1pt"/>
              </v:shape>
            </w:pict>
          </mc:Fallback>
        </mc:AlternateConten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B72042" w:rsidRDefault="00B72042" w:rsidP="003679F2">
      <w:pPr>
        <w:pStyle w:val="TITO2"/>
      </w:pPr>
      <w:bookmarkStart w:id="170" w:name="_Toc392856194"/>
      <w:bookmarkStart w:id="171" w:name="_Toc399335468"/>
      <w:bookmarkStart w:id="172" w:name="_Toc421025416"/>
      <w:bookmarkStart w:id="173" w:name="LEY29588"/>
    </w:p>
    <w:p w:rsidR="006312E8" w:rsidRPr="006312E8" w:rsidRDefault="006312E8" w:rsidP="003679F2">
      <w:pPr>
        <w:pStyle w:val="TITO2"/>
      </w:pPr>
      <w:bookmarkStart w:id="174" w:name="_Toc470855514"/>
      <w:r w:rsidRPr="006312E8">
        <w:t>LEY Nº 29588</w:t>
      </w:r>
      <w:bookmarkEnd w:id="170"/>
      <w:bookmarkEnd w:id="171"/>
      <w:bookmarkEnd w:id="172"/>
      <w:bookmarkEnd w:id="174"/>
    </w:p>
    <w:bookmarkEnd w:id="173"/>
    <w:p w:rsidR="006312E8" w:rsidRPr="006312E8" w:rsidRDefault="006312E8" w:rsidP="006312E8">
      <w:pPr>
        <w:spacing w:after="0" w:line="240" w:lineRule="auto"/>
        <w:jc w:val="center"/>
        <w:rPr>
          <w:rFonts w:ascii="Arial" w:eastAsia="Calibri" w:hAnsi="Arial" w:cs="Arial"/>
          <w:b/>
          <w:sz w:val="24"/>
          <w:szCs w:val="24"/>
          <w:lang w:val="es-ES"/>
        </w:rPr>
      </w:pPr>
    </w:p>
    <w:p w:rsidR="006312E8" w:rsidRPr="006312E8" w:rsidRDefault="006312E8" w:rsidP="006312E8">
      <w:pPr>
        <w:spacing w:after="0" w:line="240" w:lineRule="auto"/>
        <w:jc w:val="right"/>
        <w:rPr>
          <w:rFonts w:ascii="Arial" w:eastAsia="Calibri" w:hAnsi="Arial" w:cs="Arial"/>
          <w:b/>
          <w:lang w:val="es-ES"/>
        </w:rPr>
      </w:pPr>
      <w:r w:rsidRPr="006312E8">
        <w:rPr>
          <w:rFonts w:ascii="Arial" w:eastAsia="Calibri" w:hAnsi="Arial" w:cs="Arial"/>
          <w:b/>
          <w:lang w:val="es-ES"/>
        </w:rPr>
        <w:t>Fecha de publicación: 29 -09-2010</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EL PRESIDENTE DEL CONGRESO DE LA REPÚBLICA</w:t>
      </w: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POR CUANTO:</w:t>
      </w: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EL CONGRESO DE LA REPÚBLICA;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Ha dado la Ley siguiente: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sz w:val="24"/>
          <w:szCs w:val="24"/>
          <w:lang w:val="es-ES"/>
        </w:rPr>
      </w:pPr>
      <w:r w:rsidRPr="006312E8">
        <w:rPr>
          <w:rFonts w:ascii="Arial" w:eastAsia="Calibri" w:hAnsi="Arial" w:cs="Arial"/>
          <w:b/>
          <w:sz w:val="24"/>
          <w:szCs w:val="24"/>
          <w:lang w:val="es-ES"/>
        </w:rPr>
        <w:t>LEY QUE COMPLEMENTA LAS FACULTADES DE LA SUPERINTENDENCIA NACIONAL DE BIENES ESTATALES (SBN)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1.- Objeto de la Ley</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Autorízase a las personas jurídicas sin fines de lucro a realizar la venta de bienes inmuebles adjudicados por ley a título gratuito a su favor, a fin de que el producto económico obtenido se utilice para la adquisición de uno o más inmuebles destinados como local institucional y al equipamiento de su infraestructura.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Artículo modificado por el Artículo 1 de la Ley N° 29928, publicada el 03 noviembre 2012</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2.- Participación de la Superintendencia Nacional de Bienes Estatales (SBN)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Superintendencia Nacional de Bienes Estatales, en adelante SBN, supervisa y cautela que el producto económico resultante de la venta autorizada sea destinado al objeto de la presente Ley.</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92471C">
      <w:pPr>
        <w:numPr>
          <w:ilvl w:val="0"/>
          <w:numId w:val="145"/>
        </w:numPr>
        <w:spacing w:after="0" w:line="240" w:lineRule="auto"/>
        <w:contextualSpacing/>
        <w:jc w:val="both"/>
        <w:rPr>
          <w:rFonts w:ascii="Arial" w:eastAsia="Calibri" w:hAnsi="Arial" w:cs="Arial"/>
          <w:lang w:val="es-ES"/>
        </w:rPr>
      </w:pPr>
      <w:hyperlink w:anchor="DS007" w:history="1">
        <w:r w:rsidR="006312E8" w:rsidRPr="006312E8">
          <w:rPr>
            <w:rFonts w:ascii="Arial" w:eastAsia="Calibri" w:hAnsi="Arial" w:cs="Arial"/>
            <w:b/>
            <w:color w:val="0000FF"/>
            <w:sz w:val="16"/>
            <w:szCs w:val="16"/>
            <w:u w:val="single"/>
          </w:rPr>
          <w:t>Decreto Supremo Nº 007-2008-VIVIENDA</w:t>
        </w:r>
      </w:hyperlink>
      <w:r w:rsidR="006312E8" w:rsidRPr="006312E8">
        <w:rPr>
          <w:rFonts w:ascii="Arial" w:eastAsia="Calibri" w:hAnsi="Arial" w:cs="Arial"/>
          <w:b/>
          <w:color w:val="4F6228"/>
          <w:sz w:val="16"/>
          <w:szCs w:val="16"/>
        </w:rPr>
        <w:t xml:space="preserve"> (art. 9 numeral 9.2)</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3.- Aprobación del acto de disposición por asamblea general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851" w:hanging="425"/>
        <w:jc w:val="both"/>
        <w:rPr>
          <w:rFonts w:ascii="Arial" w:eastAsia="Calibri" w:hAnsi="Arial" w:cs="Arial"/>
          <w:lang w:val="es-ES"/>
        </w:rPr>
      </w:pPr>
      <w:r w:rsidRPr="006312E8">
        <w:rPr>
          <w:rFonts w:ascii="Arial" w:eastAsia="Calibri" w:hAnsi="Arial" w:cs="Arial"/>
          <w:lang w:val="es-ES"/>
        </w:rPr>
        <w:t xml:space="preserve">3.1 </w:t>
      </w:r>
      <w:r w:rsidRPr="006312E8">
        <w:rPr>
          <w:rFonts w:ascii="Arial" w:eastAsia="Calibri" w:hAnsi="Arial" w:cs="Arial"/>
          <w:lang w:val="es-ES"/>
        </w:rPr>
        <w:tab/>
        <w:t>Corresponde a la entidad adjudicataria decidir y aprobar la venta autorizada conforme a los objetivos de la presente Ley.</w:t>
      </w:r>
    </w:p>
    <w:p w:rsidR="006312E8" w:rsidRPr="006312E8" w:rsidRDefault="006312E8" w:rsidP="006312E8">
      <w:pPr>
        <w:spacing w:after="0" w:line="240" w:lineRule="auto"/>
        <w:ind w:left="851" w:hanging="425"/>
        <w:jc w:val="both"/>
        <w:rPr>
          <w:rFonts w:ascii="Arial" w:eastAsia="Calibri" w:hAnsi="Arial" w:cs="Arial"/>
          <w:lang w:val="es-ES"/>
        </w:rPr>
      </w:pPr>
    </w:p>
    <w:p w:rsidR="006312E8" w:rsidRPr="006312E8" w:rsidRDefault="006312E8" w:rsidP="006312E8">
      <w:pPr>
        <w:spacing w:after="0" w:line="240" w:lineRule="auto"/>
        <w:ind w:left="851" w:hanging="425"/>
        <w:jc w:val="both"/>
        <w:rPr>
          <w:rFonts w:ascii="Arial" w:eastAsia="Calibri" w:hAnsi="Arial" w:cs="Arial"/>
          <w:lang w:val="es-ES"/>
        </w:rPr>
      </w:pPr>
      <w:r w:rsidRPr="006312E8">
        <w:rPr>
          <w:rFonts w:ascii="Arial" w:eastAsia="Calibri" w:hAnsi="Arial" w:cs="Arial"/>
          <w:lang w:val="es-ES"/>
        </w:rPr>
        <w:t xml:space="preserve">3.2 </w:t>
      </w:r>
      <w:r w:rsidRPr="006312E8">
        <w:rPr>
          <w:rFonts w:ascii="Arial" w:eastAsia="Calibri" w:hAnsi="Arial" w:cs="Arial"/>
          <w:lang w:val="es-ES"/>
        </w:rPr>
        <w:tab/>
        <w:t>La decisión de venta es aprobada por asamblea general, por la mitad más uno de los asociados presentes convocados, contando con la participación de un notario público que dé fe del acto.</w:t>
      </w:r>
    </w:p>
    <w:p w:rsidR="006312E8" w:rsidRPr="006312E8" w:rsidRDefault="006312E8" w:rsidP="006312E8">
      <w:pPr>
        <w:spacing w:after="0" w:line="240" w:lineRule="auto"/>
        <w:ind w:left="851" w:hanging="425"/>
        <w:jc w:val="both"/>
        <w:rPr>
          <w:rFonts w:ascii="Arial" w:eastAsia="Calibri" w:hAnsi="Arial" w:cs="Arial"/>
          <w:lang w:val="es-ES"/>
        </w:rPr>
      </w:pPr>
    </w:p>
    <w:p w:rsidR="006312E8" w:rsidRPr="006312E8" w:rsidRDefault="006312E8" w:rsidP="006312E8">
      <w:pPr>
        <w:spacing w:after="0" w:line="240" w:lineRule="auto"/>
        <w:ind w:left="851" w:hanging="425"/>
        <w:jc w:val="both"/>
        <w:rPr>
          <w:rFonts w:ascii="Arial" w:eastAsia="Calibri" w:hAnsi="Arial" w:cs="Arial"/>
          <w:lang w:val="es-ES"/>
        </w:rPr>
      </w:pPr>
      <w:r w:rsidRPr="006312E8">
        <w:rPr>
          <w:rFonts w:ascii="Arial" w:eastAsia="Calibri" w:hAnsi="Arial" w:cs="Arial"/>
          <w:lang w:val="es-ES"/>
        </w:rPr>
        <w:t xml:space="preserve">3.3 </w:t>
      </w:r>
      <w:r w:rsidRPr="006312E8">
        <w:rPr>
          <w:rFonts w:ascii="Arial" w:eastAsia="Calibri" w:hAnsi="Arial" w:cs="Arial"/>
          <w:lang w:val="es-ES"/>
        </w:rPr>
        <w:tab/>
        <w:t>Las impugnaciones o medidas cautelares presentadas contra los acuerdos de disposición del bien inmueble no tienen efecto suspensivo del proceso, salvo cuando la SBN no aprueba el acto o si la tasación del bien inmueble es inferior al valor comercial dispuesto por ley.</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4.- Aprobación de la SBN y posibilidad de permuta de bienes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numPr>
          <w:ilvl w:val="1"/>
          <w:numId w:val="40"/>
        </w:numPr>
        <w:tabs>
          <w:tab w:val="left" w:pos="851"/>
        </w:tabs>
        <w:spacing w:after="0" w:line="240" w:lineRule="auto"/>
        <w:ind w:left="851" w:hanging="425"/>
        <w:contextualSpacing/>
        <w:jc w:val="both"/>
        <w:rPr>
          <w:rFonts w:ascii="Arial" w:eastAsia="Calibri" w:hAnsi="Arial" w:cs="Arial"/>
          <w:lang w:val="es-ES"/>
        </w:rPr>
      </w:pPr>
      <w:r w:rsidRPr="006312E8">
        <w:rPr>
          <w:rFonts w:ascii="Arial" w:eastAsia="Calibri" w:hAnsi="Arial" w:cs="Arial"/>
          <w:lang w:val="es-ES"/>
        </w:rPr>
        <w:t>Aprobada la venta se remite la documentación sustentada a la SBN, a fin de que emita opinión técnica y legal. La opinión favorable emitida por la SBN constituye un requisito de validez del acto final de disposición.</w:t>
      </w:r>
    </w:p>
    <w:p w:rsidR="006312E8" w:rsidRPr="006312E8" w:rsidRDefault="006312E8" w:rsidP="006312E8">
      <w:pPr>
        <w:tabs>
          <w:tab w:val="left" w:pos="851"/>
        </w:tabs>
        <w:spacing w:after="0" w:line="240" w:lineRule="auto"/>
        <w:ind w:left="851"/>
        <w:contextualSpacing/>
        <w:jc w:val="both"/>
        <w:rPr>
          <w:rFonts w:ascii="Arial" w:eastAsia="Calibri" w:hAnsi="Arial" w:cs="Arial"/>
          <w:lang w:val="es-ES"/>
        </w:rPr>
      </w:pPr>
    </w:p>
    <w:p w:rsidR="006312E8" w:rsidRPr="006312E8" w:rsidRDefault="006312E8" w:rsidP="006312E8">
      <w:pPr>
        <w:spacing w:after="0" w:line="240" w:lineRule="auto"/>
        <w:ind w:left="851"/>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Numeral modificado por el Artículo 1 de la Ley N° 29928, publicada el 03 noviembre 2012</w:t>
      </w:r>
    </w:p>
    <w:p w:rsidR="006312E8" w:rsidRPr="006312E8" w:rsidRDefault="006312E8" w:rsidP="006312E8">
      <w:pPr>
        <w:tabs>
          <w:tab w:val="left" w:pos="851"/>
        </w:tabs>
        <w:spacing w:after="0" w:line="240" w:lineRule="auto"/>
        <w:ind w:left="851"/>
        <w:contextualSpacing/>
        <w:jc w:val="both"/>
        <w:rPr>
          <w:rFonts w:ascii="Arial" w:eastAsia="Calibri" w:hAnsi="Arial" w:cs="Arial"/>
          <w:lang w:val="es-ES"/>
        </w:rPr>
      </w:pPr>
    </w:p>
    <w:p w:rsidR="006312E8" w:rsidRPr="006312E8" w:rsidRDefault="006312E8" w:rsidP="006312E8">
      <w:pPr>
        <w:numPr>
          <w:ilvl w:val="1"/>
          <w:numId w:val="40"/>
        </w:numPr>
        <w:tabs>
          <w:tab w:val="left" w:pos="851"/>
        </w:tabs>
        <w:spacing w:after="0" w:line="240" w:lineRule="auto"/>
        <w:ind w:left="851" w:hanging="425"/>
        <w:contextualSpacing/>
        <w:jc w:val="both"/>
        <w:rPr>
          <w:rFonts w:ascii="Arial" w:eastAsia="Calibri" w:hAnsi="Arial" w:cs="Arial"/>
          <w:lang w:val="es-ES"/>
        </w:rPr>
      </w:pPr>
      <w:r w:rsidRPr="006312E8">
        <w:rPr>
          <w:rFonts w:ascii="Arial" w:eastAsia="Calibri" w:hAnsi="Arial" w:cs="Arial"/>
          <w:lang w:val="es-ES"/>
        </w:rPr>
        <w:t>Al evaluar el procedimiento de venta, la SBN está facultada para proponer al adjudicatario la entrega de un bien inmueble vía permuta.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5.- Ejecución de la venta</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venta de los inmuebles adjudicados se efectúa vía subasta pública a través de la Superintendencia Nacional de Bienes Estatales (SBN), aplicando, en lo que fuere pertinente, las normas del Sistema Nacional de Bienes Estatales.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Artículo modificado por el Artículo 1 de la Ley N° 29928, publicada el 03 noviembre 2012</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84"/>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6312E8">
      <w:pPr>
        <w:numPr>
          <w:ilvl w:val="0"/>
          <w:numId w:val="16"/>
        </w:numPr>
        <w:spacing w:after="0" w:line="240" w:lineRule="auto"/>
        <w:ind w:left="993"/>
        <w:contextualSpacing/>
        <w:jc w:val="both"/>
        <w:rPr>
          <w:rFonts w:ascii="Arial" w:eastAsia="Calibri" w:hAnsi="Arial" w:cs="Arial"/>
          <w:b/>
          <w:color w:val="4F6228"/>
          <w:sz w:val="18"/>
          <w:szCs w:val="18"/>
        </w:rPr>
      </w:pPr>
      <w:hyperlink w:anchor="ley29151" w:history="1">
        <w:r w:rsidR="006312E8" w:rsidRPr="006312E8">
          <w:rPr>
            <w:rFonts w:ascii="Arial" w:eastAsia="Calibri" w:hAnsi="Arial" w:cs="Arial"/>
            <w:b/>
            <w:color w:val="0000FF"/>
            <w:sz w:val="18"/>
            <w:szCs w:val="18"/>
            <w:u w:val="single"/>
          </w:rPr>
          <w:t>Ley Nº 29151</w:t>
        </w:r>
      </w:hyperlink>
      <w:r w:rsidR="006312E8" w:rsidRPr="006312E8">
        <w:rPr>
          <w:rFonts w:ascii="Arial" w:eastAsia="Calibri" w:hAnsi="Arial" w:cs="Arial"/>
          <w:b/>
          <w:color w:val="4F6228"/>
          <w:sz w:val="18"/>
          <w:szCs w:val="18"/>
        </w:rPr>
        <w:t xml:space="preserve"> (art. 7 literal 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6.- Acto de firma de los contratos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Tanto en el acto de firma del contrato de venta del bien inmueble como en el contrato de compra interviene un representante de la SBN en resguardo de los intereses del Estado y del objeto de la presente Ley.</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7.- Recursos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851" w:hanging="425"/>
        <w:jc w:val="both"/>
        <w:rPr>
          <w:rFonts w:ascii="Arial" w:eastAsia="Calibri" w:hAnsi="Arial" w:cs="Arial"/>
          <w:lang w:val="es-ES"/>
        </w:rPr>
      </w:pPr>
      <w:r w:rsidRPr="006312E8">
        <w:rPr>
          <w:rFonts w:ascii="Arial" w:eastAsia="Calibri" w:hAnsi="Arial" w:cs="Arial"/>
          <w:lang w:val="es-ES"/>
        </w:rPr>
        <w:t xml:space="preserve">7.1 </w:t>
      </w:r>
      <w:r w:rsidRPr="006312E8">
        <w:rPr>
          <w:rFonts w:ascii="Arial" w:eastAsia="Calibri" w:hAnsi="Arial" w:cs="Arial"/>
          <w:lang w:val="es-ES"/>
        </w:rPr>
        <w:tab/>
        <w:t>Los recursos que se obtengan son depositados en una cuenta especial abierta por la SBN y se distribuyen previa deducción de los gastos operativos y administrativos de la siguiente forma: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241D1D">
      <w:pPr>
        <w:numPr>
          <w:ilvl w:val="0"/>
          <w:numId w:val="73"/>
        </w:numPr>
        <w:spacing w:after="0" w:line="240" w:lineRule="auto"/>
        <w:ind w:left="1134" w:hanging="283"/>
        <w:contextualSpacing/>
        <w:jc w:val="both"/>
        <w:rPr>
          <w:rFonts w:ascii="Arial" w:eastAsia="Calibri" w:hAnsi="Arial" w:cs="Arial"/>
          <w:lang w:val="es-ES"/>
        </w:rPr>
      </w:pPr>
      <w:r w:rsidRPr="006312E8">
        <w:rPr>
          <w:rFonts w:ascii="Arial" w:eastAsia="Calibri" w:hAnsi="Arial" w:cs="Arial"/>
          <w:lang w:val="es-ES"/>
        </w:rPr>
        <w:t>Noventa y siete por ciento (97%) para la entidad adjudicataria. (*)</w:t>
      </w:r>
    </w:p>
    <w:p w:rsidR="006312E8" w:rsidRPr="006312E8" w:rsidRDefault="006312E8" w:rsidP="006312E8">
      <w:pPr>
        <w:spacing w:after="0" w:line="240" w:lineRule="auto"/>
        <w:ind w:left="1271"/>
        <w:contextualSpacing/>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Inciso modificado por el Artículo 1 de la Ley N° 29928, publicada el 03 noviembre 2012</w:t>
      </w:r>
    </w:p>
    <w:p w:rsidR="006312E8" w:rsidRPr="006312E8" w:rsidRDefault="006312E8" w:rsidP="006312E8">
      <w:pPr>
        <w:spacing w:after="0" w:line="240" w:lineRule="auto"/>
        <w:ind w:left="1134"/>
        <w:contextualSpacing/>
        <w:jc w:val="both"/>
        <w:rPr>
          <w:rFonts w:ascii="Arial" w:eastAsia="Calibri" w:hAnsi="Arial" w:cs="Arial"/>
          <w:lang w:val="es-ES"/>
        </w:rPr>
      </w:pPr>
    </w:p>
    <w:p w:rsidR="006312E8" w:rsidRPr="006312E8" w:rsidRDefault="006312E8" w:rsidP="006312E8">
      <w:pPr>
        <w:spacing w:after="0" w:line="240" w:lineRule="auto"/>
        <w:ind w:left="1134" w:hanging="283"/>
        <w:jc w:val="both"/>
        <w:rPr>
          <w:rFonts w:ascii="Arial" w:eastAsia="Calibri" w:hAnsi="Arial" w:cs="Arial"/>
          <w:lang w:val="es-ES"/>
        </w:rPr>
      </w:pPr>
      <w:r w:rsidRPr="006312E8">
        <w:rPr>
          <w:rFonts w:ascii="Arial" w:eastAsia="Calibri" w:hAnsi="Arial" w:cs="Arial"/>
          <w:lang w:val="es-ES"/>
        </w:rPr>
        <w:t>b) Tres por ciento (3%) para la SBN. (*)</w:t>
      </w:r>
    </w:p>
    <w:p w:rsidR="006312E8" w:rsidRPr="006312E8" w:rsidRDefault="006312E8" w:rsidP="006312E8">
      <w:pPr>
        <w:spacing w:after="0" w:line="240" w:lineRule="auto"/>
        <w:ind w:left="851"/>
        <w:jc w:val="both"/>
        <w:rPr>
          <w:rFonts w:ascii="Arial" w:eastAsia="Calibri" w:hAnsi="Arial" w:cs="Arial"/>
          <w:b/>
          <w:color w:val="FF0000"/>
          <w:sz w:val="16"/>
          <w:szCs w:val="16"/>
          <w:lang w:val="es-ES"/>
        </w:rPr>
      </w:pPr>
      <w:r w:rsidRPr="006312E8">
        <w:rPr>
          <w:rFonts w:ascii="Arial" w:eastAsia="Calibri" w:hAnsi="Arial" w:cs="Arial"/>
          <w:b/>
          <w:i/>
          <w:color w:val="FF0000"/>
          <w:sz w:val="16"/>
          <w:szCs w:val="16"/>
          <w:lang w:val="es-ES"/>
        </w:rPr>
        <w:t xml:space="preserve">         </w:t>
      </w:r>
      <w:r w:rsidRPr="006312E8">
        <w:rPr>
          <w:rFonts w:ascii="Arial" w:eastAsia="Calibri" w:hAnsi="Arial" w:cs="Arial"/>
          <w:b/>
          <w:color w:val="FF0000"/>
          <w:sz w:val="16"/>
          <w:szCs w:val="16"/>
          <w:lang w:val="es-ES"/>
        </w:rPr>
        <w:t>(*) Inciso modificado por el Artículo 1 de la Ley N° 29928, publicada el 03 noviembre 2012</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851" w:hanging="425"/>
        <w:jc w:val="both"/>
        <w:rPr>
          <w:rFonts w:ascii="Arial" w:eastAsia="Calibri" w:hAnsi="Arial" w:cs="Arial"/>
          <w:lang w:val="es-ES"/>
        </w:rPr>
      </w:pPr>
      <w:r w:rsidRPr="006312E8">
        <w:rPr>
          <w:rFonts w:ascii="Arial" w:eastAsia="Calibri" w:hAnsi="Arial" w:cs="Arial"/>
          <w:lang w:val="es-ES"/>
        </w:rPr>
        <w:t xml:space="preserve">7.2 </w:t>
      </w:r>
      <w:r w:rsidRPr="006312E8">
        <w:rPr>
          <w:rFonts w:ascii="Arial" w:eastAsia="Calibri" w:hAnsi="Arial" w:cs="Arial"/>
          <w:lang w:val="es-ES"/>
        </w:rPr>
        <w:tab/>
        <w:t>La distribución de los porcentajes antes indicados se realiza solo respecto de lo que representa el valor del terreno, salvo que se trate de un inmueble que el Estado haya adjudicado originariamente con edificaciones a la entidad adjudicataria.</w:t>
      </w:r>
      <w:r w:rsidRPr="006312E8">
        <w:rPr>
          <w:rFonts w:ascii="Arial" w:eastAsia="Calibri" w:hAnsi="Arial" w:cs="Arial"/>
          <w:b/>
          <w:i/>
          <w:sz w:val="16"/>
          <w:szCs w:val="16"/>
          <w:lang w:val="es-ES"/>
        </w:rPr>
        <w:t xml:space="preserve">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851" w:hanging="425"/>
        <w:jc w:val="both"/>
        <w:rPr>
          <w:rFonts w:ascii="Arial" w:eastAsia="Calibri" w:hAnsi="Arial" w:cs="Arial"/>
          <w:lang w:val="es-ES"/>
        </w:rPr>
      </w:pPr>
      <w:r w:rsidRPr="006312E8">
        <w:rPr>
          <w:rFonts w:ascii="Arial" w:eastAsia="Calibri" w:hAnsi="Arial" w:cs="Arial"/>
          <w:lang w:val="es-ES"/>
        </w:rPr>
        <w:t xml:space="preserve">7.3 </w:t>
      </w:r>
      <w:r w:rsidRPr="006312E8">
        <w:rPr>
          <w:rFonts w:ascii="Arial" w:eastAsia="Calibri" w:hAnsi="Arial" w:cs="Arial"/>
          <w:lang w:val="es-ES"/>
        </w:rPr>
        <w:tab/>
        <w:t>Los ingresos que corresponden a la entidad adjudicataria se utilizan, en el plazo máximo de seis meses de ejecutada la venta, para la adquisición de uno o más inmuebles destinados a local institucional y para el equipamiento de su infraestructura. (*)</w:t>
      </w:r>
    </w:p>
    <w:p w:rsidR="006312E8" w:rsidRPr="006312E8" w:rsidRDefault="006312E8" w:rsidP="006312E8">
      <w:pPr>
        <w:spacing w:after="0" w:line="240" w:lineRule="auto"/>
        <w:ind w:left="851"/>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Numeral modificado por el Artículo 1 de la Ley N° 29928, publicada el 03 noviembre 2012</w:t>
      </w:r>
    </w:p>
    <w:p w:rsidR="006312E8" w:rsidRPr="006312E8" w:rsidRDefault="006312E8" w:rsidP="006312E8">
      <w:pPr>
        <w:spacing w:after="0" w:line="240" w:lineRule="auto"/>
        <w:ind w:left="851" w:hanging="425"/>
        <w:jc w:val="both"/>
        <w:rPr>
          <w:rFonts w:ascii="Arial" w:eastAsia="Calibri" w:hAnsi="Arial" w:cs="Arial"/>
          <w:lang w:val="es-ES"/>
        </w:rPr>
      </w:pPr>
    </w:p>
    <w:p w:rsidR="006312E8" w:rsidRPr="006312E8" w:rsidRDefault="006312E8" w:rsidP="006312E8">
      <w:pPr>
        <w:spacing w:after="0" w:line="240" w:lineRule="auto"/>
        <w:ind w:left="851" w:hanging="425"/>
        <w:jc w:val="both"/>
        <w:rPr>
          <w:rFonts w:ascii="Arial" w:eastAsia="Calibri" w:hAnsi="Arial" w:cs="Arial"/>
          <w:lang w:val="es-ES"/>
        </w:rPr>
      </w:pPr>
      <w:r w:rsidRPr="006312E8">
        <w:rPr>
          <w:rFonts w:ascii="Arial" w:eastAsia="Calibri" w:hAnsi="Arial" w:cs="Arial"/>
          <w:lang w:val="es-ES"/>
        </w:rPr>
        <w:t xml:space="preserve">7.4 </w:t>
      </w:r>
      <w:r w:rsidRPr="006312E8">
        <w:rPr>
          <w:rFonts w:ascii="Arial" w:eastAsia="Calibri" w:hAnsi="Arial" w:cs="Arial"/>
          <w:lang w:val="es-ES"/>
        </w:rPr>
        <w:tab/>
        <w:t>En caso de que resulte un saldo a favor, este puede ser destinado a la habilitación de infraestructura básica del local institucional. Todo desembolso de dinero es autorizado por la SBN.</w:t>
      </w:r>
    </w:p>
    <w:p w:rsidR="006312E8" w:rsidRPr="006312E8" w:rsidRDefault="006312E8" w:rsidP="006312E8">
      <w:pPr>
        <w:spacing w:after="0" w:line="240" w:lineRule="auto"/>
        <w:ind w:left="851" w:hanging="425"/>
        <w:jc w:val="both"/>
        <w:rPr>
          <w:rFonts w:ascii="Arial" w:eastAsia="Calibri" w:hAnsi="Arial" w:cs="Arial"/>
          <w:lang w:val="es-ES"/>
        </w:rPr>
      </w:pPr>
    </w:p>
    <w:p w:rsidR="006312E8" w:rsidRPr="006312E8" w:rsidRDefault="006312E8" w:rsidP="006312E8">
      <w:pPr>
        <w:spacing w:after="0" w:line="240" w:lineRule="auto"/>
        <w:ind w:left="851" w:hanging="425"/>
        <w:jc w:val="both"/>
        <w:rPr>
          <w:rFonts w:ascii="Arial" w:eastAsia="Calibri" w:hAnsi="Arial" w:cs="Arial"/>
          <w:lang w:val="es-ES"/>
        </w:rPr>
      </w:pPr>
      <w:r w:rsidRPr="006312E8">
        <w:rPr>
          <w:rFonts w:ascii="Arial" w:eastAsia="Calibri" w:hAnsi="Arial" w:cs="Arial"/>
          <w:lang w:val="es-ES"/>
        </w:rPr>
        <w:t xml:space="preserve">7.5 </w:t>
      </w:r>
      <w:r w:rsidRPr="006312E8">
        <w:rPr>
          <w:rFonts w:ascii="Arial" w:eastAsia="Calibri" w:hAnsi="Arial" w:cs="Arial"/>
          <w:lang w:val="es-ES"/>
        </w:rPr>
        <w:tab/>
        <w:t>El dinero producto de la venta se deposita en la cuenta del Tesoro Público en caso de que la entidad adjudicataria no haya propuesto la adquisición de un inmueble o solicitado la habilitación monetaria para la adquisición de la infraestructura básica de su local institucional dentro de los plazos señalados en la presente Ley.</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8.- Carga de los bienes adquiridos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El inmueble o inmuebles que las personas jurídicas adquieren en aplicación del artículo 1 mantienen la misma carga o cargas que se establecieron en la ley de adjudicación, las cuales deben cumplirse bajo sanción de reversión a favor del Estado, sin la obligación de reembolso alguno por las mejoras que pudieran haberse efectuado en el bien.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xml:space="preserve">(*) Artículo incorporado por el Artículo 2 de la Ley N° 29928, publicada el 03 noviembre 2012.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9.- Causal de nulidad y de reversión a favor del Estado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El incumplimiento de las normas contenidas en la presente Ley constituye causal de nulidad de los actos jurídicos realizados respecto a los inmuebles adjudicados o adquiridos y de reversión de los mismos a favor del Estado.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Artículo incorporado por el Artículo 2 de la Ley N° 29928, publicada el 03 noviembre 2012.</w:t>
      </w:r>
    </w:p>
    <w:p w:rsidR="006312E8" w:rsidRDefault="006312E8" w:rsidP="006312E8">
      <w:pPr>
        <w:spacing w:after="0" w:line="240" w:lineRule="auto"/>
        <w:jc w:val="both"/>
        <w:rPr>
          <w:rFonts w:ascii="Arial" w:eastAsia="Calibri" w:hAnsi="Arial" w:cs="Arial"/>
          <w:lang w:val="es-ES"/>
        </w:rPr>
      </w:pPr>
    </w:p>
    <w:p w:rsidR="005A311B" w:rsidRDefault="005A311B" w:rsidP="006312E8">
      <w:pPr>
        <w:spacing w:after="0" w:line="240" w:lineRule="auto"/>
        <w:jc w:val="both"/>
        <w:rPr>
          <w:rFonts w:ascii="Arial" w:eastAsia="Calibri" w:hAnsi="Arial" w:cs="Arial"/>
          <w:lang w:val="es-ES"/>
        </w:rPr>
      </w:pPr>
    </w:p>
    <w:p w:rsidR="005A311B" w:rsidRPr="006312E8" w:rsidRDefault="005A311B"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DISPOSICIONES COMPLEMENTARIAS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b/>
          <w:lang w:val="es-ES"/>
        </w:rPr>
        <w:t>PRIMERA.-</w:t>
      </w:r>
      <w:r w:rsidRPr="006312E8">
        <w:rPr>
          <w:rFonts w:ascii="Arial" w:eastAsia="Calibri" w:hAnsi="Arial" w:cs="Arial"/>
          <w:lang w:val="es-ES"/>
        </w:rPr>
        <w:t xml:space="preserve"> Facúltase a la SBN a regularizar los actos de disposición, traslado de dominio o enajenación realizados con anterioridad a la vigencia de la presente Ley, entre las entidades beneficiadas con las adjudicaciones a título gratuito mediante ley y otras personas naturales o jurídicas.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regularización es procedente siempre que, al momento de celebración de dichos actos, no existan gravámenes, impedimentos o cargas en la ficha registral de propiedad del inmueble, presumiéndose la buena fe registral y siempre que la SBN compruebe que el monto de la venta haya sido o vaya a ser destinado en su integridad para la mejora de su infraestructura institucional o adquisición de un nuevo inmueble para cumplir y desarrollar sus fines institucionales.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b/>
          <w:lang w:val="es-ES"/>
        </w:rPr>
        <w:t>SEGUNDA.-</w:t>
      </w:r>
      <w:r w:rsidRPr="006312E8">
        <w:rPr>
          <w:rFonts w:ascii="Arial" w:eastAsia="Calibri" w:hAnsi="Arial" w:cs="Arial"/>
          <w:lang w:val="es-ES"/>
        </w:rPr>
        <w:t xml:space="preserve"> Encárgase a la SBN la conversión de los bienes inmuebles descritos en el artículo 1 que tuvieran la condición de aportes reglamentarios, procediendo conforme al literal a) del párrafo 14.2 del artículo 14 de la Ley núm. 29151, Ley General del Sistema Nacional de Bienes Estatales, así como efectuar su conversión por la pérdida de la naturaleza o condición apropiada para su uso o servicio público. El bien convertido no queda a cargo de la SBN.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84"/>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92471C">
      <w:pPr>
        <w:numPr>
          <w:ilvl w:val="0"/>
          <w:numId w:val="147"/>
        </w:numPr>
        <w:spacing w:after="0" w:line="240" w:lineRule="auto"/>
        <w:ind w:left="993"/>
        <w:contextualSpacing/>
        <w:jc w:val="both"/>
        <w:rPr>
          <w:rFonts w:ascii="Arial" w:eastAsia="Calibri" w:hAnsi="Arial" w:cs="Arial"/>
          <w:b/>
          <w:color w:val="4F6228"/>
          <w:sz w:val="16"/>
          <w:szCs w:val="16"/>
        </w:rPr>
      </w:pPr>
      <w:hyperlink w:anchor="ley29151" w:history="1">
        <w:r w:rsidR="006312E8" w:rsidRPr="006312E8">
          <w:rPr>
            <w:rFonts w:ascii="Arial" w:eastAsia="Calibri" w:hAnsi="Arial" w:cs="Arial"/>
            <w:b/>
            <w:color w:val="0000FF"/>
            <w:sz w:val="16"/>
            <w:szCs w:val="16"/>
            <w:u w:val="single"/>
          </w:rPr>
          <w:t>Ley Nº 29151</w:t>
        </w:r>
      </w:hyperlink>
      <w:r w:rsidR="006312E8" w:rsidRPr="006312E8">
        <w:rPr>
          <w:rFonts w:ascii="Arial" w:eastAsia="Calibri" w:hAnsi="Arial" w:cs="Arial"/>
          <w:b/>
          <w:color w:val="4F6228"/>
          <w:sz w:val="16"/>
          <w:szCs w:val="16"/>
        </w:rPr>
        <w:t xml:space="preserve"> (art. 14, numeral 14.1, literal 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DISPOSICIÓN FINAL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b/>
          <w:lang w:val="es-ES"/>
        </w:rPr>
        <w:t>ÚNICA.-</w:t>
      </w:r>
      <w:r w:rsidRPr="006312E8">
        <w:rPr>
          <w:rFonts w:ascii="Arial" w:eastAsia="Calibri" w:hAnsi="Arial" w:cs="Arial"/>
          <w:lang w:val="es-ES"/>
        </w:rPr>
        <w:t xml:space="preserve"> Encárgase a la SBN emitir las directivas necesarias para la aplicación y mejor cumplimiento de la presente Ley.</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POR TANTO: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Habiendo sido reconsiderada la Ley por el Congreso de la República, insistiendo en el texto aprobado en sesión del Pleno realizada el día cuatro de marzo de dos mil diez, de conformidad con lo dispuesto por el artículo 108 de la Constitución Política del Perú, ordeno que se publique y cumpla.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En Lima, a los veintisiete días del mes de setiembre de dos mil diez.</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CÉSAR ZUMAETA FLORES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b/>
          <w:lang w:val="es-ES"/>
        </w:rPr>
        <w:tab/>
      </w:r>
      <w:r w:rsidRPr="006312E8">
        <w:rPr>
          <w:rFonts w:ascii="Arial" w:eastAsia="Calibri" w:hAnsi="Arial" w:cs="Arial"/>
          <w:lang w:val="es-ES"/>
        </w:rPr>
        <w:t>Presidente del Congreso de la República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ALDA LAZO RÍOS DE HORNUNG</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b/>
          <w:lang w:val="es-ES"/>
        </w:rPr>
        <w:tab/>
      </w:r>
      <w:r w:rsidRPr="006312E8">
        <w:rPr>
          <w:rFonts w:ascii="Arial" w:eastAsia="Calibri" w:hAnsi="Arial" w:cs="Arial"/>
          <w:lang w:val="es-ES"/>
        </w:rPr>
        <w:t>Segunda Vicepresidenta del Congreso de la República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3679F2">
      <w:pPr>
        <w:pStyle w:val="TITO2"/>
      </w:pPr>
      <w:bookmarkStart w:id="175" w:name="LEY29618"/>
      <w:bookmarkStart w:id="176" w:name="_Toc392856195"/>
      <w:bookmarkStart w:id="177" w:name="_Toc399335469"/>
      <w:bookmarkStart w:id="178" w:name="_Toc421025417"/>
      <w:bookmarkStart w:id="179" w:name="_Toc470855515"/>
      <w:r w:rsidRPr="006312E8">
        <w:t>LEY Nº 29618</w:t>
      </w:r>
      <w:bookmarkEnd w:id="175"/>
      <w:bookmarkEnd w:id="176"/>
      <w:bookmarkEnd w:id="177"/>
      <w:bookmarkEnd w:id="178"/>
      <w:bookmarkEnd w:id="179"/>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right"/>
        <w:rPr>
          <w:rFonts w:ascii="Arial" w:eastAsia="Calibri" w:hAnsi="Arial" w:cs="Arial"/>
          <w:b/>
          <w:lang w:val="es-ES"/>
        </w:rPr>
      </w:pPr>
      <w:r w:rsidRPr="006312E8">
        <w:rPr>
          <w:rFonts w:ascii="Arial" w:eastAsia="Calibri" w:hAnsi="Arial" w:cs="Arial"/>
          <w:b/>
          <w:lang w:val="es-ES"/>
        </w:rPr>
        <w:t>Fecha de publicación: 24-11-2010</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EL PRESIDENTE DE LA REPÚBLICA </w:t>
      </w: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POR CUANTO: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El Congreso de la República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Ha dado la Ley siguiente: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EL CONGRESO DE LA REPÚBLICA;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Ha dado la Ley siguiente: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sz w:val="24"/>
          <w:szCs w:val="24"/>
          <w:lang w:val="es-ES"/>
        </w:rPr>
      </w:pPr>
      <w:r w:rsidRPr="006312E8">
        <w:rPr>
          <w:rFonts w:ascii="Arial" w:eastAsia="Calibri" w:hAnsi="Arial" w:cs="Arial"/>
          <w:b/>
          <w:sz w:val="24"/>
          <w:szCs w:val="24"/>
          <w:lang w:val="es-ES"/>
        </w:rPr>
        <w:t>LEY QUE ESTABLECE LA PRESUNCIÓN DE QUE EL ESTADO ES POSEEDOR DE LOS INMUEBLES DE SU PROPIEDAD Y DECLARA IMPRESCRIPTIBLES LOS BIENES INMUEBLES DE DOMINIO PRIVADO ESTATAL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1.- Presunción de la posesión del Estado respecto de los inmuebles de su propiedad</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Se presume que el Estado es poseedor de todos los inmuebles de su propiedad.</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2.- Declaración de imprescriptibilidad de los bienes inmuebles de dominio privado estatal</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Declárase la imprescriptibilidad de los bienes inmuebles de dominio privado estatal.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84"/>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92471C">
      <w:pPr>
        <w:numPr>
          <w:ilvl w:val="0"/>
          <w:numId w:val="147"/>
        </w:numPr>
        <w:spacing w:after="0" w:line="240" w:lineRule="auto"/>
        <w:ind w:left="993"/>
        <w:contextualSpacing/>
        <w:jc w:val="both"/>
        <w:rPr>
          <w:rFonts w:ascii="Arial" w:eastAsia="Calibri" w:hAnsi="Arial" w:cs="Arial"/>
          <w:b/>
          <w:color w:val="4F6228"/>
          <w:sz w:val="16"/>
          <w:szCs w:val="16"/>
        </w:rPr>
      </w:pPr>
      <w:hyperlink w:anchor="DS007" w:history="1">
        <w:r w:rsidR="006312E8" w:rsidRPr="006312E8">
          <w:rPr>
            <w:rFonts w:ascii="Arial" w:eastAsia="Calibri" w:hAnsi="Arial" w:cs="Arial"/>
            <w:b/>
            <w:color w:val="0000FF"/>
            <w:sz w:val="16"/>
            <w:szCs w:val="16"/>
            <w:u w:val="single"/>
          </w:rPr>
          <w:t>Decreto Supremo Nº 007-2008-VIVIENDA</w:t>
        </w:r>
      </w:hyperlink>
      <w:r w:rsidR="006312E8" w:rsidRPr="006312E8">
        <w:rPr>
          <w:rFonts w:ascii="Arial" w:eastAsia="Calibri" w:hAnsi="Arial" w:cs="Arial"/>
          <w:b/>
          <w:color w:val="4F6228"/>
          <w:sz w:val="16"/>
          <w:szCs w:val="16"/>
        </w:rPr>
        <w:t xml:space="preserve"> (art. 2 literal b)</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DISPOSICIÓN COMPLEMENTARIA FINAL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ÚNICA.- Exclusión de los predios de las comunidades campesinas y nativas del país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presente Ley no es de aplicación a los predios en propiedad, en posesión o en uso tradicional de las comunidades campesinas y nativas, los cuales se rigen por las leyes de la materia.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DISPOSICIÓN COMPLEMENTARIA TRANSITORIA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ÚNICA.- Aplicación de la Ley núm. 29151, Ley General del Sistema Nacional de Bienes Estatales, y su reglamento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Las personas naturales o jurídicas que, a la fecha de la entrada en vigencia de la presente Ley, se encuentren ocupando inmuebles de propiedad estatal, con excepción de bienes municipales, que cumplan con los requisitos establecidos en la Ley núm. 29151, Ley General del Sistema Nacional de Bienes Estatales, y su reglamento pueden acogerse a los mecanismos de compraventa a valor comercial establecidos en dichas normas.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84"/>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92471C">
      <w:pPr>
        <w:numPr>
          <w:ilvl w:val="0"/>
          <w:numId w:val="147"/>
        </w:numPr>
        <w:spacing w:after="0" w:line="240" w:lineRule="auto"/>
        <w:ind w:left="993"/>
        <w:contextualSpacing/>
        <w:jc w:val="both"/>
        <w:rPr>
          <w:rFonts w:ascii="Arial" w:eastAsia="Calibri" w:hAnsi="Arial" w:cs="Arial"/>
          <w:b/>
          <w:color w:val="4F6228"/>
          <w:sz w:val="16"/>
          <w:szCs w:val="16"/>
        </w:rPr>
      </w:pPr>
      <w:hyperlink w:anchor="ley29151" w:history="1">
        <w:r w:rsidR="006312E8" w:rsidRPr="006312E8">
          <w:rPr>
            <w:rFonts w:ascii="Arial" w:eastAsia="Calibri" w:hAnsi="Arial" w:cs="Arial"/>
            <w:b/>
            <w:color w:val="0000FF"/>
            <w:sz w:val="16"/>
            <w:szCs w:val="16"/>
            <w:u w:val="single"/>
          </w:rPr>
          <w:t>Ley Nº 29151</w:t>
        </w:r>
      </w:hyperlink>
      <w:r w:rsidR="006312E8" w:rsidRPr="006312E8">
        <w:rPr>
          <w:rFonts w:ascii="Arial" w:eastAsia="Calibri" w:hAnsi="Arial" w:cs="Arial"/>
          <w:b/>
          <w:color w:val="4F6228"/>
          <w:sz w:val="16"/>
          <w:szCs w:val="16"/>
        </w:rPr>
        <w:t xml:space="preserve"> (art. 7, literal e)</w:t>
      </w:r>
    </w:p>
    <w:p w:rsidR="006312E8" w:rsidRPr="006312E8" w:rsidRDefault="000A5EA6" w:rsidP="0092471C">
      <w:pPr>
        <w:numPr>
          <w:ilvl w:val="0"/>
          <w:numId w:val="147"/>
        </w:numPr>
        <w:spacing w:after="0" w:line="240" w:lineRule="auto"/>
        <w:ind w:left="993"/>
        <w:contextualSpacing/>
        <w:jc w:val="both"/>
        <w:rPr>
          <w:rFonts w:ascii="Arial" w:eastAsia="Calibri" w:hAnsi="Arial" w:cs="Arial"/>
          <w:b/>
          <w:color w:val="4F6228"/>
          <w:sz w:val="16"/>
          <w:szCs w:val="16"/>
        </w:rPr>
      </w:pPr>
      <w:hyperlink w:anchor="DS007" w:history="1">
        <w:r w:rsidR="006312E8" w:rsidRPr="006312E8">
          <w:rPr>
            <w:rFonts w:ascii="Arial" w:eastAsia="Calibri" w:hAnsi="Arial" w:cs="Arial"/>
            <w:b/>
            <w:color w:val="0000FF"/>
            <w:sz w:val="16"/>
            <w:szCs w:val="16"/>
            <w:u w:val="single"/>
          </w:rPr>
          <w:t>Decreto Supremo Nº 007-2008-VIVIENDA</w:t>
        </w:r>
      </w:hyperlink>
      <w:r w:rsidR="006312E8" w:rsidRPr="006312E8">
        <w:rPr>
          <w:rFonts w:ascii="Arial" w:eastAsia="Calibri" w:hAnsi="Arial" w:cs="Arial"/>
          <w:b/>
          <w:color w:val="4F6228"/>
          <w:sz w:val="16"/>
          <w:szCs w:val="16"/>
        </w:rPr>
        <w:t xml:space="preserve"> (art. 77 literales c y d)</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Comuníquese al señor Presidente de la República para su promulgación.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En Lima, a los diez días del mes de noviembre de dos mil diez.</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CÉSAR ZUMAETA FLORES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b/>
          <w:lang w:val="es-ES"/>
        </w:rPr>
        <w:tab/>
      </w:r>
      <w:r w:rsidRPr="006312E8">
        <w:rPr>
          <w:rFonts w:ascii="Arial" w:eastAsia="Calibri" w:hAnsi="Arial" w:cs="Arial"/>
          <w:lang w:val="es-ES"/>
        </w:rPr>
        <w:t>Presidente del Congreso de la República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 xml:space="preserve">ALDA LAZO RÍOS DE HORNUNG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b/>
          <w:lang w:val="es-ES"/>
        </w:rPr>
        <w:tab/>
      </w:r>
      <w:r w:rsidRPr="006312E8">
        <w:rPr>
          <w:rFonts w:ascii="Arial" w:eastAsia="Calibri" w:hAnsi="Arial" w:cs="Arial"/>
          <w:lang w:val="es-ES"/>
        </w:rPr>
        <w:t>Segunda Vicepresidenta del</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Congreso de la República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AL SEÑOR PRESIDENTE CONSTITUCIONAL DE LA REPÚBLICA</w:t>
      </w: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POR TANTO:</w:t>
      </w: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Mando se publique y cumpla.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709"/>
        <w:jc w:val="both"/>
        <w:rPr>
          <w:rFonts w:ascii="Arial" w:eastAsia="Calibri" w:hAnsi="Arial" w:cs="Arial"/>
          <w:lang w:val="es-ES"/>
        </w:rPr>
      </w:pPr>
      <w:r w:rsidRPr="006312E8">
        <w:rPr>
          <w:rFonts w:ascii="Arial" w:eastAsia="Calibri" w:hAnsi="Arial" w:cs="Arial"/>
          <w:lang w:val="es-ES"/>
        </w:rPr>
        <w:t>Dado en la Casa de Gobierno, en Lima, a los veintitrés días del mes de noviembre del año dos mil diez.</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ALAN GARCÍA PÉREZ</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b/>
          <w:lang w:val="es-ES"/>
        </w:rPr>
        <w:tab/>
      </w:r>
      <w:r w:rsidRPr="006312E8">
        <w:rPr>
          <w:rFonts w:ascii="Arial" w:eastAsia="Calibri" w:hAnsi="Arial" w:cs="Arial"/>
          <w:lang w:val="es-ES"/>
        </w:rPr>
        <w:t>Presidente Constitucional de la República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 xml:space="preserve">JOSÉ ANTONIO CHANG ESCOBEDO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b/>
          <w:lang w:val="es-ES"/>
        </w:rPr>
        <w:tab/>
      </w:r>
      <w:r w:rsidRPr="006312E8">
        <w:rPr>
          <w:rFonts w:ascii="Arial" w:eastAsia="Calibri" w:hAnsi="Arial" w:cs="Arial"/>
          <w:lang w:val="es-ES"/>
        </w:rPr>
        <w:t xml:space="preserve">Presidente del Consejo de Ministros y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Ministro de Educación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3679F2">
      <w:pPr>
        <w:pStyle w:val="TITO2"/>
      </w:pPr>
      <w:bookmarkStart w:id="180" w:name="_Toc392856196"/>
      <w:bookmarkStart w:id="181" w:name="_Toc399335470"/>
      <w:bookmarkStart w:id="182" w:name="_Toc421025418"/>
      <w:bookmarkStart w:id="183" w:name="_Toc470855516"/>
      <w:bookmarkStart w:id="184" w:name="LEY30047"/>
      <w:r w:rsidRPr="006312E8">
        <w:t>LEY Nº 30047</w:t>
      </w:r>
      <w:bookmarkEnd w:id="180"/>
      <w:bookmarkEnd w:id="181"/>
      <w:bookmarkEnd w:id="182"/>
      <w:bookmarkEnd w:id="183"/>
    </w:p>
    <w:bookmarkEnd w:id="184"/>
    <w:p w:rsidR="006312E8" w:rsidRPr="006312E8" w:rsidRDefault="006312E8" w:rsidP="006312E8">
      <w:pPr>
        <w:spacing w:after="0" w:line="240" w:lineRule="auto"/>
        <w:jc w:val="right"/>
        <w:rPr>
          <w:rFonts w:ascii="Arial" w:eastAsia="Calibri" w:hAnsi="Arial" w:cs="Arial"/>
          <w:b/>
          <w:lang w:val="es-ES"/>
        </w:rPr>
      </w:pPr>
    </w:p>
    <w:p w:rsidR="006312E8" w:rsidRPr="006312E8" w:rsidRDefault="006312E8" w:rsidP="006312E8">
      <w:pPr>
        <w:spacing w:after="0" w:line="240" w:lineRule="auto"/>
        <w:jc w:val="right"/>
        <w:rPr>
          <w:rFonts w:ascii="Arial" w:eastAsia="Calibri" w:hAnsi="Arial" w:cs="Arial"/>
          <w:b/>
          <w:lang w:val="es-ES"/>
        </w:rPr>
      </w:pPr>
      <w:r w:rsidRPr="006312E8">
        <w:rPr>
          <w:rFonts w:ascii="Arial" w:eastAsia="Calibri" w:hAnsi="Arial" w:cs="Arial"/>
          <w:b/>
          <w:lang w:val="es-ES"/>
        </w:rPr>
        <w:t>Fecha de publicación: 20-06-2013</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EL PRESIDENTE DE LA REPÚBLICA</w:t>
      </w: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POR CUANTO: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El Congreso de la República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Ha dado la Ley siguiente: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EL CONGRESO DE LA REPÚBLICA;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Ha dado la Ley siguiente: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sz w:val="24"/>
          <w:szCs w:val="24"/>
          <w:lang w:val="es-ES"/>
        </w:rPr>
      </w:pPr>
      <w:r w:rsidRPr="006312E8">
        <w:rPr>
          <w:rFonts w:ascii="Arial" w:eastAsia="Calibri" w:hAnsi="Arial" w:cs="Arial"/>
          <w:b/>
          <w:sz w:val="24"/>
          <w:szCs w:val="24"/>
          <w:lang w:val="es-ES"/>
        </w:rPr>
        <w:t xml:space="preserve">LEY QUE MODIFICA LA LEY 29151, LEY GENERAL </w:t>
      </w:r>
    </w:p>
    <w:p w:rsidR="006312E8" w:rsidRPr="006312E8" w:rsidRDefault="006312E8" w:rsidP="006312E8">
      <w:pPr>
        <w:spacing w:after="0" w:line="240" w:lineRule="auto"/>
        <w:jc w:val="center"/>
        <w:rPr>
          <w:rFonts w:ascii="Arial" w:eastAsia="Calibri" w:hAnsi="Arial" w:cs="Arial"/>
          <w:b/>
          <w:sz w:val="24"/>
          <w:szCs w:val="24"/>
          <w:lang w:val="es-ES"/>
        </w:rPr>
      </w:pPr>
      <w:r w:rsidRPr="006312E8">
        <w:rPr>
          <w:rFonts w:ascii="Arial" w:eastAsia="Calibri" w:hAnsi="Arial" w:cs="Arial"/>
          <w:b/>
          <w:sz w:val="24"/>
          <w:szCs w:val="24"/>
          <w:lang w:val="es-ES"/>
        </w:rPr>
        <w:t>DEL SISTEMA NACIONAL DE BIENES ESTATALES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b/>
          <w:lang w:val="es-ES"/>
        </w:rPr>
        <w:t>Artículo único.</w:t>
      </w:r>
      <w:r w:rsidRPr="006312E8">
        <w:rPr>
          <w:rFonts w:ascii="Arial" w:eastAsia="Calibri" w:hAnsi="Arial" w:cs="Arial"/>
          <w:lang w:val="es-ES"/>
        </w:rPr>
        <w:t xml:space="preserve"> Incorporación de los artículos 24 y 25 a la Ley 29151, Ley General del Sistema Nacional de Bienes Estatales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Incorpóranse los artículos 24 y 25 a la Ley 29151, Ley General del Sistema Nacional de Bienes Estatales, con el siguiente texto: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709"/>
        <w:jc w:val="both"/>
        <w:rPr>
          <w:rFonts w:ascii="Arial" w:eastAsia="Calibri" w:hAnsi="Arial" w:cs="Arial"/>
          <w:b/>
          <w:lang w:val="es-ES"/>
        </w:rPr>
      </w:pPr>
      <w:r w:rsidRPr="006312E8">
        <w:rPr>
          <w:rFonts w:ascii="Arial" w:eastAsia="Calibri" w:hAnsi="Arial" w:cs="Arial"/>
          <w:b/>
          <w:lang w:val="es-ES"/>
        </w:rPr>
        <w:t>“Artículo 24.- Requisitos exigidos a los funcionarios encargados de la gestión de bienes estatales</w:t>
      </w:r>
    </w:p>
    <w:p w:rsidR="006312E8" w:rsidRPr="006312E8" w:rsidRDefault="006312E8" w:rsidP="006312E8">
      <w:pPr>
        <w:spacing w:after="0" w:line="240" w:lineRule="auto"/>
        <w:ind w:left="709"/>
        <w:jc w:val="both"/>
        <w:rPr>
          <w:rFonts w:ascii="Arial" w:eastAsia="Calibri" w:hAnsi="Arial" w:cs="Arial"/>
          <w:lang w:val="es-ES"/>
        </w:rPr>
      </w:pPr>
      <w:r w:rsidRPr="006312E8">
        <w:rPr>
          <w:rFonts w:ascii="Arial" w:eastAsia="Calibri" w:hAnsi="Arial" w:cs="Arial"/>
          <w:lang w:val="es-ES"/>
        </w:rPr>
        <w:t>Los funcionarios y servidores encargados de las actividades relativas a la gestión de bienes estatales que, en razón de sus funciones, intervienen directamente en la aplicación de la Ley 29151, Ley General del Sistema Nacional de Bienes Estatales, su reglamento aprobado por Decreto Supremo 007-2008-VIVIENDA, las normas emitidas por el Sistema Nacional de Bienes Estatales y las normas que emita la Superintendencia Nacional de Bienes Estatales, deben ser profesionales y técnicos debidamente certificados, que reúnan como mínimo los siguientes requisitos:</w:t>
      </w:r>
    </w:p>
    <w:p w:rsidR="006312E8" w:rsidRPr="006312E8" w:rsidRDefault="006312E8" w:rsidP="006312E8">
      <w:pPr>
        <w:spacing w:after="0" w:line="240" w:lineRule="auto"/>
        <w:ind w:left="709"/>
        <w:jc w:val="both"/>
        <w:rPr>
          <w:rFonts w:ascii="Arial" w:eastAsia="Calibri" w:hAnsi="Arial" w:cs="Arial"/>
          <w:lang w:val="es-ES"/>
        </w:rPr>
      </w:pPr>
    </w:p>
    <w:p w:rsidR="006312E8" w:rsidRPr="006312E8" w:rsidRDefault="006312E8" w:rsidP="00241D1D">
      <w:pPr>
        <w:numPr>
          <w:ilvl w:val="0"/>
          <w:numId w:val="74"/>
        </w:numPr>
        <w:spacing w:after="0" w:line="240" w:lineRule="auto"/>
        <w:contextualSpacing/>
        <w:jc w:val="both"/>
        <w:rPr>
          <w:rFonts w:ascii="Arial" w:eastAsia="Calibri" w:hAnsi="Arial" w:cs="Arial"/>
          <w:lang w:val="es-ES"/>
        </w:rPr>
      </w:pPr>
      <w:r w:rsidRPr="006312E8">
        <w:rPr>
          <w:rFonts w:ascii="Arial" w:eastAsia="Calibri" w:hAnsi="Arial" w:cs="Arial"/>
          <w:lang w:val="es-ES"/>
        </w:rPr>
        <w:t>Capacitación técnica en el Sistema Nacional de Bienes Estatales o gestión patrimonial en general, no menor a ochenta (80) horas lectivas.</w:t>
      </w:r>
    </w:p>
    <w:p w:rsidR="006312E8" w:rsidRPr="006312E8" w:rsidRDefault="006312E8" w:rsidP="006312E8">
      <w:pPr>
        <w:spacing w:after="0" w:line="240" w:lineRule="auto"/>
        <w:ind w:left="1774"/>
        <w:contextualSpacing/>
        <w:jc w:val="both"/>
        <w:rPr>
          <w:rFonts w:ascii="Arial" w:eastAsia="Calibri" w:hAnsi="Arial" w:cs="Arial"/>
          <w:lang w:val="es-ES"/>
        </w:rPr>
      </w:pPr>
    </w:p>
    <w:p w:rsidR="006312E8" w:rsidRPr="006312E8" w:rsidRDefault="006312E8" w:rsidP="00241D1D">
      <w:pPr>
        <w:numPr>
          <w:ilvl w:val="0"/>
          <w:numId w:val="74"/>
        </w:numPr>
        <w:spacing w:after="0" w:line="240" w:lineRule="auto"/>
        <w:contextualSpacing/>
        <w:jc w:val="both"/>
        <w:rPr>
          <w:rFonts w:ascii="Arial" w:eastAsia="Calibri" w:hAnsi="Arial" w:cs="Arial"/>
          <w:lang w:val="es-ES"/>
        </w:rPr>
      </w:pPr>
      <w:r w:rsidRPr="006312E8">
        <w:rPr>
          <w:rFonts w:ascii="Arial" w:eastAsia="Calibri" w:hAnsi="Arial" w:cs="Arial"/>
          <w:lang w:val="es-ES"/>
        </w:rPr>
        <w:t>Experiencia laboral en general, no menor de dos (2) años.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74"/>
        </w:numPr>
        <w:spacing w:after="0" w:line="240" w:lineRule="auto"/>
        <w:contextualSpacing/>
        <w:jc w:val="both"/>
        <w:rPr>
          <w:rFonts w:ascii="Arial" w:eastAsia="Calibri" w:hAnsi="Arial" w:cs="Arial"/>
          <w:lang w:val="es-ES"/>
        </w:rPr>
      </w:pPr>
      <w:r w:rsidRPr="006312E8">
        <w:rPr>
          <w:rFonts w:ascii="Arial" w:eastAsia="Calibri" w:hAnsi="Arial" w:cs="Arial"/>
          <w:lang w:val="es-ES"/>
        </w:rPr>
        <w:t>Experiencia laboral en gestión de los bienes estatales, no menor de un (1) año.</w:t>
      </w:r>
    </w:p>
    <w:p w:rsidR="006312E8" w:rsidRPr="006312E8" w:rsidRDefault="006312E8" w:rsidP="006312E8">
      <w:pPr>
        <w:spacing w:after="0" w:line="240" w:lineRule="auto"/>
        <w:ind w:left="709"/>
        <w:jc w:val="both"/>
        <w:rPr>
          <w:rFonts w:ascii="Arial" w:eastAsia="Calibri" w:hAnsi="Arial" w:cs="Arial"/>
          <w:lang w:val="es-ES"/>
        </w:rPr>
      </w:pPr>
    </w:p>
    <w:p w:rsidR="006312E8" w:rsidRPr="006312E8" w:rsidRDefault="006312E8" w:rsidP="006312E8">
      <w:pPr>
        <w:spacing w:after="0" w:line="240" w:lineRule="auto"/>
        <w:ind w:left="709"/>
        <w:jc w:val="both"/>
        <w:rPr>
          <w:rFonts w:ascii="Arial" w:eastAsia="Calibri" w:hAnsi="Arial" w:cs="Arial"/>
          <w:lang w:val="es-ES"/>
        </w:rPr>
      </w:pPr>
      <w:r w:rsidRPr="006312E8">
        <w:rPr>
          <w:rFonts w:ascii="Arial" w:eastAsia="Calibri" w:hAnsi="Arial" w:cs="Arial"/>
          <w:lang w:val="es-ES"/>
        </w:rPr>
        <w:t>El procedimiento de certificación es establecido a través de directivas emitidas por la Superintendencia Nacional de Bienes Estatales - SBN, entidad que administra la base de datos de los profesionales y técnicos que cuenten con la respectiva certificación.</w:t>
      </w:r>
    </w:p>
    <w:p w:rsidR="006312E8" w:rsidRPr="006312E8" w:rsidRDefault="006312E8" w:rsidP="006312E8">
      <w:pPr>
        <w:spacing w:after="0" w:line="240" w:lineRule="auto"/>
        <w:ind w:left="709"/>
        <w:jc w:val="both"/>
        <w:rPr>
          <w:rFonts w:ascii="Arial" w:eastAsia="Calibri" w:hAnsi="Arial" w:cs="Arial"/>
          <w:lang w:val="es-ES"/>
        </w:rPr>
      </w:pPr>
    </w:p>
    <w:p w:rsidR="006312E8" w:rsidRPr="006312E8" w:rsidRDefault="006312E8" w:rsidP="006312E8">
      <w:pPr>
        <w:spacing w:after="0" w:line="240" w:lineRule="auto"/>
        <w:ind w:left="709"/>
        <w:jc w:val="both"/>
        <w:rPr>
          <w:rFonts w:ascii="Arial" w:eastAsia="Calibri" w:hAnsi="Arial" w:cs="Arial"/>
          <w:b/>
          <w:lang w:val="es-ES"/>
        </w:rPr>
      </w:pPr>
      <w:r w:rsidRPr="006312E8">
        <w:rPr>
          <w:rFonts w:ascii="Arial" w:eastAsia="Calibri" w:hAnsi="Arial" w:cs="Arial"/>
          <w:b/>
          <w:lang w:val="es-ES"/>
        </w:rPr>
        <w:t>Artículo 25.- Servicios no exclusivos</w:t>
      </w:r>
    </w:p>
    <w:p w:rsidR="006312E8" w:rsidRPr="006312E8" w:rsidRDefault="006312E8" w:rsidP="006312E8">
      <w:pPr>
        <w:spacing w:after="0" w:line="240" w:lineRule="auto"/>
        <w:ind w:left="709"/>
        <w:jc w:val="both"/>
        <w:rPr>
          <w:rFonts w:ascii="Arial" w:eastAsia="Calibri" w:hAnsi="Arial" w:cs="Arial"/>
          <w:lang w:val="es-ES"/>
        </w:rPr>
      </w:pPr>
      <w:r w:rsidRPr="006312E8">
        <w:rPr>
          <w:rFonts w:ascii="Arial" w:eastAsia="Calibri" w:hAnsi="Arial" w:cs="Arial"/>
          <w:lang w:val="es-ES"/>
        </w:rPr>
        <w:t>Autorízase a la Superintendencia Nacional de Bienes Estatales - SBN a realizar entre otras actividades las siguientes: difusión normativa, publicaciones, capacitaciones e investigaciones, así como a efectuar los cobros correspondientes, que permitan sufragar los respectivos gastos, cuyos montos de retribución son aprobados y reajustados periódicamente por su titular.”</w:t>
      </w:r>
    </w:p>
    <w:p w:rsidR="005A311B" w:rsidRDefault="005A311B" w:rsidP="006312E8">
      <w:pPr>
        <w:spacing w:after="0" w:line="240" w:lineRule="auto"/>
        <w:jc w:val="center"/>
        <w:rPr>
          <w:rFonts w:ascii="Arial" w:eastAsia="Calibri" w:hAnsi="Arial" w:cs="Arial"/>
          <w:b/>
          <w:lang w:val="es-ES"/>
        </w:rPr>
      </w:pPr>
    </w:p>
    <w:p w:rsidR="006620AD" w:rsidRDefault="006620AD" w:rsidP="006312E8">
      <w:pPr>
        <w:spacing w:after="0" w:line="240" w:lineRule="auto"/>
        <w:jc w:val="center"/>
        <w:rPr>
          <w:rFonts w:ascii="Arial" w:eastAsia="Calibri" w:hAnsi="Arial" w:cs="Arial"/>
          <w:b/>
          <w:lang w:val="es-ES"/>
        </w:rPr>
      </w:pPr>
    </w:p>
    <w:p w:rsidR="006620AD" w:rsidRDefault="006620AD" w:rsidP="006312E8">
      <w:pPr>
        <w:spacing w:after="0" w:line="240" w:lineRule="auto"/>
        <w:jc w:val="center"/>
        <w:rPr>
          <w:rFonts w:ascii="Arial" w:eastAsia="Calibri" w:hAnsi="Arial" w:cs="Arial"/>
          <w:b/>
          <w:lang w:val="es-ES"/>
        </w:rPr>
      </w:pPr>
    </w:p>
    <w:p w:rsidR="006620AD" w:rsidRDefault="006620AD" w:rsidP="006312E8">
      <w:pPr>
        <w:spacing w:after="0" w:line="240" w:lineRule="auto"/>
        <w:jc w:val="center"/>
        <w:rPr>
          <w:rFonts w:ascii="Arial" w:eastAsia="Calibri" w:hAnsi="Arial" w:cs="Arial"/>
          <w:b/>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DISPOSICIONES COMPLEMENTARIAS FINALES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PRIMERA. Procedimiento de acreditación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acreditación de los funcionarios y servidores se implementa en forma progresiva a partir del año 2013 conforme a las directivas y procedimientos que establezca la Superintendencia Nacional de Bienes Estatales - SBN.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SEGUNDA. Bienes y servicios no exclusivos otorgados por la Superintendencia Nacional de Bienes Estatales - SBN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Superintendencia Nacional de Bienes Estatales - SBN, establece la descripción clara y precisa de los bienes o servicios que son objeto de comercialización por parte de la entidad, el monto de la retribución expresada en un porcentaje de la unidad impositiva tributaria y su forma de pago.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TERCERA. Adecuación del Reglamento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El Poder Ejecutivo, a través del Ministerio de Vivienda, Construcción y Saneamiento, en un plazo de sesenta días calendario, contados desde la vigencia de la presente Ley, adecúa según corresponda el Reglamento de la Ley 29151, aprobado por Decreto Supremo 007-2008-VIVIENDA, modificado por Decreto Supremo 013-2012-VIVIENDA.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Comuníquese al señor Presidente Constitucional de la República para su promulgación.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En Lima, a los treinta días del mes de mayo de dos mil trece.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b/>
        <w:t>VÍCTOR ISLA ROJAS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Presidente del Congreso de la República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b/>
        <w:t>MARCO TULIO FALCONÍ PICARDO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Primer Vicepresidente del Congreso de la República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b/>
        <w:t>AL SEÑOR PRESIDENTE CONSTITUCIONAL DE LA REPÚBLICA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POR TANTO: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Mando se publique y cumpla.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709"/>
        <w:jc w:val="both"/>
        <w:rPr>
          <w:rFonts w:ascii="Arial" w:eastAsia="Calibri" w:hAnsi="Arial" w:cs="Arial"/>
          <w:lang w:val="es-ES"/>
        </w:rPr>
      </w:pPr>
      <w:r w:rsidRPr="006312E8">
        <w:rPr>
          <w:rFonts w:ascii="Arial" w:eastAsia="Calibri" w:hAnsi="Arial" w:cs="Arial"/>
          <w:lang w:val="es-ES"/>
        </w:rPr>
        <w:t>Dado en la Casa de Gobierno, en Lima, a los diecinueve días del mes de junio del año dos mil trece.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OLLANTA HUMALA TASSO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b/>
          <w:lang w:val="es-ES"/>
        </w:rPr>
        <w:tab/>
      </w:r>
      <w:r w:rsidRPr="006312E8">
        <w:rPr>
          <w:rFonts w:ascii="Arial" w:eastAsia="Calibri" w:hAnsi="Arial" w:cs="Arial"/>
          <w:lang w:val="es-ES"/>
        </w:rPr>
        <w:t>Presidente Constitucional de la República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JUAN F. JIMÉNEZ MAYOR</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b/>
          <w:lang w:val="es-ES"/>
        </w:rPr>
        <w:tab/>
      </w:r>
      <w:r w:rsidRPr="006312E8">
        <w:rPr>
          <w:rFonts w:ascii="Arial" w:eastAsia="Calibri" w:hAnsi="Arial" w:cs="Arial"/>
          <w:lang w:val="es-ES"/>
        </w:rPr>
        <w:t>Presidente del Consejo de Ministros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3679F2">
      <w:pPr>
        <w:pStyle w:val="TITO2"/>
      </w:pPr>
      <w:bookmarkStart w:id="185" w:name="_Toc392856197"/>
      <w:bookmarkStart w:id="186" w:name="_Toc399335471"/>
      <w:bookmarkStart w:id="187" w:name="_Toc421025419"/>
      <w:bookmarkStart w:id="188" w:name="_Toc470855517"/>
      <w:bookmarkStart w:id="189" w:name="LEY30076"/>
      <w:r w:rsidRPr="006312E8">
        <w:t>LEY Nº 30076</w:t>
      </w:r>
      <w:bookmarkEnd w:id="185"/>
      <w:bookmarkEnd w:id="186"/>
      <w:bookmarkEnd w:id="187"/>
      <w:bookmarkEnd w:id="188"/>
    </w:p>
    <w:p w:rsidR="006312E8" w:rsidRPr="006312E8" w:rsidRDefault="006312E8" w:rsidP="006312E8">
      <w:pPr>
        <w:spacing w:after="0" w:line="240" w:lineRule="auto"/>
        <w:jc w:val="center"/>
        <w:rPr>
          <w:rFonts w:ascii="Arial" w:eastAsia="Calibri" w:hAnsi="Arial" w:cs="Arial"/>
          <w:b/>
          <w:sz w:val="24"/>
          <w:szCs w:val="24"/>
          <w:lang w:val="es-ES"/>
        </w:rPr>
      </w:pPr>
      <w:bookmarkStart w:id="190" w:name="_Toc384825811"/>
      <w:bookmarkStart w:id="191" w:name="_Toc392856198"/>
      <w:r w:rsidRPr="006312E8">
        <w:rPr>
          <w:rFonts w:ascii="Arial" w:eastAsia="Calibri" w:hAnsi="Arial" w:cs="Arial"/>
          <w:b/>
          <w:sz w:val="24"/>
          <w:szCs w:val="24"/>
          <w:lang w:val="es-ES"/>
        </w:rPr>
        <w:t>(Extracto)</w:t>
      </w:r>
      <w:bookmarkEnd w:id="190"/>
      <w:bookmarkEnd w:id="191"/>
    </w:p>
    <w:bookmarkEnd w:id="189"/>
    <w:p w:rsidR="006312E8" w:rsidRPr="006312E8" w:rsidRDefault="006312E8" w:rsidP="006312E8">
      <w:pPr>
        <w:spacing w:after="0" w:line="240" w:lineRule="auto"/>
        <w:jc w:val="right"/>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right"/>
        <w:rPr>
          <w:rFonts w:ascii="Arial" w:eastAsia="Calibri" w:hAnsi="Arial" w:cs="Arial"/>
          <w:b/>
          <w:lang w:val="es-ES"/>
        </w:rPr>
      </w:pPr>
      <w:r w:rsidRPr="006312E8">
        <w:rPr>
          <w:rFonts w:ascii="Arial" w:eastAsia="Calibri" w:hAnsi="Arial" w:cs="Arial"/>
          <w:b/>
          <w:lang w:val="es-ES"/>
        </w:rPr>
        <w:t>Fecha de publicación 19-08-2013</w:t>
      </w: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color w:val="4F6228"/>
          <w:sz w:val="16"/>
          <w:szCs w:val="16"/>
          <w:lang w:val="es-ES"/>
        </w:rPr>
      </w:pPr>
    </w:p>
    <w:p w:rsidR="006312E8" w:rsidRPr="006312E8" w:rsidRDefault="006312E8" w:rsidP="006312E8">
      <w:pPr>
        <w:spacing w:after="0" w:line="240" w:lineRule="auto"/>
        <w:jc w:val="both"/>
        <w:rPr>
          <w:rFonts w:ascii="Arial" w:eastAsia="Calibri" w:hAnsi="Arial" w:cs="Arial"/>
          <w:b/>
          <w:color w:val="4F6228"/>
          <w:sz w:val="16"/>
          <w:szCs w:val="16"/>
          <w:lang w:val="es-ES"/>
        </w:rPr>
      </w:pPr>
      <w:r w:rsidRPr="006312E8">
        <w:rPr>
          <w:rFonts w:ascii="Arial" w:eastAsia="Calibri" w:hAnsi="Arial" w:cs="Arial"/>
          <w:b/>
          <w:color w:val="4F6228"/>
          <w:sz w:val="16"/>
          <w:szCs w:val="16"/>
          <w:lang w:val="es-ES"/>
        </w:rPr>
        <w:t>(*) De conformidad con el Artículo Único de la Ley N° 30101, publicada el 02 noviembre 2013, se dispone que las modificaciones efectuadas por la presente Ley a los beneficios penitenciarios son de aplicación a los condenados por los delitos que se cometan a partir de su vigencia.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EL PRESIDENTE DE LA REPÚBLICA</w:t>
      </w: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POR CUANTO:</w:t>
      </w: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El Congreso de la República;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Ha dado la Ley siguiente:</w:t>
      </w: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EL CONGRESO DE LA REPÚBLICA;</w:t>
      </w: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Ha dado la Ley siguiente:</w:t>
      </w: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center"/>
        <w:rPr>
          <w:rFonts w:ascii="Arial" w:eastAsia="Calibri" w:hAnsi="Arial" w:cs="Arial"/>
          <w:b/>
          <w:sz w:val="24"/>
          <w:szCs w:val="24"/>
          <w:lang w:val="es-ES"/>
        </w:rPr>
      </w:pPr>
      <w:r w:rsidRPr="006312E8">
        <w:rPr>
          <w:rFonts w:ascii="Arial" w:eastAsia="Calibri" w:hAnsi="Arial" w:cs="Arial"/>
          <w:b/>
          <w:sz w:val="24"/>
          <w:szCs w:val="24"/>
          <w:lang w:val="es-ES"/>
        </w:rPr>
        <w:t>LEY QUE MODIFICA EL CÓDIGO PENAL, CÓDIGO PROCESAL PENAL, CÓDIGO DE EJECUCIÓN PENAL Y EL CÓDIGO DE LOS NIÑOS Y ADOLESCENTES Y CREA REGISTROS Y PROTOCOLOS CON LA FINALIDAD DE COMBATIR LA INSEGURIDAD CIUDADANA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u w:val="single"/>
        </w:rPr>
        <w:t>Artículo 1</w:t>
      </w:r>
      <w:r w:rsidRPr="006312E8">
        <w:rPr>
          <w:rFonts w:ascii="Arial" w:eastAsia="Calibri" w:hAnsi="Arial" w:cs="Arial"/>
          <w:b/>
        </w:rPr>
        <w:t>.</w:t>
      </w:r>
      <w:r w:rsidRPr="006312E8">
        <w:rPr>
          <w:rFonts w:ascii="Arial" w:eastAsia="Calibri" w:hAnsi="Arial" w:cs="Arial"/>
        </w:rPr>
        <w:t xml:space="preserve"> </w:t>
      </w:r>
      <w:r w:rsidRPr="006312E8">
        <w:rPr>
          <w:rFonts w:ascii="Arial" w:eastAsia="Calibri" w:hAnsi="Arial" w:cs="Arial"/>
          <w:b/>
        </w:rPr>
        <w:t>Modificación de diversos artículos del Código Penal</w:t>
      </w: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 xml:space="preserve"> </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Modificánse los artículos 22, 36, 38, 45, 46, 46-B, 46-c, 57, 58, 62, 64, 69, 70, 102, 170, 173, 186, 189, 194, 195, 200, 202,204, 205, 279, 279-C, 317-A y 440 del Código Penal en los siguientes términos:</w:t>
      </w: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 xml:space="preserve">(…) </w:t>
      </w: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Artículo 102. Decomiso de bienes provenientes del delito</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El juez, siempre que no proceda el proceso autónomo de pérdida de dominio previsto en el Decreto Legislativo 1104, resuelve el decomiso de los instrumentos con que se hubiere ejecutado el delito, aun cuando pertenezcan a terceros, salvo cuando estos no hayan prestado su consentimiento para su utilización. Los objetos del delito son decomisados cuando, atendiendo a su naturaleza, no corresponda su entrega o devolución. Asimismo, dispone el decomiso de los efectos o ganancias del delito, cualesquiera sean las transformaciones que estos hubieren podido experimentar. El decomiso determina el traslado de dichos bienes a la esfera de titularidad del Estado.</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El juez también dispone el decomiso de los bienes intrínsecamente delictivos, los que serán destruidos.</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Cuando los efectos o ganancias del delito se hayan mezclado con bienes de procedencia lícita, procede el decomiso hasta el valor estimado de los bienes ilícitos mezclados, salvo que los primeros hubiesen sido utilizados como medios o instrumentos para ocultar o convertir los bienes de ilícita procedencia, en cuyo caso procederá el decomiso de ambos tipos de bienes.</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Si no fuera posible el decomiso de los efectos o ganancias del delito porque han sido ocultados, destruidos, consumidos, transferidos a tercero de buena fe y a título oneroso o por cualquier otra razón atribuible al autor o partícipe, el juez dispone el decomiso de los bienes o activos de titularidad del responsable o eventual tercero por un monto equivalente al valor de dichos efectos y ganancias.</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 xml:space="preserve">(…) </w:t>
      </w:r>
    </w:p>
    <w:p w:rsidR="006312E8" w:rsidRDefault="006312E8" w:rsidP="006312E8">
      <w:pPr>
        <w:spacing w:after="0" w:line="240" w:lineRule="auto"/>
        <w:jc w:val="both"/>
        <w:rPr>
          <w:rFonts w:ascii="Arial" w:eastAsia="Calibri" w:hAnsi="Arial" w:cs="Arial"/>
          <w:b/>
        </w:rPr>
      </w:pPr>
    </w:p>
    <w:p w:rsidR="005A311B" w:rsidRPr="006312E8" w:rsidRDefault="005A311B" w:rsidP="006312E8">
      <w:pPr>
        <w:spacing w:after="0" w:line="240" w:lineRule="auto"/>
        <w:jc w:val="both"/>
        <w:rPr>
          <w:rFonts w:ascii="Arial" w:eastAsia="Calibri" w:hAnsi="Arial" w:cs="Arial"/>
          <w:b/>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b/>
        </w:rPr>
        <w:t>Artículo 202.- Usurpación</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Será reprimido con pena privativa de libertad no menor de dos ni mayor de cinco años:</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241D1D">
      <w:pPr>
        <w:numPr>
          <w:ilvl w:val="0"/>
          <w:numId w:val="75"/>
        </w:numPr>
        <w:spacing w:after="0" w:line="240" w:lineRule="auto"/>
        <w:contextualSpacing/>
        <w:jc w:val="both"/>
        <w:rPr>
          <w:rFonts w:ascii="Arial" w:eastAsia="Calibri" w:hAnsi="Arial" w:cs="Arial"/>
        </w:rPr>
      </w:pPr>
      <w:r w:rsidRPr="006312E8">
        <w:rPr>
          <w:rFonts w:ascii="Arial" w:eastAsia="Calibri" w:hAnsi="Arial" w:cs="Arial"/>
        </w:rPr>
        <w:t>El que, para apropiarse de todo o en parte de un inmueble, destruye o altera los linderos del mismo.</w:t>
      </w:r>
    </w:p>
    <w:p w:rsidR="006312E8" w:rsidRPr="006312E8" w:rsidRDefault="006312E8" w:rsidP="006312E8">
      <w:pPr>
        <w:spacing w:after="0" w:line="240" w:lineRule="auto"/>
        <w:ind w:left="1065"/>
        <w:contextualSpacing/>
        <w:jc w:val="both"/>
        <w:rPr>
          <w:rFonts w:ascii="Arial" w:eastAsia="Calibri" w:hAnsi="Arial" w:cs="Arial"/>
        </w:rPr>
      </w:pPr>
    </w:p>
    <w:p w:rsidR="006312E8" w:rsidRPr="006312E8" w:rsidRDefault="006312E8" w:rsidP="00241D1D">
      <w:pPr>
        <w:numPr>
          <w:ilvl w:val="0"/>
          <w:numId w:val="75"/>
        </w:numPr>
        <w:spacing w:after="0" w:line="240" w:lineRule="auto"/>
        <w:contextualSpacing/>
        <w:jc w:val="both"/>
        <w:rPr>
          <w:rFonts w:ascii="Arial" w:eastAsia="Calibri" w:hAnsi="Arial" w:cs="Arial"/>
        </w:rPr>
      </w:pPr>
      <w:r w:rsidRPr="006312E8">
        <w:rPr>
          <w:rFonts w:ascii="Arial" w:eastAsia="Calibri" w:hAnsi="Arial" w:cs="Arial"/>
        </w:rPr>
        <w:t>El que, con violencia, amenaza, engaño o abuso de confianza, despoja a otro, total o parcialmente, de la posesión o tenencia de un inmueble o del ejercicio de un derecho real.</w:t>
      </w:r>
    </w:p>
    <w:p w:rsidR="006312E8" w:rsidRPr="006312E8" w:rsidRDefault="006312E8" w:rsidP="006312E8">
      <w:pPr>
        <w:spacing w:after="200" w:line="276" w:lineRule="auto"/>
        <w:ind w:left="720"/>
        <w:contextualSpacing/>
        <w:rPr>
          <w:rFonts w:ascii="Arial" w:eastAsia="Calibri" w:hAnsi="Arial" w:cs="Arial"/>
        </w:rPr>
      </w:pPr>
    </w:p>
    <w:p w:rsidR="006312E8" w:rsidRPr="006312E8" w:rsidRDefault="006312E8" w:rsidP="00241D1D">
      <w:pPr>
        <w:numPr>
          <w:ilvl w:val="0"/>
          <w:numId w:val="75"/>
        </w:numPr>
        <w:spacing w:after="0" w:line="240" w:lineRule="auto"/>
        <w:contextualSpacing/>
        <w:jc w:val="both"/>
        <w:rPr>
          <w:rFonts w:ascii="Arial" w:eastAsia="Calibri" w:hAnsi="Arial" w:cs="Arial"/>
        </w:rPr>
      </w:pPr>
      <w:r w:rsidRPr="006312E8">
        <w:rPr>
          <w:rFonts w:ascii="Arial" w:eastAsia="Calibri" w:hAnsi="Arial" w:cs="Arial"/>
        </w:rPr>
        <w:t>El que, con violencia o amenaza, turba la posesión de un inmueble.</w:t>
      </w:r>
    </w:p>
    <w:p w:rsidR="006312E8" w:rsidRPr="006312E8" w:rsidRDefault="006312E8" w:rsidP="006312E8">
      <w:pPr>
        <w:spacing w:after="200" w:line="276" w:lineRule="auto"/>
        <w:ind w:left="720"/>
        <w:contextualSpacing/>
        <w:rPr>
          <w:rFonts w:ascii="Arial" w:eastAsia="Calibri" w:hAnsi="Arial" w:cs="Arial"/>
        </w:rPr>
      </w:pPr>
    </w:p>
    <w:p w:rsidR="006312E8" w:rsidRPr="006312E8" w:rsidRDefault="006312E8" w:rsidP="00241D1D">
      <w:pPr>
        <w:numPr>
          <w:ilvl w:val="0"/>
          <w:numId w:val="75"/>
        </w:numPr>
        <w:spacing w:after="0" w:line="240" w:lineRule="auto"/>
        <w:contextualSpacing/>
        <w:jc w:val="both"/>
        <w:rPr>
          <w:rFonts w:ascii="Arial" w:eastAsia="Calibri" w:hAnsi="Arial" w:cs="Arial"/>
        </w:rPr>
      </w:pPr>
      <w:r w:rsidRPr="006312E8">
        <w:rPr>
          <w:rFonts w:ascii="Arial" w:eastAsia="Calibri" w:hAnsi="Arial" w:cs="Arial"/>
        </w:rPr>
        <w:t>El que, ilegítimamente, ingresa a un inmueble, mediante actos ocultos, en ausencia del poseedor o con precauciones para asegurarse el desconocimiento de quienes tengan derecho a oponerse.</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rPr>
        <w:t>La violencia a la que se hace referencia en los numerales 2 y 3 se ejerce tanto sobre las personas como sobre los bienes</w:t>
      </w: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 xml:space="preserve">(…) </w:t>
      </w:r>
    </w:p>
    <w:p w:rsidR="006312E8" w:rsidRPr="006312E8" w:rsidRDefault="006312E8" w:rsidP="006312E8">
      <w:pPr>
        <w:spacing w:after="0" w:line="240" w:lineRule="auto"/>
        <w:jc w:val="both"/>
        <w:rPr>
          <w:rFonts w:ascii="Arial" w:eastAsia="Calibri" w:hAnsi="Arial" w:cs="Arial"/>
          <w:b/>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Artículo 204.- Formas agravadas de usurpación</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La pena privativa de libertad será no menor de cuatro ni mayor de ocho años e inhabilitación, según corresponda, cuando la usurpación se comete:</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241D1D">
      <w:pPr>
        <w:numPr>
          <w:ilvl w:val="0"/>
          <w:numId w:val="76"/>
        </w:numPr>
        <w:spacing w:after="0" w:line="240" w:lineRule="auto"/>
        <w:contextualSpacing/>
        <w:jc w:val="both"/>
        <w:rPr>
          <w:rFonts w:ascii="Arial" w:eastAsia="Calibri" w:hAnsi="Arial" w:cs="Arial"/>
        </w:rPr>
      </w:pPr>
      <w:r w:rsidRPr="006312E8">
        <w:rPr>
          <w:rFonts w:ascii="Arial" w:eastAsia="Calibri" w:hAnsi="Arial" w:cs="Arial"/>
        </w:rPr>
        <w:t>Usando armas de fuego, explosivos o cualquier otro instrumento o sustancia peligrosos.</w:t>
      </w:r>
    </w:p>
    <w:p w:rsidR="006312E8" w:rsidRPr="006312E8" w:rsidRDefault="006312E8" w:rsidP="006312E8">
      <w:pPr>
        <w:spacing w:after="0" w:line="240" w:lineRule="auto"/>
        <w:ind w:left="1065"/>
        <w:contextualSpacing/>
        <w:jc w:val="both"/>
        <w:rPr>
          <w:rFonts w:ascii="Arial" w:eastAsia="Calibri" w:hAnsi="Arial" w:cs="Arial"/>
        </w:rPr>
      </w:pPr>
    </w:p>
    <w:p w:rsidR="006312E8" w:rsidRPr="006312E8" w:rsidRDefault="006312E8" w:rsidP="00241D1D">
      <w:pPr>
        <w:numPr>
          <w:ilvl w:val="0"/>
          <w:numId w:val="76"/>
        </w:numPr>
        <w:spacing w:after="0" w:line="240" w:lineRule="auto"/>
        <w:contextualSpacing/>
        <w:jc w:val="both"/>
        <w:rPr>
          <w:rFonts w:ascii="Arial" w:eastAsia="Calibri" w:hAnsi="Arial" w:cs="Arial"/>
        </w:rPr>
      </w:pPr>
      <w:r w:rsidRPr="006312E8">
        <w:rPr>
          <w:rFonts w:ascii="Arial" w:eastAsia="Calibri" w:hAnsi="Arial" w:cs="Arial"/>
        </w:rPr>
        <w:t>Con la intervención de dos o más personas.</w:t>
      </w:r>
    </w:p>
    <w:p w:rsidR="006312E8" w:rsidRPr="006312E8" w:rsidRDefault="006312E8" w:rsidP="006312E8">
      <w:pPr>
        <w:spacing w:after="200" w:line="276" w:lineRule="auto"/>
        <w:ind w:left="720"/>
        <w:contextualSpacing/>
        <w:rPr>
          <w:rFonts w:ascii="Arial" w:eastAsia="Calibri" w:hAnsi="Arial" w:cs="Arial"/>
        </w:rPr>
      </w:pPr>
    </w:p>
    <w:p w:rsidR="006312E8" w:rsidRPr="006312E8" w:rsidRDefault="006312E8" w:rsidP="00241D1D">
      <w:pPr>
        <w:numPr>
          <w:ilvl w:val="0"/>
          <w:numId w:val="76"/>
        </w:numPr>
        <w:spacing w:after="0" w:line="240" w:lineRule="auto"/>
        <w:contextualSpacing/>
        <w:jc w:val="both"/>
        <w:rPr>
          <w:rFonts w:ascii="Arial" w:eastAsia="Calibri" w:hAnsi="Arial" w:cs="Arial"/>
        </w:rPr>
      </w:pPr>
      <w:r w:rsidRPr="006312E8">
        <w:rPr>
          <w:rFonts w:ascii="Arial" w:eastAsia="Calibri" w:hAnsi="Arial" w:cs="Arial"/>
        </w:rPr>
        <w:t>Sobre inmueble reservado para fines habitacionales.</w:t>
      </w:r>
    </w:p>
    <w:p w:rsidR="006312E8" w:rsidRPr="006312E8" w:rsidRDefault="006312E8" w:rsidP="006312E8">
      <w:pPr>
        <w:spacing w:after="200" w:line="276" w:lineRule="auto"/>
        <w:ind w:left="720"/>
        <w:contextualSpacing/>
        <w:rPr>
          <w:rFonts w:ascii="Arial" w:eastAsia="Calibri" w:hAnsi="Arial" w:cs="Arial"/>
        </w:rPr>
      </w:pPr>
    </w:p>
    <w:p w:rsidR="006312E8" w:rsidRPr="006312E8" w:rsidRDefault="006312E8" w:rsidP="00241D1D">
      <w:pPr>
        <w:numPr>
          <w:ilvl w:val="0"/>
          <w:numId w:val="76"/>
        </w:numPr>
        <w:spacing w:after="0" w:line="240" w:lineRule="auto"/>
        <w:contextualSpacing/>
        <w:jc w:val="both"/>
        <w:rPr>
          <w:rFonts w:ascii="Arial" w:eastAsia="Calibri" w:hAnsi="Arial" w:cs="Arial"/>
        </w:rPr>
      </w:pPr>
      <w:r w:rsidRPr="006312E8">
        <w:rPr>
          <w:rFonts w:ascii="Arial" w:eastAsia="Calibri" w:hAnsi="Arial" w:cs="Arial"/>
        </w:rPr>
        <w:t>Sobre bienes del Estado o de comunidades campesinas o nativas, o sobre bienes destinados a servicios públicos o inmuebles que integran el patrimonio cultural de la Nación declarados por la entidad competente.</w:t>
      </w:r>
    </w:p>
    <w:p w:rsidR="006312E8" w:rsidRPr="006312E8" w:rsidRDefault="006312E8" w:rsidP="006312E8">
      <w:pPr>
        <w:spacing w:after="200" w:line="276" w:lineRule="auto"/>
        <w:ind w:left="720"/>
        <w:contextualSpacing/>
        <w:rPr>
          <w:rFonts w:ascii="Arial" w:eastAsia="Calibri" w:hAnsi="Arial" w:cs="Arial"/>
        </w:rPr>
      </w:pPr>
    </w:p>
    <w:p w:rsidR="006312E8" w:rsidRPr="006312E8" w:rsidRDefault="006312E8" w:rsidP="00241D1D">
      <w:pPr>
        <w:numPr>
          <w:ilvl w:val="0"/>
          <w:numId w:val="76"/>
        </w:numPr>
        <w:spacing w:after="0" w:line="240" w:lineRule="auto"/>
        <w:contextualSpacing/>
        <w:jc w:val="both"/>
        <w:rPr>
          <w:rFonts w:ascii="Arial" w:eastAsia="Calibri" w:hAnsi="Arial" w:cs="Arial"/>
        </w:rPr>
      </w:pPr>
      <w:r w:rsidRPr="006312E8">
        <w:rPr>
          <w:rFonts w:ascii="Arial" w:eastAsia="Calibri" w:hAnsi="Arial" w:cs="Arial"/>
        </w:rPr>
        <w:t>Afectando la libre circulación en vías de comunicación.</w:t>
      </w:r>
    </w:p>
    <w:p w:rsidR="006312E8" w:rsidRPr="006312E8" w:rsidRDefault="006312E8" w:rsidP="006312E8">
      <w:pPr>
        <w:spacing w:after="200" w:line="276" w:lineRule="auto"/>
        <w:ind w:left="720"/>
        <w:contextualSpacing/>
        <w:rPr>
          <w:rFonts w:ascii="Arial" w:eastAsia="Calibri" w:hAnsi="Arial" w:cs="Arial"/>
        </w:rPr>
      </w:pPr>
    </w:p>
    <w:p w:rsidR="006312E8" w:rsidRPr="006312E8" w:rsidRDefault="006312E8" w:rsidP="00241D1D">
      <w:pPr>
        <w:numPr>
          <w:ilvl w:val="0"/>
          <w:numId w:val="76"/>
        </w:numPr>
        <w:spacing w:after="0" w:line="240" w:lineRule="auto"/>
        <w:contextualSpacing/>
        <w:jc w:val="both"/>
        <w:rPr>
          <w:rFonts w:ascii="Arial" w:eastAsia="Calibri" w:hAnsi="Arial" w:cs="Arial"/>
        </w:rPr>
      </w:pPr>
      <w:r w:rsidRPr="006312E8">
        <w:rPr>
          <w:rFonts w:ascii="Arial" w:eastAsia="Calibri" w:hAnsi="Arial" w:cs="Arial"/>
        </w:rPr>
        <w:t>Colocando hitos, cercos perimétricos, cercos vivos, paneles o anuncios, demarcaciones para lotizado, instalación de esteras, plásticos u otros materiales.</w:t>
      </w:r>
    </w:p>
    <w:p w:rsidR="006312E8" w:rsidRPr="006312E8" w:rsidRDefault="006312E8" w:rsidP="006312E8">
      <w:pPr>
        <w:spacing w:after="200" w:line="276" w:lineRule="auto"/>
        <w:ind w:left="720"/>
        <w:contextualSpacing/>
        <w:rPr>
          <w:rFonts w:ascii="Arial" w:eastAsia="Calibri" w:hAnsi="Arial" w:cs="Arial"/>
        </w:rPr>
      </w:pPr>
    </w:p>
    <w:p w:rsidR="006312E8" w:rsidRPr="006312E8" w:rsidRDefault="006312E8" w:rsidP="00241D1D">
      <w:pPr>
        <w:numPr>
          <w:ilvl w:val="0"/>
          <w:numId w:val="76"/>
        </w:numPr>
        <w:spacing w:after="0" w:line="240" w:lineRule="auto"/>
        <w:contextualSpacing/>
        <w:jc w:val="both"/>
        <w:rPr>
          <w:rFonts w:ascii="Arial" w:eastAsia="Calibri" w:hAnsi="Arial" w:cs="Arial"/>
        </w:rPr>
      </w:pPr>
      <w:r w:rsidRPr="006312E8">
        <w:rPr>
          <w:rFonts w:ascii="Arial" w:eastAsia="Calibri" w:hAnsi="Arial" w:cs="Arial"/>
        </w:rPr>
        <w:t>Abusando de su condición o cargo de funcionario o servidor público.</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Será reprimido con la misma pena el que organice, financie, facilite, fomente, dirija, provoque o promueva la realización de usurpaciones de inmuebles de propiedad pública o privada.</w:t>
      </w: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w:t>
      </w:r>
    </w:p>
    <w:p w:rsidR="006312E8" w:rsidRPr="006312E8" w:rsidRDefault="006312E8" w:rsidP="006312E8">
      <w:pPr>
        <w:spacing w:after="0" w:line="240" w:lineRule="auto"/>
        <w:jc w:val="both"/>
        <w:rPr>
          <w:rFonts w:ascii="Arial" w:eastAsia="Calibri" w:hAnsi="Arial" w:cs="Arial"/>
          <w:b/>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Artículo 3. Modificación de diversos artículos del Código Procesal Penal</w:t>
      </w: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rPr>
        <w:t>Modifícanse los artículos IV del Título Preliminar, 2, 32, 65, 67, 84, 85, 160, 161, 170, 268, 269, 274, 286, 287, 311, 332, 334, 386, 471 y 523 del Código Procesal Penal aprobado por Decreto Legislativo 957, en los siguientes términos:</w:t>
      </w:r>
      <w:r w:rsidRPr="006312E8">
        <w:rPr>
          <w:rFonts w:ascii="Arial" w:eastAsia="Calibri" w:hAnsi="Arial" w:cs="Arial"/>
          <w:b/>
        </w:rPr>
        <w:t xml:space="preserve"> </w:t>
      </w: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311.- Desalojo preventivo</w:t>
      </w:r>
    </w:p>
    <w:p w:rsidR="006312E8" w:rsidRPr="006312E8" w:rsidRDefault="006312E8" w:rsidP="006312E8">
      <w:pPr>
        <w:spacing w:after="0" w:line="240" w:lineRule="auto"/>
        <w:ind w:left="567" w:hanging="283"/>
        <w:jc w:val="both"/>
        <w:rPr>
          <w:rFonts w:ascii="Arial" w:eastAsia="Calibri" w:hAnsi="Arial" w:cs="Arial"/>
        </w:rPr>
      </w:pPr>
    </w:p>
    <w:p w:rsidR="006312E8" w:rsidRPr="006312E8" w:rsidRDefault="006312E8" w:rsidP="00241D1D">
      <w:pPr>
        <w:numPr>
          <w:ilvl w:val="0"/>
          <w:numId w:val="77"/>
        </w:numPr>
        <w:spacing w:after="0" w:line="240" w:lineRule="auto"/>
        <w:contextualSpacing/>
        <w:jc w:val="both"/>
        <w:rPr>
          <w:rFonts w:ascii="Arial" w:eastAsia="Calibri" w:hAnsi="Arial" w:cs="Arial"/>
        </w:rPr>
      </w:pPr>
      <w:r w:rsidRPr="006312E8">
        <w:rPr>
          <w:rFonts w:ascii="Arial" w:eastAsia="Calibri" w:hAnsi="Arial" w:cs="Arial"/>
        </w:rPr>
        <w:t>En los delitos de usurpación, el juez, a solicitud del fiscal o del agraviado, ordenará el desalojo preventivo del inmueble ocupado en el término de veinticuatro horas, ministrando provisionalmente la posesión al agraviado, siempre que exista motivo razonable para sostener que se ha cometido el delito y que el derecho del agraviado está suficientemente acreditado. El desalojo se ejecuta dentro del término de setenta y dos horas de concedida.</w:t>
      </w:r>
    </w:p>
    <w:p w:rsidR="006312E8" w:rsidRPr="006312E8" w:rsidRDefault="006312E8" w:rsidP="00241D1D">
      <w:pPr>
        <w:numPr>
          <w:ilvl w:val="0"/>
          <w:numId w:val="77"/>
        </w:numPr>
        <w:spacing w:after="0" w:line="240" w:lineRule="auto"/>
        <w:contextualSpacing/>
        <w:jc w:val="both"/>
        <w:rPr>
          <w:rFonts w:ascii="Arial" w:eastAsia="Calibri" w:hAnsi="Arial" w:cs="Arial"/>
        </w:rPr>
      </w:pPr>
      <w:r w:rsidRPr="006312E8">
        <w:rPr>
          <w:rFonts w:ascii="Arial" w:eastAsia="Calibri" w:hAnsi="Arial" w:cs="Arial"/>
        </w:rPr>
        <w:t>La Policía Nacional, una vez que tenga conocimiento de la comisión del delito, lo pondrá en conocimiento del fiscal y llevará a cabo las investigaciones que el caso amerita. El fiscal, sin perjuicio de disponer las acciones que correspondan, realizará inmediatamente una inspección en el inmueble. El agraviado recibirá copia certificada de las actuaciones policiales y de la diligencia de inspección del fiscal.</w:t>
      </w:r>
    </w:p>
    <w:p w:rsidR="006312E8" w:rsidRPr="006312E8" w:rsidRDefault="006312E8" w:rsidP="006312E8">
      <w:pPr>
        <w:spacing w:after="0" w:line="240" w:lineRule="auto"/>
        <w:ind w:left="1065"/>
        <w:contextualSpacing/>
        <w:jc w:val="both"/>
        <w:rPr>
          <w:rFonts w:ascii="Arial" w:eastAsia="Calibri" w:hAnsi="Arial" w:cs="Arial"/>
        </w:rPr>
      </w:pPr>
    </w:p>
    <w:p w:rsidR="006312E8" w:rsidRPr="006312E8" w:rsidRDefault="006312E8" w:rsidP="00241D1D">
      <w:pPr>
        <w:numPr>
          <w:ilvl w:val="0"/>
          <w:numId w:val="77"/>
        </w:numPr>
        <w:spacing w:after="0" w:line="240" w:lineRule="auto"/>
        <w:contextualSpacing/>
        <w:jc w:val="both"/>
        <w:rPr>
          <w:rFonts w:ascii="Arial" w:eastAsia="Calibri" w:hAnsi="Arial" w:cs="Arial"/>
        </w:rPr>
      </w:pPr>
      <w:r w:rsidRPr="006312E8">
        <w:rPr>
          <w:rFonts w:ascii="Arial" w:eastAsia="Calibri" w:hAnsi="Arial" w:cs="Arial"/>
        </w:rPr>
        <w:t>La solicitud de desalojo y ministración provisional puede presentarse durante las diligencias preliminares o en cualquier estado de la investigación preparatoria. Se acompañarán los elementos de convicción que acrediten la comisión del delito y el derecho del ofendido.</w:t>
      </w:r>
    </w:p>
    <w:p w:rsidR="006312E8" w:rsidRPr="006312E8" w:rsidRDefault="006312E8" w:rsidP="006312E8">
      <w:pPr>
        <w:spacing w:after="200" w:line="276" w:lineRule="auto"/>
        <w:ind w:left="720"/>
        <w:contextualSpacing/>
        <w:rPr>
          <w:rFonts w:ascii="Arial" w:eastAsia="Calibri" w:hAnsi="Arial" w:cs="Arial"/>
        </w:rPr>
      </w:pPr>
    </w:p>
    <w:p w:rsidR="006312E8" w:rsidRPr="006312E8" w:rsidRDefault="006312E8" w:rsidP="00241D1D">
      <w:pPr>
        <w:numPr>
          <w:ilvl w:val="0"/>
          <w:numId w:val="77"/>
        </w:numPr>
        <w:spacing w:after="0" w:line="240" w:lineRule="auto"/>
        <w:contextualSpacing/>
        <w:jc w:val="both"/>
        <w:rPr>
          <w:rFonts w:ascii="Arial" w:eastAsia="Calibri" w:hAnsi="Arial" w:cs="Arial"/>
        </w:rPr>
      </w:pPr>
      <w:r w:rsidRPr="006312E8">
        <w:rPr>
          <w:rFonts w:ascii="Arial" w:eastAsia="Calibri" w:hAnsi="Arial" w:cs="Arial"/>
        </w:rPr>
        <w:t>El juez resolverá, sin trámite alguno, en el plazo de veinticuatro horas. Contra la resolución que se dicte procede recurso de apelación. La interposición del recurso suspende la ejecución de la resolución impugnada.</w:t>
      </w:r>
    </w:p>
    <w:p w:rsidR="006312E8" w:rsidRPr="006312E8" w:rsidRDefault="006312E8" w:rsidP="006312E8">
      <w:pPr>
        <w:spacing w:after="200" w:line="276" w:lineRule="auto"/>
        <w:ind w:left="720"/>
        <w:contextualSpacing/>
        <w:rPr>
          <w:rFonts w:ascii="Arial" w:eastAsia="Calibri" w:hAnsi="Arial" w:cs="Arial"/>
        </w:rPr>
      </w:pPr>
    </w:p>
    <w:p w:rsidR="006312E8" w:rsidRPr="006312E8" w:rsidRDefault="006312E8" w:rsidP="00241D1D">
      <w:pPr>
        <w:numPr>
          <w:ilvl w:val="0"/>
          <w:numId w:val="77"/>
        </w:numPr>
        <w:spacing w:after="0" w:line="240" w:lineRule="auto"/>
        <w:contextualSpacing/>
        <w:jc w:val="both"/>
        <w:rPr>
          <w:rFonts w:ascii="Arial" w:eastAsia="Calibri" w:hAnsi="Arial" w:cs="Arial"/>
        </w:rPr>
      </w:pPr>
      <w:r w:rsidRPr="006312E8">
        <w:rPr>
          <w:rFonts w:ascii="Arial" w:eastAsia="Calibri" w:hAnsi="Arial" w:cs="Arial"/>
        </w:rPr>
        <w:t>El juez elevará el cuaderno correspondiente dentro de veinticuatro horas de presentada la impugnación, bajo responsabilidad. La Sala se pronunciará en el plazo de tres días, previa audiencia con notificación de las partes. Si ampara la solicitud de desalojo y ministración provisional de posesión, dispondrá se ponga en conocimiento del juez para su inmediata ejecución.</w:t>
      </w:r>
    </w:p>
    <w:p w:rsidR="006312E8" w:rsidRPr="006312E8" w:rsidRDefault="006312E8" w:rsidP="006312E8">
      <w:pPr>
        <w:spacing w:after="0" w:line="240" w:lineRule="auto"/>
        <w:jc w:val="both"/>
        <w:rPr>
          <w:rFonts w:ascii="Arial" w:eastAsia="Calibri" w:hAnsi="Arial" w:cs="Arial"/>
          <w:b/>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w:t>
      </w:r>
    </w:p>
    <w:p w:rsidR="006312E8" w:rsidRPr="006312E8" w:rsidRDefault="006312E8" w:rsidP="006312E8">
      <w:pPr>
        <w:spacing w:after="0" w:line="240" w:lineRule="auto"/>
        <w:jc w:val="center"/>
        <w:rPr>
          <w:rFonts w:ascii="Arial" w:eastAsia="Calibri" w:hAnsi="Arial" w:cs="Arial"/>
          <w:b/>
        </w:rPr>
      </w:pPr>
      <w:r w:rsidRPr="006312E8">
        <w:rPr>
          <w:rFonts w:ascii="Arial" w:eastAsia="Calibri" w:hAnsi="Arial" w:cs="Arial"/>
          <w:b/>
        </w:rPr>
        <w:t>DISPOSICIONES COMPLEMENTARIAS FINALES</w:t>
      </w: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w:t>
      </w:r>
    </w:p>
    <w:p w:rsidR="006312E8" w:rsidRPr="006312E8" w:rsidRDefault="006312E8" w:rsidP="006312E8">
      <w:pPr>
        <w:spacing w:after="0" w:line="240" w:lineRule="auto"/>
        <w:jc w:val="both"/>
        <w:rPr>
          <w:rFonts w:ascii="Arial" w:eastAsia="Calibri" w:hAnsi="Arial" w:cs="Arial"/>
          <w:b/>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DÉCIMA. Destino de bienes decomisados por usurpación</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Los bienes decomisados por usurpación son enviados a la Comisión Nacional de Bienes Incautados para que, previa valorización, sean puestos a disposición de las entidades que conforman el Sistema Nacional de Gestión de Riesgos de Desastres, con la finalidad de ser destinados al cumplimiento de sus fines.</w:t>
      </w:r>
    </w:p>
    <w:p w:rsidR="006312E8" w:rsidRPr="006312E8" w:rsidRDefault="006312E8" w:rsidP="006312E8">
      <w:pPr>
        <w:spacing w:after="0" w:line="240" w:lineRule="auto"/>
        <w:rPr>
          <w:rFonts w:ascii="Arial" w:eastAsia="Calibri" w:hAnsi="Arial" w:cs="Arial"/>
          <w:shd w:val="clear" w:color="auto" w:fill="FFFFFF"/>
        </w:rPr>
      </w:pPr>
    </w:p>
    <w:p w:rsidR="006312E8" w:rsidRPr="006312E8" w:rsidRDefault="006312E8" w:rsidP="006312E8">
      <w:pPr>
        <w:spacing w:after="0" w:line="240" w:lineRule="auto"/>
        <w:rPr>
          <w:rFonts w:ascii="Arial" w:eastAsia="Calibri" w:hAnsi="Arial" w:cs="Arial"/>
          <w:shd w:val="clear" w:color="auto" w:fill="FFFFFF"/>
        </w:rPr>
      </w:pPr>
      <w:r w:rsidRPr="006312E8">
        <w:rPr>
          <w:rFonts w:ascii="Arial" w:eastAsia="Calibri" w:hAnsi="Arial" w:cs="Arial"/>
          <w:shd w:val="clear" w:color="auto" w:fill="FFFFFF"/>
        </w:rPr>
        <w:t>Comuníquese al señor Presidente Constitucional de la República para su promulgación.</w:t>
      </w:r>
    </w:p>
    <w:p w:rsidR="006312E8" w:rsidRPr="006312E8" w:rsidRDefault="006312E8" w:rsidP="006312E8">
      <w:pPr>
        <w:spacing w:after="0" w:line="240" w:lineRule="auto"/>
        <w:rPr>
          <w:rFonts w:ascii="Arial" w:eastAsia="Calibri" w:hAnsi="Arial" w:cs="Arial"/>
          <w:shd w:val="clear" w:color="auto" w:fill="FFFFFF"/>
        </w:rPr>
      </w:pPr>
      <w:r w:rsidRPr="006312E8">
        <w:rPr>
          <w:rFonts w:ascii="Arial" w:eastAsia="Calibri" w:hAnsi="Arial" w:cs="Arial"/>
        </w:rPr>
        <w:br/>
      </w:r>
      <w:r w:rsidRPr="006312E8">
        <w:rPr>
          <w:rFonts w:ascii="Arial" w:eastAsia="Calibri" w:hAnsi="Arial" w:cs="Arial"/>
          <w:shd w:val="clear" w:color="auto" w:fill="FFFFFF"/>
        </w:rPr>
        <w:t>En Lima, a los veinticinco días del mes de julio de dos mil trece.</w:t>
      </w:r>
    </w:p>
    <w:p w:rsidR="006312E8" w:rsidRPr="006312E8" w:rsidRDefault="006312E8" w:rsidP="006312E8">
      <w:pPr>
        <w:spacing w:after="0" w:line="240" w:lineRule="auto"/>
        <w:ind w:left="851"/>
        <w:rPr>
          <w:rFonts w:ascii="Arial" w:eastAsia="Calibri" w:hAnsi="Arial" w:cs="Arial"/>
          <w:b/>
          <w:shd w:val="clear" w:color="auto" w:fill="FFFFFF"/>
        </w:rPr>
      </w:pPr>
      <w:r w:rsidRPr="006312E8">
        <w:rPr>
          <w:rFonts w:ascii="Arial" w:eastAsia="Calibri" w:hAnsi="Arial" w:cs="Arial"/>
        </w:rPr>
        <w:br/>
      </w:r>
      <w:r w:rsidRPr="006312E8">
        <w:rPr>
          <w:rFonts w:ascii="Arial" w:eastAsia="Calibri" w:hAnsi="Arial" w:cs="Arial"/>
          <w:b/>
          <w:shd w:val="clear" w:color="auto" w:fill="FFFFFF"/>
        </w:rPr>
        <w:t>VÍCTOR ISLA ROJAS</w:t>
      </w:r>
    </w:p>
    <w:p w:rsidR="006312E8" w:rsidRPr="006312E8" w:rsidRDefault="006312E8" w:rsidP="006312E8">
      <w:pPr>
        <w:spacing w:after="0" w:line="240" w:lineRule="auto"/>
        <w:ind w:left="851"/>
        <w:rPr>
          <w:rFonts w:ascii="Arial" w:eastAsia="Calibri" w:hAnsi="Arial" w:cs="Arial"/>
          <w:shd w:val="clear" w:color="auto" w:fill="FFFFFF"/>
        </w:rPr>
      </w:pPr>
      <w:r w:rsidRPr="006312E8">
        <w:rPr>
          <w:rFonts w:ascii="Arial" w:eastAsia="Calibri" w:hAnsi="Arial" w:cs="Arial"/>
          <w:shd w:val="clear" w:color="auto" w:fill="FFFFFF"/>
        </w:rPr>
        <w:t xml:space="preserve">Presidente del Congreso de la República </w:t>
      </w:r>
    </w:p>
    <w:p w:rsidR="006312E8" w:rsidRPr="006312E8" w:rsidRDefault="006312E8" w:rsidP="006312E8">
      <w:pPr>
        <w:spacing w:after="0" w:line="240" w:lineRule="auto"/>
        <w:ind w:left="851"/>
        <w:rPr>
          <w:rFonts w:ascii="Arial" w:eastAsia="Calibri" w:hAnsi="Arial" w:cs="Arial"/>
          <w:shd w:val="clear" w:color="auto" w:fill="FFFFFF"/>
        </w:rPr>
      </w:pPr>
    </w:p>
    <w:p w:rsidR="006312E8" w:rsidRPr="006312E8" w:rsidRDefault="006312E8" w:rsidP="006312E8">
      <w:pPr>
        <w:spacing w:after="0" w:line="240" w:lineRule="auto"/>
        <w:ind w:left="851"/>
        <w:rPr>
          <w:rFonts w:ascii="Arial" w:eastAsia="Calibri" w:hAnsi="Arial" w:cs="Arial"/>
          <w:shd w:val="clear" w:color="auto" w:fill="FFFFFF"/>
        </w:rPr>
      </w:pPr>
      <w:r w:rsidRPr="006312E8">
        <w:rPr>
          <w:rFonts w:ascii="Arial" w:eastAsia="Calibri" w:hAnsi="Arial" w:cs="Arial"/>
          <w:shd w:val="clear" w:color="auto" w:fill="FFFFFF"/>
        </w:rPr>
        <w:t>J</w:t>
      </w:r>
      <w:r w:rsidRPr="006312E8">
        <w:rPr>
          <w:rFonts w:ascii="Arial" w:eastAsia="Calibri" w:hAnsi="Arial" w:cs="Arial"/>
          <w:b/>
          <w:shd w:val="clear" w:color="auto" w:fill="FFFFFF"/>
        </w:rPr>
        <w:t>UAN CARLOS EGUREN NEUENSCHWANDER</w:t>
      </w:r>
      <w:r w:rsidRPr="006312E8">
        <w:rPr>
          <w:rFonts w:ascii="Arial" w:eastAsia="Calibri" w:hAnsi="Arial" w:cs="Arial"/>
          <w:shd w:val="clear" w:color="auto" w:fill="FFFFFF"/>
        </w:rPr>
        <w:t xml:space="preserve"> </w:t>
      </w:r>
    </w:p>
    <w:p w:rsidR="006312E8" w:rsidRPr="006312E8" w:rsidRDefault="006312E8" w:rsidP="006312E8">
      <w:pPr>
        <w:spacing w:after="0" w:line="240" w:lineRule="auto"/>
        <w:ind w:left="851"/>
        <w:rPr>
          <w:rFonts w:ascii="Arial" w:eastAsia="Calibri" w:hAnsi="Arial" w:cs="Arial"/>
          <w:shd w:val="clear" w:color="auto" w:fill="FFFFFF"/>
        </w:rPr>
      </w:pPr>
      <w:r w:rsidRPr="006312E8">
        <w:rPr>
          <w:rFonts w:ascii="Arial" w:eastAsia="Calibri" w:hAnsi="Arial" w:cs="Arial"/>
          <w:shd w:val="clear" w:color="auto" w:fill="FFFFFF"/>
        </w:rPr>
        <w:t xml:space="preserve">Segundo Vicepresidente del Congreso de la República </w:t>
      </w:r>
    </w:p>
    <w:p w:rsidR="006312E8" w:rsidRPr="006312E8" w:rsidRDefault="006312E8" w:rsidP="006312E8">
      <w:pPr>
        <w:spacing w:after="0" w:line="240" w:lineRule="auto"/>
        <w:ind w:left="851"/>
        <w:rPr>
          <w:rFonts w:ascii="Arial" w:eastAsia="Calibri" w:hAnsi="Arial" w:cs="Arial"/>
          <w:shd w:val="clear" w:color="auto" w:fill="FFFFFF"/>
        </w:rPr>
      </w:pPr>
    </w:p>
    <w:p w:rsidR="006312E8" w:rsidRPr="006312E8" w:rsidRDefault="006312E8" w:rsidP="006312E8">
      <w:pPr>
        <w:spacing w:after="0" w:line="240" w:lineRule="auto"/>
        <w:ind w:left="851"/>
        <w:rPr>
          <w:rFonts w:ascii="Arial" w:eastAsia="Calibri" w:hAnsi="Arial" w:cs="Arial"/>
          <w:b/>
          <w:shd w:val="clear" w:color="auto" w:fill="FFFFFF"/>
        </w:rPr>
      </w:pPr>
      <w:r w:rsidRPr="006312E8">
        <w:rPr>
          <w:rFonts w:ascii="Arial" w:eastAsia="Calibri" w:hAnsi="Arial" w:cs="Arial"/>
          <w:b/>
          <w:shd w:val="clear" w:color="auto" w:fill="FFFFFF"/>
        </w:rPr>
        <w:t xml:space="preserve">AL SEÑOR PRESIDENTE CONSTITUCIONAL DE LA REPÚBLICA </w:t>
      </w:r>
    </w:p>
    <w:p w:rsidR="006312E8" w:rsidRPr="006312E8" w:rsidRDefault="006312E8" w:rsidP="006312E8">
      <w:pPr>
        <w:spacing w:after="0" w:line="240" w:lineRule="auto"/>
        <w:ind w:left="851"/>
        <w:rPr>
          <w:rFonts w:ascii="Arial" w:eastAsia="Calibri" w:hAnsi="Arial" w:cs="Arial"/>
          <w:b/>
          <w:shd w:val="clear" w:color="auto" w:fill="FFFFFF"/>
        </w:rPr>
      </w:pPr>
      <w:r w:rsidRPr="006312E8">
        <w:rPr>
          <w:rFonts w:ascii="Arial" w:eastAsia="Calibri" w:hAnsi="Arial" w:cs="Arial"/>
          <w:b/>
          <w:shd w:val="clear" w:color="auto" w:fill="FFFFFF"/>
        </w:rPr>
        <w:t>POR TANTO:</w:t>
      </w:r>
    </w:p>
    <w:p w:rsidR="006312E8" w:rsidRPr="006312E8" w:rsidRDefault="006312E8" w:rsidP="006312E8">
      <w:pPr>
        <w:spacing w:after="0" w:line="240" w:lineRule="auto"/>
        <w:ind w:left="851"/>
        <w:rPr>
          <w:rFonts w:ascii="Arial" w:eastAsia="Calibri" w:hAnsi="Arial" w:cs="Arial"/>
          <w:shd w:val="clear" w:color="auto" w:fill="FFFFFF"/>
        </w:rPr>
      </w:pPr>
      <w:r w:rsidRPr="006312E8">
        <w:rPr>
          <w:rFonts w:ascii="Arial" w:eastAsia="Calibri" w:hAnsi="Arial" w:cs="Arial"/>
        </w:rPr>
        <w:br/>
      </w:r>
      <w:r w:rsidRPr="006312E8">
        <w:rPr>
          <w:rFonts w:ascii="Arial" w:eastAsia="Calibri" w:hAnsi="Arial" w:cs="Arial"/>
          <w:shd w:val="clear" w:color="auto" w:fill="FFFFFF"/>
        </w:rPr>
        <w:t>Mando se publique y cumpla.</w:t>
      </w:r>
    </w:p>
    <w:p w:rsidR="006312E8" w:rsidRPr="006312E8" w:rsidRDefault="006312E8" w:rsidP="006312E8">
      <w:pPr>
        <w:spacing w:after="0" w:line="240" w:lineRule="auto"/>
        <w:ind w:left="851"/>
        <w:rPr>
          <w:rFonts w:ascii="Arial" w:eastAsia="Calibri" w:hAnsi="Arial" w:cs="Arial"/>
          <w:shd w:val="clear" w:color="auto" w:fill="FFFFFF"/>
        </w:rPr>
      </w:pPr>
      <w:r w:rsidRPr="006312E8">
        <w:rPr>
          <w:rFonts w:ascii="Arial" w:eastAsia="Calibri" w:hAnsi="Arial" w:cs="Arial"/>
        </w:rPr>
        <w:br/>
      </w:r>
      <w:r w:rsidRPr="006312E8">
        <w:rPr>
          <w:rFonts w:ascii="Arial" w:eastAsia="Calibri" w:hAnsi="Arial" w:cs="Arial"/>
          <w:shd w:val="clear" w:color="auto" w:fill="FFFFFF"/>
        </w:rPr>
        <w:t>Dado en la Casa de Gobierno, en Lima, a los dieciocho días del mes de agosto del año dos mil trece.</w:t>
      </w:r>
      <w:r w:rsidRPr="006312E8">
        <w:rPr>
          <w:rFonts w:ascii="Arial" w:eastAsia="Calibri" w:hAnsi="Arial" w:cs="Arial"/>
        </w:rPr>
        <w:br/>
      </w:r>
      <w:r w:rsidRPr="006312E8">
        <w:rPr>
          <w:rFonts w:ascii="Arial" w:eastAsia="Calibri" w:hAnsi="Arial" w:cs="Arial"/>
        </w:rPr>
        <w:br/>
      </w:r>
      <w:r w:rsidRPr="006312E8">
        <w:rPr>
          <w:rFonts w:ascii="Arial" w:eastAsia="Calibri" w:hAnsi="Arial" w:cs="Arial"/>
          <w:b/>
          <w:shd w:val="clear" w:color="auto" w:fill="FFFFFF"/>
        </w:rPr>
        <w:t>OLLANTA HUMALA TASSO</w:t>
      </w:r>
    </w:p>
    <w:p w:rsidR="006312E8" w:rsidRPr="006312E8" w:rsidRDefault="006312E8" w:rsidP="006312E8">
      <w:pPr>
        <w:spacing w:after="0" w:line="240" w:lineRule="auto"/>
        <w:ind w:left="851"/>
        <w:rPr>
          <w:rFonts w:ascii="Arial" w:eastAsia="Calibri" w:hAnsi="Arial" w:cs="Arial"/>
          <w:shd w:val="clear" w:color="auto" w:fill="FFFFFF"/>
        </w:rPr>
      </w:pPr>
      <w:r w:rsidRPr="006312E8">
        <w:rPr>
          <w:rFonts w:ascii="Arial" w:eastAsia="Calibri" w:hAnsi="Arial" w:cs="Arial"/>
          <w:shd w:val="clear" w:color="auto" w:fill="FFFFFF"/>
        </w:rPr>
        <w:t xml:space="preserve">Presidente Constitucional de la República </w:t>
      </w:r>
    </w:p>
    <w:p w:rsidR="006312E8" w:rsidRPr="006312E8" w:rsidRDefault="006312E8" w:rsidP="006312E8">
      <w:pPr>
        <w:spacing w:after="0" w:line="240" w:lineRule="auto"/>
        <w:ind w:left="851"/>
        <w:rPr>
          <w:rFonts w:ascii="Arial" w:eastAsia="Calibri" w:hAnsi="Arial" w:cs="Arial"/>
          <w:shd w:val="clear" w:color="auto" w:fill="FFFFFF"/>
        </w:rPr>
      </w:pPr>
    </w:p>
    <w:p w:rsidR="006312E8" w:rsidRPr="006312E8" w:rsidRDefault="006312E8" w:rsidP="006312E8">
      <w:pPr>
        <w:spacing w:after="0" w:line="240" w:lineRule="auto"/>
        <w:ind w:left="851"/>
        <w:rPr>
          <w:rFonts w:ascii="Arial" w:eastAsia="Calibri" w:hAnsi="Arial" w:cs="Arial"/>
          <w:b/>
          <w:shd w:val="clear" w:color="auto" w:fill="FFFFFF"/>
        </w:rPr>
      </w:pPr>
      <w:r w:rsidRPr="006312E8">
        <w:rPr>
          <w:rFonts w:ascii="Arial" w:eastAsia="Calibri" w:hAnsi="Arial" w:cs="Arial"/>
          <w:b/>
          <w:shd w:val="clear" w:color="auto" w:fill="FFFFFF"/>
        </w:rPr>
        <w:t xml:space="preserve">JUAN F. JIMENEZ MAYOR </w:t>
      </w:r>
    </w:p>
    <w:p w:rsidR="006312E8" w:rsidRPr="006312E8" w:rsidRDefault="006312E8" w:rsidP="006312E8">
      <w:pPr>
        <w:spacing w:after="0" w:line="240" w:lineRule="auto"/>
        <w:ind w:left="851"/>
        <w:rPr>
          <w:rFonts w:ascii="Arial" w:eastAsia="Calibri" w:hAnsi="Arial" w:cs="Arial"/>
        </w:rPr>
      </w:pPr>
      <w:r w:rsidRPr="006312E8">
        <w:rPr>
          <w:rFonts w:ascii="Arial" w:eastAsia="Calibri" w:hAnsi="Arial" w:cs="Arial"/>
          <w:shd w:val="clear" w:color="auto" w:fill="FFFFFF"/>
        </w:rPr>
        <w:t>Presidente del Consejo de Ministros</w:t>
      </w:r>
    </w:p>
    <w:p w:rsidR="006312E8" w:rsidRPr="006312E8" w:rsidRDefault="006312E8" w:rsidP="003679F2">
      <w:pPr>
        <w:pStyle w:val="TITO2"/>
      </w:pPr>
      <w:bookmarkStart w:id="192" w:name="_Toc399335472"/>
      <w:bookmarkStart w:id="193" w:name="_Toc421025420"/>
      <w:bookmarkStart w:id="194" w:name="_Toc470855518"/>
      <w:r w:rsidRPr="006312E8">
        <w:t>LEY Nº 30230</w:t>
      </w:r>
      <w:bookmarkEnd w:id="192"/>
      <w:bookmarkEnd w:id="193"/>
      <w:bookmarkEnd w:id="194"/>
    </w:p>
    <w:p w:rsidR="006312E8" w:rsidRPr="006312E8" w:rsidRDefault="006312E8" w:rsidP="006312E8">
      <w:pPr>
        <w:spacing w:after="0" w:line="240" w:lineRule="auto"/>
        <w:jc w:val="center"/>
        <w:rPr>
          <w:rFonts w:ascii="Arial" w:eastAsia="Calibri" w:hAnsi="Arial" w:cs="Arial"/>
          <w:lang w:val="es-ES"/>
        </w:rPr>
      </w:pPr>
      <w:r w:rsidRPr="006312E8">
        <w:rPr>
          <w:rFonts w:ascii="Arial" w:eastAsia="Calibri" w:hAnsi="Arial" w:cs="Arial"/>
          <w:b/>
          <w:sz w:val="24"/>
          <w:szCs w:val="24"/>
          <w:lang w:val="es-ES"/>
        </w:rPr>
        <w:t>(Extracto)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FF382F" w:rsidP="006312E8">
      <w:pPr>
        <w:spacing w:after="0" w:line="240" w:lineRule="auto"/>
        <w:jc w:val="right"/>
        <w:rPr>
          <w:rFonts w:ascii="Arial" w:eastAsia="Calibri" w:hAnsi="Arial" w:cs="Arial"/>
          <w:b/>
          <w:lang w:val="es-ES"/>
        </w:rPr>
      </w:pPr>
      <w:r>
        <w:rPr>
          <w:rFonts w:ascii="Arial" w:eastAsia="Calibri" w:hAnsi="Arial" w:cs="Arial"/>
          <w:b/>
          <w:lang w:val="es-ES"/>
        </w:rPr>
        <w:t>Fecha de publicación: 12-</w:t>
      </w:r>
      <w:r w:rsidR="006312E8" w:rsidRPr="006312E8">
        <w:rPr>
          <w:rFonts w:ascii="Arial" w:eastAsia="Calibri" w:hAnsi="Arial" w:cs="Arial"/>
          <w:b/>
          <w:lang w:val="es-ES"/>
        </w:rPr>
        <w:t>07</w:t>
      </w:r>
      <w:r>
        <w:rPr>
          <w:rFonts w:ascii="Arial" w:eastAsia="Calibri" w:hAnsi="Arial" w:cs="Arial"/>
          <w:b/>
          <w:lang w:val="es-ES"/>
        </w:rPr>
        <w:t>-</w:t>
      </w:r>
      <w:r w:rsidR="006312E8" w:rsidRPr="006312E8">
        <w:rPr>
          <w:rFonts w:ascii="Arial" w:eastAsia="Calibri" w:hAnsi="Arial" w:cs="Arial"/>
          <w:b/>
          <w:lang w:val="es-ES"/>
        </w:rPr>
        <w:t>2014</w:t>
      </w:r>
    </w:p>
    <w:p w:rsidR="006312E8" w:rsidRPr="006312E8" w:rsidRDefault="006312E8" w:rsidP="006312E8">
      <w:pPr>
        <w:spacing w:after="0" w:line="240" w:lineRule="auto"/>
        <w:jc w:val="right"/>
        <w:rPr>
          <w:rFonts w:ascii="Arial" w:eastAsia="Calibri" w:hAnsi="Arial" w:cs="Arial"/>
          <w:b/>
          <w:lang w:val="es-ES"/>
        </w:rPr>
      </w:pPr>
    </w:p>
    <w:p w:rsidR="006312E8" w:rsidRPr="006312E8" w:rsidRDefault="006312E8" w:rsidP="006312E8">
      <w:pPr>
        <w:spacing w:line="240" w:lineRule="auto"/>
        <w:jc w:val="center"/>
        <w:rPr>
          <w:rFonts w:ascii="Arial" w:hAnsi="Arial" w:cs="Arial"/>
          <w:b/>
          <w:sz w:val="24"/>
          <w:szCs w:val="24"/>
        </w:rPr>
      </w:pPr>
      <w:r w:rsidRPr="006312E8">
        <w:rPr>
          <w:rFonts w:ascii="Arial" w:hAnsi="Arial" w:cs="Arial"/>
          <w:b/>
          <w:sz w:val="24"/>
          <w:szCs w:val="24"/>
        </w:rPr>
        <w:t>LEY QUE ESTABLECE MEDIDAS TRIBUTARIAS, SIMPLIFICACIÓN DE PROCEDIMIENTOS Y PERMISOS PARA LA PROMOCIÓN Y DINAMIZACIÓN DE LA INVERSIÓN EN EL PAIS</w:t>
      </w:r>
    </w:p>
    <w:p w:rsidR="006312E8" w:rsidRPr="006312E8" w:rsidRDefault="006312E8" w:rsidP="006312E8">
      <w:pPr>
        <w:spacing w:line="240" w:lineRule="auto"/>
        <w:rPr>
          <w:rFonts w:ascii="Arial" w:hAnsi="Arial" w:cs="Arial"/>
        </w:rPr>
      </w:pPr>
    </w:p>
    <w:p w:rsidR="006312E8" w:rsidRPr="006312E8" w:rsidRDefault="006312E8" w:rsidP="006312E8">
      <w:pPr>
        <w:spacing w:line="240" w:lineRule="auto"/>
        <w:ind w:firstLine="708"/>
        <w:rPr>
          <w:rFonts w:ascii="Arial" w:hAnsi="Arial" w:cs="Arial"/>
        </w:rPr>
      </w:pPr>
      <w:r w:rsidRPr="006312E8">
        <w:rPr>
          <w:rFonts w:ascii="Arial" w:hAnsi="Arial" w:cs="Arial"/>
        </w:rPr>
        <w:t>EL PRESIDENTE DE LA REPÚBLICA</w:t>
      </w:r>
    </w:p>
    <w:p w:rsidR="006312E8" w:rsidRPr="006312E8" w:rsidRDefault="006312E8" w:rsidP="006312E8">
      <w:pPr>
        <w:spacing w:line="240" w:lineRule="auto"/>
        <w:rPr>
          <w:rFonts w:ascii="Arial" w:hAnsi="Arial" w:cs="Arial"/>
        </w:rPr>
      </w:pPr>
      <w:r w:rsidRPr="006312E8">
        <w:rPr>
          <w:rFonts w:ascii="Arial" w:hAnsi="Arial" w:cs="Arial"/>
        </w:rPr>
        <w:tab/>
        <w:t>POR CUANTO:</w:t>
      </w:r>
    </w:p>
    <w:p w:rsidR="006312E8" w:rsidRPr="006312E8" w:rsidRDefault="006312E8" w:rsidP="006312E8">
      <w:pPr>
        <w:spacing w:line="240" w:lineRule="auto"/>
        <w:rPr>
          <w:rFonts w:ascii="Arial" w:hAnsi="Arial" w:cs="Arial"/>
        </w:rPr>
      </w:pPr>
      <w:r w:rsidRPr="006312E8">
        <w:rPr>
          <w:rFonts w:ascii="Arial" w:hAnsi="Arial" w:cs="Arial"/>
        </w:rPr>
        <w:tab/>
        <w:t>El Congreso de la República</w:t>
      </w:r>
    </w:p>
    <w:p w:rsidR="006312E8" w:rsidRPr="006312E8" w:rsidRDefault="006312E8" w:rsidP="006312E8">
      <w:pPr>
        <w:spacing w:line="240" w:lineRule="auto"/>
        <w:rPr>
          <w:rFonts w:ascii="Arial" w:hAnsi="Arial" w:cs="Arial"/>
        </w:rPr>
      </w:pPr>
      <w:r w:rsidRPr="006312E8">
        <w:rPr>
          <w:rFonts w:ascii="Arial" w:hAnsi="Arial" w:cs="Arial"/>
        </w:rPr>
        <w:tab/>
        <w:t>Ha dado la Ley siguiente:</w:t>
      </w:r>
    </w:p>
    <w:p w:rsidR="006312E8" w:rsidRPr="006312E8" w:rsidRDefault="006312E8" w:rsidP="006312E8">
      <w:pPr>
        <w:spacing w:line="240" w:lineRule="auto"/>
        <w:rPr>
          <w:rFonts w:ascii="Arial" w:hAnsi="Arial" w:cs="Arial"/>
        </w:rPr>
      </w:pPr>
      <w:r w:rsidRPr="006312E8">
        <w:rPr>
          <w:rFonts w:ascii="Arial" w:hAnsi="Arial" w:cs="Arial"/>
        </w:rPr>
        <w:tab/>
        <w:t>EL CONGRESO DE LA REPÚBLICA;</w:t>
      </w:r>
    </w:p>
    <w:p w:rsidR="006312E8" w:rsidRPr="006312E8" w:rsidRDefault="006312E8" w:rsidP="006312E8">
      <w:pPr>
        <w:spacing w:line="240" w:lineRule="auto"/>
        <w:rPr>
          <w:rFonts w:ascii="Arial" w:hAnsi="Arial" w:cs="Arial"/>
        </w:rPr>
      </w:pPr>
      <w:r w:rsidRPr="006312E8">
        <w:rPr>
          <w:rFonts w:ascii="Arial" w:hAnsi="Arial" w:cs="Arial"/>
        </w:rPr>
        <w:tab/>
        <w:t>Ha dado la Ley siguiente:</w:t>
      </w:r>
    </w:p>
    <w:p w:rsidR="006312E8" w:rsidRPr="006312E8" w:rsidRDefault="006312E8" w:rsidP="006312E8">
      <w:pPr>
        <w:spacing w:line="240" w:lineRule="auto"/>
        <w:ind w:left="3540" w:firstLine="708"/>
        <w:rPr>
          <w:rFonts w:ascii="Arial" w:hAnsi="Arial" w:cs="Arial"/>
        </w:rPr>
      </w:pPr>
      <w:r w:rsidRPr="006312E8">
        <w:rPr>
          <w:rFonts w:ascii="Arial" w:hAnsi="Arial" w:cs="Arial"/>
        </w:rPr>
        <w:t>(…)</w:t>
      </w:r>
    </w:p>
    <w:p w:rsidR="006312E8" w:rsidRPr="006312E8" w:rsidRDefault="006312E8" w:rsidP="006312E8">
      <w:pPr>
        <w:spacing w:line="240" w:lineRule="auto"/>
        <w:jc w:val="center"/>
        <w:rPr>
          <w:rFonts w:ascii="Arial" w:hAnsi="Arial" w:cs="Arial"/>
          <w:b/>
          <w:sz w:val="24"/>
          <w:szCs w:val="24"/>
        </w:rPr>
      </w:pPr>
      <w:r w:rsidRPr="006312E8">
        <w:rPr>
          <w:rFonts w:ascii="Arial" w:hAnsi="Arial" w:cs="Arial"/>
          <w:b/>
          <w:sz w:val="24"/>
          <w:szCs w:val="24"/>
        </w:rPr>
        <w:t>TÍTULO III</w:t>
      </w:r>
    </w:p>
    <w:p w:rsidR="006312E8" w:rsidRPr="006312E8" w:rsidRDefault="006312E8" w:rsidP="006312E8">
      <w:pPr>
        <w:spacing w:after="0" w:line="240" w:lineRule="auto"/>
        <w:jc w:val="center"/>
        <w:rPr>
          <w:rFonts w:ascii="Arial" w:eastAsia="MS Mincho" w:hAnsi="Arial" w:cs="Arial"/>
          <w:b/>
          <w:sz w:val="24"/>
          <w:szCs w:val="24"/>
          <w:lang w:val="es-ES"/>
        </w:rPr>
      </w:pPr>
      <w:r w:rsidRPr="006312E8">
        <w:rPr>
          <w:rFonts w:ascii="Arial" w:eastAsia="MS Mincho" w:hAnsi="Arial" w:cs="Arial"/>
          <w:b/>
          <w:sz w:val="24"/>
          <w:szCs w:val="24"/>
          <w:lang w:val="es-ES"/>
        </w:rPr>
        <w:t>PROCEDIMIENTOS ESPECIALES DE SANEAMIENTO FISICO LEGAL DE</w:t>
      </w:r>
    </w:p>
    <w:p w:rsidR="006312E8" w:rsidRPr="006312E8" w:rsidRDefault="006312E8" w:rsidP="006312E8">
      <w:pPr>
        <w:spacing w:after="0" w:line="240" w:lineRule="auto"/>
        <w:jc w:val="center"/>
        <w:rPr>
          <w:rFonts w:ascii="Arial" w:eastAsia="MS Mincho" w:hAnsi="Arial" w:cs="Arial"/>
          <w:b/>
          <w:sz w:val="24"/>
          <w:szCs w:val="24"/>
          <w:lang w:val="es-ES"/>
        </w:rPr>
      </w:pPr>
      <w:r w:rsidRPr="006312E8">
        <w:rPr>
          <w:rFonts w:ascii="Arial" w:eastAsia="MS Mincho" w:hAnsi="Arial" w:cs="Arial"/>
          <w:b/>
          <w:sz w:val="24"/>
          <w:szCs w:val="24"/>
          <w:lang w:val="es-ES"/>
        </w:rPr>
        <w:t>PREDIOS PARA PROYECTOS DE INVERSION Y OTRAS DISPOSICIONES PARA PROPICIAR LA EFICIENCIA EN LA ADMINISTRACION DE PREDIOS DEL ESTADO</w:t>
      </w:r>
    </w:p>
    <w:p w:rsidR="006312E8" w:rsidRPr="006312E8" w:rsidRDefault="006312E8" w:rsidP="006312E8">
      <w:pPr>
        <w:spacing w:after="0" w:line="240" w:lineRule="auto"/>
        <w:jc w:val="center"/>
        <w:rPr>
          <w:rFonts w:ascii="Arial" w:eastAsia="MS Mincho" w:hAnsi="Arial" w:cs="Arial"/>
          <w:b/>
          <w:sz w:val="24"/>
          <w:szCs w:val="24"/>
          <w:lang w:val="es-ES"/>
        </w:rPr>
      </w:pPr>
      <w:r w:rsidRPr="006312E8">
        <w:rPr>
          <w:rFonts w:ascii="Arial" w:eastAsia="MS Mincho" w:hAnsi="Arial" w:cs="Arial"/>
          <w:b/>
          <w:sz w:val="24"/>
          <w:szCs w:val="24"/>
          <w:lang w:val="es-ES"/>
        </w:rPr>
        <w:t>Y FACILITAR LA EJECUCION DE OBRAS DE INFRAESTRUCTURA VIAL</w:t>
      </w:r>
    </w:p>
    <w:p w:rsidR="006312E8" w:rsidRPr="006312E8" w:rsidRDefault="006312E8" w:rsidP="006312E8">
      <w:pPr>
        <w:spacing w:line="240" w:lineRule="auto"/>
        <w:jc w:val="center"/>
        <w:rPr>
          <w:rFonts w:ascii="Arial" w:hAnsi="Arial" w:cs="Arial"/>
          <w:b/>
        </w:rPr>
      </w:pPr>
    </w:p>
    <w:p w:rsidR="006312E8" w:rsidRPr="006312E8" w:rsidRDefault="006312E8" w:rsidP="006312E8">
      <w:pPr>
        <w:spacing w:line="240" w:lineRule="auto"/>
        <w:jc w:val="center"/>
        <w:rPr>
          <w:rFonts w:ascii="Arial" w:hAnsi="Arial" w:cs="Arial"/>
          <w:b/>
        </w:rPr>
      </w:pPr>
      <w:r w:rsidRPr="006312E8">
        <w:rPr>
          <w:rFonts w:ascii="Arial" w:hAnsi="Arial" w:cs="Arial"/>
          <w:b/>
        </w:rPr>
        <w:t>CAPÍTULO I</w:t>
      </w:r>
    </w:p>
    <w:p w:rsidR="006312E8" w:rsidRPr="006312E8" w:rsidRDefault="006312E8" w:rsidP="006312E8">
      <w:pPr>
        <w:spacing w:line="240" w:lineRule="auto"/>
        <w:jc w:val="center"/>
        <w:rPr>
          <w:rFonts w:ascii="Arial" w:hAnsi="Arial" w:cs="Arial"/>
          <w:b/>
        </w:rPr>
      </w:pPr>
      <w:r w:rsidRPr="006312E8">
        <w:rPr>
          <w:rFonts w:ascii="Arial" w:hAnsi="Arial" w:cs="Arial"/>
          <w:b/>
        </w:rPr>
        <w:t xml:space="preserve">PROCEDIMIENTOS ESPECIALES PARA EL SANEAMIENTO FÍSICO LEGAL DE PREDIOS PARA PROYECTOS DE INVERSIÓN PÚBLICA Y PRIVADA </w:t>
      </w:r>
    </w:p>
    <w:p w:rsidR="006312E8" w:rsidRPr="006312E8" w:rsidRDefault="006312E8" w:rsidP="006312E8">
      <w:pPr>
        <w:spacing w:line="240" w:lineRule="auto"/>
        <w:jc w:val="center"/>
        <w:rPr>
          <w:rFonts w:ascii="Arial" w:hAnsi="Arial" w:cs="Arial"/>
          <w:b/>
        </w:rPr>
      </w:pPr>
    </w:p>
    <w:p w:rsidR="006312E8" w:rsidRPr="006312E8" w:rsidRDefault="006312E8" w:rsidP="006312E8">
      <w:pPr>
        <w:spacing w:after="0" w:line="240" w:lineRule="auto"/>
        <w:jc w:val="center"/>
        <w:rPr>
          <w:rFonts w:ascii="Arial" w:eastAsia="Calibri" w:hAnsi="Arial" w:cs="Arial"/>
          <w:b/>
          <w:lang w:eastAsia="es-ES"/>
        </w:rPr>
      </w:pPr>
      <w:r w:rsidRPr="006312E8">
        <w:rPr>
          <w:rFonts w:ascii="Arial" w:eastAsia="Calibri" w:hAnsi="Arial" w:cs="Arial"/>
          <w:b/>
          <w:lang w:eastAsia="es-ES"/>
        </w:rPr>
        <w:t>SUBCAPÍTULO I</w:t>
      </w:r>
    </w:p>
    <w:p w:rsidR="006312E8" w:rsidRPr="006312E8" w:rsidRDefault="006312E8" w:rsidP="006312E8">
      <w:pPr>
        <w:spacing w:line="240" w:lineRule="auto"/>
        <w:jc w:val="center"/>
        <w:rPr>
          <w:rFonts w:ascii="Arial" w:hAnsi="Arial" w:cs="Arial"/>
          <w:b/>
        </w:rPr>
      </w:pPr>
      <w:r w:rsidRPr="006312E8">
        <w:rPr>
          <w:rFonts w:ascii="Arial" w:hAnsi="Arial" w:cs="Arial"/>
          <w:b/>
        </w:rPr>
        <w:t xml:space="preserve">DE LOS PROCEDIMIENTOS ESPECIALES </w:t>
      </w:r>
    </w:p>
    <w:p w:rsidR="006312E8" w:rsidRPr="006312E8" w:rsidRDefault="006312E8" w:rsidP="006312E8">
      <w:pPr>
        <w:spacing w:after="0" w:line="240" w:lineRule="auto"/>
        <w:rPr>
          <w:rFonts w:ascii="Arial" w:eastAsia="MS Mincho" w:hAnsi="Arial" w:cs="Arial"/>
          <w:b/>
          <w:color w:val="000000"/>
          <w:lang w:val="es-ES"/>
        </w:rPr>
      </w:pPr>
      <w:r w:rsidRPr="006312E8">
        <w:rPr>
          <w:rFonts w:ascii="Arial" w:eastAsia="MS Mincho" w:hAnsi="Arial" w:cs="Arial"/>
          <w:b/>
          <w:u w:val="single"/>
          <w:lang w:val="es-ES"/>
        </w:rPr>
        <w:t>Artículo 36</w:t>
      </w:r>
      <w:r w:rsidRPr="006312E8">
        <w:rPr>
          <w:rFonts w:ascii="Arial" w:eastAsia="MS Mincho" w:hAnsi="Arial" w:cs="Arial"/>
          <w:b/>
          <w:color w:val="000000"/>
          <w:lang w:val="es-ES"/>
        </w:rPr>
        <w:t>.- Objeto</w:t>
      </w:r>
    </w:p>
    <w:p w:rsidR="006312E8" w:rsidRPr="006312E8" w:rsidRDefault="006312E8" w:rsidP="006312E8">
      <w:pPr>
        <w:spacing w:after="0" w:line="240" w:lineRule="auto"/>
        <w:rPr>
          <w:rFonts w:ascii="Arial" w:eastAsia="MS Mincho" w:hAnsi="Arial" w:cs="Arial"/>
          <w:color w:val="000000"/>
          <w:lang w:val="es-ES"/>
        </w:rPr>
      </w:pPr>
      <w:r w:rsidRPr="006312E8">
        <w:rPr>
          <w:rFonts w:ascii="Arial" w:eastAsia="MS Mincho" w:hAnsi="Arial" w:cs="Arial"/>
          <w:color w:val="000000"/>
          <w:lang w:val="es-ES"/>
        </w:rPr>
        <w:t>Créanse procedimientos especiales para el saneamiento físico legal de predios involucrados en el desarrollo de proyectos de inversión pública y privada.</w:t>
      </w:r>
    </w:p>
    <w:p w:rsidR="006312E8" w:rsidRPr="006312E8" w:rsidRDefault="006312E8" w:rsidP="006312E8">
      <w:pPr>
        <w:spacing w:after="0" w:line="240" w:lineRule="auto"/>
        <w:ind w:firstLine="708"/>
        <w:rPr>
          <w:rFonts w:ascii="Arial" w:eastAsia="MS Mincho" w:hAnsi="Arial" w:cs="Arial"/>
          <w:color w:val="000000"/>
          <w:lang w:val="es-ES"/>
        </w:rPr>
      </w:pPr>
    </w:p>
    <w:p w:rsidR="006312E8" w:rsidRPr="006312E8" w:rsidRDefault="006312E8" w:rsidP="006312E8">
      <w:pPr>
        <w:spacing w:after="0" w:line="240" w:lineRule="auto"/>
        <w:rPr>
          <w:rFonts w:ascii="Arial" w:eastAsia="MS Mincho" w:hAnsi="Arial" w:cs="Arial"/>
          <w:color w:val="000000"/>
          <w:lang w:val="es-ES"/>
        </w:rPr>
      </w:pPr>
      <w:r w:rsidRPr="006312E8">
        <w:rPr>
          <w:rFonts w:ascii="Arial" w:eastAsia="MS Mincho" w:hAnsi="Arial" w:cs="Arial"/>
          <w:b/>
          <w:u w:val="single"/>
          <w:lang w:val="es-ES"/>
        </w:rPr>
        <w:t>Artículo 37</w:t>
      </w:r>
      <w:r w:rsidRPr="006312E8">
        <w:rPr>
          <w:rFonts w:ascii="Arial" w:eastAsia="MS Mincho" w:hAnsi="Arial" w:cs="Arial"/>
          <w:b/>
          <w:lang w:val="es-ES"/>
        </w:rPr>
        <w:t>.- Ámbito de aplicación</w:t>
      </w:r>
    </w:p>
    <w:p w:rsidR="006312E8" w:rsidRPr="006312E8" w:rsidRDefault="006312E8" w:rsidP="006312E8">
      <w:pPr>
        <w:spacing w:after="0" w:line="240" w:lineRule="auto"/>
        <w:jc w:val="both"/>
        <w:rPr>
          <w:rFonts w:ascii="Arial" w:eastAsia="MS Mincho" w:hAnsi="Arial" w:cs="Arial"/>
          <w:lang w:val="es-ES"/>
        </w:rPr>
      </w:pPr>
      <w:r w:rsidRPr="006312E8">
        <w:rPr>
          <w:rFonts w:ascii="Arial" w:eastAsia="MS Mincho" w:hAnsi="Arial" w:cs="Arial"/>
          <w:lang w:val="es-ES"/>
        </w:rPr>
        <w:t xml:space="preserve">El presente Subcapítulo regula acciones extraordinarias de saneamiento físico legal para predios comprendidos dentro del área de influencia directa o indirecta de los proyectos de inversión referidos en el artículo siguiente, independientemente del uso actual o futuro que se les dé a los predios. </w:t>
      </w:r>
    </w:p>
    <w:p w:rsidR="006312E8" w:rsidRPr="006312E8" w:rsidRDefault="006312E8" w:rsidP="006312E8">
      <w:pPr>
        <w:spacing w:after="200" w:line="276" w:lineRule="auto"/>
        <w:ind w:left="1068"/>
        <w:contextualSpacing/>
        <w:rPr>
          <w:rFonts w:ascii="Arial" w:hAnsi="Arial" w:cs="Arial"/>
          <w:color w:val="000000"/>
          <w:lang w:val="es-ES"/>
        </w:rPr>
      </w:pPr>
    </w:p>
    <w:p w:rsidR="006312E8" w:rsidRPr="006312E8" w:rsidRDefault="006312E8" w:rsidP="0092471C">
      <w:pPr>
        <w:numPr>
          <w:ilvl w:val="0"/>
          <w:numId w:val="156"/>
        </w:numPr>
        <w:spacing w:after="0" w:line="240" w:lineRule="auto"/>
        <w:jc w:val="both"/>
        <w:rPr>
          <w:rFonts w:ascii="Arial" w:hAnsi="Arial" w:cs="Arial"/>
          <w:color w:val="000000"/>
          <w:lang w:val="es-ES"/>
        </w:rPr>
      </w:pPr>
      <w:r w:rsidRPr="006312E8">
        <w:rPr>
          <w:rFonts w:ascii="Arial" w:hAnsi="Arial" w:cs="Arial"/>
        </w:rPr>
        <w:t>Asimismo, son materia de las acciones de saneamiento, los predios ocupados por obras públicas viales en fase de operación, cuyas áreas se encuentran pendientes de saneamiento físico legal, antes o posterior a la vigencia de la presente ley.</w:t>
      </w:r>
    </w:p>
    <w:p w:rsidR="006312E8" w:rsidRPr="006312E8" w:rsidRDefault="006312E8" w:rsidP="006312E8">
      <w:pPr>
        <w:spacing w:after="0" w:line="240" w:lineRule="auto"/>
        <w:ind w:firstLine="708"/>
        <w:rPr>
          <w:rFonts w:ascii="Arial" w:eastAsia="Calibri" w:hAnsi="Arial" w:cs="Arial"/>
          <w:b/>
          <w:u w:val="single"/>
          <w:lang w:val="es-ES"/>
        </w:rPr>
      </w:pPr>
    </w:p>
    <w:p w:rsidR="006312E8" w:rsidRDefault="006312E8" w:rsidP="006312E8">
      <w:pPr>
        <w:spacing w:after="0" w:line="240" w:lineRule="auto"/>
        <w:ind w:firstLine="708"/>
        <w:rPr>
          <w:rFonts w:ascii="Arial" w:eastAsia="Calibri" w:hAnsi="Arial" w:cs="Arial"/>
          <w:b/>
          <w:u w:val="single"/>
          <w:lang w:val="es-ES"/>
        </w:rPr>
      </w:pPr>
    </w:p>
    <w:p w:rsidR="005A311B" w:rsidRDefault="005A311B" w:rsidP="006312E8">
      <w:pPr>
        <w:spacing w:after="0" w:line="240" w:lineRule="auto"/>
        <w:ind w:firstLine="708"/>
        <w:rPr>
          <w:rFonts w:ascii="Arial" w:eastAsia="Calibri" w:hAnsi="Arial" w:cs="Arial"/>
          <w:b/>
          <w:u w:val="single"/>
          <w:lang w:val="es-ES"/>
        </w:rPr>
      </w:pPr>
    </w:p>
    <w:p w:rsidR="005A311B" w:rsidRPr="006312E8" w:rsidRDefault="005A311B" w:rsidP="006312E8">
      <w:pPr>
        <w:spacing w:after="0" w:line="240" w:lineRule="auto"/>
        <w:ind w:firstLine="708"/>
        <w:rPr>
          <w:rFonts w:ascii="Arial" w:eastAsia="Calibri" w:hAnsi="Arial" w:cs="Arial"/>
          <w:b/>
          <w:u w:val="single"/>
          <w:lang w:val="es-ES"/>
        </w:rPr>
      </w:pPr>
    </w:p>
    <w:p w:rsidR="006312E8" w:rsidRPr="006312E8" w:rsidRDefault="006312E8" w:rsidP="006312E8">
      <w:pPr>
        <w:spacing w:after="0" w:line="240" w:lineRule="auto"/>
        <w:rPr>
          <w:rFonts w:ascii="Arial" w:eastAsia="Calibri" w:hAnsi="Arial" w:cs="Arial"/>
          <w:b/>
          <w:lang w:val="es-ES"/>
        </w:rPr>
      </w:pPr>
      <w:r w:rsidRPr="006312E8">
        <w:rPr>
          <w:rFonts w:ascii="Arial" w:eastAsia="Calibri" w:hAnsi="Arial" w:cs="Arial"/>
          <w:b/>
          <w:u w:val="single"/>
          <w:lang w:val="es-ES"/>
        </w:rPr>
        <w:t>Artículo 38</w:t>
      </w:r>
      <w:r w:rsidRPr="006312E8">
        <w:rPr>
          <w:rFonts w:ascii="Arial" w:eastAsia="Calibri" w:hAnsi="Arial" w:cs="Arial"/>
          <w:b/>
          <w:lang w:val="es-ES"/>
        </w:rPr>
        <w:t>- Proyectos comprendidos    </w:t>
      </w:r>
    </w:p>
    <w:p w:rsidR="006312E8" w:rsidRPr="006312E8" w:rsidRDefault="006312E8" w:rsidP="006312E8">
      <w:pPr>
        <w:spacing w:after="0" w:line="240" w:lineRule="auto"/>
        <w:rPr>
          <w:rFonts w:ascii="Arial" w:eastAsia="Calibri" w:hAnsi="Arial" w:cs="Arial"/>
          <w:lang w:val="es-ES"/>
        </w:rPr>
      </w:pPr>
      <w:r w:rsidRPr="006312E8">
        <w:rPr>
          <w:rFonts w:ascii="Arial" w:eastAsia="Calibri" w:hAnsi="Arial" w:cs="Arial"/>
          <w:lang w:val="es-ES"/>
        </w:rPr>
        <w:t>Se encuentran dentro de los alcances del presente Subcapítulo los proyectos de inversión pública o privada:</w:t>
      </w:r>
    </w:p>
    <w:p w:rsidR="006312E8" w:rsidRPr="006312E8" w:rsidRDefault="006312E8" w:rsidP="006312E8">
      <w:pPr>
        <w:spacing w:after="0" w:line="240" w:lineRule="auto"/>
        <w:ind w:firstLine="705"/>
        <w:rPr>
          <w:rFonts w:ascii="Arial" w:eastAsia="Calibri" w:hAnsi="Arial" w:cs="Arial"/>
          <w:lang w:val="es-ES"/>
        </w:rPr>
      </w:pPr>
    </w:p>
    <w:p w:rsidR="006312E8" w:rsidRPr="006312E8" w:rsidRDefault="006312E8" w:rsidP="0092471C">
      <w:pPr>
        <w:numPr>
          <w:ilvl w:val="0"/>
          <w:numId w:val="157"/>
        </w:numPr>
        <w:spacing w:after="0" w:line="240" w:lineRule="auto"/>
        <w:jc w:val="both"/>
        <w:rPr>
          <w:rFonts w:ascii="Arial" w:eastAsia="MS Mincho" w:hAnsi="Arial" w:cs="Arial"/>
          <w:color w:val="000000"/>
          <w:lang w:val="es-ES"/>
        </w:rPr>
      </w:pPr>
      <w:r w:rsidRPr="006312E8">
        <w:rPr>
          <w:rFonts w:ascii="Arial" w:eastAsia="MS Mincho" w:hAnsi="Arial" w:cs="Arial"/>
          <w:color w:val="000000"/>
          <w:lang w:val="es-ES"/>
        </w:rPr>
        <w:t>Declarados por ley de necesidad pública, interés nacional, seguridad nacional y/o de gran envergadura cuya declaración sea anterior o posterior a la vigencia presente ley.</w:t>
      </w:r>
    </w:p>
    <w:p w:rsidR="006312E8" w:rsidRPr="006312E8" w:rsidRDefault="006312E8" w:rsidP="006312E8">
      <w:pPr>
        <w:spacing w:after="0" w:line="240" w:lineRule="auto"/>
        <w:ind w:left="1065"/>
        <w:jc w:val="both"/>
        <w:rPr>
          <w:rFonts w:ascii="Arial" w:eastAsia="Calibri" w:hAnsi="Arial" w:cs="Arial"/>
          <w:lang w:val="es-ES"/>
        </w:rPr>
      </w:pPr>
    </w:p>
    <w:p w:rsidR="006312E8" w:rsidRPr="006312E8" w:rsidRDefault="006312E8" w:rsidP="0092471C">
      <w:pPr>
        <w:numPr>
          <w:ilvl w:val="0"/>
          <w:numId w:val="157"/>
        </w:numPr>
        <w:spacing w:after="0" w:line="240" w:lineRule="auto"/>
        <w:jc w:val="both"/>
        <w:rPr>
          <w:rFonts w:ascii="Arial" w:eastAsia="Calibri" w:hAnsi="Arial" w:cs="Arial"/>
          <w:lang w:val="es-ES"/>
        </w:rPr>
      </w:pPr>
      <w:r w:rsidRPr="006312E8">
        <w:rPr>
          <w:rFonts w:ascii="Arial" w:eastAsia="MS Mincho" w:hAnsi="Arial" w:cs="Arial"/>
          <w:color w:val="000000"/>
          <w:lang w:val="es-ES"/>
        </w:rPr>
        <w:t>Que cuentan con concesiones otorgadas por el Gobierno Nacional o con la participación de PROINVERSIÓN, autorizaciones ministeriales anteriores o posteriores a la vigencia de la presente ley.</w:t>
      </w:r>
    </w:p>
    <w:p w:rsidR="006312E8" w:rsidRPr="006312E8" w:rsidRDefault="006312E8" w:rsidP="006312E8">
      <w:pPr>
        <w:spacing w:after="0" w:line="240" w:lineRule="auto"/>
        <w:ind w:firstLine="705"/>
        <w:jc w:val="both"/>
        <w:rPr>
          <w:rFonts w:ascii="Arial" w:eastAsia="MS Mincho" w:hAnsi="Arial" w:cs="Arial"/>
          <w:b/>
          <w:lang w:val="es-ES"/>
        </w:rPr>
      </w:pPr>
    </w:p>
    <w:p w:rsidR="006312E8" w:rsidRPr="006312E8" w:rsidRDefault="006312E8" w:rsidP="006312E8">
      <w:pPr>
        <w:spacing w:after="0" w:line="240" w:lineRule="auto"/>
        <w:jc w:val="both"/>
        <w:rPr>
          <w:rFonts w:ascii="Arial" w:eastAsia="MS Mincho" w:hAnsi="Arial" w:cs="Arial"/>
          <w:b/>
          <w:lang w:val="es-ES"/>
        </w:rPr>
      </w:pPr>
      <w:r w:rsidRPr="006312E8">
        <w:rPr>
          <w:rFonts w:ascii="Arial" w:eastAsia="MS Mincho" w:hAnsi="Arial" w:cs="Arial"/>
          <w:b/>
          <w:u w:val="single"/>
          <w:lang w:val="es-ES"/>
        </w:rPr>
        <w:t>Artículo 39</w:t>
      </w:r>
      <w:r w:rsidRPr="006312E8">
        <w:rPr>
          <w:rFonts w:ascii="Arial" w:eastAsia="MS Mincho" w:hAnsi="Arial" w:cs="Arial"/>
          <w:b/>
          <w:lang w:val="es-ES"/>
        </w:rPr>
        <w:t>.- De los solicitantes</w:t>
      </w:r>
    </w:p>
    <w:p w:rsidR="006312E8" w:rsidRPr="006312E8" w:rsidRDefault="006312E8" w:rsidP="006312E8">
      <w:pPr>
        <w:spacing w:after="0" w:line="240" w:lineRule="auto"/>
        <w:jc w:val="both"/>
        <w:rPr>
          <w:rFonts w:ascii="Arial" w:eastAsia="MS Mincho" w:hAnsi="Arial" w:cs="Arial"/>
          <w:lang w:val="es-ES"/>
        </w:rPr>
      </w:pPr>
      <w:r w:rsidRPr="006312E8">
        <w:rPr>
          <w:rFonts w:ascii="Arial" w:eastAsia="MS Mincho" w:hAnsi="Arial" w:cs="Arial"/>
          <w:lang w:val="es-ES"/>
        </w:rPr>
        <w:t>Las solicitudes de acceso a los procedimientos especiales de saneamiento físico legal de predios pueden ser realizadas por entidades públicas a cargo del proyecto de inversión o titulares de proyectos a los que se refiere el presente subcapítulo.</w:t>
      </w:r>
    </w:p>
    <w:p w:rsidR="006312E8" w:rsidRPr="006312E8" w:rsidRDefault="006312E8" w:rsidP="006312E8">
      <w:pPr>
        <w:spacing w:after="0" w:line="240" w:lineRule="auto"/>
        <w:ind w:firstLine="705"/>
        <w:jc w:val="both"/>
        <w:rPr>
          <w:rFonts w:ascii="Arial" w:eastAsia="MS Mincho" w:hAnsi="Arial" w:cs="Arial"/>
          <w:lang w:val="es-ES"/>
        </w:rPr>
      </w:pPr>
    </w:p>
    <w:p w:rsidR="006312E8" w:rsidRPr="006312E8" w:rsidRDefault="006312E8" w:rsidP="006312E8">
      <w:pPr>
        <w:spacing w:after="0" w:line="240" w:lineRule="auto"/>
        <w:jc w:val="both"/>
        <w:rPr>
          <w:rFonts w:ascii="Arial" w:eastAsia="MS Mincho" w:hAnsi="Arial" w:cs="Arial"/>
          <w:b/>
          <w:lang w:val="es-ES"/>
        </w:rPr>
      </w:pPr>
      <w:r w:rsidRPr="006312E8">
        <w:rPr>
          <w:rFonts w:ascii="Arial" w:eastAsia="MS Mincho" w:hAnsi="Arial" w:cs="Arial"/>
          <w:b/>
          <w:u w:val="single"/>
          <w:lang w:val="es-ES"/>
        </w:rPr>
        <w:t>Artículo 40</w:t>
      </w:r>
      <w:r w:rsidRPr="006312E8">
        <w:rPr>
          <w:rFonts w:ascii="Arial" w:eastAsia="MS Mincho" w:hAnsi="Arial" w:cs="Arial"/>
          <w:b/>
          <w:lang w:val="es-ES"/>
        </w:rPr>
        <w:t xml:space="preserve">.- Competencia del Organismo de Formalización de la Propiedad Informal </w:t>
      </w:r>
    </w:p>
    <w:p w:rsidR="006312E8" w:rsidRPr="006312E8" w:rsidRDefault="006312E8" w:rsidP="006312E8">
      <w:pPr>
        <w:spacing w:after="0" w:line="240" w:lineRule="auto"/>
        <w:jc w:val="both"/>
        <w:rPr>
          <w:rFonts w:ascii="Arial" w:eastAsia="MS Mincho" w:hAnsi="Arial" w:cs="Arial"/>
          <w:lang w:val="es-ES"/>
        </w:rPr>
      </w:pPr>
      <w:r w:rsidRPr="006312E8">
        <w:rPr>
          <w:rFonts w:ascii="Arial" w:eastAsia="MS Mincho" w:hAnsi="Arial" w:cs="Arial"/>
          <w:lang w:val="es-ES"/>
        </w:rPr>
        <w:t xml:space="preserve">Facúltese al Organismo de Formalización de la Propiedad Informal (COFOPRI), </w:t>
      </w:r>
      <w:r w:rsidRPr="006312E8">
        <w:rPr>
          <w:rFonts w:ascii="Arial" w:eastAsia="MS Mincho" w:hAnsi="Arial" w:cs="Arial"/>
          <w:shd w:val="clear" w:color="auto" w:fill="FFFFFF"/>
          <w:lang w:val="es-ES"/>
        </w:rPr>
        <w:t xml:space="preserve">para que a solicitud de parte, ejecute procedimientos especiales para el saneamiento </w:t>
      </w:r>
      <w:r w:rsidRPr="006312E8">
        <w:rPr>
          <w:rFonts w:ascii="Arial" w:eastAsia="MS Mincho" w:hAnsi="Arial" w:cs="Arial"/>
          <w:lang w:val="es-ES"/>
        </w:rPr>
        <w:t xml:space="preserve">físico legal de predios correspondiente a particulares, incluyendo la rectificación de áreas, involucrados en el desarrollo de proyectos comprendidos en el presente subcapítulo. </w:t>
      </w:r>
    </w:p>
    <w:p w:rsidR="006312E8" w:rsidRPr="006312E8" w:rsidRDefault="006312E8" w:rsidP="006312E8">
      <w:pPr>
        <w:spacing w:after="0" w:line="240" w:lineRule="auto"/>
        <w:ind w:firstLine="705"/>
        <w:jc w:val="both"/>
        <w:rPr>
          <w:rFonts w:ascii="Arial" w:eastAsia="MS Mincho" w:hAnsi="Arial" w:cs="Arial"/>
          <w:lang w:val="es-ES"/>
        </w:rPr>
      </w:pPr>
    </w:p>
    <w:p w:rsidR="006312E8" w:rsidRPr="006312E8" w:rsidRDefault="006312E8" w:rsidP="006312E8">
      <w:pPr>
        <w:spacing w:after="0" w:line="240" w:lineRule="auto"/>
        <w:jc w:val="both"/>
        <w:rPr>
          <w:rFonts w:ascii="Arial" w:eastAsia="MS Mincho" w:hAnsi="Arial" w:cs="Arial"/>
          <w:b/>
          <w:color w:val="000000"/>
          <w:lang w:val="es-ES"/>
        </w:rPr>
      </w:pPr>
      <w:r w:rsidRPr="006312E8">
        <w:rPr>
          <w:rFonts w:ascii="Arial" w:eastAsia="MS Mincho" w:hAnsi="Arial" w:cs="Arial"/>
          <w:b/>
          <w:color w:val="000000"/>
          <w:u w:val="single"/>
          <w:lang w:val="es-ES"/>
        </w:rPr>
        <w:t>Artículo 41</w:t>
      </w:r>
      <w:r w:rsidRPr="006312E8">
        <w:rPr>
          <w:rFonts w:ascii="Arial" w:eastAsia="MS Mincho" w:hAnsi="Arial" w:cs="Arial"/>
          <w:b/>
          <w:color w:val="000000"/>
          <w:lang w:val="es-ES"/>
        </w:rPr>
        <w:t xml:space="preserve">.- Competencia de la Superintendencia Nacional de Bienes Estatales </w:t>
      </w:r>
    </w:p>
    <w:p w:rsidR="006312E8" w:rsidRPr="006312E8" w:rsidRDefault="006312E8" w:rsidP="006312E8">
      <w:pPr>
        <w:spacing w:line="240" w:lineRule="auto"/>
        <w:ind w:left="1410" w:hanging="705"/>
        <w:jc w:val="both"/>
        <w:rPr>
          <w:rFonts w:ascii="Arial" w:hAnsi="Arial" w:cs="Arial"/>
          <w:color w:val="000000"/>
          <w:lang w:val="es-ES"/>
        </w:rPr>
      </w:pPr>
      <w:r w:rsidRPr="006312E8">
        <w:rPr>
          <w:rFonts w:ascii="Arial" w:hAnsi="Arial" w:cs="Arial"/>
          <w:color w:val="000000"/>
          <w:lang w:val="es-ES"/>
        </w:rPr>
        <w:t xml:space="preserve">41.1 </w:t>
      </w:r>
      <w:r w:rsidRPr="006312E8">
        <w:rPr>
          <w:rFonts w:ascii="Arial" w:hAnsi="Arial" w:cs="Arial"/>
          <w:color w:val="000000"/>
          <w:lang w:val="es-ES"/>
        </w:rPr>
        <w:tab/>
        <w:t>Se faculta a la Superintendencia Nacional de Bienes Estatales (SBN) para ejecutar los procedimientos especiales para el saneamiento físico legal a los predios de propiedad estatal comprendidos en</w:t>
      </w:r>
      <w:r w:rsidRPr="006312E8">
        <w:rPr>
          <w:rFonts w:ascii="Arial" w:hAnsi="Arial" w:cs="Arial"/>
          <w:lang w:val="es-ES"/>
        </w:rPr>
        <w:t xml:space="preserve"> el</w:t>
      </w:r>
      <w:r w:rsidRPr="006312E8">
        <w:rPr>
          <w:rFonts w:ascii="Arial" w:hAnsi="Arial" w:cs="Arial"/>
          <w:color w:val="000000"/>
          <w:lang w:val="es-ES"/>
        </w:rPr>
        <w:t xml:space="preserve"> presente subcapítulo, sobre los cuales celebrará los actos de adquisición, administración o disposición que correspondan en el marco de las normas del Sistema Nacional de Bienes Estatales. </w:t>
      </w:r>
    </w:p>
    <w:p w:rsidR="006312E8" w:rsidRPr="006312E8" w:rsidRDefault="006312E8" w:rsidP="006312E8">
      <w:pPr>
        <w:shd w:val="clear" w:color="auto" w:fill="FFFFFF"/>
        <w:spacing w:line="240" w:lineRule="auto"/>
        <w:ind w:left="1410" w:hanging="705"/>
        <w:jc w:val="both"/>
        <w:rPr>
          <w:rFonts w:ascii="Arial" w:hAnsi="Arial" w:cs="Arial"/>
          <w:color w:val="000000"/>
          <w:lang w:val="es-ES"/>
        </w:rPr>
      </w:pPr>
      <w:r w:rsidRPr="006312E8">
        <w:rPr>
          <w:rFonts w:ascii="Arial" w:hAnsi="Arial" w:cs="Arial"/>
          <w:color w:val="000000"/>
          <w:lang w:val="es-ES"/>
        </w:rPr>
        <w:t>41.2</w:t>
      </w:r>
      <w:r w:rsidRPr="006312E8">
        <w:rPr>
          <w:rFonts w:ascii="Arial" w:hAnsi="Arial" w:cs="Arial"/>
          <w:color w:val="000000"/>
          <w:lang w:val="es-ES"/>
        </w:rPr>
        <w:tab/>
      </w:r>
      <w:r w:rsidRPr="006312E8">
        <w:rPr>
          <w:rFonts w:ascii="Arial" w:hAnsi="Arial" w:cs="Arial"/>
          <w:color w:val="000000"/>
          <w:lang w:val="es-ES"/>
        </w:rPr>
        <w:tab/>
        <w:t>Con el objeto de cumplir las acciones referidas en el numeral anterior, otórguese la titularidad de dominio respecto de dichos predios o edificaciones de las entidades del Sistema Nacional de Bienes Estatales a favor del Estado representado por la SBN, con excepción de las entidades del sistema al que hace referencia los literales e), f) y g) de la Ley N° 29151. Los gobiernos regionales y locales podrán delegar a la SBN titularidad para realizar acciones de saneamiento sobre sus predios sin que ello implique transferencia de dominio.</w:t>
      </w:r>
    </w:p>
    <w:p w:rsidR="006312E8" w:rsidRPr="006312E8" w:rsidRDefault="006312E8" w:rsidP="006312E8">
      <w:pPr>
        <w:shd w:val="clear" w:color="auto" w:fill="FFFFFF"/>
        <w:spacing w:line="240" w:lineRule="auto"/>
        <w:ind w:left="1410" w:hanging="705"/>
        <w:jc w:val="both"/>
        <w:rPr>
          <w:rFonts w:ascii="Arial" w:hAnsi="Arial" w:cs="Arial"/>
          <w:color w:val="000000"/>
          <w:lang w:val="es-ES"/>
        </w:rPr>
      </w:pPr>
      <w:r w:rsidRPr="006312E8">
        <w:rPr>
          <w:rFonts w:ascii="Arial" w:hAnsi="Arial" w:cs="Arial"/>
          <w:color w:val="000000"/>
          <w:lang w:val="es-ES"/>
        </w:rPr>
        <w:t>41.3</w:t>
      </w:r>
      <w:r w:rsidRPr="006312E8">
        <w:rPr>
          <w:rFonts w:ascii="Arial" w:hAnsi="Arial" w:cs="Arial"/>
          <w:color w:val="000000"/>
          <w:lang w:val="es-ES"/>
        </w:rPr>
        <w:tab/>
      </w:r>
      <w:r w:rsidRPr="006312E8">
        <w:rPr>
          <w:rFonts w:ascii="Arial" w:hAnsi="Arial" w:cs="Arial"/>
          <w:color w:val="000000"/>
          <w:lang w:val="es-ES"/>
        </w:rPr>
        <w:tab/>
        <w:t xml:space="preserve">Para asumir dicha titularidad de dominio o efectuar la transferencia interestatal, la SBN no requiere de ningún tipo de autorización del titular de la entidad comprendida en el Sistema Nacional de Bienes Estatales, ni resulta de aplicación procedimientos o normas especiales que regulen los actos de disposición de predios por entidades públicas o sectores. </w:t>
      </w:r>
    </w:p>
    <w:p w:rsidR="006312E8" w:rsidRPr="006312E8" w:rsidRDefault="006312E8" w:rsidP="006312E8">
      <w:pPr>
        <w:spacing w:line="240" w:lineRule="auto"/>
        <w:ind w:left="1410" w:hanging="705"/>
        <w:jc w:val="both"/>
        <w:rPr>
          <w:rFonts w:ascii="Arial" w:hAnsi="Arial" w:cs="Arial"/>
          <w:color w:val="000000"/>
          <w:lang w:val="es-ES"/>
        </w:rPr>
      </w:pPr>
      <w:r w:rsidRPr="006312E8">
        <w:rPr>
          <w:rFonts w:ascii="Arial" w:hAnsi="Arial" w:cs="Arial"/>
          <w:color w:val="000000"/>
          <w:lang w:val="es-ES"/>
        </w:rPr>
        <w:t>41.4</w:t>
      </w:r>
      <w:r w:rsidRPr="006312E8">
        <w:rPr>
          <w:rFonts w:ascii="Arial" w:hAnsi="Arial" w:cs="Arial"/>
          <w:color w:val="000000"/>
          <w:lang w:val="es-ES"/>
        </w:rPr>
        <w:tab/>
      </w:r>
      <w:r w:rsidRPr="006312E8">
        <w:rPr>
          <w:rFonts w:ascii="Arial" w:hAnsi="Arial" w:cs="Arial"/>
          <w:color w:val="000000"/>
          <w:lang w:val="es-ES"/>
        </w:rPr>
        <w:tab/>
        <w:t xml:space="preserve">La inscripción de la titularidad de dominio en el Registro Público de Propiedad de Predios se hará por el mérito de la resolución expedida para dicho efecto por el área competente de la SBN.  </w:t>
      </w:r>
    </w:p>
    <w:p w:rsidR="006312E8" w:rsidRPr="006312E8" w:rsidRDefault="006312E8" w:rsidP="006312E8">
      <w:pPr>
        <w:spacing w:line="240" w:lineRule="auto"/>
        <w:ind w:left="1410" w:hanging="705"/>
        <w:jc w:val="both"/>
        <w:rPr>
          <w:rFonts w:ascii="Arial" w:hAnsi="Arial" w:cs="Arial"/>
          <w:color w:val="000000"/>
          <w:lang w:val="es-ES"/>
        </w:rPr>
      </w:pPr>
      <w:r w:rsidRPr="006312E8">
        <w:rPr>
          <w:rFonts w:ascii="Arial" w:hAnsi="Arial" w:cs="Arial"/>
          <w:color w:val="000000"/>
          <w:lang w:val="es-ES"/>
        </w:rPr>
        <w:t>41.5</w:t>
      </w:r>
      <w:r w:rsidRPr="006312E8">
        <w:rPr>
          <w:rFonts w:ascii="Arial" w:hAnsi="Arial" w:cs="Arial"/>
          <w:color w:val="000000"/>
          <w:lang w:val="es-ES"/>
        </w:rPr>
        <w:tab/>
      </w:r>
      <w:r w:rsidRPr="006312E8">
        <w:rPr>
          <w:rFonts w:ascii="Arial" w:hAnsi="Arial" w:cs="Arial"/>
          <w:color w:val="000000"/>
          <w:lang w:val="es-ES"/>
        </w:rPr>
        <w:tab/>
        <w:t xml:space="preserve">Dentro de los treinta (30) días calendarios siguientes de concluido el proceso de saneamiento, la SBN emitirá la resolución que permita transferir la titularidad de dominio del predio a la entidad que corresponda, conforme al Reglamento de la presente Ley. La inscripción de dicha titularidad en el Registro Público de Predios se hará por el mérito de la referida resolución. </w:t>
      </w:r>
    </w:p>
    <w:p w:rsidR="006312E8" w:rsidRPr="006312E8" w:rsidRDefault="006312E8" w:rsidP="006312E8">
      <w:pPr>
        <w:spacing w:after="0" w:line="240" w:lineRule="auto"/>
        <w:jc w:val="both"/>
        <w:rPr>
          <w:rFonts w:ascii="Arial" w:eastAsia="MS Mincho" w:hAnsi="Arial" w:cs="Arial"/>
          <w:b/>
          <w:lang w:val="es-ES"/>
        </w:rPr>
      </w:pPr>
      <w:r w:rsidRPr="006312E8">
        <w:rPr>
          <w:rFonts w:ascii="Arial" w:eastAsia="MS Mincho" w:hAnsi="Arial" w:cs="Arial"/>
          <w:b/>
          <w:lang w:val="es-ES"/>
        </w:rPr>
        <w:t xml:space="preserve">Artículo 42.- De la anotación preventiva </w:t>
      </w:r>
    </w:p>
    <w:p w:rsidR="006312E8" w:rsidRPr="006312E8" w:rsidRDefault="006312E8" w:rsidP="006312E8">
      <w:pPr>
        <w:spacing w:after="0" w:line="240" w:lineRule="auto"/>
        <w:jc w:val="both"/>
        <w:rPr>
          <w:rFonts w:ascii="Arial" w:eastAsia="MS Mincho" w:hAnsi="Arial" w:cs="Arial"/>
          <w:lang w:val="es-ES"/>
        </w:rPr>
      </w:pPr>
      <w:r w:rsidRPr="006312E8">
        <w:rPr>
          <w:rFonts w:ascii="Arial" w:eastAsia="MS Mincho" w:hAnsi="Arial" w:cs="Arial"/>
          <w:lang w:val="es-ES"/>
        </w:rPr>
        <w:t>Iniciado el procedimiento especial de saneamiento físico legal a que se refiere el presente subcapítulo, a solicitud de COFOPRI, SBN o del titular del proyecto de inversión, el registrador procederá a extender una anotación preventiva en las partidas involucradas en el proyecto publicitando el inicio de dicho procedimiento.</w:t>
      </w:r>
    </w:p>
    <w:p w:rsidR="006312E8" w:rsidRPr="006312E8" w:rsidRDefault="006312E8" w:rsidP="006312E8">
      <w:pPr>
        <w:spacing w:after="0" w:line="240" w:lineRule="auto"/>
        <w:jc w:val="both"/>
        <w:rPr>
          <w:rFonts w:ascii="Arial" w:eastAsia="MS Mincho" w:hAnsi="Arial" w:cs="Arial"/>
          <w:lang w:val="es-ES"/>
        </w:rPr>
      </w:pPr>
    </w:p>
    <w:p w:rsidR="006312E8" w:rsidRPr="006312E8" w:rsidRDefault="006312E8" w:rsidP="006312E8">
      <w:pPr>
        <w:spacing w:line="240" w:lineRule="auto"/>
        <w:jc w:val="both"/>
        <w:rPr>
          <w:rFonts w:ascii="Arial" w:hAnsi="Arial" w:cs="Arial"/>
          <w:color w:val="000000"/>
        </w:rPr>
      </w:pPr>
      <w:r w:rsidRPr="006312E8">
        <w:rPr>
          <w:rFonts w:ascii="Arial" w:hAnsi="Arial" w:cs="Arial"/>
          <w:color w:val="000000"/>
        </w:rPr>
        <w:t>Extendida la anotación preventiva a que se refiere el párrafo anterior, no podrá inscribirse ni anotarse ningún acto solicitado por otras entidades públicas. La anotación preventiva tendrá una vigencia de un (01) año, pudiendo prorrogarse por un año adicional.</w:t>
      </w:r>
    </w:p>
    <w:p w:rsidR="006312E8" w:rsidRPr="006312E8" w:rsidRDefault="006312E8" w:rsidP="006312E8">
      <w:pPr>
        <w:spacing w:line="240" w:lineRule="auto"/>
        <w:jc w:val="both"/>
        <w:rPr>
          <w:rFonts w:ascii="Arial" w:hAnsi="Arial" w:cs="Arial"/>
          <w:color w:val="000000"/>
        </w:rPr>
      </w:pPr>
      <w:r w:rsidRPr="006312E8">
        <w:rPr>
          <w:rFonts w:ascii="Arial" w:hAnsi="Arial" w:cs="Arial"/>
          <w:color w:val="000000"/>
        </w:rPr>
        <w:t>Cuando en el área involucrada en el proyecto se encuentran predios no inscritos el registrador procederá a abrir una partida registral provisional en la que se extenderá la anotación preventiva antes indicada.</w:t>
      </w:r>
    </w:p>
    <w:p w:rsidR="003679F2" w:rsidRDefault="003679F2" w:rsidP="006312E8">
      <w:pPr>
        <w:spacing w:after="0" w:line="240" w:lineRule="auto"/>
        <w:jc w:val="both"/>
        <w:rPr>
          <w:rFonts w:ascii="Arial" w:eastAsia="MS Mincho" w:hAnsi="Arial" w:cs="Arial"/>
          <w:b/>
          <w:lang w:val="es-ES"/>
        </w:rPr>
      </w:pPr>
    </w:p>
    <w:p w:rsidR="006312E8" w:rsidRPr="006312E8" w:rsidRDefault="006312E8" w:rsidP="006312E8">
      <w:pPr>
        <w:spacing w:after="0" w:line="240" w:lineRule="auto"/>
        <w:jc w:val="both"/>
        <w:rPr>
          <w:rFonts w:ascii="Arial" w:eastAsia="MS Mincho" w:hAnsi="Arial" w:cs="Arial"/>
          <w:b/>
          <w:lang w:val="es-ES"/>
        </w:rPr>
      </w:pPr>
      <w:r w:rsidRPr="006312E8">
        <w:rPr>
          <w:rFonts w:ascii="Arial" w:eastAsia="MS Mincho" w:hAnsi="Arial" w:cs="Arial"/>
          <w:b/>
          <w:lang w:val="es-ES"/>
        </w:rPr>
        <w:t>Artículo 43.- Costo de servicios</w:t>
      </w:r>
    </w:p>
    <w:p w:rsidR="006312E8" w:rsidRPr="006312E8" w:rsidRDefault="006312E8" w:rsidP="006312E8">
      <w:pPr>
        <w:spacing w:after="0" w:line="240" w:lineRule="auto"/>
        <w:jc w:val="both"/>
        <w:rPr>
          <w:rFonts w:ascii="Calibri" w:eastAsia="MS Mincho" w:hAnsi="Calibri" w:cs="Times New Roman"/>
          <w:lang w:val="es-ES"/>
        </w:rPr>
      </w:pPr>
      <w:r w:rsidRPr="006312E8">
        <w:rPr>
          <w:rFonts w:ascii="Arial" w:eastAsia="MS Mincho" w:hAnsi="Arial" w:cs="Arial"/>
          <w:lang w:val="es-ES"/>
        </w:rPr>
        <w:t>Las actuaciones a cargo de COFOPRI o SBN en los procedimientos especiales de saneamiento físico legal de predios a que se refiere el presente subcapítulo son asumidas por el s</w:t>
      </w:r>
      <w:r w:rsidRPr="006312E8">
        <w:rPr>
          <w:rFonts w:ascii="Calibri" w:eastAsia="MS Mincho" w:hAnsi="Calibri" w:cs="Times New Roman"/>
          <w:lang w:val="es-ES"/>
        </w:rPr>
        <w:t xml:space="preserve">olicitante. </w:t>
      </w:r>
    </w:p>
    <w:p w:rsidR="005A311B" w:rsidRDefault="005A311B" w:rsidP="006312E8">
      <w:pPr>
        <w:spacing w:line="240" w:lineRule="auto"/>
        <w:jc w:val="center"/>
        <w:rPr>
          <w:rFonts w:ascii="Arial" w:hAnsi="Arial" w:cs="Arial"/>
          <w:b/>
        </w:rPr>
      </w:pPr>
    </w:p>
    <w:p w:rsidR="006312E8" w:rsidRPr="006312E8" w:rsidRDefault="006312E8" w:rsidP="006312E8">
      <w:pPr>
        <w:spacing w:line="240" w:lineRule="auto"/>
        <w:jc w:val="center"/>
        <w:rPr>
          <w:rFonts w:ascii="Arial" w:hAnsi="Arial" w:cs="Arial"/>
          <w:b/>
        </w:rPr>
      </w:pPr>
      <w:r w:rsidRPr="006312E8">
        <w:rPr>
          <w:rFonts w:ascii="Arial" w:hAnsi="Arial" w:cs="Arial"/>
          <w:b/>
        </w:rPr>
        <w:t>CAPÍTULO III</w:t>
      </w:r>
    </w:p>
    <w:p w:rsidR="006312E8" w:rsidRPr="006312E8" w:rsidRDefault="006312E8" w:rsidP="006312E8">
      <w:pPr>
        <w:spacing w:line="240" w:lineRule="auto"/>
        <w:jc w:val="center"/>
        <w:rPr>
          <w:rFonts w:ascii="Arial" w:hAnsi="Arial" w:cs="Arial"/>
          <w:b/>
        </w:rPr>
      </w:pPr>
      <w:r w:rsidRPr="006312E8">
        <w:rPr>
          <w:rFonts w:ascii="Arial" w:hAnsi="Arial" w:cs="Arial"/>
          <w:b/>
        </w:rPr>
        <w:t>EFICIENCIA EN LA ADMINISTRACIÓN DE PREDIOS DEL ESTADO</w:t>
      </w:r>
    </w:p>
    <w:p w:rsidR="006312E8" w:rsidRPr="006312E8" w:rsidRDefault="006312E8" w:rsidP="006312E8">
      <w:pPr>
        <w:spacing w:line="240" w:lineRule="auto"/>
        <w:jc w:val="both"/>
        <w:rPr>
          <w:rFonts w:ascii="Arial" w:hAnsi="Arial" w:cs="Arial"/>
          <w:b/>
        </w:rPr>
      </w:pPr>
      <w:r w:rsidRPr="006312E8">
        <w:rPr>
          <w:rFonts w:ascii="Arial" w:hAnsi="Arial" w:cs="Arial"/>
          <w:b/>
          <w:u w:val="single"/>
        </w:rPr>
        <w:t>Artículo 56</w:t>
      </w:r>
      <w:r w:rsidRPr="006312E8">
        <w:rPr>
          <w:rFonts w:ascii="Arial" w:hAnsi="Arial" w:cs="Arial"/>
          <w:b/>
        </w:rPr>
        <w:t>.- Plazo para procedimientos administrativos y acceso a información cartográfica</w:t>
      </w:r>
    </w:p>
    <w:p w:rsidR="006312E8" w:rsidRPr="006312E8" w:rsidRDefault="006312E8" w:rsidP="006312E8">
      <w:pPr>
        <w:spacing w:line="240" w:lineRule="auto"/>
        <w:ind w:left="1416" w:hanging="708"/>
        <w:jc w:val="both"/>
        <w:rPr>
          <w:rFonts w:ascii="Arial" w:hAnsi="Arial" w:cs="Arial"/>
          <w:color w:val="000000"/>
          <w:lang w:val="es-ES"/>
        </w:rPr>
      </w:pPr>
      <w:r w:rsidRPr="006312E8">
        <w:rPr>
          <w:rFonts w:ascii="Arial" w:hAnsi="Arial" w:cs="Arial"/>
          <w:color w:val="000000"/>
          <w:lang w:val="es-ES"/>
        </w:rPr>
        <w:t>56.1</w:t>
      </w:r>
      <w:r w:rsidRPr="006312E8">
        <w:rPr>
          <w:rFonts w:ascii="Arial" w:hAnsi="Arial" w:cs="Arial"/>
          <w:color w:val="000000"/>
          <w:lang w:val="es-ES"/>
        </w:rPr>
        <w:tab/>
        <w:t>Los procedimientos administrativos que requiera la SBN sobre los predios estatales ante los Gobiernos Locales, serán atendidos en un plazo máximo de siete (07) días hábiles, bajo responsabilidad.</w:t>
      </w:r>
    </w:p>
    <w:p w:rsidR="006312E8" w:rsidRPr="006312E8" w:rsidRDefault="006312E8" w:rsidP="006312E8">
      <w:pPr>
        <w:spacing w:line="240" w:lineRule="auto"/>
        <w:ind w:left="1416" w:hanging="708"/>
        <w:jc w:val="both"/>
        <w:rPr>
          <w:rFonts w:ascii="Arial" w:hAnsi="Arial" w:cs="Arial"/>
          <w:color w:val="000000"/>
          <w:lang w:val="es-ES"/>
        </w:rPr>
      </w:pPr>
      <w:r w:rsidRPr="006312E8">
        <w:rPr>
          <w:rFonts w:ascii="Arial" w:hAnsi="Arial" w:cs="Arial"/>
          <w:color w:val="000000"/>
          <w:lang w:val="es-ES"/>
        </w:rPr>
        <w:t>56.2</w:t>
      </w:r>
      <w:r w:rsidRPr="006312E8">
        <w:rPr>
          <w:rFonts w:ascii="Arial" w:hAnsi="Arial" w:cs="Arial"/>
          <w:color w:val="000000"/>
          <w:lang w:val="es-ES"/>
        </w:rPr>
        <w:tab/>
        <w:t>El plazo indicado en el numeral precedente es aplicable también a las solicitudes que la SBN realice a entidades públicas que en ejercicio de sus funciones generan o almacenan información cartográfica básica y catastral de propiedad y otros derechos, bajo responsabilidad del titular del pliego. Dicha información debe ser entregada en formato digital.</w:t>
      </w:r>
    </w:p>
    <w:p w:rsidR="006312E8" w:rsidRPr="006312E8" w:rsidRDefault="006312E8" w:rsidP="006312E8">
      <w:pPr>
        <w:spacing w:line="240" w:lineRule="auto"/>
        <w:jc w:val="both"/>
        <w:rPr>
          <w:rFonts w:ascii="Arial" w:hAnsi="Arial" w:cs="Arial"/>
          <w:b/>
        </w:rPr>
      </w:pPr>
      <w:r w:rsidRPr="006312E8">
        <w:rPr>
          <w:rFonts w:ascii="Arial" w:hAnsi="Arial" w:cs="Arial"/>
          <w:b/>
          <w:u w:val="single"/>
        </w:rPr>
        <w:t>Artículo 57</w:t>
      </w:r>
      <w:r w:rsidRPr="006312E8">
        <w:rPr>
          <w:rFonts w:ascii="Arial" w:hAnsi="Arial" w:cs="Arial"/>
          <w:b/>
        </w:rPr>
        <w:t>.- Modificación de la Ley Nº 29151, Ley General del Sistema Nacional de Bienes Estatales.</w:t>
      </w:r>
    </w:p>
    <w:p w:rsidR="006312E8" w:rsidRPr="006312E8" w:rsidRDefault="006312E8" w:rsidP="006312E8">
      <w:pPr>
        <w:spacing w:line="240" w:lineRule="auto"/>
        <w:ind w:firstLine="708"/>
        <w:jc w:val="both"/>
        <w:rPr>
          <w:rFonts w:ascii="Arial" w:hAnsi="Arial" w:cs="Arial"/>
          <w:color w:val="000000"/>
          <w:lang w:val="es-ES"/>
        </w:rPr>
      </w:pPr>
      <w:r w:rsidRPr="006312E8">
        <w:rPr>
          <w:rFonts w:ascii="Arial" w:hAnsi="Arial" w:cs="Arial"/>
          <w:color w:val="000000"/>
          <w:lang w:val="es-ES"/>
        </w:rPr>
        <w:t xml:space="preserve">Modifícanse el artículo 18, el artículo 25 y la Segunda Disposición Complementaria de la Ley Nº 29151, Ley General del Sistema Nacional de Bienes Estatales, los cuales quedan redactados con los textos siguientes: </w:t>
      </w:r>
    </w:p>
    <w:p w:rsidR="006312E8" w:rsidRPr="006312E8" w:rsidRDefault="006312E8" w:rsidP="006312E8">
      <w:pPr>
        <w:spacing w:after="0" w:line="240" w:lineRule="auto"/>
        <w:ind w:firstLine="708"/>
        <w:jc w:val="center"/>
        <w:rPr>
          <w:rFonts w:ascii="Arial" w:eastAsia="Calibri" w:hAnsi="Arial" w:cs="Arial"/>
          <w:i/>
          <w:color w:val="000000"/>
          <w:lang w:val="es-ES" w:eastAsia="es-ES"/>
        </w:rPr>
      </w:pPr>
      <w:r w:rsidRPr="006312E8">
        <w:rPr>
          <w:rFonts w:ascii="Arial" w:eastAsia="MS Mincho" w:hAnsi="Arial" w:cs="Arial"/>
          <w:lang w:val="es-ES"/>
        </w:rPr>
        <w:t>(…)</w:t>
      </w:r>
    </w:p>
    <w:p w:rsidR="006312E8" w:rsidRPr="006312E8" w:rsidRDefault="006312E8" w:rsidP="006312E8">
      <w:pPr>
        <w:spacing w:after="0" w:line="240" w:lineRule="auto"/>
        <w:jc w:val="both"/>
        <w:rPr>
          <w:rFonts w:ascii="Arial" w:eastAsia="MS Mincho" w:hAnsi="Arial" w:cs="Arial"/>
          <w:lang w:val="es-ES"/>
        </w:rPr>
      </w:pPr>
    </w:p>
    <w:p w:rsidR="006312E8" w:rsidRPr="006312E8" w:rsidRDefault="006312E8" w:rsidP="006312E8">
      <w:pPr>
        <w:spacing w:after="0" w:line="240" w:lineRule="auto"/>
        <w:jc w:val="both"/>
        <w:rPr>
          <w:rFonts w:ascii="Arial" w:eastAsia="MS Mincho" w:hAnsi="Arial" w:cs="Arial"/>
          <w:lang w:val="es-ES"/>
        </w:rPr>
      </w:pPr>
      <w:r w:rsidRPr="006312E8">
        <w:rPr>
          <w:rFonts w:ascii="Arial" w:eastAsia="MS Mincho" w:hAnsi="Arial" w:cs="Arial"/>
          <w:b/>
          <w:u w:val="single"/>
          <w:lang w:val="es-ES"/>
        </w:rPr>
        <w:t>Artículo 58</w:t>
      </w:r>
      <w:r w:rsidRPr="006312E8">
        <w:rPr>
          <w:rFonts w:ascii="Arial" w:eastAsia="MS Mincho" w:hAnsi="Arial" w:cs="Arial"/>
          <w:b/>
          <w:lang w:val="es-ES"/>
        </w:rPr>
        <w:t>.- Incorporación del literal l) a</w:t>
      </w:r>
      <w:r w:rsidRPr="006312E8">
        <w:rPr>
          <w:rFonts w:ascii="Arial" w:eastAsia="MS Mincho" w:hAnsi="Arial" w:cs="Arial"/>
          <w:b/>
          <w:color w:val="000000"/>
          <w:lang w:val="es-ES"/>
        </w:rPr>
        <w:t xml:space="preserve">l numeral 14.1 del artículo 14, del artículo 19-A y del </w:t>
      </w:r>
      <w:r w:rsidRPr="006312E8">
        <w:rPr>
          <w:rFonts w:ascii="Arial" w:eastAsia="MS Mincho" w:hAnsi="Arial" w:cs="Arial"/>
          <w:b/>
          <w:lang w:val="es-ES"/>
        </w:rPr>
        <w:t>artículo 26 a la Ley N° 29151, Ley General del Sistema Nacional de Bienes Estatales</w:t>
      </w:r>
      <w:r w:rsidRPr="006312E8">
        <w:rPr>
          <w:rFonts w:ascii="Arial" w:eastAsia="MS Mincho" w:hAnsi="Arial" w:cs="Arial"/>
          <w:lang w:val="es-ES"/>
        </w:rPr>
        <w:t xml:space="preserve"> </w:t>
      </w:r>
    </w:p>
    <w:p w:rsidR="006312E8" w:rsidRPr="006312E8" w:rsidRDefault="006312E8" w:rsidP="006312E8">
      <w:pPr>
        <w:spacing w:after="0" w:line="240" w:lineRule="auto"/>
        <w:jc w:val="both"/>
        <w:rPr>
          <w:rFonts w:ascii="Arial" w:eastAsia="Calibri" w:hAnsi="Arial" w:cs="Arial"/>
          <w:color w:val="000000"/>
          <w:lang w:val="es-ES" w:eastAsia="es-ES"/>
        </w:rPr>
      </w:pPr>
      <w:r w:rsidRPr="006312E8">
        <w:rPr>
          <w:rFonts w:ascii="Arial" w:eastAsia="Calibri" w:hAnsi="Arial" w:cs="Arial"/>
          <w:color w:val="000000"/>
          <w:lang w:val="es-ES" w:eastAsia="es-ES"/>
        </w:rPr>
        <w:t>Incorpóranse el literal l) del numeral 14.1 del artículo 14, el artículo 19-A y el artículo 26 a la Ley N° 29151, en los términos siguientes:</w:t>
      </w:r>
    </w:p>
    <w:p w:rsidR="006312E8" w:rsidRPr="006312E8" w:rsidRDefault="006312E8" w:rsidP="006312E8">
      <w:pPr>
        <w:spacing w:after="0" w:line="240" w:lineRule="auto"/>
        <w:rPr>
          <w:rFonts w:ascii="Arial" w:eastAsia="Calibri" w:hAnsi="Arial" w:cs="Arial"/>
          <w:color w:val="000000"/>
          <w:lang w:val="es-ES" w:eastAsia="es-ES"/>
        </w:rPr>
      </w:pPr>
    </w:p>
    <w:p w:rsidR="006312E8" w:rsidRPr="006312E8" w:rsidRDefault="006312E8" w:rsidP="006312E8">
      <w:pPr>
        <w:spacing w:after="0" w:line="240" w:lineRule="auto"/>
        <w:jc w:val="center"/>
        <w:rPr>
          <w:rFonts w:ascii="Arial" w:hAnsi="Arial" w:cs="Arial"/>
          <w:color w:val="000000"/>
        </w:rPr>
      </w:pPr>
      <w:r w:rsidRPr="006312E8">
        <w:rPr>
          <w:rFonts w:ascii="Arial" w:hAnsi="Arial" w:cs="Arial"/>
          <w:color w:val="000000"/>
        </w:rPr>
        <w:t xml:space="preserve"> (…)</w:t>
      </w:r>
    </w:p>
    <w:p w:rsidR="006312E8" w:rsidRPr="006312E8" w:rsidRDefault="006312E8" w:rsidP="006312E8">
      <w:pPr>
        <w:spacing w:after="0" w:line="240" w:lineRule="auto"/>
        <w:jc w:val="both"/>
        <w:rPr>
          <w:rFonts w:ascii="Arial" w:hAnsi="Arial" w:cs="Arial"/>
          <w:color w:val="000000"/>
        </w:rPr>
      </w:pPr>
    </w:p>
    <w:p w:rsidR="006312E8" w:rsidRPr="006312E8" w:rsidRDefault="006312E8" w:rsidP="006312E8">
      <w:pPr>
        <w:spacing w:after="0" w:line="240" w:lineRule="auto"/>
        <w:jc w:val="center"/>
        <w:rPr>
          <w:rFonts w:ascii="Arial" w:hAnsi="Arial" w:cs="Arial"/>
          <w:b/>
          <w:color w:val="000000"/>
          <w:sz w:val="24"/>
        </w:rPr>
      </w:pPr>
      <w:r w:rsidRPr="006312E8">
        <w:rPr>
          <w:rFonts w:ascii="Arial" w:hAnsi="Arial" w:cs="Arial"/>
          <w:b/>
          <w:color w:val="000000"/>
          <w:sz w:val="24"/>
        </w:rPr>
        <w:t>CAPÍTULO VII</w:t>
      </w:r>
    </w:p>
    <w:p w:rsidR="006312E8" w:rsidRPr="006312E8" w:rsidRDefault="006312E8" w:rsidP="006312E8">
      <w:pPr>
        <w:spacing w:after="0" w:line="240" w:lineRule="auto"/>
        <w:jc w:val="center"/>
        <w:rPr>
          <w:rFonts w:ascii="Arial" w:hAnsi="Arial" w:cs="Arial"/>
          <w:b/>
          <w:color w:val="000000"/>
          <w:sz w:val="24"/>
        </w:rPr>
      </w:pPr>
      <w:r w:rsidRPr="006312E8">
        <w:rPr>
          <w:rFonts w:ascii="Arial" w:hAnsi="Arial" w:cs="Arial"/>
          <w:b/>
          <w:color w:val="000000"/>
          <w:sz w:val="24"/>
        </w:rPr>
        <w:t>DISPOSICIONES PARA LA RECUPERACIÓN EXTRAJUDICIAL DE LA PROPIEDAD ESTATAL</w:t>
      </w:r>
    </w:p>
    <w:p w:rsidR="006312E8" w:rsidRPr="006312E8" w:rsidRDefault="006312E8" w:rsidP="006312E8">
      <w:pPr>
        <w:spacing w:after="0" w:line="240" w:lineRule="auto"/>
        <w:jc w:val="both"/>
        <w:rPr>
          <w:rFonts w:ascii="Arial" w:hAnsi="Arial" w:cs="Arial"/>
          <w:color w:val="000000"/>
        </w:rPr>
      </w:pPr>
    </w:p>
    <w:p w:rsidR="006312E8" w:rsidRPr="006312E8" w:rsidRDefault="006312E8" w:rsidP="006312E8">
      <w:pPr>
        <w:spacing w:after="0" w:line="240" w:lineRule="auto"/>
        <w:jc w:val="both"/>
        <w:rPr>
          <w:rFonts w:ascii="Arial" w:hAnsi="Arial" w:cs="Arial"/>
          <w:b/>
          <w:color w:val="000000"/>
        </w:rPr>
      </w:pPr>
      <w:r w:rsidRPr="006312E8">
        <w:rPr>
          <w:rFonts w:ascii="Arial" w:hAnsi="Arial" w:cs="Arial"/>
          <w:b/>
          <w:color w:val="000000"/>
          <w:u w:val="single"/>
        </w:rPr>
        <w:t>Artículo 65</w:t>
      </w:r>
      <w:r w:rsidRPr="006312E8">
        <w:rPr>
          <w:rFonts w:ascii="Arial" w:hAnsi="Arial" w:cs="Arial"/>
          <w:b/>
          <w:color w:val="000000"/>
        </w:rPr>
        <w:t xml:space="preserve">.- Recuperación extrajudicial de predios de propiedad estatal </w:t>
      </w:r>
    </w:p>
    <w:p w:rsidR="006312E8" w:rsidRPr="006312E8" w:rsidRDefault="006312E8" w:rsidP="006312E8">
      <w:pPr>
        <w:spacing w:after="0" w:line="240" w:lineRule="auto"/>
        <w:jc w:val="both"/>
        <w:rPr>
          <w:rFonts w:ascii="Arial" w:hAnsi="Arial" w:cs="Arial"/>
          <w:color w:val="000000"/>
        </w:rPr>
      </w:pPr>
      <w:r w:rsidRPr="006312E8">
        <w:rPr>
          <w:rFonts w:ascii="Arial" w:hAnsi="Arial" w:cs="Arial"/>
          <w:color w:val="000000"/>
        </w:rPr>
        <w:t>Las entidades del Gobierno Nacional, Gobiernos Regionales o Gobiernos Locales, a través de sus Procuradurías Públicas o quienes hagan sus veces, deben repeler todo tipo de invasiones u ocupaciones ilegales que se realicen en los predios bajo su competencia, administración o de su propiedad, inscritos o no en el Registro de Predios</w:t>
      </w:r>
      <w:r w:rsidRPr="006312E8">
        <w:rPr>
          <w:rFonts w:ascii="Arial" w:hAnsi="Arial" w:cs="Arial"/>
          <w:iCs/>
          <w:color w:val="000000"/>
        </w:rPr>
        <w:t xml:space="preserve"> o en el Sistema de Información Nacional de Bienes Estatales - SINABIP;</w:t>
      </w:r>
      <w:r w:rsidRPr="006312E8">
        <w:rPr>
          <w:rFonts w:ascii="Arial" w:hAnsi="Arial" w:cs="Arial"/>
          <w:color w:val="000000"/>
        </w:rPr>
        <w:t xml:space="preserve">  y recuperar extrajudicialmente el predio, cuando tengan conocimiento de dichas invasiones u ocupaciones, para lo cual </w:t>
      </w:r>
      <w:r w:rsidRPr="006312E8">
        <w:rPr>
          <w:rFonts w:ascii="Arial" w:hAnsi="Arial" w:cs="Arial"/>
          <w:iCs/>
          <w:color w:val="000000"/>
        </w:rPr>
        <w:t>requerirán el auxilio de la Policía Nacional del Perú</w:t>
      </w:r>
      <w:r w:rsidRPr="006312E8">
        <w:rPr>
          <w:rFonts w:ascii="Arial" w:hAnsi="Arial" w:cs="Arial"/>
          <w:color w:val="000000"/>
        </w:rPr>
        <w:t>.</w:t>
      </w:r>
    </w:p>
    <w:p w:rsidR="006312E8" w:rsidRPr="006312E8" w:rsidRDefault="006312E8" w:rsidP="006312E8">
      <w:pPr>
        <w:spacing w:after="0" w:line="240" w:lineRule="auto"/>
        <w:ind w:firstLine="426"/>
        <w:jc w:val="both"/>
        <w:rPr>
          <w:rFonts w:ascii="Arial" w:hAnsi="Arial" w:cs="Arial"/>
          <w:iCs/>
          <w:color w:val="000000"/>
        </w:rPr>
      </w:pPr>
    </w:p>
    <w:p w:rsidR="006312E8" w:rsidRPr="006312E8" w:rsidRDefault="006312E8" w:rsidP="006312E8">
      <w:pPr>
        <w:spacing w:after="0" w:line="240" w:lineRule="auto"/>
        <w:jc w:val="both"/>
        <w:rPr>
          <w:rFonts w:ascii="Arial" w:hAnsi="Arial" w:cs="Arial"/>
          <w:iCs/>
          <w:color w:val="000000"/>
        </w:rPr>
      </w:pPr>
      <w:r w:rsidRPr="006312E8">
        <w:rPr>
          <w:rFonts w:ascii="Arial" w:hAnsi="Arial" w:cs="Arial"/>
          <w:iCs/>
          <w:color w:val="000000"/>
        </w:rPr>
        <w:t>Si los organismos estatales omiten ejercer la recuperación extrajudicial, la Superintendencia Nacional de Bienes Estatales - SBN, en su condición de ente Rector del Sistema Nacional de Bienes Estatales -SNBE, requerirá al Titular del organismo para que inicie, bajo responsabilidad, la recuperación dentro del término de cinco (5) días hábiles de notificado el requerimiento. Vencido este plazo y verificada la inacción, la Procuraduría Pública de la SBN iniciará o continuará las acciones de recuperación extrajudicial.</w:t>
      </w:r>
    </w:p>
    <w:p w:rsidR="006312E8" w:rsidRPr="006312E8" w:rsidRDefault="006312E8" w:rsidP="006312E8">
      <w:pPr>
        <w:spacing w:after="0" w:line="240" w:lineRule="auto"/>
        <w:ind w:firstLine="426"/>
        <w:jc w:val="both"/>
        <w:rPr>
          <w:rFonts w:ascii="Arial" w:hAnsi="Arial" w:cs="Arial"/>
          <w:iCs/>
          <w:color w:val="000000"/>
        </w:rPr>
      </w:pPr>
    </w:p>
    <w:p w:rsidR="006312E8" w:rsidRPr="006312E8" w:rsidRDefault="006312E8" w:rsidP="006312E8">
      <w:pPr>
        <w:spacing w:after="0" w:line="240" w:lineRule="auto"/>
        <w:jc w:val="both"/>
        <w:rPr>
          <w:rFonts w:ascii="Arial" w:hAnsi="Arial" w:cs="Arial"/>
          <w:iCs/>
          <w:color w:val="000000"/>
        </w:rPr>
      </w:pPr>
      <w:r w:rsidRPr="006312E8">
        <w:rPr>
          <w:rFonts w:ascii="Arial" w:hAnsi="Arial" w:cs="Arial"/>
          <w:iCs/>
          <w:color w:val="000000"/>
        </w:rPr>
        <w:t>No procede la aplicación de los mecanismos de defensa posesoria establecidos en los artículos 920º y 921º del Código Civil a favor de los invasores u ocupantes ilegales de predios bajo competencia, administración o propiedad del Gobierno Nacional, Gobiernos Regionales o Gobiernos Locales; toda controversia sobre los supuestos derechos de quienes se consideren afectados con la recuperación extrajudicial, se tramitarán en la vía judicial y con posterioridad a la misma.</w:t>
      </w:r>
    </w:p>
    <w:p w:rsidR="006312E8" w:rsidRPr="006312E8" w:rsidRDefault="006312E8" w:rsidP="006312E8">
      <w:pPr>
        <w:spacing w:after="0" w:line="240" w:lineRule="auto"/>
        <w:ind w:firstLine="426"/>
        <w:jc w:val="both"/>
        <w:rPr>
          <w:rFonts w:ascii="Arial" w:hAnsi="Arial" w:cs="Arial"/>
          <w:iCs/>
          <w:color w:val="000000"/>
        </w:rPr>
      </w:pPr>
    </w:p>
    <w:p w:rsidR="006312E8" w:rsidRPr="006312E8" w:rsidRDefault="006312E8" w:rsidP="006312E8">
      <w:pPr>
        <w:spacing w:after="0" w:line="240" w:lineRule="auto"/>
        <w:jc w:val="both"/>
        <w:rPr>
          <w:rFonts w:ascii="Arial" w:hAnsi="Arial" w:cs="Arial"/>
          <w:iCs/>
          <w:color w:val="000000"/>
        </w:rPr>
      </w:pPr>
      <w:r w:rsidRPr="006312E8">
        <w:rPr>
          <w:rFonts w:ascii="Arial" w:hAnsi="Arial" w:cs="Arial"/>
          <w:iCs/>
          <w:color w:val="000000"/>
        </w:rPr>
        <w:t>La recuperación extrajudicial no exonera de responsabilidad civil y/o penal a quienes ocuparon de manera ilegal los predios de propiedad estatal.</w:t>
      </w:r>
    </w:p>
    <w:p w:rsidR="006312E8" w:rsidRPr="006312E8" w:rsidRDefault="006312E8" w:rsidP="006312E8">
      <w:pPr>
        <w:spacing w:after="0" w:line="240" w:lineRule="auto"/>
        <w:ind w:firstLine="426"/>
        <w:jc w:val="both"/>
        <w:rPr>
          <w:rFonts w:ascii="Arial" w:hAnsi="Arial" w:cs="Arial"/>
          <w:b/>
        </w:rPr>
      </w:pPr>
    </w:p>
    <w:p w:rsidR="006312E8" w:rsidRPr="006312E8" w:rsidRDefault="006312E8" w:rsidP="006312E8">
      <w:pPr>
        <w:spacing w:after="0" w:line="240" w:lineRule="auto"/>
        <w:jc w:val="both"/>
        <w:rPr>
          <w:rFonts w:ascii="Arial" w:hAnsi="Arial" w:cs="Arial"/>
        </w:rPr>
      </w:pPr>
      <w:r w:rsidRPr="006312E8">
        <w:rPr>
          <w:rFonts w:ascii="Arial" w:hAnsi="Arial" w:cs="Arial"/>
          <w:b/>
          <w:u w:val="single"/>
        </w:rPr>
        <w:t>Artículo 66</w:t>
      </w:r>
      <w:r w:rsidRPr="006312E8">
        <w:rPr>
          <w:rFonts w:ascii="Arial" w:hAnsi="Arial" w:cs="Arial"/>
          <w:b/>
        </w:rPr>
        <w:t xml:space="preserve">.- </w:t>
      </w:r>
      <w:r w:rsidRPr="006312E8">
        <w:rPr>
          <w:rFonts w:ascii="Arial" w:hAnsi="Arial" w:cs="Arial"/>
          <w:b/>
          <w:iCs/>
        </w:rPr>
        <w:t xml:space="preserve">Requerimiento del auxilio de la Policía Nacional del Perú. </w:t>
      </w:r>
    </w:p>
    <w:p w:rsidR="006312E8" w:rsidRPr="006312E8" w:rsidRDefault="006312E8" w:rsidP="006312E8">
      <w:pPr>
        <w:spacing w:after="0" w:line="240" w:lineRule="auto"/>
        <w:ind w:firstLine="426"/>
        <w:jc w:val="both"/>
        <w:rPr>
          <w:rFonts w:ascii="Arial" w:hAnsi="Arial" w:cs="Arial"/>
          <w:iCs/>
          <w:color w:val="000000"/>
        </w:rPr>
      </w:pPr>
    </w:p>
    <w:p w:rsidR="006312E8" w:rsidRPr="006312E8" w:rsidRDefault="006312E8" w:rsidP="006312E8">
      <w:pPr>
        <w:spacing w:after="0" w:line="240" w:lineRule="auto"/>
        <w:jc w:val="both"/>
        <w:rPr>
          <w:rFonts w:ascii="Arial" w:hAnsi="Arial" w:cs="Arial"/>
          <w:iCs/>
          <w:color w:val="000000"/>
        </w:rPr>
      </w:pPr>
      <w:r w:rsidRPr="006312E8">
        <w:rPr>
          <w:rFonts w:ascii="Arial" w:hAnsi="Arial" w:cs="Arial"/>
          <w:iCs/>
          <w:color w:val="000000"/>
        </w:rPr>
        <w:t>El</w:t>
      </w:r>
      <w:r w:rsidRPr="006312E8">
        <w:rPr>
          <w:rFonts w:ascii="Arial" w:hAnsi="Arial" w:cs="Arial"/>
          <w:b/>
          <w:iCs/>
          <w:color w:val="000000"/>
        </w:rPr>
        <w:t xml:space="preserve"> </w:t>
      </w:r>
      <w:r w:rsidRPr="006312E8">
        <w:rPr>
          <w:rFonts w:ascii="Arial" w:hAnsi="Arial" w:cs="Arial"/>
          <w:iCs/>
          <w:color w:val="000000"/>
        </w:rPr>
        <w:t xml:space="preserve">requerimiento del auxilio de la Policía Nacional del Perú a que se refiere el artículo anterior, deberá formularse mediante una solicitud suscrita por el Procurador Público o quien haga sus veces del organismo requirente, acreditando la propiedad, competencia o administración del organismo estatal sobre el predio objeto de recuperación; adjuntando el plano perimétrico – ubicación, la partida registral del predio o el Certificado Negativo de Búsqueda Catastral cuando el predio estatal no se encuentre inscrito y señalando expresamente que los ocupantes carecen de título. </w:t>
      </w:r>
    </w:p>
    <w:p w:rsidR="006312E8" w:rsidRPr="006312E8" w:rsidRDefault="006312E8" w:rsidP="006312E8">
      <w:pPr>
        <w:spacing w:after="0" w:line="240" w:lineRule="auto"/>
        <w:ind w:firstLine="426"/>
        <w:jc w:val="both"/>
        <w:rPr>
          <w:rFonts w:ascii="Arial" w:hAnsi="Arial" w:cs="Arial"/>
          <w:iCs/>
          <w:color w:val="000000"/>
        </w:rPr>
      </w:pPr>
    </w:p>
    <w:p w:rsidR="006312E8" w:rsidRPr="006312E8" w:rsidRDefault="006312E8" w:rsidP="006312E8">
      <w:pPr>
        <w:spacing w:after="0" w:line="240" w:lineRule="auto"/>
        <w:jc w:val="both"/>
        <w:rPr>
          <w:rFonts w:ascii="Arial" w:hAnsi="Arial" w:cs="Arial"/>
          <w:iCs/>
          <w:color w:val="000000"/>
        </w:rPr>
      </w:pPr>
      <w:r w:rsidRPr="006312E8">
        <w:rPr>
          <w:rFonts w:ascii="Arial" w:hAnsi="Arial" w:cs="Arial"/>
          <w:iCs/>
          <w:color w:val="000000"/>
        </w:rPr>
        <w:t>En caso el predio a recuperar se encuentre inscrito en más de una partida registral del Registro de Predios, para que la solicitud sea atendida por la</w:t>
      </w:r>
      <w:r w:rsidRPr="006312E8">
        <w:rPr>
          <w:rFonts w:ascii="Arial" w:hAnsi="Arial" w:cs="Arial"/>
          <w:b/>
          <w:iCs/>
          <w:color w:val="000000"/>
        </w:rPr>
        <w:t xml:space="preserve"> </w:t>
      </w:r>
      <w:r w:rsidRPr="006312E8">
        <w:rPr>
          <w:rFonts w:ascii="Arial" w:hAnsi="Arial" w:cs="Arial"/>
          <w:iCs/>
          <w:color w:val="000000"/>
        </w:rPr>
        <w:t>Policía Nacional del Perú, cuando menos deberá constar inscrito el derecho de propiedad del organismo requirente en una de dichas partidas. Si la duplicidad registral involucra a más de un organismo estatal, el requerimiento de auxilio lo formulará quien primero haya inscrito su derecho de propiedad sobre el predio.</w:t>
      </w:r>
    </w:p>
    <w:p w:rsidR="006312E8" w:rsidRPr="006312E8" w:rsidRDefault="006312E8" w:rsidP="006312E8">
      <w:pPr>
        <w:spacing w:after="0" w:line="240" w:lineRule="auto"/>
        <w:ind w:firstLine="426"/>
        <w:jc w:val="both"/>
        <w:rPr>
          <w:rFonts w:ascii="Arial" w:hAnsi="Arial" w:cs="Arial"/>
          <w:iCs/>
        </w:rPr>
      </w:pPr>
    </w:p>
    <w:p w:rsidR="006312E8" w:rsidRPr="006312E8" w:rsidRDefault="006312E8" w:rsidP="006312E8">
      <w:pPr>
        <w:spacing w:after="0" w:line="240" w:lineRule="auto"/>
        <w:jc w:val="both"/>
        <w:rPr>
          <w:rFonts w:ascii="Arial" w:hAnsi="Arial" w:cs="Arial"/>
          <w:iCs/>
        </w:rPr>
      </w:pPr>
      <w:r w:rsidRPr="006312E8">
        <w:rPr>
          <w:rFonts w:ascii="Arial" w:hAnsi="Arial" w:cs="Arial"/>
          <w:iCs/>
        </w:rPr>
        <w:t>La Policía Nacional del Perú verificará la solicitud y documentación presentada y deberá prestar el auxilio requerido, bajo responsabilidad, dentro del plazo máximo de cinco (5) días calendarios.</w:t>
      </w:r>
    </w:p>
    <w:p w:rsidR="006312E8" w:rsidRPr="006312E8" w:rsidRDefault="006312E8" w:rsidP="006312E8">
      <w:pPr>
        <w:spacing w:after="0" w:line="240" w:lineRule="auto"/>
        <w:ind w:firstLine="426"/>
        <w:jc w:val="both"/>
        <w:rPr>
          <w:rFonts w:ascii="Arial" w:hAnsi="Arial" w:cs="Arial"/>
          <w:iCs/>
        </w:rPr>
      </w:pPr>
    </w:p>
    <w:p w:rsidR="006312E8" w:rsidRPr="006312E8" w:rsidRDefault="006312E8" w:rsidP="006312E8">
      <w:pPr>
        <w:spacing w:after="0" w:line="240" w:lineRule="auto"/>
        <w:jc w:val="both"/>
        <w:rPr>
          <w:rFonts w:ascii="Arial" w:hAnsi="Arial" w:cs="Arial"/>
          <w:iCs/>
        </w:rPr>
      </w:pPr>
      <w:r w:rsidRPr="006312E8">
        <w:rPr>
          <w:rFonts w:ascii="Arial" w:hAnsi="Arial" w:cs="Arial"/>
          <w:iCs/>
        </w:rPr>
        <w:t>Si en los predios objeto de recuperación extrajudicial se hubieren realizado instalaciones temporales informales, el organismo público solicitante, con el auxilio de la Policía Nacional del Perú, se encuentra facultado para removerlas.</w:t>
      </w:r>
    </w:p>
    <w:p w:rsidR="006312E8" w:rsidRPr="006312E8" w:rsidRDefault="006312E8" w:rsidP="006312E8">
      <w:pPr>
        <w:spacing w:after="0" w:line="240" w:lineRule="auto"/>
        <w:jc w:val="center"/>
        <w:rPr>
          <w:rFonts w:ascii="Arial" w:hAnsi="Arial" w:cs="Arial"/>
          <w:b/>
          <w:iCs/>
        </w:rPr>
      </w:pPr>
      <w:r w:rsidRPr="006312E8">
        <w:rPr>
          <w:rFonts w:ascii="Arial" w:hAnsi="Arial" w:cs="Arial"/>
          <w:b/>
          <w:iCs/>
        </w:rPr>
        <w:t>(…)</w:t>
      </w:r>
    </w:p>
    <w:p w:rsidR="006312E8" w:rsidRPr="006312E8" w:rsidRDefault="006312E8" w:rsidP="006312E8">
      <w:pPr>
        <w:spacing w:after="0" w:line="240" w:lineRule="auto"/>
        <w:jc w:val="center"/>
        <w:rPr>
          <w:rFonts w:ascii="Arial" w:hAnsi="Arial" w:cs="Arial"/>
          <w:b/>
          <w:iCs/>
        </w:rPr>
      </w:pPr>
    </w:p>
    <w:p w:rsidR="006312E8" w:rsidRPr="006312E8" w:rsidRDefault="006312E8" w:rsidP="006312E8">
      <w:pPr>
        <w:spacing w:after="0" w:line="240" w:lineRule="auto"/>
        <w:jc w:val="center"/>
        <w:rPr>
          <w:rFonts w:ascii="Arial" w:hAnsi="Arial" w:cs="Arial"/>
          <w:b/>
          <w:iCs/>
        </w:rPr>
      </w:pPr>
      <w:r w:rsidRPr="006312E8">
        <w:rPr>
          <w:rFonts w:ascii="Arial" w:hAnsi="Arial" w:cs="Arial"/>
          <w:b/>
          <w:iCs/>
        </w:rPr>
        <w:t xml:space="preserve">DISPOSICIONES COMPLEMENTARIAS FINALES </w:t>
      </w:r>
    </w:p>
    <w:p w:rsidR="006312E8" w:rsidRPr="006312E8" w:rsidRDefault="006312E8" w:rsidP="006312E8">
      <w:pPr>
        <w:spacing w:after="0" w:line="240" w:lineRule="auto"/>
        <w:jc w:val="both"/>
        <w:rPr>
          <w:rFonts w:ascii="Arial" w:hAnsi="Arial" w:cs="Arial"/>
          <w:iCs/>
        </w:rPr>
      </w:pPr>
    </w:p>
    <w:p w:rsidR="006312E8" w:rsidRPr="006312E8" w:rsidRDefault="006312E8" w:rsidP="006312E8">
      <w:pPr>
        <w:spacing w:after="0" w:line="240" w:lineRule="auto"/>
        <w:jc w:val="both"/>
        <w:rPr>
          <w:rFonts w:ascii="Arial" w:hAnsi="Arial" w:cs="Arial"/>
          <w:b/>
          <w:iCs/>
        </w:rPr>
      </w:pPr>
      <w:r w:rsidRPr="006312E8">
        <w:rPr>
          <w:rFonts w:ascii="Arial" w:hAnsi="Arial" w:cs="Arial"/>
          <w:b/>
          <w:iCs/>
        </w:rPr>
        <w:t>DÉCIMA.- Exoneración de derechos registrales</w:t>
      </w:r>
    </w:p>
    <w:p w:rsidR="006312E8" w:rsidRPr="006312E8" w:rsidRDefault="006312E8" w:rsidP="006312E8">
      <w:pPr>
        <w:spacing w:after="0" w:line="240" w:lineRule="auto"/>
        <w:jc w:val="both"/>
        <w:rPr>
          <w:rFonts w:ascii="Arial" w:hAnsi="Arial" w:cs="Arial"/>
          <w:iCs/>
        </w:rPr>
      </w:pPr>
      <w:r w:rsidRPr="006312E8">
        <w:rPr>
          <w:rFonts w:ascii="Arial" w:hAnsi="Arial" w:cs="Arial"/>
          <w:iCs/>
        </w:rPr>
        <w:t>El reglamento de lo dispuesto en el Capítulo I del Título III de la presente Ley dispondrá las causales y condiciones de exoneración de derechos registrales de la SUNARP respecto de búsquedas, expedición de certificados, inscripciones en registro sobre los predios o edificaciones correspondientes a proyectos de inversión pública.</w:t>
      </w:r>
    </w:p>
    <w:p w:rsidR="006312E8" w:rsidRPr="006312E8" w:rsidRDefault="006312E8" w:rsidP="006312E8">
      <w:pPr>
        <w:spacing w:after="0" w:line="240" w:lineRule="auto"/>
        <w:ind w:firstLine="426"/>
        <w:jc w:val="both"/>
        <w:rPr>
          <w:rFonts w:ascii="Arial" w:hAnsi="Arial" w:cs="Arial"/>
          <w:iCs/>
        </w:rPr>
      </w:pPr>
    </w:p>
    <w:p w:rsidR="006312E8" w:rsidRPr="006312E8" w:rsidRDefault="006312E8" w:rsidP="006312E8">
      <w:pPr>
        <w:spacing w:after="0" w:line="240" w:lineRule="auto"/>
        <w:jc w:val="both"/>
        <w:rPr>
          <w:rFonts w:ascii="Arial" w:hAnsi="Arial" w:cs="Arial"/>
          <w:b/>
          <w:iCs/>
        </w:rPr>
      </w:pPr>
      <w:r w:rsidRPr="006312E8">
        <w:rPr>
          <w:rFonts w:ascii="Arial" w:hAnsi="Arial" w:cs="Arial"/>
          <w:b/>
          <w:iCs/>
        </w:rPr>
        <w:t xml:space="preserve">DÉCIMA PRIMERA.- Facultad de verificadores catastrales </w:t>
      </w:r>
    </w:p>
    <w:p w:rsidR="006312E8" w:rsidRPr="006312E8" w:rsidRDefault="006312E8" w:rsidP="006312E8">
      <w:pPr>
        <w:spacing w:after="0" w:line="240" w:lineRule="auto"/>
        <w:jc w:val="both"/>
        <w:rPr>
          <w:rFonts w:ascii="Arial" w:hAnsi="Arial" w:cs="Arial"/>
          <w:iCs/>
        </w:rPr>
      </w:pPr>
      <w:r w:rsidRPr="006312E8">
        <w:rPr>
          <w:rFonts w:ascii="Arial" w:hAnsi="Arial" w:cs="Arial"/>
          <w:iCs/>
        </w:rPr>
        <w:t>Facúltase a los verificadores catastrales inscritos en el Índice de Verificadores Catastrales de la SUNARP a que se refiere el reglamento de la Ley Nº 28294 a ejecutar las acciones previstas en el subcapítulo II del Capítulo I del Título III de la presente Ley.</w:t>
      </w:r>
    </w:p>
    <w:p w:rsidR="006312E8" w:rsidRPr="006312E8" w:rsidRDefault="006312E8" w:rsidP="006312E8">
      <w:pPr>
        <w:spacing w:after="0" w:line="240" w:lineRule="auto"/>
        <w:ind w:firstLine="426"/>
        <w:jc w:val="both"/>
        <w:rPr>
          <w:rFonts w:ascii="Arial" w:hAnsi="Arial" w:cs="Arial"/>
          <w:iCs/>
        </w:rPr>
      </w:pPr>
    </w:p>
    <w:p w:rsidR="006312E8" w:rsidRPr="006312E8" w:rsidRDefault="006312E8" w:rsidP="006312E8">
      <w:pPr>
        <w:spacing w:after="0" w:line="240" w:lineRule="auto"/>
        <w:jc w:val="both"/>
        <w:rPr>
          <w:rFonts w:ascii="Arial" w:hAnsi="Arial" w:cs="Arial"/>
          <w:b/>
          <w:iCs/>
        </w:rPr>
      </w:pPr>
      <w:r w:rsidRPr="006312E8">
        <w:rPr>
          <w:rFonts w:ascii="Arial" w:hAnsi="Arial" w:cs="Arial"/>
          <w:b/>
          <w:iCs/>
        </w:rPr>
        <w:t xml:space="preserve">DÉCIMA SEGUNDA.- Calificación registral </w:t>
      </w:r>
    </w:p>
    <w:p w:rsidR="006312E8" w:rsidRPr="006312E8" w:rsidRDefault="006312E8" w:rsidP="006312E8">
      <w:pPr>
        <w:spacing w:after="0" w:line="240" w:lineRule="auto"/>
        <w:jc w:val="both"/>
        <w:rPr>
          <w:rFonts w:ascii="Arial" w:hAnsi="Arial" w:cs="Arial"/>
          <w:iCs/>
        </w:rPr>
      </w:pPr>
      <w:r w:rsidRPr="006312E8">
        <w:rPr>
          <w:rFonts w:ascii="Arial" w:hAnsi="Arial" w:cs="Arial"/>
          <w:iCs/>
        </w:rPr>
        <w:t>En el marco de la calificación registral el Registrador y el Tribunal Registral propiciarán y facilitarán las inscripciones de los títulos ingresados al Registro al amparo de lo regulado por el Capítulo I del Título III de la presente ley, no siendo responsables por las inscripciones efectuadas en estricto cumplimiento de lo previsto en los artículos 32º y 33º del Reglamento General de los Registros Públicos.</w:t>
      </w:r>
    </w:p>
    <w:p w:rsidR="006312E8" w:rsidRPr="006312E8" w:rsidRDefault="006312E8" w:rsidP="006312E8">
      <w:pPr>
        <w:spacing w:after="0" w:line="240" w:lineRule="auto"/>
        <w:ind w:firstLine="426"/>
        <w:jc w:val="both"/>
        <w:rPr>
          <w:rFonts w:ascii="Arial" w:hAnsi="Arial" w:cs="Arial"/>
          <w:iCs/>
        </w:rPr>
      </w:pPr>
    </w:p>
    <w:p w:rsidR="006312E8" w:rsidRPr="006312E8" w:rsidRDefault="006312E8" w:rsidP="006312E8">
      <w:pPr>
        <w:spacing w:after="0" w:line="240" w:lineRule="auto"/>
        <w:jc w:val="both"/>
        <w:rPr>
          <w:rFonts w:ascii="Arial" w:hAnsi="Arial" w:cs="Arial"/>
          <w:b/>
          <w:iCs/>
        </w:rPr>
      </w:pPr>
      <w:r w:rsidRPr="006312E8">
        <w:rPr>
          <w:rFonts w:ascii="Arial" w:hAnsi="Arial" w:cs="Arial"/>
          <w:b/>
          <w:iCs/>
        </w:rPr>
        <w:t xml:space="preserve">DÉCIMA TERCERA.- Ejercicio de facultades de COFOPRI </w:t>
      </w:r>
    </w:p>
    <w:p w:rsidR="006312E8" w:rsidRPr="006312E8" w:rsidRDefault="006312E8" w:rsidP="006312E8">
      <w:pPr>
        <w:spacing w:after="0" w:line="240" w:lineRule="auto"/>
        <w:jc w:val="both"/>
        <w:rPr>
          <w:rFonts w:ascii="Arial" w:hAnsi="Arial" w:cs="Arial"/>
          <w:iCs/>
        </w:rPr>
      </w:pPr>
      <w:r w:rsidRPr="006312E8">
        <w:rPr>
          <w:rFonts w:ascii="Arial" w:hAnsi="Arial" w:cs="Arial"/>
          <w:iCs/>
        </w:rPr>
        <w:t>Para el ejercicio de las facultades establecidas en el Subcapítulo I del Capítulo I del Título III de la presente Ley, COFOPRI podrá ejercer supletoriamente todas las facultades reguladas en las normas que establecen sus competencias y atribuciones.</w:t>
      </w:r>
    </w:p>
    <w:p w:rsidR="006312E8" w:rsidRPr="006312E8" w:rsidRDefault="006312E8" w:rsidP="006312E8">
      <w:pPr>
        <w:spacing w:after="0" w:line="240" w:lineRule="auto"/>
        <w:ind w:firstLine="426"/>
        <w:jc w:val="both"/>
        <w:rPr>
          <w:rFonts w:ascii="Arial" w:hAnsi="Arial" w:cs="Arial"/>
          <w:iCs/>
        </w:rPr>
      </w:pPr>
    </w:p>
    <w:p w:rsidR="006312E8" w:rsidRPr="006312E8" w:rsidRDefault="006312E8" w:rsidP="006312E8">
      <w:pPr>
        <w:spacing w:after="0" w:line="240" w:lineRule="auto"/>
        <w:ind w:firstLine="426"/>
        <w:jc w:val="center"/>
        <w:rPr>
          <w:rFonts w:ascii="Arial" w:hAnsi="Arial" w:cs="Arial"/>
          <w:b/>
          <w:iCs/>
        </w:rPr>
      </w:pPr>
      <w:r w:rsidRPr="006312E8">
        <w:rPr>
          <w:rFonts w:ascii="Arial" w:hAnsi="Arial" w:cs="Arial"/>
          <w:b/>
          <w:iCs/>
        </w:rPr>
        <w:t>(...)</w:t>
      </w:r>
    </w:p>
    <w:p w:rsidR="006312E8" w:rsidRPr="006312E8" w:rsidRDefault="006312E8" w:rsidP="006312E8">
      <w:pPr>
        <w:spacing w:after="0" w:line="240" w:lineRule="auto"/>
        <w:ind w:firstLine="426"/>
        <w:jc w:val="both"/>
        <w:rPr>
          <w:rFonts w:ascii="Arial" w:hAnsi="Arial" w:cs="Arial"/>
          <w:b/>
          <w:iCs/>
        </w:rPr>
      </w:pPr>
    </w:p>
    <w:p w:rsidR="006312E8" w:rsidRPr="006312E8" w:rsidRDefault="006312E8" w:rsidP="006312E8">
      <w:pPr>
        <w:spacing w:after="0" w:line="240" w:lineRule="auto"/>
        <w:jc w:val="both"/>
        <w:rPr>
          <w:rFonts w:ascii="Arial" w:hAnsi="Arial" w:cs="Arial"/>
          <w:b/>
          <w:iCs/>
        </w:rPr>
      </w:pPr>
      <w:r w:rsidRPr="006312E8">
        <w:rPr>
          <w:rFonts w:ascii="Arial" w:hAnsi="Arial" w:cs="Arial"/>
          <w:b/>
          <w:iCs/>
        </w:rPr>
        <w:t xml:space="preserve">DÉCIMA SÉTIMA.- Procesos civiles o constitucionales en trámite sobre predios estatales </w:t>
      </w:r>
    </w:p>
    <w:p w:rsidR="006312E8" w:rsidRPr="006312E8" w:rsidRDefault="006312E8" w:rsidP="006312E8">
      <w:pPr>
        <w:spacing w:after="0" w:line="240" w:lineRule="auto"/>
        <w:jc w:val="both"/>
        <w:rPr>
          <w:rFonts w:ascii="Arial" w:hAnsi="Arial" w:cs="Arial"/>
          <w:iCs/>
        </w:rPr>
      </w:pPr>
      <w:r w:rsidRPr="006312E8">
        <w:rPr>
          <w:rFonts w:ascii="Arial" w:hAnsi="Arial" w:cs="Arial"/>
          <w:iCs/>
        </w:rPr>
        <w:t>Facúltase al Titular y a los Procuradores del organismo público para conciliar o transigir en procesos civiles o constitucionales en trámite conforme a los requisitos y procedimientos dispuestos por el Decreto Legislativo 1068, Ley del Sistema de Defensa Jurídica del Estado, en los casos que el particular, demandado o demandante, reconozca que el Estado es propietario del predio e inicie el procedimiento para su adquisición de conformidad con las disposiciones previstas en Ley 29151, Ley General del Sistema Nacional de Bienes Estatales y su reglamento.</w:t>
      </w:r>
    </w:p>
    <w:p w:rsidR="006312E8" w:rsidRPr="006312E8" w:rsidRDefault="006312E8" w:rsidP="006312E8">
      <w:pPr>
        <w:spacing w:after="0" w:line="240" w:lineRule="auto"/>
        <w:ind w:firstLine="426"/>
        <w:jc w:val="both"/>
        <w:rPr>
          <w:rFonts w:ascii="Arial" w:hAnsi="Arial" w:cs="Arial"/>
          <w:iCs/>
        </w:rPr>
      </w:pPr>
    </w:p>
    <w:p w:rsidR="006312E8" w:rsidRPr="006312E8" w:rsidRDefault="006312E8" w:rsidP="006312E8">
      <w:pPr>
        <w:spacing w:after="0" w:line="240" w:lineRule="auto"/>
        <w:jc w:val="center"/>
        <w:rPr>
          <w:rFonts w:ascii="Arial" w:hAnsi="Arial" w:cs="Arial"/>
          <w:b/>
          <w:iCs/>
        </w:rPr>
      </w:pPr>
      <w:r w:rsidRPr="006312E8">
        <w:rPr>
          <w:rFonts w:ascii="Arial" w:hAnsi="Arial" w:cs="Arial"/>
          <w:b/>
          <w:iCs/>
        </w:rPr>
        <w:t>(…)</w:t>
      </w:r>
    </w:p>
    <w:p w:rsidR="006312E8" w:rsidRPr="006312E8" w:rsidRDefault="006312E8" w:rsidP="006312E8">
      <w:pPr>
        <w:spacing w:after="0" w:line="240" w:lineRule="auto"/>
        <w:jc w:val="center"/>
        <w:rPr>
          <w:rFonts w:ascii="Arial" w:hAnsi="Arial" w:cs="Arial"/>
          <w:b/>
          <w:iCs/>
        </w:rPr>
      </w:pPr>
    </w:p>
    <w:p w:rsidR="006312E8" w:rsidRPr="00004DBE" w:rsidRDefault="006312E8" w:rsidP="006312E8">
      <w:pPr>
        <w:spacing w:after="0" w:line="240" w:lineRule="auto"/>
        <w:jc w:val="center"/>
        <w:rPr>
          <w:rFonts w:ascii="Arial" w:hAnsi="Arial" w:cs="Arial"/>
          <w:b/>
          <w:iCs/>
        </w:rPr>
      </w:pPr>
      <w:r w:rsidRPr="00004DBE">
        <w:rPr>
          <w:rFonts w:ascii="Arial" w:hAnsi="Arial" w:cs="Arial"/>
          <w:b/>
          <w:iCs/>
        </w:rPr>
        <w:t xml:space="preserve">DISPOSICIONES COMPLEMENTARIAS TRANSITORIAS </w:t>
      </w:r>
    </w:p>
    <w:p w:rsidR="006312E8" w:rsidRPr="006312E8" w:rsidRDefault="006312E8" w:rsidP="006312E8">
      <w:pPr>
        <w:spacing w:after="0" w:line="240" w:lineRule="auto"/>
        <w:jc w:val="both"/>
        <w:rPr>
          <w:rFonts w:ascii="Arial" w:hAnsi="Arial" w:cs="Arial"/>
          <w:iCs/>
        </w:rPr>
      </w:pPr>
    </w:p>
    <w:p w:rsidR="006312E8" w:rsidRPr="006312E8" w:rsidRDefault="006312E8" w:rsidP="006312E8">
      <w:pPr>
        <w:spacing w:after="0" w:line="240" w:lineRule="auto"/>
        <w:jc w:val="both"/>
        <w:rPr>
          <w:rFonts w:ascii="Arial" w:hAnsi="Arial" w:cs="Arial"/>
          <w:b/>
          <w:iCs/>
        </w:rPr>
      </w:pPr>
      <w:r w:rsidRPr="006312E8">
        <w:rPr>
          <w:rFonts w:ascii="Arial" w:hAnsi="Arial" w:cs="Arial"/>
          <w:b/>
          <w:iCs/>
        </w:rPr>
        <w:t xml:space="preserve">SEXTA.- reglamentación de procedimientos especiales de saneamiento físico legal </w:t>
      </w:r>
    </w:p>
    <w:p w:rsidR="006312E8" w:rsidRPr="006312E8" w:rsidRDefault="006312E8" w:rsidP="006312E8">
      <w:pPr>
        <w:spacing w:line="240" w:lineRule="auto"/>
        <w:jc w:val="both"/>
        <w:rPr>
          <w:rFonts w:ascii="Arial" w:hAnsi="Arial" w:cs="Arial"/>
          <w:iCs/>
        </w:rPr>
      </w:pPr>
      <w:r w:rsidRPr="006312E8">
        <w:rPr>
          <w:rFonts w:ascii="Arial" w:hAnsi="Arial" w:cs="Arial"/>
          <w:iCs/>
        </w:rPr>
        <w:t>En un plazo que no excederá los noventa (90) días calendarios posteriores a partir de la vigencia de la presente Ley, se aprobará el Reglamento de las disposiciones de los Capítulos I, II y II  del Título III de la presente Ley, refrendado por el Presidente del Consejo de Ministros, Ministerio de Vivienda, Construcción y Saneamiento, Ministerio de Transportes y Comunicaciones y Ministerio de Justicia y Derechos Humanos. El reglamento incluirá los procedimientos especiales de saneamiento físico legal a cargo de COFOPRI.</w:t>
      </w:r>
    </w:p>
    <w:p w:rsidR="006312E8" w:rsidRPr="006312E8" w:rsidRDefault="006312E8" w:rsidP="006312E8">
      <w:pPr>
        <w:spacing w:line="240" w:lineRule="auto"/>
        <w:jc w:val="both"/>
        <w:rPr>
          <w:rFonts w:ascii="Arial" w:hAnsi="Arial" w:cs="Arial"/>
          <w:iCs/>
        </w:rPr>
      </w:pPr>
      <w:r w:rsidRPr="006312E8">
        <w:rPr>
          <w:rFonts w:ascii="Arial" w:hAnsi="Arial" w:cs="Arial"/>
          <w:iCs/>
        </w:rPr>
        <w:t>El reglamento será elaborado con la participación de COFOPRI, SBN, SUNARP, PROVIAS Nacional.</w:t>
      </w:r>
    </w:p>
    <w:p w:rsidR="006312E8" w:rsidRPr="006312E8" w:rsidRDefault="006312E8" w:rsidP="006312E8">
      <w:pPr>
        <w:spacing w:after="0" w:line="240" w:lineRule="auto"/>
        <w:ind w:firstLine="426"/>
        <w:jc w:val="both"/>
        <w:rPr>
          <w:rFonts w:ascii="Arial" w:hAnsi="Arial" w:cs="Arial"/>
          <w:iCs/>
        </w:rPr>
      </w:pPr>
    </w:p>
    <w:p w:rsidR="006312E8" w:rsidRPr="006312E8" w:rsidRDefault="006312E8" w:rsidP="006312E8">
      <w:pPr>
        <w:spacing w:after="0" w:line="240" w:lineRule="auto"/>
        <w:jc w:val="both"/>
        <w:rPr>
          <w:rFonts w:ascii="Arial" w:hAnsi="Arial" w:cs="Arial"/>
          <w:b/>
          <w:iCs/>
        </w:rPr>
      </w:pPr>
      <w:r w:rsidRPr="006312E8">
        <w:rPr>
          <w:rFonts w:ascii="Arial" w:hAnsi="Arial" w:cs="Arial"/>
          <w:b/>
          <w:iCs/>
        </w:rPr>
        <w:t xml:space="preserve">SÉTIMA.- Modificación de documentos de gestión de la SBN </w:t>
      </w:r>
    </w:p>
    <w:p w:rsidR="006312E8" w:rsidRPr="006312E8" w:rsidRDefault="006312E8" w:rsidP="006312E8">
      <w:pPr>
        <w:spacing w:line="240" w:lineRule="auto"/>
        <w:jc w:val="both"/>
        <w:rPr>
          <w:rFonts w:ascii="Arial" w:hAnsi="Arial" w:cs="Arial"/>
          <w:iCs/>
        </w:rPr>
      </w:pPr>
      <w:r w:rsidRPr="006312E8">
        <w:rPr>
          <w:rFonts w:ascii="Arial" w:hAnsi="Arial" w:cs="Arial"/>
          <w:iCs/>
        </w:rPr>
        <w:t>En un plazo que no excederá los noventa (90) días calendarios contados a partir de la vigencia de las disposiciones de los Capítulos I, II y II del Título III de la presente Ley, la SBN efectúa la modificación de sus documentos de gestión.</w:t>
      </w:r>
    </w:p>
    <w:p w:rsidR="006312E8" w:rsidRPr="006312E8" w:rsidRDefault="006312E8" w:rsidP="006312E8">
      <w:pPr>
        <w:spacing w:after="0" w:line="240" w:lineRule="auto"/>
        <w:jc w:val="center"/>
        <w:rPr>
          <w:rFonts w:ascii="Arial" w:hAnsi="Arial" w:cs="Arial"/>
          <w:b/>
          <w:iCs/>
        </w:rPr>
      </w:pPr>
      <w:r w:rsidRPr="006312E8">
        <w:rPr>
          <w:rFonts w:ascii="Arial" w:hAnsi="Arial" w:cs="Arial"/>
          <w:b/>
          <w:iCs/>
        </w:rPr>
        <w:t>(…)</w:t>
      </w:r>
    </w:p>
    <w:p w:rsidR="006312E8" w:rsidRPr="006312E8" w:rsidRDefault="006312E8" w:rsidP="006312E8">
      <w:pPr>
        <w:spacing w:after="0" w:line="240" w:lineRule="auto"/>
        <w:ind w:firstLine="426"/>
        <w:jc w:val="both"/>
        <w:rPr>
          <w:rFonts w:ascii="Arial" w:hAnsi="Arial" w:cs="Arial"/>
          <w:iCs/>
        </w:rPr>
      </w:pPr>
    </w:p>
    <w:p w:rsidR="006312E8" w:rsidRPr="00004DBE" w:rsidRDefault="006312E8" w:rsidP="006312E8">
      <w:pPr>
        <w:spacing w:after="0" w:line="240" w:lineRule="auto"/>
        <w:jc w:val="center"/>
        <w:rPr>
          <w:rFonts w:ascii="Arial" w:hAnsi="Arial" w:cs="Arial"/>
          <w:b/>
          <w:iCs/>
        </w:rPr>
      </w:pPr>
      <w:r w:rsidRPr="00004DBE">
        <w:rPr>
          <w:rFonts w:ascii="Arial" w:hAnsi="Arial" w:cs="Arial"/>
          <w:b/>
          <w:iCs/>
        </w:rPr>
        <w:t xml:space="preserve">DISPOSICIONES COMPLEMENTARIAS DEROGATORIAS </w:t>
      </w:r>
    </w:p>
    <w:p w:rsidR="006312E8" w:rsidRPr="006312E8" w:rsidRDefault="006312E8" w:rsidP="006312E8">
      <w:pPr>
        <w:spacing w:after="0" w:line="240" w:lineRule="auto"/>
        <w:jc w:val="both"/>
        <w:rPr>
          <w:rFonts w:ascii="Arial" w:hAnsi="Arial" w:cs="Arial"/>
          <w:iCs/>
          <w:sz w:val="24"/>
          <w:szCs w:val="24"/>
        </w:rPr>
      </w:pPr>
    </w:p>
    <w:p w:rsidR="006312E8" w:rsidRPr="006312E8" w:rsidRDefault="006312E8" w:rsidP="006312E8">
      <w:pPr>
        <w:spacing w:after="0" w:line="240" w:lineRule="auto"/>
        <w:jc w:val="both"/>
        <w:rPr>
          <w:rFonts w:ascii="Arial" w:hAnsi="Arial" w:cs="Arial"/>
          <w:iCs/>
        </w:rPr>
      </w:pPr>
      <w:r w:rsidRPr="006312E8">
        <w:rPr>
          <w:rFonts w:ascii="Arial" w:hAnsi="Arial" w:cs="Arial"/>
          <w:b/>
          <w:iCs/>
        </w:rPr>
        <w:t>PRIMERA.-</w:t>
      </w:r>
      <w:r w:rsidRPr="006312E8">
        <w:rPr>
          <w:rFonts w:ascii="Arial" w:hAnsi="Arial" w:cs="Arial"/>
          <w:iCs/>
        </w:rPr>
        <w:t xml:space="preserve"> Deróganse el artículo 2 del Decreto de Urgencia 071-2001 y la primera disposición complementaria de la Ley 27333, Ley Complementaria a la Ley 26662, Ley de Asuntos No Contenciosos de Competencia Notarial para la Regularización de Edificaciones.</w:t>
      </w:r>
    </w:p>
    <w:p w:rsidR="006312E8" w:rsidRPr="006312E8" w:rsidRDefault="006312E8" w:rsidP="006312E8">
      <w:pPr>
        <w:spacing w:after="0" w:line="240" w:lineRule="auto"/>
        <w:ind w:firstLine="426"/>
        <w:jc w:val="both"/>
        <w:rPr>
          <w:rFonts w:ascii="Arial" w:hAnsi="Arial" w:cs="Arial"/>
          <w:iCs/>
        </w:rPr>
      </w:pPr>
    </w:p>
    <w:p w:rsidR="006312E8" w:rsidRPr="006312E8" w:rsidRDefault="006312E8" w:rsidP="006312E8">
      <w:pPr>
        <w:spacing w:after="0" w:line="240" w:lineRule="auto"/>
        <w:jc w:val="center"/>
        <w:rPr>
          <w:rFonts w:ascii="Arial" w:hAnsi="Arial" w:cs="Arial"/>
          <w:b/>
          <w:iCs/>
        </w:rPr>
      </w:pPr>
      <w:r w:rsidRPr="006312E8">
        <w:rPr>
          <w:rFonts w:ascii="Arial" w:hAnsi="Arial" w:cs="Arial"/>
          <w:b/>
          <w:iCs/>
        </w:rPr>
        <w:t>(…)</w:t>
      </w:r>
    </w:p>
    <w:p w:rsidR="006312E8" w:rsidRPr="006312E8" w:rsidRDefault="006312E8" w:rsidP="006312E8">
      <w:pPr>
        <w:spacing w:after="0" w:line="240" w:lineRule="auto"/>
        <w:jc w:val="both"/>
        <w:rPr>
          <w:rFonts w:ascii="Arial" w:eastAsia="Calibri" w:hAnsi="Arial" w:cs="Arial"/>
          <w:lang w:val="es-ES"/>
        </w:rPr>
      </w:pPr>
    </w:p>
    <w:p w:rsidR="006312E8" w:rsidRDefault="006312E8" w:rsidP="006312E8">
      <w:pPr>
        <w:spacing w:after="0" w:line="240" w:lineRule="auto"/>
        <w:jc w:val="both"/>
        <w:rPr>
          <w:rFonts w:ascii="Arial" w:eastAsia="Calibri" w:hAnsi="Arial" w:cs="Arial"/>
          <w:lang w:val="es-ES"/>
        </w:rPr>
      </w:pPr>
    </w:p>
    <w:p w:rsidR="00B91CE2" w:rsidRDefault="00B91CE2" w:rsidP="006312E8">
      <w:pPr>
        <w:spacing w:after="0" w:line="240" w:lineRule="auto"/>
        <w:jc w:val="both"/>
        <w:rPr>
          <w:rFonts w:ascii="Arial" w:eastAsia="Calibri" w:hAnsi="Arial" w:cs="Arial"/>
          <w:lang w:val="es-ES"/>
        </w:rPr>
      </w:pPr>
    </w:p>
    <w:p w:rsidR="00B91CE2" w:rsidRDefault="00B91CE2" w:rsidP="006312E8">
      <w:pPr>
        <w:spacing w:after="0" w:line="240" w:lineRule="auto"/>
        <w:jc w:val="both"/>
        <w:rPr>
          <w:rFonts w:ascii="Arial" w:eastAsia="Calibri" w:hAnsi="Arial" w:cs="Arial"/>
          <w:lang w:val="es-ES"/>
        </w:rPr>
      </w:pPr>
    </w:p>
    <w:p w:rsidR="00B91CE2" w:rsidRDefault="00B91CE2" w:rsidP="006312E8">
      <w:pPr>
        <w:spacing w:after="0" w:line="240" w:lineRule="auto"/>
        <w:jc w:val="both"/>
        <w:rPr>
          <w:rFonts w:ascii="Arial" w:eastAsia="Calibri" w:hAnsi="Arial" w:cs="Arial"/>
          <w:lang w:val="es-ES"/>
        </w:rPr>
      </w:pPr>
    </w:p>
    <w:p w:rsidR="00B91CE2" w:rsidRDefault="00B91CE2" w:rsidP="006312E8">
      <w:pPr>
        <w:spacing w:after="0" w:line="240" w:lineRule="auto"/>
        <w:jc w:val="both"/>
        <w:rPr>
          <w:rFonts w:ascii="Arial" w:eastAsia="Calibri" w:hAnsi="Arial" w:cs="Arial"/>
          <w:lang w:val="es-ES"/>
        </w:rPr>
      </w:pPr>
    </w:p>
    <w:p w:rsidR="00B91CE2" w:rsidRDefault="00B91CE2" w:rsidP="006312E8">
      <w:pPr>
        <w:spacing w:after="0" w:line="240" w:lineRule="auto"/>
        <w:jc w:val="both"/>
        <w:rPr>
          <w:rFonts w:ascii="Arial" w:eastAsia="Calibri" w:hAnsi="Arial" w:cs="Arial"/>
          <w:lang w:val="es-ES"/>
        </w:rPr>
      </w:pPr>
    </w:p>
    <w:p w:rsidR="00B91CE2" w:rsidRDefault="00B91CE2" w:rsidP="006312E8">
      <w:pPr>
        <w:spacing w:after="0" w:line="240" w:lineRule="auto"/>
        <w:jc w:val="both"/>
        <w:rPr>
          <w:rFonts w:ascii="Arial" w:eastAsia="Calibri" w:hAnsi="Arial" w:cs="Arial"/>
          <w:lang w:val="es-ES"/>
        </w:rPr>
      </w:pPr>
    </w:p>
    <w:p w:rsidR="00B91CE2" w:rsidRDefault="00B91CE2" w:rsidP="006312E8">
      <w:pPr>
        <w:spacing w:after="0" w:line="240" w:lineRule="auto"/>
        <w:jc w:val="both"/>
        <w:rPr>
          <w:rFonts w:ascii="Arial" w:eastAsia="Calibri" w:hAnsi="Arial" w:cs="Arial"/>
          <w:lang w:val="es-ES"/>
        </w:rPr>
      </w:pPr>
    </w:p>
    <w:p w:rsidR="00B91CE2" w:rsidRDefault="004660BB" w:rsidP="004660BB">
      <w:pPr>
        <w:pStyle w:val="TITO2"/>
      </w:pPr>
      <w:bookmarkStart w:id="195" w:name="_Toc470855519"/>
      <w:r>
        <w:t>DECRETO SUPREMO N° 019-2015-VIVIENDA</w:t>
      </w:r>
      <w:bookmarkEnd w:id="195"/>
    </w:p>
    <w:p w:rsidR="004660BB" w:rsidRPr="004660BB" w:rsidRDefault="004660BB" w:rsidP="004660BB">
      <w:pPr>
        <w:pStyle w:val="TITO2"/>
        <w:rPr>
          <w:sz w:val="24"/>
          <w:szCs w:val="24"/>
        </w:rPr>
      </w:pPr>
      <w:bookmarkStart w:id="196" w:name="_Toc439666740"/>
      <w:bookmarkStart w:id="197" w:name="_Toc470855520"/>
      <w:r w:rsidRPr="004660BB">
        <w:rPr>
          <w:sz w:val="24"/>
          <w:szCs w:val="24"/>
        </w:rPr>
        <w:t>(Extracto)</w:t>
      </w:r>
      <w:bookmarkEnd w:id="196"/>
      <w:bookmarkEnd w:id="197"/>
    </w:p>
    <w:p w:rsidR="004660BB" w:rsidRDefault="004660BB" w:rsidP="00B91CE2">
      <w:pPr>
        <w:spacing w:after="0" w:line="240" w:lineRule="auto"/>
        <w:jc w:val="center"/>
        <w:rPr>
          <w:rFonts w:ascii="Arial" w:eastAsia="Calibri" w:hAnsi="Arial" w:cs="Arial"/>
          <w:lang w:val="es-ES"/>
        </w:rPr>
      </w:pPr>
    </w:p>
    <w:p w:rsidR="004660BB" w:rsidRPr="006312E8" w:rsidRDefault="004660BB" w:rsidP="00B91CE2">
      <w:pPr>
        <w:spacing w:after="0" w:line="240" w:lineRule="auto"/>
        <w:jc w:val="center"/>
        <w:rPr>
          <w:rFonts w:ascii="Arial" w:eastAsia="Calibri" w:hAnsi="Arial" w:cs="Arial"/>
          <w:lang w:val="es-ES"/>
        </w:rPr>
      </w:pPr>
    </w:p>
    <w:p w:rsidR="006312E8" w:rsidRPr="006312E8" w:rsidRDefault="006312E8" w:rsidP="004660BB">
      <w:pPr>
        <w:spacing w:after="0" w:line="240" w:lineRule="auto"/>
        <w:jc w:val="right"/>
        <w:rPr>
          <w:rFonts w:ascii="Arial" w:eastAsia="Calibri" w:hAnsi="Arial" w:cs="Arial"/>
          <w:lang w:val="es-ES"/>
        </w:rPr>
      </w:pPr>
    </w:p>
    <w:p w:rsidR="006312E8" w:rsidRDefault="004660BB" w:rsidP="004660BB">
      <w:pPr>
        <w:spacing w:after="0" w:line="240" w:lineRule="auto"/>
        <w:jc w:val="right"/>
        <w:rPr>
          <w:rFonts w:ascii="Arial" w:eastAsia="Calibri" w:hAnsi="Arial" w:cs="Arial"/>
          <w:b/>
          <w:lang w:val="es-ES"/>
        </w:rPr>
      </w:pPr>
      <w:r>
        <w:rPr>
          <w:rFonts w:ascii="Arial" w:eastAsia="Calibri" w:hAnsi="Arial" w:cs="Arial"/>
          <w:b/>
          <w:lang w:val="es-ES"/>
        </w:rPr>
        <w:t>Fecha de publicación: 16-12-2015</w:t>
      </w:r>
    </w:p>
    <w:p w:rsidR="004660BB" w:rsidRPr="004660BB" w:rsidRDefault="004660BB" w:rsidP="004660BB">
      <w:pPr>
        <w:spacing w:after="0" w:line="240" w:lineRule="auto"/>
        <w:jc w:val="right"/>
        <w:rPr>
          <w:rFonts w:ascii="Arial" w:eastAsia="Calibri" w:hAnsi="Arial" w:cs="Arial"/>
          <w:b/>
          <w:lang w:val="es-ES"/>
        </w:rPr>
      </w:pPr>
    </w:p>
    <w:p w:rsidR="004660BB" w:rsidRPr="004660BB" w:rsidRDefault="004660BB" w:rsidP="00311C07">
      <w:pPr>
        <w:spacing w:after="0" w:line="240" w:lineRule="auto"/>
        <w:jc w:val="center"/>
        <w:rPr>
          <w:rFonts w:ascii="Arial" w:eastAsia="Calibri" w:hAnsi="Arial" w:cs="Arial"/>
          <w:b/>
          <w:caps/>
          <w:lang w:val="es-ES"/>
        </w:rPr>
      </w:pPr>
      <w:r w:rsidRPr="004660BB">
        <w:rPr>
          <w:rFonts w:ascii="Arial" w:hAnsi="Arial" w:cs="Arial"/>
          <w:b/>
          <w:caps/>
          <w:color w:val="000000"/>
          <w:shd w:val="clear" w:color="auto" w:fill="FFFFFF"/>
        </w:rPr>
        <w:t xml:space="preserve">Decreto Supremo que aprueba el Reglamento de los Capítulos I, II y III del Título III de la Ley Nº 30230, Ley que establece medidas tributarias, simplificación de procedimientos y permisos para la promoción y dinamización de la inversión en el país </w:t>
      </w:r>
    </w:p>
    <w:p w:rsidR="004660BB" w:rsidRDefault="004660BB" w:rsidP="00311C07">
      <w:pPr>
        <w:spacing w:after="0" w:line="240" w:lineRule="auto"/>
        <w:jc w:val="right"/>
        <w:rPr>
          <w:rFonts w:ascii="Arial" w:eastAsia="Calibri" w:hAnsi="Arial" w:cs="Arial"/>
          <w:b/>
          <w:lang w:val="es-ES"/>
        </w:rPr>
      </w:pPr>
    </w:p>
    <w:p w:rsidR="004660BB" w:rsidRPr="004660BB" w:rsidRDefault="004660BB" w:rsidP="00311C07">
      <w:pPr>
        <w:spacing w:after="0" w:line="240" w:lineRule="auto"/>
        <w:jc w:val="right"/>
        <w:rPr>
          <w:rFonts w:ascii="Arial" w:eastAsia="Calibri" w:hAnsi="Arial" w:cs="Arial"/>
          <w:b/>
          <w:lang w:val="es-ES"/>
        </w:rPr>
      </w:pPr>
    </w:p>
    <w:p w:rsidR="004660BB" w:rsidRPr="004660BB" w:rsidRDefault="004660BB" w:rsidP="00311C07">
      <w:pPr>
        <w:shd w:val="clear" w:color="auto" w:fill="FFFFFF"/>
        <w:spacing w:after="0" w:line="240" w:lineRule="auto"/>
        <w:jc w:val="both"/>
        <w:rPr>
          <w:rFonts w:ascii="Arial" w:eastAsia="Times New Roman" w:hAnsi="Arial" w:cs="Arial"/>
          <w:b/>
          <w:color w:val="000000"/>
          <w:lang w:eastAsia="es-PE"/>
        </w:rPr>
      </w:pPr>
      <w:r w:rsidRPr="004660BB">
        <w:rPr>
          <w:rFonts w:ascii="Arial" w:eastAsia="Times New Roman" w:hAnsi="Arial" w:cs="Arial"/>
          <w:b/>
          <w:color w:val="000000"/>
          <w:lang w:eastAsia="es-PE"/>
        </w:rPr>
        <w:t>EL PRESIDENTE DE LA REPÚBLICA</w:t>
      </w:r>
    </w:p>
    <w:p w:rsidR="004660BB" w:rsidRPr="004660BB" w:rsidRDefault="004660BB" w:rsidP="00311C07">
      <w:pPr>
        <w:shd w:val="clear" w:color="auto" w:fill="FFFFFF"/>
        <w:spacing w:after="0" w:line="240" w:lineRule="auto"/>
        <w:jc w:val="both"/>
        <w:rPr>
          <w:rFonts w:ascii="Arial" w:eastAsia="Times New Roman" w:hAnsi="Arial" w:cs="Arial"/>
          <w:b/>
          <w:color w:val="000000"/>
          <w:lang w:eastAsia="es-PE"/>
        </w:rPr>
      </w:pPr>
      <w:r w:rsidRPr="004660BB">
        <w:rPr>
          <w:rFonts w:ascii="Arial" w:eastAsia="Times New Roman" w:hAnsi="Arial" w:cs="Arial"/>
          <w:b/>
          <w:color w:val="000000"/>
          <w:lang w:eastAsia="es-PE"/>
        </w:rPr>
        <w:t>CONSIDERANDO:</w:t>
      </w: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color w:val="000000"/>
          <w:lang w:eastAsia="es-PE"/>
        </w:rPr>
        <w:t>Que, mediante Ley Nº 30230, se aprobó la Ley que establece medidas tributarias, simplificación de procedimientos y permisos para la promoción y dinamización de la inversión en el país;</w:t>
      </w:r>
    </w:p>
    <w:p w:rsidR="00311C07" w:rsidRDefault="00311C07" w:rsidP="00311C07">
      <w:pPr>
        <w:shd w:val="clear" w:color="auto" w:fill="FFFFFF"/>
        <w:spacing w:after="0" w:line="240" w:lineRule="auto"/>
        <w:jc w:val="both"/>
        <w:rPr>
          <w:rFonts w:ascii="Arial" w:eastAsia="Times New Roman" w:hAnsi="Arial" w:cs="Arial"/>
          <w:color w:val="000000"/>
          <w:lang w:eastAsia="es-PE"/>
        </w:rPr>
      </w:pP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color w:val="000000"/>
          <w:lang w:eastAsia="es-PE"/>
        </w:rPr>
        <w:t>Que, el Título III de la citada Ley dispone la creación de procedimientos especiales para el saneamiento físico - legal de predios involucrados en el desarrollo de proyectos de inversión pública y privada, asimismo, establece otras disposiciones para propiciar la eficiencia en la administración de predios del Estado y facilitar la ejecución de obras de infraestructura vial;</w:t>
      </w:r>
    </w:p>
    <w:p w:rsidR="00311C07" w:rsidRDefault="00311C07" w:rsidP="00311C07">
      <w:pPr>
        <w:shd w:val="clear" w:color="auto" w:fill="FFFFFF"/>
        <w:spacing w:after="0" w:line="240" w:lineRule="auto"/>
        <w:jc w:val="both"/>
        <w:rPr>
          <w:rFonts w:ascii="Arial" w:eastAsia="Times New Roman" w:hAnsi="Arial" w:cs="Arial"/>
          <w:color w:val="000000"/>
          <w:lang w:eastAsia="es-PE"/>
        </w:rPr>
      </w:pP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color w:val="000000"/>
          <w:lang w:eastAsia="es-PE"/>
        </w:rPr>
        <w:t>Que, el Capítulo I del citado Título III, faculta al Organismo de Formalización de la Propiedad Informal - COFOPRI, a ejecutar, a solicitud de parte, procedimientos especiales para el saneamiento físico - legal de predios correspondientes a particulares que se aprueban en el presente Reglamento; y, asimismo, faculta a la Superintendencia Nacional de Bienes Estatales - SBN, a ejecutar procedimientos especiales para el saneamiento físico - legal a los predios de propiedad estatal;</w:t>
      </w:r>
    </w:p>
    <w:p w:rsidR="00311C07" w:rsidRDefault="00311C07" w:rsidP="00311C07">
      <w:pPr>
        <w:shd w:val="clear" w:color="auto" w:fill="FFFFFF"/>
        <w:spacing w:after="0" w:line="240" w:lineRule="auto"/>
        <w:jc w:val="both"/>
        <w:rPr>
          <w:rFonts w:ascii="Arial" w:eastAsia="Times New Roman" w:hAnsi="Arial" w:cs="Arial"/>
          <w:color w:val="000000"/>
          <w:lang w:eastAsia="es-PE"/>
        </w:rPr>
      </w:pP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color w:val="000000"/>
          <w:lang w:eastAsia="es-PE"/>
        </w:rPr>
        <w:t>Que, asimismo la citada norma dispone reglas para la inscripción de los predios para proyectos de inversión pública y privada y prevalencia de información así como para la modificación física de predios para los citados proyectos comprendidos en dicho Capítulo;</w:t>
      </w:r>
    </w:p>
    <w:p w:rsidR="00311C07" w:rsidRDefault="00311C07" w:rsidP="00311C07">
      <w:pPr>
        <w:shd w:val="clear" w:color="auto" w:fill="FFFFFF"/>
        <w:spacing w:after="0" w:line="240" w:lineRule="auto"/>
        <w:jc w:val="both"/>
        <w:rPr>
          <w:rFonts w:ascii="Arial" w:eastAsia="Times New Roman" w:hAnsi="Arial" w:cs="Arial"/>
          <w:color w:val="000000"/>
          <w:lang w:eastAsia="es-PE"/>
        </w:rPr>
      </w:pP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color w:val="000000"/>
          <w:lang w:eastAsia="es-PE"/>
        </w:rPr>
        <w:t>Que, en el Capítulo II del Título III de la Ley Nº 30230, se establecen disposiciones para la inscripción de la anotación preventiva y/o carga registral de áreas comprendidas por el derecho de vía de las obras de infraestructura vial;</w:t>
      </w:r>
    </w:p>
    <w:p w:rsidR="00311C07" w:rsidRDefault="00311C07" w:rsidP="00311C07">
      <w:pPr>
        <w:shd w:val="clear" w:color="auto" w:fill="FFFFFF"/>
        <w:spacing w:after="0" w:line="240" w:lineRule="auto"/>
        <w:jc w:val="both"/>
        <w:rPr>
          <w:rFonts w:ascii="Arial" w:eastAsia="Times New Roman" w:hAnsi="Arial" w:cs="Arial"/>
          <w:color w:val="000000"/>
          <w:lang w:eastAsia="es-PE"/>
        </w:rPr>
      </w:pP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color w:val="000000"/>
          <w:lang w:eastAsia="es-PE"/>
        </w:rPr>
        <w:t>Que, en el Capítulo III del Título III de la Ley Nº 30230, se establecen disposiciones para la eficiencia en la administración de predios del Estado, y a su vez modificaciones a la Ley Nº 29151, Ley General del Sistema Nacional de Bienes Estatales;</w:t>
      </w:r>
    </w:p>
    <w:p w:rsidR="00311C07" w:rsidRDefault="00311C07" w:rsidP="00311C07">
      <w:pPr>
        <w:shd w:val="clear" w:color="auto" w:fill="FFFFFF"/>
        <w:spacing w:after="0" w:line="240" w:lineRule="auto"/>
        <w:jc w:val="both"/>
        <w:rPr>
          <w:rFonts w:ascii="Arial" w:eastAsia="Times New Roman" w:hAnsi="Arial" w:cs="Arial"/>
          <w:color w:val="000000"/>
          <w:lang w:eastAsia="es-PE"/>
        </w:rPr>
      </w:pP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color w:val="000000"/>
          <w:lang w:eastAsia="es-PE"/>
        </w:rPr>
        <w:t>Que, la Décima Disposición Complementaria Final de la Ley Nº 30230, dispone que el reglamento del Capítulo I del Título III antes referido, determina las causales y condiciones de exoneración de derechos registrales de la Superintendencia Nacional de los Registros Públicos - SUNARP respecto de búsquedas catastrales, expedición de certificados, inscripciones de predios o edificaciones correspondientes a proyectos de inversión pública;</w:t>
      </w:r>
    </w:p>
    <w:p w:rsidR="00311C07" w:rsidRDefault="00311C07" w:rsidP="00311C07">
      <w:pPr>
        <w:shd w:val="clear" w:color="auto" w:fill="FFFFFF"/>
        <w:spacing w:after="0" w:line="240" w:lineRule="auto"/>
        <w:jc w:val="both"/>
        <w:rPr>
          <w:rFonts w:ascii="Arial" w:eastAsia="Times New Roman" w:hAnsi="Arial" w:cs="Arial"/>
          <w:color w:val="000000"/>
          <w:lang w:eastAsia="es-PE"/>
        </w:rPr>
      </w:pP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color w:val="000000"/>
          <w:lang w:eastAsia="es-PE"/>
        </w:rPr>
        <w:t>Que, la Décima Tercera Disposición Complementaria Final de la Ley Nº 30230, establece que para el ejercicio de las facultades establecidas en el Subcapítulo I del Capítulo I del Título III de la citada Ley, COFOPRI podrá ejercer supletoriamente todas las facultades reguladas en las normas que establecen sus competencias y atribuciones;</w:t>
      </w:r>
    </w:p>
    <w:p w:rsidR="00311C07" w:rsidRDefault="00311C07" w:rsidP="00311C07">
      <w:pPr>
        <w:shd w:val="clear" w:color="auto" w:fill="FFFFFF"/>
        <w:spacing w:after="0" w:line="240" w:lineRule="auto"/>
        <w:jc w:val="both"/>
        <w:rPr>
          <w:rFonts w:ascii="Arial" w:eastAsia="Times New Roman" w:hAnsi="Arial" w:cs="Arial"/>
          <w:color w:val="000000"/>
          <w:lang w:eastAsia="es-PE"/>
        </w:rPr>
      </w:pP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color w:val="000000"/>
          <w:lang w:eastAsia="es-PE"/>
        </w:rPr>
        <w:t>Que, la Sexta Disposición Complementaria Transitoria de la Ley Nº 30230, dispone la reglamentación de los Capítulos I, II y III del Título III de la indicada Ley, la cual deberá contar con el refrendo del Presidente del Consejo de Ministros, del Ministro de Vivienda, Construcción y Saneamiento, del Ministro de Transportes y Comunicaciones y del Ministro de Justicia y Derechos Humanos;</w:t>
      </w: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color w:val="000000"/>
          <w:lang w:eastAsia="es-PE"/>
        </w:rPr>
        <w:t>Que, estando a las normas antes señaladas, es necesario reglamentar los procedimientos especiales de saneamiento físico - legal de predios para los proyectos de inversión comprendidos en las normas antes citadas;</w:t>
      </w:r>
    </w:p>
    <w:p w:rsidR="00311C07" w:rsidRDefault="00311C07" w:rsidP="00311C07">
      <w:pPr>
        <w:shd w:val="clear" w:color="auto" w:fill="FFFFFF"/>
        <w:spacing w:after="0" w:line="240" w:lineRule="auto"/>
        <w:jc w:val="both"/>
        <w:rPr>
          <w:rFonts w:ascii="Arial" w:eastAsia="Times New Roman" w:hAnsi="Arial" w:cs="Arial"/>
          <w:color w:val="000000"/>
          <w:lang w:eastAsia="es-PE"/>
        </w:rPr>
      </w:pP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color w:val="000000"/>
          <w:lang w:eastAsia="es-PE"/>
        </w:rPr>
        <w:t>De conformidad con lo establecido por el numeral 8) del artículo 118 de la Constitución Política del Perú; el numeral 3) del artículo 11 de la Ley Nº 29158, Ley Orgánica del Poder Ejecutivo; la Ley Nº 30156, Ley de Organización y Funciones del Ministerio de Vivienda, Construcción y Saneamiento; la Ley Nº 30230, Ley que establece medidas tributarias, simplificación de procedimientos y permisos para la promoción y dinamización de la inversión en el país; el Reglamento de Organización y Funciones del Ministerio de Vivienda, Construcción y Saneamiento, aprobado por Decreto Supremo Nº 010-2014-VIVIENDA y modificatoria aprobada por Decreto Supremo Nº 006-2015-VIVIENDA;</w:t>
      </w:r>
    </w:p>
    <w:p w:rsidR="00311C07" w:rsidRDefault="00311C07" w:rsidP="00311C07">
      <w:pPr>
        <w:shd w:val="clear" w:color="auto" w:fill="FFFFFF"/>
        <w:spacing w:after="0" w:line="240" w:lineRule="auto"/>
        <w:jc w:val="both"/>
        <w:rPr>
          <w:rFonts w:ascii="Arial" w:eastAsia="Times New Roman" w:hAnsi="Arial" w:cs="Arial"/>
          <w:b/>
          <w:color w:val="000000"/>
          <w:lang w:eastAsia="es-PE"/>
        </w:rPr>
      </w:pPr>
    </w:p>
    <w:p w:rsidR="004660BB" w:rsidRPr="004660BB" w:rsidRDefault="004660BB" w:rsidP="00311C07">
      <w:pPr>
        <w:shd w:val="clear" w:color="auto" w:fill="FFFFFF"/>
        <w:spacing w:after="0" w:line="240" w:lineRule="auto"/>
        <w:jc w:val="both"/>
        <w:rPr>
          <w:rFonts w:ascii="Arial" w:eastAsia="Times New Roman" w:hAnsi="Arial" w:cs="Arial"/>
          <w:b/>
          <w:color w:val="000000"/>
          <w:lang w:eastAsia="es-PE"/>
        </w:rPr>
      </w:pPr>
      <w:r w:rsidRPr="004660BB">
        <w:rPr>
          <w:rFonts w:ascii="Arial" w:eastAsia="Times New Roman" w:hAnsi="Arial" w:cs="Arial"/>
          <w:b/>
          <w:color w:val="000000"/>
          <w:lang w:eastAsia="es-PE"/>
        </w:rPr>
        <w:t>DECRETA:</w:t>
      </w: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b/>
          <w:bCs/>
          <w:color w:val="000000"/>
          <w:lang w:eastAsia="es-PE"/>
        </w:rPr>
        <w:t>Artículo 1.- Aprobación del Reglamento</w:t>
      </w: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color w:val="000000"/>
          <w:lang w:eastAsia="es-PE"/>
        </w:rPr>
        <w:t>Aprobar el Reglamento de los Capítulos I, II y III del Título III de la Ley Nº 30230, Ley que establece medidas tributarias, simplificación de procedimientos y permisos para la promoción y dinamización de la inversión en el país, el cual consta de Cuatro (4) Títulos, Cuatro (4) Capítulos, Siete (7) Subcapítulos, Ochenta y Siete (87) artículos y Dos (2) Disposiciones Complementarias Finales.</w:t>
      </w:r>
    </w:p>
    <w:p w:rsidR="00311C07" w:rsidRDefault="00311C07" w:rsidP="00311C07">
      <w:pPr>
        <w:shd w:val="clear" w:color="auto" w:fill="FFFFFF"/>
        <w:spacing w:after="0" w:line="240" w:lineRule="auto"/>
        <w:jc w:val="both"/>
        <w:rPr>
          <w:rFonts w:ascii="Arial" w:eastAsia="Times New Roman" w:hAnsi="Arial" w:cs="Arial"/>
          <w:b/>
          <w:bCs/>
          <w:color w:val="000000"/>
          <w:lang w:eastAsia="es-PE"/>
        </w:rPr>
      </w:pP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b/>
          <w:bCs/>
          <w:color w:val="000000"/>
          <w:lang w:eastAsia="es-PE"/>
        </w:rPr>
        <w:t>Artículo 2.- Derogación parcial del Decreto Supremo Nº 011-2013-VIVIENDA, Decreto Supremo que reglamenta los procedimientos especiales de saneamiento físico - legal y reglas para la inscripción de transferencias y modificaciones físicas de predios sujetos a trato directo o expropiación.</w:t>
      </w: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color w:val="000000"/>
          <w:lang w:eastAsia="es-PE"/>
        </w:rPr>
        <w:t>Derogar el artículo 1 del Decreto Supremo Nº 011-2013-VIVIENDA, Decreto Supremo que reglamenta los procedimientos especiales de saneamiento físico - legal y reglas para la inscripción de transferencias y modificaciones físicas de predios sujetos a trato directo o expropiación, así como los artículos 8, 9 y 10 del citado dispositivo, quedando subsistentes sus artículos 2, 3, 4, 5, 6 y 7, los cuales no son de aplicación a las tierras de las comunidades campesinas, comunidades nativas y reservas indígenas, las mismas que se rigen por la normatividad de la materia.</w:t>
      </w:r>
    </w:p>
    <w:p w:rsidR="00311C07" w:rsidRDefault="00311C07" w:rsidP="00311C07">
      <w:pPr>
        <w:shd w:val="clear" w:color="auto" w:fill="FFFFFF"/>
        <w:spacing w:after="0" w:line="240" w:lineRule="auto"/>
        <w:jc w:val="both"/>
        <w:rPr>
          <w:rFonts w:ascii="Arial" w:eastAsia="Times New Roman" w:hAnsi="Arial" w:cs="Arial"/>
          <w:b/>
          <w:bCs/>
          <w:color w:val="000000"/>
          <w:lang w:eastAsia="es-PE"/>
        </w:rPr>
      </w:pP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b/>
          <w:bCs/>
          <w:color w:val="000000"/>
          <w:lang w:eastAsia="es-PE"/>
        </w:rPr>
        <w:t>Artículo 3.- Refrendo</w:t>
      </w: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color w:val="000000"/>
          <w:lang w:eastAsia="es-PE"/>
        </w:rPr>
        <w:t>El presente Decreto Supremo será refrendado por el Presidente del Consejo de Ministros, por el Ministro de Vivienda, Construcción y Saneamiento, por el Ministro de Transportes y Comunicaciones, y por el Ministro de Justicia y Derechos Humanos.</w:t>
      </w: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color w:val="000000"/>
          <w:lang w:eastAsia="es-PE"/>
        </w:rPr>
        <w:t>Dado en la Casa de Gobierno, en Lima, a los quince días del mes de diciembre del año dos mil quince.</w:t>
      </w:r>
    </w:p>
    <w:p w:rsidR="00311C07" w:rsidRDefault="00311C07" w:rsidP="00311C07">
      <w:pPr>
        <w:shd w:val="clear" w:color="auto" w:fill="FFFFFF"/>
        <w:spacing w:after="0" w:line="240" w:lineRule="auto"/>
        <w:jc w:val="both"/>
        <w:rPr>
          <w:rFonts w:ascii="Arial" w:eastAsia="Times New Roman" w:hAnsi="Arial" w:cs="Arial"/>
          <w:b/>
          <w:color w:val="000000"/>
          <w:lang w:eastAsia="es-PE"/>
        </w:rPr>
      </w:pPr>
    </w:p>
    <w:p w:rsidR="004660BB" w:rsidRPr="004660BB" w:rsidRDefault="004660BB" w:rsidP="00311C07">
      <w:pPr>
        <w:shd w:val="clear" w:color="auto" w:fill="FFFFFF"/>
        <w:spacing w:after="0" w:line="240" w:lineRule="auto"/>
        <w:jc w:val="both"/>
        <w:rPr>
          <w:rFonts w:ascii="Arial" w:eastAsia="Times New Roman" w:hAnsi="Arial" w:cs="Arial"/>
          <w:b/>
          <w:color w:val="000000"/>
          <w:lang w:eastAsia="es-PE"/>
        </w:rPr>
      </w:pPr>
      <w:r w:rsidRPr="004660BB">
        <w:rPr>
          <w:rFonts w:ascii="Arial" w:eastAsia="Times New Roman" w:hAnsi="Arial" w:cs="Arial"/>
          <w:b/>
          <w:color w:val="000000"/>
          <w:lang w:eastAsia="es-PE"/>
        </w:rPr>
        <w:t>OLLANTA HUMALA TASSO</w:t>
      </w: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color w:val="000000"/>
          <w:lang w:eastAsia="es-PE"/>
        </w:rPr>
        <w:t>Presidente de la República</w:t>
      </w:r>
    </w:p>
    <w:p w:rsidR="00311C07" w:rsidRDefault="00311C07" w:rsidP="00311C07">
      <w:pPr>
        <w:shd w:val="clear" w:color="auto" w:fill="FFFFFF"/>
        <w:spacing w:after="0" w:line="240" w:lineRule="auto"/>
        <w:jc w:val="both"/>
        <w:rPr>
          <w:rFonts w:ascii="Arial" w:eastAsia="Times New Roman" w:hAnsi="Arial" w:cs="Arial"/>
          <w:color w:val="000000"/>
          <w:lang w:eastAsia="es-PE"/>
        </w:rPr>
      </w:pPr>
    </w:p>
    <w:p w:rsidR="004660BB" w:rsidRPr="004660BB" w:rsidRDefault="004660BB" w:rsidP="00311C07">
      <w:pPr>
        <w:shd w:val="clear" w:color="auto" w:fill="FFFFFF"/>
        <w:spacing w:after="0" w:line="240" w:lineRule="auto"/>
        <w:jc w:val="both"/>
        <w:rPr>
          <w:rFonts w:ascii="Arial" w:eastAsia="Times New Roman" w:hAnsi="Arial" w:cs="Arial"/>
          <w:b/>
          <w:color w:val="000000"/>
          <w:lang w:eastAsia="es-PE"/>
        </w:rPr>
      </w:pPr>
      <w:r w:rsidRPr="004660BB">
        <w:rPr>
          <w:rFonts w:ascii="Arial" w:eastAsia="Times New Roman" w:hAnsi="Arial" w:cs="Arial"/>
          <w:b/>
          <w:color w:val="000000"/>
          <w:lang w:eastAsia="es-PE"/>
        </w:rPr>
        <w:t>PEDRO CATERIANO BELLIDO</w:t>
      </w: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color w:val="000000"/>
          <w:lang w:eastAsia="es-PE"/>
        </w:rPr>
        <w:t>Presidente del Consejo de Ministros</w:t>
      </w:r>
    </w:p>
    <w:p w:rsidR="00311C07" w:rsidRDefault="00311C07" w:rsidP="00311C07">
      <w:pPr>
        <w:shd w:val="clear" w:color="auto" w:fill="FFFFFF"/>
        <w:spacing w:after="0" w:line="240" w:lineRule="auto"/>
        <w:jc w:val="both"/>
        <w:rPr>
          <w:rFonts w:ascii="Arial" w:eastAsia="Times New Roman" w:hAnsi="Arial" w:cs="Arial"/>
          <w:color w:val="000000"/>
          <w:lang w:eastAsia="es-PE"/>
        </w:rPr>
      </w:pPr>
    </w:p>
    <w:p w:rsidR="004660BB" w:rsidRPr="004660BB" w:rsidRDefault="004660BB" w:rsidP="00311C07">
      <w:pPr>
        <w:shd w:val="clear" w:color="auto" w:fill="FFFFFF"/>
        <w:spacing w:after="0" w:line="240" w:lineRule="auto"/>
        <w:jc w:val="both"/>
        <w:rPr>
          <w:rFonts w:ascii="Arial" w:eastAsia="Times New Roman" w:hAnsi="Arial" w:cs="Arial"/>
          <w:b/>
          <w:color w:val="000000"/>
          <w:lang w:eastAsia="es-PE"/>
        </w:rPr>
      </w:pPr>
      <w:r w:rsidRPr="004660BB">
        <w:rPr>
          <w:rFonts w:ascii="Arial" w:eastAsia="Times New Roman" w:hAnsi="Arial" w:cs="Arial"/>
          <w:b/>
          <w:color w:val="000000"/>
          <w:lang w:eastAsia="es-PE"/>
        </w:rPr>
        <w:t>FRANCISCO ADOLFO DUMLER CUYA</w:t>
      </w: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color w:val="000000"/>
          <w:lang w:eastAsia="es-PE"/>
        </w:rPr>
        <w:t>Ministro de Vivienda, Construcción y Saneamiento</w:t>
      </w:r>
    </w:p>
    <w:p w:rsidR="00311C07" w:rsidRDefault="00311C07" w:rsidP="00311C07">
      <w:pPr>
        <w:shd w:val="clear" w:color="auto" w:fill="FFFFFF"/>
        <w:spacing w:after="0" w:line="240" w:lineRule="auto"/>
        <w:jc w:val="both"/>
        <w:rPr>
          <w:rFonts w:ascii="Arial" w:eastAsia="Times New Roman" w:hAnsi="Arial" w:cs="Arial"/>
          <w:color w:val="000000"/>
          <w:lang w:eastAsia="es-PE"/>
        </w:rPr>
      </w:pPr>
    </w:p>
    <w:p w:rsidR="004660BB" w:rsidRPr="004660BB" w:rsidRDefault="004660BB" w:rsidP="00311C07">
      <w:pPr>
        <w:shd w:val="clear" w:color="auto" w:fill="FFFFFF"/>
        <w:spacing w:after="0" w:line="240" w:lineRule="auto"/>
        <w:jc w:val="both"/>
        <w:rPr>
          <w:rFonts w:ascii="Arial" w:eastAsia="Times New Roman" w:hAnsi="Arial" w:cs="Arial"/>
          <w:b/>
          <w:color w:val="000000"/>
          <w:lang w:eastAsia="es-PE"/>
        </w:rPr>
      </w:pPr>
      <w:r w:rsidRPr="004660BB">
        <w:rPr>
          <w:rFonts w:ascii="Arial" w:eastAsia="Times New Roman" w:hAnsi="Arial" w:cs="Arial"/>
          <w:b/>
          <w:color w:val="000000"/>
          <w:lang w:eastAsia="es-PE"/>
        </w:rPr>
        <w:t>JOSÉ GALLARDO KU</w:t>
      </w: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color w:val="000000"/>
          <w:lang w:eastAsia="es-PE"/>
        </w:rPr>
        <w:t>Ministro de Transportes y Comunicaciones</w:t>
      </w:r>
    </w:p>
    <w:p w:rsidR="00311C07" w:rsidRDefault="00311C07" w:rsidP="00311C07">
      <w:pPr>
        <w:shd w:val="clear" w:color="auto" w:fill="FFFFFF"/>
        <w:spacing w:after="0" w:line="240" w:lineRule="auto"/>
        <w:jc w:val="both"/>
        <w:rPr>
          <w:rFonts w:ascii="Arial" w:eastAsia="Times New Roman" w:hAnsi="Arial" w:cs="Arial"/>
          <w:color w:val="000000"/>
          <w:lang w:eastAsia="es-PE"/>
        </w:rPr>
      </w:pPr>
    </w:p>
    <w:p w:rsidR="004660BB" w:rsidRPr="004660BB" w:rsidRDefault="004660BB" w:rsidP="00311C07">
      <w:pPr>
        <w:shd w:val="clear" w:color="auto" w:fill="FFFFFF"/>
        <w:spacing w:after="0" w:line="240" w:lineRule="auto"/>
        <w:jc w:val="both"/>
        <w:rPr>
          <w:rFonts w:ascii="Arial" w:eastAsia="Times New Roman" w:hAnsi="Arial" w:cs="Arial"/>
          <w:b/>
          <w:color w:val="000000"/>
          <w:lang w:eastAsia="es-PE"/>
        </w:rPr>
      </w:pPr>
      <w:r w:rsidRPr="004660BB">
        <w:rPr>
          <w:rFonts w:ascii="Arial" w:eastAsia="Times New Roman" w:hAnsi="Arial" w:cs="Arial"/>
          <w:b/>
          <w:color w:val="000000"/>
          <w:lang w:eastAsia="es-PE"/>
        </w:rPr>
        <w:t>ALDO VÁSQUEZ RÍOS</w:t>
      </w: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color w:val="000000"/>
          <w:lang w:eastAsia="es-PE"/>
        </w:rPr>
        <w:t>Ministro de Justicia y Derechos Humanos</w:t>
      </w:r>
    </w:p>
    <w:p w:rsidR="00311C07" w:rsidRDefault="00311C07" w:rsidP="00311C07">
      <w:pPr>
        <w:shd w:val="clear" w:color="auto" w:fill="FFFFFF"/>
        <w:spacing w:after="0" w:line="240" w:lineRule="auto"/>
        <w:jc w:val="center"/>
        <w:rPr>
          <w:rFonts w:ascii="Arial" w:eastAsia="Times New Roman" w:hAnsi="Arial" w:cs="Arial"/>
          <w:b/>
          <w:bCs/>
          <w:color w:val="000000"/>
          <w:lang w:eastAsia="es-PE"/>
        </w:rPr>
      </w:pPr>
    </w:p>
    <w:p w:rsidR="00311C07" w:rsidRDefault="00311C07" w:rsidP="00311C07">
      <w:pPr>
        <w:shd w:val="clear" w:color="auto" w:fill="FFFFFF"/>
        <w:spacing w:after="0" w:line="240" w:lineRule="auto"/>
        <w:jc w:val="center"/>
        <w:rPr>
          <w:rFonts w:ascii="Arial" w:eastAsia="Times New Roman" w:hAnsi="Arial" w:cs="Arial"/>
          <w:b/>
          <w:bCs/>
          <w:color w:val="000000"/>
          <w:lang w:eastAsia="es-PE"/>
        </w:rPr>
      </w:pPr>
    </w:p>
    <w:p w:rsidR="00311C07" w:rsidRDefault="00311C07" w:rsidP="00311C07">
      <w:pPr>
        <w:shd w:val="clear" w:color="auto" w:fill="FFFFFF"/>
        <w:spacing w:after="0" w:line="240" w:lineRule="auto"/>
        <w:jc w:val="center"/>
        <w:rPr>
          <w:rFonts w:ascii="Arial" w:eastAsia="Times New Roman" w:hAnsi="Arial" w:cs="Arial"/>
          <w:b/>
          <w:bCs/>
          <w:color w:val="000000"/>
          <w:lang w:eastAsia="es-PE"/>
        </w:rPr>
      </w:pPr>
    </w:p>
    <w:p w:rsidR="00311C07" w:rsidRDefault="00311C07" w:rsidP="00311C07">
      <w:pPr>
        <w:shd w:val="clear" w:color="auto" w:fill="FFFFFF"/>
        <w:spacing w:after="0" w:line="240" w:lineRule="auto"/>
        <w:jc w:val="center"/>
        <w:rPr>
          <w:rFonts w:ascii="Arial" w:eastAsia="Times New Roman" w:hAnsi="Arial" w:cs="Arial"/>
          <w:b/>
          <w:bCs/>
          <w:color w:val="000000"/>
          <w:lang w:eastAsia="es-PE"/>
        </w:rPr>
      </w:pPr>
    </w:p>
    <w:p w:rsidR="004660BB" w:rsidRPr="004660BB" w:rsidRDefault="004660BB" w:rsidP="00AA2D63">
      <w:pPr>
        <w:shd w:val="clear" w:color="auto" w:fill="FFFFFF"/>
        <w:spacing w:after="0" w:line="240" w:lineRule="auto"/>
        <w:jc w:val="center"/>
        <w:rPr>
          <w:rFonts w:ascii="Arial" w:eastAsia="Times New Roman" w:hAnsi="Arial" w:cs="Arial"/>
          <w:color w:val="000000"/>
          <w:lang w:eastAsia="es-PE"/>
        </w:rPr>
      </w:pPr>
      <w:r w:rsidRPr="004660BB">
        <w:rPr>
          <w:rFonts w:ascii="Arial" w:eastAsia="Times New Roman" w:hAnsi="Arial" w:cs="Arial"/>
          <w:b/>
          <w:bCs/>
          <w:color w:val="000000"/>
          <w:lang w:eastAsia="es-PE"/>
        </w:rPr>
        <w:t>REGLAMENTO DE LOS CAPÍTULOS I, II</w:t>
      </w:r>
      <w:r w:rsidR="00AA2D63">
        <w:rPr>
          <w:rFonts w:ascii="Arial" w:eastAsia="Times New Roman" w:hAnsi="Arial" w:cs="Arial"/>
          <w:color w:val="000000"/>
          <w:lang w:eastAsia="es-PE"/>
        </w:rPr>
        <w:t xml:space="preserve"> </w:t>
      </w:r>
      <w:r w:rsidRPr="004660BB">
        <w:rPr>
          <w:rFonts w:ascii="Arial" w:eastAsia="Times New Roman" w:hAnsi="Arial" w:cs="Arial"/>
          <w:b/>
          <w:bCs/>
          <w:color w:val="000000"/>
          <w:lang w:eastAsia="es-PE"/>
        </w:rPr>
        <w:t>y III DEL TÍTULO III DE LA LEY Nº 30230,</w:t>
      </w:r>
    </w:p>
    <w:p w:rsidR="004660BB" w:rsidRPr="004660BB" w:rsidRDefault="004660BB" w:rsidP="00AA2D63">
      <w:pPr>
        <w:shd w:val="clear" w:color="auto" w:fill="FFFFFF"/>
        <w:spacing w:after="0" w:line="240" w:lineRule="auto"/>
        <w:jc w:val="center"/>
        <w:rPr>
          <w:rFonts w:ascii="Arial" w:eastAsia="Times New Roman" w:hAnsi="Arial" w:cs="Arial"/>
          <w:color w:val="000000"/>
          <w:lang w:eastAsia="es-PE"/>
        </w:rPr>
      </w:pPr>
      <w:r w:rsidRPr="004660BB">
        <w:rPr>
          <w:rFonts w:ascii="Arial" w:eastAsia="Times New Roman" w:hAnsi="Arial" w:cs="Arial"/>
          <w:b/>
          <w:bCs/>
          <w:color w:val="000000"/>
          <w:lang w:eastAsia="es-PE"/>
        </w:rPr>
        <w:t>LEY QUE ESTABLECE MEDIDAS TRIBUTARIAS,SIMPLIFICACIÓN DE PROCEDIMIENTOS</w:t>
      </w:r>
    </w:p>
    <w:p w:rsidR="004660BB" w:rsidRPr="004660BB" w:rsidRDefault="004660BB" w:rsidP="00AA2D63">
      <w:pPr>
        <w:shd w:val="clear" w:color="auto" w:fill="FFFFFF"/>
        <w:spacing w:after="0" w:line="240" w:lineRule="auto"/>
        <w:jc w:val="center"/>
        <w:rPr>
          <w:rFonts w:ascii="Arial" w:eastAsia="Times New Roman" w:hAnsi="Arial" w:cs="Arial"/>
          <w:color w:val="000000"/>
          <w:lang w:eastAsia="es-PE"/>
        </w:rPr>
      </w:pPr>
      <w:r w:rsidRPr="004660BB">
        <w:rPr>
          <w:rFonts w:ascii="Arial" w:eastAsia="Times New Roman" w:hAnsi="Arial" w:cs="Arial"/>
          <w:b/>
          <w:bCs/>
          <w:color w:val="000000"/>
          <w:lang w:eastAsia="es-PE"/>
        </w:rPr>
        <w:t>Y PERMISOS PARA LA PROMOCIÓN</w:t>
      </w:r>
      <w:r w:rsidR="00AA2D63">
        <w:rPr>
          <w:rFonts w:ascii="Arial" w:eastAsia="Times New Roman" w:hAnsi="Arial" w:cs="Arial"/>
          <w:color w:val="000000"/>
          <w:lang w:eastAsia="es-PE"/>
        </w:rPr>
        <w:t xml:space="preserve"> </w:t>
      </w:r>
      <w:r w:rsidRPr="004660BB">
        <w:rPr>
          <w:rFonts w:ascii="Arial" w:eastAsia="Times New Roman" w:hAnsi="Arial" w:cs="Arial"/>
          <w:b/>
          <w:bCs/>
          <w:color w:val="000000"/>
          <w:lang w:eastAsia="es-PE"/>
        </w:rPr>
        <w:t>Y DINAMIZACIÓN DE LA INVERSIÓN EN EL PAÍS</w:t>
      </w:r>
    </w:p>
    <w:p w:rsidR="00AA2D63" w:rsidRDefault="00AA2D63" w:rsidP="00311C07">
      <w:pPr>
        <w:shd w:val="clear" w:color="auto" w:fill="FFFFFF"/>
        <w:spacing w:after="0" w:line="240" w:lineRule="auto"/>
        <w:jc w:val="center"/>
        <w:rPr>
          <w:rFonts w:ascii="Arial" w:eastAsia="Times New Roman" w:hAnsi="Arial" w:cs="Arial"/>
          <w:b/>
          <w:bCs/>
          <w:color w:val="000000"/>
          <w:lang w:eastAsia="es-PE"/>
        </w:rPr>
      </w:pPr>
    </w:p>
    <w:p w:rsidR="004660BB" w:rsidRPr="004660BB" w:rsidRDefault="004660BB" w:rsidP="00311C07">
      <w:pPr>
        <w:shd w:val="clear" w:color="auto" w:fill="FFFFFF"/>
        <w:spacing w:after="0" w:line="240" w:lineRule="auto"/>
        <w:jc w:val="center"/>
        <w:rPr>
          <w:rFonts w:ascii="Arial" w:eastAsia="Times New Roman" w:hAnsi="Arial" w:cs="Arial"/>
          <w:color w:val="000000"/>
          <w:lang w:eastAsia="es-PE"/>
        </w:rPr>
      </w:pPr>
      <w:r w:rsidRPr="004660BB">
        <w:rPr>
          <w:rFonts w:ascii="Arial" w:eastAsia="Times New Roman" w:hAnsi="Arial" w:cs="Arial"/>
          <w:b/>
          <w:bCs/>
          <w:color w:val="000000"/>
          <w:lang w:eastAsia="es-PE"/>
        </w:rPr>
        <w:t>TÍTULO I</w:t>
      </w:r>
    </w:p>
    <w:p w:rsidR="004660BB" w:rsidRPr="004660BB" w:rsidRDefault="004660BB" w:rsidP="00311C07">
      <w:pPr>
        <w:shd w:val="clear" w:color="auto" w:fill="FFFFFF"/>
        <w:spacing w:after="0" w:line="240" w:lineRule="auto"/>
        <w:jc w:val="center"/>
        <w:rPr>
          <w:rFonts w:ascii="Arial" w:eastAsia="Times New Roman" w:hAnsi="Arial" w:cs="Arial"/>
          <w:color w:val="000000"/>
          <w:lang w:eastAsia="es-PE"/>
        </w:rPr>
      </w:pPr>
      <w:r w:rsidRPr="004660BB">
        <w:rPr>
          <w:rFonts w:ascii="Arial" w:eastAsia="Times New Roman" w:hAnsi="Arial" w:cs="Arial"/>
          <w:b/>
          <w:bCs/>
          <w:color w:val="000000"/>
          <w:lang w:eastAsia="es-PE"/>
        </w:rPr>
        <w:t>DISPOSICIONES GENERALES</w:t>
      </w: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b/>
          <w:bCs/>
          <w:color w:val="000000"/>
          <w:lang w:eastAsia="es-PE"/>
        </w:rPr>
        <w:t>Artículo 1.- Del Objeto</w:t>
      </w: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color w:val="000000"/>
          <w:lang w:eastAsia="es-PE"/>
        </w:rPr>
        <w:t>El presente Reglamento tiene por objeto establecer las disposiciones reglamentarias de los Capítulos I, II y III del Título III de la Ley Nº 30230, Ley que establece medidas tributarias, simplificación de procedimientos y permisos para la promoción y dinamización de la inversión en el país</w:t>
      </w:r>
    </w:p>
    <w:p w:rsidR="00311C07" w:rsidRDefault="00311C07" w:rsidP="00311C07">
      <w:pPr>
        <w:shd w:val="clear" w:color="auto" w:fill="FFFFFF"/>
        <w:spacing w:after="0" w:line="240" w:lineRule="auto"/>
        <w:jc w:val="both"/>
        <w:rPr>
          <w:rFonts w:ascii="Arial" w:eastAsia="Times New Roman" w:hAnsi="Arial" w:cs="Arial"/>
          <w:b/>
          <w:bCs/>
          <w:color w:val="000000"/>
          <w:lang w:eastAsia="es-PE"/>
        </w:rPr>
      </w:pP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b/>
          <w:bCs/>
          <w:color w:val="000000"/>
          <w:lang w:eastAsia="es-PE"/>
        </w:rPr>
        <w:t>Artículo 2.- Definiciones</w:t>
      </w: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color w:val="000000"/>
          <w:lang w:eastAsia="es-PE"/>
        </w:rPr>
        <w:t>Para los fines del presente Reglamento, se entiende por:</w:t>
      </w:r>
    </w:p>
    <w:p w:rsidR="004660BB" w:rsidRPr="004660BB" w:rsidRDefault="004660BB" w:rsidP="00311C07">
      <w:pPr>
        <w:shd w:val="clear" w:color="auto" w:fill="FFFFFF"/>
        <w:spacing w:after="0" w:line="240" w:lineRule="auto"/>
        <w:ind w:left="851" w:hanging="425"/>
        <w:jc w:val="both"/>
        <w:rPr>
          <w:rFonts w:ascii="Arial" w:eastAsia="Times New Roman" w:hAnsi="Arial" w:cs="Arial"/>
          <w:color w:val="000000"/>
          <w:lang w:eastAsia="es-PE"/>
        </w:rPr>
      </w:pPr>
      <w:r w:rsidRPr="004660BB">
        <w:rPr>
          <w:rFonts w:ascii="Arial" w:eastAsia="Times New Roman" w:hAnsi="Arial" w:cs="Arial"/>
          <w:color w:val="000000"/>
          <w:lang w:eastAsia="es-PE"/>
        </w:rPr>
        <w:t>a) </w:t>
      </w:r>
      <w:r w:rsidR="00311C07">
        <w:rPr>
          <w:rFonts w:ascii="Arial" w:eastAsia="Times New Roman" w:hAnsi="Arial" w:cs="Arial"/>
          <w:color w:val="000000"/>
          <w:lang w:eastAsia="es-PE"/>
        </w:rPr>
        <w:tab/>
      </w:r>
      <w:r w:rsidRPr="004660BB">
        <w:rPr>
          <w:rFonts w:ascii="Arial" w:eastAsia="Times New Roman" w:hAnsi="Arial" w:cs="Arial"/>
          <w:b/>
          <w:bCs/>
          <w:color w:val="000000"/>
          <w:lang w:eastAsia="es-PE"/>
        </w:rPr>
        <w:t>Anotación preventiva del inicio del procedimiento especial de saneamiento: </w:t>
      </w:r>
      <w:r w:rsidRPr="004660BB">
        <w:rPr>
          <w:rFonts w:ascii="Arial" w:eastAsia="Times New Roman" w:hAnsi="Arial" w:cs="Arial"/>
          <w:color w:val="000000"/>
          <w:lang w:eastAsia="es-PE"/>
        </w:rPr>
        <w:t>Es la medida de carácter provisional que, a petición del Organismo de Formalización de la Propiedad Informal - COFOPRI, de la Superintendencia Nacional de Bienes Estatales - SBN o del titular del Proyecto por encargo de las primeras, se extiende en el Registro de Predios, con el fin de dar cumplimiento a lo establecido en el artículo 42 de la Ley y publicitar que sobre el predio, se ejecuta uno o más procedimientos especiales de saneamiento físico - legal. La presente anotación podrá solicitarse en cualquier momento de iniciado el(los) procedimiento(s).</w:t>
      </w:r>
    </w:p>
    <w:p w:rsidR="004660BB" w:rsidRPr="004660BB" w:rsidRDefault="004660BB" w:rsidP="00311C07">
      <w:pPr>
        <w:shd w:val="clear" w:color="auto" w:fill="FFFFFF"/>
        <w:spacing w:after="0" w:line="240" w:lineRule="auto"/>
        <w:ind w:left="851" w:hanging="425"/>
        <w:jc w:val="both"/>
        <w:rPr>
          <w:rFonts w:ascii="Arial" w:eastAsia="Times New Roman" w:hAnsi="Arial" w:cs="Arial"/>
          <w:color w:val="000000"/>
          <w:lang w:eastAsia="es-PE"/>
        </w:rPr>
      </w:pPr>
      <w:r w:rsidRPr="004660BB">
        <w:rPr>
          <w:rFonts w:ascii="Arial" w:eastAsia="Times New Roman" w:hAnsi="Arial" w:cs="Arial"/>
          <w:color w:val="000000"/>
          <w:lang w:eastAsia="es-PE"/>
        </w:rPr>
        <w:t>b) </w:t>
      </w:r>
      <w:r w:rsidR="00311C07">
        <w:rPr>
          <w:rFonts w:ascii="Arial" w:eastAsia="Times New Roman" w:hAnsi="Arial" w:cs="Arial"/>
          <w:color w:val="000000"/>
          <w:lang w:eastAsia="es-PE"/>
        </w:rPr>
        <w:tab/>
      </w:r>
      <w:r w:rsidRPr="004660BB">
        <w:rPr>
          <w:rFonts w:ascii="Arial" w:eastAsia="Times New Roman" w:hAnsi="Arial" w:cs="Arial"/>
          <w:b/>
          <w:bCs/>
          <w:color w:val="000000"/>
          <w:lang w:eastAsia="es-PE"/>
        </w:rPr>
        <w:t>Beneficiario del saneamiento físico - legal: </w:t>
      </w:r>
      <w:r w:rsidRPr="004660BB">
        <w:rPr>
          <w:rFonts w:ascii="Arial" w:eastAsia="Times New Roman" w:hAnsi="Arial" w:cs="Arial"/>
          <w:color w:val="000000"/>
          <w:lang w:eastAsia="es-PE"/>
        </w:rPr>
        <w:t>Es el poseedor o propietario del predio sobre el cual se ejecuta el procedimiento especial de saneamiento físico - legal.</w:t>
      </w:r>
    </w:p>
    <w:p w:rsidR="004660BB" w:rsidRPr="004660BB" w:rsidRDefault="004660BB" w:rsidP="00311C07">
      <w:pPr>
        <w:shd w:val="clear" w:color="auto" w:fill="FFFFFF"/>
        <w:spacing w:after="0" w:line="240" w:lineRule="auto"/>
        <w:ind w:left="851" w:hanging="425"/>
        <w:jc w:val="both"/>
        <w:rPr>
          <w:rFonts w:ascii="Arial" w:eastAsia="Times New Roman" w:hAnsi="Arial" w:cs="Arial"/>
          <w:color w:val="000000"/>
          <w:lang w:eastAsia="es-PE"/>
        </w:rPr>
      </w:pPr>
      <w:r w:rsidRPr="004660BB">
        <w:rPr>
          <w:rFonts w:ascii="Arial" w:eastAsia="Times New Roman" w:hAnsi="Arial" w:cs="Arial"/>
          <w:color w:val="000000"/>
          <w:lang w:eastAsia="es-PE"/>
        </w:rPr>
        <w:t>c) </w:t>
      </w:r>
      <w:r w:rsidR="00311C07">
        <w:rPr>
          <w:rFonts w:ascii="Arial" w:eastAsia="Times New Roman" w:hAnsi="Arial" w:cs="Arial"/>
          <w:color w:val="000000"/>
          <w:lang w:eastAsia="es-PE"/>
        </w:rPr>
        <w:tab/>
      </w:r>
      <w:r w:rsidRPr="004660BB">
        <w:rPr>
          <w:rFonts w:ascii="Arial" w:eastAsia="Times New Roman" w:hAnsi="Arial" w:cs="Arial"/>
          <w:b/>
          <w:bCs/>
          <w:color w:val="000000"/>
          <w:lang w:eastAsia="es-PE"/>
        </w:rPr>
        <w:t>Datum oficial:</w:t>
      </w:r>
      <w:r w:rsidRPr="004660BB">
        <w:rPr>
          <w:rFonts w:ascii="Arial" w:eastAsia="Times New Roman" w:hAnsi="Arial" w:cs="Arial"/>
          <w:color w:val="000000"/>
          <w:lang w:eastAsia="es-PE"/>
        </w:rPr>
        <w:t> World Geodetic System 84 - WGS84 (Sistema Geodésico Mundial).</w:t>
      </w:r>
    </w:p>
    <w:p w:rsidR="004660BB" w:rsidRPr="004660BB" w:rsidRDefault="004660BB" w:rsidP="00311C07">
      <w:pPr>
        <w:shd w:val="clear" w:color="auto" w:fill="FFFFFF"/>
        <w:spacing w:after="0" w:line="240" w:lineRule="auto"/>
        <w:ind w:left="851" w:hanging="425"/>
        <w:jc w:val="both"/>
        <w:rPr>
          <w:rFonts w:ascii="Arial" w:eastAsia="Times New Roman" w:hAnsi="Arial" w:cs="Arial"/>
          <w:color w:val="000000"/>
          <w:lang w:eastAsia="es-PE"/>
        </w:rPr>
      </w:pPr>
      <w:r w:rsidRPr="004660BB">
        <w:rPr>
          <w:rFonts w:ascii="Arial" w:eastAsia="Times New Roman" w:hAnsi="Arial" w:cs="Arial"/>
          <w:color w:val="000000"/>
          <w:lang w:eastAsia="es-PE"/>
        </w:rPr>
        <w:t>d) </w:t>
      </w:r>
      <w:r w:rsidR="00311C07">
        <w:rPr>
          <w:rFonts w:ascii="Arial" w:eastAsia="Times New Roman" w:hAnsi="Arial" w:cs="Arial"/>
          <w:color w:val="000000"/>
          <w:lang w:eastAsia="es-PE"/>
        </w:rPr>
        <w:tab/>
      </w:r>
      <w:r w:rsidRPr="004660BB">
        <w:rPr>
          <w:rFonts w:ascii="Arial" w:eastAsia="Times New Roman" w:hAnsi="Arial" w:cs="Arial"/>
          <w:b/>
          <w:bCs/>
          <w:color w:val="000000"/>
          <w:lang w:eastAsia="es-PE"/>
        </w:rPr>
        <w:t>Error de cálculo:</w:t>
      </w:r>
      <w:r w:rsidRPr="004660BB">
        <w:rPr>
          <w:rFonts w:ascii="Arial" w:eastAsia="Times New Roman" w:hAnsi="Arial" w:cs="Arial"/>
          <w:color w:val="000000"/>
          <w:lang w:eastAsia="es-PE"/>
        </w:rPr>
        <w:t> Aquel que surge del equivocado o inexacto cálculo del área o medidas perimétricas susceptible de ser verificado mediante cálculos matemáticos, siempre que la forma de la superficie corresponda al plano que sustentó la inscripción y no afecte derechos de propiedad inscritos.</w:t>
      </w:r>
    </w:p>
    <w:p w:rsidR="004660BB" w:rsidRPr="004660BB" w:rsidRDefault="004660BB" w:rsidP="00311C07">
      <w:pPr>
        <w:shd w:val="clear" w:color="auto" w:fill="FFFFFF"/>
        <w:spacing w:after="0" w:line="240" w:lineRule="auto"/>
        <w:ind w:left="851" w:hanging="425"/>
        <w:jc w:val="both"/>
        <w:rPr>
          <w:rFonts w:ascii="Arial" w:eastAsia="Times New Roman" w:hAnsi="Arial" w:cs="Arial"/>
          <w:color w:val="000000"/>
          <w:lang w:eastAsia="es-PE"/>
        </w:rPr>
      </w:pPr>
      <w:r w:rsidRPr="004660BB">
        <w:rPr>
          <w:rFonts w:ascii="Arial" w:eastAsia="Times New Roman" w:hAnsi="Arial" w:cs="Arial"/>
          <w:color w:val="000000"/>
          <w:lang w:eastAsia="es-PE"/>
        </w:rPr>
        <w:t>e) </w:t>
      </w:r>
      <w:r w:rsidRPr="004660BB">
        <w:rPr>
          <w:rFonts w:ascii="Arial" w:eastAsia="Times New Roman" w:hAnsi="Arial" w:cs="Arial"/>
          <w:b/>
          <w:bCs/>
          <w:color w:val="000000"/>
          <w:lang w:eastAsia="es-PE"/>
        </w:rPr>
        <w:t>I</w:t>
      </w:r>
      <w:r w:rsidR="00311C07">
        <w:rPr>
          <w:rFonts w:ascii="Arial" w:eastAsia="Times New Roman" w:hAnsi="Arial" w:cs="Arial"/>
          <w:b/>
          <w:bCs/>
          <w:color w:val="000000"/>
          <w:lang w:eastAsia="es-PE"/>
        </w:rPr>
        <w:tab/>
      </w:r>
      <w:r w:rsidRPr="004660BB">
        <w:rPr>
          <w:rFonts w:ascii="Arial" w:eastAsia="Times New Roman" w:hAnsi="Arial" w:cs="Arial"/>
          <w:b/>
          <w:bCs/>
          <w:color w:val="000000"/>
          <w:lang w:eastAsia="es-PE"/>
        </w:rPr>
        <w:t>nsuficiencia de información técnica registral: </w:t>
      </w:r>
      <w:r w:rsidRPr="004660BB">
        <w:rPr>
          <w:rFonts w:ascii="Arial" w:eastAsia="Times New Roman" w:hAnsi="Arial" w:cs="Arial"/>
          <w:color w:val="000000"/>
          <w:lang w:eastAsia="es-PE"/>
        </w:rPr>
        <w:t>Es cuando la información técnica obrante en el Registro de Predios no permite determinar gráficamente al predio, de acuerdo a los supuestos de prevalencia previstos en el artículo 47 concordante con el artículo 45 de la Ley, susceptible a ser identificada a través de un levantamiento de sus características físicas en campo, siempre que dicha información reflejada en un plano no afecte derechos de terceros.</w:t>
      </w:r>
    </w:p>
    <w:p w:rsidR="004660BB" w:rsidRPr="004660BB" w:rsidRDefault="004660BB" w:rsidP="00311C07">
      <w:pPr>
        <w:shd w:val="clear" w:color="auto" w:fill="FFFFFF"/>
        <w:spacing w:after="0" w:line="240" w:lineRule="auto"/>
        <w:ind w:left="851" w:hanging="425"/>
        <w:jc w:val="both"/>
        <w:rPr>
          <w:rFonts w:ascii="Arial" w:eastAsia="Times New Roman" w:hAnsi="Arial" w:cs="Arial"/>
          <w:color w:val="000000"/>
          <w:lang w:eastAsia="es-PE"/>
        </w:rPr>
      </w:pPr>
      <w:r w:rsidRPr="004660BB">
        <w:rPr>
          <w:rFonts w:ascii="Arial" w:eastAsia="Times New Roman" w:hAnsi="Arial" w:cs="Arial"/>
          <w:color w:val="000000"/>
          <w:lang w:eastAsia="es-PE"/>
        </w:rPr>
        <w:t>f) </w:t>
      </w:r>
      <w:r w:rsidR="00311C07">
        <w:rPr>
          <w:rFonts w:ascii="Arial" w:eastAsia="Times New Roman" w:hAnsi="Arial" w:cs="Arial"/>
          <w:color w:val="000000"/>
          <w:lang w:eastAsia="es-PE"/>
        </w:rPr>
        <w:tab/>
      </w:r>
      <w:r w:rsidRPr="004660BB">
        <w:rPr>
          <w:rFonts w:ascii="Arial" w:eastAsia="Times New Roman" w:hAnsi="Arial" w:cs="Arial"/>
          <w:b/>
          <w:bCs/>
          <w:color w:val="000000"/>
          <w:lang w:eastAsia="es-PE"/>
        </w:rPr>
        <w:t>La Ley: </w:t>
      </w:r>
      <w:r w:rsidRPr="004660BB">
        <w:rPr>
          <w:rFonts w:ascii="Arial" w:eastAsia="Times New Roman" w:hAnsi="Arial" w:cs="Arial"/>
          <w:color w:val="000000"/>
          <w:lang w:eastAsia="es-PE"/>
        </w:rPr>
        <w:t>Ley Nº 30230, Ley que establece medidas tributarias, simplificación de procedimientos y permisos para la promoción y dinamización de la inversión en el país.</w:t>
      </w:r>
    </w:p>
    <w:p w:rsidR="004660BB" w:rsidRPr="004660BB" w:rsidRDefault="004660BB" w:rsidP="00311C07">
      <w:pPr>
        <w:shd w:val="clear" w:color="auto" w:fill="FFFFFF"/>
        <w:spacing w:after="0" w:line="240" w:lineRule="auto"/>
        <w:ind w:left="851" w:hanging="425"/>
        <w:jc w:val="both"/>
        <w:rPr>
          <w:rFonts w:ascii="Arial" w:eastAsia="Times New Roman" w:hAnsi="Arial" w:cs="Arial"/>
          <w:color w:val="000000"/>
          <w:lang w:eastAsia="es-PE"/>
        </w:rPr>
      </w:pPr>
      <w:r w:rsidRPr="004660BB">
        <w:rPr>
          <w:rFonts w:ascii="Arial" w:eastAsia="Times New Roman" w:hAnsi="Arial" w:cs="Arial"/>
          <w:color w:val="000000"/>
          <w:lang w:eastAsia="es-PE"/>
        </w:rPr>
        <w:t>g) </w:t>
      </w:r>
      <w:r w:rsidR="00311C07">
        <w:rPr>
          <w:rFonts w:ascii="Arial" w:eastAsia="Times New Roman" w:hAnsi="Arial" w:cs="Arial"/>
          <w:color w:val="000000"/>
          <w:lang w:eastAsia="es-PE"/>
        </w:rPr>
        <w:tab/>
      </w:r>
      <w:r w:rsidRPr="004660BB">
        <w:rPr>
          <w:rFonts w:ascii="Arial" w:eastAsia="Times New Roman" w:hAnsi="Arial" w:cs="Arial"/>
          <w:b/>
          <w:bCs/>
          <w:color w:val="000000"/>
          <w:lang w:eastAsia="es-PE"/>
        </w:rPr>
        <w:t>Solicitante:</w:t>
      </w:r>
      <w:r w:rsidRPr="004660BB">
        <w:rPr>
          <w:rFonts w:ascii="Arial" w:eastAsia="Times New Roman" w:hAnsi="Arial" w:cs="Arial"/>
          <w:color w:val="000000"/>
          <w:lang w:eastAsia="es-PE"/>
        </w:rPr>
        <w:t> Es el Titular del Proyecto de Inversión o la entidad a cargo de la operación de la infraestructura vial en operación.</w:t>
      </w:r>
    </w:p>
    <w:p w:rsidR="004660BB" w:rsidRPr="004660BB" w:rsidRDefault="004660BB" w:rsidP="00311C07">
      <w:pPr>
        <w:shd w:val="clear" w:color="auto" w:fill="FFFFFF"/>
        <w:spacing w:after="0" w:line="240" w:lineRule="auto"/>
        <w:ind w:left="851" w:hanging="425"/>
        <w:jc w:val="both"/>
        <w:rPr>
          <w:rFonts w:ascii="Arial" w:eastAsia="Times New Roman" w:hAnsi="Arial" w:cs="Arial"/>
          <w:color w:val="000000"/>
          <w:lang w:eastAsia="es-PE"/>
        </w:rPr>
      </w:pPr>
      <w:r w:rsidRPr="004660BB">
        <w:rPr>
          <w:rFonts w:ascii="Arial" w:eastAsia="Times New Roman" w:hAnsi="Arial" w:cs="Arial"/>
          <w:color w:val="000000"/>
          <w:lang w:eastAsia="es-PE"/>
        </w:rPr>
        <w:t>h) </w:t>
      </w:r>
      <w:r w:rsidR="00311C07">
        <w:rPr>
          <w:rFonts w:ascii="Arial" w:eastAsia="Times New Roman" w:hAnsi="Arial" w:cs="Arial"/>
          <w:color w:val="000000"/>
          <w:lang w:eastAsia="es-PE"/>
        </w:rPr>
        <w:tab/>
      </w:r>
      <w:r w:rsidRPr="004660BB">
        <w:rPr>
          <w:rFonts w:ascii="Arial" w:eastAsia="Times New Roman" w:hAnsi="Arial" w:cs="Arial"/>
          <w:b/>
          <w:bCs/>
          <w:color w:val="000000"/>
          <w:lang w:eastAsia="es-PE"/>
        </w:rPr>
        <w:t>Superposición gráfica de predio inscrito:</w:t>
      </w:r>
      <w:r w:rsidRPr="004660BB">
        <w:rPr>
          <w:rFonts w:ascii="Arial" w:eastAsia="Times New Roman" w:hAnsi="Arial" w:cs="Arial"/>
          <w:color w:val="000000"/>
          <w:lang w:eastAsia="es-PE"/>
        </w:rPr>
        <w:t> Aquella superposición que sólo existe en la base gráfica registral de la Superintendencia Nacional de los Registros Públicos - SUNARP, pero que en campo es inexistente.</w:t>
      </w:r>
    </w:p>
    <w:p w:rsidR="004660BB" w:rsidRPr="004660BB" w:rsidRDefault="004660BB" w:rsidP="00311C07">
      <w:pPr>
        <w:shd w:val="clear" w:color="auto" w:fill="FFFFFF"/>
        <w:spacing w:after="0" w:line="240" w:lineRule="auto"/>
        <w:ind w:left="851" w:hanging="425"/>
        <w:jc w:val="both"/>
        <w:rPr>
          <w:rFonts w:ascii="Arial" w:eastAsia="Times New Roman" w:hAnsi="Arial" w:cs="Arial"/>
          <w:color w:val="000000"/>
          <w:lang w:eastAsia="es-PE"/>
        </w:rPr>
      </w:pPr>
      <w:r w:rsidRPr="004660BB">
        <w:rPr>
          <w:rFonts w:ascii="Arial" w:eastAsia="Times New Roman" w:hAnsi="Arial" w:cs="Arial"/>
          <w:color w:val="000000"/>
          <w:lang w:eastAsia="es-PE"/>
        </w:rPr>
        <w:t>i)</w:t>
      </w:r>
      <w:r w:rsidR="00311C07">
        <w:rPr>
          <w:rFonts w:ascii="Arial" w:eastAsia="Times New Roman" w:hAnsi="Arial" w:cs="Arial"/>
          <w:color w:val="000000"/>
          <w:lang w:eastAsia="es-PE"/>
        </w:rPr>
        <w:tab/>
      </w:r>
      <w:r w:rsidRPr="004660BB">
        <w:rPr>
          <w:rFonts w:ascii="Arial" w:eastAsia="Times New Roman" w:hAnsi="Arial" w:cs="Arial"/>
          <w:b/>
          <w:bCs/>
          <w:color w:val="000000"/>
          <w:lang w:eastAsia="es-PE"/>
        </w:rPr>
        <w:t>Titular del Proyecto de Inversión:</w:t>
      </w:r>
      <w:r w:rsidRPr="004660BB">
        <w:rPr>
          <w:rFonts w:ascii="Arial" w:eastAsia="Times New Roman" w:hAnsi="Arial" w:cs="Arial"/>
          <w:color w:val="000000"/>
          <w:lang w:eastAsia="es-PE"/>
        </w:rPr>
        <w:t> Es la entidad pública o la persona natural o jurídica de derecho privado a cargo de la ejecución de un proyecto de inversión a que se refiere el artículo 38 de la Ley.</w:t>
      </w:r>
    </w:p>
    <w:p w:rsidR="004660BB" w:rsidRPr="004660BB" w:rsidRDefault="004660BB" w:rsidP="00311C07">
      <w:pPr>
        <w:shd w:val="clear" w:color="auto" w:fill="FFFFFF"/>
        <w:spacing w:after="0" w:line="240" w:lineRule="auto"/>
        <w:ind w:left="851" w:hanging="425"/>
        <w:jc w:val="both"/>
        <w:rPr>
          <w:rFonts w:ascii="Arial" w:eastAsia="Times New Roman" w:hAnsi="Arial" w:cs="Arial"/>
          <w:color w:val="000000"/>
          <w:lang w:eastAsia="es-PE"/>
        </w:rPr>
      </w:pPr>
      <w:r w:rsidRPr="004660BB">
        <w:rPr>
          <w:rFonts w:ascii="Arial" w:eastAsia="Times New Roman" w:hAnsi="Arial" w:cs="Arial"/>
          <w:color w:val="000000"/>
          <w:lang w:eastAsia="es-PE"/>
        </w:rPr>
        <w:t>j) </w:t>
      </w:r>
      <w:r w:rsidR="00311C07">
        <w:rPr>
          <w:rFonts w:ascii="Arial" w:eastAsia="Times New Roman" w:hAnsi="Arial" w:cs="Arial"/>
          <w:color w:val="000000"/>
          <w:lang w:eastAsia="es-PE"/>
        </w:rPr>
        <w:tab/>
      </w:r>
      <w:r w:rsidRPr="004660BB">
        <w:rPr>
          <w:rFonts w:ascii="Arial" w:eastAsia="Times New Roman" w:hAnsi="Arial" w:cs="Arial"/>
          <w:b/>
          <w:bCs/>
          <w:color w:val="000000"/>
          <w:lang w:eastAsia="es-PE"/>
        </w:rPr>
        <w:t>Verificador Catastral: </w:t>
      </w:r>
      <w:r w:rsidRPr="004660BB">
        <w:rPr>
          <w:rFonts w:ascii="Arial" w:eastAsia="Times New Roman" w:hAnsi="Arial" w:cs="Arial"/>
          <w:color w:val="000000"/>
          <w:lang w:eastAsia="es-PE"/>
        </w:rPr>
        <w:t>Profesional inscrito como tal en el Índice de Verificadores Catastrales de la SUNARP que interviene a solicitud del titular del proyecto de inversión para sustentar la inscripción de la modificación de los predios y la aplicación de la prevalencia de la información.</w:t>
      </w:r>
    </w:p>
    <w:p w:rsidR="00311C07" w:rsidRDefault="00311C07" w:rsidP="00311C07">
      <w:pPr>
        <w:shd w:val="clear" w:color="auto" w:fill="FFFFFF"/>
        <w:spacing w:after="0" w:line="240" w:lineRule="auto"/>
        <w:jc w:val="both"/>
        <w:rPr>
          <w:rFonts w:ascii="Arial" w:eastAsia="Times New Roman" w:hAnsi="Arial" w:cs="Arial"/>
          <w:b/>
          <w:bCs/>
          <w:color w:val="000000"/>
          <w:lang w:eastAsia="es-PE"/>
        </w:rPr>
      </w:pP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b/>
          <w:bCs/>
          <w:color w:val="000000"/>
          <w:lang w:eastAsia="es-PE"/>
        </w:rPr>
        <w:t>Artículo 3.- Procedimientos Especiales para el saneamiento de la propiedad - en adelante los Procedimientos Especiales</w:t>
      </w: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color w:val="000000"/>
          <w:lang w:eastAsia="es-PE"/>
        </w:rPr>
        <w:t>Entiéndase como tal al conjunto de reglas, disposiciones</w:t>
      </w:r>
      <w:r w:rsidRPr="004660BB">
        <w:rPr>
          <w:rFonts w:ascii="Arial" w:eastAsia="Times New Roman" w:hAnsi="Arial" w:cs="Arial"/>
          <w:i/>
          <w:iCs/>
          <w:color w:val="000000"/>
          <w:lang w:eastAsia="es-PE"/>
        </w:rPr>
        <w:t> </w:t>
      </w:r>
      <w:r w:rsidRPr="004660BB">
        <w:rPr>
          <w:rFonts w:ascii="Arial" w:eastAsia="Times New Roman" w:hAnsi="Arial" w:cs="Arial"/>
          <w:color w:val="000000"/>
          <w:lang w:eastAsia="es-PE"/>
        </w:rPr>
        <w:t>y procedimientos extraordinarios, comprendidos en la Ley y en el presente Reglamento con la finalidad de realizar el saneamiento físico - legal de predios en las áreas involucradas en proyectos de inversión pública o privada a que se refiere el artículo 38 de la Ley, siendo los siguientes:</w:t>
      </w:r>
    </w:p>
    <w:p w:rsidR="00311C07" w:rsidRDefault="00311C07" w:rsidP="00311C07">
      <w:pPr>
        <w:shd w:val="clear" w:color="auto" w:fill="FFFFFF"/>
        <w:spacing w:after="0" w:line="240" w:lineRule="auto"/>
        <w:jc w:val="both"/>
        <w:rPr>
          <w:rFonts w:ascii="Arial" w:eastAsia="Times New Roman" w:hAnsi="Arial" w:cs="Arial"/>
          <w:color w:val="000000"/>
          <w:lang w:eastAsia="es-PE"/>
        </w:rPr>
      </w:pPr>
    </w:p>
    <w:p w:rsidR="004660BB" w:rsidRDefault="004660BB" w:rsidP="00311C07">
      <w:pPr>
        <w:shd w:val="clear" w:color="auto" w:fill="FFFFFF"/>
        <w:spacing w:after="0" w:line="240" w:lineRule="auto"/>
        <w:ind w:left="851" w:hanging="425"/>
        <w:jc w:val="both"/>
        <w:rPr>
          <w:rFonts w:ascii="Arial" w:eastAsia="Times New Roman" w:hAnsi="Arial" w:cs="Arial"/>
          <w:color w:val="000000"/>
          <w:lang w:eastAsia="es-PE"/>
        </w:rPr>
      </w:pPr>
      <w:r w:rsidRPr="004660BB">
        <w:rPr>
          <w:rFonts w:ascii="Arial" w:eastAsia="Times New Roman" w:hAnsi="Arial" w:cs="Arial"/>
          <w:color w:val="000000"/>
          <w:lang w:eastAsia="es-PE"/>
        </w:rPr>
        <w:t>3.1 Las r</w:t>
      </w:r>
      <w:r w:rsidR="00311C07">
        <w:rPr>
          <w:rFonts w:ascii="Arial" w:eastAsia="Times New Roman" w:hAnsi="Arial" w:cs="Arial"/>
          <w:color w:val="000000"/>
          <w:lang w:eastAsia="es-PE"/>
        </w:rPr>
        <w:t>eglas para requerir a la SUNARP:</w:t>
      </w:r>
    </w:p>
    <w:p w:rsidR="00311C07" w:rsidRPr="004660BB" w:rsidRDefault="00311C07" w:rsidP="00311C07">
      <w:pPr>
        <w:shd w:val="clear" w:color="auto" w:fill="FFFFFF"/>
        <w:spacing w:after="0" w:line="240" w:lineRule="auto"/>
        <w:ind w:left="851" w:hanging="425"/>
        <w:jc w:val="both"/>
        <w:rPr>
          <w:rFonts w:ascii="Arial" w:eastAsia="Times New Roman" w:hAnsi="Arial" w:cs="Arial"/>
          <w:color w:val="000000"/>
          <w:lang w:eastAsia="es-PE"/>
        </w:rPr>
      </w:pPr>
    </w:p>
    <w:p w:rsidR="004660BB" w:rsidRPr="004660BB" w:rsidRDefault="004660BB" w:rsidP="00311C07">
      <w:pPr>
        <w:shd w:val="clear" w:color="auto" w:fill="FFFFFF"/>
        <w:spacing w:after="0" w:line="240" w:lineRule="auto"/>
        <w:ind w:left="1276" w:hanging="425"/>
        <w:jc w:val="both"/>
        <w:rPr>
          <w:rFonts w:ascii="Arial" w:eastAsia="Times New Roman" w:hAnsi="Arial" w:cs="Arial"/>
          <w:color w:val="000000"/>
          <w:lang w:eastAsia="es-PE"/>
        </w:rPr>
      </w:pPr>
      <w:r w:rsidRPr="004660BB">
        <w:rPr>
          <w:rFonts w:ascii="Arial" w:eastAsia="Times New Roman" w:hAnsi="Arial" w:cs="Arial"/>
          <w:color w:val="000000"/>
          <w:lang w:eastAsia="es-PE"/>
        </w:rPr>
        <w:t>- La anotación preventiva.</w:t>
      </w:r>
    </w:p>
    <w:p w:rsidR="004660BB" w:rsidRPr="004660BB" w:rsidRDefault="004660BB" w:rsidP="00311C07">
      <w:pPr>
        <w:shd w:val="clear" w:color="auto" w:fill="FFFFFF"/>
        <w:spacing w:after="0" w:line="240" w:lineRule="auto"/>
        <w:ind w:left="1276" w:hanging="425"/>
        <w:jc w:val="both"/>
        <w:rPr>
          <w:rFonts w:ascii="Arial" w:eastAsia="Times New Roman" w:hAnsi="Arial" w:cs="Arial"/>
          <w:color w:val="000000"/>
          <w:lang w:eastAsia="es-PE"/>
        </w:rPr>
      </w:pPr>
      <w:r w:rsidRPr="004660BB">
        <w:rPr>
          <w:rFonts w:ascii="Arial" w:eastAsia="Times New Roman" w:hAnsi="Arial" w:cs="Arial"/>
          <w:color w:val="000000"/>
          <w:lang w:eastAsia="es-PE"/>
        </w:rPr>
        <w:t>- La aplicación de la prevalencia en los actos registrales.</w:t>
      </w:r>
    </w:p>
    <w:p w:rsidR="004660BB" w:rsidRPr="004660BB" w:rsidRDefault="004660BB" w:rsidP="00311C07">
      <w:pPr>
        <w:shd w:val="clear" w:color="auto" w:fill="FFFFFF"/>
        <w:spacing w:after="0" w:line="240" w:lineRule="auto"/>
        <w:ind w:left="1276" w:hanging="425"/>
        <w:jc w:val="both"/>
        <w:rPr>
          <w:rFonts w:ascii="Arial" w:eastAsia="Times New Roman" w:hAnsi="Arial" w:cs="Arial"/>
          <w:color w:val="000000"/>
          <w:lang w:eastAsia="es-PE"/>
        </w:rPr>
      </w:pPr>
      <w:r w:rsidRPr="004660BB">
        <w:rPr>
          <w:rFonts w:ascii="Arial" w:eastAsia="Times New Roman" w:hAnsi="Arial" w:cs="Arial"/>
          <w:color w:val="000000"/>
          <w:lang w:eastAsia="es-PE"/>
        </w:rPr>
        <w:t>- La inscripción de los actos que importen la modificación física de predios.</w:t>
      </w:r>
    </w:p>
    <w:p w:rsidR="004660BB" w:rsidRPr="004660BB" w:rsidRDefault="004660BB" w:rsidP="00311C07">
      <w:pPr>
        <w:shd w:val="clear" w:color="auto" w:fill="FFFFFF"/>
        <w:spacing w:after="0" w:line="240" w:lineRule="auto"/>
        <w:ind w:left="1276" w:hanging="425"/>
        <w:jc w:val="both"/>
        <w:rPr>
          <w:rFonts w:ascii="Arial" w:eastAsia="Times New Roman" w:hAnsi="Arial" w:cs="Arial"/>
          <w:color w:val="000000"/>
          <w:lang w:eastAsia="es-PE"/>
        </w:rPr>
      </w:pPr>
      <w:r w:rsidRPr="004660BB">
        <w:rPr>
          <w:rFonts w:ascii="Arial" w:eastAsia="Times New Roman" w:hAnsi="Arial" w:cs="Arial"/>
          <w:color w:val="000000"/>
          <w:lang w:eastAsia="es-PE"/>
        </w:rPr>
        <w:t>- El cumplimiento de lo previsto en el artículo 48 de la Ley; y,</w:t>
      </w:r>
    </w:p>
    <w:p w:rsidR="004660BB" w:rsidRDefault="004660BB" w:rsidP="00311C07">
      <w:pPr>
        <w:shd w:val="clear" w:color="auto" w:fill="FFFFFF"/>
        <w:spacing w:after="0" w:line="240" w:lineRule="auto"/>
        <w:ind w:left="1276" w:hanging="425"/>
        <w:jc w:val="both"/>
        <w:rPr>
          <w:rFonts w:ascii="Arial" w:eastAsia="Times New Roman" w:hAnsi="Arial" w:cs="Arial"/>
          <w:color w:val="000000"/>
          <w:lang w:eastAsia="es-PE"/>
        </w:rPr>
      </w:pPr>
      <w:r w:rsidRPr="004660BB">
        <w:rPr>
          <w:rFonts w:ascii="Arial" w:eastAsia="Times New Roman" w:hAnsi="Arial" w:cs="Arial"/>
          <w:color w:val="000000"/>
          <w:lang w:eastAsia="es-PE"/>
        </w:rPr>
        <w:t>- Otras reglas para la inscripción.</w:t>
      </w:r>
    </w:p>
    <w:p w:rsidR="00311C07" w:rsidRPr="004660BB" w:rsidRDefault="00311C07" w:rsidP="00311C07">
      <w:pPr>
        <w:shd w:val="clear" w:color="auto" w:fill="FFFFFF"/>
        <w:spacing w:after="0" w:line="240" w:lineRule="auto"/>
        <w:jc w:val="both"/>
        <w:rPr>
          <w:rFonts w:ascii="Arial" w:eastAsia="Times New Roman" w:hAnsi="Arial" w:cs="Arial"/>
          <w:color w:val="000000"/>
          <w:lang w:eastAsia="es-PE"/>
        </w:rPr>
      </w:pPr>
    </w:p>
    <w:p w:rsidR="004660BB" w:rsidRDefault="004660BB" w:rsidP="00311C07">
      <w:pPr>
        <w:shd w:val="clear" w:color="auto" w:fill="FFFFFF"/>
        <w:spacing w:after="0" w:line="240" w:lineRule="auto"/>
        <w:ind w:left="851" w:hanging="425"/>
        <w:jc w:val="both"/>
        <w:rPr>
          <w:rFonts w:ascii="Arial" w:eastAsia="Times New Roman" w:hAnsi="Arial" w:cs="Arial"/>
          <w:color w:val="000000"/>
          <w:lang w:eastAsia="es-PE"/>
        </w:rPr>
      </w:pPr>
      <w:r w:rsidRPr="004660BB">
        <w:rPr>
          <w:rFonts w:ascii="Arial" w:eastAsia="Times New Roman" w:hAnsi="Arial" w:cs="Arial"/>
          <w:color w:val="000000"/>
          <w:lang w:eastAsia="es-PE"/>
        </w:rPr>
        <w:t>3.2 Las disposiciones especiales aplicables a los predios estatales a cargo de la SBN; y,</w:t>
      </w:r>
    </w:p>
    <w:p w:rsidR="00311C07" w:rsidRPr="004660BB" w:rsidRDefault="00311C07" w:rsidP="00311C07">
      <w:pPr>
        <w:shd w:val="clear" w:color="auto" w:fill="FFFFFF"/>
        <w:spacing w:after="0" w:line="240" w:lineRule="auto"/>
        <w:ind w:left="851" w:hanging="425"/>
        <w:jc w:val="both"/>
        <w:rPr>
          <w:rFonts w:ascii="Arial" w:eastAsia="Times New Roman" w:hAnsi="Arial" w:cs="Arial"/>
          <w:color w:val="000000"/>
          <w:lang w:eastAsia="es-PE"/>
        </w:rPr>
      </w:pPr>
    </w:p>
    <w:p w:rsidR="004660BB" w:rsidRPr="004660BB" w:rsidRDefault="004660BB" w:rsidP="00311C07">
      <w:pPr>
        <w:shd w:val="clear" w:color="auto" w:fill="FFFFFF"/>
        <w:spacing w:after="0" w:line="240" w:lineRule="auto"/>
        <w:ind w:left="851" w:hanging="425"/>
        <w:jc w:val="both"/>
        <w:rPr>
          <w:rFonts w:ascii="Arial" w:eastAsia="Times New Roman" w:hAnsi="Arial" w:cs="Arial"/>
          <w:color w:val="000000"/>
          <w:lang w:eastAsia="es-PE"/>
        </w:rPr>
      </w:pPr>
      <w:r w:rsidRPr="004660BB">
        <w:rPr>
          <w:rFonts w:ascii="Arial" w:eastAsia="Times New Roman" w:hAnsi="Arial" w:cs="Arial"/>
          <w:color w:val="000000"/>
          <w:lang w:eastAsia="es-PE"/>
        </w:rPr>
        <w:t>3.3</w:t>
      </w:r>
      <w:r w:rsidRPr="004660BB">
        <w:rPr>
          <w:rFonts w:ascii="Arial" w:eastAsia="Times New Roman" w:hAnsi="Arial" w:cs="Arial"/>
          <w:b/>
          <w:bCs/>
          <w:color w:val="000000"/>
          <w:lang w:eastAsia="es-PE"/>
        </w:rPr>
        <w:t> </w:t>
      </w:r>
      <w:r w:rsidRPr="004660BB">
        <w:rPr>
          <w:rFonts w:ascii="Arial" w:eastAsia="Times New Roman" w:hAnsi="Arial" w:cs="Arial"/>
          <w:color w:val="000000"/>
          <w:lang w:eastAsia="es-PE"/>
        </w:rPr>
        <w:t>Los procedimientos especiales de saneamiento físico - legal a cargo del COFOPRI referidos a la declaración de la Propiedad, regularización de dominio de predios, rectificación de áreas u otro acto vinculado a sanear la propiedad privada, siendo sus etapas diagnóstico y saneamiento.</w:t>
      </w:r>
    </w:p>
    <w:p w:rsidR="00311C07" w:rsidRDefault="00311C07" w:rsidP="00311C07">
      <w:pPr>
        <w:shd w:val="clear" w:color="auto" w:fill="FFFFFF"/>
        <w:spacing w:after="0" w:line="240" w:lineRule="auto"/>
        <w:jc w:val="both"/>
        <w:rPr>
          <w:rFonts w:ascii="Arial" w:eastAsia="Times New Roman" w:hAnsi="Arial" w:cs="Arial"/>
          <w:b/>
          <w:bCs/>
          <w:color w:val="000000"/>
          <w:lang w:eastAsia="es-PE"/>
        </w:rPr>
      </w:pP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b/>
          <w:bCs/>
          <w:color w:val="000000"/>
          <w:lang w:eastAsia="es-PE"/>
        </w:rPr>
        <w:t>Artículo 4.- Ámbito de aplicación</w:t>
      </w: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color w:val="000000"/>
          <w:lang w:eastAsia="es-PE"/>
        </w:rPr>
        <w:t>Los procedimientos especiales de saneamiento físico - legal, con las excepciones establecidas en los artículos 13 y 14 del presente Reglamento, se aplican sobre los predios siguientes:</w:t>
      </w:r>
    </w:p>
    <w:p w:rsidR="004660BB" w:rsidRPr="004660BB" w:rsidRDefault="004660BB" w:rsidP="00CE1048">
      <w:pPr>
        <w:shd w:val="clear" w:color="auto" w:fill="FFFFFF"/>
        <w:spacing w:after="0" w:line="240" w:lineRule="auto"/>
        <w:ind w:left="851" w:hanging="425"/>
        <w:jc w:val="both"/>
        <w:rPr>
          <w:rFonts w:ascii="Arial" w:eastAsia="Times New Roman" w:hAnsi="Arial" w:cs="Arial"/>
          <w:color w:val="000000"/>
          <w:lang w:eastAsia="es-PE"/>
        </w:rPr>
      </w:pPr>
      <w:r w:rsidRPr="004660BB">
        <w:rPr>
          <w:rFonts w:ascii="Arial" w:eastAsia="Times New Roman" w:hAnsi="Arial" w:cs="Arial"/>
          <w:color w:val="000000"/>
          <w:lang w:eastAsia="es-PE"/>
        </w:rPr>
        <w:t>4.1</w:t>
      </w:r>
      <w:r w:rsidR="00CE1048">
        <w:rPr>
          <w:rFonts w:ascii="Arial" w:eastAsia="Times New Roman" w:hAnsi="Arial" w:cs="Arial"/>
          <w:color w:val="000000"/>
          <w:lang w:eastAsia="es-PE"/>
        </w:rPr>
        <w:tab/>
      </w:r>
      <w:r w:rsidRPr="004660BB">
        <w:rPr>
          <w:rFonts w:ascii="Arial" w:eastAsia="Times New Roman" w:hAnsi="Arial" w:cs="Arial"/>
          <w:color w:val="000000"/>
          <w:lang w:eastAsia="es-PE"/>
        </w:rPr>
        <w:t>Aquellos que se encuentran dentro del área de influencia directa o indirecta de los proyectos de inversión que cumplan con alguna de las condiciones siguientes:</w:t>
      </w:r>
    </w:p>
    <w:p w:rsidR="004660BB" w:rsidRPr="004660BB" w:rsidRDefault="004660BB" w:rsidP="00CE1048">
      <w:pPr>
        <w:shd w:val="clear" w:color="auto" w:fill="FFFFFF"/>
        <w:spacing w:after="0" w:line="240" w:lineRule="auto"/>
        <w:ind w:left="1276" w:hanging="425"/>
        <w:jc w:val="both"/>
        <w:rPr>
          <w:rFonts w:ascii="Arial" w:eastAsia="Times New Roman" w:hAnsi="Arial" w:cs="Arial"/>
          <w:color w:val="000000"/>
          <w:lang w:eastAsia="es-PE"/>
        </w:rPr>
      </w:pPr>
      <w:r w:rsidRPr="004660BB">
        <w:rPr>
          <w:rFonts w:ascii="Arial" w:eastAsia="Times New Roman" w:hAnsi="Arial" w:cs="Arial"/>
          <w:color w:val="000000"/>
          <w:lang w:eastAsia="es-PE"/>
        </w:rPr>
        <w:t>a) Han sido declarados por Ley de necesidad pública, interés nacional, seguridad nacional y/o de gran envergadura.</w:t>
      </w:r>
    </w:p>
    <w:p w:rsidR="004660BB" w:rsidRPr="004660BB" w:rsidRDefault="004660BB" w:rsidP="00CE1048">
      <w:pPr>
        <w:shd w:val="clear" w:color="auto" w:fill="FFFFFF"/>
        <w:spacing w:after="0" w:line="240" w:lineRule="auto"/>
        <w:ind w:left="1276" w:hanging="425"/>
        <w:jc w:val="both"/>
        <w:rPr>
          <w:rFonts w:ascii="Arial" w:eastAsia="Times New Roman" w:hAnsi="Arial" w:cs="Arial"/>
          <w:color w:val="000000"/>
          <w:lang w:eastAsia="es-PE"/>
        </w:rPr>
      </w:pPr>
      <w:r w:rsidRPr="004660BB">
        <w:rPr>
          <w:rFonts w:ascii="Arial" w:eastAsia="Times New Roman" w:hAnsi="Arial" w:cs="Arial"/>
          <w:color w:val="000000"/>
          <w:lang w:eastAsia="es-PE"/>
        </w:rPr>
        <w:t>b) Cuentan con concesiones otorgadas por el Gobierno Nacional, para obras de infraestructura pública y prestación de servicios públicos; para el desarrollo de actividades mineras y de hidrocarburos.</w:t>
      </w:r>
    </w:p>
    <w:p w:rsidR="004660BB" w:rsidRPr="004660BB" w:rsidRDefault="004660BB" w:rsidP="00CE1048">
      <w:pPr>
        <w:shd w:val="clear" w:color="auto" w:fill="FFFFFF"/>
        <w:spacing w:after="0" w:line="240" w:lineRule="auto"/>
        <w:ind w:left="1276" w:hanging="425"/>
        <w:jc w:val="both"/>
        <w:rPr>
          <w:rFonts w:ascii="Arial" w:eastAsia="Times New Roman" w:hAnsi="Arial" w:cs="Arial"/>
          <w:color w:val="000000"/>
          <w:lang w:eastAsia="es-PE"/>
        </w:rPr>
      </w:pPr>
      <w:r w:rsidRPr="004660BB">
        <w:rPr>
          <w:rFonts w:ascii="Arial" w:eastAsia="Times New Roman" w:hAnsi="Arial" w:cs="Arial"/>
          <w:color w:val="000000"/>
          <w:lang w:eastAsia="es-PE"/>
        </w:rPr>
        <w:t>c) Cuentan con concesiones otorgadas con la participación de la Agencia de Promoción de la Inversión Privada – Perú, PROINVERSIÓN.</w:t>
      </w:r>
    </w:p>
    <w:p w:rsidR="004660BB" w:rsidRDefault="004660BB" w:rsidP="00CE1048">
      <w:pPr>
        <w:shd w:val="clear" w:color="auto" w:fill="FFFFFF"/>
        <w:spacing w:after="0" w:line="240" w:lineRule="auto"/>
        <w:ind w:left="1276" w:hanging="425"/>
        <w:jc w:val="both"/>
        <w:rPr>
          <w:rFonts w:ascii="Arial" w:eastAsia="Times New Roman" w:hAnsi="Arial" w:cs="Arial"/>
          <w:color w:val="000000"/>
          <w:lang w:eastAsia="es-PE"/>
        </w:rPr>
      </w:pPr>
      <w:r w:rsidRPr="004660BB">
        <w:rPr>
          <w:rFonts w:ascii="Arial" w:eastAsia="Times New Roman" w:hAnsi="Arial" w:cs="Arial"/>
          <w:color w:val="000000"/>
          <w:lang w:eastAsia="es-PE"/>
        </w:rPr>
        <w:t>d) Cuentan con la autorización ministerial otorgada por el órgano competente, conforme a la normatividad de la materia.</w:t>
      </w:r>
    </w:p>
    <w:p w:rsidR="00CE1048" w:rsidRPr="004660BB" w:rsidRDefault="00CE1048" w:rsidP="00CE1048">
      <w:pPr>
        <w:shd w:val="clear" w:color="auto" w:fill="FFFFFF"/>
        <w:spacing w:after="0" w:line="240" w:lineRule="auto"/>
        <w:ind w:left="1276" w:hanging="425"/>
        <w:jc w:val="both"/>
        <w:rPr>
          <w:rFonts w:ascii="Arial" w:eastAsia="Times New Roman" w:hAnsi="Arial" w:cs="Arial"/>
          <w:color w:val="000000"/>
          <w:lang w:eastAsia="es-PE"/>
        </w:rPr>
      </w:pPr>
    </w:p>
    <w:p w:rsidR="004660BB" w:rsidRPr="004660BB" w:rsidRDefault="004660BB" w:rsidP="00CE1048">
      <w:pPr>
        <w:shd w:val="clear" w:color="auto" w:fill="FFFFFF"/>
        <w:spacing w:after="0" w:line="240" w:lineRule="auto"/>
        <w:ind w:left="851" w:hanging="425"/>
        <w:jc w:val="both"/>
        <w:rPr>
          <w:rFonts w:ascii="Arial" w:eastAsia="Times New Roman" w:hAnsi="Arial" w:cs="Arial"/>
          <w:color w:val="000000"/>
          <w:lang w:eastAsia="es-PE"/>
        </w:rPr>
      </w:pPr>
      <w:r w:rsidRPr="004660BB">
        <w:rPr>
          <w:rFonts w:ascii="Arial" w:eastAsia="Times New Roman" w:hAnsi="Arial" w:cs="Arial"/>
          <w:color w:val="000000"/>
          <w:lang w:eastAsia="es-PE"/>
        </w:rPr>
        <w:t xml:space="preserve">4.2 </w:t>
      </w:r>
      <w:r w:rsidR="00CE1048">
        <w:rPr>
          <w:rFonts w:ascii="Arial" w:eastAsia="Times New Roman" w:hAnsi="Arial" w:cs="Arial"/>
          <w:color w:val="000000"/>
          <w:lang w:eastAsia="es-PE"/>
        </w:rPr>
        <w:tab/>
      </w:r>
      <w:r w:rsidRPr="004660BB">
        <w:rPr>
          <w:rFonts w:ascii="Arial" w:eastAsia="Times New Roman" w:hAnsi="Arial" w:cs="Arial"/>
          <w:color w:val="000000"/>
          <w:lang w:eastAsia="es-PE"/>
        </w:rPr>
        <w:t>Aquellos que se encuentren ocupados por obras públicas viales en fase de operación, cuyas áreas se encuentran pendientes de saneamiento físico - legal, antes o después de la vigencia de la Ley</w:t>
      </w:r>
    </w:p>
    <w:p w:rsidR="00CE1048" w:rsidRDefault="00CE1048" w:rsidP="00311C07">
      <w:pPr>
        <w:shd w:val="clear" w:color="auto" w:fill="FFFFFF"/>
        <w:spacing w:after="0" w:line="240" w:lineRule="auto"/>
        <w:jc w:val="both"/>
        <w:rPr>
          <w:rFonts w:ascii="Arial" w:eastAsia="Times New Roman" w:hAnsi="Arial" w:cs="Arial"/>
          <w:b/>
          <w:bCs/>
          <w:color w:val="000000"/>
          <w:lang w:eastAsia="es-PE"/>
        </w:rPr>
      </w:pP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b/>
          <w:bCs/>
          <w:color w:val="000000"/>
          <w:lang w:eastAsia="es-PE"/>
        </w:rPr>
        <w:t>Artículo 5.- De las competencias de la SBN y COFOPRI</w:t>
      </w:r>
    </w:p>
    <w:p w:rsidR="004660BB" w:rsidRDefault="004660BB" w:rsidP="00CE1048">
      <w:pPr>
        <w:shd w:val="clear" w:color="auto" w:fill="FFFFFF"/>
        <w:spacing w:after="0" w:line="240" w:lineRule="auto"/>
        <w:ind w:left="851" w:hanging="425"/>
        <w:jc w:val="both"/>
        <w:rPr>
          <w:rFonts w:ascii="Arial" w:eastAsia="Times New Roman" w:hAnsi="Arial" w:cs="Arial"/>
          <w:color w:val="000000"/>
          <w:lang w:eastAsia="es-PE"/>
        </w:rPr>
      </w:pPr>
      <w:r w:rsidRPr="004660BB">
        <w:rPr>
          <w:rFonts w:ascii="Arial" w:eastAsia="Times New Roman" w:hAnsi="Arial" w:cs="Arial"/>
          <w:color w:val="000000"/>
          <w:lang w:eastAsia="es-PE"/>
        </w:rPr>
        <w:t xml:space="preserve">5.1 </w:t>
      </w:r>
      <w:r w:rsidR="00CE1048">
        <w:rPr>
          <w:rFonts w:ascii="Arial" w:eastAsia="Times New Roman" w:hAnsi="Arial" w:cs="Arial"/>
          <w:color w:val="000000"/>
          <w:lang w:eastAsia="es-PE"/>
        </w:rPr>
        <w:tab/>
      </w:r>
      <w:r w:rsidRPr="004660BB">
        <w:rPr>
          <w:rFonts w:ascii="Arial" w:eastAsia="Times New Roman" w:hAnsi="Arial" w:cs="Arial"/>
          <w:color w:val="000000"/>
          <w:lang w:eastAsia="es-PE"/>
        </w:rPr>
        <w:t>La SBN es competente para ejecutar, a solicitud del Titular del Proyecto, los procedimientos especiales para el saneamiento físico - legal de la propiedad estatal, así como para aplicar lo establecido en los Sub Capítulos II y III del Capítulo I del Título III de la Ley, y los desarrollados en el presente Reglamento, con el fin de ejecutar los actos de adquisición, de administración o de disposición sobre los predios de propiedad estatal.</w:t>
      </w:r>
    </w:p>
    <w:p w:rsidR="00CE1048" w:rsidRPr="004660BB" w:rsidRDefault="00CE1048" w:rsidP="00CE1048">
      <w:pPr>
        <w:shd w:val="clear" w:color="auto" w:fill="FFFFFF"/>
        <w:spacing w:after="0" w:line="240" w:lineRule="auto"/>
        <w:ind w:left="851" w:hanging="425"/>
        <w:jc w:val="both"/>
        <w:rPr>
          <w:rFonts w:ascii="Arial" w:eastAsia="Times New Roman" w:hAnsi="Arial" w:cs="Arial"/>
          <w:color w:val="000000"/>
          <w:lang w:eastAsia="es-PE"/>
        </w:rPr>
      </w:pPr>
    </w:p>
    <w:p w:rsidR="004660BB" w:rsidRDefault="004660BB" w:rsidP="00CE1048">
      <w:pPr>
        <w:shd w:val="clear" w:color="auto" w:fill="FFFFFF"/>
        <w:spacing w:after="0" w:line="240" w:lineRule="auto"/>
        <w:ind w:left="851" w:hanging="425"/>
        <w:jc w:val="both"/>
        <w:rPr>
          <w:rFonts w:ascii="Arial" w:eastAsia="Times New Roman" w:hAnsi="Arial" w:cs="Arial"/>
          <w:color w:val="000000"/>
          <w:lang w:eastAsia="es-PE"/>
        </w:rPr>
      </w:pPr>
      <w:r w:rsidRPr="004660BB">
        <w:rPr>
          <w:rFonts w:ascii="Arial" w:eastAsia="Times New Roman" w:hAnsi="Arial" w:cs="Arial"/>
          <w:color w:val="000000"/>
          <w:lang w:eastAsia="es-PE"/>
        </w:rPr>
        <w:t>5.2</w:t>
      </w:r>
      <w:r w:rsidRPr="004660BB">
        <w:rPr>
          <w:rFonts w:ascii="Arial" w:eastAsia="Times New Roman" w:hAnsi="Arial" w:cs="Arial"/>
          <w:b/>
          <w:bCs/>
          <w:color w:val="000000"/>
          <w:lang w:eastAsia="es-PE"/>
        </w:rPr>
        <w:t> </w:t>
      </w:r>
      <w:r w:rsidR="00CE1048">
        <w:rPr>
          <w:rFonts w:ascii="Arial" w:eastAsia="Times New Roman" w:hAnsi="Arial" w:cs="Arial"/>
          <w:b/>
          <w:bCs/>
          <w:color w:val="000000"/>
          <w:lang w:eastAsia="es-PE"/>
        </w:rPr>
        <w:tab/>
      </w:r>
      <w:r w:rsidRPr="004660BB">
        <w:rPr>
          <w:rFonts w:ascii="Arial" w:eastAsia="Times New Roman" w:hAnsi="Arial" w:cs="Arial"/>
          <w:color w:val="000000"/>
          <w:lang w:eastAsia="es-PE"/>
        </w:rPr>
        <w:t>COFOPRI</w:t>
      </w:r>
      <w:r w:rsidRPr="004660BB">
        <w:rPr>
          <w:rFonts w:ascii="Arial" w:eastAsia="Times New Roman" w:hAnsi="Arial" w:cs="Arial"/>
          <w:b/>
          <w:bCs/>
          <w:color w:val="000000"/>
          <w:lang w:eastAsia="es-PE"/>
        </w:rPr>
        <w:t> </w:t>
      </w:r>
      <w:r w:rsidRPr="004660BB">
        <w:rPr>
          <w:rFonts w:ascii="Arial" w:eastAsia="Times New Roman" w:hAnsi="Arial" w:cs="Arial"/>
          <w:color w:val="000000"/>
          <w:lang w:eastAsia="es-PE"/>
        </w:rPr>
        <w:t>es competente para ejecutar sobre los predios de propiedad privada, a solicitud del Titular del Proyecto; y contando con la autorización del propietario según corresponda; los procedimientos especiales de saneamiento físico - legal, así como para aplicar lo establecido en los Sub Capítulos II y III del Capítulo I del Título III de la Ley y los desarrollados en el presente Reglamento; incluso cuando el último adquirente del predio sea una entidad pública.</w:t>
      </w:r>
    </w:p>
    <w:p w:rsidR="00CE1048" w:rsidRPr="004660BB" w:rsidRDefault="00CE1048" w:rsidP="00CE1048">
      <w:pPr>
        <w:shd w:val="clear" w:color="auto" w:fill="FFFFFF"/>
        <w:spacing w:after="0" w:line="240" w:lineRule="auto"/>
        <w:ind w:left="851" w:hanging="425"/>
        <w:jc w:val="both"/>
        <w:rPr>
          <w:rFonts w:ascii="Arial" w:eastAsia="Times New Roman" w:hAnsi="Arial" w:cs="Arial"/>
          <w:color w:val="000000"/>
          <w:lang w:eastAsia="es-PE"/>
        </w:rPr>
      </w:pPr>
    </w:p>
    <w:p w:rsidR="004660BB" w:rsidRPr="004660BB" w:rsidRDefault="004660BB" w:rsidP="00CE1048">
      <w:pPr>
        <w:shd w:val="clear" w:color="auto" w:fill="FFFFFF"/>
        <w:spacing w:after="0" w:line="240" w:lineRule="auto"/>
        <w:ind w:left="851" w:hanging="425"/>
        <w:jc w:val="both"/>
        <w:rPr>
          <w:rFonts w:ascii="Arial" w:eastAsia="Times New Roman" w:hAnsi="Arial" w:cs="Arial"/>
          <w:color w:val="000000"/>
          <w:lang w:eastAsia="es-PE"/>
        </w:rPr>
      </w:pPr>
      <w:r w:rsidRPr="004660BB">
        <w:rPr>
          <w:rFonts w:ascii="Arial" w:eastAsia="Times New Roman" w:hAnsi="Arial" w:cs="Arial"/>
          <w:color w:val="000000"/>
          <w:lang w:eastAsia="es-PE"/>
        </w:rPr>
        <w:t>5.3</w:t>
      </w:r>
      <w:r w:rsidRPr="004660BB">
        <w:rPr>
          <w:rFonts w:ascii="Arial" w:eastAsia="Times New Roman" w:hAnsi="Arial" w:cs="Arial"/>
          <w:b/>
          <w:bCs/>
          <w:color w:val="000000"/>
          <w:lang w:eastAsia="es-PE"/>
        </w:rPr>
        <w:t> </w:t>
      </w:r>
      <w:r w:rsidR="00CE1048">
        <w:rPr>
          <w:rFonts w:ascii="Arial" w:eastAsia="Times New Roman" w:hAnsi="Arial" w:cs="Arial"/>
          <w:b/>
          <w:bCs/>
          <w:color w:val="000000"/>
          <w:lang w:eastAsia="es-PE"/>
        </w:rPr>
        <w:tab/>
      </w:r>
      <w:r w:rsidRPr="004660BB">
        <w:rPr>
          <w:rFonts w:ascii="Arial" w:eastAsia="Times New Roman" w:hAnsi="Arial" w:cs="Arial"/>
          <w:color w:val="000000"/>
          <w:lang w:eastAsia="es-PE"/>
        </w:rPr>
        <w:t>La etapa del diagnóstico que efectúa la SBN o COFOPRI para efectos del saneamiento del predio, puede comprender propiedad estatal y/o privada.</w:t>
      </w:r>
    </w:p>
    <w:p w:rsidR="00CE1048" w:rsidRDefault="00CE1048" w:rsidP="00311C07">
      <w:pPr>
        <w:shd w:val="clear" w:color="auto" w:fill="FFFFFF"/>
        <w:spacing w:after="0" w:line="240" w:lineRule="auto"/>
        <w:jc w:val="both"/>
        <w:rPr>
          <w:rFonts w:ascii="Arial" w:eastAsia="Times New Roman" w:hAnsi="Arial" w:cs="Arial"/>
          <w:b/>
          <w:bCs/>
          <w:color w:val="000000"/>
          <w:lang w:eastAsia="es-PE"/>
        </w:rPr>
      </w:pP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b/>
          <w:bCs/>
          <w:color w:val="000000"/>
          <w:lang w:eastAsia="es-PE"/>
        </w:rPr>
        <w:t>Artículo 6.- De las facultades del titular del proyecto</w:t>
      </w:r>
    </w:p>
    <w:p w:rsid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color w:val="000000"/>
          <w:lang w:eastAsia="es-PE"/>
        </w:rPr>
        <w:t>Corresponde al titular del proyecto de inversión los actos siguientes:</w:t>
      </w:r>
    </w:p>
    <w:p w:rsidR="00CE1048" w:rsidRPr="004660BB" w:rsidRDefault="00CE1048" w:rsidP="00311C07">
      <w:pPr>
        <w:shd w:val="clear" w:color="auto" w:fill="FFFFFF"/>
        <w:spacing w:after="0" w:line="240" w:lineRule="auto"/>
        <w:jc w:val="both"/>
        <w:rPr>
          <w:rFonts w:ascii="Arial" w:eastAsia="Times New Roman" w:hAnsi="Arial" w:cs="Arial"/>
          <w:color w:val="000000"/>
          <w:lang w:eastAsia="es-PE"/>
        </w:rPr>
      </w:pPr>
    </w:p>
    <w:p w:rsidR="004660BB" w:rsidRPr="004660BB" w:rsidRDefault="004660BB" w:rsidP="00CE1048">
      <w:pPr>
        <w:shd w:val="clear" w:color="auto" w:fill="FFFFFF"/>
        <w:spacing w:after="0" w:line="240" w:lineRule="auto"/>
        <w:ind w:left="851" w:hanging="425"/>
        <w:jc w:val="both"/>
        <w:rPr>
          <w:rFonts w:ascii="Arial" w:eastAsia="Times New Roman" w:hAnsi="Arial" w:cs="Arial"/>
          <w:color w:val="000000"/>
          <w:lang w:eastAsia="es-PE"/>
        </w:rPr>
      </w:pPr>
      <w:r w:rsidRPr="004660BB">
        <w:rPr>
          <w:rFonts w:ascii="Arial" w:eastAsia="Times New Roman" w:hAnsi="Arial" w:cs="Arial"/>
          <w:color w:val="000000"/>
          <w:lang w:eastAsia="es-PE"/>
        </w:rPr>
        <w:t>a) </w:t>
      </w:r>
      <w:r w:rsidR="00CE1048">
        <w:rPr>
          <w:rFonts w:ascii="Arial" w:eastAsia="Times New Roman" w:hAnsi="Arial" w:cs="Arial"/>
          <w:color w:val="000000"/>
          <w:lang w:eastAsia="es-PE"/>
        </w:rPr>
        <w:tab/>
      </w:r>
      <w:r w:rsidRPr="004660BB">
        <w:rPr>
          <w:rFonts w:ascii="Arial" w:eastAsia="Times New Roman" w:hAnsi="Arial" w:cs="Arial"/>
          <w:color w:val="000000"/>
          <w:lang w:eastAsia="es-PE"/>
        </w:rPr>
        <w:t>Solicitar los procedimientos especiales ante la SBN y COFOPRI, según corresponda, en el marco de la Ley y el presente Reglamento.</w:t>
      </w:r>
    </w:p>
    <w:p w:rsidR="004660BB" w:rsidRPr="004660BB" w:rsidRDefault="004660BB" w:rsidP="00CE1048">
      <w:pPr>
        <w:shd w:val="clear" w:color="auto" w:fill="FFFFFF"/>
        <w:spacing w:after="0" w:line="240" w:lineRule="auto"/>
        <w:ind w:left="851" w:hanging="425"/>
        <w:jc w:val="both"/>
        <w:rPr>
          <w:rFonts w:ascii="Arial" w:eastAsia="Times New Roman" w:hAnsi="Arial" w:cs="Arial"/>
          <w:color w:val="000000"/>
          <w:lang w:eastAsia="es-PE"/>
        </w:rPr>
      </w:pPr>
      <w:r w:rsidRPr="004660BB">
        <w:rPr>
          <w:rFonts w:ascii="Arial" w:eastAsia="Times New Roman" w:hAnsi="Arial" w:cs="Arial"/>
          <w:color w:val="000000"/>
          <w:lang w:eastAsia="es-PE"/>
        </w:rPr>
        <w:t>b) </w:t>
      </w:r>
      <w:r w:rsidR="00CE1048">
        <w:rPr>
          <w:rFonts w:ascii="Arial" w:eastAsia="Times New Roman" w:hAnsi="Arial" w:cs="Arial"/>
          <w:color w:val="000000"/>
          <w:lang w:eastAsia="es-PE"/>
        </w:rPr>
        <w:tab/>
      </w:r>
      <w:r w:rsidRPr="004660BB">
        <w:rPr>
          <w:rFonts w:ascii="Arial" w:eastAsia="Times New Roman" w:hAnsi="Arial" w:cs="Arial"/>
          <w:color w:val="000000"/>
          <w:lang w:eastAsia="es-PE"/>
        </w:rPr>
        <w:t>La solicitud de los servicios registrales de información e inscripción, incluyendo la modificación física de predios, aplicando las reglas y disposiciones de la Ley y del presente Reglamento.</w:t>
      </w:r>
    </w:p>
    <w:p w:rsidR="004660BB" w:rsidRPr="004660BB" w:rsidRDefault="004660BB" w:rsidP="00CE1048">
      <w:pPr>
        <w:shd w:val="clear" w:color="auto" w:fill="FFFFFF"/>
        <w:spacing w:after="0" w:line="240" w:lineRule="auto"/>
        <w:ind w:left="851" w:hanging="425"/>
        <w:jc w:val="both"/>
        <w:rPr>
          <w:rFonts w:ascii="Arial" w:eastAsia="Times New Roman" w:hAnsi="Arial" w:cs="Arial"/>
          <w:color w:val="000000"/>
          <w:lang w:eastAsia="es-PE"/>
        </w:rPr>
      </w:pPr>
      <w:r w:rsidRPr="004660BB">
        <w:rPr>
          <w:rFonts w:ascii="Arial" w:eastAsia="Times New Roman" w:hAnsi="Arial" w:cs="Arial"/>
          <w:color w:val="000000"/>
          <w:lang w:eastAsia="es-PE"/>
        </w:rPr>
        <w:t>c) </w:t>
      </w:r>
      <w:r w:rsidR="00CE1048">
        <w:rPr>
          <w:rFonts w:ascii="Arial" w:eastAsia="Times New Roman" w:hAnsi="Arial" w:cs="Arial"/>
          <w:color w:val="000000"/>
          <w:lang w:eastAsia="es-PE"/>
        </w:rPr>
        <w:tab/>
      </w:r>
      <w:r w:rsidRPr="004660BB">
        <w:rPr>
          <w:rFonts w:ascii="Arial" w:eastAsia="Times New Roman" w:hAnsi="Arial" w:cs="Arial"/>
          <w:color w:val="000000"/>
          <w:lang w:eastAsia="es-PE"/>
        </w:rPr>
        <w:t>La petición de la aplicación de reglas de prevalencia en el marco de las facultades de los verificadores catastrales.</w:t>
      </w:r>
    </w:p>
    <w:p w:rsidR="004660BB" w:rsidRPr="004660BB" w:rsidRDefault="004660BB" w:rsidP="00CE1048">
      <w:pPr>
        <w:shd w:val="clear" w:color="auto" w:fill="FFFFFF"/>
        <w:spacing w:after="0" w:line="240" w:lineRule="auto"/>
        <w:ind w:left="851" w:hanging="425"/>
        <w:jc w:val="both"/>
        <w:rPr>
          <w:rFonts w:ascii="Arial" w:eastAsia="Times New Roman" w:hAnsi="Arial" w:cs="Arial"/>
          <w:color w:val="000000"/>
          <w:lang w:eastAsia="es-PE"/>
        </w:rPr>
      </w:pPr>
      <w:r w:rsidRPr="004660BB">
        <w:rPr>
          <w:rFonts w:ascii="Arial" w:eastAsia="Times New Roman" w:hAnsi="Arial" w:cs="Arial"/>
          <w:color w:val="000000"/>
          <w:lang w:eastAsia="es-PE"/>
        </w:rPr>
        <w:t>d) </w:t>
      </w:r>
      <w:r w:rsidR="00CE1048">
        <w:rPr>
          <w:rFonts w:ascii="Arial" w:eastAsia="Times New Roman" w:hAnsi="Arial" w:cs="Arial"/>
          <w:color w:val="000000"/>
          <w:lang w:eastAsia="es-PE"/>
        </w:rPr>
        <w:tab/>
      </w:r>
      <w:r w:rsidRPr="004660BB">
        <w:rPr>
          <w:rFonts w:ascii="Arial" w:eastAsia="Times New Roman" w:hAnsi="Arial" w:cs="Arial"/>
          <w:color w:val="000000"/>
          <w:lang w:eastAsia="es-PE"/>
        </w:rPr>
        <w:t>La petición de inscripción de anotación preventiva, únicamente cuando acredite que el predio se encuentra en proceso de saneamiento ante la SBN o ante el COFOPRI.</w:t>
      </w:r>
    </w:p>
    <w:p w:rsidR="00CE1048" w:rsidRDefault="00CE1048" w:rsidP="00311C07">
      <w:pPr>
        <w:shd w:val="clear" w:color="auto" w:fill="FFFFFF"/>
        <w:spacing w:after="0" w:line="240" w:lineRule="auto"/>
        <w:jc w:val="both"/>
        <w:rPr>
          <w:rFonts w:ascii="Arial" w:eastAsia="Times New Roman" w:hAnsi="Arial" w:cs="Arial"/>
          <w:b/>
          <w:bCs/>
          <w:color w:val="000000"/>
          <w:lang w:eastAsia="es-PE"/>
        </w:rPr>
      </w:pP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b/>
          <w:bCs/>
          <w:color w:val="000000"/>
          <w:lang w:eastAsia="es-PE"/>
        </w:rPr>
        <w:t>Artículo 7.- De la anotación preventiva</w:t>
      </w: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color w:val="000000"/>
          <w:lang w:eastAsia="es-PE"/>
        </w:rPr>
        <w:t>La anotación preventiva a que se refiere el artículo 42 de la Ley se inscribe en mérito del oficio emitido por la SBN o COFOPRI o del oficio que emitan dichas entidades en donde conste el encargo a favor del Titular del Proyecto, con la indicación del número de las partidas registrales correspondientes.</w:t>
      </w:r>
    </w:p>
    <w:p w:rsidR="00CE1048"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color w:val="000000"/>
          <w:lang w:eastAsia="es-PE"/>
        </w:rPr>
        <w:t xml:space="preserve">Tratándose de predios no registrados o cuando el proyecto involucre sólo una parte del predio registrado, se acompañarán los planos de las áreas involucradas con el cuadro de datos técnicos en el Datum oficial. </w:t>
      </w:r>
    </w:p>
    <w:p w:rsidR="00CE1048" w:rsidRDefault="00CE1048" w:rsidP="00311C07">
      <w:pPr>
        <w:shd w:val="clear" w:color="auto" w:fill="FFFFFF"/>
        <w:spacing w:after="0" w:line="240" w:lineRule="auto"/>
        <w:jc w:val="both"/>
        <w:rPr>
          <w:rFonts w:ascii="Arial" w:eastAsia="Times New Roman" w:hAnsi="Arial" w:cs="Arial"/>
          <w:color w:val="000000"/>
          <w:lang w:eastAsia="es-PE"/>
        </w:rPr>
      </w:pP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color w:val="000000"/>
          <w:lang w:eastAsia="es-PE"/>
        </w:rPr>
        <w:t>En estos casos, el registrador procederá a abrir una partida registral provisional.</w:t>
      </w:r>
    </w:p>
    <w:p w:rsidR="00CE1048" w:rsidRDefault="00CE1048" w:rsidP="00311C07">
      <w:pPr>
        <w:shd w:val="clear" w:color="auto" w:fill="FFFFFF"/>
        <w:spacing w:after="0" w:line="240" w:lineRule="auto"/>
        <w:jc w:val="both"/>
        <w:rPr>
          <w:rFonts w:ascii="Arial" w:eastAsia="Times New Roman" w:hAnsi="Arial" w:cs="Arial"/>
          <w:color w:val="000000"/>
          <w:lang w:eastAsia="es-PE"/>
        </w:rPr>
      </w:pPr>
    </w:p>
    <w:p w:rsid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color w:val="000000"/>
          <w:lang w:eastAsia="es-PE"/>
        </w:rPr>
        <w:t>La anotación preventiva subsiste hasta:</w:t>
      </w:r>
    </w:p>
    <w:p w:rsidR="00CE1048" w:rsidRPr="004660BB" w:rsidRDefault="00CE1048" w:rsidP="00311C07">
      <w:pPr>
        <w:shd w:val="clear" w:color="auto" w:fill="FFFFFF"/>
        <w:spacing w:after="0" w:line="240" w:lineRule="auto"/>
        <w:jc w:val="both"/>
        <w:rPr>
          <w:rFonts w:ascii="Arial" w:eastAsia="Times New Roman" w:hAnsi="Arial" w:cs="Arial"/>
          <w:color w:val="000000"/>
          <w:lang w:eastAsia="es-PE"/>
        </w:rPr>
      </w:pPr>
    </w:p>
    <w:p w:rsidR="004660BB" w:rsidRPr="004660BB" w:rsidRDefault="004660BB" w:rsidP="00CE1048">
      <w:pPr>
        <w:shd w:val="clear" w:color="auto" w:fill="FFFFFF"/>
        <w:spacing w:after="0" w:line="240" w:lineRule="auto"/>
        <w:ind w:left="426"/>
        <w:jc w:val="both"/>
        <w:rPr>
          <w:rFonts w:ascii="Arial" w:eastAsia="Times New Roman" w:hAnsi="Arial" w:cs="Arial"/>
          <w:color w:val="000000"/>
          <w:lang w:eastAsia="es-PE"/>
        </w:rPr>
      </w:pPr>
      <w:r w:rsidRPr="004660BB">
        <w:rPr>
          <w:rFonts w:ascii="Arial" w:eastAsia="Times New Roman" w:hAnsi="Arial" w:cs="Arial"/>
          <w:color w:val="000000"/>
          <w:lang w:eastAsia="es-PE"/>
        </w:rPr>
        <w:t>- La inscripción del acto, o,</w:t>
      </w:r>
    </w:p>
    <w:p w:rsidR="004660BB" w:rsidRPr="004660BB" w:rsidRDefault="004660BB" w:rsidP="00CE1048">
      <w:pPr>
        <w:shd w:val="clear" w:color="auto" w:fill="FFFFFF"/>
        <w:spacing w:after="0" w:line="240" w:lineRule="auto"/>
        <w:ind w:left="426"/>
        <w:jc w:val="both"/>
        <w:rPr>
          <w:rFonts w:ascii="Arial" w:eastAsia="Times New Roman" w:hAnsi="Arial" w:cs="Arial"/>
          <w:color w:val="000000"/>
          <w:lang w:eastAsia="es-PE"/>
        </w:rPr>
      </w:pPr>
      <w:r w:rsidRPr="004660BB">
        <w:rPr>
          <w:rFonts w:ascii="Arial" w:eastAsia="Times New Roman" w:hAnsi="Arial" w:cs="Arial"/>
          <w:color w:val="000000"/>
          <w:lang w:eastAsia="es-PE"/>
        </w:rPr>
        <w:t>- La inscripción de su cancelación formulada por la entidad competente, o,</w:t>
      </w:r>
    </w:p>
    <w:p w:rsidR="004660BB" w:rsidRPr="004660BB" w:rsidRDefault="004660BB" w:rsidP="00CE1048">
      <w:pPr>
        <w:shd w:val="clear" w:color="auto" w:fill="FFFFFF"/>
        <w:spacing w:after="0" w:line="240" w:lineRule="auto"/>
        <w:ind w:left="426"/>
        <w:jc w:val="both"/>
        <w:rPr>
          <w:rFonts w:ascii="Arial" w:eastAsia="Times New Roman" w:hAnsi="Arial" w:cs="Arial"/>
          <w:color w:val="000000"/>
          <w:lang w:eastAsia="es-PE"/>
        </w:rPr>
      </w:pPr>
      <w:r w:rsidRPr="004660BB">
        <w:rPr>
          <w:rFonts w:ascii="Arial" w:eastAsia="Times New Roman" w:hAnsi="Arial" w:cs="Arial"/>
          <w:color w:val="000000"/>
          <w:lang w:eastAsia="es-PE"/>
        </w:rPr>
        <w:t>- El vencimiento de su plazo de vigencia.</w:t>
      </w:r>
    </w:p>
    <w:p w:rsidR="00CE1048" w:rsidRDefault="00CE1048" w:rsidP="00311C07">
      <w:pPr>
        <w:shd w:val="clear" w:color="auto" w:fill="FFFFFF"/>
        <w:spacing w:after="0" w:line="240" w:lineRule="auto"/>
        <w:jc w:val="both"/>
        <w:rPr>
          <w:rFonts w:ascii="Arial" w:eastAsia="Times New Roman" w:hAnsi="Arial" w:cs="Arial"/>
          <w:b/>
          <w:bCs/>
          <w:color w:val="000000"/>
          <w:lang w:eastAsia="es-PE"/>
        </w:rPr>
      </w:pP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b/>
          <w:bCs/>
          <w:color w:val="000000"/>
          <w:lang w:eastAsia="es-PE"/>
        </w:rPr>
        <w:t>Artículo 8.- Del costo de los servicios</w:t>
      </w: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color w:val="000000"/>
          <w:lang w:eastAsia="es-PE"/>
        </w:rPr>
        <w:t>Los costos de ejecución de los procedimientos especiales a cargo de COFOPRI y SBN son asumidos por el titular del proyecto de inversión solicitante, y son determinados por las citadas entidades, según corresponda, de acuerdo a las condiciones y plazos que consten en un convenio que para estos efectos se suscriba, en el cual se regulan todas las obligaciones. Los costos de las actuaciones que resulten necesarios ejecutar ante otras entidades o dependencias, tales como tasas judiciales, registrales o notariales, también son asumidos por el titular del proyecto.</w:t>
      </w:r>
    </w:p>
    <w:p w:rsidR="00CE1048" w:rsidRDefault="00CE1048" w:rsidP="00311C07">
      <w:pPr>
        <w:shd w:val="clear" w:color="auto" w:fill="FFFFFF"/>
        <w:spacing w:after="0" w:line="240" w:lineRule="auto"/>
        <w:jc w:val="both"/>
        <w:rPr>
          <w:rFonts w:ascii="Arial" w:eastAsia="Times New Roman" w:hAnsi="Arial" w:cs="Arial"/>
          <w:b/>
          <w:bCs/>
          <w:color w:val="000000"/>
          <w:lang w:eastAsia="es-PE"/>
        </w:rPr>
      </w:pP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b/>
          <w:bCs/>
          <w:color w:val="000000"/>
          <w:lang w:eastAsia="es-PE"/>
        </w:rPr>
        <w:t>Artículo 9.- De la información proporcionada por SUNARP</w:t>
      </w:r>
    </w:p>
    <w:p w:rsidR="004660BB" w:rsidRDefault="004660BB" w:rsidP="00CE1048">
      <w:pPr>
        <w:shd w:val="clear" w:color="auto" w:fill="FFFFFF"/>
        <w:spacing w:after="0" w:line="240" w:lineRule="auto"/>
        <w:ind w:left="851" w:hanging="425"/>
        <w:jc w:val="both"/>
        <w:rPr>
          <w:rFonts w:ascii="Arial" w:eastAsia="Times New Roman" w:hAnsi="Arial" w:cs="Arial"/>
          <w:color w:val="000000"/>
          <w:lang w:eastAsia="es-PE"/>
        </w:rPr>
      </w:pPr>
      <w:r w:rsidRPr="004660BB">
        <w:rPr>
          <w:rFonts w:ascii="Arial" w:eastAsia="Times New Roman" w:hAnsi="Arial" w:cs="Arial"/>
          <w:color w:val="000000"/>
          <w:lang w:eastAsia="es-PE"/>
        </w:rPr>
        <w:t xml:space="preserve">9.1 </w:t>
      </w:r>
      <w:r w:rsidR="00CE1048">
        <w:rPr>
          <w:rFonts w:ascii="Arial" w:eastAsia="Times New Roman" w:hAnsi="Arial" w:cs="Arial"/>
          <w:color w:val="000000"/>
          <w:lang w:eastAsia="es-PE"/>
        </w:rPr>
        <w:tab/>
      </w:r>
      <w:r w:rsidRPr="004660BB">
        <w:rPr>
          <w:rFonts w:ascii="Arial" w:eastAsia="Times New Roman" w:hAnsi="Arial" w:cs="Arial"/>
          <w:color w:val="000000"/>
          <w:lang w:eastAsia="es-PE"/>
        </w:rPr>
        <w:t>El Certificado de Búsqueda Catastral que emita la SUNARP debe contener como anexo el Informe Técnico Catastral, el gráfico que lo sustenta y el archivo digital correspondiente.</w:t>
      </w:r>
    </w:p>
    <w:p w:rsidR="00CE1048" w:rsidRPr="004660BB" w:rsidRDefault="00CE1048" w:rsidP="00CE1048">
      <w:pPr>
        <w:shd w:val="clear" w:color="auto" w:fill="FFFFFF"/>
        <w:spacing w:after="0" w:line="240" w:lineRule="auto"/>
        <w:ind w:left="851" w:hanging="425"/>
        <w:jc w:val="both"/>
        <w:rPr>
          <w:rFonts w:ascii="Arial" w:eastAsia="Times New Roman" w:hAnsi="Arial" w:cs="Arial"/>
          <w:color w:val="000000"/>
          <w:lang w:eastAsia="es-PE"/>
        </w:rPr>
      </w:pPr>
    </w:p>
    <w:p w:rsidR="004660BB" w:rsidRDefault="004660BB" w:rsidP="00CE1048">
      <w:pPr>
        <w:shd w:val="clear" w:color="auto" w:fill="FFFFFF"/>
        <w:spacing w:after="0" w:line="240" w:lineRule="auto"/>
        <w:ind w:left="851" w:hanging="425"/>
        <w:jc w:val="both"/>
        <w:rPr>
          <w:rFonts w:ascii="Arial" w:eastAsia="Times New Roman" w:hAnsi="Arial" w:cs="Arial"/>
          <w:color w:val="000000"/>
          <w:lang w:eastAsia="es-PE"/>
        </w:rPr>
      </w:pPr>
      <w:r w:rsidRPr="004660BB">
        <w:rPr>
          <w:rFonts w:ascii="Arial" w:eastAsia="Times New Roman" w:hAnsi="Arial" w:cs="Arial"/>
          <w:color w:val="000000"/>
          <w:lang w:eastAsia="es-PE"/>
        </w:rPr>
        <w:t xml:space="preserve">9.2 </w:t>
      </w:r>
      <w:r w:rsidR="00CE1048">
        <w:rPr>
          <w:rFonts w:ascii="Arial" w:eastAsia="Times New Roman" w:hAnsi="Arial" w:cs="Arial"/>
          <w:color w:val="000000"/>
          <w:lang w:eastAsia="es-PE"/>
        </w:rPr>
        <w:tab/>
      </w:r>
      <w:r w:rsidRPr="004660BB">
        <w:rPr>
          <w:rFonts w:ascii="Arial" w:eastAsia="Times New Roman" w:hAnsi="Arial" w:cs="Arial"/>
          <w:color w:val="000000"/>
          <w:lang w:eastAsia="es-PE"/>
        </w:rPr>
        <w:t>El Informe Técnico Catastral que sustenta el Certificado de Búsqueda Catastral debe contener la información siguiente:</w:t>
      </w:r>
    </w:p>
    <w:p w:rsidR="00CE1048" w:rsidRPr="004660BB" w:rsidRDefault="00CE1048" w:rsidP="00CE1048">
      <w:pPr>
        <w:shd w:val="clear" w:color="auto" w:fill="FFFFFF"/>
        <w:spacing w:after="0" w:line="240" w:lineRule="auto"/>
        <w:ind w:left="851" w:hanging="425"/>
        <w:jc w:val="both"/>
        <w:rPr>
          <w:rFonts w:ascii="Arial" w:eastAsia="Times New Roman" w:hAnsi="Arial" w:cs="Arial"/>
          <w:color w:val="000000"/>
          <w:lang w:eastAsia="es-PE"/>
        </w:rPr>
      </w:pPr>
    </w:p>
    <w:p w:rsidR="004660BB" w:rsidRPr="004660BB" w:rsidRDefault="004660BB" w:rsidP="00CE1048">
      <w:pPr>
        <w:shd w:val="clear" w:color="auto" w:fill="FFFFFF"/>
        <w:spacing w:after="0" w:line="240" w:lineRule="auto"/>
        <w:ind w:left="1701" w:hanging="425"/>
        <w:jc w:val="both"/>
        <w:rPr>
          <w:rFonts w:ascii="Arial" w:eastAsia="Times New Roman" w:hAnsi="Arial" w:cs="Arial"/>
          <w:color w:val="000000"/>
          <w:lang w:eastAsia="es-PE"/>
        </w:rPr>
      </w:pPr>
      <w:r w:rsidRPr="004660BB">
        <w:rPr>
          <w:rFonts w:ascii="Arial" w:eastAsia="Times New Roman" w:hAnsi="Arial" w:cs="Arial"/>
          <w:color w:val="000000"/>
          <w:lang w:eastAsia="es-PE"/>
        </w:rPr>
        <w:t>a) </w:t>
      </w:r>
      <w:r w:rsidR="00CE1048">
        <w:rPr>
          <w:rFonts w:ascii="Arial" w:eastAsia="Times New Roman" w:hAnsi="Arial" w:cs="Arial"/>
          <w:color w:val="000000"/>
          <w:lang w:eastAsia="es-PE"/>
        </w:rPr>
        <w:tab/>
      </w:r>
      <w:r w:rsidRPr="004660BB">
        <w:rPr>
          <w:rFonts w:ascii="Arial" w:eastAsia="Times New Roman" w:hAnsi="Arial" w:cs="Arial"/>
          <w:color w:val="000000"/>
          <w:lang w:eastAsia="es-PE"/>
        </w:rPr>
        <w:t>Los datos de los planos que obran en los títulos archivados que sustentaron su incorporación a la base gráfica registral, especificando si dichos planos cuentan con georeferenciación y con coordenadas UTM, o si han sido materia de saneamiento registral referidas a catastro;</w:t>
      </w:r>
    </w:p>
    <w:p w:rsidR="004660BB" w:rsidRPr="004660BB" w:rsidRDefault="004660BB" w:rsidP="00CE1048">
      <w:pPr>
        <w:shd w:val="clear" w:color="auto" w:fill="FFFFFF"/>
        <w:spacing w:after="0" w:line="240" w:lineRule="auto"/>
        <w:ind w:left="1701" w:hanging="425"/>
        <w:jc w:val="both"/>
        <w:rPr>
          <w:rFonts w:ascii="Arial" w:eastAsia="Times New Roman" w:hAnsi="Arial" w:cs="Arial"/>
          <w:color w:val="000000"/>
          <w:lang w:eastAsia="es-PE"/>
        </w:rPr>
      </w:pPr>
      <w:r w:rsidRPr="004660BB">
        <w:rPr>
          <w:rFonts w:ascii="Arial" w:eastAsia="Times New Roman" w:hAnsi="Arial" w:cs="Arial"/>
          <w:color w:val="000000"/>
          <w:lang w:eastAsia="es-PE"/>
        </w:rPr>
        <w:t>b) </w:t>
      </w:r>
      <w:r w:rsidR="00CE1048">
        <w:rPr>
          <w:rFonts w:ascii="Arial" w:eastAsia="Times New Roman" w:hAnsi="Arial" w:cs="Arial"/>
          <w:color w:val="000000"/>
          <w:lang w:eastAsia="es-PE"/>
        </w:rPr>
        <w:tab/>
      </w:r>
      <w:r w:rsidRPr="004660BB">
        <w:rPr>
          <w:rFonts w:ascii="Arial" w:eastAsia="Times New Roman" w:hAnsi="Arial" w:cs="Arial"/>
          <w:color w:val="000000"/>
          <w:lang w:eastAsia="es-PE"/>
        </w:rPr>
        <w:t>Cuando la data registral haya sido reconstruida pero no existe plano en el título archivado;</w:t>
      </w:r>
    </w:p>
    <w:p w:rsidR="004660BB" w:rsidRPr="004660BB" w:rsidRDefault="004660BB" w:rsidP="00CE1048">
      <w:pPr>
        <w:shd w:val="clear" w:color="auto" w:fill="FFFFFF"/>
        <w:spacing w:after="0" w:line="240" w:lineRule="auto"/>
        <w:ind w:left="1701" w:hanging="425"/>
        <w:jc w:val="both"/>
        <w:rPr>
          <w:rFonts w:ascii="Arial" w:eastAsia="Times New Roman" w:hAnsi="Arial" w:cs="Arial"/>
          <w:color w:val="000000"/>
          <w:lang w:eastAsia="es-PE"/>
        </w:rPr>
      </w:pPr>
      <w:r w:rsidRPr="004660BB">
        <w:rPr>
          <w:rFonts w:ascii="Arial" w:eastAsia="Times New Roman" w:hAnsi="Arial" w:cs="Arial"/>
          <w:color w:val="000000"/>
          <w:lang w:eastAsia="es-PE"/>
        </w:rPr>
        <w:t>c) </w:t>
      </w:r>
      <w:r w:rsidR="00CE1048">
        <w:rPr>
          <w:rFonts w:ascii="Arial" w:eastAsia="Times New Roman" w:hAnsi="Arial" w:cs="Arial"/>
          <w:color w:val="000000"/>
          <w:lang w:eastAsia="es-PE"/>
        </w:rPr>
        <w:tab/>
      </w:r>
      <w:r w:rsidRPr="004660BB">
        <w:rPr>
          <w:rFonts w:ascii="Arial" w:eastAsia="Times New Roman" w:hAnsi="Arial" w:cs="Arial"/>
          <w:color w:val="000000"/>
          <w:lang w:eastAsia="es-PE"/>
        </w:rPr>
        <w:t>La relación de títulos pendientes de calificación que estén vinculados con el predio materia de consulta, si los hubiere;</w:t>
      </w:r>
    </w:p>
    <w:p w:rsidR="004660BB" w:rsidRPr="004660BB" w:rsidRDefault="004660BB" w:rsidP="00CE1048">
      <w:pPr>
        <w:shd w:val="clear" w:color="auto" w:fill="FFFFFF"/>
        <w:spacing w:after="0" w:line="240" w:lineRule="auto"/>
        <w:ind w:left="1701" w:hanging="425"/>
        <w:jc w:val="both"/>
        <w:rPr>
          <w:rFonts w:ascii="Arial" w:eastAsia="Times New Roman" w:hAnsi="Arial" w:cs="Arial"/>
          <w:color w:val="000000"/>
          <w:lang w:eastAsia="es-PE"/>
        </w:rPr>
      </w:pPr>
      <w:r w:rsidRPr="004660BB">
        <w:rPr>
          <w:rFonts w:ascii="Arial" w:eastAsia="Times New Roman" w:hAnsi="Arial" w:cs="Arial"/>
          <w:color w:val="000000"/>
          <w:lang w:eastAsia="es-PE"/>
        </w:rPr>
        <w:t>d) </w:t>
      </w:r>
      <w:r w:rsidR="00CE1048">
        <w:rPr>
          <w:rFonts w:ascii="Arial" w:eastAsia="Times New Roman" w:hAnsi="Arial" w:cs="Arial"/>
          <w:color w:val="000000"/>
          <w:lang w:eastAsia="es-PE"/>
        </w:rPr>
        <w:tab/>
      </w:r>
      <w:r w:rsidRPr="004660BB">
        <w:rPr>
          <w:rFonts w:ascii="Arial" w:eastAsia="Times New Roman" w:hAnsi="Arial" w:cs="Arial"/>
          <w:color w:val="000000"/>
          <w:lang w:eastAsia="es-PE"/>
        </w:rPr>
        <w:t>Gráfico digital completo del área consultada señalando toda la información gráfica disponible;</w:t>
      </w:r>
    </w:p>
    <w:p w:rsidR="004660BB" w:rsidRDefault="004660BB" w:rsidP="00CE1048">
      <w:pPr>
        <w:shd w:val="clear" w:color="auto" w:fill="FFFFFF"/>
        <w:spacing w:after="0" w:line="240" w:lineRule="auto"/>
        <w:ind w:left="1701" w:hanging="425"/>
        <w:jc w:val="both"/>
        <w:rPr>
          <w:rFonts w:ascii="Arial" w:eastAsia="Times New Roman" w:hAnsi="Arial" w:cs="Arial"/>
          <w:color w:val="000000"/>
          <w:lang w:eastAsia="es-PE"/>
        </w:rPr>
      </w:pPr>
      <w:r w:rsidRPr="004660BB">
        <w:rPr>
          <w:rFonts w:ascii="Arial" w:eastAsia="Times New Roman" w:hAnsi="Arial" w:cs="Arial"/>
          <w:color w:val="000000"/>
          <w:lang w:eastAsia="es-PE"/>
        </w:rPr>
        <w:t>e) </w:t>
      </w:r>
      <w:r w:rsidR="00CE1048">
        <w:rPr>
          <w:rFonts w:ascii="Arial" w:eastAsia="Times New Roman" w:hAnsi="Arial" w:cs="Arial"/>
          <w:color w:val="000000"/>
          <w:lang w:eastAsia="es-PE"/>
        </w:rPr>
        <w:tab/>
      </w:r>
      <w:r w:rsidRPr="004660BB">
        <w:rPr>
          <w:rFonts w:ascii="Arial" w:eastAsia="Times New Roman" w:hAnsi="Arial" w:cs="Arial"/>
          <w:color w:val="000000"/>
          <w:lang w:eastAsia="es-PE"/>
        </w:rPr>
        <w:t>La indicación del valor referencial de la información cuando la información del catastro registral corresponda a: (i) planos sin georeferenciación o coordenadas arbitrarias; (ii) no cuenta con las especificaciones técnicas del área y/o perímetro y/o linderos u otro dato técnico; o (iii) los polígonos han sido reconstruidos sin mediar planos en los títulos archivados para determinar la ubicación física definitiva del predio.</w:t>
      </w:r>
    </w:p>
    <w:p w:rsidR="00CE1048" w:rsidRPr="004660BB" w:rsidRDefault="00CE1048" w:rsidP="00CE1048">
      <w:pPr>
        <w:shd w:val="clear" w:color="auto" w:fill="FFFFFF"/>
        <w:spacing w:after="0" w:line="240" w:lineRule="auto"/>
        <w:ind w:left="851" w:hanging="425"/>
        <w:jc w:val="both"/>
        <w:rPr>
          <w:rFonts w:ascii="Arial" w:eastAsia="Times New Roman" w:hAnsi="Arial" w:cs="Arial"/>
          <w:color w:val="000000"/>
          <w:lang w:eastAsia="es-PE"/>
        </w:rPr>
      </w:pPr>
    </w:p>
    <w:p w:rsidR="004660BB" w:rsidRPr="004660BB" w:rsidRDefault="004660BB" w:rsidP="00CE1048">
      <w:pPr>
        <w:shd w:val="clear" w:color="auto" w:fill="FFFFFF"/>
        <w:spacing w:after="0" w:line="240" w:lineRule="auto"/>
        <w:ind w:left="851" w:hanging="425"/>
        <w:jc w:val="both"/>
        <w:rPr>
          <w:rFonts w:ascii="Arial" w:eastAsia="Times New Roman" w:hAnsi="Arial" w:cs="Arial"/>
          <w:color w:val="000000"/>
          <w:lang w:eastAsia="es-PE"/>
        </w:rPr>
      </w:pPr>
      <w:r w:rsidRPr="004660BB">
        <w:rPr>
          <w:rFonts w:ascii="Arial" w:eastAsia="Times New Roman" w:hAnsi="Arial" w:cs="Arial"/>
          <w:color w:val="000000"/>
          <w:lang w:eastAsia="es-PE"/>
        </w:rPr>
        <w:t xml:space="preserve">9.3 </w:t>
      </w:r>
      <w:r w:rsidR="00CE1048">
        <w:rPr>
          <w:rFonts w:ascii="Arial" w:eastAsia="Times New Roman" w:hAnsi="Arial" w:cs="Arial"/>
          <w:color w:val="000000"/>
          <w:lang w:eastAsia="es-PE"/>
        </w:rPr>
        <w:tab/>
      </w:r>
      <w:r w:rsidRPr="004660BB">
        <w:rPr>
          <w:rFonts w:ascii="Arial" w:eastAsia="Times New Roman" w:hAnsi="Arial" w:cs="Arial"/>
          <w:color w:val="000000"/>
          <w:lang w:eastAsia="es-PE"/>
        </w:rPr>
        <w:t>Los informes técnicos catastrales que sustentan los certificados de búsqueda catastral emitidos en el marco de lo dispuesto por la Ley, son vinculantes para el área de catastro para la emisión de los informes catastrales que se requieran en la calificación del título correspondiente, salvo modificaciones de la base gráfica registral como consecuencia de la inscripción de títulos posteriores. Dichos informes técnicos son vinculantes para el Registrador encargado de la calificación del título respectivo, en los aspectos estrictamente técnicos y siempre que el informe técnico de la búsqueda catastral se refiera al mismo predio o esté contenido en éste.</w:t>
      </w:r>
    </w:p>
    <w:p w:rsidR="00CE1048" w:rsidRDefault="00CE1048" w:rsidP="00311C07">
      <w:pPr>
        <w:shd w:val="clear" w:color="auto" w:fill="FFFFFF"/>
        <w:spacing w:after="0" w:line="240" w:lineRule="auto"/>
        <w:jc w:val="both"/>
        <w:rPr>
          <w:rFonts w:ascii="Arial" w:eastAsia="Times New Roman" w:hAnsi="Arial" w:cs="Arial"/>
          <w:b/>
          <w:bCs/>
          <w:color w:val="000000"/>
          <w:lang w:eastAsia="es-PE"/>
        </w:rPr>
      </w:pP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b/>
          <w:bCs/>
          <w:color w:val="000000"/>
          <w:lang w:eastAsia="es-PE"/>
        </w:rPr>
        <w:t>Artículo 10.- De los requisitos para solicitar la información catastral</w:t>
      </w: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color w:val="000000"/>
          <w:lang w:eastAsia="es-PE"/>
        </w:rPr>
        <w:t>A efectos que la SUNARP proporcione información sobre los antecedentes registrales y búsquedas catastrales de los predios materia de saneamiento, se tendrá en cuenta lo siguiente:</w:t>
      </w:r>
    </w:p>
    <w:p w:rsidR="00CE1048" w:rsidRDefault="00CE1048" w:rsidP="00311C07">
      <w:pPr>
        <w:shd w:val="clear" w:color="auto" w:fill="FFFFFF"/>
        <w:spacing w:after="0" w:line="240" w:lineRule="auto"/>
        <w:jc w:val="both"/>
        <w:rPr>
          <w:rFonts w:ascii="Arial" w:eastAsia="Times New Roman" w:hAnsi="Arial" w:cs="Arial"/>
          <w:color w:val="000000"/>
          <w:lang w:eastAsia="es-PE"/>
        </w:rPr>
      </w:pPr>
    </w:p>
    <w:p w:rsidR="004660BB" w:rsidRDefault="004660BB" w:rsidP="00CE1048">
      <w:pPr>
        <w:shd w:val="clear" w:color="auto" w:fill="FFFFFF"/>
        <w:spacing w:after="0" w:line="240" w:lineRule="auto"/>
        <w:ind w:left="1134" w:hanging="708"/>
        <w:jc w:val="both"/>
        <w:rPr>
          <w:rFonts w:ascii="Arial" w:eastAsia="Times New Roman" w:hAnsi="Arial" w:cs="Arial"/>
          <w:color w:val="000000"/>
          <w:lang w:eastAsia="es-PE"/>
        </w:rPr>
      </w:pPr>
      <w:r w:rsidRPr="004660BB">
        <w:rPr>
          <w:rFonts w:ascii="Arial" w:eastAsia="Times New Roman" w:hAnsi="Arial" w:cs="Arial"/>
          <w:color w:val="000000"/>
          <w:lang w:eastAsia="es-PE"/>
        </w:rPr>
        <w:t xml:space="preserve">10.1 </w:t>
      </w:r>
      <w:r w:rsidR="00CE1048">
        <w:rPr>
          <w:rFonts w:ascii="Arial" w:eastAsia="Times New Roman" w:hAnsi="Arial" w:cs="Arial"/>
          <w:color w:val="000000"/>
          <w:lang w:eastAsia="es-PE"/>
        </w:rPr>
        <w:tab/>
      </w:r>
      <w:r w:rsidRPr="004660BB">
        <w:rPr>
          <w:rFonts w:ascii="Arial" w:eastAsia="Times New Roman" w:hAnsi="Arial" w:cs="Arial"/>
          <w:color w:val="000000"/>
          <w:lang w:eastAsia="es-PE"/>
        </w:rPr>
        <w:t>El solicitante presentará la petición de información catastral mediante comunicación simple suscrita por el representante de la entidad titular del proyecto, o de la entidad a cargo del saneamiento, señalando la denominación completa del proyecto de inversión, y su clasificación conforme a lo señalado en el artículo 38 de la Ley.</w:t>
      </w:r>
    </w:p>
    <w:p w:rsidR="00CE1048" w:rsidRPr="004660BB" w:rsidRDefault="00CE1048" w:rsidP="00CE1048">
      <w:pPr>
        <w:shd w:val="clear" w:color="auto" w:fill="FFFFFF"/>
        <w:spacing w:after="0" w:line="240" w:lineRule="auto"/>
        <w:ind w:left="1134" w:hanging="708"/>
        <w:jc w:val="both"/>
        <w:rPr>
          <w:rFonts w:ascii="Arial" w:eastAsia="Times New Roman" w:hAnsi="Arial" w:cs="Arial"/>
          <w:color w:val="000000"/>
          <w:lang w:eastAsia="es-PE"/>
        </w:rPr>
      </w:pPr>
    </w:p>
    <w:p w:rsidR="004660BB" w:rsidRPr="004660BB" w:rsidRDefault="004660BB" w:rsidP="00CE1048">
      <w:pPr>
        <w:shd w:val="clear" w:color="auto" w:fill="FFFFFF"/>
        <w:spacing w:after="0" w:line="240" w:lineRule="auto"/>
        <w:ind w:left="1134" w:hanging="708"/>
        <w:jc w:val="both"/>
        <w:rPr>
          <w:rFonts w:ascii="Arial" w:eastAsia="Times New Roman" w:hAnsi="Arial" w:cs="Arial"/>
          <w:color w:val="000000"/>
          <w:lang w:eastAsia="es-PE"/>
        </w:rPr>
      </w:pPr>
      <w:r w:rsidRPr="004660BB">
        <w:rPr>
          <w:rFonts w:ascii="Arial" w:eastAsia="Times New Roman" w:hAnsi="Arial" w:cs="Arial"/>
          <w:color w:val="000000"/>
          <w:lang w:eastAsia="es-PE"/>
        </w:rPr>
        <w:t xml:space="preserve">10.2 </w:t>
      </w:r>
      <w:r w:rsidR="00CE1048">
        <w:rPr>
          <w:rFonts w:ascii="Arial" w:eastAsia="Times New Roman" w:hAnsi="Arial" w:cs="Arial"/>
          <w:color w:val="000000"/>
          <w:lang w:eastAsia="es-PE"/>
        </w:rPr>
        <w:tab/>
      </w:r>
      <w:r w:rsidRPr="004660BB">
        <w:rPr>
          <w:rFonts w:ascii="Arial" w:eastAsia="Times New Roman" w:hAnsi="Arial" w:cs="Arial"/>
          <w:color w:val="000000"/>
          <w:lang w:eastAsia="es-PE"/>
        </w:rPr>
        <w:t>Para la emisión de los Certificados de Búsqueda Catastral, el solicitante presentará el plano perimétrico conteniendo el cuadro de datos técnicos y el plano de ubicación del área materia de consulta, donde se grafique la zona urbana o rural de la zona, la misma que será entregada en formato físico y digital, georeferenciados a la Red Geodésica Oficial y proyección en coordenadas UTM.</w:t>
      </w:r>
    </w:p>
    <w:p w:rsidR="00CE1048" w:rsidRDefault="00CE1048" w:rsidP="00CE1048">
      <w:pPr>
        <w:shd w:val="clear" w:color="auto" w:fill="FFFFFF"/>
        <w:spacing w:after="0" w:line="240" w:lineRule="auto"/>
        <w:ind w:left="1134" w:hanging="708"/>
        <w:jc w:val="both"/>
        <w:rPr>
          <w:rFonts w:ascii="Arial" w:eastAsia="Times New Roman" w:hAnsi="Arial" w:cs="Arial"/>
          <w:color w:val="000000"/>
          <w:lang w:eastAsia="es-PE"/>
        </w:rPr>
      </w:pPr>
    </w:p>
    <w:p w:rsidR="004660BB" w:rsidRPr="004660BB" w:rsidRDefault="004660BB" w:rsidP="00CE1048">
      <w:pPr>
        <w:shd w:val="clear" w:color="auto" w:fill="FFFFFF"/>
        <w:spacing w:after="0" w:line="240" w:lineRule="auto"/>
        <w:ind w:left="1134"/>
        <w:jc w:val="both"/>
        <w:rPr>
          <w:rFonts w:ascii="Arial" w:eastAsia="Times New Roman" w:hAnsi="Arial" w:cs="Arial"/>
          <w:color w:val="000000"/>
          <w:lang w:eastAsia="es-PE"/>
        </w:rPr>
      </w:pPr>
      <w:r w:rsidRPr="004660BB">
        <w:rPr>
          <w:rFonts w:ascii="Arial" w:eastAsia="Times New Roman" w:hAnsi="Arial" w:cs="Arial"/>
          <w:color w:val="000000"/>
          <w:lang w:eastAsia="es-PE"/>
        </w:rPr>
        <w:t>Para coadyuvar al otorgamiento de información en los Certificados de Búsqueda Catastral; los planos de ubicación a que se refiere el párrafo anterior, podrán incluir facultativamente, la indicación referida a la posición del terreno respecto a las calles adyacentes y la distancia del predio a la esquina transversal más cercana para los casos de predios urbanos; así como las referencias físicas y detalles topográficos no perecederos que existieran en el lugar para los casos de predios rurales.</w:t>
      </w:r>
    </w:p>
    <w:p w:rsidR="00CE1048" w:rsidRDefault="00CE1048" w:rsidP="00311C07">
      <w:pPr>
        <w:shd w:val="clear" w:color="auto" w:fill="FFFFFF"/>
        <w:spacing w:after="0" w:line="240" w:lineRule="auto"/>
        <w:jc w:val="both"/>
        <w:rPr>
          <w:rFonts w:ascii="Arial" w:eastAsia="Times New Roman" w:hAnsi="Arial" w:cs="Arial"/>
          <w:b/>
          <w:bCs/>
          <w:color w:val="000000"/>
          <w:lang w:eastAsia="es-PE"/>
        </w:rPr>
      </w:pP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b/>
          <w:bCs/>
          <w:color w:val="000000"/>
          <w:lang w:eastAsia="es-PE"/>
        </w:rPr>
        <w:t>Artículo 11.- De la exoneración de derechos registrales</w:t>
      </w: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color w:val="000000"/>
          <w:lang w:eastAsia="es-PE"/>
        </w:rPr>
        <w:t>Los servicios de información y de inscripción solicitados por la SBN y COFOPRI, así como por las entidades públicas titulares de los proyectos de inversión pública a ejecutarse o que se ejecuten en los predios a que se refiere el artículo 4 del presente Reglamento, están exentos de costos registrales de cualquier índole. Para la aplicación de la exoneración de derechos registrales deberá constar en forma expresa en la solicitud que se trata de un predio que cumple con alguno de los supuestos señalados en el artículo 4 del presente Reglamento, circunstancia que no será objeto de verificación por el Registrador. La entidad solicitante asume responsabilidad exclusiva por la indebida invocación de la exoneración aludida a actos no comprendidos en dicha disposición.</w:t>
      </w:r>
    </w:p>
    <w:p w:rsidR="00CE1048" w:rsidRDefault="00CE1048" w:rsidP="00311C07">
      <w:pPr>
        <w:shd w:val="clear" w:color="auto" w:fill="FFFFFF"/>
        <w:spacing w:after="0" w:line="240" w:lineRule="auto"/>
        <w:jc w:val="both"/>
        <w:rPr>
          <w:rFonts w:ascii="Arial" w:eastAsia="Times New Roman" w:hAnsi="Arial" w:cs="Arial"/>
          <w:b/>
          <w:bCs/>
          <w:color w:val="000000"/>
          <w:lang w:eastAsia="es-PE"/>
        </w:rPr>
      </w:pP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b/>
          <w:bCs/>
          <w:color w:val="000000"/>
          <w:lang w:eastAsia="es-PE"/>
        </w:rPr>
        <w:t>Artículo 12.- De la presentación de títulos para su inscripción</w:t>
      </w: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color w:val="000000"/>
          <w:lang w:eastAsia="es-PE"/>
        </w:rPr>
        <w:t>La presentación de títulos al Registro de Predios que se efectúa en el marco de la Ley y el presente Reglamento deberá efectuarse en tres (3) juegos originales, a efectos de que el titular del proyecto cuente con la información que dio mérito a la inscripción.</w:t>
      </w:r>
    </w:p>
    <w:p w:rsidR="00CE1048" w:rsidRDefault="00CE1048" w:rsidP="00311C07">
      <w:pPr>
        <w:shd w:val="clear" w:color="auto" w:fill="FFFFFF"/>
        <w:spacing w:after="0" w:line="240" w:lineRule="auto"/>
        <w:jc w:val="both"/>
        <w:rPr>
          <w:rFonts w:ascii="Arial" w:eastAsia="Times New Roman" w:hAnsi="Arial" w:cs="Arial"/>
          <w:b/>
          <w:bCs/>
          <w:color w:val="000000"/>
          <w:lang w:eastAsia="es-PE"/>
        </w:rPr>
      </w:pP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b/>
          <w:bCs/>
          <w:color w:val="000000"/>
          <w:lang w:eastAsia="es-PE"/>
        </w:rPr>
        <w:t>Artículo 13.- De los predios que constituyen Patrimonio Cultural de la Nación y Áreas Naturales Protegidas</w:t>
      </w: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color w:val="000000"/>
          <w:lang w:eastAsia="es-PE"/>
        </w:rPr>
        <w:t>El saneamiento y/o inscripciones de predios comprendidos en los alcances de la Ley y del presente Reglamento, ubicados en áreas de Patrimonio Cultural de la Nación o Áreas Naturales Protegidas recae en las entidades competentes de acuerdo a las normas de la materia según la particularidad del predio.</w:t>
      </w:r>
    </w:p>
    <w:p w:rsidR="00CE1048" w:rsidRDefault="00CE1048" w:rsidP="00311C07">
      <w:pPr>
        <w:shd w:val="clear" w:color="auto" w:fill="FFFFFF"/>
        <w:spacing w:after="0" w:line="240" w:lineRule="auto"/>
        <w:jc w:val="both"/>
        <w:rPr>
          <w:rFonts w:ascii="Arial" w:eastAsia="Times New Roman" w:hAnsi="Arial" w:cs="Arial"/>
          <w:b/>
          <w:bCs/>
          <w:color w:val="000000"/>
          <w:lang w:eastAsia="es-PE"/>
        </w:rPr>
      </w:pP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b/>
          <w:bCs/>
          <w:color w:val="000000"/>
          <w:lang w:eastAsia="es-PE"/>
        </w:rPr>
        <w:t>Artículo 14.- De la no aplicación del presente Reglamento a las tierras de las Comunidades Campesinas, Comunidades Nativas y Reservas Indígenas</w:t>
      </w:r>
    </w:p>
    <w:p w:rsid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color w:val="000000"/>
          <w:lang w:eastAsia="es-PE"/>
        </w:rPr>
        <w:t>El presente Reglamento no es de aplicación a las:</w:t>
      </w:r>
    </w:p>
    <w:p w:rsidR="000408D3" w:rsidRPr="004660BB" w:rsidRDefault="000408D3" w:rsidP="00311C07">
      <w:pPr>
        <w:shd w:val="clear" w:color="auto" w:fill="FFFFFF"/>
        <w:spacing w:after="0" w:line="240" w:lineRule="auto"/>
        <w:jc w:val="both"/>
        <w:rPr>
          <w:rFonts w:ascii="Arial" w:eastAsia="Times New Roman" w:hAnsi="Arial" w:cs="Arial"/>
          <w:color w:val="000000"/>
          <w:lang w:eastAsia="es-PE"/>
        </w:rPr>
      </w:pPr>
    </w:p>
    <w:p w:rsidR="004660BB" w:rsidRPr="004660BB" w:rsidRDefault="004660BB" w:rsidP="000408D3">
      <w:pPr>
        <w:shd w:val="clear" w:color="auto" w:fill="FFFFFF"/>
        <w:spacing w:after="0" w:line="240" w:lineRule="auto"/>
        <w:ind w:left="709" w:hanging="425"/>
        <w:jc w:val="both"/>
        <w:rPr>
          <w:rFonts w:ascii="Arial" w:eastAsia="Times New Roman" w:hAnsi="Arial" w:cs="Arial"/>
          <w:color w:val="000000"/>
          <w:lang w:eastAsia="es-PE"/>
        </w:rPr>
      </w:pPr>
      <w:r w:rsidRPr="004660BB">
        <w:rPr>
          <w:rFonts w:ascii="Arial" w:eastAsia="Times New Roman" w:hAnsi="Arial" w:cs="Arial"/>
          <w:color w:val="000000"/>
          <w:lang w:eastAsia="es-PE"/>
        </w:rPr>
        <w:t>14.1 Tierras de las Comunidades Campesinas.</w:t>
      </w:r>
    </w:p>
    <w:p w:rsidR="004660BB" w:rsidRPr="004660BB" w:rsidRDefault="004660BB" w:rsidP="000408D3">
      <w:pPr>
        <w:shd w:val="clear" w:color="auto" w:fill="FFFFFF"/>
        <w:spacing w:after="0" w:line="240" w:lineRule="auto"/>
        <w:ind w:left="709" w:hanging="425"/>
        <w:jc w:val="both"/>
        <w:rPr>
          <w:rFonts w:ascii="Arial" w:eastAsia="Times New Roman" w:hAnsi="Arial" w:cs="Arial"/>
          <w:color w:val="000000"/>
          <w:lang w:eastAsia="es-PE"/>
        </w:rPr>
      </w:pPr>
      <w:r w:rsidRPr="004660BB">
        <w:rPr>
          <w:rFonts w:ascii="Arial" w:eastAsia="Times New Roman" w:hAnsi="Arial" w:cs="Arial"/>
          <w:color w:val="000000"/>
          <w:lang w:eastAsia="es-PE"/>
        </w:rPr>
        <w:t>14.2 Tierras de las Comunidades Nativas</w:t>
      </w:r>
    </w:p>
    <w:p w:rsidR="004660BB" w:rsidRPr="004660BB" w:rsidRDefault="004660BB" w:rsidP="000408D3">
      <w:pPr>
        <w:shd w:val="clear" w:color="auto" w:fill="FFFFFF"/>
        <w:spacing w:after="0" w:line="240" w:lineRule="auto"/>
        <w:ind w:left="709" w:hanging="425"/>
        <w:jc w:val="both"/>
        <w:rPr>
          <w:rFonts w:ascii="Arial" w:eastAsia="Times New Roman" w:hAnsi="Arial" w:cs="Arial"/>
          <w:color w:val="000000"/>
          <w:lang w:eastAsia="es-PE"/>
        </w:rPr>
      </w:pPr>
      <w:r w:rsidRPr="004660BB">
        <w:rPr>
          <w:rFonts w:ascii="Arial" w:eastAsia="Times New Roman" w:hAnsi="Arial" w:cs="Arial"/>
          <w:color w:val="000000"/>
          <w:lang w:eastAsia="es-PE"/>
        </w:rPr>
        <w:t>14.3 Reservas Indígenas de acuerdo a lo dispuesto en el literal n) del artículo 3 del Reglamento de la Ley Nº 28736, Ley para la protección de pueblos indígenas u originarios en situación de aislamiento y en situación de contacto inicial, aprobado por Decreto Supremo Nº 008-2007-MIMDES.</w:t>
      </w:r>
    </w:p>
    <w:p w:rsidR="000408D3" w:rsidRDefault="000408D3" w:rsidP="000408D3">
      <w:pPr>
        <w:shd w:val="clear" w:color="auto" w:fill="FFFFFF"/>
        <w:spacing w:after="0" w:line="240" w:lineRule="auto"/>
        <w:ind w:left="709" w:hanging="425"/>
        <w:jc w:val="both"/>
        <w:rPr>
          <w:rFonts w:ascii="Arial" w:eastAsia="Times New Roman" w:hAnsi="Arial" w:cs="Arial"/>
          <w:color w:val="000000"/>
          <w:lang w:eastAsia="es-PE"/>
        </w:rPr>
      </w:pPr>
    </w:p>
    <w:p w:rsidR="004660BB" w:rsidRPr="004660BB" w:rsidRDefault="004660BB" w:rsidP="000408D3">
      <w:pPr>
        <w:shd w:val="clear" w:color="auto" w:fill="FFFFFF"/>
        <w:spacing w:after="0" w:line="240" w:lineRule="auto"/>
        <w:ind w:left="709" w:hanging="425"/>
        <w:jc w:val="both"/>
        <w:rPr>
          <w:rFonts w:ascii="Arial" w:eastAsia="Times New Roman" w:hAnsi="Arial" w:cs="Arial"/>
          <w:color w:val="000000"/>
          <w:lang w:eastAsia="es-PE"/>
        </w:rPr>
      </w:pPr>
      <w:r w:rsidRPr="004660BB">
        <w:rPr>
          <w:rFonts w:ascii="Arial" w:eastAsia="Times New Roman" w:hAnsi="Arial" w:cs="Arial"/>
          <w:color w:val="000000"/>
          <w:lang w:eastAsia="es-PE"/>
        </w:rPr>
        <w:t>Las tierras antes citadas se rigen por la normatividad de la materia.</w:t>
      </w:r>
    </w:p>
    <w:p w:rsidR="000408D3" w:rsidRDefault="000408D3" w:rsidP="00311C07">
      <w:pPr>
        <w:shd w:val="clear" w:color="auto" w:fill="FFFFFF"/>
        <w:spacing w:after="0" w:line="240" w:lineRule="auto"/>
        <w:jc w:val="center"/>
        <w:rPr>
          <w:rFonts w:ascii="Arial" w:eastAsia="Times New Roman" w:hAnsi="Arial" w:cs="Arial"/>
          <w:b/>
          <w:bCs/>
          <w:color w:val="000000"/>
          <w:lang w:eastAsia="es-PE"/>
        </w:rPr>
      </w:pPr>
    </w:p>
    <w:p w:rsidR="004660BB" w:rsidRPr="004660BB" w:rsidRDefault="004660BB" w:rsidP="00311C07">
      <w:pPr>
        <w:shd w:val="clear" w:color="auto" w:fill="FFFFFF"/>
        <w:spacing w:after="0" w:line="240" w:lineRule="auto"/>
        <w:jc w:val="center"/>
        <w:rPr>
          <w:rFonts w:ascii="Arial" w:eastAsia="Times New Roman" w:hAnsi="Arial" w:cs="Arial"/>
          <w:color w:val="000000"/>
          <w:lang w:eastAsia="es-PE"/>
        </w:rPr>
      </w:pPr>
      <w:r w:rsidRPr="004660BB">
        <w:rPr>
          <w:rFonts w:ascii="Arial" w:eastAsia="Times New Roman" w:hAnsi="Arial" w:cs="Arial"/>
          <w:b/>
          <w:bCs/>
          <w:color w:val="000000"/>
          <w:lang w:eastAsia="es-PE"/>
        </w:rPr>
        <w:t>TÍTULO II</w:t>
      </w:r>
    </w:p>
    <w:p w:rsidR="004660BB" w:rsidRPr="004660BB" w:rsidRDefault="004660BB" w:rsidP="00AA2D63">
      <w:pPr>
        <w:shd w:val="clear" w:color="auto" w:fill="FFFFFF"/>
        <w:spacing w:after="0" w:line="240" w:lineRule="auto"/>
        <w:jc w:val="center"/>
        <w:rPr>
          <w:rFonts w:ascii="Arial" w:eastAsia="Times New Roman" w:hAnsi="Arial" w:cs="Arial"/>
          <w:color w:val="000000"/>
          <w:lang w:eastAsia="es-PE"/>
        </w:rPr>
      </w:pPr>
      <w:r w:rsidRPr="004660BB">
        <w:rPr>
          <w:rFonts w:ascii="Arial" w:eastAsia="Times New Roman" w:hAnsi="Arial" w:cs="Arial"/>
          <w:b/>
          <w:bCs/>
          <w:color w:val="000000"/>
          <w:lang w:eastAsia="es-PE"/>
        </w:rPr>
        <w:t>DE LOS PROCEDIMIENTOS ESPECIALES</w:t>
      </w:r>
      <w:r w:rsidR="00AA2D63">
        <w:rPr>
          <w:rFonts w:ascii="Arial" w:eastAsia="Times New Roman" w:hAnsi="Arial" w:cs="Arial"/>
          <w:color w:val="000000"/>
          <w:lang w:eastAsia="es-PE"/>
        </w:rPr>
        <w:t xml:space="preserve"> </w:t>
      </w:r>
      <w:r w:rsidRPr="004660BB">
        <w:rPr>
          <w:rFonts w:ascii="Arial" w:eastAsia="Times New Roman" w:hAnsi="Arial" w:cs="Arial"/>
          <w:b/>
          <w:bCs/>
          <w:color w:val="000000"/>
          <w:lang w:eastAsia="es-PE"/>
        </w:rPr>
        <w:t>PARA EL SANEAMIENTO FÍSICO -LEGAL</w:t>
      </w:r>
    </w:p>
    <w:p w:rsidR="004660BB" w:rsidRPr="004660BB" w:rsidRDefault="004660BB" w:rsidP="00AA2D63">
      <w:pPr>
        <w:shd w:val="clear" w:color="auto" w:fill="FFFFFF"/>
        <w:spacing w:after="0" w:line="240" w:lineRule="auto"/>
        <w:jc w:val="center"/>
        <w:rPr>
          <w:rFonts w:ascii="Arial" w:eastAsia="Times New Roman" w:hAnsi="Arial" w:cs="Arial"/>
          <w:color w:val="000000"/>
          <w:lang w:eastAsia="es-PE"/>
        </w:rPr>
      </w:pPr>
      <w:r w:rsidRPr="004660BB">
        <w:rPr>
          <w:rFonts w:ascii="Arial" w:eastAsia="Times New Roman" w:hAnsi="Arial" w:cs="Arial"/>
          <w:b/>
          <w:bCs/>
          <w:color w:val="000000"/>
          <w:lang w:eastAsia="es-PE"/>
        </w:rPr>
        <w:t>DE PREDIOS PARA PROYECTOS</w:t>
      </w:r>
      <w:r w:rsidR="00AA2D63">
        <w:rPr>
          <w:rFonts w:ascii="Arial" w:eastAsia="Times New Roman" w:hAnsi="Arial" w:cs="Arial"/>
          <w:color w:val="000000"/>
          <w:lang w:eastAsia="es-PE"/>
        </w:rPr>
        <w:t xml:space="preserve"> </w:t>
      </w:r>
      <w:r w:rsidRPr="004660BB">
        <w:rPr>
          <w:rFonts w:ascii="Arial" w:eastAsia="Times New Roman" w:hAnsi="Arial" w:cs="Arial"/>
          <w:b/>
          <w:bCs/>
          <w:color w:val="000000"/>
          <w:lang w:eastAsia="es-PE"/>
        </w:rPr>
        <w:t>DE INVERSIÓN PÚBLICA Y PRIVADA</w:t>
      </w:r>
    </w:p>
    <w:p w:rsidR="000408D3" w:rsidRDefault="000408D3" w:rsidP="00311C07">
      <w:pPr>
        <w:shd w:val="clear" w:color="auto" w:fill="FFFFFF"/>
        <w:spacing w:after="0" w:line="240" w:lineRule="auto"/>
        <w:jc w:val="center"/>
        <w:rPr>
          <w:rFonts w:ascii="Arial" w:eastAsia="Times New Roman" w:hAnsi="Arial" w:cs="Arial"/>
          <w:b/>
          <w:bCs/>
          <w:color w:val="000000"/>
          <w:lang w:eastAsia="es-PE"/>
        </w:rPr>
      </w:pPr>
    </w:p>
    <w:p w:rsidR="004660BB" w:rsidRPr="004660BB" w:rsidRDefault="004660BB" w:rsidP="00311C07">
      <w:pPr>
        <w:shd w:val="clear" w:color="auto" w:fill="FFFFFF"/>
        <w:spacing w:after="0" w:line="240" w:lineRule="auto"/>
        <w:jc w:val="center"/>
        <w:rPr>
          <w:rFonts w:ascii="Arial" w:eastAsia="Times New Roman" w:hAnsi="Arial" w:cs="Arial"/>
          <w:color w:val="000000"/>
          <w:lang w:eastAsia="es-PE"/>
        </w:rPr>
      </w:pPr>
      <w:r w:rsidRPr="004660BB">
        <w:rPr>
          <w:rFonts w:ascii="Arial" w:eastAsia="Times New Roman" w:hAnsi="Arial" w:cs="Arial"/>
          <w:b/>
          <w:bCs/>
          <w:color w:val="000000"/>
          <w:lang w:eastAsia="es-PE"/>
        </w:rPr>
        <w:t>CAPÍTULO I</w:t>
      </w:r>
    </w:p>
    <w:p w:rsidR="004660BB" w:rsidRPr="004660BB" w:rsidRDefault="004660BB" w:rsidP="00AA2D63">
      <w:pPr>
        <w:shd w:val="clear" w:color="auto" w:fill="FFFFFF"/>
        <w:spacing w:after="0" w:line="240" w:lineRule="auto"/>
        <w:jc w:val="center"/>
        <w:rPr>
          <w:rFonts w:ascii="Arial" w:eastAsia="Times New Roman" w:hAnsi="Arial" w:cs="Arial"/>
          <w:color w:val="000000"/>
          <w:lang w:eastAsia="es-PE"/>
        </w:rPr>
      </w:pPr>
      <w:r w:rsidRPr="004660BB">
        <w:rPr>
          <w:rFonts w:ascii="Arial" w:eastAsia="Times New Roman" w:hAnsi="Arial" w:cs="Arial"/>
          <w:b/>
          <w:bCs/>
          <w:color w:val="000000"/>
          <w:lang w:eastAsia="es-PE"/>
        </w:rPr>
        <w:t>DE LOS PROCEDIMIENTOS A CARGODE LA SBN SOBRE PREDIOS</w:t>
      </w:r>
    </w:p>
    <w:p w:rsidR="004660BB" w:rsidRPr="004660BB" w:rsidRDefault="004660BB" w:rsidP="00311C07">
      <w:pPr>
        <w:shd w:val="clear" w:color="auto" w:fill="FFFFFF"/>
        <w:spacing w:after="0" w:line="240" w:lineRule="auto"/>
        <w:jc w:val="center"/>
        <w:rPr>
          <w:rFonts w:ascii="Arial" w:eastAsia="Times New Roman" w:hAnsi="Arial" w:cs="Arial"/>
          <w:color w:val="000000"/>
          <w:lang w:eastAsia="es-PE"/>
        </w:rPr>
      </w:pPr>
      <w:r w:rsidRPr="004660BB">
        <w:rPr>
          <w:rFonts w:ascii="Arial" w:eastAsia="Times New Roman" w:hAnsi="Arial" w:cs="Arial"/>
          <w:b/>
          <w:bCs/>
          <w:color w:val="000000"/>
          <w:lang w:eastAsia="es-PE"/>
        </w:rPr>
        <w:t>DE PROPIEDAD ESTATAL</w:t>
      </w:r>
    </w:p>
    <w:p w:rsidR="000408D3" w:rsidRDefault="000408D3" w:rsidP="00311C07">
      <w:pPr>
        <w:shd w:val="clear" w:color="auto" w:fill="FFFFFF"/>
        <w:spacing w:after="0" w:line="240" w:lineRule="auto"/>
        <w:jc w:val="both"/>
        <w:rPr>
          <w:rFonts w:ascii="Arial" w:eastAsia="Times New Roman" w:hAnsi="Arial" w:cs="Arial"/>
          <w:b/>
          <w:bCs/>
          <w:color w:val="000000"/>
          <w:lang w:eastAsia="es-PE"/>
        </w:rPr>
      </w:pP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b/>
          <w:bCs/>
          <w:color w:val="000000"/>
          <w:lang w:eastAsia="es-PE"/>
        </w:rPr>
        <w:t>Artículo 15.- De la ejecución de procedimientos especiales sobre predios de propiedad estatal</w:t>
      </w: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color w:val="000000"/>
          <w:lang w:eastAsia="es-PE"/>
        </w:rPr>
        <w:t>La SBN está facultada para ejecutar los procedimientos especiales a los que se refiere la Ley y el presente Reglamento, de oficio o a solicitud de parte, para la aprobación de actos de adquisición, de administración o de disposición sobre predios del Estado, así como de propiedad de las entidades del Sistema Nacional de Bienes Estatales - SNBE, comprendidos en los alcances de la Ley y del presente Reglamento. Esta facultad no alcanza a los predios de propiedad de los gobiernos regionales, gobiernos locales y sus empresas, y de las empresas estatales de derecho público. En el caso de los gobiernos regionales y locales podrán delegar a la SBN titularidad para realizar acciones de saneamiento sobre sus predios sin que ello implique transferencia de dominio.</w:t>
      </w:r>
    </w:p>
    <w:p w:rsidR="000408D3" w:rsidRDefault="000408D3" w:rsidP="00311C07">
      <w:pPr>
        <w:shd w:val="clear" w:color="auto" w:fill="FFFFFF"/>
        <w:spacing w:after="0" w:line="240" w:lineRule="auto"/>
        <w:jc w:val="both"/>
        <w:rPr>
          <w:rFonts w:ascii="Arial" w:eastAsia="Times New Roman" w:hAnsi="Arial" w:cs="Arial"/>
          <w:b/>
          <w:bCs/>
          <w:color w:val="000000"/>
          <w:lang w:eastAsia="es-PE"/>
        </w:rPr>
      </w:pP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b/>
          <w:bCs/>
          <w:color w:val="000000"/>
          <w:lang w:eastAsia="es-PE"/>
        </w:rPr>
        <w:t>Artículo 16.- De los supuestos para la ejecución de procedimientos especiales ante la SBN sobre predios de propiedad estatal</w:t>
      </w:r>
    </w:p>
    <w:p w:rsid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color w:val="000000"/>
          <w:lang w:eastAsia="es-PE"/>
        </w:rPr>
        <w:t>Los titulares de proyectos de inversión podrán solicitar ante la SBN la ejecución de los procedimientos especiales a que se refiere la Ley y el presente Reglamento, en cualquiera de los supuestos siguientes:</w:t>
      </w:r>
    </w:p>
    <w:p w:rsidR="000408D3" w:rsidRPr="004660BB" w:rsidRDefault="000408D3" w:rsidP="00311C07">
      <w:pPr>
        <w:shd w:val="clear" w:color="auto" w:fill="FFFFFF"/>
        <w:spacing w:after="0" w:line="240" w:lineRule="auto"/>
        <w:jc w:val="both"/>
        <w:rPr>
          <w:rFonts w:ascii="Arial" w:eastAsia="Times New Roman" w:hAnsi="Arial" w:cs="Arial"/>
          <w:color w:val="000000"/>
          <w:lang w:eastAsia="es-PE"/>
        </w:rPr>
      </w:pPr>
    </w:p>
    <w:p w:rsidR="004660BB" w:rsidRDefault="004660BB" w:rsidP="000408D3">
      <w:pPr>
        <w:shd w:val="clear" w:color="auto" w:fill="FFFFFF"/>
        <w:spacing w:after="0" w:line="240" w:lineRule="auto"/>
        <w:ind w:left="1276" w:hanging="709"/>
        <w:jc w:val="both"/>
        <w:rPr>
          <w:rFonts w:ascii="Arial" w:eastAsia="Times New Roman" w:hAnsi="Arial" w:cs="Arial"/>
          <w:color w:val="000000"/>
          <w:lang w:eastAsia="es-PE"/>
        </w:rPr>
      </w:pPr>
      <w:r w:rsidRPr="004660BB">
        <w:rPr>
          <w:rFonts w:ascii="Arial" w:eastAsia="Times New Roman" w:hAnsi="Arial" w:cs="Arial"/>
          <w:color w:val="000000"/>
          <w:lang w:eastAsia="es-PE"/>
        </w:rPr>
        <w:t xml:space="preserve">16.1 </w:t>
      </w:r>
      <w:r w:rsidR="000408D3">
        <w:rPr>
          <w:rFonts w:ascii="Arial" w:eastAsia="Times New Roman" w:hAnsi="Arial" w:cs="Arial"/>
          <w:color w:val="000000"/>
          <w:lang w:eastAsia="es-PE"/>
        </w:rPr>
        <w:tab/>
      </w:r>
      <w:r w:rsidRPr="004660BB">
        <w:rPr>
          <w:rFonts w:ascii="Arial" w:eastAsia="Times New Roman" w:hAnsi="Arial" w:cs="Arial"/>
          <w:color w:val="000000"/>
          <w:lang w:eastAsia="es-PE"/>
        </w:rPr>
        <w:t>En el caso que el solicitante sea una entidad pública: Para la aprobación de algún acto de administración o disposición sobre un predio estatal, tales como: transferencia de dominio, afectación en uso, superficie, usufructo, servidumbre u otros actos.</w:t>
      </w:r>
    </w:p>
    <w:p w:rsidR="000408D3" w:rsidRPr="004660BB" w:rsidRDefault="000408D3" w:rsidP="000408D3">
      <w:pPr>
        <w:shd w:val="clear" w:color="auto" w:fill="FFFFFF"/>
        <w:spacing w:after="0" w:line="240" w:lineRule="auto"/>
        <w:ind w:left="1276" w:hanging="709"/>
        <w:jc w:val="both"/>
        <w:rPr>
          <w:rFonts w:ascii="Arial" w:eastAsia="Times New Roman" w:hAnsi="Arial" w:cs="Arial"/>
          <w:color w:val="000000"/>
          <w:lang w:eastAsia="es-PE"/>
        </w:rPr>
      </w:pPr>
    </w:p>
    <w:p w:rsidR="004660BB" w:rsidRDefault="004660BB" w:rsidP="000408D3">
      <w:pPr>
        <w:shd w:val="clear" w:color="auto" w:fill="FFFFFF"/>
        <w:spacing w:after="0" w:line="240" w:lineRule="auto"/>
        <w:ind w:left="1276" w:hanging="709"/>
        <w:jc w:val="both"/>
        <w:rPr>
          <w:rFonts w:ascii="Arial" w:eastAsia="Times New Roman" w:hAnsi="Arial" w:cs="Arial"/>
          <w:color w:val="000000"/>
          <w:lang w:eastAsia="es-PE"/>
        </w:rPr>
      </w:pPr>
      <w:r w:rsidRPr="004660BB">
        <w:rPr>
          <w:rFonts w:ascii="Arial" w:eastAsia="Times New Roman" w:hAnsi="Arial" w:cs="Arial"/>
          <w:color w:val="000000"/>
          <w:lang w:eastAsia="es-PE"/>
        </w:rPr>
        <w:t xml:space="preserve">16.2 </w:t>
      </w:r>
      <w:r w:rsidR="000408D3">
        <w:rPr>
          <w:rFonts w:ascii="Arial" w:eastAsia="Times New Roman" w:hAnsi="Arial" w:cs="Arial"/>
          <w:color w:val="000000"/>
          <w:lang w:eastAsia="es-PE"/>
        </w:rPr>
        <w:tab/>
      </w:r>
      <w:r w:rsidRPr="004660BB">
        <w:rPr>
          <w:rFonts w:ascii="Arial" w:eastAsia="Times New Roman" w:hAnsi="Arial" w:cs="Arial"/>
          <w:color w:val="000000"/>
          <w:lang w:eastAsia="es-PE"/>
        </w:rPr>
        <w:t>En el caso que el solicitante sea un particular: Para la aprobación de actos de disposición o administración sobre un predio estatal, tales como: Venta directa, superficie, usufructo, servidumbre u otros actos.</w:t>
      </w:r>
    </w:p>
    <w:p w:rsidR="000408D3" w:rsidRPr="004660BB" w:rsidRDefault="000408D3" w:rsidP="00311C07">
      <w:pPr>
        <w:shd w:val="clear" w:color="auto" w:fill="FFFFFF"/>
        <w:spacing w:after="0" w:line="240" w:lineRule="auto"/>
        <w:jc w:val="both"/>
        <w:rPr>
          <w:rFonts w:ascii="Arial" w:eastAsia="Times New Roman" w:hAnsi="Arial" w:cs="Arial"/>
          <w:color w:val="000000"/>
          <w:lang w:eastAsia="es-PE"/>
        </w:rPr>
      </w:pP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color w:val="000000"/>
          <w:lang w:eastAsia="es-PE"/>
        </w:rPr>
        <w:t>En cada uno de los supuestos antes mencionados y, dependiendo de la situación jurídica en la que se encuentre el predio estatal, el titular del proyecto puede requerir que la SBN apruebe previamente el acto de adquisición que corresponda, tales como: Inmatriculación o primera inscripción de dominio, asunción de titularidad o reversión.</w:t>
      </w:r>
    </w:p>
    <w:p w:rsidR="000408D3" w:rsidRDefault="000408D3" w:rsidP="00311C07">
      <w:pPr>
        <w:shd w:val="clear" w:color="auto" w:fill="FFFFFF"/>
        <w:spacing w:after="0" w:line="240" w:lineRule="auto"/>
        <w:jc w:val="both"/>
        <w:rPr>
          <w:rFonts w:ascii="Arial" w:eastAsia="Times New Roman" w:hAnsi="Arial" w:cs="Arial"/>
          <w:b/>
          <w:bCs/>
          <w:color w:val="000000"/>
          <w:lang w:eastAsia="es-PE"/>
        </w:rPr>
      </w:pP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b/>
          <w:bCs/>
          <w:color w:val="000000"/>
          <w:lang w:eastAsia="es-PE"/>
        </w:rPr>
        <w:t>Artículo 17.- De los requisitos para la ejecución de procedimientos especiales para el saneamiento de propiedad estatal ante la SBN</w:t>
      </w:r>
    </w:p>
    <w:p w:rsid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color w:val="000000"/>
          <w:lang w:eastAsia="es-PE"/>
        </w:rPr>
        <w:t>Para dar inicio a la ejecución de procedimientos especiales de saneamiento sobre los predios de propiedad estatal por la SBN, el titular del proyecto de inversión deberá cumplir los requisitos mínimos siguientes:</w:t>
      </w:r>
    </w:p>
    <w:p w:rsidR="000408D3" w:rsidRPr="004660BB" w:rsidRDefault="000408D3" w:rsidP="00311C07">
      <w:pPr>
        <w:shd w:val="clear" w:color="auto" w:fill="FFFFFF"/>
        <w:spacing w:after="0" w:line="240" w:lineRule="auto"/>
        <w:jc w:val="both"/>
        <w:rPr>
          <w:rFonts w:ascii="Arial" w:eastAsia="Times New Roman" w:hAnsi="Arial" w:cs="Arial"/>
          <w:color w:val="000000"/>
          <w:lang w:eastAsia="es-PE"/>
        </w:rPr>
      </w:pPr>
    </w:p>
    <w:p w:rsidR="004660BB" w:rsidRPr="000408D3" w:rsidRDefault="004660BB" w:rsidP="0092471C">
      <w:pPr>
        <w:pStyle w:val="Prrafodelista"/>
        <w:numPr>
          <w:ilvl w:val="0"/>
          <w:numId w:val="266"/>
        </w:numPr>
        <w:shd w:val="clear" w:color="auto" w:fill="FFFFFF"/>
        <w:spacing w:after="0" w:line="240" w:lineRule="auto"/>
        <w:jc w:val="both"/>
        <w:rPr>
          <w:rFonts w:ascii="Arial" w:eastAsia="Times New Roman" w:hAnsi="Arial" w:cs="Arial"/>
          <w:color w:val="000000"/>
          <w:lang w:eastAsia="es-PE"/>
        </w:rPr>
      </w:pPr>
      <w:r w:rsidRPr="000408D3">
        <w:rPr>
          <w:rFonts w:ascii="Arial" w:eastAsia="Times New Roman" w:hAnsi="Arial" w:cs="Arial"/>
          <w:color w:val="000000"/>
          <w:lang w:eastAsia="es-PE"/>
        </w:rPr>
        <w:t>Solicitud escrita indicando el supuesto en que se encuentra según lo señalado en el artículo anterior, así como el nombre del proyecto de inversión pública o privada, la cual deberá estar suscrita por el titular del proyecto o por su representante legal, adjuntando copia de su documento de identidad.</w:t>
      </w:r>
    </w:p>
    <w:p w:rsidR="000408D3" w:rsidRPr="000408D3" w:rsidRDefault="000408D3" w:rsidP="000408D3">
      <w:pPr>
        <w:pStyle w:val="Prrafodelista"/>
        <w:shd w:val="clear" w:color="auto" w:fill="FFFFFF"/>
        <w:spacing w:after="0" w:line="240" w:lineRule="auto"/>
        <w:ind w:left="1144"/>
        <w:jc w:val="both"/>
        <w:rPr>
          <w:rFonts w:ascii="Arial" w:eastAsia="Times New Roman" w:hAnsi="Arial" w:cs="Arial"/>
          <w:color w:val="000000"/>
          <w:lang w:eastAsia="es-PE"/>
        </w:rPr>
      </w:pPr>
    </w:p>
    <w:p w:rsidR="004660BB" w:rsidRPr="000408D3" w:rsidRDefault="004660BB" w:rsidP="0092471C">
      <w:pPr>
        <w:pStyle w:val="Prrafodelista"/>
        <w:numPr>
          <w:ilvl w:val="0"/>
          <w:numId w:val="266"/>
        </w:numPr>
        <w:shd w:val="clear" w:color="auto" w:fill="FFFFFF"/>
        <w:spacing w:after="0" w:line="240" w:lineRule="auto"/>
        <w:jc w:val="both"/>
        <w:rPr>
          <w:rFonts w:ascii="Arial" w:eastAsia="Times New Roman" w:hAnsi="Arial" w:cs="Arial"/>
          <w:color w:val="000000"/>
          <w:lang w:eastAsia="es-PE"/>
        </w:rPr>
      </w:pPr>
      <w:r w:rsidRPr="000408D3">
        <w:rPr>
          <w:rFonts w:ascii="Arial" w:eastAsia="Times New Roman" w:hAnsi="Arial" w:cs="Arial"/>
          <w:color w:val="000000"/>
          <w:lang w:eastAsia="es-PE"/>
        </w:rPr>
        <w:t>Copia de la resolución o acto administrativo que acredite las facultades del representante legal de la entidad pública para tramitar procedimientos administrativos. En caso de personas jurídicas de derecho privado, se acompañará copia de la partida registral donde consta inscrita la constitución y el certificado de vigencia de poder de su representante legal, con una antigüedad no mayor de sesenta (60) días calendario.</w:t>
      </w:r>
    </w:p>
    <w:p w:rsidR="000408D3" w:rsidRPr="000408D3" w:rsidRDefault="000408D3" w:rsidP="000408D3">
      <w:pPr>
        <w:pStyle w:val="Prrafodelista"/>
        <w:rPr>
          <w:rFonts w:ascii="Arial" w:eastAsia="Times New Roman" w:hAnsi="Arial" w:cs="Arial"/>
          <w:color w:val="000000"/>
          <w:lang w:eastAsia="es-PE"/>
        </w:rPr>
      </w:pPr>
    </w:p>
    <w:p w:rsidR="004660BB" w:rsidRPr="000408D3" w:rsidRDefault="004660BB" w:rsidP="0092471C">
      <w:pPr>
        <w:pStyle w:val="Prrafodelista"/>
        <w:numPr>
          <w:ilvl w:val="0"/>
          <w:numId w:val="266"/>
        </w:numPr>
        <w:shd w:val="clear" w:color="auto" w:fill="FFFFFF"/>
        <w:spacing w:after="0" w:line="240" w:lineRule="auto"/>
        <w:jc w:val="both"/>
        <w:rPr>
          <w:rFonts w:ascii="Arial" w:eastAsia="Times New Roman" w:hAnsi="Arial" w:cs="Arial"/>
          <w:color w:val="000000"/>
          <w:lang w:eastAsia="es-PE"/>
        </w:rPr>
      </w:pPr>
      <w:r w:rsidRPr="000408D3">
        <w:rPr>
          <w:rFonts w:ascii="Arial" w:eastAsia="Times New Roman" w:hAnsi="Arial" w:cs="Arial"/>
          <w:color w:val="000000"/>
          <w:lang w:eastAsia="es-PE"/>
        </w:rPr>
        <w:t>Copia literal de dominio de la partida registral o Certificado de Búsqueda Catastral, en caso de predios no inscritos, correspondiente al predio (o predios) materia de la solicitud, con una antigüedad no mayor de sesenta (60) días calendario.</w:t>
      </w:r>
    </w:p>
    <w:p w:rsidR="000408D3" w:rsidRPr="000408D3" w:rsidRDefault="000408D3" w:rsidP="000408D3">
      <w:pPr>
        <w:pStyle w:val="Prrafodelista"/>
        <w:rPr>
          <w:rFonts w:ascii="Arial" w:eastAsia="Times New Roman" w:hAnsi="Arial" w:cs="Arial"/>
          <w:color w:val="000000"/>
          <w:lang w:eastAsia="es-PE"/>
        </w:rPr>
      </w:pPr>
    </w:p>
    <w:p w:rsidR="004660BB" w:rsidRPr="000408D3" w:rsidRDefault="004660BB" w:rsidP="0092471C">
      <w:pPr>
        <w:pStyle w:val="Prrafodelista"/>
        <w:numPr>
          <w:ilvl w:val="0"/>
          <w:numId w:val="266"/>
        </w:numPr>
        <w:shd w:val="clear" w:color="auto" w:fill="FFFFFF"/>
        <w:spacing w:after="0" w:line="240" w:lineRule="auto"/>
        <w:jc w:val="both"/>
        <w:rPr>
          <w:rFonts w:ascii="Arial" w:eastAsia="Times New Roman" w:hAnsi="Arial" w:cs="Arial"/>
          <w:color w:val="000000"/>
          <w:lang w:eastAsia="es-PE"/>
        </w:rPr>
      </w:pPr>
      <w:r w:rsidRPr="000408D3">
        <w:rPr>
          <w:rFonts w:ascii="Arial" w:eastAsia="Times New Roman" w:hAnsi="Arial" w:cs="Arial"/>
          <w:color w:val="000000"/>
          <w:lang w:eastAsia="es-PE"/>
        </w:rPr>
        <w:t>Planos perimétrico y de ubicación del área solicitada para el proyecto de inversión y del área remanente del predio estatal solicitado, de acuerdo a las características que se indican en el literal d) del artículo 33 del presente Reglamento. Estos planos deberán contener el respectivo cuadro de datos técnicos. En caso que en el título archivado no obren planos o existan independizaciones que se hayan efectuado sin precisar el área remanente, no será necesario presentar el plano del área remanente. Estos planos deben adjuntarse en documento impreso y en formato digital.</w:t>
      </w:r>
    </w:p>
    <w:p w:rsidR="000408D3" w:rsidRPr="000408D3" w:rsidRDefault="000408D3" w:rsidP="000408D3">
      <w:pPr>
        <w:pStyle w:val="Prrafodelista"/>
        <w:rPr>
          <w:rFonts w:ascii="Arial" w:eastAsia="Times New Roman" w:hAnsi="Arial" w:cs="Arial"/>
          <w:color w:val="000000"/>
          <w:lang w:eastAsia="es-PE"/>
        </w:rPr>
      </w:pPr>
    </w:p>
    <w:p w:rsidR="004660BB" w:rsidRPr="000408D3" w:rsidRDefault="004660BB" w:rsidP="0092471C">
      <w:pPr>
        <w:pStyle w:val="Prrafodelista"/>
        <w:numPr>
          <w:ilvl w:val="0"/>
          <w:numId w:val="266"/>
        </w:numPr>
        <w:shd w:val="clear" w:color="auto" w:fill="FFFFFF"/>
        <w:spacing w:after="0" w:line="240" w:lineRule="auto"/>
        <w:jc w:val="both"/>
        <w:rPr>
          <w:rFonts w:ascii="Arial" w:eastAsia="Times New Roman" w:hAnsi="Arial" w:cs="Arial"/>
          <w:color w:val="000000"/>
          <w:lang w:eastAsia="es-PE"/>
        </w:rPr>
      </w:pPr>
      <w:r w:rsidRPr="000408D3">
        <w:rPr>
          <w:rFonts w:ascii="Arial" w:eastAsia="Times New Roman" w:hAnsi="Arial" w:cs="Arial"/>
          <w:color w:val="000000"/>
          <w:lang w:eastAsia="es-PE"/>
        </w:rPr>
        <w:t>Informe técnico legal del predio estatal materia de saneamiento, visado por el o los profesionales designados por el titular del proyecto, en donde se identifique el área total del predio y el área requerida para el proyecto de inversión, precisando la ubicación, zonificación, linderos, edificaciones, inscripciones, ocupación y/o existencia de posesionarios, cargas y cualquier otra información que el titular del proyecto considere relevante.</w:t>
      </w:r>
    </w:p>
    <w:p w:rsidR="000408D3" w:rsidRDefault="000408D3" w:rsidP="000408D3">
      <w:pPr>
        <w:shd w:val="clear" w:color="auto" w:fill="FFFFFF"/>
        <w:spacing w:after="0" w:line="240" w:lineRule="auto"/>
        <w:ind w:left="1134" w:hanging="425"/>
        <w:jc w:val="both"/>
        <w:rPr>
          <w:rFonts w:ascii="Arial" w:eastAsia="Times New Roman" w:hAnsi="Arial" w:cs="Arial"/>
          <w:color w:val="000000"/>
          <w:lang w:eastAsia="es-PE"/>
        </w:rPr>
      </w:pPr>
    </w:p>
    <w:p w:rsidR="004660BB" w:rsidRPr="000408D3" w:rsidRDefault="004660BB" w:rsidP="0092471C">
      <w:pPr>
        <w:pStyle w:val="Prrafodelista"/>
        <w:numPr>
          <w:ilvl w:val="0"/>
          <w:numId w:val="266"/>
        </w:numPr>
        <w:shd w:val="clear" w:color="auto" w:fill="FFFFFF"/>
        <w:spacing w:after="0" w:line="240" w:lineRule="auto"/>
        <w:jc w:val="both"/>
        <w:rPr>
          <w:rFonts w:ascii="Arial" w:eastAsia="Times New Roman" w:hAnsi="Arial" w:cs="Arial"/>
          <w:color w:val="000000"/>
          <w:lang w:eastAsia="es-PE"/>
        </w:rPr>
      </w:pPr>
      <w:r w:rsidRPr="000408D3">
        <w:rPr>
          <w:rFonts w:ascii="Arial" w:eastAsia="Times New Roman" w:hAnsi="Arial" w:cs="Arial"/>
          <w:color w:val="000000"/>
          <w:lang w:eastAsia="es-PE"/>
        </w:rPr>
        <w:t>Memoria descriptiva, en el caso de predios no inscritos.</w:t>
      </w:r>
    </w:p>
    <w:p w:rsidR="000408D3" w:rsidRPr="000408D3" w:rsidRDefault="000408D3" w:rsidP="000408D3">
      <w:pPr>
        <w:pStyle w:val="Prrafodelista"/>
        <w:rPr>
          <w:rFonts w:ascii="Arial" w:eastAsia="Times New Roman" w:hAnsi="Arial" w:cs="Arial"/>
          <w:color w:val="000000"/>
          <w:lang w:eastAsia="es-PE"/>
        </w:rPr>
      </w:pPr>
    </w:p>
    <w:p w:rsidR="004660BB" w:rsidRPr="000408D3" w:rsidRDefault="004660BB" w:rsidP="0092471C">
      <w:pPr>
        <w:pStyle w:val="Prrafodelista"/>
        <w:numPr>
          <w:ilvl w:val="0"/>
          <w:numId w:val="266"/>
        </w:numPr>
        <w:shd w:val="clear" w:color="auto" w:fill="FFFFFF"/>
        <w:spacing w:after="0" w:line="240" w:lineRule="auto"/>
        <w:jc w:val="both"/>
        <w:rPr>
          <w:rFonts w:ascii="Arial" w:eastAsia="Times New Roman" w:hAnsi="Arial" w:cs="Arial"/>
          <w:color w:val="000000"/>
          <w:lang w:eastAsia="es-PE"/>
        </w:rPr>
      </w:pPr>
      <w:r w:rsidRPr="000408D3">
        <w:rPr>
          <w:rFonts w:ascii="Arial" w:eastAsia="Times New Roman" w:hAnsi="Arial" w:cs="Arial"/>
          <w:color w:val="000000"/>
          <w:lang w:eastAsia="es-PE"/>
        </w:rPr>
        <w:t>Número de la Ley, en caso de proyectos declarados de necesidad pública, interés nacional, seguridad nacional y/o de gran envergadura.</w:t>
      </w:r>
    </w:p>
    <w:p w:rsidR="000408D3" w:rsidRPr="000408D3" w:rsidRDefault="000408D3" w:rsidP="000408D3">
      <w:pPr>
        <w:pStyle w:val="Prrafodelista"/>
        <w:rPr>
          <w:rFonts w:ascii="Arial" w:eastAsia="Times New Roman" w:hAnsi="Arial" w:cs="Arial"/>
          <w:color w:val="000000"/>
          <w:lang w:eastAsia="es-PE"/>
        </w:rPr>
      </w:pPr>
    </w:p>
    <w:p w:rsidR="004660BB" w:rsidRPr="000408D3" w:rsidRDefault="004660BB" w:rsidP="0092471C">
      <w:pPr>
        <w:pStyle w:val="Prrafodelista"/>
        <w:numPr>
          <w:ilvl w:val="0"/>
          <w:numId w:val="266"/>
        </w:numPr>
        <w:shd w:val="clear" w:color="auto" w:fill="FFFFFF"/>
        <w:spacing w:after="0" w:line="240" w:lineRule="auto"/>
        <w:jc w:val="both"/>
        <w:rPr>
          <w:rFonts w:ascii="Arial" w:eastAsia="Times New Roman" w:hAnsi="Arial" w:cs="Arial"/>
          <w:color w:val="000000"/>
          <w:lang w:eastAsia="es-PE"/>
        </w:rPr>
      </w:pPr>
      <w:r w:rsidRPr="000408D3">
        <w:rPr>
          <w:rFonts w:ascii="Arial" w:eastAsia="Times New Roman" w:hAnsi="Arial" w:cs="Arial"/>
          <w:color w:val="000000"/>
          <w:lang w:eastAsia="es-PE"/>
        </w:rPr>
        <w:t>Documento o acto administrativo que acredita que el proyecto de inversión cuenta con concesiones otorgadas por el Gobierno Nacional o con la participación de PROINVERSIÓN o autorizaciones ministeriales, de acuerdo a las precisiones contenidas en el presente Reglamento.</w:t>
      </w:r>
    </w:p>
    <w:p w:rsidR="000408D3" w:rsidRPr="000408D3" w:rsidRDefault="000408D3" w:rsidP="000408D3">
      <w:pPr>
        <w:pStyle w:val="Prrafodelista"/>
        <w:rPr>
          <w:rFonts w:ascii="Arial" w:eastAsia="Times New Roman" w:hAnsi="Arial" w:cs="Arial"/>
          <w:color w:val="000000"/>
          <w:lang w:eastAsia="es-PE"/>
        </w:rPr>
      </w:pPr>
    </w:p>
    <w:p w:rsidR="004660BB" w:rsidRPr="000408D3" w:rsidRDefault="004660BB" w:rsidP="0092471C">
      <w:pPr>
        <w:pStyle w:val="Prrafodelista"/>
        <w:numPr>
          <w:ilvl w:val="0"/>
          <w:numId w:val="266"/>
        </w:numPr>
        <w:shd w:val="clear" w:color="auto" w:fill="FFFFFF"/>
        <w:spacing w:after="0" w:line="240" w:lineRule="auto"/>
        <w:jc w:val="both"/>
        <w:rPr>
          <w:rFonts w:ascii="Arial" w:eastAsia="Times New Roman" w:hAnsi="Arial" w:cs="Arial"/>
          <w:color w:val="000000"/>
          <w:lang w:eastAsia="es-PE"/>
        </w:rPr>
      </w:pPr>
      <w:r w:rsidRPr="000408D3">
        <w:rPr>
          <w:rFonts w:ascii="Arial" w:eastAsia="Times New Roman" w:hAnsi="Arial" w:cs="Arial"/>
          <w:color w:val="000000"/>
          <w:lang w:eastAsia="es-PE"/>
        </w:rPr>
        <w:t>Documento o acto administrativo que contenga la identificación del área solicitada o la delimitación del ámbito territorial donde se ejecutará el proyecto de inversión, al cual se acompañará la parte pertinente del proyecto y/o el plano que forma parte del Expediente del citado proyecto.</w:t>
      </w:r>
    </w:p>
    <w:p w:rsidR="000408D3" w:rsidRPr="000408D3" w:rsidRDefault="000408D3" w:rsidP="000408D3">
      <w:pPr>
        <w:pStyle w:val="Prrafodelista"/>
        <w:rPr>
          <w:rFonts w:ascii="Arial" w:eastAsia="Times New Roman" w:hAnsi="Arial" w:cs="Arial"/>
          <w:color w:val="000000"/>
          <w:lang w:eastAsia="es-PE"/>
        </w:rPr>
      </w:pPr>
    </w:p>
    <w:p w:rsidR="004660BB" w:rsidRPr="004660BB" w:rsidRDefault="004660BB" w:rsidP="000408D3">
      <w:pPr>
        <w:shd w:val="clear" w:color="auto" w:fill="FFFFFF"/>
        <w:spacing w:after="0" w:line="240" w:lineRule="auto"/>
        <w:ind w:left="1134" w:hanging="425"/>
        <w:jc w:val="both"/>
        <w:rPr>
          <w:rFonts w:ascii="Arial" w:eastAsia="Times New Roman" w:hAnsi="Arial" w:cs="Arial"/>
          <w:color w:val="000000"/>
          <w:lang w:eastAsia="es-PE"/>
        </w:rPr>
      </w:pPr>
      <w:r w:rsidRPr="004660BB">
        <w:rPr>
          <w:rFonts w:ascii="Arial" w:eastAsia="Times New Roman" w:hAnsi="Arial" w:cs="Arial"/>
          <w:color w:val="000000"/>
          <w:lang w:eastAsia="es-PE"/>
        </w:rPr>
        <w:t>j) </w:t>
      </w:r>
      <w:r w:rsidR="000408D3">
        <w:rPr>
          <w:rFonts w:ascii="Arial" w:eastAsia="Times New Roman" w:hAnsi="Arial" w:cs="Arial"/>
          <w:color w:val="000000"/>
          <w:lang w:eastAsia="es-PE"/>
        </w:rPr>
        <w:tab/>
      </w:r>
      <w:r w:rsidRPr="004660BB">
        <w:rPr>
          <w:rFonts w:ascii="Arial" w:eastAsia="Times New Roman" w:hAnsi="Arial" w:cs="Arial"/>
          <w:color w:val="000000"/>
          <w:lang w:eastAsia="es-PE"/>
        </w:rPr>
        <w:t>Los requisitos correspondientes al acto de administración o de disposición que se solicita, regulados en las normas del SNBE, tales como transferencia interestatal, afectación en uso, usufructo, servidumbre, arrendamiento, superficie o venta directa, según corresponda.</w:t>
      </w:r>
    </w:p>
    <w:p w:rsidR="000408D3" w:rsidRDefault="000408D3" w:rsidP="00311C07">
      <w:pPr>
        <w:shd w:val="clear" w:color="auto" w:fill="FFFFFF"/>
        <w:spacing w:after="0" w:line="240" w:lineRule="auto"/>
        <w:jc w:val="both"/>
        <w:rPr>
          <w:rFonts w:ascii="Arial" w:eastAsia="Times New Roman" w:hAnsi="Arial" w:cs="Arial"/>
          <w:b/>
          <w:bCs/>
          <w:color w:val="000000"/>
          <w:lang w:eastAsia="es-PE"/>
        </w:rPr>
      </w:pP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b/>
          <w:bCs/>
          <w:color w:val="000000"/>
          <w:lang w:eastAsia="es-PE"/>
        </w:rPr>
        <w:t>Artículo 18.- Evaluación formal de la solicitud</w:t>
      </w: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color w:val="000000"/>
          <w:lang w:eastAsia="es-PE"/>
        </w:rPr>
        <w:t>Recibida la solicitud, la unidad orgánica competente de la SBN encargada de sustentar el trámite procederá a verificar la documentación presentada y, de ser necesario, requerirá al solicitante para que dentro del término de diez (10) días hábiles, computados a partir del día siguiente de su notificación, efectúe la aclaración, precisión o reformulación de su pedido o complemente la documentación presentada, bajo apercibimiento de declararse inadmisible la solicitud.</w:t>
      </w:r>
    </w:p>
    <w:p w:rsidR="000408D3" w:rsidRDefault="000408D3" w:rsidP="00311C07">
      <w:pPr>
        <w:shd w:val="clear" w:color="auto" w:fill="FFFFFF"/>
        <w:spacing w:after="0" w:line="240" w:lineRule="auto"/>
        <w:jc w:val="both"/>
        <w:rPr>
          <w:rFonts w:ascii="Arial" w:eastAsia="Times New Roman" w:hAnsi="Arial" w:cs="Arial"/>
          <w:color w:val="000000"/>
          <w:lang w:eastAsia="es-PE"/>
        </w:rPr>
      </w:pP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color w:val="000000"/>
          <w:lang w:eastAsia="es-PE"/>
        </w:rPr>
        <w:t>La falta de inscripción del predio a favor del Estado no impide la evaluación de la solicitud presentada.</w:t>
      </w: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color w:val="000000"/>
          <w:lang w:eastAsia="es-PE"/>
        </w:rPr>
        <w:t>La admisión a trámite de la solicitud no implica la aprobación del acto de adquisición, o administración, o de disposición solicitado, sino que permite dar inicio al diagnóstico técnico legal del predio y, de ser el caso, a los actos específicos de saneamiento físico - legal aplicando los procedimientos especiales que correspondan.</w:t>
      </w:r>
    </w:p>
    <w:p w:rsidR="000408D3" w:rsidRDefault="000408D3" w:rsidP="00311C07">
      <w:pPr>
        <w:shd w:val="clear" w:color="auto" w:fill="FFFFFF"/>
        <w:spacing w:after="0" w:line="240" w:lineRule="auto"/>
        <w:jc w:val="both"/>
        <w:rPr>
          <w:rFonts w:ascii="Arial" w:eastAsia="Times New Roman" w:hAnsi="Arial" w:cs="Arial"/>
          <w:b/>
          <w:bCs/>
          <w:color w:val="000000"/>
          <w:lang w:eastAsia="es-PE"/>
        </w:rPr>
      </w:pPr>
    </w:p>
    <w:p w:rsidR="00AA2D63" w:rsidRDefault="00AA2D63" w:rsidP="00311C07">
      <w:pPr>
        <w:shd w:val="clear" w:color="auto" w:fill="FFFFFF"/>
        <w:spacing w:after="0" w:line="240" w:lineRule="auto"/>
        <w:jc w:val="both"/>
        <w:rPr>
          <w:rFonts w:ascii="Arial" w:eastAsia="Times New Roman" w:hAnsi="Arial" w:cs="Arial"/>
          <w:b/>
          <w:bCs/>
          <w:color w:val="000000"/>
          <w:lang w:eastAsia="es-PE"/>
        </w:rPr>
      </w:pP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b/>
          <w:bCs/>
          <w:color w:val="000000"/>
          <w:lang w:eastAsia="es-PE"/>
        </w:rPr>
        <w:t>Articulo 19.- Del procedimiento de saneamiento a cargo de la SBN</w:t>
      </w: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color w:val="000000"/>
          <w:lang w:eastAsia="es-PE"/>
        </w:rPr>
        <w:t>El procedimiento de saneamiento especial a cargo de la SBN comprende el diagnóstico técnico legal y el saneamiento físico - legal.</w:t>
      </w:r>
    </w:p>
    <w:p w:rsidR="000408D3" w:rsidRDefault="000408D3" w:rsidP="00311C07">
      <w:pPr>
        <w:shd w:val="clear" w:color="auto" w:fill="FFFFFF"/>
        <w:spacing w:after="0" w:line="240" w:lineRule="auto"/>
        <w:jc w:val="both"/>
        <w:rPr>
          <w:rFonts w:ascii="Arial" w:eastAsia="Times New Roman" w:hAnsi="Arial" w:cs="Arial"/>
          <w:color w:val="000000"/>
          <w:lang w:eastAsia="es-PE"/>
        </w:rPr>
      </w:pP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color w:val="000000"/>
          <w:lang w:eastAsia="es-PE"/>
        </w:rPr>
        <w:t>La etapa de diagnóstico se inicia luego de admitida la solicitud a trámite.</w:t>
      </w: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color w:val="000000"/>
          <w:lang w:eastAsia="es-PE"/>
        </w:rPr>
        <w:t>La unidad orgánica competente encargada de sustentar dicho procedimiento efectuará, de ser necesario, una inspección técnica del predio para evaluar la situación física legal del predio, así como comprobará el supuesto en que se sustenta la solicitud u otra circunstancia que incida en la calificación del procedimiento respecto del acto de adquisición, o de administración, o de disposición.</w:t>
      </w:r>
    </w:p>
    <w:p w:rsidR="000408D3" w:rsidRDefault="000408D3" w:rsidP="00311C07">
      <w:pPr>
        <w:shd w:val="clear" w:color="auto" w:fill="FFFFFF"/>
        <w:spacing w:after="0" w:line="240" w:lineRule="auto"/>
        <w:jc w:val="both"/>
        <w:rPr>
          <w:rFonts w:ascii="Arial" w:eastAsia="Times New Roman" w:hAnsi="Arial" w:cs="Arial"/>
          <w:b/>
          <w:bCs/>
          <w:color w:val="000000"/>
          <w:lang w:eastAsia="es-PE"/>
        </w:rPr>
      </w:pP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b/>
          <w:bCs/>
          <w:color w:val="000000"/>
          <w:lang w:eastAsia="es-PE"/>
        </w:rPr>
        <w:t>Artículo 20.- De la calificación sustancial del procedimiento</w:t>
      </w: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color w:val="000000"/>
          <w:lang w:eastAsia="es-PE"/>
        </w:rPr>
        <w:t>Con la documentación proporcionada por el solicitante y luego de realizada la inspección técnica, de ser el caso, se procederá a emitir el informe de diagnóstico técnico legal, en el que se recomendará las acciones de saneamiento a ejecutarse. Asimismo, en dicho informe se pronunciará sobre la calificación sustancial del acto de administración o disposición, pudiendo recomendar la adecuación de la solicitud a otro acto.</w:t>
      </w:r>
    </w:p>
    <w:p w:rsidR="000408D3" w:rsidRDefault="000408D3" w:rsidP="00311C07">
      <w:pPr>
        <w:shd w:val="clear" w:color="auto" w:fill="FFFFFF"/>
        <w:spacing w:after="0" w:line="240" w:lineRule="auto"/>
        <w:jc w:val="both"/>
        <w:rPr>
          <w:rFonts w:ascii="Arial" w:eastAsia="Times New Roman" w:hAnsi="Arial" w:cs="Arial"/>
          <w:b/>
          <w:bCs/>
          <w:color w:val="000000"/>
          <w:lang w:eastAsia="es-PE"/>
        </w:rPr>
      </w:pP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b/>
          <w:bCs/>
          <w:color w:val="000000"/>
          <w:lang w:eastAsia="es-PE"/>
        </w:rPr>
        <w:t>Articulo 21.- De la ejecución del procedimiento de saneamiento</w:t>
      </w: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color w:val="000000"/>
          <w:lang w:eastAsia="es-PE"/>
        </w:rPr>
        <w:t>Concluida la etapa de diagnóstico técnico legal, la SBN ejecutará los procedimientos de saneamiento que correspondan.</w:t>
      </w:r>
    </w:p>
    <w:p w:rsidR="000408D3" w:rsidRDefault="000408D3" w:rsidP="00311C07">
      <w:pPr>
        <w:shd w:val="clear" w:color="auto" w:fill="FFFFFF"/>
        <w:spacing w:after="0" w:line="240" w:lineRule="auto"/>
        <w:jc w:val="both"/>
        <w:rPr>
          <w:rFonts w:ascii="Arial" w:eastAsia="Times New Roman" w:hAnsi="Arial" w:cs="Arial"/>
          <w:b/>
          <w:bCs/>
          <w:color w:val="000000"/>
          <w:lang w:eastAsia="es-PE"/>
        </w:rPr>
      </w:pP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b/>
          <w:bCs/>
          <w:color w:val="000000"/>
          <w:lang w:eastAsia="es-PE"/>
        </w:rPr>
        <w:t>Artículo 22.- De la oportunidad de la anotación preventiva de los procedimientos a cargo de la SBN</w:t>
      </w: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color w:val="000000"/>
          <w:lang w:eastAsia="es-PE"/>
        </w:rPr>
        <w:t>Una vez concluido el diagnóstico técnico legal del predio, la SBN puede disponer o autorizar al titular del proyecto, la anotación preventiva de los procedimientos de saneamiento a su cargo.</w:t>
      </w:r>
    </w:p>
    <w:p w:rsidR="000408D3" w:rsidRDefault="000408D3" w:rsidP="00311C07">
      <w:pPr>
        <w:shd w:val="clear" w:color="auto" w:fill="FFFFFF"/>
        <w:spacing w:after="0" w:line="240" w:lineRule="auto"/>
        <w:jc w:val="both"/>
        <w:rPr>
          <w:rFonts w:ascii="Arial" w:eastAsia="Times New Roman" w:hAnsi="Arial" w:cs="Arial"/>
          <w:b/>
          <w:bCs/>
          <w:color w:val="000000"/>
          <w:lang w:eastAsia="es-PE"/>
        </w:rPr>
      </w:pP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b/>
          <w:bCs/>
          <w:color w:val="000000"/>
          <w:lang w:eastAsia="es-PE"/>
        </w:rPr>
        <w:t>Artículo 23.- De la concurrencia de proyectos de inversión sobre una misma área de influencia</w:t>
      </w:r>
    </w:p>
    <w:p w:rsidR="004660BB" w:rsidRDefault="004660BB" w:rsidP="000408D3">
      <w:pPr>
        <w:shd w:val="clear" w:color="auto" w:fill="FFFFFF"/>
        <w:spacing w:after="0" w:line="240" w:lineRule="auto"/>
        <w:ind w:left="993" w:hanging="709"/>
        <w:jc w:val="both"/>
        <w:rPr>
          <w:rFonts w:ascii="Arial" w:eastAsia="Times New Roman" w:hAnsi="Arial" w:cs="Arial"/>
          <w:color w:val="000000"/>
          <w:lang w:eastAsia="es-PE"/>
        </w:rPr>
      </w:pPr>
      <w:r w:rsidRPr="004660BB">
        <w:rPr>
          <w:rFonts w:ascii="Arial" w:eastAsia="Times New Roman" w:hAnsi="Arial" w:cs="Arial"/>
          <w:color w:val="000000"/>
          <w:lang w:eastAsia="es-PE"/>
        </w:rPr>
        <w:t xml:space="preserve">23.1 </w:t>
      </w:r>
      <w:r w:rsidR="000408D3">
        <w:rPr>
          <w:rFonts w:ascii="Arial" w:eastAsia="Times New Roman" w:hAnsi="Arial" w:cs="Arial"/>
          <w:color w:val="000000"/>
          <w:lang w:eastAsia="es-PE"/>
        </w:rPr>
        <w:tab/>
      </w:r>
      <w:r w:rsidRPr="004660BB">
        <w:rPr>
          <w:rFonts w:ascii="Arial" w:eastAsia="Times New Roman" w:hAnsi="Arial" w:cs="Arial"/>
          <w:color w:val="000000"/>
          <w:lang w:eastAsia="es-PE"/>
        </w:rPr>
        <w:t>Se entiende que se produce concurrencia de proyectos de inversión sobre una misma área de influencia cuando se presentan dos o más solicitudes dentro del término de quince (15) días hábiles de iniciado el trámite contados desde la fecha de presentación de la primera solicitud.</w:t>
      </w:r>
    </w:p>
    <w:p w:rsidR="000408D3" w:rsidRPr="004660BB" w:rsidRDefault="000408D3" w:rsidP="000408D3">
      <w:pPr>
        <w:shd w:val="clear" w:color="auto" w:fill="FFFFFF"/>
        <w:spacing w:after="0" w:line="240" w:lineRule="auto"/>
        <w:ind w:left="993" w:hanging="709"/>
        <w:jc w:val="both"/>
        <w:rPr>
          <w:rFonts w:ascii="Arial" w:eastAsia="Times New Roman" w:hAnsi="Arial" w:cs="Arial"/>
          <w:color w:val="000000"/>
          <w:lang w:eastAsia="es-PE"/>
        </w:rPr>
      </w:pPr>
    </w:p>
    <w:p w:rsidR="004660BB" w:rsidRDefault="004660BB" w:rsidP="000408D3">
      <w:pPr>
        <w:shd w:val="clear" w:color="auto" w:fill="FFFFFF"/>
        <w:spacing w:after="0" w:line="240" w:lineRule="auto"/>
        <w:ind w:left="993" w:hanging="709"/>
        <w:jc w:val="both"/>
        <w:rPr>
          <w:rFonts w:ascii="Arial" w:eastAsia="Times New Roman" w:hAnsi="Arial" w:cs="Arial"/>
          <w:color w:val="000000"/>
          <w:lang w:eastAsia="es-PE"/>
        </w:rPr>
      </w:pPr>
      <w:r w:rsidRPr="004660BB">
        <w:rPr>
          <w:rFonts w:ascii="Arial" w:eastAsia="Times New Roman" w:hAnsi="Arial" w:cs="Arial"/>
          <w:color w:val="000000"/>
          <w:lang w:eastAsia="es-PE"/>
        </w:rPr>
        <w:t xml:space="preserve">23.2 </w:t>
      </w:r>
      <w:r w:rsidR="000408D3">
        <w:rPr>
          <w:rFonts w:ascii="Arial" w:eastAsia="Times New Roman" w:hAnsi="Arial" w:cs="Arial"/>
          <w:color w:val="000000"/>
          <w:lang w:eastAsia="es-PE"/>
        </w:rPr>
        <w:tab/>
      </w:r>
      <w:r w:rsidRPr="004660BB">
        <w:rPr>
          <w:rFonts w:ascii="Arial" w:eastAsia="Times New Roman" w:hAnsi="Arial" w:cs="Arial"/>
          <w:color w:val="000000"/>
          <w:lang w:eastAsia="es-PE"/>
        </w:rPr>
        <w:t>La concurrencia de proyectos de inversión sobre una misma área de influencia también se produce cuando, en el término antes indicado, se presentan una o más solicitudes para la ejecución de procedimientos especiales y una o más solicitudes de algún acto de disposición o administración ante la SBN correspondientes a distintos titulares de proyectos de inversión a los que se refiere el Capítulo I del Título III de la Ley.</w:t>
      </w:r>
    </w:p>
    <w:p w:rsidR="000408D3" w:rsidRPr="004660BB" w:rsidRDefault="000408D3" w:rsidP="000408D3">
      <w:pPr>
        <w:shd w:val="clear" w:color="auto" w:fill="FFFFFF"/>
        <w:spacing w:after="0" w:line="240" w:lineRule="auto"/>
        <w:ind w:left="993" w:hanging="709"/>
        <w:jc w:val="both"/>
        <w:rPr>
          <w:rFonts w:ascii="Arial" w:eastAsia="Times New Roman" w:hAnsi="Arial" w:cs="Arial"/>
          <w:color w:val="000000"/>
          <w:lang w:eastAsia="es-PE"/>
        </w:rPr>
      </w:pPr>
    </w:p>
    <w:p w:rsidR="004660BB" w:rsidRPr="004660BB" w:rsidRDefault="004660BB" w:rsidP="000408D3">
      <w:pPr>
        <w:shd w:val="clear" w:color="auto" w:fill="FFFFFF"/>
        <w:spacing w:after="0" w:line="240" w:lineRule="auto"/>
        <w:ind w:left="993" w:hanging="709"/>
        <w:jc w:val="both"/>
        <w:rPr>
          <w:rFonts w:ascii="Arial" w:eastAsia="Times New Roman" w:hAnsi="Arial" w:cs="Arial"/>
          <w:color w:val="000000"/>
          <w:lang w:eastAsia="es-PE"/>
        </w:rPr>
      </w:pPr>
      <w:r w:rsidRPr="004660BB">
        <w:rPr>
          <w:rFonts w:ascii="Arial" w:eastAsia="Times New Roman" w:hAnsi="Arial" w:cs="Arial"/>
          <w:color w:val="000000"/>
          <w:lang w:eastAsia="es-PE"/>
        </w:rPr>
        <w:t xml:space="preserve">23.3 </w:t>
      </w:r>
      <w:r w:rsidR="000408D3">
        <w:rPr>
          <w:rFonts w:ascii="Arial" w:eastAsia="Times New Roman" w:hAnsi="Arial" w:cs="Arial"/>
          <w:color w:val="000000"/>
          <w:lang w:eastAsia="es-PE"/>
        </w:rPr>
        <w:tab/>
      </w:r>
      <w:r w:rsidRPr="004660BB">
        <w:rPr>
          <w:rFonts w:ascii="Arial" w:eastAsia="Times New Roman" w:hAnsi="Arial" w:cs="Arial"/>
          <w:color w:val="000000"/>
          <w:lang w:eastAsia="es-PE"/>
        </w:rPr>
        <w:t>En los casos de concurrencia antes mencionados se aplican los criterios de prioridad y prevalencia, conforme al siguiente detalle:</w:t>
      </w:r>
    </w:p>
    <w:p w:rsidR="000408D3" w:rsidRDefault="000408D3" w:rsidP="00311C07">
      <w:pPr>
        <w:shd w:val="clear" w:color="auto" w:fill="FFFFFF"/>
        <w:spacing w:after="0" w:line="240" w:lineRule="auto"/>
        <w:jc w:val="both"/>
        <w:rPr>
          <w:rFonts w:ascii="Arial" w:eastAsia="Times New Roman" w:hAnsi="Arial" w:cs="Arial"/>
          <w:color w:val="000000"/>
          <w:lang w:eastAsia="es-PE"/>
        </w:rPr>
      </w:pPr>
    </w:p>
    <w:p w:rsidR="004660BB" w:rsidRPr="004660BB" w:rsidRDefault="004660BB" w:rsidP="000408D3">
      <w:pPr>
        <w:shd w:val="clear" w:color="auto" w:fill="FFFFFF"/>
        <w:spacing w:after="0" w:line="240" w:lineRule="auto"/>
        <w:ind w:left="2127" w:hanging="993"/>
        <w:jc w:val="both"/>
        <w:rPr>
          <w:rFonts w:ascii="Arial" w:eastAsia="Times New Roman" w:hAnsi="Arial" w:cs="Arial"/>
          <w:color w:val="000000"/>
          <w:lang w:eastAsia="es-PE"/>
        </w:rPr>
      </w:pPr>
      <w:r w:rsidRPr="004660BB">
        <w:rPr>
          <w:rFonts w:ascii="Arial" w:eastAsia="Times New Roman" w:hAnsi="Arial" w:cs="Arial"/>
          <w:color w:val="000000"/>
          <w:lang w:eastAsia="es-PE"/>
        </w:rPr>
        <w:t>23.3.1 </w:t>
      </w:r>
      <w:r w:rsidR="000408D3">
        <w:rPr>
          <w:rFonts w:ascii="Arial" w:eastAsia="Times New Roman" w:hAnsi="Arial" w:cs="Arial"/>
          <w:color w:val="000000"/>
          <w:lang w:eastAsia="es-PE"/>
        </w:rPr>
        <w:tab/>
      </w:r>
      <w:r w:rsidRPr="004660BB">
        <w:rPr>
          <w:rFonts w:ascii="Arial" w:eastAsia="Times New Roman" w:hAnsi="Arial" w:cs="Arial"/>
          <w:color w:val="000000"/>
          <w:lang w:eastAsia="es-PE"/>
        </w:rPr>
        <w:t>Los proyectos considerados en el literal a) del artículo 38 de la Ley se priorizan para este supuesto, sobre los proyectos comprendidos en el literal b) del mencionado artículo, aun cuando hayan sido presentados con posterioridad.</w:t>
      </w:r>
    </w:p>
    <w:p w:rsidR="000408D3" w:rsidRDefault="000408D3" w:rsidP="000408D3">
      <w:pPr>
        <w:shd w:val="clear" w:color="auto" w:fill="FFFFFF"/>
        <w:spacing w:after="0" w:line="240" w:lineRule="auto"/>
        <w:ind w:left="2127" w:hanging="993"/>
        <w:jc w:val="both"/>
        <w:rPr>
          <w:rFonts w:ascii="Arial" w:eastAsia="Times New Roman" w:hAnsi="Arial" w:cs="Arial"/>
          <w:color w:val="000000"/>
          <w:lang w:eastAsia="es-PE"/>
        </w:rPr>
      </w:pPr>
    </w:p>
    <w:p w:rsidR="004660BB" w:rsidRPr="004660BB" w:rsidRDefault="004660BB" w:rsidP="000408D3">
      <w:pPr>
        <w:shd w:val="clear" w:color="auto" w:fill="FFFFFF"/>
        <w:spacing w:after="0" w:line="240" w:lineRule="auto"/>
        <w:ind w:left="2127" w:hanging="993"/>
        <w:jc w:val="both"/>
        <w:rPr>
          <w:rFonts w:ascii="Arial" w:eastAsia="Times New Roman" w:hAnsi="Arial" w:cs="Arial"/>
          <w:color w:val="000000"/>
          <w:lang w:eastAsia="es-PE"/>
        </w:rPr>
      </w:pPr>
      <w:r w:rsidRPr="004660BB">
        <w:rPr>
          <w:rFonts w:ascii="Arial" w:eastAsia="Times New Roman" w:hAnsi="Arial" w:cs="Arial"/>
          <w:color w:val="000000"/>
          <w:lang w:eastAsia="es-PE"/>
        </w:rPr>
        <w:t>23.3.2 </w:t>
      </w:r>
      <w:r w:rsidR="000408D3">
        <w:rPr>
          <w:rFonts w:ascii="Arial" w:eastAsia="Times New Roman" w:hAnsi="Arial" w:cs="Arial"/>
          <w:color w:val="000000"/>
          <w:lang w:eastAsia="es-PE"/>
        </w:rPr>
        <w:tab/>
      </w:r>
      <w:r w:rsidRPr="004660BB">
        <w:rPr>
          <w:rFonts w:ascii="Arial" w:eastAsia="Times New Roman" w:hAnsi="Arial" w:cs="Arial"/>
          <w:color w:val="000000"/>
          <w:lang w:eastAsia="es-PE"/>
        </w:rPr>
        <w:t>En caso de concurrencia de los proyectos mencionados en el literal a) del artículo 38 de la Ley, se optará por aquellos que, además, cuenten con concesiones otorgadas por el Estado. De no contar con las concesiones antes mencionadas, se priorizará para este supuesto, el proyecto que tenga la declaración de mayor antigüedad.</w:t>
      </w:r>
    </w:p>
    <w:p w:rsidR="000408D3" w:rsidRDefault="000408D3" w:rsidP="000408D3">
      <w:pPr>
        <w:shd w:val="clear" w:color="auto" w:fill="FFFFFF"/>
        <w:spacing w:after="0" w:line="240" w:lineRule="auto"/>
        <w:ind w:left="2127" w:hanging="993"/>
        <w:jc w:val="both"/>
        <w:rPr>
          <w:rFonts w:ascii="Arial" w:eastAsia="Times New Roman" w:hAnsi="Arial" w:cs="Arial"/>
          <w:color w:val="000000"/>
          <w:lang w:eastAsia="es-PE"/>
        </w:rPr>
      </w:pPr>
    </w:p>
    <w:p w:rsidR="004660BB" w:rsidRPr="004660BB" w:rsidRDefault="004660BB" w:rsidP="000408D3">
      <w:pPr>
        <w:shd w:val="clear" w:color="auto" w:fill="FFFFFF"/>
        <w:spacing w:after="0" w:line="240" w:lineRule="auto"/>
        <w:ind w:left="2127" w:hanging="993"/>
        <w:jc w:val="both"/>
        <w:rPr>
          <w:rFonts w:ascii="Arial" w:eastAsia="Times New Roman" w:hAnsi="Arial" w:cs="Arial"/>
          <w:color w:val="000000"/>
          <w:lang w:eastAsia="es-PE"/>
        </w:rPr>
      </w:pPr>
      <w:r w:rsidRPr="004660BB">
        <w:rPr>
          <w:rFonts w:ascii="Arial" w:eastAsia="Times New Roman" w:hAnsi="Arial" w:cs="Arial"/>
          <w:color w:val="000000"/>
          <w:lang w:eastAsia="es-PE"/>
        </w:rPr>
        <w:t>23.3.3 </w:t>
      </w:r>
      <w:r w:rsidR="000408D3">
        <w:rPr>
          <w:rFonts w:ascii="Arial" w:eastAsia="Times New Roman" w:hAnsi="Arial" w:cs="Arial"/>
          <w:color w:val="000000"/>
          <w:lang w:eastAsia="es-PE"/>
        </w:rPr>
        <w:tab/>
      </w:r>
      <w:r w:rsidRPr="004660BB">
        <w:rPr>
          <w:rFonts w:ascii="Arial" w:eastAsia="Times New Roman" w:hAnsi="Arial" w:cs="Arial"/>
          <w:color w:val="000000"/>
          <w:lang w:eastAsia="es-PE"/>
        </w:rPr>
        <w:t>En caso de concurrencia de proyectos mencionados en el literal b) del artículo 38 de la Ley, se priorizarán aquellos proyectos que cuenten con concesiones otorgadas por el Gobierno Nacional o con participación de PROINVERSION, priorizándose para este supuesto, los proyectos para obras de infraestructura y para la prestación de servicios públicos.</w:t>
      </w:r>
    </w:p>
    <w:p w:rsidR="000408D3" w:rsidRDefault="000408D3" w:rsidP="000408D3">
      <w:pPr>
        <w:shd w:val="clear" w:color="auto" w:fill="FFFFFF"/>
        <w:spacing w:after="0" w:line="240" w:lineRule="auto"/>
        <w:ind w:left="2127" w:hanging="993"/>
        <w:jc w:val="both"/>
        <w:rPr>
          <w:rFonts w:ascii="Arial" w:eastAsia="Times New Roman" w:hAnsi="Arial" w:cs="Arial"/>
          <w:color w:val="000000"/>
          <w:lang w:eastAsia="es-PE"/>
        </w:rPr>
      </w:pPr>
    </w:p>
    <w:p w:rsidR="004660BB" w:rsidRPr="004660BB" w:rsidRDefault="004660BB" w:rsidP="000408D3">
      <w:pPr>
        <w:shd w:val="clear" w:color="auto" w:fill="FFFFFF"/>
        <w:spacing w:after="0" w:line="240" w:lineRule="auto"/>
        <w:ind w:left="2127" w:hanging="993"/>
        <w:jc w:val="both"/>
        <w:rPr>
          <w:rFonts w:ascii="Arial" w:eastAsia="Times New Roman" w:hAnsi="Arial" w:cs="Arial"/>
          <w:color w:val="000000"/>
          <w:lang w:eastAsia="es-PE"/>
        </w:rPr>
      </w:pPr>
      <w:r w:rsidRPr="004660BB">
        <w:rPr>
          <w:rFonts w:ascii="Arial" w:eastAsia="Times New Roman" w:hAnsi="Arial" w:cs="Arial"/>
          <w:color w:val="000000"/>
          <w:lang w:eastAsia="es-PE"/>
        </w:rPr>
        <w:t>23.3.4 </w:t>
      </w:r>
      <w:r w:rsidR="000408D3">
        <w:rPr>
          <w:rFonts w:ascii="Arial" w:eastAsia="Times New Roman" w:hAnsi="Arial" w:cs="Arial"/>
          <w:color w:val="000000"/>
          <w:lang w:eastAsia="es-PE"/>
        </w:rPr>
        <w:tab/>
      </w:r>
      <w:r w:rsidRPr="004660BB">
        <w:rPr>
          <w:rFonts w:ascii="Arial" w:eastAsia="Times New Roman" w:hAnsi="Arial" w:cs="Arial"/>
          <w:color w:val="000000"/>
          <w:lang w:eastAsia="es-PE"/>
        </w:rPr>
        <w:t>En el supuesto de concurrencia de proyectos que cuentan con autorizaciones ministeriales, se priorizará el proyecto con fecha de autorización de mayor antigüedad.</w:t>
      </w:r>
    </w:p>
    <w:p w:rsidR="000408D3" w:rsidRDefault="000408D3" w:rsidP="000408D3">
      <w:pPr>
        <w:shd w:val="clear" w:color="auto" w:fill="FFFFFF"/>
        <w:spacing w:after="0" w:line="240" w:lineRule="auto"/>
        <w:ind w:left="2127" w:hanging="993"/>
        <w:jc w:val="both"/>
        <w:rPr>
          <w:rFonts w:ascii="Arial" w:eastAsia="Times New Roman" w:hAnsi="Arial" w:cs="Arial"/>
          <w:color w:val="000000"/>
          <w:lang w:eastAsia="es-PE"/>
        </w:rPr>
      </w:pPr>
    </w:p>
    <w:p w:rsidR="004660BB" w:rsidRPr="004660BB" w:rsidRDefault="004660BB" w:rsidP="000408D3">
      <w:pPr>
        <w:shd w:val="clear" w:color="auto" w:fill="FFFFFF"/>
        <w:spacing w:after="0" w:line="240" w:lineRule="auto"/>
        <w:ind w:left="2127" w:hanging="993"/>
        <w:jc w:val="both"/>
        <w:rPr>
          <w:rFonts w:ascii="Arial" w:eastAsia="Times New Roman" w:hAnsi="Arial" w:cs="Arial"/>
          <w:color w:val="000000"/>
          <w:lang w:eastAsia="es-PE"/>
        </w:rPr>
      </w:pPr>
      <w:r w:rsidRPr="004660BB">
        <w:rPr>
          <w:rFonts w:ascii="Arial" w:eastAsia="Times New Roman" w:hAnsi="Arial" w:cs="Arial"/>
          <w:color w:val="000000"/>
          <w:lang w:eastAsia="es-PE"/>
        </w:rPr>
        <w:t>23.3.5 </w:t>
      </w:r>
      <w:r w:rsidR="000408D3">
        <w:rPr>
          <w:rFonts w:ascii="Arial" w:eastAsia="Times New Roman" w:hAnsi="Arial" w:cs="Arial"/>
          <w:color w:val="000000"/>
          <w:lang w:eastAsia="es-PE"/>
        </w:rPr>
        <w:tab/>
      </w:r>
      <w:r w:rsidRPr="004660BB">
        <w:rPr>
          <w:rFonts w:ascii="Arial" w:eastAsia="Times New Roman" w:hAnsi="Arial" w:cs="Arial"/>
          <w:color w:val="000000"/>
          <w:lang w:eastAsia="es-PE"/>
        </w:rPr>
        <w:t>En los supuestos previstos en los numerales 23.3.3 y 23.3.4, cuando provengan del mismo sector, se solicitará pronunciamiento del titular del sector quien deberá pronunciarse en un plazo no mayor de quince (15) días hábiles, bajo responsabilidad, respecto a si los proyectos de inversión pueden ser desarrollados sobre la misma área territorial por ser compatibles en cuanto a ubicación, área, usos y derechos que se otorgan, o en caso contrario, indicar cuál es el proyecto que tiene prioridad para el sector. En caso que el Sector no responda en el plazo antes indicado, se atenderá al que cuente con la autorización de mayor antigüedad.</w:t>
      </w:r>
    </w:p>
    <w:p w:rsidR="000408D3" w:rsidRDefault="000408D3" w:rsidP="00311C07">
      <w:pPr>
        <w:shd w:val="clear" w:color="auto" w:fill="FFFFFF"/>
        <w:spacing w:after="0" w:line="240" w:lineRule="auto"/>
        <w:jc w:val="both"/>
        <w:rPr>
          <w:rFonts w:ascii="Arial" w:eastAsia="Times New Roman" w:hAnsi="Arial" w:cs="Arial"/>
          <w:b/>
          <w:bCs/>
          <w:color w:val="000000"/>
          <w:lang w:eastAsia="es-PE"/>
        </w:rPr>
      </w:pP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b/>
          <w:bCs/>
          <w:color w:val="000000"/>
          <w:lang w:eastAsia="es-PE"/>
        </w:rPr>
        <w:t>Artículo 24.- De la duplicidad de partidas de propiedad estatal y propiedad de particulares</w:t>
      </w: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color w:val="000000"/>
          <w:lang w:eastAsia="es-PE"/>
        </w:rPr>
        <w:t>Si durante el desarrollo del procedimiento especial de saneamiento, la SBN advierte la existencia de duplicidad de partidas por superposición parcial o total entre predios de propiedad de particulares y la propiedad estatal, corresponderá a la SBN efectuar la evaluación respectiva a fin de que, previo informe técnico legal debidamente sustentado, aplique la rectificación de área, la exclusión de área, y/o independización, según corresponda, respecto de los inmuebles de propiedad del Estado.</w:t>
      </w:r>
    </w:p>
    <w:p w:rsidR="000408D3" w:rsidRDefault="000408D3" w:rsidP="00311C07">
      <w:pPr>
        <w:shd w:val="clear" w:color="auto" w:fill="FFFFFF"/>
        <w:spacing w:after="0" w:line="240" w:lineRule="auto"/>
        <w:jc w:val="both"/>
        <w:rPr>
          <w:rFonts w:ascii="Arial" w:eastAsia="Times New Roman" w:hAnsi="Arial" w:cs="Arial"/>
          <w:b/>
          <w:bCs/>
          <w:color w:val="000000"/>
          <w:lang w:eastAsia="es-PE"/>
        </w:rPr>
      </w:pP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b/>
          <w:bCs/>
          <w:color w:val="000000"/>
          <w:lang w:eastAsia="es-PE"/>
        </w:rPr>
        <w:t>Artículo 25.-</w:t>
      </w:r>
      <w:r w:rsidRPr="004660BB">
        <w:rPr>
          <w:rFonts w:ascii="Arial" w:eastAsia="Times New Roman" w:hAnsi="Arial" w:cs="Arial"/>
          <w:color w:val="000000"/>
          <w:lang w:eastAsia="es-PE"/>
        </w:rPr>
        <w:t> </w:t>
      </w:r>
      <w:r w:rsidRPr="004660BB">
        <w:rPr>
          <w:rFonts w:ascii="Arial" w:eastAsia="Times New Roman" w:hAnsi="Arial" w:cs="Arial"/>
          <w:b/>
          <w:bCs/>
          <w:color w:val="000000"/>
          <w:lang w:eastAsia="es-PE"/>
        </w:rPr>
        <w:t>De la asunción e inscripción de titularidad a favor del Estado</w:t>
      </w:r>
    </w:p>
    <w:p w:rsidR="000408D3" w:rsidRDefault="000408D3" w:rsidP="00311C07">
      <w:pPr>
        <w:shd w:val="clear" w:color="auto" w:fill="FFFFFF"/>
        <w:spacing w:after="0" w:line="240" w:lineRule="auto"/>
        <w:jc w:val="both"/>
        <w:rPr>
          <w:rFonts w:ascii="Arial" w:eastAsia="Times New Roman" w:hAnsi="Arial" w:cs="Arial"/>
          <w:color w:val="000000"/>
          <w:lang w:eastAsia="es-PE"/>
        </w:rPr>
      </w:pPr>
    </w:p>
    <w:p w:rsidR="004660BB" w:rsidRDefault="004660BB" w:rsidP="000408D3">
      <w:pPr>
        <w:shd w:val="clear" w:color="auto" w:fill="FFFFFF"/>
        <w:spacing w:after="0" w:line="240" w:lineRule="auto"/>
        <w:ind w:left="993" w:hanging="709"/>
        <w:jc w:val="both"/>
        <w:rPr>
          <w:rFonts w:ascii="Arial" w:eastAsia="Times New Roman" w:hAnsi="Arial" w:cs="Arial"/>
          <w:color w:val="000000"/>
          <w:lang w:eastAsia="es-PE"/>
        </w:rPr>
      </w:pPr>
      <w:r w:rsidRPr="004660BB">
        <w:rPr>
          <w:rFonts w:ascii="Arial" w:eastAsia="Times New Roman" w:hAnsi="Arial" w:cs="Arial"/>
          <w:color w:val="000000"/>
          <w:lang w:eastAsia="es-PE"/>
        </w:rPr>
        <w:t xml:space="preserve">25.1 </w:t>
      </w:r>
      <w:r w:rsidR="000408D3">
        <w:rPr>
          <w:rFonts w:ascii="Arial" w:eastAsia="Times New Roman" w:hAnsi="Arial" w:cs="Arial"/>
          <w:color w:val="000000"/>
          <w:lang w:eastAsia="es-PE"/>
        </w:rPr>
        <w:tab/>
      </w:r>
      <w:r w:rsidRPr="004660BB">
        <w:rPr>
          <w:rFonts w:ascii="Arial" w:eastAsia="Times New Roman" w:hAnsi="Arial" w:cs="Arial"/>
          <w:color w:val="000000"/>
          <w:lang w:eastAsia="es-PE"/>
        </w:rPr>
        <w:t>De conformidad con lo dispuesto por el numeral 41.2 del artículo 41 de la Ley, cuando el predio estatal no se encuentre bajo la competencia directa de la SBN, ésta en representación del Estado, para ejecutar los procedimientos especiales de saneamiento físico - legal, asume la titularidad de dominio de los predios o edificaciones de las entidades del SNBE, con excepción de los predios de propiedad de los gobiernos regionales, gobiernos locales y sus empresas, y de las empresas de derecho público.</w:t>
      </w:r>
    </w:p>
    <w:p w:rsidR="000408D3" w:rsidRPr="004660BB" w:rsidRDefault="000408D3" w:rsidP="000408D3">
      <w:pPr>
        <w:shd w:val="clear" w:color="auto" w:fill="FFFFFF"/>
        <w:spacing w:after="0" w:line="240" w:lineRule="auto"/>
        <w:ind w:left="993" w:hanging="709"/>
        <w:jc w:val="both"/>
        <w:rPr>
          <w:rFonts w:ascii="Arial" w:eastAsia="Times New Roman" w:hAnsi="Arial" w:cs="Arial"/>
          <w:color w:val="000000"/>
          <w:lang w:eastAsia="es-PE"/>
        </w:rPr>
      </w:pPr>
    </w:p>
    <w:p w:rsidR="004660BB" w:rsidRDefault="004660BB" w:rsidP="000408D3">
      <w:pPr>
        <w:shd w:val="clear" w:color="auto" w:fill="FFFFFF"/>
        <w:spacing w:after="0" w:line="240" w:lineRule="auto"/>
        <w:ind w:left="993" w:hanging="709"/>
        <w:jc w:val="both"/>
        <w:rPr>
          <w:rFonts w:ascii="Arial" w:eastAsia="Times New Roman" w:hAnsi="Arial" w:cs="Arial"/>
          <w:color w:val="000000"/>
          <w:lang w:eastAsia="es-PE"/>
        </w:rPr>
      </w:pPr>
      <w:r w:rsidRPr="004660BB">
        <w:rPr>
          <w:rFonts w:ascii="Arial" w:eastAsia="Times New Roman" w:hAnsi="Arial" w:cs="Arial"/>
          <w:color w:val="000000"/>
          <w:lang w:eastAsia="es-PE"/>
        </w:rPr>
        <w:t xml:space="preserve">25.2 </w:t>
      </w:r>
      <w:r w:rsidR="000408D3">
        <w:rPr>
          <w:rFonts w:ascii="Arial" w:eastAsia="Times New Roman" w:hAnsi="Arial" w:cs="Arial"/>
          <w:color w:val="000000"/>
          <w:lang w:eastAsia="es-PE"/>
        </w:rPr>
        <w:tab/>
      </w:r>
      <w:r w:rsidRPr="004660BB">
        <w:rPr>
          <w:rFonts w:ascii="Arial" w:eastAsia="Times New Roman" w:hAnsi="Arial" w:cs="Arial"/>
          <w:color w:val="000000"/>
          <w:lang w:eastAsia="es-PE"/>
        </w:rPr>
        <w:t>La SBN asume mediante resolución de su órgano competente, la titularidad de dominio a que se refiere el numeral 41.2 del artículo 41 de la Ley, cuya copia certificada tendrá mérito suficiente para ser inscrita en el Registro de Predios correspondiente.</w:t>
      </w:r>
    </w:p>
    <w:p w:rsidR="000408D3" w:rsidRPr="004660BB" w:rsidRDefault="000408D3" w:rsidP="000408D3">
      <w:pPr>
        <w:shd w:val="clear" w:color="auto" w:fill="FFFFFF"/>
        <w:spacing w:after="0" w:line="240" w:lineRule="auto"/>
        <w:ind w:left="993" w:hanging="709"/>
        <w:jc w:val="both"/>
        <w:rPr>
          <w:rFonts w:ascii="Arial" w:eastAsia="Times New Roman" w:hAnsi="Arial" w:cs="Arial"/>
          <w:color w:val="000000"/>
          <w:lang w:eastAsia="es-PE"/>
        </w:rPr>
      </w:pPr>
    </w:p>
    <w:p w:rsidR="004660BB" w:rsidRPr="004660BB" w:rsidRDefault="004660BB" w:rsidP="000408D3">
      <w:pPr>
        <w:shd w:val="clear" w:color="auto" w:fill="FFFFFF"/>
        <w:spacing w:after="0" w:line="240" w:lineRule="auto"/>
        <w:ind w:left="993" w:hanging="709"/>
        <w:jc w:val="both"/>
        <w:rPr>
          <w:rFonts w:ascii="Arial" w:eastAsia="Times New Roman" w:hAnsi="Arial" w:cs="Arial"/>
          <w:color w:val="000000"/>
          <w:lang w:eastAsia="es-PE"/>
        </w:rPr>
      </w:pPr>
      <w:r w:rsidRPr="004660BB">
        <w:rPr>
          <w:rFonts w:ascii="Arial" w:eastAsia="Times New Roman" w:hAnsi="Arial" w:cs="Arial"/>
          <w:color w:val="000000"/>
          <w:lang w:eastAsia="es-PE"/>
        </w:rPr>
        <w:t xml:space="preserve">25.3 </w:t>
      </w:r>
      <w:r w:rsidR="000408D3">
        <w:rPr>
          <w:rFonts w:ascii="Arial" w:eastAsia="Times New Roman" w:hAnsi="Arial" w:cs="Arial"/>
          <w:color w:val="000000"/>
          <w:lang w:eastAsia="es-PE"/>
        </w:rPr>
        <w:tab/>
      </w:r>
      <w:r w:rsidRPr="004660BB">
        <w:rPr>
          <w:rFonts w:ascii="Arial" w:eastAsia="Times New Roman" w:hAnsi="Arial" w:cs="Arial"/>
          <w:color w:val="000000"/>
          <w:lang w:eastAsia="es-PE"/>
        </w:rPr>
        <w:t>La SBN, en el caso de predios estatales no inscritos, a través de resolución emitida por su órgano competente, dispondrá la inscripción en primera de dominio a favor del Estado, para cuyo efecto bastará la presentación de la copia certificada de dicha resolución ante el Registro de Predios correspondiente, acompañada de la respectiva memoria descriptiva y planos perimétrico y de ubicación georeferenciados.</w:t>
      </w:r>
    </w:p>
    <w:p w:rsidR="000408D3" w:rsidRDefault="000408D3" w:rsidP="00311C07">
      <w:pPr>
        <w:shd w:val="clear" w:color="auto" w:fill="FFFFFF"/>
        <w:spacing w:after="0" w:line="240" w:lineRule="auto"/>
        <w:jc w:val="both"/>
        <w:rPr>
          <w:rFonts w:ascii="Arial" w:eastAsia="Times New Roman" w:hAnsi="Arial" w:cs="Arial"/>
          <w:b/>
          <w:bCs/>
          <w:color w:val="000000"/>
          <w:lang w:eastAsia="es-PE"/>
        </w:rPr>
      </w:pP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b/>
          <w:bCs/>
          <w:color w:val="000000"/>
          <w:lang w:eastAsia="es-PE"/>
        </w:rPr>
        <w:t>Artículo 26.- De los actos de adquisición, de administración, y de disposición sobre predios de propiedad estatal a favor de titulares de proyectos de inversión</w:t>
      </w:r>
    </w:p>
    <w:p w:rsidR="000408D3" w:rsidRDefault="000408D3" w:rsidP="00311C07">
      <w:pPr>
        <w:shd w:val="clear" w:color="auto" w:fill="FFFFFF"/>
        <w:spacing w:after="0" w:line="240" w:lineRule="auto"/>
        <w:jc w:val="both"/>
        <w:rPr>
          <w:rFonts w:ascii="Arial" w:eastAsia="Times New Roman" w:hAnsi="Arial" w:cs="Arial"/>
          <w:color w:val="000000"/>
          <w:lang w:eastAsia="es-PE"/>
        </w:rPr>
      </w:pPr>
    </w:p>
    <w:p w:rsidR="004660BB" w:rsidRPr="004660BB" w:rsidRDefault="004660BB" w:rsidP="000408D3">
      <w:pPr>
        <w:shd w:val="clear" w:color="auto" w:fill="FFFFFF"/>
        <w:spacing w:after="0" w:line="240" w:lineRule="auto"/>
        <w:ind w:left="993" w:hanging="709"/>
        <w:jc w:val="both"/>
        <w:rPr>
          <w:rFonts w:ascii="Arial" w:eastAsia="Times New Roman" w:hAnsi="Arial" w:cs="Arial"/>
          <w:color w:val="000000"/>
          <w:lang w:eastAsia="es-PE"/>
        </w:rPr>
      </w:pPr>
      <w:r w:rsidRPr="004660BB">
        <w:rPr>
          <w:rFonts w:ascii="Arial" w:eastAsia="Times New Roman" w:hAnsi="Arial" w:cs="Arial"/>
          <w:color w:val="000000"/>
          <w:lang w:eastAsia="es-PE"/>
        </w:rPr>
        <w:t xml:space="preserve">26.1 </w:t>
      </w:r>
      <w:r w:rsidR="000408D3">
        <w:rPr>
          <w:rFonts w:ascii="Arial" w:eastAsia="Times New Roman" w:hAnsi="Arial" w:cs="Arial"/>
          <w:color w:val="000000"/>
          <w:lang w:eastAsia="es-PE"/>
        </w:rPr>
        <w:tab/>
      </w:r>
      <w:r w:rsidRPr="004660BB">
        <w:rPr>
          <w:rFonts w:ascii="Arial" w:eastAsia="Times New Roman" w:hAnsi="Arial" w:cs="Arial"/>
          <w:color w:val="000000"/>
          <w:lang w:eastAsia="es-PE"/>
        </w:rPr>
        <w:t>Los actos de adquisición sobre los predios de propiedad estatal, se rigen por las normas del SNBE, así como por aquellas disposiciones contenidas en la Ley y en el presente Reglamento, en cuanto les sean aplicables.</w:t>
      </w:r>
    </w:p>
    <w:p w:rsidR="000408D3" w:rsidRDefault="000408D3" w:rsidP="000408D3">
      <w:pPr>
        <w:shd w:val="clear" w:color="auto" w:fill="FFFFFF"/>
        <w:spacing w:after="0" w:line="240" w:lineRule="auto"/>
        <w:ind w:left="993" w:hanging="709"/>
        <w:jc w:val="both"/>
        <w:rPr>
          <w:rFonts w:ascii="Arial" w:eastAsia="Times New Roman" w:hAnsi="Arial" w:cs="Arial"/>
          <w:color w:val="000000"/>
          <w:lang w:eastAsia="es-PE"/>
        </w:rPr>
      </w:pPr>
    </w:p>
    <w:p w:rsidR="004660BB" w:rsidRPr="004660BB" w:rsidRDefault="004660BB" w:rsidP="000408D3">
      <w:pPr>
        <w:shd w:val="clear" w:color="auto" w:fill="FFFFFF"/>
        <w:spacing w:after="0" w:line="240" w:lineRule="auto"/>
        <w:ind w:left="993" w:hanging="709"/>
        <w:jc w:val="both"/>
        <w:rPr>
          <w:rFonts w:ascii="Arial" w:eastAsia="Times New Roman" w:hAnsi="Arial" w:cs="Arial"/>
          <w:color w:val="000000"/>
          <w:lang w:eastAsia="es-PE"/>
        </w:rPr>
      </w:pPr>
      <w:r w:rsidRPr="004660BB">
        <w:rPr>
          <w:rFonts w:ascii="Arial" w:eastAsia="Times New Roman" w:hAnsi="Arial" w:cs="Arial"/>
          <w:color w:val="000000"/>
          <w:lang w:eastAsia="es-PE"/>
        </w:rPr>
        <w:t xml:space="preserve">26.2 </w:t>
      </w:r>
      <w:r w:rsidR="000408D3">
        <w:rPr>
          <w:rFonts w:ascii="Arial" w:eastAsia="Times New Roman" w:hAnsi="Arial" w:cs="Arial"/>
          <w:color w:val="000000"/>
          <w:lang w:eastAsia="es-PE"/>
        </w:rPr>
        <w:tab/>
      </w:r>
      <w:r w:rsidRPr="004660BB">
        <w:rPr>
          <w:rFonts w:ascii="Arial" w:eastAsia="Times New Roman" w:hAnsi="Arial" w:cs="Arial"/>
          <w:color w:val="000000"/>
          <w:lang w:eastAsia="es-PE"/>
        </w:rPr>
        <w:t>Una vez concluido el saneamiento físico - legal del predio estatal a favor del Estado, la SBN procederá a sustentar el procedimiento correspondiente al acto de administración o de disposición de derechos sobre el predio a favor de los titulares de proyectos de inversión, a los que se refiere la Ley y el presente Reglamento.</w:t>
      </w:r>
    </w:p>
    <w:p w:rsidR="000408D3" w:rsidRDefault="000408D3" w:rsidP="00311C07">
      <w:pPr>
        <w:shd w:val="clear" w:color="auto" w:fill="FFFFFF"/>
        <w:spacing w:after="0" w:line="240" w:lineRule="auto"/>
        <w:jc w:val="both"/>
        <w:rPr>
          <w:rFonts w:ascii="Arial" w:eastAsia="Times New Roman" w:hAnsi="Arial" w:cs="Arial"/>
          <w:color w:val="000000"/>
          <w:lang w:eastAsia="es-PE"/>
        </w:rPr>
      </w:pP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color w:val="000000"/>
          <w:lang w:eastAsia="es-PE"/>
        </w:rPr>
        <w:t>La procedencia del acto de administración o de disposición, se encuentra supeditada al cumplimiento de las disposiciones establecidas en la Ley del SNBE, su Reglamento, así como de las Directivas aprobadas por la SBN.</w:t>
      </w:r>
    </w:p>
    <w:p w:rsidR="000408D3" w:rsidRDefault="000408D3" w:rsidP="00311C07">
      <w:pPr>
        <w:shd w:val="clear" w:color="auto" w:fill="FFFFFF"/>
        <w:spacing w:after="0" w:line="240" w:lineRule="auto"/>
        <w:jc w:val="both"/>
        <w:rPr>
          <w:rFonts w:ascii="Arial" w:eastAsia="Times New Roman" w:hAnsi="Arial" w:cs="Arial"/>
          <w:b/>
          <w:bCs/>
          <w:color w:val="000000"/>
          <w:lang w:eastAsia="es-PE"/>
        </w:rPr>
      </w:pP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b/>
          <w:bCs/>
          <w:color w:val="000000"/>
          <w:lang w:eastAsia="es-PE"/>
        </w:rPr>
        <w:t>Artículo 27.- De la transferencia de dominio a favor de las entidades públicas</w:t>
      </w:r>
    </w:p>
    <w:p w:rsid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color w:val="000000"/>
          <w:lang w:eastAsia="es-PE"/>
        </w:rPr>
        <w:t>La transferencia de dominio de predios de propiedad estatal a favor de las entidades, contemplada en el numeral 41.5 del artículo 41 de la Ley, está referida únicamente a entidades públicas, para lo que resulta de aplicación las disposiciones siguientes:</w:t>
      </w:r>
    </w:p>
    <w:p w:rsidR="000408D3" w:rsidRPr="004660BB" w:rsidRDefault="000408D3" w:rsidP="00311C07">
      <w:pPr>
        <w:shd w:val="clear" w:color="auto" w:fill="FFFFFF"/>
        <w:spacing w:after="0" w:line="240" w:lineRule="auto"/>
        <w:jc w:val="both"/>
        <w:rPr>
          <w:rFonts w:ascii="Arial" w:eastAsia="Times New Roman" w:hAnsi="Arial" w:cs="Arial"/>
          <w:color w:val="000000"/>
          <w:lang w:eastAsia="es-PE"/>
        </w:rPr>
      </w:pPr>
    </w:p>
    <w:p w:rsidR="004660BB" w:rsidRPr="000408D3" w:rsidRDefault="004660BB" w:rsidP="0092471C">
      <w:pPr>
        <w:pStyle w:val="Prrafodelista"/>
        <w:numPr>
          <w:ilvl w:val="0"/>
          <w:numId w:val="267"/>
        </w:numPr>
        <w:shd w:val="clear" w:color="auto" w:fill="FFFFFF"/>
        <w:spacing w:after="0" w:line="240" w:lineRule="auto"/>
        <w:jc w:val="both"/>
        <w:rPr>
          <w:rFonts w:ascii="Arial" w:eastAsia="Times New Roman" w:hAnsi="Arial" w:cs="Arial"/>
          <w:color w:val="000000"/>
          <w:lang w:eastAsia="es-PE"/>
        </w:rPr>
      </w:pPr>
      <w:r w:rsidRPr="000408D3">
        <w:rPr>
          <w:rFonts w:ascii="Arial" w:eastAsia="Times New Roman" w:hAnsi="Arial" w:cs="Arial"/>
          <w:color w:val="000000"/>
          <w:lang w:eastAsia="es-PE"/>
        </w:rPr>
        <w:t>Para la transferencia de predios estatales, solicitados para la ejecución de proyectos de inversión que se encuentren comprendidos en la Ley Nº 30025, le son de aplicación las disposiciones contenidas en dicha Ley, así como por el Decreto Supremo Nº 011-2013-VIVIENDA, en lo que corresponda.</w:t>
      </w:r>
    </w:p>
    <w:p w:rsidR="000408D3" w:rsidRPr="000408D3" w:rsidRDefault="000408D3" w:rsidP="000408D3">
      <w:pPr>
        <w:pStyle w:val="Prrafodelista"/>
        <w:shd w:val="clear" w:color="auto" w:fill="FFFFFF"/>
        <w:spacing w:after="0" w:line="240" w:lineRule="auto"/>
        <w:ind w:left="1421"/>
        <w:jc w:val="both"/>
        <w:rPr>
          <w:rFonts w:ascii="Arial" w:eastAsia="Times New Roman" w:hAnsi="Arial" w:cs="Arial"/>
          <w:color w:val="000000"/>
          <w:lang w:eastAsia="es-PE"/>
        </w:rPr>
      </w:pPr>
    </w:p>
    <w:p w:rsidR="004660BB" w:rsidRDefault="004660BB" w:rsidP="0092471C">
      <w:pPr>
        <w:pStyle w:val="Prrafodelista"/>
        <w:numPr>
          <w:ilvl w:val="0"/>
          <w:numId w:val="267"/>
        </w:numPr>
        <w:shd w:val="clear" w:color="auto" w:fill="FFFFFF"/>
        <w:spacing w:after="0" w:line="240" w:lineRule="auto"/>
        <w:jc w:val="both"/>
        <w:rPr>
          <w:rFonts w:ascii="Arial" w:eastAsia="Times New Roman" w:hAnsi="Arial" w:cs="Arial"/>
          <w:color w:val="000000"/>
          <w:lang w:eastAsia="es-PE"/>
        </w:rPr>
      </w:pPr>
      <w:r w:rsidRPr="000408D3">
        <w:rPr>
          <w:rFonts w:ascii="Arial" w:eastAsia="Times New Roman" w:hAnsi="Arial" w:cs="Arial"/>
          <w:color w:val="000000"/>
          <w:lang w:eastAsia="es-PE"/>
        </w:rPr>
        <w:t>En el caso de predios no inscritos, luego de efectuado el diagnóstico correspondiente, a solicitud del titular del proyecto, la SBN podrá efectuar la inscripción de primera de dominio a favor de la entidad solicitante, en el plazo establecido en el numeral 41.5 del artículo 41 de la Ley, para lo cual deberá adjuntar la resolución que aprueba dicha inscripción, los planos perimétrico y de ubicación y la memoria descriptiva, los cuales tendrán mérito suficiente para la primera inscripción de dominio en el Registro de Predios, no pudiendo el registrador solicitar otros documentos.</w:t>
      </w:r>
    </w:p>
    <w:p w:rsidR="000408D3" w:rsidRPr="000408D3" w:rsidRDefault="000408D3" w:rsidP="000408D3">
      <w:pPr>
        <w:pStyle w:val="Prrafodelista"/>
        <w:rPr>
          <w:rFonts w:ascii="Arial" w:eastAsia="Times New Roman" w:hAnsi="Arial" w:cs="Arial"/>
          <w:color w:val="000000"/>
          <w:lang w:eastAsia="es-PE"/>
        </w:rPr>
      </w:pPr>
    </w:p>
    <w:p w:rsidR="004660BB" w:rsidRPr="004660BB" w:rsidRDefault="004660BB" w:rsidP="000408D3">
      <w:pPr>
        <w:shd w:val="clear" w:color="auto" w:fill="FFFFFF"/>
        <w:spacing w:after="0" w:line="240" w:lineRule="auto"/>
        <w:ind w:left="1418" w:hanging="567"/>
        <w:jc w:val="both"/>
        <w:rPr>
          <w:rFonts w:ascii="Arial" w:eastAsia="Times New Roman" w:hAnsi="Arial" w:cs="Arial"/>
          <w:color w:val="000000"/>
          <w:lang w:eastAsia="es-PE"/>
        </w:rPr>
      </w:pPr>
      <w:r w:rsidRPr="004660BB">
        <w:rPr>
          <w:rFonts w:ascii="Arial" w:eastAsia="Times New Roman" w:hAnsi="Arial" w:cs="Arial"/>
          <w:color w:val="000000"/>
          <w:lang w:eastAsia="es-PE"/>
        </w:rPr>
        <w:t>c) </w:t>
      </w:r>
      <w:r w:rsidR="000408D3">
        <w:rPr>
          <w:rFonts w:ascii="Arial" w:eastAsia="Times New Roman" w:hAnsi="Arial" w:cs="Arial"/>
          <w:color w:val="000000"/>
          <w:lang w:eastAsia="es-PE"/>
        </w:rPr>
        <w:tab/>
      </w:r>
      <w:r w:rsidRPr="004660BB">
        <w:rPr>
          <w:rFonts w:ascii="Arial" w:eastAsia="Times New Roman" w:hAnsi="Arial" w:cs="Arial"/>
          <w:color w:val="000000"/>
          <w:lang w:eastAsia="es-PE"/>
        </w:rPr>
        <w:t>En los demás supuestos, una vez concluido el saneamiento con la inscripción en el Registro de Predios, se continuará con el procedimiento de transferencia establecido en las normas del SNBE, dentro del plazo de treinta (30) días calendario.</w:t>
      </w:r>
    </w:p>
    <w:p w:rsidR="000408D3" w:rsidRDefault="000408D3" w:rsidP="00311C07">
      <w:pPr>
        <w:shd w:val="clear" w:color="auto" w:fill="FFFFFF"/>
        <w:spacing w:after="0" w:line="240" w:lineRule="auto"/>
        <w:jc w:val="both"/>
        <w:rPr>
          <w:rFonts w:ascii="Arial" w:eastAsia="Times New Roman" w:hAnsi="Arial" w:cs="Arial"/>
          <w:b/>
          <w:bCs/>
          <w:color w:val="000000"/>
          <w:lang w:eastAsia="es-PE"/>
        </w:rPr>
      </w:pP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b/>
          <w:bCs/>
          <w:color w:val="000000"/>
          <w:lang w:eastAsia="es-PE"/>
        </w:rPr>
        <w:t>Artículo 28.- De la inscripción de titularidad a favor de la entidad adquirente</w:t>
      </w: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color w:val="000000"/>
          <w:lang w:eastAsia="es-PE"/>
        </w:rPr>
        <w:t>La inscripción de la transferencia de titularidad de dominio de la SBN a favor de la entidad estatal correspondiente, a que se refiere el numeral 41.5 del artículo 41 de la Ley, se realizará por el solo mérito de la copia certificada de la resolución aprobatoria de la transferencia emitida por el órgano competente de la SBN.</w:t>
      </w:r>
    </w:p>
    <w:p w:rsidR="000408D3" w:rsidRDefault="000408D3" w:rsidP="00311C07">
      <w:pPr>
        <w:shd w:val="clear" w:color="auto" w:fill="FFFFFF"/>
        <w:spacing w:after="0" w:line="240" w:lineRule="auto"/>
        <w:jc w:val="both"/>
        <w:rPr>
          <w:rFonts w:ascii="Arial" w:eastAsia="Times New Roman" w:hAnsi="Arial" w:cs="Arial"/>
          <w:b/>
          <w:bCs/>
          <w:color w:val="000000"/>
          <w:lang w:eastAsia="es-PE"/>
        </w:rPr>
      </w:pP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b/>
          <w:bCs/>
          <w:color w:val="000000"/>
          <w:lang w:eastAsia="es-PE"/>
        </w:rPr>
        <w:t>Artículo 29.- De la normativa supletoria aplicable</w:t>
      </w:r>
    </w:p>
    <w:p w:rsidR="004660BB" w:rsidRPr="004660BB" w:rsidRDefault="004660BB" w:rsidP="00311C07">
      <w:pPr>
        <w:shd w:val="clear" w:color="auto" w:fill="FFFFFF"/>
        <w:spacing w:after="0" w:line="240" w:lineRule="auto"/>
        <w:jc w:val="both"/>
        <w:rPr>
          <w:rFonts w:ascii="Arial" w:eastAsia="Times New Roman" w:hAnsi="Arial" w:cs="Arial"/>
          <w:color w:val="000000"/>
          <w:lang w:eastAsia="es-PE"/>
        </w:rPr>
      </w:pPr>
      <w:r w:rsidRPr="004660BB">
        <w:rPr>
          <w:rFonts w:ascii="Arial" w:eastAsia="Times New Roman" w:hAnsi="Arial" w:cs="Arial"/>
          <w:color w:val="000000"/>
          <w:lang w:eastAsia="es-PE"/>
        </w:rPr>
        <w:t>La SBN ejecutará los actos de su competencia así como los procedimientos especiales para el saneamiento físico - legal de predios contemplados en la Ley y el presente Reglamento, ejerciendo y aplicando supletoriamente todas las normas del SNBE, pudiendo emitir disposiciones complementarias en el marco de la Ley y el presente Reglamento.</w:t>
      </w:r>
    </w:p>
    <w:p w:rsidR="006312E8" w:rsidRPr="00881964" w:rsidRDefault="006312E8" w:rsidP="006312E8">
      <w:pPr>
        <w:spacing w:after="0" w:line="240" w:lineRule="auto"/>
        <w:jc w:val="both"/>
        <w:rPr>
          <w:rFonts w:ascii="Arial" w:eastAsia="Calibri" w:hAnsi="Arial" w:cs="Arial"/>
        </w:rPr>
      </w:pPr>
    </w:p>
    <w:p w:rsidR="006312E8" w:rsidRPr="00881964" w:rsidRDefault="000408D3" w:rsidP="006312E8">
      <w:pPr>
        <w:spacing w:after="0" w:line="240" w:lineRule="auto"/>
        <w:jc w:val="both"/>
        <w:rPr>
          <w:rFonts w:ascii="Arial" w:eastAsia="Calibri" w:hAnsi="Arial" w:cs="Arial"/>
        </w:rPr>
      </w:pPr>
      <w:r w:rsidRPr="00881964">
        <w:rPr>
          <w:rFonts w:ascii="Arial" w:eastAsia="Calibri" w:hAnsi="Arial" w:cs="Arial"/>
        </w:rPr>
        <w:t>(…)</w:t>
      </w:r>
    </w:p>
    <w:p w:rsidR="000408D3" w:rsidRPr="00881964" w:rsidRDefault="000408D3" w:rsidP="006312E8">
      <w:pPr>
        <w:spacing w:after="0" w:line="240" w:lineRule="auto"/>
        <w:jc w:val="both"/>
        <w:rPr>
          <w:rFonts w:ascii="Arial" w:eastAsia="Calibri" w:hAnsi="Arial" w:cs="Arial"/>
        </w:rPr>
      </w:pPr>
    </w:p>
    <w:p w:rsidR="000408D3" w:rsidRPr="000408D3" w:rsidRDefault="000408D3" w:rsidP="000408D3">
      <w:pPr>
        <w:spacing w:after="0" w:line="240" w:lineRule="auto"/>
        <w:jc w:val="center"/>
        <w:rPr>
          <w:rFonts w:ascii="Arial" w:hAnsi="Arial" w:cs="Arial"/>
          <w:b/>
          <w:color w:val="000000"/>
          <w:shd w:val="clear" w:color="auto" w:fill="FFFFFF"/>
        </w:rPr>
      </w:pPr>
      <w:r w:rsidRPr="000408D3">
        <w:rPr>
          <w:rFonts w:ascii="Arial" w:hAnsi="Arial" w:cs="Arial"/>
          <w:b/>
          <w:color w:val="000000"/>
          <w:shd w:val="clear" w:color="auto" w:fill="FFFFFF"/>
        </w:rPr>
        <w:t>TÍTULO IV</w:t>
      </w:r>
    </w:p>
    <w:p w:rsidR="000408D3" w:rsidRPr="000408D3" w:rsidRDefault="000408D3" w:rsidP="000408D3">
      <w:pPr>
        <w:spacing w:after="0" w:line="240" w:lineRule="auto"/>
        <w:jc w:val="center"/>
        <w:rPr>
          <w:rFonts w:ascii="Arial" w:hAnsi="Arial" w:cs="Arial"/>
          <w:b/>
          <w:color w:val="000000"/>
          <w:shd w:val="clear" w:color="auto" w:fill="FFFFFF"/>
        </w:rPr>
      </w:pPr>
      <w:r w:rsidRPr="000408D3">
        <w:rPr>
          <w:rFonts w:ascii="Arial" w:hAnsi="Arial" w:cs="Arial"/>
          <w:b/>
          <w:color w:val="000000"/>
          <w:shd w:val="clear" w:color="auto" w:fill="FFFFFF"/>
        </w:rPr>
        <w:t>DE LA EFICIENCIA EN LA ADMINISTRACIÓN DE PREDIOS DEL ESTADO</w:t>
      </w:r>
    </w:p>
    <w:p w:rsidR="000408D3" w:rsidRPr="000408D3" w:rsidRDefault="000408D3" w:rsidP="006312E8">
      <w:pPr>
        <w:spacing w:after="0" w:line="240" w:lineRule="auto"/>
        <w:jc w:val="both"/>
        <w:rPr>
          <w:rFonts w:ascii="Arial" w:eastAsia="Calibri" w:hAnsi="Arial" w:cs="Arial"/>
        </w:rPr>
      </w:pPr>
    </w:p>
    <w:p w:rsidR="000408D3" w:rsidRPr="000408D3" w:rsidRDefault="000408D3" w:rsidP="000408D3">
      <w:pPr>
        <w:shd w:val="clear" w:color="auto" w:fill="FFFFFF"/>
        <w:spacing w:after="0" w:line="300" w:lineRule="atLeast"/>
        <w:jc w:val="both"/>
        <w:rPr>
          <w:rFonts w:ascii="Arial" w:eastAsia="Times New Roman" w:hAnsi="Arial" w:cs="Arial"/>
          <w:color w:val="000000"/>
          <w:lang w:eastAsia="es-PE"/>
        </w:rPr>
      </w:pPr>
      <w:r w:rsidRPr="000408D3">
        <w:rPr>
          <w:rFonts w:ascii="Arial" w:eastAsia="Times New Roman" w:hAnsi="Arial" w:cs="Arial"/>
          <w:b/>
          <w:bCs/>
          <w:color w:val="000000"/>
          <w:lang w:eastAsia="es-PE"/>
        </w:rPr>
        <w:t>Artículo 87.- De la Información solicitada por la SBN</w:t>
      </w:r>
    </w:p>
    <w:p w:rsidR="000408D3" w:rsidRPr="000408D3" w:rsidRDefault="000408D3" w:rsidP="000408D3">
      <w:pPr>
        <w:shd w:val="clear" w:color="auto" w:fill="FFFFFF"/>
        <w:spacing w:after="150" w:line="300" w:lineRule="atLeast"/>
        <w:ind w:left="1134" w:hanging="708"/>
        <w:jc w:val="both"/>
        <w:rPr>
          <w:rFonts w:ascii="Arial" w:eastAsia="Times New Roman" w:hAnsi="Arial" w:cs="Arial"/>
          <w:color w:val="000000"/>
          <w:lang w:eastAsia="es-PE"/>
        </w:rPr>
      </w:pPr>
      <w:r w:rsidRPr="000408D3">
        <w:rPr>
          <w:rFonts w:ascii="Arial" w:eastAsia="Times New Roman" w:hAnsi="Arial" w:cs="Arial"/>
          <w:color w:val="000000"/>
          <w:lang w:eastAsia="es-PE"/>
        </w:rPr>
        <w:t xml:space="preserve">87.1 </w:t>
      </w:r>
      <w:r>
        <w:rPr>
          <w:rFonts w:ascii="Arial" w:eastAsia="Times New Roman" w:hAnsi="Arial" w:cs="Arial"/>
          <w:color w:val="000000"/>
          <w:lang w:eastAsia="es-PE"/>
        </w:rPr>
        <w:tab/>
      </w:r>
      <w:r w:rsidRPr="000408D3">
        <w:rPr>
          <w:rFonts w:ascii="Arial" w:eastAsia="Times New Roman" w:hAnsi="Arial" w:cs="Arial"/>
          <w:color w:val="000000"/>
          <w:lang w:eastAsia="es-PE"/>
        </w:rPr>
        <w:t>De acuerdo a lo dispuesto por el artículo 56 de la Ley, los Gobiernos Locales deberán atender en un plazo máximo de siete (7) días hábiles las solicitudes de la SBN respecto de los predios estatales bajo su jurisdicción, tales como: emisión de Certificados de Zonificación y Vías, de Parámetros Urbanísticos y Edificatorios, de Jurisdicción, de Numeración, emisión de resolución de Subdivisión o Parcelación, información o certificación catastral, y otros procedimientos de su competencia.</w:t>
      </w:r>
    </w:p>
    <w:p w:rsidR="000408D3" w:rsidRPr="000408D3" w:rsidRDefault="000408D3" w:rsidP="000408D3">
      <w:pPr>
        <w:shd w:val="clear" w:color="auto" w:fill="FFFFFF"/>
        <w:spacing w:after="150" w:line="300" w:lineRule="atLeast"/>
        <w:ind w:left="1134" w:hanging="708"/>
        <w:jc w:val="both"/>
        <w:rPr>
          <w:rFonts w:ascii="Arial" w:eastAsia="Times New Roman" w:hAnsi="Arial" w:cs="Arial"/>
          <w:color w:val="000000"/>
          <w:lang w:eastAsia="es-PE"/>
        </w:rPr>
      </w:pPr>
      <w:r w:rsidRPr="000408D3">
        <w:rPr>
          <w:rFonts w:ascii="Arial" w:eastAsia="Times New Roman" w:hAnsi="Arial" w:cs="Arial"/>
          <w:color w:val="000000"/>
          <w:lang w:eastAsia="es-PE"/>
        </w:rPr>
        <w:t xml:space="preserve">87.2 </w:t>
      </w:r>
      <w:r>
        <w:rPr>
          <w:rFonts w:ascii="Arial" w:eastAsia="Times New Roman" w:hAnsi="Arial" w:cs="Arial"/>
          <w:color w:val="000000"/>
          <w:lang w:eastAsia="es-PE"/>
        </w:rPr>
        <w:tab/>
      </w:r>
      <w:r w:rsidRPr="000408D3">
        <w:rPr>
          <w:rFonts w:ascii="Arial" w:eastAsia="Times New Roman" w:hAnsi="Arial" w:cs="Arial"/>
          <w:color w:val="000000"/>
          <w:lang w:eastAsia="es-PE"/>
        </w:rPr>
        <w:t>En relación a las entidades públicas que generan o almacenan información cartográfica básica y catastral de propiedad y otros derechos, el cumplimiento de la entrega de la información solicitada se acreditará con el cargo del oficio al cual se acompaña el respectivo archivo digital.</w:t>
      </w:r>
    </w:p>
    <w:p w:rsidR="000408D3" w:rsidRDefault="000408D3" w:rsidP="000408D3">
      <w:pPr>
        <w:shd w:val="clear" w:color="auto" w:fill="FFFFFF"/>
        <w:spacing w:after="0" w:line="300" w:lineRule="atLeast"/>
        <w:jc w:val="center"/>
        <w:rPr>
          <w:rFonts w:ascii="Arial" w:eastAsia="Times New Roman" w:hAnsi="Arial" w:cs="Arial"/>
          <w:b/>
          <w:bCs/>
          <w:color w:val="000000"/>
          <w:lang w:eastAsia="es-PE"/>
        </w:rPr>
      </w:pPr>
    </w:p>
    <w:p w:rsidR="00AA2D63" w:rsidRDefault="00AA2D63" w:rsidP="000408D3">
      <w:pPr>
        <w:shd w:val="clear" w:color="auto" w:fill="FFFFFF"/>
        <w:spacing w:after="0" w:line="300" w:lineRule="atLeast"/>
        <w:jc w:val="center"/>
        <w:rPr>
          <w:rFonts w:ascii="Arial" w:eastAsia="Times New Roman" w:hAnsi="Arial" w:cs="Arial"/>
          <w:b/>
          <w:bCs/>
          <w:color w:val="000000"/>
          <w:lang w:eastAsia="es-PE"/>
        </w:rPr>
      </w:pPr>
    </w:p>
    <w:p w:rsidR="000408D3" w:rsidRPr="000408D3" w:rsidRDefault="000408D3" w:rsidP="00AA2D63">
      <w:pPr>
        <w:shd w:val="clear" w:color="auto" w:fill="FFFFFF"/>
        <w:spacing w:after="0" w:line="300" w:lineRule="atLeast"/>
        <w:jc w:val="center"/>
        <w:rPr>
          <w:rFonts w:ascii="Arial" w:eastAsia="Times New Roman" w:hAnsi="Arial" w:cs="Arial"/>
          <w:color w:val="000000"/>
          <w:lang w:eastAsia="es-PE"/>
        </w:rPr>
      </w:pPr>
      <w:r w:rsidRPr="000408D3">
        <w:rPr>
          <w:rFonts w:ascii="Arial" w:eastAsia="Times New Roman" w:hAnsi="Arial" w:cs="Arial"/>
          <w:b/>
          <w:bCs/>
          <w:color w:val="000000"/>
          <w:lang w:eastAsia="es-PE"/>
        </w:rPr>
        <w:t>DISPOSICIONES COMPLEMENTARIAS</w:t>
      </w:r>
      <w:r w:rsidR="00AA2D63">
        <w:rPr>
          <w:rFonts w:ascii="Arial" w:eastAsia="Times New Roman" w:hAnsi="Arial" w:cs="Arial"/>
          <w:color w:val="000000"/>
          <w:lang w:eastAsia="es-PE"/>
        </w:rPr>
        <w:t xml:space="preserve">  </w:t>
      </w:r>
      <w:r w:rsidRPr="000408D3">
        <w:rPr>
          <w:rFonts w:ascii="Arial" w:eastAsia="Times New Roman" w:hAnsi="Arial" w:cs="Arial"/>
          <w:b/>
          <w:bCs/>
          <w:color w:val="000000"/>
          <w:lang w:eastAsia="es-PE"/>
        </w:rPr>
        <w:t>FINALES</w:t>
      </w:r>
    </w:p>
    <w:p w:rsidR="000408D3" w:rsidRPr="000408D3" w:rsidRDefault="000408D3" w:rsidP="000408D3">
      <w:pPr>
        <w:shd w:val="clear" w:color="auto" w:fill="FFFFFF"/>
        <w:spacing w:after="0" w:line="300" w:lineRule="atLeast"/>
        <w:jc w:val="both"/>
        <w:rPr>
          <w:rFonts w:ascii="Arial" w:eastAsia="Times New Roman" w:hAnsi="Arial" w:cs="Arial"/>
          <w:color w:val="000000"/>
          <w:lang w:eastAsia="es-PE"/>
        </w:rPr>
      </w:pPr>
      <w:r w:rsidRPr="000408D3">
        <w:rPr>
          <w:rFonts w:ascii="Arial" w:eastAsia="Times New Roman" w:hAnsi="Arial" w:cs="Arial"/>
          <w:b/>
          <w:bCs/>
          <w:color w:val="000000"/>
          <w:lang w:eastAsia="es-PE"/>
        </w:rPr>
        <w:t>Primera.- De las Directivas y Formatos</w:t>
      </w:r>
    </w:p>
    <w:p w:rsidR="000408D3" w:rsidRPr="000408D3" w:rsidRDefault="000408D3" w:rsidP="000408D3">
      <w:pPr>
        <w:shd w:val="clear" w:color="auto" w:fill="FFFFFF"/>
        <w:spacing w:after="0" w:line="300" w:lineRule="atLeast"/>
        <w:jc w:val="both"/>
        <w:rPr>
          <w:rFonts w:ascii="Arial" w:eastAsia="Times New Roman" w:hAnsi="Arial" w:cs="Arial"/>
          <w:color w:val="000000"/>
          <w:lang w:eastAsia="es-PE"/>
        </w:rPr>
      </w:pPr>
      <w:r w:rsidRPr="000408D3">
        <w:rPr>
          <w:rFonts w:ascii="Arial" w:eastAsia="Times New Roman" w:hAnsi="Arial" w:cs="Arial"/>
          <w:color w:val="000000"/>
          <w:lang w:eastAsia="es-PE"/>
        </w:rPr>
        <w:t>La SBN, el COFOPRI y la SUNARP aprobarán las directivas, formatos y formularios que consideren necesarios para la aplicación de la Ley y el presente Reglamento.</w:t>
      </w:r>
    </w:p>
    <w:p w:rsidR="00881964" w:rsidRDefault="00881964" w:rsidP="000408D3">
      <w:pPr>
        <w:shd w:val="clear" w:color="auto" w:fill="FFFFFF"/>
        <w:spacing w:after="0" w:line="300" w:lineRule="atLeast"/>
        <w:jc w:val="both"/>
        <w:rPr>
          <w:rFonts w:ascii="Arial" w:eastAsia="Times New Roman" w:hAnsi="Arial" w:cs="Arial"/>
          <w:b/>
          <w:bCs/>
          <w:color w:val="000000"/>
          <w:lang w:eastAsia="es-PE"/>
        </w:rPr>
      </w:pPr>
    </w:p>
    <w:p w:rsidR="000408D3" w:rsidRPr="000408D3" w:rsidRDefault="000408D3" w:rsidP="000408D3">
      <w:pPr>
        <w:shd w:val="clear" w:color="auto" w:fill="FFFFFF"/>
        <w:spacing w:after="0" w:line="300" w:lineRule="atLeast"/>
        <w:jc w:val="both"/>
        <w:rPr>
          <w:rFonts w:ascii="Arial" w:eastAsia="Times New Roman" w:hAnsi="Arial" w:cs="Arial"/>
          <w:color w:val="000000"/>
          <w:lang w:eastAsia="es-PE"/>
        </w:rPr>
      </w:pPr>
      <w:r w:rsidRPr="000408D3">
        <w:rPr>
          <w:rFonts w:ascii="Arial" w:eastAsia="Times New Roman" w:hAnsi="Arial" w:cs="Arial"/>
          <w:b/>
          <w:bCs/>
          <w:color w:val="000000"/>
          <w:lang w:eastAsia="es-PE"/>
        </w:rPr>
        <w:t>Segunda.- De la reglamentación de las modificaciones de la Ley Nº 29151, Ley General del Sistema Nacional de Bienes Estatales</w:t>
      </w:r>
    </w:p>
    <w:p w:rsidR="000408D3" w:rsidRPr="000408D3" w:rsidRDefault="000408D3" w:rsidP="000408D3">
      <w:pPr>
        <w:shd w:val="clear" w:color="auto" w:fill="FFFFFF"/>
        <w:spacing w:after="150" w:line="300" w:lineRule="atLeast"/>
        <w:jc w:val="both"/>
        <w:rPr>
          <w:rFonts w:ascii="Arial" w:eastAsia="Times New Roman" w:hAnsi="Arial" w:cs="Arial"/>
          <w:color w:val="000000"/>
          <w:lang w:eastAsia="es-PE"/>
        </w:rPr>
      </w:pPr>
      <w:r w:rsidRPr="000408D3">
        <w:rPr>
          <w:rFonts w:ascii="Arial" w:eastAsia="Times New Roman" w:hAnsi="Arial" w:cs="Arial"/>
          <w:color w:val="000000"/>
          <w:lang w:eastAsia="es-PE"/>
        </w:rPr>
        <w:t>La reglamentación de los artículos 14, 18, 19-A, 25, 26 y de la Segunda Disposición Complementaria de la Ley Nº 29151, Ley General del Sistema Nacional de Bienes Estatales, se realiza con la modificación del Reglamento de la Ley Nº 29151, aprobado por Decreto Supremo Nº 007-2008-VIVIENDA, la cual será presentada por la SBN ante el Ministerio de Vivienda, Construcción y Saneamiento, en un plazo no mayor de sesenta (60) días calendario, contados a partir de la vigencia del presente Reglamento.</w:t>
      </w:r>
    </w:p>
    <w:p w:rsidR="006312E8" w:rsidRPr="00881964" w:rsidRDefault="006312E8" w:rsidP="006312E8">
      <w:pPr>
        <w:spacing w:after="0" w:line="240" w:lineRule="auto"/>
        <w:jc w:val="both"/>
        <w:rPr>
          <w:rFonts w:ascii="Arial" w:eastAsia="Calibri" w:hAnsi="Arial" w:cs="Arial"/>
        </w:rPr>
      </w:pPr>
    </w:p>
    <w:p w:rsidR="006312E8" w:rsidRPr="00881964" w:rsidRDefault="006312E8" w:rsidP="006312E8">
      <w:pPr>
        <w:spacing w:after="0" w:line="240" w:lineRule="auto"/>
        <w:jc w:val="both"/>
        <w:rPr>
          <w:rFonts w:ascii="Arial" w:eastAsia="Calibri" w:hAnsi="Arial" w:cs="Arial"/>
        </w:rPr>
      </w:pPr>
    </w:p>
    <w:p w:rsidR="00881964" w:rsidRPr="00881964" w:rsidRDefault="00881964" w:rsidP="006312E8">
      <w:pPr>
        <w:spacing w:after="0" w:line="240" w:lineRule="auto"/>
        <w:jc w:val="both"/>
        <w:rPr>
          <w:rFonts w:ascii="Arial" w:eastAsia="Calibri" w:hAnsi="Arial" w:cs="Arial"/>
        </w:rPr>
      </w:pPr>
    </w:p>
    <w:p w:rsidR="00881964" w:rsidRPr="00881964" w:rsidRDefault="00881964" w:rsidP="006312E8">
      <w:pPr>
        <w:spacing w:after="0" w:line="240" w:lineRule="auto"/>
        <w:jc w:val="both"/>
        <w:rPr>
          <w:rFonts w:ascii="Arial" w:eastAsia="Calibri" w:hAnsi="Arial" w:cs="Arial"/>
        </w:rPr>
      </w:pPr>
    </w:p>
    <w:p w:rsidR="00881964" w:rsidRPr="00881964" w:rsidRDefault="00881964" w:rsidP="006312E8">
      <w:pPr>
        <w:spacing w:after="0" w:line="240" w:lineRule="auto"/>
        <w:jc w:val="both"/>
        <w:rPr>
          <w:rFonts w:ascii="Arial" w:eastAsia="Calibri" w:hAnsi="Arial" w:cs="Arial"/>
        </w:rPr>
      </w:pPr>
    </w:p>
    <w:p w:rsidR="00881964" w:rsidRPr="00881964" w:rsidRDefault="00881964" w:rsidP="006312E8">
      <w:pPr>
        <w:spacing w:after="0" w:line="240" w:lineRule="auto"/>
        <w:jc w:val="both"/>
        <w:rPr>
          <w:rFonts w:ascii="Arial" w:eastAsia="Calibri" w:hAnsi="Arial" w:cs="Arial"/>
        </w:rPr>
      </w:pPr>
    </w:p>
    <w:p w:rsidR="00881964" w:rsidRPr="00881964" w:rsidRDefault="00881964" w:rsidP="006312E8">
      <w:pPr>
        <w:spacing w:after="0" w:line="240" w:lineRule="auto"/>
        <w:jc w:val="both"/>
        <w:rPr>
          <w:rFonts w:ascii="Arial" w:eastAsia="Calibri" w:hAnsi="Arial" w:cs="Arial"/>
        </w:rPr>
      </w:pPr>
    </w:p>
    <w:p w:rsidR="00881964" w:rsidRPr="00881964" w:rsidRDefault="00881964" w:rsidP="006312E8">
      <w:pPr>
        <w:spacing w:after="0" w:line="240" w:lineRule="auto"/>
        <w:jc w:val="both"/>
        <w:rPr>
          <w:rFonts w:ascii="Arial" w:eastAsia="Calibri" w:hAnsi="Arial" w:cs="Arial"/>
        </w:rPr>
      </w:pPr>
    </w:p>
    <w:p w:rsidR="00881964" w:rsidRPr="00881964" w:rsidRDefault="00881964" w:rsidP="006312E8">
      <w:pPr>
        <w:spacing w:after="0" w:line="240" w:lineRule="auto"/>
        <w:jc w:val="both"/>
        <w:rPr>
          <w:rFonts w:ascii="Arial" w:eastAsia="Calibri" w:hAnsi="Arial" w:cs="Arial"/>
        </w:rPr>
      </w:pPr>
    </w:p>
    <w:p w:rsidR="00881964" w:rsidRPr="00881964" w:rsidRDefault="00881964" w:rsidP="006312E8">
      <w:pPr>
        <w:spacing w:after="0" w:line="240" w:lineRule="auto"/>
        <w:jc w:val="both"/>
        <w:rPr>
          <w:rFonts w:ascii="Arial" w:eastAsia="Calibri" w:hAnsi="Arial" w:cs="Arial"/>
        </w:rPr>
      </w:pPr>
    </w:p>
    <w:p w:rsidR="00881964" w:rsidRPr="00881964" w:rsidRDefault="00881964" w:rsidP="006312E8">
      <w:pPr>
        <w:spacing w:after="0" w:line="240" w:lineRule="auto"/>
        <w:jc w:val="both"/>
        <w:rPr>
          <w:rFonts w:ascii="Arial" w:eastAsia="Calibri" w:hAnsi="Arial" w:cs="Arial"/>
        </w:rPr>
      </w:pPr>
    </w:p>
    <w:p w:rsidR="00881964" w:rsidRPr="00881964" w:rsidRDefault="00881964" w:rsidP="006312E8">
      <w:pPr>
        <w:spacing w:after="0" w:line="240" w:lineRule="auto"/>
        <w:jc w:val="both"/>
        <w:rPr>
          <w:rFonts w:ascii="Arial" w:eastAsia="Calibri" w:hAnsi="Arial" w:cs="Arial"/>
        </w:rPr>
      </w:pPr>
    </w:p>
    <w:p w:rsidR="00881964" w:rsidRPr="00881964" w:rsidRDefault="00881964" w:rsidP="006312E8">
      <w:pPr>
        <w:spacing w:after="0" w:line="240" w:lineRule="auto"/>
        <w:jc w:val="both"/>
        <w:rPr>
          <w:rFonts w:ascii="Arial" w:eastAsia="Calibri" w:hAnsi="Arial" w:cs="Arial"/>
        </w:rPr>
      </w:pPr>
    </w:p>
    <w:p w:rsidR="00881964" w:rsidRPr="00881964" w:rsidRDefault="00881964" w:rsidP="006312E8">
      <w:pPr>
        <w:spacing w:after="0" w:line="240" w:lineRule="auto"/>
        <w:jc w:val="both"/>
        <w:rPr>
          <w:rFonts w:ascii="Arial" w:eastAsia="Calibri" w:hAnsi="Arial" w:cs="Arial"/>
        </w:rPr>
      </w:pPr>
    </w:p>
    <w:p w:rsidR="00881964" w:rsidRPr="00881964" w:rsidRDefault="00881964" w:rsidP="006312E8">
      <w:pPr>
        <w:spacing w:after="0" w:line="240" w:lineRule="auto"/>
        <w:jc w:val="both"/>
        <w:rPr>
          <w:rFonts w:ascii="Arial" w:eastAsia="Calibri" w:hAnsi="Arial" w:cs="Arial"/>
        </w:rPr>
      </w:pPr>
    </w:p>
    <w:p w:rsidR="00881964" w:rsidRPr="00881964" w:rsidRDefault="00881964" w:rsidP="006312E8">
      <w:pPr>
        <w:spacing w:after="0" w:line="240" w:lineRule="auto"/>
        <w:jc w:val="both"/>
        <w:rPr>
          <w:rFonts w:ascii="Arial" w:eastAsia="Calibri" w:hAnsi="Arial" w:cs="Arial"/>
        </w:rPr>
      </w:pPr>
    </w:p>
    <w:p w:rsidR="00881964" w:rsidRPr="00881964" w:rsidRDefault="00881964" w:rsidP="006312E8">
      <w:pPr>
        <w:spacing w:after="0" w:line="240" w:lineRule="auto"/>
        <w:jc w:val="both"/>
        <w:rPr>
          <w:rFonts w:ascii="Arial" w:eastAsia="Calibri" w:hAnsi="Arial" w:cs="Arial"/>
        </w:rPr>
      </w:pPr>
    </w:p>
    <w:p w:rsidR="00881964" w:rsidRPr="00881964" w:rsidRDefault="00881964" w:rsidP="006312E8">
      <w:pPr>
        <w:spacing w:after="0" w:line="240" w:lineRule="auto"/>
        <w:jc w:val="both"/>
        <w:rPr>
          <w:rFonts w:ascii="Arial" w:eastAsia="Calibri" w:hAnsi="Arial" w:cs="Arial"/>
        </w:rPr>
      </w:pPr>
    </w:p>
    <w:p w:rsidR="00881964" w:rsidRPr="00881964" w:rsidRDefault="00881964" w:rsidP="006312E8">
      <w:pPr>
        <w:spacing w:after="0" w:line="240" w:lineRule="auto"/>
        <w:jc w:val="both"/>
        <w:rPr>
          <w:rFonts w:ascii="Arial" w:eastAsia="Calibri" w:hAnsi="Arial" w:cs="Arial"/>
        </w:rPr>
      </w:pPr>
    </w:p>
    <w:p w:rsidR="00881964" w:rsidRPr="00881964" w:rsidRDefault="00881964" w:rsidP="006312E8">
      <w:pPr>
        <w:spacing w:after="0" w:line="240" w:lineRule="auto"/>
        <w:jc w:val="both"/>
        <w:rPr>
          <w:rFonts w:ascii="Arial" w:eastAsia="Calibri" w:hAnsi="Arial" w:cs="Arial"/>
        </w:rPr>
      </w:pPr>
    </w:p>
    <w:p w:rsidR="00881964" w:rsidRPr="00881964" w:rsidRDefault="00881964" w:rsidP="006312E8">
      <w:pPr>
        <w:spacing w:after="0" w:line="240" w:lineRule="auto"/>
        <w:jc w:val="both"/>
        <w:rPr>
          <w:rFonts w:ascii="Arial" w:eastAsia="Calibri" w:hAnsi="Arial" w:cs="Arial"/>
        </w:rPr>
      </w:pPr>
    </w:p>
    <w:p w:rsidR="00881964" w:rsidRPr="00881964" w:rsidRDefault="00881964" w:rsidP="006312E8">
      <w:pPr>
        <w:spacing w:after="0" w:line="240" w:lineRule="auto"/>
        <w:jc w:val="both"/>
        <w:rPr>
          <w:rFonts w:ascii="Arial" w:eastAsia="Calibri" w:hAnsi="Arial" w:cs="Arial"/>
        </w:rPr>
      </w:pPr>
    </w:p>
    <w:p w:rsidR="00881964" w:rsidRPr="00881964" w:rsidRDefault="00881964" w:rsidP="006312E8">
      <w:pPr>
        <w:spacing w:after="0" w:line="240" w:lineRule="auto"/>
        <w:jc w:val="both"/>
        <w:rPr>
          <w:rFonts w:ascii="Arial" w:eastAsia="Calibri" w:hAnsi="Arial" w:cs="Arial"/>
        </w:rPr>
      </w:pPr>
    </w:p>
    <w:p w:rsidR="00881964" w:rsidRPr="00881964" w:rsidRDefault="00881964" w:rsidP="006312E8">
      <w:pPr>
        <w:spacing w:after="0" w:line="240" w:lineRule="auto"/>
        <w:jc w:val="both"/>
        <w:rPr>
          <w:rFonts w:ascii="Arial" w:eastAsia="Calibri" w:hAnsi="Arial" w:cs="Arial"/>
        </w:rPr>
      </w:pPr>
    </w:p>
    <w:p w:rsidR="00881964" w:rsidRPr="00881964" w:rsidRDefault="00881964" w:rsidP="006312E8">
      <w:pPr>
        <w:spacing w:after="0" w:line="240" w:lineRule="auto"/>
        <w:jc w:val="both"/>
        <w:rPr>
          <w:rFonts w:ascii="Arial" w:eastAsia="Calibri" w:hAnsi="Arial" w:cs="Arial"/>
        </w:rPr>
      </w:pPr>
    </w:p>
    <w:p w:rsidR="00881964" w:rsidRPr="00881964" w:rsidRDefault="00881964" w:rsidP="006312E8">
      <w:pPr>
        <w:spacing w:after="0" w:line="240" w:lineRule="auto"/>
        <w:jc w:val="both"/>
        <w:rPr>
          <w:rFonts w:ascii="Arial" w:eastAsia="Calibri" w:hAnsi="Arial" w:cs="Arial"/>
        </w:rPr>
      </w:pPr>
    </w:p>
    <w:p w:rsidR="00881964" w:rsidRPr="00881964" w:rsidRDefault="00881964" w:rsidP="006312E8">
      <w:pPr>
        <w:spacing w:after="0" w:line="240" w:lineRule="auto"/>
        <w:jc w:val="both"/>
        <w:rPr>
          <w:rFonts w:ascii="Arial" w:eastAsia="Calibri" w:hAnsi="Arial" w:cs="Arial"/>
        </w:rPr>
      </w:pPr>
    </w:p>
    <w:p w:rsidR="00881964" w:rsidRPr="00881964" w:rsidRDefault="00881964" w:rsidP="006312E8">
      <w:pPr>
        <w:spacing w:after="0" w:line="240" w:lineRule="auto"/>
        <w:jc w:val="both"/>
        <w:rPr>
          <w:rFonts w:ascii="Arial" w:eastAsia="Calibri" w:hAnsi="Arial" w:cs="Arial"/>
        </w:rPr>
      </w:pPr>
    </w:p>
    <w:p w:rsidR="00881964" w:rsidRPr="00881964" w:rsidRDefault="00881964" w:rsidP="006312E8">
      <w:pPr>
        <w:spacing w:after="0" w:line="240" w:lineRule="auto"/>
        <w:jc w:val="both"/>
        <w:rPr>
          <w:rFonts w:ascii="Arial" w:eastAsia="Calibri" w:hAnsi="Arial" w:cs="Arial"/>
        </w:rPr>
      </w:pPr>
    </w:p>
    <w:p w:rsidR="00881964" w:rsidRDefault="00881964" w:rsidP="006312E8">
      <w:pPr>
        <w:spacing w:after="0" w:line="240" w:lineRule="auto"/>
        <w:jc w:val="both"/>
        <w:rPr>
          <w:rFonts w:ascii="Arial" w:eastAsia="Calibri" w:hAnsi="Arial" w:cs="Arial"/>
        </w:rPr>
      </w:pPr>
    </w:p>
    <w:p w:rsidR="00AA2D63" w:rsidRDefault="00AA2D63" w:rsidP="006312E8">
      <w:pPr>
        <w:spacing w:after="0" w:line="240" w:lineRule="auto"/>
        <w:jc w:val="both"/>
        <w:rPr>
          <w:rFonts w:ascii="Arial" w:eastAsia="Calibri" w:hAnsi="Arial" w:cs="Arial"/>
        </w:rPr>
      </w:pPr>
    </w:p>
    <w:p w:rsidR="00AA2D63" w:rsidRDefault="00AA2D63" w:rsidP="006312E8">
      <w:pPr>
        <w:spacing w:after="0" w:line="240" w:lineRule="auto"/>
        <w:jc w:val="both"/>
        <w:rPr>
          <w:rFonts w:ascii="Arial" w:eastAsia="Calibri" w:hAnsi="Arial" w:cs="Arial"/>
        </w:rPr>
      </w:pPr>
    </w:p>
    <w:p w:rsidR="00AA2D63" w:rsidRDefault="00AA2D63" w:rsidP="006312E8">
      <w:pPr>
        <w:spacing w:after="0" w:line="240" w:lineRule="auto"/>
        <w:jc w:val="both"/>
        <w:rPr>
          <w:rFonts w:ascii="Arial" w:eastAsia="Calibri" w:hAnsi="Arial" w:cs="Arial"/>
        </w:rPr>
      </w:pPr>
    </w:p>
    <w:p w:rsidR="00AA2D63" w:rsidRDefault="00AA2D63" w:rsidP="006312E8">
      <w:pPr>
        <w:spacing w:after="0" w:line="240" w:lineRule="auto"/>
        <w:jc w:val="both"/>
        <w:rPr>
          <w:rFonts w:ascii="Arial" w:eastAsia="Calibri" w:hAnsi="Arial" w:cs="Arial"/>
        </w:rPr>
      </w:pPr>
    </w:p>
    <w:p w:rsidR="00AA2D63" w:rsidRDefault="00AA2D63" w:rsidP="006312E8">
      <w:pPr>
        <w:spacing w:after="0" w:line="240" w:lineRule="auto"/>
        <w:jc w:val="both"/>
        <w:rPr>
          <w:rFonts w:ascii="Arial" w:eastAsia="Calibri" w:hAnsi="Arial" w:cs="Arial"/>
        </w:rPr>
      </w:pPr>
    </w:p>
    <w:p w:rsidR="00AA2D63" w:rsidRPr="00881964" w:rsidRDefault="00AA2D63" w:rsidP="006312E8">
      <w:pPr>
        <w:spacing w:after="0" w:line="240" w:lineRule="auto"/>
        <w:jc w:val="both"/>
        <w:rPr>
          <w:rFonts w:ascii="Arial" w:eastAsia="Calibri" w:hAnsi="Arial" w:cs="Arial"/>
        </w:rPr>
      </w:pPr>
    </w:p>
    <w:p w:rsidR="00881964" w:rsidRPr="00881964" w:rsidRDefault="00881964" w:rsidP="006312E8">
      <w:pPr>
        <w:spacing w:after="0" w:line="240" w:lineRule="auto"/>
        <w:jc w:val="both"/>
        <w:rPr>
          <w:rFonts w:ascii="Arial" w:eastAsia="Calibri" w:hAnsi="Arial" w:cs="Arial"/>
        </w:rPr>
      </w:pPr>
    </w:p>
    <w:p w:rsidR="00881964" w:rsidRPr="00881964" w:rsidRDefault="00881964" w:rsidP="006312E8">
      <w:pPr>
        <w:spacing w:after="0" w:line="240" w:lineRule="auto"/>
        <w:jc w:val="both"/>
        <w:rPr>
          <w:rFonts w:ascii="Arial" w:eastAsia="Calibri" w:hAnsi="Arial" w:cs="Arial"/>
        </w:rPr>
      </w:pPr>
    </w:p>
    <w:p w:rsidR="00881964" w:rsidRPr="00881964" w:rsidRDefault="00881964" w:rsidP="006312E8">
      <w:pPr>
        <w:spacing w:after="0" w:line="240" w:lineRule="auto"/>
        <w:jc w:val="both"/>
        <w:rPr>
          <w:rFonts w:ascii="Arial" w:eastAsia="Calibri" w:hAnsi="Arial" w:cs="Arial"/>
        </w:rPr>
      </w:pPr>
    </w:p>
    <w:p w:rsidR="00881964" w:rsidRPr="00881964" w:rsidRDefault="00881964" w:rsidP="006312E8">
      <w:pPr>
        <w:spacing w:after="0" w:line="240" w:lineRule="auto"/>
        <w:jc w:val="both"/>
        <w:rPr>
          <w:rFonts w:ascii="Arial" w:eastAsia="Calibri" w:hAnsi="Arial" w:cs="Arial"/>
        </w:rPr>
      </w:pPr>
    </w:p>
    <w:p w:rsidR="006312E8" w:rsidRPr="006312E8" w:rsidRDefault="006312E8" w:rsidP="003679F2">
      <w:pPr>
        <w:pStyle w:val="TITO2"/>
      </w:pPr>
      <w:bookmarkStart w:id="198" w:name="_Toc470855521"/>
      <w:r w:rsidRPr="006312E8">
        <w:t>DECRETO LEGISLATIVO  N° 1187</w:t>
      </w:r>
      <w:bookmarkEnd w:id="198"/>
    </w:p>
    <w:p w:rsidR="006312E8" w:rsidRPr="006312E8" w:rsidRDefault="006312E8" w:rsidP="006312E8">
      <w:pPr>
        <w:spacing w:after="0" w:line="240" w:lineRule="auto"/>
        <w:jc w:val="center"/>
        <w:rPr>
          <w:rFonts w:ascii="Arial" w:hAnsi="Arial" w:cs="Arial"/>
          <w:b/>
          <w:sz w:val="24"/>
          <w:szCs w:val="24"/>
          <w:lang w:val="es-ES"/>
        </w:rPr>
      </w:pPr>
      <w:r w:rsidRPr="006312E8">
        <w:rPr>
          <w:rFonts w:ascii="Arial" w:hAnsi="Arial" w:cs="Arial"/>
          <w:b/>
          <w:sz w:val="24"/>
          <w:szCs w:val="24"/>
          <w:lang w:val="es-ES"/>
        </w:rPr>
        <w:t>(Extracto)</w:t>
      </w:r>
    </w:p>
    <w:p w:rsidR="006312E8" w:rsidRPr="006312E8" w:rsidRDefault="006312E8" w:rsidP="006312E8">
      <w:pPr>
        <w:spacing w:after="0" w:line="240" w:lineRule="auto"/>
        <w:jc w:val="center"/>
        <w:rPr>
          <w:rFonts w:ascii="Arial" w:hAnsi="Arial" w:cs="Arial"/>
          <w:b/>
          <w:sz w:val="28"/>
          <w:szCs w:val="28"/>
          <w:lang w:val="es-ES"/>
        </w:rPr>
      </w:pPr>
    </w:p>
    <w:p w:rsidR="006312E8" w:rsidRPr="006312E8" w:rsidRDefault="006312E8" w:rsidP="006312E8">
      <w:pPr>
        <w:spacing w:after="0" w:line="240" w:lineRule="auto"/>
        <w:jc w:val="right"/>
        <w:rPr>
          <w:rFonts w:ascii="Arial" w:hAnsi="Arial" w:cs="Arial"/>
          <w:b/>
          <w:lang w:val="es-ES"/>
        </w:rPr>
      </w:pPr>
      <w:r w:rsidRPr="006312E8">
        <w:rPr>
          <w:rFonts w:ascii="Arial" w:hAnsi="Arial" w:cs="Arial"/>
          <w:b/>
          <w:lang w:val="es-ES"/>
        </w:rPr>
        <w:t>Fecha de publicación: 16-08-2015</w:t>
      </w:r>
    </w:p>
    <w:p w:rsidR="005A311B" w:rsidRDefault="005A311B" w:rsidP="006312E8">
      <w:pPr>
        <w:spacing w:after="0" w:line="240" w:lineRule="auto"/>
        <w:jc w:val="center"/>
        <w:rPr>
          <w:rFonts w:ascii="Arial" w:hAnsi="Arial" w:cs="Arial"/>
          <w:b/>
          <w:sz w:val="24"/>
          <w:szCs w:val="24"/>
          <w:lang w:val="es-ES"/>
        </w:rPr>
      </w:pPr>
    </w:p>
    <w:p w:rsidR="006312E8" w:rsidRPr="006312E8" w:rsidRDefault="006312E8" w:rsidP="006312E8">
      <w:pPr>
        <w:spacing w:after="0" w:line="240" w:lineRule="auto"/>
        <w:jc w:val="center"/>
        <w:rPr>
          <w:rFonts w:ascii="Arial" w:hAnsi="Arial" w:cs="Arial"/>
          <w:b/>
          <w:sz w:val="24"/>
          <w:szCs w:val="24"/>
          <w:lang w:val="es-ES"/>
        </w:rPr>
      </w:pPr>
      <w:r w:rsidRPr="006312E8">
        <w:rPr>
          <w:rFonts w:ascii="Arial" w:hAnsi="Arial" w:cs="Arial"/>
          <w:b/>
          <w:sz w:val="24"/>
          <w:szCs w:val="24"/>
          <w:lang w:val="es-ES"/>
        </w:rPr>
        <w:t>DECRETO LEGISLATIVO QUE PREVIENE Y SANCIONA LA VIOLENCIA EN LA ACTIVIDAD DE LA CONSTRUCCIÓN CIVIL</w:t>
      </w:r>
    </w:p>
    <w:p w:rsidR="006312E8" w:rsidRPr="006312E8" w:rsidRDefault="006312E8" w:rsidP="006312E8">
      <w:pPr>
        <w:spacing w:after="0" w:line="240" w:lineRule="auto"/>
        <w:jc w:val="both"/>
        <w:rPr>
          <w:rFonts w:ascii="Arial" w:hAnsi="Arial" w:cs="Arial"/>
          <w:lang w:val="es-ES"/>
        </w:rPr>
      </w:pPr>
      <w:r w:rsidRPr="006312E8">
        <w:rPr>
          <w:rFonts w:ascii="Arial" w:hAnsi="Arial" w:cs="Arial"/>
          <w:lang w:val="es-ES"/>
        </w:rPr>
        <w:t>“(…)</w:t>
      </w:r>
    </w:p>
    <w:p w:rsidR="006312E8" w:rsidRPr="006312E8" w:rsidRDefault="006312E8" w:rsidP="006312E8">
      <w:pPr>
        <w:spacing w:after="0" w:line="240" w:lineRule="auto"/>
        <w:jc w:val="center"/>
        <w:rPr>
          <w:rFonts w:ascii="Arial" w:hAnsi="Arial" w:cs="Arial"/>
          <w:b/>
          <w:lang w:val="es-ES"/>
        </w:rPr>
      </w:pPr>
      <w:r w:rsidRPr="006312E8">
        <w:rPr>
          <w:rFonts w:ascii="Arial" w:hAnsi="Arial" w:cs="Arial"/>
          <w:b/>
          <w:lang w:val="es-ES"/>
        </w:rPr>
        <w:t>DISPOSICIONES COMPLEMENTARIAS MODIFICATORIAS</w:t>
      </w:r>
    </w:p>
    <w:p w:rsidR="006312E8" w:rsidRPr="006312E8" w:rsidRDefault="006312E8" w:rsidP="006312E8">
      <w:pPr>
        <w:spacing w:after="0" w:line="240" w:lineRule="auto"/>
        <w:jc w:val="both"/>
        <w:rPr>
          <w:rFonts w:ascii="Arial" w:hAnsi="Arial" w:cs="Arial"/>
          <w:b/>
          <w:lang w:val="es-ES"/>
        </w:rPr>
      </w:pPr>
    </w:p>
    <w:p w:rsidR="006312E8" w:rsidRPr="006312E8" w:rsidRDefault="006312E8" w:rsidP="006312E8">
      <w:pPr>
        <w:spacing w:after="0" w:line="240" w:lineRule="auto"/>
        <w:jc w:val="both"/>
        <w:rPr>
          <w:rFonts w:ascii="Arial" w:hAnsi="Arial" w:cs="Arial"/>
          <w:lang w:val="es-ES"/>
        </w:rPr>
      </w:pPr>
      <w:r w:rsidRPr="006312E8">
        <w:rPr>
          <w:rFonts w:ascii="Arial" w:hAnsi="Arial" w:cs="Arial"/>
          <w:b/>
          <w:lang w:val="es-ES"/>
        </w:rPr>
        <w:t>Primera.- Modificación de los artículos 200 y 204 del Código Penal</w:t>
      </w:r>
    </w:p>
    <w:p w:rsidR="006312E8" w:rsidRPr="006312E8" w:rsidRDefault="006312E8" w:rsidP="006312E8">
      <w:pPr>
        <w:spacing w:after="0" w:line="240" w:lineRule="auto"/>
        <w:jc w:val="both"/>
        <w:rPr>
          <w:rFonts w:ascii="Arial" w:hAnsi="Arial" w:cs="Arial"/>
          <w:lang w:val="es-ES"/>
        </w:rPr>
      </w:pPr>
      <w:r w:rsidRPr="006312E8">
        <w:rPr>
          <w:rFonts w:ascii="Arial" w:hAnsi="Arial" w:cs="Arial"/>
          <w:lang w:val="es-ES"/>
        </w:rPr>
        <w:t>Modificase los artículos 200 y 204 del Código Penal en los términos siguientes:</w:t>
      </w:r>
    </w:p>
    <w:p w:rsidR="006312E8" w:rsidRPr="006312E8" w:rsidRDefault="006312E8" w:rsidP="006312E8">
      <w:pPr>
        <w:spacing w:after="0" w:line="240" w:lineRule="auto"/>
        <w:jc w:val="both"/>
        <w:rPr>
          <w:rFonts w:ascii="Arial" w:hAnsi="Arial" w:cs="Arial"/>
          <w:lang w:val="es-ES"/>
        </w:rPr>
      </w:pPr>
      <w:r w:rsidRPr="006312E8">
        <w:rPr>
          <w:rFonts w:ascii="Arial" w:hAnsi="Arial" w:cs="Arial"/>
          <w:lang w:val="es-ES"/>
        </w:rPr>
        <w:t>(…)</w:t>
      </w: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Artículo 204.- Formas agravadas de usurpación</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La pena privativa de libertad será no menor de cinco ni mayor de doce años e inhabilitación, según corresponda, cuando la usurpación se comete:</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92471C">
      <w:pPr>
        <w:numPr>
          <w:ilvl w:val="0"/>
          <w:numId w:val="241"/>
        </w:numPr>
        <w:spacing w:after="0" w:line="240" w:lineRule="auto"/>
        <w:contextualSpacing/>
        <w:jc w:val="both"/>
        <w:rPr>
          <w:rFonts w:ascii="Arial" w:eastAsia="Calibri" w:hAnsi="Arial" w:cs="Arial"/>
        </w:rPr>
      </w:pPr>
      <w:r w:rsidRPr="006312E8">
        <w:rPr>
          <w:rFonts w:ascii="Arial" w:eastAsia="Calibri" w:hAnsi="Arial" w:cs="Arial"/>
        </w:rPr>
        <w:t>Usando armas de fuego, explosivos o cualquier otro instrumento o sustancia peligrosos.</w:t>
      </w:r>
    </w:p>
    <w:p w:rsidR="006312E8" w:rsidRPr="006312E8" w:rsidRDefault="006312E8" w:rsidP="0092471C">
      <w:pPr>
        <w:numPr>
          <w:ilvl w:val="0"/>
          <w:numId w:val="241"/>
        </w:numPr>
        <w:spacing w:after="0" w:line="240" w:lineRule="auto"/>
        <w:contextualSpacing/>
        <w:jc w:val="both"/>
        <w:rPr>
          <w:rFonts w:ascii="Arial" w:eastAsia="Calibri" w:hAnsi="Arial" w:cs="Arial"/>
        </w:rPr>
      </w:pPr>
      <w:r w:rsidRPr="006312E8">
        <w:rPr>
          <w:rFonts w:ascii="Arial" w:eastAsia="Calibri" w:hAnsi="Arial" w:cs="Arial"/>
        </w:rPr>
        <w:t>Con la intervención de dos o más personas.</w:t>
      </w:r>
    </w:p>
    <w:p w:rsidR="006312E8" w:rsidRPr="006312E8" w:rsidRDefault="006312E8" w:rsidP="0092471C">
      <w:pPr>
        <w:numPr>
          <w:ilvl w:val="0"/>
          <w:numId w:val="241"/>
        </w:numPr>
        <w:spacing w:after="0" w:line="240" w:lineRule="auto"/>
        <w:contextualSpacing/>
        <w:jc w:val="both"/>
        <w:rPr>
          <w:rFonts w:ascii="Arial" w:eastAsia="Calibri" w:hAnsi="Arial" w:cs="Arial"/>
        </w:rPr>
      </w:pPr>
      <w:r w:rsidRPr="006312E8">
        <w:rPr>
          <w:rFonts w:ascii="Arial" w:eastAsia="Calibri" w:hAnsi="Arial" w:cs="Arial"/>
        </w:rPr>
        <w:t>Sobre inmueble reservado para fines habitacionales.</w:t>
      </w:r>
    </w:p>
    <w:p w:rsidR="006312E8" w:rsidRPr="006312E8" w:rsidRDefault="006312E8" w:rsidP="0092471C">
      <w:pPr>
        <w:numPr>
          <w:ilvl w:val="0"/>
          <w:numId w:val="241"/>
        </w:numPr>
        <w:spacing w:after="0" w:line="240" w:lineRule="auto"/>
        <w:contextualSpacing/>
        <w:jc w:val="both"/>
        <w:rPr>
          <w:rFonts w:ascii="Arial" w:eastAsia="Calibri" w:hAnsi="Arial" w:cs="Arial"/>
        </w:rPr>
      </w:pPr>
      <w:r w:rsidRPr="006312E8">
        <w:rPr>
          <w:rFonts w:ascii="Arial" w:eastAsia="Calibri" w:hAnsi="Arial" w:cs="Arial"/>
        </w:rPr>
        <w:t>Sobre bienes del Estado o de comunidades campesinas o nativas, o sobre bienes destinados a servicios públicos o inmuebles que integran el patrimonio cultural de la Nación declarados por la entidad competente o sobre las Áreas Naturales Protegidas por el Estado.</w:t>
      </w:r>
    </w:p>
    <w:p w:rsidR="006312E8" w:rsidRPr="006312E8" w:rsidRDefault="006312E8" w:rsidP="0092471C">
      <w:pPr>
        <w:numPr>
          <w:ilvl w:val="0"/>
          <w:numId w:val="241"/>
        </w:numPr>
        <w:spacing w:after="0" w:line="240" w:lineRule="auto"/>
        <w:contextualSpacing/>
        <w:jc w:val="both"/>
        <w:rPr>
          <w:rFonts w:ascii="Arial" w:eastAsia="Calibri" w:hAnsi="Arial" w:cs="Arial"/>
        </w:rPr>
      </w:pPr>
      <w:r w:rsidRPr="006312E8">
        <w:rPr>
          <w:rFonts w:ascii="Arial" w:eastAsia="Calibri" w:hAnsi="Arial" w:cs="Arial"/>
        </w:rPr>
        <w:t>Afectando la libre circulación en vías de comunicación.</w:t>
      </w:r>
    </w:p>
    <w:p w:rsidR="006312E8" w:rsidRPr="006312E8" w:rsidRDefault="006312E8" w:rsidP="0092471C">
      <w:pPr>
        <w:numPr>
          <w:ilvl w:val="0"/>
          <w:numId w:val="241"/>
        </w:numPr>
        <w:spacing w:after="0" w:line="240" w:lineRule="auto"/>
        <w:contextualSpacing/>
        <w:jc w:val="both"/>
        <w:rPr>
          <w:rFonts w:ascii="Arial" w:eastAsia="Calibri" w:hAnsi="Arial" w:cs="Arial"/>
        </w:rPr>
      </w:pPr>
      <w:r w:rsidRPr="006312E8">
        <w:rPr>
          <w:rFonts w:ascii="Arial" w:eastAsia="Calibri" w:hAnsi="Arial" w:cs="Arial"/>
        </w:rPr>
        <w:t>Colocando hitos, cercos perimétricos, cercos vivos, paneles o anuncios, demarcaciones para lotizado, instalación de esteras, plásticos u otros materiales.</w:t>
      </w:r>
    </w:p>
    <w:p w:rsidR="006312E8" w:rsidRPr="006312E8" w:rsidRDefault="006312E8" w:rsidP="0092471C">
      <w:pPr>
        <w:numPr>
          <w:ilvl w:val="0"/>
          <w:numId w:val="241"/>
        </w:numPr>
        <w:spacing w:after="0" w:line="240" w:lineRule="auto"/>
        <w:contextualSpacing/>
        <w:jc w:val="both"/>
        <w:rPr>
          <w:rFonts w:ascii="Arial" w:eastAsia="Calibri" w:hAnsi="Arial" w:cs="Arial"/>
        </w:rPr>
      </w:pPr>
      <w:r w:rsidRPr="006312E8">
        <w:rPr>
          <w:rFonts w:ascii="Arial" w:eastAsia="Calibri" w:hAnsi="Arial" w:cs="Arial"/>
        </w:rPr>
        <w:t>Abusando de su condición o cargo de funcionario o servidor público, de la función notarial o arbitral.</w:t>
      </w:r>
    </w:p>
    <w:p w:rsidR="006312E8" w:rsidRPr="006312E8" w:rsidRDefault="006312E8" w:rsidP="0092471C">
      <w:pPr>
        <w:numPr>
          <w:ilvl w:val="0"/>
          <w:numId w:val="241"/>
        </w:numPr>
        <w:spacing w:after="0" w:line="240" w:lineRule="auto"/>
        <w:contextualSpacing/>
        <w:jc w:val="both"/>
        <w:rPr>
          <w:rFonts w:ascii="Arial" w:eastAsia="Calibri" w:hAnsi="Arial" w:cs="Arial"/>
        </w:rPr>
      </w:pPr>
      <w:r w:rsidRPr="006312E8">
        <w:rPr>
          <w:rFonts w:ascii="Arial" w:eastAsia="Calibri" w:hAnsi="Arial" w:cs="Arial"/>
        </w:rPr>
        <w:t>Sobre derechos de vía o localización de área otorgados para proyectos de inversión.</w:t>
      </w:r>
    </w:p>
    <w:p w:rsidR="006312E8" w:rsidRPr="006312E8" w:rsidRDefault="006312E8" w:rsidP="0092471C">
      <w:pPr>
        <w:numPr>
          <w:ilvl w:val="0"/>
          <w:numId w:val="241"/>
        </w:numPr>
        <w:spacing w:after="0" w:line="240" w:lineRule="auto"/>
        <w:contextualSpacing/>
        <w:jc w:val="both"/>
        <w:rPr>
          <w:rFonts w:ascii="Arial" w:eastAsia="Calibri" w:hAnsi="Arial" w:cs="Arial"/>
        </w:rPr>
      </w:pPr>
      <w:r w:rsidRPr="006312E8">
        <w:rPr>
          <w:rFonts w:ascii="Arial" w:eastAsia="Calibri" w:hAnsi="Arial" w:cs="Arial"/>
        </w:rPr>
        <w:t>Utilizando documentos privados falsos o adulterados.</w:t>
      </w:r>
    </w:p>
    <w:p w:rsidR="006312E8" w:rsidRPr="006312E8" w:rsidRDefault="006312E8" w:rsidP="0092471C">
      <w:pPr>
        <w:numPr>
          <w:ilvl w:val="0"/>
          <w:numId w:val="241"/>
        </w:numPr>
        <w:spacing w:after="0" w:line="240" w:lineRule="auto"/>
        <w:contextualSpacing/>
        <w:jc w:val="both"/>
        <w:rPr>
          <w:rFonts w:ascii="Arial" w:eastAsia="Calibri" w:hAnsi="Arial" w:cs="Arial"/>
        </w:rPr>
      </w:pPr>
      <w:r w:rsidRPr="006312E8">
        <w:rPr>
          <w:rFonts w:ascii="Arial" w:eastAsia="Calibri" w:hAnsi="Arial" w:cs="Arial"/>
        </w:rPr>
        <w:t>En su condición de representante de una asociación u otro tipo de organización, representante de persona jurídica o cualquier persona natural, que entregue o acredite indebidamente documentos o valide actos de posesión de terrenos del Estado o de particulares.</w:t>
      </w:r>
    </w:p>
    <w:p w:rsidR="006312E8" w:rsidRPr="006312E8" w:rsidRDefault="006312E8" w:rsidP="006312E8">
      <w:pPr>
        <w:spacing w:after="0" w:line="240" w:lineRule="auto"/>
        <w:contextualSpacing/>
        <w:jc w:val="both"/>
        <w:rPr>
          <w:rFonts w:ascii="Arial" w:eastAsia="Calibri" w:hAnsi="Arial" w:cs="Arial"/>
        </w:rPr>
      </w:pPr>
      <w:r w:rsidRPr="006312E8">
        <w:rPr>
          <w:rFonts w:ascii="Arial" w:eastAsia="Calibri" w:hAnsi="Arial" w:cs="Arial"/>
        </w:rPr>
        <w:t>Será reprimido con la misma pena el que organice, financie, facilite, fomente, dirija, provoque o promueva la realización de usurpaciones de inmuebles de propiedad pública o privada.</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w:t>
      </w: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POR TANTO:</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Mando se publique y se cumpla, dando cuenta al Congreso de la República.</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Dado en la casa de Gobierno, en Lima, a los quince días del mes de agosto del año dos mil quince.</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OLLANTA HUMALA TASSO</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Presidente de la República</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PEDRO CATERIANO BELLIDO</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Presidente del Consejo de Ministros</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JOSE LUIS PEREZ GUADALUPE</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Ministro del Interior</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GUSTAVO ADRIANZEN OLAYA</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Ministro de Justicia y Derechos Humanos</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DANIEL MAURATE ROMERO</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Ministro de Trabajo y Promoción del Empleo</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Default="00C50F16" w:rsidP="00C50F16">
      <w:pPr>
        <w:pStyle w:val="TITO10"/>
      </w:pPr>
      <w:bookmarkStart w:id="199" w:name="_Toc470855522"/>
      <w:r>
        <w:t>DIRECTIVAS EMITIDAS POR LA SBN EN CAPACITACION Y CERTIFICACIÓN</w:t>
      </w:r>
      <w:bookmarkEnd w:id="199"/>
    </w:p>
    <w:p w:rsidR="00C50F16" w:rsidRPr="006312E8" w:rsidRDefault="00C50F16" w:rsidP="006312E8">
      <w:pPr>
        <w:spacing w:after="0" w:line="240" w:lineRule="auto"/>
        <w:jc w:val="both"/>
        <w:rPr>
          <w:rFonts w:ascii="Arial" w:eastAsia="Calibri" w:hAnsi="Arial" w:cs="Arial"/>
          <w:lang w:val="es-ES"/>
        </w:rPr>
      </w:pPr>
      <w:r w:rsidRPr="006312E8">
        <w:rPr>
          <w:rFonts w:ascii="Arial" w:eastAsia="Calibri" w:hAnsi="Arial" w:cs="Arial"/>
          <w:b/>
          <w:noProof/>
          <w:sz w:val="48"/>
          <w:szCs w:val="48"/>
          <w:lang w:val="es-MX" w:eastAsia="es-MX"/>
        </w:rPr>
        <mc:AlternateContent>
          <mc:Choice Requires="wps">
            <w:drawing>
              <wp:anchor distT="0" distB="0" distL="114300" distR="114300" simplePos="0" relativeHeight="251710464" behindDoc="0" locked="0" layoutInCell="1" allowOverlap="1" wp14:anchorId="4DBBB1B4" wp14:editId="349D1E82">
                <wp:simplePos x="0" y="0"/>
                <wp:positionH relativeFrom="column">
                  <wp:posOffset>726440</wp:posOffset>
                </wp:positionH>
                <wp:positionV relativeFrom="paragraph">
                  <wp:posOffset>112395</wp:posOffset>
                </wp:positionV>
                <wp:extent cx="5067300" cy="47625"/>
                <wp:effectExtent l="0" t="19050" r="38100" b="4762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67300" cy="47625"/>
                        </a:xfrm>
                        <a:prstGeom prst="straightConnector1">
                          <a:avLst/>
                        </a:prstGeom>
                        <a:noFill/>
                        <a:ln w="635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E0938FC" id="_x0000_t32" coordsize="21600,21600" o:spt="32" o:oned="t" path="m,l21600,21600e" filled="f">
                <v:path arrowok="t" fillok="f" o:connecttype="none"/>
                <o:lock v:ext="edit" shapetype="t"/>
              </v:shapetype>
              <v:shape id="Conector recto de flecha 5" o:spid="_x0000_s1026" type="#_x0000_t32" style="position:absolute;margin-left:57.2pt;margin-top:8.85pt;width:399pt;height:3.75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" strokeweight="5pt">
                <v:shadow color="#7f7f7f" opacity=".5" offset="1pt"/>
              </v:shape>
            </w:pict>
          </mc:Fallback>
        </mc:AlternateConten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2731DB" w:rsidRDefault="002731DB" w:rsidP="003679F2">
      <w:pPr>
        <w:pStyle w:val="TITO10"/>
      </w:pPr>
      <w:bookmarkStart w:id="200" w:name="_Toc392856199"/>
      <w:bookmarkStart w:id="201" w:name="_Toc399335475"/>
      <w:bookmarkStart w:id="202" w:name="_Toc421025423"/>
    </w:p>
    <w:p w:rsidR="00C50F16" w:rsidRDefault="00C50F16" w:rsidP="003679F2">
      <w:pPr>
        <w:pStyle w:val="TITO10"/>
      </w:pPr>
    </w:p>
    <w:p w:rsidR="00C50F16" w:rsidRDefault="00C50F16" w:rsidP="003679F2">
      <w:pPr>
        <w:pStyle w:val="TITO10"/>
      </w:pPr>
    </w:p>
    <w:p w:rsidR="00C50F16" w:rsidRDefault="00C50F16" w:rsidP="003679F2">
      <w:pPr>
        <w:pStyle w:val="TITO10"/>
      </w:pPr>
    </w:p>
    <w:p w:rsidR="00C50F16" w:rsidRDefault="00C50F16" w:rsidP="003679F2">
      <w:pPr>
        <w:pStyle w:val="TITO10"/>
      </w:pPr>
    </w:p>
    <w:p w:rsidR="00C50F16" w:rsidRDefault="00C50F16" w:rsidP="003679F2">
      <w:pPr>
        <w:pStyle w:val="TITO10"/>
      </w:pPr>
    </w:p>
    <w:p w:rsidR="00C50F16" w:rsidRDefault="00C50F16" w:rsidP="003679F2">
      <w:pPr>
        <w:pStyle w:val="TITO10"/>
      </w:pPr>
    </w:p>
    <w:p w:rsidR="00C50F16" w:rsidRDefault="00C50F16" w:rsidP="003679F2">
      <w:pPr>
        <w:pStyle w:val="TITO10"/>
      </w:pPr>
    </w:p>
    <w:p w:rsidR="00C50F16" w:rsidRDefault="00C50F16" w:rsidP="003679F2">
      <w:pPr>
        <w:pStyle w:val="TITO10"/>
      </w:pPr>
    </w:p>
    <w:p w:rsidR="00C50F16" w:rsidRDefault="00C50F16" w:rsidP="003679F2">
      <w:pPr>
        <w:pStyle w:val="TITO10"/>
      </w:pPr>
    </w:p>
    <w:p w:rsidR="00C50F16" w:rsidRDefault="00C50F16" w:rsidP="003679F2">
      <w:pPr>
        <w:pStyle w:val="TITO10"/>
      </w:pPr>
    </w:p>
    <w:p w:rsidR="00C50F16" w:rsidRDefault="00C50F16" w:rsidP="003679F2">
      <w:pPr>
        <w:pStyle w:val="TITO10"/>
      </w:pPr>
    </w:p>
    <w:p w:rsidR="00C50F16" w:rsidRPr="0042207F" w:rsidRDefault="00C50F16" w:rsidP="0042207F">
      <w:pPr>
        <w:jc w:val="center"/>
        <w:rPr>
          <w:rFonts w:ascii="Arial" w:hAnsi="Arial" w:cs="Arial"/>
          <w:b/>
          <w:sz w:val="28"/>
          <w:szCs w:val="28"/>
        </w:rPr>
      </w:pPr>
      <w:r w:rsidRPr="0042207F">
        <w:rPr>
          <w:rFonts w:ascii="Arial" w:hAnsi="Arial" w:cs="Arial"/>
          <w:b/>
          <w:sz w:val="28"/>
          <w:szCs w:val="28"/>
        </w:rPr>
        <w:t xml:space="preserve">RESOLUCION N° </w:t>
      </w:r>
      <w:r w:rsidR="0042207F" w:rsidRPr="0042207F">
        <w:rPr>
          <w:rFonts w:ascii="Arial" w:hAnsi="Arial" w:cs="Arial"/>
          <w:b/>
          <w:sz w:val="28"/>
          <w:szCs w:val="28"/>
        </w:rPr>
        <w:t>077-2015/SBN</w:t>
      </w:r>
    </w:p>
    <w:p w:rsidR="00C50F16" w:rsidRDefault="00C50F16" w:rsidP="00C50F16">
      <w:pPr>
        <w:pStyle w:val="Textopredeterminado"/>
        <w:widowControl/>
        <w:jc w:val="both"/>
        <w:rPr>
          <w:rFonts w:ascii="Arial" w:hAnsi="Arial" w:cs="Arial"/>
          <w:sz w:val="22"/>
          <w:szCs w:val="22"/>
          <w:lang w:val="es-ES_tradnl"/>
        </w:rPr>
      </w:pPr>
    </w:p>
    <w:p w:rsidR="0042207F" w:rsidRPr="0042207F" w:rsidRDefault="0042207F" w:rsidP="0042207F">
      <w:pPr>
        <w:pStyle w:val="Textopredeterminado"/>
        <w:widowControl/>
        <w:jc w:val="right"/>
        <w:rPr>
          <w:rFonts w:ascii="Arial" w:hAnsi="Arial" w:cs="Arial"/>
          <w:b/>
          <w:sz w:val="22"/>
          <w:szCs w:val="22"/>
          <w:lang w:val="es-ES_tradnl"/>
        </w:rPr>
      </w:pPr>
      <w:r w:rsidRPr="0042207F">
        <w:rPr>
          <w:rFonts w:ascii="Arial" w:hAnsi="Arial" w:cs="Arial"/>
          <w:b/>
          <w:sz w:val="22"/>
          <w:szCs w:val="22"/>
          <w:lang w:val="es-ES_tradnl"/>
        </w:rPr>
        <w:t>Fecha de publicación: 27-11-2015</w:t>
      </w:r>
    </w:p>
    <w:p w:rsidR="00C50F16" w:rsidRDefault="00C50F16" w:rsidP="00C50F16">
      <w:pPr>
        <w:pStyle w:val="Textopredeterminado"/>
        <w:widowControl/>
        <w:jc w:val="both"/>
        <w:rPr>
          <w:rFonts w:ascii="Arial" w:hAnsi="Arial" w:cs="Arial"/>
          <w:sz w:val="22"/>
          <w:szCs w:val="22"/>
          <w:lang w:val="es-ES_tradnl"/>
        </w:rPr>
      </w:pPr>
    </w:p>
    <w:p w:rsidR="00C50F16" w:rsidRPr="00C50F16" w:rsidRDefault="00C50F16" w:rsidP="00C50F16">
      <w:pPr>
        <w:pStyle w:val="Textopredeterminado"/>
        <w:widowControl/>
        <w:jc w:val="both"/>
        <w:rPr>
          <w:rFonts w:ascii="Arial" w:hAnsi="Arial" w:cs="Arial"/>
          <w:sz w:val="22"/>
          <w:szCs w:val="22"/>
          <w:lang w:val="es-ES_tradnl"/>
        </w:rPr>
      </w:pPr>
      <w:r w:rsidRPr="00C50F16">
        <w:rPr>
          <w:rFonts w:ascii="Arial" w:hAnsi="Arial" w:cs="Arial"/>
          <w:sz w:val="22"/>
          <w:szCs w:val="22"/>
          <w:lang w:val="es-ES_tradnl"/>
        </w:rPr>
        <w:t>San Isidro, 26 de noviembre de 2015</w:t>
      </w:r>
    </w:p>
    <w:p w:rsidR="00C50F16" w:rsidRPr="00C50F16" w:rsidRDefault="00C50F16" w:rsidP="00C50F16">
      <w:pPr>
        <w:pStyle w:val="Textopredeterminado"/>
        <w:widowControl/>
        <w:jc w:val="both"/>
        <w:rPr>
          <w:rFonts w:ascii="Arial" w:hAnsi="Arial" w:cs="Arial"/>
          <w:sz w:val="22"/>
          <w:szCs w:val="22"/>
          <w:lang w:val="es-ES_tradnl"/>
        </w:rPr>
      </w:pPr>
    </w:p>
    <w:p w:rsidR="00C50F16" w:rsidRPr="00C50F16" w:rsidRDefault="00C50F16" w:rsidP="00C50F16">
      <w:pPr>
        <w:pStyle w:val="Textopredeterminado"/>
        <w:widowControl/>
        <w:jc w:val="both"/>
        <w:rPr>
          <w:rFonts w:ascii="Arial" w:hAnsi="Arial" w:cs="Arial"/>
          <w:b/>
          <w:sz w:val="22"/>
          <w:szCs w:val="22"/>
          <w:lang w:val="es-ES_tradnl"/>
        </w:rPr>
      </w:pPr>
      <w:r w:rsidRPr="00C50F16">
        <w:rPr>
          <w:rFonts w:ascii="Arial" w:hAnsi="Arial" w:cs="Arial"/>
          <w:b/>
          <w:sz w:val="22"/>
          <w:szCs w:val="22"/>
          <w:lang w:val="es-ES_tradnl"/>
        </w:rPr>
        <w:t>VISTO:</w:t>
      </w:r>
    </w:p>
    <w:p w:rsidR="00C50F16" w:rsidRPr="00C50F16" w:rsidRDefault="00C50F16" w:rsidP="00C50F16">
      <w:pPr>
        <w:pStyle w:val="Textopredeterminado"/>
        <w:widowControl/>
        <w:jc w:val="both"/>
        <w:rPr>
          <w:rFonts w:ascii="Arial" w:hAnsi="Arial" w:cs="Arial"/>
          <w:sz w:val="22"/>
          <w:szCs w:val="22"/>
          <w:lang w:val="es-ES_tradnl"/>
        </w:rPr>
      </w:pPr>
    </w:p>
    <w:p w:rsidR="00C50F16" w:rsidRPr="00C50F16" w:rsidRDefault="00C50F16" w:rsidP="00C50F16">
      <w:pPr>
        <w:pStyle w:val="Textopredeterminado"/>
        <w:widowControl/>
        <w:jc w:val="both"/>
        <w:rPr>
          <w:rFonts w:ascii="Arial" w:hAnsi="Arial" w:cs="Arial"/>
          <w:sz w:val="22"/>
          <w:szCs w:val="22"/>
          <w:lang w:val="es-ES_tradnl"/>
        </w:rPr>
      </w:pPr>
      <w:r w:rsidRPr="00C50F16">
        <w:rPr>
          <w:rFonts w:ascii="Arial" w:hAnsi="Arial" w:cs="Arial"/>
          <w:sz w:val="22"/>
          <w:szCs w:val="22"/>
          <w:lang w:val="es-ES_tradnl"/>
        </w:rPr>
        <w:t>El Informe Nº 176-2015/SBN-DNR-SDNC de fecha 13 de octubre de 2015, de la Subdirección de Normas y Capacitación; y el Informe Nº 127-2015/SBN-DNR de fecha 25 de noviembre de 2015, de la Dirección de Normas y Registro; y,</w:t>
      </w:r>
    </w:p>
    <w:p w:rsidR="00C50F16" w:rsidRPr="00C50F16" w:rsidRDefault="00C50F16" w:rsidP="00C50F16">
      <w:pPr>
        <w:pStyle w:val="Textopredeterminado"/>
        <w:widowControl/>
        <w:jc w:val="both"/>
        <w:rPr>
          <w:rFonts w:ascii="Arial" w:hAnsi="Arial" w:cs="Arial"/>
          <w:sz w:val="22"/>
          <w:szCs w:val="22"/>
          <w:lang w:val="es-ES_tradnl"/>
        </w:rPr>
      </w:pPr>
    </w:p>
    <w:p w:rsidR="00C50F16" w:rsidRPr="00C50F16" w:rsidRDefault="00C50F16" w:rsidP="00C50F16">
      <w:pPr>
        <w:pStyle w:val="Textopredeterminado"/>
        <w:widowControl/>
        <w:jc w:val="both"/>
        <w:rPr>
          <w:rFonts w:ascii="Arial" w:hAnsi="Arial" w:cs="Arial"/>
          <w:b/>
          <w:bCs/>
          <w:sz w:val="22"/>
          <w:szCs w:val="22"/>
          <w:lang w:val="es-ES_tradnl"/>
        </w:rPr>
      </w:pPr>
      <w:r w:rsidRPr="00C50F16">
        <w:rPr>
          <w:rFonts w:ascii="Arial" w:hAnsi="Arial" w:cs="Arial"/>
          <w:b/>
          <w:bCs/>
          <w:sz w:val="22"/>
          <w:szCs w:val="22"/>
          <w:lang w:val="es-ES_tradnl"/>
        </w:rPr>
        <w:t>CONSIDERANDO:</w:t>
      </w:r>
    </w:p>
    <w:p w:rsidR="00C50F16" w:rsidRPr="00C50F16" w:rsidRDefault="00C50F16" w:rsidP="00C50F16">
      <w:pPr>
        <w:pStyle w:val="Textopredeterminado"/>
        <w:widowControl/>
        <w:jc w:val="both"/>
        <w:rPr>
          <w:rFonts w:ascii="Arial" w:hAnsi="Arial" w:cs="Arial"/>
          <w:b/>
          <w:bCs/>
          <w:sz w:val="22"/>
          <w:szCs w:val="22"/>
          <w:lang w:val="es-ES_tradnl"/>
        </w:rPr>
      </w:pPr>
    </w:p>
    <w:p w:rsidR="00C50F16" w:rsidRPr="00C50F16" w:rsidRDefault="00C50F16" w:rsidP="00C50F16">
      <w:pPr>
        <w:spacing w:after="0" w:line="240" w:lineRule="auto"/>
        <w:jc w:val="both"/>
        <w:rPr>
          <w:rFonts w:ascii="Arial" w:hAnsi="Arial" w:cs="Arial"/>
        </w:rPr>
      </w:pPr>
      <w:r w:rsidRPr="00C50F16">
        <w:rPr>
          <w:rFonts w:ascii="Arial" w:hAnsi="Arial" w:cs="Arial"/>
        </w:rPr>
        <w:t xml:space="preserve">Que, la Superintendencia Nacional de Bienes Estatales - SBN es un organismo público ejecutor, adscrito al Ministerio de Vivienda, Construcción y Saneamiento, y el Ente Rector del Sistema Nacional de Bienes Estatales, responsable de normar los actos de adquisición, disposición, administración y supervisión de los bienes estatales, así como de ejecutar dichos actos respecto de los bienes cuya administración está a su cargo, de acuerdo a la normatividad vigente, gozando de autonomía económica, presupuestal, financiera, técnica y funcional, de conformidad a lo establecido en la Ley Nº 29151, Ley General del Sistema Nacional de Bienes Estatales, su modificatoria, y su Reglamento, aprobado por el Decreto Supremo Nº 007-2008-VIVIENDA;  </w:t>
      </w:r>
    </w:p>
    <w:p w:rsidR="00C50F16" w:rsidRPr="00C50F16" w:rsidRDefault="00C50F16" w:rsidP="00C50F16">
      <w:pPr>
        <w:pStyle w:val="Textopredeterminado"/>
        <w:widowControl/>
        <w:jc w:val="both"/>
        <w:rPr>
          <w:rFonts w:ascii="Arial" w:hAnsi="Arial" w:cs="Arial"/>
          <w:sz w:val="22"/>
          <w:szCs w:val="22"/>
        </w:rPr>
      </w:pPr>
    </w:p>
    <w:p w:rsidR="00C50F16" w:rsidRPr="00C50F16" w:rsidRDefault="00C50F16" w:rsidP="00C50F16">
      <w:pPr>
        <w:pStyle w:val="Textopredeterminado"/>
        <w:widowControl/>
        <w:jc w:val="both"/>
        <w:rPr>
          <w:rFonts w:ascii="Arial" w:hAnsi="Arial" w:cs="Arial"/>
          <w:sz w:val="22"/>
          <w:szCs w:val="22"/>
        </w:rPr>
      </w:pPr>
      <w:r w:rsidRPr="00C50F16">
        <w:rPr>
          <w:rFonts w:ascii="Arial" w:hAnsi="Arial" w:cs="Arial"/>
          <w:sz w:val="22"/>
          <w:szCs w:val="22"/>
        </w:rPr>
        <w:t>Que, el artículo 24º de la Ley Nº 29151, Ley General del Sistema Nacional de Bienes Estatales, incorporado a través de la Ley Nº 30047, establece que los funcionarios y servidores encargados de las actividades relativas a la gestión de bienes estatales, que en razón de sus funciones, intervienen directamente en la aplicación de la Ley Nº 29151, su Reglamento aprobado por el Decreto Supremo Nº 007-2008-VIVIENDA, así como a las normas emitidas y que emita la Superintendencia Nacional de Bienes Estatales, deben ser profesionales y técnicos debidamente certificados;</w:t>
      </w:r>
    </w:p>
    <w:p w:rsidR="00C50F16" w:rsidRPr="00C50F16" w:rsidRDefault="00C50F16" w:rsidP="00C50F16">
      <w:pPr>
        <w:pStyle w:val="Textopredeterminado"/>
        <w:widowControl/>
        <w:jc w:val="both"/>
        <w:rPr>
          <w:rFonts w:ascii="Arial" w:hAnsi="Arial" w:cs="Arial"/>
          <w:sz w:val="22"/>
          <w:szCs w:val="22"/>
        </w:rPr>
      </w:pPr>
    </w:p>
    <w:p w:rsidR="00C50F16" w:rsidRPr="00C50F16" w:rsidRDefault="00C50F16" w:rsidP="00C50F16">
      <w:pPr>
        <w:pStyle w:val="Textopredeterminado"/>
        <w:widowControl/>
        <w:jc w:val="both"/>
        <w:rPr>
          <w:rFonts w:ascii="Arial" w:hAnsi="Arial" w:cs="Arial"/>
          <w:sz w:val="22"/>
          <w:szCs w:val="22"/>
        </w:rPr>
      </w:pPr>
      <w:r w:rsidRPr="00C50F16">
        <w:rPr>
          <w:rFonts w:ascii="Arial" w:hAnsi="Arial" w:cs="Arial"/>
          <w:sz w:val="22"/>
          <w:szCs w:val="22"/>
        </w:rPr>
        <w:t xml:space="preserve">Que, mediante </w:t>
      </w:r>
      <w:r w:rsidRPr="00C50F16">
        <w:rPr>
          <w:rFonts w:ascii="Arial" w:hAnsi="Arial" w:cs="Arial"/>
          <w:sz w:val="22"/>
          <w:szCs w:val="22"/>
          <w:lang w:val="es-ES_tradnl"/>
        </w:rPr>
        <w:t>los informes del visto, la Subdirección de Normas y Capacitación de la Dirección de Normas y Registro</w:t>
      </w:r>
      <w:r w:rsidRPr="00C50F16">
        <w:rPr>
          <w:rFonts w:ascii="Arial" w:hAnsi="Arial" w:cs="Arial"/>
          <w:sz w:val="22"/>
          <w:szCs w:val="22"/>
        </w:rPr>
        <w:t xml:space="preserve"> ha elaborado la propuesta de directiva denominada “Procedimientos para la Capacitación y Certificación de Profesionales y Técnicos en la Gestión de Bienes Estatales”, con la finalidad de fortalecer las capacidades y conocimientos de los profesionales y técnicos que intervienen en la adquisición, administración, disposición, supervisión y registro de los bienes estatales; así como, acreditar a los profesionales y técnicos que intervienen directamente en la aplicación de las normas del Sistema Nacional de Bienes Estatales;</w:t>
      </w:r>
    </w:p>
    <w:p w:rsidR="00C50F16" w:rsidRPr="00C50F16" w:rsidRDefault="00C50F16" w:rsidP="00C50F16">
      <w:pPr>
        <w:pStyle w:val="Textopredeterminado"/>
        <w:widowControl/>
        <w:jc w:val="both"/>
        <w:rPr>
          <w:rFonts w:ascii="Arial" w:hAnsi="Arial" w:cs="Arial"/>
          <w:sz w:val="22"/>
          <w:szCs w:val="22"/>
        </w:rPr>
      </w:pPr>
    </w:p>
    <w:p w:rsidR="00C50F16" w:rsidRPr="00C50F16" w:rsidRDefault="00C50F16" w:rsidP="00C50F16">
      <w:pPr>
        <w:spacing w:after="0" w:line="240" w:lineRule="auto"/>
        <w:jc w:val="both"/>
        <w:rPr>
          <w:rFonts w:ascii="Arial" w:hAnsi="Arial" w:cs="Arial"/>
        </w:rPr>
      </w:pPr>
      <w:r w:rsidRPr="00C50F16">
        <w:rPr>
          <w:rFonts w:ascii="Arial" w:hAnsi="Arial" w:cs="Arial"/>
        </w:rPr>
        <w:t>Que, en tal sentido, resulta necesario aprobar la directiva para: i) establecer el procedimiento de capacitación que desarrolla la SBN a los profesionales y técnicos en la gestión de bienes estatales; y, ii) regular el procedimiento de certificación de profesionales y técnicos que intervendrán directamente en la aplicación de los normas del Sistema Nacional de Bienes Estatales;</w:t>
      </w:r>
    </w:p>
    <w:p w:rsidR="00C50F16" w:rsidRPr="00C50F16" w:rsidRDefault="00C50F16" w:rsidP="00C50F16">
      <w:pPr>
        <w:framePr w:hSpace="141" w:wrap="around" w:vAnchor="text" w:hAnchor="text" w:y="1"/>
        <w:spacing w:after="0" w:line="240" w:lineRule="auto"/>
        <w:ind w:left="540" w:hanging="540"/>
        <w:suppressOverlap/>
        <w:jc w:val="both"/>
        <w:rPr>
          <w:rFonts w:ascii="Arial" w:hAnsi="Arial" w:cs="Arial"/>
          <w:sz w:val="16"/>
          <w:szCs w:val="16"/>
        </w:rPr>
      </w:pPr>
    </w:p>
    <w:p w:rsidR="00C50F16" w:rsidRPr="00C50F16" w:rsidRDefault="00C50F16" w:rsidP="00C50F1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rFonts w:ascii="Arial" w:hAnsi="Arial" w:cs="Arial"/>
        </w:rPr>
      </w:pPr>
    </w:p>
    <w:p w:rsidR="00C50F16" w:rsidRPr="00C50F16" w:rsidRDefault="00C50F16" w:rsidP="00C50F1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rFonts w:ascii="Arial" w:hAnsi="Arial" w:cs="Arial"/>
        </w:rPr>
      </w:pPr>
      <w:r w:rsidRPr="00C50F16">
        <w:rPr>
          <w:rFonts w:ascii="Arial" w:hAnsi="Arial" w:cs="Arial"/>
        </w:rPr>
        <w:t>Con los visados de la Secretaría General, la Dirección de Normas y Registro, la Oficina de Planeamiento y Presupuesto, y la Oficina de Asesoría Jurídica, y;</w:t>
      </w:r>
    </w:p>
    <w:p w:rsidR="00C50F16" w:rsidRPr="00C50F16" w:rsidRDefault="00C50F16" w:rsidP="00C50F1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rFonts w:ascii="Arial" w:hAnsi="Arial" w:cs="Arial"/>
        </w:rPr>
      </w:pPr>
    </w:p>
    <w:p w:rsidR="00C50F16" w:rsidRPr="00C50F16" w:rsidRDefault="00C50F16" w:rsidP="00C50F16">
      <w:pPr>
        <w:pStyle w:val="Textoindependiente2"/>
        <w:spacing w:after="0" w:line="240" w:lineRule="auto"/>
        <w:jc w:val="both"/>
        <w:rPr>
          <w:rFonts w:ascii="Arial" w:hAnsi="Arial" w:cs="Arial"/>
          <w:b/>
          <w:sz w:val="22"/>
          <w:szCs w:val="22"/>
        </w:rPr>
      </w:pPr>
      <w:r w:rsidRPr="00C50F16">
        <w:rPr>
          <w:rFonts w:ascii="Arial" w:hAnsi="Arial" w:cs="Arial"/>
          <w:sz w:val="22"/>
          <w:szCs w:val="22"/>
        </w:rPr>
        <w:t>De conformidad con lo establecido en el artículo 24º de la Ley Nº 29151, Ley General del Sistema Nacional de Bienes Estatales; y, en uso de las funciones previstas en los incisos b) y r) del artículo 11º del Reglamento de Organización y Funciones de la Superintendencia Nacional de Bienes Estatales – SBN, aprobado por el Decreto Supremo Nº 016-2010-VIVIENDA;</w:t>
      </w:r>
      <w:r w:rsidRPr="00C50F16">
        <w:rPr>
          <w:rFonts w:ascii="Arial" w:hAnsi="Arial" w:cs="Arial"/>
          <w:b/>
          <w:sz w:val="22"/>
          <w:szCs w:val="22"/>
        </w:rPr>
        <w:t xml:space="preserve"> </w:t>
      </w:r>
    </w:p>
    <w:p w:rsidR="00C50F16" w:rsidRPr="00C50F16" w:rsidRDefault="00C50F16" w:rsidP="00C50F16">
      <w:pPr>
        <w:pStyle w:val="Textopredeterminado"/>
        <w:widowControl/>
        <w:jc w:val="both"/>
        <w:rPr>
          <w:rFonts w:ascii="Arial" w:hAnsi="Arial" w:cs="Arial"/>
          <w:sz w:val="22"/>
          <w:szCs w:val="22"/>
          <w:lang w:val="es-ES_tradnl"/>
        </w:rPr>
      </w:pPr>
      <w:r w:rsidRPr="00C50F16">
        <w:rPr>
          <w:rFonts w:ascii="Arial" w:hAnsi="Arial" w:cs="Arial"/>
          <w:sz w:val="22"/>
          <w:szCs w:val="22"/>
          <w:lang w:val="es-ES_tradnl"/>
        </w:rPr>
        <w:t xml:space="preserve">                                                </w:t>
      </w:r>
    </w:p>
    <w:p w:rsidR="00004DBE" w:rsidRDefault="00004DBE" w:rsidP="00C50F16">
      <w:pPr>
        <w:pStyle w:val="Textopredeterminad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s>
        <w:jc w:val="both"/>
        <w:rPr>
          <w:rFonts w:ascii="Arial" w:hAnsi="Arial" w:cs="Arial"/>
          <w:b/>
          <w:sz w:val="22"/>
          <w:szCs w:val="22"/>
          <w:lang w:val="es-ES"/>
        </w:rPr>
      </w:pPr>
    </w:p>
    <w:p w:rsidR="00004DBE" w:rsidRDefault="00004DBE" w:rsidP="00C50F16">
      <w:pPr>
        <w:pStyle w:val="Textopredeterminad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s>
        <w:jc w:val="both"/>
        <w:rPr>
          <w:rFonts w:ascii="Arial" w:hAnsi="Arial" w:cs="Arial"/>
          <w:b/>
          <w:sz w:val="22"/>
          <w:szCs w:val="22"/>
          <w:lang w:val="es-ES"/>
        </w:rPr>
      </w:pPr>
    </w:p>
    <w:p w:rsidR="00004DBE" w:rsidRDefault="00004DBE" w:rsidP="00C50F16">
      <w:pPr>
        <w:pStyle w:val="Textopredeterminad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s>
        <w:jc w:val="both"/>
        <w:rPr>
          <w:rFonts w:ascii="Arial" w:hAnsi="Arial" w:cs="Arial"/>
          <w:b/>
          <w:sz w:val="22"/>
          <w:szCs w:val="22"/>
          <w:lang w:val="es-ES"/>
        </w:rPr>
      </w:pPr>
    </w:p>
    <w:p w:rsidR="00C50F16" w:rsidRPr="00C50F16" w:rsidRDefault="00C50F16" w:rsidP="00C50F16">
      <w:pPr>
        <w:pStyle w:val="Textopredeterminad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s>
        <w:jc w:val="both"/>
        <w:rPr>
          <w:rFonts w:ascii="Arial" w:hAnsi="Arial" w:cs="Arial"/>
          <w:b/>
          <w:sz w:val="22"/>
          <w:szCs w:val="22"/>
          <w:lang w:val="es-ES"/>
        </w:rPr>
      </w:pPr>
      <w:r w:rsidRPr="00C50F16">
        <w:rPr>
          <w:rFonts w:ascii="Arial" w:hAnsi="Arial" w:cs="Arial"/>
          <w:b/>
          <w:sz w:val="22"/>
          <w:szCs w:val="22"/>
          <w:lang w:val="es-ES"/>
        </w:rPr>
        <w:t>SE RESUELVE:</w:t>
      </w:r>
    </w:p>
    <w:p w:rsidR="00C50F16" w:rsidRPr="00C50F16" w:rsidRDefault="00C50F16" w:rsidP="00C50F16">
      <w:pPr>
        <w:pStyle w:val="Textopredeterminad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s>
        <w:jc w:val="both"/>
        <w:rPr>
          <w:rFonts w:ascii="Arial" w:hAnsi="Arial" w:cs="Arial"/>
          <w:b/>
          <w:sz w:val="22"/>
          <w:szCs w:val="22"/>
          <w:lang w:val="es-ES"/>
        </w:rPr>
      </w:pPr>
    </w:p>
    <w:p w:rsidR="00C50F16" w:rsidRPr="00C50F16" w:rsidRDefault="00C50F16" w:rsidP="00C50F1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rFonts w:ascii="Arial" w:hAnsi="Arial" w:cs="Arial"/>
        </w:rPr>
      </w:pPr>
      <w:r w:rsidRPr="00C50F16">
        <w:rPr>
          <w:rFonts w:ascii="Arial" w:hAnsi="Arial" w:cs="Arial"/>
          <w:b/>
        </w:rPr>
        <w:t>Artículo 1º.-</w:t>
      </w:r>
      <w:r w:rsidRPr="00C50F16">
        <w:rPr>
          <w:rFonts w:ascii="Arial" w:hAnsi="Arial" w:cs="Arial"/>
          <w:highlight w:val="white"/>
        </w:rPr>
        <w:t xml:space="preserve"> </w:t>
      </w:r>
      <w:r w:rsidRPr="00C50F16">
        <w:rPr>
          <w:rFonts w:ascii="Arial" w:hAnsi="Arial" w:cs="Arial"/>
        </w:rPr>
        <w:t xml:space="preserve">Aprobar la Directiva Nº 003-2015/SBN, denominada “Procedimientos para la Capacitación y Certificación de Profesionales y Técnicos en la Gestión de Bienes Estatales”. </w:t>
      </w:r>
    </w:p>
    <w:p w:rsidR="00C50F16" w:rsidRPr="00C50F16" w:rsidRDefault="00C50F16" w:rsidP="00C50F1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rFonts w:ascii="Arial" w:hAnsi="Arial" w:cs="Arial"/>
        </w:rPr>
      </w:pPr>
    </w:p>
    <w:p w:rsidR="00C50F16" w:rsidRPr="00C50F16" w:rsidRDefault="00C50F16" w:rsidP="00C50F1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rFonts w:ascii="Arial" w:hAnsi="Arial" w:cs="Arial"/>
        </w:rPr>
      </w:pPr>
      <w:r w:rsidRPr="00C50F16">
        <w:rPr>
          <w:rFonts w:ascii="Arial" w:hAnsi="Arial" w:cs="Arial"/>
          <w:b/>
        </w:rPr>
        <w:t xml:space="preserve">Artículo 2º.- </w:t>
      </w:r>
      <w:r w:rsidRPr="00C50F16">
        <w:rPr>
          <w:rFonts w:ascii="Arial" w:hAnsi="Arial" w:cs="Arial"/>
        </w:rPr>
        <w:t xml:space="preserve">Las disposiciones de la Directiva Nº 003-2015/SBN, entrarán en vigencia a partir del día siguiente de la publicación de la presente Resolución en el Diario Oficial El Peruano. </w:t>
      </w:r>
    </w:p>
    <w:p w:rsidR="00C50F16" w:rsidRPr="00C50F16" w:rsidRDefault="00C50F16" w:rsidP="00C50F1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rFonts w:ascii="Arial" w:hAnsi="Arial" w:cs="Arial"/>
        </w:rPr>
      </w:pPr>
    </w:p>
    <w:p w:rsidR="00C50F16" w:rsidRPr="00C50F16" w:rsidRDefault="00C50F16" w:rsidP="00C50F1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rFonts w:ascii="Arial" w:hAnsi="Arial" w:cs="Arial"/>
          <w:b/>
        </w:rPr>
      </w:pPr>
      <w:r w:rsidRPr="00C50F16">
        <w:rPr>
          <w:rFonts w:ascii="Arial" w:hAnsi="Arial" w:cs="Arial"/>
          <w:b/>
        </w:rPr>
        <w:t xml:space="preserve">Artículo 3º.- </w:t>
      </w:r>
      <w:r w:rsidRPr="00C50F16">
        <w:rPr>
          <w:rFonts w:ascii="Arial" w:hAnsi="Arial" w:cs="Arial"/>
        </w:rPr>
        <w:t>Derogar la Directiva 007-2014/SBN, aprobada por la Resolución N° 066-2014/SBN de fecha 15 de setiembre de 2014.</w:t>
      </w:r>
      <w:r w:rsidRPr="00C50F16">
        <w:rPr>
          <w:rFonts w:ascii="Arial" w:hAnsi="Arial" w:cs="Arial"/>
          <w:b/>
        </w:rPr>
        <w:t xml:space="preserve"> </w:t>
      </w:r>
    </w:p>
    <w:p w:rsidR="00C50F16" w:rsidRPr="00C50F16" w:rsidRDefault="00C50F16" w:rsidP="00C50F1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rFonts w:ascii="Arial" w:hAnsi="Arial" w:cs="Arial"/>
          <w:b/>
        </w:rPr>
      </w:pPr>
    </w:p>
    <w:p w:rsidR="00C50F16" w:rsidRPr="00C50F16" w:rsidRDefault="00C50F16" w:rsidP="00C50F1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rFonts w:ascii="Arial" w:hAnsi="Arial" w:cs="Arial"/>
        </w:rPr>
      </w:pPr>
      <w:r w:rsidRPr="00C50F16">
        <w:rPr>
          <w:rFonts w:ascii="Arial" w:hAnsi="Arial" w:cs="Arial"/>
          <w:b/>
        </w:rPr>
        <w:t xml:space="preserve">Artículo 4°.- </w:t>
      </w:r>
      <w:r w:rsidRPr="00C50F16">
        <w:rPr>
          <w:rFonts w:ascii="Arial" w:hAnsi="Arial" w:cs="Arial"/>
        </w:rPr>
        <w:t xml:space="preserve">Encargar a la Oficina de Administración y Finanzas la publicación de la Directiva Nº 003-2015/SBN y la presente Resolución en la página web </w:t>
      </w:r>
      <w:r w:rsidRPr="00C50F16">
        <w:rPr>
          <w:rFonts w:ascii="Arial" w:hAnsi="Arial" w:cs="Arial"/>
          <w:color w:val="000000" w:themeColor="text1"/>
        </w:rPr>
        <w:t>(</w:t>
      </w:r>
      <w:hyperlink r:id="rId16" w:history="1">
        <w:r w:rsidRPr="00C50F16">
          <w:rPr>
            <w:rStyle w:val="Hipervnculo"/>
            <w:rFonts w:ascii="Arial" w:hAnsi="Arial" w:cs="Arial"/>
            <w:color w:val="000000" w:themeColor="text1"/>
          </w:rPr>
          <w:t>www.sbn.gob.pe</w:t>
        </w:r>
      </w:hyperlink>
      <w:r w:rsidRPr="00C50F16">
        <w:rPr>
          <w:rFonts w:ascii="Arial" w:hAnsi="Arial" w:cs="Arial"/>
          <w:color w:val="000000" w:themeColor="text1"/>
        </w:rPr>
        <w:t>) y en la intranet institucional</w:t>
      </w:r>
      <w:r w:rsidRPr="00C50F16">
        <w:rPr>
          <w:rFonts w:ascii="Arial" w:hAnsi="Arial" w:cs="Arial"/>
        </w:rPr>
        <w:t>.</w:t>
      </w:r>
    </w:p>
    <w:p w:rsidR="00C50F16" w:rsidRPr="00C50F16" w:rsidRDefault="00C50F16" w:rsidP="00C50F1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rFonts w:ascii="Arial" w:hAnsi="Arial" w:cs="Arial"/>
          <w:b/>
        </w:rPr>
      </w:pPr>
    </w:p>
    <w:p w:rsidR="00C50F16" w:rsidRPr="00C50F16" w:rsidRDefault="00C50F16" w:rsidP="00C50F1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rFonts w:ascii="Arial" w:hAnsi="Arial" w:cs="Arial"/>
          <w:lang w:val="es-ES_tradnl"/>
        </w:rPr>
      </w:pPr>
      <w:r w:rsidRPr="00C50F16">
        <w:rPr>
          <w:rFonts w:ascii="Arial" w:hAnsi="Arial" w:cs="Arial"/>
          <w:b/>
        </w:rPr>
        <w:t>Regístrese, comuníquese y publíquese.</w:t>
      </w:r>
    </w:p>
    <w:p w:rsidR="00C50F16" w:rsidRDefault="00C50F16" w:rsidP="00C50F16"/>
    <w:p w:rsidR="0042207F" w:rsidRPr="00B01FF7" w:rsidRDefault="0042207F" w:rsidP="00B01FF7">
      <w:pPr>
        <w:spacing w:after="0" w:line="240" w:lineRule="auto"/>
        <w:jc w:val="center"/>
        <w:rPr>
          <w:rFonts w:ascii="Arial" w:hAnsi="Arial" w:cs="Arial"/>
          <w:b/>
        </w:rPr>
      </w:pPr>
      <w:r w:rsidRPr="00B01FF7">
        <w:rPr>
          <w:rFonts w:ascii="Arial" w:hAnsi="Arial" w:cs="Arial"/>
          <w:b/>
        </w:rPr>
        <w:t>JOSE LUIS PAIRAZAMAN TORRES</w:t>
      </w:r>
    </w:p>
    <w:p w:rsidR="0042207F" w:rsidRPr="00B01FF7" w:rsidRDefault="0042207F" w:rsidP="00B01FF7">
      <w:pPr>
        <w:spacing w:after="0" w:line="240" w:lineRule="auto"/>
        <w:jc w:val="center"/>
        <w:rPr>
          <w:rFonts w:ascii="Arial" w:hAnsi="Arial" w:cs="Arial"/>
          <w:b/>
        </w:rPr>
      </w:pPr>
      <w:r w:rsidRPr="00B01FF7">
        <w:rPr>
          <w:rFonts w:ascii="Arial" w:hAnsi="Arial" w:cs="Arial"/>
          <w:b/>
        </w:rPr>
        <w:t>SUPERINTENDENTE</w:t>
      </w:r>
    </w:p>
    <w:p w:rsidR="0042207F" w:rsidRDefault="0042207F" w:rsidP="0042207F">
      <w:pPr>
        <w:spacing w:after="0" w:line="240" w:lineRule="auto"/>
        <w:jc w:val="center"/>
        <w:rPr>
          <w:b/>
        </w:rPr>
      </w:pPr>
    </w:p>
    <w:p w:rsidR="0042207F" w:rsidRDefault="0042207F" w:rsidP="0042207F">
      <w:pPr>
        <w:pStyle w:val="TITO2"/>
      </w:pPr>
      <w:bookmarkStart w:id="203" w:name="_Toc470855523"/>
      <w:r>
        <w:t>DIRECTIVA</w:t>
      </w:r>
      <w:r w:rsidRPr="00651D0D">
        <w:t xml:space="preserve"> Nº </w:t>
      </w:r>
      <w:r>
        <w:t>003</w:t>
      </w:r>
      <w:r w:rsidRPr="00651D0D">
        <w:t>-2015/SBN</w:t>
      </w:r>
      <w:bookmarkEnd w:id="203"/>
    </w:p>
    <w:p w:rsidR="0042207F" w:rsidRPr="001740F0" w:rsidRDefault="0042207F" w:rsidP="0042207F">
      <w:pPr>
        <w:pStyle w:val="TITO2"/>
      </w:pPr>
    </w:p>
    <w:p w:rsidR="0042207F" w:rsidRDefault="0042207F" w:rsidP="0042207F">
      <w:pPr>
        <w:jc w:val="center"/>
        <w:rPr>
          <w:rFonts w:ascii="Arial" w:hAnsi="Arial" w:cs="Arial"/>
          <w:b/>
        </w:rPr>
      </w:pPr>
      <w:r w:rsidRPr="0042207F">
        <w:rPr>
          <w:rFonts w:ascii="Arial" w:hAnsi="Arial" w:cs="Arial"/>
          <w:b/>
        </w:rPr>
        <w:t>PROCEDIMIENTOS PARA LA CAPACITACIÓN Y CERTIFICACIÓN DE PROFESIONALES Y TÉCNICOS EN LA GESTIÓN DE BIENES ESTATALES</w:t>
      </w:r>
    </w:p>
    <w:p w:rsidR="0042207F" w:rsidRPr="00B01FF7" w:rsidRDefault="0042207F" w:rsidP="00B01FF7">
      <w:pPr>
        <w:spacing w:after="0" w:line="240" w:lineRule="auto"/>
        <w:ind w:left="426" w:hanging="425"/>
        <w:jc w:val="both"/>
        <w:rPr>
          <w:rFonts w:ascii="Arial" w:hAnsi="Arial" w:cs="Arial"/>
          <w:b/>
        </w:rPr>
      </w:pPr>
      <w:r w:rsidRPr="00B01FF7">
        <w:rPr>
          <w:rFonts w:ascii="Arial" w:hAnsi="Arial" w:cs="Arial"/>
          <w:b/>
        </w:rPr>
        <w:t>I.</w:t>
      </w:r>
      <w:r w:rsidRPr="00B01FF7">
        <w:rPr>
          <w:rFonts w:ascii="Arial" w:hAnsi="Arial" w:cs="Arial"/>
          <w:b/>
        </w:rPr>
        <w:tab/>
        <w:t>FINALIDAD</w:t>
      </w:r>
    </w:p>
    <w:p w:rsidR="0042207F" w:rsidRPr="0042207F" w:rsidRDefault="0042207F" w:rsidP="00B01FF7">
      <w:pPr>
        <w:spacing w:after="0" w:line="240" w:lineRule="auto"/>
        <w:jc w:val="both"/>
        <w:rPr>
          <w:rFonts w:ascii="Arial" w:hAnsi="Arial" w:cs="Arial"/>
        </w:rPr>
      </w:pPr>
    </w:p>
    <w:p w:rsidR="0042207F" w:rsidRPr="0042207F" w:rsidRDefault="0042207F" w:rsidP="00B01FF7">
      <w:pPr>
        <w:spacing w:after="0" w:line="240" w:lineRule="auto"/>
        <w:ind w:left="851" w:hanging="425"/>
        <w:jc w:val="both"/>
        <w:rPr>
          <w:rFonts w:ascii="Arial" w:hAnsi="Arial" w:cs="Arial"/>
        </w:rPr>
      </w:pPr>
      <w:r w:rsidRPr="0042207F">
        <w:rPr>
          <w:rFonts w:ascii="Arial" w:hAnsi="Arial" w:cs="Arial"/>
        </w:rPr>
        <w:t xml:space="preserve"> 1.1 Fortalecer las capacidades y conocimientos de los profesionales y   técnicos que intervienen en la adquisición, administración, disposición, supervisión y registro de los bienes estatales.  </w:t>
      </w:r>
    </w:p>
    <w:p w:rsidR="0042207F" w:rsidRPr="0042207F" w:rsidRDefault="0042207F" w:rsidP="00B01FF7">
      <w:pPr>
        <w:spacing w:after="0" w:line="240" w:lineRule="auto"/>
        <w:ind w:left="851" w:hanging="425"/>
        <w:jc w:val="both"/>
        <w:rPr>
          <w:rFonts w:ascii="Arial" w:hAnsi="Arial" w:cs="Arial"/>
        </w:rPr>
      </w:pPr>
    </w:p>
    <w:p w:rsidR="0042207F" w:rsidRPr="0042207F" w:rsidRDefault="0042207F" w:rsidP="00B01FF7">
      <w:pPr>
        <w:spacing w:after="0" w:line="240" w:lineRule="auto"/>
        <w:ind w:left="851" w:hanging="425"/>
        <w:jc w:val="both"/>
        <w:rPr>
          <w:rFonts w:ascii="Arial" w:hAnsi="Arial" w:cs="Arial"/>
        </w:rPr>
      </w:pPr>
      <w:r w:rsidRPr="0042207F">
        <w:rPr>
          <w:rFonts w:ascii="Arial" w:hAnsi="Arial" w:cs="Arial"/>
        </w:rPr>
        <w:t xml:space="preserve"> 1.2 Acreditar a los profesionales y técnicos que intervienen directamente en la aplicación de las normas del SNBE. </w:t>
      </w:r>
    </w:p>
    <w:p w:rsidR="0042207F" w:rsidRPr="0042207F" w:rsidRDefault="0042207F" w:rsidP="00B01FF7">
      <w:pPr>
        <w:spacing w:after="0" w:line="240" w:lineRule="auto"/>
        <w:jc w:val="both"/>
        <w:rPr>
          <w:rFonts w:ascii="Arial" w:hAnsi="Arial" w:cs="Arial"/>
        </w:rPr>
      </w:pPr>
    </w:p>
    <w:p w:rsidR="0042207F" w:rsidRPr="00B01FF7" w:rsidRDefault="0042207F" w:rsidP="00B01FF7">
      <w:pPr>
        <w:spacing w:after="0" w:line="240" w:lineRule="auto"/>
        <w:ind w:left="426" w:hanging="426"/>
        <w:jc w:val="both"/>
        <w:rPr>
          <w:rFonts w:ascii="Arial" w:hAnsi="Arial" w:cs="Arial"/>
          <w:b/>
        </w:rPr>
      </w:pPr>
      <w:r w:rsidRPr="00B01FF7">
        <w:rPr>
          <w:rFonts w:ascii="Arial" w:hAnsi="Arial" w:cs="Arial"/>
          <w:b/>
        </w:rPr>
        <w:t>II.</w:t>
      </w:r>
      <w:r w:rsidRPr="00B01FF7">
        <w:rPr>
          <w:rFonts w:ascii="Arial" w:hAnsi="Arial" w:cs="Arial"/>
          <w:b/>
        </w:rPr>
        <w:tab/>
        <w:t>OBJETIVOS</w:t>
      </w:r>
    </w:p>
    <w:p w:rsidR="0042207F" w:rsidRPr="0042207F" w:rsidRDefault="0042207F" w:rsidP="00B01FF7">
      <w:pPr>
        <w:spacing w:after="0" w:line="240" w:lineRule="auto"/>
        <w:jc w:val="both"/>
        <w:rPr>
          <w:rFonts w:ascii="Arial" w:hAnsi="Arial" w:cs="Arial"/>
        </w:rPr>
      </w:pPr>
    </w:p>
    <w:p w:rsidR="0042207F" w:rsidRPr="0042207F" w:rsidRDefault="0042207F" w:rsidP="00B01FF7">
      <w:pPr>
        <w:spacing w:after="0" w:line="240" w:lineRule="auto"/>
        <w:ind w:left="851" w:hanging="425"/>
        <w:jc w:val="both"/>
        <w:rPr>
          <w:rFonts w:ascii="Arial" w:hAnsi="Arial" w:cs="Arial"/>
        </w:rPr>
      </w:pPr>
      <w:r w:rsidRPr="0042207F">
        <w:rPr>
          <w:rFonts w:ascii="Arial" w:hAnsi="Arial" w:cs="Arial"/>
        </w:rPr>
        <w:t xml:space="preserve"> 2.1 Establecer el procedimiento de capacitación que desarrolla la SBN a los profesionales y técnicos en la gestión de bienes estatales.</w:t>
      </w:r>
    </w:p>
    <w:p w:rsidR="0042207F" w:rsidRPr="0042207F" w:rsidRDefault="0042207F" w:rsidP="00B01FF7">
      <w:pPr>
        <w:spacing w:after="0" w:line="240" w:lineRule="auto"/>
        <w:ind w:left="851" w:hanging="425"/>
        <w:jc w:val="both"/>
        <w:rPr>
          <w:rFonts w:ascii="Arial" w:hAnsi="Arial" w:cs="Arial"/>
        </w:rPr>
      </w:pPr>
    </w:p>
    <w:p w:rsidR="0042207F" w:rsidRPr="0042207F" w:rsidRDefault="0042207F" w:rsidP="00B01FF7">
      <w:pPr>
        <w:spacing w:after="0" w:line="240" w:lineRule="auto"/>
        <w:ind w:left="851" w:hanging="425"/>
        <w:jc w:val="both"/>
        <w:rPr>
          <w:rFonts w:ascii="Arial" w:hAnsi="Arial" w:cs="Arial"/>
        </w:rPr>
      </w:pPr>
      <w:r w:rsidRPr="0042207F">
        <w:rPr>
          <w:rFonts w:ascii="Arial" w:hAnsi="Arial" w:cs="Arial"/>
        </w:rPr>
        <w:t xml:space="preserve"> 2.2 Regular el procedimiento de certificación de profesionales y técnicos que intervendrán directamente en la aplicación de los normas del SNBE.</w:t>
      </w:r>
    </w:p>
    <w:p w:rsidR="0042207F" w:rsidRPr="0042207F" w:rsidRDefault="0042207F" w:rsidP="00B01FF7">
      <w:pPr>
        <w:spacing w:after="0" w:line="240" w:lineRule="auto"/>
        <w:jc w:val="both"/>
        <w:rPr>
          <w:rFonts w:ascii="Arial" w:hAnsi="Arial" w:cs="Arial"/>
        </w:rPr>
      </w:pPr>
    </w:p>
    <w:p w:rsidR="0042207F" w:rsidRPr="00B01FF7" w:rsidRDefault="0042207F" w:rsidP="00B01FF7">
      <w:pPr>
        <w:spacing w:after="0" w:line="240" w:lineRule="auto"/>
        <w:ind w:left="426" w:hanging="426"/>
        <w:jc w:val="both"/>
        <w:rPr>
          <w:rFonts w:ascii="Arial" w:hAnsi="Arial" w:cs="Arial"/>
          <w:b/>
        </w:rPr>
      </w:pPr>
      <w:r w:rsidRPr="00B01FF7">
        <w:rPr>
          <w:rFonts w:ascii="Arial" w:hAnsi="Arial" w:cs="Arial"/>
          <w:b/>
        </w:rPr>
        <w:t xml:space="preserve">III. </w:t>
      </w:r>
      <w:r w:rsidRPr="00B01FF7">
        <w:rPr>
          <w:rFonts w:ascii="Arial" w:hAnsi="Arial" w:cs="Arial"/>
          <w:b/>
        </w:rPr>
        <w:tab/>
        <w:t>ALCANCE</w:t>
      </w:r>
    </w:p>
    <w:p w:rsidR="0042207F" w:rsidRPr="0042207F" w:rsidRDefault="0042207F" w:rsidP="00B01FF7">
      <w:pPr>
        <w:spacing w:after="0" w:line="240" w:lineRule="auto"/>
        <w:jc w:val="both"/>
        <w:rPr>
          <w:rFonts w:ascii="Arial" w:hAnsi="Arial" w:cs="Arial"/>
        </w:rPr>
      </w:pPr>
    </w:p>
    <w:p w:rsidR="0042207F" w:rsidRPr="0042207F" w:rsidRDefault="0042207F" w:rsidP="00B01FF7">
      <w:pPr>
        <w:spacing w:after="0" w:line="240" w:lineRule="auto"/>
        <w:ind w:left="426"/>
        <w:jc w:val="both"/>
        <w:rPr>
          <w:rFonts w:ascii="Arial" w:hAnsi="Arial" w:cs="Arial"/>
        </w:rPr>
      </w:pPr>
      <w:r w:rsidRPr="0042207F">
        <w:rPr>
          <w:rFonts w:ascii="Arial" w:hAnsi="Arial" w:cs="Arial"/>
        </w:rPr>
        <w:t>La presente directiva tiene alcance nacional y comprende a los profesionales y técnicos que desarrollen actividades dentro del marco de aplicación de las normas del SNBE.</w:t>
      </w:r>
    </w:p>
    <w:p w:rsidR="0042207F" w:rsidRPr="0042207F" w:rsidRDefault="0042207F" w:rsidP="00B01FF7">
      <w:pPr>
        <w:spacing w:after="0" w:line="240" w:lineRule="auto"/>
        <w:jc w:val="both"/>
        <w:rPr>
          <w:rFonts w:ascii="Arial" w:hAnsi="Arial" w:cs="Arial"/>
        </w:rPr>
      </w:pPr>
    </w:p>
    <w:p w:rsidR="0042207F" w:rsidRPr="00B01FF7" w:rsidRDefault="0042207F" w:rsidP="00B01FF7">
      <w:pPr>
        <w:spacing w:after="0" w:line="240" w:lineRule="auto"/>
        <w:ind w:left="426" w:hanging="426"/>
        <w:jc w:val="both"/>
        <w:rPr>
          <w:rFonts w:ascii="Arial" w:hAnsi="Arial" w:cs="Arial"/>
          <w:b/>
        </w:rPr>
      </w:pPr>
      <w:r w:rsidRPr="00B01FF7">
        <w:rPr>
          <w:rFonts w:ascii="Arial" w:hAnsi="Arial" w:cs="Arial"/>
          <w:b/>
        </w:rPr>
        <w:t>IV.</w:t>
      </w:r>
      <w:r w:rsidRPr="00B01FF7">
        <w:rPr>
          <w:rFonts w:ascii="Arial" w:hAnsi="Arial" w:cs="Arial"/>
          <w:b/>
        </w:rPr>
        <w:tab/>
        <w:t>BASE LEGAL</w:t>
      </w:r>
    </w:p>
    <w:p w:rsidR="0042207F" w:rsidRPr="0042207F" w:rsidRDefault="0042207F" w:rsidP="00B01FF7">
      <w:pPr>
        <w:spacing w:after="0" w:line="240" w:lineRule="auto"/>
        <w:jc w:val="both"/>
        <w:rPr>
          <w:rFonts w:ascii="Arial" w:hAnsi="Arial" w:cs="Arial"/>
        </w:rPr>
      </w:pPr>
    </w:p>
    <w:p w:rsidR="0042207F" w:rsidRPr="00B01FF7" w:rsidRDefault="0042207F" w:rsidP="0092471C">
      <w:pPr>
        <w:pStyle w:val="Prrafodelista"/>
        <w:numPr>
          <w:ilvl w:val="3"/>
          <w:numId w:val="253"/>
        </w:numPr>
        <w:spacing w:after="0" w:line="240" w:lineRule="auto"/>
        <w:ind w:left="851"/>
        <w:jc w:val="both"/>
        <w:rPr>
          <w:rFonts w:ascii="Arial" w:hAnsi="Arial" w:cs="Arial"/>
        </w:rPr>
      </w:pPr>
      <w:r w:rsidRPr="00B01FF7">
        <w:rPr>
          <w:rFonts w:ascii="Arial" w:hAnsi="Arial" w:cs="Arial"/>
        </w:rPr>
        <w:t>Ley Nº 29151, Ley General del Sistema Nacional de Bienes Estatales, y modificatorias.</w:t>
      </w:r>
    </w:p>
    <w:p w:rsidR="0042207F" w:rsidRPr="0042207F" w:rsidRDefault="0042207F" w:rsidP="00B01FF7">
      <w:pPr>
        <w:spacing w:after="0" w:line="240" w:lineRule="auto"/>
        <w:ind w:left="851"/>
        <w:jc w:val="both"/>
        <w:rPr>
          <w:rFonts w:ascii="Arial" w:hAnsi="Arial" w:cs="Arial"/>
        </w:rPr>
      </w:pPr>
    </w:p>
    <w:p w:rsidR="0042207F" w:rsidRPr="00B01FF7" w:rsidRDefault="0042207F" w:rsidP="0092471C">
      <w:pPr>
        <w:pStyle w:val="Prrafodelista"/>
        <w:numPr>
          <w:ilvl w:val="3"/>
          <w:numId w:val="253"/>
        </w:numPr>
        <w:spacing w:after="0" w:line="240" w:lineRule="auto"/>
        <w:ind w:left="851"/>
        <w:jc w:val="both"/>
        <w:rPr>
          <w:rFonts w:ascii="Arial" w:hAnsi="Arial" w:cs="Arial"/>
        </w:rPr>
      </w:pPr>
      <w:r w:rsidRPr="00B01FF7">
        <w:rPr>
          <w:rFonts w:ascii="Arial" w:hAnsi="Arial" w:cs="Arial"/>
        </w:rPr>
        <w:t>Ley Nº 27658, Ley Marco de Modernización de la Gestión del Estado.</w:t>
      </w:r>
    </w:p>
    <w:p w:rsidR="0042207F" w:rsidRPr="0042207F" w:rsidRDefault="0042207F" w:rsidP="00B01FF7">
      <w:pPr>
        <w:spacing w:after="0" w:line="240" w:lineRule="auto"/>
        <w:ind w:left="851"/>
        <w:jc w:val="both"/>
        <w:rPr>
          <w:rFonts w:ascii="Arial" w:hAnsi="Arial" w:cs="Arial"/>
        </w:rPr>
      </w:pPr>
    </w:p>
    <w:p w:rsidR="0042207F" w:rsidRPr="00B01FF7" w:rsidRDefault="0042207F" w:rsidP="0092471C">
      <w:pPr>
        <w:pStyle w:val="Prrafodelista"/>
        <w:numPr>
          <w:ilvl w:val="3"/>
          <w:numId w:val="253"/>
        </w:numPr>
        <w:spacing w:after="0" w:line="240" w:lineRule="auto"/>
        <w:ind w:left="851"/>
        <w:jc w:val="both"/>
        <w:rPr>
          <w:rFonts w:ascii="Arial" w:hAnsi="Arial" w:cs="Arial"/>
        </w:rPr>
      </w:pPr>
      <w:r w:rsidRPr="00B01FF7">
        <w:rPr>
          <w:rFonts w:ascii="Arial" w:hAnsi="Arial" w:cs="Arial"/>
        </w:rPr>
        <w:t>Ley Nº 27444, Ley del Procedimiento Administrativo General.</w:t>
      </w:r>
    </w:p>
    <w:p w:rsidR="0042207F" w:rsidRPr="0042207F" w:rsidRDefault="0042207F" w:rsidP="00B01FF7">
      <w:pPr>
        <w:spacing w:after="0" w:line="240" w:lineRule="auto"/>
        <w:ind w:left="851"/>
        <w:jc w:val="both"/>
        <w:rPr>
          <w:rFonts w:ascii="Arial" w:hAnsi="Arial" w:cs="Arial"/>
        </w:rPr>
      </w:pPr>
    </w:p>
    <w:p w:rsidR="0042207F" w:rsidRPr="00B01FF7" w:rsidRDefault="0042207F" w:rsidP="0092471C">
      <w:pPr>
        <w:pStyle w:val="Prrafodelista"/>
        <w:numPr>
          <w:ilvl w:val="3"/>
          <w:numId w:val="253"/>
        </w:numPr>
        <w:spacing w:after="0" w:line="240" w:lineRule="auto"/>
        <w:ind w:left="851"/>
        <w:jc w:val="both"/>
        <w:rPr>
          <w:rFonts w:ascii="Arial" w:hAnsi="Arial" w:cs="Arial"/>
        </w:rPr>
      </w:pPr>
      <w:r w:rsidRPr="00B01FF7">
        <w:rPr>
          <w:rFonts w:ascii="Arial" w:hAnsi="Arial" w:cs="Arial"/>
        </w:rPr>
        <w:t>Decreto Supremo Nº 007-2008-VIVIENDA, Reglamento de la Ley Nº 29151 - Ley General del Sistema Nacional de Bienes Estatales, en adelante “el Reglamento”.</w:t>
      </w:r>
    </w:p>
    <w:p w:rsidR="0042207F" w:rsidRPr="0042207F" w:rsidRDefault="0042207F" w:rsidP="00B01FF7">
      <w:pPr>
        <w:spacing w:after="0" w:line="240" w:lineRule="auto"/>
        <w:ind w:left="851"/>
        <w:jc w:val="both"/>
        <w:rPr>
          <w:rFonts w:ascii="Arial" w:hAnsi="Arial" w:cs="Arial"/>
        </w:rPr>
      </w:pPr>
    </w:p>
    <w:p w:rsidR="0042207F" w:rsidRPr="00B01FF7" w:rsidRDefault="0042207F" w:rsidP="0092471C">
      <w:pPr>
        <w:pStyle w:val="Prrafodelista"/>
        <w:numPr>
          <w:ilvl w:val="3"/>
          <w:numId w:val="253"/>
        </w:numPr>
        <w:spacing w:after="0" w:line="240" w:lineRule="auto"/>
        <w:ind w:left="851"/>
        <w:jc w:val="both"/>
        <w:rPr>
          <w:rFonts w:ascii="Arial" w:hAnsi="Arial" w:cs="Arial"/>
        </w:rPr>
      </w:pPr>
      <w:r w:rsidRPr="00B01FF7">
        <w:rPr>
          <w:rFonts w:ascii="Arial" w:hAnsi="Arial" w:cs="Arial"/>
        </w:rPr>
        <w:t>Decreto Supremo Nº 016-2010-VIVIENDA, que aprueba el Reglamento de Organización y Funciones de la Superintendencia Nacional de Bienes Estatales - SBN, en adelante “ROF de la SBN”.</w:t>
      </w:r>
    </w:p>
    <w:p w:rsidR="0042207F" w:rsidRPr="0042207F" w:rsidRDefault="0042207F" w:rsidP="00B01FF7">
      <w:pPr>
        <w:spacing w:after="0" w:line="240" w:lineRule="auto"/>
        <w:jc w:val="both"/>
        <w:rPr>
          <w:rFonts w:ascii="Arial" w:hAnsi="Arial" w:cs="Arial"/>
        </w:rPr>
      </w:pPr>
    </w:p>
    <w:p w:rsidR="0042207F" w:rsidRPr="00B01FF7" w:rsidRDefault="0042207F" w:rsidP="00B01FF7">
      <w:pPr>
        <w:spacing w:after="0" w:line="240" w:lineRule="auto"/>
        <w:ind w:left="426" w:hanging="426"/>
        <w:jc w:val="both"/>
        <w:rPr>
          <w:rFonts w:ascii="Arial" w:hAnsi="Arial" w:cs="Arial"/>
          <w:b/>
        </w:rPr>
      </w:pPr>
      <w:r w:rsidRPr="00B01FF7">
        <w:rPr>
          <w:rFonts w:ascii="Arial" w:hAnsi="Arial" w:cs="Arial"/>
          <w:b/>
        </w:rPr>
        <w:t>V.  DISPOSICIONES GENERALES</w:t>
      </w:r>
    </w:p>
    <w:p w:rsidR="0042207F" w:rsidRPr="0042207F" w:rsidRDefault="0042207F" w:rsidP="00B01FF7">
      <w:pPr>
        <w:spacing w:after="0" w:line="240" w:lineRule="auto"/>
        <w:jc w:val="both"/>
        <w:rPr>
          <w:rFonts w:ascii="Arial" w:hAnsi="Arial" w:cs="Arial"/>
        </w:rPr>
      </w:pPr>
    </w:p>
    <w:p w:rsidR="0042207F" w:rsidRPr="00B01FF7" w:rsidRDefault="0042207F" w:rsidP="00B01FF7">
      <w:pPr>
        <w:spacing w:after="0" w:line="240" w:lineRule="auto"/>
        <w:ind w:left="851" w:hanging="425"/>
        <w:jc w:val="both"/>
        <w:rPr>
          <w:rFonts w:ascii="Arial" w:hAnsi="Arial" w:cs="Arial"/>
          <w:b/>
        </w:rPr>
      </w:pPr>
      <w:r w:rsidRPr="00B01FF7">
        <w:rPr>
          <w:rFonts w:ascii="Arial" w:hAnsi="Arial" w:cs="Arial"/>
          <w:b/>
        </w:rPr>
        <w:t>5.1.  ABREVIATURAS</w:t>
      </w:r>
    </w:p>
    <w:p w:rsidR="00B01FF7" w:rsidRDefault="00B01FF7" w:rsidP="00B01FF7">
      <w:pPr>
        <w:spacing w:after="0" w:line="240" w:lineRule="auto"/>
        <w:jc w:val="both"/>
        <w:rPr>
          <w:rFonts w:ascii="Arial" w:hAnsi="Arial" w:cs="Arial"/>
        </w:rPr>
      </w:pPr>
    </w:p>
    <w:p w:rsidR="0042207F" w:rsidRPr="0042207F" w:rsidRDefault="0042207F" w:rsidP="00B01FF7">
      <w:pPr>
        <w:spacing w:after="0" w:line="240" w:lineRule="auto"/>
        <w:ind w:left="851"/>
        <w:jc w:val="both"/>
        <w:rPr>
          <w:rFonts w:ascii="Arial" w:hAnsi="Arial" w:cs="Arial"/>
        </w:rPr>
      </w:pPr>
      <w:r w:rsidRPr="0042207F">
        <w:rPr>
          <w:rFonts w:ascii="Arial" w:hAnsi="Arial" w:cs="Arial"/>
        </w:rPr>
        <w:t xml:space="preserve"> En adelante y para efectos de la presente Directiva se entenderá por:</w:t>
      </w:r>
    </w:p>
    <w:p w:rsidR="0042207F" w:rsidRPr="0042207F" w:rsidRDefault="0042207F" w:rsidP="00B01FF7">
      <w:pPr>
        <w:spacing w:after="0" w:line="240" w:lineRule="auto"/>
        <w:jc w:val="both"/>
        <w:rPr>
          <w:rFonts w:ascii="Arial" w:hAnsi="Arial" w:cs="Arial"/>
        </w:rPr>
      </w:pPr>
    </w:p>
    <w:p w:rsidR="0042207F" w:rsidRPr="00B01FF7" w:rsidRDefault="0042207F" w:rsidP="0092471C">
      <w:pPr>
        <w:pStyle w:val="Prrafodelista"/>
        <w:numPr>
          <w:ilvl w:val="0"/>
          <w:numId w:val="254"/>
        </w:numPr>
        <w:spacing w:after="0" w:line="240" w:lineRule="auto"/>
        <w:ind w:left="1276"/>
        <w:jc w:val="both"/>
        <w:rPr>
          <w:rFonts w:ascii="Arial" w:hAnsi="Arial" w:cs="Arial"/>
        </w:rPr>
      </w:pPr>
      <w:r w:rsidRPr="00B01FF7">
        <w:rPr>
          <w:rFonts w:ascii="Arial" w:hAnsi="Arial" w:cs="Arial"/>
        </w:rPr>
        <w:t>SBN: Superintendencia Nacional de Bienes Estatales.</w:t>
      </w:r>
    </w:p>
    <w:p w:rsidR="0042207F" w:rsidRPr="00B01FF7" w:rsidRDefault="0042207F" w:rsidP="0092471C">
      <w:pPr>
        <w:pStyle w:val="Prrafodelista"/>
        <w:numPr>
          <w:ilvl w:val="0"/>
          <w:numId w:val="254"/>
        </w:numPr>
        <w:spacing w:after="0" w:line="240" w:lineRule="auto"/>
        <w:ind w:left="1276"/>
        <w:jc w:val="both"/>
        <w:rPr>
          <w:rFonts w:ascii="Arial" w:hAnsi="Arial" w:cs="Arial"/>
        </w:rPr>
      </w:pPr>
      <w:r w:rsidRPr="00B01FF7">
        <w:rPr>
          <w:rFonts w:ascii="Arial" w:hAnsi="Arial" w:cs="Arial"/>
        </w:rPr>
        <w:t>OPP: Oficina de Planeamiento y Presupuesto.</w:t>
      </w:r>
    </w:p>
    <w:p w:rsidR="0042207F" w:rsidRPr="00B01FF7" w:rsidRDefault="0042207F" w:rsidP="0092471C">
      <w:pPr>
        <w:pStyle w:val="Prrafodelista"/>
        <w:numPr>
          <w:ilvl w:val="0"/>
          <w:numId w:val="254"/>
        </w:numPr>
        <w:spacing w:after="0" w:line="240" w:lineRule="auto"/>
        <w:ind w:left="1276"/>
        <w:jc w:val="both"/>
        <w:rPr>
          <w:rFonts w:ascii="Arial" w:hAnsi="Arial" w:cs="Arial"/>
        </w:rPr>
      </w:pPr>
      <w:r w:rsidRPr="00B01FF7">
        <w:rPr>
          <w:rFonts w:ascii="Arial" w:hAnsi="Arial" w:cs="Arial"/>
        </w:rPr>
        <w:t>DNR: Dirección de Normas y Registro.</w:t>
      </w:r>
    </w:p>
    <w:p w:rsidR="0042207F" w:rsidRPr="00B01FF7" w:rsidRDefault="0042207F" w:rsidP="0092471C">
      <w:pPr>
        <w:pStyle w:val="Prrafodelista"/>
        <w:numPr>
          <w:ilvl w:val="0"/>
          <w:numId w:val="254"/>
        </w:numPr>
        <w:spacing w:after="0" w:line="240" w:lineRule="auto"/>
        <w:ind w:left="1276"/>
        <w:jc w:val="both"/>
        <w:rPr>
          <w:rFonts w:ascii="Arial" w:hAnsi="Arial" w:cs="Arial"/>
        </w:rPr>
      </w:pPr>
      <w:r w:rsidRPr="00B01FF7">
        <w:rPr>
          <w:rFonts w:ascii="Arial" w:hAnsi="Arial" w:cs="Arial"/>
        </w:rPr>
        <w:t>OAF: Oficina de Administración y Finanzas.</w:t>
      </w:r>
    </w:p>
    <w:p w:rsidR="0042207F" w:rsidRPr="00B01FF7" w:rsidRDefault="0042207F" w:rsidP="0092471C">
      <w:pPr>
        <w:pStyle w:val="Prrafodelista"/>
        <w:numPr>
          <w:ilvl w:val="0"/>
          <w:numId w:val="254"/>
        </w:numPr>
        <w:spacing w:after="0" w:line="240" w:lineRule="auto"/>
        <w:ind w:left="1276"/>
        <w:jc w:val="both"/>
        <w:rPr>
          <w:rFonts w:ascii="Arial" w:hAnsi="Arial" w:cs="Arial"/>
        </w:rPr>
      </w:pPr>
      <w:r w:rsidRPr="00B01FF7">
        <w:rPr>
          <w:rFonts w:ascii="Arial" w:hAnsi="Arial" w:cs="Arial"/>
        </w:rPr>
        <w:t>SDNC: Subdirección de Normas y Capacitación.</w:t>
      </w:r>
    </w:p>
    <w:p w:rsidR="0042207F" w:rsidRPr="00B01FF7" w:rsidRDefault="0042207F" w:rsidP="0092471C">
      <w:pPr>
        <w:pStyle w:val="Prrafodelista"/>
        <w:numPr>
          <w:ilvl w:val="0"/>
          <w:numId w:val="254"/>
        </w:numPr>
        <w:spacing w:after="0" w:line="240" w:lineRule="auto"/>
        <w:ind w:left="1276"/>
        <w:jc w:val="both"/>
        <w:rPr>
          <w:rFonts w:ascii="Arial" w:hAnsi="Arial" w:cs="Arial"/>
        </w:rPr>
      </w:pPr>
      <w:r w:rsidRPr="00B01FF7">
        <w:rPr>
          <w:rFonts w:ascii="Arial" w:hAnsi="Arial" w:cs="Arial"/>
        </w:rPr>
        <w:t>SINABIP: Sistema de Información Nacional de Bienes Estatales.</w:t>
      </w:r>
    </w:p>
    <w:p w:rsidR="0042207F" w:rsidRPr="00B01FF7" w:rsidRDefault="0042207F" w:rsidP="0092471C">
      <w:pPr>
        <w:pStyle w:val="Prrafodelista"/>
        <w:numPr>
          <w:ilvl w:val="0"/>
          <w:numId w:val="254"/>
        </w:numPr>
        <w:spacing w:after="0" w:line="240" w:lineRule="auto"/>
        <w:ind w:left="1276"/>
        <w:jc w:val="both"/>
        <w:rPr>
          <w:rFonts w:ascii="Arial" w:hAnsi="Arial" w:cs="Arial"/>
        </w:rPr>
      </w:pPr>
      <w:r w:rsidRPr="00B01FF7">
        <w:rPr>
          <w:rFonts w:ascii="Arial" w:hAnsi="Arial" w:cs="Arial"/>
        </w:rPr>
        <w:t>SNBE: Sistema Nacional de Bienes Estatales.</w:t>
      </w:r>
    </w:p>
    <w:p w:rsidR="0042207F" w:rsidRPr="0042207F" w:rsidRDefault="0042207F" w:rsidP="00B01FF7">
      <w:pPr>
        <w:spacing w:after="0" w:line="240" w:lineRule="auto"/>
        <w:jc w:val="both"/>
        <w:rPr>
          <w:rFonts w:ascii="Arial" w:hAnsi="Arial" w:cs="Arial"/>
        </w:rPr>
      </w:pPr>
    </w:p>
    <w:p w:rsidR="0042207F" w:rsidRPr="00B01FF7" w:rsidRDefault="0042207F" w:rsidP="00B01FF7">
      <w:pPr>
        <w:spacing w:after="0" w:line="240" w:lineRule="auto"/>
        <w:ind w:left="851" w:hanging="425"/>
        <w:jc w:val="both"/>
        <w:rPr>
          <w:rFonts w:ascii="Arial" w:hAnsi="Arial" w:cs="Arial"/>
          <w:b/>
        </w:rPr>
      </w:pPr>
      <w:r w:rsidRPr="00B01FF7">
        <w:rPr>
          <w:rFonts w:ascii="Arial" w:hAnsi="Arial" w:cs="Arial"/>
          <w:b/>
        </w:rPr>
        <w:t>5.2  COMPETENCIAS</w:t>
      </w:r>
    </w:p>
    <w:p w:rsidR="0042207F" w:rsidRPr="0042207F" w:rsidRDefault="0042207F" w:rsidP="00B01FF7">
      <w:pPr>
        <w:spacing w:after="0" w:line="240" w:lineRule="auto"/>
        <w:jc w:val="both"/>
        <w:rPr>
          <w:rFonts w:ascii="Arial" w:hAnsi="Arial" w:cs="Arial"/>
        </w:rPr>
      </w:pPr>
    </w:p>
    <w:p w:rsidR="0042207F" w:rsidRPr="00B01FF7" w:rsidRDefault="0042207F" w:rsidP="00B01FF7">
      <w:pPr>
        <w:spacing w:after="0" w:line="240" w:lineRule="auto"/>
        <w:ind w:left="1276" w:hanging="425"/>
        <w:jc w:val="both"/>
        <w:rPr>
          <w:rFonts w:ascii="Arial" w:hAnsi="Arial" w:cs="Arial"/>
          <w:b/>
        </w:rPr>
      </w:pPr>
      <w:r w:rsidRPr="00B01FF7">
        <w:rPr>
          <w:rFonts w:ascii="Arial" w:hAnsi="Arial" w:cs="Arial"/>
          <w:b/>
        </w:rPr>
        <w:t xml:space="preserve">5.2.1 </w:t>
      </w:r>
      <w:r w:rsidR="00B01FF7">
        <w:rPr>
          <w:rFonts w:ascii="Arial" w:hAnsi="Arial" w:cs="Arial"/>
          <w:b/>
        </w:rPr>
        <w:tab/>
      </w:r>
      <w:r w:rsidRPr="00B01FF7">
        <w:rPr>
          <w:rFonts w:ascii="Arial" w:hAnsi="Arial" w:cs="Arial"/>
          <w:b/>
        </w:rPr>
        <w:t>Del Procedimiento de Capacitación</w:t>
      </w:r>
    </w:p>
    <w:p w:rsidR="0042207F" w:rsidRPr="0042207F" w:rsidRDefault="0042207F" w:rsidP="00B01FF7">
      <w:pPr>
        <w:spacing w:after="0" w:line="240" w:lineRule="auto"/>
        <w:jc w:val="both"/>
        <w:rPr>
          <w:rFonts w:ascii="Arial" w:hAnsi="Arial" w:cs="Arial"/>
        </w:rPr>
      </w:pPr>
    </w:p>
    <w:p w:rsidR="0042207F" w:rsidRPr="0042207F" w:rsidRDefault="0042207F" w:rsidP="00B01FF7">
      <w:pPr>
        <w:spacing w:after="0" w:line="240" w:lineRule="auto"/>
        <w:ind w:left="1418"/>
        <w:jc w:val="both"/>
        <w:rPr>
          <w:rFonts w:ascii="Arial" w:hAnsi="Arial" w:cs="Arial"/>
        </w:rPr>
      </w:pPr>
      <w:r w:rsidRPr="0042207F">
        <w:rPr>
          <w:rFonts w:ascii="Arial" w:hAnsi="Arial" w:cs="Arial"/>
        </w:rPr>
        <w:t xml:space="preserve">La SBN, en su calidad de ente rector, ejecuta a través de la SDNC, el proceso de capacitación dirigido a profesionales y técnicos de las entidades del SNBE sobre la adquisición, administración, disposición, supervisión y registro de la propiedad estatal, así como al público en general. </w:t>
      </w:r>
    </w:p>
    <w:p w:rsidR="0042207F" w:rsidRPr="0042207F" w:rsidRDefault="0042207F" w:rsidP="00B01FF7">
      <w:pPr>
        <w:spacing w:after="0" w:line="240" w:lineRule="auto"/>
        <w:ind w:left="1418"/>
        <w:jc w:val="both"/>
        <w:rPr>
          <w:rFonts w:ascii="Arial" w:hAnsi="Arial" w:cs="Arial"/>
        </w:rPr>
      </w:pPr>
    </w:p>
    <w:p w:rsidR="0042207F" w:rsidRPr="0042207F" w:rsidRDefault="0042207F" w:rsidP="00B01FF7">
      <w:pPr>
        <w:spacing w:after="0" w:line="240" w:lineRule="auto"/>
        <w:ind w:left="1418"/>
        <w:jc w:val="both"/>
        <w:rPr>
          <w:rFonts w:ascii="Arial" w:hAnsi="Arial" w:cs="Arial"/>
        </w:rPr>
      </w:pPr>
      <w:r w:rsidRPr="0042207F">
        <w:rPr>
          <w:rFonts w:ascii="Arial" w:hAnsi="Arial" w:cs="Arial"/>
        </w:rPr>
        <w:t>La capacitación que dicte la SBN se desarrolla en función de las actividades aprobadas en el Plan Anual de Capacitación, así como de aquellas actividades programadas como servicios no exclusivos y otras que obedezcan a la naturaleza propia de la institución.</w:t>
      </w:r>
    </w:p>
    <w:p w:rsidR="0042207F" w:rsidRPr="0042207F" w:rsidRDefault="0042207F" w:rsidP="00B01FF7">
      <w:pPr>
        <w:spacing w:after="0" w:line="240" w:lineRule="auto"/>
        <w:ind w:left="1418"/>
        <w:jc w:val="both"/>
        <w:rPr>
          <w:rFonts w:ascii="Arial" w:hAnsi="Arial" w:cs="Arial"/>
        </w:rPr>
      </w:pPr>
    </w:p>
    <w:p w:rsidR="0042207F" w:rsidRPr="0042207F" w:rsidRDefault="0042207F" w:rsidP="00B01FF7">
      <w:pPr>
        <w:spacing w:after="0" w:line="240" w:lineRule="auto"/>
        <w:ind w:left="1418"/>
        <w:jc w:val="both"/>
        <w:rPr>
          <w:rFonts w:ascii="Arial" w:hAnsi="Arial" w:cs="Arial"/>
        </w:rPr>
      </w:pPr>
      <w:r w:rsidRPr="0042207F">
        <w:rPr>
          <w:rFonts w:ascii="Arial" w:hAnsi="Arial" w:cs="Arial"/>
        </w:rPr>
        <w:t>La emisión de los certificados a los participantes en la capacitación dictada por la SBN compete a la SDNC, los cuales serán suscritos por el Superintendente o por quien este designe, consignando en los mismos las horas lectivas de duración de la capacitación.</w:t>
      </w:r>
    </w:p>
    <w:p w:rsidR="0042207F" w:rsidRPr="0042207F" w:rsidRDefault="0042207F" w:rsidP="00B01FF7">
      <w:pPr>
        <w:spacing w:after="0" w:line="240" w:lineRule="auto"/>
        <w:ind w:left="1418"/>
        <w:jc w:val="both"/>
        <w:rPr>
          <w:rFonts w:ascii="Arial" w:hAnsi="Arial" w:cs="Arial"/>
        </w:rPr>
      </w:pPr>
    </w:p>
    <w:p w:rsidR="0042207F" w:rsidRPr="0042207F" w:rsidRDefault="0042207F" w:rsidP="00B01FF7">
      <w:pPr>
        <w:spacing w:after="0" w:line="240" w:lineRule="auto"/>
        <w:ind w:left="1418"/>
        <w:jc w:val="both"/>
        <w:rPr>
          <w:rFonts w:ascii="Arial" w:hAnsi="Arial" w:cs="Arial"/>
        </w:rPr>
      </w:pPr>
      <w:r w:rsidRPr="0042207F">
        <w:rPr>
          <w:rFonts w:ascii="Arial" w:hAnsi="Arial" w:cs="Arial"/>
        </w:rPr>
        <w:t>La SDNC debe llevar un libro de registro de los certificados que emita a los participantes en las capacitaciones dictadas por la SBN.</w:t>
      </w:r>
    </w:p>
    <w:p w:rsidR="0042207F" w:rsidRPr="0042207F" w:rsidRDefault="0042207F" w:rsidP="00B01FF7">
      <w:pPr>
        <w:spacing w:after="0" w:line="240" w:lineRule="auto"/>
        <w:jc w:val="both"/>
        <w:rPr>
          <w:rFonts w:ascii="Arial" w:hAnsi="Arial" w:cs="Arial"/>
        </w:rPr>
      </w:pPr>
    </w:p>
    <w:p w:rsidR="0042207F" w:rsidRPr="0042207F" w:rsidRDefault="0042207F" w:rsidP="00B01FF7">
      <w:pPr>
        <w:spacing w:after="0" w:line="240" w:lineRule="auto"/>
        <w:jc w:val="both"/>
        <w:rPr>
          <w:rFonts w:ascii="Arial" w:hAnsi="Arial" w:cs="Arial"/>
        </w:rPr>
      </w:pPr>
    </w:p>
    <w:p w:rsidR="0042207F" w:rsidRPr="00B01FF7" w:rsidRDefault="0042207F" w:rsidP="00B01FF7">
      <w:pPr>
        <w:spacing w:after="0" w:line="240" w:lineRule="auto"/>
        <w:ind w:left="1418" w:hanging="567"/>
        <w:jc w:val="both"/>
        <w:rPr>
          <w:rFonts w:ascii="Arial" w:hAnsi="Arial" w:cs="Arial"/>
          <w:b/>
        </w:rPr>
      </w:pPr>
      <w:r w:rsidRPr="00B01FF7">
        <w:rPr>
          <w:rFonts w:ascii="Arial" w:hAnsi="Arial" w:cs="Arial"/>
          <w:b/>
        </w:rPr>
        <w:t xml:space="preserve"> 5.2.2 Del Procedimiento de Certificación</w:t>
      </w:r>
    </w:p>
    <w:p w:rsidR="0042207F" w:rsidRPr="0042207F" w:rsidRDefault="0042207F" w:rsidP="00B01FF7">
      <w:pPr>
        <w:spacing w:after="0" w:line="240" w:lineRule="auto"/>
        <w:jc w:val="both"/>
        <w:rPr>
          <w:rFonts w:ascii="Arial" w:hAnsi="Arial" w:cs="Arial"/>
        </w:rPr>
      </w:pPr>
    </w:p>
    <w:p w:rsidR="0042207F" w:rsidRPr="0042207F" w:rsidRDefault="0042207F" w:rsidP="00B01FF7">
      <w:pPr>
        <w:spacing w:after="0" w:line="240" w:lineRule="auto"/>
        <w:ind w:left="1418"/>
        <w:jc w:val="both"/>
        <w:rPr>
          <w:rFonts w:ascii="Arial" w:hAnsi="Arial" w:cs="Arial"/>
        </w:rPr>
      </w:pPr>
      <w:r w:rsidRPr="0042207F">
        <w:rPr>
          <w:rFonts w:ascii="Arial" w:hAnsi="Arial" w:cs="Arial"/>
        </w:rPr>
        <w:t>La certificación está dirigida a profesionales y técnicos que intervienen directamente en los procedimientos de adquisición, administración, disposición y supervisión de la propiedad estatal, aplicando la normatividad del SNBE.</w:t>
      </w:r>
    </w:p>
    <w:p w:rsidR="0042207F" w:rsidRPr="0042207F" w:rsidRDefault="0042207F" w:rsidP="00B01FF7">
      <w:pPr>
        <w:spacing w:after="0" w:line="240" w:lineRule="auto"/>
        <w:ind w:left="1418"/>
        <w:jc w:val="both"/>
        <w:rPr>
          <w:rFonts w:ascii="Arial" w:hAnsi="Arial" w:cs="Arial"/>
        </w:rPr>
      </w:pPr>
    </w:p>
    <w:p w:rsidR="0042207F" w:rsidRPr="0042207F" w:rsidRDefault="0042207F" w:rsidP="00B01FF7">
      <w:pPr>
        <w:spacing w:after="0" w:line="240" w:lineRule="auto"/>
        <w:ind w:left="1418"/>
        <w:jc w:val="both"/>
        <w:rPr>
          <w:rFonts w:ascii="Arial" w:hAnsi="Arial" w:cs="Arial"/>
        </w:rPr>
      </w:pPr>
      <w:r w:rsidRPr="0042207F">
        <w:rPr>
          <w:rFonts w:ascii="Arial" w:hAnsi="Arial" w:cs="Arial"/>
        </w:rPr>
        <w:t>Asimismo, pueden obtener la certificación otros profesionales y técnicos, siempre que cumplan con los requisitos previstos en el artículo 24° de la Ley N° 29151 y la presente Directiva.</w:t>
      </w:r>
    </w:p>
    <w:p w:rsidR="0042207F" w:rsidRPr="0042207F" w:rsidRDefault="0042207F" w:rsidP="00B01FF7">
      <w:pPr>
        <w:spacing w:after="0" w:line="240" w:lineRule="auto"/>
        <w:ind w:left="1418"/>
        <w:jc w:val="both"/>
        <w:rPr>
          <w:rFonts w:ascii="Arial" w:hAnsi="Arial" w:cs="Arial"/>
        </w:rPr>
      </w:pPr>
    </w:p>
    <w:p w:rsidR="0042207F" w:rsidRPr="0042207F" w:rsidRDefault="0042207F" w:rsidP="00B01FF7">
      <w:pPr>
        <w:spacing w:after="0" w:line="240" w:lineRule="auto"/>
        <w:ind w:left="1418"/>
        <w:jc w:val="both"/>
        <w:rPr>
          <w:rFonts w:ascii="Arial" w:hAnsi="Arial" w:cs="Arial"/>
        </w:rPr>
      </w:pPr>
      <w:r w:rsidRPr="0042207F">
        <w:rPr>
          <w:rFonts w:ascii="Arial" w:hAnsi="Arial" w:cs="Arial"/>
        </w:rPr>
        <w:t>El procedimiento de certificación está a cargo de la SDNC.</w:t>
      </w:r>
    </w:p>
    <w:p w:rsidR="0042207F" w:rsidRDefault="0042207F" w:rsidP="00B01FF7">
      <w:pPr>
        <w:spacing w:after="0" w:line="240" w:lineRule="auto"/>
        <w:jc w:val="both"/>
        <w:rPr>
          <w:rFonts w:ascii="Arial" w:hAnsi="Arial" w:cs="Arial"/>
        </w:rPr>
      </w:pPr>
    </w:p>
    <w:p w:rsidR="002514D7" w:rsidRDefault="002514D7" w:rsidP="00B01FF7">
      <w:pPr>
        <w:spacing w:after="0" w:line="240" w:lineRule="auto"/>
        <w:jc w:val="both"/>
        <w:rPr>
          <w:rFonts w:ascii="Arial" w:hAnsi="Arial" w:cs="Arial"/>
        </w:rPr>
      </w:pPr>
    </w:p>
    <w:p w:rsidR="0042207F" w:rsidRPr="00B01FF7" w:rsidRDefault="0042207F" w:rsidP="00B01FF7">
      <w:pPr>
        <w:spacing w:after="0" w:line="240" w:lineRule="auto"/>
        <w:ind w:left="284" w:hanging="284"/>
        <w:jc w:val="both"/>
        <w:rPr>
          <w:rFonts w:ascii="Arial" w:hAnsi="Arial" w:cs="Arial"/>
          <w:b/>
        </w:rPr>
      </w:pPr>
      <w:r w:rsidRPr="00B01FF7">
        <w:rPr>
          <w:rFonts w:ascii="Arial" w:hAnsi="Arial" w:cs="Arial"/>
          <w:b/>
        </w:rPr>
        <w:t>VI.     DISPOSICIONES ESPECÍFICAS</w:t>
      </w:r>
    </w:p>
    <w:p w:rsidR="0042207F" w:rsidRPr="00B01FF7" w:rsidRDefault="0042207F" w:rsidP="00B01FF7">
      <w:pPr>
        <w:spacing w:after="0" w:line="240" w:lineRule="auto"/>
        <w:jc w:val="both"/>
        <w:rPr>
          <w:rFonts w:ascii="Arial" w:hAnsi="Arial" w:cs="Arial"/>
          <w:b/>
        </w:rPr>
      </w:pPr>
    </w:p>
    <w:p w:rsidR="0042207F" w:rsidRPr="00B01FF7" w:rsidRDefault="0042207F" w:rsidP="00B01FF7">
      <w:pPr>
        <w:spacing w:after="0" w:line="240" w:lineRule="auto"/>
        <w:ind w:left="993" w:hanging="426"/>
        <w:jc w:val="both"/>
        <w:rPr>
          <w:rFonts w:ascii="Arial" w:hAnsi="Arial" w:cs="Arial"/>
          <w:b/>
        </w:rPr>
      </w:pPr>
      <w:r w:rsidRPr="00B01FF7">
        <w:rPr>
          <w:rFonts w:ascii="Arial" w:hAnsi="Arial" w:cs="Arial"/>
          <w:b/>
        </w:rPr>
        <w:t xml:space="preserve">6.1 </w:t>
      </w:r>
      <w:r w:rsidR="00B01FF7">
        <w:rPr>
          <w:rFonts w:ascii="Arial" w:hAnsi="Arial" w:cs="Arial"/>
          <w:b/>
        </w:rPr>
        <w:t xml:space="preserve"> </w:t>
      </w:r>
      <w:r w:rsidRPr="00B01FF7">
        <w:rPr>
          <w:rFonts w:ascii="Arial" w:hAnsi="Arial" w:cs="Arial"/>
          <w:b/>
        </w:rPr>
        <w:t xml:space="preserve">PROCEDIMIENTO DE CAPACITACIÓN </w:t>
      </w:r>
    </w:p>
    <w:p w:rsidR="0042207F" w:rsidRPr="00B01FF7" w:rsidRDefault="0042207F" w:rsidP="00B01FF7">
      <w:pPr>
        <w:spacing w:after="0" w:line="240" w:lineRule="auto"/>
        <w:jc w:val="both"/>
        <w:rPr>
          <w:rFonts w:ascii="Arial" w:hAnsi="Arial" w:cs="Arial"/>
          <w:b/>
        </w:rPr>
      </w:pPr>
    </w:p>
    <w:p w:rsidR="0042207F" w:rsidRPr="00B01FF7" w:rsidRDefault="0042207F" w:rsidP="00B01FF7">
      <w:pPr>
        <w:spacing w:after="0" w:line="240" w:lineRule="auto"/>
        <w:ind w:left="993"/>
        <w:jc w:val="both"/>
        <w:rPr>
          <w:rFonts w:ascii="Arial" w:hAnsi="Arial" w:cs="Arial"/>
          <w:b/>
        </w:rPr>
      </w:pPr>
      <w:r w:rsidRPr="00B01FF7">
        <w:rPr>
          <w:rFonts w:ascii="Arial" w:hAnsi="Arial" w:cs="Arial"/>
          <w:b/>
        </w:rPr>
        <w:t xml:space="preserve">6.1.1 Contenido temático </w:t>
      </w:r>
    </w:p>
    <w:p w:rsidR="0042207F" w:rsidRPr="0042207F" w:rsidRDefault="0042207F" w:rsidP="00B01FF7">
      <w:pPr>
        <w:spacing w:after="0" w:line="240" w:lineRule="auto"/>
        <w:jc w:val="both"/>
        <w:rPr>
          <w:rFonts w:ascii="Arial" w:hAnsi="Arial" w:cs="Arial"/>
        </w:rPr>
      </w:pPr>
    </w:p>
    <w:p w:rsidR="0042207F" w:rsidRPr="0042207F" w:rsidRDefault="0042207F" w:rsidP="00B01FF7">
      <w:pPr>
        <w:spacing w:after="0" w:line="240" w:lineRule="auto"/>
        <w:ind w:left="1560"/>
        <w:jc w:val="both"/>
        <w:rPr>
          <w:rFonts w:ascii="Arial" w:hAnsi="Arial" w:cs="Arial"/>
        </w:rPr>
      </w:pPr>
      <w:r w:rsidRPr="0042207F">
        <w:rPr>
          <w:rFonts w:ascii="Arial" w:hAnsi="Arial" w:cs="Arial"/>
        </w:rPr>
        <w:t>El contenido temático del procedimiento de capacitación comprende temas relacionados a los bienes muebles e inmuebles de la propiedad estatal y normatividad vinculada al SNBE, el cual será elaborado por la SDNC y publicado en la página web institucional para los fines determinados.</w:t>
      </w:r>
    </w:p>
    <w:p w:rsidR="0042207F" w:rsidRPr="0042207F" w:rsidRDefault="0042207F" w:rsidP="00B01FF7">
      <w:pPr>
        <w:spacing w:after="0" w:line="240" w:lineRule="auto"/>
        <w:ind w:left="1560"/>
        <w:jc w:val="both"/>
        <w:rPr>
          <w:rFonts w:ascii="Arial" w:hAnsi="Arial" w:cs="Arial"/>
        </w:rPr>
      </w:pPr>
    </w:p>
    <w:p w:rsidR="0042207F" w:rsidRPr="0042207F" w:rsidRDefault="0042207F" w:rsidP="00B01FF7">
      <w:pPr>
        <w:spacing w:after="0" w:line="240" w:lineRule="auto"/>
        <w:ind w:left="1560"/>
        <w:jc w:val="both"/>
        <w:rPr>
          <w:rFonts w:ascii="Arial" w:hAnsi="Arial" w:cs="Arial"/>
        </w:rPr>
      </w:pPr>
      <w:r w:rsidRPr="0042207F">
        <w:rPr>
          <w:rFonts w:ascii="Arial" w:hAnsi="Arial" w:cs="Arial"/>
        </w:rPr>
        <w:t>El desarrollo del contenido temático de la capacitación puede ejecutarse en forma total o en módulos, independientes o inmersos dentro de un programa vinculado, cuya duración se expresará en horas lectivas.</w:t>
      </w:r>
    </w:p>
    <w:p w:rsidR="0042207F" w:rsidRPr="0042207F" w:rsidRDefault="0042207F" w:rsidP="00B01FF7">
      <w:pPr>
        <w:spacing w:after="0" w:line="240" w:lineRule="auto"/>
        <w:ind w:left="1560"/>
        <w:jc w:val="both"/>
        <w:rPr>
          <w:rFonts w:ascii="Arial" w:hAnsi="Arial" w:cs="Arial"/>
        </w:rPr>
      </w:pPr>
    </w:p>
    <w:p w:rsidR="0042207F" w:rsidRPr="0042207F" w:rsidRDefault="0042207F" w:rsidP="00B01FF7">
      <w:pPr>
        <w:spacing w:after="0" w:line="240" w:lineRule="auto"/>
        <w:ind w:left="1560"/>
        <w:jc w:val="both"/>
        <w:rPr>
          <w:rFonts w:ascii="Arial" w:hAnsi="Arial" w:cs="Arial"/>
        </w:rPr>
      </w:pPr>
      <w:r w:rsidRPr="0042207F">
        <w:rPr>
          <w:rFonts w:ascii="Arial" w:hAnsi="Arial" w:cs="Arial"/>
        </w:rPr>
        <w:t>Entiéndase como hora lectiva el tiempo destinado a la comprensión, afianzamiento, fortalecimiento o consolidación de los aprendizajes vinculados a la normativa del SNBE. Cada hora lectiva será de cincuenta (50) minutos.</w:t>
      </w:r>
    </w:p>
    <w:p w:rsidR="0042207F" w:rsidRPr="0042207F" w:rsidRDefault="0042207F" w:rsidP="00B01FF7">
      <w:pPr>
        <w:spacing w:after="0" w:line="240" w:lineRule="auto"/>
        <w:jc w:val="both"/>
        <w:rPr>
          <w:rFonts w:ascii="Arial" w:hAnsi="Arial" w:cs="Arial"/>
        </w:rPr>
      </w:pPr>
    </w:p>
    <w:p w:rsidR="0042207F" w:rsidRPr="00B01FF7" w:rsidRDefault="0042207F" w:rsidP="00B01FF7">
      <w:pPr>
        <w:spacing w:after="0" w:line="240" w:lineRule="auto"/>
        <w:ind w:left="1560" w:hanging="567"/>
        <w:jc w:val="both"/>
        <w:rPr>
          <w:rFonts w:ascii="Arial" w:hAnsi="Arial" w:cs="Arial"/>
          <w:b/>
        </w:rPr>
      </w:pPr>
      <w:r w:rsidRPr="00B01FF7">
        <w:rPr>
          <w:rFonts w:ascii="Arial" w:hAnsi="Arial" w:cs="Arial"/>
          <w:b/>
        </w:rPr>
        <w:t xml:space="preserve">6.1.2 </w:t>
      </w:r>
      <w:r w:rsidR="00B01FF7">
        <w:rPr>
          <w:rFonts w:ascii="Arial" w:hAnsi="Arial" w:cs="Arial"/>
          <w:b/>
        </w:rPr>
        <w:t xml:space="preserve"> </w:t>
      </w:r>
      <w:r w:rsidRPr="00B01FF7">
        <w:rPr>
          <w:rFonts w:ascii="Arial" w:hAnsi="Arial" w:cs="Arial"/>
          <w:b/>
        </w:rPr>
        <w:t>Sobre el procedimiento de capacitación a cargo de la SDNC</w:t>
      </w:r>
    </w:p>
    <w:p w:rsidR="0042207F" w:rsidRPr="0042207F" w:rsidRDefault="0042207F" w:rsidP="00B01FF7">
      <w:pPr>
        <w:spacing w:after="0" w:line="240" w:lineRule="auto"/>
        <w:jc w:val="both"/>
        <w:rPr>
          <w:rFonts w:ascii="Arial" w:hAnsi="Arial" w:cs="Arial"/>
        </w:rPr>
      </w:pPr>
    </w:p>
    <w:p w:rsidR="0042207F" w:rsidRPr="00B01FF7" w:rsidRDefault="0042207F" w:rsidP="00B01FF7">
      <w:pPr>
        <w:pStyle w:val="Prrafodelista"/>
        <w:numPr>
          <w:ilvl w:val="1"/>
          <w:numId w:val="33"/>
        </w:numPr>
        <w:spacing w:after="0" w:line="240" w:lineRule="auto"/>
        <w:ind w:left="1985"/>
        <w:jc w:val="both"/>
        <w:rPr>
          <w:rFonts w:ascii="Arial" w:hAnsi="Arial" w:cs="Arial"/>
          <w:b/>
        </w:rPr>
      </w:pPr>
      <w:r w:rsidRPr="00B01FF7">
        <w:rPr>
          <w:rFonts w:ascii="Arial" w:hAnsi="Arial" w:cs="Arial"/>
          <w:b/>
        </w:rPr>
        <w:t>Etapas del procedimiento</w:t>
      </w:r>
    </w:p>
    <w:p w:rsidR="0042207F" w:rsidRPr="0042207F" w:rsidRDefault="0042207F" w:rsidP="00B01FF7">
      <w:pPr>
        <w:spacing w:after="0" w:line="240" w:lineRule="auto"/>
        <w:jc w:val="both"/>
        <w:rPr>
          <w:rFonts w:ascii="Arial" w:hAnsi="Arial" w:cs="Arial"/>
        </w:rPr>
      </w:pPr>
    </w:p>
    <w:p w:rsidR="0042207F" w:rsidRPr="0042207F" w:rsidRDefault="0042207F" w:rsidP="00B01FF7">
      <w:pPr>
        <w:spacing w:after="0" w:line="240" w:lineRule="auto"/>
        <w:ind w:left="1985"/>
        <w:jc w:val="both"/>
        <w:rPr>
          <w:rFonts w:ascii="Arial" w:hAnsi="Arial" w:cs="Arial"/>
        </w:rPr>
      </w:pPr>
      <w:r w:rsidRPr="0042207F">
        <w:rPr>
          <w:rFonts w:ascii="Arial" w:hAnsi="Arial" w:cs="Arial"/>
        </w:rPr>
        <w:t>El procedimiento de capacitación a cargo de la SDNC contiene las siguientes etapas:</w:t>
      </w:r>
    </w:p>
    <w:p w:rsidR="0042207F" w:rsidRPr="0042207F" w:rsidRDefault="0042207F" w:rsidP="00B01FF7">
      <w:pPr>
        <w:spacing w:after="0" w:line="240" w:lineRule="auto"/>
        <w:jc w:val="both"/>
        <w:rPr>
          <w:rFonts w:ascii="Arial" w:hAnsi="Arial" w:cs="Arial"/>
        </w:rPr>
      </w:pPr>
    </w:p>
    <w:p w:rsidR="0042207F" w:rsidRPr="00B01FF7" w:rsidRDefault="0042207F" w:rsidP="0092471C">
      <w:pPr>
        <w:pStyle w:val="Prrafodelista"/>
        <w:numPr>
          <w:ilvl w:val="0"/>
          <w:numId w:val="255"/>
        </w:numPr>
        <w:spacing w:after="0" w:line="240" w:lineRule="auto"/>
        <w:ind w:left="2268"/>
        <w:jc w:val="both"/>
        <w:rPr>
          <w:rFonts w:ascii="Arial" w:hAnsi="Arial" w:cs="Arial"/>
        </w:rPr>
      </w:pPr>
      <w:r w:rsidRPr="00B01FF7">
        <w:rPr>
          <w:rFonts w:ascii="Arial" w:hAnsi="Arial" w:cs="Arial"/>
        </w:rPr>
        <w:t>Etapa de acciones previas.</w:t>
      </w:r>
    </w:p>
    <w:p w:rsidR="0042207F" w:rsidRPr="00B01FF7" w:rsidRDefault="0042207F" w:rsidP="0092471C">
      <w:pPr>
        <w:pStyle w:val="Prrafodelista"/>
        <w:numPr>
          <w:ilvl w:val="0"/>
          <w:numId w:val="255"/>
        </w:numPr>
        <w:spacing w:after="0" w:line="240" w:lineRule="auto"/>
        <w:ind w:left="2268"/>
        <w:jc w:val="both"/>
        <w:rPr>
          <w:rFonts w:ascii="Arial" w:hAnsi="Arial" w:cs="Arial"/>
        </w:rPr>
      </w:pPr>
      <w:r w:rsidRPr="00B01FF7">
        <w:rPr>
          <w:rFonts w:ascii="Arial" w:hAnsi="Arial" w:cs="Arial"/>
        </w:rPr>
        <w:t>Etapa de ejecución de la capacitación.</w:t>
      </w:r>
    </w:p>
    <w:p w:rsidR="0042207F" w:rsidRPr="00B01FF7" w:rsidRDefault="0042207F" w:rsidP="0092471C">
      <w:pPr>
        <w:pStyle w:val="Prrafodelista"/>
        <w:numPr>
          <w:ilvl w:val="0"/>
          <w:numId w:val="255"/>
        </w:numPr>
        <w:spacing w:after="0" w:line="240" w:lineRule="auto"/>
        <w:ind w:left="2268"/>
        <w:jc w:val="both"/>
        <w:rPr>
          <w:rFonts w:ascii="Arial" w:hAnsi="Arial" w:cs="Arial"/>
        </w:rPr>
      </w:pPr>
      <w:r w:rsidRPr="00B01FF7">
        <w:rPr>
          <w:rFonts w:ascii="Arial" w:hAnsi="Arial" w:cs="Arial"/>
        </w:rPr>
        <w:t>Etapa de cierre de actividad de capacitación.</w:t>
      </w:r>
    </w:p>
    <w:p w:rsidR="0042207F" w:rsidRPr="0042207F" w:rsidRDefault="0042207F" w:rsidP="00B01FF7">
      <w:pPr>
        <w:spacing w:after="0" w:line="240" w:lineRule="auto"/>
        <w:jc w:val="both"/>
        <w:rPr>
          <w:rFonts w:ascii="Arial" w:hAnsi="Arial" w:cs="Arial"/>
        </w:rPr>
      </w:pPr>
    </w:p>
    <w:p w:rsidR="0042207F" w:rsidRPr="0042207F" w:rsidRDefault="0042207F" w:rsidP="00B01FF7">
      <w:pPr>
        <w:spacing w:after="0" w:line="240" w:lineRule="auto"/>
        <w:ind w:left="1985"/>
        <w:jc w:val="both"/>
        <w:rPr>
          <w:rFonts w:ascii="Arial" w:hAnsi="Arial" w:cs="Arial"/>
        </w:rPr>
      </w:pPr>
      <w:r w:rsidRPr="0042207F">
        <w:rPr>
          <w:rFonts w:ascii="Arial" w:hAnsi="Arial" w:cs="Arial"/>
        </w:rPr>
        <w:t xml:space="preserve">Las etapas antes descritas, comprenden, entre otras actividades, las siguientes: </w:t>
      </w:r>
    </w:p>
    <w:p w:rsidR="0042207F" w:rsidRPr="0042207F" w:rsidRDefault="0042207F" w:rsidP="00B01FF7">
      <w:pPr>
        <w:spacing w:after="0" w:line="240" w:lineRule="auto"/>
        <w:jc w:val="both"/>
        <w:rPr>
          <w:rFonts w:ascii="Arial" w:hAnsi="Arial" w:cs="Arial"/>
        </w:rPr>
      </w:pPr>
    </w:p>
    <w:p w:rsidR="0042207F" w:rsidRPr="00B01FF7" w:rsidRDefault="0042207F" w:rsidP="0092471C">
      <w:pPr>
        <w:pStyle w:val="Prrafodelista"/>
        <w:numPr>
          <w:ilvl w:val="0"/>
          <w:numId w:val="256"/>
        </w:numPr>
        <w:spacing w:after="0" w:line="240" w:lineRule="auto"/>
        <w:ind w:left="2268"/>
        <w:jc w:val="both"/>
        <w:rPr>
          <w:rFonts w:ascii="Arial" w:hAnsi="Arial" w:cs="Arial"/>
          <w:b/>
        </w:rPr>
      </w:pPr>
      <w:r w:rsidRPr="00B01FF7">
        <w:rPr>
          <w:rFonts w:ascii="Arial" w:hAnsi="Arial" w:cs="Arial"/>
          <w:b/>
        </w:rPr>
        <w:t>En la etapa de acciones previas.</w:t>
      </w:r>
    </w:p>
    <w:p w:rsidR="0042207F" w:rsidRPr="00B01FF7" w:rsidRDefault="0042207F" w:rsidP="0092471C">
      <w:pPr>
        <w:pStyle w:val="Prrafodelista"/>
        <w:numPr>
          <w:ilvl w:val="2"/>
          <w:numId w:val="257"/>
        </w:numPr>
        <w:spacing w:after="0" w:line="240" w:lineRule="auto"/>
        <w:ind w:left="2694" w:hanging="426"/>
        <w:jc w:val="both"/>
        <w:rPr>
          <w:rFonts w:ascii="Arial" w:hAnsi="Arial" w:cs="Arial"/>
        </w:rPr>
      </w:pPr>
      <w:r w:rsidRPr="00B01FF7">
        <w:rPr>
          <w:rFonts w:ascii="Arial" w:hAnsi="Arial" w:cs="Arial"/>
        </w:rPr>
        <w:t xml:space="preserve">Elaboración del cronograma y programa de la capacitación. </w:t>
      </w:r>
    </w:p>
    <w:p w:rsidR="0042207F" w:rsidRPr="00B01FF7" w:rsidRDefault="0042207F" w:rsidP="0092471C">
      <w:pPr>
        <w:pStyle w:val="Prrafodelista"/>
        <w:numPr>
          <w:ilvl w:val="2"/>
          <w:numId w:val="257"/>
        </w:numPr>
        <w:spacing w:after="0" w:line="240" w:lineRule="auto"/>
        <w:ind w:left="2694" w:hanging="426"/>
        <w:jc w:val="both"/>
        <w:rPr>
          <w:rFonts w:ascii="Arial" w:hAnsi="Arial" w:cs="Arial"/>
        </w:rPr>
      </w:pPr>
      <w:r w:rsidRPr="00B01FF7">
        <w:rPr>
          <w:rFonts w:ascii="Arial" w:hAnsi="Arial" w:cs="Arial"/>
        </w:rPr>
        <w:t>Elaboración de los materiales de enseñanza.</w:t>
      </w:r>
    </w:p>
    <w:p w:rsidR="0042207F" w:rsidRPr="00B01FF7" w:rsidRDefault="0042207F" w:rsidP="0092471C">
      <w:pPr>
        <w:pStyle w:val="Prrafodelista"/>
        <w:numPr>
          <w:ilvl w:val="2"/>
          <w:numId w:val="257"/>
        </w:numPr>
        <w:spacing w:after="0" w:line="240" w:lineRule="auto"/>
        <w:ind w:left="2694" w:hanging="426"/>
        <w:jc w:val="both"/>
        <w:rPr>
          <w:rFonts w:ascii="Arial" w:hAnsi="Arial" w:cs="Arial"/>
        </w:rPr>
      </w:pPr>
      <w:r w:rsidRPr="00B01FF7">
        <w:rPr>
          <w:rFonts w:ascii="Arial" w:hAnsi="Arial" w:cs="Arial"/>
        </w:rPr>
        <w:t>Requerir a la OAF la contratación de los bienes y servicios necesarios para el desarrollo de la capacitación.</w:t>
      </w:r>
    </w:p>
    <w:p w:rsidR="0042207F" w:rsidRPr="00B01FF7" w:rsidRDefault="0042207F" w:rsidP="0092471C">
      <w:pPr>
        <w:pStyle w:val="Prrafodelista"/>
        <w:numPr>
          <w:ilvl w:val="2"/>
          <w:numId w:val="257"/>
        </w:numPr>
        <w:spacing w:after="0" w:line="240" w:lineRule="auto"/>
        <w:ind w:left="2694" w:hanging="426"/>
        <w:jc w:val="both"/>
        <w:rPr>
          <w:rFonts w:ascii="Arial" w:hAnsi="Arial" w:cs="Arial"/>
        </w:rPr>
      </w:pPr>
      <w:r w:rsidRPr="00B01FF7">
        <w:rPr>
          <w:rFonts w:ascii="Arial" w:hAnsi="Arial" w:cs="Arial"/>
        </w:rPr>
        <w:t>Inscripción de los participantes y elaboración de la lista de participantes.</w:t>
      </w:r>
    </w:p>
    <w:p w:rsidR="0042207F" w:rsidRPr="00B01FF7" w:rsidRDefault="0042207F" w:rsidP="0092471C">
      <w:pPr>
        <w:pStyle w:val="Prrafodelista"/>
        <w:numPr>
          <w:ilvl w:val="2"/>
          <w:numId w:val="257"/>
        </w:numPr>
        <w:spacing w:after="0" w:line="240" w:lineRule="auto"/>
        <w:ind w:left="2694" w:hanging="426"/>
        <w:jc w:val="both"/>
        <w:rPr>
          <w:rFonts w:ascii="Arial" w:hAnsi="Arial" w:cs="Arial"/>
        </w:rPr>
      </w:pPr>
      <w:r w:rsidRPr="00B01FF7">
        <w:rPr>
          <w:rFonts w:ascii="Arial" w:hAnsi="Arial" w:cs="Arial"/>
        </w:rPr>
        <w:t>Recepción, verificación y archivo de documentos.</w:t>
      </w:r>
    </w:p>
    <w:p w:rsidR="0042207F" w:rsidRPr="00B01FF7" w:rsidRDefault="0042207F" w:rsidP="0092471C">
      <w:pPr>
        <w:pStyle w:val="Prrafodelista"/>
        <w:numPr>
          <w:ilvl w:val="2"/>
          <w:numId w:val="257"/>
        </w:numPr>
        <w:spacing w:after="0" w:line="240" w:lineRule="auto"/>
        <w:ind w:left="2694" w:hanging="426"/>
        <w:jc w:val="both"/>
        <w:rPr>
          <w:rFonts w:ascii="Arial" w:hAnsi="Arial" w:cs="Arial"/>
        </w:rPr>
      </w:pPr>
      <w:r w:rsidRPr="00B01FF7">
        <w:rPr>
          <w:rFonts w:ascii="Arial" w:hAnsi="Arial" w:cs="Arial"/>
        </w:rPr>
        <w:t>Elaboración de las evaluaciones de aprendizaje.</w:t>
      </w:r>
    </w:p>
    <w:p w:rsidR="0042207F" w:rsidRPr="00B01FF7" w:rsidRDefault="0042207F" w:rsidP="0092471C">
      <w:pPr>
        <w:pStyle w:val="Prrafodelista"/>
        <w:numPr>
          <w:ilvl w:val="2"/>
          <w:numId w:val="257"/>
        </w:numPr>
        <w:spacing w:after="0" w:line="240" w:lineRule="auto"/>
        <w:ind w:left="2694" w:hanging="426"/>
        <w:jc w:val="both"/>
        <w:rPr>
          <w:rFonts w:ascii="Arial" w:hAnsi="Arial" w:cs="Arial"/>
        </w:rPr>
      </w:pPr>
      <w:r w:rsidRPr="00B01FF7">
        <w:rPr>
          <w:rFonts w:ascii="Arial" w:hAnsi="Arial" w:cs="Arial"/>
        </w:rPr>
        <w:t>Coordinación para la cobertura y difusión del evento de capacitación.</w:t>
      </w:r>
    </w:p>
    <w:p w:rsidR="0042207F" w:rsidRPr="0042207F" w:rsidRDefault="0042207F" w:rsidP="00B01FF7">
      <w:pPr>
        <w:spacing w:after="0" w:line="240" w:lineRule="auto"/>
        <w:jc w:val="both"/>
        <w:rPr>
          <w:rFonts w:ascii="Arial" w:hAnsi="Arial" w:cs="Arial"/>
        </w:rPr>
      </w:pPr>
    </w:p>
    <w:p w:rsidR="0042207F" w:rsidRPr="000130D1" w:rsidRDefault="0042207F" w:rsidP="0092471C">
      <w:pPr>
        <w:pStyle w:val="Prrafodelista"/>
        <w:numPr>
          <w:ilvl w:val="0"/>
          <w:numId w:val="256"/>
        </w:numPr>
        <w:spacing w:after="0" w:line="240" w:lineRule="auto"/>
        <w:ind w:left="2268"/>
        <w:jc w:val="both"/>
        <w:rPr>
          <w:rFonts w:ascii="Arial" w:hAnsi="Arial" w:cs="Arial"/>
          <w:b/>
        </w:rPr>
      </w:pPr>
      <w:r w:rsidRPr="000130D1">
        <w:rPr>
          <w:rFonts w:ascii="Arial" w:hAnsi="Arial" w:cs="Arial"/>
          <w:b/>
        </w:rPr>
        <w:t>En la etapa de ejecución de la capacitación.</w:t>
      </w:r>
    </w:p>
    <w:p w:rsidR="0042207F" w:rsidRPr="000130D1" w:rsidRDefault="0042207F" w:rsidP="0092471C">
      <w:pPr>
        <w:pStyle w:val="Prrafodelista"/>
        <w:numPr>
          <w:ilvl w:val="2"/>
          <w:numId w:val="258"/>
        </w:numPr>
        <w:spacing w:after="0" w:line="240" w:lineRule="auto"/>
        <w:ind w:left="2694" w:hanging="426"/>
        <w:jc w:val="both"/>
        <w:rPr>
          <w:rFonts w:ascii="Arial" w:hAnsi="Arial" w:cs="Arial"/>
        </w:rPr>
      </w:pPr>
      <w:r w:rsidRPr="000130D1">
        <w:rPr>
          <w:rFonts w:ascii="Arial" w:hAnsi="Arial" w:cs="Arial"/>
        </w:rPr>
        <w:t>Control de asistencia de los participantes.</w:t>
      </w:r>
    </w:p>
    <w:p w:rsidR="0042207F" w:rsidRPr="000130D1" w:rsidRDefault="0042207F" w:rsidP="0092471C">
      <w:pPr>
        <w:pStyle w:val="Prrafodelista"/>
        <w:numPr>
          <w:ilvl w:val="2"/>
          <w:numId w:val="258"/>
        </w:numPr>
        <w:spacing w:after="0" w:line="240" w:lineRule="auto"/>
        <w:ind w:left="2694" w:hanging="426"/>
        <w:jc w:val="both"/>
        <w:rPr>
          <w:rFonts w:ascii="Arial" w:hAnsi="Arial" w:cs="Arial"/>
        </w:rPr>
      </w:pPr>
      <w:r w:rsidRPr="000130D1">
        <w:rPr>
          <w:rFonts w:ascii="Arial" w:hAnsi="Arial" w:cs="Arial"/>
        </w:rPr>
        <w:t>Cumplimiento del programa del curso.</w:t>
      </w:r>
    </w:p>
    <w:p w:rsidR="0042207F" w:rsidRPr="000130D1" w:rsidRDefault="0042207F" w:rsidP="0092471C">
      <w:pPr>
        <w:pStyle w:val="Prrafodelista"/>
        <w:numPr>
          <w:ilvl w:val="2"/>
          <w:numId w:val="258"/>
        </w:numPr>
        <w:spacing w:after="0" w:line="240" w:lineRule="auto"/>
        <w:ind w:left="2694" w:hanging="426"/>
        <w:jc w:val="both"/>
        <w:rPr>
          <w:rFonts w:ascii="Arial" w:hAnsi="Arial" w:cs="Arial"/>
        </w:rPr>
      </w:pPr>
      <w:r w:rsidRPr="000130D1">
        <w:rPr>
          <w:rFonts w:ascii="Arial" w:hAnsi="Arial" w:cs="Arial"/>
        </w:rPr>
        <w:t xml:space="preserve">Aplicación de las evaluaciones de aprendizaje. </w:t>
      </w:r>
    </w:p>
    <w:p w:rsidR="0042207F" w:rsidRPr="000130D1" w:rsidRDefault="0042207F" w:rsidP="0092471C">
      <w:pPr>
        <w:pStyle w:val="Prrafodelista"/>
        <w:numPr>
          <w:ilvl w:val="2"/>
          <w:numId w:val="258"/>
        </w:numPr>
        <w:spacing w:after="0" w:line="240" w:lineRule="auto"/>
        <w:ind w:left="2694" w:hanging="426"/>
        <w:jc w:val="both"/>
        <w:rPr>
          <w:rFonts w:ascii="Arial" w:hAnsi="Arial" w:cs="Arial"/>
        </w:rPr>
      </w:pPr>
      <w:r w:rsidRPr="000130D1">
        <w:rPr>
          <w:rFonts w:ascii="Arial" w:hAnsi="Arial" w:cs="Arial"/>
        </w:rPr>
        <w:t>Consolidación de resultados de evaluaciones de aprendizaje.</w:t>
      </w:r>
    </w:p>
    <w:p w:rsidR="0042207F" w:rsidRPr="000130D1" w:rsidRDefault="0042207F" w:rsidP="0092471C">
      <w:pPr>
        <w:pStyle w:val="Prrafodelista"/>
        <w:numPr>
          <w:ilvl w:val="2"/>
          <w:numId w:val="258"/>
        </w:numPr>
        <w:spacing w:after="0" w:line="240" w:lineRule="auto"/>
        <w:ind w:left="2694" w:hanging="426"/>
        <w:jc w:val="both"/>
        <w:rPr>
          <w:rFonts w:ascii="Arial" w:hAnsi="Arial" w:cs="Arial"/>
        </w:rPr>
      </w:pPr>
      <w:r w:rsidRPr="000130D1">
        <w:rPr>
          <w:rFonts w:ascii="Arial" w:hAnsi="Arial" w:cs="Arial"/>
        </w:rPr>
        <w:t>Verificación de requisitos para la emisión de certificados.</w:t>
      </w:r>
    </w:p>
    <w:p w:rsidR="0042207F" w:rsidRPr="0042207F" w:rsidRDefault="0042207F" w:rsidP="00B01FF7">
      <w:pPr>
        <w:spacing w:after="0" w:line="240" w:lineRule="auto"/>
        <w:jc w:val="both"/>
        <w:rPr>
          <w:rFonts w:ascii="Arial" w:hAnsi="Arial" w:cs="Arial"/>
        </w:rPr>
      </w:pPr>
    </w:p>
    <w:p w:rsidR="0042207F" w:rsidRPr="000130D1" w:rsidRDefault="0042207F" w:rsidP="0092471C">
      <w:pPr>
        <w:pStyle w:val="Prrafodelista"/>
        <w:numPr>
          <w:ilvl w:val="0"/>
          <w:numId w:val="256"/>
        </w:numPr>
        <w:spacing w:after="0" w:line="240" w:lineRule="auto"/>
        <w:ind w:left="2268"/>
        <w:jc w:val="both"/>
        <w:rPr>
          <w:rFonts w:ascii="Arial" w:hAnsi="Arial" w:cs="Arial"/>
          <w:b/>
        </w:rPr>
      </w:pPr>
      <w:r w:rsidRPr="000130D1">
        <w:rPr>
          <w:rFonts w:ascii="Arial" w:hAnsi="Arial" w:cs="Arial"/>
          <w:b/>
        </w:rPr>
        <w:t>En la etapa de cierre de actividad de capacitación.</w:t>
      </w:r>
    </w:p>
    <w:p w:rsidR="0042207F" w:rsidRPr="000130D1" w:rsidRDefault="0042207F" w:rsidP="0092471C">
      <w:pPr>
        <w:pStyle w:val="Prrafodelista"/>
        <w:numPr>
          <w:ilvl w:val="2"/>
          <w:numId w:val="259"/>
        </w:numPr>
        <w:spacing w:after="0" w:line="240" w:lineRule="auto"/>
        <w:ind w:left="2694" w:hanging="426"/>
        <w:jc w:val="both"/>
        <w:rPr>
          <w:rFonts w:ascii="Arial" w:hAnsi="Arial" w:cs="Arial"/>
        </w:rPr>
      </w:pPr>
      <w:r w:rsidRPr="000130D1">
        <w:rPr>
          <w:rFonts w:ascii="Arial" w:hAnsi="Arial" w:cs="Arial"/>
        </w:rPr>
        <w:t>Elaboración del informe final.</w:t>
      </w:r>
    </w:p>
    <w:p w:rsidR="0042207F" w:rsidRPr="000130D1" w:rsidRDefault="0042207F" w:rsidP="0092471C">
      <w:pPr>
        <w:pStyle w:val="Prrafodelista"/>
        <w:numPr>
          <w:ilvl w:val="2"/>
          <w:numId w:val="259"/>
        </w:numPr>
        <w:spacing w:after="0" w:line="240" w:lineRule="auto"/>
        <w:ind w:left="2694" w:hanging="426"/>
        <w:jc w:val="both"/>
        <w:rPr>
          <w:rFonts w:ascii="Arial" w:hAnsi="Arial" w:cs="Arial"/>
        </w:rPr>
      </w:pPr>
      <w:r w:rsidRPr="000130D1">
        <w:rPr>
          <w:rFonts w:ascii="Arial" w:hAnsi="Arial" w:cs="Arial"/>
        </w:rPr>
        <w:t>Emisión de certificados de los participantes.</w:t>
      </w:r>
    </w:p>
    <w:p w:rsidR="0042207F" w:rsidRPr="000130D1" w:rsidRDefault="0042207F" w:rsidP="0092471C">
      <w:pPr>
        <w:pStyle w:val="Prrafodelista"/>
        <w:numPr>
          <w:ilvl w:val="2"/>
          <w:numId w:val="259"/>
        </w:numPr>
        <w:spacing w:after="0" w:line="240" w:lineRule="auto"/>
        <w:ind w:left="2694" w:hanging="426"/>
        <w:jc w:val="both"/>
        <w:rPr>
          <w:rFonts w:ascii="Arial" w:hAnsi="Arial" w:cs="Arial"/>
        </w:rPr>
      </w:pPr>
      <w:r w:rsidRPr="000130D1">
        <w:rPr>
          <w:rFonts w:ascii="Arial" w:hAnsi="Arial" w:cs="Arial"/>
        </w:rPr>
        <w:t xml:space="preserve">Codificación y registro de certificados. </w:t>
      </w:r>
    </w:p>
    <w:p w:rsidR="0042207F" w:rsidRPr="0042207F" w:rsidRDefault="0042207F" w:rsidP="00B01FF7">
      <w:pPr>
        <w:spacing w:after="0" w:line="240" w:lineRule="auto"/>
        <w:jc w:val="both"/>
        <w:rPr>
          <w:rFonts w:ascii="Arial" w:hAnsi="Arial" w:cs="Arial"/>
        </w:rPr>
      </w:pPr>
    </w:p>
    <w:p w:rsidR="0042207F" w:rsidRPr="0042207F" w:rsidRDefault="0042207F" w:rsidP="000130D1">
      <w:pPr>
        <w:spacing w:after="0" w:line="240" w:lineRule="auto"/>
        <w:ind w:left="1560"/>
        <w:jc w:val="both"/>
        <w:rPr>
          <w:rFonts w:ascii="Arial" w:hAnsi="Arial" w:cs="Arial"/>
        </w:rPr>
      </w:pPr>
      <w:r w:rsidRPr="0042207F">
        <w:rPr>
          <w:rFonts w:ascii="Arial" w:hAnsi="Arial" w:cs="Arial"/>
        </w:rPr>
        <w:t>La SDNC puede reajustar las actividades antes descritas en función al tipo de evento de capacitación que se efectúe.</w:t>
      </w:r>
    </w:p>
    <w:p w:rsidR="0042207F" w:rsidRPr="000130D1" w:rsidRDefault="0042207F" w:rsidP="000130D1">
      <w:pPr>
        <w:spacing w:after="0" w:line="240" w:lineRule="auto"/>
        <w:ind w:left="1985" w:hanging="425"/>
        <w:jc w:val="both"/>
        <w:rPr>
          <w:rFonts w:ascii="Arial" w:hAnsi="Arial" w:cs="Arial"/>
          <w:b/>
        </w:rPr>
      </w:pPr>
      <w:r w:rsidRPr="000130D1">
        <w:rPr>
          <w:rFonts w:ascii="Arial" w:hAnsi="Arial" w:cs="Arial"/>
          <w:b/>
        </w:rPr>
        <w:t>b.</w:t>
      </w:r>
      <w:r w:rsidRPr="000130D1">
        <w:rPr>
          <w:rFonts w:ascii="Arial" w:hAnsi="Arial" w:cs="Arial"/>
          <w:b/>
        </w:rPr>
        <w:tab/>
        <w:t xml:space="preserve">Modalidades </w:t>
      </w:r>
    </w:p>
    <w:p w:rsidR="0042207F" w:rsidRPr="0042207F" w:rsidRDefault="0042207F" w:rsidP="00B01FF7">
      <w:pPr>
        <w:spacing w:after="0" w:line="240" w:lineRule="auto"/>
        <w:jc w:val="both"/>
        <w:rPr>
          <w:rFonts w:ascii="Arial" w:hAnsi="Arial" w:cs="Arial"/>
        </w:rPr>
      </w:pPr>
    </w:p>
    <w:p w:rsidR="0042207F" w:rsidRPr="0042207F" w:rsidRDefault="0042207F" w:rsidP="000130D1">
      <w:pPr>
        <w:spacing w:after="0" w:line="240" w:lineRule="auto"/>
        <w:ind w:left="1985"/>
        <w:jc w:val="both"/>
        <w:rPr>
          <w:rFonts w:ascii="Arial" w:hAnsi="Arial" w:cs="Arial"/>
        </w:rPr>
      </w:pPr>
      <w:r w:rsidRPr="0042207F">
        <w:rPr>
          <w:rFonts w:ascii="Arial" w:hAnsi="Arial" w:cs="Arial"/>
        </w:rPr>
        <w:t>El proceso de capacitación se dictará bajo las modalidades: presencial y/o virtual.</w:t>
      </w:r>
    </w:p>
    <w:p w:rsidR="0042207F" w:rsidRPr="0042207F" w:rsidRDefault="0042207F" w:rsidP="00B01FF7">
      <w:pPr>
        <w:spacing w:after="0" w:line="240" w:lineRule="auto"/>
        <w:jc w:val="both"/>
        <w:rPr>
          <w:rFonts w:ascii="Arial" w:hAnsi="Arial" w:cs="Arial"/>
        </w:rPr>
      </w:pPr>
    </w:p>
    <w:p w:rsidR="0042207F" w:rsidRPr="000130D1" w:rsidRDefault="0042207F" w:rsidP="0092471C">
      <w:pPr>
        <w:pStyle w:val="Prrafodelista"/>
        <w:numPr>
          <w:ilvl w:val="0"/>
          <w:numId w:val="260"/>
        </w:numPr>
        <w:spacing w:after="0" w:line="240" w:lineRule="auto"/>
        <w:ind w:left="2410"/>
        <w:jc w:val="both"/>
        <w:rPr>
          <w:rFonts w:ascii="Arial" w:hAnsi="Arial" w:cs="Arial"/>
          <w:b/>
        </w:rPr>
      </w:pPr>
      <w:r w:rsidRPr="000130D1">
        <w:rPr>
          <w:rFonts w:ascii="Arial" w:hAnsi="Arial" w:cs="Arial"/>
          <w:b/>
        </w:rPr>
        <w:t>Presencial</w:t>
      </w:r>
    </w:p>
    <w:p w:rsidR="0042207F" w:rsidRPr="0042207F" w:rsidRDefault="0042207F" w:rsidP="00B01FF7">
      <w:pPr>
        <w:spacing w:after="0" w:line="240" w:lineRule="auto"/>
        <w:jc w:val="both"/>
        <w:rPr>
          <w:rFonts w:ascii="Arial" w:hAnsi="Arial" w:cs="Arial"/>
        </w:rPr>
      </w:pPr>
    </w:p>
    <w:p w:rsidR="0042207F" w:rsidRPr="0042207F" w:rsidRDefault="0042207F" w:rsidP="000130D1">
      <w:pPr>
        <w:spacing w:after="0" w:line="240" w:lineRule="auto"/>
        <w:ind w:left="2410"/>
        <w:jc w:val="both"/>
        <w:rPr>
          <w:rFonts w:ascii="Arial" w:hAnsi="Arial" w:cs="Arial"/>
        </w:rPr>
      </w:pPr>
      <w:r w:rsidRPr="0042207F">
        <w:rPr>
          <w:rFonts w:ascii="Arial" w:hAnsi="Arial" w:cs="Arial"/>
        </w:rPr>
        <w:t>La capacitación presencial se desarrolla de manera descentralizada, con la finalidad de permitir un mayor acceso a los profesionales y técnicos, fortaleciendo las capacidades de gestión en bienes del Estado.</w:t>
      </w:r>
    </w:p>
    <w:p w:rsidR="0042207F" w:rsidRPr="0042207F" w:rsidRDefault="0042207F" w:rsidP="00B01FF7">
      <w:pPr>
        <w:spacing w:after="0" w:line="240" w:lineRule="auto"/>
        <w:jc w:val="both"/>
        <w:rPr>
          <w:rFonts w:ascii="Arial" w:hAnsi="Arial" w:cs="Arial"/>
        </w:rPr>
      </w:pPr>
    </w:p>
    <w:p w:rsidR="0042207F" w:rsidRPr="000130D1" w:rsidRDefault="0042207F" w:rsidP="0092471C">
      <w:pPr>
        <w:pStyle w:val="Prrafodelista"/>
        <w:numPr>
          <w:ilvl w:val="0"/>
          <w:numId w:val="260"/>
        </w:numPr>
        <w:spacing w:after="0" w:line="240" w:lineRule="auto"/>
        <w:ind w:left="2410"/>
        <w:jc w:val="both"/>
        <w:rPr>
          <w:rFonts w:ascii="Arial" w:hAnsi="Arial" w:cs="Arial"/>
          <w:b/>
        </w:rPr>
      </w:pPr>
      <w:r w:rsidRPr="000130D1">
        <w:rPr>
          <w:rFonts w:ascii="Arial" w:hAnsi="Arial" w:cs="Arial"/>
          <w:b/>
        </w:rPr>
        <w:t>Virtual</w:t>
      </w:r>
    </w:p>
    <w:p w:rsidR="0042207F" w:rsidRPr="0042207F" w:rsidRDefault="0042207F" w:rsidP="00B01FF7">
      <w:pPr>
        <w:spacing w:after="0" w:line="240" w:lineRule="auto"/>
        <w:jc w:val="both"/>
        <w:rPr>
          <w:rFonts w:ascii="Arial" w:hAnsi="Arial" w:cs="Arial"/>
        </w:rPr>
      </w:pPr>
    </w:p>
    <w:p w:rsidR="0042207F" w:rsidRPr="0042207F" w:rsidRDefault="0042207F" w:rsidP="000130D1">
      <w:pPr>
        <w:spacing w:after="0" w:line="240" w:lineRule="auto"/>
        <w:ind w:left="2410"/>
        <w:jc w:val="both"/>
        <w:rPr>
          <w:rFonts w:ascii="Arial" w:hAnsi="Arial" w:cs="Arial"/>
        </w:rPr>
      </w:pPr>
      <w:r w:rsidRPr="0042207F">
        <w:rPr>
          <w:rFonts w:ascii="Arial" w:hAnsi="Arial" w:cs="Arial"/>
        </w:rPr>
        <w:t xml:space="preserve">La capacitación virtual se desarrolla a través del Aula Virtual, bajo el principio de la autoformación guiada, cuya plataforma estará a disposición de los usuarios en la página web de la SBN. </w:t>
      </w:r>
    </w:p>
    <w:p w:rsidR="0042207F" w:rsidRPr="0042207F" w:rsidRDefault="0042207F" w:rsidP="000130D1">
      <w:pPr>
        <w:spacing w:after="0" w:line="240" w:lineRule="auto"/>
        <w:ind w:left="2410"/>
        <w:jc w:val="both"/>
        <w:rPr>
          <w:rFonts w:ascii="Arial" w:hAnsi="Arial" w:cs="Arial"/>
        </w:rPr>
      </w:pPr>
    </w:p>
    <w:p w:rsidR="0042207F" w:rsidRPr="0042207F" w:rsidRDefault="0042207F" w:rsidP="000130D1">
      <w:pPr>
        <w:spacing w:after="0" w:line="240" w:lineRule="auto"/>
        <w:ind w:left="2410"/>
        <w:jc w:val="both"/>
        <w:rPr>
          <w:rFonts w:ascii="Arial" w:hAnsi="Arial" w:cs="Arial"/>
        </w:rPr>
      </w:pPr>
      <w:r w:rsidRPr="0042207F">
        <w:rPr>
          <w:rFonts w:ascii="Arial" w:hAnsi="Arial" w:cs="Arial"/>
        </w:rPr>
        <w:t>La SBN debe procurar a los participantes los compendios normativos, extractos jurisprudenciales, banco de preguntas frecuentes, videos, foros, chat, entre otras herramientas virtuales educativas.</w:t>
      </w:r>
    </w:p>
    <w:p w:rsidR="0042207F" w:rsidRPr="0042207F" w:rsidRDefault="0042207F" w:rsidP="00B01FF7">
      <w:pPr>
        <w:spacing w:after="0" w:line="240" w:lineRule="auto"/>
        <w:jc w:val="both"/>
        <w:rPr>
          <w:rFonts w:ascii="Arial" w:hAnsi="Arial" w:cs="Arial"/>
        </w:rPr>
      </w:pPr>
    </w:p>
    <w:p w:rsidR="0042207F" w:rsidRPr="0042207F" w:rsidRDefault="0042207F" w:rsidP="00B01FF7">
      <w:pPr>
        <w:spacing w:after="0" w:line="240" w:lineRule="auto"/>
        <w:jc w:val="both"/>
        <w:rPr>
          <w:rFonts w:ascii="Arial" w:hAnsi="Arial" w:cs="Arial"/>
        </w:rPr>
      </w:pPr>
    </w:p>
    <w:p w:rsidR="0042207F" w:rsidRPr="000130D1" w:rsidRDefault="0042207F" w:rsidP="000130D1">
      <w:pPr>
        <w:spacing w:after="0" w:line="240" w:lineRule="auto"/>
        <w:ind w:left="1560" w:hanging="567"/>
        <w:jc w:val="both"/>
        <w:rPr>
          <w:rFonts w:ascii="Arial" w:hAnsi="Arial" w:cs="Arial"/>
          <w:b/>
        </w:rPr>
      </w:pPr>
      <w:r w:rsidRPr="000130D1">
        <w:rPr>
          <w:rFonts w:ascii="Arial" w:hAnsi="Arial" w:cs="Arial"/>
          <w:b/>
        </w:rPr>
        <w:t>6.1.3 Capacitación prestada por los aliados estratégicos con convenio de cooperación interinstitucional</w:t>
      </w:r>
    </w:p>
    <w:p w:rsidR="0042207F" w:rsidRPr="0042207F" w:rsidRDefault="0042207F" w:rsidP="00B01FF7">
      <w:pPr>
        <w:spacing w:after="0" w:line="240" w:lineRule="auto"/>
        <w:jc w:val="both"/>
        <w:rPr>
          <w:rFonts w:ascii="Arial" w:hAnsi="Arial" w:cs="Arial"/>
        </w:rPr>
      </w:pPr>
    </w:p>
    <w:p w:rsidR="0042207F" w:rsidRPr="0042207F" w:rsidRDefault="0042207F" w:rsidP="000130D1">
      <w:pPr>
        <w:spacing w:after="0" w:line="240" w:lineRule="auto"/>
        <w:ind w:left="1560"/>
        <w:jc w:val="both"/>
        <w:rPr>
          <w:rFonts w:ascii="Arial" w:hAnsi="Arial" w:cs="Arial"/>
        </w:rPr>
      </w:pPr>
      <w:r w:rsidRPr="0042207F">
        <w:rPr>
          <w:rFonts w:ascii="Arial" w:hAnsi="Arial" w:cs="Arial"/>
        </w:rPr>
        <w:t>La SBN puede suscribir convenios de cooperación para desarrollar actividades de capacitación dirigida a los profesionales y técnicos encargados de actividades relativas a la gestión de bienes estatales, así como al público en general.</w:t>
      </w:r>
    </w:p>
    <w:p w:rsidR="0042207F" w:rsidRPr="0042207F" w:rsidRDefault="0042207F" w:rsidP="000130D1">
      <w:pPr>
        <w:spacing w:after="0" w:line="240" w:lineRule="auto"/>
        <w:ind w:left="1560"/>
        <w:jc w:val="both"/>
        <w:rPr>
          <w:rFonts w:ascii="Arial" w:hAnsi="Arial" w:cs="Arial"/>
        </w:rPr>
      </w:pPr>
    </w:p>
    <w:p w:rsidR="0042207F" w:rsidRPr="0042207F" w:rsidRDefault="0042207F" w:rsidP="000130D1">
      <w:pPr>
        <w:spacing w:after="0" w:line="240" w:lineRule="auto"/>
        <w:ind w:left="1560"/>
        <w:jc w:val="both"/>
        <w:rPr>
          <w:rFonts w:ascii="Arial" w:hAnsi="Arial" w:cs="Arial"/>
        </w:rPr>
      </w:pPr>
      <w:r w:rsidRPr="0042207F">
        <w:rPr>
          <w:rFonts w:ascii="Arial" w:hAnsi="Arial" w:cs="Arial"/>
        </w:rPr>
        <w:t>Las entidades con las cuales la SBN puede suscribir convenios de capacitación serán las siguientes:</w:t>
      </w:r>
    </w:p>
    <w:p w:rsidR="0042207F" w:rsidRPr="0042207F" w:rsidRDefault="0042207F" w:rsidP="00B01FF7">
      <w:pPr>
        <w:spacing w:after="0" w:line="240" w:lineRule="auto"/>
        <w:jc w:val="both"/>
        <w:rPr>
          <w:rFonts w:ascii="Arial" w:hAnsi="Arial" w:cs="Arial"/>
        </w:rPr>
      </w:pPr>
    </w:p>
    <w:p w:rsidR="0042207F" w:rsidRPr="000130D1" w:rsidRDefault="0042207F" w:rsidP="0092471C">
      <w:pPr>
        <w:pStyle w:val="Prrafodelista"/>
        <w:numPr>
          <w:ilvl w:val="0"/>
          <w:numId w:val="261"/>
        </w:numPr>
        <w:spacing w:after="0" w:line="240" w:lineRule="auto"/>
        <w:ind w:left="1985"/>
        <w:jc w:val="both"/>
        <w:rPr>
          <w:rFonts w:ascii="Arial" w:hAnsi="Arial" w:cs="Arial"/>
        </w:rPr>
      </w:pPr>
      <w:r w:rsidRPr="000130D1">
        <w:rPr>
          <w:rFonts w:ascii="Arial" w:hAnsi="Arial" w:cs="Arial"/>
        </w:rPr>
        <w:t>Universidades públicas o privadas.</w:t>
      </w:r>
    </w:p>
    <w:p w:rsidR="0042207F" w:rsidRPr="000130D1" w:rsidRDefault="0042207F" w:rsidP="0092471C">
      <w:pPr>
        <w:pStyle w:val="Prrafodelista"/>
        <w:numPr>
          <w:ilvl w:val="0"/>
          <w:numId w:val="261"/>
        </w:numPr>
        <w:spacing w:after="0" w:line="240" w:lineRule="auto"/>
        <w:ind w:left="1985"/>
        <w:jc w:val="both"/>
        <w:rPr>
          <w:rFonts w:ascii="Arial" w:hAnsi="Arial" w:cs="Arial"/>
        </w:rPr>
      </w:pPr>
      <w:r w:rsidRPr="000130D1">
        <w:rPr>
          <w:rFonts w:ascii="Arial" w:hAnsi="Arial" w:cs="Arial"/>
        </w:rPr>
        <w:t>Instituciones públicas que cumplan funciones de capacitación.</w:t>
      </w:r>
    </w:p>
    <w:p w:rsidR="0042207F" w:rsidRPr="000130D1" w:rsidRDefault="0042207F" w:rsidP="0092471C">
      <w:pPr>
        <w:pStyle w:val="Prrafodelista"/>
        <w:numPr>
          <w:ilvl w:val="0"/>
          <w:numId w:val="261"/>
        </w:numPr>
        <w:spacing w:after="0" w:line="240" w:lineRule="auto"/>
        <w:ind w:left="1985"/>
        <w:jc w:val="both"/>
        <w:rPr>
          <w:rFonts w:ascii="Arial" w:hAnsi="Arial" w:cs="Arial"/>
        </w:rPr>
      </w:pPr>
      <w:r w:rsidRPr="000130D1">
        <w:rPr>
          <w:rFonts w:ascii="Arial" w:hAnsi="Arial" w:cs="Arial"/>
        </w:rPr>
        <w:t>Los Colegios Profesionales.</w:t>
      </w:r>
    </w:p>
    <w:p w:rsidR="0042207F" w:rsidRPr="000130D1" w:rsidRDefault="0042207F" w:rsidP="0092471C">
      <w:pPr>
        <w:pStyle w:val="Prrafodelista"/>
        <w:numPr>
          <w:ilvl w:val="0"/>
          <w:numId w:val="261"/>
        </w:numPr>
        <w:spacing w:after="0" w:line="240" w:lineRule="auto"/>
        <w:ind w:left="1985"/>
        <w:jc w:val="both"/>
        <w:rPr>
          <w:rFonts w:ascii="Arial" w:hAnsi="Arial" w:cs="Arial"/>
        </w:rPr>
      </w:pPr>
      <w:r w:rsidRPr="000130D1">
        <w:rPr>
          <w:rFonts w:ascii="Arial" w:hAnsi="Arial" w:cs="Arial"/>
        </w:rPr>
        <w:t>Instituciones privadas legalmente constituidas con una antigüedad no menor de tres (03) años, que tengan como objeto actividades de capacitación.</w:t>
      </w:r>
    </w:p>
    <w:p w:rsidR="0042207F" w:rsidRPr="000130D1" w:rsidRDefault="0042207F" w:rsidP="0092471C">
      <w:pPr>
        <w:pStyle w:val="Prrafodelista"/>
        <w:numPr>
          <w:ilvl w:val="0"/>
          <w:numId w:val="261"/>
        </w:numPr>
        <w:spacing w:after="0" w:line="240" w:lineRule="auto"/>
        <w:ind w:left="1985"/>
        <w:jc w:val="both"/>
        <w:rPr>
          <w:rFonts w:ascii="Arial" w:hAnsi="Arial" w:cs="Arial"/>
        </w:rPr>
      </w:pPr>
      <w:r w:rsidRPr="000130D1">
        <w:rPr>
          <w:rFonts w:ascii="Arial" w:hAnsi="Arial" w:cs="Arial"/>
        </w:rPr>
        <w:t>El Comité de Administración del Fondo de Asistencia y Estimulo CAFAE –SBN.</w:t>
      </w:r>
    </w:p>
    <w:p w:rsidR="0042207F" w:rsidRPr="0042207F" w:rsidRDefault="0042207F" w:rsidP="00B01FF7">
      <w:pPr>
        <w:spacing w:after="0" w:line="240" w:lineRule="auto"/>
        <w:jc w:val="both"/>
        <w:rPr>
          <w:rFonts w:ascii="Arial" w:hAnsi="Arial" w:cs="Arial"/>
        </w:rPr>
      </w:pPr>
    </w:p>
    <w:p w:rsidR="0042207F" w:rsidRPr="0042207F" w:rsidRDefault="0042207F" w:rsidP="000130D1">
      <w:pPr>
        <w:spacing w:after="0" w:line="240" w:lineRule="auto"/>
        <w:ind w:left="1560"/>
        <w:jc w:val="both"/>
        <w:rPr>
          <w:rFonts w:ascii="Arial" w:hAnsi="Arial" w:cs="Arial"/>
        </w:rPr>
      </w:pPr>
      <w:r w:rsidRPr="0042207F">
        <w:rPr>
          <w:rFonts w:ascii="Arial" w:hAnsi="Arial" w:cs="Arial"/>
        </w:rPr>
        <w:t>La suscripción del convenio con cualquiera de los aliados estratégicos referidos en el párrafo anterior, queda a consideración y criterio de la SBN.</w:t>
      </w:r>
    </w:p>
    <w:p w:rsidR="0042207F" w:rsidRPr="0042207F" w:rsidRDefault="0042207F" w:rsidP="000130D1">
      <w:pPr>
        <w:spacing w:after="0" w:line="240" w:lineRule="auto"/>
        <w:ind w:left="1560"/>
        <w:jc w:val="both"/>
        <w:rPr>
          <w:rFonts w:ascii="Arial" w:hAnsi="Arial" w:cs="Arial"/>
        </w:rPr>
      </w:pPr>
    </w:p>
    <w:p w:rsidR="0042207F" w:rsidRPr="0042207F" w:rsidRDefault="0042207F" w:rsidP="000130D1">
      <w:pPr>
        <w:spacing w:after="0" w:line="240" w:lineRule="auto"/>
        <w:ind w:left="1560"/>
        <w:jc w:val="both"/>
        <w:rPr>
          <w:rFonts w:ascii="Arial" w:hAnsi="Arial" w:cs="Arial"/>
        </w:rPr>
      </w:pPr>
      <w:r w:rsidRPr="0042207F">
        <w:rPr>
          <w:rFonts w:ascii="Arial" w:hAnsi="Arial" w:cs="Arial"/>
        </w:rPr>
        <w:t>La SDNC lleva el registro de los aliados estratégicos, para lo cual la OPP debe remitir la información sobre los convenios suscritos con dichos aliados.</w:t>
      </w:r>
    </w:p>
    <w:p w:rsidR="0042207F" w:rsidRPr="0042207F" w:rsidRDefault="0042207F" w:rsidP="000130D1">
      <w:pPr>
        <w:spacing w:after="0" w:line="240" w:lineRule="auto"/>
        <w:ind w:left="1560"/>
        <w:jc w:val="both"/>
        <w:rPr>
          <w:rFonts w:ascii="Arial" w:hAnsi="Arial" w:cs="Arial"/>
        </w:rPr>
      </w:pPr>
    </w:p>
    <w:p w:rsidR="0042207F" w:rsidRPr="0042207F" w:rsidRDefault="0042207F" w:rsidP="000130D1">
      <w:pPr>
        <w:spacing w:after="0" w:line="240" w:lineRule="auto"/>
        <w:ind w:left="1560"/>
        <w:jc w:val="both"/>
        <w:rPr>
          <w:rFonts w:ascii="Arial" w:hAnsi="Arial" w:cs="Arial"/>
        </w:rPr>
      </w:pPr>
      <w:r w:rsidRPr="0042207F">
        <w:rPr>
          <w:rFonts w:ascii="Arial" w:hAnsi="Arial" w:cs="Arial"/>
        </w:rPr>
        <w:t>La SDNC está facultada a solicitar a sus aliados estratégicos información acerca del desarrollo académico de sus eventos, así como efectuar visitas de supervisión cuando lo estime conveniente.</w:t>
      </w:r>
    </w:p>
    <w:p w:rsidR="0042207F" w:rsidRPr="0042207F" w:rsidRDefault="0042207F" w:rsidP="000130D1">
      <w:pPr>
        <w:spacing w:after="0" w:line="240" w:lineRule="auto"/>
        <w:ind w:left="1560"/>
        <w:jc w:val="both"/>
        <w:rPr>
          <w:rFonts w:ascii="Arial" w:hAnsi="Arial" w:cs="Arial"/>
        </w:rPr>
      </w:pPr>
    </w:p>
    <w:p w:rsidR="0042207F" w:rsidRPr="0042207F" w:rsidRDefault="0042207F" w:rsidP="000130D1">
      <w:pPr>
        <w:spacing w:after="0" w:line="240" w:lineRule="auto"/>
        <w:ind w:left="1560"/>
        <w:jc w:val="both"/>
        <w:rPr>
          <w:rFonts w:ascii="Arial" w:hAnsi="Arial" w:cs="Arial"/>
        </w:rPr>
      </w:pPr>
      <w:r w:rsidRPr="0042207F">
        <w:rPr>
          <w:rFonts w:ascii="Arial" w:hAnsi="Arial" w:cs="Arial"/>
        </w:rPr>
        <w:t>Al culminar el proceso de capacitación los aliados estratégicos remitirán a la SBN la lista de alumnos capacitados, con la indicación de las horas lectivas.</w:t>
      </w:r>
    </w:p>
    <w:p w:rsidR="0042207F" w:rsidRPr="0042207F" w:rsidRDefault="0042207F" w:rsidP="000130D1">
      <w:pPr>
        <w:spacing w:after="0" w:line="240" w:lineRule="auto"/>
        <w:ind w:left="1560"/>
        <w:jc w:val="both"/>
        <w:rPr>
          <w:rFonts w:ascii="Arial" w:hAnsi="Arial" w:cs="Arial"/>
        </w:rPr>
      </w:pPr>
    </w:p>
    <w:p w:rsidR="0042207F" w:rsidRDefault="0042207F" w:rsidP="000130D1">
      <w:pPr>
        <w:spacing w:after="0" w:line="240" w:lineRule="auto"/>
        <w:ind w:left="1560"/>
        <w:jc w:val="both"/>
        <w:rPr>
          <w:rFonts w:ascii="Arial" w:hAnsi="Arial" w:cs="Arial"/>
        </w:rPr>
      </w:pPr>
      <w:r w:rsidRPr="0042207F">
        <w:rPr>
          <w:rFonts w:ascii="Arial" w:hAnsi="Arial" w:cs="Arial"/>
        </w:rPr>
        <w:t>Los certificados son expedidos por la propia institución que ejecutó la capacitación.</w:t>
      </w:r>
    </w:p>
    <w:p w:rsidR="002514D7" w:rsidRDefault="002514D7" w:rsidP="000130D1">
      <w:pPr>
        <w:spacing w:after="0" w:line="240" w:lineRule="auto"/>
        <w:ind w:left="1560"/>
        <w:jc w:val="both"/>
        <w:rPr>
          <w:rFonts w:ascii="Arial" w:hAnsi="Arial" w:cs="Arial"/>
        </w:rPr>
      </w:pPr>
    </w:p>
    <w:p w:rsidR="002514D7" w:rsidRDefault="002514D7" w:rsidP="000130D1">
      <w:pPr>
        <w:spacing w:after="0" w:line="240" w:lineRule="auto"/>
        <w:ind w:left="1560"/>
        <w:jc w:val="both"/>
        <w:rPr>
          <w:rFonts w:ascii="Arial" w:hAnsi="Arial" w:cs="Arial"/>
        </w:rPr>
      </w:pPr>
    </w:p>
    <w:p w:rsidR="002514D7" w:rsidRPr="0042207F" w:rsidRDefault="002514D7" w:rsidP="000130D1">
      <w:pPr>
        <w:spacing w:after="0" w:line="240" w:lineRule="auto"/>
        <w:ind w:left="1560"/>
        <w:jc w:val="both"/>
        <w:rPr>
          <w:rFonts w:ascii="Arial" w:hAnsi="Arial" w:cs="Arial"/>
        </w:rPr>
      </w:pPr>
    </w:p>
    <w:p w:rsidR="0042207F" w:rsidRPr="000130D1" w:rsidRDefault="0042207F" w:rsidP="000130D1">
      <w:pPr>
        <w:spacing w:after="0" w:line="240" w:lineRule="auto"/>
        <w:ind w:left="567"/>
        <w:jc w:val="both"/>
        <w:rPr>
          <w:rFonts w:ascii="Arial" w:hAnsi="Arial" w:cs="Arial"/>
          <w:b/>
        </w:rPr>
      </w:pPr>
      <w:r w:rsidRPr="000130D1">
        <w:rPr>
          <w:rFonts w:ascii="Arial" w:hAnsi="Arial" w:cs="Arial"/>
          <w:b/>
        </w:rPr>
        <w:t xml:space="preserve">6.2 </w:t>
      </w:r>
      <w:r w:rsidR="000130D1">
        <w:rPr>
          <w:rFonts w:ascii="Arial" w:hAnsi="Arial" w:cs="Arial"/>
          <w:b/>
        </w:rPr>
        <w:t xml:space="preserve"> </w:t>
      </w:r>
      <w:r w:rsidRPr="000130D1">
        <w:rPr>
          <w:rFonts w:ascii="Arial" w:hAnsi="Arial" w:cs="Arial"/>
          <w:b/>
        </w:rPr>
        <w:t xml:space="preserve">PROCEDIMIENTO DE CERTIFICACIÓN </w:t>
      </w:r>
    </w:p>
    <w:p w:rsidR="0042207F" w:rsidRPr="0042207F" w:rsidRDefault="0042207F" w:rsidP="00B01FF7">
      <w:pPr>
        <w:spacing w:after="0" w:line="240" w:lineRule="auto"/>
        <w:jc w:val="both"/>
        <w:rPr>
          <w:rFonts w:ascii="Arial" w:hAnsi="Arial" w:cs="Arial"/>
        </w:rPr>
      </w:pPr>
    </w:p>
    <w:p w:rsidR="0042207F" w:rsidRPr="0042207F" w:rsidRDefault="0042207F" w:rsidP="000130D1">
      <w:pPr>
        <w:spacing w:after="0" w:line="240" w:lineRule="auto"/>
        <w:ind w:left="993"/>
        <w:jc w:val="both"/>
        <w:rPr>
          <w:rFonts w:ascii="Arial" w:hAnsi="Arial" w:cs="Arial"/>
        </w:rPr>
      </w:pPr>
      <w:r w:rsidRPr="0042207F">
        <w:rPr>
          <w:rFonts w:ascii="Arial" w:hAnsi="Arial" w:cs="Arial"/>
        </w:rPr>
        <w:t>El procedimiento de certificación regulado en el artículo 24° de la Ley N° 29151 modificada por la Ley N° 30047 y la presente Directiva está a cargo de la SDNC, la que administra la base de datos de los postulantes.</w:t>
      </w:r>
    </w:p>
    <w:p w:rsidR="0042207F" w:rsidRPr="0042207F" w:rsidRDefault="0042207F" w:rsidP="00B01FF7">
      <w:pPr>
        <w:spacing w:after="0" w:line="240" w:lineRule="auto"/>
        <w:jc w:val="both"/>
        <w:rPr>
          <w:rFonts w:ascii="Arial" w:hAnsi="Arial" w:cs="Arial"/>
        </w:rPr>
      </w:pPr>
    </w:p>
    <w:p w:rsidR="0042207F" w:rsidRPr="0042207F" w:rsidRDefault="0042207F" w:rsidP="00B01FF7">
      <w:pPr>
        <w:spacing w:after="0" w:line="240" w:lineRule="auto"/>
        <w:jc w:val="both"/>
        <w:rPr>
          <w:rFonts w:ascii="Arial" w:hAnsi="Arial" w:cs="Arial"/>
        </w:rPr>
      </w:pPr>
      <w:r w:rsidRPr="0042207F">
        <w:rPr>
          <w:rFonts w:ascii="Arial" w:hAnsi="Arial" w:cs="Arial"/>
        </w:rPr>
        <w:t xml:space="preserve">  </w:t>
      </w:r>
    </w:p>
    <w:p w:rsidR="0042207F" w:rsidRPr="000130D1" w:rsidRDefault="0042207F" w:rsidP="000130D1">
      <w:pPr>
        <w:spacing w:after="0" w:line="240" w:lineRule="auto"/>
        <w:ind w:left="993"/>
        <w:jc w:val="both"/>
        <w:rPr>
          <w:rFonts w:ascii="Arial" w:hAnsi="Arial" w:cs="Arial"/>
          <w:b/>
        </w:rPr>
      </w:pPr>
      <w:r w:rsidRPr="000130D1">
        <w:rPr>
          <w:rFonts w:ascii="Arial" w:hAnsi="Arial" w:cs="Arial"/>
          <w:b/>
        </w:rPr>
        <w:t>6.2.1  Requisitos</w:t>
      </w:r>
    </w:p>
    <w:p w:rsidR="0042207F" w:rsidRPr="0042207F" w:rsidRDefault="0042207F" w:rsidP="00B01FF7">
      <w:pPr>
        <w:spacing w:after="0" w:line="240" w:lineRule="auto"/>
        <w:jc w:val="both"/>
        <w:rPr>
          <w:rFonts w:ascii="Arial" w:hAnsi="Arial" w:cs="Arial"/>
        </w:rPr>
      </w:pPr>
    </w:p>
    <w:p w:rsidR="0042207F" w:rsidRPr="0042207F" w:rsidRDefault="0042207F" w:rsidP="000130D1">
      <w:pPr>
        <w:spacing w:after="0" w:line="240" w:lineRule="auto"/>
        <w:ind w:left="1701"/>
        <w:jc w:val="both"/>
        <w:rPr>
          <w:rFonts w:ascii="Arial" w:hAnsi="Arial" w:cs="Arial"/>
        </w:rPr>
      </w:pPr>
      <w:r w:rsidRPr="0042207F">
        <w:rPr>
          <w:rFonts w:ascii="Arial" w:hAnsi="Arial" w:cs="Arial"/>
        </w:rPr>
        <w:t>El profesional o técnico debe reunir los siguientes requisitos:</w:t>
      </w:r>
    </w:p>
    <w:p w:rsidR="0042207F" w:rsidRPr="0042207F" w:rsidRDefault="0042207F" w:rsidP="00B01FF7">
      <w:pPr>
        <w:spacing w:after="0" w:line="240" w:lineRule="auto"/>
        <w:jc w:val="both"/>
        <w:rPr>
          <w:rFonts w:ascii="Arial" w:hAnsi="Arial" w:cs="Arial"/>
        </w:rPr>
      </w:pPr>
    </w:p>
    <w:p w:rsidR="0042207F" w:rsidRPr="000130D1" w:rsidRDefault="0042207F" w:rsidP="000130D1">
      <w:pPr>
        <w:pStyle w:val="Prrafodelista"/>
        <w:numPr>
          <w:ilvl w:val="2"/>
          <w:numId w:val="22"/>
        </w:numPr>
        <w:spacing w:after="0" w:line="240" w:lineRule="auto"/>
        <w:ind w:left="2127" w:hanging="426"/>
        <w:jc w:val="both"/>
        <w:rPr>
          <w:rFonts w:ascii="Arial" w:hAnsi="Arial" w:cs="Arial"/>
          <w:b/>
        </w:rPr>
      </w:pPr>
      <w:r w:rsidRPr="000130D1">
        <w:rPr>
          <w:rFonts w:ascii="Arial" w:hAnsi="Arial" w:cs="Arial"/>
          <w:b/>
        </w:rPr>
        <w:t>Capacitación jurídico - técnica en el SNBE o gestión patrimonial en general, no menor a ochenta (80) horas lectivas.</w:t>
      </w:r>
    </w:p>
    <w:p w:rsidR="0042207F" w:rsidRPr="0042207F" w:rsidRDefault="0042207F" w:rsidP="00B01FF7">
      <w:pPr>
        <w:spacing w:after="0" w:line="240" w:lineRule="auto"/>
        <w:jc w:val="both"/>
        <w:rPr>
          <w:rFonts w:ascii="Arial" w:hAnsi="Arial" w:cs="Arial"/>
        </w:rPr>
      </w:pPr>
    </w:p>
    <w:p w:rsidR="0042207F" w:rsidRPr="0042207F" w:rsidRDefault="0042207F" w:rsidP="000130D1">
      <w:pPr>
        <w:spacing w:after="0" w:line="240" w:lineRule="auto"/>
        <w:ind w:left="2127"/>
        <w:jc w:val="both"/>
        <w:rPr>
          <w:rFonts w:ascii="Arial" w:hAnsi="Arial" w:cs="Arial"/>
        </w:rPr>
      </w:pPr>
      <w:r w:rsidRPr="0042207F">
        <w:rPr>
          <w:rFonts w:ascii="Arial" w:hAnsi="Arial" w:cs="Arial"/>
        </w:rPr>
        <w:t>Se consideran válidos para los efectos de contabilizar las horas de capacitación, las constancias o certificados respecto de cursos de capacitación desarrollados por los aliados estratégicos enunciados en el numeral 6.1.3 de la presente directiva en el marco de la ejecución de los convenios suscritos, siempre que los referidos cursos tengan un periodo de antigüedad no mayor a cuatro (4) años a la fecha de postulación al procedimiento de certificación.</w:t>
      </w:r>
    </w:p>
    <w:p w:rsidR="0042207F" w:rsidRPr="0042207F" w:rsidRDefault="0042207F" w:rsidP="000130D1">
      <w:pPr>
        <w:spacing w:after="0" w:line="240" w:lineRule="auto"/>
        <w:ind w:left="2127"/>
        <w:jc w:val="both"/>
        <w:rPr>
          <w:rFonts w:ascii="Arial" w:hAnsi="Arial" w:cs="Arial"/>
        </w:rPr>
      </w:pPr>
    </w:p>
    <w:p w:rsidR="0042207F" w:rsidRPr="0042207F" w:rsidRDefault="0042207F" w:rsidP="000130D1">
      <w:pPr>
        <w:spacing w:after="0" w:line="240" w:lineRule="auto"/>
        <w:ind w:left="2127"/>
        <w:jc w:val="both"/>
        <w:rPr>
          <w:rFonts w:ascii="Arial" w:hAnsi="Arial" w:cs="Arial"/>
        </w:rPr>
      </w:pPr>
      <w:r w:rsidRPr="0042207F">
        <w:rPr>
          <w:rFonts w:ascii="Arial" w:hAnsi="Arial" w:cs="Arial"/>
        </w:rPr>
        <w:t>Para los efectos de la calificación de las horas lectivas de los cursos desarrollados en fecha anterior a la dación de la presente Directiva, se considerará como válidos aquellos impartidos por instituciones públicas que cumplan funciones de capacitación, universidades públicas y privadas, colegios profesionales y el CAFAE de la SBN, y que tengan un periodo de antigüedad no mayor a cuatro años a la fecha de postulación al procedimiento de certificación.</w:t>
      </w:r>
    </w:p>
    <w:p w:rsidR="0042207F" w:rsidRPr="0042207F" w:rsidRDefault="0042207F" w:rsidP="000130D1">
      <w:pPr>
        <w:spacing w:after="0" w:line="240" w:lineRule="auto"/>
        <w:ind w:left="2127"/>
        <w:jc w:val="both"/>
        <w:rPr>
          <w:rFonts w:ascii="Arial" w:hAnsi="Arial" w:cs="Arial"/>
        </w:rPr>
      </w:pPr>
    </w:p>
    <w:p w:rsidR="0042207F" w:rsidRPr="0042207F" w:rsidRDefault="0042207F" w:rsidP="000130D1">
      <w:pPr>
        <w:spacing w:after="0" w:line="240" w:lineRule="auto"/>
        <w:ind w:left="2127"/>
        <w:jc w:val="both"/>
        <w:rPr>
          <w:rFonts w:ascii="Arial" w:hAnsi="Arial" w:cs="Arial"/>
        </w:rPr>
      </w:pPr>
      <w:r w:rsidRPr="0042207F">
        <w:rPr>
          <w:rFonts w:ascii="Arial" w:hAnsi="Arial" w:cs="Arial"/>
        </w:rPr>
        <w:t>Dichos cursos deben estar debidamente acreditados en constancias o certificados que consignen las horas de duración y que versen sobre el contenido temático elaborado por la SDNC.</w:t>
      </w:r>
    </w:p>
    <w:p w:rsidR="0042207F" w:rsidRPr="0042207F" w:rsidRDefault="0042207F" w:rsidP="00B01FF7">
      <w:pPr>
        <w:spacing w:after="0" w:line="240" w:lineRule="auto"/>
        <w:jc w:val="both"/>
        <w:rPr>
          <w:rFonts w:ascii="Arial" w:hAnsi="Arial" w:cs="Arial"/>
        </w:rPr>
      </w:pPr>
    </w:p>
    <w:p w:rsidR="0042207F" w:rsidRPr="000130D1" w:rsidRDefault="0042207F" w:rsidP="000130D1">
      <w:pPr>
        <w:pStyle w:val="Prrafodelista"/>
        <w:numPr>
          <w:ilvl w:val="2"/>
          <w:numId w:val="22"/>
        </w:numPr>
        <w:spacing w:after="0" w:line="240" w:lineRule="auto"/>
        <w:ind w:left="2127" w:hanging="426"/>
        <w:jc w:val="both"/>
        <w:rPr>
          <w:rFonts w:ascii="Arial" w:hAnsi="Arial" w:cs="Arial"/>
          <w:b/>
        </w:rPr>
      </w:pPr>
      <w:r w:rsidRPr="000130D1">
        <w:rPr>
          <w:rFonts w:ascii="Arial" w:hAnsi="Arial" w:cs="Arial"/>
          <w:b/>
        </w:rPr>
        <w:t>Experiencia laboral en general, no menor de dos (2) años.</w:t>
      </w:r>
    </w:p>
    <w:p w:rsidR="0042207F" w:rsidRPr="0042207F" w:rsidRDefault="0042207F" w:rsidP="00B01FF7">
      <w:pPr>
        <w:spacing w:after="0" w:line="240" w:lineRule="auto"/>
        <w:jc w:val="both"/>
        <w:rPr>
          <w:rFonts w:ascii="Arial" w:hAnsi="Arial" w:cs="Arial"/>
        </w:rPr>
      </w:pPr>
    </w:p>
    <w:p w:rsidR="0042207F" w:rsidRPr="0042207F" w:rsidRDefault="0042207F" w:rsidP="000130D1">
      <w:pPr>
        <w:spacing w:after="0" w:line="240" w:lineRule="auto"/>
        <w:ind w:left="2127"/>
        <w:jc w:val="both"/>
        <w:rPr>
          <w:rFonts w:ascii="Arial" w:hAnsi="Arial" w:cs="Arial"/>
        </w:rPr>
      </w:pPr>
      <w:r w:rsidRPr="0042207F">
        <w:rPr>
          <w:rFonts w:ascii="Arial" w:hAnsi="Arial" w:cs="Arial"/>
        </w:rPr>
        <w:t>Se debe acreditar mediante la presentación del contrato de trabajo, constancia de trabajo u otro documento que genere un vínculo indefectible de experiencia en el rubro especificado.</w:t>
      </w:r>
    </w:p>
    <w:p w:rsidR="0042207F" w:rsidRPr="0042207F" w:rsidRDefault="0042207F" w:rsidP="00B01FF7">
      <w:pPr>
        <w:spacing w:after="0" w:line="240" w:lineRule="auto"/>
        <w:jc w:val="both"/>
        <w:rPr>
          <w:rFonts w:ascii="Arial" w:hAnsi="Arial" w:cs="Arial"/>
        </w:rPr>
      </w:pPr>
    </w:p>
    <w:p w:rsidR="0042207F" w:rsidRPr="000130D1" w:rsidRDefault="0042207F" w:rsidP="000130D1">
      <w:pPr>
        <w:pStyle w:val="Prrafodelista"/>
        <w:numPr>
          <w:ilvl w:val="2"/>
          <w:numId w:val="22"/>
        </w:numPr>
        <w:spacing w:after="0" w:line="240" w:lineRule="auto"/>
        <w:ind w:left="2127" w:hanging="426"/>
        <w:jc w:val="both"/>
        <w:rPr>
          <w:rFonts w:ascii="Arial" w:hAnsi="Arial" w:cs="Arial"/>
          <w:b/>
        </w:rPr>
      </w:pPr>
      <w:r w:rsidRPr="000130D1">
        <w:rPr>
          <w:rFonts w:ascii="Arial" w:hAnsi="Arial" w:cs="Arial"/>
          <w:b/>
        </w:rPr>
        <w:t>Experiencia laboral en gestión de los bienes estatales, no menor de un (1) año.</w:t>
      </w:r>
    </w:p>
    <w:p w:rsidR="0042207F" w:rsidRPr="0042207F" w:rsidRDefault="0042207F" w:rsidP="00B01FF7">
      <w:pPr>
        <w:spacing w:after="0" w:line="240" w:lineRule="auto"/>
        <w:jc w:val="both"/>
        <w:rPr>
          <w:rFonts w:ascii="Arial" w:hAnsi="Arial" w:cs="Arial"/>
        </w:rPr>
      </w:pPr>
    </w:p>
    <w:p w:rsidR="0042207F" w:rsidRPr="0042207F" w:rsidRDefault="0042207F" w:rsidP="000130D1">
      <w:pPr>
        <w:spacing w:after="0" w:line="240" w:lineRule="auto"/>
        <w:ind w:left="2127"/>
        <w:jc w:val="both"/>
        <w:rPr>
          <w:rFonts w:ascii="Arial" w:hAnsi="Arial" w:cs="Arial"/>
        </w:rPr>
      </w:pPr>
      <w:r w:rsidRPr="0042207F">
        <w:rPr>
          <w:rFonts w:ascii="Arial" w:hAnsi="Arial" w:cs="Arial"/>
        </w:rPr>
        <w:t>Para este efecto, se debe adjuntar el contrato de trabajo, constancia de trabajo u orden de servicio, que acredite la experiencia requerida.</w:t>
      </w:r>
    </w:p>
    <w:p w:rsidR="0042207F" w:rsidRPr="0042207F" w:rsidRDefault="0042207F" w:rsidP="000130D1">
      <w:pPr>
        <w:spacing w:after="0" w:line="240" w:lineRule="auto"/>
        <w:ind w:left="2127"/>
        <w:jc w:val="both"/>
        <w:rPr>
          <w:rFonts w:ascii="Arial" w:hAnsi="Arial" w:cs="Arial"/>
        </w:rPr>
      </w:pPr>
      <w:r w:rsidRPr="0042207F">
        <w:rPr>
          <w:rFonts w:ascii="Arial" w:hAnsi="Arial" w:cs="Arial"/>
        </w:rPr>
        <w:t xml:space="preserve"> </w:t>
      </w:r>
    </w:p>
    <w:p w:rsidR="0042207F" w:rsidRPr="0042207F" w:rsidRDefault="0042207F" w:rsidP="000130D1">
      <w:pPr>
        <w:spacing w:after="0" w:line="240" w:lineRule="auto"/>
        <w:ind w:left="2127"/>
        <w:jc w:val="both"/>
        <w:rPr>
          <w:rFonts w:ascii="Arial" w:hAnsi="Arial" w:cs="Arial"/>
        </w:rPr>
      </w:pPr>
      <w:r w:rsidRPr="0042207F">
        <w:rPr>
          <w:rFonts w:ascii="Arial" w:hAnsi="Arial" w:cs="Arial"/>
        </w:rPr>
        <w:t>El tiempo de experiencia laboral en gestión de bienes estatales, entiéndase subsumido dentro del campo de la experiencia laboral general.</w:t>
      </w:r>
    </w:p>
    <w:p w:rsidR="0042207F" w:rsidRPr="0042207F" w:rsidRDefault="0042207F" w:rsidP="000130D1">
      <w:pPr>
        <w:spacing w:after="0" w:line="240" w:lineRule="auto"/>
        <w:ind w:left="2127"/>
        <w:jc w:val="both"/>
        <w:rPr>
          <w:rFonts w:ascii="Arial" w:hAnsi="Arial" w:cs="Arial"/>
        </w:rPr>
      </w:pPr>
    </w:p>
    <w:p w:rsidR="0042207F" w:rsidRPr="0042207F" w:rsidRDefault="0042207F" w:rsidP="000130D1">
      <w:pPr>
        <w:spacing w:after="0" w:line="240" w:lineRule="auto"/>
        <w:ind w:left="2127"/>
        <w:jc w:val="both"/>
        <w:rPr>
          <w:rFonts w:ascii="Arial" w:hAnsi="Arial" w:cs="Arial"/>
        </w:rPr>
      </w:pPr>
      <w:r w:rsidRPr="0042207F">
        <w:rPr>
          <w:rFonts w:ascii="Arial" w:hAnsi="Arial" w:cs="Arial"/>
        </w:rPr>
        <w:t>Si la constancia de trabajo emitida en mérito a lo establecido en el literal b), acredita que las funciones desempeñadas se ajustan a lo establecido en el literal c), no será necesario presentar documentación adicional que acredite este último requisito.</w:t>
      </w:r>
    </w:p>
    <w:p w:rsidR="0042207F" w:rsidRPr="0042207F" w:rsidRDefault="0042207F" w:rsidP="00B01FF7">
      <w:pPr>
        <w:spacing w:after="0" w:line="240" w:lineRule="auto"/>
        <w:jc w:val="both"/>
        <w:rPr>
          <w:rFonts w:ascii="Arial" w:hAnsi="Arial" w:cs="Arial"/>
        </w:rPr>
      </w:pPr>
    </w:p>
    <w:p w:rsidR="0042207F" w:rsidRPr="000130D1" w:rsidRDefault="0042207F" w:rsidP="000130D1">
      <w:pPr>
        <w:spacing w:after="0" w:line="240" w:lineRule="auto"/>
        <w:ind w:left="993"/>
        <w:jc w:val="both"/>
        <w:rPr>
          <w:rFonts w:ascii="Arial" w:hAnsi="Arial" w:cs="Arial"/>
          <w:b/>
        </w:rPr>
      </w:pPr>
      <w:r w:rsidRPr="000130D1">
        <w:rPr>
          <w:rFonts w:ascii="Arial" w:hAnsi="Arial" w:cs="Arial"/>
          <w:b/>
        </w:rPr>
        <w:t xml:space="preserve">6.2.2 </w:t>
      </w:r>
      <w:r w:rsidR="000130D1">
        <w:rPr>
          <w:rFonts w:ascii="Arial" w:hAnsi="Arial" w:cs="Arial"/>
          <w:b/>
        </w:rPr>
        <w:t xml:space="preserve"> </w:t>
      </w:r>
      <w:r w:rsidRPr="000130D1">
        <w:rPr>
          <w:rFonts w:ascii="Arial" w:hAnsi="Arial" w:cs="Arial"/>
          <w:b/>
        </w:rPr>
        <w:t>Especialización de la Certificación</w:t>
      </w:r>
    </w:p>
    <w:p w:rsidR="0042207F" w:rsidRPr="0042207F" w:rsidRDefault="0042207F" w:rsidP="00B01FF7">
      <w:pPr>
        <w:spacing w:after="0" w:line="240" w:lineRule="auto"/>
        <w:jc w:val="both"/>
        <w:rPr>
          <w:rFonts w:ascii="Arial" w:hAnsi="Arial" w:cs="Arial"/>
        </w:rPr>
      </w:pPr>
    </w:p>
    <w:p w:rsidR="0042207F" w:rsidRPr="0042207F" w:rsidRDefault="0042207F" w:rsidP="000130D1">
      <w:pPr>
        <w:spacing w:after="0" w:line="240" w:lineRule="auto"/>
        <w:ind w:left="1560"/>
        <w:jc w:val="both"/>
        <w:rPr>
          <w:rFonts w:ascii="Arial" w:hAnsi="Arial" w:cs="Arial"/>
        </w:rPr>
      </w:pPr>
      <w:r w:rsidRPr="0042207F">
        <w:rPr>
          <w:rFonts w:ascii="Arial" w:hAnsi="Arial" w:cs="Arial"/>
        </w:rPr>
        <w:t>La certificación que expide la SBN a los profesionales y técnicos que realizan actividades en la gestión de bienes estatales, se efectúa con mención en la materia de bienes muebles, inmuebles o en ambas materias.</w:t>
      </w:r>
    </w:p>
    <w:p w:rsidR="0042207F" w:rsidRPr="0042207F" w:rsidRDefault="0042207F" w:rsidP="000130D1">
      <w:pPr>
        <w:spacing w:after="0" w:line="240" w:lineRule="auto"/>
        <w:ind w:left="1560"/>
        <w:jc w:val="both"/>
        <w:rPr>
          <w:rFonts w:ascii="Arial" w:hAnsi="Arial" w:cs="Arial"/>
        </w:rPr>
      </w:pPr>
    </w:p>
    <w:p w:rsidR="0042207F" w:rsidRPr="0042207F" w:rsidRDefault="0042207F" w:rsidP="000130D1">
      <w:pPr>
        <w:spacing w:after="0" w:line="240" w:lineRule="auto"/>
        <w:ind w:left="1560"/>
        <w:jc w:val="both"/>
        <w:rPr>
          <w:rFonts w:ascii="Arial" w:hAnsi="Arial" w:cs="Arial"/>
        </w:rPr>
      </w:pPr>
      <w:r w:rsidRPr="0042207F">
        <w:rPr>
          <w:rFonts w:ascii="Arial" w:hAnsi="Arial" w:cs="Arial"/>
        </w:rPr>
        <w:t xml:space="preserve">Los interesados pueden solicitar la mención en ambas especialidades, desarrollando el proceso de evaluación correspondiente. </w:t>
      </w:r>
    </w:p>
    <w:p w:rsidR="0042207F" w:rsidRPr="0042207F" w:rsidRDefault="0042207F" w:rsidP="00B01FF7">
      <w:pPr>
        <w:spacing w:after="0" w:line="240" w:lineRule="auto"/>
        <w:jc w:val="both"/>
        <w:rPr>
          <w:rFonts w:ascii="Arial" w:hAnsi="Arial" w:cs="Arial"/>
        </w:rPr>
      </w:pPr>
    </w:p>
    <w:p w:rsidR="0042207F" w:rsidRPr="000130D1" w:rsidRDefault="0042207F" w:rsidP="000130D1">
      <w:pPr>
        <w:spacing w:after="0" w:line="240" w:lineRule="auto"/>
        <w:ind w:left="993"/>
        <w:jc w:val="both"/>
        <w:rPr>
          <w:rFonts w:ascii="Arial" w:hAnsi="Arial" w:cs="Arial"/>
          <w:b/>
        </w:rPr>
      </w:pPr>
      <w:r w:rsidRPr="000130D1">
        <w:rPr>
          <w:rFonts w:ascii="Arial" w:hAnsi="Arial" w:cs="Arial"/>
          <w:b/>
        </w:rPr>
        <w:t>6.2.3 Procedimiento de Certificación</w:t>
      </w:r>
    </w:p>
    <w:p w:rsidR="0042207F" w:rsidRPr="0042207F" w:rsidRDefault="0042207F" w:rsidP="00B01FF7">
      <w:pPr>
        <w:spacing w:after="0" w:line="240" w:lineRule="auto"/>
        <w:jc w:val="both"/>
        <w:rPr>
          <w:rFonts w:ascii="Arial" w:hAnsi="Arial" w:cs="Arial"/>
        </w:rPr>
      </w:pPr>
    </w:p>
    <w:p w:rsidR="0042207F" w:rsidRPr="0042207F" w:rsidRDefault="0042207F" w:rsidP="000130D1">
      <w:pPr>
        <w:spacing w:after="0" w:line="240" w:lineRule="auto"/>
        <w:ind w:left="1560"/>
        <w:jc w:val="both"/>
        <w:rPr>
          <w:rFonts w:ascii="Arial" w:hAnsi="Arial" w:cs="Arial"/>
        </w:rPr>
      </w:pPr>
      <w:r w:rsidRPr="0042207F">
        <w:rPr>
          <w:rFonts w:ascii="Arial" w:hAnsi="Arial" w:cs="Arial"/>
        </w:rPr>
        <w:t>El procedimiento de certificación comprende las etapas siguientes:</w:t>
      </w:r>
    </w:p>
    <w:p w:rsidR="0042207F" w:rsidRPr="0042207F" w:rsidRDefault="0042207F" w:rsidP="00B01FF7">
      <w:pPr>
        <w:spacing w:after="0" w:line="240" w:lineRule="auto"/>
        <w:jc w:val="both"/>
        <w:rPr>
          <w:rFonts w:ascii="Arial" w:hAnsi="Arial" w:cs="Arial"/>
        </w:rPr>
      </w:pPr>
    </w:p>
    <w:p w:rsidR="0042207F" w:rsidRPr="000130D1" w:rsidRDefault="0042207F" w:rsidP="0092471C">
      <w:pPr>
        <w:pStyle w:val="Prrafodelista"/>
        <w:numPr>
          <w:ilvl w:val="0"/>
          <w:numId w:val="262"/>
        </w:numPr>
        <w:spacing w:after="0" w:line="240" w:lineRule="auto"/>
        <w:ind w:left="1843"/>
        <w:jc w:val="both"/>
        <w:rPr>
          <w:rFonts w:ascii="Arial" w:hAnsi="Arial" w:cs="Arial"/>
        </w:rPr>
      </w:pPr>
      <w:r w:rsidRPr="000130D1">
        <w:rPr>
          <w:rFonts w:ascii="Arial" w:hAnsi="Arial" w:cs="Arial"/>
        </w:rPr>
        <w:t>Registro del postulante en el Sistema de Certificación</w:t>
      </w:r>
    </w:p>
    <w:p w:rsidR="0042207F" w:rsidRPr="000130D1" w:rsidRDefault="0042207F" w:rsidP="0092471C">
      <w:pPr>
        <w:pStyle w:val="Prrafodelista"/>
        <w:numPr>
          <w:ilvl w:val="0"/>
          <w:numId w:val="262"/>
        </w:numPr>
        <w:spacing w:after="0" w:line="240" w:lineRule="auto"/>
        <w:ind w:left="1843"/>
        <w:jc w:val="both"/>
        <w:rPr>
          <w:rFonts w:ascii="Arial" w:hAnsi="Arial" w:cs="Arial"/>
        </w:rPr>
      </w:pPr>
      <w:r w:rsidRPr="000130D1">
        <w:rPr>
          <w:rFonts w:ascii="Arial" w:hAnsi="Arial" w:cs="Arial"/>
        </w:rPr>
        <w:t>Rendición de evaluación de conocimientos en la modalidad de presencial y virtual.</w:t>
      </w:r>
    </w:p>
    <w:p w:rsidR="0042207F" w:rsidRPr="000130D1" w:rsidRDefault="0042207F" w:rsidP="0092471C">
      <w:pPr>
        <w:pStyle w:val="Prrafodelista"/>
        <w:numPr>
          <w:ilvl w:val="0"/>
          <w:numId w:val="262"/>
        </w:numPr>
        <w:spacing w:after="0" w:line="240" w:lineRule="auto"/>
        <w:ind w:left="1843"/>
        <w:jc w:val="both"/>
        <w:rPr>
          <w:rFonts w:ascii="Arial" w:hAnsi="Arial" w:cs="Arial"/>
        </w:rPr>
      </w:pPr>
      <w:r w:rsidRPr="000130D1">
        <w:rPr>
          <w:rFonts w:ascii="Arial" w:hAnsi="Arial" w:cs="Arial"/>
        </w:rPr>
        <w:t>Presentación de documentos</w:t>
      </w:r>
    </w:p>
    <w:p w:rsidR="0042207F" w:rsidRPr="0042207F" w:rsidRDefault="0042207F" w:rsidP="00B01FF7">
      <w:pPr>
        <w:spacing w:after="0" w:line="240" w:lineRule="auto"/>
        <w:jc w:val="both"/>
        <w:rPr>
          <w:rFonts w:ascii="Arial" w:hAnsi="Arial" w:cs="Arial"/>
        </w:rPr>
      </w:pPr>
    </w:p>
    <w:p w:rsidR="0042207F" w:rsidRPr="000130D1" w:rsidRDefault="0042207F" w:rsidP="000130D1">
      <w:pPr>
        <w:spacing w:after="0" w:line="240" w:lineRule="auto"/>
        <w:ind w:left="1843" w:hanging="283"/>
        <w:jc w:val="both"/>
        <w:rPr>
          <w:rFonts w:ascii="Arial" w:hAnsi="Arial" w:cs="Arial"/>
          <w:b/>
        </w:rPr>
      </w:pPr>
      <w:r w:rsidRPr="000130D1">
        <w:rPr>
          <w:rFonts w:ascii="Arial" w:hAnsi="Arial" w:cs="Arial"/>
          <w:b/>
        </w:rPr>
        <w:t>a.</w:t>
      </w:r>
      <w:r w:rsidRPr="000130D1">
        <w:rPr>
          <w:rFonts w:ascii="Arial" w:hAnsi="Arial" w:cs="Arial"/>
          <w:b/>
        </w:rPr>
        <w:tab/>
        <w:t>Registro del postulante en el Sistema de Certificación</w:t>
      </w:r>
    </w:p>
    <w:p w:rsidR="0042207F" w:rsidRPr="0042207F" w:rsidRDefault="0042207F" w:rsidP="00B01FF7">
      <w:pPr>
        <w:spacing w:after="0" w:line="240" w:lineRule="auto"/>
        <w:jc w:val="both"/>
        <w:rPr>
          <w:rFonts w:ascii="Arial" w:hAnsi="Arial" w:cs="Arial"/>
        </w:rPr>
      </w:pPr>
    </w:p>
    <w:p w:rsidR="0042207F" w:rsidRPr="0042207F" w:rsidRDefault="0042207F" w:rsidP="000130D1">
      <w:pPr>
        <w:spacing w:after="0" w:line="240" w:lineRule="auto"/>
        <w:ind w:left="1843"/>
        <w:jc w:val="both"/>
        <w:rPr>
          <w:rFonts w:ascii="Arial" w:hAnsi="Arial" w:cs="Arial"/>
        </w:rPr>
      </w:pPr>
      <w:r w:rsidRPr="0042207F">
        <w:rPr>
          <w:rFonts w:ascii="Arial" w:hAnsi="Arial" w:cs="Arial"/>
        </w:rPr>
        <w:t xml:space="preserve">El procedimiento de certificación se inicia con el registro del profesional o técnico en la página Web de la SBN, de acuerdo al Instructivo publicado en dicha plataforma virtual, el cual le permitirá ingresar al Sistema de Certificación. </w:t>
      </w:r>
    </w:p>
    <w:p w:rsidR="0042207F" w:rsidRPr="0042207F" w:rsidRDefault="0042207F" w:rsidP="000130D1">
      <w:pPr>
        <w:spacing w:after="0" w:line="240" w:lineRule="auto"/>
        <w:ind w:left="1843"/>
        <w:jc w:val="both"/>
        <w:rPr>
          <w:rFonts w:ascii="Arial" w:hAnsi="Arial" w:cs="Arial"/>
        </w:rPr>
      </w:pPr>
    </w:p>
    <w:p w:rsidR="0042207F" w:rsidRPr="0042207F" w:rsidRDefault="0042207F" w:rsidP="000130D1">
      <w:pPr>
        <w:spacing w:after="0" w:line="240" w:lineRule="auto"/>
        <w:ind w:left="1843"/>
        <w:jc w:val="both"/>
        <w:rPr>
          <w:rFonts w:ascii="Arial" w:hAnsi="Arial" w:cs="Arial"/>
        </w:rPr>
      </w:pPr>
      <w:r w:rsidRPr="0042207F">
        <w:rPr>
          <w:rFonts w:ascii="Arial" w:hAnsi="Arial" w:cs="Arial"/>
        </w:rPr>
        <w:t xml:space="preserve">Entiéndase por Sistema de Certificación el soporte informático para la inscripción y/o evaluación del procedimiento de certificación a través del portal institucional de la SBN. </w:t>
      </w:r>
    </w:p>
    <w:p w:rsidR="0042207F" w:rsidRPr="0042207F" w:rsidRDefault="0042207F" w:rsidP="000130D1">
      <w:pPr>
        <w:spacing w:after="0" w:line="240" w:lineRule="auto"/>
        <w:ind w:left="1843"/>
        <w:jc w:val="both"/>
        <w:rPr>
          <w:rFonts w:ascii="Arial" w:hAnsi="Arial" w:cs="Arial"/>
        </w:rPr>
      </w:pPr>
    </w:p>
    <w:p w:rsidR="0042207F" w:rsidRPr="0042207F" w:rsidRDefault="0042207F" w:rsidP="000130D1">
      <w:pPr>
        <w:spacing w:after="0" w:line="240" w:lineRule="auto"/>
        <w:ind w:left="1843"/>
        <w:jc w:val="both"/>
        <w:rPr>
          <w:rFonts w:ascii="Arial" w:hAnsi="Arial" w:cs="Arial"/>
        </w:rPr>
      </w:pPr>
      <w:r w:rsidRPr="0042207F">
        <w:rPr>
          <w:rFonts w:ascii="Arial" w:hAnsi="Arial" w:cs="Arial"/>
        </w:rPr>
        <w:t>El Sistema de Certificación debe validar la información consignada por el postulante, en lo referido a los requisitos a los que se refiere el numeral 6.2.1 de la presente Directiva, luego de lo cual, le proporciona al postulante la fecha y hora para rendir la evaluación de conocimientos.</w:t>
      </w:r>
    </w:p>
    <w:p w:rsidR="0042207F" w:rsidRPr="0042207F" w:rsidRDefault="0042207F" w:rsidP="000130D1">
      <w:pPr>
        <w:spacing w:after="0" w:line="240" w:lineRule="auto"/>
        <w:ind w:left="1843"/>
        <w:jc w:val="both"/>
        <w:rPr>
          <w:rFonts w:ascii="Arial" w:hAnsi="Arial" w:cs="Arial"/>
        </w:rPr>
      </w:pPr>
    </w:p>
    <w:p w:rsidR="0042207F" w:rsidRPr="0042207F" w:rsidRDefault="0042207F" w:rsidP="000130D1">
      <w:pPr>
        <w:spacing w:after="0" w:line="240" w:lineRule="auto"/>
        <w:ind w:left="1843"/>
        <w:jc w:val="both"/>
        <w:rPr>
          <w:rFonts w:ascii="Arial" w:hAnsi="Arial" w:cs="Arial"/>
        </w:rPr>
      </w:pPr>
      <w:r w:rsidRPr="0042207F">
        <w:rPr>
          <w:rFonts w:ascii="Arial" w:hAnsi="Arial" w:cs="Arial"/>
        </w:rPr>
        <w:t>Es responsabilidad del postulante mantener una adecuada conexión a internet, revisar permanentemente y mantener habilitadas las cuentas de correo electrónico consignadas, así como, gestionar que las notificaciones de correo electrónico enviadas por la SBN, a través del Sistema de Certificación, no sean consideradas como correo no deseado.</w:t>
      </w:r>
    </w:p>
    <w:p w:rsidR="0042207F" w:rsidRPr="0042207F" w:rsidRDefault="0042207F" w:rsidP="00B01FF7">
      <w:pPr>
        <w:spacing w:after="0" w:line="240" w:lineRule="auto"/>
        <w:jc w:val="both"/>
        <w:rPr>
          <w:rFonts w:ascii="Arial" w:hAnsi="Arial" w:cs="Arial"/>
        </w:rPr>
      </w:pPr>
    </w:p>
    <w:p w:rsidR="0042207F" w:rsidRPr="000130D1" w:rsidRDefault="0042207F" w:rsidP="000130D1">
      <w:pPr>
        <w:spacing w:after="0" w:line="240" w:lineRule="auto"/>
        <w:ind w:left="1843" w:hanging="283"/>
        <w:jc w:val="both"/>
        <w:rPr>
          <w:rFonts w:ascii="Arial" w:hAnsi="Arial" w:cs="Arial"/>
          <w:b/>
        </w:rPr>
      </w:pPr>
      <w:r w:rsidRPr="000130D1">
        <w:rPr>
          <w:rFonts w:ascii="Arial" w:hAnsi="Arial" w:cs="Arial"/>
          <w:b/>
        </w:rPr>
        <w:t>b.</w:t>
      </w:r>
      <w:r w:rsidRPr="000130D1">
        <w:rPr>
          <w:rFonts w:ascii="Arial" w:hAnsi="Arial" w:cs="Arial"/>
          <w:b/>
        </w:rPr>
        <w:tab/>
        <w:t>Rendición de evaluación de conocimientos</w:t>
      </w:r>
    </w:p>
    <w:p w:rsidR="0042207F" w:rsidRPr="0042207F" w:rsidRDefault="0042207F" w:rsidP="00B01FF7">
      <w:pPr>
        <w:spacing w:after="0" w:line="240" w:lineRule="auto"/>
        <w:jc w:val="both"/>
        <w:rPr>
          <w:rFonts w:ascii="Arial" w:hAnsi="Arial" w:cs="Arial"/>
        </w:rPr>
      </w:pPr>
    </w:p>
    <w:p w:rsidR="0042207F" w:rsidRPr="000130D1" w:rsidRDefault="0042207F" w:rsidP="000130D1">
      <w:pPr>
        <w:spacing w:after="0" w:line="240" w:lineRule="auto"/>
        <w:ind w:left="2268" w:hanging="425"/>
        <w:jc w:val="both"/>
        <w:rPr>
          <w:rFonts w:ascii="Arial" w:hAnsi="Arial" w:cs="Arial"/>
          <w:b/>
        </w:rPr>
      </w:pPr>
      <w:r w:rsidRPr="000130D1">
        <w:rPr>
          <w:rFonts w:ascii="Arial" w:hAnsi="Arial" w:cs="Arial"/>
          <w:b/>
        </w:rPr>
        <w:t>b.1 Bajo la modalidad presencial</w:t>
      </w:r>
    </w:p>
    <w:p w:rsidR="0042207F" w:rsidRPr="0042207F" w:rsidRDefault="0042207F" w:rsidP="00B01FF7">
      <w:pPr>
        <w:spacing w:after="0" w:line="240" w:lineRule="auto"/>
        <w:jc w:val="both"/>
        <w:rPr>
          <w:rFonts w:ascii="Arial" w:hAnsi="Arial" w:cs="Arial"/>
        </w:rPr>
      </w:pPr>
    </w:p>
    <w:p w:rsidR="0042207F" w:rsidRPr="0042207F" w:rsidRDefault="0042207F" w:rsidP="000130D1">
      <w:pPr>
        <w:spacing w:after="0" w:line="240" w:lineRule="auto"/>
        <w:ind w:left="2268"/>
        <w:jc w:val="both"/>
        <w:rPr>
          <w:rFonts w:ascii="Arial" w:hAnsi="Arial" w:cs="Arial"/>
        </w:rPr>
      </w:pPr>
      <w:r w:rsidRPr="0042207F">
        <w:rPr>
          <w:rFonts w:ascii="Arial" w:hAnsi="Arial" w:cs="Arial"/>
        </w:rPr>
        <w:t>El postulante inscrito en la plataforma virtual de certificación, a fin de rendir la evaluación presencial de conocimientos, deberá seguir las indicaciones contenidas en el instructivo que será publicado en la página web institucional, donde se publicará oportunamente la sede y fecha de la evaluación.</w:t>
      </w:r>
    </w:p>
    <w:p w:rsidR="0042207F" w:rsidRPr="0042207F" w:rsidRDefault="0042207F" w:rsidP="000130D1">
      <w:pPr>
        <w:spacing w:after="0" w:line="240" w:lineRule="auto"/>
        <w:ind w:left="2268"/>
        <w:jc w:val="both"/>
        <w:rPr>
          <w:rFonts w:ascii="Arial" w:hAnsi="Arial" w:cs="Arial"/>
        </w:rPr>
      </w:pPr>
    </w:p>
    <w:p w:rsidR="0042207F" w:rsidRPr="0042207F" w:rsidRDefault="0042207F" w:rsidP="000130D1">
      <w:pPr>
        <w:spacing w:after="0" w:line="240" w:lineRule="auto"/>
        <w:ind w:left="2268"/>
        <w:jc w:val="both"/>
        <w:rPr>
          <w:rFonts w:ascii="Arial" w:hAnsi="Arial" w:cs="Arial"/>
        </w:rPr>
      </w:pPr>
      <w:r w:rsidRPr="0042207F">
        <w:rPr>
          <w:rFonts w:ascii="Arial" w:hAnsi="Arial" w:cs="Arial"/>
        </w:rPr>
        <w:t>La sede y fecha de la evaluación presencial de certificación será programada por la SDNC.</w:t>
      </w:r>
    </w:p>
    <w:p w:rsidR="0042207F" w:rsidRPr="0042207F" w:rsidRDefault="0042207F" w:rsidP="000130D1">
      <w:pPr>
        <w:spacing w:after="0" w:line="240" w:lineRule="auto"/>
        <w:ind w:left="2268"/>
        <w:jc w:val="both"/>
        <w:rPr>
          <w:rFonts w:ascii="Arial" w:hAnsi="Arial" w:cs="Arial"/>
        </w:rPr>
      </w:pPr>
    </w:p>
    <w:p w:rsidR="0042207F" w:rsidRPr="0042207F" w:rsidRDefault="0042207F" w:rsidP="000130D1">
      <w:pPr>
        <w:spacing w:after="0" w:line="240" w:lineRule="auto"/>
        <w:ind w:left="2268"/>
        <w:jc w:val="both"/>
        <w:rPr>
          <w:rFonts w:ascii="Arial" w:hAnsi="Arial" w:cs="Arial"/>
        </w:rPr>
      </w:pPr>
      <w:r w:rsidRPr="0042207F">
        <w:rPr>
          <w:rFonts w:ascii="Arial" w:hAnsi="Arial" w:cs="Arial"/>
        </w:rPr>
        <w:t xml:space="preserve">La calificación mínima aprobatoria de la evaluación de conocimientos para obtener la certificación es de catorce (14) puntos sobre veinte (20). </w:t>
      </w:r>
    </w:p>
    <w:p w:rsidR="0042207F" w:rsidRPr="0042207F" w:rsidRDefault="0042207F" w:rsidP="000130D1">
      <w:pPr>
        <w:spacing w:after="0" w:line="240" w:lineRule="auto"/>
        <w:ind w:left="2268"/>
        <w:jc w:val="both"/>
        <w:rPr>
          <w:rFonts w:ascii="Arial" w:hAnsi="Arial" w:cs="Arial"/>
        </w:rPr>
      </w:pPr>
    </w:p>
    <w:p w:rsidR="0042207F" w:rsidRPr="0042207F" w:rsidRDefault="0042207F" w:rsidP="000130D1">
      <w:pPr>
        <w:spacing w:after="0" w:line="240" w:lineRule="auto"/>
        <w:ind w:left="2268"/>
        <w:jc w:val="both"/>
        <w:rPr>
          <w:rFonts w:ascii="Arial" w:hAnsi="Arial" w:cs="Arial"/>
        </w:rPr>
      </w:pPr>
      <w:r w:rsidRPr="0042207F">
        <w:rPr>
          <w:rFonts w:ascii="Arial" w:hAnsi="Arial" w:cs="Arial"/>
        </w:rPr>
        <w:t>El resultado de la calificación será publicada en el portal institucional de la SBN.</w:t>
      </w:r>
    </w:p>
    <w:p w:rsidR="0042207F" w:rsidRPr="0042207F" w:rsidRDefault="0042207F" w:rsidP="000130D1">
      <w:pPr>
        <w:spacing w:after="0" w:line="240" w:lineRule="auto"/>
        <w:ind w:left="2268"/>
        <w:jc w:val="both"/>
        <w:rPr>
          <w:rFonts w:ascii="Arial" w:hAnsi="Arial" w:cs="Arial"/>
        </w:rPr>
      </w:pPr>
    </w:p>
    <w:p w:rsidR="0042207F" w:rsidRPr="0042207F" w:rsidRDefault="0042207F" w:rsidP="000130D1">
      <w:pPr>
        <w:spacing w:after="0" w:line="240" w:lineRule="auto"/>
        <w:ind w:left="2268"/>
        <w:jc w:val="both"/>
        <w:rPr>
          <w:rFonts w:ascii="Arial" w:hAnsi="Arial" w:cs="Arial"/>
        </w:rPr>
      </w:pPr>
      <w:r w:rsidRPr="0042207F">
        <w:rPr>
          <w:rFonts w:ascii="Arial" w:hAnsi="Arial" w:cs="Arial"/>
        </w:rPr>
        <w:t>En caso de desaprobar la rendición de la evaluación presencial o no presentarse a la misma, el postulante podrá presentarse a una próxima evaluación, según la programación que organice la SBN.</w:t>
      </w:r>
    </w:p>
    <w:p w:rsidR="0042207F" w:rsidRDefault="0042207F" w:rsidP="00B01FF7">
      <w:pPr>
        <w:spacing w:after="0" w:line="240" w:lineRule="auto"/>
        <w:jc w:val="both"/>
        <w:rPr>
          <w:rFonts w:ascii="Arial" w:hAnsi="Arial" w:cs="Arial"/>
        </w:rPr>
      </w:pPr>
    </w:p>
    <w:p w:rsidR="00004DBE" w:rsidRDefault="00004DBE" w:rsidP="00B01FF7">
      <w:pPr>
        <w:spacing w:after="0" w:line="240" w:lineRule="auto"/>
        <w:jc w:val="both"/>
        <w:rPr>
          <w:rFonts w:ascii="Arial" w:hAnsi="Arial" w:cs="Arial"/>
        </w:rPr>
      </w:pPr>
    </w:p>
    <w:p w:rsidR="00004DBE" w:rsidRPr="0042207F" w:rsidRDefault="00004DBE" w:rsidP="00B01FF7">
      <w:pPr>
        <w:spacing w:after="0" w:line="240" w:lineRule="auto"/>
        <w:jc w:val="both"/>
        <w:rPr>
          <w:rFonts w:ascii="Arial" w:hAnsi="Arial" w:cs="Arial"/>
        </w:rPr>
      </w:pPr>
    </w:p>
    <w:p w:rsidR="0042207F" w:rsidRPr="000130D1" w:rsidRDefault="0042207F" w:rsidP="000130D1">
      <w:pPr>
        <w:spacing w:after="0" w:line="240" w:lineRule="auto"/>
        <w:ind w:left="2268" w:hanging="425"/>
        <w:jc w:val="both"/>
        <w:rPr>
          <w:rFonts w:ascii="Arial" w:hAnsi="Arial" w:cs="Arial"/>
          <w:b/>
        </w:rPr>
      </w:pPr>
      <w:r w:rsidRPr="000130D1">
        <w:rPr>
          <w:rFonts w:ascii="Arial" w:hAnsi="Arial" w:cs="Arial"/>
          <w:b/>
        </w:rPr>
        <w:t xml:space="preserve">b.2 </w:t>
      </w:r>
      <w:r w:rsidR="000130D1">
        <w:rPr>
          <w:rFonts w:ascii="Arial" w:hAnsi="Arial" w:cs="Arial"/>
          <w:b/>
        </w:rPr>
        <w:t xml:space="preserve"> </w:t>
      </w:r>
      <w:r w:rsidRPr="000130D1">
        <w:rPr>
          <w:rFonts w:ascii="Arial" w:hAnsi="Arial" w:cs="Arial"/>
          <w:b/>
        </w:rPr>
        <w:t>Bajo la modalidad virtual</w:t>
      </w:r>
    </w:p>
    <w:p w:rsidR="0042207F" w:rsidRPr="0042207F" w:rsidRDefault="0042207F" w:rsidP="00B01FF7">
      <w:pPr>
        <w:spacing w:after="0" w:line="240" w:lineRule="auto"/>
        <w:jc w:val="both"/>
        <w:rPr>
          <w:rFonts w:ascii="Arial" w:hAnsi="Arial" w:cs="Arial"/>
        </w:rPr>
      </w:pPr>
    </w:p>
    <w:p w:rsidR="0042207F" w:rsidRPr="0042207F" w:rsidRDefault="0042207F" w:rsidP="000130D1">
      <w:pPr>
        <w:spacing w:after="0" w:line="240" w:lineRule="auto"/>
        <w:ind w:left="2268"/>
        <w:jc w:val="both"/>
        <w:rPr>
          <w:rFonts w:ascii="Arial" w:hAnsi="Arial" w:cs="Arial"/>
        </w:rPr>
      </w:pPr>
      <w:r w:rsidRPr="0042207F">
        <w:rPr>
          <w:rFonts w:ascii="Arial" w:hAnsi="Arial" w:cs="Arial"/>
        </w:rPr>
        <w:t>Este mecanismo es de naturaleza excepcional y su habilitación es atribución de la SDNC de la SBN.</w:t>
      </w:r>
    </w:p>
    <w:p w:rsidR="0042207F" w:rsidRPr="0042207F" w:rsidRDefault="0042207F" w:rsidP="000130D1">
      <w:pPr>
        <w:spacing w:after="0" w:line="240" w:lineRule="auto"/>
        <w:ind w:left="2268"/>
        <w:jc w:val="both"/>
        <w:rPr>
          <w:rFonts w:ascii="Arial" w:hAnsi="Arial" w:cs="Arial"/>
        </w:rPr>
      </w:pPr>
    </w:p>
    <w:p w:rsidR="0042207F" w:rsidRPr="0042207F" w:rsidRDefault="0042207F" w:rsidP="000130D1">
      <w:pPr>
        <w:spacing w:after="0" w:line="240" w:lineRule="auto"/>
        <w:ind w:left="2268"/>
        <w:jc w:val="both"/>
        <w:rPr>
          <w:rFonts w:ascii="Arial" w:hAnsi="Arial" w:cs="Arial"/>
        </w:rPr>
      </w:pPr>
      <w:r w:rsidRPr="0042207F">
        <w:rPr>
          <w:rFonts w:ascii="Arial" w:hAnsi="Arial" w:cs="Arial"/>
        </w:rPr>
        <w:t>El postulante debe rendir la evaluación virtual de conocimientos, de acuerdo al Instructivo publicado en dicha plataforma virtual, en la fecha y hora programados por el Sistema de Certificación, cuya calificación se mostrará en pantalla, una vez concluida dicha evaluación.</w:t>
      </w:r>
    </w:p>
    <w:p w:rsidR="0042207F" w:rsidRPr="0042207F" w:rsidRDefault="0042207F" w:rsidP="000130D1">
      <w:pPr>
        <w:spacing w:after="0" w:line="240" w:lineRule="auto"/>
        <w:ind w:left="2268"/>
        <w:jc w:val="both"/>
        <w:rPr>
          <w:rFonts w:ascii="Arial" w:hAnsi="Arial" w:cs="Arial"/>
        </w:rPr>
      </w:pPr>
    </w:p>
    <w:p w:rsidR="0042207F" w:rsidRPr="0042207F" w:rsidRDefault="0042207F" w:rsidP="000130D1">
      <w:pPr>
        <w:spacing w:after="0" w:line="240" w:lineRule="auto"/>
        <w:ind w:left="2268"/>
        <w:jc w:val="both"/>
        <w:rPr>
          <w:rFonts w:ascii="Arial" w:hAnsi="Arial" w:cs="Arial"/>
        </w:rPr>
      </w:pPr>
      <w:r w:rsidRPr="0042207F">
        <w:rPr>
          <w:rFonts w:ascii="Arial" w:hAnsi="Arial" w:cs="Arial"/>
        </w:rPr>
        <w:t xml:space="preserve">La calificación mínima aprobatoria de la evaluación de conocimientos para obtener la certificación es de catorce (14) puntos sobre veinte (20). </w:t>
      </w:r>
    </w:p>
    <w:p w:rsidR="0042207F" w:rsidRPr="0042207F" w:rsidRDefault="0042207F" w:rsidP="000130D1">
      <w:pPr>
        <w:spacing w:after="0" w:line="240" w:lineRule="auto"/>
        <w:ind w:left="2268"/>
        <w:jc w:val="both"/>
        <w:rPr>
          <w:rFonts w:ascii="Arial" w:hAnsi="Arial" w:cs="Arial"/>
        </w:rPr>
      </w:pPr>
    </w:p>
    <w:p w:rsidR="0042207F" w:rsidRPr="0042207F" w:rsidRDefault="0042207F" w:rsidP="000130D1">
      <w:pPr>
        <w:spacing w:after="0" w:line="240" w:lineRule="auto"/>
        <w:ind w:left="2268"/>
        <w:jc w:val="both"/>
        <w:rPr>
          <w:rFonts w:ascii="Arial" w:hAnsi="Arial" w:cs="Arial"/>
        </w:rPr>
      </w:pPr>
      <w:r w:rsidRPr="0042207F">
        <w:rPr>
          <w:rFonts w:ascii="Arial" w:hAnsi="Arial" w:cs="Arial"/>
        </w:rPr>
        <w:t>En caso que el postulante no apruebe la evaluación, el Sistema de Certificación le otorgará la condición de: “No aprobó”, otorgándole automática e inmediatamente la nueva fecha y hora para rendir una nueva evaluación, la cual debe efectuarse dentro de 30 días hábiles contados desde la fecha de evaluación.</w:t>
      </w:r>
    </w:p>
    <w:p w:rsidR="0042207F" w:rsidRPr="0042207F" w:rsidRDefault="0042207F" w:rsidP="000130D1">
      <w:pPr>
        <w:spacing w:after="0" w:line="240" w:lineRule="auto"/>
        <w:ind w:left="2268"/>
        <w:jc w:val="both"/>
        <w:rPr>
          <w:rFonts w:ascii="Arial" w:hAnsi="Arial" w:cs="Arial"/>
        </w:rPr>
      </w:pPr>
    </w:p>
    <w:p w:rsidR="0042207F" w:rsidRPr="0042207F" w:rsidRDefault="0042207F" w:rsidP="000130D1">
      <w:pPr>
        <w:spacing w:after="0" w:line="240" w:lineRule="auto"/>
        <w:ind w:left="2268"/>
        <w:jc w:val="both"/>
        <w:rPr>
          <w:rFonts w:ascii="Arial" w:hAnsi="Arial" w:cs="Arial"/>
        </w:rPr>
      </w:pPr>
      <w:r w:rsidRPr="0042207F">
        <w:rPr>
          <w:rFonts w:ascii="Arial" w:hAnsi="Arial" w:cs="Arial"/>
        </w:rPr>
        <w:t xml:space="preserve">Si el postulante no rinde la evaluación en la fecha y hora programada, el Sistema de Certificación le otorgará la condición de “No se presentó”, reprogramando la fecha y hora de manera automática, remitiéndole dicha información a su correo electrónico. </w:t>
      </w:r>
    </w:p>
    <w:p w:rsidR="0042207F" w:rsidRPr="0042207F" w:rsidRDefault="0042207F" w:rsidP="000130D1">
      <w:pPr>
        <w:spacing w:after="0" w:line="240" w:lineRule="auto"/>
        <w:ind w:left="2268"/>
        <w:jc w:val="both"/>
        <w:rPr>
          <w:rFonts w:ascii="Arial" w:hAnsi="Arial" w:cs="Arial"/>
        </w:rPr>
      </w:pPr>
    </w:p>
    <w:p w:rsidR="0042207F" w:rsidRPr="0042207F" w:rsidRDefault="0042207F" w:rsidP="000130D1">
      <w:pPr>
        <w:spacing w:after="0" w:line="240" w:lineRule="auto"/>
        <w:ind w:left="2268"/>
        <w:jc w:val="both"/>
        <w:rPr>
          <w:rFonts w:ascii="Arial" w:hAnsi="Arial" w:cs="Arial"/>
        </w:rPr>
      </w:pPr>
      <w:r w:rsidRPr="0042207F">
        <w:rPr>
          <w:rFonts w:ascii="Arial" w:hAnsi="Arial" w:cs="Arial"/>
        </w:rPr>
        <w:t>Si el postulante desaprueba el segundo intento de evaluación o no rinde la segunda evaluación en la fecha y horas programada, el Sistema de Certificación procederá a desactivar el usuario y clave del postulante, pudiendo volver a participar en el proceso de evaluación virtual luego de sesenta (60) días hábiles desde la desactivación.</w:t>
      </w:r>
    </w:p>
    <w:p w:rsidR="0042207F" w:rsidRPr="0042207F" w:rsidRDefault="0042207F" w:rsidP="000130D1">
      <w:pPr>
        <w:spacing w:after="0" w:line="240" w:lineRule="auto"/>
        <w:ind w:left="2268"/>
        <w:jc w:val="both"/>
        <w:rPr>
          <w:rFonts w:ascii="Arial" w:hAnsi="Arial" w:cs="Arial"/>
        </w:rPr>
      </w:pPr>
    </w:p>
    <w:p w:rsidR="0042207F" w:rsidRPr="0042207F" w:rsidRDefault="0042207F" w:rsidP="000130D1">
      <w:pPr>
        <w:spacing w:after="0" w:line="240" w:lineRule="auto"/>
        <w:ind w:left="2268"/>
        <w:jc w:val="both"/>
        <w:rPr>
          <w:rFonts w:ascii="Arial" w:hAnsi="Arial" w:cs="Arial"/>
        </w:rPr>
      </w:pPr>
      <w:r w:rsidRPr="0042207F">
        <w:rPr>
          <w:rFonts w:ascii="Arial" w:hAnsi="Arial" w:cs="Arial"/>
        </w:rPr>
        <w:t>Sin perjuicio de lo señalado, el postulante podrá acceder a la modalidad de evaluación presencial, atendiendo a las reglas contenidas en el literal b.1 del numeral 6.2.3 de la presente Directiva</w:t>
      </w:r>
    </w:p>
    <w:p w:rsidR="0042207F" w:rsidRPr="0042207F" w:rsidRDefault="0042207F" w:rsidP="00B01FF7">
      <w:pPr>
        <w:spacing w:after="0" w:line="240" w:lineRule="auto"/>
        <w:jc w:val="both"/>
        <w:rPr>
          <w:rFonts w:ascii="Arial" w:hAnsi="Arial" w:cs="Arial"/>
        </w:rPr>
      </w:pPr>
    </w:p>
    <w:p w:rsidR="0042207F" w:rsidRPr="000130D1" w:rsidRDefault="0042207F" w:rsidP="000130D1">
      <w:pPr>
        <w:spacing w:after="0" w:line="240" w:lineRule="auto"/>
        <w:ind w:left="1985" w:hanging="425"/>
        <w:jc w:val="both"/>
        <w:rPr>
          <w:rFonts w:ascii="Arial" w:hAnsi="Arial" w:cs="Arial"/>
          <w:b/>
        </w:rPr>
      </w:pPr>
      <w:r w:rsidRPr="000130D1">
        <w:rPr>
          <w:rFonts w:ascii="Arial" w:hAnsi="Arial" w:cs="Arial"/>
          <w:b/>
        </w:rPr>
        <w:t>c.</w:t>
      </w:r>
      <w:r w:rsidRPr="000130D1">
        <w:rPr>
          <w:rFonts w:ascii="Arial" w:hAnsi="Arial" w:cs="Arial"/>
          <w:b/>
        </w:rPr>
        <w:tab/>
        <w:t>Presentación de Documentos</w:t>
      </w:r>
    </w:p>
    <w:p w:rsidR="0042207F" w:rsidRPr="0042207F" w:rsidRDefault="0042207F" w:rsidP="00B01FF7">
      <w:pPr>
        <w:spacing w:after="0" w:line="240" w:lineRule="auto"/>
        <w:jc w:val="both"/>
        <w:rPr>
          <w:rFonts w:ascii="Arial" w:hAnsi="Arial" w:cs="Arial"/>
        </w:rPr>
      </w:pPr>
    </w:p>
    <w:p w:rsidR="0042207F" w:rsidRPr="0042207F" w:rsidRDefault="0042207F" w:rsidP="00C33571">
      <w:pPr>
        <w:spacing w:after="0" w:line="240" w:lineRule="auto"/>
        <w:ind w:left="1985"/>
        <w:jc w:val="both"/>
        <w:rPr>
          <w:rFonts w:ascii="Arial" w:hAnsi="Arial" w:cs="Arial"/>
        </w:rPr>
      </w:pPr>
      <w:r w:rsidRPr="0042207F">
        <w:rPr>
          <w:rFonts w:ascii="Arial" w:hAnsi="Arial" w:cs="Arial"/>
        </w:rPr>
        <w:t>Si el postulante obtiene la calificación aprobatoria, dentro del plazo máximo de veinte (20) días hábiles siguientes de la publicación o notificación de los resultados, deberá presentar a la SBN la copia legalizada por notario público o fedateada por funcionario responsable de la SBN, la documentación sustentatoria de la información registrada en el Sistema de Certificación, la cual debe estar foliada.</w:t>
      </w:r>
    </w:p>
    <w:p w:rsidR="0042207F" w:rsidRPr="0042207F" w:rsidRDefault="0042207F" w:rsidP="00C33571">
      <w:pPr>
        <w:spacing w:after="0" w:line="240" w:lineRule="auto"/>
        <w:ind w:left="1985"/>
        <w:jc w:val="both"/>
        <w:rPr>
          <w:rFonts w:ascii="Arial" w:hAnsi="Arial" w:cs="Arial"/>
        </w:rPr>
      </w:pPr>
    </w:p>
    <w:p w:rsidR="0042207F" w:rsidRPr="0042207F" w:rsidRDefault="0042207F" w:rsidP="00C33571">
      <w:pPr>
        <w:spacing w:after="0" w:line="240" w:lineRule="auto"/>
        <w:ind w:left="1985"/>
        <w:jc w:val="both"/>
        <w:rPr>
          <w:rFonts w:ascii="Arial" w:hAnsi="Arial" w:cs="Arial"/>
        </w:rPr>
      </w:pPr>
      <w:r w:rsidRPr="0042207F">
        <w:rPr>
          <w:rFonts w:ascii="Arial" w:hAnsi="Arial" w:cs="Arial"/>
        </w:rPr>
        <w:t>La SDNC, en el plazo de treinta (30) días hábiles, contados desde la fecha de presentación de los documentos, debe verificar el cumplimiento de los requisitos, así como su concordancia con la información consignada en la ficha de datos, ingresando en el Sistema de Certificación el resultado de la verificación.</w:t>
      </w:r>
    </w:p>
    <w:p w:rsidR="0042207F" w:rsidRPr="0042207F" w:rsidRDefault="0042207F" w:rsidP="00C33571">
      <w:pPr>
        <w:spacing w:after="0" w:line="240" w:lineRule="auto"/>
        <w:ind w:left="1985"/>
        <w:jc w:val="both"/>
        <w:rPr>
          <w:rFonts w:ascii="Arial" w:hAnsi="Arial" w:cs="Arial"/>
        </w:rPr>
      </w:pPr>
    </w:p>
    <w:p w:rsidR="0042207F" w:rsidRPr="0042207F" w:rsidRDefault="0042207F" w:rsidP="00C33571">
      <w:pPr>
        <w:spacing w:after="0" w:line="240" w:lineRule="auto"/>
        <w:ind w:left="1985"/>
        <w:jc w:val="both"/>
        <w:rPr>
          <w:rFonts w:ascii="Arial" w:hAnsi="Arial" w:cs="Arial"/>
        </w:rPr>
      </w:pPr>
      <w:r w:rsidRPr="0042207F">
        <w:rPr>
          <w:rFonts w:ascii="Arial" w:hAnsi="Arial" w:cs="Arial"/>
        </w:rPr>
        <w:t xml:space="preserve">Si la documentación cumple los requisitos, el Sistema de Certificación remite al correo electrónico del postulante una constancia electrónica en la que se le asigna el Código de Certificación, el cual acredita al postulante como Profesional o Técnico Certificado. </w:t>
      </w:r>
    </w:p>
    <w:p w:rsidR="0042207F" w:rsidRPr="0042207F" w:rsidRDefault="0042207F" w:rsidP="00C33571">
      <w:pPr>
        <w:spacing w:after="0" w:line="240" w:lineRule="auto"/>
        <w:ind w:left="1985"/>
        <w:jc w:val="both"/>
        <w:rPr>
          <w:rFonts w:ascii="Arial" w:hAnsi="Arial" w:cs="Arial"/>
        </w:rPr>
      </w:pPr>
    </w:p>
    <w:p w:rsidR="0042207F" w:rsidRPr="0042207F" w:rsidRDefault="0042207F" w:rsidP="00C33571">
      <w:pPr>
        <w:spacing w:after="0" w:line="240" w:lineRule="auto"/>
        <w:ind w:left="1985"/>
        <w:jc w:val="both"/>
        <w:rPr>
          <w:rFonts w:ascii="Arial" w:hAnsi="Arial" w:cs="Arial"/>
        </w:rPr>
      </w:pPr>
      <w:r w:rsidRPr="0042207F">
        <w:rPr>
          <w:rFonts w:ascii="Arial" w:hAnsi="Arial" w:cs="Arial"/>
        </w:rPr>
        <w:t>En caso la SDNC detecte alguna omisión o que la documentación presentada no es concordante con la información registrada en la ficha de datos, observará el trámite, y mediante el Sistema de Certificación notificará al postulante vía correo electrónico, debiendo éste, efectuar la subsanación dentro del plazo de diez (10) días hábiles siguientes.</w:t>
      </w:r>
    </w:p>
    <w:p w:rsidR="0042207F" w:rsidRPr="0042207F" w:rsidRDefault="0042207F" w:rsidP="00C33571">
      <w:pPr>
        <w:spacing w:after="0" w:line="240" w:lineRule="auto"/>
        <w:ind w:left="1985"/>
        <w:jc w:val="both"/>
        <w:rPr>
          <w:rFonts w:ascii="Arial" w:hAnsi="Arial" w:cs="Arial"/>
        </w:rPr>
      </w:pPr>
    </w:p>
    <w:p w:rsidR="0042207F" w:rsidRPr="0042207F" w:rsidRDefault="0042207F" w:rsidP="00C33571">
      <w:pPr>
        <w:spacing w:after="0" w:line="240" w:lineRule="auto"/>
        <w:ind w:left="1985"/>
        <w:jc w:val="both"/>
        <w:rPr>
          <w:rFonts w:ascii="Arial" w:hAnsi="Arial" w:cs="Arial"/>
        </w:rPr>
      </w:pPr>
      <w:r w:rsidRPr="0042207F">
        <w:rPr>
          <w:rFonts w:ascii="Arial" w:hAnsi="Arial" w:cs="Arial"/>
        </w:rPr>
        <w:t xml:space="preserve">Si transcurrido el plazo otorgado para la subsanación de las observaciones, el postulante no la efectúa, la SDNC debe tener por no presentada la documentación, devolviéndola al postulante, a su solicitud, para que inicie nuevamente el Procedimiento de Certificación, dándose por concluido el referido procedimiento. </w:t>
      </w:r>
    </w:p>
    <w:p w:rsidR="0042207F" w:rsidRPr="0042207F" w:rsidRDefault="0042207F" w:rsidP="00C33571">
      <w:pPr>
        <w:spacing w:after="0" w:line="240" w:lineRule="auto"/>
        <w:ind w:left="1985"/>
        <w:jc w:val="both"/>
        <w:rPr>
          <w:rFonts w:ascii="Arial" w:hAnsi="Arial" w:cs="Arial"/>
        </w:rPr>
      </w:pPr>
    </w:p>
    <w:p w:rsidR="0042207F" w:rsidRPr="0042207F" w:rsidRDefault="0042207F" w:rsidP="00C33571">
      <w:pPr>
        <w:spacing w:after="0" w:line="240" w:lineRule="auto"/>
        <w:ind w:left="1985"/>
        <w:jc w:val="both"/>
        <w:rPr>
          <w:rFonts w:ascii="Arial" w:hAnsi="Arial" w:cs="Arial"/>
        </w:rPr>
      </w:pPr>
      <w:r w:rsidRPr="0042207F">
        <w:rPr>
          <w:rFonts w:ascii="Arial" w:hAnsi="Arial" w:cs="Arial"/>
        </w:rPr>
        <w:t>El interesado tendrá hasta cuarentaicinco (45) días hábiles para recoger sus documentos, contados desde la fecha de vencimiento del plazo para subsanar las observaciones formuladas, en caso contrario, se eliminará la documentación referida.</w:t>
      </w:r>
    </w:p>
    <w:p w:rsidR="0042207F" w:rsidRPr="0042207F" w:rsidRDefault="0042207F" w:rsidP="00C33571">
      <w:pPr>
        <w:spacing w:after="0" w:line="240" w:lineRule="auto"/>
        <w:ind w:left="1985"/>
        <w:jc w:val="both"/>
        <w:rPr>
          <w:rFonts w:ascii="Arial" w:hAnsi="Arial" w:cs="Arial"/>
        </w:rPr>
      </w:pPr>
    </w:p>
    <w:p w:rsidR="0042207F" w:rsidRPr="0042207F" w:rsidRDefault="0042207F" w:rsidP="00C33571">
      <w:pPr>
        <w:spacing w:after="0" w:line="240" w:lineRule="auto"/>
        <w:ind w:left="1985"/>
        <w:jc w:val="both"/>
        <w:rPr>
          <w:rFonts w:ascii="Arial" w:hAnsi="Arial" w:cs="Arial"/>
        </w:rPr>
      </w:pPr>
      <w:r w:rsidRPr="0042207F">
        <w:rPr>
          <w:rFonts w:ascii="Arial" w:hAnsi="Arial" w:cs="Arial"/>
        </w:rPr>
        <w:t>Si el postulante que obtuvo calificación aprobatoria no cumple con remitir la documentación sustentatoria dentro del plazo establecido, se da por concluido el Procedimiento de Certificación, pudiendo el postulante iniciar nuevamente dicho procedimiento.</w:t>
      </w:r>
    </w:p>
    <w:p w:rsidR="0042207F" w:rsidRPr="0042207F" w:rsidRDefault="0042207F" w:rsidP="00B01FF7">
      <w:pPr>
        <w:spacing w:after="0" w:line="240" w:lineRule="auto"/>
        <w:jc w:val="both"/>
        <w:rPr>
          <w:rFonts w:ascii="Arial" w:hAnsi="Arial" w:cs="Arial"/>
        </w:rPr>
      </w:pPr>
    </w:p>
    <w:p w:rsidR="0042207F" w:rsidRPr="0042207F" w:rsidRDefault="0042207F" w:rsidP="00B01FF7">
      <w:pPr>
        <w:spacing w:after="0" w:line="240" w:lineRule="auto"/>
        <w:jc w:val="both"/>
        <w:rPr>
          <w:rFonts w:ascii="Arial" w:hAnsi="Arial" w:cs="Arial"/>
        </w:rPr>
      </w:pPr>
    </w:p>
    <w:p w:rsidR="0042207F" w:rsidRPr="00C33571" w:rsidRDefault="0042207F" w:rsidP="00C33571">
      <w:pPr>
        <w:spacing w:after="0" w:line="240" w:lineRule="auto"/>
        <w:ind w:left="993"/>
        <w:jc w:val="both"/>
        <w:rPr>
          <w:rFonts w:ascii="Arial" w:hAnsi="Arial" w:cs="Arial"/>
          <w:b/>
        </w:rPr>
      </w:pPr>
      <w:r w:rsidRPr="00C33571">
        <w:rPr>
          <w:rFonts w:ascii="Arial" w:hAnsi="Arial" w:cs="Arial"/>
          <w:b/>
        </w:rPr>
        <w:t xml:space="preserve">6.2.4 </w:t>
      </w:r>
      <w:r w:rsidR="00C33571">
        <w:rPr>
          <w:rFonts w:ascii="Arial" w:hAnsi="Arial" w:cs="Arial"/>
          <w:b/>
        </w:rPr>
        <w:t xml:space="preserve"> </w:t>
      </w:r>
      <w:r w:rsidRPr="00C33571">
        <w:rPr>
          <w:rFonts w:ascii="Arial" w:hAnsi="Arial" w:cs="Arial"/>
          <w:b/>
        </w:rPr>
        <w:t>Procedimiento de Renovación</w:t>
      </w:r>
    </w:p>
    <w:p w:rsidR="0042207F" w:rsidRPr="0042207F" w:rsidRDefault="0042207F" w:rsidP="00B01FF7">
      <w:pPr>
        <w:spacing w:after="0" w:line="240" w:lineRule="auto"/>
        <w:jc w:val="both"/>
        <w:rPr>
          <w:rFonts w:ascii="Arial" w:hAnsi="Arial" w:cs="Arial"/>
        </w:rPr>
      </w:pPr>
    </w:p>
    <w:p w:rsidR="0042207F" w:rsidRPr="0042207F" w:rsidRDefault="0042207F" w:rsidP="00C33571">
      <w:pPr>
        <w:spacing w:after="0" w:line="240" w:lineRule="auto"/>
        <w:ind w:left="1560"/>
        <w:jc w:val="both"/>
        <w:rPr>
          <w:rFonts w:ascii="Arial" w:hAnsi="Arial" w:cs="Arial"/>
        </w:rPr>
      </w:pPr>
      <w:r w:rsidRPr="0042207F">
        <w:rPr>
          <w:rFonts w:ascii="Arial" w:hAnsi="Arial" w:cs="Arial"/>
        </w:rPr>
        <w:t xml:space="preserve">El periodo de validez de la certificación es de cuatro (4) años. </w:t>
      </w:r>
    </w:p>
    <w:p w:rsidR="0042207F" w:rsidRPr="0042207F" w:rsidRDefault="0042207F" w:rsidP="00C33571">
      <w:pPr>
        <w:spacing w:after="0" w:line="240" w:lineRule="auto"/>
        <w:ind w:left="1560"/>
        <w:jc w:val="both"/>
        <w:rPr>
          <w:rFonts w:ascii="Arial" w:hAnsi="Arial" w:cs="Arial"/>
        </w:rPr>
      </w:pPr>
    </w:p>
    <w:p w:rsidR="0042207F" w:rsidRPr="0042207F" w:rsidRDefault="0042207F" w:rsidP="00C33571">
      <w:pPr>
        <w:spacing w:after="0" w:line="240" w:lineRule="auto"/>
        <w:ind w:left="1560"/>
        <w:jc w:val="both"/>
        <w:rPr>
          <w:rFonts w:ascii="Arial" w:hAnsi="Arial" w:cs="Arial"/>
        </w:rPr>
      </w:pPr>
      <w:r w:rsidRPr="0042207F">
        <w:rPr>
          <w:rFonts w:ascii="Arial" w:hAnsi="Arial" w:cs="Arial"/>
        </w:rPr>
        <w:t>Los funcionarios y servidores deben renovar su certificación en el periodo de sesenta (60) días calendario de anticipación a su vencimiento, para lo cual accederá a la ficha de datos con su clave de ingreso, de acuerdo al Instructivo que, para dicho efecto, es publicado en la página Web de la SBN, en la cual debe actualizar sus datos personales, académicos y laborales.</w:t>
      </w:r>
    </w:p>
    <w:p w:rsidR="0042207F" w:rsidRPr="0042207F" w:rsidRDefault="0042207F" w:rsidP="00C33571">
      <w:pPr>
        <w:spacing w:after="0" w:line="240" w:lineRule="auto"/>
        <w:ind w:left="1560"/>
        <w:jc w:val="both"/>
        <w:rPr>
          <w:rFonts w:ascii="Arial" w:hAnsi="Arial" w:cs="Arial"/>
        </w:rPr>
      </w:pPr>
    </w:p>
    <w:p w:rsidR="0042207F" w:rsidRPr="0042207F" w:rsidRDefault="0042207F" w:rsidP="00C33571">
      <w:pPr>
        <w:spacing w:after="0" w:line="240" w:lineRule="auto"/>
        <w:ind w:left="1560"/>
        <w:jc w:val="both"/>
        <w:rPr>
          <w:rFonts w:ascii="Arial" w:hAnsi="Arial" w:cs="Arial"/>
        </w:rPr>
      </w:pPr>
      <w:r w:rsidRPr="0042207F">
        <w:rPr>
          <w:rFonts w:ascii="Arial" w:hAnsi="Arial" w:cs="Arial"/>
        </w:rPr>
        <w:t>El postulante debe solicitar la renovación de la certificación vía Web, a través del Sistema de Certificación, el cual remitirá a su correo electrónico, principal y secundario, la fecha y hora de la evaluación virtual de conocimientos; para cuyo efecto deben observarse las reglas previstas en el literal b) del numeral 6.2.3 de la presente directiva.</w:t>
      </w:r>
    </w:p>
    <w:p w:rsidR="0042207F" w:rsidRPr="0042207F" w:rsidRDefault="0042207F" w:rsidP="00C33571">
      <w:pPr>
        <w:spacing w:after="0" w:line="240" w:lineRule="auto"/>
        <w:ind w:left="1560"/>
        <w:jc w:val="both"/>
        <w:rPr>
          <w:rFonts w:ascii="Arial" w:hAnsi="Arial" w:cs="Arial"/>
        </w:rPr>
      </w:pPr>
    </w:p>
    <w:p w:rsidR="0042207F" w:rsidRPr="0042207F" w:rsidRDefault="0042207F" w:rsidP="00C33571">
      <w:pPr>
        <w:spacing w:after="0" w:line="240" w:lineRule="auto"/>
        <w:ind w:left="1560"/>
        <w:jc w:val="both"/>
        <w:rPr>
          <w:rFonts w:ascii="Arial" w:hAnsi="Arial" w:cs="Arial"/>
        </w:rPr>
      </w:pPr>
      <w:r w:rsidRPr="0042207F">
        <w:rPr>
          <w:rFonts w:ascii="Arial" w:hAnsi="Arial" w:cs="Arial"/>
        </w:rPr>
        <w:t>Se exonera de la rendición de la evaluación de conocimientos para la obtención de la renovación de la certificación, al postulante que acredite haber recibido capacitación por parte de la SBN o un aliado estratégico con un mínimo de cuarenta (40) horas en el último año, contado a partir de la fecha de presentación de su ficha de datos.</w:t>
      </w:r>
    </w:p>
    <w:p w:rsidR="0042207F" w:rsidRPr="0042207F" w:rsidRDefault="0042207F" w:rsidP="00C33571">
      <w:pPr>
        <w:spacing w:after="0" w:line="240" w:lineRule="auto"/>
        <w:ind w:left="1560"/>
        <w:jc w:val="both"/>
        <w:rPr>
          <w:rFonts w:ascii="Arial" w:hAnsi="Arial" w:cs="Arial"/>
        </w:rPr>
      </w:pPr>
    </w:p>
    <w:p w:rsidR="0042207F" w:rsidRPr="0042207F" w:rsidRDefault="0042207F" w:rsidP="00C33571">
      <w:pPr>
        <w:spacing w:after="0" w:line="240" w:lineRule="auto"/>
        <w:ind w:left="1560"/>
        <w:jc w:val="both"/>
        <w:rPr>
          <w:rFonts w:ascii="Arial" w:hAnsi="Arial" w:cs="Arial"/>
        </w:rPr>
      </w:pPr>
      <w:r w:rsidRPr="0042207F">
        <w:rPr>
          <w:rFonts w:ascii="Arial" w:hAnsi="Arial" w:cs="Arial"/>
        </w:rPr>
        <w:t>Si se cumple con los requisitos establecidos para este procedimiento, el Sistema de Certificación remite al correo electrónico del postulante una constancia electrónica en la que se le asigna el Código de Certificación por Renovación, el cual acredita al postulante como profesional o técnico certificado por renovación.</w:t>
      </w:r>
    </w:p>
    <w:p w:rsidR="0042207F" w:rsidRPr="0042207F" w:rsidRDefault="0042207F" w:rsidP="00C33571">
      <w:pPr>
        <w:spacing w:after="0" w:line="240" w:lineRule="auto"/>
        <w:ind w:left="1560"/>
        <w:jc w:val="both"/>
        <w:rPr>
          <w:rFonts w:ascii="Arial" w:hAnsi="Arial" w:cs="Arial"/>
        </w:rPr>
      </w:pPr>
    </w:p>
    <w:p w:rsidR="0042207F" w:rsidRPr="0042207F" w:rsidRDefault="0042207F" w:rsidP="00C33571">
      <w:pPr>
        <w:spacing w:after="0" w:line="240" w:lineRule="auto"/>
        <w:ind w:left="1560"/>
        <w:jc w:val="both"/>
        <w:rPr>
          <w:rFonts w:ascii="Arial" w:hAnsi="Arial" w:cs="Arial"/>
        </w:rPr>
      </w:pPr>
      <w:r w:rsidRPr="0042207F">
        <w:rPr>
          <w:rFonts w:ascii="Arial" w:hAnsi="Arial" w:cs="Arial"/>
        </w:rPr>
        <w:t>Vencido el plazo para solicitar la renovación, el profesional o técnico debe iniciar nuevamente el procedimiento de certificación, de acuerdo al respectivo Instructivo publicado en la plataforma virtual de certificación.</w:t>
      </w:r>
    </w:p>
    <w:p w:rsidR="0042207F" w:rsidRPr="0042207F" w:rsidRDefault="0042207F" w:rsidP="00B01FF7">
      <w:pPr>
        <w:spacing w:after="0" w:line="240" w:lineRule="auto"/>
        <w:jc w:val="both"/>
        <w:rPr>
          <w:rFonts w:ascii="Arial" w:hAnsi="Arial" w:cs="Arial"/>
        </w:rPr>
      </w:pPr>
    </w:p>
    <w:p w:rsidR="0042207F" w:rsidRPr="00C33571" w:rsidRDefault="0042207F" w:rsidP="00C33571">
      <w:pPr>
        <w:spacing w:after="0" w:line="240" w:lineRule="auto"/>
        <w:ind w:left="993"/>
        <w:jc w:val="both"/>
        <w:rPr>
          <w:rFonts w:ascii="Arial" w:hAnsi="Arial" w:cs="Arial"/>
          <w:b/>
        </w:rPr>
      </w:pPr>
      <w:r w:rsidRPr="00C33571">
        <w:rPr>
          <w:rFonts w:ascii="Arial" w:hAnsi="Arial" w:cs="Arial"/>
          <w:b/>
        </w:rPr>
        <w:t xml:space="preserve">6.2.5 </w:t>
      </w:r>
      <w:r w:rsidR="00C33571">
        <w:rPr>
          <w:rFonts w:ascii="Arial" w:hAnsi="Arial" w:cs="Arial"/>
          <w:b/>
        </w:rPr>
        <w:t xml:space="preserve"> </w:t>
      </w:r>
      <w:r w:rsidRPr="00C33571">
        <w:rPr>
          <w:rFonts w:ascii="Arial" w:hAnsi="Arial" w:cs="Arial"/>
          <w:b/>
        </w:rPr>
        <w:t>Fiscalización Posterior</w:t>
      </w:r>
    </w:p>
    <w:p w:rsidR="0042207F" w:rsidRPr="0042207F" w:rsidRDefault="0042207F" w:rsidP="00B01FF7">
      <w:pPr>
        <w:spacing w:after="0" w:line="240" w:lineRule="auto"/>
        <w:jc w:val="both"/>
        <w:rPr>
          <w:rFonts w:ascii="Arial" w:hAnsi="Arial" w:cs="Arial"/>
        </w:rPr>
      </w:pPr>
    </w:p>
    <w:p w:rsidR="0042207F" w:rsidRPr="0042207F" w:rsidRDefault="0042207F" w:rsidP="00C33571">
      <w:pPr>
        <w:spacing w:after="0" w:line="240" w:lineRule="auto"/>
        <w:ind w:left="1560"/>
        <w:jc w:val="both"/>
        <w:rPr>
          <w:rFonts w:ascii="Arial" w:hAnsi="Arial" w:cs="Arial"/>
        </w:rPr>
      </w:pPr>
      <w:r w:rsidRPr="0042207F">
        <w:rPr>
          <w:rFonts w:ascii="Arial" w:hAnsi="Arial" w:cs="Arial"/>
        </w:rPr>
        <w:t>Toda la documentación o información presentada por el postulante para efectos de la obtención de su certificación, tendrá el carácter de declaración jurada y podrá ser sometida a un procedimiento de fiscalización posterior, según lo establecido por el artículo 32º de la Ley Nº 27444, Ley del Procedimiento Administrativo General.</w:t>
      </w:r>
    </w:p>
    <w:p w:rsidR="0042207F" w:rsidRPr="0042207F" w:rsidRDefault="0042207F" w:rsidP="00C33571">
      <w:pPr>
        <w:spacing w:after="0" w:line="240" w:lineRule="auto"/>
        <w:ind w:left="1560"/>
        <w:jc w:val="both"/>
        <w:rPr>
          <w:rFonts w:ascii="Arial" w:hAnsi="Arial" w:cs="Arial"/>
        </w:rPr>
      </w:pPr>
    </w:p>
    <w:p w:rsidR="0042207F" w:rsidRPr="0042207F" w:rsidRDefault="0042207F" w:rsidP="00C33571">
      <w:pPr>
        <w:spacing w:after="0" w:line="240" w:lineRule="auto"/>
        <w:ind w:left="1560"/>
        <w:jc w:val="both"/>
        <w:rPr>
          <w:rFonts w:ascii="Arial" w:hAnsi="Arial" w:cs="Arial"/>
        </w:rPr>
      </w:pPr>
      <w:r w:rsidRPr="0042207F">
        <w:rPr>
          <w:rFonts w:ascii="Arial" w:hAnsi="Arial" w:cs="Arial"/>
        </w:rPr>
        <w:t xml:space="preserve">En caso de comprobarse fraude o falsedad en la declaración, información o en la documentación presentada por el postulante, la SBN declarará la nulidad de la certificación expedida, sin perjuicio de las acciones legales correspondientes. </w:t>
      </w:r>
    </w:p>
    <w:p w:rsidR="0042207F" w:rsidRPr="0042207F" w:rsidRDefault="0042207F" w:rsidP="00B01FF7">
      <w:pPr>
        <w:spacing w:after="0" w:line="240" w:lineRule="auto"/>
        <w:jc w:val="both"/>
        <w:rPr>
          <w:rFonts w:ascii="Arial" w:hAnsi="Arial" w:cs="Arial"/>
        </w:rPr>
      </w:pPr>
    </w:p>
    <w:p w:rsidR="0042207F" w:rsidRPr="00C33571" w:rsidRDefault="0042207F" w:rsidP="00B01FF7">
      <w:pPr>
        <w:spacing w:after="0" w:line="240" w:lineRule="auto"/>
        <w:jc w:val="both"/>
        <w:rPr>
          <w:rFonts w:ascii="Arial" w:hAnsi="Arial" w:cs="Arial"/>
          <w:b/>
        </w:rPr>
      </w:pPr>
      <w:r w:rsidRPr="00C33571">
        <w:rPr>
          <w:rFonts w:ascii="Arial" w:hAnsi="Arial" w:cs="Arial"/>
          <w:b/>
        </w:rPr>
        <w:t>VII. DISPOSICIONES TRANSITORIAS</w:t>
      </w:r>
    </w:p>
    <w:p w:rsidR="0042207F" w:rsidRPr="00C33571" w:rsidRDefault="0042207F" w:rsidP="00B01FF7">
      <w:pPr>
        <w:spacing w:after="0" w:line="240" w:lineRule="auto"/>
        <w:jc w:val="both"/>
        <w:rPr>
          <w:rFonts w:ascii="Arial" w:hAnsi="Arial" w:cs="Arial"/>
          <w:b/>
        </w:rPr>
      </w:pPr>
    </w:p>
    <w:p w:rsidR="0042207F" w:rsidRDefault="0042207F" w:rsidP="00C33571">
      <w:pPr>
        <w:spacing w:after="0" w:line="240" w:lineRule="auto"/>
        <w:ind w:left="426"/>
        <w:jc w:val="both"/>
        <w:rPr>
          <w:rFonts w:ascii="Arial" w:hAnsi="Arial" w:cs="Arial"/>
        </w:rPr>
      </w:pPr>
      <w:r w:rsidRPr="00C33571">
        <w:rPr>
          <w:rFonts w:ascii="Arial" w:hAnsi="Arial" w:cs="Arial"/>
          <w:b/>
        </w:rPr>
        <w:t>PRIMERA.-</w:t>
      </w:r>
      <w:r w:rsidRPr="0042207F">
        <w:rPr>
          <w:rFonts w:ascii="Arial" w:hAnsi="Arial" w:cs="Arial"/>
        </w:rPr>
        <w:t xml:space="preserve"> La exigencia de certificación contenida en el artículo 24° de la Ley N° 29151, para los profesionales y  técnicos que intervienen directamente en la sustentación de los procedimientos de adquisición, administración, disposición y supervisión de bienes estatales en el marco de las normas del SNBE, operará a partir del 1 enero del 2017</w:t>
      </w:r>
      <w:r w:rsidR="00523154">
        <w:rPr>
          <w:rFonts w:ascii="Arial" w:hAnsi="Arial" w:cs="Arial"/>
        </w:rPr>
        <w:t xml:space="preserve"> (*)</w:t>
      </w:r>
      <w:r w:rsidRPr="0042207F">
        <w:rPr>
          <w:rFonts w:ascii="Arial" w:hAnsi="Arial" w:cs="Arial"/>
        </w:rPr>
        <w:t>.</w:t>
      </w:r>
    </w:p>
    <w:p w:rsidR="00523154" w:rsidRDefault="00523154" w:rsidP="00C33571">
      <w:pPr>
        <w:spacing w:after="0" w:line="240" w:lineRule="auto"/>
        <w:ind w:left="426"/>
        <w:jc w:val="both"/>
        <w:rPr>
          <w:rFonts w:ascii="Arial" w:hAnsi="Arial" w:cs="Arial"/>
          <w:b/>
        </w:rPr>
      </w:pPr>
    </w:p>
    <w:p w:rsidR="00523154" w:rsidRPr="00523154" w:rsidRDefault="00523154" w:rsidP="00C33571">
      <w:pPr>
        <w:spacing w:after="0" w:line="240" w:lineRule="auto"/>
        <w:ind w:left="426"/>
        <w:jc w:val="both"/>
        <w:rPr>
          <w:rFonts w:ascii="Arial" w:hAnsi="Arial" w:cs="Arial"/>
          <w:color w:val="FF0000"/>
        </w:rPr>
      </w:pPr>
      <w:r w:rsidRPr="00523154">
        <w:rPr>
          <w:rFonts w:ascii="Arial" w:hAnsi="Arial" w:cs="Arial"/>
          <w:b/>
          <w:color w:val="FF0000"/>
        </w:rPr>
        <w:t>(*) Conforme a lo resuelto en el artículo 1° de  la Resolución N° 100-2016/SBN,</w:t>
      </w:r>
      <w:r w:rsidR="002514D7">
        <w:rPr>
          <w:rFonts w:ascii="Arial" w:hAnsi="Arial" w:cs="Arial"/>
          <w:b/>
          <w:color w:val="FF0000"/>
        </w:rPr>
        <w:t xml:space="preserve"> publicada el 28-12-2016,</w:t>
      </w:r>
      <w:r w:rsidRPr="00523154">
        <w:rPr>
          <w:rFonts w:ascii="Arial" w:hAnsi="Arial" w:cs="Arial"/>
          <w:b/>
          <w:color w:val="FF0000"/>
        </w:rPr>
        <w:t xml:space="preserve"> el plazo para la exigencia de la certificación a que se contrae la Primera Disposición Transitoria de la Directiva N° 003-2015/SBN, operará a partir del </w:t>
      </w:r>
      <w:r w:rsidRPr="00523154">
        <w:rPr>
          <w:rFonts w:ascii="Arial" w:hAnsi="Arial" w:cs="Arial"/>
          <w:b/>
          <w:color w:val="FF0000"/>
          <w:u w:val="single"/>
        </w:rPr>
        <w:t>01 de enero de 2018</w:t>
      </w:r>
      <w:r w:rsidRPr="00523154">
        <w:rPr>
          <w:rFonts w:ascii="Arial" w:hAnsi="Arial" w:cs="Arial"/>
          <w:b/>
          <w:color w:val="FF0000"/>
        </w:rPr>
        <w:t xml:space="preserve">. </w:t>
      </w:r>
    </w:p>
    <w:p w:rsidR="0042207F" w:rsidRPr="0042207F" w:rsidRDefault="0042207F" w:rsidP="00C33571">
      <w:pPr>
        <w:spacing w:after="0" w:line="240" w:lineRule="auto"/>
        <w:ind w:left="426"/>
        <w:jc w:val="both"/>
        <w:rPr>
          <w:rFonts w:ascii="Arial" w:hAnsi="Arial" w:cs="Arial"/>
        </w:rPr>
      </w:pPr>
    </w:p>
    <w:p w:rsidR="0042207F" w:rsidRPr="0042207F" w:rsidRDefault="0042207F" w:rsidP="00C33571">
      <w:pPr>
        <w:spacing w:after="0" w:line="240" w:lineRule="auto"/>
        <w:ind w:left="426"/>
        <w:jc w:val="both"/>
        <w:rPr>
          <w:rFonts w:ascii="Arial" w:hAnsi="Arial" w:cs="Arial"/>
        </w:rPr>
      </w:pPr>
      <w:r w:rsidRPr="00C33571">
        <w:rPr>
          <w:rFonts w:ascii="Arial" w:hAnsi="Arial" w:cs="Arial"/>
          <w:b/>
        </w:rPr>
        <w:t>SEGUNDA.-</w:t>
      </w:r>
      <w:r w:rsidRPr="0042207F">
        <w:rPr>
          <w:rFonts w:ascii="Arial" w:hAnsi="Arial" w:cs="Arial"/>
        </w:rPr>
        <w:t xml:space="preserve"> La OAF, a través del Ámbito de Tecnologías de la Información, es responsable de brindar el soporte tecnológico para la implementación de la presente directiva, en un plazo máximo de treinta (30) días hábiles, contabilizados desde la fecha de su publicación.</w:t>
      </w:r>
    </w:p>
    <w:p w:rsidR="0042207F" w:rsidRPr="0042207F" w:rsidRDefault="0042207F" w:rsidP="00B01FF7">
      <w:pPr>
        <w:spacing w:after="0" w:line="240" w:lineRule="auto"/>
        <w:jc w:val="both"/>
        <w:rPr>
          <w:rFonts w:ascii="Arial" w:hAnsi="Arial" w:cs="Arial"/>
        </w:rPr>
      </w:pPr>
    </w:p>
    <w:p w:rsidR="0042207F" w:rsidRPr="0042207F" w:rsidRDefault="0042207F" w:rsidP="00B01FF7">
      <w:pPr>
        <w:spacing w:after="0" w:line="240" w:lineRule="auto"/>
        <w:jc w:val="both"/>
        <w:rPr>
          <w:rFonts w:ascii="Arial" w:hAnsi="Arial" w:cs="Arial"/>
        </w:rPr>
      </w:pPr>
    </w:p>
    <w:p w:rsidR="0042207F" w:rsidRPr="00C33571" w:rsidRDefault="0042207F" w:rsidP="00B01FF7">
      <w:pPr>
        <w:spacing w:after="0" w:line="240" w:lineRule="auto"/>
        <w:jc w:val="both"/>
        <w:rPr>
          <w:rFonts w:ascii="Arial" w:hAnsi="Arial" w:cs="Arial"/>
          <w:b/>
        </w:rPr>
      </w:pPr>
      <w:r w:rsidRPr="00C33571">
        <w:rPr>
          <w:rFonts w:ascii="Arial" w:hAnsi="Arial" w:cs="Arial"/>
          <w:b/>
        </w:rPr>
        <w:t>VIII. DISPOSICIONES FINALES</w:t>
      </w:r>
    </w:p>
    <w:p w:rsidR="0042207F" w:rsidRPr="0042207F" w:rsidRDefault="0042207F" w:rsidP="00B01FF7">
      <w:pPr>
        <w:spacing w:after="0" w:line="240" w:lineRule="auto"/>
        <w:jc w:val="both"/>
        <w:rPr>
          <w:rFonts w:ascii="Arial" w:hAnsi="Arial" w:cs="Arial"/>
        </w:rPr>
      </w:pPr>
    </w:p>
    <w:p w:rsidR="0042207F" w:rsidRPr="0042207F" w:rsidRDefault="00C33571" w:rsidP="00C33571">
      <w:pPr>
        <w:spacing w:after="0" w:line="240" w:lineRule="auto"/>
        <w:ind w:left="426"/>
        <w:jc w:val="both"/>
        <w:rPr>
          <w:rFonts w:ascii="Arial" w:hAnsi="Arial" w:cs="Arial"/>
        </w:rPr>
      </w:pPr>
      <w:r>
        <w:rPr>
          <w:rFonts w:ascii="Arial" w:hAnsi="Arial" w:cs="Arial"/>
          <w:b/>
        </w:rPr>
        <w:t xml:space="preserve">ÚNICA.- </w:t>
      </w:r>
      <w:r w:rsidRPr="00C33571">
        <w:rPr>
          <w:rFonts w:ascii="Arial" w:hAnsi="Arial" w:cs="Arial"/>
        </w:rPr>
        <w:t>La DNR y la SDNC, o quien haga sus veces, son responsables de velar por el cumplimiento de las disposiciones cont</w:t>
      </w:r>
      <w:r>
        <w:rPr>
          <w:rFonts w:ascii="Arial" w:hAnsi="Arial" w:cs="Arial"/>
        </w:rPr>
        <w:t>enidas en la presente Directiva.</w:t>
      </w:r>
      <w:r w:rsidR="0042207F" w:rsidRPr="0042207F">
        <w:rPr>
          <w:rFonts w:ascii="Arial" w:hAnsi="Arial" w:cs="Arial"/>
        </w:rPr>
        <w:t xml:space="preserve"> </w:t>
      </w:r>
    </w:p>
    <w:p w:rsidR="0042207F" w:rsidRPr="0042207F" w:rsidRDefault="0042207F" w:rsidP="0042207F">
      <w:pPr>
        <w:spacing w:after="0" w:line="240" w:lineRule="auto"/>
        <w:jc w:val="both"/>
        <w:rPr>
          <w:rFonts w:ascii="Arial" w:hAnsi="Arial" w:cs="Arial"/>
          <w:b/>
        </w:rPr>
      </w:pPr>
    </w:p>
    <w:p w:rsidR="00C50F16" w:rsidRDefault="00C50F16" w:rsidP="003679F2">
      <w:pPr>
        <w:pStyle w:val="TITO10"/>
      </w:pPr>
    </w:p>
    <w:p w:rsidR="00C50F16" w:rsidRDefault="00C50F16" w:rsidP="003679F2">
      <w:pPr>
        <w:pStyle w:val="TITO10"/>
      </w:pPr>
    </w:p>
    <w:p w:rsidR="00C50F16" w:rsidRDefault="00C50F16" w:rsidP="003679F2">
      <w:pPr>
        <w:pStyle w:val="TITO10"/>
      </w:pPr>
    </w:p>
    <w:p w:rsidR="00C33571" w:rsidRDefault="00C33571" w:rsidP="003679F2">
      <w:pPr>
        <w:pStyle w:val="TITO10"/>
      </w:pPr>
    </w:p>
    <w:p w:rsidR="00C33571" w:rsidRDefault="00C33571" w:rsidP="003679F2">
      <w:pPr>
        <w:pStyle w:val="TITO10"/>
      </w:pPr>
    </w:p>
    <w:p w:rsidR="00C33571" w:rsidRDefault="00C33571" w:rsidP="003679F2">
      <w:pPr>
        <w:pStyle w:val="TITO10"/>
      </w:pPr>
    </w:p>
    <w:p w:rsidR="00C33571" w:rsidRDefault="00C33571" w:rsidP="003679F2">
      <w:pPr>
        <w:pStyle w:val="TITO10"/>
      </w:pPr>
    </w:p>
    <w:p w:rsidR="00C33571" w:rsidRDefault="00C33571" w:rsidP="003679F2">
      <w:pPr>
        <w:pStyle w:val="TITO10"/>
      </w:pPr>
    </w:p>
    <w:p w:rsidR="00C33571" w:rsidRDefault="00C33571" w:rsidP="003679F2">
      <w:pPr>
        <w:pStyle w:val="TITO10"/>
      </w:pPr>
    </w:p>
    <w:p w:rsidR="00C33571" w:rsidRDefault="00C33571" w:rsidP="003679F2">
      <w:pPr>
        <w:pStyle w:val="TITO10"/>
      </w:pPr>
    </w:p>
    <w:p w:rsidR="00C33571" w:rsidRDefault="00C33571" w:rsidP="003679F2">
      <w:pPr>
        <w:pStyle w:val="TITO10"/>
      </w:pPr>
    </w:p>
    <w:p w:rsidR="00523154" w:rsidRDefault="00523154" w:rsidP="003679F2">
      <w:pPr>
        <w:pStyle w:val="TITO10"/>
      </w:pPr>
    </w:p>
    <w:p w:rsidR="00C33571" w:rsidRDefault="00C33571" w:rsidP="003679F2">
      <w:pPr>
        <w:pStyle w:val="TITO10"/>
      </w:pPr>
    </w:p>
    <w:p w:rsidR="00C33571" w:rsidRDefault="00C33571" w:rsidP="003679F2">
      <w:pPr>
        <w:pStyle w:val="TITO10"/>
      </w:pPr>
    </w:p>
    <w:p w:rsidR="002514D7" w:rsidRDefault="002514D7" w:rsidP="003679F2">
      <w:pPr>
        <w:pStyle w:val="TITO10"/>
      </w:pPr>
    </w:p>
    <w:p w:rsidR="002514D7" w:rsidRDefault="002514D7" w:rsidP="003679F2">
      <w:pPr>
        <w:pStyle w:val="TITO10"/>
      </w:pPr>
    </w:p>
    <w:p w:rsidR="002514D7" w:rsidRDefault="002514D7" w:rsidP="003679F2">
      <w:pPr>
        <w:pStyle w:val="TITO10"/>
      </w:pPr>
    </w:p>
    <w:p w:rsidR="002514D7" w:rsidRDefault="002514D7" w:rsidP="003679F2">
      <w:pPr>
        <w:pStyle w:val="TITO10"/>
      </w:pPr>
    </w:p>
    <w:p w:rsidR="002514D7" w:rsidRDefault="002514D7" w:rsidP="003679F2">
      <w:pPr>
        <w:pStyle w:val="TITO10"/>
      </w:pPr>
    </w:p>
    <w:p w:rsidR="002514D7" w:rsidRDefault="002514D7" w:rsidP="003679F2">
      <w:pPr>
        <w:pStyle w:val="TITO10"/>
      </w:pPr>
    </w:p>
    <w:p w:rsidR="002514D7" w:rsidRDefault="002514D7" w:rsidP="003679F2">
      <w:pPr>
        <w:pStyle w:val="TITO10"/>
      </w:pPr>
    </w:p>
    <w:p w:rsidR="002514D7" w:rsidRDefault="002514D7" w:rsidP="003679F2">
      <w:pPr>
        <w:pStyle w:val="TITO10"/>
      </w:pPr>
    </w:p>
    <w:p w:rsidR="002514D7" w:rsidRDefault="002514D7" w:rsidP="003679F2">
      <w:pPr>
        <w:pStyle w:val="TITO10"/>
      </w:pPr>
    </w:p>
    <w:p w:rsidR="00C33571" w:rsidRDefault="00C33571" w:rsidP="003679F2">
      <w:pPr>
        <w:pStyle w:val="TITO10"/>
      </w:pPr>
    </w:p>
    <w:p w:rsidR="006312E8" w:rsidRPr="006312E8" w:rsidRDefault="006312E8" w:rsidP="003679F2">
      <w:pPr>
        <w:pStyle w:val="TITO10"/>
      </w:pPr>
      <w:bookmarkStart w:id="204" w:name="_Toc470855524"/>
      <w:r w:rsidRPr="006312E8">
        <w:t>DIRECTIVAS EMITIDAS POR LA SBN SOBRE BIENES INMUEBLES</w:t>
      </w:r>
      <w:bookmarkEnd w:id="200"/>
      <w:bookmarkEnd w:id="201"/>
      <w:bookmarkEnd w:id="202"/>
      <w:bookmarkEnd w:id="204"/>
    </w:p>
    <w:p w:rsidR="006312E8" w:rsidRPr="006312E8" w:rsidRDefault="006312E8" w:rsidP="006312E8">
      <w:pPr>
        <w:spacing w:after="0" w:line="240" w:lineRule="auto"/>
        <w:jc w:val="both"/>
        <w:rPr>
          <w:rFonts w:ascii="Arial" w:eastAsia="Calibri" w:hAnsi="Arial" w:cs="Arial"/>
          <w:lang w:val="es-ES"/>
        </w:rPr>
      </w:pPr>
    </w:p>
    <w:bookmarkStart w:id="205" w:name="_Toc392856200"/>
    <w:p w:rsidR="006312E8" w:rsidRPr="006312E8" w:rsidRDefault="006312E8" w:rsidP="006312E8">
      <w:pPr>
        <w:spacing w:after="0" w:line="240" w:lineRule="auto"/>
        <w:jc w:val="center"/>
        <w:rPr>
          <w:rFonts w:ascii="Arial" w:eastAsia="Calibri" w:hAnsi="Arial" w:cs="Arial"/>
          <w:b/>
          <w:sz w:val="48"/>
          <w:szCs w:val="48"/>
          <w:lang w:val="es-ES"/>
        </w:rPr>
      </w:pPr>
      <w:r w:rsidRPr="006312E8">
        <w:rPr>
          <w:rFonts w:ascii="Arial" w:eastAsia="Calibri" w:hAnsi="Arial" w:cs="Arial"/>
          <w:b/>
          <w:noProof/>
          <w:sz w:val="48"/>
          <w:szCs w:val="48"/>
          <w:lang w:val="es-MX" w:eastAsia="es-MX"/>
        </w:rPr>
        <mc:AlternateContent>
          <mc:Choice Requires="wps">
            <w:drawing>
              <wp:anchor distT="0" distB="0" distL="114300" distR="114300" simplePos="0" relativeHeight="251683840" behindDoc="0" locked="0" layoutInCell="1" allowOverlap="1" wp14:anchorId="798E688E" wp14:editId="674DF9FB">
                <wp:simplePos x="0" y="0"/>
                <wp:positionH relativeFrom="column">
                  <wp:posOffset>1104265</wp:posOffset>
                </wp:positionH>
                <wp:positionV relativeFrom="paragraph">
                  <wp:posOffset>62865</wp:posOffset>
                </wp:positionV>
                <wp:extent cx="4019550" cy="0"/>
                <wp:effectExtent l="38100" t="40640" r="38100" b="35560"/>
                <wp:wrapNone/>
                <wp:docPr id="69" name="Conector recto de flecha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9550" cy="0"/>
                        </a:xfrm>
                        <a:prstGeom prst="straightConnector1">
                          <a:avLst/>
                        </a:prstGeom>
                        <a:noFill/>
                        <a:ln w="635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61AD7BB" id="Conector recto de flecha 69" o:spid="_x0000_s1026" type="#_x0000_t32" style="position:absolute;margin-left:86.95pt;margin-top:4.95pt;width:316.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" strokeweight="5pt">
                <v:shadow color="#7f7f7f" opacity=".5" offset="1pt"/>
              </v:shape>
            </w:pict>
          </mc:Fallback>
        </mc:AlternateContent>
      </w:r>
      <w:bookmarkEnd w:id="205"/>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p>
    <w:p w:rsidR="006312E8" w:rsidRDefault="006312E8" w:rsidP="006312E8">
      <w:pPr>
        <w:spacing w:after="0" w:line="240" w:lineRule="auto"/>
        <w:jc w:val="both"/>
        <w:rPr>
          <w:rFonts w:ascii="Arial" w:eastAsia="Calibri" w:hAnsi="Arial" w:cs="Arial"/>
          <w:b/>
          <w:lang w:val="es-ES"/>
        </w:rPr>
      </w:pPr>
    </w:p>
    <w:p w:rsidR="00523154" w:rsidRDefault="00523154" w:rsidP="006312E8">
      <w:pPr>
        <w:spacing w:after="0" w:line="240" w:lineRule="auto"/>
        <w:jc w:val="both"/>
        <w:rPr>
          <w:rFonts w:ascii="Arial" w:eastAsia="Calibri" w:hAnsi="Arial" w:cs="Arial"/>
          <w:b/>
          <w:lang w:val="es-ES"/>
        </w:rPr>
      </w:pPr>
    </w:p>
    <w:p w:rsidR="00523154" w:rsidRDefault="00523154" w:rsidP="006312E8">
      <w:pPr>
        <w:spacing w:after="0" w:line="240" w:lineRule="auto"/>
        <w:jc w:val="both"/>
        <w:rPr>
          <w:rFonts w:ascii="Arial" w:eastAsia="Calibri" w:hAnsi="Arial" w:cs="Arial"/>
          <w:b/>
          <w:lang w:val="es-ES"/>
        </w:rPr>
      </w:pPr>
    </w:p>
    <w:p w:rsidR="00523154" w:rsidRDefault="00523154" w:rsidP="006312E8">
      <w:pPr>
        <w:spacing w:after="0" w:line="240" w:lineRule="auto"/>
        <w:jc w:val="both"/>
        <w:rPr>
          <w:rFonts w:ascii="Arial" w:eastAsia="Calibri" w:hAnsi="Arial" w:cs="Arial"/>
          <w:b/>
          <w:lang w:val="es-ES"/>
        </w:rPr>
      </w:pPr>
    </w:p>
    <w:p w:rsidR="00523154" w:rsidRDefault="00523154" w:rsidP="006312E8">
      <w:pPr>
        <w:spacing w:after="0" w:line="240" w:lineRule="auto"/>
        <w:jc w:val="both"/>
        <w:rPr>
          <w:rFonts w:ascii="Arial" w:eastAsia="Calibri" w:hAnsi="Arial" w:cs="Arial"/>
          <w:b/>
          <w:lang w:val="es-ES"/>
        </w:rPr>
      </w:pPr>
    </w:p>
    <w:p w:rsidR="006312E8" w:rsidRDefault="006312E8" w:rsidP="006312E8">
      <w:pPr>
        <w:spacing w:after="0" w:line="240" w:lineRule="auto"/>
        <w:jc w:val="both"/>
        <w:rPr>
          <w:rFonts w:ascii="Arial" w:eastAsia="Calibri" w:hAnsi="Arial" w:cs="Arial"/>
          <w:b/>
          <w:lang w:val="es-ES"/>
        </w:rPr>
      </w:pPr>
    </w:p>
    <w:p w:rsidR="00C33571" w:rsidRPr="006312E8" w:rsidRDefault="00C33571"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3679F2">
      <w:pPr>
        <w:pStyle w:val="TITO2"/>
      </w:pPr>
      <w:bookmarkStart w:id="206" w:name="_Toc392856201"/>
      <w:bookmarkStart w:id="207" w:name="_Toc399335476"/>
      <w:bookmarkStart w:id="208" w:name="_Toc421025424"/>
      <w:bookmarkStart w:id="209" w:name="_Toc470855525"/>
      <w:r w:rsidRPr="00DF401E">
        <w:rPr>
          <w:highlight w:val="lightGray"/>
        </w:rPr>
        <w:t>FORMATO DE INFORME TÉCNICO LEGAL</w:t>
      </w:r>
      <w:bookmarkEnd w:id="206"/>
      <w:bookmarkEnd w:id="207"/>
      <w:bookmarkEnd w:id="208"/>
      <w:bookmarkEnd w:id="209"/>
    </w:p>
    <w:p w:rsidR="006312E8" w:rsidRPr="006312E8" w:rsidRDefault="006312E8" w:rsidP="003679F2">
      <w:pPr>
        <w:pStyle w:val="TITO2"/>
        <w:rPr>
          <w:rFonts w:eastAsia="Calibri"/>
        </w:rPr>
      </w:pPr>
    </w:p>
    <w:p w:rsidR="006312E8" w:rsidRPr="006312E8" w:rsidRDefault="006312E8" w:rsidP="003679F2">
      <w:pPr>
        <w:pStyle w:val="TITO2"/>
      </w:pPr>
      <w:bookmarkStart w:id="210" w:name="_Toc392856202"/>
      <w:bookmarkStart w:id="211" w:name="_Toc399335477"/>
      <w:bookmarkStart w:id="212" w:name="_Toc421025425"/>
      <w:bookmarkStart w:id="213" w:name="_Toc470855526"/>
      <w:bookmarkStart w:id="214" w:name="RS0402013"/>
      <w:r w:rsidRPr="006312E8">
        <w:t>RESOLUCION Nº 040-2013-SBN</w:t>
      </w:r>
      <w:bookmarkEnd w:id="210"/>
      <w:bookmarkEnd w:id="211"/>
      <w:bookmarkEnd w:id="212"/>
      <w:bookmarkEnd w:id="213"/>
    </w:p>
    <w:bookmarkEnd w:id="214"/>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Aprueban el “Formato Único de Informe Técnico Legal” aplicable a los actos de gestión sobre bienes inmuebles de propiedad estatal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004DBE">
      <w:pPr>
        <w:spacing w:after="0" w:line="240" w:lineRule="auto"/>
        <w:jc w:val="right"/>
        <w:rPr>
          <w:rFonts w:ascii="Arial" w:eastAsia="Calibri" w:hAnsi="Arial" w:cs="Arial"/>
          <w:lang w:val="es-ES"/>
        </w:rPr>
      </w:pPr>
      <w:r w:rsidRPr="006312E8">
        <w:rPr>
          <w:rFonts w:ascii="Arial" w:eastAsia="Calibri" w:hAnsi="Arial" w:cs="Arial"/>
          <w:b/>
          <w:lang w:val="es-ES"/>
        </w:rPr>
        <w:t>Fecha de publicación: 15-06-2013</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lang w:val="es-ES"/>
        </w:rPr>
      </w:pPr>
      <w:r w:rsidRPr="006312E8">
        <w:rPr>
          <w:rFonts w:ascii="Arial" w:eastAsia="Calibri" w:hAnsi="Arial" w:cs="Arial"/>
          <w:b/>
          <w:color w:val="4F6228"/>
          <w:sz w:val="16"/>
          <w:szCs w:val="16"/>
          <w:lang w:val="es-ES"/>
        </w:rPr>
        <w:t>NOTA: De conformidad con el Artículo 6 de la Resolución N° 084-2013-SBN, publicada el 05 diciembre 2013, se precisa que en los Formatos y anexos aprobados por la citada Resolución, así como por la presente Resolución se deberá consignar únicamente la información que resulte necesaria en función al acto administrativo de que se trate, teniendo en cuenta, en su caso, el destinatario y la finalidad a la cual se destinará el predio de conformidad con la Ley Nº 29151, Ley General del Sistema Nacional de Bienes Estatales, su Reglamento aprobado por Decreto Supremo Nº 007-2008-VIVIENDA, así como por las Directivas que regulen el acto de adquisición, administración o disposición que corresponda.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San Isidro, 7 de junio de 2013</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VISTOS: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El Informe Nº 047-2013/SBN-DNR de fecha 27 de marzo de 2013, el Informe Especial Nº 0232-2013/SBNOPP de fecha 26 de abril de 2013 y el Memorándum Nº 556-2013/SBN-DGPE de fecha 30 de abril de 2013;</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CONSIDERANDO: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la Superintendencia Nacional de Bienes Estatales-SBN es un Organismo Público Ejecutor, adscrito al Ministerio de Vivienda, Construcción y Saneamiento, y el Ente Rector del Sistema Nacional de Bienes Estatales, responsable de normar los actos de adquisición, disposición, administración y supervisión de los bienes estatales, así como de ejecutar dichos actos respecto de los bienes cuya administración está a su cargo, de acuerdo a la normatividad vigente, gozando de autonomía economía, presupuestal, financiera, técnica y funcional, de conformidad a lo establecido en la Ley Nº 29151, Ley General del Sistema Nacional de Bienes Estatales y su Reglamento, aprobado por el Decreto Supremo Nº 007-2008-VIVIENDA;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los literales a), c) y d) del numeral 14.1 del artículo 14 de la acotada Ley, señalan como funciones y atribuciones exclusivas de la SBN, formular políticas y expedir directivas sobre los actos de adquisición, administración y disposición de los bienes de propiedad estatal, procurar una eficiente gestión del portafolio inmobiliario de los mismos optimizando su uso y valor, así como supervisar el cumplimiento del debido procedimiento y de los actos que ejecutan las entidades pertenecientes al Sistema Nacional de Bienes Estatales;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el literal a) del numeral 9.1 del artículo 9 del Reglamento de la Ley Nº 29151, aprobado por el Decreto Supremo Nº 007-2008-VIVIENDA, señala dentro de las funciones normativas de la SBN, además de las establecidas en la Ley Nº 29151, promover o expedir, cuando corresponda, las disposiciones legales en materia de adquisición, administración, disposición, registro y supervisión de bienes estatales, siendo de cumplimiento obligatorio por parte de las entidades.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el artículo 34 del Reglamento de la Ley Nº 29151, aprobado por el Decreto Supremo Nº 007-2008-VIVIENDA, señala que todos los actos de adquisición, administración y disposición de los bienes estatales deben estar sustentados por la entidad que los dispone mediante un Informe Técnico - Legal que analice el beneficio económico y social para el Estado, de acuerdo con la finalidad asignada;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los formatos de Informe Técnico Legal contenidos en las directivas vigentes en materia de bienes inmuebles, no contienen rubros suficientes para consignar la información que se busca obtener para una adecuada gestión sobre inmuebles de propiedad estatal, resultando conveniente que todos los procedimientos administrativos referidos a actos de administración, disposición y adquisición de bienes inmuebles de propiedad estatal cuenten con un formato adecuado de Informe Técnico Legal;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en ese sentido resulta necesario implementar un Formato Único de Informe Técnico Legal, con la finalidad de unificar, actualizar, optimizar, simplificar y consolidar, la información mínima que debe contener todo Informe Técnico Legal, respecto a los actos de gestión sobre inmuebles de propiedad estatal que realicen las entidades que conforman el Sistema Nacional de Bienes Estatales - SNBE;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Con los visados de la Secretaría General, la Oficina de Asesoría Jurídica, la Oficina de Planeamiento y Presupuesto, la Dirección de Gestión del Patrimonio Estatal y la Dirección de Normas y Registro;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De conformidad con lo dispuesto en el inciso a) del numeral 14.1 del artículo 14 de la Ley Nº 29151, Ley General del Sistema Nacional de Bienes Estatales, y el inciso a) del numeral 9.1 del artículo 9 del Reglamento de la Ley Nº 29151, aprobado por el Decreto Supremo Nº 007-2008-VIVIENDA; y en uso de las atribuciones conferidas por el inciso b) del artículo 11 del Reglamento de Organización y Funciones de la SBN, aprobado por el Decreto Supremo Nº 016-2010-VIVIENDA;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SE RESUELVE:</w:t>
      </w: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b/>
          <w:lang w:val="es-ES"/>
        </w:rPr>
        <w:t>Artículo 1.-</w:t>
      </w:r>
      <w:r w:rsidRPr="006312E8">
        <w:rPr>
          <w:rFonts w:ascii="Arial" w:eastAsia="Calibri" w:hAnsi="Arial" w:cs="Arial"/>
          <w:lang w:val="es-ES"/>
        </w:rPr>
        <w:t xml:space="preserve"> Aprobar el “Formato Único de Informe Técnico Legal” aplicable a los actos de gestión sobre bienes inmuebles de propiedad estatal, el mismo que forma parte integrante de la presente Resolución.</w:t>
      </w:r>
    </w:p>
    <w:p w:rsidR="006312E8" w:rsidRPr="006312E8" w:rsidRDefault="006312E8" w:rsidP="006312E8">
      <w:pPr>
        <w:spacing w:after="0" w:line="240" w:lineRule="auto"/>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6312E8" w:rsidP="00241D1D">
      <w:pPr>
        <w:numPr>
          <w:ilvl w:val="0"/>
          <w:numId w:val="104"/>
        </w:numPr>
        <w:spacing w:after="0" w:line="240" w:lineRule="auto"/>
        <w:contextualSpacing/>
        <w:jc w:val="both"/>
        <w:rPr>
          <w:rFonts w:ascii="Arial" w:eastAsia="Calibri" w:hAnsi="Arial" w:cs="Arial"/>
          <w:b/>
          <w:color w:val="4F6228"/>
          <w:sz w:val="16"/>
          <w:szCs w:val="16"/>
        </w:rPr>
      </w:pPr>
      <w:r w:rsidRPr="006312E8">
        <w:rPr>
          <w:rFonts w:ascii="Arial" w:eastAsia="Calibri" w:hAnsi="Arial" w:cs="Arial"/>
          <w:b/>
          <w:color w:val="4F6228"/>
          <w:sz w:val="16"/>
          <w:szCs w:val="16"/>
        </w:rPr>
        <w:t>R.N° 084-2013-SBN - Aprueban el “Formato Único de Informe Técnico aplicable a los actos de gestión mobiliaria”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b/>
          <w:lang w:val="es-ES"/>
        </w:rPr>
        <w:t>Artículo 2.-</w:t>
      </w:r>
      <w:r w:rsidRPr="006312E8">
        <w:rPr>
          <w:rFonts w:ascii="Arial" w:eastAsia="Calibri" w:hAnsi="Arial" w:cs="Arial"/>
          <w:lang w:val="es-ES"/>
        </w:rPr>
        <w:t xml:space="preserve"> El “Formato Único de Informe Técnico Legal” aprobado por el artículo 1 de la presente Resolución, será de aplicación obligatoria por las entidades conformantes del Sistema Nacional de Bienes Estatales - SNBE, señaladas en el artículo 8 de la Ley Nº 29151, Ley General del Sistema Nacional de Bienes Estatales.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b/>
          <w:lang w:val="es-ES"/>
        </w:rPr>
        <w:t>Artículo 3.-</w:t>
      </w:r>
      <w:r w:rsidRPr="006312E8">
        <w:rPr>
          <w:rFonts w:ascii="Arial" w:eastAsia="Calibri" w:hAnsi="Arial" w:cs="Arial"/>
          <w:lang w:val="es-ES"/>
        </w:rPr>
        <w:t xml:space="preserve"> Disponer la publicación de la presente Resolución en el Portal Institucional de la SBN (www.sbn.gob.pe) y en el Diario Oficial “El Peruano”.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b/>
          <w:lang w:val="es-ES"/>
        </w:rPr>
        <w:t>Artículo 4.-</w:t>
      </w:r>
      <w:r w:rsidRPr="006312E8">
        <w:rPr>
          <w:rFonts w:ascii="Arial" w:eastAsia="Calibri" w:hAnsi="Arial" w:cs="Arial"/>
          <w:lang w:val="es-ES"/>
        </w:rPr>
        <w:t xml:space="preserve"> Encargar a la Secretaría General que disponga la publicación del “Formato Único de Informe Técnico Legal”, en el portal institucional (www.sbn.gob.pe).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b/>
          <w:lang w:val="es-ES"/>
        </w:rPr>
        <w:t>Artículo 5.-</w:t>
      </w:r>
      <w:r w:rsidRPr="006312E8">
        <w:rPr>
          <w:rFonts w:ascii="Arial" w:eastAsia="Calibri" w:hAnsi="Arial" w:cs="Arial"/>
          <w:lang w:val="es-ES"/>
        </w:rPr>
        <w:t xml:space="preserve"> Dejar sin efecto los formatos de Informe Técnico Legal para actos de gestión sobre bienes inmuebles de propiedad estatal, aprobados con anterioridad a la emisión de la presente resolución, contenidos en la Directiva No. 007-2004-SBN, aprobada por la Resolución Nº 028-2004-SBN; la Directiva Nº 002-2007-SBN, aprobada por la Resolución No. 018-2007-SBN; la Directiva Nº 006-2002-SBN, aprobada por Resolución Nº 026-2002-SBN, y la Directiva Nº 001-2002-SBN, aprobada por Resolución Nº 011-2002-SBN, los cuales quedan sustituidos por el “Formato Único de Informe Técnico Legal” aprobado por el artículo 1 de la presente Resolución.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Regístrese, comuníquese y publíquese.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firstLine="708"/>
        <w:jc w:val="both"/>
        <w:rPr>
          <w:rFonts w:ascii="Arial" w:eastAsia="Calibri" w:hAnsi="Arial" w:cs="Arial"/>
          <w:b/>
          <w:lang w:val="es-ES"/>
        </w:rPr>
      </w:pPr>
    </w:p>
    <w:p w:rsidR="006312E8" w:rsidRPr="006312E8" w:rsidRDefault="006312E8" w:rsidP="003679F2">
      <w:pPr>
        <w:spacing w:after="0" w:line="240" w:lineRule="auto"/>
        <w:jc w:val="both"/>
        <w:rPr>
          <w:rFonts w:ascii="Arial" w:eastAsia="Calibri" w:hAnsi="Arial" w:cs="Arial"/>
          <w:b/>
          <w:lang w:val="es-ES"/>
        </w:rPr>
      </w:pPr>
      <w:r w:rsidRPr="006312E8">
        <w:rPr>
          <w:rFonts w:ascii="Arial" w:eastAsia="Calibri" w:hAnsi="Arial" w:cs="Arial"/>
          <w:b/>
          <w:lang w:val="es-ES"/>
        </w:rPr>
        <w:t>SONIA MARIA CORDERO VASQUEZ</w:t>
      </w:r>
    </w:p>
    <w:p w:rsidR="006312E8" w:rsidRPr="006312E8" w:rsidRDefault="006312E8" w:rsidP="003679F2">
      <w:pPr>
        <w:spacing w:after="0" w:line="240" w:lineRule="auto"/>
        <w:jc w:val="both"/>
        <w:rPr>
          <w:rFonts w:ascii="Arial" w:eastAsia="Calibri" w:hAnsi="Arial" w:cs="Arial"/>
          <w:lang w:val="es-ES"/>
        </w:rPr>
      </w:pPr>
      <w:r w:rsidRPr="006312E8">
        <w:rPr>
          <w:rFonts w:ascii="Arial" w:eastAsia="Calibri" w:hAnsi="Arial" w:cs="Arial"/>
          <w:lang w:val="es-ES"/>
        </w:rPr>
        <w:t>Superintendente</w:t>
      </w: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p>
    <w:p w:rsidR="00A57CDE" w:rsidRDefault="00A57CDE" w:rsidP="00A57CDE">
      <w:pPr>
        <w:tabs>
          <w:tab w:val="left" w:pos="620"/>
        </w:tabs>
        <w:spacing w:before="37" w:after="0" w:line="240" w:lineRule="auto"/>
        <w:ind w:right="-20"/>
        <w:outlineLvl w:val="0"/>
        <w:rPr>
          <w:rFonts w:ascii="Arial" w:eastAsia="Calibri" w:hAnsi="Arial" w:cs="Arial"/>
          <w:b/>
          <w:lang w:val="es-ES"/>
        </w:rPr>
      </w:pPr>
    </w:p>
    <w:p w:rsidR="006312E8" w:rsidRPr="006312E8" w:rsidRDefault="006312E8" w:rsidP="00A57CDE">
      <w:pPr>
        <w:tabs>
          <w:tab w:val="left" w:pos="620"/>
        </w:tabs>
        <w:spacing w:before="37" w:after="0" w:line="240" w:lineRule="auto"/>
        <w:ind w:right="-20"/>
        <w:outlineLvl w:val="0"/>
        <w:rPr>
          <w:rFonts w:ascii="Arial Narrow" w:eastAsia="Calibri" w:hAnsi="Arial Narrow" w:cs="Arial"/>
          <w:b/>
          <w:sz w:val="24"/>
          <w:szCs w:val="24"/>
        </w:rPr>
      </w:pPr>
      <w:r w:rsidRPr="006312E8">
        <w:rPr>
          <w:rFonts w:ascii="Arial Narrow" w:eastAsia="Calibri" w:hAnsi="Arial Narrow" w:cs="Arial"/>
          <w:b/>
          <w:sz w:val="24"/>
          <w:szCs w:val="24"/>
        </w:rPr>
        <w:t xml:space="preserve">         </w:t>
      </w:r>
    </w:p>
    <w:p w:rsidR="006312E8" w:rsidRPr="006312E8" w:rsidRDefault="006312E8" w:rsidP="006312E8">
      <w:pPr>
        <w:tabs>
          <w:tab w:val="left" w:pos="620"/>
        </w:tabs>
        <w:spacing w:before="37" w:after="0" w:line="240" w:lineRule="auto"/>
        <w:ind w:right="-20"/>
        <w:jc w:val="center"/>
        <w:outlineLvl w:val="0"/>
        <w:rPr>
          <w:rFonts w:ascii="Arial Narrow" w:eastAsia="Calibri" w:hAnsi="Arial Narrow" w:cs="Arial"/>
          <w:b/>
          <w:sz w:val="20"/>
          <w:szCs w:val="20"/>
        </w:rPr>
      </w:pPr>
      <w:bookmarkStart w:id="215" w:name="INFTECLEG"/>
      <w:r w:rsidRPr="006312E8">
        <w:rPr>
          <w:rFonts w:ascii="Arial Narrow" w:eastAsia="Calibri" w:hAnsi="Arial Narrow" w:cs="Arial"/>
          <w:b/>
        </w:rPr>
        <w:t xml:space="preserve"> </w:t>
      </w:r>
      <w:r w:rsidRPr="006312E8">
        <w:rPr>
          <w:rFonts w:ascii="Arial Narrow" w:eastAsia="Calibri" w:hAnsi="Arial Narrow" w:cs="Arial"/>
          <w:b/>
          <w:sz w:val="20"/>
          <w:szCs w:val="20"/>
        </w:rPr>
        <w:t xml:space="preserve">INFORME TÉCNICO LEGAL </w:t>
      </w:r>
      <w:bookmarkEnd w:id="215"/>
      <w:r w:rsidRPr="006312E8">
        <w:rPr>
          <w:rFonts w:ascii="Arial Narrow" w:eastAsia="Calibri" w:hAnsi="Arial Narrow" w:cs="Arial"/>
          <w:b/>
          <w:sz w:val="20"/>
          <w:szCs w:val="20"/>
        </w:rPr>
        <w:t>N° __________________________</w:t>
      </w:r>
    </w:p>
    <w:p w:rsidR="006312E8" w:rsidRPr="006312E8" w:rsidRDefault="006312E8" w:rsidP="006312E8">
      <w:pPr>
        <w:tabs>
          <w:tab w:val="left" w:pos="620"/>
        </w:tabs>
        <w:spacing w:before="37" w:after="0" w:line="240" w:lineRule="auto"/>
        <w:ind w:right="-20"/>
        <w:jc w:val="center"/>
        <w:rPr>
          <w:rFonts w:ascii="Arial Narrow" w:eastAsia="Calibri" w:hAnsi="Arial Narrow" w:cs="Arial"/>
          <w:b/>
        </w:rPr>
      </w:pPr>
      <w:r w:rsidRPr="006312E8">
        <w:rPr>
          <w:rFonts w:ascii="Calibri" w:eastAsia="Calibri" w:hAnsi="Calibri" w:cs="Times New Roman"/>
          <w:noProof/>
          <w:lang w:val="es-MX" w:eastAsia="es-MX"/>
        </w:rPr>
        <w:drawing>
          <wp:anchor distT="0" distB="0" distL="114300" distR="114300" simplePos="0" relativeHeight="251685888" behindDoc="1" locked="0" layoutInCell="1" allowOverlap="1" wp14:anchorId="357C0FB0" wp14:editId="7372B64A">
            <wp:simplePos x="0" y="0"/>
            <wp:positionH relativeFrom="page">
              <wp:posOffset>535305</wp:posOffset>
            </wp:positionH>
            <wp:positionV relativeFrom="paragraph">
              <wp:posOffset>12700</wp:posOffset>
            </wp:positionV>
            <wp:extent cx="1284605" cy="1062355"/>
            <wp:effectExtent l="19050" t="0" r="0" b="0"/>
            <wp:wrapNone/>
            <wp:docPr id="83" name="Imagen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7"/>
                    <pic:cNvPicPr>
                      <a:picLocks noChangeAspect="1" noChangeArrowheads="1"/>
                    </pic:cNvPicPr>
                  </pic:nvPicPr>
                  <pic:blipFill>
                    <a:blip r:embed="rId17" cstate="print"/>
                    <a:srcRect/>
                    <a:stretch>
                      <a:fillRect/>
                    </a:stretch>
                  </pic:blipFill>
                  <pic:spPr bwMode="auto">
                    <a:xfrm>
                      <a:off x="0" y="0"/>
                      <a:ext cx="1284605" cy="1062355"/>
                    </a:xfrm>
                    <a:prstGeom prst="rect">
                      <a:avLst/>
                    </a:prstGeom>
                    <a:noFill/>
                  </pic:spPr>
                </pic:pic>
              </a:graphicData>
            </a:graphic>
          </wp:anchor>
        </w:drawing>
      </w:r>
    </w:p>
    <w:p w:rsidR="006312E8" w:rsidRPr="006312E8" w:rsidRDefault="006312E8" w:rsidP="006312E8">
      <w:pPr>
        <w:tabs>
          <w:tab w:val="left" w:pos="620"/>
        </w:tabs>
        <w:spacing w:before="37" w:after="0" w:line="240" w:lineRule="auto"/>
        <w:ind w:right="-20"/>
        <w:jc w:val="center"/>
        <w:rPr>
          <w:rFonts w:ascii="Arial Narrow" w:eastAsia="Calibri" w:hAnsi="Arial Narrow" w:cs="Arial"/>
          <w:sz w:val="14"/>
          <w:szCs w:val="14"/>
        </w:rPr>
      </w:pPr>
      <w:r w:rsidRPr="006312E8">
        <w:rPr>
          <w:rFonts w:ascii="Arial Narrow" w:eastAsia="Calibri" w:hAnsi="Arial Narrow" w:cs="Arial"/>
          <w:b/>
          <w:sz w:val="24"/>
          <w:szCs w:val="24"/>
        </w:rPr>
        <w:tab/>
      </w:r>
      <w:r w:rsidRPr="006312E8">
        <w:rPr>
          <w:rFonts w:ascii="Arial Narrow" w:eastAsia="Calibri" w:hAnsi="Arial Narrow" w:cs="Arial"/>
          <w:b/>
          <w:sz w:val="24"/>
          <w:szCs w:val="24"/>
        </w:rPr>
        <w:tab/>
      </w:r>
      <w:r w:rsidRPr="006312E8">
        <w:rPr>
          <w:rFonts w:ascii="Arial Narrow" w:eastAsia="Calibri" w:hAnsi="Arial Narrow" w:cs="Arial"/>
          <w:b/>
          <w:sz w:val="24"/>
          <w:szCs w:val="24"/>
        </w:rPr>
        <w:tab/>
      </w:r>
      <w:r w:rsidRPr="006312E8">
        <w:rPr>
          <w:rFonts w:ascii="Arial Narrow" w:eastAsia="Calibri" w:hAnsi="Arial Narrow" w:cs="Arial"/>
          <w:b/>
          <w:sz w:val="24"/>
          <w:szCs w:val="24"/>
        </w:rPr>
        <w:tab/>
      </w:r>
      <w:r w:rsidRPr="006312E8">
        <w:rPr>
          <w:rFonts w:ascii="Arial Narrow" w:eastAsia="Calibri" w:hAnsi="Arial Narrow" w:cs="Arial"/>
          <w:b/>
          <w:sz w:val="24"/>
          <w:szCs w:val="24"/>
        </w:rPr>
        <w:tab/>
      </w:r>
      <w:r w:rsidRPr="006312E8">
        <w:rPr>
          <w:rFonts w:ascii="Arial Narrow" w:eastAsia="Calibri" w:hAnsi="Arial Narrow" w:cs="Arial"/>
          <w:b/>
          <w:sz w:val="24"/>
          <w:szCs w:val="24"/>
        </w:rPr>
        <w:tab/>
      </w:r>
      <w:r w:rsidRPr="006312E8">
        <w:rPr>
          <w:rFonts w:ascii="Arial Narrow" w:eastAsia="Calibri" w:hAnsi="Arial Narrow" w:cs="Arial"/>
          <w:b/>
          <w:sz w:val="24"/>
          <w:szCs w:val="24"/>
        </w:rPr>
        <w:tab/>
      </w:r>
      <w:r w:rsidRPr="006312E8">
        <w:rPr>
          <w:rFonts w:ascii="Arial Narrow" w:eastAsia="Calibri" w:hAnsi="Arial Narrow" w:cs="Arial"/>
          <w:b/>
          <w:sz w:val="24"/>
          <w:szCs w:val="24"/>
        </w:rPr>
        <w:tab/>
      </w:r>
      <w:r w:rsidRPr="006312E8">
        <w:rPr>
          <w:rFonts w:ascii="Arial Narrow" w:eastAsia="Calibri" w:hAnsi="Arial Narrow" w:cs="Arial"/>
          <w:b/>
          <w:sz w:val="24"/>
          <w:szCs w:val="24"/>
        </w:rPr>
        <w:tab/>
      </w:r>
      <w:r w:rsidRPr="006312E8">
        <w:rPr>
          <w:rFonts w:ascii="Arial Narrow" w:eastAsia="Calibri" w:hAnsi="Arial Narrow" w:cs="Arial"/>
          <w:b/>
          <w:sz w:val="24"/>
          <w:szCs w:val="24"/>
        </w:rPr>
        <w:tab/>
      </w:r>
      <w:r w:rsidRPr="006312E8">
        <w:rPr>
          <w:rFonts w:ascii="Arial Narrow" w:eastAsia="Calibri" w:hAnsi="Arial Narrow" w:cs="Arial"/>
          <w:b/>
          <w:sz w:val="24"/>
          <w:szCs w:val="24"/>
        </w:rPr>
        <w:tab/>
      </w:r>
      <w:r w:rsidRPr="006312E8">
        <w:rPr>
          <w:rFonts w:ascii="Arial Narrow" w:eastAsia="Calibri" w:hAnsi="Arial Narrow" w:cs="Arial"/>
          <w:b/>
          <w:sz w:val="24"/>
          <w:szCs w:val="24"/>
        </w:rPr>
        <w:tab/>
      </w:r>
      <w:r w:rsidRPr="006312E8">
        <w:rPr>
          <w:rFonts w:ascii="Arial Narrow" w:eastAsia="Calibri" w:hAnsi="Arial Narrow" w:cs="Arial"/>
          <w:sz w:val="14"/>
          <w:szCs w:val="14"/>
        </w:rPr>
        <w:t>Fecha: ___/ ___/ _______</w:t>
      </w:r>
    </w:p>
    <w:p w:rsidR="006312E8" w:rsidRPr="006312E8" w:rsidRDefault="006312E8" w:rsidP="006312E8">
      <w:pPr>
        <w:tabs>
          <w:tab w:val="left" w:pos="620"/>
        </w:tabs>
        <w:spacing w:before="37" w:after="0" w:line="240" w:lineRule="auto"/>
        <w:ind w:right="-20"/>
        <w:rPr>
          <w:rFonts w:ascii="Arial Narrow" w:eastAsia="Calibri" w:hAnsi="Arial Narrow" w:cs="Arial"/>
          <w:b/>
          <w:sz w:val="14"/>
          <w:szCs w:val="14"/>
        </w:rPr>
      </w:pPr>
    </w:p>
    <w:tbl>
      <w:tblPr>
        <w:tblpPr w:leftFromText="141" w:rightFromText="141" w:vertAnchor="text" w:tblpX="2841" w:tblpY="1"/>
        <w:tblOverlap w:val="never"/>
        <w:tblW w:w="35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11"/>
        <w:gridCol w:w="5173"/>
      </w:tblGrid>
      <w:tr w:rsidR="006312E8" w:rsidRPr="006312E8" w:rsidTr="00D04998">
        <w:trPr>
          <w:trHeight w:val="419"/>
        </w:trPr>
        <w:tc>
          <w:tcPr>
            <w:tcW w:w="1449" w:type="pct"/>
          </w:tcPr>
          <w:p w:rsidR="006312E8" w:rsidRPr="006312E8" w:rsidRDefault="006312E8" w:rsidP="006312E8">
            <w:pPr>
              <w:spacing w:before="56" w:after="0" w:line="240" w:lineRule="auto"/>
              <w:ind w:left="377" w:right="-20"/>
              <w:rPr>
                <w:rFonts w:ascii="Arial Narrow" w:eastAsia="Calibri" w:hAnsi="Arial Narrow" w:cs="Arial Narrow"/>
                <w:spacing w:val="-1"/>
                <w:sz w:val="14"/>
                <w:szCs w:val="14"/>
              </w:rPr>
            </w:pPr>
            <w:r w:rsidRPr="006312E8">
              <w:rPr>
                <w:rFonts w:ascii="Arial Narrow" w:eastAsia="Calibri" w:hAnsi="Arial Narrow" w:cs="Arial Narrow"/>
                <w:spacing w:val="-1"/>
                <w:sz w:val="14"/>
                <w:szCs w:val="14"/>
              </w:rPr>
              <w:t xml:space="preserve">DIRECCIÓN      o SUBDIRECCIÓN </w:t>
            </w:r>
          </w:p>
        </w:tc>
        <w:tc>
          <w:tcPr>
            <w:tcW w:w="3551" w:type="pct"/>
          </w:tcPr>
          <w:p w:rsidR="006312E8" w:rsidRPr="006312E8" w:rsidRDefault="006312E8" w:rsidP="006312E8">
            <w:pPr>
              <w:spacing w:before="56" w:after="0" w:line="240" w:lineRule="auto"/>
              <w:ind w:left="377" w:right="-20"/>
              <w:rPr>
                <w:rFonts w:ascii="Arial Narrow" w:eastAsia="Calibri" w:hAnsi="Arial Narrow" w:cs="Arial Narrow"/>
                <w:b/>
                <w:spacing w:val="-1"/>
                <w:sz w:val="14"/>
                <w:szCs w:val="14"/>
              </w:rPr>
            </w:pPr>
          </w:p>
        </w:tc>
      </w:tr>
      <w:tr w:rsidR="006312E8" w:rsidRPr="006312E8" w:rsidTr="00D04998">
        <w:trPr>
          <w:trHeight w:val="249"/>
        </w:trPr>
        <w:tc>
          <w:tcPr>
            <w:tcW w:w="1449" w:type="pct"/>
          </w:tcPr>
          <w:p w:rsidR="006312E8" w:rsidRPr="006312E8" w:rsidRDefault="006312E8" w:rsidP="006312E8">
            <w:pPr>
              <w:spacing w:before="56" w:after="0" w:line="240" w:lineRule="auto"/>
              <w:ind w:left="377" w:right="-20"/>
              <w:rPr>
                <w:rFonts w:ascii="Arial Narrow" w:eastAsia="Calibri" w:hAnsi="Arial Narrow" w:cs="Arial Narrow"/>
                <w:spacing w:val="-1"/>
                <w:sz w:val="14"/>
                <w:szCs w:val="14"/>
              </w:rPr>
            </w:pPr>
            <w:r w:rsidRPr="006312E8">
              <w:rPr>
                <w:rFonts w:ascii="Arial Narrow" w:eastAsia="Calibri" w:hAnsi="Arial Narrow" w:cs="Arial Narrow"/>
                <w:spacing w:val="-1"/>
                <w:sz w:val="14"/>
                <w:szCs w:val="14"/>
              </w:rPr>
              <w:t xml:space="preserve">LEGAL </w:t>
            </w:r>
          </w:p>
        </w:tc>
        <w:tc>
          <w:tcPr>
            <w:tcW w:w="3551" w:type="pct"/>
          </w:tcPr>
          <w:p w:rsidR="006312E8" w:rsidRPr="006312E8" w:rsidRDefault="006312E8" w:rsidP="006312E8">
            <w:pPr>
              <w:spacing w:before="56" w:after="0" w:line="240" w:lineRule="auto"/>
              <w:ind w:left="377" w:right="-20"/>
              <w:rPr>
                <w:rFonts w:ascii="Arial Narrow" w:eastAsia="Calibri" w:hAnsi="Arial Narrow" w:cs="Arial Narrow"/>
                <w:spacing w:val="-1"/>
                <w:sz w:val="14"/>
                <w:szCs w:val="14"/>
              </w:rPr>
            </w:pPr>
          </w:p>
        </w:tc>
      </w:tr>
      <w:tr w:rsidR="006312E8" w:rsidRPr="006312E8" w:rsidTr="00D04998">
        <w:trPr>
          <w:trHeight w:val="249"/>
        </w:trPr>
        <w:tc>
          <w:tcPr>
            <w:tcW w:w="1449" w:type="pct"/>
          </w:tcPr>
          <w:p w:rsidR="006312E8" w:rsidRPr="006312E8" w:rsidRDefault="006312E8" w:rsidP="006312E8">
            <w:pPr>
              <w:spacing w:before="56" w:after="0" w:line="240" w:lineRule="auto"/>
              <w:ind w:left="377" w:right="-20"/>
              <w:rPr>
                <w:rFonts w:ascii="Arial Narrow" w:eastAsia="Calibri" w:hAnsi="Arial Narrow" w:cs="Arial Narrow"/>
                <w:spacing w:val="-1"/>
                <w:sz w:val="14"/>
                <w:szCs w:val="14"/>
              </w:rPr>
            </w:pPr>
            <w:r w:rsidRPr="006312E8">
              <w:rPr>
                <w:rFonts w:ascii="Arial Narrow" w:eastAsia="Calibri" w:hAnsi="Arial Narrow" w:cs="Arial Narrow"/>
                <w:spacing w:val="-1"/>
                <w:sz w:val="14"/>
                <w:szCs w:val="14"/>
              </w:rPr>
              <w:t>TÉCNICO</w:t>
            </w:r>
          </w:p>
        </w:tc>
        <w:tc>
          <w:tcPr>
            <w:tcW w:w="3551" w:type="pct"/>
          </w:tcPr>
          <w:p w:rsidR="006312E8" w:rsidRPr="006312E8" w:rsidRDefault="006312E8" w:rsidP="006312E8">
            <w:pPr>
              <w:spacing w:before="56" w:after="0" w:line="240" w:lineRule="auto"/>
              <w:ind w:left="377" w:right="-20"/>
              <w:rPr>
                <w:rFonts w:ascii="Arial Narrow" w:eastAsia="Calibri" w:hAnsi="Arial Narrow" w:cs="Arial Narrow"/>
                <w:spacing w:val="-1"/>
                <w:sz w:val="14"/>
                <w:szCs w:val="14"/>
              </w:rPr>
            </w:pPr>
          </w:p>
        </w:tc>
      </w:tr>
    </w:tbl>
    <w:p w:rsidR="006312E8" w:rsidRPr="006312E8" w:rsidRDefault="006312E8" w:rsidP="006312E8">
      <w:pPr>
        <w:spacing w:before="56" w:after="0" w:line="240" w:lineRule="auto"/>
        <w:ind w:left="377" w:right="-20"/>
        <w:rPr>
          <w:rFonts w:ascii="Arial Narrow" w:eastAsia="Calibri" w:hAnsi="Arial Narrow" w:cs="Arial Narrow"/>
          <w:spacing w:val="-1"/>
          <w:sz w:val="14"/>
          <w:szCs w:val="14"/>
          <w:lang w:val="es-ES"/>
        </w:rPr>
      </w:pPr>
    </w:p>
    <w:p w:rsidR="006312E8" w:rsidRPr="006312E8" w:rsidRDefault="006312E8" w:rsidP="006312E8">
      <w:pPr>
        <w:spacing w:before="56" w:after="0" w:line="240" w:lineRule="auto"/>
        <w:ind w:left="377" w:right="-20"/>
        <w:rPr>
          <w:rFonts w:ascii="Arial Narrow" w:eastAsia="Calibri" w:hAnsi="Arial Narrow" w:cs="Arial Narrow"/>
          <w:spacing w:val="-1"/>
          <w:sz w:val="14"/>
          <w:szCs w:val="14"/>
          <w:lang w:val="es-ES"/>
        </w:rPr>
      </w:pPr>
    </w:p>
    <w:p w:rsidR="006312E8" w:rsidRPr="006312E8" w:rsidRDefault="006312E8" w:rsidP="006312E8">
      <w:pPr>
        <w:spacing w:before="56" w:after="0" w:line="240" w:lineRule="auto"/>
        <w:ind w:left="377" w:right="-20"/>
        <w:rPr>
          <w:rFonts w:ascii="Arial Narrow" w:eastAsia="Calibri" w:hAnsi="Arial Narrow" w:cs="Arial Narrow"/>
          <w:spacing w:val="-1"/>
          <w:sz w:val="14"/>
          <w:szCs w:val="14"/>
          <w:lang w:val="es-ES"/>
        </w:rPr>
      </w:pPr>
    </w:p>
    <w:p w:rsidR="006312E8" w:rsidRPr="006312E8" w:rsidRDefault="006312E8" w:rsidP="006312E8">
      <w:pPr>
        <w:spacing w:before="56" w:after="0" w:line="240" w:lineRule="auto"/>
        <w:ind w:left="377" w:right="-20"/>
        <w:rPr>
          <w:rFonts w:ascii="Arial Narrow" w:eastAsia="Calibri" w:hAnsi="Arial Narrow" w:cs="Arial Narrow"/>
          <w:spacing w:val="-1"/>
          <w:sz w:val="14"/>
          <w:szCs w:val="14"/>
          <w:lang w:val="es-ES"/>
        </w:rPr>
      </w:pPr>
    </w:p>
    <w:p w:rsidR="006312E8" w:rsidRPr="006312E8" w:rsidRDefault="006312E8" w:rsidP="006312E8">
      <w:pPr>
        <w:spacing w:before="56" w:after="0" w:line="240" w:lineRule="auto"/>
        <w:ind w:left="377" w:right="-20"/>
        <w:rPr>
          <w:rFonts w:ascii="Arial Narrow" w:eastAsia="Calibri" w:hAnsi="Arial Narrow" w:cs="Arial Narrow"/>
          <w:spacing w:val="-1"/>
          <w:sz w:val="14"/>
          <w:szCs w:val="14"/>
          <w:lang w:val="es-ES"/>
        </w:rPr>
      </w:pPr>
    </w:p>
    <w:tbl>
      <w:tblPr>
        <w:tblpPr w:leftFromText="141" w:rightFromText="141" w:vertAnchor="text" w:horzAnchor="margin" w:tblpXSpec="right" w:tblpY="-13"/>
        <w:tblW w:w="8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6"/>
        <w:gridCol w:w="2128"/>
        <w:gridCol w:w="1843"/>
        <w:gridCol w:w="1768"/>
      </w:tblGrid>
      <w:tr w:rsidR="006312E8" w:rsidRPr="006312E8" w:rsidTr="00D04998">
        <w:trPr>
          <w:trHeight w:val="292"/>
        </w:trPr>
        <w:tc>
          <w:tcPr>
            <w:tcW w:w="2266" w:type="dxa"/>
          </w:tcPr>
          <w:p w:rsidR="006312E8" w:rsidRPr="006312E8" w:rsidRDefault="006312E8" w:rsidP="006312E8">
            <w:pPr>
              <w:spacing w:before="56" w:after="0" w:line="240" w:lineRule="auto"/>
              <w:ind w:left="377" w:right="-20"/>
              <w:jc w:val="center"/>
              <w:rPr>
                <w:rFonts w:ascii="Arial Narrow" w:eastAsia="Calibri" w:hAnsi="Arial Narrow" w:cs="Arial Narrow"/>
                <w:spacing w:val="-1"/>
                <w:sz w:val="14"/>
                <w:szCs w:val="14"/>
                <w:lang w:val="es-ES"/>
              </w:rPr>
            </w:pPr>
            <w:r w:rsidRPr="006312E8">
              <w:rPr>
                <w:rFonts w:ascii="Arial Narrow" w:eastAsia="Calibri" w:hAnsi="Arial Narrow" w:cs="Arial Narrow"/>
                <w:spacing w:val="-1"/>
                <w:sz w:val="14"/>
                <w:szCs w:val="14"/>
              </w:rPr>
              <w:t>SOLICITUD DE INGRESO</w:t>
            </w:r>
          </w:p>
        </w:tc>
        <w:tc>
          <w:tcPr>
            <w:tcW w:w="2128" w:type="dxa"/>
          </w:tcPr>
          <w:p w:rsidR="006312E8" w:rsidRPr="006312E8" w:rsidRDefault="006312E8" w:rsidP="006312E8">
            <w:pPr>
              <w:spacing w:before="56" w:after="0" w:line="240" w:lineRule="auto"/>
              <w:ind w:right="-20"/>
              <w:jc w:val="center"/>
              <w:rPr>
                <w:rFonts w:ascii="Arial Narrow" w:eastAsia="Calibri" w:hAnsi="Arial Narrow" w:cs="Arial Narrow"/>
                <w:spacing w:val="-1"/>
                <w:sz w:val="14"/>
                <w:szCs w:val="14"/>
                <w:lang w:val="es-ES"/>
              </w:rPr>
            </w:pPr>
            <w:r w:rsidRPr="006312E8">
              <w:rPr>
                <w:rFonts w:ascii="Arial Narrow" w:eastAsia="Calibri" w:hAnsi="Arial Narrow" w:cs="Arial Narrow"/>
                <w:spacing w:val="-1"/>
                <w:sz w:val="14"/>
                <w:szCs w:val="14"/>
                <w:lang w:val="es-ES"/>
              </w:rPr>
              <w:t>Nº  DE REGISTRO</w:t>
            </w:r>
          </w:p>
        </w:tc>
        <w:tc>
          <w:tcPr>
            <w:tcW w:w="1843" w:type="dxa"/>
          </w:tcPr>
          <w:p w:rsidR="006312E8" w:rsidRPr="006312E8" w:rsidRDefault="006312E8" w:rsidP="006312E8">
            <w:pPr>
              <w:spacing w:before="56" w:after="0" w:line="240" w:lineRule="auto"/>
              <w:ind w:right="-20"/>
              <w:jc w:val="center"/>
              <w:rPr>
                <w:rFonts w:ascii="Arial Narrow" w:eastAsia="Calibri" w:hAnsi="Arial Narrow" w:cs="Arial Narrow"/>
                <w:spacing w:val="-1"/>
                <w:sz w:val="14"/>
                <w:szCs w:val="14"/>
                <w:lang w:val="es-ES"/>
              </w:rPr>
            </w:pPr>
            <w:r w:rsidRPr="006312E8">
              <w:rPr>
                <w:rFonts w:ascii="Arial Narrow" w:eastAsia="Calibri" w:hAnsi="Arial Narrow" w:cs="Arial Narrow"/>
                <w:spacing w:val="-1"/>
                <w:sz w:val="14"/>
                <w:szCs w:val="14"/>
                <w:lang w:val="es-ES"/>
              </w:rPr>
              <w:t>LIBRO</w:t>
            </w:r>
          </w:p>
        </w:tc>
        <w:tc>
          <w:tcPr>
            <w:tcW w:w="1768" w:type="dxa"/>
          </w:tcPr>
          <w:p w:rsidR="006312E8" w:rsidRPr="006312E8" w:rsidRDefault="006312E8" w:rsidP="006312E8">
            <w:pPr>
              <w:spacing w:before="56" w:after="0" w:line="240" w:lineRule="auto"/>
              <w:ind w:right="-20"/>
              <w:jc w:val="center"/>
              <w:rPr>
                <w:rFonts w:ascii="Arial Narrow" w:eastAsia="Calibri" w:hAnsi="Arial Narrow" w:cs="Arial Narrow"/>
                <w:spacing w:val="-1"/>
                <w:sz w:val="14"/>
                <w:szCs w:val="14"/>
                <w:lang w:val="es-ES"/>
              </w:rPr>
            </w:pPr>
            <w:r w:rsidRPr="006312E8">
              <w:rPr>
                <w:rFonts w:ascii="Arial Narrow" w:eastAsia="Calibri" w:hAnsi="Arial Narrow" w:cs="Arial Narrow"/>
                <w:spacing w:val="-1"/>
                <w:sz w:val="14"/>
                <w:szCs w:val="14"/>
                <w:lang w:val="es-ES"/>
              </w:rPr>
              <w:t>Nº  DE CUS</w:t>
            </w:r>
          </w:p>
        </w:tc>
      </w:tr>
      <w:tr w:rsidR="006312E8" w:rsidRPr="006312E8" w:rsidTr="00D04998">
        <w:trPr>
          <w:trHeight w:val="309"/>
        </w:trPr>
        <w:tc>
          <w:tcPr>
            <w:tcW w:w="2266" w:type="dxa"/>
          </w:tcPr>
          <w:p w:rsidR="006312E8" w:rsidRPr="006312E8" w:rsidRDefault="006312E8" w:rsidP="006312E8">
            <w:pPr>
              <w:spacing w:before="56" w:after="0" w:line="240" w:lineRule="auto"/>
              <w:ind w:right="-20"/>
              <w:rPr>
                <w:rFonts w:ascii="Arial Narrow" w:eastAsia="Calibri" w:hAnsi="Arial Narrow" w:cs="Arial Narrow"/>
                <w:spacing w:val="-1"/>
                <w:sz w:val="14"/>
                <w:szCs w:val="14"/>
                <w:lang w:val="es-ES"/>
              </w:rPr>
            </w:pPr>
          </w:p>
        </w:tc>
        <w:tc>
          <w:tcPr>
            <w:tcW w:w="2128" w:type="dxa"/>
          </w:tcPr>
          <w:p w:rsidR="006312E8" w:rsidRPr="006312E8" w:rsidRDefault="006312E8" w:rsidP="006312E8">
            <w:pPr>
              <w:spacing w:before="56" w:after="0" w:line="240" w:lineRule="auto"/>
              <w:ind w:right="-20"/>
              <w:rPr>
                <w:rFonts w:ascii="Arial Narrow" w:eastAsia="Calibri" w:hAnsi="Arial Narrow" w:cs="Arial Narrow"/>
                <w:spacing w:val="-1"/>
                <w:sz w:val="14"/>
                <w:szCs w:val="14"/>
                <w:lang w:val="es-ES"/>
              </w:rPr>
            </w:pPr>
          </w:p>
        </w:tc>
        <w:tc>
          <w:tcPr>
            <w:tcW w:w="1843" w:type="dxa"/>
          </w:tcPr>
          <w:p w:rsidR="006312E8" w:rsidRPr="006312E8" w:rsidRDefault="006312E8" w:rsidP="006312E8">
            <w:pPr>
              <w:spacing w:before="56" w:after="0" w:line="240" w:lineRule="auto"/>
              <w:ind w:right="-20"/>
              <w:rPr>
                <w:rFonts w:ascii="Arial Narrow" w:eastAsia="Calibri" w:hAnsi="Arial Narrow" w:cs="Arial Narrow"/>
                <w:spacing w:val="-1"/>
                <w:sz w:val="14"/>
                <w:szCs w:val="14"/>
                <w:lang w:val="es-ES"/>
              </w:rPr>
            </w:pPr>
          </w:p>
        </w:tc>
        <w:tc>
          <w:tcPr>
            <w:tcW w:w="1768" w:type="dxa"/>
          </w:tcPr>
          <w:p w:rsidR="006312E8" w:rsidRPr="006312E8" w:rsidRDefault="006312E8" w:rsidP="006312E8">
            <w:pPr>
              <w:spacing w:before="56" w:after="0" w:line="240" w:lineRule="auto"/>
              <w:ind w:right="-20"/>
              <w:rPr>
                <w:rFonts w:ascii="Arial Narrow" w:eastAsia="Calibri" w:hAnsi="Arial Narrow" w:cs="Arial Narrow"/>
                <w:spacing w:val="-1"/>
                <w:sz w:val="14"/>
                <w:szCs w:val="14"/>
                <w:lang w:val="es-ES"/>
              </w:rPr>
            </w:pPr>
          </w:p>
        </w:tc>
      </w:tr>
    </w:tbl>
    <w:p w:rsidR="006312E8" w:rsidRPr="006312E8" w:rsidRDefault="006312E8" w:rsidP="006312E8">
      <w:pPr>
        <w:spacing w:before="56" w:after="0" w:line="240" w:lineRule="auto"/>
        <w:ind w:right="-20"/>
        <w:jc w:val="center"/>
        <w:outlineLvl w:val="0"/>
        <w:rPr>
          <w:rFonts w:ascii="Arial Narrow" w:eastAsia="Calibri" w:hAnsi="Arial Narrow" w:cs="Arial Narrow"/>
          <w:b/>
          <w:spacing w:val="-1"/>
          <w:sz w:val="16"/>
          <w:szCs w:val="16"/>
          <w:lang w:val="es-ES"/>
        </w:rPr>
      </w:pPr>
      <w:r w:rsidRPr="006312E8">
        <w:rPr>
          <w:rFonts w:ascii="Arial Narrow" w:eastAsia="Calibri" w:hAnsi="Arial Narrow" w:cs="Arial Narrow"/>
          <w:b/>
          <w:spacing w:val="-1"/>
          <w:sz w:val="16"/>
          <w:szCs w:val="16"/>
          <w:lang w:val="es-ES"/>
        </w:rPr>
        <w:t>Sistema de Información Nacional  de</w:t>
      </w:r>
    </w:p>
    <w:p w:rsidR="006312E8" w:rsidRPr="006312E8" w:rsidRDefault="006312E8" w:rsidP="006312E8">
      <w:pPr>
        <w:spacing w:before="56" w:after="0" w:line="240" w:lineRule="auto"/>
        <w:ind w:right="-20"/>
        <w:jc w:val="center"/>
        <w:rPr>
          <w:rFonts w:ascii="Arial Narrow" w:eastAsia="Calibri" w:hAnsi="Arial Narrow" w:cs="Arial Narrow"/>
          <w:b/>
          <w:spacing w:val="-1"/>
          <w:sz w:val="16"/>
          <w:szCs w:val="16"/>
          <w:lang w:val="es-ES"/>
        </w:rPr>
      </w:pPr>
      <w:r w:rsidRPr="006312E8">
        <w:rPr>
          <w:rFonts w:ascii="Calibri" w:eastAsia="Calibri" w:hAnsi="Calibri" w:cs="Times New Roman"/>
          <w:b/>
          <w:noProof/>
          <w:lang w:val="es-MX" w:eastAsia="es-MX"/>
        </w:rPr>
        <mc:AlternateContent>
          <mc:Choice Requires="wpg">
            <w:drawing>
              <wp:anchor distT="0" distB="0" distL="114300" distR="114300" simplePos="0" relativeHeight="251686912" behindDoc="1" locked="0" layoutInCell="1" allowOverlap="1" wp14:anchorId="5FE94A10" wp14:editId="13CB39B5">
                <wp:simplePos x="0" y="0"/>
                <wp:positionH relativeFrom="page">
                  <wp:posOffset>3353435</wp:posOffset>
                </wp:positionH>
                <wp:positionV relativeFrom="paragraph">
                  <wp:posOffset>74295</wp:posOffset>
                </wp:positionV>
                <wp:extent cx="4797425" cy="508000"/>
                <wp:effectExtent l="0" t="0" r="0" b="0"/>
                <wp:wrapNone/>
                <wp:docPr id="58" name="Grupo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7425" cy="508000"/>
                          <a:chOff x="3679" y="-795"/>
                          <a:chExt cx="7555" cy="626"/>
                        </a:xfrm>
                      </wpg:grpSpPr>
                      <wpg:grpSp>
                        <wpg:cNvPr id="59" name="Group 15"/>
                        <wpg:cNvGrpSpPr>
                          <a:grpSpLocks/>
                        </wpg:cNvGrpSpPr>
                        <wpg:grpSpPr bwMode="auto">
                          <a:xfrm>
                            <a:off x="6115" y="-788"/>
                            <a:ext cx="2338" cy="312"/>
                            <a:chOff x="6115" y="-788"/>
                            <a:chExt cx="2338" cy="312"/>
                          </a:xfrm>
                        </wpg:grpSpPr>
                        <wps:wsp>
                          <wps:cNvPr id="60" name="Freeform 16"/>
                          <wps:cNvSpPr>
                            <a:spLocks/>
                          </wps:cNvSpPr>
                          <wps:spPr bwMode="auto">
                            <a:xfrm>
                              <a:off x="6115" y="-788"/>
                              <a:ext cx="2338" cy="312"/>
                            </a:xfrm>
                            <a:custGeom>
                              <a:avLst/>
                              <a:gdLst>
                                <a:gd name="T0" fmla="+- 0 6115 6115"/>
                                <a:gd name="T1" fmla="*/ T0 w 2338"/>
                                <a:gd name="T2" fmla="+- 0 -476 -788"/>
                                <a:gd name="T3" fmla="*/ -476 h 312"/>
                                <a:gd name="T4" fmla="+- 0 8453 6115"/>
                                <a:gd name="T5" fmla="*/ T4 w 2338"/>
                                <a:gd name="T6" fmla="+- 0 -476 -788"/>
                                <a:gd name="T7" fmla="*/ -476 h 312"/>
                                <a:gd name="T8" fmla="+- 0 8453 6115"/>
                                <a:gd name="T9" fmla="*/ T8 w 2338"/>
                                <a:gd name="T10" fmla="+- 0 -788 -788"/>
                                <a:gd name="T11" fmla="*/ -788 h 312"/>
                                <a:gd name="T12" fmla="+- 0 6115 6115"/>
                                <a:gd name="T13" fmla="*/ T12 w 2338"/>
                                <a:gd name="T14" fmla="+- 0 -788 -788"/>
                                <a:gd name="T15" fmla="*/ -788 h 312"/>
                                <a:gd name="T16" fmla="+- 0 6115 6115"/>
                                <a:gd name="T17" fmla="*/ T16 w 2338"/>
                                <a:gd name="T18" fmla="+- 0 -476 -788"/>
                                <a:gd name="T19" fmla="*/ -476 h 312"/>
                              </a:gdLst>
                              <a:ahLst/>
                              <a:cxnLst>
                                <a:cxn ang="0">
                                  <a:pos x="T1" y="T3"/>
                                </a:cxn>
                                <a:cxn ang="0">
                                  <a:pos x="T5" y="T7"/>
                                </a:cxn>
                                <a:cxn ang="0">
                                  <a:pos x="T9" y="T11"/>
                                </a:cxn>
                                <a:cxn ang="0">
                                  <a:pos x="T13" y="T15"/>
                                </a:cxn>
                                <a:cxn ang="0">
                                  <a:pos x="T17" y="T19"/>
                                </a:cxn>
                              </a:cxnLst>
                              <a:rect l="0" t="0" r="r" b="b"/>
                              <a:pathLst>
                                <a:path w="2338" h="312">
                                  <a:moveTo>
                                    <a:pt x="0" y="312"/>
                                  </a:moveTo>
                                  <a:lnTo>
                                    <a:pt x="2338" y="312"/>
                                  </a:lnTo>
                                  <a:lnTo>
                                    <a:pt x="2338" y="0"/>
                                  </a:lnTo>
                                  <a:lnTo>
                                    <a:pt x="0" y="0"/>
                                  </a:lnTo>
                                  <a:lnTo>
                                    <a:pt x="0" y="31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17"/>
                        <wpg:cNvGrpSpPr>
                          <a:grpSpLocks/>
                        </wpg:cNvGrpSpPr>
                        <wpg:grpSpPr bwMode="auto">
                          <a:xfrm>
                            <a:off x="3686" y="-788"/>
                            <a:ext cx="2441" cy="312"/>
                            <a:chOff x="3686" y="-788"/>
                            <a:chExt cx="2441" cy="312"/>
                          </a:xfrm>
                        </wpg:grpSpPr>
                        <wps:wsp>
                          <wps:cNvPr id="62" name="Freeform 18"/>
                          <wps:cNvSpPr>
                            <a:spLocks/>
                          </wps:cNvSpPr>
                          <wps:spPr bwMode="auto">
                            <a:xfrm>
                              <a:off x="3686" y="-788"/>
                              <a:ext cx="2441" cy="312"/>
                            </a:xfrm>
                            <a:custGeom>
                              <a:avLst/>
                              <a:gdLst>
                                <a:gd name="T0" fmla="+- 0 3686 3686"/>
                                <a:gd name="T1" fmla="*/ T0 w 2441"/>
                                <a:gd name="T2" fmla="+- 0 -476 -788"/>
                                <a:gd name="T3" fmla="*/ -476 h 312"/>
                                <a:gd name="T4" fmla="+- 0 6127 3686"/>
                                <a:gd name="T5" fmla="*/ T4 w 2441"/>
                                <a:gd name="T6" fmla="+- 0 -476 -788"/>
                                <a:gd name="T7" fmla="*/ -476 h 312"/>
                                <a:gd name="T8" fmla="+- 0 6127 3686"/>
                                <a:gd name="T9" fmla="*/ T8 w 2441"/>
                                <a:gd name="T10" fmla="+- 0 -788 -788"/>
                                <a:gd name="T11" fmla="*/ -788 h 312"/>
                                <a:gd name="T12" fmla="+- 0 3686 3686"/>
                                <a:gd name="T13" fmla="*/ T12 w 2441"/>
                                <a:gd name="T14" fmla="+- 0 -788 -788"/>
                                <a:gd name="T15" fmla="*/ -788 h 312"/>
                                <a:gd name="T16" fmla="+- 0 3686 3686"/>
                                <a:gd name="T17" fmla="*/ T16 w 2441"/>
                                <a:gd name="T18" fmla="+- 0 -476 -788"/>
                                <a:gd name="T19" fmla="*/ -476 h 312"/>
                              </a:gdLst>
                              <a:ahLst/>
                              <a:cxnLst>
                                <a:cxn ang="0">
                                  <a:pos x="T1" y="T3"/>
                                </a:cxn>
                                <a:cxn ang="0">
                                  <a:pos x="T5" y="T7"/>
                                </a:cxn>
                                <a:cxn ang="0">
                                  <a:pos x="T9" y="T11"/>
                                </a:cxn>
                                <a:cxn ang="0">
                                  <a:pos x="T13" y="T15"/>
                                </a:cxn>
                                <a:cxn ang="0">
                                  <a:pos x="T17" y="T19"/>
                                </a:cxn>
                              </a:cxnLst>
                              <a:rect l="0" t="0" r="r" b="b"/>
                              <a:pathLst>
                                <a:path w="2441" h="312">
                                  <a:moveTo>
                                    <a:pt x="0" y="312"/>
                                  </a:moveTo>
                                  <a:lnTo>
                                    <a:pt x="2441" y="312"/>
                                  </a:lnTo>
                                  <a:lnTo>
                                    <a:pt x="2441" y="0"/>
                                  </a:lnTo>
                                  <a:lnTo>
                                    <a:pt x="0" y="0"/>
                                  </a:lnTo>
                                  <a:lnTo>
                                    <a:pt x="0" y="31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 name="Group 19"/>
                        <wpg:cNvGrpSpPr>
                          <a:grpSpLocks/>
                        </wpg:cNvGrpSpPr>
                        <wpg:grpSpPr bwMode="auto">
                          <a:xfrm>
                            <a:off x="6115" y="-488"/>
                            <a:ext cx="2338" cy="312"/>
                            <a:chOff x="6115" y="-488"/>
                            <a:chExt cx="2338" cy="312"/>
                          </a:xfrm>
                        </wpg:grpSpPr>
                        <wps:wsp>
                          <wps:cNvPr id="64" name="Freeform 20"/>
                          <wps:cNvSpPr>
                            <a:spLocks/>
                          </wps:cNvSpPr>
                          <wps:spPr bwMode="auto">
                            <a:xfrm>
                              <a:off x="6115" y="-488"/>
                              <a:ext cx="2338" cy="312"/>
                            </a:xfrm>
                            <a:custGeom>
                              <a:avLst/>
                              <a:gdLst>
                                <a:gd name="T0" fmla="+- 0 6115 6115"/>
                                <a:gd name="T1" fmla="*/ T0 w 2338"/>
                                <a:gd name="T2" fmla="+- 0 -176 -488"/>
                                <a:gd name="T3" fmla="*/ -176 h 312"/>
                                <a:gd name="T4" fmla="+- 0 8453 6115"/>
                                <a:gd name="T5" fmla="*/ T4 w 2338"/>
                                <a:gd name="T6" fmla="+- 0 -176 -488"/>
                                <a:gd name="T7" fmla="*/ -176 h 312"/>
                                <a:gd name="T8" fmla="+- 0 8453 6115"/>
                                <a:gd name="T9" fmla="*/ T8 w 2338"/>
                                <a:gd name="T10" fmla="+- 0 -488 -488"/>
                                <a:gd name="T11" fmla="*/ -488 h 312"/>
                                <a:gd name="T12" fmla="+- 0 6115 6115"/>
                                <a:gd name="T13" fmla="*/ T12 w 2338"/>
                                <a:gd name="T14" fmla="+- 0 -488 -488"/>
                                <a:gd name="T15" fmla="*/ -488 h 312"/>
                                <a:gd name="T16" fmla="+- 0 6115 6115"/>
                                <a:gd name="T17" fmla="*/ T16 w 2338"/>
                                <a:gd name="T18" fmla="+- 0 -176 -488"/>
                                <a:gd name="T19" fmla="*/ -176 h 312"/>
                              </a:gdLst>
                              <a:ahLst/>
                              <a:cxnLst>
                                <a:cxn ang="0">
                                  <a:pos x="T1" y="T3"/>
                                </a:cxn>
                                <a:cxn ang="0">
                                  <a:pos x="T5" y="T7"/>
                                </a:cxn>
                                <a:cxn ang="0">
                                  <a:pos x="T9" y="T11"/>
                                </a:cxn>
                                <a:cxn ang="0">
                                  <a:pos x="T13" y="T15"/>
                                </a:cxn>
                                <a:cxn ang="0">
                                  <a:pos x="T17" y="T19"/>
                                </a:cxn>
                              </a:cxnLst>
                              <a:rect l="0" t="0" r="r" b="b"/>
                              <a:pathLst>
                                <a:path w="2338" h="312">
                                  <a:moveTo>
                                    <a:pt x="0" y="312"/>
                                  </a:moveTo>
                                  <a:lnTo>
                                    <a:pt x="2338" y="312"/>
                                  </a:lnTo>
                                  <a:lnTo>
                                    <a:pt x="2338" y="0"/>
                                  </a:lnTo>
                                  <a:lnTo>
                                    <a:pt x="0" y="0"/>
                                  </a:lnTo>
                                  <a:lnTo>
                                    <a:pt x="0" y="31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 name="Group 21"/>
                        <wpg:cNvGrpSpPr>
                          <a:grpSpLocks/>
                        </wpg:cNvGrpSpPr>
                        <wpg:grpSpPr bwMode="auto">
                          <a:xfrm>
                            <a:off x="8441" y="-488"/>
                            <a:ext cx="2786" cy="312"/>
                            <a:chOff x="8441" y="-488"/>
                            <a:chExt cx="2786" cy="312"/>
                          </a:xfrm>
                        </wpg:grpSpPr>
                        <wps:wsp>
                          <wps:cNvPr id="66" name="Freeform 22"/>
                          <wps:cNvSpPr>
                            <a:spLocks/>
                          </wps:cNvSpPr>
                          <wps:spPr bwMode="auto">
                            <a:xfrm>
                              <a:off x="8441" y="-488"/>
                              <a:ext cx="2786" cy="312"/>
                            </a:xfrm>
                            <a:custGeom>
                              <a:avLst/>
                              <a:gdLst>
                                <a:gd name="T0" fmla="+- 0 8441 8441"/>
                                <a:gd name="T1" fmla="*/ T0 w 2786"/>
                                <a:gd name="T2" fmla="+- 0 -176 -488"/>
                                <a:gd name="T3" fmla="*/ -176 h 312"/>
                                <a:gd name="T4" fmla="+- 0 11227 8441"/>
                                <a:gd name="T5" fmla="*/ T4 w 2786"/>
                                <a:gd name="T6" fmla="+- 0 -176 -488"/>
                                <a:gd name="T7" fmla="*/ -176 h 312"/>
                                <a:gd name="T8" fmla="+- 0 11227 8441"/>
                                <a:gd name="T9" fmla="*/ T8 w 2786"/>
                                <a:gd name="T10" fmla="+- 0 -488 -488"/>
                                <a:gd name="T11" fmla="*/ -488 h 312"/>
                                <a:gd name="T12" fmla="+- 0 8441 8441"/>
                                <a:gd name="T13" fmla="*/ T12 w 2786"/>
                                <a:gd name="T14" fmla="+- 0 -488 -488"/>
                                <a:gd name="T15" fmla="*/ -488 h 312"/>
                                <a:gd name="T16" fmla="+- 0 8441 8441"/>
                                <a:gd name="T17" fmla="*/ T16 w 2786"/>
                                <a:gd name="T18" fmla="+- 0 -176 -488"/>
                                <a:gd name="T19" fmla="*/ -176 h 312"/>
                              </a:gdLst>
                              <a:ahLst/>
                              <a:cxnLst>
                                <a:cxn ang="0">
                                  <a:pos x="T1" y="T3"/>
                                </a:cxn>
                                <a:cxn ang="0">
                                  <a:pos x="T5" y="T7"/>
                                </a:cxn>
                                <a:cxn ang="0">
                                  <a:pos x="T9" y="T11"/>
                                </a:cxn>
                                <a:cxn ang="0">
                                  <a:pos x="T13" y="T15"/>
                                </a:cxn>
                                <a:cxn ang="0">
                                  <a:pos x="T17" y="T19"/>
                                </a:cxn>
                              </a:cxnLst>
                              <a:rect l="0" t="0" r="r" b="b"/>
                              <a:pathLst>
                                <a:path w="2786" h="312">
                                  <a:moveTo>
                                    <a:pt x="0" y="312"/>
                                  </a:moveTo>
                                  <a:lnTo>
                                    <a:pt x="2786" y="312"/>
                                  </a:lnTo>
                                  <a:lnTo>
                                    <a:pt x="2786" y="0"/>
                                  </a:lnTo>
                                  <a:lnTo>
                                    <a:pt x="0" y="0"/>
                                  </a:lnTo>
                                  <a:lnTo>
                                    <a:pt x="0" y="31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 name="Group 23"/>
                        <wpg:cNvGrpSpPr>
                          <a:grpSpLocks/>
                        </wpg:cNvGrpSpPr>
                        <wpg:grpSpPr bwMode="auto">
                          <a:xfrm>
                            <a:off x="6161" y="-745"/>
                            <a:ext cx="2249" cy="223"/>
                            <a:chOff x="6161" y="-745"/>
                            <a:chExt cx="2249" cy="223"/>
                          </a:xfrm>
                        </wpg:grpSpPr>
                        <wps:wsp>
                          <wps:cNvPr id="68" name="Freeform 24"/>
                          <wps:cNvSpPr>
                            <a:spLocks/>
                          </wps:cNvSpPr>
                          <wps:spPr bwMode="auto">
                            <a:xfrm>
                              <a:off x="6161" y="-745"/>
                              <a:ext cx="2249" cy="223"/>
                            </a:xfrm>
                            <a:custGeom>
                              <a:avLst/>
                              <a:gdLst>
                                <a:gd name="T0" fmla="+- 0 6161 6161"/>
                                <a:gd name="T1" fmla="*/ T0 w 2249"/>
                                <a:gd name="T2" fmla="+- 0 -521 -745"/>
                                <a:gd name="T3" fmla="*/ -521 h 223"/>
                                <a:gd name="T4" fmla="+- 0 8410 6161"/>
                                <a:gd name="T5" fmla="*/ T4 w 2249"/>
                                <a:gd name="T6" fmla="+- 0 -521 -745"/>
                                <a:gd name="T7" fmla="*/ -521 h 223"/>
                                <a:gd name="T8" fmla="+- 0 8410 6161"/>
                                <a:gd name="T9" fmla="*/ T8 w 2249"/>
                                <a:gd name="T10" fmla="+- 0 -745 -745"/>
                                <a:gd name="T11" fmla="*/ -745 h 223"/>
                                <a:gd name="T12" fmla="+- 0 6161 6161"/>
                                <a:gd name="T13" fmla="*/ T12 w 2249"/>
                                <a:gd name="T14" fmla="+- 0 -745 -745"/>
                                <a:gd name="T15" fmla="*/ -745 h 223"/>
                                <a:gd name="T16" fmla="+- 0 6161 6161"/>
                                <a:gd name="T17" fmla="*/ T16 w 2249"/>
                                <a:gd name="T18" fmla="+- 0 -521 -745"/>
                                <a:gd name="T19" fmla="*/ -521 h 223"/>
                              </a:gdLst>
                              <a:ahLst/>
                              <a:cxnLst>
                                <a:cxn ang="0">
                                  <a:pos x="T1" y="T3"/>
                                </a:cxn>
                                <a:cxn ang="0">
                                  <a:pos x="T5" y="T7"/>
                                </a:cxn>
                                <a:cxn ang="0">
                                  <a:pos x="T9" y="T11"/>
                                </a:cxn>
                                <a:cxn ang="0">
                                  <a:pos x="T13" y="T15"/>
                                </a:cxn>
                                <a:cxn ang="0">
                                  <a:pos x="T17" y="T19"/>
                                </a:cxn>
                              </a:cxnLst>
                              <a:rect l="0" t="0" r="r" b="b"/>
                              <a:pathLst>
                                <a:path w="2249" h="223">
                                  <a:moveTo>
                                    <a:pt x="0" y="224"/>
                                  </a:moveTo>
                                  <a:lnTo>
                                    <a:pt x="2249" y="224"/>
                                  </a:lnTo>
                                  <a:lnTo>
                                    <a:pt x="2249" y="0"/>
                                  </a:lnTo>
                                  <a:lnTo>
                                    <a:pt x="0" y="0"/>
                                  </a:lnTo>
                                  <a:lnTo>
                                    <a:pt x="0" y="22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EC48B07" id="Grupo 58" o:spid="_x0000_s1026" style="position:absolute;margin-left:264.05pt;margin-top:5.85pt;width:377.75pt;height:40pt;z-index:-251629568;mso-position-horizontal-relative:page" coordorigin="3679,-795" coordsize="7555,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">
                <v:group id="Group 15" o:spid="_x0000_s1027" style="position:absolute;left:6115;top:-788;width:2338;height:312" coordorigin="6115,-788" coordsize="2338,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16" o:spid="_x0000_s1028" style="position:absolute;left:6115;top:-788;width:2338;height:312;visibility:visible;mso-wrap-style:square;v-text-anchor:top" coordsize="2338,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JHUMAA&#10;AADbAAAADwAAAGRycy9kb3ducmV2LnhtbERPyW7CMBC9I/EP1lTqDZxyoChgUMQiUE9lUc6jeBqn&#10;xOPINiH9+/pQqcent682g21FTz40jhW8TTMQxJXTDdcKbtfDZAEiRGSNrWNS8EMBNuvxaIW5dk8+&#10;U3+JtUghHHJUYGLscilDZchimLqOOHFfzluMCfpaao/PFG5bOcuyubTYcGow2NHWUHW/PKyCQt77&#10;z+/C3Lb7ko7vH2Xpd6eZUq8vQ7EEEWmI/+I/90krmKf16Uv6AXL9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TJHUMAAAADbAAAADwAAAAAAAAAAAAAAAACYAgAAZHJzL2Rvd25y&#10;ZXYueG1sUEsFBgAAAAAEAAQA9QAAAIUDAAAAAA==&#10;" path="m,312r2338,l2338,,,,,312e" stroked="f">
                    <v:path arrowok="t" o:connecttype="custom" o:connectlocs="0,-476;2338,-476;2338,-788;0,-788;0,-476" o:connectangles="0,0,0,0,0"/>
                  </v:shape>
                </v:group>
                <v:group id="Group 17" o:spid="_x0000_s1029" style="position:absolute;left:3686;top:-788;width:2441;height:312" coordorigin="3686,-788" coordsize="2441,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18" o:spid="_x0000_s1030" style="position:absolute;left:3686;top:-788;width:2441;height:312;visibility:visible;mso-wrap-style:square;v-text-anchor:top" coordsize="2441,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pDAsQA&#10;AADbAAAADwAAAGRycy9kb3ducmV2LnhtbESPQWsCMRSE7wX/Q3iCt5pVUOrWKEURROih6sHj6+bt&#10;ZunmZU2iu/57Uyj0OMzMN8xy3dtG3MmH2rGCyTgDQVw4XXOl4Hzavb6BCBFZY+OYFDwowHo1eFli&#10;rl3HX3Q/xkokCIccFZgY21zKUBiyGMauJU5e6bzFmKSvpPbYJbht5DTL5tJizWnBYEsbQ8XP8WYV&#10;bHZbX5hZ/FycL9/NTF7Lw6QrlRoN+493EJH6+B/+a++1gvkUfr+kHyB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KQwLEAAAA2wAAAA8AAAAAAAAAAAAAAAAAmAIAAGRycy9k&#10;b3ducmV2LnhtbFBLBQYAAAAABAAEAPUAAACJAwAAAAA=&#10;" path="m,312r2441,l2441,,,,,312e" stroked="f">
                    <v:path arrowok="t" o:connecttype="custom" o:connectlocs="0,-476;2441,-476;2441,-788;0,-788;0,-476" o:connectangles="0,0,0,0,0"/>
                  </v:shape>
                </v:group>
                <v:group id="Group 19" o:spid="_x0000_s1031" style="position:absolute;left:6115;top:-488;width:2338;height:312" coordorigin="6115,-488" coordsize="2338,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20" o:spid="_x0000_s1032" style="position:absolute;left:6115;top:-488;width:2338;height:312;visibility:visible;mso-wrap-style:square;v-text-anchor:top" coordsize="2338,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lBU8QA&#10;AADbAAAADwAAAGRycy9kb3ducmV2LnhtbESPQWsCMRSE70L/Q3iF3mq2UmzZGmWxloona2XPj81z&#10;s7p5WZK4bv99Iwgeh5n5hpktBtuKnnxoHCt4GWcgiCunG64V7H+/nt9BhIissXVMCv4owGL+MJph&#10;rt2Ff6jfxVokCIccFZgYu1zKUBmyGMauI07ewXmLMUlfS+3xkuC2lZMsm0qLDacFgx0tDVWn3dkq&#10;KOSp3x4Ls1+uSvp+25Sl/1xPlHp6HIoPEJGGeA/f2mutYPoK1y/pB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JQVPEAAAA2wAAAA8AAAAAAAAAAAAAAAAAmAIAAGRycy9k&#10;b3ducmV2LnhtbFBLBQYAAAAABAAEAPUAAACJAwAAAAA=&#10;" path="m,312r2338,l2338,,,,,312e" stroked="f">
                    <v:path arrowok="t" o:connecttype="custom" o:connectlocs="0,-176;2338,-176;2338,-488;0,-488;0,-176" o:connectangles="0,0,0,0,0"/>
                  </v:shape>
                </v:group>
                <v:group id="Group 21" o:spid="_x0000_s1033" style="position:absolute;left:8441;top:-488;width:2786;height:312" coordorigin="8441,-488" coordsize="2786,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22" o:spid="_x0000_s1034" style="position:absolute;left:8441;top:-488;width:2786;height:312;visibility:visible;mso-wrap-style:square;v-text-anchor:top" coordsize="2786,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MNp8UA&#10;AADbAAAADwAAAGRycy9kb3ducmV2LnhtbESPT2sCMRTE74LfITyhF6lZLayyNStaEOytWkF6e928&#10;/cNuXrZJqttv3xSEHoeZ+Q2z3gymE1dyvrGsYD5LQBAXVjdcKTi/7x9XIHxA1thZJgU/5GGTj0dr&#10;zLS98ZGup1CJCGGfoYI6hD6T0hc1GfQz2xNHr7TOYIjSVVI7vEW46eQiSVJpsOG4UGNPLzUV7enb&#10;KGjNeff51ZTz0k2Xl7cP5MPy9Umph8mwfQYRaAj/4Xv7oBWkKfx9iT9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Aw2nxQAAANsAAAAPAAAAAAAAAAAAAAAAAJgCAABkcnMv&#10;ZG93bnJldi54bWxQSwUGAAAAAAQABAD1AAAAigMAAAAA&#10;" path="m,312r2786,l2786,,,,,312e" stroked="f">
                    <v:path arrowok="t" o:connecttype="custom" o:connectlocs="0,-176;2786,-176;2786,-488;0,-488;0,-176" o:connectangles="0,0,0,0,0"/>
                  </v:shape>
                </v:group>
                <v:group id="Group 23" o:spid="_x0000_s1035" style="position:absolute;left:6161;top:-745;width:2249;height:223" coordorigin="6161,-745" coordsize="2249,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24" o:spid="_x0000_s1036" style="position:absolute;left:6161;top:-745;width:2249;height:223;visibility:visible;mso-wrap-style:square;v-text-anchor:top" coordsize="2249,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oAHsAA&#10;AADbAAAADwAAAGRycy9kb3ducmV2LnhtbERPTYvCMBC9C/6HMMLeNNWFotUoi+AqiIjdLl6HZmzL&#10;NpPSZG399+YgeHy879WmN7W4U+sqywqmkwgEcW51xYWC7Gc3noNwHlljbZkUPMjBZj0crDDRtuML&#10;3VNfiBDCLkEFpfdNIqXLSzLoJrYhDtzNtgZ9gG0hdYtdCDe1nEVRLA1WHBpKbGhbUv6X/hsFi9Pv&#10;4bY/xzr95vTzaLDI9tdOqY9R/7UE4an3b/HLfdAK4jA2fAk/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ioAHsAAAADbAAAADwAAAAAAAAAAAAAAAACYAgAAZHJzL2Rvd25y&#10;ZXYueG1sUEsFBgAAAAAEAAQA9QAAAIUDAAAAAA==&#10;" path="m,224r2249,l2249,,,,,224e" stroked="f">
                    <v:path arrowok="t" o:connecttype="custom" o:connectlocs="0,-521;2249,-521;2249,-745;0,-745;0,-521" o:connectangles="0,0,0,0,0"/>
                  </v:shape>
                </v:group>
                <w10:wrap anchorx="page"/>
              </v:group>
            </w:pict>
          </mc:Fallback>
        </mc:AlternateContent>
      </w:r>
      <w:r w:rsidRPr="006312E8">
        <w:rPr>
          <w:rFonts w:ascii="Arial Narrow" w:eastAsia="Calibri" w:hAnsi="Arial Narrow" w:cs="Arial Narrow"/>
          <w:b/>
          <w:spacing w:val="-1"/>
          <w:sz w:val="16"/>
          <w:szCs w:val="16"/>
          <w:lang w:val="es-ES"/>
        </w:rPr>
        <w:t>Bienes Estatales</w:t>
      </w:r>
    </w:p>
    <w:p w:rsidR="006312E8" w:rsidRPr="006312E8" w:rsidRDefault="006312E8" w:rsidP="006312E8">
      <w:pPr>
        <w:tabs>
          <w:tab w:val="left" w:pos="620"/>
        </w:tabs>
        <w:spacing w:before="37" w:after="0" w:line="240" w:lineRule="auto"/>
        <w:ind w:right="-20"/>
        <w:rPr>
          <w:rFonts w:ascii="Arial Narrow" w:eastAsia="Calibri" w:hAnsi="Arial Narrow" w:cs="Arial"/>
          <w:b/>
          <w:sz w:val="20"/>
          <w:szCs w:val="20"/>
        </w:rPr>
      </w:pPr>
    </w:p>
    <w:p w:rsidR="006312E8" w:rsidRPr="006312E8" w:rsidRDefault="006312E8" w:rsidP="006312E8">
      <w:pPr>
        <w:tabs>
          <w:tab w:val="left" w:pos="620"/>
        </w:tabs>
        <w:spacing w:before="37" w:after="0" w:line="240" w:lineRule="auto"/>
        <w:ind w:right="-20"/>
        <w:rPr>
          <w:rFonts w:ascii="Arial Narrow" w:eastAsia="Calibri" w:hAnsi="Arial Narrow" w:cs="Arial"/>
          <w:b/>
          <w:sz w:val="18"/>
          <w:szCs w:val="18"/>
        </w:rPr>
      </w:pPr>
      <w:r w:rsidRPr="006312E8">
        <w:rPr>
          <w:rFonts w:ascii="Arial Narrow" w:eastAsia="Calibri" w:hAnsi="Arial Narrow" w:cs="Arial"/>
          <w:b/>
          <w:sz w:val="18"/>
          <w:szCs w:val="18"/>
        </w:rPr>
        <w:t>1</w:t>
      </w:r>
      <w:r w:rsidRPr="006312E8">
        <w:rPr>
          <w:rFonts w:ascii="Arial Narrow" w:eastAsia="Calibri" w:hAnsi="Arial Narrow" w:cs="Arial"/>
          <w:b/>
          <w:spacing w:val="1"/>
          <w:sz w:val="18"/>
          <w:szCs w:val="18"/>
        </w:rPr>
        <w:t>.</w:t>
      </w:r>
      <w:r w:rsidRPr="006312E8">
        <w:rPr>
          <w:rFonts w:ascii="Arial Narrow" w:eastAsia="Calibri" w:hAnsi="Arial Narrow" w:cs="Arial"/>
          <w:b/>
          <w:sz w:val="18"/>
          <w:szCs w:val="18"/>
        </w:rPr>
        <w:t>-  DATOS DEL TRÁMITE: ACTO O PROCEDIMIENTO</w:t>
      </w:r>
      <w:r w:rsidRPr="006312E8">
        <w:rPr>
          <w:rFonts w:ascii="Arial Narrow" w:eastAsia="Calibri" w:hAnsi="Arial Narrow" w:cs="Arial"/>
          <w:b/>
          <w:sz w:val="18"/>
          <w:szCs w:val="18"/>
        </w:rPr>
        <w:tab/>
      </w:r>
    </w:p>
    <w:p w:rsidR="006312E8" w:rsidRPr="006312E8" w:rsidRDefault="006312E8" w:rsidP="006312E8">
      <w:pPr>
        <w:tabs>
          <w:tab w:val="left" w:pos="620"/>
        </w:tabs>
        <w:spacing w:before="37" w:after="0" w:line="240" w:lineRule="auto"/>
        <w:ind w:left="115" w:right="-20"/>
        <w:rPr>
          <w:rFonts w:ascii="Arial Narrow" w:eastAsia="Calibri" w:hAnsi="Arial Narrow" w:cs="Arial"/>
          <w:b/>
          <w:sz w:val="18"/>
          <w:szCs w:val="18"/>
        </w:rPr>
      </w:pPr>
    </w:p>
    <w:p w:rsidR="006312E8" w:rsidRPr="006312E8" w:rsidRDefault="006312E8" w:rsidP="0092471C">
      <w:pPr>
        <w:numPr>
          <w:ilvl w:val="1"/>
          <w:numId w:val="153"/>
        </w:numPr>
        <w:tabs>
          <w:tab w:val="left" w:pos="620"/>
        </w:tabs>
        <w:spacing w:before="37" w:after="0" w:line="240" w:lineRule="auto"/>
        <w:ind w:right="-20"/>
        <w:contextualSpacing/>
        <w:rPr>
          <w:rFonts w:ascii="Arial Narrow" w:eastAsia="Times New Roman" w:hAnsi="Arial Narrow" w:cs="Arial"/>
          <w:b/>
          <w:sz w:val="16"/>
          <w:szCs w:val="16"/>
        </w:rPr>
      </w:pPr>
      <w:r w:rsidRPr="006312E8">
        <w:rPr>
          <w:rFonts w:ascii="Arial Narrow" w:eastAsia="Times New Roman" w:hAnsi="Arial Narrow" w:cs="Arial"/>
          <w:b/>
          <w:sz w:val="16"/>
          <w:szCs w:val="16"/>
        </w:rPr>
        <w:t>D</w:t>
      </w:r>
      <w:r w:rsidRPr="006312E8">
        <w:rPr>
          <w:rFonts w:ascii="Arial Narrow" w:eastAsia="Times New Roman" w:hAnsi="Arial Narrow" w:cs="Arial"/>
          <w:b/>
          <w:spacing w:val="-17"/>
          <w:sz w:val="16"/>
          <w:szCs w:val="16"/>
        </w:rPr>
        <w:t>A</w:t>
      </w:r>
      <w:r w:rsidRPr="006312E8">
        <w:rPr>
          <w:rFonts w:ascii="Arial Narrow" w:eastAsia="Times New Roman" w:hAnsi="Arial Narrow" w:cs="Arial"/>
          <w:b/>
          <w:spacing w:val="-2"/>
          <w:sz w:val="16"/>
          <w:szCs w:val="16"/>
        </w:rPr>
        <w:t>T</w:t>
      </w:r>
      <w:r w:rsidRPr="006312E8">
        <w:rPr>
          <w:rFonts w:ascii="Arial Narrow" w:eastAsia="Times New Roman" w:hAnsi="Arial Narrow" w:cs="Arial"/>
          <w:b/>
          <w:spacing w:val="-1"/>
          <w:sz w:val="16"/>
          <w:szCs w:val="16"/>
        </w:rPr>
        <w:t>O</w:t>
      </w:r>
      <w:r w:rsidRPr="006312E8">
        <w:rPr>
          <w:rFonts w:ascii="Arial Narrow" w:eastAsia="Times New Roman" w:hAnsi="Arial Narrow" w:cs="Arial"/>
          <w:b/>
          <w:sz w:val="16"/>
          <w:szCs w:val="16"/>
        </w:rPr>
        <w:t>S</w:t>
      </w:r>
      <w:r w:rsidRPr="006312E8">
        <w:rPr>
          <w:rFonts w:ascii="Arial Narrow" w:eastAsia="Times New Roman" w:hAnsi="Arial Narrow" w:cs="Arial"/>
          <w:b/>
          <w:spacing w:val="6"/>
          <w:sz w:val="16"/>
          <w:szCs w:val="16"/>
        </w:rPr>
        <w:t xml:space="preserve"> </w:t>
      </w:r>
      <w:r w:rsidRPr="006312E8">
        <w:rPr>
          <w:rFonts w:ascii="Arial Narrow" w:eastAsia="Times New Roman" w:hAnsi="Arial Narrow" w:cs="Arial"/>
          <w:b/>
          <w:sz w:val="16"/>
          <w:szCs w:val="16"/>
        </w:rPr>
        <w:t>DEL</w:t>
      </w:r>
      <w:r w:rsidRPr="006312E8">
        <w:rPr>
          <w:rFonts w:ascii="Arial Narrow" w:eastAsia="Times New Roman" w:hAnsi="Arial Narrow" w:cs="Arial"/>
          <w:b/>
          <w:spacing w:val="6"/>
          <w:sz w:val="16"/>
          <w:szCs w:val="16"/>
        </w:rPr>
        <w:t xml:space="preserve"> </w:t>
      </w:r>
      <w:r w:rsidRPr="006312E8">
        <w:rPr>
          <w:rFonts w:ascii="Arial Narrow" w:eastAsia="Times New Roman" w:hAnsi="Arial Narrow" w:cs="Arial"/>
          <w:b/>
          <w:sz w:val="16"/>
          <w:szCs w:val="16"/>
        </w:rPr>
        <w:t>EXPED</w:t>
      </w:r>
      <w:r w:rsidRPr="006312E8">
        <w:rPr>
          <w:rFonts w:ascii="Arial Narrow" w:eastAsia="Times New Roman" w:hAnsi="Arial Narrow" w:cs="Arial"/>
          <w:b/>
          <w:spacing w:val="1"/>
          <w:sz w:val="16"/>
          <w:szCs w:val="16"/>
        </w:rPr>
        <w:t>I</w:t>
      </w:r>
      <w:r w:rsidRPr="006312E8">
        <w:rPr>
          <w:rFonts w:ascii="Arial Narrow" w:eastAsia="Times New Roman" w:hAnsi="Arial Narrow" w:cs="Arial"/>
          <w:b/>
          <w:sz w:val="16"/>
          <w:szCs w:val="16"/>
        </w:rPr>
        <w:t>EN</w:t>
      </w:r>
      <w:r w:rsidRPr="006312E8">
        <w:rPr>
          <w:rFonts w:ascii="Arial Narrow" w:eastAsia="Times New Roman" w:hAnsi="Arial Narrow" w:cs="Arial"/>
          <w:b/>
          <w:spacing w:val="1"/>
          <w:sz w:val="16"/>
          <w:szCs w:val="16"/>
        </w:rPr>
        <w:t>T</w:t>
      </w:r>
      <w:r w:rsidRPr="006312E8">
        <w:rPr>
          <w:rFonts w:ascii="Arial Narrow" w:eastAsia="Times New Roman" w:hAnsi="Arial Narrow" w:cs="Arial"/>
          <w:b/>
          <w:sz w:val="16"/>
          <w:szCs w:val="16"/>
        </w:rPr>
        <w:t>E</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5"/>
        <w:gridCol w:w="7545"/>
      </w:tblGrid>
      <w:tr w:rsidR="006312E8" w:rsidRPr="006312E8" w:rsidTr="00D04998">
        <w:trPr>
          <w:trHeight w:val="111"/>
        </w:trPr>
        <w:tc>
          <w:tcPr>
            <w:tcW w:w="1298" w:type="pct"/>
            <w:vAlign w:val="center"/>
          </w:tcPr>
          <w:p w:rsidR="006312E8" w:rsidRPr="006312E8" w:rsidRDefault="006312E8" w:rsidP="006312E8">
            <w:pPr>
              <w:spacing w:before="3" w:after="0" w:line="240" w:lineRule="auto"/>
              <w:jc w:val="center"/>
              <w:rPr>
                <w:rFonts w:ascii="Arial Narrow" w:eastAsia="Calibri" w:hAnsi="Arial Narrow" w:cs="Arial Narrow"/>
                <w:b/>
                <w:spacing w:val="-1"/>
                <w:sz w:val="14"/>
                <w:szCs w:val="14"/>
              </w:rPr>
            </w:pPr>
            <w:r w:rsidRPr="006312E8">
              <w:rPr>
                <w:rFonts w:ascii="Arial Narrow" w:eastAsia="Calibri" w:hAnsi="Arial Narrow" w:cs="Arial Narrow"/>
                <w:b/>
                <w:spacing w:val="-1"/>
                <w:sz w:val="14"/>
                <w:szCs w:val="14"/>
              </w:rPr>
              <w:t xml:space="preserve">Nº  DE EXPEDIENTE </w:t>
            </w:r>
          </w:p>
        </w:tc>
        <w:tc>
          <w:tcPr>
            <w:tcW w:w="3702" w:type="pct"/>
            <w:vAlign w:val="center"/>
          </w:tcPr>
          <w:p w:rsidR="006312E8" w:rsidRPr="006312E8" w:rsidRDefault="006312E8" w:rsidP="006312E8">
            <w:pPr>
              <w:spacing w:before="3" w:after="0" w:line="240" w:lineRule="auto"/>
              <w:jc w:val="center"/>
              <w:rPr>
                <w:rFonts w:ascii="Arial Narrow" w:eastAsia="Calibri" w:hAnsi="Arial Narrow" w:cs="Arial Narrow"/>
                <w:b/>
                <w:spacing w:val="-1"/>
                <w:sz w:val="14"/>
                <w:szCs w:val="14"/>
              </w:rPr>
            </w:pPr>
            <w:r w:rsidRPr="006312E8">
              <w:rPr>
                <w:rFonts w:ascii="Arial Narrow" w:eastAsia="Calibri" w:hAnsi="Arial Narrow" w:cs="Arial Narrow"/>
                <w:b/>
                <w:spacing w:val="-1"/>
                <w:sz w:val="14"/>
                <w:szCs w:val="14"/>
              </w:rPr>
              <w:t>EXPEDIENTES RELACIONADOS</w:t>
            </w:r>
          </w:p>
        </w:tc>
      </w:tr>
      <w:tr w:rsidR="006312E8" w:rsidRPr="006312E8" w:rsidTr="00D04998">
        <w:trPr>
          <w:trHeight w:val="370"/>
        </w:trPr>
        <w:tc>
          <w:tcPr>
            <w:tcW w:w="1298" w:type="pct"/>
          </w:tcPr>
          <w:p w:rsidR="006312E8" w:rsidRPr="006312E8" w:rsidRDefault="006312E8" w:rsidP="006312E8">
            <w:pPr>
              <w:spacing w:before="3" w:after="0" w:line="240" w:lineRule="auto"/>
              <w:jc w:val="both"/>
              <w:rPr>
                <w:rFonts w:ascii="Arial" w:eastAsia="Calibri" w:hAnsi="Arial" w:cs="Arial"/>
                <w:sz w:val="18"/>
                <w:szCs w:val="18"/>
                <w:lang w:val="es-ES"/>
              </w:rPr>
            </w:pPr>
          </w:p>
        </w:tc>
        <w:tc>
          <w:tcPr>
            <w:tcW w:w="3702" w:type="pct"/>
          </w:tcPr>
          <w:p w:rsidR="006312E8" w:rsidRPr="006312E8" w:rsidRDefault="006312E8" w:rsidP="006312E8">
            <w:pPr>
              <w:spacing w:before="3" w:after="0" w:line="240" w:lineRule="auto"/>
              <w:jc w:val="both"/>
              <w:rPr>
                <w:rFonts w:ascii="Arial" w:eastAsia="Calibri" w:hAnsi="Arial" w:cs="Arial"/>
                <w:sz w:val="18"/>
                <w:szCs w:val="18"/>
                <w:lang w:val="es-ES"/>
              </w:rPr>
            </w:pPr>
          </w:p>
        </w:tc>
      </w:tr>
    </w:tbl>
    <w:p w:rsidR="006312E8" w:rsidRPr="006312E8" w:rsidRDefault="006312E8" w:rsidP="0092471C">
      <w:pPr>
        <w:numPr>
          <w:ilvl w:val="1"/>
          <w:numId w:val="153"/>
        </w:numPr>
        <w:tabs>
          <w:tab w:val="left" w:pos="620"/>
        </w:tabs>
        <w:spacing w:before="37" w:after="0" w:line="240" w:lineRule="auto"/>
        <w:ind w:right="-20"/>
        <w:contextualSpacing/>
        <w:rPr>
          <w:rFonts w:ascii="Arial Narrow" w:eastAsia="Times New Roman" w:hAnsi="Arial Narrow" w:cs="Arial"/>
          <w:b/>
          <w:sz w:val="16"/>
          <w:szCs w:val="16"/>
        </w:rPr>
      </w:pPr>
      <w:r w:rsidRPr="006312E8">
        <w:rPr>
          <w:rFonts w:ascii="Arial Narrow" w:eastAsia="Times New Roman" w:hAnsi="Arial Narrow" w:cs="Arial"/>
          <w:b/>
          <w:sz w:val="16"/>
          <w:szCs w:val="16"/>
        </w:rPr>
        <w:t xml:space="preserve">DATOS DE </w:t>
      </w:r>
      <w:smartTag w:uri="urn:schemas-microsoft-com:office:smarttags" w:element="PersonName">
        <w:smartTagPr>
          <w:attr w:name="ProductID" w:val="LA SOLICITUD"/>
        </w:smartTagPr>
        <w:r w:rsidRPr="006312E8">
          <w:rPr>
            <w:rFonts w:ascii="Arial Narrow" w:eastAsia="Times New Roman" w:hAnsi="Arial Narrow" w:cs="Arial"/>
            <w:b/>
            <w:sz w:val="16"/>
            <w:szCs w:val="16"/>
          </w:rPr>
          <w:t>LA SOLICITUD</w:t>
        </w:r>
      </w:smartTag>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1624"/>
        <w:gridCol w:w="644"/>
        <w:gridCol w:w="1932"/>
        <w:gridCol w:w="743"/>
        <w:gridCol w:w="444"/>
      </w:tblGrid>
      <w:tr w:rsidR="006312E8" w:rsidRPr="006312E8" w:rsidTr="00D04998">
        <w:trPr>
          <w:trHeight w:hRule="exact" w:val="460"/>
        </w:trPr>
        <w:tc>
          <w:tcPr>
            <w:tcW w:w="2093" w:type="dxa"/>
          </w:tcPr>
          <w:p w:rsidR="006312E8" w:rsidRPr="006312E8" w:rsidRDefault="006312E8" w:rsidP="006312E8">
            <w:pPr>
              <w:spacing w:before="3" w:after="0" w:line="240" w:lineRule="auto"/>
              <w:jc w:val="center"/>
              <w:rPr>
                <w:rFonts w:ascii="Arial Narrow" w:eastAsia="Calibri" w:hAnsi="Arial Narrow" w:cs="Arial Narrow"/>
                <w:b/>
                <w:spacing w:val="-1"/>
                <w:sz w:val="14"/>
                <w:szCs w:val="14"/>
              </w:rPr>
            </w:pPr>
            <w:r w:rsidRPr="006312E8">
              <w:rPr>
                <w:rFonts w:ascii="Arial Narrow" w:eastAsia="Calibri" w:hAnsi="Arial Narrow" w:cs="Arial Narrow"/>
                <w:b/>
                <w:spacing w:val="-1"/>
                <w:sz w:val="14"/>
                <w:szCs w:val="14"/>
              </w:rPr>
              <w:t>ÁREA SOLICITADA</w:t>
            </w:r>
          </w:p>
        </w:tc>
        <w:tc>
          <w:tcPr>
            <w:tcW w:w="4819" w:type="dxa"/>
            <w:gridSpan w:val="3"/>
          </w:tcPr>
          <w:p w:rsidR="006312E8" w:rsidRPr="006312E8" w:rsidRDefault="006312E8" w:rsidP="006312E8">
            <w:pPr>
              <w:spacing w:before="3" w:after="0" w:line="240" w:lineRule="auto"/>
              <w:ind w:left="782"/>
              <w:jc w:val="center"/>
              <w:rPr>
                <w:rFonts w:ascii="Arial Narrow" w:eastAsia="Calibri" w:hAnsi="Arial Narrow" w:cs="Arial Narrow"/>
                <w:b/>
                <w:spacing w:val="-1"/>
                <w:sz w:val="14"/>
                <w:szCs w:val="14"/>
              </w:rPr>
            </w:pPr>
            <w:r w:rsidRPr="006312E8">
              <w:rPr>
                <w:rFonts w:ascii="Arial Narrow" w:eastAsia="Calibri" w:hAnsi="Arial Narrow" w:cs="Arial Narrow"/>
                <w:b/>
                <w:spacing w:val="-1"/>
                <w:sz w:val="14"/>
                <w:szCs w:val="14"/>
              </w:rPr>
              <w:t xml:space="preserve">                                                          m² </w:t>
            </w:r>
          </w:p>
        </w:tc>
        <w:tc>
          <w:tcPr>
            <w:tcW w:w="3119" w:type="dxa"/>
            <w:gridSpan w:val="3"/>
          </w:tcPr>
          <w:p w:rsidR="006312E8" w:rsidRPr="006312E8" w:rsidRDefault="006312E8" w:rsidP="006312E8">
            <w:pPr>
              <w:spacing w:before="3" w:after="0" w:line="240" w:lineRule="auto"/>
              <w:jc w:val="center"/>
              <w:rPr>
                <w:rFonts w:ascii="Arial Narrow" w:eastAsia="Calibri" w:hAnsi="Arial Narrow" w:cs="Arial Narrow"/>
                <w:b/>
                <w:spacing w:val="-1"/>
                <w:sz w:val="14"/>
                <w:szCs w:val="14"/>
              </w:rPr>
            </w:pPr>
            <w:r w:rsidRPr="006312E8">
              <w:rPr>
                <w:rFonts w:ascii="Arial Narrow" w:eastAsia="Calibri" w:hAnsi="Arial Narrow" w:cs="Arial Narrow"/>
                <w:spacing w:val="-1"/>
                <w:sz w:val="14"/>
                <w:szCs w:val="14"/>
              </w:rPr>
              <w:t xml:space="preserve">                                                                                             </w:t>
            </w:r>
            <w:r w:rsidRPr="006312E8">
              <w:rPr>
                <w:rFonts w:ascii="Arial Narrow" w:eastAsia="Calibri" w:hAnsi="Arial Narrow" w:cs="Arial Narrow"/>
                <w:b/>
                <w:spacing w:val="-1"/>
                <w:sz w:val="14"/>
                <w:szCs w:val="14"/>
              </w:rPr>
              <w:t xml:space="preserve">Has.                                                                                                                             </w:t>
            </w:r>
          </w:p>
        </w:tc>
      </w:tr>
      <w:tr w:rsidR="006312E8" w:rsidRPr="006312E8" w:rsidTr="00D04998">
        <w:trPr>
          <w:trHeight w:hRule="exact" w:val="521"/>
        </w:trPr>
        <w:tc>
          <w:tcPr>
            <w:tcW w:w="2093" w:type="dxa"/>
          </w:tcPr>
          <w:p w:rsidR="006312E8" w:rsidRPr="006312E8" w:rsidRDefault="006312E8" w:rsidP="006312E8">
            <w:pPr>
              <w:spacing w:before="3" w:after="0" w:line="240" w:lineRule="auto"/>
              <w:jc w:val="center"/>
              <w:rPr>
                <w:rFonts w:ascii="Arial Narrow" w:eastAsia="Calibri" w:hAnsi="Arial Narrow" w:cs="Arial Narrow"/>
                <w:b/>
                <w:spacing w:val="-1"/>
                <w:sz w:val="14"/>
                <w:szCs w:val="14"/>
              </w:rPr>
            </w:pPr>
            <w:r w:rsidRPr="006312E8">
              <w:rPr>
                <w:rFonts w:ascii="Arial Narrow" w:eastAsia="Calibri" w:hAnsi="Arial Narrow" w:cs="Arial Narrow"/>
                <w:b/>
                <w:spacing w:val="-1"/>
                <w:sz w:val="14"/>
                <w:szCs w:val="14"/>
              </w:rPr>
              <w:t xml:space="preserve">ACTO  o  PROCEDIMIENTO  </w:t>
            </w:r>
          </w:p>
          <w:p w:rsidR="006312E8" w:rsidRPr="006312E8" w:rsidRDefault="006312E8" w:rsidP="006312E8">
            <w:pPr>
              <w:spacing w:before="3" w:after="0" w:line="240" w:lineRule="auto"/>
              <w:jc w:val="center"/>
              <w:rPr>
                <w:rFonts w:ascii="Arial Narrow" w:eastAsia="Calibri" w:hAnsi="Arial Narrow" w:cs="Arial Narrow"/>
                <w:b/>
                <w:spacing w:val="-1"/>
                <w:sz w:val="14"/>
                <w:szCs w:val="14"/>
              </w:rPr>
            </w:pPr>
          </w:p>
          <w:p w:rsidR="006312E8" w:rsidRPr="006312E8" w:rsidRDefault="006312E8" w:rsidP="006312E8">
            <w:pPr>
              <w:spacing w:before="3" w:after="0" w:line="240" w:lineRule="auto"/>
              <w:jc w:val="center"/>
              <w:rPr>
                <w:rFonts w:ascii="Arial Narrow" w:eastAsia="Calibri" w:hAnsi="Arial Narrow" w:cs="Arial Narrow"/>
                <w:b/>
                <w:spacing w:val="-1"/>
                <w:sz w:val="14"/>
                <w:szCs w:val="14"/>
              </w:rPr>
            </w:pPr>
          </w:p>
        </w:tc>
        <w:tc>
          <w:tcPr>
            <w:tcW w:w="7938" w:type="dxa"/>
            <w:gridSpan w:val="6"/>
          </w:tcPr>
          <w:p w:rsidR="006312E8" w:rsidRPr="006312E8" w:rsidRDefault="006312E8" w:rsidP="006312E8">
            <w:pPr>
              <w:spacing w:before="3" w:after="0" w:line="240" w:lineRule="auto"/>
              <w:ind w:left="72"/>
              <w:jc w:val="center"/>
              <w:rPr>
                <w:rFonts w:ascii="Arial Narrow" w:eastAsia="Calibri" w:hAnsi="Arial Narrow" w:cs="Arial Narrow"/>
                <w:spacing w:val="-1"/>
                <w:sz w:val="14"/>
                <w:szCs w:val="14"/>
              </w:rPr>
            </w:pPr>
          </w:p>
        </w:tc>
      </w:tr>
      <w:tr w:rsidR="006312E8" w:rsidRPr="006312E8" w:rsidTr="00D04998">
        <w:trPr>
          <w:trHeight w:hRule="exact" w:val="519"/>
        </w:trPr>
        <w:tc>
          <w:tcPr>
            <w:tcW w:w="2093" w:type="dxa"/>
          </w:tcPr>
          <w:p w:rsidR="006312E8" w:rsidRPr="006312E8" w:rsidRDefault="006312E8" w:rsidP="006312E8">
            <w:pPr>
              <w:spacing w:before="3" w:after="0" w:line="240" w:lineRule="auto"/>
              <w:jc w:val="center"/>
              <w:rPr>
                <w:rFonts w:ascii="Arial Narrow" w:eastAsia="Calibri" w:hAnsi="Arial Narrow" w:cs="Arial Narrow"/>
                <w:b/>
                <w:spacing w:val="-1"/>
                <w:sz w:val="14"/>
                <w:szCs w:val="14"/>
              </w:rPr>
            </w:pPr>
            <w:r w:rsidRPr="006312E8">
              <w:rPr>
                <w:rFonts w:ascii="Arial Narrow" w:eastAsia="Calibri" w:hAnsi="Arial Narrow" w:cs="Arial Narrow"/>
                <w:b/>
                <w:spacing w:val="-1"/>
                <w:sz w:val="14"/>
                <w:szCs w:val="14"/>
              </w:rPr>
              <w:t>DISPOSITIVO LEGAL</w:t>
            </w:r>
          </w:p>
        </w:tc>
        <w:tc>
          <w:tcPr>
            <w:tcW w:w="4175" w:type="dxa"/>
            <w:gridSpan w:val="2"/>
          </w:tcPr>
          <w:p w:rsidR="006312E8" w:rsidRPr="006312E8" w:rsidRDefault="006312E8" w:rsidP="006312E8">
            <w:pPr>
              <w:spacing w:before="3" w:after="0" w:line="240" w:lineRule="auto"/>
              <w:jc w:val="center"/>
              <w:rPr>
                <w:rFonts w:ascii="Arial Narrow" w:eastAsia="Calibri" w:hAnsi="Arial Narrow" w:cs="Arial Narrow"/>
                <w:spacing w:val="-1"/>
                <w:sz w:val="14"/>
                <w:szCs w:val="14"/>
              </w:rPr>
            </w:pPr>
          </w:p>
        </w:tc>
        <w:tc>
          <w:tcPr>
            <w:tcW w:w="644" w:type="dxa"/>
          </w:tcPr>
          <w:p w:rsidR="006312E8" w:rsidRPr="006312E8" w:rsidRDefault="006312E8" w:rsidP="006312E8">
            <w:pPr>
              <w:spacing w:before="3" w:after="0" w:line="240" w:lineRule="auto"/>
              <w:jc w:val="center"/>
              <w:rPr>
                <w:rFonts w:ascii="Arial Narrow" w:eastAsia="Calibri" w:hAnsi="Arial Narrow" w:cs="Arial Narrow"/>
                <w:b/>
                <w:spacing w:val="-1"/>
                <w:sz w:val="14"/>
                <w:szCs w:val="14"/>
              </w:rPr>
            </w:pPr>
            <w:r w:rsidRPr="006312E8">
              <w:rPr>
                <w:rFonts w:ascii="Arial Narrow" w:eastAsia="Calibri" w:hAnsi="Arial Narrow" w:cs="Arial Narrow"/>
                <w:b/>
                <w:spacing w:val="-1"/>
                <w:sz w:val="14"/>
                <w:szCs w:val="14"/>
              </w:rPr>
              <w:t>Nro.</w:t>
            </w:r>
          </w:p>
        </w:tc>
        <w:tc>
          <w:tcPr>
            <w:tcW w:w="1932" w:type="dxa"/>
          </w:tcPr>
          <w:p w:rsidR="006312E8" w:rsidRPr="006312E8" w:rsidRDefault="006312E8" w:rsidP="006312E8">
            <w:pPr>
              <w:spacing w:before="3" w:after="0" w:line="240" w:lineRule="auto"/>
              <w:jc w:val="center"/>
              <w:rPr>
                <w:rFonts w:ascii="Arial Narrow" w:eastAsia="Calibri" w:hAnsi="Arial Narrow" w:cs="Arial Narrow"/>
                <w:b/>
                <w:spacing w:val="-1"/>
                <w:sz w:val="14"/>
                <w:szCs w:val="14"/>
              </w:rPr>
            </w:pPr>
          </w:p>
        </w:tc>
        <w:tc>
          <w:tcPr>
            <w:tcW w:w="743" w:type="dxa"/>
          </w:tcPr>
          <w:p w:rsidR="006312E8" w:rsidRPr="006312E8" w:rsidRDefault="006312E8" w:rsidP="006312E8">
            <w:pPr>
              <w:spacing w:before="3" w:after="0" w:line="240" w:lineRule="auto"/>
              <w:jc w:val="center"/>
              <w:rPr>
                <w:rFonts w:ascii="Arial Narrow" w:eastAsia="Calibri" w:hAnsi="Arial Narrow" w:cs="Arial Narrow"/>
                <w:b/>
                <w:spacing w:val="-1"/>
                <w:sz w:val="14"/>
                <w:szCs w:val="14"/>
              </w:rPr>
            </w:pPr>
            <w:r w:rsidRPr="006312E8">
              <w:rPr>
                <w:rFonts w:ascii="Arial Narrow" w:eastAsia="Calibri" w:hAnsi="Arial Narrow" w:cs="Arial Narrow"/>
                <w:b/>
                <w:spacing w:val="-1"/>
                <w:sz w:val="14"/>
                <w:szCs w:val="14"/>
              </w:rPr>
              <w:t>FECHA</w:t>
            </w:r>
          </w:p>
        </w:tc>
        <w:tc>
          <w:tcPr>
            <w:tcW w:w="444" w:type="dxa"/>
          </w:tcPr>
          <w:p w:rsidR="006312E8" w:rsidRPr="006312E8" w:rsidRDefault="006312E8" w:rsidP="006312E8">
            <w:pPr>
              <w:spacing w:before="3" w:after="0" w:line="240" w:lineRule="auto"/>
              <w:jc w:val="center"/>
              <w:rPr>
                <w:rFonts w:ascii="Arial Narrow" w:eastAsia="Calibri" w:hAnsi="Arial Narrow" w:cs="Arial Narrow"/>
                <w:b/>
                <w:spacing w:val="-1"/>
                <w:sz w:val="14"/>
                <w:szCs w:val="14"/>
              </w:rPr>
            </w:pPr>
          </w:p>
        </w:tc>
      </w:tr>
      <w:tr w:rsidR="006312E8" w:rsidRPr="006312E8" w:rsidTr="00D04998">
        <w:trPr>
          <w:trHeight w:hRule="exact" w:val="469"/>
        </w:trPr>
        <w:tc>
          <w:tcPr>
            <w:tcW w:w="2093" w:type="dxa"/>
          </w:tcPr>
          <w:p w:rsidR="006312E8" w:rsidRPr="006312E8" w:rsidRDefault="006312E8" w:rsidP="006312E8">
            <w:pPr>
              <w:spacing w:before="3" w:after="0" w:line="240" w:lineRule="auto"/>
              <w:jc w:val="center"/>
              <w:rPr>
                <w:rFonts w:ascii="Arial Narrow" w:eastAsia="Calibri" w:hAnsi="Arial Narrow" w:cs="Arial Narrow"/>
                <w:b/>
                <w:spacing w:val="-1"/>
                <w:sz w:val="14"/>
                <w:szCs w:val="14"/>
              </w:rPr>
            </w:pPr>
            <w:r w:rsidRPr="006312E8">
              <w:rPr>
                <w:rFonts w:ascii="Arial Narrow" w:eastAsia="Calibri" w:hAnsi="Arial Narrow" w:cs="Arial Narrow"/>
                <w:b/>
                <w:spacing w:val="-1"/>
                <w:sz w:val="14"/>
                <w:szCs w:val="14"/>
              </w:rPr>
              <w:t>FINALIDAD GENÉRICA.</w:t>
            </w:r>
          </w:p>
        </w:tc>
        <w:tc>
          <w:tcPr>
            <w:tcW w:w="2551" w:type="dxa"/>
          </w:tcPr>
          <w:p w:rsidR="006312E8" w:rsidRPr="006312E8" w:rsidRDefault="006312E8" w:rsidP="006312E8">
            <w:pPr>
              <w:spacing w:before="3" w:after="0" w:line="240" w:lineRule="auto"/>
              <w:jc w:val="center"/>
              <w:rPr>
                <w:rFonts w:ascii="Arial Narrow" w:eastAsia="Calibri" w:hAnsi="Arial Narrow" w:cs="Arial Narrow"/>
                <w:spacing w:val="-1"/>
                <w:sz w:val="14"/>
                <w:szCs w:val="14"/>
              </w:rPr>
            </w:pPr>
          </w:p>
        </w:tc>
        <w:tc>
          <w:tcPr>
            <w:tcW w:w="2268" w:type="dxa"/>
            <w:gridSpan w:val="2"/>
          </w:tcPr>
          <w:p w:rsidR="006312E8" w:rsidRPr="006312E8" w:rsidRDefault="006312E8" w:rsidP="006312E8">
            <w:pPr>
              <w:spacing w:before="3" w:after="0" w:line="240" w:lineRule="auto"/>
              <w:ind w:left="144"/>
              <w:jc w:val="center"/>
              <w:rPr>
                <w:rFonts w:ascii="Arial Narrow" w:eastAsia="Calibri" w:hAnsi="Arial Narrow" w:cs="Arial Narrow"/>
                <w:b/>
                <w:spacing w:val="-1"/>
                <w:sz w:val="14"/>
                <w:szCs w:val="14"/>
              </w:rPr>
            </w:pPr>
            <w:r w:rsidRPr="006312E8">
              <w:rPr>
                <w:rFonts w:ascii="Arial Narrow" w:eastAsia="Calibri" w:hAnsi="Arial Narrow" w:cs="Arial Narrow"/>
                <w:b/>
                <w:spacing w:val="-1"/>
                <w:sz w:val="14"/>
                <w:szCs w:val="14"/>
              </w:rPr>
              <w:t>FINALIDAD ESPECÍFICA</w:t>
            </w:r>
          </w:p>
        </w:tc>
        <w:tc>
          <w:tcPr>
            <w:tcW w:w="3119" w:type="dxa"/>
            <w:gridSpan w:val="3"/>
          </w:tcPr>
          <w:p w:rsidR="006312E8" w:rsidRPr="006312E8" w:rsidRDefault="006312E8" w:rsidP="006312E8">
            <w:pPr>
              <w:spacing w:before="3" w:after="0" w:line="240" w:lineRule="auto"/>
              <w:jc w:val="center"/>
              <w:rPr>
                <w:rFonts w:ascii="Arial Narrow" w:eastAsia="Calibri" w:hAnsi="Arial Narrow" w:cs="Arial Narrow"/>
                <w:b/>
                <w:spacing w:val="-1"/>
                <w:sz w:val="14"/>
                <w:szCs w:val="14"/>
              </w:rPr>
            </w:pPr>
          </w:p>
        </w:tc>
      </w:tr>
    </w:tbl>
    <w:p w:rsidR="006312E8" w:rsidRPr="006312E8" w:rsidRDefault="006312E8" w:rsidP="0092471C">
      <w:pPr>
        <w:numPr>
          <w:ilvl w:val="1"/>
          <w:numId w:val="153"/>
        </w:numPr>
        <w:tabs>
          <w:tab w:val="left" w:pos="620"/>
        </w:tabs>
        <w:spacing w:before="37" w:after="0" w:line="240" w:lineRule="auto"/>
        <w:ind w:right="-20"/>
        <w:contextualSpacing/>
        <w:rPr>
          <w:rFonts w:ascii="Arial Narrow" w:eastAsia="Times New Roman" w:hAnsi="Arial Narrow" w:cs="Arial"/>
          <w:b/>
          <w:sz w:val="16"/>
          <w:szCs w:val="16"/>
        </w:rPr>
      </w:pPr>
      <w:r w:rsidRPr="006312E8">
        <w:rPr>
          <w:rFonts w:ascii="Arial Narrow" w:eastAsia="Times New Roman" w:hAnsi="Arial Narrow" w:cs="Arial"/>
          <w:b/>
          <w:sz w:val="16"/>
          <w:szCs w:val="16"/>
        </w:rPr>
        <w:t xml:space="preserve">DATOS DEL SOLICITANTE (ADMINISTRADO)  </w:t>
      </w:r>
    </w:p>
    <w:p w:rsidR="006312E8" w:rsidRPr="006312E8" w:rsidRDefault="006312E8" w:rsidP="006312E8">
      <w:pPr>
        <w:spacing w:before="69" w:after="0" w:line="240" w:lineRule="auto"/>
        <w:ind w:right="-20"/>
        <w:jc w:val="both"/>
        <w:outlineLvl w:val="0"/>
        <w:rPr>
          <w:rFonts w:ascii="Arial Narrow" w:eastAsia="Calibri" w:hAnsi="Arial Narrow" w:cs="Arial"/>
          <w:b/>
          <w:sz w:val="14"/>
          <w:szCs w:val="14"/>
          <w:lang w:val="es-ES"/>
        </w:rPr>
      </w:pPr>
      <w:r w:rsidRPr="006312E8">
        <w:rPr>
          <w:rFonts w:ascii="Arial Narrow" w:eastAsia="Calibri" w:hAnsi="Arial Narrow" w:cs="Arial"/>
          <w:b/>
          <w:sz w:val="14"/>
          <w:szCs w:val="14"/>
          <w:lang w:val="es-ES"/>
        </w:rPr>
        <w:t xml:space="preserve">PERSONA NATURAL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2"/>
        <w:gridCol w:w="5628"/>
        <w:gridCol w:w="542"/>
        <w:gridCol w:w="1764"/>
      </w:tblGrid>
      <w:tr w:rsidR="006312E8" w:rsidRPr="006312E8" w:rsidTr="00D04998">
        <w:trPr>
          <w:trHeight w:val="387"/>
        </w:trPr>
        <w:tc>
          <w:tcPr>
            <w:tcW w:w="1109" w:type="pct"/>
          </w:tcPr>
          <w:p w:rsidR="006312E8" w:rsidRPr="006312E8" w:rsidRDefault="006312E8" w:rsidP="006312E8">
            <w:pPr>
              <w:spacing w:before="69" w:after="0" w:line="240" w:lineRule="auto"/>
              <w:ind w:right="-20"/>
              <w:jc w:val="both"/>
              <w:rPr>
                <w:rFonts w:ascii="Arial Narrow" w:eastAsia="Calibri" w:hAnsi="Arial Narrow" w:cs="Arial"/>
                <w:b/>
                <w:sz w:val="14"/>
                <w:szCs w:val="14"/>
                <w:lang w:val="es-ES"/>
              </w:rPr>
            </w:pPr>
            <w:r w:rsidRPr="006312E8">
              <w:rPr>
                <w:rFonts w:ascii="Arial Narrow" w:eastAsia="Calibri" w:hAnsi="Arial Narrow" w:cs="Arial"/>
                <w:b/>
                <w:sz w:val="14"/>
                <w:szCs w:val="14"/>
                <w:lang w:val="es-ES"/>
              </w:rPr>
              <w:t>NOMBRES Y APELLIDOS:</w:t>
            </w:r>
          </w:p>
        </w:tc>
        <w:tc>
          <w:tcPr>
            <w:tcW w:w="2760" w:type="pct"/>
          </w:tcPr>
          <w:p w:rsidR="006312E8" w:rsidRPr="006312E8" w:rsidRDefault="006312E8" w:rsidP="006312E8">
            <w:pPr>
              <w:spacing w:before="69" w:after="0" w:line="240" w:lineRule="auto"/>
              <w:ind w:right="-20"/>
              <w:jc w:val="both"/>
              <w:rPr>
                <w:rFonts w:ascii="Arial Narrow" w:eastAsia="Calibri" w:hAnsi="Arial Narrow" w:cs="Arial"/>
                <w:b/>
                <w:sz w:val="14"/>
                <w:szCs w:val="14"/>
                <w:lang w:val="es-ES"/>
              </w:rPr>
            </w:pPr>
          </w:p>
        </w:tc>
        <w:tc>
          <w:tcPr>
            <w:tcW w:w="266" w:type="pct"/>
          </w:tcPr>
          <w:p w:rsidR="006312E8" w:rsidRPr="006312E8" w:rsidRDefault="006312E8" w:rsidP="006312E8">
            <w:pPr>
              <w:spacing w:before="69" w:after="0" w:line="240" w:lineRule="auto"/>
              <w:ind w:right="-20"/>
              <w:jc w:val="both"/>
              <w:rPr>
                <w:rFonts w:ascii="Arial Narrow" w:eastAsia="Calibri" w:hAnsi="Arial Narrow" w:cs="Arial"/>
                <w:b/>
                <w:sz w:val="14"/>
                <w:szCs w:val="14"/>
                <w:lang w:val="es-ES"/>
              </w:rPr>
            </w:pPr>
            <w:r w:rsidRPr="006312E8">
              <w:rPr>
                <w:rFonts w:ascii="Arial Narrow" w:eastAsia="Calibri" w:hAnsi="Arial Narrow" w:cs="Arial"/>
                <w:b/>
                <w:sz w:val="14"/>
                <w:szCs w:val="14"/>
                <w:lang w:val="es-ES"/>
              </w:rPr>
              <w:t>DNI:</w:t>
            </w:r>
          </w:p>
        </w:tc>
        <w:tc>
          <w:tcPr>
            <w:tcW w:w="865" w:type="pct"/>
          </w:tcPr>
          <w:p w:rsidR="006312E8" w:rsidRPr="006312E8" w:rsidRDefault="006312E8" w:rsidP="006312E8">
            <w:pPr>
              <w:spacing w:before="69" w:after="0" w:line="240" w:lineRule="auto"/>
              <w:ind w:right="-20"/>
              <w:jc w:val="both"/>
              <w:rPr>
                <w:rFonts w:ascii="Arial Narrow" w:eastAsia="Calibri" w:hAnsi="Arial Narrow" w:cs="Arial"/>
                <w:b/>
                <w:sz w:val="14"/>
                <w:szCs w:val="14"/>
                <w:lang w:val="es-ES"/>
              </w:rPr>
            </w:pPr>
          </w:p>
        </w:tc>
      </w:tr>
    </w:tbl>
    <w:p w:rsidR="006312E8" w:rsidRPr="006312E8" w:rsidRDefault="006312E8" w:rsidP="006312E8">
      <w:pPr>
        <w:spacing w:before="69" w:after="0" w:line="240" w:lineRule="auto"/>
        <w:ind w:right="-20"/>
        <w:jc w:val="both"/>
        <w:outlineLvl w:val="0"/>
        <w:rPr>
          <w:rFonts w:ascii="Arial Narrow" w:eastAsia="Calibri" w:hAnsi="Arial Narrow" w:cs="Arial"/>
          <w:b/>
          <w:sz w:val="14"/>
          <w:szCs w:val="14"/>
          <w:lang w:val="es-ES"/>
        </w:rPr>
      </w:pPr>
      <w:r w:rsidRPr="006312E8">
        <w:rPr>
          <w:rFonts w:ascii="Arial Narrow" w:eastAsia="Calibri" w:hAnsi="Arial Narrow" w:cs="Arial"/>
          <w:b/>
          <w:sz w:val="14"/>
          <w:szCs w:val="14"/>
          <w:lang w:val="es-ES"/>
        </w:rPr>
        <w:t>PERSONA JURIDICA:</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3"/>
        <w:gridCol w:w="7929"/>
      </w:tblGrid>
      <w:tr w:rsidR="006312E8" w:rsidRPr="006312E8" w:rsidTr="00D04998">
        <w:trPr>
          <w:trHeight w:val="260"/>
        </w:trPr>
        <w:tc>
          <w:tcPr>
            <w:tcW w:w="1110" w:type="pct"/>
          </w:tcPr>
          <w:p w:rsidR="006312E8" w:rsidRPr="006312E8" w:rsidRDefault="006312E8" w:rsidP="006312E8">
            <w:pPr>
              <w:spacing w:before="69" w:after="0" w:line="240" w:lineRule="auto"/>
              <w:ind w:right="-20"/>
              <w:jc w:val="both"/>
              <w:rPr>
                <w:rFonts w:ascii="Arial Narrow" w:eastAsia="Calibri" w:hAnsi="Arial Narrow" w:cs="Arial"/>
                <w:b/>
                <w:sz w:val="14"/>
                <w:szCs w:val="14"/>
                <w:lang w:val="es-ES"/>
              </w:rPr>
            </w:pPr>
            <w:r w:rsidRPr="006312E8">
              <w:rPr>
                <w:rFonts w:ascii="Arial Narrow" w:eastAsia="Calibri" w:hAnsi="Arial Narrow" w:cs="Arial"/>
                <w:b/>
                <w:sz w:val="14"/>
                <w:szCs w:val="14"/>
                <w:lang w:val="es-ES"/>
              </w:rPr>
              <w:t>RAZON SOCIAL:</w:t>
            </w:r>
          </w:p>
        </w:tc>
        <w:tc>
          <w:tcPr>
            <w:tcW w:w="3890" w:type="pct"/>
          </w:tcPr>
          <w:p w:rsidR="006312E8" w:rsidRPr="006312E8" w:rsidRDefault="006312E8" w:rsidP="006312E8">
            <w:pPr>
              <w:spacing w:before="69" w:after="0" w:line="240" w:lineRule="auto"/>
              <w:ind w:right="-20"/>
              <w:jc w:val="both"/>
              <w:rPr>
                <w:rFonts w:ascii="Arial" w:eastAsia="Calibri" w:hAnsi="Arial" w:cs="Arial"/>
                <w:b/>
                <w:sz w:val="14"/>
                <w:szCs w:val="14"/>
                <w:lang w:val="es-ES"/>
              </w:rPr>
            </w:pPr>
          </w:p>
        </w:tc>
      </w:tr>
      <w:tr w:rsidR="006312E8" w:rsidRPr="006312E8" w:rsidTr="00D04998">
        <w:trPr>
          <w:trHeight w:val="272"/>
        </w:trPr>
        <w:tc>
          <w:tcPr>
            <w:tcW w:w="1110" w:type="pct"/>
          </w:tcPr>
          <w:p w:rsidR="006312E8" w:rsidRPr="006312E8" w:rsidRDefault="006312E8" w:rsidP="006312E8">
            <w:pPr>
              <w:spacing w:before="69" w:after="0" w:line="240" w:lineRule="auto"/>
              <w:ind w:right="-20"/>
              <w:rPr>
                <w:rFonts w:ascii="Arial Narrow" w:eastAsia="Calibri" w:hAnsi="Arial Narrow" w:cs="Arial"/>
                <w:b/>
                <w:sz w:val="14"/>
                <w:szCs w:val="14"/>
                <w:lang w:val="es-ES"/>
              </w:rPr>
            </w:pPr>
            <w:r w:rsidRPr="006312E8">
              <w:rPr>
                <w:rFonts w:ascii="Arial Narrow" w:eastAsia="Calibri" w:hAnsi="Arial Narrow" w:cs="Arial"/>
                <w:b/>
                <w:sz w:val="14"/>
                <w:szCs w:val="14"/>
                <w:lang w:val="es-ES"/>
              </w:rPr>
              <w:t>Nº PARTIDA O FICHA DEL REG. DE PERSONAS JURÍDICAS:</w:t>
            </w:r>
          </w:p>
        </w:tc>
        <w:tc>
          <w:tcPr>
            <w:tcW w:w="3890" w:type="pct"/>
          </w:tcPr>
          <w:p w:rsidR="006312E8" w:rsidRPr="006312E8" w:rsidRDefault="006312E8" w:rsidP="006312E8">
            <w:pPr>
              <w:spacing w:before="69" w:after="0" w:line="240" w:lineRule="auto"/>
              <w:ind w:right="-20"/>
              <w:jc w:val="both"/>
              <w:rPr>
                <w:rFonts w:ascii="Arial" w:eastAsia="Calibri" w:hAnsi="Arial" w:cs="Arial"/>
                <w:b/>
                <w:sz w:val="14"/>
                <w:szCs w:val="14"/>
                <w:lang w:val="es-ES"/>
              </w:rPr>
            </w:pPr>
          </w:p>
        </w:tc>
      </w:tr>
      <w:tr w:rsidR="006312E8" w:rsidRPr="006312E8" w:rsidTr="00D04998">
        <w:trPr>
          <w:trHeight w:val="272"/>
        </w:trPr>
        <w:tc>
          <w:tcPr>
            <w:tcW w:w="1110" w:type="pct"/>
          </w:tcPr>
          <w:p w:rsidR="006312E8" w:rsidRPr="006312E8" w:rsidRDefault="006312E8" w:rsidP="006312E8">
            <w:pPr>
              <w:spacing w:before="69" w:after="0" w:line="240" w:lineRule="auto"/>
              <w:ind w:right="-20"/>
              <w:jc w:val="both"/>
              <w:rPr>
                <w:rFonts w:ascii="Arial Narrow" w:eastAsia="Calibri" w:hAnsi="Arial Narrow" w:cs="Arial"/>
                <w:b/>
                <w:sz w:val="14"/>
                <w:szCs w:val="14"/>
                <w:lang w:val="es-ES"/>
              </w:rPr>
            </w:pPr>
            <w:r w:rsidRPr="006312E8">
              <w:rPr>
                <w:rFonts w:ascii="Arial Narrow" w:eastAsia="Calibri" w:hAnsi="Arial Narrow" w:cs="Arial"/>
                <w:b/>
                <w:sz w:val="14"/>
                <w:szCs w:val="14"/>
                <w:lang w:val="es-ES"/>
              </w:rPr>
              <w:t>REPRESENTANTE LEGAL:</w:t>
            </w:r>
          </w:p>
        </w:tc>
        <w:tc>
          <w:tcPr>
            <w:tcW w:w="3890" w:type="pct"/>
          </w:tcPr>
          <w:p w:rsidR="006312E8" w:rsidRPr="006312E8" w:rsidRDefault="006312E8" w:rsidP="006312E8">
            <w:pPr>
              <w:spacing w:before="69" w:after="0" w:line="240" w:lineRule="auto"/>
              <w:ind w:right="-20"/>
              <w:jc w:val="both"/>
              <w:rPr>
                <w:rFonts w:ascii="Arial" w:eastAsia="Calibri" w:hAnsi="Arial" w:cs="Arial"/>
                <w:b/>
                <w:sz w:val="14"/>
                <w:szCs w:val="14"/>
                <w:lang w:val="es-ES"/>
              </w:rPr>
            </w:pPr>
          </w:p>
        </w:tc>
      </w:tr>
      <w:tr w:rsidR="006312E8" w:rsidRPr="006312E8" w:rsidTr="00D04998">
        <w:trPr>
          <w:trHeight w:val="285"/>
        </w:trPr>
        <w:tc>
          <w:tcPr>
            <w:tcW w:w="1110" w:type="pct"/>
          </w:tcPr>
          <w:p w:rsidR="006312E8" w:rsidRPr="006312E8" w:rsidRDefault="006312E8" w:rsidP="006312E8">
            <w:pPr>
              <w:spacing w:before="69" w:after="0" w:line="240" w:lineRule="auto"/>
              <w:ind w:right="-20"/>
              <w:jc w:val="both"/>
              <w:rPr>
                <w:rFonts w:ascii="Arial Narrow" w:eastAsia="Calibri" w:hAnsi="Arial Narrow" w:cs="Arial"/>
                <w:b/>
                <w:sz w:val="14"/>
                <w:szCs w:val="14"/>
                <w:lang w:val="es-ES"/>
              </w:rPr>
            </w:pPr>
            <w:r w:rsidRPr="006312E8">
              <w:rPr>
                <w:rFonts w:ascii="Arial Narrow" w:eastAsia="Calibri" w:hAnsi="Arial Narrow" w:cs="Arial"/>
                <w:b/>
                <w:sz w:val="14"/>
                <w:szCs w:val="14"/>
                <w:lang w:val="es-ES"/>
              </w:rPr>
              <w:t xml:space="preserve">Nº DNI </w:t>
            </w:r>
          </w:p>
        </w:tc>
        <w:tc>
          <w:tcPr>
            <w:tcW w:w="3890" w:type="pct"/>
          </w:tcPr>
          <w:p w:rsidR="006312E8" w:rsidRPr="006312E8" w:rsidRDefault="006312E8" w:rsidP="006312E8">
            <w:pPr>
              <w:spacing w:before="69" w:after="0" w:line="240" w:lineRule="auto"/>
              <w:ind w:right="-20"/>
              <w:jc w:val="both"/>
              <w:rPr>
                <w:rFonts w:ascii="Arial" w:eastAsia="Calibri" w:hAnsi="Arial" w:cs="Arial"/>
                <w:b/>
                <w:sz w:val="14"/>
                <w:szCs w:val="14"/>
                <w:lang w:val="es-ES"/>
              </w:rPr>
            </w:pPr>
          </w:p>
        </w:tc>
      </w:tr>
    </w:tbl>
    <w:p w:rsidR="006312E8" w:rsidRPr="006312E8" w:rsidRDefault="006312E8" w:rsidP="0092471C">
      <w:pPr>
        <w:numPr>
          <w:ilvl w:val="1"/>
          <w:numId w:val="153"/>
        </w:numPr>
        <w:tabs>
          <w:tab w:val="left" w:pos="620"/>
        </w:tabs>
        <w:spacing w:before="37" w:after="0" w:line="240" w:lineRule="auto"/>
        <w:ind w:right="-20"/>
        <w:contextualSpacing/>
        <w:rPr>
          <w:rFonts w:ascii="Arial Narrow" w:eastAsia="Times New Roman" w:hAnsi="Arial Narrow" w:cs="Arial"/>
          <w:b/>
          <w:sz w:val="16"/>
          <w:szCs w:val="16"/>
        </w:rPr>
      </w:pPr>
      <w:r w:rsidRPr="006312E8">
        <w:rPr>
          <w:rFonts w:ascii="Arial Narrow" w:eastAsia="Times New Roman" w:hAnsi="Arial Narrow" w:cs="Arial"/>
          <w:b/>
          <w:sz w:val="16"/>
          <w:szCs w:val="16"/>
        </w:rPr>
        <w:t>DOCUMENTACIÓN TÉCNICA PRESENTADA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20"/>
        <w:gridCol w:w="1701"/>
      </w:tblGrid>
      <w:tr w:rsidR="006312E8" w:rsidRPr="006312E8" w:rsidTr="00D04998">
        <w:tc>
          <w:tcPr>
            <w:tcW w:w="5920" w:type="dxa"/>
          </w:tcPr>
          <w:p w:rsidR="006312E8" w:rsidRPr="006312E8" w:rsidRDefault="006312E8" w:rsidP="006312E8">
            <w:pPr>
              <w:spacing w:before="9" w:after="0" w:line="240" w:lineRule="auto"/>
              <w:jc w:val="both"/>
              <w:rPr>
                <w:rFonts w:ascii="Arial" w:eastAsia="Calibri" w:hAnsi="Arial" w:cs="Arial"/>
                <w:b/>
                <w:sz w:val="14"/>
                <w:szCs w:val="14"/>
                <w:lang w:val="es-ES"/>
              </w:rPr>
            </w:pPr>
            <w:r w:rsidRPr="006312E8">
              <w:rPr>
                <w:rFonts w:ascii="Arial Narrow" w:eastAsia="Calibri" w:hAnsi="Arial Narrow" w:cs="Arial Narrow"/>
                <w:b/>
                <w:spacing w:val="1"/>
                <w:sz w:val="14"/>
                <w:szCs w:val="14"/>
                <w:lang w:val="es-ES"/>
              </w:rPr>
              <w:t>T</w:t>
            </w:r>
            <w:r w:rsidRPr="006312E8">
              <w:rPr>
                <w:rFonts w:ascii="Arial Narrow" w:eastAsia="Calibri" w:hAnsi="Arial Narrow" w:cs="Arial Narrow"/>
                <w:b/>
                <w:spacing w:val="-1"/>
                <w:sz w:val="14"/>
                <w:szCs w:val="14"/>
                <w:lang w:val="es-ES"/>
              </w:rPr>
              <w:t>I</w:t>
            </w:r>
            <w:r w:rsidRPr="006312E8">
              <w:rPr>
                <w:rFonts w:ascii="Arial Narrow" w:eastAsia="Calibri" w:hAnsi="Arial Narrow" w:cs="Arial Narrow"/>
                <w:b/>
                <w:spacing w:val="1"/>
                <w:sz w:val="14"/>
                <w:szCs w:val="14"/>
                <w:lang w:val="es-ES"/>
              </w:rPr>
              <w:t>P</w:t>
            </w:r>
            <w:r w:rsidRPr="006312E8">
              <w:rPr>
                <w:rFonts w:ascii="Arial Narrow" w:eastAsia="Calibri" w:hAnsi="Arial Narrow" w:cs="Arial Narrow"/>
                <w:b/>
                <w:sz w:val="14"/>
                <w:szCs w:val="14"/>
                <w:lang w:val="es-ES"/>
              </w:rPr>
              <w:t xml:space="preserve">O </w:t>
            </w:r>
            <w:r w:rsidRPr="006312E8">
              <w:rPr>
                <w:rFonts w:ascii="Arial Narrow" w:eastAsia="Calibri" w:hAnsi="Arial Narrow" w:cs="Arial Narrow"/>
                <w:b/>
                <w:spacing w:val="1"/>
                <w:sz w:val="14"/>
                <w:szCs w:val="14"/>
                <w:lang w:val="es-ES"/>
              </w:rPr>
              <w:t>D</w:t>
            </w:r>
            <w:r w:rsidRPr="006312E8">
              <w:rPr>
                <w:rFonts w:ascii="Arial Narrow" w:eastAsia="Calibri" w:hAnsi="Arial Narrow" w:cs="Arial Narrow"/>
                <w:b/>
                <w:sz w:val="14"/>
                <w:szCs w:val="14"/>
                <w:lang w:val="es-ES"/>
              </w:rPr>
              <w:t>E</w:t>
            </w:r>
            <w:r w:rsidRPr="006312E8">
              <w:rPr>
                <w:rFonts w:ascii="Arial Narrow" w:eastAsia="Calibri" w:hAnsi="Arial Narrow" w:cs="Arial Narrow"/>
                <w:b/>
                <w:spacing w:val="1"/>
                <w:sz w:val="14"/>
                <w:szCs w:val="14"/>
                <w:lang w:val="es-ES"/>
              </w:rPr>
              <w:t xml:space="preserve"> DOCUMENT</w:t>
            </w:r>
            <w:r w:rsidRPr="006312E8">
              <w:rPr>
                <w:rFonts w:ascii="Arial Narrow" w:eastAsia="Calibri" w:hAnsi="Arial Narrow" w:cs="Arial Narrow"/>
                <w:b/>
                <w:sz w:val="14"/>
                <w:szCs w:val="14"/>
                <w:lang w:val="es-ES"/>
              </w:rPr>
              <w:t>O</w:t>
            </w:r>
          </w:p>
        </w:tc>
        <w:tc>
          <w:tcPr>
            <w:tcW w:w="1701" w:type="dxa"/>
          </w:tcPr>
          <w:p w:rsidR="006312E8" w:rsidRPr="006312E8" w:rsidRDefault="006312E8" w:rsidP="006312E8">
            <w:pPr>
              <w:spacing w:before="9" w:after="0" w:line="240" w:lineRule="auto"/>
              <w:jc w:val="both"/>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CONFORME</w:t>
            </w:r>
          </w:p>
        </w:tc>
      </w:tr>
      <w:tr w:rsidR="006312E8" w:rsidRPr="006312E8" w:rsidTr="00D04998">
        <w:tc>
          <w:tcPr>
            <w:tcW w:w="5920" w:type="dxa"/>
          </w:tcPr>
          <w:p w:rsidR="006312E8" w:rsidRPr="006312E8" w:rsidRDefault="006312E8" w:rsidP="0092471C">
            <w:pPr>
              <w:widowControl w:val="0"/>
              <w:numPr>
                <w:ilvl w:val="0"/>
                <w:numId w:val="148"/>
              </w:numPr>
              <w:spacing w:before="9" w:after="0" w:line="240" w:lineRule="auto"/>
              <w:ind w:left="284" w:hanging="284"/>
              <w:jc w:val="both"/>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COPIA LITERAL DE DOMINIO</w:t>
            </w:r>
          </w:p>
          <w:p w:rsidR="006312E8" w:rsidRPr="006312E8" w:rsidRDefault="006312E8" w:rsidP="0092471C">
            <w:pPr>
              <w:widowControl w:val="0"/>
              <w:numPr>
                <w:ilvl w:val="0"/>
                <w:numId w:val="148"/>
              </w:numPr>
              <w:spacing w:before="9" w:after="0" w:line="240" w:lineRule="auto"/>
              <w:ind w:left="284" w:hanging="284"/>
              <w:jc w:val="both"/>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PLANO PERIMÉTRICO Y DE UBICACIÓN</w:t>
            </w:r>
          </w:p>
          <w:p w:rsidR="006312E8" w:rsidRPr="006312E8" w:rsidRDefault="006312E8" w:rsidP="0092471C">
            <w:pPr>
              <w:widowControl w:val="0"/>
              <w:numPr>
                <w:ilvl w:val="0"/>
                <w:numId w:val="148"/>
              </w:numPr>
              <w:spacing w:before="9" w:after="0" w:line="240" w:lineRule="auto"/>
              <w:ind w:left="284" w:hanging="284"/>
              <w:jc w:val="both"/>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 xml:space="preserve">PLANO DE UBICACIÓN </w:t>
            </w:r>
          </w:p>
          <w:p w:rsidR="006312E8" w:rsidRPr="006312E8" w:rsidRDefault="006312E8" w:rsidP="0092471C">
            <w:pPr>
              <w:widowControl w:val="0"/>
              <w:numPr>
                <w:ilvl w:val="0"/>
                <w:numId w:val="148"/>
              </w:numPr>
              <w:spacing w:before="9" w:after="0" w:line="240" w:lineRule="auto"/>
              <w:ind w:left="284" w:hanging="284"/>
              <w:jc w:val="both"/>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PLANO PERIMÉTRICO</w:t>
            </w:r>
          </w:p>
          <w:p w:rsidR="006312E8" w:rsidRPr="006312E8" w:rsidRDefault="006312E8" w:rsidP="0092471C">
            <w:pPr>
              <w:widowControl w:val="0"/>
              <w:numPr>
                <w:ilvl w:val="0"/>
                <w:numId w:val="148"/>
              </w:numPr>
              <w:spacing w:before="9" w:after="0" w:line="240" w:lineRule="auto"/>
              <w:ind w:left="284" w:hanging="284"/>
              <w:jc w:val="both"/>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MEMORIA DESCRIPTIVA</w:t>
            </w:r>
          </w:p>
          <w:p w:rsidR="006312E8" w:rsidRPr="006312E8" w:rsidRDefault="006312E8" w:rsidP="0092471C">
            <w:pPr>
              <w:widowControl w:val="0"/>
              <w:numPr>
                <w:ilvl w:val="0"/>
                <w:numId w:val="148"/>
              </w:numPr>
              <w:spacing w:before="9" w:after="0" w:line="240" w:lineRule="auto"/>
              <w:ind w:left="284" w:hanging="284"/>
              <w:jc w:val="both"/>
              <w:rPr>
                <w:rFonts w:ascii="Arial" w:eastAsia="Calibri" w:hAnsi="Arial" w:cs="Arial"/>
                <w:b/>
                <w:sz w:val="14"/>
                <w:szCs w:val="14"/>
                <w:lang w:val="es-ES"/>
              </w:rPr>
            </w:pPr>
            <w:r w:rsidRPr="006312E8">
              <w:rPr>
                <w:rFonts w:ascii="Arial Narrow" w:eastAsia="Calibri" w:hAnsi="Arial Narrow" w:cs="Arial Narrow"/>
                <w:b/>
                <w:spacing w:val="1"/>
                <w:sz w:val="14"/>
                <w:szCs w:val="14"/>
                <w:lang w:val="es-ES"/>
              </w:rPr>
              <w:t>VALORIZACIÓN DEL INMUEBLE Y/O EDIFICACIONES</w:t>
            </w:r>
          </w:p>
          <w:p w:rsidR="006312E8" w:rsidRPr="006312E8" w:rsidRDefault="006312E8" w:rsidP="0092471C">
            <w:pPr>
              <w:widowControl w:val="0"/>
              <w:numPr>
                <w:ilvl w:val="0"/>
                <w:numId w:val="148"/>
              </w:numPr>
              <w:spacing w:before="9" w:after="0" w:line="240" w:lineRule="auto"/>
              <w:ind w:left="284" w:hanging="284"/>
              <w:jc w:val="both"/>
              <w:rPr>
                <w:rFonts w:ascii="Arial" w:eastAsia="Calibri" w:hAnsi="Arial" w:cs="Arial"/>
                <w:b/>
                <w:sz w:val="14"/>
                <w:szCs w:val="14"/>
                <w:lang w:val="es-ES"/>
              </w:rPr>
            </w:pPr>
            <w:r w:rsidRPr="006312E8">
              <w:rPr>
                <w:rFonts w:ascii="Arial Narrow" w:eastAsia="Calibri" w:hAnsi="Arial Narrow" w:cs="Arial Narrow"/>
                <w:b/>
                <w:spacing w:val="1"/>
                <w:sz w:val="14"/>
                <w:szCs w:val="14"/>
                <w:lang w:val="es-ES"/>
              </w:rPr>
              <w:t>FOTOGRAFÍA(S)</w:t>
            </w:r>
          </w:p>
          <w:p w:rsidR="006312E8" w:rsidRPr="006312E8" w:rsidRDefault="006312E8" w:rsidP="0092471C">
            <w:pPr>
              <w:widowControl w:val="0"/>
              <w:numPr>
                <w:ilvl w:val="0"/>
                <w:numId w:val="148"/>
              </w:numPr>
              <w:spacing w:before="9" w:after="0" w:line="240" w:lineRule="auto"/>
              <w:ind w:left="284" w:hanging="284"/>
              <w:jc w:val="both"/>
              <w:rPr>
                <w:rFonts w:ascii="Arial" w:eastAsia="Calibri" w:hAnsi="Arial" w:cs="Arial"/>
                <w:b/>
                <w:sz w:val="14"/>
                <w:szCs w:val="14"/>
                <w:lang w:val="es-ES"/>
              </w:rPr>
            </w:pPr>
            <w:r w:rsidRPr="006312E8">
              <w:rPr>
                <w:rFonts w:ascii="Arial Narrow" w:eastAsia="Calibri" w:hAnsi="Arial Narrow" w:cs="Arial Narrow"/>
                <w:b/>
                <w:spacing w:val="1"/>
                <w:sz w:val="14"/>
                <w:szCs w:val="14"/>
                <w:lang w:val="es-ES"/>
              </w:rPr>
              <w:t>PLANO DE HABILITACIÓN URBANA</w:t>
            </w:r>
          </w:p>
          <w:p w:rsidR="006312E8" w:rsidRPr="006312E8" w:rsidRDefault="006312E8" w:rsidP="0092471C">
            <w:pPr>
              <w:widowControl w:val="0"/>
              <w:numPr>
                <w:ilvl w:val="0"/>
                <w:numId w:val="148"/>
              </w:numPr>
              <w:spacing w:before="9" w:after="0" w:line="240" w:lineRule="auto"/>
              <w:ind w:left="284" w:hanging="284"/>
              <w:jc w:val="both"/>
              <w:rPr>
                <w:rFonts w:ascii="Arial" w:eastAsia="Calibri" w:hAnsi="Arial" w:cs="Arial"/>
                <w:b/>
                <w:sz w:val="14"/>
                <w:szCs w:val="14"/>
                <w:lang w:val="es-ES"/>
              </w:rPr>
            </w:pPr>
            <w:r w:rsidRPr="006312E8">
              <w:rPr>
                <w:rFonts w:ascii="Arial Narrow" w:eastAsia="Calibri" w:hAnsi="Arial Narrow" w:cs="Arial Narrow"/>
                <w:b/>
                <w:spacing w:val="1"/>
                <w:sz w:val="14"/>
                <w:szCs w:val="14"/>
                <w:lang w:val="es-ES"/>
              </w:rPr>
              <w:t>DOCUMENTO DE ADQUISICIÓN (RESOLUCIÓN O ESCRITURA PÚBLICA)</w:t>
            </w:r>
          </w:p>
          <w:p w:rsidR="006312E8" w:rsidRPr="006312E8" w:rsidRDefault="006312E8" w:rsidP="0092471C">
            <w:pPr>
              <w:widowControl w:val="0"/>
              <w:numPr>
                <w:ilvl w:val="0"/>
                <w:numId w:val="148"/>
              </w:numPr>
              <w:spacing w:before="9" w:after="0" w:line="240" w:lineRule="auto"/>
              <w:ind w:left="284" w:hanging="284"/>
              <w:jc w:val="both"/>
              <w:rPr>
                <w:rFonts w:ascii="Arial" w:eastAsia="Calibri" w:hAnsi="Arial" w:cs="Arial"/>
                <w:b/>
                <w:sz w:val="14"/>
                <w:szCs w:val="14"/>
                <w:lang w:val="es-ES"/>
              </w:rPr>
            </w:pPr>
            <w:r w:rsidRPr="006312E8">
              <w:rPr>
                <w:rFonts w:ascii="Arial Narrow" w:eastAsia="Calibri" w:hAnsi="Arial Narrow" w:cs="Arial Narrow"/>
                <w:b/>
                <w:spacing w:val="1"/>
                <w:sz w:val="14"/>
                <w:szCs w:val="14"/>
                <w:lang w:val="es-ES"/>
              </w:rPr>
              <w:t>OTROS DOCUMENTOS</w:t>
            </w:r>
          </w:p>
        </w:tc>
        <w:tc>
          <w:tcPr>
            <w:tcW w:w="1701" w:type="dxa"/>
          </w:tcPr>
          <w:p w:rsidR="006312E8" w:rsidRPr="006312E8" w:rsidRDefault="006312E8" w:rsidP="006312E8">
            <w:pPr>
              <w:spacing w:before="9" w:after="0" w:line="240" w:lineRule="auto"/>
              <w:jc w:val="both"/>
              <w:rPr>
                <w:rFonts w:ascii="Arial" w:eastAsia="Calibri" w:hAnsi="Arial" w:cs="Arial"/>
                <w:b/>
                <w:sz w:val="14"/>
                <w:szCs w:val="14"/>
                <w:lang w:val="es-ES"/>
              </w:rPr>
            </w:pPr>
          </w:p>
        </w:tc>
      </w:tr>
    </w:tbl>
    <w:p w:rsidR="006312E8" w:rsidRPr="006312E8" w:rsidRDefault="006312E8" w:rsidP="006312E8">
      <w:pPr>
        <w:spacing w:before="5" w:after="0" w:line="130" w:lineRule="exact"/>
        <w:rPr>
          <w:rFonts w:ascii="Calibri" w:eastAsia="Calibri" w:hAnsi="Calibri" w:cs="Times New Roman"/>
          <w:sz w:val="13"/>
          <w:szCs w:val="13"/>
          <w:lang w:val="es-ES"/>
        </w:rPr>
      </w:pPr>
    </w:p>
    <w:p w:rsidR="006312E8" w:rsidRPr="006312E8" w:rsidRDefault="006312E8" w:rsidP="006312E8">
      <w:pPr>
        <w:spacing w:before="5" w:after="0" w:line="130" w:lineRule="exact"/>
        <w:rPr>
          <w:rFonts w:ascii="Calibri" w:eastAsia="Calibri" w:hAnsi="Calibri" w:cs="Times New Roman"/>
          <w:sz w:val="13"/>
          <w:szCs w:val="13"/>
          <w:lang w:val="es-ES"/>
        </w:rPr>
      </w:pPr>
    </w:p>
    <w:tbl>
      <w:tblPr>
        <w:tblpPr w:leftFromText="141" w:rightFromText="141" w:vertAnchor="tex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2693"/>
        <w:gridCol w:w="1701"/>
      </w:tblGrid>
      <w:tr w:rsidR="006312E8" w:rsidRPr="006312E8" w:rsidTr="00D04998">
        <w:trPr>
          <w:trHeight w:hRule="exact" w:val="290"/>
        </w:trPr>
        <w:tc>
          <w:tcPr>
            <w:tcW w:w="3227" w:type="dxa"/>
          </w:tcPr>
          <w:p w:rsidR="006312E8" w:rsidRPr="006312E8" w:rsidRDefault="006312E8" w:rsidP="006312E8">
            <w:pPr>
              <w:spacing w:before="42" w:after="0" w:line="240" w:lineRule="auto"/>
              <w:ind w:right="-20"/>
              <w:rPr>
                <w:rFonts w:ascii="Arial Narrow" w:eastAsia="Calibri" w:hAnsi="Arial Narrow" w:cs="Arial Narrow"/>
                <w:b/>
                <w:sz w:val="14"/>
                <w:szCs w:val="14"/>
                <w:lang w:val="es-ES"/>
              </w:rPr>
            </w:pPr>
            <w:r w:rsidRPr="006312E8">
              <w:rPr>
                <w:rFonts w:ascii="Arial Narrow" w:eastAsia="Calibri" w:hAnsi="Arial Narrow" w:cs="Arial Narrow"/>
                <w:b/>
                <w:sz w:val="14"/>
                <w:szCs w:val="14"/>
                <w:lang w:val="es-ES"/>
              </w:rPr>
              <w:t>OTROS DOCUMENTOS</w:t>
            </w:r>
          </w:p>
        </w:tc>
        <w:tc>
          <w:tcPr>
            <w:tcW w:w="2693" w:type="dxa"/>
          </w:tcPr>
          <w:p w:rsidR="006312E8" w:rsidRPr="006312E8" w:rsidRDefault="006312E8" w:rsidP="006312E8">
            <w:pPr>
              <w:spacing w:before="42" w:after="0" w:line="240" w:lineRule="auto"/>
              <w:ind w:right="-20"/>
              <w:rPr>
                <w:rFonts w:ascii="Arial Narrow" w:eastAsia="Calibri" w:hAnsi="Arial Narrow" w:cs="Arial Narrow"/>
                <w:b/>
                <w:sz w:val="14"/>
                <w:szCs w:val="14"/>
                <w:lang w:val="es-ES"/>
              </w:rPr>
            </w:pPr>
            <w:r w:rsidRPr="006312E8">
              <w:rPr>
                <w:rFonts w:ascii="Arial Narrow" w:eastAsia="Calibri" w:hAnsi="Arial Narrow" w:cs="Arial Narrow"/>
                <w:b/>
                <w:sz w:val="14"/>
                <w:szCs w:val="14"/>
                <w:lang w:val="es-ES"/>
              </w:rPr>
              <w:t>No. DOCUMENTO</w:t>
            </w:r>
          </w:p>
        </w:tc>
        <w:tc>
          <w:tcPr>
            <w:tcW w:w="1701" w:type="dxa"/>
          </w:tcPr>
          <w:p w:rsidR="006312E8" w:rsidRPr="006312E8" w:rsidRDefault="006312E8" w:rsidP="006312E8">
            <w:pPr>
              <w:spacing w:before="42" w:after="0" w:line="240" w:lineRule="auto"/>
              <w:ind w:right="-20"/>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CONFORME</w:t>
            </w:r>
          </w:p>
        </w:tc>
      </w:tr>
      <w:tr w:rsidR="006312E8" w:rsidRPr="006312E8" w:rsidTr="00D04998">
        <w:trPr>
          <w:trHeight w:hRule="exact" w:val="295"/>
        </w:trPr>
        <w:tc>
          <w:tcPr>
            <w:tcW w:w="3227" w:type="dxa"/>
          </w:tcPr>
          <w:p w:rsidR="006312E8" w:rsidRPr="006312E8" w:rsidRDefault="006312E8" w:rsidP="006312E8">
            <w:pPr>
              <w:spacing w:before="49" w:after="0" w:line="240" w:lineRule="auto"/>
              <w:ind w:left="38" w:right="-20"/>
              <w:rPr>
                <w:rFonts w:ascii="Arial Narrow" w:eastAsia="Calibri" w:hAnsi="Arial Narrow" w:cs="Arial Narrow"/>
                <w:b/>
                <w:spacing w:val="1"/>
                <w:sz w:val="14"/>
                <w:szCs w:val="14"/>
                <w:lang w:val="es-ES"/>
              </w:rPr>
            </w:pPr>
          </w:p>
        </w:tc>
        <w:tc>
          <w:tcPr>
            <w:tcW w:w="2693" w:type="dxa"/>
          </w:tcPr>
          <w:p w:rsidR="006312E8" w:rsidRPr="006312E8" w:rsidRDefault="006312E8" w:rsidP="006312E8">
            <w:pPr>
              <w:spacing w:before="49" w:after="0" w:line="240" w:lineRule="auto"/>
              <w:ind w:left="142" w:right="-20"/>
              <w:rPr>
                <w:rFonts w:ascii="Arial Narrow" w:eastAsia="Calibri" w:hAnsi="Arial Narrow" w:cs="Arial Narrow"/>
                <w:b/>
                <w:sz w:val="14"/>
                <w:szCs w:val="14"/>
                <w:lang w:val="es-ES"/>
              </w:rPr>
            </w:pPr>
          </w:p>
        </w:tc>
        <w:tc>
          <w:tcPr>
            <w:tcW w:w="1701" w:type="dxa"/>
          </w:tcPr>
          <w:p w:rsidR="006312E8" w:rsidRPr="006312E8" w:rsidRDefault="006312E8" w:rsidP="006312E8">
            <w:pPr>
              <w:spacing w:before="49" w:after="0" w:line="240" w:lineRule="auto"/>
              <w:ind w:left="142" w:right="-20"/>
              <w:rPr>
                <w:rFonts w:ascii="Arial Narrow" w:eastAsia="Calibri" w:hAnsi="Arial Narrow" w:cs="Arial Narrow"/>
                <w:b/>
                <w:sz w:val="14"/>
                <w:szCs w:val="14"/>
                <w:lang w:val="es-ES"/>
              </w:rPr>
            </w:pPr>
          </w:p>
        </w:tc>
      </w:tr>
      <w:tr w:rsidR="006312E8" w:rsidRPr="006312E8" w:rsidTr="00D04998">
        <w:trPr>
          <w:trHeight w:hRule="exact" w:val="268"/>
        </w:trPr>
        <w:tc>
          <w:tcPr>
            <w:tcW w:w="3227" w:type="dxa"/>
          </w:tcPr>
          <w:p w:rsidR="006312E8" w:rsidRPr="006312E8" w:rsidRDefault="006312E8" w:rsidP="006312E8">
            <w:pPr>
              <w:spacing w:before="49" w:after="0" w:line="240" w:lineRule="auto"/>
              <w:ind w:left="38" w:right="-20"/>
              <w:rPr>
                <w:rFonts w:ascii="Arial Narrow" w:eastAsia="Calibri" w:hAnsi="Arial Narrow" w:cs="Arial Narrow"/>
                <w:b/>
                <w:sz w:val="14"/>
                <w:szCs w:val="14"/>
                <w:lang w:val="es-ES"/>
              </w:rPr>
            </w:pPr>
          </w:p>
        </w:tc>
        <w:tc>
          <w:tcPr>
            <w:tcW w:w="2693" w:type="dxa"/>
          </w:tcPr>
          <w:p w:rsidR="006312E8" w:rsidRPr="006312E8" w:rsidRDefault="006312E8" w:rsidP="006312E8">
            <w:pPr>
              <w:spacing w:before="49" w:after="0" w:line="240" w:lineRule="auto"/>
              <w:ind w:left="142" w:right="-20"/>
              <w:rPr>
                <w:rFonts w:ascii="Arial Narrow" w:eastAsia="Calibri" w:hAnsi="Arial Narrow" w:cs="Arial Narrow"/>
                <w:b/>
                <w:sz w:val="14"/>
                <w:szCs w:val="14"/>
                <w:lang w:val="es-ES"/>
              </w:rPr>
            </w:pPr>
          </w:p>
        </w:tc>
        <w:tc>
          <w:tcPr>
            <w:tcW w:w="1701" w:type="dxa"/>
          </w:tcPr>
          <w:p w:rsidR="006312E8" w:rsidRPr="006312E8" w:rsidRDefault="006312E8" w:rsidP="006312E8">
            <w:pPr>
              <w:spacing w:before="49" w:after="0" w:line="240" w:lineRule="auto"/>
              <w:ind w:left="142" w:right="-20"/>
              <w:rPr>
                <w:rFonts w:ascii="Arial Narrow" w:eastAsia="Calibri" w:hAnsi="Arial Narrow" w:cs="Arial Narrow"/>
                <w:b/>
                <w:sz w:val="14"/>
                <w:szCs w:val="14"/>
                <w:lang w:val="es-ES"/>
              </w:rPr>
            </w:pPr>
          </w:p>
        </w:tc>
      </w:tr>
      <w:tr w:rsidR="006312E8" w:rsidRPr="006312E8" w:rsidTr="00D04998">
        <w:trPr>
          <w:trHeight w:hRule="exact" w:val="306"/>
        </w:trPr>
        <w:tc>
          <w:tcPr>
            <w:tcW w:w="3227" w:type="dxa"/>
          </w:tcPr>
          <w:p w:rsidR="006312E8" w:rsidRPr="006312E8" w:rsidRDefault="006312E8" w:rsidP="006312E8">
            <w:pPr>
              <w:spacing w:before="49" w:after="0" w:line="240" w:lineRule="auto"/>
              <w:ind w:left="38" w:right="-20"/>
              <w:rPr>
                <w:rFonts w:ascii="Arial Narrow" w:eastAsia="Calibri" w:hAnsi="Arial Narrow" w:cs="Arial Narrow"/>
                <w:b/>
                <w:sz w:val="14"/>
                <w:szCs w:val="14"/>
                <w:lang w:val="es-ES"/>
              </w:rPr>
            </w:pPr>
          </w:p>
        </w:tc>
        <w:tc>
          <w:tcPr>
            <w:tcW w:w="2693" w:type="dxa"/>
          </w:tcPr>
          <w:p w:rsidR="006312E8" w:rsidRPr="006312E8" w:rsidRDefault="006312E8" w:rsidP="006312E8">
            <w:pPr>
              <w:spacing w:before="49" w:after="0" w:line="240" w:lineRule="auto"/>
              <w:ind w:left="142" w:right="-20"/>
              <w:rPr>
                <w:rFonts w:ascii="Arial Narrow" w:eastAsia="Calibri" w:hAnsi="Arial Narrow" w:cs="Arial Narrow"/>
                <w:b/>
                <w:sz w:val="14"/>
                <w:szCs w:val="14"/>
                <w:lang w:val="es-ES"/>
              </w:rPr>
            </w:pPr>
          </w:p>
        </w:tc>
        <w:tc>
          <w:tcPr>
            <w:tcW w:w="1701" w:type="dxa"/>
          </w:tcPr>
          <w:p w:rsidR="006312E8" w:rsidRPr="006312E8" w:rsidRDefault="006312E8" w:rsidP="006312E8">
            <w:pPr>
              <w:spacing w:before="49" w:after="0" w:line="240" w:lineRule="auto"/>
              <w:ind w:left="142" w:right="-20"/>
              <w:rPr>
                <w:rFonts w:ascii="Arial Narrow" w:eastAsia="Calibri" w:hAnsi="Arial Narrow" w:cs="Arial Narrow"/>
                <w:b/>
                <w:sz w:val="14"/>
                <w:szCs w:val="14"/>
                <w:lang w:val="es-ES"/>
              </w:rPr>
            </w:pPr>
          </w:p>
        </w:tc>
      </w:tr>
    </w:tbl>
    <w:p w:rsidR="006312E8" w:rsidRPr="006312E8" w:rsidRDefault="006312E8" w:rsidP="006312E8">
      <w:pPr>
        <w:tabs>
          <w:tab w:val="left" w:pos="620"/>
        </w:tabs>
        <w:spacing w:before="37" w:after="0" w:line="240" w:lineRule="auto"/>
        <w:ind w:right="-20"/>
        <w:rPr>
          <w:rFonts w:ascii="Arial Narrow" w:eastAsia="Calibri" w:hAnsi="Arial Narrow" w:cs="Arial"/>
          <w:b/>
          <w:sz w:val="18"/>
          <w:szCs w:val="18"/>
        </w:rPr>
      </w:pPr>
    </w:p>
    <w:p w:rsidR="006312E8" w:rsidRPr="006312E8" w:rsidRDefault="006312E8" w:rsidP="006312E8">
      <w:pPr>
        <w:tabs>
          <w:tab w:val="left" w:pos="620"/>
        </w:tabs>
        <w:spacing w:before="37" w:after="0" w:line="240" w:lineRule="auto"/>
        <w:ind w:left="115" w:right="-20"/>
        <w:rPr>
          <w:rFonts w:ascii="Arial Narrow" w:eastAsia="Calibri" w:hAnsi="Arial Narrow" w:cs="Arial"/>
          <w:b/>
          <w:sz w:val="18"/>
          <w:szCs w:val="18"/>
        </w:rPr>
      </w:pPr>
    </w:p>
    <w:p w:rsidR="006312E8" w:rsidRPr="006312E8" w:rsidRDefault="006312E8" w:rsidP="006312E8">
      <w:pPr>
        <w:tabs>
          <w:tab w:val="left" w:pos="620"/>
        </w:tabs>
        <w:spacing w:before="37" w:after="0" w:line="240" w:lineRule="auto"/>
        <w:ind w:right="-20"/>
        <w:rPr>
          <w:rFonts w:ascii="Arial Narrow" w:eastAsia="Calibri" w:hAnsi="Arial Narrow" w:cs="Times New Roman"/>
          <w:b/>
          <w:sz w:val="20"/>
          <w:szCs w:val="20"/>
          <w:lang w:val="es-ES"/>
        </w:rPr>
      </w:pPr>
    </w:p>
    <w:p w:rsidR="006312E8" w:rsidRPr="006312E8" w:rsidRDefault="006312E8" w:rsidP="006312E8">
      <w:pPr>
        <w:tabs>
          <w:tab w:val="left" w:pos="620"/>
        </w:tabs>
        <w:spacing w:before="37" w:after="0" w:line="240" w:lineRule="auto"/>
        <w:ind w:right="-20"/>
        <w:rPr>
          <w:rFonts w:ascii="Arial Narrow" w:eastAsia="Calibri" w:hAnsi="Arial Narrow" w:cs="Times New Roman"/>
          <w:b/>
          <w:sz w:val="20"/>
          <w:szCs w:val="20"/>
          <w:lang w:val="es-ES"/>
        </w:rPr>
      </w:pPr>
    </w:p>
    <w:p w:rsidR="006312E8" w:rsidRPr="006312E8" w:rsidRDefault="006312E8" w:rsidP="006312E8">
      <w:pPr>
        <w:tabs>
          <w:tab w:val="left" w:pos="620"/>
        </w:tabs>
        <w:spacing w:before="37" w:after="0" w:line="240" w:lineRule="auto"/>
        <w:ind w:right="-20"/>
        <w:rPr>
          <w:rFonts w:ascii="Arial Narrow" w:eastAsia="Calibri" w:hAnsi="Arial Narrow" w:cs="Times New Roman"/>
          <w:b/>
          <w:sz w:val="20"/>
          <w:szCs w:val="20"/>
          <w:lang w:val="es-ES"/>
        </w:rPr>
      </w:pPr>
    </w:p>
    <w:p w:rsidR="006312E8" w:rsidRPr="006312E8" w:rsidRDefault="006312E8" w:rsidP="006312E8">
      <w:pPr>
        <w:tabs>
          <w:tab w:val="left" w:pos="620"/>
        </w:tabs>
        <w:spacing w:before="37" w:after="0" w:line="240" w:lineRule="auto"/>
        <w:ind w:right="-20"/>
        <w:rPr>
          <w:rFonts w:ascii="Arial Narrow" w:eastAsia="Calibri" w:hAnsi="Arial Narrow" w:cs="Times New Roman"/>
          <w:b/>
          <w:sz w:val="16"/>
          <w:szCs w:val="16"/>
          <w:lang w:val="es-ES"/>
        </w:rPr>
      </w:pPr>
      <w:r w:rsidRPr="006312E8">
        <w:rPr>
          <w:rFonts w:ascii="Arial Narrow" w:eastAsia="Calibri" w:hAnsi="Arial Narrow" w:cs="Times New Roman"/>
          <w:b/>
          <w:sz w:val="16"/>
          <w:szCs w:val="16"/>
          <w:lang w:val="es-ES"/>
        </w:rPr>
        <w:t xml:space="preserve">2.- ANTECEDENTES </w:t>
      </w:r>
    </w:p>
    <w:p w:rsidR="006312E8" w:rsidRPr="006312E8" w:rsidRDefault="006312E8" w:rsidP="0092471C">
      <w:pPr>
        <w:numPr>
          <w:ilvl w:val="1"/>
          <w:numId w:val="151"/>
        </w:numPr>
        <w:tabs>
          <w:tab w:val="left" w:pos="620"/>
        </w:tabs>
        <w:spacing w:before="37" w:after="0" w:line="240" w:lineRule="auto"/>
        <w:ind w:right="-20"/>
        <w:contextualSpacing/>
        <w:rPr>
          <w:rFonts w:ascii="Arial Narrow" w:eastAsia="Times New Roman" w:hAnsi="Arial Narrow" w:cs="Times New Roman"/>
          <w:b/>
          <w:sz w:val="16"/>
          <w:szCs w:val="16"/>
          <w:lang w:val="es-ES"/>
        </w:rPr>
      </w:pPr>
      <w:r w:rsidRPr="006312E8">
        <w:rPr>
          <w:rFonts w:ascii="Arial Narrow" w:eastAsia="Times New Roman" w:hAnsi="Arial Narrow" w:cs="Times New Roman"/>
          <w:b/>
          <w:sz w:val="16"/>
          <w:szCs w:val="16"/>
          <w:lang w:val="es-ES"/>
        </w:rPr>
        <w:t xml:space="preserve">PROCESOS JUDICIALES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4111"/>
        <w:gridCol w:w="1134"/>
        <w:gridCol w:w="2835"/>
      </w:tblGrid>
      <w:tr w:rsidR="006312E8" w:rsidRPr="006312E8" w:rsidTr="00D04998">
        <w:trPr>
          <w:trHeight w:val="249"/>
        </w:trPr>
        <w:tc>
          <w:tcPr>
            <w:tcW w:w="1951" w:type="dxa"/>
          </w:tcPr>
          <w:p w:rsidR="006312E8" w:rsidRPr="006312E8" w:rsidRDefault="006312E8" w:rsidP="0092471C">
            <w:pPr>
              <w:numPr>
                <w:ilvl w:val="0"/>
                <w:numId w:val="152"/>
              </w:numPr>
              <w:tabs>
                <w:tab w:val="left" w:pos="620"/>
              </w:tabs>
              <w:spacing w:before="37" w:after="0" w:line="240" w:lineRule="auto"/>
              <w:ind w:right="-20"/>
              <w:contextualSpacing/>
              <w:rPr>
                <w:rFonts w:ascii="Arial Narrow" w:eastAsia="Times New Roman" w:hAnsi="Arial Narrow" w:cs="Times New Roman"/>
                <w:b/>
                <w:sz w:val="14"/>
                <w:szCs w:val="14"/>
                <w:lang w:val="es-ES"/>
              </w:rPr>
            </w:pPr>
            <w:r w:rsidRPr="006312E8">
              <w:rPr>
                <w:rFonts w:ascii="Arial Narrow" w:eastAsia="Times New Roman" w:hAnsi="Arial Narrow" w:cs="Times New Roman"/>
                <w:b/>
                <w:sz w:val="14"/>
                <w:szCs w:val="14"/>
                <w:lang w:val="es-ES"/>
              </w:rPr>
              <w:t>Expediente N°</w:t>
            </w:r>
          </w:p>
        </w:tc>
        <w:tc>
          <w:tcPr>
            <w:tcW w:w="4111" w:type="dxa"/>
          </w:tcPr>
          <w:p w:rsidR="006312E8" w:rsidRPr="006312E8" w:rsidRDefault="006312E8" w:rsidP="006312E8">
            <w:pPr>
              <w:tabs>
                <w:tab w:val="left" w:pos="620"/>
              </w:tabs>
              <w:spacing w:before="37" w:after="0" w:line="240" w:lineRule="auto"/>
              <w:ind w:right="-20"/>
              <w:rPr>
                <w:rFonts w:ascii="Arial Narrow" w:eastAsia="Calibri" w:hAnsi="Arial Narrow" w:cs="Times New Roman"/>
                <w:b/>
                <w:sz w:val="14"/>
                <w:szCs w:val="14"/>
                <w:lang w:val="es-ES"/>
              </w:rPr>
            </w:pPr>
          </w:p>
        </w:tc>
        <w:tc>
          <w:tcPr>
            <w:tcW w:w="1134" w:type="dxa"/>
          </w:tcPr>
          <w:p w:rsidR="006312E8" w:rsidRPr="006312E8" w:rsidRDefault="006312E8" w:rsidP="006312E8">
            <w:pPr>
              <w:tabs>
                <w:tab w:val="left" w:pos="620"/>
              </w:tabs>
              <w:spacing w:before="37" w:after="0" w:line="240" w:lineRule="auto"/>
              <w:ind w:right="-20"/>
              <w:jc w:val="center"/>
              <w:rPr>
                <w:rFonts w:ascii="Arial Narrow" w:eastAsia="Calibri" w:hAnsi="Arial Narrow" w:cs="Times New Roman"/>
                <w:b/>
                <w:sz w:val="14"/>
                <w:szCs w:val="14"/>
                <w:lang w:val="es-ES"/>
              </w:rPr>
            </w:pPr>
            <w:r w:rsidRPr="006312E8">
              <w:rPr>
                <w:rFonts w:ascii="Arial Narrow" w:eastAsia="Calibri" w:hAnsi="Arial Narrow" w:cs="Times New Roman"/>
                <w:b/>
                <w:sz w:val="14"/>
                <w:szCs w:val="14"/>
                <w:lang w:val="es-ES"/>
              </w:rPr>
              <w:t>Materia</w:t>
            </w:r>
          </w:p>
        </w:tc>
        <w:tc>
          <w:tcPr>
            <w:tcW w:w="2835" w:type="dxa"/>
          </w:tcPr>
          <w:p w:rsidR="006312E8" w:rsidRPr="006312E8" w:rsidRDefault="006312E8" w:rsidP="006312E8">
            <w:pPr>
              <w:tabs>
                <w:tab w:val="left" w:pos="620"/>
              </w:tabs>
              <w:spacing w:before="37" w:after="0" w:line="240" w:lineRule="auto"/>
              <w:ind w:right="-20"/>
              <w:rPr>
                <w:rFonts w:ascii="Arial Narrow" w:eastAsia="Calibri" w:hAnsi="Arial Narrow" w:cs="Times New Roman"/>
                <w:b/>
                <w:sz w:val="14"/>
                <w:szCs w:val="14"/>
              </w:rPr>
            </w:pPr>
          </w:p>
        </w:tc>
      </w:tr>
      <w:tr w:rsidR="006312E8" w:rsidRPr="006312E8" w:rsidTr="00D04998">
        <w:trPr>
          <w:trHeight w:val="249"/>
        </w:trPr>
        <w:tc>
          <w:tcPr>
            <w:tcW w:w="1951" w:type="dxa"/>
          </w:tcPr>
          <w:p w:rsidR="006312E8" w:rsidRPr="006312E8" w:rsidRDefault="006312E8" w:rsidP="006312E8">
            <w:pPr>
              <w:tabs>
                <w:tab w:val="left" w:pos="620"/>
              </w:tabs>
              <w:spacing w:before="37" w:after="0" w:line="240" w:lineRule="auto"/>
              <w:ind w:right="-20"/>
              <w:rPr>
                <w:rFonts w:ascii="Arial Narrow" w:eastAsia="Calibri" w:hAnsi="Arial Narrow" w:cs="Times New Roman"/>
                <w:b/>
                <w:sz w:val="14"/>
                <w:szCs w:val="14"/>
                <w:lang w:val="es-ES"/>
              </w:rPr>
            </w:pPr>
            <w:r w:rsidRPr="006312E8">
              <w:rPr>
                <w:rFonts w:ascii="Arial Narrow" w:eastAsia="Calibri" w:hAnsi="Arial Narrow" w:cs="Times New Roman"/>
                <w:b/>
                <w:sz w:val="14"/>
                <w:szCs w:val="14"/>
                <w:lang w:val="es-ES"/>
              </w:rPr>
              <w:t xml:space="preserve">Juzgado </w:t>
            </w:r>
          </w:p>
        </w:tc>
        <w:tc>
          <w:tcPr>
            <w:tcW w:w="4111" w:type="dxa"/>
          </w:tcPr>
          <w:p w:rsidR="006312E8" w:rsidRPr="006312E8" w:rsidRDefault="006312E8" w:rsidP="006312E8">
            <w:pPr>
              <w:tabs>
                <w:tab w:val="left" w:pos="620"/>
              </w:tabs>
              <w:spacing w:before="37" w:after="0" w:line="240" w:lineRule="auto"/>
              <w:ind w:right="-20"/>
              <w:rPr>
                <w:rFonts w:ascii="Arial Narrow" w:eastAsia="Calibri" w:hAnsi="Arial Narrow" w:cs="Times New Roman"/>
                <w:b/>
                <w:sz w:val="14"/>
                <w:szCs w:val="14"/>
                <w:lang w:val="es-ES"/>
              </w:rPr>
            </w:pPr>
          </w:p>
        </w:tc>
        <w:tc>
          <w:tcPr>
            <w:tcW w:w="1134" w:type="dxa"/>
          </w:tcPr>
          <w:p w:rsidR="006312E8" w:rsidRPr="006312E8" w:rsidRDefault="006312E8" w:rsidP="006312E8">
            <w:pPr>
              <w:tabs>
                <w:tab w:val="left" w:pos="620"/>
              </w:tabs>
              <w:spacing w:before="37" w:after="0" w:line="240" w:lineRule="auto"/>
              <w:ind w:right="-20"/>
              <w:rPr>
                <w:rFonts w:ascii="Arial Narrow" w:eastAsia="Calibri" w:hAnsi="Arial Narrow" w:cs="Times New Roman"/>
                <w:b/>
                <w:sz w:val="14"/>
                <w:szCs w:val="14"/>
                <w:lang w:val="es-ES"/>
              </w:rPr>
            </w:pPr>
            <w:r w:rsidRPr="006312E8">
              <w:rPr>
                <w:rFonts w:ascii="Arial Narrow" w:eastAsia="Calibri" w:hAnsi="Arial Narrow" w:cs="Times New Roman"/>
                <w:b/>
                <w:sz w:val="14"/>
                <w:szCs w:val="14"/>
                <w:lang w:val="es-ES"/>
              </w:rPr>
              <w:t xml:space="preserve">Fecha Inicio </w:t>
            </w:r>
          </w:p>
        </w:tc>
        <w:tc>
          <w:tcPr>
            <w:tcW w:w="2835" w:type="dxa"/>
          </w:tcPr>
          <w:p w:rsidR="006312E8" w:rsidRPr="006312E8" w:rsidRDefault="006312E8" w:rsidP="006312E8">
            <w:pPr>
              <w:tabs>
                <w:tab w:val="left" w:pos="620"/>
              </w:tabs>
              <w:spacing w:before="37" w:after="0" w:line="240" w:lineRule="auto"/>
              <w:ind w:right="-20"/>
              <w:rPr>
                <w:rFonts w:ascii="Arial Narrow" w:eastAsia="Calibri" w:hAnsi="Arial Narrow" w:cs="Times New Roman"/>
                <w:b/>
                <w:sz w:val="14"/>
                <w:szCs w:val="14"/>
                <w:lang w:val="es-ES"/>
              </w:rPr>
            </w:pPr>
          </w:p>
        </w:tc>
      </w:tr>
      <w:tr w:rsidR="006312E8" w:rsidRPr="006312E8" w:rsidTr="00D04998">
        <w:trPr>
          <w:trHeight w:val="262"/>
        </w:trPr>
        <w:tc>
          <w:tcPr>
            <w:tcW w:w="1951" w:type="dxa"/>
          </w:tcPr>
          <w:p w:rsidR="006312E8" w:rsidRPr="006312E8" w:rsidRDefault="006312E8" w:rsidP="006312E8">
            <w:pPr>
              <w:tabs>
                <w:tab w:val="left" w:pos="620"/>
              </w:tabs>
              <w:spacing w:before="37" w:after="0" w:line="240" w:lineRule="auto"/>
              <w:ind w:right="-20"/>
              <w:rPr>
                <w:rFonts w:ascii="Arial Narrow" w:eastAsia="Calibri" w:hAnsi="Arial Narrow" w:cs="Times New Roman"/>
                <w:b/>
                <w:sz w:val="14"/>
                <w:szCs w:val="14"/>
                <w:lang w:val="es-ES"/>
              </w:rPr>
            </w:pPr>
            <w:r w:rsidRPr="006312E8">
              <w:rPr>
                <w:rFonts w:ascii="Arial Narrow" w:eastAsia="Calibri" w:hAnsi="Arial Narrow" w:cs="Times New Roman"/>
                <w:b/>
                <w:sz w:val="14"/>
                <w:szCs w:val="14"/>
                <w:lang w:val="es-ES"/>
              </w:rPr>
              <w:t>Demandante</w:t>
            </w:r>
          </w:p>
        </w:tc>
        <w:tc>
          <w:tcPr>
            <w:tcW w:w="4111" w:type="dxa"/>
          </w:tcPr>
          <w:p w:rsidR="006312E8" w:rsidRPr="006312E8" w:rsidRDefault="006312E8" w:rsidP="006312E8">
            <w:pPr>
              <w:tabs>
                <w:tab w:val="left" w:pos="620"/>
              </w:tabs>
              <w:spacing w:before="37" w:after="0" w:line="240" w:lineRule="auto"/>
              <w:ind w:right="-20"/>
              <w:rPr>
                <w:rFonts w:ascii="Arial Narrow" w:eastAsia="Calibri" w:hAnsi="Arial Narrow" w:cs="Times New Roman"/>
                <w:b/>
                <w:sz w:val="14"/>
                <w:szCs w:val="14"/>
                <w:lang w:val="es-ES"/>
              </w:rPr>
            </w:pPr>
          </w:p>
        </w:tc>
        <w:tc>
          <w:tcPr>
            <w:tcW w:w="1134" w:type="dxa"/>
          </w:tcPr>
          <w:p w:rsidR="006312E8" w:rsidRPr="006312E8" w:rsidRDefault="006312E8" w:rsidP="006312E8">
            <w:pPr>
              <w:tabs>
                <w:tab w:val="left" w:pos="620"/>
              </w:tabs>
              <w:spacing w:before="37" w:after="0" w:line="240" w:lineRule="auto"/>
              <w:ind w:right="-20"/>
              <w:rPr>
                <w:rFonts w:ascii="Arial Narrow" w:eastAsia="Calibri" w:hAnsi="Arial Narrow" w:cs="Times New Roman"/>
                <w:b/>
                <w:sz w:val="14"/>
                <w:szCs w:val="14"/>
                <w:lang w:val="es-ES"/>
              </w:rPr>
            </w:pPr>
            <w:r w:rsidRPr="006312E8">
              <w:rPr>
                <w:rFonts w:ascii="Arial Narrow" w:eastAsia="Calibri" w:hAnsi="Arial Narrow" w:cs="Times New Roman"/>
                <w:b/>
                <w:sz w:val="14"/>
                <w:szCs w:val="14"/>
                <w:lang w:val="es-ES"/>
              </w:rPr>
              <w:t xml:space="preserve">Estado </w:t>
            </w:r>
          </w:p>
        </w:tc>
        <w:tc>
          <w:tcPr>
            <w:tcW w:w="2835" w:type="dxa"/>
          </w:tcPr>
          <w:p w:rsidR="006312E8" w:rsidRPr="006312E8" w:rsidRDefault="006312E8" w:rsidP="006312E8">
            <w:pPr>
              <w:tabs>
                <w:tab w:val="left" w:pos="620"/>
              </w:tabs>
              <w:spacing w:before="37" w:after="0" w:line="240" w:lineRule="auto"/>
              <w:ind w:right="-20"/>
              <w:rPr>
                <w:rFonts w:ascii="Arial Narrow" w:eastAsia="Calibri" w:hAnsi="Arial Narrow" w:cs="Times New Roman"/>
                <w:b/>
                <w:sz w:val="14"/>
                <w:szCs w:val="14"/>
                <w:lang w:val="es-ES"/>
              </w:rPr>
            </w:pPr>
          </w:p>
        </w:tc>
      </w:tr>
      <w:tr w:rsidR="006312E8" w:rsidRPr="006312E8" w:rsidTr="00D04998">
        <w:trPr>
          <w:trHeight w:val="157"/>
        </w:trPr>
        <w:tc>
          <w:tcPr>
            <w:tcW w:w="1951" w:type="dxa"/>
          </w:tcPr>
          <w:p w:rsidR="006312E8" w:rsidRPr="006312E8" w:rsidRDefault="006312E8" w:rsidP="006312E8">
            <w:pPr>
              <w:tabs>
                <w:tab w:val="left" w:pos="620"/>
              </w:tabs>
              <w:spacing w:before="37" w:after="0" w:line="240" w:lineRule="auto"/>
              <w:ind w:right="-20"/>
              <w:rPr>
                <w:rFonts w:ascii="Arial Narrow" w:eastAsia="Calibri" w:hAnsi="Arial Narrow" w:cs="Times New Roman"/>
                <w:b/>
                <w:sz w:val="14"/>
                <w:szCs w:val="14"/>
                <w:lang w:val="es-ES"/>
              </w:rPr>
            </w:pPr>
            <w:r w:rsidRPr="006312E8">
              <w:rPr>
                <w:rFonts w:ascii="Arial Narrow" w:eastAsia="Calibri" w:hAnsi="Arial Narrow" w:cs="Times New Roman"/>
                <w:b/>
                <w:sz w:val="14"/>
                <w:szCs w:val="14"/>
                <w:lang w:val="es-ES"/>
              </w:rPr>
              <w:t>Demandado</w:t>
            </w:r>
          </w:p>
        </w:tc>
        <w:tc>
          <w:tcPr>
            <w:tcW w:w="4111" w:type="dxa"/>
          </w:tcPr>
          <w:p w:rsidR="006312E8" w:rsidRPr="006312E8" w:rsidRDefault="006312E8" w:rsidP="006312E8">
            <w:pPr>
              <w:tabs>
                <w:tab w:val="left" w:pos="620"/>
              </w:tabs>
              <w:spacing w:before="37" w:after="0" w:line="240" w:lineRule="auto"/>
              <w:ind w:right="-20"/>
              <w:rPr>
                <w:rFonts w:ascii="Arial Narrow" w:eastAsia="Calibri" w:hAnsi="Arial Narrow" w:cs="Times New Roman"/>
                <w:b/>
                <w:sz w:val="14"/>
                <w:szCs w:val="14"/>
                <w:lang w:val="es-ES"/>
              </w:rPr>
            </w:pPr>
          </w:p>
        </w:tc>
        <w:tc>
          <w:tcPr>
            <w:tcW w:w="1134" w:type="dxa"/>
          </w:tcPr>
          <w:p w:rsidR="006312E8" w:rsidRPr="006312E8" w:rsidRDefault="006312E8" w:rsidP="006312E8">
            <w:pPr>
              <w:tabs>
                <w:tab w:val="left" w:pos="620"/>
              </w:tabs>
              <w:spacing w:before="37" w:after="0" w:line="240" w:lineRule="auto"/>
              <w:ind w:right="-20"/>
              <w:rPr>
                <w:rFonts w:ascii="Arial Narrow" w:eastAsia="Calibri" w:hAnsi="Arial Narrow" w:cs="Times New Roman"/>
                <w:b/>
                <w:sz w:val="14"/>
                <w:szCs w:val="14"/>
                <w:lang w:val="es-ES"/>
              </w:rPr>
            </w:pPr>
            <w:r w:rsidRPr="006312E8">
              <w:rPr>
                <w:rFonts w:ascii="Arial Narrow" w:eastAsia="Calibri" w:hAnsi="Arial Narrow" w:cs="Times New Roman"/>
                <w:b/>
                <w:sz w:val="14"/>
                <w:szCs w:val="14"/>
                <w:lang w:val="es-ES"/>
              </w:rPr>
              <w:t>Sentencia</w:t>
            </w:r>
          </w:p>
        </w:tc>
        <w:tc>
          <w:tcPr>
            <w:tcW w:w="2835" w:type="dxa"/>
          </w:tcPr>
          <w:p w:rsidR="006312E8" w:rsidRPr="006312E8" w:rsidRDefault="006312E8" w:rsidP="006312E8">
            <w:pPr>
              <w:tabs>
                <w:tab w:val="left" w:pos="620"/>
              </w:tabs>
              <w:spacing w:before="37" w:after="0" w:line="240" w:lineRule="auto"/>
              <w:ind w:right="-20"/>
              <w:rPr>
                <w:rFonts w:ascii="Arial Narrow" w:eastAsia="Calibri" w:hAnsi="Arial Narrow" w:cs="Times New Roman"/>
                <w:b/>
                <w:sz w:val="14"/>
                <w:szCs w:val="14"/>
                <w:lang w:val="es-ES"/>
              </w:rPr>
            </w:pPr>
          </w:p>
        </w:tc>
      </w:tr>
      <w:tr w:rsidR="006312E8" w:rsidRPr="006312E8" w:rsidTr="00D04998">
        <w:trPr>
          <w:trHeight w:val="334"/>
        </w:trPr>
        <w:tc>
          <w:tcPr>
            <w:tcW w:w="10031" w:type="dxa"/>
            <w:gridSpan w:val="4"/>
          </w:tcPr>
          <w:p w:rsidR="006312E8" w:rsidRPr="006312E8" w:rsidRDefault="006312E8" w:rsidP="006312E8">
            <w:pPr>
              <w:tabs>
                <w:tab w:val="left" w:pos="620"/>
              </w:tabs>
              <w:spacing w:before="37" w:after="0" w:line="240" w:lineRule="auto"/>
              <w:ind w:right="-20"/>
              <w:rPr>
                <w:rFonts w:ascii="Arial Narrow" w:eastAsia="Calibri" w:hAnsi="Arial Narrow" w:cs="Times New Roman"/>
                <w:b/>
                <w:sz w:val="14"/>
                <w:szCs w:val="14"/>
                <w:lang w:val="es-ES"/>
              </w:rPr>
            </w:pPr>
            <w:r w:rsidRPr="006312E8">
              <w:rPr>
                <w:rFonts w:ascii="Arial Narrow" w:eastAsia="Calibri" w:hAnsi="Arial Narrow" w:cs="Times New Roman"/>
                <w:b/>
                <w:sz w:val="14"/>
                <w:szCs w:val="14"/>
                <w:lang w:val="es-ES"/>
              </w:rPr>
              <w:t>Observaciones</w:t>
            </w:r>
          </w:p>
        </w:tc>
      </w:tr>
      <w:tr w:rsidR="006312E8" w:rsidRPr="006312E8" w:rsidTr="00D04998">
        <w:trPr>
          <w:trHeight w:val="494"/>
        </w:trPr>
        <w:tc>
          <w:tcPr>
            <w:tcW w:w="10031" w:type="dxa"/>
            <w:gridSpan w:val="4"/>
          </w:tcPr>
          <w:p w:rsidR="006312E8" w:rsidRPr="006312E8" w:rsidRDefault="006312E8" w:rsidP="006312E8">
            <w:pPr>
              <w:tabs>
                <w:tab w:val="left" w:pos="620"/>
              </w:tabs>
              <w:spacing w:before="37" w:after="0" w:line="240" w:lineRule="auto"/>
              <w:ind w:right="-20"/>
              <w:rPr>
                <w:rFonts w:ascii="Arial Narrow" w:eastAsia="Calibri" w:hAnsi="Arial Narrow" w:cs="Times New Roman"/>
                <w:b/>
                <w:sz w:val="14"/>
                <w:szCs w:val="14"/>
                <w:lang w:val="es-ES"/>
              </w:rPr>
            </w:pPr>
          </w:p>
        </w:tc>
      </w:tr>
    </w:tbl>
    <w:p w:rsidR="006312E8" w:rsidRPr="006312E8" w:rsidRDefault="006312E8" w:rsidP="006312E8">
      <w:pPr>
        <w:tabs>
          <w:tab w:val="left" w:pos="620"/>
        </w:tabs>
        <w:spacing w:before="37" w:after="0" w:line="240" w:lineRule="auto"/>
        <w:ind w:right="-20"/>
        <w:rPr>
          <w:rFonts w:ascii="Arial Narrow" w:eastAsia="Calibri" w:hAnsi="Arial Narrow" w:cs="Times New Roman"/>
          <w:sz w:val="20"/>
          <w:szCs w:val="20"/>
          <w:lang w:val="es-E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4111"/>
        <w:gridCol w:w="1134"/>
        <w:gridCol w:w="2835"/>
      </w:tblGrid>
      <w:tr w:rsidR="006312E8" w:rsidRPr="006312E8" w:rsidTr="00D04998">
        <w:trPr>
          <w:trHeight w:val="249"/>
        </w:trPr>
        <w:tc>
          <w:tcPr>
            <w:tcW w:w="1951" w:type="dxa"/>
          </w:tcPr>
          <w:p w:rsidR="006312E8" w:rsidRPr="006312E8" w:rsidRDefault="006312E8" w:rsidP="0092471C">
            <w:pPr>
              <w:numPr>
                <w:ilvl w:val="0"/>
                <w:numId w:val="152"/>
              </w:numPr>
              <w:tabs>
                <w:tab w:val="left" w:pos="620"/>
              </w:tabs>
              <w:spacing w:before="37" w:after="0" w:line="240" w:lineRule="auto"/>
              <w:ind w:right="-20"/>
              <w:contextualSpacing/>
              <w:rPr>
                <w:rFonts w:ascii="Arial Narrow" w:eastAsia="Times New Roman" w:hAnsi="Arial Narrow" w:cs="Times New Roman"/>
                <w:b/>
                <w:sz w:val="14"/>
                <w:szCs w:val="14"/>
                <w:lang w:val="es-ES"/>
              </w:rPr>
            </w:pPr>
            <w:r w:rsidRPr="006312E8">
              <w:rPr>
                <w:rFonts w:ascii="Arial Narrow" w:eastAsia="Times New Roman" w:hAnsi="Arial Narrow" w:cs="Times New Roman"/>
                <w:b/>
                <w:sz w:val="14"/>
                <w:szCs w:val="14"/>
                <w:lang w:val="es-ES"/>
              </w:rPr>
              <w:t>Expediente N°</w:t>
            </w:r>
          </w:p>
        </w:tc>
        <w:tc>
          <w:tcPr>
            <w:tcW w:w="4111" w:type="dxa"/>
          </w:tcPr>
          <w:p w:rsidR="006312E8" w:rsidRPr="006312E8" w:rsidRDefault="006312E8" w:rsidP="006312E8">
            <w:pPr>
              <w:tabs>
                <w:tab w:val="left" w:pos="620"/>
              </w:tabs>
              <w:spacing w:before="37" w:after="0" w:line="240" w:lineRule="auto"/>
              <w:ind w:right="-20"/>
              <w:rPr>
                <w:rFonts w:ascii="Arial Narrow" w:eastAsia="Calibri" w:hAnsi="Arial Narrow" w:cs="Times New Roman"/>
                <w:b/>
                <w:sz w:val="14"/>
                <w:szCs w:val="14"/>
                <w:lang w:val="es-ES"/>
              </w:rPr>
            </w:pPr>
          </w:p>
        </w:tc>
        <w:tc>
          <w:tcPr>
            <w:tcW w:w="1134" w:type="dxa"/>
          </w:tcPr>
          <w:p w:rsidR="006312E8" w:rsidRPr="006312E8" w:rsidRDefault="006312E8" w:rsidP="006312E8">
            <w:pPr>
              <w:tabs>
                <w:tab w:val="left" w:pos="620"/>
              </w:tabs>
              <w:spacing w:before="37" w:after="0" w:line="240" w:lineRule="auto"/>
              <w:ind w:right="-20"/>
              <w:rPr>
                <w:rFonts w:ascii="Arial Narrow" w:eastAsia="Calibri" w:hAnsi="Arial Narrow" w:cs="Times New Roman"/>
                <w:b/>
                <w:sz w:val="14"/>
                <w:szCs w:val="14"/>
                <w:lang w:val="es-ES"/>
              </w:rPr>
            </w:pPr>
            <w:r w:rsidRPr="006312E8">
              <w:rPr>
                <w:rFonts w:ascii="Arial Narrow" w:eastAsia="Calibri" w:hAnsi="Arial Narrow" w:cs="Times New Roman"/>
                <w:b/>
                <w:sz w:val="14"/>
                <w:szCs w:val="14"/>
                <w:lang w:val="es-ES"/>
              </w:rPr>
              <w:t xml:space="preserve">Materia </w:t>
            </w:r>
          </w:p>
        </w:tc>
        <w:tc>
          <w:tcPr>
            <w:tcW w:w="2835" w:type="dxa"/>
          </w:tcPr>
          <w:p w:rsidR="006312E8" w:rsidRPr="006312E8" w:rsidRDefault="006312E8" w:rsidP="006312E8">
            <w:pPr>
              <w:tabs>
                <w:tab w:val="left" w:pos="620"/>
              </w:tabs>
              <w:spacing w:before="37" w:after="0" w:line="240" w:lineRule="auto"/>
              <w:ind w:right="-20"/>
              <w:rPr>
                <w:rFonts w:ascii="Arial Narrow" w:eastAsia="Calibri" w:hAnsi="Arial Narrow" w:cs="Times New Roman"/>
                <w:b/>
                <w:sz w:val="14"/>
                <w:szCs w:val="14"/>
              </w:rPr>
            </w:pPr>
          </w:p>
        </w:tc>
      </w:tr>
      <w:tr w:rsidR="006312E8" w:rsidRPr="006312E8" w:rsidTr="00D04998">
        <w:trPr>
          <w:trHeight w:val="249"/>
        </w:trPr>
        <w:tc>
          <w:tcPr>
            <w:tcW w:w="1951" w:type="dxa"/>
          </w:tcPr>
          <w:p w:rsidR="006312E8" w:rsidRPr="006312E8" w:rsidRDefault="006312E8" w:rsidP="006312E8">
            <w:pPr>
              <w:tabs>
                <w:tab w:val="left" w:pos="620"/>
              </w:tabs>
              <w:spacing w:before="37" w:after="0" w:line="240" w:lineRule="auto"/>
              <w:ind w:right="-20"/>
              <w:rPr>
                <w:rFonts w:ascii="Arial Narrow" w:eastAsia="Calibri" w:hAnsi="Arial Narrow" w:cs="Times New Roman"/>
                <w:b/>
                <w:sz w:val="14"/>
                <w:szCs w:val="14"/>
                <w:lang w:val="es-ES"/>
              </w:rPr>
            </w:pPr>
            <w:r w:rsidRPr="006312E8">
              <w:rPr>
                <w:rFonts w:ascii="Arial Narrow" w:eastAsia="Calibri" w:hAnsi="Arial Narrow" w:cs="Times New Roman"/>
                <w:b/>
                <w:sz w:val="14"/>
                <w:szCs w:val="14"/>
                <w:lang w:val="es-ES"/>
              </w:rPr>
              <w:t xml:space="preserve">Juzgado </w:t>
            </w:r>
          </w:p>
        </w:tc>
        <w:tc>
          <w:tcPr>
            <w:tcW w:w="4111" w:type="dxa"/>
          </w:tcPr>
          <w:p w:rsidR="006312E8" w:rsidRPr="006312E8" w:rsidRDefault="006312E8" w:rsidP="006312E8">
            <w:pPr>
              <w:tabs>
                <w:tab w:val="left" w:pos="620"/>
              </w:tabs>
              <w:spacing w:before="37" w:after="0" w:line="240" w:lineRule="auto"/>
              <w:ind w:right="-20"/>
              <w:rPr>
                <w:rFonts w:ascii="Arial Narrow" w:eastAsia="Calibri" w:hAnsi="Arial Narrow" w:cs="Times New Roman"/>
                <w:b/>
                <w:sz w:val="14"/>
                <w:szCs w:val="14"/>
                <w:lang w:val="es-ES"/>
              </w:rPr>
            </w:pPr>
          </w:p>
        </w:tc>
        <w:tc>
          <w:tcPr>
            <w:tcW w:w="1134" w:type="dxa"/>
          </w:tcPr>
          <w:p w:rsidR="006312E8" w:rsidRPr="006312E8" w:rsidRDefault="006312E8" w:rsidP="006312E8">
            <w:pPr>
              <w:tabs>
                <w:tab w:val="left" w:pos="620"/>
              </w:tabs>
              <w:spacing w:before="37" w:after="0" w:line="240" w:lineRule="auto"/>
              <w:ind w:right="-20"/>
              <w:rPr>
                <w:rFonts w:ascii="Arial Narrow" w:eastAsia="Calibri" w:hAnsi="Arial Narrow" w:cs="Times New Roman"/>
                <w:b/>
                <w:sz w:val="14"/>
                <w:szCs w:val="14"/>
                <w:lang w:val="es-ES"/>
              </w:rPr>
            </w:pPr>
            <w:r w:rsidRPr="006312E8">
              <w:rPr>
                <w:rFonts w:ascii="Arial Narrow" w:eastAsia="Calibri" w:hAnsi="Arial Narrow" w:cs="Times New Roman"/>
                <w:b/>
                <w:sz w:val="14"/>
                <w:szCs w:val="14"/>
                <w:lang w:val="es-ES"/>
              </w:rPr>
              <w:t xml:space="preserve">Fecha Inicio </w:t>
            </w:r>
          </w:p>
        </w:tc>
        <w:tc>
          <w:tcPr>
            <w:tcW w:w="2835" w:type="dxa"/>
          </w:tcPr>
          <w:p w:rsidR="006312E8" w:rsidRPr="006312E8" w:rsidRDefault="006312E8" w:rsidP="006312E8">
            <w:pPr>
              <w:tabs>
                <w:tab w:val="left" w:pos="620"/>
              </w:tabs>
              <w:spacing w:before="37" w:after="0" w:line="240" w:lineRule="auto"/>
              <w:ind w:right="-20"/>
              <w:rPr>
                <w:rFonts w:ascii="Arial Narrow" w:eastAsia="Calibri" w:hAnsi="Arial Narrow" w:cs="Times New Roman"/>
                <w:b/>
                <w:sz w:val="14"/>
                <w:szCs w:val="14"/>
                <w:lang w:val="es-ES"/>
              </w:rPr>
            </w:pPr>
          </w:p>
        </w:tc>
      </w:tr>
      <w:tr w:rsidR="006312E8" w:rsidRPr="006312E8" w:rsidTr="00D04998">
        <w:trPr>
          <w:trHeight w:val="262"/>
        </w:trPr>
        <w:tc>
          <w:tcPr>
            <w:tcW w:w="1951" w:type="dxa"/>
          </w:tcPr>
          <w:p w:rsidR="006312E8" w:rsidRPr="006312E8" w:rsidRDefault="006312E8" w:rsidP="006312E8">
            <w:pPr>
              <w:tabs>
                <w:tab w:val="left" w:pos="620"/>
              </w:tabs>
              <w:spacing w:before="37" w:after="0" w:line="240" w:lineRule="auto"/>
              <w:ind w:right="-20"/>
              <w:rPr>
                <w:rFonts w:ascii="Arial Narrow" w:eastAsia="Calibri" w:hAnsi="Arial Narrow" w:cs="Times New Roman"/>
                <w:b/>
                <w:sz w:val="14"/>
                <w:szCs w:val="14"/>
                <w:lang w:val="es-ES"/>
              </w:rPr>
            </w:pPr>
            <w:r w:rsidRPr="006312E8">
              <w:rPr>
                <w:rFonts w:ascii="Arial Narrow" w:eastAsia="Calibri" w:hAnsi="Arial Narrow" w:cs="Times New Roman"/>
                <w:b/>
                <w:sz w:val="14"/>
                <w:szCs w:val="14"/>
                <w:lang w:val="es-ES"/>
              </w:rPr>
              <w:t>Demandante</w:t>
            </w:r>
          </w:p>
        </w:tc>
        <w:tc>
          <w:tcPr>
            <w:tcW w:w="4111" w:type="dxa"/>
          </w:tcPr>
          <w:p w:rsidR="006312E8" w:rsidRPr="006312E8" w:rsidRDefault="006312E8" w:rsidP="006312E8">
            <w:pPr>
              <w:tabs>
                <w:tab w:val="left" w:pos="620"/>
              </w:tabs>
              <w:spacing w:before="37" w:after="0" w:line="240" w:lineRule="auto"/>
              <w:ind w:right="-20"/>
              <w:rPr>
                <w:rFonts w:ascii="Arial Narrow" w:eastAsia="Calibri" w:hAnsi="Arial Narrow" w:cs="Times New Roman"/>
                <w:b/>
                <w:sz w:val="14"/>
                <w:szCs w:val="14"/>
                <w:lang w:val="es-ES"/>
              </w:rPr>
            </w:pPr>
          </w:p>
        </w:tc>
        <w:tc>
          <w:tcPr>
            <w:tcW w:w="1134" w:type="dxa"/>
          </w:tcPr>
          <w:p w:rsidR="006312E8" w:rsidRPr="006312E8" w:rsidRDefault="006312E8" w:rsidP="006312E8">
            <w:pPr>
              <w:tabs>
                <w:tab w:val="left" w:pos="620"/>
              </w:tabs>
              <w:spacing w:before="37" w:after="0" w:line="240" w:lineRule="auto"/>
              <w:ind w:right="-20"/>
              <w:rPr>
                <w:rFonts w:ascii="Arial Narrow" w:eastAsia="Calibri" w:hAnsi="Arial Narrow" w:cs="Times New Roman"/>
                <w:b/>
                <w:sz w:val="14"/>
                <w:szCs w:val="14"/>
                <w:lang w:val="es-ES"/>
              </w:rPr>
            </w:pPr>
            <w:r w:rsidRPr="006312E8">
              <w:rPr>
                <w:rFonts w:ascii="Arial Narrow" w:eastAsia="Calibri" w:hAnsi="Arial Narrow" w:cs="Times New Roman"/>
                <w:b/>
                <w:sz w:val="14"/>
                <w:szCs w:val="14"/>
                <w:lang w:val="es-ES"/>
              </w:rPr>
              <w:t xml:space="preserve">Estado </w:t>
            </w:r>
          </w:p>
        </w:tc>
        <w:tc>
          <w:tcPr>
            <w:tcW w:w="2835" w:type="dxa"/>
          </w:tcPr>
          <w:p w:rsidR="006312E8" w:rsidRPr="006312E8" w:rsidRDefault="006312E8" w:rsidP="006312E8">
            <w:pPr>
              <w:tabs>
                <w:tab w:val="left" w:pos="620"/>
              </w:tabs>
              <w:spacing w:before="37" w:after="0" w:line="240" w:lineRule="auto"/>
              <w:ind w:right="-20"/>
              <w:rPr>
                <w:rFonts w:ascii="Arial Narrow" w:eastAsia="Calibri" w:hAnsi="Arial Narrow" w:cs="Times New Roman"/>
                <w:b/>
                <w:sz w:val="14"/>
                <w:szCs w:val="14"/>
                <w:lang w:val="es-ES"/>
              </w:rPr>
            </w:pPr>
          </w:p>
        </w:tc>
      </w:tr>
      <w:tr w:rsidR="006312E8" w:rsidRPr="006312E8" w:rsidTr="00D04998">
        <w:trPr>
          <w:trHeight w:val="157"/>
        </w:trPr>
        <w:tc>
          <w:tcPr>
            <w:tcW w:w="1951" w:type="dxa"/>
          </w:tcPr>
          <w:p w:rsidR="006312E8" w:rsidRPr="006312E8" w:rsidRDefault="006312E8" w:rsidP="006312E8">
            <w:pPr>
              <w:tabs>
                <w:tab w:val="left" w:pos="620"/>
              </w:tabs>
              <w:spacing w:before="37" w:after="0" w:line="240" w:lineRule="auto"/>
              <w:ind w:right="-20"/>
              <w:rPr>
                <w:rFonts w:ascii="Arial Narrow" w:eastAsia="Calibri" w:hAnsi="Arial Narrow" w:cs="Times New Roman"/>
                <w:b/>
                <w:sz w:val="14"/>
                <w:szCs w:val="14"/>
                <w:lang w:val="es-ES"/>
              </w:rPr>
            </w:pPr>
            <w:r w:rsidRPr="006312E8">
              <w:rPr>
                <w:rFonts w:ascii="Arial Narrow" w:eastAsia="Calibri" w:hAnsi="Arial Narrow" w:cs="Times New Roman"/>
                <w:b/>
                <w:sz w:val="14"/>
                <w:szCs w:val="14"/>
                <w:lang w:val="es-ES"/>
              </w:rPr>
              <w:t>Demandado</w:t>
            </w:r>
          </w:p>
        </w:tc>
        <w:tc>
          <w:tcPr>
            <w:tcW w:w="4111" w:type="dxa"/>
          </w:tcPr>
          <w:p w:rsidR="006312E8" w:rsidRPr="006312E8" w:rsidRDefault="006312E8" w:rsidP="006312E8">
            <w:pPr>
              <w:tabs>
                <w:tab w:val="left" w:pos="620"/>
              </w:tabs>
              <w:spacing w:before="37" w:after="0" w:line="240" w:lineRule="auto"/>
              <w:ind w:right="-20"/>
              <w:rPr>
                <w:rFonts w:ascii="Arial Narrow" w:eastAsia="Calibri" w:hAnsi="Arial Narrow" w:cs="Times New Roman"/>
                <w:b/>
                <w:sz w:val="14"/>
                <w:szCs w:val="14"/>
                <w:lang w:val="es-ES"/>
              </w:rPr>
            </w:pPr>
          </w:p>
        </w:tc>
        <w:tc>
          <w:tcPr>
            <w:tcW w:w="1134" w:type="dxa"/>
          </w:tcPr>
          <w:p w:rsidR="006312E8" w:rsidRPr="006312E8" w:rsidRDefault="006312E8" w:rsidP="006312E8">
            <w:pPr>
              <w:tabs>
                <w:tab w:val="left" w:pos="620"/>
              </w:tabs>
              <w:spacing w:before="37" w:after="0" w:line="240" w:lineRule="auto"/>
              <w:ind w:right="-20"/>
              <w:rPr>
                <w:rFonts w:ascii="Arial Narrow" w:eastAsia="Calibri" w:hAnsi="Arial Narrow" w:cs="Times New Roman"/>
                <w:b/>
                <w:sz w:val="14"/>
                <w:szCs w:val="14"/>
                <w:lang w:val="es-ES"/>
              </w:rPr>
            </w:pPr>
            <w:r w:rsidRPr="006312E8">
              <w:rPr>
                <w:rFonts w:ascii="Arial Narrow" w:eastAsia="Calibri" w:hAnsi="Arial Narrow" w:cs="Times New Roman"/>
                <w:b/>
                <w:sz w:val="14"/>
                <w:szCs w:val="14"/>
                <w:lang w:val="es-ES"/>
              </w:rPr>
              <w:t>Sentencia</w:t>
            </w:r>
          </w:p>
        </w:tc>
        <w:tc>
          <w:tcPr>
            <w:tcW w:w="2835" w:type="dxa"/>
          </w:tcPr>
          <w:p w:rsidR="006312E8" w:rsidRPr="006312E8" w:rsidRDefault="006312E8" w:rsidP="006312E8">
            <w:pPr>
              <w:tabs>
                <w:tab w:val="left" w:pos="620"/>
              </w:tabs>
              <w:spacing w:before="37" w:after="0" w:line="240" w:lineRule="auto"/>
              <w:ind w:right="-20"/>
              <w:rPr>
                <w:rFonts w:ascii="Arial Narrow" w:eastAsia="Calibri" w:hAnsi="Arial Narrow" w:cs="Times New Roman"/>
                <w:b/>
                <w:sz w:val="14"/>
                <w:szCs w:val="14"/>
                <w:lang w:val="es-ES"/>
              </w:rPr>
            </w:pPr>
          </w:p>
        </w:tc>
      </w:tr>
      <w:tr w:rsidR="006312E8" w:rsidRPr="006312E8" w:rsidTr="00D04998">
        <w:trPr>
          <w:trHeight w:val="334"/>
        </w:trPr>
        <w:tc>
          <w:tcPr>
            <w:tcW w:w="10031" w:type="dxa"/>
            <w:gridSpan w:val="4"/>
          </w:tcPr>
          <w:p w:rsidR="006312E8" w:rsidRPr="006312E8" w:rsidRDefault="006312E8" w:rsidP="006312E8">
            <w:pPr>
              <w:tabs>
                <w:tab w:val="left" w:pos="620"/>
              </w:tabs>
              <w:spacing w:before="37" w:after="0" w:line="240" w:lineRule="auto"/>
              <w:ind w:right="-20"/>
              <w:rPr>
                <w:rFonts w:ascii="Arial Narrow" w:eastAsia="Calibri" w:hAnsi="Arial Narrow" w:cs="Times New Roman"/>
                <w:b/>
                <w:sz w:val="14"/>
                <w:szCs w:val="14"/>
                <w:lang w:val="es-ES"/>
              </w:rPr>
            </w:pPr>
            <w:r w:rsidRPr="006312E8">
              <w:rPr>
                <w:rFonts w:ascii="Arial Narrow" w:eastAsia="Calibri" w:hAnsi="Arial Narrow" w:cs="Times New Roman"/>
                <w:b/>
                <w:sz w:val="14"/>
                <w:szCs w:val="14"/>
                <w:lang w:val="es-ES"/>
              </w:rPr>
              <w:t>Observaciones</w:t>
            </w:r>
          </w:p>
        </w:tc>
      </w:tr>
      <w:tr w:rsidR="006312E8" w:rsidRPr="006312E8" w:rsidTr="00D04998">
        <w:trPr>
          <w:trHeight w:val="508"/>
        </w:trPr>
        <w:tc>
          <w:tcPr>
            <w:tcW w:w="10031" w:type="dxa"/>
            <w:gridSpan w:val="4"/>
          </w:tcPr>
          <w:p w:rsidR="006312E8" w:rsidRPr="006312E8" w:rsidRDefault="006312E8" w:rsidP="006312E8">
            <w:pPr>
              <w:tabs>
                <w:tab w:val="left" w:pos="620"/>
              </w:tabs>
              <w:spacing w:before="37" w:after="0" w:line="240" w:lineRule="auto"/>
              <w:ind w:right="-20"/>
              <w:rPr>
                <w:rFonts w:ascii="Arial Narrow" w:eastAsia="Calibri" w:hAnsi="Arial Narrow" w:cs="Times New Roman"/>
                <w:b/>
                <w:sz w:val="14"/>
                <w:szCs w:val="14"/>
                <w:lang w:val="es-ES"/>
              </w:rPr>
            </w:pPr>
          </w:p>
        </w:tc>
      </w:tr>
    </w:tbl>
    <w:p w:rsidR="006312E8" w:rsidRPr="006312E8" w:rsidRDefault="006312E8" w:rsidP="006312E8">
      <w:pPr>
        <w:tabs>
          <w:tab w:val="left" w:pos="620"/>
        </w:tabs>
        <w:spacing w:before="37" w:after="0" w:line="240" w:lineRule="auto"/>
        <w:ind w:right="-20"/>
        <w:outlineLvl w:val="0"/>
        <w:rPr>
          <w:rFonts w:ascii="Arial Narrow" w:eastAsia="Calibri" w:hAnsi="Arial Narrow" w:cs="Times New Roman"/>
          <w:b/>
          <w:sz w:val="16"/>
          <w:szCs w:val="16"/>
          <w:lang w:val="es-ES"/>
        </w:rPr>
      </w:pPr>
      <w:r w:rsidRPr="006312E8">
        <w:rPr>
          <w:rFonts w:ascii="Arial Narrow" w:eastAsia="Calibri" w:hAnsi="Arial Narrow" w:cs="Times New Roman"/>
          <w:b/>
          <w:sz w:val="16"/>
          <w:szCs w:val="16"/>
          <w:lang w:val="es-ES"/>
        </w:rPr>
        <w:t>3. DATOS DEL PREDIO</w:t>
      </w:r>
    </w:p>
    <w:p w:rsidR="006312E8" w:rsidRPr="006312E8" w:rsidRDefault="006312E8" w:rsidP="006312E8">
      <w:pPr>
        <w:tabs>
          <w:tab w:val="left" w:pos="620"/>
        </w:tabs>
        <w:spacing w:before="37" w:after="0" w:line="240" w:lineRule="auto"/>
        <w:ind w:left="115" w:right="-20"/>
        <w:outlineLvl w:val="0"/>
        <w:rPr>
          <w:rFonts w:ascii="Arial Narrow" w:eastAsia="Calibri" w:hAnsi="Arial Narrow" w:cs="Arial"/>
          <w:b/>
          <w:sz w:val="16"/>
          <w:szCs w:val="16"/>
        </w:rPr>
      </w:pPr>
      <w:r w:rsidRPr="006312E8">
        <w:rPr>
          <w:rFonts w:ascii="Arial Narrow" w:eastAsia="Calibri" w:hAnsi="Arial Narrow" w:cs="Arial"/>
          <w:b/>
          <w:sz w:val="16"/>
          <w:szCs w:val="16"/>
        </w:rPr>
        <w:t>3.1  LOCALIZACIÓN DEL INMUEBLE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965"/>
        <w:gridCol w:w="1285"/>
        <w:gridCol w:w="38"/>
        <w:gridCol w:w="998"/>
        <w:gridCol w:w="1232"/>
        <w:gridCol w:w="34"/>
        <w:gridCol w:w="677"/>
        <w:gridCol w:w="567"/>
      </w:tblGrid>
      <w:tr w:rsidR="006312E8" w:rsidRPr="006312E8" w:rsidTr="00D04998">
        <w:trPr>
          <w:trHeight w:hRule="exact" w:val="302"/>
        </w:trPr>
        <w:tc>
          <w:tcPr>
            <w:tcW w:w="2235" w:type="dxa"/>
          </w:tcPr>
          <w:p w:rsidR="006312E8" w:rsidRPr="006312E8" w:rsidRDefault="006312E8" w:rsidP="006312E8">
            <w:pPr>
              <w:spacing w:before="42" w:after="0" w:line="240" w:lineRule="auto"/>
              <w:ind w:right="-20"/>
              <w:rPr>
                <w:rFonts w:ascii="Arial Narrow" w:eastAsia="Calibri" w:hAnsi="Arial Narrow" w:cs="Arial Narrow"/>
                <w:b/>
                <w:sz w:val="14"/>
                <w:szCs w:val="14"/>
                <w:lang w:val="es-ES"/>
              </w:rPr>
            </w:pPr>
            <w:r w:rsidRPr="006312E8">
              <w:rPr>
                <w:rFonts w:ascii="Arial Narrow" w:eastAsia="Calibri" w:hAnsi="Arial Narrow" w:cs="Arial Narrow"/>
                <w:b/>
                <w:spacing w:val="1"/>
                <w:sz w:val="14"/>
                <w:szCs w:val="14"/>
                <w:lang w:val="es-ES"/>
              </w:rPr>
              <w:t>DEPARTAMENT</w:t>
            </w:r>
            <w:r w:rsidRPr="006312E8">
              <w:rPr>
                <w:rFonts w:ascii="Arial Narrow" w:eastAsia="Calibri" w:hAnsi="Arial Narrow" w:cs="Arial Narrow"/>
                <w:b/>
                <w:sz w:val="14"/>
                <w:szCs w:val="14"/>
                <w:lang w:val="es-ES"/>
              </w:rPr>
              <w:t>O</w:t>
            </w:r>
          </w:p>
        </w:tc>
        <w:tc>
          <w:tcPr>
            <w:tcW w:w="7796" w:type="dxa"/>
            <w:gridSpan w:val="8"/>
          </w:tcPr>
          <w:p w:rsidR="006312E8" w:rsidRPr="006312E8" w:rsidRDefault="006312E8" w:rsidP="006312E8">
            <w:pPr>
              <w:spacing w:after="0" w:line="240" w:lineRule="auto"/>
              <w:rPr>
                <w:rFonts w:ascii="Calibri" w:eastAsia="Calibri" w:hAnsi="Calibri" w:cs="Times New Roman"/>
                <w:b/>
                <w:sz w:val="14"/>
                <w:szCs w:val="14"/>
                <w:lang w:val="es-ES"/>
              </w:rPr>
            </w:pPr>
          </w:p>
        </w:tc>
      </w:tr>
      <w:tr w:rsidR="006312E8" w:rsidRPr="006312E8" w:rsidTr="00D04998">
        <w:trPr>
          <w:trHeight w:hRule="exact" w:val="368"/>
        </w:trPr>
        <w:tc>
          <w:tcPr>
            <w:tcW w:w="2235" w:type="dxa"/>
          </w:tcPr>
          <w:p w:rsidR="006312E8" w:rsidRPr="006312E8" w:rsidRDefault="006312E8" w:rsidP="006312E8">
            <w:pPr>
              <w:spacing w:before="42" w:after="0" w:line="240" w:lineRule="auto"/>
              <w:ind w:right="-20"/>
              <w:rPr>
                <w:rFonts w:ascii="Arial Narrow" w:eastAsia="Calibri" w:hAnsi="Arial Narrow" w:cs="Arial Narrow"/>
                <w:b/>
                <w:sz w:val="14"/>
                <w:szCs w:val="14"/>
                <w:lang w:val="es-ES"/>
              </w:rPr>
            </w:pPr>
            <w:r w:rsidRPr="006312E8">
              <w:rPr>
                <w:rFonts w:ascii="Arial Narrow" w:eastAsia="Calibri" w:hAnsi="Arial Narrow" w:cs="Arial Narrow"/>
                <w:b/>
                <w:spacing w:val="1"/>
                <w:sz w:val="14"/>
                <w:szCs w:val="14"/>
                <w:lang w:val="es-ES"/>
              </w:rPr>
              <w:t>PROV</w:t>
            </w:r>
            <w:r w:rsidRPr="006312E8">
              <w:rPr>
                <w:rFonts w:ascii="Arial Narrow" w:eastAsia="Calibri" w:hAnsi="Arial Narrow" w:cs="Arial Narrow"/>
                <w:b/>
                <w:spacing w:val="-1"/>
                <w:sz w:val="14"/>
                <w:szCs w:val="14"/>
                <w:lang w:val="es-ES"/>
              </w:rPr>
              <w:t>I</w:t>
            </w:r>
            <w:r w:rsidRPr="006312E8">
              <w:rPr>
                <w:rFonts w:ascii="Arial Narrow" w:eastAsia="Calibri" w:hAnsi="Arial Narrow" w:cs="Arial Narrow"/>
                <w:b/>
                <w:spacing w:val="1"/>
                <w:sz w:val="14"/>
                <w:szCs w:val="14"/>
                <w:lang w:val="es-ES"/>
              </w:rPr>
              <w:t>NC</w:t>
            </w:r>
            <w:r w:rsidRPr="006312E8">
              <w:rPr>
                <w:rFonts w:ascii="Arial Narrow" w:eastAsia="Calibri" w:hAnsi="Arial Narrow" w:cs="Arial Narrow"/>
                <w:b/>
                <w:spacing w:val="-1"/>
                <w:sz w:val="14"/>
                <w:szCs w:val="14"/>
                <w:lang w:val="es-ES"/>
              </w:rPr>
              <w:t>I</w:t>
            </w:r>
            <w:r w:rsidRPr="006312E8">
              <w:rPr>
                <w:rFonts w:ascii="Arial Narrow" w:eastAsia="Calibri" w:hAnsi="Arial Narrow" w:cs="Arial Narrow"/>
                <w:b/>
                <w:sz w:val="14"/>
                <w:szCs w:val="14"/>
                <w:lang w:val="es-ES"/>
              </w:rPr>
              <w:t>A</w:t>
            </w:r>
          </w:p>
        </w:tc>
        <w:tc>
          <w:tcPr>
            <w:tcW w:w="2965" w:type="dxa"/>
          </w:tcPr>
          <w:p w:rsidR="006312E8" w:rsidRPr="006312E8" w:rsidRDefault="006312E8" w:rsidP="006312E8">
            <w:pPr>
              <w:spacing w:before="42" w:after="0" w:line="240" w:lineRule="auto"/>
              <w:ind w:left="62" w:right="-20"/>
              <w:rPr>
                <w:rFonts w:ascii="Arial Narrow" w:eastAsia="Calibri" w:hAnsi="Arial Narrow" w:cs="Arial Narrow"/>
                <w:b/>
                <w:sz w:val="14"/>
                <w:szCs w:val="14"/>
                <w:lang w:val="es-ES"/>
              </w:rPr>
            </w:pPr>
          </w:p>
        </w:tc>
        <w:tc>
          <w:tcPr>
            <w:tcW w:w="1323" w:type="dxa"/>
            <w:gridSpan w:val="2"/>
          </w:tcPr>
          <w:p w:rsidR="006312E8" w:rsidRPr="006312E8" w:rsidRDefault="006312E8" w:rsidP="006312E8">
            <w:pPr>
              <w:spacing w:before="42" w:after="0" w:line="240" w:lineRule="auto"/>
              <w:ind w:right="-20"/>
              <w:rPr>
                <w:rFonts w:ascii="Arial Narrow" w:eastAsia="Calibri" w:hAnsi="Arial Narrow" w:cs="Arial Narrow"/>
                <w:b/>
                <w:sz w:val="14"/>
                <w:szCs w:val="14"/>
                <w:lang w:val="es-ES"/>
              </w:rPr>
            </w:pPr>
            <w:r w:rsidRPr="006312E8">
              <w:rPr>
                <w:rFonts w:ascii="Arial Narrow" w:eastAsia="Calibri" w:hAnsi="Arial Narrow" w:cs="Arial Narrow"/>
                <w:b/>
                <w:spacing w:val="1"/>
                <w:sz w:val="14"/>
                <w:szCs w:val="14"/>
                <w:lang w:val="es-ES"/>
              </w:rPr>
              <w:t>D</w:t>
            </w:r>
            <w:r w:rsidRPr="006312E8">
              <w:rPr>
                <w:rFonts w:ascii="Arial Narrow" w:eastAsia="Calibri" w:hAnsi="Arial Narrow" w:cs="Arial Narrow"/>
                <w:b/>
                <w:spacing w:val="-1"/>
                <w:sz w:val="14"/>
                <w:szCs w:val="14"/>
                <w:lang w:val="es-ES"/>
              </w:rPr>
              <w:t>I</w:t>
            </w:r>
            <w:r w:rsidRPr="006312E8">
              <w:rPr>
                <w:rFonts w:ascii="Arial Narrow" w:eastAsia="Calibri" w:hAnsi="Arial Narrow" w:cs="Arial Narrow"/>
                <w:b/>
                <w:spacing w:val="1"/>
                <w:sz w:val="14"/>
                <w:szCs w:val="14"/>
                <w:lang w:val="es-ES"/>
              </w:rPr>
              <w:t>STR</w:t>
            </w:r>
            <w:r w:rsidRPr="006312E8">
              <w:rPr>
                <w:rFonts w:ascii="Arial Narrow" w:eastAsia="Calibri" w:hAnsi="Arial Narrow" w:cs="Arial Narrow"/>
                <w:b/>
                <w:spacing w:val="-1"/>
                <w:sz w:val="14"/>
                <w:szCs w:val="14"/>
                <w:lang w:val="es-ES"/>
              </w:rPr>
              <w:t>I</w:t>
            </w:r>
            <w:r w:rsidRPr="006312E8">
              <w:rPr>
                <w:rFonts w:ascii="Arial Narrow" w:eastAsia="Calibri" w:hAnsi="Arial Narrow" w:cs="Arial Narrow"/>
                <w:b/>
                <w:spacing w:val="1"/>
                <w:sz w:val="14"/>
                <w:szCs w:val="14"/>
                <w:lang w:val="es-ES"/>
              </w:rPr>
              <w:t>T</w:t>
            </w:r>
            <w:r w:rsidRPr="006312E8">
              <w:rPr>
                <w:rFonts w:ascii="Arial Narrow" w:eastAsia="Calibri" w:hAnsi="Arial Narrow" w:cs="Arial Narrow"/>
                <w:b/>
                <w:sz w:val="14"/>
                <w:szCs w:val="14"/>
                <w:lang w:val="es-ES"/>
              </w:rPr>
              <w:t>O</w:t>
            </w:r>
          </w:p>
        </w:tc>
        <w:tc>
          <w:tcPr>
            <w:tcW w:w="3508" w:type="dxa"/>
            <w:gridSpan w:val="5"/>
          </w:tcPr>
          <w:p w:rsidR="006312E8" w:rsidRPr="006312E8" w:rsidRDefault="006312E8" w:rsidP="006312E8">
            <w:pPr>
              <w:spacing w:before="42" w:after="0" w:line="240" w:lineRule="auto"/>
              <w:ind w:left="61" w:right="-20"/>
              <w:rPr>
                <w:rFonts w:ascii="Arial Narrow" w:eastAsia="Calibri" w:hAnsi="Arial Narrow" w:cs="Arial Narrow"/>
                <w:b/>
                <w:sz w:val="14"/>
                <w:szCs w:val="14"/>
                <w:lang w:val="es-ES"/>
              </w:rPr>
            </w:pPr>
          </w:p>
        </w:tc>
      </w:tr>
      <w:tr w:rsidR="006312E8" w:rsidRPr="006312E8" w:rsidTr="00D04998">
        <w:trPr>
          <w:trHeight w:hRule="exact" w:val="358"/>
        </w:trPr>
        <w:tc>
          <w:tcPr>
            <w:tcW w:w="2235" w:type="dxa"/>
          </w:tcPr>
          <w:p w:rsidR="006312E8" w:rsidRPr="006312E8" w:rsidRDefault="006312E8" w:rsidP="006312E8">
            <w:pPr>
              <w:spacing w:after="0" w:line="240" w:lineRule="auto"/>
              <w:ind w:right="-20"/>
              <w:rPr>
                <w:rFonts w:ascii="Arial Narrow" w:eastAsia="Calibri" w:hAnsi="Arial Narrow" w:cs="Arial Narrow"/>
                <w:b/>
                <w:sz w:val="14"/>
                <w:szCs w:val="14"/>
                <w:lang w:val="es-ES"/>
              </w:rPr>
            </w:pPr>
            <w:r w:rsidRPr="006312E8">
              <w:rPr>
                <w:rFonts w:ascii="Arial Narrow" w:eastAsia="Calibri" w:hAnsi="Arial Narrow" w:cs="Arial Narrow"/>
                <w:b/>
                <w:spacing w:val="1"/>
                <w:sz w:val="14"/>
                <w:szCs w:val="14"/>
                <w:lang w:val="es-ES"/>
              </w:rPr>
              <w:t>D</w:t>
            </w:r>
            <w:r w:rsidRPr="006312E8">
              <w:rPr>
                <w:rFonts w:ascii="Arial Narrow" w:eastAsia="Calibri" w:hAnsi="Arial Narrow" w:cs="Arial Narrow"/>
                <w:b/>
                <w:spacing w:val="-1"/>
                <w:sz w:val="14"/>
                <w:szCs w:val="14"/>
                <w:lang w:val="es-ES"/>
              </w:rPr>
              <w:t>I</w:t>
            </w:r>
            <w:r w:rsidRPr="006312E8">
              <w:rPr>
                <w:rFonts w:ascii="Arial Narrow" w:eastAsia="Calibri" w:hAnsi="Arial Narrow" w:cs="Arial Narrow"/>
                <w:b/>
                <w:spacing w:val="1"/>
                <w:sz w:val="14"/>
                <w:szCs w:val="14"/>
                <w:lang w:val="es-ES"/>
              </w:rPr>
              <w:t>RECC</w:t>
            </w:r>
            <w:r w:rsidRPr="006312E8">
              <w:rPr>
                <w:rFonts w:ascii="Arial Narrow" w:eastAsia="Calibri" w:hAnsi="Arial Narrow" w:cs="Arial Narrow"/>
                <w:b/>
                <w:spacing w:val="-1"/>
                <w:sz w:val="14"/>
                <w:szCs w:val="14"/>
                <w:lang w:val="es-ES"/>
              </w:rPr>
              <w:t>I</w:t>
            </w:r>
            <w:r w:rsidRPr="006312E8">
              <w:rPr>
                <w:rFonts w:ascii="Arial Narrow" w:eastAsia="Calibri" w:hAnsi="Arial Narrow" w:cs="Arial Narrow"/>
                <w:b/>
                <w:spacing w:val="1"/>
                <w:sz w:val="14"/>
                <w:szCs w:val="14"/>
                <w:lang w:val="es-ES"/>
              </w:rPr>
              <w:t>Ó</w:t>
            </w:r>
            <w:r w:rsidRPr="006312E8">
              <w:rPr>
                <w:rFonts w:ascii="Arial Narrow" w:eastAsia="Calibri" w:hAnsi="Arial Narrow" w:cs="Arial Narrow"/>
                <w:b/>
                <w:sz w:val="14"/>
                <w:szCs w:val="14"/>
                <w:lang w:val="es-ES"/>
              </w:rPr>
              <w:t>N</w:t>
            </w:r>
          </w:p>
        </w:tc>
        <w:tc>
          <w:tcPr>
            <w:tcW w:w="6518" w:type="dxa"/>
            <w:gridSpan w:val="5"/>
          </w:tcPr>
          <w:p w:rsidR="006312E8" w:rsidRPr="006312E8" w:rsidRDefault="006312E8" w:rsidP="006312E8">
            <w:pPr>
              <w:spacing w:before="47" w:after="0" w:line="240" w:lineRule="auto"/>
              <w:ind w:left="98" w:right="-20"/>
              <w:rPr>
                <w:rFonts w:ascii="Arial Narrow" w:eastAsia="Calibri" w:hAnsi="Arial Narrow" w:cs="Arial Narrow"/>
                <w:b/>
                <w:sz w:val="14"/>
                <w:szCs w:val="14"/>
              </w:rPr>
            </w:pPr>
          </w:p>
        </w:tc>
        <w:tc>
          <w:tcPr>
            <w:tcW w:w="711" w:type="dxa"/>
            <w:gridSpan w:val="2"/>
          </w:tcPr>
          <w:p w:rsidR="006312E8" w:rsidRPr="006312E8" w:rsidRDefault="006312E8" w:rsidP="006312E8">
            <w:pPr>
              <w:spacing w:before="6" w:after="0" w:line="180" w:lineRule="exact"/>
              <w:rPr>
                <w:rFonts w:ascii="Calibri" w:eastAsia="Calibri" w:hAnsi="Calibri" w:cs="Times New Roman"/>
                <w:b/>
                <w:sz w:val="14"/>
                <w:szCs w:val="14"/>
              </w:rPr>
            </w:pPr>
          </w:p>
          <w:p w:rsidR="006312E8" w:rsidRPr="006312E8" w:rsidRDefault="006312E8" w:rsidP="006312E8">
            <w:pPr>
              <w:spacing w:after="0" w:line="240" w:lineRule="auto"/>
              <w:ind w:right="-20"/>
              <w:rPr>
                <w:rFonts w:ascii="Arial Narrow" w:eastAsia="Calibri" w:hAnsi="Arial Narrow" w:cs="Arial Narrow"/>
                <w:b/>
                <w:sz w:val="14"/>
                <w:szCs w:val="14"/>
                <w:lang w:val="es-ES"/>
              </w:rPr>
            </w:pPr>
            <w:r w:rsidRPr="006312E8">
              <w:rPr>
                <w:rFonts w:ascii="Arial Narrow" w:eastAsia="Calibri" w:hAnsi="Arial Narrow" w:cs="Arial Narrow"/>
                <w:b/>
                <w:spacing w:val="1"/>
                <w:sz w:val="14"/>
                <w:szCs w:val="14"/>
                <w:lang w:val="es-ES"/>
              </w:rPr>
              <w:t>N</w:t>
            </w:r>
            <w:r w:rsidRPr="006312E8">
              <w:rPr>
                <w:rFonts w:ascii="Arial Narrow" w:eastAsia="Calibri" w:hAnsi="Arial Narrow" w:cs="Arial Narrow"/>
                <w:b/>
                <w:spacing w:val="-1"/>
                <w:sz w:val="14"/>
                <w:szCs w:val="14"/>
                <w:lang w:val="es-ES"/>
              </w:rPr>
              <w:t>o.</w:t>
            </w:r>
          </w:p>
        </w:tc>
        <w:tc>
          <w:tcPr>
            <w:tcW w:w="567" w:type="dxa"/>
          </w:tcPr>
          <w:p w:rsidR="006312E8" w:rsidRPr="006312E8" w:rsidRDefault="006312E8" w:rsidP="006312E8">
            <w:pPr>
              <w:spacing w:after="0" w:line="240" w:lineRule="auto"/>
              <w:rPr>
                <w:rFonts w:ascii="Calibri" w:eastAsia="Calibri" w:hAnsi="Calibri" w:cs="Times New Roman"/>
                <w:b/>
                <w:sz w:val="14"/>
                <w:szCs w:val="14"/>
                <w:lang w:val="es-ES"/>
              </w:rPr>
            </w:pPr>
          </w:p>
        </w:tc>
      </w:tr>
      <w:tr w:rsidR="006312E8" w:rsidRPr="006312E8" w:rsidTr="00D04998">
        <w:trPr>
          <w:trHeight w:hRule="exact" w:val="324"/>
        </w:trPr>
        <w:tc>
          <w:tcPr>
            <w:tcW w:w="2235" w:type="dxa"/>
          </w:tcPr>
          <w:p w:rsidR="006312E8" w:rsidRPr="006312E8" w:rsidRDefault="006312E8" w:rsidP="006312E8">
            <w:pPr>
              <w:spacing w:before="49" w:after="0" w:line="240" w:lineRule="auto"/>
              <w:ind w:right="-20"/>
              <w:rPr>
                <w:rFonts w:ascii="Arial Narrow" w:eastAsia="Calibri" w:hAnsi="Arial Narrow" w:cs="Arial Narrow"/>
                <w:b/>
                <w:sz w:val="14"/>
                <w:szCs w:val="14"/>
              </w:rPr>
            </w:pPr>
            <w:r w:rsidRPr="006312E8">
              <w:rPr>
                <w:rFonts w:ascii="Arial Narrow" w:eastAsia="Calibri" w:hAnsi="Arial Narrow" w:cs="Arial Narrow"/>
                <w:b/>
                <w:spacing w:val="1"/>
                <w:sz w:val="14"/>
                <w:szCs w:val="14"/>
                <w:lang w:val="es-ES"/>
              </w:rPr>
              <w:t>HAB</w:t>
            </w:r>
            <w:r w:rsidRPr="006312E8">
              <w:rPr>
                <w:rFonts w:ascii="Arial Narrow" w:eastAsia="Calibri" w:hAnsi="Arial Narrow" w:cs="Arial Narrow"/>
                <w:b/>
                <w:spacing w:val="-1"/>
                <w:sz w:val="14"/>
                <w:szCs w:val="14"/>
                <w:lang w:val="es-ES"/>
              </w:rPr>
              <w:t>I</w:t>
            </w:r>
            <w:r w:rsidRPr="006312E8">
              <w:rPr>
                <w:rFonts w:ascii="Arial Narrow" w:eastAsia="Calibri" w:hAnsi="Arial Narrow" w:cs="Arial Narrow"/>
                <w:b/>
                <w:spacing w:val="1"/>
                <w:sz w:val="14"/>
                <w:szCs w:val="14"/>
              </w:rPr>
              <w:t>L</w:t>
            </w:r>
            <w:r w:rsidRPr="006312E8">
              <w:rPr>
                <w:rFonts w:ascii="Arial Narrow" w:eastAsia="Calibri" w:hAnsi="Arial Narrow" w:cs="Arial Narrow"/>
                <w:b/>
                <w:spacing w:val="-1"/>
                <w:sz w:val="14"/>
                <w:szCs w:val="14"/>
              </w:rPr>
              <w:t>I</w:t>
            </w:r>
            <w:r w:rsidRPr="006312E8">
              <w:rPr>
                <w:rFonts w:ascii="Arial Narrow" w:eastAsia="Calibri" w:hAnsi="Arial Narrow" w:cs="Arial Narrow"/>
                <w:b/>
                <w:spacing w:val="1"/>
                <w:sz w:val="14"/>
                <w:szCs w:val="14"/>
              </w:rPr>
              <w:t>TAC</w:t>
            </w:r>
            <w:r w:rsidRPr="006312E8">
              <w:rPr>
                <w:rFonts w:ascii="Arial Narrow" w:eastAsia="Calibri" w:hAnsi="Arial Narrow" w:cs="Arial Narrow"/>
                <w:b/>
                <w:spacing w:val="-1"/>
                <w:sz w:val="14"/>
                <w:szCs w:val="14"/>
              </w:rPr>
              <w:t>I</w:t>
            </w:r>
            <w:r w:rsidRPr="006312E8">
              <w:rPr>
                <w:rFonts w:ascii="Arial Narrow" w:eastAsia="Calibri" w:hAnsi="Arial Narrow" w:cs="Arial Narrow"/>
                <w:b/>
                <w:spacing w:val="1"/>
                <w:sz w:val="14"/>
                <w:szCs w:val="14"/>
              </w:rPr>
              <w:t>Ó</w:t>
            </w:r>
            <w:r w:rsidRPr="006312E8">
              <w:rPr>
                <w:rFonts w:ascii="Arial Narrow" w:eastAsia="Calibri" w:hAnsi="Arial Narrow" w:cs="Arial Narrow"/>
                <w:b/>
                <w:sz w:val="14"/>
                <w:szCs w:val="14"/>
              </w:rPr>
              <w:t>N</w:t>
            </w:r>
          </w:p>
        </w:tc>
        <w:tc>
          <w:tcPr>
            <w:tcW w:w="7796" w:type="dxa"/>
            <w:gridSpan w:val="8"/>
          </w:tcPr>
          <w:p w:rsidR="006312E8" w:rsidRPr="006312E8" w:rsidRDefault="006312E8" w:rsidP="006312E8">
            <w:pPr>
              <w:spacing w:after="0" w:line="240" w:lineRule="auto"/>
              <w:rPr>
                <w:rFonts w:ascii="Calibri" w:eastAsia="Calibri" w:hAnsi="Calibri" w:cs="Times New Roman"/>
                <w:b/>
                <w:sz w:val="14"/>
                <w:szCs w:val="14"/>
              </w:rPr>
            </w:pPr>
          </w:p>
        </w:tc>
      </w:tr>
      <w:tr w:rsidR="006312E8" w:rsidRPr="006312E8" w:rsidTr="00D04998">
        <w:trPr>
          <w:trHeight w:hRule="exact" w:val="372"/>
        </w:trPr>
        <w:tc>
          <w:tcPr>
            <w:tcW w:w="2235" w:type="dxa"/>
          </w:tcPr>
          <w:p w:rsidR="006312E8" w:rsidRPr="006312E8" w:rsidRDefault="006312E8" w:rsidP="006312E8">
            <w:pPr>
              <w:spacing w:before="49" w:after="0" w:line="240" w:lineRule="auto"/>
              <w:ind w:right="525"/>
              <w:rPr>
                <w:rFonts w:ascii="Arial Narrow" w:eastAsia="Calibri" w:hAnsi="Arial Narrow" w:cs="Arial Narrow"/>
                <w:b/>
                <w:sz w:val="14"/>
                <w:szCs w:val="14"/>
              </w:rPr>
            </w:pPr>
            <w:r w:rsidRPr="006312E8">
              <w:rPr>
                <w:rFonts w:ascii="Arial Narrow" w:eastAsia="Calibri" w:hAnsi="Arial Narrow" w:cs="Arial Narrow"/>
                <w:b/>
                <w:spacing w:val="1"/>
                <w:sz w:val="14"/>
                <w:szCs w:val="14"/>
              </w:rPr>
              <w:t>SECTO</w:t>
            </w:r>
            <w:r w:rsidRPr="006312E8">
              <w:rPr>
                <w:rFonts w:ascii="Arial Narrow" w:eastAsia="Calibri" w:hAnsi="Arial Narrow" w:cs="Arial Narrow"/>
                <w:b/>
                <w:sz w:val="14"/>
                <w:szCs w:val="14"/>
              </w:rPr>
              <w:t>R/ ETAPA/ ZONA</w:t>
            </w:r>
          </w:p>
        </w:tc>
        <w:tc>
          <w:tcPr>
            <w:tcW w:w="4250" w:type="dxa"/>
            <w:gridSpan w:val="2"/>
          </w:tcPr>
          <w:p w:rsidR="006312E8" w:rsidRPr="006312E8" w:rsidRDefault="006312E8" w:rsidP="006312E8">
            <w:pPr>
              <w:spacing w:after="0" w:line="240" w:lineRule="auto"/>
              <w:rPr>
                <w:rFonts w:ascii="Calibri" w:eastAsia="Calibri" w:hAnsi="Calibri" w:cs="Times New Roman"/>
                <w:b/>
                <w:sz w:val="14"/>
                <w:szCs w:val="14"/>
              </w:rPr>
            </w:pPr>
          </w:p>
        </w:tc>
        <w:tc>
          <w:tcPr>
            <w:tcW w:w="1036" w:type="dxa"/>
            <w:gridSpan w:val="2"/>
          </w:tcPr>
          <w:p w:rsidR="006312E8" w:rsidRPr="006312E8" w:rsidRDefault="006312E8" w:rsidP="006312E8">
            <w:pPr>
              <w:spacing w:before="49" w:after="0" w:line="240" w:lineRule="auto"/>
              <w:ind w:right="-20"/>
              <w:rPr>
                <w:rFonts w:ascii="Arial Narrow" w:eastAsia="Calibri" w:hAnsi="Arial Narrow" w:cs="Arial Narrow"/>
                <w:b/>
                <w:sz w:val="14"/>
                <w:szCs w:val="14"/>
              </w:rPr>
            </w:pPr>
            <w:r w:rsidRPr="006312E8">
              <w:rPr>
                <w:rFonts w:ascii="Arial Narrow" w:eastAsia="Calibri" w:hAnsi="Arial Narrow" w:cs="Arial Narrow"/>
                <w:b/>
                <w:spacing w:val="1"/>
                <w:sz w:val="14"/>
                <w:szCs w:val="14"/>
              </w:rPr>
              <w:t>MANZAN</w:t>
            </w:r>
            <w:r w:rsidRPr="006312E8">
              <w:rPr>
                <w:rFonts w:ascii="Arial Narrow" w:eastAsia="Calibri" w:hAnsi="Arial Narrow" w:cs="Arial Narrow"/>
                <w:b/>
                <w:sz w:val="14"/>
                <w:szCs w:val="14"/>
              </w:rPr>
              <w:t>A</w:t>
            </w:r>
          </w:p>
        </w:tc>
        <w:tc>
          <w:tcPr>
            <w:tcW w:w="1266" w:type="dxa"/>
            <w:gridSpan w:val="2"/>
          </w:tcPr>
          <w:p w:rsidR="006312E8" w:rsidRPr="006312E8" w:rsidRDefault="006312E8" w:rsidP="006312E8">
            <w:pPr>
              <w:spacing w:after="0" w:line="240" w:lineRule="auto"/>
              <w:rPr>
                <w:rFonts w:ascii="Calibri" w:eastAsia="Calibri" w:hAnsi="Calibri" w:cs="Times New Roman"/>
                <w:b/>
                <w:sz w:val="14"/>
                <w:szCs w:val="14"/>
              </w:rPr>
            </w:pPr>
          </w:p>
        </w:tc>
        <w:tc>
          <w:tcPr>
            <w:tcW w:w="677" w:type="dxa"/>
          </w:tcPr>
          <w:p w:rsidR="006312E8" w:rsidRPr="006312E8" w:rsidRDefault="006312E8" w:rsidP="006312E8">
            <w:pPr>
              <w:spacing w:before="51" w:after="0" w:line="240" w:lineRule="auto"/>
              <w:ind w:right="-20"/>
              <w:rPr>
                <w:rFonts w:ascii="Arial Narrow" w:eastAsia="Calibri" w:hAnsi="Arial Narrow" w:cs="Arial Narrow"/>
                <w:b/>
                <w:spacing w:val="1"/>
                <w:sz w:val="14"/>
                <w:szCs w:val="14"/>
              </w:rPr>
            </w:pPr>
            <w:r w:rsidRPr="006312E8">
              <w:rPr>
                <w:rFonts w:ascii="Arial Narrow" w:eastAsia="Calibri" w:hAnsi="Arial Narrow" w:cs="Arial Narrow"/>
                <w:b/>
                <w:spacing w:val="1"/>
                <w:sz w:val="14"/>
                <w:szCs w:val="14"/>
              </w:rPr>
              <w:t>LOTE</w:t>
            </w:r>
          </w:p>
        </w:tc>
        <w:tc>
          <w:tcPr>
            <w:tcW w:w="567" w:type="dxa"/>
          </w:tcPr>
          <w:p w:rsidR="006312E8" w:rsidRPr="006312E8" w:rsidRDefault="006312E8" w:rsidP="006312E8">
            <w:pPr>
              <w:spacing w:after="0" w:line="240" w:lineRule="auto"/>
              <w:rPr>
                <w:rFonts w:ascii="Calibri" w:eastAsia="Calibri" w:hAnsi="Calibri" w:cs="Times New Roman"/>
                <w:b/>
                <w:sz w:val="14"/>
                <w:szCs w:val="14"/>
              </w:rPr>
            </w:pPr>
          </w:p>
        </w:tc>
      </w:tr>
      <w:tr w:rsidR="006312E8" w:rsidRPr="006312E8" w:rsidTr="00D04998">
        <w:trPr>
          <w:trHeight w:hRule="exact" w:val="368"/>
        </w:trPr>
        <w:tc>
          <w:tcPr>
            <w:tcW w:w="2235" w:type="dxa"/>
          </w:tcPr>
          <w:p w:rsidR="006312E8" w:rsidRPr="006312E8" w:rsidRDefault="006312E8" w:rsidP="006312E8">
            <w:pPr>
              <w:spacing w:before="44" w:after="0" w:line="241" w:lineRule="auto"/>
              <w:ind w:right="378"/>
              <w:rPr>
                <w:rFonts w:ascii="Arial Narrow" w:eastAsia="Calibri" w:hAnsi="Arial Narrow" w:cs="Arial Narrow"/>
                <w:b/>
                <w:sz w:val="14"/>
                <w:szCs w:val="14"/>
              </w:rPr>
            </w:pPr>
            <w:r w:rsidRPr="006312E8">
              <w:rPr>
                <w:rFonts w:ascii="Arial Narrow" w:eastAsia="Calibri" w:hAnsi="Arial Narrow" w:cs="Arial Narrow"/>
                <w:b/>
                <w:spacing w:val="1"/>
                <w:sz w:val="14"/>
                <w:szCs w:val="14"/>
              </w:rPr>
              <w:t>REFERENC</w:t>
            </w:r>
            <w:r w:rsidRPr="006312E8">
              <w:rPr>
                <w:rFonts w:ascii="Arial Narrow" w:eastAsia="Calibri" w:hAnsi="Arial Narrow" w:cs="Arial Narrow"/>
                <w:b/>
                <w:spacing w:val="-1"/>
                <w:sz w:val="14"/>
                <w:szCs w:val="14"/>
              </w:rPr>
              <w:t>I</w:t>
            </w:r>
            <w:r w:rsidRPr="006312E8">
              <w:rPr>
                <w:rFonts w:ascii="Arial Narrow" w:eastAsia="Calibri" w:hAnsi="Arial Narrow" w:cs="Arial Narrow"/>
                <w:b/>
                <w:sz w:val="14"/>
                <w:szCs w:val="14"/>
              </w:rPr>
              <w:t xml:space="preserve">A      </w:t>
            </w:r>
            <w:r w:rsidRPr="006312E8">
              <w:rPr>
                <w:rFonts w:ascii="Arial Narrow" w:eastAsia="Calibri" w:hAnsi="Arial Narrow" w:cs="Arial Narrow"/>
                <w:b/>
                <w:spacing w:val="1"/>
                <w:sz w:val="14"/>
                <w:szCs w:val="14"/>
              </w:rPr>
              <w:t>A</w:t>
            </w:r>
            <w:r w:rsidRPr="006312E8">
              <w:rPr>
                <w:rFonts w:ascii="Arial Narrow" w:eastAsia="Calibri" w:hAnsi="Arial Narrow" w:cs="Arial Narrow"/>
                <w:b/>
                <w:sz w:val="14"/>
                <w:szCs w:val="14"/>
              </w:rPr>
              <w:t>V</w:t>
            </w:r>
            <w:r w:rsidRPr="006312E8">
              <w:rPr>
                <w:rFonts w:ascii="Arial Narrow" w:eastAsia="Calibri" w:hAnsi="Arial Narrow" w:cs="Arial Narrow"/>
                <w:b/>
                <w:spacing w:val="1"/>
                <w:sz w:val="14"/>
                <w:szCs w:val="14"/>
              </w:rPr>
              <w:t xml:space="preserve"> </w:t>
            </w:r>
            <w:r w:rsidRPr="006312E8">
              <w:rPr>
                <w:rFonts w:ascii="Arial Narrow" w:eastAsia="Calibri" w:hAnsi="Arial Narrow" w:cs="Arial Narrow"/>
                <w:b/>
                <w:sz w:val="14"/>
                <w:szCs w:val="14"/>
              </w:rPr>
              <w:t>/</w:t>
            </w:r>
            <w:r w:rsidRPr="006312E8">
              <w:rPr>
                <w:rFonts w:ascii="Arial Narrow" w:eastAsia="Calibri" w:hAnsi="Arial Narrow" w:cs="Arial Narrow"/>
                <w:b/>
                <w:spacing w:val="-1"/>
                <w:sz w:val="14"/>
                <w:szCs w:val="14"/>
              </w:rPr>
              <w:t xml:space="preserve"> </w:t>
            </w:r>
            <w:r w:rsidRPr="006312E8">
              <w:rPr>
                <w:rFonts w:ascii="Arial Narrow" w:eastAsia="Calibri" w:hAnsi="Arial Narrow" w:cs="Arial Narrow"/>
                <w:b/>
                <w:spacing w:val="1"/>
                <w:sz w:val="14"/>
                <w:szCs w:val="14"/>
              </w:rPr>
              <w:t>C</w:t>
            </w:r>
            <w:r w:rsidRPr="006312E8">
              <w:rPr>
                <w:rFonts w:ascii="Arial Narrow" w:eastAsia="Calibri" w:hAnsi="Arial Narrow" w:cs="Arial Narrow"/>
                <w:b/>
                <w:sz w:val="14"/>
                <w:szCs w:val="14"/>
              </w:rPr>
              <w:t>A</w:t>
            </w:r>
            <w:r w:rsidRPr="006312E8">
              <w:rPr>
                <w:rFonts w:ascii="Arial Narrow" w:eastAsia="Calibri" w:hAnsi="Arial Narrow" w:cs="Arial Narrow"/>
                <w:b/>
                <w:spacing w:val="1"/>
                <w:sz w:val="14"/>
                <w:szCs w:val="14"/>
              </w:rPr>
              <w:t xml:space="preserve"> </w:t>
            </w:r>
            <w:r w:rsidRPr="006312E8">
              <w:rPr>
                <w:rFonts w:ascii="Arial Narrow" w:eastAsia="Calibri" w:hAnsi="Arial Narrow" w:cs="Arial Narrow"/>
                <w:b/>
                <w:sz w:val="14"/>
                <w:szCs w:val="14"/>
              </w:rPr>
              <w:t>/</w:t>
            </w:r>
            <w:r w:rsidRPr="006312E8">
              <w:rPr>
                <w:rFonts w:ascii="Arial Narrow" w:eastAsia="Calibri" w:hAnsi="Arial Narrow" w:cs="Arial Narrow"/>
                <w:b/>
                <w:spacing w:val="-1"/>
                <w:sz w:val="14"/>
                <w:szCs w:val="14"/>
              </w:rPr>
              <w:t xml:space="preserve"> J</w:t>
            </w:r>
            <w:r w:rsidRPr="006312E8">
              <w:rPr>
                <w:rFonts w:ascii="Arial Narrow" w:eastAsia="Calibri" w:hAnsi="Arial Narrow" w:cs="Arial Narrow"/>
                <w:b/>
                <w:sz w:val="14"/>
                <w:szCs w:val="14"/>
              </w:rPr>
              <w:t>R</w:t>
            </w:r>
          </w:p>
        </w:tc>
        <w:tc>
          <w:tcPr>
            <w:tcW w:w="7796" w:type="dxa"/>
            <w:gridSpan w:val="8"/>
          </w:tcPr>
          <w:p w:rsidR="006312E8" w:rsidRPr="006312E8" w:rsidRDefault="006312E8" w:rsidP="006312E8">
            <w:pPr>
              <w:spacing w:before="51" w:after="0" w:line="240" w:lineRule="auto"/>
              <w:ind w:right="-20"/>
              <w:rPr>
                <w:rFonts w:ascii="Arial Narrow" w:eastAsia="Calibri" w:hAnsi="Arial Narrow" w:cs="Arial Narrow"/>
                <w:b/>
                <w:spacing w:val="1"/>
                <w:sz w:val="14"/>
                <w:szCs w:val="14"/>
              </w:rPr>
            </w:pPr>
          </w:p>
        </w:tc>
      </w:tr>
    </w:tbl>
    <w:p w:rsidR="006312E8" w:rsidRPr="006312E8" w:rsidRDefault="006312E8" w:rsidP="006312E8">
      <w:pPr>
        <w:spacing w:before="1" w:after="0" w:line="110" w:lineRule="exact"/>
        <w:rPr>
          <w:rFonts w:ascii="Calibri" w:eastAsia="Calibri" w:hAnsi="Calibri" w:cs="Times New Roman"/>
          <w:sz w:val="11"/>
          <w:szCs w:val="11"/>
        </w:rPr>
      </w:pPr>
    </w:p>
    <w:p w:rsidR="006312E8" w:rsidRPr="006312E8" w:rsidRDefault="006312E8" w:rsidP="006312E8">
      <w:pPr>
        <w:tabs>
          <w:tab w:val="left" w:pos="620"/>
        </w:tabs>
        <w:spacing w:before="37" w:after="0" w:line="240" w:lineRule="auto"/>
        <w:ind w:right="-20"/>
        <w:outlineLvl w:val="0"/>
        <w:rPr>
          <w:rFonts w:ascii="Arial Narrow" w:eastAsia="Calibri" w:hAnsi="Arial Narrow" w:cs="Arial"/>
          <w:b/>
          <w:sz w:val="16"/>
          <w:szCs w:val="16"/>
        </w:rPr>
      </w:pPr>
      <w:r w:rsidRPr="006312E8">
        <w:rPr>
          <w:rFonts w:ascii="Arial Narrow" w:eastAsia="Calibri" w:hAnsi="Arial Narrow" w:cs="Arial"/>
          <w:b/>
          <w:sz w:val="16"/>
          <w:szCs w:val="16"/>
        </w:rPr>
        <w:t xml:space="preserve">3.2   DATOS REGISTRALES DEL PREDIO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3685"/>
        <w:gridCol w:w="851"/>
        <w:gridCol w:w="1843"/>
        <w:gridCol w:w="708"/>
        <w:gridCol w:w="851"/>
      </w:tblGrid>
      <w:tr w:rsidR="006312E8" w:rsidRPr="006312E8" w:rsidTr="00D04998">
        <w:trPr>
          <w:trHeight w:hRule="exact" w:val="342"/>
        </w:trPr>
        <w:tc>
          <w:tcPr>
            <w:tcW w:w="2093" w:type="dxa"/>
          </w:tcPr>
          <w:p w:rsidR="006312E8" w:rsidRPr="006312E8" w:rsidRDefault="006312E8" w:rsidP="006312E8">
            <w:pPr>
              <w:spacing w:before="51" w:after="0" w:line="240" w:lineRule="auto"/>
              <w:ind w:right="-20"/>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DENOMINACIÓN</w:t>
            </w:r>
          </w:p>
        </w:tc>
        <w:tc>
          <w:tcPr>
            <w:tcW w:w="7938" w:type="dxa"/>
            <w:gridSpan w:val="5"/>
          </w:tcPr>
          <w:p w:rsidR="006312E8" w:rsidRPr="006312E8" w:rsidRDefault="006312E8" w:rsidP="006312E8">
            <w:pPr>
              <w:spacing w:before="42" w:after="0" w:line="240" w:lineRule="auto"/>
              <w:ind w:left="62" w:right="-20"/>
              <w:rPr>
                <w:rFonts w:ascii="Arial Narrow" w:eastAsia="Calibri" w:hAnsi="Arial Narrow" w:cs="Arial Narrow"/>
                <w:b/>
                <w:sz w:val="14"/>
                <w:szCs w:val="14"/>
                <w:lang w:val="es-ES"/>
              </w:rPr>
            </w:pPr>
          </w:p>
        </w:tc>
      </w:tr>
      <w:tr w:rsidR="006312E8" w:rsidRPr="006312E8" w:rsidTr="00D04998">
        <w:trPr>
          <w:trHeight w:hRule="exact" w:val="488"/>
        </w:trPr>
        <w:tc>
          <w:tcPr>
            <w:tcW w:w="2093" w:type="dxa"/>
          </w:tcPr>
          <w:p w:rsidR="006312E8" w:rsidRPr="006312E8" w:rsidRDefault="006312E8" w:rsidP="006312E8">
            <w:pPr>
              <w:spacing w:before="51" w:after="0" w:line="240" w:lineRule="auto"/>
              <w:ind w:right="-20"/>
              <w:rPr>
                <w:rFonts w:ascii="Arial Narrow" w:eastAsia="Calibri" w:hAnsi="Arial Narrow" w:cs="Arial Narrow"/>
                <w:b/>
                <w:sz w:val="14"/>
                <w:szCs w:val="14"/>
                <w:lang w:val="es-ES"/>
              </w:rPr>
            </w:pPr>
            <w:r w:rsidRPr="006312E8">
              <w:rPr>
                <w:rFonts w:ascii="Arial Narrow" w:eastAsia="Calibri" w:hAnsi="Arial Narrow" w:cs="Arial Narrow"/>
                <w:b/>
                <w:spacing w:val="1"/>
                <w:sz w:val="14"/>
                <w:szCs w:val="14"/>
                <w:lang w:val="es-ES"/>
              </w:rPr>
              <w:t>T</w:t>
            </w:r>
            <w:r w:rsidRPr="006312E8">
              <w:rPr>
                <w:rFonts w:ascii="Arial Narrow" w:eastAsia="Calibri" w:hAnsi="Arial Narrow" w:cs="Arial Narrow"/>
                <w:b/>
                <w:spacing w:val="-1"/>
                <w:sz w:val="14"/>
                <w:szCs w:val="14"/>
                <w:lang w:val="es-ES"/>
              </w:rPr>
              <w:t>I</w:t>
            </w:r>
            <w:r w:rsidRPr="006312E8">
              <w:rPr>
                <w:rFonts w:ascii="Arial Narrow" w:eastAsia="Calibri" w:hAnsi="Arial Narrow" w:cs="Arial Narrow"/>
                <w:b/>
                <w:spacing w:val="1"/>
                <w:sz w:val="14"/>
                <w:szCs w:val="14"/>
                <w:lang w:val="es-ES"/>
              </w:rPr>
              <w:t>TULA</w:t>
            </w:r>
            <w:r w:rsidRPr="006312E8">
              <w:rPr>
                <w:rFonts w:ascii="Arial Narrow" w:eastAsia="Calibri" w:hAnsi="Arial Narrow" w:cs="Arial Narrow"/>
                <w:b/>
                <w:sz w:val="14"/>
                <w:szCs w:val="14"/>
                <w:lang w:val="es-ES"/>
              </w:rPr>
              <w:t>R</w:t>
            </w:r>
            <w:r w:rsidRPr="006312E8">
              <w:rPr>
                <w:rFonts w:ascii="Arial Narrow" w:eastAsia="Calibri" w:hAnsi="Arial Narrow" w:cs="Arial Narrow"/>
                <w:b/>
                <w:spacing w:val="1"/>
                <w:sz w:val="14"/>
                <w:szCs w:val="14"/>
                <w:lang w:val="es-ES"/>
              </w:rPr>
              <w:t xml:space="preserve"> DE</w:t>
            </w:r>
            <w:r w:rsidRPr="006312E8">
              <w:rPr>
                <w:rFonts w:ascii="Arial Narrow" w:eastAsia="Calibri" w:hAnsi="Arial Narrow" w:cs="Arial Narrow"/>
                <w:b/>
                <w:sz w:val="14"/>
                <w:szCs w:val="14"/>
                <w:lang w:val="es-ES"/>
              </w:rPr>
              <w:t>L</w:t>
            </w:r>
            <w:r w:rsidRPr="006312E8">
              <w:rPr>
                <w:rFonts w:ascii="Arial Narrow" w:eastAsia="Calibri" w:hAnsi="Arial Narrow" w:cs="Arial Narrow"/>
                <w:b/>
                <w:spacing w:val="1"/>
                <w:sz w:val="14"/>
                <w:szCs w:val="14"/>
                <w:lang w:val="es-ES"/>
              </w:rPr>
              <w:t xml:space="preserve"> PRED</w:t>
            </w:r>
            <w:r w:rsidRPr="006312E8">
              <w:rPr>
                <w:rFonts w:ascii="Arial Narrow" w:eastAsia="Calibri" w:hAnsi="Arial Narrow" w:cs="Arial Narrow"/>
                <w:b/>
                <w:spacing w:val="-1"/>
                <w:sz w:val="14"/>
                <w:szCs w:val="14"/>
                <w:lang w:val="es-ES"/>
              </w:rPr>
              <w:t>I</w:t>
            </w:r>
            <w:r w:rsidRPr="006312E8">
              <w:rPr>
                <w:rFonts w:ascii="Arial Narrow" w:eastAsia="Calibri" w:hAnsi="Arial Narrow" w:cs="Arial Narrow"/>
                <w:b/>
                <w:sz w:val="14"/>
                <w:szCs w:val="14"/>
                <w:lang w:val="es-ES"/>
              </w:rPr>
              <w:t>O</w:t>
            </w:r>
          </w:p>
          <w:p w:rsidR="006312E8" w:rsidRPr="006312E8" w:rsidRDefault="006312E8" w:rsidP="006312E8">
            <w:pPr>
              <w:spacing w:before="51" w:after="0" w:line="240" w:lineRule="auto"/>
              <w:ind w:right="-20"/>
              <w:rPr>
                <w:rFonts w:ascii="Arial Narrow" w:eastAsia="Calibri" w:hAnsi="Arial Narrow" w:cs="Arial Narrow"/>
                <w:b/>
                <w:sz w:val="14"/>
                <w:szCs w:val="14"/>
                <w:lang w:val="es-ES"/>
              </w:rPr>
            </w:pPr>
            <w:r w:rsidRPr="006312E8">
              <w:rPr>
                <w:rFonts w:ascii="Arial Narrow" w:eastAsia="Calibri" w:hAnsi="Arial Narrow" w:cs="Arial Narrow"/>
                <w:b/>
                <w:sz w:val="14"/>
                <w:szCs w:val="14"/>
                <w:lang w:val="es-ES"/>
              </w:rPr>
              <w:t>(PROPIETARIO)</w:t>
            </w:r>
          </w:p>
          <w:p w:rsidR="006312E8" w:rsidRPr="006312E8" w:rsidRDefault="006312E8" w:rsidP="006312E8">
            <w:pPr>
              <w:spacing w:before="42" w:after="0" w:line="240" w:lineRule="auto"/>
              <w:ind w:right="-20"/>
              <w:rPr>
                <w:rFonts w:ascii="Arial Narrow" w:eastAsia="Calibri" w:hAnsi="Arial Narrow" w:cs="Arial Narrow"/>
                <w:b/>
                <w:sz w:val="14"/>
                <w:szCs w:val="14"/>
                <w:lang w:val="es-ES"/>
              </w:rPr>
            </w:pPr>
          </w:p>
        </w:tc>
        <w:tc>
          <w:tcPr>
            <w:tcW w:w="7938" w:type="dxa"/>
            <w:gridSpan w:val="5"/>
          </w:tcPr>
          <w:p w:rsidR="006312E8" w:rsidRPr="006312E8" w:rsidRDefault="006312E8" w:rsidP="006312E8">
            <w:pPr>
              <w:spacing w:before="42" w:after="0" w:line="240" w:lineRule="auto"/>
              <w:ind w:left="62" w:right="-20"/>
              <w:rPr>
                <w:rFonts w:ascii="Arial Narrow" w:eastAsia="Calibri" w:hAnsi="Arial Narrow" w:cs="Arial Narrow"/>
                <w:b/>
                <w:sz w:val="14"/>
                <w:szCs w:val="14"/>
                <w:lang w:val="es-ES"/>
              </w:rPr>
            </w:pPr>
          </w:p>
        </w:tc>
      </w:tr>
      <w:tr w:rsidR="006312E8" w:rsidRPr="006312E8" w:rsidTr="00D04998">
        <w:trPr>
          <w:trHeight w:hRule="exact" w:val="368"/>
        </w:trPr>
        <w:tc>
          <w:tcPr>
            <w:tcW w:w="2093" w:type="dxa"/>
          </w:tcPr>
          <w:p w:rsidR="006312E8" w:rsidRPr="006312E8" w:rsidRDefault="006312E8" w:rsidP="006312E8">
            <w:pPr>
              <w:spacing w:before="51" w:after="0" w:line="240" w:lineRule="auto"/>
              <w:ind w:right="-20"/>
              <w:rPr>
                <w:rFonts w:ascii="Arial Narrow" w:eastAsia="Calibri" w:hAnsi="Arial Narrow" w:cs="Arial Narrow"/>
                <w:b/>
                <w:sz w:val="14"/>
                <w:szCs w:val="14"/>
                <w:lang w:val="es-ES"/>
              </w:rPr>
            </w:pPr>
            <w:r w:rsidRPr="006312E8">
              <w:rPr>
                <w:rFonts w:ascii="Arial Narrow" w:eastAsia="Calibri" w:hAnsi="Arial Narrow" w:cs="Arial Narrow"/>
                <w:b/>
                <w:sz w:val="14"/>
                <w:szCs w:val="14"/>
                <w:lang w:val="es-ES"/>
              </w:rPr>
              <w:t>FORMA DE ADQUISICIÓN</w:t>
            </w:r>
          </w:p>
        </w:tc>
        <w:tc>
          <w:tcPr>
            <w:tcW w:w="7938" w:type="dxa"/>
            <w:gridSpan w:val="5"/>
          </w:tcPr>
          <w:p w:rsidR="006312E8" w:rsidRPr="006312E8" w:rsidRDefault="006312E8" w:rsidP="006312E8">
            <w:pPr>
              <w:spacing w:before="51" w:after="0" w:line="240" w:lineRule="auto"/>
              <w:ind w:left="62" w:right="-20"/>
              <w:rPr>
                <w:rFonts w:ascii="Arial Narrow" w:eastAsia="Calibri" w:hAnsi="Arial Narrow" w:cs="Arial Narrow"/>
                <w:b/>
                <w:sz w:val="14"/>
                <w:szCs w:val="14"/>
                <w:lang w:val="es-ES"/>
              </w:rPr>
            </w:pPr>
          </w:p>
        </w:tc>
      </w:tr>
      <w:tr w:rsidR="006312E8" w:rsidRPr="006312E8" w:rsidTr="00D04998">
        <w:trPr>
          <w:trHeight w:hRule="exact" w:val="380"/>
        </w:trPr>
        <w:tc>
          <w:tcPr>
            <w:tcW w:w="2093" w:type="dxa"/>
          </w:tcPr>
          <w:p w:rsidR="006312E8" w:rsidRPr="006312E8" w:rsidRDefault="006312E8" w:rsidP="006312E8">
            <w:pPr>
              <w:spacing w:before="51" w:after="0" w:line="240" w:lineRule="auto"/>
              <w:ind w:right="-20"/>
              <w:rPr>
                <w:rFonts w:ascii="Arial Narrow" w:eastAsia="Calibri" w:hAnsi="Arial Narrow" w:cs="Arial Narrow"/>
                <w:b/>
                <w:sz w:val="14"/>
                <w:szCs w:val="14"/>
                <w:lang w:val="es-ES"/>
              </w:rPr>
            </w:pPr>
            <w:r w:rsidRPr="006312E8">
              <w:rPr>
                <w:rFonts w:ascii="Arial Narrow" w:eastAsia="Calibri" w:hAnsi="Arial Narrow" w:cs="Arial Narrow"/>
                <w:b/>
                <w:spacing w:val="1"/>
                <w:sz w:val="14"/>
                <w:szCs w:val="14"/>
                <w:lang w:val="es-ES"/>
              </w:rPr>
              <w:t>ACT</w:t>
            </w:r>
            <w:r w:rsidRPr="006312E8">
              <w:rPr>
                <w:rFonts w:ascii="Arial Narrow" w:eastAsia="Calibri" w:hAnsi="Arial Narrow" w:cs="Arial Narrow"/>
                <w:b/>
                <w:sz w:val="14"/>
                <w:szCs w:val="14"/>
                <w:lang w:val="es-ES"/>
              </w:rPr>
              <w:t xml:space="preserve">O </w:t>
            </w:r>
            <w:r w:rsidRPr="006312E8">
              <w:rPr>
                <w:rFonts w:ascii="Arial Narrow" w:eastAsia="Calibri" w:hAnsi="Arial Narrow" w:cs="Arial Narrow"/>
                <w:b/>
                <w:spacing w:val="-1"/>
                <w:sz w:val="14"/>
                <w:szCs w:val="14"/>
                <w:lang w:val="es-ES"/>
              </w:rPr>
              <w:t>I</w:t>
            </w:r>
            <w:r w:rsidRPr="006312E8">
              <w:rPr>
                <w:rFonts w:ascii="Arial Narrow" w:eastAsia="Calibri" w:hAnsi="Arial Narrow" w:cs="Arial Narrow"/>
                <w:b/>
                <w:spacing w:val="1"/>
                <w:sz w:val="14"/>
                <w:szCs w:val="14"/>
                <w:lang w:val="es-ES"/>
              </w:rPr>
              <w:t>NSCR</w:t>
            </w:r>
            <w:r w:rsidRPr="006312E8">
              <w:rPr>
                <w:rFonts w:ascii="Arial Narrow" w:eastAsia="Calibri" w:hAnsi="Arial Narrow" w:cs="Arial Narrow"/>
                <w:b/>
                <w:spacing w:val="-1"/>
                <w:sz w:val="14"/>
                <w:szCs w:val="14"/>
                <w:lang w:val="es-ES"/>
              </w:rPr>
              <w:t>I</w:t>
            </w:r>
            <w:r w:rsidRPr="006312E8">
              <w:rPr>
                <w:rFonts w:ascii="Arial Narrow" w:eastAsia="Calibri" w:hAnsi="Arial Narrow" w:cs="Arial Narrow"/>
                <w:b/>
                <w:spacing w:val="1"/>
                <w:sz w:val="14"/>
                <w:szCs w:val="14"/>
                <w:lang w:val="es-ES"/>
              </w:rPr>
              <w:t>T</w:t>
            </w:r>
            <w:r w:rsidRPr="006312E8">
              <w:rPr>
                <w:rFonts w:ascii="Arial Narrow" w:eastAsia="Calibri" w:hAnsi="Arial Narrow" w:cs="Arial Narrow"/>
                <w:b/>
                <w:sz w:val="14"/>
                <w:szCs w:val="14"/>
                <w:lang w:val="es-ES"/>
              </w:rPr>
              <w:t>O</w:t>
            </w:r>
          </w:p>
          <w:p w:rsidR="006312E8" w:rsidRPr="006312E8" w:rsidRDefault="006312E8" w:rsidP="006312E8">
            <w:pPr>
              <w:spacing w:before="51" w:after="0" w:line="240" w:lineRule="auto"/>
              <w:ind w:right="-20"/>
              <w:rPr>
                <w:rFonts w:ascii="Arial Narrow" w:eastAsia="Calibri" w:hAnsi="Arial Narrow" w:cs="Arial Narrow"/>
                <w:b/>
                <w:sz w:val="14"/>
                <w:szCs w:val="14"/>
                <w:lang w:val="es-ES"/>
              </w:rPr>
            </w:pPr>
          </w:p>
        </w:tc>
        <w:tc>
          <w:tcPr>
            <w:tcW w:w="7938" w:type="dxa"/>
            <w:gridSpan w:val="5"/>
          </w:tcPr>
          <w:p w:rsidR="006312E8" w:rsidRPr="006312E8" w:rsidRDefault="006312E8" w:rsidP="006312E8">
            <w:pPr>
              <w:spacing w:after="0" w:line="240" w:lineRule="auto"/>
              <w:rPr>
                <w:rFonts w:ascii="Calibri" w:eastAsia="Calibri" w:hAnsi="Calibri" w:cs="Times New Roman"/>
                <w:b/>
                <w:sz w:val="14"/>
                <w:szCs w:val="14"/>
                <w:lang w:val="es-ES"/>
              </w:rPr>
            </w:pPr>
          </w:p>
        </w:tc>
      </w:tr>
      <w:tr w:rsidR="006312E8" w:rsidRPr="006312E8" w:rsidTr="00D04998">
        <w:trPr>
          <w:trHeight w:hRule="exact" w:val="380"/>
        </w:trPr>
        <w:tc>
          <w:tcPr>
            <w:tcW w:w="2093" w:type="dxa"/>
          </w:tcPr>
          <w:p w:rsidR="006312E8" w:rsidRPr="006312E8" w:rsidRDefault="006312E8" w:rsidP="006312E8">
            <w:pPr>
              <w:spacing w:before="51" w:after="0" w:line="240" w:lineRule="auto"/>
              <w:ind w:right="-20"/>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INSTRUMENTO</w:t>
            </w:r>
          </w:p>
        </w:tc>
        <w:tc>
          <w:tcPr>
            <w:tcW w:w="7938" w:type="dxa"/>
            <w:gridSpan w:val="5"/>
          </w:tcPr>
          <w:tbl>
            <w:tblPr>
              <w:tblW w:w="6883" w:type="dxa"/>
              <w:tblInd w:w="3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843"/>
              <w:gridCol w:w="708"/>
              <w:gridCol w:w="3907"/>
            </w:tblGrid>
            <w:tr w:rsidR="006312E8" w:rsidRPr="006312E8" w:rsidTr="00D04998">
              <w:trPr>
                <w:trHeight w:hRule="exact" w:val="420"/>
              </w:trPr>
              <w:tc>
                <w:tcPr>
                  <w:tcW w:w="425" w:type="dxa"/>
                  <w:tcBorders>
                    <w:top w:val="single" w:sz="4" w:space="0" w:color="auto"/>
                    <w:left w:val="single" w:sz="4" w:space="0" w:color="auto"/>
                    <w:bottom w:val="single" w:sz="4" w:space="0" w:color="auto"/>
                    <w:right w:val="single" w:sz="4" w:space="0" w:color="auto"/>
                  </w:tcBorders>
                </w:tcPr>
                <w:p w:rsidR="006312E8" w:rsidRPr="006312E8" w:rsidRDefault="006312E8" w:rsidP="006312E8">
                  <w:pPr>
                    <w:spacing w:before="51" w:after="0" w:line="240" w:lineRule="auto"/>
                    <w:ind w:right="-20"/>
                    <w:rPr>
                      <w:rFonts w:ascii="Arial Narrow" w:eastAsia="Calibri" w:hAnsi="Arial Narrow" w:cs="Arial Narrow"/>
                      <w:b/>
                      <w:sz w:val="14"/>
                      <w:szCs w:val="14"/>
                      <w:lang w:val="es-ES"/>
                    </w:rPr>
                  </w:pPr>
                  <w:r w:rsidRPr="006312E8">
                    <w:rPr>
                      <w:rFonts w:ascii="Arial Narrow" w:eastAsia="Calibri" w:hAnsi="Arial Narrow" w:cs="Arial Narrow"/>
                      <w:b/>
                      <w:sz w:val="14"/>
                      <w:szCs w:val="14"/>
                      <w:lang w:val="es-ES"/>
                    </w:rPr>
                    <w:t>No.</w:t>
                  </w:r>
                </w:p>
              </w:tc>
              <w:tc>
                <w:tcPr>
                  <w:tcW w:w="1843" w:type="dxa"/>
                  <w:tcBorders>
                    <w:top w:val="single" w:sz="4" w:space="0" w:color="auto"/>
                    <w:left w:val="single" w:sz="4" w:space="0" w:color="auto"/>
                    <w:bottom w:val="single" w:sz="4" w:space="0" w:color="auto"/>
                    <w:right w:val="single" w:sz="4" w:space="0" w:color="auto"/>
                  </w:tcBorders>
                </w:tcPr>
                <w:p w:rsidR="006312E8" w:rsidRPr="006312E8" w:rsidRDefault="006312E8" w:rsidP="006312E8">
                  <w:pPr>
                    <w:spacing w:after="0" w:line="240" w:lineRule="auto"/>
                    <w:rPr>
                      <w:rFonts w:ascii="Calibri" w:eastAsia="Calibri" w:hAnsi="Calibri" w:cs="Times New Roman"/>
                      <w:b/>
                      <w:sz w:val="14"/>
                      <w:szCs w:val="14"/>
                      <w:lang w:val="es-ES"/>
                    </w:rPr>
                  </w:pPr>
                </w:p>
              </w:tc>
              <w:tc>
                <w:tcPr>
                  <w:tcW w:w="708" w:type="dxa"/>
                  <w:tcBorders>
                    <w:top w:val="single" w:sz="4" w:space="0" w:color="auto"/>
                    <w:left w:val="single" w:sz="4" w:space="0" w:color="auto"/>
                    <w:bottom w:val="single" w:sz="4" w:space="0" w:color="auto"/>
                    <w:right w:val="single" w:sz="4" w:space="0" w:color="auto"/>
                  </w:tcBorders>
                </w:tcPr>
                <w:p w:rsidR="006312E8" w:rsidRPr="006312E8" w:rsidRDefault="006312E8" w:rsidP="006312E8">
                  <w:pPr>
                    <w:spacing w:before="51" w:after="0" w:line="240" w:lineRule="auto"/>
                    <w:ind w:left="96" w:right="-20"/>
                    <w:rPr>
                      <w:rFonts w:ascii="Arial Narrow" w:eastAsia="Calibri" w:hAnsi="Arial Narrow" w:cs="Arial Narrow"/>
                      <w:b/>
                      <w:sz w:val="14"/>
                      <w:szCs w:val="14"/>
                      <w:lang w:val="es-ES"/>
                    </w:rPr>
                  </w:pPr>
                  <w:r w:rsidRPr="006312E8">
                    <w:rPr>
                      <w:rFonts w:ascii="Arial Narrow" w:eastAsia="Calibri" w:hAnsi="Arial Narrow" w:cs="Arial Narrow"/>
                      <w:b/>
                      <w:spacing w:val="1"/>
                      <w:sz w:val="14"/>
                      <w:szCs w:val="14"/>
                      <w:lang w:val="es-ES"/>
                    </w:rPr>
                    <w:t>FECH</w:t>
                  </w:r>
                  <w:r w:rsidRPr="006312E8">
                    <w:rPr>
                      <w:rFonts w:ascii="Arial Narrow" w:eastAsia="Calibri" w:hAnsi="Arial Narrow" w:cs="Arial Narrow"/>
                      <w:b/>
                      <w:sz w:val="14"/>
                      <w:szCs w:val="14"/>
                      <w:lang w:val="es-ES"/>
                    </w:rPr>
                    <w:t>A</w:t>
                  </w:r>
                </w:p>
              </w:tc>
              <w:tc>
                <w:tcPr>
                  <w:tcW w:w="3907" w:type="dxa"/>
                  <w:tcBorders>
                    <w:top w:val="single" w:sz="4" w:space="0" w:color="auto"/>
                    <w:left w:val="single" w:sz="4" w:space="0" w:color="auto"/>
                    <w:bottom w:val="single" w:sz="4" w:space="0" w:color="auto"/>
                    <w:right w:val="single" w:sz="4" w:space="0" w:color="auto"/>
                  </w:tcBorders>
                </w:tcPr>
                <w:p w:rsidR="006312E8" w:rsidRPr="006312E8" w:rsidRDefault="006312E8" w:rsidP="006312E8">
                  <w:pPr>
                    <w:spacing w:after="0" w:line="240" w:lineRule="auto"/>
                    <w:rPr>
                      <w:rFonts w:ascii="Calibri" w:eastAsia="Calibri" w:hAnsi="Calibri" w:cs="Times New Roman"/>
                      <w:b/>
                      <w:sz w:val="14"/>
                      <w:szCs w:val="14"/>
                      <w:lang w:val="es-ES"/>
                    </w:rPr>
                  </w:pPr>
                </w:p>
              </w:tc>
            </w:tr>
          </w:tbl>
          <w:p w:rsidR="006312E8" w:rsidRPr="006312E8" w:rsidRDefault="006312E8" w:rsidP="006312E8">
            <w:pPr>
              <w:spacing w:after="0" w:line="240" w:lineRule="auto"/>
              <w:rPr>
                <w:rFonts w:ascii="Calibri" w:eastAsia="Calibri" w:hAnsi="Calibri" w:cs="Times New Roman"/>
                <w:b/>
                <w:sz w:val="14"/>
                <w:szCs w:val="14"/>
                <w:lang w:val="es-ES"/>
              </w:rPr>
            </w:pPr>
          </w:p>
        </w:tc>
      </w:tr>
      <w:tr w:rsidR="006312E8" w:rsidRPr="006312E8" w:rsidTr="00D04998">
        <w:trPr>
          <w:trHeight w:hRule="exact" w:val="380"/>
        </w:trPr>
        <w:tc>
          <w:tcPr>
            <w:tcW w:w="2093" w:type="dxa"/>
          </w:tcPr>
          <w:p w:rsidR="006312E8" w:rsidRPr="006312E8" w:rsidRDefault="006312E8" w:rsidP="006312E8">
            <w:pPr>
              <w:spacing w:before="51" w:after="0" w:line="240" w:lineRule="auto"/>
              <w:ind w:right="-20"/>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PARTIDA MATRIZ</w:t>
            </w:r>
          </w:p>
        </w:tc>
        <w:tc>
          <w:tcPr>
            <w:tcW w:w="7938" w:type="dxa"/>
            <w:gridSpan w:val="5"/>
          </w:tcPr>
          <w:p w:rsidR="006312E8" w:rsidRPr="006312E8" w:rsidRDefault="006312E8" w:rsidP="006312E8">
            <w:pPr>
              <w:spacing w:before="51" w:after="0" w:line="240" w:lineRule="auto"/>
              <w:ind w:left="96" w:right="-20"/>
              <w:rPr>
                <w:rFonts w:ascii="Arial Narrow" w:eastAsia="Calibri" w:hAnsi="Arial Narrow" w:cs="Arial Narrow"/>
                <w:b/>
                <w:sz w:val="14"/>
                <w:szCs w:val="14"/>
                <w:lang w:val="es-ES"/>
              </w:rPr>
            </w:pPr>
          </w:p>
        </w:tc>
      </w:tr>
      <w:tr w:rsidR="006312E8" w:rsidRPr="006312E8" w:rsidTr="00D04998">
        <w:trPr>
          <w:trHeight w:hRule="exact" w:val="420"/>
        </w:trPr>
        <w:tc>
          <w:tcPr>
            <w:tcW w:w="2093" w:type="dxa"/>
          </w:tcPr>
          <w:p w:rsidR="006312E8" w:rsidRPr="006312E8" w:rsidRDefault="006312E8" w:rsidP="006312E8">
            <w:pPr>
              <w:spacing w:before="51" w:after="0" w:line="240" w:lineRule="auto"/>
              <w:ind w:right="-20"/>
              <w:rPr>
                <w:rFonts w:ascii="Arial Narrow" w:eastAsia="Calibri" w:hAnsi="Arial Narrow" w:cs="Arial Narrow"/>
                <w:b/>
                <w:sz w:val="14"/>
                <w:szCs w:val="14"/>
                <w:lang w:val="es-ES"/>
              </w:rPr>
            </w:pPr>
            <w:r w:rsidRPr="006312E8">
              <w:rPr>
                <w:rFonts w:ascii="Arial Narrow" w:eastAsia="Calibri" w:hAnsi="Arial Narrow" w:cs="Arial Narrow"/>
                <w:b/>
                <w:spacing w:val="-1"/>
                <w:sz w:val="14"/>
                <w:szCs w:val="14"/>
                <w:lang w:val="es-ES"/>
              </w:rPr>
              <w:t>INDEPENDIZACIÓN</w:t>
            </w:r>
          </w:p>
        </w:tc>
        <w:tc>
          <w:tcPr>
            <w:tcW w:w="3685" w:type="dxa"/>
          </w:tcPr>
          <w:p w:rsidR="006312E8" w:rsidRPr="006312E8" w:rsidRDefault="006312E8" w:rsidP="006312E8">
            <w:pPr>
              <w:spacing w:after="0" w:line="240" w:lineRule="auto"/>
              <w:rPr>
                <w:rFonts w:ascii="Calibri" w:eastAsia="Calibri" w:hAnsi="Calibri" w:cs="Times New Roman"/>
                <w:b/>
                <w:sz w:val="14"/>
                <w:szCs w:val="14"/>
                <w:lang w:val="es-ES"/>
              </w:rPr>
            </w:pPr>
          </w:p>
        </w:tc>
        <w:tc>
          <w:tcPr>
            <w:tcW w:w="851" w:type="dxa"/>
          </w:tcPr>
          <w:p w:rsidR="006312E8" w:rsidRPr="006312E8" w:rsidRDefault="006312E8" w:rsidP="006312E8">
            <w:pPr>
              <w:spacing w:before="51" w:after="0" w:line="240" w:lineRule="auto"/>
              <w:ind w:right="-20"/>
              <w:rPr>
                <w:rFonts w:ascii="Arial Narrow" w:eastAsia="Calibri" w:hAnsi="Arial Narrow" w:cs="Arial Narrow"/>
                <w:b/>
                <w:sz w:val="14"/>
                <w:szCs w:val="14"/>
                <w:lang w:val="es-ES"/>
              </w:rPr>
            </w:pPr>
            <w:r w:rsidRPr="006312E8">
              <w:rPr>
                <w:rFonts w:ascii="Arial Narrow" w:eastAsia="Calibri" w:hAnsi="Arial Narrow" w:cs="Arial Narrow"/>
                <w:b/>
                <w:sz w:val="14"/>
                <w:szCs w:val="14"/>
                <w:lang w:val="es-ES"/>
              </w:rPr>
              <w:t>PARTIDA</w:t>
            </w:r>
          </w:p>
        </w:tc>
        <w:tc>
          <w:tcPr>
            <w:tcW w:w="1843" w:type="dxa"/>
          </w:tcPr>
          <w:p w:rsidR="006312E8" w:rsidRPr="006312E8" w:rsidRDefault="006312E8" w:rsidP="006312E8">
            <w:pPr>
              <w:spacing w:after="0" w:line="240" w:lineRule="auto"/>
              <w:rPr>
                <w:rFonts w:ascii="Calibri" w:eastAsia="Calibri" w:hAnsi="Calibri" w:cs="Times New Roman"/>
                <w:b/>
                <w:sz w:val="14"/>
                <w:szCs w:val="14"/>
                <w:lang w:val="es-ES"/>
              </w:rPr>
            </w:pPr>
          </w:p>
        </w:tc>
        <w:tc>
          <w:tcPr>
            <w:tcW w:w="708" w:type="dxa"/>
          </w:tcPr>
          <w:p w:rsidR="006312E8" w:rsidRPr="006312E8" w:rsidRDefault="006312E8" w:rsidP="006312E8">
            <w:pPr>
              <w:spacing w:before="51" w:after="0" w:line="240" w:lineRule="auto"/>
              <w:ind w:left="96" w:right="-20"/>
              <w:rPr>
                <w:rFonts w:ascii="Arial Narrow" w:eastAsia="Calibri" w:hAnsi="Arial Narrow" w:cs="Arial Narrow"/>
                <w:b/>
                <w:sz w:val="14"/>
                <w:szCs w:val="14"/>
                <w:lang w:val="es-ES"/>
              </w:rPr>
            </w:pPr>
            <w:r w:rsidRPr="006312E8">
              <w:rPr>
                <w:rFonts w:ascii="Arial Narrow" w:eastAsia="Calibri" w:hAnsi="Arial Narrow" w:cs="Arial Narrow"/>
                <w:b/>
                <w:spacing w:val="1"/>
                <w:sz w:val="14"/>
                <w:szCs w:val="14"/>
                <w:lang w:val="es-ES"/>
              </w:rPr>
              <w:t>FECH</w:t>
            </w:r>
            <w:r w:rsidRPr="006312E8">
              <w:rPr>
                <w:rFonts w:ascii="Arial Narrow" w:eastAsia="Calibri" w:hAnsi="Arial Narrow" w:cs="Arial Narrow"/>
                <w:b/>
                <w:sz w:val="14"/>
                <w:szCs w:val="14"/>
                <w:lang w:val="es-ES"/>
              </w:rPr>
              <w:t>A</w:t>
            </w:r>
          </w:p>
        </w:tc>
        <w:tc>
          <w:tcPr>
            <w:tcW w:w="851" w:type="dxa"/>
          </w:tcPr>
          <w:p w:rsidR="006312E8" w:rsidRPr="006312E8" w:rsidRDefault="006312E8" w:rsidP="006312E8">
            <w:pPr>
              <w:spacing w:after="0" w:line="240" w:lineRule="auto"/>
              <w:rPr>
                <w:rFonts w:ascii="Calibri" w:eastAsia="Calibri" w:hAnsi="Calibri" w:cs="Times New Roman"/>
                <w:b/>
                <w:sz w:val="14"/>
                <w:szCs w:val="14"/>
                <w:lang w:val="es-ES"/>
              </w:rPr>
            </w:pPr>
          </w:p>
        </w:tc>
      </w:tr>
      <w:tr w:rsidR="006312E8" w:rsidRPr="006312E8" w:rsidTr="00D04998">
        <w:trPr>
          <w:trHeight w:hRule="exact" w:val="550"/>
        </w:trPr>
        <w:tc>
          <w:tcPr>
            <w:tcW w:w="2093" w:type="dxa"/>
          </w:tcPr>
          <w:p w:rsidR="006312E8" w:rsidRPr="006312E8" w:rsidRDefault="006312E8" w:rsidP="006312E8">
            <w:pPr>
              <w:spacing w:before="51" w:after="0" w:line="240" w:lineRule="auto"/>
              <w:ind w:right="-20"/>
              <w:rPr>
                <w:rFonts w:ascii="Arial Narrow" w:eastAsia="Calibri" w:hAnsi="Arial Narrow" w:cs="Arial Narrow"/>
                <w:b/>
                <w:sz w:val="14"/>
                <w:szCs w:val="14"/>
                <w:lang w:val="es-ES"/>
              </w:rPr>
            </w:pPr>
            <w:r w:rsidRPr="006312E8">
              <w:rPr>
                <w:rFonts w:ascii="Arial Narrow" w:eastAsia="Calibri" w:hAnsi="Arial Narrow" w:cs="Arial Narrow"/>
                <w:b/>
                <w:spacing w:val="-1"/>
                <w:sz w:val="14"/>
                <w:szCs w:val="14"/>
                <w:lang w:val="es-ES"/>
              </w:rPr>
              <w:t>OFICINA REGISTRAL</w:t>
            </w:r>
          </w:p>
        </w:tc>
        <w:tc>
          <w:tcPr>
            <w:tcW w:w="3685" w:type="dxa"/>
          </w:tcPr>
          <w:p w:rsidR="006312E8" w:rsidRPr="006312E8" w:rsidRDefault="006312E8" w:rsidP="006312E8">
            <w:pPr>
              <w:spacing w:after="0" w:line="240" w:lineRule="auto"/>
              <w:rPr>
                <w:rFonts w:ascii="Calibri" w:eastAsia="Calibri" w:hAnsi="Calibri" w:cs="Times New Roman"/>
                <w:b/>
                <w:sz w:val="14"/>
                <w:szCs w:val="14"/>
                <w:lang w:val="es-ES"/>
              </w:rPr>
            </w:pPr>
          </w:p>
        </w:tc>
        <w:tc>
          <w:tcPr>
            <w:tcW w:w="851" w:type="dxa"/>
          </w:tcPr>
          <w:p w:rsidR="006312E8" w:rsidRPr="006312E8" w:rsidRDefault="006312E8" w:rsidP="006312E8">
            <w:pPr>
              <w:spacing w:before="51" w:after="0" w:line="240" w:lineRule="auto"/>
              <w:ind w:left="34" w:right="-20"/>
              <w:rPr>
                <w:rFonts w:ascii="Arial Narrow" w:eastAsia="Calibri" w:hAnsi="Arial Narrow" w:cs="Arial Narrow"/>
                <w:b/>
                <w:sz w:val="14"/>
                <w:szCs w:val="14"/>
                <w:lang w:val="es-ES"/>
              </w:rPr>
            </w:pPr>
            <w:r w:rsidRPr="006312E8">
              <w:rPr>
                <w:rFonts w:ascii="Arial Narrow" w:eastAsia="Calibri" w:hAnsi="Arial Narrow" w:cs="Arial Narrow"/>
                <w:b/>
                <w:spacing w:val="1"/>
                <w:sz w:val="14"/>
                <w:szCs w:val="14"/>
                <w:lang w:val="es-ES"/>
              </w:rPr>
              <w:t>ÁREA</w:t>
            </w:r>
          </w:p>
          <w:p w:rsidR="006312E8" w:rsidRPr="006312E8" w:rsidRDefault="006312E8" w:rsidP="006312E8">
            <w:pPr>
              <w:spacing w:before="51" w:after="0" w:line="240" w:lineRule="auto"/>
              <w:ind w:left="34" w:right="-20"/>
              <w:rPr>
                <w:rFonts w:ascii="Arial Narrow" w:eastAsia="Calibri" w:hAnsi="Arial Narrow" w:cs="Arial Narrow"/>
                <w:b/>
                <w:sz w:val="14"/>
                <w:szCs w:val="14"/>
                <w:lang w:val="es-ES"/>
              </w:rPr>
            </w:pPr>
            <w:r w:rsidRPr="006312E8">
              <w:rPr>
                <w:rFonts w:ascii="Arial Narrow" w:eastAsia="Calibri" w:hAnsi="Arial Narrow" w:cs="Arial Narrow"/>
                <w:b/>
                <w:sz w:val="14"/>
                <w:szCs w:val="14"/>
                <w:lang w:val="es-ES"/>
              </w:rPr>
              <w:t>INSCRITA</w:t>
            </w:r>
          </w:p>
        </w:tc>
        <w:tc>
          <w:tcPr>
            <w:tcW w:w="1843" w:type="dxa"/>
          </w:tcPr>
          <w:p w:rsidR="006312E8" w:rsidRPr="006312E8" w:rsidRDefault="006312E8" w:rsidP="006312E8">
            <w:pPr>
              <w:spacing w:before="51" w:after="0" w:line="240" w:lineRule="auto"/>
              <w:ind w:right="128"/>
              <w:rPr>
                <w:rFonts w:ascii="Arial" w:eastAsia="Calibri" w:hAnsi="Arial" w:cs="Arial"/>
                <w:b/>
                <w:sz w:val="14"/>
                <w:szCs w:val="14"/>
                <w:lang w:val="es-ES"/>
              </w:rPr>
            </w:pPr>
          </w:p>
        </w:tc>
        <w:tc>
          <w:tcPr>
            <w:tcW w:w="708" w:type="dxa"/>
          </w:tcPr>
          <w:p w:rsidR="006312E8" w:rsidRPr="006312E8" w:rsidRDefault="006312E8" w:rsidP="006312E8">
            <w:pPr>
              <w:spacing w:before="51" w:after="0" w:line="240" w:lineRule="auto"/>
              <w:ind w:left="96" w:right="-20"/>
              <w:rPr>
                <w:rFonts w:ascii="Arial Narrow" w:eastAsia="Calibri" w:hAnsi="Arial Narrow" w:cs="Arial Narrow"/>
                <w:b/>
                <w:sz w:val="14"/>
                <w:szCs w:val="14"/>
              </w:rPr>
            </w:pPr>
            <w:r w:rsidRPr="006312E8">
              <w:rPr>
                <w:rFonts w:ascii="Arial Narrow" w:eastAsia="Calibri" w:hAnsi="Arial Narrow" w:cs="Arial Narrow"/>
                <w:b/>
                <w:spacing w:val="1"/>
                <w:sz w:val="14"/>
                <w:szCs w:val="14"/>
                <w:lang w:val="es-ES"/>
              </w:rPr>
              <w:t>FE</w:t>
            </w:r>
            <w:r w:rsidRPr="006312E8">
              <w:rPr>
                <w:rFonts w:ascii="Arial Narrow" w:eastAsia="Calibri" w:hAnsi="Arial Narrow" w:cs="Arial Narrow"/>
                <w:b/>
                <w:spacing w:val="1"/>
                <w:sz w:val="14"/>
                <w:szCs w:val="14"/>
              </w:rPr>
              <w:t>CH</w:t>
            </w:r>
            <w:r w:rsidRPr="006312E8">
              <w:rPr>
                <w:rFonts w:ascii="Arial Narrow" w:eastAsia="Calibri" w:hAnsi="Arial Narrow" w:cs="Arial Narrow"/>
                <w:b/>
                <w:sz w:val="14"/>
                <w:szCs w:val="14"/>
              </w:rPr>
              <w:t>A</w:t>
            </w:r>
          </w:p>
        </w:tc>
        <w:tc>
          <w:tcPr>
            <w:tcW w:w="851" w:type="dxa"/>
          </w:tcPr>
          <w:p w:rsidR="006312E8" w:rsidRPr="006312E8" w:rsidRDefault="006312E8" w:rsidP="006312E8">
            <w:pPr>
              <w:spacing w:after="0" w:line="240" w:lineRule="auto"/>
              <w:rPr>
                <w:rFonts w:ascii="Calibri" w:eastAsia="Calibri" w:hAnsi="Calibri" w:cs="Times New Roman"/>
                <w:b/>
                <w:sz w:val="14"/>
                <w:szCs w:val="14"/>
              </w:rPr>
            </w:pPr>
          </w:p>
        </w:tc>
      </w:tr>
    </w:tbl>
    <w:p w:rsidR="006312E8" w:rsidRPr="006312E8" w:rsidRDefault="006312E8" w:rsidP="006312E8">
      <w:pPr>
        <w:spacing w:after="0" w:line="200" w:lineRule="exact"/>
        <w:rPr>
          <w:rFonts w:ascii="Calibri" w:eastAsia="Calibri" w:hAnsi="Calibri" w:cs="Times New Roman"/>
          <w:sz w:val="20"/>
          <w:szCs w:val="20"/>
          <w:lang w:val="es-ES"/>
        </w:rPr>
      </w:pP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1"/>
        <w:gridCol w:w="1073"/>
        <w:gridCol w:w="937"/>
        <w:gridCol w:w="1340"/>
        <w:gridCol w:w="1738"/>
        <w:gridCol w:w="1876"/>
        <w:gridCol w:w="1748"/>
      </w:tblGrid>
      <w:tr w:rsidR="006312E8" w:rsidRPr="006312E8" w:rsidTr="00D04998">
        <w:trPr>
          <w:trHeight w:val="270"/>
        </w:trPr>
        <w:tc>
          <w:tcPr>
            <w:tcW w:w="709" w:type="pct"/>
            <w:vAlign w:val="center"/>
          </w:tcPr>
          <w:p w:rsidR="006312E8" w:rsidRPr="006312E8" w:rsidRDefault="006312E8" w:rsidP="006312E8">
            <w:pPr>
              <w:spacing w:before="51" w:after="0" w:line="240" w:lineRule="auto"/>
              <w:ind w:right="-20"/>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ASIENTO</w:t>
            </w:r>
          </w:p>
        </w:tc>
        <w:tc>
          <w:tcPr>
            <w:tcW w:w="528" w:type="pct"/>
            <w:vAlign w:val="center"/>
          </w:tcPr>
          <w:p w:rsidR="006312E8" w:rsidRPr="006312E8" w:rsidRDefault="006312E8" w:rsidP="006312E8">
            <w:pPr>
              <w:spacing w:before="51" w:after="0" w:line="240" w:lineRule="auto"/>
              <w:ind w:right="-20"/>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FOLIO</w:t>
            </w:r>
          </w:p>
        </w:tc>
        <w:tc>
          <w:tcPr>
            <w:tcW w:w="461" w:type="pct"/>
            <w:vAlign w:val="center"/>
          </w:tcPr>
          <w:p w:rsidR="006312E8" w:rsidRPr="006312E8" w:rsidRDefault="006312E8" w:rsidP="006312E8">
            <w:pPr>
              <w:spacing w:before="51" w:after="0" w:line="240" w:lineRule="auto"/>
              <w:ind w:right="-20"/>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TOMO</w:t>
            </w:r>
          </w:p>
        </w:tc>
        <w:tc>
          <w:tcPr>
            <w:tcW w:w="660" w:type="pct"/>
            <w:vAlign w:val="center"/>
          </w:tcPr>
          <w:p w:rsidR="006312E8" w:rsidRPr="006312E8" w:rsidRDefault="006312E8" w:rsidP="006312E8">
            <w:pPr>
              <w:spacing w:before="51" w:after="0" w:line="240" w:lineRule="auto"/>
              <w:ind w:right="-20"/>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FICHA</w:t>
            </w:r>
          </w:p>
        </w:tc>
        <w:tc>
          <w:tcPr>
            <w:tcW w:w="856" w:type="pct"/>
            <w:vAlign w:val="center"/>
          </w:tcPr>
          <w:p w:rsidR="006312E8" w:rsidRPr="006312E8" w:rsidRDefault="006312E8" w:rsidP="006312E8">
            <w:pPr>
              <w:spacing w:before="51" w:after="0" w:line="240" w:lineRule="auto"/>
              <w:ind w:right="-20"/>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PART. ELEC.</w:t>
            </w:r>
          </w:p>
        </w:tc>
        <w:tc>
          <w:tcPr>
            <w:tcW w:w="924" w:type="pct"/>
            <w:vAlign w:val="center"/>
          </w:tcPr>
          <w:p w:rsidR="006312E8" w:rsidRPr="006312E8" w:rsidRDefault="006312E8" w:rsidP="006312E8">
            <w:pPr>
              <w:spacing w:before="51" w:after="0" w:line="240" w:lineRule="auto"/>
              <w:ind w:right="-20"/>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CÓDIGO PREDIO</w:t>
            </w:r>
          </w:p>
        </w:tc>
        <w:tc>
          <w:tcPr>
            <w:tcW w:w="861" w:type="pct"/>
            <w:vAlign w:val="center"/>
          </w:tcPr>
          <w:p w:rsidR="006312E8" w:rsidRPr="006312E8" w:rsidRDefault="006312E8" w:rsidP="006312E8">
            <w:pPr>
              <w:spacing w:before="51" w:after="0" w:line="240" w:lineRule="auto"/>
              <w:ind w:right="-20"/>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TÍTULO ARCHIVADO</w:t>
            </w:r>
          </w:p>
        </w:tc>
      </w:tr>
      <w:tr w:rsidR="006312E8" w:rsidRPr="006312E8" w:rsidTr="00D04998">
        <w:trPr>
          <w:trHeight w:val="270"/>
        </w:trPr>
        <w:tc>
          <w:tcPr>
            <w:tcW w:w="709" w:type="pct"/>
          </w:tcPr>
          <w:p w:rsidR="006312E8" w:rsidRPr="006312E8" w:rsidRDefault="006312E8" w:rsidP="006312E8">
            <w:pPr>
              <w:spacing w:before="51" w:after="0" w:line="240" w:lineRule="auto"/>
              <w:ind w:right="-20"/>
              <w:rPr>
                <w:rFonts w:ascii="Arial Narrow" w:eastAsia="Calibri" w:hAnsi="Arial Narrow" w:cs="Arial Narrow"/>
                <w:b/>
                <w:spacing w:val="-1"/>
                <w:sz w:val="14"/>
                <w:szCs w:val="14"/>
                <w:lang w:val="es-ES"/>
              </w:rPr>
            </w:pPr>
          </w:p>
        </w:tc>
        <w:tc>
          <w:tcPr>
            <w:tcW w:w="528" w:type="pct"/>
          </w:tcPr>
          <w:p w:rsidR="006312E8" w:rsidRPr="006312E8" w:rsidRDefault="006312E8" w:rsidP="006312E8">
            <w:pPr>
              <w:spacing w:before="51" w:after="0" w:line="240" w:lineRule="auto"/>
              <w:ind w:right="-20"/>
              <w:rPr>
                <w:rFonts w:ascii="Arial Narrow" w:eastAsia="Calibri" w:hAnsi="Arial Narrow" w:cs="Arial Narrow"/>
                <w:b/>
                <w:spacing w:val="-1"/>
                <w:sz w:val="14"/>
                <w:szCs w:val="14"/>
                <w:lang w:val="es-ES"/>
              </w:rPr>
            </w:pPr>
          </w:p>
        </w:tc>
        <w:tc>
          <w:tcPr>
            <w:tcW w:w="461" w:type="pct"/>
          </w:tcPr>
          <w:p w:rsidR="006312E8" w:rsidRPr="006312E8" w:rsidRDefault="006312E8" w:rsidP="006312E8">
            <w:pPr>
              <w:spacing w:before="51" w:after="0" w:line="240" w:lineRule="auto"/>
              <w:ind w:right="-20"/>
              <w:rPr>
                <w:rFonts w:ascii="Arial Narrow" w:eastAsia="Calibri" w:hAnsi="Arial Narrow" w:cs="Arial Narrow"/>
                <w:b/>
                <w:spacing w:val="-1"/>
                <w:sz w:val="14"/>
                <w:szCs w:val="14"/>
                <w:lang w:val="es-ES"/>
              </w:rPr>
            </w:pPr>
          </w:p>
        </w:tc>
        <w:tc>
          <w:tcPr>
            <w:tcW w:w="660" w:type="pct"/>
          </w:tcPr>
          <w:p w:rsidR="006312E8" w:rsidRPr="006312E8" w:rsidRDefault="006312E8" w:rsidP="006312E8">
            <w:pPr>
              <w:spacing w:before="51" w:after="0" w:line="240" w:lineRule="auto"/>
              <w:ind w:right="-20"/>
              <w:rPr>
                <w:rFonts w:ascii="Arial Narrow" w:eastAsia="Calibri" w:hAnsi="Arial Narrow" w:cs="Arial Narrow"/>
                <w:b/>
                <w:spacing w:val="-1"/>
                <w:sz w:val="14"/>
                <w:szCs w:val="14"/>
                <w:lang w:val="es-ES"/>
              </w:rPr>
            </w:pPr>
          </w:p>
        </w:tc>
        <w:tc>
          <w:tcPr>
            <w:tcW w:w="856" w:type="pct"/>
          </w:tcPr>
          <w:p w:rsidR="006312E8" w:rsidRPr="006312E8" w:rsidRDefault="006312E8" w:rsidP="006312E8">
            <w:pPr>
              <w:spacing w:before="51" w:after="0" w:line="240" w:lineRule="auto"/>
              <w:ind w:right="-20"/>
              <w:rPr>
                <w:rFonts w:ascii="Arial Narrow" w:eastAsia="Calibri" w:hAnsi="Arial Narrow" w:cs="Arial Narrow"/>
                <w:b/>
                <w:spacing w:val="-1"/>
                <w:sz w:val="14"/>
                <w:szCs w:val="14"/>
                <w:lang w:val="es-ES"/>
              </w:rPr>
            </w:pPr>
          </w:p>
        </w:tc>
        <w:tc>
          <w:tcPr>
            <w:tcW w:w="924" w:type="pct"/>
          </w:tcPr>
          <w:p w:rsidR="006312E8" w:rsidRPr="006312E8" w:rsidRDefault="006312E8" w:rsidP="006312E8">
            <w:pPr>
              <w:spacing w:before="51" w:after="0" w:line="240" w:lineRule="auto"/>
              <w:ind w:right="-20"/>
              <w:rPr>
                <w:rFonts w:ascii="Arial Narrow" w:eastAsia="Calibri" w:hAnsi="Arial Narrow" w:cs="Arial Narrow"/>
                <w:b/>
                <w:spacing w:val="-1"/>
                <w:sz w:val="14"/>
                <w:szCs w:val="14"/>
                <w:lang w:val="es-ES"/>
              </w:rPr>
            </w:pPr>
          </w:p>
        </w:tc>
        <w:tc>
          <w:tcPr>
            <w:tcW w:w="861" w:type="pct"/>
          </w:tcPr>
          <w:p w:rsidR="006312E8" w:rsidRPr="006312E8" w:rsidRDefault="006312E8" w:rsidP="006312E8">
            <w:pPr>
              <w:spacing w:before="51" w:after="0" w:line="240" w:lineRule="auto"/>
              <w:ind w:right="-20"/>
              <w:rPr>
                <w:rFonts w:ascii="Arial Narrow" w:eastAsia="Calibri" w:hAnsi="Arial Narrow" w:cs="Arial Narrow"/>
                <w:b/>
                <w:spacing w:val="-1"/>
                <w:sz w:val="14"/>
                <w:szCs w:val="14"/>
                <w:lang w:val="es-ES"/>
              </w:rPr>
            </w:pPr>
          </w:p>
        </w:tc>
      </w:tr>
    </w:tbl>
    <w:p w:rsidR="006312E8" w:rsidRPr="006312E8" w:rsidRDefault="006312E8" w:rsidP="006312E8">
      <w:pPr>
        <w:spacing w:before="51" w:after="0" w:line="240" w:lineRule="auto"/>
        <w:ind w:right="-20"/>
        <w:rPr>
          <w:rFonts w:ascii="Arial Narrow" w:eastAsia="Calibri" w:hAnsi="Arial Narrow" w:cs="Arial Narrow"/>
          <w:b/>
          <w:spacing w:val="-1"/>
          <w:sz w:val="14"/>
          <w:szCs w:val="14"/>
          <w:lang w:val="es-ES"/>
        </w:rPr>
      </w:pP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8"/>
        <w:gridCol w:w="1608"/>
        <w:gridCol w:w="1590"/>
        <w:gridCol w:w="841"/>
        <w:gridCol w:w="1482"/>
        <w:gridCol w:w="749"/>
        <w:gridCol w:w="1129"/>
        <w:gridCol w:w="841"/>
        <w:gridCol w:w="875"/>
      </w:tblGrid>
      <w:tr w:rsidR="006312E8" w:rsidRPr="006312E8" w:rsidTr="00D04998">
        <w:tc>
          <w:tcPr>
            <w:tcW w:w="511" w:type="pct"/>
          </w:tcPr>
          <w:p w:rsidR="006312E8" w:rsidRPr="006312E8" w:rsidRDefault="006312E8" w:rsidP="006312E8">
            <w:pPr>
              <w:spacing w:before="51" w:after="0" w:line="240" w:lineRule="auto"/>
              <w:ind w:right="-20"/>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FÁBRICA</w:t>
            </w:r>
          </w:p>
        </w:tc>
        <w:tc>
          <w:tcPr>
            <w:tcW w:w="792" w:type="pct"/>
          </w:tcPr>
          <w:p w:rsidR="006312E8" w:rsidRPr="006312E8" w:rsidRDefault="006312E8" w:rsidP="006312E8">
            <w:pPr>
              <w:spacing w:before="51" w:after="0" w:line="240" w:lineRule="auto"/>
              <w:ind w:right="-20"/>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ÁREA CONSTRUIDA</w:t>
            </w:r>
          </w:p>
        </w:tc>
        <w:tc>
          <w:tcPr>
            <w:tcW w:w="783" w:type="pct"/>
          </w:tcPr>
          <w:p w:rsidR="006312E8" w:rsidRPr="006312E8" w:rsidRDefault="006312E8" w:rsidP="006312E8">
            <w:pPr>
              <w:spacing w:before="51" w:after="0" w:line="240" w:lineRule="auto"/>
              <w:ind w:right="-20"/>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VALOR</w:t>
            </w:r>
          </w:p>
        </w:tc>
        <w:tc>
          <w:tcPr>
            <w:tcW w:w="414" w:type="pct"/>
          </w:tcPr>
          <w:p w:rsidR="006312E8" w:rsidRPr="006312E8" w:rsidRDefault="006312E8" w:rsidP="006312E8">
            <w:pPr>
              <w:spacing w:before="51" w:after="0" w:line="240" w:lineRule="auto"/>
              <w:ind w:right="-20"/>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FICHA</w:t>
            </w:r>
          </w:p>
        </w:tc>
        <w:tc>
          <w:tcPr>
            <w:tcW w:w="730" w:type="pct"/>
          </w:tcPr>
          <w:p w:rsidR="006312E8" w:rsidRPr="006312E8" w:rsidRDefault="006312E8" w:rsidP="006312E8">
            <w:pPr>
              <w:spacing w:before="51" w:after="0" w:line="240" w:lineRule="auto"/>
              <w:ind w:right="-20"/>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PART. ELEC.</w:t>
            </w:r>
          </w:p>
        </w:tc>
        <w:tc>
          <w:tcPr>
            <w:tcW w:w="369" w:type="pct"/>
          </w:tcPr>
          <w:p w:rsidR="006312E8" w:rsidRPr="006312E8" w:rsidRDefault="006312E8" w:rsidP="006312E8">
            <w:pPr>
              <w:spacing w:before="51" w:after="0" w:line="240" w:lineRule="auto"/>
              <w:ind w:right="-20"/>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FOJA</w:t>
            </w:r>
          </w:p>
        </w:tc>
        <w:tc>
          <w:tcPr>
            <w:tcW w:w="556" w:type="pct"/>
          </w:tcPr>
          <w:p w:rsidR="006312E8" w:rsidRPr="006312E8" w:rsidRDefault="006312E8" w:rsidP="006312E8">
            <w:pPr>
              <w:spacing w:before="51" w:after="0" w:line="240" w:lineRule="auto"/>
              <w:ind w:right="-20"/>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ASIENTO</w:t>
            </w:r>
          </w:p>
        </w:tc>
        <w:tc>
          <w:tcPr>
            <w:tcW w:w="414" w:type="pct"/>
          </w:tcPr>
          <w:p w:rsidR="006312E8" w:rsidRPr="006312E8" w:rsidRDefault="006312E8" w:rsidP="006312E8">
            <w:pPr>
              <w:spacing w:before="51" w:after="0" w:line="240" w:lineRule="auto"/>
              <w:ind w:right="-20"/>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TOMO</w:t>
            </w:r>
          </w:p>
        </w:tc>
        <w:tc>
          <w:tcPr>
            <w:tcW w:w="431" w:type="pct"/>
          </w:tcPr>
          <w:p w:rsidR="006312E8" w:rsidRPr="006312E8" w:rsidRDefault="006312E8" w:rsidP="006312E8">
            <w:pPr>
              <w:spacing w:before="51" w:after="0" w:line="240" w:lineRule="auto"/>
              <w:ind w:right="-20"/>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FECHA</w:t>
            </w:r>
          </w:p>
        </w:tc>
      </w:tr>
      <w:tr w:rsidR="006312E8" w:rsidRPr="006312E8" w:rsidTr="00D04998">
        <w:tc>
          <w:tcPr>
            <w:tcW w:w="511" w:type="pct"/>
          </w:tcPr>
          <w:p w:rsidR="006312E8" w:rsidRPr="006312E8" w:rsidRDefault="006312E8" w:rsidP="006312E8">
            <w:pPr>
              <w:spacing w:before="51" w:after="0" w:line="240" w:lineRule="auto"/>
              <w:ind w:right="-20"/>
              <w:jc w:val="center"/>
              <w:rPr>
                <w:rFonts w:ascii="Arial Narrow" w:eastAsia="Calibri" w:hAnsi="Arial Narrow" w:cs="Arial Narrow"/>
                <w:b/>
                <w:spacing w:val="-1"/>
                <w:sz w:val="14"/>
                <w:szCs w:val="14"/>
                <w:lang w:val="es-ES"/>
              </w:rPr>
            </w:pPr>
          </w:p>
        </w:tc>
        <w:tc>
          <w:tcPr>
            <w:tcW w:w="792" w:type="pct"/>
          </w:tcPr>
          <w:p w:rsidR="006312E8" w:rsidRPr="006312E8" w:rsidRDefault="006312E8" w:rsidP="006312E8">
            <w:pPr>
              <w:spacing w:before="51" w:after="0" w:line="240" w:lineRule="auto"/>
              <w:ind w:right="-20"/>
              <w:jc w:val="center"/>
              <w:rPr>
                <w:rFonts w:ascii="Arial Narrow" w:eastAsia="Calibri" w:hAnsi="Arial Narrow" w:cs="Arial Narrow"/>
                <w:b/>
                <w:spacing w:val="-1"/>
                <w:sz w:val="14"/>
                <w:szCs w:val="14"/>
                <w:lang w:val="es-ES"/>
              </w:rPr>
            </w:pPr>
          </w:p>
        </w:tc>
        <w:tc>
          <w:tcPr>
            <w:tcW w:w="783" w:type="pct"/>
          </w:tcPr>
          <w:p w:rsidR="006312E8" w:rsidRPr="006312E8" w:rsidRDefault="006312E8" w:rsidP="006312E8">
            <w:pPr>
              <w:spacing w:before="51" w:after="0" w:line="240" w:lineRule="auto"/>
              <w:ind w:right="-20"/>
              <w:jc w:val="center"/>
              <w:rPr>
                <w:rFonts w:ascii="Arial Narrow" w:eastAsia="Calibri" w:hAnsi="Arial Narrow" w:cs="Arial Narrow"/>
                <w:b/>
                <w:spacing w:val="-1"/>
                <w:sz w:val="14"/>
                <w:szCs w:val="14"/>
                <w:lang w:val="es-ES"/>
              </w:rPr>
            </w:pPr>
          </w:p>
        </w:tc>
        <w:tc>
          <w:tcPr>
            <w:tcW w:w="414" w:type="pct"/>
          </w:tcPr>
          <w:p w:rsidR="006312E8" w:rsidRPr="006312E8" w:rsidRDefault="006312E8" w:rsidP="006312E8">
            <w:pPr>
              <w:spacing w:before="51" w:after="0" w:line="240" w:lineRule="auto"/>
              <w:ind w:right="-20"/>
              <w:jc w:val="center"/>
              <w:rPr>
                <w:rFonts w:ascii="Arial Narrow" w:eastAsia="Calibri" w:hAnsi="Arial Narrow" w:cs="Arial Narrow"/>
                <w:b/>
                <w:spacing w:val="-1"/>
                <w:sz w:val="14"/>
                <w:szCs w:val="14"/>
                <w:lang w:val="es-ES"/>
              </w:rPr>
            </w:pPr>
          </w:p>
        </w:tc>
        <w:tc>
          <w:tcPr>
            <w:tcW w:w="730" w:type="pct"/>
          </w:tcPr>
          <w:p w:rsidR="006312E8" w:rsidRPr="006312E8" w:rsidRDefault="006312E8" w:rsidP="006312E8">
            <w:pPr>
              <w:spacing w:before="51" w:after="0" w:line="240" w:lineRule="auto"/>
              <w:ind w:right="-20"/>
              <w:jc w:val="center"/>
              <w:rPr>
                <w:rFonts w:ascii="Arial Narrow" w:eastAsia="Calibri" w:hAnsi="Arial Narrow" w:cs="Arial Narrow"/>
                <w:b/>
                <w:spacing w:val="-1"/>
                <w:sz w:val="14"/>
                <w:szCs w:val="14"/>
                <w:lang w:val="es-ES"/>
              </w:rPr>
            </w:pPr>
          </w:p>
        </w:tc>
        <w:tc>
          <w:tcPr>
            <w:tcW w:w="369" w:type="pct"/>
          </w:tcPr>
          <w:p w:rsidR="006312E8" w:rsidRPr="006312E8" w:rsidRDefault="006312E8" w:rsidP="006312E8">
            <w:pPr>
              <w:spacing w:before="51" w:after="0" w:line="240" w:lineRule="auto"/>
              <w:ind w:right="-20"/>
              <w:jc w:val="center"/>
              <w:rPr>
                <w:rFonts w:ascii="Arial Narrow" w:eastAsia="Calibri" w:hAnsi="Arial Narrow" w:cs="Arial Narrow"/>
                <w:b/>
                <w:spacing w:val="-1"/>
                <w:sz w:val="14"/>
                <w:szCs w:val="14"/>
                <w:lang w:val="es-ES"/>
              </w:rPr>
            </w:pPr>
          </w:p>
        </w:tc>
        <w:tc>
          <w:tcPr>
            <w:tcW w:w="556" w:type="pct"/>
          </w:tcPr>
          <w:p w:rsidR="006312E8" w:rsidRPr="006312E8" w:rsidRDefault="006312E8" w:rsidP="006312E8">
            <w:pPr>
              <w:spacing w:before="51" w:after="0" w:line="240" w:lineRule="auto"/>
              <w:ind w:right="-20"/>
              <w:jc w:val="center"/>
              <w:rPr>
                <w:rFonts w:ascii="Arial Narrow" w:eastAsia="Calibri" w:hAnsi="Arial Narrow" w:cs="Arial Narrow"/>
                <w:b/>
                <w:spacing w:val="-1"/>
                <w:sz w:val="14"/>
                <w:szCs w:val="14"/>
                <w:lang w:val="es-ES"/>
              </w:rPr>
            </w:pPr>
          </w:p>
        </w:tc>
        <w:tc>
          <w:tcPr>
            <w:tcW w:w="414" w:type="pct"/>
          </w:tcPr>
          <w:p w:rsidR="006312E8" w:rsidRPr="006312E8" w:rsidRDefault="006312E8" w:rsidP="006312E8">
            <w:pPr>
              <w:spacing w:before="51" w:after="0" w:line="240" w:lineRule="auto"/>
              <w:ind w:right="-20"/>
              <w:jc w:val="center"/>
              <w:rPr>
                <w:rFonts w:ascii="Arial Narrow" w:eastAsia="Calibri" w:hAnsi="Arial Narrow" w:cs="Arial Narrow"/>
                <w:b/>
                <w:spacing w:val="-1"/>
                <w:sz w:val="14"/>
                <w:szCs w:val="14"/>
                <w:lang w:val="es-ES"/>
              </w:rPr>
            </w:pPr>
          </w:p>
        </w:tc>
        <w:tc>
          <w:tcPr>
            <w:tcW w:w="431" w:type="pct"/>
          </w:tcPr>
          <w:p w:rsidR="006312E8" w:rsidRPr="006312E8" w:rsidRDefault="006312E8" w:rsidP="006312E8">
            <w:pPr>
              <w:spacing w:before="51" w:after="0" w:line="240" w:lineRule="auto"/>
              <w:ind w:right="-20"/>
              <w:jc w:val="center"/>
              <w:rPr>
                <w:rFonts w:ascii="Arial Narrow" w:eastAsia="Calibri" w:hAnsi="Arial Narrow" w:cs="Arial Narrow"/>
                <w:b/>
                <w:spacing w:val="-1"/>
                <w:sz w:val="14"/>
                <w:szCs w:val="14"/>
                <w:lang w:val="es-ES"/>
              </w:rPr>
            </w:pPr>
          </w:p>
        </w:tc>
      </w:tr>
    </w:tbl>
    <w:p w:rsidR="006312E8" w:rsidRPr="006312E8" w:rsidRDefault="006312E8" w:rsidP="006312E8">
      <w:pPr>
        <w:tabs>
          <w:tab w:val="left" w:pos="620"/>
        </w:tabs>
        <w:spacing w:before="37" w:after="0" w:line="240" w:lineRule="auto"/>
        <w:ind w:left="115" w:right="-20"/>
        <w:outlineLvl w:val="0"/>
        <w:rPr>
          <w:rFonts w:ascii="Arial Narrow" w:eastAsia="Calibri" w:hAnsi="Arial Narrow" w:cs="Arial"/>
          <w:b/>
          <w:sz w:val="16"/>
          <w:szCs w:val="16"/>
        </w:rPr>
      </w:pPr>
      <w:r w:rsidRPr="006312E8">
        <w:rPr>
          <w:rFonts w:ascii="Arial Narrow" w:eastAsia="Calibri" w:hAnsi="Arial Narrow" w:cs="Arial"/>
          <w:b/>
          <w:sz w:val="16"/>
          <w:szCs w:val="16"/>
        </w:rPr>
        <w:t xml:space="preserve">3.3   COLINDANCIA REGISTRAL </w:t>
      </w:r>
    </w:p>
    <w:p w:rsidR="006312E8" w:rsidRPr="006312E8" w:rsidRDefault="006312E8" w:rsidP="006312E8">
      <w:pPr>
        <w:spacing w:before="2" w:after="0" w:line="130" w:lineRule="exact"/>
        <w:rPr>
          <w:rFonts w:ascii="Calibri" w:eastAsia="Calibri" w:hAnsi="Calibri" w:cs="Times New Roman"/>
          <w:sz w:val="13"/>
          <w:szCs w:val="13"/>
          <w:lang w:val="es-E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1"/>
        <w:gridCol w:w="5286"/>
        <w:gridCol w:w="992"/>
        <w:gridCol w:w="1276"/>
        <w:gridCol w:w="1276"/>
      </w:tblGrid>
      <w:tr w:rsidR="006312E8" w:rsidRPr="006312E8" w:rsidTr="00D04998">
        <w:trPr>
          <w:trHeight w:hRule="exact" w:val="469"/>
        </w:trPr>
        <w:tc>
          <w:tcPr>
            <w:tcW w:w="1201" w:type="dxa"/>
          </w:tcPr>
          <w:p w:rsidR="006312E8" w:rsidRPr="006312E8" w:rsidRDefault="006312E8" w:rsidP="006312E8">
            <w:pPr>
              <w:spacing w:before="42" w:after="0" w:line="240" w:lineRule="auto"/>
              <w:ind w:right="-20"/>
              <w:jc w:val="center"/>
              <w:rPr>
                <w:rFonts w:ascii="Arial Narrow" w:eastAsia="Calibri" w:hAnsi="Arial Narrow" w:cs="Arial Narrow"/>
                <w:b/>
                <w:sz w:val="14"/>
                <w:szCs w:val="14"/>
                <w:lang w:val="es-ES"/>
              </w:rPr>
            </w:pPr>
            <w:r w:rsidRPr="006312E8">
              <w:rPr>
                <w:rFonts w:ascii="Arial Narrow" w:eastAsia="Calibri" w:hAnsi="Arial Narrow" w:cs="Arial Narrow"/>
                <w:b/>
                <w:spacing w:val="1"/>
                <w:sz w:val="14"/>
                <w:szCs w:val="14"/>
                <w:lang w:val="es-ES"/>
              </w:rPr>
              <w:t>L</w:t>
            </w:r>
            <w:r w:rsidRPr="006312E8">
              <w:rPr>
                <w:rFonts w:ascii="Arial Narrow" w:eastAsia="Calibri" w:hAnsi="Arial Narrow" w:cs="Arial Narrow"/>
                <w:b/>
                <w:spacing w:val="-1"/>
                <w:sz w:val="14"/>
                <w:szCs w:val="14"/>
                <w:lang w:val="es-ES"/>
              </w:rPr>
              <w:t>I</w:t>
            </w:r>
            <w:r w:rsidRPr="006312E8">
              <w:rPr>
                <w:rFonts w:ascii="Arial Narrow" w:eastAsia="Calibri" w:hAnsi="Arial Narrow" w:cs="Arial Narrow"/>
                <w:b/>
                <w:spacing w:val="1"/>
                <w:sz w:val="14"/>
                <w:szCs w:val="14"/>
                <w:lang w:val="es-ES"/>
              </w:rPr>
              <w:t>NDERO</w:t>
            </w:r>
            <w:r w:rsidRPr="006312E8">
              <w:rPr>
                <w:rFonts w:ascii="Arial Narrow" w:eastAsia="Calibri" w:hAnsi="Arial Narrow" w:cs="Arial Narrow"/>
                <w:b/>
                <w:sz w:val="14"/>
                <w:szCs w:val="14"/>
                <w:lang w:val="es-ES"/>
              </w:rPr>
              <w:t>S</w:t>
            </w:r>
          </w:p>
          <w:p w:rsidR="006312E8" w:rsidRPr="006312E8" w:rsidRDefault="006312E8" w:rsidP="006312E8">
            <w:pPr>
              <w:spacing w:before="42" w:after="0" w:line="240" w:lineRule="auto"/>
              <w:ind w:right="-20"/>
              <w:jc w:val="center"/>
              <w:rPr>
                <w:rFonts w:ascii="Arial Narrow" w:eastAsia="Calibri" w:hAnsi="Arial Narrow" w:cs="Arial Narrow"/>
                <w:b/>
                <w:sz w:val="14"/>
                <w:szCs w:val="14"/>
                <w:lang w:val="es-ES"/>
              </w:rPr>
            </w:pPr>
          </w:p>
        </w:tc>
        <w:tc>
          <w:tcPr>
            <w:tcW w:w="5286" w:type="dxa"/>
          </w:tcPr>
          <w:p w:rsidR="006312E8" w:rsidRPr="006312E8" w:rsidRDefault="006312E8" w:rsidP="006312E8">
            <w:pPr>
              <w:spacing w:before="42" w:after="0" w:line="240" w:lineRule="auto"/>
              <w:ind w:right="176"/>
              <w:jc w:val="center"/>
              <w:rPr>
                <w:rFonts w:ascii="Arial Narrow" w:eastAsia="Calibri" w:hAnsi="Arial Narrow" w:cs="Arial Narrow"/>
                <w:b/>
                <w:sz w:val="14"/>
                <w:szCs w:val="14"/>
                <w:lang w:val="es-ES"/>
              </w:rPr>
            </w:pPr>
            <w:r w:rsidRPr="006312E8">
              <w:rPr>
                <w:rFonts w:ascii="Arial Narrow" w:eastAsia="Calibri" w:hAnsi="Arial Narrow" w:cs="Arial Narrow"/>
                <w:b/>
                <w:sz w:val="14"/>
                <w:szCs w:val="14"/>
                <w:lang w:val="es-ES"/>
              </w:rPr>
              <w:t>COLINDANCIA REGISTRAL</w:t>
            </w:r>
          </w:p>
        </w:tc>
        <w:tc>
          <w:tcPr>
            <w:tcW w:w="992" w:type="dxa"/>
          </w:tcPr>
          <w:p w:rsidR="006312E8" w:rsidRPr="006312E8" w:rsidRDefault="006312E8" w:rsidP="006312E8">
            <w:pPr>
              <w:spacing w:before="42" w:after="0" w:line="240" w:lineRule="auto"/>
              <w:ind w:right="-20"/>
              <w:jc w:val="center"/>
              <w:rPr>
                <w:rFonts w:ascii="Arial Narrow" w:eastAsia="Calibri" w:hAnsi="Arial Narrow" w:cs="Arial Narrow"/>
                <w:b/>
                <w:sz w:val="14"/>
                <w:szCs w:val="14"/>
                <w:lang w:val="es-ES"/>
              </w:rPr>
            </w:pPr>
            <w:r w:rsidRPr="006312E8">
              <w:rPr>
                <w:rFonts w:ascii="Arial Narrow" w:eastAsia="Calibri" w:hAnsi="Arial Narrow" w:cs="Arial Narrow"/>
                <w:b/>
                <w:spacing w:val="1"/>
                <w:sz w:val="14"/>
                <w:szCs w:val="14"/>
                <w:lang w:val="es-ES"/>
              </w:rPr>
              <w:t>TRAMO</w:t>
            </w:r>
            <w:r w:rsidRPr="006312E8">
              <w:rPr>
                <w:rFonts w:ascii="Arial Narrow" w:eastAsia="Calibri" w:hAnsi="Arial Narrow" w:cs="Arial Narrow"/>
                <w:b/>
                <w:sz w:val="14"/>
                <w:szCs w:val="14"/>
                <w:lang w:val="es-ES"/>
              </w:rPr>
              <w:t>S</w:t>
            </w:r>
          </w:p>
        </w:tc>
        <w:tc>
          <w:tcPr>
            <w:tcW w:w="1276" w:type="dxa"/>
          </w:tcPr>
          <w:p w:rsidR="006312E8" w:rsidRPr="006312E8" w:rsidRDefault="006312E8" w:rsidP="006312E8">
            <w:pPr>
              <w:spacing w:before="42" w:after="0" w:line="240" w:lineRule="auto"/>
              <w:ind w:left="110" w:right="-20"/>
              <w:jc w:val="center"/>
              <w:rPr>
                <w:rFonts w:ascii="Arial Narrow" w:eastAsia="Calibri" w:hAnsi="Arial Narrow" w:cs="Arial Narrow"/>
                <w:b/>
                <w:sz w:val="14"/>
                <w:szCs w:val="14"/>
                <w:lang w:val="es-ES"/>
              </w:rPr>
            </w:pPr>
            <w:r w:rsidRPr="006312E8">
              <w:rPr>
                <w:rFonts w:ascii="Arial Narrow" w:eastAsia="Calibri" w:hAnsi="Arial Narrow" w:cs="Arial Narrow"/>
                <w:b/>
                <w:spacing w:val="1"/>
                <w:sz w:val="14"/>
                <w:szCs w:val="14"/>
                <w:lang w:val="es-ES"/>
              </w:rPr>
              <w:t>LADO</w:t>
            </w:r>
            <w:r w:rsidRPr="006312E8">
              <w:rPr>
                <w:rFonts w:ascii="Arial Narrow" w:eastAsia="Calibri" w:hAnsi="Arial Narrow" w:cs="Arial Narrow"/>
                <w:b/>
                <w:sz w:val="14"/>
                <w:szCs w:val="14"/>
                <w:lang w:val="es-ES"/>
              </w:rPr>
              <w:t>S</w:t>
            </w:r>
            <w:r w:rsidRPr="006312E8">
              <w:rPr>
                <w:rFonts w:ascii="Arial Narrow" w:eastAsia="Calibri" w:hAnsi="Arial Narrow" w:cs="Arial Narrow"/>
                <w:b/>
                <w:spacing w:val="1"/>
                <w:sz w:val="14"/>
                <w:szCs w:val="14"/>
                <w:lang w:val="es-ES"/>
              </w:rPr>
              <w:t xml:space="preserve"> </w:t>
            </w:r>
            <w:r w:rsidRPr="006312E8">
              <w:rPr>
                <w:rFonts w:ascii="Arial Narrow" w:eastAsia="Calibri" w:hAnsi="Arial Narrow" w:cs="Arial Narrow"/>
                <w:b/>
                <w:spacing w:val="-1"/>
                <w:sz w:val="14"/>
                <w:szCs w:val="14"/>
                <w:lang w:val="es-ES"/>
              </w:rPr>
              <w:t>(</w:t>
            </w:r>
            <w:r w:rsidRPr="006312E8">
              <w:rPr>
                <w:rFonts w:ascii="Arial Narrow" w:eastAsia="Calibri" w:hAnsi="Arial Narrow" w:cs="Arial Narrow"/>
                <w:b/>
                <w:spacing w:val="1"/>
                <w:sz w:val="14"/>
                <w:szCs w:val="14"/>
                <w:lang w:val="es-ES"/>
              </w:rPr>
              <w:t>m</w:t>
            </w:r>
            <w:r w:rsidRPr="006312E8">
              <w:rPr>
                <w:rFonts w:ascii="Arial Narrow" w:eastAsia="Calibri" w:hAnsi="Arial Narrow" w:cs="Arial Narrow"/>
                <w:b/>
                <w:sz w:val="14"/>
                <w:szCs w:val="14"/>
                <w:lang w:val="es-ES"/>
              </w:rPr>
              <w:t>l)</w:t>
            </w:r>
          </w:p>
        </w:tc>
        <w:tc>
          <w:tcPr>
            <w:tcW w:w="1276" w:type="dxa"/>
          </w:tcPr>
          <w:p w:rsidR="006312E8" w:rsidRPr="006312E8" w:rsidRDefault="006312E8" w:rsidP="006312E8">
            <w:pPr>
              <w:spacing w:before="42" w:after="0" w:line="240" w:lineRule="auto"/>
              <w:ind w:left="96" w:right="-20"/>
              <w:jc w:val="center"/>
              <w:rPr>
                <w:rFonts w:ascii="Arial Narrow" w:eastAsia="Calibri" w:hAnsi="Arial Narrow" w:cs="Arial Narrow"/>
                <w:b/>
                <w:sz w:val="14"/>
                <w:szCs w:val="14"/>
                <w:lang w:val="es-ES"/>
              </w:rPr>
            </w:pPr>
            <w:r w:rsidRPr="006312E8">
              <w:rPr>
                <w:rFonts w:ascii="Arial Narrow" w:eastAsia="Calibri" w:hAnsi="Arial Narrow" w:cs="Arial Narrow"/>
                <w:b/>
                <w:spacing w:val="1"/>
                <w:sz w:val="14"/>
                <w:szCs w:val="14"/>
                <w:lang w:val="es-ES"/>
              </w:rPr>
              <w:t>N</w:t>
            </w:r>
            <w:r w:rsidRPr="006312E8">
              <w:rPr>
                <w:rFonts w:ascii="Arial Narrow" w:eastAsia="Calibri" w:hAnsi="Arial Narrow" w:cs="Arial Narrow"/>
                <w:b/>
                <w:spacing w:val="-1"/>
                <w:sz w:val="14"/>
                <w:szCs w:val="14"/>
                <w:lang w:val="es-ES"/>
              </w:rPr>
              <w:t>r</w:t>
            </w:r>
            <w:r w:rsidRPr="006312E8">
              <w:rPr>
                <w:rFonts w:ascii="Arial Narrow" w:eastAsia="Calibri" w:hAnsi="Arial Narrow" w:cs="Arial Narrow"/>
                <w:b/>
                <w:spacing w:val="1"/>
                <w:sz w:val="14"/>
                <w:szCs w:val="14"/>
                <w:lang w:val="es-ES"/>
              </w:rPr>
              <w:t>o</w:t>
            </w:r>
            <w:r w:rsidRPr="006312E8">
              <w:rPr>
                <w:rFonts w:ascii="Arial Narrow" w:eastAsia="Calibri" w:hAnsi="Arial Narrow" w:cs="Arial Narrow"/>
                <w:b/>
                <w:sz w:val="14"/>
                <w:szCs w:val="14"/>
                <w:lang w:val="es-ES"/>
              </w:rPr>
              <w:t>.</w:t>
            </w:r>
            <w:r w:rsidRPr="006312E8">
              <w:rPr>
                <w:rFonts w:ascii="Arial Narrow" w:eastAsia="Calibri" w:hAnsi="Arial Narrow" w:cs="Arial Narrow"/>
                <w:b/>
                <w:spacing w:val="-1"/>
                <w:sz w:val="14"/>
                <w:szCs w:val="14"/>
                <w:lang w:val="es-ES"/>
              </w:rPr>
              <w:t xml:space="preserve"> </w:t>
            </w:r>
            <w:r w:rsidRPr="006312E8">
              <w:rPr>
                <w:rFonts w:ascii="Arial Narrow" w:eastAsia="Calibri" w:hAnsi="Arial Narrow" w:cs="Arial Narrow"/>
                <w:b/>
                <w:spacing w:val="1"/>
                <w:sz w:val="14"/>
                <w:szCs w:val="14"/>
                <w:lang w:val="es-ES"/>
              </w:rPr>
              <w:t>MUN</w:t>
            </w:r>
            <w:r w:rsidRPr="006312E8">
              <w:rPr>
                <w:rFonts w:ascii="Arial Narrow" w:eastAsia="Calibri" w:hAnsi="Arial Narrow" w:cs="Arial Narrow"/>
                <w:b/>
                <w:spacing w:val="-1"/>
                <w:sz w:val="14"/>
                <w:szCs w:val="14"/>
                <w:lang w:val="es-ES"/>
              </w:rPr>
              <w:t>I</w:t>
            </w:r>
            <w:r w:rsidRPr="006312E8">
              <w:rPr>
                <w:rFonts w:ascii="Arial Narrow" w:eastAsia="Calibri" w:hAnsi="Arial Narrow" w:cs="Arial Narrow"/>
                <w:b/>
                <w:sz w:val="14"/>
                <w:szCs w:val="14"/>
                <w:lang w:val="es-ES"/>
              </w:rPr>
              <w:t>C</w:t>
            </w:r>
          </w:p>
        </w:tc>
      </w:tr>
      <w:tr w:rsidR="006312E8" w:rsidRPr="006312E8" w:rsidTr="00D04998">
        <w:trPr>
          <w:trHeight w:hRule="exact" w:val="300"/>
        </w:trPr>
        <w:tc>
          <w:tcPr>
            <w:tcW w:w="1201" w:type="dxa"/>
          </w:tcPr>
          <w:p w:rsidR="006312E8" w:rsidRPr="006312E8" w:rsidRDefault="006312E8" w:rsidP="006312E8">
            <w:pPr>
              <w:spacing w:before="49" w:after="0" w:line="240" w:lineRule="auto"/>
              <w:ind w:left="53" w:right="-20"/>
              <w:rPr>
                <w:rFonts w:ascii="Arial Narrow" w:eastAsia="Calibri" w:hAnsi="Arial Narrow" w:cs="Arial Narrow"/>
                <w:b/>
                <w:sz w:val="14"/>
                <w:szCs w:val="14"/>
                <w:lang w:val="es-ES"/>
              </w:rPr>
            </w:pPr>
            <w:r w:rsidRPr="006312E8">
              <w:rPr>
                <w:rFonts w:ascii="Arial Narrow" w:eastAsia="Calibri" w:hAnsi="Arial Narrow" w:cs="Arial Narrow"/>
                <w:b/>
                <w:spacing w:val="1"/>
                <w:sz w:val="14"/>
                <w:szCs w:val="14"/>
                <w:lang w:val="es-ES"/>
              </w:rPr>
              <w:t>FRENTE</w:t>
            </w:r>
          </w:p>
        </w:tc>
        <w:tc>
          <w:tcPr>
            <w:tcW w:w="5286" w:type="dxa"/>
          </w:tcPr>
          <w:p w:rsidR="006312E8" w:rsidRPr="006312E8" w:rsidRDefault="006312E8" w:rsidP="006312E8">
            <w:pPr>
              <w:spacing w:before="49" w:after="0" w:line="240" w:lineRule="auto"/>
              <w:ind w:left="62" w:right="-20"/>
              <w:rPr>
                <w:rFonts w:ascii="Arial Narrow" w:eastAsia="Calibri" w:hAnsi="Arial Narrow" w:cs="Arial Narrow"/>
                <w:b/>
                <w:sz w:val="14"/>
                <w:szCs w:val="14"/>
                <w:lang w:val="es-ES"/>
              </w:rPr>
            </w:pPr>
          </w:p>
        </w:tc>
        <w:tc>
          <w:tcPr>
            <w:tcW w:w="992" w:type="dxa"/>
          </w:tcPr>
          <w:p w:rsidR="006312E8" w:rsidRPr="006312E8" w:rsidRDefault="006312E8" w:rsidP="006312E8">
            <w:pPr>
              <w:spacing w:before="49" w:after="0" w:line="240" w:lineRule="auto"/>
              <w:ind w:left="309" w:right="285"/>
              <w:jc w:val="center"/>
              <w:rPr>
                <w:rFonts w:ascii="Arial Narrow" w:eastAsia="Calibri" w:hAnsi="Arial Narrow" w:cs="Arial Narrow"/>
                <w:b/>
                <w:sz w:val="14"/>
                <w:szCs w:val="14"/>
                <w:lang w:val="es-ES"/>
              </w:rPr>
            </w:pPr>
          </w:p>
        </w:tc>
        <w:tc>
          <w:tcPr>
            <w:tcW w:w="1276" w:type="dxa"/>
          </w:tcPr>
          <w:p w:rsidR="006312E8" w:rsidRPr="006312E8" w:rsidRDefault="006312E8" w:rsidP="006312E8">
            <w:pPr>
              <w:spacing w:before="49" w:after="0" w:line="240" w:lineRule="auto"/>
              <w:ind w:left="264" w:right="-20"/>
              <w:rPr>
                <w:rFonts w:ascii="Arial Narrow" w:eastAsia="Calibri" w:hAnsi="Arial Narrow" w:cs="Arial Narrow"/>
                <w:b/>
                <w:sz w:val="14"/>
                <w:szCs w:val="14"/>
                <w:lang w:val="es-ES"/>
              </w:rPr>
            </w:pPr>
          </w:p>
        </w:tc>
        <w:tc>
          <w:tcPr>
            <w:tcW w:w="1276" w:type="dxa"/>
          </w:tcPr>
          <w:p w:rsidR="006312E8" w:rsidRPr="006312E8" w:rsidRDefault="006312E8" w:rsidP="006312E8">
            <w:pPr>
              <w:spacing w:after="0" w:line="240" w:lineRule="auto"/>
              <w:rPr>
                <w:rFonts w:ascii="Calibri" w:eastAsia="Calibri" w:hAnsi="Calibri" w:cs="Times New Roman"/>
                <w:b/>
                <w:sz w:val="14"/>
                <w:szCs w:val="14"/>
                <w:lang w:val="es-ES"/>
              </w:rPr>
            </w:pPr>
          </w:p>
        </w:tc>
      </w:tr>
      <w:tr w:rsidR="006312E8" w:rsidRPr="006312E8" w:rsidTr="00D04998">
        <w:trPr>
          <w:trHeight w:hRule="exact" w:val="300"/>
        </w:trPr>
        <w:tc>
          <w:tcPr>
            <w:tcW w:w="1201" w:type="dxa"/>
          </w:tcPr>
          <w:p w:rsidR="006312E8" w:rsidRPr="006312E8" w:rsidRDefault="006312E8" w:rsidP="006312E8">
            <w:pPr>
              <w:spacing w:before="49" w:after="0" w:line="240" w:lineRule="auto"/>
              <w:ind w:left="53" w:right="-20"/>
              <w:rPr>
                <w:rFonts w:ascii="Arial Narrow" w:eastAsia="Calibri" w:hAnsi="Arial Narrow" w:cs="Arial Narrow"/>
                <w:b/>
                <w:sz w:val="14"/>
                <w:szCs w:val="14"/>
                <w:lang w:val="es-ES"/>
              </w:rPr>
            </w:pPr>
            <w:r w:rsidRPr="006312E8">
              <w:rPr>
                <w:rFonts w:ascii="Arial Narrow" w:eastAsia="Calibri" w:hAnsi="Arial Narrow" w:cs="Arial Narrow"/>
                <w:b/>
                <w:spacing w:val="1"/>
                <w:sz w:val="14"/>
                <w:szCs w:val="14"/>
                <w:lang w:val="es-ES"/>
              </w:rPr>
              <w:t>DERECHA</w:t>
            </w:r>
          </w:p>
        </w:tc>
        <w:tc>
          <w:tcPr>
            <w:tcW w:w="5286" w:type="dxa"/>
          </w:tcPr>
          <w:p w:rsidR="006312E8" w:rsidRPr="006312E8" w:rsidRDefault="006312E8" w:rsidP="006312E8">
            <w:pPr>
              <w:spacing w:before="49" w:after="0" w:line="240" w:lineRule="auto"/>
              <w:ind w:left="62" w:right="-20"/>
              <w:rPr>
                <w:rFonts w:ascii="Arial Narrow" w:eastAsia="Calibri" w:hAnsi="Arial Narrow" w:cs="Arial Narrow"/>
                <w:b/>
                <w:sz w:val="14"/>
                <w:szCs w:val="14"/>
                <w:lang w:val="es-ES"/>
              </w:rPr>
            </w:pPr>
          </w:p>
        </w:tc>
        <w:tc>
          <w:tcPr>
            <w:tcW w:w="992" w:type="dxa"/>
          </w:tcPr>
          <w:p w:rsidR="006312E8" w:rsidRPr="006312E8" w:rsidRDefault="006312E8" w:rsidP="006312E8">
            <w:pPr>
              <w:spacing w:before="49" w:after="0" w:line="240" w:lineRule="auto"/>
              <w:ind w:left="309" w:right="285"/>
              <w:jc w:val="center"/>
              <w:rPr>
                <w:rFonts w:ascii="Arial Narrow" w:eastAsia="Calibri" w:hAnsi="Arial Narrow" w:cs="Arial Narrow"/>
                <w:b/>
                <w:sz w:val="14"/>
                <w:szCs w:val="14"/>
                <w:lang w:val="es-ES"/>
              </w:rPr>
            </w:pPr>
          </w:p>
        </w:tc>
        <w:tc>
          <w:tcPr>
            <w:tcW w:w="1276" w:type="dxa"/>
          </w:tcPr>
          <w:p w:rsidR="006312E8" w:rsidRPr="006312E8" w:rsidRDefault="006312E8" w:rsidP="006312E8">
            <w:pPr>
              <w:spacing w:before="49" w:after="0" w:line="240" w:lineRule="auto"/>
              <w:ind w:left="264" w:right="-20"/>
              <w:rPr>
                <w:rFonts w:ascii="Arial Narrow" w:eastAsia="Calibri" w:hAnsi="Arial Narrow" w:cs="Arial Narrow"/>
                <w:b/>
                <w:sz w:val="14"/>
                <w:szCs w:val="14"/>
                <w:lang w:val="es-ES"/>
              </w:rPr>
            </w:pPr>
          </w:p>
        </w:tc>
        <w:tc>
          <w:tcPr>
            <w:tcW w:w="1276" w:type="dxa"/>
          </w:tcPr>
          <w:p w:rsidR="006312E8" w:rsidRPr="006312E8" w:rsidRDefault="006312E8" w:rsidP="006312E8">
            <w:pPr>
              <w:spacing w:after="0" w:line="240" w:lineRule="auto"/>
              <w:rPr>
                <w:rFonts w:ascii="Calibri" w:eastAsia="Calibri" w:hAnsi="Calibri" w:cs="Times New Roman"/>
                <w:b/>
                <w:sz w:val="14"/>
                <w:szCs w:val="14"/>
                <w:lang w:val="es-ES"/>
              </w:rPr>
            </w:pPr>
          </w:p>
        </w:tc>
      </w:tr>
      <w:tr w:rsidR="006312E8" w:rsidRPr="006312E8" w:rsidTr="00D04998">
        <w:trPr>
          <w:trHeight w:hRule="exact" w:val="300"/>
        </w:trPr>
        <w:tc>
          <w:tcPr>
            <w:tcW w:w="1201" w:type="dxa"/>
          </w:tcPr>
          <w:p w:rsidR="006312E8" w:rsidRPr="006312E8" w:rsidRDefault="006312E8" w:rsidP="006312E8">
            <w:pPr>
              <w:spacing w:before="49" w:after="0" w:line="240" w:lineRule="auto"/>
              <w:ind w:left="53" w:right="-20"/>
              <w:rPr>
                <w:rFonts w:ascii="Arial Narrow" w:eastAsia="Calibri" w:hAnsi="Arial Narrow" w:cs="Arial Narrow"/>
                <w:b/>
                <w:sz w:val="14"/>
                <w:szCs w:val="14"/>
                <w:lang w:val="es-ES"/>
              </w:rPr>
            </w:pPr>
            <w:r w:rsidRPr="006312E8">
              <w:rPr>
                <w:rFonts w:ascii="Arial Narrow" w:eastAsia="Calibri" w:hAnsi="Arial Narrow" w:cs="Arial Narrow"/>
                <w:b/>
                <w:spacing w:val="1"/>
                <w:sz w:val="14"/>
                <w:szCs w:val="14"/>
                <w:lang w:val="es-ES"/>
              </w:rPr>
              <w:t>IZQUIERDA</w:t>
            </w:r>
          </w:p>
        </w:tc>
        <w:tc>
          <w:tcPr>
            <w:tcW w:w="5286" w:type="dxa"/>
          </w:tcPr>
          <w:p w:rsidR="006312E8" w:rsidRPr="006312E8" w:rsidRDefault="006312E8" w:rsidP="006312E8">
            <w:pPr>
              <w:spacing w:before="49" w:after="0" w:line="240" w:lineRule="auto"/>
              <w:ind w:left="62" w:right="-20"/>
              <w:rPr>
                <w:rFonts w:ascii="Arial Narrow" w:eastAsia="Calibri" w:hAnsi="Arial Narrow" w:cs="Arial Narrow"/>
                <w:b/>
                <w:sz w:val="14"/>
                <w:szCs w:val="14"/>
                <w:lang w:val="es-ES"/>
              </w:rPr>
            </w:pPr>
          </w:p>
        </w:tc>
        <w:tc>
          <w:tcPr>
            <w:tcW w:w="992" w:type="dxa"/>
          </w:tcPr>
          <w:p w:rsidR="006312E8" w:rsidRPr="006312E8" w:rsidRDefault="006312E8" w:rsidP="006312E8">
            <w:pPr>
              <w:spacing w:before="49" w:after="0" w:line="240" w:lineRule="auto"/>
              <w:ind w:left="309" w:right="285"/>
              <w:jc w:val="center"/>
              <w:rPr>
                <w:rFonts w:ascii="Arial Narrow" w:eastAsia="Calibri" w:hAnsi="Arial Narrow" w:cs="Arial Narrow"/>
                <w:b/>
                <w:sz w:val="14"/>
                <w:szCs w:val="14"/>
                <w:lang w:val="es-ES"/>
              </w:rPr>
            </w:pPr>
          </w:p>
        </w:tc>
        <w:tc>
          <w:tcPr>
            <w:tcW w:w="1276" w:type="dxa"/>
          </w:tcPr>
          <w:p w:rsidR="006312E8" w:rsidRPr="006312E8" w:rsidRDefault="006312E8" w:rsidP="006312E8">
            <w:pPr>
              <w:spacing w:before="49" w:after="0" w:line="240" w:lineRule="auto"/>
              <w:ind w:left="264" w:right="-20"/>
              <w:rPr>
                <w:rFonts w:ascii="Arial Narrow" w:eastAsia="Calibri" w:hAnsi="Arial Narrow" w:cs="Arial Narrow"/>
                <w:b/>
                <w:sz w:val="14"/>
                <w:szCs w:val="14"/>
                <w:lang w:val="es-ES"/>
              </w:rPr>
            </w:pPr>
          </w:p>
        </w:tc>
        <w:tc>
          <w:tcPr>
            <w:tcW w:w="1276" w:type="dxa"/>
          </w:tcPr>
          <w:p w:rsidR="006312E8" w:rsidRPr="006312E8" w:rsidRDefault="006312E8" w:rsidP="006312E8">
            <w:pPr>
              <w:spacing w:after="0" w:line="240" w:lineRule="auto"/>
              <w:rPr>
                <w:rFonts w:ascii="Calibri" w:eastAsia="Calibri" w:hAnsi="Calibri" w:cs="Times New Roman"/>
                <w:b/>
                <w:sz w:val="14"/>
                <w:szCs w:val="14"/>
                <w:lang w:val="es-ES"/>
              </w:rPr>
            </w:pPr>
          </w:p>
        </w:tc>
      </w:tr>
      <w:tr w:rsidR="006312E8" w:rsidRPr="006312E8" w:rsidTr="00D04998">
        <w:trPr>
          <w:trHeight w:hRule="exact" w:val="290"/>
        </w:trPr>
        <w:tc>
          <w:tcPr>
            <w:tcW w:w="1201" w:type="dxa"/>
          </w:tcPr>
          <w:p w:rsidR="006312E8" w:rsidRPr="006312E8" w:rsidRDefault="006312E8" w:rsidP="006312E8">
            <w:pPr>
              <w:spacing w:before="49" w:after="0" w:line="240" w:lineRule="auto"/>
              <w:ind w:left="53" w:right="-20"/>
              <w:rPr>
                <w:rFonts w:ascii="Arial Narrow" w:eastAsia="Calibri" w:hAnsi="Arial Narrow" w:cs="Arial Narrow"/>
                <w:b/>
                <w:sz w:val="14"/>
                <w:szCs w:val="14"/>
              </w:rPr>
            </w:pPr>
            <w:r w:rsidRPr="006312E8">
              <w:rPr>
                <w:rFonts w:ascii="Arial Narrow" w:eastAsia="Calibri" w:hAnsi="Arial Narrow" w:cs="Arial Narrow"/>
                <w:b/>
                <w:spacing w:val="1"/>
                <w:sz w:val="14"/>
                <w:szCs w:val="14"/>
                <w:lang w:val="es-ES"/>
              </w:rPr>
              <w:t>FONDO</w:t>
            </w:r>
          </w:p>
        </w:tc>
        <w:tc>
          <w:tcPr>
            <w:tcW w:w="5286" w:type="dxa"/>
          </w:tcPr>
          <w:p w:rsidR="006312E8" w:rsidRPr="006312E8" w:rsidRDefault="006312E8" w:rsidP="006312E8">
            <w:pPr>
              <w:spacing w:before="49" w:after="0" w:line="240" w:lineRule="auto"/>
              <w:ind w:left="62" w:right="-20"/>
              <w:rPr>
                <w:rFonts w:ascii="Arial Narrow" w:eastAsia="Calibri" w:hAnsi="Arial Narrow" w:cs="Arial Narrow"/>
                <w:b/>
                <w:sz w:val="14"/>
                <w:szCs w:val="14"/>
              </w:rPr>
            </w:pPr>
          </w:p>
        </w:tc>
        <w:tc>
          <w:tcPr>
            <w:tcW w:w="992" w:type="dxa"/>
          </w:tcPr>
          <w:p w:rsidR="006312E8" w:rsidRPr="006312E8" w:rsidRDefault="006312E8" w:rsidP="006312E8">
            <w:pPr>
              <w:spacing w:before="49" w:after="0" w:line="240" w:lineRule="auto"/>
              <w:ind w:left="309" w:right="285"/>
              <w:jc w:val="center"/>
              <w:rPr>
                <w:rFonts w:ascii="Arial Narrow" w:eastAsia="Calibri" w:hAnsi="Arial Narrow" w:cs="Arial Narrow"/>
                <w:b/>
                <w:sz w:val="14"/>
                <w:szCs w:val="14"/>
              </w:rPr>
            </w:pPr>
          </w:p>
        </w:tc>
        <w:tc>
          <w:tcPr>
            <w:tcW w:w="1276" w:type="dxa"/>
          </w:tcPr>
          <w:p w:rsidR="006312E8" w:rsidRPr="006312E8" w:rsidRDefault="006312E8" w:rsidP="006312E8">
            <w:pPr>
              <w:spacing w:before="49" w:after="0" w:line="240" w:lineRule="auto"/>
              <w:ind w:left="264" w:right="-20"/>
              <w:rPr>
                <w:rFonts w:ascii="Arial Narrow" w:eastAsia="Calibri" w:hAnsi="Arial Narrow" w:cs="Arial Narrow"/>
                <w:b/>
                <w:sz w:val="14"/>
                <w:szCs w:val="14"/>
              </w:rPr>
            </w:pPr>
          </w:p>
        </w:tc>
        <w:tc>
          <w:tcPr>
            <w:tcW w:w="1276" w:type="dxa"/>
          </w:tcPr>
          <w:p w:rsidR="006312E8" w:rsidRPr="006312E8" w:rsidRDefault="006312E8" w:rsidP="006312E8">
            <w:pPr>
              <w:spacing w:after="0" w:line="240" w:lineRule="auto"/>
              <w:rPr>
                <w:rFonts w:ascii="Calibri" w:eastAsia="Calibri" w:hAnsi="Calibri" w:cs="Times New Roman"/>
                <w:b/>
                <w:sz w:val="14"/>
                <w:szCs w:val="14"/>
              </w:rPr>
            </w:pPr>
          </w:p>
        </w:tc>
      </w:tr>
    </w:tbl>
    <w:p w:rsidR="006312E8" w:rsidRPr="006312E8" w:rsidRDefault="006312E8" w:rsidP="006312E8">
      <w:pPr>
        <w:spacing w:after="0" w:line="200" w:lineRule="exact"/>
        <w:rPr>
          <w:rFonts w:ascii="Calibri" w:eastAsia="Calibri" w:hAnsi="Calibri" w:cs="Times New Roman"/>
          <w:sz w:val="20"/>
          <w:szCs w:val="20"/>
        </w:rPr>
      </w:pPr>
    </w:p>
    <w:p w:rsidR="006312E8" w:rsidRPr="006312E8" w:rsidRDefault="006312E8" w:rsidP="006312E8">
      <w:pPr>
        <w:tabs>
          <w:tab w:val="left" w:pos="620"/>
        </w:tabs>
        <w:spacing w:before="37" w:after="0" w:line="240" w:lineRule="auto"/>
        <w:ind w:left="115" w:right="-20"/>
        <w:outlineLvl w:val="0"/>
        <w:rPr>
          <w:rFonts w:ascii="Arial Narrow" w:eastAsia="Calibri" w:hAnsi="Arial Narrow" w:cs="Arial"/>
          <w:b/>
          <w:sz w:val="16"/>
          <w:szCs w:val="16"/>
        </w:rPr>
      </w:pPr>
      <w:r w:rsidRPr="006312E8">
        <w:rPr>
          <w:rFonts w:ascii="Arial Narrow" w:eastAsia="Calibri" w:hAnsi="Arial Narrow" w:cs="Arial"/>
          <w:b/>
          <w:sz w:val="16"/>
          <w:szCs w:val="16"/>
        </w:rPr>
        <w:t>3.4 OTRA INFORMACIÓN LEGAL DEL PREDIO</w:t>
      </w:r>
    </w:p>
    <w:p w:rsidR="006312E8" w:rsidRPr="006312E8" w:rsidRDefault="006312E8" w:rsidP="006312E8">
      <w:pPr>
        <w:tabs>
          <w:tab w:val="left" w:pos="620"/>
        </w:tabs>
        <w:spacing w:before="37" w:after="0" w:line="240" w:lineRule="auto"/>
        <w:ind w:left="115" w:right="-20"/>
        <w:outlineLvl w:val="0"/>
        <w:rPr>
          <w:rFonts w:ascii="Arial Narrow" w:eastAsia="Calibri" w:hAnsi="Arial Narrow" w:cs="Arial"/>
          <w:b/>
          <w:sz w:val="16"/>
          <w:szCs w:val="16"/>
        </w:rPr>
      </w:pPr>
      <w:r w:rsidRPr="006312E8">
        <w:rPr>
          <w:rFonts w:ascii="Arial Narrow" w:eastAsia="Calibri" w:hAnsi="Arial Narrow" w:cs="Arial"/>
          <w:b/>
          <w:sz w:val="16"/>
          <w:szCs w:val="16"/>
        </w:rPr>
        <w:t xml:space="preserve">3.1   NORMATIVIDAD APLICABLE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1"/>
      </w:tblGrid>
      <w:tr w:rsidR="006312E8" w:rsidRPr="006312E8" w:rsidTr="00D04998">
        <w:trPr>
          <w:trHeight w:val="590"/>
        </w:trPr>
        <w:tc>
          <w:tcPr>
            <w:tcW w:w="10031" w:type="dxa"/>
          </w:tcPr>
          <w:p w:rsidR="006312E8" w:rsidRPr="006312E8" w:rsidRDefault="006312E8" w:rsidP="006312E8">
            <w:pPr>
              <w:spacing w:before="69" w:after="0" w:line="240" w:lineRule="auto"/>
              <w:ind w:right="-20"/>
              <w:jc w:val="both"/>
              <w:rPr>
                <w:rFonts w:ascii="Arial" w:eastAsia="Calibri" w:hAnsi="Arial" w:cs="Arial"/>
                <w:sz w:val="18"/>
                <w:szCs w:val="18"/>
                <w:lang w:val="es-ES"/>
              </w:rPr>
            </w:pPr>
          </w:p>
          <w:p w:rsidR="006312E8" w:rsidRPr="006312E8" w:rsidRDefault="006312E8" w:rsidP="006312E8">
            <w:pPr>
              <w:spacing w:before="69" w:after="0" w:line="240" w:lineRule="auto"/>
              <w:ind w:right="-20"/>
              <w:jc w:val="both"/>
              <w:rPr>
                <w:rFonts w:ascii="Arial" w:eastAsia="Calibri" w:hAnsi="Arial" w:cs="Arial"/>
                <w:sz w:val="18"/>
                <w:szCs w:val="18"/>
                <w:lang w:val="es-ES"/>
              </w:rPr>
            </w:pPr>
          </w:p>
        </w:tc>
      </w:tr>
    </w:tbl>
    <w:p w:rsidR="006312E8" w:rsidRPr="006312E8" w:rsidRDefault="006312E8" w:rsidP="006312E8">
      <w:pPr>
        <w:spacing w:before="69" w:after="0" w:line="240" w:lineRule="auto"/>
        <w:ind w:right="-20"/>
        <w:jc w:val="both"/>
        <w:outlineLvl w:val="0"/>
        <w:rPr>
          <w:rFonts w:ascii="Arial Narrow" w:eastAsia="Calibri" w:hAnsi="Arial Narrow" w:cs="Arial"/>
          <w:b/>
          <w:sz w:val="16"/>
          <w:szCs w:val="16"/>
        </w:rPr>
      </w:pPr>
      <w:r w:rsidRPr="006312E8">
        <w:rPr>
          <w:rFonts w:ascii="Arial Narrow" w:eastAsia="Calibri" w:hAnsi="Arial Narrow" w:cs="Arial"/>
          <w:b/>
          <w:sz w:val="16"/>
          <w:szCs w:val="16"/>
        </w:rPr>
        <w:t>3.2   RESTRICCIONES (DE USO, DE DISPOSICIÓN)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1"/>
      </w:tblGrid>
      <w:tr w:rsidR="006312E8" w:rsidRPr="006312E8" w:rsidTr="00D04998">
        <w:trPr>
          <w:trHeight w:val="574"/>
        </w:trPr>
        <w:tc>
          <w:tcPr>
            <w:tcW w:w="10031" w:type="dxa"/>
          </w:tcPr>
          <w:p w:rsidR="006312E8" w:rsidRPr="006312E8" w:rsidRDefault="006312E8" w:rsidP="006312E8">
            <w:pPr>
              <w:spacing w:before="69" w:after="0" w:line="240" w:lineRule="auto"/>
              <w:ind w:right="-20"/>
              <w:jc w:val="both"/>
              <w:rPr>
                <w:rFonts w:ascii="Arial" w:eastAsia="Calibri" w:hAnsi="Arial" w:cs="Arial"/>
                <w:sz w:val="18"/>
                <w:szCs w:val="18"/>
              </w:rPr>
            </w:pPr>
          </w:p>
          <w:p w:rsidR="006312E8" w:rsidRPr="006312E8" w:rsidRDefault="006312E8" w:rsidP="006312E8">
            <w:pPr>
              <w:spacing w:before="69" w:after="0" w:line="240" w:lineRule="auto"/>
              <w:ind w:right="-20"/>
              <w:jc w:val="both"/>
              <w:rPr>
                <w:rFonts w:ascii="Arial" w:eastAsia="Calibri" w:hAnsi="Arial" w:cs="Arial"/>
                <w:sz w:val="18"/>
                <w:szCs w:val="18"/>
              </w:rPr>
            </w:pPr>
          </w:p>
        </w:tc>
      </w:tr>
    </w:tbl>
    <w:p w:rsidR="006312E8" w:rsidRPr="006312E8" w:rsidRDefault="006312E8" w:rsidP="006312E8">
      <w:pPr>
        <w:tabs>
          <w:tab w:val="left" w:pos="620"/>
        </w:tabs>
        <w:spacing w:before="37" w:after="0" w:line="240" w:lineRule="auto"/>
        <w:ind w:left="115" w:right="-20"/>
        <w:outlineLvl w:val="0"/>
        <w:rPr>
          <w:rFonts w:ascii="Arial Narrow" w:eastAsia="Calibri" w:hAnsi="Arial Narrow" w:cs="Arial"/>
          <w:b/>
          <w:sz w:val="16"/>
          <w:szCs w:val="16"/>
        </w:rPr>
      </w:pPr>
      <w:r w:rsidRPr="006312E8">
        <w:rPr>
          <w:rFonts w:ascii="Arial Narrow" w:eastAsia="Calibri" w:hAnsi="Arial Narrow" w:cs="Arial"/>
          <w:b/>
          <w:sz w:val="16"/>
          <w:szCs w:val="16"/>
        </w:rPr>
        <w:t xml:space="preserve">3.3   OBSERVACIONES LEGALES </w:t>
      </w:r>
      <w:r w:rsidRPr="006312E8">
        <w:rPr>
          <w:rFonts w:ascii="Arial" w:eastAsia="Calibri" w:hAnsi="Arial" w:cs="Arial"/>
          <w:b/>
          <w:spacing w:val="19"/>
          <w:position w:val="-1"/>
          <w:sz w:val="16"/>
          <w:szCs w:val="16"/>
        </w:rPr>
        <w:t xml:space="preserve"> </w:t>
      </w:r>
    </w:p>
    <w:p w:rsidR="006312E8" w:rsidRPr="006312E8" w:rsidRDefault="006312E8" w:rsidP="006312E8">
      <w:pPr>
        <w:spacing w:before="40" w:after="0" w:line="181" w:lineRule="exact"/>
        <w:ind w:right="-20"/>
        <w:rPr>
          <w:rFonts w:ascii="Arial" w:eastAsia="Calibri" w:hAnsi="Arial" w:cs="Arial"/>
          <w:position w:val="-1"/>
          <w:sz w:val="16"/>
          <w:szCs w:val="16"/>
        </w:rPr>
      </w:pPr>
      <w:r w:rsidRPr="006312E8">
        <w:rPr>
          <w:rFonts w:ascii="Calibri" w:eastAsia="Calibri" w:hAnsi="Calibri" w:cs="Times New Roman"/>
          <w:noProof/>
          <w:lang w:val="es-MX" w:eastAsia="es-MX"/>
        </w:rPr>
        <mc:AlternateContent>
          <mc:Choice Requires="wpg">
            <w:drawing>
              <wp:anchor distT="0" distB="0" distL="114300" distR="114300" simplePos="0" relativeHeight="251687936" behindDoc="1" locked="0" layoutInCell="1" allowOverlap="1" wp14:anchorId="76718BD3" wp14:editId="7D0E0AE5">
                <wp:simplePos x="0" y="0"/>
                <wp:positionH relativeFrom="page">
                  <wp:posOffset>559435</wp:posOffset>
                </wp:positionH>
                <wp:positionV relativeFrom="paragraph">
                  <wp:posOffset>44450</wp:posOffset>
                </wp:positionV>
                <wp:extent cx="6376035" cy="725805"/>
                <wp:effectExtent l="6985" t="11430" r="8255" b="5715"/>
                <wp:wrapNone/>
                <wp:docPr id="49" name="Grupo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6035" cy="725805"/>
                          <a:chOff x="891" y="-2668"/>
                          <a:chExt cx="10312" cy="2385"/>
                        </a:xfrm>
                      </wpg:grpSpPr>
                      <wpg:grpSp>
                        <wpg:cNvPr id="50" name="Group 26"/>
                        <wpg:cNvGrpSpPr>
                          <a:grpSpLocks/>
                        </wpg:cNvGrpSpPr>
                        <wpg:grpSpPr bwMode="auto">
                          <a:xfrm>
                            <a:off x="894" y="-2663"/>
                            <a:ext cx="2" cy="2378"/>
                            <a:chOff x="894" y="-2663"/>
                            <a:chExt cx="2" cy="2378"/>
                          </a:xfrm>
                        </wpg:grpSpPr>
                        <wps:wsp>
                          <wps:cNvPr id="51" name="Freeform 27"/>
                          <wps:cNvSpPr>
                            <a:spLocks/>
                          </wps:cNvSpPr>
                          <wps:spPr bwMode="auto">
                            <a:xfrm>
                              <a:off x="894" y="-2663"/>
                              <a:ext cx="2" cy="2378"/>
                            </a:xfrm>
                            <a:custGeom>
                              <a:avLst/>
                              <a:gdLst>
                                <a:gd name="T0" fmla="+- 0 -2663 -2663"/>
                                <a:gd name="T1" fmla="*/ -2663 h 2378"/>
                                <a:gd name="T2" fmla="+- 0 -285 -2663"/>
                                <a:gd name="T3" fmla="*/ -285 h 2378"/>
                              </a:gdLst>
                              <a:ahLst/>
                              <a:cxnLst>
                                <a:cxn ang="0">
                                  <a:pos x="0" y="T1"/>
                                </a:cxn>
                                <a:cxn ang="0">
                                  <a:pos x="0" y="T3"/>
                                </a:cxn>
                              </a:cxnLst>
                              <a:rect l="0" t="0" r="r" b="b"/>
                              <a:pathLst>
                                <a:path h="2378">
                                  <a:moveTo>
                                    <a:pt x="0" y="0"/>
                                  </a:moveTo>
                                  <a:lnTo>
                                    <a:pt x="0" y="2378"/>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28"/>
                        <wpg:cNvGrpSpPr>
                          <a:grpSpLocks/>
                        </wpg:cNvGrpSpPr>
                        <wpg:grpSpPr bwMode="auto">
                          <a:xfrm>
                            <a:off x="893" y="-2664"/>
                            <a:ext cx="10308" cy="2"/>
                            <a:chOff x="893" y="-2664"/>
                            <a:chExt cx="10308" cy="2"/>
                          </a:xfrm>
                        </wpg:grpSpPr>
                        <wps:wsp>
                          <wps:cNvPr id="53" name="Freeform 29"/>
                          <wps:cNvSpPr>
                            <a:spLocks/>
                          </wps:cNvSpPr>
                          <wps:spPr bwMode="auto">
                            <a:xfrm>
                              <a:off x="893" y="-2664"/>
                              <a:ext cx="10308" cy="2"/>
                            </a:xfrm>
                            <a:custGeom>
                              <a:avLst/>
                              <a:gdLst>
                                <a:gd name="T0" fmla="+- 0 893 893"/>
                                <a:gd name="T1" fmla="*/ T0 w 10308"/>
                                <a:gd name="T2" fmla="+- 0 11201 893"/>
                                <a:gd name="T3" fmla="*/ T2 w 10308"/>
                              </a:gdLst>
                              <a:ahLst/>
                              <a:cxnLst>
                                <a:cxn ang="0">
                                  <a:pos x="T1" y="0"/>
                                </a:cxn>
                                <a:cxn ang="0">
                                  <a:pos x="T3" y="0"/>
                                </a:cxn>
                              </a:cxnLst>
                              <a:rect l="0" t="0" r="r" b="b"/>
                              <a:pathLst>
                                <a:path w="10308">
                                  <a:moveTo>
                                    <a:pt x="0" y="0"/>
                                  </a:moveTo>
                                  <a:lnTo>
                                    <a:pt x="10308"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30"/>
                        <wpg:cNvGrpSpPr>
                          <a:grpSpLocks/>
                        </wpg:cNvGrpSpPr>
                        <wpg:grpSpPr bwMode="auto">
                          <a:xfrm>
                            <a:off x="11200" y="-2666"/>
                            <a:ext cx="2" cy="2381"/>
                            <a:chOff x="11200" y="-2666"/>
                            <a:chExt cx="2" cy="2381"/>
                          </a:xfrm>
                        </wpg:grpSpPr>
                        <wps:wsp>
                          <wps:cNvPr id="55" name="Freeform 31"/>
                          <wps:cNvSpPr>
                            <a:spLocks/>
                          </wps:cNvSpPr>
                          <wps:spPr bwMode="auto">
                            <a:xfrm>
                              <a:off x="11200" y="-2666"/>
                              <a:ext cx="2" cy="2381"/>
                            </a:xfrm>
                            <a:custGeom>
                              <a:avLst/>
                              <a:gdLst>
                                <a:gd name="T0" fmla="+- 0 -2666 -2666"/>
                                <a:gd name="T1" fmla="*/ -2666 h 2381"/>
                                <a:gd name="T2" fmla="+- 0 -285 -2666"/>
                                <a:gd name="T3" fmla="*/ -285 h 2381"/>
                              </a:gdLst>
                              <a:ahLst/>
                              <a:cxnLst>
                                <a:cxn ang="0">
                                  <a:pos x="0" y="T1"/>
                                </a:cxn>
                                <a:cxn ang="0">
                                  <a:pos x="0" y="T3"/>
                                </a:cxn>
                              </a:cxnLst>
                              <a:rect l="0" t="0" r="r" b="b"/>
                              <a:pathLst>
                                <a:path h="2381">
                                  <a:moveTo>
                                    <a:pt x="0" y="0"/>
                                  </a:moveTo>
                                  <a:lnTo>
                                    <a:pt x="0" y="2381"/>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32"/>
                        <wpg:cNvGrpSpPr>
                          <a:grpSpLocks/>
                        </wpg:cNvGrpSpPr>
                        <wpg:grpSpPr bwMode="auto">
                          <a:xfrm>
                            <a:off x="895" y="-286"/>
                            <a:ext cx="10306" cy="2"/>
                            <a:chOff x="895" y="-286"/>
                            <a:chExt cx="10306" cy="2"/>
                          </a:xfrm>
                        </wpg:grpSpPr>
                        <wps:wsp>
                          <wps:cNvPr id="57" name="Freeform 33"/>
                          <wps:cNvSpPr>
                            <a:spLocks/>
                          </wps:cNvSpPr>
                          <wps:spPr bwMode="auto">
                            <a:xfrm>
                              <a:off x="895" y="-286"/>
                              <a:ext cx="10306" cy="2"/>
                            </a:xfrm>
                            <a:custGeom>
                              <a:avLst/>
                              <a:gdLst>
                                <a:gd name="T0" fmla="+- 0 895 895"/>
                                <a:gd name="T1" fmla="*/ T0 w 10306"/>
                                <a:gd name="T2" fmla="+- 0 11201 895"/>
                                <a:gd name="T3" fmla="*/ T2 w 10306"/>
                              </a:gdLst>
                              <a:ahLst/>
                              <a:cxnLst>
                                <a:cxn ang="0">
                                  <a:pos x="T1" y="0"/>
                                </a:cxn>
                                <a:cxn ang="0">
                                  <a:pos x="T3" y="0"/>
                                </a:cxn>
                              </a:cxnLst>
                              <a:rect l="0" t="0" r="r" b="b"/>
                              <a:pathLst>
                                <a:path w="10306">
                                  <a:moveTo>
                                    <a:pt x="0" y="0"/>
                                  </a:moveTo>
                                  <a:lnTo>
                                    <a:pt x="10306"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7FAB6BA" id="Grupo 49" o:spid="_x0000_s1026" style="position:absolute;margin-left:44.05pt;margin-top:3.5pt;width:502.05pt;height:57.15pt;z-index:-251628544;mso-position-horizontal-relative:page" coordorigin="891,-2668" coordsize="10312,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">
                <v:group id="Group 26" o:spid="_x0000_s1027" style="position:absolute;left:894;top:-2663;width:2;height:2378" coordorigin="894,-2663" coordsize="2,23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27" o:spid="_x0000_s1028" style="position:absolute;left:894;top:-2663;width:2;height:2378;visibility:visible;mso-wrap-style:square;v-text-anchor:top" coordsize="2,2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9oUcIA&#10;AADbAAAADwAAAGRycy9kb3ducmV2LnhtbESPQWsCMRSE70L/Q3iF3tysQsWuRpGCIO1JVwrenptn&#10;snTzsmziuv33jSB4HGbmG2a5HlwjeupC7VnBJMtBEFde12wUHMvteA4iRGSNjWdS8EcB1quX0RIL&#10;7W+8p/4QjUgQDgUqsDG2hZShsuQwZL4lTt7Fdw5jkp2RusNbgrtGTvN8Jh3WnBYstvRpqfo9XJ0C&#10;F6bbPn58W/NT6tqU51Zuvk5Kvb0OmwWISEN8hh/tnVbwPoH7l/Q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j2hRwgAAANsAAAAPAAAAAAAAAAAAAAAAAJgCAABkcnMvZG93&#10;bnJldi54bWxQSwUGAAAAAAQABAD1AAAAhwMAAAAA&#10;" path="m,l,2378e" filled="f" strokeweight=".22pt">
                    <v:path arrowok="t" o:connecttype="custom" o:connectlocs="0,-2663;0,-285" o:connectangles="0,0"/>
                  </v:shape>
                </v:group>
                <v:group id="Group 28" o:spid="_x0000_s1029" style="position:absolute;left:893;top:-2664;width:10308;height:2" coordorigin="893,-2664" coordsize="103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29" o:spid="_x0000_s1030" style="position:absolute;left:893;top:-2664;width:10308;height:2;visibility:visible;mso-wrap-style:square;v-text-anchor:top" coordsize="10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jg48UA&#10;AADbAAAADwAAAGRycy9kb3ducmV2LnhtbESPW2sCMRSE34X+h3AKfdNsK0pdN0q7IAo+FG/g42Fz&#10;9oKbkzVJdf33TaHQx2FmvmGyZW9acSPnG8sKXkcJCOLC6oYrBcfDavgOwgdkja1lUvAgD8vF0yDD&#10;VNs77+i2D5WIEPYpKqhD6FIpfVGTQT+yHXH0SusMhihdJbXDe4SbVr4lyVQabDgu1NhRXlNx2X8b&#10;BevrLOfj9rM97bbT0vU2P1+/cqVenvuPOYhAffgP/7U3WsFkDL9f4g+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aODjxQAAANsAAAAPAAAAAAAAAAAAAAAAAJgCAABkcnMv&#10;ZG93bnJldi54bWxQSwUGAAAAAAQABAD1AAAAigMAAAAA&#10;" path="m,l10308,e" filled="f" strokeweight=".22pt">
                    <v:path arrowok="t" o:connecttype="custom" o:connectlocs="0,0;10308,0" o:connectangles="0,0"/>
                  </v:shape>
                </v:group>
                <v:group id="Group 30" o:spid="_x0000_s1031" style="position:absolute;left:11200;top:-2666;width:2;height:2381" coordorigin="11200,-2666" coordsize="2,2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31" o:spid="_x0000_s1032" style="position:absolute;left:11200;top:-2666;width:2;height:2381;visibility:visible;mso-wrap-style:square;v-text-anchor:top" coordsize="2,23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KDScQA&#10;AADbAAAADwAAAGRycy9kb3ducmV2LnhtbESPzWrDMBCE74W8g9hAb7XcUIfgWAklJKGkh5Kf9rxY&#10;G9vEWhlJtZ23rwqFHoeZ+YYp1qNpRU/ON5YVPCcpCOLS6oYrBZfz7mkBwgdkja1lUnAnD+vV5KHA&#10;XNuBj9SfQiUihH2OCuoQulxKX9Zk0Ce2I47e1TqDIUpXSe1wiHDTylmazqXBhuNCjR1taipvp2+j&#10;4Ov2Hjafbp7Kbj+8HM4fM7PFvVKP0/F1CSLQGP7Df+03rSDL4PdL/AF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Cg0nEAAAA2wAAAA8AAAAAAAAAAAAAAAAAmAIAAGRycy9k&#10;b3ducmV2LnhtbFBLBQYAAAAABAAEAPUAAACJAwAAAAA=&#10;" path="m,l,2381e" filled="f" strokeweight=".22pt">
                    <v:path arrowok="t" o:connecttype="custom" o:connectlocs="0,-2666;0,-285" o:connectangles="0,0"/>
                  </v:shape>
                </v:group>
                <v:group id="Group 32" o:spid="_x0000_s1033" style="position:absolute;left:895;top:-286;width:10306;height:2" coordorigin="895,-286" coordsize="103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33" o:spid="_x0000_s1034" style="position:absolute;left:895;top:-286;width:10306;height:2;visibility:visible;mso-wrap-style:square;v-text-anchor:top" coordsize="103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pyGMIA&#10;AADbAAAADwAAAGRycy9kb3ducmV2LnhtbESPT2sCMRTE70K/Q3gFb252C7qyNUorCPboH9DjY/O6&#10;Wbp5WTZRYz+9KRQ8DjPzG2axirYTVxp861hBkeUgiGunW24UHA+byRyED8gaO8ek4E4eVsuX0QIr&#10;7W68o+s+NCJB2FeowITQV1L62pBFn7meOHnfbrAYkhwaqQe8Jbjt5Fuez6TFltOCwZ7Whuqf/cUq&#10;iLFfF9yV55P+qunXnj+LcmaUGr/Gj3cQgWJ4hv/bW61gWsLfl/Q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unIYwgAAANsAAAAPAAAAAAAAAAAAAAAAAJgCAABkcnMvZG93&#10;bnJldi54bWxQSwUGAAAAAAQABAD1AAAAhwMAAAAA&#10;" path="m,l10306,e" filled="f" strokeweight=".22pt">
                    <v:path arrowok="t" o:connecttype="custom" o:connectlocs="0,0;10306,0" o:connectangles="0,0"/>
                  </v:shape>
                </v:group>
                <w10:wrap anchorx="page"/>
              </v:group>
            </w:pict>
          </mc:Fallback>
        </mc:AlternateContent>
      </w:r>
    </w:p>
    <w:p w:rsidR="006312E8" w:rsidRPr="006312E8" w:rsidRDefault="006312E8" w:rsidP="006312E8">
      <w:pPr>
        <w:spacing w:before="69" w:after="0" w:line="240" w:lineRule="auto"/>
        <w:ind w:right="-20"/>
        <w:rPr>
          <w:rFonts w:ascii="Arial" w:eastAsia="Calibri" w:hAnsi="Arial" w:cs="Arial"/>
          <w:sz w:val="18"/>
          <w:szCs w:val="18"/>
          <w:lang w:val="es-ES"/>
        </w:rPr>
      </w:pPr>
    </w:p>
    <w:p w:rsidR="006312E8" w:rsidRPr="006312E8" w:rsidRDefault="006312E8" w:rsidP="006312E8">
      <w:pPr>
        <w:spacing w:before="69" w:after="0" w:line="240" w:lineRule="auto"/>
        <w:ind w:right="-20"/>
        <w:rPr>
          <w:rFonts w:ascii="Arial" w:eastAsia="Calibri" w:hAnsi="Arial" w:cs="Arial"/>
          <w:sz w:val="18"/>
          <w:szCs w:val="18"/>
        </w:rPr>
      </w:pPr>
    </w:p>
    <w:p w:rsidR="006312E8" w:rsidRPr="006312E8" w:rsidRDefault="006312E8" w:rsidP="006312E8">
      <w:pPr>
        <w:tabs>
          <w:tab w:val="left" w:pos="620"/>
        </w:tabs>
        <w:spacing w:before="37" w:after="0" w:line="240" w:lineRule="auto"/>
        <w:ind w:right="-20"/>
        <w:rPr>
          <w:rFonts w:ascii="Arial Narrow" w:eastAsia="Calibri" w:hAnsi="Arial Narrow" w:cs="Times New Roman"/>
          <w:b/>
          <w:sz w:val="20"/>
          <w:szCs w:val="20"/>
          <w:lang w:val="es-ES"/>
        </w:rPr>
      </w:pPr>
    </w:p>
    <w:p w:rsidR="006312E8" w:rsidRPr="006312E8" w:rsidRDefault="006312E8" w:rsidP="006312E8">
      <w:pPr>
        <w:tabs>
          <w:tab w:val="left" w:pos="620"/>
        </w:tabs>
        <w:spacing w:before="37" w:after="0" w:line="240" w:lineRule="auto"/>
        <w:ind w:right="-20"/>
        <w:rPr>
          <w:rFonts w:ascii="Arial Narrow" w:eastAsia="Calibri" w:hAnsi="Arial Narrow" w:cs="Times New Roman"/>
          <w:b/>
          <w:sz w:val="20"/>
          <w:szCs w:val="20"/>
          <w:lang w:val="es-ES"/>
        </w:rPr>
      </w:pPr>
    </w:p>
    <w:p w:rsidR="006312E8" w:rsidRPr="006312E8" w:rsidRDefault="006312E8" w:rsidP="006312E8">
      <w:pPr>
        <w:tabs>
          <w:tab w:val="left" w:pos="620"/>
        </w:tabs>
        <w:spacing w:before="37" w:after="0" w:line="240" w:lineRule="auto"/>
        <w:ind w:right="-20"/>
        <w:rPr>
          <w:rFonts w:ascii="Arial Narrow" w:eastAsia="Calibri" w:hAnsi="Arial Narrow" w:cs="Times New Roman"/>
          <w:b/>
          <w:sz w:val="16"/>
          <w:szCs w:val="16"/>
          <w:lang w:val="es-ES"/>
        </w:rPr>
      </w:pPr>
      <w:r w:rsidRPr="006312E8">
        <w:rPr>
          <w:rFonts w:ascii="Arial Narrow" w:eastAsia="Calibri" w:hAnsi="Arial Narrow" w:cs="Times New Roman"/>
          <w:b/>
          <w:sz w:val="16"/>
          <w:szCs w:val="16"/>
          <w:lang w:val="es-ES"/>
        </w:rPr>
        <w:t>4.-</w:t>
      </w:r>
      <w:r w:rsidRPr="006312E8">
        <w:rPr>
          <w:rFonts w:ascii="Arial Narrow" w:eastAsia="Calibri" w:hAnsi="Arial Narrow" w:cs="Times New Roman"/>
          <w:b/>
          <w:sz w:val="16"/>
          <w:szCs w:val="16"/>
          <w:lang w:val="es-ES"/>
        </w:rPr>
        <w:tab/>
        <w:t>INSPECCIÓN TÉCNICA</w:t>
      </w:r>
    </w:p>
    <w:p w:rsidR="006312E8" w:rsidRPr="006312E8" w:rsidRDefault="006312E8" w:rsidP="006312E8">
      <w:pPr>
        <w:spacing w:before="2" w:after="0" w:line="160" w:lineRule="exact"/>
        <w:rPr>
          <w:rFonts w:ascii="Calibri" w:eastAsia="Calibri" w:hAnsi="Calibri" w:cs="Times New Roman"/>
          <w:sz w:val="16"/>
          <w:szCs w:val="16"/>
        </w:rPr>
      </w:pPr>
    </w:p>
    <w:p w:rsidR="006312E8" w:rsidRPr="006312E8" w:rsidRDefault="006312E8" w:rsidP="006312E8">
      <w:pPr>
        <w:tabs>
          <w:tab w:val="left" w:pos="620"/>
        </w:tabs>
        <w:spacing w:before="37" w:after="0" w:line="240" w:lineRule="auto"/>
        <w:ind w:left="115" w:right="-20"/>
        <w:outlineLvl w:val="0"/>
        <w:rPr>
          <w:rFonts w:ascii="Arial Narrow" w:eastAsia="Calibri" w:hAnsi="Arial Narrow" w:cs="Arial"/>
          <w:b/>
          <w:sz w:val="16"/>
          <w:szCs w:val="16"/>
        </w:rPr>
      </w:pPr>
      <w:r w:rsidRPr="006312E8">
        <w:rPr>
          <w:rFonts w:ascii="Arial Narrow" w:eastAsia="Calibri" w:hAnsi="Arial Narrow" w:cs="Arial"/>
          <w:b/>
          <w:sz w:val="16"/>
          <w:szCs w:val="16"/>
        </w:rPr>
        <w:t xml:space="preserve">4.1  INSPECCIÓN OCULAR </w:t>
      </w:r>
    </w:p>
    <w:p w:rsidR="006312E8" w:rsidRPr="006312E8" w:rsidRDefault="006312E8" w:rsidP="006312E8">
      <w:pPr>
        <w:tabs>
          <w:tab w:val="left" w:pos="620"/>
        </w:tabs>
        <w:spacing w:before="37" w:after="0" w:line="240" w:lineRule="auto"/>
        <w:ind w:left="115" w:right="-20"/>
        <w:rPr>
          <w:rFonts w:ascii="Arial Narrow" w:eastAsia="Calibri" w:hAnsi="Arial Narrow" w:cs="Arial"/>
          <w:b/>
          <w:sz w:val="18"/>
          <w:szCs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977"/>
        <w:gridCol w:w="1559"/>
        <w:gridCol w:w="567"/>
        <w:gridCol w:w="851"/>
        <w:gridCol w:w="1134"/>
        <w:gridCol w:w="567"/>
        <w:gridCol w:w="567"/>
      </w:tblGrid>
      <w:tr w:rsidR="006312E8" w:rsidRPr="006312E8" w:rsidTr="00D04998">
        <w:trPr>
          <w:trHeight w:hRule="exact" w:val="387"/>
        </w:trPr>
        <w:tc>
          <w:tcPr>
            <w:tcW w:w="1809" w:type="dxa"/>
          </w:tcPr>
          <w:p w:rsidR="006312E8" w:rsidRPr="006312E8" w:rsidRDefault="006312E8" w:rsidP="006312E8">
            <w:pPr>
              <w:spacing w:before="51" w:after="0" w:line="240" w:lineRule="auto"/>
              <w:ind w:right="-20"/>
              <w:rPr>
                <w:rFonts w:ascii="Arial Narrow" w:eastAsia="Calibri" w:hAnsi="Arial Narrow" w:cs="Arial Narrow"/>
                <w:b/>
                <w:spacing w:val="1"/>
                <w:sz w:val="14"/>
                <w:szCs w:val="14"/>
              </w:rPr>
            </w:pPr>
            <w:r w:rsidRPr="006312E8">
              <w:rPr>
                <w:rFonts w:ascii="Arial Narrow" w:eastAsia="Calibri" w:hAnsi="Arial Narrow" w:cs="Arial Narrow"/>
                <w:b/>
                <w:spacing w:val="1"/>
                <w:sz w:val="14"/>
                <w:szCs w:val="14"/>
              </w:rPr>
              <w:t>FECHA DE INSPECCIÓN</w:t>
            </w:r>
          </w:p>
        </w:tc>
        <w:tc>
          <w:tcPr>
            <w:tcW w:w="2977" w:type="dxa"/>
          </w:tcPr>
          <w:p w:rsidR="006312E8" w:rsidRPr="006312E8" w:rsidRDefault="006312E8" w:rsidP="006312E8">
            <w:pPr>
              <w:spacing w:before="42" w:after="0" w:line="240" w:lineRule="auto"/>
              <w:ind w:right="-20"/>
              <w:rPr>
                <w:rFonts w:ascii="Arial Narrow" w:eastAsia="Calibri" w:hAnsi="Arial Narrow" w:cs="Arial Narrow"/>
                <w:b/>
                <w:sz w:val="14"/>
                <w:szCs w:val="14"/>
              </w:rPr>
            </w:pPr>
          </w:p>
        </w:tc>
        <w:tc>
          <w:tcPr>
            <w:tcW w:w="1559" w:type="dxa"/>
          </w:tcPr>
          <w:p w:rsidR="006312E8" w:rsidRPr="006312E8" w:rsidRDefault="006312E8" w:rsidP="006312E8">
            <w:pPr>
              <w:spacing w:before="42" w:after="0" w:line="240" w:lineRule="auto"/>
              <w:ind w:right="-20"/>
              <w:rPr>
                <w:rFonts w:ascii="Arial Narrow" w:eastAsia="Calibri" w:hAnsi="Arial Narrow" w:cs="Arial Narrow"/>
                <w:b/>
                <w:sz w:val="14"/>
                <w:szCs w:val="14"/>
              </w:rPr>
            </w:pPr>
            <w:r w:rsidRPr="006312E8">
              <w:rPr>
                <w:rFonts w:ascii="Arial Narrow" w:eastAsia="Calibri" w:hAnsi="Arial Narrow" w:cs="Arial Narrow"/>
                <w:b/>
                <w:spacing w:val="1"/>
                <w:sz w:val="14"/>
                <w:szCs w:val="14"/>
              </w:rPr>
              <w:t>DEPARTAMENT</w:t>
            </w:r>
            <w:r w:rsidRPr="006312E8">
              <w:rPr>
                <w:rFonts w:ascii="Arial Narrow" w:eastAsia="Calibri" w:hAnsi="Arial Narrow" w:cs="Arial Narrow"/>
                <w:b/>
                <w:sz w:val="14"/>
                <w:szCs w:val="14"/>
              </w:rPr>
              <w:t>O</w:t>
            </w:r>
          </w:p>
        </w:tc>
        <w:tc>
          <w:tcPr>
            <w:tcW w:w="3686" w:type="dxa"/>
            <w:gridSpan w:val="5"/>
          </w:tcPr>
          <w:p w:rsidR="006312E8" w:rsidRPr="006312E8" w:rsidRDefault="006312E8" w:rsidP="006312E8">
            <w:pPr>
              <w:spacing w:after="0" w:line="240" w:lineRule="auto"/>
              <w:rPr>
                <w:rFonts w:ascii="Calibri" w:eastAsia="Calibri" w:hAnsi="Calibri" w:cs="Times New Roman"/>
                <w:b/>
                <w:sz w:val="14"/>
                <w:szCs w:val="14"/>
              </w:rPr>
            </w:pPr>
          </w:p>
        </w:tc>
      </w:tr>
      <w:tr w:rsidR="006312E8" w:rsidRPr="006312E8" w:rsidTr="00D04998">
        <w:trPr>
          <w:trHeight w:hRule="exact" w:val="419"/>
        </w:trPr>
        <w:tc>
          <w:tcPr>
            <w:tcW w:w="1809" w:type="dxa"/>
          </w:tcPr>
          <w:p w:rsidR="006312E8" w:rsidRPr="006312E8" w:rsidRDefault="006312E8" w:rsidP="006312E8">
            <w:pPr>
              <w:spacing w:before="51" w:after="0" w:line="240" w:lineRule="auto"/>
              <w:ind w:right="-20"/>
              <w:rPr>
                <w:rFonts w:ascii="Arial Narrow" w:eastAsia="Calibri" w:hAnsi="Arial Narrow" w:cs="Arial Narrow"/>
                <w:b/>
                <w:spacing w:val="1"/>
                <w:sz w:val="14"/>
                <w:szCs w:val="14"/>
              </w:rPr>
            </w:pPr>
            <w:r w:rsidRPr="006312E8">
              <w:rPr>
                <w:rFonts w:ascii="Arial Narrow" w:eastAsia="Calibri" w:hAnsi="Arial Narrow" w:cs="Arial Narrow"/>
                <w:b/>
                <w:spacing w:val="1"/>
                <w:sz w:val="14"/>
                <w:szCs w:val="14"/>
              </w:rPr>
              <w:t>PROVINCIA</w:t>
            </w:r>
          </w:p>
        </w:tc>
        <w:tc>
          <w:tcPr>
            <w:tcW w:w="2977" w:type="dxa"/>
          </w:tcPr>
          <w:p w:rsidR="006312E8" w:rsidRPr="006312E8" w:rsidRDefault="006312E8" w:rsidP="006312E8">
            <w:pPr>
              <w:spacing w:before="51" w:after="0" w:line="240" w:lineRule="auto"/>
              <w:ind w:left="62" w:right="-20"/>
              <w:rPr>
                <w:rFonts w:ascii="Arial Narrow" w:eastAsia="Calibri" w:hAnsi="Arial Narrow" w:cs="Arial Narrow"/>
                <w:b/>
                <w:sz w:val="14"/>
                <w:szCs w:val="14"/>
              </w:rPr>
            </w:pPr>
          </w:p>
        </w:tc>
        <w:tc>
          <w:tcPr>
            <w:tcW w:w="1559" w:type="dxa"/>
          </w:tcPr>
          <w:p w:rsidR="006312E8" w:rsidRPr="006312E8" w:rsidRDefault="006312E8" w:rsidP="006312E8">
            <w:pPr>
              <w:spacing w:before="51" w:after="0" w:line="240" w:lineRule="auto"/>
              <w:ind w:right="-20"/>
              <w:rPr>
                <w:rFonts w:ascii="Arial Narrow" w:eastAsia="Calibri" w:hAnsi="Arial Narrow" w:cs="Arial Narrow"/>
                <w:b/>
                <w:sz w:val="14"/>
                <w:szCs w:val="14"/>
              </w:rPr>
            </w:pPr>
            <w:r w:rsidRPr="006312E8">
              <w:rPr>
                <w:rFonts w:ascii="Arial Narrow" w:eastAsia="Calibri" w:hAnsi="Arial Narrow" w:cs="Arial Narrow"/>
                <w:b/>
                <w:spacing w:val="1"/>
                <w:sz w:val="14"/>
                <w:szCs w:val="14"/>
              </w:rPr>
              <w:t>D</w:t>
            </w:r>
            <w:r w:rsidRPr="006312E8">
              <w:rPr>
                <w:rFonts w:ascii="Arial Narrow" w:eastAsia="Calibri" w:hAnsi="Arial Narrow" w:cs="Arial Narrow"/>
                <w:b/>
                <w:spacing w:val="-1"/>
                <w:sz w:val="14"/>
                <w:szCs w:val="14"/>
              </w:rPr>
              <w:t>I</w:t>
            </w:r>
            <w:r w:rsidRPr="006312E8">
              <w:rPr>
                <w:rFonts w:ascii="Arial Narrow" w:eastAsia="Calibri" w:hAnsi="Arial Narrow" w:cs="Arial Narrow"/>
                <w:b/>
                <w:spacing w:val="1"/>
                <w:sz w:val="14"/>
                <w:szCs w:val="14"/>
              </w:rPr>
              <w:t>STR</w:t>
            </w:r>
            <w:r w:rsidRPr="006312E8">
              <w:rPr>
                <w:rFonts w:ascii="Arial Narrow" w:eastAsia="Calibri" w:hAnsi="Arial Narrow" w:cs="Arial Narrow"/>
                <w:b/>
                <w:spacing w:val="-1"/>
                <w:sz w:val="14"/>
                <w:szCs w:val="14"/>
              </w:rPr>
              <w:t>I</w:t>
            </w:r>
            <w:r w:rsidRPr="006312E8">
              <w:rPr>
                <w:rFonts w:ascii="Arial Narrow" w:eastAsia="Calibri" w:hAnsi="Arial Narrow" w:cs="Arial Narrow"/>
                <w:b/>
                <w:spacing w:val="1"/>
                <w:sz w:val="14"/>
                <w:szCs w:val="14"/>
              </w:rPr>
              <w:t>T</w:t>
            </w:r>
            <w:r w:rsidRPr="006312E8">
              <w:rPr>
                <w:rFonts w:ascii="Arial Narrow" w:eastAsia="Calibri" w:hAnsi="Arial Narrow" w:cs="Arial Narrow"/>
                <w:b/>
                <w:sz w:val="14"/>
                <w:szCs w:val="14"/>
              </w:rPr>
              <w:t xml:space="preserve">O          </w:t>
            </w:r>
          </w:p>
        </w:tc>
        <w:tc>
          <w:tcPr>
            <w:tcW w:w="3686" w:type="dxa"/>
            <w:gridSpan w:val="5"/>
          </w:tcPr>
          <w:p w:rsidR="006312E8" w:rsidRPr="006312E8" w:rsidRDefault="006312E8" w:rsidP="006312E8">
            <w:pPr>
              <w:spacing w:before="51" w:after="0" w:line="240" w:lineRule="auto"/>
              <w:ind w:left="62" w:right="-20"/>
              <w:rPr>
                <w:rFonts w:ascii="Arial Narrow" w:eastAsia="Calibri" w:hAnsi="Arial Narrow" w:cs="Arial Narrow"/>
                <w:b/>
                <w:sz w:val="14"/>
                <w:szCs w:val="14"/>
              </w:rPr>
            </w:pPr>
          </w:p>
        </w:tc>
      </w:tr>
      <w:tr w:rsidR="006312E8" w:rsidRPr="006312E8" w:rsidTr="00D04998">
        <w:trPr>
          <w:trHeight w:hRule="exact" w:val="427"/>
        </w:trPr>
        <w:tc>
          <w:tcPr>
            <w:tcW w:w="1809" w:type="dxa"/>
          </w:tcPr>
          <w:p w:rsidR="006312E8" w:rsidRPr="006312E8" w:rsidRDefault="006312E8" w:rsidP="006312E8">
            <w:pPr>
              <w:spacing w:before="51" w:after="0" w:line="240" w:lineRule="auto"/>
              <w:ind w:right="-20"/>
              <w:rPr>
                <w:rFonts w:ascii="Arial Narrow" w:eastAsia="Calibri" w:hAnsi="Arial Narrow" w:cs="Arial Narrow"/>
                <w:b/>
                <w:spacing w:val="1"/>
                <w:sz w:val="14"/>
                <w:szCs w:val="14"/>
              </w:rPr>
            </w:pPr>
            <w:r w:rsidRPr="006312E8">
              <w:rPr>
                <w:rFonts w:ascii="Arial Narrow" w:eastAsia="Calibri" w:hAnsi="Arial Narrow" w:cs="Arial Narrow"/>
                <w:b/>
                <w:spacing w:val="1"/>
                <w:sz w:val="14"/>
                <w:szCs w:val="14"/>
              </w:rPr>
              <w:t>DIRECCIÓN</w:t>
            </w:r>
          </w:p>
        </w:tc>
        <w:tc>
          <w:tcPr>
            <w:tcW w:w="7088" w:type="dxa"/>
            <w:gridSpan w:val="5"/>
          </w:tcPr>
          <w:p w:rsidR="006312E8" w:rsidRPr="006312E8" w:rsidRDefault="006312E8" w:rsidP="006312E8">
            <w:pPr>
              <w:spacing w:before="51" w:after="0" w:line="240" w:lineRule="auto"/>
              <w:ind w:left="98" w:right="-20"/>
              <w:rPr>
                <w:rFonts w:ascii="Arial Narrow" w:eastAsia="Calibri" w:hAnsi="Arial Narrow" w:cs="Arial Narrow"/>
                <w:b/>
                <w:sz w:val="14"/>
                <w:szCs w:val="14"/>
              </w:rPr>
            </w:pPr>
          </w:p>
        </w:tc>
        <w:tc>
          <w:tcPr>
            <w:tcW w:w="567" w:type="dxa"/>
          </w:tcPr>
          <w:p w:rsidR="006312E8" w:rsidRPr="006312E8" w:rsidRDefault="006312E8" w:rsidP="006312E8">
            <w:pPr>
              <w:spacing w:before="51" w:after="0" w:line="240" w:lineRule="auto"/>
              <w:ind w:right="-20"/>
              <w:rPr>
                <w:rFonts w:ascii="Arial Narrow" w:eastAsia="Calibri" w:hAnsi="Arial Narrow" w:cs="Arial Narrow"/>
                <w:b/>
                <w:sz w:val="14"/>
                <w:szCs w:val="14"/>
              </w:rPr>
            </w:pPr>
            <w:r w:rsidRPr="006312E8">
              <w:rPr>
                <w:rFonts w:ascii="Arial Narrow" w:eastAsia="Calibri" w:hAnsi="Arial Narrow" w:cs="Arial Narrow"/>
                <w:b/>
                <w:spacing w:val="1"/>
                <w:sz w:val="14"/>
                <w:szCs w:val="14"/>
              </w:rPr>
              <w:t>N</w:t>
            </w:r>
            <w:r w:rsidRPr="006312E8">
              <w:rPr>
                <w:rFonts w:ascii="Arial Narrow" w:eastAsia="Calibri" w:hAnsi="Arial Narrow" w:cs="Arial Narrow"/>
                <w:b/>
                <w:sz w:val="14"/>
                <w:szCs w:val="14"/>
              </w:rPr>
              <w:t>o.</w:t>
            </w:r>
          </w:p>
        </w:tc>
        <w:tc>
          <w:tcPr>
            <w:tcW w:w="567" w:type="dxa"/>
          </w:tcPr>
          <w:p w:rsidR="006312E8" w:rsidRPr="006312E8" w:rsidRDefault="006312E8" w:rsidP="006312E8">
            <w:pPr>
              <w:spacing w:after="0" w:line="240" w:lineRule="auto"/>
              <w:rPr>
                <w:rFonts w:ascii="Calibri" w:eastAsia="Calibri" w:hAnsi="Calibri" w:cs="Times New Roman"/>
                <w:b/>
                <w:sz w:val="14"/>
                <w:szCs w:val="14"/>
              </w:rPr>
            </w:pPr>
          </w:p>
        </w:tc>
      </w:tr>
      <w:tr w:rsidR="006312E8" w:rsidRPr="006312E8" w:rsidTr="00D04998">
        <w:trPr>
          <w:trHeight w:hRule="exact" w:val="396"/>
        </w:trPr>
        <w:tc>
          <w:tcPr>
            <w:tcW w:w="1809" w:type="dxa"/>
          </w:tcPr>
          <w:p w:rsidR="006312E8" w:rsidRPr="006312E8" w:rsidRDefault="006312E8" w:rsidP="006312E8">
            <w:pPr>
              <w:spacing w:before="51" w:after="0" w:line="240" w:lineRule="auto"/>
              <w:ind w:right="-20"/>
              <w:rPr>
                <w:rFonts w:ascii="Arial Narrow" w:eastAsia="Calibri" w:hAnsi="Arial Narrow" w:cs="Arial Narrow"/>
                <w:b/>
                <w:sz w:val="14"/>
                <w:szCs w:val="14"/>
              </w:rPr>
            </w:pPr>
            <w:r w:rsidRPr="006312E8">
              <w:rPr>
                <w:rFonts w:ascii="Arial Narrow" w:eastAsia="Calibri" w:hAnsi="Arial Narrow" w:cs="Arial Narrow"/>
                <w:b/>
                <w:spacing w:val="1"/>
                <w:sz w:val="14"/>
                <w:szCs w:val="14"/>
              </w:rPr>
              <w:t>SECTOR/ ETAPA/ ZONA</w:t>
            </w:r>
            <w:r w:rsidRPr="006312E8">
              <w:rPr>
                <w:rFonts w:ascii="Arial Narrow" w:eastAsia="Calibri" w:hAnsi="Arial Narrow" w:cs="Arial Narrow"/>
                <w:b/>
                <w:sz w:val="14"/>
                <w:szCs w:val="14"/>
              </w:rPr>
              <w:t xml:space="preserve"> </w:t>
            </w:r>
          </w:p>
        </w:tc>
        <w:tc>
          <w:tcPr>
            <w:tcW w:w="5103" w:type="dxa"/>
            <w:gridSpan w:val="3"/>
          </w:tcPr>
          <w:p w:rsidR="006312E8" w:rsidRPr="006312E8" w:rsidRDefault="006312E8" w:rsidP="006312E8">
            <w:pPr>
              <w:spacing w:after="0" w:line="240" w:lineRule="auto"/>
              <w:rPr>
                <w:rFonts w:ascii="Calibri" w:eastAsia="Calibri" w:hAnsi="Calibri" w:cs="Times New Roman"/>
                <w:b/>
                <w:sz w:val="14"/>
                <w:szCs w:val="14"/>
              </w:rPr>
            </w:pPr>
          </w:p>
        </w:tc>
        <w:tc>
          <w:tcPr>
            <w:tcW w:w="851" w:type="dxa"/>
          </w:tcPr>
          <w:p w:rsidR="006312E8" w:rsidRPr="006312E8" w:rsidRDefault="006312E8" w:rsidP="006312E8">
            <w:pPr>
              <w:spacing w:before="51" w:after="0" w:line="240" w:lineRule="auto"/>
              <w:ind w:right="-20"/>
              <w:rPr>
                <w:rFonts w:ascii="Arial Narrow" w:eastAsia="Calibri" w:hAnsi="Arial Narrow" w:cs="Arial Narrow"/>
                <w:b/>
                <w:sz w:val="14"/>
                <w:szCs w:val="14"/>
              </w:rPr>
            </w:pPr>
            <w:r w:rsidRPr="006312E8">
              <w:rPr>
                <w:rFonts w:ascii="Arial Narrow" w:eastAsia="Calibri" w:hAnsi="Arial Narrow" w:cs="Arial Narrow"/>
                <w:b/>
                <w:spacing w:val="1"/>
                <w:sz w:val="14"/>
                <w:szCs w:val="14"/>
              </w:rPr>
              <w:t>MANZAN</w:t>
            </w:r>
            <w:r w:rsidRPr="006312E8">
              <w:rPr>
                <w:rFonts w:ascii="Arial Narrow" w:eastAsia="Calibri" w:hAnsi="Arial Narrow" w:cs="Arial Narrow"/>
                <w:b/>
                <w:sz w:val="14"/>
                <w:szCs w:val="14"/>
              </w:rPr>
              <w:t>A</w:t>
            </w:r>
          </w:p>
        </w:tc>
        <w:tc>
          <w:tcPr>
            <w:tcW w:w="1134" w:type="dxa"/>
          </w:tcPr>
          <w:p w:rsidR="006312E8" w:rsidRPr="006312E8" w:rsidRDefault="006312E8" w:rsidP="006312E8">
            <w:pPr>
              <w:spacing w:after="0" w:line="240" w:lineRule="auto"/>
              <w:rPr>
                <w:rFonts w:ascii="Calibri" w:eastAsia="Calibri" w:hAnsi="Calibri" w:cs="Times New Roman"/>
                <w:b/>
                <w:sz w:val="14"/>
                <w:szCs w:val="14"/>
              </w:rPr>
            </w:pPr>
          </w:p>
        </w:tc>
        <w:tc>
          <w:tcPr>
            <w:tcW w:w="567" w:type="dxa"/>
          </w:tcPr>
          <w:p w:rsidR="006312E8" w:rsidRPr="006312E8" w:rsidRDefault="006312E8" w:rsidP="006312E8">
            <w:pPr>
              <w:spacing w:before="51" w:after="0" w:line="240" w:lineRule="auto"/>
              <w:ind w:right="-20"/>
              <w:rPr>
                <w:rFonts w:ascii="Arial Narrow" w:eastAsia="Calibri" w:hAnsi="Arial Narrow" w:cs="Arial Narrow"/>
                <w:b/>
                <w:sz w:val="14"/>
                <w:szCs w:val="14"/>
              </w:rPr>
            </w:pPr>
            <w:r w:rsidRPr="006312E8">
              <w:rPr>
                <w:rFonts w:ascii="Arial Narrow" w:eastAsia="Calibri" w:hAnsi="Arial Narrow" w:cs="Arial Narrow"/>
                <w:b/>
                <w:spacing w:val="1"/>
                <w:sz w:val="14"/>
                <w:szCs w:val="14"/>
              </w:rPr>
              <w:t>LOTE</w:t>
            </w:r>
          </w:p>
        </w:tc>
        <w:tc>
          <w:tcPr>
            <w:tcW w:w="567" w:type="dxa"/>
          </w:tcPr>
          <w:p w:rsidR="006312E8" w:rsidRPr="006312E8" w:rsidRDefault="006312E8" w:rsidP="006312E8">
            <w:pPr>
              <w:spacing w:after="0" w:line="240" w:lineRule="auto"/>
              <w:rPr>
                <w:rFonts w:ascii="Calibri" w:eastAsia="Calibri" w:hAnsi="Calibri" w:cs="Times New Roman"/>
                <w:b/>
                <w:sz w:val="14"/>
                <w:szCs w:val="14"/>
              </w:rPr>
            </w:pPr>
          </w:p>
        </w:tc>
      </w:tr>
    </w:tbl>
    <w:p w:rsidR="006312E8" w:rsidRPr="006312E8" w:rsidRDefault="006312E8" w:rsidP="006312E8">
      <w:pPr>
        <w:spacing w:before="2" w:after="0" w:line="160" w:lineRule="exact"/>
        <w:rPr>
          <w:rFonts w:ascii="Arial Narrow" w:eastAsia="Calibri" w:hAnsi="Arial Narrow" w:cs="Arial"/>
          <w:b/>
          <w:sz w:val="14"/>
          <w:szCs w:val="14"/>
        </w:rPr>
      </w:pPr>
    </w:p>
    <w:p w:rsidR="006312E8" w:rsidRPr="006312E8" w:rsidRDefault="006312E8" w:rsidP="006312E8">
      <w:pPr>
        <w:spacing w:before="2" w:after="0" w:line="160" w:lineRule="exact"/>
        <w:outlineLvl w:val="0"/>
        <w:rPr>
          <w:rFonts w:ascii="Arial Narrow" w:eastAsia="Calibri" w:hAnsi="Arial Narrow" w:cs="Arial"/>
          <w:b/>
          <w:sz w:val="16"/>
          <w:szCs w:val="16"/>
        </w:rPr>
      </w:pPr>
      <w:r w:rsidRPr="006312E8">
        <w:rPr>
          <w:rFonts w:ascii="Arial Narrow" w:eastAsia="Calibri" w:hAnsi="Arial Narrow" w:cs="Arial"/>
          <w:b/>
          <w:sz w:val="16"/>
          <w:szCs w:val="16"/>
        </w:rPr>
        <w:t>4.2 REFERENCIAS</w:t>
      </w:r>
    </w:p>
    <w:p w:rsidR="006312E8" w:rsidRPr="006312E8" w:rsidRDefault="006312E8" w:rsidP="006312E8">
      <w:pPr>
        <w:spacing w:before="2" w:after="0" w:line="160" w:lineRule="exact"/>
        <w:rPr>
          <w:rFonts w:ascii="Arial Narrow" w:eastAsia="Calibri" w:hAnsi="Arial Narrow" w:cs="Arial"/>
          <w:b/>
          <w:sz w:val="18"/>
          <w:szCs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850"/>
        <w:gridCol w:w="1559"/>
        <w:gridCol w:w="1418"/>
        <w:gridCol w:w="1417"/>
        <w:gridCol w:w="1985"/>
      </w:tblGrid>
      <w:tr w:rsidR="006312E8" w:rsidRPr="006312E8" w:rsidTr="00D04998">
        <w:trPr>
          <w:trHeight w:hRule="exact" w:val="237"/>
        </w:trPr>
        <w:tc>
          <w:tcPr>
            <w:tcW w:w="2802" w:type="dxa"/>
          </w:tcPr>
          <w:p w:rsidR="006312E8" w:rsidRPr="006312E8" w:rsidRDefault="006312E8" w:rsidP="006312E8">
            <w:pPr>
              <w:spacing w:before="51" w:after="0" w:line="240" w:lineRule="auto"/>
              <w:ind w:right="-20"/>
              <w:rPr>
                <w:rFonts w:ascii="Arial Narrow" w:eastAsia="Calibri" w:hAnsi="Arial Narrow" w:cs="Arial Narrow"/>
                <w:b/>
                <w:spacing w:val="1"/>
                <w:sz w:val="14"/>
                <w:szCs w:val="14"/>
                <w:lang w:val="pt-BR"/>
              </w:rPr>
            </w:pPr>
            <w:r w:rsidRPr="006312E8">
              <w:rPr>
                <w:rFonts w:ascii="Arial Narrow" w:eastAsia="Calibri" w:hAnsi="Arial Narrow" w:cs="Arial Narrow"/>
                <w:b/>
                <w:spacing w:val="1"/>
                <w:sz w:val="14"/>
                <w:szCs w:val="14"/>
                <w:lang w:val="pt-BR"/>
              </w:rPr>
              <w:t>REFERENCIA   AV / CA /JR O VIA PRINCIPAL</w:t>
            </w:r>
          </w:p>
        </w:tc>
        <w:tc>
          <w:tcPr>
            <w:tcW w:w="7229" w:type="dxa"/>
            <w:gridSpan w:val="5"/>
          </w:tcPr>
          <w:p w:rsidR="006312E8" w:rsidRPr="006312E8" w:rsidRDefault="006312E8" w:rsidP="006312E8">
            <w:pPr>
              <w:spacing w:before="47" w:after="0" w:line="240" w:lineRule="auto"/>
              <w:ind w:left="62" w:right="-20"/>
              <w:rPr>
                <w:rFonts w:ascii="Arial Narrow" w:eastAsia="Calibri" w:hAnsi="Arial Narrow" w:cs="Arial Narrow"/>
                <w:b/>
                <w:sz w:val="14"/>
                <w:szCs w:val="14"/>
                <w:lang w:val="pt-BR"/>
              </w:rPr>
            </w:pPr>
          </w:p>
        </w:tc>
      </w:tr>
      <w:tr w:rsidR="006312E8" w:rsidRPr="006312E8" w:rsidTr="00D04998">
        <w:trPr>
          <w:trHeight w:hRule="exact" w:val="270"/>
        </w:trPr>
        <w:tc>
          <w:tcPr>
            <w:tcW w:w="2802" w:type="dxa"/>
          </w:tcPr>
          <w:p w:rsidR="006312E8" w:rsidRPr="006312E8" w:rsidRDefault="006312E8" w:rsidP="006312E8">
            <w:pPr>
              <w:spacing w:before="51" w:after="0" w:line="240" w:lineRule="auto"/>
              <w:ind w:right="-20"/>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 xml:space="preserve">PROXIMIDAD A ESQUINA (M) </w:t>
            </w:r>
          </w:p>
        </w:tc>
        <w:tc>
          <w:tcPr>
            <w:tcW w:w="5244" w:type="dxa"/>
            <w:gridSpan w:val="4"/>
          </w:tcPr>
          <w:p w:rsidR="006312E8" w:rsidRPr="006312E8" w:rsidRDefault="006312E8" w:rsidP="006312E8">
            <w:pPr>
              <w:spacing w:before="51" w:after="0" w:line="240" w:lineRule="auto"/>
              <w:ind w:right="-20"/>
              <w:jc w:val="center"/>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ORIENTACIÓN HACIA LA ESQUINA</w:t>
            </w:r>
          </w:p>
        </w:tc>
        <w:tc>
          <w:tcPr>
            <w:tcW w:w="1985" w:type="dxa"/>
          </w:tcPr>
          <w:p w:rsidR="006312E8" w:rsidRPr="006312E8" w:rsidRDefault="006312E8" w:rsidP="006312E8">
            <w:pPr>
              <w:spacing w:before="51" w:after="0" w:line="240" w:lineRule="auto"/>
              <w:ind w:right="-20"/>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 xml:space="preserve">AV/  CA/ JR </w:t>
            </w:r>
          </w:p>
        </w:tc>
      </w:tr>
      <w:tr w:rsidR="006312E8" w:rsidRPr="006312E8" w:rsidTr="00D04998">
        <w:trPr>
          <w:trHeight w:hRule="exact" w:val="278"/>
        </w:trPr>
        <w:tc>
          <w:tcPr>
            <w:tcW w:w="2802" w:type="dxa"/>
          </w:tcPr>
          <w:p w:rsidR="006312E8" w:rsidRPr="006312E8" w:rsidRDefault="006312E8" w:rsidP="006312E8">
            <w:pPr>
              <w:spacing w:before="51" w:after="0" w:line="240" w:lineRule="auto"/>
              <w:ind w:right="-20"/>
              <w:rPr>
                <w:rFonts w:ascii="Arial Narrow" w:eastAsia="Calibri" w:hAnsi="Arial Narrow" w:cs="Arial Narrow"/>
                <w:b/>
                <w:spacing w:val="1"/>
                <w:sz w:val="14"/>
                <w:szCs w:val="14"/>
                <w:lang w:val="es-ES"/>
              </w:rPr>
            </w:pPr>
          </w:p>
        </w:tc>
        <w:tc>
          <w:tcPr>
            <w:tcW w:w="850" w:type="dxa"/>
          </w:tcPr>
          <w:p w:rsidR="006312E8" w:rsidRPr="006312E8" w:rsidRDefault="006312E8" w:rsidP="006312E8">
            <w:pPr>
              <w:spacing w:before="51" w:after="0" w:line="240" w:lineRule="auto"/>
              <w:ind w:right="-20"/>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DERECHA</w:t>
            </w:r>
          </w:p>
        </w:tc>
        <w:tc>
          <w:tcPr>
            <w:tcW w:w="1559" w:type="dxa"/>
          </w:tcPr>
          <w:p w:rsidR="006312E8" w:rsidRPr="006312E8" w:rsidRDefault="006312E8" w:rsidP="006312E8">
            <w:pPr>
              <w:spacing w:before="51" w:after="0" w:line="240" w:lineRule="auto"/>
              <w:ind w:right="-20"/>
              <w:rPr>
                <w:rFonts w:ascii="Arial Narrow" w:eastAsia="Calibri" w:hAnsi="Arial Narrow" w:cs="Arial Narrow"/>
                <w:b/>
                <w:spacing w:val="1"/>
                <w:sz w:val="14"/>
                <w:szCs w:val="14"/>
                <w:lang w:val="es-ES"/>
              </w:rPr>
            </w:pPr>
          </w:p>
        </w:tc>
        <w:tc>
          <w:tcPr>
            <w:tcW w:w="1418" w:type="dxa"/>
          </w:tcPr>
          <w:p w:rsidR="006312E8" w:rsidRPr="006312E8" w:rsidRDefault="006312E8" w:rsidP="006312E8">
            <w:pPr>
              <w:spacing w:before="51" w:after="0" w:line="240" w:lineRule="auto"/>
              <w:ind w:right="-20"/>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IZQUIERDA</w:t>
            </w:r>
          </w:p>
        </w:tc>
        <w:tc>
          <w:tcPr>
            <w:tcW w:w="1417" w:type="dxa"/>
          </w:tcPr>
          <w:p w:rsidR="006312E8" w:rsidRPr="006312E8" w:rsidRDefault="006312E8" w:rsidP="006312E8">
            <w:pPr>
              <w:spacing w:before="51" w:after="0" w:line="240" w:lineRule="auto"/>
              <w:ind w:right="-20"/>
              <w:rPr>
                <w:rFonts w:ascii="Arial Narrow" w:eastAsia="Calibri" w:hAnsi="Arial Narrow" w:cs="Arial Narrow"/>
                <w:b/>
                <w:spacing w:val="1"/>
                <w:sz w:val="14"/>
                <w:szCs w:val="14"/>
                <w:lang w:val="es-ES"/>
              </w:rPr>
            </w:pPr>
          </w:p>
        </w:tc>
        <w:tc>
          <w:tcPr>
            <w:tcW w:w="1985" w:type="dxa"/>
          </w:tcPr>
          <w:p w:rsidR="006312E8" w:rsidRPr="006312E8" w:rsidRDefault="006312E8" w:rsidP="006312E8">
            <w:pPr>
              <w:spacing w:before="51" w:after="0" w:line="240" w:lineRule="auto"/>
              <w:ind w:right="-20"/>
              <w:rPr>
                <w:rFonts w:ascii="Arial Narrow" w:eastAsia="Calibri" w:hAnsi="Arial Narrow" w:cs="Arial Narrow"/>
                <w:b/>
                <w:spacing w:val="1"/>
                <w:sz w:val="14"/>
                <w:szCs w:val="14"/>
                <w:lang w:val="es-ES"/>
              </w:rPr>
            </w:pPr>
          </w:p>
        </w:tc>
      </w:tr>
      <w:tr w:rsidR="006312E8" w:rsidRPr="006312E8" w:rsidTr="00D04998">
        <w:trPr>
          <w:trHeight w:hRule="exact" w:val="278"/>
        </w:trPr>
        <w:tc>
          <w:tcPr>
            <w:tcW w:w="2802" w:type="dxa"/>
          </w:tcPr>
          <w:p w:rsidR="006312E8" w:rsidRPr="006312E8" w:rsidRDefault="006312E8" w:rsidP="006312E8">
            <w:pPr>
              <w:spacing w:before="51" w:after="0" w:line="240" w:lineRule="auto"/>
              <w:ind w:right="-20"/>
              <w:rPr>
                <w:rFonts w:ascii="Arial Narrow" w:eastAsia="Calibri" w:hAnsi="Arial Narrow" w:cs="Arial Narrow"/>
                <w:b/>
                <w:spacing w:val="1"/>
                <w:sz w:val="14"/>
                <w:szCs w:val="14"/>
                <w:lang w:val="pt-BR"/>
              </w:rPr>
            </w:pPr>
            <w:r w:rsidRPr="006312E8">
              <w:rPr>
                <w:rFonts w:ascii="Arial Narrow" w:eastAsia="Calibri" w:hAnsi="Arial Narrow" w:cs="Arial Narrow"/>
                <w:b/>
                <w:spacing w:val="1"/>
                <w:sz w:val="14"/>
                <w:szCs w:val="14"/>
                <w:lang w:val="pt-BR"/>
              </w:rPr>
              <w:t>DISTANCIA A VIA PRINCIPAL (M)</w:t>
            </w:r>
          </w:p>
        </w:tc>
        <w:tc>
          <w:tcPr>
            <w:tcW w:w="5244" w:type="dxa"/>
            <w:gridSpan w:val="4"/>
          </w:tcPr>
          <w:p w:rsidR="006312E8" w:rsidRPr="006312E8" w:rsidRDefault="006312E8" w:rsidP="006312E8">
            <w:pPr>
              <w:spacing w:before="51" w:after="0" w:line="240" w:lineRule="auto"/>
              <w:ind w:right="-20"/>
              <w:jc w:val="center"/>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ORIENTACIÓN HACIA LA ESQUINA</w:t>
            </w:r>
          </w:p>
        </w:tc>
        <w:tc>
          <w:tcPr>
            <w:tcW w:w="1985" w:type="dxa"/>
          </w:tcPr>
          <w:p w:rsidR="006312E8" w:rsidRPr="006312E8" w:rsidRDefault="006312E8" w:rsidP="006312E8">
            <w:pPr>
              <w:spacing w:before="51" w:after="0" w:line="240" w:lineRule="auto"/>
              <w:ind w:right="-20"/>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NOMBRE DE VIA PRINCIPAL</w:t>
            </w:r>
          </w:p>
        </w:tc>
      </w:tr>
      <w:tr w:rsidR="006312E8" w:rsidRPr="006312E8" w:rsidTr="00D04998">
        <w:trPr>
          <w:trHeight w:hRule="exact" w:val="278"/>
        </w:trPr>
        <w:tc>
          <w:tcPr>
            <w:tcW w:w="2802" w:type="dxa"/>
          </w:tcPr>
          <w:p w:rsidR="006312E8" w:rsidRPr="006312E8" w:rsidRDefault="006312E8" w:rsidP="006312E8">
            <w:pPr>
              <w:spacing w:before="51" w:after="0" w:line="240" w:lineRule="auto"/>
              <w:ind w:right="-20"/>
              <w:rPr>
                <w:rFonts w:ascii="Arial Narrow" w:eastAsia="Calibri" w:hAnsi="Arial Narrow" w:cs="Arial Narrow"/>
                <w:b/>
                <w:spacing w:val="1"/>
                <w:sz w:val="14"/>
                <w:szCs w:val="14"/>
                <w:lang w:val="es-ES"/>
              </w:rPr>
            </w:pPr>
          </w:p>
        </w:tc>
        <w:tc>
          <w:tcPr>
            <w:tcW w:w="850" w:type="dxa"/>
          </w:tcPr>
          <w:p w:rsidR="006312E8" w:rsidRPr="006312E8" w:rsidRDefault="006312E8" w:rsidP="006312E8">
            <w:pPr>
              <w:spacing w:before="51" w:after="0" w:line="240" w:lineRule="auto"/>
              <w:ind w:right="-20"/>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DERECHA</w:t>
            </w:r>
          </w:p>
        </w:tc>
        <w:tc>
          <w:tcPr>
            <w:tcW w:w="1559" w:type="dxa"/>
          </w:tcPr>
          <w:p w:rsidR="006312E8" w:rsidRPr="006312E8" w:rsidRDefault="006312E8" w:rsidP="006312E8">
            <w:pPr>
              <w:spacing w:before="51" w:after="0" w:line="240" w:lineRule="auto"/>
              <w:ind w:right="-20"/>
              <w:rPr>
                <w:rFonts w:ascii="Arial Narrow" w:eastAsia="Calibri" w:hAnsi="Arial Narrow" w:cs="Arial Narrow"/>
                <w:b/>
                <w:spacing w:val="1"/>
                <w:sz w:val="14"/>
                <w:szCs w:val="14"/>
                <w:lang w:val="es-ES"/>
              </w:rPr>
            </w:pPr>
          </w:p>
        </w:tc>
        <w:tc>
          <w:tcPr>
            <w:tcW w:w="1418" w:type="dxa"/>
          </w:tcPr>
          <w:p w:rsidR="006312E8" w:rsidRPr="006312E8" w:rsidRDefault="006312E8" w:rsidP="006312E8">
            <w:pPr>
              <w:spacing w:before="51" w:after="0" w:line="240" w:lineRule="auto"/>
              <w:ind w:right="-20"/>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IZQUIERDA</w:t>
            </w:r>
          </w:p>
        </w:tc>
        <w:tc>
          <w:tcPr>
            <w:tcW w:w="1417" w:type="dxa"/>
          </w:tcPr>
          <w:p w:rsidR="006312E8" w:rsidRPr="006312E8" w:rsidRDefault="006312E8" w:rsidP="006312E8">
            <w:pPr>
              <w:spacing w:before="51" w:after="0" w:line="240" w:lineRule="auto"/>
              <w:ind w:right="-20"/>
              <w:rPr>
                <w:rFonts w:ascii="Arial Narrow" w:eastAsia="Calibri" w:hAnsi="Arial Narrow" w:cs="Arial Narrow"/>
                <w:b/>
                <w:spacing w:val="1"/>
                <w:sz w:val="14"/>
                <w:szCs w:val="14"/>
                <w:lang w:val="es-ES"/>
              </w:rPr>
            </w:pPr>
          </w:p>
        </w:tc>
        <w:tc>
          <w:tcPr>
            <w:tcW w:w="1985" w:type="dxa"/>
          </w:tcPr>
          <w:p w:rsidR="006312E8" w:rsidRPr="006312E8" w:rsidRDefault="006312E8" w:rsidP="006312E8">
            <w:pPr>
              <w:spacing w:before="51" w:after="0" w:line="240" w:lineRule="auto"/>
              <w:ind w:right="-20"/>
              <w:rPr>
                <w:rFonts w:ascii="Arial Narrow" w:eastAsia="Calibri" w:hAnsi="Arial Narrow" w:cs="Arial Narrow"/>
                <w:b/>
                <w:spacing w:val="1"/>
                <w:sz w:val="14"/>
                <w:szCs w:val="14"/>
                <w:lang w:val="es-ES"/>
              </w:rPr>
            </w:pPr>
          </w:p>
        </w:tc>
      </w:tr>
    </w:tbl>
    <w:p w:rsidR="006312E8" w:rsidRPr="006312E8" w:rsidRDefault="006312E8" w:rsidP="006312E8">
      <w:pPr>
        <w:spacing w:before="2" w:after="0" w:line="160" w:lineRule="exact"/>
        <w:rPr>
          <w:rFonts w:ascii="Arial Narrow" w:eastAsia="Calibri" w:hAnsi="Arial Narrow" w:cs="Arial"/>
          <w:b/>
          <w:sz w:val="18"/>
          <w:szCs w:val="18"/>
        </w:rPr>
      </w:pPr>
    </w:p>
    <w:p w:rsidR="006312E8" w:rsidRPr="006312E8" w:rsidRDefault="006312E8" w:rsidP="006312E8">
      <w:pPr>
        <w:spacing w:before="2" w:after="0" w:line="160" w:lineRule="exact"/>
        <w:outlineLvl w:val="0"/>
        <w:rPr>
          <w:rFonts w:ascii="Arial Narrow" w:eastAsia="Calibri" w:hAnsi="Arial Narrow" w:cs="Arial"/>
          <w:b/>
          <w:sz w:val="16"/>
          <w:szCs w:val="16"/>
        </w:rPr>
      </w:pPr>
      <w:r w:rsidRPr="006312E8">
        <w:rPr>
          <w:rFonts w:ascii="Arial Narrow" w:eastAsia="Calibri" w:hAnsi="Arial Narrow" w:cs="Arial"/>
          <w:b/>
          <w:sz w:val="16"/>
          <w:szCs w:val="16"/>
        </w:rPr>
        <w:t xml:space="preserve">4.3 INFORMACIÓN TÉCNICA </w:t>
      </w:r>
    </w:p>
    <w:p w:rsidR="006312E8" w:rsidRPr="006312E8" w:rsidRDefault="006312E8" w:rsidP="006312E8">
      <w:pPr>
        <w:spacing w:before="2" w:after="0" w:line="160" w:lineRule="exact"/>
        <w:rPr>
          <w:rFonts w:ascii="Arial Narrow" w:eastAsia="Calibri" w:hAnsi="Arial Narrow" w:cs="Arial"/>
          <w:b/>
          <w:sz w:val="18"/>
          <w:szCs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283"/>
        <w:gridCol w:w="1418"/>
        <w:gridCol w:w="283"/>
        <w:gridCol w:w="1418"/>
        <w:gridCol w:w="1134"/>
        <w:gridCol w:w="1559"/>
        <w:gridCol w:w="1843"/>
      </w:tblGrid>
      <w:tr w:rsidR="006312E8" w:rsidRPr="006312E8" w:rsidTr="00D04998">
        <w:trPr>
          <w:trHeight w:val="195"/>
        </w:trPr>
        <w:tc>
          <w:tcPr>
            <w:tcW w:w="2093" w:type="dxa"/>
          </w:tcPr>
          <w:p w:rsidR="006312E8" w:rsidRPr="006312E8" w:rsidRDefault="006312E8" w:rsidP="006312E8">
            <w:pPr>
              <w:spacing w:after="0" w:line="240" w:lineRule="auto"/>
              <w:jc w:val="center"/>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TIPO DE ÁREA</w:t>
            </w:r>
          </w:p>
        </w:tc>
        <w:tc>
          <w:tcPr>
            <w:tcW w:w="283" w:type="dxa"/>
            <w:vMerge w:val="restart"/>
            <w:tcBorders>
              <w:top w:val="nil"/>
            </w:tcBorders>
          </w:tcPr>
          <w:p w:rsidR="006312E8" w:rsidRPr="006312E8" w:rsidRDefault="006312E8" w:rsidP="006312E8">
            <w:pPr>
              <w:spacing w:after="0" w:line="240" w:lineRule="auto"/>
              <w:jc w:val="both"/>
              <w:rPr>
                <w:rFonts w:ascii="Arial" w:eastAsia="Calibri" w:hAnsi="Arial" w:cs="Arial"/>
                <w:b/>
                <w:sz w:val="14"/>
                <w:szCs w:val="14"/>
                <w:lang w:val="es-ES"/>
              </w:rPr>
            </w:pPr>
          </w:p>
        </w:tc>
        <w:tc>
          <w:tcPr>
            <w:tcW w:w="1418" w:type="dxa"/>
          </w:tcPr>
          <w:p w:rsidR="006312E8" w:rsidRPr="006312E8" w:rsidRDefault="006312E8" w:rsidP="006312E8">
            <w:pPr>
              <w:spacing w:after="0" w:line="240" w:lineRule="auto"/>
              <w:jc w:val="center"/>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TIPO DE TERRENO</w:t>
            </w:r>
          </w:p>
        </w:tc>
        <w:tc>
          <w:tcPr>
            <w:tcW w:w="283" w:type="dxa"/>
            <w:vMerge w:val="restart"/>
            <w:tcBorders>
              <w:top w:val="nil"/>
            </w:tcBorders>
          </w:tcPr>
          <w:p w:rsidR="006312E8" w:rsidRPr="006312E8" w:rsidRDefault="006312E8" w:rsidP="006312E8">
            <w:pPr>
              <w:spacing w:after="0" w:line="240" w:lineRule="auto"/>
              <w:jc w:val="both"/>
              <w:rPr>
                <w:rFonts w:ascii="Arial" w:eastAsia="Calibri" w:hAnsi="Arial" w:cs="Arial"/>
                <w:b/>
                <w:sz w:val="14"/>
                <w:szCs w:val="14"/>
                <w:lang w:val="es-ES"/>
              </w:rPr>
            </w:pPr>
          </w:p>
        </w:tc>
        <w:tc>
          <w:tcPr>
            <w:tcW w:w="1418" w:type="dxa"/>
          </w:tcPr>
          <w:p w:rsidR="006312E8" w:rsidRPr="006312E8" w:rsidRDefault="006312E8" w:rsidP="006312E8">
            <w:pPr>
              <w:spacing w:after="0" w:line="240" w:lineRule="auto"/>
              <w:jc w:val="both"/>
              <w:rPr>
                <w:rFonts w:ascii="Arial Narrow" w:eastAsia="Calibri" w:hAnsi="Arial Narrow" w:cs="Arial Narrow"/>
                <w:b/>
                <w:spacing w:val="1"/>
                <w:sz w:val="14"/>
                <w:szCs w:val="14"/>
                <w:lang w:val="es-ES"/>
              </w:rPr>
            </w:pPr>
          </w:p>
        </w:tc>
        <w:tc>
          <w:tcPr>
            <w:tcW w:w="1134" w:type="dxa"/>
          </w:tcPr>
          <w:p w:rsidR="006312E8" w:rsidRPr="006312E8" w:rsidRDefault="006312E8" w:rsidP="006312E8">
            <w:pPr>
              <w:spacing w:after="0" w:line="240" w:lineRule="auto"/>
              <w:jc w:val="center"/>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TIPO</w:t>
            </w:r>
          </w:p>
        </w:tc>
        <w:tc>
          <w:tcPr>
            <w:tcW w:w="1559" w:type="dxa"/>
          </w:tcPr>
          <w:p w:rsidR="006312E8" w:rsidRPr="006312E8" w:rsidRDefault="006312E8" w:rsidP="006312E8">
            <w:pPr>
              <w:spacing w:after="0" w:line="240" w:lineRule="auto"/>
              <w:jc w:val="center"/>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USO</w:t>
            </w:r>
          </w:p>
        </w:tc>
        <w:tc>
          <w:tcPr>
            <w:tcW w:w="1843" w:type="dxa"/>
          </w:tcPr>
          <w:p w:rsidR="006312E8" w:rsidRPr="006312E8" w:rsidRDefault="006312E8" w:rsidP="006312E8">
            <w:pPr>
              <w:spacing w:after="0" w:line="240" w:lineRule="auto"/>
              <w:jc w:val="center"/>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BASE LEGAL</w:t>
            </w:r>
          </w:p>
        </w:tc>
      </w:tr>
      <w:tr w:rsidR="006312E8" w:rsidRPr="006312E8" w:rsidTr="00D04998">
        <w:trPr>
          <w:trHeight w:val="672"/>
        </w:trPr>
        <w:tc>
          <w:tcPr>
            <w:tcW w:w="2093" w:type="dxa"/>
          </w:tcPr>
          <w:p w:rsidR="006312E8" w:rsidRPr="006312E8" w:rsidRDefault="006312E8" w:rsidP="0092471C">
            <w:pPr>
              <w:widowControl w:val="0"/>
              <w:numPr>
                <w:ilvl w:val="0"/>
                <w:numId w:val="149"/>
              </w:numPr>
              <w:spacing w:after="0" w:line="240" w:lineRule="auto"/>
              <w:ind w:left="426" w:hanging="284"/>
              <w:jc w:val="both"/>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URBANA</w:t>
            </w:r>
          </w:p>
          <w:p w:rsidR="006312E8" w:rsidRPr="006312E8" w:rsidRDefault="006312E8" w:rsidP="0092471C">
            <w:pPr>
              <w:widowControl w:val="0"/>
              <w:numPr>
                <w:ilvl w:val="0"/>
                <w:numId w:val="149"/>
              </w:numPr>
              <w:spacing w:after="0" w:line="240" w:lineRule="auto"/>
              <w:ind w:left="426" w:hanging="284"/>
              <w:jc w:val="both"/>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EXPANSIÓN URBANA</w:t>
            </w:r>
          </w:p>
          <w:p w:rsidR="006312E8" w:rsidRPr="006312E8" w:rsidRDefault="006312E8" w:rsidP="0092471C">
            <w:pPr>
              <w:widowControl w:val="0"/>
              <w:numPr>
                <w:ilvl w:val="0"/>
                <w:numId w:val="149"/>
              </w:numPr>
              <w:spacing w:after="0" w:line="240" w:lineRule="auto"/>
              <w:ind w:left="426" w:hanging="284"/>
              <w:jc w:val="both"/>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EXTRA URBANA</w:t>
            </w:r>
          </w:p>
        </w:tc>
        <w:tc>
          <w:tcPr>
            <w:tcW w:w="283" w:type="dxa"/>
            <w:vMerge/>
            <w:tcBorders>
              <w:bottom w:val="nil"/>
            </w:tcBorders>
          </w:tcPr>
          <w:p w:rsidR="006312E8" w:rsidRPr="006312E8" w:rsidRDefault="006312E8" w:rsidP="006312E8">
            <w:pPr>
              <w:spacing w:after="0" w:line="240" w:lineRule="auto"/>
              <w:jc w:val="both"/>
              <w:rPr>
                <w:rFonts w:ascii="Arial" w:eastAsia="Calibri" w:hAnsi="Arial" w:cs="Arial"/>
                <w:b/>
                <w:sz w:val="14"/>
                <w:szCs w:val="14"/>
                <w:lang w:val="es-ES"/>
              </w:rPr>
            </w:pPr>
          </w:p>
        </w:tc>
        <w:tc>
          <w:tcPr>
            <w:tcW w:w="1418" w:type="dxa"/>
          </w:tcPr>
          <w:p w:rsidR="006312E8" w:rsidRPr="006312E8" w:rsidRDefault="006312E8" w:rsidP="0092471C">
            <w:pPr>
              <w:widowControl w:val="0"/>
              <w:numPr>
                <w:ilvl w:val="0"/>
                <w:numId w:val="150"/>
              </w:numPr>
              <w:spacing w:after="0" w:line="240" w:lineRule="auto"/>
              <w:ind w:left="273" w:hanging="300"/>
              <w:jc w:val="both"/>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URBANO</w:t>
            </w:r>
          </w:p>
          <w:p w:rsidR="006312E8" w:rsidRPr="006312E8" w:rsidRDefault="006312E8" w:rsidP="0092471C">
            <w:pPr>
              <w:widowControl w:val="0"/>
              <w:numPr>
                <w:ilvl w:val="0"/>
                <w:numId w:val="150"/>
              </w:numPr>
              <w:spacing w:after="0" w:line="240" w:lineRule="auto"/>
              <w:ind w:left="273" w:hanging="300"/>
              <w:jc w:val="both"/>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RÚSTICO</w:t>
            </w:r>
          </w:p>
          <w:p w:rsidR="006312E8" w:rsidRPr="006312E8" w:rsidRDefault="006312E8" w:rsidP="0092471C">
            <w:pPr>
              <w:widowControl w:val="0"/>
              <w:numPr>
                <w:ilvl w:val="0"/>
                <w:numId w:val="150"/>
              </w:numPr>
              <w:spacing w:after="0" w:line="240" w:lineRule="auto"/>
              <w:ind w:left="273" w:hanging="300"/>
              <w:jc w:val="both"/>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ERIAZO</w:t>
            </w:r>
          </w:p>
        </w:tc>
        <w:tc>
          <w:tcPr>
            <w:tcW w:w="283" w:type="dxa"/>
            <w:vMerge/>
            <w:tcBorders>
              <w:bottom w:val="nil"/>
            </w:tcBorders>
          </w:tcPr>
          <w:p w:rsidR="006312E8" w:rsidRPr="006312E8" w:rsidRDefault="006312E8" w:rsidP="006312E8">
            <w:pPr>
              <w:spacing w:after="0" w:line="240" w:lineRule="auto"/>
              <w:jc w:val="both"/>
              <w:rPr>
                <w:rFonts w:ascii="Arial" w:eastAsia="Calibri" w:hAnsi="Arial" w:cs="Arial"/>
                <w:b/>
                <w:sz w:val="14"/>
                <w:szCs w:val="14"/>
                <w:lang w:val="es-ES"/>
              </w:rPr>
            </w:pPr>
          </w:p>
        </w:tc>
        <w:tc>
          <w:tcPr>
            <w:tcW w:w="1418" w:type="dxa"/>
          </w:tcPr>
          <w:p w:rsidR="006312E8" w:rsidRPr="006312E8" w:rsidRDefault="006312E8" w:rsidP="006312E8">
            <w:pPr>
              <w:spacing w:after="0" w:line="240" w:lineRule="auto"/>
              <w:jc w:val="both"/>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ZONIFICACIÓN</w:t>
            </w:r>
          </w:p>
          <w:p w:rsidR="006312E8" w:rsidRPr="006312E8" w:rsidRDefault="006312E8" w:rsidP="006312E8">
            <w:pPr>
              <w:spacing w:after="0" w:line="240" w:lineRule="auto"/>
              <w:jc w:val="both"/>
              <w:rPr>
                <w:rFonts w:ascii="Arial Narrow" w:eastAsia="Calibri" w:hAnsi="Arial Narrow" w:cs="Arial Narrow"/>
                <w:b/>
                <w:spacing w:val="1"/>
                <w:sz w:val="14"/>
                <w:szCs w:val="14"/>
                <w:lang w:val="es-ES"/>
              </w:rPr>
            </w:pPr>
          </w:p>
          <w:p w:rsidR="006312E8" w:rsidRPr="006312E8" w:rsidRDefault="006312E8" w:rsidP="006312E8">
            <w:pPr>
              <w:spacing w:after="0" w:line="240" w:lineRule="auto"/>
              <w:jc w:val="both"/>
              <w:rPr>
                <w:rFonts w:ascii="Arial Narrow" w:eastAsia="Calibri" w:hAnsi="Arial Narrow" w:cs="Arial Narrow"/>
                <w:b/>
                <w:spacing w:val="1"/>
                <w:sz w:val="14"/>
                <w:szCs w:val="14"/>
              </w:rPr>
            </w:pPr>
            <w:r w:rsidRPr="006312E8">
              <w:rPr>
                <w:rFonts w:ascii="Arial Narrow" w:eastAsia="Calibri" w:hAnsi="Arial Narrow" w:cs="Arial Narrow"/>
                <w:b/>
                <w:spacing w:val="1"/>
                <w:sz w:val="14"/>
                <w:szCs w:val="14"/>
                <w:lang w:val="es-ES"/>
              </w:rPr>
              <w:t>ESTRUCTU</w:t>
            </w:r>
            <w:r w:rsidRPr="006312E8">
              <w:rPr>
                <w:rFonts w:ascii="Arial Narrow" w:eastAsia="Calibri" w:hAnsi="Arial Narrow" w:cs="Arial Narrow"/>
                <w:b/>
                <w:spacing w:val="1"/>
                <w:sz w:val="14"/>
                <w:szCs w:val="14"/>
              </w:rPr>
              <w:t>RACIÓN</w:t>
            </w:r>
          </w:p>
        </w:tc>
        <w:tc>
          <w:tcPr>
            <w:tcW w:w="1134" w:type="dxa"/>
          </w:tcPr>
          <w:p w:rsidR="006312E8" w:rsidRPr="006312E8" w:rsidRDefault="006312E8" w:rsidP="006312E8">
            <w:pPr>
              <w:spacing w:after="0" w:line="240" w:lineRule="auto"/>
              <w:jc w:val="both"/>
              <w:rPr>
                <w:rFonts w:ascii="Arial Narrow" w:eastAsia="Calibri" w:hAnsi="Arial Narrow" w:cs="Arial Narrow"/>
                <w:b/>
                <w:spacing w:val="1"/>
                <w:sz w:val="14"/>
                <w:szCs w:val="14"/>
              </w:rPr>
            </w:pPr>
          </w:p>
        </w:tc>
        <w:tc>
          <w:tcPr>
            <w:tcW w:w="1559" w:type="dxa"/>
          </w:tcPr>
          <w:p w:rsidR="006312E8" w:rsidRPr="006312E8" w:rsidRDefault="006312E8" w:rsidP="006312E8">
            <w:pPr>
              <w:spacing w:after="0" w:line="240" w:lineRule="auto"/>
              <w:jc w:val="both"/>
              <w:rPr>
                <w:rFonts w:ascii="Arial Narrow" w:eastAsia="Calibri" w:hAnsi="Arial Narrow" w:cs="Arial Narrow"/>
                <w:b/>
                <w:spacing w:val="1"/>
                <w:sz w:val="14"/>
                <w:szCs w:val="14"/>
              </w:rPr>
            </w:pPr>
          </w:p>
        </w:tc>
        <w:tc>
          <w:tcPr>
            <w:tcW w:w="1843" w:type="dxa"/>
          </w:tcPr>
          <w:p w:rsidR="006312E8" w:rsidRPr="006312E8" w:rsidRDefault="006312E8" w:rsidP="006312E8">
            <w:pPr>
              <w:spacing w:after="0" w:line="240" w:lineRule="auto"/>
              <w:jc w:val="both"/>
              <w:rPr>
                <w:rFonts w:ascii="Arial Narrow" w:eastAsia="Calibri" w:hAnsi="Arial Narrow" w:cs="Arial Narrow"/>
                <w:b/>
                <w:spacing w:val="1"/>
                <w:sz w:val="14"/>
                <w:szCs w:val="14"/>
              </w:rPr>
            </w:pPr>
          </w:p>
        </w:tc>
      </w:tr>
    </w:tbl>
    <w:p w:rsidR="006312E8" w:rsidRPr="006312E8" w:rsidRDefault="006312E8" w:rsidP="006312E8">
      <w:pPr>
        <w:spacing w:after="0" w:line="240" w:lineRule="auto"/>
        <w:jc w:val="both"/>
        <w:rPr>
          <w:rFonts w:ascii="Arial" w:eastAsia="Calibri" w:hAnsi="Arial" w:cs="Arial"/>
          <w:b/>
          <w:sz w:val="14"/>
          <w:szCs w:val="14"/>
          <w:lang w:val="es-ES"/>
        </w:rPr>
      </w:pPr>
    </w:p>
    <w:p w:rsidR="006312E8" w:rsidRPr="006312E8" w:rsidRDefault="006312E8" w:rsidP="006312E8">
      <w:pPr>
        <w:tabs>
          <w:tab w:val="left" w:pos="620"/>
        </w:tabs>
        <w:spacing w:after="0" w:line="240" w:lineRule="auto"/>
        <w:ind w:right="-20"/>
        <w:rPr>
          <w:rFonts w:ascii="Arial Narrow" w:eastAsia="Calibri" w:hAnsi="Arial Narrow" w:cs="Arial"/>
          <w:b/>
          <w:sz w:val="16"/>
          <w:szCs w:val="16"/>
        </w:rPr>
      </w:pPr>
      <w:r w:rsidRPr="006312E8">
        <w:rPr>
          <w:rFonts w:ascii="Arial Narrow" w:eastAsia="Calibri" w:hAnsi="Arial Narrow" w:cs="Arial"/>
          <w:b/>
          <w:sz w:val="16"/>
          <w:szCs w:val="16"/>
        </w:rPr>
        <w:t xml:space="preserve"> USOS COMPATIBLES</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76"/>
      </w:tblGrid>
      <w:tr w:rsidR="006312E8" w:rsidRPr="006312E8" w:rsidTr="00D04998">
        <w:tc>
          <w:tcPr>
            <w:tcW w:w="5000" w:type="pct"/>
          </w:tcPr>
          <w:p w:rsidR="006312E8" w:rsidRPr="006312E8" w:rsidRDefault="006312E8" w:rsidP="006312E8">
            <w:pPr>
              <w:spacing w:after="0" w:line="240" w:lineRule="auto"/>
              <w:jc w:val="both"/>
              <w:rPr>
                <w:rFonts w:ascii="Arial Narrow" w:eastAsia="Calibri" w:hAnsi="Arial Narrow" w:cs="Arial Narrow"/>
                <w:sz w:val="16"/>
                <w:szCs w:val="16"/>
                <w:lang w:val="es-ES"/>
              </w:rPr>
            </w:pPr>
          </w:p>
          <w:p w:rsidR="006312E8" w:rsidRPr="006312E8" w:rsidRDefault="006312E8" w:rsidP="006312E8">
            <w:pPr>
              <w:spacing w:after="0" w:line="240" w:lineRule="auto"/>
              <w:jc w:val="both"/>
              <w:rPr>
                <w:rFonts w:ascii="Arial Narrow" w:eastAsia="Calibri" w:hAnsi="Arial Narrow" w:cs="Arial Narrow"/>
                <w:sz w:val="16"/>
                <w:szCs w:val="16"/>
                <w:lang w:val="es-ES"/>
              </w:rPr>
            </w:pPr>
          </w:p>
          <w:p w:rsidR="006312E8" w:rsidRPr="006312E8" w:rsidRDefault="006312E8" w:rsidP="006312E8">
            <w:pPr>
              <w:spacing w:after="0" w:line="240" w:lineRule="auto"/>
              <w:jc w:val="both"/>
              <w:rPr>
                <w:rFonts w:ascii="Arial Narrow" w:eastAsia="Calibri" w:hAnsi="Arial Narrow" w:cs="Arial Narrow"/>
                <w:sz w:val="16"/>
                <w:szCs w:val="16"/>
                <w:lang w:val="es-ES"/>
              </w:rPr>
            </w:pPr>
          </w:p>
        </w:tc>
      </w:tr>
    </w:tbl>
    <w:p w:rsidR="006312E8" w:rsidRPr="006312E8" w:rsidRDefault="006312E8" w:rsidP="006312E8">
      <w:pPr>
        <w:spacing w:after="0" w:line="240" w:lineRule="auto"/>
        <w:ind w:right="-20"/>
        <w:rPr>
          <w:rFonts w:ascii="Arial" w:eastAsia="Calibri" w:hAnsi="Arial" w:cs="Arial"/>
          <w:b/>
          <w:position w:val="-1"/>
          <w:sz w:val="16"/>
          <w:szCs w:val="16"/>
        </w:rPr>
      </w:pPr>
    </w:p>
    <w:p w:rsidR="006312E8" w:rsidRPr="006312E8" w:rsidRDefault="006312E8" w:rsidP="006312E8">
      <w:pPr>
        <w:spacing w:after="0" w:line="240" w:lineRule="auto"/>
        <w:ind w:right="-20"/>
        <w:outlineLvl w:val="0"/>
        <w:rPr>
          <w:rFonts w:ascii="Arial Narrow" w:eastAsia="Calibri" w:hAnsi="Arial Narrow" w:cs="Arial"/>
          <w:b/>
          <w:sz w:val="16"/>
          <w:szCs w:val="16"/>
        </w:rPr>
      </w:pPr>
      <w:r w:rsidRPr="006312E8">
        <w:rPr>
          <w:rFonts w:ascii="Arial Narrow" w:eastAsia="Calibri" w:hAnsi="Arial Narrow" w:cs="Arial"/>
          <w:b/>
          <w:sz w:val="16"/>
          <w:szCs w:val="16"/>
        </w:rPr>
        <w:t>ÁREAS Y LINDEROS TÉCNICOS DEL PREDIO DEL ACTO EN TRÁMITE/ ESTUDIO</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4677"/>
        <w:gridCol w:w="1701"/>
        <w:gridCol w:w="1276"/>
        <w:gridCol w:w="1418"/>
      </w:tblGrid>
      <w:tr w:rsidR="006312E8" w:rsidRPr="006312E8" w:rsidTr="00D04998">
        <w:trPr>
          <w:trHeight w:hRule="exact" w:val="400"/>
        </w:trPr>
        <w:tc>
          <w:tcPr>
            <w:tcW w:w="5778" w:type="dxa"/>
            <w:gridSpan w:val="2"/>
          </w:tcPr>
          <w:p w:rsidR="006312E8" w:rsidRPr="006312E8" w:rsidRDefault="006312E8" w:rsidP="006312E8">
            <w:pPr>
              <w:spacing w:before="42" w:after="0" w:line="240" w:lineRule="auto"/>
              <w:jc w:val="center"/>
              <w:rPr>
                <w:rFonts w:ascii="Arial Narrow" w:eastAsia="Calibri" w:hAnsi="Arial Narrow" w:cs="Arial Narrow"/>
                <w:b/>
                <w:sz w:val="14"/>
                <w:szCs w:val="14"/>
              </w:rPr>
            </w:pPr>
            <w:r w:rsidRPr="006312E8">
              <w:rPr>
                <w:rFonts w:ascii="Arial Narrow" w:eastAsia="Calibri" w:hAnsi="Arial Narrow" w:cs="Arial Narrow"/>
                <w:b/>
                <w:spacing w:val="1"/>
                <w:sz w:val="14"/>
                <w:szCs w:val="14"/>
              </w:rPr>
              <w:t>L</w:t>
            </w:r>
            <w:r w:rsidRPr="006312E8">
              <w:rPr>
                <w:rFonts w:ascii="Arial Narrow" w:eastAsia="Calibri" w:hAnsi="Arial Narrow" w:cs="Arial Narrow"/>
                <w:b/>
                <w:spacing w:val="-1"/>
                <w:sz w:val="14"/>
                <w:szCs w:val="14"/>
              </w:rPr>
              <w:t>I</w:t>
            </w:r>
            <w:r w:rsidRPr="006312E8">
              <w:rPr>
                <w:rFonts w:ascii="Arial Narrow" w:eastAsia="Calibri" w:hAnsi="Arial Narrow" w:cs="Arial Narrow"/>
                <w:b/>
                <w:spacing w:val="1"/>
                <w:sz w:val="14"/>
                <w:szCs w:val="14"/>
              </w:rPr>
              <w:t>NDERO</w:t>
            </w:r>
            <w:r w:rsidRPr="006312E8">
              <w:rPr>
                <w:rFonts w:ascii="Arial Narrow" w:eastAsia="Calibri" w:hAnsi="Arial Narrow" w:cs="Arial Narrow"/>
                <w:b/>
                <w:sz w:val="14"/>
                <w:szCs w:val="14"/>
              </w:rPr>
              <w:t>S TÉCNICOS DEL PREDIO</w:t>
            </w:r>
          </w:p>
        </w:tc>
        <w:tc>
          <w:tcPr>
            <w:tcW w:w="1701" w:type="dxa"/>
          </w:tcPr>
          <w:p w:rsidR="006312E8" w:rsidRPr="006312E8" w:rsidRDefault="006312E8" w:rsidP="006312E8">
            <w:pPr>
              <w:spacing w:before="42" w:after="0" w:line="240" w:lineRule="auto"/>
              <w:ind w:right="-20"/>
              <w:jc w:val="center"/>
              <w:rPr>
                <w:rFonts w:ascii="Arial Narrow" w:eastAsia="Calibri" w:hAnsi="Arial Narrow" w:cs="Arial Narrow"/>
                <w:b/>
                <w:sz w:val="14"/>
                <w:szCs w:val="14"/>
              </w:rPr>
            </w:pPr>
            <w:r w:rsidRPr="006312E8">
              <w:rPr>
                <w:rFonts w:ascii="Arial Narrow" w:eastAsia="Calibri" w:hAnsi="Arial Narrow" w:cs="Arial Narrow"/>
                <w:b/>
                <w:spacing w:val="1"/>
                <w:sz w:val="14"/>
                <w:szCs w:val="14"/>
              </w:rPr>
              <w:t>TRAMO</w:t>
            </w:r>
            <w:r w:rsidRPr="006312E8">
              <w:rPr>
                <w:rFonts w:ascii="Arial Narrow" w:eastAsia="Calibri" w:hAnsi="Arial Narrow" w:cs="Arial Narrow"/>
                <w:b/>
                <w:sz w:val="14"/>
                <w:szCs w:val="14"/>
              </w:rPr>
              <w:t>S</w:t>
            </w:r>
          </w:p>
        </w:tc>
        <w:tc>
          <w:tcPr>
            <w:tcW w:w="1276" w:type="dxa"/>
          </w:tcPr>
          <w:p w:rsidR="006312E8" w:rsidRPr="006312E8" w:rsidRDefault="006312E8" w:rsidP="006312E8">
            <w:pPr>
              <w:spacing w:before="42" w:after="0" w:line="240" w:lineRule="auto"/>
              <w:ind w:right="-20"/>
              <w:jc w:val="center"/>
              <w:rPr>
                <w:rFonts w:ascii="Arial Narrow" w:eastAsia="Calibri" w:hAnsi="Arial Narrow" w:cs="Arial Narrow"/>
                <w:b/>
                <w:sz w:val="14"/>
                <w:szCs w:val="14"/>
              </w:rPr>
            </w:pPr>
            <w:r w:rsidRPr="006312E8">
              <w:rPr>
                <w:rFonts w:ascii="Arial Narrow" w:eastAsia="Calibri" w:hAnsi="Arial Narrow" w:cs="Arial Narrow"/>
                <w:b/>
                <w:spacing w:val="1"/>
                <w:sz w:val="14"/>
                <w:szCs w:val="14"/>
              </w:rPr>
              <w:t>LADO</w:t>
            </w:r>
            <w:r w:rsidRPr="006312E8">
              <w:rPr>
                <w:rFonts w:ascii="Arial Narrow" w:eastAsia="Calibri" w:hAnsi="Arial Narrow" w:cs="Arial Narrow"/>
                <w:b/>
                <w:sz w:val="14"/>
                <w:szCs w:val="14"/>
              </w:rPr>
              <w:t>S</w:t>
            </w:r>
            <w:r w:rsidRPr="006312E8">
              <w:rPr>
                <w:rFonts w:ascii="Arial Narrow" w:eastAsia="Calibri" w:hAnsi="Arial Narrow" w:cs="Arial Narrow"/>
                <w:b/>
                <w:spacing w:val="1"/>
                <w:sz w:val="14"/>
                <w:szCs w:val="14"/>
              </w:rPr>
              <w:t xml:space="preserve"> </w:t>
            </w:r>
            <w:r w:rsidRPr="006312E8">
              <w:rPr>
                <w:rFonts w:ascii="Arial Narrow" w:eastAsia="Calibri" w:hAnsi="Arial Narrow" w:cs="Arial Narrow"/>
                <w:b/>
                <w:spacing w:val="-1"/>
                <w:sz w:val="14"/>
                <w:szCs w:val="14"/>
              </w:rPr>
              <w:t>(</w:t>
            </w:r>
            <w:r w:rsidRPr="006312E8">
              <w:rPr>
                <w:rFonts w:ascii="Arial Narrow" w:eastAsia="Calibri" w:hAnsi="Arial Narrow" w:cs="Arial Narrow"/>
                <w:b/>
                <w:spacing w:val="1"/>
                <w:sz w:val="14"/>
                <w:szCs w:val="14"/>
              </w:rPr>
              <w:t>m</w:t>
            </w:r>
            <w:r w:rsidRPr="006312E8">
              <w:rPr>
                <w:rFonts w:ascii="Arial Narrow" w:eastAsia="Calibri" w:hAnsi="Arial Narrow" w:cs="Arial Narrow"/>
                <w:b/>
                <w:sz w:val="14"/>
                <w:szCs w:val="14"/>
              </w:rPr>
              <w:t>l)</w:t>
            </w:r>
          </w:p>
        </w:tc>
        <w:tc>
          <w:tcPr>
            <w:tcW w:w="1418" w:type="dxa"/>
          </w:tcPr>
          <w:p w:rsidR="006312E8" w:rsidRPr="006312E8" w:rsidRDefault="006312E8" w:rsidP="006312E8">
            <w:pPr>
              <w:spacing w:before="42" w:after="0" w:line="240" w:lineRule="auto"/>
              <w:ind w:right="-20"/>
              <w:jc w:val="center"/>
              <w:rPr>
                <w:rFonts w:ascii="Arial Narrow" w:eastAsia="Calibri" w:hAnsi="Arial Narrow" w:cs="Arial Narrow"/>
                <w:b/>
                <w:sz w:val="14"/>
                <w:szCs w:val="14"/>
              </w:rPr>
            </w:pPr>
            <w:r w:rsidRPr="006312E8">
              <w:rPr>
                <w:rFonts w:ascii="Arial Narrow" w:eastAsia="Calibri" w:hAnsi="Arial Narrow" w:cs="Arial Narrow"/>
                <w:b/>
                <w:spacing w:val="1"/>
                <w:sz w:val="14"/>
                <w:szCs w:val="14"/>
              </w:rPr>
              <w:t>N</w:t>
            </w:r>
            <w:r w:rsidRPr="006312E8">
              <w:rPr>
                <w:rFonts w:ascii="Arial Narrow" w:eastAsia="Calibri" w:hAnsi="Arial Narrow" w:cs="Arial Narrow"/>
                <w:b/>
                <w:spacing w:val="-1"/>
                <w:sz w:val="14"/>
                <w:szCs w:val="14"/>
              </w:rPr>
              <w:t>UMERAC</w:t>
            </w:r>
            <w:r w:rsidRPr="006312E8">
              <w:rPr>
                <w:rFonts w:ascii="Arial Narrow" w:eastAsia="Calibri" w:hAnsi="Arial Narrow" w:cs="Arial Narrow"/>
                <w:b/>
                <w:sz w:val="14"/>
                <w:szCs w:val="14"/>
              </w:rPr>
              <w:t>.</w:t>
            </w:r>
            <w:r w:rsidRPr="006312E8">
              <w:rPr>
                <w:rFonts w:ascii="Arial Narrow" w:eastAsia="Calibri" w:hAnsi="Arial Narrow" w:cs="Arial Narrow"/>
                <w:b/>
                <w:spacing w:val="-1"/>
                <w:sz w:val="14"/>
                <w:szCs w:val="14"/>
              </w:rPr>
              <w:t xml:space="preserve"> </w:t>
            </w:r>
            <w:r w:rsidRPr="006312E8">
              <w:rPr>
                <w:rFonts w:ascii="Arial Narrow" w:eastAsia="Calibri" w:hAnsi="Arial Narrow" w:cs="Arial Narrow"/>
                <w:b/>
                <w:spacing w:val="1"/>
                <w:sz w:val="14"/>
                <w:szCs w:val="14"/>
              </w:rPr>
              <w:t>MUN</w:t>
            </w:r>
            <w:r w:rsidRPr="006312E8">
              <w:rPr>
                <w:rFonts w:ascii="Arial Narrow" w:eastAsia="Calibri" w:hAnsi="Arial Narrow" w:cs="Arial Narrow"/>
                <w:b/>
                <w:spacing w:val="-1"/>
                <w:sz w:val="14"/>
                <w:szCs w:val="14"/>
              </w:rPr>
              <w:t>I</w:t>
            </w:r>
            <w:r w:rsidRPr="006312E8">
              <w:rPr>
                <w:rFonts w:ascii="Arial Narrow" w:eastAsia="Calibri" w:hAnsi="Arial Narrow" w:cs="Arial Narrow"/>
                <w:b/>
                <w:sz w:val="14"/>
                <w:szCs w:val="14"/>
              </w:rPr>
              <w:t>C.</w:t>
            </w:r>
          </w:p>
        </w:tc>
      </w:tr>
      <w:tr w:rsidR="006312E8" w:rsidRPr="006312E8" w:rsidTr="00D04998">
        <w:trPr>
          <w:trHeight w:hRule="exact" w:val="300"/>
        </w:trPr>
        <w:tc>
          <w:tcPr>
            <w:tcW w:w="1101" w:type="dxa"/>
          </w:tcPr>
          <w:p w:rsidR="006312E8" w:rsidRPr="006312E8" w:rsidRDefault="006312E8" w:rsidP="006312E8">
            <w:pPr>
              <w:spacing w:before="49" w:after="0" w:line="240" w:lineRule="auto"/>
              <w:ind w:left="53" w:right="-20"/>
              <w:rPr>
                <w:rFonts w:ascii="Arial Narrow" w:eastAsia="Calibri" w:hAnsi="Arial Narrow" w:cs="Arial Narrow"/>
                <w:b/>
                <w:sz w:val="14"/>
                <w:szCs w:val="14"/>
              </w:rPr>
            </w:pPr>
            <w:r w:rsidRPr="006312E8">
              <w:rPr>
                <w:rFonts w:ascii="Arial Narrow" w:eastAsia="Calibri" w:hAnsi="Arial Narrow" w:cs="Arial Narrow"/>
                <w:b/>
                <w:spacing w:val="1"/>
                <w:sz w:val="14"/>
                <w:szCs w:val="14"/>
              </w:rPr>
              <w:t>FRENTE</w:t>
            </w:r>
          </w:p>
        </w:tc>
        <w:tc>
          <w:tcPr>
            <w:tcW w:w="4677" w:type="dxa"/>
          </w:tcPr>
          <w:p w:rsidR="006312E8" w:rsidRPr="006312E8" w:rsidRDefault="006312E8" w:rsidP="006312E8">
            <w:pPr>
              <w:spacing w:before="49" w:after="0" w:line="240" w:lineRule="auto"/>
              <w:ind w:left="62" w:right="-20"/>
              <w:rPr>
                <w:rFonts w:ascii="Arial Narrow" w:eastAsia="Calibri" w:hAnsi="Arial Narrow" w:cs="Arial Narrow"/>
                <w:b/>
                <w:sz w:val="14"/>
                <w:szCs w:val="14"/>
              </w:rPr>
            </w:pPr>
          </w:p>
        </w:tc>
        <w:tc>
          <w:tcPr>
            <w:tcW w:w="1701" w:type="dxa"/>
          </w:tcPr>
          <w:p w:rsidR="006312E8" w:rsidRPr="006312E8" w:rsidRDefault="006312E8" w:rsidP="006312E8">
            <w:pPr>
              <w:spacing w:before="49" w:after="0" w:line="240" w:lineRule="auto"/>
              <w:ind w:left="309" w:right="295"/>
              <w:jc w:val="center"/>
              <w:rPr>
                <w:rFonts w:ascii="Arial Narrow" w:eastAsia="Calibri" w:hAnsi="Arial Narrow" w:cs="Arial Narrow"/>
                <w:b/>
                <w:sz w:val="14"/>
                <w:szCs w:val="14"/>
              </w:rPr>
            </w:pPr>
          </w:p>
        </w:tc>
        <w:tc>
          <w:tcPr>
            <w:tcW w:w="1276" w:type="dxa"/>
          </w:tcPr>
          <w:p w:rsidR="006312E8" w:rsidRPr="006312E8" w:rsidRDefault="006312E8" w:rsidP="006312E8">
            <w:pPr>
              <w:spacing w:before="49" w:after="0" w:line="240" w:lineRule="auto"/>
              <w:ind w:left="254" w:right="-20"/>
              <w:rPr>
                <w:rFonts w:ascii="Arial Narrow" w:eastAsia="Calibri" w:hAnsi="Arial Narrow" w:cs="Arial Narrow"/>
                <w:b/>
                <w:sz w:val="14"/>
                <w:szCs w:val="14"/>
              </w:rPr>
            </w:pPr>
          </w:p>
        </w:tc>
        <w:tc>
          <w:tcPr>
            <w:tcW w:w="1418" w:type="dxa"/>
          </w:tcPr>
          <w:p w:rsidR="006312E8" w:rsidRPr="006312E8" w:rsidRDefault="006312E8" w:rsidP="006312E8">
            <w:pPr>
              <w:spacing w:after="0" w:line="240" w:lineRule="auto"/>
              <w:rPr>
                <w:rFonts w:ascii="Calibri" w:eastAsia="Calibri" w:hAnsi="Calibri" w:cs="Times New Roman"/>
                <w:b/>
                <w:sz w:val="14"/>
                <w:szCs w:val="14"/>
              </w:rPr>
            </w:pPr>
          </w:p>
        </w:tc>
      </w:tr>
      <w:tr w:rsidR="006312E8" w:rsidRPr="006312E8" w:rsidTr="00D04998">
        <w:trPr>
          <w:trHeight w:hRule="exact" w:val="300"/>
        </w:trPr>
        <w:tc>
          <w:tcPr>
            <w:tcW w:w="1101" w:type="dxa"/>
          </w:tcPr>
          <w:p w:rsidR="006312E8" w:rsidRPr="006312E8" w:rsidRDefault="006312E8" w:rsidP="006312E8">
            <w:pPr>
              <w:spacing w:before="49" w:after="0" w:line="240" w:lineRule="auto"/>
              <w:ind w:left="53" w:right="-20"/>
              <w:rPr>
                <w:rFonts w:ascii="Arial Narrow" w:eastAsia="Calibri" w:hAnsi="Arial Narrow" w:cs="Arial Narrow"/>
                <w:b/>
                <w:sz w:val="14"/>
                <w:szCs w:val="14"/>
              </w:rPr>
            </w:pPr>
            <w:r w:rsidRPr="006312E8">
              <w:rPr>
                <w:rFonts w:ascii="Arial Narrow" w:eastAsia="Calibri" w:hAnsi="Arial Narrow" w:cs="Arial Narrow"/>
                <w:b/>
                <w:sz w:val="14"/>
                <w:szCs w:val="14"/>
              </w:rPr>
              <w:t>DERECHA</w:t>
            </w:r>
          </w:p>
        </w:tc>
        <w:tc>
          <w:tcPr>
            <w:tcW w:w="4677" w:type="dxa"/>
          </w:tcPr>
          <w:p w:rsidR="006312E8" w:rsidRPr="006312E8" w:rsidRDefault="006312E8" w:rsidP="006312E8">
            <w:pPr>
              <w:spacing w:before="49" w:after="0" w:line="240" w:lineRule="auto"/>
              <w:ind w:left="62" w:right="-20"/>
              <w:rPr>
                <w:rFonts w:ascii="Arial Narrow" w:eastAsia="Calibri" w:hAnsi="Arial Narrow" w:cs="Arial Narrow"/>
                <w:b/>
                <w:sz w:val="14"/>
                <w:szCs w:val="14"/>
              </w:rPr>
            </w:pPr>
          </w:p>
        </w:tc>
        <w:tc>
          <w:tcPr>
            <w:tcW w:w="1701" w:type="dxa"/>
          </w:tcPr>
          <w:p w:rsidR="006312E8" w:rsidRPr="006312E8" w:rsidRDefault="006312E8" w:rsidP="006312E8">
            <w:pPr>
              <w:spacing w:before="49" w:after="0" w:line="240" w:lineRule="auto"/>
              <w:ind w:left="309" w:right="295"/>
              <w:jc w:val="center"/>
              <w:rPr>
                <w:rFonts w:ascii="Arial Narrow" w:eastAsia="Calibri" w:hAnsi="Arial Narrow" w:cs="Arial Narrow"/>
                <w:b/>
                <w:sz w:val="14"/>
                <w:szCs w:val="14"/>
              </w:rPr>
            </w:pPr>
          </w:p>
        </w:tc>
        <w:tc>
          <w:tcPr>
            <w:tcW w:w="1276" w:type="dxa"/>
          </w:tcPr>
          <w:p w:rsidR="006312E8" w:rsidRPr="006312E8" w:rsidRDefault="006312E8" w:rsidP="006312E8">
            <w:pPr>
              <w:spacing w:before="49" w:after="0" w:line="240" w:lineRule="auto"/>
              <w:ind w:left="254" w:right="-20"/>
              <w:rPr>
                <w:rFonts w:ascii="Arial Narrow" w:eastAsia="Calibri" w:hAnsi="Arial Narrow" w:cs="Arial Narrow"/>
                <w:b/>
                <w:sz w:val="14"/>
                <w:szCs w:val="14"/>
              </w:rPr>
            </w:pPr>
          </w:p>
        </w:tc>
        <w:tc>
          <w:tcPr>
            <w:tcW w:w="1418" w:type="dxa"/>
          </w:tcPr>
          <w:p w:rsidR="006312E8" w:rsidRPr="006312E8" w:rsidRDefault="006312E8" w:rsidP="006312E8">
            <w:pPr>
              <w:spacing w:after="0" w:line="240" w:lineRule="auto"/>
              <w:rPr>
                <w:rFonts w:ascii="Calibri" w:eastAsia="Calibri" w:hAnsi="Calibri" w:cs="Times New Roman"/>
                <w:b/>
                <w:sz w:val="14"/>
                <w:szCs w:val="14"/>
              </w:rPr>
            </w:pPr>
          </w:p>
        </w:tc>
      </w:tr>
      <w:tr w:rsidR="006312E8" w:rsidRPr="006312E8" w:rsidTr="00D04998">
        <w:trPr>
          <w:trHeight w:hRule="exact" w:val="300"/>
        </w:trPr>
        <w:tc>
          <w:tcPr>
            <w:tcW w:w="1101" w:type="dxa"/>
          </w:tcPr>
          <w:p w:rsidR="006312E8" w:rsidRPr="006312E8" w:rsidRDefault="006312E8" w:rsidP="006312E8">
            <w:pPr>
              <w:spacing w:before="49" w:after="0" w:line="240" w:lineRule="auto"/>
              <w:ind w:left="53" w:right="-20"/>
              <w:rPr>
                <w:rFonts w:ascii="Arial Narrow" w:eastAsia="Calibri" w:hAnsi="Arial Narrow" w:cs="Arial Narrow"/>
                <w:b/>
                <w:sz w:val="14"/>
                <w:szCs w:val="14"/>
              </w:rPr>
            </w:pPr>
            <w:r w:rsidRPr="006312E8">
              <w:rPr>
                <w:rFonts w:ascii="Arial Narrow" w:eastAsia="Calibri" w:hAnsi="Arial Narrow" w:cs="Arial Narrow"/>
                <w:b/>
                <w:spacing w:val="1"/>
                <w:sz w:val="14"/>
                <w:szCs w:val="14"/>
              </w:rPr>
              <w:t>IZQUIERDA</w:t>
            </w:r>
          </w:p>
        </w:tc>
        <w:tc>
          <w:tcPr>
            <w:tcW w:w="4677" w:type="dxa"/>
          </w:tcPr>
          <w:p w:rsidR="006312E8" w:rsidRPr="006312E8" w:rsidRDefault="006312E8" w:rsidP="006312E8">
            <w:pPr>
              <w:spacing w:before="49" w:after="0" w:line="240" w:lineRule="auto"/>
              <w:ind w:left="62" w:right="-20"/>
              <w:rPr>
                <w:rFonts w:ascii="Arial Narrow" w:eastAsia="Calibri" w:hAnsi="Arial Narrow" w:cs="Arial Narrow"/>
                <w:b/>
                <w:sz w:val="14"/>
                <w:szCs w:val="14"/>
              </w:rPr>
            </w:pPr>
          </w:p>
        </w:tc>
        <w:tc>
          <w:tcPr>
            <w:tcW w:w="1701" w:type="dxa"/>
          </w:tcPr>
          <w:p w:rsidR="006312E8" w:rsidRPr="006312E8" w:rsidRDefault="006312E8" w:rsidP="006312E8">
            <w:pPr>
              <w:spacing w:before="49" w:after="0" w:line="240" w:lineRule="auto"/>
              <w:ind w:left="309" w:right="295"/>
              <w:jc w:val="center"/>
              <w:rPr>
                <w:rFonts w:ascii="Arial Narrow" w:eastAsia="Calibri" w:hAnsi="Arial Narrow" w:cs="Arial Narrow"/>
                <w:b/>
                <w:sz w:val="14"/>
                <w:szCs w:val="14"/>
              </w:rPr>
            </w:pPr>
          </w:p>
        </w:tc>
        <w:tc>
          <w:tcPr>
            <w:tcW w:w="1276" w:type="dxa"/>
          </w:tcPr>
          <w:p w:rsidR="006312E8" w:rsidRPr="006312E8" w:rsidRDefault="006312E8" w:rsidP="006312E8">
            <w:pPr>
              <w:spacing w:before="49" w:after="0" w:line="240" w:lineRule="auto"/>
              <w:ind w:left="254" w:right="-20"/>
              <w:rPr>
                <w:rFonts w:ascii="Arial Narrow" w:eastAsia="Calibri" w:hAnsi="Arial Narrow" w:cs="Arial Narrow"/>
                <w:b/>
                <w:sz w:val="14"/>
                <w:szCs w:val="14"/>
              </w:rPr>
            </w:pPr>
          </w:p>
        </w:tc>
        <w:tc>
          <w:tcPr>
            <w:tcW w:w="1418" w:type="dxa"/>
          </w:tcPr>
          <w:p w:rsidR="006312E8" w:rsidRPr="006312E8" w:rsidRDefault="006312E8" w:rsidP="006312E8">
            <w:pPr>
              <w:spacing w:after="0" w:line="240" w:lineRule="auto"/>
              <w:rPr>
                <w:rFonts w:ascii="Calibri" w:eastAsia="Calibri" w:hAnsi="Calibri" w:cs="Times New Roman"/>
                <w:b/>
                <w:sz w:val="14"/>
                <w:szCs w:val="14"/>
              </w:rPr>
            </w:pPr>
          </w:p>
        </w:tc>
      </w:tr>
      <w:tr w:rsidR="006312E8" w:rsidRPr="006312E8" w:rsidTr="00D04998">
        <w:trPr>
          <w:trHeight w:hRule="exact" w:val="290"/>
        </w:trPr>
        <w:tc>
          <w:tcPr>
            <w:tcW w:w="1101" w:type="dxa"/>
          </w:tcPr>
          <w:p w:rsidR="006312E8" w:rsidRPr="006312E8" w:rsidRDefault="006312E8" w:rsidP="006312E8">
            <w:pPr>
              <w:spacing w:before="49" w:after="0" w:line="240" w:lineRule="auto"/>
              <w:ind w:left="53" w:right="-20"/>
              <w:rPr>
                <w:rFonts w:ascii="Arial Narrow" w:eastAsia="Calibri" w:hAnsi="Arial Narrow" w:cs="Arial Narrow"/>
                <w:b/>
                <w:sz w:val="14"/>
                <w:szCs w:val="14"/>
              </w:rPr>
            </w:pPr>
            <w:r w:rsidRPr="006312E8">
              <w:rPr>
                <w:rFonts w:ascii="Arial Narrow" w:eastAsia="Calibri" w:hAnsi="Arial Narrow" w:cs="Arial Narrow"/>
                <w:b/>
                <w:sz w:val="14"/>
                <w:szCs w:val="14"/>
              </w:rPr>
              <w:t>FONDO</w:t>
            </w:r>
          </w:p>
        </w:tc>
        <w:tc>
          <w:tcPr>
            <w:tcW w:w="4677" w:type="dxa"/>
          </w:tcPr>
          <w:p w:rsidR="006312E8" w:rsidRPr="006312E8" w:rsidRDefault="006312E8" w:rsidP="006312E8">
            <w:pPr>
              <w:spacing w:before="49" w:after="0" w:line="240" w:lineRule="auto"/>
              <w:ind w:left="62" w:right="-20"/>
              <w:rPr>
                <w:rFonts w:ascii="Arial Narrow" w:eastAsia="Calibri" w:hAnsi="Arial Narrow" w:cs="Arial Narrow"/>
                <w:b/>
                <w:sz w:val="14"/>
                <w:szCs w:val="14"/>
              </w:rPr>
            </w:pPr>
          </w:p>
        </w:tc>
        <w:tc>
          <w:tcPr>
            <w:tcW w:w="1701" w:type="dxa"/>
          </w:tcPr>
          <w:p w:rsidR="006312E8" w:rsidRPr="006312E8" w:rsidRDefault="006312E8" w:rsidP="006312E8">
            <w:pPr>
              <w:spacing w:before="49" w:after="0" w:line="240" w:lineRule="auto"/>
              <w:ind w:left="309" w:right="295"/>
              <w:jc w:val="center"/>
              <w:rPr>
                <w:rFonts w:ascii="Arial Narrow" w:eastAsia="Calibri" w:hAnsi="Arial Narrow" w:cs="Arial Narrow"/>
                <w:b/>
                <w:sz w:val="14"/>
                <w:szCs w:val="14"/>
              </w:rPr>
            </w:pPr>
          </w:p>
        </w:tc>
        <w:tc>
          <w:tcPr>
            <w:tcW w:w="1276" w:type="dxa"/>
          </w:tcPr>
          <w:p w:rsidR="006312E8" w:rsidRPr="006312E8" w:rsidRDefault="006312E8" w:rsidP="006312E8">
            <w:pPr>
              <w:spacing w:before="49" w:after="0" w:line="240" w:lineRule="auto"/>
              <w:ind w:left="254" w:right="-20"/>
              <w:rPr>
                <w:rFonts w:ascii="Arial Narrow" w:eastAsia="Calibri" w:hAnsi="Arial Narrow" w:cs="Arial Narrow"/>
                <w:b/>
                <w:sz w:val="14"/>
                <w:szCs w:val="14"/>
              </w:rPr>
            </w:pPr>
          </w:p>
        </w:tc>
        <w:tc>
          <w:tcPr>
            <w:tcW w:w="1418" w:type="dxa"/>
          </w:tcPr>
          <w:p w:rsidR="006312E8" w:rsidRPr="006312E8" w:rsidRDefault="006312E8" w:rsidP="006312E8">
            <w:pPr>
              <w:spacing w:after="0" w:line="240" w:lineRule="auto"/>
              <w:rPr>
                <w:rFonts w:ascii="Calibri" w:eastAsia="Calibri" w:hAnsi="Calibri" w:cs="Times New Roman"/>
                <w:b/>
                <w:sz w:val="14"/>
                <w:szCs w:val="14"/>
              </w:rPr>
            </w:pPr>
          </w:p>
        </w:tc>
      </w:tr>
    </w:tbl>
    <w:p w:rsidR="006312E8" w:rsidRPr="006312E8" w:rsidRDefault="006312E8" w:rsidP="006312E8">
      <w:pPr>
        <w:spacing w:after="0" w:line="200" w:lineRule="exact"/>
        <w:rPr>
          <w:rFonts w:ascii="Calibri" w:eastAsia="Calibri" w:hAnsi="Calibri" w:cs="Times New Roman"/>
          <w:b/>
          <w:sz w:val="20"/>
          <w:szCs w:val="20"/>
        </w:rPr>
      </w:pP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15"/>
        <w:gridCol w:w="3482"/>
        <w:gridCol w:w="3479"/>
      </w:tblGrid>
      <w:tr w:rsidR="006312E8" w:rsidRPr="006312E8" w:rsidTr="00D04998">
        <w:tc>
          <w:tcPr>
            <w:tcW w:w="1613" w:type="pct"/>
          </w:tcPr>
          <w:p w:rsidR="006312E8" w:rsidRPr="006312E8" w:rsidRDefault="006312E8" w:rsidP="006312E8">
            <w:pPr>
              <w:spacing w:before="42" w:after="0" w:line="240" w:lineRule="auto"/>
              <w:ind w:right="-20"/>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ÁREA DEL TERRENO (M2) GRÁFICA</w:t>
            </w:r>
          </w:p>
        </w:tc>
        <w:tc>
          <w:tcPr>
            <w:tcW w:w="1694" w:type="pct"/>
          </w:tcPr>
          <w:p w:rsidR="006312E8" w:rsidRPr="006312E8" w:rsidRDefault="006312E8" w:rsidP="006312E8">
            <w:pPr>
              <w:spacing w:before="42" w:after="0" w:line="240" w:lineRule="auto"/>
              <w:ind w:right="-20"/>
              <w:jc w:val="center"/>
              <w:rPr>
                <w:rFonts w:ascii="Arial Narrow" w:eastAsia="Calibri" w:hAnsi="Arial Narrow" w:cs="Arial Narrow"/>
                <w:b/>
                <w:spacing w:val="1"/>
                <w:sz w:val="14"/>
                <w:szCs w:val="14"/>
              </w:rPr>
            </w:pPr>
            <w:r w:rsidRPr="006312E8">
              <w:rPr>
                <w:rFonts w:ascii="Arial Narrow" w:eastAsia="Calibri" w:hAnsi="Arial Narrow" w:cs="Arial Narrow"/>
                <w:b/>
                <w:spacing w:val="1"/>
                <w:sz w:val="14"/>
                <w:szCs w:val="14"/>
              </w:rPr>
              <w:t>PERÍMETRO (M)</w:t>
            </w:r>
          </w:p>
        </w:tc>
        <w:tc>
          <w:tcPr>
            <w:tcW w:w="1693" w:type="pct"/>
          </w:tcPr>
          <w:p w:rsidR="006312E8" w:rsidRPr="006312E8" w:rsidRDefault="006312E8" w:rsidP="006312E8">
            <w:pPr>
              <w:spacing w:before="42" w:after="0" w:line="240" w:lineRule="auto"/>
              <w:ind w:right="-20"/>
              <w:jc w:val="center"/>
              <w:rPr>
                <w:rFonts w:ascii="Arial Narrow" w:eastAsia="Calibri" w:hAnsi="Arial Narrow" w:cs="Arial Narrow"/>
                <w:b/>
                <w:spacing w:val="1"/>
                <w:sz w:val="14"/>
                <w:szCs w:val="14"/>
              </w:rPr>
            </w:pPr>
            <w:r w:rsidRPr="006312E8">
              <w:rPr>
                <w:rFonts w:ascii="Arial Narrow" w:eastAsia="Calibri" w:hAnsi="Arial Narrow" w:cs="Arial Narrow"/>
                <w:b/>
                <w:spacing w:val="1"/>
                <w:sz w:val="14"/>
                <w:szCs w:val="14"/>
              </w:rPr>
              <w:t>ÁREA CONSTRUIDA  (M</w:t>
            </w:r>
            <w:r w:rsidRPr="006312E8">
              <w:rPr>
                <w:rFonts w:ascii="Arial Narrow" w:eastAsia="Calibri" w:hAnsi="Arial Narrow" w:cs="Arial Narrow"/>
                <w:b/>
                <w:spacing w:val="1"/>
                <w:sz w:val="14"/>
                <w:szCs w:val="14"/>
                <w:vertAlign w:val="superscript"/>
              </w:rPr>
              <w:t>2)</w:t>
            </w:r>
          </w:p>
        </w:tc>
      </w:tr>
      <w:tr w:rsidR="006312E8" w:rsidRPr="006312E8" w:rsidTr="00D04998">
        <w:tc>
          <w:tcPr>
            <w:tcW w:w="1613" w:type="pct"/>
          </w:tcPr>
          <w:p w:rsidR="006312E8" w:rsidRPr="006312E8" w:rsidRDefault="006312E8" w:rsidP="006312E8">
            <w:pPr>
              <w:spacing w:after="0" w:line="240" w:lineRule="auto"/>
              <w:jc w:val="both"/>
              <w:rPr>
                <w:rFonts w:ascii="Arial" w:eastAsia="Calibri" w:hAnsi="Arial" w:cs="Arial"/>
                <w:b/>
                <w:sz w:val="14"/>
                <w:szCs w:val="14"/>
                <w:lang w:val="es-ES"/>
              </w:rPr>
            </w:pPr>
          </w:p>
        </w:tc>
        <w:tc>
          <w:tcPr>
            <w:tcW w:w="1694" w:type="pct"/>
          </w:tcPr>
          <w:p w:rsidR="006312E8" w:rsidRPr="006312E8" w:rsidRDefault="006312E8" w:rsidP="006312E8">
            <w:pPr>
              <w:spacing w:after="0" w:line="240" w:lineRule="auto"/>
              <w:jc w:val="both"/>
              <w:rPr>
                <w:rFonts w:ascii="Arial" w:eastAsia="Calibri" w:hAnsi="Arial" w:cs="Arial"/>
                <w:b/>
                <w:sz w:val="14"/>
                <w:szCs w:val="14"/>
                <w:lang w:val="es-ES"/>
              </w:rPr>
            </w:pPr>
          </w:p>
        </w:tc>
        <w:tc>
          <w:tcPr>
            <w:tcW w:w="1693" w:type="pct"/>
          </w:tcPr>
          <w:p w:rsidR="006312E8" w:rsidRPr="006312E8" w:rsidRDefault="006312E8" w:rsidP="006312E8">
            <w:pPr>
              <w:spacing w:after="0" w:line="240" w:lineRule="auto"/>
              <w:jc w:val="both"/>
              <w:rPr>
                <w:rFonts w:ascii="Arial" w:eastAsia="Calibri" w:hAnsi="Arial" w:cs="Arial"/>
                <w:b/>
                <w:sz w:val="14"/>
                <w:szCs w:val="14"/>
                <w:lang w:val="es-ES"/>
              </w:rPr>
            </w:pPr>
          </w:p>
        </w:tc>
      </w:tr>
    </w:tbl>
    <w:p w:rsidR="006312E8" w:rsidRPr="006312E8" w:rsidRDefault="006312E8" w:rsidP="006312E8">
      <w:pPr>
        <w:spacing w:after="0" w:line="200" w:lineRule="exact"/>
        <w:rPr>
          <w:rFonts w:ascii="Calibri" w:eastAsia="Calibri" w:hAnsi="Calibri" w:cs="Times New Roman"/>
          <w:b/>
          <w:sz w:val="14"/>
          <w:szCs w:val="14"/>
        </w:rPr>
      </w:pP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15"/>
        <w:gridCol w:w="3482"/>
        <w:gridCol w:w="3479"/>
      </w:tblGrid>
      <w:tr w:rsidR="006312E8" w:rsidRPr="006312E8" w:rsidTr="00D04998">
        <w:tc>
          <w:tcPr>
            <w:tcW w:w="1613" w:type="pct"/>
          </w:tcPr>
          <w:p w:rsidR="006312E8" w:rsidRPr="006312E8" w:rsidRDefault="006312E8" w:rsidP="006312E8">
            <w:pPr>
              <w:spacing w:before="42" w:after="0" w:line="240" w:lineRule="auto"/>
              <w:ind w:right="-20"/>
              <w:rPr>
                <w:rFonts w:ascii="Arial Narrow" w:eastAsia="Calibri" w:hAnsi="Arial Narrow" w:cs="Arial Narrow"/>
                <w:b/>
                <w:spacing w:val="1"/>
                <w:sz w:val="14"/>
                <w:szCs w:val="14"/>
              </w:rPr>
            </w:pPr>
            <w:r w:rsidRPr="006312E8">
              <w:rPr>
                <w:rFonts w:ascii="Arial Narrow" w:eastAsia="Calibri" w:hAnsi="Arial Narrow" w:cs="Arial Narrow"/>
                <w:b/>
                <w:spacing w:val="1"/>
                <w:sz w:val="14"/>
                <w:szCs w:val="14"/>
              </w:rPr>
              <w:t>MARGEN DE TOLERANCIA</w:t>
            </w:r>
          </w:p>
        </w:tc>
        <w:tc>
          <w:tcPr>
            <w:tcW w:w="1694" w:type="pct"/>
          </w:tcPr>
          <w:p w:rsidR="006312E8" w:rsidRPr="006312E8" w:rsidRDefault="006312E8" w:rsidP="006312E8">
            <w:pPr>
              <w:spacing w:before="42" w:after="0" w:line="240" w:lineRule="auto"/>
              <w:ind w:right="-20"/>
              <w:jc w:val="center"/>
              <w:rPr>
                <w:rFonts w:ascii="Arial Narrow" w:eastAsia="Calibri" w:hAnsi="Arial Narrow" w:cs="Arial Narrow"/>
                <w:b/>
                <w:spacing w:val="1"/>
                <w:sz w:val="14"/>
                <w:szCs w:val="14"/>
              </w:rPr>
            </w:pPr>
            <w:r w:rsidRPr="006312E8">
              <w:rPr>
                <w:rFonts w:ascii="Arial Narrow" w:eastAsia="Calibri" w:hAnsi="Arial Narrow" w:cs="Arial Narrow"/>
                <w:b/>
                <w:spacing w:val="1"/>
                <w:sz w:val="14"/>
                <w:szCs w:val="14"/>
              </w:rPr>
              <w:t>M</w:t>
            </w:r>
            <w:r w:rsidRPr="006312E8">
              <w:rPr>
                <w:rFonts w:ascii="Arial Narrow" w:eastAsia="Calibri" w:hAnsi="Arial Narrow" w:cs="Arial Narrow"/>
                <w:b/>
                <w:spacing w:val="1"/>
                <w:sz w:val="14"/>
                <w:szCs w:val="14"/>
                <w:vertAlign w:val="superscript"/>
              </w:rPr>
              <w:t>2</w:t>
            </w:r>
          </w:p>
        </w:tc>
        <w:tc>
          <w:tcPr>
            <w:tcW w:w="1693" w:type="pct"/>
          </w:tcPr>
          <w:p w:rsidR="006312E8" w:rsidRPr="006312E8" w:rsidRDefault="006312E8" w:rsidP="006312E8">
            <w:pPr>
              <w:spacing w:before="42" w:after="0" w:line="240" w:lineRule="auto"/>
              <w:ind w:right="-20"/>
              <w:jc w:val="center"/>
              <w:rPr>
                <w:rFonts w:ascii="Arial Narrow" w:eastAsia="Calibri" w:hAnsi="Arial Narrow" w:cs="Arial Narrow"/>
                <w:b/>
                <w:spacing w:val="1"/>
                <w:sz w:val="14"/>
                <w:szCs w:val="14"/>
              </w:rPr>
            </w:pPr>
            <w:r w:rsidRPr="006312E8">
              <w:rPr>
                <w:rFonts w:ascii="Arial Narrow" w:eastAsia="Calibri" w:hAnsi="Arial Narrow" w:cs="Arial Narrow"/>
                <w:b/>
                <w:spacing w:val="1"/>
                <w:sz w:val="14"/>
                <w:szCs w:val="14"/>
              </w:rPr>
              <w:t>%</w:t>
            </w:r>
          </w:p>
        </w:tc>
      </w:tr>
      <w:tr w:rsidR="006312E8" w:rsidRPr="006312E8" w:rsidTr="00D04998">
        <w:tc>
          <w:tcPr>
            <w:tcW w:w="1613" w:type="pct"/>
          </w:tcPr>
          <w:p w:rsidR="006312E8" w:rsidRPr="006312E8" w:rsidRDefault="006312E8" w:rsidP="006312E8">
            <w:pPr>
              <w:spacing w:after="0" w:line="240" w:lineRule="auto"/>
              <w:jc w:val="both"/>
              <w:rPr>
                <w:rFonts w:ascii="Arial" w:eastAsia="Calibri" w:hAnsi="Arial" w:cs="Arial"/>
                <w:sz w:val="18"/>
                <w:szCs w:val="18"/>
                <w:lang w:val="es-ES"/>
              </w:rPr>
            </w:pPr>
          </w:p>
        </w:tc>
        <w:tc>
          <w:tcPr>
            <w:tcW w:w="1694" w:type="pct"/>
          </w:tcPr>
          <w:p w:rsidR="006312E8" w:rsidRPr="006312E8" w:rsidRDefault="006312E8" w:rsidP="006312E8">
            <w:pPr>
              <w:spacing w:after="0" w:line="240" w:lineRule="auto"/>
              <w:jc w:val="both"/>
              <w:rPr>
                <w:rFonts w:ascii="Arial" w:eastAsia="Calibri" w:hAnsi="Arial" w:cs="Arial"/>
                <w:sz w:val="18"/>
                <w:szCs w:val="18"/>
                <w:lang w:val="es-ES"/>
              </w:rPr>
            </w:pPr>
          </w:p>
        </w:tc>
        <w:tc>
          <w:tcPr>
            <w:tcW w:w="1693" w:type="pct"/>
          </w:tcPr>
          <w:p w:rsidR="006312E8" w:rsidRPr="006312E8" w:rsidRDefault="006312E8" w:rsidP="006312E8">
            <w:pPr>
              <w:spacing w:after="0" w:line="240" w:lineRule="auto"/>
              <w:jc w:val="both"/>
              <w:rPr>
                <w:rFonts w:ascii="Arial" w:eastAsia="Calibri" w:hAnsi="Arial" w:cs="Arial"/>
                <w:sz w:val="18"/>
                <w:szCs w:val="18"/>
                <w:lang w:val="es-ES"/>
              </w:rPr>
            </w:pPr>
          </w:p>
        </w:tc>
      </w:tr>
    </w:tbl>
    <w:p w:rsidR="006312E8" w:rsidRPr="006312E8" w:rsidRDefault="006312E8" w:rsidP="006312E8">
      <w:pPr>
        <w:spacing w:before="40" w:after="0" w:line="181" w:lineRule="exact"/>
        <w:ind w:right="-20"/>
        <w:rPr>
          <w:rFonts w:ascii="Calibri" w:eastAsia="Calibri" w:hAnsi="Calibri" w:cs="Times New Roman"/>
          <w:sz w:val="20"/>
          <w:szCs w:val="20"/>
        </w:rPr>
      </w:pPr>
    </w:p>
    <w:p w:rsidR="006312E8" w:rsidRPr="006312E8" w:rsidRDefault="006312E8" w:rsidP="006312E8">
      <w:pPr>
        <w:spacing w:before="40" w:after="0" w:line="181" w:lineRule="exact"/>
        <w:ind w:right="-20"/>
        <w:outlineLvl w:val="0"/>
        <w:rPr>
          <w:rFonts w:ascii="Arial Narrow" w:eastAsia="Calibri" w:hAnsi="Arial Narrow" w:cs="Arial"/>
          <w:b/>
          <w:sz w:val="16"/>
          <w:szCs w:val="16"/>
        </w:rPr>
      </w:pPr>
      <w:r w:rsidRPr="006312E8">
        <w:rPr>
          <w:rFonts w:ascii="Arial Narrow" w:eastAsia="Calibri" w:hAnsi="Arial Narrow" w:cs="Arial"/>
          <w:b/>
          <w:sz w:val="16"/>
          <w:szCs w:val="16"/>
        </w:rPr>
        <w:t>4.4 OCUPACIÓN</w:t>
      </w:r>
    </w:p>
    <w:p w:rsidR="006312E8" w:rsidRPr="006312E8" w:rsidRDefault="006312E8" w:rsidP="006312E8">
      <w:pPr>
        <w:spacing w:before="40" w:after="0" w:line="181" w:lineRule="exact"/>
        <w:ind w:right="-20"/>
        <w:rPr>
          <w:rFonts w:ascii="Arial Narrow" w:eastAsia="Calibri" w:hAnsi="Arial Narrow" w:cs="Arial"/>
          <w:b/>
          <w:sz w:val="18"/>
          <w:szCs w:val="18"/>
        </w:rPr>
      </w:pPr>
    </w:p>
    <w:tbl>
      <w:tblPr>
        <w:tblW w:w="24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1134"/>
      </w:tblGrid>
      <w:tr w:rsidR="006312E8" w:rsidRPr="006312E8" w:rsidTr="00D04998">
        <w:tc>
          <w:tcPr>
            <w:tcW w:w="1276" w:type="dxa"/>
          </w:tcPr>
          <w:p w:rsidR="006312E8" w:rsidRPr="006312E8" w:rsidRDefault="006312E8" w:rsidP="006312E8">
            <w:pPr>
              <w:spacing w:before="40" w:after="0" w:line="181" w:lineRule="exact"/>
              <w:ind w:right="-20"/>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DESOCUPADO</w:t>
            </w:r>
          </w:p>
        </w:tc>
        <w:tc>
          <w:tcPr>
            <w:tcW w:w="1134" w:type="dxa"/>
          </w:tcPr>
          <w:p w:rsidR="006312E8" w:rsidRPr="006312E8" w:rsidRDefault="006312E8" w:rsidP="006312E8">
            <w:pPr>
              <w:spacing w:before="40" w:after="0" w:line="181" w:lineRule="exact"/>
              <w:ind w:right="-20"/>
              <w:rPr>
                <w:rFonts w:ascii="Arial Narrow" w:eastAsia="Calibri" w:hAnsi="Arial Narrow" w:cs="Arial Narrow"/>
                <w:spacing w:val="1"/>
                <w:sz w:val="16"/>
                <w:szCs w:val="16"/>
                <w:lang w:val="es-ES"/>
              </w:rPr>
            </w:pPr>
          </w:p>
        </w:tc>
      </w:tr>
      <w:tr w:rsidR="006312E8" w:rsidRPr="006312E8" w:rsidTr="00D04998">
        <w:tc>
          <w:tcPr>
            <w:tcW w:w="1276" w:type="dxa"/>
          </w:tcPr>
          <w:p w:rsidR="006312E8" w:rsidRPr="006312E8" w:rsidRDefault="006312E8" w:rsidP="006312E8">
            <w:pPr>
              <w:spacing w:before="40" w:after="0" w:line="181" w:lineRule="exact"/>
              <w:ind w:right="-20"/>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 xml:space="preserve">   OCUPADO</w:t>
            </w:r>
          </w:p>
        </w:tc>
        <w:tc>
          <w:tcPr>
            <w:tcW w:w="1134" w:type="dxa"/>
          </w:tcPr>
          <w:p w:rsidR="006312E8" w:rsidRPr="006312E8" w:rsidRDefault="006312E8" w:rsidP="006312E8">
            <w:pPr>
              <w:spacing w:before="40" w:after="0" w:line="181" w:lineRule="exact"/>
              <w:ind w:right="-20"/>
              <w:rPr>
                <w:rFonts w:ascii="Arial Narrow" w:eastAsia="Calibri" w:hAnsi="Arial Narrow" w:cs="Arial Narrow"/>
                <w:spacing w:val="1"/>
                <w:sz w:val="16"/>
                <w:szCs w:val="16"/>
                <w:lang w:val="es-ES"/>
              </w:rPr>
            </w:pPr>
          </w:p>
        </w:tc>
      </w:tr>
    </w:tbl>
    <w:p w:rsidR="006312E8" w:rsidRPr="006312E8" w:rsidRDefault="006312E8" w:rsidP="006312E8">
      <w:pPr>
        <w:spacing w:before="5" w:after="0" w:line="130" w:lineRule="exact"/>
        <w:rPr>
          <w:rFonts w:ascii="Arial Narrow" w:eastAsia="Calibri" w:hAnsi="Arial Narrow" w:cs="Arial Narrow"/>
          <w:spacing w:val="1"/>
          <w:sz w:val="16"/>
          <w:szCs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134"/>
        <w:gridCol w:w="2127"/>
        <w:gridCol w:w="2126"/>
      </w:tblGrid>
      <w:tr w:rsidR="006312E8" w:rsidRPr="006312E8" w:rsidTr="00D04998">
        <w:tc>
          <w:tcPr>
            <w:tcW w:w="2376" w:type="dxa"/>
            <w:gridSpan w:val="2"/>
          </w:tcPr>
          <w:p w:rsidR="006312E8" w:rsidRPr="006312E8" w:rsidRDefault="006312E8" w:rsidP="006312E8">
            <w:pPr>
              <w:spacing w:before="40" w:after="0" w:line="181" w:lineRule="exact"/>
              <w:ind w:right="-20"/>
              <w:jc w:val="center"/>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OCUPACIÓN</w:t>
            </w:r>
          </w:p>
        </w:tc>
        <w:tc>
          <w:tcPr>
            <w:tcW w:w="2127" w:type="dxa"/>
          </w:tcPr>
          <w:p w:rsidR="006312E8" w:rsidRPr="006312E8" w:rsidRDefault="006312E8" w:rsidP="006312E8">
            <w:pPr>
              <w:spacing w:before="40" w:after="0" w:line="181" w:lineRule="exact"/>
              <w:ind w:right="-20"/>
              <w:jc w:val="center"/>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 xml:space="preserve">ÁREA OCUPADA   </w:t>
            </w:r>
          </w:p>
        </w:tc>
        <w:tc>
          <w:tcPr>
            <w:tcW w:w="2126" w:type="dxa"/>
          </w:tcPr>
          <w:p w:rsidR="006312E8" w:rsidRPr="006312E8" w:rsidRDefault="006312E8" w:rsidP="006312E8">
            <w:pPr>
              <w:spacing w:before="40" w:after="0" w:line="181" w:lineRule="exact"/>
              <w:ind w:right="-20"/>
              <w:jc w:val="center"/>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 xml:space="preserve">ÁREA SOLICITADA </w:t>
            </w:r>
          </w:p>
        </w:tc>
      </w:tr>
      <w:tr w:rsidR="006312E8" w:rsidRPr="006312E8" w:rsidTr="00D04998">
        <w:tc>
          <w:tcPr>
            <w:tcW w:w="1242" w:type="dxa"/>
          </w:tcPr>
          <w:p w:rsidR="006312E8" w:rsidRPr="006312E8" w:rsidRDefault="006312E8" w:rsidP="006312E8">
            <w:pPr>
              <w:spacing w:before="40" w:after="0" w:line="181" w:lineRule="exact"/>
              <w:ind w:right="-20"/>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PARCIAL</w:t>
            </w:r>
          </w:p>
        </w:tc>
        <w:tc>
          <w:tcPr>
            <w:tcW w:w="1134" w:type="dxa"/>
          </w:tcPr>
          <w:p w:rsidR="006312E8" w:rsidRPr="006312E8" w:rsidRDefault="006312E8" w:rsidP="006312E8">
            <w:pPr>
              <w:spacing w:before="40" w:after="0" w:line="181" w:lineRule="exact"/>
              <w:ind w:right="-20"/>
              <w:rPr>
                <w:rFonts w:ascii="Arial Narrow" w:eastAsia="Calibri" w:hAnsi="Arial Narrow" w:cs="Arial Narrow"/>
                <w:b/>
                <w:spacing w:val="1"/>
                <w:sz w:val="14"/>
                <w:szCs w:val="14"/>
                <w:lang w:val="es-ES"/>
              </w:rPr>
            </w:pPr>
          </w:p>
        </w:tc>
        <w:tc>
          <w:tcPr>
            <w:tcW w:w="2127" w:type="dxa"/>
          </w:tcPr>
          <w:p w:rsidR="006312E8" w:rsidRPr="006312E8" w:rsidRDefault="006312E8" w:rsidP="006312E8">
            <w:pPr>
              <w:spacing w:before="40" w:after="0" w:line="181" w:lineRule="exact"/>
              <w:ind w:right="-20"/>
              <w:jc w:val="center"/>
              <w:rPr>
                <w:rFonts w:ascii="Arial Narrow" w:eastAsia="Calibri" w:hAnsi="Arial Narrow" w:cs="Arial Narrow"/>
                <w:b/>
                <w:spacing w:val="1"/>
                <w:sz w:val="14"/>
                <w:szCs w:val="14"/>
                <w:lang w:val="es-ES"/>
              </w:rPr>
            </w:pPr>
          </w:p>
        </w:tc>
        <w:tc>
          <w:tcPr>
            <w:tcW w:w="2126" w:type="dxa"/>
          </w:tcPr>
          <w:p w:rsidR="006312E8" w:rsidRPr="006312E8" w:rsidRDefault="006312E8" w:rsidP="006312E8">
            <w:pPr>
              <w:spacing w:before="40" w:after="0" w:line="181" w:lineRule="exact"/>
              <w:ind w:right="-20"/>
              <w:jc w:val="center"/>
              <w:rPr>
                <w:rFonts w:ascii="Arial Narrow" w:eastAsia="Calibri" w:hAnsi="Arial Narrow" w:cs="Arial Narrow"/>
                <w:b/>
                <w:spacing w:val="1"/>
                <w:sz w:val="14"/>
                <w:szCs w:val="14"/>
                <w:lang w:val="es-ES"/>
              </w:rPr>
            </w:pPr>
          </w:p>
        </w:tc>
      </w:tr>
      <w:tr w:rsidR="006312E8" w:rsidRPr="006312E8" w:rsidTr="00D04998">
        <w:tc>
          <w:tcPr>
            <w:tcW w:w="1242" w:type="dxa"/>
          </w:tcPr>
          <w:p w:rsidR="006312E8" w:rsidRPr="006312E8" w:rsidRDefault="006312E8" w:rsidP="006312E8">
            <w:pPr>
              <w:spacing w:before="40" w:after="0" w:line="181" w:lineRule="exact"/>
              <w:ind w:right="-20"/>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TOTAL</w:t>
            </w:r>
          </w:p>
        </w:tc>
        <w:tc>
          <w:tcPr>
            <w:tcW w:w="1134" w:type="dxa"/>
          </w:tcPr>
          <w:p w:rsidR="006312E8" w:rsidRPr="006312E8" w:rsidRDefault="006312E8" w:rsidP="006312E8">
            <w:pPr>
              <w:spacing w:before="5" w:after="0" w:line="130" w:lineRule="exact"/>
              <w:rPr>
                <w:rFonts w:ascii="Arial Narrow" w:eastAsia="Calibri" w:hAnsi="Arial Narrow" w:cs="Arial Narrow"/>
                <w:b/>
                <w:spacing w:val="1"/>
                <w:sz w:val="14"/>
                <w:szCs w:val="14"/>
                <w:lang w:val="es-ES"/>
              </w:rPr>
            </w:pPr>
          </w:p>
        </w:tc>
        <w:tc>
          <w:tcPr>
            <w:tcW w:w="2127" w:type="dxa"/>
          </w:tcPr>
          <w:p w:rsidR="006312E8" w:rsidRPr="006312E8" w:rsidRDefault="006312E8" w:rsidP="006312E8">
            <w:pPr>
              <w:spacing w:before="40" w:after="0" w:line="181" w:lineRule="exact"/>
              <w:ind w:right="-20"/>
              <w:rPr>
                <w:rFonts w:ascii="Arial Narrow" w:eastAsia="Calibri" w:hAnsi="Arial Narrow" w:cs="Arial Narrow"/>
                <w:b/>
                <w:spacing w:val="1"/>
                <w:sz w:val="14"/>
                <w:szCs w:val="14"/>
                <w:lang w:val="es-ES"/>
              </w:rPr>
            </w:pPr>
          </w:p>
        </w:tc>
        <w:tc>
          <w:tcPr>
            <w:tcW w:w="2126" w:type="dxa"/>
          </w:tcPr>
          <w:p w:rsidR="006312E8" w:rsidRPr="006312E8" w:rsidRDefault="006312E8" w:rsidP="006312E8">
            <w:pPr>
              <w:spacing w:before="40" w:after="0" w:line="181" w:lineRule="exact"/>
              <w:ind w:right="-20"/>
              <w:rPr>
                <w:rFonts w:ascii="Arial Narrow" w:eastAsia="Calibri" w:hAnsi="Arial Narrow" w:cs="Arial Narrow"/>
                <w:b/>
                <w:spacing w:val="1"/>
                <w:sz w:val="14"/>
                <w:szCs w:val="14"/>
                <w:lang w:val="es-ES"/>
              </w:rPr>
            </w:pPr>
          </w:p>
        </w:tc>
      </w:tr>
    </w:tbl>
    <w:p w:rsidR="006312E8" w:rsidRPr="006312E8" w:rsidRDefault="006312E8" w:rsidP="006312E8">
      <w:pPr>
        <w:spacing w:before="5" w:after="0" w:line="130" w:lineRule="exact"/>
        <w:rPr>
          <w:rFonts w:ascii="Arial Narrow" w:eastAsia="Calibri" w:hAnsi="Arial Narrow" w:cs="Arial"/>
          <w:b/>
          <w:sz w:val="14"/>
          <w:szCs w:val="1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8080"/>
      </w:tblGrid>
      <w:tr w:rsidR="006312E8" w:rsidRPr="006312E8" w:rsidTr="00D04998">
        <w:trPr>
          <w:trHeight w:hRule="exact" w:val="294"/>
        </w:trPr>
        <w:tc>
          <w:tcPr>
            <w:tcW w:w="2093" w:type="dxa"/>
          </w:tcPr>
          <w:p w:rsidR="006312E8" w:rsidRPr="006312E8" w:rsidRDefault="006312E8" w:rsidP="006312E8">
            <w:pPr>
              <w:spacing w:before="51" w:after="0" w:line="240" w:lineRule="auto"/>
              <w:ind w:right="-20"/>
              <w:rPr>
                <w:rFonts w:ascii="Arial Narrow" w:eastAsia="Calibri" w:hAnsi="Arial Narrow" w:cs="Arial Narrow"/>
                <w:b/>
                <w:sz w:val="14"/>
                <w:szCs w:val="14"/>
                <w:lang w:val="es-ES"/>
              </w:rPr>
            </w:pPr>
            <w:r w:rsidRPr="006312E8">
              <w:rPr>
                <w:rFonts w:ascii="Arial Narrow" w:eastAsia="Calibri" w:hAnsi="Arial Narrow" w:cs="Arial Narrow"/>
                <w:b/>
                <w:spacing w:val="1"/>
                <w:sz w:val="14"/>
                <w:szCs w:val="14"/>
                <w:lang w:val="es-ES"/>
              </w:rPr>
              <w:t>ANTIG. OCUPACIÓN  (AÑO</w:t>
            </w:r>
            <w:r w:rsidRPr="006312E8">
              <w:rPr>
                <w:rFonts w:ascii="Arial Narrow" w:eastAsia="Calibri" w:hAnsi="Arial Narrow" w:cs="Arial Narrow"/>
                <w:b/>
                <w:spacing w:val="-1"/>
                <w:sz w:val="14"/>
                <w:szCs w:val="14"/>
                <w:lang w:val="es-ES"/>
              </w:rPr>
              <w:t>S</w:t>
            </w:r>
            <w:r w:rsidRPr="006312E8">
              <w:rPr>
                <w:rFonts w:ascii="Arial Narrow" w:eastAsia="Calibri" w:hAnsi="Arial Narrow" w:cs="Arial Narrow"/>
                <w:b/>
                <w:sz w:val="14"/>
                <w:szCs w:val="14"/>
                <w:lang w:val="es-ES"/>
              </w:rPr>
              <w:t>)</w:t>
            </w:r>
          </w:p>
        </w:tc>
        <w:tc>
          <w:tcPr>
            <w:tcW w:w="8080" w:type="dxa"/>
          </w:tcPr>
          <w:p w:rsidR="006312E8" w:rsidRPr="006312E8" w:rsidRDefault="006312E8" w:rsidP="006312E8">
            <w:pPr>
              <w:spacing w:after="0" w:line="240" w:lineRule="auto"/>
              <w:rPr>
                <w:rFonts w:ascii="Calibri" w:eastAsia="Calibri" w:hAnsi="Calibri" w:cs="Times New Roman"/>
                <w:b/>
                <w:sz w:val="14"/>
                <w:szCs w:val="14"/>
                <w:lang w:val="es-ES"/>
              </w:rPr>
            </w:pPr>
          </w:p>
        </w:tc>
      </w:tr>
      <w:tr w:rsidR="006312E8" w:rsidRPr="006312E8" w:rsidTr="00D04998">
        <w:trPr>
          <w:trHeight w:hRule="exact" w:val="703"/>
        </w:trPr>
        <w:tc>
          <w:tcPr>
            <w:tcW w:w="2093" w:type="dxa"/>
          </w:tcPr>
          <w:p w:rsidR="006312E8" w:rsidRPr="006312E8" w:rsidRDefault="006312E8" w:rsidP="006312E8">
            <w:pPr>
              <w:spacing w:before="50" w:after="0" w:line="240" w:lineRule="auto"/>
              <w:ind w:right="-20"/>
              <w:rPr>
                <w:rFonts w:ascii="Arial Narrow" w:eastAsia="Calibri" w:hAnsi="Arial Narrow" w:cs="Arial Narrow"/>
                <w:b/>
                <w:sz w:val="14"/>
                <w:szCs w:val="14"/>
              </w:rPr>
            </w:pPr>
            <w:r w:rsidRPr="006312E8">
              <w:rPr>
                <w:rFonts w:ascii="Arial Narrow" w:eastAsia="Calibri" w:hAnsi="Arial Narrow" w:cs="Arial Narrow"/>
                <w:b/>
                <w:spacing w:val="1"/>
                <w:sz w:val="14"/>
                <w:szCs w:val="14"/>
                <w:lang w:val="es-ES"/>
              </w:rPr>
              <w:t>OCUP</w:t>
            </w:r>
            <w:r w:rsidRPr="006312E8">
              <w:rPr>
                <w:rFonts w:ascii="Arial Narrow" w:eastAsia="Calibri" w:hAnsi="Arial Narrow" w:cs="Arial Narrow"/>
                <w:b/>
                <w:spacing w:val="1"/>
                <w:sz w:val="14"/>
                <w:szCs w:val="14"/>
              </w:rPr>
              <w:t>ANTE</w:t>
            </w:r>
            <w:r w:rsidRPr="006312E8">
              <w:rPr>
                <w:rFonts w:ascii="Arial Narrow" w:eastAsia="Calibri" w:hAnsi="Arial Narrow" w:cs="Arial Narrow"/>
                <w:b/>
                <w:sz w:val="14"/>
                <w:szCs w:val="14"/>
              </w:rPr>
              <w:t>S</w:t>
            </w:r>
          </w:p>
        </w:tc>
        <w:tc>
          <w:tcPr>
            <w:tcW w:w="8080" w:type="dxa"/>
          </w:tcPr>
          <w:p w:rsidR="006312E8" w:rsidRPr="006312E8" w:rsidRDefault="006312E8" w:rsidP="006312E8">
            <w:pPr>
              <w:spacing w:before="50" w:after="0" w:line="240" w:lineRule="auto"/>
              <w:ind w:left="72" w:right="-20"/>
              <w:rPr>
                <w:rFonts w:ascii="Arial Narrow" w:eastAsia="Calibri" w:hAnsi="Arial Narrow" w:cs="Arial Narrow"/>
                <w:b/>
                <w:sz w:val="14"/>
                <w:szCs w:val="14"/>
              </w:rPr>
            </w:pPr>
          </w:p>
          <w:p w:rsidR="006312E8" w:rsidRPr="006312E8" w:rsidRDefault="006312E8" w:rsidP="006312E8">
            <w:pPr>
              <w:spacing w:before="50" w:after="0" w:line="240" w:lineRule="auto"/>
              <w:ind w:left="72" w:right="-20"/>
              <w:rPr>
                <w:rFonts w:ascii="Arial Narrow" w:eastAsia="Calibri" w:hAnsi="Arial Narrow" w:cs="Arial Narrow"/>
                <w:b/>
                <w:sz w:val="14"/>
                <w:szCs w:val="14"/>
              </w:rPr>
            </w:pPr>
          </w:p>
          <w:p w:rsidR="006312E8" w:rsidRPr="006312E8" w:rsidRDefault="006312E8" w:rsidP="006312E8">
            <w:pPr>
              <w:spacing w:before="50" w:after="0" w:line="240" w:lineRule="auto"/>
              <w:ind w:left="72" w:right="-20"/>
              <w:rPr>
                <w:rFonts w:ascii="Arial Narrow" w:eastAsia="Calibri" w:hAnsi="Arial Narrow" w:cs="Arial Narrow"/>
                <w:b/>
                <w:sz w:val="14"/>
                <w:szCs w:val="14"/>
              </w:rPr>
            </w:pPr>
          </w:p>
          <w:p w:rsidR="006312E8" w:rsidRPr="006312E8" w:rsidRDefault="006312E8" w:rsidP="006312E8">
            <w:pPr>
              <w:spacing w:before="50" w:after="0" w:line="240" w:lineRule="auto"/>
              <w:ind w:left="72" w:right="-20"/>
              <w:rPr>
                <w:rFonts w:ascii="Arial Narrow" w:eastAsia="Calibri" w:hAnsi="Arial Narrow" w:cs="Arial Narrow"/>
                <w:b/>
                <w:sz w:val="14"/>
                <w:szCs w:val="14"/>
              </w:rPr>
            </w:pPr>
          </w:p>
          <w:p w:rsidR="006312E8" w:rsidRPr="006312E8" w:rsidRDefault="006312E8" w:rsidP="006312E8">
            <w:pPr>
              <w:spacing w:before="50" w:after="0" w:line="240" w:lineRule="auto"/>
              <w:ind w:left="72" w:right="-20"/>
              <w:rPr>
                <w:rFonts w:ascii="Arial Narrow" w:eastAsia="Calibri" w:hAnsi="Arial Narrow" w:cs="Arial Narrow"/>
                <w:b/>
                <w:sz w:val="14"/>
                <w:szCs w:val="14"/>
              </w:rPr>
            </w:pPr>
          </w:p>
        </w:tc>
      </w:tr>
    </w:tbl>
    <w:p w:rsidR="006312E8" w:rsidRPr="006312E8" w:rsidRDefault="006312E8" w:rsidP="006312E8">
      <w:pPr>
        <w:spacing w:after="0" w:line="200" w:lineRule="exact"/>
        <w:rPr>
          <w:rFonts w:ascii="Calibri" w:eastAsia="Calibri" w:hAnsi="Calibri" w:cs="Times New Roman"/>
          <w:sz w:val="20"/>
          <w:szCs w:val="20"/>
        </w:rPr>
      </w:pPr>
    </w:p>
    <w:p w:rsidR="006312E8" w:rsidRPr="006312E8" w:rsidRDefault="006312E8" w:rsidP="006312E8">
      <w:pPr>
        <w:spacing w:before="40" w:after="0" w:line="181" w:lineRule="exact"/>
        <w:ind w:right="-20"/>
        <w:outlineLvl w:val="0"/>
        <w:rPr>
          <w:rFonts w:ascii="Arial Narrow" w:eastAsia="Calibri" w:hAnsi="Arial Narrow" w:cs="Arial"/>
          <w:b/>
          <w:sz w:val="16"/>
          <w:szCs w:val="16"/>
        </w:rPr>
      </w:pPr>
      <w:r w:rsidRPr="006312E8">
        <w:rPr>
          <w:rFonts w:ascii="Arial Narrow" w:eastAsia="Calibri" w:hAnsi="Arial Narrow" w:cs="Arial"/>
          <w:b/>
          <w:sz w:val="16"/>
          <w:szCs w:val="16"/>
        </w:rPr>
        <w:t xml:space="preserve">4.5 SITUACIÓN ACTUAL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2835"/>
        <w:gridCol w:w="2126"/>
        <w:gridCol w:w="3544"/>
      </w:tblGrid>
      <w:tr w:rsidR="006312E8" w:rsidRPr="006312E8" w:rsidTr="00D04998">
        <w:trPr>
          <w:trHeight w:hRule="exact" w:val="360"/>
        </w:trPr>
        <w:tc>
          <w:tcPr>
            <w:tcW w:w="1668" w:type="dxa"/>
          </w:tcPr>
          <w:p w:rsidR="006312E8" w:rsidRPr="006312E8" w:rsidRDefault="006312E8" w:rsidP="006312E8">
            <w:pPr>
              <w:spacing w:before="42" w:after="0" w:line="240" w:lineRule="auto"/>
              <w:ind w:right="-20"/>
              <w:rPr>
                <w:rFonts w:ascii="Arial Narrow" w:eastAsia="Calibri" w:hAnsi="Arial Narrow" w:cs="Arial Narrow"/>
                <w:b/>
                <w:spacing w:val="1"/>
                <w:sz w:val="14"/>
                <w:szCs w:val="14"/>
              </w:rPr>
            </w:pPr>
            <w:r w:rsidRPr="006312E8">
              <w:rPr>
                <w:rFonts w:ascii="Arial Narrow" w:eastAsia="Calibri" w:hAnsi="Arial Narrow" w:cs="Arial Narrow"/>
                <w:b/>
                <w:spacing w:val="1"/>
                <w:sz w:val="14"/>
                <w:szCs w:val="14"/>
              </w:rPr>
              <w:t>DENOM</w:t>
            </w:r>
            <w:r w:rsidRPr="006312E8">
              <w:rPr>
                <w:rFonts w:ascii="Arial Narrow" w:eastAsia="Calibri" w:hAnsi="Arial Narrow" w:cs="Arial Narrow"/>
                <w:b/>
                <w:spacing w:val="-1"/>
                <w:sz w:val="14"/>
                <w:szCs w:val="14"/>
              </w:rPr>
              <w:t>I</w:t>
            </w:r>
            <w:r w:rsidRPr="006312E8">
              <w:rPr>
                <w:rFonts w:ascii="Arial Narrow" w:eastAsia="Calibri" w:hAnsi="Arial Narrow" w:cs="Arial Narrow"/>
                <w:b/>
                <w:spacing w:val="1"/>
                <w:sz w:val="14"/>
                <w:szCs w:val="14"/>
              </w:rPr>
              <w:t>NAC</w:t>
            </w:r>
            <w:r w:rsidRPr="006312E8">
              <w:rPr>
                <w:rFonts w:ascii="Arial Narrow" w:eastAsia="Calibri" w:hAnsi="Arial Narrow" w:cs="Arial Narrow"/>
                <w:b/>
                <w:spacing w:val="-1"/>
                <w:sz w:val="14"/>
                <w:szCs w:val="14"/>
              </w:rPr>
              <w:t>I</w:t>
            </w:r>
            <w:r w:rsidRPr="006312E8">
              <w:rPr>
                <w:rFonts w:ascii="Arial Narrow" w:eastAsia="Calibri" w:hAnsi="Arial Narrow" w:cs="Arial Narrow"/>
                <w:b/>
                <w:spacing w:val="1"/>
                <w:sz w:val="14"/>
                <w:szCs w:val="14"/>
              </w:rPr>
              <w:t>Ó</w:t>
            </w:r>
            <w:r w:rsidRPr="006312E8">
              <w:rPr>
                <w:rFonts w:ascii="Arial Narrow" w:eastAsia="Calibri" w:hAnsi="Arial Narrow" w:cs="Arial Narrow"/>
                <w:b/>
                <w:sz w:val="14"/>
                <w:szCs w:val="14"/>
              </w:rPr>
              <w:t>N</w:t>
            </w:r>
          </w:p>
        </w:tc>
        <w:tc>
          <w:tcPr>
            <w:tcW w:w="8505" w:type="dxa"/>
            <w:gridSpan w:val="3"/>
          </w:tcPr>
          <w:p w:rsidR="006312E8" w:rsidRPr="006312E8" w:rsidRDefault="006312E8" w:rsidP="006312E8">
            <w:pPr>
              <w:spacing w:before="42" w:after="0" w:line="240" w:lineRule="auto"/>
              <w:ind w:left="62" w:right="-20"/>
              <w:rPr>
                <w:rFonts w:ascii="Arial Narrow" w:eastAsia="Calibri" w:hAnsi="Arial Narrow" w:cs="Arial Narrow"/>
                <w:b/>
                <w:sz w:val="14"/>
                <w:szCs w:val="14"/>
              </w:rPr>
            </w:pPr>
          </w:p>
        </w:tc>
      </w:tr>
      <w:tr w:rsidR="006312E8" w:rsidRPr="006312E8" w:rsidTr="00D04998">
        <w:trPr>
          <w:trHeight w:hRule="exact" w:val="360"/>
        </w:trPr>
        <w:tc>
          <w:tcPr>
            <w:tcW w:w="1668" w:type="dxa"/>
          </w:tcPr>
          <w:p w:rsidR="006312E8" w:rsidRPr="006312E8" w:rsidRDefault="006312E8" w:rsidP="006312E8">
            <w:pPr>
              <w:spacing w:before="42" w:after="0" w:line="240" w:lineRule="auto"/>
              <w:ind w:right="-20"/>
              <w:rPr>
                <w:rFonts w:ascii="Arial Narrow" w:eastAsia="Calibri" w:hAnsi="Arial Narrow" w:cs="Arial Narrow"/>
                <w:b/>
                <w:sz w:val="14"/>
                <w:szCs w:val="14"/>
              </w:rPr>
            </w:pPr>
            <w:r w:rsidRPr="006312E8">
              <w:rPr>
                <w:rFonts w:ascii="Arial Narrow" w:eastAsia="Calibri" w:hAnsi="Arial Narrow" w:cs="Arial Narrow"/>
                <w:b/>
                <w:spacing w:val="1"/>
                <w:sz w:val="14"/>
                <w:szCs w:val="14"/>
              </w:rPr>
              <w:t>US</w:t>
            </w:r>
            <w:r w:rsidRPr="006312E8">
              <w:rPr>
                <w:rFonts w:ascii="Arial Narrow" w:eastAsia="Calibri" w:hAnsi="Arial Narrow" w:cs="Arial Narrow"/>
                <w:b/>
                <w:sz w:val="14"/>
                <w:szCs w:val="14"/>
              </w:rPr>
              <w:t xml:space="preserve">O </w:t>
            </w:r>
            <w:r w:rsidRPr="006312E8">
              <w:rPr>
                <w:rFonts w:ascii="Arial Narrow" w:eastAsia="Calibri" w:hAnsi="Arial Narrow" w:cs="Arial Narrow"/>
                <w:b/>
                <w:spacing w:val="1"/>
                <w:sz w:val="14"/>
                <w:szCs w:val="14"/>
              </w:rPr>
              <w:t>GENÉR</w:t>
            </w:r>
            <w:r w:rsidRPr="006312E8">
              <w:rPr>
                <w:rFonts w:ascii="Arial Narrow" w:eastAsia="Calibri" w:hAnsi="Arial Narrow" w:cs="Arial Narrow"/>
                <w:b/>
                <w:spacing w:val="-1"/>
                <w:sz w:val="14"/>
                <w:szCs w:val="14"/>
              </w:rPr>
              <w:t>I</w:t>
            </w:r>
            <w:r w:rsidRPr="006312E8">
              <w:rPr>
                <w:rFonts w:ascii="Arial Narrow" w:eastAsia="Calibri" w:hAnsi="Arial Narrow" w:cs="Arial Narrow"/>
                <w:b/>
                <w:spacing w:val="1"/>
                <w:sz w:val="14"/>
                <w:szCs w:val="14"/>
              </w:rPr>
              <w:t>C</w:t>
            </w:r>
            <w:r w:rsidRPr="006312E8">
              <w:rPr>
                <w:rFonts w:ascii="Arial Narrow" w:eastAsia="Calibri" w:hAnsi="Arial Narrow" w:cs="Arial Narrow"/>
                <w:b/>
                <w:sz w:val="14"/>
                <w:szCs w:val="14"/>
              </w:rPr>
              <w:t>O</w:t>
            </w:r>
          </w:p>
        </w:tc>
        <w:tc>
          <w:tcPr>
            <w:tcW w:w="2835" w:type="dxa"/>
          </w:tcPr>
          <w:p w:rsidR="006312E8" w:rsidRPr="006312E8" w:rsidRDefault="006312E8" w:rsidP="006312E8">
            <w:pPr>
              <w:spacing w:before="42" w:after="0" w:line="240" w:lineRule="auto"/>
              <w:ind w:left="72" w:right="-20"/>
              <w:rPr>
                <w:rFonts w:ascii="Arial Narrow" w:eastAsia="Calibri" w:hAnsi="Arial Narrow" w:cs="Arial Narrow"/>
                <w:b/>
                <w:sz w:val="14"/>
                <w:szCs w:val="14"/>
              </w:rPr>
            </w:pPr>
          </w:p>
        </w:tc>
        <w:tc>
          <w:tcPr>
            <w:tcW w:w="2126" w:type="dxa"/>
          </w:tcPr>
          <w:p w:rsidR="006312E8" w:rsidRPr="006312E8" w:rsidRDefault="006312E8" w:rsidP="006312E8">
            <w:pPr>
              <w:spacing w:before="42" w:after="0" w:line="240" w:lineRule="auto"/>
              <w:ind w:left="97" w:right="-20"/>
              <w:rPr>
                <w:rFonts w:ascii="Arial Narrow" w:eastAsia="Calibri" w:hAnsi="Arial Narrow" w:cs="Arial Narrow"/>
                <w:b/>
                <w:sz w:val="14"/>
                <w:szCs w:val="14"/>
              </w:rPr>
            </w:pPr>
            <w:r w:rsidRPr="006312E8">
              <w:rPr>
                <w:rFonts w:ascii="Arial Narrow" w:eastAsia="Calibri" w:hAnsi="Arial Narrow" w:cs="Arial Narrow"/>
                <w:b/>
                <w:spacing w:val="1"/>
                <w:sz w:val="14"/>
                <w:szCs w:val="14"/>
              </w:rPr>
              <w:t>US</w:t>
            </w:r>
            <w:r w:rsidRPr="006312E8">
              <w:rPr>
                <w:rFonts w:ascii="Arial Narrow" w:eastAsia="Calibri" w:hAnsi="Arial Narrow" w:cs="Arial Narrow"/>
                <w:b/>
                <w:sz w:val="14"/>
                <w:szCs w:val="14"/>
              </w:rPr>
              <w:t xml:space="preserve">O </w:t>
            </w:r>
            <w:r w:rsidRPr="006312E8">
              <w:rPr>
                <w:rFonts w:ascii="Arial Narrow" w:eastAsia="Calibri" w:hAnsi="Arial Narrow" w:cs="Arial Narrow"/>
                <w:b/>
                <w:spacing w:val="1"/>
                <w:sz w:val="14"/>
                <w:szCs w:val="14"/>
              </w:rPr>
              <w:t>ESPEC</w:t>
            </w:r>
            <w:r w:rsidRPr="006312E8">
              <w:rPr>
                <w:rFonts w:ascii="Arial Narrow" w:eastAsia="Calibri" w:hAnsi="Arial Narrow" w:cs="Arial Narrow"/>
                <w:b/>
                <w:spacing w:val="-1"/>
                <w:sz w:val="14"/>
                <w:szCs w:val="14"/>
              </w:rPr>
              <w:t>Í</w:t>
            </w:r>
            <w:r w:rsidRPr="006312E8">
              <w:rPr>
                <w:rFonts w:ascii="Arial Narrow" w:eastAsia="Calibri" w:hAnsi="Arial Narrow" w:cs="Arial Narrow"/>
                <w:b/>
                <w:spacing w:val="1"/>
                <w:sz w:val="14"/>
                <w:szCs w:val="14"/>
              </w:rPr>
              <w:t>F</w:t>
            </w:r>
            <w:r w:rsidRPr="006312E8">
              <w:rPr>
                <w:rFonts w:ascii="Arial Narrow" w:eastAsia="Calibri" w:hAnsi="Arial Narrow" w:cs="Arial Narrow"/>
                <w:b/>
                <w:spacing w:val="-1"/>
                <w:sz w:val="14"/>
                <w:szCs w:val="14"/>
              </w:rPr>
              <w:t>I</w:t>
            </w:r>
            <w:r w:rsidRPr="006312E8">
              <w:rPr>
                <w:rFonts w:ascii="Arial Narrow" w:eastAsia="Calibri" w:hAnsi="Arial Narrow" w:cs="Arial Narrow"/>
                <w:b/>
                <w:spacing w:val="1"/>
                <w:sz w:val="14"/>
                <w:szCs w:val="14"/>
              </w:rPr>
              <w:t>C</w:t>
            </w:r>
            <w:r w:rsidRPr="006312E8">
              <w:rPr>
                <w:rFonts w:ascii="Arial Narrow" w:eastAsia="Calibri" w:hAnsi="Arial Narrow" w:cs="Arial Narrow"/>
                <w:b/>
                <w:sz w:val="14"/>
                <w:szCs w:val="14"/>
              </w:rPr>
              <w:t>O</w:t>
            </w:r>
          </w:p>
        </w:tc>
        <w:tc>
          <w:tcPr>
            <w:tcW w:w="3544" w:type="dxa"/>
          </w:tcPr>
          <w:p w:rsidR="006312E8" w:rsidRPr="006312E8" w:rsidRDefault="006312E8" w:rsidP="006312E8">
            <w:pPr>
              <w:spacing w:before="42" w:after="0" w:line="240" w:lineRule="auto"/>
              <w:ind w:left="62" w:right="-20"/>
              <w:rPr>
                <w:rFonts w:ascii="Arial Narrow" w:eastAsia="Calibri" w:hAnsi="Arial Narrow" w:cs="Arial Narrow"/>
                <w:b/>
                <w:sz w:val="14"/>
                <w:szCs w:val="14"/>
              </w:rPr>
            </w:pPr>
          </w:p>
        </w:tc>
      </w:tr>
      <w:tr w:rsidR="006312E8" w:rsidRPr="006312E8" w:rsidTr="00D04998">
        <w:trPr>
          <w:trHeight w:hRule="exact" w:val="863"/>
        </w:trPr>
        <w:tc>
          <w:tcPr>
            <w:tcW w:w="1668" w:type="dxa"/>
          </w:tcPr>
          <w:p w:rsidR="006312E8" w:rsidRPr="006312E8" w:rsidRDefault="006312E8" w:rsidP="006312E8">
            <w:pPr>
              <w:spacing w:before="51" w:after="0" w:line="240" w:lineRule="auto"/>
              <w:ind w:right="-20"/>
              <w:rPr>
                <w:rFonts w:ascii="Arial Narrow" w:eastAsia="Calibri" w:hAnsi="Arial Narrow" w:cs="Arial Narrow"/>
                <w:b/>
                <w:spacing w:val="1"/>
                <w:sz w:val="14"/>
                <w:szCs w:val="14"/>
              </w:rPr>
            </w:pPr>
            <w:r w:rsidRPr="006312E8">
              <w:rPr>
                <w:rFonts w:ascii="Arial Narrow" w:eastAsia="Calibri" w:hAnsi="Arial Narrow" w:cs="Arial Narrow"/>
                <w:b/>
                <w:spacing w:val="1"/>
                <w:sz w:val="14"/>
                <w:szCs w:val="14"/>
              </w:rPr>
              <w:t>OBSERVACIONES</w:t>
            </w:r>
          </w:p>
        </w:tc>
        <w:tc>
          <w:tcPr>
            <w:tcW w:w="8505" w:type="dxa"/>
            <w:gridSpan w:val="3"/>
          </w:tcPr>
          <w:p w:rsidR="006312E8" w:rsidRPr="006312E8" w:rsidRDefault="006312E8" w:rsidP="006312E8">
            <w:pPr>
              <w:spacing w:after="0" w:line="240" w:lineRule="auto"/>
              <w:rPr>
                <w:rFonts w:ascii="Calibri" w:eastAsia="Calibri" w:hAnsi="Calibri" w:cs="Times New Roman"/>
              </w:rPr>
            </w:pPr>
          </w:p>
          <w:p w:rsidR="006312E8" w:rsidRPr="006312E8" w:rsidRDefault="006312E8" w:rsidP="006312E8">
            <w:pPr>
              <w:spacing w:after="0" w:line="240" w:lineRule="auto"/>
              <w:rPr>
                <w:rFonts w:ascii="Calibri" w:eastAsia="Calibri" w:hAnsi="Calibri" w:cs="Times New Roman"/>
              </w:rPr>
            </w:pPr>
          </w:p>
          <w:p w:rsidR="006312E8" w:rsidRPr="006312E8" w:rsidRDefault="006312E8" w:rsidP="006312E8">
            <w:pPr>
              <w:spacing w:after="0" w:line="240" w:lineRule="auto"/>
              <w:rPr>
                <w:rFonts w:ascii="Calibri" w:eastAsia="Calibri" w:hAnsi="Calibri" w:cs="Times New Roman"/>
              </w:rPr>
            </w:pPr>
          </w:p>
          <w:p w:rsidR="006312E8" w:rsidRPr="006312E8" w:rsidRDefault="006312E8" w:rsidP="006312E8">
            <w:pPr>
              <w:spacing w:after="0" w:line="240" w:lineRule="auto"/>
              <w:rPr>
                <w:rFonts w:ascii="Calibri" w:eastAsia="Calibri" w:hAnsi="Calibri" w:cs="Times New Roman"/>
              </w:rPr>
            </w:pPr>
          </w:p>
          <w:p w:rsidR="006312E8" w:rsidRPr="006312E8" w:rsidRDefault="006312E8" w:rsidP="006312E8">
            <w:pPr>
              <w:spacing w:after="0" w:line="240" w:lineRule="auto"/>
              <w:rPr>
                <w:rFonts w:ascii="Calibri" w:eastAsia="Calibri" w:hAnsi="Calibri" w:cs="Times New Roman"/>
              </w:rPr>
            </w:pPr>
          </w:p>
          <w:p w:rsidR="006312E8" w:rsidRPr="006312E8" w:rsidRDefault="006312E8" w:rsidP="006312E8">
            <w:pPr>
              <w:spacing w:after="0" w:line="240" w:lineRule="auto"/>
              <w:rPr>
                <w:rFonts w:ascii="Calibri" w:eastAsia="Calibri" w:hAnsi="Calibri" w:cs="Times New Roman"/>
              </w:rPr>
            </w:pPr>
          </w:p>
          <w:p w:rsidR="006312E8" w:rsidRPr="006312E8" w:rsidRDefault="006312E8" w:rsidP="006312E8">
            <w:pPr>
              <w:spacing w:after="0" w:line="240" w:lineRule="auto"/>
              <w:rPr>
                <w:rFonts w:ascii="Calibri" w:eastAsia="Calibri" w:hAnsi="Calibri" w:cs="Times New Roman"/>
              </w:rPr>
            </w:pPr>
          </w:p>
          <w:p w:rsidR="006312E8" w:rsidRPr="006312E8" w:rsidRDefault="006312E8" w:rsidP="006312E8">
            <w:pPr>
              <w:spacing w:after="0" w:line="240" w:lineRule="auto"/>
              <w:rPr>
                <w:rFonts w:ascii="Calibri" w:eastAsia="Calibri" w:hAnsi="Calibri" w:cs="Times New Roman"/>
              </w:rPr>
            </w:pPr>
          </w:p>
          <w:p w:rsidR="006312E8" w:rsidRPr="006312E8" w:rsidRDefault="006312E8" w:rsidP="006312E8">
            <w:pPr>
              <w:spacing w:after="0" w:line="240" w:lineRule="auto"/>
              <w:rPr>
                <w:rFonts w:ascii="Calibri" w:eastAsia="Calibri" w:hAnsi="Calibri" w:cs="Times New Roman"/>
              </w:rPr>
            </w:pPr>
          </w:p>
          <w:p w:rsidR="006312E8" w:rsidRPr="006312E8" w:rsidRDefault="006312E8" w:rsidP="006312E8">
            <w:pPr>
              <w:spacing w:after="0" w:line="240" w:lineRule="auto"/>
              <w:rPr>
                <w:rFonts w:ascii="Calibri" w:eastAsia="Calibri" w:hAnsi="Calibri" w:cs="Times New Roman"/>
              </w:rPr>
            </w:pPr>
          </w:p>
        </w:tc>
      </w:tr>
    </w:tbl>
    <w:p w:rsidR="006312E8" w:rsidRPr="006312E8" w:rsidRDefault="006312E8" w:rsidP="006312E8">
      <w:pPr>
        <w:spacing w:before="40" w:after="0" w:line="181" w:lineRule="exact"/>
        <w:ind w:right="-20"/>
        <w:rPr>
          <w:rFonts w:ascii="Arial Narrow" w:eastAsia="Calibri" w:hAnsi="Arial Narrow" w:cs="Arial"/>
          <w:b/>
          <w:sz w:val="18"/>
          <w:szCs w:val="18"/>
        </w:rPr>
      </w:pPr>
    </w:p>
    <w:p w:rsidR="006312E8" w:rsidRPr="006312E8" w:rsidRDefault="006312E8" w:rsidP="006312E8">
      <w:pPr>
        <w:spacing w:before="40" w:after="0" w:line="181" w:lineRule="exact"/>
        <w:ind w:right="-20"/>
        <w:outlineLvl w:val="0"/>
        <w:rPr>
          <w:rFonts w:ascii="Arial Narrow" w:eastAsia="Calibri" w:hAnsi="Arial Narrow" w:cs="Arial"/>
          <w:b/>
          <w:sz w:val="16"/>
          <w:szCs w:val="16"/>
        </w:rPr>
      </w:pPr>
      <w:r w:rsidRPr="006312E8">
        <w:rPr>
          <w:rFonts w:ascii="Arial Narrow" w:eastAsia="Calibri" w:hAnsi="Arial Narrow" w:cs="Arial"/>
          <w:b/>
          <w:sz w:val="16"/>
          <w:szCs w:val="16"/>
        </w:rPr>
        <w:t xml:space="preserve">4.6 ACCESO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3"/>
      </w:tblGrid>
      <w:tr w:rsidR="006312E8" w:rsidRPr="006312E8" w:rsidTr="00D04998">
        <w:trPr>
          <w:trHeight w:val="1091"/>
        </w:trPr>
        <w:tc>
          <w:tcPr>
            <w:tcW w:w="10173" w:type="dxa"/>
          </w:tcPr>
          <w:p w:rsidR="006312E8" w:rsidRPr="006312E8" w:rsidRDefault="006312E8" w:rsidP="006312E8">
            <w:pPr>
              <w:spacing w:before="69" w:after="0" w:line="240" w:lineRule="auto"/>
              <w:ind w:right="-20"/>
              <w:jc w:val="both"/>
              <w:rPr>
                <w:rFonts w:ascii="Arial" w:eastAsia="Calibri" w:hAnsi="Arial" w:cs="Arial"/>
                <w:sz w:val="18"/>
                <w:szCs w:val="18"/>
              </w:rPr>
            </w:pPr>
          </w:p>
          <w:p w:rsidR="006312E8" w:rsidRPr="006312E8" w:rsidRDefault="006312E8" w:rsidP="006312E8">
            <w:pPr>
              <w:spacing w:before="69" w:after="0" w:line="240" w:lineRule="auto"/>
              <w:ind w:right="-20"/>
              <w:jc w:val="both"/>
              <w:rPr>
                <w:rFonts w:ascii="Arial" w:eastAsia="Calibri" w:hAnsi="Arial" w:cs="Arial"/>
                <w:sz w:val="18"/>
                <w:szCs w:val="18"/>
              </w:rPr>
            </w:pPr>
          </w:p>
        </w:tc>
      </w:tr>
    </w:tbl>
    <w:p w:rsidR="006312E8" w:rsidRPr="006312E8" w:rsidRDefault="006312E8" w:rsidP="006312E8">
      <w:pPr>
        <w:spacing w:before="4" w:after="0" w:line="130" w:lineRule="exact"/>
        <w:rPr>
          <w:rFonts w:ascii="Calibri" w:eastAsia="Calibri" w:hAnsi="Calibri" w:cs="Times New Roman"/>
          <w:sz w:val="13"/>
          <w:szCs w:val="13"/>
          <w:lang w:val="es-ES"/>
        </w:rPr>
      </w:pPr>
    </w:p>
    <w:p w:rsidR="006312E8" w:rsidRPr="006312E8" w:rsidRDefault="006312E8" w:rsidP="006312E8">
      <w:pPr>
        <w:spacing w:before="4" w:after="0" w:line="130" w:lineRule="exact"/>
        <w:rPr>
          <w:rFonts w:ascii="Calibri" w:eastAsia="Calibri" w:hAnsi="Calibri" w:cs="Times New Roman"/>
          <w:sz w:val="13"/>
          <w:szCs w:val="13"/>
          <w:lang w:val="es-ES"/>
        </w:rPr>
      </w:pPr>
    </w:p>
    <w:p w:rsidR="006312E8" w:rsidRPr="006312E8" w:rsidRDefault="006312E8" w:rsidP="006312E8">
      <w:pPr>
        <w:tabs>
          <w:tab w:val="left" w:pos="620"/>
        </w:tabs>
        <w:spacing w:after="0" w:line="240" w:lineRule="auto"/>
        <w:ind w:left="115" w:right="-20"/>
        <w:rPr>
          <w:rFonts w:ascii="Arial Narrow" w:eastAsia="Calibri" w:hAnsi="Arial Narrow" w:cs="Arial"/>
          <w:b/>
          <w:sz w:val="16"/>
          <w:szCs w:val="16"/>
          <w:lang w:val="es-ES"/>
        </w:rPr>
      </w:pPr>
      <w:r w:rsidRPr="006312E8">
        <w:rPr>
          <w:rFonts w:ascii="Arial Narrow" w:eastAsia="Calibri" w:hAnsi="Arial Narrow" w:cs="Times New Roman"/>
          <w:b/>
          <w:sz w:val="16"/>
          <w:szCs w:val="16"/>
          <w:lang w:val="es-ES"/>
        </w:rPr>
        <w:t>5. CARACTERÍSTICAS TÉCNICAS</w:t>
      </w:r>
    </w:p>
    <w:p w:rsidR="006312E8" w:rsidRPr="006312E8" w:rsidRDefault="006312E8" w:rsidP="006312E8">
      <w:pPr>
        <w:tabs>
          <w:tab w:val="left" w:pos="620"/>
        </w:tabs>
        <w:spacing w:after="0" w:line="240" w:lineRule="auto"/>
        <w:ind w:left="115" w:right="-20"/>
        <w:rPr>
          <w:rFonts w:ascii="Arial Narrow" w:eastAsia="Calibri" w:hAnsi="Arial Narrow" w:cs="Arial"/>
          <w:b/>
          <w:sz w:val="16"/>
          <w:szCs w:val="16"/>
          <w:lang w:val="es-ES"/>
        </w:rPr>
      </w:pPr>
    </w:p>
    <w:p w:rsidR="006312E8" w:rsidRPr="006312E8" w:rsidRDefault="006312E8" w:rsidP="006312E8">
      <w:pPr>
        <w:spacing w:before="40" w:after="0" w:line="181" w:lineRule="exact"/>
        <w:ind w:right="-20"/>
        <w:outlineLvl w:val="0"/>
        <w:rPr>
          <w:rFonts w:ascii="Arial Narrow" w:eastAsia="Calibri" w:hAnsi="Arial Narrow" w:cs="Arial"/>
          <w:b/>
          <w:sz w:val="16"/>
          <w:szCs w:val="16"/>
        </w:rPr>
      </w:pPr>
      <w:r w:rsidRPr="006312E8">
        <w:rPr>
          <w:rFonts w:ascii="Calibri" w:eastAsia="Calibri" w:hAnsi="Calibri" w:cs="Times New Roman"/>
          <w:noProof/>
          <w:sz w:val="16"/>
          <w:szCs w:val="16"/>
          <w:lang w:val="es-MX" w:eastAsia="es-MX"/>
        </w:rPr>
        <mc:AlternateContent>
          <mc:Choice Requires="wpg">
            <w:drawing>
              <wp:anchor distT="0" distB="0" distL="114300" distR="114300" simplePos="0" relativeHeight="251688960" behindDoc="1" locked="0" layoutInCell="1" allowOverlap="1" wp14:anchorId="1EC4ED1A" wp14:editId="03C8C64E">
                <wp:simplePos x="0" y="0"/>
                <wp:positionH relativeFrom="page">
                  <wp:posOffset>588010</wp:posOffset>
                </wp:positionH>
                <wp:positionV relativeFrom="paragraph">
                  <wp:posOffset>439420</wp:posOffset>
                </wp:positionV>
                <wp:extent cx="1856105" cy="237490"/>
                <wp:effectExtent l="0" t="0" r="3810" b="1270"/>
                <wp:wrapNone/>
                <wp:docPr id="47" name="Grupo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6105" cy="237490"/>
                          <a:chOff x="926" y="692"/>
                          <a:chExt cx="2923" cy="374"/>
                        </a:xfrm>
                      </wpg:grpSpPr>
                      <wps:wsp>
                        <wps:cNvPr id="48" name="Freeform 35"/>
                        <wps:cNvSpPr>
                          <a:spLocks/>
                        </wps:cNvSpPr>
                        <wps:spPr bwMode="auto">
                          <a:xfrm>
                            <a:off x="926" y="692"/>
                            <a:ext cx="2923" cy="374"/>
                          </a:xfrm>
                          <a:custGeom>
                            <a:avLst/>
                            <a:gdLst>
                              <a:gd name="T0" fmla="+- 0 926 926"/>
                              <a:gd name="T1" fmla="*/ T0 w 2923"/>
                              <a:gd name="T2" fmla="+- 0 1066 692"/>
                              <a:gd name="T3" fmla="*/ 1066 h 374"/>
                              <a:gd name="T4" fmla="+- 0 3850 926"/>
                              <a:gd name="T5" fmla="*/ T4 w 2923"/>
                              <a:gd name="T6" fmla="+- 0 1066 692"/>
                              <a:gd name="T7" fmla="*/ 1066 h 374"/>
                              <a:gd name="T8" fmla="+- 0 3850 926"/>
                              <a:gd name="T9" fmla="*/ T8 w 2923"/>
                              <a:gd name="T10" fmla="+- 0 692 692"/>
                              <a:gd name="T11" fmla="*/ 692 h 374"/>
                              <a:gd name="T12" fmla="+- 0 926 926"/>
                              <a:gd name="T13" fmla="*/ T12 w 2923"/>
                              <a:gd name="T14" fmla="+- 0 692 692"/>
                              <a:gd name="T15" fmla="*/ 692 h 374"/>
                              <a:gd name="T16" fmla="+- 0 926 926"/>
                              <a:gd name="T17" fmla="*/ T16 w 2923"/>
                              <a:gd name="T18" fmla="+- 0 1066 692"/>
                              <a:gd name="T19" fmla="*/ 1066 h 374"/>
                            </a:gdLst>
                            <a:ahLst/>
                            <a:cxnLst>
                              <a:cxn ang="0">
                                <a:pos x="T1" y="T3"/>
                              </a:cxn>
                              <a:cxn ang="0">
                                <a:pos x="T5" y="T7"/>
                              </a:cxn>
                              <a:cxn ang="0">
                                <a:pos x="T9" y="T11"/>
                              </a:cxn>
                              <a:cxn ang="0">
                                <a:pos x="T13" y="T15"/>
                              </a:cxn>
                              <a:cxn ang="0">
                                <a:pos x="T17" y="T19"/>
                              </a:cxn>
                            </a:cxnLst>
                            <a:rect l="0" t="0" r="r" b="b"/>
                            <a:pathLst>
                              <a:path w="2923" h="374">
                                <a:moveTo>
                                  <a:pt x="0" y="374"/>
                                </a:moveTo>
                                <a:lnTo>
                                  <a:pt x="2924" y="374"/>
                                </a:lnTo>
                                <a:lnTo>
                                  <a:pt x="2924" y="0"/>
                                </a:lnTo>
                                <a:lnTo>
                                  <a:pt x="0" y="0"/>
                                </a:lnTo>
                                <a:lnTo>
                                  <a:pt x="0" y="37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F649B0" id="Grupo 47" o:spid="_x0000_s1026" style="position:absolute;margin-left:46.3pt;margin-top:34.6pt;width:146.15pt;height:18.7pt;z-index:-251627520;mso-position-horizontal-relative:page" coordorigin="926,692" coordsize="2923,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">
                <v:shape id="Freeform 35" o:spid="_x0000_s1027" style="position:absolute;left:926;top:692;width:2923;height:374;visibility:visible;mso-wrap-style:square;v-text-anchor:top" coordsize="2923,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gYgsIA&#10;AADbAAAADwAAAGRycy9kb3ducmV2LnhtbERPTUsDMRC9C/6HMII3m93aSlmbFpEWpB5aVw96Gzfj&#10;ZnEzWZLYrv++cxA8Pt73cj36Xh0ppi6wgXJSgCJugu24NfD2ur1ZgEoZ2WIfmAz8UoL16vJiiZUN&#10;J36hY51bJSGcKjTgch4qrVPjyGOahIFYuK8QPWaBsdU24knCfa+nRXGnPXYsDQ4HenTUfNc/3sDz&#10;+2bYf8z35U4qtrfxszwsXG/M9dX4cA8q05j/xX/uJ2tgJmPli/wAvT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iBiCwgAAANsAAAAPAAAAAAAAAAAAAAAAAJgCAABkcnMvZG93&#10;bnJldi54bWxQSwUGAAAAAAQABAD1AAAAhwMAAAAA&#10;" path="m,374r2924,l2924,,,,,374e" stroked="f">
                  <v:path arrowok="t" o:connecttype="custom" o:connectlocs="0,1066;2924,1066;2924,692;0,692;0,1066" o:connectangles="0,0,0,0,0"/>
                </v:shape>
                <w10:wrap anchorx="page"/>
              </v:group>
            </w:pict>
          </mc:Fallback>
        </mc:AlternateContent>
      </w:r>
      <w:r w:rsidRPr="006312E8">
        <w:rPr>
          <w:rFonts w:ascii="Calibri" w:eastAsia="Calibri" w:hAnsi="Calibri" w:cs="Times New Roman"/>
          <w:noProof/>
          <w:sz w:val="16"/>
          <w:szCs w:val="16"/>
          <w:lang w:val="es-MX" w:eastAsia="es-MX"/>
        </w:rPr>
        <mc:AlternateContent>
          <mc:Choice Requires="wpg">
            <w:drawing>
              <wp:anchor distT="0" distB="0" distL="114300" distR="114300" simplePos="0" relativeHeight="251689984" behindDoc="1" locked="0" layoutInCell="1" allowOverlap="1" wp14:anchorId="486C593B" wp14:editId="7FA7FD6D">
                <wp:simplePos x="0" y="0"/>
                <wp:positionH relativeFrom="page">
                  <wp:posOffset>2522220</wp:posOffset>
                </wp:positionH>
                <wp:positionV relativeFrom="paragraph">
                  <wp:posOffset>439420</wp:posOffset>
                </wp:positionV>
                <wp:extent cx="4580890" cy="237490"/>
                <wp:effectExtent l="0" t="0" r="2540" b="127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0890" cy="237490"/>
                          <a:chOff x="3972" y="692"/>
                          <a:chExt cx="7214" cy="374"/>
                        </a:xfrm>
                      </wpg:grpSpPr>
                      <wps:wsp>
                        <wps:cNvPr id="46" name="Freeform 37"/>
                        <wps:cNvSpPr>
                          <a:spLocks/>
                        </wps:cNvSpPr>
                        <wps:spPr bwMode="auto">
                          <a:xfrm>
                            <a:off x="3972" y="692"/>
                            <a:ext cx="7214" cy="374"/>
                          </a:xfrm>
                          <a:custGeom>
                            <a:avLst/>
                            <a:gdLst>
                              <a:gd name="T0" fmla="+- 0 3972 3972"/>
                              <a:gd name="T1" fmla="*/ T0 w 7214"/>
                              <a:gd name="T2" fmla="+- 0 1066 692"/>
                              <a:gd name="T3" fmla="*/ 1066 h 374"/>
                              <a:gd name="T4" fmla="+- 0 11186 3972"/>
                              <a:gd name="T5" fmla="*/ T4 w 7214"/>
                              <a:gd name="T6" fmla="+- 0 1066 692"/>
                              <a:gd name="T7" fmla="*/ 1066 h 374"/>
                              <a:gd name="T8" fmla="+- 0 11186 3972"/>
                              <a:gd name="T9" fmla="*/ T8 w 7214"/>
                              <a:gd name="T10" fmla="+- 0 692 692"/>
                              <a:gd name="T11" fmla="*/ 692 h 374"/>
                              <a:gd name="T12" fmla="+- 0 3972 3972"/>
                              <a:gd name="T13" fmla="*/ T12 w 7214"/>
                              <a:gd name="T14" fmla="+- 0 692 692"/>
                              <a:gd name="T15" fmla="*/ 692 h 374"/>
                              <a:gd name="T16" fmla="+- 0 3972 3972"/>
                              <a:gd name="T17" fmla="*/ T16 w 7214"/>
                              <a:gd name="T18" fmla="+- 0 1066 692"/>
                              <a:gd name="T19" fmla="*/ 1066 h 374"/>
                            </a:gdLst>
                            <a:ahLst/>
                            <a:cxnLst>
                              <a:cxn ang="0">
                                <a:pos x="T1" y="T3"/>
                              </a:cxn>
                              <a:cxn ang="0">
                                <a:pos x="T5" y="T7"/>
                              </a:cxn>
                              <a:cxn ang="0">
                                <a:pos x="T9" y="T11"/>
                              </a:cxn>
                              <a:cxn ang="0">
                                <a:pos x="T13" y="T15"/>
                              </a:cxn>
                              <a:cxn ang="0">
                                <a:pos x="T17" y="T19"/>
                              </a:cxn>
                            </a:cxnLst>
                            <a:rect l="0" t="0" r="r" b="b"/>
                            <a:pathLst>
                              <a:path w="7214" h="374">
                                <a:moveTo>
                                  <a:pt x="0" y="374"/>
                                </a:moveTo>
                                <a:lnTo>
                                  <a:pt x="7214" y="374"/>
                                </a:lnTo>
                                <a:lnTo>
                                  <a:pt x="7214" y="0"/>
                                </a:lnTo>
                                <a:lnTo>
                                  <a:pt x="0" y="0"/>
                                </a:lnTo>
                                <a:lnTo>
                                  <a:pt x="0" y="37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A43756" id="Grupo 45" o:spid="_x0000_s1026" style="position:absolute;margin-left:198.6pt;margin-top:34.6pt;width:360.7pt;height:18.7pt;z-index:-251626496;mso-position-horizontal-relative:page" coordorigin="3972,692" coordsize="721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">
                <v:shape id="Freeform 37" o:spid="_x0000_s1027" style="position:absolute;left:3972;top:692;width:7214;height:374;visibility:visible;mso-wrap-style:square;v-text-anchor:top" coordsize="7214,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qhqMUA&#10;AADbAAAADwAAAGRycy9kb3ducmV2LnhtbESP0WrCQBRE3wv9h+UW+lY3TUvQ6ColIKRSH2L7Adfs&#10;NQlm74bsmqR+fbcg+DjMzBlmtZlMKwbqXWNZwessAkFcWt1wpeDne/syB+E8ssbWMin4JQeb9ePD&#10;ClNtRy5oOPhKBAi7FBXU3neplK6syaCb2Y44eCfbG/RB9pXUPY4BbloZR1EiDTYcFmrsKKupPB8u&#10;RsF4fRtsvMji/bk47k7H3PHn8KXU89P0sQThafL38K2dawXvCfx/CT9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iqGoxQAAANsAAAAPAAAAAAAAAAAAAAAAAJgCAABkcnMv&#10;ZG93bnJldi54bWxQSwUGAAAAAAQABAD1AAAAigMAAAAA&#10;" path="m,374r7214,l7214,,,,,374e" stroked="f">
                  <v:path arrowok="t" o:connecttype="custom" o:connectlocs="0,1066;7214,1066;7214,692;0,692;0,1066" o:connectangles="0,0,0,0,0"/>
                </v:shape>
                <w10:wrap anchorx="page"/>
              </v:group>
            </w:pict>
          </mc:Fallback>
        </mc:AlternateContent>
      </w:r>
      <w:r w:rsidRPr="006312E8">
        <w:rPr>
          <w:rFonts w:ascii="Arial Narrow" w:eastAsia="Calibri" w:hAnsi="Arial Narrow" w:cs="Arial"/>
          <w:b/>
          <w:sz w:val="16"/>
          <w:szCs w:val="16"/>
        </w:rPr>
        <w:t>5.1 CARACTERÍSTICAS TOPOGRÁFICAS</w:t>
      </w:r>
    </w:p>
    <w:p w:rsidR="006312E8" w:rsidRPr="006312E8" w:rsidRDefault="006312E8" w:rsidP="006312E8">
      <w:pPr>
        <w:spacing w:before="5" w:after="0" w:line="130" w:lineRule="exact"/>
        <w:rPr>
          <w:rFonts w:ascii="Calibri" w:eastAsia="Calibri" w:hAnsi="Calibri" w:cs="Times New Roman"/>
          <w:sz w:val="13"/>
          <w:szCs w:val="13"/>
          <w:lang w:val="es-E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2"/>
        <w:gridCol w:w="7151"/>
      </w:tblGrid>
      <w:tr w:rsidR="006312E8" w:rsidRPr="006312E8" w:rsidTr="00D04998">
        <w:trPr>
          <w:trHeight w:hRule="exact" w:val="283"/>
        </w:trPr>
        <w:tc>
          <w:tcPr>
            <w:tcW w:w="3022" w:type="dxa"/>
          </w:tcPr>
          <w:p w:rsidR="006312E8" w:rsidRPr="006312E8" w:rsidRDefault="006312E8" w:rsidP="006312E8">
            <w:pPr>
              <w:spacing w:before="42" w:after="0" w:line="240" w:lineRule="auto"/>
              <w:ind w:right="1302"/>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TIPO</w:t>
            </w:r>
          </w:p>
        </w:tc>
        <w:tc>
          <w:tcPr>
            <w:tcW w:w="7151" w:type="dxa"/>
          </w:tcPr>
          <w:p w:rsidR="006312E8" w:rsidRPr="006312E8" w:rsidRDefault="006312E8" w:rsidP="006312E8">
            <w:pPr>
              <w:spacing w:before="42" w:after="0" w:line="240" w:lineRule="auto"/>
              <w:ind w:right="3141"/>
              <w:rPr>
                <w:rFonts w:ascii="Arial Narrow" w:eastAsia="Calibri" w:hAnsi="Arial Narrow" w:cs="Arial Narrow"/>
                <w:b/>
                <w:spacing w:val="1"/>
                <w:sz w:val="14"/>
                <w:szCs w:val="14"/>
                <w:lang w:val="es-ES"/>
              </w:rPr>
            </w:pPr>
            <w:r w:rsidRPr="006312E8">
              <w:rPr>
                <w:rFonts w:ascii="Arial Narrow" w:eastAsia="Calibri" w:hAnsi="Arial Narrow" w:cs="Arial Narrow"/>
                <w:b/>
                <w:spacing w:val="1"/>
                <w:sz w:val="14"/>
                <w:szCs w:val="14"/>
                <w:lang w:val="es-ES"/>
              </w:rPr>
              <w:t>DESCRIPCIÓN</w:t>
            </w:r>
          </w:p>
        </w:tc>
      </w:tr>
      <w:tr w:rsidR="006312E8" w:rsidRPr="006312E8" w:rsidTr="00D04998">
        <w:trPr>
          <w:trHeight w:hRule="exact" w:val="510"/>
        </w:trPr>
        <w:tc>
          <w:tcPr>
            <w:tcW w:w="3022" w:type="dxa"/>
          </w:tcPr>
          <w:p w:rsidR="006312E8" w:rsidRPr="006312E8" w:rsidRDefault="006312E8" w:rsidP="006312E8">
            <w:pPr>
              <w:spacing w:before="37" w:after="0" w:line="240" w:lineRule="auto"/>
              <w:ind w:left="983" w:right="973"/>
              <w:jc w:val="center"/>
              <w:rPr>
                <w:rFonts w:ascii="Arial Narrow" w:eastAsia="Calibri" w:hAnsi="Arial Narrow" w:cs="Arial Narrow"/>
                <w:b/>
                <w:spacing w:val="1"/>
                <w:sz w:val="14"/>
                <w:szCs w:val="14"/>
                <w:lang w:val="es-ES"/>
              </w:rPr>
            </w:pPr>
          </w:p>
          <w:p w:rsidR="006312E8" w:rsidRPr="006312E8" w:rsidRDefault="006312E8" w:rsidP="006312E8">
            <w:pPr>
              <w:spacing w:before="37" w:after="0" w:line="240" w:lineRule="auto"/>
              <w:ind w:left="983" w:right="973"/>
              <w:rPr>
                <w:rFonts w:ascii="Arial Narrow" w:eastAsia="Calibri" w:hAnsi="Arial Narrow" w:cs="Arial Narrow"/>
                <w:b/>
                <w:spacing w:val="1"/>
                <w:sz w:val="14"/>
                <w:szCs w:val="14"/>
                <w:lang w:val="es-ES"/>
              </w:rPr>
            </w:pPr>
          </w:p>
        </w:tc>
        <w:tc>
          <w:tcPr>
            <w:tcW w:w="7151" w:type="dxa"/>
          </w:tcPr>
          <w:p w:rsidR="006312E8" w:rsidRPr="006312E8" w:rsidRDefault="006312E8" w:rsidP="006312E8">
            <w:pPr>
              <w:spacing w:before="37" w:after="0" w:line="240" w:lineRule="auto"/>
              <w:ind w:left="62" w:right="-20"/>
              <w:rPr>
                <w:rFonts w:ascii="Arial Narrow" w:eastAsia="Calibri" w:hAnsi="Arial Narrow" w:cs="Arial Narrow"/>
                <w:b/>
                <w:spacing w:val="1"/>
                <w:sz w:val="14"/>
                <w:szCs w:val="14"/>
                <w:lang w:val="es-ES"/>
              </w:rPr>
            </w:pPr>
          </w:p>
        </w:tc>
      </w:tr>
    </w:tbl>
    <w:p w:rsidR="006312E8" w:rsidRPr="006312E8" w:rsidRDefault="006312E8" w:rsidP="006312E8">
      <w:pPr>
        <w:spacing w:after="0" w:line="200" w:lineRule="exact"/>
        <w:rPr>
          <w:rFonts w:ascii="Calibri" w:eastAsia="Calibri" w:hAnsi="Calibri" w:cs="Times New Roman"/>
          <w:sz w:val="20"/>
          <w:szCs w:val="20"/>
        </w:rPr>
      </w:pPr>
    </w:p>
    <w:p w:rsidR="006312E8" w:rsidRPr="006312E8" w:rsidRDefault="006312E8" w:rsidP="006312E8">
      <w:pPr>
        <w:spacing w:before="40" w:after="0" w:line="181" w:lineRule="exact"/>
        <w:ind w:right="-20"/>
        <w:rPr>
          <w:rFonts w:ascii="Arial Narrow" w:eastAsia="Calibri" w:hAnsi="Arial Narrow" w:cs="Arial"/>
          <w:b/>
          <w:sz w:val="16"/>
          <w:szCs w:val="16"/>
        </w:rPr>
      </w:pPr>
      <w:r w:rsidRPr="006312E8">
        <w:rPr>
          <w:rFonts w:ascii="Calibri" w:eastAsia="Calibri" w:hAnsi="Calibri" w:cs="Times New Roman"/>
          <w:noProof/>
          <w:sz w:val="16"/>
          <w:szCs w:val="16"/>
          <w:lang w:val="es-MX" w:eastAsia="es-MX"/>
        </w:rPr>
        <mc:AlternateContent>
          <mc:Choice Requires="wpg">
            <w:drawing>
              <wp:anchor distT="0" distB="0" distL="114300" distR="114300" simplePos="0" relativeHeight="251691008" behindDoc="1" locked="0" layoutInCell="1" allowOverlap="1" wp14:anchorId="6AB24C5C" wp14:editId="552858BC">
                <wp:simplePos x="0" y="0"/>
                <wp:positionH relativeFrom="page">
                  <wp:posOffset>588010</wp:posOffset>
                </wp:positionH>
                <wp:positionV relativeFrom="paragraph">
                  <wp:posOffset>448310</wp:posOffset>
                </wp:positionV>
                <wp:extent cx="1856105" cy="237490"/>
                <wp:effectExtent l="0" t="4445" r="3810" b="0"/>
                <wp:wrapNone/>
                <wp:docPr id="43" name="Grupo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6105" cy="237490"/>
                          <a:chOff x="926" y="706"/>
                          <a:chExt cx="2923" cy="374"/>
                        </a:xfrm>
                      </wpg:grpSpPr>
                      <wps:wsp>
                        <wps:cNvPr id="44" name="Freeform 39"/>
                        <wps:cNvSpPr>
                          <a:spLocks/>
                        </wps:cNvSpPr>
                        <wps:spPr bwMode="auto">
                          <a:xfrm>
                            <a:off x="926" y="706"/>
                            <a:ext cx="2923" cy="374"/>
                          </a:xfrm>
                          <a:custGeom>
                            <a:avLst/>
                            <a:gdLst>
                              <a:gd name="T0" fmla="+- 0 926 926"/>
                              <a:gd name="T1" fmla="*/ T0 w 2923"/>
                              <a:gd name="T2" fmla="+- 0 1080 706"/>
                              <a:gd name="T3" fmla="*/ 1080 h 374"/>
                              <a:gd name="T4" fmla="+- 0 3850 926"/>
                              <a:gd name="T5" fmla="*/ T4 w 2923"/>
                              <a:gd name="T6" fmla="+- 0 1080 706"/>
                              <a:gd name="T7" fmla="*/ 1080 h 374"/>
                              <a:gd name="T8" fmla="+- 0 3850 926"/>
                              <a:gd name="T9" fmla="*/ T8 w 2923"/>
                              <a:gd name="T10" fmla="+- 0 706 706"/>
                              <a:gd name="T11" fmla="*/ 706 h 374"/>
                              <a:gd name="T12" fmla="+- 0 926 926"/>
                              <a:gd name="T13" fmla="*/ T12 w 2923"/>
                              <a:gd name="T14" fmla="+- 0 706 706"/>
                              <a:gd name="T15" fmla="*/ 706 h 374"/>
                              <a:gd name="T16" fmla="+- 0 926 926"/>
                              <a:gd name="T17" fmla="*/ T16 w 2923"/>
                              <a:gd name="T18" fmla="+- 0 1080 706"/>
                              <a:gd name="T19" fmla="*/ 1080 h 374"/>
                            </a:gdLst>
                            <a:ahLst/>
                            <a:cxnLst>
                              <a:cxn ang="0">
                                <a:pos x="T1" y="T3"/>
                              </a:cxn>
                              <a:cxn ang="0">
                                <a:pos x="T5" y="T7"/>
                              </a:cxn>
                              <a:cxn ang="0">
                                <a:pos x="T9" y="T11"/>
                              </a:cxn>
                              <a:cxn ang="0">
                                <a:pos x="T13" y="T15"/>
                              </a:cxn>
                              <a:cxn ang="0">
                                <a:pos x="T17" y="T19"/>
                              </a:cxn>
                            </a:cxnLst>
                            <a:rect l="0" t="0" r="r" b="b"/>
                            <a:pathLst>
                              <a:path w="2923" h="374">
                                <a:moveTo>
                                  <a:pt x="0" y="374"/>
                                </a:moveTo>
                                <a:lnTo>
                                  <a:pt x="2924" y="374"/>
                                </a:lnTo>
                                <a:lnTo>
                                  <a:pt x="2924" y="0"/>
                                </a:lnTo>
                                <a:lnTo>
                                  <a:pt x="0" y="0"/>
                                </a:lnTo>
                                <a:lnTo>
                                  <a:pt x="0" y="37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BF73BD" id="Grupo 43" o:spid="_x0000_s1026" style="position:absolute;margin-left:46.3pt;margin-top:35.3pt;width:146.15pt;height:18.7pt;z-index:-251625472;mso-position-horizontal-relative:page" coordorigin="926,706" coordsize="2923,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">
                <v:shape id="Freeform 39" o:spid="_x0000_s1027" style="position:absolute;left:926;top:706;width:2923;height:374;visibility:visible;mso-wrap-style:square;v-text-anchor:top" coordsize="2923,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USh8QA&#10;AADbAAAADwAAAGRycy9kb3ducmV2LnhtbESPzWoCMRSF9wXfIdxCd5qZ1hYZjSJSQepCa7vQ3XVy&#10;Oxmc3AxJ1Onbm4LQ5eH8fJzJrLONuJAPtWMF+SADQVw6XXOl4Ptr2R+BCBFZY+OYFPxSgNm09zDB&#10;Qrsrf9JlFyuRRjgUqMDE2BZShtKQxTBwLXHyfpy3GJP0ldQer2ncNvI5y96kxZoTwWBLC0PlaXe2&#10;Ctb793ZzeN3kHwmxfPHHfDsyjVJPj918DCJSF//D9/ZKKxgO4e9L+gF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FEofEAAAA2wAAAA8AAAAAAAAAAAAAAAAAmAIAAGRycy9k&#10;b3ducmV2LnhtbFBLBQYAAAAABAAEAPUAAACJAwAAAAA=&#10;" path="m,374r2924,l2924,,,,,374e" stroked="f">
                  <v:path arrowok="t" o:connecttype="custom" o:connectlocs="0,1080;2924,1080;2924,706;0,706;0,1080" o:connectangles="0,0,0,0,0"/>
                </v:shape>
                <w10:wrap anchorx="page"/>
              </v:group>
            </w:pict>
          </mc:Fallback>
        </mc:AlternateContent>
      </w:r>
      <w:r w:rsidRPr="006312E8">
        <w:rPr>
          <w:rFonts w:ascii="Calibri" w:eastAsia="Calibri" w:hAnsi="Calibri" w:cs="Times New Roman"/>
          <w:noProof/>
          <w:sz w:val="16"/>
          <w:szCs w:val="16"/>
          <w:lang w:val="es-MX" w:eastAsia="es-MX"/>
        </w:rPr>
        <mc:AlternateContent>
          <mc:Choice Requires="wpg">
            <w:drawing>
              <wp:anchor distT="0" distB="0" distL="114300" distR="114300" simplePos="0" relativeHeight="251692032" behindDoc="1" locked="0" layoutInCell="1" allowOverlap="1" wp14:anchorId="07E1130B" wp14:editId="60A4524E">
                <wp:simplePos x="0" y="0"/>
                <wp:positionH relativeFrom="page">
                  <wp:posOffset>2522220</wp:posOffset>
                </wp:positionH>
                <wp:positionV relativeFrom="paragraph">
                  <wp:posOffset>448310</wp:posOffset>
                </wp:positionV>
                <wp:extent cx="4580890" cy="237490"/>
                <wp:effectExtent l="0" t="4445" r="2540" b="0"/>
                <wp:wrapNone/>
                <wp:docPr id="41" name="Grupo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0890" cy="237490"/>
                          <a:chOff x="3972" y="706"/>
                          <a:chExt cx="7214" cy="374"/>
                        </a:xfrm>
                      </wpg:grpSpPr>
                      <wps:wsp>
                        <wps:cNvPr id="42" name="Freeform 41"/>
                        <wps:cNvSpPr>
                          <a:spLocks/>
                        </wps:cNvSpPr>
                        <wps:spPr bwMode="auto">
                          <a:xfrm>
                            <a:off x="3972" y="706"/>
                            <a:ext cx="7214" cy="374"/>
                          </a:xfrm>
                          <a:custGeom>
                            <a:avLst/>
                            <a:gdLst>
                              <a:gd name="T0" fmla="+- 0 3972 3972"/>
                              <a:gd name="T1" fmla="*/ T0 w 7214"/>
                              <a:gd name="T2" fmla="+- 0 1080 706"/>
                              <a:gd name="T3" fmla="*/ 1080 h 374"/>
                              <a:gd name="T4" fmla="+- 0 11186 3972"/>
                              <a:gd name="T5" fmla="*/ T4 w 7214"/>
                              <a:gd name="T6" fmla="+- 0 1080 706"/>
                              <a:gd name="T7" fmla="*/ 1080 h 374"/>
                              <a:gd name="T8" fmla="+- 0 11186 3972"/>
                              <a:gd name="T9" fmla="*/ T8 w 7214"/>
                              <a:gd name="T10" fmla="+- 0 706 706"/>
                              <a:gd name="T11" fmla="*/ 706 h 374"/>
                              <a:gd name="T12" fmla="+- 0 3972 3972"/>
                              <a:gd name="T13" fmla="*/ T12 w 7214"/>
                              <a:gd name="T14" fmla="+- 0 706 706"/>
                              <a:gd name="T15" fmla="*/ 706 h 374"/>
                              <a:gd name="T16" fmla="+- 0 3972 3972"/>
                              <a:gd name="T17" fmla="*/ T16 w 7214"/>
                              <a:gd name="T18" fmla="+- 0 1080 706"/>
                              <a:gd name="T19" fmla="*/ 1080 h 374"/>
                            </a:gdLst>
                            <a:ahLst/>
                            <a:cxnLst>
                              <a:cxn ang="0">
                                <a:pos x="T1" y="T3"/>
                              </a:cxn>
                              <a:cxn ang="0">
                                <a:pos x="T5" y="T7"/>
                              </a:cxn>
                              <a:cxn ang="0">
                                <a:pos x="T9" y="T11"/>
                              </a:cxn>
                              <a:cxn ang="0">
                                <a:pos x="T13" y="T15"/>
                              </a:cxn>
                              <a:cxn ang="0">
                                <a:pos x="T17" y="T19"/>
                              </a:cxn>
                            </a:cxnLst>
                            <a:rect l="0" t="0" r="r" b="b"/>
                            <a:pathLst>
                              <a:path w="7214" h="374">
                                <a:moveTo>
                                  <a:pt x="0" y="374"/>
                                </a:moveTo>
                                <a:lnTo>
                                  <a:pt x="7214" y="374"/>
                                </a:lnTo>
                                <a:lnTo>
                                  <a:pt x="7214" y="0"/>
                                </a:lnTo>
                                <a:lnTo>
                                  <a:pt x="0" y="0"/>
                                </a:lnTo>
                                <a:lnTo>
                                  <a:pt x="0" y="37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1BD7CF" id="Grupo 41" o:spid="_x0000_s1026" style="position:absolute;margin-left:198.6pt;margin-top:35.3pt;width:360.7pt;height:18.7pt;z-index:-251624448;mso-position-horizontal-relative:page" coordorigin="3972,706" coordsize="721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">
                <v:shape id="Freeform 41" o:spid="_x0000_s1027" style="position:absolute;left:3972;top:706;width:7214;height:374;visibility:visible;mso-wrap-style:square;v-text-anchor:top" coordsize="7214,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Gnq8MA&#10;AADbAAAADwAAAGRycy9kb3ducmV2LnhtbESP0YrCMBRE34X9h3AXfNPUKrJbjSKCoKIPuvsB1+ba&#10;Fpub0sS2u19vBMHHYWbOMPNlZ0rRUO0KywpGwwgEcWp1wZmC35/N4AuE88gaS8uk4I8cLBcfvTkm&#10;2rZ8oubsMxEg7BJUkHtfJVK6NCeDbmgr4uBdbW3QB1lnUtfYBrgpZRxFU2mw4LCQY0XrnNLb+W4U&#10;tP/jxsbf6/h4O13218vW8a45KNX/7FYzEJ46/w6/2lutYBLD80v4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7Gnq8MAAADbAAAADwAAAAAAAAAAAAAAAACYAgAAZHJzL2Rv&#10;d25yZXYueG1sUEsFBgAAAAAEAAQA9QAAAIgDAAAAAA==&#10;" path="m,374r7214,l7214,,,,,374e" stroked="f">
                  <v:path arrowok="t" o:connecttype="custom" o:connectlocs="0,1080;7214,1080;7214,706;0,706;0,1080" o:connectangles="0,0,0,0,0"/>
                </v:shape>
                <w10:wrap anchorx="page"/>
              </v:group>
            </w:pict>
          </mc:Fallback>
        </mc:AlternateContent>
      </w:r>
      <w:r w:rsidRPr="006312E8">
        <w:rPr>
          <w:rFonts w:ascii="Arial Narrow" w:eastAsia="Calibri" w:hAnsi="Arial Narrow" w:cs="Arial"/>
          <w:b/>
          <w:sz w:val="16"/>
          <w:szCs w:val="16"/>
        </w:rPr>
        <w:t>5.2 CARACTERÍSTICAS DE LOS SUELOS</w:t>
      </w:r>
    </w:p>
    <w:p w:rsidR="006312E8" w:rsidRPr="006312E8" w:rsidRDefault="006312E8" w:rsidP="006312E8">
      <w:pPr>
        <w:spacing w:before="5" w:after="0" w:line="130" w:lineRule="exact"/>
        <w:rPr>
          <w:rFonts w:ascii="Calibri" w:eastAsia="Calibri" w:hAnsi="Calibri" w:cs="Times New Roman"/>
          <w:sz w:val="13"/>
          <w:szCs w:val="13"/>
          <w:lang w:val="es-E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2"/>
        <w:gridCol w:w="7151"/>
      </w:tblGrid>
      <w:tr w:rsidR="006312E8" w:rsidRPr="006312E8" w:rsidTr="00D04998">
        <w:trPr>
          <w:trHeight w:hRule="exact" w:val="249"/>
        </w:trPr>
        <w:tc>
          <w:tcPr>
            <w:tcW w:w="3022" w:type="dxa"/>
          </w:tcPr>
          <w:p w:rsidR="006312E8" w:rsidRPr="006312E8" w:rsidRDefault="006312E8" w:rsidP="006312E8">
            <w:pPr>
              <w:spacing w:before="42" w:after="0" w:line="240" w:lineRule="auto"/>
              <w:ind w:right="1302"/>
              <w:rPr>
                <w:rFonts w:ascii="Arial Narrow" w:eastAsia="Calibri" w:hAnsi="Arial Narrow" w:cs="Arial Narrow"/>
                <w:b/>
                <w:sz w:val="14"/>
                <w:szCs w:val="14"/>
                <w:lang w:val="es-ES"/>
              </w:rPr>
            </w:pPr>
            <w:r w:rsidRPr="006312E8">
              <w:rPr>
                <w:rFonts w:ascii="Arial Narrow" w:eastAsia="Calibri" w:hAnsi="Arial Narrow" w:cs="Arial Narrow"/>
                <w:b/>
                <w:sz w:val="14"/>
                <w:szCs w:val="14"/>
                <w:lang w:val="es-ES"/>
              </w:rPr>
              <w:t>TIPO</w:t>
            </w:r>
          </w:p>
        </w:tc>
        <w:tc>
          <w:tcPr>
            <w:tcW w:w="7151" w:type="dxa"/>
          </w:tcPr>
          <w:p w:rsidR="006312E8" w:rsidRPr="006312E8" w:rsidRDefault="006312E8" w:rsidP="006312E8">
            <w:pPr>
              <w:spacing w:before="42" w:after="0" w:line="240" w:lineRule="auto"/>
              <w:ind w:right="3141"/>
              <w:rPr>
                <w:rFonts w:ascii="Arial Narrow" w:eastAsia="Calibri" w:hAnsi="Arial Narrow" w:cs="Arial Narrow"/>
                <w:b/>
                <w:sz w:val="14"/>
                <w:szCs w:val="14"/>
                <w:lang w:val="es-ES"/>
              </w:rPr>
            </w:pPr>
            <w:r w:rsidRPr="006312E8">
              <w:rPr>
                <w:rFonts w:ascii="Arial Narrow" w:eastAsia="Calibri" w:hAnsi="Arial Narrow" w:cs="Arial Narrow"/>
                <w:b/>
                <w:spacing w:val="1"/>
                <w:sz w:val="14"/>
                <w:szCs w:val="14"/>
                <w:lang w:val="es-ES"/>
              </w:rPr>
              <w:t>DESCR</w:t>
            </w:r>
            <w:r w:rsidRPr="006312E8">
              <w:rPr>
                <w:rFonts w:ascii="Arial Narrow" w:eastAsia="Calibri" w:hAnsi="Arial Narrow" w:cs="Arial Narrow"/>
                <w:b/>
                <w:spacing w:val="-1"/>
                <w:sz w:val="14"/>
                <w:szCs w:val="14"/>
                <w:lang w:val="es-ES"/>
              </w:rPr>
              <w:t>I</w:t>
            </w:r>
            <w:r w:rsidRPr="006312E8">
              <w:rPr>
                <w:rFonts w:ascii="Arial Narrow" w:eastAsia="Calibri" w:hAnsi="Arial Narrow" w:cs="Arial Narrow"/>
                <w:b/>
                <w:spacing w:val="1"/>
                <w:sz w:val="14"/>
                <w:szCs w:val="14"/>
                <w:lang w:val="es-ES"/>
              </w:rPr>
              <w:t>PC</w:t>
            </w:r>
            <w:r w:rsidRPr="006312E8">
              <w:rPr>
                <w:rFonts w:ascii="Arial Narrow" w:eastAsia="Calibri" w:hAnsi="Arial Narrow" w:cs="Arial Narrow"/>
                <w:b/>
                <w:spacing w:val="-1"/>
                <w:sz w:val="14"/>
                <w:szCs w:val="14"/>
                <w:lang w:val="es-ES"/>
              </w:rPr>
              <w:t>I</w:t>
            </w:r>
            <w:r w:rsidRPr="006312E8">
              <w:rPr>
                <w:rFonts w:ascii="Arial Narrow" w:eastAsia="Calibri" w:hAnsi="Arial Narrow" w:cs="Arial Narrow"/>
                <w:b/>
                <w:spacing w:val="1"/>
                <w:sz w:val="14"/>
                <w:szCs w:val="14"/>
                <w:lang w:val="es-ES"/>
              </w:rPr>
              <w:t>Ó</w:t>
            </w:r>
            <w:r w:rsidRPr="006312E8">
              <w:rPr>
                <w:rFonts w:ascii="Arial Narrow" w:eastAsia="Calibri" w:hAnsi="Arial Narrow" w:cs="Arial Narrow"/>
                <w:b/>
                <w:sz w:val="14"/>
                <w:szCs w:val="14"/>
                <w:lang w:val="es-ES"/>
              </w:rPr>
              <w:t>N</w:t>
            </w:r>
          </w:p>
        </w:tc>
      </w:tr>
      <w:tr w:rsidR="006312E8" w:rsidRPr="006312E8" w:rsidTr="00D04998">
        <w:trPr>
          <w:trHeight w:hRule="exact" w:val="472"/>
        </w:trPr>
        <w:tc>
          <w:tcPr>
            <w:tcW w:w="3022" w:type="dxa"/>
          </w:tcPr>
          <w:p w:rsidR="006312E8" w:rsidRPr="006312E8" w:rsidRDefault="006312E8" w:rsidP="006312E8">
            <w:pPr>
              <w:spacing w:before="44" w:after="0" w:line="240" w:lineRule="auto"/>
              <w:ind w:left="1086" w:right="1077"/>
              <w:jc w:val="center"/>
              <w:rPr>
                <w:rFonts w:ascii="Arial Narrow" w:eastAsia="Calibri" w:hAnsi="Arial Narrow" w:cs="Arial Narrow"/>
                <w:b/>
                <w:sz w:val="14"/>
                <w:szCs w:val="14"/>
                <w:lang w:val="es-ES"/>
              </w:rPr>
            </w:pPr>
          </w:p>
        </w:tc>
        <w:tc>
          <w:tcPr>
            <w:tcW w:w="7151" w:type="dxa"/>
          </w:tcPr>
          <w:p w:rsidR="006312E8" w:rsidRPr="006312E8" w:rsidRDefault="006312E8" w:rsidP="006312E8">
            <w:pPr>
              <w:spacing w:before="44" w:after="0" w:line="240" w:lineRule="auto"/>
              <w:ind w:left="62" w:right="-20"/>
              <w:rPr>
                <w:rFonts w:ascii="Arial Narrow" w:eastAsia="Calibri" w:hAnsi="Arial Narrow" w:cs="Arial Narrow"/>
                <w:b/>
                <w:sz w:val="14"/>
                <w:szCs w:val="14"/>
                <w:lang w:val="es-ES"/>
              </w:rPr>
            </w:pPr>
          </w:p>
        </w:tc>
      </w:tr>
    </w:tbl>
    <w:p w:rsidR="006312E8" w:rsidRPr="006312E8" w:rsidRDefault="006312E8" w:rsidP="006312E8">
      <w:pPr>
        <w:tabs>
          <w:tab w:val="left" w:pos="620"/>
        </w:tabs>
        <w:spacing w:after="0" w:line="240" w:lineRule="auto"/>
        <w:ind w:right="-20"/>
        <w:rPr>
          <w:rFonts w:ascii="Arial Narrow" w:eastAsia="Calibri" w:hAnsi="Arial Narrow" w:cs="Times New Roman"/>
          <w:sz w:val="20"/>
          <w:szCs w:val="20"/>
          <w:lang w:val="es-ES"/>
        </w:rPr>
      </w:pPr>
    </w:p>
    <w:p w:rsidR="006312E8" w:rsidRPr="006312E8" w:rsidRDefault="006312E8" w:rsidP="006312E8">
      <w:pPr>
        <w:spacing w:before="40" w:after="0" w:line="181" w:lineRule="exact"/>
        <w:ind w:right="-20"/>
        <w:outlineLvl w:val="0"/>
        <w:rPr>
          <w:rFonts w:ascii="Arial Narrow" w:eastAsia="Calibri" w:hAnsi="Arial Narrow" w:cs="Arial"/>
          <w:b/>
          <w:sz w:val="16"/>
          <w:szCs w:val="16"/>
        </w:rPr>
      </w:pPr>
      <w:r w:rsidRPr="006312E8">
        <w:rPr>
          <w:rFonts w:ascii="Calibri" w:eastAsia="Calibri" w:hAnsi="Calibri" w:cs="Times New Roman"/>
          <w:noProof/>
          <w:sz w:val="16"/>
          <w:szCs w:val="16"/>
          <w:lang w:val="es-MX" w:eastAsia="es-MX"/>
        </w:rPr>
        <mc:AlternateContent>
          <mc:Choice Requires="wpg">
            <w:drawing>
              <wp:anchor distT="0" distB="0" distL="114300" distR="114300" simplePos="0" relativeHeight="251693056" behindDoc="1" locked="0" layoutInCell="1" allowOverlap="1" wp14:anchorId="1AF654DA" wp14:editId="7721F2DA">
                <wp:simplePos x="0" y="0"/>
                <wp:positionH relativeFrom="page">
                  <wp:posOffset>588010</wp:posOffset>
                </wp:positionH>
                <wp:positionV relativeFrom="paragraph">
                  <wp:posOffset>259080</wp:posOffset>
                </wp:positionV>
                <wp:extent cx="1028700" cy="123190"/>
                <wp:effectExtent l="0" t="3810" r="2540" b="0"/>
                <wp:wrapNone/>
                <wp:docPr id="39" name="Grupo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123190"/>
                          <a:chOff x="926" y="408"/>
                          <a:chExt cx="1620" cy="194"/>
                        </a:xfrm>
                      </wpg:grpSpPr>
                      <wps:wsp>
                        <wps:cNvPr id="40" name="Freeform 43"/>
                        <wps:cNvSpPr>
                          <a:spLocks/>
                        </wps:cNvSpPr>
                        <wps:spPr bwMode="auto">
                          <a:xfrm>
                            <a:off x="926" y="408"/>
                            <a:ext cx="1620" cy="194"/>
                          </a:xfrm>
                          <a:custGeom>
                            <a:avLst/>
                            <a:gdLst>
                              <a:gd name="T0" fmla="+- 0 926 926"/>
                              <a:gd name="T1" fmla="*/ T0 w 1620"/>
                              <a:gd name="T2" fmla="+- 0 603 408"/>
                              <a:gd name="T3" fmla="*/ 603 h 194"/>
                              <a:gd name="T4" fmla="+- 0 2546 926"/>
                              <a:gd name="T5" fmla="*/ T4 w 1620"/>
                              <a:gd name="T6" fmla="+- 0 603 408"/>
                              <a:gd name="T7" fmla="*/ 603 h 194"/>
                              <a:gd name="T8" fmla="+- 0 2546 926"/>
                              <a:gd name="T9" fmla="*/ T8 w 1620"/>
                              <a:gd name="T10" fmla="+- 0 408 408"/>
                              <a:gd name="T11" fmla="*/ 408 h 194"/>
                              <a:gd name="T12" fmla="+- 0 926 926"/>
                              <a:gd name="T13" fmla="*/ T12 w 1620"/>
                              <a:gd name="T14" fmla="+- 0 408 408"/>
                              <a:gd name="T15" fmla="*/ 408 h 194"/>
                              <a:gd name="T16" fmla="+- 0 926 926"/>
                              <a:gd name="T17" fmla="*/ T16 w 1620"/>
                              <a:gd name="T18" fmla="+- 0 603 408"/>
                              <a:gd name="T19" fmla="*/ 603 h 194"/>
                            </a:gdLst>
                            <a:ahLst/>
                            <a:cxnLst>
                              <a:cxn ang="0">
                                <a:pos x="T1" y="T3"/>
                              </a:cxn>
                              <a:cxn ang="0">
                                <a:pos x="T5" y="T7"/>
                              </a:cxn>
                              <a:cxn ang="0">
                                <a:pos x="T9" y="T11"/>
                              </a:cxn>
                              <a:cxn ang="0">
                                <a:pos x="T13" y="T15"/>
                              </a:cxn>
                              <a:cxn ang="0">
                                <a:pos x="T17" y="T19"/>
                              </a:cxn>
                            </a:cxnLst>
                            <a:rect l="0" t="0" r="r" b="b"/>
                            <a:pathLst>
                              <a:path w="1620" h="194">
                                <a:moveTo>
                                  <a:pt x="0" y="195"/>
                                </a:moveTo>
                                <a:lnTo>
                                  <a:pt x="1620" y="195"/>
                                </a:lnTo>
                                <a:lnTo>
                                  <a:pt x="1620" y="0"/>
                                </a:lnTo>
                                <a:lnTo>
                                  <a:pt x="0" y="0"/>
                                </a:lnTo>
                                <a:lnTo>
                                  <a:pt x="0" y="19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5792DB" id="Grupo 39" o:spid="_x0000_s1026" style="position:absolute;margin-left:46.3pt;margin-top:20.4pt;width:81pt;height:9.7pt;z-index:-251623424;mso-position-horizontal-relative:page" coordorigin="926,408" coordsize="1620,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">
                <v:shape id="Freeform 43" o:spid="_x0000_s1027" style="position:absolute;left:926;top:408;width:1620;height:194;visibility:visible;mso-wrap-style:square;v-text-anchor:top" coordsize="1620,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jwNcEA&#10;AADbAAAADwAAAGRycy9kb3ducmV2LnhtbERPz2vCMBS+C/sfwhvspumGDFdNyzY2EHbSTrw+m2db&#10;17yUJGurf705CB4/vt+rfDSt6Mn5xrKC51kCgri0uuFKwW/xPV2A8AFZY2uZFJzJQ549TFaYajvw&#10;hvptqEQMYZ+igjqELpXSlzUZ9DPbEUfuaJ3BEKGrpHY4xHDTypckeZUGG44NNXb0WVP5t/03Cj76&#10;Qtvj8HP5WrSnYsfzw/5t75R6ehzflyACjeEuvrnXWsE8ro9f4g+Q2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3Y8DXBAAAA2wAAAA8AAAAAAAAAAAAAAAAAmAIAAGRycy9kb3du&#10;cmV2LnhtbFBLBQYAAAAABAAEAPUAAACGAwAAAAA=&#10;" path="m,195r1620,l1620,,,,,195e" stroked="f">
                  <v:path arrowok="t" o:connecttype="custom" o:connectlocs="0,603;1620,603;1620,408;0,408;0,603" o:connectangles="0,0,0,0,0"/>
                </v:shape>
                <w10:wrap anchorx="page"/>
              </v:group>
            </w:pict>
          </mc:Fallback>
        </mc:AlternateContent>
      </w:r>
      <w:r w:rsidRPr="006312E8">
        <w:rPr>
          <w:rFonts w:ascii="Calibri" w:eastAsia="Calibri" w:hAnsi="Calibri" w:cs="Times New Roman"/>
          <w:noProof/>
          <w:sz w:val="16"/>
          <w:szCs w:val="16"/>
          <w:lang w:val="es-MX" w:eastAsia="es-MX"/>
        </w:rPr>
        <mc:AlternateContent>
          <mc:Choice Requires="wpg">
            <w:drawing>
              <wp:anchor distT="0" distB="0" distL="114300" distR="114300" simplePos="0" relativeHeight="251694080" behindDoc="1" locked="0" layoutInCell="1" allowOverlap="1" wp14:anchorId="6C6E9638" wp14:editId="6985DA74">
                <wp:simplePos x="0" y="0"/>
                <wp:positionH relativeFrom="page">
                  <wp:posOffset>1684020</wp:posOffset>
                </wp:positionH>
                <wp:positionV relativeFrom="paragraph">
                  <wp:posOffset>259080</wp:posOffset>
                </wp:positionV>
                <wp:extent cx="847090" cy="123190"/>
                <wp:effectExtent l="0" t="3810" r="2540" b="0"/>
                <wp:wrapNone/>
                <wp:docPr id="37" name="Grupo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7090" cy="123190"/>
                          <a:chOff x="2652" y="408"/>
                          <a:chExt cx="1334" cy="194"/>
                        </a:xfrm>
                      </wpg:grpSpPr>
                      <wps:wsp>
                        <wps:cNvPr id="38" name="Freeform 45"/>
                        <wps:cNvSpPr>
                          <a:spLocks/>
                        </wps:cNvSpPr>
                        <wps:spPr bwMode="auto">
                          <a:xfrm>
                            <a:off x="2652" y="408"/>
                            <a:ext cx="1334" cy="194"/>
                          </a:xfrm>
                          <a:custGeom>
                            <a:avLst/>
                            <a:gdLst>
                              <a:gd name="T0" fmla="+- 0 2652 2652"/>
                              <a:gd name="T1" fmla="*/ T0 w 1334"/>
                              <a:gd name="T2" fmla="+- 0 603 408"/>
                              <a:gd name="T3" fmla="*/ 603 h 194"/>
                              <a:gd name="T4" fmla="+- 0 3986 2652"/>
                              <a:gd name="T5" fmla="*/ T4 w 1334"/>
                              <a:gd name="T6" fmla="+- 0 603 408"/>
                              <a:gd name="T7" fmla="*/ 603 h 194"/>
                              <a:gd name="T8" fmla="+- 0 3986 2652"/>
                              <a:gd name="T9" fmla="*/ T8 w 1334"/>
                              <a:gd name="T10" fmla="+- 0 408 408"/>
                              <a:gd name="T11" fmla="*/ 408 h 194"/>
                              <a:gd name="T12" fmla="+- 0 2652 2652"/>
                              <a:gd name="T13" fmla="*/ T12 w 1334"/>
                              <a:gd name="T14" fmla="+- 0 408 408"/>
                              <a:gd name="T15" fmla="*/ 408 h 194"/>
                              <a:gd name="T16" fmla="+- 0 2652 2652"/>
                              <a:gd name="T17" fmla="*/ T16 w 1334"/>
                              <a:gd name="T18" fmla="+- 0 603 408"/>
                              <a:gd name="T19" fmla="*/ 603 h 194"/>
                            </a:gdLst>
                            <a:ahLst/>
                            <a:cxnLst>
                              <a:cxn ang="0">
                                <a:pos x="T1" y="T3"/>
                              </a:cxn>
                              <a:cxn ang="0">
                                <a:pos x="T5" y="T7"/>
                              </a:cxn>
                              <a:cxn ang="0">
                                <a:pos x="T9" y="T11"/>
                              </a:cxn>
                              <a:cxn ang="0">
                                <a:pos x="T13" y="T15"/>
                              </a:cxn>
                              <a:cxn ang="0">
                                <a:pos x="T17" y="T19"/>
                              </a:cxn>
                            </a:cxnLst>
                            <a:rect l="0" t="0" r="r" b="b"/>
                            <a:pathLst>
                              <a:path w="1334" h="194">
                                <a:moveTo>
                                  <a:pt x="0" y="195"/>
                                </a:moveTo>
                                <a:lnTo>
                                  <a:pt x="1334" y="195"/>
                                </a:lnTo>
                                <a:lnTo>
                                  <a:pt x="1334" y="0"/>
                                </a:lnTo>
                                <a:lnTo>
                                  <a:pt x="0" y="0"/>
                                </a:lnTo>
                                <a:lnTo>
                                  <a:pt x="0" y="19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8E7224" id="Grupo 37" o:spid="_x0000_s1026" style="position:absolute;margin-left:132.6pt;margin-top:20.4pt;width:66.7pt;height:9.7pt;z-index:-251622400;mso-position-horizontal-relative:page" coordorigin="2652,408" coordsize="1334,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">
                <v:shape id="Freeform 45" o:spid="_x0000_s1027" style="position:absolute;left:2652;top:408;width:1334;height:194;visibility:visible;mso-wrap-style:square;v-text-anchor:top" coordsize="1334,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Hr1sAA&#10;AADbAAAADwAAAGRycy9kb3ducmV2LnhtbERPy4rCMBTdC/MP4Q64kTGt4oOOsYyCIIhQdT7g2txp&#10;yzQ3pYm2/r1ZCC4P571Ke1OLO7WusqwgHkcgiHOrKy4U/F52X0sQziNrrC2Tggc5SNcfgxUm2nZ8&#10;ovvZFyKEsEtQQel9k0jp8pIMurFtiAP3Z1uDPsC2kLrFLoSbWk6iaC4NVhwaSmxoW1L+f74ZBdLz&#10;pTOjOJtlh0XT7+2CjpurUsPP/ucbhKfev8Uv914rmIax4Uv4AXL9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cHr1sAAAADbAAAADwAAAAAAAAAAAAAAAACYAgAAZHJzL2Rvd25y&#10;ZXYueG1sUEsFBgAAAAAEAAQA9QAAAIUDAAAAAA==&#10;" path="m,195r1334,l1334,,,,,195e" stroked="f">
                  <v:path arrowok="t" o:connecttype="custom" o:connectlocs="0,603;1334,603;1334,408;0,408;0,603" o:connectangles="0,0,0,0,0"/>
                </v:shape>
                <w10:wrap anchorx="page"/>
              </v:group>
            </w:pict>
          </mc:Fallback>
        </mc:AlternateContent>
      </w:r>
      <w:r w:rsidRPr="006312E8">
        <w:rPr>
          <w:rFonts w:ascii="Calibri" w:eastAsia="Calibri" w:hAnsi="Calibri" w:cs="Times New Roman"/>
          <w:noProof/>
          <w:sz w:val="16"/>
          <w:szCs w:val="16"/>
          <w:lang w:val="es-MX" w:eastAsia="es-MX"/>
        </w:rPr>
        <mc:AlternateContent>
          <mc:Choice Requires="wpg">
            <w:drawing>
              <wp:anchor distT="0" distB="0" distL="114300" distR="114300" simplePos="0" relativeHeight="251695104" behindDoc="1" locked="0" layoutInCell="1" allowOverlap="1" wp14:anchorId="4F1A7493" wp14:editId="44F6FC7A">
                <wp:simplePos x="0" y="0"/>
                <wp:positionH relativeFrom="page">
                  <wp:posOffset>2598420</wp:posOffset>
                </wp:positionH>
                <wp:positionV relativeFrom="paragraph">
                  <wp:posOffset>259080</wp:posOffset>
                </wp:positionV>
                <wp:extent cx="847090" cy="123190"/>
                <wp:effectExtent l="0" t="3810" r="2540" b="0"/>
                <wp:wrapNone/>
                <wp:docPr id="35" name="Grupo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7090" cy="123190"/>
                          <a:chOff x="4092" y="408"/>
                          <a:chExt cx="1334" cy="194"/>
                        </a:xfrm>
                      </wpg:grpSpPr>
                      <wps:wsp>
                        <wps:cNvPr id="36" name="Freeform 47"/>
                        <wps:cNvSpPr>
                          <a:spLocks/>
                        </wps:cNvSpPr>
                        <wps:spPr bwMode="auto">
                          <a:xfrm>
                            <a:off x="4092" y="408"/>
                            <a:ext cx="1334" cy="194"/>
                          </a:xfrm>
                          <a:custGeom>
                            <a:avLst/>
                            <a:gdLst>
                              <a:gd name="T0" fmla="+- 0 4092 4092"/>
                              <a:gd name="T1" fmla="*/ T0 w 1334"/>
                              <a:gd name="T2" fmla="+- 0 603 408"/>
                              <a:gd name="T3" fmla="*/ 603 h 194"/>
                              <a:gd name="T4" fmla="+- 0 5426 4092"/>
                              <a:gd name="T5" fmla="*/ T4 w 1334"/>
                              <a:gd name="T6" fmla="+- 0 603 408"/>
                              <a:gd name="T7" fmla="*/ 603 h 194"/>
                              <a:gd name="T8" fmla="+- 0 5426 4092"/>
                              <a:gd name="T9" fmla="*/ T8 w 1334"/>
                              <a:gd name="T10" fmla="+- 0 408 408"/>
                              <a:gd name="T11" fmla="*/ 408 h 194"/>
                              <a:gd name="T12" fmla="+- 0 4092 4092"/>
                              <a:gd name="T13" fmla="*/ T12 w 1334"/>
                              <a:gd name="T14" fmla="+- 0 408 408"/>
                              <a:gd name="T15" fmla="*/ 408 h 194"/>
                              <a:gd name="T16" fmla="+- 0 4092 4092"/>
                              <a:gd name="T17" fmla="*/ T16 w 1334"/>
                              <a:gd name="T18" fmla="+- 0 603 408"/>
                              <a:gd name="T19" fmla="*/ 603 h 194"/>
                            </a:gdLst>
                            <a:ahLst/>
                            <a:cxnLst>
                              <a:cxn ang="0">
                                <a:pos x="T1" y="T3"/>
                              </a:cxn>
                              <a:cxn ang="0">
                                <a:pos x="T5" y="T7"/>
                              </a:cxn>
                              <a:cxn ang="0">
                                <a:pos x="T9" y="T11"/>
                              </a:cxn>
                              <a:cxn ang="0">
                                <a:pos x="T13" y="T15"/>
                              </a:cxn>
                              <a:cxn ang="0">
                                <a:pos x="T17" y="T19"/>
                              </a:cxn>
                            </a:cxnLst>
                            <a:rect l="0" t="0" r="r" b="b"/>
                            <a:pathLst>
                              <a:path w="1334" h="194">
                                <a:moveTo>
                                  <a:pt x="0" y="195"/>
                                </a:moveTo>
                                <a:lnTo>
                                  <a:pt x="1334" y="195"/>
                                </a:lnTo>
                                <a:lnTo>
                                  <a:pt x="1334" y="0"/>
                                </a:lnTo>
                                <a:lnTo>
                                  <a:pt x="0" y="0"/>
                                </a:lnTo>
                                <a:lnTo>
                                  <a:pt x="0" y="19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3F1E59" id="Grupo 35" o:spid="_x0000_s1026" style="position:absolute;margin-left:204.6pt;margin-top:20.4pt;width:66.7pt;height:9.7pt;z-index:-251621376;mso-position-horizontal-relative:page" coordorigin="4092,408" coordsize="1334,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">
                <v:shape id="Freeform 47" o:spid="_x0000_s1027" style="position:absolute;left:4092;top:408;width:1334;height:194;visibility:visible;mso-wrap-style:square;v-text-anchor:top" coordsize="1334,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LaP8MA&#10;AADbAAAADwAAAGRycy9kb3ducmV2LnhtbESP0WrCQBRE3wv+w3IFX4puVBpL6ioqCIFSSKMfcJu9&#10;TYLZuyG7mvj3XUHo4zAzZ5j1djCNuFHnassK5rMIBHFhdc2lgvPpOH0H4TyyxsYyKbiTg+1m9LLG&#10;RNuev+mW+1IECLsEFVTet4mUrqjIoJvZljh4v7Yz6IPsSqk77APcNHIRRbE0WHNYqLClQ0XFJb8a&#10;BdLzqTev8+wt+1y1Q2pX9LX/UWoyHnYfIDwN/j/8bKdawTKGx5fwA+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LaP8MAAADbAAAADwAAAAAAAAAAAAAAAACYAgAAZHJzL2Rv&#10;d25yZXYueG1sUEsFBgAAAAAEAAQA9QAAAIgDAAAAAA==&#10;" path="m,195r1334,l1334,,,,,195e" stroked="f">
                  <v:path arrowok="t" o:connecttype="custom" o:connectlocs="0,603;1334,603;1334,408;0,408;0,603" o:connectangles="0,0,0,0,0"/>
                </v:shape>
                <w10:wrap anchorx="page"/>
              </v:group>
            </w:pict>
          </mc:Fallback>
        </mc:AlternateContent>
      </w:r>
      <w:r w:rsidRPr="006312E8">
        <w:rPr>
          <w:rFonts w:ascii="Calibri" w:eastAsia="Calibri" w:hAnsi="Calibri" w:cs="Times New Roman"/>
          <w:noProof/>
          <w:sz w:val="16"/>
          <w:szCs w:val="16"/>
          <w:lang w:val="es-MX" w:eastAsia="es-MX"/>
        </w:rPr>
        <mc:AlternateContent>
          <mc:Choice Requires="wpg">
            <w:drawing>
              <wp:anchor distT="0" distB="0" distL="114300" distR="114300" simplePos="0" relativeHeight="251696128" behindDoc="1" locked="0" layoutInCell="1" allowOverlap="1" wp14:anchorId="52409C53" wp14:editId="13BA0B59">
                <wp:simplePos x="0" y="0"/>
                <wp:positionH relativeFrom="page">
                  <wp:posOffset>2598420</wp:posOffset>
                </wp:positionH>
                <wp:positionV relativeFrom="paragraph">
                  <wp:posOffset>439420</wp:posOffset>
                </wp:positionV>
                <wp:extent cx="847090" cy="123190"/>
                <wp:effectExtent l="0" t="3175" r="2540" b="0"/>
                <wp:wrapNone/>
                <wp:docPr id="33" name="Grupo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7090" cy="123190"/>
                          <a:chOff x="4092" y="692"/>
                          <a:chExt cx="1334" cy="194"/>
                        </a:xfrm>
                      </wpg:grpSpPr>
                      <wps:wsp>
                        <wps:cNvPr id="34" name="Freeform 49"/>
                        <wps:cNvSpPr>
                          <a:spLocks/>
                        </wps:cNvSpPr>
                        <wps:spPr bwMode="auto">
                          <a:xfrm>
                            <a:off x="4092" y="692"/>
                            <a:ext cx="1334" cy="194"/>
                          </a:xfrm>
                          <a:custGeom>
                            <a:avLst/>
                            <a:gdLst>
                              <a:gd name="T0" fmla="+- 0 4092 4092"/>
                              <a:gd name="T1" fmla="*/ T0 w 1334"/>
                              <a:gd name="T2" fmla="+- 0 886 692"/>
                              <a:gd name="T3" fmla="*/ 886 h 194"/>
                              <a:gd name="T4" fmla="+- 0 5426 4092"/>
                              <a:gd name="T5" fmla="*/ T4 w 1334"/>
                              <a:gd name="T6" fmla="+- 0 886 692"/>
                              <a:gd name="T7" fmla="*/ 886 h 194"/>
                              <a:gd name="T8" fmla="+- 0 5426 4092"/>
                              <a:gd name="T9" fmla="*/ T8 w 1334"/>
                              <a:gd name="T10" fmla="+- 0 692 692"/>
                              <a:gd name="T11" fmla="*/ 692 h 194"/>
                              <a:gd name="T12" fmla="+- 0 4092 4092"/>
                              <a:gd name="T13" fmla="*/ T12 w 1334"/>
                              <a:gd name="T14" fmla="+- 0 692 692"/>
                              <a:gd name="T15" fmla="*/ 692 h 194"/>
                              <a:gd name="T16" fmla="+- 0 4092 4092"/>
                              <a:gd name="T17" fmla="*/ T16 w 1334"/>
                              <a:gd name="T18" fmla="+- 0 886 692"/>
                              <a:gd name="T19" fmla="*/ 886 h 194"/>
                            </a:gdLst>
                            <a:ahLst/>
                            <a:cxnLst>
                              <a:cxn ang="0">
                                <a:pos x="T1" y="T3"/>
                              </a:cxn>
                              <a:cxn ang="0">
                                <a:pos x="T5" y="T7"/>
                              </a:cxn>
                              <a:cxn ang="0">
                                <a:pos x="T9" y="T11"/>
                              </a:cxn>
                              <a:cxn ang="0">
                                <a:pos x="T13" y="T15"/>
                              </a:cxn>
                              <a:cxn ang="0">
                                <a:pos x="T17" y="T19"/>
                              </a:cxn>
                            </a:cxnLst>
                            <a:rect l="0" t="0" r="r" b="b"/>
                            <a:pathLst>
                              <a:path w="1334" h="194">
                                <a:moveTo>
                                  <a:pt x="0" y="194"/>
                                </a:moveTo>
                                <a:lnTo>
                                  <a:pt x="1334" y="194"/>
                                </a:lnTo>
                                <a:lnTo>
                                  <a:pt x="1334" y="0"/>
                                </a:lnTo>
                                <a:lnTo>
                                  <a:pt x="0" y="0"/>
                                </a:lnTo>
                                <a:lnTo>
                                  <a:pt x="0" y="19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4E3008" id="Grupo 33" o:spid="_x0000_s1026" style="position:absolute;margin-left:204.6pt;margin-top:34.6pt;width:66.7pt;height:9.7pt;z-index:-251620352;mso-position-horizontal-relative:page" coordorigin="4092,692" coordsize="1334,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">
                <v:shape id="Freeform 49" o:spid="_x0000_s1027" style="position:absolute;left:4092;top:692;width:1334;height:194;visibility:visible;mso-wrap-style:square;v-text-anchor:top" coordsize="1334,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zh08QA&#10;AADbAAAADwAAAGRycy9kb3ducmV2LnhtbESP0WrCQBRE3wv9h+UKvpS6sVYt0VVaQQgUISb9gNvs&#10;NQlm74bsmsS/7xYKfRxm5gyz3Y+mET11rrasYD6LQBAXVtdcKvjKj89vIJxH1thYJgV3crDfPT5s&#10;MdZ24DP1mS9FgLCLUUHlfRtL6YqKDLqZbYmDd7GdQR9kV0rd4RDgppEvUbSSBmsOCxW2dKiouGY3&#10;o0B6zgfzNE+X6ee6HRO7ptPHt1LTyfi+AeFp9P/hv3aiFSxe4fdL+AF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M4dPEAAAA2wAAAA8AAAAAAAAAAAAAAAAAmAIAAGRycy9k&#10;b3ducmV2LnhtbFBLBQYAAAAABAAEAPUAAACJAwAAAAA=&#10;" path="m,194r1334,l1334,,,,,194e" stroked="f">
                  <v:path arrowok="t" o:connecttype="custom" o:connectlocs="0,886;1334,886;1334,692;0,692;0,886" o:connectangles="0,0,0,0,0"/>
                </v:shape>
                <w10:wrap anchorx="page"/>
              </v:group>
            </w:pict>
          </mc:Fallback>
        </mc:AlternateContent>
      </w:r>
      <w:r w:rsidRPr="006312E8">
        <w:rPr>
          <w:rFonts w:ascii="Calibri" w:eastAsia="Calibri" w:hAnsi="Calibri" w:cs="Times New Roman"/>
          <w:noProof/>
          <w:sz w:val="16"/>
          <w:szCs w:val="16"/>
          <w:lang w:val="es-MX" w:eastAsia="es-MX"/>
        </w:rPr>
        <mc:AlternateContent>
          <mc:Choice Requires="wpg">
            <w:drawing>
              <wp:anchor distT="0" distB="0" distL="114300" distR="114300" simplePos="0" relativeHeight="251697152" behindDoc="1" locked="0" layoutInCell="1" allowOverlap="1" wp14:anchorId="63521E16" wp14:editId="60591A24">
                <wp:simplePos x="0" y="0"/>
                <wp:positionH relativeFrom="page">
                  <wp:posOffset>1684020</wp:posOffset>
                </wp:positionH>
                <wp:positionV relativeFrom="paragraph">
                  <wp:posOffset>439420</wp:posOffset>
                </wp:positionV>
                <wp:extent cx="847090" cy="123190"/>
                <wp:effectExtent l="0" t="3175" r="2540" b="0"/>
                <wp:wrapNone/>
                <wp:docPr id="31" name="Grupo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7090" cy="123190"/>
                          <a:chOff x="2652" y="692"/>
                          <a:chExt cx="1334" cy="194"/>
                        </a:xfrm>
                      </wpg:grpSpPr>
                      <wps:wsp>
                        <wps:cNvPr id="32" name="Freeform 51"/>
                        <wps:cNvSpPr>
                          <a:spLocks/>
                        </wps:cNvSpPr>
                        <wps:spPr bwMode="auto">
                          <a:xfrm>
                            <a:off x="2652" y="692"/>
                            <a:ext cx="1334" cy="194"/>
                          </a:xfrm>
                          <a:custGeom>
                            <a:avLst/>
                            <a:gdLst>
                              <a:gd name="T0" fmla="+- 0 2652 2652"/>
                              <a:gd name="T1" fmla="*/ T0 w 1334"/>
                              <a:gd name="T2" fmla="+- 0 886 692"/>
                              <a:gd name="T3" fmla="*/ 886 h 194"/>
                              <a:gd name="T4" fmla="+- 0 3986 2652"/>
                              <a:gd name="T5" fmla="*/ T4 w 1334"/>
                              <a:gd name="T6" fmla="+- 0 886 692"/>
                              <a:gd name="T7" fmla="*/ 886 h 194"/>
                              <a:gd name="T8" fmla="+- 0 3986 2652"/>
                              <a:gd name="T9" fmla="*/ T8 w 1334"/>
                              <a:gd name="T10" fmla="+- 0 692 692"/>
                              <a:gd name="T11" fmla="*/ 692 h 194"/>
                              <a:gd name="T12" fmla="+- 0 2652 2652"/>
                              <a:gd name="T13" fmla="*/ T12 w 1334"/>
                              <a:gd name="T14" fmla="+- 0 692 692"/>
                              <a:gd name="T15" fmla="*/ 692 h 194"/>
                              <a:gd name="T16" fmla="+- 0 2652 2652"/>
                              <a:gd name="T17" fmla="*/ T16 w 1334"/>
                              <a:gd name="T18" fmla="+- 0 886 692"/>
                              <a:gd name="T19" fmla="*/ 886 h 194"/>
                            </a:gdLst>
                            <a:ahLst/>
                            <a:cxnLst>
                              <a:cxn ang="0">
                                <a:pos x="T1" y="T3"/>
                              </a:cxn>
                              <a:cxn ang="0">
                                <a:pos x="T5" y="T7"/>
                              </a:cxn>
                              <a:cxn ang="0">
                                <a:pos x="T9" y="T11"/>
                              </a:cxn>
                              <a:cxn ang="0">
                                <a:pos x="T13" y="T15"/>
                              </a:cxn>
                              <a:cxn ang="0">
                                <a:pos x="T17" y="T19"/>
                              </a:cxn>
                            </a:cxnLst>
                            <a:rect l="0" t="0" r="r" b="b"/>
                            <a:pathLst>
                              <a:path w="1334" h="194">
                                <a:moveTo>
                                  <a:pt x="0" y="194"/>
                                </a:moveTo>
                                <a:lnTo>
                                  <a:pt x="1334" y="194"/>
                                </a:lnTo>
                                <a:lnTo>
                                  <a:pt x="1334" y="0"/>
                                </a:lnTo>
                                <a:lnTo>
                                  <a:pt x="0" y="0"/>
                                </a:lnTo>
                                <a:lnTo>
                                  <a:pt x="0" y="19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AC78FA" id="Grupo 31" o:spid="_x0000_s1026" style="position:absolute;margin-left:132.6pt;margin-top:34.6pt;width:66.7pt;height:9.7pt;z-index:-251619328;mso-position-horizontal-relative:page" coordorigin="2652,692" coordsize="1334,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">
                <v:shape id="Freeform 51" o:spid="_x0000_s1027" style="position:absolute;left:2652;top:692;width:1334;height:194;visibility:visible;mso-wrap-style:square;v-text-anchor:top" coordsize="1334,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ncPMQA&#10;AADbAAAADwAAAGRycy9kb3ducmV2LnhtbESP0WrCQBRE3wv+w3KFvhTdJKUq0TVooRAohVT9gGv2&#10;mgSzd0N2m6R/3y0U+jjMzBlml02mFQP1rrGsIF5GIIhLqxuuFFzOb4sNCOeRNbaWScE3Ocj2s4cd&#10;ptqO/EnDyVciQNilqKD2vkuldGVNBt3SdsTBu9neoA+yr6TucQxw08okilbSYMNhocaOXmsq76cv&#10;o0B6Po/mKS5eivd1N+V2TR/Hq1KP8+mwBeFp8v/hv3auFTwn8Psl/A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p3DzEAAAA2wAAAA8AAAAAAAAAAAAAAAAAmAIAAGRycy9k&#10;b3ducmV2LnhtbFBLBQYAAAAABAAEAPUAAACJAwAAAAA=&#10;" path="m,194r1334,l1334,,,,,194e" stroked="f">
                  <v:path arrowok="t" o:connecttype="custom" o:connectlocs="0,886;1334,886;1334,692;0,692;0,886" o:connectangles="0,0,0,0,0"/>
                </v:shape>
                <w10:wrap anchorx="page"/>
              </v:group>
            </w:pict>
          </mc:Fallback>
        </mc:AlternateContent>
      </w:r>
      <w:r w:rsidRPr="006312E8">
        <w:rPr>
          <w:rFonts w:ascii="Calibri" w:eastAsia="Calibri" w:hAnsi="Calibri" w:cs="Times New Roman"/>
          <w:noProof/>
          <w:sz w:val="16"/>
          <w:szCs w:val="16"/>
          <w:lang w:val="es-MX" w:eastAsia="es-MX"/>
        </w:rPr>
        <mc:AlternateContent>
          <mc:Choice Requires="wpg">
            <w:drawing>
              <wp:anchor distT="0" distB="0" distL="114300" distR="114300" simplePos="0" relativeHeight="251698176" behindDoc="1" locked="0" layoutInCell="1" allowOverlap="1" wp14:anchorId="554CC359" wp14:editId="7CEF193A">
                <wp:simplePos x="0" y="0"/>
                <wp:positionH relativeFrom="page">
                  <wp:posOffset>588010</wp:posOffset>
                </wp:positionH>
                <wp:positionV relativeFrom="paragraph">
                  <wp:posOffset>439420</wp:posOffset>
                </wp:positionV>
                <wp:extent cx="1028700" cy="123190"/>
                <wp:effectExtent l="0" t="3175" r="2540" b="0"/>
                <wp:wrapNone/>
                <wp:docPr id="29" name="Grupo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123190"/>
                          <a:chOff x="926" y="692"/>
                          <a:chExt cx="1620" cy="194"/>
                        </a:xfrm>
                      </wpg:grpSpPr>
                      <wps:wsp>
                        <wps:cNvPr id="30" name="Freeform 53"/>
                        <wps:cNvSpPr>
                          <a:spLocks/>
                        </wps:cNvSpPr>
                        <wps:spPr bwMode="auto">
                          <a:xfrm>
                            <a:off x="926" y="692"/>
                            <a:ext cx="1620" cy="194"/>
                          </a:xfrm>
                          <a:custGeom>
                            <a:avLst/>
                            <a:gdLst>
                              <a:gd name="T0" fmla="+- 0 926 926"/>
                              <a:gd name="T1" fmla="*/ T0 w 1620"/>
                              <a:gd name="T2" fmla="+- 0 886 692"/>
                              <a:gd name="T3" fmla="*/ 886 h 194"/>
                              <a:gd name="T4" fmla="+- 0 2546 926"/>
                              <a:gd name="T5" fmla="*/ T4 w 1620"/>
                              <a:gd name="T6" fmla="+- 0 886 692"/>
                              <a:gd name="T7" fmla="*/ 886 h 194"/>
                              <a:gd name="T8" fmla="+- 0 2546 926"/>
                              <a:gd name="T9" fmla="*/ T8 w 1620"/>
                              <a:gd name="T10" fmla="+- 0 692 692"/>
                              <a:gd name="T11" fmla="*/ 692 h 194"/>
                              <a:gd name="T12" fmla="+- 0 926 926"/>
                              <a:gd name="T13" fmla="*/ T12 w 1620"/>
                              <a:gd name="T14" fmla="+- 0 692 692"/>
                              <a:gd name="T15" fmla="*/ 692 h 194"/>
                              <a:gd name="T16" fmla="+- 0 926 926"/>
                              <a:gd name="T17" fmla="*/ T16 w 1620"/>
                              <a:gd name="T18" fmla="+- 0 886 692"/>
                              <a:gd name="T19" fmla="*/ 886 h 194"/>
                            </a:gdLst>
                            <a:ahLst/>
                            <a:cxnLst>
                              <a:cxn ang="0">
                                <a:pos x="T1" y="T3"/>
                              </a:cxn>
                              <a:cxn ang="0">
                                <a:pos x="T5" y="T7"/>
                              </a:cxn>
                              <a:cxn ang="0">
                                <a:pos x="T9" y="T11"/>
                              </a:cxn>
                              <a:cxn ang="0">
                                <a:pos x="T13" y="T15"/>
                              </a:cxn>
                              <a:cxn ang="0">
                                <a:pos x="T17" y="T19"/>
                              </a:cxn>
                            </a:cxnLst>
                            <a:rect l="0" t="0" r="r" b="b"/>
                            <a:pathLst>
                              <a:path w="1620" h="194">
                                <a:moveTo>
                                  <a:pt x="0" y="194"/>
                                </a:moveTo>
                                <a:lnTo>
                                  <a:pt x="1620" y="194"/>
                                </a:lnTo>
                                <a:lnTo>
                                  <a:pt x="1620" y="0"/>
                                </a:lnTo>
                                <a:lnTo>
                                  <a:pt x="0" y="0"/>
                                </a:lnTo>
                                <a:lnTo>
                                  <a:pt x="0" y="19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E821B0" id="Grupo 29" o:spid="_x0000_s1026" style="position:absolute;margin-left:46.3pt;margin-top:34.6pt;width:81pt;height:9.7pt;z-index:-251618304;mso-position-horizontal-relative:page" coordorigin="926,692" coordsize="1620,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">
                <v:shape id="Freeform 53" o:spid="_x0000_s1027" style="position:absolute;left:926;top:692;width:1620;height:194;visibility:visible;mso-wrap-style:square;v-text-anchor:top" coordsize="1620,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6DSMIA&#10;AADbAAAADwAAAGRycy9kb3ducmV2LnhtbERPz2vCMBS+C/4P4Qm72VQnQzuj6NhA2GlW8frWPNtu&#10;zUtJsrbbX78cBI8f3+/1djCN6Mj52rKCWZKCIC6srrlUcMrfpksQPiBrbCyTgl/ysN2MR2vMtO35&#10;g7pjKEUMYZ+hgiqENpPSFxUZ9IltiSN3tc5giNCVUjvsY7hp5DxNn6TBmmNDhS29VFR8H3+Mgn2X&#10;a3vt3/9el81XfubF52V1cUo9TIbdM4hAQ7iLb+6DVvAY18cv8Qf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3oNIwgAAANsAAAAPAAAAAAAAAAAAAAAAAJgCAABkcnMvZG93&#10;bnJldi54bWxQSwUGAAAAAAQABAD1AAAAhwMAAAAA&#10;" path="m,194r1620,l1620,,,,,194e" stroked="f">
                  <v:path arrowok="t" o:connecttype="custom" o:connectlocs="0,886;1620,886;1620,692;0,692;0,886" o:connectangles="0,0,0,0,0"/>
                </v:shape>
                <w10:wrap anchorx="page"/>
              </v:group>
            </w:pict>
          </mc:Fallback>
        </mc:AlternateContent>
      </w:r>
      <w:r w:rsidRPr="006312E8">
        <w:rPr>
          <w:rFonts w:ascii="Arial Narrow" w:eastAsia="Calibri" w:hAnsi="Arial Narrow" w:cs="Arial"/>
          <w:b/>
          <w:sz w:val="16"/>
          <w:szCs w:val="16"/>
        </w:rPr>
        <w:t>5.3 SERVICIOS DE SANEAMIENTO</w:t>
      </w:r>
    </w:p>
    <w:p w:rsidR="006312E8" w:rsidRPr="006312E8" w:rsidRDefault="006312E8" w:rsidP="006312E8">
      <w:pPr>
        <w:spacing w:before="5" w:after="0" w:line="130" w:lineRule="exact"/>
        <w:rPr>
          <w:rFonts w:ascii="Arial Narrow" w:eastAsia="Calibri" w:hAnsi="Arial Narrow" w:cs="Arial"/>
          <w:b/>
          <w:sz w:val="18"/>
          <w:szCs w:val="1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3827"/>
        <w:gridCol w:w="3119"/>
      </w:tblGrid>
      <w:tr w:rsidR="006312E8" w:rsidRPr="006312E8" w:rsidTr="00D04998">
        <w:trPr>
          <w:trHeight w:hRule="exact" w:val="281"/>
        </w:trPr>
        <w:tc>
          <w:tcPr>
            <w:tcW w:w="3227" w:type="dxa"/>
          </w:tcPr>
          <w:p w:rsidR="006312E8" w:rsidRPr="006312E8" w:rsidRDefault="006312E8" w:rsidP="006312E8">
            <w:pPr>
              <w:spacing w:before="42" w:after="0" w:line="240" w:lineRule="auto"/>
              <w:ind w:right="-20"/>
              <w:rPr>
                <w:rFonts w:ascii="Arial Narrow" w:eastAsia="Calibri" w:hAnsi="Arial Narrow" w:cs="Arial Narrow"/>
                <w:b/>
                <w:sz w:val="14"/>
                <w:szCs w:val="14"/>
              </w:rPr>
            </w:pPr>
            <w:r w:rsidRPr="006312E8">
              <w:rPr>
                <w:rFonts w:ascii="Arial Narrow" w:eastAsia="Calibri" w:hAnsi="Arial Narrow" w:cs="Arial Narrow"/>
                <w:b/>
                <w:spacing w:val="1"/>
                <w:sz w:val="14"/>
                <w:szCs w:val="14"/>
              </w:rPr>
              <w:t>SERV</w:t>
            </w:r>
            <w:r w:rsidRPr="006312E8">
              <w:rPr>
                <w:rFonts w:ascii="Arial Narrow" w:eastAsia="Calibri" w:hAnsi="Arial Narrow" w:cs="Arial Narrow"/>
                <w:b/>
                <w:spacing w:val="-1"/>
                <w:sz w:val="14"/>
                <w:szCs w:val="14"/>
              </w:rPr>
              <w:t>I</w:t>
            </w:r>
            <w:r w:rsidRPr="006312E8">
              <w:rPr>
                <w:rFonts w:ascii="Arial Narrow" w:eastAsia="Calibri" w:hAnsi="Arial Narrow" w:cs="Arial Narrow"/>
                <w:b/>
                <w:spacing w:val="1"/>
                <w:sz w:val="14"/>
                <w:szCs w:val="14"/>
              </w:rPr>
              <w:t>C</w:t>
            </w:r>
            <w:r w:rsidRPr="006312E8">
              <w:rPr>
                <w:rFonts w:ascii="Arial Narrow" w:eastAsia="Calibri" w:hAnsi="Arial Narrow" w:cs="Arial Narrow"/>
                <w:b/>
                <w:spacing w:val="-1"/>
                <w:sz w:val="14"/>
                <w:szCs w:val="14"/>
              </w:rPr>
              <w:t>I</w:t>
            </w:r>
            <w:r w:rsidRPr="006312E8">
              <w:rPr>
                <w:rFonts w:ascii="Arial Narrow" w:eastAsia="Calibri" w:hAnsi="Arial Narrow" w:cs="Arial Narrow"/>
                <w:b/>
                <w:sz w:val="14"/>
                <w:szCs w:val="14"/>
              </w:rPr>
              <w:t>OS</w:t>
            </w:r>
          </w:p>
        </w:tc>
        <w:tc>
          <w:tcPr>
            <w:tcW w:w="3827" w:type="dxa"/>
          </w:tcPr>
          <w:p w:rsidR="006312E8" w:rsidRPr="006312E8" w:rsidRDefault="006312E8" w:rsidP="006312E8">
            <w:pPr>
              <w:spacing w:before="42" w:after="0" w:line="240" w:lineRule="auto"/>
              <w:ind w:right="-20"/>
              <w:rPr>
                <w:rFonts w:ascii="Arial Narrow" w:eastAsia="Calibri" w:hAnsi="Arial Narrow" w:cs="Arial Narrow"/>
                <w:b/>
                <w:sz w:val="14"/>
                <w:szCs w:val="14"/>
              </w:rPr>
            </w:pPr>
            <w:r w:rsidRPr="006312E8">
              <w:rPr>
                <w:rFonts w:ascii="Arial Narrow" w:eastAsia="Calibri" w:hAnsi="Arial Narrow" w:cs="Arial Narrow"/>
                <w:b/>
                <w:spacing w:val="-1"/>
                <w:sz w:val="14"/>
                <w:szCs w:val="14"/>
              </w:rPr>
              <w:t>I</w:t>
            </w:r>
            <w:r w:rsidRPr="006312E8">
              <w:rPr>
                <w:rFonts w:ascii="Arial Narrow" w:eastAsia="Calibri" w:hAnsi="Arial Narrow" w:cs="Arial Narrow"/>
                <w:b/>
                <w:spacing w:val="1"/>
                <w:sz w:val="14"/>
                <w:szCs w:val="14"/>
              </w:rPr>
              <w:t>NSTALAD</w:t>
            </w:r>
            <w:r w:rsidRPr="006312E8">
              <w:rPr>
                <w:rFonts w:ascii="Arial Narrow" w:eastAsia="Calibri" w:hAnsi="Arial Narrow" w:cs="Arial Narrow"/>
                <w:b/>
                <w:sz w:val="14"/>
                <w:szCs w:val="14"/>
              </w:rPr>
              <w:t>OS</w:t>
            </w:r>
          </w:p>
        </w:tc>
        <w:tc>
          <w:tcPr>
            <w:tcW w:w="3119" w:type="dxa"/>
          </w:tcPr>
          <w:p w:rsidR="006312E8" w:rsidRPr="006312E8" w:rsidRDefault="006312E8" w:rsidP="006312E8">
            <w:pPr>
              <w:spacing w:before="42" w:after="0" w:line="240" w:lineRule="auto"/>
              <w:ind w:right="-20"/>
              <w:rPr>
                <w:rFonts w:ascii="Arial Narrow" w:eastAsia="Calibri" w:hAnsi="Arial Narrow" w:cs="Arial Narrow"/>
                <w:b/>
                <w:sz w:val="14"/>
                <w:szCs w:val="14"/>
              </w:rPr>
            </w:pPr>
            <w:r w:rsidRPr="006312E8">
              <w:rPr>
                <w:rFonts w:ascii="Arial Narrow" w:eastAsia="Calibri" w:hAnsi="Arial Narrow" w:cs="Arial Narrow"/>
                <w:b/>
                <w:spacing w:val="1"/>
                <w:sz w:val="14"/>
                <w:szCs w:val="14"/>
              </w:rPr>
              <w:t>FACT</w:t>
            </w:r>
            <w:r w:rsidRPr="006312E8">
              <w:rPr>
                <w:rFonts w:ascii="Arial Narrow" w:eastAsia="Calibri" w:hAnsi="Arial Narrow" w:cs="Arial Narrow"/>
                <w:b/>
                <w:spacing w:val="-1"/>
                <w:sz w:val="14"/>
                <w:szCs w:val="14"/>
              </w:rPr>
              <w:t>I</w:t>
            </w:r>
            <w:r w:rsidRPr="006312E8">
              <w:rPr>
                <w:rFonts w:ascii="Arial Narrow" w:eastAsia="Calibri" w:hAnsi="Arial Narrow" w:cs="Arial Narrow"/>
                <w:b/>
                <w:spacing w:val="1"/>
                <w:sz w:val="14"/>
                <w:szCs w:val="14"/>
              </w:rPr>
              <w:t>B</w:t>
            </w:r>
            <w:r w:rsidRPr="006312E8">
              <w:rPr>
                <w:rFonts w:ascii="Arial Narrow" w:eastAsia="Calibri" w:hAnsi="Arial Narrow" w:cs="Arial Narrow"/>
                <w:b/>
                <w:spacing w:val="-1"/>
                <w:sz w:val="14"/>
                <w:szCs w:val="14"/>
              </w:rPr>
              <w:t>I</w:t>
            </w:r>
            <w:r w:rsidRPr="006312E8">
              <w:rPr>
                <w:rFonts w:ascii="Arial Narrow" w:eastAsia="Calibri" w:hAnsi="Arial Narrow" w:cs="Arial Narrow"/>
                <w:b/>
                <w:spacing w:val="1"/>
                <w:sz w:val="14"/>
                <w:szCs w:val="14"/>
              </w:rPr>
              <w:t>L</w:t>
            </w:r>
            <w:r w:rsidRPr="006312E8">
              <w:rPr>
                <w:rFonts w:ascii="Arial Narrow" w:eastAsia="Calibri" w:hAnsi="Arial Narrow" w:cs="Arial Narrow"/>
                <w:b/>
                <w:spacing w:val="-1"/>
                <w:sz w:val="14"/>
                <w:szCs w:val="14"/>
              </w:rPr>
              <w:t>I</w:t>
            </w:r>
            <w:r w:rsidRPr="006312E8">
              <w:rPr>
                <w:rFonts w:ascii="Arial Narrow" w:eastAsia="Calibri" w:hAnsi="Arial Narrow" w:cs="Arial Narrow"/>
                <w:b/>
                <w:spacing w:val="1"/>
                <w:sz w:val="14"/>
                <w:szCs w:val="14"/>
              </w:rPr>
              <w:t>DA</w:t>
            </w:r>
            <w:r w:rsidRPr="006312E8">
              <w:rPr>
                <w:rFonts w:ascii="Arial Narrow" w:eastAsia="Calibri" w:hAnsi="Arial Narrow" w:cs="Arial Narrow"/>
                <w:b/>
                <w:sz w:val="14"/>
                <w:szCs w:val="14"/>
              </w:rPr>
              <w:t>D DE SERVICIOS</w:t>
            </w:r>
          </w:p>
        </w:tc>
      </w:tr>
      <w:tr w:rsidR="006312E8" w:rsidRPr="006312E8" w:rsidTr="00D04998">
        <w:trPr>
          <w:trHeight w:hRule="exact" w:val="295"/>
        </w:trPr>
        <w:tc>
          <w:tcPr>
            <w:tcW w:w="3227" w:type="dxa"/>
          </w:tcPr>
          <w:p w:rsidR="006312E8" w:rsidRPr="006312E8" w:rsidRDefault="006312E8" w:rsidP="006312E8">
            <w:pPr>
              <w:spacing w:before="44" w:after="0" w:line="240" w:lineRule="auto"/>
              <w:ind w:right="614"/>
              <w:rPr>
                <w:rFonts w:ascii="Arial Narrow" w:eastAsia="Calibri" w:hAnsi="Arial Narrow" w:cs="Arial Narrow"/>
                <w:b/>
                <w:sz w:val="14"/>
                <w:szCs w:val="14"/>
              </w:rPr>
            </w:pPr>
            <w:r w:rsidRPr="006312E8">
              <w:rPr>
                <w:rFonts w:ascii="Arial Narrow" w:eastAsia="Calibri" w:hAnsi="Arial Narrow" w:cs="Arial Narrow"/>
                <w:b/>
                <w:spacing w:val="1"/>
                <w:sz w:val="14"/>
                <w:szCs w:val="14"/>
              </w:rPr>
              <w:t>AGU</w:t>
            </w:r>
            <w:r w:rsidRPr="006312E8">
              <w:rPr>
                <w:rFonts w:ascii="Arial Narrow" w:eastAsia="Calibri" w:hAnsi="Arial Narrow" w:cs="Arial Narrow"/>
                <w:b/>
                <w:sz w:val="14"/>
                <w:szCs w:val="14"/>
              </w:rPr>
              <w:t>A</w:t>
            </w:r>
          </w:p>
        </w:tc>
        <w:tc>
          <w:tcPr>
            <w:tcW w:w="3827" w:type="dxa"/>
          </w:tcPr>
          <w:p w:rsidR="006312E8" w:rsidRPr="006312E8" w:rsidRDefault="006312E8" w:rsidP="006312E8">
            <w:pPr>
              <w:spacing w:before="44" w:after="0" w:line="240" w:lineRule="auto"/>
              <w:ind w:left="582" w:right="561"/>
              <w:jc w:val="center"/>
              <w:rPr>
                <w:rFonts w:ascii="Arial Narrow" w:eastAsia="Calibri" w:hAnsi="Arial Narrow" w:cs="Arial Narrow"/>
                <w:b/>
                <w:sz w:val="14"/>
                <w:szCs w:val="14"/>
              </w:rPr>
            </w:pPr>
          </w:p>
        </w:tc>
        <w:tc>
          <w:tcPr>
            <w:tcW w:w="3119" w:type="dxa"/>
          </w:tcPr>
          <w:p w:rsidR="006312E8" w:rsidRPr="006312E8" w:rsidRDefault="006312E8" w:rsidP="006312E8">
            <w:pPr>
              <w:spacing w:after="0" w:line="240" w:lineRule="auto"/>
              <w:rPr>
                <w:rFonts w:ascii="Calibri" w:eastAsia="Calibri" w:hAnsi="Calibri" w:cs="Times New Roman"/>
                <w:b/>
                <w:sz w:val="14"/>
                <w:szCs w:val="14"/>
              </w:rPr>
            </w:pPr>
          </w:p>
        </w:tc>
      </w:tr>
      <w:tr w:rsidR="006312E8" w:rsidRPr="006312E8" w:rsidTr="00D04998">
        <w:trPr>
          <w:trHeight w:hRule="exact" w:val="300"/>
        </w:trPr>
        <w:tc>
          <w:tcPr>
            <w:tcW w:w="3227" w:type="dxa"/>
          </w:tcPr>
          <w:p w:rsidR="006312E8" w:rsidRPr="006312E8" w:rsidRDefault="006312E8" w:rsidP="006312E8">
            <w:pPr>
              <w:spacing w:before="49" w:after="0" w:line="240" w:lineRule="auto"/>
              <w:ind w:right="-20"/>
              <w:rPr>
                <w:rFonts w:ascii="Arial Narrow" w:eastAsia="Calibri" w:hAnsi="Arial Narrow" w:cs="Arial Narrow"/>
                <w:b/>
                <w:sz w:val="14"/>
                <w:szCs w:val="14"/>
              </w:rPr>
            </w:pPr>
            <w:r w:rsidRPr="006312E8">
              <w:rPr>
                <w:rFonts w:ascii="Arial Narrow" w:eastAsia="Calibri" w:hAnsi="Arial Narrow" w:cs="Arial Narrow"/>
                <w:b/>
                <w:spacing w:val="1"/>
                <w:sz w:val="14"/>
                <w:szCs w:val="14"/>
              </w:rPr>
              <w:t>DESAGÜ</w:t>
            </w:r>
            <w:r w:rsidRPr="006312E8">
              <w:rPr>
                <w:rFonts w:ascii="Arial Narrow" w:eastAsia="Calibri" w:hAnsi="Arial Narrow" w:cs="Arial Narrow"/>
                <w:b/>
                <w:sz w:val="14"/>
                <w:szCs w:val="14"/>
              </w:rPr>
              <w:t xml:space="preserve">E  </w:t>
            </w:r>
          </w:p>
        </w:tc>
        <w:tc>
          <w:tcPr>
            <w:tcW w:w="3827" w:type="dxa"/>
          </w:tcPr>
          <w:p w:rsidR="006312E8" w:rsidRPr="006312E8" w:rsidRDefault="006312E8" w:rsidP="006312E8">
            <w:pPr>
              <w:spacing w:before="49" w:after="0" w:line="240" w:lineRule="auto"/>
              <w:ind w:left="582" w:right="561"/>
              <w:jc w:val="center"/>
              <w:rPr>
                <w:rFonts w:ascii="Arial Narrow" w:eastAsia="Calibri" w:hAnsi="Arial Narrow" w:cs="Arial Narrow"/>
                <w:b/>
                <w:sz w:val="14"/>
                <w:szCs w:val="14"/>
              </w:rPr>
            </w:pPr>
          </w:p>
        </w:tc>
        <w:tc>
          <w:tcPr>
            <w:tcW w:w="3119" w:type="dxa"/>
          </w:tcPr>
          <w:p w:rsidR="006312E8" w:rsidRPr="006312E8" w:rsidRDefault="006312E8" w:rsidP="006312E8">
            <w:pPr>
              <w:spacing w:after="0" w:line="240" w:lineRule="auto"/>
              <w:rPr>
                <w:rFonts w:ascii="Calibri" w:eastAsia="Calibri" w:hAnsi="Calibri" w:cs="Times New Roman"/>
                <w:b/>
                <w:sz w:val="14"/>
                <w:szCs w:val="14"/>
              </w:rPr>
            </w:pPr>
          </w:p>
        </w:tc>
      </w:tr>
      <w:tr w:rsidR="006312E8" w:rsidRPr="006312E8" w:rsidTr="00D04998">
        <w:trPr>
          <w:trHeight w:hRule="exact" w:val="290"/>
        </w:trPr>
        <w:tc>
          <w:tcPr>
            <w:tcW w:w="3227" w:type="dxa"/>
          </w:tcPr>
          <w:p w:rsidR="006312E8" w:rsidRPr="006312E8" w:rsidRDefault="006312E8" w:rsidP="006312E8">
            <w:pPr>
              <w:spacing w:before="49" w:after="0" w:line="240" w:lineRule="auto"/>
              <w:ind w:right="-20"/>
              <w:rPr>
                <w:rFonts w:ascii="Arial Narrow" w:eastAsia="Calibri" w:hAnsi="Arial Narrow" w:cs="Arial Narrow"/>
                <w:b/>
                <w:sz w:val="14"/>
                <w:szCs w:val="14"/>
              </w:rPr>
            </w:pPr>
            <w:r w:rsidRPr="006312E8">
              <w:rPr>
                <w:rFonts w:ascii="Arial Narrow" w:eastAsia="Calibri" w:hAnsi="Arial Narrow" w:cs="Arial Narrow"/>
                <w:b/>
                <w:spacing w:val="1"/>
                <w:sz w:val="14"/>
                <w:szCs w:val="14"/>
              </w:rPr>
              <w:t>ELECTR</w:t>
            </w:r>
            <w:r w:rsidRPr="006312E8">
              <w:rPr>
                <w:rFonts w:ascii="Arial Narrow" w:eastAsia="Calibri" w:hAnsi="Arial Narrow" w:cs="Arial Narrow"/>
                <w:b/>
                <w:spacing w:val="-1"/>
                <w:sz w:val="14"/>
                <w:szCs w:val="14"/>
              </w:rPr>
              <w:t>I</w:t>
            </w:r>
            <w:r w:rsidRPr="006312E8">
              <w:rPr>
                <w:rFonts w:ascii="Arial Narrow" w:eastAsia="Calibri" w:hAnsi="Arial Narrow" w:cs="Arial Narrow"/>
                <w:b/>
                <w:spacing w:val="1"/>
                <w:sz w:val="14"/>
                <w:szCs w:val="14"/>
              </w:rPr>
              <w:t>F</w:t>
            </w:r>
            <w:r w:rsidRPr="006312E8">
              <w:rPr>
                <w:rFonts w:ascii="Arial Narrow" w:eastAsia="Calibri" w:hAnsi="Arial Narrow" w:cs="Arial Narrow"/>
                <w:b/>
                <w:spacing w:val="-1"/>
                <w:sz w:val="14"/>
                <w:szCs w:val="14"/>
              </w:rPr>
              <w:t>I</w:t>
            </w:r>
            <w:r w:rsidRPr="006312E8">
              <w:rPr>
                <w:rFonts w:ascii="Arial Narrow" w:eastAsia="Calibri" w:hAnsi="Arial Narrow" w:cs="Arial Narrow"/>
                <w:b/>
                <w:spacing w:val="1"/>
                <w:sz w:val="14"/>
                <w:szCs w:val="14"/>
              </w:rPr>
              <w:t>CACIÓ</w:t>
            </w:r>
            <w:r w:rsidRPr="006312E8">
              <w:rPr>
                <w:rFonts w:ascii="Arial Narrow" w:eastAsia="Calibri" w:hAnsi="Arial Narrow" w:cs="Arial Narrow"/>
                <w:b/>
                <w:sz w:val="14"/>
                <w:szCs w:val="14"/>
              </w:rPr>
              <w:t>N</w:t>
            </w:r>
          </w:p>
        </w:tc>
        <w:tc>
          <w:tcPr>
            <w:tcW w:w="3827" w:type="dxa"/>
          </w:tcPr>
          <w:p w:rsidR="006312E8" w:rsidRPr="006312E8" w:rsidRDefault="006312E8" w:rsidP="006312E8">
            <w:pPr>
              <w:spacing w:before="49" w:after="0" w:line="240" w:lineRule="auto"/>
              <w:ind w:left="582" w:right="561"/>
              <w:jc w:val="center"/>
              <w:rPr>
                <w:rFonts w:ascii="Arial Narrow" w:eastAsia="Calibri" w:hAnsi="Arial Narrow" w:cs="Arial Narrow"/>
                <w:b/>
                <w:sz w:val="14"/>
                <w:szCs w:val="14"/>
              </w:rPr>
            </w:pPr>
          </w:p>
        </w:tc>
        <w:tc>
          <w:tcPr>
            <w:tcW w:w="3119" w:type="dxa"/>
          </w:tcPr>
          <w:p w:rsidR="006312E8" w:rsidRPr="006312E8" w:rsidRDefault="006312E8" w:rsidP="006312E8">
            <w:pPr>
              <w:spacing w:after="0" w:line="240" w:lineRule="auto"/>
              <w:rPr>
                <w:rFonts w:ascii="Calibri" w:eastAsia="Calibri" w:hAnsi="Calibri" w:cs="Times New Roman"/>
                <w:b/>
                <w:sz w:val="14"/>
                <w:szCs w:val="14"/>
              </w:rPr>
            </w:pPr>
          </w:p>
        </w:tc>
      </w:tr>
    </w:tbl>
    <w:p w:rsidR="006312E8" w:rsidRPr="006312E8" w:rsidRDefault="006312E8" w:rsidP="006312E8">
      <w:pPr>
        <w:spacing w:before="4" w:after="0" w:line="130" w:lineRule="exact"/>
        <w:rPr>
          <w:rFonts w:ascii="Calibri" w:eastAsia="Calibri" w:hAnsi="Calibri" w:cs="Times New Roman"/>
          <w:sz w:val="13"/>
          <w:szCs w:val="13"/>
        </w:rPr>
      </w:pPr>
    </w:p>
    <w:p w:rsidR="006312E8" w:rsidRPr="006312E8" w:rsidRDefault="006312E8" w:rsidP="006312E8">
      <w:pPr>
        <w:spacing w:after="200" w:line="240" w:lineRule="auto"/>
        <w:jc w:val="both"/>
        <w:rPr>
          <w:rFonts w:ascii="Arial" w:eastAsia="Calibri" w:hAnsi="Arial" w:cs="Arial"/>
          <w:b/>
          <w:sz w:val="16"/>
          <w:szCs w:val="16"/>
          <w:lang w:val="es-ES"/>
        </w:rPr>
      </w:pPr>
      <w:r w:rsidRPr="006312E8">
        <w:rPr>
          <w:rFonts w:ascii="Arial" w:eastAsia="Calibri" w:hAnsi="Arial" w:cs="Arial"/>
          <w:b/>
          <w:sz w:val="16"/>
          <w:szCs w:val="16"/>
          <w:lang w:val="es-ES"/>
        </w:rPr>
        <w:t xml:space="preserve"> 5.4 </w:t>
      </w:r>
      <w:r w:rsidRPr="006312E8">
        <w:rPr>
          <w:rFonts w:ascii="Arial Narrow" w:eastAsia="Calibri" w:hAnsi="Arial Narrow" w:cs="Arial"/>
          <w:b/>
          <w:sz w:val="16"/>
          <w:szCs w:val="16"/>
        </w:rPr>
        <w:t>OBSERVACIONES TÉCNICAS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3"/>
      </w:tblGrid>
      <w:tr w:rsidR="006312E8" w:rsidRPr="006312E8" w:rsidTr="00D04998">
        <w:trPr>
          <w:trHeight w:val="1138"/>
        </w:trPr>
        <w:tc>
          <w:tcPr>
            <w:tcW w:w="10173" w:type="dxa"/>
          </w:tcPr>
          <w:p w:rsidR="006312E8" w:rsidRPr="006312E8" w:rsidRDefault="006312E8" w:rsidP="006312E8">
            <w:pPr>
              <w:spacing w:before="3" w:after="0" w:line="240" w:lineRule="auto"/>
              <w:jc w:val="both"/>
              <w:rPr>
                <w:rFonts w:ascii="Arial" w:eastAsia="Calibri" w:hAnsi="Arial" w:cs="Arial"/>
                <w:sz w:val="18"/>
                <w:szCs w:val="18"/>
                <w:lang w:val="es-ES"/>
              </w:rPr>
            </w:pPr>
          </w:p>
          <w:p w:rsidR="006312E8" w:rsidRPr="006312E8" w:rsidRDefault="006312E8" w:rsidP="006312E8">
            <w:pPr>
              <w:spacing w:before="3" w:after="0" w:line="240" w:lineRule="auto"/>
              <w:jc w:val="both"/>
              <w:rPr>
                <w:rFonts w:ascii="Arial" w:eastAsia="Calibri" w:hAnsi="Arial" w:cs="Arial"/>
                <w:sz w:val="18"/>
                <w:szCs w:val="18"/>
                <w:lang w:val="es-ES"/>
              </w:rPr>
            </w:pPr>
          </w:p>
          <w:p w:rsidR="006312E8" w:rsidRPr="006312E8" w:rsidRDefault="006312E8" w:rsidP="006312E8">
            <w:pPr>
              <w:tabs>
                <w:tab w:val="left" w:pos="7740"/>
              </w:tabs>
              <w:spacing w:after="0" w:line="240" w:lineRule="auto"/>
              <w:ind w:right="947"/>
              <w:jc w:val="both"/>
              <w:rPr>
                <w:rFonts w:ascii="Arial" w:eastAsia="Calibri" w:hAnsi="Arial" w:cs="Arial"/>
                <w:sz w:val="18"/>
                <w:szCs w:val="18"/>
                <w:lang w:val="es-ES"/>
              </w:rPr>
            </w:pPr>
          </w:p>
        </w:tc>
      </w:tr>
    </w:tbl>
    <w:p w:rsidR="006312E8" w:rsidRPr="006312E8" w:rsidRDefault="006312E8" w:rsidP="006312E8">
      <w:pPr>
        <w:tabs>
          <w:tab w:val="left" w:pos="620"/>
        </w:tabs>
        <w:spacing w:after="0" w:line="240" w:lineRule="auto"/>
        <w:ind w:left="115" w:right="-20"/>
        <w:outlineLvl w:val="0"/>
        <w:rPr>
          <w:rFonts w:ascii="Arial Narrow" w:eastAsia="Calibri" w:hAnsi="Arial Narrow" w:cs="Arial"/>
          <w:b/>
          <w:sz w:val="16"/>
          <w:szCs w:val="16"/>
          <w:lang w:val="es-ES"/>
        </w:rPr>
      </w:pPr>
      <w:r w:rsidRPr="006312E8">
        <w:rPr>
          <w:rFonts w:ascii="Arial Narrow" w:eastAsia="Calibri" w:hAnsi="Arial Narrow" w:cs="Times New Roman"/>
          <w:b/>
          <w:sz w:val="16"/>
          <w:szCs w:val="16"/>
          <w:lang w:val="es-ES"/>
        </w:rPr>
        <w:t xml:space="preserve">6. ESTUDIO DE GABINETE </w:t>
      </w:r>
    </w:p>
    <w:p w:rsidR="006312E8" w:rsidRPr="006312E8" w:rsidRDefault="006312E8" w:rsidP="006312E8">
      <w:pPr>
        <w:tabs>
          <w:tab w:val="left" w:pos="620"/>
        </w:tabs>
        <w:spacing w:after="0" w:line="240" w:lineRule="auto"/>
        <w:ind w:left="115" w:right="-20"/>
        <w:rPr>
          <w:rFonts w:ascii="Arial Narrow" w:eastAsia="Calibri" w:hAnsi="Arial Narrow" w:cs="Arial"/>
          <w:b/>
          <w:sz w:val="16"/>
          <w:szCs w:val="16"/>
          <w:lang w:val="es-ES"/>
        </w:rPr>
      </w:pPr>
    </w:p>
    <w:p w:rsidR="006312E8" w:rsidRPr="006312E8" w:rsidRDefault="006312E8" w:rsidP="006312E8">
      <w:pPr>
        <w:tabs>
          <w:tab w:val="left" w:pos="620"/>
        </w:tabs>
        <w:spacing w:after="0" w:line="240" w:lineRule="auto"/>
        <w:ind w:left="115" w:right="-20"/>
        <w:outlineLvl w:val="0"/>
        <w:rPr>
          <w:rFonts w:ascii="Arial" w:eastAsia="Calibri" w:hAnsi="Arial" w:cs="Arial"/>
          <w:b/>
          <w:sz w:val="16"/>
          <w:szCs w:val="16"/>
          <w:lang w:val="es-ES"/>
        </w:rPr>
      </w:pPr>
      <w:r w:rsidRPr="006312E8">
        <w:rPr>
          <w:rFonts w:ascii="Calibri" w:eastAsia="Calibri" w:hAnsi="Calibri" w:cs="Times New Roman"/>
          <w:noProof/>
          <w:sz w:val="16"/>
          <w:szCs w:val="16"/>
          <w:lang w:val="es-MX" w:eastAsia="es-MX"/>
        </w:rPr>
        <mc:AlternateContent>
          <mc:Choice Requires="wpg">
            <w:drawing>
              <wp:anchor distT="0" distB="0" distL="114300" distR="114300" simplePos="0" relativeHeight="251699200" behindDoc="1" locked="0" layoutInCell="1" allowOverlap="1" wp14:anchorId="7BA7B57C" wp14:editId="6BEA5A25">
                <wp:simplePos x="0" y="0"/>
                <wp:positionH relativeFrom="page">
                  <wp:posOffset>1684020</wp:posOffset>
                </wp:positionH>
                <wp:positionV relativeFrom="paragraph">
                  <wp:posOffset>-430530</wp:posOffset>
                </wp:positionV>
                <wp:extent cx="847090" cy="123190"/>
                <wp:effectExtent l="0" t="3175" r="2540" b="0"/>
                <wp:wrapNone/>
                <wp:docPr id="27" name="Grupo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7090" cy="123190"/>
                          <a:chOff x="2652" y="-678"/>
                          <a:chExt cx="1334" cy="194"/>
                        </a:xfrm>
                      </wpg:grpSpPr>
                      <wps:wsp>
                        <wps:cNvPr id="28" name="Freeform 55"/>
                        <wps:cNvSpPr>
                          <a:spLocks/>
                        </wps:cNvSpPr>
                        <wps:spPr bwMode="auto">
                          <a:xfrm>
                            <a:off x="2652" y="-678"/>
                            <a:ext cx="1334" cy="194"/>
                          </a:xfrm>
                          <a:custGeom>
                            <a:avLst/>
                            <a:gdLst>
                              <a:gd name="T0" fmla="+- 0 2652 2652"/>
                              <a:gd name="T1" fmla="*/ T0 w 1334"/>
                              <a:gd name="T2" fmla="+- 0 -484 -678"/>
                              <a:gd name="T3" fmla="*/ -484 h 194"/>
                              <a:gd name="T4" fmla="+- 0 3986 2652"/>
                              <a:gd name="T5" fmla="*/ T4 w 1334"/>
                              <a:gd name="T6" fmla="+- 0 -484 -678"/>
                              <a:gd name="T7" fmla="*/ -484 h 194"/>
                              <a:gd name="T8" fmla="+- 0 3986 2652"/>
                              <a:gd name="T9" fmla="*/ T8 w 1334"/>
                              <a:gd name="T10" fmla="+- 0 -678 -678"/>
                              <a:gd name="T11" fmla="*/ -678 h 194"/>
                              <a:gd name="T12" fmla="+- 0 2652 2652"/>
                              <a:gd name="T13" fmla="*/ T12 w 1334"/>
                              <a:gd name="T14" fmla="+- 0 -678 -678"/>
                              <a:gd name="T15" fmla="*/ -678 h 194"/>
                              <a:gd name="T16" fmla="+- 0 2652 2652"/>
                              <a:gd name="T17" fmla="*/ T16 w 1334"/>
                              <a:gd name="T18" fmla="+- 0 -484 -678"/>
                              <a:gd name="T19" fmla="*/ -484 h 194"/>
                            </a:gdLst>
                            <a:ahLst/>
                            <a:cxnLst>
                              <a:cxn ang="0">
                                <a:pos x="T1" y="T3"/>
                              </a:cxn>
                              <a:cxn ang="0">
                                <a:pos x="T5" y="T7"/>
                              </a:cxn>
                              <a:cxn ang="0">
                                <a:pos x="T9" y="T11"/>
                              </a:cxn>
                              <a:cxn ang="0">
                                <a:pos x="T13" y="T15"/>
                              </a:cxn>
                              <a:cxn ang="0">
                                <a:pos x="T17" y="T19"/>
                              </a:cxn>
                            </a:cxnLst>
                            <a:rect l="0" t="0" r="r" b="b"/>
                            <a:pathLst>
                              <a:path w="1334" h="194">
                                <a:moveTo>
                                  <a:pt x="0" y="194"/>
                                </a:moveTo>
                                <a:lnTo>
                                  <a:pt x="1334" y="194"/>
                                </a:lnTo>
                                <a:lnTo>
                                  <a:pt x="1334" y="0"/>
                                </a:lnTo>
                                <a:lnTo>
                                  <a:pt x="0" y="0"/>
                                </a:lnTo>
                                <a:lnTo>
                                  <a:pt x="0" y="19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DEDDE" id="Grupo 27" o:spid="_x0000_s1026" style="position:absolute;margin-left:132.6pt;margin-top:-33.9pt;width:66.7pt;height:9.7pt;z-index:-251617280;mso-position-horizontal-relative:page" coordorigin="2652,-678" coordsize="1334,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">
                <v:shape id="Freeform 55" o:spid="_x0000_s1027" style="position:absolute;left:2652;top:-678;width:1334;height:194;visibility:visible;mso-wrap-style:square;v-text-anchor:top" coordsize="1334,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h9C70A&#10;AADbAAAADwAAAGRycy9kb3ducmV2LnhtbERPSwrCMBDdC94hjOBGNFXwQzWKCoIggr8DjM3YFptJ&#10;aaKttzcLweXj/RerxhTiTZXLLSsYDiIQxInVOacKbtddfwbCeWSNhWVS8CEHq2W7tcBY25rP9L74&#10;VIQQdjEqyLwvYyldkpFBN7AlceAetjLoA6xSqSusQ7gp5CiKJtJgzqEhw5K2GSXPy8sokJ6vtekN&#10;T+PTYVo2ezul4+auVLfTrOcgPDX+L/6591rBKIwNX8IPkM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Bh9C70AAADbAAAADwAAAAAAAAAAAAAAAACYAgAAZHJzL2Rvd25yZXYu&#10;eG1sUEsFBgAAAAAEAAQA9QAAAIIDAAAAAA==&#10;" path="m,194r1334,l1334,,,,,194e" stroked="f">
                  <v:path arrowok="t" o:connecttype="custom" o:connectlocs="0,-484;1334,-484;1334,-678;0,-678;0,-484" o:connectangles="0,0,0,0,0"/>
                </v:shape>
                <w10:wrap anchorx="page"/>
              </v:group>
            </w:pict>
          </mc:Fallback>
        </mc:AlternateContent>
      </w:r>
      <w:r w:rsidRPr="006312E8">
        <w:rPr>
          <w:rFonts w:ascii="Calibri" w:eastAsia="Calibri" w:hAnsi="Calibri" w:cs="Times New Roman"/>
          <w:noProof/>
          <w:sz w:val="16"/>
          <w:szCs w:val="16"/>
          <w:lang w:val="es-MX" w:eastAsia="es-MX"/>
        </w:rPr>
        <mc:AlternateContent>
          <mc:Choice Requires="wpg">
            <w:drawing>
              <wp:anchor distT="0" distB="0" distL="114300" distR="114300" simplePos="0" relativeHeight="251700224" behindDoc="1" locked="0" layoutInCell="1" allowOverlap="1" wp14:anchorId="18912046" wp14:editId="128FE763">
                <wp:simplePos x="0" y="0"/>
                <wp:positionH relativeFrom="page">
                  <wp:posOffset>588010</wp:posOffset>
                </wp:positionH>
                <wp:positionV relativeFrom="paragraph">
                  <wp:posOffset>-430530</wp:posOffset>
                </wp:positionV>
                <wp:extent cx="1028700" cy="123190"/>
                <wp:effectExtent l="0" t="3175" r="2540" b="0"/>
                <wp:wrapNone/>
                <wp:docPr id="25" name="Grupo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123190"/>
                          <a:chOff x="926" y="-678"/>
                          <a:chExt cx="1620" cy="194"/>
                        </a:xfrm>
                      </wpg:grpSpPr>
                      <wps:wsp>
                        <wps:cNvPr id="26" name="Freeform 57"/>
                        <wps:cNvSpPr>
                          <a:spLocks/>
                        </wps:cNvSpPr>
                        <wps:spPr bwMode="auto">
                          <a:xfrm>
                            <a:off x="926" y="-678"/>
                            <a:ext cx="1620" cy="194"/>
                          </a:xfrm>
                          <a:custGeom>
                            <a:avLst/>
                            <a:gdLst>
                              <a:gd name="T0" fmla="+- 0 926 926"/>
                              <a:gd name="T1" fmla="*/ T0 w 1620"/>
                              <a:gd name="T2" fmla="+- 0 -484 -678"/>
                              <a:gd name="T3" fmla="*/ -484 h 194"/>
                              <a:gd name="T4" fmla="+- 0 2546 926"/>
                              <a:gd name="T5" fmla="*/ T4 w 1620"/>
                              <a:gd name="T6" fmla="+- 0 -484 -678"/>
                              <a:gd name="T7" fmla="*/ -484 h 194"/>
                              <a:gd name="T8" fmla="+- 0 2546 926"/>
                              <a:gd name="T9" fmla="*/ T8 w 1620"/>
                              <a:gd name="T10" fmla="+- 0 -678 -678"/>
                              <a:gd name="T11" fmla="*/ -678 h 194"/>
                              <a:gd name="T12" fmla="+- 0 926 926"/>
                              <a:gd name="T13" fmla="*/ T12 w 1620"/>
                              <a:gd name="T14" fmla="+- 0 -678 -678"/>
                              <a:gd name="T15" fmla="*/ -678 h 194"/>
                              <a:gd name="T16" fmla="+- 0 926 926"/>
                              <a:gd name="T17" fmla="*/ T16 w 1620"/>
                              <a:gd name="T18" fmla="+- 0 -484 -678"/>
                              <a:gd name="T19" fmla="*/ -484 h 194"/>
                            </a:gdLst>
                            <a:ahLst/>
                            <a:cxnLst>
                              <a:cxn ang="0">
                                <a:pos x="T1" y="T3"/>
                              </a:cxn>
                              <a:cxn ang="0">
                                <a:pos x="T5" y="T7"/>
                              </a:cxn>
                              <a:cxn ang="0">
                                <a:pos x="T9" y="T11"/>
                              </a:cxn>
                              <a:cxn ang="0">
                                <a:pos x="T13" y="T15"/>
                              </a:cxn>
                              <a:cxn ang="0">
                                <a:pos x="T17" y="T19"/>
                              </a:cxn>
                            </a:cxnLst>
                            <a:rect l="0" t="0" r="r" b="b"/>
                            <a:pathLst>
                              <a:path w="1620" h="194">
                                <a:moveTo>
                                  <a:pt x="0" y="194"/>
                                </a:moveTo>
                                <a:lnTo>
                                  <a:pt x="1620" y="194"/>
                                </a:lnTo>
                                <a:lnTo>
                                  <a:pt x="1620" y="0"/>
                                </a:lnTo>
                                <a:lnTo>
                                  <a:pt x="0" y="0"/>
                                </a:lnTo>
                                <a:lnTo>
                                  <a:pt x="0" y="19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9E9A4B" id="Grupo 25" o:spid="_x0000_s1026" style="position:absolute;margin-left:46.3pt;margin-top:-33.9pt;width:81pt;height:9.7pt;z-index:-251616256;mso-position-horizontal-relative:page" coordorigin="926,-678" coordsize="1620,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">
                <v:shape id="Freeform 57" o:spid="_x0000_s1027" style="position:absolute;left:926;top:-678;width:1620;height:194;visibility:visible;mso-wrap-style:square;v-text-anchor:top" coordsize="1620,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IoesQA&#10;AADbAAAADwAAAGRycy9kb3ducmV2LnhtbESPQWvCQBSE7wX/w/KE3upGKaLRVbRUKPRUo3h9Zp9J&#10;NPs27K5J2l/fLRQ8DjPzDbNc96YWLTlfWVYwHiUgiHOrKy4UHLLdywyED8gaa8uk4Js8rFeDpyWm&#10;2nb8Re0+FCJC2KeooAyhSaX0eUkG/cg2xNG7WGcwROkKqR12EW5qOUmSqTRYcVwosaG3kvLb/m4U&#10;bNtM20v3+fM+q6/ZkV/Pp/nJKfU87DcLEIH68Aj/tz+0gskU/r7E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iKHrEAAAA2wAAAA8AAAAAAAAAAAAAAAAAmAIAAGRycy9k&#10;b3ducmV2LnhtbFBLBQYAAAAABAAEAPUAAACJAwAAAAA=&#10;" path="m,194r1620,l1620,,,,,194e" stroked="f">
                  <v:path arrowok="t" o:connecttype="custom" o:connectlocs="0,-484;1620,-484;1620,-678;0,-678;0,-484" o:connectangles="0,0,0,0,0"/>
                </v:shape>
                <w10:wrap anchorx="page"/>
              </v:group>
            </w:pict>
          </mc:Fallback>
        </mc:AlternateContent>
      </w:r>
      <w:r w:rsidRPr="006312E8">
        <w:rPr>
          <w:rFonts w:ascii="Calibri" w:eastAsia="Calibri" w:hAnsi="Calibri" w:cs="Times New Roman"/>
          <w:noProof/>
          <w:sz w:val="16"/>
          <w:szCs w:val="16"/>
          <w:lang w:val="es-MX" w:eastAsia="es-MX"/>
        </w:rPr>
        <mc:AlternateContent>
          <mc:Choice Requires="wpg">
            <w:drawing>
              <wp:anchor distT="0" distB="0" distL="114300" distR="114300" simplePos="0" relativeHeight="251701248" behindDoc="1" locked="0" layoutInCell="1" allowOverlap="1" wp14:anchorId="35AC7F28" wp14:editId="3596F23B">
                <wp:simplePos x="0" y="0"/>
                <wp:positionH relativeFrom="page">
                  <wp:posOffset>2598420</wp:posOffset>
                </wp:positionH>
                <wp:positionV relativeFrom="paragraph">
                  <wp:posOffset>-240030</wp:posOffset>
                </wp:positionV>
                <wp:extent cx="847090" cy="123190"/>
                <wp:effectExtent l="0" t="3175" r="2540" b="0"/>
                <wp:wrapNone/>
                <wp:docPr id="23" name="Grupo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7090" cy="123190"/>
                          <a:chOff x="4092" y="-378"/>
                          <a:chExt cx="1334" cy="194"/>
                        </a:xfrm>
                      </wpg:grpSpPr>
                      <wps:wsp>
                        <wps:cNvPr id="24" name="Freeform 59"/>
                        <wps:cNvSpPr>
                          <a:spLocks/>
                        </wps:cNvSpPr>
                        <wps:spPr bwMode="auto">
                          <a:xfrm>
                            <a:off x="4092" y="-378"/>
                            <a:ext cx="1334" cy="194"/>
                          </a:xfrm>
                          <a:custGeom>
                            <a:avLst/>
                            <a:gdLst>
                              <a:gd name="T0" fmla="+- 0 4092 4092"/>
                              <a:gd name="T1" fmla="*/ T0 w 1334"/>
                              <a:gd name="T2" fmla="+- 0 -184 -378"/>
                              <a:gd name="T3" fmla="*/ -184 h 194"/>
                              <a:gd name="T4" fmla="+- 0 5426 4092"/>
                              <a:gd name="T5" fmla="*/ T4 w 1334"/>
                              <a:gd name="T6" fmla="+- 0 -184 -378"/>
                              <a:gd name="T7" fmla="*/ -184 h 194"/>
                              <a:gd name="T8" fmla="+- 0 5426 4092"/>
                              <a:gd name="T9" fmla="*/ T8 w 1334"/>
                              <a:gd name="T10" fmla="+- 0 -378 -378"/>
                              <a:gd name="T11" fmla="*/ -378 h 194"/>
                              <a:gd name="T12" fmla="+- 0 4092 4092"/>
                              <a:gd name="T13" fmla="*/ T12 w 1334"/>
                              <a:gd name="T14" fmla="+- 0 -378 -378"/>
                              <a:gd name="T15" fmla="*/ -378 h 194"/>
                              <a:gd name="T16" fmla="+- 0 4092 4092"/>
                              <a:gd name="T17" fmla="*/ T16 w 1334"/>
                              <a:gd name="T18" fmla="+- 0 -184 -378"/>
                              <a:gd name="T19" fmla="*/ -184 h 194"/>
                            </a:gdLst>
                            <a:ahLst/>
                            <a:cxnLst>
                              <a:cxn ang="0">
                                <a:pos x="T1" y="T3"/>
                              </a:cxn>
                              <a:cxn ang="0">
                                <a:pos x="T5" y="T7"/>
                              </a:cxn>
                              <a:cxn ang="0">
                                <a:pos x="T9" y="T11"/>
                              </a:cxn>
                              <a:cxn ang="0">
                                <a:pos x="T13" y="T15"/>
                              </a:cxn>
                              <a:cxn ang="0">
                                <a:pos x="T17" y="T19"/>
                              </a:cxn>
                            </a:cxnLst>
                            <a:rect l="0" t="0" r="r" b="b"/>
                            <a:pathLst>
                              <a:path w="1334" h="194">
                                <a:moveTo>
                                  <a:pt x="0" y="194"/>
                                </a:moveTo>
                                <a:lnTo>
                                  <a:pt x="1334" y="194"/>
                                </a:lnTo>
                                <a:lnTo>
                                  <a:pt x="1334" y="0"/>
                                </a:lnTo>
                                <a:lnTo>
                                  <a:pt x="0" y="0"/>
                                </a:lnTo>
                                <a:lnTo>
                                  <a:pt x="0" y="19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DF50C3" id="Grupo 23" o:spid="_x0000_s1026" style="position:absolute;margin-left:204.6pt;margin-top:-18.9pt;width:66.7pt;height:9.7pt;z-index:-251615232;mso-position-horizontal-relative:page" coordorigin="4092,-378" coordsize="1334,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">
                <v:shape id="Freeform 59" o:spid="_x0000_s1027" style="position:absolute;left:4092;top:-378;width:1334;height:194;visibility:visible;mso-wrap-style:square;v-text-anchor:top" coordsize="1334,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V3DsQA&#10;AADbAAAADwAAAGRycy9kb3ducmV2LnhtbESP0WrCQBRE3wv+w3KFvhTdJLQq0TVooRAohVT9gGv2&#10;mgSzd0N2m6R/3y0U+jjMzBlml02mFQP1rrGsIF5GIIhLqxuuFFzOb4sNCOeRNbaWScE3Ocj2s4cd&#10;ptqO/EnDyVciQNilqKD2vkuldGVNBt3SdsTBu9neoA+yr6TucQxw08okilbSYMNhocaOXmsq76cv&#10;o0B6Po/mKS5eivd1N+V2TR/Hq1KP8+mwBeFp8v/hv3auFSTP8Psl/A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Vdw7EAAAA2wAAAA8AAAAAAAAAAAAAAAAAmAIAAGRycy9k&#10;b3ducmV2LnhtbFBLBQYAAAAABAAEAPUAAACJAwAAAAA=&#10;" path="m,194r1334,l1334,,,,,194e" stroked="f">
                  <v:path arrowok="t" o:connecttype="custom" o:connectlocs="0,-184;1334,-184;1334,-378;0,-378;0,-184" o:connectangles="0,0,0,0,0"/>
                </v:shape>
                <w10:wrap anchorx="page"/>
              </v:group>
            </w:pict>
          </mc:Fallback>
        </mc:AlternateContent>
      </w:r>
      <w:r w:rsidRPr="006312E8">
        <w:rPr>
          <w:rFonts w:ascii="Calibri" w:eastAsia="Calibri" w:hAnsi="Calibri" w:cs="Times New Roman"/>
          <w:noProof/>
          <w:sz w:val="16"/>
          <w:szCs w:val="16"/>
          <w:lang w:val="es-MX" w:eastAsia="es-MX"/>
        </w:rPr>
        <mc:AlternateContent>
          <mc:Choice Requires="wpg">
            <w:drawing>
              <wp:anchor distT="0" distB="0" distL="114300" distR="114300" simplePos="0" relativeHeight="251702272" behindDoc="1" locked="0" layoutInCell="1" allowOverlap="1" wp14:anchorId="7AD78CF5" wp14:editId="3A4796CE">
                <wp:simplePos x="0" y="0"/>
                <wp:positionH relativeFrom="page">
                  <wp:posOffset>1684020</wp:posOffset>
                </wp:positionH>
                <wp:positionV relativeFrom="paragraph">
                  <wp:posOffset>-240030</wp:posOffset>
                </wp:positionV>
                <wp:extent cx="847090" cy="123190"/>
                <wp:effectExtent l="0" t="3175" r="2540" b="0"/>
                <wp:wrapNone/>
                <wp:docPr id="21" name="Grupo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7090" cy="123190"/>
                          <a:chOff x="2652" y="-378"/>
                          <a:chExt cx="1334" cy="194"/>
                        </a:xfrm>
                      </wpg:grpSpPr>
                      <wps:wsp>
                        <wps:cNvPr id="22" name="Freeform 61"/>
                        <wps:cNvSpPr>
                          <a:spLocks/>
                        </wps:cNvSpPr>
                        <wps:spPr bwMode="auto">
                          <a:xfrm>
                            <a:off x="2652" y="-378"/>
                            <a:ext cx="1334" cy="194"/>
                          </a:xfrm>
                          <a:custGeom>
                            <a:avLst/>
                            <a:gdLst>
                              <a:gd name="T0" fmla="+- 0 2652 2652"/>
                              <a:gd name="T1" fmla="*/ T0 w 1334"/>
                              <a:gd name="T2" fmla="+- 0 -184 -378"/>
                              <a:gd name="T3" fmla="*/ -184 h 194"/>
                              <a:gd name="T4" fmla="+- 0 3986 2652"/>
                              <a:gd name="T5" fmla="*/ T4 w 1334"/>
                              <a:gd name="T6" fmla="+- 0 -184 -378"/>
                              <a:gd name="T7" fmla="*/ -184 h 194"/>
                              <a:gd name="T8" fmla="+- 0 3986 2652"/>
                              <a:gd name="T9" fmla="*/ T8 w 1334"/>
                              <a:gd name="T10" fmla="+- 0 -378 -378"/>
                              <a:gd name="T11" fmla="*/ -378 h 194"/>
                              <a:gd name="T12" fmla="+- 0 2652 2652"/>
                              <a:gd name="T13" fmla="*/ T12 w 1334"/>
                              <a:gd name="T14" fmla="+- 0 -378 -378"/>
                              <a:gd name="T15" fmla="*/ -378 h 194"/>
                              <a:gd name="T16" fmla="+- 0 2652 2652"/>
                              <a:gd name="T17" fmla="*/ T16 w 1334"/>
                              <a:gd name="T18" fmla="+- 0 -184 -378"/>
                              <a:gd name="T19" fmla="*/ -184 h 194"/>
                            </a:gdLst>
                            <a:ahLst/>
                            <a:cxnLst>
                              <a:cxn ang="0">
                                <a:pos x="T1" y="T3"/>
                              </a:cxn>
                              <a:cxn ang="0">
                                <a:pos x="T5" y="T7"/>
                              </a:cxn>
                              <a:cxn ang="0">
                                <a:pos x="T9" y="T11"/>
                              </a:cxn>
                              <a:cxn ang="0">
                                <a:pos x="T13" y="T15"/>
                              </a:cxn>
                              <a:cxn ang="0">
                                <a:pos x="T17" y="T19"/>
                              </a:cxn>
                            </a:cxnLst>
                            <a:rect l="0" t="0" r="r" b="b"/>
                            <a:pathLst>
                              <a:path w="1334" h="194">
                                <a:moveTo>
                                  <a:pt x="0" y="194"/>
                                </a:moveTo>
                                <a:lnTo>
                                  <a:pt x="1334" y="194"/>
                                </a:lnTo>
                                <a:lnTo>
                                  <a:pt x="1334" y="0"/>
                                </a:lnTo>
                                <a:lnTo>
                                  <a:pt x="0" y="0"/>
                                </a:lnTo>
                                <a:lnTo>
                                  <a:pt x="0" y="19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874F2A" id="Grupo 21" o:spid="_x0000_s1026" style="position:absolute;margin-left:132.6pt;margin-top:-18.9pt;width:66.7pt;height:9.7pt;z-index:-251614208;mso-position-horizontal-relative:page" coordorigin="2652,-378" coordsize="1334,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">
                <v:shape id="Freeform 61" o:spid="_x0000_s1027" style="position:absolute;left:2652;top:-378;width:1334;height:194;visibility:visible;mso-wrap-style:square;v-text-anchor:top" coordsize="1334,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BK4cEA&#10;AADbAAAADwAAAGRycy9kb3ducmV2LnhtbESP3YrCMBSE7xd8h3AEbxZNLbhKNYoKgiCCfw9wbI5t&#10;sTkpTbT17Y0g7OUwM98ws0VrSvGk2hWWFQwHEQji1OqCMwWX86Y/AeE8ssbSMil4kYPFvPMzw0Tb&#10;ho/0PPlMBAi7BBXk3leJlC7NyaAb2Io4eDdbG/RB1pnUNTYBbkoZR9GfNFhwWMixonVO6f30MAqk&#10;53NjfoeH0WE3rtqtHdN+dVWq122XUxCeWv8f/ra3WkEcw+dL+AFy/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wSuHBAAAA2wAAAA8AAAAAAAAAAAAAAAAAmAIAAGRycy9kb3du&#10;cmV2LnhtbFBLBQYAAAAABAAEAPUAAACGAwAAAAA=&#10;" path="m,194r1334,l1334,,,,,194e" stroked="f">
                  <v:path arrowok="t" o:connecttype="custom" o:connectlocs="0,-184;1334,-184;1334,-378;0,-378;0,-184" o:connectangles="0,0,0,0,0"/>
                </v:shape>
                <w10:wrap anchorx="page"/>
              </v:group>
            </w:pict>
          </mc:Fallback>
        </mc:AlternateContent>
      </w:r>
      <w:r w:rsidRPr="006312E8">
        <w:rPr>
          <w:rFonts w:ascii="Calibri" w:eastAsia="Calibri" w:hAnsi="Calibri" w:cs="Times New Roman"/>
          <w:noProof/>
          <w:sz w:val="16"/>
          <w:szCs w:val="16"/>
          <w:lang w:val="es-MX" w:eastAsia="es-MX"/>
        </w:rPr>
        <mc:AlternateContent>
          <mc:Choice Requires="wpg">
            <w:drawing>
              <wp:anchor distT="0" distB="0" distL="114300" distR="114300" simplePos="0" relativeHeight="251703296" behindDoc="1" locked="0" layoutInCell="1" allowOverlap="1" wp14:anchorId="677123CA" wp14:editId="7A76FD1B">
                <wp:simplePos x="0" y="0"/>
                <wp:positionH relativeFrom="page">
                  <wp:posOffset>588010</wp:posOffset>
                </wp:positionH>
                <wp:positionV relativeFrom="paragraph">
                  <wp:posOffset>-240030</wp:posOffset>
                </wp:positionV>
                <wp:extent cx="1028700" cy="123190"/>
                <wp:effectExtent l="0" t="3175" r="2540" b="0"/>
                <wp:wrapNone/>
                <wp:docPr id="19" name="Grupo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123190"/>
                          <a:chOff x="926" y="-378"/>
                          <a:chExt cx="1620" cy="194"/>
                        </a:xfrm>
                      </wpg:grpSpPr>
                      <wps:wsp>
                        <wps:cNvPr id="20" name="Freeform 63"/>
                        <wps:cNvSpPr>
                          <a:spLocks/>
                        </wps:cNvSpPr>
                        <wps:spPr bwMode="auto">
                          <a:xfrm>
                            <a:off x="926" y="-378"/>
                            <a:ext cx="1620" cy="194"/>
                          </a:xfrm>
                          <a:custGeom>
                            <a:avLst/>
                            <a:gdLst>
                              <a:gd name="T0" fmla="+- 0 926 926"/>
                              <a:gd name="T1" fmla="*/ T0 w 1620"/>
                              <a:gd name="T2" fmla="+- 0 -184 -378"/>
                              <a:gd name="T3" fmla="*/ -184 h 194"/>
                              <a:gd name="T4" fmla="+- 0 2546 926"/>
                              <a:gd name="T5" fmla="*/ T4 w 1620"/>
                              <a:gd name="T6" fmla="+- 0 -184 -378"/>
                              <a:gd name="T7" fmla="*/ -184 h 194"/>
                              <a:gd name="T8" fmla="+- 0 2546 926"/>
                              <a:gd name="T9" fmla="*/ T8 w 1620"/>
                              <a:gd name="T10" fmla="+- 0 -378 -378"/>
                              <a:gd name="T11" fmla="*/ -378 h 194"/>
                              <a:gd name="T12" fmla="+- 0 926 926"/>
                              <a:gd name="T13" fmla="*/ T12 w 1620"/>
                              <a:gd name="T14" fmla="+- 0 -378 -378"/>
                              <a:gd name="T15" fmla="*/ -378 h 194"/>
                              <a:gd name="T16" fmla="+- 0 926 926"/>
                              <a:gd name="T17" fmla="*/ T16 w 1620"/>
                              <a:gd name="T18" fmla="+- 0 -184 -378"/>
                              <a:gd name="T19" fmla="*/ -184 h 194"/>
                            </a:gdLst>
                            <a:ahLst/>
                            <a:cxnLst>
                              <a:cxn ang="0">
                                <a:pos x="T1" y="T3"/>
                              </a:cxn>
                              <a:cxn ang="0">
                                <a:pos x="T5" y="T7"/>
                              </a:cxn>
                              <a:cxn ang="0">
                                <a:pos x="T9" y="T11"/>
                              </a:cxn>
                              <a:cxn ang="0">
                                <a:pos x="T13" y="T15"/>
                              </a:cxn>
                              <a:cxn ang="0">
                                <a:pos x="T17" y="T19"/>
                              </a:cxn>
                            </a:cxnLst>
                            <a:rect l="0" t="0" r="r" b="b"/>
                            <a:pathLst>
                              <a:path w="1620" h="194">
                                <a:moveTo>
                                  <a:pt x="0" y="194"/>
                                </a:moveTo>
                                <a:lnTo>
                                  <a:pt x="1620" y="194"/>
                                </a:lnTo>
                                <a:lnTo>
                                  <a:pt x="1620" y="0"/>
                                </a:lnTo>
                                <a:lnTo>
                                  <a:pt x="0" y="0"/>
                                </a:lnTo>
                                <a:lnTo>
                                  <a:pt x="0" y="19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D1BB54" id="Grupo 19" o:spid="_x0000_s1026" style="position:absolute;margin-left:46.3pt;margin-top:-18.9pt;width:81pt;height:9.7pt;z-index:-251613184;mso-position-horizontal-relative:page" coordorigin="926,-378" coordsize="1620,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">
                <v:shape id="Freeform 63" o:spid="_x0000_s1027" style="position:absolute;left:926;top:-378;width:1620;height:194;visibility:visible;mso-wrap-style:square;v-text-anchor:top" coordsize="1620,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cVlcEA&#10;AADbAAAADwAAAGRycy9kb3ducmV2LnhtbERPz2vCMBS+C/sfwht403Qi4qpRNnEw8KSdeH02z7au&#10;eSlJ1nb+9eYgePz4fi/XvalFS85XlhW8jRMQxLnVFRcKfrKv0RyED8gaa8uk4J88rFcvgyWm2na8&#10;p/YQChFD2KeooAyhSaX0eUkG/dg2xJG7WGcwROgKqR12MdzUcpIkM2mw4thQYkObkvLfw59R8Nlm&#10;2l663W07r6/Zkafn0/vJKTV87T8WIAL14Sl+uL+1gk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HFZXBAAAA2wAAAA8AAAAAAAAAAAAAAAAAmAIAAGRycy9kb3du&#10;cmV2LnhtbFBLBQYAAAAABAAEAPUAAACGAwAAAAA=&#10;" path="m,194r1620,l1620,,,,,194e" stroked="f">
                  <v:path arrowok="t" o:connecttype="custom" o:connectlocs="0,-184;1620,-184;1620,-378;0,-378;0,-184" o:connectangles="0,0,0,0,0"/>
                </v:shape>
                <w10:wrap anchorx="page"/>
              </v:group>
            </w:pict>
          </mc:Fallback>
        </mc:AlternateContent>
      </w:r>
      <w:r w:rsidRPr="006312E8">
        <w:rPr>
          <w:rFonts w:ascii="Arial Narrow" w:eastAsia="Calibri" w:hAnsi="Arial Narrow" w:cs="Arial"/>
          <w:b/>
          <w:sz w:val="16"/>
          <w:szCs w:val="16"/>
          <w:lang w:val="es-ES"/>
        </w:rPr>
        <w:t>6.1</w:t>
      </w:r>
      <w:r w:rsidRPr="006312E8">
        <w:rPr>
          <w:rFonts w:ascii="Arial" w:eastAsia="Calibri" w:hAnsi="Arial" w:cs="Arial"/>
          <w:b/>
          <w:sz w:val="16"/>
          <w:szCs w:val="16"/>
          <w:lang w:val="es-ES"/>
        </w:rPr>
        <w:t xml:space="preserve"> </w:t>
      </w:r>
      <w:r w:rsidRPr="006312E8">
        <w:rPr>
          <w:rFonts w:ascii="Arial Narrow" w:eastAsia="Calibri" w:hAnsi="Arial Narrow" w:cs="Arial"/>
          <w:b/>
          <w:sz w:val="16"/>
          <w:szCs w:val="16"/>
        </w:rPr>
        <w:t>DETERMINACIÓN DE SUPERPOSICIONES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2268"/>
        <w:gridCol w:w="993"/>
        <w:gridCol w:w="1134"/>
        <w:gridCol w:w="992"/>
        <w:gridCol w:w="1417"/>
        <w:gridCol w:w="993"/>
      </w:tblGrid>
      <w:tr w:rsidR="006312E8" w:rsidRPr="006312E8" w:rsidTr="00D04998">
        <w:tc>
          <w:tcPr>
            <w:tcW w:w="2376" w:type="dxa"/>
            <w:vMerge w:val="restart"/>
            <w:vAlign w:val="center"/>
          </w:tcPr>
          <w:p w:rsidR="006312E8" w:rsidRPr="006312E8" w:rsidRDefault="006312E8" w:rsidP="006312E8">
            <w:pPr>
              <w:spacing w:before="42" w:after="0" w:line="240" w:lineRule="auto"/>
              <w:ind w:right="-20"/>
              <w:jc w:val="center"/>
              <w:rPr>
                <w:rFonts w:ascii="Arial Narrow" w:eastAsia="Calibri" w:hAnsi="Arial Narrow" w:cs="Arial Narrow"/>
                <w:b/>
                <w:spacing w:val="1"/>
                <w:sz w:val="14"/>
                <w:szCs w:val="14"/>
              </w:rPr>
            </w:pPr>
            <w:r w:rsidRPr="006312E8">
              <w:rPr>
                <w:rFonts w:ascii="Arial Narrow" w:eastAsia="Calibri" w:hAnsi="Arial Narrow" w:cs="Arial Narrow"/>
                <w:b/>
                <w:spacing w:val="1"/>
                <w:sz w:val="14"/>
                <w:szCs w:val="14"/>
              </w:rPr>
              <w:t>ENTIDAD</w:t>
            </w:r>
          </w:p>
        </w:tc>
        <w:tc>
          <w:tcPr>
            <w:tcW w:w="2268" w:type="dxa"/>
            <w:vMerge w:val="restart"/>
            <w:vAlign w:val="center"/>
          </w:tcPr>
          <w:p w:rsidR="006312E8" w:rsidRPr="006312E8" w:rsidRDefault="006312E8" w:rsidP="006312E8">
            <w:pPr>
              <w:spacing w:before="42" w:after="0" w:line="240" w:lineRule="auto"/>
              <w:ind w:right="-20"/>
              <w:jc w:val="center"/>
              <w:rPr>
                <w:rFonts w:ascii="Arial Narrow" w:eastAsia="Calibri" w:hAnsi="Arial Narrow" w:cs="Arial Narrow"/>
                <w:b/>
                <w:spacing w:val="1"/>
                <w:sz w:val="14"/>
                <w:szCs w:val="14"/>
              </w:rPr>
            </w:pPr>
            <w:r w:rsidRPr="006312E8">
              <w:rPr>
                <w:rFonts w:ascii="Arial Narrow" w:eastAsia="Calibri" w:hAnsi="Arial Narrow" w:cs="Arial Narrow"/>
                <w:b/>
                <w:spacing w:val="1"/>
                <w:sz w:val="14"/>
                <w:szCs w:val="14"/>
              </w:rPr>
              <w:t>DENOMINACIÓN DEL INMUEBLE</w:t>
            </w:r>
          </w:p>
        </w:tc>
        <w:tc>
          <w:tcPr>
            <w:tcW w:w="2127" w:type="dxa"/>
            <w:gridSpan w:val="2"/>
            <w:vAlign w:val="center"/>
          </w:tcPr>
          <w:p w:rsidR="006312E8" w:rsidRPr="006312E8" w:rsidRDefault="006312E8" w:rsidP="006312E8">
            <w:pPr>
              <w:spacing w:before="42" w:after="0" w:line="240" w:lineRule="auto"/>
              <w:ind w:right="-20"/>
              <w:jc w:val="center"/>
              <w:rPr>
                <w:rFonts w:ascii="Arial Narrow" w:eastAsia="Calibri" w:hAnsi="Arial Narrow" w:cs="Arial Narrow"/>
                <w:b/>
                <w:spacing w:val="1"/>
                <w:sz w:val="14"/>
                <w:szCs w:val="14"/>
              </w:rPr>
            </w:pPr>
            <w:r w:rsidRPr="006312E8">
              <w:rPr>
                <w:rFonts w:ascii="Arial Narrow" w:eastAsia="Calibri" w:hAnsi="Arial Narrow" w:cs="Arial Narrow"/>
                <w:b/>
                <w:spacing w:val="1"/>
                <w:sz w:val="14"/>
                <w:szCs w:val="14"/>
              </w:rPr>
              <w:t>SUPERPOSICIÓN</w:t>
            </w:r>
          </w:p>
        </w:tc>
        <w:tc>
          <w:tcPr>
            <w:tcW w:w="992" w:type="dxa"/>
            <w:vAlign w:val="center"/>
          </w:tcPr>
          <w:p w:rsidR="006312E8" w:rsidRPr="006312E8" w:rsidRDefault="006312E8" w:rsidP="006312E8">
            <w:pPr>
              <w:spacing w:before="42" w:after="0" w:line="240" w:lineRule="auto"/>
              <w:ind w:right="-20"/>
              <w:jc w:val="center"/>
              <w:rPr>
                <w:rFonts w:ascii="Arial Narrow" w:eastAsia="Calibri" w:hAnsi="Arial Narrow" w:cs="Arial Narrow"/>
                <w:b/>
                <w:spacing w:val="1"/>
                <w:sz w:val="14"/>
                <w:szCs w:val="14"/>
              </w:rPr>
            </w:pPr>
            <w:r w:rsidRPr="006312E8">
              <w:rPr>
                <w:rFonts w:ascii="Arial Narrow" w:eastAsia="Calibri" w:hAnsi="Arial Narrow" w:cs="Arial Narrow"/>
                <w:b/>
                <w:spacing w:val="1"/>
                <w:sz w:val="14"/>
                <w:szCs w:val="14"/>
              </w:rPr>
              <w:t>FECHA VIGENCIA</w:t>
            </w:r>
          </w:p>
        </w:tc>
        <w:tc>
          <w:tcPr>
            <w:tcW w:w="1417" w:type="dxa"/>
            <w:vMerge w:val="restart"/>
            <w:vAlign w:val="center"/>
          </w:tcPr>
          <w:p w:rsidR="006312E8" w:rsidRPr="006312E8" w:rsidRDefault="006312E8" w:rsidP="006312E8">
            <w:pPr>
              <w:spacing w:before="42" w:after="0" w:line="240" w:lineRule="auto"/>
              <w:ind w:right="-20"/>
              <w:jc w:val="center"/>
              <w:rPr>
                <w:rFonts w:ascii="Arial Narrow" w:eastAsia="Calibri" w:hAnsi="Arial Narrow" w:cs="Arial Narrow"/>
                <w:b/>
                <w:spacing w:val="1"/>
                <w:sz w:val="14"/>
                <w:szCs w:val="14"/>
              </w:rPr>
            </w:pPr>
            <w:r w:rsidRPr="006312E8">
              <w:rPr>
                <w:rFonts w:ascii="Arial Narrow" w:eastAsia="Calibri" w:hAnsi="Arial Narrow" w:cs="Arial Narrow"/>
                <w:b/>
                <w:spacing w:val="1"/>
                <w:sz w:val="14"/>
                <w:szCs w:val="14"/>
              </w:rPr>
              <w:t>INSCRIPCIÓN</w:t>
            </w:r>
          </w:p>
        </w:tc>
        <w:tc>
          <w:tcPr>
            <w:tcW w:w="993" w:type="dxa"/>
            <w:vMerge w:val="restart"/>
          </w:tcPr>
          <w:p w:rsidR="006312E8" w:rsidRPr="006312E8" w:rsidRDefault="006312E8" w:rsidP="006312E8">
            <w:pPr>
              <w:spacing w:before="42" w:after="0" w:line="240" w:lineRule="auto"/>
              <w:ind w:right="-20"/>
              <w:jc w:val="center"/>
              <w:rPr>
                <w:rFonts w:ascii="Arial Narrow" w:eastAsia="Calibri" w:hAnsi="Arial Narrow" w:cs="Arial Narrow"/>
                <w:b/>
                <w:spacing w:val="1"/>
                <w:sz w:val="14"/>
                <w:szCs w:val="14"/>
              </w:rPr>
            </w:pPr>
          </w:p>
          <w:p w:rsidR="006312E8" w:rsidRPr="006312E8" w:rsidRDefault="006312E8" w:rsidP="006312E8">
            <w:pPr>
              <w:spacing w:before="42" w:after="0" w:line="240" w:lineRule="auto"/>
              <w:ind w:right="-20"/>
              <w:jc w:val="center"/>
              <w:rPr>
                <w:rFonts w:ascii="Arial Narrow" w:eastAsia="Calibri" w:hAnsi="Arial Narrow" w:cs="Arial Narrow"/>
                <w:b/>
                <w:spacing w:val="1"/>
                <w:sz w:val="14"/>
                <w:szCs w:val="14"/>
              </w:rPr>
            </w:pPr>
            <w:r w:rsidRPr="006312E8">
              <w:rPr>
                <w:rFonts w:ascii="Arial Narrow" w:eastAsia="Calibri" w:hAnsi="Arial Narrow" w:cs="Arial Narrow"/>
                <w:b/>
                <w:spacing w:val="1"/>
                <w:sz w:val="14"/>
                <w:szCs w:val="14"/>
              </w:rPr>
              <w:t>PLANO  N°</w:t>
            </w:r>
          </w:p>
        </w:tc>
      </w:tr>
      <w:tr w:rsidR="006312E8" w:rsidRPr="006312E8" w:rsidTr="00D04998">
        <w:tc>
          <w:tcPr>
            <w:tcW w:w="2376" w:type="dxa"/>
            <w:vMerge/>
            <w:vAlign w:val="center"/>
          </w:tcPr>
          <w:p w:rsidR="006312E8" w:rsidRPr="006312E8" w:rsidRDefault="006312E8" w:rsidP="006312E8">
            <w:pPr>
              <w:spacing w:after="0" w:line="240" w:lineRule="auto"/>
              <w:jc w:val="center"/>
              <w:rPr>
                <w:rFonts w:ascii="Arial" w:eastAsia="Calibri" w:hAnsi="Arial" w:cs="Arial"/>
                <w:sz w:val="18"/>
                <w:szCs w:val="18"/>
              </w:rPr>
            </w:pPr>
          </w:p>
        </w:tc>
        <w:tc>
          <w:tcPr>
            <w:tcW w:w="2268" w:type="dxa"/>
            <w:vMerge/>
            <w:vAlign w:val="center"/>
          </w:tcPr>
          <w:p w:rsidR="006312E8" w:rsidRPr="006312E8" w:rsidRDefault="006312E8" w:rsidP="006312E8">
            <w:pPr>
              <w:spacing w:after="0" w:line="240" w:lineRule="auto"/>
              <w:jc w:val="center"/>
              <w:rPr>
                <w:rFonts w:ascii="Arial" w:eastAsia="Calibri" w:hAnsi="Arial" w:cs="Arial"/>
                <w:sz w:val="18"/>
                <w:szCs w:val="18"/>
              </w:rPr>
            </w:pPr>
          </w:p>
        </w:tc>
        <w:tc>
          <w:tcPr>
            <w:tcW w:w="993" w:type="dxa"/>
            <w:vAlign w:val="center"/>
          </w:tcPr>
          <w:p w:rsidR="006312E8" w:rsidRPr="006312E8" w:rsidRDefault="006312E8" w:rsidP="006312E8">
            <w:pPr>
              <w:spacing w:before="42" w:after="0" w:line="240" w:lineRule="auto"/>
              <w:ind w:right="-20"/>
              <w:jc w:val="center"/>
              <w:rPr>
                <w:rFonts w:ascii="Arial Narrow" w:eastAsia="Calibri" w:hAnsi="Arial Narrow" w:cs="Arial Narrow"/>
                <w:b/>
                <w:spacing w:val="1"/>
                <w:sz w:val="14"/>
                <w:szCs w:val="14"/>
              </w:rPr>
            </w:pPr>
            <w:r w:rsidRPr="006312E8">
              <w:rPr>
                <w:rFonts w:ascii="Arial Narrow" w:eastAsia="Calibri" w:hAnsi="Arial Narrow" w:cs="Arial Narrow"/>
                <w:b/>
                <w:spacing w:val="1"/>
                <w:sz w:val="14"/>
                <w:szCs w:val="14"/>
              </w:rPr>
              <w:t>%</w:t>
            </w:r>
          </w:p>
        </w:tc>
        <w:tc>
          <w:tcPr>
            <w:tcW w:w="1134" w:type="dxa"/>
          </w:tcPr>
          <w:p w:rsidR="006312E8" w:rsidRPr="006312E8" w:rsidRDefault="006312E8" w:rsidP="006312E8">
            <w:pPr>
              <w:spacing w:before="42" w:after="0" w:line="240" w:lineRule="auto"/>
              <w:ind w:right="-20"/>
              <w:jc w:val="center"/>
              <w:rPr>
                <w:rFonts w:ascii="Arial Narrow" w:eastAsia="Calibri" w:hAnsi="Arial Narrow" w:cs="Arial Narrow"/>
                <w:b/>
                <w:spacing w:val="1"/>
                <w:sz w:val="14"/>
                <w:szCs w:val="14"/>
              </w:rPr>
            </w:pPr>
            <w:r w:rsidRPr="006312E8">
              <w:rPr>
                <w:rFonts w:ascii="Arial Narrow" w:eastAsia="Calibri" w:hAnsi="Arial Narrow" w:cs="Arial Narrow"/>
                <w:b/>
                <w:spacing w:val="1"/>
                <w:sz w:val="14"/>
                <w:szCs w:val="14"/>
              </w:rPr>
              <w:t>m2</w:t>
            </w:r>
          </w:p>
        </w:tc>
        <w:tc>
          <w:tcPr>
            <w:tcW w:w="992" w:type="dxa"/>
            <w:vAlign w:val="center"/>
          </w:tcPr>
          <w:p w:rsidR="006312E8" w:rsidRPr="006312E8" w:rsidRDefault="006312E8" w:rsidP="006312E8">
            <w:pPr>
              <w:spacing w:after="0" w:line="240" w:lineRule="auto"/>
              <w:jc w:val="center"/>
              <w:rPr>
                <w:rFonts w:ascii="Arial" w:eastAsia="Calibri" w:hAnsi="Arial" w:cs="Arial"/>
                <w:sz w:val="18"/>
                <w:szCs w:val="18"/>
              </w:rPr>
            </w:pPr>
          </w:p>
        </w:tc>
        <w:tc>
          <w:tcPr>
            <w:tcW w:w="1417" w:type="dxa"/>
            <w:vMerge/>
            <w:vAlign w:val="center"/>
          </w:tcPr>
          <w:p w:rsidR="006312E8" w:rsidRPr="006312E8" w:rsidRDefault="006312E8" w:rsidP="006312E8">
            <w:pPr>
              <w:spacing w:after="0" w:line="240" w:lineRule="auto"/>
              <w:jc w:val="center"/>
              <w:rPr>
                <w:rFonts w:ascii="Arial" w:eastAsia="Calibri" w:hAnsi="Arial" w:cs="Arial"/>
                <w:sz w:val="18"/>
                <w:szCs w:val="18"/>
              </w:rPr>
            </w:pPr>
          </w:p>
        </w:tc>
        <w:tc>
          <w:tcPr>
            <w:tcW w:w="993" w:type="dxa"/>
            <w:vMerge/>
          </w:tcPr>
          <w:p w:rsidR="006312E8" w:rsidRPr="006312E8" w:rsidRDefault="006312E8" w:rsidP="006312E8">
            <w:pPr>
              <w:spacing w:after="0" w:line="240" w:lineRule="auto"/>
              <w:jc w:val="center"/>
              <w:rPr>
                <w:rFonts w:ascii="Arial" w:eastAsia="Calibri" w:hAnsi="Arial" w:cs="Arial"/>
                <w:sz w:val="18"/>
                <w:szCs w:val="18"/>
              </w:rPr>
            </w:pPr>
          </w:p>
        </w:tc>
      </w:tr>
      <w:tr w:rsidR="006312E8" w:rsidRPr="006312E8" w:rsidTr="00D04998">
        <w:tc>
          <w:tcPr>
            <w:tcW w:w="2376" w:type="dxa"/>
            <w:vAlign w:val="center"/>
          </w:tcPr>
          <w:p w:rsidR="006312E8" w:rsidRPr="006312E8" w:rsidRDefault="006312E8" w:rsidP="006312E8">
            <w:pPr>
              <w:spacing w:after="0" w:line="240" w:lineRule="auto"/>
              <w:jc w:val="center"/>
              <w:rPr>
                <w:rFonts w:ascii="Arial" w:eastAsia="Calibri" w:hAnsi="Arial" w:cs="Arial"/>
                <w:sz w:val="18"/>
                <w:szCs w:val="18"/>
              </w:rPr>
            </w:pPr>
          </w:p>
          <w:p w:rsidR="006312E8" w:rsidRPr="006312E8" w:rsidRDefault="006312E8" w:rsidP="006312E8">
            <w:pPr>
              <w:spacing w:after="0" w:line="240" w:lineRule="auto"/>
              <w:jc w:val="center"/>
              <w:rPr>
                <w:rFonts w:ascii="Arial" w:eastAsia="Calibri" w:hAnsi="Arial" w:cs="Arial"/>
                <w:sz w:val="18"/>
                <w:szCs w:val="18"/>
              </w:rPr>
            </w:pPr>
          </w:p>
        </w:tc>
        <w:tc>
          <w:tcPr>
            <w:tcW w:w="2268" w:type="dxa"/>
            <w:vAlign w:val="center"/>
          </w:tcPr>
          <w:p w:rsidR="006312E8" w:rsidRPr="006312E8" w:rsidRDefault="006312E8" w:rsidP="006312E8">
            <w:pPr>
              <w:spacing w:after="0" w:line="240" w:lineRule="auto"/>
              <w:jc w:val="center"/>
              <w:rPr>
                <w:rFonts w:ascii="Arial" w:eastAsia="Calibri" w:hAnsi="Arial" w:cs="Arial"/>
                <w:sz w:val="18"/>
                <w:szCs w:val="18"/>
              </w:rPr>
            </w:pPr>
          </w:p>
        </w:tc>
        <w:tc>
          <w:tcPr>
            <w:tcW w:w="993" w:type="dxa"/>
            <w:vAlign w:val="center"/>
          </w:tcPr>
          <w:p w:rsidR="006312E8" w:rsidRPr="006312E8" w:rsidRDefault="006312E8" w:rsidP="006312E8">
            <w:pPr>
              <w:spacing w:after="0" w:line="240" w:lineRule="auto"/>
              <w:jc w:val="center"/>
              <w:rPr>
                <w:rFonts w:ascii="Arial" w:eastAsia="Calibri" w:hAnsi="Arial" w:cs="Arial"/>
                <w:sz w:val="18"/>
                <w:szCs w:val="18"/>
              </w:rPr>
            </w:pPr>
          </w:p>
        </w:tc>
        <w:tc>
          <w:tcPr>
            <w:tcW w:w="1134" w:type="dxa"/>
          </w:tcPr>
          <w:p w:rsidR="006312E8" w:rsidRPr="006312E8" w:rsidRDefault="006312E8" w:rsidP="006312E8">
            <w:pPr>
              <w:spacing w:after="0" w:line="240" w:lineRule="auto"/>
              <w:jc w:val="center"/>
              <w:rPr>
                <w:rFonts w:ascii="Arial" w:eastAsia="Calibri" w:hAnsi="Arial" w:cs="Arial"/>
                <w:sz w:val="18"/>
                <w:szCs w:val="18"/>
              </w:rPr>
            </w:pPr>
          </w:p>
        </w:tc>
        <w:tc>
          <w:tcPr>
            <w:tcW w:w="992" w:type="dxa"/>
            <w:vAlign w:val="center"/>
          </w:tcPr>
          <w:p w:rsidR="006312E8" w:rsidRPr="006312E8" w:rsidRDefault="006312E8" w:rsidP="006312E8">
            <w:pPr>
              <w:spacing w:after="0" w:line="240" w:lineRule="auto"/>
              <w:jc w:val="center"/>
              <w:rPr>
                <w:rFonts w:ascii="Arial" w:eastAsia="Calibri" w:hAnsi="Arial" w:cs="Arial"/>
                <w:sz w:val="18"/>
                <w:szCs w:val="18"/>
              </w:rPr>
            </w:pPr>
          </w:p>
        </w:tc>
        <w:tc>
          <w:tcPr>
            <w:tcW w:w="1417" w:type="dxa"/>
            <w:vAlign w:val="center"/>
          </w:tcPr>
          <w:p w:rsidR="006312E8" w:rsidRPr="006312E8" w:rsidRDefault="006312E8" w:rsidP="006312E8">
            <w:pPr>
              <w:spacing w:after="0" w:line="240" w:lineRule="auto"/>
              <w:jc w:val="center"/>
              <w:rPr>
                <w:rFonts w:ascii="Arial" w:eastAsia="Calibri" w:hAnsi="Arial" w:cs="Arial"/>
                <w:sz w:val="18"/>
                <w:szCs w:val="18"/>
              </w:rPr>
            </w:pPr>
          </w:p>
        </w:tc>
        <w:tc>
          <w:tcPr>
            <w:tcW w:w="993" w:type="dxa"/>
          </w:tcPr>
          <w:p w:rsidR="006312E8" w:rsidRPr="006312E8" w:rsidRDefault="006312E8" w:rsidP="006312E8">
            <w:pPr>
              <w:spacing w:after="0" w:line="240" w:lineRule="auto"/>
              <w:jc w:val="center"/>
              <w:rPr>
                <w:rFonts w:ascii="Arial" w:eastAsia="Calibri" w:hAnsi="Arial" w:cs="Arial"/>
                <w:sz w:val="18"/>
                <w:szCs w:val="18"/>
              </w:rPr>
            </w:pPr>
          </w:p>
        </w:tc>
      </w:tr>
      <w:tr w:rsidR="006312E8" w:rsidRPr="006312E8" w:rsidTr="00D04998">
        <w:tc>
          <w:tcPr>
            <w:tcW w:w="2376" w:type="dxa"/>
            <w:vAlign w:val="center"/>
          </w:tcPr>
          <w:p w:rsidR="006312E8" w:rsidRPr="006312E8" w:rsidRDefault="006312E8" w:rsidP="006312E8">
            <w:pPr>
              <w:spacing w:after="0" w:line="240" w:lineRule="auto"/>
              <w:jc w:val="center"/>
              <w:rPr>
                <w:rFonts w:ascii="Arial" w:eastAsia="Calibri" w:hAnsi="Arial" w:cs="Arial"/>
                <w:sz w:val="18"/>
                <w:szCs w:val="18"/>
              </w:rPr>
            </w:pPr>
          </w:p>
          <w:p w:rsidR="006312E8" w:rsidRPr="006312E8" w:rsidRDefault="006312E8" w:rsidP="006312E8">
            <w:pPr>
              <w:spacing w:after="0" w:line="240" w:lineRule="auto"/>
              <w:jc w:val="center"/>
              <w:rPr>
                <w:rFonts w:ascii="Arial" w:eastAsia="Calibri" w:hAnsi="Arial" w:cs="Arial"/>
                <w:sz w:val="18"/>
                <w:szCs w:val="18"/>
              </w:rPr>
            </w:pPr>
          </w:p>
        </w:tc>
        <w:tc>
          <w:tcPr>
            <w:tcW w:w="2268" w:type="dxa"/>
            <w:vAlign w:val="center"/>
          </w:tcPr>
          <w:p w:rsidR="006312E8" w:rsidRPr="006312E8" w:rsidRDefault="006312E8" w:rsidP="006312E8">
            <w:pPr>
              <w:spacing w:after="0" w:line="240" w:lineRule="auto"/>
              <w:jc w:val="center"/>
              <w:rPr>
                <w:rFonts w:ascii="Arial" w:eastAsia="Calibri" w:hAnsi="Arial" w:cs="Arial"/>
                <w:sz w:val="18"/>
                <w:szCs w:val="18"/>
              </w:rPr>
            </w:pPr>
          </w:p>
        </w:tc>
        <w:tc>
          <w:tcPr>
            <w:tcW w:w="993" w:type="dxa"/>
            <w:vAlign w:val="center"/>
          </w:tcPr>
          <w:p w:rsidR="006312E8" w:rsidRPr="006312E8" w:rsidRDefault="006312E8" w:rsidP="006312E8">
            <w:pPr>
              <w:spacing w:after="0" w:line="240" w:lineRule="auto"/>
              <w:jc w:val="center"/>
              <w:rPr>
                <w:rFonts w:ascii="Arial" w:eastAsia="Calibri" w:hAnsi="Arial" w:cs="Arial"/>
                <w:sz w:val="18"/>
                <w:szCs w:val="18"/>
              </w:rPr>
            </w:pPr>
          </w:p>
        </w:tc>
        <w:tc>
          <w:tcPr>
            <w:tcW w:w="1134" w:type="dxa"/>
          </w:tcPr>
          <w:p w:rsidR="006312E8" w:rsidRPr="006312E8" w:rsidRDefault="006312E8" w:rsidP="006312E8">
            <w:pPr>
              <w:spacing w:after="0" w:line="240" w:lineRule="auto"/>
              <w:jc w:val="center"/>
              <w:rPr>
                <w:rFonts w:ascii="Arial" w:eastAsia="Calibri" w:hAnsi="Arial" w:cs="Arial"/>
                <w:sz w:val="18"/>
                <w:szCs w:val="18"/>
              </w:rPr>
            </w:pPr>
          </w:p>
        </w:tc>
        <w:tc>
          <w:tcPr>
            <w:tcW w:w="992" w:type="dxa"/>
            <w:vAlign w:val="center"/>
          </w:tcPr>
          <w:p w:rsidR="006312E8" w:rsidRPr="006312E8" w:rsidRDefault="006312E8" w:rsidP="006312E8">
            <w:pPr>
              <w:spacing w:after="0" w:line="240" w:lineRule="auto"/>
              <w:jc w:val="center"/>
              <w:rPr>
                <w:rFonts w:ascii="Arial" w:eastAsia="Calibri" w:hAnsi="Arial" w:cs="Arial"/>
                <w:sz w:val="18"/>
                <w:szCs w:val="18"/>
              </w:rPr>
            </w:pPr>
          </w:p>
        </w:tc>
        <w:tc>
          <w:tcPr>
            <w:tcW w:w="1417" w:type="dxa"/>
            <w:vAlign w:val="center"/>
          </w:tcPr>
          <w:p w:rsidR="006312E8" w:rsidRPr="006312E8" w:rsidRDefault="006312E8" w:rsidP="006312E8">
            <w:pPr>
              <w:spacing w:after="0" w:line="240" w:lineRule="auto"/>
              <w:jc w:val="center"/>
              <w:rPr>
                <w:rFonts w:ascii="Arial" w:eastAsia="Calibri" w:hAnsi="Arial" w:cs="Arial"/>
                <w:sz w:val="18"/>
                <w:szCs w:val="18"/>
              </w:rPr>
            </w:pPr>
          </w:p>
        </w:tc>
        <w:tc>
          <w:tcPr>
            <w:tcW w:w="993" w:type="dxa"/>
          </w:tcPr>
          <w:p w:rsidR="006312E8" w:rsidRPr="006312E8" w:rsidRDefault="006312E8" w:rsidP="006312E8">
            <w:pPr>
              <w:spacing w:after="0" w:line="240" w:lineRule="auto"/>
              <w:jc w:val="center"/>
              <w:rPr>
                <w:rFonts w:ascii="Arial" w:eastAsia="Calibri" w:hAnsi="Arial" w:cs="Arial"/>
                <w:sz w:val="18"/>
                <w:szCs w:val="18"/>
              </w:rPr>
            </w:pPr>
          </w:p>
        </w:tc>
      </w:tr>
      <w:tr w:rsidR="006312E8" w:rsidRPr="006312E8" w:rsidTr="00D04998">
        <w:tc>
          <w:tcPr>
            <w:tcW w:w="2376" w:type="dxa"/>
            <w:vAlign w:val="center"/>
          </w:tcPr>
          <w:p w:rsidR="006312E8" w:rsidRPr="006312E8" w:rsidRDefault="006312E8" w:rsidP="006312E8">
            <w:pPr>
              <w:spacing w:after="0" w:line="240" w:lineRule="auto"/>
              <w:rPr>
                <w:rFonts w:ascii="Arial" w:eastAsia="Calibri" w:hAnsi="Arial" w:cs="Arial"/>
                <w:sz w:val="18"/>
                <w:szCs w:val="18"/>
              </w:rPr>
            </w:pPr>
          </w:p>
          <w:p w:rsidR="006312E8" w:rsidRPr="006312E8" w:rsidRDefault="006312E8" w:rsidP="006312E8">
            <w:pPr>
              <w:spacing w:after="0" w:line="240" w:lineRule="auto"/>
              <w:rPr>
                <w:rFonts w:ascii="Arial" w:eastAsia="Calibri" w:hAnsi="Arial" w:cs="Arial"/>
                <w:sz w:val="18"/>
                <w:szCs w:val="18"/>
              </w:rPr>
            </w:pPr>
          </w:p>
        </w:tc>
        <w:tc>
          <w:tcPr>
            <w:tcW w:w="2268" w:type="dxa"/>
            <w:vAlign w:val="center"/>
          </w:tcPr>
          <w:p w:rsidR="006312E8" w:rsidRPr="006312E8" w:rsidRDefault="006312E8" w:rsidP="006312E8">
            <w:pPr>
              <w:spacing w:after="0" w:line="240" w:lineRule="auto"/>
              <w:jc w:val="center"/>
              <w:rPr>
                <w:rFonts w:ascii="Arial" w:eastAsia="Calibri" w:hAnsi="Arial" w:cs="Arial"/>
                <w:sz w:val="18"/>
                <w:szCs w:val="18"/>
              </w:rPr>
            </w:pPr>
          </w:p>
        </w:tc>
        <w:tc>
          <w:tcPr>
            <w:tcW w:w="993" w:type="dxa"/>
            <w:vAlign w:val="center"/>
          </w:tcPr>
          <w:p w:rsidR="006312E8" w:rsidRPr="006312E8" w:rsidRDefault="006312E8" w:rsidP="006312E8">
            <w:pPr>
              <w:spacing w:after="0" w:line="240" w:lineRule="auto"/>
              <w:jc w:val="center"/>
              <w:rPr>
                <w:rFonts w:ascii="Arial" w:eastAsia="Calibri" w:hAnsi="Arial" w:cs="Arial"/>
                <w:sz w:val="18"/>
                <w:szCs w:val="18"/>
              </w:rPr>
            </w:pPr>
          </w:p>
        </w:tc>
        <w:tc>
          <w:tcPr>
            <w:tcW w:w="1134" w:type="dxa"/>
          </w:tcPr>
          <w:p w:rsidR="006312E8" w:rsidRPr="006312E8" w:rsidRDefault="006312E8" w:rsidP="006312E8">
            <w:pPr>
              <w:spacing w:after="0" w:line="240" w:lineRule="auto"/>
              <w:jc w:val="center"/>
              <w:rPr>
                <w:rFonts w:ascii="Arial" w:eastAsia="Calibri" w:hAnsi="Arial" w:cs="Arial"/>
                <w:sz w:val="18"/>
                <w:szCs w:val="18"/>
              </w:rPr>
            </w:pPr>
          </w:p>
        </w:tc>
        <w:tc>
          <w:tcPr>
            <w:tcW w:w="992" w:type="dxa"/>
            <w:vAlign w:val="center"/>
          </w:tcPr>
          <w:p w:rsidR="006312E8" w:rsidRPr="006312E8" w:rsidRDefault="006312E8" w:rsidP="006312E8">
            <w:pPr>
              <w:spacing w:after="0" w:line="240" w:lineRule="auto"/>
              <w:jc w:val="center"/>
              <w:rPr>
                <w:rFonts w:ascii="Arial" w:eastAsia="Calibri" w:hAnsi="Arial" w:cs="Arial"/>
                <w:sz w:val="18"/>
                <w:szCs w:val="18"/>
              </w:rPr>
            </w:pPr>
          </w:p>
        </w:tc>
        <w:tc>
          <w:tcPr>
            <w:tcW w:w="1417" w:type="dxa"/>
            <w:vAlign w:val="center"/>
          </w:tcPr>
          <w:p w:rsidR="006312E8" w:rsidRPr="006312E8" w:rsidRDefault="006312E8" w:rsidP="006312E8">
            <w:pPr>
              <w:spacing w:after="0" w:line="240" w:lineRule="auto"/>
              <w:jc w:val="center"/>
              <w:rPr>
                <w:rFonts w:ascii="Arial" w:eastAsia="Calibri" w:hAnsi="Arial" w:cs="Arial"/>
                <w:sz w:val="18"/>
                <w:szCs w:val="18"/>
              </w:rPr>
            </w:pPr>
          </w:p>
        </w:tc>
        <w:tc>
          <w:tcPr>
            <w:tcW w:w="993" w:type="dxa"/>
          </w:tcPr>
          <w:p w:rsidR="006312E8" w:rsidRPr="006312E8" w:rsidRDefault="006312E8" w:rsidP="006312E8">
            <w:pPr>
              <w:spacing w:after="0" w:line="240" w:lineRule="auto"/>
              <w:jc w:val="center"/>
              <w:rPr>
                <w:rFonts w:ascii="Arial" w:eastAsia="Calibri" w:hAnsi="Arial" w:cs="Arial"/>
                <w:sz w:val="18"/>
                <w:szCs w:val="18"/>
              </w:rPr>
            </w:pPr>
          </w:p>
        </w:tc>
      </w:tr>
      <w:tr w:rsidR="006312E8" w:rsidRPr="006312E8" w:rsidTr="00D04998">
        <w:tc>
          <w:tcPr>
            <w:tcW w:w="2376" w:type="dxa"/>
            <w:vAlign w:val="center"/>
          </w:tcPr>
          <w:p w:rsidR="006312E8" w:rsidRPr="006312E8" w:rsidRDefault="006312E8" w:rsidP="006312E8">
            <w:pPr>
              <w:spacing w:after="0" w:line="240" w:lineRule="auto"/>
              <w:rPr>
                <w:rFonts w:ascii="Arial" w:eastAsia="Calibri" w:hAnsi="Arial" w:cs="Arial"/>
                <w:sz w:val="18"/>
                <w:szCs w:val="18"/>
              </w:rPr>
            </w:pPr>
          </w:p>
          <w:p w:rsidR="006312E8" w:rsidRPr="006312E8" w:rsidRDefault="006312E8" w:rsidP="006312E8">
            <w:pPr>
              <w:spacing w:after="0" w:line="240" w:lineRule="auto"/>
              <w:rPr>
                <w:rFonts w:ascii="Arial" w:eastAsia="Calibri" w:hAnsi="Arial" w:cs="Arial"/>
                <w:sz w:val="18"/>
                <w:szCs w:val="18"/>
              </w:rPr>
            </w:pPr>
          </w:p>
        </w:tc>
        <w:tc>
          <w:tcPr>
            <w:tcW w:w="2268" w:type="dxa"/>
            <w:vAlign w:val="center"/>
          </w:tcPr>
          <w:p w:rsidR="006312E8" w:rsidRPr="006312E8" w:rsidRDefault="006312E8" w:rsidP="006312E8">
            <w:pPr>
              <w:spacing w:after="0" w:line="240" w:lineRule="auto"/>
              <w:jc w:val="center"/>
              <w:rPr>
                <w:rFonts w:ascii="Arial" w:eastAsia="Calibri" w:hAnsi="Arial" w:cs="Arial"/>
                <w:sz w:val="18"/>
                <w:szCs w:val="18"/>
              </w:rPr>
            </w:pPr>
          </w:p>
        </w:tc>
        <w:tc>
          <w:tcPr>
            <w:tcW w:w="993" w:type="dxa"/>
            <w:vAlign w:val="center"/>
          </w:tcPr>
          <w:p w:rsidR="006312E8" w:rsidRPr="006312E8" w:rsidRDefault="006312E8" w:rsidP="006312E8">
            <w:pPr>
              <w:spacing w:after="0" w:line="240" w:lineRule="auto"/>
              <w:jc w:val="center"/>
              <w:rPr>
                <w:rFonts w:ascii="Arial" w:eastAsia="Calibri" w:hAnsi="Arial" w:cs="Arial"/>
                <w:sz w:val="18"/>
                <w:szCs w:val="18"/>
              </w:rPr>
            </w:pPr>
          </w:p>
        </w:tc>
        <w:tc>
          <w:tcPr>
            <w:tcW w:w="1134" w:type="dxa"/>
          </w:tcPr>
          <w:p w:rsidR="006312E8" w:rsidRPr="006312E8" w:rsidRDefault="006312E8" w:rsidP="006312E8">
            <w:pPr>
              <w:spacing w:after="0" w:line="240" w:lineRule="auto"/>
              <w:jc w:val="center"/>
              <w:rPr>
                <w:rFonts w:ascii="Arial" w:eastAsia="Calibri" w:hAnsi="Arial" w:cs="Arial"/>
                <w:sz w:val="18"/>
                <w:szCs w:val="18"/>
              </w:rPr>
            </w:pPr>
          </w:p>
        </w:tc>
        <w:tc>
          <w:tcPr>
            <w:tcW w:w="992" w:type="dxa"/>
            <w:vAlign w:val="center"/>
          </w:tcPr>
          <w:p w:rsidR="006312E8" w:rsidRPr="006312E8" w:rsidRDefault="006312E8" w:rsidP="006312E8">
            <w:pPr>
              <w:spacing w:after="0" w:line="240" w:lineRule="auto"/>
              <w:jc w:val="center"/>
              <w:rPr>
                <w:rFonts w:ascii="Arial" w:eastAsia="Calibri" w:hAnsi="Arial" w:cs="Arial"/>
                <w:sz w:val="18"/>
                <w:szCs w:val="18"/>
              </w:rPr>
            </w:pPr>
          </w:p>
        </w:tc>
        <w:tc>
          <w:tcPr>
            <w:tcW w:w="1417" w:type="dxa"/>
            <w:vAlign w:val="center"/>
          </w:tcPr>
          <w:p w:rsidR="006312E8" w:rsidRPr="006312E8" w:rsidRDefault="006312E8" w:rsidP="006312E8">
            <w:pPr>
              <w:spacing w:after="0" w:line="240" w:lineRule="auto"/>
              <w:jc w:val="center"/>
              <w:rPr>
                <w:rFonts w:ascii="Arial" w:eastAsia="Calibri" w:hAnsi="Arial" w:cs="Arial"/>
                <w:sz w:val="18"/>
                <w:szCs w:val="18"/>
              </w:rPr>
            </w:pPr>
          </w:p>
        </w:tc>
        <w:tc>
          <w:tcPr>
            <w:tcW w:w="993" w:type="dxa"/>
          </w:tcPr>
          <w:p w:rsidR="006312E8" w:rsidRPr="006312E8" w:rsidRDefault="006312E8" w:rsidP="006312E8">
            <w:pPr>
              <w:spacing w:after="0" w:line="240" w:lineRule="auto"/>
              <w:jc w:val="center"/>
              <w:rPr>
                <w:rFonts w:ascii="Arial" w:eastAsia="Calibri" w:hAnsi="Arial" w:cs="Arial"/>
                <w:sz w:val="18"/>
                <w:szCs w:val="18"/>
              </w:rPr>
            </w:pPr>
          </w:p>
        </w:tc>
      </w:tr>
      <w:tr w:rsidR="006312E8" w:rsidRPr="006312E8" w:rsidTr="00D04998">
        <w:tc>
          <w:tcPr>
            <w:tcW w:w="2376" w:type="dxa"/>
            <w:vAlign w:val="center"/>
          </w:tcPr>
          <w:p w:rsidR="006312E8" w:rsidRPr="006312E8" w:rsidRDefault="006312E8" w:rsidP="006312E8">
            <w:pPr>
              <w:spacing w:after="0" w:line="240" w:lineRule="auto"/>
              <w:rPr>
                <w:rFonts w:ascii="Arial" w:eastAsia="Calibri" w:hAnsi="Arial" w:cs="Arial"/>
                <w:sz w:val="18"/>
                <w:szCs w:val="18"/>
              </w:rPr>
            </w:pPr>
          </w:p>
          <w:p w:rsidR="006312E8" w:rsidRPr="006312E8" w:rsidRDefault="006312E8" w:rsidP="006312E8">
            <w:pPr>
              <w:spacing w:after="0" w:line="240" w:lineRule="auto"/>
              <w:rPr>
                <w:rFonts w:ascii="Arial" w:eastAsia="Calibri" w:hAnsi="Arial" w:cs="Arial"/>
                <w:sz w:val="18"/>
                <w:szCs w:val="18"/>
              </w:rPr>
            </w:pPr>
          </w:p>
        </w:tc>
        <w:tc>
          <w:tcPr>
            <w:tcW w:w="2268" w:type="dxa"/>
            <w:vAlign w:val="center"/>
          </w:tcPr>
          <w:p w:rsidR="006312E8" w:rsidRPr="006312E8" w:rsidRDefault="006312E8" w:rsidP="006312E8">
            <w:pPr>
              <w:spacing w:after="0" w:line="240" w:lineRule="auto"/>
              <w:jc w:val="center"/>
              <w:rPr>
                <w:rFonts w:ascii="Arial" w:eastAsia="Calibri" w:hAnsi="Arial" w:cs="Arial"/>
                <w:sz w:val="18"/>
                <w:szCs w:val="18"/>
              </w:rPr>
            </w:pPr>
          </w:p>
        </w:tc>
        <w:tc>
          <w:tcPr>
            <w:tcW w:w="993" w:type="dxa"/>
            <w:vAlign w:val="center"/>
          </w:tcPr>
          <w:p w:rsidR="006312E8" w:rsidRPr="006312E8" w:rsidRDefault="006312E8" w:rsidP="006312E8">
            <w:pPr>
              <w:spacing w:after="0" w:line="240" w:lineRule="auto"/>
              <w:jc w:val="center"/>
              <w:rPr>
                <w:rFonts w:ascii="Arial" w:eastAsia="Calibri" w:hAnsi="Arial" w:cs="Arial"/>
                <w:sz w:val="18"/>
                <w:szCs w:val="18"/>
              </w:rPr>
            </w:pPr>
          </w:p>
        </w:tc>
        <w:tc>
          <w:tcPr>
            <w:tcW w:w="1134" w:type="dxa"/>
          </w:tcPr>
          <w:p w:rsidR="006312E8" w:rsidRPr="006312E8" w:rsidRDefault="006312E8" w:rsidP="006312E8">
            <w:pPr>
              <w:spacing w:after="0" w:line="240" w:lineRule="auto"/>
              <w:jc w:val="center"/>
              <w:rPr>
                <w:rFonts w:ascii="Arial" w:eastAsia="Calibri" w:hAnsi="Arial" w:cs="Arial"/>
                <w:sz w:val="18"/>
                <w:szCs w:val="18"/>
              </w:rPr>
            </w:pPr>
          </w:p>
        </w:tc>
        <w:tc>
          <w:tcPr>
            <w:tcW w:w="992" w:type="dxa"/>
            <w:vAlign w:val="center"/>
          </w:tcPr>
          <w:p w:rsidR="006312E8" w:rsidRPr="006312E8" w:rsidRDefault="006312E8" w:rsidP="006312E8">
            <w:pPr>
              <w:spacing w:after="0" w:line="240" w:lineRule="auto"/>
              <w:jc w:val="center"/>
              <w:rPr>
                <w:rFonts w:ascii="Arial" w:eastAsia="Calibri" w:hAnsi="Arial" w:cs="Arial"/>
                <w:sz w:val="18"/>
                <w:szCs w:val="18"/>
              </w:rPr>
            </w:pPr>
          </w:p>
        </w:tc>
        <w:tc>
          <w:tcPr>
            <w:tcW w:w="1417" w:type="dxa"/>
            <w:vAlign w:val="center"/>
          </w:tcPr>
          <w:p w:rsidR="006312E8" w:rsidRPr="006312E8" w:rsidRDefault="006312E8" w:rsidP="006312E8">
            <w:pPr>
              <w:spacing w:after="0" w:line="240" w:lineRule="auto"/>
              <w:jc w:val="center"/>
              <w:rPr>
                <w:rFonts w:ascii="Arial" w:eastAsia="Calibri" w:hAnsi="Arial" w:cs="Arial"/>
                <w:sz w:val="18"/>
                <w:szCs w:val="18"/>
              </w:rPr>
            </w:pPr>
          </w:p>
        </w:tc>
        <w:tc>
          <w:tcPr>
            <w:tcW w:w="993" w:type="dxa"/>
          </w:tcPr>
          <w:p w:rsidR="006312E8" w:rsidRPr="006312E8" w:rsidRDefault="006312E8" w:rsidP="006312E8">
            <w:pPr>
              <w:spacing w:after="0" w:line="240" w:lineRule="auto"/>
              <w:jc w:val="center"/>
              <w:rPr>
                <w:rFonts w:ascii="Arial" w:eastAsia="Calibri" w:hAnsi="Arial" w:cs="Arial"/>
                <w:sz w:val="18"/>
                <w:szCs w:val="18"/>
              </w:rPr>
            </w:pPr>
          </w:p>
        </w:tc>
      </w:tr>
    </w:tbl>
    <w:p w:rsidR="006312E8" w:rsidRPr="006312E8" w:rsidRDefault="006312E8" w:rsidP="006312E8">
      <w:pPr>
        <w:tabs>
          <w:tab w:val="left" w:pos="620"/>
        </w:tabs>
        <w:spacing w:after="0" w:line="240" w:lineRule="auto"/>
        <w:ind w:right="-20"/>
        <w:rPr>
          <w:rFonts w:ascii="Arial" w:eastAsia="Calibri" w:hAnsi="Arial" w:cs="Arial"/>
          <w:b/>
          <w:sz w:val="18"/>
          <w:szCs w:val="18"/>
          <w:lang w:val="es-ES"/>
        </w:rPr>
      </w:pPr>
    </w:p>
    <w:p w:rsidR="006312E8" w:rsidRPr="006312E8" w:rsidRDefault="006312E8" w:rsidP="006312E8">
      <w:pPr>
        <w:tabs>
          <w:tab w:val="left" w:pos="620"/>
        </w:tabs>
        <w:spacing w:after="0" w:line="240" w:lineRule="auto"/>
        <w:ind w:right="-20"/>
        <w:outlineLvl w:val="0"/>
        <w:rPr>
          <w:rFonts w:ascii="Arial Narrow" w:eastAsia="Calibri" w:hAnsi="Arial Narrow" w:cs="Arial"/>
          <w:b/>
          <w:sz w:val="16"/>
          <w:szCs w:val="16"/>
        </w:rPr>
      </w:pPr>
      <w:r w:rsidRPr="006312E8">
        <w:rPr>
          <w:rFonts w:ascii="Arial Narrow" w:eastAsia="Calibri" w:hAnsi="Arial Narrow" w:cs="Arial"/>
          <w:b/>
          <w:sz w:val="16"/>
          <w:szCs w:val="16"/>
          <w:lang w:val="es-ES"/>
        </w:rPr>
        <w:t>6.2 C</w:t>
      </w:r>
      <w:r w:rsidRPr="006312E8">
        <w:rPr>
          <w:rFonts w:ascii="Arial Narrow" w:eastAsia="Calibri" w:hAnsi="Arial Narrow" w:cs="Arial"/>
          <w:b/>
          <w:sz w:val="16"/>
          <w:szCs w:val="16"/>
        </w:rPr>
        <w:t>ARACTERÍSTICAS DE LAS EDIFICACIONES (CONSTRUCCIONES)</w:t>
      </w:r>
    </w:p>
    <w:p w:rsidR="006312E8" w:rsidRPr="006312E8" w:rsidRDefault="006312E8" w:rsidP="006312E8">
      <w:pPr>
        <w:spacing w:before="2" w:after="0" w:line="160" w:lineRule="exact"/>
        <w:rPr>
          <w:rFonts w:ascii="Arial Narrow" w:eastAsia="Calibri" w:hAnsi="Arial Narrow" w:cs="Arial"/>
          <w:sz w:val="16"/>
          <w:szCs w:val="16"/>
        </w:rPr>
      </w:pPr>
    </w:p>
    <w:p w:rsidR="006312E8" w:rsidRPr="006312E8" w:rsidRDefault="006312E8" w:rsidP="006312E8">
      <w:pPr>
        <w:spacing w:before="2" w:after="0" w:line="160" w:lineRule="exact"/>
        <w:rPr>
          <w:rFonts w:ascii="Arial Narrow" w:eastAsia="Calibri" w:hAnsi="Arial Narrow" w:cs="Arial"/>
          <w:sz w:val="16"/>
          <w:szCs w:val="16"/>
        </w:rPr>
      </w:pPr>
      <w:r w:rsidRPr="006312E8">
        <w:rPr>
          <w:rFonts w:ascii="Arial Narrow" w:eastAsia="Calibri" w:hAnsi="Arial Narrow" w:cs="Arial"/>
          <w:sz w:val="16"/>
          <w:szCs w:val="16"/>
        </w:rPr>
        <w:t>(Elaborados en base a la tabla de valores unitarios de edificación)</w:t>
      </w:r>
    </w:p>
    <w:tbl>
      <w:tblPr>
        <w:tblW w:w="53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9"/>
        <w:gridCol w:w="574"/>
        <w:gridCol w:w="720"/>
        <w:gridCol w:w="1435"/>
        <w:gridCol w:w="1002"/>
        <w:gridCol w:w="574"/>
        <w:gridCol w:w="720"/>
        <w:gridCol w:w="574"/>
        <w:gridCol w:w="717"/>
        <w:gridCol w:w="861"/>
        <w:gridCol w:w="574"/>
        <w:gridCol w:w="576"/>
        <w:gridCol w:w="861"/>
        <w:gridCol w:w="854"/>
      </w:tblGrid>
      <w:tr w:rsidR="006312E8" w:rsidRPr="006312E8" w:rsidTr="00D04998">
        <w:trPr>
          <w:trHeight w:val="330"/>
        </w:trPr>
        <w:tc>
          <w:tcPr>
            <w:tcW w:w="381" w:type="pct"/>
            <w:vMerge w:val="restart"/>
            <w:vAlign w:val="center"/>
          </w:tcPr>
          <w:p w:rsidR="006312E8" w:rsidRPr="006312E8" w:rsidRDefault="006312E8" w:rsidP="006312E8">
            <w:pPr>
              <w:spacing w:after="200" w:line="240" w:lineRule="auto"/>
              <w:jc w:val="center"/>
              <w:rPr>
                <w:rFonts w:ascii="Arial Narrow" w:eastAsia="Calibri" w:hAnsi="Arial Narrow" w:cs="Arial"/>
                <w:b/>
                <w:sz w:val="14"/>
                <w:szCs w:val="14"/>
                <w:lang w:val="pt-BR"/>
              </w:rPr>
            </w:pPr>
            <w:r w:rsidRPr="006312E8">
              <w:rPr>
                <w:rFonts w:ascii="Arial Narrow" w:eastAsia="Calibri" w:hAnsi="Arial Narrow" w:cs="Arial"/>
                <w:b/>
                <w:sz w:val="14"/>
                <w:szCs w:val="14"/>
                <w:lang w:val="pt-BR"/>
              </w:rPr>
              <w:t>Nº DE PISO, SOTANO, O MEZANINE</w:t>
            </w:r>
          </w:p>
        </w:tc>
        <w:tc>
          <w:tcPr>
            <w:tcW w:w="595" w:type="pct"/>
            <w:gridSpan w:val="2"/>
            <w:vAlign w:val="center"/>
          </w:tcPr>
          <w:p w:rsidR="006312E8" w:rsidRPr="006312E8" w:rsidRDefault="006312E8" w:rsidP="006312E8">
            <w:pPr>
              <w:spacing w:after="200" w:line="240" w:lineRule="auto"/>
              <w:jc w:val="center"/>
              <w:rPr>
                <w:rFonts w:ascii="Arial Narrow" w:eastAsia="Calibri" w:hAnsi="Arial Narrow" w:cs="Arial"/>
                <w:b/>
                <w:sz w:val="14"/>
                <w:szCs w:val="14"/>
                <w:lang w:val="es-ES"/>
              </w:rPr>
            </w:pPr>
            <w:r w:rsidRPr="006312E8">
              <w:rPr>
                <w:rFonts w:ascii="Arial Narrow" w:eastAsia="Calibri" w:hAnsi="Arial Narrow" w:cs="Arial"/>
                <w:b/>
                <w:sz w:val="14"/>
                <w:szCs w:val="14"/>
                <w:lang w:val="es-ES"/>
              </w:rPr>
              <w:t>FECHA DE CONSTRUCCIÓN</w:t>
            </w:r>
          </w:p>
        </w:tc>
        <w:tc>
          <w:tcPr>
            <w:tcW w:w="660" w:type="pct"/>
            <w:vMerge w:val="restart"/>
            <w:vAlign w:val="center"/>
          </w:tcPr>
          <w:p w:rsidR="006312E8" w:rsidRPr="006312E8" w:rsidRDefault="006312E8" w:rsidP="006312E8">
            <w:pPr>
              <w:spacing w:after="200" w:line="240" w:lineRule="auto"/>
              <w:jc w:val="center"/>
              <w:rPr>
                <w:rFonts w:ascii="Arial Narrow" w:eastAsia="Calibri" w:hAnsi="Arial Narrow" w:cs="Arial"/>
                <w:b/>
                <w:sz w:val="14"/>
                <w:szCs w:val="14"/>
                <w:lang w:val="es-ES"/>
              </w:rPr>
            </w:pPr>
            <w:r w:rsidRPr="006312E8">
              <w:rPr>
                <w:rFonts w:ascii="Arial Narrow" w:eastAsia="Calibri" w:hAnsi="Arial Narrow" w:cs="Arial"/>
                <w:b/>
                <w:sz w:val="14"/>
                <w:szCs w:val="14"/>
                <w:lang w:val="es-ES"/>
              </w:rPr>
              <w:t>MATERIAL ESTRUCT. PREDOMINANTE</w:t>
            </w:r>
          </w:p>
        </w:tc>
        <w:tc>
          <w:tcPr>
            <w:tcW w:w="461" w:type="pct"/>
            <w:vMerge w:val="restart"/>
            <w:vAlign w:val="center"/>
          </w:tcPr>
          <w:p w:rsidR="006312E8" w:rsidRPr="006312E8" w:rsidRDefault="006312E8" w:rsidP="006312E8">
            <w:pPr>
              <w:spacing w:after="200" w:line="240" w:lineRule="auto"/>
              <w:jc w:val="center"/>
              <w:rPr>
                <w:rFonts w:ascii="Arial Narrow" w:eastAsia="Calibri" w:hAnsi="Arial Narrow" w:cs="Arial"/>
                <w:b/>
                <w:sz w:val="14"/>
                <w:szCs w:val="14"/>
                <w:lang w:val="es-ES"/>
              </w:rPr>
            </w:pPr>
            <w:r w:rsidRPr="006312E8">
              <w:rPr>
                <w:rFonts w:ascii="Arial Narrow" w:eastAsia="Calibri" w:hAnsi="Arial Narrow" w:cs="Arial"/>
                <w:b/>
                <w:sz w:val="14"/>
                <w:szCs w:val="14"/>
                <w:lang w:val="es-ES"/>
              </w:rPr>
              <w:t>Estado de conservación</w:t>
            </w:r>
          </w:p>
        </w:tc>
        <w:tc>
          <w:tcPr>
            <w:tcW w:w="2114" w:type="pct"/>
            <w:gridSpan w:val="7"/>
            <w:vAlign w:val="center"/>
          </w:tcPr>
          <w:p w:rsidR="006312E8" w:rsidRPr="006312E8" w:rsidRDefault="006312E8" w:rsidP="006312E8">
            <w:pPr>
              <w:spacing w:after="200" w:line="240" w:lineRule="auto"/>
              <w:jc w:val="center"/>
              <w:rPr>
                <w:rFonts w:ascii="Arial Narrow" w:eastAsia="Calibri" w:hAnsi="Arial Narrow" w:cs="Arial"/>
                <w:b/>
                <w:sz w:val="14"/>
                <w:szCs w:val="14"/>
                <w:lang w:val="es-ES"/>
              </w:rPr>
            </w:pPr>
            <w:r w:rsidRPr="006312E8">
              <w:rPr>
                <w:rFonts w:ascii="Arial Narrow" w:eastAsia="Calibri" w:hAnsi="Arial Narrow" w:cs="Arial"/>
                <w:b/>
                <w:sz w:val="14"/>
                <w:szCs w:val="14"/>
                <w:lang w:val="es-ES"/>
              </w:rPr>
              <w:t>CATEGORÍAS</w:t>
            </w:r>
          </w:p>
        </w:tc>
        <w:tc>
          <w:tcPr>
            <w:tcW w:w="396" w:type="pct"/>
            <w:vMerge w:val="restart"/>
            <w:vAlign w:val="center"/>
          </w:tcPr>
          <w:p w:rsidR="006312E8" w:rsidRPr="006312E8" w:rsidRDefault="006312E8" w:rsidP="006312E8">
            <w:pPr>
              <w:spacing w:after="200" w:line="240" w:lineRule="auto"/>
              <w:jc w:val="center"/>
              <w:rPr>
                <w:rFonts w:ascii="Arial Narrow" w:eastAsia="Calibri" w:hAnsi="Arial Narrow" w:cs="Arial"/>
                <w:b/>
                <w:sz w:val="14"/>
                <w:szCs w:val="14"/>
                <w:lang w:val="es-ES"/>
              </w:rPr>
            </w:pPr>
            <w:r w:rsidRPr="006312E8">
              <w:rPr>
                <w:rFonts w:ascii="Arial Narrow" w:eastAsia="Calibri" w:hAnsi="Arial Narrow" w:cs="Arial"/>
                <w:b/>
                <w:sz w:val="14"/>
                <w:szCs w:val="14"/>
                <w:lang w:val="es-ES"/>
              </w:rPr>
              <w:t>Área construida Verificada</w:t>
            </w:r>
          </w:p>
        </w:tc>
        <w:tc>
          <w:tcPr>
            <w:tcW w:w="394" w:type="pct"/>
            <w:vMerge w:val="restart"/>
            <w:vAlign w:val="center"/>
          </w:tcPr>
          <w:p w:rsidR="006312E8" w:rsidRPr="006312E8" w:rsidRDefault="006312E8" w:rsidP="006312E8">
            <w:pPr>
              <w:spacing w:after="200" w:line="240" w:lineRule="auto"/>
              <w:jc w:val="center"/>
              <w:rPr>
                <w:rFonts w:ascii="Arial Narrow" w:eastAsia="Calibri" w:hAnsi="Arial Narrow" w:cs="Arial"/>
                <w:b/>
                <w:sz w:val="14"/>
                <w:szCs w:val="14"/>
                <w:lang w:val="es-ES"/>
              </w:rPr>
            </w:pPr>
            <w:r w:rsidRPr="006312E8">
              <w:rPr>
                <w:rFonts w:ascii="Arial Narrow" w:eastAsia="Calibri" w:hAnsi="Arial Narrow" w:cs="Arial"/>
                <w:b/>
                <w:sz w:val="14"/>
                <w:szCs w:val="14"/>
                <w:lang w:val="es-ES"/>
              </w:rPr>
              <w:t>Valor Estimado</w:t>
            </w:r>
          </w:p>
        </w:tc>
      </w:tr>
      <w:tr w:rsidR="006312E8" w:rsidRPr="006312E8" w:rsidTr="00D04998">
        <w:trPr>
          <w:trHeight w:val="324"/>
        </w:trPr>
        <w:tc>
          <w:tcPr>
            <w:tcW w:w="381" w:type="pct"/>
            <w:vMerge/>
            <w:vAlign w:val="center"/>
          </w:tcPr>
          <w:p w:rsidR="006312E8" w:rsidRPr="006312E8" w:rsidRDefault="006312E8" w:rsidP="006312E8">
            <w:pPr>
              <w:spacing w:after="200" w:line="240" w:lineRule="auto"/>
              <w:jc w:val="center"/>
              <w:rPr>
                <w:rFonts w:ascii="Arial Narrow" w:eastAsia="Calibri" w:hAnsi="Arial Narrow" w:cs="Arial"/>
                <w:b/>
                <w:sz w:val="14"/>
                <w:szCs w:val="14"/>
                <w:lang w:val="es-ES"/>
              </w:rPr>
            </w:pPr>
          </w:p>
        </w:tc>
        <w:tc>
          <w:tcPr>
            <w:tcW w:w="264" w:type="pct"/>
            <w:vMerge w:val="restart"/>
            <w:vAlign w:val="center"/>
          </w:tcPr>
          <w:p w:rsidR="006312E8" w:rsidRPr="006312E8" w:rsidRDefault="006312E8" w:rsidP="006312E8">
            <w:pPr>
              <w:spacing w:after="200" w:line="240" w:lineRule="auto"/>
              <w:jc w:val="center"/>
              <w:rPr>
                <w:rFonts w:ascii="Arial Narrow" w:eastAsia="Calibri" w:hAnsi="Arial Narrow" w:cs="Arial"/>
                <w:b/>
                <w:sz w:val="14"/>
                <w:szCs w:val="14"/>
                <w:lang w:val="es-ES"/>
              </w:rPr>
            </w:pPr>
            <w:r w:rsidRPr="006312E8">
              <w:rPr>
                <w:rFonts w:ascii="Arial Narrow" w:eastAsia="Calibri" w:hAnsi="Arial Narrow" w:cs="Arial"/>
                <w:b/>
                <w:sz w:val="14"/>
                <w:szCs w:val="14"/>
                <w:lang w:val="es-ES"/>
              </w:rPr>
              <w:t>MES</w:t>
            </w:r>
          </w:p>
        </w:tc>
        <w:tc>
          <w:tcPr>
            <w:tcW w:w="331" w:type="pct"/>
            <w:vMerge w:val="restart"/>
            <w:vAlign w:val="center"/>
          </w:tcPr>
          <w:p w:rsidR="006312E8" w:rsidRPr="006312E8" w:rsidRDefault="006312E8" w:rsidP="006312E8">
            <w:pPr>
              <w:spacing w:after="200" w:line="240" w:lineRule="auto"/>
              <w:jc w:val="center"/>
              <w:rPr>
                <w:rFonts w:ascii="Arial Narrow" w:eastAsia="Calibri" w:hAnsi="Arial Narrow" w:cs="Arial"/>
                <w:b/>
                <w:sz w:val="14"/>
                <w:szCs w:val="14"/>
                <w:lang w:val="es-ES"/>
              </w:rPr>
            </w:pPr>
            <w:r w:rsidRPr="006312E8">
              <w:rPr>
                <w:rFonts w:ascii="Arial Narrow" w:eastAsia="Calibri" w:hAnsi="Arial Narrow" w:cs="Arial"/>
                <w:b/>
                <w:sz w:val="14"/>
                <w:szCs w:val="14"/>
                <w:lang w:val="es-ES"/>
              </w:rPr>
              <w:t>AÑO</w:t>
            </w:r>
          </w:p>
        </w:tc>
        <w:tc>
          <w:tcPr>
            <w:tcW w:w="660" w:type="pct"/>
            <w:vMerge/>
            <w:vAlign w:val="center"/>
          </w:tcPr>
          <w:p w:rsidR="006312E8" w:rsidRPr="006312E8" w:rsidRDefault="006312E8" w:rsidP="006312E8">
            <w:pPr>
              <w:spacing w:after="200" w:line="240" w:lineRule="auto"/>
              <w:jc w:val="center"/>
              <w:rPr>
                <w:rFonts w:ascii="Arial Narrow" w:eastAsia="Calibri" w:hAnsi="Arial Narrow" w:cs="Arial"/>
                <w:b/>
                <w:sz w:val="14"/>
                <w:szCs w:val="14"/>
                <w:lang w:val="es-ES"/>
              </w:rPr>
            </w:pPr>
          </w:p>
        </w:tc>
        <w:tc>
          <w:tcPr>
            <w:tcW w:w="461" w:type="pct"/>
            <w:vMerge/>
            <w:vAlign w:val="center"/>
          </w:tcPr>
          <w:p w:rsidR="006312E8" w:rsidRPr="006312E8" w:rsidRDefault="006312E8" w:rsidP="006312E8">
            <w:pPr>
              <w:spacing w:after="200" w:line="240" w:lineRule="auto"/>
              <w:jc w:val="center"/>
              <w:rPr>
                <w:rFonts w:ascii="Arial Narrow" w:eastAsia="Calibri" w:hAnsi="Arial Narrow" w:cs="Arial"/>
                <w:b/>
                <w:sz w:val="14"/>
                <w:szCs w:val="14"/>
                <w:lang w:val="es-ES"/>
              </w:rPr>
            </w:pPr>
          </w:p>
        </w:tc>
        <w:tc>
          <w:tcPr>
            <w:tcW w:w="595" w:type="pct"/>
            <w:gridSpan w:val="2"/>
            <w:vAlign w:val="center"/>
          </w:tcPr>
          <w:p w:rsidR="006312E8" w:rsidRPr="006312E8" w:rsidRDefault="006312E8" w:rsidP="006312E8">
            <w:pPr>
              <w:spacing w:after="200" w:line="240" w:lineRule="auto"/>
              <w:jc w:val="center"/>
              <w:rPr>
                <w:rFonts w:ascii="Arial Narrow" w:eastAsia="Calibri" w:hAnsi="Arial Narrow" w:cs="Arial"/>
                <w:b/>
                <w:sz w:val="14"/>
                <w:szCs w:val="14"/>
                <w:lang w:val="es-ES"/>
              </w:rPr>
            </w:pPr>
            <w:r w:rsidRPr="006312E8">
              <w:rPr>
                <w:rFonts w:ascii="Arial Narrow" w:eastAsia="Calibri" w:hAnsi="Arial Narrow" w:cs="Arial"/>
                <w:b/>
                <w:sz w:val="14"/>
                <w:szCs w:val="14"/>
                <w:lang w:val="es-ES"/>
              </w:rPr>
              <w:t>Estructura</w:t>
            </w:r>
          </w:p>
        </w:tc>
        <w:tc>
          <w:tcPr>
            <w:tcW w:w="1254" w:type="pct"/>
            <w:gridSpan w:val="4"/>
            <w:vAlign w:val="center"/>
          </w:tcPr>
          <w:p w:rsidR="006312E8" w:rsidRPr="006312E8" w:rsidRDefault="006312E8" w:rsidP="006312E8">
            <w:pPr>
              <w:spacing w:after="200" w:line="240" w:lineRule="auto"/>
              <w:jc w:val="center"/>
              <w:rPr>
                <w:rFonts w:ascii="Arial Narrow" w:eastAsia="Calibri" w:hAnsi="Arial Narrow" w:cs="Arial"/>
                <w:b/>
                <w:sz w:val="14"/>
                <w:szCs w:val="14"/>
                <w:lang w:val="es-ES"/>
              </w:rPr>
            </w:pPr>
            <w:r w:rsidRPr="006312E8">
              <w:rPr>
                <w:rFonts w:ascii="Arial Narrow" w:eastAsia="Calibri" w:hAnsi="Arial Narrow" w:cs="Arial"/>
                <w:b/>
                <w:sz w:val="14"/>
                <w:szCs w:val="14"/>
                <w:lang w:val="es-ES"/>
              </w:rPr>
              <w:t>Acabados</w:t>
            </w:r>
          </w:p>
        </w:tc>
        <w:tc>
          <w:tcPr>
            <w:tcW w:w="264" w:type="pct"/>
            <w:vMerge w:val="restart"/>
            <w:vAlign w:val="center"/>
          </w:tcPr>
          <w:p w:rsidR="006312E8" w:rsidRPr="006312E8" w:rsidRDefault="006312E8" w:rsidP="006312E8">
            <w:pPr>
              <w:spacing w:after="200" w:line="240" w:lineRule="auto"/>
              <w:jc w:val="center"/>
              <w:rPr>
                <w:rFonts w:ascii="Arial Narrow" w:eastAsia="Calibri" w:hAnsi="Arial Narrow" w:cs="Arial"/>
                <w:b/>
                <w:sz w:val="14"/>
                <w:szCs w:val="14"/>
                <w:lang w:val="es-ES"/>
              </w:rPr>
            </w:pPr>
            <w:r w:rsidRPr="006312E8">
              <w:rPr>
                <w:rFonts w:ascii="Arial Narrow" w:eastAsia="Calibri" w:hAnsi="Arial Narrow" w:cs="Arial"/>
                <w:b/>
                <w:sz w:val="14"/>
                <w:szCs w:val="14"/>
                <w:lang w:val="es-ES"/>
              </w:rPr>
              <w:t>I.Elecsanit.</w:t>
            </w:r>
          </w:p>
        </w:tc>
        <w:tc>
          <w:tcPr>
            <w:tcW w:w="396" w:type="pct"/>
            <w:vMerge/>
            <w:vAlign w:val="center"/>
          </w:tcPr>
          <w:p w:rsidR="006312E8" w:rsidRPr="006312E8" w:rsidRDefault="006312E8" w:rsidP="006312E8">
            <w:pPr>
              <w:spacing w:after="200" w:line="240" w:lineRule="auto"/>
              <w:jc w:val="center"/>
              <w:rPr>
                <w:rFonts w:ascii="Arial Narrow" w:eastAsia="Calibri" w:hAnsi="Arial Narrow" w:cs="Arial"/>
                <w:b/>
                <w:sz w:val="14"/>
                <w:szCs w:val="14"/>
                <w:lang w:val="es-ES"/>
              </w:rPr>
            </w:pPr>
          </w:p>
        </w:tc>
        <w:tc>
          <w:tcPr>
            <w:tcW w:w="394" w:type="pct"/>
            <w:vMerge/>
            <w:vAlign w:val="center"/>
          </w:tcPr>
          <w:p w:rsidR="006312E8" w:rsidRPr="006312E8" w:rsidRDefault="006312E8" w:rsidP="006312E8">
            <w:pPr>
              <w:spacing w:after="200" w:line="240" w:lineRule="auto"/>
              <w:jc w:val="center"/>
              <w:rPr>
                <w:rFonts w:ascii="Arial Narrow" w:eastAsia="Calibri" w:hAnsi="Arial Narrow" w:cs="Arial"/>
                <w:b/>
                <w:sz w:val="14"/>
                <w:szCs w:val="14"/>
                <w:lang w:val="es-ES"/>
              </w:rPr>
            </w:pPr>
          </w:p>
        </w:tc>
      </w:tr>
      <w:tr w:rsidR="006312E8" w:rsidRPr="006312E8" w:rsidTr="00D04998">
        <w:trPr>
          <w:trHeight w:val="217"/>
        </w:trPr>
        <w:tc>
          <w:tcPr>
            <w:tcW w:w="381" w:type="pct"/>
            <w:vMerge/>
            <w:vAlign w:val="center"/>
          </w:tcPr>
          <w:p w:rsidR="006312E8" w:rsidRPr="006312E8" w:rsidRDefault="006312E8" w:rsidP="006312E8">
            <w:pPr>
              <w:spacing w:after="200" w:line="240" w:lineRule="auto"/>
              <w:jc w:val="center"/>
              <w:rPr>
                <w:rFonts w:ascii="Arial Narrow" w:eastAsia="Calibri" w:hAnsi="Arial Narrow" w:cs="Arial"/>
                <w:b/>
                <w:sz w:val="14"/>
                <w:szCs w:val="14"/>
                <w:lang w:val="es-ES"/>
              </w:rPr>
            </w:pPr>
          </w:p>
        </w:tc>
        <w:tc>
          <w:tcPr>
            <w:tcW w:w="264" w:type="pct"/>
            <w:vMerge/>
            <w:vAlign w:val="center"/>
          </w:tcPr>
          <w:p w:rsidR="006312E8" w:rsidRPr="006312E8" w:rsidRDefault="006312E8" w:rsidP="006312E8">
            <w:pPr>
              <w:spacing w:after="200" w:line="240" w:lineRule="auto"/>
              <w:jc w:val="center"/>
              <w:rPr>
                <w:rFonts w:ascii="Arial Narrow" w:eastAsia="Calibri" w:hAnsi="Arial Narrow" w:cs="Arial"/>
                <w:b/>
                <w:sz w:val="14"/>
                <w:szCs w:val="14"/>
                <w:lang w:val="es-ES"/>
              </w:rPr>
            </w:pPr>
          </w:p>
        </w:tc>
        <w:tc>
          <w:tcPr>
            <w:tcW w:w="331" w:type="pct"/>
            <w:vMerge/>
            <w:vAlign w:val="center"/>
          </w:tcPr>
          <w:p w:rsidR="006312E8" w:rsidRPr="006312E8" w:rsidRDefault="006312E8" w:rsidP="006312E8">
            <w:pPr>
              <w:spacing w:after="200" w:line="240" w:lineRule="auto"/>
              <w:jc w:val="center"/>
              <w:rPr>
                <w:rFonts w:ascii="Arial Narrow" w:eastAsia="Calibri" w:hAnsi="Arial Narrow" w:cs="Arial"/>
                <w:b/>
                <w:sz w:val="14"/>
                <w:szCs w:val="14"/>
                <w:lang w:val="es-ES"/>
              </w:rPr>
            </w:pPr>
          </w:p>
        </w:tc>
        <w:tc>
          <w:tcPr>
            <w:tcW w:w="660" w:type="pct"/>
            <w:vMerge/>
            <w:vAlign w:val="center"/>
          </w:tcPr>
          <w:p w:rsidR="006312E8" w:rsidRPr="006312E8" w:rsidRDefault="006312E8" w:rsidP="006312E8">
            <w:pPr>
              <w:spacing w:after="200" w:line="240" w:lineRule="auto"/>
              <w:jc w:val="center"/>
              <w:rPr>
                <w:rFonts w:ascii="Arial Narrow" w:eastAsia="Calibri" w:hAnsi="Arial Narrow" w:cs="Arial"/>
                <w:b/>
                <w:sz w:val="14"/>
                <w:szCs w:val="14"/>
                <w:lang w:val="es-ES"/>
              </w:rPr>
            </w:pPr>
          </w:p>
        </w:tc>
        <w:tc>
          <w:tcPr>
            <w:tcW w:w="461" w:type="pct"/>
            <w:vMerge/>
            <w:vAlign w:val="center"/>
          </w:tcPr>
          <w:p w:rsidR="006312E8" w:rsidRPr="006312E8" w:rsidRDefault="006312E8" w:rsidP="006312E8">
            <w:pPr>
              <w:spacing w:after="200" w:line="240" w:lineRule="auto"/>
              <w:jc w:val="center"/>
              <w:rPr>
                <w:rFonts w:ascii="Arial Narrow" w:eastAsia="Calibri" w:hAnsi="Arial Narrow" w:cs="Arial"/>
                <w:b/>
                <w:sz w:val="14"/>
                <w:szCs w:val="14"/>
                <w:lang w:val="es-ES"/>
              </w:rPr>
            </w:pPr>
          </w:p>
        </w:tc>
        <w:tc>
          <w:tcPr>
            <w:tcW w:w="264" w:type="pct"/>
            <w:vAlign w:val="center"/>
          </w:tcPr>
          <w:p w:rsidR="006312E8" w:rsidRPr="006312E8" w:rsidRDefault="006312E8" w:rsidP="006312E8">
            <w:pPr>
              <w:spacing w:after="200" w:line="240" w:lineRule="auto"/>
              <w:jc w:val="center"/>
              <w:rPr>
                <w:rFonts w:ascii="Arial Narrow" w:eastAsia="Calibri" w:hAnsi="Arial Narrow" w:cs="Arial"/>
                <w:b/>
                <w:sz w:val="14"/>
                <w:szCs w:val="14"/>
                <w:lang w:val="es-ES"/>
              </w:rPr>
            </w:pPr>
            <w:r w:rsidRPr="006312E8">
              <w:rPr>
                <w:rFonts w:ascii="Arial Narrow" w:eastAsia="Calibri" w:hAnsi="Arial Narrow" w:cs="Arial"/>
                <w:b/>
                <w:sz w:val="14"/>
                <w:szCs w:val="14"/>
                <w:lang w:val="es-ES"/>
              </w:rPr>
              <w:t>Muro</w:t>
            </w:r>
          </w:p>
        </w:tc>
        <w:tc>
          <w:tcPr>
            <w:tcW w:w="331" w:type="pct"/>
            <w:vAlign w:val="center"/>
          </w:tcPr>
          <w:p w:rsidR="006312E8" w:rsidRPr="006312E8" w:rsidRDefault="006312E8" w:rsidP="006312E8">
            <w:pPr>
              <w:spacing w:after="200" w:line="240" w:lineRule="auto"/>
              <w:jc w:val="center"/>
              <w:rPr>
                <w:rFonts w:ascii="Arial Narrow" w:eastAsia="Calibri" w:hAnsi="Arial Narrow" w:cs="Arial"/>
                <w:b/>
                <w:sz w:val="14"/>
                <w:szCs w:val="14"/>
                <w:lang w:val="es-ES"/>
              </w:rPr>
            </w:pPr>
            <w:r w:rsidRPr="006312E8">
              <w:rPr>
                <w:rFonts w:ascii="Arial Narrow" w:eastAsia="Calibri" w:hAnsi="Arial Narrow" w:cs="Arial"/>
                <w:b/>
                <w:sz w:val="14"/>
                <w:szCs w:val="14"/>
                <w:lang w:val="es-ES"/>
              </w:rPr>
              <w:t>Techo</w:t>
            </w:r>
          </w:p>
        </w:tc>
        <w:tc>
          <w:tcPr>
            <w:tcW w:w="264" w:type="pct"/>
            <w:vAlign w:val="center"/>
          </w:tcPr>
          <w:p w:rsidR="006312E8" w:rsidRPr="006312E8" w:rsidRDefault="006312E8" w:rsidP="006312E8">
            <w:pPr>
              <w:spacing w:after="200" w:line="240" w:lineRule="auto"/>
              <w:jc w:val="center"/>
              <w:rPr>
                <w:rFonts w:ascii="Arial Narrow" w:eastAsia="Calibri" w:hAnsi="Arial Narrow" w:cs="Arial"/>
                <w:b/>
                <w:sz w:val="14"/>
                <w:szCs w:val="14"/>
                <w:lang w:val="es-ES"/>
              </w:rPr>
            </w:pPr>
            <w:r w:rsidRPr="006312E8">
              <w:rPr>
                <w:rFonts w:ascii="Arial Narrow" w:eastAsia="Calibri" w:hAnsi="Arial Narrow" w:cs="Arial"/>
                <w:b/>
                <w:sz w:val="14"/>
                <w:szCs w:val="14"/>
                <w:lang w:val="es-ES"/>
              </w:rPr>
              <w:t>Pisos</w:t>
            </w:r>
          </w:p>
        </w:tc>
        <w:tc>
          <w:tcPr>
            <w:tcW w:w="330" w:type="pct"/>
            <w:vAlign w:val="center"/>
          </w:tcPr>
          <w:p w:rsidR="006312E8" w:rsidRPr="006312E8" w:rsidRDefault="006312E8" w:rsidP="006312E8">
            <w:pPr>
              <w:spacing w:after="200" w:line="240" w:lineRule="auto"/>
              <w:jc w:val="center"/>
              <w:rPr>
                <w:rFonts w:ascii="Arial Narrow" w:eastAsia="Calibri" w:hAnsi="Arial Narrow" w:cs="Arial"/>
                <w:b/>
                <w:sz w:val="14"/>
                <w:szCs w:val="14"/>
                <w:lang w:val="es-ES"/>
              </w:rPr>
            </w:pPr>
            <w:r w:rsidRPr="006312E8">
              <w:rPr>
                <w:rFonts w:ascii="Arial Narrow" w:eastAsia="Calibri" w:hAnsi="Arial Narrow" w:cs="Arial"/>
                <w:b/>
                <w:sz w:val="14"/>
                <w:szCs w:val="14"/>
                <w:lang w:val="es-ES"/>
              </w:rPr>
              <w:t>Puertas</w:t>
            </w:r>
          </w:p>
        </w:tc>
        <w:tc>
          <w:tcPr>
            <w:tcW w:w="396" w:type="pct"/>
            <w:vAlign w:val="center"/>
          </w:tcPr>
          <w:p w:rsidR="006312E8" w:rsidRPr="006312E8" w:rsidRDefault="006312E8" w:rsidP="006312E8">
            <w:pPr>
              <w:spacing w:after="200" w:line="240" w:lineRule="auto"/>
              <w:rPr>
                <w:rFonts w:ascii="Arial Narrow" w:eastAsia="Calibri" w:hAnsi="Arial Narrow" w:cs="Arial"/>
                <w:b/>
                <w:sz w:val="14"/>
                <w:szCs w:val="14"/>
                <w:lang w:val="es-ES"/>
              </w:rPr>
            </w:pPr>
            <w:r w:rsidRPr="006312E8">
              <w:rPr>
                <w:rFonts w:ascii="Arial Narrow" w:eastAsia="Calibri" w:hAnsi="Arial Narrow" w:cs="Arial"/>
                <w:b/>
                <w:sz w:val="14"/>
                <w:szCs w:val="14"/>
                <w:lang w:val="es-ES"/>
              </w:rPr>
              <w:t>Revestim.</w:t>
            </w:r>
          </w:p>
        </w:tc>
        <w:tc>
          <w:tcPr>
            <w:tcW w:w="264" w:type="pct"/>
            <w:vAlign w:val="center"/>
          </w:tcPr>
          <w:p w:rsidR="006312E8" w:rsidRPr="006312E8" w:rsidRDefault="006312E8" w:rsidP="006312E8">
            <w:pPr>
              <w:spacing w:after="200" w:line="240" w:lineRule="auto"/>
              <w:jc w:val="center"/>
              <w:rPr>
                <w:rFonts w:ascii="Arial Narrow" w:eastAsia="Calibri" w:hAnsi="Arial Narrow" w:cs="Arial"/>
                <w:b/>
                <w:sz w:val="14"/>
                <w:szCs w:val="14"/>
                <w:lang w:val="es-ES"/>
              </w:rPr>
            </w:pPr>
            <w:r w:rsidRPr="006312E8">
              <w:rPr>
                <w:rFonts w:ascii="Arial Narrow" w:eastAsia="Calibri" w:hAnsi="Arial Narrow" w:cs="Arial"/>
                <w:b/>
                <w:sz w:val="14"/>
                <w:szCs w:val="14"/>
                <w:lang w:val="es-ES"/>
              </w:rPr>
              <w:t>Baño</w:t>
            </w:r>
          </w:p>
        </w:tc>
        <w:tc>
          <w:tcPr>
            <w:tcW w:w="264" w:type="pct"/>
            <w:vMerge/>
            <w:vAlign w:val="center"/>
          </w:tcPr>
          <w:p w:rsidR="006312E8" w:rsidRPr="006312E8" w:rsidRDefault="006312E8" w:rsidP="006312E8">
            <w:pPr>
              <w:spacing w:after="200" w:line="240" w:lineRule="auto"/>
              <w:jc w:val="center"/>
              <w:rPr>
                <w:rFonts w:ascii="Arial Narrow" w:eastAsia="Calibri" w:hAnsi="Arial Narrow" w:cs="Arial"/>
                <w:b/>
                <w:sz w:val="14"/>
                <w:szCs w:val="14"/>
                <w:lang w:val="es-ES"/>
              </w:rPr>
            </w:pPr>
          </w:p>
        </w:tc>
        <w:tc>
          <w:tcPr>
            <w:tcW w:w="396" w:type="pct"/>
            <w:vMerge/>
            <w:vAlign w:val="center"/>
          </w:tcPr>
          <w:p w:rsidR="006312E8" w:rsidRPr="006312E8" w:rsidRDefault="006312E8" w:rsidP="006312E8">
            <w:pPr>
              <w:spacing w:after="200" w:line="240" w:lineRule="auto"/>
              <w:jc w:val="center"/>
              <w:rPr>
                <w:rFonts w:ascii="Arial Narrow" w:eastAsia="Calibri" w:hAnsi="Arial Narrow" w:cs="Arial"/>
                <w:b/>
                <w:sz w:val="14"/>
                <w:szCs w:val="14"/>
                <w:lang w:val="es-ES"/>
              </w:rPr>
            </w:pPr>
          </w:p>
        </w:tc>
        <w:tc>
          <w:tcPr>
            <w:tcW w:w="394" w:type="pct"/>
            <w:vMerge/>
            <w:vAlign w:val="center"/>
          </w:tcPr>
          <w:p w:rsidR="006312E8" w:rsidRPr="006312E8" w:rsidRDefault="006312E8" w:rsidP="006312E8">
            <w:pPr>
              <w:spacing w:after="200" w:line="240" w:lineRule="auto"/>
              <w:jc w:val="center"/>
              <w:rPr>
                <w:rFonts w:ascii="Arial Narrow" w:eastAsia="Calibri" w:hAnsi="Arial Narrow" w:cs="Arial"/>
                <w:b/>
                <w:sz w:val="14"/>
                <w:szCs w:val="14"/>
                <w:lang w:val="es-ES"/>
              </w:rPr>
            </w:pPr>
          </w:p>
        </w:tc>
      </w:tr>
      <w:tr w:rsidR="006312E8" w:rsidRPr="006312E8" w:rsidTr="00D04998">
        <w:tc>
          <w:tcPr>
            <w:tcW w:w="381" w:type="pct"/>
            <w:vAlign w:val="center"/>
          </w:tcPr>
          <w:p w:rsidR="006312E8" w:rsidRPr="006312E8" w:rsidRDefault="006312E8" w:rsidP="006312E8">
            <w:pPr>
              <w:spacing w:after="200" w:line="240" w:lineRule="auto"/>
              <w:jc w:val="center"/>
              <w:rPr>
                <w:rFonts w:ascii="Arial Narrow" w:eastAsia="Calibri" w:hAnsi="Arial Narrow" w:cs="Arial"/>
                <w:b/>
                <w:sz w:val="14"/>
                <w:szCs w:val="14"/>
                <w:lang w:val="es-ES"/>
              </w:rPr>
            </w:pPr>
          </w:p>
        </w:tc>
        <w:tc>
          <w:tcPr>
            <w:tcW w:w="264" w:type="pct"/>
            <w:vAlign w:val="center"/>
          </w:tcPr>
          <w:p w:rsidR="006312E8" w:rsidRPr="006312E8" w:rsidRDefault="006312E8" w:rsidP="006312E8">
            <w:pPr>
              <w:spacing w:after="200" w:line="240" w:lineRule="auto"/>
              <w:jc w:val="center"/>
              <w:rPr>
                <w:rFonts w:ascii="Arial Narrow" w:eastAsia="Calibri" w:hAnsi="Arial Narrow" w:cs="Arial"/>
                <w:b/>
                <w:sz w:val="14"/>
                <w:szCs w:val="14"/>
                <w:lang w:val="es-ES"/>
              </w:rPr>
            </w:pPr>
          </w:p>
        </w:tc>
        <w:tc>
          <w:tcPr>
            <w:tcW w:w="331" w:type="pct"/>
            <w:vAlign w:val="center"/>
          </w:tcPr>
          <w:p w:rsidR="006312E8" w:rsidRPr="006312E8" w:rsidRDefault="006312E8" w:rsidP="006312E8">
            <w:pPr>
              <w:spacing w:after="200" w:line="240" w:lineRule="auto"/>
              <w:jc w:val="center"/>
              <w:rPr>
                <w:rFonts w:ascii="Arial Narrow" w:eastAsia="Calibri" w:hAnsi="Arial Narrow" w:cs="Arial"/>
                <w:b/>
                <w:sz w:val="14"/>
                <w:szCs w:val="14"/>
                <w:lang w:val="es-ES"/>
              </w:rPr>
            </w:pPr>
          </w:p>
        </w:tc>
        <w:tc>
          <w:tcPr>
            <w:tcW w:w="660" w:type="pct"/>
            <w:vAlign w:val="center"/>
          </w:tcPr>
          <w:p w:rsidR="006312E8" w:rsidRPr="006312E8" w:rsidRDefault="006312E8" w:rsidP="006312E8">
            <w:pPr>
              <w:spacing w:after="200" w:line="240" w:lineRule="auto"/>
              <w:jc w:val="center"/>
              <w:rPr>
                <w:rFonts w:ascii="Arial Narrow" w:eastAsia="Calibri" w:hAnsi="Arial Narrow" w:cs="Arial"/>
                <w:b/>
                <w:sz w:val="14"/>
                <w:szCs w:val="14"/>
                <w:lang w:val="es-ES"/>
              </w:rPr>
            </w:pPr>
          </w:p>
        </w:tc>
        <w:tc>
          <w:tcPr>
            <w:tcW w:w="461" w:type="pct"/>
            <w:vAlign w:val="center"/>
          </w:tcPr>
          <w:p w:rsidR="006312E8" w:rsidRPr="006312E8" w:rsidRDefault="006312E8" w:rsidP="006312E8">
            <w:pPr>
              <w:spacing w:after="200" w:line="240" w:lineRule="auto"/>
              <w:jc w:val="center"/>
              <w:rPr>
                <w:rFonts w:ascii="Arial Narrow" w:eastAsia="Calibri" w:hAnsi="Arial Narrow" w:cs="Arial"/>
                <w:b/>
                <w:sz w:val="14"/>
                <w:szCs w:val="14"/>
                <w:lang w:val="es-ES"/>
              </w:rPr>
            </w:pPr>
          </w:p>
        </w:tc>
        <w:tc>
          <w:tcPr>
            <w:tcW w:w="264" w:type="pct"/>
            <w:vAlign w:val="center"/>
          </w:tcPr>
          <w:p w:rsidR="006312E8" w:rsidRPr="006312E8" w:rsidRDefault="006312E8" w:rsidP="006312E8">
            <w:pPr>
              <w:spacing w:after="200" w:line="240" w:lineRule="auto"/>
              <w:jc w:val="center"/>
              <w:rPr>
                <w:rFonts w:ascii="Arial Narrow" w:eastAsia="Calibri" w:hAnsi="Arial Narrow" w:cs="Arial"/>
                <w:b/>
                <w:sz w:val="14"/>
                <w:szCs w:val="14"/>
                <w:lang w:val="es-ES"/>
              </w:rPr>
            </w:pPr>
          </w:p>
        </w:tc>
        <w:tc>
          <w:tcPr>
            <w:tcW w:w="331" w:type="pct"/>
            <w:vAlign w:val="center"/>
          </w:tcPr>
          <w:p w:rsidR="006312E8" w:rsidRPr="006312E8" w:rsidRDefault="006312E8" w:rsidP="006312E8">
            <w:pPr>
              <w:spacing w:after="200" w:line="240" w:lineRule="auto"/>
              <w:jc w:val="center"/>
              <w:rPr>
                <w:rFonts w:ascii="Arial Narrow" w:eastAsia="Calibri" w:hAnsi="Arial Narrow" w:cs="Arial"/>
                <w:b/>
                <w:sz w:val="14"/>
                <w:szCs w:val="14"/>
                <w:lang w:val="es-ES"/>
              </w:rPr>
            </w:pPr>
          </w:p>
        </w:tc>
        <w:tc>
          <w:tcPr>
            <w:tcW w:w="264" w:type="pct"/>
            <w:vAlign w:val="center"/>
          </w:tcPr>
          <w:p w:rsidR="006312E8" w:rsidRPr="006312E8" w:rsidRDefault="006312E8" w:rsidP="006312E8">
            <w:pPr>
              <w:spacing w:after="200" w:line="240" w:lineRule="auto"/>
              <w:jc w:val="center"/>
              <w:rPr>
                <w:rFonts w:ascii="Arial Narrow" w:eastAsia="Calibri" w:hAnsi="Arial Narrow" w:cs="Arial"/>
                <w:b/>
                <w:sz w:val="14"/>
                <w:szCs w:val="14"/>
                <w:lang w:val="es-ES"/>
              </w:rPr>
            </w:pPr>
          </w:p>
        </w:tc>
        <w:tc>
          <w:tcPr>
            <w:tcW w:w="330" w:type="pct"/>
            <w:vAlign w:val="center"/>
          </w:tcPr>
          <w:p w:rsidR="006312E8" w:rsidRPr="006312E8" w:rsidRDefault="006312E8" w:rsidP="006312E8">
            <w:pPr>
              <w:spacing w:after="200" w:line="240" w:lineRule="auto"/>
              <w:jc w:val="center"/>
              <w:rPr>
                <w:rFonts w:ascii="Arial Narrow" w:eastAsia="Calibri" w:hAnsi="Arial Narrow" w:cs="Arial"/>
                <w:b/>
                <w:sz w:val="14"/>
                <w:szCs w:val="14"/>
                <w:lang w:val="es-ES"/>
              </w:rPr>
            </w:pPr>
          </w:p>
        </w:tc>
        <w:tc>
          <w:tcPr>
            <w:tcW w:w="396" w:type="pct"/>
            <w:vAlign w:val="center"/>
          </w:tcPr>
          <w:p w:rsidR="006312E8" w:rsidRPr="006312E8" w:rsidRDefault="006312E8" w:rsidP="006312E8">
            <w:pPr>
              <w:spacing w:after="200" w:line="240" w:lineRule="auto"/>
              <w:jc w:val="center"/>
              <w:rPr>
                <w:rFonts w:ascii="Arial Narrow" w:eastAsia="Calibri" w:hAnsi="Arial Narrow" w:cs="Arial"/>
                <w:b/>
                <w:sz w:val="14"/>
                <w:szCs w:val="14"/>
                <w:lang w:val="es-ES"/>
              </w:rPr>
            </w:pPr>
          </w:p>
        </w:tc>
        <w:tc>
          <w:tcPr>
            <w:tcW w:w="264" w:type="pct"/>
            <w:vAlign w:val="center"/>
          </w:tcPr>
          <w:p w:rsidR="006312E8" w:rsidRPr="006312E8" w:rsidRDefault="006312E8" w:rsidP="006312E8">
            <w:pPr>
              <w:spacing w:after="200" w:line="240" w:lineRule="auto"/>
              <w:jc w:val="center"/>
              <w:rPr>
                <w:rFonts w:ascii="Arial Narrow" w:eastAsia="Calibri" w:hAnsi="Arial Narrow" w:cs="Arial"/>
                <w:b/>
                <w:sz w:val="14"/>
                <w:szCs w:val="14"/>
                <w:lang w:val="es-ES"/>
              </w:rPr>
            </w:pPr>
          </w:p>
        </w:tc>
        <w:tc>
          <w:tcPr>
            <w:tcW w:w="264" w:type="pct"/>
            <w:vAlign w:val="center"/>
          </w:tcPr>
          <w:p w:rsidR="006312E8" w:rsidRPr="006312E8" w:rsidRDefault="006312E8" w:rsidP="006312E8">
            <w:pPr>
              <w:spacing w:after="200" w:line="240" w:lineRule="auto"/>
              <w:jc w:val="center"/>
              <w:rPr>
                <w:rFonts w:ascii="Arial Narrow" w:eastAsia="Calibri" w:hAnsi="Arial Narrow" w:cs="Arial"/>
                <w:b/>
                <w:sz w:val="14"/>
                <w:szCs w:val="14"/>
                <w:lang w:val="es-ES"/>
              </w:rPr>
            </w:pPr>
          </w:p>
        </w:tc>
        <w:tc>
          <w:tcPr>
            <w:tcW w:w="396" w:type="pct"/>
            <w:vAlign w:val="center"/>
          </w:tcPr>
          <w:p w:rsidR="006312E8" w:rsidRPr="006312E8" w:rsidRDefault="006312E8" w:rsidP="006312E8">
            <w:pPr>
              <w:spacing w:after="200" w:line="240" w:lineRule="auto"/>
              <w:jc w:val="center"/>
              <w:rPr>
                <w:rFonts w:ascii="Arial Narrow" w:eastAsia="Calibri" w:hAnsi="Arial Narrow" w:cs="Arial"/>
                <w:b/>
                <w:sz w:val="14"/>
                <w:szCs w:val="14"/>
                <w:lang w:val="es-ES"/>
              </w:rPr>
            </w:pPr>
          </w:p>
        </w:tc>
        <w:tc>
          <w:tcPr>
            <w:tcW w:w="394" w:type="pct"/>
            <w:vAlign w:val="center"/>
          </w:tcPr>
          <w:p w:rsidR="006312E8" w:rsidRPr="006312E8" w:rsidRDefault="006312E8" w:rsidP="006312E8">
            <w:pPr>
              <w:spacing w:after="200" w:line="240" w:lineRule="auto"/>
              <w:jc w:val="center"/>
              <w:rPr>
                <w:rFonts w:ascii="Arial Narrow" w:eastAsia="Calibri" w:hAnsi="Arial Narrow" w:cs="Arial"/>
                <w:b/>
                <w:sz w:val="14"/>
                <w:szCs w:val="14"/>
                <w:lang w:val="es-ES"/>
              </w:rPr>
            </w:pPr>
          </w:p>
        </w:tc>
      </w:tr>
    </w:tbl>
    <w:p w:rsidR="006312E8" w:rsidRPr="006312E8" w:rsidRDefault="006312E8" w:rsidP="006312E8">
      <w:pPr>
        <w:spacing w:before="3" w:after="0" w:line="240" w:lineRule="auto"/>
        <w:jc w:val="both"/>
        <w:rPr>
          <w:rFonts w:ascii="Arial Narrow" w:eastAsia="Calibri" w:hAnsi="Arial Narrow" w:cs="Arial"/>
          <w:b/>
          <w:sz w:val="14"/>
          <w:szCs w:val="14"/>
          <w:lang w:val="es-ES"/>
        </w:rPr>
      </w:pPr>
    </w:p>
    <w:tbl>
      <w:tblPr>
        <w:tblW w:w="3969" w:type="dxa"/>
        <w:tblInd w:w="5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6"/>
        <w:gridCol w:w="1843"/>
      </w:tblGrid>
      <w:tr w:rsidR="006312E8" w:rsidRPr="006312E8" w:rsidTr="00D04998">
        <w:trPr>
          <w:trHeight w:hRule="exact" w:val="284"/>
        </w:trPr>
        <w:tc>
          <w:tcPr>
            <w:tcW w:w="2126" w:type="dxa"/>
            <w:vAlign w:val="center"/>
          </w:tcPr>
          <w:p w:rsidR="006312E8" w:rsidRPr="006312E8" w:rsidRDefault="006312E8" w:rsidP="006312E8">
            <w:pPr>
              <w:spacing w:before="42" w:after="0" w:line="240" w:lineRule="auto"/>
              <w:ind w:right="-20"/>
              <w:jc w:val="both"/>
              <w:rPr>
                <w:rFonts w:ascii="Arial Narrow" w:eastAsia="Calibri" w:hAnsi="Arial Narrow" w:cs="Arial"/>
                <w:b/>
                <w:sz w:val="14"/>
                <w:szCs w:val="14"/>
                <w:lang w:val="es-ES"/>
              </w:rPr>
            </w:pPr>
            <w:r w:rsidRPr="006312E8">
              <w:rPr>
                <w:rFonts w:ascii="Arial Narrow" w:eastAsia="Calibri" w:hAnsi="Arial Narrow" w:cs="Arial"/>
                <w:b/>
                <w:sz w:val="14"/>
                <w:szCs w:val="14"/>
                <w:lang w:val="es-ES"/>
              </w:rPr>
              <w:t>TOTAL EN S/.</w:t>
            </w:r>
          </w:p>
        </w:tc>
        <w:tc>
          <w:tcPr>
            <w:tcW w:w="1843" w:type="dxa"/>
            <w:vAlign w:val="center"/>
          </w:tcPr>
          <w:p w:rsidR="006312E8" w:rsidRPr="006312E8" w:rsidRDefault="006312E8" w:rsidP="006312E8">
            <w:pPr>
              <w:spacing w:after="200" w:line="240" w:lineRule="auto"/>
              <w:jc w:val="both"/>
              <w:rPr>
                <w:rFonts w:ascii="Arial Narrow" w:eastAsia="Calibri" w:hAnsi="Arial Narrow" w:cs="Arial"/>
                <w:b/>
                <w:sz w:val="14"/>
                <w:szCs w:val="14"/>
                <w:lang w:val="es-ES"/>
              </w:rPr>
            </w:pPr>
          </w:p>
        </w:tc>
      </w:tr>
    </w:tbl>
    <w:p w:rsidR="006312E8" w:rsidRPr="006312E8" w:rsidRDefault="006312E8" w:rsidP="006312E8">
      <w:pPr>
        <w:spacing w:after="200" w:line="240" w:lineRule="auto"/>
        <w:jc w:val="both"/>
        <w:outlineLvl w:val="0"/>
        <w:rPr>
          <w:rFonts w:ascii="Arial Narrow" w:eastAsia="Calibri" w:hAnsi="Arial Narrow" w:cs="Arial"/>
          <w:b/>
          <w:sz w:val="16"/>
          <w:szCs w:val="16"/>
        </w:rPr>
      </w:pPr>
      <w:r w:rsidRPr="006312E8">
        <w:rPr>
          <w:rFonts w:ascii="Arial Narrow" w:eastAsia="Calibri" w:hAnsi="Arial Narrow" w:cs="Arial"/>
          <w:b/>
          <w:sz w:val="16"/>
          <w:szCs w:val="16"/>
        </w:rPr>
        <w:t>6.3 OBRAS COMPLEMENTARIAS</w:t>
      </w:r>
    </w:p>
    <w:tbl>
      <w:tblPr>
        <w:tblW w:w="51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
        <w:gridCol w:w="1747"/>
        <w:gridCol w:w="964"/>
        <w:gridCol w:w="910"/>
        <w:gridCol w:w="937"/>
        <w:gridCol w:w="1874"/>
        <w:gridCol w:w="1591"/>
        <w:gridCol w:w="1890"/>
      </w:tblGrid>
      <w:tr w:rsidR="006312E8" w:rsidRPr="006312E8" w:rsidTr="00D04998">
        <w:trPr>
          <w:trHeight w:val="284"/>
        </w:trPr>
        <w:tc>
          <w:tcPr>
            <w:tcW w:w="239" w:type="pct"/>
            <w:vAlign w:val="center"/>
          </w:tcPr>
          <w:p w:rsidR="006312E8" w:rsidRPr="006312E8" w:rsidRDefault="006312E8" w:rsidP="006312E8">
            <w:pPr>
              <w:spacing w:before="69" w:after="0" w:line="240" w:lineRule="auto"/>
              <w:ind w:right="-20"/>
              <w:jc w:val="center"/>
              <w:rPr>
                <w:rFonts w:ascii="Arial Narrow" w:eastAsia="Calibri" w:hAnsi="Arial Narrow" w:cs="Arial"/>
                <w:b/>
                <w:sz w:val="14"/>
                <w:szCs w:val="14"/>
                <w:lang w:val="es-ES"/>
              </w:rPr>
            </w:pPr>
            <w:r w:rsidRPr="006312E8">
              <w:rPr>
                <w:rFonts w:ascii="Arial Narrow" w:eastAsia="Calibri" w:hAnsi="Arial Narrow" w:cs="Arial"/>
                <w:b/>
                <w:sz w:val="14"/>
                <w:szCs w:val="14"/>
                <w:lang w:val="es-ES"/>
              </w:rPr>
              <w:t>Nº</w:t>
            </w:r>
          </w:p>
        </w:tc>
        <w:tc>
          <w:tcPr>
            <w:tcW w:w="839" w:type="pct"/>
            <w:vAlign w:val="center"/>
          </w:tcPr>
          <w:p w:rsidR="006312E8" w:rsidRPr="006312E8" w:rsidRDefault="006312E8" w:rsidP="006312E8">
            <w:pPr>
              <w:spacing w:before="69" w:after="0" w:line="240" w:lineRule="auto"/>
              <w:ind w:right="-20"/>
              <w:jc w:val="center"/>
              <w:rPr>
                <w:rFonts w:ascii="Arial Narrow" w:eastAsia="Calibri" w:hAnsi="Arial Narrow" w:cs="Arial"/>
                <w:b/>
                <w:sz w:val="14"/>
                <w:szCs w:val="14"/>
                <w:lang w:val="es-ES"/>
              </w:rPr>
            </w:pPr>
            <w:r w:rsidRPr="006312E8">
              <w:rPr>
                <w:rFonts w:ascii="Arial Narrow" w:eastAsia="Calibri" w:hAnsi="Arial Narrow" w:cs="Arial"/>
                <w:b/>
                <w:sz w:val="14"/>
                <w:szCs w:val="14"/>
                <w:lang w:val="es-ES"/>
              </w:rPr>
              <w:t>DENOMINACIÓN</w:t>
            </w:r>
          </w:p>
        </w:tc>
        <w:tc>
          <w:tcPr>
            <w:tcW w:w="463" w:type="pct"/>
            <w:vAlign w:val="center"/>
          </w:tcPr>
          <w:p w:rsidR="006312E8" w:rsidRPr="006312E8" w:rsidRDefault="006312E8" w:rsidP="006312E8">
            <w:pPr>
              <w:spacing w:before="69" w:after="0" w:line="240" w:lineRule="auto"/>
              <w:ind w:right="-20"/>
              <w:jc w:val="center"/>
              <w:rPr>
                <w:rFonts w:ascii="Arial Narrow" w:eastAsia="Calibri" w:hAnsi="Arial Narrow" w:cs="Arial"/>
                <w:b/>
                <w:sz w:val="14"/>
                <w:szCs w:val="14"/>
                <w:lang w:val="es-ES"/>
              </w:rPr>
            </w:pPr>
            <w:r w:rsidRPr="006312E8">
              <w:rPr>
                <w:rFonts w:ascii="Arial Narrow" w:eastAsia="Calibri" w:hAnsi="Arial Narrow" w:cs="Arial"/>
                <w:b/>
                <w:sz w:val="14"/>
                <w:szCs w:val="14"/>
                <w:lang w:val="es-ES"/>
              </w:rPr>
              <w:t>Antig.</w:t>
            </w:r>
          </w:p>
        </w:tc>
        <w:tc>
          <w:tcPr>
            <w:tcW w:w="437" w:type="pct"/>
            <w:vAlign w:val="center"/>
          </w:tcPr>
          <w:p w:rsidR="006312E8" w:rsidRPr="006312E8" w:rsidRDefault="006312E8" w:rsidP="006312E8">
            <w:pPr>
              <w:spacing w:before="69" w:after="0" w:line="240" w:lineRule="auto"/>
              <w:ind w:right="-20"/>
              <w:jc w:val="center"/>
              <w:rPr>
                <w:rFonts w:ascii="Arial Narrow" w:eastAsia="Calibri" w:hAnsi="Arial Narrow" w:cs="Arial"/>
                <w:b/>
                <w:sz w:val="14"/>
                <w:szCs w:val="14"/>
                <w:lang w:val="es-ES"/>
              </w:rPr>
            </w:pPr>
            <w:r w:rsidRPr="006312E8">
              <w:rPr>
                <w:rFonts w:ascii="Arial Narrow" w:eastAsia="Calibri" w:hAnsi="Arial Narrow" w:cs="Arial"/>
                <w:b/>
                <w:sz w:val="14"/>
                <w:szCs w:val="14"/>
                <w:lang w:val="es-ES"/>
              </w:rPr>
              <w:t>Unidad</w:t>
            </w:r>
          </w:p>
        </w:tc>
        <w:tc>
          <w:tcPr>
            <w:tcW w:w="450" w:type="pct"/>
            <w:vAlign w:val="center"/>
          </w:tcPr>
          <w:p w:rsidR="006312E8" w:rsidRPr="006312E8" w:rsidRDefault="006312E8" w:rsidP="006312E8">
            <w:pPr>
              <w:spacing w:before="69" w:after="0" w:line="240" w:lineRule="auto"/>
              <w:ind w:right="-20"/>
              <w:jc w:val="center"/>
              <w:rPr>
                <w:rFonts w:ascii="Arial Narrow" w:eastAsia="Calibri" w:hAnsi="Arial Narrow" w:cs="Arial"/>
                <w:b/>
                <w:sz w:val="14"/>
                <w:szCs w:val="14"/>
                <w:lang w:val="es-ES"/>
              </w:rPr>
            </w:pPr>
            <w:r w:rsidRPr="006312E8">
              <w:rPr>
                <w:rFonts w:ascii="Arial Narrow" w:eastAsia="Calibri" w:hAnsi="Arial Narrow" w:cs="Arial"/>
                <w:b/>
                <w:sz w:val="14"/>
                <w:szCs w:val="14"/>
                <w:lang w:val="es-ES"/>
              </w:rPr>
              <w:t>Cant.</w:t>
            </w:r>
          </w:p>
        </w:tc>
        <w:tc>
          <w:tcPr>
            <w:tcW w:w="900" w:type="pct"/>
            <w:vAlign w:val="center"/>
          </w:tcPr>
          <w:p w:rsidR="006312E8" w:rsidRPr="006312E8" w:rsidRDefault="006312E8" w:rsidP="006312E8">
            <w:pPr>
              <w:spacing w:before="69" w:after="0" w:line="240" w:lineRule="auto"/>
              <w:ind w:right="-20"/>
              <w:jc w:val="center"/>
              <w:rPr>
                <w:rFonts w:ascii="Arial Narrow" w:eastAsia="Calibri" w:hAnsi="Arial Narrow" w:cs="Arial"/>
                <w:b/>
                <w:sz w:val="14"/>
                <w:szCs w:val="14"/>
                <w:lang w:val="es-ES"/>
              </w:rPr>
            </w:pPr>
            <w:r w:rsidRPr="006312E8">
              <w:rPr>
                <w:rFonts w:ascii="Arial Narrow" w:eastAsia="Calibri" w:hAnsi="Arial Narrow" w:cs="Arial"/>
                <w:b/>
                <w:sz w:val="14"/>
                <w:szCs w:val="14"/>
                <w:lang w:val="es-ES"/>
              </w:rPr>
              <w:t>Estado de Conservación</w:t>
            </w:r>
          </w:p>
        </w:tc>
        <w:tc>
          <w:tcPr>
            <w:tcW w:w="764" w:type="pct"/>
            <w:vAlign w:val="center"/>
          </w:tcPr>
          <w:p w:rsidR="006312E8" w:rsidRPr="006312E8" w:rsidRDefault="006312E8" w:rsidP="006312E8">
            <w:pPr>
              <w:spacing w:before="3" w:after="0" w:line="240" w:lineRule="auto"/>
              <w:jc w:val="center"/>
              <w:rPr>
                <w:rFonts w:ascii="Arial Narrow" w:eastAsia="Calibri" w:hAnsi="Arial Narrow" w:cs="Arial"/>
                <w:b/>
                <w:sz w:val="14"/>
                <w:szCs w:val="14"/>
                <w:lang w:val="es-ES"/>
              </w:rPr>
            </w:pPr>
            <w:r w:rsidRPr="006312E8">
              <w:rPr>
                <w:rFonts w:ascii="Arial Narrow" w:eastAsia="Calibri" w:hAnsi="Arial Narrow" w:cs="Arial"/>
                <w:b/>
                <w:sz w:val="14"/>
                <w:szCs w:val="14"/>
                <w:lang w:val="es-ES"/>
              </w:rPr>
              <w:t>Material Predom.</w:t>
            </w:r>
          </w:p>
        </w:tc>
        <w:tc>
          <w:tcPr>
            <w:tcW w:w="908" w:type="pct"/>
            <w:vAlign w:val="center"/>
          </w:tcPr>
          <w:p w:rsidR="006312E8" w:rsidRPr="006312E8" w:rsidRDefault="006312E8" w:rsidP="006312E8">
            <w:pPr>
              <w:spacing w:before="3" w:after="0" w:line="240" w:lineRule="auto"/>
              <w:jc w:val="center"/>
              <w:rPr>
                <w:rFonts w:ascii="Arial Narrow" w:eastAsia="Calibri" w:hAnsi="Arial Narrow" w:cs="Arial"/>
                <w:b/>
                <w:sz w:val="14"/>
                <w:szCs w:val="14"/>
                <w:lang w:val="es-ES"/>
              </w:rPr>
            </w:pPr>
            <w:r w:rsidRPr="006312E8">
              <w:rPr>
                <w:rFonts w:ascii="Arial Narrow" w:eastAsia="Calibri" w:hAnsi="Arial Narrow" w:cs="Arial"/>
                <w:b/>
                <w:sz w:val="14"/>
                <w:szCs w:val="14"/>
                <w:lang w:val="es-ES"/>
              </w:rPr>
              <w:t>Valor Estimado</w:t>
            </w:r>
          </w:p>
        </w:tc>
      </w:tr>
      <w:tr w:rsidR="006312E8" w:rsidRPr="006312E8" w:rsidTr="00D04998">
        <w:trPr>
          <w:trHeight w:hRule="exact" w:val="284"/>
        </w:trPr>
        <w:tc>
          <w:tcPr>
            <w:tcW w:w="239" w:type="pct"/>
            <w:vAlign w:val="center"/>
          </w:tcPr>
          <w:p w:rsidR="006312E8" w:rsidRPr="006312E8" w:rsidRDefault="006312E8" w:rsidP="006312E8">
            <w:pPr>
              <w:spacing w:before="69" w:after="0" w:line="240" w:lineRule="auto"/>
              <w:ind w:right="-20"/>
              <w:jc w:val="center"/>
              <w:rPr>
                <w:rFonts w:ascii="Arial Narrow" w:eastAsia="Calibri" w:hAnsi="Arial Narrow" w:cs="Arial"/>
                <w:b/>
                <w:sz w:val="14"/>
                <w:szCs w:val="14"/>
                <w:lang w:val="es-ES"/>
              </w:rPr>
            </w:pPr>
            <w:r w:rsidRPr="006312E8">
              <w:rPr>
                <w:rFonts w:ascii="Arial Narrow" w:eastAsia="Calibri" w:hAnsi="Arial Narrow" w:cs="Arial"/>
                <w:b/>
                <w:sz w:val="14"/>
                <w:szCs w:val="14"/>
                <w:lang w:val="es-ES"/>
              </w:rPr>
              <w:t>1</w:t>
            </w:r>
          </w:p>
        </w:tc>
        <w:tc>
          <w:tcPr>
            <w:tcW w:w="839" w:type="pct"/>
            <w:vAlign w:val="center"/>
          </w:tcPr>
          <w:p w:rsidR="006312E8" w:rsidRPr="006312E8" w:rsidRDefault="006312E8" w:rsidP="006312E8">
            <w:pPr>
              <w:spacing w:before="69" w:after="0" w:line="240" w:lineRule="auto"/>
              <w:ind w:right="-20"/>
              <w:jc w:val="center"/>
              <w:rPr>
                <w:rFonts w:ascii="Arial Narrow" w:eastAsia="Calibri" w:hAnsi="Arial Narrow" w:cs="Arial"/>
                <w:b/>
                <w:sz w:val="14"/>
                <w:szCs w:val="14"/>
                <w:lang w:val="es-ES"/>
              </w:rPr>
            </w:pPr>
          </w:p>
        </w:tc>
        <w:tc>
          <w:tcPr>
            <w:tcW w:w="463" w:type="pct"/>
            <w:vAlign w:val="center"/>
          </w:tcPr>
          <w:p w:rsidR="006312E8" w:rsidRPr="006312E8" w:rsidRDefault="006312E8" w:rsidP="006312E8">
            <w:pPr>
              <w:spacing w:before="69" w:after="0" w:line="240" w:lineRule="auto"/>
              <w:ind w:right="-20"/>
              <w:jc w:val="center"/>
              <w:rPr>
                <w:rFonts w:ascii="Arial Narrow" w:eastAsia="Calibri" w:hAnsi="Arial Narrow" w:cs="Arial"/>
                <w:b/>
                <w:sz w:val="14"/>
                <w:szCs w:val="14"/>
                <w:lang w:val="es-ES"/>
              </w:rPr>
            </w:pPr>
          </w:p>
        </w:tc>
        <w:tc>
          <w:tcPr>
            <w:tcW w:w="437" w:type="pct"/>
            <w:vAlign w:val="center"/>
          </w:tcPr>
          <w:p w:rsidR="006312E8" w:rsidRPr="006312E8" w:rsidRDefault="006312E8" w:rsidP="006312E8">
            <w:pPr>
              <w:spacing w:before="69" w:after="0" w:line="240" w:lineRule="auto"/>
              <w:ind w:right="-20"/>
              <w:jc w:val="center"/>
              <w:rPr>
                <w:rFonts w:ascii="Arial Narrow" w:eastAsia="Calibri" w:hAnsi="Arial Narrow" w:cs="Arial"/>
                <w:b/>
                <w:sz w:val="14"/>
                <w:szCs w:val="14"/>
                <w:lang w:val="es-ES"/>
              </w:rPr>
            </w:pPr>
          </w:p>
        </w:tc>
        <w:tc>
          <w:tcPr>
            <w:tcW w:w="450" w:type="pct"/>
            <w:vAlign w:val="center"/>
          </w:tcPr>
          <w:p w:rsidR="006312E8" w:rsidRPr="006312E8" w:rsidRDefault="006312E8" w:rsidP="006312E8">
            <w:pPr>
              <w:spacing w:before="69" w:after="0" w:line="240" w:lineRule="auto"/>
              <w:ind w:right="-20"/>
              <w:jc w:val="center"/>
              <w:rPr>
                <w:rFonts w:ascii="Arial Narrow" w:eastAsia="Calibri" w:hAnsi="Arial Narrow" w:cs="Arial"/>
                <w:b/>
                <w:sz w:val="14"/>
                <w:szCs w:val="14"/>
                <w:lang w:val="es-ES"/>
              </w:rPr>
            </w:pPr>
          </w:p>
        </w:tc>
        <w:tc>
          <w:tcPr>
            <w:tcW w:w="900" w:type="pct"/>
            <w:vAlign w:val="center"/>
          </w:tcPr>
          <w:p w:rsidR="006312E8" w:rsidRPr="006312E8" w:rsidRDefault="006312E8" w:rsidP="006312E8">
            <w:pPr>
              <w:spacing w:before="69" w:after="0" w:line="240" w:lineRule="auto"/>
              <w:ind w:right="-20"/>
              <w:jc w:val="center"/>
              <w:rPr>
                <w:rFonts w:ascii="Arial Narrow" w:eastAsia="Calibri" w:hAnsi="Arial Narrow" w:cs="Arial"/>
                <w:b/>
                <w:sz w:val="14"/>
                <w:szCs w:val="14"/>
                <w:lang w:val="es-ES"/>
              </w:rPr>
            </w:pPr>
          </w:p>
        </w:tc>
        <w:tc>
          <w:tcPr>
            <w:tcW w:w="764" w:type="pct"/>
            <w:vAlign w:val="center"/>
          </w:tcPr>
          <w:p w:rsidR="006312E8" w:rsidRPr="006312E8" w:rsidRDefault="006312E8" w:rsidP="006312E8">
            <w:pPr>
              <w:spacing w:after="200" w:line="240" w:lineRule="auto"/>
              <w:jc w:val="center"/>
              <w:rPr>
                <w:rFonts w:ascii="Arial Narrow" w:eastAsia="Calibri" w:hAnsi="Arial Narrow" w:cs="Arial"/>
                <w:b/>
                <w:sz w:val="14"/>
                <w:szCs w:val="14"/>
                <w:lang w:val="es-ES"/>
              </w:rPr>
            </w:pPr>
          </w:p>
        </w:tc>
        <w:tc>
          <w:tcPr>
            <w:tcW w:w="908" w:type="pct"/>
            <w:vAlign w:val="center"/>
          </w:tcPr>
          <w:p w:rsidR="006312E8" w:rsidRPr="006312E8" w:rsidRDefault="006312E8" w:rsidP="006312E8">
            <w:pPr>
              <w:spacing w:after="200" w:line="240" w:lineRule="auto"/>
              <w:jc w:val="center"/>
              <w:rPr>
                <w:rFonts w:ascii="Arial Narrow" w:eastAsia="Calibri" w:hAnsi="Arial Narrow" w:cs="Arial"/>
                <w:b/>
                <w:sz w:val="14"/>
                <w:szCs w:val="14"/>
                <w:lang w:val="es-ES"/>
              </w:rPr>
            </w:pPr>
          </w:p>
        </w:tc>
      </w:tr>
      <w:tr w:rsidR="006312E8" w:rsidRPr="006312E8" w:rsidTr="00D04998">
        <w:trPr>
          <w:trHeight w:hRule="exact" w:val="284"/>
        </w:trPr>
        <w:tc>
          <w:tcPr>
            <w:tcW w:w="239" w:type="pct"/>
            <w:vAlign w:val="center"/>
          </w:tcPr>
          <w:p w:rsidR="006312E8" w:rsidRPr="006312E8" w:rsidRDefault="006312E8" w:rsidP="006312E8">
            <w:pPr>
              <w:spacing w:before="69" w:after="0" w:line="240" w:lineRule="auto"/>
              <w:ind w:right="-20"/>
              <w:jc w:val="center"/>
              <w:rPr>
                <w:rFonts w:ascii="Arial Narrow" w:eastAsia="Calibri" w:hAnsi="Arial Narrow" w:cs="Arial"/>
                <w:b/>
                <w:sz w:val="14"/>
                <w:szCs w:val="14"/>
                <w:lang w:val="es-ES"/>
              </w:rPr>
            </w:pPr>
            <w:r w:rsidRPr="006312E8">
              <w:rPr>
                <w:rFonts w:ascii="Arial Narrow" w:eastAsia="Calibri" w:hAnsi="Arial Narrow" w:cs="Arial"/>
                <w:b/>
                <w:sz w:val="14"/>
                <w:szCs w:val="14"/>
                <w:lang w:val="es-ES"/>
              </w:rPr>
              <w:t>2</w:t>
            </w:r>
          </w:p>
        </w:tc>
        <w:tc>
          <w:tcPr>
            <w:tcW w:w="839" w:type="pct"/>
            <w:vAlign w:val="center"/>
          </w:tcPr>
          <w:p w:rsidR="006312E8" w:rsidRPr="006312E8" w:rsidRDefault="006312E8" w:rsidP="006312E8">
            <w:pPr>
              <w:spacing w:before="69" w:after="0" w:line="240" w:lineRule="auto"/>
              <w:ind w:right="-20"/>
              <w:jc w:val="center"/>
              <w:rPr>
                <w:rFonts w:ascii="Arial Narrow" w:eastAsia="Calibri" w:hAnsi="Arial Narrow" w:cs="Arial"/>
                <w:b/>
                <w:sz w:val="14"/>
                <w:szCs w:val="14"/>
                <w:lang w:val="es-ES"/>
              </w:rPr>
            </w:pPr>
          </w:p>
        </w:tc>
        <w:tc>
          <w:tcPr>
            <w:tcW w:w="463" w:type="pct"/>
            <w:vAlign w:val="center"/>
          </w:tcPr>
          <w:p w:rsidR="006312E8" w:rsidRPr="006312E8" w:rsidRDefault="006312E8" w:rsidP="006312E8">
            <w:pPr>
              <w:spacing w:before="69" w:after="0" w:line="240" w:lineRule="auto"/>
              <w:ind w:right="-20"/>
              <w:jc w:val="center"/>
              <w:rPr>
                <w:rFonts w:ascii="Arial Narrow" w:eastAsia="Calibri" w:hAnsi="Arial Narrow" w:cs="Arial"/>
                <w:b/>
                <w:sz w:val="14"/>
                <w:szCs w:val="14"/>
                <w:lang w:val="es-ES"/>
              </w:rPr>
            </w:pPr>
          </w:p>
        </w:tc>
        <w:tc>
          <w:tcPr>
            <w:tcW w:w="437" w:type="pct"/>
            <w:vAlign w:val="center"/>
          </w:tcPr>
          <w:p w:rsidR="006312E8" w:rsidRPr="006312E8" w:rsidRDefault="006312E8" w:rsidP="006312E8">
            <w:pPr>
              <w:spacing w:before="69" w:after="0" w:line="240" w:lineRule="auto"/>
              <w:ind w:right="-20"/>
              <w:jc w:val="center"/>
              <w:rPr>
                <w:rFonts w:ascii="Arial Narrow" w:eastAsia="Calibri" w:hAnsi="Arial Narrow" w:cs="Arial"/>
                <w:b/>
                <w:sz w:val="14"/>
                <w:szCs w:val="14"/>
                <w:lang w:val="es-ES"/>
              </w:rPr>
            </w:pPr>
          </w:p>
        </w:tc>
        <w:tc>
          <w:tcPr>
            <w:tcW w:w="450" w:type="pct"/>
            <w:vAlign w:val="center"/>
          </w:tcPr>
          <w:p w:rsidR="006312E8" w:rsidRPr="006312E8" w:rsidRDefault="006312E8" w:rsidP="006312E8">
            <w:pPr>
              <w:spacing w:before="69" w:after="0" w:line="240" w:lineRule="auto"/>
              <w:ind w:right="-20"/>
              <w:jc w:val="center"/>
              <w:rPr>
                <w:rFonts w:ascii="Arial Narrow" w:eastAsia="Calibri" w:hAnsi="Arial Narrow" w:cs="Arial"/>
                <w:b/>
                <w:sz w:val="14"/>
                <w:szCs w:val="14"/>
                <w:lang w:val="es-ES"/>
              </w:rPr>
            </w:pPr>
          </w:p>
        </w:tc>
        <w:tc>
          <w:tcPr>
            <w:tcW w:w="900" w:type="pct"/>
            <w:vAlign w:val="center"/>
          </w:tcPr>
          <w:p w:rsidR="006312E8" w:rsidRPr="006312E8" w:rsidRDefault="006312E8" w:rsidP="006312E8">
            <w:pPr>
              <w:spacing w:before="69" w:after="0" w:line="240" w:lineRule="auto"/>
              <w:ind w:right="-20"/>
              <w:jc w:val="center"/>
              <w:rPr>
                <w:rFonts w:ascii="Arial Narrow" w:eastAsia="Calibri" w:hAnsi="Arial Narrow" w:cs="Arial"/>
                <w:b/>
                <w:sz w:val="14"/>
                <w:szCs w:val="14"/>
                <w:lang w:val="es-ES"/>
              </w:rPr>
            </w:pPr>
          </w:p>
        </w:tc>
        <w:tc>
          <w:tcPr>
            <w:tcW w:w="764" w:type="pct"/>
            <w:vAlign w:val="center"/>
          </w:tcPr>
          <w:p w:rsidR="006312E8" w:rsidRPr="006312E8" w:rsidRDefault="006312E8" w:rsidP="006312E8">
            <w:pPr>
              <w:spacing w:after="200" w:line="240" w:lineRule="auto"/>
              <w:jc w:val="center"/>
              <w:rPr>
                <w:rFonts w:ascii="Arial Narrow" w:eastAsia="Calibri" w:hAnsi="Arial Narrow" w:cs="Arial"/>
                <w:b/>
                <w:sz w:val="14"/>
                <w:szCs w:val="14"/>
                <w:lang w:val="es-ES"/>
              </w:rPr>
            </w:pPr>
          </w:p>
        </w:tc>
        <w:tc>
          <w:tcPr>
            <w:tcW w:w="908" w:type="pct"/>
            <w:vAlign w:val="center"/>
          </w:tcPr>
          <w:p w:rsidR="006312E8" w:rsidRPr="006312E8" w:rsidRDefault="006312E8" w:rsidP="006312E8">
            <w:pPr>
              <w:spacing w:after="200" w:line="240" w:lineRule="auto"/>
              <w:jc w:val="center"/>
              <w:rPr>
                <w:rFonts w:ascii="Arial Narrow" w:eastAsia="Calibri" w:hAnsi="Arial Narrow" w:cs="Arial"/>
                <w:b/>
                <w:sz w:val="14"/>
                <w:szCs w:val="14"/>
                <w:lang w:val="es-ES"/>
              </w:rPr>
            </w:pPr>
          </w:p>
        </w:tc>
      </w:tr>
      <w:tr w:rsidR="006312E8" w:rsidRPr="006312E8" w:rsidTr="00D04998">
        <w:trPr>
          <w:trHeight w:hRule="exact" w:val="284"/>
        </w:trPr>
        <w:tc>
          <w:tcPr>
            <w:tcW w:w="239" w:type="pct"/>
            <w:vAlign w:val="center"/>
          </w:tcPr>
          <w:p w:rsidR="006312E8" w:rsidRPr="006312E8" w:rsidRDefault="006312E8" w:rsidP="006312E8">
            <w:pPr>
              <w:spacing w:before="69" w:after="0" w:line="240" w:lineRule="auto"/>
              <w:ind w:right="-20"/>
              <w:jc w:val="center"/>
              <w:rPr>
                <w:rFonts w:ascii="Arial Narrow" w:eastAsia="Calibri" w:hAnsi="Arial Narrow" w:cs="Arial"/>
                <w:b/>
                <w:sz w:val="14"/>
                <w:szCs w:val="14"/>
                <w:lang w:val="es-ES"/>
              </w:rPr>
            </w:pPr>
            <w:r w:rsidRPr="006312E8">
              <w:rPr>
                <w:rFonts w:ascii="Arial Narrow" w:eastAsia="Calibri" w:hAnsi="Arial Narrow" w:cs="Arial"/>
                <w:b/>
                <w:sz w:val="14"/>
                <w:szCs w:val="14"/>
                <w:lang w:val="es-ES"/>
              </w:rPr>
              <w:t>3</w:t>
            </w:r>
          </w:p>
        </w:tc>
        <w:tc>
          <w:tcPr>
            <w:tcW w:w="839" w:type="pct"/>
            <w:vAlign w:val="center"/>
          </w:tcPr>
          <w:p w:rsidR="006312E8" w:rsidRPr="006312E8" w:rsidRDefault="006312E8" w:rsidP="006312E8">
            <w:pPr>
              <w:spacing w:before="69" w:after="0" w:line="240" w:lineRule="auto"/>
              <w:ind w:right="-20"/>
              <w:jc w:val="center"/>
              <w:rPr>
                <w:rFonts w:ascii="Arial Narrow" w:eastAsia="Calibri" w:hAnsi="Arial Narrow" w:cs="Arial"/>
                <w:b/>
                <w:sz w:val="14"/>
                <w:szCs w:val="14"/>
                <w:lang w:val="es-ES"/>
              </w:rPr>
            </w:pPr>
          </w:p>
        </w:tc>
        <w:tc>
          <w:tcPr>
            <w:tcW w:w="463" w:type="pct"/>
            <w:vAlign w:val="center"/>
          </w:tcPr>
          <w:p w:rsidR="006312E8" w:rsidRPr="006312E8" w:rsidRDefault="006312E8" w:rsidP="006312E8">
            <w:pPr>
              <w:spacing w:before="69" w:after="0" w:line="240" w:lineRule="auto"/>
              <w:ind w:right="-20"/>
              <w:jc w:val="center"/>
              <w:rPr>
                <w:rFonts w:ascii="Arial Narrow" w:eastAsia="Calibri" w:hAnsi="Arial Narrow" w:cs="Arial"/>
                <w:b/>
                <w:sz w:val="14"/>
                <w:szCs w:val="14"/>
                <w:lang w:val="es-ES"/>
              </w:rPr>
            </w:pPr>
          </w:p>
        </w:tc>
        <w:tc>
          <w:tcPr>
            <w:tcW w:w="437" w:type="pct"/>
            <w:vAlign w:val="center"/>
          </w:tcPr>
          <w:p w:rsidR="006312E8" w:rsidRPr="006312E8" w:rsidRDefault="006312E8" w:rsidP="006312E8">
            <w:pPr>
              <w:spacing w:before="69" w:after="0" w:line="240" w:lineRule="auto"/>
              <w:ind w:right="-20"/>
              <w:jc w:val="center"/>
              <w:rPr>
                <w:rFonts w:ascii="Arial Narrow" w:eastAsia="Calibri" w:hAnsi="Arial Narrow" w:cs="Arial"/>
                <w:b/>
                <w:sz w:val="14"/>
                <w:szCs w:val="14"/>
                <w:lang w:val="es-ES"/>
              </w:rPr>
            </w:pPr>
          </w:p>
        </w:tc>
        <w:tc>
          <w:tcPr>
            <w:tcW w:w="450" w:type="pct"/>
            <w:vAlign w:val="center"/>
          </w:tcPr>
          <w:p w:rsidR="006312E8" w:rsidRPr="006312E8" w:rsidRDefault="006312E8" w:rsidP="006312E8">
            <w:pPr>
              <w:spacing w:before="69" w:after="0" w:line="240" w:lineRule="auto"/>
              <w:ind w:right="-20"/>
              <w:jc w:val="center"/>
              <w:rPr>
                <w:rFonts w:ascii="Arial Narrow" w:eastAsia="Calibri" w:hAnsi="Arial Narrow" w:cs="Arial"/>
                <w:b/>
                <w:sz w:val="14"/>
                <w:szCs w:val="14"/>
                <w:lang w:val="es-ES"/>
              </w:rPr>
            </w:pPr>
          </w:p>
        </w:tc>
        <w:tc>
          <w:tcPr>
            <w:tcW w:w="900" w:type="pct"/>
            <w:vAlign w:val="center"/>
          </w:tcPr>
          <w:p w:rsidR="006312E8" w:rsidRPr="006312E8" w:rsidRDefault="006312E8" w:rsidP="006312E8">
            <w:pPr>
              <w:spacing w:before="69" w:after="0" w:line="240" w:lineRule="auto"/>
              <w:ind w:right="-20"/>
              <w:jc w:val="center"/>
              <w:rPr>
                <w:rFonts w:ascii="Arial Narrow" w:eastAsia="Calibri" w:hAnsi="Arial Narrow" w:cs="Arial"/>
                <w:b/>
                <w:sz w:val="14"/>
                <w:szCs w:val="14"/>
                <w:lang w:val="es-ES"/>
              </w:rPr>
            </w:pPr>
          </w:p>
        </w:tc>
        <w:tc>
          <w:tcPr>
            <w:tcW w:w="764" w:type="pct"/>
            <w:vAlign w:val="center"/>
          </w:tcPr>
          <w:p w:rsidR="006312E8" w:rsidRPr="006312E8" w:rsidRDefault="006312E8" w:rsidP="006312E8">
            <w:pPr>
              <w:spacing w:after="200" w:line="240" w:lineRule="auto"/>
              <w:jc w:val="center"/>
              <w:rPr>
                <w:rFonts w:ascii="Arial Narrow" w:eastAsia="Calibri" w:hAnsi="Arial Narrow" w:cs="Arial"/>
                <w:b/>
                <w:sz w:val="14"/>
                <w:szCs w:val="14"/>
                <w:lang w:val="es-ES"/>
              </w:rPr>
            </w:pPr>
          </w:p>
        </w:tc>
        <w:tc>
          <w:tcPr>
            <w:tcW w:w="908" w:type="pct"/>
            <w:vAlign w:val="center"/>
          </w:tcPr>
          <w:p w:rsidR="006312E8" w:rsidRPr="006312E8" w:rsidRDefault="006312E8" w:rsidP="006312E8">
            <w:pPr>
              <w:spacing w:after="200" w:line="240" w:lineRule="auto"/>
              <w:jc w:val="center"/>
              <w:rPr>
                <w:rFonts w:ascii="Arial Narrow" w:eastAsia="Calibri" w:hAnsi="Arial Narrow" w:cs="Arial"/>
                <w:b/>
                <w:sz w:val="14"/>
                <w:szCs w:val="14"/>
                <w:lang w:val="es-ES"/>
              </w:rPr>
            </w:pPr>
          </w:p>
        </w:tc>
      </w:tr>
      <w:tr w:rsidR="006312E8" w:rsidRPr="006312E8" w:rsidTr="00D04998">
        <w:trPr>
          <w:trHeight w:hRule="exact" w:val="284"/>
        </w:trPr>
        <w:tc>
          <w:tcPr>
            <w:tcW w:w="239" w:type="pct"/>
            <w:vAlign w:val="center"/>
          </w:tcPr>
          <w:p w:rsidR="006312E8" w:rsidRPr="006312E8" w:rsidRDefault="006312E8" w:rsidP="006312E8">
            <w:pPr>
              <w:spacing w:before="69" w:after="0" w:line="240" w:lineRule="auto"/>
              <w:ind w:right="-20"/>
              <w:jc w:val="center"/>
              <w:rPr>
                <w:rFonts w:ascii="Arial Narrow" w:eastAsia="Calibri" w:hAnsi="Arial Narrow" w:cs="Arial"/>
                <w:b/>
                <w:sz w:val="14"/>
                <w:szCs w:val="14"/>
                <w:lang w:val="es-ES"/>
              </w:rPr>
            </w:pPr>
            <w:r w:rsidRPr="006312E8">
              <w:rPr>
                <w:rFonts w:ascii="Arial Narrow" w:eastAsia="Calibri" w:hAnsi="Arial Narrow" w:cs="Arial"/>
                <w:b/>
                <w:sz w:val="14"/>
                <w:szCs w:val="14"/>
                <w:lang w:val="es-ES"/>
              </w:rPr>
              <w:t>4</w:t>
            </w:r>
          </w:p>
        </w:tc>
        <w:tc>
          <w:tcPr>
            <w:tcW w:w="839" w:type="pct"/>
            <w:vAlign w:val="center"/>
          </w:tcPr>
          <w:p w:rsidR="006312E8" w:rsidRPr="006312E8" w:rsidRDefault="006312E8" w:rsidP="006312E8">
            <w:pPr>
              <w:spacing w:before="69" w:after="0" w:line="240" w:lineRule="auto"/>
              <w:ind w:right="-20"/>
              <w:jc w:val="center"/>
              <w:rPr>
                <w:rFonts w:ascii="Arial Narrow" w:eastAsia="Calibri" w:hAnsi="Arial Narrow" w:cs="Arial"/>
                <w:b/>
                <w:sz w:val="14"/>
                <w:szCs w:val="14"/>
                <w:lang w:val="es-ES"/>
              </w:rPr>
            </w:pPr>
          </w:p>
        </w:tc>
        <w:tc>
          <w:tcPr>
            <w:tcW w:w="463" w:type="pct"/>
            <w:vAlign w:val="center"/>
          </w:tcPr>
          <w:p w:rsidR="006312E8" w:rsidRPr="006312E8" w:rsidRDefault="006312E8" w:rsidP="006312E8">
            <w:pPr>
              <w:spacing w:before="69" w:after="0" w:line="240" w:lineRule="auto"/>
              <w:ind w:right="-20"/>
              <w:jc w:val="center"/>
              <w:rPr>
                <w:rFonts w:ascii="Arial Narrow" w:eastAsia="Calibri" w:hAnsi="Arial Narrow" w:cs="Arial"/>
                <w:b/>
                <w:sz w:val="14"/>
                <w:szCs w:val="14"/>
                <w:lang w:val="es-ES"/>
              </w:rPr>
            </w:pPr>
          </w:p>
        </w:tc>
        <w:tc>
          <w:tcPr>
            <w:tcW w:w="437" w:type="pct"/>
            <w:vAlign w:val="center"/>
          </w:tcPr>
          <w:p w:rsidR="006312E8" w:rsidRPr="006312E8" w:rsidRDefault="006312E8" w:rsidP="006312E8">
            <w:pPr>
              <w:spacing w:before="69" w:after="0" w:line="240" w:lineRule="auto"/>
              <w:ind w:right="-20"/>
              <w:jc w:val="center"/>
              <w:rPr>
                <w:rFonts w:ascii="Arial Narrow" w:eastAsia="Calibri" w:hAnsi="Arial Narrow" w:cs="Arial"/>
                <w:b/>
                <w:sz w:val="14"/>
                <w:szCs w:val="14"/>
                <w:lang w:val="es-ES"/>
              </w:rPr>
            </w:pPr>
          </w:p>
        </w:tc>
        <w:tc>
          <w:tcPr>
            <w:tcW w:w="450" w:type="pct"/>
            <w:vAlign w:val="center"/>
          </w:tcPr>
          <w:p w:rsidR="006312E8" w:rsidRPr="006312E8" w:rsidRDefault="006312E8" w:rsidP="006312E8">
            <w:pPr>
              <w:spacing w:before="69" w:after="0" w:line="240" w:lineRule="auto"/>
              <w:ind w:right="-20"/>
              <w:jc w:val="center"/>
              <w:rPr>
                <w:rFonts w:ascii="Arial Narrow" w:eastAsia="Calibri" w:hAnsi="Arial Narrow" w:cs="Arial"/>
                <w:b/>
                <w:sz w:val="14"/>
                <w:szCs w:val="14"/>
                <w:lang w:val="es-ES"/>
              </w:rPr>
            </w:pPr>
          </w:p>
        </w:tc>
        <w:tc>
          <w:tcPr>
            <w:tcW w:w="900" w:type="pct"/>
            <w:vAlign w:val="center"/>
          </w:tcPr>
          <w:p w:rsidR="006312E8" w:rsidRPr="006312E8" w:rsidRDefault="006312E8" w:rsidP="006312E8">
            <w:pPr>
              <w:spacing w:before="69" w:after="0" w:line="240" w:lineRule="auto"/>
              <w:ind w:right="-20"/>
              <w:jc w:val="center"/>
              <w:rPr>
                <w:rFonts w:ascii="Arial Narrow" w:eastAsia="Calibri" w:hAnsi="Arial Narrow" w:cs="Arial"/>
                <w:b/>
                <w:sz w:val="14"/>
                <w:szCs w:val="14"/>
                <w:lang w:val="es-ES"/>
              </w:rPr>
            </w:pPr>
          </w:p>
        </w:tc>
        <w:tc>
          <w:tcPr>
            <w:tcW w:w="764" w:type="pct"/>
            <w:vAlign w:val="center"/>
          </w:tcPr>
          <w:p w:rsidR="006312E8" w:rsidRPr="006312E8" w:rsidRDefault="006312E8" w:rsidP="006312E8">
            <w:pPr>
              <w:spacing w:after="200" w:line="240" w:lineRule="auto"/>
              <w:jc w:val="center"/>
              <w:rPr>
                <w:rFonts w:ascii="Arial Narrow" w:eastAsia="Calibri" w:hAnsi="Arial Narrow" w:cs="Arial"/>
                <w:b/>
                <w:sz w:val="14"/>
                <w:szCs w:val="14"/>
                <w:lang w:val="es-ES"/>
              </w:rPr>
            </w:pPr>
          </w:p>
        </w:tc>
        <w:tc>
          <w:tcPr>
            <w:tcW w:w="908" w:type="pct"/>
            <w:vAlign w:val="center"/>
          </w:tcPr>
          <w:p w:rsidR="006312E8" w:rsidRPr="006312E8" w:rsidRDefault="006312E8" w:rsidP="006312E8">
            <w:pPr>
              <w:spacing w:after="200" w:line="240" w:lineRule="auto"/>
              <w:jc w:val="center"/>
              <w:rPr>
                <w:rFonts w:ascii="Arial Narrow" w:eastAsia="Calibri" w:hAnsi="Arial Narrow" w:cs="Arial"/>
                <w:b/>
                <w:sz w:val="14"/>
                <w:szCs w:val="14"/>
                <w:lang w:val="es-ES"/>
              </w:rPr>
            </w:pPr>
          </w:p>
        </w:tc>
      </w:tr>
      <w:tr w:rsidR="006312E8" w:rsidRPr="006312E8" w:rsidTr="00D04998">
        <w:trPr>
          <w:trHeight w:hRule="exact" w:val="284"/>
        </w:trPr>
        <w:tc>
          <w:tcPr>
            <w:tcW w:w="239" w:type="pct"/>
            <w:vAlign w:val="center"/>
          </w:tcPr>
          <w:p w:rsidR="006312E8" w:rsidRPr="006312E8" w:rsidRDefault="006312E8" w:rsidP="006312E8">
            <w:pPr>
              <w:spacing w:before="69" w:after="0" w:line="240" w:lineRule="auto"/>
              <w:ind w:right="-20"/>
              <w:jc w:val="center"/>
              <w:rPr>
                <w:rFonts w:ascii="Arial Narrow" w:eastAsia="Calibri" w:hAnsi="Arial Narrow" w:cs="Arial"/>
                <w:b/>
                <w:sz w:val="14"/>
                <w:szCs w:val="14"/>
                <w:lang w:val="es-ES"/>
              </w:rPr>
            </w:pPr>
            <w:r w:rsidRPr="006312E8">
              <w:rPr>
                <w:rFonts w:ascii="Arial Narrow" w:eastAsia="Calibri" w:hAnsi="Arial Narrow" w:cs="Arial"/>
                <w:b/>
                <w:sz w:val="14"/>
                <w:szCs w:val="14"/>
                <w:lang w:val="es-ES"/>
              </w:rPr>
              <w:t>5</w:t>
            </w:r>
          </w:p>
        </w:tc>
        <w:tc>
          <w:tcPr>
            <w:tcW w:w="839" w:type="pct"/>
            <w:vAlign w:val="center"/>
          </w:tcPr>
          <w:p w:rsidR="006312E8" w:rsidRPr="006312E8" w:rsidRDefault="006312E8" w:rsidP="006312E8">
            <w:pPr>
              <w:spacing w:before="69" w:after="0" w:line="240" w:lineRule="auto"/>
              <w:ind w:right="-20"/>
              <w:jc w:val="center"/>
              <w:rPr>
                <w:rFonts w:ascii="Arial Narrow" w:eastAsia="Calibri" w:hAnsi="Arial Narrow" w:cs="Arial"/>
                <w:b/>
                <w:sz w:val="14"/>
                <w:szCs w:val="14"/>
                <w:lang w:val="es-ES"/>
              </w:rPr>
            </w:pPr>
          </w:p>
        </w:tc>
        <w:tc>
          <w:tcPr>
            <w:tcW w:w="463" w:type="pct"/>
            <w:vAlign w:val="center"/>
          </w:tcPr>
          <w:p w:rsidR="006312E8" w:rsidRPr="006312E8" w:rsidRDefault="006312E8" w:rsidP="006312E8">
            <w:pPr>
              <w:spacing w:before="69" w:after="0" w:line="240" w:lineRule="auto"/>
              <w:ind w:right="-20"/>
              <w:jc w:val="center"/>
              <w:rPr>
                <w:rFonts w:ascii="Arial Narrow" w:eastAsia="Calibri" w:hAnsi="Arial Narrow" w:cs="Arial"/>
                <w:b/>
                <w:sz w:val="14"/>
                <w:szCs w:val="14"/>
                <w:lang w:val="es-ES"/>
              </w:rPr>
            </w:pPr>
          </w:p>
        </w:tc>
        <w:tc>
          <w:tcPr>
            <w:tcW w:w="437" w:type="pct"/>
            <w:vAlign w:val="center"/>
          </w:tcPr>
          <w:p w:rsidR="006312E8" w:rsidRPr="006312E8" w:rsidRDefault="006312E8" w:rsidP="006312E8">
            <w:pPr>
              <w:spacing w:before="69" w:after="0" w:line="240" w:lineRule="auto"/>
              <w:ind w:right="-20"/>
              <w:jc w:val="center"/>
              <w:rPr>
                <w:rFonts w:ascii="Arial Narrow" w:eastAsia="Calibri" w:hAnsi="Arial Narrow" w:cs="Arial"/>
                <w:b/>
                <w:sz w:val="14"/>
                <w:szCs w:val="14"/>
                <w:lang w:val="es-ES"/>
              </w:rPr>
            </w:pPr>
          </w:p>
        </w:tc>
        <w:tc>
          <w:tcPr>
            <w:tcW w:w="450" w:type="pct"/>
            <w:vAlign w:val="center"/>
          </w:tcPr>
          <w:p w:rsidR="006312E8" w:rsidRPr="006312E8" w:rsidRDefault="006312E8" w:rsidP="006312E8">
            <w:pPr>
              <w:spacing w:before="69" w:after="0" w:line="240" w:lineRule="auto"/>
              <w:ind w:right="-20"/>
              <w:jc w:val="center"/>
              <w:rPr>
                <w:rFonts w:ascii="Arial Narrow" w:eastAsia="Calibri" w:hAnsi="Arial Narrow" w:cs="Arial"/>
                <w:b/>
                <w:sz w:val="14"/>
                <w:szCs w:val="14"/>
                <w:lang w:val="es-ES"/>
              </w:rPr>
            </w:pPr>
          </w:p>
        </w:tc>
        <w:tc>
          <w:tcPr>
            <w:tcW w:w="900" w:type="pct"/>
            <w:vAlign w:val="center"/>
          </w:tcPr>
          <w:p w:rsidR="006312E8" w:rsidRPr="006312E8" w:rsidRDefault="006312E8" w:rsidP="006312E8">
            <w:pPr>
              <w:spacing w:before="69" w:after="0" w:line="240" w:lineRule="auto"/>
              <w:ind w:right="-20"/>
              <w:jc w:val="center"/>
              <w:rPr>
                <w:rFonts w:ascii="Arial Narrow" w:eastAsia="Calibri" w:hAnsi="Arial Narrow" w:cs="Arial"/>
                <w:b/>
                <w:sz w:val="14"/>
                <w:szCs w:val="14"/>
                <w:lang w:val="es-ES"/>
              </w:rPr>
            </w:pPr>
          </w:p>
        </w:tc>
        <w:tc>
          <w:tcPr>
            <w:tcW w:w="764" w:type="pct"/>
            <w:vAlign w:val="center"/>
          </w:tcPr>
          <w:p w:rsidR="006312E8" w:rsidRPr="006312E8" w:rsidRDefault="006312E8" w:rsidP="006312E8">
            <w:pPr>
              <w:spacing w:after="200" w:line="240" w:lineRule="auto"/>
              <w:jc w:val="center"/>
              <w:rPr>
                <w:rFonts w:ascii="Arial Narrow" w:eastAsia="Calibri" w:hAnsi="Arial Narrow" w:cs="Arial"/>
                <w:b/>
                <w:sz w:val="14"/>
                <w:szCs w:val="14"/>
                <w:lang w:val="es-ES"/>
              </w:rPr>
            </w:pPr>
          </w:p>
        </w:tc>
        <w:tc>
          <w:tcPr>
            <w:tcW w:w="908" w:type="pct"/>
            <w:vAlign w:val="center"/>
          </w:tcPr>
          <w:p w:rsidR="006312E8" w:rsidRPr="006312E8" w:rsidRDefault="006312E8" w:rsidP="006312E8">
            <w:pPr>
              <w:spacing w:after="200" w:line="240" w:lineRule="auto"/>
              <w:jc w:val="center"/>
              <w:rPr>
                <w:rFonts w:ascii="Arial Narrow" w:eastAsia="Calibri" w:hAnsi="Arial Narrow" w:cs="Arial"/>
                <w:b/>
                <w:sz w:val="14"/>
                <w:szCs w:val="14"/>
                <w:lang w:val="es-ES"/>
              </w:rPr>
            </w:pPr>
          </w:p>
        </w:tc>
      </w:tr>
      <w:tr w:rsidR="006312E8" w:rsidRPr="006312E8" w:rsidTr="00D04998">
        <w:trPr>
          <w:gridBefore w:val="6"/>
          <w:wBefore w:w="3328" w:type="pct"/>
          <w:trHeight w:hRule="exact" w:val="284"/>
        </w:trPr>
        <w:tc>
          <w:tcPr>
            <w:tcW w:w="764" w:type="pct"/>
            <w:vAlign w:val="center"/>
          </w:tcPr>
          <w:p w:rsidR="006312E8" w:rsidRPr="006312E8" w:rsidRDefault="006312E8" w:rsidP="006312E8">
            <w:pPr>
              <w:spacing w:before="42" w:after="0" w:line="240" w:lineRule="auto"/>
              <w:ind w:right="-20"/>
              <w:jc w:val="both"/>
              <w:rPr>
                <w:rFonts w:ascii="Arial Narrow" w:eastAsia="Calibri" w:hAnsi="Arial Narrow" w:cs="Arial"/>
                <w:b/>
                <w:sz w:val="14"/>
                <w:szCs w:val="14"/>
                <w:lang w:val="es-ES"/>
              </w:rPr>
            </w:pPr>
            <w:r w:rsidRPr="006312E8">
              <w:rPr>
                <w:rFonts w:ascii="Arial Narrow" w:eastAsia="Calibri" w:hAnsi="Arial Narrow" w:cs="Arial"/>
                <w:b/>
                <w:sz w:val="14"/>
                <w:szCs w:val="14"/>
                <w:lang w:val="es-ES"/>
              </w:rPr>
              <w:t>TOTAL EN S/.</w:t>
            </w:r>
          </w:p>
        </w:tc>
        <w:tc>
          <w:tcPr>
            <w:tcW w:w="908" w:type="pct"/>
            <w:vAlign w:val="center"/>
          </w:tcPr>
          <w:p w:rsidR="006312E8" w:rsidRPr="006312E8" w:rsidRDefault="006312E8" w:rsidP="006312E8">
            <w:pPr>
              <w:spacing w:after="200" w:line="240" w:lineRule="auto"/>
              <w:jc w:val="both"/>
              <w:rPr>
                <w:rFonts w:ascii="Arial Narrow" w:eastAsia="Calibri" w:hAnsi="Arial Narrow" w:cs="Arial"/>
                <w:b/>
                <w:sz w:val="14"/>
                <w:szCs w:val="14"/>
                <w:lang w:val="es-ES"/>
              </w:rPr>
            </w:pPr>
          </w:p>
        </w:tc>
      </w:tr>
    </w:tbl>
    <w:p w:rsidR="006312E8" w:rsidRPr="006312E8" w:rsidRDefault="006312E8" w:rsidP="006312E8">
      <w:pPr>
        <w:tabs>
          <w:tab w:val="left" w:pos="620"/>
        </w:tabs>
        <w:spacing w:before="37" w:after="0" w:line="240" w:lineRule="auto"/>
        <w:ind w:right="-20"/>
        <w:outlineLvl w:val="0"/>
        <w:rPr>
          <w:rFonts w:ascii="Arial Narrow" w:eastAsia="Calibri" w:hAnsi="Arial Narrow" w:cs="Times New Roman"/>
          <w:b/>
          <w:sz w:val="16"/>
          <w:szCs w:val="16"/>
          <w:lang w:val="es-ES"/>
        </w:rPr>
      </w:pPr>
      <w:r w:rsidRPr="006312E8">
        <w:rPr>
          <w:rFonts w:ascii="Arial Narrow" w:eastAsia="Calibri" w:hAnsi="Arial Narrow" w:cs="Times New Roman"/>
          <w:b/>
          <w:sz w:val="16"/>
          <w:szCs w:val="16"/>
          <w:lang w:val="es-ES"/>
        </w:rPr>
        <w:t>7.  VALORIZACION DEL INMUEBLE</w:t>
      </w:r>
    </w:p>
    <w:p w:rsidR="006312E8" w:rsidRPr="006312E8" w:rsidRDefault="006312E8" w:rsidP="006312E8">
      <w:pPr>
        <w:tabs>
          <w:tab w:val="left" w:pos="1014"/>
        </w:tabs>
        <w:spacing w:before="5" w:after="0" w:line="130" w:lineRule="exact"/>
        <w:rPr>
          <w:rFonts w:ascii="Arial Narrow" w:eastAsia="Calibri" w:hAnsi="Arial Narrow" w:cs="Arial"/>
          <w:b/>
          <w:sz w:val="18"/>
          <w:szCs w:val="18"/>
        </w:rPr>
      </w:pPr>
      <w:r w:rsidRPr="006312E8">
        <w:rPr>
          <w:rFonts w:ascii="Arial Narrow" w:eastAsia="Calibri" w:hAnsi="Arial Narrow" w:cs="Arial"/>
          <w:b/>
          <w:sz w:val="18"/>
          <w:szCs w:val="18"/>
        </w:rPr>
        <w:tab/>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366"/>
        <w:gridCol w:w="2178"/>
        <w:gridCol w:w="1276"/>
        <w:gridCol w:w="1843"/>
        <w:gridCol w:w="1275"/>
      </w:tblGrid>
      <w:tr w:rsidR="006312E8" w:rsidRPr="006312E8" w:rsidTr="00D04998">
        <w:trPr>
          <w:trHeight w:hRule="exact" w:val="521"/>
        </w:trPr>
        <w:tc>
          <w:tcPr>
            <w:tcW w:w="2376" w:type="dxa"/>
          </w:tcPr>
          <w:p w:rsidR="006312E8" w:rsidRPr="006312E8" w:rsidRDefault="006312E8" w:rsidP="006312E8">
            <w:pPr>
              <w:spacing w:before="69" w:after="0" w:line="240" w:lineRule="auto"/>
              <w:ind w:right="-20"/>
              <w:jc w:val="center"/>
              <w:rPr>
                <w:rFonts w:ascii="Arial Narrow" w:eastAsia="Calibri" w:hAnsi="Arial Narrow" w:cs="Arial"/>
                <w:b/>
                <w:sz w:val="14"/>
                <w:szCs w:val="14"/>
                <w:lang w:val="es-ES"/>
              </w:rPr>
            </w:pPr>
            <w:r w:rsidRPr="006312E8">
              <w:rPr>
                <w:rFonts w:ascii="Arial Narrow" w:eastAsia="Calibri" w:hAnsi="Arial Narrow" w:cs="Arial"/>
                <w:b/>
                <w:sz w:val="14"/>
                <w:szCs w:val="14"/>
                <w:lang w:val="es-ES"/>
              </w:rPr>
              <w:t>TIPO VALORIZACIÓN</w:t>
            </w:r>
          </w:p>
        </w:tc>
        <w:tc>
          <w:tcPr>
            <w:tcW w:w="1366" w:type="dxa"/>
          </w:tcPr>
          <w:p w:rsidR="006312E8" w:rsidRPr="006312E8" w:rsidRDefault="006312E8" w:rsidP="006312E8">
            <w:pPr>
              <w:spacing w:before="69" w:after="0" w:line="240" w:lineRule="auto"/>
              <w:ind w:right="-20"/>
              <w:jc w:val="center"/>
              <w:rPr>
                <w:rFonts w:ascii="Arial Narrow" w:eastAsia="Calibri" w:hAnsi="Arial Narrow" w:cs="Arial"/>
                <w:b/>
                <w:sz w:val="14"/>
                <w:szCs w:val="14"/>
                <w:lang w:val="es-ES"/>
              </w:rPr>
            </w:pPr>
            <w:r w:rsidRPr="006312E8">
              <w:rPr>
                <w:rFonts w:ascii="Arial Narrow" w:eastAsia="Calibri" w:hAnsi="Arial Narrow" w:cs="Arial"/>
                <w:b/>
                <w:sz w:val="14"/>
                <w:szCs w:val="14"/>
                <w:lang w:val="es-ES"/>
              </w:rPr>
              <w:t xml:space="preserve"> </w:t>
            </w:r>
          </w:p>
        </w:tc>
        <w:tc>
          <w:tcPr>
            <w:tcW w:w="2178" w:type="dxa"/>
          </w:tcPr>
          <w:p w:rsidR="006312E8" w:rsidRPr="006312E8" w:rsidRDefault="006312E8" w:rsidP="006312E8">
            <w:pPr>
              <w:spacing w:before="69" w:after="0" w:line="240" w:lineRule="auto"/>
              <w:ind w:right="-20"/>
              <w:jc w:val="center"/>
              <w:rPr>
                <w:rFonts w:ascii="Arial Narrow" w:eastAsia="Calibri" w:hAnsi="Arial Narrow" w:cs="Arial"/>
                <w:b/>
                <w:sz w:val="14"/>
                <w:szCs w:val="14"/>
                <w:lang w:val="es-ES"/>
              </w:rPr>
            </w:pPr>
            <w:r w:rsidRPr="006312E8">
              <w:rPr>
                <w:rFonts w:ascii="Arial Narrow" w:eastAsia="Calibri" w:hAnsi="Arial Narrow" w:cs="Arial"/>
                <w:b/>
                <w:sz w:val="14"/>
                <w:szCs w:val="14"/>
                <w:lang w:val="es-ES"/>
              </w:rPr>
              <w:t>TIPO DE CAMBIO (S/.)</w:t>
            </w:r>
          </w:p>
        </w:tc>
        <w:tc>
          <w:tcPr>
            <w:tcW w:w="1276" w:type="dxa"/>
          </w:tcPr>
          <w:p w:rsidR="006312E8" w:rsidRPr="006312E8" w:rsidRDefault="006312E8" w:rsidP="006312E8">
            <w:pPr>
              <w:spacing w:before="69" w:after="0" w:line="240" w:lineRule="auto"/>
              <w:ind w:right="-20"/>
              <w:jc w:val="center"/>
              <w:rPr>
                <w:rFonts w:ascii="Arial Narrow" w:eastAsia="Calibri" w:hAnsi="Arial Narrow" w:cs="Arial"/>
                <w:b/>
                <w:sz w:val="14"/>
                <w:szCs w:val="14"/>
                <w:lang w:val="es-ES"/>
              </w:rPr>
            </w:pPr>
            <w:r w:rsidRPr="006312E8">
              <w:rPr>
                <w:rFonts w:ascii="Arial Narrow" w:eastAsia="Calibri" w:hAnsi="Arial Narrow" w:cs="Arial"/>
                <w:b/>
                <w:sz w:val="14"/>
                <w:szCs w:val="14"/>
                <w:lang w:val="es-ES"/>
              </w:rPr>
              <w:t xml:space="preserve"> </w:t>
            </w:r>
          </w:p>
        </w:tc>
        <w:tc>
          <w:tcPr>
            <w:tcW w:w="1843" w:type="dxa"/>
          </w:tcPr>
          <w:p w:rsidR="006312E8" w:rsidRPr="006312E8" w:rsidRDefault="006312E8" w:rsidP="006312E8">
            <w:pPr>
              <w:spacing w:before="69" w:after="0" w:line="240" w:lineRule="auto"/>
              <w:ind w:right="-20"/>
              <w:jc w:val="center"/>
              <w:rPr>
                <w:rFonts w:ascii="Arial Narrow" w:eastAsia="Calibri" w:hAnsi="Arial Narrow" w:cs="Arial"/>
                <w:b/>
                <w:sz w:val="14"/>
                <w:szCs w:val="14"/>
                <w:lang w:val="es-ES"/>
              </w:rPr>
            </w:pPr>
            <w:r w:rsidRPr="006312E8">
              <w:rPr>
                <w:rFonts w:ascii="Arial Narrow" w:eastAsia="Calibri" w:hAnsi="Arial Narrow" w:cs="Arial"/>
                <w:b/>
                <w:sz w:val="14"/>
                <w:szCs w:val="14"/>
                <w:lang w:val="es-ES"/>
              </w:rPr>
              <w:t>FECHA DE TASACIÓN</w:t>
            </w:r>
          </w:p>
        </w:tc>
        <w:tc>
          <w:tcPr>
            <w:tcW w:w="1275" w:type="dxa"/>
          </w:tcPr>
          <w:p w:rsidR="006312E8" w:rsidRPr="006312E8" w:rsidRDefault="006312E8" w:rsidP="006312E8">
            <w:pPr>
              <w:spacing w:before="69" w:after="0" w:line="240" w:lineRule="auto"/>
              <w:ind w:right="-20"/>
              <w:rPr>
                <w:rFonts w:ascii="Arial Narrow" w:eastAsia="Calibri" w:hAnsi="Arial Narrow" w:cs="Arial"/>
                <w:b/>
                <w:sz w:val="14"/>
                <w:szCs w:val="14"/>
                <w:lang w:val="es-ES"/>
              </w:rPr>
            </w:pPr>
            <w:r w:rsidRPr="006312E8">
              <w:rPr>
                <w:rFonts w:ascii="Arial Narrow" w:eastAsia="Calibri" w:hAnsi="Arial Narrow" w:cs="Arial"/>
                <w:b/>
                <w:sz w:val="14"/>
                <w:szCs w:val="14"/>
                <w:lang w:val="es-ES"/>
              </w:rPr>
              <w:t xml:space="preserve">            /        /   </w:t>
            </w:r>
          </w:p>
        </w:tc>
      </w:tr>
    </w:tbl>
    <w:p w:rsidR="006312E8" w:rsidRPr="006312E8" w:rsidRDefault="006312E8" w:rsidP="006312E8">
      <w:pPr>
        <w:spacing w:before="69" w:after="0" w:line="240" w:lineRule="auto"/>
        <w:ind w:right="-20"/>
        <w:jc w:val="center"/>
        <w:rPr>
          <w:rFonts w:ascii="Arial Narrow" w:eastAsia="Calibri" w:hAnsi="Arial Narrow" w:cs="Arial"/>
          <w:sz w:val="16"/>
          <w:szCs w:val="16"/>
          <w:lang w:val="es-ES"/>
        </w:rPr>
      </w:pPr>
    </w:p>
    <w:tbl>
      <w:tblPr>
        <w:tblpPr w:leftFromText="141" w:rightFromText="141" w:vertAnchor="tex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985"/>
      </w:tblGrid>
      <w:tr w:rsidR="006312E8" w:rsidRPr="006312E8" w:rsidTr="00D04998">
        <w:trPr>
          <w:trHeight w:hRule="exact" w:val="441"/>
        </w:trPr>
        <w:tc>
          <w:tcPr>
            <w:tcW w:w="2660" w:type="dxa"/>
          </w:tcPr>
          <w:p w:rsidR="006312E8" w:rsidRPr="006312E8" w:rsidRDefault="006312E8" w:rsidP="006312E8">
            <w:pPr>
              <w:spacing w:before="69" w:after="0" w:line="240" w:lineRule="auto"/>
              <w:ind w:right="-20"/>
              <w:jc w:val="center"/>
              <w:rPr>
                <w:rFonts w:ascii="Arial Narrow" w:eastAsia="Calibri" w:hAnsi="Arial Narrow" w:cs="Arial"/>
                <w:b/>
                <w:sz w:val="14"/>
                <w:szCs w:val="14"/>
                <w:lang w:val="es-ES"/>
              </w:rPr>
            </w:pPr>
            <w:r w:rsidRPr="006312E8">
              <w:rPr>
                <w:rFonts w:ascii="Arial Narrow" w:eastAsia="Calibri" w:hAnsi="Arial Narrow" w:cs="Arial"/>
                <w:b/>
                <w:sz w:val="14"/>
                <w:szCs w:val="14"/>
                <w:lang w:val="es-ES"/>
              </w:rPr>
              <w:t xml:space="preserve">VALOR DE LAS CONSTRUCCIONES </w:t>
            </w:r>
          </w:p>
        </w:tc>
        <w:tc>
          <w:tcPr>
            <w:tcW w:w="1984" w:type="dxa"/>
          </w:tcPr>
          <w:p w:rsidR="006312E8" w:rsidRPr="006312E8" w:rsidRDefault="006312E8" w:rsidP="006312E8">
            <w:pPr>
              <w:spacing w:before="69" w:after="0" w:line="240" w:lineRule="auto"/>
              <w:ind w:right="-20"/>
              <w:rPr>
                <w:rFonts w:ascii="Arial Narrow" w:eastAsia="Calibri" w:hAnsi="Arial Narrow" w:cs="Arial"/>
                <w:b/>
                <w:sz w:val="14"/>
                <w:szCs w:val="14"/>
                <w:lang w:val="es-ES"/>
              </w:rPr>
            </w:pPr>
            <w:r w:rsidRPr="006312E8">
              <w:rPr>
                <w:rFonts w:ascii="Arial Narrow" w:eastAsia="Calibri" w:hAnsi="Arial Narrow" w:cs="Arial"/>
                <w:b/>
                <w:sz w:val="14"/>
                <w:szCs w:val="14"/>
                <w:lang w:val="es-ES"/>
              </w:rPr>
              <w:t xml:space="preserve">($) </w:t>
            </w:r>
          </w:p>
        </w:tc>
        <w:tc>
          <w:tcPr>
            <w:tcW w:w="1985" w:type="dxa"/>
          </w:tcPr>
          <w:p w:rsidR="006312E8" w:rsidRPr="006312E8" w:rsidRDefault="006312E8" w:rsidP="006312E8">
            <w:pPr>
              <w:spacing w:before="69" w:after="0" w:line="240" w:lineRule="auto"/>
              <w:ind w:right="-20"/>
              <w:rPr>
                <w:rFonts w:ascii="Arial Narrow" w:eastAsia="Calibri" w:hAnsi="Arial Narrow" w:cs="Arial"/>
                <w:b/>
                <w:sz w:val="14"/>
                <w:szCs w:val="14"/>
                <w:lang w:val="es-ES"/>
              </w:rPr>
            </w:pPr>
            <w:r w:rsidRPr="006312E8">
              <w:rPr>
                <w:rFonts w:ascii="Arial Narrow" w:eastAsia="Calibri" w:hAnsi="Arial Narrow" w:cs="Arial"/>
                <w:b/>
                <w:sz w:val="14"/>
                <w:szCs w:val="14"/>
                <w:lang w:val="es-ES"/>
              </w:rPr>
              <w:t>S/</w:t>
            </w:r>
          </w:p>
        </w:tc>
      </w:tr>
      <w:tr w:rsidR="006312E8" w:rsidRPr="006312E8" w:rsidTr="00D04998">
        <w:trPr>
          <w:trHeight w:hRule="exact" w:val="419"/>
        </w:trPr>
        <w:tc>
          <w:tcPr>
            <w:tcW w:w="2660" w:type="dxa"/>
          </w:tcPr>
          <w:p w:rsidR="006312E8" w:rsidRPr="006312E8" w:rsidRDefault="006312E8" w:rsidP="006312E8">
            <w:pPr>
              <w:spacing w:before="69" w:after="0" w:line="240" w:lineRule="auto"/>
              <w:ind w:right="-20"/>
              <w:jc w:val="center"/>
              <w:rPr>
                <w:rFonts w:ascii="Arial Narrow" w:eastAsia="Calibri" w:hAnsi="Arial Narrow" w:cs="Arial"/>
                <w:b/>
                <w:sz w:val="14"/>
                <w:szCs w:val="14"/>
                <w:lang w:val="es-ES"/>
              </w:rPr>
            </w:pPr>
            <w:r w:rsidRPr="006312E8">
              <w:rPr>
                <w:rFonts w:ascii="Arial Narrow" w:eastAsia="Calibri" w:hAnsi="Arial Narrow" w:cs="Arial"/>
                <w:b/>
                <w:sz w:val="14"/>
                <w:szCs w:val="14"/>
                <w:lang w:val="es-ES"/>
              </w:rPr>
              <w:t xml:space="preserve">VALOR DE LAS OBRAS </w:t>
            </w:r>
          </w:p>
        </w:tc>
        <w:tc>
          <w:tcPr>
            <w:tcW w:w="1984" w:type="dxa"/>
          </w:tcPr>
          <w:p w:rsidR="006312E8" w:rsidRPr="006312E8" w:rsidRDefault="006312E8" w:rsidP="006312E8">
            <w:pPr>
              <w:spacing w:before="69" w:after="0" w:line="240" w:lineRule="auto"/>
              <w:ind w:right="-20"/>
              <w:rPr>
                <w:rFonts w:ascii="Arial Narrow" w:eastAsia="Calibri" w:hAnsi="Arial Narrow" w:cs="Arial"/>
                <w:b/>
                <w:sz w:val="14"/>
                <w:szCs w:val="14"/>
                <w:lang w:val="es-ES"/>
              </w:rPr>
            </w:pPr>
            <w:r w:rsidRPr="006312E8">
              <w:rPr>
                <w:rFonts w:ascii="Arial Narrow" w:eastAsia="Calibri" w:hAnsi="Arial Narrow" w:cs="Arial"/>
                <w:b/>
                <w:sz w:val="14"/>
                <w:szCs w:val="14"/>
                <w:lang w:val="es-ES"/>
              </w:rPr>
              <w:t xml:space="preserve">($) </w:t>
            </w:r>
          </w:p>
        </w:tc>
        <w:tc>
          <w:tcPr>
            <w:tcW w:w="1985" w:type="dxa"/>
          </w:tcPr>
          <w:p w:rsidR="006312E8" w:rsidRPr="006312E8" w:rsidRDefault="006312E8" w:rsidP="006312E8">
            <w:pPr>
              <w:spacing w:before="69" w:after="0" w:line="240" w:lineRule="auto"/>
              <w:ind w:right="-20"/>
              <w:rPr>
                <w:rFonts w:ascii="Arial Narrow" w:eastAsia="Calibri" w:hAnsi="Arial Narrow" w:cs="Arial"/>
                <w:b/>
                <w:sz w:val="14"/>
                <w:szCs w:val="14"/>
                <w:lang w:val="es-ES"/>
              </w:rPr>
            </w:pPr>
            <w:r w:rsidRPr="006312E8">
              <w:rPr>
                <w:rFonts w:ascii="Arial Narrow" w:eastAsia="Calibri" w:hAnsi="Arial Narrow" w:cs="Arial"/>
                <w:b/>
                <w:sz w:val="14"/>
                <w:szCs w:val="14"/>
                <w:lang w:val="es-ES"/>
              </w:rPr>
              <w:t>S/</w:t>
            </w:r>
          </w:p>
        </w:tc>
      </w:tr>
      <w:tr w:rsidR="006312E8" w:rsidRPr="006312E8" w:rsidTr="00D04998">
        <w:trPr>
          <w:trHeight w:hRule="exact" w:val="439"/>
        </w:trPr>
        <w:tc>
          <w:tcPr>
            <w:tcW w:w="2660" w:type="dxa"/>
          </w:tcPr>
          <w:p w:rsidR="006312E8" w:rsidRPr="006312E8" w:rsidRDefault="006312E8" w:rsidP="006312E8">
            <w:pPr>
              <w:spacing w:before="69" w:after="0" w:line="240" w:lineRule="auto"/>
              <w:ind w:right="-20"/>
              <w:jc w:val="center"/>
              <w:rPr>
                <w:rFonts w:ascii="Arial Narrow" w:eastAsia="Calibri" w:hAnsi="Arial Narrow" w:cs="Arial"/>
                <w:b/>
                <w:sz w:val="14"/>
                <w:szCs w:val="14"/>
                <w:lang w:val="es-ES"/>
              </w:rPr>
            </w:pPr>
            <w:r w:rsidRPr="006312E8">
              <w:rPr>
                <w:rFonts w:ascii="Arial Narrow" w:eastAsia="Calibri" w:hAnsi="Arial Narrow" w:cs="Arial"/>
                <w:b/>
                <w:sz w:val="14"/>
                <w:szCs w:val="14"/>
                <w:lang w:val="es-ES"/>
              </w:rPr>
              <w:t xml:space="preserve">VALOR DEL TERRENO </w:t>
            </w:r>
          </w:p>
        </w:tc>
        <w:tc>
          <w:tcPr>
            <w:tcW w:w="1984" w:type="dxa"/>
          </w:tcPr>
          <w:p w:rsidR="006312E8" w:rsidRPr="006312E8" w:rsidRDefault="006312E8" w:rsidP="006312E8">
            <w:pPr>
              <w:spacing w:before="69" w:after="0" w:line="240" w:lineRule="auto"/>
              <w:ind w:right="-20"/>
              <w:rPr>
                <w:rFonts w:ascii="Arial Narrow" w:eastAsia="Calibri" w:hAnsi="Arial Narrow" w:cs="Arial"/>
                <w:b/>
                <w:sz w:val="14"/>
                <w:szCs w:val="14"/>
                <w:lang w:val="es-ES"/>
              </w:rPr>
            </w:pPr>
            <w:r w:rsidRPr="006312E8">
              <w:rPr>
                <w:rFonts w:ascii="Arial Narrow" w:eastAsia="Calibri" w:hAnsi="Arial Narrow" w:cs="Arial"/>
                <w:b/>
                <w:sz w:val="14"/>
                <w:szCs w:val="14"/>
                <w:lang w:val="es-ES"/>
              </w:rPr>
              <w:t xml:space="preserve">($) </w:t>
            </w:r>
          </w:p>
        </w:tc>
        <w:tc>
          <w:tcPr>
            <w:tcW w:w="1985" w:type="dxa"/>
          </w:tcPr>
          <w:p w:rsidR="006312E8" w:rsidRPr="006312E8" w:rsidRDefault="006312E8" w:rsidP="006312E8">
            <w:pPr>
              <w:spacing w:before="69" w:after="0" w:line="240" w:lineRule="auto"/>
              <w:ind w:right="-20"/>
              <w:rPr>
                <w:rFonts w:ascii="Arial Narrow" w:eastAsia="Calibri" w:hAnsi="Arial Narrow" w:cs="Arial"/>
                <w:b/>
                <w:sz w:val="14"/>
                <w:szCs w:val="14"/>
                <w:lang w:val="es-ES"/>
              </w:rPr>
            </w:pPr>
            <w:r w:rsidRPr="006312E8">
              <w:rPr>
                <w:rFonts w:ascii="Arial Narrow" w:eastAsia="Calibri" w:hAnsi="Arial Narrow" w:cs="Arial"/>
                <w:b/>
                <w:sz w:val="14"/>
                <w:szCs w:val="14"/>
                <w:lang w:val="es-ES"/>
              </w:rPr>
              <w:t>S/</w:t>
            </w:r>
          </w:p>
        </w:tc>
      </w:tr>
    </w:tbl>
    <w:p w:rsidR="006312E8" w:rsidRPr="006312E8" w:rsidRDefault="006312E8" w:rsidP="006312E8">
      <w:pPr>
        <w:spacing w:before="69" w:after="0" w:line="240" w:lineRule="auto"/>
        <w:ind w:right="-20"/>
        <w:jc w:val="center"/>
        <w:rPr>
          <w:rFonts w:ascii="Arial Narrow" w:eastAsia="Calibri" w:hAnsi="Arial Narrow" w:cs="Arial"/>
          <w:sz w:val="14"/>
          <w:szCs w:val="14"/>
          <w:lang w:val="es-ES"/>
        </w:rPr>
      </w:pPr>
    </w:p>
    <w:p w:rsidR="006312E8" w:rsidRPr="006312E8" w:rsidRDefault="006312E8" w:rsidP="006312E8">
      <w:pPr>
        <w:spacing w:before="69" w:after="0" w:line="240" w:lineRule="auto"/>
        <w:ind w:right="-20"/>
        <w:jc w:val="center"/>
        <w:rPr>
          <w:rFonts w:ascii="Arial Narrow" w:eastAsia="Calibri" w:hAnsi="Arial Narrow" w:cs="Arial"/>
          <w:sz w:val="14"/>
          <w:szCs w:val="14"/>
          <w:lang w:val="es-ES"/>
        </w:rPr>
      </w:pPr>
    </w:p>
    <w:p w:rsidR="006312E8" w:rsidRPr="006312E8" w:rsidRDefault="006312E8" w:rsidP="006312E8">
      <w:pPr>
        <w:spacing w:before="69" w:after="0" w:line="240" w:lineRule="auto"/>
        <w:ind w:right="-20"/>
        <w:jc w:val="center"/>
        <w:rPr>
          <w:rFonts w:ascii="Arial Narrow" w:eastAsia="Calibri" w:hAnsi="Arial Narrow" w:cs="Arial"/>
          <w:sz w:val="14"/>
          <w:szCs w:val="14"/>
          <w:lang w:val="es-ES"/>
        </w:rPr>
      </w:pPr>
    </w:p>
    <w:p w:rsidR="006312E8" w:rsidRPr="006312E8" w:rsidRDefault="006312E8" w:rsidP="006312E8">
      <w:pPr>
        <w:spacing w:before="69" w:after="0" w:line="240" w:lineRule="auto"/>
        <w:ind w:right="-20"/>
        <w:jc w:val="center"/>
        <w:rPr>
          <w:rFonts w:ascii="Arial Narrow" w:eastAsia="Calibri" w:hAnsi="Arial Narrow" w:cs="Arial"/>
          <w:sz w:val="14"/>
          <w:szCs w:val="14"/>
          <w:lang w:val="es-ES"/>
        </w:rPr>
      </w:pPr>
    </w:p>
    <w:p w:rsidR="006312E8" w:rsidRPr="006312E8" w:rsidRDefault="006312E8" w:rsidP="006312E8">
      <w:pPr>
        <w:spacing w:before="69" w:after="0" w:line="240" w:lineRule="auto"/>
        <w:ind w:right="-20"/>
        <w:jc w:val="center"/>
        <w:rPr>
          <w:rFonts w:ascii="Arial Narrow" w:eastAsia="Calibri" w:hAnsi="Arial Narrow" w:cs="Arial"/>
          <w:sz w:val="14"/>
          <w:szCs w:val="14"/>
          <w:lang w:val="es-ES"/>
        </w:rPr>
      </w:pPr>
    </w:p>
    <w:p w:rsidR="006312E8" w:rsidRPr="006312E8" w:rsidRDefault="006312E8" w:rsidP="006312E8">
      <w:pPr>
        <w:spacing w:before="69" w:after="0" w:line="240" w:lineRule="auto"/>
        <w:ind w:right="-20"/>
        <w:jc w:val="center"/>
        <w:rPr>
          <w:rFonts w:ascii="Arial Narrow" w:eastAsia="Calibri" w:hAnsi="Arial Narrow" w:cs="Arial"/>
          <w:sz w:val="14"/>
          <w:szCs w:val="14"/>
          <w:lang w:val="es-ES"/>
        </w:rPr>
      </w:pPr>
    </w:p>
    <w:p w:rsidR="006312E8" w:rsidRPr="006312E8" w:rsidRDefault="006312E8" w:rsidP="006312E8">
      <w:pPr>
        <w:spacing w:before="69" w:after="0" w:line="240" w:lineRule="auto"/>
        <w:ind w:right="-20"/>
        <w:jc w:val="center"/>
        <w:rPr>
          <w:rFonts w:ascii="Arial Narrow" w:eastAsia="Calibri" w:hAnsi="Arial Narrow" w:cs="Arial"/>
          <w:sz w:val="14"/>
          <w:szCs w:val="14"/>
          <w:lang w:val="es-ES"/>
        </w:rPr>
      </w:pPr>
      <w:r w:rsidRPr="006312E8">
        <w:rPr>
          <w:rFonts w:ascii="Calibri" w:eastAsia="Calibri" w:hAnsi="Calibri" w:cs="Times New Roman"/>
          <w:noProof/>
          <w:sz w:val="14"/>
          <w:szCs w:val="14"/>
          <w:lang w:val="es-MX" w:eastAsia="es-MX"/>
        </w:rPr>
        <mc:AlternateContent>
          <mc:Choice Requires="wps">
            <w:drawing>
              <wp:anchor distT="0" distB="0" distL="114300" distR="114300" simplePos="0" relativeHeight="251704320" behindDoc="1" locked="0" layoutInCell="1" allowOverlap="1" wp14:anchorId="41D8F742" wp14:editId="3B9281F5">
                <wp:simplePos x="0" y="0"/>
                <wp:positionH relativeFrom="page">
                  <wp:posOffset>325755</wp:posOffset>
                </wp:positionH>
                <wp:positionV relativeFrom="paragraph">
                  <wp:posOffset>81915</wp:posOffset>
                </wp:positionV>
                <wp:extent cx="4469130" cy="882650"/>
                <wp:effectExtent l="1905"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9130" cy="882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66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9"/>
                              <w:gridCol w:w="4253"/>
                            </w:tblGrid>
                            <w:tr w:rsidR="004515A7" w:rsidRPr="00EE3988" w:rsidTr="00D04998">
                              <w:trPr>
                                <w:trHeight w:hRule="exact" w:val="581"/>
                              </w:trPr>
                              <w:tc>
                                <w:tcPr>
                                  <w:tcW w:w="2409" w:type="dxa"/>
                                </w:tcPr>
                                <w:p w:rsidR="004515A7" w:rsidRPr="00BA1D89" w:rsidRDefault="004515A7" w:rsidP="00D04998">
                                  <w:pPr>
                                    <w:spacing w:before="69" w:after="0" w:line="240" w:lineRule="auto"/>
                                    <w:ind w:right="-20"/>
                                    <w:jc w:val="center"/>
                                    <w:rPr>
                                      <w:rFonts w:ascii="Arial Narrow" w:hAnsi="Arial Narrow" w:cs="Arial"/>
                                      <w:b/>
                                      <w:sz w:val="14"/>
                                      <w:szCs w:val="14"/>
                                      <w:lang w:val="es-ES"/>
                                    </w:rPr>
                                  </w:pPr>
                                  <w:r w:rsidRPr="00BA1D89">
                                    <w:rPr>
                                      <w:rFonts w:ascii="Arial Narrow" w:hAnsi="Arial Narrow" w:cs="Arial"/>
                                      <w:b/>
                                      <w:sz w:val="14"/>
                                      <w:szCs w:val="14"/>
                                      <w:lang w:val="es-ES"/>
                                    </w:rPr>
                                    <w:t>VALOR TOTAL DEL PREDIO ($)</w:t>
                                  </w:r>
                                </w:p>
                              </w:tc>
                              <w:tc>
                                <w:tcPr>
                                  <w:tcW w:w="4253" w:type="dxa"/>
                                </w:tcPr>
                                <w:p w:rsidR="004515A7" w:rsidRPr="00EE3988" w:rsidRDefault="004515A7" w:rsidP="00D04998">
                                  <w:pPr>
                                    <w:spacing w:before="39" w:after="0" w:line="240" w:lineRule="auto"/>
                                    <w:ind w:left="982" w:right="-20"/>
                                    <w:rPr>
                                      <w:rFonts w:ascii="Arial Narrow" w:hAnsi="Arial Narrow" w:cs="Arial Narrow"/>
                                      <w:sz w:val="16"/>
                                      <w:szCs w:val="16"/>
                                    </w:rPr>
                                  </w:pPr>
                                </w:p>
                              </w:tc>
                            </w:tr>
                            <w:tr w:rsidR="004515A7" w:rsidRPr="009E67F6" w:rsidTr="00D04998">
                              <w:trPr>
                                <w:trHeight w:hRule="exact" w:val="574"/>
                              </w:trPr>
                              <w:tc>
                                <w:tcPr>
                                  <w:tcW w:w="2409" w:type="dxa"/>
                                </w:tcPr>
                                <w:p w:rsidR="004515A7" w:rsidRPr="00BA1D89" w:rsidRDefault="004515A7" w:rsidP="00D04998">
                                  <w:pPr>
                                    <w:spacing w:before="69" w:after="0" w:line="240" w:lineRule="auto"/>
                                    <w:ind w:right="-20"/>
                                    <w:jc w:val="center"/>
                                    <w:rPr>
                                      <w:rFonts w:ascii="Arial Narrow" w:hAnsi="Arial Narrow" w:cs="Arial"/>
                                      <w:b/>
                                      <w:sz w:val="14"/>
                                      <w:szCs w:val="14"/>
                                      <w:lang w:val="es-ES"/>
                                    </w:rPr>
                                  </w:pPr>
                                  <w:r w:rsidRPr="00BA1D89">
                                    <w:rPr>
                                      <w:rFonts w:ascii="Arial Narrow" w:hAnsi="Arial Narrow" w:cs="Arial"/>
                                      <w:b/>
                                      <w:sz w:val="14"/>
                                      <w:szCs w:val="14"/>
                                      <w:lang w:val="es-ES"/>
                                    </w:rPr>
                                    <w:t>VALOR TOTAL DEL PREDIO (S/.)</w:t>
                                  </w:r>
                                </w:p>
                              </w:tc>
                              <w:tc>
                                <w:tcPr>
                                  <w:tcW w:w="4253" w:type="dxa"/>
                                </w:tcPr>
                                <w:p w:rsidR="004515A7" w:rsidRPr="00EE3988" w:rsidRDefault="004515A7" w:rsidP="00D04998">
                                  <w:pPr>
                                    <w:spacing w:before="49" w:after="0" w:line="240" w:lineRule="auto"/>
                                    <w:ind w:left="982" w:right="-20"/>
                                    <w:rPr>
                                      <w:rFonts w:ascii="Arial Narrow" w:hAnsi="Arial Narrow" w:cs="Arial Narrow"/>
                                      <w:sz w:val="16"/>
                                      <w:szCs w:val="16"/>
                                      <w:lang w:val="es-ES"/>
                                    </w:rPr>
                                  </w:pPr>
                                </w:p>
                              </w:tc>
                            </w:tr>
                          </w:tbl>
                          <w:p w:rsidR="004515A7" w:rsidRPr="006D366E" w:rsidRDefault="004515A7" w:rsidP="006312E8">
                            <w:pPr>
                              <w:spacing w:after="0" w:line="240" w:lineRule="auto"/>
                              <w:rPr>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8F742" id="_x0000_t202" coordsize="21600,21600" o:spt="202" path="m,l,21600r21600,l21600,xe">
                <v:stroke joinstyle="miter"/>
                <v:path gradientshapeok="t" o:connecttype="rect"/>
              </v:shapetype>
              <v:shape id="Cuadro de texto 18" o:spid="_x0000_s1029" type="#_x0000_t202" style="position:absolute;left:0;text-align:left;margin-left:25.65pt;margin-top:6.45pt;width:351.9pt;height:69.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" filled="f" stroked="f">
                <v:textbox inset="0,0,0,0">
                  <w:txbxContent>
                    <w:tbl>
                      <w:tblPr>
                        <w:tblW w:w="666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9"/>
                        <w:gridCol w:w="4253"/>
                      </w:tblGrid>
                      <w:tr w:rsidR="004515A7" w:rsidRPr="00EE3988" w:rsidTr="00D04998">
                        <w:trPr>
                          <w:trHeight w:hRule="exact" w:val="581"/>
                        </w:trPr>
                        <w:tc>
                          <w:tcPr>
                            <w:tcW w:w="2409" w:type="dxa"/>
                          </w:tcPr>
                          <w:p w:rsidR="004515A7" w:rsidRPr="00BA1D89" w:rsidRDefault="004515A7" w:rsidP="00D04998">
                            <w:pPr>
                              <w:spacing w:before="69" w:after="0" w:line="240" w:lineRule="auto"/>
                              <w:ind w:right="-20"/>
                              <w:jc w:val="center"/>
                              <w:rPr>
                                <w:rFonts w:ascii="Arial Narrow" w:hAnsi="Arial Narrow" w:cs="Arial"/>
                                <w:b/>
                                <w:sz w:val="14"/>
                                <w:szCs w:val="14"/>
                                <w:lang w:val="es-ES"/>
                              </w:rPr>
                            </w:pPr>
                            <w:r w:rsidRPr="00BA1D89">
                              <w:rPr>
                                <w:rFonts w:ascii="Arial Narrow" w:hAnsi="Arial Narrow" w:cs="Arial"/>
                                <w:b/>
                                <w:sz w:val="14"/>
                                <w:szCs w:val="14"/>
                                <w:lang w:val="es-ES"/>
                              </w:rPr>
                              <w:t>VALOR TOTAL DEL PREDIO ($)</w:t>
                            </w:r>
                          </w:p>
                        </w:tc>
                        <w:tc>
                          <w:tcPr>
                            <w:tcW w:w="4253" w:type="dxa"/>
                          </w:tcPr>
                          <w:p w:rsidR="004515A7" w:rsidRPr="00EE3988" w:rsidRDefault="004515A7" w:rsidP="00D04998">
                            <w:pPr>
                              <w:spacing w:before="39" w:after="0" w:line="240" w:lineRule="auto"/>
                              <w:ind w:left="982" w:right="-20"/>
                              <w:rPr>
                                <w:rFonts w:ascii="Arial Narrow" w:hAnsi="Arial Narrow" w:cs="Arial Narrow"/>
                                <w:sz w:val="16"/>
                                <w:szCs w:val="16"/>
                              </w:rPr>
                            </w:pPr>
                          </w:p>
                        </w:tc>
                      </w:tr>
                      <w:tr w:rsidR="004515A7" w:rsidRPr="009E67F6" w:rsidTr="00D04998">
                        <w:trPr>
                          <w:trHeight w:hRule="exact" w:val="574"/>
                        </w:trPr>
                        <w:tc>
                          <w:tcPr>
                            <w:tcW w:w="2409" w:type="dxa"/>
                          </w:tcPr>
                          <w:p w:rsidR="004515A7" w:rsidRPr="00BA1D89" w:rsidRDefault="004515A7" w:rsidP="00D04998">
                            <w:pPr>
                              <w:spacing w:before="69" w:after="0" w:line="240" w:lineRule="auto"/>
                              <w:ind w:right="-20"/>
                              <w:jc w:val="center"/>
                              <w:rPr>
                                <w:rFonts w:ascii="Arial Narrow" w:hAnsi="Arial Narrow" w:cs="Arial"/>
                                <w:b/>
                                <w:sz w:val="14"/>
                                <w:szCs w:val="14"/>
                                <w:lang w:val="es-ES"/>
                              </w:rPr>
                            </w:pPr>
                            <w:r w:rsidRPr="00BA1D89">
                              <w:rPr>
                                <w:rFonts w:ascii="Arial Narrow" w:hAnsi="Arial Narrow" w:cs="Arial"/>
                                <w:b/>
                                <w:sz w:val="14"/>
                                <w:szCs w:val="14"/>
                                <w:lang w:val="es-ES"/>
                              </w:rPr>
                              <w:t>VALOR TOTAL DEL PREDIO (S/.)</w:t>
                            </w:r>
                          </w:p>
                        </w:tc>
                        <w:tc>
                          <w:tcPr>
                            <w:tcW w:w="4253" w:type="dxa"/>
                          </w:tcPr>
                          <w:p w:rsidR="004515A7" w:rsidRPr="00EE3988" w:rsidRDefault="004515A7" w:rsidP="00D04998">
                            <w:pPr>
                              <w:spacing w:before="49" w:after="0" w:line="240" w:lineRule="auto"/>
                              <w:ind w:left="982" w:right="-20"/>
                              <w:rPr>
                                <w:rFonts w:ascii="Arial Narrow" w:hAnsi="Arial Narrow" w:cs="Arial Narrow"/>
                                <w:sz w:val="16"/>
                                <w:szCs w:val="16"/>
                                <w:lang w:val="es-ES"/>
                              </w:rPr>
                            </w:pPr>
                          </w:p>
                        </w:tc>
                      </w:tr>
                    </w:tbl>
                    <w:p w:rsidR="004515A7" w:rsidRPr="006D366E" w:rsidRDefault="004515A7" w:rsidP="006312E8">
                      <w:pPr>
                        <w:spacing w:after="0" w:line="240" w:lineRule="auto"/>
                        <w:rPr>
                          <w:lang w:val="es-ES"/>
                        </w:rPr>
                      </w:pPr>
                    </w:p>
                  </w:txbxContent>
                </v:textbox>
                <w10:wrap anchorx="page"/>
              </v:shape>
            </w:pict>
          </mc:Fallback>
        </mc:AlternateContent>
      </w:r>
    </w:p>
    <w:p w:rsidR="006312E8" w:rsidRPr="006312E8" w:rsidRDefault="006312E8" w:rsidP="006312E8">
      <w:pPr>
        <w:spacing w:before="69" w:after="0" w:line="240" w:lineRule="auto"/>
        <w:ind w:right="-20"/>
        <w:rPr>
          <w:rFonts w:ascii="Arial Narrow" w:eastAsia="Calibri" w:hAnsi="Arial Narrow" w:cs="Arial"/>
          <w:sz w:val="16"/>
          <w:szCs w:val="16"/>
          <w:lang w:val="es-ES"/>
        </w:rPr>
      </w:pPr>
      <w:r w:rsidRPr="006312E8">
        <w:rPr>
          <w:rFonts w:ascii="Arial Narrow" w:eastAsia="Calibri" w:hAnsi="Arial Narrow" w:cs="Arial"/>
          <w:sz w:val="16"/>
          <w:szCs w:val="16"/>
          <w:lang w:val="es-ES"/>
        </w:rPr>
        <w:br w:type="textWrapping" w:clear="all"/>
      </w:r>
    </w:p>
    <w:p w:rsidR="006312E8" w:rsidRPr="006312E8" w:rsidRDefault="006312E8" w:rsidP="006312E8">
      <w:pPr>
        <w:spacing w:after="0" w:line="276" w:lineRule="auto"/>
        <w:rPr>
          <w:rFonts w:ascii="Calibri" w:eastAsia="Calibri" w:hAnsi="Calibri" w:cs="Times New Roman"/>
        </w:rPr>
      </w:pPr>
    </w:p>
    <w:p w:rsidR="006312E8" w:rsidRPr="006312E8" w:rsidRDefault="006312E8" w:rsidP="006312E8">
      <w:pPr>
        <w:spacing w:after="0" w:line="276" w:lineRule="auto"/>
        <w:rPr>
          <w:rFonts w:ascii="Calibri" w:eastAsia="Calibri" w:hAnsi="Calibri" w:cs="Times New Roman"/>
        </w:rPr>
      </w:pPr>
    </w:p>
    <w:p w:rsidR="006312E8" w:rsidRPr="006312E8" w:rsidRDefault="006312E8" w:rsidP="006312E8">
      <w:pPr>
        <w:spacing w:after="0" w:line="276" w:lineRule="auto"/>
        <w:rPr>
          <w:rFonts w:ascii="Calibri" w:eastAsia="Calibri" w:hAnsi="Calibri" w:cs="Times New Roman"/>
        </w:rPr>
      </w:pPr>
    </w:p>
    <w:p w:rsidR="006312E8" w:rsidRPr="006312E8" w:rsidRDefault="006312E8" w:rsidP="006312E8">
      <w:pPr>
        <w:tabs>
          <w:tab w:val="left" w:pos="620"/>
        </w:tabs>
        <w:spacing w:before="37" w:after="0" w:line="240" w:lineRule="auto"/>
        <w:ind w:right="-20"/>
        <w:outlineLvl w:val="0"/>
        <w:rPr>
          <w:rFonts w:ascii="Arial Narrow" w:eastAsia="Calibri" w:hAnsi="Arial Narrow" w:cs="Times New Roman"/>
          <w:b/>
          <w:sz w:val="16"/>
          <w:szCs w:val="16"/>
          <w:lang w:val="es-ES"/>
        </w:rPr>
      </w:pPr>
      <w:r w:rsidRPr="006312E8">
        <w:rPr>
          <w:rFonts w:ascii="Arial Narrow" w:eastAsia="Calibri" w:hAnsi="Arial Narrow" w:cs="Times New Roman"/>
          <w:b/>
          <w:sz w:val="16"/>
          <w:szCs w:val="16"/>
          <w:lang w:val="es-ES"/>
        </w:rPr>
        <w:t>8. CONCLUSIONES</w:t>
      </w:r>
    </w:p>
    <w:p w:rsidR="006312E8" w:rsidRPr="006312E8" w:rsidRDefault="006312E8" w:rsidP="006312E8">
      <w:pPr>
        <w:tabs>
          <w:tab w:val="left" w:pos="620"/>
        </w:tabs>
        <w:spacing w:before="37" w:after="0" w:line="240" w:lineRule="auto"/>
        <w:ind w:right="-20"/>
        <w:rPr>
          <w:rFonts w:ascii="Arial Narrow" w:eastAsia="Calibri" w:hAnsi="Arial Narrow" w:cs="Times New Roman"/>
          <w:b/>
          <w:sz w:val="20"/>
          <w:szCs w:val="20"/>
          <w:lang w:val="es-ES"/>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40"/>
      </w:tblGrid>
      <w:tr w:rsidR="006312E8" w:rsidRPr="006312E8" w:rsidTr="00D04998">
        <w:trPr>
          <w:trHeight w:val="1198"/>
        </w:trPr>
        <w:tc>
          <w:tcPr>
            <w:tcW w:w="10140" w:type="dxa"/>
          </w:tcPr>
          <w:p w:rsidR="006312E8" w:rsidRPr="006312E8" w:rsidRDefault="006312E8" w:rsidP="006312E8">
            <w:pPr>
              <w:tabs>
                <w:tab w:val="left" w:pos="620"/>
              </w:tabs>
              <w:spacing w:before="37" w:after="0" w:line="240" w:lineRule="auto"/>
              <w:ind w:right="-20"/>
              <w:rPr>
                <w:rFonts w:ascii="Arial Narrow" w:eastAsia="Calibri" w:hAnsi="Arial Narrow" w:cs="Times New Roman"/>
                <w:b/>
                <w:sz w:val="20"/>
                <w:szCs w:val="20"/>
                <w:lang w:val="es-ES"/>
              </w:rPr>
            </w:pPr>
          </w:p>
          <w:p w:rsidR="006312E8" w:rsidRPr="006312E8" w:rsidRDefault="006312E8" w:rsidP="006312E8">
            <w:pPr>
              <w:tabs>
                <w:tab w:val="left" w:pos="620"/>
              </w:tabs>
              <w:spacing w:before="37" w:after="0" w:line="240" w:lineRule="auto"/>
              <w:ind w:right="-20"/>
              <w:rPr>
                <w:rFonts w:ascii="Arial Narrow" w:eastAsia="Calibri" w:hAnsi="Arial Narrow" w:cs="Times New Roman"/>
                <w:b/>
                <w:sz w:val="20"/>
                <w:szCs w:val="20"/>
                <w:lang w:val="es-ES"/>
              </w:rPr>
            </w:pPr>
          </w:p>
        </w:tc>
      </w:tr>
    </w:tbl>
    <w:p w:rsidR="006312E8" w:rsidRPr="006312E8" w:rsidRDefault="006312E8" w:rsidP="006312E8">
      <w:pPr>
        <w:spacing w:after="0" w:line="200" w:lineRule="exact"/>
        <w:rPr>
          <w:rFonts w:ascii="Arial Narrow" w:eastAsia="Calibri" w:hAnsi="Arial Narrow" w:cs="Times New Roman"/>
          <w:sz w:val="18"/>
          <w:szCs w:val="18"/>
        </w:rPr>
      </w:pPr>
    </w:p>
    <w:p w:rsidR="006312E8" w:rsidRPr="006312E8" w:rsidRDefault="006312E8" w:rsidP="006312E8">
      <w:pPr>
        <w:spacing w:after="0" w:line="200" w:lineRule="exact"/>
        <w:rPr>
          <w:rFonts w:ascii="Arial Narrow" w:eastAsia="Calibri" w:hAnsi="Arial Narrow" w:cs="Times New Roman"/>
          <w:sz w:val="18"/>
          <w:szCs w:val="18"/>
        </w:rPr>
      </w:pPr>
    </w:p>
    <w:p w:rsidR="006312E8" w:rsidRPr="006312E8" w:rsidRDefault="006312E8" w:rsidP="006312E8">
      <w:pPr>
        <w:spacing w:after="0" w:line="200" w:lineRule="exact"/>
        <w:rPr>
          <w:rFonts w:ascii="Arial Narrow" w:eastAsia="Calibri" w:hAnsi="Arial Narrow" w:cs="Times New Roman"/>
          <w:sz w:val="18"/>
          <w:szCs w:val="18"/>
        </w:rPr>
      </w:pPr>
    </w:p>
    <w:p w:rsidR="006312E8" w:rsidRPr="006312E8" w:rsidRDefault="006312E8" w:rsidP="006312E8">
      <w:pPr>
        <w:spacing w:after="0" w:line="200" w:lineRule="exact"/>
        <w:rPr>
          <w:rFonts w:ascii="Arial Narrow" w:eastAsia="Calibri" w:hAnsi="Arial Narrow" w:cs="Times New Roman"/>
          <w:sz w:val="18"/>
          <w:szCs w:val="18"/>
        </w:rPr>
      </w:pPr>
    </w:p>
    <w:p w:rsidR="006312E8" w:rsidRPr="006312E8" w:rsidRDefault="006312E8" w:rsidP="006312E8">
      <w:pPr>
        <w:spacing w:after="0" w:line="200" w:lineRule="exact"/>
        <w:rPr>
          <w:rFonts w:ascii="Arial Narrow" w:eastAsia="Calibri" w:hAnsi="Arial Narrow" w:cs="Times New Roman"/>
          <w:sz w:val="18"/>
          <w:szCs w:val="18"/>
        </w:rPr>
      </w:pPr>
    </w:p>
    <w:p w:rsidR="006312E8" w:rsidRPr="006312E8" w:rsidRDefault="006312E8" w:rsidP="006312E8">
      <w:pPr>
        <w:tabs>
          <w:tab w:val="left" w:pos="6620"/>
        </w:tabs>
        <w:spacing w:before="34" w:after="0" w:line="240" w:lineRule="auto"/>
        <w:ind w:left="2207" w:right="1907"/>
        <w:jc w:val="center"/>
        <w:rPr>
          <w:rFonts w:ascii="Arial Narrow" w:eastAsia="Calibri" w:hAnsi="Arial Narrow" w:cs="Verdana"/>
          <w:sz w:val="18"/>
          <w:szCs w:val="18"/>
        </w:rPr>
      </w:pPr>
      <w:r w:rsidRPr="006312E8">
        <w:rPr>
          <w:rFonts w:ascii="Calibri" w:eastAsia="Calibri" w:hAnsi="Calibri" w:cs="Times New Roman"/>
          <w:noProof/>
          <w:lang w:val="es-MX" w:eastAsia="es-MX"/>
        </w:rPr>
        <mc:AlternateContent>
          <mc:Choice Requires="wpg">
            <w:drawing>
              <wp:anchor distT="0" distB="0" distL="114300" distR="114300" simplePos="0" relativeHeight="251705344" behindDoc="1" locked="0" layoutInCell="1" allowOverlap="1" wp14:anchorId="7E906BD1" wp14:editId="05852CA3">
                <wp:simplePos x="0" y="0"/>
                <wp:positionH relativeFrom="page">
                  <wp:posOffset>1321435</wp:posOffset>
                </wp:positionH>
                <wp:positionV relativeFrom="paragraph">
                  <wp:posOffset>-24765</wp:posOffset>
                </wp:positionV>
                <wp:extent cx="2229485" cy="1270"/>
                <wp:effectExtent l="6985" t="6350" r="11430" b="11430"/>
                <wp:wrapNone/>
                <wp:docPr id="16"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9485" cy="1270"/>
                          <a:chOff x="2081" y="-39"/>
                          <a:chExt cx="3511" cy="2"/>
                        </a:xfrm>
                      </wpg:grpSpPr>
                      <wps:wsp>
                        <wps:cNvPr id="17" name="Freeform 66"/>
                        <wps:cNvSpPr>
                          <a:spLocks/>
                        </wps:cNvSpPr>
                        <wps:spPr bwMode="auto">
                          <a:xfrm>
                            <a:off x="2081" y="-39"/>
                            <a:ext cx="3511" cy="2"/>
                          </a:xfrm>
                          <a:custGeom>
                            <a:avLst/>
                            <a:gdLst>
                              <a:gd name="T0" fmla="+- 0 2081 2081"/>
                              <a:gd name="T1" fmla="*/ T0 w 3511"/>
                              <a:gd name="T2" fmla="+- 0 5592 2081"/>
                              <a:gd name="T3" fmla="*/ T2 w 3511"/>
                            </a:gdLst>
                            <a:ahLst/>
                            <a:cxnLst>
                              <a:cxn ang="0">
                                <a:pos x="T1" y="0"/>
                              </a:cxn>
                              <a:cxn ang="0">
                                <a:pos x="T3" y="0"/>
                              </a:cxn>
                            </a:cxnLst>
                            <a:rect l="0" t="0" r="r" b="b"/>
                            <a:pathLst>
                              <a:path w="3511">
                                <a:moveTo>
                                  <a:pt x="0" y="0"/>
                                </a:moveTo>
                                <a:lnTo>
                                  <a:pt x="3511" y="0"/>
                                </a:lnTo>
                              </a:path>
                            </a:pathLst>
                          </a:custGeom>
                          <a:noFill/>
                          <a:ln w="1524">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A069CF" id="Grupo 16" o:spid="_x0000_s1026" style="position:absolute;margin-left:104.05pt;margin-top:-1.95pt;width:175.55pt;height:.1pt;z-index:-251611136;mso-position-horizontal-relative:page" coordorigin="2081,-39" coordsize="35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">
                <v:shape id="Freeform 66" o:spid="_x0000_s1027" style="position:absolute;left:2081;top:-39;width:3511;height:2;visibility:visible;mso-wrap-style:square;v-text-anchor:top" coordsize="3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Qxi78A&#10;AADbAAAADwAAAGRycy9kb3ducmV2LnhtbERPTWuDQBC9B/Iflin0luxqoU1NVpGAkB6ThpwHd6qm&#10;7qy4W7X/vlso9DaP9zmHYrG9mGj0nWMNyVaBIK6d6bjRcH2vNjsQPiAb7B2Thm/yUOTr1QEz42Y+&#10;03QJjYgh7DPU0IYwZFL6uiWLfusG4sh9uNFiiHBspBlxjuG2l6lSz9Jix7GhxYGOLdWfly+roVLp&#10;mz3bRDbl0wnVXd48vqZaPz4s5R5EoCX8i//cJxPnv8DvL/EAm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RDGLvwAAANsAAAAPAAAAAAAAAAAAAAAAAJgCAABkcnMvZG93bnJl&#10;di54bWxQSwUGAAAAAAQABAD1AAAAhAMAAAAA&#10;" path="m,l3511,e" filled="f" strokeweight=".12pt">
                  <v:stroke dashstyle="longDash"/>
                  <v:path arrowok="t" o:connecttype="custom" o:connectlocs="0,0;3511,0" o:connectangles="0,0"/>
                </v:shape>
                <w10:wrap anchorx="page"/>
              </v:group>
            </w:pict>
          </mc:Fallback>
        </mc:AlternateContent>
      </w:r>
      <w:r w:rsidRPr="006312E8">
        <w:rPr>
          <w:rFonts w:ascii="Calibri" w:eastAsia="Calibri" w:hAnsi="Calibri" w:cs="Times New Roman"/>
          <w:noProof/>
          <w:lang w:val="es-MX" w:eastAsia="es-MX"/>
        </w:rPr>
        <mc:AlternateContent>
          <mc:Choice Requires="wpg">
            <w:drawing>
              <wp:anchor distT="0" distB="0" distL="114300" distR="114300" simplePos="0" relativeHeight="251706368" behindDoc="1" locked="0" layoutInCell="1" allowOverlap="1" wp14:anchorId="610E187E" wp14:editId="74CE8B36">
                <wp:simplePos x="0" y="0"/>
                <wp:positionH relativeFrom="page">
                  <wp:posOffset>4217035</wp:posOffset>
                </wp:positionH>
                <wp:positionV relativeFrom="paragraph">
                  <wp:posOffset>-24765</wp:posOffset>
                </wp:positionV>
                <wp:extent cx="2229485" cy="1270"/>
                <wp:effectExtent l="6985" t="6350" r="11430" b="11430"/>
                <wp:wrapNone/>
                <wp:docPr id="14"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9485" cy="1270"/>
                          <a:chOff x="6641" y="-39"/>
                          <a:chExt cx="3511" cy="2"/>
                        </a:xfrm>
                      </wpg:grpSpPr>
                      <wps:wsp>
                        <wps:cNvPr id="15" name="Freeform 68"/>
                        <wps:cNvSpPr>
                          <a:spLocks/>
                        </wps:cNvSpPr>
                        <wps:spPr bwMode="auto">
                          <a:xfrm>
                            <a:off x="6641" y="-39"/>
                            <a:ext cx="3511" cy="2"/>
                          </a:xfrm>
                          <a:custGeom>
                            <a:avLst/>
                            <a:gdLst>
                              <a:gd name="T0" fmla="+- 0 6641 6641"/>
                              <a:gd name="T1" fmla="*/ T0 w 3511"/>
                              <a:gd name="T2" fmla="+- 0 10152 6641"/>
                              <a:gd name="T3" fmla="*/ T2 w 3511"/>
                            </a:gdLst>
                            <a:ahLst/>
                            <a:cxnLst>
                              <a:cxn ang="0">
                                <a:pos x="T1" y="0"/>
                              </a:cxn>
                              <a:cxn ang="0">
                                <a:pos x="T3" y="0"/>
                              </a:cxn>
                            </a:cxnLst>
                            <a:rect l="0" t="0" r="r" b="b"/>
                            <a:pathLst>
                              <a:path w="3511">
                                <a:moveTo>
                                  <a:pt x="0" y="0"/>
                                </a:moveTo>
                                <a:lnTo>
                                  <a:pt x="3511" y="0"/>
                                </a:lnTo>
                              </a:path>
                            </a:pathLst>
                          </a:custGeom>
                          <a:noFill/>
                          <a:ln w="1524">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A9389C" id="Grupo 14" o:spid="_x0000_s1026" style="position:absolute;margin-left:332.05pt;margin-top:-1.95pt;width:175.55pt;height:.1pt;z-index:-251610112;mso-position-horizontal-relative:page" coordorigin="6641,-39" coordsize="35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">
                <v:shape id="Freeform 68" o:spid="_x0000_s1027" style="position:absolute;left:6641;top:-39;width:3511;height:2;visibility:visible;mso-wrap-style:square;v-text-anchor:top" coordsize="3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oKZ78A&#10;AADbAAAADwAAAGRycy9kb3ducmV2LnhtbERPTWuDQBC9B/Iflin0luxqaUlNVpGAkB6ThpwHd6qm&#10;7qy4W7X/vlso9DaP9zmHYrG9mGj0nWMNyVaBIK6d6bjRcH2vNjsQPiAb7B2Thm/yUOTr1QEz42Y+&#10;03QJjYgh7DPU0IYwZFL6uiWLfusG4sh9uNFiiHBspBlxjuG2l6lSL9Jix7GhxYGOLdWfly+roVLp&#10;mz3bRDbl0wnVXd48vqZaPz4s5R5EoCX8i//cJxPnP8PvL/EAm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2gpnvwAAANsAAAAPAAAAAAAAAAAAAAAAAJgCAABkcnMvZG93bnJl&#10;di54bWxQSwUGAAAAAAQABAD1AAAAhAMAAAAA&#10;" path="m,l3511,e" filled="f" strokeweight=".12pt">
                  <v:stroke dashstyle="longDash"/>
                  <v:path arrowok="t" o:connecttype="custom" o:connectlocs="0,0;3511,0" o:connectangles="0,0"/>
                </v:shape>
                <w10:wrap anchorx="page"/>
              </v:group>
            </w:pict>
          </mc:Fallback>
        </mc:AlternateContent>
      </w:r>
      <w:r w:rsidRPr="006312E8">
        <w:rPr>
          <w:rFonts w:ascii="Arial Narrow" w:eastAsia="Calibri" w:hAnsi="Arial Narrow" w:cs="Verdana"/>
          <w:sz w:val="18"/>
          <w:szCs w:val="18"/>
        </w:rPr>
        <w:tab/>
      </w:r>
    </w:p>
    <w:p w:rsidR="006312E8" w:rsidRPr="006312E8" w:rsidRDefault="006312E8" w:rsidP="006312E8">
      <w:pPr>
        <w:tabs>
          <w:tab w:val="left" w:pos="6920"/>
        </w:tabs>
        <w:spacing w:before="38" w:after="0" w:line="240" w:lineRule="auto"/>
        <w:ind w:right="-152"/>
        <w:rPr>
          <w:rFonts w:ascii="Arial Narrow" w:eastAsia="Calibri" w:hAnsi="Arial Narrow" w:cs="Arial"/>
          <w:b/>
          <w:sz w:val="18"/>
          <w:szCs w:val="18"/>
        </w:rPr>
      </w:pPr>
      <w:r w:rsidRPr="006312E8">
        <w:rPr>
          <w:rFonts w:ascii="Arial Narrow" w:eastAsia="Calibri" w:hAnsi="Arial Narrow" w:cs="Arial"/>
          <w:b/>
          <w:sz w:val="18"/>
          <w:szCs w:val="18"/>
        </w:rPr>
        <w:t xml:space="preserve">                                                          Responsable</w:t>
      </w:r>
      <w:r w:rsidRPr="006312E8">
        <w:rPr>
          <w:rFonts w:ascii="Arial Narrow" w:eastAsia="Calibri" w:hAnsi="Arial Narrow" w:cs="Arial"/>
          <w:b/>
          <w:spacing w:val="-9"/>
          <w:sz w:val="18"/>
          <w:szCs w:val="18"/>
        </w:rPr>
        <w:t xml:space="preserve"> </w:t>
      </w:r>
      <w:r w:rsidRPr="006312E8">
        <w:rPr>
          <w:rFonts w:ascii="Arial Narrow" w:eastAsia="Calibri" w:hAnsi="Arial Narrow" w:cs="Arial"/>
          <w:b/>
          <w:sz w:val="18"/>
          <w:szCs w:val="18"/>
        </w:rPr>
        <w:t>Legal                                                                             Responsable</w:t>
      </w:r>
      <w:r w:rsidRPr="006312E8">
        <w:rPr>
          <w:rFonts w:ascii="Arial Narrow" w:eastAsia="Calibri" w:hAnsi="Arial Narrow" w:cs="Arial"/>
          <w:b/>
          <w:spacing w:val="-11"/>
          <w:sz w:val="18"/>
          <w:szCs w:val="18"/>
        </w:rPr>
        <w:t xml:space="preserve"> </w:t>
      </w:r>
      <w:r w:rsidRPr="006312E8">
        <w:rPr>
          <w:rFonts w:ascii="Arial Narrow" w:eastAsia="Calibri" w:hAnsi="Arial Narrow" w:cs="Arial"/>
          <w:b/>
          <w:spacing w:val="2"/>
          <w:w w:val="99"/>
          <w:sz w:val="18"/>
          <w:szCs w:val="18"/>
        </w:rPr>
        <w:t>T</w:t>
      </w:r>
      <w:r w:rsidRPr="006312E8">
        <w:rPr>
          <w:rFonts w:ascii="Arial Narrow" w:eastAsia="Calibri" w:hAnsi="Arial Narrow" w:cs="Arial"/>
          <w:b/>
          <w:w w:val="99"/>
          <w:sz w:val="18"/>
          <w:szCs w:val="18"/>
        </w:rPr>
        <w:t>écnico</w:t>
      </w:r>
    </w:p>
    <w:p w:rsidR="006312E8" w:rsidRPr="006312E8" w:rsidRDefault="006312E8" w:rsidP="006312E8">
      <w:pPr>
        <w:tabs>
          <w:tab w:val="left" w:pos="6920"/>
        </w:tabs>
        <w:spacing w:before="38" w:after="0" w:line="240" w:lineRule="auto"/>
        <w:ind w:left="2432" w:right="2247"/>
        <w:jc w:val="center"/>
        <w:rPr>
          <w:rFonts w:ascii="Arial Narrow" w:eastAsia="Calibri" w:hAnsi="Arial Narrow" w:cs="Arial"/>
          <w:sz w:val="14"/>
          <w:szCs w:val="14"/>
        </w:rPr>
      </w:pPr>
    </w:p>
    <w:p w:rsidR="006312E8" w:rsidRPr="006312E8" w:rsidRDefault="006312E8" w:rsidP="006312E8">
      <w:pPr>
        <w:spacing w:after="0" w:line="200" w:lineRule="exact"/>
        <w:rPr>
          <w:rFonts w:ascii="Arial Narrow" w:eastAsia="Calibri" w:hAnsi="Arial Narrow" w:cs="Times New Roman"/>
          <w:sz w:val="18"/>
          <w:szCs w:val="18"/>
        </w:rPr>
      </w:pPr>
    </w:p>
    <w:p w:rsidR="006312E8" w:rsidRPr="006312E8" w:rsidRDefault="006312E8" w:rsidP="006312E8">
      <w:pPr>
        <w:spacing w:after="0" w:line="200" w:lineRule="exact"/>
        <w:rPr>
          <w:rFonts w:ascii="Arial Narrow" w:eastAsia="Calibri" w:hAnsi="Arial Narrow" w:cs="Times New Roman"/>
          <w:sz w:val="18"/>
          <w:szCs w:val="18"/>
        </w:rPr>
      </w:pPr>
    </w:p>
    <w:p w:rsidR="006312E8" w:rsidRPr="003679F2" w:rsidRDefault="00B5723A" w:rsidP="003679F2">
      <w:pPr>
        <w:pStyle w:val="TITO2"/>
      </w:pPr>
      <w:bookmarkStart w:id="216" w:name="_Toc470855527"/>
      <w:r w:rsidRPr="00DF401E">
        <w:rPr>
          <w:highlight w:val="lightGray"/>
        </w:rPr>
        <w:t>REGISTRO Y CATASTRO</w:t>
      </w:r>
      <w:bookmarkEnd w:id="216"/>
    </w:p>
    <w:p w:rsidR="006312E8" w:rsidRPr="006312E8" w:rsidRDefault="006312E8" w:rsidP="003679F2">
      <w:pPr>
        <w:pStyle w:val="TITO2"/>
        <w:rPr>
          <w:rFonts w:eastAsia="Calibri"/>
        </w:rPr>
      </w:pPr>
    </w:p>
    <w:p w:rsidR="006312E8" w:rsidRPr="003679F2" w:rsidRDefault="006312E8" w:rsidP="003679F2">
      <w:pPr>
        <w:jc w:val="center"/>
        <w:rPr>
          <w:rFonts w:ascii="Arial" w:hAnsi="Arial" w:cs="Arial"/>
          <w:b/>
          <w:sz w:val="28"/>
          <w:szCs w:val="28"/>
        </w:rPr>
      </w:pPr>
      <w:r w:rsidRPr="003679F2">
        <w:rPr>
          <w:rFonts w:ascii="Arial" w:hAnsi="Arial" w:cs="Arial"/>
          <w:b/>
          <w:sz w:val="28"/>
          <w:szCs w:val="28"/>
        </w:rPr>
        <w:t>RESOLUCION Nº 017-2011-SBN</w:t>
      </w: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Aprueban Directiva que regula el “Registro de la Información de los Predios de Titularidad Estatal en el Sistema de Información Nacional de Bienes Estatales - SINABIP”</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right"/>
        <w:rPr>
          <w:rFonts w:ascii="Arial" w:eastAsia="Calibri" w:hAnsi="Arial" w:cs="Arial"/>
          <w:b/>
          <w:lang w:val="es-ES"/>
        </w:rPr>
      </w:pPr>
      <w:r w:rsidRPr="006312E8">
        <w:rPr>
          <w:rFonts w:ascii="Arial" w:eastAsia="Calibri" w:hAnsi="Arial" w:cs="Arial"/>
          <w:b/>
          <w:lang w:val="es-ES"/>
        </w:rPr>
        <w:t>Fecha de publicación 23-03-2011</w:t>
      </w: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Lima, 16 de marzo de 2011</w:t>
      </w: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CONSIDERANDO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mediante Ley Nº 29151, se crea el Sistema Nacional de Bienes Estatales como el conjunto de organismos, garantías y normas que regulan de manera integral y coherente los bienes estatales, en sus niveles de Gobierno Nacional, Regional y Local, a fin de lograr una administración ordenada, simplificada y eficiente de los bienes del Estado;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la Superintendencia Nacional de Bienes Estatales - SBN es un organismo público ejecutor y constituye un pliego presupuestal, siendo el ente rector responsable tanto de normar los actos de adquisición, disposición, administración y supervisión de los bienes estatales, como de ejecutar dichos actos respecto de los bienes cuya administración está a su cargo, de acuerdo a la normatividad vigente gozando de autonomía económica, presupuestal, financiera, técnica y funcional;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el artículo 14 de la Ley Nº 29151, Ley General del Sistema Nacional de Bienes Estatales, señala como una de las funciones y atribuciones de la SBN la de administrar el Sistema de Información Nacional de Bienes Estatales - SINABIP como un registro único obligatorio con la información que, de manera obligatoria, deben remitir todas las entidades públicas, respecto de los bienes estatales;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el Reglamento de la Ley Nº 29151 aprobado por Decreto Supremo Nº 007-2008-VIVIENDA establece como parte de las atribuciones y funciones del ente Rector la de organizar y conducir el SINABIP que contiene el registro administrativo de carácter único y obligatorio de los bienes estatales, registrar y/o actualizar en el SINABIP la información que de forma obligatoria remitan las entidades sobre los bienes estatales, bajo su competencia directa, administrar la información contenida en el SINABIP y brindar información contenida en el SINABIP a las entidades que así lo soliciten y a los particulares con las limitaciones establecidas en la Ley Nº 27806, Ley de Transparencia y Acceso a la Información Pública;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asimismo el artículo 21 del mencionado Reglamento, dispone que el registro comprende el ingreso de la información en el SINABIP por parte de todas las entidades, asignándole un Código Único correlativo a nivel nacional de acuerdo a lo dispuesto por las directivas que emita el Ente Rector;</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en este contexto resulta necesario regular el procedimiento para el proceso de registro de la información de los predios de titularidad estatal en el SINABIP;</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Con la visación de la Secretaría General, de la Oficina de Asesoría Jurídica, de la Oficina de Planeamiento y Presupuesto y de la Dirección de Normas y Registro;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De conformidad con lo dispuesto por la Ley Nº 29151, Ley General del Sistema Nacional de Bienes Estatales, su reglamento aprobado por el Decreto Supremo Nº 007-2008-VIVIENDA y Decreto Supremo Nº 016-2010-VIVIENDA;</w:t>
      </w:r>
    </w:p>
    <w:p w:rsidR="006312E8" w:rsidRPr="006312E8" w:rsidRDefault="006312E8" w:rsidP="006312E8">
      <w:pPr>
        <w:spacing w:after="0" w:line="240" w:lineRule="auto"/>
        <w:jc w:val="both"/>
        <w:rPr>
          <w:rFonts w:ascii="Arial" w:eastAsia="Calibri" w:hAnsi="Arial" w:cs="Arial"/>
          <w:lang w:val="es-ES"/>
        </w:rPr>
      </w:pPr>
    </w:p>
    <w:p w:rsidR="00A57CDE" w:rsidRDefault="00A57CDE" w:rsidP="006312E8">
      <w:pPr>
        <w:spacing w:after="0" w:line="240" w:lineRule="auto"/>
        <w:jc w:val="both"/>
        <w:rPr>
          <w:rFonts w:ascii="Arial" w:eastAsia="Calibri" w:hAnsi="Arial" w:cs="Arial"/>
          <w:b/>
          <w:lang w:val="es-ES"/>
        </w:rPr>
      </w:pPr>
    </w:p>
    <w:p w:rsidR="00A57CDE" w:rsidRDefault="00A57CDE" w:rsidP="006312E8">
      <w:pPr>
        <w:spacing w:after="0" w:line="240" w:lineRule="auto"/>
        <w:jc w:val="both"/>
        <w:rPr>
          <w:rFonts w:ascii="Arial" w:eastAsia="Calibri" w:hAnsi="Arial" w:cs="Arial"/>
          <w:b/>
          <w:lang w:val="es-ES"/>
        </w:rPr>
      </w:pPr>
    </w:p>
    <w:p w:rsidR="00A57CDE" w:rsidRDefault="00A57CDE"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SE RESUELVE: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b/>
          <w:lang w:val="es-ES"/>
        </w:rPr>
        <w:t>Artículo 1.-</w:t>
      </w:r>
      <w:r w:rsidRPr="006312E8">
        <w:rPr>
          <w:rFonts w:ascii="Arial" w:eastAsia="Calibri" w:hAnsi="Arial" w:cs="Arial"/>
          <w:lang w:val="es-ES"/>
        </w:rPr>
        <w:t xml:space="preserve"> Aprobar la Directiva Nº 002-2011/SBN, que regula el “Registro de la Información de los Predios de Titularidad Estatal en el Sistema de Información Nacional de Bienes Estatales - SINABIP”.</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b/>
          <w:lang w:val="es-ES"/>
        </w:rPr>
        <w:t>Artículo 2.-</w:t>
      </w:r>
      <w:r w:rsidRPr="006312E8">
        <w:rPr>
          <w:rFonts w:ascii="Arial" w:eastAsia="Calibri" w:hAnsi="Arial" w:cs="Arial"/>
          <w:lang w:val="es-ES"/>
        </w:rPr>
        <w:t xml:space="preserve"> Disponer que la presente Directiva, aprobada en el artículo precedente, debe ser publicada en el Portal Institucional de la SBN (www.sbn.gob.pe) entrando en vigencia a partir del día siguiente de publicación de la presente Resolución en el Diario Oficial El Peruano.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A57CDE">
      <w:pPr>
        <w:spacing w:after="0" w:line="240" w:lineRule="auto"/>
        <w:rPr>
          <w:rFonts w:ascii="Arial" w:eastAsia="Calibri" w:hAnsi="Arial" w:cs="Arial"/>
          <w:lang w:val="es-ES"/>
        </w:rPr>
      </w:pPr>
      <w:r w:rsidRPr="006312E8">
        <w:rPr>
          <w:rFonts w:ascii="Arial" w:eastAsia="Calibri" w:hAnsi="Arial" w:cs="Arial"/>
          <w:lang w:val="es-ES"/>
        </w:rPr>
        <w:t>Regístrese, comuníquese y publíquese.</w:t>
      </w:r>
    </w:p>
    <w:p w:rsidR="00A57CDE" w:rsidRDefault="00A57CDE" w:rsidP="00A57CDE">
      <w:pPr>
        <w:spacing w:after="0" w:line="240" w:lineRule="auto"/>
        <w:rPr>
          <w:rFonts w:ascii="Arial" w:eastAsia="Calibri" w:hAnsi="Arial" w:cs="Arial"/>
          <w:b/>
          <w:lang w:val="es-ES"/>
        </w:rPr>
      </w:pPr>
    </w:p>
    <w:p w:rsidR="006312E8" w:rsidRPr="006312E8" w:rsidRDefault="006312E8" w:rsidP="00A57CDE">
      <w:pPr>
        <w:spacing w:after="0" w:line="240" w:lineRule="auto"/>
        <w:rPr>
          <w:rFonts w:ascii="Arial" w:eastAsia="Calibri" w:hAnsi="Arial" w:cs="Arial"/>
          <w:b/>
          <w:lang w:val="es-ES"/>
        </w:rPr>
      </w:pPr>
      <w:r w:rsidRPr="006312E8">
        <w:rPr>
          <w:rFonts w:ascii="Arial" w:eastAsia="Calibri" w:hAnsi="Arial" w:cs="Arial"/>
          <w:b/>
          <w:lang w:val="es-ES"/>
        </w:rPr>
        <w:t>JORGE VILLANUEVA CARBAJAL</w:t>
      </w:r>
    </w:p>
    <w:p w:rsidR="006312E8" w:rsidRPr="006312E8" w:rsidRDefault="006312E8" w:rsidP="00A57CDE">
      <w:pPr>
        <w:spacing w:after="0" w:line="240" w:lineRule="auto"/>
        <w:rPr>
          <w:rFonts w:ascii="Arial" w:eastAsia="Calibri" w:hAnsi="Arial" w:cs="Arial"/>
          <w:lang w:val="es-ES"/>
        </w:rPr>
      </w:pPr>
      <w:r w:rsidRPr="006312E8">
        <w:rPr>
          <w:rFonts w:ascii="Arial" w:eastAsia="Calibri" w:hAnsi="Arial" w:cs="Arial"/>
          <w:lang w:val="es-ES"/>
        </w:rPr>
        <w:t>Superintendente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3679F2">
      <w:pPr>
        <w:pStyle w:val="TITO2"/>
      </w:pPr>
      <w:bookmarkStart w:id="217" w:name="_Toc392856204"/>
      <w:bookmarkStart w:id="218" w:name="_Toc399335479"/>
      <w:bookmarkStart w:id="219" w:name="_Toc421025427"/>
      <w:bookmarkStart w:id="220" w:name="_Toc470855528"/>
      <w:bookmarkStart w:id="221" w:name="D0022011"/>
      <w:r w:rsidRPr="006312E8">
        <w:t>DIRECTIVA Nº 002-2011-SBN</w:t>
      </w:r>
      <w:bookmarkEnd w:id="217"/>
      <w:bookmarkEnd w:id="218"/>
      <w:bookmarkEnd w:id="219"/>
      <w:bookmarkEnd w:id="220"/>
    </w:p>
    <w:bookmarkEnd w:id="221"/>
    <w:p w:rsidR="006312E8" w:rsidRPr="006312E8" w:rsidRDefault="006312E8" w:rsidP="006312E8">
      <w:pPr>
        <w:spacing w:after="0" w:line="240" w:lineRule="auto"/>
        <w:jc w:val="center"/>
        <w:rPr>
          <w:rFonts w:ascii="Arial" w:eastAsia="Calibri" w:hAnsi="Arial" w:cs="Arial"/>
          <w:b/>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REGISTRO DE LA INFORMACION DE LOS PREDIOS DE TITULARIDAD ESTATAL EN EL SISTEMA DE INFORMACION NACIONAL DE BIENES ESTATALES - SINABIP</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1. ASPECTOS GENERALES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84"/>
        <w:jc w:val="both"/>
        <w:rPr>
          <w:rFonts w:ascii="Arial" w:eastAsia="Calibri" w:hAnsi="Arial" w:cs="Arial"/>
          <w:lang w:val="es-ES"/>
        </w:rPr>
      </w:pPr>
      <w:r w:rsidRPr="006312E8">
        <w:rPr>
          <w:rFonts w:ascii="Arial" w:eastAsia="Calibri" w:hAnsi="Arial" w:cs="Arial"/>
          <w:lang w:val="es-ES"/>
        </w:rPr>
        <w:t>El Sistema de Información Nacional de Bienes Estatales - SINABIP, es el registro administrativo de carácter único y obligatorio de los bienes estatales; siendo sus principales funciones, las siguientes: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241D1D">
      <w:pPr>
        <w:numPr>
          <w:ilvl w:val="1"/>
          <w:numId w:val="105"/>
        </w:num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Consolidar mediante el acto de registro los predios del Estado de los tres niveles de Gobierno (Nacional, Regional y Local) en el Sistema de Información Nacional de Bienes Estatales – SINABIP.</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241D1D">
      <w:pPr>
        <w:numPr>
          <w:ilvl w:val="1"/>
          <w:numId w:val="105"/>
        </w:num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Actualizar la información gráfica y alfanumérica de la Base de Datos del SINABIP con la documentación que remiten las entidades del SNBE.</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1"/>
          <w:numId w:val="105"/>
        </w:num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Administrar la información contenida en el SINABIP.</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2. FINALIDAD</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84"/>
        <w:jc w:val="both"/>
        <w:rPr>
          <w:rFonts w:ascii="Arial" w:eastAsia="Calibri" w:hAnsi="Arial" w:cs="Arial"/>
          <w:lang w:val="es-ES"/>
        </w:rPr>
      </w:pPr>
      <w:r w:rsidRPr="006312E8">
        <w:rPr>
          <w:rFonts w:ascii="Arial" w:eastAsia="Calibri" w:hAnsi="Arial" w:cs="Arial"/>
          <w:lang w:val="es-ES"/>
        </w:rPr>
        <w:t>Regular el Acto y Proceso de Registro de Predios en el SINABIP</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3. OBJETIVO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705" w:hanging="421"/>
        <w:jc w:val="both"/>
        <w:rPr>
          <w:rFonts w:ascii="Arial" w:eastAsia="Calibri" w:hAnsi="Arial" w:cs="Arial"/>
          <w:lang w:val="es-ES"/>
        </w:rPr>
      </w:pPr>
      <w:r w:rsidRPr="006312E8">
        <w:rPr>
          <w:rFonts w:ascii="Arial" w:eastAsia="Calibri" w:hAnsi="Arial" w:cs="Arial"/>
          <w:lang w:val="es-ES"/>
        </w:rPr>
        <w:t xml:space="preserve">3.1 </w:t>
      </w:r>
      <w:r w:rsidRPr="006312E8">
        <w:rPr>
          <w:rFonts w:ascii="Arial" w:eastAsia="Calibri" w:hAnsi="Arial" w:cs="Arial"/>
          <w:lang w:val="es-ES"/>
        </w:rPr>
        <w:tab/>
        <w:t>Regular el mecanismo de registro y/o actualización en el SINABIP, de la información de los bienes inmuebles respecto de los cuales las entidades públicas que conforman el Sistema Nacional de Bienes Estatales - SNBE ejerzan algún derecho o se encuentren bajo su administración.</w:t>
      </w:r>
    </w:p>
    <w:p w:rsidR="006312E8" w:rsidRPr="006312E8" w:rsidRDefault="006312E8" w:rsidP="006312E8">
      <w:pPr>
        <w:spacing w:after="0" w:line="240" w:lineRule="auto"/>
        <w:ind w:left="705" w:hanging="421"/>
        <w:jc w:val="both"/>
        <w:rPr>
          <w:rFonts w:ascii="Arial" w:eastAsia="Calibri" w:hAnsi="Arial" w:cs="Arial"/>
          <w:lang w:val="es-ES"/>
        </w:rPr>
      </w:pPr>
    </w:p>
    <w:p w:rsidR="006312E8" w:rsidRPr="006312E8" w:rsidRDefault="006312E8" w:rsidP="006312E8">
      <w:pPr>
        <w:numPr>
          <w:ilvl w:val="1"/>
          <w:numId w:val="30"/>
        </w:num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Regular el Proceso de Registro de Predios como un mecanismo de ingreso de información con control de calidad</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numPr>
          <w:ilvl w:val="1"/>
          <w:numId w:val="30"/>
        </w:num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Establecer el Código Único SINABIP - CUS, como un código numérico único y correlativo que permita la identificación de los Registros SINABIP a nivel Nacional.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4. ALCANCE</w:t>
      </w:r>
    </w:p>
    <w:p w:rsidR="006312E8" w:rsidRPr="006312E8" w:rsidRDefault="006312E8" w:rsidP="006312E8">
      <w:pPr>
        <w:spacing w:after="0" w:line="240" w:lineRule="auto"/>
        <w:ind w:left="284"/>
        <w:jc w:val="both"/>
        <w:rPr>
          <w:rFonts w:ascii="Arial" w:eastAsia="Calibri" w:hAnsi="Arial" w:cs="Arial"/>
          <w:lang w:val="es-ES"/>
        </w:rPr>
      </w:pPr>
      <w:r w:rsidRPr="006312E8">
        <w:rPr>
          <w:rFonts w:ascii="Arial" w:eastAsia="Calibri" w:hAnsi="Arial" w:cs="Arial"/>
          <w:lang w:val="es-ES"/>
        </w:rPr>
        <w:t>El contenido de la presente directiva es de estricto cumplimiento para las entidades que conforman el SNBE, de acuerdo a lo establecido en el Artículo 8 de la Ley 29151 Ley General del Sistema Nacional de Bienes Estatales.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5. BASE LEGAL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241D1D">
      <w:pPr>
        <w:numPr>
          <w:ilvl w:val="1"/>
          <w:numId w:val="77"/>
        </w:num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Decreto Ley Nº 25556, Cuarta Disposición Transitoria y Final.</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241D1D">
      <w:pPr>
        <w:numPr>
          <w:ilvl w:val="1"/>
          <w:numId w:val="77"/>
        </w:num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Decreto Ley Nº 25738. Ley de Creación de la SBN.</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1"/>
          <w:numId w:val="77"/>
        </w:num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Ley Nº 27444 - Ley del Procedimiento Administrativo General.</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1"/>
          <w:numId w:val="77"/>
        </w:num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Decreto Supremo Nº 004-2007-VIVIENDA, que adscribe a la Superintendencia de Bienes Nacionales al Ministerio de Vivienda Construcción y Saneamiento.</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1"/>
          <w:numId w:val="77"/>
        </w:num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Ley Nº 29151, Ley General del Sistema Nacional de Bienes Estatales.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1"/>
          <w:numId w:val="77"/>
        </w:num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Decreto Supremo Nº 007-2008-Vivienda, Reglamento de la Ley Nº 29151.</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1"/>
          <w:numId w:val="77"/>
        </w:num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Decreto Supremo Nº 016-2010-Vivienda - Reglamento de Organización y Funciones de la Superintendencia de Bienes Nacionales.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1"/>
          <w:numId w:val="77"/>
        </w:num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Resolución SBN Nº 015-2002-SBN - Manual de Organización y Funciones de la Superintendencia de Bienes Nacionales.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1"/>
          <w:numId w:val="77"/>
        </w:num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Decreto Supremo 010-2008-VIVIENDA - Dictan Medidas para la Supervisión de la Zona de Playa protegida y la zona de Domino Restringido a cargo de la SBN y su inmatriculación en el Registro de Predios.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1"/>
          <w:numId w:val="77"/>
        </w:numPr>
        <w:spacing w:after="0" w:line="240" w:lineRule="auto"/>
        <w:ind w:left="709" w:hanging="567"/>
        <w:contextualSpacing/>
        <w:jc w:val="both"/>
        <w:rPr>
          <w:rFonts w:ascii="Arial" w:eastAsia="Calibri" w:hAnsi="Arial" w:cs="Arial"/>
          <w:lang w:val="es-ES"/>
        </w:rPr>
      </w:pPr>
      <w:r w:rsidRPr="006312E8">
        <w:rPr>
          <w:rFonts w:ascii="Arial" w:eastAsia="Calibri" w:hAnsi="Arial" w:cs="Arial"/>
          <w:lang w:val="es-ES"/>
        </w:rPr>
        <w:t>Ley Nº 28296 Ley General del Patrimonio Cultural de la Nación.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6. DISPOSICIONES GENERALES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709" w:hanging="425"/>
        <w:jc w:val="both"/>
        <w:rPr>
          <w:rFonts w:ascii="Arial" w:eastAsia="Calibri" w:hAnsi="Arial" w:cs="Arial"/>
          <w:b/>
          <w:lang w:val="es-ES"/>
        </w:rPr>
      </w:pPr>
      <w:r w:rsidRPr="006312E8">
        <w:rPr>
          <w:rFonts w:ascii="Arial" w:eastAsia="Calibri" w:hAnsi="Arial" w:cs="Arial"/>
          <w:b/>
          <w:lang w:val="es-ES"/>
        </w:rPr>
        <w:t>6.1. Principios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La presente directiva se regirá por los siguientes principios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6.1.1 </w:t>
      </w:r>
      <w:r w:rsidRPr="006312E8">
        <w:rPr>
          <w:rFonts w:ascii="Arial" w:eastAsia="Calibri" w:hAnsi="Arial" w:cs="Arial"/>
          <w:lang w:val="es-ES"/>
        </w:rPr>
        <w:tab/>
      </w:r>
      <w:r w:rsidRPr="006312E8">
        <w:rPr>
          <w:rFonts w:ascii="Arial" w:eastAsia="Calibri" w:hAnsi="Arial" w:cs="Arial"/>
          <w:b/>
          <w:lang w:val="es-ES"/>
        </w:rPr>
        <w:t>Principio de Integración de la información Predial.-</w:t>
      </w:r>
      <w:r w:rsidRPr="006312E8">
        <w:rPr>
          <w:rFonts w:ascii="Arial" w:eastAsia="Calibri" w:hAnsi="Arial" w:cs="Arial"/>
          <w:lang w:val="es-ES"/>
        </w:rPr>
        <w:t xml:space="preserve"> Todas las entidades que conforman el SNBE, deberán registrar sus predios en el SINABIP, con el objeto de consolidar el catastro nacional de las propiedades inmobiliarias del Estado.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6.1.2 </w:t>
      </w:r>
      <w:r w:rsidRPr="006312E8">
        <w:rPr>
          <w:rFonts w:ascii="Arial" w:eastAsia="Calibri" w:hAnsi="Arial" w:cs="Arial"/>
          <w:lang w:val="es-ES"/>
        </w:rPr>
        <w:tab/>
      </w:r>
      <w:r w:rsidRPr="006312E8">
        <w:rPr>
          <w:rFonts w:ascii="Arial" w:eastAsia="Calibri" w:hAnsi="Arial" w:cs="Arial"/>
          <w:b/>
          <w:lang w:val="es-ES"/>
        </w:rPr>
        <w:t>Principio de Celeridad.-</w:t>
      </w:r>
      <w:r w:rsidRPr="006312E8">
        <w:rPr>
          <w:rFonts w:ascii="Arial" w:eastAsia="Calibri" w:hAnsi="Arial" w:cs="Arial"/>
          <w:lang w:val="es-ES"/>
        </w:rPr>
        <w:t xml:space="preserve"> Los procedimientos se desarrollaran por medios electrónicos con la máxima dinámica posible, buscando la actualización permanente de la información de los predios del Estado en los tres niveles de gobierno.</w:t>
      </w:r>
    </w:p>
    <w:p w:rsidR="006312E8" w:rsidRPr="006312E8" w:rsidRDefault="006312E8" w:rsidP="006312E8">
      <w:pPr>
        <w:spacing w:after="0" w:line="240" w:lineRule="auto"/>
        <w:ind w:left="1418" w:hanging="709"/>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6.1.3 </w:t>
      </w:r>
      <w:r w:rsidRPr="006312E8">
        <w:rPr>
          <w:rFonts w:ascii="Arial" w:eastAsia="Calibri" w:hAnsi="Arial" w:cs="Arial"/>
          <w:lang w:val="es-ES"/>
        </w:rPr>
        <w:tab/>
      </w:r>
      <w:r w:rsidRPr="006312E8">
        <w:rPr>
          <w:rFonts w:ascii="Arial" w:eastAsia="Calibri" w:hAnsi="Arial" w:cs="Arial"/>
          <w:b/>
          <w:lang w:val="es-ES"/>
        </w:rPr>
        <w:t>Principio de Ubicación Geográfica.-</w:t>
      </w:r>
      <w:r w:rsidRPr="006312E8">
        <w:rPr>
          <w:rFonts w:ascii="Arial" w:eastAsia="Calibri" w:hAnsi="Arial" w:cs="Arial"/>
          <w:lang w:val="es-ES"/>
        </w:rPr>
        <w:t xml:space="preserve"> Toda información gráfica catastral de los predios del Estado estará georeferenciada de acuerdo al marco geodésico vigente.</w:t>
      </w:r>
    </w:p>
    <w:p w:rsidR="006312E8" w:rsidRPr="006312E8" w:rsidRDefault="006312E8" w:rsidP="006312E8">
      <w:pPr>
        <w:spacing w:after="0" w:line="240" w:lineRule="auto"/>
        <w:ind w:left="1418" w:hanging="709"/>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6.1.4 </w:t>
      </w:r>
      <w:r w:rsidRPr="006312E8">
        <w:rPr>
          <w:rFonts w:ascii="Arial" w:eastAsia="Calibri" w:hAnsi="Arial" w:cs="Arial"/>
          <w:lang w:val="es-ES"/>
        </w:rPr>
        <w:tab/>
      </w:r>
      <w:r w:rsidRPr="006312E8">
        <w:rPr>
          <w:rFonts w:ascii="Arial" w:eastAsia="Calibri" w:hAnsi="Arial" w:cs="Arial"/>
          <w:b/>
          <w:lang w:val="es-ES"/>
        </w:rPr>
        <w:t>Principio de Presunción de Veracidad</w:t>
      </w:r>
      <w:r w:rsidRPr="006312E8">
        <w:rPr>
          <w:rFonts w:ascii="Arial" w:eastAsia="Calibri" w:hAnsi="Arial" w:cs="Arial"/>
          <w:lang w:val="es-ES"/>
        </w:rPr>
        <w:t>.- Se presume que la información y documentación técnica y legal remitida a la SBN por las entidades que conforman el SNBE para su registro o actualización en el SINABIP, responden a la verdad de los hechos que afirman.</w:t>
      </w:r>
    </w:p>
    <w:p w:rsidR="006312E8" w:rsidRPr="006312E8" w:rsidRDefault="006312E8" w:rsidP="006312E8">
      <w:pPr>
        <w:spacing w:after="0" w:line="240" w:lineRule="auto"/>
        <w:ind w:left="1418" w:hanging="709"/>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6.1.5 </w:t>
      </w:r>
      <w:r w:rsidRPr="006312E8">
        <w:rPr>
          <w:rFonts w:ascii="Arial" w:eastAsia="Calibri" w:hAnsi="Arial" w:cs="Arial"/>
          <w:lang w:val="es-ES"/>
        </w:rPr>
        <w:tab/>
      </w:r>
      <w:r w:rsidRPr="006312E8">
        <w:rPr>
          <w:rFonts w:ascii="Arial" w:eastAsia="Calibri" w:hAnsi="Arial" w:cs="Arial"/>
          <w:b/>
          <w:lang w:val="es-ES"/>
        </w:rPr>
        <w:t>Principio de Socialización.-</w:t>
      </w:r>
      <w:r w:rsidRPr="006312E8">
        <w:rPr>
          <w:rFonts w:ascii="Arial" w:eastAsia="Calibri" w:hAnsi="Arial" w:cs="Arial"/>
          <w:lang w:val="es-ES"/>
        </w:rPr>
        <w:t xml:space="preserve"> La información catastral, técnica, jurídica y económica de los bienes estatales que contiene el SINABIP, en su dimensión espacial, temporal y temática es útil para el ordenamiento territorial, desarrollo social y el fortalecimiento institucional.</w:t>
      </w:r>
    </w:p>
    <w:p w:rsidR="006312E8" w:rsidRDefault="006312E8" w:rsidP="006312E8">
      <w:pPr>
        <w:spacing w:after="0" w:line="240" w:lineRule="auto"/>
        <w:jc w:val="both"/>
        <w:rPr>
          <w:rFonts w:ascii="Arial" w:eastAsia="Calibri" w:hAnsi="Arial" w:cs="Arial"/>
          <w:lang w:val="es-ES"/>
        </w:rPr>
      </w:pPr>
    </w:p>
    <w:p w:rsidR="00A57CDE" w:rsidRPr="006312E8" w:rsidRDefault="00A57CDE"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84"/>
        <w:jc w:val="both"/>
        <w:rPr>
          <w:rFonts w:ascii="Arial" w:eastAsia="Calibri" w:hAnsi="Arial" w:cs="Arial"/>
          <w:b/>
          <w:lang w:val="es-ES"/>
        </w:rPr>
      </w:pPr>
      <w:r w:rsidRPr="006312E8">
        <w:rPr>
          <w:rFonts w:ascii="Arial" w:eastAsia="Calibri" w:hAnsi="Arial" w:cs="Arial"/>
          <w:b/>
          <w:lang w:val="es-ES"/>
        </w:rPr>
        <w:t>6.2. Obligatoriedad</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709"/>
        <w:jc w:val="both"/>
        <w:rPr>
          <w:rFonts w:ascii="Arial" w:eastAsia="Calibri" w:hAnsi="Arial" w:cs="Arial"/>
          <w:lang w:val="es-ES"/>
        </w:rPr>
      </w:pPr>
      <w:r w:rsidRPr="006312E8">
        <w:rPr>
          <w:rFonts w:ascii="Arial" w:eastAsia="Calibri" w:hAnsi="Arial" w:cs="Arial"/>
          <w:lang w:val="es-ES"/>
        </w:rPr>
        <w:t>Todas las entidades que conforman el SNBE, están obligadas a informar y remitir la documentación a la SBN de la existencia y situación física legal de los predios estatales de su propiedad o de aquellas que se encuentran bajo su administración a fin de registrar o actualizar dichos bienes en el SINABIP. En el caso de predios inscritos a nombre del Organismo de Formalización de la Propiedad Informal - COFOPRI, la información solamente se referirá a los predios destinados a áreas de equipamiento y/o usos comunales.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84"/>
        <w:jc w:val="both"/>
        <w:rPr>
          <w:rFonts w:ascii="Arial" w:eastAsia="Calibri" w:hAnsi="Arial" w:cs="Arial"/>
          <w:b/>
          <w:lang w:val="es-ES"/>
        </w:rPr>
      </w:pPr>
      <w:r w:rsidRPr="006312E8">
        <w:rPr>
          <w:rFonts w:ascii="Arial" w:eastAsia="Calibri" w:hAnsi="Arial" w:cs="Arial"/>
          <w:b/>
          <w:lang w:val="es-ES"/>
        </w:rPr>
        <w:t>6.3. Responsabilidad</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709"/>
        <w:jc w:val="both"/>
        <w:rPr>
          <w:rFonts w:ascii="Arial" w:eastAsia="Calibri" w:hAnsi="Arial" w:cs="Arial"/>
          <w:lang w:val="es-ES"/>
        </w:rPr>
      </w:pPr>
      <w:r w:rsidRPr="006312E8">
        <w:rPr>
          <w:rFonts w:ascii="Arial" w:eastAsia="Calibri" w:hAnsi="Arial" w:cs="Arial"/>
          <w:lang w:val="es-ES"/>
        </w:rPr>
        <w:t>Los responsables del cumplimiento de la presente directiva, son los Jefes de las Unidades Orgánicas de las que depende la Oficina de Control Patrimonial o quien haga sus veces.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84"/>
        <w:jc w:val="both"/>
        <w:rPr>
          <w:rFonts w:ascii="Arial" w:eastAsia="Calibri" w:hAnsi="Arial" w:cs="Arial"/>
          <w:b/>
          <w:lang w:val="es-ES"/>
        </w:rPr>
      </w:pPr>
      <w:r w:rsidRPr="006312E8">
        <w:rPr>
          <w:rFonts w:ascii="Arial" w:eastAsia="Calibri" w:hAnsi="Arial" w:cs="Arial"/>
          <w:b/>
          <w:lang w:val="es-ES"/>
        </w:rPr>
        <w:t>6.4. Proceso de Registro de Predios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709"/>
        <w:jc w:val="both"/>
        <w:rPr>
          <w:rFonts w:ascii="Arial" w:eastAsia="Calibri" w:hAnsi="Arial" w:cs="Arial"/>
          <w:lang w:val="es-ES"/>
        </w:rPr>
      </w:pPr>
      <w:r w:rsidRPr="006312E8">
        <w:rPr>
          <w:rFonts w:ascii="Arial" w:eastAsia="Calibri" w:hAnsi="Arial" w:cs="Arial"/>
          <w:lang w:val="es-ES"/>
        </w:rPr>
        <w:t>La SBN y los Gobiernos Regionales que hayan asumido las competencias de la SBN en el marco de la descentralización, registrarán en el SINABIP, la información de los predios estatales de acuerdo a lo indicado en el Manual del Proceso de Registro de Predios en el SINABIP y el Manual de Ingreso de Información que forma parte de la presente Directiva, los mismos que se encuentran en la Página Web de la Superintendencia Nacional de Bienes Estatales www.sbn.gob.pe ; en la medida que el aplicativo Sistema Electrónico de Administración de Bienes del Estado - SEABE ubicado en la Sede Electrónica del SINABIP entre en vigencia.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84"/>
        <w:jc w:val="both"/>
        <w:rPr>
          <w:rFonts w:ascii="Arial" w:eastAsia="Calibri" w:hAnsi="Arial" w:cs="Arial"/>
          <w:b/>
          <w:lang w:val="es-ES"/>
        </w:rPr>
      </w:pPr>
      <w:r w:rsidRPr="006312E8">
        <w:rPr>
          <w:rFonts w:ascii="Arial" w:eastAsia="Calibri" w:hAnsi="Arial" w:cs="Arial"/>
          <w:b/>
          <w:lang w:val="es-ES"/>
        </w:rPr>
        <w:t>6.5. Actualización y mantenimiento de la información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tabs>
          <w:tab w:val="left" w:pos="1418"/>
        </w:tabs>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6.5.1. </w:t>
      </w:r>
      <w:r w:rsidRPr="006312E8">
        <w:rPr>
          <w:rFonts w:ascii="Arial" w:eastAsia="Calibri" w:hAnsi="Arial" w:cs="Arial"/>
          <w:lang w:val="es-ES"/>
        </w:rPr>
        <w:tab/>
        <w:t>Las entidades que conforman el SNBE, deberán remitir a la SBN los documentos técnicos y legales en formato físico y/o digital, que sustenten los actos de adquisición, administración y disposición que hayan realizado sobre los bienes inmuebles bajo su administración.</w:t>
      </w:r>
    </w:p>
    <w:p w:rsidR="006312E8" w:rsidRPr="006312E8" w:rsidRDefault="006312E8" w:rsidP="006312E8">
      <w:pPr>
        <w:tabs>
          <w:tab w:val="left" w:pos="1418"/>
        </w:tabs>
        <w:spacing w:after="0" w:line="240" w:lineRule="auto"/>
        <w:ind w:left="1418" w:hanging="709"/>
        <w:jc w:val="both"/>
        <w:rPr>
          <w:rFonts w:ascii="Arial" w:eastAsia="Calibri" w:hAnsi="Arial" w:cs="Arial"/>
          <w:lang w:val="es-ES"/>
        </w:rPr>
      </w:pPr>
    </w:p>
    <w:p w:rsidR="006312E8" w:rsidRPr="006312E8" w:rsidRDefault="006312E8" w:rsidP="006312E8">
      <w:pPr>
        <w:tabs>
          <w:tab w:val="left" w:pos="1418"/>
        </w:tabs>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6.5.2. </w:t>
      </w:r>
      <w:r w:rsidRPr="006312E8">
        <w:rPr>
          <w:rFonts w:ascii="Arial" w:eastAsia="Calibri" w:hAnsi="Arial" w:cs="Arial"/>
          <w:lang w:val="es-ES"/>
        </w:rPr>
        <w:tab/>
        <w:t>La remisión de la documentación antes mencionada deberá adecuarse a los plazos y condiciones establecidos en el D.S 007-2008-VIVIENDA.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84"/>
        <w:jc w:val="both"/>
        <w:rPr>
          <w:rFonts w:ascii="Arial" w:eastAsia="Calibri" w:hAnsi="Arial" w:cs="Arial"/>
          <w:b/>
          <w:lang w:val="es-ES"/>
        </w:rPr>
      </w:pPr>
      <w:r w:rsidRPr="006312E8">
        <w:rPr>
          <w:rFonts w:ascii="Arial" w:eastAsia="Calibri" w:hAnsi="Arial" w:cs="Arial"/>
          <w:b/>
          <w:lang w:val="es-ES"/>
        </w:rPr>
        <w:t>6.6. Remisión de información vía Internet</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6.6.1. </w:t>
      </w:r>
      <w:r w:rsidRPr="006312E8">
        <w:rPr>
          <w:rFonts w:ascii="Arial" w:eastAsia="Calibri" w:hAnsi="Arial" w:cs="Arial"/>
          <w:lang w:val="es-ES"/>
        </w:rPr>
        <w:tab/>
        <w:t>La remisión de información por la página web de la SBN, es un mecanismo de intercambio de información que realizan las entidades del SNBE sobre la situación de los predios que se encuentran bajo su administración.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1418"/>
        <w:jc w:val="both"/>
        <w:rPr>
          <w:rFonts w:ascii="Arial" w:eastAsia="Calibri" w:hAnsi="Arial" w:cs="Arial"/>
          <w:lang w:val="es-ES"/>
        </w:rPr>
      </w:pPr>
      <w:r w:rsidRPr="006312E8">
        <w:rPr>
          <w:rFonts w:ascii="Arial" w:eastAsia="Calibri" w:hAnsi="Arial" w:cs="Arial"/>
          <w:lang w:val="es-ES"/>
        </w:rPr>
        <w:t>Dicha remisión de información se actualizará de manera anual, mediante el aplicativo Remisión de Información ubicada en la Sede Electrónica del SINABIP, con el fin de identificar y consolidar las propiedades del Estado independientemente de su situación registral o jurídica (posesión que tienen sobre cada predio); y responden a las interrogantes ¿Cuantos son?. ¿dónde están? ¿Quién los tiene? y ¿qué uso tienen dichos inmuebles?</w:t>
      </w:r>
    </w:p>
    <w:p w:rsidR="006312E8" w:rsidRPr="006312E8" w:rsidRDefault="006312E8" w:rsidP="006312E8">
      <w:pPr>
        <w:spacing w:after="0" w:line="240" w:lineRule="auto"/>
        <w:ind w:left="1418"/>
        <w:jc w:val="both"/>
        <w:rPr>
          <w:rFonts w:ascii="Arial" w:eastAsia="Calibri" w:hAnsi="Arial" w:cs="Arial"/>
          <w:lang w:val="es-ES"/>
        </w:rPr>
      </w:pPr>
    </w:p>
    <w:p w:rsidR="006312E8" w:rsidRPr="006312E8" w:rsidRDefault="006312E8" w:rsidP="006312E8">
      <w:pPr>
        <w:spacing w:after="0" w:line="240" w:lineRule="auto"/>
        <w:ind w:left="1418"/>
        <w:jc w:val="both"/>
        <w:rPr>
          <w:rFonts w:ascii="Arial" w:eastAsia="Calibri" w:hAnsi="Arial" w:cs="Arial"/>
          <w:lang w:val="es-ES"/>
        </w:rPr>
      </w:pPr>
      <w:r w:rsidRPr="006312E8">
        <w:rPr>
          <w:rFonts w:ascii="Arial" w:eastAsia="Calibri" w:hAnsi="Arial" w:cs="Arial"/>
          <w:lang w:val="es-ES"/>
        </w:rPr>
        <w:t>Las entidades del SNBE deberán actualizar esta información de acuerdo a la situación real de cada predio, independientemente de que encuentren registrados o no en el SINABIP.</w:t>
      </w:r>
    </w:p>
    <w:p w:rsidR="006312E8" w:rsidRPr="006312E8" w:rsidRDefault="006312E8" w:rsidP="006312E8">
      <w:pPr>
        <w:spacing w:after="0" w:line="240" w:lineRule="auto"/>
        <w:ind w:left="1418"/>
        <w:jc w:val="both"/>
        <w:rPr>
          <w:rFonts w:ascii="Arial" w:eastAsia="Calibri" w:hAnsi="Arial" w:cs="Arial"/>
          <w:lang w:val="es-ES"/>
        </w:rPr>
      </w:pPr>
    </w:p>
    <w:p w:rsidR="006312E8" w:rsidRPr="006312E8" w:rsidRDefault="006312E8" w:rsidP="006312E8">
      <w:pPr>
        <w:spacing w:after="0" w:line="240" w:lineRule="auto"/>
        <w:ind w:left="1418"/>
        <w:jc w:val="both"/>
        <w:rPr>
          <w:rFonts w:ascii="Arial" w:eastAsia="Calibri" w:hAnsi="Arial" w:cs="Arial"/>
          <w:lang w:val="es-ES"/>
        </w:rPr>
      </w:pPr>
      <w:r w:rsidRPr="006312E8">
        <w:rPr>
          <w:rFonts w:ascii="Arial" w:eastAsia="Calibri" w:hAnsi="Arial" w:cs="Arial"/>
          <w:lang w:val="es-ES"/>
        </w:rPr>
        <w:t>Asimismo de acuerdo a la capacidad tecnológica de cada entidad, deberán remitir (vincular), mediante esta vía los documentos técnicos y legales de los predios de su propiedad o de aquellos que se encuentren bajo su administración.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6.6.2. </w:t>
      </w:r>
      <w:r w:rsidRPr="006312E8">
        <w:rPr>
          <w:rFonts w:ascii="Arial" w:eastAsia="Calibri" w:hAnsi="Arial" w:cs="Arial"/>
          <w:lang w:val="es-ES"/>
        </w:rPr>
        <w:tab/>
        <w:t>La plataforma de la Sede Electrónica del SINABIP se encontrara en la Página Web de la SBN, (www.sbn.gob.pe) y contendrá el Aplicativo Remisión de Información y el Aplicativo Sistema Electrónico de Administración de Bienes del Estado - SEABE (Registro de Información en el SINABIP, en línea).</w:t>
      </w:r>
    </w:p>
    <w:p w:rsidR="006312E8" w:rsidRPr="006312E8" w:rsidRDefault="006312E8" w:rsidP="006312E8">
      <w:pPr>
        <w:spacing w:after="0" w:line="240" w:lineRule="auto"/>
        <w:ind w:left="1418" w:hanging="709"/>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6.6.3. </w:t>
      </w:r>
      <w:r w:rsidRPr="006312E8">
        <w:rPr>
          <w:rFonts w:ascii="Arial" w:eastAsia="Calibri" w:hAnsi="Arial" w:cs="Arial"/>
          <w:lang w:val="es-ES"/>
        </w:rPr>
        <w:tab/>
        <w:t>Las entidades que remitieron la información de los bienes inmuebles bajo su administración, en cumplimiento de la directiva Nº 003-2008-SBN, podrán actualizar dicha información mediante el aplicativo Remisión de Información ubicada en la Sede Electrónica del SINABIP.</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1418"/>
        <w:jc w:val="both"/>
        <w:rPr>
          <w:rFonts w:ascii="Arial" w:eastAsia="Calibri" w:hAnsi="Arial" w:cs="Arial"/>
          <w:lang w:val="es-ES"/>
        </w:rPr>
      </w:pPr>
      <w:r w:rsidRPr="006312E8">
        <w:rPr>
          <w:rFonts w:ascii="Arial" w:eastAsia="Calibri" w:hAnsi="Arial" w:cs="Arial"/>
          <w:lang w:val="es-ES"/>
        </w:rPr>
        <w:t>Así mismo para aquellas entidades que no cumplieron con remitir dicha información en el plazo establecido, deberán habilitar su usuario mediante el siguiente procedimiento: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241D1D">
      <w:pPr>
        <w:numPr>
          <w:ilvl w:val="0"/>
          <w:numId w:val="106"/>
        </w:numPr>
        <w:spacing w:after="0" w:line="240" w:lineRule="auto"/>
        <w:ind w:left="1701"/>
        <w:contextualSpacing/>
        <w:jc w:val="both"/>
        <w:rPr>
          <w:rFonts w:ascii="Arial" w:eastAsia="Calibri" w:hAnsi="Arial" w:cs="Arial"/>
          <w:lang w:val="es-ES"/>
        </w:rPr>
      </w:pPr>
      <w:r w:rsidRPr="006312E8">
        <w:rPr>
          <w:rFonts w:ascii="Arial" w:eastAsia="Calibri" w:hAnsi="Arial" w:cs="Arial"/>
          <w:lang w:val="es-ES"/>
        </w:rPr>
        <w:t>Para habilitar un usuario y acceder al aplicativo Remisión de Información de la Sede Electrónica del SINABIP, el titular la Oficina General de Administración o quien haga sus veces, deberá remitir un oficio a la SBN indicando el nombre de la persona responsable del registro de información, número de DNI, correo electrónico, número de teléfono.</w:t>
      </w:r>
    </w:p>
    <w:p w:rsidR="006312E8" w:rsidRPr="006312E8" w:rsidRDefault="006312E8" w:rsidP="006312E8">
      <w:pPr>
        <w:spacing w:after="0" w:line="240" w:lineRule="auto"/>
        <w:ind w:left="1701"/>
        <w:contextualSpacing/>
        <w:jc w:val="both"/>
        <w:rPr>
          <w:rFonts w:ascii="Arial" w:eastAsia="Calibri" w:hAnsi="Arial" w:cs="Arial"/>
          <w:lang w:val="es-ES"/>
        </w:rPr>
      </w:pPr>
    </w:p>
    <w:p w:rsidR="006312E8" w:rsidRPr="006312E8" w:rsidRDefault="006312E8" w:rsidP="00241D1D">
      <w:pPr>
        <w:numPr>
          <w:ilvl w:val="0"/>
          <w:numId w:val="106"/>
        </w:numPr>
        <w:spacing w:after="0" w:line="240" w:lineRule="auto"/>
        <w:ind w:left="1701"/>
        <w:contextualSpacing/>
        <w:jc w:val="both"/>
        <w:rPr>
          <w:rFonts w:ascii="Arial" w:eastAsia="Calibri" w:hAnsi="Arial" w:cs="Arial"/>
          <w:lang w:val="es-ES"/>
        </w:rPr>
      </w:pPr>
      <w:r w:rsidRPr="006312E8">
        <w:rPr>
          <w:rFonts w:ascii="Arial" w:eastAsia="Calibri" w:hAnsi="Arial" w:cs="Arial"/>
          <w:lang w:val="es-ES"/>
        </w:rPr>
        <w:t>En un plazo de 3 días útiles después de recepcionado el oficio en Mesa de Partes de la SBN, se remitirá al correo electrónico del funcionario designado, el nombre de usuario, clave de acceso y manual de usuario.</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106"/>
        </w:numPr>
        <w:spacing w:after="0" w:line="240" w:lineRule="auto"/>
        <w:ind w:left="1701"/>
        <w:contextualSpacing/>
        <w:jc w:val="both"/>
        <w:rPr>
          <w:rFonts w:ascii="Arial" w:eastAsia="Calibri" w:hAnsi="Arial" w:cs="Arial"/>
          <w:lang w:val="es-ES"/>
        </w:rPr>
      </w:pPr>
      <w:r w:rsidRPr="006312E8">
        <w:rPr>
          <w:rFonts w:ascii="Arial" w:eastAsia="Calibri" w:hAnsi="Arial" w:cs="Arial"/>
          <w:lang w:val="es-ES"/>
        </w:rPr>
        <w:t>El procedimiento para el registro de la información por internet esta detallado en el manual de usuario, el cual será enviado al usuario el momento de habilitarlo (correo electrónico) o podrán descargarlo de las Sede Electrónica del SINABIP.</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106"/>
        </w:numPr>
        <w:spacing w:after="0" w:line="240" w:lineRule="auto"/>
        <w:ind w:left="1701"/>
        <w:contextualSpacing/>
        <w:jc w:val="both"/>
        <w:rPr>
          <w:rFonts w:ascii="Arial" w:eastAsia="Calibri" w:hAnsi="Arial" w:cs="Arial"/>
          <w:lang w:val="es-ES"/>
        </w:rPr>
      </w:pPr>
      <w:r w:rsidRPr="006312E8">
        <w:rPr>
          <w:rFonts w:ascii="Arial" w:eastAsia="Calibri" w:hAnsi="Arial" w:cs="Arial"/>
          <w:lang w:val="es-ES"/>
        </w:rPr>
        <w:t>La Subdirección de Registro y Catastro, contrastará la información proporcionada por la entidad con la existente en la base de datos del SINABIP y solicitará vía correo electrónico los documentos necesarios para que la incorporación de estos predios al Registro se ajuste a lo establecido en la presente directiva.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106"/>
        </w:numPr>
        <w:spacing w:after="0" w:line="240" w:lineRule="auto"/>
        <w:ind w:left="1701"/>
        <w:contextualSpacing/>
        <w:jc w:val="both"/>
        <w:rPr>
          <w:rFonts w:ascii="Arial" w:eastAsia="Calibri" w:hAnsi="Arial" w:cs="Arial"/>
          <w:lang w:val="es-ES"/>
        </w:rPr>
      </w:pPr>
      <w:r w:rsidRPr="006312E8">
        <w:rPr>
          <w:rFonts w:ascii="Arial" w:eastAsia="Calibri" w:hAnsi="Arial" w:cs="Arial"/>
          <w:lang w:val="es-ES"/>
        </w:rPr>
        <w:t>Todas las comunicaciones de la SBN con las entidades que remiten información mediante la Pagina Web de la SBN, se realizaran por medio de la Sede Electrónica del SINABIP y el Correo Electrónico para ello, las entidades públicas deberán tener habilitado el correo del funcionario designado</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106"/>
        </w:numPr>
        <w:spacing w:after="0" w:line="240" w:lineRule="auto"/>
        <w:ind w:left="1701"/>
        <w:contextualSpacing/>
        <w:jc w:val="both"/>
        <w:rPr>
          <w:rFonts w:ascii="Arial" w:eastAsia="Calibri" w:hAnsi="Arial" w:cs="Arial"/>
          <w:lang w:val="es-ES"/>
        </w:rPr>
      </w:pPr>
      <w:r w:rsidRPr="006312E8">
        <w:rPr>
          <w:rFonts w:ascii="Arial" w:eastAsia="Calibri" w:hAnsi="Arial" w:cs="Arial"/>
          <w:lang w:val="es-ES"/>
        </w:rPr>
        <w:t>Las entidades deben comunicar a la SBN, los cambios en la designación de los funcionarios a cargo del registro de información relacionada con los predios estatales remitidos a través de la Página Web de esta Superintendencia.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7. DISPOSICIONES ESPECÍFICAS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84"/>
        <w:jc w:val="both"/>
        <w:rPr>
          <w:rFonts w:ascii="Arial" w:eastAsia="Calibri" w:hAnsi="Arial" w:cs="Arial"/>
          <w:b/>
          <w:lang w:val="es-ES"/>
        </w:rPr>
      </w:pPr>
      <w:r w:rsidRPr="006312E8">
        <w:rPr>
          <w:rFonts w:ascii="Arial" w:eastAsia="Calibri" w:hAnsi="Arial" w:cs="Arial"/>
          <w:b/>
          <w:lang w:val="es-ES"/>
        </w:rPr>
        <w:t>7.1. El Registro SINABIP.</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709"/>
        <w:jc w:val="both"/>
        <w:rPr>
          <w:rFonts w:ascii="Arial" w:eastAsia="Calibri" w:hAnsi="Arial" w:cs="Arial"/>
          <w:lang w:val="es-ES"/>
        </w:rPr>
      </w:pPr>
      <w:r w:rsidRPr="006312E8">
        <w:rPr>
          <w:rFonts w:ascii="Arial" w:eastAsia="Calibri" w:hAnsi="Arial" w:cs="Arial"/>
          <w:lang w:val="es-ES"/>
        </w:rPr>
        <w:t>Es la información técnica y legal, almacenada en la Base de Datos del SINABIP, que acredita la titularidad de un predio a favor del Estado, que se encuentra identificada con el Código Único SINABIP - CUS.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84"/>
        <w:jc w:val="both"/>
        <w:rPr>
          <w:rFonts w:ascii="Arial" w:eastAsia="Calibri" w:hAnsi="Arial" w:cs="Arial"/>
          <w:b/>
          <w:lang w:val="es-ES"/>
        </w:rPr>
      </w:pPr>
      <w:r w:rsidRPr="006312E8">
        <w:rPr>
          <w:rFonts w:ascii="Arial" w:eastAsia="Calibri" w:hAnsi="Arial" w:cs="Arial"/>
          <w:b/>
          <w:lang w:val="es-ES"/>
        </w:rPr>
        <w:t>7.2. Del contenido del Registro SINABIP.</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709"/>
        <w:jc w:val="both"/>
        <w:rPr>
          <w:rFonts w:ascii="Arial" w:eastAsia="Calibri" w:hAnsi="Arial" w:cs="Arial"/>
          <w:lang w:val="es-ES"/>
        </w:rPr>
      </w:pPr>
      <w:r w:rsidRPr="006312E8">
        <w:rPr>
          <w:rFonts w:ascii="Arial" w:eastAsia="Calibri" w:hAnsi="Arial" w:cs="Arial"/>
          <w:lang w:val="es-ES"/>
        </w:rPr>
        <w:t>El Registro SINABIP contiene la información técnica y/o legal, existente en su correspondiente legajo SINABIP (físico o digital).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84"/>
        <w:jc w:val="both"/>
        <w:rPr>
          <w:rFonts w:ascii="Arial" w:eastAsia="Calibri" w:hAnsi="Arial" w:cs="Arial"/>
          <w:b/>
          <w:lang w:val="es-ES"/>
        </w:rPr>
      </w:pPr>
      <w:r w:rsidRPr="006312E8">
        <w:rPr>
          <w:rFonts w:ascii="Arial" w:eastAsia="Calibri" w:hAnsi="Arial" w:cs="Arial"/>
          <w:b/>
          <w:lang w:val="es-ES"/>
        </w:rPr>
        <w:t>7.3. Requisitos para generar un Registro SINABIP.</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Documentos Técnicos: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241D1D">
      <w:pPr>
        <w:numPr>
          <w:ilvl w:val="0"/>
          <w:numId w:val="79"/>
        </w:numPr>
        <w:spacing w:after="0" w:line="240" w:lineRule="auto"/>
        <w:ind w:left="1134"/>
        <w:contextualSpacing/>
        <w:jc w:val="both"/>
        <w:rPr>
          <w:rFonts w:ascii="Arial" w:eastAsia="Calibri" w:hAnsi="Arial" w:cs="Arial"/>
          <w:lang w:val="es-ES"/>
        </w:rPr>
      </w:pPr>
      <w:r w:rsidRPr="006312E8">
        <w:rPr>
          <w:rFonts w:ascii="Arial" w:eastAsia="Calibri" w:hAnsi="Arial" w:cs="Arial"/>
          <w:lang w:val="es-ES"/>
        </w:rPr>
        <w:t>Plano Perimétrico y Ubicación.</w:t>
      </w:r>
    </w:p>
    <w:p w:rsidR="006312E8" w:rsidRPr="006312E8" w:rsidRDefault="006312E8" w:rsidP="00241D1D">
      <w:pPr>
        <w:numPr>
          <w:ilvl w:val="0"/>
          <w:numId w:val="79"/>
        </w:numPr>
        <w:spacing w:after="0" w:line="240" w:lineRule="auto"/>
        <w:ind w:left="1134"/>
        <w:contextualSpacing/>
        <w:jc w:val="both"/>
        <w:rPr>
          <w:rFonts w:ascii="Arial" w:eastAsia="Calibri" w:hAnsi="Arial" w:cs="Arial"/>
          <w:lang w:val="es-ES"/>
        </w:rPr>
      </w:pPr>
      <w:r w:rsidRPr="006312E8">
        <w:rPr>
          <w:rFonts w:ascii="Arial" w:eastAsia="Calibri" w:hAnsi="Arial" w:cs="Arial"/>
          <w:lang w:val="es-ES"/>
        </w:rPr>
        <w:t>Memoria Descriptiva.</w:t>
      </w:r>
    </w:p>
    <w:p w:rsidR="006312E8" w:rsidRPr="006312E8" w:rsidRDefault="006312E8" w:rsidP="00241D1D">
      <w:pPr>
        <w:numPr>
          <w:ilvl w:val="0"/>
          <w:numId w:val="79"/>
        </w:numPr>
        <w:spacing w:after="0" w:line="240" w:lineRule="auto"/>
        <w:ind w:left="1134"/>
        <w:contextualSpacing/>
        <w:jc w:val="both"/>
        <w:rPr>
          <w:rFonts w:ascii="Arial" w:eastAsia="Calibri" w:hAnsi="Arial" w:cs="Arial"/>
          <w:lang w:val="es-ES"/>
        </w:rPr>
      </w:pPr>
      <w:r w:rsidRPr="006312E8">
        <w:rPr>
          <w:rFonts w:ascii="Arial" w:eastAsia="Calibri" w:hAnsi="Arial" w:cs="Arial"/>
          <w:lang w:val="es-ES"/>
        </w:rPr>
        <w:t>Valorización.</w:t>
      </w:r>
    </w:p>
    <w:p w:rsidR="006312E8" w:rsidRPr="006312E8" w:rsidRDefault="006312E8" w:rsidP="00241D1D">
      <w:pPr>
        <w:numPr>
          <w:ilvl w:val="0"/>
          <w:numId w:val="79"/>
        </w:numPr>
        <w:spacing w:after="0" w:line="240" w:lineRule="auto"/>
        <w:ind w:left="1134"/>
        <w:contextualSpacing/>
        <w:jc w:val="both"/>
        <w:rPr>
          <w:rFonts w:ascii="Arial" w:eastAsia="Calibri" w:hAnsi="Arial" w:cs="Arial"/>
          <w:lang w:val="es-ES"/>
        </w:rPr>
      </w:pPr>
      <w:r w:rsidRPr="006312E8">
        <w:rPr>
          <w:rFonts w:ascii="Arial" w:eastAsia="Calibri" w:hAnsi="Arial" w:cs="Arial"/>
          <w:lang w:val="es-ES"/>
        </w:rPr>
        <w:t>Imagen Fotográfica del predio.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Documento Legal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241D1D">
      <w:pPr>
        <w:numPr>
          <w:ilvl w:val="0"/>
          <w:numId w:val="79"/>
        </w:numPr>
        <w:spacing w:after="0" w:line="240" w:lineRule="auto"/>
        <w:ind w:left="1134"/>
        <w:contextualSpacing/>
        <w:jc w:val="both"/>
        <w:rPr>
          <w:rFonts w:ascii="Arial" w:eastAsia="Calibri" w:hAnsi="Arial" w:cs="Arial"/>
          <w:lang w:val="es-ES"/>
        </w:rPr>
      </w:pPr>
      <w:r w:rsidRPr="006312E8">
        <w:rPr>
          <w:rFonts w:ascii="Arial" w:eastAsia="Calibri" w:hAnsi="Arial" w:cs="Arial"/>
          <w:lang w:val="es-ES"/>
        </w:rPr>
        <w:t>Partida registral o documento que acredite el dominio del predio.</w:t>
      </w:r>
    </w:p>
    <w:p w:rsidR="003679F2" w:rsidRPr="006312E8" w:rsidRDefault="003679F2"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84"/>
        <w:jc w:val="both"/>
        <w:rPr>
          <w:rFonts w:ascii="Arial" w:eastAsia="Calibri" w:hAnsi="Arial" w:cs="Arial"/>
          <w:b/>
          <w:lang w:val="es-ES"/>
        </w:rPr>
      </w:pPr>
      <w:r w:rsidRPr="006312E8">
        <w:rPr>
          <w:rFonts w:ascii="Arial" w:eastAsia="Calibri" w:hAnsi="Arial" w:cs="Arial"/>
          <w:b/>
          <w:lang w:val="es-ES"/>
        </w:rPr>
        <w:t>7.4. Clasificación de un Registro SINABIP.</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7.4.1. </w:t>
      </w:r>
      <w:r w:rsidRPr="006312E8">
        <w:rPr>
          <w:rFonts w:ascii="Arial" w:eastAsia="Calibri" w:hAnsi="Arial" w:cs="Arial"/>
          <w:lang w:val="es-ES"/>
        </w:rPr>
        <w:tab/>
      </w:r>
      <w:r w:rsidRPr="006312E8">
        <w:rPr>
          <w:rFonts w:ascii="Arial" w:eastAsia="Calibri" w:hAnsi="Arial" w:cs="Arial"/>
          <w:b/>
          <w:lang w:val="es-ES"/>
        </w:rPr>
        <w:t>Definitivo.-</w:t>
      </w:r>
      <w:r w:rsidRPr="006312E8">
        <w:rPr>
          <w:rFonts w:ascii="Arial" w:eastAsia="Calibri" w:hAnsi="Arial" w:cs="Arial"/>
          <w:lang w:val="es-ES"/>
        </w:rPr>
        <w:t xml:space="preserve"> Son aquellos registros SINABIP que cuentan con información registral o documento que acredite el dominio del predio y cuyo titular del predio es el Estado o una entidad de SNBE.</w:t>
      </w:r>
    </w:p>
    <w:p w:rsidR="006312E8" w:rsidRPr="006312E8" w:rsidRDefault="006312E8" w:rsidP="006312E8">
      <w:pPr>
        <w:spacing w:after="0" w:line="240" w:lineRule="auto"/>
        <w:ind w:left="1418" w:hanging="709"/>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7.4.2. </w:t>
      </w:r>
      <w:r w:rsidRPr="006312E8">
        <w:rPr>
          <w:rFonts w:ascii="Arial" w:eastAsia="Calibri" w:hAnsi="Arial" w:cs="Arial"/>
          <w:lang w:val="es-ES"/>
        </w:rPr>
        <w:tab/>
      </w:r>
      <w:r w:rsidRPr="006312E8">
        <w:rPr>
          <w:rFonts w:ascii="Arial" w:eastAsia="Calibri" w:hAnsi="Arial" w:cs="Arial"/>
          <w:b/>
          <w:lang w:val="es-ES"/>
        </w:rPr>
        <w:t>Provisional.-</w:t>
      </w:r>
      <w:r w:rsidRPr="006312E8">
        <w:rPr>
          <w:rFonts w:ascii="Arial" w:eastAsia="Calibri" w:hAnsi="Arial" w:cs="Arial"/>
          <w:lang w:val="es-ES"/>
        </w:rPr>
        <w:t xml:space="preserve"> Son aquellos Registros SINABIP que carecen de una Partida Registral o documento que acredite el dominio del predio.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84"/>
        <w:jc w:val="both"/>
        <w:rPr>
          <w:rFonts w:ascii="Arial" w:eastAsia="Calibri" w:hAnsi="Arial" w:cs="Arial"/>
          <w:b/>
          <w:lang w:val="es-ES"/>
        </w:rPr>
      </w:pPr>
      <w:r w:rsidRPr="006312E8">
        <w:rPr>
          <w:rFonts w:ascii="Arial" w:eastAsia="Calibri" w:hAnsi="Arial" w:cs="Arial"/>
          <w:b/>
          <w:lang w:val="es-ES"/>
        </w:rPr>
        <w:t>7.5. Nivel de implementación correspondiente a un Registro SINABIP.</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7.5.1. </w:t>
      </w:r>
      <w:r w:rsidRPr="006312E8">
        <w:rPr>
          <w:rFonts w:ascii="Arial" w:eastAsia="Calibri" w:hAnsi="Arial" w:cs="Arial"/>
          <w:lang w:val="es-ES"/>
        </w:rPr>
        <w:tab/>
        <w:t>Completo.- Cuando el legajo SINABIP cuenta con toda la documentación técnico/legal, en formato físico o digital.</w:t>
      </w:r>
    </w:p>
    <w:p w:rsidR="006312E8" w:rsidRPr="006312E8" w:rsidRDefault="006312E8" w:rsidP="006312E8">
      <w:pPr>
        <w:spacing w:after="0" w:line="240" w:lineRule="auto"/>
        <w:ind w:left="1418" w:hanging="709"/>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7.5.2, </w:t>
      </w:r>
      <w:r w:rsidRPr="006312E8">
        <w:rPr>
          <w:rFonts w:ascii="Arial" w:eastAsia="Calibri" w:hAnsi="Arial" w:cs="Arial"/>
          <w:lang w:val="es-ES"/>
        </w:rPr>
        <w:tab/>
        <w:t>Incompleto.- Cuando el legajo SINABIP carece de algún documento técnico/Iegal, en formato físico o digital.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84"/>
        <w:jc w:val="both"/>
        <w:rPr>
          <w:rFonts w:ascii="Arial" w:eastAsia="Calibri" w:hAnsi="Arial" w:cs="Arial"/>
          <w:b/>
          <w:lang w:val="es-ES"/>
        </w:rPr>
      </w:pPr>
      <w:r w:rsidRPr="006312E8">
        <w:rPr>
          <w:rFonts w:ascii="Arial" w:eastAsia="Calibri" w:hAnsi="Arial" w:cs="Arial"/>
          <w:b/>
          <w:lang w:val="es-ES"/>
        </w:rPr>
        <w:t>7.6. Atributos de un Registro SINABIP.</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7.6.1. </w:t>
      </w:r>
      <w:r w:rsidRPr="006312E8">
        <w:rPr>
          <w:rFonts w:ascii="Arial" w:eastAsia="Calibri" w:hAnsi="Arial" w:cs="Arial"/>
          <w:lang w:val="es-ES"/>
        </w:rPr>
        <w:tab/>
        <w:t>Conforme.- Cuando la información técnica de campo (realidad física) de un predio coincide con la información registral.</w:t>
      </w:r>
    </w:p>
    <w:p w:rsidR="006312E8" w:rsidRPr="006312E8" w:rsidRDefault="006312E8" w:rsidP="006312E8">
      <w:pPr>
        <w:spacing w:after="0" w:line="240" w:lineRule="auto"/>
        <w:ind w:left="1418" w:hanging="709"/>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7.6.2. </w:t>
      </w:r>
      <w:r w:rsidRPr="006312E8">
        <w:rPr>
          <w:rFonts w:ascii="Arial" w:eastAsia="Calibri" w:hAnsi="Arial" w:cs="Arial"/>
          <w:lang w:val="es-ES"/>
        </w:rPr>
        <w:tab/>
        <w:t>Saneamiento.- Comprende los predios registrados en el SINABIP que carece de las acciones destinadas a lograr que se inscriba en los Registros Públicos, su situación jurídica en relación a los derechos reales que sobre estos ejerza el Estado.</w:t>
      </w:r>
    </w:p>
    <w:p w:rsidR="006312E8" w:rsidRPr="006312E8" w:rsidRDefault="006312E8" w:rsidP="006312E8">
      <w:pPr>
        <w:spacing w:after="0" w:line="240" w:lineRule="auto"/>
        <w:ind w:left="1418" w:hanging="709"/>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7.6.3. </w:t>
      </w:r>
      <w:r w:rsidRPr="006312E8">
        <w:rPr>
          <w:rFonts w:ascii="Arial" w:eastAsia="Calibri" w:hAnsi="Arial" w:cs="Arial"/>
          <w:lang w:val="es-ES"/>
        </w:rPr>
        <w:tab/>
        <w:t>Reconstrucción.- Cuando la documentación técnica legal (física o digital) contenida en el legajo SINABIP es insuficiente y no permite identificar exactamente la forma del predio y la posición georeferenciada (ubicación) en el espacio geográfico.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84"/>
        <w:jc w:val="both"/>
        <w:rPr>
          <w:rFonts w:ascii="Arial" w:eastAsia="Calibri" w:hAnsi="Arial" w:cs="Arial"/>
          <w:b/>
          <w:lang w:val="es-ES"/>
        </w:rPr>
      </w:pPr>
      <w:r w:rsidRPr="006312E8">
        <w:rPr>
          <w:rFonts w:ascii="Arial" w:eastAsia="Calibri" w:hAnsi="Arial" w:cs="Arial"/>
          <w:b/>
          <w:lang w:val="es-ES"/>
        </w:rPr>
        <w:t>7.7. Condición de un Registro SINABIP</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La condición o estado de un registro SINABIP se clasifica en: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1418" w:hanging="567"/>
        <w:jc w:val="both"/>
        <w:rPr>
          <w:rFonts w:ascii="Arial" w:eastAsia="Calibri" w:hAnsi="Arial" w:cs="Arial"/>
          <w:lang w:val="es-ES"/>
        </w:rPr>
      </w:pPr>
      <w:r w:rsidRPr="006312E8">
        <w:rPr>
          <w:rFonts w:ascii="Arial" w:eastAsia="Calibri" w:hAnsi="Arial" w:cs="Arial"/>
          <w:lang w:val="es-ES"/>
        </w:rPr>
        <w:t>7.7.1.</w:t>
      </w:r>
      <w:r w:rsidRPr="006312E8">
        <w:rPr>
          <w:rFonts w:ascii="Arial" w:eastAsia="Calibri" w:hAnsi="Arial" w:cs="Arial"/>
          <w:b/>
          <w:lang w:val="es-ES"/>
        </w:rPr>
        <w:t>Vigente.-</w:t>
      </w:r>
      <w:r w:rsidRPr="006312E8">
        <w:rPr>
          <w:rFonts w:ascii="Arial" w:eastAsia="Calibri" w:hAnsi="Arial" w:cs="Arial"/>
          <w:lang w:val="es-ES"/>
        </w:rPr>
        <w:t xml:space="preserve"> Cuando existe coincidencia del dominio del predio y la titularidad de la entidad..</w:t>
      </w:r>
    </w:p>
    <w:p w:rsidR="006312E8" w:rsidRPr="006312E8" w:rsidRDefault="006312E8" w:rsidP="006312E8">
      <w:pPr>
        <w:spacing w:after="0" w:line="240" w:lineRule="auto"/>
        <w:ind w:left="1418" w:hanging="567"/>
        <w:jc w:val="both"/>
        <w:rPr>
          <w:rFonts w:ascii="Arial" w:eastAsia="Calibri" w:hAnsi="Arial" w:cs="Arial"/>
          <w:lang w:val="es-ES"/>
        </w:rPr>
      </w:pPr>
    </w:p>
    <w:p w:rsidR="006312E8" w:rsidRPr="006312E8" w:rsidRDefault="006312E8" w:rsidP="006312E8">
      <w:pPr>
        <w:spacing w:after="0" w:line="240" w:lineRule="auto"/>
        <w:ind w:left="1418" w:hanging="567"/>
        <w:jc w:val="both"/>
        <w:rPr>
          <w:rFonts w:ascii="Arial" w:eastAsia="Calibri" w:hAnsi="Arial" w:cs="Arial"/>
          <w:lang w:val="es-ES"/>
        </w:rPr>
      </w:pPr>
      <w:r w:rsidRPr="006312E8">
        <w:rPr>
          <w:rFonts w:ascii="Arial" w:eastAsia="Calibri" w:hAnsi="Arial" w:cs="Arial"/>
          <w:lang w:val="es-ES"/>
        </w:rPr>
        <w:t xml:space="preserve">7.7.2. </w:t>
      </w:r>
      <w:r w:rsidRPr="006312E8">
        <w:rPr>
          <w:rFonts w:ascii="Arial" w:eastAsia="Calibri" w:hAnsi="Arial" w:cs="Arial"/>
          <w:b/>
          <w:lang w:val="es-ES"/>
        </w:rPr>
        <w:t>Cancelado.-</w:t>
      </w:r>
      <w:r w:rsidRPr="006312E8">
        <w:rPr>
          <w:rFonts w:ascii="Arial" w:eastAsia="Calibri" w:hAnsi="Arial" w:cs="Arial"/>
          <w:lang w:val="es-ES"/>
        </w:rPr>
        <w:t xml:space="preserve"> Cuando concurran algunas de las siguientes circunstancias: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241D1D">
      <w:pPr>
        <w:numPr>
          <w:ilvl w:val="0"/>
          <w:numId w:val="107"/>
        </w:numPr>
        <w:spacing w:after="0" w:line="240" w:lineRule="auto"/>
        <w:ind w:left="1843"/>
        <w:contextualSpacing/>
        <w:jc w:val="both"/>
        <w:rPr>
          <w:rFonts w:ascii="Arial" w:eastAsia="Calibri" w:hAnsi="Arial" w:cs="Arial"/>
          <w:lang w:val="es-ES"/>
        </w:rPr>
      </w:pPr>
      <w:r w:rsidRPr="006312E8">
        <w:rPr>
          <w:rFonts w:ascii="Arial" w:eastAsia="Calibri" w:hAnsi="Arial" w:cs="Arial"/>
          <w:lang w:val="es-ES"/>
        </w:rPr>
        <w:t>Desplazamiento del dominio del predio a favor de terceros.</w:t>
      </w:r>
    </w:p>
    <w:p w:rsidR="006312E8" w:rsidRPr="006312E8" w:rsidRDefault="006312E8" w:rsidP="006312E8">
      <w:pPr>
        <w:spacing w:after="0" w:line="240" w:lineRule="auto"/>
        <w:ind w:left="1843"/>
        <w:contextualSpacing/>
        <w:jc w:val="both"/>
        <w:rPr>
          <w:rFonts w:ascii="Arial" w:eastAsia="Calibri" w:hAnsi="Arial" w:cs="Arial"/>
          <w:lang w:val="es-ES"/>
        </w:rPr>
      </w:pPr>
    </w:p>
    <w:p w:rsidR="006312E8" w:rsidRPr="006312E8" w:rsidRDefault="006312E8" w:rsidP="00241D1D">
      <w:pPr>
        <w:numPr>
          <w:ilvl w:val="0"/>
          <w:numId w:val="107"/>
        </w:numPr>
        <w:spacing w:after="0" w:line="240" w:lineRule="auto"/>
        <w:ind w:left="1843"/>
        <w:contextualSpacing/>
        <w:jc w:val="both"/>
        <w:rPr>
          <w:rFonts w:ascii="Arial" w:eastAsia="Calibri" w:hAnsi="Arial" w:cs="Arial"/>
          <w:lang w:val="es-ES"/>
        </w:rPr>
      </w:pPr>
      <w:r w:rsidRPr="006312E8">
        <w:rPr>
          <w:rFonts w:ascii="Arial" w:eastAsia="Calibri" w:hAnsi="Arial" w:cs="Arial"/>
          <w:lang w:val="es-ES"/>
        </w:rPr>
        <w:t>Cuando el área remanente de un predio matriz se reduce a cero.</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107"/>
        </w:numPr>
        <w:spacing w:after="0" w:line="240" w:lineRule="auto"/>
        <w:ind w:left="1843"/>
        <w:contextualSpacing/>
        <w:jc w:val="both"/>
        <w:rPr>
          <w:rFonts w:ascii="Arial" w:eastAsia="Calibri" w:hAnsi="Arial" w:cs="Arial"/>
          <w:lang w:val="es-ES"/>
        </w:rPr>
      </w:pPr>
      <w:r w:rsidRPr="006312E8">
        <w:rPr>
          <w:rFonts w:ascii="Arial" w:eastAsia="Calibri" w:hAnsi="Arial" w:cs="Arial"/>
          <w:lang w:val="es-ES"/>
        </w:rPr>
        <w:t>Cuando existe cierre de partidas por duplicidad registral o superposición registral de la totalidad del predio.</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107"/>
        </w:numPr>
        <w:spacing w:after="0" w:line="240" w:lineRule="auto"/>
        <w:ind w:left="1843"/>
        <w:contextualSpacing/>
        <w:jc w:val="both"/>
        <w:rPr>
          <w:rFonts w:ascii="Arial" w:eastAsia="Calibri" w:hAnsi="Arial" w:cs="Arial"/>
          <w:lang w:val="es-ES"/>
        </w:rPr>
      </w:pPr>
      <w:r w:rsidRPr="006312E8">
        <w:rPr>
          <w:rFonts w:ascii="Arial" w:eastAsia="Calibri" w:hAnsi="Arial" w:cs="Arial"/>
          <w:lang w:val="es-ES"/>
        </w:rPr>
        <w:t>Cuando se detecta un doble registro en el SINABIP. En este caso se cancela el registro más reciente.</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107"/>
        </w:numPr>
        <w:spacing w:after="0" w:line="240" w:lineRule="auto"/>
        <w:ind w:left="1843"/>
        <w:contextualSpacing/>
        <w:jc w:val="both"/>
        <w:rPr>
          <w:rFonts w:ascii="Arial" w:eastAsia="Calibri" w:hAnsi="Arial" w:cs="Arial"/>
          <w:lang w:val="es-ES"/>
        </w:rPr>
      </w:pPr>
      <w:r w:rsidRPr="006312E8">
        <w:rPr>
          <w:rFonts w:ascii="Arial" w:eastAsia="Calibri" w:hAnsi="Arial" w:cs="Arial"/>
          <w:lang w:val="es-ES"/>
        </w:rPr>
        <w:t>Cuando la partida de un predio se cierra, como resultado de los actos de saneamiento.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84"/>
        <w:jc w:val="both"/>
        <w:rPr>
          <w:rFonts w:ascii="Arial" w:eastAsia="Calibri" w:hAnsi="Arial" w:cs="Arial"/>
          <w:b/>
          <w:lang w:val="es-ES"/>
        </w:rPr>
      </w:pPr>
      <w:r w:rsidRPr="006312E8">
        <w:rPr>
          <w:rFonts w:ascii="Arial" w:eastAsia="Calibri" w:hAnsi="Arial" w:cs="Arial"/>
          <w:b/>
          <w:lang w:val="es-ES"/>
        </w:rPr>
        <w:t>7.8. Registro SINABIP según Nivel de Gobierno.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Según el nivel de Gobierno se clasifica en: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7.8.1. Nacional</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7.8.2. Regional</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7.8.3. Local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84"/>
        <w:jc w:val="both"/>
        <w:rPr>
          <w:rFonts w:ascii="Arial" w:eastAsia="Calibri" w:hAnsi="Arial" w:cs="Arial"/>
          <w:lang w:val="es-ES"/>
        </w:rPr>
      </w:pPr>
      <w:r w:rsidRPr="006312E8">
        <w:rPr>
          <w:rFonts w:ascii="Arial" w:eastAsia="Calibri" w:hAnsi="Arial" w:cs="Arial"/>
          <w:b/>
          <w:lang w:val="es-ES"/>
        </w:rPr>
        <w:t>7.9. De la Asignación del Código Único SINABIP - CUS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A cada Registro SINABIP, se le asigna un Código Único SINABIP a nivel nacional.</w:t>
      </w:r>
    </w:p>
    <w:p w:rsidR="006312E8" w:rsidRPr="006312E8" w:rsidRDefault="006312E8" w:rsidP="006312E8">
      <w:pPr>
        <w:spacing w:after="0" w:line="240" w:lineRule="auto"/>
        <w:jc w:val="both"/>
        <w:rPr>
          <w:rFonts w:ascii="Arial" w:eastAsia="Calibri" w:hAnsi="Arial" w:cs="Arial"/>
          <w:lang w:val="es-ES"/>
        </w:rPr>
      </w:pPr>
    </w:p>
    <w:p w:rsidR="005309C0" w:rsidRDefault="006312E8" w:rsidP="005309C0">
      <w:pPr>
        <w:spacing w:after="0" w:line="240" w:lineRule="auto"/>
        <w:ind w:left="284"/>
        <w:jc w:val="both"/>
        <w:rPr>
          <w:rFonts w:ascii="Arial" w:eastAsia="Calibri" w:hAnsi="Arial" w:cs="Arial"/>
          <w:b/>
          <w:lang w:val="es-ES"/>
        </w:rPr>
      </w:pPr>
      <w:r w:rsidRPr="006312E8">
        <w:rPr>
          <w:rFonts w:ascii="Arial" w:eastAsia="Calibri" w:hAnsi="Arial" w:cs="Arial"/>
          <w:b/>
          <w:lang w:val="es-ES"/>
        </w:rPr>
        <w:t xml:space="preserve">7.10. </w:t>
      </w:r>
      <w:r w:rsidR="005309C0">
        <w:rPr>
          <w:rFonts w:ascii="Arial" w:eastAsia="Calibri" w:hAnsi="Arial" w:cs="Arial"/>
          <w:b/>
          <w:lang w:val="es-ES"/>
        </w:rPr>
        <w:t xml:space="preserve">DEROGADO (*) </w:t>
      </w:r>
    </w:p>
    <w:p w:rsidR="006312E8" w:rsidRPr="005309C0" w:rsidRDefault="005309C0" w:rsidP="005309C0">
      <w:pPr>
        <w:spacing w:after="0" w:line="240" w:lineRule="auto"/>
        <w:ind w:left="851"/>
        <w:jc w:val="both"/>
        <w:rPr>
          <w:rFonts w:ascii="Arial" w:eastAsia="Calibri" w:hAnsi="Arial" w:cs="Arial"/>
          <w:sz w:val="16"/>
          <w:szCs w:val="16"/>
          <w:lang w:val="es-ES"/>
        </w:rPr>
      </w:pPr>
      <w:r w:rsidRPr="005309C0">
        <w:rPr>
          <w:rFonts w:ascii="Arial" w:eastAsia="Calibri" w:hAnsi="Arial" w:cs="Arial"/>
          <w:b/>
          <w:color w:val="FF0000"/>
          <w:sz w:val="16"/>
          <w:szCs w:val="16"/>
          <w:lang w:val="es-ES"/>
        </w:rPr>
        <w:t>(*) Resolución N° 059-2016/SBN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84"/>
        <w:jc w:val="both"/>
        <w:rPr>
          <w:rFonts w:ascii="Arial" w:eastAsia="Calibri" w:hAnsi="Arial" w:cs="Arial"/>
          <w:b/>
          <w:lang w:val="es-ES"/>
        </w:rPr>
      </w:pPr>
      <w:r w:rsidRPr="006312E8">
        <w:rPr>
          <w:rFonts w:ascii="Arial" w:eastAsia="Calibri" w:hAnsi="Arial" w:cs="Arial"/>
          <w:b/>
          <w:lang w:val="es-ES"/>
        </w:rPr>
        <w:t>7.11. El Legajo SINABIP</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709"/>
        <w:jc w:val="both"/>
        <w:rPr>
          <w:rFonts w:ascii="Arial" w:eastAsia="Calibri" w:hAnsi="Arial" w:cs="Arial"/>
          <w:lang w:val="es-ES"/>
        </w:rPr>
      </w:pPr>
      <w:r w:rsidRPr="006312E8">
        <w:rPr>
          <w:rFonts w:ascii="Arial" w:eastAsia="Calibri" w:hAnsi="Arial" w:cs="Arial"/>
          <w:lang w:val="es-ES"/>
        </w:rPr>
        <w:t>El Legajo SINABIP, es el conjunto de documentos técnico/legales que acredita la titularidad de un predio a favor del Estado, signado con un código numérico de identificación.</w:t>
      </w:r>
    </w:p>
    <w:p w:rsidR="006312E8" w:rsidRPr="006312E8" w:rsidRDefault="006312E8" w:rsidP="006312E8">
      <w:pPr>
        <w:spacing w:after="0" w:line="240" w:lineRule="auto"/>
        <w:ind w:left="709"/>
        <w:jc w:val="both"/>
        <w:rPr>
          <w:rFonts w:ascii="Arial" w:eastAsia="Calibri" w:hAnsi="Arial" w:cs="Arial"/>
          <w:lang w:val="es-ES"/>
        </w:rPr>
      </w:pPr>
    </w:p>
    <w:p w:rsidR="006312E8" w:rsidRPr="006312E8" w:rsidRDefault="006312E8" w:rsidP="006312E8">
      <w:pPr>
        <w:spacing w:after="0" w:line="240" w:lineRule="auto"/>
        <w:ind w:left="709"/>
        <w:jc w:val="both"/>
        <w:rPr>
          <w:rFonts w:ascii="Arial" w:eastAsia="Calibri" w:hAnsi="Arial" w:cs="Arial"/>
          <w:lang w:val="es-ES"/>
        </w:rPr>
      </w:pPr>
      <w:r w:rsidRPr="006312E8">
        <w:rPr>
          <w:rFonts w:ascii="Arial" w:eastAsia="Calibri" w:hAnsi="Arial" w:cs="Arial"/>
          <w:lang w:val="es-ES"/>
        </w:rPr>
        <w:t>La documentación técnico/legal, deberá presentar las características detalladas en el Anexo 01, adjunto a la presente Directiva: en tal sentido, dichos legajos se clasifican en: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7.11.1.</w:t>
      </w:r>
      <w:r w:rsidRPr="006312E8">
        <w:rPr>
          <w:rFonts w:ascii="Arial" w:eastAsia="Calibri" w:hAnsi="Arial" w:cs="Arial"/>
          <w:lang w:val="es-ES"/>
        </w:rPr>
        <w:tab/>
        <w:t>Legajo Físico.- Conformado por documentos físicos.</w:t>
      </w:r>
    </w:p>
    <w:p w:rsidR="006312E8" w:rsidRPr="006312E8" w:rsidRDefault="006312E8" w:rsidP="006312E8">
      <w:pPr>
        <w:spacing w:after="0" w:line="240" w:lineRule="auto"/>
        <w:ind w:left="1418" w:hanging="709"/>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7.11.2. Legajo Digital.- Conformado por documentos digitalizados.</w:t>
      </w:r>
    </w:p>
    <w:p w:rsidR="005309C0" w:rsidRDefault="005309C0"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8. REGISTRO DE INFORMACION TEMATICA</w:t>
      </w:r>
    </w:p>
    <w:p w:rsidR="006312E8" w:rsidRPr="006312E8" w:rsidRDefault="006312E8" w:rsidP="006312E8">
      <w:pPr>
        <w:spacing w:after="0" w:line="240" w:lineRule="auto"/>
        <w:jc w:val="both"/>
        <w:rPr>
          <w:rFonts w:ascii="Arial" w:eastAsia="Calibri" w:hAnsi="Arial" w:cs="Arial"/>
          <w:lang w:val="es-ES"/>
        </w:rPr>
      </w:pPr>
    </w:p>
    <w:p w:rsidR="005309C0" w:rsidRDefault="006312E8" w:rsidP="005309C0">
      <w:pPr>
        <w:spacing w:after="0" w:line="240" w:lineRule="auto"/>
        <w:ind w:left="284"/>
        <w:jc w:val="both"/>
        <w:rPr>
          <w:rFonts w:ascii="Arial" w:eastAsia="Calibri" w:hAnsi="Arial" w:cs="Arial"/>
          <w:b/>
          <w:lang w:val="es-ES"/>
        </w:rPr>
      </w:pPr>
      <w:r w:rsidRPr="006312E8">
        <w:rPr>
          <w:rFonts w:ascii="Arial" w:eastAsia="Calibri" w:hAnsi="Arial" w:cs="Arial"/>
          <w:b/>
          <w:lang w:val="es-ES"/>
        </w:rPr>
        <w:t xml:space="preserve">8.1 </w:t>
      </w:r>
      <w:r w:rsidR="005309C0">
        <w:rPr>
          <w:rFonts w:ascii="Arial" w:eastAsia="Calibri" w:hAnsi="Arial" w:cs="Arial"/>
          <w:b/>
          <w:lang w:val="es-ES"/>
        </w:rPr>
        <w:t xml:space="preserve">DEROGADO (*) </w:t>
      </w:r>
    </w:p>
    <w:p w:rsidR="005309C0" w:rsidRPr="005309C0" w:rsidRDefault="005309C0" w:rsidP="005309C0">
      <w:pPr>
        <w:spacing w:after="0" w:line="240" w:lineRule="auto"/>
        <w:ind w:left="851"/>
        <w:jc w:val="both"/>
        <w:rPr>
          <w:rFonts w:ascii="Arial" w:eastAsia="Calibri" w:hAnsi="Arial" w:cs="Arial"/>
          <w:sz w:val="16"/>
          <w:szCs w:val="16"/>
          <w:lang w:val="es-ES"/>
        </w:rPr>
      </w:pPr>
      <w:r w:rsidRPr="005309C0">
        <w:rPr>
          <w:rFonts w:ascii="Arial" w:eastAsia="Calibri" w:hAnsi="Arial" w:cs="Arial"/>
          <w:b/>
          <w:color w:val="FF0000"/>
          <w:sz w:val="16"/>
          <w:szCs w:val="16"/>
          <w:lang w:val="es-ES"/>
        </w:rPr>
        <w:t>(*) Resolución N° 059-2016/SBN</w:t>
      </w:r>
    </w:p>
    <w:p w:rsidR="006312E8" w:rsidRPr="006312E8" w:rsidRDefault="006312E8" w:rsidP="005309C0">
      <w:pPr>
        <w:spacing w:after="0" w:line="240" w:lineRule="auto"/>
        <w:ind w:left="284"/>
        <w:jc w:val="both"/>
        <w:rPr>
          <w:rFonts w:ascii="Arial" w:eastAsia="Calibri" w:hAnsi="Arial" w:cs="Arial"/>
          <w:lang w:val="es-ES"/>
        </w:rPr>
      </w:pPr>
    </w:p>
    <w:p w:rsidR="005309C0" w:rsidRDefault="006312E8" w:rsidP="005309C0">
      <w:pPr>
        <w:spacing w:after="0" w:line="240" w:lineRule="auto"/>
        <w:ind w:left="284"/>
        <w:jc w:val="both"/>
        <w:rPr>
          <w:rFonts w:ascii="Arial" w:eastAsia="Calibri" w:hAnsi="Arial" w:cs="Arial"/>
          <w:b/>
          <w:lang w:val="es-ES"/>
        </w:rPr>
      </w:pPr>
      <w:r w:rsidRPr="006312E8">
        <w:rPr>
          <w:rFonts w:ascii="Arial" w:eastAsia="Calibri" w:hAnsi="Arial" w:cs="Arial"/>
          <w:b/>
          <w:lang w:val="es-ES"/>
        </w:rPr>
        <w:t xml:space="preserve">8.2 </w:t>
      </w:r>
      <w:r w:rsidR="005309C0">
        <w:rPr>
          <w:rFonts w:ascii="Arial" w:eastAsia="Calibri" w:hAnsi="Arial" w:cs="Arial"/>
          <w:b/>
          <w:lang w:val="es-ES"/>
        </w:rPr>
        <w:t xml:space="preserve">DEROGADO (*) </w:t>
      </w:r>
    </w:p>
    <w:p w:rsidR="005309C0" w:rsidRPr="005309C0" w:rsidRDefault="005309C0" w:rsidP="005309C0">
      <w:pPr>
        <w:spacing w:after="0" w:line="240" w:lineRule="auto"/>
        <w:ind w:left="851"/>
        <w:jc w:val="both"/>
        <w:rPr>
          <w:rFonts w:ascii="Arial" w:eastAsia="Calibri" w:hAnsi="Arial" w:cs="Arial"/>
          <w:sz w:val="16"/>
          <w:szCs w:val="16"/>
          <w:lang w:val="es-ES"/>
        </w:rPr>
      </w:pPr>
      <w:r w:rsidRPr="005309C0">
        <w:rPr>
          <w:rFonts w:ascii="Arial" w:eastAsia="Calibri" w:hAnsi="Arial" w:cs="Arial"/>
          <w:b/>
          <w:color w:val="FF0000"/>
          <w:sz w:val="16"/>
          <w:szCs w:val="16"/>
          <w:lang w:val="es-ES"/>
        </w:rPr>
        <w:t>(*) Resolución N° 059-2016/SBN</w:t>
      </w:r>
    </w:p>
    <w:p w:rsidR="006312E8" w:rsidRPr="006312E8" w:rsidRDefault="006312E8" w:rsidP="005309C0">
      <w:pPr>
        <w:spacing w:after="0" w:line="240" w:lineRule="auto"/>
        <w:ind w:left="284"/>
        <w:jc w:val="both"/>
        <w:rPr>
          <w:rFonts w:ascii="Arial" w:eastAsia="Calibri" w:hAnsi="Arial" w:cs="Arial"/>
          <w:lang w:val="es-ES"/>
        </w:rPr>
      </w:pPr>
    </w:p>
    <w:p w:rsidR="006312E8" w:rsidRPr="006312E8" w:rsidRDefault="006312E8" w:rsidP="006312E8">
      <w:pPr>
        <w:spacing w:after="0" w:line="240" w:lineRule="auto"/>
        <w:ind w:left="284"/>
        <w:jc w:val="both"/>
        <w:rPr>
          <w:rFonts w:ascii="Arial" w:eastAsia="Calibri" w:hAnsi="Arial" w:cs="Arial"/>
          <w:b/>
          <w:lang w:val="es-ES"/>
        </w:rPr>
      </w:pPr>
      <w:r w:rsidRPr="006312E8">
        <w:rPr>
          <w:rFonts w:ascii="Arial" w:eastAsia="Calibri" w:hAnsi="Arial" w:cs="Arial"/>
          <w:b/>
          <w:lang w:val="es-ES"/>
        </w:rPr>
        <w:t>8.3 Predios alquilados</w:t>
      </w:r>
    </w:p>
    <w:p w:rsidR="006312E8" w:rsidRPr="006312E8" w:rsidRDefault="006312E8" w:rsidP="006312E8">
      <w:pPr>
        <w:spacing w:after="0" w:line="240" w:lineRule="auto"/>
        <w:ind w:left="709"/>
        <w:jc w:val="both"/>
        <w:rPr>
          <w:rFonts w:ascii="Arial" w:eastAsia="Calibri" w:hAnsi="Arial" w:cs="Arial"/>
          <w:lang w:val="es-ES"/>
        </w:rPr>
      </w:pPr>
      <w:r w:rsidRPr="006312E8">
        <w:rPr>
          <w:rFonts w:ascii="Arial" w:eastAsia="Calibri" w:hAnsi="Arial" w:cs="Arial"/>
          <w:lang w:val="es-ES"/>
        </w:rPr>
        <w:t>Con el objeto de determinar el déficit inmobiliario del Estado, las entidades que conforman el SNBE, deberán remitir la información de los predios de terceros que son alquilados, para el cumplimiento de sus funciones.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Dicha información no generará un CUS.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9. DEL ACCESO A LA INFORMACIÓN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709" w:hanging="425"/>
        <w:jc w:val="both"/>
        <w:rPr>
          <w:rFonts w:ascii="Arial" w:eastAsia="Calibri" w:hAnsi="Arial" w:cs="Arial"/>
          <w:lang w:val="es-ES"/>
        </w:rPr>
      </w:pPr>
      <w:r w:rsidRPr="006312E8">
        <w:rPr>
          <w:rFonts w:ascii="Arial" w:eastAsia="Calibri" w:hAnsi="Arial" w:cs="Arial"/>
          <w:lang w:val="es-ES"/>
        </w:rPr>
        <w:t>9.1 Los usuarios podrán solicitara la SBN o Gobiernos Regionales que han asumido las competencias de la SBN la siguiente Información: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1276" w:hanging="567"/>
        <w:jc w:val="both"/>
        <w:rPr>
          <w:rFonts w:ascii="Arial" w:eastAsia="Calibri" w:hAnsi="Arial" w:cs="Arial"/>
          <w:lang w:val="es-ES"/>
        </w:rPr>
      </w:pPr>
      <w:r w:rsidRPr="006312E8">
        <w:rPr>
          <w:rFonts w:ascii="Arial" w:eastAsia="Calibri" w:hAnsi="Arial" w:cs="Arial"/>
          <w:lang w:val="es-ES"/>
        </w:rPr>
        <w:t xml:space="preserve">a).- </w:t>
      </w:r>
      <w:r w:rsidRPr="006312E8">
        <w:rPr>
          <w:rFonts w:ascii="Arial" w:eastAsia="Calibri" w:hAnsi="Arial" w:cs="Arial"/>
          <w:lang w:val="es-ES"/>
        </w:rPr>
        <w:tab/>
        <w:t>Reporte de Registro en el SINABIP.</w:t>
      </w:r>
    </w:p>
    <w:p w:rsidR="006312E8" w:rsidRPr="006312E8" w:rsidRDefault="006312E8" w:rsidP="006312E8">
      <w:pPr>
        <w:spacing w:after="0" w:line="240" w:lineRule="auto"/>
        <w:ind w:left="1276" w:hanging="567"/>
        <w:jc w:val="both"/>
        <w:rPr>
          <w:rFonts w:ascii="Arial" w:eastAsia="Calibri" w:hAnsi="Arial" w:cs="Arial"/>
          <w:lang w:val="es-ES"/>
        </w:rPr>
      </w:pPr>
    </w:p>
    <w:p w:rsidR="006312E8" w:rsidRPr="006312E8" w:rsidRDefault="006312E8" w:rsidP="006312E8">
      <w:pPr>
        <w:spacing w:after="0" w:line="240" w:lineRule="auto"/>
        <w:ind w:left="1276" w:hanging="567"/>
        <w:jc w:val="both"/>
        <w:rPr>
          <w:rFonts w:ascii="Arial" w:eastAsia="Calibri" w:hAnsi="Arial" w:cs="Arial"/>
          <w:lang w:val="es-ES"/>
        </w:rPr>
      </w:pPr>
      <w:r w:rsidRPr="006312E8">
        <w:rPr>
          <w:rFonts w:ascii="Arial" w:eastAsia="Calibri" w:hAnsi="Arial" w:cs="Arial"/>
          <w:lang w:val="es-ES"/>
        </w:rPr>
        <w:t xml:space="preserve">b).- </w:t>
      </w:r>
      <w:r w:rsidRPr="006312E8">
        <w:rPr>
          <w:rFonts w:ascii="Arial" w:eastAsia="Calibri" w:hAnsi="Arial" w:cs="Arial"/>
          <w:lang w:val="es-ES"/>
        </w:rPr>
        <w:tab/>
        <w:t>Búsqueda catastral en la Base de Datos del SINABIP, para lo cual deberán adjuntar el plano perimétrico del área en consulta en Coordenadas UTM, Sistema de coordenadas vigente.</w:t>
      </w:r>
    </w:p>
    <w:p w:rsidR="006312E8" w:rsidRPr="006312E8" w:rsidRDefault="006312E8" w:rsidP="006312E8">
      <w:pPr>
        <w:spacing w:after="0" w:line="240" w:lineRule="auto"/>
        <w:ind w:left="1276" w:hanging="567"/>
        <w:jc w:val="both"/>
        <w:rPr>
          <w:rFonts w:ascii="Arial" w:eastAsia="Calibri" w:hAnsi="Arial" w:cs="Arial"/>
          <w:lang w:val="es-ES"/>
        </w:rPr>
      </w:pPr>
    </w:p>
    <w:p w:rsidR="006312E8" w:rsidRPr="006312E8" w:rsidRDefault="006312E8" w:rsidP="006312E8">
      <w:pPr>
        <w:spacing w:after="0" w:line="240" w:lineRule="auto"/>
        <w:ind w:left="1276" w:hanging="567"/>
        <w:jc w:val="both"/>
        <w:rPr>
          <w:rFonts w:ascii="Arial" w:eastAsia="Calibri" w:hAnsi="Arial" w:cs="Arial"/>
          <w:lang w:val="es-ES"/>
        </w:rPr>
      </w:pPr>
      <w:r w:rsidRPr="006312E8">
        <w:rPr>
          <w:rFonts w:ascii="Arial" w:eastAsia="Calibri" w:hAnsi="Arial" w:cs="Arial"/>
          <w:lang w:val="es-ES"/>
        </w:rPr>
        <w:t xml:space="preserve">b). </w:t>
      </w:r>
      <w:r w:rsidRPr="006312E8">
        <w:rPr>
          <w:rFonts w:ascii="Arial" w:eastAsia="Calibri" w:hAnsi="Arial" w:cs="Arial"/>
          <w:lang w:val="es-ES"/>
        </w:rPr>
        <w:tab/>
        <w:t>En los casos de requerimiento de información de parte de las entidades formalizadoras, se requerirá el plano perimétrico del área en consulta (Asentamiento Humano o Posesiones Informales), en coordenadas UTM.</w:t>
      </w:r>
    </w:p>
    <w:p w:rsidR="006312E8" w:rsidRPr="006312E8" w:rsidRDefault="006312E8" w:rsidP="006312E8">
      <w:pPr>
        <w:spacing w:after="0" w:line="240" w:lineRule="auto"/>
        <w:ind w:left="1276" w:hanging="567"/>
        <w:jc w:val="both"/>
        <w:rPr>
          <w:rFonts w:ascii="Arial" w:eastAsia="Calibri" w:hAnsi="Arial" w:cs="Arial"/>
          <w:lang w:val="es-ES"/>
        </w:rPr>
      </w:pPr>
    </w:p>
    <w:p w:rsidR="006312E8" w:rsidRPr="006312E8" w:rsidRDefault="006312E8" w:rsidP="006312E8">
      <w:pPr>
        <w:spacing w:after="0" w:line="240" w:lineRule="auto"/>
        <w:ind w:left="1276" w:hanging="567"/>
        <w:jc w:val="both"/>
        <w:rPr>
          <w:rFonts w:ascii="Arial" w:eastAsia="Calibri" w:hAnsi="Arial" w:cs="Arial"/>
          <w:lang w:val="es-ES"/>
        </w:rPr>
      </w:pPr>
      <w:r w:rsidRPr="006312E8">
        <w:rPr>
          <w:rFonts w:ascii="Arial" w:eastAsia="Calibri" w:hAnsi="Arial" w:cs="Arial"/>
          <w:lang w:val="es-ES"/>
        </w:rPr>
        <w:t xml:space="preserve">c).- </w:t>
      </w:r>
      <w:r w:rsidRPr="006312E8">
        <w:rPr>
          <w:rFonts w:ascii="Arial" w:eastAsia="Calibri" w:hAnsi="Arial" w:cs="Arial"/>
          <w:lang w:val="es-ES"/>
        </w:rPr>
        <w:tab/>
        <w:t>Copia simple o certificada de la documentación contenida en los legajos SINABIP; la misma que será atendida por la Oficina de Trámite Documentario.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709" w:hanging="425"/>
        <w:jc w:val="both"/>
        <w:rPr>
          <w:rFonts w:ascii="Arial" w:eastAsia="Calibri" w:hAnsi="Arial" w:cs="Arial"/>
          <w:lang w:val="es-ES"/>
        </w:rPr>
      </w:pPr>
      <w:r w:rsidRPr="006312E8">
        <w:rPr>
          <w:rFonts w:ascii="Arial" w:eastAsia="Calibri" w:hAnsi="Arial" w:cs="Arial"/>
          <w:lang w:val="es-ES"/>
        </w:rPr>
        <w:t>9 2</w:t>
      </w:r>
      <w:r w:rsidRPr="006312E8">
        <w:rPr>
          <w:rFonts w:ascii="Arial" w:eastAsia="Calibri" w:hAnsi="Arial" w:cs="Arial"/>
          <w:lang w:val="es-ES"/>
        </w:rPr>
        <w:tab/>
        <w:t>El usuario podrá solicitar a través de la Oficina de Trámite documentario, la lectura de los documentos que conforman el legajo SINABIP.</w:t>
      </w:r>
    </w:p>
    <w:p w:rsidR="006312E8" w:rsidRPr="006312E8" w:rsidRDefault="006312E8" w:rsidP="006312E8">
      <w:pPr>
        <w:spacing w:after="0" w:line="240" w:lineRule="auto"/>
        <w:ind w:left="709" w:hanging="425"/>
        <w:jc w:val="both"/>
        <w:rPr>
          <w:rFonts w:ascii="Arial" w:eastAsia="Calibri" w:hAnsi="Arial" w:cs="Arial"/>
          <w:lang w:val="es-ES"/>
        </w:rPr>
      </w:pPr>
    </w:p>
    <w:p w:rsidR="006312E8" w:rsidRPr="006312E8" w:rsidRDefault="006312E8" w:rsidP="006312E8">
      <w:pPr>
        <w:spacing w:after="0" w:line="240" w:lineRule="auto"/>
        <w:ind w:left="709" w:hanging="425"/>
        <w:jc w:val="both"/>
        <w:rPr>
          <w:rFonts w:ascii="Arial" w:eastAsia="Calibri" w:hAnsi="Arial" w:cs="Arial"/>
          <w:lang w:val="es-ES"/>
        </w:rPr>
      </w:pPr>
      <w:r w:rsidRPr="006312E8">
        <w:rPr>
          <w:rFonts w:ascii="Arial" w:eastAsia="Calibri" w:hAnsi="Arial" w:cs="Arial"/>
          <w:lang w:val="es-ES"/>
        </w:rPr>
        <w:t xml:space="preserve">9.3 </w:t>
      </w:r>
      <w:r w:rsidRPr="006312E8">
        <w:rPr>
          <w:rFonts w:ascii="Arial" w:eastAsia="Calibri" w:hAnsi="Arial" w:cs="Arial"/>
          <w:lang w:val="es-ES"/>
        </w:rPr>
        <w:tab/>
        <w:t>Los legajos solo podrán ser revisados dentro de la SBN o Gobierno Regional competente, por el usuario que lo solicite.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10. DISPOSICIONES COMPLEMENTARIAS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851" w:hanging="567"/>
        <w:jc w:val="both"/>
        <w:rPr>
          <w:rFonts w:ascii="Arial" w:eastAsia="Calibri" w:hAnsi="Arial" w:cs="Arial"/>
          <w:lang w:val="es-ES"/>
        </w:rPr>
      </w:pPr>
      <w:r w:rsidRPr="006312E8">
        <w:rPr>
          <w:rFonts w:ascii="Arial" w:eastAsia="Calibri" w:hAnsi="Arial" w:cs="Arial"/>
          <w:lang w:val="es-ES"/>
        </w:rPr>
        <w:t xml:space="preserve">10.1 </w:t>
      </w:r>
      <w:r w:rsidRPr="006312E8">
        <w:rPr>
          <w:rFonts w:ascii="Arial" w:eastAsia="Calibri" w:hAnsi="Arial" w:cs="Arial"/>
          <w:lang w:val="es-ES"/>
        </w:rPr>
        <w:tab/>
        <w:t>Se deberá tener en cuenta la Directiva 001-2008-SNCP-CNC aprobada por Resolución Nº 03-2008-SNCP-CNC de fecha 28-08-08, emitida por el Sistema Nacional Integrado de Información Catastral Predial - SNCP, para el tema de las Tolerancias Catastrales.</w:t>
      </w:r>
    </w:p>
    <w:p w:rsidR="006312E8" w:rsidRPr="006312E8" w:rsidRDefault="006312E8" w:rsidP="006312E8">
      <w:pPr>
        <w:spacing w:after="0" w:line="240" w:lineRule="auto"/>
        <w:ind w:left="851" w:hanging="567"/>
        <w:jc w:val="both"/>
        <w:rPr>
          <w:rFonts w:ascii="Arial" w:eastAsia="Calibri" w:hAnsi="Arial" w:cs="Arial"/>
          <w:lang w:val="es-ES"/>
        </w:rPr>
      </w:pPr>
    </w:p>
    <w:p w:rsidR="006312E8" w:rsidRPr="006312E8" w:rsidRDefault="006312E8" w:rsidP="006312E8">
      <w:pPr>
        <w:spacing w:after="0" w:line="240" w:lineRule="auto"/>
        <w:ind w:left="851" w:hanging="567"/>
        <w:jc w:val="both"/>
        <w:rPr>
          <w:rFonts w:ascii="Arial" w:eastAsia="Calibri" w:hAnsi="Arial" w:cs="Arial"/>
          <w:lang w:val="es-ES"/>
        </w:rPr>
      </w:pPr>
      <w:r w:rsidRPr="006312E8">
        <w:rPr>
          <w:rFonts w:ascii="Arial" w:eastAsia="Calibri" w:hAnsi="Arial" w:cs="Arial"/>
          <w:lang w:val="es-ES"/>
        </w:rPr>
        <w:t xml:space="preserve">10.2 </w:t>
      </w:r>
      <w:r w:rsidRPr="006312E8">
        <w:rPr>
          <w:rFonts w:ascii="Arial" w:eastAsia="Calibri" w:hAnsi="Arial" w:cs="Arial"/>
          <w:lang w:val="es-ES"/>
        </w:rPr>
        <w:tab/>
        <w:t>Para garantizar la modernización e integración de la información de las propiedades del Estado en el SINABIP, las entidades miembros del SNBE deberán adecuar permanentemente su tecnología para el intercambio de información.</w:t>
      </w:r>
    </w:p>
    <w:p w:rsidR="006312E8" w:rsidRPr="006312E8" w:rsidRDefault="006312E8" w:rsidP="006312E8">
      <w:pPr>
        <w:spacing w:after="0" w:line="240" w:lineRule="auto"/>
        <w:ind w:left="851" w:hanging="567"/>
        <w:jc w:val="both"/>
        <w:rPr>
          <w:rFonts w:ascii="Arial" w:eastAsia="Calibri" w:hAnsi="Arial" w:cs="Arial"/>
          <w:lang w:val="es-ES"/>
        </w:rPr>
      </w:pPr>
    </w:p>
    <w:p w:rsidR="006312E8" w:rsidRPr="006312E8" w:rsidRDefault="006312E8" w:rsidP="006312E8">
      <w:pPr>
        <w:spacing w:after="0" w:line="240" w:lineRule="auto"/>
        <w:ind w:left="851" w:hanging="567"/>
        <w:jc w:val="both"/>
        <w:rPr>
          <w:rFonts w:ascii="Arial" w:eastAsia="Calibri" w:hAnsi="Arial" w:cs="Arial"/>
          <w:lang w:val="es-ES"/>
        </w:rPr>
      </w:pPr>
      <w:r w:rsidRPr="006312E8">
        <w:rPr>
          <w:rFonts w:ascii="Arial" w:eastAsia="Calibri" w:hAnsi="Arial" w:cs="Arial"/>
          <w:lang w:val="es-ES"/>
        </w:rPr>
        <w:t xml:space="preserve">10.3 </w:t>
      </w:r>
      <w:r w:rsidRPr="006312E8">
        <w:rPr>
          <w:rFonts w:ascii="Arial" w:eastAsia="Calibri" w:hAnsi="Arial" w:cs="Arial"/>
          <w:lang w:val="es-ES"/>
        </w:rPr>
        <w:tab/>
        <w:t>El Proceso de Registro de Predios es obligatorio para el ingreso de la información al SINABIP.</w:t>
      </w:r>
    </w:p>
    <w:p w:rsidR="006312E8" w:rsidRPr="006312E8" w:rsidRDefault="006312E8" w:rsidP="006312E8">
      <w:pPr>
        <w:spacing w:after="0" w:line="240" w:lineRule="auto"/>
        <w:ind w:left="851" w:hanging="567"/>
        <w:jc w:val="both"/>
        <w:rPr>
          <w:rFonts w:ascii="Arial" w:eastAsia="Calibri" w:hAnsi="Arial" w:cs="Arial"/>
          <w:lang w:val="es-ES"/>
        </w:rPr>
      </w:pPr>
    </w:p>
    <w:p w:rsidR="006312E8" w:rsidRPr="006312E8" w:rsidRDefault="006312E8" w:rsidP="006312E8">
      <w:pPr>
        <w:spacing w:after="0" w:line="240" w:lineRule="auto"/>
        <w:ind w:left="851" w:hanging="567"/>
        <w:jc w:val="both"/>
        <w:rPr>
          <w:rFonts w:ascii="Arial" w:eastAsia="Calibri" w:hAnsi="Arial" w:cs="Arial"/>
          <w:lang w:val="es-ES"/>
        </w:rPr>
      </w:pPr>
      <w:r w:rsidRPr="006312E8">
        <w:rPr>
          <w:rFonts w:ascii="Arial" w:eastAsia="Calibri" w:hAnsi="Arial" w:cs="Arial"/>
          <w:lang w:val="es-ES"/>
        </w:rPr>
        <w:t xml:space="preserve">10.4 </w:t>
      </w:r>
      <w:r w:rsidRPr="006312E8">
        <w:rPr>
          <w:rFonts w:ascii="Arial" w:eastAsia="Calibri" w:hAnsi="Arial" w:cs="Arial"/>
          <w:lang w:val="es-ES"/>
        </w:rPr>
        <w:tab/>
        <w:t>La información que se remite por la página web (aplicativo Remisión de Información), se llevara a cabo anualmente hasta el 31 de marzo de cada año.</w:t>
      </w:r>
    </w:p>
    <w:p w:rsidR="006312E8" w:rsidRPr="006312E8" w:rsidRDefault="006312E8" w:rsidP="006312E8">
      <w:pPr>
        <w:spacing w:after="0" w:line="240" w:lineRule="auto"/>
        <w:ind w:left="851" w:hanging="567"/>
        <w:jc w:val="both"/>
        <w:rPr>
          <w:rFonts w:ascii="Arial" w:eastAsia="Calibri" w:hAnsi="Arial" w:cs="Arial"/>
          <w:lang w:val="es-ES"/>
        </w:rPr>
      </w:pPr>
    </w:p>
    <w:p w:rsidR="006312E8" w:rsidRPr="006312E8" w:rsidRDefault="006312E8" w:rsidP="006312E8">
      <w:pPr>
        <w:spacing w:after="0" w:line="240" w:lineRule="auto"/>
        <w:ind w:left="851" w:hanging="567"/>
        <w:jc w:val="both"/>
        <w:rPr>
          <w:rFonts w:ascii="Arial" w:eastAsia="Calibri" w:hAnsi="Arial" w:cs="Arial"/>
          <w:lang w:val="es-ES"/>
        </w:rPr>
      </w:pPr>
      <w:r w:rsidRPr="006312E8">
        <w:rPr>
          <w:rFonts w:ascii="Arial" w:eastAsia="Calibri" w:hAnsi="Arial" w:cs="Arial"/>
          <w:lang w:val="es-ES"/>
        </w:rPr>
        <w:t xml:space="preserve">10.5 </w:t>
      </w:r>
      <w:r w:rsidRPr="006312E8">
        <w:rPr>
          <w:rFonts w:ascii="Arial" w:eastAsia="Calibri" w:hAnsi="Arial" w:cs="Arial"/>
          <w:lang w:val="es-ES"/>
        </w:rPr>
        <w:tab/>
        <w:t>Posteriormente, el primer día útil de Junio de cada año, se pondrá a disposición de la Contraloría un listado detallando las entidades del SNBE que han incumplido la presente directiva en relación a la Remisión de Información; en cumplimiento de lo establecido en el literal e), Numeral 14.1 Artículo 14 de la Ley 29151.</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11. DISPOSICIONES TRANSITORIAS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851" w:hanging="567"/>
        <w:jc w:val="both"/>
        <w:rPr>
          <w:rFonts w:ascii="Arial" w:eastAsia="Calibri" w:hAnsi="Arial" w:cs="Arial"/>
          <w:lang w:val="es-ES"/>
        </w:rPr>
      </w:pPr>
      <w:r w:rsidRPr="006312E8">
        <w:rPr>
          <w:rFonts w:ascii="Arial" w:eastAsia="Calibri" w:hAnsi="Arial" w:cs="Arial"/>
          <w:lang w:val="es-ES"/>
        </w:rPr>
        <w:t xml:space="preserve">11.1 </w:t>
      </w:r>
      <w:r w:rsidRPr="006312E8">
        <w:rPr>
          <w:rFonts w:ascii="Arial" w:eastAsia="Calibri" w:hAnsi="Arial" w:cs="Arial"/>
          <w:lang w:val="es-ES"/>
        </w:rPr>
        <w:tab/>
        <w:t>El Flujo de información en formato digital, la generación de los legajos digitales, y su respectiva adecuación tecnológica, deberá ser implementada paulatinamente por las entidades del SNBE.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12. DISPOSICION DEROGATORIA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851" w:hanging="567"/>
        <w:jc w:val="both"/>
        <w:rPr>
          <w:rFonts w:ascii="Arial" w:eastAsia="Calibri" w:hAnsi="Arial" w:cs="Arial"/>
          <w:lang w:val="es-ES"/>
        </w:rPr>
      </w:pPr>
      <w:r w:rsidRPr="006312E8">
        <w:rPr>
          <w:rFonts w:ascii="Arial" w:eastAsia="Calibri" w:hAnsi="Arial" w:cs="Arial"/>
          <w:lang w:val="es-ES"/>
        </w:rPr>
        <w:t xml:space="preserve">12.1 </w:t>
      </w:r>
      <w:r w:rsidRPr="006312E8">
        <w:rPr>
          <w:rFonts w:ascii="Arial" w:eastAsia="Calibri" w:hAnsi="Arial" w:cs="Arial"/>
          <w:lang w:val="es-ES"/>
        </w:rPr>
        <w:tab/>
        <w:t>Derogar las Directivas Nº 001-2008-SBN, aprobada mediante Resolución Nº 004-2008-SBN, de fecha 23 de enero del 2008 y Nº 003-2008-SBN, aprobada mediante Resolución Nº 026-200-SBN de fecha 17 de marzo del 2008.</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Default="006312E8" w:rsidP="006312E8">
      <w:pPr>
        <w:spacing w:after="0" w:line="240" w:lineRule="auto"/>
        <w:jc w:val="both"/>
        <w:rPr>
          <w:rFonts w:ascii="Arial" w:eastAsia="Calibri" w:hAnsi="Arial" w:cs="Arial"/>
          <w:lang w:val="es-ES"/>
        </w:rPr>
      </w:pPr>
    </w:p>
    <w:p w:rsidR="0042148B" w:rsidRDefault="0042148B" w:rsidP="006312E8">
      <w:pPr>
        <w:spacing w:after="0" w:line="240" w:lineRule="auto"/>
        <w:jc w:val="both"/>
        <w:rPr>
          <w:rFonts w:ascii="Arial" w:eastAsia="Calibri" w:hAnsi="Arial" w:cs="Arial"/>
          <w:lang w:val="es-ES"/>
        </w:rPr>
      </w:pPr>
    </w:p>
    <w:p w:rsidR="0042148B" w:rsidRDefault="0042148B" w:rsidP="006312E8">
      <w:pPr>
        <w:spacing w:after="0" w:line="240" w:lineRule="auto"/>
        <w:jc w:val="both"/>
        <w:rPr>
          <w:rFonts w:ascii="Arial" w:eastAsia="Calibri" w:hAnsi="Arial" w:cs="Arial"/>
          <w:lang w:val="es-ES"/>
        </w:rPr>
      </w:pPr>
    </w:p>
    <w:p w:rsidR="0042148B" w:rsidRDefault="0042148B" w:rsidP="006312E8">
      <w:pPr>
        <w:spacing w:after="0" w:line="240" w:lineRule="auto"/>
        <w:jc w:val="both"/>
        <w:rPr>
          <w:rFonts w:ascii="Arial" w:eastAsia="Calibri" w:hAnsi="Arial" w:cs="Arial"/>
          <w:lang w:val="es-ES"/>
        </w:rPr>
      </w:pPr>
    </w:p>
    <w:p w:rsidR="0042148B" w:rsidRDefault="0042148B" w:rsidP="006312E8">
      <w:pPr>
        <w:spacing w:after="0" w:line="240" w:lineRule="auto"/>
        <w:jc w:val="both"/>
        <w:rPr>
          <w:rFonts w:ascii="Arial" w:eastAsia="Calibri" w:hAnsi="Arial" w:cs="Arial"/>
          <w:lang w:val="es-ES"/>
        </w:rPr>
      </w:pPr>
    </w:p>
    <w:p w:rsidR="0042148B" w:rsidRDefault="0042148B" w:rsidP="006312E8">
      <w:pPr>
        <w:spacing w:after="0" w:line="240" w:lineRule="auto"/>
        <w:jc w:val="both"/>
        <w:rPr>
          <w:rFonts w:ascii="Arial" w:eastAsia="Calibri" w:hAnsi="Arial" w:cs="Arial"/>
          <w:lang w:val="es-ES"/>
        </w:rPr>
      </w:pPr>
    </w:p>
    <w:p w:rsidR="001F2812" w:rsidRPr="006312E8" w:rsidRDefault="001F2812" w:rsidP="001F2812">
      <w:pPr>
        <w:spacing w:after="0" w:line="240" w:lineRule="auto"/>
        <w:contextualSpacing/>
        <w:jc w:val="center"/>
        <w:rPr>
          <w:rFonts w:ascii="Arial" w:eastAsia="Calibri" w:hAnsi="Arial" w:cs="Arial"/>
          <w:b/>
          <w:sz w:val="28"/>
          <w:szCs w:val="28"/>
          <w:lang w:val="es-ES"/>
        </w:rPr>
      </w:pPr>
      <w:r>
        <w:rPr>
          <w:rFonts w:ascii="Arial" w:eastAsia="Calibri" w:hAnsi="Arial" w:cs="Arial"/>
          <w:b/>
          <w:sz w:val="28"/>
          <w:szCs w:val="28"/>
          <w:lang w:val="es-ES"/>
        </w:rPr>
        <w:t>RESOLUCION Nº 059</w:t>
      </w:r>
      <w:r w:rsidRPr="006312E8">
        <w:rPr>
          <w:rFonts w:ascii="Arial" w:eastAsia="Calibri" w:hAnsi="Arial" w:cs="Arial"/>
          <w:b/>
          <w:sz w:val="28"/>
          <w:szCs w:val="28"/>
          <w:lang w:val="es-ES"/>
        </w:rPr>
        <w:t>-201</w:t>
      </w:r>
      <w:r>
        <w:rPr>
          <w:rFonts w:ascii="Arial" w:eastAsia="Calibri" w:hAnsi="Arial" w:cs="Arial"/>
          <w:b/>
          <w:sz w:val="28"/>
          <w:szCs w:val="28"/>
          <w:lang w:val="es-ES"/>
        </w:rPr>
        <w:t>6/</w:t>
      </w:r>
      <w:r w:rsidRPr="006312E8">
        <w:rPr>
          <w:rFonts w:ascii="Arial" w:eastAsia="Calibri" w:hAnsi="Arial" w:cs="Arial"/>
          <w:b/>
          <w:sz w:val="28"/>
          <w:szCs w:val="28"/>
          <w:lang w:val="es-ES"/>
        </w:rPr>
        <w:t>SBN</w:t>
      </w:r>
    </w:p>
    <w:p w:rsidR="001F2812" w:rsidRPr="006312E8" w:rsidRDefault="001F2812" w:rsidP="001F2812">
      <w:pPr>
        <w:spacing w:after="0" w:line="240" w:lineRule="auto"/>
        <w:contextualSpacing/>
        <w:jc w:val="both"/>
        <w:rPr>
          <w:rFonts w:ascii="Arial" w:eastAsia="Calibri" w:hAnsi="Arial" w:cs="Arial"/>
          <w:lang w:val="es-ES"/>
        </w:rPr>
      </w:pPr>
    </w:p>
    <w:p w:rsidR="001F2812" w:rsidRPr="006312E8" w:rsidRDefault="001F2812" w:rsidP="001F2812">
      <w:pPr>
        <w:spacing w:after="0" w:line="240" w:lineRule="auto"/>
        <w:contextualSpacing/>
        <w:jc w:val="center"/>
        <w:rPr>
          <w:rFonts w:ascii="Arial" w:eastAsia="Calibri" w:hAnsi="Arial" w:cs="Arial"/>
          <w:b/>
          <w:lang w:val="es-ES"/>
        </w:rPr>
      </w:pPr>
      <w:r w:rsidRPr="006312E8">
        <w:rPr>
          <w:rFonts w:ascii="Arial" w:eastAsia="Calibri" w:hAnsi="Arial" w:cs="Arial"/>
          <w:b/>
          <w:lang w:val="es-ES"/>
        </w:rPr>
        <w:t xml:space="preserve">Aprueban </w:t>
      </w:r>
      <w:r>
        <w:rPr>
          <w:rFonts w:ascii="Arial" w:eastAsia="Calibri" w:hAnsi="Arial" w:cs="Arial"/>
          <w:b/>
          <w:lang w:val="es-ES"/>
        </w:rPr>
        <w:t xml:space="preserve">la </w:t>
      </w:r>
      <w:r w:rsidRPr="006312E8">
        <w:rPr>
          <w:rFonts w:ascii="Arial" w:eastAsia="Calibri" w:hAnsi="Arial" w:cs="Arial"/>
          <w:b/>
          <w:lang w:val="es-ES"/>
        </w:rPr>
        <w:t>Directiva</w:t>
      </w:r>
      <w:r>
        <w:rPr>
          <w:rFonts w:ascii="Arial" w:eastAsia="Calibri" w:hAnsi="Arial" w:cs="Arial"/>
          <w:b/>
          <w:lang w:val="es-ES"/>
        </w:rPr>
        <w:t xml:space="preserve"> N° 004-2016/SBN, denominada</w:t>
      </w:r>
      <w:r w:rsidRPr="006312E8">
        <w:rPr>
          <w:rFonts w:ascii="Arial" w:eastAsia="Calibri" w:hAnsi="Arial" w:cs="Arial"/>
          <w:b/>
          <w:lang w:val="es-ES"/>
        </w:rPr>
        <w:t xml:space="preserve"> “</w:t>
      </w:r>
      <w:r>
        <w:rPr>
          <w:rFonts w:ascii="Arial" w:eastAsia="Calibri" w:hAnsi="Arial" w:cs="Arial"/>
          <w:b/>
          <w:lang w:val="es-ES"/>
        </w:rPr>
        <w:t>Lineamientos para la asignación del código único en el sistema nacional de bienes estatales</w:t>
      </w:r>
      <w:r w:rsidRPr="006312E8">
        <w:rPr>
          <w:rFonts w:ascii="Arial" w:eastAsia="Calibri" w:hAnsi="Arial" w:cs="Arial"/>
          <w:b/>
          <w:lang w:val="es-ES"/>
        </w:rPr>
        <w:t>”</w:t>
      </w:r>
    </w:p>
    <w:p w:rsidR="001F2812" w:rsidRPr="006312E8" w:rsidRDefault="001F2812" w:rsidP="001F2812">
      <w:pPr>
        <w:spacing w:after="0" w:line="240" w:lineRule="auto"/>
        <w:ind w:left="720"/>
        <w:contextualSpacing/>
        <w:jc w:val="both"/>
        <w:rPr>
          <w:rFonts w:ascii="Arial" w:eastAsia="Calibri" w:hAnsi="Arial" w:cs="Arial"/>
          <w:lang w:val="es-ES"/>
        </w:rPr>
      </w:pPr>
    </w:p>
    <w:p w:rsidR="001F2812" w:rsidRPr="006312E8" w:rsidRDefault="001F2812" w:rsidP="001F2812">
      <w:pPr>
        <w:spacing w:after="0" w:line="240" w:lineRule="auto"/>
        <w:contextualSpacing/>
        <w:jc w:val="right"/>
        <w:rPr>
          <w:rFonts w:ascii="Arial" w:eastAsia="Calibri" w:hAnsi="Arial" w:cs="Arial"/>
          <w:b/>
          <w:lang w:val="es-ES"/>
        </w:rPr>
      </w:pPr>
      <w:r w:rsidRPr="006312E8">
        <w:rPr>
          <w:rFonts w:ascii="Arial" w:eastAsia="Calibri" w:hAnsi="Arial" w:cs="Arial"/>
          <w:b/>
          <w:lang w:val="es-ES"/>
        </w:rPr>
        <w:t>Fecha de publicación</w:t>
      </w:r>
      <w:r>
        <w:rPr>
          <w:rFonts w:ascii="Arial" w:eastAsia="Calibri" w:hAnsi="Arial" w:cs="Arial"/>
          <w:b/>
          <w:lang w:val="es-ES"/>
        </w:rPr>
        <w:t>:</w:t>
      </w:r>
      <w:r w:rsidRPr="006312E8">
        <w:rPr>
          <w:rFonts w:ascii="Arial" w:eastAsia="Calibri" w:hAnsi="Arial" w:cs="Arial"/>
          <w:b/>
          <w:lang w:val="es-ES"/>
        </w:rPr>
        <w:t xml:space="preserve"> </w:t>
      </w:r>
      <w:r>
        <w:rPr>
          <w:rFonts w:ascii="Arial" w:eastAsia="Calibri" w:hAnsi="Arial" w:cs="Arial"/>
          <w:b/>
          <w:lang w:val="es-ES"/>
        </w:rPr>
        <w:t>17</w:t>
      </w:r>
      <w:r w:rsidRPr="006312E8">
        <w:rPr>
          <w:rFonts w:ascii="Arial" w:eastAsia="Calibri" w:hAnsi="Arial" w:cs="Arial"/>
          <w:b/>
          <w:lang w:val="es-ES"/>
        </w:rPr>
        <w:t>-0</w:t>
      </w:r>
      <w:r>
        <w:rPr>
          <w:rFonts w:ascii="Arial" w:eastAsia="Calibri" w:hAnsi="Arial" w:cs="Arial"/>
          <w:b/>
          <w:lang w:val="es-ES"/>
        </w:rPr>
        <w:t>8</w:t>
      </w:r>
      <w:r w:rsidRPr="006312E8">
        <w:rPr>
          <w:rFonts w:ascii="Arial" w:eastAsia="Calibri" w:hAnsi="Arial" w:cs="Arial"/>
          <w:b/>
          <w:lang w:val="es-ES"/>
        </w:rPr>
        <w:t>-201</w:t>
      </w:r>
      <w:r>
        <w:rPr>
          <w:rFonts w:ascii="Arial" w:eastAsia="Calibri" w:hAnsi="Arial" w:cs="Arial"/>
          <w:b/>
          <w:lang w:val="es-ES"/>
        </w:rPr>
        <w:t>6</w:t>
      </w:r>
    </w:p>
    <w:p w:rsidR="001F2812" w:rsidRPr="006312E8" w:rsidRDefault="001F2812" w:rsidP="001F2812">
      <w:pPr>
        <w:spacing w:after="0" w:line="240" w:lineRule="auto"/>
        <w:contextualSpacing/>
        <w:jc w:val="both"/>
        <w:rPr>
          <w:rFonts w:ascii="Arial" w:eastAsia="Calibri" w:hAnsi="Arial" w:cs="Arial"/>
          <w:lang w:val="es-ES"/>
        </w:rPr>
      </w:pPr>
    </w:p>
    <w:p w:rsidR="001F2812" w:rsidRPr="0066746D" w:rsidRDefault="001F2812" w:rsidP="001F2812">
      <w:pPr>
        <w:spacing w:after="0" w:line="240" w:lineRule="auto"/>
        <w:contextualSpacing/>
        <w:jc w:val="both"/>
        <w:rPr>
          <w:rFonts w:ascii="Arial" w:eastAsia="Calibri" w:hAnsi="Arial" w:cs="Arial"/>
          <w:lang w:val="es-ES"/>
        </w:rPr>
      </w:pPr>
      <w:r w:rsidRPr="0066746D">
        <w:rPr>
          <w:rFonts w:ascii="Arial" w:eastAsia="Calibri" w:hAnsi="Arial" w:cs="Arial"/>
          <w:lang w:val="es-ES"/>
        </w:rPr>
        <w:t xml:space="preserve">San Isidro, </w:t>
      </w:r>
      <w:r>
        <w:rPr>
          <w:rFonts w:ascii="Arial" w:eastAsia="Calibri" w:hAnsi="Arial" w:cs="Arial"/>
          <w:lang w:val="es-ES"/>
        </w:rPr>
        <w:t>15</w:t>
      </w:r>
      <w:r w:rsidRPr="0066746D">
        <w:rPr>
          <w:rFonts w:ascii="Arial" w:eastAsia="Calibri" w:hAnsi="Arial" w:cs="Arial"/>
          <w:lang w:val="es-ES"/>
        </w:rPr>
        <w:t xml:space="preserve"> de </w:t>
      </w:r>
      <w:r>
        <w:rPr>
          <w:rFonts w:ascii="Arial" w:eastAsia="Calibri" w:hAnsi="Arial" w:cs="Arial"/>
          <w:lang w:val="es-ES"/>
        </w:rPr>
        <w:t>agosto</w:t>
      </w:r>
      <w:r w:rsidRPr="0066746D">
        <w:rPr>
          <w:rFonts w:ascii="Arial" w:eastAsia="Calibri" w:hAnsi="Arial" w:cs="Arial"/>
          <w:lang w:val="es-ES"/>
        </w:rPr>
        <w:t xml:space="preserve"> de 2016</w:t>
      </w:r>
    </w:p>
    <w:p w:rsidR="001F2812" w:rsidRPr="006312E8" w:rsidRDefault="001F2812" w:rsidP="001F2812">
      <w:pPr>
        <w:spacing w:after="0" w:line="240" w:lineRule="auto"/>
        <w:contextualSpacing/>
        <w:jc w:val="both"/>
        <w:rPr>
          <w:rFonts w:ascii="Arial" w:eastAsia="Calibri" w:hAnsi="Arial" w:cs="Arial"/>
          <w:b/>
          <w:lang w:val="es-ES"/>
        </w:rPr>
      </w:pPr>
    </w:p>
    <w:p w:rsidR="001F2812" w:rsidRPr="0082444B" w:rsidRDefault="001F2812" w:rsidP="001F2812">
      <w:pPr>
        <w:spacing w:after="0" w:line="240" w:lineRule="auto"/>
        <w:contextualSpacing/>
        <w:jc w:val="both"/>
        <w:rPr>
          <w:rFonts w:ascii="Arial" w:eastAsia="Calibri" w:hAnsi="Arial" w:cs="Arial"/>
          <w:b/>
          <w:lang w:val="es-ES"/>
        </w:rPr>
      </w:pPr>
      <w:r w:rsidRPr="0082444B">
        <w:rPr>
          <w:rFonts w:ascii="Arial" w:eastAsia="Calibri" w:hAnsi="Arial" w:cs="Arial"/>
          <w:b/>
          <w:lang w:val="es-ES"/>
        </w:rPr>
        <w:t>VISTO:</w:t>
      </w:r>
    </w:p>
    <w:p w:rsidR="001F2812" w:rsidRPr="0082444B" w:rsidRDefault="001F2812" w:rsidP="001F2812">
      <w:pPr>
        <w:spacing w:after="0" w:line="240" w:lineRule="auto"/>
        <w:contextualSpacing/>
        <w:jc w:val="both"/>
        <w:rPr>
          <w:rFonts w:ascii="Arial" w:eastAsia="Calibri" w:hAnsi="Arial" w:cs="Arial"/>
          <w:lang w:val="es-ES"/>
        </w:rPr>
      </w:pPr>
      <w:r>
        <w:rPr>
          <w:rFonts w:ascii="Arial" w:eastAsia="Calibri" w:hAnsi="Arial" w:cs="Arial"/>
          <w:lang w:val="es-ES"/>
        </w:rPr>
        <w:t>El Informe Especial N° 006732016-SBN-OPP-VPRS de fecha 12 de agosto de 2016 emitido por la Especialista en Planeamiento y Modernización de la Oficina de Planeamiento y Presupuesto y el Informe N° 026-20167SBN-DNR-SDNC de fecha 12 de agosto de 2016 emitido por la Subdirección de Registro y catastro de la Dirección de Normas y Capacitación, y;</w:t>
      </w:r>
    </w:p>
    <w:p w:rsidR="001F2812" w:rsidRPr="0082444B" w:rsidRDefault="001F2812" w:rsidP="001F2812">
      <w:pPr>
        <w:spacing w:after="0" w:line="240" w:lineRule="auto"/>
        <w:contextualSpacing/>
        <w:jc w:val="both"/>
        <w:rPr>
          <w:rFonts w:ascii="Arial" w:eastAsia="Calibri" w:hAnsi="Arial" w:cs="Arial"/>
          <w:b/>
          <w:lang w:val="es-ES"/>
        </w:rPr>
      </w:pPr>
    </w:p>
    <w:p w:rsidR="001F2812" w:rsidRPr="0082444B" w:rsidRDefault="001F2812" w:rsidP="001F2812">
      <w:pPr>
        <w:spacing w:after="0" w:line="240" w:lineRule="auto"/>
        <w:contextualSpacing/>
        <w:jc w:val="both"/>
        <w:rPr>
          <w:rFonts w:ascii="Arial" w:eastAsia="Calibri" w:hAnsi="Arial" w:cs="Arial"/>
          <w:b/>
          <w:lang w:val="es-ES"/>
        </w:rPr>
      </w:pPr>
      <w:r w:rsidRPr="0082444B">
        <w:rPr>
          <w:rFonts w:ascii="Arial" w:eastAsia="Calibri" w:hAnsi="Arial" w:cs="Arial"/>
          <w:b/>
          <w:lang w:val="es-ES"/>
        </w:rPr>
        <w:t xml:space="preserve"> CONSIDERANDO:</w:t>
      </w:r>
    </w:p>
    <w:p w:rsidR="001F2812" w:rsidRPr="0082444B" w:rsidRDefault="001F2812" w:rsidP="001F2812">
      <w:pPr>
        <w:spacing w:after="0" w:line="240" w:lineRule="auto"/>
        <w:contextualSpacing/>
        <w:jc w:val="both"/>
        <w:rPr>
          <w:rFonts w:ascii="Arial" w:eastAsia="Calibri" w:hAnsi="Arial" w:cs="Arial"/>
          <w:b/>
          <w:lang w:val="es-ES"/>
        </w:rPr>
      </w:pPr>
    </w:p>
    <w:p w:rsidR="001F2812" w:rsidRPr="0082444B" w:rsidRDefault="001F2812" w:rsidP="001F2812">
      <w:pPr>
        <w:spacing w:after="0" w:line="240" w:lineRule="auto"/>
        <w:contextualSpacing/>
        <w:jc w:val="both"/>
        <w:rPr>
          <w:rFonts w:ascii="Arial" w:eastAsia="Calibri" w:hAnsi="Arial" w:cs="Arial"/>
          <w:lang w:val="es-ES"/>
        </w:rPr>
      </w:pPr>
      <w:r w:rsidRPr="0082444B">
        <w:rPr>
          <w:rFonts w:ascii="Arial" w:eastAsia="Calibri" w:hAnsi="Arial" w:cs="Arial"/>
          <w:lang w:val="es-ES"/>
        </w:rPr>
        <w:t>Que, la Superintendencia Nacional de Bienes Estatales (SBN) es un organismo público ejecutor, adscrito al Ministerio de Vivienda, Construcción y Saneamiento, y el Ente Rector del Sistema Nacional de Bienes Estatales (SNBE), responsable de normar los actos de adquisición, disposición, administración y supervisión de los bienes estatales, así como de ejecutar dichos actos respecto de los bienes cuya administración está a su cargo, de acuerdo a la normatividad vigente, gozando de autonomía económica, presupuestal, financiera, técnica y funcional, de conformidad a lo establecido en la Ley Nº 29151, Ley General del Sistema Nacional de Bienes Estatales y su Reglamento, aprobado por el Decreto Supremo Nº 007-2008-VIVIENDA;</w:t>
      </w:r>
    </w:p>
    <w:p w:rsidR="001F2812" w:rsidRPr="0082444B" w:rsidRDefault="001F2812" w:rsidP="001F2812">
      <w:pPr>
        <w:spacing w:after="0" w:line="240" w:lineRule="auto"/>
        <w:contextualSpacing/>
        <w:jc w:val="both"/>
        <w:rPr>
          <w:rFonts w:ascii="Arial" w:eastAsia="Calibri" w:hAnsi="Arial" w:cs="Arial"/>
          <w:lang w:val="es-ES"/>
        </w:rPr>
      </w:pPr>
    </w:p>
    <w:p w:rsidR="001F2812" w:rsidRDefault="001F2812" w:rsidP="001F2812">
      <w:pPr>
        <w:spacing w:after="0" w:line="240" w:lineRule="auto"/>
        <w:contextualSpacing/>
        <w:jc w:val="both"/>
        <w:rPr>
          <w:rFonts w:ascii="Arial" w:eastAsia="Calibri" w:hAnsi="Arial" w:cs="Arial"/>
          <w:lang w:val="es-ES"/>
        </w:rPr>
      </w:pPr>
      <w:r w:rsidRPr="0082444B">
        <w:rPr>
          <w:rFonts w:ascii="Arial" w:eastAsia="Calibri" w:hAnsi="Arial" w:cs="Arial"/>
          <w:lang w:val="es-ES"/>
        </w:rPr>
        <w:t>Que, el literal b) del numeral 14.1 del artículo 14º de la citada Ley, concordante con el literal a) del numeral 9.1 del artículo 9° de su Reglamento, aprobado por el Decreto Supremo N° 007-2008-VIVIENDA, señalan que la SBN, en calidad de ente rector del SNBE, tiene la función de expedir directivas o disposiciones legales, entre otros, sobre los actos de disposición de bienes estatales, de cumplimiento obligatorio por parte de las entidades que conforman el SNBE;</w:t>
      </w:r>
    </w:p>
    <w:p w:rsidR="001F2812" w:rsidRDefault="001F2812" w:rsidP="001F2812">
      <w:pPr>
        <w:spacing w:after="0" w:line="240" w:lineRule="auto"/>
        <w:contextualSpacing/>
        <w:jc w:val="both"/>
        <w:rPr>
          <w:rFonts w:ascii="Arial" w:eastAsia="Calibri" w:hAnsi="Arial" w:cs="Arial"/>
          <w:lang w:val="es-ES"/>
        </w:rPr>
      </w:pPr>
    </w:p>
    <w:p w:rsidR="001F2812" w:rsidRDefault="001F2812" w:rsidP="001F2812">
      <w:pPr>
        <w:spacing w:after="0" w:line="240" w:lineRule="auto"/>
        <w:contextualSpacing/>
        <w:jc w:val="both"/>
        <w:rPr>
          <w:rFonts w:ascii="Arial" w:eastAsia="Calibri" w:hAnsi="Arial" w:cs="Arial"/>
          <w:lang w:val="es-ES"/>
        </w:rPr>
      </w:pPr>
      <w:r>
        <w:rPr>
          <w:rFonts w:ascii="Arial" w:eastAsia="Calibri" w:hAnsi="Arial" w:cs="Arial"/>
          <w:lang w:val="es-ES"/>
        </w:rPr>
        <w:t>Que, el inciso e) del numeral 14.1 del artículo 14 de la Ley N° 29151, Ley General del Sistema Nacional de Bienes Estatales, establece como una de las funciones de la SBN la de administrar el Sistema de Información Nacional de Bienes Estatales – SINABIP como un registro único obligatorio con la información que, de manera obligatoria, deben remitir todas las entidades públicas, respecto de los bienes estatales;</w:t>
      </w:r>
    </w:p>
    <w:p w:rsidR="00DF54A8" w:rsidRDefault="00DF54A8" w:rsidP="001F2812">
      <w:pPr>
        <w:spacing w:after="0" w:line="240" w:lineRule="auto"/>
        <w:contextualSpacing/>
        <w:jc w:val="both"/>
        <w:rPr>
          <w:rFonts w:ascii="Arial" w:eastAsia="Calibri" w:hAnsi="Arial" w:cs="Arial"/>
          <w:lang w:val="es-ES"/>
        </w:rPr>
      </w:pPr>
    </w:p>
    <w:p w:rsidR="00DF54A8" w:rsidRDefault="00DF54A8" w:rsidP="001F2812">
      <w:pPr>
        <w:spacing w:after="0" w:line="240" w:lineRule="auto"/>
        <w:contextualSpacing/>
        <w:jc w:val="both"/>
        <w:rPr>
          <w:rFonts w:ascii="Arial" w:eastAsia="Calibri" w:hAnsi="Arial" w:cs="Arial"/>
          <w:lang w:val="es-ES"/>
        </w:rPr>
      </w:pPr>
      <w:r>
        <w:rPr>
          <w:rFonts w:ascii="Arial" w:eastAsia="Calibri" w:hAnsi="Arial" w:cs="Arial"/>
          <w:lang w:val="es-ES"/>
        </w:rPr>
        <w:t>Que, de otro lado, el artículo 11 de la Ley N° 29151, dispone que las entidades que conforman el Sistema Nacional de Bienes Estatales realizarán los actos de adquisición, administración, disposición, registro y supervisión de los bienes estatales, de acuerdo con lo dispuesto por la mencionada Ley y su Reglamento:</w:t>
      </w:r>
    </w:p>
    <w:p w:rsidR="00DF54A8" w:rsidRDefault="00DF54A8" w:rsidP="001F2812">
      <w:pPr>
        <w:spacing w:after="0" w:line="240" w:lineRule="auto"/>
        <w:contextualSpacing/>
        <w:jc w:val="both"/>
        <w:rPr>
          <w:rFonts w:ascii="Arial" w:eastAsia="Calibri" w:hAnsi="Arial" w:cs="Arial"/>
          <w:lang w:val="es-ES"/>
        </w:rPr>
      </w:pPr>
    </w:p>
    <w:p w:rsidR="00DF54A8" w:rsidRDefault="00DF54A8" w:rsidP="001F2812">
      <w:pPr>
        <w:spacing w:after="0" w:line="240" w:lineRule="auto"/>
        <w:contextualSpacing/>
        <w:jc w:val="both"/>
        <w:rPr>
          <w:rFonts w:ascii="Arial" w:eastAsia="Calibri" w:hAnsi="Arial" w:cs="Arial"/>
          <w:lang w:val="es-ES"/>
        </w:rPr>
      </w:pPr>
      <w:r>
        <w:rPr>
          <w:rFonts w:ascii="Arial" w:eastAsia="Calibri" w:hAnsi="Arial" w:cs="Arial"/>
          <w:lang w:val="es-ES"/>
        </w:rPr>
        <w:t>Que, los literales a), b), c), y d) del numeral 9.5 del artículo 9 del Decreto Supremo N° 007-2008-VIVIENDA, reglamento de la Ley N° 29151, establece como parte de las atribuciones y funciones del ente Rector la de organizar y conducir el SINABIP que contiene el registro administrativo de carácter único y obligatorio de los bienes estatales, registrar y/o actualizar en el SINABIP la información que de forma obligatoria remitan las entidades sobre los bienes estatales, bajo su competencia directa, administrar la información contenida en el SINABIP y brindar información contenida en el SINABIP a las entidades que así lo soliciten y a los particulares con las limitaciones establecidas en la Ley N° 27806, Ley de Transparencia y Acceso a la Información Pública.</w:t>
      </w:r>
    </w:p>
    <w:p w:rsidR="00DF54A8" w:rsidRDefault="00DF54A8" w:rsidP="001F2812">
      <w:pPr>
        <w:spacing w:after="0" w:line="240" w:lineRule="auto"/>
        <w:contextualSpacing/>
        <w:jc w:val="both"/>
        <w:rPr>
          <w:rFonts w:ascii="Arial" w:eastAsia="Calibri" w:hAnsi="Arial" w:cs="Arial"/>
          <w:lang w:val="es-ES"/>
        </w:rPr>
      </w:pPr>
    </w:p>
    <w:p w:rsidR="00DF54A8" w:rsidRDefault="00DF54A8" w:rsidP="001F2812">
      <w:pPr>
        <w:spacing w:after="0" w:line="240" w:lineRule="auto"/>
        <w:contextualSpacing/>
        <w:jc w:val="both"/>
        <w:rPr>
          <w:rFonts w:ascii="Arial" w:eastAsia="Calibri" w:hAnsi="Arial" w:cs="Arial"/>
          <w:lang w:val="es-ES"/>
        </w:rPr>
      </w:pPr>
      <w:r>
        <w:rPr>
          <w:rFonts w:ascii="Arial" w:eastAsia="Calibri" w:hAnsi="Arial" w:cs="Arial"/>
          <w:lang w:val="es-ES"/>
        </w:rPr>
        <w:t>Que, asimismo, el artículo 21 del mencionado Reglamento, dispone que el registro comprende el ingreso de la información en el SINABIP por parte de todas las entidades, asignándole un Código Único Correlativo a nivel nacional de acuerdo a lo dispuesto por las directivas que emita el Ente Rector.</w:t>
      </w:r>
    </w:p>
    <w:p w:rsidR="00DF54A8" w:rsidRDefault="00DF54A8" w:rsidP="001F2812">
      <w:pPr>
        <w:spacing w:after="0" w:line="240" w:lineRule="auto"/>
        <w:contextualSpacing/>
        <w:jc w:val="both"/>
        <w:rPr>
          <w:rFonts w:ascii="Arial" w:eastAsia="Calibri" w:hAnsi="Arial" w:cs="Arial"/>
          <w:lang w:val="es-ES"/>
        </w:rPr>
      </w:pPr>
    </w:p>
    <w:p w:rsidR="00DF54A8" w:rsidRDefault="00DF54A8" w:rsidP="001F2812">
      <w:pPr>
        <w:spacing w:after="0" w:line="240" w:lineRule="auto"/>
        <w:contextualSpacing/>
        <w:jc w:val="both"/>
        <w:rPr>
          <w:rFonts w:ascii="Arial" w:eastAsia="Calibri" w:hAnsi="Arial" w:cs="Arial"/>
          <w:lang w:val="es-ES"/>
        </w:rPr>
      </w:pPr>
      <w:r>
        <w:rPr>
          <w:rFonts w:ascii="Arial" w:eastAsia="Calibri" w:hAnsi="Arial" w:cs="Arial"/>
          <w:lang w:val="es-ES"/>
        </w:rPr>
        <w:t>Que, mediante documentos de vistos, la Subdirección de Registro y Catastro de la Dirección de Normas y Registro de la SBN propone la aprobación de la directiva denominada</w:t>
      </w:r>
      <w:r w:rsidRPr="00DF54A8">
        <w:rPr>
          <w:rFonts w:ascii="Arial" w:eastAsia="Calibri" w:hAnsi="Arial" w:cs="Arial"/>
          <w:lang w:val="es-ES"/>
        </w:rPr>
        <w:t xml:space="preserve"> “Lineamientos para la asignación del código único en el sistema nacional de bienes estatales”</w:t>
      </w:r>
      <w:r>
        <w:rPr>
          <w:rFonts w:ascii="Arial" w:eastAsia="Calibri" w:hAnsi="Arial" w:cs="Arial"/>
          <w:lang w:val="es-ES"/>
        </w:rPr>
        <w:t>, que tiene por objeto definir y uniformizar el procedimiento técnico para la asignación y actualización de los Códigos Únicos SINABIP- CUS en el Registro del Sistema de Información Nacional de Bienes Estatales – SINABIP.</w:t>
      </w:r>
    </w:p>
    <w:p w:rsidR="00DF54A8" w:rsidRDefault="00DF54A8" w:rsidP="001F2812">
      <w:pPr>
        <w:spacing w:after="0" w:line="240" w:lineRule="auto"/>
        <w:contextualSpacing/>
        <w:jc w:val="both"/>
        <w:rPr>
          <w:rFonts w:ascii="Arial" w:eastAsia="Calibri" w:hAnsi="Arial" w:cs="Arial"/>
          <w:lang w:val="es-ES"/>
        </w:rPr>
      </w:pPr>
    </w:p>
    <w:p w:rsidR="00DF54A8" w:rsidRDefault="00DF54A8" w:rsidP="001F2812">
      <w:pPr>
        <w:spacing w:after="0" w:line="240" w:lineRule="auto"/>
        <w:contextualSpacing/>
        <w:jc w:val="both"/>
        <w:rPr>
          <w:rFonts w:ascii="Arial" w:eastAsia="Calibri" w:hAnsi="Arial" w:cs="Arial"/>
          <w:lang w:val="es-ES"/>
        </w:rPr>
      </w:pPr>
      <w:r>
        <w:rPr>
          <w:rFonts w:ascii="Arial" w:eastAsia="Calibri" w:hAnsi="Arial" w:cs="Arial"/>
          <w:lang w:val="es-ES"/>
        </w:rPr>
        <w:t>Que, la Directiva mencionada en el párrafo precedente, recoge las propuestas normativas de los órganos y unidades orgánicas dela Superintendencia Nacional de Bienes Estatales – SBN involucradas en el procedimiento para la asignación de los Códigos Únicos SINABIP-CUS.</w:t>
      </w:r>
    </w:p>
    <w:p w:rsidR="00DF54A8" w:rsidRDefault="00DF54A8" w:rsidP="001F2812">
      <w:pPr>
        <w:spacing w:after="0" w:line="240" w:lineRule="auto"/>
        <w:contextualSpacing/>
        <w:jc w:val="both"/>
        <w:rPr>
          <w:rFonts w:ascii="Arial" w:eastAsia="Calibri" w:hAnsi="Arial" w:cs="Arial"/>
          <w:lang w:val="es-ES"/>
        </w:rPr>
      </w:pPr>
    </w:p>
    <w:p w:rsidR="00DF54A8" w:rsidRPr="0082444B" w:rsidRDefault="00DF54A8" w:rsidP="001F2812">
      <w:pPr>
        <w:spacing w:after="0" w:line="240" w:lineRule="auto"/>
        <w:contextualSpacing/>
        <w:jc w:val="both"/>
        <w:rPr>
          <w:rFonts w:ascii="Arial" w:eastAsia="Calibri" w:hAnsi="Arial" w:cs="Arial"/>
          <w:lang w:val="es-ES"/>
        </w:rPr>
      </w:pPr>
      <w:r>
        <w:rPr>
          <w:rFonts w:ascii="Arial" w:eastAsia="Calibri" w:hAnsi="Arial" w:cs="Arial"/>
          <w:lang w:val="es-ES"/>
        </w:rPr>
        <w:t xml:space="preserve">Que, en tal sentido, resulta necesario aprobar la directiva que regula los </w:t>
      </w:r>
      <w:r w:rsidR="0075594F">
        <w:rPr>
          <w:rFonts w:ascii="Arial" w:eastAsia="Calibri" w:hAnsi="Arial" w:cs="Arial"/>
          <w:lang w:val="es-ES"/>
        </w:rPr>
        <w:t>“</w:t>
      </w:r>
      <w:r w:rsidRPr="00DF54A8">
        <w:rPr>
          <w:rFonts w:ascii="Arial" w:eastAsia="Calibri" w:hAnsi="Arial" w:cs="Arial"/>
          <w:lang w:val="es-ES"/>
        </w:rPr>
        <w:t>Lineamientos para la asignación del código único en el sistema nacional de bienes estatales”</w:t>
      </w:r>
      <w:r w:rsidR="0075594F">
        <w:rPr>
          <w:rFonts w:ascii="Arial" w:eastAsia="Calibri" w:hAnsi="Arial" w:cs="Arial"/>
          <w:lang w:val="es-ES"/>
        </w:rPr>
        <w:t>, a fin de ordenar el procedimiento para la asignación de los CUS a los bienes inmuebles estatales, respecto de los actos que desarrollan las entidades públicas propietarias o administradoras que conforma el SNBE, en el marco de la función de administración del SINABIP que ostenta la SBN;</w:t>
      </w:r>
    </w:p>
    <w:p w:rsidR="001F2812" w:rsidRPr="0082444B" w:rsidRDefault="001F2812" w:rsidP="001F2812">
      <w:pPr>
        <w:spacing w:after="0" w:line="240" w:lineRule="auto"/>
        <w:contextualSpacing/>
        <w:jc w:val="both"/>
        <w:rPr>
          <w:rFonts w:ascii="Arial" w:eastAsia="Calibri" w:hAnsi="Arial" w:cs="Arial"/>
          <w:lang w:val="es-ES"/>
        </w:rPr>
      </w:pPr>
    </w:p>
    <w:p w:rsidR="001F2812" w:rsidRPr="0082444B" w:rsidRDefault="001F2812" w:rsidP="001F2812">
      <w:pPr>
        <w:spacing w:after="0" w:line="240" w:lineRule="auto"/>
        <w:contextualSpacing/>
        <w:jc w:val="both"/>
        <w:rPr>
          <w:rFonts w:ascii="Arial" w:eastAsia="Calibri" w:hAnsi="Arial" w:cs="Arial"/>
          <w:lang w:val="es-ES"/>
        </w:rPr>
      </w:pPr>
      <w:r w:rsidRPr="0082444B">
        <w:rPr>
          <w:rFonts w:ascii="Arial" w:eastAsia="Calibri" w:hAnsi="Arial" w:cs="Arial"/>
          <w:lang w:val="es-ES"/>
        </w:rPr>
        <w:t xml:space="preserve">Con los visados de la Secretaría General, la Oficina de Planeamiento y Presupuesto, la Oficina de Asesoría Jurídica, la Dirección de Normas y Registro, la Dirección de Gestión del Patrimonio Estatal; y, </w:t>
      </w:r>
    </w:p>
    <w:p w:rsidR="001F2812" w:rsidRPr="0082444B" w:rsidRDefault="001F2812" w:rsidP="001F2812">
      <w:pPr>
        <w:spacing w:after="0" w:line="240" w:lineRule="auto"/>
        <w:contextualSpacing/>
        <w:jc w:val="both"/>
        <w:rPr>
          <w:rFonts w:ascii="Arial" w:eastAsia="Calibri" w:hAnsi="Arial" w:cs="Arial"/>
          <w:lang w:val="es-ES"/>
        </w:rPr>
      </w:pPr>
    </w:p>
    <w:p w:rsidR="001F2812" w:rsidRPr="0082444B" w:rsidRDefault="001F2812" w:rsidP="001F2812">
      <w:pPr>
        <w:spacing w:after="0" w:line="240" w:lineRule="auto"/>
        <w:contextualSpacing/>
        <w:jc w:val="both"/>
        <w:rPr>
          <w:rFonts w:ascii="Arial" w:eastAsia="Calibri" w:hAnsi="Arial" w:cs="Arial"/>
          <w:b/>
          <w:lang w:val="es-ES"/>
        </w:rPr>
      </w:pPr>
      <w:r w:rsidRPr="0082444B">
        <w:rPr>
          <w:rFonts w:ascii="Arial" w:eastAsia="Calibri" w:hAnsi="Arial" w:cs="Arial"/>
          <w:lang w:val="es-ES"/>
        </w:rPr>
        <w:t>De conformidad con lo establecido en el literal b) del numeral 14.1 del artículo 14 de la Ley N° 29151, Ley General del Sistema Nacional de Bienes Estatales, el literal a) del numeral 9.1 del artículo 9 del Reglamento de la Ley N° 29151, aprobado por el Decreto Supremo N° 007-2008-VIVIENDA, modificado por el Decreto Supremo N° 013-2012-VIVIENDA; y en uso de las atribuciones conferidas en los literales b) y r) del artículo 11 del Reglamento de Organización y Funciones de la Superintendencia Nacional</w:t>
      </w:r>
      <w:r w:rsidRPr="0082444B">
        <w:rPr>
          <w:rFonts w:ascii="Arial" w:eastAsia="Calibri" w:hAnsi="Arial" w:cs="Arial"/>
          <w:b/>
          <w:lang w:val="es-ES"/>
        </w:rPr>
        <w:t xml:space="preserve"> </w:t>
      </w:r>
      <w:r w:rsidRPr="0066746D">
        <w:rPr>
          <w:rFonts w:ascii="Arial" w:eastAsia="Calibri" w:hAnsi="Arial" w:cs="Arial"/>
          <w:lang w:val="es-ES"/>
        </w:rPr>
        <w:t>de Bienes Estatales – SBN, aprobado por el Decreto Supremo N° 016-2010-VIVIENDA;</w:t>
      </w:r>
    </w:p>
    <w:p w:rsidR="001F2812" w:rsidRPr="0082444B" w:rsidRDefault="001F2812" w:rsidP="001F2812">
      <w:pPr>
        <w:spacing w:after="0" w:line="240" w:lineRule="auto"/>
        <w:contextualSpacing/>
        <w:jc w:val="both"/>
        <w:rPr>
          <w:rFonts w:ascii="Arial" w:eastAsia="Calibri" w:hAnsi="Arial" w:cs="Arial"/>
          <w:b/>
          <w:lang w:val="es-ES"/>
        </w:rPr>
      </w:pPr>
    </w:p>
    <w:p w:rsidR="001F2812" w:rsidRPr="0082444B" w:rsidRDefault="001F2812" w:rsidP="001F2812">
      <w:pPr>
        <w:spacing w:after="0" w:line="240" w:lineRule="auto"/>
        <w:contextualSpacing/>
        <w:jc w:val="both"/>
        <w:rPr>
          <w:rFonts w:ascii="Arial" w:eastAsia="Calibri" w:hAnsi="Arial" w:cs="Arial"/>
          <w:b/>
          <w:lang w:val="es-ES"/>
        </w:rPr>
      </w:pPr>
    </w:p>
    <w:p w:rsidR="001F2812" w:rsidRPr="0082444B" w:rsidRDefault="001F2812" w:rsidP="001F2812">
      <w:pPr>
        <w:spacing w:after="0" w:line="240" w:lineRule="auto"/>
        <w:contextualSpacing/>
        <w:jc w:val="both"/>
        <w:rPr>
          <w:rFonts w:ascii="Arial" w:eastAsia="Calibri" w:hAnsi="Arial" w:cs="Arial"/>
          <w:b/>
          <w:lang w:val="es-ES"/>
        </w:rPr>
      </w:pPr>
      <w:r w:rsidRPr="0082444B">
        <w:rPr>
          <w:rFonts w:ascii="Arial" w:eastAsia="Calibri" w:hAnsi="Arial" w:cs="Arial"/>
          <w:b/>
          <w:lang w:val="es-ES"/>
        </w:rPr>
        <w:t>SE RESUELVE:</w:t>
      </w:r>
    </w:p>
    <w:p w:rsidR="001F2812" w:rsidRPr="0082444B" w:rsidRDefault="001F2812" w:rsidP="001F2812">
      <w:pPr>
        <w:spacing w:after="0" w:line="240" w:lineRule="auto"/>
        <w:contextualSpacing/>
        <w:jc w:val="both"/>
        <w:rPr>
          <w:rFonts w:ascii="Arial" w:eastAsia="Calibri" w:hAnsi="Arial" w:cs="Arial"/>
          <w:b/>
          <w:lang w:val="es-ES"/>
        </w:rPr>
      </w:pPr>
    </w:p>
    <w:p w:rsidR="001F2812" w:rsidRPr="0082444B" w:rsidRDefault="001F2812" w:rsidP="001F2812">
      <w:pPr>
        <w:spacing w:after="0" w:line="240" w:lineRule="auto"/>
        <w:contextualSpacing/>
        <w:jc w:val="both"/>
        <w:rPr>
          <w:rFonts w:ascii="Arial" w:eastAsia="Calibri" w:hAnsi="Arial" w:cs="Arial"/>
          <w:b/>
          <w:lang w:val="es-ES"/>
        </w:rPr>
      </w:pPr>
      <w:r w:rsidRPr="0082444B">
        <w:rPr>
          <w:rFonts w:ascii="Arial" w:eastAsia="Calibri" w:hAnsi="Arial" w:cs="Arial"/>
          <w:b/>
          <w:lang w:val="es-ES"/>
        </w:rPr>
        <w:t xml:space="preserve">Artículo 1º.- </w:t>
      </w:r>
      <w:r w:rsidRPr="0082444B">
        <w:rPr>
          <w:rFonts w:ascii="Arial" w:eastAsia="Calibri" w:hAnsi="Arial" w:cs="Arial"/>
          <w:lang w:val="es-ES"/>
        </w:rPr>
        <w:t xml:space="preserve">Aprobar la Directiva Nº </w:t>
      </w:r>
      <w:r w:rsidR="0075594F">
        <w:rPr>
          <w:rFonts w:ascii="Arial" w:eastAsia="Calibri" w:hAnsi="Arial" w:cs="Arial"/>
          <w:lang w:val="es-ES"/>
        </w:rPr>
        <w:t>004</w:t>
      </w:r>
      <w:r w:rsidRPr="0082444B">
        <w:rPr>
          <w:rFonts w:ascii="Arial" w:eastAsia="Calibri" w:hAnsi="Arial" w:cs="Arial"/>
          <w:lang w:val="es-ES"/>
        </w:rPr>
        <w:t xml:space="preserve">-2016/SBN denominada </w:t>
      </w:r>
      <w:r w:rsidR="0075594F" w:rsidRPr="0075594F">
        <w:rPr>
          <w:rFonts w:ascii="Arial" w:eastAsia="Calibri" w:hAnsi="Arial" w:cs="Arial"/>
          <w:lang w:val="es-ES"/>
        </w:rPr>
        <w:t>“Lineamientos para la asignación del código único en el sistema nacional de bienes estatales”</w:t>
      </w:r>
      <w:r w:rsidRPr="0082444B">
        <w:rPr>
          <w:rFonts w:ascii="Arial" w:eastAsia="Calibri" w:hAnsi="Arial" w:cs="Arial"/>
          <w:lang w:val="es-ES"/>
        </w:rPr>
        <w:t>.</w:t>
      </w:r>
    </w:p>
    <w:p w:rsidR="001F2812" w:rsidRPr="0082444B" w:rsidRDefault="001F2812" w:rsidP="001F2812">
      <w:pPr>
        <w:spacing w:after="0" w:line="240" w:lineRule="auto"/>
        <w:contextualSpacing/>
        <w:jc w:val="both"/>
        <w:rPr>
          <w:rFonts w:ascii="Arial" w:eastAsia="Calibri" w:hAnsi="Arial" w:cs="Arial"/>
          <w:b/>
          <w:lang w:val="es-ES"/>
        </w:rPr>
      </w:pPr>
    </w:p>
    <w:p w:rsidR="001F2812" w:rsidRPr="0082444B" w:rsidRDefault="001F2812" w:rsidP="001F2812">
      <w:pPr>
        <w:spacing w:after="0" w:line="240" w:lineRule="auto"/>
        <w:contextualSpacing/>
        <w:jc w:val="both"/>
        <w:rPr>
          <w:rFonts w:ascii="Arial" w:eastAsia="Calibri" w:hAnsi="Arial" w:cs="Arial"/>
          <w:lang w:val="es-ES"/>
        </w:rPr>
      </w:pPr>
      <w:r w:rsidRPr="0082444B">
        <w:rPr>
          <w:rFonts w:ascii="Arial" w:eastAsia="Calibri" w:hAnsi="Arial" w:cs="Arial"/>
          <w:b/>
          <w:lang w:val="es-ES"/>
        </w:rPr>
        <w:t xml:space="preserve">Artículo 2º.-  </w:t>
      </w:r>
      <w:r w:rsidRPr="0082444B">
        <w:rPr>
          <w:rFonts w:ascii="Arial" w:eastAsia="Calibri" w:hAnsi="Arial" w:cs="Arial"/>
          <w:lang w:val="es-ES"/>
        </w:rPr>
        <w:t>Derogar la Directiva Nº 004-2013-SBN, denominada “Procedimientos para la venta mediante subasta pública de predios de dominio privado del Estado de libre disponibilidad”, aprobada por la Resolución N° 065-2013-SBN.</w:t>
      </w:r>
    </w:p>
    <w:p w:rsidR="001F2812" w:rsidRPr="0082444B" w:rsidRDefault="001F2812" w:rsidP="001F2812">
      <w:pPr>
        <w:spacing w:after="0" w:line="240" w:lineRule="auto"/>
        <w:contextualSpacing/>
        <w:jc w:val="both"/>
        <w:rPr>
          <w:rFonts w:ascii="Arial" w:eastAsia="Calibri" w:hAnsi="Arial" w:cs="Arial"/>
          <w:b/>
          <w:lang w:val="es-ES"/>
        </w:rPr>
      </w:pPr>
    </w:p>
    <w:p w:rsidR="001F2812" w:rsidRPr="0082444B" w:rsidRDefault="001F2812" w:rsidP="001F2812">
      <w:pPr>
        <w:spacing w:after="0" w:line="240" w:lineRule="auto"/>
        <w:contextualSpacing/>
        <w:jc w:val="both"/>
        <w:rPr>
          <w:rFonts w:ascii="Arial" w:eastAsia="Calibri" w:hAnsi="Arial" w:cs="Arial"/>
          <w:b/>
          <w:lang w:val="es-ES"/>
        </w:rPr>
      </w:pPr>
      <w:r w:rsidRPr="0082444B">
        <w:rPr>
          <w:rFonts w:ascii="Arial" w:eastAsia="Calibri" w:hAnsi="Arial" w:cs="Arial"/>
          <w:b/>
          <w:lang w:val="es-ES"/>
        </w:rPr>
        <w:t>Artículo 3º.-</w:t>
      </w:r>
      <w:r w:rsidRPr="0082444B">
        <w:rPr>
          <w:rFonts w:ascii="Arial" w:eastAsia="Calibri" w:hAnsi="Arial" w:cs="Arial"/>
          <w:lang w:val="es-ES"/>
        </w:rPr>
        <w:t xml:space="preserve"> Las disposiciones de la Directiva N°</w:t>
      </w:r>
      <w:r>
        <w:rPr>
          <w:rFonts w:ascii="Arial" w:eastAsia="Calibri" w:hAnsi="Arial" w:cs="Arial"/>
          <w:lang w:val="es-ES"/>
        </w:rPr>
        <w:t xml:space="preserve"> 001</w:t>
      </w:r>
      <w:r w:rsidRPr="0082444B">
        <w:rPr>
          <w:rFonts w:ascii="Arial" w:eastAsia="Calibri" w:hAnsi="Arial" w:cs="Arial"/>
          <w:lang w:val="es-ES"/>
        </w:rPr>
        <w:t xml:space="preserve">-2016/SBN, entrarán en vigencia a partir del día siguiente de la publicación de la presente resolución en el Diario Oficial El Peruano. </w:t>
      </w:r>
    </w:p>
    <w:p w:rsidR="001F2812" w:rsidRPr="0082444B" w:rsidRDefault="001F2812" w:rsidP="001F2812">
      <w:pPr>
        <w:spacing w:after="0" w:line="240" w:lineRule="auto"/>
        <w:contextualSpacing/>
        <w:jc w:val="both"/>
        <w:rPr>
          <w:rFonts w:ascii="Arial" w:eastAsia="Calibri" w:hAnsi="Arial" w:cs="Arial"/>
          <w:b/>
          <w:lang w:val="es-ES"/>
        </w:rPr>
      </w:pPr>
    </w:p>
    <w:p w:rsidR="001F2812" w:rsidRPr="0082444B" w:rsidRDefault="001F2812" w:rsidP="001F2812">
      <w:pPr>
        <w:spacing w:after="0" w:line="240" w:lineRule="auto"/>
        <w:contextualSpacing/>
        <w:jc w:val="both"/>
        <w:rPr>
          <w:rFonts w:ascii="Arial" w:eastAsia="Calibri" w:hAnsi="Arial" w:cs="Arial"/>
          <w:lang w:val="es-ES"/>
        </w:rPr>
      </w:pPr>
      <w:r w:rsidRPr="0082444B">
        <w:rPr>
          <w:rFonts w:ascii="Arial" w:eastAsia="Calibri" w:hAnsi="Arial" w:cs="Arial"/>
          <w:b/>
          <w:lang w:val="es-ES"/>
        </w:rPr>
        <w:t xml:space="preserve">Artículo 4º.- </w:t>
      </w:r>
      <w:r w:rsidRPr="0082444B">
        <w:rPr>
          <w:rFonts w:ascii="Arial" w:eastAsia="Calibri" w:hAnsi="Arial" w:cs="Arial"/>
          <w:lang w:val="es-ES"/>
        </w:rPr>
        <w:t>Encargar a la Oficina de Administración y Finanzas la publicación de la Directiva N°</w:t>
      </w:r>
      <w:r>
        <w:rPr>
          <w:rFonts w:ascii="Arial" w:eastAsia="Calibri" w:hAnsi="Arial" w:cs="Arial"/>
          <w:lang w:val="es-ES"/>
        </w:rPr>
        <w:t xml:space="preserve"> 001</w:t>
      </w:r>
      <w:r w:rsidRPr="0082444B">
        <w:rPr>
          <w:rFonts w:ascii="Arial" w:eastAsia="Calibri" w:hAnsi="Arial" w:cs="Arial"/>
          <w:lang w:val="es-ES"/>
        </w:rPr>
        <w:t>-2016/SBN y la presente Resolución en la página web (www.sbn.gob.pe) y en la intranet institucional.</w:t>
      </w:r>
    </w:p>
    <w:p w:rsidR="001F2812" w:rsidRPr="0082444B" w:rsidRDefault="001F2812" w:rsidP="001F2812">
      <w:pPr>
        <w:spacing w:after="0" w:line="240" w:lineRule="auto"/>
        <w:contextualSpacing/>
        <w:jc w:val="both"/>
        <w:rPr>
          <w:rFonts w:ascii="Arial" w:eastAsia="Calibri" w:hAnsi="Arial" w:cs="Arial"/>
          <w:lang w:val="es-ES"/>
        </w:rPr>
      </w:pPr>
    </w:p>
    <w:p w:rsidR="001F2812" w:rsidRPr="0082444B" w:rsidRDefault="001F2812" w:rsidP="001F2812">
      <w:pPr>
        <w:spacing w:after="0" w:line="240" w:lineRule="auto"/>
        <w:contextualSpacing/>
        <w:jc w:val="both"/>
        <w:rPr>
          <w:rFonts w:ascii="Arial" w:eastAsia="Calibri" w:hAnsi="Arial" w:cs="Arial"/>
          <w:lang w:val="es-ES"/>
        </w:rPr>
      </w:pPr>
      <w:r w:rsidRPr="0082444B">
        <w:rPr>
          <w:rFonts w:ascii="Arial" w:eastAsia="Calibri" w:hAnsi="Arial" w:cs="Arial"/>
          <w:lang w:val="es-ES"/>
        </w:rPr>
        <w:t>Regístrese, comuníquese y publíquese.</w:t>
      </w:r>
    </w:p>
    <w:p w:rsidR="001F2812" w:rsidRPr="006312E8" w:rsidRDefault="001F2812" w:rsidP="001F2812">
      <w:pPr>
        <w:spacing w:after="0" w:line="240" w:lineRule="auto"/>
        <w:contextualSpacing/>
        <w:jc w:val="both"/>
        <w:rPr>
          <w:rFonts w:ascii="Arial" w:eastAsia="Calibri" w:hAnsi="Arial" w:cs="Arial"/>
          <w:lang w:val="es-ES"/>
        </w:rPr>
      </w:pPr>
    </w:p>
    <w:p w:rsidR="001F2812" w:rsidRPr="006312E8" w:rsidRDefault="001F2812" w:rsidP="001F2812">
      <w:pPr>
        <w:spacing w:after="0" w:line="240" w:lineRule="auto"/>
        <w:contextualSpacing/>
        <w:jc w:val="both"/>
        <w:rPr>
          <w:rFonts w:ascii="Arial" w:eastAsia="Calibri" w:hAnsi="Arial" w:cs="Arial"/>
          <w:b/>
          <w:lang w:val="es-ES"/>
        </w:rPr>
      </w:pPr>
      <w:r w:rsidRPr="006312E8">
        <w:rPr>
          <w:rFonts w:ascii="Arial" w:eastAsia="Calibri" w:hAnsi="Arial" w:cs="Arial"/>
          <w:lang w:val="es-ES"/>
        </w:rPr>
        <w:tab/>
      </w:r>
      <w:r>
        <w:rPr>
          <w:rFonts w:ascii="Arial" w:eastAsia="Calibri" w:hAnsi="Arial" w:cs="Arial"/>
          <w:b/>
          <w:lang w:val="es-ES"/>
        </w:rPr>
        <w:t>JOSÉ LUIS PAIRAZAMAN TORRES</w:t>
      </w:r>
    </w:p>
    <w:p w:rsidR="001F2812" w:rsidRPr="006312E8" w:rsidRDefault="001F2812" w:rsidP="001F2812">
      <w:pPr>
        <w:spacing w:after="0" w:line="240" w:lineRule="auto"/>
        <w:contextualSpacing/>
        <w:jc w:val="both"/>
        <w:rPr>
          <w:rFonts w:ascii="Arial" w:eastAsia="Calibri" w:hAnsi="Arial" w:cs="Arial"/>
          <w:lang w:val="es-ES"/>
        </w:rPr>
      </w:pPr>
      <w:r w:rsidRPr="006312E8">
        <w:rPr>
          <w:rFonts w:ascii="Arial" w:eastAsia="Calibri" w:hAnsi="Arial" w:cs="Arial"/>
          <w:b/>
          <w:lang w:val="es-ES"/>
        </w:rPr>
        <w:tab/>
      </w:r>
      <w:r w:rsidRPr="006312E8">
        <w:rPr>
          <w:rFonts w:ascii="Arial" w:eastAsia="Calibri" w:hAnsi="Arial" w:cs="Arial"/>
          <w:lang w:val="es-ES"/>
        </w:rPr>
        <w:t>Superintendente</w:t>
      </w:r>
    </w:p>
    <w:p w:rsidR="0042148B" w:rsidRDefault="0042148B" w:rsidP="0042148B">
      <w:pPr>
        <w:widowControl w:val="0"/>
        <w:suppressAutoHyphens/>
        <w:spacing w:after="0" w:line="240" w:lineRule="auto"/>
        <w:ind w:left="554"/>
        <w:jc w:val="both"/>
        <w:rPr>
          <w:rFonts w:ascii="Arial" w:eastAsia="Lucida Sans Unicode" w:hAnsi="Arial" w:cs="Arial"/>
          <w:b/>
          <w:sz w:val="20"/>
          <w:szCs w:val="20"/>
          <w:lang w:eastAsia="es-ES"/>
        </w:rPr>
      </w:pPr>
    </w:p>
    <w:p w:rsidR="0075594F" w:rsidRDefault="0075594F" w:rsidP="0042148B">
      <w:pPr>
        <w:widowControl w:val="0"/>
        <w:suppressAutoHyphens/>
        <w:spacing w:after="0" w:line="240" w:lineRule="auto"/>
        <w:ind w:left="554"/>
        <w:jc w:val="both"/>
        <w:rPr>
          <w:rFonts w:ascii="Arial" w:eastAsia="Lucida Sans Unicode" w:hAnsi="Arial" w:cs="Arial"/>
          <w:b/>
          <w:sz w:val="20"/>
          <w:szCs w:val="20"/>
          <w:lang w:eastAsia="es-ES"/>
        </w:rPr>
      </w:pPr>
    </w:p>
    <w:p w:rsidR="0075594F" w:rsidRDefault="0075594F" w:rsidP="0042148B">
      <w:pPr>
        <w:widowControl w:val="0"/>
        <w:suppressAutoHyphens/>
        <w:spacing w:after="0" w:line="240" w:lineRule="auto"/>
        <w:ind w:left="554"/>
        <w:jc w:val="both"/>
        <w:rPr>
          <w:rFonts w:ascii="Arial" w:eastAsia="Lucida Sans Unicode" w:hAnsi="Arial" w:cs="Arial"/>
          <w:b/>
          <w:sz w:val="20"/>
          <w:szCs w:val="20"/>
          <w:lang w:eastAsia="es-ES"/>
        </w:rPr>
      </w:pPr>
    </w:p>
    <w:p w:rsidR="0075594F" w:rsidRDefault="0075594F" w:rsidP="0042148B">
      <w:pPr>
        <w:widowControl w:val="0"/>
        <w:suppressAutoHyphens/>
        <w:spacing w:after="0" w:line="240" w:lineRule="auto"/>
        <w:ind w:left="554"/>
        <w:jc w:val="both"/>
        <w:rPr>
          <w:rFonts w:ascii="Arial" w:eastAsia="Lucida Sans Unicode" w:hAnsi="Arial" w:cs="Arial"/>
          <w:b/>
          <w:sz w:val="20"/>
          <w:szCs w:val="20"/>
          <w:lang w:eastAsia="es-ES"/>
        </w:rPr>
      </w:pPr>
    </w:p>
    <w:p w:rsidR="0075594F" w:rsidRDefault="0075594F" w:rsidP="0042148B">
      <w:pPr>
        <w:widowControl w:val="0"/>
        <w:suppressAutoHyphens/>
        <w:spacing w:after="0" w:line="240" w:lineRule="auto"/>
        <w:ind w:left="554"/>
        <w:jc w:val="both"/>
        <w:rPr>
          <w:rFonts w:ascii="Arial" w:eastAsia="Lucida Sans Unicode" w:hAnsi="Arial" w:cs="Arial"/>
          <w:b/>
          <w:sz w:val="20"/>
          <w:szCs w:val="20"/>
          <w:lang w:eastAsia="es-ES"/>
        </w:rPr>
      </w:pPr>
    </w:p>
    <w:p w:rsidR="0075594F" w:rsidRDefault="0075594F" w:rsidP="0042148B">
      <w:pPr>
        <w:widowControl w:val="0"/>
        <w:suppressAutoHyphens/>
        <w:spacing w:after="0" w:line="240" w:lineRule="auto"/>
        <w:ind w:left="554"/>
        <w:jc w:val="both"/>
        <w:rPr>
          <w:rFonts w:ascii="Arial" w:eastAsia="Lucida Sans Unicode" w:hAnsi="Arial" w:cs="Arial"/>
          <w:b/>
          <w:sz w:val="20"/>
          <w:szCs w:val="20"/>
          <w:lang w:eastAsia="es-ES"/>
        </w:rPr>
      </w:pPr>
    </w:p>
    <w:p w:rsidR="0075594F" w:rsidRDefault="0075594F" w:rsidP="0042148B">
      <w:pPr>
        <w:widowControl w:val="0"/>
        <w:suppressAutoHyphens/>
        <w:spacing w:after="0" w:line="240" w:lineRule="auto"/>
        <w:ind w:left="554"/>
        <w:jc w:val="both"/>
        <w:rPr>
          <w:rFonts w:ascii="Arial" w:eastAsia="Lucida Sans Unicode" w:hAnsi="Arial" w:cs="Arial"/>
          <w:b/>
          <w:sz w:val="20"/>
          <w:szCs w:val="20"/>
          <w:lang w:eastAsia="es-ES"/>
        </w:rPr>
      </w:pPr>
    </w:p>
    <w:p w:rsidR="0075594F" w:rsidRDefault="0075594F" w:rsidP="0042148B">
      <w:pPr>
        <w:widowControl w:val="0"/>
        <w:suppressAutoHyphens/>
        <w:spacing w:after="0" w:line="240" w:lineRule="auto"/>
        <w:ind w:left="554"/>
        <w:jc w:val="both"/>
        <w:rPr>
          <w:rFonts w:ascii="Arial" w:eastAsia="Lucida Sans Unicode" w:hAnsi="Arial" w:cs="Arial"/>
          <w:b/>
          <w:sz w:val="20"/>
          <w:szCs w:val="20"/>
          <w:lang w:eastAsia="es-ES"/>
        </w:rPr>
      </w:pPr>
    </w:p>
    <w:p w:rsidR="0075594F" w:rsidRPr="0075594F" w:rsidRDefault="0075594F" w:rsidP="0042148B">
      <w:pPr>
        <w:widowControl w:val="0"/>
        <w:suppressAutoHyphens/>
        <w:spacing w:after="0" w:line="240" w:lineRule="auto"/>
        <w:ind w:left="554"/>
        <w:jc w:val="both"/>
        <w:rPr>
          <w:rFonts w:ascii="Arial" w:eastAsia="Lucida Sans Unicode" w:hAnsi="Arial" w:cs="Arial"/>
          <w:b/>
          <w:sz w:val="20"/>
          <w:szCs w:val="20"/>
          <w:lang w:eastAsia="es-ES"/>
        </w:rPr>
      </w:pPr>
    </w:p>
    <w:p w:rsidR="0075594F" w:rsidRPr="006312E8" w:rsidRDefault="0075594F" w:rsidP="0075594F">
      <w:pPr>
        <w:pStyle w:val="TITO2"/>
      </w:pPr>
      <w:bookmarkStart w:id="222" w:name="_Toc470855529"/>
      <w:r>
        <w:t>DIRECTIVA Nº 004</w:t>
      </w:r>
      <w:r w:rsidRPr="006312E8">
        <w:t>-20</w:t>
      </w:r>
      <w:r>
        <w:t>16</w:t>
      </w:r>
      <w:r w:rsidRPr="006312E8">
        <w:t>/SBN</w:t>
      </w:r>
      <w:bookmarkEnd w:id="222"/>
    </w:p>
    <w:p w:rsidR="0075594F" w:rsidRPr="006312E8" w:rsidRDefault="0075594F" w:rsidP="0075594F">
      <w:pPr>
        <w:spacing w:after="0" w:line="240" w:lineRule="auto"/>
        <w:jc w:val="center"/>
        <w:rPr>
          <w:rFonts w:ascii="Arial" w:eastAsia="Calibri" w:hAnsi="Arial" w:cs="Arial"/>
          <w:b/>
          <w:lang w:val="es-ES"/>
        </w:rPr>
      </w:pPr>
      <w:r>
        <w:rPr>
          <w:rFonts w:ascii="Arial" w:eastAsia="Calibri" w:hAnsi="Arial" w:cs="Arial"/>
          <w:b/>
          <w:lang w:val="es-ES"/>
        </w:rPr>
        <w:t>LINEAMIENTOS PARA LA ASIGNACIÓN DEL CÓDIGO ÚNICO EN EL SISTEMA DE INFORMACIÓN NACIONAL DE BIENES ESTATALES</w:t>
      </w:r>
    </w:p>
    <w:p w:rsidR="0042148B" w:rsidRPr="0075594F" w:rsidRDefault="0042148B" w:rsidP="0042148B">
      <w:pPr>
        <w:widowControl w:val="0"/>
        <w:suppressAutoHyphens/>
        <w:spacing w:after="0" w:line="240" w:lineRule="auto"/>
        <w:ind w:left="554"/>
        <w:jc w:val="both"/>
        <w:rPr>
          <w:rFonts w:ascii="Arial" w:eastAsia="Lucida Sans Unicode" w:hAnsi="Arial" w:cs="Arial"/>
          <w:b/>
          <w:sz w:val="20"/>
          <w:szCs w:val="20"/>
          <w:lang w:val="es-ES" w:eastAsia="es-ES"/>
        </w:rPr>
      </w:pPr>
    </w:p>
    <w:p w:rsidR="0042148B" w:rsidRPr="0075594F" w:rsidRDefault="0042148B" w:rsidP="0092471C">
      <w:pPr>
        <w:widowControl w:val="0"/>
        <w:numPr>
          <w:ilvl w:val="0"/>
          <w:numId w:val="310"/>
        </w:numPr>
        <w:suppressAutoHyphens/>
        <w:spacing w:after="0" w:line="240" w:lineRule="auto"/>
        <w:ind w:left="554" w:hanging="284"/>
        <w:jc w:val="both"/>
        <w:rPr>
          <w:rFonts w:ascii="Arial" w:eastAsia="Lucida Sans Unicode" w:hAnsi="Arial" w:cs="Arial"/>
          <w:b/>
          <w:lang w:val="es-ES_tradnl" w:eastAsia="es-ES"/>
        </w:rPr>
      </w:pPr>
      <w:r w:rsidRPr="0075594F">
        <w:rPr>
          <w:rFonts w:ascii="Arial" w:eastAsia="Lucida Sans Unicode" w:hAnsi="Arial" w:cs="Arial"/>
          <w:b/>
          <w:lang w:val="es-ES_tradnl" w:eastAsia="es-ES"/>
        </w:rPr>
        <w:t>FINALIDAD:</w:t>
      </w:r>
    </w:p>
    <w:p w:rsidR="0042148B" w:rsidRPr="0075594F" w:rsidRDefault="0042148B" w:rsidP="0042148B">
      <w:pPr>
        <w:spacing w:after="0" w:line="240" w:lineRule="auto"/>
        <w:ind w:left="554" w:right="139"/>
        <w:jc w:val="both"/>
        <w:rPr>
          <w:rFonts w:ascii="Arial" w:eastAsia="Times New Roman" w:hAnsi="Arial" w:cs="Arial"/>
          <w:lang w:val="es-ES" w:eastAsia="es-ES"/>
        </w:rPr>
      </w:pPr>
    </w:p>
    <w:p w:rsidR="0042148B" w:rsidRPr="0075594F" w:rsidRDefault="0042148B" w:rsidP="0042148B">
      <w:pPr>
        <w:spacing w:after="0" w:line="240" w:lineRule="auto"/>
        <w:ind w:left="554" w:right="139"/>
        <w:jc w:val="both"/>
        <w:rPr>
          <w:rFonts w:ascii="Arial" w:eastAsia="Times New Roman" w:hAnsi="Arial" w:cs="Arial"/>
          <w:lang w:val="es-ES" w:eastAsia="es-ES"/>
        </w:rPr>
      </w:pPr>
      <w:r w:rsidRPr="0075594F">
        <w:rPr>
          <w:rFonts w:ascii="Arial" w:eastAsia="Times New Roman" w:hAnsi="Arial" w:cs="Arial"/>
          <w:lang w:val="es-ES" w:eastAsia="es-ES"/>
        </w:rPr>
        <w:t>Ordenar el procedimiento para la asignación de los CUS a los bienes inmuebles estatales, respecto de los actos que desarrollan las entidades públicas propietarias o administradoras que conforma el SNBE, en el marco de la función de administración del SINABIP que ostenta la SBN.</w:t>
      </w:r>
    </w:p>
    <w:p w:rsidR="0042148B" w:rsidRPr="0075594F" w:rsidRDefault="0042148B" w:rsidP="0042148B">
      <w:pPr>
        <w:spacing w:after="0" w:line="240" w:lineRule="auto"/>
        <w:ind w:left="554" w:right="139"/>
        <w:jc w:val="both"/>
        <w:rPr>
          <w:rFonts w:ascii="Arial" w:eastAsia="Times New Roman" w:hAnsi="Arial" w:cs="Arial"/>
          <w:b/>
          <w:lang w:val="es-ES" w:eastAsia="es-ES"/>
        </w:rPr>
      </w:pPr>
    </w:p>
    <w:p w:rsidR="0042148B" w:rsidRPr="0075594F" w:rsidRDefault="0042148B" w:rsidP="0092471C">
      <w:pPr>
        <w:widowControl w:val="0"/>
        <w:numPr>
          <w:ilvl w:val="0"/>
          <w:numId w:val="310"/>
        </w:numPr>
        <w:suppressAutoHyphens/>
        <w:spacing w:after="0" w:line="240" w:lineRule="auto"/>
        <w:ind w:left="554" w:hanging="284"/>
        <w:jc w:val="both"/>
        <w:rPr>
          <w:rFonts w:ascii="Arial" w:eastAsia="Lucida Sans Unicode" w:hAnsi="Arial" w:cs="Arial"/>
          <w:b/>
          <w:lang w:val="es-ES_tradnl" w:eastAsia="es-ES"/>
        </w:rPr>
      </w:pPr>
      <w:r w:rsidRPr="0075594F">
        <w:rPr>
          <w:rFonts w:ascii="Arial" w:eastAsia="Lucida Sans Unicode" w:hAnsi="Arial" w:cs="Arial"/>
          <w:b/>
          <w:lang w:val="es-ES_tradnl" w:eastAsia="es-ES"/>
        </w:rPr>
        <w:t>OBJETO:</w:t>
      </w:r>
    </w:p>
    <w:p w:rsidR="0042148B" w:rsidRPr="0075594F" w:rsidRDefault="0042148B" w:rsidP="0042148B">
      <w:pPr>
        <w:spacing w:after="0" w:line="240" w:lineRule="auto"/>
        <w:ind w:left="554" w:right="139"/>
        <w:jc w:val="both"/>
        <w:rPr>
          <w:rFonts w:ascii="Arial" w:eastAsia="Times New Roman" w:hAnsi="Arial" w:cs="Arial"/>
          <w:lang w:val="es-ES" w:eastAsia="es-ES"/>
        </w:rPr>
      </w:pPr>
      <w:r w:rsidRPr="0075594F">
        <w:rPr>
          <w:rFonts w:ascii="Arial" w:eastAsia="Times New Roman" w:hAnsi="Arial" w:cs="Arial"/>
          <w:lang w:val="es-ES" w:eastAsia="es-ES"/>
        </w:rPr>
        <w:t>Definir y uniformizar el procedimiento técnico para la asignación y actualización del CUS.</w:t>
      </w:r>
    </w:p>
    <w:p w:rsidR="0042148B" w:rsidRPr="0075594F" w:rsidRDefault="0042148B" w:rsidP="0042148B">
      <w:pPr>
        <w:spacing w:after="0" w:line="240" w:lineRule="auto"/>
        <w:ind w:left="540" w:firstLine="4"/>
        <w:jc w:val="both"/>
        <w:rPr>
          <w:rFonts w:ascii="Arial" w:eastAsia="Times New Roman" w:hAnsi="Arial" w:cs="Arial"/>
          <w:lang w:val="es-ES" w:eastAsia="es-ES"/>
        </w:rPr>
      </w:pPr>
    </w:p>
    <w:p w:rsidR="0042148B" w:rsidRPr="0075594F" w:rsidRDefault="0042148B" w:rsidP="0092471C">
      <w:pPr>
        <w:widowControl w:val="0"/>
        <w:numPr>
          <w:ilvl w:val="0"/>
          <w:numId w:val="310"/>
        </w:numPr>
        <w:suppressAutoHyphens/>
        <w:spacing w:after="0" w:line="240" w:lineRule="auto"/>
        <w:ind w:left="554" w:hanging="284"/>
        <w:jc w:val="both"/>
        <w:rPr>
          <w:rFonts w:ascii="Arial" w:eastAsia="Lucida Sans Unicode" w:hAnsi="Arial" w:cs="Arial"/>
          <w:b/>
          <w:lang w:val="es-ES_tradnl" w:eastAsia="es-ES"/>
        </w:rPr>
      </w:pPr>
      <w:r w:rsidRPr="0075594F">
        <w:rPr>
          <w:rFonts w:ascii="Arial" w:eastAsia="Lucida Sans Unicode" w:hAnsi="Arial" w:cs="Arial"/>
          <w:b/>
          <w:lang w:val="es-ES_tradnl" w:eastAsia="es-ES"/>
        </w:rPr>
        <w:t>ALCANCE</w:t>
      </w:r>
    </w:p>
    <w:p w:rsidR="0042148B" w:rsidRPr="0075594F" w:rsidRDefault="0042148B" w:rsidP="0042148B">
      <w:pPr>
        <w:spacing w:after="0" w:line="240" w:lineRule="auto"/>
        <w:ind w:left="554" w:right="139"/>
        <w:jc w:val="both"/>
        <w:rPr>
          <w:rFonts w:ascii="Arial" w:eastAsia="Times New Roman" w:hAnsi="Arial" w:cs="Arial"/>
          <w:lang w:val="es-ES" w:eastAsia="es-ES"/>
        </w:rPr>
      </w:pPr>
      <w:r w:rsidRPr="0075594F">
        <w:rPr>
          <w:rFonts w:ascii="Arial" w:eastAsia="Times New Roman" w:hAnsi="Arial" w:cs="Arial"/>
          <w:lang w:val="es-ES" w:eastAsia="es-ES"/>
        </w:rPr>
        <w:t xml:space="preserve">La presente directiva tiene alcance a nivel nacional y de cumplimiento obligatorio para todas las entidades públicas que el SNBE. </w:t>
      </w:r>
    </w:p>
    <w:p w:rsidR="0042148B" w:rsidRPr="0075594F" w:rsidRDefault="0042148B" w:rsidP="0042148B">
      <w:pPr>
        <w:spacing w:after="0" w:line="240" w:lineRule="auto"/>
        <w:ind w:left="554" w:right="139"/>
        <w:jc w:val="both"/>
        <w:rPr>
          <w:rFonts w:ascii="Arial" w:eastAsia="Times New Roman" w:hAnsi="Arial" w:cs="Arial"/>
          <w:lang w:val="es-ES" w:eastAsia="es-ES"/>
        </w:rPr>
      </w:pPr>
    </w:p>
    <w:p w:rsidR="0042148B" w:rsidRPr="0075594F" w:rsidRDefault="0042148B" w:rsidP="0092471C">
      <w:pPr>
        <w:widowControl w:val="0"/>
        <w:numPr>
          <w:ilvl w:val="0"/>
          <w:numId w:val="310"/>
        </w:numPr>
        <w:suppressAutoHyphens/>
        <w:spacing w:after="0" w:line="240" w:lineRule="auto"/>
        <w:ind w:left="554" w:hanging="284"/>
        <w:jc w:val="both"/>
        <w:rPr>
          <w:rFonts w:ascii="Arial" w:eastAsia="Lucida Sans Unicode" w:hAnsi="Arial" w:cs="Arial"/>
          <w:b/>
          <w:lang w:val="es-ES_tradnl" w:eastAsia="es-ES"/>
        </w:rPr>
      </w:pPr>
      <w:r w:rsidRPr="0075594F">
        <w:rPr>
          <w:rFonts w:ascii="Arial" w:eastAsia="Lucida Sans Unicode" w:hAnsi="Arial" w:cs="Arial"/>
          <w:b/>
          <w:lang w:val="es-ES_tradnl" w:eastAsia="es-ES"/>
        </w:rPr>
        <w:t>BASE LEGAL</w:t>
      </w:r>
    </w:p>
    <w:p w:rsidR="0042148B" w:rsidRPr="0075594F" w:rsidRDefault="0042148B" w:rsidP="0042148B">
      <w:pPr>
        <w:widowControl w:val="0"/>
        <w:suppressAutoHyphens/>
        <w:spacing w:after="0" w:line="240" w:lineRule="auto"/>
        <w:ind w:left="554"/>
        <w:jc w:val="both"/>
        <w:rPr>
          <w:rFonts w:ascii="Arial" w:eastAsia="Lucida Sans Unicode" w:hAnsi="Arial" w:cs="Arial"/>
          <w:b/>
          <w:lang w:val="es-ES_tradnl" w:eastAsia="es-ES"/>
        </w:rPr>
      </w:pPr>
    </w:p>
    <w:p w:rsidR="0042148B" w:rsidRPr="0075594F" w:rsidRDefault="0042148B" w:rsidP="0092471C">
      <w:pPr>
        <w:numPr>
          <w:ilvl w:val="0"/>
          <w:numId w:val="306"/>
        </w:numPr>
        <w:spacing w:after="0" w:line="240" w:lineRule="auto"/>
        <w:ind w:left="786" w:hanging="232"/>
        <w:jc w:val="both"/>
        <w:rPr>
          <w:rFonts w:ascii="Arial" w:eastAsia="Times New Roman" w:hAnsi="Arial" w:cs="Arial"/>
          <w:lang w:val="es-ES" w:eastAsia="es-ES"/>
        </w:rPr>
      </w:pPr>
      <w:r w:rsidRPr="0075594F">
        <w:rPr>
          <w:rFonts w:ascii="Arial" w:eastAsia="Times New Roman" w:hAnsi="Arial" w:cs="Arial"/>
          <w:lang w:val="es-ES" w:eastAsia="es-ES"/>
        </w:rPr>
        <w:t>Ley Nº 29151, Ley General del Sistema Nacional de Bienes Estatales y sus modificatorias.</w:t>
      </w:r>
    </w:p>
    <w:p w:rsidR="0042148B" w:rsidRPr="0075594F" w:rsidRDefault="0042148B" w:rsidP="0092471C">
      <w:pPr>
        <w:numPr>
          <w:ilvl w:val="0"/>
          <w:numId w:val="306"/>
        </w:numPr>
        <w:tabs>
          <w:tab w:val="num" w:pos="786"/>
        </w:tabs>
        <w:spacing w:after="0" w:line="240" w:lineRule="auto"/>
        <w:ind w:left="786" w:hanging="232"/>
        <w:jc w:val="both"/>
        <w:rPr>
          <w:rFonts w:ascii="Arial" w:eastAsia="Times New Roman" w:hAnsi="Arial" w:cs="Arial"/>
          <w:lang w:val="es-ES" w:eastAsia="es-ES"/>
        </w:rPr>
      </w:pPr>
      <w:r w:rsidRPr="0075594F">
        <w:rPr>
          <w:rFonts w:ascii="Arial" w:eastAsia="Times New Roman" w:hAnsi="Arial" w:cs="Arial"/>
          <w:lang w:val="es-ES" w:eastAsia="es-ES"/>
        </w:rPr>
        <w:t>Ley N° 29588, Ley que complementa las facultades de la Superintendencia Nacional de Bienes Estatales (SBN).</w:t>
      </w:r>
    </w:p>
    <w:p w:rsidR="0042148B" w:rsidRPr="0075594F" w:rsidRDefault="0042148B" w:rsidP="0092471C">
      <w:pPr>
        <w:numPr>
          <w:ilvl w:val="0"/>
          <w:numId w:val="306"/>
        </w:numPr>
        <w:tabs>
          <w:tab w:val="num" w:pos="786"/>
        </w:tabs>
        <w:spacing w:after="0" w:line="240" w:lineRule="auto"/>
        <w:ind w:left="786" w:hanging="232"/>
        <w:jc w:val="both"/>
        <w:rPr>
          <w:rFonts w:ascii="Arial" w:eastAsia="Times New Roman" w:hAnsi="Arial" w:cs="Arial"/>
          <w:lang w:val="es-ES" w:eastAsia="es-ES"/>
        </w:rPr>
      </w:pPr>
      <w:r w:rsidRPr="0075594F">
        <w:rPr>
          <w:rFonts w:ascii="Arial" w:eastAsia="Times New Roman" w:hAnsi="Arial" w:cs="Arial"/>
          <w:lang w:val="es-ES_tradnl" w:eastAsia="es-ES"/>
        </w:rPr>
        <w:t>Ley Nº 27867, Ley Orgánica de Gobiernos Regionales.</w:t>
      </w:r>
    </w:p>
    <w:p w:rsidR="0042148B" w:rsidRPr="0075594F" w:rsidRDefault="0042148B" w:rsidP="0092471C">
      <w:pPr>
        <w:numPr>
          <w:ilvl w:val="0"/>
          <w:numId w:val="306"/>
        </w:numPr>
        <w:tabs>
          <w:tab w:val="num" w:pos="786"/>
        </w:tabs>
        <w:spacing w:after="0" w:line="240" w:lineRule="auto"/>
        <w:ind w:left="786" w:hanging="232"/>
        <w:jc w:val="both"/>
        <w:rPr>
          <w:rFonts w:ascii="Arial" w:eastAsia="Times New Roman" w:hAnsi="Arial" w:cs="Arial"/>
          <w:lang w:val="es-ES" w:eastAsia="es-ES"/>
        </w:rPr>
      </w:pPr>
      <w:r w:rsidRPr="0075594F">
        <w:rPr>
          <w:rFonts w:ascii="Arial" w:eastAsia="Times New Roman" w:hAnsi="Arial" w:cs="Arial"/>
          <w:lang w:val="es-ES" w:eastAsia="es-ES"/>
        </w:rPr>
        <w:t>Ley Nº 27972, Ley Orgánica de Municipalidades.</w:t>
      </w:r>
    </w:p>
    <w:p w:rsidR="0042148B" w:rsidRPr="0075594F" w:rsidRDefault="0042148B" w:rsidP="0092471C">
      <w:pPr>
        <w:numPr>
          <w:ilvl w:val="0"/>
          <w:numId w:val="306"/>
        </w:numPr>
        <w:tabs>
          <w:tab w:val="num" w:pos="786"/>
        </w:tabs>
        <w:spacing w:after="0" w:line="240" w:lineRule="auto"/>
        <w:ind w:left="786" w:hanging="232"/>
        <w:jc w:val="both"/>
        <w:rPr>
          <w:rFonts w:ascii="Arial" w:eastAsia="Times New Roman" w:hAnsi="Arial" w:cs="Arial"/>
          <w:lang w:val="es-ES" w:eastAsia="es-ES"/>
        </w:rPr>
      </w:pPr>
      <w:r w:rsidRPr="0075594F">
        <w:rPr>
          <w:rFonts w:ascii="Arial" w:eastAsia="Times New Roman" w:hAnsi="Arial" w:cs="Arial"/>
          <w:lang w:val="es-ES" w:eastAsia="es-ES"/>
        </w:rPr>
        <w:t>Ley Nº 29618, Ley que establece la presunción de que el Estado es poseedor de los inmuebles de su propiedad y declara imprescriptibles los bienes inmuebles de dominio privado estatal.</w:t>
      </w:r>
    </w:p>
    <w:p w:rsidR="0042148B" w:rsidRPr="0075594F" w:rsidRDefault="0042148B" w:rsidP="0092471C">
      <w:pPr>
        <w:numPr>
          <w:ilvl w:val="0"/>
          <w:numId w:val="306"/>
        </w:numPr>
        <w:tabs>
          <w:tab w:val="num" w:pos="786"/>
        </w:tabs>
        <w:spacing w:after="0" w:line="240" w:lineRule="auto"/>
        <w:ind w:left="786" w:hanging="232"/>
        <w:jc w:val="both"/>
        <w:rPr>
          <w:rFonts w:ascii="Arial" w:eastAsia="Times New Roman" w:hAnsi="Arial" w:cs="Arial"/>
          <w:lang w:val="es-ES" w:eastAsia="es-ES"/>
        </w:rPr>
      </w:pPr>
      <w:r w:rsidRPr="0075594F">
        <w:rPr>
          <w:rFonts w:ascii="Arial" w:eastAsia="Times New Roman" w:hAnsi="Arial" w:cs="Arial"/>
          <w:lang w:val="es-ES" w:eastAsia="es-ES"/>
        </w:rPr>
        <w:t>Ley Nº 27815, Ley del Código de Ética de la Función Pública y su Reglamento aprobado mediante el Decreto Supremo Nº 033-2005-PCM.</w:t>
      </w:r>
    </w:p>
    <w:p w:rsidR="0042148B" w:rsidRPr="0075594F" w:rsidRDefault="0042148B" w:rsidP="0092471C">
      <w:pPr>
        <w:numPr>
          <w:ilvl w:val="0"/>
          <w:numId w:val="306"/>
        </w:numPr>
        <w:tabs>
          <w:tab w:val="num" w:pos="786"/>
        </w:tabs>
        <w:spacing w:after="0" w:line="240" w:lineRule="auto"/>
        <w:ind w:left="786" w:hanging="232"/>
        <w:jc w:val="both"/>
        <w:rPr>
          <w:rFonts w:ascii="Arial" w:eastAsia="Times New Roman" w:hAnsi="Arial" w:cs="Arial"/>
          <w:lang w:val="es-ES" w:eastAsia="es-ES"/>
        </w:rPr>
      </w:pPr>
      <w:r w:rsidRPr="0075594F">
        <w:rPr>
          <w:rFonts w:ascii="Arial" w:eastAsia="Times New Roman" w:hAnsi="Arial" w:cs="Arial"/>
          <w:lang w:val="es-ES" w:eastAsia="es-ES"/>
        </w:rPr>
        <w:t>Ley 28294 “Ley del Sistema Nacional Integrado de Información Catastral Predial y su Reglamento aprobado por Decreto Supremo N° 005-2006-JUS.</w:t>
      </w:r>
    </w:p>
    <w:p w:rsidR="0042148B" w:rsidRPr="0075594F" w:rsidRDefault="0042148B" w:rsidP="0092471C">
      <w:pPr>
        <w:numPr>
          <w:ilvl w:val="0"/>
          <w:numId w:val="306"/>
        </w:numPr>
        <w:tabs>
          <w:tab w:val="num" w:pos="786"/>
        </w:tabs>
        <w:spacing w:after="0" w:line="240" w:lineRule="auto"/>
        <w:ind w:left="786" w:hanging="232"/>
        <w:jc w:val="both"/>
        <w:rPr>
          <w:rFonts w:ascii="Arial" w:eastAsia="Times New Roman" w:hAnsi="Arial" w:cs="Arial"/>
          <w:lang w:val="es-ES" w:eastAsia="es-ES"/>
        </w:rPr>
      </w:pPr>
      <w:r w:rsidRPr="0075594F">
        <w:rPr>
          <w:rFonts w:ascii="Arial" w:eastAsia="Times New Roman" w:hAnsi="Arial" w:cs="Arial"/>
          <w:lang w:val="es-ES" w:eastAsia="es-ES"/>
        </w:rPr>
        <w:t>Ley 27444, Ley de Procedimiento Administrativo General.</w:t>
      </w:r>
    </w:p>
    <w:p w:rsidR="0042148B" w:rsidRPr="0075594F" w:rsidRDefault="0042148B" w:rsidP="0092471C">
      <w:pPr>
        <w:numPr>
          <w:ilvl w:val="0"/>
          <w:numId w:val="306"/>
        </w:numPr>
        <w:tabs>
          <w:tab w:val="num" w:pos="786"/>
        </w:tabs>
        <w:spacing w:after="0" w:line="240" w:lineRule="auto"/>
        <w:ind w:left="786" w:hanging="232"/>
        <w:jc w:val="both"/>
        <w:rPr>
          <w:rFonts w:ascii="Arial" w:eastAsia="Times New Roman" w:hAnsi="Arial" w:cs="Arial"/>
          <w:lang w:val="es-ES" w:eastAsia="es-ES"/>
        </w:rPr>
      </w:pPr>
      <w:r w:rsidRPr="0075594F">
        <w:rPr>
          <w:rFonts w:ascii="Arial" w:eastAsia="Times New Roman" w:hAnsi="Arial" w:cs="Arial"/>
          <w:lang w:val="es-ES" w:eastAsia="es-ES"/>
        </w:rPr>
        <w:t>Decreto Supremo Nº 007-2008-VIVIENDA, Reglamento de la Ley N° 29151 y sus modificatorias.</w:t>
      </w:r>
    </w:p>
    <w:p w:rsidR="0042148B" w:rsidRPr="0075594F" w:rsidRDefault="0042148B" w:rsidP="0092471C">
      <w:pPr>
        <w:numPr>
          <w:ilvl w:val="0"/>
          <w:numId w:val="306"/>
        </w:numPr>
        <w:tabs>
          <w:tab w:val="num" w:pos="786"/>
        </w:tabs>
        <w:spacing w:after="0" w:line="240" w:lineRule="auto"/>
        <w:ind w:left="786" w:hanging="232"/>
        <w:jc w:val="both"/>
        <w:rPr>
          <w:rFonts w:ascii="Arial" w:eastAsia="Times New Roman" w:hAnsi="Arial" w:cs="Arial"/>
          <w:lang w:val="es-ES" w:eastAsia="es-ES"/>
        </w:rPr>
      </w:pPr>
      <w:r w:rsidRPr="0075594F">
        <w:rPr>
          <w:rFonts w:ascii="Arial" w:eastAsia="Times New Roman" w:hAnsi="Arial" w:cs="Arial"/>
          <w:lang w:val="es-ES" w:eastAsia="es-ES"/>
        </w:rPr>
        <w:t>Decreto Supremo Nº 016-2010-VIVIENDA, que aprobó el Reglamento de Organización y Funciones-ROF de la Superintendencia Nacional de Bienes Estatales.</w:t>
      </w:r>
    </w:p>
    <w:p w:rsidR="0042148B" w:rsidRPr="0075594F" w:rsidRDefault="0042148B" w:rsidP="0092471C">
      <w:pPr>
        <w:numPr>
          <w:ilvl w:val="0"/>
          <w:numId w:val="306"/>
        </w:numPr>
        <w:tabs>
          <w:tab w:val="num" w:pos="786"/>
        </w:tabs>
        <w:spacing w:after="0" w:line="240" w:lineRule="auto"/>
        <w:ind w:left="786" w:hanging="232"/>
        <w:jc w:val="both"/>
        <w:rPr>
          <w:rFonts w:ascii="Arial" w:eastAsia="Times New Roman" w:hAnsi="Arial" w:cs="Arial"/>
          <w:lang w:val="es-ES" w:eastAsia="es-ES"/>
        </w:rPr>
      </w:pPr>
      <w:r w:rsidRPr="0075594F">
        <w:rPr>
          <w:rFonts w:ascii="Arial" w:eastAsia="Times New Roman" w:hAnsi="Arial" w:cs="Arial"/>
          <w:lang w:eastAsia="es-ES"/>
        </w:rPr>
        <w:t>Resolución N° 001-2014/SBN, que aprueba la Directiva N° 001-2014/SBN – Procedimientos para la formulación y aprobación de Directivas en la SBN.</w:t>
      </w:r>
    </w:p>
    <w:p w:rsidR="0042148B" w:rsidRPr="0075594F" w:rsidRDefault="0042148B" w:rsidP="0042148B">
      <w:pPr>
        <w:spacing w:after="0" w:line="240" w:lineRule="auto"/>
        <w:ind w:left="786"/>
        <w:jc w:val="both"/>
        <w:rPr>
          <w:rFonts w:ascii="Arial" w:eastAsia="Times New Roman" w:hAnsi="Arial" w:cs="Arial"/>
          <w:lang w:val="es-ES" w:eastAsia="es-ES"/>
        </w:rPr>
      </w:pPr>
    </w:p>
    <w:p w:rsidR="0042148B" w:rsidRPr="0075594F" w:rsidRDefault="0042148B" w:rsidP="0092471C">
      <w:pPr>
        <w:widowControl w:val="0"/>
        <w:numPr>
          <w:ilvl w:val="0"/>
          <w:numId w:val="310"/>
        </w:numPr>
        <w:suppressAutoHyphens/>
        <w:spacing w:after="0" w:line="240" w:lineRule="auto"/>
        <w:ind w:left="554" w:hanging="284"/>
        <w:jc w:val="both"/>
        <w:rPr>
          <w:rFonts w:ascii="Arial" w:eastAsia="Lucida Sans Unicode" w:hAnsi="Arial" w:cs="Arial"/>
          <w:b/>
          <w:lang w:val="es-ES_tradnl" w:eastAsia="es-ES"/>
        </w:rPr>
      </w:pPr>
      <w:r w:rsidRPr="0075594F">
        <w:rPr>
          <w:rFonts w:ascii="Arial" w:eastAsia="Lucida Sans Unicode" w:hAnsi="Arial" w:cs="Arial"/>
          <w:b/>
          <w:lang w:val="es-ES_tradnl" w:eastAsia="es-ES"/>
        </w:rPr>
        <w:t xml:space="preserve">DISPOSICIONES GENERALES </w:t>
      </w:r>
    </w:p>
    <w:p w:rsidR="0042148B" w:rsidRPr="0075594F" w:rsidRDefault="0042148B" w:rsidP="0042148B">
      <w:pPr>
        <w:widowControl w:val="0"/>
        <w:suppressAutoHyphens/>
        <w:spacing w:after="0" w:line="240" w:lineRule="auto"/>
        <w:ind w:left="979"/>
        <w:jc w:val="both"/>
        <w:rPr>
          <w:rFonts w:ascii="Arial" w:eastAsia="Lucida Sans Unicode" w:hAnsi="Arial" w:cs="Arial"/>
          <w:lang w:val="es-ES_tradnl" w:eastAsia="es-ES"/>
        </w:rPr>
      </w:pPr>
    </w:p>
    <w:p w:rsidR="0042148B" w:rsidRPr="0075594F" w:rsidRDefault="0042148B" w:rsidP="0092471C">
      <w:pPr>
        <w:widowControl w:val="0"/>
        <w:numPr>
          <w:ilvl w:val="1"/>
          <w:numId w:val="310"/>
        </w:numPr>
        <w:suppressAutoHyphens/>
        <w:spacing w:after="0" w:line="240" w:lineRule="auto"/>
        <w:ind w:left="979" w:hanging="425"/>
        <w:jc w:val="both"/>
        <w:rPr>
          <w:rFonts w:ascii="Arial" w:eastAsia="Lucida Sans Unicode" w:hAnsi="Arial" w:cs="Arial"/>
          <w:b/>
          <w:lang w:val="es-ES_tradnl" w:eastAsia="es-ES"/>
        </w:rPr>
      </w:pPr>
      <w:r w:rsidRPr="0075594F">
        <w:rPr>
          <w:rFonts w:ascii="Arial" w:eastAsia="Lucida Sans Unicode" w:hAnsi="Arial" w:cs="Arial"/>
          <w:b/>
          <w:lang w:val="es-ES_tradnl" w:eastAsia="es-ES"/>
        </w:rPr>
        <w:t>De las competencias.</w:t>
      </w:r>
    </w:p>
    <w:p w:rsidR="0042148B" w:rsidRPr="0075594F" w:rsidRDefault="0042148B" w:rsidP="0042148B">
      <w:pPr>
        <w:widowControl w:val="0"/>
        <w:suppressAutoHyphens/>
        <w:spacing w:after="0" w:line="240" w:lineRule="auto"/>
        <w:ind w:left="979"/>
        <w:jc w:val="both"/>
        <w:rPr>
          <w:rFonts w:ascii="Arial" w:eastAsia="Lucida Sans Unicode" w:hAnsi="Arial" w:cs="Arial"/>
          <w:lang w:val="es-ES_tradnl" w:eastAsia="es-ES"/>
        </w:rPr>
      </w:pPr>
      <w:r w:rsidRPr="0075594F">
        <w:rPr>
          <w:rFonts w:ascii="Arial" w:eastAsia="Lucida Sans Unicode" w:hAnsi="Arial" w:cs="Arial"/>
          <w:lang w:val="es-ES_tradnl" w:eastAsia="es-ES"/>
        </w:rPr>
        <w:t>La SBN tiene a su cargo la administración del SINABIP, a través de la SDRC o a la unidad orgánica que haga sus veces.</w:t>
      </w:r>
    </w:p>
    <w:p w:rsidR="0042148B" w:rsidRPr="0075594F" w:rsidRDefault="0042148B" w:rsidP="0042148B">
      <w:pPr>
        <w:widowControl w:val="0"/>
        <w:suppressAutoHyphens/>
        <w:spacing w:after="0" w:line="240" w:lineRule="auto"/>
        <w:ind w:left="979"/>
        <w:jc w:val="both"/>
        <w:rPr>
          <w:rFonts w:ascii="Arial" w:eastAsia="Lucida Sans Unicode" w:hAnsi="Arial" w:cs="Arial"/>
          <w:lang w:val="es-ES_tradnl" w:eastAsia="es-ES"/>
        </w:rPr>
      </w:pPr>
    </w:p>
    <w:p w:rsidR="0042148B" w:rsidRPr="0075594F" w:rsidRDefault="0042148B" w:rsidP="0042148B">
      <w:pPr>
        <w:spacing w:after="0" w:line="240" w:lineRule="auto"/>
        <w:ind w:left="979" w:right="139"/>
        <w:jc w:val="both"/>
        <w:rPr>
          <w:rFonts w:ascii="Arial" w:eastAsia="Times New Roman" w:hAnsi="Arial" w:cs="Arial"/>
          <w:lang w:val="es-ES" w:eastAsia="es-ES"/>
        </w:rPr>
      </w:pPr>
      <w:r w:rsidRPr="0075594F">
        <w:rPr>
          <w:rFonts w:ascii="Arial" w:eastAsia="Times New Roman" w:hAnsi="Arial" w:cs="Arial"/>
          <w:lang w:val="es-ES" w:eastAsia="es-ES"/>
        </w:rPr>
        <w:t>Mediante el SINABIP se genera de manera automática y correlativa el CUS o la actualización de éste, por parte de las entidades conformantes del SNBE, en el momento en que se compruebe que la titularidad es estatal y se cuente con la información y/o documentación que la respalde.</w:t>
      </w:r>
    </w:p>
    <w:p w:rsidR="0042148B" w:rsidRPr="0075594F" w:rsidRDefault="0042148B" w:rsidP="0042148B">
      <w:pPr>
        <w:spacing w:after="0" w:line="240" w:lineRule="auto"/>
        <w:ind w:left="979" w:right="139"/>
        <w:jc w:val="both"/>
        <w:rPr>
          <w:rFonts w:ascii="Arial" w:eastAsia="Times New Roman" w:hAnsi="Arial" w:cs="Arial"/>
          <w:lang w:val="es-ES" w:eastAsia="es-ES"/>
        </w:rPr>
      </w:pPr>
    </w:p>
    <w:p w:rsidR="0042148B" w:rsidRPr="0075594F" w:rsidRDefault="0042148B" w:rsidP="0042148B">
      <w:pPr>
        <w:spacing w:after="0" w:line="240" w:lineRule="auto"/>
        <w:ind w:left="979" w:right="139"/>
        <w:jc w:val="both"/>
        <w:rPr>
          <w:rFonts w:ascii="Arial" w:eastAsia="Times New Roman" w:hAnsi="Arial" w:cs="Arial"/>
          <w:lang w:val="es-ES" w:eastAsia="es-ES"/>
        </w:rPr>
      </w:pPr>
      <w:r w:rsidRPr="0075594F">
        <w:rPr>
          <w:rFonts w:ascii="Arial" w:eastAsia="Times New Roman" w:hAnsi="Arial" w:cs="Arial"/>
          <w:lang w:val="es-ES" w:eastAsia="es-ES"/>
        </w:rPr>
        <w:t>El Sistema Informático para la asignación del CUS esta automatizado y administrado por la SBN a través del sistema de tecnologías de la información a cargo de la OAF, a fin de optimizar la gestión, control y registro en la asignación del CUS por los responsables de las unidades orgánicas del SBN y entidades conformantes del SNBE.</w:t>
      </w:r>
    </w:p>
    <w:p w:rsidR="0042148B" w:rsidRDefault="0042148B" w:rsidP="0042148B">
      <w:pPr>
        <w:widowControl w:val="0"/>
        <w:suppressAutoHyphens/>
        <w:spacing w:after="0" w:line="240" w:lineRule="auto"/>
        <w:ind w:left="979"/>
        <w:jc w:val="both"/>
        <w:rPr>
          <w:rFonts w:ascii="Arial" w:eastAsia="Lucida Sans Unicode" w:hAnsi="Arial" w:cs="Arial"/>
          <w:lang w:val="es-ES" w:eastAsia="es-ES"/>
        </w:rPr>
      </w:pPr>
    </w:p>
    <w:p w:rsidR="0075594F" w:rsidRDefault="0075594F" w:rsidP="0042148B">
      <w:pPr>
        <w:widowControl w:val="0"/>
        <w:suppressAutoHyphens/>
        <w:spacing w:after="0" w:line="240" w:lineRule="auto"/>
        <w:ind w:left="979"/>
        <w:jc w:val="both"/>
        <w:rPr>
          <w:rFonts w:ascii="Arial" w:eastAsia="Lucida Sans Unicode" w:hAnsi="Arial" w:cs="Arial"/>
          <w:lang w:val="es-ES" w:eastAsia="es-ES"/>
        </w:rPr>
      </w:pPr>
    </w:p>
    <w:p w:rsidR="0075594F" w:rsidRPr="0075594F" w:rsidRDefault="0075594F" w:rsidP="0042148B">
      <w:pPr>
        <w:widowControl w:val="0"/>
        <w:suppressAutoHyphens/>
        <w:spacing w:after="0" w:line="240" w:lineRule="auto"/>
        <w:ind w:left="979"/>
        <w:jc w:val="both"/>
        <w:rPr>
          <w:rFonts w:ascii="Arial" w:eastAsia="Lucida Sans Unicode" w:hAnsi="Arial" w:cs="Arial"/>
          <w:lang w:val="es-ES" w:eastAsia="es-ES"/>
        </w:rPr>
      </w:pPr>
    </w:p>
    <w:p w:rsidR="0042148B" w:rsidRPr="0075594F" w:rsidRDefault="0042148B" w:rsidP="0092471C">
      <w:pPr>
        <w:widowControl w:val="0"/>
        <w:numPr>
          <w:ilvl w:val="1"/>
          <w:numId w:val="310"/>
        </w:numPr>
        <w:suppressAutoHyphens/>
        <w:spacing w:after="0" w:line="240" w:lineRule="auto"/>
        <w:ind w:left="979" w:hanging="425"/>
        <w:jc w:val="both"/>
        <w:rPr>
          <w:rFonts w:ascii="Arial" w:eastAsia="Lucida Sans Unicode" w:hAnsi="Arial" w:cs="Arial"/>
          <w:b/>
          <w:lang w:val="es-ES_tradnl" w:eastAsia="es-ES"/>
        </w:rPr>
      </w:pPr>
      <w:r w:rsidRPr="0075594F">
        <w:rPr>
          <w:rFonts w:ascii="Arial" w:eastAsia="Lucida Sans Unicode" w:hAnsi="Arial" w:cs="Arial"/>
          <w:b/>
          <w:lang w:val="es-ES_tradnl" w:eastAsia="es-ES"/>
        </w:rPr>
        <w:t>Del Control y Registro del Uso de los CUS.</w:t>
      </w:r>
    </w:p>
    <w:p w:rsidR="0042148B" w:rsidRPr="0075594F" w:rsidRDefault="0042148B" w:rsidP="0042148B">
      <w:pPr>
        <w:spacing w:after="0" w:line="240" w:lineRule="auto"/>
        <w:ind w:left="979" w:right="139"/>
        <w:jc w:val="both"/>
        <w:rPr>
          <w:rFonts w:ascii="Arial" w:eastAsia="Times New Roman" w:hAnsi="Arial" w:cs="Arial"/>
          <w:lang w:val="es-ES" w:eastAsia="es-ES"/>
        </w:rPr>
      </w:pPr>
      <w:r w:rsidRPr="0075594F">
        <w:rPr>
          <w:rFonts w:ascii="Arial" w:eastAsia="Times New Roman" w:hAnsi="Arial" w:cs="Arial"/>
          <w:lang w:val="es-ES" w:eastAsia="es-ES"/>
        </w:rPr>
        <w:t>La SDRC lleva el control y registro de la utilización de los CUS, con fines de registrar la información catastral en el SINABIP.</w:t>
      </w:r>
    </w:p>
    <w:p w:rsidR="0042148B" w:rsidRPr="0075594F" w:rsidRDefault="0042148B" w:rsidP="0042148B">
      <w:pPr>
        <w:spacing w:after="0" w:line="240" w:lineRule="auto"/>
        <w:ind w:left="979" w:right="139"/>
        <w:jc w:val="both"/>
        <w:rPr>
          <w:rFonts w:ascii="Arial" w:eastAsia="Times New Roman" w:hAnsi="Arial" w:cs="Arial"/>
          <w:lang w:eastAsia="es-ES"/>
        </w:rPr>
      </w:pPr>
    </w:p>
    <w:p w:rsidR="0042148B" w:rsidRPr="0075594F" w:rsidRDefault="0042148B" w:rsidP="0092471C">
      <w:pPr>
        <w:widowControl w:val="0"/>
        <w:numPr>
          <w:ilvl w:val="1"/>
          <w:numId w:val="310"/>
        </w:numPr>
        <w:suppressAutoHyphens/>
        <w:spacing w:after="0" w:line="240" w:lineRule="auto"/>
        <w:ind w:left="979" w:hanging="425"/>
        <w:jc w:val="both"/>
        <w:rPr>
          <w:rFonts w:ascii="Arial" w:eastAsia="Lucida Sans Unicode" w:hAnsi="Arial" w:cs="Arial"/>
          <w:b/>
          <w:lang w:val="es-ES_tradnl" w:eastAsia="es-ES"/>
        </w:rPr>
      </w:pPr>
      <w:r w:rsidRPr="0075594F">
        <w:rPr>
          <w:rFonts w:ascii="Arial" w:eastAsia="Lucida Sans Unicode" w:hAnsi="Arial" w:cs="Arial"/>
          <w:b/>
          <w:lang w:val="es-ES_tradnl" w:eastAsia="es-ES"/>
        </w:rPr>
        <w:t>De la asignación del CUS.</w:t>
      </w:r>
    </w:p>
    <w:p w:rsidR="0042148B" w:rsidRPr="0075594F" w:rsidRDefault="0042148B" w:rsidP="0042148B">
      <w:pPr>
        <w:spacing w:after="0" w:line="240" w:lineRule="auto"/>
        <w:ind w:left="979" w:right="139"/>
        <w:jc w:val="both"/>
        <w:rPr>
          <w:rFonts w:ascii="Arial" w:eastAsia="Times New Roman" w:hAnsi="Arial" w:cs="Arial"/>
          <w:lang w:val="es-ES" w:eastAsia="es-ES"/>
        </w:rPr>
      </w:pPr>
      <w:r w:rsidRPr="0075594F">
        <w:rPr>
          <w:rFonts w:ascii="Arial" w:eastAsia="Times New Roman" w:hAnsi="Arial" w:cs="Arial"/>
          <w:lang w:val="es-ES" w:eastAsia="es-ES"/>
        </w:rPr>
        <w:t>La aplicación de la asignación del CUS se da sobre los bienes inmuebles de dominio público y de dominio privado del Estado; es correlativa, automática e irrepetible.</w:t>
      </w:r>
    </w:p>
    <w:p w:rsidR="0042148B" w:rsidRPr="0075594F" w:rsidRDefault="0042148B" w:rsidP="0042148B">
      <w:pPr>
        <w:spacing w:after="0" w:line="240" w:lineRule="auto"/>
        <w:ind w:left="979" w:right="139"/>
        <w:jc w:val="both"/>
        <w:rPr>
          <w:rFonts w:ascii="Arial" w:eastAsia="Times New Roman" w:hAnsi="Arial" w:cs="Arial"/>
          <w:lang w:val="es-ES" w:eastAsia="es-ES"/>
        </w:rPr>
      </w:pPr>
    </w:p>
    <w:p w:rsidR="0042148B" w:rsidRPr="0075594F" w:rsidRDefault="0042148B" w:rsidP="0042148B">
      <w:pPr>
        <w:spacing w:after="0" w:line="240" w:lineRule="auto"/>
        <w:ind w:left="979" w:right="139"/>
        <w:jc w:val="both"/>
        <w:rPr>
          <w:rFonts w:ascii="Arial" w:eastAsia="Times New Roman" w:hAnsi="Arial" w:cs="Arial"/>
          <w:lang w:val="es-ES" w:eastAsia="es-ES"/>
        </w:rPr>
      </w:pPr>
      <w:r w:rsidRPr="0075594F">
        <w:rPr>
          <w:rFonts w:ascii="Arial" w:eastAsia="Times New Roman" w:hAnsi="Arial" w:cs="Arial"/>
          <w:lang w:val="es-ES" w:eastAsia="es-ES"/>
        </w:rPr>
        <w:t>Para la asignación del CUS se debe tener en cuenta las Normas Técnicas del SNCP, respecto al fraccionamiento, división, parcelación o acumulación del o (los) predio(s) matriz (ces) incorporados al SINABIP, que necesariamente generará la asignación de CUS nuevos para las distintas partes o fracciones subdivididas y/o independizadas registralmente del predio matriz, incluyendo el área remanente, quedando el CUS de la matriz en la base digital histórica del SINABIP.</w:t>
      </w:r>
    </w:p>
    <w:p w:rsidR="0042148B" w:rsidRPr="0075594F" w:rsidRDefault="0042148B" w:rsidP="0042148B">
      <w:pPr>
        <w:spacing w:after="0" w:line="240" w:lineRule="auto"/>
        <w:ind w:left="979" w:right="139"/>
        <w:jc w:val="both"/>
        <w:rPr>
          <w:rFonts w:ascii="Arial" w:eastAsia="Times New Roman" w:hAnsi="Arial" w:cs="Arial"/>
          <w:lang w:val="es-ES" w:eastAsia="es-ES"/>
        </w:rPr>
      </w:pPr>
    </w:p>
    <w:p w:rsidR="0042148B" w:rsidRPr="0075594F" w:rsidRDefault="0042148B" w:rsidP="0042148B">
      <w:pPr>
        <w:spacing w:after="0" w:line="240" w:lineRule="auto"/>
        <w:ind w:left="979" w:right="139"/>
        <w:jc w:val="both"/>
        <w:rPr>
          <w:rFonts w:ascii="Arial" w:eastAsia="Times New Roman" w:hAnsi="Arial" w:cs="Arial"/>
          <w:lang w:val="es-ES" w:eastAsia="es-ES"/>
        </w:rPr>
      </w:pPr>
      <w:r w:rsidRPr="0075594F">
        <w:rPr>
          <w:rFonts w:ascii="Arial" w:eastAsia="Times New Roman" w:hAnsi="Arial" w:cs="Arial"/>
          <w:lang w:val="es-ES" w:eastAsia="es-ES"/>
        </w:rPr>
        <w:t>En los casos de los actos de administración tales como: afectaciones en uso, cesión en uso, usufructo, servidumbre, arrendamiento, comodato, reasignación y otros actos se mantiene el CUS asignado a la matriz registrado en el SINABIP, debiéndose vincular los CUS asignado a cada acto con la matriz del predio.</w:t>
      </w:r>
    </w:p>
    <w:p w:rsidR="0042148B" w:rsidRPr="0075594F" w:rsidRDefault="0042148B" w:rsidP="0042148B">
      <w:pPr>
        <w:spacing w:after="0" w:line="240" w:lineRule="auto"/>
        <w:ind w:left="979" w:right="139"/>
        <w:jc w:val="both"/>
        <w:rPr>
          <w:rFonts w:ascii="Arial" w:eastAsia="Times New Roman" w:hAnsi="Arial" w:cs="Arial"/>
          <w:lang w:val="es-ES" w:eastAsia="es-ES"/>
        </w:rPr>
      </w:pPr>
    </w:p>
    <w:p w:rsidR="0042148B" w:rsidRPr="0075594F" w:rsidRDefault="0042148B" w:rsidP="0042148B">
      <w:pPr>
        <w:spacing w:after="0" w:line="240" w:lineRule="auto"/>
        <w:ind w:left="979" w:right="139"/>
        <w:jc w:val="both"/>
        <w:rPr>
          <w:rFonts w:ascii="Arial" w:eastAsia="Times New Roman" w:hAnsi="Arial" w:cs="Arial"/>
          <w:lang w:val="es-ES" w:eastAsia="es-ES"/>
        </w:rPr>
      </w:pPr>
      <w:r w:rsidRPr="0075594F">
        <w:rPr>
          <w:rFonts w:ascii="Arial" w:eastAsia="Times New Roman" w:hAnsi="Arial" w:cs="Arial"/>
          <w:lang w:val="es-ES" w:eastAsia="es-ES"/>
        </w:rPr>
        <w:t xml:space="preserve">En los casos que un predio matriz ha sido independizado, subdividido o fraccionado en varias unidades inmobiliarias y el área remanente se encuentra conformado por áreas sin continuidad física, se asigna a cada una de ellas un CUS, independiente de la matriz que pasa a la base de datos histórica del SINABIP. </w:t>
      </w:r>
    </w:p>
    <w:p w:rsidR="0042148B" w:rsidRPr="0075594F" w:rsidRDefault="0042148B" w:rsidP="0042148B">
      <w:pPr>
        <w:spacing w:after="0" w:line="240" w:lineRule="auto"/>
        <w:ind w:left="979" w:right="139"/>
        <w:jc w:val="both"/>
        <w:rPr>
          <w:rFonts w:ascii="Arial" w:eastAsia="Times New Roman" w:hAnsi="Arial" w:cs="Arial"/>
          <w:lang w:val="es-ES" w:eastAsia="es-ES"/>
        </w:rPr>
      </w:pPr>
    </w:p>
    <w:p w:rsidR="0042148B" w:rsidRPr="0075594F" w:rsidRDefault="0042148B" w:rsidP="0042148B">
      <w:pPr>
        <w:spacing w:after="0" w:line="240" w:lineRule="auto"/>
        <w:ind w:left="979" w:right="139"/>
        <w:jc w:val="both"/>
        <w:rPr>
          <w:rFonts w:ascii="Arial" w:eastAsia="Times New Roman" w:hAnsi="Arial" w:cs="Arial"/>
          <w:lang w:val="es-ES" w:eastAsia="es-ES"/>
        </w:rPr>
      </w:pPr>
      <w:r w:rsidRPr="0075594F">
        <w:rPr>
          <w:rFonts w:ascii="Arial" w:eastAsia="Times New Roman" w:hAnsi="Arial" w:cs="Arial"/>
          <w:lang w:val="es-ES" w:eastAsia="es-ES"/>
        </w:rPr>
        <w:t>En el caso que los predios materia de subdivisión, independización o fraccionamiento comprenda áreas de dominio público tales como: ríos, vías, u otros, le corresponde un CUS correlativo.</w:t>
      </w:r>
    </w:p>
    <w:p w:rsidR="0042148B" w:rsidRPr="0075594F" w:rsidRDefault="0042148B" w:rsidP="0042148B">
      <w:pPr>
        <w:spacing w:after="0" w:line="240" w:lineRule="auto"/>
        <w:ind w:left="979" w:right="139"/>
        <w:jc w:val="both"/>
        <w:rPr>
          <w:rFonts w:ascii="Arial" w:eastAsia="Times New Roman" w:hAnsi="Arial" w:cs="Arial"/>
          <w:lang w:val="es-ES" w:eastAsia="es-ES"/>
        </w:rPr>
      </w:pPr>
    </w:p>
    <w:p w:rsidR="0042148B" w:rsidRPr="0075594F" w:rsidRDefault="0042148B" w:rsidP="0092471C">
      <w:pPr>
        <w:widowControl w:val="0"/>
        <w:numPr>
          <w:ilvl w:val="1"/>
          <w:numId w:val="310"/>
        </w:numPr>
        <w:suppressAutoHyphens/>
        <w:spacing w:after="0" w:line="240" w:lineRule="auto"/>
        <w:ind w:left="979" w:hanging="425"/>
        <w:jc w:val="both"/>
        <w:rPr>
          <w:rFonts w:ascii="Arial" w:eastAsia="Lucida Sans Unicode" w:hAnsi="Arial" w:cs="Arial"/>
          <w:b/>
          <w:lang w:val="es-ES_tradnl" w:eastAsia="es-ES"/>
        </w:rPr>
      </w:pPr>
      <w:r w:rsidRPr="0075594F">
        <w:rPr>
          <w:rFonts w:ascii="Arial" w:eastAsia="Lucida Sans Unicode" w:hAnsi="Arial" w:cs="Arial"/>
          <w:b/>
          <w:lang w:val="es-ES_tradnl" w:eastAsia="es-ES"/>
        </w:rPr>
        <w:t xml:space="preserve">De los CUS que pasan a la base de datos histórica. </w:t>
      </w:r>
    </w:p>
    <w:p w:rsidR="0042148B" w:rsidRPr="0075594F" w:rsidRDefault="0042148B" w:rsidP="0042148B">
      <w:pPr>
        <w:spacing w:after="0" w:line="240" w:lineRule="auto"/>
        <w:ind w:left="979" w:right="139"/>
        <w:jc w:val="both"/>
        <w:rPr>
          <w:rFonts w:ascii="Arial" w:eastAsia="Times New Roman" w:hAnsi="Arial" w:cs="Arial"/>
          <w:lang w:val="es-ES" w:eastAsia="es-ES"/>
        </w:rPr>
      </w:pPr>
      <w:r w:rsidRPr="0075594F">
        <w:rPr>
          <w:rFonts w:ascii="Arial" w:eastAsia="Times New Roman" w:hAnsi="Arial" w:cs="Arial"/>
          <w:lang w:val="es-ES" w:eastAsia="es-ES"/>
        </w:rPr>
        <w:t>Cuando el predio matriz ha sido independizado, subdividido o fraccionado, en varias unidades inmobiliarias o se ha acumulado, el CUS de la matriz pasa a la base de datos histórica del SINABIP; de igual manera los CUS que son cancelados pasaran al histórico.</w:t>
      </w:r>
    </w:p>
    <w:p w:rsidR="0042148B" w:rsidRPr="0075594F" w:rsidRDefault="0042148B" w:rsidP="0042148B">
      <w:pPr>
        <w:spacing w:after="0" w:line="240" w:lineRule="auto"/>
        <w:ind w:left="979" w:right="139"/>
        <w:jc w:val="both"/>
        <w:rPr>
          <w:rFonts w:ascii="Arial" w:eastAsia="Times New Roman" w:hAnsi="Arial" w:cs="Arial"/>
          <w:lang w:val="es-ES" w:eastAsia="es-ES"/>
        </w:rPr>
      </w:pPr>
    </w:p>
    <w:p w:rsidR="0042148B" w:rsidRPr="0075594F" w:rsidRDefault="0042148B" w:rsidP="0092471C">
      <w:pPr>
        <w:widowControl w:val="0"/>
        <w:numPr>
          <w:ilvl w:val="1"/>
          <w:numId w:val="310"/>
        </w:numPr>
        <w:suppressAutoHyphens/>
        <w:spacing w:after="0" w:line="240" w:lineRule="auto"/>
        <w:ind w:left="979" w:hanging="425"/>
        <w:jc w:val="both"/>
        <w:rPr>
          <w:rFonts w:ascii="Arial" w:eastAsia="Lucida Sans Unicode" w:hAnsi="Arial" w:cs="Arial"/>
          <w:b/>
          <w:lang w:val="es-ES_tradnl" w:eastAsia="es-ES"/>
        </w:rPr>
      </w:pPr>
      <w:r w:rsidRPr="0075594F">
        <w:rPr>
          <w:rFonts w:ascii="Arial" w:eastAsia="Lucida Sans Unicode" w:hAnsi="Arial" w:cs="Arial"/>
          <w:b/>
          <w:lang w:val="es-ES_tradnl" w:eastAsia="es-ES"/>
        </w:rPr>
        <w:t>De los cambios del CUS.</w:t>
      </w:r>
    </w:p>
    <w:p w:rsidR="0042148B" w:rsidRPr="0075594F" w:rsidRDefault="0042148B" w:rsidP="0042148B">
      <w:pPr>
        <w:spacing w:after="0" w:line="240" w:lineRule="auto"/>
        <w:ind w:left="979" w:right="139"/>
        <w:jc w:val="both"/>
        <w:rPr>
          <w:rFonts w:ascii="Arial" w:eastAsia="Times New Roman" w:hAnsi="Arial" w:cs="Arial"/>
          <w:lang w:val="es-ES" w:eastAsia="es-ES"/>
        </w:rPr>
      </w:pPr>
      <w:r w:rsidRPr="0075594F">
        <w:rPr>
          <w:rFonts w:ascii="Arial" w:eastAsia="Times New Roman" w:hAnsi="Arial" w:cs="Arial"/>
          <w:lang w:val="es-ES" w:eastAsia="es-ES"/>
        </w:rPr>
        <w:t>En ningún caso se efectúa cambios a los CUS asignados, salvo cuando son producto de una modificación física que implique independización, fraccionamiento o acumulación por los actos de venta directa, subasta pública, donaciones y otros procedimientos.</w:t>
      </w:r>
    </w:p>
    <w:p w:rsidR="0042148B" w:rsidRPr="0075594F" w:rsidRDefault="0042148B" w:rsidP="0042148B">
      <w:pPr>
        <w:spacing w:after="0" w:line="240" w:lineRule="auto"/>
        <w:ind w:left="979" w:right="139"/>
        <w:jc w:val="both"/>
        <w:rPr>
          <w:rFonts w:ascii="Arial" w:eastAsia="Times New Roman" w:hAnsi="Arial" w:cs="Arial"/>
          <w:lang w:val="es-ES" w:eastAsia="es-ES"/>
        </w:rPr>
      </w:pPr>
    </w:p>
    <w:p w:rsidR="0042148B" w:rsidRPr="0075594F" w:rsidRDefault="0042148B" w:rsidP="0042148B">
      <w:pPr>
        <w:spacing w:after="0" w:line="240" w:lineRule="auto"/>
        <w:ind w:left="979" w:right="139"/>
        <w:jc w:val="both"/>
        <w:rPr>
          <w:rFonts w:ascii="Arial" w:eastAsia="Times New Roman" w:hAnsi="Arial" w:cs="Arial"/>
          <w:lang w:val="es-ES" w:eastAsia="es-ES"/>
        </w:rPr>
      </w:pPr>
      <w:r w:rsidRPr="0075594F">
        <w:rPr>
          <w:rFonts w:ascii="Arial" w:eastAsia="Times New Roman" w:hAnsi="Arial" w:cs="Arial"/>
          <w:lang w:val="es-ES" w:eastAsia="es-ES"/>
        </w:rPr>
        <w:t>Para los casos de cambio de titular o administrador del bien inmueble que adquiere la totalidad del predio se conserva el CUS previamente asignado.</w:t>
      </w:r>
    </w:p>
    <w:p w:rsidR="0042148B" w:rsidRPr="0075594F" w:rsidRDefault="0042148B" w:rsidP="0042148B">
      <w:pPr>
        <w:spacing w:after="0" w:line="240" w:lineRule="auto"/>
        <w:ind w:left="979" w:right="139"/>
        <w:jc w:val="both"/>
        <w:rPr>
          <w:rFonts w:ascii="Arial" w:eastAsia="Times New Roman" w:hAnsi="Arial" w:cs="Arial"/>
          <w:i/>
          <w:lang w:val="es-ES" w:eastAsia="es-ES"/>
        </w:rPr>
      </w:pPr>
    </w:p>
    <w:p w:rsidR="0042148B" w:rsidRPr="0075594F" w:rsidRDefault="0042148B" w:rsidP="0092471C">
      <w:pPr>
        <w:widowControl w:val="0"/>
        <w:numPr>
          <w:ilvl w:val="1"/>
          <w:numId w:val="310"/>
        </w:numPr>
        <w:suppressAutoHyphens/>
        <w:spacing w:after="0" w:line="240" w:lineRule="auto"/>
        <w:ind w:left="979" w:hanging="425"/>
        <w:jc w:val="both"/>
        <w:rPr>
          <w:rFonts w:ascii="Arial" w:eastAsia="Lucida Sans Unicode" w:hAnsi="Arial" w:cs="Arial"/>
          <w:b/>
          <w:lang w:val="es-ES_tradnl" w:eastAsia="es-ES"/>
        </w:rPr>
      </w:pPr>
      <w:r w:rsidRPr="0075594F">
        <w:rPr>
          <w:rFonts w:ascii="Arial" w:eastAsia="Lucida Sans Unicode" w:hAnsi="Arial" w:cs="Arial"/>
          <w:b/>
          <w:lang w:val="es-ES_tradnl" w:eastAsia="es-ES"/>
        </w:rPr>
        <w:t>De los CUS asignados y registrados en la Base Grafica Catastral del SINABIP.</w:t>
      </w:r>
    </w:p>
    <w:p w:rsidR="0042148B" w:rsidRPr="0075594F" w:rsidRDefault="0042148B" w:rsidP="0042148B">
      <w:pPr>
        <w:widowControl w:val="0"/>
        <w:suppressAutoHyphens/>
        <w:spacing w:after="0" w:line="240" w:lineRule="auto"/>
        <w:ind w:left="979"/>
        <w:jc w:val="both"/>
        <w:rPr>
          <w:rFonts w:ascii="Arial" w:eastAsia="Lucida Sans Unicode" w:hAnsi="Arial" w:cs="Arial"/>
          <w:lang w:val="es-ES_tradnl" w:eastAsia="es-ES"/>
        </w:rPr>
      </w:pPr>
      <w:r w:rsidRPr="0075594F">
        <w:rPr>
          <w:rFonts w:ascii="Arial" w:eastAsia="Lucida Sans Unicode" w:hAnsi="Arial" w:cs="Arial"/>
          <w:lang w:val="es-ES_tradnl" w:eastAsia="es-ES"/>
        </w:rPr>
        <w:t xml:space="preserve">A toda entidad grafica corresponde ser asignado un CUS y a todo CUS le corresponde una entidad gráfica. </w:t>
      </w:r>
    </w:p>
    <w:p w:rsidR="0042148B" w:rsidRPr="0075594F" w:rsidRDefault="0042148B" w:rsidP="0042148B">
      <w:pPr>
        <w:widowControl w:val="0"/>
        <w:suppressAutoHyphens/>
        <w:spacing w:after="0" w:line="240" w:lineRule="auto"/>
        <w:ind w:left="979"/>
        <w:jc w:val="both"/>
        <w:rPr>
          <w:rFonts w:ascii="Arial" w:eastAsia="Lucida Sans Unicode" w:hAnsi="Arial" w:cs="Arial"/>
          <w:lang w:val="es-ES_tradnl" w:eastAsia="es-ES"/>
        </w:rPr>
      </w:pPr>
    </w:p>
    <w:p w:rsidR="0042148B" w:rsidRPr="0075594F" w:rsidRDefault="0042148B" w:rsidP="0042148B">
      <w:pPr>
        <w:widowControl w:val="0"/>
        <w:suppressAutoHyphens/>
        <w:spacing w:after="0" w:line="240" w:lineRule="auto"/>
        <w:ind w:left="979"/>
        <w:jc w:val="both"/>
        <w:rPr>
          <w:rFonts w:ascii="Arial" w:eastAsia="Lucida Sans Unicode" w:hAnsi="Arial" w:cs="Arial"/>
          <w:lang w:val="es-ES_tradnl" w:eastAsia="es-ES"/>
        </w:rPr>
      </w:pPr>
      <w:r w:rsidRPr="0075594F">
        <w:rPr>
          <w:rFonts w:ascii="Arial" w:eastAsia="Lucida Sans Unicode" w:hAnsi="Arial" w:cs="Arial"/>
          <w:lang w:val="es-ES_tradnl" w:eastAsia="es-ES"/>
        </w:rPr>
        <w:t>El número de CUS asignado y registrado en la Base Grafica Catastral del SINABIP es igual al número de fichas técnicas que obran en la base alfanumérica y/o reporte catastral del registro SINABIP.</w:t>
      </w:r>
    </w:p>
    <w:p w:rsidR="0042148B" w:rsidRPr="0075594F" w:rsidRDefault="0042148B" w:rsidP="0042148B">
      <w:pPr>
        <w:spacing w:after="0" w:line="240" w:lineRule="auto"/>
        <w:ind w:left="979" w:right="139"/>
        <w:jc w:val="both"/>
        <w:rPr>
          <w:rFonts w:ascii="Arial" w:eastAsia="Times New Roman" w:hAnsi="Arial" w:cs="Arial"/>
          <w:lang w:val="es-ES" w:eastAsia="es-ES"/>
        </w:rPr>
      </w:pPr>
    </w:p>
    <w:p w:rsidR="0042148B" w:rsidRPr="0075594F" w:rsidRDefault="0042148B" w:rsidP="0092471C">
      <w:pPr>
        <w:widowControl w:val="0"/>
        <w:numPr>
          <w:ilvl w:val="1"/>
          <w:numId w:val="310"/>
        </w:numPr>
        <w:suppressAutoHyphens/>
        <w:spacing w:after="0" w:line="240" w:lineRule="auto"/>
        <w:ind w:left="979" w:hanging="425"/>
        <w:jc w:val="both"/>
        <w:rPr>
          <w:rFonts w:ascii="Arial" w:eastAsia="Lucida Sans Unicode" w:hAnsi="Arial" w:cs="Arial"/>
          <w:b/>
          <w:lang w:val="es-ES_tradnl" w:eastAsia="es-ES"/>
        </w:rPr>
      </w:pPr>
      <w:r w:rsidRPr="0075594F">
        <w:rPr>
          <w:rFonts w:ascii="Arial" w:eastAsia="Lucida Sans Unicode" w:hAnsi="Arial" w:cs="Arial"/>
          <w:b/>
          <w:lang w:val="es-ES_tradnl" w:eastAsia="es-ES"/>
        </w:rPr>
        <w:t>De la cancelación de un CUS.</w:t>
      </w:r>
    </w:p>
    <w:p w:rsidR="0042148B" w:rsidRPr="0075594F" w:rsidRDefault="0042148B" w:rsidP="0042148B">
      <w:pPr>
        <w:spacing w:after="0" w:line="240" w:lineRule="auto"/>
        <w:ind w:left="979" w:right="139"/>
        <w:jc w:val="both"/>
        <w:rPr>
          <w:rFonts w:ascii="Arial" w:eastAsia="Times New Roman" w:hAnsi="Arial" w:cs="Arial"/>
          <w:lang w:val="es-ES" w:eastAsia="es-ES"/>
        </w:rPr>
      </w:pPr>
      <w:r w:rsidRPr="0075594F">
        <w:rPr>
          <w:rFonts w:ascii="Arial" w:eastAsia="Times New Roman" w:hAnsi="Arial" w:cs="Arial"/>
          <w:lang w:val="es-ES" w:eastAsia="es-ES"/>
        </w:rPr>
        <w:t>El CUS asignado se cancela en los siguientes casos, debidamente sustentados:</w:t>
      </w:r>
    </w:p>
    <w:p w:rsidR="0042148B" w:rsidRPr="0075594F" w:rsidRDefault="0042148B" w:rsidP="0042148B">
      <w:pPr>
        <w:spacing w:after="0" w:line="240" w:lineRule="auto"/>
        <w:jc w:val="both"/>
        <w:rPr>
          <w:rFonts w:ascii="Arial" w:eastAsia="Times New Roman" w:hAnsi="Arial" w:cs="Arial"/>
          <w:lang w:val="es-ES" w:eastAsia="es-ES"/>
        </w:rPr>
      </w:pPr>
    </w:p>
    <w:p w:rsidR="0042148B" w:rsidRPr="0075594F" w:rsidRDefault="0042148B" w:rsidP="0092471C">
      <w:pPr>
        <w:widowControl w:val="0"/>
        <w:numPr>
          <w:ilvl w:val="0"/>
          <w:numId w:val="307"/>
        </w:numPr>
        <w:suppressAutoHyphens/>
        <w:spacing w:after="0" w:line="240" w:lineRule="auto"/>
        <w:ind w:left="1404" w:hanging="425"/>
        <w:jc w:val="both"/>
        <w:rPr>
          <w:rFonts w:ascii="Arial" w:eastAsia="Lucida Sans Unicode" w:hAnsi="Arial" w:cs="Arial"/>
          <w:lang w:eastAsia="es-ES"/>
        </w:rPr>
      </w:pPr>
      <w:r w:rsidRPr="0075594F">
        <w:rPr>
          <w:rFonts w:ascii="Arial" w:eastAsia="Lucida Sans Unicode" w:hAnsi="Arial" w:cs="Arial"/>
          <w:lang w:eastAsia="es-ES"/>
        </w:rPr>
        <w:t>Traslación de dominio a favor de terceros (venta directa, subasta pública, o permuta de la totalidad del predio registrado en el SINABIP u otra modalidad).</w:t>
      </w:r>
    </w:p>
    <w:p w:rsidR="0042148B" w:rsidRPr="0075594F" w:rsidRDefault="0042148B" w:rsidP="0092471C">
      <w:pPr>
        <w:widowControl w:val="0"/>
        <w:numPr>
          <w:ilvl w:val="0"/>
          <w:numId w:val="307"/>
        </w:numPr>
        <w:suppressAutoHyphens/>
        <w:spacing w:after="0" w:line="240" w:lineRule="auto"/>
        <w:ind w:left="1404" w:hanging="425"/>
        <w:jc w:val="both"/>
        <w:rPr>
          <w:rFonts w:ascii="Arial" w:eastAsia="Lucida Sans Unicode" w:hAnsi="Arial" w:cs="Arial"/>
          <w:lang w:eastAsia="es-ES"/>
        </w:rPr>
      </w:pPr>
      <w:r w:rsidRPr="0075594F">
        <w:rPr>
          <w:rFonts w:ascii="Arial" w:eastAsia="Lucida Sans Unicode" w:hAnsi="Arial" w:cs="Arial"/>
          <w:lang w:eastAsia="es-ES"/>
        </w:rPr>
        <w:t>Cuando exista cierre total de partidas por duplicidad registral correspondientes a predios estatales.</w:t>
      </w:r>
    </w:p>
    <w:p w:rsidR="0042148B" w:rsidRPr="0075594F" w:rsidRDefault="0042148B" w:rsidP="0092471C">
      <w:pPr>
        <w:widowControl w:val="0"/>
        <w:numPr>
          <w:ilvl w:val="0"/>
          <w:numId w:val="307"/>
        </w:numPr>
        <w:suppressAutoHyphens/>
        <w:spacing w:after="0" w:line="240" w:lineRule="auto"/>
        <w:ind w:left="1404" w:hanging="425"/>
        <w:jc w:val="both"/>
        <w:rPr>
          <w:rFonts w:ascii="Arial" w:eastAsia="Lucida Sans Unicode" w:hAnsi="Arial" w:cs="Arial"/>
          <w:lang w:eastAsia="es-ES"/>
        </w:rPr>
      </w:pPr>
      <w:r w:rsidRPr="0075594F">
        <w:rPr>
          <w:rFonts w:ascii="Arial" w:eastAsia="Lucida Sans Unicode" w:hAnsi="Arial" w:cs="Arial"/>
          <w:lang w:eastAsia="es-ES"/>
        </w:rPr>
        <w:t>Cuando exista un doble registro del CUS en el SINABIP, cancelándose el registro más reciente.</w:t>
      </w:r>
    </w:p>
    <w:p w:rsidR="0042148B" w:rsidRPr="0075594F" w:rsidRDefault="0042148B" w:rsidP="0092471C">
      <w:pPr>
        <w:widowControl w:val="0"/>
        <w:numPr>
          <w:ilvl w:val="0"/>
          <w:numId w:val="307"/>
        </w:numPr>
        <w:suppressAutoHyphens/>
        <w:spacing w:after="0" w:line="240" w:lineRule="auto"/>
        <w:ind w:left="1404" w:hanging="425"/>
        <w:jc w:val="both"/>
        <w:rPr>
          <w:rFonts w:ascii="Arial" w:eastAsia="Lucida Sans Unicode" w:hAnsi="Arial" w:cs="Arial"/>
          <w:lang w:eastAsia="es-ES"/>
        </w:rPr>
      </w:pPr>
      <w:r w:rsidRPr="0075594F">
        <w:rPr>
          <w:rFonts w:ascii="Arial" w:eastAsia="Lucida Sans Unicode" w:hAnsi="Arial" w:cs="Arial"/>
          <w:lang w:eastAsia="es-ES"/>
        </w:rPr>
        <w:t xml:space="preserve">Cuando producto del saneamiento técnico legal la entidad titular o que administra concluya que el predio no es estatal. </w:t>
      </w:r>
    </w:p>
    <w:p w:rsidR="0042148B" w:rsidRPr="0075594F" w:rsidRDefault="0042148B" w:rsidP="0042148B">
      <w:pPr>
        <w:widowControl w:val="0"/>
        <w:suppressAutoHyphens/>
        <w:spacing w:after="0" w:line="240" w:lineRule="auto"/>
        <w:ind w:left="1404"/>
        <w:jc w:val="both"/>
        <w:rPr>
          <w:rFonts w:ascii="Arial" w:eastAsia="Lucida Sans Unicode" w:hAnsi="Arial" w:cs="Arial"/>
          <w:lang w:eastAsia="es-ES"/>
        </w:rPr>
      </w:pPr>
    </w:p>
    <w:p w:rsidR="0042148B" w:rsidRPr="0075594F" w:rsidRDefault="0042148B" w:rsidP="0042148B">
      <w:pPr>
        <w:spacing w:after="0" w:line="240" w:lineRule="auto"/>
        <w:ind w:left="979"/>
        <w:jc w:val="both"/>
        <w:rPr>
          <w:rFonts w:ascii="Arial" w:eastAsia="Times New Roman" w:hAnsi="Arial" w:cs="Arial"/>
          <w:lang w:eastAsia="es-ES"/>
        </w:rPr>
      </w:pPr>
      <w:r w:rsidRPr="0075594F">
        <w:rPr>
          <w:rFonts w:ascii="Arial" w:eastAsia="Times New Roman" w:hAnsi="Arial" w:cs="Arial"/>
          <w:lang w:eastAsia="es-ES"/>
        </w:rPr>
        <w:t>Toda cancelación de CUS deberá ser sustentado en el sistema indicando los motivos de la cancelación.</w:t>
      </w:r>
    </w:p>
    <w:p w:rsidR="0042148B" w:rsidRPr="0075594F" w:rsidRDefault="0042148B" w:rsidP="0042148B">
      <w:pPr>
        <w:widowControl w:val="0"/>
        <w:suppressAutoHyphens/>
        <w:spacing w:after="0" w:line="240" w:lineRule="auto"/>
        <w:ind w:left="1404"/>
        <w:jc w:val="both"/>
        <w:rPr>
          <w:rFonts w:ascii="Arial" w:eastAsia="Lucida Sans Unicode" w:hAnsi="Arial" w:cs="Arial"/>
          <w:lang w:eastAsia="es-ES"/>
        </w:rPr>
      </w:pPr>
    </w:p>
    <w:p w:rsidR="0042148B" w:rsidRPr="0075594F" w:rsidRDefault="0042148B" w:rsidP="0092471C">
      <w:pPr>
        <w:widowControl w:val="0"/>
        <w:numPr>
          <w:ilvl w:val="0"/>
          <w:numId w:val="310"/>
        </w:numPr>
        <w:suppressAutoHyphens/>
        <w:spacing w:after="0" w:line="240" w:lineRule="auto"/>
        <w:ind w:left="554" w:hanging="284"/>
        <w:jc w:val="both"/>
        <w:rPr>
          <w:rFonts w:ascii="Arial" w:eastAsia="Lucida Sans Unicode" w:hAnsi="Arial" w:cs="Arial"/>
          <w:b/>
          <w:lang w:val="es-ES_tradnl" w:eastAsia="es-ES"/>
        </w:rPr>
      </w:pPr>
      <w:r w:rsidRPr="0075594F">
        <w:rPr>
          <w:rFonts w:ascii="Arial" w:eastAsia="Lucida Sans Unicode" w:hAnsi="Arial" w:cs="Arial"/>
          <w:b/>
          <w:lang w:val="es-ES_tradnl" w:eastAsia="es-ES"/>
        </w:rPr>
        <w:t>DISPOSICIONES ESPECÍFICAS DEL PROCEDIMIENTO</w:t>
      </w:r>
    </w:p>
    <w:p w:rsidR="0042148B" w:rsidRPr="0075594F" w:rsidRDefault="0042148B" w:rsidP="0042148B">
      <w:pPr>
        <w:spacing w:after="0" w:line="240" w:lineRule="auto"/>
        <w:ind w:left="540" w:firstLine="4"/>
        <w:jc w:val="both"/>
        <w:rPr>
          <w:rFonts w:ascii="Arial" w:eastAsia="Times New Roman" w:hAnsi="Arial" w:cs="Arial"/>
          <w:b/>
          <w:lang w:val="es-ES" w:eastAsia="es-ES"/>
        </w:rPr>
      </w:pPr>
    </w:p>
    <w:p w:rsidR="0042148B" w:rsidRPr="0075594F" w:rsidRDefault="0042148B" w:rsidP="0092471C">
      <w:pPr>
        <w:widowControl w:val="0"/>
        <w:numPr>
          <w:ilvl w:val="1"/>
          <w:numId w:val="310"/>
        </w:numPr>
        <w:suppressAutoHyphens/>
        <w:spacing w:after="0" w:line="240" w:lineRule="auto"/>
        <w:ind w:left="979" w:hanging="425"/>
        <w:jc w:val="both"/>
        <w:rPr>
          <w:rFonts w:ascii="Arial" w:eastAsia="Lucida Sans Unicode" w:hAnsi="Arial" w:cs="Arial"/>
          <w:b/>
          <w:lang w:val="es-ES_tradnl" w:eastAsia="es-ES"/>
        </w:rPr>
      </w:pPr>
      <w:r w:rsidRPr="0075594F">
        <w:rPr>
          <w:rFonts w:ascii="Arial" w:eastAsia="Lucida Sans Unicode" w:hAnsi="Arial" w:cs="Arial"/>
          <w:b/>
          <w:lang w:val="es-ES_tradnl" w:eastAsia="es-ES"/>
        </w:rPr>
        <w:t>De los procedimientos de rectificación de áreas, linderos y medidas perimétricas en la base de datos del SINABIP.</w:t>
      </w:r>
    </w:p>
    <w:p w:rsidR="0042148B" w:rsidRPr="0075594F" w:rsidRDefault="0042148B" w:rsidP="0042148B">
      <w:pPr>
        <w:spacing w:after="0" w:line="240" w:lineRule="auto"/>
        <w:ind w:left="979" w:right="139"/>
        <w:jc w:val="both"/>
        <w:rPr>
          <w:rFonts w:ascii="Arial" w:eastAsia="Times New Roman" w:hAnsi="Arial" w:cs="Arial"/>
          <w:lang w:val="es-ES" w:eastAsia="es-ES"/>
        </w:rPr>
      </w:pPr>
      <w:r w:rsidRPr="0075594F">
        <w:rPr>
          <w:rFonts w:ascii="Arial" w:eastAsia="Times New Roman" w:hAnsi="Arial" w:cs="Arial"/>
          <w:lang w:val="es-ES" w:eastAsia="es-ES"/>
        </w:rPr>
        <w:t>En los casos de procedimientos de rectificación de áreas, linderos y medidas perimétricas de predios estatales inscritos en el RR.PP. registrados en el SINABIP, que no cuenten con planos o contando con estos no se encuentren georreferenciados, se mantiene el CUS previamente asignado, en tanto no se produzca fraccionamiento o acumulación de predios, producto de su saneamiento.</w:t>
      </w:r>
    </w:p>
    <w:p w:rsidR="0042148B" w:rsidRPr="0075594F" w:rsidRDefault="0042148B" w:rsidP="0042148B">
      <w:pPr>
        <w:spacing w:after="0" w:line="240" w:lineRule="auto"/>
        <w:ind w:left="979" w:right="139"/>
        <w:jc w:val="both"/>
        <w:rPr>
          <w:rFonts w:ascii="Arial" w:eastAsia="Times New Roman" w:hAnsi="Arial" w:cs="Arial"/>
          <w:lang w:val="es-ES" w:eastAsia="es-ES"/>
        </w:rPr>
      </w:pPr>
    </w:p>
    <w:p w:rsidR="0042148B" w:rsidRPr="0075594F" w:rsidRDefault="0042148B" w:rsidP="0042148B">
      <w:pPr>
        <w:spacing w:after="0" w:line="240" w:lineRule="auto"/>
        <w:ind w:left="979" w:right="139"/>
        <w:jc w:val="both"/>
        <w:rPr>
          <w:rFonts w:ascii="Arial" w:eastAsia="Times New Roman" w:hAnsi="Arial" w:cs="Arial"/>
          <w:lang w:val="es-ES" w:eastAsia="es-ES"/>
        </w:rPr>
      </w:pPr>
      <w:r w:rsidRPr="0075594F">
        <w:rPr>
          <w:rFonts w:ascii="Arial" w:eastAsia="Times New Roman" w:hAnsi="Arial" w:cs="Arial"/>
          <w:lang w:val="es-ES" w:eastAsia="es-ES"/>
        </w:rPr>
        <w:t>En caso que se produzca subdivisión, independización, fraccionamiento o acumulación, se efectúa la rectificación de áreas, medidas perimétricas, linderos, ubicación y datos físicos en la base de datos catastral del SINABIP, de acuerdo a la actualización del levantamiento catastral georreferenciado o a la determinación y reconstrucción del plano inscrito, en cuyo caso se aplican las reglas siguientes:</w:t>
      </w:r>
    </w:p>
    <w:p w:rsidR="0042148B" w:rsidRPr="0075594F" w:rsidRDefault="0042148B" w:rsidP="0042148B">
      <w:pPr>
        <w:spacing w:after="0" w:line="240" w:lineRule="auto"/>
        <w:jc w:val="both"/>
        <w:rPr>
          <w:rFonts w:ascii="Arial" w:eastAsia="Times New Roman" w:hAnsi="Arial" w:cs="Arial"/>
          <w:lang w:val="es-ES" w:eastAsia="es-ES"/>
        </w:rPr>
      </w:pPr>
    </w:p>
    <w:p w:rsidR="0042148B" w:rsidRPr="0075594F" w:rsidRDefault="0042148B" w:rsidP="0092471C">
      <w:pPr>
        <w:widowControl w:val="0"/>
        <w:numPr>
          <w:ilvl w:val="0"/>
          <w:numId w:val="311"/>
        </w:numPr>
        <w:suppressAutoHyphens/>
        <w:spacing w:after="0" w:line="240" w:lineRule="auto"/>
        <w:ind w:left="1404" w:right="139" w:hanging="425"/>
        <w:jc w:val="both"/>
        <w:rPr>
          <w:rFonts w:ascii="Arial" w:eastAsia="Lucida Sans Unicode" w:hAnsi="Arial" w:cs="Arial"/>
          <w:lang w:eastAsia="es-ES"/>
        </w:rPr>
      </w:pPr>
      <w:r w:rsidRPr="0075594F">
        <w:rPr>
          <w:rFonts w:ascii="Arial" w:eastAsia="Lucida Sans Unicode" w:hAnsi="Arial" w:cs="Arial"/>
          <w:lang w:eastAsia="es-ES"/>
        </w:rPr>
        <w:t>Respecto a predios estatales inscritos y registrados en el SINABIP que requieren su georreferenciación y por la presencia de infraestructura de uso público consolidado, se divide físicamente al predio, asignándole a cada sección su respectivo CUS, quedando en el histórico el CUS de la matriz.</w:t>
      </w:r>
    </w:p>
    <w:p w:rsidR="0042148B" w:rsidRPr="0075594F" w:rsidRDefault="0042148B" w:rsidP="0042148B">
      <w:pPr>
        <w:widowControl w:val="0"/>
        <w:suppressAutoHyphens/>
        <w:spacing w:after="0" w:line="240" w:lineRule="auto"/>
        <w:ind w:left="1404" w:right="139"/>
        <w:jc w:val="both"/>
        <w:rPr>
          <w:rFonts w:ascii="Arial" w:eastAsia="Lucida Sans Unicode" w:hAnsi="Arial" w:cs="Arial"/>
          <w:lang w:eastAsia="es-ES"/>
        </w:rPr>
      </w:pPr>
    </w:p>
    <w:p w:rsidR="0042148B" w:rsidRPr="0075594F" w:rsidRDefault="0042148B" w:rsidP="0092471C">
      <w:pPr>
        <w:widowControl w:val="0"/>
        <w:numPr>
          <w:ilvl w:val="0"/>
          <w:numId w:val="311"/>
        </w:numPr>
        <w:suppressAutoHyphens/>
        <w:spacing w:after="0" w:line="240" w:lineRule="auto"/>
        <w:ind w:left="1404" w:right="139" w:hanging="425"/>
        <w:jc w:val="both"/>
        <w:rPr>
          <w:rFonts w:ascii="Arial" w:eastAsia="Lucida Sans Unicode" w:hAnsi="Arial" w:cs="Arial"/>
          <w:lang w:eastAsia="es-ES"/>
        </w:rPr>
      </w:pPr>
      <w:r w:rsidRPr="0075594F">
        <w:rPr>
          <w:rFonts w:ascii="Arial" w:eastAsia="Lucida Sans Unicode" w:hAnsi="Arial" w:cs="Arial"/>
          <w:lang w:eastAsia="es-ES"/>
        </w:rPr>
        <w:t>Respecto a predios estatales inscritos y registrados en el SINABIP, cuya matriz se encuentra superpuesta parcialmente, se corrige simultáneamente sus medidas perimétricas y su georreferenciación, manteniendo cada predio su respectivo CUS.</w:t>
      </w:r>
    </w:p>
    <w:p w:rsidR="0042148B" w:rsidRPr="0075594F" w:rsidRDefault="0042148B" w:rsidP="0042148B">
      <w:pPr>
        <w:widowControl w:val="0"/>
        <w:suppressAutoHyphens/>
        <w:spacing w:after="0" w:line="240" w:lineRule="auto"/>
        <w:ind w:left="708"/>
        <w:rPr>
          <w:rFonts w:ascii="Arial" w:eastAsia="Lucida Sans Unicode" w:hAnsi="Arial" w:cs="Arial"/>
          <w:lang w:eastAsia="es-ES"/>
        </w:rPr>
      </w:pPr>
    </w:p>
    <w:p w:rsidR="0042148B" w:rsidRPr="0075594F" w:rsidRDefault="0042148B" w:rsidP="0092471C">
      <w:pPr>
        <w:widowControl w:val="0"/>
        <w:numPr>
          <w:ilvl w:val="0"/>
          <w:numId w:val="311"/>
        </w:numPr>
        <w:suppressAutoHyphens/>
        <w:spacing w:after="0" w:line="240" w:lineRule="auto"/>
        <w:ind w:left="1404" w:right="139" w:hanging="425"/>
        <w:jc w:val="both"/>
        <w:rPr>
          <w:rFonts w:ascii="Arial" w:eastAsia="Lucida Sans Unicode" w:hAnsi="Arial" w:cs="Arial"/>
          <w:lang w:eastAsia="es-ES"/>
        </w:rPr>
      </w:pPr>
      <w:r w:rsidRPr="0075594F">
        <w:rPr>
          <w:rFonts w:ascii="Arial" w:eastAsia="Lucida Sans Unicode" w:hAnsi="Arial" w:cs="Arial"/>
          <w:lang w:eastAsia="es-ES"/>
        </w:rPr>
        <w:t>Respecto a predios estatales inscritos y registrados en el SINABIP, cuya matriz se encuentra superpuesta parcialmente con un predio privado inscrito por una mala georreferenciación, mantiene su CUS, luego del proceso de rectificación de la misma, en tanto no se dé por cancelada la partida registral.</w:t>
      </w:r>
    </w:p>
    <w:p w:rsidR="0042148B" w:rsidRPr="0075594F" w:rsidRDefault="0042148B" w:rsidP="0042148B">
      <w:pPr>
        <w:spacing w:after="0" w:line="240" w:lineRule="auto"/>
        <w:ind w:right="139"/>
        <w:jc w:val="both"/>
        <w:rPr>
          <w:rFonts w:ascii="Arial" w:eastAsia="Times New Roman" w:hAnsi="Arial" w:cs="Arial"/>
          <w:lang w:eastAsia="es-ES"/>
        </w:rPr>
      </w:pPr>
    </w:p>
    <w:p w:rsidR="0042148B" w:rsidRPr="0075594F" w:rsidRDefault="0042148B" w:rsidP="0092471C">
      <w:pPr>
        <w:widowControl w:val="0"/>
        <w:numPr>
          <w:ilvl w:val="0"/>
          <w:numId w:val="311"/>
        </w:numPr>
        <w:suppressAutoHyphens/>
        <w:spacing w:after="0" w:line="240" w:lineRule="auto"/>
        <w:ind w:left="1404" w:right="139" w:hanging="425"/>
        <w:jc w:val="both"/>
        <w:rPr>
          <w:rFonts w:ascii="Arial" w:eastAsia="Lucida Sans Unicode" w:hAnsi="Arial" w:cs="Arial"/>
          <w:lang w:eastAsia="es-ES"/>
        </w:rPr>
      </w:pPr>
      <w:r w:rsidRPr="0075594F">
        <w:rPr>
          <w:rFonts w:ascii="Arial" w:eastAsia="Lucida Sans Unicode" w:hAnsi="Arial" w:cs="Arial"/>
          <w:lang w:eastAsia="es-ES"/>
        </w:rPr>
        <w:t>En el caso que se determine que el predio matriz ha sido materia de independización inscrita en Registros Públicos y en el SINABIP por la SBN, habiéndose asignado los CUS correspondientes y exista errores en los planos inscritos de ambos predios, se procederá a ejecutar una rectificación de áreas, medidas perimétricas y linderos de ambos en la base de datos catastral del SINABIP, en forma simultánea, preservando cada predio el CUS asignado.</w:t>
      </w:r>
    </w:p>
    <w:p w:rsidR="0042148B" w:rsidRPr="0075594F" w:rsidRDefault="0042148B" w:rsidP="0042148B">
      <w:pPr>
        <w:widowControl w:val="0"/>
        <w:suppressAutoHyphens/>
        <w:spacing w:after="0" w:line="240" w:lineRule="auto"/>
        <w:ind w:left="708"/>
        <w:rPr>
          <w:rFonts w:ascii="Arial" w:eastAsia="Lucida Sans Unicode" w:hAnsi="Arial" w:cs="Arial"/>
          <w:lang w:eastAsia="es-ES"/>
        </w:rPr>
      </w:pPr>
    </w:p>
    <w:p w:rsidR="0042148B" w:rsidRPr="0075594F" w:rsidRDefault="0042148B" w:rsidP="0092471C">
      <w:pPr>
        <w:widowControl w:val="0"/>
        <w:numPr>
          <w:ilvl w:val="0"/>
          <w:numId w:val="311"/>
        </w:numPr>
        <w:suppressAutoHyphens/>
        <w:spacing w:after="0" w:line="240" w:lineRule="auto"/>
        <w:ind w:left="1404" w:right="139" w:hanging="425"/>
        <w:jc w:val="both"/>
        <w:rPr>
          <w:rFonts w:ascii="Arial" w:eastAsia="Lucida Sans Unicode" w:hAnsi="Arial" w:cs="Arial"/>
          <w:lang w:eastAsia="es-ES"/>
        </w:rPr>
      </w:pPr>
      <w:r w:rsidRPr="0075594F">
        <w:rPr>
          <w:rFonts w:ascii="Arial" w:eastAsia="Lucida Sans Unicode" w:hAnsi="Arial" w:cs="Arial"/>
          <w:lang w:eastAsia="es-ES"/>
        </w:rPr>
        <w:t>Respecto a predios estatales inscritos y registrados en el SINABIP que requieran de determinación o reconstrucción del plano, al no existir éste, o de la conversión de unidad de medida, de ser el caso, igualmente mantendrá el CUS o se le asignara su CUS, de no tenerlo independientemente del proceso que se ejecute.</w:t>
      </w:r>
    </w:p>
    <w:p w:rsidR="0042148B" w:rsidRPr="0075594F" w:rsidRDefault="0042148B" w:rsidP="0042148B">
      <w:pPr>
        <w:widowControl w:val="0"/>
        <w:suppressAutoHyphens/>
        <w:spacing w:after="0" w:line="240" w:lineRule="auto"/>
        <w:ind w:left="1404" w:right="139"/>
        <w:jc w:val="both"/>
        <w:rPr>
          <w:rFonts w:ascii="Arial" w:eastAsia="Lucida Sans Unicode" w:hAnsi="Arial" w:cs="Arial"/>
          <w:lang w:eastAsia="es-ES"/>
        </w:rPr>
      </w:pPr>
    </w:p>
    <w:p w:rsidR="0042148B" w:rsidRPr="0075594F" w:rsidRDefault="0042148B" w:rsidP="0092471C">
      <w:pPr>
        <w:widowControl w:val="0"/>
        <w:numPr>
          <w:ilvl w:val="0"/>
          <w:numId w:val="311"/>
        </w:numPr>
        <w:suppressAutoHyphens/>
        <w:spacing w:after="0" w:line="240" w:lineRule="auto"/>
        <w:ind w:left="1404" w:right="139" w:hanging="425"/>
        <w:jc w:val="both"/>
        <w:rPr>
          <w:rFonts w:ascii="Arial" w:eastAsia="Lucida Sans Unicode" w:hAnsi="Arial" w:cs="Arial"/>
          <w:lang w:eastAsia="es-ES"/>
        </w:rPr>
      </w:pPr>
      <w:r w:rsidRPr="0075594F">
        <w:rPr>
          <w:rFonts w:ascii="Arial" w:eastAsia="Lucida Sans Unicode" w:hAnsi="Arial" w:cs="Arial"/>
          <w:lang w:eastAsia="es-ES"/>
        </w:rPr>
        <w:t>En caso de propiedad horizontal inscrito a favor del Estado se asigna a cada predio el CUS correlativo, vinculado al CUS de la matriz (áreas comunes), en concordancia con lo que establece la Guía del CUC aprobado por Resolución N° 01-2010-SNCP-CNC.</w:t>
      </w:r>
    </w:p>
    <w:p w:rsidR="0042148B" w:rsidRPr="0075594F" w:rsidRDefault="0042148B" w:rsidP="0042148B">
      <w:pPr>
        <w:widowControl w:val="0"/>
        <w:suppressAutoHyphens/>
        <w:spacing w:after="0" w:line="240" w:lineRule="auto"/>
        <w:ind w:left="1404" w:right="139"/>
        <w:jc w:val="both"/>
        <w:rPr>
          <w:rFonts w:ascii="Arial" w:eastAsia="Lucida Sans Unicode" w:hAnsi="Arial" w:cs="Arial"/>
          <w:lang w:eastAsia="es-ES"/>
        </w:rPr>
      </w:pPr>
    </w:p>
    <w:p w:rsidR="0042148B" w:rsidRPr="0075594F" w:rsidRDefault="0042148B" w:rsidP="0092471C">
      <w:pPr>
        <w:widowControl w:val="0"/>
        <w:numPr>
          <w:ilvl w:val="1"/>
          <w:numId w:val="310"/>
        </w:numPr>
        <w:suppressAutoHyphens/>
        <w:spacing w:after="0" w:line="240" w:lineRule="auto"/>
        <w:ind w:left="979" w:hanging="425"/>
        <w:jc w:val="both"/>
        <w:rPr>
          <w:rFonts w:ascii="Arial" w:eastAsia="Lucida Sans Unicode" w:hAnsi="Arial" w:cs="Arial"/>
          <w:b/>
          <w:lang w:eastAsia="es-ES"/>
        </w:rPr>
      </w:pPr>
      <w:r w:rsidRPr="0075594F">
        <w:rPr>
          <w:rFonts w:ascii="Arial" w:eastAsia="Lucida Sans Unicode" w:hAnsi="Arial" w:cs="Arial"/>
          <w:b/>
          <w:lang w:val="es-ES_tradnl" w:eastAsia="es-ES"/>
        </w:rPr>
        <w:t>En los Actos de Adquisición, Administración, Disposición y Supervisión de los Bienes del Estado.</w:t>
      </w:r>
    </w:p>
    <w:p w:rsidR="0042148B" w:rsidRPr="0075594F" w:rsidRDefault="0042148B" w:rsidP="0042148B">
      <w:pPr>
        <w:widowControl w:val="0"/>
        <w:suppressAutoHyphens/>
        <w:spacing w:after="0" w:line="240" w:lineRule="auto"/>
        <w:ind w:left="979"/>
        <w:jc w:val="both"/>
        <w:rPr>
          <w:rFonts w:ascii="Arial" w:eastAsia="Lucida Sans Unicode" w:hAnsi="Arial" w:cs="Arial"/>
          <w:lang w:eastAsia="es-ES"/>
        </w:rPr>
      </w:pPr>
    </w:p>
    <w:p w:rsidR="0042148B" w:rsidRPr="0075594F" w:rsidRDefault="0042148B" w:rsidP="0092471C">
      <w:pPr>
        <w:widowControl w:val="0"/>
        <w:numPr>
          <w:ilvl w:val="2"/>
          <w:numId w:val="310"/>
        </w:numPr>
        <w:suppressAutoHyphens/>
        <w:spacing w:after="0" w:line="240" w:lineRule="auto"/>
        <w:ind w:left="1688" w:hanging="709"/>
        <w:jc w:val="both"/>
        <w:rPr>
          <w:rFonts w:ascii="Arial" w:eastAsia="Lucida Sans Unicode" w:hAnsi="Arial" w:cs="Arial"/>
          <w:b/>
          <w:lang w:eastAsia="es-ES"/>
        </w:rPr>
      </w:pPr>
      <w:r w:rsidRPr="0075594F">
        <w:rPr>
          <w:rFonts w:ascii="Arial" w:eastAsia="Lucida Sans Unicode" w:hAnsi="Arial" w:cs="Arial"/>
          <w:b/>
          <w:lang w:eastAsia="es-ES"/>
        </w:rPr>
        <w:t>De los Actos de Adquisición:</w:t>
      </w:r>
    </w:p>
    <w:p w:rsidR="0042148B" w:rsidRPr="0075594F" w:rsidRDefault="0042148B" w:rsidP="0042148B">
      <w:pPr>
        <w:spacing w:after="0" w:line="240" w:lineRule="auto"/>
        <w:ind w:right="139"/>
        <w:rPr>
          <w:rFonts w:ascii="Arial" w:eastAsia="Times New Roman" w:hAnsi="Arial" w:cs="Arial"/>
          <w:lang w:eastAsia="es-ES"/>
        </w:rPr>
      </w:pPr>
    </w:p>
    <w:p w:rsidR="0042148B" w:rsidRPr="0075594F" w:rsidRDefault="0042148B" w:rsidP="0092471C">
      <w:pPr>
        <w:widowControl w:val="0"/>
        <w:numPr>
          <w:ilvl w:val="0"/>
          <w:numId w:val="308"/>
        </w:numPr>
        <w:suppressAutoHyphens/>
        <w:spacing w:after="0" w:line="240" w:lineRule="auto"/>
        <w:ind w:left="2113" w:right="139" w:hanging="425"/>
        <w:jc w:val="both"/>
        <w:rPr>
          <w:rFonts w:ascii="Arial" w:eastAsia="Lucida Sans Unicode" w:hAnsi="Arial" w:cs="Arial"/>
          <w:lang w:eastAsia="es-ES"/>
        </w:rPr>
      </w:pPr>
      <w:r w:rsidRPr="0075594F">
        <w:rPr>
          <w:rFonts w:ascii="Arial" w:eastAsia="Lucida Sans Unicode" w:hAnsi="Arial" w:cs="Arial"/>
          <w:lang w:eastAsia="es-ES"/>
        </w:rPr>
        <w:t>En el caso de predios que son objeto de la primera inscripción de dominio a favor del Estado u cualquier entidad estatal en particular, que no están registrados en el SINABIP, corresponde asignar un CUS.</w:t>
      </w:r>
    </w:p>
    <w:p w:rsidR="0042148B" w:rsidRPr="0075594F" w:rsidRDefault="0042148B" w:rsidP="0042148B">
      <w:pPr>
        <w:widowControl w:val="0"/>
        <w:suppressAutoHyphens/>
        <w:spacing w:after="0" w:line="240" w:lineRule="auto"/>
        <w:ind w:left="720" w:right="139"/>
        <w:jc w:val="both"/>
        <w:rPr>
          <w:rFonts w:ascii="Arial" w:eastAsia="Lucida Sans Unicode" w:hAnsi="Arial" w:cs="Arial"/>
          <w:lang w:eastAsia="es-ES"/>
        </w:rPr>
      </w:pPr>
    </w:p>
    <w:p w:rsidR="0042148B" w:rsidRPr="0075594F" w:rsidRDefault="0042148B" w:rsidP="0092471C">
      <w:pPr>
        <w:widowControl w:val="0"/>
        <w:numPr>
          <w:ilvl w:val="0"/>
          <w:numId w:val="308"/>
        </w:numPr>
        <w:suppressAutoHyphens/>
        <w:spacing w:after="0" w:line="240" w:lineRule="auto"/>
        <w:ind w:left="2113" w:right="139" w:hanging="425"/>
        <w:jc w:val="both"/>
        <w:rPr>
          <w:rFonts w:ascii="Arial" w:eastAsia="Lucida Sans Unicode" w:hAnsi="Arial" w:cs="Arial"/>
          <w:lang w:eastAsia="es-ES"/>
        </w:rPr>
      </w:pPr>
      <w:r w:rsidRPr="0075594F">
        <w:rPr>
          <w:rFonts w:ascii="Arial" w:eastAsia="Lucida Sans Unicode" w:hAnsi="Arial" w:cs="Arial"/>
          <w:lang w:eastAsia="es-ES"/>
        </w:rPr>
        <w:t>En los procedimientos de donación a favor del Estado, dación de pago, reversión de dominio y asunción de titularidad por abandono, corresponde asignar un CUS.</w:t>
      </w:r>
    </w:p>
    <w:p w:rsidR="0042148B" w:rsidRPr="0075594F" w:rsidRDefault="0042148B" w:rsidP="0042148B">
      <w:pPr>
        <w:spacing w:after="0" w:line="240" w:lineRule="auto"/>
        <w:ind w:left="2106" w:right="139"/>
        <w:jc w:val="both"/>
        <w:rPr>
          <w:rFonts w:ascii="Arial" w:eastAsia="Times New Roman" w:hAnsi="Arial" w:cs="Arial"/>
          <w:i/>
          <w:lang w:val="es-ES" w:eastAsia="es-ES"/>
        </w:rPr>
      </w:pPr>
    </w:p>
    <w:p w:rsidR="0042148B" w:rsidRPr="0075594F" w:rsidRDefault="0042148B" w:rsidP="0092471C">
      <w:pPr>
        <w:widowControl w:val="0"/>
        <w:numPr>
          <w:ilvl w:val="0"/>
          <w:numId w:val="308"/>
        </w:numPr>
        <w:suppressAutoHyphens/>
        <w:spacing w:after="0" w:line="240" w:lineRule="auto"/>
        <w:ind w:left="2113" w:right="139" w:hanging="425"/>
        <w:jc w:val="both"/>
        <w:rPr>
          <w:rFonts w:ascii="Arial" w:eastAsia="Lucida Sans Unicode" w:hAnsi="Arial" w:cs="Arial"/>
          <w:lang w:eastAsia="es-ES"/>
        </w:rPr>
      </w:pPr>
      <w:r w:rsidRPr="0075594F">
        <w:rPr>
          <w:rFonts w:ascii="Arial" w:eastAsia="Lucida Sans Unicode" w:hAnsi="Arial" w:cs="Arial"/>
          <w:lang w:eastAsia="es-ES"/>
        </w:rPr>
        <w:t xml:space="preserve">A los terrenos ubicados en la zona de playa y zona de dominio restringido les corresponde un CUS, bajo las reglas siguientes: </w:t>
      </w:r>
    </w:p>
    <w:p w:rsidR="0042148B" w:rsidRPr="0075594F" w:rsidRDefault="0042148B" w:rsidP="0042148B">
      <w:pPr>
        <w:widowControl w:val="0"/>
        <w:suppressAutoHyphens/>
        <w:spacing w:after="0" w:line="240" w:lineRule="auto"/>
        <w:ind w:left="2397" w:right="139"/>
        <w:jc w:val="both"/>
        <w:rPr>
          <w:rFonts w:ascii="Arial" w:eastAsia="Lucida Sans Unicode" w:hAnsi="Arial" w:cs="Arial"/>
          <w:lang w:eastAsia="es-ES"/>
        </w:rPr>
      </w:pPr>
    </w:p>
    <w:p w:rsidR="0042148B" w:rsidRPr="0075594F" w:rsidRDefault="0042148B" w:rsidP="0092471C">
      <w:pPr>
        <w:widowControl w:val="0"/>
        <w:numPr>
          <w:ilvl w:val="0"/>
          <w:numId w:val="309"/>
        </w:numPr>
        <w:suppressAutoHyphens/>
        <w:spacing w:after="0" w:line="240" w:lineRule="auto"/>
        <w:ind w:left="2397" w:right="139" w:hanging="284"/>
        <w:jc w:val="both"/>
        <w:rPr>
          <w:rFonts w:ascii="Arial" w:eastAsia="Lucida Sans Unicode" w:hAnsi="Arial" w:cs="Arial"/>
          <w:lang w:eastAsia="es-ES"/>
        </w:rPr>
      </w:pPr>
      <w:r w:rsidRPr="0075594F">
        <w:rPr>
          <w:rFonts w:ascii="Arial" w:eastAsia="Lucida Sans Unicode" w:hAnsi="Arial" w:cs="Arial"/>
          <w:b/>
          <w:lang w:eastAsia="es-ES"/>
        </w:rPr>
        <w:t>Predios no inscritos en RRPP que cuentan con CUS</w:t>
      </w:r>
      <w:r w:rsidRPr="0075594F">
        <w:rPr>
          <w:rFonts w:ascii="Arial" w:eastAsia="Lucida Sans Unicode" w:hAnsi="Arial" w:cs="Arial"/>
          <w:lang w:eastAsia="es-ES"/>
        </w:rPr>
        <w:t>.- Luego de su inscripción en los Registros Públicos, mantienen el mismo CUS previamente asignado.</w:t>
      </w:r>
    </w:p>
    <w:p w:rsidR="0042148B" w:rsidRPr="0075594F" w:rsidRDefault="0042148B" w:rsidP="0042148B">
      <w:pPr>
        <w:spacing w:after="0" w:line="240" w:lineRule="auto"/>
        <w:ind w:left="724" w:right="139"/>
        <w:jc w:val="both"/>
        <w:rPr>
          <w:rFonts w:ascii="Arial" w:eastAsia="Times New Roman" w:hAnsi="Arial" w:cs="Arial"/>
          <w:lang w:eastAsia="es-ES"/>
        </w:rPr>
      </w:pPr>
    </w:p>
    <w:p w:rsidR="0042148B" w:rsidRPr="0075594F" w:rsidRDefault="0042148B" w:rsidP="0092471C">
      <w:pPr>
        <w:widowControl w:val="0"/>
        <w:numPr>
          <w:ilvl w:val="0"/>
          <w:numId w:val="309"/>
        </w:numPr>
        <w:suppressAutoHyphens/>
        <w:spacing w:after="0" w:line="240" w:lineRule="auto"/>
        <w:ind w:left="2397" w:right="139" w:hanging="284"/>
        <w:jc w:val="both"/>
        <w:rPr>
          <w:rFonts w:ascii="Arial" w:eastAsia="Lucida Sans Unicode" w:hAnsi="Arial" w:cs="Arial"/>
          <w:lang w:eastAsia="es-ES"/>
        </w:rPr>
      </w:pPr>
      <w:r w:rsidRPr="0075594F">
        <w:rPr>
          <w:rFonts w:ascii="Arial" w:eastAsia="Lucida Sans Unicode" w:hAnsi="Arial" w:cs="Arial"/>
          <w:b/>
          <w:lang w:eastAsia="es-ES"/>
        </w:rPr>
        <w:t>Predios inscritos o no inscritos en RRPP que no cuentan con CUS.-</w:t>
      </w:r>
      <w:r w:rsidRPr="0075594F">
        <w:rPr>
          <w:rFonts w:ascii="Arial" w:eastAsia="Lucida Sans Unicode" w:hAnsi="Arial" w:cs="Arial"/>
          <w:lang w:eastAsia="es-ES"/>
        </w:rPr>
        <w:t xml:space="preserve"> Se les asigna un CUS, de acuerdo al procedimiento correspondiente.</w:t>
      </w:r>
    </w:p>
    <w:p w:rsidR="0042148B" w:rsidRPr="0075594F" w:rsidRDefault="0042148B" w:rsidP="0042148B">
      <w:pPr>
        <w:widowControl w:val="0"/>
        <w:suppressAutoHyphens/>
        <w:spacing w:after="0" w:line="240" w:lineRule="auto"/>
        <w:ind w:left="708"/>
        <w:rPr>
          <w:rFonts w:ascii="Arial" w:eastAsia="Lucida Sans Unicode" w:hAnsi="Arial" w:cs="Arial"/>
          <w:lang w:eastAsia="es-ES"/>
        </w:rPr>
      </w:pPr>
    </w:p>
    <w:p w:rsidR="0042148B" w:rsidRPr="0075594F" w:rsidRDefault="0042148B" w:rsidP="0092471C">
      <w:pPr>
        <w:widowControl w:val="0"/>
        <w:numPr>
          <w:ilvl w:val="2"/>
          <w:numId w:val="310"/>
        </w:numPr>
        <w:suppressAutoHyphens/>
        <w:spacing w:after="0" w:line="240" w:lineRule="auto"/>
        <w:ind w:left="1688" w:hanging="709"/>
        <w:jc w:val="both"/>
        <w:rPr>
          <w:rFonts w:ascii="Arial" w:eastAsia="Lucida Sans Unicode" w:hAnsi="Arial" w:cs="Arial"/>
          <w:b/>
          <w:lang w:eastAsia="es-ES"/>
        </w:rPr>
      </w:pPr>
      <w:r w:rsidRPr="0075594F">
        <w:rPr>
          <w:rFonts w:ascii="Arial" w:eastAsia="Lucida Sans Unicode" w:hAnsi="Arial" w:cs="Arial"/>
          <w:b/>
          <w:lang w:eastAsia="es-ES"/>
        </w:rPr>
        <w:t>De los Actos de Administración:</w:t>
      </w:r>
      <w:r w:rsidRPr="0075594F">
        <w:rPr>
          <w:rFonts w:ascii="Arial" w:eastAsia="Lucida Sans Unicode" w:hAnsi="Arial" w:cs="Arial"/>
          <w:b/>
          <w:lang w:eastAsia="es-ES"/>
        </w:rPr>
        <w:tab/>
      </w:r>
    </w:p>
    <w:p w:rsidR="0042148B" w:rsidRPr="0075594F" w:rsidRDefault="0042148B" w:rsidP="0042148B">
      <w:pPr>
        <w:widowControl w:val="0"/>
        <w:suppressAutoHyphens/>
        <w:spacing w:after="0" w:line="240" w:lineRule="auto"/>
        <w:ind w:left="1688" w:right="139"/>
        <w:jc w:val="both"/>
        <w:rPr>
          <w:rFonts w:ascii="Arial" w:eastAsia="Lucida Sans Unicode" w:hAnsi="Arial" w:cs="Arial"/>
          <w:lang w:eastAsia="es-ES"/>
        </w:rPr>
      </w:pPr>
      <w:r w:rsidRPr="0075594F">
        <w:rPr>
          <w:rFonts w:ascii="Arial" w:eastAsia="Lucida Sans Unicode" w:hAnsi="Arial" w:cs="Arial"/>
          <w:lang w:eastAsia="es-ES"/>
        </w:rPr>
        <w:t xml:space="preserve">El uso de los CUS en los actos de administración, tales como: usufructo, arrendamiento, afectación en uso, cesión en uso, comodato, declaratoria de fábrica, demolición y otros actos que no impliquen desplazamiento de dominio, se les asigna el CUS, vinculándose al CUS asignado a la matriz. </w:t>
      </w:r>
    </w:p>
    <w:p w:rsidR="0042148B" w:rsidRPr="0075594F" w:rsidRDefault="0042148B" w:rsidP="0042148B">
      <w:pPr>
        <w:widowControl w:val="0"/>
        <w:suppressAutoHyphens/>
        <w:spacing w:after="0" w:line="240" w:lineRule="auto"/>
        <w:ind w:left="1688" w:right="139"/>
        <w:jc w:val="both"/>
        <w:rPr>
          <w:rFonts w:ascii="Arial" w:eastAsia="Lucida Sans Unicode" w:hAnsi="Arial" w:cs="Arial"/>
          <w:lang w:eastAsia="es-ES"/>
        </w:rPr>
      </w:pPr>
    </w:p>
    <w:p w:rsidR="0042148B" w:rsidRPr="0075594F" w:rsidRDefault="0042148B" w:rsidP="0092471C">
      <w:pPr>
        <w:widowControl w:val="0"/>
        <w:numPr>
          <w:ilvl w:val="2"/>
          <w:numId w:val="310"/>
        </w:numPr>
        <w:suppressAutoHyphens/>
        <w:spacing w:after="0" w:line="240" w:lineRule="auto"/>
        <w:ind w:left="1688" w:hanging="709"/>
        <w:jc w:val="both"/>
        <w:rPr>
          <w:rFonts w:ascii="Arial" w:eastAsia="Lucida Sans Unicode" w:hAnsi="Arial" w:cs="Arial"/>
          <w:b/>
          <w:lang w:eastAsia="es-ES"/>
        </w:rPr>
      </w:pPr>
      <w:r w:rsidRPr="0075594F">
        <w:rPr>
          <w:rFonts w:ascii="Arial" w:eastAsia="Lucida Sans Unicode" w:hAnsi="Arial" w:cs="Arial"/>
          <w:b/>
          <w:lang w:eastAsia="es-ES"/>
        </w:rPr>
        <w:t xml:space="preserve">De los Actos de Disposición. </w:t>
      </w:r>
    </w:p>
    <w:p w:rsidR="0042148B" w:rsidRPr="0075594F" w:rsidRDefault="0042148B" w:rsidP="0042148B">
      <w:pPr>
        <w:widowControl w:val="0"/>
        <w:suppressAutoHyphens/>
        <w:spacing w:after="0" w:line="240" w:lineRule="auto"/>
        <w:ind w:left="1688" w:right="139"/>
        <w:jc w:val="both"/>
        <w:rPr>
          <w:rFonts w:ascii="Arial" w:eastAsia="Lucida Sans Unicode" w:hAnsi="Arial" w:cs="Arial"/>
          <w:lang w:eastAsia="es-ES"/>
        </w:rPr>
      </w:pPr>
      <w:r w:rsidRPr="0075594F">
        <w:rPr>
          <w:rFonts w:ascii="Arial" w:eastAsia="Lucida Sans Unicode" w:hAnsi="Arial" w:cs="Arial"/>
          <w:lang w:eastAsia="es-ES"/>
        </w:rPr>
        <w:t xml:space="preserve">Los actos de disposición que impliquen el desplazamiento de dominio de todo el predio matriz a favor de particulares, tales como: venta directa, subasta pública, permuta y superficie, originan la cancelación del CUS asignado. </w:t>
      </w:r>
    </w:p>
    <w:p w:rsidR="0042148B" w:rsidRPr="0075594F" w:rsidRDefault="0042148B" w:rsidP="0042148B">
      <w:pPr>
        <w:widowControl w:val="0"/>
        <w:suppressAutoHyphens/>
        <w:spacing w:after="0" w:line="240" w:lineRule="auto"/>
        <w:ind w:left="1688" w:right="139"/>
        <w:jc w:val="both"/>
        <w:rPr>
          <w:rFonts w:ascii="Arial" w:eastAsia="Lucida Sans Unicode" w:hAnsi="Arial" w:cs="Arial"/>
          <w:lang w:eastAsia="es-ES"/>
        </w:rPr>
      </w:pPr>
    </w:p>
    <w:p w:rsidR="0042148B" w:rsidRPr="0075594F" w:rsidRDefault="0042148B" w:rsidP="0042148B">
      <w:pPr>
        <w:widowControl w:val="0"/>
        <w:suppressAutoHyphens/>
        <w:spacing w:after="0" w:line="240" w:lineRule="auto"/>
        <w:ind w:left="1688" w:right="139"/>
        <w:jc w:val="both"/>
        <w:rPr>
          <w:rFonts w:ascii="Arial" w:eastAsia="Lucida Sans Unicode" w:hAnsi="Arial" w:cs="Arial"/>
          <w:lang w:eastAsia="es-ES"/>
        </w:rPr>
      </w:pPr>
      <w:r w:rsidRPr="0075594F">
        <w:rPr>
          <w:rFonts w:ascii="Arial" w:eastAsia="Lucida Sans Unicode" w:hAnsi="Arial" w:cs="Arial"/>
          <w:lang w:eastAsia="es-ES"/>
        </w:rPr>
        <w:t>En caso de un traslado parcial de dominio del predio matriz, el cual origina una independización, subdivisión o fraccionamiento, se aplica lo establecido en las Disposiciones Generales de la presente Directiva, en cuanto a la asignación del CUS.</w:t>
      </w:r>
    </w:p>
    <w:p w:rsidR="0042148B" w:rsidRPr="0075594F" w:rsidRDefault="0042148B" w:rsidP="0042148B">
      <w:pPr>
        <w:spacing w:after="0" w:line="240" w:lineRule="auto"/>
        <w:jc w:val="both"/>
        <w:rPr>
          <w:rFonts w:ascii="Arial" w:eastAsia="Times New Roman" w:hAnsi="Arial" w:cs="Arial"/>
          <w:lang w:eastAsia="es-ES"/>
        </w:rPr>
      </w:pPr>
    </w:p>
    <w:p w:rsidR="0042148B" w:rsidRPr="0075594F" w:rsidRDefault="0042148B" w:rsidP="0092471C">
      <w:pPr>
        <w:widowControl w:val="0"/>
        <w:numPr>
          <w:ilvl w:val="2"/>
          <w:numId w:val="310"/>
        </w:numPr>
        <w:suppressAutoHyphens/>
        <w:spacing w:after="0" w:line="240" w:lineRule="auto"/>
        <w:ind w:left="1688" w:hanging="709"/>
        <w:jc w:val="both"/>
        <w:rPr>
          <w:rFonts w:ascii="Arial" w:eastAsia="Lucida Sans Unicode" w:hAnsi="Arial" w:cs="Arial"/>
          <w:b/>
          <w:lang w:eastAsia="es-ES"/>
        </w:rPr>
      </w:pPr>
      <w:r w:rsidRPr="0075594F">
        <w:rPr>
          <w:rFonts w:ascii="Arial" w:eastAsia="Lucida Sans Unicode" w:hAnsi="Arial" w:cs="Arial"/>
          <w:b/>
          <w:lang w:eastAsia="es-ES"/>
        </w:rPr>
        <w:t>De la Supervisión.</w:t>
      </w:r>
    </w:p>
    <w:p w:rsidR="0042148B" w:rsidRPr="0075594F" w:rsidRDefault="0042148B" w:rsidP="0042148B">
      <w:pPr>
        <w:spacing w:after="0" w:line="240" w:lineRule="auto"/>
        <w:ind w:left="1688"/>
        <w:jc w:val="both"/>
        <w:rPr>
          <w:rFonts w:ascii="Arial" w:eastAsia="Times New Roman" w:hAnsi="Arial" w:cs="Arial"/>
          <w:lang w:eastAsia="es-ES"/>
        </w:rPr>
      </w:pPr>
      <w:r w:rsidRPr="0075594F">
        <w:rPr>
          <w:rFonts w:ascii="Arial" w:eastAsia="Times New Roman" w:hAnsi="Arial" w:cs="Arial"/>
          <w:lang w:eastAsia="es-ES"/>
        </w:rPr>
        <w:t xml:space="preserve">Los actos de supervisión que desarrolla la SBN sobre un predio registrado en el SINABIP, dan lugar a la actualización de la ficha técnica, por la SDS de la SBN, manteniendo el CUS asignado. </w:t>
      </w:r>
    </w:p>
    <w:p w:rsidR="0042148B" w:rsidRPr="0075594F" w:rsidRDefault="0042148B" w:rsidP="0042148B">
      <w:pPr>
        <w:spacing w:after="0" w:line="240" w:lineRule="auto"/>
        <w:ind w:right="139"/>
        <w:jc w:val="both"/>
        <w:rPr>
          <w:rFonts w:ascii="Arial" w:eastAsia="Times New Roman" w:hAnsi="Arial" w:cs="Arial"/>
          <w:lang w:eastAsia="es-ES"/>
        </w:rPr>
      </w:pPr>
    </w:p>
    <w:p w:rsidR="0042148B" w:rsidRPr="0075594F" w:rsidRDefault="0042148B" w:rsidP="0092471C">
      <w:pPr>
        <w:widowControl w:val="0"/>
        <w:numPr>
          <w:ilvl w:val="0"/>
          <w:numId w:val="310"/>
        </w:numPr>
        <w:suppressAutoHyphens/>
        <w:spacing w:after="0" w:line="240" w:lineRule="auto"/>
        <w:ind w:left="554" w:hanging="284"/>
        <w:jc w:val="both"/>
        <w:rPr>
          <w:rFonts w:ascii="Arial" w:eastAsia="Lucida Sans Unicode" w:hAnsi="Arial" w:cs="Arial"/>
          <w:b/>
          <w:lang w:val="es-ES_tradnl" w:eastAsia="es-ES"/>
        </w:rPr>
      </w:pPr>
      <w:r w:rsidRPr="0075594F">
        <w:rPr>
          <w:rFonts w:ascii="Arial" w:eastAsia="Lucida Sans Unicode" w:hAnsi="Arial" w:cs="Arial"/>
          <w:b/>
          <w:lang w:val="es-ES_tradnl" w:eastAsia="es-ES"/>
        </w:rPr>
        <w:t>DISPOSICIONES COMPLEMENTARIAS FINALES</w:t>
      </w:r>
    </w:p>
    <w:p w:rsidR="0042148B" w:rsidRPr="0075594F" w:rsidRDefault="0042148B" w:rsidP="0042148B">
      <w:pPr>
        <w:spacing w:after="0" w:line="240" w:lineRule="auto"/>
        <w:ind w:left="554" w:right="139"/>
        <w:jc w:val="both"/>
        <w:rPr>
          <w:rFonts w:ascii="Arial" w:eastAsia="Times New Roman" w:hAnsi="Arial" w:cs="Arial"/>
          <w:lang w:val="es-ES" w:eastAsia="es-ES"/>
        </w:rPr>
      </w:pPr>
    </w:p>
    <w:p w:rsidR="0042148B" w:rsidRPr="0075594F" w:rsidRDefault="0042148B" w:rsidP="0042148B">
      <w:pPr>
        <w:spacing w:after="0" w:line="240" w:lineRule="auto"/>
        <w:ind w:left="554" w:right="139"/>
        <w:jc w:val="both"/>
        <w:rPr>
          <w:rFonts w:ascii="Arial" w:eastAsia="Times New Roman" w:hAnsi="Arial" w:cs="Arial"/>
          <w:lang w:val="es-ES" w:eastAsia="es-ES"/>
        </w:rPr>
      </w:pPr>
      <w:r w:rsidRPr="0075594F">
        <w:rPr>
          <w:rFonts w:ascii="Arial" w:eastAsia="Times New Roman" w:hAnsi="Arial" w:cs="Arial"/>
          <w:b/>
          <w:lang w:val="es-ES" w:eastAsia="es-ES"/>
        </w:rPr>
        <w:t>Primera.-</w:t>
      </w:r>
      <w:r w:rsidRPr="0075594F">
        <w:rPr>
          <w:rFonts w:ascii="Arial" w:eastAsia="Times New Roman" w:hAnsi="Arial" w:cs="Arial"/>
          <w:lang w:val="es-ES" w:eastAsia="es-ES"/>
        </w:rPr>
        <w:t xml:space="preserve"> La OAF, a través del sistema de tecnologías de la información, es responsable del desarrollo e implementación del aplicativo del SINABIP para la generación automática del CUS a que se refiere la presente Directiva, siendo también de su responsabilidad brindar la capacitación sobre el uso de dicho aplicativo. Para dicho efecto se cuenta con un plazo estimado de tres (03) meses a partir de la aprobación de la presente Directiva.</w:t>
      </w:r>
    </w:p>
    <w:p w:rsidR="0042148B" w:rsidRPr="0075594F" w:rsidRDefault="0042148B" w:rsidP="0042148B">
      <w:pPr>
        <w:spacing w:after="0" w:line="240" w:lineRule="auto"/>
        <w:ind w:left="554" w:right="139"/>
        <w:jc w:val="both"/>
        <w:rPr>
          <w:rFonts w:ascii="Arial" w:eastAsia="Times New Roman" w:hAnsi="Arial" w:cs="Arial"/>
          <w:lang w:val="es-ES" w:eastAsia="es-ES"/>
        </w:rPr>
      </w:pPr>
    </w:p>
    <w:p w:rsidR="0042148B" w:rsidRPr="0075594F" w:rsidRDefault="0042148B" w:rsidP="0042148B">
      <w:pPr>
        <w:spacing w:after="0" w:line="240" w:lineRule="auto"/>
        <w:ind w:left="554" w:right="139"/>
        <w:jc w:val="both"/>
        <w:rPr>
          <w:rFonts w:ascii="Arial" w:eastAsia="Times New Roman" w:hAnsi="Arial" w:cs="Arial"/>
          <w:lang w:val="es-ES" w:eastAsia="es-ES"/>
        </w:rPr>
      </w:pPr>
      <w:r w:rsidRPr="0075594F">
        <w:rPr>
          <w:rFonts w:ascii="Arial" w:eastAsia="Times New Roman" w:hAnsi="Arial" w:cs="Arial"/>
          <w:b/>
          <w:lang w:val="es-ES" w:eastAsia="es-ES"/>
        </w:rPr>
        <w:t>Segunda.-</w:t>
      </w:r>
      <w:r w:rsidRPr="0075594F">
        <w:rPr>
          <w:rFonts w:ascii="Arial" w:eastAsia="Times New Roman" w:hAnsi="Arial" w:cs="Arial"/>
          <w:lang w:val="es-ES" w:eastAsia="es-ES"/>
        </w:rPr>
        <w:t xml:space="preserve"> Las entidades que conforman el SNBE se encuentran obligadas a aplicar las disposiciones de la presente Directiva, una vez comunicada la implementación del aplicativo a través de la página web de la SBN.</w:t>
      </w:r>
    </w:p>
    <w:p w:rsidR="0042148B" w:rsidRPr="0075594F" w:rsidRDefault="0042148B" w:rsidP="0042148B">
      <w:pPr>
        <w:spacing w:after="0" w:line="240" w:lineRule="auto"/>
        <w:ind w:left="554" w:right="139"/>
        <w:jc w:val="both"/>
        <w:rPr>
          <w:rFonts w:ascii="Arial" w:eastAsia="Times New Roman" w:hAnsi="Arial" w:cs="Arial"/>
          <w:lang w:val="es-ES" w:eastAsia="es-ES"/>
        </w:rPr>
      </w:pPr>
    </w:p>
    <w:p w:rsidR="0042148B" w:rsidRPr="0075594F" w:rsidRDefault="0042148B" w:rsidP="0042148B">
      <w:pPr>
        <w:spacing w:after="0" w:line="240" w:lineRule="auto"/>
        <w:ind w:left="554" w:right="139"/>
        <w:jc w:val="both"/>
        <w:rPr>
          <w:rFonts w:ascii="Arial" w:eastAsia="Times New Roman" w:hAnsi="Arial" w:cs="Arial"/>
          <w:lang w:val="es-ES" w:eastAsia="es-ES"/>
        </w:rPr>
      </w:pPr>
      <w:r w:rsidRPr="0075594F">
        <w:rPr>
          <w:rFonts w:ascii="Arial" w:eastAsia="Times New Roman" w:hAnsi="Arial" w:cs="Arial"/>
          <w:b/>
          <w:lang w:val="es-ES" w:eastAsia="es-ES"/>
        </w:rPr>
        <w:t>Tercera.-</w:t>
      </w:r>
      <w:r w:rsidRPr="0075594F">
        <w:rPr>
          <w:rFonts w:ascii="Arial" w:eastAsia="Times New Roman" w:hAnsi="Arial" w:cs="Arial"/>
          <w:lang w:val="es-ES" w:eastAsia="es-ES"/>
        </w:rPr>
        <w:t xml:space="preserve">  La generación automática y correlativa de los CUS por parte de las entidades del SNBE, a que se refiere el segundo párrafo del numeral el numeral 5.1 de la presente Directiva, se efectúa a partir de la puesta en funcionamiento del aplicativo informático en el SINABIP.</w:t>
      </w:r>
    </w:p>
    <w:p w:rsidR="0042148B" w:rsidRPr="0075594F" w:rsidRDefault="0042148B" w:rsidP="0042148B">
      <w:pPr>
        <w:spacing w:after="0" w:line="240" w:lineRule="auto"/>
        <w:ind w:right="139"/>
        <w:jc w:val="both"/>
        <w:rPr>
          <w:rFonts w:ascii="Arial" w:eastAsia="Times New Roman" w:hAnsi="Arial" w:cs="Arial"/>
          <w:lang w:eastAsia="es-ES"/>
        </w:rPr>
      </w:pPr>
    </w:p>
    <w:p w:rsidR="0042148B" w:rsidRPr="0075594F" w:rsidRDefault="0042148B" w:rsidP="0092471C">
      <w:pPr>
        <w:widowControl w:val="0"/>
        <w:numPr>
          <w:ilvl w:val="0"/>
          <w:numId w:val="310"/>
        </w:numPr>
        <w:suppressAutoHyphens/>
        <w:spacing w:after="0" w:line="240" w:lineRule="auto"/>
        <w:ind w:left="554" w:hanging="284"/>
        <w:jc w:val="both"/>
        <w:rPr>
          <w:rFonts w:ascii="Arial" w:eastAsia="Lucida Sans Unicode" w:hAnsi="Arial" w:cs="Arial"/>
          <w:b/>
          <w:lang w:val="es-ES_tradnl" w:eastAsia="es-ES"/>
        </w:rPr>
      </w:pPr>
      <w:r w:rsidRPr="0075594F">
        <w:rPr>
          <w:rFonts w:ascii="Arial" w:eastAsia="Lucida Sans Unicode" w:hAnsi="Arial" w:cs="Arial"/>
          <w:b/>
          <w:lang w:val="es-ES_tradnl" w:eastAsia="es-ES"/>
        </w:rPr>
        <w:t>DISPOSICIONES COMPLEMENTARIAS DEROGATORIA</w:t>
      </w:r>
    </w:p>
    <w:p w:rsidR="0042148B" w:rsidRPr="0075594F" w:rsidRDefault="0042148B" w:rsidP="0042148B">
      <w:pPr>
        <w:spacing w:after="0" w:line="240" w:lineRule="auto"/>
        <w:ind w:left="554" w:right="139"/>
        <w:jc w:val="both"/>
        <w:rPr>
          <w:rFonts w:ascii="Arial" w:eastAsia="Times New Roman" w:hAnsi="Arial" w:cs="Arial"/>
          <w:lang w:val="es-ES" w:eastAsia="es-ES"/>
        </w:rPr>
      </w:pPr>
    </w:p>
    <w:p w:rsidR="0042148B" w:rsidRPr="0075594F" w:rsidRDefault="0042148B" w:rsidP="0042148B">
      <w:pPr>
        <w:widowControl w:val="0"/>
        <w:suppressAutoHyphens/>
        <w:spacing w:after="0" w:line="240" w:lineRule="auto"/>
        <w:ind w:left="459"/>
        <w:jc w:val="both"/>
        <w:rPr>
          <w:rFonts w:ascii="Arial" w:eastAsia="Lucida Sans Unicode" w:hAnsi="Arial" w:cs="Arial"/>
          <w:bCs/>
          <w:lang w:val="es-ES_tradnl" w:eastAsia="es-ES"/>
        </w:rPr>
      </w:pPr>
      <w:r w:rsidRPr="0075594F">
        <w:rPr>
          <w:rFonts w:ascii="Arial" w:eastAsia="Lucida Sans Unicode" w:hAnsi="Arial" w:cs="Arial"/>
          <w:lang w:val="es-ES_tradnl" w:eastAsia="es-ES"/>
        </w:rPr>
        <w:t xml:space="preserve">Primera.- A partir de la vigencia de la presente Directiva, queda derogada el numeral 7.10.2 del artículo 7 y numerales 8.1 y 8.2 del artículo 8º de la Directiva Nº </w:t>
      </w:r>
      <w:r w:rsidRPr="0075594F">
        <w:rPr>
          <w:rFonts w:ascii="Arial" w:eastAsia="Lucida Sans Unicode" w:hAnsi="Arial" w:cs="Arial"/>
          <w:bCs/>
          <w:lang w:val="es-ES_tradnl" w:eastAsia="es-ES"/>
        </w:rPr>
        <w:t>002-2011-SBN, que regula el procedimiento de Registro de la Información de los Predios de Titularidad Estatal en el Sistema de Información Nacional de Bienes - SINABIP.</w:t>
      </w:r>
    </w:p>
    <w:p w:rsidR="0042148B" w:rsidRPr="0075594F" w:rsidRDefault="0042148B" w:rsidP="0042148B">
      <w:pPr>
        <w:widowControl w:val="0"/>
        <w:suppressAutoHyphens/>
        <w:spacing w:after="0" w:line="240" w:lineRule="auto"/>
        <w:ind w:left="459"/>
        <w:jc w:val="both"/>
        <w:rPr>
          <w:rFonts w:ascii="Arial" w:eastAsia="Lucida Sans Unicode" w:hAnsi="Arial" w:cs="Arial"/>
          <w:lang w:eastAsia="es-ES"/>
        </w:rPr>
      </w:pPr>
    </w:p>
    <w:p w:rsidR="0042148B" w:rsidRPr="0075594F" w:rsidRDefault="0042148B" w:rsidP="0092471C">
      <w:pPr>
        <w:widowControl w:val="0"/>
        <w:numPr>
          <w:ilvl w:val="0"/>
          <w:numId w:val="310"/>
        </w:numPr>
        <w:suppressAutoHyphens/>
        <w:spacing w:after="0" w:line="240" w:lineRule="auto"/>
        <w:ind w:left="554" w:hanging="284"/>
        <w:jc w:val="both"/>
        <w:rPr>
          <w:rFonts w:ascii="Arial" w:eastAsia="Lucida Sans Unicode" w:hAnsi="Arial" w:cs="Arial"/>
          <w:b/>
          <w:lang w:val="es-ES_tradnl" w:eastAsia="es-ES"/>
        </w:rPr>
      </w:pPr>
      <w:r w:rsidRPr="0075594F">
        <w:rPr>
          <w:rFonts w:ascii="Arial" w:eastAsia="Lucida Sans Unicode" w:hAnsi="Arial" w:cs="Arial"/>
          <w:b/>
          <w:lang w:val="es-ES_tradnl" w:eastAsia="es-ES"/>
        </w:rPr>
        <w:t>ANEXOS</w:t>
      </w:r>
    </w:p>
    <w:p w:rsidR="0042148B" w:rsidRPr="0075594F" w:rsidRDefault="0042148B" w:rsidP="0042148B">
      <w:pPr>
        <w:widowControl w:val="0"/>
        <w:suppressAutoHyphens/>
        <w:spacing w:after="0" w:line="240" w:lineRule="auto"/>
        <w:ind w:left="459"/>
        <w:jc w:val="both"/>
        <w:rPr>
          <w:rFonts w:ascii="Arial" w:eastAsia="Calibri" w:hAnsi="Arial" w:cs="Arial"/>
          <w:lang w:val="es-ES"/>
        </w:rPr>
      </w:pPr>
      <w:r w:rsidRPr="0075594F">
        <w:rPr>
          <w:rFonts w:ascii="Arial" w:eastAsia="Calibri" w:hAnsi="Arial" w:cs="Arial"/>
          <w:lang w:val="es-ES_tradnl"/>
        </w:rPr>
        <w:t xml:space="preserve">Forman </w:t>
      </w:r>
      <w:r w:rsidRPr="0075594F">
        <w:rPr>
          <w:rFonts w:ascii="Arial" w:eastAsia="Lucida Sans Unicode" w:hAnsi="Arial" w:cs="Arial"/>
          <w:lang w:eastAsia="es-ES"/>
        </w:rPr>
        <w:t>parte</w:t>
      </w:r>
      <w:r w:rsidRPr="0075594F">
        <w:rPr>
          <w:rFonts w:ascii="Arial" w:eastAsia="Calibri" w:hAnsi="Arial" w:cs="Arial"/>
          <w:lang w:val="es-ES_tradnl"/>
        </w:rPr>
        <w:t xml:space="preserve"> de la presente Directiva los anexos que a continuación se indican:</w:t>
      </w:r>
    </w:p>
    <w:p w:rsidR="0042148B" w:rsidRPr="0075594F" w:rsidRDefault="0042148B" w:rsidP="0042148B">
      <w:pPr>
        <w:tabs>
          <w:tab w:val="left" w:pos="459"/>
        </w:tabs>
        <w:spacing w:after="0" w:line="240" w:lineRule="auto"/>
        <w:ind w:left="41"/>
        <w:jc w:val="both"/>
        <w:rPr>
          <w:rFonts w:ascii="Arial" w:eastAsia="Calibri" w:hAnsi="Arial" w:cs="Arial"/>
          <w:b/>
          <w:lang w:val="es-ES"/>
        </w:rPr>
      </w:pPr>
    </w:p>
    <w:p w:rsidR="0042148B" w:rsidRPr="0075594F" w:rsidRDefault="0042148B" w:rsidP="0042148B">
      <w:pPr>
        <w:widowControl w:val="0"/>
        <w:suppressAutoHyphens/>
        <w:spacing w:after="0" w:line="240" w:lineRule="auto"/>
        <w:ind w:left="459"/>
        <w:jc w:val="both"/>
        <w:rPr>
          <w:rFonts w:ascii="Arial" w:eastAsia="Lucida Sans Unicode" w:hAnsi="Arial" w:cs="Arial"/>
          <w:lang w:eastAsia="es-ES"/>
        </w:rPr>
      </w:pPr>
      <w:r w:rsidRPr="0075594F">
        <w:rPr>
          <w:rFonts w:ascii="Arial" w:eastAsia="Lucida Sans Unicode" w:hAnsi="Arial" w:cs="Arial"/>
          <w:b/>
          <w:lang w:eastAsia="es-ES"/>
        </w:rPr>
        <w:t>Anexo N° 01</w:t>
      </w:r>
      <w:r w:rsidRPr="0075594F">
        <w:rPr>
          <w:rFonts w:ascii="Arial" w:eastAsia="Lucida Sans Unicode" w:hAnsi="Arial" w:cs="Arial"/>
          <w:lang w:eastAsia="es-ES"/>
        </w:rPr>
        <w:t>: Glosario de términos.</w:t>
      </w:r>
    </w:p>
    <w:p w:rsidR="0042148B" w:rsidRPr="0075594F" w:rsidRDefault="0042148B" w:rsidP="0042148B">
      <w:pPr>
        <w:widowControl w:val="0"/>
        <w:suppressAutoHyphens/>
        <w:spacing w:after="0" w:line="240" w:lineRule="auto"/>
        <w:ind w:left="459"/>
        <w:jc w:val="both"/>
        <w:rPr>
          <w:rFonts w:ascii="Arial" w:eastAsia="Lucida Sans Unicode" w:hAnsi="Arial" w:cs="Arial"/>
          <w:lang w:eastAsia="es-ES"/>
        </w:rPr>
      </w:pPr>
      <w:r w:rsidRPr="0075594F">
        <w:rPr>
          <w:rFonts w:ascii="Arial" w:eastAsia="Lucida Sans Unicode" w:hAnsi="Arial" w:cs="Arial"/>
          <w:b/>
          <w:lang w:eastAsia="es-ES"/>
        </w:rPr>
        <w:t>Anexo N° 02</w:t>
      </w:r>
      <w:r w:rsidRPr="0075594F">
        <w:rPr>
          <w:rFonts w:ascii="Arial" w:eastAsia="Lucida Sans Unicode" w:hAnsi="Arial" w:cs="Arial"/>
          <w:lang w:eastAsia="es-ES"/>
        </w:rPr>
        <w:t>: Abreviaturas.</w:t>
      </w:r>
    </w:p>
    <w:p w:rsidR="0042148B" w:rsidRPr="0075594F" w:rsidRDefault="0042148B"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Default="006312E8" w:rsidP="006312E8">
      <w:pPr>
        <w:spacing w:after="0" w:line="240" w:lineRule="auto"/>
        <w:jc w:val="both"/>
        <w:rPr>
          <w:rFonts w:ascii="Arial" w:eastAsia="Calibri" w:hAnsi="Arial" w:cs="Arial"/>
          <w:lang w:val="es-ES"/>
        </w:rPr>
      </w:pPr>
    </w:p>
    <w:p w:rsidR="0042148B" w:rsidRDefault="0042148B" w:rsidP="006312E8">
      <w:pPr>
        <w:spacing w:after="0" w:line="240" w:lineRule="auto"/>
        <w:jc w:val="both"/>
        <w:rPr>
          <w:rFonts w:ascii="Arial" w:eastAsia="Calibri" w:hAnsi="Arial" w:cs="Arial"/>
          <w:lang w:val="es-ES"/>
        </w:rPr>
      </w:pPr>
    </w:p>
    <w:p w:rsidR="0042148B" w:rsidRDefault="0042148B" w:rsidP="006312E8">
      <w:pPr>
        <w:spacing w:after="0" w:line="240" w:lineRule="auto"/>
        <w:jc w:val="both"/>
        <w:rPr>
          <w:rFonts w:ascii="Arial" w:eastAsia="Calibri" w:hAnsi="Arial" w:cs="Arial"/>
          <w:lang w:val="es-ES"/>
        </w:rPr>
      </w:pPr>
    </w:p>
    <w:p w:rsidR="0042148B" w:rsidRDefault="0042148B" w:rsidP="006312E8">
      <w:pPr>
        <w:spacing w:after="0" w:line="240" w:lineRule="auto"/>
        <w:jc w:val="both"/>
        <w:rPr>
          <w:rFonts w:ascii="Arial" w:eastAsia="Calibri" w:hAnsi="Arial" w:cs="Arial"/>
          <w:lang w:val="es-ES"/>
        </w:rPr>
      </w:pPr>
    </w:p>
    <w:p w:rsidR="0075594F" w:rsidRDefault="0075594F" w:rsidP="006312E8">
      <w:pPr>
        <w:spacing w:after="0" w:line="240" w:lineRule="auto"/>
        <w:jc w:val="both"/>
        <w:rPr>
          <w:rFonts w:ascii="Arial" w:eastAsia="Calibri" w:hAnsi="Arial" w:cs="Arial"/>
          <w:lang w:val="es-ES"/>
        </w:rPr>
      </w:pPr>
    </w:p>
    <w:p w:rsidR="0075594F" w:rsidRDefault="0075594F" w:rsidP="006312E8">
      <w:pPr>
        <w:spacing w:after="0" w:line="240" w:lineRule="auto"/>
        <w:jc w:val="both"/>
        <w:rPr>
          <w:rFonts w:ascii="Arial" w:eastAsia="Calibri" w:hAnsi="Arial" w:cs="Arial"/>
          <w:lang w:val="es-ES"/>
        </w:rPr>
      </w:pPr>
    </w:p>
    <w:p w:rsidR="0075594F" w:rsidRDefault="0075594F" w:rsidP="006312E8">
      <w:pPr>
        <w:spacing w:after="0" w:line="240" w:lineRule="auto"/>
        <w:jc w:val="both"/>
        <w:rPr>
          <w:rFonts w:ascii="Arial" w:eastAsia="Calibri" w:hAnsi="Arial" w:cs="Arial"/>
          <w:lang w:val="es-ES"/>
        </w:rPr>
      </w:pPr>
    </w:p>
    <w:p w:rsidR="0075594F" w:rsidRDefault="0075594F" w:rsidP="006312E8">
      <w:pPr>
        <w:spacing w:after="0" w:line="240" w:lineRule="auto"/>
        <w:jc w:val="both"/>
        <w:rPr>
          <w:rFonts w:ascii="Arial" w:eastAsia="Calibri" w:hAnsi="Arial" w:cs="Arial"/>
          <w:lang w:val="es-ES"/>
        </w:rPr>
      </w:pPr>
    </w:p>
    <w:p w:rsidR="0075594F" w:rsidRDefault="0075594F" w:rsidP="006312E8">
      <w:pPr>
        <w:spacing w:after="0" w:line="240" w:lineRule="auto"/>
        <w:jc w:val="both"/>
        <w:rPr>
          <w:rFonts w:ascii="Arial" w:eastAsia="Calibri" w:hAnsi="Arial" w:cs="Arial"/>
          <w:lang w:val="es-ES"/>
        </w:rPr>
      </w:pPr>
    </w:p>
    <w:p w:rsidR="0075594F" w:rsidRDefault="0075594F" w:rsidP="006312E8">
      <w:pPr>
        <w:spacing w:after="0" w:line="240" w:lineRule="auto"/>
        <w:jc w:val="both"/>
        <w:rPr>
          <w:rFonts w:ascii="Arial" w:eastAsia="Calibri" w:hAnsi="Arial" w:cs="Arial"/>
          <w:lang w:val="es-ES"/>
        </w:rPr>
      </w:pPr>
    </w:p>
    <w:p w:rsidR="0075594F" w:rsidRDefault="0075594F" w:rsidP="006312E8">
      <w:pPr>
        <w:spacing w:after="0" w:line="240" w:lineRule="auto"/>
        <w:jc w:val="both"/>
        <w:rPr>
          <w:rFonts w:ascii="Arial" w:eastAsia="Calibri" w:hAnsi="Arial" w:cs="Arial"/>
          <w:lang w:val="es-ES"/>
        </w:rPr>
      </w:pPr>
    </w:p>
    <w:p w:rsidR="0075594F" w:rsidRDefault="0075594F" w:rsidP="006312E8">
      <w:pPr>
        <w:spacing w:after="0" w:line="240" w:lineRule="auto"/>
        <w:jc w:val="both"/>
        <w:rPr>
          <w:rFonts w:ascii="Arial" w:eastAsia="Calibri" w:hAnsi="Arial" w:cs="Arial"/>
          <w:lang w:val="es-ES"/>
        </w:rPr>
      </w:pPr>
    </w:p>
    <w:p w:rsidR="0075594F" w:rsidRDefault="0075594F" w:rsidP="006312E8">
      <w:pPr>
        <w:spacing w:after="0" w:line="240" w:lineRule="auto"/>
        <w:jc w:val="both"/>
        <w:rPr>
          <w:rFonts w:ascii="Arial" w:eastAsia="Calibri" w:hAnsi="Arial" w:cs="Arial"/>
          <w:lang w:val="es-ES"/>
        </w:rPr>
      </w:pPr>
    </w:p>
    <w:p w:rsidR="0075594F" w:rsidRDefault="0075594F" w:rsidP="006312E8">
      <w:pPr>
        <w:spacing w:after="0" w:line="240" w:lineRule="auto"/>
        <w:jc w:val="both"/>
        <w:rPr>
          <w:rFonts w:ascii="Arial" w:eastAsia="Calibri" w:hAnsi="Arial" w:cs="Arial"/>
          <w:lang w:val="es-ES"/>
        </w:rPr>
      </w:pPr>
    </w:p>
    <w:p w:rsidR="0075594F" w:rsidRDefault="0075594F" w:rsidP="006312E8">
      <w:pPr>
        <w:spacing w:after="0" w:line="240" w:lineRule="auto"/>
        <w:jc w:val="both"/>
        <w:rPr>
          <w:rFonts w:ascii="Arial" w:eastAsia="Calibri" w:hAnsi="Arial" w:cs="Arial"/>
          <w:lang w:val="es-ES"/>
        </w:rPr>
      </w:pPr>
    </w:p>
    <w:p w:rsidR="0075594F" w:rsidRDefault="0075594F" w:rsidP="006312E8">
      <w:pPr>
        <w:spacing w:after="0" w:line="240" w:lineRule="auto"/>
        <w:jc w:val="both"/>
        <w:rPr>
          <w:rFonts w:ascii="Arial" w:eastAsia="Calibri" w:hAnsi="Arial" w:cs="Arial"/>
          <w:lang w:val="es-ES"/>
        </w:rPr>
      </w:pPr>
    </w:p>
    <w:p w:rsidR="0075594F" w:rsidRDefault="0075594F" w:rsidP="006312E8">
      <w:pPr>
        <w:spacing w:after="0" w:line="240" w:lineRule="auto"/>
        <w:jc w:val="both"/>
        <w:rPr>
          <w:rFonts w:ascii="Arial" w:eastAsia="Calibri" w:hAnsi="Arial" w:cs="Arial"/>
          <w:lang w:val="es-ES"/>
        </w:rPr>
      </w:pPr>
    </w:p>
    <w:p w:rsidR="0075594F" w:rsidRDefault="0075594F" w:rsidP="006312E8">
      <w:pPr>
        <w:spacing w:after="0" w:line="240" w:lineRule="auto"/>
        <w:jc w:val="both"/>
        <w:rPr>
          <w:rFonts w:ascii="Arial" w:eastAsia="Calibri" w:hAnsi="Arial" w:cs="Arial"/>
          <w:lang w:val="es-ES"/>
        </w:rPr>
      </w:pPr>
    </w:p>
    <w:p w:rsidR="0075594F" w:rsidRDefault="0075594F" w:rsidP="006312E8">
      <w:pPr>
        <w:spacing w:after="0" w:line="240" w:lineRule="auto"/>
        <w:jc w:val="both"/>
        <w:rPr>
          <w:rFonts w:ascii="Arial" w:eastAsia="Calibri" w:hAnsi="Arial" w:cs="Arial"/>
          <w:lang w:val="es-ES"/>
        </w:rPr>
      </w:pPr>
    </w:p>
    <w:p w:rsidR="0075594F" w:rsidRDefault="0075594F" w:rsidP="006312E8">
      <w:pPr>
        <w:spacing w:after="0" w:line="240" w:lineRule="auto"/>
        <w:jc w:val="both"/>
        <w:rPr>
          <w:rFonts w:ascii="Arial" w:eastAsia="Calibri" w:hAnsi="Arial" w:cs="Arial"/>
          <w:lang w:val="es-ES"/>
        </w:rPr>
      </w:pPr>
    </w:p>
    <w:p w:rsidR="0075594F" w:rsidRDefault="0075594F" w:rsidP="006312E8">
      <w:pPr>
        <w:spacing w:after="0" w:line="240" w:lineRule="auto"/>
        <w:jc w:val="both"/>
        <w:rPr>
          <w:rFonts w:ascii="Arial" w:eastAsia="Calibri" w:hAnsi="Arial" w:cs="Arial"/>
          <w:lang w:val="es-ES"/>
        </w:rPr>
      </w:pPr>
    </w:p>
    <w:p w:rsidR="0075594F" w:rsidRDefault="0075594F" w:rsidP="006312E8">
      <w:pPr>
        <w:spacing w:after="0" w:line="240" w:lineRule="auto"/>
        <w:jc w:val="both"/>
        <w:rPr>
          <w:rFonts w:ascii="Arial" w:eastAsia="Calibri" w:hAnsi="Arial" w:cs="Arial"/>
          <w:lang w:val="es-ES"/>
        </w:rPr>
      </w:pPr>
    </w:p>
    <w:p w:rsidR="0075594F" w:rsidRDefault="0075594F" w:rsidP="006312E8">
      <w:pPr>
        <w:spacing w:after="0" w:line="240" w:lineRule="auto"/>
        <w:jc w:val="both"/>
        <w:rPr>
          <w:rFonts w:ascii="Arial" w:eastAsia="Calibri" w:hAnsi="Arial" w:cs="Arial"/>
          <w:lang w:val="es-ES"/>
        </w:rPr>
      </w:pPr>
    </w:p>
    <w:p w:rsidR="0075594F" w:rsidRDefault="0075594F" w:rsidP="006312E8">
      <w:pPr>
        <w:spacing w:after="0" w:line="240" w:lineRule="auto"/>
        <w:jc w:val="both"/>
        <w:rPr>
          <w:rFonts w:ascii="Arial" w:eastAsia="Calibri" w:hAnsi="Arial" w:cs="Arial"/>
          <w:lang w:val="es-ES"/>
        </w:rPr>
      </w:pPr>
    </w:p>
    <w:p w:rsidR="0075594F" w:rsidRDefault="0075594F" w:rsidP="006312E8">
      <w:pPr>
        <w:spacing w:after="0" w:line="240" w:lineRule="auto"/>
        <w:jc w:val="both"/>
        <w:rPr>
          <w:rFonts w:ascii="Arial" w:eastAsia="Calibri" w:hAnsi="Arial" w:cs="Arial"/>
          <w:lang w:val="es-ES"/>
        </w:rPr>
      </w:pPr>
    </w:p>
    <w:p w:rsidR="0075594F" w:rsidRDefault="0075594F" w:rsidP="006312E8">
      <w:pPr>
        <w:spacing w:after="0" w:line="240" w:lineRule="auto"/>
        <w:jc w:val="both"/>
        <w:rPr>
          <w:rFonts w:ascii="Arial" w:eastAsia="Calibri" w:hAnsi="Arial" w:cs="Arial"/>
          <w:lang w:val="es-ES"/>
        </w:rPr>
      </w:pPr>
    </w:p>
    <w:p w:rsidR="0075594F" w:rsidRDefault="0075594F" w:rsidP="006312E8">
      <w:pPr>
        <w:spacing w:after="0" w:line="240" w:lineRule="auto"/>
        <w:jc w:val="both"/>
        <w:rPr>
          <w:rFonts w:ascii="Arial" w:eastAsia="Calibri" w:hAnsi="Arial" w:cs="Arial"/>
          <w:lang w:val="es-ES"/>
        </w:rPr>
      </w:pPr>
    </w:p>
    <w:p w:rsidR="0075594F" w:rsidRDefault="0075594F" w:rsidP="006312E8">
      <w:pPr>
        <w:spacing w:after="0" w:line="240" w:lineRule="auto"/>
        <w:jc w:val="both"/>
        <w:rPr>
          <w:rFonts w:ascii="Arial" w:eastAsia="Calibri" w:hAnsi="Arial" w:cs="Arial"/>
          <w:lang w:val="es-ES"/>
        </w:rPr>
      </w:pPr>
    </w:p>
    <w:p w:rsidR="0075594F" w:rsidRDefault="0075594F" w:rsidP="006312E8">
      <w:pPr>
        <w:spacing w:after="0" w:line="240" w:lineRule="auto"/>
        <w:jc w:val="both"/>
        <w:rPr>
          <w:rFonts w:ascii="Arial" w:eastAsia="Calibri" w:hAnsi="Arial" w:cs="Arial"/>
          <w:lang w:val="es-ES"/>
        </w:rPr>
      </w:pPr>
    </w:p>
    <w:p w:rsidR="0075594F" w:rsidRDefault="0075594F" w:rsidP="006312E8">
      <w:pPr>
        <w:spacing w:after="0" w:line="240" w:lineRule="auto"/>
        <w:jc w:val="both"/>
        <w:rPr>
          <w:rFonts w:ascii="Arial" w:eastAsia="Calibri" w:hAnsi="Arial" w:cs="Arial"/>
          <w:lang w:val="es-ES"/>
        </w:rPr>
      </w:pPr>
    </w:p>
    <w:p w:rsidR="0075594F" w:rsidRDefault="0075594F" w:rsidP="006312E8">
      <w:pPr>
        <w:spacing w:after="0" w:line="240" w:lineRule="auto"/>
        <w:jc w:val="both"/>
        <w:rPr>
          <w:rFonts w:ascii="Arial" w:eastAsia="Calibri" w:hAnsi="Arial" w:cs="Arial"/>
          <w:lang w:val="es-ES"/>
        </w:rPr>
      </w:pPr>
    </w:p>
    <w:p w:rsidR="0075594F" w:rsidRDefault="0075594F" w:rsidP="006312E8">
      <w:pPr>
        <w:spacing w:after="0" w:line="240" w:lineRule="auto"/>
        <w:jc w:val="both"/>
        <w:rPr>
          <w:rFonts w:ascii="Arial" w:eastAsia="Calibri" w:hAnsi="Arial" w:cs="Arial"/>
          <w:lang w:val="es-ES"/>
        </w:rPr>
      </w:pPr>
    </w:p>
    <w:p w:rsidR="0075594F" w:rsidRDefault="0075594F" w:rsidP="006312E8">
      <w:pPr>
        <w:spacing w:after="0" w:line="240" w:lineRule="auto"/>
        <w:jc w:val="both"/>
        <w:rPr>
          <w:rFonts w:ascii="Arial" w:eastAsia="Calibri" w:hAnsi="Arial" w:cs="Arial"/>
          <w:lang w:val="es-ES"/>
        </w:rPr>
      </w:pPr>
    </w:p>
    <w:p w:rsidR="00B5723A" w:rsidRDefault="00B5723A" w:rsidP="006312E8">
      <w:pPr>
        <w:spacing w:after="0" w:line="240" w:lineRule="auto"/>
        <w:jc w:val="both"/>
        <w:rPr>
          <w:rFonts w:ascii="Arial" w:eastAsia="Calibri" w:hAnsi="Arial" w:cs="Arial"/>
          <w:lang w:val="es-ES"/>
        </w:rPr>
      </w:pPr>
    </w:p>
    <w:p w:rsidR="00B5723A" w:rsidRDefault="00B5723A" w:rsidP="006312E8">
      <w:pPr>
        <w:spacing w:after="0" w:line="240" w:lineRule="auto"/>
        <w:jc w:val="both"/>
        <w:rPr>
          <w:rFonts w:ascii="Arial" w:eastAsia="Calibri" w:hAnsi="Arial" w:cs="Arial"/>
          <w:lang w:val="es-ES"/>
        </w:rPr>
      </w:pPr>
    </w:p>
    <w:p w:rsidR="00B5723A" w:rsidRDefault="00B5723A" w:rsidP="006312E8">
      <w:pPr>
        <w:spacing w:after="0" w:line="240" w:lineRule="auto"/>
        <w:jc w:val="both"/>
        <w:rPr>
          <w:rFonts w:ascii="Arial" w:eastAsia="Calibri" w:hAnsi="Arial" w:cs="Arial"/>
          <w:lang w:val="es-ES"/>
        </w:rPr>
      </w:pPr>
    </w:p>
    <w:p w:rsidR="00B5723A" w:rsidRPr="003679F2" w:rsidRDefault="00B5723A" w:rsidP="00B5723A">
      <w:pPr>
        <w:jc w:val="center"/>
        <w:rPr>
          <w:rFonts w:ascii="Arial" w:hAnsi="Arial" w:cs="Arial"/>
          <w:b/>
          <w:sz w:val="28"/>
          <w:szCs w:val="28"/>
        </w:rPr>
      </w:pPr>
      <w:r>
        <w:rPr>
          <w:rFonts w:ascii="Arial" w:hAnsi="Arial" w:cs="Arial"/>
          <w:b/>
          <w:sz w:val="28"/>
          <w:szCs w:val="28"/>
        </w:rPr>
        <w:t>RESOLUCION Nº 069</w:t>
      </w:r>
      <w:r w:rsidRPr="003679F2">
        <w:rPr>
          <w:rFonts w:ascii="Arial" w:hAnsi="Arial" w:cs="Arial"/>
          <w:b/>
          <w:sz w:val="28"/>
          <w:szCs w:val="28"/>
        </w:rPr>
        <w:t>-201</w:t>
      </w:r>
      <w:r>
        <w:rPr>
          <w:rFonts w:ascii="Arial" w:hAnsi="Arial" w:cs="Arial"/>
          <w:b/>
          <w:sz w:val="28"/>
          <w:szCs w:val="28"/>
        </w:rPr>
        <w:t>6/</w:t>
      </w:r>
      <w:r w:rsidRPr="003679F2">
        <w:rPr>
          <w:rFonts w:ascii="Arial" w:hAnsi="Arial" w:cs="Arial"/>
          <w:b/>
          <w:sz w:val="28"/>
          <w:szCs w:val="28"/>
        </w:rPr>
        <w:t>SBN</w:t>
      </w:r>
    </w:p>
    <w:p w:rsidR="00B5723A" w:rsidRPr="006312E8" w:rsidRDefault="00B5723A" w:rsidP="00B5723A">
      <w:pPr>
        <w:spacing w:after="0" w:line="240" w:lineRule="auto"/>
        <w:jc w:val="center"/>
        <w:rPr>
          <w:rFonts w:ascii="Arial" w:eastAsia="Calibri" w:hAnsi="Arial" w:cs="Arial"/>
          <w:b/>
          <w:sz w:val="28"/>
          <w:szCs w:val="28"/>
          <w:lang w:val="es-ES"/>
        </w:rPr>
      </w:pPr>
    </w:p>
    <w:p w:rsidR="00B5723A" w:rsidRPr="006312E8" w:rsidRDefault="00B5723A" w:rsidP="00B5723A">
      <w:pPr>
        <w:spacing w:after="0" w:line="240" w:lineRule="auto"/>
        <w:jc w:val="center"/>
        <w:rPr>
          <w:rFonts w:ascii="Arial" w:eastAsia="Calibri" w:hAnsi="Arial" w:cs="Arial"/>
          <w:b/>
          <w:lang w:val="es-ES"/>
        </w:rPr>
      </w:pPr>
      <w:r w:rsidRPr="006312E8">
        <w:rPr>
          <w:rFonts w:ascii="Arial" w:eastAsia="Calibri" w:hAnsi="Arial" w:cs="Arial"/>
          <w:b/>
          <w:lang w:val="es-ES"/>
        </w:rPr>
        <w:t xml:space="preserve">Aprueban Directiva </w:t>
      </w:r>
      <w:r>
        <w:rPr>
          <w:rFonts w:ascii="Arial" w:eastAsia="Calibri" w:hAnsi="Arial" w:cs="Arial"/>
          <w:b/>
          <w:lang w:val="es-ES"/>
        </w:rPr>
        <w:t>denominada “</w:t>
      </w:r>
      <w:r w:rsidRPr="00B5723A">
        <w:rPr>
          <w:rFonts w:ascii="Arial" w:eastAsia="Calibri" w:hAnsi="Arial" w:cs="Arial"/>
          <w:b/>
          <w:lang w:val="es-ES"/>
        </w:rPr>
        <w:t>Lineamientos para el Levantamiento Catastral de Bienes Inmuebles Estatales</w:t>
      </w:r>
      <w:r>
        <w:rPr>
          <w:rFonts w:ascii="Arial" w:eastAsia="Calibri" w:hAnsi="Arial" w:cs="Arial"/>
          <w:b/>
          <w:lang w:val="es-ES"/>
        </w:rPr>
        <w:t>”</w:t>
      </w:r>
    </w:p>
    <w:p w:rsidR="00B5723A" w:rsidRPr="006312E8" w:rsidRDefault="00B5723A" w:rsidP="00B5723A">
      <w:pPr>
        <w:spacing w:after="0" w:line="240" w:lineRule="auto"/>
        <w:jc w:val="both"/>
        <w:rPr>
          <w:rFonts w:ascii="Arial" w:eastAsia="Calibri" w:hAnsi="Arial" w:cs="Arial"/>
          <w:lang w:val="es-ES"/>
        </w:rPr>
      </w:pPr>
    </w:p>
    <w:p w:rsidR="00B5723A" w:rsidRPr="006312E8" w:rsidRDefault="00B5723A" w:rsidP="00B5723A">
      <w:pPr>
        <w:spacing w:after="0" w:line="240" w:lineRule="auto"/>
        <w:jc w:val="right"/>
        <w:rPr>
          <w:rFonts w:ascii="Arial" w:eastAsia="Calibri" w:hAnsi="Arial" w:cs="Arial"/>
          <w:b/>
          <w:lang w:val="es-ES"/>
        </w:rPr>
      </w:pPr>
      <w:r>
        <w:rPr>
          <w:rFonts w:ascii="Arial" w:eastAsia="Calibri" w:hAnsi="Arial" w:cs="Arial"/>
          <w:b/>
          <w:lang w:val="es-ES"/>
        </w:rPr>
        <w:t>Fecha de publicación 17</w:t>
      </w:r>
      <w:r w:rsidRPr="006312E8">
        <w:rPr>
          <w:rFonts w:ascii="Arial" w:eastAsia="Calibri" w:hAnsi="Arial" w:cs="Arial"/>
          <w:b/>
          <w:lang w:val="es-ES"/>
        </w:rPr>
        <w:t>-0</w:t>
      </w:r>
      <w:r>
        <w:rPr>
          <w:rFonts w:ascii="Arial" w:eastAsia="Calibri" w:hAnsi="Arial" w:cs="Arial"/>
          <w:b/>
          <w:lang w:val="es-ES"/>
        </w:rPr>
        <w:t>9</w:t>
      </w:r>
      <w:r w:rsidRPr="006312E8">
        <w:rPr>
          <w:rFonts w:ascii="Arial" w:eastAsia="Calibri" w:hAnsi="Arial" w:cs="Arial"/>
          <w:b/>
          <w:lang w:val="es-ES"/>
        </w:rPr>
        <w:t>-201</w:t>
      </w:r>
      <w:r>
        <w:rPr>
          <w:rFonts w:ascii="Arial" w:eastAsia="Calibri" w:hAnsi="Arial" w:cs="Arial"/>
          <w:b/>
          <w:lang w:val="es-ES"/>
        </w:rPr>
        <w:t>6</w:t>
      </w:r>
    </w:p>
    <w:p w:rsidR="00B5723A" w:rsidRPr="00B5723A" w:rsidRDefault="00B5723A" w:rsidP="00B5723A">
      <w:pPr>
        <w:spacing w:after="0" w:line="240" w:lineRule="auto"/>
        <w:jc w:val="both"/>
        <w:rPr>
          <w:rFonts w:ascii="Arial" w:eastAsia="Calibri" w:hAnsi="Arial" w:cs="Arial"/>
          <w:lang w:val="es-ES"/>
        </w:rPr>
      </w:pPr>
      <w:r w:rsidRPr="00B5723A">
        <w:rPr>
          <w:rFonts w:ascii="Arial" w:eastAsia="Calibri" w:hAnsi="Arial" w:cs="Arial"/>
          <w:lang w:val="es-ES"/>
        </w:rPr>
        <w:t>San Isidro, 14 de setiembre de 2016</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B5723A">
      <w:pPr>
        <w:spacing w:after="0" w:line="240" w:lineRule="auto"/>
        <w:jc w:val="both"/>
        <w:rPr>
          <w:rFonts w:ascii="Arial" w:eastAsia="Calibri" w:hAnsi="Arial" w:cs="Arial"/>
          <w:b/>
          <w:lang w:val="es-ES"/>
        </w:rPr>
      </w:pPr>
      <w:r w:rsidRPr="00B5723A">
        <w:rPr>
          <w:rFonts w:ascii="Arial" w:eastAsia="Calibri" w:hAnsi="Arial" w:cs="Arial"/>
          <w:b/>
          <w:lang w:val="es-ES"/>
        </w:rPr>
        <w:t>VISTOS:</w:t>
      </w:r>
    </w:p>
    <w:p w:rsidR="00B5723A" w:rsidRPr="00B5723A" w:rsidRDefault="00B5723A" w:rsidP="00B5723A">
      <w:pPr>
        <w:spacing w:after="0" w:line="240" w:lineRule="auto"/>
        <w:jc w:val="both"/>
        <w:rPr>
          <w:rFonts w:ascii="Arial" w:eastAsia="Calibri" w:hAnsi="Arial" w:cs="Arial"/>
          <w:lang w:val="es-ES"/>
        </w:rPr>
      </w:pPr>
      <w:r w:rsidRPr="00B5723A">
        <w:rPr>
          <w:rFonts w:ascii="Arial" w:eastAsia="Calibri" w:hAnsi="Arial" w:cs="Arial"/>
          <w:lang w:val="es-ES"/>
        </w:rPr>
        <w:t>El Informe Nº 033-2016/SBN-DNR-SDRC de fecha 09 de setiembre de 2016, emitido por la Subdirección de Registro y Catastro, y;</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B5723A">
      <w:pPr>
        <w:spacing w:after="0" w:line="240" w:lineRule="auto"/>
        <w:jc w:val="both"/>
        <w:rPr>
          <w:rFonts w:ascii="Arial" w:eastAsia="Calibri" w:hAnsi="Arial" w:cs="Arial"/>
          <w:b/>
          <w:lang w:val="es-ES"/>
        </w:rPr>
      </w:pPr>
      <w:r w:rsidRPr="00B5723A">
        <w:rPr>
          <w:rFonts w:ascii="Arial" w:eastAsia="Calibri" w:hAnsi="Arial" w:cs="Arial"/>
          <w:b/>
          <w:lang w:val="es-ES"/>
        </w:rPr>
        <w:t>CONSIDERANDO:</w:t>
      </w:r>
    </w:p>
    <w:p w:rsidR="00B5723A" w:rsidRPr="00B5723A" w:rsidRDefault="00B5723A" w:rsidP="00B5723A">
      <w:pPr>
        <w:spacing w:after="0" w:line="240" w:lineRule="auto"/>
        <w:jc w:val="both"/>
        <w:rPr>
          <w:rFonts w:ascii="Arial" w:eastAsia="Calibri" w:hAnsi="Arial" w:cs="Arial"/>
          <w:lang w:val="es-ES"/>
        </w:rPr>
      </w:pPr>
      <w:r w:rsidRPr="00B5723A">
        <w:rPr>
          <w:rFonts w:ascii="Arial" w:eastAsia="Calibri" w:hAnsi="Arial" w:cs="Arial"/>
          <w:lang w:val="es-ES"/>
        </w:rPr>
        <w:t>Que, la Superintendencia Nacional de Bienes Estatales - SBN es un organismo público ejecutor, adscrito al Ministerio de Vivienda, Construcción y Saneamiento, y el ente rector del Sistema Nacional de Bienes Estatales - SNBE, responsable de normar los actos de adquisición, disposición, administración y supervisión de los bienes estatales, así como de ejecutar dichos actos respecto de los bienes cuya administración está a su cargo, gozando de autonomía económica, presupuestal, financiera, técnica y funcional, de conformidad a lo establecido por el artículo 13 de la Ley Nº 29151, Ley General del Sistema Nacional de Bienes Estatales, concordante con el artículo 8 de su Reglamento, aprobado por el Decreto Supremo Nº 007-2008-VIVIENDA;</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B5723A">
      <w:pPr>
        <w:spacing w:after="0" w:line="240" w:lineRule="auto"/>
        <w:jc w:val="both"/>
        <w:rPr>
          <w:rFonts w:ascii="Arial" w:eastAsia="Calibri" w:hAnsi="Arial" w:cs="Arial"/>
          <w:lang w:val="es-ES"/>
        </w:rPr>
      </w:pPr>
      <w:r w:rsidRPr="00B5723A">
        <w:rPr>
          <w:rFonts w:ascii="Arial" w:eastAsia="Calibri" w:hAnsi="Arial" w:cs="Arial"/>
          <w:lang w:val="es-ES"/>
        </w:rPr>
        <w:t>Que, la SBN administrar el Sistema de Información Nacional de Bienes Estatales - SINABIP, como un registro único obligatorio de los bienes estatales con información alfanumérica y catastral en caso de bienes inmuebles, a fin de promover su eficiente gestión y ejercer la supervisión que la propia ley asigna a la SBN como Ente Rector del SNBE, de acuerdo con los inciso c), d) y e) del numeral 14.1 del artículo 14 de la Ley Nº 29151 y artículo 20 de su Reglamento, aprobado con Decreto Supremo Nº 007-2008-VIVIENDA;</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B5723A">
      <w:pPr>
        <w:spacing w:after="0" w:line="240" w:lineRule="auto"/>
        <w:jc w:val="both"/>
        <w:rPr>
          <w:rFonts w:ascii="Arial" w:eastAsia="Calibri" w:hAnsi="Arial" w:cs="Arial"/>
          <w:lang w:val="es-ES"/>
        </w:rPr>
      </w:pPr>
      <w:r w:rsidRPr="00B5723A">
        <w:rPr>
          <w:rFonts w:ascii="Arial" w:eastAsia="Calibri" w:hAnsi="Arial" w:cs="Arial"/>
          <w:lang w:val="es-ES"/>
        </w:rPr>
        <w:t>Que, el literal b) del numeral 14.1 del artículo 14 de la Ley Nº 29151, concordante con el literal a) del numeral 9.1 del artículo 9 de su Reglamento, señalan que es función exclusiva de la SBN, expedir Directivas sobre los actos de adquisición, administración, disposición, registro y supervisión de bienes estatales, siendo de obligatorio cumplimiento por parte de las entidades que conforman el SNBE;</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B5723A">
      <w:pPr>
        <w:spacing w:after="0" w:line="240" w:lineRule="auto"/>
        <w:jc w:val="both"/>
        <w:rPr>
          <w:rFonts w:ascii="Arial" w:eastAsia="Calibri" w:hAnsi="Arial" w:cs="Arial"/>
          <w:lang w:val="es-ES"/>
        </w:rPr>
      </w:pPr>
      <w:r w:rsidRPr="00B5723A">
        <w:rPr>
          <w:rFonts w:ascii="Arial" w:eastAsia="Calibri" w:hAnsi="Arial" w:cs="Arial"/>
          <w:lang w:val="es-ES"/>
        </w:rPr>
        <w:t>Que, mediante la Ley Nº 28294, se crea el Sistema Nacional Integrado de Catastro - SNCP y su vinculación con Registro de Predios, con la finalidad de regular la integración y unificación de los estándares, nomenclaturas y procesos técnicos de las diferentes entidades generadoras de catastro en el país, a efectos de consolidar la información catastral;</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B5723A">
      <w:pPr>
        <w:spacing w:after="0" w:line="240" w:lineRule="auto"/>
        <w:jc w:val="both"/>
        <w:rPr>
          <w:rFonts w:ascii="Arial" w:eastAsia="Calibri" w:hAnsi="Arial" w:cs="Arial"/>
          <w:lang w:val="es-ES"/>
        </w:rPr>
      </w:pPr>
      <w:r w:rsidRPr="00B5723A">
        <w:rPr>
          <w:rFonts w:ascii="Arial" w:eastAsia="Calibri" w:hAnsi="Arial" w:cs="Arial"/>
          <w:lang w:val="es-ES"/>
        </w:rPr>
        <w:t>Que, mediante Resolución Nº 04-2012-SNCP-CNC, el SNCP aprobó los Manuales de Levantamiento Catastral Urbano y Rural, los cuales regulan la recopilación de información de los predios en los ámbitos rural y urbano por parte de las entidades generadoras de catastro;</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B5723A">
      <w:pPr>
        <w:spacing w:after="0" w:line="240" w:lineRule="auto"/>
        <w:jc w:val="both"/>
        <w:rPr>
          <w:rFonts w:ascii="Arial" w:eastAsia="Calibri" w:hAnsi="Arial" w:cs="Arial"/>
          <w:lang w:val="es-ES"/>
        </w:rPr>
      </w:pPr>
      <w:r w:rsidRPr="00B5723A">
        <w:rPr>
          <w:rFonts w:ascii="Arial" w:eastAsia="Calibri" w:hAnsi="Arial" w:cs="Arial"/>
          <w:lang w:val="es-ES"/>
        </w:rPr>
        <w:t>Que, los Manuales aprobados por el SNCP referidos en el considerando precedente, están diseñados para el levantamiento catastral, fundamentalmente por método indirecto y en forma masiva, lo cual se condice con la labor que realizan las entidades del SNBE, que efectúan levantamientos catastrales de los inmuebles estatales;</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B5723A">
      <w:pPr>
        <w:spacing w:after="0" w:line="240" w:lineRule="auto"/>
        <w:jc w:val="both"/>
        <w:rPr>
          <w:rFonts w:ascii="Arial" w:eastAsia="Calibri" w:hAnsi="Arial" w:cs="Arial"/>
          <w:lang w:val="es-ES"/>
        </w:rPr>
      </w:pPr>
      <w:r w:rsidRPr="00B5723A">
        <w:rPr>
          <w:rFonts w:ascii="Arial" w:eastAsia="Calibri" w:hAnsi="Arial" w:cs="Arial"/>
          <w:lang w:val="es-ES"/>
        </w:rPr>
        <w:t>Que, mediante el documento de visto, la Subdirección de Registro y Catastro (SDRC) de la Dirección de Normas y Registro de la SBN propone la aprobación de la Directiva “Lineamientos para el Levantamiento Catastral de Bienes Inmuebles Estatales”, para estandarizar, ordenar y documentar los procesos que se ejecutan en la obtención de información catastral por parte de las entidades públicas que efectúan levantamiento catastral de los inmuebles estatales, para su correcta identificación y registro en el SINABIP, a efectos de contar con información confiable y toma de decisiones acertada en la gestión de los mismos;</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B5723A">
      <w:pPr>
        <w:spacing w:after="0" w:line="240" w:lineRule="auto"/>
        <w:jc w:val="both"/>
        <w:rPr>
          <w:rFonts w:ascii="Arial" w:eastAsia="Calibri" w:hAnsi="Arial" w:cs="Arial"/>
          <w:lang w:val="es-ES"/>
        </w:rPr>
      </w:pPr>
      <w:r w:rsidRPr="00B5723A">
        <w:rPr>
          <w:rFonts w:ascii="Arial" w:eastAsia="Calibri" w:hAnsi="Arial" w:cs="Arial"/>
          <w:lang w:val="es-ES"/>
        </w:rPr>
        <w:t>Que, la Directiva propuesta por la SDRC contiene normas de carácter técnico que recogen los aspectos generales de los manuales aprobados por el SNCP, y adicionalmente, establecen lineamientos específicos sobre la obtención de la información en campo, que debe cumplir la SBN, los Gobiernos Regionales con funciones transferidas y las demás entidades conformantes del SNBE, aplicando de manera ordenada y estandarizada, las especificaciones técnicas y los procedimientos de levantamiento catastral con las metodologías adecuadas a la realidad física de los inmuebles estatales;</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B5723A">
      <w:pPr>
        <w:spacing w:after="0" w:line="240" w:lineRule="auto"/>
        <w:jc w:val="both"/>
        <w:rPr>
          <w:rFonts w:ascii="Arial" w:eastAsia="Calibri" w:hAnsi="Arial" w:cs="Arial"/>
          <w:lang w:val="es-ES"/>
        </w:rPr>
      </w:pPr>
      <w:r w:rsidRPr="00B5723A">
        <w:rPr>
          <w:rFonts w:ascii="Arial" w:eastAsia="Calibri" w:hAnsi="Arial" w:cs="Arial"/>
          <w:lang w:val="es-ES"/>
        </w:rPr>
        <w:t>Que, con la aprobación de esta Directiva, se contará con una herramienta eficaz, para obtener una base gráfica (planos) y base alfanumérica (data) debidamente georreferenciada, lo cual permitirá que se efectúe una eficiente gestión de la propiedad estatal;</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B5723A">
      <w:pPr>
        <w:spacing w:after="0" w:line="240" w:lineRule="auto"/>
        <w:jc w:val="both"/>
        <w:rPr>
          <w:rFonts w:ascii="Arial" w:eastAsia="Calibri" w:hAnsi="Arial" w:cs="Arial"/>
          <w:lang w:val="es-ES"/>
        </w:rPr>
      </w:pPr>
      <w:r w:rsidRPr="00B5723A">
        <w:rPr>
          <w:rFonts w:ascii="Arial" w:eastAsia="Calibri" w:hAnsi="Arial" w:cs="Arial"/>
          <w:lang w:val="es-ES"/>
        </w:rPr>
        <w:t>Que, el levantamiento catastral de los inmuebles estatales es una actividad que se requiere para la ejecución de los actos de adquisición, administración, disposición y registro de dichos bienes, por lo que resulta legalmente procedente la aprobación de la presente Directiva, para cumplimiento por parte de todas las entidades conformantes del SNBE;</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B5723A">
      <w:pPr>
        <w:spacing w:after="0" w:line="240" w:lineRule="auto"/>
        <w:jc w:val="both"/>
        <w:rPr>
          <w:rFonts w:ascii="Arial" w:eastAsia="Calibri" w:hAnsi="Arial" w:cs="Arial"/>
          <w:lang w:val="es-ES"/>
        </w:rPr>
      </w:pPr>
      <w:r w:rsidRPr="00B5723A">
        <w:rPr>
          <w:rFonts w:ascii="Arial" w:eastAsia="Calibri" w:hAnsi="Arial" w:cs="Arial"/>
          <w:lang w:val="es-ES"/>
        </w:rPr>
        <w:t>Con los visados de la Secretaría General, las Oficinas de Planeamiento y Presupuesto y Asesoría Jurídica, las Direcciones de Normas y Registro y de Gestión del Patrimonio Estatal; y,</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B5723A">
      <w:pPr>
        <w:spacing w:after="0" w:line="240" w:lineRule="auto"/>
        <w:jc w:val="both"/>
        <w:rPr>
          <w:rFonts w:ascii="Arial" w:eastAsia="Calibri" w:hAnsi="Arial" w:cs="Arial"/>
          <w:lang w:val="es-ES"/>
        </w:rPr>
      </w:pPr>
      <w:r w:rsidRPr="00B5723A">
        <w:rPr>
          <w:rFonts w:ascii="Arial" w:eastAsia="Calibri" w:hAnsi="Arial" w:cs="Arial"/>
          <w:lang w:val="es-ES"/>
        </w:rPr>
        <w:t>De conformidad con lo dispuesto por la Ley Nº 29151 y su Reglamento, aprobado por el Decreto Supremo Nº 007-2008-VIVIENDA; la Ley Nº 28294; y en uso de las atribuciones conferidas en los literales b) y r) del artículo 11 del Reglamento de Organización y Funciones de la Superintendencia Nacional de Bienes Estatales, aprobado por el Decreto Supremo Nº 016-2010-VIVIENDA;</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B5723A">
      <w:pPr>
        <w:spacing w:after="0" w:line="240" w:lineRule="auto"/>
        <w:jc w:val="both"/>
        <w:rPr>
          <w:rFonts w:ascii="Arial" w:eastAsia="Calibri" w:hAnsi="Arial" w:cs="Arial"/>
          <w:b/>
          <w:lang w:val="es-ES"/>
        </w:rPr>
      </w:pPr>
      <w:r w:rsidRPr="00B5723A">
        <w:rPr>
          <w:rFonts w:ascii="Arial" w:eastAsia="Calibri" w:hAnsi="Arial" w:cs="Arial"/>
          <w:b/>
          <w:lang w:val="es-ES"/>
        </w:rPr>
        <w:t>SE RESUELVE:</w:t>
      </w:r>
    </w:p>
    <w:p w:rsidR="00B5723A" w:rsidRPr="00B5723A" w:rsidRDefault="00B5723A" w:rsidP="00B5723A">
      <w:pPr>
        <w:spacing w:after="0" w:line="240" w:lineRule="auto"/>
        <w:jc w:val="both"/>
        <w:rPr>
          <w:rFonts w:ascii="Arial" w:eastAsia="Calibri" w:hAnsi="Arial" w:cs="Arial"/>
          <w:b/>
          <w:lang w:val="es-ES"/>
        </w:rPr>
      </w:pPr>
    </w:p>
    <w:p w:rsidR="00B5723A" w:rsidRPr="00B5723A" w:rsidRDefault="00B5723A" w:rsidP="00B5723A">
      <w:pPr>
        <w:spacing w:after="0" w:line="240" w:lineRule="auto"/>
        <w:jc w:val="both"/>
        <w:rPr>
          <w:rFonts w:ascii="Arial" w:eastAsia="Calibri" w:hAnsi="Arial" w:cs="Arial"/>
          <w:lang w:val="es-ES"/>
        </w:rPr>
      </w:pPr>
      <w:r w:rsidRPr="00B5723A">
        <w:rPr>
          <w:rFonts w:ascii="Arial" w:eastAsia="Calibri" w:hAnsi="Arial" w:cs="Arial"/>
          <w:b/>
          <w:lang w:val="es-ES"/>
        </w:rPr>
        <w:t>Artículo 1.-</w:t>
      </w:r>
      <w:r w:rsidRPr="00B5723A">
        <w:rPr>
          <w:rFonts w:ascii="Arial" w:eastAsia="Calibri" w:hAnsi="Arial" w:cs="Arial"/>
          <w:lang w:val="es-ES"/>
        </w:rPr>
        <w:t xml:space="preserve"> Aprobar la Directiva Nº 006-2016-SBN denominada “Lineamientos para el Levantamiento Catastral de Bienes Inmuebles Estatales”.</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B5723A">
      <w:pPr>
        <w:spacing w:after="0" w:line="240" w:lineRule="auto"/>
        <w:jc w:val="both"/>
        <w:rPr>
          <w:rFonts w:ascii="Arial" w:eastAsia="Calibri" w:hAnsi="Arial" w:cs="Arial"/>
          <w:lang w:val="es-ES"/>
        </w:rPr>
      </w:pPr>
      <w:r w:rsidRPr="00B5723A">
        <w:rPr>
          <w:rFonts w:ascii="Arial" w:eastAsia="Calibri" w:hAnsi="Arial" w:cs="Arial"/>
          <w:b/>
          <w:lang w:val="es-ES"/>
        </w:rPr>
        <w:t>Artículo 2.-</w:t>
      </w:r>
      <w:r w:rsidRPr="00B5723A">
        <w:rPr>
          <w:rFonts w:ascii="Arial" w:eastAsia="Calibri" w:hAnsi="Arial" w:cs="Arial"/>
          <w:lang w:val="es-ES"/>
        </w:rPr>
        <w:t xml:space="preserve"> Las disposiciones de la Directiva Nº 006-2016-SBN, entrarán en vigencia a partir del día siguiente de la publicación de la presente Resolución en el Diario Oficial El Peruano.</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B5723A">
      <w:pPr>
        <w:spacing w:after="0" w:line="240" w:lineRule="auto"/>
        <w:jc w:val="both"/>
        <w:rPr>
          <w:rFonts w:ascii="Arial" w:eastAsia="Calibri" w:hAnsi="Arial" w:cs="Arial"/>
          <w:lang w:val="es-ES"/>
        </w:rPr>
      </w:pPr>
      <w:r w:rsidRPr="00B5723A">
        <w:rPr>
          <w:rFonts w:ascii="Arial" w:eastAsia="Calibri" w:hAnsi="Arial" w:cs="Arial"/>
          <w:b/>
          <w:lang w:val="es-ES"/>
        </w:rPr>
        <w:t>Artículo 3.-</w:t>
      </w:r>
      <w:r w:rsidRPr="00B5723A">
        <w:rPr>
          <w:rFonts w:ascii="Arial" w:eastAsia="Calibri" w:hAnsi="Arial" w:cs="Arial"/>
          <w:lang w:val="es-ES"/>
        </w:rPr>
        <w:t xml:space="preserve"> Encargar a la Oficina de Administración y Finanzas la publicación de la Directiva Nº 06-2016-SBN y la presente Resolución en la página web (www.sbn.gob.pe) y en la intranet institucional</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B5723A">
      <w:pPr>
        <w:spacing w:after="0" w:line="240" w:lineRule="auto"/>
        <w:jc w:val="both"/>
        <w:rPr>
          <w:rFonts w:ascii="Arial" w:eastAsia="Calibri" w:hAnsi="Arial" w:cs="Arial"/>
          <w:lang w:val="es-ES"/>
        </w:rPr>
      </w:pPr>
      <w:r w:rsidRPr="00B5723A">
        <w:rPr>
          <w:rFonts w:ascii="Arial" w:eastAsia="Calibri" w:hAnsi="Arial" w:cs="Arial"/>
          <w:lang w:val="es-ES"/>
        </w:rPr>
        <w:t>Regístrese, comuníquese y publíquese.</w:t>
      </w:r>
    </w:p>
    <w:p w:rsidR="00B5723A" w:rsidRDefault="00B5723A" w:rsidP="00B5723A">
      <w:pPr>
        <w:spacing w:after="0" w:line="240" w:lineRule="auto"/>
        <w:jc w:val="center"/>
        <w:rPr>
          <w:rFonts w:ascii="Arial" w:eastAsia="Calibri" w:hAnsi="Arial" w:cs="Arial"/>
          <w:lang w:val="es-ES"/>
        </w:rPr>
      </w:pPr>
    </w:p>
    <w:p w:rsidR="00B5723A" w:rsidRPr="00B5723A" w:rsidRDefault="00B5723A" w:rsidP="00B5723A">
      <w:pPr>
        <w:spacing w:after="0" w:line="240" w:lineRule="auto"/>
        <w:jc w:val="center"/>
        <w:rPr>
          <w:rFonts w:ascii="Arial" w:eastAsia="Calibri" w:hAnsi="Arial" w:cs="Arial"/>
          <w:lang w:val="es-ES"/>
        </w:rPr>
      </w:pPr>
    </w:p>
    <w:p w:rsidR="00B5723A" w:rsidRPr="00B5723A" w:rsidRDefault="00B5723A" w:rsidP="00B5723A">
      <w:pPr>
        <w:spacing w:after="0" w:line="240" w:lineRule="auto"/>
        <w:jc w:val="center"/>
        <w:rPr>
          <w:rFonts w:ascii="Arial" w:eastAsia="Calibri" w:hAnsi="Arial" w:cs="Arial"/>
          <w:b/>
          <w:lang w:val="es-ES"/>
        </w:rPr>
      </w:pPr>
      <w:r w:rsidRPr="00B5723A">
        <w:rPr>
          <w:rFonts w:ascii="Arial" w:eastAsia="Calibri" w:hAnsi="Arial" w:cs="Arial"/>
          <w:b/>
          <w:lang w:val="es-ES"/>
        </w:rPr>
        <w:t>JOSE LUIS PAIRAZAMAN TORRES</w:t>
      </w:r>
    </w:p>
    <w:p w:rsidR="00B5723A" w:rsidRPr="00B5723A" w:rsidRDefault="00B5723A" w:rsidP="00B5723A">
      <w:pPr>
        <w:spacing w:after="0" w:line="240" w:lineRule="auto"/>
        <w:jc w:val="center"/>
        <w:rPr>
          <w:rFonts w:ascii="Arial" w:eastAsia="Calibri" w:hAnsi="Arial" w:cs="Arial"/>
          <w:lang w:val="es-ES"/>
        </w:rPr>
      </w:pPr>
      <w:r w:rsidRPr="00B5723A">
        <w:rPr>
          <w:rFonts w:ascii="Arial" w:eastAsia="Calibri" w:hAnsi="Arial" w:cs="Arial"/>
          <w:lang w:val="es-ES"/>
        </w:rPr>
        <w:t>Superintendente</w:t>
      </w:r>
    </w:p>
    <w:p w:rsidR="00B5723A" w:rsidRPr="00B5723A" w:rsidRDefault="00B5723A" w:rsidP="00B5723A">
      <w:pPr>
        <w:spacing w:after="0" w:line="240" w:lineRule="auto"/>
        <w:jc w:val="both"/>
        <w:rPr>
          <w:rFonts w:ascii="Arial" w:eastAsia="Calibri" w:hAnsi="Arial" w:cs="Arial"/>
          <w:lang w:val="es-ES"/>
        </w:rPr>
      </w:pPr>
    </w:p>
    <w:p w:rsidR="00B5723A" w:rsidRPr="006312E8" w:rsidRDefault="00B5723A" w:rsidP="00B5723A">
      <w:pPr>
        <w:pStyle w:val="TITO2"/>
      </w:pPr>
      <w:bookmarkStart w:id="223" w:name="_Toc470855530"/>
      <w:r>
        <w:t>DIRECTIVA Nº 006</w:t>
      </w:r>
      <w:r w:rsidRPr="006312E8">
        <w:t>-201</w:t>
      </w:r>
      <w:r>
        <w:t>6/</w:t>
      </w:r>
      <w:r w:rsidRPr="006312E8">
        <w:t>SBN</w:t>
      </w:r>
      <w:bookmarkEnd w:id="223"/>
    </w:p>
    <w:p w:rsidR="00B5723A" w:rsidRDefault="00B5723A" w:rsidP="006312E8">
      <w:pPr>
        <w:spacing w:after="0" w:line="240" w:lineRule="auto"/>
        <w:jc w:val="both"/>
        <w:rPr>
          <w:rFonts w:ascii="Arial" w:eastAsia="Calibri" w:hAnsi="Arial" w:cs="Arial"/>
          <w:lang w:val="es-ES"/>
        </w:rPr>
      </w:pPr>
      <w:r w:rsidRPr="00B5723A">
        <w:rPr>
          <w:rFonts w:ascii="Arial" w:eastAsia="Calibri" w:hAnsi="Arial" w:cs="Arial"/>
          <w:b/>
          <w:lang w:val="es-ES"/>
        </w:rPr>
        <w:t>LINEAMIENTOS PARA EL LEVANTAMIENTO CATASTRAL DE BIENES INMUEBLES ESTATALES</w:t>
      </w:r>
    </w:p>
    <w:p w:rsidR="0075594F" w:rsidRPr="006312E8" w:rsidRDefault="0075594F" w:rsidP="006312E8">
      <w:pPr>
        <w:spacing w:after="0" w:line="240" w:lineRule="auto"/>
        <w:jc w:val="both"/>
        <w:rPr>
          <w:rFonts w:ascii="Arial" w:eastAsia="Calibri" w:hAnsi="Arial" w:cs="Arial"/>
          <w:lang w:val="es-ES"/>
        </w:rPr>
      </w:pPr>
    </w:p>
    <w:p w:rsidR="00B5723A" w:rsidRPr="00B5723A" w:rsidRDefault="00B5723A" w:rsidP="00B5723A">
      <w:pPr>
        <w:spacing w:after="0" w:line="240" w:lineRule="auto"/>
        <w:ind w:left="567" w:hanging="567"/>
        <w:jc w:val="both"/>
        <w:rPr>
          <w:rFonts w:ascii="Arial" w:eastAsia="Calibri" w:hAnsi="Arial" w:cs="Arial"/>
          <w:b/>
          <w:lang w:val="es-ES"/>
        </w:rPr>
      </w:pPr>
      <w:r w:rsidRPr="00B5723A">
        <w:rPr>
          <w:rFonts w:ascii="Arial" w:eastAsia="Calibri" w:hAnsi="Arial" w:cs="Arial"/>
          <w:b/>
          <w:lang w:val="es-ES"/>
        </w:rPr>
        <w:t xml:space="preserve">I. </w:t>
      </w:r>
      <w:r>
        <w:rPr>
          <w:rFonts w:ascii="Arial" w:eastAsia="Calibri" w:hAnsi="Arial" w:cs="Arial"/>
          <w:b/>
          <w:lang w:val="es-ES"/>
        </w:rPr>
        <w:tab/>
      </w:r>
      <w:r w:rsidRPr="00B5723A">
        <w:rPr>
          <w:rFonts w:ascii="Arial" w:eastAsia="Calibri" w:hAnsi="Arial" w:cs="Arial"/>
          <w:b/>
          <w:lang w:val="es-ES"/>
        </w:rPr>
        <w:t>FINALIDAD</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B5723A">
      <w:pPr>
        <w:spacing w:after="0" w:line="240" w:lineRule="auto"/>
        <w:ind w:left="567"/>
        <w:jc w:val="both"/>
        <w:rPr>
          <w:rFonts w:ascii="Arial" w:eastAsia="Calibri" w:hAnsi="Arial" w:cs="Arial"/>
          <w:lang w:val="es-ES"/>
        </w:rPr>
      </w:pPr>
      <w:r w:rsidRPr="00B5723A">
        <w:rPr>
          <w:rFonts w:ascii="Arial" w:eastAsia="Calibri" w:hAnsi="Arial" w:cs="Arial"/>
          <w:lang w:val="es-ES"/>
        </w:rPr>
        <w:t>Estandarizar, ordenar y documentar los procesos que ejecutan las entidades del Sistema Nacional de Bienes Estatales - SNBE en la obtención de información para el levantamiento catastral de los bienes inmuebles estatales, a efectos de realizar una eficiente gestión de dichos bienes.</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B5723A">
      <w:pPr>
        <w:spacing w:after="0" w:line="240" w:lineRule="auto"/>
        <w:ind w:left="567" w:hanging="567"/>
        <w:jc w:val="both"/>
        <w:rPr>
          <w:rFonts w:ascii="Arial" w:eastAsia="Calibri" w:hAnsi="Arial" w:cs="Arial"/>
          <w:b/>
          <w:lang w:val="es-ES"/>
        </w:rPr>
      </w:pPr>
      <w:r w:rsidRPr="00B5723A">
        <w:rPr>
          <w:rFonts w:ascii="Arial" w:eastAsia="Calibri" w:hAnsi="Arial" w:cs="Arial"/>
          <w:b/>
          <w:lang w:val="es-ES"/>
        </w:rPr>
        <w:t xml:space="preserve">II. </w:t>
      </w:r>
      <w:r>
        <w:rPr>
          <w:rFonts w:ascii="Arial" w:eastAsia="Calibri" w:hAnsi="Arial" w:cs="Arial"/>
          <w:b/>
          <w:lang w:val="es-ES"/>
        </w:rPr>
        <w:tab/>
      </w:r>
      <w:r w:rsidRPr="00B5723A">
        <w:rPr>
          <w:rFonts w:ascii="Arial" w:eastAsia="Calibri" w:hAnsi="Arial" w:cs="Arial"/>
          <w:b/>
          <w:lang w:val="es-ES"/>
        </w:rPr>
        <w:t>OBJETIVO</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B5723A">
      <w:pPr>
        <w:spacing w:after="0" w:line="240" w:lineRule="auto"/>
        <w:ind w:left="567"/>
        <w:jc w:val="both"/>
        <w:rPr>
          <w:rFonts w:ascii="Arial" w:eastAsia="Calibri" w:hAnsi="Arial" w:cs="Arial"/>
          <w:lang w:val="es-ES"/>
        </w:rPr>
      </w:pPr>
      <w:r w:rsidRPr="00B5723A">
        <w:rPr>
          <w:rFonts w:ascii="Arial" w:eastAsia="Calibri" w:hAnsi="Arial" w:cs="Arial"/>
          <w:lang w:val="es-ES"/>
        </w:rPr>
        <w:t>Regular los procedimientos técnicos para el levantamiento catastral de los bienes inmuebles estatales que ejecutan las entidades del SNBE.</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B5723A">
      <w:pPr>
        <w:spacing w:after="0" w:line="240" w:lineRule="auto"/>
        <w:ind w:left="567" w:hanging="567"/>
        <w:jc w:val="both"/>
        <w:rPr>
          <w:rFonts w:ascii="Arial" w:eastAsia="Calibri" w:hAnsi="Arial" w:cs="Arial"/>
          <w:b/>
          <w:lang w:val="es-ES"/>
        </w:rPr>
      </w:pPr>
      <w:r w:rsidRPr="00B5723A">
        <w:rPr>
          <w:rFonts w:ascii="Arial" w:eastAsia="Calibri" w:hAnsi="Arial" w:cs="Arial"/>
          <w:b/>
          <w:lang w:val="es-ES"/>
        </w:rPr>
        <w:t xml:space="preserve">III. </w:t>
      </w:r>
      <w:r>
        <w:rPr>
          <w:rFonts w:ascii="Arial" w:eastAsia="Calibri" w:hAnsi="Arial" w:cs="Arial"/>
          <w:b/>
          <w:lang w:val="es-ES"/>
        </w:rPr>
        <w:tab/>
      </w:r>
      <w:r w:rsidRPr="00B5723A">
        <w:rPr>
          <w:rFonts w:ascii="Arial" w:eastAsia="Calibri" w:hAnsi="Arial" w:cs="Arial"/>
          <w:b/>
          <w:lang w:val="es-ES"/>
        </w:rPr>
        <w:t>ALCANCE</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725922">
      <w:pPr>
        <w:spacing w:after="0" w:line="240" w:lineRule="auto"/>
        <w:ind w:left="567"/>
        <w:jc w:val="both"/>
        <w:rPr>
          <w:rFonts w:ascii="Arial" w:eastAsia="Calibri" w:hAnsi="Arial" w:cs="Arial"/>
          <w:lang w:val="es-ES"/>
        </w:rPr>
      </w:pPr>
      <w:r w:rsidRPr="00B5723A">
        <w:rPr>
          <w:rFonts w:ascii="Arial" w:eastAsia="Calibri" w:hAnsi="Arial" w:cs="Arial"/>
          <w:lang w:val="es-ES"/>
        </w:rPr>
        <w:t>La presente Directiva tiene alcance nacional y es de cumplimiento obligatorio para todas las unidades orgánicas de la Superintendencia Nacional de Bienes Estatales - SBN y las entidades que conforman el SNBE.</w:t>
      </w:r>
    </w:p>
    <w:p w:rsidR="00B5723A" w:rsidRPr="00B5723A" w:rsidRDefault="00B5723A" w:rsidP="00B5723A">
      <w:pPr>
        <w:spacing w:after="0" w:line="240" w:lineRule="auto"/>
        <w:jc w:val="both"/>
        <w:rPr>
          <w:rFonts w:ascii="Arial" w:eastAsia="Calibri" w:hAnsi="Arial" w:cs="Arial"/>
          <w:lang w:val="es-ES"/>
        </w:rPr>
      </w:pPr>
    </w:p>
    <w:p w:rsidR="00B5723A" w:rsidRPr="00725922" w:rsidRDefault="00B5723A" w:rsidP="00725922">
      <w:pPr>
        <w:spacing w:after="0" w:line="240" w:lineRule="auto"/>
        <w:ind w:left="567" w:hanging="567"/>
        <w:jc w:val="both"/>
        <w:rPr>
          <w:rFonts w:ascii="Arial" w:eastAsia="Calibri" w:hAnsi="Arial" w:cs="Arial"/>
          <w:b/>
          <w:lang w:val="es-ES"/>
        </w:rPr>
      </w:pPr>
      <w:r w:rsidRPr="00725922">
        <w:rPr>
          <w:rFonts w:ascii="Arial" w:eastAsia="Calibri" w:hAnsi="Arial" w:cs="Arial"/>
          <w:b/>
          <w:lang w:val="es-ES"/>
        </w:rPr>
        <w:t xml:space="preserve">IV. </w:t>
      </w:r>
      <w:r w:rsidR="00725922">
        <w:rPr>
          <w:rFonts w:ascii="Arial" w:eastAsia="Calibri" w:hAnsi="Arial" w:cs="Arial"/>
          <w:b/>
          <w:lang w:val="es-ES"/>
        </w:rPr>
        <w:tab/>
      </w:r>
      <w:r w:rsidRPr="00725922">
        <w:rPr>
          <w:rFonts w:ascii="Arial" w:eastAsia="Calibri" w:hAnsi="Arial" w:cs="Arial"/>
          <w:b/>
          <w:lang w:val="es-ES"/>
        </w:rPr>
        <w:t>INTRODUCCIÓN</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725922">
      <w:pPr>
        <w:spacing w:after="0" w:line="240" w:lineRule="auto"/>
        <w:ind w:left="567"/>
        <w:jc w:val="both"/>
        <w:rPr>
          <w:rFonts w:ascii="Arial" w:eastAsia="Calibri" w:hAnsi="Arial" w:cs="Arial"/>
          <w:lang w:val="es-ES"/>
        </w:rPr>
      </w:pPr>
      <w:r w:rsidRPr="00B5723A">
        <w:rPr>
          <w:rFonts w:ascii="Arial" w:eastAsia="Calibri" w:hAnsi="Arial" w:cs="Arial"/>
          <w:lang w:val="es-ES"/>
        </w:rPr>
        <w:t>La Superintendencia Nacional de Bienes Estatales - SBN es un organismo público descentralizado, adscrito al Ministerio de Vivienda, Construcción y Saneamiento, siendo el ente rector del Sistema Nacional de Bienes Estatales, responsable de normar los actos de adquisición, disposición, administración y supervisión de los bienes estatales, así como de ejecutar dichos actos respecto de los bienes cuya administración está a su cargo, conforme lo dispone el artículo 13 de la Ley Nº 29151, Ley General del Sistema Nacional de Bienes Estatales.</w:t>
      </w:r>
    </w:p>
    <w:p w:rsidR="00B5723A" w:rsidRPr="00B5723A" w:rsidRDefault="00B5723A" w:rsidP="00725922">
      <w:pPr>
        <w:spacing w:after="0" w:line="240" w:lineRule="auto"/>
        <w:ind w:left="567"/>
        <w:jc w:val="both"/>
        <w:rPr>
          <w:rFonts w:ascii="Arial" w:eastAsia="Calibri" w:hAnsi="Arial" w:cs="Arial"/>
          <w:lang w:val="es-ES"/>
        </w:rPr>
      </w:pPr>
    </w:p>
    <w:p w:rsidR="00B5723A" w:rsidRPr="00B5723A" w:rsidRDefault="00B5723A" w:rsidP="00725922">
      <w:pPr>
        <w:spacing w:after="0" w:line="240" w:lineRule="auto"/>
        <w:ind w:left="567"/>
        <w:jc w:val="both"/>
        <w:rPr>
          <w:rFonts w:ascii="Arial" w:eastAsia="Calibri" w:hAnsi="Arial" w:cs="Arial"/>
          <w:lang w:val="es-ES"/>
        </w:rPr>
      </w:pPr>
      <w:r w:rsidRPr="00B5723A">
        <w:rPr>
          <w:rFonts w:ascii="Arial" w:eastAsia="Calibri" w:hAnsi="Arial" w:cs="Arial"/>
          <w:lang w:val="es-ES"/>
        </w:rPr>
        <w:t>Según lo previsto por el inciso b) del artículo 62 la Ley Nº 27867, Ley Orgánica de los Gobiernos Regionales, los Gobiernos Regionales son competentes para realizar los actos de inmatriculación saneamiento, adquisición, enajenación, administración y adjudicación de los terrenos urbanos y eriazos de propiedad del Estado en su jurisdicción, con excepción de los terrenos de propiedad municipal.</w:t>
      </w:r>
    </w:p>
    <w:p w:rsidR="00B5723A" w:rsidRPr="00B5723A" w:rsidRDefault="00B5723A" w:rsidP="00725922">
      <w:pPr>
        <w:spacing w:after="0" w:line="240" w:lineRule="auto"/>
        <w:ind w:left="567"/>
        <w:jc w:val="both"/>
        <w:rPr>
          <w:rFonts w:ascii="Arial" w:eastAsia="Calibri" w:hAnsi="Arial" w:cs="Arial"/>
          <w:lang w:val="es-ES"/>
        </w:rPr>
      </w:pPr>
    </w:p>
    <w:p w:rsidR="00B5723A" w:rsidRPr="00B5723A" w:rsidRDefault="00B5723A" w:rsidP="00725922">
      <w:pPr>
        <w:spacing w:after="0" w:line="240" w:lineRule="auto"/>
        <w:ind w:left="567"/>
        <w:jc w:val="both"/>
        <w:rPr>
          <w:rFonts w:ascii="Arial" w:eastAsia="Calibri" w:hAnsi="Arial" w:cs="Arial"/>
          <w:lang w:val="es-ES"/>
        </w:rPr>
      </w:pPr>
      <w:r w:rsidRPr="00B5723A">
        <w:rPr>
          <w:rFonts w:ascii="Arial" w:eastAsia="Calibri" w:hAnsi="Arial" w:cs="Arial"/>
          <w:lang w:val="es-ES"/>
        </w:rPr>
        <w:t>En mérito a lo dispuesto por la Ley Nº 27783, Ley de Bases de la Descentralización, la SBN ha transferido funciones a los Gobiernos Regionales de San Martin, Arequipa, Amazonas, Tumbes, Lambayeque y Tacna, para que asuman la función de administración y adjudicación de los terrenos urbanos y eriazos de propiedad del Estado en su jurisdicción, con excepción de los terrenos de propiedad municipal.</w:t>
      </w:r>
    </w:p>
    <w:p w:rsidR="00B5723A" w:rsidRPr="00B5723A" w:rsidRDefault="00B5723A" w:rsidP="00725922">
      <w:pPr>
        <w:spacing w:after="0" w:line="240" w:lineRule="auto"/>
        <w:ind w:left="567"/>
        <w:jc w:val="both"/>
        <w:rPr>
          <w:rFonts w:ascii="Arial" w:eastAsia="Calibri" w:hAnsi="Arial" w:cs="Arial"/>
          <w:lang w:val="es-ES"/>
        </w:rPr>
      </w:pPr>
    </w:p>
    <w:p w:rsidR="00B5723A" w:rsidRPr="00B5723A" w:rsidRDefault="00B5723A" w:rsidP="00725922">
      <w:pPr>
        <w:spacing w:after="0" w:line="240" w:lineRule="auto"/>
        <w:ind w:left="567"/>
        <w:jc w:val="both"/>
        <w:rPr>
          <w:rFonts w:ascii="Arial" w:eastAsia="Calibri" w:hAnsi="Arial" w:cs="Arial"/>
          <w:lang w:val="es-ES"/>
        </w:rPr>
      </w:pPr>
      <w:r w:rsidRPr="00B5723A">
        <w:rPr>
          <w:rFonts w:ascii="Arial" w:eastAsia="Calibri" w:hAnsi="Arial" w:cs="Arial"/>
          <w:lang w:val="es-ES"/>
        </w:rPr>
        <w:t>Mediante la Ley Nº 28294, se crea el Sistema Nacional Integrado de Catastro y su vinculación con Registro de Predios - SNCP, con la finalidad de regular la integración y unificación de los estándares, nomenclaturas y procesos técnicos de las diferentes entidades generadoras de catastro en el país, a efectos de consolidar la información catastral.</w:t>
      </w:r>
    </w:p>
    <w:p w:rsidR="00B5723A" w:rsidRPr="00B5723A" w:rsidRDefault="00B5723A" w:rsidP="00725922">
      <w:pPr>
        <w:spacing w:after="0" w:line="240" w:lineRule="auto"/>
        <w:ind w:left="567"/>
        <w:jc w:val="both"/>
        <w:rPr>
          <w:rFonts w:ascii="Arial" w:eastAsia="Calibri" w:hAnsi="Arial" w:cs="Arial"/>
          <w:lang w:val="es-ES"/>
        </w:rPr>
      </w:pPr>
    </w:p>
    <w:p w:rsidR="00B5723A" w:rsidRPr="00B5723A" w:rsidRDefault="00B5723A" w:rsidP="00725922">
      <w:pPr>
        <w:spacing w:after="0" w:line="240" w:lineRule="auto"/>
        <w:ind w:left="567"/>
        <w:jc w:val="both"/>
        <w:rPr>
          <w:rFonts w:ascii="Arial" w:eastAsia="Calibri" w:hAnsi="Arial" w:cs="Arial"/>
          <w:lang w:val="es-ES"/>
        </w:rPr>
      </w:pPr>
      <w:r w:rsidRPr="00B5723A">
        <w:rPr>
          <w:rFonts w:ascii="Arial" w:eastAsia="Calibri" w:hAnsi="Arial" w:cs="Arial"/>
          <w:lang w:val="es-ES"/>
        </w:rPr>
        <w:t>El SNCP aprobó los Manuales de Levantamiento Catastral Urbano y Rural, mediante Resolución Nº 04-2012-SNCP-CNC, los cuales están diseñados para la recopilación de información, en forma masiva, de los predios en los ámbitos rural y urbano por parte de las entidades generadoras de catastro.</w:t>
      </w:r>
    </w:p>
    <w:p w:rsidR="00B5723A" w:rsidRPr="00B5723A" w:rsidRDefault="00B5723A" w:rsidP="00725922">
      <w:pPr>
        <w:spacing w:after="0" w:line="240" w:lineRule="auto"/>
        <w:ind w:left="567"/>
        <w:jc w:val="both"/>
        <w:rPr>
          <w:rFonts w:ascii="Arial" w:eastAsia="Calibri" w:hAnsi="Arial" w:cs="Arial"/>
          <w:lang w:val="es-ES"/>
        </w:rPr>
      </w:pPr>
    </w:p>
    <w:p w:rsidR="00B5723A" w:rsidRPr="00B5723A" w:rsidRDefault="00B5723A" w:rsidP="00725922">
      <w:pPr>
        <w:spacing w:after="0" w:line="240" w:lineRule="auto"/>
        <w:ind w:left="567"/>
        <w:jc w:val="both"/>
        <w:rPr>
          <w:rFonts w:ascii="Arial" w:eastAsia="Calibri" w:hAnsi="Arial" w:cs="Arial"/>
          <w:lang w:val="es-ES"/>
        </w:rPr>
      </w:pPr>
      <w:r w:rsidRPr="00B5723A">
        <w:rPr>
          <w:rFonts w:ascii="Arial" w:eastAsia="Calibri" w:hAnsi="Arial" w:cs="Arial"/>
          <w:lang w:val="es-ES"/>
        </w:rPr>
        <w:t>La presente Directiva está orientada a constituir un documento de carácter técnico que recoge los aspectos generales de los manuales aprobados por el SNCP, y adicionalmente establece lineamientos específicos sobre la captura de la información en campo, que debe cumplir el personal de la SBN, los Gobiernos Regionales con funciones transferidas y las demás entidades conformantes del SNBE, aplicando de manera ordenada y estandarizada, las especificaciones técnicas y los procedimientos de levantamiento catastral con las metodologías adecuadas a la realidad física de los bienes inmuebles estatales, lo cual no necesariamente se efectúa de forma masiva sino que se efectúa de forma individualizada. De esta manera, se contará con una herramienta eficaz, para obtener una base grafica (planos) y base alfanumérica (data) debidamente georreferenciada, lo cual permitirá que se efectúe una buena gestión de la propiedad estatal.</w:t>
      </w:r>
    </w:p>
    <w:p w:rsidR="00B5723A" w:rsidRPr="00B5723A" w:rsidRDefault="00B5723A" w:rsidP="00725922">
      <w:pPr>
        <w:spacing w:after="0" w:line="240" w:lineRule="auto"/>
        <w:ind w:left="567"/>
        <w:jc w:val="both"/>
        <w:rPr>
          <w:rFonts w:ascii="Arial" w:eastAsia="Calibri" w:hAnsi="Arial" w:cs="Arial"/>
          <w:lang w:val="es-ES"/>
        </w:rPr>
      </w:pPr>
    </w:p>
    <w:p w:rsidR="00B5723A" w:rsidRPr="00B5723A" w:rsidRDefault="00B5723A" w:rsidP="00725922">
      <w:pPr>
        <w:spacing w:after="0" w:line="240" w:lineRule="auto"/>
        <w:ind w:left="567"/>
        <w:jc w:val="both"/>
        <w:rPr>
          <w:rFonts w:ascii="Arial" w:eastAsia="Calibri" w:hAnsi="Arial" w:cs="Arial"/>
          <w:lang w:val="es-ES"/>
        </w:rPr>
      </w:pPr>
      <w:r w:rsidRPr="00B5723A">
        <w:rPr>
          <w:rFonts w:ascii="Arial" w:eastAsia="Calibri" w:hAnsi="Arial" w:cs="Arial"/>
          <w:lang w:val="es-ES"/>
        </w:rPr>
        <w:t>El literal b) del numeral 14.1 del artículo 14 de la Ley Nº 29151, establece como función y atribución exclusiva de la SBN, expedir Directivas sobre los actos de adquisición, administración, disposición, registro y supervisión de bienes estatales.</w:t>
      </w:r>
    </w:p>
    <w:p w:rsidR="00B5723A" w:rsidRPr="00B5723A" w:rsidRDefault="00B5723A" w:rsidP="00725922">
      <w:pPr>
        <w:spacing w:after="0" w:line="240" w:lineRule="auto"/>
        <w:ind w:left="567"/>
        <w:jc w:val="both"/>
        <w:rPr>
          <w:rFonts w:ascii="Arial" w:eastAsia="Calibri" w:hAnsi="Arial" w:cs="Arial"/>
          <w:lang w:val="es-ES"/>
        </w:rPr>
      </w:pPr>
    </w:p>
    <w:p w:rsidR="00B5723A" w:rsidRPr="00B5723A" w:rsidRDefault="00B5723A" w:rsidP="00725922">
      <w:pPr>
        <w:spacing w:after="0" w:line="240" w:lineRule="auto"/>
        <w:ind w:left="567"/>
        <w:jc w:val="both"/>
        <w:rPr>
          <w:rFonts w:ascii="Arial" w:eastAsia="Calibri" w:hAnsi="Arial" w:cs="Arial"/>
          <w:lang w:val="es-ES"/>
        </w:rPr>
      </w:pPr>
      <w:r w:rsidRPr="00B5723A">
        <w:rPr>
          <w:rFonts w:ascii="Arial" w:eastAsia="Calibri" w:hAnsi="Arial" w:cs="Arial"/>
          <w:lang w:val="es-ES"/>
        </w:rPr>
        <w:t>En vista que el levantamiento catastral de los inmuebles estatales es una actividad que se requiere para la ejecución de los actos de adquisición, administración, disposición y registro de dichos bienes, resulta legalmente procedente la aprobación de la presente Directiva, para cumplimiento progresivo por parte de todas las entidades conformantes del SNBE.</w:t>
      </w:r>
    </w:p>
    <w:p w:rsidR="00B5723A" w:rsidRPr="00B5723A" w:rsidRDefault="00B5723A" w:rsidP="00B5723A">
      <w:pPr>
        <w:spacing w:after="0" w:line="240" w:lineRule="auto"/>
        <w:jc w:val="both"/>
        <w:rPr>
          <w:rFonts w:ascii="Arial" w:eastAsia="Calibri" w:hAnsi="Arial" w:cs="Arial"/>
          <w:lang w:val="es-ES"/>
        </w:rPr>
      </w:pPr>
    </w:p>
    <w:p w:rsidR="00B5723A" w:rsidRPr="00725922" w:rsidRDefault="00B5723A" w:rsidP="00725922">
      <w:pPr>
        <w:spacing w:after="0" w:line="240" w:lineRule="auto"/>
        <w:ind w:left="567" w:hanging="567"/>
        <w:jc w:val="both"/>
        <w:rPr>
          <w:rFonts w:ascii="Arial" w:eastAsia="Calibri" w:hAnsi="Arial" w:cs="Arial"/>
          <w:b/>
          <w:lang w:val="es-ES"/>
        </w:rPr>
      </w:pPr>
      <w:r w:rsidRPr="00725922">
        <w:rPr>
          <w:rFonts w:ascii="Arial" w:eastAsia="Calibri" w:hAnsi="Arial" w:cs="Arial"/>
          <w:b/>
          <w:lang w:val="es-ES"/>
        </w:rPr>
        <w:t xml:space="preserve">V. </w:t>
      </w:r>
      <w:r w:rsidR="00725922">
        <w:rPr>
          <w:rFonts w:ascii="Arial" w:eastAsia="Calibri" w:hAnsi="Arial" w:cs="Arial"/>
          <w:b/>
          <w:lang w:val="es-ES"/>
        </w:rPr>
        <w:tab/>
      </w:r>
      <w:r w:rsidRPr="00725922">
        <w:rPr>
          <w:rFonts w:ascii="Arial" w:eastAsia="Calibri" w:hAnsi="Arial" w:cs="Arial"/>
          <w:b/>
          <w:lang w:val="es-ES"/>
        </w:rPr>
        <w:t>BASE LEGAL</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725922">
      <w:pPr>
        <w:spacing w:after="0" w:line="240" w:lineRule="auto"/>
        <w:ind w:left="993" w:hanging="426"/>
        <w:jc w:val="both"/>
        <w:rPr>
          <w:rFonts w:ascii="Arial" w:eastAsia="Calibri" w:hAnsi="Arial" w:cs="Arial"/>
          <w:lang w:val="es-ES"/>
        </w:rPr>
      </w:pPr>
      <w:r w:rsidRPr="00B5723A">
        <w:rPr>
          <w:rFonts w:ascii="Arial" w:eastAsia="Calibri" w:hAnsi="Arial" w:cs="Arial"/>
          <w:lang w:val="es-ES"/>
        </w:rPr>
        <w:t xml:space="preserve">* </w:t>
      </w:r>
      <w:r w:rsidR="00725922">
        <w:rPr>
          <w:rFonts w:ascii="Arial" w:eastAsia="Calibri" w:hAnsi="Arial" w:cs="Arial"/>
          <w:lang w:val="es-ES"/>
        </w:rPr>
        <w:tab/>
        <w:t>Ley N°</w:t>
      </w:r>
      <w:r w:rsidRPr="00B5723A">
        <w:rPr>
          <w:rFonts w:ascii="Arial" w:eastAsia="Calibri" w:hAnsi="Arial" w:cs="Arial"/>
          <w:lang w:val="es-ES"/>
        </w:rPr>
        <w:t xml:space="preserve"> 29151, Ley General del Sistema Nacional de Bienes Estatales, y sus modificatorias.</w:t>
      </w:r>
    </w:p>
    <w:p w:rsidR="00B5723A" w:rsidRPr="00B5723A" w:rsidRDefault="00B5723A" w:rsidP="00725922">
      <w:pPr>
        <w:spacing w:after="0" w:line="240" w:lineRule="auto"/>
        <w:ind w:left="993" w:hanging="426"/>
        <w:jc w:val="both"/>
        <w:rPr>
          <w:rFonts w:ascii="Arial" w:eastAsia="Calibri" w:hAnsi="Arial" w:cs="Arial"/>
          <w:lang w:val="es-ES"/>
        </w:rPr>
      </w:pPr>
    </w:p>
    <w:p w:rsidR="00B5723A" w:rsidRPr="00B5723A" w:rsidRDefault="00B5723A" w:rsidP="00725922">
      <w:pPr>
        <w:spacing w:after="0" w:line="240" w:lineRule="auto"/>
        <w:ind w:left="993" w:hanging="426"/>
        <w:jc w:val="both"/>
        <w:rPr>
          <w:rFonts w:ascii="Arial" w:eastAsia="Calibri" w:hAnsi="Arial" w:cs="Arial"/>
          <w:lang w:val="es-ES"/>
        </w:rPr>
      </w:pPr>
      <w:r w:rsidRPr="00B5723A">
        <w:rPr>
          <w:rFonts w:ascii="Arial" w:eastAsia="Calibri" w:hAnsi="Arial" w:cs="Arial"/>
          <w:lang w:val="es-ES"/>
        </w:rPr>
        <w:t xml:space="preserve">* </w:t>
      </w:r>
      <w:r w:rsidR="00725922">
        <w:rPr>
          <w:rFonts w:ascii="Arial" w:eastAsia="Calibri" w:hAnsi="Arial" w:cs="Arial"/>
          <w:lang w:val="es-ES"/>
        </w:rPr>
        <w:tab/>
        <w:t>Ley N°</w:t>
      </w:r>
      <w:r w:rsidRPr="00B5723A">
        <w:rPr>
          <w:rFonts w:ascii="Arial" w:eastAsia="Calibri" w:hAnsi="Arial" w:cs="Arial"/>
          <w:lang w:val="es-ES"/>
        </w:rPr>
        <w:t xml:space="preserve"> 27444, Ley del Procedimiento Administrativo General.</w:t>
      </w:r>
    </w:p>
    <w:p w:rsidR="00B5723A" w:rsidRPr="00B5723A" w:rsidRDefault="00B5723A" w:rsidP="00725922">
      <w:pPr>
        <w:spacing w:after="0" w:line="240" w:lineRule="auto"/>
        <w:ind w:left="993" w:hanging="426"/>
        <w:jc w:val="both"/>
        <w:rPr>
          <w:rFonts w:ascii="Arial" w:eastAsia="Calibri" w:hAnsi="Arial" w:cs="Arial"/>
          <w:lang w:val="es-ES"/>
        </w:rPr>
      </w:pPr>
    </w:p>
    <w:p w:rsidR="00B5723A" w:rsidRPr="00B5723A" w:rsidRDefault="00B5723A" w:rsidP="00725922">
      <w:pPr>
        <w:spacing w:after="0" w:line="240" w:lineRule="auto"/>
        <w:ind w:left="993" w:hanging="426"/>
        <w:jc w:val="both"/>
        <w:rPr>
          <w:rFonts w:ascii="Arial" w:eastAsia="Calibri" w:hAnsi="Arial" w:cs="Arial"/>
          <w:lang w:val="es-ES"/>
        </w:rPr>
      </w:pPr>
      <w:r w:rsidRPr="00B5723A">
        <w:rPr>
          <w:rFonts w:ascii="Arial" w:eastAsia="Calibri" w:hAnsi="Arial" w:cs="Arial"/>
          <w:lang w:val="es-ES"/>
        </w:rPr>
        <w:t xml:space="preserve">* </w:t>
      </w:r>
      <w:r w:rsidR="00725922">
        <w:rPr>
          <w:rFonts w:ascii="Arial" w:eastAsia="Calibri" w:hAnsi="Arial" w:cs="Arial"/>
          <w:lang w:val="es-ES"/>
        </w:rPr>
        <w:tab/>
      </w:r>
      <w:r w:rsidRPr="00B5723A">
        <w:rPr>
          <w:rFonts w:ascii="Arial" w:eastAsia="Calibri" w:hAnsi="Arial" w:cs="Arial"/>
          <w:lang w:val="es-ES"/>
        </w:rPr>
        <w:t>Ley Nº 27867, Ley Orgánica de Gobiernos Regionales.</w:t>
      </w:r>
    </w:p>
    <w:p w:rsidR="00B5723A" w:rsidRPr="00B5723A" w:rsidRDefault="00B5723A" w:rsidP="00725922">
      <w:pPr>
        <w:spacing w:after="0" w:line="240" w:lineRule="auto"/>
        <w:ind w:left="993" w:hanging="426"/>
        <w:jc w:val="both"/>
        <w:rPr>
          <w:rFonts w:ascii="Arial" w:eastAsia="Calibri" w:hAnsi="Arial" w:cs="Arial"/>
          <w:lang w:val="es-ES"/>
        </w:rPr>
      </w:pPr>
    </w:p>
    <w:p w:rsidR="00B5723A" w:rsidRPr="00B5723A" w:rsidRDefault="00B5723A" w:rsidP="00725922">
      <w:pPr>
        <w:spacing w:after="0" w:line="240" w:lineRule="auto"/>
        <w:ind w:left="993" w:hanging="426"/>
        <w:jc w:val="both"/>
        <w:rPr>
          <w:rFonts w:ascii="Arial" w:eastAsia="Calibri" w:hAnsi="Arial" w:cs="Arial"/>
          <w:lang w:val="es-ES"/>
        </w:rPr>
      </w:pPr>
      <w:r w:rsidRPr="00B5723A">
        <w:rPr>
          <w:rFonts w:ascii="Arial" w:eastAsia="Calibri" w:hAnsi="Arial" w:cs="Arial"/>
          <w:lang w:val="es-ES"/>
        </w:rPr>
        <w:t xml:space="preserve">* </w:t>
      </w:r>
      <w:r w:rsidR="00725922">
        <w:rPr>
          <w:rFonts w:ascii="Arial" w:eastAsia="Calibri" w:hAnsi="Arial" w:cs="Arial"/>
          <w:lang w:val="es-ES"/>
        </w:rPr>
        <w:tab/>
      </w:r>
      <w:r w:rsidRPr="00B5723A">
        <w:rPr>
          <w:rFonts w:ascii="Arial" w:eastAsia="Calibri" w:hAnsi="Arial" w:cs="Arial"/>
          <w:lang w:val="es-ES"/>
        </w:rPr>
        <w:t>Ley Nº 27972, Ley Orgánica de Municipalidades.</w:t>
      </w:r>
    </w:p>
    <w:p w:rsidR="00B5723A" w:rsidRPr="00B5723A" w:rsidRDefault="00B5723A" w:rsidP="00725922">
      <w:pPr>
        <w:spacing w:after="0" w:line="240" w:lineRule="auto"/>
        <w:ind w:left="993" w:hanging="426"/>
        <w:jc w:val="both"/>
        <w:rPr>
          <w:rFonts w:ascii="Arial" w:eastAsia="Calibri" w:hAnsi="Arial" w:cs="Arial"/>
          <w:lang w:val="es-ES"/>
        </w:rPr>
      </w:pPr>
    </w:p>
    <w:p w:rsidR="00B5723A" w:rsidRPr="00B5723A" w:rsidRDefault="00B5723A" w:rsidP="00725922">
      <w:pPr>
        <w:spacing w:after="0" w:line="240" w:lineRule="auto"/>
        <w:ind w:left="993" w:hanging="426"/>
        <w:jc w:val="both"/>
        <w:rPr>
          <w:rFonts w:ascii="Arial" w:eastAsia="Calibri" w:hAnsi="Arial" w:cs="Arial"/>
          <w:lang w:val="es-ES"/>
        </w:rPr>
      </w:pPr>
      <w:r w:rsidRPr="00B5723A">
        <w:rPr>
          <w:rFonts w:ascii="Arial" w:eastAsia="Calibri" w:hAnsi="Arial" w:cs="Arial"/>
          <w:lang w:val="es-ES"/>
        </w:rPr>
        <w:t xml:space="preserve">* </w:t>
      </w:r>
      <w:r w:rsidR="001759AF">
        <w:rPr>
          <w:rFonts w:ascii="Arial" w:eastAsia="Calibri" w:hAnsi="Arial" w:cs="Arial"/>
          <w:lang w:val="es-ES"/>
        </w:rPr>
        <w:tab/>
      </w:r>
      <w:r w:rsidRPr="00B5723A">
        <w:rPr>
          <w:rFonts w:ascii="Arial" w:eastAsia="Calibri" w:hAnsi="Arial" w:cs="Arial"/>
          <w:lang w:val="es-ES"/>
        </w:rPr>
        <w:t>Ley Nº 28294, Ley que crea el Sistema Nacional Integrado de Catastro y su vinculación con Registro de Predios.</w:t>
      </w:r>
    </w:p>
    <w:p w:rsidR="00B5723A" w:rsidRPr="00B5723A" w:rsidRDefault="00B5723A" w:rsidP="00725922">
      <w:pPr>
        <w:spacing w:after="0" w:line="240" w:lineRule="auto"/>
        <w:ind w:left="993" w:hanging="426"/>
        <w:jc w:val="both"/>
        <w:rPr>
          <w:rFonts w:ascii="Arial" w:eastAsia="Calibri" w:hAnsi="Arial" w:cs="Arial"/>
          <w:lang w:val="es-ES"/>
        </w:rPr>
      </w:pPr>
    </w:p>
    <w:p w:rsidR="00B5723A" w:rsidRPr="00B5723A" w:rsidRDefault="00B5723A" w:rsidP="00725922">
      <w:pPr>
        <w:spacing w:after="0" w:line="240" w:lineRule="auto"/>
        <w:ind w:left="993" w:hanging="426"/>
        <w:jc w:val="both"/>
        <w:rPr>
          <w:rFonts w:ascii="Arial" w:eastAsia="Calibri" w:hAnsi="Arial" w:cs="Arial"/>
          <w:lang w:val="es-ES"/>
        </w:rPr>
      </w:pPr>
      <w:r w:rsidRPr="00B5723A">
        <w:rPr>
          <w:rFonts w:ascii="Arial" w:eastAsia="Calibri" w:hAnsi="Arial" w:cs="Arial"/>
          <w:lang w:val="es-ES"/>
        </w:rPr>
        <w:t xml:space="preserve">* </w:t>
      </w:r>
      <w:r w:rsidR="001759AF">
        <w:rPr>
          <w:rFonts w:ascii="Arial" w:eastAsia="Calibri" w:hAnsi="Arial" w:cs="Arial"/>
          <w:lang w:val="es-ES"/>
        </w:rPr>
        <w:tab/>
      </w:r>
      <w:r w:rsidRPr="00B5723A">
        <w:rPr>
          <w:rFonts w:ascii="Arial" w:eastAsia="Calibri" w:hAnsi="Arial" w:cs="Arial"/>
          <w:lang w:val="es-ES"/>
        </w:rPr>
        <w:t>Ley Na 29618, Ley que establece la presunción de que el Estado es poseedor de los inmuebles de su propiedad y declara imprescriptibles los bienes inmuebles de dominio privado estatal.</w:t>
      </w:r>
    </w:p>
    <w:p w:rsidR="00B5723A" w:rsidRPr="00B5723A" w:rsidRDefault="00B5723A" w:rsidP="00725922">
      <w:pPr>
        <w:spacing w:after="0" w:line="240" w:lineRule="auto"/>
        <w:ind w:left="993" w:hanging="426"/>
        <w:jc w:val="both"/>
        <w:rPr>
          <w:rFonts w:ascii="Arial" w:eastAsia="Calibri" w:hAnsi="Arial" w:cs="Arial"/>
          <w:lang w:val="es-ES"/>
        </w:rPr>
      </w:pPr>
    </w:p>
    <w:p w:rsidR="00B5723A" w:rsidRPr="00B5723A" w:rsidRDefault="00B5723A" w:rsidP="00725922">
      <w:pPr>
        <w:spacing w:after="0" w:line="240" w:lineRule="auto"/>
        <w:ind w:left="993" w:hanging="426"/>
        <w:jc w:val="both"/>
        <w:rPr>
          <w:rFonts w:ascii="Arial" w:eastAsia="Calibri" w:hAnsi="Arial" w:cs="Arial"/>
          <w:lang w:val="es-ES"/>
        </w:rPr>
      </w:pPr>
      <w:r w:rsidRPr="00B5723A">
        <w:rPr>
          <w:rFonts w:ascii="Arial" w:eastAsia="Calibri" w:hAnsi="Arial" w:cs="Arial"/>
          <w:lang w:val="es-ES"/>
        </w:rPr>
        <w:t xml:space="preserve">* </w:t>
      </w:r>
      <w:r w:rsidR="001759AF">
        <w:rPr>
          <w:rFonts w:ascii="Arial" w:eastAsia="Calibri" w:hAnsi="Arial" w:cs="Arial"/>
          <w:lang w:val="es-ES"/>
        </w:rPr>
        <w:tab/>
      </w:r>
      <w:r w:rsidRPr="00B5723A">
        <w:rPr>
          <w:rFonts w:ascii="Arial" w:eastAsia="Calibri" w:hAnsi="Arial" w:cs="Arial"/>
          <w:lang w:val="es-ES"/>
        </w:rPr>
        <w:t>Decreto Supremo Nº 005-2006-JUS, que aprueba el Reglamento de la Ley Nº 28294, Ley que crea el Sistema Nacional Integrado de Catastro y su vinculación con Registro de Predios.</w:t>
      </w:r>
    </w:p>
    <w:p w:rsidR="00B5723A" w:rsidRPr="00B5723A" w:rsidRDefault="00B5723A" w:rsidP="00725922">
      <w:pPr>
        <w:spacing w:after="0" w:line="240" w:lineRule="auto"/>
        <w:ind w:left="993" w:hanging="426"/>
        <w:jc w:val="both"/>
        <w:rPr>
          <w:rFonts w:ascii="Arial" w:eastAsia="Calibri" w:hAnsi="Arial" w:cs="Arial"/>
          <w:lang w:val="es-ES"/>
        </w:rPr>
      </w:pPr>
    </w:p>
    <w:p w:rsidR="00B5723A" w:rsidRPr="00B5723A" w:rsidRDefault="00B5723A" w:rsidP="00725922">
      <w:pPr>
        <w:spacing w:after="0" w:line="240" w:lineRule="auto"/>
        <w:ind w:left="993" w:hanging="426"/>
        <w:jc w:val="both"/>
        <w:rPr>
          <w:rFonts w:ascii="Arial" w:eastAsia="Calibri" w:hAnsi="Arial" w:cs="Arial"/>
          <w:lang w:val="es-ES"/>
        </w:rPr>
      </w:pPr>
      <w:r w:rsidRPr="00B5723A">
        <w:rPr>
          <w:rFonts w:ascii="Arial" w:eastAsia="Calibri" w:hAnsi="Arial" w:cs="Arial"/>
          <w:lang w:val="es-ES"/>
        </w:rPr>
        <w:t xml:space="preserve">* </w:t>
      </w:r>
      <w:r w:rsidR="001759AF">
        <w:rPr>
          <w:rFonts w:ascii="Arial" w:eastAsia="Calibri" w:hAnsi="Arial" w:cs="Arial"/>
          <w:lang w:val="es-ES"/>
        </w:rPr>
        <w:tab/>
      </w:r>
      <w:r w:rsidRPr="00B5723A">
        <w:rPr>
          <w:rFonts w:ascii="Arial" w:eastAsia="Calibri" w:hAnsi="Arial" w:cs="Arial"/>
          <w:lang w:val="es-ES"/>
        </w:rPr>
        <w:t>Decreto Supremo Nº 007-2008-VIVIENDA, que aprueba el Reglamento de la Ley Nº 29151, Ley General del Sistema Nacional de Bienes Estatales, y sus modificatorias.</w:t>
      </w:r>
    </w:p>
    <w:p w:rsidR="00B5723A" w:rsidRPr="00B5723A" w:rsidRDefault="00B5723A" w:rsidP="00725922">
      <w:pPr>
        <w:spacing w:after="0" w:line="240" w:lineRule="auto"/>
        <w:ind w:left="993" w:hanging="426"/>
        <w:jc w:val="both"/>
        <w:rPr>
          <w:rFonts w:ascii="Arial" w:eastAsia="Calibri" w:hAnsi="Arial" w:cs="Arial"/>
          <w:lang w:val="es-ES"/>
        </w:rPr>
      </w:pPr>
    </w:p>
    <w:p w:rsidR="00B5723A" w:rsidRPr="00B5723A" w:rsidRDefault="00B5723A" w:rsidP="00725922">
      <w:pPr>
        <w:spacing w:after="0" w:line="240" w:lineRule="auto"/>
        <w:ind w:left="993" w:hanging="426"/>
        <w:jc w:val="both"/>
        <w:rPr>
          <w:rFonts w:ascii="Arial" w:eastAsia="Calibri" w:hAnsi="Arial" w:cs="Arial"/>
          <w:lang w:val="es-ES"/>
        </w:rPr>
      </w:pPr>
      <w:r w:rsidRPr="00B5723A">
        <w:rPr>
          <w:rFonts w:ascii="Arial" w:eastAsia="Calibri" w:hAnsi="Arial" w:cs="Arial"/>
          <w:lang w:val="es-ES"/>
        </w:rPr>
        <w:t xml:space="preserve">* </w:t>
      </w:r>
      <w:r w:rsidR="001759AF">
        <w:rPr>
          <w:rFonts w:ascii="Arial" w:eastAsia="Calibri" w:hAnsi="Arial" w:cs="Arial"/>
          <w:lang w:val="es-ES"/>
        </w:rPr>
        <w:tab/>
      </w:r>
      <w:r w:rsidRPr="00B5723A">
        <w:rPr>
          <w:rFonts w:ascii="Arial" w:eastAsia="Calibri" w:hAnsi="Arial" w:cs="Arial"/>
          <w:lang w:val="es-ES"/>
        </w:rPr>
        <w:t>Decreto Supremo Nº 016-2010-VIVIENDA, que aprueba el Reglamento de Organización y Funciones de la Superintendencia Nacional de Bienes Estatales.</w:t>
      </w:r>
    </w:p>
    <w:p w:rsidR="00B5723A" w:rsidRPr="00B5723A" w:rsidRDefault="00B5723A" w:rsidP="00725922">
      <w:pPr>
        <w:spacing w:after="0" w:line="240" w:lineRule="auto"/>
        <w:ind w:left="993" w:hanging="426"/>
        <w:jc w:val="both"/>
        <w:rPr>
          <w:rFonts w:ascii="Arial" w:eastAsia="Calibri" w:hAnsi="Arial" w:cs="Arial"/>
          <w:lang w:val="es-ES"/>
        </w:rPr>
      </w:pPr>
    </w:p>
    <w:p w:rsidR="00B5723A" w:rsidRPr="00B5723A" w:rsidRDefault="00B5723A" w:rsidP="00725922">
      <w:pPr>
        <w:spacing w:after="0" w:line="240" w:lineRule="auto"/>
        <w:ind w:left="993" w:hanging="426"/>
        <w:jc w:val="both"/>
        <w:rPr>
          <w:rFonts w:ascii="Arial" w:eastAsia="Calibri" w:hAnsi="Arial" w:cs="Arial"/>
          <w:lang w:val="es-ES"/>
        </w:rPr>
      </w:pPr>
      <w:r w:rsidRPr="00B5723A">
        <w:rPr>
          <w:rFonts w:ascii="Arial" w:eastAsia="Calibri" w:hAnsi="Arial" w:cs="Arial"/>
          <w:lang w:val="es-ES"/>
        </w:rPr>
        <w:t xml:space="preserve">* </w:t>
      </w:r>
      <w:r w:rsidR="001759AF">
        <w:rPr>
          <w:rFonts w:ascii="Arial" w:eastAsia="Calibri" w:hAnsi="Arial" w:cs="Arial"/>
          <w:lang w:val="es-ES"/>
        </w:rPr>
        <w:tab/>
      </w:r>
      <w:r w:rsidRPr="00B5723A">
        <w:rPr>
          <w:rFonts w:ascii="Arial" w:eastAsia="Calibri" w:hAnsi="Arial" w:cs="Arial"/>
          <w:lang w:val="es-ES"/>
        </w:rPr>
        <w:t>Directiva Nº 002-2006-SNCP-CNC, que define la serie de escalas numéricas catastrales, nomenclatura, contenido mínimo y formato de impresión.</w:t>
      </w:r>
    </w:p>
    <w:p w:rsidR="00B5723A" w:rsidRPr="00B5723A" w:rsidRDefault="00B5723A" w:rsidP="00725922">
      <w:pPr>
        <w:spacing w:after="0" w:line="240" w:lineRule="auto"/>
        <w:ind w:left="993" w:hanging="426"/>
        <w:jc w:val="both"/>
        <w:rPr>
          <w:rFonts w:ascii="Arial" w:eastAsia="Calibri" w:hAnsi="Arial" w:cs="Arial"/>
          <w:lang w:val="es-ES"/>
        </w:rPr>
      </w:pPr>
    </w:p>
    <w:p w:rsidR="00B5723A" w:rsidRPr="00B5723A" w:rsidRDefault="00B5723A" w:rsidP="00725922">
      <w:pPr>
        <w:spacing w:after="0" w:line="240" w:lineRule="auto"/>
        <w:ind w:left="993" w:hanging="426"/>
        <w:jc w:val="both"/>
        <w:rPr>
          <w:rFonts w:ascii="Arial" w:eastAsia="Calibri" w:hAnsi="Arial" w:cs="Arial"/>
          <w:lang w:val="es-ES"/>
        </w:rPr>
      </w:pPr>
      <w:r w:rsidRPr="00B5723A">
        <w:rPr>
          <w:rFonts w:ascii="Arial" w:eastAsia="Calibri" w:hAnsi="Arial" w:cs="Arial"/>
          <w:lang w:val="es-ES"/>
        </w:rPr>
        <w:t xml:space="preserve">* </w:t>
      </w:r>
      <w:r w:rsidR="001759AF">
        <w:rPr>
          <w:rFonts w:ascii="Arial" w:eastAsia="Calibri" w:hAnsi="Arial" w:cs="Arial"/>
          <w:lang w:val="es-ES"/>
        </w:rPr>
        <w:tab/>
      </w:r>
      <w:r w:rsidRPr="00B5723A">
        <w:rPr>
          <w:rFonts w:ascii="Arial" w:eastAsia="Calibri" w:hAnsi="Arial" w:cs="Arial"/>
          <w:lang w:val="es-ES"/>
        </w:rPr>
        <w:t>Resolución Jefatural Nº 079-2006-IGN-JEF-DGC, que establece el Datum WGS84 como único Sistema de Referencia Nacional.</w:t>
      </w:r>
    </w:p>
    <w:p w:rsidR="00B5723A" w:rsidRPr="00B5723A" w:rsidRDefault="00B5723A" w:rsidP="00725922">
      <w:pPr>
        <w:spacing w:after="0" w:line="240" w:lineRule="auto"/>
        <w:ind w:left="993" w:hanging="426"/>
        <w:jc w:val="both"/>
        <w:rPr>
          <w:rFonts w:ascii="Arial" w:eastAsia="Calibri" w:hAnsi="Arial" w:cs="Arial"/>
          <w:lang w:val="es-ES"/>
        </w:rPr>
      </w:pPr>
    </w:p>
    <w:p w:rsidR="00B5723A" w:rsidRPr="00B5723A" w:rsidRDefault="00B5723A" w:rsidP="00725922">
      <w:pPr>
        <w:spacing w:after="0" w:line="240" w:lineRule="auto"/>
        <w:ind w:left="993" w:hanging="426"/>
        <w:jc w:val="both"/>
        <w:rPr>
          <w:rFonts w:ascii="Arial" w:eastAsia="Calibri" w:hAnsi="Arial" w:cs="Arial"/>
          <w:lang w:val="es-ES"/>
        </w:rPr>
      </w:pPr>
      <w:r w:rsidRPr="00B5723A">
        <w:rPr>
          <w:rFonts w:ascii="Arial" w:eastAsia="Calibri" w:hAnsi="Arial" w:cs="Arial"/>
          <w:lang w:val="es-ES"/>
        </w:rPr>
        <w:t xml:space="preserve">* </w:t>
      </w:r>
      <w:r w:rsidR="001759AF">
        <w:rPr>
          <w:rFonts w:ascii="Arial" w:eastAsia="Calibri" w:hAnsi="Arial" w:cs="Arial"/>
          <w:lang w:val="es-ES"/>
        </w:rPr>
        <w:tab/>
      </w:r>
      <w:r w:rsidRPr="00B5723A">
        <w:rPr>
          <w:rFonts w:ascii="Arial" w:eastAsia="Calibri" w:hAnsi="Arial" w:cs="Arial"/>
          <w:lang w:val="es-ES"/>
        </w:rPr>
        <w:t>Resolución Jefatural Nº 112-2006-IGN-OAJ-DGC-J, que establece el sistema “Universal Transverse Mercator” (UTM) como sistema de proyección cartográfica y de codificación y especificaciones de las series de escalas de la cartografía básica oficial.</w:t>
      </w:r>
    </w:p>
    <w:p w:rsidR="00B5723A" w:rsidRPr="00B5723A" w:rsidRDefault="00B5723A" w:rsidP="00725922">
      <w:pPr>
        <w:spacing w:after="0" w:line="240" w:lineRule="auto"/>
        <w:ind w:left="993" w:hanging="426"/>
        <w:jc w:val="both"/>
        <w:rPr>
          <w:rFonts w:ascii="Arial" w:eastAsia="Calibri" w:hAnsi="Arial" w:cs="Arial"/>
          <w:lang w:val="es-ES"/>
        </w:rPr>
      </w:pPr>
    </w:p>
    <w:p w:rsidR="00B5723A" w:rsidRPr="00B5723A" w:rsidRDefault="00B5723A" w:rsidP="00725922">
      <w:pPr>
        <w:spacing w:after="0" w:line="240" w:lineRule="auto"/>
        <w:ind w:left="993" w:hanging="426"/>
        <w:jc w:val="both"/>
        <w:rPr>
          <w:rFonts w:ascii="Arial" w:eastAsia="Calibri" w:hAnsi="Arial" w:cs="Arial"/>
          <w:lang w:val="es-ES"/>
        </w:rPr>
      </w:pPr>
      <w:r w:rsidRPr="00B5723A">
        <w:rPr>
          <w:rFonts w:ascii="Arial" w:eastAsia="Calibri" w:hAnsi="Arial" w:cs="Arial"/>
          <w:lang w:val="es-ES"/>
        </w:rPr>
        <w:t xml:space="preserve">* </w:t>
      </w:r>
      <w:r w:rsidR="001759AF">
        <w:rPr>
          <w:rFonts w:ascii="Arial" w:eastAsia="Calibri" w:hAnsi="Arial" w:cs="Arial"/>
          <w:lang w:val="es-ES"/>
        </w:rPr>
        <w:tab/>
      </w:r>
      <w:r w:rsidRPr="00B5723A">
        <w:rPr>
          <w:rFonts w:ascii="Arial" w:eastAsia="Calibri" w:hAnsi="Arial" w:cs="Arial"/>
          <w:lang w:val="es-ES"/>
        </w:rPr>
        <w:t>Resolución Nº 03-2008-SNCP-CNC, que aprueba la Directiva Nº 01-2008-SNCP-CNC: Tolerancias Catastrales - Registrales</w:t>
      </w:r>
    </w:p>
    <w:p w:rsidR="00B5723A" w:rsidRPr="00B5723A" w:rsidRDefault="00B5723A" w:rsidP="00725922">
      <w:pPr>
        <w:spacing w:after="0" w:line="240" w:lineRule="auto"/>
        <w:ind w:left="993" w:hanging="426"/>
        <w:jc w:val="both"/>
        <w:rPr>
          <w:rFonts w:ascii="Arial" w:eastAsia="Calibri" w:hAnsi="Arial" w:cs="Arial"/>
          <w:lang w:val="es-ES"/>
        </w:rPr>
      </w:pPr>
    </w:p>
    <w:p w:rsidR="00B5723A" w:rsidRPr="00B5723A" w:rsidRDefault="00B5723A" w:rsidP="00725922">
      <w:pPr>
        <w:spacing w:after="0" w:line="240" w:lineRule="auto"/>
        <w:ind w:left="993" w:hanging="426"/>
        <w:jc w:val="both"/>
        <w:rPr>
          <w:rFonts w:ascii="Arial" w:eastAsia="Calibri" w:hAnsi="Arial" w:cs="Arial"/>
          <w:lang w:val="es-ES"/>
        </w:rPr>
      </w:pPr>
      <w:r w:rsidRPr="00B5723A">
        <w:rPr>
          <w:rFonts w:ascii="Arial" w:eastAsia="Calibri" w:hAnsi="Arial" w:cs="Arial"/>
          <w:lang w:val="es-ES"/>
        </w:rPr>
        <w:t xml:space="preserve">* </w:t>
      </w:r>
      <w:r w:rsidR="001759AF">
        <w:rPr>
          <w:rFonts w:ascii="Arial" w:eastAsia="Calibri" w:hAnsi="Arial" w:cs="Arial"/>
          <w:lang w:val="es-ES"/>
        </w:rPr>
        <w:tab/>
      </w:r>
      <w:r w:rsidRPr="00B5723A">
        <w:rPr>
          <w:rFonts w:ascii="Arial" w:eastAsia="Calibri" w:hAnsi="Arial" w:cs="Arial"/>
          <w:lang w:val="es-ES"/>
        </w:rPr>
        <w:t>Resolución Jefatural Nº 086-2011-IGN-OAJ-DGC, que da por concluido el período de conversión a que se refiere la R.J. Nº 079-2006-IGN-OAJ-DGC, finiquitando la vigencia y uso del sistema local geodésico Provisional Sudamericano 1956 - PSAD56.</w:t>
      </w:r>
    </w:p>
    <w:p w:rsidR="00B5723A" w:rsidRPr="00B5723A" w:rsidRDefault="00B5723A" w:rsidP="00725922">
      <w:pPr>
        <w:spacing w:after="0" w:line="240" w:lineRule="auto"/>
        <w:ind w:left="993" w:hanging="426"/>
        <w:jc w:val="both"/>
        <w:rPr>
          <w:rFonts w:ascii="Arial" w:eastAsia="Calibri" w:hAnsi="Arial" w:cs="Arial"/>
          <w:lang w:val="es-ES"/>
        </w:rPr>
      </w:pPr>
    </w:p>
    <w:p w:rsidR="00B5723A" w:rsidRPr="00B5723A" w:rsidRDefault="00B5723A" w:rsidP="00725922">
      <w:pPr>
        <w:spacing w:after="0" w:line="240" w:lineRule="auto"/>
        <w:ind w:left="993" w:hanging="426"/>
        <w:jc w:val="both"/>
        <w:rPr>
          <w:rFonts w:ascii="Arial" w:eastAsia="Calibri" w:hAnsi="Arial" w:cs="Arial"/>
          <w:lang w:val="es-ES"/>
        </w:rPr>
      </w:pPr>
      <w:r w:rsidRPr="00B5723A">
        <w:rPr>
          <w:rFonts w:ascii="Arial" w:eastAsia="Calibri" w:hAnsi="Arial" w:cs="Arial"/>
          <w:lang w:val="es-ES"/>
        </w:rPr>
        <w:t xml:space="preserve">* </w:t>
      </w:r>
      <w:r w:rsidR="001759AF">
        <w:rPr>
          <w:rFonts w:ascii="Arial" w:eastAsia="Calibri" w:hAnsi="Arial" w:cs="Arial"/>
          <w:lang w:val="es-ES"/>
        </w:rPr>
        <w:tab/>
      </w:r>
      <w:r w:rsidRPr="00B5723A">
        <w:rPr>
          <w:rFonts w:ascii="Arial" w:eastAsia="Calibri" w:hAnsi="Arial" w:cs="Arial"/>
          <w:lang w:val="es-ES"/>
        </w:rPr>
        <w:t>Resolución Nº 04-2012-SNCP-CNC, que aprueba los Manuales de Levantamiento Catastral Urbano y Rural, Protocolo de Actuación en el Levantamiento Catastral y otros</w:t>
      </w:r>
    </w:p>
    <w:p w:rsidR="00B5723A" w:rsidRPr="00B5723A" w:rsidRDefault="00B5723A" w:rsidP="00725922">
      <w:pPr>
        <w:spacing w:after="0" w:line="240" w:lineRule="auto"/>
        <w:ind w:left="993" w:hanging="426"/>
        <w:jc w:val="both"/>
        <w:rPr>
          <w:rFonts w:ascii="Arial" w:eastAsia="Calibri" w:hAnsi="Arial" w:cs="Arial"/>
          <w:lang w:val="es-ES"/>
        </w:rPr>
      </w:pPr>
    </w:p>
    <w:p w:rsidR="00B5723A" w:rsidRPr="00B5723A" w:rsidRDefault="00B5723A" w:rsidP="00725922">
      <w:pPr>
        <w:spacing w:after="0" w:line="240" w:lineRule="auto"/>
        <w:ind w:left="993" w:hanging="426"/>
        <w:jc w:val="both"/>
        <w:rPr>
          <w:rFonts w:ascii="Arial" w:eastAsia="Calibri" w:hAnsi="Arial" w:cs="Arial"/>
          <w:lang w:val="es-ES"/>
        </w:rPr>
      </w:pPr>
      <w:r w:rsidRPr="00B5723A">
        <w:rPr>
          <w:rFonts w:ascii="Arial" w:eastAsia="Calibri" w:hAnsi="Arial" w:cs="Arial"/>
          <w:lang w:val="es-ES"/>
        </w:rPr>
        <w:t xml:space="preserve">* </w:t>
      </w:r>
      <w:r w:rsidR="001759AF">
        <w:rPr>
          <w:rFonts w:ascii="Arial" w:eastAsia="Calibri" w:hAnsi="Arial" w:cs="Arial"/>
          <w:lang w:val="es-ES"/>
        </w:rPr>
        <w:tab/>
      </w:r>
      <w:r w:rsidRPr="00B5723A">
        <w:rPr>
          <w:rFonts w:ascii="Arial" w:eastAsia="Calibri" w:hAnsi="Arial" w:cs="Arial"/>
          <w:lang w:val="es-ES"/>
        </w:rPr>
        <w:t>Resolución de Superintendente de los Registros Públicos Nº 189-2014-SUNARP-SN, que aprueba la Directiva Nº 003-2014-SUNARP-SN, que regula los requisitos de los planos que se presenten para la sustentación de actos inscribibles.</w:t>
      </w:r>
    </w:p>
    <w:p w:rsidR="00B5723A" w:rsidRPr="00B5723A" w:rsidRDefault="00B5723A" w:rsidP="00725922">
      <w:pPr>
        <w:spacing w:after="0" w:line="240" w:lineRule="auto"/>
        <w:ind w:left="993" w:hanging="426"/>
        <w:jc w:val="both"/>
        <w:rPr>
          <w:rFonts w:ascii="Arial" w:eastAsia="Calibri" w:hAnsi="Arial" w:cs="Arial"/>
          <w:lang w:val="es-ES"/>
        </w:rPr>
      </w:pPr>
    </w:p>
    <w:p w:rsidR="00B5723A" w:rsidRPr="00B5723A" w:rsidRDefault="00B5723A" w:rsidP="00725922">
      <w:pPr>
        <w:spacing w:after="0" w:line="240" w:lineRule="auto"/>
        <w:ind w:left="993" w:hanging="426"/>
        <w:jc w:val="both"/>
        <w:rPr>
          <w:rFonts w:ascii="Arial" w:eastAsia="Calibri" w:hAnsi="Arial" w:cs="Arial"/>
          <w:lang w:val="es-ES"/>
        </w:rPr>
      </w:pPr>
      <w:r w:rsidRPr="00B5723A">
        <w:rPr>
          <w:rFonts w:ascii="Arial" w:eastAsia="Calibri" w:hAnsi="Arial" w:cs="Arial"/>
          <w:lang w:val="es-ES"/>
        </w:rPr>
        <w:t xml:space="preserve">* </w:t>
      </w:r>
      <w:r w:rsidR="001759AF">
        <w:rPr>
          <w:rFonts w:ascii="Arial" w:eastAsia="Calibri" w:hAnsi="Arial" w:cs="Arial"/>
          <w:lang w:val="es-ES"/>
        </w:rPr>
        <w:tab/>
      </w:r>
      <w:r w:rsidRPr="00B5723A">
        <w:rPr>
          <w:rFonts w:ascii="Arial" w:eastAsia="Calibri" w:hAnsi="Arial" w:cs="Arial"/>
          <w:lang w:val="es-ES"/>
        </w:rPr>
        <w:t>Resolución Nº 001-2014-SBN, que aprueba la Directiva Nº 001-2014-SBN - Procedimientos para la formulación y aprobación de Directivas en la Superintendencia Nacional de Bienes Estatales.</w:t>
      </w:r>
    </w:p>
    <w:p w:rsidR="00B5723A" w:rsidRPr="00B5723A" w:rsidRDefault="00B5723A" w:rsidP="00725922">
      <w:pPr>
        <w:spacing w:after="0" w:line="240" w:lineRule="auto"/>
        <w:ind w:left="993" w:hanging="426"/>
        <w:jc w:val="both"/>
        <w:rPr>
          <w:rFonts w:ascii="Arial" w:eastAsia="Calibri" w:hAnsi="Arial" w:cs="Arial"/>
          <w:lang w:val="es-ES"/>
        </w:rPr>
      </w:pPr>
    </w:p>
    <w:p w:rsidR="00B5723A" w:rsidRPr="00B5723A" w:rsidRDefault="00B5723A" w:rsidP="00725922">
      <w:pPr>
        <w:spacing w:after="0" w:line="240" w:lineRule="auto"/>
        <w:ind w:left="993" w:hanging="426"/>
        <w:jc w:val="both"/>
        <w:rPr>
          <w:rFonts w:ascii="Arial" w:eastAsia="Calibri" w:hAnsi="Arial" w:cs="Arial"/>
          <w:lang w:val="es-ES"/>
        </w:rPr>
      </w:pPr>
      <w:r w:rsidRPr="00B5723A">
        <w:rPr>
          <w:rFonts w:ascii="Arial" w:eastAsia="Calibri" w:hAnsi="Arial" w:cs="Arial"/>
          <w:lang w:val="es-ES"/>
        </w:rPr>
        <w:t xml:space="preserve">* </w:t>
      </w:r>
      <w:r w:rsidR="001759AF">
        <w:rPr>
          <w:rFonts w:ascii="Arial" w:eastAsia="Calibri" w:hAnsi="Arial" w:cs="Arial"/>
          <w:lang w:val="es-ES"/>
        </w:rPr>
        <w:tab/>
      </w:r>
      <w:r w:rsidRPr="00B5723A">
        <w:rPr>
          <w:rFonts w:ascii="Arial" w:eastAsia="Calibri" w:hAnsi="Arial" w:cs="Arial"/>
          <w:lang w:val="es-ES"/>
        </w:rPr>
        <w:t>Resolución Jefatural 139-2015-IGN-UCCN, que aprueba la Norma Técnica para Posicionamiento Geodésico Estático Relativo con receptores del Sistema Satelital de Navegación global.</w:t>
      </w:r>
    </w:p>
    <w:p w:rsidR="00B5723A" w:rsidRPr="00B5723A" w:rsidRDefault="00B5723A" w:rsidP="00725922">
      <w:pPr>
        <w:spacing w:after="0" w:line="240" w:lineRule="auto"/>
        <w:ind w:left="993" w:hanging="426"/>
        <w:jc w:val="both"/>
        <w:rPr>
          <w:rFonts w:ascii="Arial" w:eastAsia="Calibri" w:hAnsi="Arial" w:cs="Arial"/>
          <w:lang w:val="es-ES"/>
        </w:rPr>
      </w:pPr>
    </w:p>
    <w:p w:rsidR="00B5723A" w:rsidRPr="00B5723A" w:rsidRDefault="00B5723A" w:rsidP="00725922">
      <w:pPr>
        <w:spacing w:after="0" w:line="240" w:lineRule="auto"/>
        <w:ind w:left="993" w:hanging="426"/>
        <w:jc w:val="both"/>
        <w:rPr>
          <w:rFonts w:ascii="Arial" w:eastAsia="Calibri" w:hAnsi="Arial" w:cs="Arial"/>
          <w:lang w:val="es-ES"/>
        </w:rPr>
      </w:pPr>
      <w:r w:rsidRPr="00B5723A">
        <w:rPr>
          <w:rFonts w:ascii="Arial" w:eastAsia="Calibri" w:hAnsi="Arial" w:cs="Arial"/>
          <w:lang w:val="es-ES"/>
        </w:rPr>
        <w:t xml:space="preserve">* </w:t>
      </w:r>
      <w:r w:rsidR="001759AF">
        <w:rPr>
          <w:rFonts w:ascii="Arial" w:eastAsia="Calibri" w:hAnsi="Arial" w:cs="Arial"/>
          <w:lang w:val="es-ES"/>
        </w:rPr>
        <w:tab/>
      </w:r>
      <w:r w:rsidRPr="00B5723A">
        <w:rPr>
          <w:rFonts w:ascii="Arial" w:eastAsia="Calibri" w:hAnsi="Arial" w:cs="Arial"/>
          <w:lang w:val="es-ES"/>
        </w:rPr>
        <w:t>Resolución Nº 059-2016-SBN, que aprueba la Directiva Nº 004-2016-SBN sobre Lineamientos para la asignación del código único en el Sistema de Información Nacional de Bienes Estatales.</w:t>
      </w:r>
    </w:p>
    <w:p w:rsidR="00B5723A" w:rsidRPr="00B5723A" w:rsidRDefault="00B5723A" w:rsidP="00B5723A">
      <w:pPr>
        <w:spacing w:after="0" w:line="240" w:lineRule="auto"/>
        <w:jc w:val="both"/>
        <w:rPr>
          <w:rFonts w:ascii="Arial" w:eastAsia="Calibri" w:hAnsi="Arial" w:cs="Arial"/>
          <w:lang w:val="es-ES"/>
        </w:rPr>
      </w:pPr>
    </w:p>
    <w:p w:rsidR="00B5723A" w:rsidRPr="001759AF" w:rsidRDefault="00B5723A" w:rsidP="001759AF">
      <w:pPr>
        <w:spacing w:after="0" w:line="240" w:lineRule="auto"/>
        <w:ind w:left="567" w:hanging="567"/>
        <w:jc w:val="both"/>
        <w:rPr>
          <w:rFonts w:ascii="Arial" w:eastAsia="Calibri" w:hAnsi="Arial" w:cs="Arial"/>
          <w:b/>
          <w:lang w:val="es-ES"/>
        </w:rPr>
      </w:pPr>
      <w:r w:rsidRPr="001759AF">
        <w:rPr>
          <w:rFonts w:ascii="Arial" w:eastAsia="Calibri" w:hAnsi="Arial" w:cs="Arial"/>
          <w:b/>
          <w:lang w:val="es-ES"/>
        </w:rPr>
        <w:t xml:space="preserve">VI. </w:t>
      </w:r>
      <w:r w:rsidR="001759AF">
        <w:rPr>
          <w:rFonts w:ascii="Arial" w:eastAsia="Calibri" w:hAnsi="Arial" w:cs="Arial"/>
          <w:b/>
          <w:lang w:val="es-ES"/>
        </w:rPr>
        <w:tab/>
      </w:r>
      <w:r w:rsidRPr="001759AF">
        <w:rPr>
          <w:rFonts w:ascii="Arial" w:eastAsia="Calibri" w:hAnsi="Arial" w:cs="Arial"/>
          <w:b/>
          <w:lang w:val="es-ES"/>
        </w:rPr>
        <w:t>DISPOSICIONES GENERALES</w:t>
      </w:r>
    </w:p>
    <w:p w:rsidR="00B5723A" w:rsidRPr="00B5723A" w:rsidRDefault="00B5723A" w:rsidP="00B5723A">
      <w:pPr>
        <w:spacing w:after="0" w:line="240" w:lineRule="auto"/>
        <w:jc w:val="both"/>
        <w:rPr>
          <w:rFonts w:ascii="Arial" w:eastAsia="Calibri" w:hAnsi="Arial" w:cs="Arial"/>
          <w:lang w:val="es-ES"/>
        </w:rPr>
      </w:pPr>
    </w:p>
    <w:p w:rsidR="00B5723A" w:rsidRPr="001759AF" w:rsidRDefault="00B5723A" w:rsidP="001759AF">
      <w:pPr>
        <w:spacing w:after="0" w:line="240" w:lineRule="auto"/>
        <w:ind w:left="1134" w:hanging="567"/>
        <w:jc w:val="both"/>
        <w:rPr>
          <w:rFonts w:ascii="Arial" w:eastAsia="Calibri" w:hAnsi="Arial" w:cs="Arial"/>
          <w:b/>
          <w:lang w:val="es-ES"/>
        </w:rPr>
      </w:pPr>
      <w:r w:rsidRPr="001759AF">
        <w:rPr>
          <w:rFonts w:ascii="Arial" w:eastAsia="Calibri" w:hAnsi="Arial" w:cs="Arial"/>
          <w:b/>
          <w:lang w:val="es-ES"/>
        </w:rPr>
        <w:t>6.1</w:t>
      </w:r>
      <w:r w:rsidR="001759AF">
        <w:rPr>
          <w:rFonts w:ascii="Arial" w:eastAsia="Calibri" w:hAnsi="Arial" w:cs="Arial"/>
          <w:b/>
          <w:lang w:val="es-ES"/>
        </w:rPr>
        <w:tab/>
      </w:r>
      <w:r w:rsidRPr="001759AF">
        <w:rPr>
          <w:rFonts w:ascii="Arial" w:eastAsia="Calibri" w:hAnsi="Arial" w:cs="Arial"/>
          <w:b/>
          <w:lang w:val="es-ES"/>
        </w:rPr>
        <w:t>DE LAS ACCIONES PREVIAS AL LEVANTAMIENTO CATASTRAL</w:t>
      </w:r>
    </w:p>
    <w:p w:rsidR="00B5723A" w:rsidRPr="00B5723A" w:rsidRDefault="00B5723A" w:rsidP="00B5723A">
      <w:pPr>
        <w:spacing w:after="0" w:line="240" w:lineRule="auto"/>
        <w:jc w:val="both"/>
        <w:rPr>
          <w:rFonts w:ascii="Arial" w:eastAsia="Calibri" w:hAnsi="Arial" w:cs="Arial"/>
          <w:lang w:val="es-ES"/>
        </w:rPr>
      </w:pPr>
    </w:p>
    <w:p w:rsidR="00B5723A" w:rsidRPr="001759AF" w:rsidRDefault="00B5723A" w:rsidP="001759AF">
      <w:pPr>
        <w:spacing w:after="0" w:line="240" w:lineRule="auto"/>
        <w:ind w:left="1843" w:hanging="709"/>
        <w:jc w:val="both"/>
        <w:rPr>
          <w:rFonts w:ascii="Arial" w:eastAsia="Calibri" w:hAnsi="Arial" w:cs="Arial"/>
          <w:b/>
          <w:lang w:val="es-ES"/>
        </w:rPr>
      </w:pPr>
      <w:r w:rsidRPr="001759AF">
        <w:rPr>
          <w:rFonts w:ascii="Arial" w:eastAsia="Calibri" w:hAnsi="Arial" w:cs="Arial"/>
          <w:b/>
          <w:lang w:val="es-ES"/>
        </w:rPr>
        <w:t xml:space="preserve">6.1.1 </w:t>
      </w:r>
      <w:r w:rsidR="001759AF">
        <w:rPr>
          <w:rFonts w:ascii="Arial" w:eastAsia="Calibri" w:hAnsi="Arial" w:cs="Arial"/>
          <w:b/>
          <w:lang w:val="es-ES"/>
        </w:rPr>
        <w:tab/>
      </w:r>
      <w:r w:rsidRPr="001759AF">
        <w:rPr>
          <w:rFonts w:ascii="Arial" w:eastAsia="Calibri" w:hAnsi="Arial" w:cs="Arial"/>
          <w:b/>
          <w:lang w:val="es-ES"/>
        </w:rPr>
        <w:t>IDENTIFICACIÓN DEL ÁMBITO GEOGRAFICO</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1759AF">
      <w:pPr>
        <w:spacing w:after="0" w:line="240" w:lineRule="auto"/>
        <w:ind w:left="1843"/>
        <w:jc w:val="both"/>
        <w:rPr>
          <w:rFonts w:ascii="Arial" w:eastAsia="Calibri" w:hAnsi="Arial" w:cs="Arial"/>
          <w:lang w:val="es-ES"/>
        </w:rPr>
      </w:pPr>
      <w:r w:rsidRPr="00B5723A">
        <w:rPr>
          <w:rFonts w:ascii="Arial" w:eastAsia="Calibri" w:hAnsi="Arial" w:cs="Arial"/>
          <w:lang w:val="es-ES"/>
        </w:rPr>
        <w:t>Antes de iniciar las actividades de levantamiento de información catastral, se identifica el inmueble o ámbito geográfico donde se va a desarrollar dicho levantamiento y se determina la metodología a emplearse (método directo o indirecto), para lo cual se debe considerar los siguientes aspectos:</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1759AF">
      <w:pPr>
        <w:spacing w:after="0" w:line="240" w:lineRule="auto"/>
        <w:ind w:left="2410" w:hanging="567"/>
        <w:jc w:val="both"/>
        <w:rPr>
          <w:rFonts w:ascii="Arial" w:eastAsia="Calibri" w:hAnsi="Arial" w:cs="Arial"/>
          <w:lang w:val="es-ES"/>
        </w:rPr>
      </w:pPr>
      <w:r w:rsidRPr="00B5723A">
        <w:rPr>
          <w:rFonts w:ascii="Arial" w:eastAsia="Calibri" w:hAnsi="Arial" w:cs="Arial"/>
          <w:lang w:val="es-ES"/>
        </w:rPr>
        <w:t xml:space="preserve">* </w:t>
      </w:r>
      <w:r w:rsidR="001759AF">
        <w:rPr>
          <w:rFonts w:ascii="Arial" w:eastAsia="Calibri" w:hAnsi="Arial" w:cs="Arial"/>
          <w:lang w:val="es-ES"/>
        </w:rPr>
        <w:tab/>
      </w:r>
      <w:r w:rsidRPr="00B5723A">
        <w:rPr>
          <w:rFonts w:ascii="Arial" w:eastAsia="Calibri" w:hAnsi="Arial" w:cs="Arial"/>
          <w:lang w:val="es-ES"/>
        </w:rPr>
        <w:t>Accesibilidad</w:t>
      </w:r>
    </w:p>
    <w:p w:rsidR="00B5723A" w:rsidRPr="00B5723A" w:rsidRDefault="00B5723A" w:rsidP="001759AF">
      <w:pPr>
        <w:spacing w:after="0" w:line="240" w:lineRule="auto"/>
        <w:ind w:left="2410" w:hanging="567"/>
        <w:jc w:val="both"/>
        <w:rPr>
          <w:rFonts w:ascii="Arial" w:eastAsia="Calibri" w:hAnsi="Arial" w:cs="Arial"/>
          <w:lang w:val="es-ES"/>
        </w:rPr>
      </w:pPr>
      <w:r w:rsidRPr="00B5723A">
        <w:rPr>
          <w:rFonts w:ascii="Arial" w:eastAsia="Calibri" w:hAnsi="Arial" w:cs="Arial"/>
          <w:lang w:val="es-ES"/>
        </w:rPr>
        <w:t xml:space="preserve">* </w:t>
      </w:r>
      <w:r w:rsidR="001759AF">
        <w:rPr>
          <w:rFonts w:ascii="Arial" w:eastAsia="Calibri" w:hAnsi="Arial" w:cs="Arial"/>
          <w:lang w:val="es-ES"/>
        </w:rPr>
        <w:tab/>
      </w:r>
      <w:r w:rsidRPr="00B5723A">
        <w:rPr>
          <w:rFonts w:ascii="Arial" w:eastAsia="Calibri" w:hAnsi="Arial" w:cs="Arial"/>
          <w:lang w:val="es-ES"/>
        </w:rPr>
        <w:t>Cobertura de nubes</w:t>
      </w:r>
    </w:p>
    <w:p w:rsidR="00B5723A" w:rsidRPr="00B5723A" w:rsidRDefault="00B5723A" w:rsidP="001759AF">
      <w:pPr>
        <w:spacing w:after="0" w:line="240" w:lineRule="auto"/>
        <w:ind w:left="2410" w:hanging="567"/>
        <w:jc w:val="both"/>
        <w:rPr>
          <w:rFonts w:ascii="Arial" w:eastAsia="Calibri" w:hAnsi="Arial" w:cs="Arial"/>
          <w:lang w:val="es-ES"/>
        </w:rPr>
      </w:pPr>
      <w:r w:rsidRPr="00B5723A">
        <w:rPr>
          <w:rFonts w:ascii="Arial" w:eastAsia="Calibri" w:hAnsi="Arial" w:cs="Arial"/>
          <w:lang w:val="es-ES"/>
        </w:rPr>
        <w:t xml:space="preserve">* </w:t>
      </w:r>
      <w:r w:rsidR="001759AF">
        <w:rPr>
          <w:rFonts w:ascii="Arial" w:eastAsia="Calibri" w:hAnsi="Arial" w:cs="Arial"/>
          <w:lang w:val="es-ES"/>
        </w:rPr>
        <w:tab/>
      </w:r>
      <w:r w:rsidRPr="00B5723A">
        <w:rPr>
          <w:rFonts w:ascii="Arial" w:eastAsia="Calibri" w:hAnsi="Arial" w:cs="Arial"/>
          <w:lang w:val="es-ES"/>
        </w:rPr>
        <w:t>Cobertura de vegetación</w:t>
      </w:r>
    </w:p>
    <w:p w:rsidR="00B5723A" w:rsidRPr="00B5723A" w:rsidRDefault="00B5723A" w:rsidP="001759AF">
      <w:pPr>
        <w:spacing w:after="0" w:line="240" w:lineRule="auto"/>
        <w:ind w:left="2410" w:hanging="567"/>
        <w:jc w:val="both"/>
        <w:rPr>
          <w:rFonts w:ascii="Arial" w:eastAsia="Calibri" w:hAnsi="Arial" w:cs="Arial"/>
          <w:lang w:val="es-ES"/>
        </w:rPr>
      </w:pPr>
      <w:r w:rsidRPr="00B5723A">
        <w:rPr>
          <w:rFonts w:ascii="Arial" w:eastAsia="Calibri" w:hAnsi="Arial" w:cs="Arial"/>
          <w:lang w:val="es-ES"/>
        </w:rPr>
        <w:t xml:space="preserve">* </w:t>
      </w:r>
      <w:r w:rsidR="001759AF">
        <w:rPr>
          <w:rFonts w:ascii="Arial" w:eastAsia="Calibri" w:hAnsi="Arial" w:cs="Arial"/>
          <w:lang w:val="es-ES"/>
        </w:rPr>
        <w:tab/>
      </w:r>
      <w:r w:rsidRPr="00B5723A">
        <w:rPr>
          <w:rFonts w:ascii="Arial" w:eastAsia="Calibri" w:hAnsi="Arial" w:cs="Arial"/>
          <w:lang w:val="es-ES"/>
        </w:rPr>
        <w:t>Relieve</w:t>
      </w:r>
    </w:p>
    <w:p w:rsidR="00B5723A" w:rsidRPr="00B5723A" w:rsidRDefault="00B5723A" w:rsidP="001759AF">
      <w:pPr>
        <w:spacing w:after="0" w:line="240" w:lineRule="auto"/>
        <w:ind w:left="2410" w:hanging="567"/>
        <w:jc w:val="both"/>
        <w:rPr>
          <w:rFonts w:ascii="Arial" w:eastAsia="Calibri" w:hAnsi="Arial" w:cs="Arial"/>
          <w:lang w:val="es-ES"/>
        </w:rPr>
      </w:pPr>
      <w:r w:rsidRPr="00B5723A">
        <w:rPr>
          <w:rFonts w:ascii="Arial" w:eastAsia="Calibri" w:hAnsi="Arial" w:cs="Arial"/>
          <w:lang w:val="es-ES"/>
        </w:rPr>
        <w:t xml:space="preserve">* </w:t>
      </w:r>
      <w:r w:rsidR="001759AF">
        <w:rPr>
          <w:rFonts w:ascii="Arial" w:eastAsia="Calibri" w:hAnsi="Arial" w:cs="Arial"/>
          <w:lang w:val="es-ES"/>
        </w:rPr>
        <w:tab/>
      </w:r>
      <w:r w:rsidRPr="00B5723A">
        <w:rPr>
          <w:rFonts w:ascii="Arial" w:eastAsia="Calibri" w:hAnsi="Arial" w:cs="Arial"/>
          <w:lang w:val="es-ES"/>
        </w:rPr>
        <w:t>Plazo de ejecución</w:t>
      </w:r>
    </w:p>
    <w:p w:rsidR="00B5723A" w:rsidRPr="00B5723A" w:rsidRDefault="00B5723A" w:rsidP="001759AF">
      <w:pPr>
        <w:spacing w:after="0" w:line="240" w:lineRule="auto"/>
        <w:ind w:left="2410" w:hanging="567"/>
        <w:jc w:val="both"/>
        <w:rPr>
          <w:rFonts w:ascii="Arial" w:eastAsia="Calibri" w:hAnsi="Arial" w:cs="Arial"/>
          <w:lang w:val="es-ES"/>
        </w:rPr>
      </w:pPr>
      <w:r w:rsidRPr="00B5723A">
        <w:rPr>
          <w:rFonts w:ascii="Arial" w:eastAsia="Calibri" w:hAnsi="Arial" w:cs="Arial"/>
          <w:lang w:val="es-ES"/>
        </w:rPr>
        <w:t xml:space="preserve">* </w:t>
      </w:r>
      <w:r w:rsidR="001759AF">
        <w:rPr>
          <w:rFonts w:ascii="Arial" w:eastAsia="Calibri" w:hAnsi="Arial" w:cs="Arial"/>
          <w:lang w:val="es-ES"/>
        </w:rPr>
        <w:tab/>
      </w:r>
      <w:r w:rsidRPr="00B5723A">
        <w:rPr>
          <w:rFonts w:ascii="Arial" w:eastAsia="Calibri" w:hAnsi="Arial" w:cs="Arial"/>
          <w:lang w:val="es-ES"/>
        </w:rPr>
        <w:t>Naturaleza del inmueble (urbano o rural)</w:t>
      </w:r>
    </w:p>
    <w:p w:rsidR="00B5723A" w:rsidRPr="00B5723A" w:rsidRDefault="00B5723A" w:rsidP="00B5723A">
      <w:pPr>
        <w:spacing w:after="0" w:line="240" w:lineRule="auto"/>
        <w:jc w:val="both"/>
        <w:rPr>
          <w:rFonts w:ascii="Arial" w:eastAsia="Calibri" w:hAnsi="Arial" w:cs="Arial"/>
          <w:lang w:val="es-ES"/>
        </w:rPr>
      </w:pPr>
    </w:p>
    <w:p w:rsidR="00B5723A" w:rsidRPr="001759AF" w:rsidRDefault="00B5723A" w:rsidP="001759AF">
      <w:pPr>
        <w:spacing w:after="0" w:line="240" w:lineRule="auto"/>
        <w:ind w:left="1843" w:hanging="709"/>
        <w:jc w:val="both"/>
        <w:rPr>
          <w:rFonts w:ascii="Arial" w:eastAsia="Calibri" w:hAnsi="Arial" w:cs="Arial"/>
          <w:b/>
          <w:lang w:val="es-ES"/>
        </w:rPr>
      </w:pPr>
      <w:r w:rsidRPr="001759AF">
        <w:rPr>
          <w:rFonts w:ascii="Arial" w:eastAsia="Calibri" w:hAnsi="Arial" w:cs="Arial"/>
          <w:b/>
          <w:lang w:val="es-ES"/>
        </w:rPr>
        <w:t xml:space="preserve">6.1.2 </w:t>
      </w:r>
      <w:r w:rsidR="001759AF">
        <w:rPr>
          <w:rFonts w:ascii="Arial" w:eastAsia="Calibri" w:hAnsi="Arial" w:cs="Arial"/>
          <w:b/>
          <w:lang w:val="es-ES"/>
        </w:rPr>
        <w:tab/>
      </w:r>
      <w:r w:rsidRPr="001759AF">
        <w:rPr>
          <w:rFonts w:ascii="Arial" w:eastAsia="Calibri" w:hAnsi="Arial" w:cs="Arial"/>
          <w:b/>
          <w:lang w:val="es-ES"/>
        </w:rPr>
        <w:t>REVISIÓN DE LA BASE TEMÁTICA</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1759AF">
      <w:pPr>
        <w:spacing w:after="0" w:line="240" w:lineRule="auto"/>
        <w:ind w:left="1843"/>
        <w:jc w:val="both"/>
        <w:rPr>
          <w:rFonts w:ascii="Arial" w:eastAsia="Calibri" w:hAnsi="Arial" w:cs="Arial"/>
          <w:lang w:val="es-ES"/>
        </w:rPr>
      </w:pPr>
      <w:r w:rsidRPr="00B5723A">
        <w:rPr>
          <w:rFonts w:ascii="Arial" w:eastAsia="Calibri" w:hAnsi="Arial" w:cs="Arial"/>
          <w:lang w:val="es-ES"/>
        </w:rPr>
        <w:t>Consiste en revisar toda la información que obra en la base de datos de cada entidad, información propia o producida por las diferentes entidades generadoras de cartografía y catastro, referida al inmueble o ámbito geográfico donde se va a efectuar el levantamiento catastral.</w:t>
      </w:r>
    </w:p>
    <w:p w:rsidR="00B5723A" w:rsidRPr="00B5723A" w:rsidRDefault="00B5723A" w:rsidP="001759AF">
      <w:pPr>
        <w:spacing w:after="0" w:line="240" w:lineRule="auto"/>
        <w:ind w:left="1843"/>
        <w:jc w:val="both"/>
        <w:rPr>
          <w:rFonts w:ascii="Arial" w:eastAsia="Calibri" w:hAnsi="Arial" w:cs="Arial"/>
          <w:lang w:val="es-ES"/>
        </w:rPr>
      </w:pPr>
    </w:p>
    <w:p w:rsidR="00B5723A" w:rsidRPr="00B5723A" w:rsidRDefault="00B5723A" w:rsidP="001759AF">
      <w:pPr>
        <w:spacing w:after="0" w:line="240" w:lineRule="auto"/>
        <w:ind w:left="1843"/>
        <w:jc w:val="both"/>
        <w:rPr>
          <w:rFonts w:ascii="Arial" w:eastAsia="Calibri" w:hAnsi="Arial" w:cs="Arial"/>
          <w:lang w:val="es-ES"/>
        </w:rPr>
      </w:pPr>
      <w:r w:rsidRPr="00B5723A">
        <w:rPr>
          <w:rFonts w:ascii="Arial" w:eastAsia="Calibri" w:hAnsi="Arial" w:cs="Arial"/>
          <w:lang w:val="es-ES"/>
        </w:rPr>
        <w:t>Dicha información está compuesta por:</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1759AF">
      <w:pPr>
        <w:spacing w:after="0" w:line="240" w:lineRule="auto"/>
        <w:ind w:left="2410" w:hanging="567"/>
        <w:jc w:val="both"/>
        <w:rPr>
          <w:rFonts w:ascii="Arial" w:eastAsia="Calibri" w:hAnsi="Arial" w:cs="Arial"/>
          <w:lang w:val="es-ES"/>
        </w:rPr>
      </w:pPr>
      <w:r w:rsidRPr="00B5723A">
        <w:rPr>
          <w:rFonts w:ascii="Arial" w:eastAsia="Calibri" w:hAnsi="Arial" w:cs="Arial"/>
          <w:lang w:val="es-ES"/>
        </w:rPr>
        <w:t xml:space="preserve">* </w:t>
      </w:r>
      <w:r w:rsidR="001759AF">
        <w:rPr>
          <w:rFonts w:ascii="Arial" w:eastAsia="Calibri" w:hAnsi="Arial" w:cs="Arial"/>
          <w:lang w:val="es-ES"/>
        </w:rPr>
        <w:tab/>
      </w:r>
      <w:r w:rsidRPr="00B5723A">
        <w:rPr>
          <w:rFonts w:ascii="Arial" w:eastAsia="Calibri" w:hAnsi="Arial" w:cs="Arial"/>
          <w:lang w:val="es-ES"/>
        </w:rPr>
        <w:t>Planos topográficos</w:t>
      </w:r>
    </w:p>
    <w:p w:rsidR="00B5723A" w:rsidRPr="00B5723A" w:rsidRDefault="00B5723A" w:rsidP="001759AF">
      <w:pPr>
        <w:spacing w:after="0" w:line="240" w:lineRule="auto"/>
        <w:ind w:left="2410" w:hanging="567"/>
        <w:jc w:val="both"/>
        <w:rPr>
          <w:rFonts w:ascii="Arial" w:eastAsia="Calibri" w:hAnsi="Arial" w:cs="Arial"/>
          <w:lang w:val="es-ES"/>
        </w:rPr>
      </w:pPr>
      <w:r w:rsidRPr="00B5723A">
        <w:rPr>
          <w:rFonts w:ascii="Arial" w:eastAsia="Calibri" w:hAnsi="Arial" w:cs="Arial"/>
          <w:lang w:val="es-ES"/>
        </w:rPr>
        <w:t xml:space="preserve">* </w:t>
      </w:r>
      <w:r w:rsidR="001759AF">
        <w:rPr>
          <w:rFonts w:ascii="Arial" w:eastAsia="Calibri" w:hAnsi="Arial" w:cs="Arial"/>
          <w:lang w:val="es-ES"/>
        </w:rPr>
        <w:tab/>
      </w:r>
      <w:r w:rsidRPr="00B5723A">
        <w:rPr>
          <w:rFonts w:ascii="Arial" w:eastAsia="Calibri" w:hAnsi="Arial" w:cs="Arial"/>
          <w:lang w:val="es-ES"/>
        </w:rPr>
        <w:t>Fotos o imágenes satelitales</w:t>
      </w:r>
    </w:p>
    <w:p w:rsidR="00B5723A" w:rsidRPr="00B5723A" w:rsidRDefault="00B5723A" w:rsidP="001759AF">
      <w:pPr>
        <w:spacing w:after="0" w:line="240" w:lineRule="auto"/>
        <w:ind w:left="2410" w:hanging="567"/>
        <w:jc w:val="both"/>
        <w:rPr>
          <w:rFonts w:ascii="Arial" w:eastAsia="Calibri" w:hAnsi="Arial" w:cs="Arial"/>
          <w:lang w:val="es-ES"/>
        </w:rPr>
      </w:pPr>
      <w:r w:rsidRPr="00B5723A">
        <w:rPr>
          <w:rFonts w:ascii="Arial" w:eastAsia="Calibri" w:hAnsi="Arial" w:cs="Arial"/>
          <w:lang w:val="es-ES"/>
        </w:rPr>
        <w:t xml:space="preserve">* </w:t>
      </w:r>
      <w:r w:rsidR="001759AF">
        <w:rPr>
          <w:rFonts w:ascii="Arial" w:eastAsia="Calibri" w:hAnsi="Arial" w:cs="Arial"/>
          <w:lang w:val="es-ES"/>
        </w:rPr>
        <w:tab/>
      </w:r>
      <w:r w:rsidRPr="00B5723A">
        <w:rPr>
          <w:rFonts w:ascii="Arial" w:eastAsia="Calibri" w:hAnsi="Arial" w:cs="Arial"/>
          <w:lang w:val="es-ES"/>
        </w:rPr>
        <w:t>Bases catastrales a nivel de información gráfica alfanumérica existente,</w:t>
      </w:r>
    </w:p>
    <w:p w:rsidR="00B5723A" w:rsidRPr="00B5723A" w:rsidRDefault="00B5723A" w:rsidP="001759AF">
      <w:pPr>
        <w:spacing w:after="0" w:line="240" w:lineRule="auto"/>
        <w:ind w:left="2410" w:hanging="567"/>
        <w:jc w:val="both"/>
        <w:rPr>
          <w:rFonts w:ascii="Arial" w:eastAsia="Calibri" w:hAnsi="Arial" w:cs="Arial"/>
          <w:lang w:val="es-ES"/>
        </w:rPr>
      </w:pPr>
      <w:r w:rsidRPr="00B5723A">
        <w:rPr>
          <w:rFonts w:ascii="Arial" w:eastAsia="Calibri" w:hAnsi="Arial" w:cs="Arial"/>
          <w:lang w:val="es-ES"/>
        </w:rPr>
        <w:t xml:space="preserve">* </w:t>
      </w:r>
      <w:r w:rsidR="001759AF">
        <w:rPr>
          <w:rFonts w:ascii="Arial" w:eastAsia="Calibri" w:hAnsi="Arial" w:cs="Arial"/>
          <w:lang w:val="es-ES"/>
        </w:rPr>
        <w:tab/>
      </w:r>
      <w:r w:rsidRPr="00B5723A">
        <w:rPr>
          <w:rFonts w:ascii="Arial" w:eastAsia="Calibri" w:hAnsi="Arial" w:cs="Arial"/>
          <w:lang w:val="es-ES"/>
        </w:rPr>
        <w:t>Bases temáticas relevantes.</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1759AF">
      <w:pPr>
        <w:spacing w:after="0" w:line="240" w:lineRule="auto"/>
        <w:ind w:left="1843"/>
        <w:jc w:val="both"/>
        <w:rPr>
          <w:rFonts w:ascii="Arial" w:eastAsia="Calibri" w:hAnsi="Arial" w:cs="Arial"/>
          <w:lang w:val="es-ES"/>
        </w:rPr>
      </w:pPr>
      <w:r w:rsidRPr="00B5723A">
        <w:rPr>
          <w:rFonts w:ascii="Arial" w:eastAsia="Calibri" w:hAnsi="Arial" w:cs="Arial"/>
          <w:lang w:val="es-ES"/>
        </w:rPr>
        <w:t>Adicionalmente, se revisa la información catastral publicada en las páginas web de las distintas entidades públicas y privadas.</w:t>
      </w:r>
    </w:p>
    <w:p w:rsidR="00B5723A" w:rsidRPr="00B5723A" w:rsidRDefault="00B5723A" w:rsidP="001759AF">
      <w:pPr>
        <w:spacing w:after="0" w:line="240" w:lineRule="auto"/>
        <w:ind w:left="1843"/>
        <w:jc w:val="both"/>
        <w:rPr>
          <w:rFonts w:ascii="Arial" w:eastAsia="Calibri" w:hAnsi="Arial" w:cs="Arial"/>
          <w:lang w:val="es-ES"/>
        </w:rPr>
      </w:pPr>
    </w:p>
    <w:p w:rsidR="00B5723A" w:rsidRPr="00B5723A" w:rsidRDefault="00B5723A" w:rsidP="001759AF">
      <w:pPr>
        <w:spacing w:after="0" w:line="240" w:lineRule="auto"/>
        <w:ind w:left="1843"/>
        <w:jc w:val="both"/>
        <w:rPr>
          <w:rFonts w:ascii="Arial" w:eastAsia="Calibri" w:hAnsi="Arial" w:cs="Arial"/>
          <w:lang w:val="es-ES"/>
        </w:rPr>
      </w:pPr>
      <w:r w:rsidRPr="00B5723A">
        <w:rPr>
          <w:rFonts w:ascii="Arial" w:eastAsia="Calibri" w:hAnsi="Arial" w:cs="Arial"/>
          <w:lang w:val="es-ES"/>
        </w:rPr>
        <w:t>En la revisión de las bases temáticas se debe tener especial cuidado que la información sea actualizada a la fecha de estudio, verificándose que cuente con límites administrativos, límites políticos, toponimias, límites de comunidades campesinas y nativas, antecedentes registrales, zonas de vulnerabilidad, zonas de riesgo, sitios y zonas arqueológicas y monumentales, áreas naturales protegidas, áreas urbanas, áreas de los Proyectos de Irrigación, reporte de vías oficiales, planos de urbanizaciones, habilitaciones urbanas, zonas de playas protegidas, servidumbres y vías de accesos, etc.</w:t>
      </w:r>
    </w:p>
    <w:p w:rsidR="00B5723A" w:rsidRPr="00B5723A" w:rsidRDefault="00B5723A" w:rsidP="001759AF">
      <w:pPr>
        <w:spacing w:after="0" w:line="240" w:lineRule="auto"/>
        <w:ind w:left="1843"/>
        <w:jc w:val="both"/>
        <w:rPr>
          <w:rFonts w:ascii="Arial" w:eastAsia="Calibri" w:hAnsi="Arial" w:cs="Arial"/>
          <w:lang w:val="es-ES"/>
        </w:rPr>
      </w:pPr>
    </w:p>
    <w:p w:rsidR="00B5723A" w:rsidRPr="00B5723A" w:rsidRDefault="00B5723A" w:rsidP="001759AF">
      <w:pPr>
        <w:spacing w:after="0" w:line="240" w:lineRule="auto"/>
        <w:ind w:left="1843"/>
        <w:jc w:val="both"/>
        <w:rPr>
          <w:rFonts w:ascii="Arial" w:eastAsia="Calibri" w:hAnsi="Arial" w:cs="Arial"/>
          <w:lang w:val="es-ES"/>
        </w:rPr>
      </w:pPr>
      <w:r w:rsidRPr="00B5723A">
        <w:rPr>
          <w:rFonts w:ascii="Arial" w:eastAsia="Calibri" w:hAnsi="Arial" w:cs="Arial"/>
          <w:lang w:val="es-ES"/>
        </w:rPr>
        <w:t>También</w:t>
      </w:r>
      <w:r w:rsidR="001759AF">
        <w:rPr>
          <w:rFonts w:ascii="Arial" w:eastAsia="Calibri" w:hAnsi="Arial" w:cs="Arial"/>
          <w:lang w:val="es-ES"/>
        </w:rPr>
        <w:t xml:space="preserve"> </w:t>
      </w:r>
      <w:r w:rsidRPr="00B5723A">
        <w:rPr>
          <w:rFonts w:ascii="Arial" w:eastAsia="Calibri" w:hAnsi="Arial" w:cs="Arial"/>
          <w:lang w:val="es-ES"/>
        </w:rPr>
        <w:t>debe verificarse las Fichas Catastrales de los inmuebles estatales que hayan sido levantados anteriormente y que obran en el SINABIP.</w:t>
      </w:r>
    </w:p>
    <w:p w:rsidR="00B5723A" w:rsidRPr="00B5723A" w:rsidRDefault="00B5723A" w:rsidP="001759AF">
      <w:pPr>
        <w:spacing w:after="0" w:line="240" w:lineRule="auto"/>
        <w:ind w:left="1843"/>
        <w:jc w:val="both"/>
        <w:rPr>
          <w:rFonts w:ascii="Arial" w:eastAsia="Calibri" w:hAnsi="Arial" w:cs="Arial"/>
          <w:lang w:val="es-ES"/>
        </w:rPr>
      </w:pPr>
    </w:p>
    <w:p w:rsidR="00B5723A" w:rsidRPr="00B5723A" w:rsidRDefault="00B5723A" w:rsidP="001759AF">
      <w:pPr>
        <w:spacing w:after="0" w:line="240" w:lineRule="auto"/>
        <w:ind w:left="1843"/>
        <w:jc w:val="both"/>
        <w:rPr>
          <w:rFonts w:ascii="Arial" w:eastAsia="Calibri" w:hAnsi="Arial" w:cs="Arial"/>
          <w:lang w:val="es-ES"/>
        </w:rPr>
      </w:pPr>
      <w:r w:rsidRPr="00B5723A">
        <w:rPr>
          <w:rFonts w:ascii="Arial" w:eastAsia="Calibri" w:hAnsi="Arial" w:cs="Arial"/>
          <w:lang w:val="es-ES"/>
        </w:rPr>
        <w:t>Una vez culminada la revisión, se elabora el Mapa Temático e informe de diagnóstico, que debe ser archivado digitalmente en una capa temática denominada “MAPA_ DIAGNOSTICO”. Asimismo, se archivan los documentos obtenidos en el legajo físico, debiendo las entidades conformantes del SNBE remitirlos a la SBN para ser ingresados al SINABIP. (Gráfico Nº 01)</w:t>
      </w:r>
    </w:p>
    <w:p w:rsidR="00B5723A" w:rsidRPr="00B5723A" w:rsidRDefault="00B5723A" w:rsidP="00B5723A">
      <w:pPr>
        <w:spacing w:after="0" w:line="240" w:lineRule="auto"/>
        <w:jc w:val="both"/>
        <w:rPr>
          <w:rFonts w:ascii="Arial" w:eastAsia="Calibri" w:hAnsi="Arial" w:cs="Arial"/>
          <w:lang w:val="es-ES"/>
        </w:rPr>
      </w:pPr>
    </w:p>
    <w:p w:rsidR="00B5723A" w:rsidRPr="001759AF" w:rsidRDefault="00B5723A" w:rsidP="001759AF">
      <w:pPr>
        <w:spacing w:after="0" w:line="240" w:lineRule="auto"/>
        <w:ind w:left="1843" w:hanging="709"/>
        <w:jc w:val="both"/>
        <w:rPr>
          <w:rFonts w:ascii="Arial" w:eastAsia="Calibri" w:hAnsi="Arial" w:cs="Arial"/>
          <w:b/>
          <w:lang w:val="es-ES"/>
        </w:rPr>
      </w:pPr>
      <w:r w:rsidRPr="001759AF">
        <w:rPr>
          <w:rFonts w:ascii="Arial" w:eastAsia="Calibri" w:hAnsi="Arial" w:cs="Arial"/>
          <w:b/>
          <w:lang w:val="es-ES"/>
        </w:rPr>
        <w:t xml:space="preserve">6.1.3 </w:t>
      </w:r>
      <w:r w:rsidR="001759AF">
        <w:rPr>
          <w:rFonts w:ascii="Arial" w:eastAsia="Calibri" w:hAnsi="Arial" w:cs="Arial"/>
          <w:b/>
          <w:lang w:val="es-ES"/>
        </w:rPr>
        <w:tab/>
      </w:r>
      <w:r w:rsidRPr="001759AF">
        <w:rPr>
          <w:rFonts w:ascii="Arial" w:eastAsia="Calibri" w:hAnsi="Arial" w:cs="Arial"/>
          <w:b/>
          <w:lang w:val="es-ES"/>
        </w:rPr>
        <w:t>PLANEAMIENTO DE LOS TRABAJOS DE CAMPO</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1759AF">
      <w:pPr>
        <w:spacing w:after="0" w:line="240" w:lineRule="auto"/>
        <w:ind w:left="1843"/>
        <w:jc w:val="both"/>
        <w:rPr>
          <w:rFonts w:ascii="Arial" w:eastAsia="Calibri" w:hAnsi="Arial" w:cs="Arial"/>
          <w:lang w:val="es-ES"/>
        </w:rPr>
      </w:pPr>
      <w:r w:rsidRPr="00B5723A">
        <w:rPr>
          <w:rFonts w:ascii="Arial" w:eastAsia="Calibri" w:hAnsi="Arial" w:cs="Arial"/>
          <w:lang w:val="es-ES"/>
        </w:rPr>
        <w:t>Los trabajos de campo deben estar debidamente planificados, estableciéndose un cronograma de trabaja para cada etapa y el tiempo de ejecución, que está en función de los recursos humanos, equipos, ámbito geográfico del levantamiento y naturaleza del inmueble, materiales y la logística necesaria.</w:t>
      </w:r>
    </w:p>
    <w:p w:rsidR="00B5723A" w:rsidRPr="00B5723A" w:rsidRDefault="00B5723A" w:rsidP="001759AF">
      <w:pPr>
        <w:spacing w:after="0" w:line="240" w:lineRule="auto"/>
        <w:ind w:left="1843"/>
        <w:jc w:val="both"/>
        <w:rPr>
          <w:rFonts w:ascii="Arial" w:eastAsia="Calibri" w:hAnsi="Arial" w:cs="Arial"/>
          <w:lang w:val="es-ES"/>
        </w:rPr>
      </w:pPr>
    </w:p>
    <w:p w:rsidR="00B5723A" w:rsidRPr="00B5723A" w:rsidRDefault="00B5723A" w:rsidP="001759AF">
      <w:pPr>
        <w:spacing w:after="0" w:line="240" w:lineRule="auto"/>
        <w:ind w:left="1843"/>
        <w:jc w:val="both"/>
        <w:rPr>
          <w:rFonts w:ascii="Arial" w:eastAsia="Calibri" w:hAnsi="Arial" w:cs="Arial"/>
          <w:lang w:val="es-ES"/>
        </w:rPr>
      </w:pPr>
      <w:r w:rsidRPr="00B5723A">
        <w:rPr>
          <w:rFonts w:ascii="Arial" w:eastAsia="Calibri" w:hAnsi="Arial" w:cs="Arial"/>
          <w:lang w:val="es-ES"/>
        </w:rPr>
        <w:t>Es importante cumplir con la programación para garantizar la obtención de una información catastral de buena calidad, que refleje la realidad física del inmueble, para lo cual se debe efectuar el control de calidad en cada etapa.</w:t>
      </w:r>
    </w:p>
    <w:p w:rsidR="00B5723A" w:rsidRPr="00B5723A" w:rsidRDefault="00B5723A" w:rsidP="001759AF">
      <w:pPr>
        <w:spacing w:after="0" w:line="240" w:lineRule="auto"/>
        <w:ind w:left="1843"/>
        <w:jc w:val="both"/>
        <w:rPr>
          <w:rFonts w:ascii="Arial" w:eastAsia="Calibri" w:hAnsi="Arial" w:cs="Arial"/>
          <w:lang w:val="es-ES"/>
        </w:rPr>
      </w:pPr>
    </w:p>
    <w:p w:rsidR="00B5723A" w:rsidRPr="00B5723A" w:rsidRDefault="00B5723A" w:rsidP="001759AF">
      <w:pPr>
        <w:spacing w:after="0" w:line="240" w:lineRule="auto"/>
        <w:ind w:left="1843"/>
        <w:jc w:val="both"/>
        <w:rPr>
          <w:rFonts w:ascii="Arial" w:eastAsia="Calibri" w:hAnsi="Arial" w:cs="Arial"/>
          <w:lang w:val="es-ES"/>
        </w:rPr>
      </w:pPr>
      <w:r w:rsidRPr="00B5723A">
        <w:rPr>
          <w:rFonts w:ascii="Arial" w:eastAsia="Calibri" w:hAnsi="Arial" w:cs="Arial"/>
          <w:lang w:val="es-ES"/>
        </w:rPr>
        <w:t>En la programación debe estar incluida la obtención de cartografía, la sistematización de la información, los trabajos de campo, los controles de calidad, la digitalización y digitación de la información y el archivamiento de la información generada en el proceso.</w:t>
      </w:r>
    </w:p>
    <w:p w:rsidR="00B5723A" w:rsidRPr="00B5723A" w:rsidRDefault="00B5723A" w:rsidP="00B5723A">
      <w:pPr>
        <w:spacing w:after="0" w:line="240" w:lineRule="auto"/>
        <w:jc w:val="both"/>
        <w:rPr>
          <w:rFonts w:ascii="Arial" w:eastAsia="Calibri" w:hAnsi="Arial" w:cs="Arial"/>
          <w:lang w:val="es-ES"/>
        </w:rPr>
      </w:pPr>
    </w:p>
    <w:p w:rsidR="00B5723A" w:rsidRPr="001759AF" w:rsidRDefault="00B5723A" w:rsidP="001759AF">
      <w:pPr>
        <w:spacing w:after="0" w:line="240" w:lineRule="auto"/>
        <w:ind w:left="1843" w:hanging="709"/>
        <w:jc w:val="both"/>
        <w:rPr>
          <w:rFonts w:ascii="Arial" w:eastAsia="Calibri" w:hAnsi="Arial" w:cs="Arial"/>
          <w:b/>
          <w:lang w:val="es-ES"/>
        </w:rPr>
      </w:pPr>
      <w:r w:rsidRPr="001759AF">
        <w:rPr>
          <w:rFonts w:ascii="Arial" w:eastAsia="Calibri" w:hAnsi="Arial" w:cs="Arial"/>
          <w:b/>
          <w:lang w:val="es-ES"/>
        </w:rPr>
        <w:t xml:space="preserve">6.1.4 </w:t>
      </w:r>
      <w:r w:rsidR="001759AF">
        <w:rPr>
          <w:rFonts w:ascii="Arial" w:eastAsia="Calibri" w:hAnsi="Arial" w:cs="Arial"/>
          <w:b/>
          <w:lang w:val="es-ES"/>
        </w:rPr>
        <w:tab/>
      </w:r>
      <w:r w:rsidRPr="001759AF">
        <w:rPr>
          <w:rFonts w:ascii="Arial" w:eastAsia="Calibri" w:hAnsi="Arial" w:cs="Arial"/>
          <w:b/>
          <w:lang w:val="es-ES"/>
        </w:rPr>
        <w:t>CAPACITACIÓN DEL PERSONAL</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1759AF">
      <w:pPr>
        <w:spacing w:after="0" w:line="240" w:lineRule="auto"/>
        <w:ind w:left="1843"/>
        <w:jc w:val="both"/>
        <w:rPr>
          <w:rFonts w:ascii="Arial" w:eastAsia="Calibri" w:hAnsi="Arial" w:cs="Arial"/>
          <w:lang w:val="es-ES"/>
        </w:rPr>
      </w:pPr>
      <w:r w:rsidRPr="00B5723A">
        <w:rPr>
          <w:rFonts w:ascii="Arial" w:eastAsia="Calibri" w:hAnsi="Arial" w:cs="Arial"/>
          <w:lang w:val="es-ES"/>
        </w:rPr>
        <w:t>Todo el personal técnico que va a participar en el levantamiento catastral debe estar debidamente capacitado, en los siguientes temas relacionados a la metodología y etapas del proceso, tales como:</w:t>
      </w:r>
    </w:p>
    <w:p w:rsidR="00B5723A" w:rsidRPr="00B5723A" w:rsidRDefault="00B5723A" w:rsidP="001759AF">
      <w:pPr>
        <w:spacing w:after="0" w:line="240" w:lineRule="auto"/>
        <w:ind w:left="1843"/>
        <w:jc w:val="both"/>
        <w:rPr>
          <w:rFonts w:ascii="Arial" w:eastAsia="Calibri" w:hAnsi="Arial" w:cs="Arial"/>
          <w:lang w:val="es-ES"/>
        </w:rPr>
      </w:pPr>
    </w:p>
    <w:p w:rsidR="00B5723A" w:rsidRPr="00B5723A" w:rsidRDefault="00B5723A" w:rsidP="001759AF">
      <w:pPr>
        <w:spacing w:after="0" w:line="240" w:lineRule="auto"/>
        <w:ind w:left="2268" w:hanging="425"/>
        <w:jc w:val="both"/>
        <w:rPr>
          <w:rFonts w:ascii="Arial" w:eastAsia="Calibri" w:hAnsi="Arial" w:cs="Arial"/>
          <w:lang w:val="es-ES"/>
        </w:rPr>
      </w:pPr>
      <w:r w:rsidRPr="00B5723A">
        <w:rPr>
          <w:rFonts w:ascii="Arial" w:eastAsia="Calibri" w:hAnsi="Arial" w:cs="Arial"/>
          <w:lang w:val="es-ES"/>
        </w:rPr>
        <w:t xml:space="preserve">* </w:t>
      </w:r>
      <w:r w:rsidR="001759AF">
        <w:rPr>
          <w:rFonts w:ascii="Arial" w:eastAsia="Calibri" w:hAnsi="Arial" w:cs="Arial"/>
          <w:lang w:val="es-ES"/>
        </w:rPr>
        <w:tab/>
      </w:r>
      <w:r w:rsidRPr="00B5723A">
        <w:rPr>
          <w:rFonts w:ascii="Arial" w:eastAsia="Calibri" w:hAnsi="Arial" w:cs="Arial"/>
          <w:lang w:val="es-ES"/>
        </w:rPr>
        <w:t>Concepto sobre catastro</w:t>
      </w:r>
    </w:p>
    <w:p w:rsidR="00B5723A" w:rsidRPr="00B5723A" w:rsidRDefault="00B5723A" w:rsidP="001759AF">
      <w:pPr>
        <w:spacing w:after="0" w:line="240" w:lineRule="auto"/>
        <w:ind w:left="2268" w:hanging="425"/>
        <w:jc w:val="both"/>
        <w:rPr>
          <w:rFonts w:ascii="Arial" w:eastAsia="Calibri" w:hAnsi="Arial" w:cs="Arial"/>
          <w:lang w:val="es-ES"/>
        </w:rPr>
      </w:pPr>
    </w:p>
    <w:p w:rsidR="00B5723A" w:rsidRPr="00B5723A" w:rsidRDefault="00B5723A" w:rsidP="001759AF">
      <w:pPr>
        <w:spacing w:after="0" w:line="240" w:lineRule="auto"/>
        <w:ind w:left="2268" w:hanging="425"/>
        <w:jc w:val="both"/>
        <w:rPr>
          <w:rFonts w:ascii="Arial" w:eastAsia="Calibri" w:hAnsi="Arial" w:cs="Arial"/>
          <w:lang w:val="es-ES"/>
        </w:rPr>
      </w:pPr>
      <w:r w:rsidRPr="00B5723A">
        <w:rPr>
          <w:rFonts w:ascii="Arial" w:eastAsia="Calibri" w:hAnsi="Arial" w:cs="Arial"/>
          <w:lang w:val="es-ES"/>
        </w:rPr>
        <w:t xml:space="preserve">* </w:t>
      </w:r>
      <w:r w:rsidR="001759AF">
        <w:rPr>
          <w:rFonts w:ascii="Arial" w:eastAsia="Calibri" w:hAnsi="Arial" w:cs="Arial"/>
          <w:lang w:val="es-ES"/>
        </w:rPr>
        <w:tab/>
      </w:r>
      <w:r w:rsidRPr="00B5723A">
        <w:rPr>
          <w:rFonts w:ascii="Arial" w:eastAsia="Calibri" w:hAnsi="Arial" w:cs="Arial"/>
          <w:lang w:val="es-ES"/>
        </w:rPr>
        <w:t>Métodos de levantamiento catastral</w:t>
      </w:r>
    </w:p>
    <w:p w:rsidR="00B5723A" w:rsidRPr="00B5723A" w:rsidRDefault="00B5723A" w:rsidP="001759AF">
      <w:pPr>
        <w:spacing w:after="0" w:line="240" w:lineRule="auto"/>
        <w:ind w:left="2268" w:hanging="425"/>
        <w:jc w:val="both"/>
        <w:rPr>
          <w:rFonts w:ascii="Arial" w:eastAsia="Calibri" w:hAnsi="Arial" w:cs="Arial"/>
          <w:lang w:val="es-ES"/>
        </w:rPr>
      </w:pPr>
    </w:p>
    <w:p w:rsidR="00B5723A" w:rsidRPr="00B5723A" w:rsidRDefault="00B5723A" w:rsidP="001759AF">
      <w:pPr>
        <w:spacing w:after="0" w:line="240" w:lineRule="auto"/>
        <w:ind w:left="2268" w:hanging="425"/>
        <w:jc w:val="both"/>
        <w:rPr>
          <w:rFonts w:ascii="Arial" w:eastAsia="Calibri" w:hAnsi="Arial" w:cs="Arial"/>
          <w:lang w:val="es-ES"/>
        </w:rPr>
      </w:pPr>
      <w:r w:rsidRPr="00B5723A">
        <w:rPr>
          <w:rFonts w:ascii="Arial" w:eastAsia="Calibri" w:hAnsi="Arial" w:cs="Arial"/>
          <w:lang w:val="es-ES"/>
        </w:rPr>
        <w:t xml:space="preserve">* </w:t>
      </w:r>
      <w:r w:rsidR="001759AF">
        <w:rPr>
          <w:rFonts w:ascii="Arial" w:eastAsia="Calibri" w:hAnsi="Arial" w:cs="Arial"/>
          <w:lang w:val="es-ES"/>
        </w:rPr>
        <w:tab/>
      </w:r>
      <w:r w:rsidRPr="00B5723A">
        <w:rPr>
          <w:rFonts w:ascii="Arial" w:eastAsia="Calibri" w:hAnsi="Arial" w:cs="Arial"/>
          <w:lang w:val="es-ES"/>
        </w:rPr>
        <w:t>Conceptos sobre saneamiento físico legal.</w:t>
      </w:r>
    </w:p>
    <w:p w:rsidR="00B5723A" w:rsidRPr="00B5723A" w:rsidRDefault="00B5723A" w:rsidP="001759AF">
      <w:pPr>
        <w:spacing w:after="0" w:line="240" w:lineRule="auto"/>
        <w:ind w:left="2268" w:hanging="425"/>
        <w:jc w:val="both"/>
        <w:rPr>
          <w:rFonts w:ascii="Arial" w:eastAsia="Calibri" w:hAnsi="Arial" w:cs="Arial"/>
          <w:lang w:val="es-ES"/>
        </w:rPr>
      </w:pPr>
    </w:p>
    <w:p w:rsidR="00B5723A" w:rsidRPr="00B5723A" w:rsidRDefault="00B5723A" w:rsidP="001759AF">
      <w:pPr>
        <w:spacing w:after="0" w:line="240" w:lineRule="auto"/>
        <w:ind w:left="2268" w:hanging="425"/>
        <w:jc w:val="both"/>
        <w:rPr>
          <w:rFonts w:ascii="Arial" w:eastAsia="Calibri" w:hAnsi="Arial" w:cs="Arial"/>
          <w:lang w:val="es-ES"/>
        </w:rPr>
      </w:pPr>
      <w:r w:rsidRPr="00B5723A">
        <w:rPr>
          <w:rFonts w:ascii="Arial" w:eastAsia="Calibri" w:hAnsi="Arial" w:cs="Arial"/>
          <w:lang w:val="es-ES"/>
        </w:rPr>
        <w:t xml:space="preserve">* </w:t>
      </w:r>
      <w:r w:rsidR="001759AF">
        <w:rPr>
          <w:rFonts w:ascii="Arial" w:eastAsia="Calibri" w:hAnsi="Arial" w:cs="Arial"/>
          <w:lang w:val="es-ES"/>
        </w:rPr>
        <w:tab/>
      </w:r>
      <w:r w:rsidRPr="00B5723A">
        <w:rPr>
          <w:rFonts w:ascii="Arial" w:eastAsia="Calibri" w:hAnsi="Arial" w:cs="Arial"/>
          <w:lang w:val="es-ES"/>
        </w:rPr>
        <w:t>Llenado de fichas catastrales</w:t>
      </w:r>
    </w:p>
    <w:p w:rsidR="00B5723A" w:rsidRPr="00B5723A" w:rsidRDefault="00B5723A" w:rsidP="001759AF">
      <w:pPr>
        <w:spacing w:after="0" w:line="240" w:lineRule="auto"/>
        <w:ind w:left="2268" w:hanging="425"/>
        <w:jc w:val="both"/>
        <w:rPr>
          <w:rFonts w:ascii="Arial" w:eastAsia="Calibri" w:hAnsi="Arial" w:cs="Arial"/>
          <w:lang w:val="es-ES"/>
        </w:rPr>
      </w:pPr>
    </w:p>
    <w:p w:rsidR="00B5723A" w:rsidRPr="00B5723A" w:rsidRDefault="00B5723A" w:rsidP="001759AF">
      <w:pPr>
        <w:spacing w:after="0" w:line="240" w:lineRule="auto"/>
        <w:ind w:left="2268" w:hanging="425"/>
        <w:jc w:val="both"/>
        <w:rPr>
          <w:rFonts w:ascii="Arial" w:eastAsia="Calibri" w:hAnsi="Arial" w:cs="Arial"/>
          <w:lang w:val="es-ES"/>
        </w:rPr>
      </w:pPr>
      <w:r w:rsidRPr="00B5723A">
        <w:rPr>
          <w:rFonts w:ascii="Arial" w:eastAsia="Calibri" w:hAnsi="Arial" w:cs="Arial"/>
          <w:lang w:val="es-ES"/>
        </w:rPr>
        <w:t xml:space="preserve">* </w:t>
      </w:r>
      <w:r w:rsidR="001759AF">
        <w:rPr>
          <w:rFonts w:ascii="Arial" w:eastAsia="Calibri" w:hAnsi="Arial" w:cs="Arial"/>
          <w:lang w:val="es-ES"/>
        </w:rPr>
        <w:tab/>
      </w:r>
      <w:r w:rsidRPr="00B5723A">
        <w:rPr>
          <w:rFonts w:ascii="Arial" w:eastAsia="Calibri" w:hAnsi="Arial" w:cs="Arial"/>
          <w:lang w:val="es-ES"/>
        </w:rPr>
        <w:t>Cálculo de áreas.</w:t>
      </w:r>
    </w:p>
    <w:p w:rsidR="00B5723A" w:rsidRPr="00B5723A" w:rsidRDefault="00B5723A" w:rsidP="001759AF">
      <w:pPr>
        <w:spacing w:after="0" w:line="240" w:lineRule="auto"/>
        <w:ind w:left="2268" w:hanging="425"/>
        <w:jc w:val="both"/>
        <w:rPr>
          <w:rFonts w:ascii="Arial" w:eastAsia="Calibri" w:hAnsi="Arial" w:cs="Arial"/>
          <w:lang w:val="es-ES"/>
        </w:rPr>
      </w:pPr>
    </w:p>
    <w:p w:rsidR="00B5723A" w:rsidRPr="00B5723A" w:rsidRDefault="00B5723A" w:rsidP="001759AF">
      <w:pPr>
        <w:spacing w:after="0" w:line="240" w:lineRule="auto"/>
        <w:ind w:left="2268" w:hanging="425"/>
        <w:jc w:val="both"/>
        <w:rPr>
          <w:rFonts w:ascii="Arial" w:eastAsia="Calibri" w:hAnsi="Arial" w:cs="Arial"/>
          <w:lang w:val="es-ES"/>
        </w:rPr>
      </w:pPr>
      <w:r w:rsidRPr="00B5723A">
        <w:rPr>
          <w:rFonts w:ascii="Arial" w:eastAsia="Calibri" w:hAnsi="Arial" w:cs="Arial"/>
          <w:lang w:val="es-ES"/>
        </w:rPr>
        <w:t xml:space="preserve">* </w:t>
      </w:r>
      <w:r w:rsidR="001759AF">
        <w:rPr>
          <w:rFonts w:ascii="Arial" w:eastAsia="Calibri" w:hAnsi="Arial" w:cs="Arial"/>
          <w:lang w:val="es-ES"/>
        </w:rPr>
        <w:tab/>
      </w:r>
      <w:r w:rsidRPr="00B5723A">
        <w:rPr>
          <w:rFonts w:ascii="Arial" w:eastAsia="Calibri" w:hAnsi="Arial" w:cs="Arial"/>
          <w:lang w:val="es-ES"/>
        </w:rPr>
        <w:t>Levantamiento catastral en campo.</w:t>
      </w:r>
    </w:p>
    <w:p w:rsidR="00B5723A" w:rsidRPr="00B5723A" w:rsidRDefault="00B5723A" w:rsidP="001759AF">
      <w:pPr>
        <w:spacing w:after="0" w:line="240" w:lineRule="auto"/>
        <w:ind w:left="2268" w:hanging="425"/>
        <w:jc w:val="both"/>
        <w:rPr>
          <w:rFonts w:ascii="Arial" w:eastAsia="Calibri" w:hAnsi="Arial" w:cs="Arial"/>
          <w:lang w:val="es-ES"/>
        </w:rPr>
      </w:pPr>
    </w:p>
    <w:p w:rsidR="00B5723A" w:rsidRPr="00B5723A" w:rsidRDefault="00B5723A" w:rsidP="001759AF">
      <w:pPr>
        <w:spacing w:after="0" w:line="240" w:lineRule="auto"/>
        <w:ind w:left="2268" w:hanging="425"/>
        <w:jc w:val="both"/>
        <w:rPr>
          <w:rFonts w:ascii="Arial" w:eastAsia="Calibri" w:hAnsi="Arial" w:cs="Arial"/>
          <w:lang w:val="es-ES"/>
        </w:rPr>
      </w:pPr>
      <w:r w:rsidRPr="00B5723A">
        <w:rPr>
          <w:rFonts w:ascii="Arial" w:eastAsia="Calibri" w:hAnsi="Arial" w:cs="Arial"/>
          <w:lang w:val="es-ES"/>
        </w:rPr>
        <w:t xml:space="preserve">* </w:t>
      </w:r>
      <w:r w:rsidR="001759AF">
        <w:rPr>
          <w:rFonts w:ascii="Arial" w:eastAsia="Calibri" w:hAnsi="Arial" w:cs="Arial"/>
          <w:lang w:val="es-ES"/>
        </w:rPr>
        <w:tab/>
      </w:r>
      <w:r w:rsidRPr="00B5723A">
        <w:rPr>
          <w:rFonts w:ascii="Arial" w:eastAsia="Calibri" w:hAnsi="Arial" w:cs="Arial"/>
          <w:lang w:val="es-ES"/>
        </w:rPr>
        <w:t>Conocimientos sobre áreas restringidas, tales como: caminos de vigilancia, de infraestructura de riego, cables de alta tensión, fajas marginales, zonas de seguridad, servidumbres, playas, etc.;</w:t>
      </w:r>
    </w:p>
    <w:p w:rsidR="00B5723A" w:rsidRPr="00B5723A" w:rsidRDefault="00B5723A" w:rsidP="001759AF">
      <w:pPr>
        <w:spacing w:after="0" w:line="240" w:lineRule="auto"/>
        <w:ind w:left="2268" w:hanging="425"/>
        <w:jc w:val="both"/>
        <w:rPr>
          <w:rFonts w:ascii="Arial" w:eastAsia="Calibri" w:hAnsi="Arial" w:cs="Arial"/>
          <w:lang w:val="es-ES"/>
        </w:rPr>
      </w:pPr>
    </w:p>
    <w:p w:rsidR="00B5723A" w:rsidRPr="00B5723A" w:rsidRDefault="00B5723A" w:rsidP="001759AF">
      <w:pPr>
        <w:spacing w:after="0" w:line="240" w:lineRule="auto"/>
        <w:ind w:left="2268" w:hanging="425"/>
        <w:jc w:val="both"/>
        <w:rPr>
          <w:rFonts w:ascii="Arial" w:eastAsia="Calibri" w:hAnsi="Arial" w:cs="Arial"/>
          <w:lang w:val="es-ES"/>
        </w:rPr>
      </w:pPr>
      <w:r w:rsidRPr="00B5723A">
        <w:rPr>
          <w:rFonts w:ascii="Arial" w:eastAsia="Calibri" w:hAnsi="Arial" w:cs="Arial"/>
          <w:lang w:val="es-ES"/>
        </w:rPr>
        <w:t xml:space="preserve">* </w:t>
      </w:r>
      <w:r w:rsidR="001759AF">
        <w:rPr>
          <w:rFonts w:ascii="Arial" w:eastAsia="Calibri" w:hAnsi="Arial" w:cs="Arial"/>
          <w:lang w:val="es-ES"/>
        </w:rPr>
        <w:tab/>
      </w:r>
      <w:r w:rsidRPr="00B5723A">
        <w:rPr>
          <w:rFonts w:ascii="Arial" w:eastAsia="Calibri" w:hAnsi="Arial" w:cs="Arial"/>
          <w:lang w:val="es-ES"/>
        </w:rPr>
        <w:t>Uso de Aplicaciones: especificaciones técnicas, procedimientos por métodos fotogramétricos o imágenes satelitales o mediante el uso de equipos GPS Submétricos y Estaciones Totales.</w:t>
      </w:r>
    </w:p>
    <w:p w:rsidR="00B5723A" w:rsidRDefault="00B5723A" w:rsidP="00B5723A">
      <w:pPr>
        <w:spacing w:after="0" w:line="240" w:lineRule="auto"/>
        <w:jc w:val="both"/>
        <w:rPr>
          <w:rFonts w:ascii="Arial" w:eastAsia="Calibri" w:hAnsi="Arial" w:cs="Arial"/>
          <w:lang w:val="es-ES"/>
        </w:rPr>
      </w:pPr>
    </w:p>
    <w:p w:rsidR="001759AF" w:rsidRDefault="001759AF" w:rsidP="00B5723A">
      <w:pPr>
        <w:spacing w:after="0" w:line="240" w:lineRule="auto"/>
        <w:jc w:val="both"/>
        <w:rPr>
          <w:rFonts w:ascii="Arial" w:eastAsia="Calibri" w:hAnsi="Arial" w:cs="Arial"/>
          <w:lang w:val="es-ES"/>
        </w:rPr>
      </w:pPr>
    </w:p>
    <w:p w:rsidR="001759AF" w:rsidRDefault="001759AF" w:rsidP="00B5723A">
      <w:pPr>
        <w:spacing w:after="0" w:line="240" w:lineRule="auto"/>
        <w:jc w:val="both"/>
        <w:rPr>
          <w:rFonts w:ascii="Arial" w:eastAsia="Calibri" w:hAnsi="Arial" w:cs="Arial"/>
          <w:lang w:val="es-ES"/>
        </w:rPr>
      </w:pPr>
    </w:p>
    <w:p w:rsidR="001759AF" w:rsidRDefault="001759AF" w:rsidP="00B5723A">
      <w:pPr>
        <w:spacing w:after="0" w:line="240" w:lineRule="auto"/>
        <w:jc w:val="both"/>
        <w:rPr>
          <w:rFonts w:ascii="Arial" w:eastAsia="Calibri" w:hAnsi="Arial" w:cs="Arial"/>
          <w:lang w:val="es-ES"/>
        </w:rPr>
      </w:pPr>
    </w:p>
    <w:p w:rsidR="001759AF" w:rsidRPr="00B5723A" w:rsidRDefault="001759AF" w:rsidP="00B5723A">
      <w:pPr>
        <w:spacing w:after="0" w:line="240" w:lineRule="auto"/>
        <w:jc w:val="both"/>
        <w:rPr>
          <w:rFonts w:ascii="Arial" w:eastAsia="Calibri" w:hAnsi="Arial" w:cs="Arial"/>
          <w:lang w:val="es-ES"/>
        </w:rPr>
      </w:pPr>
    </w:p>
    <w:p w:rsidR="00B5723A" w:rsidRPr="001759AF" w:rsidRDefault="00B5723A" w:rsidP="001759AF">
      <w:pPr>
        <w:spacing w:after="0" w:line="240" w:lineRule="auto"/>
        <w:ind w:left="1843" w:hanging="709"/>
        <w:jc w:val="both"/>
        <w:rPr>
          <w:rFonts w:ascii="Arial" w:eastAsia="Calibri" w:hAnsi="Arial" w:cs="Arial"/>
          <w:b/>
          <w:lang w:val="es-ES"/>
        </w:rPr>
      </w:pPr>
      <w:r w:rsidRPr="001759AF">
        <w:rPr>
          <w:rFonts w:ascii="Arial" w:eastAsia="Calibri" w:hAnsi="Arial" w:cs="Arial"/>
          <w:b/>
          <w:lang w:val="es-ES"/>
        </w:rPr>
        <w:t xml:space="preserve">6.1.5 </w:t>
      </w:r>
      <w:r w:rsidR="001759AF">
        <w:rPr>
          <w:rFonts w:ascii="Arial" w:eastAsia="Calibri" w:hAnsi="Arial" w:cs="Arial"/>
          <w:b/>
          <w:lang w:val="es-ES"/>
        </w:rPr>
        <w:tab/>
      </w:r>
      <w:r w:rsidRPr="001759AF">
        <w:rPr>
          <w:rFonts w:ascii="Arial" w:eastAsia="Calibri" w:hAnsi="Arial" w:cs="Arial"/>
          <w:b/>
          <w:lang w:val="es-ES"/>
        </w:rPr>
        <w:t>NOTIFICACIÓN</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1759AF">
      <w:pPr>
        <w:spacing w:after="0" w:line="240" w:lineRule="auto"/>
        <w:ind w:left="1843"/>
        <w:jc w:val="both"/>
        <w:rPr>
          <w:rFonts w:ascii="Arial" w:eastAsia="Calibri" w:hAnsi="Arial" w:cs="Arial"/>
          <w:lang w:val="es-ES"/>
        </w:rPr>
      </w:pPr>
      <w:r w:rsidRPr="00B5723A">
        <w:rPr>
          <w:rFonts w:ascii="Arial" w:eastAsia="Calibri" w:hAnsi="Arial" w:cs="Arial"/>
          <w:lang w:val="es-ES"/>
        </w:rPr>
        <w:t>Para el levantamiento catastral de un inmueble estatal se notifica a los propietarios colindantes, indicándoles la fecha y hora de la diligencia y solicitándoles que presenten la documentación que acredite los linderos de sus inmuebles.</w:t>
      </w:r>
    </w:p>
    <w:p w:rsidR="00B5723A" w:rsidRPr="00B5723A" w:rsidRDefault="00B5723A" w:rsidP="00B5723A">
      <w:pPr>
        <w:spacing w:after="0" w:line="240" w:lineRule="auto"/>
        <w:jc w:val="both"/>
        <w:rPr>
          <w:rFonts w:ascii="Arial" w:eastAsia="Calibri" w:hAnsi="Arial" w:cs="Arial"/>
          <w:lang w:val="es-ES"/>
        </w:rPr>
      </w:pPr>
    </w:p>
    <w:p w:rsidR="00B5723A" w:rsidRPr="001759AF" w:rsidRDefault="00B5723A" w:rsidP="001759AF">
      <w:pPr>
        <w:spacing w:after="0" w:line="240" w:lineRule="auto"/>
        <w:ind w:left="1134" w:hanging="425"/>
        <w:jc w:val="both"/>
        <w:rPr>
          <w:rFonts w:ascii="Arial" w:eastAsia="Calibri" w:hAnsi="Arial" w:cs="Arial"/>
          <w:b/>
          <w:lang w:val="es-ES"/>
        </w:rPr>
      </w:pPr>
      <w:r w:rsidRPr="001759AF">
        <w:rPr>
          <w:rFonts w:ascii="Arial" w:eastAsia="Calibri" w:hAnsi="Arial" w:cs="Arial"/>
          <w:b/>
          <w:lang w:val="es-ES"/>
        </w:rPr>
        <w:t xml:space="preserve">6.2 </w:t>
      </w:r>
      <w:r w:rsidR="001759AF">
        <w:rPr>
          <w:rFonts w:ascii="Arial" w:eastAsia="Calibri" w:hAnsi="Arial" w:cs="Arial"/>
          <w:b/>
          <w:lang w:val="es-ES"/>
        </w:rPr>
        <w:tab/>
      </w:r>
      <w:r w:rsidRPr="001759AF">
        <w:rPr>
          <w:rFonts w:ascii="Arial" w:eastAsia="Calibri" w:hAnsi="Arial" w:cs="Arial"/>
          <w:b/>
          <w:lang w:val="es-ES"/>
        </w:rPr>
        <w:t>DEL LEVANTAMIENTO CATASTRAL</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1759AF">
      <w:pPr>
        <w:spacing w:after="0" w:line="240" w:lineRule="auto"/>
        <w:ind w:left="1843"/>
        <w:jc w:val="both"/>
        <w:rPr>
          <w:rFonts w:ascii="Arial" w:eastAsia="Calibri" w:hAnsi="Arial" w:cs="Arial"/>
          <w:lang w:val="es-ES"/>
        </w:rPr>
      </w:pPr>
      <w:r w:rsidRPr="00B5723A">
        <w:rPr>
          <w:rFonts w:ascii="Arial" w:eastAsia="Calibri" w:hAnsi="Arial" w:cs="Arial"/>
          <w:lang w:val="es-ES"/>
        </w:rPr>
        <w:t>Para el levantamiento catastral, el personal de campo debe conocer y aplicar las disposiciones generales establecidas en la presente Directiva, y las especificaciones técnicas aprobadas por el SNCP, que comprende la verificación física (linderación) y el llenado de la ficha catastral (descripción del titular, datos técnicos del inmueble, usos, actos, situación jurídica y otros).</w:t>
      </w:r>
    </w:p>
    <w:p w:rsidR="00B5723A" w:rsidRPr="00B5723A" w:rsidRDefault="00B5723A" w:rsidP="00B5723A">
      <w:pPr>
        <w:spacing w:after="0" w:line="240" w:lineRule="auto"/>
        <w:jc w:val="both"/>
        <w:rPr>
          <w:rFonts w:ascii="Arial" w:eastAsia="Calibri" w:hAnsi="Arial" w:cs="Arial"/>
          <w:lang w:val="es-ES"/>
        </w:rPr>
      </w:pPr>
    </w:p>
    <w:p w:rsidR="00B5723A" w:rsidRPr="001759AF" w:rsidRDefault="00B5723A" w:rsidP="001759AF">
      <w:pPr>
        <w:spacing w:after="0" w:line="240" w:lineRule="auto"/>
        <w:ind w:left="1843" w:hanging="709"/>
        <w:jc w:val="both"/>
        <w:rPr>
          <w:rFonts w:ascii="Arial" w:eastAsia="Calibri" w:hAnsi="Arial" w:cs="Arial"/>
          <w:b/>
          <w:lang w:val="es-ES"/>
        </w:rPr>
      </w:pPr>
      <w:r w:rsidRPr="001759AF">
        <w:rPr>
          <w:rFonts w:ascii="Arial" w:eastAsia="Calibri" w:hAnsi="Arial" w:cs="Arial"/>
          <w:b/>
          <w:lang w:val="es-ES"/>
        </w:rPr>
        <w:t xml:space="preserve">6.2.1 </w:t>
      </w:r>
      <w:r w:rsidR="001759AF" w:rsidRPr="001759AF">
        <w:rPr>
          <w:rFonts w:ascii="Arial" w:eastAsia="Calibri" w:hAnsi="Arial" w:cs="Arial"/>
          <w:b/>
          <w:lang w:val="es-ES"/>
        </w:rPr>
        <w:tab/>
      </w:r>
      <w:r w:rsidRPr="001759AF">
        <w:rPr>
          <w:rFonts w:ascii="Arial" w:eastAsia="Calibri" w:hAnsi="Arial" w:cs="Arial"/>
          <w:b/>
          <w:lang w:val="es-ES"/>
        </w:rPr>
        <w:t>DEL PROCESO DE VERIFICACIÓN FISICA</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1759AF">
      <w:pPr>
        <w:spacing w:after="0" w:line="240" w:lineRule="auto"/>
        <w:ind w:left="1843"/>
        <w:jc w:val="both"/>
        <w:rPr>
          <w:rFonts w:ascii="Arial" w:eastAsia="Calibri" w:hAnsi="Arial" w:cs="Arial"/>
          <w:lang w:val="es-ES"/>
        </w:rPr>
      </w:pPr>
      <w:r w:rsidRPr="00B5723A">
        <w:rPr>
          <w:rFonts w:ascii="Arial" w:eastAsia="Calibri" w:hAnsi="Arial" w:cs="Arial"/>
          <w:lang w:val="es-ES"/>
        </w:rPr>
        <w:t>Es la actividad mediante la cual se registra información de los linderos y perímetros del inmueble y de su ubicación, para ser presentados con una información georreferenciada.</w:t>
      </w:r>
    </w:p>
    <w:p w:rsidR="00B5723A" w:rsidRPr="00B5723A" w:rsidRDefault="00B5723A" w:rsidP="001759AF">
      <w:pPr>
        <w:spacing w:after="0" w:line="240" w:lineRule="auto"/>
        <w:ind w:left="1843"/>
        <w:jc w:val="both"/>
        <w:rPr>
          <w:rFonts w:ascii="Arial" w:eastAsia="Calibri" w:hAnsi="Arial" w:cs="Arial"/>
          <w:lang w:val="es-ES"/>
        </w:rPr>
      </w:pPr>
    </w:p>
    <w:p w:rsidR="00B5723A" w:rsidRPr="00B5723A" w:rsidRDefault="00B5723A" w:rsidP="001759AF">
      <w:pPr>
        <w:spacing w:after="0" w:line="240" w:lineRule="auto"/>
        <w:ind w:left="1843"/>
        <w:jc w:val="both"/>
        <w:rPr>
          <w:rFonts w:ascii="Arial" w:eastAsia="Calibri" w:hAnsi="Arial" w:cs="Arial"/>
          <w:lang w:val="es-ES"/>
        </w:rPr>
      </w:pPr>
      <w:r w:rsidRPr="00B5723A">
        <w:rPr>
          <w:rFonts w:ascii="Arial" w:eastAsia="Calibri" w:hAnsi="Arial" w:cs="Arial"/>
          <w:lang w:val="es-ES"/>
        </w:rPr>
        <w:t>La unidad orgánica correspondiente programa y asigna el trabajo al técnico catastral, quien recopila toda la información literal, cartográfica y geodésica del inmueble o ámbito geográfico a levantar, consistente en:</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1759AF">
      <w:pPr>
        <w:spacing w:after="0" w:line="240" w:lineRule="auto"/>
        <w:ind w:left="2410" w:hanging="567"/>
        <w:jc w:val="both"/>
        <w:rPr>
          <w:rFonts w:ascii="Arial" w:eastAsia="Calibri" w:hAnsi="Arial" w:cs="Arial"/>
          <w:lang w:val="es-ES"/>
        </w:rPr>
      </w:pPr>
      <w:r w:rsidRPr="00B5723A">
        <w:rPr>
          <w:rFonts w:ascii="Arial" w:eastAsia="Calibri" w:hAnsi="Arial" w:cs="Arial"/>
          <w:lang w:val="es-ES"/>
        </w:rPr>
        <w:t xml:space="preserve">* </w:t>
      </w:r>
      <w:r w:rsidR="001759AF">
        <w:rPr>
          <w:rFonts w:ascii="Arial" w:eastAsia="Calibri" w:hAnsi="Arial" w:cs="Arial"/>
          <w:lang w:val="es-ES"/>
        </w:rPr>
        <w:tab/>
      </w:r>
      <w:r w:rsidRPr="00B5723A">
        <w:rPr>
          <w:rFonts w:ascii="Arial" w:eastAsia="Calibri" w:hAnsi="Arial" w:cs="Arial"/>
          <w:lang w:val="es-ES"/>
        </w:rPr>
        <w:t>Información literal: Todo documento escrito, que describe el lugar, expedientes, memorias de trabajos anteriores, diagnósticos de procesos de levantamiento catastral, etc.</w:t>
      </w:r>
    </w:p>
    <w:p w:rsidR="00B5723A" w:rsidRPr="00B5723A" w:rsidRDefault="00B5723A" w:rsidP="001759AF">
      <w:pPr>
        <w:spacing w:after="0" w:line="240" w:lineRule="auto"/>
        <w:ind w:left="2410" w:hanging="567"/>
        <w:jc w:val="both"/>
        <w:rPr>
          <w:rFonts w:ascii="Arial" w:eastAsia="Calibri" w:hAnsi="Arial" w:cs="Arial"/>
          <w:lang w:val="es-ES"/>
        </w:rPr>
      </w:pPr>
    </w:p>
    <w:p w:rsidR="00B5723A" w:rsidRPr="00B5723A" w:rsidRDefault="00B5723A" w:rsidP="001759AF">
      <w:pPr>
        <w:spacing w:after="0" w:line="240" w:lineRule="auto"/>
        <w:ind w:left="2410" w:hanging="567"/>
        <w:jc w:val="both"/>
        <w:rPr>
          <w:rFonts w:ascii="Arial" w:eastAsia="Calibri" w:hAnsi="Arial" w:cs="Arial"/>
          <w:lang w:val="es-ES"/>
        </w:rPr>
      </w:pPr>
      <w:r w:rsidRPr="00B5723A">
        <w:rPr>
          <w:rFonts w:ascii="Arial" w:eastAsia="Calibri" w:hAnsi="Arial" w:cs="Arial"/>
          <w:lang w:val="es-ES"/>
        </w:rPr>
        <w:t xml:space="preserve">* </w:t>
      </w:r>
      <w:r w:rsidR="001759AF">
        <w:rPr>
          <w:rFonts w:ascii="Arial" w:eastAsia="Calibri" w:hAnsi="Arial" w:cs="Arial"/>
          <w:lang w:val="es-ES"/>
        </w:rPr>
        <w:tab/>
      </w:r>
      <w:r w:rsidRPr="00B5723A">
        <w:rPr>
          <w:rFonts w:ascii="Arial" w:eastAsia="Calibri" w:hAnsi="Arial" w:cs="Arial"/>
          <w:lang w:val="es-ES"/>
        </w:rPr>
        <w:t>Información cartográfica y geodésica: Planos del área a levantar, fotografías aéreas, imágenes de satélite, etc.</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1759AF">
      <w:pPr>
        <w:spacing w:after="0" w:line="240" w:lineRule="auto"/>
        <w:ind w:left="1843"/>
        <w:jc w:val="both"/>
        <w:rPr>
          <w:rFonts w:ascii="Arial" w:eastAsia="Calibri" w:hAnsi="Arial" w:cs="Arial"/>
          <w:lang w:val="es-ES"/>
        </w:rPr>
      </w:pPr>
      <w:r w:rsidRPr="00B5723A">
        <w:rPr>
          <w:rFonts w:ascii="Arial" w:eastAsia="Calibri" w:hAnsi="Arial" w:cs="Arial"/>
          <w:lang w:val="es-ES"/>
        </w:rPr>
        <w:t>Para la verificación física se tendrá en cuenta lo siguiente:</w:t>
      </w:r>
    </w:p>
    <w:p w:rsidR="00B5723A" w:rsidRPr="00B5723A" w:rsidRDefault="00B5723A" w:rsidP="00B5723A">
      <w:pPr>
        <w:spacing w:after="0" w:line="240" w:lineRule="auto"/>
        <w:jc w:val="both"/>
        <w:rPr>
          <w:rFonts w:ascii="Arial" w:eastAsia="Calibri" w:hAnsi="Arial" w:cs="Arial"/>
          <w:lang w:val="es-ES"/>
        </w:rPr>
      </w:pPr>
    </w:p>
    <w:p w:rsidR="00B5723A" w:rsidRPr="001759AF" w:rsidRDefault="00B5723A" w:rsidP="0092471C">
      <w:pPr>
        <w:pStyle w:val="Prrafodelista"/>
        <w:numPr>
          <w:ilvl w:val="0"/>
          <w:numId w:val="331"/>
        </w:numPr>
        <w:spacing w:after="0" w:line="240" w:lineRule="auto"/>
        <w:ind w:left="2127"/>
        <w:jc w:val="both"/>
        <w:rPr>
          <w:rFonts w:ascii="Arial" w:eastAsia="Calibri" w:hAnsi="Arial" w:cs="Arial"/>
          <w:lang w:val="es-ES"/>
        </w:rPr>
      </w:pPr>
      <w:r w:rsidRPr="001759AF">
        <w:rPr>
          <w:rFonts w:ascii="Arial" w:eastAsia="Calibri" w:hAnsi="Arial" w:cs="Arial"/>
          <w:lang w:val="es-ES"/>
        </w:rPr>
        <w:t>Los levantamientos catastrales de los inmuebles estatales se ejecutan obligatoriamente en el Sistema Geodésico Horizontal Oficial con Datum WGS 84 y en coordenadas UTM en adelante Datum WGS 84.</w:t>
      </w:r>
    </w:p>
    <w:p w:rsidR="00B5723A" w:rsidRPr="00B5723A" w:rsidRDefault="00B5723A" w:rsidP="001759AF">
      <w:pPr>
        <w:spacing w:after="0" w:line="240" w:lineRule="auto"/>
        <w:ind w:left="2127" w:hanging="283"/>
        <w:jc w:val="both"/>
        <w:rPr>
          <w:rFonts w:ascii="Arial" w:eastAsia="Calibri" w:hAnsi="Arial" w:cs="Arial"/>
          <w:lang w:val="es-ES"/>
        </w:rPr>
      </w:pPr>
    </w:p>
    <w:p w:rsidR="00B5723A" w:rsidRPr="001759AF" w:rsidRDefault="00B5723A" w:rsidP="0092471C">
      <w:pPr>
        <w:pStyle w:val="Prrafodelista"/>
        <w:numPr>
          <w:ilvl w:val="0"/>
          <w:numId w:val="331"/>
        </w:numPr>
        <w:spacing w:after="0" w:line="240" w:lineRule="auto"/>
        <w:ind w:left="2127"/>
        <w:jc w:val="both"/>
        <w:rPr>
          <w:rFonts w:ascii="Arial" w:eastAsia="Calibri" w:hAnsi="Arial" w:cs="Arial"/>
          <w:lang w:val="es-ES"/>
        </w:rPr>
      </w:pPr>
      <w:r w:rsidRPr="001759AF">
        <w:rPr>
          <w:rFonts w:ascii="Arial" w:eastAsia="Calibri" w:hAnsi="Arial" w:cs="Arial"/>
          <w:lang w:val="es-ES"/>
        </w:rPr>
        <w:t>La actualización de los levantamientos catastrales que fueron ejecutados con Datum PSAD 56, se realizan con el Datum WGS 84.</w:t>
      </w:r>
    </w:p>
    <w:p w:rsidR="00B5723A" w:rsidRPr="00B5723A" w:rsidRDefault="00B5723A" w:rsidP="001759AF">
      <w:pPr>
        <w:spacing w:after="0" w:line="240" w:lineRule="auto"/>
        <w:ind w:left="2127" w:hanging="283"/>
        <w:jc w:val="both"/>
        <w:rPr>
          <w:rFonts w:ascii="Arial" w:eastAsia="Calibri" w:hAnsi="Arial" w:cs="Arial"/>
          <w:lang w:val="es-ES"/>
        </w:rPr>
      </w:pPr>
    </w:p>
    <w:p w:rsidR="00B5723A" w:rsidRPr="001759AF" w:rsidRDefault="00B5723A" w:rsidP="0092471C">
      <w:pPr>
        <w:pStyle w:val="Prrafodelista"/>
        <w:numPr>
          <w:ilvl w:val="0"/>
          <w:numId w:val="331"/>
        </w:numPr>
        <w:spacing w:after="0" w:line="240" w:lineRule="auto"/>
        <w:ind w:left="2127"/>
        <w:jc w:val="both"/>
        <w:rPr>
          <w:rFonts w:ascii="Arial" w:eastAsia="Calibri" w:hAnsi="Arial" w:cs="Arial"/>
          <w:lang w:val="es-ES"/>
        </w:rPr>
      </w:pPr>
      <w:r w:rsidRPr="001759AF">
        <w:rPr>
          <w:rFonts w:ascii="Arial" w:eastAsia="Calibri" w:hAnsi="Arial" w:cs="Arial"/>
          <w:lang w:val="es-ES"/>
        </w:rPr>
        <w:t>En el caso de inmuebles que fueron levantados e inscritos en el Registro de Predios a nombre del Estado con el Datum PSAD 56, que colindan con otros inmuebles a ser incorporados al dominio del Estado, deben ser nuevamente levantados con el Datum WGS 84 para su presentación al citado Registro.</w:t>
      </w:r>
    </w:p>
    <w:p w:rsidR="00B5723A" w:rsidRPr="00B5723A" w:rsidRDefault="00B5723A" w:rsidP="001759AF">
      <w:pPr>
        <w:spacing w:after="0" w:line="240" w:lineRule="auto"/>
        <w:ind w:left="2127" w:hanging="283"/>
        <w:jc w:val="both"/>
        <w:rPr>
          <w:rFonts w:ascii="Arial" w:eastAsia="Calibri" w:hAnsi="Arial" w:cs="Arial"/>
          <w:lang w:val="es-ES"/>
        </w:rPr>
      </w:pPr>
    </w:p>
    <w:p w:rsidR="00B5723A" w:rsidRPr="001759AF" w:rsidRDefault="00B5723A" w:rsidP="0092471C">
      <w:pPr>
        <w:pStyle w:val="Prrafodelista"/>
        <w:numPr>
          <w:ilvl w:val="0"/>
          <w:numId w:val="331"/>
        </w:numPr>
        <w:spacing w:after="0" w:line="240" w:lineRule="auto"/>
        <w:ind w:left="2127"/>
        <w:jc w:val="both"/>
        <w:rPr>
          <w:rFonts w:ascii="Arial" w:eastAsia="Calibri" w:hAnsi="Arial" w:cs="Arial"/>
          <w:lang w:val="es-ES"/>
        </w:rPr>
      </w:pPr>
      <w:r w:rsidRPr="001759AF">
        <w:rPr>
          <w:rFonts w:ascii="Arial" w:eastAsia="Calibri" w:hAnsi="Arial" w:cs="Arial"/>
          <w:lang w:val="es-ES"/>
        </w:rPr>
        <w:t>En el caso de los inmuebles que han sido ingresados en el SINABIP, cuyos levantamientos catastrales no fueron ejecutados bajo las especificaciones técnicas de la presente Directiva, se deben levantar nuevamente, en forma progresiva y según la necesidad, con el Datum WGS 84. Para la corrección del área, linderos, medidas perimétricas y georreferenciación se ejecuta el procedimiento de rectificación, previsto en el Decreto Supremo Nº 007-2008-VIVIENDA y se aplica lo establecido en la Directiva Nº 01-2008-SNCP-CNC Tolerancias Catastrales - Registrales.</w:t>
      </w:r>
    </w:p>
    <w:p w:rsidR="00B5723A" w:rsidRPr="00B5723A" w:rsidRDefault="00B5723A" w:rsidP="001759AF">
      <w:pPr>
        <w:spacing w:after="0" w:line="240" w:lineRule="auto"/>
        <w:ind w:left="2127" w:hanging="283"/>
        <w:jc w:val="both"/>
        <w:rPr>
          <w:rFonts w:ascii="Arial" w:eastAsia="Calibri" w:hAnsi="Arial" w:cs="Arial"/>
          <w:lang w:val="es-ES"/>
        </w:rPr>
      </w:pPr>
    </w:p>
    <w:p w:rsidR="00B5723A" w:rsidRPr="001759AF" w:rsidRDefault="00B5723A" w:rsidP="0092471C">
      <w:pPr>
        <w:pStyle w:val="Prrafodelista"/>
        <w:numPr>
          <w:ilvl w:val="0"/>
          <w:numId w:val="331"/>
        </w:numPr>
        <w:spacing w:after="0" w:line="240" w:lineRule="auto"/>
        <w:ind w:left="2127"/>
        <w:jc w:val="both"/>
        <w:rPr>
          <w:rFonts w:ascii="Arial" w:eastAsia="Calibri" w:hAnsi="Arial" w:cs="Arial"/>
          <w:lang w:val="es-ES"/>
        </w:rPr>
      </w:pPr>
      <w:r w:rsidRPr="001759AF">
        <w:rPr>
          <w:rFonts w:ascii="Arial" w:eastAsia="Calibri" w:hAnsi="Arial" w:cs="Arial"/>
          <w:lang w:val="es-ES"/>
        </w:rPr>
        <w:t>En caso de inmuebles colindantes a vías de comunicación, accidentes naturales hidrográficos, áreas intangibles, áreas naturales protegidas etc., se debe tener en cuenta los derechos de vías, fajas marginales, zonas de amortiguamiento y las zonas de expansión urbana. Las superficies comprendidas en estas áreas por ser intangibles, corresponde su administración a otras entidades. Los márgenes a considerar son los establecidos por las entidades competentes y en concordancia con la normatividad de la materia.</w:t>
      </w:r>
    </w:p>
    <w:p w:rsidR="00B5723A" w:rsidRPr="00B5723A" w:rsidRDefault="00B5723A" w:rsidP="001759AF">
      <w:pPr>
        <w:spacing w:after="0" w:line="240" w:lineRule="auto"/>
        <w:ind w:left="2127" w:hanging="283"/>
        <w:jc w:val="both"/>
        <w:rPr>
          <w:rFonts w:ascii="Arial" w:eastAsia="Calibri" w:hAnsi="Arial" w:cs="Arial"/>
          <w:lang w:val="es-ES"/>
        </w:rPr>
      </w:pPr>
    </w:p>
    <w:p w:rsidR="00B5723A" w:rsidRPr="001759AF" w:rsidRDefault="00B5723A" w:rsidP="0092471C">
      <w:pPr>
        <w:pStyle w:val="Prrafodelista"/>
        <w:numPr>
          <w:ilvl w:val="0"/>
          <w:numId w:val="331"/>
        </w:numPr>
        <w:spacing w:after="0" w:line="240" w:lineRule="auto"/>
        <w:ind w:left="2127"/>
        <w:jc w:val="both"/>
        <w:rPr>
          <w:rFonts w:ascii="Arial" w:eastAsia="Calibri" w:hAnsi="Arial" w:cs="Arial"/>
          <w:lang w:val="es-ES"/>
        </w:rPr>
      </w:pPr>
      <w:r w:rsidRPr="001759AF">
        <w:rPr>
          <w:rFonts w:ascii="Arial" w:eastAsia="Calibri" w:hAnsi="Arial" w:cs="Arial"/>
          <w:lang w:val="es-ES"/>
        </w:rPr>
        <w:t>El inmueble que abarca una superficie comprendida en más de un distrito, debe ser considerado en aquél donde se ubique la mayor extensión.</w:t>
      </w:r>
    </w:p>
    <w:p w:rsidR="00B5723A" w:rsidRPr="00B5723A" w:rsidRDefault="00B5723A" w:rsidP="001759AF">
      <w:pPr>
        <w:spacing w:after="0" w:line="240" w:lineRule="auto"/>
        <w:ind w:left="2127" w:hanging="283"/>
        <w:jc w:val="both"/>
        <w:rPr>
          <w:rFonts w:ascii="Arial" w:eastAsia="Calibri" w:hAnsi="Arial" w:cs="Arial"/>
          <w:lang w:val="es-ES"/>
        </w:rPr>
      </w:pPr>
    </w:p>
    <w:p w:rsidR="00B5723A" w:rsidRPr="001759AF" w:rsidRDefault="00B5723A" w:rsidP="0092471C">
      <w:pPr>
        <w:pStyle w:val="Prrafodelista"/>
        <w:numPr>
          <w:ilvl w:val="0"/>
          <w:numId w:val="331"/>
        </w:numPr>
        <w:spacing w:after="0" w:line="240" w:lineRule="auto"/>
        <w:ind w:left="2127"/>
        <w:jc w:val="both"/>
        <w:rPr>
          <w:rFonts w:ascii="Arial" w:eastAsia="Calibri" w:hAnsi="Arial" w:cs="Arial"/>
          <w:lang w:val="es-ES"/>
        </w:rPr>
      </w:pPr>
      <w:r w:rsidRPr="001759AF">
        <w:rPr>
          <w:rFonts w:ascii="Arial" w:eastAsia="Calibri" w:hAnsi="Arial" w:cs="Arial"/>
          <w:lang w:val="es-ES"/>
        </w:rPr>
        <w:t>El concepto de “Caja de Herramientas”, se aplica en el trabajo de campo y está compuesto por los diferentes métodos que existen para realizar el levantamiento de información (linderación) y que los técnicos catastrales deben elegir según las características particulares del ámbito geográfico de trabajo. Dichos métodos son los siguientes: (Gráfico Nº 02)</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1759AF">
      <w:pPr>
        <w:spacing w:after="0" w:line="240" w:lineRule="auto"/>
        <w:ind w:left="2410" w:hanging="709"/>
        <w:jc w:val="both"/>
        <w:rPr>
          <w:rFonts w:ascii="Arial" w:eastAsia="Calibri" w:hAnsi="Arial" w:cs="Arial"/>
          <w:lang w:val="es-ES"/>
        </w:rPr>
      </w:pPr>
      <w:r w:rsidRPr="00B5723A">
        <w:rPr>
          <w:rFonts w:ascii="Arial" w:eastAsia="Calibri" w:hAnsi="Arial" w:cs="Arial"/>
          <w:lang w:val="es-ES"/>
        </w:rPr>
        <w:t xml:space="preserve">* </w:t>
      </w:r>
      <w:r w:rsidR="001759AF">
        <w:rPr>
          <w:rFonts w:ascii="Arial" w:eastAsia="Calibri" w:hAnsi="Arial" w:cs="Arial"/>
          <w:lang w:val="es-ES"/>
        </w:rPr>
        <w:tab/>
      </w:r>
      <w:r w:rsidRPr="00B5723A">
        <w:rPr>
          <w:rFonts w:ascii="Arial" w:eastAsia="Calibri" w:hAnsi="Arial" w:cs="Arial"/>
          <w:lang w:val="es-ES"/>
        </w:rPr>
        <w:t>Estación total, teodolito, brújula, wincha y jalones (métodos convencionales). Se usa para levantamientos perimétricos de los polígonos de inmuebles de menor extensión, por brindar mayor precisión.</w:t>
      </w:r>
    </w:p>
    <w:p w:rsidR="00B5723A" w:rsidRPr="00B5723A" w:rsidRDefault="00B5723A" w:rsidP="001759AF">
      <w:pPr>
        <w:spacing w:after="0" w:line="240" w:lineRule="auto"/>
        <w:ind w:left="2410" w:hanging="709"/>
        <w:jc w:val="both"/>
        <w:rPr>
          <w:rFonts w:ascii="Arial" w:eastAsia="Calibri" w:hAnsi="Arial" w:cs="Arial"/>
          <w:lang w:val="es-ES"/>
        </w:rPr>
      </w:pPr>
    </w:p>
    <w:p w:rsidR="00B5723A" w:rsidRPr="00B5723A" w:rsidRDefault="00B5723A" w:rsidP="001759AF">
      <w:pPr>
        <w:spacing w:after="0" w:line="240" w:lineRule="auto"/>
        <w:ind w:left="2410" w:hanging="709"/>
        <w:jc w:val="both"/>
        <w:rPr>
          <w:rFonts w:ascii="Arial" w:eastAsia="Calibri" w:hAnsi="Arial" w:cs="Arial"/>
          <w:lang w:val="es-ES"/>
        </w:rPr>
      </w:pPr>
      <w:r w:rsidRPr="00B5723A">
        <w:rPr>
          <w:rFonts w:ascii="Arial" w:eastAsia="Calibri" w:hAnsi="Arial" w:cs="Arial"/>
          <w:lang w:val="es-ES"/>
        </w:rPr>
        <w:t xml:space="preserve">* </w:t>
      </w:r>
      <w:r w:rsidR="001759AF">
        <w:rPr>
          <w:rFonts w:ascii="Arial" w:eastAsia="Calibri" w:hAnsi="Arial" w:cs="Arial"/>
          <w:lang w:val="es-ES"/>
        </w:rPr>
        <w:tab/>
      </w:r>
      <w:r w:rsidRPr="00B5723A">
        <w:rPr>
          <w:rFonts w:ascii="Arial" w:eastAsia="Calibri" w:hAnsi="Arial" w:cs="Arial"/>
          <w:lang w:val="es-ES"/>
        </w:rPr>
        <w:t>Fotografía aérea u ortofotos: se usa para zonas de costa y sierra y zonas sin cobertura arbórea.</w:t>
      </w:r>
    </w:p>
    <w:p w:rsidR="00B5723A" w:rsidRPr="00B5723A" w:rsidRDefault="00B5723A" w:rsidP="001759AF">
      <w:pPr>
        <w:spacing w:after="0" w:line="240" w:lineRule="auto"/>
        <w:ind w:left="2410" w:hanging="709"/>
        <w:jc w:val="both"/>
        <w:rPr>
          <w:rFonts w:ascii="Arial" w:eastAsia="Calibri" w:hAnsi="Arial" w:cs="Arial"/>
          <w:lang w:val="es-ES"/>
        </w:rPr>
      </w:pPr>
    </w:p>
    <w:p w:rsidR="00B5723A" w:rsidRPr="00B5723A" w:rsidRDefault="00B5723A" w:rsidP="001759AF">
      <w:pPr>
        <w:spacing w:after="0" w:line="240" w:lineRule="auto"/>
        <w:ind w:left="2410" w:hanging="709"/>
        <w:jc w:val="both"/>
        <w:rPr>
          <w:rFonts w:ascii="Arial" w:eastAsia="Calibri" w:hAnsi="Arial" w:cs="Arial"/>
          <w:lang w:val="es-ES"/>
        </w:rPr>
      </w:pPr>
      <w:r w:rsidRPr="00B5723A">
        <w:rPr>
          <w:rFonts w:ascii="Arial" w:eastAsia="Calibri" w:hAnsi="Arial" w:cs="Arial"/>
          <w:lang w:val="es-ES"/>
        </w:rPr>
        <w:t xml:space="preserve">* </w:t>
      </w:r>
      <w:r w:rsidR="001759AF">
        <w:rPr>
          <w:rFonts w:ascii="Arial" w:eastAsia="Calibri" w:hAnsi="Arial" w:cs="Arial"/>
          <w:lang w:val="es-ES"/>
        </w:rPr>
        <w:tab/>
      </w:r>
      <w:r w:rsidRPr="00B5723A">
        <w:rPr>
          <w:rFonts w:ascii="Arial" w:eastAsia="Calibri" w:hAnsi="Arial" w:cs="Arial"/>
          <w:lang w:val="es-ES"/>
        </w:rPr>
        <w:t>GNSS geodésico (L1/L2): se usa para densificar la red de control. También para establecer pares de puntos de apoyo para levantamientos con estación total, teodolito: levantamiento de los vértices de inmuebles por métodos convencionales.</w:t>
      </w:r>
    </w:p>
    <w:p w:rsidR="00B5723A" w:rsidRPr="00B5723A" w:rsidRDefault="00B5723A" w:rsidP="001759AF">
      <w:pPr>
        <w:spacing w:after="0" w:line="240" w:lineRule="auto"/>
        <w:ind w:left="2410" w:hanging="709"/>
        <w:jc w:val="both"/>
        <w:rPr>
          <w:rFonts w:ascii="Arial" w:eastAsia="Calibri" w:hAnsi="Arial" w:cs="Arial"/>
          <w:lang w:val="es-ES"/>
        </w:rPr>
      </w:pPr>
    </w:p>
    <w:p w:rsidR="00B5723A" w:rsidRPr="00B5723A" w:rsidRDefault="00B5723A" w:rsidP="001759AF">
      <w:pPr>
        <w:spacing w:after="0" w:line="240" w:lineRule="auto"/>
        <w:ind w:left="2410" w:hanging="709"/>
        <w:jc w:val="both"/>
        <w:rPr>
          <w:rFonts w:ascii="Arial" w:eastAsia="Calibri" w:hAnsi="Arial" w:cs="Arial"/>
          <w:lang w:val="es-ES"/>
        </w:rPr>
      </w:pPr>
      <w:r w:rsidRPr="00B5723A">
        <w:rPr>
          <w:rFonts w:ascii="Arial" w:eastAsia="Calibri" w:hAnsi="Arial" w:cs="Arial"/>
          <w:lang w:val="es-ES"/>
        </w:rPr>
        <w:t xml:space="preserve">* </w:t>
      </w:r>
      <w:r w:rsidR="001759AF">
        <w:rPr>
          <w:rFonts w:ascii="Arial" w:eastAsia="Calibri" w:hAnsi="Arial" w:cs="Arial"/>
          <w:lang w:val="es-ES"/>
        </w:rPr>
        <w:tab/>
      </w:r>
      <w:r w:rsidRPr="00B5723A">
        <w:rPr>
          <w:rFonts w:ascii="Arial" w:eastAsia="Calibri" w:hAnsi="Arial" w:cs="Arial"/>
          <w:lang w:val="es-ES"/>
        </w:rPr>
        <w:t>GNSS-diferencial (decimétrico): permite el registro de cada uno de los vértices de los inmuebles, almacenándolos en el receptor para su posterior corrección diferencial a través de una PC.</w:t>
      </w:r>
    </w:p>
    <w:p w:rsidR="00B5723A" w:rsidRPr="00B5723A" w:rsidRDefault="00B5723A" w:rsidP="001759AF">
      <w:pPr>
        <w:spacing w:after="0" w:line="240" w:lineRule="auto"/>
        <w:ind w:left="2410" w:hanging="709"/>
        <w:jc w:val="both"/>
        <w:rPr>
          <w:rFonts w:ascii="Arial" w:eastAsia="Calibri" w:hAnsi="Arial" w:cs="Arial"/>
          <w:lang w:val="es-ES"/>
        </w:rPr>
      </w:pPr>
    </w:p>
    <w:p w:rsidR="00B5723A" w:rsidRPr="00B5723A" w:rsidRDefault="00B5723A" w:rsidP="001759AF">
      <w:pPr>
        <w:spacing w:after="0" w:line="240" w:lineRule="auto"/>
        <w:ind w:left="2410" w:hanging="709"/>
        <w:jc w:val="both"/>
        <w:rPr>
          <w:rFonts w:ascii="Arial" w:eastAsia="Calibri" w:hAnsi="Arial" w:cs="Arial"/>
          <w:lang w:val="es-ES"/>
        </w:rPr>
      </w:pPr>
      <w:r w:rsidRPr="00B5723A">
        <w:rPr>
          <w:rFonts w:ascii="Arial" w:eastAsia="Calibri" w:hAnsi="Arial" w:cs="Arial"/>
          <w:lang w:val="es-ES"/>
        </w:rPr>
        <w:t xml:space="preserve">* </w:t>
      </w:r>
      <w:r w:rsidR="001759AF">
        <w:rPr>
          <w:rFonts w:ascii="Arial" w:eastAsia="Calibri" w:hAnsi="Arial" w:cs="Arial"/>
          <w:lang w:val="es-ES"/>
        </w:rPr>
        <w:tab/>
      </w:r>
      <w:r w:rsidRPr="00B5723A">
        <w:rPr>
          <w:rFonts w:ascii="Arial" w:eastAsia="Calibri" w:hAnsi="Arial" w:cs="Arial"/>
          <w:lang w:val="es-ES"/>
        </w:rPr>
        <w:t>Imágenes de Radar por avión: son muy útiles para la cartografía básica y el desarrollo de los modelos de elevación digital del inmueble, debido a que el radar es un sensor que puede leer la diferencia en la “textura” del terreno, puede penetrar las nubes y capturar datos durante la noche. Sin embargo, el radar no puede penetrar los árboles, por lo que no es recomendable su uso en las regiones de Ceja de Selva y Selva, donde los linderos y trochas se encuentran debajo de la cobertura de los árboles.</w:t>
      </w:r>
    </w:p>
    <w:p w:rsidR="00B5723A" w:rsidRPr="00B5723A" w:rsidRDefault="00B5723A" w:rsidP="001759AF">
      <w:pPr>
        <w:spacing w:after="0" w:line="240" w:lineRule="auto"/>
        <w:ind w:left="2410" w:hanging="709"/>
        <w:jc w:val="both"/>
        <w:rPr>
          <w:rFonts w:ascii="Arial" w:eastAsia="Calibri" w:hAnsi="Arial" w:cs="Arial"/>
          <w:lang w:val="es-ES"/>
        </w:rPr>
      </w:pPr>
    </w:p>
    <w:p w:rsidR="00B5723A" w:rsidRPr="00B5723A" w:rsidRDefault="00B5723A" w:rsidP="001759AF">
      <w:pPr>
        <w:spacing w:after="0" w:line="240" w:lineRule="auto"/>
        <w:ind w:left="2410" w:hanging="709"/>
        <w:jc w:val="both"/>
        <w:rPr>
          <w:rFonts w:ascii="Arial" w:eastAsia="Calibri" w:hAnsi="Arial" w:cs="Arial"/>
          <w:lang w:val="es-ES"/>
        </w:rPr>
      </w:pPr>
      <w:r w:rsidRPr="00B5723A">
        <w:rPr>
          <w:rFonts w:ascii="Arial" w:eastAsia="Calibri" w:hAnsi="Arial" w:cs="Arial"/>
          <w:lang w:val="es-ES"/>
        </w:rPr>
        <w:t xml:space="preserve">* </w:t>
      </w:r>
      <w:r w:rsidR="001759AF">
        <w:rPr>
          <w:rFonts w:ascii="Arial" w:eastAsia="Calibri" w:hAnsi="Arial" w:cs="Arial"/>
          <w:lang w:val="es-ES"/>
        </w:rPr>
        <w:tab/>
      </w:r>
      <w:r w:rsidRPr="00B5723A">
        <w:rPr>
          <w:rFonts w:ascii="Arial" w:eastAsia="Calibri" w:hAnsi="Arial" w:cs="Arial"/>
          <w:lang w:val="es-ES"/>
        </w:rPr>
        <w:t>Imágenes Satelitales de alta resolución ortorectificadas: pueden servir como base cartográfica sobre la cual se plasman los levantamientos catastrales.</w:t>
      </w:r>
    </w:p>
    <w:p w:rsidR="00B5723A" w:rsidRPr="00B5723A" w:rsidRDefault="00B5723A" w:rsidP="001759AF">
      <w:pPr>
        <w:spacing w:after="0" w:line="240" w:lineRule="auto"/>
        <w:ind w:left="2410" w:hanging="709"/>
        <w:jc w:val="both"/>
        <w:rPr>
          <w:rFonts w:ascii="Arial" w:eastAsia="Calibri" w:hAnsi="Arial" w:cs="Arial"/>
          <w:lang w:val="es-ES"/>
        </w:rPr>
      </w:pPr>
    </w:p>
    <w:p w:rsidR="00B5723A" w:rsidRPr="00B5723A" w:rsidRDefault="00B5723A" w:rsidP="001759AF">
      <w:pPr>
        <w:spacing w:after="0" w:line="240" w:lineRule="auto"/>
        <w:ind w:left="2410" w:hanging="709"/>
        <w:jc w:val="both"/>
        <w:rPr>
          <w:rFonts w:ascii="Arial" w:eastAsia="Calibri" w:hAnsi="Arial" w:cs="Arial"/>
          <w:lang w:val="es-ES"/>
        </w:rPr>
      </w:pPr>
      <w:r w:rsidRPr="00B5723A">
        <w:rPr>
          <w:rFonts w:ascii="Arial" w:eastAsia="Calibri" w:hAnsi="Arial" w:cs="Arial"/>
          <w:lang w:val="es-ES"/>
        </w:rPr>
        <w:t xml:space="preserve">* </w:t>
      </w:r>
      <w:r w:rsidR="001759AF">
        <w:rPr>
          <w:rFonts w:ascii="Arial" w:eastAsia="Calibri" w:hAnsi="Arial" w:cs="Arial"/>
          <w:lang w:val="es-ES"/>
        </w:rPr>
        <w:tab/>
      </w:r>
      <w:r w:rsidRPr="00B5723A">
        <w:rPr>
          <w:rFonts w:ascii="Arial" w:eastAsia="Calibri" w:hAnsi="Arial" w:cs="Arial"/>
          <w:lang w:val="es-ES"/>
        </w:rPr>
        <w:t>Tecnología UAV (vehículo aéreo no tripulado): permite la captura de información geo espacial de alta resolución con resultados superiores a los estándares obtenidos mediante técnicas de aerofotogrametría y de detección óptica laser (LIDAR) y control terrestre suplementario. Su uso da como resultado ortofotos de alta resolución (KMZ, Geo TIF), modelos digitales de elevación DEM y DTM y modelos topográficos de alta precisión.</w:t>
      </w:r>
    </w:p>
    <w:p w:rsidR="00B5723A" w:rsidRPr="00B5723A" w:rsidRDefault="00B5723A" w:rsidP="00B5723A">
      <w:pPr>
        <w:spacing w:after="0" w:line="240" w:lineRule="auto"/>
        <w:jc w:val="both"/>
        <w:rPr>
          <w:rFonts w:ascii="Arial" w:eastAsia="Calibri" w:hAnsi="Arial" w:cs="Arial"/>
          <w:lang w:val="es-ES"/>
        </w:rPr>
      </w:pPr>
    </w:p>
    <w:p w:rsidR="00B5723A" w:rsidRPr="00D83E45" w:rsidRDefault="00B5723A" w:rsidP="00D83E45">
      <w:pPr>
        <w:spacing w:after="0" w:line="240" w:lineRule="auto"/>
        <w:ind w:left="1985" w:hanging="851"/>
        <w:jc w:val="both"/>
        <w:rPr>
          <w:rFonts w:ascii="Arial" w:eastAsia="Calibri" w:hAnsi="Arial" w:cs="Arial"/>
          <w:b/>
          <w:lang w:val="es-ES"/>
        </w:rPr>
      </w:pPr>
      <w:r w:rsidRPr="00D83E45">
        <w:rPr>
          <w:rFonts w:ascii="Arial" w:eastAsia="Calibri" w:hAnsi="Arial" w:cs="Arial"/>
          <w:b/>
          <w:lang w:val="es-ES"/>
        </w:rPr>
        <w:t xml:space="preserve">6.2.2 </w:t>
      </w:r>
      <w:r w:rsidR="00D83E45">
        <w:rPr>
          <w:rFonts w:ascii="Arial" w:eastAsia="Calibri" w:hAnsi="Arial" w:cs="Arial"/>
          <w:b/>
          <w:lang w:val="es-ES"/>
        </w:rPr>
        <w:tab/>
      </w:r>
      <w:r w:rsidRPr="00D83E45">
        <w:rPr>
          <w:rFonts w:ascii="Arial" w:eastAsia="Calibri" w:hAnsi="Arial" w:cs="Arial"/>
          <w:b/>
          <w:lang w:val="es-ES"/>
        </w:rPr>
        <w:t>DE LA FICHA CATASTRAL DE INMUEBLES ESTATALES</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D83E45">
      <w:pPr>
        <w:spacing w:after="0" w:line="240" w:lineRule="auto"/>
        <w:ind w:left="1985"/>
        <w:jc w:val="both"/>
        <w:rPr>
          <w:rFonts w:ascii="Arial" w:eastAsia="Calibri" w:hAnsi="Arial" w:cs="Arial"/>
          <w:lang w:val="es-ES"/>
        </w:rPr>
      </w:pPr>
      <w:r w:rsidRPr="00B5723A">
        <w:rPr>
          <w:rFonts w:ascii="Arial" w:eastAsia="Calibri" w:hAnsi="Arial" w:cs="Arial"/>
          <w:lang w:val="es-ES"/>
        </w:rPr>
        <w:t>El llenado de la Ficha Catastral de Inmuebles Estatales (en adelante “Ficha Catastral”) comprende los datos técnicos del inmueble y debe cumplir con lo establecido por las normas aprobadas por el SNCP. Respecto a los datos generales, se considera la situación legal del inmueble, usos, metodología de levantamiento catastral, datos del titular catastral.</w:t>
      </w:r>
    </w:p>
    <w:p w:rsidR="00B5723A" w:rsidRPr="00B5723A" w:rsidRDefault="00B5723A" w:rsidP="00D83E45">
      <w:pPr>
        <w:spacing w:after="0" w:line="240" w:lineRule="auto"/>
        <w:ind w:left="1985"/>
        <w:jc w:val="both"/>
        <w:rPr>
          <w:rFonts w:ascii="Arial" w:eastAsia="Calibri" w:hAnsi="Arial" w:cs="Arial"/>
          <w:lang w:val="es-ES"/>
        </w:rPr>
      </w:pPr>
    </w:p>
    <w:p w:rsidR="00B5723A" w:rsidRPr="00B5723A" w:rsidRDefault="00B5723A" w:rsidP="00D83E45">
      <w:pPr>
        <w:spacing w:after="0" w:line="240" w:lineRule="auto"/>
        <w:ind w:left="1985"/>
        <w:jc w:val="both"/>
        <w:rPr>
          <w:rFonts w:ascii="Arial" w:eastAsia="Calibri" w:hAnsi="Arial" w:cs="Arial"/>
          <w:lang w:val="es-ES"/>
        </w:rPr>
      </w:pPr>
      <w:r w:rsidRPr="00B5723A">
        <w:rPr>
          <w:rFonts w:ascii="Arial" w:eastAsia="Calibri" w:hAnsi="Arial" w:cs="Arial"/>
          <w:lang w:val="es-ES"/>
        </w:rPr>
        <w:t>Todo inmueble estatal que ha sido linderado debe contar con una Ficha Catastral correlativa y correlacionada al CUS.</w:t>
      </w:r>
    </w:p>
    <w:p w:rsidR="00B5723A" w:rsidRPr="00B5723A" w:rsidRDefault="00B5723A" w:rsidP="00D83E45">
      <w:pPr>
        <w:spacing w:after="0" w:line="240" w:lineRule="auto"/>
        <w:ind w:left="1985"/>
        <w:jc w:val="both"/>
        <w:rPr>
          <w:rFonts w:ascii="Arial" w:eastAsia="Calibri" w:hAnsi="Arial" w:cs="Arial"/>
          <w:lang w:val="es-ES"/>
        </w:rPr>
      </w:pPr>
    </w:p>
    <w:p w:rsidR="00B5723A" w:rsidRPr="00B5723A" w:rsidRDefault="00B5723A" w:rsidP="00D83E45">
      <w:pPr>
        <w:spacing w:after="0" w:line="240" w:lineRule="auto"/>
        <w:ind w:left="1985"/>
        <w:jc w:val="both"/>
        <w:rPr>
          <w:rFonts w:ascii="Arial" w:eastAsia="Calibri" w:hAnsi="Arial" w:cs="Arial"/>
          <w:lang w:val="es-ES"/>
        </w:rPr>
      </w:pPr>
      <w:r w:rsidRPr="00B5723A">
        <w:rPr>
          <w:rFonts w:ascii="Arial" w:eastAsia="Calibri" w:hAnsi="Arial" w:cs="Arial"/>
          <w:lang w:val="es-ES"/>
        </w:rPr>
        <w:t>Para el llenado de la Ficha Catastral se tiene en cuenta lo siguiente:</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D83E45">
      <w:pPr>
        <w:spacing w:after="0" w:line="240" w:lineRule="auto"/>
        <w:ind w:left="2552" w:hanging="567"/>
        <w:jc w:val="both"/>
        <w:rPr>
          <w:rFonts w:ascii="Arial" w:eastAsia="Calibri" w:hAnsi="Arial" w:cs="Arial"/>
          <w:lang w:val="es-ES"/>
        </w:rPr>
      </w:pPr>
      <w:r w:rsidRPr="00B5723A">
        <w:rPr>
          <w:rFonts w:ascii="Arial" w:eastAsia="Calibri" w:hAnsi="Arial" w:cs="Arial"/>
          <w:lang w:val="es-ES"/>
        </w:rPr>
        <w:t xml:space="preserve">a) </w:t>
      </w:r>
      <w:r w:rsidR="00D83E45">
        <w:rPr>
          <w:rFonts w:ascii="Arial" w:eastAsia="Calibri" w:hAnsi="Arial" w:cs="Arial"/>
          <w:lang w:val="es-ES"/>
        </w:rPr>
        <w:tab/>
      </w:r>
      <w:r w:rsidRPr="00B5723A">
        <w:rPr>
          <w:rFonts w:ascii="Arial" w:eastAsia="Calibri" w:hAnsi="Arial" w:cs="Arial"/>
          <w:lang w:val="es-ES"/>
        </w:rPr>
        <w:t>La finalidad es obtener información física del inmueble, de su titular y los datos complementarios, de acuerdo a los dispositivos legales vigentes, constituyendo el empadronamiento del-inmueble.</w:t>
      </w:r>
    </w:p>
    <w:p w:rsidR="00B5723A" w:rsidRPr="00B5723A" w:rsidRDefault="00B5723A" w:rsidP="00D83E45">
      <w:pPr>
        <w:spacing w:after="0" w:line="240" w:lineRule="auto"/>
        <w:ind w:left="2552" w:hanging="567"/>
        <w:jc w:val="both"/>
        <w:rPr>
          <w:rFonts w:ascii="Arial" w:eastAsia="Calibri" w:hAnsi="Arial" w:cs="Arial"/>
          <w:lang w:val="es-ES"/>
        </w:rPr>
      </w:pPr>
    </w:p>
    <w:p w:rsidR="00B5723A" w:rsidRPr="00B5723A" w:rsidRDefault="00B5723A" w:rsidP="00D83E45">
      <w:pPr>
        <w:spacing w:after="0" w:line="240" w:lineRule="auto"/>
        <w:ind w:left="2552" w:hanging="567"/>
        <w:jc w:val="both"/>
        <w:rPr>
          <w:rFonts w:ascii="Arial" w:eastAsia="Calibri" w:hAnsi="Arial" w:cs="Arial"/>
          <w:lang w:val="es-ES"/>
        </w:rPr>
      </w:pPr>
      <w:r w:rsidRPr="00B5723A">
        <w:rPr>
          <w:rFonts w:ascii="Arial" w:eastAsia="Calibri" w:hAnsi="Arial" w:cs="Arial"/>
          <w:lang w:val="es-ES"/>
        </w:rPr>
        <w:t xml:space="preserve">b) </w:t>
      </w:r>
      <w:r w:rsidR="00D83E45">
        <w:rPr>
          <w:rFonts w:ascii="Arial" w:eastAsia="Calibri" w:hAnsi="Arial" w:cs="Arial"/>
          <w:lang w:val="es-ES"/>
        </w:rPr>
        <w:tab/>
      </w:r>
      <w:r w:rsidRPr="00B5723A">
        <w:rPr>
          <w:rFonts w:ascii="Arial" w:eastAsia="Calibri" w:hAnsi="Arial" w:cs="Arial"/>
          <w:lang w:val="es-ES"/>
        </w:rPr>
        <w:t>Debe ser llenada por el técnico catastral en campo, siguiendo las pautas del instructivo aprobado, con letra clara de imprenta, datos correctos y sin utilizarse abreviaturas.</w:t>
      </w:r>
    </w:p>
    <w:p w:rsidR="00B5723A" w:rsidRPr="00B5723A" w:rsidRDefault="00B5723A" w:rsidP="00D83E45">
      <w:pPr>
        <w:spacing w:after="0" w:line="240" w:lineRule="auto"/>
        <w:ind w:left="2552" w:hanging="567"/>
        <w:jc w:val="both"/>
        <w:rPr>
          <w:rFonts w:ascii="Arial" w:eastAsia="Calibri" w:hAnsi="Arial" w:cs="Arial"/>
          <w:lang w:val="es-ES"/>
        </w:rPr>
      </w:pPr>
    </w:p>
    <w:p w:rsidR="00B5723A" w:rsidRPr="00B5723A" w:rsidRDefault="00B5723A" w:rsidP="00D83E45">
      <w:pPr>
        <w:spacing w:after="0" w:line="240" w:lineRule="auto"/>
        <w:ind w:left="2552" w:hanging="567"/>
        <w:jc w:val="both"/>
        <w:rPr>
          <w:rFonts w:ascii="Arial" w:eastAsia="Calibri" w:hAnsi="Arial" w:cs="Arial"/>
          <w:lang w:val="es-ES"/>
        </w:rPr>
      </w:pPr>
      <w:r w:rsidRPr="00B5723A">
        <w:rPr>
          <w:rFonts w:ascii="Arial" w:eastAsia="Calibri" w:hAnsi="Arial" w:cs="Arial"/>
          <w:lang w:val="es-ES"/>
        </w:rPr>
        <w:t xml:space="preserve">c) </w:t>
      </w:r>
      <w:r w:rsidR="00D83E45">
        <w:rPr>
          <w:rFonts w:ascii="Arial" w:eastAsia="Calibri" w:hAnsi="Arial" w:cs="Arial"/>
          <w:lang w:val="es-ES"/>
        </w:rPr>
        <w:tab/>
      </w:r>
      <w:r w:rsidRPr="00B5723A">
        <w:rPr>
          <w:rFonts w:ascii="Arial" w:eastAsia="Calibri" w:hAnsi="Arial" w:cs="Arial"/>
          <w:lang w:val="es-ES"/>
        </w:rPr>
        <w:t>Se consigna el CUS asignado al inmueble, en caso exista.</w:t>
      </w:r>
    </w:p>
    <w:p w:rsidR="00B5723A" w:rsidRPr="00B5723A" w:rsidRDefault="00B5723A" w:rsidP="00D83E45">
      <w:pPr>
        <w:spacing w:after="0" w:line="240" w:lineRule="auto"/>
        <w:ind w:left="2552" w:hanging="567"/>
        <w:jc w:val="both"/>
        <w:rPr>
          <w:rFonts w:ascii="Arial" w:eastAsia="Calibri" w:hAnsi="Arial" w:cs="Arial"/>
          <w:lang w:val="es-ES"/>
        </w:rPr>
      </w:pPr>
    </w:p>
    <w:p w:rsidR="00B5723A" w:rsidRPr="00B5723A" w:rsidRDefault="00B5723A" w:rsidP="00D83E45">
      <w:pPr>
        <w:spacing w:after="0" w:line="240" w:lineRule="auto"/>
        <w:ind w:left="2552" w:hanging="567"/>
        <w:jc w:val="both"/>
        <w:rPr>
          <w:rFonts w:ascii="Arial" w:eastAsia="Calibri" w:hAnsi="Arial" w:cs="Arial"/>
          <w:lang w:val="es-ES"/>
        </w:rPr>
      </w:pPr>
      <w:r w:rsidRPr="00B5723A">
        <w:rPr>
          <w:rFonts w:ascii="Arial" w:eastAsia="Calibri" w:hAnsi="Arial" w:cs="Arial"/>
          <w:lang w:val="es-ES"/>
        </w:rPr>
        <w:t xml:space="preserve">d) </w:t>
      </w:r>
      <w:r w:rsidR="00D83E45">
        <w:rPr>
          <w:rFonts w:ascii="Arial" w:eastAsia="Calibri" w:hAnsi="Arial" w:cs="Arial"/>
          <w:lang w:val="es-ES"/>
        </w:rPr>
        <w:tab/>
      </w:r>
      <w:r w:rsidRPr="00B5723A">
        <w:rPr>
          <w:rFonts w:ascii="Arial" w:eastAsia="Calibri" w:hAnsi="Arial" w:cs="Arial"/>
          <w:lang w:val="es-ES"/>
        </w:rPr>
        <w:t>El número de fichas catastrales llenadas durante el empadronamiento, debe corresponder al mismo número de inmuebles catastrados.</w:t>
      </w:r>
    </w:p>
    <w:p w:rsidR="00B5723A" w:rsidRPr="00B5723A" w:rsidRDefault="00B5723A" w:rsidP="00D83E45">
      <w:pPr>
        <w:spacing w:after="0" w:line="240" w:lineRule="auto"/>
        <w:ind w:left="2552" w:hanging="567"/>
        <w:jc w:val="both"/>
        <w:rPr>
          <w:rFonts w:ascii="Arial" w:eastAsia="Calibri" w:hAnsi="Arial" w:cs="Arial"/>
          <w:lang w:val="es-ES"/>
        </w:rPr>
      </w:pPr>
    </w:p>
    <w:p w:rsidR="00B5723A" w:rsidRPr="00B5723A" w:rsidRDefault="00B5723A" w:rsidP="00D83E45">
      <w:pPr>
        <w:spacing w:after="0" w:line="240" w:lineRule="auto"/>
        <w:ind w:left="2552" w:hanging="567"/>
        <w:jc w:val="both"/>
        <w:rPr>
          <w:rFonts w:ascii="Arial" w:eastAsia="Calibri" w:hAnsi="Arial" w:cs="Arial"/>
          <w:lang w:val="es-ES"/>
        </w:rPr>
      </w:pPr>
      <w:r w:rsidRPr="00B5723A">
        <w:rPr>
          <w:rFonts w:ascii="Arial" w:eastAsia="Calibri" w:hAnsi="Arial" w:cs="Arial"/>
          <w:lang w:val="es-ES"/>
        </w:rPr>
        <w:t xml:space="preserve">e) </w:t>
      </w:r>
      <w:r w:rsidR="00D83E45">
        <w:rPr>
          <w:rFonts w:ascii="Arial" w:eastAsia="Calibri" w:hAnsi="Arial" w:cs="Arial"/>
          <w:lang w:val="es-ES"/>
        </w:rPr>
        <w:tab/>
      </w:r>
      <w:r w:rsidRPr="00B5723A">
        <w:rPr>
          <w:rFonts w:ascii="Arial" w:eastAsia="Calibri" w:hAnsi="Arial" w:cs="Arial"/>
          <w:lang w:val="es-ES"/>
        </w:rPr>
        <w:t>La Ficha se utiliza para el empadronamiento de los nuevos inmuebles, así como, para los procedimientos de rectificación, subdivisión o independización, acumulación y otros actos que impliquen una modificación del inmueble. En estos casos, la Ficha se vincula al predio matriz.</w:t>
      </w:r>
    </w:p>
    <w:p w:rsidR="00B5723A" w:rsidRPr="00B5723A" w:rsidRDefault="00B5723A" w:rsidP="00D83E45">
      <w:pPr>
        <w:spacing w:after="0" w:line="240" w:lineRule="auto"/>
        <w:ind w:left="2552" w:hanging="567"/>
        <w:jc w:val="both"/>
        <w:rPr>
          <w:rFonts w:ascii="Arial" w:eastAsia="Calibri" w:hAnsi="Arial" w:cs="Arial"/>
          <w:lang w:val="es-ES"/>
        </w:rPr>
      </w:pPr>
    </w:p>
    <w:p w:rsidR="00B5723A" w:rsidRPr="00B5723A" w:rsidRDefault="00B5723A" w:rsidP="00D83E45">
      <w:pPr>
        <w:spacing w:after="0" w:line="240" w:lineRule="auto"/>
        <w:ind w:left="2552" w:hanging="567"/>
        <w:jc w:val="both"/>
        <w:rPr>
          <w:rFonts w:ascii="Arial" w:eastAsia="Calibri" w:hAnsi="Arial" w:cs="Arial"/>
          <w:lang w:val="es-ES"/>
        </w:rPr>
      </w:pPr>
      <w:r w:rsidRPr="00B5723A">
        <w:rPr>
          <w:rFonts w:ascii="Arial" w:eastAsia="Calibri" w:hAnsi="Arial" w:cs="Arial"/>
          <w:lang w:val="es-ES"/>
        </w:rPr>
        <w:t xml:space="preserve">f) </w:t>
      </w:r>
      <w:r w:rsidR="00D83E45">
        <w:rPr>
          <w:rFonts w:ascii="Arial" w:eastAsia="Calibri" w:hAnsi="Arial" w:cs="Arial"/>
          <w:lang w:val="es-ES"/>
        </w:rPr>
        <w:tab/>
      </w:r>
      <w:r w:rsidRPr="00B5723A">
        <w:rPr>
          <w:rFonts w:ascii="Arial" w:eastAsia="Calibri" w:hAnsi="Arial" w:cs="Arial"/>
          <w:lang w:val="es-ES"/>
        </w:rPr>
        <w:t>Debe ser firmada por el técnico catastral y el abogado que participan en el empadronamiento, según corresponda.</w:t>
      </w:r>
    </w:p>
    <w:p w:rsidR="00B5723A" w:rsidRPr="00B5723A" w:rsidRDefault="00B5723A" w:rsidP="00D83E45">
      <w:pPr>
        <w:spacing w:after="0" w:line="240" w:lineRule="auto"/>
        <w:ind w:left="2552" w:hanging="567"/>
        <w:jc w:val="both"/>
        <w:rPr>
          <w:rFonts w:ascii="Arial" w:eastAsia="Calibri" w:hAnsi="Arial" w:cs="Arial"/>
          <w:lang w:val="es-ES"/>
        </w:rPr>
      </w:pPr>
    </w:p>
    <w:p w:rsidR="00B5723A" w:rsidRPr="00B5723A" w:rsidRDefault="00B5723A" w:rsidP="00D83E45">
      <w:pPr>
        <w:spacing w:after="0" w:line="240" w:lineRule="auto"/>
        <w:ind w:left="2552" w:hanging="567"/>
        <w:jc w:val="both"/>
        <w:rPr>
          <w:rFonts w:ascii="Arial" w:eastAsia="Calibri" w:hAnsi="Arial" w:cs="Arial"/>
          <w:lang w:val="es-ES"/>
        </w:rPr>
      </w:pPr>
      <w:r w:rsidRPr="00B5723A">
        <w:rPr>
          <w:rFonts w:ascii="Arial" w:eastAsia="Calibri" w:hAnsi="Arial" w:cs="Arial"/>
          <w:lang w:val="es-ES"/>
        </w:rPr>
        <w:t xml:space="preserve">g) </w:t>
      </w:r>
      <w:r w:rsidR="00D83E45">
        <w:rPr>
          <w:rFonts w:ascii="Arial" w:eastAsia="Calibri" w:hAnsi="Arial" w:cs="Arial"/>
          <w:lang w:val="es-ES"/>
        </w:rPr>
        <w:tab/>
      </w:r>
      <w:r w:rsidRPr="00B5723A">
        <w:rPr>
          <w:rFonts w:ascii="Arial" w:eastAsia="Calibri" w:hAnsi="Arial" w:cs="Arial"/>
          <w:lang w:val="es-ES"/>
        </w:rPr>
        <w:t>En el rubro “observaciones”, se consigna toda información adicional que se considere de importancia.</w:t>
      </w:r>
    </w:p>
    <w:p w:rsidR="00B5723A" w:rsidRPr="00B5723A" w:rsidRDefault="00B5723A" w:rsidP="00B5723A">
      <w:pPr>
        <w:spacing w:after="0" w:line="240" w:lineRule="auto"/>
        <w:jc w:val="both"/>
        <w:rPr>
          <w:rFonts w:ascii="Arial" w:eastAsia="Calibri" w:hAnsi="Arial" w:cs="Arial"/>
          <w:lang w:val="es-ES"/>
        </w:rPr>
      </w:pPr>
    </w:p>
    <w:p w:rsidR="00B5723A" w:rsidRPr="00D83E45" w:rsidRDefault="00B5723A" w:rsidP="00D83E45">
      <w:pPr>
        <w:spacing w:after="0" w:line="240" w:lineRule="auto"/>
        <w:ind w:left="1985" w:hanging="851"/>
        <w:jc w:val="both"/>
        <w:rPr>
          <w:rFonts w:ascii="Arial" w:eastAsia="Calibri" w:hAnsi="Arial" w:cs="Arial"/>
          <w:b/>
          <w:lang w:val="es-ES"/>
        </w:rPr>
      </w:pPr>
      <w:r w:rsidRPr="00D83E45">
        <w:rPr>
          <w:rFonts w:ascii="Arial" w:eastAsia="Calibri" w:hAnsi="Arial" w:cs="Arial"/>
          <w:b/>
          <w:lang w:val="es-ES"/>
        </w:rPr>
        <w:t xml:space="preserve">6.2.3 </w:t>
      </w:r>
      <w:r w:rsidR="00D83E45">
        <w:rPr>
          <w:rFonts w:ascii="Arial" w:eastAsia="Calibri" w:hAnsi="Arial" w:cs="Arial"/>
          <w:b/>
          <w:lang w:val="es-ES"/>
        </w:rPr>
        <w:tab/>
      </w:r>
      <w:r w:rsidR="00D83E45">
        <w:rPr>
          <w:rFonts w:ascii="Arial" w:eastAsia="Calibri" w:hAnsi="Arial" w:cs="Arial"/>
          <w:b/>
          <w:lang w:val="es-ES"/>
        </w:rPr>
        <w:tab/>
      </w:r>
      <w:r w:rsidRPr="00D83E45">
        <w:rPr>
          <w:rFonts w:ascii="Arial" w:eastAsia="Calibri" w:hAnsi="Arial" w:cs="Arial"/>
          <w:b/>
          <w:lang w:val="es-ES"/>
        </w:rPr>
        <w:t>CONFORMACION DE BRIGADAS DE CAMPO</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D83E45">
      <w:pPr>
        <w:spacing w:after="0" w:line="240" w:lineRule="auto"/>
        <w:ind w:left="2127"/>
        <w:jc w:val="both"/>
        <w:rPr>
          <w:rFonts w:ascii="Arial" w:eastAsia="Calibri" w:hAnsi="Arial" w:cs="Arial"/>
          <w:lang w:val="es-ES"/>
        </w:rPr>
      </w:pPr>
      <w:r w:rsidRPr="00B5723A">
        <w:rPr>
          <w:rFonts w:ascii="Arial" w:eastAsia="Calibri" w:hAnsi="Arial" w:cs="Arial"/>
          <w:lang w:val="es-ES"/>
        </w:rPr>
        <w:t>Las brigadas de campo son conformadas de acuerdo a la metodología empleada para el levantamiento catastral.</w:t>
      </w:r>
    </w:p>
    <w:p w:rsidR="00B5723A" w:rsidRPr="00B5723A" w:rsidRDefault="00B5723A" w:rsidP="00B5723A">
      <w:pPr>
        <w:spacing w:after="0" w:line="240" w:lineRule="auto"/>
        <w:jc w:val="both"/>
        <w:rPr>
          <w:rFonts w:ascii="Arial" w:eastAsia="Calibri" w:hAnsi="Arial" w:cs="Arial"/>
          <w:lang w:val="es-ES"/>
        </w:rPr>
      </w:pPr>
    </w:p>
    <w:p w:rsidR="00B5723A" w:rsidRPr="00D83E45" w:rsidRDefault="00B5723A" w:rsidP="00D83E45">
      <w:pPr>
        <w:spacing w:after="0" w:line="240" w:lineRule="auto"/>
        <w:ind w:left="3119" w:hanging="992"/>
        <w:jc w:val="both"/>
        <w:rPr>
          <w:rFonts w:ascii="Arial" w:eastAsia="Calibri" w:hAnsi="Arial" w:cs="Arial"/>
          <w:b/>
          <w:lang w:val="es-ES"/>
        </w:rPr>
      </w:pPr>
      <w:r w:rsidRPr="00D83E45">
        <w:rPr>
          <w:rFonts w:ascii="Arial" w:eastAsia="Calibri" w:hAnsi="Arial" w:cs="Arial"/>
          <w:b/>
          <w:lang w:val="es-ES"/>
        </w:rPr>
        <w:t>6.2.3.1 METODO INDIRECTO</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D83E45">
      <w:pPr>
        <w:spacing w:after="0" w:line="240" w:lineRule="auto"/>
        <w:ind w:left="2977"/>
        <w:jc w:val="both"/>
        <w:rPr>
          <w:rFonts w:ascii="Arial" w:eastAsia="Calibri" w:hAnsi="Arial" w:cs="Arial"/>
          <w:lang w:val="es-ES"/>
        </w:rPr>
      </w:pPr>
      <w:r w:rsidRPr="00B5723A">
        <w:rPr>
          <w:rFonts w:ascii="Arial" w:eastAsia="Calibri" w:hAnsi="Arial" w:cs="Arial"/>
          <w:lang w:val="es-ES"/>
        </w:rPr>
        <w:t>El método indirecto no requiere de brigadas de campo tan especializadas, ni tan numerosas como el método directo ya que tiene menos exigencias cuantitativas y cualitativas en sus brigadas de campo. En la utilización de este método se debe contar por lo menos con:</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D83E45">
      <w:pPr>
        <w:spacing w:after="0" w:line="240" w:lineRule="auto"/>
        <w:ind w:left="3544" w:hanging="567"/>
        <w:jc w:val="both"/>
        <w:rPr>
          <w:rFonts w:ascii="Arial" w:eastAsia="Calibri" w:hAnsi="Arial" w:cs="Arial"/>
          <w:lang w:val="es-ES"/>
        </w:rPr>
      </w:pPr>
      <w:r w:rsidRPr="00B5723A">
        <w:rPr>
          <w:rFonts w:ascii="Arial" w:eastAsia="Calibri" w:hAnsi="Arial" w:cs="Arial"/>
          <w:lang w:val="es-ES"/>
        </w:rPr>
        <w:t xml:space="preserve">* </w:t>
      </w:r>
      <w:r w:rsidR="00D83E45">
        <w:rPr>
          <w:rFonts w:ascii="Arial" w:eastAsia="Calibri" w:hAnsi="Arial" w:cs="Arial"/>
          <w:lang w:val="es-ES"/>
        </w:rPr>
        <w:tab/>
      </w:r>
      <w:r w:rsidRPr="00B5723A">
        <w:rPr>
          <w:rFonts w:ascii="Arial" w:eastAsia="Calibri" w:hAnsi="Arial" w:cs="Arial"/>
          <w:lang w:val="es-ES"/>
        </w:rPr>
        <w:t>Un técnico catastral</w:t>
      </w:r>
    </w:p>
    <w:p w:rsidR="00B5723A" w:rsidRPr="00B5723A" w:rsidRDefault="00B5723A" w:rsidP="00D83E45">
      <w:pPr>
        <w:spacing w:after="0" w:line="240" w:lineRule="auto"/>
        <w:ind w:left="3544" w:hanging="567"/>
        <w:jc w:val="both"/>
        <w:rPr>
          <w:rFonts w:ascii="Arial" w:eastAsia="Calibri" w:hAnsi="Arial" w:cs="Arial"/>
          <w:lang w:val="es-ES"/>
        </w:rPr>
      </w:pPr>
      <w:r w:rsidRPr="00B5723A">
        <w:rPr>
          <w:rFonts w:ascii="Arial" w:eastAsia="Calibri" w:hAnsi="Arial" w:cs="Arial"/>
          <w:lang w:val="es-ES"/>
        </w:rPr>
        <w:t xml:space="preserve">* </w:t>
      </w:r>
      <w:r w:rsidR="00D83E45">
        <w:rPr>
          <w:rFonts w:ascii="Arial" w:eastAsia="Calibri" w:hAnsi="Arial" w:cs="Arial"/>
          <w:lang w:val="es-ES"/>
        </w:rPr>
        <w:tab/>
      </w:r>
      <w:r w:rsidRPr="00B5723A">
        <w:rPr>
          <w:rFonts w:ascii="Arial" w:eastAsia="Calibri" w:hAnsi="Arial" w:cs="Arial"/>
          <w:lang w:val="es-ES"/>
        </w:rPr>
        <w:t>Un abogado</w:t>
      </w:r>
    </w:p>
    <w:p w:rsidR="00B5723A" w:rsidRPr="00B5723A" w:rsidRDefault="00B5723A" w:rsidP="00B5723A">
      <w:pPr>
        <w:spacing w:after="0" w:line="240" w:lineRule="auto"/>
        <w:jc w:val="both"/>
        <w:rPr>
          <w:rFonts w:ascii="Arial" w:eastAsia="Calibri" w:hAnsi="Arial" w:cs="Arial"/>
          <w:lang w:val="es-ES"/>
        </w:rPr>
      </w:pPr>
    </w:p>
    <w:p w:rsidR="00B5723A" w:rsidRPr="00D83E45" w:rsidRDefault="00B5723A" w:rsidP="00D83E45">
      <w:pPr>
        <w:spacing w:after="0" w:line="240" w:lineRule="auto"/>
        <w:ind w:left="2835" w:hanging="708"/>
        <w:jc w:val="both"/>
        <w:rPr>
          <w:rFonts w:ascii="Arial" w:eastAsia="Calibri" w:hAnsi="Arial" w:cs="Arial"/>
          <w:b/>
          <w:lang w:val="es-ES"/>
        </w:rPr>
      </w:pPr>
      <w:r w:rsidRPr="00D83E45">
        <w:rPr>
          <w:rFonts w:ascii="Arial" w:eastAsia="Calibri" w:hAnsi="Arial" w:cs="Arial"/>
          <w:b/>
          <w:lang w:val="es-ES"/>
        </w:rPr>
        <w:t>6.2.3.2 METODO DIRECTO</w:t>
      </w:r>
    </w:p>
    <w:p w:rsidR="00B5723A" w:rsidRPr="00B5723A" w:rsidRDefault="00B5723A" w:rsidP="00B5723A">
      <w:pPr>
        <w:spacing w:after="0" w:line="240" w:lineRule="auto"/>
        <w:jc w:val="both"/>
        <w:rPr>
          <w:rFonts w:ascii="Arial" w:eastAsia="Calibri" w:hAnsi="Arial" w:cs="Arial"/>
          <w:lang w:val="es-ES"/>
        </w:rPr>
      </w:pPr>
    </w:p>
    <w:p w:rsidR="00B5723A" w:rsidRPr="00D83E45" w:rsidRDefault="00B5723A" w:rsidP="00D83E45">
      <w:pPr>
        <w:spacing w:after="0" w:line="240" w:lineRule="auto"/>
        <w:ind w:left="2835"/>
        <w:jc w:val="both"/>
        <w:rPr>
          <w:rFonts w:ascii="Arial" w:eastAsia="Calibri" w:hAnsi="Arial" w:cs="Arial"/>
          <w:b/>
          <w:lang w:val="es-ES"/>
        </w:rPr>
      </w:pPr>
      <w:r w:rsidRPr="00D83E45">
        <w:rPr>
          <w:rFonts w:ascii="Arial" w:eastAsia="Calibri" w:hAnsi="Arial" w:cs="Arial"/>
          <w:b/>
          <w:lang w:val="es-ES"/>
        </w:rPr>
        <w:t>6.2.3.2.1 INSTRUMENTOS GEODÉSICOS (GNSS)</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D83E45">
      <w:pPr>
        <w:spacing w:after="0" w:line="240" w:lineRule="auto"/>
        <w:ind w:left="3686"/>
        <w:jc w:val="both"/>
        <w:rPr>
          <w:rFonts w:ascii="Arial" w:eastAsia="Calibri" w:hAnsi="Arial" w:cs="Arial"/>
          <w:lang w:val="es-ES"/>
        </w:rPr>
      </w:pPr>
      <w:r w:rsidRPr="00B5723A">
        <w:rPr>
          <w:rFonts w:ascii="Arial" w:eastAsia="Calibri" w:hAnsi="Arial" w:cs="Arial"/>
          <w:lang w:val="es-ES"/>
        </w:rPr>
        <w:t>Este método requiere por lo menos de un técnico catastral y un asistente, si se usa un equipo geodésico, decimétrico o submétrico</w:t>
      </w:r>
      <w:r w:rsidR="00D83E45">
        <w:rPr>
          <w:rFonts w:ascii="Arial" w:eastAsia="Calibri" w:hAnsi="Arial" w:cs="Arial"/>
          <w:lang w:val="es-ES"/>
        </w:rPr>
        <w:t>.</w:t>
      </w:r>
    </w:p>
    <w:p w:rsidR="00B5723A" w:rsidRPr="00B5723A" w:rsidRDefault="00B5723A" w:rsidP="00B5723A">
      <w:pPr>
        <w:spacing w:after="0" w:line="240" w:lineRule="auto"/>
        <w:jc w:val="both"/>
        <w:rPr>
          <w:rFonts w:ascii="Arial" w:eastAsia="Calibri" w:hAnsi="Arial" w:cs="Arial"/>
          <w:lang w:val="es-ES"/>
        </w:rPr>
      </w:pPr>
    </w:p>
    <w:p w:rsidR="00B5723A" w:rsidRPr="00D83E45" w:rsidRDefault="00B5723A" w:rsidP="00D83E45">
      <w:pPr>
        <w:spacing w:after="0" w:line="240" w:lineRule="auto"/>
        <w:ind w:left="2835"/>
        <w:jc w:val="both"/>
        <w:rPr>
          <w:rFonts w:ascii="Arial" w:eastAsia="Calibri" w:hAnsi="Arial" w:cs="Arial"/>
          <w:b/>
          <w:lang w:val="es-ES"/>
        </w:rPr>
      </w:pPr>
      <w:r w:rsidRPr="00D83E45">
        <w:rPr>
          <w:rFonts w:ascii="Arial" w:eastAsia="Calibri" w:hAnsi="Arial" w:cs="Arial"/>
          <w:b/>
          <w:lang w:val="es-ES"/>
        </w:rPr>
        <w:t>6.2.3.2.2 INSTRUMENTOS TOPOGRÁFICOS (ESTACION TOTAL)</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D83E45">
      <w:pPr>
        <w:spacing w:after="0" w:line="240" w:lineRule="auto"/>
        <w:ind w:left="3686"/>
        <w:jc w:val="both"/>
        <w:rPr>
          <w:rFonts w:ascii="Arial" w:eastAsia="Calibri" w:hAnsi="Arial" w:cs="Arial"/>
          <w:lang w:val="es-ES"/>
        </w:rPr>
      </w:pPr>
      <w:r w:rsidRPr="00B5723A">
        <w:rPr>
          <w:rFonts w:ascii="Arial" w:eastAsia="Calibri" w:hAnsi="Arial" w:cs="Arial"/>
          <w:lang w:val="es-ES"/>
        </w:rPr>
        <w:t>Este método requiere de un técnico catastral y por lo menos de 2 a 3 asistentes.</w:t>
      </w:r>
    </w:p>
    <w:p w:rsidR="00B5723A" w:rsidRPr="00B5723A" w:rsidRDefault="00B5723A" w:rsidP="00B5723A">
      <w:pPr>
        <w:spacing w:after="0" w:line="240" w:lineRule="auto"/>
        <w:jc w:val="both"/>
        <w:rPr>
          <w:rFonts w:ascii="Arial" w:eastAsia="Calibri" w:hAnsi="Arial" w:cs="Arial"/>
          <w:lang w:val="es-ES"/>
        </w:rPr>
      </w:pPr>
    </w:p>
    <w:p w:rsidR="00B5723A" w:rsidRPr="00D83E45" w:rsidRDefault="00B5723A" w:rsidP="00D83E45">
      <w:pPr>
        <w:spacing w:after="0" w:line="240" w:lineRule="auto"/>
        <w:ind w:left="2127" w:hanging="993"/>
        <w:jc w:val="both"/>
        <w:rPr>
          <w:rFonts w:ascii="Arial" w:eastAsia="Calibri" w:hAnsi="Arial" w:cs="Arial"/>
          <w:b/>
          <w:lang w:val="es-ES"/>
        </w:rPr>
      </w:pPr>
      <w:r w:rsidRPr="00D83E45">
        <w:rPr>
          <w:rFonts w:ascii="Arial" w:eastAsia="Calibri" w:hAnsi="Arial" w:cs="Arial"/>
          <w:b/>
          <w:lang w:val="es-ES"/>
        </w:rPr>
        <w:t xml:space="preserve">6.2.4 </w:t>
      </w:r>
      <w:r w:rsidR="00D83E45">
        <w:rPr>
          <w:rFonts w:ascii="Arial" w:eastAsia="Calibri" w:hAnsi="Arial" w:cs="Arial"/>
          <w:b/>
          <w:lang w:val="es-ES"/>
        </w:rPr>
        <w:tab/>
      </w:r>
      <w:r w:rsidRPr="00D83E45">
        <w:rPr>
          <w:rFonts w:ascii="Arial" w:eastAsia="Calibri" w:hAnsi="Arial" w:cs="Arial"/>
          <w:b/>
          <w:lang w:val="es-ES"/>
        </w:rPr>
        <w:t>FUNCIONES Y PERFIL DEL PERSONAL DE LAS BRIGADAS DE CAMPO</w:t>
      </w:r>
    </w:p>
    <w:p w:rsidR="00B5723A" w:rsidRPr="00B5723A" w:rsidRDefault="00B5723A" w:rsidP="00B5723A">
      <w:pPr>
        <w:spacing w:after="0" w:line="240" w:lineRule="auto"/>
        <w:jc w:val="both"/>
        <w:rPr>
          <w:rFonts w:ascii="Arial" w:eastAsia="Calibri" w:hAnsi="Arial" w:cs="Arial"/>
          <w:lang w:val="es-ES"/>
        </w:rPr>
      </w:pPr>
    </w:p>
    <w:p w:rsidR="00B5723A" w:rsidRPr="00D83E45" w:rsidRDefault="00B5723A" w:rsidP="00D83E45">
      <w:pPr>
        <w:spacing w:after="0" w:line="240" w:lineRule="auto"/>
        <w:ind w:left="2127"/>
        <w:jc w:val="both"/>
        <w:rPr>
          <w:rFonts w:ascii="Arial" w:eastAsia="Calibri" w:hAnsi="Arial" w:cs="Arial"/>
          <w:b/>
          <w:lang w:val="es-ES"/>
        </w:rPr>
      </w:pPr>
      <w:r w:rsidRPr="00D83E45">
        <w:rPr>
          <w:rFonts w:ascii="Arial" w:eastAsia="Calibri" w:hAnsi="Arial" w:cs="Arial"/>
          <w:b/>
          <w:lang w:val="es-ES"/>
        </w:rPr>
        <w:t>6.2.1.1 Técnico Catastral</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D83E45">
      <w:pPr>
        <w:spacing w:after="0" w:line="240" w:lineRule="auto"/>
        <w:ind w:left="2977"/>
        <w:jc w:val="both"/>
        <w:rPr>
          <w:rFonts w:ascii="Arial" w:eastAsia="Calibri" w:hAnsi="Arial" w:cs="Arial"/>
          <w:lang w:val="es-ES"/>
        </w:rPr>
      </w:pPr>
      <w:r w:rsidRPr="00B5723A">
        <w:rPr>
          <w:rFonts w:ascii="Arial" w:eastAsia="Calibri" w:hAnsi="Arial" w:cs="Arial"/>
          <w:lang w:val="es-ES"/>
        </w:rPr>
        <w:t>Personal capacitado para llevar a cabo el levantamiento catastral, tanto en el caso de método directo como indirecto, debiendo recoger y verificar los datos relativos a los inmuebles, ciñéndose a las indicaciones que se establecen en esta Directiva.</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D83E45">
      <w:pPr>
        <w:spacing w:after="0" w:line="240" w:lineRule="auto"/>
        <w:ind w:left="2977"/>
        <w:jc w:val="both"/>
        <w:rPr>
          <w:rFonts w:ascii="Arial" w:eastAsia="Calibri" w:hAnsi="Arial" w:cs="Arial"/>
          <w:lang w:val="es-ES"/>
        </w:rPr>
      </w:pPr>
      <w:r w:rsidRPr="00B5723A">
        <w:rPr>
          <w:rFonts w:ascii="Arial" w:eastAsia="Calibri" w:hAnsi="Arial" w:cs="Arial"/>
          <w:lang w:val="es-ES"/>
        </w:rPr>
        <w:t>Funciones:</w:t>
      </w:r>
    </w:p>
    <w:p w:rsidR="00B5723A" w:rsidRPr="00B5723A" w:rsidRDefault="00B5723A" w:rsidP="00D83E45">
      <w:pPr>
        <w:spacing w:after="0" w:line="240" w:lineRule="auto"/>
        <w:ind w:left="2977"/>
        <w:jc w:val="both"/>
        <w:rPr>
          <w:rFonts w:ascii="Arial" w:eastAsia="Calibri" w:hAnsi="Arial" w:cs="Arial"/>
          <w:lang w:val="es-ES"/>
        </w:rPr>
      </w:pPr>
      <w:r w:rsidRPr="00B5723A">
        <w:rPr>
          <w:rFonts w:ascii="Arial" w:eastAsia="Calibri" w:hAnsi="Arial" w:cs="Arial"/>
          <w:lang w:val="es-ES"/>
        </w:rPr>
        <w:t>Las funciones que realiza son:</w:t>
      </w:r>
    </w:p>
    <w:p w:rsidR="00D83E45" w:rsidRDefault="00D83E45" w:rsidP="00D83E45">
      <w:pPr>
        <w:spacing w:after="0" w:line="240" w:lineRule="auto"/>
        <w:ind w:left="2977"/>
        <w:jc w:val="both"/>
        <w:rPr>
          <w:rFonts w:ascii="Arial" w:eastAsia="Calibri" w:hAnsi="Arial" w:cs="Arial"/>
          <w:lang w:val="es-ES"/>
        </w:rPr>
      </w:pPr>
    </w:p>
    <w:p w:rsidR="00B5723A" w:rsidRPr="00B5723A" w:rsidRDefault="00B5723A" w:rsidP="000F65EA">
      <w:pPr>
        <w:spacing w:after="0" w:line="240" w:lineRule="auto"/>
        <w:ind w:left="3544" w:hanging="425"/>
        <w:jc w:val="both"/>
        <w:rPr>
          <w:rFonts w:ascii="Arial" w:eastAsia="Calibri" w:hAnsi="Arial" w:cs="Arial"/>
          <w:lang w:val="es-ES"/>
        </w:rPr>
      </w:pPr>
      <w:r w:rsidRPr="00B5723A">
        <w:rPr>
          <w:rFonts w:ascii="Arial" w:eastAsia="Calibri" w:hAnsi="Arial" w:cs="Arial"/>
          <w:lang w:val="es-ES"/>
        </w:rPr>
        <w:t xml:space="preserve">* </w:t>
      </w:r>
      <w:r w:rsidR="000F65EA">
        <w:rPr>
          <w:rFonts w:ascii="Arial" w:eastAsia="Calibri" w:hAnsi="Arial" w:cs="Arial"/>
          <w:lang w:val="es-ES"/>
        </w:rPr>
        <w:tab/>
      </w:r>
      <w:r w:rsidRPr="00B5723A">
        <w:rPr>
          <w:rFonts w:ascii="Arial" w:eastAsia="Calibri" w:hAnsi="Arial" w:cs="Arial"/>
          <w:lang w:val="es-ES"/>
        </w:rPr>
        <w:t>Revisar el material gráfico (ortofotos y cartografía) y de empadronamiento (fichas) que se le entrega</w:t>
      </w:r>
    </w:p>
    <w:p w:rsidR="00B5723A" w:rsidRPr="00B5723A" w:rsidRDefault="00B5723A" w:rsidP="000F65EA">
      <w:pPr>
        <w:spacing w:after="0" w:line="240" w:lineRule="auto"/>
        <w:ind w:left="3544" w:hanging="425"/>
        <w:jc w:val="both"/>
        <w:rPr>
          <w:rFonts w:ascii="Arial" w:eastAsia="Calibri" w:hAnsi="Arial" w:cs="Arial"/>
          <w:lang w:val="es-ES"/>
        </w:rPr>
      </w:pPr>
    </w:p>
    <w:p w:rsidR="00B5723A" w:rsidRPr="00B5723A" w:rsidRDefault="00B5723A" w:rsidP="000F65EA">
      <w:pPr>
        <w:spacing w:after="0" w:line="240" w:lineRule="auto"/>
        <w:ind w:left="3544" w:hanging="425"/>
        <w:jc w:val="both"/>
        <w:rPr>
          <w:rFonts w:ascii="Arial" w:eastAsia="Calibri" w:hAnsi="Arial" w:cs="Arial"/>
          <w:lang w:val="es-ES"/>
        </w:rPr>
      </w:pPr>
      <w:r w:rsidRPr="00B5723A">
        <w:rPr>
          <w:rFonts w:ascii="Arial" w:eastAsia="Calibri" w:hAnsi="Arial" w:cs="Arial"/>
          <w:lang w:val="es-ES"/>
        </w:rPr>
        <w:t xml:space="preserve">* </w:t>
      </w:r>
      <w:r w:rsidR="000F65EA">
        <w:rPr>
          <w:rFonts w:ascii="Arial" w:eastAsia="Calibri" w:hAnsi="Arial" w:cs="Arial"/>
          <w:lang w:val="es-ES"/>
        </w:rPr>
        <w:tab/>
      </w:r>
      <w:r w:rsidRPr="00B5723A">
        <w:rPr>
          <w:rFonts w:ascii="Arial" w:eastAsia="Calibri" w:hAnsi="Arial" w:cs="Arial"/>
          <w:lang w:val="es-ES"/>
        </w:rPr>
        <w:t>Delimitar, ratificar o rectificar los linderos restituidos de los inmuebles en las ortofotos y cartografía.</w:t>
      </w:r>
    </w:p>
    <w:p w:rsidR="00B5723A" w:rsidRPr="00B5723A" w:rsidRDefault="00B5723A" w:rsidP="000F65EA">
      <w:pPr>
        <w:spacing w:after="0" w:line="240" w:lineRule="auto"/>
        <w:ind w:left="3544" w:hanging="425"/>
        <w:jc w:val="both"/>
        <w:rPr>
          <w:rFonts w:ascii="Arial" w:eastAsia="Calibri" w:hAnsi="Arial" w:cs="Arial"/>
          <w:lang w:val="es-ES"/>
        </w:rPr>
      </w:pPr>
    </w:p>
    <w:p w:rsidR="00B5723A" w:rsidRPr="00B5723A" w:rsidRDefault="00B5723A" w:rsidP="000F65EA">
      <w:pPr>
        <w:spacing w:after="0" w:line="240" w:lineRule="auto"/>
        <w:ind w:left="3544" w:hanging="425"/>
        <w:jc w:val="both"/>
        <w:rPr>
          <w:rFonts w:ascii="Arial" w:eastAsia="Calibri" w:hAnsi="Arial" w:cs="Arial"/>
          <w:lang w:val="es-ES"/>
        </w:rPr>
      </w:pPr>
      <w:r w:rsidRPr="00B5723A">
        <w:rPr>
          <w:rFonts w:ascii="Arial" w:eastAsia="Calibri" w:hAnsi="Arial" w:cs="Arial"/>
          <w:lang w:val="es-ES"/>
        </w:rPr>
        <w:t xml:space="preserve">* </w:t>
      </w:r>
      <w:r w:rsidR="000F65EA">
        <w:rPr>
          <w:rFonts w:ascii="Arial" w:eastAsia="Calibri" w:hAnsi="Arial" w:cs="Arial"/>
          <w:lang w:val="es-ES"/>
        </w:rPr>
        <w:tab/>
      </w:r>
      <w:r w:rsidRPr="00B5723A">
        <w:rPr>
          <w:rFonts w:ascii="Arial" w:eastAsia="Calibri" w:hAnsi="Arial" w:cs="Arial"/>
          <w:lang w:val="es-ES"/>
        </w:rPr>
        <w:t>Llenar la ficha técnica catastral de acuerdo a las especificaciones indicadas en esta Directiva.</w:t>
      </w:r>
    </w:p>
    <w:p w:rsidR="00B5723A" w:rsidRPr="00B5723A" w:rsidRDefault="00B5723A" w:rsidP="000F65EA">
      <w:pPr>
        <w:spacing w:after="0" w:line="240" w:lineRule="auto"/>
        <w:ind w:left="3544" w:hanging="425"/>
        <w:jc w:val="both"/>
        <w:rPr>
          <w:rFonts w:ascii="Arial" w:eastAsia="Calibri" w:hAnsi="Arial" w:cs="Arial"/>
          <w:lang w:val="es-ES"/>
        </w:rPr>
      </w:pPr>
    </w:p>
    <w:p w:rsidR="00B5723A" w:rsidRPr="00B5723A" w:rsidRDefault="00B5723A" w:rsidP="000F65EA">
      <w:pPr>
        <w:spacing w:after="0" w:line="240" w:lineRule="auto"/>
        <w:ind w:left="3544" w:hanging="425"/>
        <w:jc w:val="both"/>
        <w:rPr>
          <w:rFonts w:ascii="Arial" w:eastAsia="Calibri" w:hAnsi="Arial" w:cs="Arial"/>
          <w:lang w:val="es-ES"/>
        </w:rPr>
      </w:pPr>
      <w:r w:rsidRPr="00B5723A">
        <w:rPr>
          <w:rFonts w:ascii="Arial" w:eastAsia="Calibri" w:hAnsi="Arial" w:cs="Arial"/>
          <w:lang w:val="es-ES"/>
        </w:rPr>
        <w:t xml:space="preserve">* </w:t>
      </w:r>
      <w:r w:rsidR="000F65EA">
        <w:rPr>
          <w:rFonts w:ascii="Arial" w:eastAsia="Calibri" w:hAnsi="Arial" w:cs="Arial"/>
          <w:lang w:val="es-ES"/>
        </w:rPr>
        <w:tab/>
      </w:r>
      <w:r w:rsidRPr="00B5723A">
        <w:rPr>
          <w:rFonts w:ascii="Arial" w:eastAsia="Calibri" w:hAnsi="Arial" w:cs="Arial"/>
          <w:lang w:val="es-ES"/>
        </w:rPr>
        <w:t>Definir el uso del inmueble al realizar la inspección.</w:t>
      </w:r>
    </w:p>
    <w:p w:rsidR="00B5723A" w:rsidRPr="00B5723A" w:rsidRDefault="00B5723A" w:rsidP="00D83E45">
      <w:pPr>
        <w:spacing w:after="0" w:line="240" w:lineRule="auto"/>
        <w:ind w:left="2977"/>
        <w:jc w:val="both"/>
        <w:rPr>
          <w:rFonts w:ascii="Arial" w:eastAsia="Calibri" w:hAnsi="Arial" w:cs="Arial"/>
          <w:lang w:val="es-ES"/>
        </w:rPr>
      </w:pPr>
    </w:p>
    <w:p w:rsidR="00B5723A" w:rsidRPr="00B5723A" w:rsidRDefault="00B5723A" w:rsidP="00D83E45">
      <w:pPr>
        <w:spacing w:after="0" w:line="240" w:lineRule="auto"/>
        <w:ind w:left="2977"/>
        <w:jc w:val="both"/>
        <w:rPr>
          <w:rFonts w:ascii="Arial" w:eastAsia="Calibri" w:hAnsi="Arial" w:cs="Arial"/>
          <w:lang w:val="es-ES"/>
        </w:rPr>
      </w:pPr>
      <w:r w:rsidRPr="00B5723A">
        <w:rPr>
          <w:rFonts w:ascii="Arial" w:eastAsia="Calibri" w:hAnsi="Arial" w:cs="Arial"/>
          <w:lang w:val="es-ES"/>
        </w:rPr>
        <w:t>Perfil:</w:t>
      </w:r>
    </w:p>
    <w:p w:rsidR="000F65EA" w:rsidRDefault="000F65EA" w:rsidP="00D83E45">
      <w:pPr>
        <w:spacing w:after="0" w:line="240" w:lineRule="auto"/>
        <w:ind w:left="2977"/>
        <w:jc w:val="both"/>
        <w:rPr>
          <w:rFonts w:ascii="Arial" w:eastAsia="Calibri" w:hAnsi="Arial" w:cs="Arial"/>
          <w:lang w:val="es-ES"/>
        </w:rPr>
      </w:pPr>
    </w:p>
    <w:p w:rsidR="00B5723A" w:rsidRPr="00B5723A" w:rsidRDefault="00B5723A" w:rsidP="000F65EA">
      <w:pPr>
        <w:spacing w:after="0" w:line="240" w:lineRule="auto"/>
        <w:ind w:left="3544" w:hanging="425"/>
        <w:jc w:val="both"/>
        <w:rPr>
          <w:rFonts w:ascii="Arial" w:eastAsia="Calibri" w:hAnsi="Arial" w:cs="Arial"/>
          <w:lang w:val="es-ES"/>
        </w:rPr>
      </w:pPr>
      <w:r w:rsidRPr="00B5723A">
        <w:rPr>
          <w:rFonts w:ascii="Arial" w:eastAsia="Calibri" w:hAnsi="Arial" w:cs="Arial"/>
          <w:lang w:val="es-ES"/>
        </w:rPr>
        <w:t xml:space="preserve">* </w:t>
      </w:r>
      <w:r w:rsidR="000F65EA">
        <w:rPr>
          <w:rFonts w:ascii="Arial" w:eastAsia="Calibri" w:hAnsi="Arial" w:cs="Arial"/>
          <w:lang w:val="es-ES"/>
        </w:rPr>
        <w:tab/>
      </w:r>
      <w:r w:rsidRPr="00B5723A">
        <w:rPr>
          <w:rFonts w:ascii="Arial" w:eastAsia="Calibri" w:hAnsi="Arial" w:cs="Arial"/>
          <w:lang w:val="es-ES"/>
        </w:rPr>
        <w:t>Ingeniero, Arquitecto o profesiones afines, colegiado.</w:t>
      </w:r>
    </w:p>
    <w:p w:rsidR="00B5723A" w:rsidRPr="00B5723A" w:rsidRDefault="00B5723A" w:rsidP="000F65EA">
      <w:pPr>
        <w:spacing w:after="0" w:line="240" w:lineRule="auto"/>
        <w:ind w:left="3544" w:hanging="425"/>
        <w:jc w:val="both"/>
        <w:rPr>
          <w:rFonts w:ascii="Arial" w:eastAsia="Calibri" w:hAnsi="Arial" w:cs="Arial"/>
          <w:lang w:val="es-ES"/>
        </w:rPr>
      </w:pPr>
    </w:p>
    <w:p w:rsidR="00B5723A" w:rsidRPr="00B5723A" w:rsidRDefault="00B5723A" w:rsidP="000F65EA">
      <w:pPr>
        <w:spacing w:after="0" w:line="240" w:lineRule="auto"/>
        <w:ind w:left="3544" w:hanging="425"/>
        <w:jc w:val="both"/>
        <w:rPr>
          <w:rFonts w:ascii="Arial" w:eastAsia="Calibri" w:hAnsi="Arial" w:cs="Arial"/>
          <w:lang w:val="es-ES"/>
        </w:rPr>
      </w:pPr>
      <w:r w:rsidRPr="00B5723A">
        <w:rPr>
          <w:rFonts w:ascii="Arial" w:eastAsia="Calibri" w:hAnsi="Arial" w:cs="Arial"/>
          <w:lang w:val="es-ES"/>
        </w:rPr>
        <w:t xml:space="preserve">* </w:t>
      </w:r>
      <w:r w:rsidR="000F65EA">
        <w:rPr>
          <w:rFonts w:ascii="Arial" w:eastAsia="Calibri" w:hAnsi="Arial" w:cs="Arial"/>
          <w:lang w:val="es-ES"/>
        </w:rPr>
        <w:tab/>
      </w:r>
      <w:r w:rsidRPr="00B5723A">
        <w:rPr>
          <w:rFonts w:ascii="Arial" w:eastAsia="Calibri" w:hAnsi="Arial" w:cs="Arial"/>
          <w:lang w:val="es-ES"/>
        </w:rPr>
        <w:t>Experiencia en actividades de levantamiento información en campo</w:t>
      </w:r>
    </w:p>
    <w:p w:rsidR="00B5723A" w:rsidRPr="00B5723A" w:rsidRDefault="00B5723A" w:rsidP="000F65EA">
      <w:pPr>
        <w:spacing w:after="0" w:line="240" w:lineRule="auto"/>
        <w:ind w:left="3544" w:hanging="425"/>
        <w:jc w:val="both"/>
        <w:rPr>
          <w:rFonts w:ascii="Arial" w:eastAsia="Calibri" w:hAnsi="Arial" w:cs="Arial"/>
          <w:lang w:val="es-ES"/>
        </w:rPr>
      </w:pPr>
    </w:p>
    <w:p w:rsidR="00B5723A" w:rsidRPr="00B5723A" w:rsidRDefault="00B5723A" w:rsidP="000F65EA">
      <w:pPr>
        <w:spacing w:after="0" w:line="240" w:lineRule="auto"/>
        <w:ind w:left="3544" w:hanging="425"/>
        <w:jc w:val="both"/>
        <w:rPr>
          <w:rFonts w:ascii="Arial" w:eastAsia="Calibri" w:hAnsi="Arial" w:cs="Arial"/>
          <w:lang w:val="es-ES"/>
        </w:rPr>
      </w:pPr>
      <w:r w:rsidRPr="00B5723A">
        <w:rPr>
          <w:rFonts w:ascii="Arial" w:eastAsia="Calibri" w:hAnsi="Arial" w:cs="Arial"/>
          <w:lang w:val="es-ES"/>
        </w:rPr>
        <w:t xml:space="preserve">* </w:t>
      </w:r>
      <w:r w:rsidR="000F65EA">
        <w:rPr>
          <w:rFonts w:ascii="Arial" w:eastAsia="Calibri" w:hAnsi="Arial" w:cs="Arial"/>
          <w:lang w:val="es-ES"/>
        </w:rPr>
        <w:tab/>
      </w:r>
      <w:r w:rsidRPr="00B5723A">
        <w:rPr>
          <w:rFonts w:ascii="Arial" w:eastAsia="Calibri" w:hAnsi="Arial" w:cs="Arial"/>
          <w:lang w:val="es-ES"/>
        </w:rPr>
        <w:t>Experiencia en fotointerpretación de fotografías aéreas</w:t>
      </w:r>
    </w:p>
    <w:p w:rsidR="00B5723A" w:rsidRPr="00B5723A" w:rsidRDefault="00B5723A" w:rsidP="000F65EA">
      <w:pPr>
        <w:spacing w:after="0" w:line="240" w:lineRule="auto"/>
        <w:ind w:left="3544" w:hanging="425"/>
        <w:jc w:val="both"/>
        <w:rPr>
          <w:rFonts w:ascii="Arial" w:eastAsia="Calibri" w:hAnsi="Arial" w:cs="Arial"/>
          <w:lang w:val="es-ES"/>
        </w:rPr>
      </w:pPr>
    </w:p>
    <w:p w:rsidR="00B5723A" w:rsidRPr="00B5723A" w:rsidRDefault="00B5723A" w:rsidP="000F65EA">
      <w:pPr>
        <w:spacing w:after="0" w:line="240" w:lineRule="auto"/>
        <w:ind w:left="3544" w:hanging="425"/>
        <w:jc w:val="both"/>
        <w:rPr>
          <w:rFonts w:ascii="Arial" w:eastAsia="Calibri" w:hAnsi="Arial" w:cs="Arial"/>
          <w:lang w:val="es-ES"/>
        </w:rPr>
      </w:pPr>
      <w:r w:rsidRPr="00B5723A">
        <w:rPr>
          <w:rFonts w:ascii="Arial" w:eastAsia="Calibri" w:hAnsi="Arial" w:cs="Arial"/>
          <w:lang w:val="es-ES"/>
        </w:rPr>
        <w:t xml:space="preserve">* </w:t>
      </w:r>
      <w:r w:rsidR="000F65EA">
        <w:rPr>
          <w:rFonts w:ascii="Arial" w:eastAsia="Calibri" w:hAnsi="Arial" w:cs="Arial"/>
          <w:lang w:val="es-ES"/>
        </w:rPr>
        <w:tab/>
      </w:r>
      <w:r w:rsidRPr="00B5723A">
        <w:rPr>
          <w:rFonts w:ascii="Arial" w:eastAsia="Calibri" w:hAnsi="Arial" w:cs="Arial"/>
          <w:lang w:val="es-ES"/>
        </w:rPr>
        <w:t>Experiencia en manejo de equipos GNSS o Estación Total</w:t>
      </w:r>
    </w:p>
    <w:p w:rsidR="00B5723A" w:rsidRPr="00B5723A" w:rsidRDefault="00B5723A" w:rsidP="00B5723A">
      <w:pPr>
        <w:spacing w:after="0" w:line="240" w:lineRule="auto"/>
        <w:jc w:val="both"/>
        <w:rPr>
          <w:rFonts w:ascii="Arial" w:eastAsia="Calibri" w:hAnsi="Arial" w:cs="Arial"/>
          <w:lang w:val="es-ES"/>
        </w:rPr>
      </w:pPr>
    </w:p>
    <w:p w:rsidR="00B5723A" w:rsidRPr="000F65EA" w:rsidRDefault="00B5723A" w:rsidP="000F65EA">
      <w:pPr>
        <w:spacing w:after="0" w:line="240" w:lineRule="auto"/>
        <w:ind w:left="2977" w:hanging="850"/>
        <w:jc w:val="both"/>
        <w:rPr>
          <w:rFonts w:ascii="Arial" w:eastAsia="Calibri" w:hAnsi="Arial" w:cs="Arial"/>
          <w:b/>
          <w:lang w:val="es-ES"/>
        </w:rPr>
      </w:pPr>
      <w:r w:rsidRPr="000F65EA">
        <w:rPr>
          <w:rFonts w:ascii="Arial" w:eastAsia="Calibri" w:hAnsi="Arial" w:cs="Arial"/>
          <w:b/>
          <w:lang w:val="es-ES"/>
        </w:rPr>
        <w:t xml:space="preserve">6.2.1.2 </w:t>
      </w:r>
      <w:r w:rsidR="000F65EA">
        <w:rPr>
          <w:rFonts w:ascii="Arial" w:eastAsia="Calibri" w:hAnsi="Arial" w:cs="Arial"/>
          <w:b/>
          <w:lang w:val="es-ES"/>
        </w:rPr>
        <w:tab/>
      </w:r>
      <w:r w:rsidRPr="000F65EA">
        <w:rPr>
          <w:rFonts w:ascii="Arial" w:eastAsia="Calibri" w:hAnsi="Arial" w:cs="Arial"/>
          <w:b/>
          <w:lang w:val="es-ES"/>
        </w:rPr>
        <w:t>Abogado</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0F65EA">
      <w:pPr>
        <w:spacing w:after="0" w:line="240" w:lineRule="auto"/>
        <w:ind w:left="2977"/>
        <w:jc w:val="both"/>
        <w:rPr>
          <w:rFonts w:ascii="Arial" w:eastAsia="Calibri" w:hAnsi="Arial" w:cs="Arial"/>
          <w:lang w:val="es-ES"/>
        </w:rPr>
      </w:pPr>
      <w:r w:rsidRPr="00B5723A">
        <w:rPr>
          <w:rFonts w:ascii="Arial" w:eastAsia="Calibri" w:hAnsi="Arial" w:cs="Arial"/>
          <w:lang w:val="es-ES"/>
        </w:rPr>
        <w:t>Personal capacitado para llevar a cabo las acciones legales complementarias al levantamiento catastral</w:t>
      </w:r>
    </w:p>
    <w:p w:rsidR="00B5723A" w:rsidRPr="00B5723A" w:rsidRDefault="00B5723A" w:rsidP="000F65EA">
      <w:pPr>
        <w:spacing w:after="0" w:line="240" w:lineRule="auto"/>
        <w:ind w:left="2977"/>
        <w:jc w:val="both"/>
        <w:rPr>
          <w:rFonts w:ascii="Arial" w:eastAsia="Calibri" w:hAnsi="Arial" w:cs="Arial"/>
          <w:lang w:val="es-ES"/>
        </w:rPr>
      </w:pPr>
    </w:p>
    <w:p w:rsidR="00B5723A" w:rsidRPr="00B5723A" w:rsidRDefault="00B5723A" w:rsidP="000F65EA">
      <w:pPr>
        <w:spacing w:after="0" w:line="240" w:lineRule="auto"/>
        <w:ind w:left="2977"/>
        <w:jc w:val="both"/>
        <w:rPr>
          <w:rFonts w:ascii="Arial" w:eastAsia="Calibri" w:hAnsi="Arial" w:cs="Arial"/>
          <w:lang w:val="es-ES"/>
        </w:rPr>
      </w:pPr>
      <w:r w:rsidRPr="00B5723A">
        <w:rPr>
          <w:rFonts w:ascii="Arial" w:eastAsia="Calibri" w:hAnsi="Arial" w:cs="Arial"/>
          <w:lang w:val="es-ES"/>
        </w:rPr>
        <w:t>Funciones:</w:t>
      </w:r>
    </w:p>
    <w:p w:rsidR="00B5723A" w:rsidRPr="00B5723A" w:rsidRDefault="00B5723A" w:rsidP="000F65EA">
      <w:pPr>
        <w:spacing w:after="0" w:line="240" w:lineRule="auto"/>
        <w:ind w:left="2977"/>
        <w:jc w:val="both"/>
        <w:rPr>
          <w:rFonts w:ascii="Arial" w:eastAsia="Calibri" w:hAnsi="Arial" w:cs="Arial"/>
          <w:lang w:val="es-ES"/>
        </w:rPr>
      </w:pPr>
      <w:r w:rsidRPr="00B5723A">
        <w:rPr>
          <w:rFonts w:ascii="Arial" w:eastAsia="Calibri" w:hAnsi="Arial" w:cs="Arial"/>
          <w:lang w:val="es-ES"/>
        </w:rPr>
        <w:t>Las funciones que realiza son:</w:t>
      </w:r>
    </w:p>
    <w:p w:rsidR="00B5723A" w:rsidRPr="00B5723A" w:rsidRDefault="00B5723A" w:rsidP="000F65EA">
      <w:pPr>
        <w:spacing w:after="0" w:line="240" w:lineRule="auto"/>
        <w:ind w:left="2977"/>
        <w:jc w:val="both"/>
        <w:rPr>
          <w:rFonts w:ascii="Arial" w:eastAsia="Calibri" w:hAnsi="Arial" w:cs="Arial"/>
          <w:lang w:val="es-ES"/>
        </w:rPr>
      </w:pPr>
    </w:p>
    <w:p w:rsidR="00B5723A" w:rsidRPr="00B5723A" w:rsidRDefault="00B5723A" w:rsidP="000F65EA">
      <w:pPr>
        <w:spacing w:after="0" w:line="240" w:lineRule="auto"/>
        <w:ind w:left="3544" w:hanging="567"/>
        <w:jc w:val="both"/>
        <w:rPr>
          <w:rFonts w:ascii="Arial" w:eastAsia="Calibri" w:hAnsi="Arial" w:cs="Arial"/>
          <w:lang w:val="es-ES"/>
        </w:rPr>
      </w:pPr>
      <w:r w:rsidRPr="00B5723A">
        <w:rPr>
          <w:rFonts w:ascii="Arial" w:eastAsia="Calibri" w:hAnsi="Arial" w:cs="Arial"/>
          <w:lang w:val="es-ES"/>
        </w:rPr>
        <w:t xml:space="preserve">* </w:t>
      </w:r>
      <w:r w:rsidR="000F65EA">
        <w:rPr>
          <w:rFonts w:ascii="Arial" w:eastAsia="Calibri" w:hAnsi="Arial" w:cs="Arial"/>
          <w:lang w:val="es-ES"/>
        </w:rPr>
        <w:tab/>
      </w:r>
      <w:r w:rsidRPr="00B5723A">
        <w:rPr>
          <w:rFonts w:ascii="Arial" w:eastAsia="Calibri" w:hAnsi="Arial" w:cs="Arial"/>
          <w:lang w:val="es-ES"/>
        </w:rPr>
        <w:t>Revisión de documentación y elaboración de informes legales.</w:t>
      </w:r>
    </w:p>
    <w:p w:rsidR="000F65EA" w:rsidRDefault="000F65EA" w:rsidP="000F65EA">
      <w:pPr>
        <w:spacing w:after="0" w:line="240" w:lineRule="auto"/>
        <w:ind w:left="3544" w:hanging="567"/>
        <w:jc w:val="both"/>
        <w:rPr>
          <w:rFonts w:ascii="Arial" w:eastAsia="Calibri" w:hAnsi="Arial" w:cs="Arial"/>
          <w:lang w:val="es-ES"/>
        </w:rPr>
      </w:pPr>
    </w:p>
    <w:p w:rsidR="00B5723A" w:rsidRPr="00B5723A" w:rsidRDefault="00B5723A" w:rsidP="000F65EA">
      <w:pPr>
        <w:spacing w:after="0" w:line="240" w:lineRule="auto"/>
        <w:ind w:left="3544" w:hanging="567"/>
        <w:jc w:val="both"/>
        <w:rPr>
          <w:rFonts w:ascii="Arial" w:eastAsia="Calibri" w:hAnsi="Arial" w:cs="Arial"/>
          <w:lang w:val="es-ES"/>
        </w:rPr>
      </w:pPr>
      <w:r w:rsidRPr="00B5723A">
        <w:rPr>
          <w:rFonts w:ascii="Arial" w:eastAsia="Calibri" w:hAnsi="Arial" w:cs="Arial"/>
          <w:lang w:val="es-ES"/>
        </w:rPr>
        <w:t xml:space="preserve">* </w:t>
      </w:r>
      <w:r w:rsidR="000F65EA">
        <w:rPr>
          <w:rFonts w:ascii="Arial" w:eastAsia="Calibri" w:hAnsi="Arial" w:cs="Arial"/>
          <w:lang w:val="es-ES"/>
        </w:rPr>
        <w:tab/>
        <w:t>Apoyo</w:t>
      </w:r>
      <w:r w:rsidRPr="00B5723A">
        <w:rPr>
          <w:rFonts w:ascii="Arial" w:eastAsia="Calibri" w:hAnsi="Arial" w:cs="Arial"/>
          <w:lang w:val="es-ES"/>
        </w:rPr>
        <w:t xml:space="preserve"> al técnico catastral en el llenado de la ficha técnica.</w:t>
      </w:r>
    </w:p>
    <w:p w:rsidR="00B5723A" w:rsidRPr="00B5723A" w:rsidRDefault="00B5723A" w:rsidP="000F65EA">
      <w:pPr>
        <w:spacing w:after="0" w:line="240" w:lineRule="auto"/>
        <w:ind w:left="3544" w:hanging="567"/>
        <w:jc w:val="both"/>
        <w:rPr>
          <w:rFonts w:ascii="Arial" w:eastAsia="Calibri" w:hAnsi="Arial" w:cs="Arial"/>
          <w:lang w:val="es-ES"/>
        </w:rPr>
      </w:pPr>
    </w:p>
    <w:p w:rsidR="00B5723A" w:rsidRPr="00B5723A" w:rsidRDefault="00B5723A" w:rsidP="000F65EA">
      <w:pPr>
        <w:spacing w:after="0" w:line="240" w:lineRule="auto"/>
        <w:ind w:left="3544" w:hanging="567"/>
        <w:jc w:val="both"/>
        <w:rPr>
          <w:rFonts w:ascii="Arial" w:eastAsia="Calibri" w:hAnsi="Arial" w:cs="Arial"/>
          <w:lang w:val="es-ES"/>
        </w:rPr>
      </w:pPr>
      <w:r w:rsidRPr="00B5723A">
        <w:rPr>
          <w:rFonts w:ascii="Arial" w:eastAsia="Calibri" w:hAnsi="Arial" w:cs="Arial"/>
          <w:lang w:val="es-ES"/>
        </w:rPr>
        <w:t xml:space="preserve">* </w:t>
      </w:r>
      <w:r w:rsidR="000F65EA">
        <w:rPr>
          <w:rFonts w:ascii="Arial" w:eastAsia="Calibri" w:hAnsi="Arial" w:cs="Arial"/>
          <w:lang w:val="es-ES"/>
        </w:rPr>
        <w:tab/>
      </w:r>
      <w:r w:rsidRPr="00B5723A">
        <w:rPr>
          <w:rFonts w:ascii="Arial" w:eastAsia="Calibri" w:hAnsi="Arial" w:cs="Arial"/>
          <w:lang w:val="es-ES"/>
        </w:rPr>
        <w:t>Ordenamiento de los documentos sustentatorios del estado situacional del inmueble.</w:t>
      </w:r>
    </w:p>
    <w:p w:rsidR="00B5723A" w:rsidRPr="00B5723A" w:rsidRDefault="00B5723A" w:rsidP="000F65EA">
      <w:pPr>
        <w:spacing w:after="0" w:line="240" w:lineRule="auto"/>
        <w:ind w:left="3544" w:hanging="567"/>
        <w:jc w:val="both"/>
        <w:rPr>
          <w:rFonts w:ascii="Arial" w:eastAsia="Calibri" w:hAnsi="Arial" w:cs="Arial"/>
          <w:lang w:val="es-ES"/>
        </w:rPr>
      </w:pPr>
    </w:p>
    <w:p w:rsidR="00B5723A" w:rsidRPr="00B5723A" w:rsidRDefault="00B5723A" w:rsidP="000F65EA">
      <w:pPr>
        <w:spacing w:after="0" w:line="240" w:lineRule="auto"/>
        <w:ind w:left="3544" w:hanging="567"/>
        <w:jc w:val="both"/>
        <w:rPr>
          <w:rFonts w:ascii="Arial" w:eastAsia="Calibri" w:hAnsi="Arial" w:cs="Arial"/>
          <w:lang w:val="es-ES"/>
        </w:rPr>
      </w:pPr>
      <w:r w:rsidRPr="00B5723A">
        <w:rPr>
          <w:rFonts w:ascii="Arial" w:eastAsia="Calibri" w:hAnsi="Arial" w:cs="Arial"/>
          <w:lang w:val="es-ES"/>
        </w:rPr>
        <w:t xml:space="preserve">* </w:t>
      </w:r>
      <w:r w:rsidR="000F65EA">
        <w:rPr>
          <w:rFonts w:ascii="Arial" w:eastAsia="Calibri" w:hAnsi="Arial" w:cs="Arial"/>
          <w:lang w:val="es-ES"/>
        </w:rPr>
        <w:tab/>
      </w:r>
      <w:r w:rsidRPr="00B5723A">
        <w:rPr>
          <w:rFonts w:ascii="Arial" w:eastAsia="Calibri" w:hAnsi="Arial" w:cs="Arial"/>
          <w:lang w:val="es-ES"/>
        </w:rPr>
        <w:t>Absolver consultas y orientar al personal en aspectos legales, así como, todo lo relacionado a la legislación vinculada a inmuebles estatales.</w:t>
      </w:r>
    </w:p>
    <w:p w:rsidR="00B5723A" w:rsidRPr="00B5723A" w:rsidRDefault="00B5723A" w:rsidP="000F65EA">
      <w:pPr>
        <w:spacing w:after="0" w:line="240" w:lineRule="auto"/>
        <w:ind w:left="2977"/>
        <w:jc w:val="both"/>
        <w:rPr>
          <w:rFonts w:ascii="Arial" w:eastAsia="Calibri" w:hAnsi="Arial" w:cs="Arial"/>
          <w:lang w:val="es-ES"/>
        </w:rPr>
      </w:pPr>
    </w:p>
    <w:p w:rsidR="00B5723A" w:rsidRPr="00B5723A" w:rsidRDefault="00B5723A" w:rsidP="000F65EA">
      <w:pPr>
        <w:spacing w:after="0" w:line="240" w:lineRule="auto"/>
        <w:ind w:left="2977"/>
        <w:jc w:val="both"/>
        <w:rPr>
          <w:rFonts w:ascii="Arial" w:eastAsia="Calibri" w:hAnsi="Arial" w:cs="Arial"/>
          <w:lang w:val="es-ES"/>
        </w:rPr>
      </w:pPr>
      <w:r w:rsidRPr="00B5723A">
        <w:rPr>
          <w:rFonts w:ascii="Arial" w:eastAsia="Calibri" w:hAnsi="Arial" w:cs="Arial"/>
          <w:lang w:val="es-ES"/>
        </w:rPr>
        <w:t>Perfil:</w:t>
      </w:r>
    </w:p>
    <w:p w:rsidR="00B5723A" w:rsidRPr="00B5723A" w:rsidRDefault="00B5723A" w:rsidP="003839C9">
      <w:pPr>
        <w:spacing w:after="0" w:line="240" w:lineRule="auto"/>
        <w:ind w:left="3544" w:hanging="567"/>
        <w:jc w:val="both"/>
        <w:rPr>
          <w:rFonts w:ascii="Arial" w:eastAsia="Calibri" w:hAnsi="Arial" w:cs="Arial"/>
          <w:lang w:val="es-ES"/>
        </w:rPr>
      </w:pPr>
      <w:r w:rsidRPr="00B5723A">
        <w:rPr>
          <w:rFonts w:ascii="Arial" w:eastAsia="Calibri" w:hAnsi="Arial" w:cs="Arial"/>
          <w:lang w:val="es-ES"/>
        </w:rPr>
        <w:t xml:space="preserve">* </w:t>
      </w:r>
      <w:r w:rsidR="003839C9">
        <w:rPr>
          <w:rFonts w:ascii="Arial" w:eastAsia="Calibri" w:hAnsi="Arial" w:cs="Arial"/>
          <w:lang w:val="es-ES"/>
        </w:rPr>
        <w:tab/>
      </w:r>
      <w:r w:rsidRPr="00B5723A">
        <w:rPr>
          <w:rFonts w:ascii="Arial" w:eastAsia="Calibri" w:hAnsi="Arial" w:cs="Arial"/>
          <w:lang w:val="es-ES"/>
        </w:rPr>
        <w:t>Profesional titulado y colegiado.</w:t>
      </w:r>
    </w:p>
    <w:p w:rsidR="00B5723A" w:rsidRPr="00B5723A" w:rsidRDefault="00B5723A" w:rsidP="003839C9">
      <w:pPr>
        <w:spacing w:after="0" w:line="240" w:lineRule="auto"/>
        <w:ind w:left="3544" w:hanging="567"/>
        <w:jc w:val="both"/>
        <w:rPr>
          <w:rFonts w:ascii="Arial" w:eastAsia="Calibri" w:hAnsi="Arial" w:cs="Arial"/>
          <w:lang w:val="es-ES"/>
        </w:rPr>
      </w:pPr>
      <w:r w:rsidRPr="00B5723A">
        <w:rPr>
          <w:rFonts w:ascii="Arial" w:eastAsia="Calibri" w:hAnsi="Arial" w:cs="Arial"/>
          <w:lang w:val="es-ES"/>
        </w:rPr>
        <w:t xml:space="preserve">* </w:t>
      </w:r>
      <w:r w:rsidR="003839C9">
        <w:rPr>
          <w:rFonts w:ascii="Arial" w:eastAsia="Calibri" w:hAnsi="Arial" w:cs="Arial"/>
          <w:lang w:val="es-ES"/>
        </w:rPr>
        <w:tab/>
      </w:r>
      <w:r w:rsidRPr="00B5723A">
        <w:rPr>
          <w:rFonts w:ascii="Arial" w:eastAsia="Calibri" w:hAnsi="Arial" w:cs="Arial"/>
          <w:lang w:val="es-ES"/>
        </w:rPr>
        <w:t>Conocimiento y experiencia en legislación vinculada a inmuebles estatales.</w:t>
      </w:r>
    </w:p>
    <w:p w:rsidR="00B5723A" w:rsidRPr="00B5723A" w:rsidRDefault="00B5723A" w:rsidP="00B5723A">
      <w:pPr>
        <w:spacing w:after="0" w:line="240" w:lineRule="auto"/>
        <w:jc w:val="both"/>
        <w:rPr>
          <w:rFonts w:ascii="Arial" w:eastAsia="Calibri" w:hAnsi="Arial" w:cs="Arial"/>
          <w:lang w:val="es-ES"/>
        </w:rPr>
      </w:pPr>
    </w:p>
    <w:p w:rsidR="00B5723A" w:rsidRPr="003839C9" w:rsidRDefault="00B5723A" w:rsidP="003839C9">
      <w:pPr>
        <w:spacing w:after="0" w:line="240" w:lineRule="auto"/>
        <w:ind w:left="2127"/>
        <w:jc w:val="both"/>
        <w:rPr>
          <w:rFonts w:ascii="Arial" w:eastAsia="Calibri" w:hAnsi="Arial" w:cs="Arial"/>
          <w:b/>
          <w:lang w:val="es-ES"/>
        </w:rPr>
      </w:pPr>
      <w:r w:rsidRPr="003839C9">
        <w:rPr>
          <w:rFonts w:ascii="Arial" w:eastAsia="Calibri" w:hAnsi="Arial" w:cs="Arial"/>
          <w:b/>
          <w:lang w:val="es-ES"/>
        </w:rPr>
        <w:t xml:space="preserve">6.2.1.3 </w:t>
      </w:r>
      <w:r w:rsidR="003839C9">
        <w:rPr>
          <w:rFonts w:ascii="Arial" w:eastAsia="Calibri" w:hAnsi="Arial" w:cs="Arial"/>
          <w:b/>
          <w:lang w:val="es-ES"/>
        </w:rPr>
        <w:t>A</w:t>
      </w:r>
      <w:r w:rsidRPr="003839C9">
        <w:rPr>
          <w:rFonts w:ascii="Arial" w:eastAsia="Calibri" w:hAnsi="Arial" w:cs="Arial"/>
          <w:b/>
          <w:lang w:val="es-ES"/>
        </w:rPr>
        <w:t>sistente</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3839C9">
      <w:pPr>
        <w:spacing w:after="0" w:line="240" w:lineRule="auto"/>
        <w:ind w:left="2835"/>
        <w:jc w:val="both"/>
        <w:rPr>
          <w:rFonts w:ascii="Arial" w:eastAsia="Calibri" w:hAnsi="Arial" w:cs="Arial"/>
          <w:lang w:val="es-ES"/>
        </w:rPr>
      </w:pPr>
      <w:r w:rsidRPr="00B5723A">
        <w:rPr>
          <w:rFonts w:ascii="Arial" w:eastAsia="Calibri" w:hAnsi="Arial" w:cs="Arial"/>
          <w:lang w:val="es-ES"/>
        </w:rPr>
        <w:t>Personal capacitado para llevar acciones de apoyo técnico en los trabajos de levantamiento catastral.</w:t>
      </w:r>
    </w:p>
    <w:p w:rsidR="00B5723A" w:rsidRPr="00B5723A" w:rsidRDefault="00B5723A" w:rsidP="003839C9">
      <w:pPr>
        <w:spacing w:after="0" w:line="240" w:lineRule="auto"/>
        <w:ind w:left="2835"/>
        <w:jc w:val="both"/>
        <w:rPr>
          <w:rFonts w:ascii="Arial" w:eastAsia="Calibri" w:hAnsi="Arial" w:cs="Arial"/>
          <w:lang w:val="es-ES"/>
        </w:rPr>
      </w:pPr>
    </w:p>
    <w:p w:rsidR="00B5723A" w:rsidRPr="00B5723A" w:rsidRDefault="00B5723A" w:rsidP="003839C9">
      <w:pPr>
        <w:spacing w:after="0" w:line="240" w:lineRule="auto"/>
        <w:ind w:left="2835"/>
        <w:jc w:val="both"/>
        <w:rPr>
          <w:rFonts w:ascii="Arial" w:eastAsia="Calibri" w:hAnsi="Arial" w:cs="Arial"/>
          <w:lang w:val="es-ES"/>
        </w:rPr>
      </w:pPr>
      <w:r w:rsidRPr="00B5723A">
        <w:rPr>
          <w:rFonts w:ascii="Arial" w:eastAsia="Calibri" w:hAnsi="Arial" w:cs="Arial"/>
          <w:lang w:val="es-ES"/>
        </w:rPr>
        <w:t>Funciones:</w:t>
      </w:r>
    </w:p>
    <w:p w:rsidR="00B5723A" w:rsidRPr="00B5723A" w:rsidRDefault="00B5723A" w:rsidP="003839C9">
      <w:pPr>
        <w:spacing w:after="0" w:line="240" w:lineRule="auto"/>
        <w:ind w:left="3544" w:hanging="567"/>
        <w:jc w:val="both"/>
        <w:rPr>
          <w:rFonts w:ascii="Arial" w:eastAsia="Calibri" w:hAnsi="Arial" w:cs="Arial"/>
          <w:lang w:val="es-ES"/>
        </w:rPr>
      </w:pPr>
      <w:r w:rsidRPr="00B5723A">
        <w:rPr>
          <w:rFonts w:ascii="Arial" w:eastAsia="Calibri" w:hAnsi="Arial" w:cs="Arial"/>
          <w:lang w:val="es-ES"/>
        </w:rPr>
        <w:t xml:space="preserve">* </w:t>
      </w:r>
      <w:r w:rsidR="003839C9">
        <w:rPr>
          <w:rFonts w:ascii="Arial" w:eastAsia="Calibri" w:hAnsi="Arial" w:cs="Arial"/>
          <w:lang w:val="es-ES"/>
        </w:rPr>
        <w:tab/>
      </w:r>
      <w:r w:rsidRPr="00B5723A">
        <w:rPr>
          <w:rFonts w:ascii="Arial" w:eastAsia="Calibri" w:hAnsi="Arial" w:cs="Arial"/>
          <w:lang w:val="es-ES"/>
        </w:rPr>
        <w:t>Apoyo técnico en el levantamiento catastral</w:t>
      </w:r>
    </w:p>
    <w:p w:rsidR="00B5723A" w:rsidRPr="00B5723A" w:rsidRDefault="00B5723A" w:rsidP="003839C9">
      <w:pPr>
        <w:spacing w:after="0" w:line="240" w:lineRule="auto"/>
        <w:ind w:left="3544" w:hanging="567"/>
        <w:jc w:val="both"/>
        <w:rPr>
          <w:rFonts w:ascii="Arial" w:eastAsia="Calibri" w:hAnsi="Arial" w:cs="Arial"/>
          <w:lang w:val="es-ES"/>
        </w:rPr>
      </w:pPr>
      <w:r w:rsidRPr="00B5723A">
        <w:rPr>
          <w:rFonts w:ascii="Arial" w:eastAsia="Calibri" w:hAnsi="Arial" w:cs="Arial"/>
          <w:lang w:val="es-ES"/>
        </w:rPr>
        <w:t xml:space="preserve">* </w:t>
      </w:r>
      <w:r w:rsidR="003839C9">
        <w:rPr>
          <w:rFonts w:ascii="Arial" w:eastAsia="Calibri" w:hAnsi="Arial" w:cs="Arial"/>
          <w:lang w:val="es-ES"/>
        </w:rPr>
        <w:tab/>
      </w:r>
      <w:r w:rsidRPr="00B5723A">
        <w:rPr>
          <w:rFonts w:ascii="Arial" w:eastAsia="Calibri" w:hAnsi="Arial" w:cs="Arial"/>
          <w:lang w:val="es-ES"/>
        </w:rPr>
        <w:t>Apoyo técnico en el llenado de la Ficha Catastral y Hoja de Campo.</w:t>
      </w:r>
    </w:p>
    <w:p w:rsidR="00B5723A" w:rsidRPr="00B5723A" w:rsidRDefault="00B5723A" w:rsidP="003839C9">
      <w:pPr>
        <w:spacing w:after="0" w:line="240" w:lineRule="auto"/>
        <w:ind w:left="2835"/>
        <w:jc w:val="both"/>
        <w:rPr>
          <w:rFonts w:ascii="Arial" w:eastAsia="Calibri" w:hAnsi="Arial" w:cs="Arial"/>
          <w:lang w:val="es-ES"/>
        </w:rPr>
      </w:pPr>
    </w:p>
    <w:p w:rsidR="00B5723A" w:rsidRPr="00B5723A" w:rsidRDefault="00B5723A" w:rsidP="003839C9">
      <w:pPr>
        <w:spacing w:after="0" w:line="240" w:lineRule="auto"/>
        <w:ind w:left="2835"/>
        <w:jc w:val="both"/>
        <w:rPr>
          <w:rFonts w:ascii="Arial" w:eastAsia="Calibri" w:hAnsi="Arial" w:cs="Arial"/>
          <w:lang w:val="es-ES"/>
        </w:rPr>
      </w:pPr>
      <w:r w:rsidRPr="00B5723A">
        <w:rPr>
          <w:rFonts w:ascii="Arial" w:eastAsia="Calibri" w:hAnsi="Arial" w:cs="Arial"/>
          <w:lang w:val="es-ES"/>
        </w:rPr>
        <w:t>Perfil</w:t>
      </w:r>
    </w:p>
    <w:p w:rsidR="00B5723A" w:rsidRPr="00B5723A" w:rsidRDefault="00B5723A" w:rsidP="003839C9">
      <w:pPr>
        <w:spacing w:after="0" w:line="240" w:lineRule="auto"/>
        <w:ind w:left="3544" w:hanging="567"/>
        <w:jc w:val="both"/>
        <w:rPr>
          <w:rFonts w:ascii="Arial" w:eastAsia="Calibri" w:hAnsi="Arial" w:cs="Arial"/>
          <w:lang w:val="es-ES"/>
        </w:rPr>
      </w:pPr>
      <w:r w:rsidRPr="00B5723A">
        <w:rPr>
          <w:rFonts w:ascii="Arial" w:eastAsia="Calibri" w:hAnsi="Arial" w:cs="Arial"/>
          <w:lang w:val="es-ES"/>
        </w:rPr>
        <w:t xml:space="preserve">* </w:t>
      </w:r>
      <w:r w:rsidR="003839C9">
        <w:rPr>
          <w:rFonts w:ascii="Arial" w:eastAsia="Calibri" w:hAnsi="Arial" w:cs="Arial"/>
          <w:lang w:val="es-ES"/>
        </w:rPr>
        <w:tab/>
      </w:r>
      <w:r w:rsidRPr="00B5723A">
        <w:rPr>
          <w:rFonts w:ascii="Arial" w:eastAsia="Calibri" w:hAnsi="Arial" w:cs="Arial"/>
          <w:lang w:val="es-ES"/>
        </w:rPr>
        <w:t>Bachiller en ingeniería o profesiones afines o técnico en topografía.</w:t>
      </w:r>
    </w:p>
    <w:p w:rsidR="00B5723A" w:rsidRPr="00B5723A" w:rsidRDefault="00B5723A" w:rsidP="00B5723A">
      <w:pPr>
        <w:spacing w:after="0" w:line="240" w:lineRule="auto"/>
        <w:jc w:val="both"/>
        <w:rPr>
          <w:rFonts w:ascii="Arial" w:eastAsia="Calibri" w:hAnsi="Arial" w:cs="Arial"/>
          <w:lang w:val="es-ES"/>
        </w:rPr>
      </w:pPr>
    </w:p>
    <w:p w:rsidR="00B5723A" w:rsidRPr="003839C9" w:rsidRDefault="00B5723A" w:rsidP="00B5723A">
      <w:pPr>
        <w:spacing w:after="0" w:line="240" w:lineRule="auto"/>
        <w:jc w:val="both"/>
        <w:rPr>
          <w:rFonts w:ascii="Arial" w:eastAsia="Calibri" w:hAnsi="Arial" w:cs="Arial"/>
          <w:b/>
          <w:lang w:val="es-ES"/>
        </w:rPr>
      </w:pPr>
      <w:r w:rsidRPr="003839C9">
        <w:rPr>
          <w:rFonts w:ascii="Arial" w:eastAsia="Calibri" w:hAnsi="Arial" w:cs="Arial"/>
          <w:b/>
          <w:lang w:val="es-ES"/>
        </w:rPr>
        <w:t>VII. DISPOSICIONES ESPECÍFICAS</w:t>
      </w:r>
    </w:p>
    <w:p w:rsidR="00B5723A" w:rsidRPr="00B5723A" w:rsidRDefault="00B5723A" w:rsidP="00B5723A">
      <w:pPr>
        <w:spacing w:after="0" w:line="240" w:lineRule="auto"/>
        <w:jc w:val="both"/>
        <w:rPr>
          <w:rFonts w:ascii="Arial" w:eastAsia="Calibri" w:hAnsi="Arial" w:cs="Arial"/>
          <w:lang w:val="es-ES"/>
        </w:rPr>
      </w:pPr>
    </w:p>
    <w:p w:rsidR="00B5723A" w:rsidRPr="003839C9" w:rsidRDefault="00B5723A" w:rsidP="00B5723A">
      <w:pPr>
        <w:spacing w:after="0" w:line="240" w:lineRule="auto"/>
        <w:jc w:val="both"/>
        <w:rPr>
          <w:rFonts w:ascii="Arial" w:eastAsia="Calibri" w:hAnsi="Arial" w:cs="Arial"/>
          <w:b/>
          <w:lang w:val="es-ES"/>
        </w:rPr>
      </w:pPr>
      <w:r w:rsidRPr="00B5723A">
        <w:rPr>
          <w:rFonts w:ascii="Arial" w:eastAsia="Calibri" w:hAnsi="Arial" w:cs="Arial"/>
          <w:lang w:val="es-ES"/>
        </w:rPr>
        <w:tab/>
      </w:r>
      <w:r w:rsidRPr="003839C9">
        <w:rPr>
          <w:rFonts w:ascii="Arial" w:eastAsia="Calibri" w:hAnsi="Arial" w:cs="Arial"/>
          <w:b/>
          <w:lang w:val="es-ES"/>
        </w:rPr>
        <w:t>7.1 METODOLOGÍAS PARA EL LEVANTAMIENTO CATASTRAL</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3839C9">
      <w:pPr>
        <w:spacing w:after="0" w:line="240" w:lineRule="auto"/>
        <w:ind w:left="1134"/>
        <w:jc w:val="both"/>
        <w:rPr>
          <w:rFonts w:ascii="Arial" w:eastAsia="Calibri" w:hAnsi="Arial" w:cs="Arial"/>
          <w:lang w:val="es-ES"/>
        </w:rPr>
      </w:pPr>
      <w:r w:rsidRPr="00B5723A">
        <w:rPr>
          <w:rFonts w:ascii="Arial" w:eastAsia="Calibri" w:hAnsi="Arial" w:cs="Arial"/>
          <w:lang w:val="es-ES"/>
        </w:rPr>
        <w:t>Para el levantamiento catastral, existen dos métodos para definir los linderos de los inmuebles y establecer sus áreas, para su incorporación a la Base Gráfica Catastral,</w:t>
      </w:r>
    </w:p>
    <w:p w:rsidR="00B5723A" w:rsidRPr="00B5723A" w:rsidRDefault="00B5723A" w:rsidP="003839C9">
      <w:pPr>
        <w:spacing w:after="0" w:line="240" w:lineRule="auto"/>
        <w:ind w:left="1134"/>
        <w:jc w:val="both"/>
        <w:rPr>
          <w:rFonts w:ascii="Arial" w:eastAsia="Calibri" w:hAnsi="Arial" w:cs="Arial"/>
          <w:lang w:val="es-ES"/>
        </w:rPr>
      </w:pPr>
    </w:p>
    <w:p w:rsidR="00B5723A" w:rsidRPr="00B5723A" w:rsidRDefault="00B5723A" w:rsidP="003839C9">
      <w:pPr>
        <w:spacing w:after="0" w:line="240" w:lineRule="auto"/>
        <w:ind w:left="1134"/>
        <w:jc w:val="both"/>
        <w:rPr>
          <w:rFonts w:ascii="Arial" w:eastAsia="Calibri" w:hAnsi="Arial" w:cs="Arial"/>
          <w:lang w:val="es-ES"/>
        </w:rPr>
      </w:pPr>
      <w:r w:rsidRPr="00B5723A">
        <w:rPr>
          <w:rFonts w:ascii="Arial" w:eastAsia="Calibri" w:hAnsi="Arial" w:cs="Arial"/>
          <w:lang w:val="es-ES"/>
        </w:rPr>
        <w:t>Este proceso de generación cartográfica catastral puede realizarse mediante la aplicación de los métodos directo o indirecto, o una combinación de ambos.</w:t>
      </w:r>
    </w:p>
    <w:p w:rsidR="00B5723A" w:rsidRPr="00B5723A" w:rsidRDefault="00B5723A" w:rsidP="003839C9">
      <w:pPr>
        <w:spacing w:after="0" w:line="240" w:lineRule="auto"/>
        <w:ind w:left="1134"/>
        <w:jc w:val="both"/>
        <w:rPr>
          <w:rFonts w:ascii="Arial" w:eastAsia="Calibri" w:hAnsi="Arial" w:cs="Arial"/>
          <w:lang w:val="es-ES"/>
        </w:rPr>
      </w:pPr>
    </w:p>
    <w:p w:rsidR="00B5723A" w:rsidRPr="00B5723A" w:rsidRDefault="00B5723A" w:rsidP="003839C9">
      <w:pPr>
        <w:spacing w:after="0" w:line="240" w:lineRule="auto"/>
        <w:ind w:left="1134"/>
        <w:jc w:val="both"/>
        <w:rPr>
          <w:rFonts w:ascii="Arial" w:eastAsia="Calibri" w:hAnsi="Arial" w:cs="Arial"/>
          <w:lang w:val="es-ES"/>
        </w:rPr>
      </w:pPr>
      <w:r w:rsidRPr="00B5723A">
        <w:rPr>
          <w:rFonts w:ascii="Arial" w:eastAsia="Calibri" w:hAnsi="Arial" w:cs="Arial"/>
          <w:lang w:val="es-ES"/>
        </w:rPr>
        <w:t>En los casos de entidades como la SBN, que cuentan con bienes inmuebles en el ámbito urbano y rural y, por tanto, el levantamiento catastral requiere de diferentes precisiones, se aplica el método directo como el indirecto.</w:t>
      </w:r>
    </w:p>
    <w:p w:rsidR="00B5723A" w:rsidRPr="00B5723A" w:rsidRDefault="00B5723A" w:rsidP="00B5723A">
      <w:pPr>
        <w:spacing w:after="0" w:line="240" w:lineRule="auto"/>
        <w:jc w:val="both"/>
        <w:rPr>
          <w:rFonts w:ascii="Arial" w:eastAsia="Calibri" w:hAnsi="Arial" w:cs="Arial"/>
          <w:lang w:val="es-ES"/>
        </w:rPr>
      </w:pPr>
    </w:p>
    <w:p w:rsidR="00B5723A" w:rsidRPr="003839C9" w:rsidRDefault="00B5723A" w:rsidP="003839C9">
      <w:pPr>
        <w:spacing w:after="0" w:line="240" w:lineRule="auto"/>
        <w:ind w:left="993"/>
        <w:jc w:val="both"/>
        <w:rPr>
          <w:rFonts w:ascii="Arial" w:eastAsia="Calibri" w:hAnsi="Arial" w:cs="Arial"/>
          <w:b/>
          <w:lang w:val="es-ES"/>
        </w:rPr>
      </w:pPr>
      <w:r w:rsidRPr="003839C9">
        <w:rPr>
          <w:rFonts w:ascii="Arial" w:eastAsia="Calibri" w:hAnsi="Arial" w:cs="Arial"/>
          <w:b/>
          <w:lang w:val="es-ES"/>
        </w:rPr>
        <w:t>7.1.1 MÉTODO INDIRECTO</w:t>
      </w:r>
    </w:p>
    <w:p w:rsidR="00B5723A" w:rsidRPr="00B5723A" w:rsidRDefault="00B5723A" w:rsidP="00B5723A">
      <w:pPr>
        <w:spacing w:after="0" w:line="240" w:lineRule="auto"/>
        <w:jc w:val="both"/>
        <w:rPr>
          <w:rFonts w:ascii="Arial" w:eastAsia="Calibri" w:hAnsi="Arial" w:cs="Arial"/>
          <w:lang w:val="es-ES"/>
        </w:rPr>
      </w:pPr>
    </w:p>
    <w:p w:rsidR="00B5723A" w:rsidRPr="003839C9" w:rsidRDefault="00B5723A" w:rsidP="003839C9">
      <w:pPr>
        <w:spacing w:after="0" w:line="240" w:lineRule="auto"/>
        <w:ind w:left="1560"/>
        <w:jc w:val="both"/>
        <w:rPr>
          <w:rFonts w:ascii="Arial" w:eastAsia="Calibri" w:hAnsi="Arial" w:cs="Arial"/>
          <w:b/>
          <w:lang w:val="es-ES"/>
        </w:rPr>
      </w:pPr>
      <w:r w:rsidRPr="003839C9">
        <w:rPr>
          <w:rFonts w:ascii="Arial" w:eastAsia="Calibri" w:hAnsi="Arial" w:cs="Arial"/>
          <w:b/>
          <w:lang w:val="es-ES"/>
        </w:rPr>
        <w:t>7.1.1.1 USO DE ORTOFOTOS U ORTOIMAGEN</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3839C9">
      <w:pPr>
        <w:spacing w:after="0" w:line="240" w:lineRule="auto"/>
        <w:ind w:left="2268"/>
        <w:jc w:val="both"/>
        <w:rPr>
          <w:rFonts w:ascii="Arial" w:eastAsia="Calibri" w:hAnsi="Arial" w:cs="Arial"/>
          <w:lang w:val="es-ES"/>
        </w:rPr>
      </w:pPr>
      <w:r w:rsidRPr="00B5723A">
        <w:rPr>
          <w:rFonts w:ascii="Arial" w:eastAsia="Calibri" w:hAnsi="Arial" w:cs="Arial"/>
          <w:lang w:val="es-ES"/>
        </w:rPr>
        <w:t>Se utilizan ortofotos que permitan la elaboración de cartografía digital a escala 1:1000 o 1:500, para inmuebles urbanos, así como, a escala 1: 5,000, 1: 10,000 o 1:25,000, para inmuebles ubicados en zonas rurales.</w:t>
      </w:r>
    </w:p>
    <w:p w:rsidR="00B5723A" w:rsidRPr="00B5723A" w:rsidRDefault="00B5723A" w:rsidP="003839C9">
      <w:pPr>
        <w:spacing w:after="0" w:line="240" w:lineRule="auto"/>
        <w:ind w:left="2268"/>
        <w:jc w:val="both"/>
        <w:rPr>
          <w:rFonts w:ascii="Arial" w:eastAsia="Calibri" w:hAnsi="Arial" w:cs="Arial"/>
          <w:lang w:val="es-ES"/>
        </w:rPr>
      </w:pPr>
    </w:p>
    <w:p w:rsidR="00B5723A" w:rsidRPr="00B5723A" w:rsidRDefault="00B5723A" w:rsidP="003839C9">
      <w:pPr>
        <w:spacing w:after="0" w:line="240" w:lineRule="auto"/>
        <w:ind w:left="2268"/>
        <w:jc w:val="both"/>
        <w:rPr>
          <w:rFonts w:ascii="Arial" w:eastAsia="Calibri" w:hAnsi="Arial" w:cs="Arial"/>
          <w:lang w:val="es-ES"/>
        </w:rPr>
      </w:pPr>
      <w:r w:rsidRPr="00B5723A">
        <w:rPr>
          <w:rFonts w:ascii="Arial" w:eastAsia="Calibri" w:hAnsi="Arial" w:cs="Arial"/>
          <w:lang w:val="es-ES"/>
        </w:rPr>
        <w:t>Para la generación de esta cartografía digital se sigue el procedimiento establecido en la Norma Técnica de Cartografía aprobada por el IGN.</w:t>
      </w:r>
    </w:p>
    <w:p w:rsidR="00B5723A" w:rsidRPr="00B5723A" w:rsidRDefault="00B5723A" w:rsidP="003839C9">
      <w:pPr>
        <w:spacing w:after="0" w:line="240" w:lineRule="auto"/>
        <w:ind w:left="2268"/>
        <w:jc w:val="both"/>
        <w:rPr>
          <w:rFonts w:ascii="Arial" w:eastAsia="Calibri" w:hAnsi="Arial" w:cs="Arial"/>
          <w:lang w:val="es-ES"/>
        </w:rPr>
      </w:pPr>
    </w:p>
    <w:p w:rsidR="00B5723A" w:rsidRPr="00B5723A" w:rsidRDefault="00B5723A" w:rsidP="003839C9">
      <w:pPr>
        <w:spacing w:after="0" w:line="240" w:lineRule="auto"/>
        <w:ind w:left="2268"/>
        <w:jc w:val="both"/>
        <w:rPr>
          <w:rFonts w:ascii="Arial" w:eastAsia="Calibri" w:hAnsi="Arial" w:cs="Arial"/>
          <w:lang w:val="es-ES"/>
        </w:rPr>
      </w:pPr>
      <w:r w:rsidRPr="00B5723A">
        <w:rPr>
          <w:rFonts w:ascii="Arial" w:eastAsia="Calibri" w:hAnsi="Arial" w:cs="Arial"/>
          <w:lang w:val="es-ES"/>
        </w:rPr>
        <w:t>Para inmuebles de gran extensión es recomendable la elaboración de cartografía por métodos fotogramétricos a través de ortofotos, debido a que resulta de menos costo que por el método directo.</w:t>
      </w:r>
    </w:p>
    <w:p w:rsidR="00B5723A" w:rsidRPr="00B5723A" w:rsidRDefault="00B5723A" w:rsidP="003839C9">
      <w:pPr>
        <w:spacing w:after="0" w:line="240" w:lineRule="auto"/>
        <w:ind w:left="2268"/>
        <w:jc w:val="both"/>
        <w:rPr>
          <w:rFonts w:ascii="Arial" w:eastAsia="Calibri" w:hAnsi="Arial" w:cs="Arial"/>
          <w:lang w:val="es-ES"/>
        </w:rPr>
      </w:pPr>
    </w:p>
    <w:p w:rsidR="00B5723A" w:rsidRPr="00B5723A" w:rsidRDefault="00B5723A" w:rsidP="003839C9">
      <w:pPr>
        <w:spacing w:after="0" w:line="240" w:lineRule="auto"/>
        <w:ind w:left="2268"/>
        <w:jc w:val="both"/>
        <w:rPr>
          <w:rFonts w:ascii="Arial" w:eastAsia="Calibri" w:hAnsi="Arial" w:cs="Arial"/>
          <w:lang w:val="es-ES"/>
        </w:rPr>
      </w:pPr>
      <w:r w:rsidRPr="00B5723A">
        <w:rPr>
          <w:rFonts w:ascii="Arial" w:eastAsia="Calibri" w:hAnsi="Arial" w:cs="Arial"/>
          <w:lang w:val="es-ES"/>
        </w:rPr>
        <w:t>El técnico catastral debe recorrer todos los linderos o perímetro del inmueble para ratificar o rectificar la vectorización proporcionada por la imagen georreferenciada.</w:t>
      </w:r>
    </w:p>
    <w:p w:rsidR="00B5723A" w:rsidRPr="00B5723A" w:rsidRDefault="00B5723A" w:rsidP="003839C9">
      <w:pPr>
        <w:spacing w:after="0" w:line="240" w:lineRule="auto"/>
        <w:ind w:left="2268"/>
        <w:jc w:val="both"/>
        <w:rPr>
          <w:rFonts w:ascii="Arial" w:eastAsia="Calibri" w:hAnsi="Arial" w:cs="Arial"/>
          <w:lang w:val="es-ES"/>
        </w:rPr>
      </w:pPr>
    </w:p>
    <w:p w:rsidR="00B5723A" w:rsidRPr="00B5723A" w:rsidRDefault="00B5723A" w:rsidP="003839C9">
      <w:pPr>
        <w:spacing w:after="0" w:line="240" w:lineRule="auto"/>
        <w:ind w:left="2268"/>
        <w:jc w:val="both"/>
        <w:rPr>
          <w:rFonts w:ascii="Arial" w:eastAsia="Calibri" w:hAnsi="Arial" w:cs="Arial"/>
          <w:lang w:val="es-ES"/>
        </w:rPr>
      </w:pPr>
      <w:r w:rsidRPr="00B5723A">
        <w:rPr>
          <w:rFonts w:ascii="Arial" w:eastAsia="Calibri" w:hAnsi="Arial" w:cs="Arial"/>
          <w:lang w:val="es-ES"/>
        </w:rPr>
        <w:t>El esquema simplificado del levantamiento catastral basado en el uso de la ortofotos, que actualmente se entrega en medios digitales y debidamente georreferenciado, se visualiza en el Gráfico Nº 03.</w:t>
      </w:r>
    </w:p>
    <w:p w:rsidR="00B5723A" w:rsidRPr="00B5723A" w:rsidRDefault="00B5723A" w:rsidP="00B5723A">
      <w:pPr>
        <w:spacing w:after="0" w:line="240" w:lineRule="auto"/>
        <w:jc w:val="both"/>
        <w:rPr>
          <w:rFonts w:ascii="Arial" w:eastAsia="Calibri" w:hAnsi="Arial" w:cs="Arial"/>
          <w:lang w:val="es-ES"/>
        </w:rPr>
      </w:pPr>
    </w:p>
    <w:p w:rsidR="00B5723A" w:rsidRPr="003839C9" w:rsidRDefault="00B5723A" w:rsidP="003839C9">
      <w:pPr>
        <w:spacing w:after="0" w:line="240" w:lineRule="auto"/>
        <w:ind w:left="1560"/>
        <w:jc w:val="both"/>
        <w:rPr>
          <w:rFonts w:ascii="Arial" w:eastAsia="Calibri" w:hAnsi="Arial" w:cs="Arial"/>
          <w:b/>
          <w:lang w:val="es-ES"/>
        </w:rPr>
      </w:pPr>
      <w:r w:rsidRPr="003839C9">
        <w:rPr>
          <w:rFonts w:ascii="Arial" w:eastAsia="Calibri" w:hAnsi="Arial" w:cs="Arial"/>
          <w:b/>
          <w:lang w:val="es-ES"/>
        </w:rPr>
        <w:t>7.1.1.2 APLICACIÓN Y MEDIOS</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3839C9">
      <w:pPr>
        <w:spacing w:after="0" w:line="240" w:lineRule="auto"/>
        <w:ind w:left="2268"/>
        <w:jc w:val="both"/>
        <w:rPr>
          <w:rFonts w:ascii="Arial" w:eastAsia="Calibri" w:hAnsi="Arial" w:cs="Arial"/>
          <w:lang w:val="es-ES"/>
        </w:rPr>
      </w:pPr>
      <w:r w:rsidRPr="00B5723A">
        <w:rPr>
          <w:rFonts w:ascii="Arial" w:eastAsia="Calibri" w:hAnsi="Arial" w:cs="Arial"/>
          <w:lang w:val="es-ES"/>
        </w:rPr>
        <w:t>El técnico catastral que efectúa el levantamiento catastral imprime o almacena en dispositivos electrónicos (colector de datos gráficos o Tablet) las ortofotos del ámbito geográfico donde se ubican los inmuebles para el trabajo de campo.</w:t>
      </w:r>
    </w:p>
    <w:p w:rsidR="00B5723A" w:rsidRPr="00B5723A" w:rsidRDefault="00B5723A" w:rsidP="003839C9">
      <w:pPr>
        <w:spacing w:after="0" w:line="240" w:lineRule="auto"/>
        <w:ind w:left="2268"/>
        <w:jc w:val="both"/>
        <w:rPr>
          <w:rFonts w:ascii="Arial" w:eastAsia="Calibri" w:hAnsi="Arial" w:cs="Arial"/>
          <w:lang w:val="es-ES"/>
        </w:rPr>
      </w:pPr>
    </w:p>
    <w:p w:rsidR="00B5723A" w:rsidRPr="00B5723A" w:rsidRDefault="00B5723A" w:rsidP="003839C9">
      <w:pPr>
        <w:spacing w:after="0" w:line="240" w:lineRule="auto"/>
        <w:ind w:left="2268"/>
        <w:jc w:val="both"/>
        <w:rPr>
          <w:rFonts w:ascii="Arial" w:eastAsia="Calibri" w:hAnsi="Arial" w:cs="Arial"/>
          <w:lang w:val="es-ES"/>
        </w:rPr>
      </w:pPr>
      <w:r w:rsidRPr="00B5723A">
        <w:rPr>
          <w:rFonts w:ascii="Arial" w:eastAsia="Calibri" w:hAnsi="Arial" w:cs="Arial"/>
          <w:lang w:val="es-ES"/>
        </w:rPr>
        <w:t>Como material complementario, el técnico catastral lleva wincha, cámara fotográfica, material para graficar y cualquier otro que facilite su trabajo.</w:t>
      </w:r>
    </w:p>
    <w:p w:rsidR="00B5723A" w:rsidRPr="00B5723A" w:rsidRDefault="00B5723A" w:rsidP="00B5723A">
      <w:pPr>
        <w:spacing w:after="0" w:line="240" w:lineRule="auto"/>
        <w:jc w:val="both"/>
        <w:rPr>
          <w:rFonts w:ascii="Arial" w:eastAsia="Calibri" w:hAnsi="Arial" w:cs="Arial"/>
          <w:lang w:val="es-ES"/>
        </w:rPr>
      </w:pPr>
    </w:p>
    <w:p w:rsidR="00B5723A" w:rsidRPr="003839C9" w:rsidRDefault="00B5723A" w:rsidP="003839C9">
      <w:pPr>
        <w:spacing w:after="0" w:line="240" w:lineRule="auto"/>
        <w:ind w:left="1560"/>
        <w:jc w:val="both"/>
        <w:rPr>
          <w:rFonts w:ascii="Arial" w:eastAsia="Calibri" w:hAnsi="Arial" w:cs="Arial"/>
          <w:b/>
          <w:lang w:val="es-ES"/>
        </w:rPr>
      </w:pPr>
      <w:r w:rsidRPr="003839C9">
        <w:rPr>
          <w:rFonts w:ascii="Arial" w:eastAsia="Calibri" w:hAnsi="Arial" w:cs="Arial"/>
          <w:b/>
          <w:lang w:val="es-ES"/>
        </w:rPr>
        <w:t>7.1.1.3 FASE DE CAMPO</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3839C9">
      <w:pPr>
        <w:spacing w:after="0" w:line="240" w:lineRule="auto"/>
        <w:ind w:left="2410"/>
        <w:jc w:val="both"/>
        <w:rPr>
          <w:rFonts w:ascii="Arial" w:eastAsia="Calibri" w:hAnsi="Arial" w:cs="Arial"/>
          <w:lang w:val="es-ES"/>
        </w:rPr>
      </w:pPr>
      <w:r w:rsidRPr="00B5723A">
        <w:rPr>
          <w:rFonts w:ascii="Arial" w:eastAsia="Calibri" w:hAnsi="Arial" w:cs="Arial"/>
          <w:lang w:val="es-ES"/>
        </w:rPr>
        <w:t>La secuencia que se sigue es la siguiente:</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3839C9">
      <w:pPr>
        <w:spacing w:after="0" w:line="240" w:lineRule="auto"/>
        <w:ind w:left="3119" w:hanging="709"/>
        <w:jc w:val="both"/>
        <w:rPr>
          <w:rFonts w:ascii="Arial" w:eastAsia="Calibri" w:hAnsi="Arial" w:cs="Arial"/>
          <w:lang w:val="es-ES"/>
        </w:rPr>
      </w:pPr>
      <w:r w:rsidRPr="00B5723A">
        <w:rPr>
          <w:rFonts w:ascii="Arial" w:eastAsia="Calibri" w:hAnsi="Arial" w:cs="Arial"/>
          <w:lang w:val="es-ES"/>
        </w:rPr>
        <w:t xml:space="preserve">a) </w:t>
      </w:r>
      <w:r w:rsidR="003839C9">
        <w:rPr>
          <w:rFonts w:ascii="Arial" w:eastAsia="Calibri" w:hAnsi="Arial" w:cs="Arial"/>
          <w:lang w:val="es-ES"/>
        </w:rPr>
        <w:tab/>
      </w:r>
      <w:r w:rsidRPr="00B5723A">
        <w:rPr>
          <w:rFonts w:ascii="Arial" w:eastAsia="Calibri" w:hAnsi="Arial" w:cs="Arial"/>
          <w:lang w:val="es-ES"/>
        </w:rPr>
        <w:t>El levantamiento catastral se inicia con la fotoidentificación de los linderos, que consiste en ubicar o identificar en el terreno, los linderos del inmueble que aparece en la ortofoto, a través de detalles naturales, artificiales o de cualquier característica resaltante.</w:t>
      </w:r>
    </w:p>
    <w:p w:rsidR="00B5723A" w:rsidRPr="00B5723A" w:rsidRDefault="00B5723A" w:rsidP="003839C9">
      <w:pPr>
        <w:spacing w:after="0" w:line="240" w:lineRule="auto"/>
        <w:ind w:left="3119" w:hanging="709"/>
        <w:jc w:val="both"/>
        <w:rPr>
          <w:rFonts w:ascii="Arial" w:eastAsia="Calibri" w:hAnsi="Arial" w:cs="Arial"/>
          <w:lang w:val="es-ES"/>
        </w:rPr>
      </w:pPr>
    </w:p>
    <w:p w:rsidR="00B5723A" w:rsidRPr="00B5723A" w:rsidRDefault="00B5723A" w:rsidP="003839C9">
      <w:pPr>
        <w:spacing w:after="0" w:line="240" w:lineRule="auto"/>
        <w:ind w:left="3119" w:hanging="709"/>
        <w:jc w:val="both"/>
        <w:rPr>
          <w:rFonts w:ascii="Arial" w:eastAsia="Calibri" w:hAnsi="Arial" w:cs="Arial"/>
          <w:lang w:val="es-ES"/>
        </w:rPr>
      </w:pPr>
      <w:r w:rsidRPr="00B5723A">
        <w:rPr>
          <w:rFonts w:ascii="Arial" w:eastAsia="Calibri" w:hAnsi="Arial" w:cs="Arial"/>
          <w:lang w:val="es-ES"/>
        </w:rPr>
        <w:t xml:space="preserve">b) </w:t>
      </w:r>
      <w:r w:rsidR="003839C9">
        <w:rPr>
          <w:rFonts w:ascii="Arial" w:eastAsia="Calibri" w:hAnsi="Arial" w:cs="Arial"/>
          <w:lang w:val="es-ES"/>
        </w:rPr>
        <w:tab/>
      </w:r>
      <w:r w:rsidRPr="00B5723A">
        <w:rPr>
          <w:rFonts w:ascii="Arial" w:eastAsia="Calibri" w:hAnsi="Arial" w:cs="Arial"/>
          <w:lang w:val="es-ES"/>
        </w:rPr>
        <w:t>Luego, el técnico catastral recorre el perímetro del inmueble, trazándolo en la ortofoto con bolígrafo de tinta seca de color rojo y de punta fina (por ningún motivo utilizar plumón). En caso que se use un colector, se identifican digitalmente los linderos con el lápiz del mismo y se almacena la información.</w:t>
      </w:r>
    </w:p>
    <w:p w:rsidR="00B5723A" w:rsidRPr="00B5723A" w:rsidRDefault="00B5723A" w:rsidP="003839C9">
      <w:pPr>
        <w:spacing w:after="0" w:line="240" w:lineRule="auto"/>
        <w:ind w:left="3119" w:hanging="709"/>
        <w:jc w:val="both"/>
        <w:rPr>
          <w:rFonts w:ascii="Arial" w:eastAsia="Calibri" w:hAnsi="Arial" w:cs="Arial"/>
          <w:lang w:val="es-ES"/>
        </w:rPr>
      </w:pPr>
    </w:p>
    <w:p w:rsidR="00B5723A" w:rsidRPr="00B5723A" w:rsidRDefault="00B5723A" w:rsidP="003839C9">
      <w:pPr>
        <w:spacing w:after="0" w:line="240" w:lineRule="auto"/>
        <w:ind w:left="3119" w:hanging="709"/>
        <w:jc w:val="both"/>
        <w:rPr>
          <w:rFonts w:ascii="Arial" w:eastAsia="Calibri" w:hAnsi="Arial" w:cs="Arial"/>
          <w:lang w:val="es-ES"/>
        </w:rPr>
      </w:pPr>
      <w:r w:rsidRPr="00B5723A">
        <w:rPr>
          <w:rFonts w:ascii="Arial" w:eastAsia="Calibri" w:hAnsi="Arial" w:cs="Arial"/>
          <w:lang w:val="es-ES"/>
        </w:rPr>
        <w:t xml:space="preserve">c) </w:t>
      </w:r>
      <w:r w:rsidR="003839C9">
        <w:rPr>
          <w:rFonts w:ascii="Arial" w:eastAsia="Calibri" w:hAnsi="Arial" w:cs="Arial"/>
          <w:lang w:val="es-ES"/>
        </w:rPr>
        <w:tab/>
      </w:r>
      <w:r w:rsidRPr="00B5723A">
        <w:rPr>
          <w:rFonts w:ascii="Arial" w:eastAsia="Calibri" w:hAnsi="Arial" w:cs="Arial"/>
          <w:lang w:val="es-ES"/>
        </w:rPr>
        <w:t>Se identifica el inmueble-con la Ficha Catastral levantada en campo.</w:t>
      </w:r>
    </w:p>
    <w:p w:rsidR="00B5723A" w:rsidRPr="00B5723A" w:rsidRDefault="00B5723A" w:rsidP="003839C9">
      <w:pPr>
        <w:spacing w:after="0" w:line="240" w:lineRule="auto"/>
        <w:ind w:left="3119" w:hanging="709"/>
        <w:jc w:val="both"/>
        <w:rPr>
          <w:rFonts w:ascii="Arial" w:eastAsia="Calibri" w:hAnsi="Arial" w:cs="Arial"/>
          <w:lang w:val="es-ES"/>
        </w:rPr>
      </w:pPr>
    </w:p>
    <w:p w:rsidR="00B5723A" w:rsidRPr="00B5723A" w:rsidRDefault="00B5723A" w:rsidP="003839C9">
      <w:pPr>
        <w:spacing w:after="0" w:line="240" w:lineRule="auto"/>
        <w:ind w:left="3119" w:hanging="709"/>
        <w:jc w:val="both"/>
        <w:rPr>
          <w:rFonts w:ascii="Arial" w:eastAsia="Calibri" w:hAnsi="Arial" w:cs="Arial"/>
          <w:lang w:val="es-ES"/>
        </w:rPr>
      </w:pPr>
      <w:r w:rsidRPr="00B5723A">
        <w:rPr>
          <w:rFonts w:ascii="Arial" w:eastAsia="Calibri" w:hAnsi="Arial" w:cs="Arial"/>
          <w:lang w:val="es-ES"/>
        </w:rPr>
        <w:t xml:space="preserve">d) </w:t>
      </w:r>
      <w:r w:rsidR="003839C9">
        <w:rPr>
          <w:rFonts w:ascii="Arial" w:eastAsia="Calibri" w:hAnsi="Arial" w:cs="Arial"/>
          <w:lang w:val="es-ES"/>
        </w:rPr>
        <w:tab/>
      </w:r>
      <w:r w:rsidRPr="00B5723A">
        <w:rPr>
          <w:rFonts w:ascii="Arial" w:eastAsia="Calibri" w:hAnsi="Arial" w:cs="Arial"/>
          <w:lang w:val="es-ES"/>
        </w:rPr>
        <w:t>En caso del levantamiento catastral de varios inmuebles en un mismo ámbito geográfico, el técnico catastral lleva el control de correlacionar la ficha con cada inmueble linderado.</w:t>
      </w:r>
    </w:p>
    <w:p w:rsidR="00B5723A" w:rsidRPr="00B5723A" w:rsidRDefault="00B5723A" w:rsidP="003839C9">
      <w:pPr>
        <w:spacing w:after="0" w:line="240" w:lineRule="auto"/>
        <w:ind w:left="3119" w:hanging="709"/>
        <w:jc w:val="both"/>
        <w:rPr>
          <w:rFonts w:ascii="Arial" w:eastAsia="Calibri" w:hAnsi="Arial" w:cs="Arial"/>
          <w:lang w:val="es-ES"/>
        </w:rPr>
      </w:pPr>
    </w:p>
    <w:p w:rsidR="00B5723A" w:rsidRPr="00B5723A" w:rsidRDefault="00B5723A" w:rsidP="003839C9">
      <w:pPr>
        <w:spacing w:after="0" w:line="240" w:lineRule="auto"/>
        <w:ind w:left="3119" w:hanging="709"/>
        <w:jc w:val="both"/>
        <w:rPr>
          <w:rFonts w:ascii="Arial" w:eastAsia="Calibri" w:hAnsi="Arial" w:cs="Arial"/>
          <w:lang w:val="es-ES"/>
        </w:rPr>
      </w:pPr>
      <w:r w:rsidRPr="00B5723A">
        <w:rPr>
          <w:rFonts w:ascii="Arial" w:eastAsia="Calibri" w:hAnsi="Arial" w:cs="Arial"/>
          <w:lang w:val="es-ES"/>
        </w:rPr>
        <w:t xml:space="preserve">e) </w:t>
      </w:r>
      <w:r w:rsidR="003839C9">
        <w:rPr>
          <w:rFonts w:ascii="Arial" w:eastAsia="Calibri" w:hAnsi="Arial" w:cs="Arial"/>
          <w:lang w:val="es-ES"/>
        </w:rPr>
        <w:tab/>
      </w:r>
      <w:r w:rsidRPr="00B5723A">
        <w:rPr>
          <w:rFonts w:ascii="Arial" w:eastAsia="Calibri" w:hAnsi="Arial" w:cs="Arial"/>
          <w:lang w:val="es-ES"/>
        </w:rPr>
        <w:t>En caso de inmuebles cuyos linderos no son fotoidentificables o se ubican en zonas cubiertas de nubosidad u oscuras, la linderación es ejecutada por método directo, según el tamaño de dichos Inmuebles.</w:t>
      </w:r>
    </w:p>
    <w:p w:rsidR="00B5723A" w:rsidRPr="00B5723A" w:rsidRDefault="00B5723A" w:rsidP="003839C9">
      <w:pPr>
        <w:spacing w:after="0" w:line="240" w:lineRule="auto"/>
        <w:ind w:left="3119" w:hanging="709"/>
        <w:jc w:val="both"/>
        <w:rPr>
          <w:rFonts w:ascii="Arial" w:eastAsia="Calibri" w:hAnsi="Arial" w:cs="Arial"/>
          <w:lang w:val="es-ES"/>
        </w:rPr>
      </w:pPr>
    </w:p>
    <w:p w:rsidR="00B5723A" w:rsidRPr="00B5723A" w:rsidRDefault="00B5723A" w:rsidP="003839C9">
      <w:pPr>
        <w:spacing w:after="0" w:line="240" w:lineRule="auto"/>
        <w:ind w:left="3119" w:hanging="709"/>
        <w:jc w:val="both"/>
        <w:rPr>
          <w:rFonts w:ascii="Arial" w:eastAsia="Calibri" w:hAnsi="Arial" w:cs="Arial"/>
          <w:lang w:val="es-ES"/>
        </w:rPr>
      </w:pPr>
      <w:r w:rsidRPr="00B5723A">
        <w:rPr>
          <w:rFonts w:ascii="Arial" w:eastAsia="Calibri" w:hAnsi="Arial" w:cs="Arial"/>
          <w:lang w:val="es-ES"/>
        </w:rPr>
        <w:t xml:space="preserve">f) </w:t>
      </w:r>
      <w:r w:rsidR="003839C9">
        <w:rPr>
          <w:rFonts w:ascii="Arial" w:eastAsia="Calibri" w:hAnsi="Arial" w:cs="Arial"/>
          <w:lang w:val="es-ES"/>
        </w:rPr>
        <w:tab/>
      </w:r>
      <w:r w:rsidRPr="00B5723A">
        <w:rPr>
          <w:rFonts w:ascii="Arial" w:eastAsia="Calibri" w:hAnsi="Arial" w:cs="Arial"/>
          <w:lang w:val="es-ES"/>
        </w:rPr>
        <w:t>Al efectuarse la linderación se debe tener en cuenta los caminos o vías de accesos de orden público, canales de riego, quebradas, ríos, etc., los que por su naturaleza determinan la discontinuidad física del inmueble. Por razones de escala, el ancho de las vías y de los canales son medidos e indicados en las copias fotográficas, lo cual es considerado al efectuarse la digitalización de los linderos.</w:t>
      </w:r>
    </w:p>
    <w:p w:rsidR="00B5723A" w:rsidRPr="00B5723A" w:rsidRDefault="00B5723A" w:rsidP="003839C9">
      <w:pPr>
        <w:spacing w:after="0" w:line="240" w:lineRule="auto"/>
        <w:ind w:left="3119" w:hanging="709"/>
        <w:jc w:val="both"/>
        <w:rPr>
          <w:rFonts w:ascii="Arial" w:eastAsia="Calibri" w:hAnsi="Arial" w:cs="Arial"/>
          <w:lang w:val="es-ES"/>
        </w:rPr>
      </w:pPr>
    </w:p>
    <w:p w:rsidR="00B5723A" w:rsidRPr="00B5723A" w:rsidRDefault="00B5723A" w:rsidP="003839C9">
      <w:pPr>
        <w:spacing w:after="0" w:line="240" w:lineRule="auto"/>
        <w:ind w:left="3119" w:hanging="709"/>
        <w:jc w:val="both"/>
        <w:rPr>
          <w:rFonts w:ascii="Arial" w:eastAsia="Calibri" w:hAnsi="Arial" w:cs="Arial"/>
          <w:lang w:val="es-ES"/>
        </w:rPr>
      </w:pPr>
      <w:r w:rsidRPr="00B5723A">
        <w:rPr>
          <w:rFonts w:ascii="Arial" w:eastAsia="Calibri" w:hAnsi="Arial" w:cs="Arial"/>
          <w:lang w:val="es-ES"/>
        </w:rPr>
        <w:t xml:space="preserve">g) </w:t>
      </w:r>
      <w:r w:rsidR="003839C9">
        <w:rPr>
          <w:rFonts w:ascii="Arial" w:eastAsia="Calibri" w:hAnsi="Arial" w:cs="Arial"/>
          <w:lang w:val="es-ES"/>
        </w:rPr>
        <w:tab/>
      </w:r>
      <w:r w:rsidRPr="00B5723A">
        <w:rPr>
          <w:rFonts w:ascii="Arial" w:eastAsia="Calibri" w:hAnsi="Arial" w:cs="Arial"/>
          <w:lang w:val="es-ES"/>
        </w:rPr>
        <w:t>De ser el caso, se identifica y registra en las copias de las ortofotos, los nombres de los accidentes naturales y artificiales más importantes, (vías, ríos, puentes, carreteras, cerros, ciudades, caseríos etc.), así como los límites políticos y comunales que se encuentren colindantes al inmueble.</w:t>
      </w:r>
    </w:p>
    <w:p w:rsidR="00B5723A" w:rsidRPr="00B5723A" w:rsidRDefault="00B5723A" w:rsidP="003839C9">
      <w:pPr>
        <w:spacing w:after="0" w:line="240" w:lineRule="auto"/>
        <w:ind w:left="3119" w:hanging="709"/>
        <w:jc w:val="both"/>
        <w:rPr>
          <w:rFonts w:ascii="Arial" w:eastAsia="Calibri" w:hAnsi="Arial" w:cs="Arial"/>
          <w:lang w:val="es-ES"/>
        </w:rPr>
      </w:pPr>
    </w:p>
    <w:p w:rsidR="00B5723A" w:rsidRPr="00B5723A" w:rsidRDefault="00B5723A" w:rsidP="003839C9">
      <w:pPr>
        <w:spacing w:after="0" w:line="240" w:lineRule="auto"/>
        <w:ind w:left="3119" w:hanging="709"/>
        <w:jc w:val="both"/>
        <w:rPr>
          <w:rFonts w:ascii="Arial" w:eastAsia="Calibri" w:hAnsi="Arial" w:cs="Arial"/>
          <w:lang w:val="es-ES"/>
        </w:rPr>
      </w:pPr>
      <w:r w:rsidRPr="00B5723A">
        <w:rPr>
          <w:rFonts w:ascii="Arial" w:eastAsia="Calibri" w:hAnsi="Arial" w:cs="Arial"/>
          <w:lang w:val="es-ES"/>
        </w:rPr>
        <w:t xml:space="preserve">h) </w:t>
      </w:r>
      <w:r w:rsidR="003839C9">
        <w:rPr>
          <w:rFonts w:ascii="Arial" w:eastAsia="Calibri" w:hAnsi="Arial" w:cs="Arial"/>
          <w:lang w:val="es-ES"/>
        </w:rPr>
        <w:tab/>
      </w:r>
      <w:r w:rsidRPr="00B5723A">
        <w:rPr>
          <w:rFonts w:ascii="Arial" w:eastAsia="Calibri" w:hAnsi="Arial" w:cs="Arial"/>
          <w:lang w:val="es-ES"/>
        </w:rPr>
        <w:t>Finalmente, se procede al llenado de la Ficha Catastral teniendo en cuenta la asignación del CUS que le corresponde al inmueble.</w:t>
      </w:r>
    </w:p>
    <w:p w:rsidR="00B5723A" w:rsidRPr="00B5723A" w:rsidRDefault="00B5723A" w:rsidP="00B5723A">
      <w:pPr>
        <w:spacing w:after="0" w:line="240" w:lineRule="auto"/>
        <w:jc w:val="both"/>
        <w:rPr>
          <w:rFonts w:ascii="Arial" w:eastAsia="Calibri" w:hAnsi="Arial" w:cs="Arial"/>
          <w:lang w:val="es-ES"/>
        </w:rPr>
      </w:pPr>
    </w:p>
    <w:p w:rsidR="00B5723A" w:rsidRPr="003839C9" w:rsidRDefault="00B5723A" w:rsidP="003839C9">
      <w:pPr>
        <w:spacing w:after="0" w:line="240" w:lineRule="auto"/>
        <w:ind w:left="1560"/>
        <w:jc w:val="both"/>
        <w:rPr>
          <w:rFonts w:ascii="Arial" w:eastAsia="Calibri" w:hAnsi="Arial" w:cs="Arial"/>
          <w:b/>
          <w:lang w:val="es-ES"/>
        </w:rPr>
      </w:pPr>
      <w:r w:rsidRPr="003839C9">
        <w:rPr>
          <w:rFonts w:ascii="Arial" w:eastAsia="Calibri" w:hAnsi="Arial" w:cs="Arial"/>
          <w:b/>
          <w:lang w:val="es-ES"/>
        </w:rPr>
        <w:t>7.1.1.4 FASE DE GABINETE</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3839C9">
      <w:pPr>
        <w:spacing w:after="0" w:line="240" w:lineRule="auto"/>
        <w:ind w:left="2268"/>
        <w:jc w:val="both"/>
        <w:rPr>
          <w:rFonts w:ascii="Arial" w:eastAsia="Calibri" w:hAnsi="Arial" w:cs="Arial"/>
          <w:lang w:val="es-ES"/>
        </w:rPr>
      </w:pPr>
      <w:r w:rsidRPr="00B5723A">
        <w:rPr>
          <w:rFonts w:ascii="Arial" w:eastAsia="Calibri" w:hAnsi="Arial" w:cs="Arial"/>
          <w:lang w:val="es-ES"/>
        </w:rPr>
        <w:t>La secuencia que se sigue es la siguiente:</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3839C9">
      <w:pPr>
        <w:spacing w:after="0" w:line="240" w:lineRule="auto"/>
        <w:ind w:left="2977" w:hanging="709"/>
        <w:jc w:val="both"/>
        <w:rPr>
          <w:rFonts w:ascii="Arial" w:eastAsia="Calibri" w:hAnsi="Arial" w:cs="Arial"/>
          <w:lang w:val="es-ES"/>
        </w:rPr>
      </w:pPr>
      <w:r w:rsidRPr="00B5723A">
        <w:rPr>
          <w:rFonts w:ascii="Arial" w:eastAsia="Calibri" w:hAnsi="Arial" w:cs="Arial"/>
          <w:lang w:val="es-ES"/>
        </w:rPr>
        <w:t xml:space="preserve">a) </w:t>
      </w:r>
      <w:r w:rsidR="003839C9">
        <w:rPr>
          <w:rFonts w:ascii="Arial" w:eastAsia="Calibri" w:hAnsi="Arial" w:cs="Arial"/>
          <w:lang w:val="es-ES"/>
        </w:rPr>
        <w:tab/>
      </w:r>
      <w:r w:rsidRPr="00B5723A">
        <w:rPr>
          <w:rFonts w:ascii="Arial" w:eastAsia="Calibri" w:hAnsi="Arial" w:cs="Arial"/>
          <w:lang w:val="es-ES"/>
        </w:rPr>
        <w:t>La información de los linderos consignada en las ortofotos o material de trabajo de campo, es procesada en gabinete por el técnico catastral, para su ingreso a la Base Grafica Catastral.</w:t>
      </w:r>
    </w:p>
    <w:p w:rsidR="00B5723A" w:rsidRPr="00B5723A" w:rsidRDefault="00B5723A" w:rsidP="003839C9">
      <w:pPr>
        <w:spacing w:after="0" w:line="240" w:lineRule="auto"/>
        <w:ind w:left="2977" w:hanging="709"/>
        <w:jc w:val="both"/>
        <w:rPr>
          <w:rFonts w:ascii="Arial" w:eastAsia="Calibri" w:hAnsi="Arial" w:cs="Arial"/>
          <w:lang w:val="es-ES"/>
        </w:rPr>
      </w:pPr>
    </w:p>
    <w:p w:rsidR="00B5723A" w:rsidRPr="00B5723A" w:rsidRDefault="00B5723A" w:rsidP="003839C9">
      <w:pPr>
        <w:spacing w:after="0" w:line="240" w:lineRule="auto"/>
        <w:ind w:left="2977" w:hanging="709"/>
        <w:jc w:val="both"/>
        <w:rPr>
          <w:rFonts w:ascii="Arial" w:eastAsia="Calibri" w:hAnsi="Arial" w:cs="Arial"/>
          <w:lang w:val="es-ES"/>
        </w:rPr>
      </w:pPr>
      <w:r w:rsidRPr="00B5723A">
        <w:rPr>
          <w:rFonts w:ascii="Arial" w:eastAsia="Calibri" w:hAnsi="Arial" w:cs="Arial"/>
          <w:lang w:val="es-ES"/>
        </w:rPr>
        <w:t xml:space="preserve">b) </w:t>
      </w:r>
      <w:r w:rsidR="003839C9">
        <w:rPr>
          <w:rFonts w:ascii="Arial" w:eastAsia="Calibri" w:hAnsi="Arial" w:cs="Arial"/>
          <w:lang w:val="es-ES"/>
        </w:rPr>
        <w:tab/>
      </w:r>
      <w:r w:rsidRPr="00B5723A">
        <w:rPr>
          <w:rFonts w:ascii="Arial" w:eastAsia="Calibri" w:hAnsi="Arial" w:cs="Arial"/>
          <w:lang w:val="es-ES"/>
        </w:rPr>
        <w:t>Se revisa el llenado de las fichas catastrales, verificándose que su numeración corresponda a la asignada al inmueble catastrado.</w:t>
      </w:r>
    </w:p>
    <w:p w:rsidR="00B5723A" w:rsidRPr="00B5723A" w:rsidRDefault="00B5723A" w:rsidP="003839C9">
      <w:pPr>
        <w:spacing w:after="0" w:line="240" w:lineRule="auto"/>
        <w:ind w:left="2977" w:hanging="709"/>
        <w:jc w:val="both"/>
        <w:rPr>
          <w:rFonts w:ascii="Arial" w:eastAsia="Calibri" w:hAnsi="Arial" w:cs="Arial"/>
          <w:lang w:val="es-ES"/>
        </w:rPr>
      </w:pPr>
    </w:p>
    <w:p w:rsidR="00B5723A" w:rsidRPr="00B5723A" w:rsidRDefault="00B5723A" w:rsidP="003839C9">
      <w:pPr>
        <w:spacing w:after="0" w:line="240" w:lineRule="auto"/>
        <w:ind w:left="2977" w:hanging="709"/>
        <w:jc w:val="both"/>
        <w:rPr>
          <w:rFonts w:ascii="Arial" w:eastAsia="Calibri" w:hAnsi="Arial" w:cs="Arial"/>
          <w:lang w:val="es-ES"/>
        </w:rPr>
      </w:pPr>
      <w:r w:rsidRPr="00B5723A">
        <w:rPr>
          <w:rFonts w:ascii="Arial" w:eastAsia="Calibri" w:hAnsi="Arial" w:cs="Arial"/>
          <w:lang w:val="es-ES"/>
        </w:rPr>
        <w:t xml:space="preserve">c) </w:t>
      </w:r>
      <w:r w:rsidR="003839C9">
        <w:rPr>
          <w:rFonts w:ascii="Arial" w:eastAsia="Calibri" w:hAnsi="Arial" w:cs="Arial"/>
          <w:lang w:val="es-ES"/>
        </w:rPr>
        <w:tab/>
      </w:r>
      <w:r w:rsidRPr="00B5723A">
        <w:rPr>
          <w:rFonts w:ascii="Arial" w:eastAsia="Calibri" w:hAnsi="Arial" w:cs="Arial"/>
          <w:lang w:val="es-ES"/>
        </w:rPr>
        <w:t>Se transcribe la ficha catastral correspondiente en el aplicativo SINABIP, aunque no tenga un CUS asignado.</w:t>
      </w:r>
    </w:p>
    <w:p w:rsidR="00B5723A" w:rsidRPr="00B5723A" w:rsidRDefault="00B5723A" w:rsidP="003839C9">
      <w:pPr>
        <w:spacing w:after="0" w:line="240" w:lineRule="auto"/>
        <w:ind w:left="2977" w:hanging="709"/>
        <w:jc w:val="both"/>
        <w:rPr>
          <w:rFonts w:ascii="Arial" w:eastAsia="Calibri" w:hAnsi="Arial" w:cs="Arial"/>
          <w:lang w:val="es-ES"/>
        </w:rPr>
      </w:pPr>
    </w:p>
    <w:p w:rsidR="00B5723A" w:rsidRPr="00B5723A" w:rsidRDefault="00B5723A" w:rsidP="003839C9">
      <w:pPr>
        <w:spacing w:after="0" w:line="240" w:lineRule="auto"/>
        <w:ind w:left="2977" w:hanging="709"/>
        <w:jc w:val="both"/>
        <w:rPr>
          <w:rFonts w:ascii="Arial" w:eastAsia="Calibri" w:hAnsi="Arial" w:cs="Arial"/>
          <w:lang w:val="es-ES"/>
        </w:rPr>
      </w:pPr>
      <w:r w:rsidRPr="00B5723A">
        <w:rPr>
          <w:rFonts w:ascii="Arial" w:eastAsia="Calibri" w:hAnsi="Arial" w:cs="Arial"/>
          <w:lang w:val="es-ES"/>
        </w:rPr>
        <w:t xml:space="preserve">d) </w:t>
      </w:r>
      <w:r w:rsidR="003839C9">
        <w:rPr>
          <w:rFonts w:ascii="Arial" w:eastAsia="Calibri" w:hAnsi="Arial" w:cs="Arial"/>
          <w:lang w:val="es-ES"/>
        </w:rPr>
        <w:tab/>
      </w:r>
      <w:r w:rsidRPr="00B5723A">
        <w:rPr>
          <w:rFonts w:ascii="Arial" w:eastAsia="Calibri" w:hAnsi="Arial" w:cs="Arial"/>
          <w:lang w:val="es-ES"/>
        </w:rPr>
        <w:t>Dignación de fichas catastrales.- Todas las fichas catastrales correspondientes a los inmuebles que han sido catastrados, son convenientemente digitadas. La digitación de fichas debe ser sometida a control de calidad a fin de verificar que la información digitada concuerde con la levantada en campo y con la que aparece de los documentos sustentatorios.</w:t>
      </w:r>
    </w:p>
    <w:p w:rsidR="00B5723A" w:rsidRPr="00B5723A" w:rsidRDefault="00B5723A" w:rsidP="00B5723A">
      <w:pPr>
        <w:spacing w:after="0" w:line="240" w:lineRule="auto"/>
        <w:jc w:val="both"/>
        <w:rPr>
          <w:rFonts w:ascii="Arial" w:eastAsia="Calibri" w:hAnsi="Arial" w:cs="Arial"/>
          <w:lang w:val="es-ES"/>
        </w:rPr>
      </w:pPr>
    </w:p>
    <w:p w:rsidR="00B5723A" w:rsidRPr="003839C9" w:rsidRDefault="00B5723A" w:rsidP="003839C9">
      <w:pPr>
        <w:spacing w:after="0" w:line="240" w:lineRule="auto"/>
        <w:ind w:left="1560"/>
        <w:jc w:val="both"/>
        <w:rPr>
          <w:rFonts w:ascii="Arial" w:eastAsia="Calibri" w:hAnsi="Arial" w:cs="Arial"/>
          <w:b/>
          <w:lang w:val="es-ES"/>
        </w:rPr>
      </w:pPr>
      <w:r w:rsidRPr="003839C9">
        <w:rPr>
          <w:rFonts w:ascii="Arial" w:eastAsia="Calibri" w:hAnsi="Arial" w:cs="Arial"/>
          <w:b/>
          <w:lang w:val="es-ES"/>
        </w:rPr>
        <w:t>7.1.1.5 CONTROL DE CALIDAD</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3839C9">
      <w:pPr>
        <w:spacing w:after="0" w:line="240" w:lineRule="auto"/>
        <w:ind w:left="2268"/>
        <w:jc w:val="both"/>
        <w:rPr>
          <w:rFonts w:ascii="Arial" w:eastAsia="Calibri" w:hAnsi="Arial" w:cs="Arial"/>
          <w:lang w:val="es-ES"/>
        </w:rPr>
      </w:pPr>
      <w:r w:rsidRPr="00B5723A">
        <w:rPr>
          <w:rFonts w:ascii="Arial" w:eastAsia="Calibri" w:hAnsi="Arial" w:cs="Arial"/>
          <w:lang w:val="es-ES"/>
        </w:rPr>
        <w:t>En todas las fases de campo y gabinete, se lleva a cabo una revisión y verificación de la información obtenida a través de un riguroso control de calidad, a fin de detectar y eliminar cualquier error cometido. Dicha revisión está a cargo de la unidad orgánica encargada del levantamiento catastral.</w:t>
      </w:r>
    </w:p>
    <w:p w:rsidR="00B5723A" w:rsidRPr="00B5723A" w:rsidRDefault="00B5723A" w:rsidP="003839C9">
      <w:pPr>
        <w:spacing w:after="0" w:line="240" w:lineRule="auto"/>
        <w:ind w:left="2268"/>
        <w:jc w:val="both"/>
        <w:rPr>
          <w:rFonts w:ascii="Arial" w:eastAsia="Calibri" w:hAnsi="Arial" w:cs="Arial"/>
          <w:lang w:val="es-ES"/>
        </w:rPr>
      </w:pPr>
    </w:p>
    <w:p w:rsidR="00B5723A" w:rsidRPr="00B5723A" w:rsidRDefault="00B5723A" w:rsidP="003839C9">
      <w:pPr>
        <w:spacing w:after="0" w:line="240" w:lineRule="auto"/>
        <w:ind w:left="2268"/>
        <w:jc w:val="both"/>
        <w:rPr>
          <w:rFonts w:ascii="Arial" w:eastAsia="Calibri" w:hAnsi="Arial" w:cs="Arial"/>
          <w:lang w:val="es-ES"/>
        </w:rPr>
      </w:pPr>
      <w:r w:rsidRPr="00B5723A">
        <w:rPr>
          <w:rFonts w:ascii="Arial" w:eastAsia="Calibri" w:hAnsi="Arial" w:cs="Arial"/>
          <w:lang w:val="es-ES"/>
        </w:rPr>
        <w:t>Para el control de calidad, el técnico catastral debe tener en consideración lo siguiente:</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3839C9">
      <w:pPr>
        <w:spacing w:after="0" w:line="240" w:lineRule="auto"/>
        <w:ind w:left="2977" w:hanging="709"/>
        <w:jc w:val="both"/>
        <w:rPr>
          <w:rFonts w:ascii="Arial" w:eastAsia="Calibri" w:hAnsi="Arial" w:cs="Arial"/>
          <w:lang w:val="es-ES"/>
        </w:rPr>
      </w:pPr>
      <w:r w:rsidRPr="00B5723A">
        <w:rPr>
          <w:rFonts w:ascii="Arial" w:eastAsia="Calibri" w:hAnsi="Arial" w:cs="Arial"/>
          <w:lang w:val="es-ES"/>
        </w:rPr>
        <w:t xml:space="preserve">a) </w:t>
      </w:r>
      <w:r w:rsidR="003839C9">
        <w:rPr>
          <w:rFonts w:ascii="Arial" w:eastAsia="Calibri" w:hAnsi="Arial" w:cs="Arial"/>
          <w:lang w:val="es-ES"/>
        </w:rPr>
        <w:tab/>
      </w:r>
      <w:r w:rsidRPr="00B5723A">
        <w:rPr>
          <w:rFonts w:ascii="Arial" w:eastAsia="Calibri" w:hAnsi="Arial" w:cs="Arial"/>
          <w:lang w:val="es-ES"/>
        </w:rPr>
        <w:t>No deben quedar inmuebles catastrados, sin llenarse la respectiva ficha catastral.</w:t>
      </w:r>
    </w:p>
    <w:p w:rsidR="00B5723A" w:rsidRPr="00B5723A" w:rsidRDefault="00B5723A" w:rsidP="003839C9">
      <w:pPr>
        <w:spacing w:after="0" w:line="240" w:lineRule="auto"/>
        <w:ind w:left="2977" w:hanging="709"/>
        <w:jc w:val="both"/>
        <w:rPr>
          <w:rFonts w:ascii="Arial" w:eastAsia="Calibri" w:hAnsi="Arial" w:cs="Arial"/>
          <w:lang w:val="es-ES"/>
        </w:rPr>
      </w:pPr>
    </w:p>
    <w:p w:rsidR="00B5723A" w:rsidRPr="00B5723A" w:rsidRDefault="00B5723A" w:rsidP="003839C9">
      <w:pPr>
        <w:spacing w:after="0" w:line="240" w:lineRule="auto"/>
        <w:ind w:left="2977" w:hanging="709"/>
        <w:jc w:val="both"/>
        <w:rPr>
          <w:rFonts w:ascii="Arial" w:eastAsia="Calibri" w:hAnsi="Arial" w:cs="Arial"/>
          <w:lang w:val="es-ES"/>
        </w:rPr>
      </w:pPr>
      <w:r w:rsidRPr="00B5723A">
        <w:rPr>
          <w:rFonts w:ascii="Arial" w:eastAsia="Calibri" w:hAnsi="Arial" w:cs="Arial"/>
          <w:lang w:val="es-ES"/>
        </w:rPr>
        <w:t xml:space="preserve">b) </w:t>
      </w:r>
      <w:r w:rsidR="003839C9">
        <w:rPr>
          <w:rFonts w:ascii="Arial" w:eastAsia="Calibri" w:hAnsi="Arial" w:cs="Arial"/>
          <w:lang w:val="es-ES"/>
        </w:rPr>
        <w:tab/>
      </w:r>
      <w:r w:rsidRPr="00B5723A">
        <w:rPr>
          <w:rFonts w:ascii="Arial" w:eastAsia="Calibri" w:hAnsi="Arial" w:cs="Arial"/>
          <w:lang w:val="es-ES"/>
        </w:rPr>
        <w:t>Antes de la linderación, las ortofotos deben tener los límites políticos, comunales, zonas arqueológicas, reservas etc., así como, también los nombres (toponimia) que les corresponda,</w:t>
      </w:r>
    </w:p>
    <w:p w:rsidR="00B5723A" w:rsidRPr="00B5723A" w:rsidRDefault="00B5723A" w:rsidP="003839C9">
      <w:pPr>
        <w:spacing w:after="0" w:line="240" w:lineRule="auto"/>
        <w:ind w:left="2977" w:hanging="709"/>
        <w:jc w:val="both"/>
        <w:rPr>
          <w:rFonts w:ascii="Arial" w:eastAsia="Calibri" w:hAnsi="Arial" w:cs="Arial"/>
          <w:lang w:val="es-ES"/>
        </w:rPr>
      </w:pPr>
    </w:p>
    <w:p w:rsidR="00B5723A" w:rsidRPr="00B5723A" w:rsidRDefault="00B5723A" w:rsidP="003839C9">
      <w:pPr>
        <w:spacing w:after="0" w:line="240" w:lineRule="auto"/>
        <w:ind w:left="2977" w:hanging="709"/>
        <w:jc w:val="both"/>
        <w:rPr>
          <w:rFonts w:ascii="Arial" w:eastAsia="Calibri" w:hAnsi="Arial" w:cs="Arial"/>
          <w:lang w:val="es-ES"/>
        </w:rPr>
      </w:pPr>
      <w:r w:rsidRPr="00B5723A">
        <w:rPr>
          <w:rFonts w:ascii="Arial" w:eastAsia="Calibri" w:hAnsi="Arial" w:cs="Arial"/>
          <w:lang w:val="es-ES"/>
        </w:rPr>
        <w:t xml:space="preserve">c) </w:t>
      </w:r>
      <w:r w:rsidR="003839C9">
        <w:rPr>
          <w:rFonts w:ascii="Arial" w:eastAsia="Calibri" w:hAnsi="Arial" w:cs="Arial"/>
          <w:lang w:val="es-ES"/>
        </w:rPr>
        <w:tab/>
      </w:r>
      <w:r w:rsidRPr="00B5723A">
        <w:rPr>
          <w:rFonts w:ascii="Arial" w:eastAsia="Calibri" w:hAnsi="Arial" w:cs="Arial"/>
          <w:lang w:val="es-ES"/>
        </w:rPr>
        <w:t>Los signos convencionales que se utilicen en la linderación deben ser los indicados en las Normas y Especificaciones Técnicas aprobadas por el IGN.</w:t>
      </w:r>
    </w:p>
    <w:p w:rsidR="00B5723A" w:rsidRPr="00B5723A" w:rsidRDefault="00B5723A" w:rsidP="003839C9">
      <w:pPr>
        <w:spacing w:after="0" w:line="240" w:lineRule="auto"/>
        <w:ind w:left="2977" w:hanging="709"/>
        <w:jc w:val="both"/>
        <w:rPr>
          <w:rFonts w:ascii="Arial" w:eastAsia="Calibri" w:hAnsi="Arial" w:cs="Arial"/>
          <w:lang w:val="es-ES"/>
        </w:rPr>
      </w:pPr>
    </w:p>
    <w:p w:rsidR="00B5723A" w:rsidRPr="00B5723A" w:rsidRDefault="00B5723A" w:rsidP="003839C9">
      <w:pPr>
        <w:spacing w:after="0" w:line="240" w:lineRule="auto"/>
        <w:ind w:left="2977" w:hanging="709"/>
        <w:jc w:val="both"/>
        <w:rPr>
          <w:rFonts w:ascii="Arial" w:eastAsia="Calibri" w:hAnsi="Arial" w:cs="Arial"/>
          <w:lang w:val="es-ES"/>
        </w:rPr>
      </w:pPr>
      <w:r w:rsidRPr="00B5723A">
        <w:rPr>
          <w:rFonts w:ascii="Arial" w:eastAsia="Calibri" w:hAnsi="Arial" w:cs="Arial"/>
          <w:lang w:val="es-ES"/>
        </w:rPr>
        <w:t xml:space="preserve">d) </w:t>
      </w:r>
      <w:r w:rsidR="003839C9">
        <w:rPr>
          <w:rFonts w:ascii="Arial" w:eastAsia="Calibri" w:hAnsi="Arial" w:cs="Arial"/>
          <w:lang w:val="es-ES"/>
        </w:rPr>
        <w:tab/>
      </w:r>
      <w:r w:rsidRPr="00B5723A">
        <w:rPr>
          <w:rFonts w:ascii="Arial" w:eastAsia="Calibri" w:hAnsi="Arial" w:cs="Arial"/>
          <w:lang w:val="es-ES"/>
        </w:rPr>
        <w:t>Los linderos demarcados en las ortofotos deben ser con un trazo firme y totalmente legible.</w:t>
      </w:r>
    </w:p>
    <w:p w:rsidR="00B5723A" w:rsidRPr="00B5723A" w:rsidRDefault="00B5723A" w:rsidP="003839C9">
      <w:pPr>
        <w:spacing w:after="0" w:line="240" w:lineRule="auto"/>
        <w:ind w:left="2977" w:hanging="709"/>
        <w:jc w:val="both"/>
        <w:rPr>
          <w:rFonts w:ascii="Arial" w:eastAsia="Calibri" w:hAnsi="Arial" w:cs="Arial"/>
          <w:lang w:val="es-ES"/>
        </w:rPr>
      </w:pPr>
    </w:p>
    <w:p w:rsidR="00B5723A" w:rsidRPr="00B5723A" w:rsidRDefault="00B5723A" w:rsidP="003839C9">
      <w:pPr>
        <w:spacing w:after="0" w:line="240" w:lineRule="auto"/>
        <w:ind w:left="2977" w:hanging="709"/>
        <w:jc w:val="both"/>
        <w:rPr>
          <w:rFonts w:ascii="Arial" w:eastAsia="Calibri" w:hAnsi="Arial" w:cs="Arial"/>
          <w:lang w:val="es-ES"/>
        </w:rPr>
      </w:pPr>
      <w:r w:rsidRPr="00B5723A">
        <w:rPr>
          <w:rFonts w:ascii="Arial" w:eastAsia="Calibri" w:hAnsi="Arial" w:cs="Arial"/>
          <w:lang w:val="es-ES"/>
        </w:rPr>
        <w:t xml:space="preserve">e) </w:t>
      </w:r>
      <w:r w:rsidR="003839C9">
        <w:rPr>
          <w:rFonts w:ascii="Arial" w:eastAsia="Calibri" w:hAnsi="Arial" w:cs="Arial"/>
          <w:lang w:val="es-ES"/>
        </w:rPr>
        <w:tab/>
      </w:r>
      <w:r w:rsidRPr="00B5723A">
        <w:rPr>
          <w:rFonts w:ascii="Arial" w:eastAsia="Calibri" w:hAnsi="Arial" w:cs="Arial"/>
          <w:lang w:val="es-ES"/>
        </w:rPr>
        <w:t>En las imágenes fotográficas, las vías de comunicación (caminos, carreteras, caminos de herradura, canales, ríos, quebradas, etc.), deben ser identificadas con precisión.</w:t>
      </w:r>
    </w:p>
    <w:p w:rsidR="00B5723A" w:rsidRPr="00B5723A" w:rsidRDefault="00B5723A" w:rsidP="003839C9">
      <w:pPr>
        <w:spacing w:after="0" w:line="240" w:lineRule="auto"/>
        <w:ind w:left="2977" w:hanging="709"/>
        <w:jc w:val="both"/>
        <w:rPr>
          <w:rFonts w:ascii="Arial" w:eastAsia="Calibri" w:hAnsi="Arial" w:cs="Arial"/>
          <w:lang w:val="es-ES"/>
        </w:rPr>
      </w:pPr>
    </w:p>
    <w:p w:rsidR="00B5723A" w:rsidRPr="00B5723A" w:rsidRDefault="00B5723A" w:rsidP="003839C9">
      <w:pPr>
        <w:spacing w:after="0" w:line="240" w:lineRule="auto"/>
        <w:ind w:left="2977" w:hanging="709"/>
        <w:jc w:val="both"/>
        <w:rPr>
          <w:rFonts w:ascii="Arial" w:eastAsia="Calibri" w:hAnsi="Arial" w:cs="Arial"/>
          <w:lang w:val="es-ES"/>
        </w:rPr>
      </w:pPr>
      <w:r w:rsidRPr="00B5723A">
        <w:rPr>
          <w:rFonts w:ascii="Arial" w:eastAsia="Calibri" w:hAnsi="Arial" w:cs="Arial"/>
          <w:lang w:val="es-ES"/>
        </w:rPr>
        <w:t xml:space="preserve">f) </w:t>
      </w:r>
      <w:r w:rsidR="003839C9">
        <w:rPr>
          <w:rFonts w:ascii="Arial" w:eastAsia="Calibri" w:hAnsi="Arial" w:cs="Arial"/>
          <w:lang w:val="es-ES"/>
        </w:rPr>
        <w:tab/>
      </w:r>
      <w:r w:rsidRPr="00B5723A">
        <w:rPr>
          <w:rFonts w:ascii="Arial" w:eastAsia="Calibri" w:hAnsi="Arial" w:cs="Arial"/>
          <w:lang w:val="es-ES"/>
        </w:rPr>
        <w:t>La toponimia debe ser legible, cuidando la caligrafía y ortografía.</w:t>
      </w:r>
    </w:p>
    <w:p w:rsidR="00B5723A" w:rsidRPr="00B5723A" w:rsidRDefault="00B5723A" w:rsidP="003839C9">
      <w:pPr>
        <w:spacing w:after="0" w:line="240" w:lineRule="auto"/>
        <w:ind w:left="2977" w:hanging="709"/>
        <w:jc w:val="both"/>
        <w:rPr>
          <w:rFonts w:ascii="Arial" w:eastAsia="Calibri" w:hAnsi="Arial" w:cs="Arial"/>
          <w:lang w:val="es-ES"/>
        </w:rPr>
      </w:pPr>
    </w:p>
    <w:p w:rsidR="00B5723A" w:rsidRPr="00B5723A" w:rsidRDefault="00B5723A" w:rsidP="003839C9">
      <w:pPr>
        <w:spacing w:after="0" w:line="240" w:lineRule="auto"/>
        <w:ind w:left="2977" w:hanging="709"/>
        <w:jc w:val="both"/>
        <w:rPr>
          <w:rFonts w:ascii="Arial" w:eastAsia="Calibri" w:hAnsi="Arial" w:cs="Arial"/>
          <w:lang w:val="es-ES"/>
        </w:rPr>
      </w:pPr>
      <w:r w:rsidRPr="00B5723A">
        <w:rPr>
          <w:rFonts w:ascii="Arial" w:eastAsia="Calibri" w:hAnsi="Arial" w:cs="Arial"/>
          <w:lang w:val="es-ES"/>
        </w:rPr>
        <w:t xml:space="preserve">g) </w:t>
      </w:r>
      <w:r w:rsidR="003839C9">
        <w:rPr>
          <w:rFonts w:ascii="Arial" w:eastAsia="Calibri" w:hAnsi="Arial" w:cs="Arial"/>
          <w:lang w:val="es-ES"/>
        </w:rPr>
        <w:tab/>
      </w:r>
      <w:r w:rsidRPr="00B5723A">
        <w:rPr>
          <w:rFonts w:ascii="Arial" w:eastAsia="Calibri" w:hAnsi="Arial" w:cs="Arial"/>
          <w:lang w:val="es-ES"/>
        </w:rPr>
        <w:t>Al graficarse el inmueble, no deben quedar linderos abiertos, El polígono respectivo debe quedar completamente cerrado.</w:t>
      </w:r>
    </w:p>
    <w:p w:rsidR="00B5723A" w:rsidRPr="00B5723A" w:rsidRDefault="00B5723A" w:rsidP="003839C9">
      <w:pPr>
        <w:spacing w:after="0" w:line="240" w:lineRule="auto"/>
        <w:ind w:left="2977" w:hanging="709"/>
        <w:jc w:val="both"/>
        <w:rPr>
          <w:rFonts w:ascii="Arial" w:eastAsia="Calibri" w:hAnsi="Arial" w:cs="Arial"/>
          <w:lang w:val="es-ES"/>
        </w:rPr>
      </w:pPr>
    </w:p>
    <w:p w:rsidR="00B5723A" w:rsidRPr="00B5723A" w:rsidRDefault="00B5723A" w:rsidP="003839C9">
      <w:pPr>
        <w:spacing w:after="0" w:line="240" w:lineRule="auto"/>
        <w:ind w:left="2977" w:hanging="709"/>
        <w:jc w:val="both"/>
        <w:rPr>
          <w:rFonts w:ascii="Arial" w:eastAsia="Calibri" w:hAnsi="Arial" w:cs="Arial"/>
          <w:lang w:val="es-ES"/>
        </w:rPr>
      </w:pPr>
      <w:r w:rsidRPr="00B5723A">
        <w:rPr>
          <w:rFonts w:ascii="Arial" w:eastAsia="Calibri" w:hAnsi="Arial" w:cs="Arial"/>
          <w:lang w:val="es-ES"/>
        </w:rPr>
        <w:t xml:space="preserve">h) </w:t>
      </w:r>
      <w:r w:rsidR="003839C9">
        <w:rPr>
          <w:rFonts w:ascii="Arial" w:eastAsia="Calibri" w:hAnsi="Arial" w:cs="Arial"/>
          <w:lang w:val="es-ES"/>
        </w:rPr>
        <w:tab/>
      </w:r>
      <w:r w:rsidRPr="00B5723A">
        <w:rPr>
          <w:rFonts w:ascii="Arial" w:eastAsia="Calibri" w:hAnsi="Arial" w:cs="Arial"/>
          <w:lang w:val="es-ES"/>
        </w:rPr>
        <w:t>Las hojas de las imágenes fotográficas u ortofotos utilizadas en el levantamiento de campo, deben ser refrendadas por el técnico catastral, para el archivo correspondiente.</w:t>
      </w:r>
    </w:p>
    <w:p w:rsidR="00B5723A" w:rsidRPr="00B5723A" w:rsidRDefault="00B5723A" w:rsidP="00B5723A">
      <w:pPr>
        <w:spacing w:after="0" w:line="240" w:lineRule="auto"/>
        <w:jc w:val="both"/>
        <w:rPr>
          <w:rFonts w:ascii="Arial" w:eastAsia="Calibri" w:hAnsi="Arial" w:cs="Arial"/>
          <w:lang w:val="es-ES"/>
        </w:rPr>
      </w:pPr>
    </w:p>
    <w:p w:rsidR="00B5723A" w:rsidRPr="003839C9" w:rsidRDefault="00B5723A" w:rsidP="003839C9">
      <w:pPr>
        <w:spacing w:after="0" w:line="240" w:lineRule="auto"/>
        <w:ind w:left="993"/>
        <w:jc w:val="both"/>
        <w:rPr>
          <w:rFonts w:ascii="Arial" w:eastAsia="Calibri" w:hAnsi="Arial" w:cs="Arial"/>
          <w:b/>
          <w:lang w:val="es-ES"/>
        </w:rPr>
      </w:pPr>
      <w:r w:rsidRPr="00B5723A">
        <w:rPr>
          <w:rFonts w:ascii="Arial" w:eastAsia="Calibri" w:hAnsi="Arial" w:cs="Arial"/>
          <w:lang w:val="es-ES"/>
        </w:rPr>
        <w:tab/>
      </w:r>
      <w:r w:rsidRPr="003839C9">
        <w:rPr>
          <w:rFonts w:ascii="Arial" w:eastAsia="Calibri" w:hAnsi="Arial" w:cs="Arial"/>
          <w:b/>
          <w:lang w:val="es-ES"/>
        </w:rPr>
        <w:t>7.1.2 MÉTODO DIRECTO (GNSS)</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3839C9">
      <w:pPr>
        <w:spacing w:after="0" w:line="240" w:lineRule="auto"/>
        <w:ind w:left="1985"/>
        <w:jc w:val="both"/>
        <w:rPr>
          <w:rFonts w:ascii="Arial" w:eastAsia="Calibri" w:hAnsi="Arial" w:cs="Arial"/>
          <w:lang w:val="es-ES"/>
        </w:rPr>
      </w:pPr>
      <w:r w:rsidRPr="00B5723A">
        <w:rPr>
          <w:rFonts w:ascii="Arial" w:eastAsia="Calibri" w:hAnsi="Arial" w:cs="Arial"/>
          <w:lang w:val="es-ES"/>
        </w:rPr>
        <w:t>Mediante esta tecnología se puede georreferenciar la posición de un punto sobre la superficie terrestre, utilizando equipos topográficos y realizando la medición en el mismo terreno, valiéndose de un Sistema de Referencia y un Marco de Referencia consistente utilizado para establecer un Sistema Geodésico Oficial para el Perú aprobado por el IGN, el cual es el marco de referencia del ordenamiento catastral público y privado, según lo dispuesto por el numeral 2 del artículo 14 de la Ley Nº 28294.</w:t>
      </w:r>
    </w:p>
    <w:p w:rsidR="00B5723A" w:rsidRPr="00B5723A" w:rsidRDefault="00B5723A" w:rsidP="003839C9">
      <w:pPr>
        <w:spacing w:after="0" w:line="240" w:lineRule="auto"/>
        <w:ind w:left="1985"/>
        <w:jc w:val="both"/>
        <w:rPr>
          <w:rFonts w:ascii="Arial" w:eastAsia="Calibri" w:hAnsi="Arial" w:cs="Arial"/>
          <w:lang w:val="es-ES"/>
        </w:rPr>
      </w:pPr>
    </w:p>
    <w:p w:rsidR="00B5723A" w:rsidRPr="00B5723A" w:rsidRDefault="00B5723A" w:rsidP="003839C9">
      <w:pPr>
        <w:spacing w:after="0" w:line="240" w:lineRule="auto"/>
        <w:ind w:left="1985"/>
        <w:jc w:val="both"/>
        <w:rPr>
          <w:rFonts w:ascii="Arial" w:eastAsia="Calibri" w:hAnsi="Arial" w:cs="Arial"/>
          <w:lang w:val="es-ES"/>
        </w:rPr>
      </w:pPr>
      <w:r w:rsidRPr="00B5723A">
        <w:rPr>
          <w:rFonts w:ascii="Arial" w:eastAsia="Calibri" w:hAnsi="Arial" w:cs="Arial"/>
          <w:lang w:val="es-ES"/>
        </w:rPr>
        <w:t>La selección de los equipos topográfico a utilizar dependerá de la naturaleza del inmueble, si es rural o urbano y de las precisiones establecidas.</w:t>
      </w:r>
    </w:p>
    <w:p w:rsidR="00B5723A" w:rsidRPr="00B5723A" w:rsidRDefault="00B5723A" w:rsidP="003839C9">
      <w:pPr>
        <w:spacing w:after="0" w:line="240" w:lineRule="auto"/>
        <w:ind w:left="1985"/>
        <w:jc w:val="both"/>
        <w:rPr>
          <w:rFonts w:ascii="Arial" w:eastAsia="Calibri" w:hAnsi="Arial" w:cs="Arial"/>
          <w:lang w:val="es-ES"/>
        </w:rPr>
      </w:pPr>
    </w:p>
    <w:p w:rsidR="00B5723A" w:rsidRPr="00B5723A" w:rsidRDefault="00B5723A" w:rsidP="003839C9">
      <w:pPr>
        <w:spacing w:after="0" w:line="240" w:lineRule="auto"/>
        <w:ind w:left="1985"/>
        <w:jc w:val="both"/>
        <w:rPr>
          <w:rFonts w:ascii="Arial" w:eastAsia="Calibri" w:hAnsi="Arial" w:cs="Arial"/>
          <w:lang w:val="es-ES"/>
        </w:rPr>
      </w:pPr>
      <w:r w:rsidRPr="00B5723A">
        <w:rPr>
          <w:rFonts w:ascii="Arial" w:eastAsia="Calibri" w:hAnsi="Arial" w:cs="Arial"/>
          <w:lang w:val="es-ES"/>
        </w:rPr>
        <w:t>Los equipos GNSS comprenden una amplia variedad de modelos que tienen precisiones submétrica, decimétrica y centimétrica. Estos últimos se pueden usar para inmuebles rurales debido a que el levantamiento catastral rural es de precisión submétrica.</w:t>
      </w:r>
    </w:p>
    <w:p w:rsidR="00B5723A" w:rsidRPr="00B5723A" w:rsidRDefault="00B5723A" w:rsidP="003839C9">
      <w:pPr>
        <w:spacing w:after="0" w:line="240" w:lineRule="auto"/>
        <w:ind w:left="1985"/>
        <w:jc w:val="both"/>
        <w:rPr>
          <w:rFonts w:ascii="Arial" w:eastAsia="Calibri" w:hAnsi="Arial" w:cs="Arial"/>
          <w:lang w:val="es-ES"/>
        </w:rPr>
      </w:pPr>
    </w:p>
    <w:p w:rsidR="00B5723A" w:rsidRPr="00B5723A" w:rsidRDefault="00B5723A" w:rsidP="003839C9">
      <w:pPr>
        <w:spacing w:after="0" w:line="240" w:lineRule="auto"/>
        <w:ind w:left="1985"/>
        <w:jc w:val="both"/>
        <w:rPr>
          <w:rFonts w:ascii="Arial" w:eastAsia="Calibri" w:hAnsi="Arial" w:cs="Arial"/>
          <w:lang w:val="es-ES"/>
        </w:rPr>
      </w:pPr>
      <w:r w:rsidRPr="00B5723A">
        <w:rPr>
          <w:rFonts w:ascii="Arial" w:eastAsia="Calibri" w:hAnsi="Arial" w:cs="Arial"/>
          <w:lang w:val="es-ES"/>
        </w:rPr>
        <w:t>Para inmuebles urbanos se puede utilizar equipos decimétricos y centimétricos. Sin embargo, en caso de inmuebles con construcciones elevadas o el de sus colindantes, éstas obstaculizarán la recepción de la señal satelital, dificultando su uso en forma masiva, siendo la estación total una muy buena solución. Para su aplicación se necesita el establecimiento por lo menos de dos puntos geodésico de orden “C”, establecidos con equipo GNSS geodésico.</w:t>
      </w:r>
    </w:p>
    <w:p w:rsidR="00B5723A" w:rsidRPr="00B5723A" w:rsidRDefault="00B5723A" w:rsidP="003839C9">
      <w:pPr>
        <w:spacing w:after="0" w:line="240" w:lineRule="auto"/>
        <w:ind w:left="1985"/>
        <w:jc w:val="both"/>
        <w:rPr>
          <w:rFonts w:ascii="Arial" w:eastAsia="Calibri" w:hAnsi="Arial" w:cs="Arial"/>
          <w:lang w:val="es-ES"/>
        </w:rPr>
      </w:pPr>
    </w:p>
    <w:p w:rsidR="00B5723A" w:rsidRPr="00B5723A" w:rsidRDefault="00B5723A" w:rsidP="003839C9">
      <w:pPr>
        <w:spacing w:after="0" w:line="240" w:lineRule="auto"/>
        <w:ind w:left="1985"/>
        <w:jc w:val="both"/>
        <w:rPr>
          <w:rFonts w:ascii="Arial" w:eastAsia="Calibri" w:hAnsi="Arial" w:cs="Arial"/>
          <w:lang w:val="es-ES"/>
        </w:rPr>
      </w:pPr>
      <w:r w:rsidRPr="00B5723A">
        <w:rPr>
          <w:rFonts w:ascii="Arial" w:eastAsia="Calibri" w:hAnsi="Arial" w:cs="Arial"/>
          <w:lang w:val="es-ES"/>
        </w:rPr>
        <w:t>El procedimiento de medición mediante observaciones GNSS que se debe utilizar es:</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D5543E">
      <w:pPr>
        <w:spacing w:after="0" w:line="240" w:lineRule="auto"/>
        <w:ind w:left="2552" w:hanging="425"/>
        <w:jc w:val="both"/>
        <w:rPr>
          <w:rFonts w:ascii="Arial" w:eastAsia="Calibri" w:hAnsi="Arial" w:cs="Arial"/>
          <w:lang w:val="es-ES"/>
        </w:rPr>
      </w:pPr>
      <w:r w:rsidRPr="00B5723A">
        <w:rPr>
          <w:rFonts w:ascii="Arial" w:eastAsia="Calibri" w:hAnsi="Arial" w:cs="Arial"/>
          <w:lang w:val="es-ES"/>
        </w:rPr>
        <w:t xml:space="preserve">* </w:t>
      </w:r>
      <w:r w:rsidR="00D5543E">
        <w:rPr>
          <w:rFonts w:ascii="Arial" w:eastAsia="Calibri" w:hAnsi="Arial" w:cs="Arial"/>
          <w:lang w:val="es-ES"/>
        </w:rPr>
        <w:tab/>
      </w:r>
      <w:r w:rsidRPr="00B5723A">
        <w:rPr>
          <w:rFonts w:ascii="Arial" w:eastAsia="Calibri" w:hAnsi="Arial" w:cs="Arial"/>
          <w:lang w:val="es-ES"/>
        </w:rPr>
        <w:t>Medición Relativa: debido a que se utilizara dos o más equipos que se comunican o intercambian información entre sí.</w:t>
      </w:r>
    </w:p>
    <w:p w:rsidR="00B5723A" w:rsidRPr="00B5723A" w:rsidRDefault="00B5723A" w:rsidP="00D5543E">
      <w:pPr>
        <w:spacing w:after="0" w:line="240" w:lineRule="auto"/>
        <w:ind w:left="1985"/>
        <w:jc w:val="both"/>
        <w:rPr>
          <w:rFonts w:ascii="Arial" w:eastAsia="Calibri" w:hAnsi="Arial" w:cs="Arial"/>
          <w:lang w:val="es-ES"/>
        </w:rPr>
      </w:pPr>
    </w:p>
    <w:p w:rsidR="00B5723A" w:rsidRPr="00B5723A" w:rsidRDefault="00B5723A" w:rsidP="00D5543E">
      <w:pPr>
        <w:spacing w:after="0" w:line="240" w:lineRule="auto"/>
        <w:ind w:left="1985"/>
        <w:jc w:val="both"/>
        <w:rPr>
          <w:rFonts w:ascii="Arial" w:eastAsia="Calibri" w:hAnsi="Arial" w:cs="Arial"/>
          <w:lang w:val="es-ES"/>
        </w:rPr>
      </w:pPr>
      <w:r w:rsidRPr="00B5723A">
        <w:rPr>
          <w:rFonts w:ascii="Arial" w:eastAsia="Calibri" w:hAnsi="Arial" w:cs="Arial"/>
          <w:lang w:val="es-ES"/>
        </w:rPr>
        <w:t>La obtención de la resultante se puede realizar de dos maneras;</w:t>
      </w:r>
    </w:p>
    <w:p w:rsidR="00B5723A" w:rsidRPr="00B5723A" w:rsidRDefault="00B5723A" w:rsidP="00D5543E">
      <w:pPr>
        <w:spacing w:after="0" w:line="240" w:lineRule="auto"/>
        <w:ind w:left="1985"/>
        <w:jc w:val="both"/>
        <w:rPr>
          <w:rFonts w:ascii="Arial" w:eastAsia="Calibri" w:hAnsi="Arial" w:cs="Arial"/>
          <w:lang w:val="es-ES"/>
        </w:rPr>
      </w:pPr>
    </w:p>
    <w:p w:rsidR="00B5723A" w:rsidRPr="00B5723A" w:rsidRDefault="00B5723A" w:rsidP="00D5543E">
      <w:pPr>
        <w:spacing w:after="0" w:line="240" w:lineRule="auto"/>
        <w:ind w:left="2552" w:hanging="425"/>
        <w:jc w:val="both"/>
        <w:rPr>
          <w:rFonts w:ascii="Arial" w:eastAsia="Calibri" w:hAnsi="Arial" w:cs="Arial"/>
          <w:lang w:val="es-ES"/>
        </w:rPr>
      </w:pPr>
      <w:r w:rsidRPr="00B5723A">
        <w:rPr>
          <w:rFonts w:ascii="Arial" w:eastAsia="Calibri" w:hAnsi="Arial" w:cs="Arial"/>
          <w:lang w:val="es-ES"/>
        </w:rPr>
        <w:t xml:space="preserve">* </w:t>
      </w:r>
      <w:r w:rsidR="00D5543E">
        <w:rPr>
          <w:rFonts w:ascii="Arial" w:eastAsia="Calibri" w:hAnsi="Arial" w:cs="Arial"/>
          <w:lang w:val="es-ES"/>
        </w:rPr>
        <w:tab/>
      </w:r>
      <w:r w:rsidRPr="00B5723A">
        <w:rPr>
          <w:rFonts w:ascii="Arial" w:eastAsia="Calibri" w:hAnsi="Arial" w:cs="Arial"/>
          <w:lang w:val="es-ES"/>
        </w:rPr>
        <w:t>Postproceso: Cuando los resultados son obtenidos después de un tiempo, se realiza en gabinete mediante un software apropiado, con los datos de campo (rover) y de la estación base (estación de referencia).</w:t>
      </w:r>
    </w:p>
    <w:p w:rsidR="00B5723A" w:rsidRPr="00B5723A" w:rsidRDefault="00B5723A" w:rsidP="00D5543E">
      <w:pPr>
        <w:spacing w:after="0" w:line="240" w:lineRule="auto"/>
        <w:ind w:left="2552" w:hanging="425"/>
        <w:jc w:val="both"/>
        <w:rPr>
          <w:rFonts w:ascii="Arial" w:eastAsia="Calibri" w:hAnsi="Arial" w:cs="Arial"/>
          <w:lang w:val="es-ES"/>
        </w:rPr>
      </w:pPr>
    </w:p>
    <w:p w:rsidR="00B5723A" w:rsidRPr="00B5723A" w:rsidRDefault="00B5723A" w:rsidP="00D5543E">
      <w:pPr>
        <w:spacing w:after="0" w:line="240" w:lineRule="auto"/>
        <w:ind w:left="2552" w:hanging="425"/>
        <w:jc w:val="both"/>
        <w:rPr>
          <w:rFonts w:ascii="Arial" w:eastAsia="Calibri" w:hAnsi="Arial" w:cs="Arial"/>
          <w:lang w:val="es-ES"/>
        </w:rPr>
      </w:pPr>
      <w:r w:rsidRPr="00B5723A">
        <w:rPr>
          <w:rFonts w:ascii="Arial" w:eastAsia="Calibri" w:hAnsi="Arial" w:cs="Arial"/>
          <w:lang w:val="es-ES"/>
        </w:rPr>
        <w:t xml:space="preserve">* </w:t>
      </w:r>
      <w:r w:rsidR="00D5543E">
        <w:rPr>
          <w:rFonts w:ascii="Arial" w:eastAsia="Calibri" w:hAnsi="Arial" w:cs="Arial"/>
          <w:lang w:val="es-ES"/>
        </w:rPr>
        <w:tab/>
      </w:r>
      <w:r w:rsidRPr="00B5723A">
        <w:rPr>
          <w:rFonts w:ascii="Arial" w:eastAsia="Calibri" w:hAnsi="Arial" w:cs="Arial"/>
          <w:lang w:val="es-ES"/>
        </w:rPr>
        <w:t>Tiempo Real; Cuando el resultado de los datos corregidos se obtiene al mismo tiempo de la medición y con la precisión requerida para el trabajo.</w:t>
      </w:r>
    </w:p>
    <w:p w:rsidR="00B5723A" w:rsidRPr="00B5723A" w:rsidRDefault="00B5723A" w:rsidP="00D5543E">
      <w:pPr>
        <w:spacing w:after="0" w:line="240" w:lineRule="auto"/>
        <w:ind w:left="1985"/>
        <w:jc w:val="both"/>
        <w:rPr>
          <w:rFonts w:ascii="Arial" w:eastAsia="Calibri" w:hAnsi="Arial" w:cs="Arial"/>
          <w:lang w:val="es-ES"/>
        </w:rPr>
      </w:pPr>
    </w:p>
    <w:p w:rsidR="00B5723A" w:rsidRPr="00B5723A" w:rsidRDefault="00B5723A" w:rsidP="00D5543E">
      <w:pPr>
        <w:spacing w:after="0" w:line="240" w:lineRule="auto"/>
        <w:ind w:left="1985"/>
        <w:jc w:val="both"/>
        <w:rPr>
          <w:rFonts w:ascii="Arial" w:eastAsia="Calibri" w:hAnsi="Arial" w:cs="Arial"/>
          <w:lang w:val="es-ES"/>
        </w:rPr>
      </w:pPr>
      <w:r w:rsidRPr="00B5723A">
        <w:rPr>
          <w:rFonts w:ascii="Arial" w:eastAsia="Calibri" w:hAnsi="Arial" w:cs="Arial"/>
          <w:lang w:val="es-ES"/>
        </w:rPr>
        <w:tab/>
        <w:t>Los modos de captura de medición del equipo son:</w:t>
      </w:r>
    </w:p>
    <w:p w:rsidR="00B5723A" w:rsidRPr="00B5723A" w:rsidRDefault="00B5723A" w:rsidP="00D5543E">
      <w:pPr>
        <w:spacing w:after="0" w:line="240" w:lineRule="auto"/>
        <w:ind w:left="1985"/>
        <w:jc w:val="both"/>
        <w:rPr>
          <w:rFonts w:ascii="Arial" w:eastAsia="Calibri" w:hAnsi="Arial" w:cs="Arial"/>
          <w:lang w:val="es-ES"/>
        </w:rPr>
      </w:pPr>
    </w:p>
    <w:p w:rsidR="00B5723A" w:rsidRPr="00B5723A" w:rsidRDefault="00B5723A" w:rsidP="00D5543E">
      <w:pPr>
        <w:spacing w:after="0" w:line="240" w:lineRule="auto"/>
        <w:ind w:left="2552" w:hanging="425"/>
        <w:jc w:val="both"/>
        <w:rPr>
          <w:rFonts w:ascii="Arial" w:eastAsia="Calibri" w:hAnsi="Arial" w:cs="Arial"/>
          <w:lang w:val="es-ES"/>
        </w:rPr>
      </w:pPr>
      <w:r w:rsidRPr="00B5723A">
        <w:rPr>
          <w:rFonts w:ascii="Arial" w:eastAsia="Calibri" w:hAnsi="Arial" w:cs="Arial"/>
          <w:lang w:val="es-ES"/>
        </w:rPr>
        <w:t xml:space="preserve">* </w:t>
      </w:r>
      <w:r w:rsidR="00D5543E">
        <w:rPr>
          <w:rFonts w:ascii="Arial" w:eastAsia="Calibri" w:hAnsi="Arial" w:cs="Arial"/>
          <w:lang w:val="es-ES"/>
        </w:rPr>
        <w:tab/>
      </w:r>
      <w:r w:rsidRPr="00B5723A">
        <w:rPr>
          <w:rFonts w:ascii="Arial" w:eastAsia="Calibri" w:hAnsi="Arial" w:cs="Arial"/>
          <w:lang w:val="es-ES"/>
        </w:rPr>
        <w:t>Modo Estático rápido o</w:t>
      </w:r>
    </w:p>
    <w:p w:rsidR="00B5723A" w:rsidRPr="00B5723A" w:rsidRDefault="00B5723A" w:rsidP="00D5543E">
      <w:pPr>
        <w:spacing w:after="0" w:line="240" w:lineRule="auto"/>
        <w:ind w:left="2552" w:hanging="425"/>
        <w:jc w:val="both"/>
        <w:rPr>
          <w:rFonts w:ascii="Arial" w:eastAsia="Calibri" w:hAnsi="Arial" w:cs="Arial"/>
          <w:lang w:val="es-ES"/>
        </w:rPr>
      </w:pPr>
      <w:r w:rsidRPr="00B5723A">
        <w:rPr>
          <w:rFonts w:ascii="Arial" w:eastAsia="Calibri" w:hAnsi="Arial" w:cs="Arial"/>
          <w:lang w:val="es-ES"/>
        </w:rPr>
        <w:t xml:space="preserve">* </w:t>
      </w:r>
      <w:r w:rsidR="00D5543E">
        <w:rPr>
          <w:rFonts w:ascii="Arial" w:eastAsia="Calibri" w:hAnsi="Arial" w:cs="Arial"/>
          <w:lang w:val="es-ES"/>
        </w:rPr>
        <w:tab/>
      </w:r>
      <w:r w:rsidRPr="00B5723A">
        <w:rPr>
          <w:rFonts w:ascii="Arial" w:eastAsia="Calibri" w:hAnsi="Arial" w:cs="Arial"/>
          <w:lang w:val="es-ES"/>
        </w:rPr>
        <w:t>Modo Cinemático</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D5543E">
      <w:pPr>
        <w:spacing w:after="0" w:line="240" w:lineRule="auto"/>
        <w:ind w:left="1985"/>
        <w:jc w:val="both"/>
        <w:rPr>
          <w:rFonts w:ascii="Arial" w:eastAsia="Calibri" w:hAnsi="Arial" w:cs="Arial"/>
          <w:lang w:val="es-ES"/>
        </w:rPr>
      </w:pPr>
      <w:r w:rsidRPr="00B5723A">
        <w:rPr>
          <w:rFonts w:ascii="Arial" w:eastAsia="Calibri" w:hAnsi="Arial" w:cs="Arial"/>
          <w:lang w:val="es-ES"/>
        </w:rPr>
        <w:t>De manera que cualquier medición que se realice en campo para el levantamiento catastral con equipos GNSS pueda ubicarse en los grupos mencionados, es decir relativo con post-proceso o tiempo real y de forma estática, cinemática u otra variante, de acuerdo a la movilidad del equipo en la ejecución del levantamiento.</w:t>
      </w:r>
    </w:p>
    <w:p w:rsidR="00B5723A" w:rsidRPr="00B5723A" w:rsidRDefault="00B5723A" w:rsidP="00B5723A">
      <w:pPr>
        <w:spacing w:after="0" w:line="240" w:lineRule="auto"/>
        <w:jc w:val="both"/>
        <w:rPr>
          <w:rFonts w:ascii="Arial" w:eastAsia="Calibri" w:hAnsi="Arial" w:cs="Arial"/>
          <w:lang w:val="es-ES"/>
        </w:rPr>
      </w:pPr>
    </w:p>
    <w:p w:rsidR="00B5723A" w:rsidRPr="00D5543E" w:rsidRDefault="00B5723A" w:rsidP="00D5543E">
      <w:pPr>
        <w:spacing w:after="0" w:line="240" w:lineRule="auto"/>
        <w:ind w:left="1843"/>
        <w:jc w:val="both"/>
        <w:rPr>
          <w:rFonts w:ascii="Arial" w:eastAsia="Calibri" w:hAnsi="Arial" w:cs="Arial"/>
          <w:b/>
          <w:lang w:val="es-ES"/>
        </w:rPr>
      </w:pPr>
      <w:r w:rsidRPr="00D5543E">
        <w:rPr>
          <w:rFonts w:ascii="Arial" w:eastAsia="Calibri" w:hAnsi="Arial" w:cs="Arial"/>
          <w:b/>
          <w:lang w:val="es-ES"/>
        </w:rPr>
        <w:t>7.1.2.1 CON EQUIPO GNSS SUBMÉTRICO (METODO DIFERENCIAL)</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D5543E">
      <w:pPr>
        <w:spacing w:after="0" w:line="240" w:lineRule="auto"/>
        <w:ind w:left="2552"/>
        <w:jc w:val="both"/>
        <w:rPr>
          <w:rFonts w:ascii="Arial" w:eastAsia="Calibri" w:hAnsi="Arial" w:cs="Arial"/>
          <w:lang w:val="es-ES"/>
        </w:rPr>
      </w:pPr>
      <w:r w:rsidRPr="00B5723A">
        <w:rPr>
          <w:rFonts w:ascii="Arial" w:eastAsia="Calibri" w:hAnsi="Arial" w:cs="Arial"/>
          <w:lang w:val="es-ES"/>
        </w:rPr>
        <w:t>El método diferencial consiste en utilizar como mínimo dos equipos GNSS, un equipo denominado estación base, que es colocado en un punto geodésico de coordenadas conocidas y el otro, está en campo realizando la georreferenciación de los linderos del inmueble. (Gráfico Nº05)</w:t>
      </w:r>
    </w:p>
    <w:p w:rsidR="00B5723A" w:rsidRPr="00B5723A" w:rsidRDefault="00B5723A" w:rsidP="00B5723A">
      <w:pPr>
        <w:spacing w:after="0" w:line="240" w:lineRule="auto"/>
        <w:jc w:val="both"/>
        <w:rPr>
          <w:rFonts w:ascii="Arial" w:eastAsia="Calibri" w:hAnsi="Arial" w:cs="Arial"/>
          <w:lang w:val="es-ES"/>
        </w:rPr>
      </w:pPr>
    </w:p>
    <w:p w:rsidR="00B5723A" w:rsidRPr="00D5543E" w:rsidRDefault="00B5723A" w:rsidP="00D5543E">
      <w:pPr>
        <w:spacing w:after="0" w:line="240" w:lineRule="auto"/>
        <w:ind w:left="2552"/>
        <w:jc w:val="both"/>
        <w:rPr>
          <w:rFonts w:ascii="Arial" w:eastAsia="Calibri" w:hAnsi="Arial" w:cs="Arial"/>
          <w:b/>
          <w:lang w:val="es-ES"/>
        </w:rPr>
      </w:pPr>
      <w:r w:rsidRPr="00D5543E">
        <w:rPr>
          <w:rFonts w:ascii="Arial" w:eastAsia="Calibri" w:hAnsi="Arial" w:cs="Arial"/>
          <w:b/>
          <w:lang w:val="es-ES"/>
        </w:rPr>
        <w:t>7.1.2.1.1 FASE DE PRE CAMPO:</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D5543E">
      <w:pPr>
        <w:spacing w:after="0" w:line="240" w:lineRule="auto"/>
        <w:ind w:left="3544"/>
        <w:jc w:val="both"/>
        <w:rPr>
          <w:rFonts w:ascii="Arial" w:eastAsia="Calibri" w:hAnsi="Arial" w:cs="Arial"/>
          <w:lang w:val="es-ES"/>
        </w:rPr>
      </w:pPr>
      <w:r w:rsidRPr="00B5723A">
        <w:rPr>
          <w:rFonts w:ascii="Arial" w:eastAsia="Calibri" w:hAnsi="Arial" w:cs="Arial"/>
          <w:lang w:val="es-ES"/>
        </w:rPr>
        <w:t>Respecto a los equipos GNSS y accesorios</w:t>
      </w:r>
    </w:p>
    <w:p w:rsidR="00B5723A" w:rsidRPr="00B5723A" w:rsidRDefault="00B5723A" w:rsidP="00D5543E">
      <w:pPr>
        <w:spacing w:after="0" w:line="240" w:lineRule="auto"/>
        <w:ind w:left="3544"/>
        <w:jc w:val="both"/>
        <w:rPr>
          <w:rFonts w:ascii="Arial" w:eastAsia="Calibri" w:hAnsi="Arial" w:cs="Arial"/>
          <w:lang w:val="es-ES"/>
        </w:rPr>
      </w:pPr>
    </w:p>
    <w:p w:rsidR="00B5723A" w:rsidRPr="00B5723A" w:rsidRDefault="00B5723A" w:rsidP="00D5543E">
      <w:pPr>
        <w:spacing w:after="0" w:line="240" w:lineRule="auto"/>
        <w:ind w:left="3544"/>
        <w:jc w:val="both"/>
        <w:rPr>
          <w:rFonts w:ascii="Arial" w:eastAsia="Calibri" w:hAnsi="Arial" w:cs="Arial"/>
          <w:lang w:val="es-ES"/>
        </w:rPr>
      </w:pPr>
      <w:r w:rsidRPr="00B5723A">
        <w:rPr>
          <w:rFonts w:ascii="Arial" w:eastAsia="Calibri" w:hAnsi="Arial" w:cs="Arial"/>
          <w:lang w:val="es-ES"/>
        </w:rPr>
        <w:t>Se utiliza como mínimo los siguientes equipos GNSS y accesorios:</w:t>
      </w:r>
    </w:p>
    <w:p w:rsidR="00B5723A" w:rsidRPr="00B5723A" w:rsidRDefault="00B5723A" w:rsidP="00D5543E">
      <w:pPr>
        <w:spacing w:after="0" w:line="240" w:lineRule="auto"/>
        <w:ind w:left="3544"/>
        <w:jc w:val="both"/>
        <w:rPr>
          <w:rFonts w:ascii="Arial" w:eastAsia="Calibri" w:hAnsi="Arial" w:cs="Arial"/>
          <w:lang w:val="es-ES"/>
        </w:rPr>
      </w:pPr>
    </w:p>
    <w:p w:rsidR="00B5723A" w:rsidRPr="00B5723A" w:rsidRDefault="00B5723A" w:rsidP="00D5543E">
      <w:pPr>
        <w:spacing w:after="0" w:line="240" w:lineRule="auto"/>
        <w:ind w:left="4111" w:hanging="567"/>
        <w:jc w:val="both"/>
        <w:rPr>
          <w:rFonts w:ascii="Arial" w:eastAsia="Calibri" w:hAnsi="Arial" w:cs="Arial"/>
          <w:lang w:val="es-ES"/>
        </w:rPr>
      </w:pPr>
      <w:r w:rsidRPr="00B5723A">
        <w:rPr>
          <w:rFonts w:ascii="Arial" w:eastAsia="Calibri" w:hAnsi="Arial" w:cs="Arial"/>
          <w:lang w:val="es-ES"/>
        </w:rPr>
        <w:t xml:space="preserve">a) </w:t>
      </w:r>
      <w:r w:rsidR="00D5543E">
        <w:rPr>
          <w:rFonts w:ascii="Arial" w:eastAsia="Calibri" w:hAnsi="Arial" w:cs="Arial"/>
          <w:lang w:val="es-ES"/>
        </w:rPr>
        <w:tab/>
      </w:r>
      <w:r w:rsidRPr="00B5723A">
        <w:rPr>
          <w:rFonts w:ascii="Arial" w:eastAsia="Calibri" w:hAnsi="Arial" w:cs="Arial"/>
          <w:lang w:val="es-ES"/>
        </w:rPr>
        <w:t>Un equipo GNSS de precisión geodésica, utilizada como estación Base GNSS (Usar las ERP o punto geodésico de la REGGEN del IGN).</w:t>
      </w:r>
    </w:p>
    <w:p w:rsidR="00B5723A" w:rsidRPr="00B5723A" w:rsidRDefault="00B5723A" w:rsidP="00D5543E">
      <w:pPr>
        <w:spacing w:after="0" w:line="240" w:lineRule="auto"/>
        <w:ind w:left="4111" w:hanging="709"/>
        <w:jc w:val="both"/>
        <w:rPr>
          <w:rFonts w:ascii="Arial" w:eastAsia="Calibri" w:hAnsi="Arial" w:cs="Arial"/>
          <w:lang w:val="es-ES"/>
        </w:rPr>
      </w:pPr>
    </w:p>
    <w:p w:rsidR="00B5723A" w:rsidRPr="00B5723A" w:rsidRDefault="00B5723A" w:rsidP="00D5543E">
      <w:pPr>
        <w:spacing w:after="0" w:line="240" w:lineRule="auto"/>
        <w:ind w:left="4111" w:hanging="709"/>
        <w:jc w:val="both"/>
        <w:rPr>
          <w:rFonts w:ascii="Arial" w:eastAsia="Calibri" w:hAnsi="Arial" w:cs="Arial"/>
          <w:lang w:val="es-ES"/>
        </w:rPr>
      </w:pPr>
      <w:r w:rsidRPr="00B5723A">
        <w:rPr>
          <w:rFonts w:ascii="Arial" w:eastAsia="Calibri" w:hAnsi="Arial" w:cs="Arial"/>
          <w:lang w:val="es-ES"/>
        </w:rPr>
        <w:t xml:space="preserve">b) </w:t>
      </w:r>
      <w:r w:rsidR="00D5543E">
        <w:rPr>
          <w:rFonts w:ascii="Arial" w:eastAsia="Calibri" w:hAnsi="Arial" w:cs="Arial"/>
          <w:lang w:val="es-ES"/>
        </w:rPr>
        <w:tab/>
      </w:r>
      <w:r w:rsidRPr="00B5723A">
        <w:rPr>
          <w:rFonts w:ascii="Arial" w:eastAsia="Calibri" w:hAnsi="Arial" w:cs="Arial"/>
          <w:lang w:val="es-ES"/>
        </w:rPr>
        <w:t>Un equipo GNSS de presión submetrica para georreferenciar los vértices de la poligonal del inmueble.</w:t>
      </w:r>
    </w:p>
    <w:p w:rsidR="00B5723A" w:rsidRPr="00B5723A" w:rsidRDefault="00B5723A" w:rsidP="00D5543E">
      <w:pPr>
        <w:spacing w:after="0" w:line="240" w:lineRule="auto"/>
        <w:ind w:left="4111" w:hanging="709"/>
        <w:jc w:val="both"/>
        <w:rPr>
          <w:rFonts w:ascii="Arial" w:eastAsia="Calibri" w:hAnsi="Arial" w:cs="Arial"/>
          <w:lang w:val="es-ES"/>
        </w:rPr>
      </w:pPr>
    </w:p>
    <w:p w:rsidR="00B5723A" w:rsidRPr="00B5723A" w:rsidRDefault="00B5723A" w:rsidP="00D5543E">
      <w:pPr>
        <w:spacing w:after="0" w:line="240" w:lineRule="auto"/>
        <w:ind w:left="4111" w:hanging="709"/>
        <w:jc w:val="both"/>
        <w:rPr>
          <w:rFonts w:ascii="Arial" w:eastAsia="Calibri" w:hAnsi="Arial" w:cs="Arial"/>
          <w:lang w:val="es-ES"/>
        </w:rPr>
      </w:pPr>
      <w:r w:rsidRPr="00B5723A">
        <w:rPr>
          <w:rFonts w:ascii="Arial" w:eastAsia="Calibri" w:hAnsi="Arial" w:cs="Arial"/>
          <w:lang w:val="es-ES"/>
        </w:rPr>
        <w:t xml:space="preserve">c) </w:t>
      </w:r>
      <w:r w:rsidR="00D5543E">
        <w:rPr>
          <w:rFonts w:ascii="Arial" w:eastAsia="Calibri" w:hAnsi="Arial" w:cs="Arial"/>
          <w:lang w:val="es-ES"/>
        </w:rPr>
        <w:tab/>
      </w:r>
      <w:r w:rsidRPr="00B5723A">
        <w:rPr>
          <w:rFonts w:ascii="Arial" w:eastAsia="Calibri" w:hAnsi="Arial" w:cs="Arial"/>
          <w:lang w:val="es-ES"/>
        </w:rPr>
        <w:t>Un Bastón de dos metros con nivel esférico, una wincha de 50 m y 6 m.</w:t>
      </w:r>
    </w:p>
    <w:p w:rsidR="00B5723A" w:rsidRPr="00B5723A" w:rsidRDefault="00B5723A" w:rsidP="00D5543E">
      <w:pPr>
        <w:spacing w:after="0" w:line="240" w:lineRule="auto"/>
        <w:ind w:left="4111" w:hanging="709"/>
        <w:jc w:val="both"/>
        <w:rPr>
          <w:rFonts w:ascii="Arial" w:eastAsia="Calibri" w:hAnsi="Arial" w:cs="Arial"/>
          <w:lang w:val="es-ES"/>
        </w:rPr>
      </w:pPr>
    </w:p>
    <w:p w:rsidR="00B5723A" w:rsidRPr="00B5723A" w:rsidRDefault="00B5723A" w:rsidP="00D5543E">
      <w:pPr>
        <w:spacing w:after="0" w:line="240" w:lineRule="auto"/>
        <w:ind w:left="4111" w:hanging="709"/>
        <w:jc w:val="both"/>
        <w:rPr>
          <w:rFonts w:ascii="Arial" w:eastAsia="Calibri" w:hAnsi="Arial" w:cs="Arial"/>
          <w:lang w:val="es-ES"/>
        </w:rPr>
      </w:pPr>
      <w:r w:rsidRPr="00B5723A">
        <w:rPr>
          <w:rFonts w:ascii="Arial" w:eastAsia="Calibri" w:hAnsi="Arial" w:cs="Arial"/>
          <w:lang w:val="es-ES"/>
        </w:rPr>
        <w:t xml:space="preserve">d) </w:t>
      </w:r>
      <w:r w:rsidR="00D5543E">
        <w:rPr>
          <w:rFonts w:ascii="Arial" w:eastAsia="Calibri" w:hAnsi="Arial" w:cs="Arial"/>
          <w:lang w:val="es-ES"/>
        </w:rPr>
        <w:tab/>
      </w:r>
      <w:r w:rsidRPr="00B5723A">
        <w:rPr>
          <w:rFonts w:ascii="Arial" w:eastAsia="Calibri" w:hAnsi="Arial" w:cs="Arial"/>
          <w:lang w:val="es-ES"/>
        </w:rPr>
        <w:t>Un bipode de ser necesario.</w:t>
      </w:r>
    </w:p>
    <w:p w:rsidR="00B5723A" w:rsidRPr="00B5723A" w:rsidRDefault="00B5723A" w:rsidP="00D5543E">
      <w:pPr>
        <w:spacing w:after="0" w:line="240" w:lineRule="auto"/>
        <w:ind w:left="4111" w:hanging="709"/>
        <w:jc w:val="both"/>
        <w:rPr>
          <w:rFonts w:ascii="Arial" w:eastAsia="Calibri" w:hAnsi="Arial" w:cs="Arial"/>
          <w:lang w:val="es-ES"/>
        </w:rPr>
      </w:pPr>
    </w:p>
    <w:p w:rsidR="00B5723A" w:rsidRPr="00B5723A" w:rsidRDefault="00B5723A" w:rsidP="00D5543E">
      <w:pPr>
        <w:spacing w:after="0" w:line="240" w:lineRule="auto"/>
        <w:ind w:left="4111" w:hanging="709"/>
        <w:jc w:val="both"/>
        <w:rPr>
          <w:rFonts w:ascii="Arial" w:eastAsia="Calibri" w:hAnsi="Arial" w:cs="Arial"/>
          <w:lang w:val="es-ES"/>
        </w:rPr>
      </w:pPr>
      <w:r w:rsidRPr="00B5723A">
        <w:rPr>
          <w:rFonts w:ascii="Arial" w:eastAsia="Calibri" w:hAnsi="Arial" w:cs="Arial"/>
          <w:lang w:val="es-ES"/>
        </w:rPr>
        <w:t xml:space="preserve">e) </w:t>
      </w:r>
      <w:r w:rsidR="00D5543E">
        <w:rPr>
          <w:rFonts w:ascii="Arial" w:eastAsia="Calibri" w:hAnsi="Arial" w:cs="Arial"/>
          <w:lang w:val="es-ES"/>
        </w:rPr>
        <w:tab/>
      </w:r>
      <w:r w:rsidRPr="00B5723A">
        <w:rPr>
          <w:rFonts w:ascii="Arial" w:eastAsia="Calibri" w:hAnsi="Arial" w:cs="Arial"/>
          <w:lang w:val="es-ES"/>
        </w:rPr>
        <w:t>Un trípode con base nivelarte.</w:t>
      </w:r>
    </w:p>
    <w:p w:rsidR="00B5723A" w:rsidRPr="00B5723A" w:rsidRDefault="00B5723A" w:rsidP="00D5543E">
      <w:pPr>
        <w:spacing w:after="0" w:line="240" w:lineRule="auto"/>
        <w:ind w:left="4111" w:hanging="709"/>
        <w:jc w:val="both"/>
        <w:rPr>
          <w:rFonts w:ascii="Arial" w:eastAsia="Calibri" w:hAnsi="Arial" w:cs="Arial"/>
          <w:lang w:val="es-ES"/>
        </w:rPr>
      </w:pPr>
    </w:p>
    <w:p w:rsidR="00B5723A" w:rsidRPr="00B5723A" w:rsidRDefault="00B5723A" w:rsidP="00D5543E">
      <w:pPr>
        <w:spacing w:after="0" w:line="240" w:lineRule="auto"/>
        <w:ind w:left="4111" w:hanging="709"/>
        <w:jc w:val="both"/>
        <w:rPr>
          <w:rFonts w:ascii="Arial" w:eastAsia="Calibri" w:hAnsi="Arial" w:cs="Arial"/>
          <w:lang w:val="es-ES"/>
        </w:rPr>
      </w:pPr>
      <w:r w:rsidRPr="00B5723A">
        <w:rPr>
          <w:rFonts w:ascii="Arial" w:eastAsia="Calibri" w:hAnsi="Arial" w:cs="Arial"/>
          <w:lang w:val="es-ES"/>
        </w:rPr>
        <w:t xml:space="preserve">f) </w:t>
      </w:r>
      <w:r w:rsidR="00D5543E">
        <w:rPr>
          <w:rFonts w:ascii="Arial" w:eastAsia="Calibri" w:hAnsi="Arial" w:cs="Arial"/>
          <w:lang w:val="es-ES"/>
        </w:rPr>
        <w:tab/>
      </w:r>
      <w:r w:rsidRPr="00B5723A">
        <w:rPr>
          <w:rFonts w:ascii="Arial" w:eastAsia="Calibri" w:hAnsi="Arial" w:cs="Arial"/>
          <w:lang w:val="es-ES"/>
        </w:rPr>
        <w:t>Se verifica que las baterías estén debidamente cargadas y operativas</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D5543E">
      <w:pPr>
        <w:spacing w:after="0" w:line="240" w:lineRule="auto"/>
        <w:ind w:left="3261"/>
        <w:jc w:val="both"/>
        <w:rPr>
          <w:rFonts w:ascii="Arial" w:eastAsia="Calibri" w:hAnsi="Arial" w:cs="Arial"/>
          <w:lang w:val="es-ES"/>
        </w:rPr>
      </w:pPr>
      <w:r w:rsidRPr="00B5723A">
        <w:rPr>
          <w:rFonts w:ascii="Arial" w:eastAsia="Calibri" w:hAnsi="Arial" w:cs="Arial"/>
          <w:lang w:val="es-ES"/>
        </w:rPr>
        <w:t>Prueba de equipos</w:t>
      </w:r>
    </w:p>
    <w:p w:rsidR="00B5723A" w:rsidRPr="00B5723A" w:rsidRDefault="00B5723A" w:rsidP="00D5543E">
      <w:pPr>
        <w:spacing w:after="0" w:line="240" w:lineRule="auto"/>
        <w:ind w:left="3261"/>
        <w:jc w:val="both"/>
        <w:rPr>
          <w:rFonts w:ascii="Arial" w:eastAsia="Calibri" w:hAnsi="Arial" w:cs="Arial"/>
          <w:lang w:val="es-ES"/>
        </w:rPr>
      </w:pPr>
    </w:p>
    <w:p w:rsidR="00B5723A" w:rsidRPr="00B5723A" w:rsidRDefault="00B5723A" w:rsidP="00D5543E">
      <w:pPr>
        <w:spacing w:after="0" w:line="240" w:lineRule="auto"/>
        <w:ind w:left="3261"/>
        <w:jc w:val="both"/>
        <w:rPr>
          <w:rFonts w:ascii="Arial" w:eastAsia="Calibri" w:hAnsi="Arial" w:cs="Arial"/>
          <w:lang w:val="es-ES"/>
        </w:rPr>
      </w:pPr>
      <w:r w:rsidRPr="00B5723A">
        <w:rPr>
          <w:rFonts w:ascii="Arial" w:eastAsia="Calibri" w:hAnsi="Arial" w:cs="Arial"/>
          <w:lang w:val="es-ES"/>
        </w:rPr>
        <w:t>Para la prueba del equipo se realiza el siguiente procedimiento:</w:t>
      </w:r>
    </w:p>
    <w:p w:rsidR="00B5723A" w:rsidRPr="00B5723A" w:rsidRDefault="00B5723A" w:rsidP="00D5543E">
      <w:pPr>
        <w:spacing w:after="0" w:line="240" w:lineRule="auto"/>
        <w:ind w:left="3261"/>
        <w:jc w:val="both"/>
        <w:rPr>
          <w:rFonts w:ascii="Arial" w:eastAsia="Calibri" w:hAnsi="Arial" w:cs="Arial"/>
          <w:lang w:val="es-ES"/>
        </w:rPr>
      </w:pPr>
    </w:p>
    <w:p w:rsidR="00B5723A" w:rsidRPr="00B5723A" w:rsidRDefault="00B5723A" w:rsidP="00D5543E">
      <w:pPr>
        <w:spacing w:after="0" w:line="240" w:lineRule="auto"/>
        <w:ind w:left="4111" w:hanging="709"/>
        <w:jc w:val="both"/>
        <w:rPr>
          <w:rFonts w:ascii="Arial" w:eastAsia="Calibri" w:hAnsi="Arial" w:cs="Arial"/>
          <w:lang w:val="es-ES"/>
        </w:rPr>
      </w:pPr>
      <w:r w:rsidRPr="00B5723A">
        <w:rPr>
          <w:rFonts w:ascii="Arial" w:eastAsia="Calibri" w:hAnsi="Arial" w:cs="Arial"/>
          <w:lang w:val="es-ES"/>
        </w:rPr>
        <w:t xml:space="preserve">a) </w:t>
      </w:r>
      <w:r w:rsidR="00D5543E">
        <w:rPr>
          <w:rFonts w:ascii="Arial" w:eastAsia="Calibri" w:hAnsi="Arial" w:cs="Arial"/>
          <w:lang w:val="es-ES"/>
        </w:rPr>
        <w:tab/>
      </w:r>
      <w:r w:rsidRPr="00B5723A">
        <w:rPr>
          <w:rFonts w:ascii="Arial" w:eastAsia="Calibri" w:hAnsi="Arial" w:cs="Arial"/>
          <w:lang w:val="es-ES"/>
        </w:rPr>
        <w:t>Se verifica que los equipos funcionen correctamente (batería, colector, receptor y antena).</w:t>
      </w:r>
    </w:p>
    <w:p w:rsidR="00B5723A" w:rsidRPr="00B5723A" w:rsidRDefault="00B5723A" w:rsidP="00D5543E">
      <w:pPr>
        <w:spacing w:after="0" w:line="240" w:lineRule="auto"/>
        <w:ind w:left="4111" w:hanging="709"/>
        <w:jc w:val="both"/>
        <w:rPr>
          <w:rFonts w:ascii="Arial" w:eastAsia="Calibri" w:hAnsi="Arial" w:cs="Arial"/>
          <w:lang w:val="es-ES"/>
        </w:rPr>
      </w:pPr>
    </w:p>
    <w:p w:rsidR="00B5723A" w:rsidRPr="00B5723A" w:rsidRDefault="00B5723A" w:rsidP="00D5543E">
      <w:pPr>
        <w:spacing w:after="0" w:line="240" w:lineRule="auto"/>
        <w:ind w:left="4111" w:hanging="709"/>
        <w:jc w:val="both"/>
        <w:rPr>
          <w:rFonts w:ascii="Arial" w:eastAsia="Calibri" w:hAnsi="Arial" w:cs="Arial"/>
          <w:lang w:val="es-ES"/>
        </w:rPr>
      </w:pPr>
      <w:r w:rsidRPr="00B5723A">
        <w:rPr>
          <w:rFonts w:ascii="Arial" w:eastAsia="Calibri" w:hAnsi="Arial" w:cs="Arial"/>
          <w:lang w:val="es-ES"/>
        </w:rPr>
        <w:t xml:space="preserve">b) </w:t>
      </w:r>
      <w:r w:rsidR="00D5543E">
        <w:rPr>
          <w:rFonts w:ascii="Arial" w:eastAsia="Calibri" w:hAnsi="Arial" w:cs="Arial"/>
          <w:lang w:val="es-ES"/>
        </w:rPr>
        <w:tab/>
      </w:r>
      <w:r w:rsidRPr="00B5723A">
        <w:rPr>
          <w:rFonts w:ascii="Arial" w:eastAsia="Calibri" w:hAnsi="Arial" w:cs="Arial"/>
          <w:lang w:val="es-ES"/>
        </w:rPr>
        <w:t>Se busca dos puntos geodésicos de coordenadas conocidas.</w:t>
      </w:r>
    </w:p>
    <w:p w:rsidR="00B5723A" w:rsidRPr="00B5723A" w:rsidRDefault="00B5723A" w:rsidP="00D5543E">
      <w:pPr>
        <w:spacing w:after="0" w:line="240" w:lineRule="auto"/>
        <w:ind w:left="4111" w:hanging="709"/>
        <w:jc w:val="both"/>
        <w:rPr>
          <w:rFonts w:ascii="Arial" w:eastAsia="Calibri" w:hAnsi="Arial" w:cs="Arial"/>
          <w:lang w:val="es-ES"/>
        </w:rPr>
      </w:pPr>
    </w:p>
    <w:p w:rsidR="00B5723A" w:rsidRPr="00B5723A" w:rsidRDefault="00B5723A" w:rsidP="00D5543E">
      <w:pPr>
        <w:spacing w:after="0" w:line="240" w:lineRule="auto"/>
        <w:ind w:left="4111" w:hanging="709"/>
        <w:jc w:val="both"/>
        <w:rPr>
          <w:rFonts w:ascii="Arial" w:eastAsia="Calibri" w:hAnsi="Arial" w:cs="Arial"/>
          <w:lang w:val="es-ES"/>
        </w:rPr>
      </w:pPr>
      <w:r w:rsidRPr="00B5723A">
        <w:rPr>
          <w:rFonts w:ascii="Arial" w:eastAsia="Calibri" w:hAnsi="Arial" w:cs="Arial"/>
          <w:lang w:val="es-ES"/>
        </w:rPr>
        <w:t xml:space="preserve">c) </w:t>
      </w:r>
      <w:r w:rsidR="00D5543E">
        <w:rPr>
          <w:rFonts w:ascii="Arial" w:eastAsia="Calibri" w:hAnsi="Arial" w:cs="Arial"/>
          <w:lang w:val="es-ES"/>
        </w:rPr>
        <w:tab/>
      </w:r>
      <w:r w:rsidRPr="00B5723A">
        <w:rPr>
          <w:rFonts w:ascii="Arial" w:eastAsia="Calibri" w:hAnsi="Arial" w:cs="Arial"/>
          <w:lang w:val="es-ES"/>
        </w:rPr>
        <w:t>Se coloca un equipo GNSS geodésico como estación base y un equipo GNSS submetrico, sobre las coordenadas conocida. (si utiliza la ERP solo se necesita el equipo GNSS submetrico) y se realiza la toma de datos de forma estático rápido con tiempo de 1, 2 y 5 minutos con registro de cada segundo.</w:t>
      </w:r>
    </w:p>
    <w:p w:rsidR="00B5723A" w:rsidRPr="00B5723A" w:rsidRDefault="00B5723A" w:rsidP="00D5543E">
      <w:pPr>
        <w:spacing w:after="0" w:line="240" w:lineRule="auto"/>
        <w:ind w:left="4111" w:hanging="709"/>
        <w:jc w:val="both"/>
        <w:rPr>
          <w:rFonts w:ascii="Arial" w:eastAsia="Calibri" w:hAnsi="Arial" w:cs="Arial"/>
          <w:lang w:val="es-ES"/>
        </w:rPr>
      </w:pPr>
    </w:p>
    <w:p w:rsidR="00B5723A" w:rsidRPr="00B5723A" w:rsidRDefault="00B5723A" w:rsidP="00D5543E">
      <w:pPr>
        <w:spacing w:after="0" w:line="240" w:lineRule="auto"/>
        <w:ind w:left="4111" w:hanging="709"/>
        <w:jc w:val="both"/>
        <w:rPr>
          <w:rFonts w:ascii="Arial" w:eastAsia="Calibri" w:hAnsi="Arial" w:cs="Arial"/>
          <w:lang w:val="es-ES"/>
        </w:rPr>
      </w:pPr>
      <w:r w:rsidRPr="00B5723A">
        <w:rPr>
          <w:rFonts w:ascii="Arial" w:eastAsia="Calibri" w:hAnsi="Arial" w:cs="Arial"/>
          <w:lang w:val="es-ES"/>
        </w:rPr>
        <w:t xml:space="preserve">d) </w:t>
      </w:r>
      <w:r w:rsidR="00D5543E">
        <w:rPr>
          <w:rFonts w:ascii="Arial" w:eastAsia="Calibri" w:hAnsi="Arial" w:cs="Arial"/>
          <w:lang w:val="es-ES"/>
        </w:rPr>
        <w:tab/>
      </w:r>
      <w:r w:rsidRPr="00B5723A">
        <w:rPr>
          <w:rFonts w:ascii="Arial" w:eastAsia="Calibri" w:hAnsi="Arial" w:cs="Arial"/>
          <w:lang w:val="es-ES"/>
        </w:rPr>
        <w:t>Con los datos tomados en campo se realiza la corrección diferencial para obtener las coordenadas corregidas.</w:t>
      </w:r>
    </w:p>
    <w:p w:rsidR="00B5723A" w:rsidRPr="00B5723A" w:rsidRDefault="00B5723A" w:rsidP="00D5543E">
      <w:pPr>
        <w:spacing w:after="0" w:line="240" w:lineRule="auto"/>
        <w:ind w:left="4111" w:hanging="709"/>
        <w:jc w:val="both"/>
        <w:rPr>
          <w:rFonts w:ascii="Arial" w:eastAsia="Calibri" w:hAnsi="Arial" w:cs="Arial"/>
          <w:lang w:val="es-ES"/>
        </w:rPr>
      </w:pPr>
    </w:p>
    <w:p w:rsidR="00B5723A" w:rsidRPr="00B5723A" w:rsidRDefault="00B5723A" w:rsidP="00D5543E">
      <w:pPr>
        <w:spacing w:after="0" w:line="240" w:lineRule="auto"/>
        <w:ind w:left="4111" w:hanging="709"/>
        <w:jc w:val="both"/>
        <w:rPr>
          <w:rFonts w:ascii="Arial" w:eastAsia="Calibri" w:hAnsi="Arial" w:cs="Arial"/>
          <w:lang w:val="es-ES"/>
        </w:rPr>
      </w:pPr>
      <w:r w:rsidRPr="00B5723A">
        <w:rPr>
          <w:rFonts w:ascii="Arial" w:eastAsia="Calibri" w:hAnsi="Arial" w:cs="Arial"/>
          <w:lang w:val="es-ES"/>
        </w:rPr>
        <w:t xml:space="preserve">e) </w:t>
      </w:r>
      <w:r w:rsidR="00D5543E">
        <w:rPr>
          <w:rFonts w:ascii="Arial" w:eastAsia="Calibri" w:hAnsi="Arial" w:cs="Arial"/>
          <w:lang w:val="es-ES"/>
        </w:rPr>
        <w:tab/>
      </w:r>
      <w:r w:rsidRPr="00B5723A">
        <w:rPr>
          <w:rFonts w:ascii="Arial" w:eastAsia="Calibri" w:hAnsi="Arial" w:cs="Arial"/>
          <w:lang w:val="es-ES"/>
        </w:rPr>
        <w:t>Se compara los resultados obtenidos con las coordenadas conocidas y se verifica si los equipos tienen la precisión requerida para realizar el levantamiento catastral.</w:t>
      </w:r>
    </w:p>
    <w:p w:rsidR="00B5723A" w:rsidRPr="00B5723A" w:rsidRDefault="00B5723A" w:rsidP="00D5543E">
      <w:pPr>
        <w:spacing w:after="0" w:line="240" w:lineRule="auto"/>
        <w:ind w:left="4111" w:hanging="709"/>
        <w:jc w:val="both"/>
        <w:rPr>
          <w:rFonts w:ascii="Arial" w:eastAsia="Calibri" w:hAnsi="Arial" w:cs="Arial"/>
          <w:lang w:val="es-ES"/>
        </w:rPr>
      </w:pPr>
    </w:p>
    <w:p w:rsidR="00B5723A" w:rsidRPr="00B5723A" w:rsidRDefault="00B5723A" w:rsidP="00D5543E">
      <w:pPr>
        <w:spacing w:after="0" w:line="240" w:lineRule="auto"/>
        <w:ind w:left="4111" w:hanging="709"/>
        <w:jc w:val="both"/>
        <w:rPr>
          <w:rFonts w:ascii="Arial" w:eastAsia="Calibri" w:hAnsi="Arial" w:cs="Arial"/>
          <w:lang w:val="es-ES"/>
        </w:rPr>
      </w:pPr>
      <w:r w:rsidRPr="00B5723A">
        <w:rPr>
          <w:rFonts w:ascii="Arial" w:eastAsia="Calibri" w:hAnsi="Arial" w:cs="Arial"/>
          <w:lang w:val="es-ES"/>
        </w:rPr>
        <w:t xml:space="preserve">f) </w:t>
      </w:r>
      <w:r w:rsidR="00D5543E">
        <w:rPr>
          <w:rFonts w:ascii="Arial" w:eastAsia="Calibri" w:hAnsi="Arial" w:cs="Arial"/>
          <w:lang w:val="es-ES"/>
        </w:rPr>
        <w:tab/>
      </w:r>
      <w:r w:rsidRPr="00B5723A">
        <w:rPr>
          <w:rFonts w:ascii="Arial" w:eastAsia="Calibri" w:hAnsi="Arial" w:cs="Arial"/>
          <w:lang w:val="es-ES"/>
        </w:rPr>
        <w:t>Según el resultado del muestreo, se concluye si se puede utilizar el equipo o se envía al servicio técnico para su evaluación y reparación de ser necesario.</w:t>
      </w:r>
    </w:p>
    <w:p w:rsidR="00B5723A" w:rsidRPr="00B5723A" w:rsidRDefault="00B5723A" w:rsidP="00D5543E">
      <w:pPr>
        <w:spacing w:after="0" w:line="240" w:lineRule="auto"/>
        <w:ind w:left="3261"/>
        <w:jc w:val="both"/>
        <w:rPr>
          <w:rFonts w:ascii="Arial" w:eastAsia="Calibri" w:hAnsi="Arial" w:cs="Arial"/>
          <w:lang w:val="es-ES"/>
        </w:rPr>
      </w:pPr>
    </w:p>
    <w:p w:rsidR="00B5723A" w:rsidRPr="00B5723A" w:rsidRDefault="00B5723A" w:rsidP="00D5543E">
      <w:pPr>
        <w:spacing w:after="0" w:line="240" w:lineRule="auto"/>
        <w:ind w:left="3261"/>
        <w:jc w:val="both"/>
        <w:rPr>
          <w:rFonts w:ascii="Arial" w:eastAsia="Calibri" w:hAnsi="Arial" w:cs="Arial"/>
          <w:lang w:val="es-ES"/>
        </w:rPr>
      </w:pPr>
      <w:r w:rsidRPr="00B5723A">
        <w:rPr>
          <w:rFonts w:ascii="Arial" w:eastAsia="Calibri" w:hAnsi="Arial" w:cs="Arial"/>
          <w:lang w:val="es-ES"/>
        </w:rPr>
        <w:tab/>
        <w:t>Software</w:t>
      </w:r>
    </w:p>
    <w:p w:rsidR="00B5723A" w:rsidRPr="00B5723A" w:rsidRDefault="00B5723A" w:rsidP="00D5543E">
      <w:pPr>
        <w:spacing w:after="0" w:line="240" w:lineRule="auto"/>
        <w:ind w:left="3261"/>
        <w:jc w:val="both"/>
        <w:rPr>
          <w:rFonts w:ascii="Arial" w:eastAsia="Calibri" w:hAnsi="Arial" w:cs="Arial"/>
          <w:lang w:val="es-ES"/>
        </w:rPr>
      </w:pPr>
    </w:p>
    <w:p w:rsidR="00B5723A" w:rsidRPr="00B5723A" w:rsidRDefault="00B5723A" w:rsidP="00D5543E">
      <w:pPr>
        <w:spacing w:after="0" w:line="240" w:lineRule="auto"/>
        <w:ind w:left="3261"/>
        <w:jc w:val="both"/>
        <w:rPr>
          <w:rFonts w:ascii="Arial" w:eastAsia="Calibri" w:hAnsi="Arial" w:cs="Arial"/>
          <w:lang w:val="es-ES"/>
        </w:rPr>
      </w:pPr>
      <w:r w:rsidRPr="00B5723A">
        <w:rPr>
          <w:rFonts w:ascii="Arial" w:eastAsia="Calibri" w:hAnsi="Arial" w:cs="Arial"/>
          <w:lang w:val="es-ES"/>
        </w:rPr>
        <w:t>La utilización de equipos GNSS, requiere la utilización de los siguientes software (aplicativos): de campo (colector de datos), de gabinete para post-proceso, CAD o GIS y, de ser necesario, uno que permita la comunicación entre el colector y la computadora. Dichos software deben tener las siguientes características:</w:t>
      </w:r>
    </w:p>
    <w:p w:rsidR="00B5723A" w:rsidRPr="00B5723A" w:rsidRDefault="00B5723A" w:rsidP="00D5543E">
      <w:pPr>
        <w:spacing w:after="0" w:line="240" w:lineRule="auto"/>
        <w:ind w:left="3261"/>
        <w:jc w:val="both"/>
        <w:rPr>
          <w:rFonts w:ascii="Arial" w:eastAsia="Calibri" w:hAnsi="Arial" w:cs="Arial"/>
          <w:lang w:val="es-ES"/>
        </w:rPr>
      </w:pPr>
    </w:p>
    <w:p w:rsidR="00B5723A" w:rsidRPr="00B5723A" w:rsidRDefault="00B5723A" w:rsidP="00D5543E">
      <w:pPr>
        <w:spacing w:after="0" w:line="240" w:lineRule="auto"/>
        <w:ind w:left="3686" w:hanging="425"/>
        <w:jc w:val="both"/>
        <w:rPr>
          <w:rFonts w:ascii="Arial" w:eastAsia="Calibri" w:hAnsi="Arial" w:cs="Arial"/>
          <w:lang w:val="es-ES"/>
        </w:rPr>
      </w:pPr>
      <w:r w:rsidRPr="00B5723A">
        <w:rPr>
          <w:rFonts w:ascii="Arial" w:eastAsia="Calibri" w:hAnsi="Arial" w:cs="Arial"/>
          <w:lang w:val="es-ES"/>
        </w:rPr>
        <w:t xml:space="preserve">* </w:t>
      </w:r>
      <w:r w:rsidR="00D5543E">
        <w:rPr>
          <w:rFonts w:ascii="Arial" w:eastAsia="Calibri" w:hAnsi="Arial" w:cs="Arial"/>
          <w:lang w:val="es-ES"/>
        </w:rPr>
        <w:tab/>
      </w:r>
      <w:r w:rsidRPr="00B5723A">
        <w:rPr>
          <w:rFonts w:ascii="Arial" w:eastAsia="Calibri" w:hAnsi="Arial" w:cs="Arial"/>
          <w:lang w:val="es-ES"/>
        </w:rPr>
        <w:t>Software del Colector de Datos,</w:t>
      </w:r>
    </w:p>
    <w:p w:rsidR="00B5723A" w:rsidRPr="00B5723A" w:rsidRDefault="00B5723A" w:rsidP="00D5543E">
      <w:pPr>
        <w:spacing w:after="0" w:line="240" w:lineRule="auto"/>
        <w:ind w:left="3261"/>
        <w:jc w:val="both"/>
        <w:rPr>
          <w:rFonts w:ascii="Arial" w:eastAsia="Calibri" w:hAnsi="Arial" w:cs="Arial"/>
          <w:lang w:val="es-ES"/>
        </w:rPr>
      </w:pPr>
    </w:p>
    <w:p w:rsidR="00B5723A" w:rsidRPr="00B5723A" w:rsidRDefault="00B5723A" w:rsidP="00D5543E">
      <w:pPr>
        <w:spacing w:after="0" w:line="240" w:lineRule="auto"/>
        <w:ind w:left="3261"/>
        <w:jc w:val="both"/>
        <w:rPr>
          <w:rFonts w:ascii="Arial" w:eastAsia="Calibri" w:hAnsi="Arial" w:cs="Arial"/>
          <w:lang w:val="es-ES"/>
        </w:rPr>
      </w:pPr>
      <w:r w:rsidRPr="00B5723A">
        <w:rPr>
          <w:rFonts w:ascii="Arial" w:eastAsia="Calibri" w:hAnsi="Arial" w:cs="Arial"/>
          <w:lang w:val="es-ES"/>
        </w:rPr>
        <w:t>Debe permitir la configuración de los equipos GNSS, como estación base o rover, para mediciones relativas con post- proceso o a tiempo real (vía internet o radio), así como, visualizar la base grafica para replanteo y navegación.</w:t>
      </w:r>
    </w:p>
    <w:p w:rsidR="00B5723A" w:rsidRPr="00B5723A" w:rsidRDefault="00B5723A" w:rsidP="00D5543E">
      <w:pPr>
        <w:spacing w:after="0" w:line="240" w:lineRule="auto"/>
        <w:ind w:left="3261"/>
        <w:jc w:val="both"/>
        <w:rPr>
          <w:rFonts w:ascii="Arial" w:eastAsia="Calibri" w:hAnsi="Arial" w:cs="Arial"/>
          <w:lang w:val="es-ES"/>
        </w:rPr>
      </w:pPr>
    </w:p>
    <w:p w:rsidR="00B5723A" w:rsidRPr="00B5723A" w:rsidRDefault="00B5723A" w:rsidP="00D5543E">
      <w:pPr>
        <w:spacing w:after="0" w:line="240" w:lineRule="auto"/>
        <w:ind w:left="3261"/>
        <w:jc w:val="both"/>
        <w:rPr>
          <w:rFonts w:ascii="Arial" w:eastAsia="Calibri" w:hAnsi="Arial" w:cs="Arial"/>
          <w:lang w:val="es-ES"/>
        </w:rPr>
      </w:pPr>
      <w:r w:rsidRPr="00B5723A">
        <w:rPr>
          <w:rFonts w:ascii="Arial" w:eastAsia="Calibri" w:hAnsi="Arial" w:cs="Arial"/>
          <w:lang w:val="es-ES"/>
        </w:rPr>
        <w:t>Estas configuraciones deberán estar estandarizadas de acuerdo al modelo y marca de equipo GNSS, lo cual facilitará la supervisión de los trabajos elaborados.</w:t>
      </w:r>
    </w:p>
    <w:p w:rsidR="00B5723A" w:rsidRPr="00B5723A" w:rsidRDefault="00B5723A" w:rsidP="00D5543E">
      <w:pPr>
        <w:spacing w:after="0" w:line="240" w:lineRule="auto"/>
        <w:ind w:left="3261"/>
        <w:jc w:val="both"/>
        <w:rPr>
          <w:rFonts w:ascii="Arial" w:eastAsia="Calibri" w:hAnsi="Arial" w:cs="Arial"/>
          <w:lang w:val="es-ES"/>
        </w:rPr>
      </w:pPr>
    </w:p>
    <w:p w:rsidR="00B5723A" w:rsidRPr="00B5723A" w:rsidRDefault="00B5723A" w:rsidP="00D5543E">
      <w:pPr>
        <w:spacing w:after="0" w:line="240" w:lineRule="auto"/>
        <w:ind w:left="3686" w:hanging="284"/>
        <w:jc w:val="both"/>
        <w:rPr>
          <w:rFonts w:ascii="Arial" w:eastAsia="Calibri" w:hAnsi="Arial" w:cs="Arial"/>
          <w:lang w:val="es-ES"/>
        </w:rPr>
      </w:pPr>
      <w:r w:rsidRPr="00B5723A">
        <w:rPr>
          <w:rFonts w:ascii="Arial" w:eastAsia="Calibri" w:hAnsi="Arial" w:cs="Arial"/>
          <w:lang w:val="es-ES"/>
        </w:rPr>
        <w:t xml:space="preserve">* </w:t>
      </w:r>
      <w:r w:rsidR="00D5543E">
        <w:rPr>
          <w:rFonts w:ascii="Arial" w:eastAsia="Calibri" w:hAnsi="Arial" w:cs="Arial"/>
          <w:lang w:val="es-ES"/>
        </w:rPr>
        <w:tab/>
      </w:r>
      <w:r w:rsidRPr="00B5723A">
        <w:rPr>
          <w:rFonts w:ascii="Arial" w:eastAsia="Calibri" w:hAnsi="Arial" w:cs="Arial"/>
          <w:lang w:val="es-ES"/>
        </w:rPr>
        <w:t>Software de comunicación</w:t>
      </w:r>
    </w:p>
    <w:p w:rsidR="00B5723A" w:rsidRPr="00B5723A" w:rsidRDefault="00B5723A" w:rsidP="00D5543E">
      <w:pPr>
        <w:spacing w:after="0" w:line="240" w:lineRule="auto"/>
        <w:ind w:left="3261"/>
        <w:jc w:val="both"/>
        <w:rPr>
          <w:rFonts w:ascii="Arial" w:eastAsia="Calibri" w:hAnsi="Arial" w:cs="Arial"/>
          <w:lang w:val="es-ES"/>
        </w:rPr>
      </w:pPr>
    </w:p>
    <w:p w:rsidR="00B5723A" w:rsidRPr="00B5723A" w:rsidRDefault="00B5723A" w:rsidP="00D5543E">
      <w:pPr>
        <w:spacing w:after="0" w:line="240" w:lineRule="auto"/>
        <w:ind w:left="3261"/>
        <w:jc w:val="both"/>
        <w:rPr>
          <w:rFonts w:ascii="Arial" w:eastAsia="Calibri" w:hAnsi="Arial" w:cs="Arial"/>
          <w:lang w:val="es-ES"/>
        </w:rPr>
      </w:pPr>
      <w:r w:rsidRPr="00B5723A">
        <w:rPr>
          <w:rFonts w:ascii="Arial" w:eastAsia="Calibri" w:hAnsi="Arial" w:cs="Arial"/>
          <w:lang w:val="es-ES"/>
        </w:rPr>
        <w:t>Algunos equipos GNSS necesitan un software que permita que el colector de datos y la computadora puedan comunicarse, permitiendo intercambiar información.</w:t>
      </w:r>
    </w:p>
    <w:p w:rsidR="00B5723A" w:rsidRPr="00B5723A" w:rsidRDefault="00B5723A" w:rsidP="00D5543E">
      <w:pPr>
        <w:spacing w:after="0" w:line="240" w:lineRule="auto"/>
        <w:ind w:left="3686" w:hanging="425"/>
        <w:jc w:val="both"/>
        <w:rPr>
          <w:rFonts w:ascii="Arial" w:eastAsia="Calibri" w:hAnsi="Arial" w:cs="Arial"/>
          <w:lang w:val="es-ES"/>
        </w:rPr>
      </w:pPr>
    </w:p>
    <w:p w:rsidR="00B5723A" w:rsidRPr="00B5723A" w:rsidRDefault="00B5723A" w:rsidP="00D5543E">
      <w:pPr>
        <w:spacing w:after="0" w:line="240" w:lineRule="auto"/>
        <w:ind w:left="3686" w:hanging="425"/>
        <w:jc w:val="both"/>
        <w:rPr>
          <w:rFonts w:ascii="Arial" w:eastAsia="Calibri" w:hAnsi="Arial" w:cs="Arial"/>
          <w:lang w:val="es-ES"/>
        </w:rPr>
      </w:pPr>
      <w:r w:rsidRPr="00B5723A">
        <w:rPr>
          <w:rFonts w:ascii="Arial" w:eastAsia="Calibri" w:hAnsi="Arial" w:cs="Arial"/>
          <w:lang w:val="es-ES"/>
        </w:rPr>
        <w:t xml:space="preserve">* </w:t>
      </w:r>
      <w:r w:rsidR="00D5543E">
        <w:rPr>
          <w:rFonts w:ascii="Arial" w:eastAsia="Calibri" w:hAnsi="Arial" w:cs="Arial"/>
          <w:lang w:val="es-ES"/>
        </w:rPr>
        <w:tab/>
      </w:r>
      <w:r w:rsidRPr="00B5723A">
        <w:rPr>
          <w:rFonts w:ascii="Arial" w:eastAsia="Calibri" w:hAnsi="Arial" w:cs="Arial"/>
          <w:lang w:val="es-ES"/>
        </w:rPr>
        <w:t>Software de gabinete de corrección diferencial,</w:t>
      </w:r>
    </w:p>
    <w:p w:rsidR="00B5723A" w:rsidRPr="00B5723A" w:rsidRDefault="00B5723A" w:rsidP="00D5543E">
      <w:pPr>
        <w:spacing w:after="0" w:line="240" w:lineRule="auto"/>
        <w:ind w:left="3261"/>
        <w:jc w:val="both"/>
        <w:rPr>
          <w:rFonts w:ascii="Arial" w:eastAsia="Calibri" w:hAnsi="Arial" w:cs="Arial"/>
          <w:lang w:val="es-ES"/>
        </w:rPr>
      </w:pPr>
    </w:p>
    <w:p w:rsidR="00B5723A" w:rsidRPr="00B5723A" w:rsidRDefault="00B5723A" w:rsidP="00D5543E">
      <w:pPr>
        <w:spacing w:after="0" w:line="240" w:lineRule="auto"/>
        <w:ind w:left="3261"/>
        <w:jc w:val="both"/>
        <w:rPr>
          <w:rFonts w:ascii="Arial" w:eastAsia="Calibri" w:hAnsi="Arial" w:cs="Arial"/>
          <w:lang w:val="es-ES"/>
        </w:rPr>
      </w:pPr>
      <w:r w:rsidRPr="00B5723A">
        <w:rPr>
          <w:rFonts w:ascii="Arial" w:eastAsia="Calibri" w:hAnsi="Arial" w:cs="Arial"/>
          <w:lang w:val="es-ES"/>
        </w:rPr>
        <w:t>El software de gabinete de corrección diferencial debe tener las siguientes características:</w:t>
      </w:r>
    </w:p>
    <w:p w:rsidR="00B5723A" w:rsidRPr="00B5723A" w:rsidRDefault="00B5723A" w:rsidP="00D5543E">
      <w:pPr>
        <w:spacing w:after="0" w:line="240" w:lineRule="auto"/>
        <w:ind w:left="3261"/>
        <w:jc w:val="both"/>
        <w:rPr>
          <w:rFonts w:ascii="Arial" w:eastAsia="Calibri" w:hAnsi="Arial" w:cs="Arial"/>
          <w:lang w:val="es-ES"/>
        </w:rPr>
      </w:pPr>
    </w:p>
    <w:p w:rsidR="00B5723A" w:rsidRPr="00B5723A" w:rsidRDefault="00B5723A" w:rsidP="00D5543E">
      <w:pPr>
        <w:spacing w:after="0" w:line="240" w:lineRule="auto"/>
        <w:ind w:left="3686" w:hanging="425"/>
        <w:jc w:val="both"/>
        <w:rPr>
          <w:rFonts w:ascii="Arial" w:eastAsia="Calibri" w:hAnsi="Arial" w:cs="Arial"/>
          <w:lang w:val="es-ES"/>
        </w:rPr>
      </w:pPr>
      <w:r w:rsidRPr="00B5723A">
        <w:rPr>
          <w:rFonts w:ascii="Arial" w:eastAsia="Calibri" w:hAnsi="Arial" w:cs="Arial"/>
          <w:lang w:val="es-ES"/>
        </w:rPr>
        <w:t xml:space="preserve">a) </w:t>
      </w:r>
      <w:r w:rsidR="00D5543E">
        <w:rPr>
          <w:rFonts w:ascii="Arial" w:eastAsia="Calibri" w:hAnsi="Arial" w:cs="Arial"/>
          <w:lang w:val="es-ES"/>
        </w:rPr>
        <w:tab/>
      </w:r>
      <w:r w:rsidRPr="00B5723A">
        <w:rPr>
          <w:rFonts w:ascii="Arial" w:eastAsia="Calibri" w:hAnsi="Arial" w:cs="Arial"/>
          <w:lang w:val="es-ES"/>
        </w:rPr>
        <w:t>Permita la transferencia de información (datos tomados, base gráfica, listado de puntos con coordenadas, etc.) del colector de datos GNSS hacia la computadora y viceversa.</w:t>
      </w:r>
    </w:p>
    <w:p w:rsidR="00B5723A" w:rsidRPr="00B5723A" w:rsidRDefault="00B5723A" w:rsidP="00D5543E">
      <w:pPr>
        <w:spacing w:after="0" w:line="240" w:lineRule="auto"/>
        <w:ind w:left="3686" w:hanging="425"/>
        <w:jc w:val="both"/>
        <w:rPr>
          <w:rFonts w:ascii="Arial" w:eastAsia="Calibri" w:hAnsi="Arial" w:cs="Arial"/>
          <w:lang w:val="es-ES"/>
        </w:rPr>
      </w:pPr>
    </w:p>
    <w:p w:rsidR="00B5723A" w:rsidRPr="00B5723A" w:rsidRDefault="00B5723A" w:rsidP="00D5543E">
      <w:pPr>
        <w:spacing w:after="0" w:line="240" w:lineRule="auto"/>
        <w:ind w:left="3686" w:hanging="425"/>
        <w:jc w:val="both"/>
        <w:rPr>
          <w:rFonts w:ascii="Arial" w:eastAsia="Calibri" w:hAnsi="Arial" w:cs="Arial"/>
          <w:lang w:val="es-ES"/>
        </w:rPr>
      </w:pPr>
      <w:r w:rsidRPr="00B5723A">
        <w:rPr>
          <w:rFonts w:ascii="Arial" w:eastAsia="Calibri" w:hAnsi="Arial" w:cs="Arial"/>
          <w:lang w:val="es-ES"/>
        </w:rPr>
        <w:t xml:space="preserve">b) </w:t>
      </w:r>
      <w:r w:rsidR="00D5543E">
        <w:rPr>
          <w:rFonts w:ascii="Arial" w:eastAsia="Calibri" w:hAnsi="Arial" w:cs="Arial"/>
          <w:lang w:val="es-ES"/>
        </w:rPr>
        <w:tab/>
      </w:r>
      <w:r w:rsidRPr="00B5723A">
        <w:rPr>
          <w:rFonts w:ascii="Arial" w:eastAsia="Calibri" w:hAnsi="Arial" w:cs="Arial"/>
          <w:lang w:val="es-ES"/>
        </w:rPr>
        <w:t>Realice la corrección diferencial con los datos en campo y datos de la estación Base.</w:t>
      </w:r>
    </w:p>
    <w:p w:rsidR="00B5723A" w:rsidRPr="00B5723A" w:rsidRDefault="00B5723A" w:rsidP="00D5543E">
      <w:pPr>
        <w:spacing w:after="0" w:line="240" w:lineRule="auto"/>
        <w:ind w:left="3686" w:hanging="425"/>
        <w:jc w:val="both"/>
        <w:rPr>
          <w:rFonts w:ascii="Arial" w:eastAsia="Calibri" w:hAnsi="Arial" w:cs="Arial"/>
          <w:lang w:val="es-ES"/>
        </w:rPr>
      </w:pPr>
    </w:p>
    <w:p w:rsidR="00B5723A" w:rsidRPr="00B5723A" w:rsidRDefault="00B5723A" w:rsidP="00D5543E">
      <w:pPr>
        <w:spacing w:after="0" w:line="240" w:lineRule="auto"/>
        <w:ind w:left="3686" w:hanging="425"/>
        <w:jc w:val="both"/>
        <w:rPr>
          <w:rFonts w:ascii="Arial" w:eastAsia="Calibri" w:hAnsi="Arial" w:cs="Arial"/>
          <w:lang w:val="es-ES"/>
        </w:rPr>
      </w:pPr>
      <w:r w:rsidRPr="00B5723A">
        <w:rPr>
          <w:rFonts w:ascii="Arial" w:eastAsia="Calibri" w:hAnsi="Arial" w:cs="Arial"/>
          <w:lang w:val="es-ES"/>
        </w:rPr>
        <w:t xml:space="preserve">c) </w:t>
      </w:r>
      <w:r w:rsidR="00D5543E">
        <w:rPr>
          <w:rFonts w:ascii="Arial" w:eastAsia="Calibri" w:hAnsi="Arial" w:cs="Arial"/>
          <w:lang w:val="es-ES"/>
        </w:rPr>
        <w:tab/>
      </w:r>
      <w:r w:rsidRPr="00B5723A">
        <w:rPr>
          <w:rFonts w:ascii="Arial" w:eastAsia="Calibri" w:hAnsi="Arial" w:cs="Arial"/>
          <w:lang w:val="es-ES"/>
        </w:rPr>
        <w:t>Permita procesar en formato Rinex datos de la estación rastreo permanente del IGN.</w:t>
      </w:r>
    </w:p>
    <w:p w:rsidR="00B5723A" w:rsidRPr="00B5723A" w:rsidRDefault="00B5723A" w:rsidP="00D5543E">
      <w:pPr>
        <w:spacing w:after="0" w:line="240" w:lineRule="auto"/>
        <w:ind w:left="3686" w:hanging="425"/>
        <w:jc w:val="both"/>
        <w:rPr>
          <w:rFonts w:ascii="Arial" w:eastAsia="Calibri" w:hAnsi="Arial" w:cs="Arial"/>
          <w:lang w:val="es-ES"/>
        </w:rPr>
      </w:pPr>
    </w:p>
    <w:p w:rsidR="00B5723A" w:rsidRPr="00B5723A" w:rsidRDefault="00B5723A" w:rsidP="00D5543E">
      <w:pPr>
        <w:spacing w:after="0" w:line="240" w:lineRule="auto"/>
        <w:ind w:left="3686" w:hanging="425"/>
        <w:jc w:val="both"/>
        <w:rPr>
          <w:rFonts w:ascii="Arial" w:eastAsia="Calibri" w:hAnsi="Arial" w:cs="Arial"/>
          <w:lang w:val="es-ES"/>
        </w:rPr>
      </w:pPr>
      <w:r w:rsidRPr="00B5723A">
        <w:rPr>
          <w:rFonts w:ascii="Arial" w:eastAsia="Calibri" w:hAnsi="Arial" w:cs="Arial"/>
          <w:lang w:val="es-ES"/>
        </w:rPr>
        <w:t xml:space="preserve">d) </w:t>
      </w:r>
      <w:r w:rsidR="00D5543E">
        <w:rPr>
          <w:rFonts w:ascii="Arial" w:eastAsia="Calibri" w:hAnsi="Arial" w:cs="Arial"/>
          <w:lang w:val="es-ES"/>
        </w:rPr>
        <w:tab/>
      </w:r>
      <w:r w:rsidRPr="00B5723A">
        <w:rPr>
          <w:rFonts w:ascii="Arial" w:eastAsia="Calibri" w:hAnsi="Arial" w:cs="Arial"/>
          <w:lang w:val="es-ES"/>
        </w:rPr>
        <w:t>Permita exportar los datos corregidos a un CAD o GIS.</w:t>
      </w:r>
    </w:p>
    <w:p w:rsidR="00B5723A" w:rsidRPr="00B5723A" w:rsidRDefault="00B5723A" w:rsidP="00D5543E">
      <w:pPr>
        <w:spacing w:after="0" w:line="240" w:lineRule="auto"/>
        <w:ind w:left="3686" w:hanging="425"/>
        <w:jc w:val="both"/>
        <w:rPr>
          <w:rFonts w:ascii="Arial" w:eastAsia="Calibri" w:hAnsi="Arial" w:cs="Arial"/>
          <w:lang w:val="es-ES"/>
        </w:rPr>
      </w:pPr>
    </w:p>
    <w:p w:rsidR="00B5723A" w:rsidRPr="00B5723A" w:rsidRDefault="00B5723A" w:rsidP="00D5543E">
      <w:pPr>
        <w:spacing w:after="0" w:line="240" w:lineRule="auto"/>
        <w:ind w:left="3686" w:hanging="425"/>
        <w:jc w:val="both"/>
        <w:rPr>
          <w:rFonts w:ascii="Arial" w:eastAsia="Calibri" w:hAnsi="Arial" w:cs="Arial"/>
          <w:lang w:val="es-ES"/>
        </w:rPr>
      </w:pPr>
      <w:r w:rsidRPr="00B5723A">
        <w:rPr>
          <w:rFonts w:ascii="Arial" w:eastAsia="Calibri" w:hAnsi="Arial" w:cs="Arial"/>
          <w:lang w:val="es-ES"/>
        </w:rPr>
        <w:t xml:space="preserve">e) </w:t>
      </w:r>
      <w:r w:rsidR="00D5543E">
        <w:rPr>
          <w:rFonts w:ascii="Arial" w:eastAsia="Calibri" w:hAnsi="Arial" w:cs="Arial"/>
          <w:lang w:val="es-ES"/>
        </w:rPr>
        <w:tab/>
      </w:r>
      <w:r w:rsidRPr="00B5723A">
        <w:rPr>
          <w:rFonts w:ascii="Arial" w:eastAsia="Calibri" w:hAnsi="Arial" w:cs="Arial"/>
          <w:lang w:val="es-ES"/>
        </w:rPr>
        <w:t>Emita un reporte de la corrección diferencial donde especifique la hora, precisión horizontal y vertical, coordenadas geográfica y UTM, residuales, línea base, tipo de equipos, etc.</w:t>
      </w:r>
    </w:p>
    <w:p w:rsidR="00B5723A" w:rsidRPr="00B5723A" w:rsidRDefault="00B5723A" w:rsidP="00D5543E">
      <w:pPr>
        <w:spacing w:after="0" w:line="240" w:lineRule="auto"/>
        <w:ind w:left="3261"/>
        <w:jc w:val="both"/>
        <w:rPr>
          <w:rFonts w:ascii="Arial" w:eastAsia="Calibri" w:hAnsi="Arial" w:cs="Arial"/>
          <w:lang w:val="es-ES"/>
        </w:rPr>
      </w:pPr>
    </w:p>
    <w:p w:rsidR="00B5723A" w:rsidRPr="00B5723A" w:rsidRDefault="00B5723A" w:rsidP="00D5543E">
      <w:pPr>
        <w:spacing w:after="0" w:line="240" w:lineRule="auto"/>
        <w:ind w:left="3261"/>
        <w:jc w:val="both"/>
        <w:rPr>
          <w:rFonts w:ascii="Arial" w:eastAsia="Calibri" w:hAnsi="Arial" w:cs="Arial"/>
          <w:lang w:val="es-ES"/>
        </w:rPr>
      </w:pPr>
      <w:r w:rsidRPr="00B5723A">
        <w:rPr>
          <w:rFonts w:ascii="Arial" w:eastAsia="Calibri" w:hAnsi="Arial" w:cs="Arial"/>
          <w:lang w:val="es-ES"/>
        </w:rPr>
        <w:t xml:space="preserve">* </w:t>
      </w:r>
      <w:r w:rsidR="00D5543E">
        <w:rPr>
          <w:rFonts w:ascii="Arial" w:eastAsia="Calibri" w:hAnsi="Arial" w:cs="Arial"/>
          <w:lang w:val="es-ES"/>
        </w:rPr>
        <w:tab/>
      </w:r>
      <w:r w:rsidRPr="00B5723A">
        <w:rPr>
          <w:rFonts w:ascii="Arial" w:eastAsia="Calibri" w:hAnsi="Arial" w:cs="Arial"/>
          <w:lang w:val="es-ES"/>
        </w:rPr>
        <w:t>Software CAD o GIS</w:t>
      </w:r>
    </w:p>
    <w:p w:rsidR="00B5723A" w:rsidRPr="00B5723A" w:rsidRDefault="00B5723A" w:rsidP="00D5543E">
      <w:pPr>
        <w:spacing w:after="0" w:line="240" w:lineRule="auto"/>
        <w:ind w:left="3261"/>
        <w:jc w:val="both"/>
        <w:rPr>
          <w:rFonts w:ascii="Arial" w:eastAsia="Calibri" w:hAnsi="Arial" w:cs="Arial"/>
          <w:lang w:val="es-ES"/>
        </w:rPr>
      </w:pPr>
    </w:p>
    <w:p w:rsidR="00B5723A" w:rsidRPr="00B5723A" w:rsidRDefault="00B5723A" w:rsidP="00D5543E">
      <w:pPr>
        <w:spacing w:after="0" w:line="240" w:lineRule="auto"/>
        <w:ind w:left="3261"/>
        <w:jc w:val="both"/>
        <w:rPr>
          <w:rFonts w:ascii="Arial" w:eastAsia="Calibri" w:hAnsi="Arial" w:cs="Arial"/>
          <w:lang w:val="es-ES"/>
        </w:rPr>
      </w:pPr>
      <w:r w:rsidRPr="00B5723A">
        <w:rPr>
          <w:rFonts w:ascii="Arial" w:eastAsia="Calibri" w:hAnsi="Arial" w:cs="Arial"/>
          <w:lang w:val="es-ES"/>
        </w:rPr>
        <w:t>Debe permitir la edición gráfica del polígono del inmueble medido, uniendo los puntos de los vértices georreferenciados y la elaboración del plano perimétrico, exportando esta información a un GIS para asociar la base gráfica con una base de datos.</w:t>
      </w:r>
    </w:p>
    <w:p w:rsidR="00B5723A" w:rsidRPr="00B5723A" w:rsidRDefault="00B5723A" w:rsidP="00B5723A">
      <w:pPr>
        <w:spacing w:after="0" w:line="240" w:lineRule="auto"/>
        <w:jc w:val="both"/>
        <w:rPr>
          <w:rFonts w:ascii="Arial" w:eastAsia="Calibri" w:hAnsi="Arial" w:cs="Arial"/>
          <w:lang w:val="es-ES"/>
        </w:rPr>
      </w:pPr>
    </w:p>
    <w:p w:rsidR="00B5723A" w:rsidRPr="006F5940" w:rsidRDefault="00B5723A" w:rsidP="006F5940">
      <w:pPr>
        <w:spacing w:after="0" w:line="240" w:lineRule="auto"/>
        <w:ind w:left="2694"/>
        <w:jc w:val="both"/>
        <w:rPr>
          <w:rFonts w:ascii="Arial" w:eastAsia="Calibri" w:hAnsi="Arial" w:cs="Arial"/>
          <w:b/>
          <w:lang w:val="es-ES"/>
        </w:rPr>
      </w:pPr>
      <w:r w:rsidRPr="00B5723A">
        <w:rPr>
          <w:rFonts w:ascii="Arial" w:eastAsia="Calibri" w:hAnsi="Arial" w:cs="Arial"/>
          <w:lang w:val="es-ES"/>
        </w:rPr>
        <w:tab/>
      </w:r>
      <w:r w:rsidRPr="006F5940">
        <w:rPr>
          <w:rFonts w:ascii="Arial" w:eastAsia="Calibri" w:hAnsi="Arial" w:cs="Arial"/>
          <w:b/>
          <w:lang w:val="es-ES"/>
        </w:rPr>
        <w:t>7.1.2.1.2 FASE DE CAMPO:</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6F5940">
      <w:pPr>
        <w:spacing w:after="0" w:line="240" w:lineRule="auto"/>
        <w:ind w:left="3686"/>
        <w:jc w:val="both"/>
        <w:rPr>
          <w:rFonts w:ascii="Arial" w:eastAsia="Calibri" w:hAnsi="Arial" w:cs="Arial"/>
          <w:lang w:val="es-ES"/>
        </w:rPr>
      </w:pPr>
      <w:r w:rsidRPr="00B5723A">
        <w:rPr>
          <w:rFonts w:ascii="Arial" w:eastAsia="Calibri" w:hAnsi="Arial" w:cs="Arial"/>
          <w:lang w:val="es-ES"/>
        </w:rPr>
        <w:t>Estaciones de base GNSS</w:t>
      </w:r>
    </w:p>
    <w:p w:rsidR="00B5723A" w:rsidRPr="00B5723A" w:rsidRDefault="00B5723A" w:rsidP="006F5940">
      <w:pPr>
        <w:spacing w:after="0" w:line="240" w:lineRule="auto"/>
        <w:ind w:left="3686"/>
        <w:jc w:val="both"/>
        <w:rPr>
          <w:rFonts w:ascii="Arial" w:eastAsia="Calibri" w:hAnsi="Arial" w:cs="Arial"/>
          <w:lang w:val="es-ES"/>
        </w:rPr>
      </w:pPr>
    </w:p>
    <w:p w:rsidR="00B5723A" w:rsidRPr="00B5723A" w:rsidRDefault="00B5723A" w:rsidP="006F5940">
      <w:pPr>
        <w:spacing w:after="0" w:line="240" w:lineRule="auto"/>
        <w:ind w:left="4253" w:hanging="567"/>
        <w:jc w:val="both"/>
        <w:rPr>
          <w:rFonts w:ascii="Arial" w:eastAsia="Calibri" w:hAnsi="Arial" w:cs="Arial"/>
          <w:lang w:val="es-ES"/>
        </w:rPr>
      </w:pPr>
      <w:r w:rsidRPr="00B5723A">
        <w:rPr>
          <w:rFonts w:ascii="Arial" w:eastAsia="Calibri" w:hAnsi="Arial" w:cs="Arial"/>
          <w:lang w:val="es-ES"/>
        </w:rPr>
        <w:t xml:space="preserve">a) </w:t>
      </w:r>
      <w:r w:rsidR="006F5940">
        <w:rPr>
          <w:rFonts w:ascii="Arial" w:eastAsia="Calibri" w:hAnsi="Arial" w:cs="Arial"/>
          <w:lang w:val="es-ES"/>
        </w:rPr>
        <w:tab/>
      </w:r>
      <w:r w:rsidRPr="00B5723A">
        <w:rPr>
          <w:rFonts w:ascii="Arial" w:eastAsia="Calibri" w:hAnsi="Arial" w:cs="Arial"/>
          <w:lang w:val="es-ES"/>
        </w:rPr>
        <w:t>Se utilizan las Estaciones de Rastreo Permanente - ERP del IGN, como estación base, realizando el enlace hacia la estación que se encuentre más cercana al ámbito geográfico de trabajo, procediendo a obtener la Ficha Técnica de Información de la Estación de Rastreo GNSS y la data de la fecha de ejecución del trabajo de campo, para lo cual se proporciona el nombre de la ERP del IGN.</w:t>
      </w:r>
    </w:p>
    <w:p w:rsidR="00B5723A" w:rsidRPr="00B5723A" w:rsidRDefault="00B5723A" w:rsidP="006F5940">
      <w:pPr>
        <w:spacing w:after="0" w:line="240" w:lineRule="auto"/>
        <w:ind w:left="4253" w:hanging="567"/>
        <w:jc w:val="both"/>
        <w:rPr>
          <w:rFonts w:ascii="Arial" w:eastAsia="Calibri" w:hAnsi="Arial" w:cs="Arial"/>
          <w:lang w:val="es-ES"/>
        </w:rPr>
      </w:pPr>
    </w:p>
    <w:p w:rsidR="00B5723A" w:rsidRPr="00B5723A" w:rsidRDefault="00B5723A" w:rsidP="006F5940">
      <w:pPr>
        <w:spacing w:after="0" w:line="240" w:lineRule="auto"/>
        <w:ind w:left="4253" w:hanging="567"/>
        <w:jc w:val="both"/>
        <w:rPr>
          <w:rFonts w:ascii="Arial" w:eastAsia="Calibri" w:hAnsi="Arial" w:cs="Arial"/>
          <w:lang w:val="es-ES"/>
        </w:rPr>
      </w:pPr>
      <w:r w:rsidRPr="00B5723A">
        <w:rPr>
          <w:rFonts w:ascii="Arial" w:eastAsia="Calibri" w:hAnsi="Arial" w:cs="Arial"/>
          <w:lang w:val="es-ES"/>
        </w:rPr>
        <w:t xml:space="preserve">b) </w:t>
      </w:r>
      <w:r w:rsidR="006F5940">
        <w:rPr>
          <w:rFonts w:ascii="Arial" w:eastAsia="Calibri" w:hAnsi="Arial" w:cs="Arial"/>
          <w:lang w:val="es-ES"/>
        </w:rPr>
        <w:tab/>
      </w:r>
      <w:r w:rsidRPr="00B5723A">
        <w:rPr>
          <w:rFonts w:ascii="Arial" w:eastAsia="Calibri" w:hAnsi="Arial" w:cs="Arial"/>
          <w:lang w:val="es-ES"/>
        </w:rPr>
        <w:t>En caso de no existir una ERP cercana al ámbito geográfico de trabajo, se busca un punto geodésico perteneciente a la red geodésica horizontal REGGEN, debiendo obtener la ficha técnica para disponer de sus coordenadas. Para obtener información de datos base se instala un equipo GNSS geodésico sobre dicha marca física, colocando el equipo sobre un trípode centrado y nivelado con respecto al punto geodésico. Se debe prender o iniciar el registro antes que se inicien los trabajos de georreferenciación en campo con, el equipo rover.</w:t>
      </w:r>
    </w:p>
    <w:p w:rsidR="00B5723A" w:rsidRPr="00B5723A" w:rsidRDefault="00B5723A" w:rsidP="006F5940">
      <w:pPr>
        <w:spacing w:after="0" w:line="240" w:lineRule="auto"/>
        <w:ind w:left="4253" w:hanging="567"/>
        <w:jc w:val="both"/>
        <w:rPr>
          <w:rFonts w:ascii="Arial" w:eastAsia="Calibri" w:hAnsi="Arial" w:cs="Arial"/>
          <w:lang w:val="es-ES"/>
        </w:rPr>
      </w:pPr>
    </w:p>
    <w:p w:rsidR="00B5723A" w:rsidRPr="00B5723A" w:rsidRDefault="00B5723A" w:rsidP="006F5940">
      <w:pPr>
        <w:spacing w:after="0" w:line="240" w:lineRule="auto"/>
        <w:ind w:left="4253" w:hanging="567"/>
        <w:jc w:val="both"/>
        <w:rPr>
          <w:rFonts w:ascii="Arial" w:eastAsia="Calibri" w:hAnsi="Arial" w:cs="Arial"/>
          <w:lang w:val="es-ES"/>
        </w:rPr>
      </w:pPr>
      <w:r w:rsidRPr="00B5723A">
        <w:rPr>
          <w:rFonts w:ascii="Arial" w:eastAsia="Calibri" w:hAnsi="Arial" w:cs="Arial"/>
          <w:lang w:val="es-ES"/>
        </w:rPr>
        <w:t xml:space="preserve">c) </w:t>
      </w:r>
      <w:r w:rsidR="006F5940">
        <w:rPr>
          <w:rFonts w:ascii="Arial" w:eastAsia="Calibri" w:hAnsi="Arial" w:cs="Arial"/>
          <w:lang w:val="es-ES"/>
        </w:rPr>
        <w:tab/>
      </w:r>
      <w:r w:rsidRPr="00B5723A">
        <w:rPr>
          <w:rFonts w:ascii="Arial" w:eastAsia="Calibri" w:hAnsi="Arial" w:cs="Arial"/>
          <w:lang w:val="es-ES"/>
        </w:rPr>
        <w:t>Si la ERP y los puntos geodésicos del IGN estuvieran muy lejos del ámbito geográfico de trabajo, se genera un punto geodésico de orden “C”, en lugar cercano y enlazado a la REGGEN, para ser utilizado como estación Base. Para su establecimiento se siguen las recomendaciones establecidas en la Norma Técnica Geodésica del IGN.</w:t>
      </w:r>
    </w:p>
    <w:p w:rsidR="00B5723A" w:rsidRPr="00B5723A" w:rsidRDefault="00B5723A" w:rsidP="006F5940">
      <w:pPr>
        <w:spacing w:after="0" w:line="240" w:lineRule="auto"/>
        <w:ind w:left="3686"/>
        <w:jc w:val="both"/>
        <w:rPr>
          <w:rFonts w:ascii="Arial" w:eastAsia="Calibri" w:hAnsi="Arial" w:cs="Arial"/>
          <w:lang w:val="es-ES"/>
        </w:rPr>
      </w:pPr>
    </w:p>
    <w:p w:rsidR="00B5723A" w:rsidRPr="00B5723A" w:rsidRDefault="00B5723A" w:rsidP="006F5940">
      <w:pPr>
        <w:spacing w:after="0" w:line="240" w:lineRule="auto"/>
        <w:ind w:left="3686"/>
        <w:jc w:val="both"/>
        <w:rPr>
          <w:rFonts w:ascii="Arial" w:eastAsia="Calibri" w:hAnsi="Arial" w:cs="Arial"/>
          <w:lang w:val="es-ES"/>
        </w:rPr>
      </w:pPr>
      <w:r w:rsidRPr="00B5723A">
        <w:rPr>
          <w:rFonts w:ascii="Arial" w:eastAsia="Calibri" w:hAnsi="Arial" w:cs="Arial"/>
          <w:lang w:val="es-ES"/>
        </w:rPr>
        <w:t>Medición de campo</w:t>
      </w:r>
    </w:p>
    <w:p w:rsidR="00B5723A" w:rsidRPr="00B5723A" w:rsidRDefault="00B5723A" w:rsidP="006F5940">
      <w:pPr>
        <w:spacing w:after="0" w:line="240" w:lineRule="auto"/>
        <w:ind w:left="3686"/>
        <w:jc w:val="both"/>
        <w:rPr>
          <w:rFonts w:ascii="Arial" w:eastAsia="Calibri" w:hAnsi="Arial" w:cs="Arial"/>
          <w:lang w:val="es-ES"/>
        </w:rPr>
      </w:pPr>
      <w:r w:rsidRPr="00B5723A">
        <w:rPr>
          <w:rFonts w:ascii="Arial" w:eastAsia="Calibri" w:hAnsi="Arial" w:cs="Arial"/>
          <w:lang w:val="es-ES"/>
        </w:rPr>
        <w:t>Para georreferenciar los vértices de los inmuebles se sigue el siguiente procedimiento:</w:t>
      </w:r>
    </w:p>
    <w:p w:rsidR="00B5723A" w:rsidRPr="00B5723A" w:rsidRDefault="00B5723A" w:rsidP="006F5940">
      <w:pPr>
        <w:spacing w:after="0" w:line="240" w:lineRule="auto"/>
        <w:ind w:left="3686"/>
        <w:jc w:val="both"/>
        <w:rPr>
          <w:rFonts w:ascii="Arial" w:eastAsia="Calibri" w:hAnsi="Arial" w:cs="Arial"/>
          <w:lang w:val="es-ES"/>
        </w:rPr>
      </w:pPr>
    </w:p>
    <w:p w:rsidR="00B5723A" w:rsidRPr="00B5723A" w:rsidRDefault="00B5723A" w:rsidP="006F5940">
      <w:pPr>
        <w:spacing w:after="0" w:line="240" w:lineRule="auto"/>
        <w:ind w:left="4253" w:hanging="567"/>
        <w:jc w:val="both"/>
        <w:rPr>
          <w:rFonts w:ascii="Arial" w:eastAsia="Calibri" w:hAnsi="Arial" w:cs="Arial"/>
          <w:lang w:val="es-ES"/>
        </w:rPr>
      </w:pPr>
      <w:r w:rsidRPr="00B5723A">
        <w:rPr>
          <w:rFonts w:ascii="Arial" w:eastAsia="Calibri" w:hAnsi="Arial" w:cs="Arial"/>
          <w:lang w:val="es-ES"/>
        </w:rPr>
        <w:t xml:space="preserve">a) </w:t>
      </w:r>
      <w:r w:rsidR="006F5940">
        <w:rPr>
          <w:rFonts w:ascii="Arial" w:eastAsia="Calibri" w:hAnsi="Arial" w:cs="Arial"/>
          <w:lang w:val="es-ES"/>
        </w:rPr>
        <w:tab/>
      </w:r>
      <w:r w:rsidRPr="00B5723A">
        <w:rPr>
          <w:rFonts w:ascii="Arial" w:eastAsia="Calibri" w:hAnsi="Arial" w:cs="Arial"/>
          <w:lang w:val="es-ES"/>
        </w:rPr>
        <w:t>Se inicia con un breve reconocimiento del inmueble a medir, verificando la ubicación de los vértices de la poligonal</w:t>
      </w:r>
    </w:p>
    <w:p w:rsidR="00B5723A" w:rsidRPr="00B5723A" w:rsidRDefault="00B5723A" w:rsidP="006F5940">
      <w:pPr>
        <w:spacing w:after="0" w:line="240" w:lineRule="auto"/>
        <w:ind w:left="4253" w:hanging="567"/>
        <w:jc w:val="both"/>
        <w:rPr>
          <w:rFonts w:ascii="Arial" w:eastAsia="Calibri" w:hAnsi="Arial" w:cs="Arial"/>
          <w:lang w:val="es-ES"/>
        </w:rPr>
      </w:pPr>
    </w:p>
    <w:p w:rsidR="00B5723A" w:rsidRPr="00B5723A" w:rsidRDefault="00B5723A" w:rsidP="006F5940">
      <w:pPr>
        <w:spacing w:after="0" w:line="240" w:lineRule="auto"/>
        <w:ind w:left="4253" w:hanging="567"/>
        <w:jc w:val="both"/>
        <w:rPr>
          <w:rFonts w:ascii="Arial" w:eastAsia="Calibri" w:hAnsi="Arial" w:cs="Arial"/>
          <w:lang w:val="es-ES"/>
        </w:rPr>
      </w:pPr>
      <w:r w:rsidRPr="00B5723A">
        <w:rPr>
          <w:rFonts w:ascii="Arial" w:eastAsia="Calibri" w:hAnsi="Arial" w:cs="Arial"/>
          <w:lang w:val="es-ES"/>
        </w:rPr>
        <w:t xml:space="preserve">b) </w:t>
      </w:r>
      <w:r w:rsidR="006F5940">
        <w:rPr>
          <w:rFonts w:ascii="Arial" w:eastAsia="Calibri" w:hAnsi="Arial" w:cs="Arial"/>
          <w:lang w:val="es-ES"/>
        </w:rPr>
        <w:tab/>
      </w:r>
      <w:r w:rsidRPr="00B5723A">
        <w:rPr>
          <w:rFonts w:ascii="Arial" w:eastAsia="Calibri" w:hAnsi="Arial" w:cs="Arial"/>
          <w:lang w:val="es-ES"/>
        </w:rPr>
        <w:t>Con un equipo GNSS (rover) de precisión submétrica debidamente configurado, se procede a georreferenciar todo el vértice del inmueble.</w:t>
      </w:r>
    </w:p>
    <w:p w:rsidR="00B5723A" w:rsidRPr="00B5723A" w:rsidRDefault="00B5723A" w:rsidP="006F5940">
      <w:pPr>
        <w:spacing w:after="0" w:line="240" w:lineRule="auto"/>
        <w:ind w:left="4253" w:hanging="567"/>
        <w:jc w:val="both"/>
        <w:rPr>
          <w:rFonts w:ascii="Arial" w:eastAsia="Calibri" w:hAnsi="Arial" w:cs="Arial"/>
          <w:lang w:val="es-ES"/>
        </w:rPr>
      </w:pPr>
    </w:p>
    <w:p w:rsidR="00B5723A" w:rsidRPr="00B5723A" w:rsidRDefault="00B5723A" w:rsidP="006F5940">
      <w:pPr>
        <w:spacing w:after="0" w:line="240" w:lineRule="auto"/>
        <w:ind w:left="4253" w:hanging="567"/>
        <w:jc w:val="both"/>
        <w:rPr>
          <w:rFonts w:ascii="Arial" w:eastAsia="Calibri" w:hAnsi="Arial" w:cs="Arial"/>
          <w:lang w:val="es-ES"/>
        </w:rPr>
      </w:pPr>
      <w:r w:rsidRPr="00B5723A">
        <w:rPr>
          <w:rFonts w:ascii="Arial" w:eastAsia="Calibri" w:hAnsi="Arial" w:cs="Arial"/>
          <w:lang w:val="es-ES"/>
        </w:rPr>
        <w:t xml:space="preserve">c) </w:t>
      </w:r>
      <w:r w:rsidR="006F5940">
        <w:rPr>
          <w:rFonts w:ascii="Arial" w:eastAsia="Calibri" w:hAnsi="Arial" w:cs="Arial"/>
          <w:lang w:val="es-ES"/>
        </w:rPr>
        <w:tab/>
      </w:r>
      <w:r w:rsidRPr="00B5723A">
        <w:rPr>
          <w:rFonts w:ascii="Arial" w:eastAsia="Calibri" w:hAnsi="Arial" w:cs="Arial"/>
          <w:lang w:val="es-ES"/>
        </w:rPr>
        <w:t>Se procura que los vértices del inmueble estén físicamente definidos. De no existir éstos, se procede a dejar como mínimo dos hitos monumentados (pilar de concreto, estaca de madera, varilla de fierro, etc), lo cual depende del tipo procedimiento a seguir.</w:t>
      </w:r>
    </w:p>
    <w:p w:rsidR="00B5723A" w:rsidRPr="00B5723A" w:rsidRDefault="00B5723A" w:rsidP="006F5940">
      <w:pPr>
        <w:spacing w:after="0" w:line="240" w:lineRule="auto"/>
        <w:ind w:left="4253" w:hanging="567"/>
        <w:jc w:val="both"/>
        <w:rPr>
          <w:rFonts w:ascii="Arial" w:eastAsia="Calibri" w:hAnsi="Arial" w:cs="Arial"/>
          <w:lang w:val="es-ES"/>
        </w:rPr>
      </w:pPr>
    </w:p>
    <w:p w:rsidR="00B5723A" w:rsidRPr="00B5723A" w:rsidRDefault="00B5723A" w:rsidP="006F5940">
      <w:pPr>
        <w:spacing w:after="0" w:line="240" w:lineRule="auto"/>
        <w:ind w:left="4253" w:hanging="567"/>
        <w:jc w:val="both"/>
        <w:rPr>
          <w:rFonts w:ascii="Arial" w:eastAsia="Calibri" w:hAnsi="Arial" w:cs="Arial"/>
          <w:lang w:val="es-ES"/>
        </w:rPr>
      </w:pPr>
      <w:r w:rsidRPr="00B5723A">
        <w:rPr>
          <w:rFonts w:ascii="Arial" w:eastAsia="Calibri" w:hAnsi="Arial" w:cs="Arial"/>
          <w:lang w:val="es-ES"/>
        </w:rPr>
        <w:t xml:space="preserve">d) </w:t>
      </w:r>
      <w:r w:rsidR="006F5940">
        <w:rPr>
          <w:rFonts w:ascii="Arial" w:eastAsia="Calibri" w:hAnsi="Arial" w:cs="Arial"/>
          <w:lang w:val="es-ES"/>
        </w:rPr>
        <w:tab/>
      </w:r>
      <w:r w:rsidRPr="00B5723A">
        <w:rPr>
          <w:rFonts w:ascii="Arial" w:eastAsia="Calibri" w:hAnsi="Arial" w:cs="Arial"/>
          <w:lang w:val="es-ES"/>
        </w:rPr>
        <w:t>La medición se realiza utilizando un equipo GNSS de precisión submétrica o decimétrica, lo cual depende del tipo de inmueble, con antena externa sobre un bastón nivelado. De ser necesario, también se georreferencian las construcciones existentes dentro del inmueble, sus colindantes inscritos y toda información técnica y legal que la brigada considere conveniente.</w:t>
      </w:r>
    </w:p>
    <w:p w:rsidR="00B5723A" w:rsidRPr="00B5723A" w:rsidRDefault="00B5723A" w:rsidP="006F5940">
      <w:pPr>
        <w:spacing w:after="0" w:line="240" w:lineRule="auto"/>
        <w:ind w:left="4253" w:hanging="567"/>
        <w:jc w:val="both"/>
        <w:rPr>
          <w:rFonts w:ascii="Arial" w:eastAsia="Calibri" w:hAnsi="Arial" w:cs="Arial"/>
          <w:lang w:val="es-ES"/>
        </w:rPr>
      </w:pPr>
    </w:p>
    <w:p w:rsidR="00B5723A" w:rsidRPr="00B5723A" w:rsidRDefault="00B5723A" w:rsidP="006F5940">
      <w:pPr>
        <w:spacing w:after="0" w:line="240" w:lineRule="auto"/>
        <w:ind w:left="4253" w:hanging="567"/>
        <w:jc w:val="both"/>
        <w:rPr>
          <w:rFonts w:ascii="Arial" w:eastAsia="Calibri" w:hAnsi="Arial" w:cs="Arial"/>
          <w:lang w:val="es-ES"/>
        </w:rPr>
      </w:pPr>
      <w:r w:rsidRPr="00B5723A">
        <w:rPr>
          <w:rFonts w:ascii="Arial" w:eastAsia="Calibri" w:hAnsi="Arial" w:cs="Arial"/>
          <w:lang w:val="es-ES"/>
        </w:rPr>
        <w:t xml:space="preserve">e) </w:t>
      </w:r>
      <w:r w:rsidR="006F5940">
        <w:rPr>
          <w:rFonts w:ascii="Arial" w:eastAsia="Calibri" w:hAnsi="Arial" w:cs="Arial"/>
          <w:lang w:val="es-ES"/>
        </w:rPr>
        <w:tab/>
      </w:r>
      <w:r w:rsidRPr="00B5723A">
        <w:rPr>
          <w:rFonts w:ascii="Arial" w:eastAsia="Calibri" w:hAnsi="Arial" w:cs="Arial"/>
          <w:lang w:val="es-ES"/>
        </w:rPr>
        <w:t>Simultáneamente al levantamiento catastral se elabora una Hoja de Campo, donde se elabora un croquis del inmueble levantado mostrando los puntos georreferenciados que tendrán la misma denominación y nomenclatura utilizada al georreferenciar con el equipo GNSS. Ello facilita el control de los trabajos en campo, además que brinda información de ayuda a los técnicos encargados de realizar el postproceso y edición gráfica de la poligonal del inmueble.</w:t>
      </w:r>
    </w:p>
    <w:p w:rsidR="00B5723A" w:rsidRPr="00B5723A" w:rsidRDefault="00B5723A" w:rsidP="006F5940">
      <w:pPr>
        <w:spacing w:after="0" w:line="240" w:lineRule="auto"/>
        <w:ind w:left="3686"/>
        <w:jc w:val="both"/>
        <w:rPr>
          <w:rFonts w:ascii="Arial" w:eastAsia="Calibri" w:hAnsi="Arial" w:cs="Arial"/>
          <w:lang w:val="es-ES"/>
        </w:rPr>
      </w:pPr>
    </w:p>
    <w:p w:rsidR="00B5723A" w:rsidRPr="00B5723A" w:rsidRDefault="00B5723A" w:rsidP="006F5940">
      <w:pPr>
        <w:spacing w:after="0" w:line="240" w:lineRule="auto"/>
        <w:ind w:left="3686"/>
        <w:jc w:val="both"/>
        <w:rPr>
          <w:rFonts w:ascii="Arial" w:eastAsia="Calibri" w:hAnsi="Arial" w:cs="Arial"/>
          <w:lang w:val="es-ES"/>
        </w:rPr>
      </w:pPr>
      <w:r w:rsidRPr="00B5723A">
        <w:rPr>
          <w:rFonts w:ascii="Arial" w:eastAsia="Calibri" w:hAnsi="Arial" w:cs="Arial"/>
          <w:lang w:val="es-ES"/>
        </w:rPr>
        <w:t>Toma de datos con el rover</w:t>
      </w:r>
    </w:p>
    <w:p w:rsidR="00B5723A" w:rsidRPr="00B5723A" w:rsidRDefault="00B5723A" w:rsidP="006F5940">
      <w:pPr>
        <w:spacing w:after="0" w:line="240" w:lineRule="auto"/>
        <w:ind w:left="3686"/>
        <w:jc w:val="both"/>
        <w:rPr>
          <w:rFonts w:ascii="Arial" w:eastAsia="Calibri" w:hAnsi="Arial" w:cs="Arial"/>
          <w:lang w:val="es-ES"/>
        </w:rPr>
      </w:pPr>
    </w:p>
    <w:p w:rsidR="00B5723A" w:rsidRPr="00B5723A" w:rsidRDefault="00B5723A" w:rsidP="006F5940">
      <w:pPr>
        <w:spacing w:after="0" w:line="240" w:lineRule="auto"/>
        <w:ind w:left="3686"/>
        <w:jc w:val="both"/>
        <w:rPr>
          <w:rFonts w:ascii="Arial" w:eastAsia="Calibri" w:hAnsi="Arial" w:cs="Arial"/>
          <w:lang w:val="es-ES"/>
        </w:rPr>
      </w:pPr>
      <w:r w:rsidRPr="00B5723A">
        <w:rPr>
          <w:rFonts w:ascii="Arial" w:eastAsia="Calibri" w:hAnsi="Arial" w:cs="Arial"/>
          <w:lang w:val="es-ES"/>
        </w:rPr>
        <w:t>La toma de datos con equipos GNSS, permite georreferenciar un punto, y enlazarlo a la red geodésica horizontal oficial REGGEN del IGN, para lo cual debe seguirse el siguiente procedimiento:</w:t>
      </w:r>
    </w:p>
    <w:p w:rsidR="00B5723A" w:rsidRPr="00B5723A" w:rsidRDefault="00B5723A" w:rsidP="006F5940">
      <w:pPr>
        <w:spacing w:after="0" w:line="240" w:lineRule="auto"/>
        <w:ind w:left="3686"/>
        <w:jc w:val="both"/>
        <w:rPr>
          <w:rFonts w:ascii="Arial" w:eastAsia="Calibri" w:hAnsi="Arial" w:cs="Arial"/>
          <w:lang w:val="es-ES"/>
        </w:rPr>
      </w:pPr>
    </w:p>
    <w:p w:rsidR="00B5723A" w:rsidRPr="00B5723A" w:rsidRDefault="00B5723A" w:rsidP="006F5940">
      <w:pPr>
        <w:spacing w:after="0" w:line="240" w:lineRule="auto"/>
        <w:ind w:left="4253" w:hanging="567"/>
        <w:jc w:val="both"/>
        <w:rPr>
          <w:rFonts w:ascii="Arial" w:eastAsia="Calibri" w:hAnsi="Arial" w:cs="Arial"/>
          <w:lang w:val="es-ES"/>
        </w:rPr>
      </w:pPr>
      <w:r w:rsidRPr="00B5723A">
        <w:rPr>
          <w:rFonts w:ascii="Arial" w:eastAsia="Calibri" w:hAnsi="Arial" w:cs="Arial"/>
          <w:lang w:val="es-ES"/>
        </w:rPr>
        <w:t xml:space="preserve">a) </w:t>
      </w:r>
      <w:r w:rsidR="006F5940">
        <w:rPr>
          <w:rFonts w:ascii="Arial" w:eastAsia="Calibri" w:hAnsi="Arial" w:cs="Arial"/>
          <w:lang w:val="es-ES"/>
        </w:rPr>
        <w:tab/>
      </w:r>
      <w:r w:rsidRPr="00B5723A">
        <w:rPr>
          <w:rFonts w:ascii="Arial" w:eastAsia="Calibri" w:hAnsi="Arial" w:cs="Arial"/>
          <w:lang w:val="es-ES"/>
        </w:rPr>
        <w:t>Para inmuebles urbanos se utiliza equipos GNSS de mayor precisión (geodésicos o decimétros) y para inmuebles rurales se utiliza equipos de precisión submetrica.</w:t>
      </w:r>
    </w:p>
    <w:p w:rsidR="00B5723A" w:rsidRPr="00B5723A" w:rsidRDefault="00B5723A" w:rsidP="006F5940">
      <w:pPr>
        <w:spacing w:after="0" w:line="240" w:lineRule="auto"/>
        <w:ind w:left="4253" w:hanging="567"/>
        <w:jc w:val="both"/>
        <w:rPr>
          <w:rFonts w:ascii="Arial" w:eastAsia="Calibri" w:hAnsi="Arial" w:cs="Arial"/>
          <w:lang w:val="es-ES"/>
        </w:rPr>
      </w:pPr>
    </w:p>
    <w:p w:rsidR="00B5723A" w:rsidRPr="00B5723A" w:rsidRDefault="00B5723A" w:rsidP="006F5940">
      <w:pPr>
        <w:spacing w:after="0" w:line="240" w:lineRule="auto"/>
        <w:ind w:left="4253" w:hanging="567"/>
        <w:jc w:val="both"/>
        <w:rPr>
          <w:rFonts w:ascii="Arial" w:eastAsia="Calibri" w:hAnsi="Arial" w:cs="Arial"/>
          <w:lang w:val="es-ES"/>
        </w:rPr>
      </w:pPr>
      <w:r w:rsidRPr="00B5723A">
        <w:rPr>
          <w:rFonts w:ascii="Arial" w:eastAsia="Calibri" w:hAnsi="Arial" w:cs="Arial"/>
          <w:lang w:val="es-ES"/>
        </w:rPr>
        <w:t xml:space="preserve">b) </w:t>
      </w:r>
      <w:r w:rsidR="006F5940">
        <w:rPr>
          <w:rFonts w:ascii="Arial" w:eastAsia="Calibri" w:hAnsi="Arial" w:cs="Arial"/>
          <w:lang w:val="es-ES"/>
        </w:rPr>
        <w:tab/>
      </w:r>
      <w:r w:rsidRPr="00B5723A">
        <w:rPr>
          <w:rFonts w:ascii="Arial" w:eastAsia="Calibri" w:hAnsi="Arial" w:cs="Arial"/>
          <w:lang w:val="es-ES"/>
        </w:rPr>
        <w:t>Por cada trabajo del inmueble se crea un archivo cuyo nombre está determinado por la fecha ddmmaa, seguido de dos caracteres que son las iniciales del nombre y apellido del técnico catastral y luego, por el nombre o iniciales de la entidad que realiza el trabajo; finalmente se escribe el número, separado por un guión, que representa el numero de trabajo por día, empezando por el número uno y siguiendo en forma correlativa.</w:t>
      </w:r>
    </w:p>
    <w:p w:rsidR="00B5723A" w:rsidRPr="00B5723A" w:rsidRDefault="00B5723A" w:rsidP="006F5940">
      <w:pPr>
        <w:spacing w:after="0" w:line="240" w:lineRule="auto"/>
        <w:ind w:left="3686"/>
        <w:jc w:val="both"/>
        <w:rPr>
          <w:rFonts w:ascii="Arial" w:eastAsia="Calibri" w:hAnsi="Arial" w:cs="Arial"/>
          <w:lang w:val="es-ES"/>
        </w:rPr>
      </w:pPr>
    </w:p>
    <w:p w:rsidR="00B5723A" w:rsidRPr="00B5723A" w:rsidRDefault="00B5723A" w:rsidP="006F5940">
      <w:pPr>
        <w:spacing w:after="0" w:line="240" w:lineRule="auto"/>
        <w:ind w:left="3686"/>
        <w:jc w:val="both"/>
        <w:rPr>
          <w:rFonts w:ascii="Arial" w:eastAsia="Calibri" w:hAnsi="Arial" w:cs="Arial"/>
          <w:lang w:val="es-ES"/>
        </w:rPr>
      </w:pPr>
      <w:r w:rsidRPr="00B5723A">
        <w:rPr>
          <w:rFonts w:ascii="Arial" w:eastAsia="Calibri" w:hAnsi="Arial" w:cs="Arial"/>
          <w:lang w:val="es-ES"/>
        </w:rPr>
        <w:tab/>
        <w:t>Archivo: 130316jpSBN-2</w:t>
      </w:r>
    </w:p>
    <w:p w:rsidR="00B5723A" w:rsidRPr="00B5723A" w:rsidRDefault="00B5723A" w:rsidP="006F5940">
      <w:pPr>
        <w:spacing w:after="0" w:line="240" w:lineRule="auto"/>
        <w:ind w:left="3686"/>
        <w:jc w:val="both"/>
        <w:rPr>
          <w:rFonts w:ascii="Arial" w:eastAsia="Calibri" w:hAnsi="Arial" w:cs="Arial"/>
          <w:lang w:val="es-ES"/>
        </w:rPr>
      </w:pPr>
      <w:r w:rsidRPr="00B5723A">
        <w:rPr>
          <w:rFonts w:ascii="Arial" w:eastAsia="Calibri" w:hAnsi="Arial" w:cs="Arial"/>
          <w:lang w:val="es-ES"/>
        </w:rPr>
        <w:tab/>
        <w:t>130416; Fecha del trabajol 3 de marzo de 2016</w:t>
      </w:r>
    </w:p>
    <w:p w:rsidR="00B5723A" w:rsidRPr="00B5723A" w:rsidRDefault="00B5723A" w:rsidP="006F5940">
      <w:pPr>
        <w:spacing w:after="0" w:line="240" w:lineRule="auto"/>
        <w:ind w:left="3686"/>
        <w:jc w:val="both"/>
        <w:rPr>
          <w:rFonts w:ascii="Arial" w:eastAsia="Calibri" w:hAnsi="Arial" w:cs="Arial"/>
          <w:lang w:val="es-ES"/>
        </w:rPr>
      </w:pPr>
      <w:r w:rsidRPr="00B5723A">
        <w:rPr>
          <w:rFonts w:ascii="Arial" w:eastAsia="Calibri" w:hAnsi="Arial" w:cs="Arial"/>
          <w:lang w:val="es-ES"/>
        </w:rPr>
        <w:tab/>
        <w:t>jp; iniciales del técnico catastral Jaime Palomino</w:t>
      </w:r>
    </w:p>
    <w:p w:rsidR="00B5723A" w:rsidRPr="00B5723A" w:rsidRDefault="00B5723A" w:rsidP="006F5940">
      <w:pPr>
        <w:spacing w:after="0" w:line="240" w:lineRule="auto"/>
        <w:ind w:left="3686"/>
        <w:jc w:val="both"/>
        <w:rPr>
          <w:rFonts w:ascii="Arial" w:eastAsia="Calibri" w:hAnsi="Arial" w:cs="Arial"/>
          <w:lang w:val="es-ES"/>
        </w:rPr>
      </w:pPr>
      <w:r w:rsidRPr="00B5723A">
        <w:rPr>
          <w:rFonts w:ascii="Arial" w:eastAsia="Calibri" w:hAnsi="Arial" w:cs="Arial"/>
          <w:lang w:val="es-ES"/>
        </w:rPr>
        <w:tab/>
        <w:t>SBE; Superintendencia de Bienes Estatales</w:t>
      </w:r>
    </w:p>
    <w:p w:rsidR="00B5723A" w:rsidRPr="00B5723A" w:rsidRDefault="00B5723A" w:rsidP="006F5940">
      <w:pPr>
        <w:spacing w:after="0" w:line="240" w:lineRule="auto"/>
        <w:ind w:left="3686"/>
        <w:jc w:val="both"/>
        <w:rPr>
          <w:rFonts w:ascii="Arial" w:eastAsia="Calibri" w:hAnsi="Arial" w:cs="Arial"/>
          <w:lang w:val="es-ES"/>
        </w:rPr>
      </w:pPr>
      <w:r w:rsidRPr="00B5723A">
        <w:rPr>
          <w:rFonts w:ascii="Arial" w:eastAsia="Calibri" w:hAnsi="Arial" w:cs="Arial"/>
          <w:lang w:val="es-ES"/>
        </w:rPr>
        <w:tab/>
        <w:t>02; el segundo trabajo del día.</w:t>
      </w:r>
    </w:p>
    <w:p w:rsidR="00B5723A" w:rsidRPr="00B5723A" w:rsidRDefault="00B5723A" w:rsidP="006F5940">
      <w:pPr>
        <w:spacing w:after="0" w:line="240" w:lineRule="auto"/>
        <w:ind w:left="3686"/>
        <w:jc w:val="both"/>
        <w:rPr>
          <w:rFonts w:ascii="Arial" w:eastAsia="Calibri" w:hAnsi="Arial" w:cs="Arial"/>
          <w:lang w:val="es-ES"/>
        </w:rPr>
      </w:pPr>
    </w:p>
    <w:p w:rsidR="00B5723A" w:rsidRPr="00B5723A" w:rsidRDefault="00B5723A" w:rsidP="006F5940">
      <w:pPr>
        <w:spacing w:after="0" w:line="240" w:lineRule="auto"/>
        <w:ind w:left="4253" w:hanging="567"/>
        <w:jc w:val="both"/>
        <w:rPr>
          <w:rFonts w:ascii="Arial" w:eastAsia="Calibri" w:hAnsi="Arial" w:cs="Arial"/>
          <w:lang w:val="es-ES"/>
        </w:rPr>
      </w:pPr>
      <w:r w:rsidRPr="00B5723A">
        <w:rPr>
          <w:rFonts w:ascii="Arial" w:eastAsia="Calibri" w:hAnsi="Arial" w:cs="Arial"/>
          <w:lang w:val="es-ES"/>
        </w:rPr>
        <w:t xml:space="preserve">c) </w:t>
      </w:r>
      <w:r w:rsidR="006F5940">
        <w:rPr>
          <w:rFonts w:ascii="Arial" w:eastAsia="Calibri" w:hAnsi="Arial" w:cs="Arial"/>
          <w:lang w:val="es-ES"/>
        </w:rPr>
        <w:tab/>
      </w:r>
      <w:r w:rsidRPr="00B5723A">
        <w:rPr>
          <w:rFonts w:ascii="Arial" w:eastAsia="Calibri" w:hAnsi="Arial" w:cs="Arial"/>
          <w:lang w:val="es-ES"/>
        </w:rPr>
        <w:t>Los nombres de puntos tomados, se realiza en forma correlativa, empezando por el número 1,</w:t>
      </w:r>
    </w:p>
    <w:p w:rsidR="00B5723A" w:rsidRPr="00B5723A" w:rsidRDefault="00B5723A" w:rsidP="006F5940">
      <w:pPr>
        <w:spacing w:after="0" w:line="240" w:lineRule="auto"/>
        <w:ind w:left="4253" w:hanging="567"/>
        <w:jc w:val="both"/>
        <w:rPr>
          <w:rFonts w:ascii="Arial" w:eastAsia="Calibri" w:hAnsi="Arial" w:cs="Arial"/>
          <w:lang w:val="es-ES"/>
        </w:rPr>
      </w:pPr>
    </w:p>
    <w:p w:rsidR="00B5723A" w:rsidRPr="00B5723A" w:rsidRDefault="00B5723A" w:rsidP="006F5940">
      <w:pPr>
        <w:spacing w:after="0" w:line="240" w:lineRule="auto"/>
        <w:ind w:left="4253" w:hanging="567"/>
        <w:jc w:val="both"/>
        <w:rPr>
          <w:rFonts w:ascii="Arial" w:eastAsia="Calibri" w:hAnsi="Arial" w:cs="Arial"/>
          <w:lang w:val="es-ES"/>
        </w:rPr>
      </w:pPr>
      <w:r w:rsidRPr="00B5723A">
        <w:rPr>
          <w:rFonts w:ascii="Arial" w:eastAsia="Calibri" w:hAnsi="Arial" w:cs="Arial"/>
          <w:lang w:val="es-ES"/>
        </w:rPr>
        <w:t xml:space="preserve">d) </w:t>
      </w:r>
      <w:r w:rsidR="006F5940">
        <w:rPr>
          <w:rFonts w:ascii="Arial" w:eastAsia="Calibri" w:hAnsi="Arial" w:cs="Arial"/>
          <w:lang w:val="es-ES"/>
        </w:rPr>
        <w:tab/>
      </w:r>
      <w:r w:rsidRPr="00B5723A">
        <w:rPr>
          <w:rFonts w:ascii="Arial" w:eastAsia="Calibri" w:hAnsi="Arial" w:cs="Arial"/>
          <w:lang w:val="es-ES"/>
        </w:rPr>
        <w:t>La toma de datos se realiza de modo estático rápido y se registran los datos por un tiempo suficiente que permita obtener la precisión requerida submétrica o decimetrica (como mínimo 60 posiciones por punto, registradas cada segundo). Si se desea mayor precisión se registra un tiempo más prolongado.</w:t>
      </w:r>
    </w:p>
    <w:p w:rsidR="00B5723A" w:rsidRPr="00B5723A" w:rsidRDefault="00B5723A" w:rsidP="006F5940">
      <w:pPr>
        <w:spacing w:after="0" w:line="240" w:lineRule="auto"/>
        <w:ind w:left="4253" w:hanging="567"/>
        <w:jc w:val="both"/>
        <w:rPr>
          <w:rFonts w:ascii="Arial" w:eastAsia="Calibri" w:hAnsi="Arial" w:cs="Arial"/>
          <w:lang w:val="es-ES"/>
        </w:rPr>
      </w:pPr>
    </w:p>
    <w:p w:rsidR="00B5723A" w:rsidRPr="00B5723A" w:rsidRDefault="00B5723A" w:rsidP="006F5940">
      <w:pPr>
        <w:spacing w:after="0" w:line="240" w:lineRule="auto"/>
        <w:ind w:left="4253" w:hanging="567"/>
        <w:jc w:val="both"/>
        <w:rPr>
          <w:rFonts w:ascii="Arial" w:eastAsia="Calibri" w:hAnsi="Arial" w:cs="Arial"/>
          <w:lang w:val="es-ES"/>
        </w:rPr>
      </w:pPr>
      <w:r w:rsidRPr="00B5723A">
        <w:rPr>
          <w:rFonts w:ascii="Arial" w:eastAsia="Calibri" w:hAnsi="Arial" w:cs="Arial"/>
          <w:lang w:val="es-ES"/>
        </w:rPr>
        <w:t xml:space="preserve">e) </w:t>
      </w:r>
      <w:r w:rsidR="006F5940">
        <w:rPr>
          <w:rFonts w:ascii="Arial" w:eastAsia="Calibri" w:hAnsi="Arial" w:cs="Arial"/>
          <w:lang w:val="es-ES"/>
        </w:rPr>
        <w:tab/>
      </w:r>
      <w:r w:rsidRPr="00B5723A">
        <w:rPr>
          <w:rFonts w:ascii="Arial" w:eastAsia="Calibri" w:hAnsi="Arial" w:cs="Arial"/>
          <w:lang w:val="es-ES"/>
        </w:rPr>
        <w:t>Las precisiones requeridas solo se obtienen después de una corrección diferencial o postproceso que debe desarrollarse en gabinete.</w:t>
      </w:r>
    </w:p>
    <w:p w:rsidR="00B5723A" w:rsidRPr="00B5723A" w:rsidRDefault="00B5723A" w:rsidP="006F5940">
      <w:pPr>
        <w:spacing w:after="0" w:line="240" w:lineRule="auto"/>
        <w:ind w:left="4253" w:hanging="567"/>
        <w:jc w:val="both"/>
        <w:rPr>
          <w:rFonts w:ascii="Arial" w:eastAsia="Calibri" w:hAnsi="Arial" w:cs="Arial"/>
          <w:lang w:val="es-ES"/>
        </w:rPr>
      </w:pPr>
    </w:p>
    <w:p w:rsidR="00B5723A" w:rsidRPr="00B5723A" w:rsidRDefault="00B5723A" w:rsidP="006F5940">
      <w:pPr>
        <w:spacing w:after="0" w:line="240" w:lineRule="auto"/>
        <w:ind w:left="4253" w:hanging="567"/>
        <w:jc w:val="both"/>
        <w:rPr>
          <w:rFonts w:ascii="Arial" w:eastAsia="Calibri" w:hAnsi="Arial" w:cs="Arial"/>
          <w:lang w:val="es-ES"/>
        </w:rPr>
      </w:pPr>
      <w:r w:rsidRPr="00B5723A">
        <w:rPr>
          <w:rFonts w:ascii="Arial" w:eastAsia="Calibri" w:hAnsi="Arial" w:cs="Arial"/>
          <w:lang w:val="es-ES"/>
        </w:rPr>
        <w:t xml:space="preserve">f) </w:t>
      </w:r>
      <w:r w:rsidR="006F5940">
        <w:rPr>
          <w:rFonts w:ascii="Arial" w:eastAsia="Calibri" w:hAnsi="Arial" w:cs="Arial"/>
          <w:lang w:val="es-ES"/>
        </w:rPr>
        <w:tab/>
      </w:r>
      <w:r w:rsidRPr="00B5723A">
        <w:rPr>
          <w:rFonts w:ascii="Arial" w:eastAsia="Calibri" w:hAnsi="Arial" w:cs="Arial"/>
          <w:lang w:val="es-ES"/>
        </w:rPr>
        <w:t>Asimismo, durante esta actividad cada operador del receptor GNSS debe disponer obligatoriamente de wincha de 50 m o dístanciómetro, y Micha de 6 m, para ser utilizadas como instrumentos de apoyo, cuando el caso lo amerite, especialmente cuando no sea posible registrar información en el mismo vértice por razones de obstrucción del horizonte, lo cual dificulta el ingreso de la señal satelital</w:t>
      </w:r>
    </w:p>
    <w:p w:rsidR="00B5723A" w:rsidRPr="00B5723A" w:rsidRDefault="00B5723A" w:rsidP="006F5940">
      <w:pPr>
        <w:spacing w:after="0" w:line="240" w:lineRule="auto"/>
        <w:ind w:left="4253" w:hanging="567"/>
        <w:jc w:val="both"/>
        <w:rPr>
          <w:rFonts w:ascii="Arial" w:eastAsia="Calibri" w:hAnsi="Arial" w:cs="Arial"/>
          <w:lang w:val="es-ES"/>
        </w:rPr>
      </w:pPr>
    </w:p>
    <w:p w:rsidR="00B5723A" w:rsidRPr="00B5723A" w:rsidRDefault="00B5723A" w:rsidP="006F5940">
      <w:pPr>
        <w:spacing w:after="0" w:line="240" w:lineRule="auto"/>
        <w:ind w:left="4253" w:hanging="567"/>
        <w:jc w:val="both"/>
        <w:rPr>
          <w:rFonts w:ascii="Arial" w:eastAsia="Calibri" w:hAnsi="Arial" w:cs="Arial"/>
          <w:lang w:val="es-ES"/>
        </w:rPr>
      </w:pPr>
      <w:r w:rsidRPr="00B5723A">
        <w:rPr>
          <w:rFonts w:ascii="Arial" w:eastAsia="Calibri" w:hAnsi="Arial" w:cs="Arial"/>
          <w:lang w:val="es-ES"/>
        </w:rPr>
        <w:t xml:space="preserve">g) </w:t>
      </w:r>
      <w:r w:rsidR="006F5940">
        <w:rPr>
          <w:rFonts w:ascii="Arial" w:eastAsia="Calibri" w:hAnsi="Arial" w:cs="Arial"/>
          <w:lang w:val="es-ES"/>
        </w:rPr>
        <w:tab/>
      </w:r>
      <w:r w:rsidRPr="00B5723A">
        <w:rPr>
          <w:rFonts w:ascii="Arial" w:eastAsia="Calibri" w:hAnsi="Arial" w:cs="Arial"/>
          <w:lang w:val="es-ES"/>
        </w:rPr>
        <w:t>Para proceder a la captura de datos con el equipo GNSS, el software de campo del colector de datos debe estar configurado con respecto a:</w:t>
      </w:r>
    </w:p>
    <w:p w:rsidR="00B5723A" w:rsidRPr="00B5723A" w:rsidRDefault="00B5723A" w:rsidP="006F5940">
      <w:pPr>
        <w:spacing w:after="0" w:line="240" w:lineRule="auto"/>
        <w:ind w:left="3686"/>
        <w:jc w:val="both"/>
        <w:rPr>
          <w:rFonts w:ascii="Arial" w:eastAsia="Calibri" w:hAnsi="Arial" w:cs="Arial"/>
          <w:lang w:val="es-ES"/>
        </w:rPr>
      </w:pPr>
    </w:p>
    <w:p w:rsidR="00B5723A" w:rsidRPr="00B5723A" w:rsidRDefault="00B5723A" w:rsidP="006F5940">
      <w:pPr>
        <w:spacing w:after="0" w:line="240" w:lineRule="auto"/>
        <w:ind w:left="4820" w:hanging="567"/>
        <w:jc w:val="both"/>
        <w:rPr>
          <w:rFonts w:ascii="Arial" w:eastAsia="Calibri" w:hAnsi="Arial" w:cs="Arial"/>
          <w:lang w:val="es-ES"/>
        </w:rPr>
      </w:pPr>
      <w:r w:rsidRPr="00B5723A">
        <w:rPr>
          <w:rFonts w:ascii="Arial" w:eastAsia="Calibri" w:hAnsi="Arial" w:cs="Arial"/>
          <w:lang w:val="es-ES"/>
        </w:rPr>
        <w:t xml:space="preserve">* </w:t>
      </w:r>
      <w:r w:rsidR="006F5940">
        <w:rPr>
          <w:rFonts w:ascii="Arial" w:eastAsia="Calibri" w:hAnsi="Arial" w:cs="Arial"/>
          <w:lang w:val="es-ES"/>
        </w:rPr>
        <w:tab/>
      </w:r>
      <w:r w:rsidRPr="00B5723A">
        <w:rPr>
          <w:rFonts w:ascii="Arial" w:eastAsia="Calibri" w:hAnsi="Arial" w:cs="Arial"/>
          <w:lang w:val="es-ES"/>
        </w:rPr>
        <w:t>Sistema de Proyección cartográfica. - Universal Transversa de Mercator UTM, Zonas: 17S, 18S o 19S, según la ubicación geográfica del inmueble a georreferenciar, sistema de referencia. - Los registros de colección de datos de la posición de cada punto y el cálculo diferencial asociado (postprocesamiento) que se realice igualmente responderán a este sistema de referencia.</w:t>
      </w:r>
    </w:p>
    <w:p w:rsidR="00B5723A" w:rsidRPr="00B5723A" w:rsidRDefault="00B5723A" w:rsidP="006F5940">
      <w:pPr>
        <w:spacing w:after="0" w:line="240" w:lineRule="auto"/>
        <w:ind w:left="4820" w:hanging="567"/>
        <w:jc w:val="both"/>
        <w:rPr>
          <w:rFonts w:ascii="Arial" w:eastAsia="Calibri" w:hAnsi="Arial" w:cs="Arial"/>
          <w:lang w:val="es-ES"/>
        </w:rPr>
      </w:pPr>
    </w:p>
    <w:p w:rsidR="00B5723A" w:rsidRPr="00B5723A" w:rsidRDefault="00B5723A" w:rsidP="006F5940">
      <w:pPr>
        <w:spacing w:after="0" w:line="240" w:lineRule="auto"/>
        <w:ind w:left="4820" w:hanging="567"/>
        <w:jc w:val="both"/>
        <w:rPr>
          <w:rFonts w:ascii="Arial" w:eastAsia="Calibri" w:hAnsi="Arial" w:cs="Arial"/>
          <w:lang w:val="en-US"/>
        </w:rPr>
      </w:pPr>
      <w:r w:rsidRPr="00B5723A">
        <w:rPr>
          <w:rFonts w:ascii="Arial" w:eastAsia="Calibri" w:hAnsi="Arial" w:cs="Arial"/>
          <w:lang w:val="en-US"/>
        </w:rPr>
        <w:t xml:space="preserve">* </w:t>
      </w:r>
      <w:r w:rsidR="006F5940">
        <w:rPr>
          <w:rFonts w:ascii="Arial" w:eastAsia="Calibri" w:hAnsi="Arial" w:cs="Arial"/>
          <w:lang w:val="en-US"/>
        </w:rPr>
        <w:tab/>
      </w:r>
      <w:r w:rsidRPr="00B5723A">
        <w:rPr>
          <w:rFonts w:ascii="Arial" w:eastAsia="Calibri" w:hAnsi="Arial" w:cs="Arial"/>
          <w:lang w:val="en-US"/>
        </w:rPr>
        <w:t>Datum: WORLD GEODETIC SYSTEM DE 1984 (WGS84)</w:t>
      </w:r>
    </w:p>
    <w:p w:rsidR="00B5723A" w:rsidRPr="00B5723A" w:rsidRDefault="00B5723A" w:rsidP="006F5940">
      <w:pPr>
        <w:spacing w:after="0" w:line="240" w:lineRule="auto"/>
        <w:ind w:left="4820" w:hanging="567"/>
        <w:jc w:val="both"/>
        <w:rPr>
          <w:rFonts w:ascii="Arial" w:eastAsia="Calibri" w:hAnsi="Arial" w:cs="Arial"/>
          <w:lang w:val="en-US"/>
        </w:rPr>
      </w:pPr>
    </w:p>
    <w:p w:rsidR="00B5723A" w:rsidRPr="00B5723A" w:rsidRDefault="00B5723A" w:rsidP="006F5940">
      <w:pPr>
        <w:spacing w:after="0" w:line="240" w:lineRule="auto"/>
        <w:ind w:left="4820" w:hanging="567"/>
        <w:jc w:val="both"/>
        <w:rPr>
          <w:rFonts w:ascii="Arial" w:eastAsia="Calibri" w:hAnsi="Arial" w:cs="Arial"/>
          <w:lang w:val="en-US"/>
        </w:rPr>
      </w:pPr>
      <w:r w:rsidRPr="00B5723A">
        <w:rPr>
          <w:rFonts w:ascii="Arial" w:eastAsia="Calibri" w:hAnsi="Arial" w:cs="Arial"/>
          <w:lang w:val="en-US"/>
        </w:rPr>
        <w:t xml:space="preserve">* </w:t>
      </w:r>
      <w:r w:rsidR="006F5940">
        <w:rPr>
          <w:rFonts w:ascii="Arial" w:eastAsia="Calibri" w:hAnsi="Arial" w:cs="Arial"/>
          <w:lang w:val="en-US"/>
        </w:rPr>
        <w:tab/>
      </w:r>
      <w:r w:rsidRPr="00B5723A">
        <w:rPr>
          <w:rFonts w:ascii="Arial" w:eastAsia="Calibri" w:hAnsi="Arial" w:cs="Arial"/>
          <w:lang w:val="en-US"/>
        </w:rPr>
        <w:t>Elipsoide: GEODETIC REFERENCE SYSTEM1980 (GRS80)/ GEODETIC REFERENCE SYSTEM1980 (GRS80)</w:t>
      </w:r>
    </w:p>
    <w:p w:rsidR="00B5723A" w:rsidRPr="00B5723A" w:rsidRDefault="00B5723A" w:rsidP="006F5940">
      <w:pPr>
        <w:spacing w:after="0" w:line="240" w:lineRule="auto"/>
        <w:ind w:left="4820" w:hanging="567"/>
        <w:jc w:val="both"/>
        <w:rPr>
          <w:rFonts w:ascii="Arial" w:eastAsia="Calibri" w:hAnsi="Arial" w:cs="Arial"/>
          <w:lang w:val="en-US"/>
        </w:rPr>
      </w:pPr>
    </w:p>
    <w:p w:rsidR="00B5723A" w:rsidRPr="00B5723A" w:rsidRDefault="00B5723A" w:rsidP="006F5940">
      <w:pPr>
        <w:spacing w:after="0" w:line="240" w:lineRule="auto"/>
        <w:ind w:left="4820" w:hanging="567"/>
        <w:jc w:val="both"/>
        <w:rPr>
          <w:rFonts w:ascii="Arial" w:eastAsia="Calibri" w:hAnsi="Arial" w:cs="Arial"/>
          <w:lang w:val="es-ES"/>
        </w:rPr>
      </w:pPr>
      <w:r w:rsidRPr="00B5723A">
        <w:rPr>
          <w:rFonts w:ascii="Arial" w:eastAsia="Calibri" w:hAnsi="Arial" w:cs="Arial"/>
          <w:lang w:val="es-ES"/>
        </w:rPr>
        <w:t xml:space="preserve">* </w:t>
      </w:r>
      <w:r w:rsidR="006F5940">
        <w:rPr>
          <w:rFonts w:ascii="Arial" w:eastAsia="Calibri" w:hAnsi="Arial" w:cs="Arial"/>
          <w:lang w:val="es-ES"/>
        </w:rPr>
        <w:tab/>
      </w:r>
      <w:r w:rsidRPr="00B5723A">
        <w:rPr>
          <w:rFonts w:ascii="Arial" w:eastAsia="Calibri" w:hAnsi="Arial" w:cs="Arial"/>
          <w:lang w:val="es-ES"/>
        </w:rPr>
        <w:t>Elevación: ALTURA SOBRE EL ELIPSOIDE (HAE, ASE).</w:t>
      </w:r>
    </w:p>
    <w:p w:rsidR="00B5723A" w:rsidRPr="00B5723A" w:rsidRDefault="00B5723A" w:rsidP="006F5940">
      <w:pPr>
        <w:spacing w:after="0" w:line="240" w:lineRule="auto"/>
        <w:ind w:left="4820" w:hanging="567"/>
        <w:jc w:val="both"/>
        <w:rPr>
          <w:rFonts w:ascii="Arial" w:eastAsia="Calibri" w:hAnsi="Arial" w:cs="Arial"/>
          <w:lang w:val="es-ES"/>
        </w:rPr>
      </w:pPr>
    </w:p>
    <w:p w:rsidR="00B5723A" w:rsidRPr="00B5723A" w:rsidRDefault="00B5723A" w:rsidP="006F5940">
      <w:pPr>
        <w:spacing w:after="0" w:line="240" w:lineRule="auto"/>
        <w:ind w:left="4820" w:hanging="567"/>
        <w:jc w:val="both"/>
        <w:rPr>
          <w:rFonts w:ascii="Arial" w:eastAsia="Calibri" w:hAnsi="Arial" w:cs="Arial"/>
          <w:lang w:val="es-ES"/>
        </w:rPr>
      </w:pPr>
      <w:r w:rsidRPr="00B5723A">
        <w:rPr>
          <w:rFonts w:ascii="Arial" w:eastAsia="Calibri" w:hAnsi="Arial" w:cs="Arial"/>
          <w:lang w:val="es-ES"/>
        </w:rPr>
        <w:t xml:space="preserve">* </w:t>
      </w:r>
      <w:r w:rsidR="006F5940">
        <w:rPr>
          <w:rFonts w:ascii="Arial" w:eastAsia="Calibri" w:hAnsi="Arial" w:cs="Arial"/>
          <w:lang w:val="es-ES"/>
        </w:rPr>
        <w:tab/>
      </w:r>
      <w:r w:rsidRPr="00B5723A">
        <w:rPr>
          <w:rFonts w:ascii="Arial" w:eastAsia="Calibri" w:hAnsi="Arial" w:cs="Arial"/>
          <w:lang w:val="es-ES"/>
        </w:rPr>
        <w:t>Modo de operación: Estático-Rápido.</w:t>
      </w:r>
    </w:p>
    <w:p w:rsidR="00B5723A" w:rsidRPr="00B5723A" w:rsidRDefault="00B5723A" w:rsidP="006F5940">
      <w:pPr>
        <w:spacing w:after="0" w:line="240" w:lineRule="auto"/>
        <w:ind w:left="4820" w:hanging="567"/>
        <w:jc w:val="both"/>
        <w:rPr>
          <w:rFonts w:ascii="Arial" w:eastAsia="Calibri" w:hAnsi="Arial" w:cs="Arial"/>
          <w:lang w:val="es-ES"/>
        </w:rPr>
      </w:pPr>
    </w:p>
    <w:p w:rsidR="00B5723A" w:rsidRPr="00B5723A" w:rsidRDefault="00B5723A" w:rsidP="006F5940">
      <w:pPr>
        <w:spacing w:after="0" w:line="240" w:lineRule="auto"/>
        <w:ind w:left="4820" w:hanging="567"/>
        <w:jc w:val="both"/>
        <w:rPr>
          <w:rFonts w:ascii="Arial" w:eastAsia="Calibri" w:hAnsi="Arial" w:cs="Arial"/>
          <w:lang w:val="es-ES"/>
        </w:rPr>
      </w:pPr>
      <w:r w:rsidRPr="00B5723A">
        <w:rPr>
          <w:rFonts w:ascii="Arial" w:eastAsia="Calibri" w:hAnsi="Arial" w:cs="Arial"/>
          <w:lang w:val="es-ES"/>
        </w:rPr>
        <w:t xml:space="preserve">* </w:t>
      </w:r>
      <w:r w:rsidR="006F5940">
        <w:rPr>
          <w:rFonts w:ascii="Arial" w:eastAsia="Calibri" w:hAnsi="Arial" w:cs="Arial"/>
          <w:lang w:val="es-ES"/>
        </w:rPr>
        <w:tab/>
      </w:r>
      <w:r w:rsidRPr="00B5723A">
        <w:rPr>
          <w:rFonts w:ascii="Arial" w:eastAsia="Calibri" w:hAnsi="Arial" w:cs="Arial"/>
          <w:lang w:val="es-ES"/>
        </w:rPr>
        <w:t>Característica : Punto genérico.</w:t>
      </w:r>
    </w:p>
    <w:p w:rsidR="00B5723A" w:rsidRPr="00B5723A" w:rsidRDefault="00B5723A" w:rsidP="006F5940">
      <w:pPr>
        <w:spacing w:after="0" w:line="240" w:lineRule="auto"/>
        <w:ind w:left="4820" w:hanging="567"/>
        <w:jc w:val="both"/>
        <w:rPr>
          <w:rFonts w:ascii="Arial" w:eastAsia="Calibri" w:hAnsi="Arial" w:cs="Arial"/>
          <w:lang w:val="es-ES"/>
        </w:rPr>
      </w:pPr>
    </w:p>
    <w:p w:rsidR="00B5723A" w:rsidRPr="00B5723A" w:rsidRDefault="00B5723A" w:rsidP="006F5940">
      <w:pPr>
        <w:spacing w:after="0" w:line="240" w:lineRule="auto"/>
        <w:ind w:left="4820" w:hanging="567"/>
        <w:jc w:val="both"/>
        <w:rPr>
          <w:rFonts w:ascii="Arial" w:eastAsia="Calibri" w:hAnsi="Arial" w:cs="Arial"/>
          <w:lang w:val="es-ES"/>
        </w:rPr>
      </w:pPr>
      <w:r w:rsidRPr="00B5723A">
        <w:rPr>
          <w:rFonts w:ascii="Arial" w:eastAsia="Calibri" w:hAnsi="Arial" w:cs="Arial"/>
          <w:lang w:val="es-ES"/>
        </w:rPr>
        <w:t xml:space="preserve">* </w:t>
      </w:r>
      <w:r w:rsidR="006F5940">
        <w:rPr>
          <w:rFonts w:ascii="Arial" w:eastAsia="Calibri" w:hAnsi="Arial" w:cs="Arial"/>
          <w:lang w:val="es-ES"/>
        </w:rPr>
        <w:tab/>
      </w:r>
      <w:r w:rsidRPr="00B5723A">
        <w:rPr>
          <w:rFonts w:ascii="Arial" w:eastAsia="Calibri" w:hAnsi="Arial" w:cs="Arial"/>
          <w:lang w:val="es-ES"/>
        </w:rPr>
        <w:t>Modo de posición : Sobredeterminado 3D</w:t>
      </w:r>
    </w:p>
    <w:p w:rsidR="00B5723A" w:rsidRPr="00B5723A" w:rsidRDefault="00B5723A" w:rsidP="006F5940">
      <w:pPr>
        <w:spacing w:after="0" w:line="240" w:lineRule="auto"/>
        <w:ind w:left="4820" w:hanging="567"/>
        <w:jc w:val="both"/>
        <w:rPr>
          <w:rFonts w:ascii="Arial" w:eastAsia="Calibri" w:hAnsi="Arial" w:cs="Arial"/>
          <w:lang w:val="es-ES"/>
        </w:rPr>
      </w:pPr>
    </w:p>
    <w:p w:rsidR="00B5723A" w:rsidRPr="00B5723A" w:rsidRDefault="00B5723A" w:rsidP="006F5940">
      <w:pPr>
        <w:spacing w:after="0" w:line="240" w:lineRule="auto"/>
        <w:ind w:left="4820" w:hanging="567"/>
        <w:jc w:val="both"/>
        <w:rPr>
          <w:rFonts w:ascii="Arial" w:eastAsia="Calibri" w:hAnsi="Arial" w:cs="Arial"/>
          <w:lang w:val="es-ES"/>
        </w:rPr>
      </w:pPr>
      <w:r w:rsidRPr="00B5723A">
        <w:rPr>
          <w:rFonts w:ascii="Arial" w:eastAsia="Calibri" w:hAnsi="Arial" w:cs="Arial"/>
          <w:lang w:val="es-ES"/>
        </w:rPr>
        <w:t xml:space="preserve">* </w:t>
      </w:r>
      <w:r w:rsidR="006F5940">
        <w:rPr>
          <w:rFonts w:ascii="Arial" w:eastAsia="Calibri" w:hAnsi="Arial" w:cs="Arial"/>
          <w:lang w:val="es-ES"/>
        </w:rPr>
        <w:tab/>
      </w:r>
      <w:r w:rsidRPr="00B5723A">
        <w:rPr>
          <w:rFonts w:ascii="Arial" w:eastAsia="Calibri" w:hAnsi="Arial" w:cs="Arial"/>
          <w:lang w:val="es-ES"/>
        </w:rPr>
        <w:t>Mascara de Elevación: 10° (15° en sitio encañonado o existencia de construcciones).</w:t>
      </w:r>
    </w:p>
    <w:p w:rsidR="00B5723A" w:rsidRPr="00B5723A" w:rsidRDefault="00B5723A" w:rsidP="006F5940">
      <w:pPr>
        <w:spacing w:after="0" w:line="240" w:lineRule="auto"/>
        <w:ind w:left="4820" w:hanging="567"/>
        <w:jc w:val="both"/>
        <w:rPr>
          <w:rFonts w:ascii="Arial" w:eastAsia="Calibri" w:hAnsi="Arial" w:cs="Arial"/>
          <w:lang w:val="es-ES"/>
        </w:rPr>
      </w:pPr>
    </w:p>
    <w:p w:rsidR="00B5723A" w:rsidRPr="00B5723A" w:rsidRDefault="00B5723A" w:rsidP="006F5940">
      <w:pPr>
        <w:spacing w:after="0" w:line="240" w:lineRule="auto"/>
        <w:ind w:left="4820" w:hanging="567"/>
        <w:jc w:val="both"/>
        <w:rPr>
          <w:rFonts w:ascii="Arial" w:eastAsia="Calibri" w:hAnsi="Arial" w:cs="Arial"/>
          <w:lang w:val="es-ES"/>
        </w:rPr>
      </w:pPr>
      <w:r w:rsidRPr="00B5723A">
        <w:rPr>
          <w:rFonts w:ascii="Arial" w:eastAsia="Calibri" w:hAnsi="Arial" w:cs="Arial"/>
          <w:lang w:val="es-ES"/>
        </w:rPr>
        <w:t xml:space="preserve">* </w:t>
      </w:r>
      <w:r w:rsidR="006F5940">
        <w:rPr>
          <w:rFonts w:ascii="Arial" w:eastAsia="Calibri" w:hAnsi="Arial" w:cs="Arial"/>
          <w:lang w:val="es-ES"/>
        </w:rPr>
        <w:tab/>
      </w:r>
      <w:r w:rsidRPr="00B5723A">
        <w:rPr>
          <w:rFonts w:ascii="Arial" w:eastAsia="Calibri" w:hAnsi="Arial" w:cs="Arial"/>
          <w:lang w:val="es-ES"/>
        </w:rPr>
        <w:t>PDOP : menor o igual a 6.</w:t>
      </w:r>
    </w:p>
    <w:p w:rsidR="00B5723A" w:rsidRPr="00B5723A" w:rsidRDefault="00B5723A" w:rsidP="006F5940">
      <w:pPr>
        <w:spacing w:after="0" w:line="240" w:lineRule="auto"/>
        <w:ind w:left="4820" w:hanging="567"/>
        <w:jc w:val="both"/>
        <w:rPr>
          <w:rFonts w:ascii="Arial" w:eastAsia="Calibri" w:hAnsi="Arial" w:cs="Arial"/>
          <w:lang w:val="es-ES"/>
        </w:rPr>
      </w:pPr>
    </w:p>
    <w:p w:rsidR="00B5723A" w:rsidRPr="00B5723A" w:rsidRDefault="00B5723A" w:rsidP="006F5940">
      <w:pPr>
        <w:spacing w:after="0" w:line="240" w:lineRule="auto"/>
        <w:ind w:left="4820" w:hanging="567"/>
        <w:jc w:val="both"/>
        <w:rPr>
          <w:rFonts w:ascii="Arial" w:eastAsia="Calibri" w:hAnsi="Arial" w:cs="Arial"/>
          <w:lang w:val="es-ES"/>
        </w:rPr>
      </w:pPr>
      <w:r w:rsidRPr="00B5723A">
        <w:rPr>
          <w:rFonts w:ascii="Arial" w:eastAsia="Calibri" w:hAnsi="Arial" w:cs="Arial"/>
          <w:lang w:val="es-ES"/>
        </w:rPr>
        <w:t xml:space="preserve">* </w:t>
      </w:r>
      <w:r w:rsidR="006F5940">
        <w:rPr>
          <w:rFonts w:ascii="Arial" w:eastAsia="Calibri" w:hAnsi="Arial" w:cs="Arial"/>
          <w:lang w:val="es-ES"/>
        </w:rPr>
        <w:tab/>
      </w:r>
      <w:r w:rsidRPr="00B5723A">
        <w:rPr>
          <w:rFonts w:ascii="Arial" w:eastAsia="Calibri" w:hAnsi="Arial" w:cs="Arial"/>
          <w:lang w:val="es-ES"/>
        </w:rPr>
        <w:t>SNR : 6 ó 38 (según parámetros de equipo).</w:t>
      </w:r>
    </w:p>
    <w:p w:rsidR="00B5723A" w:rsidRPr="00B5723A" w:rsidRDefault="00B5723A" w:rsidP="006F5940">
      <w:pPr>
        <w:spacing w:after="0" w:line="240" w:lineRule="auto"/>
        <w:ind w:left="4820" w:hanging="567"/>
        <w:jc w:val="both"/>
        <w:rPr>
          <w:rFonts w:ascii="Arial" w:eastAsia="Calibri" w:hAnsi="Arial" w:cs="Arial"/>
          <w:lang w:val="es-ES"/>
        </w:rPr>
      </w:pPr>
    </w:p>
    <w:p w:rsidR="00B5723A" w:rsidRPr="00B5723A" w:rsidRDefault="00B5723A" w:rsidP="006F5940">
      <w:pPr>
        <w:spacing w:after="0" w:line="240" w:lineRule="auto"/>
        <w:ind w:left="4820" w:hanging="567"/>
        <w:jc w:val="both"/>
        <w:rPr>
          <w:rFonts w:ascii="Arial" w:eastAsia="Calibri" w:hAnsi="Arial" w:cs="Arial"/>
          <w:lang w:val="es-ES"/>
        </w:rPr>
      </w:pPr>
      <w:r w:rsidRPr="00B5723A">
        <w:rPr>
          <w:rFonts w:ascii="Arial" w:eastAsia="Calibri" w:hAnsi="Arial" w:cs="Arial"/>
          <w:lang w:val="es-ES"/>
        </w:rPr>
        <w:t xml:space="preserve">* </w:t>
      </w:r>
      <w:r w:rsidR="006F5940">
        <w:rPr>
          <w:rFonts w:ascii="Arial" w:eastAsia="Calibri" w:hAnsi="Arial" w:cs="Arial"/>
          <w:lang w:val="es-ES"/>
        </w:rPr>
        <w:tab/>
      </w:r>
      <w:r w:rsidRPr="00B5723A">
        <w:rPr>
          <w:rFonts w:ascii="Arial" w:eastAsia="Calibri" w:hAnsi="Arial" w:cs="Arial"/>
          <w:lang w:val="es-ES"/>
        </w:rPr>
        <w:t>Intervalo de registro: 1 segundo.</w:t>
      </w:r>
    </w:p>
    <w:p w:rsidR="00B5723A" w:rsidRPr="00B5723A" w:rsidRDefault="00B5723A" w:rsidP="006F5940">
      <w:pPr>
        <w:spacing w:after="0" w:line="240" w:lineRule="auto"/>
        <w:ind w:left="4820" w:hanging="567"/>
        <w:jc w:val="both"/>
        <w:rPr>
          <w:rFonts w:ascii="Arial" w:eastAsia="Calibri" w:hAnsi="Arial" w:cs="Arial"/>
          <w:lang w:val="es-ES"/>
        </w:rPr>
      </w:pPr>
    </w:p>
    <w:p w:rsidR="00B5723A" w:rsidRPr="00B5723A" w:rsidRDefault="00B5723A" w:rsidP="006F5940">
      <w:pPr>
        <w:spacing w:after="0" w:line="240" w:lineRule="auto"/>
        <w:ind w:left="4820" w:hanging="567"/>
        <w:jc w:val="both"/>
        <w:rPr>
          <w:rFonts w:ascii="Arial" w:eastAsia="Calibri" w:hAnsi="Arial" w:cs="Arial"/>
          <w:lang w:val="es-ES"/>
        </w:rPr>
      </w:pPr>
      <w:r w:rsidRPr="00B5723A">
        <w:rPr>
          <w:rFonts w:ascii="Arial" w:eastAsia="Calibri" w:hAnsi="Arial" w:cs="Arial"/>
          <w:lang w:val="es-ES"/>
        </w:rPr>
        <w:t xml:space="preserve">* </w:t>
      </w:r>
      <w:r w:rsidR="006F5940">
        <w:rPr>
          <w:rFonts w:ascii="Arial" w:eastAsia="Calibri" w:hAnsi="Arial" w:cs="Arial"/>
          <w:lang w:val="es-ES"/>
        </w:rPr>
        <w:tab/>
      </w:r>
      <w:r w:rsidRPr="00B5723A">
        <w:rPr>
          <w:rFonts w:ascii="Arial" w:eastAsia="Calibri" w:hAnsi="Arial" w:cs="Arial"/>
          <w:lang w:val="es-ES"/>
        </w:rPr>
        <w:t>Tipo de registro: por código.</w:t>
      </w:r>
    </w:p>
    <w:p w:rsidR="00B5723A" w:rsidRPr="00B5723A" w:rsidRDefault="00B5723A" w:rsidP="006F5940">
      <w:pPr>
        <w:spacing w:after="0" w:line="240" w:lineRule="auto"/>
        <w:ind w:left="4820" w:hanging="567"/>
        <w:jc w:val="both"/>
        <w:rPr>
          <w:rFonts w:ascii="Arial" w:eastAsia="Calibri" w:hAnsi="Arial" w:cs="Arial"/>
          <w:lang w:val="es-ES"/>
        </w:rPr>
      </w:pPr>
    </w:p>
    <w:p w:rsidR="00B5723A" w:rsidRPr="00B5723A" w:rsidRDefault="00B5723A" w:rsidP="006F5940">
      <w:pPr>
        <w:spacing w:after="0" w:line="240" w:lineRule="auto"/>
        <w:ind w:left="4820" w:hanging="567"/>
        <w:jc w:val="both"/>
        <w:rPr>
          <w:rFonts w:ascii="Arial" w:eastAsia="Calibri" w:hAnsi="Arial" w:cs="Arial"/>
          <w:lang w:val="es-ES"/>
        </w:rPr>
      </w:pPr>
      <w:r w:rsidRPr="00B5723A">
        <w:rPr>
          <w:rFonts w:ascii="Arial" w:eastAsia="Calibri" w:hAnsi="Arial" w:cs="Arial"/>
          <w:lang w:val="es-ES"/>
        </w:rPr>
        <w:t xml:space="preserve">* </w:t>
      </w:r>
      <w:r w:rsidR="006F5940">
        <w:rPr>
          <w:rFonts w:ascii="Arial" w:eastAsia="Calibri" w:hAnsi="Arial" w:cs="Arial"/>
          <w:lang w:val="es-ES"/>
        </w:rPr>
        <w:tab/>
      </w:r>
      <w:r w:rsidRPr="00B5723A">
        <w:rPr>
          <w:rFonts w:ascii="Arial" w:eastAsia="Calibri" w:hAnsi="Arial" w:cs="Arial"/>
          <w:lang w:val="es-ES"/>
        </w:rPr>
        <w:t>Tiempo mín. de registro/punto: 60 segundos (según modelo y marca).</w:t>
      </w:r>
    </w:p>
    <w:p w:rsidR="00B5723A" w:rsidRPr="00B5723A" w:rsidRDefault="00B5723A" w:rsidP="006F5940">
      <w:pPr>
        <w:spacing w:after="0" w:line="240" w:lineRule="auto"/>
        <w:ind w:left="4820" w:hanging="567"/>
        <w:jc w:val="both"/>
        <w:rPr>
          <w:rFonts w:ascii="Arial" w:eastAsia="Calibri" w:hAnsi="Arial" w:cs="Arial"/>
          <w:lang w:val="es-ES"/>
        </w:rPr>
      </w:pPr>
    </w:p>
    <w:p w:rsidR="00B5723A" w:rsidRPr="00B5723A" w:rsidRDefault="00B5723A" w:rsidP="006F5940">
      <w:pPr>
        <w:spacing w:after="0" w:line="240" w:lineRule="auto"/>
        <w:ind w:left="4820" w:hanging="567"/>
        <w:jc w:val="both"/>
        <w:rPr>
          <w:rFonts w:ascii="Arial" w:eastAsia="Calibri" w:hAnsi="Arial" w:cs="Arial"/>
          <w:lang w:val="es-ES"/>
        </w:rPr>
      </w:pPr>
      <w:r w:rsidRPr="00B5723A">
        <w:rPr>
          <w:rFonts w:ascii="Arial" w:eastAsia="Calibri" w:hAnsi="Arial" w:cs="Arial"/>
          <w:lang w:val="es-ES"/>
        </w:rPr>
        <w:t xml:space="preserve">* </w:t>
      </w:r>
      <w:r w:rsidR="006F5940">
        <w:rPr>
          <w:rFonts w:ascii="Arial" w:eastAsia="Calibri" w:hAnsi="Arial" w:cs="Arial"/>
          <w:lang w:val="es-ES"/>
        </w:rPr>
        <w:tab/>
      </w:r>
      <w:r w:rsidRPr="00B5723A">
        <w:rPr>
          <w:rFonts w:ascii="Arial" w:eastAsia="Calibri" w:hAnsi="Arial" w:cs="Arial"/>
          <w:lang w:val="es-ES"/>
        </w:rPr>
        <w:t>Tipo de archivos: Compatible con la estación base Referencia</w:t>
      </w:r>
    </w:p>
    <w:p w:rsidR="00B5723A" w:rsidRPr="00B5723A" w:rsidRDefault="00B5723A" w:rsidP="006F5940">
      <w:pPr>
        <w:spacing w:after="0" w:line="240" w:lineRule="auto"/>
        <w:ind w:left="4820" w:hanging="567"/>
        <w:jc w:val="both"/>
        <w:rPr>
          <w:rFonts w:ascii="Arial" w:eastAsia="Calibri" w:hAnsi="Arial" w:cs="Arial"/>
          <w:lang w:val="es-ES"/>
        </w:rPr>
      </w:pPr>
    </w:p>
    <w:p w:rsidR="00B5723A" w:rsidRPr="00B5723A" w:rsidRDefault="00B5723A" w:rsidP="006F5940">
      <w:pPr>
        <w:spacing w:after="0" w:line="240" w:lineRule="auto"/>
        <w:ind w:left="4820" w:hanging="567"/>
        <w:jc w:val="both"/>
        <w:rPr>
          <w:rFonts w:ascii="Arial" w:eastAsia="Calibri" w:hAnsi="Arial" w:cs="Arial"/>
          <w:lang w:val="es-ES"/>
        </w:rPr>
      </w:pPr>
      <w:r w:rsidRPr="00B5723A">
        <w:rPr>
          <w:rFonts w:ascii="Arial" w:eastAsia="Calibri" w:hAnsi="Arial" w:cs="Arial"/>
          <w:lang w:val="es-ES"/>
        </w:rPr>
        <w:t xml:space="preserve">* </w:t>
      </w:r>
      <w:r w:rsidR="006F5940">
        <w:rPr>
          <w:rFonts w:ascii="Arial" w:eastAsia="Calibri" w:hAnsi="Arial" w:cs="Arial"/>
          <w:lang w:val="es-ES"/>
        </w:rPr>
        <w:tab/>
      </w:r>
      <w:r w:rsidRPr="00B5723A">
        <w:rPr>
          <w:rFonts w:ascii="Arial" w:eastAsia="Calibri" w:hAnsi="Arial" w:cs="Arial"/>
          <w:lang w:val="es-ES"/>
        </w:rPr>
        <w:t>Tipo de receptor *: Submétrico o menor al metro.</w:t>
      </w:r>
    </w:p>
    <w:p w:rsidR="00B5723A" w:rsidRPr="00B5723A" w:rsidRDefault="00B5723A" w:rsidP="006F5940">
      <w:pPr>
        <w:spacing w:after="0" w:line="240" w:lineRule="auto"/>
        <w:ind w:left="4820" w:hanging="567"/>
        <w:jc w:val="both"/>
        <w:rPr>
          <w:rFonts w:ascii="Arial" w:eastAsia="Calibri" w:hAnsi="Arial" w:cs="Arial"/>
          <w:lang w:val="es-ES"/>
        </w:rPr>
      </w:pPr>
    </w:p>
    <w:p w:rsidR="00B5723A" w:rsidRPr="00B5723A" w:rsidRDefault="00B5723A" w:rsidP="006F5940">
      <w:pPr>
        <w:spacing w:after="0" w:line="240" w:lineRule="auto"/>
        <w:ind w:left="4820" w:hanging="567"/>
        <w:jc w:val="both"/>
        <w:rPr>
          <w:rFonts w:ascii="Arial" w:eastAsia="Calibri" w:hAnsi="Arial" w:cs="Arial"/>
          <w:lang w:val="es-ES"/>
        </w:rPr>
      </w:pPr>
      <w:r w:rsidRPr="00B5723A">
        <w:rPr>
          <w:rFonts w:ascii="Arial" w:eastAsia="Calibri" w:hAnsi="Arial" w:cs="Arial"/>
          <w:lang w:val="es-ES"/>
        </w:rPr>
        <w:t xml:space="preserve">* </w:t>
      </w:r>
      <w:r w:rsidR="006F5940">
        <w:rPr>
          <w:rFonts w:ascii="Arial" w:eastAsia="Calibri" w:hAnsi="Arial" w:cs="Arial"/>
          <w:lang w:val="es-ES"/>
        </w:rPr>
        <w:tab/>
      </w:r>
      <w:r w:rsidRPr="00B5723A">
        <w:rPr>
          <w:rFonts w:ascii="Arial" w:eastAsia="Calibri" w:hAnsi="Arial" w:cs="Arial"/>
          <w:lang w:val="es-ES"/>
        </w:rPr>
        <w:t>Tipo de antena*: L1-L2 (compatible con el receptor).</w:t>
      </w:r>
    </w:p>
    <w:p w:rsidR="00B5723A" w:rsidRPr="00B5723A" w:rsidRDefault="00B5723A" w:rsidP="006F5940">
      <w:pPr>
        <w:spacing w:after="0" w:line="240" w:lineRule="auto"/>
        <w:ind w:left="4820" w:hanging="567"/>
        <w:jc w:val="both"/>
        <w:rPr>
          <w:rFonts w:ascii="Arial" w:eastAsia="Calibri" w:hAnsi="Arial" w:cs="Arial"/>
          <w:lang w:val="es-ES"/>
        </w:rPr>
      </w:pPr>
    </w:p>
    <w:p w:rsidR="00B5723A" w:rsidRPr="00B5723A" w:rsidRDefault="00B5723A" w:rsidP="006F5940">
      <w:pPr>
        <w:spacing w:after="0" w:line="240" w:lineRule="auto"/>
        <w:ind w:left="4820" w:hanging="567"/>
        <w:jc w:val="both"/>
        <w:rPr>
          <w:rFonts w:ascii="Arial" w:eastAsia="Calibri" w:hAnsi="Arial" w:cs="Arial"/>
          <w:lang w:val="es-ES"/>
        </w:rPr>
      </w:pPr>
      <w:r w:rsidRPr="00B5723A">
        <w:rPr>
          <w:rFonts w:ascii="Arial" w:eastAsia="Calibri" w:hAnsi="Arial" w:cs="Arial"/>
          <w:lang w:val="es-ES"/>
        </w:rPr>
        <w:t xml:space="preserve">* </w:t>
      </w:r>
      <w:r w:rsidR="006F5940">
        <w:rPr>
          <w:rFonts w:ascii="Arial" w:eastAsia="Calibri" w:hAnsi="Arial" w:cs="Arial"/>
          <w:lang w:val="es-ES"/>
        </w:rPr>
        <w:tab/>
      </w:r>
      <w:r w:rsidRPr="00B5723A">
        <w:rPr>
          <w:rFonts w:ascii="Arial" w:eastAsia="Calibri" w:hAnsi="Arial" w:cs="Arial"/>
          <w:lang w:val="es-ES"/>
        </w:rPr>
        <w:t>Altura de antena -medida: Parte inferior de la antena.</w:t>
      </w:r>
    </w:p>
    <w:p w:rsidR="00B5723A" w:rsidRPr="00B5723A" w:rsidRDefault="00B5723A" w:rsidP="006F5940">
      <w:pPr>
        <w:spacing w:after="0" w:line="240" w:lineRule="auto"/>
        <w:ind w:left="3686"/>
        <w:jc w:val="both"/>
        <w:rPr>
          <w:rFonts w:ascii="Arial" w:eastAsia="Calibri" w:hAnsi="Arial" w:cs="Arial"/>
          <w:lang w:val="es-ES"/>
        </w:rPr>
      </w:pPr>
    </w:p>
    <w:p w:rsidR="00B5723A" w:rsidRPr="00B5723A" w:rsidRDefault="00B5723A" w:rsidP="006F5940">
      <w:pPr>
        <w:spacing w:after="0" w:line="240" w:lineRule="auto"/>
        <w:ind w:left="3686"/>
        <w:jc w:val="both"/>
        <w:rPr>
          <w:rFonts w:ascii="Arial" w:eastAsia="Calibri" w:hAnsi="Arial" w:cs="Arial"/>
          <w:lang w:val="es-ES"/>
        </w:rPr>
      </w:pPr>
      <w:r w:rsidRPr="00B5723A">
        <w:rPr>
          <w:rFonts w:ascii="Arial" w:eastAsia="Calibri" w:hAnsi="Arial" w:cs="Arial"/>
          <w:lang w:val="es-ES"/>
        </w:rPr>
        <w:t>Con esta configuración se procede a georreferenciar los vértices de la poligonal del inmueble, colindante y todo que la parte técnica considere necesario. Cuando se termina el trabajo se cierra el archivo, para luego reabrirlo y verificar la existencia del trabajo.</w:t>
      </w:r>
    </w:p>
    <w:p w:rsidR="00B5723A" w:rsidRPr="00B5723A" w:rsidRDefault="00B5723A" w:rsidP="006F5940">
      <w:pPr>
        <w:spacing w:after="0" w:line="240" w:lineRule="auto"/>
        <w:ind w:left="3686"/>
        <w:jc w:val="both"/>
        <w:rPr>
          <w:rFonts w:ascii="Arial" w:eastAsia="Calibri" w:hAnsi="Arial" w:cs="Arial"/>
          <w:lang w:val="es-ES"/>
        </w:rPr>
      </w:pPr>
    </w:p>
    <w:p w:rsidR="00B5723A" w:rsidRPr="00B5723A" w:rsidRDefault="00B5723A" w:rsidP="006F5940">
      <w:pPr>
        <w:spacing w:after="0" w:line="240" w:lineRule="auto"/>
        <w:ind w:left="3686"/>
        <w:jc w:val="both"/>
        <w:rPr>
          <w:rFonts w:ascii="Arial" w:eastAsia="Calibri" w:hAnsi="Arial" w:cs="Arial"/>
          <w:lang w:val="es-ES"/>
        </w:rPr>
      </w:pPr>
      <w:r w:rsidRPr="00B5723A">
        <w:rPr>
          <w:rFonts w:ascii="Arial" w:eastAsia="Calibri" w:hAnsi="Arial" w:cs="Arial"/>
          <w:lang w:val="es-ES"/>
        </w:rPr>
        <w:tab/>
        <w:t>Hoja de Campo</w:t>
      </w:r>
    </w:p>
    <w:p w:rsidR="00B5723A" w:rsidRPr="00B5723A" w:rsidRDefault="00B5723A" w:rsidP="006F5940">
      <w:pPr>
        <w:spacing w:after="0" w:line="240" w:lineRule="auto"/>
        <w:ind w:left="3686"/>
        <w:jc w:val="both"/>
        <w:rPr>
          <w:rFonts w:ascii="Arial" w:eastAsia="Calibri" w:hAnsi="Arial" w:cs="Arial"/>
          <w:lang w:val="es-ES"/>
        </w:rPr>
      </w:pPr>
    </w:p>
    <w:p w:rsidR="00B5723A" w:rsidRPr="00B5723A" w:rsidRDefault="00B5723A" w:rsidP="006F5940">
      <w:pPr>
        <w:spacing w:after="0" w:line="240" w:lineRule="auto"/>
        <w:ind w:left="3686"/>
        <w:jc w:val="both"/>
        <w:rPr>
          <w:rFonts w:ascii="Arial" w:eastAsia="Calibri" w:hAnsi="Arial" w:cs="Arial"/>
          <w:lang w:val="es-ES"/>
        </w:rPr>
      </w:pPr>
      <w:r w:rsidRPr="00B5723A">
        <w:rPr>
          <w:rFonts w:ascii="Arial" w:eastAsia="Calibri" w:hAnsi="Arial" w:cs="Arial"/>
          <w:lang w:val="es-ES"/>
        </w:rPr>
        <w:t>Esta Ficha contiene un croquis del levantamiento catastral y datos técnicos, lo cual ayuda a graficar los polígonos de los inmuebles con los puntos georreferenciados. Además, brinda información que ayuda en el trabajo de post-procesamiento, la cual se encuentra detallada en el formato Nº01</w:t>
      </w:r>
    </w:p>
    <w:p w:rsidR="00B5723A" w:rsidRPr="00B5723A" w:rsidRDefault="00B5723A" w:rsidP="00B5723A">
      <w:pPr>
        <w:spacing w:after="0" w:line="240" w:lineRule="auto"/>
        <w:jc w:val="both"/>
        <w:rPr>
          <w:rFonts w:ascii="Arial" w:eastAsia="Calibri" w:hAnsi="Arial" w:cs="Arial"/>
          <w:lang w:val="es-ES"/>
        </w:rPr>
      </w:pPr>
    </w:p>
    <w:p w:rsidR="00B5723A" w:rsidRPr="00487138" w:rsidRDefault="00B5723A" w:rsidP="00487138">
      <w:pPr>
        <w:spacing w:after="0" w:line="240" w:lineRule="auto"/>
        <w:ind w:left="2835"/>
        <w:jc w:val="both"/>
        <w:rPr>
          <w:rFonts w:ascii="Arial" w:eastAsia="Calibri" w:hAnsi="Arial" w:cs="Arial"/>
          <w:b/>
          <w:lang w:val="es-ES"/>
        </w:rPr>
      </w:pPr>
      <w:r w:rsidRPr="00B5723A">
        <w:rPr>
          <w:rFonts w:ascii="Arial" w:eastAsia="Calibri" w:hAnsi="Arial" w:cs="Arial"/>
          <w:lang w:val="es-ES"/>
        </w:rPr>
        <w:tab/>
      </w:r>
      <w:r w:rsidRPr="00487138">
        <w:rPr>
          <w:rFonts w:ascii="Arial" w:eastAsia="Calibri" w:hAnsi="Arial" w:cs="Arial"/>
          <w:b/>
          <w:lang w:val="es-ES"/>
        </w:rPr>
        <w:t>7.1.2.1.3 FASE DE GABINETE</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487138">
      <w:pPr>
        <w:spacing w:after="0" w:line="240" w:lineRule="auto"/>
        <w:ind w:left="4395"/>
        <w:jc w:val="both"/>
        <w:rPr>
          <w:rFonts w:ascii="Arial" w:eastAsia="Calibri" w:hAnsi="Arial" w:cs="Arial"/>
          <w:lang w:val="es-ES"/>
        </w:rPr>
      </w:pPr>
      <w:r w:rsidRPr="00B5723A">
        <w:rPr>
          <w:rFonts w:ascii="Arial" w:eastAsia="Calibri" w:hAnsi="Arial" w:cs="Arial"/>
          <w:lang w:val="es-ES"/>
        </w:rPr>
        <w:t>Procesamiento de la información</w:t>
      </w:r>
    </w:p>
    <w:p w:rsidR="00B5723A" w:rsidRPr="00B5723A" w:rsidRDefault="00B5723A" w:rsidP="00487138">
      <w:pPr>
        <w:spacing w:after="0" w:line="240" w:lineRule="auto"/>
        <w:ind w:left="4395"/>
        <w:jc w:val="both"/>
        <w:rPr>
          <w:rFonts w:ascii="Arial" w:eastAsia="Calibri" w:hAnsi="Arial" w:cs="Arial"/>
          <w:lang w:val="es-ES"/>
        </w:rPr>
      </w:pPr>
    </w:p>
    <w:p w:rsidR="00B5723A" w:rsidRPr="00B5723A" w:rsidRDefault="00B5723A" w:rsidP="00487138">
      <w:pPr>
        <w:spacing w:after="0" w:line="240" w:lineRule="auto"/>
        <w:ind w:left="4395"/>
        <w:jc w:val="both"/>
        <w:rPr>
          <w:rFonts w:ascii="Arial" w:eastAsia="Calibri" w:hAnsi="Arial" w:cs="Arial"/>
          <w:lang w:val="es-ES"/>
        </w:rPr>
      </w:pPr>
      <w:r w:rsidRPr="00B5723A">
        <w:rPr>
          <w:rFonts w:ascii="Arial" w:eastAsia="Calibri" w:hAnsi="Arial" w:cs="Arial"/>
          <w:lang w:val="es-ES"/>
        </w:rPr>
        <w:t>Para iniciar el post-procesamiento de la información de campo y la estación base, se debe asegurar que la computadora donde está instalado el software de postproceso tenga la capacidad de memoria suficiente en el disco duro.</w:t>
      </w:r>
    </w:p>
    <w:p w:rsidR="00B5723A" w:rsidRPr="00B5723A" w:rsidRDefault="00B5723A" w:rsidP="00487138">
      <w:pPr>
        <w:spacing w:after="0" w:line="240" w:lineRule="auto"/>
        <w:ind w:left="4395"/>
        <w:jc w:val="both"/>
        <w:rPr>
          <w:rFonts w:ascii="Arial" w:eastAsia="Calibri" w:hAnsi="Arial" w:cs="Arial"/>
          <w:lang w:val="es-ES"/>
        </w:rPr>
      </w:pPr>
    </w:p>
    <w:p w:rsidR="00B5723A" w:rsidRPr="00B5723A" w:rsidRDefault="00B5723A" w:rsidP="00487138">
      <w:pPr>
        <w:spacing w:after="0" w:line="240" w:lineRule="auto"/>
        <w:ind w:left="4395"/>
        <w:jc w:val="both"/>
        <w:rPr>
          <w:rFonts w:ascii="Arial" w:eastAsia="Calibri" w:hAnsi="Arial" w:cs="Arial"/>
          <w:lang w:val="es-ES"/>
        </w:rPr>
      </w:pPr>
      <w:r w:rsidRPr="00B5723A">
        <w:rPr>
          <w:rFonts w:ascii="Arial" w:eastAsia="Calibri" w:hAnsi="Arial" w:cs="Arial"/>
          <w:lang w:val="es-ES"/>
        </w:rPr>
        <w:t>Si se utiliza una llave física, debe estar en buen estado.</w:t>
      </w:r>
    </w:p>
    <w:p w:rsidR="00B5723A" w:rsidRPr="00B5723A" w:rsidRDefault="00B5723A" w:rsidP="00487138">
      <w:pPr>
        <w:spacing w:after="0" w:line="240" w:lineRule="auto"/>
        <w:ind w:left="4395"/>
        <w:jc w:val="both"/>
        <w:rPr>
          <w:rFonts w:ascii="Arial" w:eastAsia="Calibri" w:hAnsi="Arial" w:cs="Arial"/>
          <w:lang w:val="es-ES"/>
        </w:rPr>
      </w:pPr>
    </w:p>
    <w:p w:rsidR="00B5723A" w:rsidRPr="00B5723A" w:rsidRDefault="00B5723A" w:rsidP="00487138">
      <w:pPr>
        <w:spacing w:after="0" w:line="240" w:lineRule="auto"/>
        <w:ind w:left="4395"/>
        <w:jc w:val="both"/>
        <w:rPr>
          <w:rFonts w:ascii="Arial" w:eastAsia="Calibri" w:hAnsi="Arial" w:cs="Arial"/>
          <w:lang w:val="es-ES"/>
        </w:rPr>
      </w:pPr>
      <w:r w:rsidRPr="00B5723A">
        <w:rPr>
          <w:rFonts w:ascii="Arial" w:eastAsia="Calibri" w:hAnsi="Arial" w:cs="Arial"/>
          <w:lang w:val="es-ES"/>
        </w:rPr>
        <w:t>Para iniciar la corrección diferencial se debe tener los nombres del archivo de campo (equipo rover) y de la estación base. Además, se debe complementar con la Hoja de Campo, una copia de la Ficha descriptiva de la estación base GNSS, donde se detallen las coordenadas del punto utilizado como estación base, punto geodésico o de la ERP - GNSS del IGN.</w:t>
      </w:r>
    </w:p>
    <w:p w:rsidR="00B5723A" w:rsidRPr="00B5723A" w:rsidRDefault="00B5723A" w:rsidP="00487138">
      <w:pPr>
        <w:spacing w:after="0" w:line="240" w:lineRule="auto"/>
        <w:ind w:left="4395"/>
        <w:jc w:val="both"/>
        <w:rPr>
          <w:rFonts w:ascii="Arial" w:eastAsia="Calibri" w:hAnsi="Arial" w:cs="Arial"/>
          <w:lang w:val="es-ES"/>
        </w:rPr>
      </w:pPr>
    </w:p>
    <w:p w:rsidR="00B5723A" w:rsidRPr="00B5723A" w:rsidRDefault="00B5723A" w:rsidP="00487138">
      <w:pPr>
        <w:spacing w:after="0" w:line="240" w:lineRule="auto"/>
        <w:ind w:left="4395"/>
        <w:jc w:val="both"/>
        <w:rPr>
          <w:rFonts w:ascii="Arial" w:eastAsia="Calibri" w:hAnsi="Arial" w:cs="Arial"/>
          <w:lang w:val="es-ES"/>
        </w:rPr>
      </w:pPr>
      <w:r w:rsidRPr="00B5723A">
        <w:rPr>
          <w:rFonts w:ascii="Arial" w:eastAsia="Calibri" w:hAnsi="Arial" w:cs="Arial"/>
          <w:lang w:val="es-ES"/>
        </w:rPr>
        <w:t>Almacenamiento de los datos de campo</w:t>
      </w:r>
    </w:p>
    <w:p w:rsidR="00B5723A" w:rsidRPr="00B5723A" w:rsidRDefault="00B5723A" w:rsidP="00487138">
      <w:pPr>
        <w:spacing w:after="0" w:line="240" w:lineRule="auto"/>
        <w:ind w:left="4395"/>
        <w:jc w:val="both"/>
        <w:rPr>
          <w:rFonts w:ascii="Arial" w:eastAsia="Calibri" w:hAnsi="Arial" w:cs="Arial"/>
          <w:lang w:val="es-ES"/>
        </w:rPr>
      </w:pPr>
    </w:p>
    <w:p w:rsidR="00B5723A" w:rsidRPr="00B5723A" w:rsidRDefault="00B5723A" w:rsidP="00487138">
      <w:pPr>
        <w:spacing w:after="0" w:line="240" w:lineRule="auto"/>
        <w:ind w:left="4395"/>
        <w:jc w:val="both"/>
        <w:rPr>
          <w:rFonts w:ascii="Arial" w:eastAsia="Calibri" w:hAnsi="Arial" w:cs="Arial"/>
          <w:lang w:val="es-ES"/>
        </w:rPr>
      </w:pPr>
      <w:r w:rsidRPr="00B5723A">
        <w:rPr>
          <w:rFonts w:ascii="Arial" w:eastAsia="Calibri" w:hAnsi="Arial" w:cs="Arial"/>
          <w:lang w:val="es-ES"/>
        </w:rPr>
        <w:t>Se debe almacenar la siguiente información:</w:t>
      </w:r>
    </w:p>
    <w:p w:rsidR="00B5723A" w:rsidRPr="00B5723A" w:rsidRDefault="00B5723A" w:rsidP="00487138">
      <w:pPr>
        <w:spacing w:after="0" w:line="240" w:lineRule="auto"/>
        <w:ind w:left="4395"/>
        <w:jc w:val="both"/>
        <w:rPr>
          <w:rFonts w:ascii="Arial" w:eastAsia="Calibri" w:hAnsi="Arial" w:cs="Arial"/>
          <w:lang w:val="es-ES"/>
        </w:rPr>
      </w:pPr>
    </w:p>
    <w:p w:rsidR="00B5723A" w:rsidRPr="00B5723A" w:rsidRDefault="00B5723A" w:rsidP="00487138">
      <w:pPr>
        <w:spacing w:after="0" w:line="240" w:lineRule="auto"/>
        <w:ind w:left="4962" w:hanging="567"/>
        <w:jc w:val="both"/>
        <w:rPr>
          <w:rFonts w:ascii="Arial" w:eastAsia="Calibri" w:hAnsi="Arial" w:cs="Arial"/>
          <w:lang w:val="es-ES"/>
        </w:rPr>
      </w:pPr>
      <w:r w:rsidRPr="00B5723A">
        <w:rPr>
          <w:rFonts w:ascii="Arial" w:eastAsia="Calibri" w:hAnsi="Arial" w:cs="Arial"/>
          <w:lang w:val="es-ES"/>
        </w:rPr>
        <w:t xml:space="preserve">* </w:t>
      </w:r>
      <w:r w:rsidR="00487138">
        <w:rPr>
          <w:rFonts w:ascii="Arial" w:eastAsia="Calibri" w:hAnsi="Arial" w:cs="Arial"/>
          <w:lang w:val="es-ES"/>
        </w:rPr>
        <w:tab/>
      </w:r>
      <w:r w:rsidRPr="00B5723A">
        <w:rPr>
          <w:rFonts w:ascii="Arial" w:eastAsia="Calibri" w:hAnsi="Arial" w:cs="Arial"/>
          <w:lang w:val="es-ES"/>
        </w:rPr>
        <w:t>Terminado el trabajo de campo, se transfiere a la computadora toda la información obtenida del equipo GNSS (rover) y de la estación base GNSS.</w:t>
      </w:r>
    </w:p>
    <w:p w:rsidR="00B5723A" w:rsidRPr="00B5723A" w:rsidRDefault="00B5723A" w:rsidP="00487138">
      <w:pPr>
        <w:spacing w:after="0" w:line="240" w:lineRule="auto"/>
        <w:ind w:left="4962" w:hanging="567"/>
        <w:jc w:val="both"/>
        <w:rPr>
          <w:rFonts w:ascii="Arial" w:eastAsia="Calibri" w:hAnsi="Arial" w:cs="Arial"/>
          <w:lang w:val="es-ES"/>
        </w:rPr>
      </w:pPr>
    </w:p>
    <w:p w:rsidR="00B5723A" w:rsidRPr="00B5723A" w:rsidRDefault="00B5723A" w:rsidP="00487138">
      <w:pPr>
        <w:spacing w:after="0" w:line="240" w:lineRule="auto"/>
        <w:ind w:left="4962" w:hanging="567"/>
        <w:jc w:val="both"/>
        <w:rPr>
          <w:rFonts w:ascii="Arial" w:eastAsia="Calibri" w:hAnsi="Arial" w:cs="Arial"/>
          <w:lang w:val="es-ES"/>
        </w:rPr>
      </w:pPr>
      <w:r w:rsidRPr="00B5723A">
        <w:rPr>
          <w:rFonts w:ascii="Arial" w:eastAsia="Calibri" w:hAnsi="Arial" w:cs="Arial"/>
          <w:lang w:val="es-ES"/>
        </w:rPr>
        <w:t xml:space="preserve">* </w:t>
      </w:r>
      <w:r w:rsidR="00487138">
        <w:rPr>
          <w:rFonts w:ascii="Arial" w:eastAsia="Calibri" w:hAnsi="Arial" w:cs="Arial"/>
          <w:lang w:val="es-ES"/>
        </w:rPr>
        <w:tab/>
      </w:r>
      <w:r w:rsidRPr="00B5723A">
        <w:rPr>
          <w:rFonts w:ascii="Arial" w:eastAsia="Calibri" w:hAnsi="Arial" w:cs="Arial"/>
          <w:lang w:val="es-ES"/>
        </w:rPr>
        <w:t>Se guarda la información obtenida en el disco duro y con una copia se realiza el trabajo de corrección diferencial.</w:t>
      </w:r>
    </w:p>
    <w:p w:rsidR="00B5723A" w:rsidRPr="00B5723A" w:rsidRDefault="00B5723A" w:rsidP="00487138">
      <w:pPr>
        <w:spacing w:after="0" w:line="240" w:lineRule="auto"/>
        <w:ind w:left="4962" w:hanging="567"/>
        <w:jc w:val="both"/>
        <w:rPr>
          <w:rFonts w:ascii="Arial" w:eastAsia="Calibri" w:hAnsi="Arial" w:cs="Arial"/>
          <w:lang w:val="es-ES"/>
        </w:rPr>
      </w:pPr>
    </w:p>
    <w:p w:rsidR="00B5723A" w:rsidRPr="00B5723A" w:rsidRDefault="00B5723A" w:rsidP="00487138">
      <w:pPr>
        <w:spacing w:after="0" w:line="240" w:lineRule="auto"/>
        <w:ind w:left="4962" w:hanging="567"/>
        <w:jc w:val="both"/>
        <w:rPr>
          <w:rFonts w:ascii="Arial" w:eastAsia="Calibri" w:hAnsi="Arial" w:cs="Arial"/>
          <w:lang w:val="es-ES"/>
        </w:rPr>
      </w:pPr>
      <w:r w:rsidRPr="00B5723A">
        <w:rPr>
          <w:rFonts w:ascii="Arial" w:eastAsia="Calibri" w:hAnsi="Arial" w:cs="Arial"/>
          <w:lang w:val="es-ES"/>
        </w:rPr>
        <w:t xml:space="preserve">* </w:t>
      </w:r>
      <w:r w:rsidR="00487138">
        <w:rPr>
          <w:rFonts w:ascii="Arial" w:eastAsia="Calibri" w:hAnsi="Arial" w:cs="Arial"/>
          <w:lang w:val="es-ES"/>
        </w:rPr>
        <w:tab/>
      </w:r>
      <w:r w:rsidRPr="00B5723A">
        <w:rPr>
          <w:rFonts w:ascii="Arial" w:eastAsia="Calibri" w:hAnsi="Arial" w:cs="Arial"/>
          <w:lang w:val="es-ES"/>
        </w:rPr>
        <w:t>También se escanea la Hoja de Campo de los puntos geodésicos utilizados o de la ERP GNSS del IGN, para guardar en formato digital.</w:t>
      </w:r>
    </w:p>
    <w:p w:rsidR="00B5723A" w:rsidRPr="00B5723A" w:rsidRDefault="00B5723A" w:rsidP="00487138">
      <w:pPr>
        <w:spacing w:after="0" w:line="240" w:lineRule="auto"/>
        <w:ind w:left="4962" w:hanging="567"/>
        <w:jc w:val="both"/>
        <w:rPr>
          <w:rFonts w:ascii="Arial" w:eastAsia="Calibri" w:hAnsi="Arial" w:cs="Arial"/>
          <w:lang w:val="es-ES"/>
        </w:rPr>
      </w:pPr>
    </w:p>
    <w:p w:rsidR="00B5723A" w:rsidRPr="00B5723A" w:rsidRDefault="00B5723A" w:rsidP="00487138">
      <w:pPr>
        <w:spacing w:after="0" w:line="240" w:lineRule="auto"/>
        <w:ind w:left="4962" w:hanging="567"/>
        <w:jc w:val="both"/>
        <w:rPr>
          <w:rFonts w:ascii="Arial" w:eastAsia="Calibri" w:hAnsi="Arial" w:cs="Arial"/>
          <w:lang w:val="es-ES"/>
        </w:rPr>
      </w:pPr>
      <w:r w:rsidRPr="00B5723A">
        <w:rPr>
          <w:rFonts w:ascii="Arial" w:eastAsia="Calibri" w:hAnsi="Arial" w:cs="Arial"/>
          <w:lang w:val="es-ES"/>
        </w:rPr>
        <w:t xml:space="preserve">* </w:t>
      </w:r>
      <w:r w:rsidR="00487138">
        <w:rPr>
          <w:rFonts w:ascii="Arial" w:eastAsia="Calibri" w:hAnsi="Arial" w:cs="Arial"/>
          <w:lang w:val="es-ES"/>
        </w:rPr>
        <w:tab/>
      </w:r>
      <w:r w:rsidRPr="00B5723A">
        <w:rPr>
          <w:rFonts w:ascii="Arial" w:eastAsia="Calibri" w:hAnsi="Arial" w:cs="Arial"/>
          <w:lang w:val="es-ES"/>
        </w:rPr>
        <w:t>Al final, se obtiene un archivo de la misma denominación que el archivo utilizado en el colector de datos GNSS utilizado en campo.</w:t>
      </w:r>
    </w:p>
    <w:p w:rsidR="00B5723A" w:rsidRPr="00B5723A" w:rsidRDefault="00B5723A" w:rsidP="00487138">
      <w:pPr>
        <w:spacing w:after="0" w:line="240" w:lineRule="auto"/>
        <w:ind w:left="4962" w:hanging="567"/>
        <w:jc w:val="both"/>
        <w:rPr>
          <w:rFonts w:ascii="Arial" w:eastAsia="Calibri" w:hAnsi="Arial" w:cs="Arial"/>
          <w:lang w:val="es-ES"/>
        </w:rPr>
      </w:pPr>
    </w:p>
    <w:p w:rsidR="00B5723A" w:rsidRPr="00B5723A" w:rsidRDefault="00B5723A" w:rsidP="00487138">
      <w:pPr>
        <w:spacing w:after="0" w:line="240" w:lineRule="auto"/>
        <w:ind w:left="4962" w:hanging="567"/>
        <w:jc w:val="both"/>
        <w:rPr>
          <w:rFonts w:ascii="Arial" w:eastAsia="Calibri" w:hAnsi="Arial" w:cs="Arial"/>
          <w:lang w:val="es-ES"/>
        </w:rPr>
      </w:pPr>
      <w:r w:rsidRPr="00B5723A">
        <w:rPr>
          <w:rFonts w:ascii="Arial" w:eastAsia="Calibri" w:hAnsi="Arial" w:cs="Arial"/>
          <w:lang w:val="es-ES"/>
        </w:rPr>
        <w:t xml:space="preserve">* </w:t>
      </w:r>
      <w:r w:rsidR="00487138">
        <w:rPr>
          <w:rFonts w:ascii="Arial" w:eastAsia="Calibri" w:hAnsi="Arial" w:cs="Arial"/>
          <w:lang w:val="es-ES"/>
        </w:rPr>
        <w:tab/>
      </w:r>
      <w:r w:rsidRPr="00B5723A">
        <w:rPr>
          <w:rFonts w:ascii="Arial" w:eastAsia="Calibri" w:hAnsi="Arial" w:cs="Arial"/>
          <w:lang w:val="es-ES"/>
        </w:rPr>
        <w:t>Este archivo debe contener la siguiente información; data cruda de campo, data de la estación base GNSS, copia escaneada de la Hoja de Campo de los puntos geodésicos y estación base GNSS utilizada, data corregida o reporte de la corrección diferencial, base gráfica del polígono y plano perimétrico.</w:t>
      </w:r>
    </w:p>
    <w:p w:rsidR="00B5723A" w:rsidRPr="00B5723A" w:rsidRDefault="00B5723A" w:rsidP="00487138">
      <w:pPr>
        <w:spacing w:after="0" w:line="240" w:lineRule="auto"/>
        <w:ind w:left="4962" w:hanging="567"/>
        <w:jc w:val="both"/>
        <w:rPr>
          <w:rFonts w:ascii="Arial" w:eastAsia="Calibri" w:hAnsi="Arial" w:cs="Arial"/>
          <w:lang w:val="es-ES"/>
        </w:rPr>
      </w:pPr>
    </w:p>
    <w:p w:rsidR="00B5723A" w:rsidRPr="00B5723A" w:rsidRDefault="00B5723A" w:rsidP="00487138">
      <w:pPr>
        <w:spacing w:after="0" w:line="240" w:lineRule="auto"/>
        <w:ind w:left="4962" w:hanging="567"/>
        <w:jc w:val="both"/>
        <w:rPr>
          <w:rFonts w:ascii="Arial" w:eastAsia="Calibri" w:hAnsi="Arial" w:cs="Arial"/>
          <w:lang w:val="es-ES"/>
        </w:rPr>
      </w:pPr>
      <w:r w:rsidRPr="00B5723A">
        <w:rPr>
          <w:rFonts w:ascii="Arial" w:eastAsia="Calibri" w:hAnsi="Arial" w:cs="Arial"/>
          <w:lang w:val="es-ES"/>
        </w:rPr>
        <w:t xml:space="preserve">* </w:t>
      </w:r>
      <w:r w:rsidR="00487138">
        <w:rPr>
          <w:rFonts w:ascii="Arial" w:eastAsia="Calibri" w:hAnsi="Arial" w:cs="Arial"/>
          <w:lang w:val="es-ES"/>
        </w:rPr>
        <w:tab/>
      </w:r>
      <w:r w:rsidRPr="00B5723A">
        <w:rPr>
          <w:rFonts w:ascii="Arial" w:eastAsia="Calibri" w:hAnsi="Arial" w:cs="Arial"/>
          <w:lang w:val="es-ES"/>
        </w:rPr>
        <w:t>Toda esta información se remite a la unidad orgánica correspondiente, para el respectivo control de calidad.</w:t>
      </w:r>
    </w:p>
    <w:p w:rsidR="00B5723A" w:rsidRPr="00B5723A" w:rsidRDefault="00B5723A" w:rsidP="00487138">
      <w:pPr>
        <w:spacing w:after="0" w:line="240" w:lineRule="auto"/>
        <w:ind w:left="4395"/>
        <w:jc w:val="both"/>
        <w:rPr>
          <w:rFonts w:ascii="Arial" w:eastAsia="Calibri" w:hAnsi="Arial" w:cs="Arial"/>
          <w:lang w:val="es-ES"/>
        </w:rPr>
      </w:pPr>
    </w:p>
    <w:p w:rsidR="00B5723A" w:rsidRPr="00B5723A" w:rsidRDefault="00B5723A" w:rsidP="00487138">
      <w:pPr>
        <w:spacing w:after="0" w:line="240" w:lineRule="auto"/>
        <w:ind w:left="4395"/>
        <w:jc w:val="both"/>
        <w:rPr>
          <w:rFonts w:ascii="Arial" w:eastAsia="Calibri" w:hAnsi="Arial" w:cs="Arial"/>
          <w:lang w:val="es-ES"/>
        </w:rPr>
      </w:pPr>
      <w:r w:rsidRPr="00B5723A">
        <w:rPr>
          <w:rFonts w:ascii="Arial" w:eastAsia="Calibri" w:hAnsi="Arial" w:cs="Arial"/>
          <w:lang w:val="es-ES"/>
        </w:rPr>
        <w:t>Los datos de corrección diferencial en posición y altitud se exportan en los valores de coordenadas (x,y).</w:t>
      </w:r>
    </w:p>
    <w:p w:rsidR="00B5723A" w:rsidRPr="00B5723A" w:rsidRDefault="00B5723A" w:rsidP="00487138">
      <w:pPr>
        <w:spacing w:after="0" w:line="240" w:lineRule="auto"/>
        <w:ind w:left="4395"/>
        <w:jc w:val="both"/>
        <w:rPr>
          <w:rFonts w:ascii="Arial" w:eastAsia="Calibri" w:hAnsi="Arial" w:cs="Arial"/>
          <w:lang w:val="es-ES"/>
        </w:rPr>
      </w:pPr>
    </w:p>
    <w:p w:rsidR="00B5723A" w:rsidRPr="00B5723A" w:rsidRDefault="00B5723A" w:rsidP="00487138">
      <w:pPr>
        <w:spacing w:after="0" w:line="240" w:lineRule="auto"/>
        <w:ind w:left="4395"/>
        <w:jc w:val="both"/>
        <w:rPr>
          <w:rFonts w:ascii="Arial" w:eastAsia="Calibri" w:hAnsi="Arial" w:cs="Arial"/>
          <w:lang w:val="es-ES"/>
        </w:rPr>
      </w:pPr>
      <w:r w:rsidRPr="00B5723A">
        <w:rPr>
          <w:rFonts w:ascii="Arial" w:eastAsia="Calibri" w:hAnsi="Arial" w:cs="Arial"/>
          <w:lang w:val="es-ES"/>
        </w:rPr>
        <w:t>Cálculo de la corrección diferencial</w:t>
      </w:r>
    </w:p>
    <w:p w:rsidR="00B5723A" w:rsidRPr="00B5723A" w:rsidRDefault="00B5723A" w:rsidP="00487138">
      <w:pPr>
        <w:spacing w:after="0" w:line="240" w:lineRule="auto"/>
        <w:ind w:left="4395"/>
        <w:jc w:val="both"/>
        <w:rPr>
          <w:rFonts w:ascii="Arial" w:eastAsia="Calibri" w:hAnsi="Arial" w:cs="Arial"/>
          <w:lang w:val="es-ES"/>
        </w:rPr>
      </w:pPr>
    </w:p>
    <w:p w:rsidR="00B5723A" w:rsidRPr="00B5723A" w:rsidRDefault="00B5723A" w:rsidP="00487138">
      <w:pPr>
        <w:spacing w:after="0" w:line="240" w:lineRule="auto"/>
        <w:ind w:left="4395"/>
        <w:jc w:val="both"/>
        <w:rPr>
          <w:rFonts w:ascii="Arial" w:eastAsia="Calibri" w:hAnsi="Arial" w:cs="Arial"/>
          <w:lang w:val="es-ES"/>
        </w:rPr>
      </w:pPr>
      <w:r w:rsidRPr="00B5723A">
        <w:rPr>
          <w:rFonts w:ascii="Arial" w:eastAsia="Calibri" w:hAnsi="Arial" w:cs="Arial"/>
          <w:lang w:val="es-ES"/>
        </w:rPr>
        <w:t>Para este cálculo se utiliza un software de postproceso que sea compatible con los datos tomados en campo, de preferencia de la misma marca de los equipos GNSS. De lo contrario se puede utilizar el archivo Rinex</w:t>
      </w:r>
    </w:p>
    <w:p w:rsidR="00B5723A" w:rsidRPr="00B5723A" w:rsidRDefault="00B5723A" w:rsidP="00487138">
      <w:pPr>
        <w:spacing w:after="0" w:line="240" w:lineRule="auto"/>
        <w:ind w:left="4395"/>
        <w:jc w:val="both"/>
        <w:rPr>
          <w:rFonts w:ascii="Arial" w:eastAsia="Calibri" w:hAnsi="Arial" w:cs="Arial"/>
          <w:lang w:val="es-ES"/>
        </w:rPr>
      </w:pPr>
    </w:p>
    <w:p w:rsidR="00B5723A" w:rsidRPr="00B5723A" w:rsidRDefault="00B5723A" w:rsidP="00487138">
      <w:pPr>
        <w:spacing w:after="0" w:line="240" w:lineRule="auto"/>
        <w:ind w:left="4395"/>
        <w:jc w:val="both"/>
        <w:rPr>
          <w:rFonts w:ascii="Arial" w:eastAsia="Calibri" w:hAnsi="Arial" w:cs="Arial"/>
          <w:lang w:val="es-ES"/>
        </w:rPr>
      </w:pPr>
      <w:r w:rsidRPr="00B5723A">
        <w:rPr>
          <w:rFonts w:ascii="Arial" w:eastAsia="Calibri" w:hAnsi="Arial" w:cs="Arial"/>
          <w:lang w:val="es-ES"/>
        </w:rPr>
        <w:t>Es muy importante que se realicen las siguientes acciones:</w:t>
      </w:r>
    </w:p>
    <w:p w:rsidR="00B5723A" w:rsidRPr="00B5723A" w:rsidRDefault="00B5723A" w:rsidP="00487138">
      <w:pPr>
        <w:spacing w:after="0" w:line="240" w:lineRule="auto"/>
        <w:ind w:left="4395"/>
        <w:jc w:val="both"/>
        <w:rPr>
          <w:rFonts w:ascii="Arial" w:eastAsia="Calibri" w:hAnsi="Arial" w:cs="Arial"/>
          <w:lang w:val="es-ES"/>
        </w:rPr>
      </w:pPr>
    </w:p>
    <w:p w:rsidR="00B5723A" w:rsidRPr="00B5723A" w:rsidRDefault="00B5723A" w:rsidP="00487138">
      <w:pPr>
        <w:spacing w:after="0" w:line="240" w:lineRule="auto"/>
        <w:ind w:left="4962" w:hanging="567"/>
        <w:jc w:val="both"/>
        <w:rPr>
          <w:rFonts w:ascii="Arial" w:eastAsia="Calibri" w:hAnsi="Arial" w:cs="Arial"/>
          <w:lang w:val="es-ES"/>
        </w:rPr>
      </w:pPr>
      <w:r w:rsidRPr="00B5723A">
        <w:rPr>
          <w:rFonts w:ascii="Arial" w:eastAsia="Calibri" w:hAnsi="Arial" w:cs="Arial"/>
          <w:lang w:val="es-ES"/>
        </w:rPr>
        <w:t xml:space="preserve">* </w:t>
      </w:r>
      <w:r w:rsidR="00487138">
        <w:rPr>
          <w:rFonts w:ascii="Arial" w:eastAsia="Calibri" w:hAnsi="Arial" w:cs="Arial"/>
          <w:lang w:val="es-ES"/>
        </w:rPr>
        <w:tab/>
      </w:r>
      <w:r w:rsidRPr="00B5723A">
        <w:rPr>
          <w:rFonts w:ascii="Arial" w:eastAsia="Calibri" w:hAnsi="Arial" w:cs="Arial"/>
          <w:lang w:val="es-ES"/>
        </w:rPr>
        <w:t>Se ingresan correctamente las coordenadas de las estaciones base y el Datum geodésico (WGS84).</w:t>
      </w:r>
    </w:p>
    <w:p w:rsidR="00B5723A" w:rsidRPr="00B5723A" w:rsidRDefault="00B5723A" w:rsidP="00487138">
      <w:pPr>
        <w:spacing w:after="0" w:line="240" w:lineRule="auto"/>
        <w:ind w:left="4962" w:hanging="567"/>
        <w:jc w:val="both"/>
        <w:rPr>
          <w:rFonts w:ascii="Arial" w:eastAsia="Calibri" w:hAnsi="Arial" w:cs="Arial"/>
          <w:lang w:val="es-ES"/>
        </w:rPr>
      </w:pPr>
    </w:p>
    <w:p w:rsidR="00B5723A" w:rsidRPr="00B5723A" w:rsidRDefault="00B5723A" w:rsidP="00487138">
      <w:pPr>
        <w:spacing w:after="0" w:line="240" w:lineRule="auto"/>
        <w:ind w:left="4962" w:hanging="567"/>
        <w:jc w:val="both"/>
        <w:rPr>
          <w:rFonts w:ascii="Arial" w:eastAsia="Calibri" w:hAnsi="Arial" w:cs="Arial"/>
          <w:lang w:val="es-ES"/>
        </w:rPr>
      </w:pPr>
      <w:r w:rsidRPr="00B5723A">
        <w:rPr>
          <w:rFonts w:ascii="Arial" w:eastAsia="Calibri" w:hAnsi="Arial" w:cs="Arial"/>
          <w:lang w:val="es-ES"/>
        </w:rPr>
        <w:t xml:space="preserve">* </w:t>
      </w:r>
      <w:r w:rsidR="00487138">
        <w:rPr>
          <w:rFonts w:ascii="Arial" w:eastAsia="Calibri" w:hAnsi="Arial" w:cs="Arial"/>
          <w:lang w:val="es-ES"/>
        </w:rPr>
        <w:tab/>
      </w:r>
      <w:r w:rsidRPr="00B5723A">
        <w:rPr>
          <w:rFonts w:ascii="Arial" w:eastAsia="Calibri" w:hAnsi="Arial" w:cs="Arial"/>
          <w:lang w:val="es-ES"/>
        </w:rPr>
        <w:t>Se analiza el reporte de la corrección diferencial o del nuevo archivo con la data corregida.</w:t>
      </w:r>
    </w:p>
    <w:p w:rsidR="00B5723A" w:rsidRPr="00B5723A" w:rsidRDefault="00B5723A" w:rsidP="00487138">
      <w:pPr>
        <w:spacing w:after="0" w:line="240" w:lineRule="auto"/>
        <w:ind w:left="4962" w:hanging="567"/>
        <w:jc w:val="both"/>
        <w:rPr>
          <w:rFonts w:ascii="Arial" w:eastAsia="Calibri" w:hAnsi="Arial" w:cs="Arial"/>
          <w:lang w:val="es-ES"/>
        </w:rPr>
      </w:pPr>
    </w:p>
    <w:p w:rsidR="00B5723A" w:rsidRPr="00B5723A" w:rsidRDefault="00B5723A" w:rsidP="00487138">
      <w:pPr>
        <w:spacing w:after="0" w:line="240" w:lineRule="auto"/>
        <w:ind w:left="4962" w:hanging="567"/>
        <w:jc w:val="both"/>
        <w:rPr>
          <w:rFonts w:ascii="Arial" w:eastAsia="Calibri" w:hAnsi="Arial" w:cs="Arial"/>
          <w:lang w:val="es-ES"/>
        </w:rPr>
      </w:pPr>
      <w:r w:rsidRPr="00B5723A">
        <w:rPr>
          <w:rFonts w:ascii="Arial" w:eastAsia="Calibri" w:hAnsi="Arial" w:cs="Arial"/>
          <w:lang w:val="es-ES"/>
        </w:rPr>
        <w:t xml:space="preserve">* </w:t>
      </w:r>
      <w:r w:rsidR="00487138">
        <w:rPr>
          <w:rFonts w:ascii="Arial" w:eastAsia="Calibri" w:hAnsi="Arial" w:cs="Arial"/>
          <w:lang w:val="es-ES"/>
        </w:rPr>
        <w:tab/>
      </w:r>
      <w:r w:rsidRPr="00B5723A">
        <w:rPr>
          <w:rFonts w:ascii="Arial" w:eastAsia="Calibri" w:hAnsi="Arial" w:cs="Arial"/>
          <w:lang w:val="es-ES"/>
        </w:rPr>
        <w:t>Se revisa que cada punto corregido tenga la precisión requerida para el trabajo.</w:t>
      </w:r>
    </w:p>
    <w:p w:rsidR="00B5723A" w:rsidRPr="00B5723A" w:rsidRDefault="00B5723A" w:rsidP="00487138">
      <w:pPr>
        <w:spacing w:after="0" w:line="240" w:lineRule="auto"/>
        <w:ind w:left="4962" w:hanging="567"/>
        <w:jc w:val="both"/>
        <w:rPr>
          <w:rFonts w:ascii="Arial" w:eastAsia="Calibri" w:hAnsi="Arial" w:cs="Arial"/>
          <w:lang w:val="es-ES"/>
        </w:rPr>
      </w:pPr>
    </w:p>
    <w:p w:rsidR="00B5723A" w:rsidRPr="00B5723A" w:rsidRDefault="00B5723A" w:rsidP="00487138">
      <w:pPr>
        <w:spacing w:after="0" w:line="240" w:lineRule="auto"/>
        <w:ind w:left="4962" w:hanging="567"/>
        <w:jc w:val="both"/>
        <w:rPr>
          <w:rFonts w:ascii="Arial" w:eastAsia="Calibri" w:hAnsi="Arial" w:cs="Arial"/>
          <w:lang w:val="es-ES"/>
        </w:rPr>
      </w:pPr>
      <w:r w:rsidRPr="00B5723A">
        <w:rPr>
          <w:rFonts w:ascii="Arial" w:eastAsia="Calibri" w:hAnsi="Arial" w:cs="Arial"/>
          <w:lang w:val="es-ES"/>
        </w:rPr>
        <w:t xml:space="preserve">* </w:t>
      </w:r>
      <w:r w:rsidR="00487138">
        <w:rPr>
          <w:rFonts w:ascii="Arial" w:eastAsia="Calibri" w:hAnsi="Arial" w:cs="Arial"/>
          <w:lang w:val="es-ES"/>
        </w:rPr>
        <w:tab/>
      </w:r>
      <w:r w:rsidRPr="00B5723A">
        <w:rPr>
          <w:rFonts w:ascii="Arial" w:eastAsia="Calibri" w:hAnsi="Arial" w:cs="Arial"/>
          <w:lang w:val="es-ES"/>
        </w:rPr>
        <w:t>Se revisa que el software este en la capacidad de emitir un reporte estadístico, en el que se especifique: nombre de puntos, modelo de equipos utilizado, tiempo de registro, precisión horizontal, precisión vertical, PDOP, fecha, coordenadas en UTM, coordenadas geográficas, precisión horizontal y vertical.</w:t>
      </w:r>
    </w:p>
    <w:p w:rsidR="00B5723A" w:rsidRPr="00B5723A" w:rsidRDefault="00B5723A" w:rsidP="00487138">
      <w:pPr>
        <w:spacing w:after="0" w:line="240" w:lineRule="auto"/>
        <w:ind w:left="4962" w:hanging="567"/>
        <w:jc w:val="both"/>
        <w:rPr>
          <w:rFonts w:ascii="Arial" w:eastAsia="Calibri" w:hAnsi="Arial" w:cs="Arial"/>
          <w:lang w:val="es-ES"/>
        </w:rPr>
      </w:pPr>
    </w:p>
    <w:p w:rsidR="00B5723A" w:rsidRPr="00B5723A" w:rsidRDefault="00B5723A" w:rsidP="00487138">
      <w:pPr>
        <w:spacing w:after="0" w:line="240" w:lineRule="auto"/>
        <w:ind w:left="4962" w:hanging="567"/>
        <w:jc w:val="both"/>
        <w:rPr>
          <w:rFonts w:ascii="Arial" w:eastAsia="Calibri" w:hAnsi="Arial" w:cs="Arial"/>
          <w:lang w:val="es-ES"/>
        </w:rPr>
      </w:pPr>
      <w:r w:rsidRPr="00B5723A">
        <w:rPr>
          <w:rFonts w:ascii="Arial" w:eastAsia="Calibri" w:hAnsi="Arial" w:cs="Arial"/>
          <w:lang w:val="es-ES"/>
        </w:rPr>
        <w:t xml:space="preserve">* </w:t>
      </w:r>
      <w:r w:rsidR="00487138">
        <w:rPr>
          <w:rFonts w:ascii="Arial" w:eastAsia="Calibri" w:hAnsi="Arial" w:cs="Arial"/>
          <w:lang w:val="es-ES"/>
        </w:rPr>
        <w:tab/>
      </w:r>
      <w:r w:rsidRPr="00B5723A">
        <w:rPr>
          <w:rFonts w:ascii="Arial" w:eastAsia="Calibri" w:hAnsi="Arial" w:cs="Arial"/>
          <w:lang w:val="es-ES"/>
        </w:rPr>
        <w:t>Al final, se guardan los datos corregidos.</w:t>
      </w:r>
    </w:p>
    <w:p w:rsidR="00B5723A" w:rsidRPr="00B5723A" w:rsidRDefault="00B5723A" w:rsidP="00487138">
      <w:pPr>
        <w:spacing w:after="0" w:line="240" w:lineRule="auto"/>
        <w:ind w:left="4395"/>
        <w:jc w:val="both"/>
        <w:rPr>
          <w:rFonts w:ascii="Arial" w:eastAsia="Calibri" w:hAnsi="Arial" w:cs="Arial"/>
          <w:lang w:val="es-ES"/>
        </w:rPr>
      </w:pPr>
    </w:p>
    <w:p w:rsidR="00B5723A" w:rsidRPr="00B5723A" w:rsidRDefault="00B5723A" w:rsidP="00487138">
      <w:pPr>
        <w:spacing w:after="0" w:line="240" w:lineRule="auto"/>
        <w:ind w:left="4395"/>
        <w:jc w:val="both"/>
        <w:rPr>
          <w:rFonts w:ascii="Arial" w:eastAsia="Calibri" w:hAnsi="Arial" w:cs="Arial"/>
          <w:lang w:val="es-ES"/>
        </w:rPr>
      </w:pPr>
      <w:r w:rsidRPr="00B5723A">
        <w:rPr>
          <w:rFonts w:ascii="Arial" w:eastAsia="Calibri" w:hAnsi="Arial" w:cs="Arial"/>
          <w:lang w:val="es-ES"/>
        </w:rPr>
        <w:t>Asimismo, es recomendable, en lo posible, que el mismo operador del receptor GNSS sea quien realice la edición/vectorización de los inmuebles mediante la utilización de cualquier software CAD, lo cual debe realizarse por cada día de trabajo, para evitar confusiones que conlleven a errores en la edición final de la base gráfica (planos).</w:t>
      </w:r>
    </w:p>
    <w:p w:rsidR="00B5723A" w:rsidRPr="00B5723A" w:rsidRDefault="00B5723A" w:rsidP="00B5723A">
      <w:pPr>
        <w:spacing w:after="0" w:line="240" w:lineRule="auto"/>
        <w:jc w:val="both"/>
        <w:rPr>
          <w:rFonts w:ascii="Arial" w:eastAsia="Calibri" w:hAnsi="Arial" w:cs="Arial"/>
          <w:lang w:val="es-ES"/>
        </w:rPr>
      </w:pPr>
    </w:p>
    <w:p w:rsidR="00B5723A" w:rsidRPr="00487138" w:rsidRDefault="00B5723A" w:rsidP="00487138">
      <w:pPr>
        <w:spacing w:after="0" w:line="240" w:lineRule="auto"/>
        <w:ind w:left="1843"/>
        <w:jc w:val="both"/>
        <w:rPr>
          <w:rFonts w:ascii="Arial" w:eastAsia="Calibri" w:hAnsi="Arial" w:cs="Arial"/>
          <w:b/>
          <w:lang w:val="es-ES"/>
        </w:rPr>
      </w:pPr>
      <w:r w:rsidRPr="00B5723A">
        <w:rPr>
          <w:rFonts w:ascii="Arial" w:eastAsia="Calibri" w:hAnsi="Arial" w:cs="Arial"/>
          <w:lang w:val="es-ES"/>
        </w:rPr>
        <w:tab/>
      </w:r>
      <w:r w:rsidRPr="00487138">
        <w:rPr>
          <w:rFonts w:ascii="Arial" w:eastAsia="Calibri" w:hAnsi="Arial" w:cs="Arial"/>
          <w:b/>
          <w:lang w:val="es-ES"/>
        </w:rPr>
        <w:t>7.1.2.2 CON EQUIPOS GNSS EN TIEMPO REAL - RTK</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487138">
      <w:pPr>
        <w:spacing w:after="0" w:line="240" w:lineRule="auto"/>
        <w:ind w:left="2835"/>
        <w:jc w:val="both"/>
        <w:rPr>
          <w:rFonts w:ascii="Arial" w:eastAsia="Calibri" w:hAnsi="Arial" w:cs="Arial"/>
          <w:lang w:val="es-ES"/>
        </w:rPr>
      </w:pPr>
      <w:r w:rsidRPr="00B5723A">
        <w:rPr>
          <w:rFonts w:ascii="Arial" w:eastAsia="Calibri" w:hAnsi="Arial" w:cs="Arial"/>
          <w:lang w:val="es-ES"/>
        </w:rPr>
        <w:t>La medición en “tiempo real” con equipo GNSS, es obtenida de una información corregida en el momento que esta se realiza, debiéndose aplicar para inmuebles rurales u urbanos.</w:t>
      </w:r>
    </w:p>
    <w:p w:rsidR="00B5723A" w:rsidRPr="00B5723A" w:rsidRDefault="00B5723A" w:rsidP="00487138">
      <w:pPr>
        <w:spacing w:after="0" w:line="240" w:lineRule="auto"/>
        <w:ind w:left="2835"/>
        <w:jc w:val="both"/>
        <w:rPr>
          <w:rFonts w:ascii="Arial" w:eastAsia="Calibri" w:hAnsi="Arial" w:cs="Arial"/>
          <w:lang w:val="es-ES"/>
        </w:rPr>
      </w:pPr>
    </w:p>
    <w:p w:rsidR="00B5723A" w:rsidRPr="00B5723A" w:rsidRDefault="00B5723A" w:rsidP="00487138">
      <w:pPr>
        <w:spacing w:after="0" w:line="240" w:lineRule="auto"/>
        <w:ind w:left="2835"/>
        <w:jc w:val="both"/>
        <w:rPr>
          <w:rFonts w:ascii="Arial" w:eastAsia="Calibri" w:hAnsi="Arial" w:cs="Arial"/>
          <w:lang w:val="es-ES"/>
        </w:rPr>
      </w:pPr>
      <w:r w:rsidRPr="00B5723A">
        <w:rPr>
          <w:rFonts w:ascii="Arial" w:eastAsia="Calibri" w:hAnsi="Arial" w:cs="Arial"/>
          <w:lang w:val="es-ES"/>
        </w:rPr>
        <w:t>Para este trabajo, se realizan los siguientes procedimientos:</w:t>
      </w:r>
    </w:p>
    <w:p w:rsidR="00B5723A" w:rsidRPr="00B5723A" w:rsidRDefault="00B5723A" w:rsidP="00487138">
      <w:pPr>
        <w:spacing w:after="0" w:line="240" w:lineRule="auto"/>
        <w:ind w:left="2835"/>
        <w:jc w:val="both"/>
        <w:rPr>
          <w:rFonts w:ascii="Arial" w:eastAsia="Calibri" w:hAnsi="Arial" w:cs="Arial"/>
          <w:lang w:val="es-ES"/>
        </w:rPr>
      </w:pPr>
    </w:p>
    <w:p w:rsidR="00B5723A" w:rsidRPr="00B5723A" w:rsidRDefault="00B5723A" w:rsidP="00487138">
      <w:pPr>
        <w:spacing w:after="0" w:line="240" w:lineRule="auto"/>
        <w:ind w:left="3544" w:hanging="709"/>
        <w:jc w:val="both"/>
        <w:rPr>
          <w:rFonts w:ascii="Arial" w:eastAsia="Calibri" w:hAnsi="Arial" w:cs="Arial"/>
          <w:lang w:val="es-ES"/>
        </w:rPr>
      </w:pPr>
      <w:r w:rsidRPr="00B5723A">
        <w:rPr>
          <w:rFonts w:ascii="Arial" w:eastAsia="Calibri" w:hAnsi="Arial" w:cs="Arial"/>
          <w:lang w:val="es-ES"/>
        </w:rPr>
        <w:t xml:space="preserve">a) </w:t>
      </w:r>
      <w:r w:rsidR="00487138">
        <w:rPr>
          <w:rFonts w:ascii="Arial" w:eastAsia="Calibri" w:hAnsi="Arial" w:cs="Arial"/>
          <w:lang w:val="es-ES"/>
        </w:rPr>
        <w:tab/>
      </w:r>
      <w:r w:rsidRPr="00B5723A">
        <w:rPr>
          <w:rFonts w:ascii="Arial" w:eastAsia="Calibri" w:hAnsi="Arial" w:cs="Arial"/>
          <w:lang w:val="es-ES"/>
        </w:rPr>
        <w:t>Estación Base, Se coloca un receptor GNSS sobre un punto geodésico de orden</w:t>
      </w:r>
      <w:r w:rsidR="00487138">
        <w:rPr>
          <w:rFonts w:ascii="Arial" w:eastAsia="Calibri" w:hAnsi="Arial" w:cs="Arial"/>
          <w:lang w:val="es-ES"/>
        </w:rPr>
        <w:t xml:space="preserve"> “C”, que pertenece a la REGGEN </w:t>
      </w:r>
      <w:r w:rsidRPr="00B5723A">
        <w:rPr>
          <w:rFonts w:ascii="Arial" w:eastAsia="Calibri" w:hAnsi="Arial" w:cs="Arial"/>
          <w:lang w:val="es-ES"/>
        </w:rPr>
        <w:t>o que este enlazado a ésta. Este punto debe quedar cerca al ámbito de trabajo, ya que desde este punto se debe visualizar dicho ámbito, con la finalidad de garantizar que la señal de radio no tenga interferencia (cobertura arbórea</w:t>
      </w:r>
      <w:r w:rsidR="00487138">
        <w:rPr>
          <w:rFonts w:ascii="Arial" w:eastAsia="Calibri" w:hAnsi="Arial" w:cs="Arial"/>
          <w:lang w:val="es-ES"/>
        </w:rPr>
        <w:t xml:space="preserve"> </w:t>
      </w:r>
      <w:r w:rsidRPr="00B5723A">
        <w:rPr>
          <w:rFonts w:ascii="Arial" w:eastAsia="Calibri" w:hAnsi="Arial" w:cs="Arial"/>
          <w:lang w:val="es-ES"/>
        </w:rPr>
        <w:t>o construcciones) para llegar al receptor GNSS móvil.</w:t>
      </w:r>
    </w:p>
    <w:p w:rsidR="00B5723A" w:rsidRPr="00B5723A" w:rsidRDefault="00B5723A" w:rsidP="00487138">
      <w:pPr>
        <w:spacing w:after="0" w:line="240" w:lineRule="auto"/>
        <w:ind w:left="3544" w:hanging="709"/>
        <w:jc w:val="both"/>
        <w:rPr>
          <w:rFonts w:ascii="Arial" w:eastAsia="Calibri" w:hAnsi="Arial" w:cs="Arial"/>
          <w:lang w:val="es-ES"/>
        </w:rPr>
      </w:pPr>
    </w:p>
    <w:p w:rsidR="00B5723A" w:rsidRPr="00B5723A" w:rsidRDefault="00B5723A" w:rsidP="00487138">
      <w:pPr>
        <w:spacing w:after="0" w:line="240" w:lineRule="auto"/>
        <w:ind w:left="3544" w:hanging="709"/>
        <w:jc w:val="both"/>
        <w:rPr>
          <w:rFonts w:ascii="Arial" w:eastAsia="Calibri" w:hAnsi="Arial" w:cs="Arial"/>
          <w:lang w:val="es-ES"/>
        </w:rPr>
      </w:pPr>
      <w:r w:rsidRPr="00B5723A">
        <w:rPr>
          <w:rFonts w:ascii="Arial" w:eastAsia="Calibri" w:hAnsi="Arial" w:cs="Arial"/>
          <w:lang w:val="es-ES"/>
        </w:rPr>
        <w:t xml:space="preserve">b) </w:t>
      </w:r>
      <w:r w:rsidR="00487138">
        <w:rPr>
          <w:rFonts w:ascii="Arial" w:eastAsia="Calibri" w:hAnsi="Arial" w:cs="Arial"/>
          <w:lang w:val="es-ES"/>
        </w:rPr>
        <w:tab/>
      </w:r>
      <w:r w:rsidRPr="00B5723A">
        <w:rPr>
          <w:rFonts w:ascii="Arial" w:eastAsia="Calibri" w:hAnsi="Arial" w:cs="Arial"/>
          <w:lang w:val="es-ES"/>
        </w:rPr>
        <w:t>Luego, se procede a configurar el receptor GNSS geodésico de modo base RTK. Algunos equipos tienen la forma que permite trabajar a tiempo real y cuando se pierde el contacto radial permite que los datos puedan ser corregidos con postproceso. También se realiza la configuración del radio externo conectado al receptor GNSS, estableciendo la frecuencia a trabajar.</w:t>
      </w:r>
    </w:p>
    <w:p w:rsidR="00B5723A" w:rsidRPr="00B5723A" w:rsidRDefault="00B5723A" w:rsidP="00487138">
      <w:pPr>
        <w:spacing w:after="0" w:line="240" w:lineRule="auto"/>
        <w:ind w:left="3544" w:hanging="709"/>
        <w:jc w:val="both"/>
        <w:rPr>
          <w:rFonts w:ascii="Arial" w:eastAsia="Calibri" w:hAnsi="Arial" w:cs="Arial"/>
          <w:lang w:val="es-ES"/>
        </w:rPr>
      </w:pPr>
    </w:p>
    <w:p w:rsidR="00B5723A" w:rsidRPr="00B5723A" w:rsidRDefault="00B5723A" w:rsidP="00487138">
      <w:pPr>
        <w:spacing w:after="0" w:line="240" w:lineRule="auto"/>
        <w:ind w:left="3544" w:hanging="709"/>
        <w:jc w:val="both"/>
        <w:rPr>
          <w:rFonts w:ascii="Arial" w:eastAsia="Calibri" w:hAnsi="Arial" w:cs="Arial"/>
          <w:lang w:val="es-ES"/>
        </w:rPr>
      </w:pPr>
      <w:r w:rsidRPr="00B5723A">
        <w:rPr>
          <w:rFonts w:ascii="Arial" w:eastAsia="Calibri" w:hAnsi="Arial" w:cs="Arial"/>
          <w:lang w:val="es-ES"/>
        </w:rPr>
        <w:t xml:space="preserve">c) </w:t>
      </w:r>
      <w:r w:rsidR="00487138">
        <w:rPr>
          <w:rFonts w:ascii="Arial" w:eastAsia="Calibri" w:hAnsi="Arial" w:cs="Arial"/>
          <w:lang w:val="es-ES"/>
        </w:rPr>
        <w:tab/>
      </w:r>
      <w:r w:rsidRPr="00B5723A">
        <w:rPr>
          <w:rFonts w:ascii="Arial" w:eastAsia="Calibri" w:hAnsi="Arial" w:cs="Arial"/>
          <w:lang w:val="es-ES"/>
        </w:rPr>
        <w:t>Se introducen las coordenadas consignadas en la Hoja de Campo del punto base y se establece la frecuencia con la que trabaja la radio.</w:t>
      </w:r>
    </w:p>
    <w:p w:rsidR="00B5723A" w:rsidRPr="00B5723A" w:rsidRDefault="00B5723A" w:rsidP="00487138">
      <w:pPr>
        <w:spacing w:after="0" w:line="240" w:lineRule="auto"/>
        <w:ind w:left="3544" w:hanging="709"/>
        <w:jc w:val="both"/>
        <w:rPr>
          <w:rFonts w:ascii="Arial" w:eastAsia="Calibri" w:hAnsi="Arial" w:cs="Arial"/>
          <w:lang w:val="es-ES"/>
        </w:rPr>
      </w:pPr>
    </w:p>
    <w:p w:rsidR="00B5723A" w:rsidRPr="00B5723A" w:rsidRDefault="00B5723A" w:rsidP="00487138">
      <w:pPr>
        <w:spacing w:after="0" w:line="240" w:lineRule="auto"/>
        <w:ind w:left="3544" w:hanging="709"/>
        <w:jc w:val="both"/>
        <w:rPr>
          <w:rFonts w:ascii="Arial" w:eastAsia="Calibri" w:hAnsi="Arial" w:cs="Arial"/>
          <w:lang w:val="es-ES"/>
        </w:rPr>
      </w:pPr>
      <w:r w:rsidRPr="00B5723A">
        <w:rPr>
          <w:rFonts w:ascii="Arial" w:eastAsia="Calibri" w:hAnsi="Arial" w:cs="Arial"/>
          <w:lang w:val="es-ES"/>
        </w:rPr>
        <w:t xml:space="preserve">d) </w:t>
      </w:r>
      <w:r w:rsidR="00487138">
        <w:rPr>
          <w:rFonts w:ascii="Arial" w:eastAsia="Calibri" w:hAnsi="Arial" w:cs="Arial"/>
          <w:lang w:val="es-ES"/>
        </w:rPr>
        <w:tab/>
      </w:r>
      <w:r w:rsidRPr="00B5723A">
        <w:rPr>
          <w:rFonts w:ascii="Arial" w:eastAsia="Calibri" w:hAnsi="Arial" w:cs="Arial"/>
          <w:lang w:val="es-ES"/>
        </w:rPr>
        <w:t>Luego, se instala la base y la radio y se procede a activarlo. Se verifica que este transmitiendo la información. Recién se puede activar el receptor GNSS que realiza el trabajo de campo. Se configura para trabajar de modo RTK y la frecuencia de la radio debe ser igual al de la Base GNSS.</w:t>
      </w:r>
    </w:p>
    <w:p w:rsidR="00B5723A" w:rsidRPr="00B5723A" w:rsidRDefault="00B5723A" w:rsidP="00487138">
      <w:pPr>
        <w:spacing w:after="0" w:line="240" w:lineRule="auto"/>
        <w:ind w:left="3544" w:hanging="709"/>
        <w:jc w:val="both"/>
        <w:rPr>
          <w:rFonts w:ascii="Arial" w:eastAsia="Calibri" w:hAnsi="Arial" w:cs="Arial"/>
          <w:lang w:val="es-ES"/>
        </w:rPr>
      </w:pPr>
    </w:p>
    <w:p w:rsidR="00B5723A" w:rsidRPr="00B5723A" w:rsidRDefault="00B5723A" w:rsidP="00487138">
      <w:pPr>
        <w:spacing w:after="0" w:line="240" w:lineRule="auto"/>
        <w:ind w:left="3544" w:hanging="709"/>
        <w:jc w:val="both"/>
        <w:rPr>
          <w:rFonts w:ascii="Arial" w:eastAsia="Calibri" w:hAnsi="Arial" w:cs="Arial"/>
          <w:lang w:val="es-ES"/>
        </w:rPr>
      </w:pPr>
      <w:r w:rsidRPr="00B5723A">
        <w:rPr>
          <w:rFonts w:ascii="Arial" w:eastAsia="Calibri" w:hAnsi="Arial" w:cs="Arial"/>
          <w:lang w:val="es-ES"/>
        </w:rPr>
        <w:t xml:space="preserve">e) </w:t>
      </w:r>
      <w:r w:rsidR="00487138">
        <w:rPr>
          <w:rFonts w:ascii="Arial" w:eastAsia="Calibri" w:hAnsi="Arial" w:cs="Arial"/>
          <w:lang w:val="es-ES"/>
        </w:rPr>
        <w:tab/>
      </w:r>
      <w:r w:rsidRPr="00B5723A">
        <w:rPr>
          <w:rFonts w:ascii="Arial" w:eastAsia="Calibri" w:hAnsi="Arial" w:cs="Arial"/>
          <w:lang w:val="es-ES"/>
        </w:rPr>
        <w:t>Se verifica que el equipo este recibiendo simultáneamente información satelital y de la estación base vía radio,</w:t>
      </w:r>
    </w:p>
    <w:p w:rsidR="00B5723A" w:rsidRPr="00B5723A" w:rsidRDefault="00B5723A" w:rsidP="00487138">
      <w:pPr>
        <w:spacing w:after="0" w:line="240" w:lineRule="auto"/>
        <w:ind w:left="3544" w:hanging="709"/>
        <w:jc w:val="both"/>
        <w:rPr>
          <w:rFonts w:ascii="Arial" w:eastAsia="Calibri" w:hAnsi="Arial" w:cs="Arial"/>
          <w:lang w:val="es-ES"/>
        </w:rPr>
      </w:pPr>
    </w:p>
    <w:p w:rsidR="00B5723A" w:rsidRPr="00B5723A" w:rsidRDefault="00B5723A" w:rsidP="00487138">
      <w:pPr>
        <w:spacing w:after="0" w:line="240" w:lineRule="auto"/>
        <w:ind w:left="3544" w:hanging="709"/>
        <w:jc w:val="both"/>
        <w:rPr>
          <w:rFonts w:ascii="Arial" w:eastAsia="Calibri" w:hAnsi="Arial" w:cs="Arial"/>
          <w:lang w:val="es-ES"/>
        </w:rPr>
      </w:pPr>
      <w:r w:rsidRPr="00B5723A">
        <w:rPr>
          <w:rFonts w:ascii="Arial" w:eastAsia="Calibri" w:hAnsi="Arial" w:cs="Arial"/>
          <w:lang w:val="es-ES"/>
        </w:rPr>
        <w:t xml:space="preserve">f) </w:t>
      </w:r>
      <w:r w:rsidR="00487138">
        <w:rPr>
          <w:rFonts w:ascii="Arial" w:eastAsia="Calibri" w:hAnsi="Arial" w:cs="Arial"/>
          <w:lang w:val="es-ES"/>
        </w:rPr>
        <w:tab/>
      </w:r>
      <w:r w:rsidRPr="00B5723A">
        <w:rPr>
          <w:rFonts w:ascii="Arial" w:eastAsia="Calibri" w:hAnsi="Arial" w:cs="Arial"/>
          <w:lang w:val="es-ES"/>
        </w:rPr>
        <w:t>Se procede, de modo estático rápido, a georreferenciar el vértice de la poligonal del inmueble, toponimia y toda información que se considere necesaria. La precisión se muestra en el colector de datos. Cuando se tenga la precisión que se busca, se graba la información.</w:t>
      </w:r>
    </w:p>
    <w:p w:rsidR="00B5723A" w:rsidRPr="00B5723A" w:rsidRDefault="00B5723A" w:rsidP="00B5723A">
      <w:pPr>
        <w:spacing w:after="0" w:line="240" w:lineRule="auto"/>
        <w:jc w:val="both"/>
        <w:rPr>
          <w:rFonts w:ascii="Arial" w:eastAsia="Calibri" w:hAnsi="Arial" w:cs="Arial"/>
          <w:lang w:val="es-ES"/>
        </w:rPr>
      </w:pPr>
    </w:p>
    <w:p w:rsidR="00B5723A" w:rsidRPr="00487138" w:rsidRDefault="00B5723A" w:rsidP="00487138">
      <w:pPr>
        <w:spacing w:after="0" w:line="240" w:lineRule="auto"/>
        <w:ind w:left="1134"/>
        <w:jc w:val="both"/>
        <w:rPr>
          <w:rFonts w:ascii="Arial" w:eastAsia="Calibri" w:hAnsi="Arial" w:cs="Arial"/>
          <w:b/>
          <w:lang w:val="es-ES"/>
        </w:rPr>
      </w:pPr>
      <w:r w:rsidRPr="00487138">
        <w:rPr>
          <w:rFonts w:ascii="Arial" w:eastAsia="Calibri" w:hAnsi="Arial" w:cs="Arial"/>
          <w:b/>
          <w:lang w:val="es-ES"/>
        </w:rPr>
        <w:tab/>
        <w:t>7.1.2.3 CON ESTACIÓN TOTAL</w:t>
      </w:r>
    </w:p>
    <w:p w:rsidR="00B5723A" w:rsidRPr="00487138" w:rsidRDefault="00B5723A" w:rsidP="00B5723A">
      <w:pPr>
        <w:spacing w:after="0" w:line="240" w:lineRule="auto"/>
        <w:jc w:val="both"/>
        <w:rPr>
          <w:rFonts w:ascii="Arial" w:eastAsia="Calibri" w:hAnsi="Arial" w:cs="Arial"/>
          <w:b/>
          <w:lang w:val="es-ES"/>
        </w:rPr>
      </w:pPr>
    </w:p>
    <w:p w:rsidR="00B5723A" w:rsidRPr="00487138" w:rsidRDefault="00B5723A" w:rsidP="00487138">
      <w:pPr>
        <w:spacing w:after="0" w:line="240" w:lineRule="auto"/>
        <w:ind w:left="3686" w:hanging="1276"/>
        <w:jc w:val="both"/>
        <w:rPr>
          <w:rFonts w:ascii="Arial" w:eastAsia="Calibri" w:hAnsi="Arial" w:cs="Arial"/>
          <w:b/>
          <w:lang w:val="es-ES"/>
        </w:rPr>
      </w:pPr>
      <w:r w:rsidRPr="00487138">
        <w:rPr>
          <w:rFonts w:ascii="Arial" w:eastAsia="Calibri" w:hAnsi="Arial" w:cs="Arial"/>
          <w:b/>
          <w:lang w:val="es-ES"/>
        </w:rPr>
        <w:t>7.1.2.3.1 PROCEDIMIENTOS DEL LEVANTAMIENTO TOPOGRÁFICO</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487138">
      <w:pPr>
        <w:spacing w:after="0" w:line="240" w:lineRule="auto"/>
        <w:ind w:left="3402"/>
        <w:jc w:val="both"/>
        <w:rPr>
          <w:rFonts w:ascii="Arial" w:eastAsia="Calibri" w:hAnsi="Arial" w:cs="Arial"/>
          <w:lang w:val="es-ES"/>
        </w:rPr>
      </w:pPr>
      <w:r w:rsidRPr="00B5723A">
        <w:rPr>
          <w:rFonts w:ascii="Arial" w:eastAsia="Calibri" w:hAnsi="Arial" w:cs="Arial"/>
          <w:lang w:val="es-ES"/>
        </w:rPr>
        <w:t>Las etapas del levantamiento topográfico definidas en las acciones previas, que se adecuan a esta metodología, son las siguientes:</w:t>
      </w:r>
    </w:p>
    <w:p w:rsidR="00B5723A" w:rsidRPr="00B5723A" w:rsidRDefault="00B5723A" w:rsidP="00B5723A">
      <w:pPr>
        <w:spacing w:after="0" w:line="240" w:lineRule="auto"/>
        <w:jc w:val="both"/>
        <w:rPr>
          <w:rFonts w:ascii="Arial" w:eastAsia="Calibri" w:hAnsi="Arial" w:cs="Arial"/>
          <w:lang w:val="es-ES"/>
        </w:rPr>
      </w:pPr>
    </w:p>
    <w:p w:rsidR="00B5723A" w:rsidRPr="00487138" w:rsidRDefault="00B5723A" w:rsidP="00487138">
      <w:pPr>
        <w:spacing w:after="0" w:line="240" w:lineRule="auto"/>
        <w:ind w:left="3402"/>
        <w:jc w:val="both"/>
        <w:rPr>
          <w:rFonts w:ascii="Arial" w:eastAsia="Calibri" w:hAnsi="Arial" w:cs="Arial"/>
          <w:b/>
          <w:lang w:val="es-ES"/>
        </w:rPr>
      </w:pPr>
      <w:r w:rsidRPr="00487138">
        <w:rPr>
          <w:rFonts w:ascii="Arial" w:eastAsia="Calibri" w:hAnsi="Arial" w:cs="Arial"/>
          <w:b/>
          <w:lang w:val="es-ES"/>
        </w:rPr>
        <w:tab/>
        <w:t>1. PUNTOS DE CONTROL TOPOGRÁFICO</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487138">
      <w:pPr>
        <w:spacing w:after="0" w:line="240" w:lineRule="auto"/>
        <w:ind w:left="3828"/>
        <w:jc w:val="both"/>
        <w:rPr>
          <w:rFonts w:ascii="Arial" w:eastAsia="Calibri" w:hAnsi="Arial" w:cs="Arial"/>
          <w:lang w:val="es-ES"/>
        </w:rPr>
      </w:pPr>
      <w:r w:rsidRPr="00B5723A">
        <w:rPr>
          <w:rFonts w:ascii="Arial" w:eastAsia="Calibri" w:hAnsi="Arial" w:cs="Arial"/>
          <w:lang w:val="es-ES"/>
        </w:rPr>
        <w:t>El técnico catastral evalúa la información de referencias geodésicas para verificar sí existen en el ámbito de trabajo, y sí son suficientes para cubrir todo el levantamiento topográfico, de lo contrario, planifica el establecimiento mínimo de dos puntos de control geodésicos para uso topográfico.</w:t>
      </w:r>
    </w:p>
    <w:p w:rsidR="00B5723A" w:rsidRPr="00B5723A" w:rsidRDefault="00B5723A" w:rsidP="00487138">
      <w:pPr>
        <w:spacing w:after="0" w:line="240" w:lineRule="auto"/>
        <w:ind w:left="3828"/>
        <w:jc w:val="both"/>
        <w:rPr>
          <w:rFonts w:ascii="Arial" w:eastAsia="Calibri" w:hAnsi="Arial" w:cs="Arial"/>
          <w:lang w:val="es-ES"/>
        </w:rPr>
      </w:pPr>
    </w:p>
    <w:p w:rsidR="00B5723A" w:rsidRPr="00B5723A" w:rsidRDefault="00B5723A" w:rsidP="00487138">
      <w:pPr>
        <w:spacing w:after="0" w:line="240" w:lineRule="auto"/>
        <w:ind w:left="3828"/>
        <w:jc w:val="both"/>
        <w:rPr>
          <w:rFonts w:ascii="Arial" w:eastAsia="Calibri" w:hAnsi="Arial" w:cs="Arial"/>
          <w:lang w:val="es-ES"/>
        </w:rPr>
      </w:pPr>
      <w:r w:rsidRPr="00B5723A">
        <w:rPr>
          <w:rFonts w:ascii="Arial" w:eastAsia="Calibri" w:hAnsi="Arial" w:cs="Arial"/>
          <w:lang w:val="es-ES"/>
        </w:rPr>
        <w:t>La unidad orgánica correspondiente designa al técnico catastral para la determinación y establecimiento de los puntos de control geodésicos, quien define en campo lo siguiente:</w:t>
      </w:r>
    </w:p>
    <w:p w:rsidR="00B5723A" w:rsidRPr="00B5723A" w:rsidRDefault="00B5723A" w:rsidP="00487138">
      <w:pPr>
        <w:spacing w:after="0" w:line="240" w:lineRule="auto"/>
        <w:ind w:left="3828"/>
        <w:jc w:val="both"/>
        <w:rPr>
          <w:rFonts w:ascii="Arial" w:eastAsia="Calibri" w:hAnsi="Arial" w:cs="Arial"/>
          <w:lang w:val="es-ES"/>
        </w:rPr>
      </w:pPr>
    </w:p>
    <w:p w:rsidR="00B5723A" w:rsidRPr="00B5723A" w:rsidRDefault="00B5723A" w:rsidP="003A7E3D">
      <w:pPr>
        <w:spacing w:after="0" w:line="240" w:lineRule="auto"/>
        <w:ind w:left="4395" w:hanging="567"/>
        <w:jc w:val="both"/>
        <w:rPr>
          <w:rFonts w:ascii="Arial" w:eastAsia="Calibri" w:hAnsi="Arial" w:cs="Arial"/>
          <w:lang w:val="es-ES"/>
        </w:rPr>
      </w:pPr>
      <w:r w:rsidRPr="00B5723A">
        <w:rPr>
          <w:rFonts w:ascii="Arial" w:eastAsia="Calibri" w:hAnsi="Arial" w:cs="Arial"/>
          <w:lang w:val="es-ES"/>
        </w:rPr>
        <w:t xml:space="preserve">a) </w:t>
      </w:r>
      <w:r w:rsidR="003A7E3D">
        <w:rPr>
          <w:rFonts w:ascii="Arial" w:eastAsia="Calibri" w:hAnsi="Arial" w:cs="Arial"/>
          <w:lang w:val="es-ES"/>
        </w:rPr>
        <w:tab/>
      </w:r>
      <w:r w:rsidRPr="00B5723A">
        <w:rPr>
          <w:rFonts w:ascii="Arial" w:eastAsia="Calibri" w:hAnsi="Arial" w:cs="Arial"/>
          <w:lang w:val="es-ES"/>
        </w:rPr>
        <w:t>La cantidad y la ubicación de los puntos de control que son necesarios para el levantamiento topográfico, estará determinado según los requerimientos del proyecto o a la zona en estudio, Para definir la ubicación de los puntos de control topográfico se tiene que tomar en cuenta las siguientes consideraciones:</w:t>
      </w:r>
    </w:p>
    <w:p w:rsidR="00B5723A" w:rsidRPr="00B5723A" w:rsidRDefault="00B5723A" w:rsidP="00487138">
      <w:pPr>
        <w:spacing w:after="0" w:line="240" w:lineRule="auto"/>
        <w:ind w:left="3828"/>
        <w:jc w:val="both"/>
        <w:rPr>
          <w:rFonts w:ascii="Arial" w:eastAsia="Calibri" w:hAnsi="Arial" w:cs="Arial"/>
          <w:lang w:val="es-ES"/>
        </w:rPr>
      </w:pPr>
    </w:p>
    <w:p w:rsidR="00B5723A" w:rsidRPr="00B5723A" w:rsidRDefault="00B5723A" w:rsidP="003A7E3D">
      <w:pPr>
        <w:spacing w:after="0" w:line="240" w:lineRule="auto"/>
        <w:ind w:left="4962" w:hanging="567"/>
        <w:jc w:val="both"/>
        <w:rPr>
          <w:rFonts w:ascii="Arial" w:eastAsia="Calibri" w:hAnsi="Arial" w:cs="Arial"/>
          <w:lang w:val="es-ES"/>
        </w:rPr>
      </w:pPr>
      <w:r w:rsidRPr="00B5723A">
        <w:rPr>
          <w:rFonts w:ascii="Arial" w:eastAsia="Calibri" w:hAnsi="Arial" w:cs="Arial"/>
          <w:lang w:val="es-ES"/>
        </w:rPr>
        <w:t xml:space="preserve">* </w:t>
      </w:r>
      <w:r w:rsidR="003A7E3D">
        <w:rPr>
          <w:rFonts w:ascii="Arial" w:eastAsia="Calibri" w:hAnsi="Arial" w:cs="Arial"/>
          <w:lang w:val="es-ES"/>
        </w:rPr>
        <w:tab/>
      </w:r>
      <w:r w:rsidRPr="00B5723A">
        <w:rPr>
          <w:rFonts w:ascii="Arial" w:eastAsia="Calibri" w:hAnsi="Arial" w:cs="Arial"/>
          <w:lang w:val="es-ES"/>
        </w:rPr>
        <w:t>Tener visibilidad a la zona de levantamiento topográfico.</w:t>
      </w:r>
    </w:p>
    <w:p w:rsidR="00B5723A" w:rsidRPr="00B5723A" w:rsidRDefault="00B5723A" w:rsidP="003A7E3D">
      <w:pPr>
        <w:spacing w:after="0" w:line="240" w:lineRule="auto"/>
        <w:ind w:left="4962" w:hanging="567"/>
        <w:jc w:val="both"/>
        <w:rPr>
          <w:rFonts w:ascii="Arial" w:eastAsia="Calibri" w:hAnsi="Arial" w:cs="Arial"/>
          <w:lang w:val="es-ES"/>
        </w:rPr>
      </w:pPr>
    </w:p>
    <w:p w:rsidR="00B5723A" w:rsidRPr="00B5723A" w:rsidRDefault="00B5723A" w:rsidP="003A7E3D">
      <w:pPr>
        <w:spacing w:after="0" w:line="240" w:lineRule="auto"/>
        <w:ind w:left="4962" w:hanging="567"/>
        <w:jc w:val="both"/>
        <w:rPr>
          <w:rFonts w:ascii="Arial" w:eastAsia="Calibri" w:hAnsi="Arial" w:cs="Arial"/>
          <w:lang w:val="es-ES"/>
        </w:rPr>
      </w:pPr>
      <w:r w:rsidRPr="00B5723A">
        <w:rPr>
          <w:rFonts w:ascii="Arial" w:eastAsia="Calibri" w:hAnsi="Arial" w:cs="Arial"/>
          <w:lang w:val="es-ES"/>
        </w:rPr>
        <w:t xml:space="preserve">* </w:t>
      </w:r>
      <w:r w:rsidR="003A7E3D">
        <w:rPr>
          <w:rFonts w:ascii="Arial" w:eastAsia="Calibri" w:hAnsi="Arial" w:cs="Arial"/>
          <w:lang w:val="es-ES"/>
        </w:rPr>
        <w:tab/>
      </w:r>
      <w:r w:rsidRPr="00B5723A">
        <w:rPr>
          <w:rFonts w:ascii="Arial" w:eastAsia="Calibri" w:hAnsi="Arial" w:cs="Arial"/>
          <w:lang w:val="es-ES"/>
        </w:rPr>
        <w:t>Disponer de visibilidad entre los puntos, con una distancia entre los 200 m hasta 1000 m.</w:t>
      </w:r>
    </w:p>
    <w:p w:rsidR="00B5723A" w:rsidRPr="00B5723A" w:rsidRDefault="00B5723A" w:rsidP="003A7E3D">
      <w:pPr>
        <w:spacing w:after="0" w:line="240" w:lineRule="auto"/>
        <w:ind w:left="4962" w:hanging="567"/>
        <w:jc w:val="both"/>
        <w:rPr>
          <w:rFonts w:ascii="Arial" w:eastAsia="Calibri" w:hAnsi="Arial" w:cs="Arial"/>
          <w:lang w:val="es-ES"/>
        </w:rPr>
      </w:pPr>
    </w:p>
    <w:p w:rsidR="00B5723A" w:rsidRPr="00B5723A" w:rsidRDefault="00B5723A" w:rsidP="003A7E3D">
      <w:pPr>
        <w:spacing w:after="0" w:line="240" w:lineRule="auto"/>
        <w:ind w:left="4962" w:hanging="567"/>
        <w:jc w:val="both"/>
        <w:rPr>
          <w:rFonts w:ascii="Arial" w:eastAsia="Calibri" w:hAnsi="Arial" w:cs="Arial"/>
          <w:lang w:val="es-ES"/>
        </w:rPr>
      </w:pPr>
      <w:r w:rsidRPr="00B5723A">
        <w:rPr>
          <w:rFonts w:ascii="Arial" w:eastAsia="Calibri" w:hAnsi="Arial" w:cs="Arial"/>
          <w:lang w:val="es-ES"/>
        </w:rPr>
        <w:t xml:space="preserve">* </w:t>
      </w:r>
      <w:r w:rsidR="003A7E3D">
        <w:rPr>
          <w:rFonts w:ascii="Arial" w:eastAsia="Calibri" w:hAnsi="Arial" w:cs="Arial"/>
          <w:lang w:val="es-ES"/>
        </w:rPr>
        <w:tab/>
      </w:r>
      <w:r w:rsidRPr="00B5723A">
        <w:rPr>
          <w:rFonts w:ascii="Arial" w:eastAsia="Calibri" w:hAnsi="Arial" w:cs="Arial"/>
          <w:lang w:val="es-ES"/>
        </w:rPr>
        <w:t>El suelo donde se coloque el monumento sea estable.</w:t>
      </w:r>
    </w:p>
    <w:p w:rsidR="00B5723A" w:rsidRPr="00B5723A" w:rsidRDefault="00B5723A" w:rsidP="003A7E3D">
      <w:pPr>
        <w:spacing w:after="0" w:line="240" w:lineRule="auto"/>
        <w:ind w:left="4962" w:hanging="567"/>
        <w:jc w:val="both"/>
        <w:rPr>
          <w:rFonts w:ascii="Arial" w:eastAsia="Calibri" w:hAnsi="Arial" w:cs="Arial"/>
          <w:lang w:val="es-ES"/>
        </w:rPr>
      </w:pPr>
    </w:p>
    <w:p w:rsidR="00B5723A" w:rsidRPr="00B5723A" w:rsidRDefault="00B5723A" w:rsidP="003A7E3D">
      <w:pPr>
        <w:spacing w:after="0" w:line="240" w:lineRule="auto"/>
        <w:ind w:left="4962" w:hanging="567"/>
        <w:jc w:val="both"/>
        <w:rPr>
          <w:rFonts w:ascii="Arial" w:eastAsia="Calibri" w:hAnsi="Arial" w:cs="Arial"/>
          <w:lang w:val="es-ES"/>
        </w:rPr>
      </w:pPr>
      <w:r w:rsidRPr="00B5723A">
        <w:rPr>
          <w:rFonts w:ascii="Arial" w:eastAsia="Calibri" w:hAnsi="Arial" w:cs="Arial"/>
          <w:lang w:val="es-ES"/>
        </w:rPr>
        <w:t xml:space="preserve">* </w:t>
      </w:r>
      <w:r w:rsidR="003A7E3D">
        <w:rPr>
          <w:rFonts w:ascii="Arial" w:eastAsia="Calibri" w:hAnsi="Arial" w:cs="Arial"/>
          <w:lang w:val="es-ES"/>
        </w:rPr>
        <w:tab/>
      </w:r>
      <w:r w:rsidRPr="00B5723A">
        <w:rPr>
          <w:rFonts w:ascii="Arial" w:eastAsia="Calibri" w:hAnsi="Arial" w:cs="Arial"/>
          <w:lang w:val="es-ES"/>
        </w:rPr>
        <w:t>Ser establecidos en lugares donde no estén expuestos a su destrucción, como áreas afectadas por vías, áreas de expansión urbanas en construcción, etc.</w:t>
      </w:r>
    </w:p>
    <w:p w:rsidR="00B5723A" w:rsidRPr="00B5723A" w:rsidRDefault="00B5723A" w:rsidP="003A7E3D">
      <w:pPr>
        <w:spacing w:after="0" w:line="240" w:lineRule="auto"/>
        <w:ind w:left="4962" w:hanging="567"/>
        <w:jc w:val="both"/>
        <w:rPr>
          <w:rFonts w:ascii="Arial" w:eastAsia="Calibri" w:hAnsi="Arial" w:cs="Arial"/>
          <w:lang w:val="es-ES"/>
        </w:rPr>
      </w:pPr>
    </w:p>
    <w:p w:rsidR="00B5723A" w:rsidRPr="00B5723A" w:rsidRDefault="00B5723A" w:rsidP="003A7E3D">
      <w:pPr>
        <w:spacing w:after="0" w:line="240" w:lineRule="auto"/>
        <w:ind w:left="4962" w:hanging="567"/>
        <w:jc w:val="both"/>
        <w:rPr>
          <w:rFonts w:ascii="Arial" w:eastAsia="Calibri" w:hAnsi="Arial" w:cs="Arial"/>
          <w:lang w:val="es-ES"/>
        </w:rPr>
      </w:pPr>
      <w:r w:rsidRPr="00B5723A">
        <w:rPr>
          <w:rFonts w:ascii="Arial" w:eastAsia="Calibri" w:hAnsi="Arial" w:cs="Arial"/>
          <w:lang w:val="es-ES"/>
        </w:rPr>
        <w:t xml:space="preserve">* </w:t>
      </w:r>
      <w:r w:rsidR="003A7E3D">
        <w:rPr>
          <w:rFonts w:ascii="Arial" w:eastAsia="Calibri" w:hAnsi="Arial" w:cs="Arial"/>
          <w:lang w:val="es-ES"/>
        </w:rPr>
        <w:tab/>
      </w:r>
      <w:r w:rsidRPr="00B5723A">
        <w:rPr>
          <w:rFonts w:ascii="Arial" w:eastAsia="Calibri" w:hAnsi="Arial" w:cs="Arial"/>
          <w:lang w:val="es-ES"/>
        </w:rPr>
        <w:t>Alejado de los espacios con tensión electromagnética.</w:t>
      </w:r>
    </w:p>
    <w:p w:rsidR="00B5723A" w:rsidRPr="00B5723A" w:rsidRDefault="00B5723A" w:rsidP="003A7E3D">
      <w:pPr>
        <w:spacing w:after="0" w:line="240" w:lineRule="auto"/>
        <w:ind w:left="4962" w:hanging="567"/>
        <w:jc w:val="both"/>
        <w:rPr>
          <w:rFonts w:ascii="Arial" w:eastAsia="Calibri" w:hAnsi="Arial" w:cs="Arial"/>
          <w:lang w:val="es-ES"/>
        </w:rPr>
      </w:pPr>
    </w:p>
    <w:p w:rsidR="00B5723A" w:rsidRPr="00B5723A" w:rsidRDefault="00B5723A" w:rsidP="003A7E3D">
      <w:pPr>
        <w:spacing w:after="0" w:line="240" w:lineRule="auto"/>
        <w:ind w:left="4962" w:hanging="567"/>
        <w:jc w:val="both"/>
        <w:rPr>
          <w:rFonts w:ascii="Arial" w:eastAsia="Calibri" w:hAnsi="Arial" w:cs="Arial"/>
          <w:lang w:val="es-ES"/>
        </w:rPr>
      </w:pPr>
      <w:r w:rsidRPr="00B5723A">
        <w:rPr>
          <w:rFonts w:ascii="Arial" w:eastAsia="Calibri" w:hAnsi="Arial" w:cs="Arial"/>
          <w:lang w:val="es-ES"/>
        </w:rPr>
        <w:t xml:space="preserve">* </w:t>
      </w:r>
      <w:r w:rsidR="003A7E3D">
        <w:rPr>
          <w:rFonts w:ascii="Arial" w:eastAsia="Calibri" w:hAnsi="Arial" w:cs="Arial"/>
          <w:lang w:val="es-ES"/>
        </w:rPr>
        <w:tab/>
      </w:r>
      <w:r w:rsidRPr="00B5723A">
        <w:rPr>
          <w:rFonts w:ascii="Arial" w:eastAsia="Calibri" w:hAnsi="Arial" w:cs="Arial"/>
          <w:lang w:val="es-ES"/>
        </w:rPr>
        <w:t>Alejado de las construcciones altas y de elevaciones o depresiones naturales.</w:t>
      </w:r>
    </w:p>
    <w:p w:rsidR="00B5723A" w:rsidRPr="00B5723A" w:rsidRDefault="00B5723A" w:rsidP="003A7E3D">
      <w:pPr>
        <w:spacing w:after="0" w:line="240" w:lineRule="auto"/>
        <w:ind w:left="4962" w:hanging="567"/>
        <w:jc w:val="both"/>
        <w:rPr>
          <w:rFonts w:ascii="Arial" w:eastAsia="Calibri" w:hAnsi="Arial" w:cs="Arial"/>
          <w:lang w:val="es-ES"/>
        </w:rPr>
      </w:pPr>
    </w:p>
    <w:p w:rsidR="00B5723A" w:rsidRPr="00B5723A" w:rsidRDefault="00B5723A" w:rsidP="003A7E3D">
      <w:pPr>
        <w:spacing w:after="0" w:line="240" w:lineRule="auto"/>
        <w:ind w:left="4962" w:hanging="567"/>
        <w:jc w:val="both"/>
        <w:rPr>
          <w:rFonts w:ascii="Arial" w:eastAsia="Calibri" w:hAnsi="Arial" w:cs="Arial"/>
          <w:lang w:val="es-ES"/>
        </w:rPr>
      </w:pPr>
      <w:r w:rsidRPr="00B5723A">
        <w:rPr>
          <w:rFonts w:ascii="Arial" w:eastAsia="Calibri" w:hAnsi="Arial" w:cs="Arial"/>
          <w:lang w:val="es-ES"/>
        </w:rPr>
        <w:t xml:space="preserve">* </w:t>
      </w:r>
      <w:r w:rsidR="003A7E3D">
        <w:rPr>
          <w:rFonts w:ascii="Arial" w:eastAsia="Calibri" w:hAnsi="Arial" w:cs="Arial"/>
          <w:lang w:val="es-ES"/>
        </w:rPr>
        <w:tab/>
      </w:r>
      <w:r w:rsidRPr="00B5723A">
        <w:rPr>
          <w:rFonts w:ascii="Arial" w:eastAsia="Calibri" w:hAnsi="Arial" w:cs="Arial"/>
          <w:lang w:val="es-ES"/>
        </w:rPr>
        <w:t>Facilidad para instalar los equipos o instrumentos, tener presente posibles interferencias para la medición instrumental GNSS, como árboles grandes, construcciones, etc. siendo como mínimo dos puntos de control horizontal.</w:t>
      </w:r>
    </w:p>
    <w:p w:rsidR="00B5723A" w:rsidRPr="00B5723A" w:rsidRDefault="00B5723A" w:rsidP="00487138">
      <w:pPr>
        <w:spacing w:after="0" w:line="240" w:lineRule="auto"/>
        <w:ind w:left="3828"/>
        <w:jc w:val="both"/>
        <w:rPr>
          <w:rFonts w:ascii="Arial" w:eastAsia="Calibri" w:hAnsi="Arial" w:cs="Arial"/>
          <w:lang w:val="es-ES"/>
        </w:rPr>
      </w:pPr>
    </w:p>
    <w:p w:rsidR="00B5723A" w:rsidRPr="00B5723A" w:rsidRDefault="00B5723A" w:rsidP="003A7E3D">
      <w:pPr>
        <w:spacing w:after="0" w:line="240" w:lineRule="auto"/>
        <w:ind w:left="4395" w:hanging="567"/>
        <w:jc w:val="both"/>
        <w:rPr>
          <w:rFonts w:ascii="Arial" w:eastAsia="Calibri" w:hAnsi="Arial" w:cs="Arial"/>
          <w:lang w:val="es-ES"/>
        </w:rPr>
      </w:pPr>
      <w:r w:rsidRPr="00B5723A">
        <w:rPr>
          <w:rFonts w:ascii="Arial" w:eastAsia="Calibri" w:hAnsi="Arial" w:cs="Arial"/>
          <w:lang w:val="es-ES"/>
        </w:rPr>
        <w:t xml:space="preserve">b) </w:t>
      </w:r>
      <w:r w:rsidR="003A7E3D">
        <w:rPr>
          <w:rFonts w:ascii="Arial" w:eastAsia="Calibri" w:hAnsi="Arial" w:cs="Arial"/>
          <w:lang w:val="es-ES"/>
        </w:rPr>
        <w:tab/>
      </w:r>
      <w:r w:rsidRPr="00B5723A">
        <w:rPr>
          <w:rFonts w:ascii="Arial" w:eastAsia="Calibri" w:hAnsi="Arial" w:cs="Arial"/>
          <w:lang w:val="es-ES"/>
        </w:rPr>
        <w:t>Los trabajos de monumentación y la asignación de sus códigos se efectúa según la jurisdicción de los distritos donde van a ser colocados.</w:t>
      </w:r>
    </w:p>
    <w:p w:rsidR="00B5723A" w:rsidRPr="00B5723A" w:rsidRDefault="00B5723A" w:rsidP="003A7E3D">
      <w:pPr>
        <w:spacing w:after="0" w:line="240" w:lineRule="auto"/>
        <w:ind w:left="4395" w:hanging="567"/>
        <w:jc w:val="both"/>
        <w:rPr>
          <w:rFonts w:ascii="Arial" w:eastAsia="Calibri" w:hAnsi="Arial" w:cs="Arial"/>
          <w:lang w:val="es-ES"/>
        </w:rPr>
      </w:pPr>
    </w:p>
    <w:p w:rsidR="00B5723A" w:rsidRPr="00B5723A" w:rsidRDefault="00B5723A" w:rsidP="003A7E3D">
      <w:pPr>
        <w:spacing w:after="0" w:line="240" w:lineRule="auto"/>
        <w:ind w:left="4395" w:hanging="567"/>
        <w:jc w:val="both"/>
        <w:rPr>
          <w:rFonts w:ascii="Arial" w:eastAsia="Calibri" w:hAnsi="Arial" w:cs="Arial"/>
          <w:lang w:val="es-ES"/>
        </w:rPr>
      </w:pPr>
      <w:r w:rsidRPr="00B5723A">
        <w:rPr>
          <w:rFonts w:ascii="Arial" w:eastAsia="Calibri" w:hAnsi="Arial" w:cs="Arial"/>
          <w:lang w:val="es-ES"/>
        </w:rPr>
        <w:t xml:space="preserve">c) </w:t>
      </w:r>
      <w:r w:rsidR="003A7E3D">
        <w:rPr>
          <w:rFonts w:ascii="Arial" w:eastAsia="Calibri" w:hAnsi="Arial" w:cs="Arial"/>
          <w:lang w:val="es-ES"/>
        </w:rPr>
        <w:tab/>
      </w:r>
      <w:r w:rsidRPr="00B5723A">
        <w:rPr>
          <w:rFonts w:ascii="Arial" w:eastAsia="Calibri" w:hAnsi="Arial" w:cs="Arial"/>
          <w:lang w:val="es-ES"/>
        </w:rPr>
        <w:t>Los trabajos de georreferenciación geodésica lo realiza el Técnico Catastral, teniendo en consideración las especificaciones técnicas establecidas en la norma técnica geodésica del IGN para Puntos Geodésicos de Orden “C”.</w:t>
      </w:r>
    </w:p>
    <w:p w:rsidR="00B5723A" w:rsidRPr="00B5723A" w:rsidRDefault="00B5723A" w:rsidP="003A7E3D">
      <w:pPr>
        <w:spacing w:after="0" w:line="240" w:lineRule="auto"/>
        <w:ind w:left="4395" w:hanging="567"/>
        <w:jc w:val="both"/>
        <w:rPr>
          <w:rFonts w:ascii="Arial" w:eastAsia="Calibri" w:hAnsi="Arial" w:cs="Arial"/>
          <w:lang w:val="es-ES"/>
        </w:rPr>
      </w:pPr>
    </w:p>
    <w:p w:rsidR="00B5723A" w:rsidRPr="00B5723A" w:rsidRDefault="00B5723A" w:rsidP="003A7E3D">
      <w:pPr>
        <w:spacing w:after="0" w:line="240" w:lineRule="auto"/>
        <w:ind w:left="4395" w:hanging="567"/>
        <w:jc w:val="both"/>
        <w:rPr>
          <w:rFonts w:ascii="Arial" w:eastAsia="Calibri" w:hAnsi="Arial" w:cs="Arial"/>
          <w:lang w:val="es-ES"/>
        </w:rPr>
      </w:pPr>
      <w:r w:rsidRPr="00B5723A">
        <w:rPr>
          <w:rFonts w:ascii="Arial" w:eastAsia="Calibri" w:hAnsi="Arial" w:cs="Arial"/>
          <w:lang w:val="es-ES"/>
        </w:rPr>
        <w:t xml:space="preserve">d) </w:t>
      </w:r>
      <w:r w:rsidR="003A7E3D">
        <w:rPr>
          <w:rFonts w:ascii="Arial" w:eastAsia="Calibri" w:hAnsi="Arial" w:cs="Arial"/>
          <w:lang w:val="es-ES"/>
        </w:rPr>
        <w:tab/>
      </w:r>
      <w:r w:rsidRPr="00B5723A">
        <w:rPr>
          <w:rFonts w:ascii="Arial" w:eastAsia="Calibri" w:hAnsi="Arial" w:cs="Arial"/>
          <w:lang w:val="es-ES"/>
        </w:rPr>
        <w:t>Luego que se realiza el cálculo de coordenadas UTM, en Datum WGS84, se elabora la Descripción Monográfica del Punto Geodésico, según formato del IGN (Formato Nº 02), el cual es firmado por el técnico catastral.</w:t>
      </w:r>
    </w:p>
    <w:p w:rsidR="00B5723A" w:rsidRPr="00B5723A" w:rsidRDefault="00B5723A" w:rsidP="00B5723A">
      <w:pPr>
        <w:spacing w:after="0" w:line="240" w:lineRule="auto"/>
        <w:jc w:val="both"/>
        <w:rPr>
          <w:rFonts w:ascii="Arial" w:eastAsia="Calibri" w:hAnsi="Arial" w:cs="Arial"/>
          <w:lang w:val="es-ES"/>
        </w:rPr>
      </w:pPr>
    </w:p>
    <w:p w:rsidR="00B5723A" w:rsidRPr="003A7E3D" w:rsidRDefault="00B5723A" w:rsidP="009E06DB">
      <w:pPr>
        <w:spacing w:after="0" w:line="240" w:lineRule="auto"/>
        <w:ind w:left="3828" w:hanging="426"/>
        <w:jc w:val="both"/>
        <w:rPr>
          <w:rFonts w:ascii="Arial" w:eastAsia="Calibri" w:hAnsi="Arial" w:cs="Arial"/>
          <w:b/>
          <w:lang w:val="es-ES"/>
        </w:rPr>
      </w:pPr>
      <w:r w:rsidRPr="003A7E3D">
        <w:rPr>
          <w:rFonts w:ascii="Arial" w:eastAsia="Calibri" w:hAnsi="Arial" w:cs="Arial"/>
          <w:b/>
          <w:lang w:val="es-ES"/>
        </w:rPr>
        <w:t xml:space="preserve">2. </w:t>
      </w:r>
      <w:r w:rsidR="009E06DB">
        <w:rPr>
          <w:rFonts w:ascii="Arial" w:eastAsia="Calibri" w:hAnsi="Arial" w:cs="Arial"/>
          <w:b/>
          <w:lang w:val="es-ES"/>
        </w:rPr>
        <w:tab/>
      </w:r>
      <w:r w:rsidRPr="003A7E3D">
        <w:rPr>
          <w:rFonts w:ascii="Arial" w:eastAsia="Calibri" w:hAnsi="Arial" w:cs="Arial"/>
          <w:b/>
          <w:lang w:val="es-ES"/>
        </w:rPr>
        <w:t>MONUMENTACIÓN DE PUNTOS DE CONTROL TOPOGRÁFICO</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9E06DB">
      <w:pPr>
        <w:spacing w:after="0" w:line="240" w:lineRule="auto"/>
        <w:ind w:left="3828"/>
        <w:jc w:val="both"/>
        <w:rPr>
          <w:rFonts w:ascii="Arial" w:eastAsia="Calibri" w:hAnsi="Arial" w:cs="Arial"/>
          <w:lang w:val="es-ES"/>
        </w:rPr>
      </w:pPr>
      <w:r w:rsidRPr="00B5723A">
        <w:rPr>
          <w:rFonts w:ascii="Arial" w:eastAsia="Calibri" w:hAnsi="Arial" w:cs="Arial"/>
          <w:lang w:val="es-ES"/>
        </w:rPr>
        <w:t>La monumentación se efectúa de acuerdo a la Norma Técnica Geodésica aprobada por el IGN, en la que se detalla el tipo de hito según el tipo de suelo.</w:t>
      </w:r>
    </w:p>
    <w:p w:rsidR="00B5723A" w:rsidRPr="00B5723A" w:rsidRDefault="00B5723A" w:rsidP="00B5723A">
      <w:pPr>
        <w:spacing w:after="0" w:line="240" w:lineRule="auto"/>
        <w:jc w:val="both"/>
        <w:rPr>
          <w:rFonts w:ascii="Arial" w:eastAsia="Calibri" w:hAnsi="Arial" w:cs="Arial"/>
          <w:lang w:val="es-ES"/>
        </w:rPr>
      </w:pPr>
    </w:p>
    <w:p w:rsidR="00B5723A" w:rsidRPr="009E06DB" w:rsidRDefault="00B5723A" w:rsidP="009E06DB">
      <w:pPr>
        <w:spacing w:after="0" w:line="240" w:lineRule="auto"/>
        <w:ind w:left="3261"/>
        <w:jc w:val="both"/>
        <w:rPr>
          <w:rFonts w:ascii="Arial" w:eastAsia="Calibri" w:hAnsi="Arial" w:cs="Arial"/>
          <w:b/>
          <w:lang w:val="es-ES"/>
        </w:rPr>
      </w:pPr>
      <w:r w:rsidRPr="00B5723A">
        <w:rPr>
          <w:rFonts w:ascii="Arial" w:eastAsia="Calibri" w:hAnsi="Arial" w:cs="Arial"/>
          <w:lang w:val="es-ES"/>
        </w:rPr>
        <w:tab/>
      </w:r>
      <w:r w:rsidRPr="009E06DB">
        <w:rPr>
          <w:rFonts w:ascii="Arial" w:eastAsia="Calibri" w:hAnsi="Arial" w:cs="Arial"/>
          <w:b/>
          <w:lang w:val="es-ES"/>
        </w:rPr>
        <w:t xml:space="preserve">3. </w:t>
      </w:r>
      <w:r w:rsidR="009E06DB">
        <w:rPr>
          <w:rFonts w:ascii="Arial" w:eastAsia="Calibri" w:hAnsi="Arial" w:cs="Arial"/>
          <w:b/>
          <w:lang w:val="es-ES"/>
        </w:rPr>
        <w:t xml:space="preserve"> </w:t>
      </w:r>
      <w:r w:rsidRPr="009E06DB">
        <w:rPr>
          <w:rFonts w:ascii="Arial" w:eastAsia="Calibri" w:hAnsi="Arial" w:cs="Arial"/>
          <w:b/>
          <w:lang w:val="es-ES"/>
        </w:rPr>
        <w:t>LEVANTAMIENTO TOPOGRÁFICO EN CAMPO</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9E06DB">
      <w:pPr>
        <w:spacing w:after="0" w:line="240" w:lineRule="auto"/>
        <w:ind w:left="3828"/>
        <w:jc w:val="both"/>
        <w:rPr>
          <w:rFonts w:ascii="Arial" w:eastAsia="Calibri" w:hAnsi="Arial" w:cs="Arial"/>
          <w:lang w:val="es-ES"/>
        </w:rPr>
      </w:pPr>
      <w:r w:rsidRPr="00B5723A">
        <w:rPr>
          <w:rFonts w:ascii="Arial" w:eastAsia="Calibri" w:hAnsi="Arial" w:cs="Arial"/>
          <w:lang w:val="es-ES"/>
        </w:rPr>
        <w:t>Para los trabajos de campo las estaciones totales tienen que configurarse de acuerdo a la información técnica de los puntos de control:</w:t>
      </w:r>
    </w:p>
    <w:p w:rsidR="00B5723A" w:rsidRPr="00B5723A" w:rsidRDefault="00B5723A" w:rsidP="009E06DB">
      <w:pPr>
        <w:spacing w:after="0" w:line="240" w:lineRule="auto"/>
        <w:ind w:left="3828"/>
        <w:jc w:val="both"/>
        <w:rPr>
          <w:rFonts w:ascii="Arial" w:eastAsia="Calibri" w:hAnsi="Arial" w:cs="Arial"/>
          <w:lang w:val="es-ES"/>
        </w:rPr>
      </w:pPr>
    </w:p>
    <w:p w:rsidR="00B5723A" w:rsidRPr="00B5723A" w:rsidRDefault="00B5723A" w:rsidP="009E06DB">
      <w:pPr>
        <w:spacing w:after="0" w:line="240" w:lineRule="auto"/>
        <w:ind w:left="4536" w:hanging="567"/>
        <w:jc w:val="both"/>
        <w:rPr>
          <w:rFonts w:ascii="Arial" w:eastAsia="Calibri" w:hAnsi="Arial" w:cs="Arial"/>
          <w:lang w:val="es-ES"/>
        </w:rPr>
      </w:pPr>
      <w:r w:rsidRPr="00B5723A">
        <w:rPr>
          <w:rFonts w:ascii="Arial" w:eastAsia="Calibri" w:hAnsi="Arial" w:cs="Arial"/>
          <w:lang w:val="es-ES"/>
        </w:rPr>
        <w:t xml:space="preserve">* </w:t>
      </w:r>
      <w:r w:rsidR="009E06DB">
        <w:rPr>
          <w:rFonts w:ascii="Arial" w:eastAsia="Calibri" w:hAnsi="Arial" w:cs="Arial"/>
          <w:lang w:val="es-ES"/>
        </w:rPr>
        <w:tab/>
      </w:r>
      <w:r w:rsidRPr="00B5723A">
        <w:rPr>
          <w:rFonts w:ascii="Arial" w:eastAsia="Calibri" w:hAnsi="Arial" w:cs="Arial"/>
          <w:lang w:val="es-ES"/>
        </w:rPr>
        <w:t>Estacionar el equipo en uno de los puntos de control topográfico y crear el archivo en la estación total, que identifique el lugar de trabajo.</w:t>
      </w:r>
    </w:p>
    <w:p w:rsidR="00B5723A" w:rsidRPr="00B5723A" w:rsidRDefault="00B5723A" w:rsidP="009E06DB">
      <w:pPr>
        <w:spacing w:after="0" w:line="240" w:lineRule="auto"/>
        <w:ind w:left="4536" w:hanging="567"/>
        <w:jc w:val="both"/>
        <w:rPr>
          <w:rFonts w:ascii="Arial" w:eastAsia="Calibri" w:hAnsi="Arial" w:cs="Arial"/>
          <w:lang w:val="es-ES"/>
        </w:rPr>
      </w:pPr>
    </w:p>
    <w:p w:rsidR="00B5723A" w:rsidRPr="00B5723A" w:rsidRDefault="00B5723A" w:rsidP="009E06DB">
      <w:pPr>
        <w:spacing w:after="0" w:line="240" w:lineRule="auto"/>
        <w:ind w:left="4536" w:hanging="567"/>
        <w:jc w:val="both"/>
        <w:rPr>
          <w:rFonts w:ascii="Arial" w:eastAsia="Calibri" w:hAnsi="Arial" w:cs="Arial"/>
          <w:lang w:val="es-ES"/>
        </w:rPr>
      </w:pPr>
      <w:r w:rsidRPr="00B5723A">
        <w:rPr>
          <w:rFonts w:ascii="Arial" w:eastAsia="Calibri" w:hAnsi="Arial" w:cs="Arial"/>
          <w:lang w:val="es-ES"/>
        </w:rPr>
        <w:t xml:space="preserve">* </w:t>
      </w:r>
      <w:r w:rsidR="009E06DB">
        <w:rPr>
          <w:rFonts w:ascii="Arial" w:eastAsia="Calibri" w:hAnsi="Arial" w:cs="Arial"/>
          <w:lang w:val="es-ES"/>
        </w:rPr>
        <w:tab/>
      </w:r>
      <w:r w:rsidRPr="00B5723A">
        <w:rPr>
          <w:rFonts w:ascii="Arial" w:eastAsia="Calibri" w:hAnsi="Arial" w:cs="Arial"/>
          <w:lang w:val="es-ES"/>
        </w:rPr>
        <w:t>Configurar el equipo para trabajar en un sistema de coordenadas UTM. Se ingresará el Factor de Escala Combinado promediado de los puntos de control topográfico del área a levantar.</w:t>
      </w:r>
    </w:p>
    <w:p w:rsidR="00B5723A" w:rsidRPr="00B5723A" w:rsidRDefault="00B5723A" w:rsidP="009E06DB">
      <w:pPr>
        <w:spacing w:after="0" w:line="240" w:lineRule="auto"/>
        <w:ind w:left="4536" w:hanging="567"/>
        <w:jc w:val="both"/>
        <w:rPr>
          <w:rFonts w:ascii="Arial" w:eastAsia="Calibri" w:hAnsi="Arial" w:cs="Arial"/>
          <w:lang w:val="es-ES"/>
        </w:rPr>
      </w:pPr>
    </w:p>
    <w:p w:rsidR="00B5723A" w:rsidRPr="00B5723A" w:rsidRDefault="00B5723A" w:rsidP="009E06DB">
      <w:pPr>
        <w:spacing w:after="0" w:line="240" w:lineRule="auto"/>
        <w:ind w:left="4536" w:hanging="567"/>
        <w:jc w:val="both"/>
        <w:rPr>
          <w:rFonts w:ascii="Arial" w:eastAsia="Calibri" w:hAnsi="Arial" w:cs="Arial"/>
          <w:lang w:val="es-ES"/>
        </w:rPr>
      </w:pPr>
      <w:r w:rsidRPr="00B5723A">
        <w:rPr>
          <w:rFonts w:ascii="Arial" w:eastAsia="Calibri" w:hAnsi="Arial" w:cs="Arial"/>
          <w:lang w:val="es-ES"/>
        </w:rPr>
        <w:t xml:space="preserve">* </w:t>
      </w:r>
      <w:r w:rsidR="009E06DB">
        <w:rPr>
          <w:rFonts w:ascii="Arial" w:eastAsia="Calibri" w:hAnsi="Arial" w:cs="Arial"/>
          <w:lang w:val="es-ES"/>
        </w:rPr>
        <w:tab/>
      </w:r>
      <w:r w:rsidRPr="00B5723A">
        <w:rPr>
          <w:rFonts w:ascii="Arial" w:eastAsia="Calibri" w:hAnsi="Arial" w:cs="Arial"/>
          <w:lang w:val="es-ES"/>
        </w:rPr>
        <w:t>Se ingresa las coordenadas UTM del punto donde se ha estacionado y las coordenadas UTM del punto de referencia angular.</w:t>
      </w:r>
    </w:p>
    <w:p w:rsidR="00B5723A" w:rsidRPr="00B5723A" w:rsidRDefault="00B5723A" w:rsidP="009E06DB">
      <w:pPr>
        <w:spacing w:after="0" w:line="240" w:lineRule="auto"/>
        <w:ind w:left="4536" w:hanging="567"/>
        <w:jc w:val="both"/>
        <w:rPr>
          <w:rFonts w:ascii="Arial" w:eastAsia="Calibri" w:hAnsi="Arial" w:cs="Arial"/>
          <w:lang w:val="es-ES"/>
        </w:rPr>
      </w:pPr>
    </w:p>
    <w:p w:rsidR="00B5723A" w:rsidRPr="00B5723A" w:rsidRDefault="00B5723A" w:rsidP="009E06DB">
      <w:pPr>
        <w:spacing w:after="0" w:line="240" w:lineRule="auto"/>
        <w:ind w:left="4536" w:hanging="567"/>
        <w:jc w:val="both"/>
        <w:rPr>
          <w:rFonts w:ascii="Arial" w:eastAsia="Calibri" w:hAnsi="Arial" w:cs="Arial"/>
          <w:lang w:val="es-ES"/>
        </w:rPr>
      </w:pPr>
      <w:r w:rsidRPr="00B5723A">
        <w:rPr>
          <w:rFonts w:ascii="Arial" w:eastAsia="Calibri" w:hAnsi="Arial" w:cs="Arial"/>
          <w:lang w:val="es-ES"/>
        </w:rPr>
        <w:t xml:space="preserve">* </w:t>
      </w:r>
      <w:r w:rsidR="009E06DB">
        <w:rPr>
          <w:rFonts w:ascii="Arial" w:eastAsia="Calibri" w:hAnsi="Arial" w:cs="Arial"/>
          <w:lang w:val="es-ES"/>
        </w:rPr>
        <w:tab/>
      </w:r>
      <w:r w:rsidRPr="00B5723A">
        <w:rPr>
          <w:rFonts w:ascii="Arial" w:eastAsia="Calibri" w:hAnsi="Arial" w:cs="Arial"/>
          <w:lang w:val="es-ES"/>
        </w:rPr>
        <w:t>Se ingresa los valores de presión y temperatura para definir el PPM de la estación total. De acuerdo a la variación de la temperatura ambiental en el día el valor de temperatura de la estación total se tiene que modificar. En ningún caso se debe dejar un solo valor de temperatura para definir el PPM de todo el día, debido a que causa que se produzcan errores en las mediciones de distancia.</w:t>
      </w:r>
    </w:p>
    <w:p w:rsidR="00B5723A" w:rsidRPr="00B5723A" w:rsidRDefault="00B5723A" w:rsidP="009E06DB">
      <w:pPr>
        <w:spacing w:after="0" w:line="240" w:lineRule="auto"/>
        <w:ind w:left="4536" w:hanging="567"/>
        <w:jc w:val="both"/>
        <w:rPr>
          <w:rFonts w:ascii="Arial" w:eastAsia="Calibri" w:hAnsi="Arial" w:cs="Arial"/>
          <w:lang w:val="es-ES"/>
        </w:rPr>
      </w:pPr>
    </w:p>
    <w:p w:rsidR="00B5723A" w:rsidRPr="00B5723A" w:rsidRDefault="00B5723A" w:rsidP="009E06DB">
      <w:pPr>
        <w:spacing w:after="0" w:line="240" w:lineRule="auto"/>
        <w:ind w:left="4536" w:hanging="567"/>
        <w:jc w:val="both"/>
        <w:rPr>
          <w:rFonts w:ascii="Arial" w:eastAsia="Calibri" w:hAnsi="Arial" w:cs="Arial"/>
          <w:lang w:val="es-ES"/>
        </w:rPr>
      </w:pPr>
      <w:r w:rsidRPr="00B5723A">
        <w:rPr>
          <w:rFonts w:ascii="Arial" w:eastAsia="Calibri" w:hAnsi="Arial" w:cs="Arial"/>
          <w:lang w:val="es-ES"/>
        </w:rPr>
        <w:t xml:space="preserve">* </w:t>
      </w:r>
      <w:r w:rsidR="009E06DB">
        <w:rPr>
          <w:rFonts w:ascii="Arial" w:eastAsia="Calibri" w:hAnsi="Arial" w:cs="Arial"/>
          <w:lang w:val="es-ES"/>
        </w:rPr>
        <w:tab/>
      </w:r>
      <w:r w:rsidRPr="00B5723A">
        <w:rPr>
          <w:rFonts w:ascii="Arial" w:eastAsia="Calibri" w:hAnsi="Arial" w:cs="Arial"/>
          <w:lang w:val="es-ES"/>
        </w:rPr>
        <w:t>Antes de iniciar las lecturas de los puntos de levantamiento, se realiza una prueba, efectuando medidas con la estación total desde el punto de control donde está estacionado hasta otro punto de control. En caso sólo haya contacto visual entre dos puntos, se realiza la prueba de medición al punto de control de referencia angular.</w:t>
      </w:r>
    </w:p>
    <w:p w:rsidR="00B5723A" w:rsidRPr="00B5723A" w:rsidRDefault="00B5723A" w:rsidP="009E06DB">
      <w:pPr>
        <w:spacing w:after="0" w:line="240" w:lineRule="auto"/>
        <w:ind w:left="4536" w:hanging="567"/>
        <w:jc w:val="both"/>
        <w:rPr>
          <w:rFonts w:ascii="Arial" w:eastAsia="Calibri" w:hAnsi="Arial" w:cs="Arial"/>
          <w:lang w:val="es-ES"/>
        </w:rPr>
      </w:pPr>
    </w:p>
    <w:p w:rsidR="00B5723A" w:rsidRPr="00B5723A" w:rsidRDefault="00B5723A" w:rsidP="009E06DB">
      <w:pPr>
        <w:spacing w:after="0" w:line="240" w:lineRule="auto"/>
        <w:ind w:left="4536" w:hanging="567"/>
        <w:jc w:val="both"/>
        <w:rPr>
          <w:rFonts w:ascii="Arial" w:eastAsia="Calibri" w:hAnsi="Arial" w:cs="Arial"/>
          <w:lang w:val="es-ES"/>
        </w:rPr>
      </w:pPr>
      <w:r w:rsidRPr="00B5723A">
        <w:rPr>
          <w:rFonts w:ascii="Arial" w:eastAsia="Calibri" w:hAnsi="Arial" w:cs="Arial"/>
          <w:lang w:val="es-ES"/>
        </w:rPr>
        <w:t xml:space="preserve">* </w:t>
      </w:r>
      <w:r w:rsidR="009E06DB">
        <w:rPr>
          <w:rFonts w:ascii="Arial" w:eastAsia="Calibri" w:hAnsi="Arial" w:cs="Arial"/>
          <w:lang w:val="es-ES"/>
        </w:rPr>
        <w:tab/>
      </w:r>
      <w:r w:rsidRPr="00B5723A">
        <w:rPr>
          <w:rFonts w:ascii="Arial" w:eastAsia="Calibri" w:hAnsi="Arial" w:cs="Arial"/>
          <w:lang w:val="es-ES"/>
        </w:rPr>
        <w:t>Las coordenadas UTM obtenidas en la prueba de medición tienen que ser las mismas y se encuentran en las fichas técnicas de los puntos de control topográfico.</w:t>
      </w:r>
    </w:p>
    <w:p w:rsidR="00B5723A" w:rsidRPr="00B5723A" w:rsidRDefault="00B5723A" w:rsidP="009E06DB">
      <w:pPr>
        <w:spacing w:after="0" w:line="240" w:lineRule="auto"/>
        <w:ind w:left="3828"/>
        <w:jc w:val="both"/>
        <w:rPr>
          <w:rFonts w:ascii="Arial" w:eastAsia="Calibri" w:hAnsi="Arial" w:cs="Arial"/>
          <w:lang w:val="es-ES"/>
        </w:rPr>
      </w:pPr>
    </w:p>
    <w:p w:rsidR="00B5723A" w:rsidRPr="00B5723A" w:rsidRDefault="00B5723A" w:rsidP="009E06DB">
      <w:pPr>
        <w:spacing w:after="0" w:line="240" w:lineRule="auto"/>
        <w:ind w:left="3828"/>
        <w:jc w:val="both"/>
        <w:rPr>
          <w:rFonts w:ascii="Arial" w:eastAsia="Calibri" w:hAnsi="Arial" w:cs="Arial"/>
          <w:lang w:val="es-ES"/>
        </w:rPr>
      </w:pPr>
      <w:r w:rsidRPr="00B5723A">
        <w:rPr>
          <w:rFonts w:ascii="Arial" w:eastAsia="Calibri" w:hAnsi="Arial" w:cs="Arial"/>
          <w:lang w:val="es-ES"/>
        </w:rPr>
        <w:t>Cuando se definan los puntos de cambio para la estación total, se realizan como máximo 03 cambios. Tener presente que los cambios de estación generan errores considerables en los puntos que se está capturando o realizando mediciones. Se establecen estos puntos utilizando el prisma sobre un trípode que debe estar centrado sobre la marca y realizar varias lecturas</w:t>
      </w:r>
    </w:p>
    <w:p w:rsidR="00B5723A" w:rsidRPr="00B5723A" w:rsidRDefault="00B5723A" w:rsidP="009E06DB">
      <w:pPr>
        <w:spacing w:after="0" w:line="240" w:lineRule="auto"/>
        <w:ind w:left="3828"/>
        <w:jc w:val="both"/>
        <w:rPr>
          <w:rFonts w:ascii="Arial" w:eastAsia="Calibri" w:hAnsi="Arial" w:cs="Arial"/>
          <w:lang w:val="es-ES"/>
        </w:rPr>
      </w:pPr>
    </w:p>
    <w:p w:rsidR="00B5723A" w:rsidRPr="00B5723A" w:rsidRDefault="00B5723A" w:rsidP="009E06DB">
      <w:pPr>
        <w:spacing w:after="0" w:line="240" w:lineRule="auto"/>
        <w:ind w:left="3828"/>
        <w:jc w:val="both"/>
        <w:rPr>
          <w:rFonts w:ascii="Arial" w:eastAsia="Calibri" w:hAnsi="Arial" w:cs="Arial"/>
          <w:lang w:val="es-ES"/>
        </w:rPr>
      </w:pPr>
      <w:r w:rsidRPr="00B5723A">
        <w:rPr>
          <w:rFonts w:ascii="Arial" w:eastAsia="Calibri" w:hAnsi="Arial" w:cs="Arial"/>
          <w:lang w:val="es-ES"/>
        </w:rPr>
        <w:t>Todos los días de levantamiento de información en campo se realiza la transferencia de información de los equipos topográficos a la computadora, con el fin de verificar que la información haya sido registrada adecuadamente. (Gráfico Nº06)</w:t>
      </w:r>
    </w:p>
    <w:p w:rsidR="00B5723A" w:rsidRPr="00B5723A" w:rsidRDefault="00B5723A" w:rsidP="00B5723A">
      <w:pPr>
        <w:spacing w:after="0" w:line="240" w:lineRule="auto"/>
        <w:jc w:val="both"/>
        <w:rPr>
          <w:rFonts w:ascii="Arial" w:eastAsia="Calibri" w:hAnsi="Arial" w:cs="Arial"/>
          <w:lang w:val="es-ES"/>
        </w:rPr>
      </w:pPr>
    </w:p>
    <w:p w:rsidR="00B5723A" w:rsidRPr="009E06DB" w:rsidRDefault="00B5723A" w:rsidP="009E06DB">
      <w:pPr>
        <w:spacing w:after="0" w:line="240" w:lineRule="auto"/>
        <w:ind w:left="3544"/>
        <w:jc w:val="both"/>
        <w:rPr>
          <w:rFonts w:ascii="Arial" w:eastAsia="Calibri" w:hAnsi="Arial" w:cs="Arial"/>
          <w:b/>
          <w:lang w:val="es-ES"/>
        </w:rPr>
      </w:pPr>
      <w:r w:rsidRPr="009E06DB">
        <w:rPr>
          <w:rFonts w:ascii="Arial" w:eastAsia="Calibri" w:hAnsi="Arial" w:cs="Arial"/>
          <w:b/>
          <w:lang w:val="es-ES"/>
        </w:rPr>
        <w:t>4. REPLANTEO TOPOGRÁFICO</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9E06DB">
      <w:pPr>
        <w:spacing w:after="0" w:line="240" w:lineRule="auto"/>
        <w:ind w:left="3828"/>
        <w:jc w:val="both"/>
        <w:rPr>
          <w:rFonts w:ascii="Arial" w:eastAsia="Calibri" w:hAnsi="Arial" w:cs="Arial"/>
          <w:lang w:val="es-ES"/>
        </w:rPr>
      </w:pPr>
      <w:r w:rsidRPr="00B5723A">
        <w:rPr>
          <w:rFonts w:ascii="Arial" w:eastAsia="Calibri" w:hAnsi="Arial" w:cs="Arial"/>
          <w:lang w:val="es-ES"/>
        </w:rPr>
        <w:t>Se sigue el siguiente procedimiento:</w:t>
      </w:r>
    </w:p>
    <w:p w:rsidR="00B5723A" w:rsidRPr="00B5723A" w:rsidRDefault="00B5723A" w:rsidP="009E06DB">
      <w:pPr>
        <w:spacing w:after="0" w:line="240" w:lineRule="auto"/>
        <w:ind w:left="3828"/>
        <w:jc w:val="both"/>
        <w:rPr>
          <w:rFonts w:ascii="Arial" w:eastAsia="Calibri" w:hAnsi="Arial" w:cs="Arial"/>
          <w:lang w:val="es-ES"/>
        </w:rPr>
      </w:pPr>
    </w:p>
    <w:p w:rsidR="00B5723A" w:rsidRPr="00B5723A" w:rsidRDefault="00B5723A" w:rsidP="009E06DB">
      <w:pPr>
        <w:spacing w:after="0" w:line="240" w:lineRule="auto"/>
        <w:ind w:left="4395" w:hanging="426"/>
        <w:jc w:val="both"/>
        <w:rPr>
          <w:rFonts w:ascii="Arial" w:eastAsia="Calibri" w:hAnsi="Arial" w:cs="Arial"/>
          <w:lang w:val="es-ES"/>
        </w:rPr>
      </w:pPr>
      <w:r w:rsidRPr="00B5723A">
        <w:rPr>
          <w:rFonts w:ascii="Arial" w:eastAsia="Calibri" w:hAnsi="Arial" w:cs="Arial"/>
          <w:lang w:val="es-ES"/>
        </w:rPr>
        <w:t xml:space="preserve">a) </w:t>
      </w:r>
      <w:r w:rsidR="009E06DB">
        <w:rPr>
          <w:rFonts w:ascii="Arial" w:eastAsia="Calibri" w:hAnsi="Arial" w:cs="Arial"/>
          <w:lang w:val="es-ES"/>
        </w:rPr>
        <w:tab/>
      </w:r>
      <w:r w:rsidRPr="00B5723A">
        <w:rPr>
          <w:rFonts w:ascii="Arial" w:eastAsia="Calibri" w:hAnsi="Arial" w:cs="Arial"/>
          <w:lang w:val="es-ES"/>
        </w:rPr>
        <w:t>Se establecen dos puntos geodésicos de orden “C”, de apoyo para el replanteo</w:t>
      </w:r>
    </w:p>
    <w:p w:rsidR="00B5723A" w:rsidRPr="00B5723A" w:rsidRDefault="00B5723A" w:rsidP="009E06DB">
      <w:pPr>
        <w:spacing w:after="0" w:line="240" w:lineRule="auto"/>
        <w:ind w:left="4395" w:hanging="426"/>
        <w:jc w:val="both"/>
        <w:rPr>
          <w:rFonts w:ascii="Arial" w:eastAsia="Calibri" w:hAnsi="Arial" w:cs="Arial"/>
          <w:lang w:val="es-ES"/>
        </w:rPr>
      </w:pPr>
    </w:p>
    <w:p w:rsidR="00B5723A" w:rsidRPr="00B5723A" w:rsidRDefault="00B5723A" w:rsidP="009E06DB">
      <w:pPr>
        <w:spacing w:after="0" w:line="240" w:lineRule="auto"/>
        <w:ind w:left="4395" w:hanging="426"/>
        <w:jc w:val="both"/>
        <w:rPr>
          <w:rFonts w:ascii="Arial" w:eastAsia="Calibri" w:hAnsi="Arial" w:cs="Arial"/>
          <w:lang w:val="es-ES"/>
        </w:rPr>
      </w:pPr>
      <w:r w:rsidRPr="00B5723A">
        <w:rPr>
          <w:rFonts w:ascii="Arial" w:eastAsia="Calibri" w:hAnsi="Arial" w:cs="Arial"/>
          <w:lang w:val="es-ES"/>
        </w:rPr>
        <w:t xml:space="preserve">b) </w:t>
      </w:r>
      <w:r w:rsidR="009E06DB">
        <w:rPr>
          <w:rFonts w:ascii="Arial" w:eastAsia="Calibri" w:hAnsi="Arial" w:cs="Arial"/>
          <w:lang w:val="es-ES"/>
        </w:rPr>
        <w:tab/>
      </w:r>
      <w:r w:rsidRPr="00B5723A">
        <w:rPr>
          <w:rFonts w:ascii="Arial" w:eastAsia="Calibri" w:hAnsi="Arial" w:cs="Arial"/>
          <w:lang w:val="es-ES"/>
        </w:rPr>
        <w:t>Se sube a la estación total el listado de puntos con su respectiva coordenada a replantear</w:t>
      </w:r>
    </w:p>
    <w:p w:rsidR="00B5723A" w:rsidRPr="00B5723A" w:rsidRDefault="00B5723A" w:rsidP="009E06DB">
      <w:pPr>
        <w:spacing w:after="0" w:line="240" w:lineRule="auto"/>
        <w:ind w:left="4395" w:hanging="426"/>
        <w:jc w:val="both"/>
        <w:rPr>
          <w:rFonts w:ascii="Arial" w:eastAsia="Calibri" w:hAnsi="Arial" w:cs="Arial"/>
          <w:lang w:val="es-ES"/>
        </w:rPr>
      </w:pPr>
    </w:p>
    <w:p w:rsidR="00B5723A" w:rsidRPr="00B5723A" w:rsidRDefault="00B5723A" w:rsidP="009E06DB">
      <w:pPr>
        <w:spacing w:after="0" w:line="240" w:lineRule="auto"/>
        <w:ind w:left="4395" w:hanging="426"/>
        <w:jc w:val="both"/>
        <w:rPr>
          <w:rFonts w:ascii="Arial" w:eastAsia="Calibri" w:hAnsi="Arial" w:cs="Arial"/>
          <w:lang w:val="es-ES"/>
        </w:rPr>
      </w:pPr>
      <w:r w:rsidRPr="00B5723A">
        <w:rPr>
          <w:rFonts w:ascii="Arial" w:eastAsia="Calibri" w:hAnsi="Arial" w:cs="Arial"/>
          <w:lang w:val="es-ES"/>
        </w:rPr>
        <w:t xml:space="preserve">c) </w:t>
      </w:r>
      <w:r w:rsidR="009E06DB">
        <w:rPr>
          <w:rFonts w:ascii="Arial" w:eastAsia="Calibri" w:hAnsi="Arial" w:cs="Arial"/>
          <w:lang w:val="es-ES"/>
        </w:rPr>
        <w:tab/>
      </w:r>
      <w:r w:rsidRPr="00B5723A">
        <w:rPr>
          <w:rFonts w:ascii="Arial" w:eastAsia="Calibri" w:hAnsi="Arial" w:cs="Arial"/>
          <w:lang w:val="es-ES"/>
        </w:rPr>
        <w:t>Se coloca la estación total centrada y nivelada con respecto al punto geodésico establecido y un prisma sobre la otra marca conocida que servirá de referencia.</w:t>
      </w:r>
    </w:p>
    <w:p w:rsidR="00B5723A" w:rsidRPr="00B5723A" w:rsidRDefault="00B5723A" w:rsidP="009E06DB">
      <w:pPr>
        <w:spacing w:after="0" w:line="240" w:lineRule="auto"/>
        <w:ind w:left="4395" w:hanging="426"/>
        <w:jc w:val="both"/>
        <w:rPr>
          <w:rFonts w:ascii="Arial" w:eastAsia="Calibri" w:hAnsi="Arial" w:cs="Arial"/>
          <w:lang w:val="es-ES"/>
        </w:rPr>
      </w:pPr>
    </w:p>
    <w:p w:rsidR="00B5723A" w:rsidRPr="00B5723A" w:rsidRDefault="00B5723A" w:rsidP="009E06DB">
      <w:pPr>
        <w:spacing w:after="0" w:line="240" w:lineRule="auto"/>
        <w:ind w:left="4395" w:hanging="426"/>
        <w:jc w:val="both"/>
        <w:rPr>
          <w:rFonts w:ascii="Arial" w:eastAsia="Calibri" w:hAnsi="Arial" w:cs="Arial"/>
          <w:lang w:val="es-ES"/>
        </w:rPr>
      </w:pPr>
      <w:r w:rsidRPr="00B5723A">
        <w:rPr>
          <w:rFonts w:ascii="Arial" w:eastAsia="Calibri" w:hAnsi="Arial" w:cs="Arial"/>
          <w:lang w:val="es-ES"/>
        </w:rPr>
        <w:t xml:space="preserve">d) </w:t>
      </w:r>
      <w:r w:rsidR="009E06DB">
        <w:rPr>
          <w:rFonts w:ascii="Arial" w:eastAsia="Calibri" w:hAnsi="Arial" w:cs="Arial"/>
          <w:lang w:val="es-ES"/>
        </w:rPr>
        <w:tab/>
      </w:r>
      <w:r w:rsidRPr="00B5723A">
        <w:rPr>
          <w:rFonts w:ascii="Arial" w:eastAsia="Calibri" w:hAnsi="Arial" w:cs="Arial"/>
          <w:lang w:val="es-ES"/>
        </w:rPr>
        <w:t>Se crea un archivo nuevo de trabajo y se configura el equipo para trabajar el levantamiento, ingresando las coordenadas del punto geodésico donde está ubicada la estación total, tornando lectura del otro punto como referencia.</w:t>
      </w:r>
    </w:p>
    <w:p w:rsidR="00B5723A" w:rsidRPr="00B5723A" w:rsidRDefault="00B5723A" w:rsidP="009E06DB">
      <w:pPr>
        <w:spacing w:after="0" w:line="240" w:lineRule="auto"/>
        <w:ind w:left="4395" w:hanging="426"/>
        <w:jc w:val="both"/>
        <w:rPr>
          <w:rFonts w:ascii="Arial" w:eastAsia="Calibri" w:hAnsi="Arial" w:cs="Arial"/>
          <w:lang w:val="es-ES"/>
        </w:rPr>
      </w:pPr>
    </w:p>
    <w:p w:rsidR="00B5723A" w:rsidRPr="00B5723A" w:rsidRDefault="00B5723A" w:rsidP="009E06DB">
      <w:pPr>
        <w:spacing w:after="0" w:line="240" w:lineRule="auto"/>
        <w:ind w:left="4395" w:hanging="426"/>
        <w:jc w:val="both"/>
        <w:rPr>
          <w:rFonts w:ascii="Arial" w:eastAsia="Calibri" w:hAnsi="Arial" w:cs="Arial"/>
          <w:lang w:val="es-ES"/>
        </w:rPr>
      </w:pPr>
      <w:r w:rsidRPr="00B5723A">
        <w:rPr>
          <w:rFonts w:ascii="Arial" w:eastAsia="Calibri" w:hAnsi="Arial" w:cs="Arial"/>
          <w:lang w:val="es-ES"/>
        </w:rPr>
        <w:t xml:space="preserve">e) </w:t>
      </w:r>
      <w:r w:rsidR="009E06DB">
        <w:rPr>
          <w:rFonts w:ascii="Arial" w:eastAsia="Calibri" w:hAnsi="Arial" w:cs="Arial"/>
          <w:lang w:val="es-ES"/>
        </w:rPr>
        <w:tab/>
      </w:r>
      <w:r w:rsidRPr="00B5723A">
        <w:rPr>
          <w:rFonts w:ascii="Arial" w:eastAsia="Calibri" w:hAnsi="Arial" w:cs="Arial"/>
          <w:lang w:val="es-ES"/>
        </w:rPr>
        <w:t>Se busca en el equipo la función de datos de replanteo, seleccionando el código del primer punto a replantear.</w:t>
      </w:r>
    </w:p>
    <w:p w:rsidR="00B5723A" w:rsidRPr="00B5723A" w:rsidRDefault="00B5723A" w:rsidP="009E06DB">
      <w:pPr>
        <w:spacing w:after="0" w:line="240" w:lineRule="auto"/>
        <w:ind w:left="4395" w:hanging="426"/>
        <w:jc w:val="both"/>
        <w:rPr>
          <w:rFonts w:ascii="Arial" w:eastAsia="Calibri" w:hAnsi="Arial" w:cs="Arial"/>
          <w:lang w:val="es-ES"/>
        </w:rPr>
      </w:pPr>
    </w:p>
    <w:p w:rsidR="00B5723A" w:rsidRPr="00B5723A" w:rsidRDefault="00B5723A" w:rsidP="009E06DB">
      <w:pPr>
        <w:spacing w:after="0" w:line="240" w:lineRule="auto"/>
        <w:ind w:left="4395" w:hanging="426"/>
        <w:jc w:val="both"/>
        <w:rPr>
          <w:rFonts w:ascii="Arial" w:eastAsia="Calibri" w:hAnsi="Arial" w:cs="Arial"/>
          <w:lang w:val="es-ES"/>
        </w:rPr>
      </w:pPr>
      <w:r w:rsidRPr="00B5723A">
        <w:rPr>
          <w:rFonts w:ascii="Arial" w:eastAsia="Calibri" w:hAnsi="Arial" w:cs="Arial"/>
          <w:lang w:val="es-ES"/>
        </w:rPr>
        <w:t xml:space="preserve">f) </w:t>
      </w:r>
      <w:r w:rsidR="009E06DB">
        <w:rPr>
          <w:rFonts w:ascii="Arial" w:eastAsia="Calibri" w:hAnsi="Arial" w:cs="Arial"/>
          <w:lang w:val="es-ES"/>
        </w:rPr>
        <w:tab/>
      </w:r>
      <w:r w:rsidRPr="00B5723A">
        <w:rPr>
          <w:rFonts w:ascii="Arial" w:eastAsia="Calibri" w:hAnsi="Arial" w:cs="Arial"/>
          <w:lang w:val="es-ES"/>
        </w:rPr>
        <w:t>Se coloca el prisma en un punto arbitrario sobre el terreno y se apunta la visual al prisma tomando lectura con la estación total, generando un ángulo izquierdo o derecho y una distancia radial de replanteo.</w:t>
      </w:r>
    </w:p>
    <w:p w:rsidR="00B5723A" w:rsidRPr="00B5723A" w:rsidRDefault="00B5723A" w:rsidP="009E06DB">
      <w:pPr>
        <w:spacing w:after="0" w:line="240" w:lineRule="auto"/>
        <w:ind w:left="4395" w:hanging="426"/>
        <w:jc w:val="both"/>
        <w:rPr>
          <w:rFonts w:ascii="Arial" w:eastAsia="Calibri" w:hAnsi="Arial" w:cs="Arial"/>
          <w:lang w:val="es-ES"/>
        </w:rPr>
      </w:pPr>
    </w:p>
    <w:p w:rsidR="00B5723A" w:rsidRPr="00B5723A" w:rsidRDefault="00B5723A" w:rsidP="009E06DB">
      <w:pPr>
        <w:spacing w:after="0" w:line="240" w:lineRule="auto"/>
        <w:ind w:left="4395" w:hanging="426"/>
        <w:jc w:val="both"/>
        <w:rPr>
          <w:rFonts w:ascii="Arial" w:eastAsia="Calibri" w:hAnsi="Arial" w:cs="Arial"/>
          <w:lang w:val="es-ES"/>
        </w:rPr>
      </w:pPr>
      <w:r w:rsidRPr="00B5723A">
        <w:rPr>
          <w:rFonts w:ascii="Arial" w:eastAsia="Calibri" w:hAnsi="Arial" w:cs="Arial"/>
          <w:lang w:val="es-ES"/>
        </w:rPr>
        <w:t xml:space="preserve">g) </w:t>
      </w:r>
      <w:r w:rsidR="009E06DB">
        <w:rPr>
          <w:rFonts w:ascii="Arial" w:eastAsia="Calibri" w:hAnsi="Arial" w:cs="Arial"/>
          <w:lang w:val="es-ES"/>
        </w:rPr>
        <w:tab/>
      </w:r>
      <w:r w:rsidRPr="00B5723A">
        <w:rPr>
          <w:rFonts w:ascii="Arial" w:eastAsia="Calibri" w:hAnsi="Arial" w:cs="Arial"/>
          <w:lang w:val="es-ES"/>
        </w:rPr>
        <w:t>Se gira la estación a un ángulo horizontal hasta llegar a un punto adecuado; definido el punto se colocará un hito monumentado (concreto, estaca de madera, varilla de fierro, etc.)</w:t>
      </w:r>
    </w:p>
    <w:p w:rsidR="00B5723A" w:rsidRPr="00B5723A" w:rsidRDefault="00B5723A" w:rsidP="00B5723A">
      <w:pPr>
        <w:spacing w:after="0" w:line="240" w:lineRule="auto"/>
        <w:jc w:val="both"/>
        <w:rPr>
          <w:rFonts w:ascii="Arial" w:eastAsia="Calibri" w:hAnsi="Arial" w:cs="Arial"/>
          <w:lang w:val="es-ES"/>
        </w:rPr>
      </w:pPr>
    </w:p>
    <w:p w:rsidR="00B5723A" w:rsidRPr="009E06DB" w:rsidRDefault="00B5723A" w:rsidP="009E06DB">
      <w:pPr>
        <w:spacing w:after="0" w:line="240" w:lineRule="auto"/>
        <w:ind w:left="3686"/>
        <w:jc w:val="both"/>
        <w:rPr>
          <w:rFonts w:ascii="Arial" w:eastAsia="Calibri" w:hAnsi="Arial" w:cs="Arial"/>
          <w:b/>
          <w:lang w:val="es-ES"/>
        </w:rPr>
      </w:pPr>
      <w:r w:rsidRPr="009E06DB">
        <w:rPr>
          <w:rFonts w:ascii="Arial" w:eastAsia="Calibri" w:hAnsi="Arial" w:cs="Arial"/>
          <w:b/>
          <w:lang w:val="es-ES"/>
        </w:rPr>
        <w:tab/>
        <w:t>5. SUPERVISIÓN</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9E06DB">
      <w:pPr>
        <w:spacing w:after="0" w:line="240" w:lineRule="auto"/>
        <w:ind w:left="4536"/>
        <w:jc w:val="both"/>
        <w:rPr>
          <w:rFonts w:ascii="Arial" w:eastAsia="Calibri" w:hAnsi="Arial" w:cs="Arial"/>
          <w:lang w:val="es-ES"/>
        </w:rPr>
      </w:pPr>
      <w:r w:rsidRPr="00B5723A">
        <w:rPr>
          <w:rFonts w:ascii="Arial" w:eastAsia="Calibri" w:hAnsi="Arial" w:cs="Arial"/>
          <w:lang w:val="es-ES"/>
        </w:rPr>
        <w:t>Etapa a cargo de la unidad orgánica encargada de la entidad.</w:t>
      </w:r>
    </w:p>
    <w:p w:rsidR="00B5723A" w:rsidRPr="00B5723A" w:rsidRDefault="00B5723A" w:rsidP="009E06DB">
      <w:pPr>
        <w:spacing w:after="0" w:line="240" w:lineRule="auto"/>
        <w:ind w:left="4536"/>
        <w:jc w:val="both"/>
        <w:rPr>
          <w:rFonts w:ascii="Arial" w:eastAsia="Calibri" w:hAnsi="Arial" w:cs="Arial"/>
          <w:lang w:val="es-ES"/>
        </w:rPr>
      </w:pPr>
    </w:p>
    <w:p w:rsidR="00B5723A" w:rsidRPr="00B5723A" w:rsidRDefault="00B5723A" w:rsidP="009E06DB">
      <w:pPr>
        <w:spacing w:after="0" w:line="240" w:lineRule="auto"/>
        <w:ind w:left="4536"/>
        <w:jc w:val="both"/>
        <w:rPr>
          <w:rFonts w:ascii="Arial" w:eastAsia="Calibri" w:hAnsi="Arial" w:cs="Arial"/>
          <w:lang w:val="es-ES"/>
        </w:rPr>
      </w:pPr>
      <w:r w:rsidRPr="00B5723A">
        <w:rPr>
          <w:rFonts w:ascii="Arial" w:eastAsia="Calibri" w:hAnsi="Arial" w:cs="Arial"/>
          <w:lang w:val="es-ES"/>
        </w:rPr>
        <w:t>Se inicia con la recepción del Plano Topográfico en formato digital, que es remitido de forma oficial.</w:t>
      </w:r>
    </w:p>
    <w:p w:rsidR="00B5723A" w:rsidRPr="00B5723A" w:rsidRDefault="00B5723A" w:rsidP="009E06DB">
      <w:pPr>
        <w:spacing w:after="0" w:line="240" w:lineRule="auto"/>
        <w:ind w:left="4536"/>
        <w:jc w:val="both"/>
        <w:rPr>
          <w:rFonts w:ascii="Arial" w:eastAsia="Calibri" w:hAnsi="Arial" w:cs="Arial"/>
          <w:lang w:val="es-ES"/>
        </w:rPr>
      </w:pPr>
    </w:p>
    <w:p w:rsidR="00B5723A" w:rsidRPr="00B5723A" w:rsidRDefault="00B5723A" w:rsidP="009E06DB">
      <w:pPr>
        <w:spacing w:after="0" w:line="240" w:lineRule="auto"/>
        <w:ind w:left="4536"/>
        <w:jc w:val="both"/>
        <w:rPr>
          <w:rFonts w:ascii="Arial" w:eastAsia="Calibri" w:hAnsi="Arial" w:cs="Arial"/>
          <w:lang w:val="es-ES"/>
        </w:rPr>
      </w:pPr>
      <w:r w:rsidRPr="00B5723A">
        <w:rPr>
          <w:rFonts w:ascii="Arial" w:eastAsia="Calibri" w:hAnsi="Arial" w:cs="Arial"/>
          <w:lang w:val="es-ES"/>
        </w:rPr>
        <w:t>De ser necesario, se efectúa la verificación en campo con los trabajos de verificación en gabinete y campo. Luego, se elabora un Informe Técnico de Supervisión dando conformidad al levantamiento topográfico, haciendo las observaciones correspondientes.</w:t>
      </w:r>
    </w:p>
    <w:p w:rsidR="00B5723A" w:rsidRPr="00B5723A" w:rsidRDefault="00B5723A" w:rsidP="009E06DB">
      <w:pPr>
        <w:spacing w:after="0" w:line="240" w:lineRule="auto"/>
        <w:ind w:left="4536"/>
        <w:jc w:val="both"/>
        <w:rPr>
          <w:rFonts w:ascii="Arial" w:eastAsia="Calibri" w:hAnsi="Arial" w:cs="Arial"/>
          <w:lang w:val="es-ES"/>
        </w:rPr>
      </w:pPr>
    </w:p>
    <w:p w:rsidR="00B5723A" w:rsidRPr="00B5723A" w:rsidRDefault="00B5723A" w:rsidP="009E06DB">
      <w:pPr>
        <w:spacing w:after="0" w:line="240" w:lineRule="auto"/>
        <w:ind w:left="4536"/>
        <w:jc w:val="both"/>
        <w:rPr>
          <w:rFonts w:ascii="Arial" w:eastAsia="Calibri" w:hAnsi="Arial" w:cs="Arial"/>
          <w:lang w:val="es-ES"/>
        </w:rPr>
      </w:pPr>
      <w:r w:rsidRPr="00B5723A">
        <w:rPr>
          <w:rFonts w:ascii="Arial" w:eastAsia="Calibri" w:hAnsi="Arial" w:cs="Arial"/>
          <w:lang w:val="es-ES"/>
        </w:rPr>
        <w:t>El informe de supervisión es puesto de conocimiento de la unidad orgánica de la entidad que ejecutó el levantamiento.</w:t>
      </w:r>
    </w:p>
    <w:p w:rsidR="00B5723A" w:rsidRPr="00B5723A" w:rsidRDefault="00B5723A" w:rsidP="00B5723A">
      <w:pPr>
        <w:spacing w:after="0" w:line="240" w:lineRule="auto"/>
        <w:jc w:val="both"/>
        <w:rPr>
          <w:rFonts w:ascii="Arial" w:eastAsia="Calibri" w:hAnsi="Arial" w:cs="Arial"/>
          <w:lang w:val="es-ES"/>
        </w:rPr>
      </w:pPr>
    </w:p>
    <w:p w:rsidR="00B5723A" w:rsidRPr="00FF09FC" w:rsidRDefault="00B5723A" w:rsidP="00B5723A">
      <w:pPr>
        <w:spacing w:after="0" w:line="240" w:lineRule="auto"/>
        <w:jc w:val="both"/>
        <w:rPr>
          <w:rFonts w:ascii="Arial" w:eastAsia="Calibri" w:hAnsi="Arial" w:cs="Arial"/>
          <w:b/>
          <w:lang w:val="es-ES"/>
        </w:rPr>
      </w:pPr>
      <w:r w:rsidRPr="00B5723A">
        <w:rPr>
          <w:rFonts w:ascii="Arial" w:eastAsia="Calibri" w:hAnsi="Arial" w:cs="Arial"/>
          <w:lang w:val="es-ES"/>
        </w:rPr>
        <w:tab/>
      </w:r>
      <w:r w:rsidRPr="00FF09FC">
        <w:rPr>
          <w:rFonts w:ascii="Arial" w:eastAsia="Calibri" w:hAnsi="Arial" w:cs="Arial"/>
          <w:b/>
          <w:lang w:val="es-ES"/>
        </w:rPr>
        <w:t>7.2 ELABORACIÓN DE PLANOS</w:t>
      </w:r>
    </w:p>
    <w:p w:rsidR="00B5723A" w:rsidRPr="00B5723A" w:rsidRDefault="00B5723A" w:rsidP="00B5723A">
      <w:pPr>
        <w:spacing w:after="0" w:line="240" w:lineRule="auto"/>
        <w:jc w:val="both"/>
        <w:rPr>
          <w:rFonts w:ascii="Arial" w:eastAsia="Calibri" w:hAnsi="Arial" w:cs="Arial"/>
          <w:lang w:val="es-ES"/>
        </w:rPr>
      </w:pPr>
    </w:p>
    <w:p w:rsidR="00B5723A" w:rsidRPr="00FF09FC" w:rsidRDefault="00FF09FC" w:rsidP="00FF09FC">
      <w:pPr>
        <w:spacing w:after="0" w:line="240" w:lineRule="auto"/>
        <w:ind w:left="993"/>
        <w:jc w:val="both"/>
        <w:rPr>
          <w:rFonts w:ascii="Arial" w:eastAsia="Calibri" w:hAnsi="Arial" w:cs="Arial"/>
          <w:b/>
          <w:lang w:val="es-ES"/>
        </w:rPr>
      </w:pPr>
      <w:r>
        <w:rPr>
          <w:rFonts w:ascii="Arial" w:eastAsia="Calibri" w:hAnsi="Arial" w:cs="Arial"/>
          <w:b/>
          <w:lang w:val="es-ES"/>
        </w:rPr>
        <w:tab/>
      </w:r>
      <w:r w:rsidR="00B5723A" w:rsidRPr="00FF09FC">
        <w:rPr>
          <w:rFonts w:ascii="Arial" w:eastAsia="Calibri" w:hAnsi="Arial" w:cs="Arial"/>
          <w:b/>
          <w:lang w:val="es-ES"/>
        </w:rPr>
        <w:t>7.2.1 POR EL MÉTODO FOTOGRAMÉTRICO</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FF09FC">
      <w:pPr>
        <w:spacing w:after="0" w:line="240" w:lineRule="auto"/>
        <w:ind w:left="1985"/>
        <w:jc w:val="both"/>
        <w:rPr>
          <w:rFonts w:ascii="Arial" w:eastAsia="Calibri" w:hAnsi="Arial" w:cs="Arial"/>
          <w:lang w:val="es-ES"/>
        </w:rPr>
      </w:pPr>
      <w:r w:rsidRPr="00B5723A">
        <w:rPr>
          <w:rFonts w:ascii="Arial" w:eastAsia="Calibri" w:hAnsi="Arial" w:cs="Arial"/>
          <w:lang w:val="es-ES"/>
        </w:rPr>
        <w:t>Es ejecutada por los profesionales de la unidad orgánica correspondiente, una vez recibidas las vistas fotográficas (ortofotos) linderadas y la base de datos de las fichas catastrales de los inmuebles.</w:t>
      </w:r>
    </w:p>
    <w:p w:rsidR="00B5723A" w:rsidRPr="00B5723A" w:rsidRDefault="00B5723A" w:rsidP="00FF09FC">
      <w:pPr>
        <w:spacing w:after="0" w:line="240" w:lineRule="auto"/>
        <w:ind w:left="1985"/>
        <w:jc w:val="both"/>
        <w:rPr>
          <w:rFonts w:ascii="Arial" w:eastAsia="Calibri" w:hAnsi="Arial" w:cs="Arial"/>
          <w:lang w:val="es-ES"/>
        </w:rPr>
      </w:pPr>
    </w:p>
    <w:p w:rsidR="00B5723A" w:rsidRPr="00B5723A" w:rsidRDefault="00B5723A" w:rsidP="00FF09FC">
      <w:pPr>
        <w:spacing w:after="0" w:line="240" w:lineRule="auto"/>
        <w:ind w:left="1985"/>
        <w:jc w:val="both"/>
        <w:rPr>
          <w:rFonts w:ascii="Arial" w:eastAsia="Calibri" w:hAnsi="Arial" w:cs="Arial"/>
          <w:lang w:val="es-ES"/>
        </w:rPr>
      </w:pPr>
      <w:r w:rsidRPr="00B5723A">
        <w:rPr>
          <w:rFonts w:ascii="Arial" w:eastAsia="Calibri" w:hAnsi="Arial" w:cs="Arial"/>
          <w:lang w:val="es-ES"/>
        </w:rPr>
        <w:t>Para la elaboración de los planos, se siguen los siguientes procesos:</w:t>
      </w:r>
    </w:p>
    <w:p w:rsidR="00B5723A" w:rsidRPr="00B5723A" w:rsidRDefault="00B5723A" w:rsidP="00B5723A">
      <w:pPr>
        <w:spacing w:after="0" w:line="240" w:lineRule="auto"/>
        <w:jc w:val="both"/>
        <w:rPr>
          <w:rFonts w:ascii="Arial" w:eastAsia="Calibri" w:hAnsi="Arial" w:cs="Arial"/>
          <w:lang w:val="es-ES"/>
        </w:rPr>
      </w:pPr>
    </w:p>
    <w:p w:rsidR="00B5723A" w:rsidRPr="00FF09FC" w:rsidRDefault="00B5723A" w:rsidP="00FF09FC">
      <w:pPr>
        <w:spacing w:after="0" w:line="240" w:lineRule="auto"/>
        <w:ind w:left="1843"/>
        <w:jc w:val="both"/>
        <w:rPr>
          <w:rFonts w:ascii="Arial" w:eastAsia="Calibri" w:hAnsi="Arial" w:cs="Arial"/>
          <w:b/>
          <w:lang w:val="es-ES"/>
        </w:rPr>
      </w:pPr>
      <w:r w:rsidRPr="00B5723A">
        <w:rPr>
          <w:rFonts w:ascii="Arial" w:eastAsia="Calibri" w:hAnsi="Arial" w:cs="Arial"/>
          <w:lang w:val="es-ES"/>
        </w:rPr>
        <w:tab/>
      </w:r>
      <w:r w:rsidRPr="00FF09FC">
        <w:rPr>
          <w:rFonts w:ascii="Arial" w:eastAsia="Calibri" w:hAnsi="Arial" w:cs="Arial"/>
          <w:b/>
          <w:lang w:val="es-ES"/>
        </w:rPr>
        <w:t>7.2.1.1 De las ortofotos y elaboración de la base gráfica</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FF09FC">
      <w:pPr>
        <w:spacing w:after="0" w:line="240" w:lineRule="auto"/>
        <w:ind w:left="2977"/>
        <w:jc w:val="both"/>
        <w:rPr>
          <w:rFonts w:ascii="Arial" w:eastAsia="Calibri" w:hAnsi="Arial" w:cs="Arial"/>
          <w:lang w:val="es-ES"/>
        </w:rPr>
      </w:pPr>
      <w:r w:rsidRPr="00B5723A">
        <w:rPr>
          <w:rFonts w:ascii="Arial" w:eastAsia="Calibri" w:hAnsi="Arial" w:cs="Arial"/>
          <w:lang w:val="es-ES"/>
        </w:rPr>
        <w:t>Concluido el trabajo de campo en base a las ortofotos, se procede a la vectorización de los linderos, de lo cual se obtiene la base gráfica.</w:t>
      </w:r>
    </w:p>
    <w:p w:rsidR="00B5723A" w:rsidRPr="00B5723A" w:rsidRDefault="00B5723A" w:rsidP="00B5723A">
      <w:pPr>
        <w:spacing w:after="0" w:line="240" w:lineRule="auto"/>
        <w:jc w:val="both"/>
        <w:rPr>
          <w:rFonts w:ascii="Arial" w:eastAsia="Calibri" w:hAnsi="Arial" w:cs="Arial"/>
          <w:lang w:val="es-ES"/>
        </w:rPr>
      </w:pPr>
    </w:p>
    <w:p w:rsidR="00B5723A" w:rsidRPr="00FF09FC" w:rsidRDefault="00B5723A" w:rsidP="00FF09FC">
      <w:pPr>
        <w:spacing w:after="0" w:line="240" w:lineRule="auto"/>
        <w:ind w:left="2127"/>
        <w:jc w:val="both"/>
        <w:rPr>
          <w:rFonts w:ascii="Arial" w:eastAsia="Calibri" w:hAnsi="Arial" w:cs="Arial"/>
          <w:b/>
          <w:lang w:val="es-ES"/>
        </w:rPr>
      </w:pPr>
      <w:r w:rsidRPr="00FF09FC">
        <w:rPr>
          <w:rFonts w:ascii="Arial" w:eastAsia="Calibri" w:hAnsi="Arial" w:cs="Arial"/>
          <w:b/>
          <w:lang w:val="es-ES"/>
        </w:rPr>
        <w:t>7.2.1.2 Vinculación</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FF09FC">
      <w:pPr>
        <w:spacing w:after="0" w:line="240" w:lineRule="auto"/>
        <w:ind w:left="2977"/>
        <w:jc w:val="both"/>
        <w:rPr>
          <w:rFonts w:ascii="Arial" w:eastAsia="Calibri" w:hAnsi="Arial" w:cs="Arial"/>
          <w:lang w:val="es-ES"/>
        </w:rPr>
      </w:pPr>
      <w:r w:rsidRPr="00B5723A">
        <w:rPr>
          <w:rFonts w:ascii="Arial" w:eastAsia="Calibri" w:hAnsi="Arial" w:cs="Arial"/>
          <w:lang w:val="es-ES"/>
        </w:rPr>
        <w:t>Consiste en la unión de la base gráfica obtenida de la linderación y la base alfanumérica obtenida como consecuencia de la digitación de las fichas catastrales de los inmuebles.</w:t>
      </w:r>
    </w:p>
    <w:p w:rsidR="00B5723A" w:rsidRPr="00B5723A" w:rsidRDefault="00B5723A" w:rsidP="00FF09FC">
      <w:pPr>
        <w:spacing w:after="0" w:line="240" w:lineRule="auto"/>
        <w:ind w:left="2977"/>
        <w:jc w:val="both"/>
        <w:rPr>
          <w:rFonts w:ascii="Arial" w:eastAsia="Calibri" w:hAnsi="Arial" w:cs="Arial"/>
          <w:lang w:val="es-ES"/>
        </w:rPr>
      </w:pPr>
    </w:p>
    <w:p w:rsidR="00B5723A" w:rsidRPr="00B5723A" w:rsidRDefault="00B5723A" w:rsidP="00FF09FC">
      <w:pPr>
        <w:spacing w:after="0" w:line="240" w:lineRule="auto"/>
        <w:ind w:left="2977"/>
        <w:jc w:val="both"/>
        <w:rPr>
          <w:rFonts w:ascii="Arial" w:eastAsia="Calibri" w:hAnsi="Arial" w:cs="Arial"/>
          <w:lang w:val="es-ES"/>
        </w:rPr>
      </w:pPr>
      <w:r w:rsidRPr="00B5723A">
        <w:rPr>
          <w:rFonts w:ascii="Arial" w:eastAsia="Calibri" w:hAnsi="Arial" w:cs="Arial"/>
          <w:lang w:val="es-ES"/>
        </w:rPr>
        <w:t>Esta vinculación se realiza a través del CUS y se obtiene como resultado, la “Base de Datos Catastrales de Inmuebles Estatales”, de la cual se generan los planos, padrones, además de reportes y con información adicional, los Mapas Temáticos.</w:t>
      </w:r>
    </w:p>
    <w:p w:rsidR="00B5723A" w:rsidRPr="00B5723A" w:rsidRDefault="00B5723A" w:rsidP="00B5723A">
      <w:pPr>
        <w:spacing w:after="0" w:line="240" w:lineRule="auto"/>
        <w:jc w:val="both"/>
        <w:rPr>
          <w:rFonts w:ascii="Arial" w:eastAsia="Calibri" w:hAnsi="Arial" w:cs="Arial"/>
          <w:lang w:val="es-ES"/>
        </w:rPr>
      </w:pPr>
    </w:p>
    <w:p w:rsidR="00B5723A" w:rsidRPr="00FF09FC" w:rsidRDefault="00B5723A" w:rsidP="00FF09FC">
      <w:pPr>
        <w:spacing w:after="0" w:line="240" w:lineRule="auto"/>
        <w:ind w:left="1418"/>
        <w:jc w:val="both"/>
        <w:rPr>
          <w:rFonts w:ascii="Arial" w:eastAsia="Calibri" w:hAnsi="Arial" w:cs="Arial"/>
          <w:b/>
          <w:lang w:val="es-ES"/>
        </w:rPr>
      </w:pPr>
      <w:r w:rsidRPr="00B5723A">
        <w:rPr>
          <w:rFonts w:ascii="Arial" w:eastAsia="Calibri" w:hAnsi="Arial" w:cs="Arial"/>
          <w:lang w:val="es-ES"/>
        </w:rPr>
        <w:tab/>
      </w:r>
      <w:r w:rsidRPr="00FF09FC">
        <w:rPr>
          <w:rFonts w:ascii="Arial" w:eastAsia="Calibri" w:hAnsi="Arial" w:cs="Arial"/>
          <w:b/>
          <w:lang w:val="es-ES"/>
        </w:rPr>
        <w:t>7.2.2 POR EL MÉTODO DIRECTO (GNSS submétrico)</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FF09FC">
      <w:pPr>
        <w:spacing w:after="0" w:line="240" w:lineRule="auto"/>
        <w:ind w:left="2694"/>
        <w:jc w:val="both"/>
        <w:rPr>
          <w:rFonts w:ascii="Arial" w:eastAsia="Calibri" w:hAnsi="Arial" w:cs="Arial"/>
          <w:lang w:val="es-ES"/>
        </w:rPr>
      </w:pPr>
      <w:r w:rsidRPr="00B5723A">
        <w:rPr>
          <w:rFonts w:ascii="Arial" w:eastAsia="Calibri" w:hAnsi="Arial" w:cs="Arial"/>
          <w:lang w:val="es-ES"/>
        </w:rPr>
        <w:t>Es ejecutado directamente por los técnicos catastrales una vez se efectúe el post procesamiento, pre edición y edición de la información, para que pueda ser incorporada a la base gráfica.</w:t>
      </w:r>
    </w:p>
    <w:p w:rsidR="00B5723A" w:rsidRPr="00B5723A" w:rsidRDefault="00B5723A" w:rsidP="00FF09FC">
      <w:pPr>
        <w:spacing w:after="0" w:line="240" w:lineRule="auto"/>
        <w:ind w:left="2694"/>
        <w:jc w:val="both"/>
        <w:rPr>
          <w:rFonts w:ascii="Arial" w:eastAsia="Calibri" w:hAnsi="Arial" w:cs="Arial"/>
          <w:lang w:val="es-ES"/>
        </w:rPr>
      </w:pPr>
    </w:p>
    <w:p w:rsidR="00B5723A" w:rsidRPr="00B5723A" w:rsidRDefault="00B5723A" w:rsidP="00FF09FC">
      <w:pPr>
        <w:spacing w:after="0" w:line="240" w:lineRule="auto"/>
        <w:ind w:left="2694"/>
        <w:jc w:val="both"/>
        <w:rPr>
          <w:rFonts w:ascii="Arial" w:eastAsia="Calibri" w:hAnsi="Arial" w:cs="Arial"/>
          <w:lang w:val="es-ES"/>
        </w:rPr>
      </w:pPr>
      <w:r w:rsidRPr="00B5723A">
        <w:rPr>
          <w:rFonts w:ascii="Arial" w:eastAsia="Calibri" w:hAnsi="Arial" w:cs="Arial"/>
          <w:lang w:val="es-ES"/>
        </w:rPr>
        <w:t>Para la elaboración de los planos, se siguen los siguientes procesos:</w:t>
      </w:r>
    </w:p>
    <w:p w:rsidR="00B5723A" w:rsidRPr="00B5723A" w:rsidRDefault="00B5723A" w:rsidP="00B5723A">
      <w:pPr>
        <w:spacing w:after="0" w:line="240" w:lineRule="auto"/>
        <w:jc w:val="both"/>
        <w:rPr>
          <w:rFonts w:ascii="Arial" w:eastAsia="Calibri" w:hAnsi="Arial" w:cs="Arial"/>
          <w:lang w:val="es-ES"/>
        </w:rPr>
      </w:pPr>
    </w:p>
    <w:p w:rsidR="00B5723A" w:rsidRPr="00FF09FC" w:rsidRDefault="00B5723A" w:rsidP="00FF09FC">
      <w:pPr>
        <w:spacing w:after="0" w:line="240" w:lineRule="auto"/>
        <w:ind w:left="2694"/>
        <w:jc w:val="both"/>
        <w:rPr>
          <w:rFonts w:ascii="Arial" w:eastAsia="Calibri" w:hAnsi="Arial" w:cs="Arial"/>
          <w:b/>
          <w:lang w:val="es-ES"/>
        </w:rPr>
      </w:pPr>
      <w:r w:rsidRPr="00FF09FC">
        <w:rPr>
          <w:rFonts w:ascii="Arial" w:eastAsia="Calibri" w:hAnsi="Arial" w:cs="Arial"/>
          <w:b/>
          <w:lang w:val="es-ES"/>
        </w:rPr>
        <w:t>7.2.2.1 Diseño y edición del plano catastral</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C37F2B">
      <w:pPr>
        <w:spacing w:after="0" w:line="240" w:lineRule="auto"/>
        <w:ind w:left="3402"/>
        <w:jc w:val="both"/>
        <w:rPr>
          <w:rFonts w:ascii="Arial" w:eastAsia="Calibri" w:hAnsi="Arial" w:cs="Arial"/>
          <w:lang w:val="es-ES"/>
        </w:rPr>
      </w:pPr>
      <w:r w:rsidRPr="00B5723A">
        <w:rPr>
          <w:rFonts w:ascii="Arial" w:eastAsia="Calibri" w:hAnsi="Arial" w:cs="Arial"/>
          <w:lang w:val="es-ES"/>
        </w:rPr>
        <w:t>Se procede a editar el polígono del inmueble que se encuentra en la base gráfica, para lo cual se aplica un control de calidad a fin de verificar el cumplimiento del procedimiento establecido en la presente Directiva.</w:t>
      </w:r>
    </w:p>
    <w:p w:rsidR="00B5723A" w:rsidRPr="00B5723A" w:rsidRDefault="00B5723A" w:rsidP="00C37F2B">
      <w:pPr>
        <w:spacing w:after="0" w:line="240" w:lineRule="auto"/>
        <w:ind w:left="3402"/>
        <w:jc w:val="both"/>
        <w:rPr>
          <w:rFonts w:ascii="Arial" w:eastAsia="Calibri" w:hAnsi="Arial" w:cs="Arial"/>
          <w:lang w:val="es-ES"/>
        </w:rPr>
      </w:pPr>
    </w:p>
    <w:p w:rsidR="00B5723A" w:rsidRPr="00B5723A" w:rsidRDefault="00B5723A" w:rsidP="00C37F2B">
      <w:pPr>
        <w:spacing w:after="0" w:line="240" w:lineRule="auto"/>
        <w:ind w:left="3402"/>
        <w:jc w:val="both"/>
        <w:rPr>
          <w:rFonts w:ascii="Arial" w:eastAsia="Calibri" w:hAnsi="Arial" w:cs="Arial"/>
          <w:lang w:val="es-ES"/>
        </w:rPr>
      </w:pPr>
      <w:r w:rsidRPr="00B5723A">
        <w:rPr>
          <w:rFonts w:ascii="Arial" w:eastAsia="Calibri" w:hAnsi="Arial" w:cs="Arial"/>
          <w:lang w:val="es-ES"/>
        </w:rPr>
        <w:t>Con los datos postprocesados y la ficha de campo, se procede a efectuar el diseño y edición del plano catastral levantado, de preferencia rover por rover, y luego del control de calidad respectivo se procede a la integración correspondiente con la base gráfica del ámbito geográfico que es materia del levantamiento.</w:t>
      </w:r>
    </w:p>
    <w:p w:rsidR="00B5723A" w:rsidRPr="00B5723A" w:rsidRDefault="00B5723A" w:rsidP="00C37F2B">
      <w:pPr>
        <w:spacing w:after="0" w:line="240" w:lineRule="auto"/>
        <w:ind w:left="3402"/>
        <w:jc w:val="both"/>
        <w:rPr>
          <w:rFonts w:ascii="Arial" w:eastAsia="Calibri" w:hAnsi="Arial" w:cs="Arial"/>
          <w:lang w:val="es-ES"/>
        </w:rPr>
      </w:pPr>
    </w:p>
    <w:p w:rsidR="00B5723A" w:rsidRPr="00B5723A" w:rsidRDefault="00B5723A" w:rsidP="00C37F2B">
      <w:pPr>
        <w:spacing w:after="0" w:line="240" w:lineRule="auto"/>
        <w:ind w:left="3402"/>
        <w:jc w:val="both"/>
        <w:rPr>
          <w:rFonts w:ascii="Arial" w:eastAsia="Calibri" w:hAnsi="Arial" w:cs="Arial"/>
          <w:lang w:val="es-ES"/>
        </w:rPr>
      </w:pPr>
      <w:r w:rsidRPr="00B5723A">
        <w:rPr>
          <w:rFonts w:ascii="Arial" w:eastAsia="Calibri" w:hAnsi="Arial" w:cs="Arial"/>
          <w:lang w:val="es-ES"/>
        </w:rPr>
        <w:t>Para la edición e impresión de planos, la escala está definida en función de la superficie del inmueble, respetando formatos y escalas de medición establecida por la presente Directiva.</w:t>
      </w:r>
    </w:p>
    <w:p w:rsidR="00B5723A" w:rsidRPr="0096741E" w:rsidRDefault="00B5723A" w:rsidP="0096741E">
      <w:pPr>
        <w:spacing w:after="0" w:line="240" w:lineRule="auto"/>
        <w:ind w:left="2694"/>
        <w:jc w:val="both"/>
        <w:rPr>
          <w:rFonts w:ascii="Arial" w:eastAsia="Calibri" w:hAnsi="Arial" w:cs="Arial"/>
          <w:b/>
          <w:lang w:val="es-ES"/>
        </w:rPr>
      </w:pPr>
    </w:p>
    <w:p w:rsidR="00B5723A" w:rsidRPr="0096741E" w:rsidRDefault="00B5723A" w:rsidP="0096741E">
      <w:pPr>
        <w:spacing w:after="0" w:line="240" w:lineRule="auto"/>
        <w:ind w:left="2694"/>
        <w:jc w:val="both"/>
        <w:rPr>
          <w:rFonts w:ascii="Arial" w:eastAsia="Calibri" w:hAnsi="Arial" w:cs="Arial"/>
          <w:b/>
          <w:lang w:val="es-ES"/>
        </w:rPr>
      </w:pPr>
      <w:r w:rsidRPr="0096741E">
        <w:rPr>
          <w:rFonts w:ascii="Arial" w:eastAsia="Calibri" w:hAnsi="Arial" w:cs="Arial"/>
          <w:b/>
          <w:lang w:val="es-ES"/>
        </w:rPr>
        <w:tab/>
        <w:t>7.2.2.2 Almacenamiento de la documentación de campo</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96741E">
      <w:pPr>
        <w:spacing w:after="0" w:line="240" w:lineRule="auto"/>
        <w:ind w:left="3402"/>
        <w:jc w:val="both"/>
        <w:rPr>
          <w:rFonts w:ascii="Arial" w:eastAsia="Calibri" w:hAnsi="Arial" w:cs="Arial"/>
          <w:lang w:val="es-ES"/>
        </w:rPr>
      </w:pPr>
      <w:r w:rsidRPr="00B5723A">
        <w:rPr>
          <w:rFonts w:ascii="Arial" w:eastAsia="Calibri" w:hAnsi="Arial" w:cs="Arial"/>
          <w:lang w:val="es-ES"/>
        </w:rPr>
        <w:t>La documentación pertinente utilizada y generada en los trabajos de levantamiento de linderos es de suma importancia para el monitoreo y supervisión de la calidad del trabajo de campo, así como para el desarrollo de trabajos posteriores.</w:t>
      </w:r>
    </w:p>
    <w:p w:rsidR="00B5723A" w:rsidRPr="00B5723A" w:rsidRDefault="00B5723A" w:rsidP="0096741E">
      <w:pPr>
        <w:spacing w:after="0" w:line="240" w:lineRule="auto"/>
        <w:ind w:left="3402"/>
        <w:jc w:val="both"/>
        <w:rPr>
          <w:rFonts w:ascii="Arial" w:eastAsia="Calibri" w:hAnsi="Arial" w:cs="Arial"/>
          <w:lang w:val="es-ES"/>
        </w:rPr>
      </w:pPr>
    </w:p>
    <w:p w:rsidR="00B5723A" w:rsidRPr="00B5723A" w:rsidRDefault="00B5723A" w:rsidP="0096741E">
      <w:pPr>
        <w:spacing w:after="0" w:line="240" w:lineRule="auto"/>
        <w:ind w:left="3402"/>
        <w:jc w:val="both"/>
        <w:rPr>
          <w:rFonts w:ascii="Arial" w:eastAsia="Calibri" w:hAnsi="Arial" w:cs="Arial"/>
          <w:lang w:val="es-ES"/>
        </w:rPr>
      </w:pPr>
      <w:r w:rsidRPr="00B5723A">
        <w:rPr>
          <w:rFonts w:ascii="Arial" w:eastAsia="Calibri" w:hAnsi="Arial" w:cs="Arial"/>
          <w:lang w:val="es-ES"/>
        </w:rPr>
        <w:t>Por tal motivo, la información que se detalla a continuación debe ser almacenada en un ambiente adecuado:</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96741E">
      <w:pPr>
        <w:spacing w:after="0" w:line="240" w:lineRule="auto"/>
        <w:ind w:left="3828" w:hanging="426"/>
        <w:jc w:val="both"/>
        <w:rPr>
          <w:rFonts w:ascii="Arial" w:eastAsia="Calibri" w:hAnsi="Arial" w:cs="Arial"/>
          <w:lang w:val="es-ES"/>
        </w:rPr>
      </w:pPr>
      <w:r w:rsidRPr="00B5723A">
        <w:rPr>
          <w:rFonts w:ascii="Arial" w:eastAsia="Calibri" w:hAnsi="Arial" w:cs="Arial"/>
          <w:lang w:val="es-ES"/>
        </w:rPr>
        <w:t xml:space="preserve">- </w:t>
      </w:r>
      <w:r w:rsidR="0096741E">
        <w:rPr>
          <w:rFonts w:ascii="Arial" w:eastAsia="Calibri" w:hAnsi="Arial" w:cs="Arial"/>
          <w:lang w:val="es-ES"/>
        </w:rPr>
        <w:tab/>
      </w:r>
      <w:r w:rsidRPr="00B5723A">
        <w:rPr>
          <w:rFonts w:ascii="Arial" w:eastAsia="Calibri" w:hAnsi="Arial" w:cs="Arial"/>
          <w:lang w:val="es-ES"/>
        </w:rPr>
        <w:t>Hojas de campo y ficha descriptiva de la estación base GNSS</w:t>
      </w:r>
    </w:p>
    <w:p w:rsidR="00B5723A" w:rsidRPr="00B5723A" w:rsidRDefault="00B5723A" w:rsidP="0096741E">
      <w:pPr>
        <w:spacing w:after="0" w:line="240" w:lineRule="auto"/>
        <w:ind w:left="3828" w:hanging="426"/>
        <w:jc w:val="both"/>
        <w:rPr>
          <w:rFonts w:ascii="Arial" w:eastAsia="Calibri" w:hAnsi="Arial" w:cs="Arial"/>
          <w:lang w:val="es-ES"/>
        </w:rPr>
      </w:pPr>
      <w:r w:rsidRPr="00B5723A">
        <w:rPr>
          <w:rFonts w:ascii="Arial" w:eastAsia="Calibri" w:hAnsi="Arial" w:cs="Arial"/>
          <w:lang w:val="es-ES"/>
        </w:rPr>
        <w:t xml:space="preserve">- </w:t>
      </w:r>
      <w:r w:rsidR="0096741E">
        <w:rPr>
          <w:rFonts w:ascii="Arial" w:eastAsia="Calibri" w:hAnsi="Arial" w:cs="Arial"/>
          <w:lang w:val="es-ES"/>
        </w:rPr>
        <w:tab/>
      </w:r>
      <w:r w:rsidRPr="00B5723A">
        <w:rPr>
          <w:rFonts w:ascii="Arial" w:eastAsia="Calibri" w:hAnsi="Arial" w:cs="Arial"/>
          <w:lang w:val="es-ES"/>
        </w:rPr>
        <w:t>Archivos de registro de data cruda de la estación de referencia y rover.</w:t>
      </w:r>
    </w:p>
    <w:p w:rsidR="00B5723A" w:rsidRPr="00B5723A" w:rsidRDefault="00B5723A" w:rsidP="0096741E">
      <w:pPr>
        <w:spacing w:after="0" w:line="240" w:lineRule="auto"/>
        <w:ind w:left="3828" w:hanging="426"/>
        <w:jc w:val="both"/>
        <w:rPr>
          <w:rFonts w:ascii="Arial" w:eastAsia="Calibri" w:hAnsi="Arial" w:cs="Arial"/>
          <w:lang w:val="es-ES"/>
        </w:rPr>
      </w:pPr>
      <w:r w:rsidRPr="00B5723A">
        <w:rPr>
          <w:rFonts w:ascii="Arial" w:eastAsia="Calibri" w:hAnsi="Arial" w:cs="Arial"/>
          <w:lang w:val="es-ES"/>
        </w:rPr>
        <w:t xml:space="preserve">- </w:t>
      </w:r>
      <w:r w:rsidR="0096741E">
        <w:rPr>
          <w:rFonts w:ascii="Arial" w:eastAsia="Calibri" w:hAnsi="Arial" w:cs="Arial"/>
          <w:lang w:val="es-ES"/>
        </w:rPr>
        <w:tab/>
      </w:r>
      <w:r w:rsidRPr="00B5723A">
        <w:rPr>
          <w:rFonts w:ascii="Arial" w:eastAsia="Calibri" w:hAnsi="Arial" w:cs="Arial"/>
          <w:lang w:val="es-ES"/>
        </w:rPr>
        <w:t>Cálculos de post proceso y consolidado final.</w:t>
      </w:r>
    </w:p>
    <w:p w:rsidR="00B5723A" w:rsidRPr="00B5723A" w:rsidRDefault="00B5723A" w:rsidP="0096741E">
      <w:pPr>
        <w:spacing w:after="0" w:line="240" w:lineRule="auto"/>
        <w:ind w:left="3828" w:hanging="426"/>
        <w:jc w:val="both"/>
        <w:rPr>
          <w:rFonts w:ascii="Arial" w:eastAsia="Calibri" w:hAnsi="Arial" w:cs="Arial"/>
          <w:lang w:val="es-ES"/>
        </w:rPr>
      </w:pPr>
      <w:r w:rsidRPr="00B5723A">
        <w:rPr>
          <w:rFonts w:ascii="Arial" w:eastAsia="Calibri" w:hAnsi="Arial" w:cs="Arial"/>
          <w:lang w:val="es-ES"/>
        </w:rPr>
        <w:t xml:space="preserve">- </w:t>
      </w:r>
      <w:r w:rsidR="0096741E">
        <w:rPr>
          <w:rFonts w:ascii="Arial" w:eastAsia="Calibri" w:hAnsi="Arial" w:cs="Arial"/>
          <w:lang w:val="es-ES"/>
        </w:rPr>
        <w:tab/>
      </w:r>
      <w:r w:rsidRPr="00B5723A">
        <w:rPr>
          <w:rFonts w:ascii="Arial" w:eastAsia="Calibri" w:hAnsi="Arial" w:cs="Arial"/>
          <w:lang w:val="es-ES"/>
        </w:rPr>
        <w:t>Material gráfico y cartográfico, etc.</w:t>
      </w:r>
    </w:p>
    <w:p w:rsidR="00B5723A" w:rsidRPr="00B5723A" w:rsidRDefault="00B5723A" w:rsidP="00B5723A">
      <w:pPr>
        <w:spacing w:after="0" w:line="240" w:lineRule="auto"/>
        <w:jc w:val="both"/>
        <w:rPr>
          <w:rFonts w:ascii="Arial" w:eastAsia="Calibri" w:hAnsi="Arial" w:cs="Arial"/>
          <w:lang w:val="es-ES"/>
        </w:rPr>
      </w:pPr>
    </w:p>
    <w:p w:rsidR="00B5723A" w:rsidRPr="0096741E" w:rsidRDefault="00B5723A" w:rsidP="0096741E">
      <w:pPr>
        <w:spacing w:after="0" w:line="240" w:lineRule="auto"/>
        <w:ind w:left="1985"/>
        <w:jc w:val="both"/>
        <w:rPr>
          <w:rFonts w:ascii="Arial" w:eastAsia="Calibri" w:hAnsi="Arial" w:cs="Arial"/>
          <w:b/>
          <w:lang w:val="es-ES"/>
        </w:rPr>
      </w:pPr>
      <w:r w:rsidRPr="00B5723A">
        <w:rPr>
          <w:rFonts w:ascii="Arial" w:eastAsia="Calibri" w:hAnsi="Arial" w:cs="Arial"/>
          <w:lang w:val="es-ES"/>
        </w:rPr>
        <w:tab/>
      </w:r>
      <w:r w:rsidRPr="0096741E">
        <w:rPr>
          <w:rFonts w:ascii="Arial" w:eastAsia="Calibri" w:hAnsi="Arial" w:cs="Arial"/>
          <w:b/>
          <w:lang w:val="es-ES"/>
        </w:rPr>
        <w:t>7.2.3 POR EL MÉTODO DIRECTO (Topografía-Estación Total)</w:t>
      </w:r>
    </w:p>
    <w:p w:rsidR="00B5723A" w:rsidRPr="0096741E" w:rsidRDefault="00B5723A" w:rsidP="0096741E">
      <w:pPr>
        <w:spacing w:after="0" w:line="240" w:lineRule="auto"/>
        <w:ind w:left="1985"/>
        <w:jc w:val="both"/>
        <w:rPr>
          <w:rFonts w:ascii="Arial" w:eastAsia="Calibri" w:hAnsi="Arial" w:cs="Arial"/>
          <w:b/>
          <w:lang w:val="es-ES"/>
        </w:rPr>
      </w:pPr>
    </w:p>
    <w:p w:rsidR="00B5723A" w:rsidRPr="0096741E" w:rsidRDefault="00B5723A" w:rsidP="0096741E">
      <w:pPr>
        <w:spacing w:after="0" w:line="240" w:lineRule="auto"/>
        <w:ind w:left="2835"/>
        <w:jc w:val="both"/>
        <w:rPr>
          <w:rFonts w:ascii="Arial" w:eastAsia="Calibri" w:hAnsi="Arial" w:cs="Arial"/>
          <w:b/>
          <w:lang w:val="es-ES"/>
        </w:rPr>
      </w:pPr>
      <w:r w:rsidRPr="0096741E">
        <w:rPr>
          <w:rFonts w:ascii="Arial" w:eastAsia="Calibri" w:hAnsi="Arial" w:cs="Arial"/>
          <w:b/>
          <w:lang w:val="es-ES"/>
        </w:rPr>
        <w:t>7.2.3.1 Edición Topográfica</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96741E">
      <w:pPr>
        <w:spacing w:after="0" w:line="240" w:lineRule="auto"/>
        <w:ind w:left="3544"/>
        <w:jc w:val="both"/>
        <w:rPr>
          <w:rFonts w:ascii="Arial" w:eastAsia="Calibri" w:hAnsi="Arial" w:cs="Arial"/>
          <w:lang w:val="es-ES"/>
        </w:rPr>
      </w:pPr>
      <w:r w:rsidRPr="00B5723A">
        <w:rPr>
          <w:rFonts w:ascii="Arial" w:eastAsia="Calibri" w:hAnsi="Arial" w:cs="Arial"/>
          <w:lang w:val="es-ES"/>
        </w:rPr>
        <w:t>Etapa que tiene por finalidad la elaboración del plano topográfico en formato digital, en el que se representa los detalles que se existen o se definen sobre la superficie y el relieve terrestre. Los detalles a considerar en la medición de campo están en función del tipo de requerimiento del plano topográfico.</w:t>
      </w:r>
    </w:p>
    <w:p w:rsidR="00B5723A" w:rsidRPr="00B5723A" w:rsidRDefault="00B5723A" w:rsidP="0096741E">
      <w:pPr>
        <w:spacing w:after="0" w:line="240" w:lineRule="auto"/>
        <w:ind w:left="3544"/>
        <w:jc w:val="both"/>
        <w:rPr>
          <w:rFonts w:ascii="Arial" w:eastAsia="Calibri" w:hAnsi="Arial" w:cs="Arial"/>
          <w:lang w:val="es-ES"/>
        </w:rPr>
      </w:pPr>
    </w:p>
    <w:p w:rsidR="00B5723A" w:rsidRPr="00B5723A" w:rsidRDefault="00B5723A" w:rsidP="0096741E">
      <w:pPr>
        <w:spacing w:after="0" w:line="240" w:lineRule="auto"/>
        <w:ind w:left="3544"/>
        <w:jc w:val="both"/>
        <w:rPr>
          <w:rFonts w:ascii="Arial" w:eastAsia="Calibri" w:hAnsi="Arial" w:cs="Arial"/>
          <w:lang w:val="es-ES"/>
        </w:rPr>
      </w:pPr>
      <w:r w:rsidRPr="00B5723A">
        <w:rPr>
          <w:rFonts w:ascii="Arial" w:eastAsia="Calibri" w:hAnsi="Arial" w:cs="Arial"/>
          <w:lang w:val="es-ES"/>
        </w:rPr>
        <w:t>La edición topográfica la realiza el técnico catastral con la asistencia del personal que integró la brigada de topografía en campo, Las actividades a desarrollar en esta etapa son:</w:t>
      </w:r>
    </w:p>
    <w:p w:rsidR="00B5723A" w:rsidRPr="00B5723A" w:rsidRDefault="00B5723A" w:rsidP="0096741E">
      <w:pPr>
        <w:spacing w:after="0" w:line="240" w:lineRule="auto"/>
        <w:ind w:left="3544"/>
        <w:jc w:val="both"/>
        <w:rPr>
          <w:rFonts w:ascii="Arial" w:eastAsia="Calibri" w:hAnsi="Arial" w:cs="Arial"/>
          <w:lang w:val="es-ES"/>
        </w:rPr>
      </w:pPr>
    </w:p>
    <w:p w:rsidR="00B5723A" w:rsidRPr="00B5723A" w:rsidRDefault="00B5723A" w:rsidP="0096741E">
      <w:pPr>
        <w:spacing w:after="0" w:line="240" w:lineRule="auto"/>
        <w:ind w:left="4111" w:hanging="567"/>
        <w:jc w:val="both"/>
        <w:rPr>
          <w:rFonts w:ascii="Arial" w:eastAsia="Calibri" w:hAnsi="Arial" w:cs="Arial"/>
          <w:lang w:val="es-ES"/>
        </w:rPr>
      </w:pPr>
      <w:r w:rsidRPr="00B5723A">
        <w:rPr>
          <w:rFonts w:ascii="Arial" w:eastAsia="Calibri" w:hAnsi="Arial" w:cs="Arial"/>
          <w:lang w:val="es-ES"/>
        </w:rPr>
        <w:t xml:space="preserve">a) </w:t>
      </w:r>
      <w:r w:rsidR="0096741E">
        <w:rPr>
          <w:rFonts w:ascii="Arial" w:eastAsia="Calibri" w:hAnsi="Arial" w:cs="Arial"/>
          <w:lang w:val="es-ES"/>
        </w:rPr>
        <w:tab/>
      </w:r>
      <w:r w:rsidRPr="00B5723A">
        <w:rPr>
          <w:rFonts w:ascii="Arial" w:eastAsia="Calibri" w:hAnsi="Arial" w:cs="Arial"/>
          <w:lang w:val="es-ES"/>
        </w:rPr>
        <w:t>Transferencia de la información obtenida en campo a través del software de la estación total a la computadora.</w:t>
      </w:r>
    </w:p>
    <w:p w:rsidR="00B5723A" w:rsidRPr="00B5723A" w:rsidRDefault="00B5723A" w:rsidP="0096741E">
      <w:pPr>
        <w:spacing w:after="0" w:line="240" w:lineRule="auto"/>
        <w:ind w:left="4111" w:hanging="567"/>
        <w:jc w:val="both"/>
        <w:rPr>
          <w:rFonts w:ascii="Arial" w:eastAsia="Calibri" w:hAnsi="Arial" w:cs="Arial"/>
          <w:lang w:val="es-ES"/>
        </w:rPr>
      </w:pPr>
    </w:p>
    <w:p w:rsidR="00B5723A" w:rsidRPr="00B5723A" w:rsidRDefault="00B5723A" w:rsidP="0096741E">
      <w:pPr>
        <w:spacing w:after="0" w:line="240" w:lineRule="auto"/>
        <w:ind w:left="4111" w:hanging="567"/>
        <w:jc w:val="both"/>
        <w:rPr>
          <w:rFonts w:ascii="Arial" w:eastAsia="Calibri" w:hAnsi="Arial" w:cs="Arial"/>
          <w:lang w:val="es-ES"/>
        </w:rPr>
      </w:pPr>
      <w:r w:rsidRPr="00B5723A">
        <w:rPr>
          <w:rFonts w:ascii="Arial" w:eastAsia="Calibri" w:hAnsi="Arial" w:cs="Arial"/>
          <w:lang w:val="es-ES"/>
        </w:rPr>
        <w:t xml:space="preserve">b) </w:t>
      </w:r>
      <w:r w:rsidR="0096741E">
        <w:rPr>
          <w:rFonts w:ascii="Arial" w:eastAsia="Calibri" w:hAnsi="Arial" w:cs="Arial"/>
          <w:lang w:val="es-ES"/>
        </w:rPr>
        <w:tab/>
      </w:r>
      <w:r w:rsidRPr="00B5723A">
        <w:rPr>
          <w:rFonts w:ascii="Arial" w:eastAsia="Calibri" w:hAnsi="Arial" w:cs="Arial"/>
          <w:lang w:val="es-ES"/>
        </w:rPr>
        <w:t>Dibujo de los puntos obtenidos y anotados en la hoja de campo. Es el trazado de las líneas que representan los elementos de campo que permitirá la obtención del plano topográfico final.</w:t>
      </w:r>
    </w:p>
    <w:p w:rsidR="00B5723A" w:rsidRPr="00B5723A" w:rsidRDefault="00B5723A" w:rsidP="0096741E">
      <w:pPr>
        <w:spacing w:after="0" w:line="240" w:lineRule="auto"/>
        <w:ind w:left="4111" w:hanging="567"/>
        <w:jc w:val="both"/>
        <w:rPr>
          <w:rFonts w:ascii="Arial" w:eastAsia="Calibri" w:hAnsi="Arial" w:cs="Arial"/>
          <w:lang w:val="es-ES"/>
        </w:rPr>
      </w:pPr>
    </w:p>
    <w:p w:rsidR="00B5723A" w:rsidRPr="00B5723A" w:rsidRDefault="00B5723A" w:rsidP="0096741E">
      <w:pPr>
        <w:spacing w:after="0" w:line="240" w:lineRule="auto"/>
        <w:ind w:left="4111" w:hanging="567"/>
        <w:jc w:val="both"/>
        <w:rPr>
          <w:rFonts w:ascii="Arial" w:eastAsia="Calibri" w:hAnsi="Arial" w:cs="Arial"/>
          <w:lang w:val="es-ES"/>
        </w:rPr>
      </w:pPr>
      <w:r w:rsidRPr="00B5723A">
        <w:rPr>
          <w:rFonts w:ascii="Arial" w:eastAsia="Calibri" w:hAnsi="Arial" w:cs="Arial"/>
          <w:lang w:val="es-ES"/>
        </w:rPr>
        <w:t xml:space="preserve">c) </w:t>
      </w:r>
      <w:r w:rsidR="0096741E">
        <w:rPr>
          <w:rFonts w:ascii="Arial" w:eastAsia="Calibri" w:hAnsi="Arial" w:cs="Arial"/>
          <w:lang w:val="es-ES"/>
        </w:rPr>
        <w:tab/>
      </w:r>
      <w:r w:rsidRPr="00B5723A">
        <w:rPr>
          <w:rFonts w:ascii="Arial" w:eastAsia="Calibri" w:hAnsi="Arial" w:cs="Arial"/>
          <w:lang w:val="es-ES"/>
        </w:rPr>
        <w:t>De ser el caso, se utilizan puntos obtenidos por alineamientos, proyecciones, intersecciones, etc., lo que permitirá elaborar el plano topográfico final.</w:t>
      </w:r>
    </w:p>
    <w:p w:rsidR="00B5723A" w:rsidRPr="00B5723A" w:rsidRDefault="00B5723A" w:rsidP="00B5723A">
      <w:pPr>
        <w:spacing w:after="0" w:line="240" w:lineRule="auto"/>
        <w:jc w:val="both"/>
        <w:rPr>
          <w:rFonts w:ascii="Arial" w:eastAsia="Calibri" w:hAnsi="Arial" w:cs="Arial"/>
          <w:lang w:val="es-ES"/>
        </w:rPr>
      </w:pPr>
    </w:p>
    <w:p w:rsidR="00B5723A" w:rsidRPr="0096741E" w:rsidRDefault="00B5723A" w:rsidP="0096741E">
      <w:pPr>
        <w:spacing w:after="0" w:line="240" w:lineRule="auto"/>
        <w:ind w:left="2694"/>
        <w:jc w:val="both"/>
        <w:rPr>
          <w:rFonts w:ascii="Arial" w:eastAsia="Calibri" w:hAnsi="Arial" w:cs="Arial"/>
          <w:b/>
          <w:lang w:val="es-ES"/>
        </w:rPr>
      </w:pPr>
      <w:r w:rsidRPr="00B5723A">
        <w:rPr>
          <w:rFonts w:ascii="Arial" w:eastAsia="Calibri" w:hAnsi="Arial" w:cs="Arial"/>
          <w:lang w:val="es-ES"/>
        </w:rPr>
        <w:tab/>
      </w:r>
      <w:r w:rsidRPr="0096741E">
        <w:rPr>
          <w:rFonts w:ascii="Arial" w:eastAsia="Calibri" w:hAnsi="Arial" w:cs="Arial"/>
          <w:b/>
          <w:lang w:val="es-ES"/>
        </w:rPr>
        <w:t>7.2.3.2 Control de calidad</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96741E">
      <w:pPr>
        <w:spacing w:after="0" w:line="240" w:lineRule="auto"/>
        <w:ind w:left="3544" w:hanging="3544"/>
        <w:jc w:val="both"/>
        <w:rPr>
          <w:rFonts w:ascii="Arial" w:eastAsia="Calibri" w:hAnsi="Arial" w:cs="Arial"/>
          <w:lang w:val="es-ES"/>
        </w:rPr>
      </w:pPr>
      <w:r w:rsidRPr="00B5723A">
        <w:rPr>
          <w:rFonts w:ascii="Arial" w:eastAsia="Calibri" w:hAnsi="Arial" w:cs="Arial"/>
          <w:lang w:val="es-ES"/>
        </w:rPr>
        <w:tab/>
        <w:t>Actividad que se encuentra a cargo del técnico catastral, luego de editado el plano topográfico digital. Consiste en la verificación de la información obtenida y el cumplimiento de los procesos y especificaciones técnicas previstas en la presente Directiva.</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96741E">
      <w:pPr>
        <w:spacing w:after="0" w:line="240" w:lineRule="auto"/>
        <w:ind w:left="3544"/>
        <w:jc w:val="both"/>
        <w:rPr>
          <w:rFonts w:ascii="Arial" w:eastAsia="Calibri" w:hAnsi="Arial" w:cs="Arial"/>
          <w:lang w:val="es-ES"/>
        </w:rPr>
      </w:pPr>
      <w:r w:rsidRPr="00B5723A">
        <w:rPr>
          <w:rFonts w:ascii="Arial" w:eastAsia="Calibri" w:hAnsi="Arial" w:cs="Arial"/>
          <w:lang w:val="es-ES"/>
        </w:rPr>
        <w:t>En el control de calidad se verifica que:</w:t>
      </w:r>
    </w:p>
    <w:p w:rsidR="00B5723A" w:rsidRPr="00B5723A" w:rsidRDefault="00B5723A" w:rsidP="0096741E">
      <w:pPr>
        <w:spacing w:after="0" w:line="240" w:lineRule="auto"/>
        <w:ind w:left="3544"/>
        <w:jc w:val="both"/>
        <w:rPr>
          <w:rFonts w:ascii="Arial" w:eastAsia="Calibri" w:hAnsi="Arial" w:cs="Arial"/>
          <w:lang w:val="es-ES"/>
        </w:rPr>
      </w:pPr>
    </w:p>
    <w:p w:rsidR="00B5723A" w:rsidRPr="00B5723A" w:rsidRDefault="00B5723A" w:rsidP="0096741E">
      <w:pPr>
        <w:spacing w:after="0" w:line="240" w:lineRule="auto"/>
        <w:ind w:left="4253" w:hanging="567"/>
        <w:jc w:val="both"/>
        <w:rPr>
          <w:rFonts w:ascii="Arial" w:eastAsia="Calibri" w:hAnsi="Arial" w:cs="Arial"/>
          <w:lang w:val="es-ES"/>
        </w:rPr>
      </w:pPr>
      <w:r w:rsidRPr="00B5723A">
        <w:rPr>
          <w:rFonts w:ascii="Arial" w:eastAsia="Calibri" w:hAnsi="Arial" w:cs="Arial"/>
          <w:lang w:val="es-ES"/>
        </w:rPr>
        <w:t xml:space="preserve">a) </w:t>
      </w:r>
      <w:r w:rsidR="0096741E">
        <w:rPr>
          <w:rFonts w:ascii="Arial" w:eastAsia="Calibri" w:hAnsi="Arial" w:cs="Arial"/>
          <w:lang w:val="es-ES"/>
        </w:rPr>
        <w:tab/>
      </w:r>
      <w:r w:rsidRPr="00B5723A">
        <w:rPr>
          <w:rFonts w:ascii="Arial" w:eastAsia="Calibri" w:hAnsi="Arial" w:cs="Arial"/>
          <w:lang w:val="es-ES"/>
        </w:rPr>
        <w:t>El ámbito geográfico o inmueble materia del requerimiento del levantamiento topográfico, haya sido cubierto con los detalles solicitados.</w:t>
      </w:r>
    </w:p>
    <w:p w:rsidR="00B5723A" w:rsidRPr="00B5723A" w:rsidRDefault="00B5723A" w:rsidP="0096741E">
      <w:pPr>
        <w:spacing w:after="0" w:line="240" w:lineRule="auto"/>
        <w:ind w:left="4253" w:hanging="567"/>
        <w:jc w:val="both"/>
        <w:rPr>
          <w:rFonts w:ascii="Arial" w:eastAsia="Calibri" w:hAnsi="Arial" w:cs="Arial"/>
          <w:lang w:val="es-ES"/>
        </w:rPr>
      </w:pPr>
    </w:p>
    <w:p w:rsidR="00B5723A" w:rsidRPr="00B5723A" w:rsidRDefault="00B5723A" w:rsidP="0096741E">
      <w:pPr>
        <w:spacing w:after="0" w:line="240" w:lineRule="auto"/>
        <w:ind w:left="4253" w:hanging="567"/>
        <w:jc w:val="both"/>
        <w:rPr>
          <w:rFonts w:ascii="Arial" w:eastAsia="Calibri" w:hAnsi="Arial" w:cs="Arial"/>
          <w:lang w:val="es-ES"/>
        </w:rPr>
      </w:pPr>
      <w:r w:rsidRPr="00B5723A">
        <w:rPr>
          <w:rFonts w:ascii="Arial" w:eastAsia="Calibri" w:hAnsi="Arial" w:cs="Arial"/>
          <w:lang w:val="es-ES"/>
        </w:rPr>
        <w:t xml:space="preserve">b) </w:t>
      </w:r>
      <w:r w:rsidR="0096741E">
        <w:rPr>
          <w:rFonts w:ascii="Arial" w:eastAsia="Calibri" w:hAnsi="Arial" w:cs="Arial"/>
          <w:lang w:val="es-ES"/>
        </w:rPr>
        <w:tab/>
      </w:r>
      <w:r w:rsidRPr="00B5723A">
        <w:rPr>
          <w:rFonts w:ascii="Arial" w:eastAsia="Calibri" w:hAnsi="Arial" w:cs="Arial"/>
          <w:lang w:val="es-ES"/>
        </w:rPr>
        <w:t>Los valores de las coordenadas de los puntos de control topográfico tengan consistencia, apoyados a los puntos de control geodésico enlazados a la red geodésica oficial.</w:t>
      </w:r>
    </w:p>
    <w:p w:rsidR="00B5723A" w:rsidRPr="00B5723A" w:rsidRDefault="00B5723A" w:rsidP="0096741E">
      <w:pPr>
        <w:spacing w:after="0" w:line="240" w:lineRule="auto"/>
        <w:ind w:left="4253" w:hanging="567"/>
        <w:jc w:val="both"/>
        <w:rPr>
          <w:rFonts w:ascii="Arial" w:eastAsia="Calibri" w:hAnsi="Arial" w:cs="Arial"/>
          <w:lang w:val="es-ES"/>
        </w:rPr>
      </w:pPr>
    </w:p>
    <w:p w:rsidR="00B5723A" w:rsidRPr="00B5723A" w:rsidRDefault="00B5723A" w:rsidP="0096741E">
      <w:pPr>
        <w:spacing w:after="0" w:line="240" w:lineRule="auto"/>
        <w:ind w:left="4253" w:hanging="567"/>
        <w:jc w:val="both"/>
        <w:rPr>
          <w:rFonts w:ascii="Arial" w:eastAsia="Calibri" w:hAnsi="Arial" w:cs="Arial"/>
          <w:lang w:val="es-ES"/>
        </w:rPr>
      </w:pPr>
      <w:r w:rsidRPr="00B5723A">
        <w:rPr>
          <w:rFonts w:ascii="Arial" w:eastAsia="Calibri" w:hAnsi="Arial" w:cs="Arial"/>
          <w:lang w:val="es-ES"/>
        </w:rPr>
        <w:t xml:space="preserve">c) </w:t>
      </w:r>
      <w:r w:rsidR="0096741E">
        <w:rPr>
          <w:rFonts w:ascii="Arial" w:eastAsia="Calibri" w:hAnsi="Arial" w:cs="Arial"/>
          <w:lang w:val="es-ES"/>
        </w:rPr>
        <w:tab/>
      </w:r>
      <w:r w:rsidRPr="00B5723A">
        <w:rPr>
          <w:rFonts w:ascii="Arial" w:eastAsia="Calibri" w:hAnsi="Arial" w:cs="Arial"/>
          <w:lang w:val="es-ES"/>
        </w:rPr>
        <w:t>Los elementos gráficos de edición (puntos, líneas y polígonos), estén cerrados y en la capa que les corresponde.</w:t>
      </w:r>
    </w:p>
    <w:p w:rsidR="00B5723A" w:rsidRPr="00B5723A" w:rsidRDefault="00B5723A" w:rsidP="0096741E">
      <w:pPr>
        <w:spacing w:after="0" w:line="240" w:lineRule="auto"/>
        <w:ind w:left="4253" w:hanging="567"/>
        <w:jc w:val="both"/>
        <w:rPr>
          <w:rFonts w:ascii="Arial" w:eastAsia="Calibri" w:hAnsi="Arial" w:cs="Arial"/>
          <w:lang w:val="es-ES"/>
        </w:rPr>
      </w:pPr>
    </w:p>
    <w:p w:rsidR="00B5723A" w:rsidRPr="00B5723A" w:rsidRDefault="00B5723A" w:rsidP="0096741E">
      <w:pPr>
        <w:spacing w:after="0" w:line="240" w:lineRule="auto"/>
        <w:ind w:left="4253" w:hanging="567"/>
        <w:jc w:val="both"/>
        <w:rPr>
          <w:rFonts w:ascii="Arial" w:eastAsia="Calibri" w:hAnsi="Arial" w:cs="Arial"/>
          <w:lang w:val="es-ES"/>
        </w:rPr>
      </w:pPr>
      <w:r w:rsidRPr="00B5723A">
        <w:rPr>
          <w:rFonts w:ascii="Arial" w:eastAsia="Calibri" w:hAnsi="Arial" w:cs="Arial"/>
          <w:lang w:val="es-ES"/>
        </w:rPr>
        <w:t xml:space="preserve">d) </w:t>
      </w:r>
      <w:r w:rsidR="0096741E">
        <w:rPr>
          <w:rFonts w:ascii="Arial" w:eastAsia="Calibri" w:hAnsi="Arial" w:cs="Arial"/>
          <w:lang w:val="es-ES"/>
        </w:rPr>
        <w:tab/>
      </w:r>
      <w:r w:rsidRPr="00B5723A">
        <w:rPr>
          <w:rFonts w:ascii="Arial" w:eastAsia="Calibri" w:hAnsi="Arial" w:cs="Arial"/>
          <w:lang w:val="es-ES"/>
        </w:rPr>
        <w:t>El plano topográfico final esté depurado y auditado con las opciones del programa de edición, con el fin de que el tamaño del archivo digital sea el apropiado.</w:t>
      </w:r>
    </w:p>
    <w:p w:rsidR="00B5723A" w:rsidRPr="00B5723A" w:rsidRDefault="00B5723A" w:rsidP="0096741E">
      <w:pPr>
        <w:spacing w:after="0" w:line="240" w:lineRule="auto"/>
        <w:ind w:left="3544"/>
        <w:jc w:val="both"/>
        <w:rPr>
          <w:rFonts w:ascii="Arial" w:eastAsia="Calibri" w:hAnsi="Arial" w:cs="Arial"/>
          <w:lang w:val="es-ES"/>
        </w:rPr>
      </w:pPr>
    </w:p>
    <w:p w:rsidR="00B5723A" w:rsidRPr="00B5723A" w:rsidRDefault="00B5723A" w:rsidP="0096741E">
      <w:pPr>
        <w:spacing w:after="0" w:line="240" w:lineRule="auto"/>
        <w:ind w:left="3544"/>
        <w:jc w:val="both"/>
        <w:rPr>
          <w:rFonts w:ascii="Arial" w:eastAsia="Calibri" w:hAnsi="Arial" w:cs="Arial"/>
          <w:lang w:val="es-ES"/>
        </w:rPr>
      </w:pPr>
      <w:r w:rsidRPr="00B5723A">
        <w:rPr>
          <w:rFonts w:ascii="Arial" w:eastAsia="Calibri" w:hAnsi="Arial" w:cs="Arial"/>
          <w:lang w:val="es-ES"/>
        </w:rPr>
        <w:t>Posteriormente, el plano topográfico final es remitido a la unidad orgánica que solicitó el levantamiento topográfico.</w:t>
      </w:r>
    </w:p>
    <w:p w:rsidR="00B5723A" w:rsidRPr="00B5723A" w:rsidRDefault="00B5723A" w:rsidP="00B5723A">
      <w:pPr>
        <w:spacing w:after="0" w:line="240" w:lineRule="auto"/>
        <w:jc w:val="both"/>
        <w:rPr>
          <w:rFonts w:ascii="Arial" w:eastAsia="Calibri" w:hAnsi="Arial" w:cs="Arial"/>
          <w:lang w:val="es-ES"/>
        </w:rPr>
      </w:pPr>
    </w:p>
    <w:p w:rsidR="00B5723A" w:rsidRPr="0096741E" w:rsidRDefault="00B5723A" w:rsidP="00B5723A">
      <w:pPr>
        <w:spacing w:after="0" w:line="240" w:lineRule="auto"/>
        <w:jc w:val="both"/>
        <w:rPr>
          <w:rFonts w:ascii="Arial" w:eastAsia="Calibri" w:hAnsi="Arial" w:cs="Arial"/>
          <w:b/>
          <w:lang w:val="es-ES"/>
        </w:rPr>
      </w:pPr>
      <w:r w:rsidRPr="00B5723A">
        <w:rPr>
          <w:rFonts w:ascii="Arial" w:eastAsia="Calibri" w:hAnsi="Arial" w:cs="Arial"/>
          <w:lang w:val="es-ES"/>
        </w:rPr>
        <w:tab/>
      </w:r>
      <w:r w:rsidRPr="0096741E">
        <w:rPr>
          <w:rFonts w:ascii="Arial" w:eastAsia="Calibri" w:hAnsi="Arial" w:cs="Arial"/>
          <w:b/>
          <w:lang w:val="es-ES"/>
        </w:rPr>
        <w:t>7.2.4 DEL PLANO PERIMETRICO Y MEMORIA DESCRIPTIVA</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96741E">
      <w:pPr>
        <w:spacing w:after="0" w:line="240" w:lineRule="auto"/>
        <w:ind w:left="1276"/>
        <w:jc w:val="both"/>
        <w:rPr>
          <w:rFonts w:ascii="Arial" w:eastAsia="Calibri" w:hAnsi="Arial" w:cs="Arial"/>
          <w:lang w:val="es-ES"/>
        </w:rPr>
      </w:pPr>
      <w:r w:rsidRPr="00B5723A">
        <w:rPr>
          <w:rFonts w:ascii="Arial" w:eastAsia="Calibri" w:hAnsi="Arial" w:cs="Arial"/>
          <w:lang w:val="es-ES"/>
        </w:rPr>
        <w:t>El plano perimétrico del inmueble que ha sido materia de levantamiento catastral, debe contener la siguiente información:</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96741E">
      <w:pPr>
        <w:spacing w:after="0" w:line="240" w:lineRule="auto"/>
        <w:ind w:left="1985" w:hanging="709"/>
        <w:jc w:val="both"/>
        <w:rPr>
          <w:rFonts w:ascii="Arial" w:eastAsia="Calibri" w:hAnsi="Arial" w:cs="Arial"/>
          <w:lang w:val="es-ES"/>
        </w:rPr>
      </w:pPr>
      <w:r w:rsidRPr="00B5723A">
        <w:rPr>
          <w:rFonts w:ascii="Arial" w:eastAsia="Calibri" w:hAnsi="Arial" w:cs="Arial"/>
          <w:lang w:val="es-ES"/>
        </w:rPr>
        <w:t xml:space="preserve">a) </w:t>
      </w:r>
      <w:r w:rsidR="0096741E">
        <w:rPr>
          <w:rFonts w:ascii="Arial" w:eastAsia="Calibri" w:hAnsi="Arial" w:cs="Arial"/>
          <w:lang w:val="es-ES"/>
        </w:rPr>
        <w:tab/>
      </w:r>
      <w:r w:rsidRPr="00B5723A">
        <w:rPr>
          <w:rFonts w:ascii="Arial" w:eastAsia="Calibri" w:hAnsi="Arial" w:cs="Arial"/>
          <w:lang w:val="es-ES"/>
        </w:rPr>
        <w:t>Debe estar elaborado en una escala grafica convencional (1/50, 1/100, 1/200, 1/500, 1/1000, 1/5000, 1/10000 y otros) que permita la visualización y verificación de los datos técnicos</w:t>
      </w:r>
    </w:p>
    <w:p w:rsidR="00B5723A" w:rsidRPr="00B5723A" w:rsidRDefault="00B5723A" w:rsidP="0096741E">
      <w:pPr>
        <w:spacing w:after="0" w:line="240" w:lineRule="auto"/>
        <w:ind w:left="1985" w:hanging="709"/>
        <w:jc w:val="both"/>
        <w:rPr>
          <w:rFonts w:ascii="Arial" w:eastAsia="Calibri" w:hAnsi="Arial" w:cs="Arial"/>
          <w:lang w:val="es-ES"/>
        </w:rPr>
      </w:pPr>
    </w:p>
    <w:p w:rsidR="00B5723A" w:rsidRPr="00B5723A" w:rsidRDefault="00B5723A" w:rsidP="0096741E">
      <w:pPr>
        <w:spacing w:after="0" w:line="240" w:lineRule="auto"/>
        <w:ind w:left="1985" w:hanging="709"/>
        <w:jc w:val="both"/>
        <w:rPr>
          <w:rFonts w:ascii="Arial" w:eastAsia="Calibri" w:hAnsi="Arial" w:cs="Arial"/>
          <w:lang w:val="es-ES"/>
        </w:rPr>
      </w:pPr>
      <w:r w:rsidRPr="00B5723A">
        <w:rPr>
          <w:rFonts w:ascii="Arial" w:eastAsia="Calibri" w:hAnsi="Arial" w:cs="Arial"/>
          <w:lang w:val="es-ES"/>
        </w:rPr>
        <w:t xml:space="preserve">b) </w:t>
      </w:r>
      <w:r w:rsidR="0096741E">
        <w:rPr>
          <w:rFonts w:ascii="Arial" w:eastAsia="Calibri" w:hAnsi="Arial" w:cs="Arial"/>
          <w:lang w:val="es-ES"/>
        </w:rPr>
        <w:tab/>
      </w:r>
      <w:r w:rsidRPr="00B5723A">
        <w:rPr>
          <w:rFonts w:ascii="Arial" w:eastAsia="Calibri" w:hAnsi="Arial" w:cs="Arial"/>
          <w:lang w:val="es-ES"/>
        </w:rPr>
        <w:t>Debe estar georreferencíado a la Red Geodésica Nacional referida al datum y proyección en coordenadas Universal Transversal de Mercator (UTM) con su respectiva zona geográfica, debiendo graficarse el Norte, la cuadricula, los vértices, las medidas perimétricas de cada tramo, el área y perímetro del inmueble, los colindantes, el modo de levantamiento y equipo utilizado.</w:t>
      </w:r>
    </w:p>
    <w:p w:rsidR="00B5723A" w:rsidRPr="00B5723A" w:rsidRDefault="00B5723A" w:rsidP="0096741E">
      <w:pPr>
        <w:spacing w:after="0" w:line="240" w:lineRule="auto"/>
        <w:ind w:left="1985" w:hanging="709"/>
        <w:jc w:val="both"/>
        <w:rPr>
          <w:rFonts w:ascii="Arial" w:eastAsia="Calibri" w:hAnsi="Arial" w:cs="Arial"/>
          <w:lang w:val="es-ES"/>
        </w:rPr>
      </w:pPr>
    </w:p>
    <w:p w:rsidR="00B5723A" w:rsidRPr="00B5723A" w:rsidRDefault="00B5723A" w:rsidP="0096741E">
      <w:pPr>
        <w:spacing w:after="0" w:line="240" w:lineRule="auto"/>
        <w:ind w:left="1985" w:hanging="709"/>
        <w:jc w:val="both"/>
        <w:rPr>
          <w:rFonts w:ascii="Arial" w:eastAsia="Calibri" w:hAnsi="Arial" w:cs="Arial"/>
          <w:lang w:val="es-ES"/>
        </w:rPr>
      </w:pPr>
      <w:r w:rsidRPr="00B5723A">
        <w:rPr>
          <w:rFonts w:ascii="Arial" w:eastAsia="Calibri" w:hAnsi="Arial" w:cs="Arial"/>
          <w:lang w:val="es-ES"/>
        </w:rPr>
        <w:t xml:space="preserve">c) </w:t>
      </w:r>
      <w:r w:rsidR="0096741E">
        <w:rPr>
          <w:rFonts w:ascii="Arial" w:eastAsia="Calibri" w:hAnsi="Arial" w:cs="Arial"/>
          <w:lang w:val="es-ES"/>
        </w:rPr>
        <w:tab/>
      </w:r>
      <w:r w:rsidRPr="00B5723A">
        <w:rPr>
          <w:rFonts w:ascii="Arial" w:eastAsia="Calibri" w:hAnsi="Arial" w:cs="Arial"/>
          <w:lang w:val="es-ES"/>
        </w:rPr>
        <w:t>El membrete del plano debe contener la siguiente información:</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96741E">
      <w:pPr>
        <w:spacing w:after="0" w:line="240" w:lineRule="auto"/>
        <w:ind w:left="1985"/>
        <w:jc w:val="both"/>
        <w:rPr>
          <w:rFonts w:ascii="Arial" w:eastAsia="Calibri" w:hAnsi="Arial" w:cs="Arial"/>
          <w:lang w:val="es-ES"/>
        </w:rPr>
      </w:pPr>
      <w:r w:rsidRPr="00B5723A">
        <w:rPr>
          <w:rFonts w:ascii="Arial" w:eastAsia="Calibri" w:hAnsi="Arial" w:cs="Arial"/>
          <w:lang w:val="es-ES"/>
        </w:rPr>
        <w:tab/>
        <w:t>- Tipo de plano</w:t>
      </w:r>
    </w:p>
    <w:p w:rsidR="00B5723A" w:rsidRPr="00B5723A" w:rsidRDefault="00B5723A" w:rsidP="0096741E">
      <w:pPr>
        <w:spacing w:after="0" w:line="240" w:lineRule="auto"/>
        <w:ind w:left="1985"/>
        <w:jc w:val="both"/>
        <w:rPr>
          <w:rFonts w:ascii="Arial" w:eastAsia="Calibri" w:hAnsi="Arial" w:cs="Arial"/>
          <w:lang w:val="es-ES"/>
        </w:rPr>
      </w:pPr>
      <w:r w:rsidRPr="00B5723A">
        <w:rPr>
          <w:rFonts w:ascii="Arial" w:eastAsia="Calibri" w:hAnsi="Arial" w:cs="Arial"/>
          <w:lang w:val="es-ES"/>
        </w:rPr>
        <w:tab/>
        <w:t>- Escala</w:t>
      </w:r>
    </w:p>
    <w:p w:rsidR="00B5723A" w:rsidRPr="00B5723A" w:rsidRDefault="00B5723A" w:rsidP="0096741E">
      <w:pPr>
        <w:spacing w:after="0" w:line="240" w:lineRule="auto"/>
        <w:ind w:left="1985"/>
        <w:jc w:val="both"/>
        <w:rPr>
          <w:rFonts w:ascii="Arial" w:eastAsia="Calibri" w:hAnsi="Arial" w:cs="Arial"/>
          <w:lang w:val="es-ES"/>
        </w:rPr>
      </w:pPr>
      <w:r w:rsidRPr="00B5723A">
        <w:rPr>
          <w:rFonts w:ascii="Arial" w:eastAsia="Calibri" w:hAnsi="Arial" w:cs="Arial"/>
          <w:lang w:val="es-ES"/>
        </w:rPr>
        <w:tab/>
        <w:t>- Ubicación geográfica: departamento (s), provincia (s) y distrito (s)</w:t>
      </w:r>
    </w:p>
    <w:p w:rsidR="00B5723A" w:rsidRPr="00B5723A" w:rsidRDefault="00B5723A" w:rsidP="0096741E">
      <w:pPr>
        <w:spacing w:after="0" w:line="240" w:lineRule="auto"/>
        <w:ind w:left="1985"/>
        <w:jc w:val="both"/>
        <w:rPr>
          <w:rFonts w:ascii="Arial" w:eastAsia="Calibri" w:hAnsi="Arial" w:cs="Arial"/>
          <w:lang w:val="es-ES"/>
        </w:rPr>
      </w:pPr>
      <w:r w:rsidRPr="00B5723A">
        <w:rPr>
          <w:rFonts w:ascii="Arial" w:eastAsia="Calibri" w:hAnsi="Arial" w:cs="Arial"/>
          <w:lang w:val="es-ES"/>
        </w:rPr>
        <w:tab/>
        <w:t>- Fecha</w:t>
      </w:r>
    </w:p>
    <w:p w:rsidR="00B5723A" w:rsidRPr="00B5723A" w:rsidRDefault="00B5723A" w:rsidP="0096741E">
      <w:pPr>
        <w:spacing w:after="0" w:line="240" w:lineRule="auto"/>
        <w:ind w:left="1985"/>
        <w:jc w:val="both"/>
        <w:rPr>
          <w:rFonts w:ascii="Arial" w:eastAsia="Calibri" w:hAnsi="Arial" w:cs="Arial"/>
          <w:lang w:val="es-ES"/>
        </w:rPr>
      </w:pPr>
      <w:r w:rsidRPr="00B5723A">
        <w:rPr>
          <w:rFonts w:ascii="Arial" w:eastAsia="Calibri" w:hAnsi="Arial" w:cs="Arial"/>
          <w:lang w:val="es-ES"/>
        </w:rPr>
        <w:tab/>
        <w:t>- Nombre del profesional competente o verificador que elaboro el plano.</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96741E">
      <w:pPr>
        <w:spacing w:after="0" w:line="240" w:lineRule="auto"/>
        <w:ind w:left="1985" w:hanging="709"/>
        <w:jc w:val="both"/>
        <w:rPr>
          <w:rFonts w:ascii="Arial" w:eastAsia="Calibri" w:hAnsi="Arial" w:cs="Arial"/>
          <w:lang w:val="es-ES"/>
        </w:rPr>
      </w:pPr>
      <w:r w:rsidRPr="00B5723A">
        <w:rPr>
          <w:rFonts w:ascii="Arial" w:eastAsia="Calibri" w:hAnsi="Arial" w:cs="Arial"/>
          <w:lang w:val="es-ES"/>
        </w:rPr>
        <w:t xml:space="preserve">d) </w:t>
      </w:r>
      <w:r w:rsidR="0096741E">
        <w:rPr>
          <w:rFonts w:ascii="Arial" w:eastAsia="Calibri" w:hAnsi="Arial" w:cs="Arial"/>
          <w:lang w:val="es-ES"/>
        </w:rPr>
        <w:tab/>
      </w:r>
      <w:r w:rsidRPr="00B5723A">
        <w:rPr>
          <w:rFonts w:ascii="Arial" w:eastAsia="Calibri" w:hAnsi="Arial" w:cs="Arial"/>
          <w:lang w:val="es-ES"/>
        </w:rPr>
        <w:t>Debe estar firmado y sellado por el técnico catastral.</w:t>
      </w:r>
    </w:p>
    <w:p w:rsidR="00B5723A" w:rsidRPr="00B5723A" w:rsidRDefault="00B5723A" w:rsidP="0096741E">
      <w:pPr>
        <w:spacing w:after="0" w:line="240" w:lineRule="auto"/>
        <w:ind w:left="1985" w:hanging="709"/>
        <w:jc w:val="both"/>
        <w:rPr>
          <w:rFonts w:ascii="Arial" w:eastAsia="Calibri" w:hAnsi="Arial" w:cs="Arial"/>
          <w:lang w:val="es-ES"/>
        </w:rPr>
      </w:pPr>
    </w:p>
    <w:p w:rsidR="00B5723A" w:rsidRPr="00B5723A" w:rsidRDefault="00B5723A" w:rsidP="0096741E">
      <w:pPr>
        <w:spacing w:after="0" w:line="240" w:lineRule="auto"/>
        <w:ind w:left="1985" w:hanging="709"/>
        <w:jc w:val="both"/>
        <w:rPr>
          <w:rFonts w:ascii="Arial" w:eastAsia="Calibri" w:hAnsi="Arial" w:cs="Arial"/>
          <w:lang w:val="es-ES"/>
        </w:rPr>
      </w:pPr>
      <w:r w:rsidRPr="00B5723A">
        <w:rPr>
          <w:rFonts w:ascii="Arial" w:eastAsia="Calibri" w:hAnsi="Arial" w:cs="Arial"/>
          <w:lang w:val="es-ES"/>
        </w:rPr>
        <w:t xml:space="preserve">e) </w:t>
      </w:r>
      <w:r w:rsidR="0096741E">
        <w:rPr>
          <w:rFonts w:ascii="Arial" w:eastAsia="Calibri" w:hAnsi="Arial" w:cs="Arial"/>
          <w:lang w:val="es-ES"/>
        </w:rPr>
        <w:tab/>
      </w:r>
      <w:r w:rsidRPr="00B5723A">
        <w:rPr>
          <w:rFonts w:ascii="Arial" w:eastAsia="Calibri" w:hAnsi="Arial" w:cs="Arial"/>
          <w:lang w:val="es-ES"/>
        </w:rPr>
        <w:t>Adicionalmente, si el inmueble corresponde al ámbito urbano, el plano de ubicación debe elaborarse indicándose el nombre de la calle, la numeración municipal actual y anterior, de ser posible, debiéndose graficar la posición del terreno, respecto de las calles adyacentes, indicando la distancia del inmueble a la esquina transversal más cercana, el área y perímetro del inmueble, expresada en el sistema métrico decimal con una aproximación a dos decimales.</w:t>
      </w:r>
    </w:p>
    <w:p w:rsidR="00B5723A" w:rsidRPr="00B5723A" w:rsidRDefault="00B5723A" w:rsidP="0096741E">
      <w:pPr>
        <w:spacing w:after="0" w:line="240" w:lineRule="auto"/>
        <w:ind w:left="1985" w:hanging="709"/>
        <w:jc w:val="both"/>
        <w:rPr>
          <w:rFonts w:ascii="Arial" w:eastAsia="Calibri" w:hAnsi="Arial" w:cs="Arial"/>
          <w:lang w:val="es-ES"/>
        </w:rPr>
      </w:pPr>
    </w:p>
    <w:p w:rsidR="00B5723A" w:rsidRPr="00B5723A" w:rsidRDefault="00B5723A" w:rsidP="0096741E">
      <w:pPr>
        <w:spacing w:after="0" w:line="240" w:lineRule="auto"/>
        <w:ind w:left="1985" w:hanging="709"/>
        <w:jc w:val="both"/>
        <w:rPr>
          <w:rFonts w:ascii="Arial" w:eastAsia="Calibri" w:hAnsi="Arial" w:cs="Arial"/>
          <w:lang w:val="es-ES"/>
        </w:rPr>
      </w:pPr>
      <w:r w:rsidRPr="00B5723A">
        <w:rPr>
          <w:rFonts w:ascii="Arial" w:eastAsia="Calibri" w:hAnsi="Arial" w:cs="Arial"/>
          <w:lang w:val="es-ES"/>
        </w:rPr>
        <w:t xml:space="preserve">f) </w:t>
      </w:r>
      <w:r w:rsidR="0096741E">
        <w:rPr>
          <w:rFonts w:ascii="Arial" w:eastAsia="Calibri" w:hAnsi="Arial" w:cs="Arial"/>
          <w:lang w:val="es-ES"/>
        </w:rPr>
        <w:tab/>
      </w:r>
      <w:r w:rsidRPr="00B5723A">
        <w:rPr>
          <w:rFonts w:ascii="Arial" w:eastAsia="Calibri" w:hAnsi="Arial" w:cs="Arial"/>
          <w:lang w:val="es-ES"/>
        </w:rPr>
        <w:t>Si el inmueble corresponde al ámbito rural, el plano de ubicación debe elaborarse graficándose las referencias físicas y detalles topográficos no perecederos que existan en la zona, tales como los trazos y toponimias de ríos, quebradas, acantilados, zonas arqueológicas y otros que ayuden a determinar la ubicación del inmueble; asimismo, el área del inmueble debe estar expresada en hectáreas y con una aproximación a cuatro decimales.</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96741E">
      <w:pPr>
        <w:spacing w:after="0" w:line="240" w:lineRule="auto"/>
        <w:ind w:left="1134"/>
        <w:jc w:val="both"/>
        <w:rPr>
          <w:rFonts w:ascii="Arial" w:eastAsia="Calibri" w:hAnsi="Arial" w:cs="Arial"/>
          <w:lang w:val="es-ES"/>
        </w:rPr>
      </w:pPr>
      <w:r w:rsidRPr="00B5723A">
        <w:rPr>
          <w:rFonts w:ascii="Arial" w:eastAsia="Calibri" w:hAnsi="Arial" w:cs="Arial"/>
          <w:lang w:val="es-ES"/>
        </w:rPr>
        <w:t>Memoria Descriptiva</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96741E">
      <w:pPr>
        <w:spacing w:after="0" w:line="240" w:lineRule="auto"/>
        <w:ind w:left="1134"/>
        <w:jc w:val="both"/>
        <w:rPr>
          <w:rFonts w:ascii="Arial" w:eastAsia="Calibri" w:hAnsi="Arial" w:cs="Arial"/>
          <w:lang w:val="es-ES"/>
        </w:rPr>
      </w:pPr>
      <w:r w:rsidRPr="00B5723A">
        <w:rPr>
          <w:rFonts w:ascii="Arial" w:eastAsia="Calibri" w:hAnsi="Arial" w:cs="Arial"/>
          <w:lang w:val="es-ES"/>
        </w:rPr>
        <w:t>La Memoria Descriptiva debe contener la descripción literal de los linderos, medidas perimétricas y área del inmueble, la fecha de elaboración; asimismo, los nombres de los propietarios y/o posesionarios de los inmuebles colindantes (si los hubiere), y debe estar firmada y sellada por el técnico catastral.</w:t>
      </w:r>
    </w:p>
    <w:p w:rsidR="00B5723A" w:rsidRPr="00B5723A" w:rsidRDefault="00B5723A" w:rsidP="00B5723A">
      <w:pPr>
        <w:spacing w:after="0" w:line="240" w:lineRule="auto"/>
        <w:jc w:val="both"/>
        <w:rPr>
          <w:rFonts w:ascii="Arial" w:eastAsia="Calibri" w:hAnsi="Arial" w:cs="Arial"/>
          <w:lang w:val="es-ES"/>
        </w:rPr>
      </w:pPr>
    </w:p>
    <w:p w:rsidR="00B5723A" w:rsidRPr="0096741E" w:rsidRDefault="00B5723A" w:rsidP="00B5723A">
      <w:pPr>
        <w:spacing w:after="0" w:line="240" w:lineRule="auto"/>
        <w:jc w:val="both"/>
        <w:rPr>
          <w:rFonts w:ascii="Arial" w:eastAsia="Calibri" w:hAnsi="Arial" w:cs="Arial"/>
          <w:b/>
          <w:lang w:val="es-ES"/>
        </w:rPr>
      </w:pPr>
      <w:r w:rsidRPr="0096741E">
        <w:rPr>
          <w:rFonts w:ascii="Arial" w:eastAsia="Calibri" w:hAnsi="Arial" w:cs="Arial"/>
          <w:b/>
          <w:lang w:val="es-ES"/>
        </w:rPr>
        <w:t>VIII. DISPOSICIONES COMPLEMENTARIAS FINALES</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B5723A">
      <w:pPr>
        <w:spacing w:after="0" w:line="240" w:lineRule="auto"/>
        <w:jc w:val="both"/>
        <w:rPr>
          <w:rFonts w:ascii="Arial" w:eastAsia="Calibri" w:hAnsi="Arial" w:cs="Arial"/>
          <w:lang w:val="es-ES"/>
        </w:rPr>
      </w:pPr>
      <w:r w:rsidRPr="0096741E">
        <w:rPr>
          <w:rFonts w:ascii="Arial" w:eastAsia="Calibri" w:hAnsi="Arial" w:cs="Arial"/>
          <w:b/>
          <w:lang w:val="es-ES"/>
        </w:rPr>
        <w:t>Primera.-</w:t>
      </w:r>
      <w:r w:rsidRPr="00B5723A">
        <w:rPr>
          <w:rFonts w:ascii="Arial" w:eastAsia="Calibri" w:hAnsi="Arial" w:cs="Arial"/>
          <w:lang w:val="es-ES"/>
        </w:rPr>
        <w:t xml:space="preserve"> Para un mejor entendimiento de las disposiciones contenidas en la presente Directiva, en el Anexo Nº 05 se precisa el Glosario de Definiciones y Términos utilizados en su contenido.</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B5723A">
      <w:pPr>
        <w:spacing w:after="0" w:line="240" w:lineRule="auto"/>
        <w:jc w:val="both"/>
        <w:rPr>
          <w:rFonts w:ascii="Arial" w:eastAsia="Calibri" w:hAnsi="Arial" w:cs="Arial"/>
          <w:lang w:val="es-ES"/>
        </w:rPr>
      </w:pPr>
      <w:r w:rsidRPr="0096741E">
        <w:rPr>
          <w:rFonts w:ascii="Arial" w:eastAsia="Calibri" w:hAnsi="Arial" w:cs="Arial"/>
          <w:b/>
          <w:lang w:val="es-ES"/>
        </w:rPr>
        <w:t>Segunda.-</w:t>
      </w:r>
      <w:r w:rsidRPr="00B5723A">
        <w:rPr>
          <w:rFonts w:ascii="Arial" w:eastAsia="Calibri" w:hAnsi="Arial" w:cs="Arial"/>
          <w:lang w:val="es-ES"/>
        </w:rPr>
        <w:t xml:space="preserve"> La SBN, a través de la SDRC o la unidad orgánica que haga sus veces, es responsable de ejecutar las acciones de levantamiento catastral reguladas en la presente Directiva.</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B5723A">
      <w:pPr>
        <w:spacing w:after="0" w:line="240" w:lineRule="auto"/>
        <w:jc w:val="both"/>
        <w:rPr>
          <w:rFonts w:ascii="Arial" w:eastAsia="Calibri" w:hAnsi="Arial" w:cs="Arial"/>
          <w:lang w:val="es-ES"/>
        </w:rPr>
      </w:pPr>
      <w:r w:rsidRPr="00B5723A">
        <w:rPr>
          <w:rFonts w:ascii="Arial" w:eastAsia="Calibri" w:hAnsi="Arial" w:cs="Arial"/>
          <w:lang w:val="es-ES"/>
        </w:rPr>
        <w:t>Corresponde a las unidades orgánicas de las entidades que conforman el SNBE, con competencia de acuerdo a sus documentos internos de gestión, velar por el cumplimiento de las disposiciones contenidas en la presente Directiva.</w:t>
      </w:r>
    </w:p>
    <w:p w:rsidR="0096741E" w:rsidRDefault="0096741E" w:rsidP="00B5723A">
      <w:pPr>
        <w:spacing w:after="0" w:line="240" w:lineRule="auto"/>
        <w:jc w:val="both"/>
        <w:rPr>
          <w:rFonts w:ascii="Arial" w:eastAsia="Calibri" w:hAnsi="Arial" w:cs="Arial"/>
          <w:lang w:val="es-ES"/>
        </w:rPr>
      </w:pPr>
    </w:p>
    <w:p w:rsidR="00B5723A" w:rsidRPr="00B5723A" w:rsidRDefault="00B5723A" w:rsidP="00B5723A">
      <w:pPr>
        <w:spacing w:after="0" w:line="240" w:lineRule="auto"/>
        <w:jc w:val="both"/>
        <w:rPr>
          <w:rFonts w:ascii="Arial" w:eastAsia="Calibri" w:hAnsi="Arial" w:cs="Arial"/>
          <w:lang w:val="es-ES"/>
        </w:rPr>
      </w:pPr>
      <w:r w:rsidRPr="0096741E">
        <w:rPr>
          <w:rFonts w:ascii="Arial" w:eastAsia="Calibri" w:hAnsi="Arial" w:cs="Arial"/>
          <w:b/>
          <w:lang w:val="es-ES"/>
        </w:rPr>
        <w:t>Tercera.-</w:t>
      </w:r>
      <w:r w:rsidRPr="00B5723A">
        <w:rPr>
          <w:rFonts w:ascii="Arial" w:eastAsia="Calibri" w:hAnsi="Arial" w:cs="Arial"/>
          <w:lang w:val="es-ES"/>
        </w:rPr>
        <w:t xml:space="preserve"> En tanto se implementen los sistemas informáticos para el desarrollo de una Base de Datos Catastral en la SBN, las unidades orgánicas de la SBN y de las entidades que remiten información, presentaran sus planos perimétrícos y memorias descriptivas correspondientes con las especificaciones técnicas y de acuerdo a las metodologías establecidas en la presente Directiva.</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B5723A">
      <w:pPr>
        <w:spacing w:after="0" w:line="240" w:lineRule="auto"/>
        <w:jc w:val="both"/>
        <w:rPr>
          <w:rFonts w:ascii="Arial" w:eastAsia="Calibri" w:hAnsi="Arial" w:cs="Arial"/>
          <w:lang w:val="es-ES"/>
        </w:rPr>
      </w:pPr>
      <w:r w:rsidRPr="0096741E">
        <w:rPr>
          <w:rFonts w:ascii="Arial" w:eastAsia="Calibri" w:hAnsi="Arial" w:cs="Arial"/>
          <w:b/>
          <w:lang w:val="es-ES"/>
        </w:rPr>
        <w:t>Cuarta.-</w:t>
      </w:r>
      <w:r w:rsidRPr="00B5723A">
        <w:rPr>
          <w:rFonts w:ascii="Arial" w:eastAsia="Calibri" w:hAnsi="Arial" w:cs="Arial"/>
          <w:lang w:val="es-ES"/>
        </w:rPr>
        <w:t xml:space="preserve"> La Ficha Catastral y el instructivo que se utilizará en la SBN son aprobados mediante Resolución.</w:t>
      </w:r>
    </w:p>
    <w:p w:rsidR="00B5723A" w:rsidRDefault="00B5723A" w:rsidP="00B5723A">
      <w:pPr>
        <w:spacing w:after="0" w:line="240" w:lineRule="auto"/>
        <w:jc w:val="both"/>
        <w:rPr>
          <w:rFonts w:ascii="Arial" w:eastAsia="Calibri" w:hAnsi="Arial" w:cs="Arial"/>
          <w:lang w:val="es-ES"/>
        </w:rPr>
      </w:pPr>
    </w:p>
    <w:p w:rsidR="00B5723A" w:rsidRPr="0096741E" w:rsidRDefault="00B5723A" w:rsidP="00B5723A">
      <w:pPr>
        <w:spacing w:after="0" w:line="240" w:lineRule="auto"/>
        <w:jc w:val="both"/>
        <w:rPr>
          <w:rFonts w:ascii="Arial" w:eastAsia="Calibri" w:hAnsi="Arial" w:cs="Arial"/>
          <w:b/>
          <w:lang w:val="es-ES"/>
        </w:rPr>
      </w:pPr>
      <w:r w:rsidRPr="0096741E">
        <w:rPr>
          <w:rFonts w:ascii="Arial" w:eastAsia="Calibri" w:hAnsi="Arial" w:cs="Arial"/>
          <w:b/>
          <w:lang w:val="es-ES"/>
        </w:rPr>
        <w:t>IX. ANEXOS</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B5723A">
      <w:pPr>
        <w:spacing w:after="0" w:line="240" w:lineRule="auto"/>
        <w:jc w:val="both"/>
        <w:rPr>
          <w:rFonts w:ascii="Arial" w:eastAsia="Calibri" w:hAnsi="Arial" w:cs="Arial"/>
          <w:lang w:val="es-ES"/>
        </w:rPr>
      </w:pPr>
      <w:r w:rsidRPr="00B5723A">
        <w:rPr>
          <w:rFonts w:ascii="Arial" w:eastAsia="Calibri" w:hAnsi="Arial" w:cs="Arial"/>
          <w:lang w:val="es-ES"/>
        </w:rPr>
        <w:tab/>
        <w:t>Forman parte de la presente Directiva, los anexos que a continuación se indican:</w:t>
      </w:r>
    </w:p>
    <w:p w:rsidR="00B5723A" w:rsidRPr="00B5723A" w:rsidRDefault="00B5723A" w:rsidP="00B5723A">
      <w:pPr>
        <w:spacing w:after="0" w:line="240" w:lineRule="auto"/>
        <w:jc w:val="both"/>
        <w:rPr>
          <w:rFonts w:ascii="Arial" w:eastAsia="Calibri" w:hAnsi="Arial" w:cs="Arial"/>
          <w:lang w:val="es-ES"/>
        </w:rPr>
      </w:pPr>
    </w:p>
    <w:p w:rsidR="00B5723A" w:rsidRPr="00B5723A" w:rsidRDefault="00B5723A" w:rsidP="00B5723A">
      <w:pPr>
        <w:spacing w:after="0" w:line="240" w:lineRule="auto"/>
        <w:jc w:val="both"/>
        <w:rPr>
          <w:rFonts w:ascii="Arial" w:eastAsia="Calibri" w:hAnsi="Arial" w:cs="Arial"/>
          <w:lang w:val="es-ES"/>
        </w:rPr>
      </w:pPr>
      <w:r w:rsidRPr="00B5723A">
        <w:rPr>
          <w:rFonts w:ascii="Arial" w:eastAsia="Calibri" w:hAnsi="Arial" w:cs="Arial"/>
          <w:lang w:val="es-ES"/>
        </w:rPr>
        <w:tab/>
        <w:t>Anexo Nº 01: Flujogramas</w:t>
      </w:r>
    </w:p>
    <w:p w:rsidR="00B5723A" w:rsidRPr="00B5723A" w:rsidRDefault="00B5723A" w:rsidP="00B5723A">
      <w:pPr>
        <w:spacing w:after="0" w:line="240" w:lineRule="auto"/>
        <w:jc w:val="both"/>
        <w:rPr>
          <w:rFonts w:ascii="Arial" w:eastAsia="Calibri" w:hAnsi="Arial" w:cs="Arial"/>
          <w:lang w:val="es-ES"/>
        </w:rPr>
      </w:pPr>
      <w:r w:rsidRPr="00B5723A">
        <w:rPr>
          <w:rFonts w:ascii="Arial" w:eastAsia="Calibri" w:hAnsi="Arial" w:cs="Arial"/>
          <w:lang w:val="es-ES"/>
        </w:rPr>
        <w:tab/>
        <w:t>Anexo Nº 02: Especificaciones técnicas para el levantamiento catastral</w:t>
      </w:r>
    </w:p>
    <w:p w:rsidR="00B5723A" w:rsidRPr="00B5723A" w:rsidRDefault="00B5723A" w:rsidP="00B5723A">
      <w:pPr>
        <w:spacing w:after="0" w:line="240" w:lineRule="auto"/>
        <w:jc w:val="both"/>
        <w:rPr>
          <w:rFonts w:ascii="Arial" w:eastAsia="Calibri" w:hAnsi="Arial" w:cs="Arial"/>
          <w:lang w:val="es-ES"/>
        </w:rPr>
      </w:pPr>
      <w:r w:rsidRPr="00B5723A">
        <w:rPr>
          <w:rFonts w:ascii="Arial" w:eastAsia="Calibri" w:hAnsi="Arial" w:cs="Arial"/>
          <w:lang w:val="es-ES"/>
        </w:rPr>
        <w:tab/>
        <w:t>Anexo Nº 03: Formatos para levantamiento catastral</w:t>
      </w:r>
    </w:p>
    <w:p w:rsidR="00B5723A" w:rsidRPr="00B5723A" w:rsidRDefault="00B5723A" w:rsidP="00B5723A">
      <w:pPr>
        <w:spacing w:after="0" w:line="240" w:lineRule="auto"/>
        <w:jc w:val="both"/>
        <w:rPr>
          <w:rFonts w:ascii="Arial" w:eastAsia="Calibri" w:hAnsi="Arial" w:cs="Arial"/>
          <w:lang w:val="es-ES"/>
        </w:rPr>
      </w:pPr>
      <w:r w:rsidRPr="00B5723A">
        <w:rPr>
          <w:rFonts w:ascii="Arial" w:eastAsia="Calibri" w:hAnsi="Arial" w:cs="Arial"/>
          <w:lang w:val="es-ES"/>
        </w:rPr>
        <w:tab/>
        <w:t>Anexo Nº 04: Gráficos e imágenes</w:t>
      </w:r>
    </w:p>
    <w:p w:rsidR="00B5723A" w:rsidRPr="00B5723A" w:rsidRDefault="00B5723A" w:rsidP="00B5723A">
      <w:pPr>
        <w:spacing w:after="0" w:line="240" w:lineRule="auto"/>
        <w:jc w:val="both"/>
        <w:rPr>
          <w:rFonts w:ascii="Arial" w:eastAsia="Calibri" w:hAnsi="Arial" w:cs="Arial"/>
          <w:lang w:val="es-ES"/>
        </w:rPr>
      </w:pPr>
      <w:r w:rsidRPr="00B5723A">
        <w:rPr>
          <w:rFonts w:ascii="Arial" w:eastAsia="Calibri" w:hAnsi="Arial" w:cs="Arial"/>
          <w:lang w:val="es-ES"/>
        </w:rPr>
        <w:tab/>
        <w:t>Anexo Nº 05: Glosario de definiciones y términos</w:t>
      </w:r>
    </w:p>
    <w:p w:rsidR="006312E8" w:rsidRPr="006312E8" w:rsidRDefault="00B5723A" w:rsidP="00B5723A">
      <w:pPr>
        <w:spacing w:after="0" w:line="240" w:lineRule="auto"/>
        <w:jc w:val="both"/>
        <w:rPr>
          <w:rFonts w:ascii="Arial" w:eastAsia="Calibri" w:hAnsi="Arial" w:cs="Arial"/>
          <w:lang w:val="es-ES"/>
        </w:rPr>
      </w:pPr>
      <w:r w:rsidRPr="00B5723A">
        <w:rPr>
          <w:rFonts w:ascii="Arial" w:eastAsia="Calibri" w:hAnsi="Arial" w:cs="Arial"/>
          <w:lang w:val="es-ES"/>
        </w:rPr>
        <w:tab/>
        <w:t>Anexo Nº 06: Abreviaturas</w:t>
      </w:r>
    </w:p>
    <w:p w:rsidR="00B5723A" w:rsidRDefault="00B5723A" w:rsidP="00E104C8">
      <w:pPr>
        <w:pStyle w:val="TITO2"/>
      </w:pPr>
      <w:bookmarkStart w:id="224" w:name="_Toc392856205"/>
      <w:bookmarkStart w:id="225" w:name="_Toc399335480"/>
      <w:bookmarkStart w:id="226" w:name="_Toc421025428"/>
    </w:p>
    <w:p w:rsidR="00B5723A" w:rsidRDefault="00B5723A" w:rsidP="00E104C8">
      <w:pPr>
        <w:pStyle w:val="TITO2"/>
      </w:pPr>
    </w:p>
    <w:p w:rsidR="00B5723A" w:rsidRDefault="00B5723A" w:rsidP="00E104C8">
      <w:pPr>
        <w:pStyle w:val="TITO2"/>
      </w:pPr>
    </w:p>
    <w:p w:rsidR="00B5723A" w:rsidRDefault="00B5723A" w:rsidP="00E104C8">
      <w:pPr>
        <w:pStyle w:val="TITO2"/>
      </w:pPr>
    </w:p>
    <w:p w:rsidR="00B5723A" w:rsidRDefault="00B5723A" w:rsidP="00E104C8">
      <w:pPr>
        <w:pStyle w:val="TITO2"/>
      </w:pPr>
    </w:p>
    <w:p w:rsidR="00B5723A" w:rsidRDefault="00B5723A" w:rsidP="00E104C8">
      <w:pPr>
        <w:pStyle w:val="TITO2"/>
      </w:pPr>
    </w:p>
    <w:p w:rsidR="00B5723A" w:rsidRDefault="00B5723A" w:rsidP="00E104C8">
      <w:pPr>
        <w:pStyle w:val="TITO2"/>
      </w:pPr>
    </w:p>
    <w:p w:rsidR="00B5723A" w:rsidRDefault="00B5723A" w:rsidP="00E104C8">
      <w:pPr>
        <w:pStyle w:val="TITO2"/>
      </w:pPr>
    </w:p>
    <w:p w:rsidR="00B5723A" w:rsidRDefault="00B5723A" w:rsidP="00E104C8">
      <w:pPr>
        <w:pStyle w:val="TITO2"/>
      </w:pPr>
    </w:p>
    <w:p w:rsidR="00B5723A" w:rsidRDefault="00B5723A" w:rsidP="00E104C8">
      <w:pPr>
        <w:pStyle w:val="TITO2"/>
      </w:pPr>
    </w:p>
    <w:p w:rsidR="00B5723A" w:rsidRDefault="00B5723A" w:rsidP="00E104C8">
      <w:pPr>
        <w:pStyle w:val="TITO2"/>
      </w:pPr>
    </w:p>
    <w:p w:rsidR="00B5723A" w:rsidRDefault="00B5723A" w:rsidP="00E104C8">
      <w:pPr>
        <w:pStyle w:val="TITO2"/>
      </w:pPr>
    </w:p>
    <w:p w:rsidR="00B5723A" w:rsidRDefault="00B5723A" w:rsidP="00E104C8">
      <w:pPr>
        <w:pStyle w:val="TITO2"/>
      </w:pPr>
    </w:p>
    <w:p w:rsidR="00B5723A" w:rsidRDefault="00B5723A" w:rsidP="00E104C8">
      <w:pPr>
        <w:pStyle w:val="TITO2"/>
      </w:pPr>
    </w:p>
    <w:p w:rsidR="00B5723A" w:rsidRDefault="00B5723A" w:rsidP="00E104C8">
      <w:pPr>
        <w:pStyle w:val="TITO2"/>
      </w:pPr>
    </w:p>
    <w:p w:rsidR="00B5723A" w:rsidRDefault="00B5723A" w:rsidP="00E104C8">
      <w:pPr>
        <w:pStyle w:val="TITO2"/>
      </w:pPr>
    </w:p>
    <w:p w:rsidR="00B5723A" w:rsidRDefault="00B5723A" w:rsidP="00E104C8">
      <w:pPr>
        <w:pStyle w:val="TITO2"/>
      </w:pPr>
    </w:p>
    <w:p w:rsidR="00B5723A" w:rsidRDefault="00B5723A" w:rsidP="00E104C8">
      <w:pPr>
        <w:pStyle w:val="TITO2"/>
      </w:pPr>
    </w:p>
    <w:p w:rsidR="00B5723A" w:rsidRDefault="00B5723A" w:rsidP="00E104C8">
      <w:pPr>
        <w:pStyle w:val="TITO2"/>
      </w:pPr>
    </w:p>
    <w:p w:rsidR="00B5723A" w:rsidRDefault="00B5723A" w:rsidP="00E104C8">
      <w:pPr>
        <w:pStyle w:val="TITO2"/>
      </w:pPr>
    </w:p>
    <w:p w:rsidR="00B5723A" w:rsidRDefault="00B5723A" w:rsidP="00E104C8">
      <w:pPr>
        <w:pStyle w:val="TITO2"/>
      </w:pPr>
    </w:p>
    <w:p w:rsidR="00B5723A" w:rsidRDefault="00B5723A" w:rsidP="00E104C8">
      <w:pPr>
        <w:pStyle w:val="TITO2"/>
      </w:pPr>
    </w:p>
    <w:p w:rsidR="00B5723A" w:rsidRDefault="00B5723A" w:rsidP="00E104C8">
      <w:pPr>
        <w:pStyle w:val="TITO2"/>
      </w:pPr>
    </w:p>
    <w:p w:rsidR="00B5723A" w:rsidRDefault="00B5723A" w:rsidP="00E104C8">
      <w:pPr>
        <w:pStyle w:val="TITO2"/>
      </w:pPr>
    </w:p>
    <w:p w:rsidR="00B5723A" w:rsidRDefault="00B5723A" w:rsidP="00E104C8">
      <w:pPr>
        <w:pStyle w:val="TITO2"/>
      </w:pPr>
    </w:p>
    <w:p w:rsidR="00B5723A" w:rsidRDefault="00B5723A" w:rsidP="00E104C8">
      <w:pPr>
        <w:pStyle w:val="TITO2"/>
      </w:pPr>
    </w:p>
    <w:p w:rsidR="00B5723A" w:rsidRDefault="00B5723A" w:rsidP="00E104C8">
      <w:pPr>
        <w:pStyle w:val="TITO2"/>
      </w:pPr>
    </w:p>
    <w:p w:rsidR="00B5723A" w:rsidRDefault="00B5723A" w:rsidP="00E104C8">
      <w:pPr>
        <w:pStyle w:val="TITO2"/>
      </w:pPr>
    </w:p>
    <w:p w:rsidR="00B5723A" w:rsidRDefault="00B5723A" w:rsidP="00E104C8">
      <w:pPr>
        <w:pStyle w:val="TITO2"/>
      </w:pPr>
    </w:p>
    <w:p w:rsidR="00B5723A" w:rsidRDefault="00B5723A" w:rsidP="00E104C8">
      <w:pPr>
        <w:pStyle w:val="TITO2"/>
      </w:pPr>
    </w:p>
    <w:p w:rsidR="0096741E" w:rsidRDefault="0096741E" w:rsidP="00E104C8">
      <w:pPr>
        <w:pStyle w:val="TITO2"/>
      </w:pPr>
    </w:p>
    <w:p w:rsidR="006312E8" w:rsidRPr="006312E8" w:rsidRDefault="006312E8" w:rsidP="00E104C8">
      <w:pPr>
        <w:pStyle w:val="TITO2"/>
      </w:pPr>
      <w:bookmarkStart w:id="227" w:name="_Toc470855531"/>
      <w:r w:rsidRPr="00DF401E">
        <w:rPr>
          <w:highlight w:val="lightGray"/>
        </w:rPr>
        <w:t>ACTOS DE ADQUISICION</w:t>
      </w:r>
      <w:bookmarkEnd w:id="224"/>
      <w:bookmarkEnd w:id="225"/>
      <w:bookmarkEnd w:id="226"/>
      <w:bookmarkEnd w:id="227"/>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200" w:line="276" w:lineRule="auto"/>
        <w:jc w:val="center"/>
        <w:rPr>
          <w:rFonts w:ascii="Arial" w:eastAsia="Calibri" w:hAnsi="Arial" w:cs="Arial"/>
          <w:b/>
          <w:sz w:val="28"/>
          <w:szCs w:val="28"/>
        </w:rPr>
      </w:pPr>
      <w:r w:rsidRPr="006312E8">
        <w:rPr>
          <w:rFonts w:ascii="Arial" w:eastAsia="Calibri" w:hAnsi="Arial" w:cs="Arial"/>
          <w:b/>
          <w:sz w:val="28"/>
          <w:szCs w:val="28"/>
        </w:rPr>
        <w:t>RESOLUCIO</w:t>
      </w:r>
      <w:r w:rsidR="007679F6">
        <w:rPr>
          <w:rFonts w:ascii="Arial" w:eastAsia="Calibri" w:hAnsi="Arial" w:cs="Arial"/>
          <w:b/>
          <w:sz w:val="28"/>
          <w:szCs w:val="28"/>
        </w:rPr>
        <w:t>N Nº 052</w:t>
      </w:r>
      <w:r w:rsidRPr="006312E8">
        <w:rPr>
          <w:rFonts w:ascii="Arial" w:eastAsia="Calibri" w:hAnsi="Arial" w:cs="Arial"/>
          <w:b/>
          <w:sz w:val="28"/>
          <w:szCs w:val="28"/>
        </w:rPr>
        <w:t>-20</w:t>
      </w:r>
      <w:r w:rsidR="007679F6">
        <w:rPr>
          <w:rFonts w:ascii="Arial" w:eastAsia="Calibri" w:hAnsi="Arial" w:cs="Arial"/>
          <w:b/>
          <w:sz w:val="28"/>
          <w:szCs w:val="28"/>
        </w:rPr>
        <w:t>16/</w:t>
      </w:r>
      <w:r w:rsidRPr="006312E8">
        <w:rPr>
          <w:rFonts w:ascii="Arial" w:eastAsia="Calibri" w:hAnsi="Arial" w:cs="Arial"/>
          <w:b/>
          <w:sz w:val="28"/>
          <w:szCs w:val="28"/>
        </w:rPr>
        <w:t>SBN</w:t>
      </w:r>
    </w:p>
    <w:p w:rsidR="006312E8" w:rsidRPr="006312E8" w:rsidRDefault="007679F6" w:rsidP="007679F6">
      <w:pPr>
        <w:spacing w:after="0" w:line="240" w:lineRule="auto"/>
        <w:jc w:val="center"/>
        <w:rPr>
          <w:rFonts w:ascii="Arial" w:eastAsia="Calibri" w:hAnsi="Arial" w:cs="Arial"/>
          <w:lang w:val="es-ES"/>
        </w:rPr>
      </w:pPr>
      <w:r w:rsidRPr="007679F6">
        <w:rPr>
          <w:rFonts w:ascii="Arial" w:eastAsia="Calibri" w:hAnsi="Arial" w:cs="Arial"/>
          <w:b/>
          <w:lang w:val="es-ES"/>
        </w:rPr>
        <w:t>Aprueban Directiva N° 002-2016/SBN “Procedimiento para la primera inscripción de dominio de predios del Estado”</w:t>
      </w:r>
    </w:p>
    <w:p w:rsidR="006312E8" w:rsidRPr="006312E8" w:rsidRDefault="007679F6" w:rsidP="006312E8">
      <w:pPr>
        <w:spacing w:after="0" w:line="240" w:lineRule="auto"/>
        <w:jc w:val="right"/>
        <w:rPr>
          <w:rFonts w:ascii="Arial" w:eastAsia="Calibri" w:hAnsi="Arial" w:cs="Arial"/>
          <w:b/>
          <w:lang w:val="es-ES"/>
        </w:rPr>
      </w:pPr>
      <w:r>
        <w:rPr>
          <w:rFonts w:ascii="Arial" w:eastAsia="Calibri" w:hAnsi="Arial" w:cs="Arial"/>
          <w:b/>
          <w:lang w:val="es-ES"/>
        </w:rPr>
        <w:t>Fecha de publicación: 15</w:t>
      </w:r>
      <w:r w:rsidR="006312E8" w:rsidRPr="006312E8">
        <w:rPr>
          <w:rFonts w:ascii="Arial" w:eastAsia="Calibri" w:hAnsi="Arial" w:cs="Arial"/>
          <w:b/>
          <w:lang w:val="es-ES"/>
        </w:rPr>
        <w:t>-0</w:t>
      </w:r>
      <w:r>
        <w:rPr>
          <w:rFonts w:ascii="Arial" w:eastAsia="Calibri" w:hAnsi="Arial" w:cs="Arial"/>
          <w:b/>
          <w:lang w:val="es-ES"/>
        </w:rPr>
        <w:t>7</w:t>
      </w:r>
      <w:r w:rsidR="006312E8" w:rsidRPr="006312E8">
        <w:rPr>
          <w:rFonts w:ascii="Arial" w:eastAsia="Calibri" w:hAnsi="Arial" w:cs="Arial"/>
          <w:b/>
          <w:lang w:val="es-ES"/>
        </w:rPr>
        <w:t>-20</w:t>
      </w:r>
      <w:r>
        <w:rPr>
          <w:rFonts w:ascii="Arial" w:eastAsia="Calibri" w:hAnsi="Arial" w:cs="Arial"/>
          <w:b/>
          <w:lang w:val="es-ES"/>
        </w:rPr>
        <w:t>16</w:t>
      </w:r>
    </w:p>
    <w:p w:rsidR="006312E8" w:rsidRPr="006312E8" w:rsidRDefault="006312E8" w:rsidP="006312E8">
      <w:pPr>
        <w:spacing w:after="0" w:line="240" w:lineRule="auto"/>
        <w:jc w:val="both"/>
        <w:rPr>
          <w:rFonts w:ascii="Arial" w:eastAsia="Calibri" w:hAnsi="Arial" w:cs="Arial"/>
          <w:lang w:val="es-ES"/>
        </w:rPr>
      </w:pPr>
    </w:p>
    <w:p w:rsidR="006312E8" w:rsidRPr="007679F6" w:rsidRDefault="007679F6" w:rsidP="006312E8">
      <w:pPr>
        <w:spacing w:after="0" w:line="240" w:lineRule="auto"/>
        <w:jc w:val="both"/>
        <w:rPr>
          <w:rFonts w:ascii="Arial" w:eastAsia="Calibri" w:hAnsi="Arial" w:cs="Arial"/>
          <w:lang w:val="es-ES"/>
        </w:rPr>
      </w:pPr>
      <w:r w:rsidRPr="007679F6">
        <w:rPr>
          <w:rFonts w:ascii="Arial" w:eastAsia="Calibri" w:hAnsi="Arial" w:cs="Arial"/>
          <w:lang w:val="es-ES"/>
        </w:rPr>
        <w:t>San isidro, 13</w:t>
      </w:r>
      <w:r w:rsidR="006312E8" w:rsidRPr="007679F6">
        <w:rPr>
          <w:rFonts w:ascii="Arial" w:eastAsia="Calibri" w:hAnsi="Arial" w:cs="Arial"/>
          <w:lang w:val="es-ES"/>
        </w:rPr>
        <w:t xml:space="preserve"> de abril de 2002</w:t>
      </w:r>
    </w:p>
    <w:p w:rsidR="007679F6" w:rsidRDefault="007679F6" w:rsidP="007679F6">
      <w:pPr>
        <w:spacing w:after="0" w:line="240" w:lineRule="auto"/>
        <w:jc w:val="both"/>
        <w:rPr>
          <w:rFonts w:ascii="Arial" w:eastAsia="Calibri" w:hAnsi="Arial" w:cs="Arial"/>
          <w:lang w:val="es-ES"/>
        </w:rPr>
      </w:pPr>
    </w:p>
    <w:p w:rsidR="007679F6" w:rsidRPr="007679F6" w:rsidRDefault="007679F6" w:rsidP="007679F6">
      <w:pPr>
        <w:spacing w:after="0" w:line="240" w:lineRule="auto"/>
        <w:jc w:val="both"/>
        <w:rPr>
          <w:rFonts w:ascii="Arial" w:eastAsia="Calibri" w:hAnsi="Arial" w:cs="Arial"/>
          <w:b/>
          <w:lang w:val="es-ES"/>
        </w:rPr>
      </w:pPr>
      <w:r w:rsidRPr="007679F6">
        <w:rPr>
          <w:rFonts w:ascii="Arial" w:eastAsia="Calibri" w:hAnsi="Arial" w:cs="Arial"/>
          <w:b/>
          <w:lang w:val="es-ES"/>
        </w:rPr>
        <w:t>VISTO:</w:t>
      </w:r>
    </w:p>
    <w:p w:rsidR="007679F6" w:rsidRPr="007679F6" w:rsidRDefault="007679F6" w:rsidP="007679F6">
      <w:pPr>
        <w:spacing w:after="0" w:line="240" w:lineRule="auto"/>
        <w:jc w:val="both"/>
        <w:rPr>
          <w:rFonts w:ascii="Arial" w:eastAsia="Calibri" w:hAnsi="Arial" w:cs="Arial"/>
          <w:lang w:val="es-ES"/>
        </w:rPr>
      </w:pPr>
      <w:r w:rsidRPr="007679F6">
        <w:rPr>
          <w:rFonts w:ascii="Arial" w:eastAsia="Calibri" w:hAnsi="Arial" w:cs="Arial"/>
          <w:lang w:val="es-ES"/>
        </w:rPr>
        <w:t>El Informe Nº</w:t>
      </w:r>
      <w:r>
        <w:rPr>
          <w:rFonts w:ascii="Arial" w:eastAsia="Calibri" w:hAnsi="Arial" w:cs="Arial"/>
          <w:lang w:val="es-ES"/>
        </w:rPr>
        <w:t xml:space="preserve"> </w:t>
      </w:r>
      <w:r w:rsidRPr="007679F6">
        <w:rPr>
          <w:rFonts w:ascii="Arial" w:eastAsia="Calibri" w:hAnsi="Arial" w:cs="Arial"/>
          <w:lang w:val="es-ES"/>
        </w:rPr>
        <w:t>085-2016/SBN-DNR-SDNC de fecha 11 de julio de 2016, emitido por la Subdirección de Normas y Capacitación de la Dirección de Normas y Registro;</w:t>
      </w:r>
    </w:p>
    <w:p w:rsidR="007679F6" w:rsidRPr="007679F6" w:rsidRDefault="007679F6" w:rsidP="007679F6">
      <w:pPr>
        <w:spacing w:after="0" w:line="240" w:lineRule="auto"/>
        <w:jc w:val="both"/>
        <w:rPr>
          <w:rFonts w:ascii="Arial" w:eastAsia="Calibri" w:hAnsi="Arial" w:cs="Arial"/>
          <w:lang w:val="es-ES"/>
        </w:rPr>
      </w:pPr>
    </w:p>
    <w:p w:rsidR="007679F6" w:rsidRPr="007679F6" w:rsidRDefault="007679F6" w:rsidP="007679F6">
      <w:pPr>
        <w:spacing w:after="0" w:line="240" w:lineRule="auto"/>
        <w:jc w:val="both"/>
        <w:rPr>
          <w:rFonts w:ascii="Arial" w:eastAsia="Calibri" w:hAnsi="Arial" w:cs="Arial"/>
          <w:b/>
          <w:lang w:val="es-ES"/>
        </w:rPr>
      </w:pPr>
      <w:r w:rsidRPr="007679F6">
        <w:rPr>
          <w:rFonts w:ascii="Arial" w:eastAsia="Calibri" w:hAnsi="Arial" w:cs="Arial"/>
          <w:b/>
          <w:lang w:val="es-ES"/>
        </w:rPr>
        <w:t>CONSIDERANDO:</w:t>
      </w:r>
    </w:p>
    <w:p w:rsidR="007679F6" w:rsidRPr="007679F6" w:rsidRDefault="007679F6" w:rsidP="007679F6">
      <w:pPr>
        <w:spacing w:after="0" w:line="240" w:lineRule="auto"/>
        <w:jc w:val="both"/>
        <w:rPr>
          <w:rFonts w:ascii="Arial" w:eastAsia="Calibri" w:hAnsi="Arial" w:cs="Arial"/>
          <w:lang w:val="es-ES"/>
        </w:rPr>
      </w:pPr>
      <w:r w:rsidRPr="007679F6">
        <w:rPr>
          <w:rFonts w:ascii="Arial" w:eastAsia="Calibri" w:hAnsi="Arial" w:cs="Arial"/>
          <w:lang w:val="es-ES"/>
        </w:rPr>
        <w:t>Que, la Superintendencia Nacional de Bienes Estatales - SBN es un organismo público ejecutor, adscrito al Ministerio de Vivienda, Construcción y Saneamiento, y el Ente Rector del Sistema Nacional de Bienes Estatales (SNBE), responsable de normar los actos de adquisición, disposición, administración y supervisión de los bienes estatales, así como de ejecutar dichos actos respecto de los bienes cuya administración está a su cargo, de acuerdo a la normatividad vigente, gozando de autonomía económica, presupuestal, financiera, técnica y funcional, de conformidad a lo establecido en la Ley Nº 29151, Ley General del Sistema Nacional de Bienes Estatales y su Reglamento, aprobado por el Decreto Supremo Nº 007-2008-VIVIENDA;</w:t>
      </w:r>
    </w:p>
    <w:p w:rsidR="007679F6" w:rsidRDefault="007679F6" w:rsidP="007679F6">
      <w:pPr>
        <w:spacing w:after="0" w:line="240" w:lineRule="auto"/>
        <w:jc w:val="both"/>
        <w:rPr>
          <w:rFonts w:ascii="Arial" w:eastAsia="Calibri" w:hAnsi="Arial" w:cs="Arial"/>
          <w:lang w:val="es-ES"/>
        </w:rPr>
      </w:pPr>
    </w:p>
    <w:p w:rsidR="007679F6" w:rsidRPr="007679F6" w:rsidRDefault="007679F6" w:rsidP="007679F6">
      <w:pPr>
        <w:spacing w:after="0" w:line="240" w:lineRule="auto"/>
        <w:jc w:val="both"/>
        <w:rPr>
          <w:rFonts w:ascii="Arial" w:eastAsia="Calibri" w:hAnsi="Arial" w:cs="Arial"/>
          <w:lang w:val="es-ES"/>
        </w:rPr>
      </w:pPr>
      <w:r w:rsidRPr="007679F6">
        <w:rPr>
          <w:rFonts w:ascii="Arial" w:eastAsia="Calibri" w:hAnsi="Arial" w:cs="Arial"/>
          <w:lang w:val="es-ES"/>
        </w:rPr>
        <w:t>Que, el literal b) del numeral 14.1 del artículo 14 de la citada Ley, concordante con el literal a) del numeral 9.1 del artículo 9 de su Reglamento, aprobado por el Decreto Supremo Nº 007-2008-VIVIENDA, señala que la SBN, en calidad de ente rector del SNBE, tiene la función de expedir directivas o disposiciones legales, entre otros, sobre los actos de disposición de bienes estatales, de cumplimiento obligatorio por parte de las entidades que conforman el SNBE;</w:t>
      </w:r>
    </w:p>
    <w:p w:rsidR="007679F6" w:rsidRPr="007679F6" w:rsidRDefault="007679F6" w:rsidP="007679F6">
      <w:pPr>
        <w:spacing w:after="0" w:line="240" w:lineRule="auto"/>
        <w:jc w:val="both"/>
        <w:rPr>
          <w:rFonts w:ascii="Arial" w:eastAsia="Calibri" w:hAnsi="Arial" w:cs="Arial"/>
          <w:lang w:val="es-ES"/>
        </w:rPr>
      </w:pPr>
    </w:p>
    <w:p w:rsidR="007679F6" w:rsidRPr="007679F6" w:rsidRDefault="007679F6" w:rsidP="007679F6">
      <w:pPr>
        <w:spacing w:after="0" w:line="240" w:lineRule="auto"/>
        <w:jc w:val="both"/>
        <w:rPr>
          <w:rFonts w:ascii="Arial" w:eastAsia="Calibri" w:hAnsi="Arial" w:cs="Arial"/>
          <w:lang w:val="es-ES"/>
        </w:rPr>
      </w:pPr>
      <w:r>
        <w:rPr>
          <w:rFonts w:ascii="Arial" w:eastAsia="Calibri" w:hAnsi="Arial" w:cs="Arial"/>
          <w:lang w:val="es-ES"/>
        </w:rPr>
        <w:t>Q</w:t>
      </w:r>
      <w:r w:rsidRPr="007679F6">
        <w:rPr>
          <w:rFonts w:ascii="Arial" w:eastAsia="Calibri" w:hAnsi="Arial" w:cs="Arial"/>
          <w:lang w:val="es-ES"/>
        </w:rPr>
        <w:t>ue, de acuerdo al artículo 23 de la Ley Nº 29151, los predios que no se encuentren inscritos en el Registro de Predios y que no constituyen propiedad de particulares ni de las Comunidades Campesinas y Nativas son de dominio del Estado, cuya inmatriculación compete a la SBN, así como a los Gobiernos Regionales que cuentan con funciones transferidas en las zonas de su jurisdicción, sin perjuicio de las competencias legalmente reconocidas por normas especiales a otras entidades;</w:t>
      </w:r>
    </w:p>
    <w:p w:rsidR="007679F6" w:rsidRPr="007679F6" w:rsidRDefault="007679F6" w:rsidP="007679F6">
      <w:pPr>
        <w:spacing w:after="0" w:line="240" w:lineRule="auto"/>
        <w:jc w:val="both"/>
        <w:rPr>
          <w:rFonts w:ascii="Arial" w:eastAsia="Calibri" w:hAnsi="Arial" w:cs="Arial"/>
          <w:lang w:val="es-ES"/>
        </w:rPr>
      </w:pPr>
    </w:p>
    <w:p w:rsidR="007679F6" w:rsidRPr="007679F6" w:rsidRDefault="007679F6" w:rsidP="007679F6">
      <w:pPr>
        <w:spacing w:after="0" w:line="240" w:lineRule="auto"/>
        <w:jc w:val="both"/>
        <w:rPr>
          <w:rFonts w:ascii="Arial" w:eastAsia="Calibri" w:hAnsi="Arial" w:cs="Arial"/>
          <w:lang w:val="es-ES"/>
        </w:rPr>
      </w:pPr>
      <w:r w:rsidRPr="007679F6">
        <w:rPr>
          <w:rFonts w:ascii="Arial" w:eastAsia="Calibri" w:hAnsi="Arial" w:cs="Arial"/>
          <w:lang w:val="es-ES"/>
        </w:rPr>
        <w:t>Que, mediante el documento de visto, la Subdirección de Normas y Capacitación de la Dirección de Normas y Registro ha formulado y sustentado la propuesta de directiva denominada: “Procedimiento para la primera inscripción de dominio de predios del Estado”, la cual recoge las sugerencias de los órganos y unidades orgánicas de la SBN, involucradas en el procedimiento de inscripción de primera de dominio; así como las recomendaciones Nº 9 y 12, formuladas por el Órgano de Control Institucional, a través del Informe de Auditoría Nº 004-2015-2-4413/SBN-OCI-AC;</w:t>
      </w:r>
    </w:p>
    <w:p w:rsidR="007679F6" w:rsidRPr="007679F6" w:rsidRDefault="007679F6" w:rsidP="007679F6">
      <w:pPr>
        <w:spacing w:after="0" w:line="240" w:lineRule="auto"/>
        <w:jc w:val="both"/>
        <w:rPr>
          <w:rFonts w:ascii="Arial" w:eastAsia="Calibri" w:hAnsi="Arial" w:cs="Arial"/>
          <w:lang w:val="es-ES"/>
        </w:rPr>
      </w:pPr>
    </w:p>
    <w:p w:rsidR="007679F6" w:rsidRPr="007679F6" w:rsidRDefault="007679F6" w:rsidP="007679F6">
      <w:pPr>
        <w:spacing w:after="0" w:line="240" w:lineRule="auto"/>
        <w:jc w:val="both"/>
        <w:rPr>
          <w:rFonts w:ascii="Arial" w:eastAsia="Calibri" w:hAnsi="Arial" w:cs="Arial"/>
          <w:lang w:val="es-ES"/>
        </w:rPr>
      </w:pPr>
      <w:r w:rsidRPr="007679F6">
        <w:rPr>
          <w:rFonts w:ascii="Arial" w:eastAsia="Calibri" w:hAnsi="Arial" w:cs="Arial"/>
          <w:lang w:val="es-ES"/>
        </w:rPr>
        <w:t>Que, en tal sentido, resulta necesario aprobar la directiva que regula el procedimiento para la primera inscripción de dominio de predios del Estado, con la finalidad de optimizar y actualizar dicho procedimiento, y en esa medida se deroga la Directiva Nº 001-2002-SBN, denominada: “Trámites de Inscripción de la Primera de Dominio de Predios a favor del Estado” aprobada por la Resolución Nº 011-2002-SBN y su modificatoria, aprobada mediante la Resolución Nº 014-2004-SBN;</w:t>
      </w:r>
    </w:p>
    <w:p w:rsidR="007679F6" w:rsidRPr="007679F6" w:rsidRDefault="007679F6" w:rsidP="007679F6">
      <w:pPr>
        <w:spacing w:after="0" w:line="240" w:lineRule="auto"/>
        <w:jc w:val="both"/>
        <w:rPr>
          <w:rFonts w:ascii="Arial" w:eastAsia="Calibri" w:hAnsi="Arial" w:cs="Arial"/>
          <w:lang w:val="es-ES"/>
        </w:rPr>
      </w:pPr>
    </w:p>
    <w:p w:rsidR="007679F6" w:rsidRPr="007679F6" w:rsidRDefault="007679F6" w:rsidP="007679F6">
      <w:pPr>
        <w:spacing w:after="0" w:line="240" w:lineRule="auto"/>
        <w:jc w:val="both"/>
        <w:rPr>
          <w:rFonts w:ascii="Arial" w:eastAsia="Calibri" w:hAnsi="Arial" w:cs="Arial"/>
          <w:lang w:val="es-ES"/>
        </w:rPr>
      </w:pPr>
      <w:r w:rsidRPr="007679F6">
        <w:rPr>
          <w:rFonts w:ascii="Arial" w:eastAsia="Calibri" w:hAnsi="Arial" w:cs="Arial"/>
          <w:lang w:val="es-ES"/>
        </w:rPr>
        <w:t>Con los visados de la Secretaría General, la Oficina de Planeamiento y Presupuesto, la Oficina de Asesoría Jurídica, la Dirección de Normas y Registro, la Dirección de Gestión del Patrimonio Estatal, y la Oficina de Administración y Finanzas; y,</w:t>
      </w:r>
    </w:p>
    <w:p w:rsidR="007679F6" w:rsidRPr="007679F6" w:rsidRDefault="007679F6" w:rsidP="007679F6">
      <w:pPr>
        <w:spacing w:after="0" w:line="240" w:lineRule="auto"/>
        <w:jc w:val="both"/>
        <w:rPr>
          <w:rFonts w:ascii="Arial" w:eastAsia="Calibri" w:hAnsi="Arial" w:cs="Arial"/>
          <w:lang w:val="es-ES"/>
        </w:rPr>
      </w:pPr>
    </w:p>
    <w:p w:rsidR="007679F6" w:rsidRPr="007679F6" w:rsidRDefault="007679F6" w:rsidP="007679F6">
      <w:pPr>
        <w:spacing w:after="0" w:line="240" w:lineRule="auto"/>
        <w:jc w:val="both"/>
        <w:rPr>
          <w:rFonts w:ascii="Arial" w:eastAsia="Calibri" w:hAnsi="Arial" w:cs="Arial"/>
          <w:lang w:val="es-ES"/>
        </w:rPr>
      </w:pPr>
      <w:r w:rsidRPr="007679F6">
        <w:rPr>
          <w:rFonts w:ascii="Arial" w:eastAsia="Calibri" w:hAnsi="Arial" w:cs="Arial"/>
          <w:lang w:val="es-ES"/>
        </w:rPr>
        <w:t>De conformidad con lo establecido en el literal b) del numeral 14.1 del artículo 14 de la Ley Nº 29151, el literal a) del numeral 9.1 del artículo 9 del Reglamento de la Ley Nº 29151, modificado por el Decreto Supremo Nº 013-2012-VIVIENDA; y en uso de las atribuciones conferidas en los literales b) y r) del artículo 11 del Reglamento de Organización y Funciones de la Superintendencia Nacional de Bienes Estatales - SBN, aprobado por el Decreto Supremo Nº 016-2010-VIVIENDA;</w:t>
      </w:r>
    </w:p>
    <w:p w:rsidR="007679F6" w:rsidRPr="007679F6" w:rsidRDefault="007679F6" w:rsidP="007679F6">
      <w:pPr>
        <w:spacing w:after="0" w:line="240" w:lineRule="auto"/>
        <w:jc w:val="both"/>
        <w:rPr>
          <w:rFonts w:ascii="Arial" w:eastAsia="Calibri" w:hAnsi="Arial" w:cs="Arial"/>
          <w:b/>
          <w:lang w:val="es-ES"/>
        </w:rPr>
      </w:pPr>
    </w:p>
    <w:p w:rsidR="007679F6" w:rsidRPr="007679F6" w:rsidRDefault="007679F6" w:rsidP="007679F6">
      <w:pPr>
        <w:spacing w:after="0" w:line="240" w:lineRule="auto"/>
        <w:jc w:val="both"/>
        <w:rPr>
          <w:rFonts w:ascii="Arial" w:eastAsia="Calibri" w:hAnsi="Arial" w:cs="Arial"/>
          <w:b/>
          <w:lang w:val="es-ES"/>
        </w:rPr>
      </w:pPr>
      <w:r w:rsidRPr="007679F6">
        <w:rPr>
          <w:rFonts w:ascii="Arial" w:eastAsia="Calibri" w:hAnsi="Arial" w:cs="Arial"/>
          <w:b/>
          <w:lang w:val="es-ES"/>
        </w:rPr>
        <w:t>SE RESUELVE:</w:t>
      </w:r>
    </w:p>
    <w:p w:rsidR="007679F6" w:rsidRPr="007679F6" w:rsidRDefault="007679F6" w:rsidP="007679F6">
      <w:pPr>
        <w:spacing w:after="0" w:line="240" w:lineRule="auto"/>
        <w:jc w:val="both"/>
        <w:rPr>
          <w:rFonts w:ascii="Arial" w:eastAsia="Calibri" w:hAnsi="Arial" w:cs="Arial"/>
          <w:b/>
          <w:lang w:val="es-ES"/>
        </w:rPr>
      </w:pPr>
    </w:p>
    <w:p w:rsidR="007679F6" w:rsidRPr="007679F6" w:rsidRDefault="007679F6" w:rsidP="007679F6">
      <w:pPr>
        <w:spacing w:after="0" w:line="240" w:lineRule="auto"/>
        <w:jc w:val="both"/>
        <w:rPr>
          <w:rFonts w:ascii="Arial" w:eastAsia="Calibri" w:hAnsi="Arial" w:cs="Arial"/>
          <w:lang w:val="es-ES"/>
        </w:rPr>
      </w:pPr>
      <w:r w:rsidRPr="007679F6">
        <w:rPr>
          <w:rFonts w:ascii="Arial" w:eastAsia="Calibri" w:hAnsi="Arial" w:cs="Arial"/>
          <w:b/>
          <w:lang w:val="es-ES"/>
        </w:rPr>
        <w:t>Artículo 1.-</w:t>
      </w:r>
      <w:r w:rsidRPr="007679F6">
        <w:rPr>
          <w:rFonts w:ascii="Arial" w:eastAsia="Calibri" w:hAnsi="Arial" w:cs="Arial"/>
          <w:lang w:val="es-ES"/>
        </w:rPr>
        <w:t xml:space="preserve"> Aprobar la Directiva Nº 002-2016-SBN denominada: “Procedimiento para la primera inscripción de dominio de predios del Estado” y anexo que forma parte integrante de la misma.</w:t>
      </w:r>
    </w:p>
    <w:p w:rsidR="007679F6" w:rsidRPr="007679F6" w:rsidRDefault="007679F6" w:rsidP="007679F6">
      <w:pPr>
        <w:spacing w:after="0" w:line="240" w:lineRule="auto"/>
        <w:jc w:val="both"/>
        <w:rPr>
          <w:rFonts w:ascii="Arial" w:eastAsia="Calibri" w:hAnsi="Arial" w:cs="Arial"/>
          <w:lang w:val="es-ES"/>
        </w:rPr>
      </w:pPr>
    </w:p>
    <w:p w:rsidR="007679F6" w:rsidRPr="007679F6" w:rsidRDefault="007679F6" w:rsidP="007679F6">
      <w:pPr>
        <w:spacing w:after="0" w:line="240" w:lineRule="auto"/>
        <w:jc w:val="both"/>
        <w:rPr>
          <w:rFonts w:ascii="Arial" w:eastAsia="Calibri" w:hAnsi="Arial" w:cs="Arial"/>
          <w:lang w:val="es-ES"/>
        </w:rPr>
      </w:pPr>
      <w:r w:rsidRPr="007679F6">
        <w:rPr>
          <w:rFonts w:ascii="Arial" w:eastAsia="Calibri" w:hAnsi="Arial" w:cs="Arial"/>
          <w:b/>
          <w:lang w:val="es-ES"/>
        </w:rPr>
        <w:t>Artículo 2.-</w:t>
      </w:r>
      <w:r w:rsidRPr="007679F6">
        <w:rPr>
          <w:rFonts w:ascii="Arial" w:eastAsia="Calibri" w:hAnsi="Arial" w:cs="Arial"/>
          <w:lang w:val="es-ES"/>
        </w:rPr>
        <w:t xml:space="preserve"> Derogar la Directiva Nº 001-2002-SBN, denominada: “Trámites de Inscripción de la Primera de Dominio de Predios a favor del Estado”, aprobada por la Resolución Nº 011-2002-SBN y su modificatoria, aprobada por Resolución Nº 014-2004-SBN.</w:t>
      </w:r>
    </w:p>
    <w:p w:rsidR="007679F6" w:rsidRPr="007679F6" w:rsidRDefault="007679F6" w:rsidP="007679F6">
      <w:pPr>
        <w:spacing w:after="0" w:line="240" w:lineRule="auto"/>
        <w:jc w:val="both"/>
        <w:rPr>
          <w:rFonts w:ascii="Arial" w:eastAsia="Calibri" w:hAnsi="Arial" w:cs="Arial"/>
          <w:lang w:val="es-ES"/>
        </w:rPr>
      </w:pPr>
    </w:p>
    <w:p w:rsidR="007679F6" w:rsidRPr="007679F6" w:rsidRDefault="007679F6" w:rsidP="007679F6">
      <w:pPr>
        <w:spacing w:after="0" w:line="240" w:lineRule="auto"/>
        <w:jc w:val="both"/>
        <w:rPr>
          <w:rFonts w:ascii="Arial" w:eastAsia="Calibri" w:hAnsi="Arial" w:cs="Arial"/>
          <w:lang w:val="es-ES"/>
        </w:rPr>
      </w:pPr>
      <w:r w:rsidRPr="007679F6">
        <w:rPr>
          <w:rFonts w:ascii="Arial" w:eastAsia="Calibri" w:hAnsi="Arial" w:cs="Arial"/>
          <w:b/>
          <w:lang w:val="es-ES"/>
        </w:rPr>
        <w:t>Artículo 3.-</w:t>
      </w:r>
      <w:r w:rsidRPr="007679F6">
        <w:rPr>
          <w:rFonts w:ascii="Arial" w:eastAsia="Calibri" w:hAnsi="Arial" w:cs="Arial"/>
          <w:lang w:val="es-ES"/>
        </w:rPr>
        <w:t xml:space="preserve"> Las disposiciones de la Directiva Nº 002-2016-SBN, entrarán en vigencia a partir del día siguiente de publicación de la presente resolución en el Diario Oficial El Peruano.</w:t>
      </w:r>
    </w:p>
    <w:p w:rsidR="007679F6" w:rsidRPr="007679F6" w:rsidRDefault="007679F6" w:rsidP="007679F6">
      <w:pPr>
        <w:spacing w:after="0" w:line="240" w:lineRule="auto"/>
        <w:jc w:val="both"/>
        <w:rPr>
          <w:rFonts w:ascii="Arial" w:eastAsia="Calibri" w:hAnsi="Arial" w:cs="Arial"/>
          <w:lang w:val="es-ES"/>
        </w:rPr>
      </w:pPr>
    </w:p>
    <w:p w:rsidR="007679F6" w:rsidRPr="007679F6" w:rsidRDefault="007679F6" w:rsidP="007679F6">
      <w:pPr>
        <w:spacing w:after="0" w:line="240" w:lineRule="auto"/>
        <w:jc w:val="both"/>
        <w:rPr>
          <w:rFonts w:ascii="Arial" w:eastAsia="Calibri" w:hAnsi="Arial" w:cs="Arial"/>
          <w:lang w:val="es-ES"/>
        </w:rPr>
      </w:pPr>
      <w:r w:rsidRPr="007679F6">
        <w:rPr>
          <w:rFonts w:ascii="Arial" w:eastAsia="Calibri" w:hAnsi="Arial" w:cs="Arial"/>
          <w:b/>
          <w:lang w:val="es-ES"/>
        </w:rPr>
        <w:t>Artículo 4.-</w:t>
      </w:r>
      <w:r w:rsidRPr="007679F6">
        <w:rPr>
          <w:rFonts w:ascii="Arial" w:eastAsia="Calibri" w:hAnsi="Arial" w:cs="Arial"/>
          <w:lang w:val="es-ES"/>
        </w:rPr>
        <w:t xml:space="preserve"> Encargar a la Oficina de Administración y Finanzas la publicación de la Directiva Nº 002-2016-SBN y la presente Resolución en la página web (www.sbn.gob.pe) y en la intranet institucional.</w:t>
      </w:r>
    </w:p>
    <w:p w:rsidR="007679F6" w:rsidRPr="007679F6" w:rsidRDefault="007679F6" w:rsidP="007679F6">
      <w:pPr>
        <w:spacing w:after="0" w:line="240" w:lineRule="auto"/>
        <w:jc w:val="both"/>
        <w:rPr>
          <w:rFonts w:ascii="Arial" w:eastAsia="Calibri" w:hAnsi="Arial" w:cs="Arial"/>
          <w:lang w:val="es-ES"/>
        </w:rPr>
      </w:pPr>
    </w:p>
    <w:p w:rsidR="007679F6" w:rsidRPr="007679F6" w:rsidRDefault="007679F6" w:rsidP="007679F6">
      <w:pPr>
        <w:spacing w:after="0" w:line="240" w:lineRule="auto"/>
        <w:jc w:val="both"/>
        <w:rPr>
          <w:rFonts w:ascii="Arial" w:eastAsia="Calibri" w:hAnsi="Arial" w:cs="Arial"/>
          <w:lang w:val="es-ES"/>
        </w:rPr>
      </w:pPr>
      <w:r w:rsidRPr="007679F6">
        <w:rPr>
          <w:rFonts w:ascii="Arial" w:eastAsia="Calibri" w:hAnsi="Arial" w:cs="Arial"/>
          <w:lang w:val="es-ES"/>
        </w:rPr>
        <w:t>Regístrese, comuníquese y publíquese.</w:t>
      </w:r>
    </w:p>
    <w:p w:rsidR="007679F6" w:rsidRPr="007679F6" w:rsidRDefault="007679F6" w:rsidP="007679F6">
      <w:pPr>
        <w:spacing w:after="0" w:line="240" w:lineRule="auto"/>
        <w:jc w:val="both"/>
        <w:rPr>
          <w:rFonts w:ascii="Arial" w:eastAsia="Calibri" w:hAnsi="Arial" w:cs="Arial"/>
          <w:lang w:val="es-ES"/>
        </w:rPr>
      </w:pPr>
    </w:p>
    <w:p w:rsidR="007679F6" w:rsidRPr="007679F6" w:rsidRDefault="007679F6" w:rsidP="007679F6">
      <w:pPr>
        <w:spacing w:after="0" w:line="240" w:lineRule="auto"/>
        <w:jc w:val="both"/>
        <w:rPr>
          <w:rFonts w:ascii="Arial" w:eastAsia="Calibri" w:hAnsi="Arial" w:cs="Arial"/>
          <w:b/>
          <w:lang w:val="es-ES"/>
        </w:rPr>
      </w:pPr>
      <w:r w:rsidRPr="007679F6">
        <w:rPr>
          <w:rFonts w:ascii="Arial" w:eastAsia="Calibri" w:hAnsi="Arial" w:cs="Arial"/>
          <w:lang w:val="es-ES"/>
        </w:rPr>
        <w:tab/>
      </w:r>
      <w:r w:rsidRPr="007679F6">
        <w:rPr>
          <w:rFonts w:ascii="Arial" w:eastAsia="Calibri" w:hAnsi="Arial" w:cs="Arial"/>
          <w:b/>
          <w:lang w:val="es-ES"/>
        </w:rPr>
        <w:t>JOSÉ LUIS PAIRAZAMÁN TORRES</w:t>
      </w:r>
    </w:p>
    <w:p w:rsidR="006312E8" w:rsidRPr="007679F6" w:rsidRDefault="007679F6" w:rsidP="007679F6">
      <w:pPr>
        <w:spacing w:after="0" w:line="240" w:lineRule="auto"/>
        <w:jc w:val="both"/>
        <w:rPr>
          <w:rFonts w:ascii="Arial" w:eastAsia="Calibri" w:hAnsi="Arial" w:cs="Arial"/>
          <w:sz w:val="28"/>
          <w:szCs w:val="28"/>
          <w:lang w:val="es-ES"/>
        </w:rPr>
      </w:pPr>
      <w:r w:rsidRPr="007679F6">
        <w:rPr>
          <w:rFonts w:ascii="Arial" w:eastAsia="Calibri" w:hAnsi="Arial" w:cs="Arial"/>
          <w:lang w:val="es-ES"/>
        </w:rPr>
        <w:tab/>
        <w:t>Superintendente</w:t>
      </w:r>
    </w:p>
    <w:p w:rsidR="007679F6" w:rsidRDefault="007679F6" w:rsidP="00E104C8">
      <w:pPr>
        <w:pStyle w:val="TITO2"/>
      </w:pPr>
      <w:bookmarkStart w:id="228" w:name="_Toc392856206"/>
      <w:bookmarkStart w:id="229" w:name="_Toc399335481"/>
      <w:bookmarkStart w:id="230" w:name="_Toc421025429"/>
      <w:bookmarkStart w:id="231" w:name="D0012002"/>
    </w:p>
    <w:p w:rsidR="007679F6" w:rsidRDefault="007679F6" w:rsidP="00E104C8">
      <w:pPr>
        <w:pStyle w:val="TITO2"/>
      </w:pPr>
    </w:p>
    <w:p w:rsidR="006312E8" w:rsidRPr="006312E8" w:rsidRDefault="00A85304" w:rsidP="00E104C8">
      <w:pPr>
        <w:pStyle w:val="TITO2"/>
      </w:pPr>
      <w:bookmarkStart w:id="232" w:name="_Toc470855532"/>
      <w:r>
        <w:t>DIRECTIVA Nº 002</w:t>
      </w:r>
      <w:r w:rsidR="006312E8" w:rsidRPr="006312E8">
        <w:t>-20</w:t>
      </w:r>
      <w:r>
        <w:t>16</w:t>
      </w:r>
      <w:r w:rsidR="006312E8" w:rsidRPr="006312E8">
        <w:t>/SBN</w:t>
      </w:r>
      <w:bookmarkEnd w:id="228"/>
      <w:bookmarkEnd w:id="229"/>
      <w:bookmarkEnd w:id="230"/>
      <w:bookmarkEnd w:id="232"/>
    </w:p>
    <w:bookmarkEnd w:id="231"/>
    <w:p w:rsidR="006312E8" w:rsidRPr="006312E8" w:rsidRDefault="00A85304" w:rsidP="006312E8">
      <w:pPr>
        <w:spacing w:after="0" w:line="240" w:lineRule="auto"/>
        <w:jc w:val="center"/>
        <w:rPr>
          <w:rFonts w:ascii="Arial" w:eastAsia="Calibri" w:hAnsi="Arial" w:cs="Arial"/>
          <w:b/>
          <w:lang w:val="es-ES"/>
        </w:rPr>
      </w:pPr>
      <w:r>
        <w:rPr>
          <w:rFonts w:ascii="Arial" w:eastAsia="Calibri" w:hAnsi="Arial" w:cs="Arial"/>
          <w:b/>
          <w:lang w:val="es-ES"/>
        </w:rPr>
        <w:t>PROCEDIMIENTO PARA LA</w:t>
      </w:r>
      <w:r w:rsidR="006312E8" w:rsidRPr="006312E8">
        <w:rPr>
          <w:rFonts w:ascii="Arial" w:eastAsia="Calibri" w:hAnsi="Arial" w:cs="Arial"/>
          <w:b/>
          <w:lang w:val="es-ES"/>
        </w:rPr>
        <w:t xml:space="preserve"> PRIMERA</w:t>
      </w:r>
      <w:r>
        <w:rPr>
          <w:rFonts w:ascii="Arial" w:eastAsia="Calibri" w:hAnsi="Arial" w:cs="Arial"/>
          <w:b/>
          <w:lang w:val="es-ES"/>
        </w:rPr>
        <w:t xml:space="preserve"> INSCRIPCIÓN</w:t>
      </w:r>
      <w:r w:rsidR="006312E8" w:rsidRPr="006312E8">
        <w:rPr>
          <w:rFonts w:ascii="Arial" w:eastAsia="Calibri" w:hAnsi="Arial" w:cs="Arial"/>
          <w:b/>
          <w:lang w:val="es-ES"/>
        </w:rPr>
        <w:t xml:space="preserve"> DE DOMINIO DE PREDIOS </w:t>
      </w:r>
      <w:r>
        <w:rPr>
          <w:rFonts w:ascii="Arial" w:eastAsia="Calibri" w:hAnsi="Arial" w:cs="Arial"/>
          <w:b/>
          <w:lang w:val="es-ES"/>
        </w:rPr>
        <w:t>D</w:t>
      </w:r>
      <w:r w:rsidR="006312E8" w:rsidRPr="006312E8">
        <w:rPr>
          <w:rFonts w:ascii="Arial" w:eastAsia="Calibri" w:hAnsi="Arial" w:cs="Arial"/>
          <w:b/>
          <w:lang w:val="es-ES"/>
        </w:rPr>
        <w:t>EL ESTADO</w:t>
      </w:r>
    </w:p>
    <w:p w:rsidR="006312E8" w:rsidRPr="006312E8" w:rsidRDefault="006312E8" w:rsidP="006312E8">
      <w:pPr>
        <w:spacing w:after="0" w:line="240" w:lineRule="auto"/>
        <w:jc w:val="both"/>
        <w:rPr>
          <w:rFonts w:ascii="Arial" w:eastAsia="Calibri" w:hAnsi="Arial" w:cs="Arial"/>
          <w:lang w:val="es-ES"/>
        </w:rPr>
      </w:pPr>
    </w:p>
    <w:p w:rsidR="00A85304" w:rsidRPr="007A1D01" w:rsidRDefault="00A85304" w:rsidP="0092471C">
      <w:pPr>
        <w:pStyle w:val="Prrafodelista1"/>
        <w:widowControl w:val="0"/>
        <w:numPr>
          <w:ilvl w:val="0"/>
          <w:numId w:val="271"/>
        </w:numPr>
        <w:tabs>
          <w:tab w:val="left" w:pos="2660"/>
        </w:tabs>
        <w:spacing w:after="0" w:line="240" w:lineRule="auto"/>
        <w:ind w:left="426" w:hanging="425"/>
        <w:jc w:val="both"/>
        <w:rPr>
          <w:rFonts w:ascii="Arial" w:hAnsi="Arial" w:cs="Arial"/>
          <w:b/>
          <w:lang w:val="es-ES"/>
        </w:rPr>
      </w:pPr>
      <w:r w:rsidRPr="007A1D01">
        <w:rPr>
          <w:rFonts w:ascii="Arial" w:hAnsi="Arial" w:cs="Arial"/>
          <w:b/>
          <w:lang w:val="es-ES"/>
        </w:rPr>
        <w:t>FINALIDAD</w:t>
      </w:r>
    </w:p>
    <w:p w:rsidR="00A85304" w:rsidRPr="007A1D01" w:rsidRDefault="00A85304" w:rsidP="00DF0797">
      <w:pPr>
        <w:spacing w:after="0" w:line="240" w:lineRule="auto"/>
        <w:ind w:left="426"/>
        <w:jc w:val="both"/>
        <w:rPr>
          <w:rFonts w:ascii="Arial" w:hAnsi="Arial" w:cs="Arial"/>
        </w:rPr>
      </w:pPr>
      <w:r w:rsidRPr="007A1D01">
        <w:rPr>
          <w:rFonts w:ascii="Arial" w:hAnsi="Arial" w:cs="Arial"/>
        </w:rPr>
        <w:t xml:space="preserve">Desarrollar el procedimiento que garantice la correcta incorporación e inscripción registral de predios del Estado, a fin de asegurar su defensa y facilitar su eficaz y eficiente aprovechamiento. </w:t>
      </w:r>
    </w:p>
    <w:p w:rsidR="00A85304" w:rsidRPr="007A1D01" w:rsidRDefault="00A85304" w:rsidP="00DF0797">
      <w:pPr>
        <w:spacing w:after="0" w:line="240" w:lineRule="auto"/>
        <w:jc w:val="both"/>
        <w:rPr>
          <w:rFonts w:ascii="Arial" w:hAnsi="Arial" w:cs="Arial"/>
        </w:rPr>
      </w:pPr>
    </w:p>
    <w:p w:rsidR="00A85304" w:rsidRPr="007A1D01" w:rsidRDefault="00A85304" w:rsidP="0092471C">
      <w:pPr>
        <w:pStyle w:val="Prrafodelista1"/>
        <w:widowControl w:val="0"/>
        <w:numPr>
          <w:ilvl w:val="0"/>
          <w:numId w:val="271"/>
        </w:numPr>
        <w:tabs>
          <w:tab w:val="left" w:pos="2660"/>
        </w:tabs>
        <w:spacing w:after="0" w:line="240" w:lineRule="auto"/>
        <w:ind w:left="426" w:hanging="426"/>
        <w:jc w:val="both"/>
        <w:rPr>
          <w:rFonts w:ascii="Arial" w:hAnsi="Arial" w:cs="Arial"/>
          <w:b/>
          <w:lang w:val="es-ES"/>
        </w:rPr>
      </w:pPr>
      <w:r w:rsidRPr="007A1D01">
        <w:rPr>
          <w:rFonts w:ascii="Arial" w:hAnsi="Arial" w:cs="Arial"/>
          <w:b/>
          <w:lang w:val="es-ES"/>
        </w:rPr>
        <w:t>OBJETIVO</w:t>
      </w:r>
    </w:p>
    <w:p w:rsidR="00A85304" w:rsidRDefault="00A85304" w:rsidP="00DF0797">
      <w:pPr>
        <w:spacing w:after="0" w:line="240" w:lineRule="auto"/>
        <w:ind w:left="426"/>
        <w:jc w:val="both"/>
        <w:rPr>
          <w:rFonts w:ascii="Arial" w:hAnsi="Arial" w:cs="Arial"/>
        </w:rPr>
      </w:pPr>
      <w:r w:rsidRPr="007A1D01">
        <w:rPr>
          <w:rFonts w:ascii="Arial" w:hAnsi="Arial" w:cs="Arial"/>
        </w:rPr>
        <w:t>Regular el procedimiento para la formación del título que permita la primera inscripción de dominio de predios del Estado, a que se refiere el artículo 23 de la Ley N° 29151, Ley General del Sistema Nacional de Bienes Estatales, sin perjuicio de las competencias legalmente reconocidas por norma especial a otras entidades.</w:t>
      </w:r>
    </w:p>
    <w:p w:rsidR="00DF0797" w:rsidRPr="00A85304" w:rsidRDefault="00DF0797" w:rsidP="00DF0797">
      <w:pPr>
        <w:spacing w:after="0" w:line="240" w:lineRule="auto"/>
        <w:ind w:left="426"/>
        <w:jc w:val="both"/>
        <w:rPr>
          <w:rFonts w:ascii="Arial" w:hAnsi="Arial" w:cs="Arial"/>
        </w:rPr>
      </w:pPr>
    </w:p>
    <w:p w:rsidR="00A85304" w:rsidRPr="007A1D01" w:rsidRDefault="00A85304" w:rsidP="0092471C">
      <w:pPr>
        <w:pStyle w:val="Prrafodelista1"/>
        <w:widowControl w:val="0"/>
        <w:numPr>
          <w:ilvl w:val="0"/>
          <w:numId w:val="271"/>
        </w:numPr>
        <w:tabs>
          <w:tab w:val="left" w:pos="2660"/>
        </w:tabs>
        <w:spacing w:after="0" w:line="240" w:lineRule="auto"/>
        <w:ind w:left="426" w:hanging="426"/>
        <w:jc w:val="both"/>
        <w:rPr>
          <w:rFonts w:ascii="Arial" w:hAnsi="Arial" w:cs="Arial"/>
          <w:b/>
          <w:lang w:val="es-ES"/>
        </w:rPr>
      </w:pPr>
      <w:r w:rsidRPr="007A1D01">
        <w:rPr>
          <w:rFonts w:ascii="Arial" w:hAnsi="Arial" w:cs="Arial"/>
          <w:b/>
          <w:lang w:val="es-ES"/>
        </w:rPr>
        <w:t>ALCANCE</w:t>
      </w:r>
    </w:p>
    <w:p w:rsidR="00A85304" w:rsidRPr="007A1D01" w:rsidRDefault="00A85304" w:rsidP="00DF0797">
      <w:pPr>
        <w:spacing w:after="0" w:line="240" w:lineRule="auto"/>
        <w:ind w:left="426"/>
        <w:jc w:val="both"/>
        <w:rPr>
          <w:rFonts w:ascii="Arial" w:hAnsi="Arial" w:cs="Arial"/>
          <w:strike/>
        </w:rPr>
      </w:pPr>
      <w:r w:rsidRPr="007A1D01">
        <w:rPr>
          <w:rFonts w:ascii="Arial" w:hAnsi="Arial" w:cs="Arial"/>
        </w:rPr>
        <w:t>La presente Directiva es de alcance nacional y de cumplimiento obligatorio por:</w:t>
      </w:r>
    </w:p>
    <w:p w:rsidR="00A85304" w:rsidRPr="007A1D01" w:rsidRDefault="00A85304" w:rsidP="0092471C">
      <w:pPr>
        <w:numPr>
          <w:ilvl w:val="0"/>
          <w:numId w:val="272"/>
        </w:numPr>
        <w:spacing w:after="0" w:line="240" w:lineRule="auto"/>
        <w:ind w:left="993"/>
        <w:jc w:val="both"/>
        <w:rPr>
          <w:rFonts w:ascii="Arial" w:hAnsi="Arial" w:cs="Arial"/>
        </w:rPr>
      </w:pPr>
      <w:r w:rsidRPr="007A1D01">
        <w:rPr>
          <w:rFonts w:ascii="Arial" w:hAnsi="Arial" w:cs="Arial"/>
        </w:rPr>
        <w:t>La SBN;</w:t>
      </w:r>
    </w:p>
    <w:p w:rsidR="00A85304" w:rsidRPr="007A1D01" w:rsidRDefault="00A85304" w:rsidP="0092471C">
      <w:pPr>
        <w:numPr>
          <w:ilvl w:val="0"/>
          <w:numId w:val="272"/>
        </w:numPr>
        <w:spacing w:after="0" w:line="240" w:lineRule="auto"/>
        <w:ind w:left="993"/>
        <w:jc w:val="both"/>
        <w:rPr>
          <w:rFonts w:ascii="Arial" w:hAnsi="Arial" w:cs="Arial"/>
        </w:rPr>
      </w:pPr>
      <w:r w:rsidRPr="007A1D01">
        <w:rPr>
          <w:rFonts w:ascii="Arial" w:hAnsi="Arial" w:cs="Arial"/>
        </w:rPr>
        <w:t xml:space="preserve">Los Gobiernos Regionales que hayan asumido competencias en el marco del proceso de descentralización, respecto de las funciones del artículo 62 de la Ley Nº 27867, Ley Orgánica de Gobiernos Regionales; y, </w:t>
      </w:r>
    </w:p>
    <w:p w:rsidR="00A85304" w:rsidRPr="007A1D01" w:rsidRDefault="00A85304" w:rsidP="0092471C">
      <w:pPr>
        <w:numPr>
          <w:ilvl w:val="0"/>
          <w:numId w:val="272"/>
        </w:numPr>
        <w:spacing w:after="0" w:line="240" w:lineRule="auto"/>
        <w:ind w:left="993"/>
        <w:jc w:val="both"/>
        <w:rPr>
          <w:rFonts w:ascii="Arial" w:hAnsi="Arial" w:cs="Arial"/>
        </w:rPr>
      </w:pPr>
      <w:r w:rsidRPr="007A1D01">
        <w:rPr>
          <w:rFonts w:ascii="Arial" w:hAnsi="Arial" w:cs="Arial"/>
        </w:rPr>
        <w:t xml:space="preserve">Los Gobiernos Regionales que cuenta con Convenio de Delegación de Competencias en el marco del proceso de descentralización, respecto de las funciones del artículo 62 de la Ley Nº 27867, Ley Orgánica de Gobiernos Regionales. </w:t>
      </w:r>
    </w:p>
    <w:p w:rsidR="00A85304" w:rsidRPr="007A1D01" w:rsidRDefault="00A85304" w:rsidP="00DF0797">
      <w:pPr>
        <w:spacing w:after="0" w:line="240" w:lineRule="auto"/>
        <w:jc w:val="both"/>
        <w:rPr>
          <w:rFonts w:ascii="Arial" w:hAnsi="Arial" w:cs="Arial"/>
        </w:rPr>
      </w:pPr>
    </w:p>
    <w:p w:rsidR="00A85304" w:rsidRPr="007A1D01" w:rsidRDefault="00A85304" w:rsidP="00DF0797">
      <w:pPr>
        <w:spacing w:after="0" w:line="240" w:lineRule="auto"/>
        <w:ind w:left="426"/>
        <w:jc w:val="both"/>
        <w:rPr>
          <w:rFonts w:ascii="Arial" w:hAnsi="Arial" w:cs="Arial"/>
        </w:rPr>
      </w:pPr>
      <w:r w:rsidRPr="007A1D01">
        <w:rPr>
          <w:rFonts w:ascii="Arial" w:hAnsi="Arial" w:cs="Arial"/>
        </w:rPr>
        <w:t xml:space="preserve">No están comprendidos en esta Directiva los predios estatales que son materia de saneamiento físico legal y formalización de la propiedad urbana y rural, en cumplimiento de disposiciones especiales. </w:t>
      </w:r>
    </w:p>
    <w:p w:rsidR="00A85304" w:rsidRPr="007A1D01" w:rsidRDefault="00A85304" w:rsidP="00DF0797">
      <w:pPr>
        <w:pStyle w:val="Prrafodelista1"/>
        <w:widowControl w:val="0"/>
        <w:spacing w:after="0" w:line="240" w:lineRule="auto"/>
        <w:ind w:left="426"/>
        <w:jc w:val="both"/>
        <w:rPr>
          <w:rFonts w:ascii="Arial" w:hAnsi="Arial" w:cs="Arial"/>
        </w:rPr>
      </w:pPr>
      <w:r w:rsidRPr="007A1D01">
        <w:rPr>
          <w:rFonts w:ascii="Arial" w:hAnsi="Arial" w:cs="Arial"/>
        </w:rPr>
        <w:t>Las entidades públicas que cuentan con régimen legal propio para disponer la inmatriculación de predios de su propiedad</w:t>
      </w:r>
      <w:r>
        <w:rPr>
          <w:rFonts w:ascii="Arial" w:hAnsi="Arial" w:cs="Arial"/>
        </w:rPr>
        <w:t xml:space="preserve"> o competencia</w:t>
      </w:r>
      <w:r w:rsidRPr="007A1D01">
        <w:rPr>
          <w:rFonts w:ascii="Arial" w:hAnsi="Arial" w:cs="Arial"/>
        </w:rPr>
        <w:t xml:space="preserve">, pueden aplicar la presente directiva de manera supletoria. </w:t>
      </w:r>
    </w:p>
    <w:p w:rsidR="00A85304" w:rsidRPr="007A1D01" w:rsidRDefault="00A85304" w:rsidP="0092471C">
      <w:pPr>
        <w:pStyle w:val="Prrafodelista1"/>
        <w:widowControl w:val="0"/>
        <w:numPr>
          <w:ilvl w:val="0"/>
          <w:numId w:val="271"/>
        </w:numPr>
        <w:tabs>
          <w:tab w:val="left" w:pos="2660"/>
        </w:tabs>
        <w:spacing w:after="0" w:line="240" w:lineRule="auto"/>
        <w:ind w:left="426" w:hanging="426"/>
        <w:jc w:val="both"/>
        <w:rPr>
          <w:rFonts w:ascii="Arial" w:hAnsi="Arial" w:cs="Arial"/>
          <w:b/>
          <w:lang w:val="es-ES"/>
        </w:rPr>
      </w:pPr>
      <w:r w:rsidRPr="007A1D01">
        <w:rPr>
          <w:rFonts w:ascii="Arial" w:hAnsi="Arial" w:cs="Arial"/>
          <w:b/>
          <w:lang w:val="es-ES"/>
        </w:rPr>
        <w:t>BASE LEGAL</w:t>
      </w:r>
    </w:p>
    <w:p w:rsidR="00A85304" w:rsidRPr="007A1D01" w:rsidRDefault="00A85304" w:rsidP="00DF0797">
      <w:pPr>
        <w:spacing w:after="0" w:line="240" w:lineRule="auto"/>
        <w:jc w:val="both"/>
        <w:rPr>
          <w:rFonts w:ascii="Arial" w:hAnsi="Arial" w:cs="Arial"/>
        </w:rPr>
      </w:pPr>
    </w:p>
    <w:p w:rsidR="00A85304" w:rsidRPr="007A1D01" w:rsidRDefault="00A85304" w:rsidP="0092471C">
      <w:pPr>
        <w:pStyle w:val="Prrafodelista1"/>
        <w:widowControl w:val="0"/>
        <w:numPr>
          <w:ilvl w:val="0"/>
          <w:numId w:val="268"/>
        </w:numPr>
        <w:spacing w:after="0" w:line="240" w:lineRule="auto"/>
        <w:ind w:left="851"/>
        <w:jc w:val="both"/>
        <w:rPr>
          <w:rFonts w:ascii="Arial" w:hAnsi="Arial" w:cs="Arial"/>
          <w:lang w:val="es-ES"/>
        </w:rPr>
      </w:pPr>
      <w:r w:rsidRPr="007A1D01">
        <w:rPr>
          <w:rFonts w:ascii="Arial" w:hAnsi="Arial" w:cs="Arial"/>
          <w:lang w:val="es-ES"/>
        </w:rPr>
        <w:t>Ley N° 29151, Ley General del Sistema Nacional de Bienes Estatales</w:t>
      </w:r>
      <w:r w:rsidRPr="007A1D01">
        <w:rPr>
          <w:rFonts w:ascii="Arial" w:hAnsi="Arial" w:cs="Arial"/>
        </w:rPr>
        <w:t>.</w:t>
      </w:r>
    </w:p>
    <w:p w:rsidR="00A85304" w:rsidRPr="007A1D01" w:rsidRDefault="00A85304" w:rsidP="00DF0797">
      <w:pPr>
        <w:pStyle w:val="Prrafodelista1"/>
        <w:widowControl w:val="0"/>
        <w:spacing w:after="0" w:line="240" w:lineRule="auto"/>
        <w:ind w:left="851"/>
        <w:jc w:val="both"/>
        <w:rPr>
          <w:rFonts w:ascii="Arial" w:hAnsi="Arial" w:cs="Arial"/>
          <w:lang w:val="es-ES"/>
        </w:rPr>
      </w:pPr>
    </w:p>
    <w:p w:rsidR="00A85304" w:rsidRPr="007A1D01" w:rsidRDefault="00A85304" w:rsidP="0092471C">
      <w:pPr>
        <w:pStyle w:val="Prrafodelista1"/>
        <w:widowControl w:val="0"/>
        <w:numPr>
          <w:ilvl w:val="0"/>
          <w:numId w:val="268"/>
        </w:numPr>
        <w:spacing w:after="0" w:line="240" w:lineRule="auto"/>
        <w:ind w:left="851"/>
        <w:jc w:val="both"/>
        <w:rPr>
          <w:rFonts w:ascii="Arial" w:hAnsi="Arial" w:cs="Arial"/>
          <w:lang w:val="es-ES"/>
        </w:rPr>
      </w:pPr>
      <w:r w:rsidRPr="007A1D01">
        <w:rPr>
          <w:rFonts w:ascii="Arial" w:hAnsi="Arial" w:cs="Arial"/>
          <w:lang w:val="es-ES"/>
        </w:rPr>
        <w:t>Ley N° 26856, Ley que declara que las playas del litoral son bienes de uso público, inalienables e imprescriptibles y establecen la zona de dominio restringido.</w:t>
      </w:r>
    </w:p>
    <w:p w:rsidR="00A85304" w:rsidRPr="007A1D01" w:rsidRDefault="00A85304" w:rsidP="00DF0797">
      <w:pPr>
        <w:pStyle w:val="Prrafodelista1"/>
        <w:widowControl w:val="0"/>
        <w:spacing w:after="0" w:line="240" w:lineRule="auto"/>
        <w:ind w:left="851"/>
        <w:jc w:val="both"/>
        <w:rPr>
          <w:rFonts w:ascii="Arial" w:hAnsi="Arial" w:cs="Arial"/>
          <w:lang w:val="es-ES"/>
        </w:rPr>
      </w:pPr>
    </w:p>
    <w:p w:rsidR="00A85304" w:rsidRPr="007A1D01" w:rsidRDefault="00A85304" w:rsidP="0092471C">
      <w:pPr>
        <w:pStyle w:val="Prrafodelista1"/>
        <w:widowControl w:val="0"/>
        <w:numPr>
          <w:ilvl w:val="0"/>
          <w:numId w:val="270"/>
        </w:numPr>
        <w:spacing w:after="0" w:line="240" w:lineRule="auto"/>
        <w:ind w:left="851"/>
        <w:jc w:val="both"/>
        <w:rPr>
          <w:rFonts w:ascii="Arial" w:hAnsi="Arial" w:cs="Arial"/>
          <w:lang w:val="es-ES"/>
        </w:rPr>
      </w:pPr>
      <w:r w:rsidRPr="007A1D01">
        <w:rPr>
          <w:rFonts w:ascii="Arial" w:hAnsi="Arial" w:cs="Arial"/>
          <w:lang w:val="es-ES"/>
        </w:rPr>
        <w:t>Ley N° 29618, Ley que establece la presunción de que el Estado es poseedor de los inmuebles de su propiedad y declara imprescriptibles los bienes inmuebles de dominio privado estatal</w:t>
      </w:r>
    </w:p>
    <w:p w:rsidR="00A85304" w:rsidRDefault="00A85304" w:rsidP="00DF0797">
      <w:pPr>
        <w:pStyle w:val="Prrafodelista"/>
        <w:spacing w:after="0" w:line="240" w:lineRule="auto"/>
        <w:ind w:left="851"/>
        <w:rPr>
          <w:rFonts w:ascii="Arial" w:hAnsi="Arial" w:cs="Arial"/>
        </w:rPr>
      </w:pPr>
    </w:p>
    <w:p w:rsidR="00A85304" w:rsidRPr="007A1D01" w:rsidRDefault="00A85304" w:rsidP="0092471C">
      <w:pPr>
        <w:pStyle w:val="Prrafodelista1"/>
        <w:widowControl w:val="0"/>
        <w:numPr>
          <w:ilvl w:val="0"/>
          <w:numId w:val="270"/>
        </w:numPr>
        <w:spacing w:after="0" w:line="240" w:lineRule="auto"/>
        <w:ind w:left="851"/>
        <w:jc w:val="both"/>
        <w:rPr>
          <w:rFonts w:ascii="Arial" w:hAnsi="Arial" w:cs="Arial"/>
          <w:lang w:val="es-ES"/>
        </w:rPr>
      </w:pPr>
      <w:r w:rsidRPr="007A1D01">
        <w:rPr>
          <w:rFonts w:ascii="Arial" w:hAnsi="Arial" w:cs="Arial"/>
        </w:rPr>
        <w:t xml:space="preserve">Artículo 13 de la Ley Nº 28296, Ley General del Patrimonio Cultural de la Nación. </w:t>
      </w:r>
    </w:p>
    <w:p w:rsidR="00A85304" w:rsidRPr="007A1D01" w:rsidRDefault="00A85304" w:rsidP="00DF0797">
      <w:pPr>
        <w:pStyle w:val="Prrafodelista1"/>
        <w:widowControl w:val="0"/>
        <w:spacing w:after="0" w:line="240" w:lineRule="auto"/>
        <w:ind w:left="851"/>
        <w:jc w:val="both"/>
        <w:rPr>
          <w:rFonts w:ascii="Arial" w:hAnsi="Arial" w:cs="Arial"/>
          <w:lang w:val="es-ES"/>
        </w:rPr>
      </w:pPr>
    </w:p>
    <w:p w:rsidR="00A85304" w:rsidRDefault="00A85304" w:rsidP="0092471C">
      <w:pPr>
        <w:pStyle w:val="Prrafodelista1"/>
        <w:widowControl w:val="0"/>
        <w:numPr>
          <w:ilvl w:val="0"/>
          <w:numId w:val="270"/>
        </w:numPr>
        <w:spacing w:after="0" w:line="240" w:lineRule="auto"/>
        <w:ind w:left="851"/>
        <w:jc w:val="both"/>
        <w:rPr>
          <w:rFonts w:ascii="Arial" w:hAnsi="Arial" w:cs="Arial"/>
          <w:lang w:val="es-ES"/>
        </w:rPr>
      </w:pPr>
      <w:r w:rsidRPr="007A1D01">
        <w:rPr>
          <w:rFonts w:ascii="Arial" w:hAnsi="Arial" w:cs="Arial"/>
          <w:lang w:val="es-ES"/>
        </w:rPr>
        <w:t>Ley N° 26512, Declaran de necesidad y utilidad pública el saneamiento legal de los inmuebles de propiedad de los Sectores Educación y Transportes, Comunicaciones, Vivienda y Construcción.</w:t>
      </w:r>
    </w:p>
    <w:p w:rsidR="00A85304" w:rsidRPr="007A1D01" w:rsidRDefault="00A85304" w:rsidP="00DF0797">
      <w:pPr>
        <w:pStyle w:val="Prrafodelista1"/>
        <w:widowControl w:val="0"/>
        <w:spacing w:after="0" w:line="240" w:lineRule="auto"/>
        <w:ind w:left="851"/>
        <w:jc w:val="both"/>
        <w:rPr>
          <w:rFonts w:ascii="Arial" w:hAnsi="Arial" w:cs="Arial"/>
          <w:lang w:val="es-ES"/>
        </w:rPr>
      </w:pPr>
    </w:p>
    <w:p w:rsidR="00A85304" w:rsidRPr="00E93AC3" w:rsidRDefault="00A85304" w:rsidP="0092471C">
      <w:pPr>
        <w:pStyle w:val="Prrafodelista1"/>
        <w:widowControl w:val="0"/>
        <w:numPr>
          <w:ilvl w:val="0"/>
          <w:numId w:val="270"/>
        </w:numPr>
        <w:spacing w:after="0" w:line="240" w:lineRule="auto"/>
        <w:ind w:left="851"/>
        <w:jc w:val="both"/>
        <w:rPr>
          <w:rFonts w:ascii="Arial" w:hAnsi="Arial" w:cs="Arial"/>
          <w:lang w:val="es-ES"/>
        </w:rPr>
      </w:pPr>
      <w:r w:rsidRPr="00E93AC3">
        <w:rPr>
          <w:rFonts w:ascii="Arial" w:hAnsi="Arial" w:cs="Arial"/>
          <w:lang w:val="es-ES"/>
        </w:rPr>
        <w:t>Ley 27493, Ley de Saneamiento Físico Legal de Bienes Inmuebles de las Entidades del Sector Publico</w:t>
      </w:r>
    </w:p>
    <w:p w:rsidR="00A85304" w:rsidRPr="007A1D01" w:rsidRDefault="00A85304" w:rsidP="00DF0797">
      <w:pPr>
        <w:pStyle w:val="Prrafodelista"/>
        <w:spacing w:after="0" w:line="240" w:lineRule="auto"/>
        <w:ind w:left="851"/>
        <w:rPr>
          <w:rFonts w:ascii="Arial" w:hAnsi="Arial" w:cs="Arial"/>
          <w:lang w:val="es-ES"/>
        </w:rPr>
      </w:pPr>
    </w:p>
    <w:p w:rsidR="00A85304" w:rsidRPr="007A1D01" w:rsidRDefault="00A85304" w:rsidP="0092471C">
      <w:pPr>
        <w:pStyle w:val="Prrafodelista1"/>
        <w:widowControl w:val="0"/>
        <w:numPr>
          <w:ilvl w:val="0"/>
          <w:numId w:val="270"/>
        </w:numPr>
        <w:spacing w:after="0" w:line="240" w:lineRule="auto"/>
        <w:ind w:left="851"/>
        <w:jc w:val="both"/>
        <w:rPr>
          <w:rFonts w:ascii="Arial" w:hAnsi="Arial" w:cs="Arial"/>
          <w:lang w:val="es-ES"/>
        </w:rPr>
      </w:pPr>
      <w:r w:rsidRPr="007A1D01">
        <w:rPr>
          <w:rFonts w:ascii="Arial" w:hAnsi="Arial" w:cs="Arial"/>
          <w:lang w:val="es-ES"/>
        </w:rPr>
        <w:t>Ley Nº 28294, Ley que crea el Sistema Nacional Integrado de Catastro y su Vinculación con el Registro de Predios</w:t>
      </w:r>
    </w:p>
    <w:p w:rsidR="00A85304" w:rsidRPr="007A1D01" w:rsidRDefault="00A85304" w:rsidP="00DF0797">
      <w:pPr>
        <w:pStyle w:val="Prrafodelista"/>
        <w:spacing w:after="0" w:line="240" w:lineRule="auto"/>
        <w:ind w:left="851"/>
        <w:rPr>
          <w:rFonts w:ascii="Arial" w:hAnsi="Arial" w:cs="Arial"/>
          <w:lang w:val="es-ES"/>
        </w:rPr>
      </w:pPr>
    </w:p>
    <w:p w:rsidR="00A85304" w:rsidRPr="007A1D01" w:rsidRDefault="00A85304" w:rsidP="0092471C">
      <w:pPr>
        <w:pStyle w:val="Prrafodelista1"/>
        <w:widowControl w:val="0"/>
        <w:numPr>
          <w:ilvl w:val="0"/>
          <w:numId w:val="270"/>
        </w:numPr>
        <w:spacing w:after="0" w:line="240" w:lineRule="auto"/>
        <w:ind w:left="851"/>
        <w:jc w:val="both"/>
        <w:rPr>
          <w:rFonts w:ascii="Arial" w:hAnsi="Arial" w:cs="Arial"/>
          <w:lang w:val="es-ES"/>
        </w:rPr>
      </w:pPr>
      <w:r w:rsidRPr="007A1D01">
        <w:rPr>
          <w:rFonts w:ascii="Arial" w:hAnsi="Arial" w:cs="Arial"/>
          <w:lang w:val="es-ES"/>
        </w:rPr>
        <w:t>Ley N° 27444, Ley del Procedimiento Administrativo General</w:t>
      </w:r>
    </w:p>
    <w:p w:rsidR="00A85304" w:rsidRPr="007A1D01" w:rsidRDefault="00A85304" w:rsidP="00DF0797">
      <w:pPr>
        <w:pStyle w:val="Prrafodelista"/>
        <w:spacing w:after="0" w:line="240" w:lineRule="auto"/>
        <w:ind w:left="851"/>
        <w:rPr>
          <w:rFonts w:ascii="Arial" w:hAnsi="Arial" w:cs="Arial"/>
          <w:lang w:val="es-ES"/>
        </w:rPr>
      </w:pPr>
    </w:p>
    <w:p w:rsidR="00A85304" w:rsidRPr="007A1D01" w:rsidRDefault="00A85304" w:rsidP="0092471C">
      <w:pPr>
        <w:pStyle w:val="Prrafodelista1"/>
        <w:widowControl w:val="0"/>
        <w:numPr>
          <w:ilvl w:val="0"/>
          <w:numId w:val="270"/>
        </w:numPr>
        <w:spacing w:after="0" w:line="240" w:lineRule="auto"/>
        <w:ind w:left="851"/>
        <w:jc w:val="both"/>
        <w:rPr>
          <w:rFonts w:ascii="Arial" w:hAnsi="Arial" w:cs="Arial"/>
          <w:lang w:val="es-ES"/>
        </w:rPr>
      </w:pPr>
      <w:r>
        <w:rPr>
          <w:rFonts w:ascii="Arial" w:hAnsi="Arial" w:cs="Arial"/>
          <w:lang w:val="es-ES"/>
        </w:rPr>
        <w:t xml:space="preserve">El artículo 56 de la </w:t>
      </w:r>
      <w:r w:rsidRPr="007A1D01">
        <w:rPr>
          <w:rFonts w:ascii="Arial" w:hAnsi="Arial" w:cs="Arial"/>
          <w:lang w:val="es-ES"/>
        </w:rPr>
        <w:t>Ley Nº 30230, Ley que establece medidas tributarias, simplificación de procedimientos y permisos para la promoción y dinamización de la inversión en el país.</w:t>
      </w:r>
    </w:p>
    <w:p w:rsidR="00A85304" w:rsidRPr="007A1D01" w:rsidRDefault="00A85304" w:rsidP="00DF0797">
      <w:pPr>
        <w:spacing w:after="0" w:line="240" w:lineRule="auto"/>
        <w:ind w:left="851"/>
        <w:rPr>
          <w:rFonts w:ascii="Arial" w:hAnsi="Arial" w:cs="Arial"/>
        </w:rPr>
      </w:pPr>
    </w:p>
    <w:p w:rsidR="00A85304" w:rsidRPr="007A1D01" w:rsidRDefault="00A85304" w:rsidP="0092471C">
      <w:pPr>
        <w:pStyle w:val="Prrafodelista1"/>
        <w:widowControl w:val="0"/>
        <w:numPr>
          <w:ilvl w:val="0"/>
          <w:numId w:val="270"/>
        </w:numPr>
        <w:spacing w:after="0" w:line="240" w:lineRule="auto"/>
        <w:ind w:left="851"/>
        <w:jc w:val="both"/>
        <w:rPr>
          <w:rFonts w:ascii="Arial" w:hAnsi="Arial" w:cs="Arial"/>
          <w:lang w:val="es-ES"/>
        </w:rPr>
      </w:pPr>
      <w:r w:rsidRPr="007A1D01">
        <w:rPr>
          <w:rFonts w:ascii="Arial" w:hAnsi="Arial" w:cs="Arial"/>
          <w:lang w:val="es-ES"/>
        </w:rPr>
        <w:t>Decreto Legislativo  Nº 1202, Decreto Legislativo que modifica el Decreto Legislativo Nº 803, Ley de Promoción del Acceso a la Propiedad Formal y que dicta medidas complementarias en materia de acceso a la propiedad formal.</w:t>
      </w:r>
    </w:p>
    <w:p w:rsidR="00A85304" w:rsidRPr="007A1D01" w:rsidRDefault="00A85304" w:rsidP="00DF0797">
      <w:pPr>
        <w:pStyle w:val="Prrafodelista"/>
        <w:spacing w:after="0" w:line="240" w:lineRule="auto"/>
        <w:ind w:left="851"/>
        <w:rPr>
          <w:rFonts w:ascii="Arial" w:hAnsi="Arial" w:cs="Arial"/>
          <w:lang w:val="es-ES"/>
        </w:rPr>
      </w:pPr>
    </w:p>
    <w:p w:rsidR="00A85304" w:rsidRPr="007A1D01" w:rsidRDefault="00A85304" w:rsidP="0092471C">
      <w:pPr>
        <w:pStyle w:val="Prrafodelista1"/>
        <w:widowControl w:val="0"/>
        <w:numPr>
          <w:ilvl w:val="0"/>
          <w:numId w:val="270"/>
        </w:numPr>
        <w:spacing w:after="0" w:line="240" w:lineRule="auto"/>
        <w:ind w:left="851"/>
        <w:jc w:val="both"/>
        <w:rPr>
          <w:rFonts w:ascii="Arial" w:hAnsi="Arial" w:cs="Arial"/>
          <w:lang w:val="es-ES"/>
        </w:rPr>
      </w:pPr>
      <w:r w:rsidRPr="007A1D01">
        <w:rPr>
          <w:rFonts w:ascii="Arial" w:hAnsi="Arial" w:cs="Arial"/>
          <w:lang w:val="es-ES"/>
        </w:rPr>
        <w:t>Decreto Legislativo N° 1209, Decreto Legislativo que establece el procedimiento a seguir para la inmatriculación de predios de propiedad privada de particulares en el Registro de Predios.</w:t>
      </w:r>
    </w:p>
    <w:p w:rsidR="00A85304" w:rsidRPr="007A1D01" w:rsidRDefault="00A85304" w:rsidP="00DF0797">
      <w:pPr>
        <w:pStyle w:val="Prrafodelista1"/>
        <w:widowControl w:val="0"/>
        <w:spacing w:after="0" w:line="240" w:lineRule="auto"/>
        <w:ind w:left="851"/>
        <w:jc w:val="both"/>
        <w:rPr>
          <w:rFonts w:ascii="Arial" w:hAnsi="Arial" w:cs="Arial"/>
          <w:lang w:val="es-ES"/>
        </w:rPr>
      </w:pPr>
    </w:p>
    <w:p w:rsidR="00A85304" w:rsidRPr="007A1D01" w:rsidRDefault="00A85304" w:rsidP="0092471C">
      <w:pPr>
        <w:pStyle w:val="Prrafodelista1"/>
        <w:widowControl w:val="0"/>
        <w:numPr>
          <w:ilvl w:val="0"/>
          <w:numId w:val="270"/>
        </w:numPr>
        <w:spacing w:after="0" w:line="240" w:lineRule="auto"/>
        <w:ind w:left="851"/>
        <w:jc w:val="both"/>
        <w:rPr>
          <w:rFonts w:ascii="Arial" w:hAnsi="Arial" w:cs="Arial"/>
          <w:lang w:val="es-ES"/>
        </w:rPr>
      </w:pPr>
      <w:r w:rsidRPr="007A1D01">
        <w:rPr>
          <w:rFonts w:ascii="Arial" w:hAnsi="Arial" w:cs="Arial"/>
          <w:lang w:val="es-ES"/>
        </w:rPr>
        <w:t>Decreto Supremo N° 130-2001-EF, Dictan medidas reglamentarias para que cualquier entidad pública pueda realizar acciones de saneamiento técnico, legal y contable de inmuebles de propiedad estatal.</w:t>
      </w:r>
    </w:p>
    <w:p w:rsidR="00A85304" w:rsidRPr="007A1D01" w:rsidRDefault="00A85304" w:rsidP="00DF0797">
      <w:pPr>
        <w:pStyle w:val="Prrafodelista1"/>
        <w:widowControl w:val="0"/>
        <w:spacing w:after="0" w:line="240" w:lineRule="auto"/>
        <w:ind w:left="851"/>
        <w:jc w:val="both"/>
        <w:rPr>
          <w:rFonts w:ascii="Arial" w:hAnsi="Arial" w:cs="Arial"/>
          <w:lang w:val="es-ES"/>
        </w:rPr>
      </w:pPr>
      <w:r w:rsidRPr="007A1D01">
        <w:rPr>
          <w:rFonts w:ascii="Arial" w:hAnsi="Arial" w:cs="Arial"/>
          <w:lang w:val="es-ES"/>
        </w:rPr>
        <w:t xml:space="preserve"> </w:t>
      </w:r>
    </w:p>
    <w:p w:rsidR="00A85304" w:rsidRPr="007A1D01" w:rsidRDefault="00A85304" w:rsidP="0092471C">
      <w:pPr>
        <w:pStyle w:val="Prrafodelista1"/>
        <w:widowControl w:val="0"/>
        <w:numPr>
          <w:ilvl w:val="0"/>
          <w:numId w:val="268"/>
        </w:numPr>
        <w:spacing w:after="0" w:line="240" w:lineRule="auto"/>
        <w:ind w:left="851"/>
        <w:jc w:val="both"/>
        <w:rPr>
          <w:rFonts w:ascii="Arial" w:hAnsi="Arial" w:cs="Arial"/>
          <w:lang w:val="es-ES"/>
        </w:rPr>
      </w:pPr>
      <w:r w:rsidRPr="007A1D01">
        <w:rPr>
          <w:rFonts w:ascii="Arial" w:hAnsi="Arial" w:cs="Arial"/>
          <w:lang w:val="es-ES"/>
        </w:rPr>
        <w:t>Reglamento de la Ley Nº 29151, Ley General del Sistema Nacional de  Benes Estatales, aprobado con Decreto Supremo N° 007-2008-VIVIENDA.</w:t>
      </w:r>
    </w:p>
    <w:p w:rsidR="00A85304" w:rsidRPr="007A1D01" w:rsidRDefault="00A85304" w:rsidP="00DF0797">
      <w:pPr>
        <w:pStyle w:val="Prrafodelista1"/>
        <w:widowControl w:val="0"/>
        <w:spacing w:after="0" w:line="240" w:lineRule="auto"/>
        <w:ind w:left="851"/>
        <w:jc w:val="both"/>
        <w:rPr>
          <w:rFonts w:ascii="Arial" w:hAnsi="Arial" w:cs="Arial"/>
          <w:lang w:val="es-ES"/>
        </w:rPr>
      </w:pPr>
    </w:p>
    <w:p w:rsidR="00A85304" w:rsidRPr="007A1D01" w:rsidRDefault="00A85304" w:rsidP="0092471C">
      <w:pPr>
        <w:pStyle w:val="Prrafodelista1"/>
        <w:widowControl w:val="0"/>
        <w:numPr>
          <w:ilvl w:val="0"/>
          <w:numId w:val="268"/>
        </w:numPr>
        <w:spacing w:after="0" w:line="240" w:lineRule="auto"/>
        <w:ind w:left="851"/>
        <w:jc w:val="both"/>
        <w:rPr>
          <w:rFonts w:ascii="Arial" w:hAnsi="Arial" w:cs="Arial"/>
          <w:lang w:val="es-ES"/>
        </w:rPr>
      </w:pPr>
      <w:r w:rsidRPr="007A1D01">
        <w:rPr>
          <w:rFonts w:ascii="Arial" w:hAnsi="Arial" w:cs="Arial"/>
          <w:lang w:val="es-ES"/>
        </w:rPr>
        <w:t>Reglamento de la Ley Nº 26856, aprobado con Decreto Supremo Nº 050-2006-EF.</w:t>
      </w:r>
    </w:p>
    <w:p w:rsidR="00A85304" w:rsidRPr="007A1D01" w:rsidRDefault="00A85304" w:rsidP="00DF0797">
      <w:pPr>
        <w:pStyle w:val="Prrafodelista1"/>
        <w:widowControl w:val="0"/>
        <w:spacing w:after="0" w:line="240" w:lineRule="auto"/>
        <w:ind w:left="851"/>
        <w:jc w:val="both"/>
        <w:rPr>
          <w:rFonts w:ascii="Arial" w:hAnsi="Arial" w:cs="Arial"/>
          <w:lang w:val="es-ES"/>
        </w:rPr>
      </w:pPr>
    </w:p>
    <w:p w:rsidR="00A85304" w:rsidRPr="007A1D01" w:rsidRDefault="00A85304" w:rsidP="0092471C">
      <w:pPr>
        <w:pStyle w:val="Prrafodelista1"/>
        <w:widowControl w:val="0"/>
        <w:numPr>
          <w:ilvl w:val="0"/>
          <w:numId w:val="268"/>
        </w:numPr>
        <w:spacing w:after="0" w:line="240" w:lineRule="auto"/>
        <w:ind w:left="851"/>
        <w:jc w:val="both"/>
        <w:rPr>
          <w:rFonts w:ascii="Arial" w:hAnsi="Arial" w:cs="Arial"/>
          <w:lang w:val="es-ES"/>
        </w:rPr>
      </w:pPr>
      <w:r w:rsidRPr="007A1D01">
        <w:rPr>
          <w:rFonts w:ascii="Arial" w:hAnsi="Arial" w:cs="Arial"/>
          <w:lang w:val="es-ES"/>
        </w:rPr>
        <w:t>Decreto Supremo Nº 010-2008-VIVIENDA, Declaran medidas para la supervisión de la zona de Playa Protegida y de la Zona de Dominio Restringido a cargo de la Superintendencia nacional de Bienes Estatales y su inmatriculación en el registro de Predios.</w:t>
      </w:r>
    </w:p>
    <w:p w:rsidR="00A85304" w:rsidRPr="007A1D01" w:rsidRDefault="00A85304" w:rsidP="00DF0797">
      <w:pPr>
        <w:pStyle w:val="Prrafodelista1"/>
        <w:widowControl w:val="0"/>
        <w:spacing w:after="0" w:line="240" w:lineRule="auto"/>
        <w:ind w:left="851"/>
        <w:jc w:val="both"/>
        <w:rPr>
          <w:rFonts w:ascii="Arial" w:hAnsi="Arial" w:cs="Arial"/>
          <w:lang w:val="es-ES"/>
        </w:rPr>
      </w:pPr>
    </w:p>
    <w:p w:rsidR="00A85304" w:rsidRPr="007A1D01" w:rsidRDefault="00A85304" w:rsidP="0092471C">
      <w:pPr>
        <w:pStyle w:val="Prrafodelista1"/>
        <w:widowControl w:val="0"/>
        <w:numPr>
          <w:ilvl w:val="0"/>
          <w:numId w:val="268"/>
        </w:numPr>
        <w:spacing w:after="0" w:line="240" w:lineRule="auto"/>
        <w:ind w:left="851"/>
        <w:jc w:val="both"/>
        <w:rPr>
          <w:rFonts w:ascii="Arial" w:hAnsi="Arial" w:cs="Arial"/>
          <w:lang w:val="es-ES"/>
        </w:rPr>
      </w:pPr>
      <w:r w:rsidRPr="007A1D01">
        <w:rPr>
          <w:rFonts w:ascii="Arial" w:hAnsi="Arial" w:cs="Arial"/>
        </w:rPr>
        <w:t>Reglamento de Inscripciones del Registro de Predios, aprobado por la Resolución N° 097-2013-SUNARP/SN</w:t>
      </w:r>
    </w:p>
    <w:p w:rsidR="00A85304" w:rsidRPr="007A1D01" w:rsidRDefault="00A85304" w:rsidP="00DF0797">
      <w:pPr>
        <w:pStyle w:val="Prrafodelista1"/>
        <w:widowControl w:val="0"/>
        <w:spacing w:after="0" w:line="240" w:lineRule="auto"/>
        <w:ind w:left="851"/>
        <w:jc w:val="both"/>
        <w:rPr>
          <w:rFonts w:ascii="Arial" w:hAnsi="Arial" w:cs="Arial"/>
          <w:lang w:val="es-ES"/>
        </w:rPr>
      </w:pPr>
    </w:p>
    <w:p w:rsidR="00A85304" w:rsidRDefault="00A85304" w:rsidP="0092471C">
      <w:pPr>
        <w:pStyle w:val="Prrafodelista1"/>
        <w:widowControl w:val="0"/>
        <w:numPr>
          <w:ilvl w:val="0"/>
          <w:numId w:val="268"/>
        </w:numPr>
        <w:spacing w:after="0" w:line="240" w:lineRule="auto"/>
        <w:ind w:left="851"/>
        <w:jc w:val="both"/>
        <w:rPr>
          <w:rFonts w:ascii="Arial" w:hAnsi="Arial" w:cs="Arial"/>
          <w:lang w:val="es-ES"/>
        </w:rPr>
      </w:pPr>
      <w:r w:rsidRPr="007A1D01">
        <w:rPr>
          <w:rFonts w:ascii="Arial" w:hAnsi="Arial" w:cs="Arial"/>
          <w:lang w:val="es-ES"/>
        </w:rPr>
        <w:t>Reglamento de Organización y Funciones de la Superintendencia Nacional de Bienes Estatales - SBN, aprobado por Decreto Supremo N° 016-2010­VIVIENDA.</w:t>
      </w:r>
    </w:p>
    <w:p w:rsidR="00A85304" w:rsidRDefault="00A85304" w:rsidP="00DF0797">
      <w:pPr>
        <w:widowControl w:val="0"/>
        <w:spacing w:after="0" w:line="240" w:lineRule="auto"/>
        <w:ind w:left="720"/>
        <w:jc w:val="both"/>
        <w:rPr>
          <w:rFonts w:ascii="Arial" w:hAnsi="Arial" w:cs="Arial"/>
          <w:lang w:val="es-ES"/>
        </w:rPr>
      </w:pPr>
    </w:p>
    <w:p w:rsidR="00DF0797" w:rsidRPr="00DF0797" w:rsidRDefault="00DF0797" w:rsidP="00DF0797">
      <w:pPr>
        <w:widowControl w:val="0"/>
        <w:spacing w:after="0" w:line="240" w:lineRule="auto"/>
        <w:ind w:left="720"/>
        <w:jc w:val="both"/>
        <w:rPr>
          <w:rFonts w:ascii="Arial" w:hAnsi="Arial" w:cs="Arial"/>
          <w:lang w:val="es-ES"/>
        </w:rPr>
      </w:pPr>
    </w:p>
    <w:p w:rsidR="00A85304" w:rsidRPr="007A1D01" w:rsidRDefault="00A85304" w:rsidP="0092471C">
      <w:pPr>
        <w:pStyle w:val="Prrafodelista1"/>
        <w:widowControl w:val="0"/>
        <w:numPr>
          <w:ilvl w:val="0"/>
          <w:numId w:val="271"/>
        </w:numPr>
        <w:tabs>
          <w:tab w:val="left" w:pos="2020"/>
        </w:tabs>
        <w:spacing w:after="0" w:line="240" w:lineRule="auto"/>
        <w:ind w:left="426" w:hanging="371"/>
        <w:jc w:val="both"/>
        <w:rPr>
          <w:rFonts w:ascii="Arial" w:hAnsi="Arial" w:cs="Arial"/>
          <w:lang w:val="es-ES"/>
        </w:rPr>
      </w:pPr>
      <w:r w:rsidRPr="007A1D01">
        <w:rPr>
          <w:rFonts w:ascii="Arial" w:hAnsi="Arial" w:cs="Arial"/>
          <w:b/>
          <w:lang w:val="es-ES"/>
        </w:rPr>
        <w:t>DISPOSICIONES GENERALES</w:t>
      </w:r>
      <w:r w:rsidRPr="007A1D01">
        <w:rPr>
          <w:rFonts w:ascii="Arial" w:hAnsi="Arial" w:cs="Arial"/>
          <w:lang w:val="es-ES"/>
        </w:rPr>
        <w:t xml:space="preserve"> </w:t>
      </w:r>
    </w:p>
    <w:p w:rsidR="00A85304" w:rsidRPr="007A1D01" w:rsidRDefault="00A85304" w:rsidP="00DF0797">
      <w:pPr>
        <w:pStyle w:val="Prrafodelista1"/>
        <w:tabs>
          <w:tab w:val="left" w:pos="2020"/>
        </w:tabs>
        <w:spacing w:after="0" w:line="240" w:lineRule="auto"/>
        <w:jc w:val="both"/>
        <w:rPr>
          <w:rFonts w:ascii="Arial" w:hAnsi="Arial" w:cs="Arial"/>
          <w:lang w:val="es-ES"/>
        </w:rPr>
      </w:pPr>
    </w:p>
    <w:p w:rsidR="00A85304" w:rsidRPr="007A1D01" w:rsidRDefault="00A85304" w:rsidP="0092471C">
      <w:pPr>
        <w:pStyle w:val="Prrafodelista1"/>
        <w:widowControl w:val="0"/>
        <w:numPr>
          <w:ilvl w:val="1"/>
          <w:numId w:val="278"/>
        </w:numPr>
        <w:tabs>
          <w:tab w:val="left" w:pos="2020"/>
        </w:tabs>
        <w:spacing w:after="0" w:line="240" w:lineRule="auto"/>
        <w:ind w:left="993" w:hanging="567"/>
        <w:jc w:val="both"/>
        <w:rPr>
          <w:rFonts w:ascii="Arial" w:hAnsi="Arial" w:cs="Arial"/>
        </w:rPr>
      </w:pPr>
      <w:r w:rsidRPr="007A1D01">
        <w:rPr>
          <w:rFonts w:ascii="Arial" w:hAnsi="Arial" w:cs="Arial"/>
          <w:lang w:val="es-ES"/>
        </w:rPr>
        <w:t>La primera inscripción de dominio de predios del Estado es un procedimiento de oficio a cargo de la SBN y de l</w:t>
      </w:r>
      <w:r w:rsidRPr="007A1D01">
        <w:rPr>
          <w:rFonts w:ascii="Arial" w:eastAsia="Calibri" w:hAnsi="Arial" w:cs="Arial"/>
          <w:lang w:val="es-ES"/>
        </w:rPr>
        <w:t>os Gobiernos Regionales que hayan asumido funciones y los que cuenten con Convenio de Delegación de Competencias, en el marco del proceso de descentralización y aquella que cuentan.</w:t>
      </w:r>
    </w:p>
    <w:p w:rsidR="00A85304" w:rsidRPr="007A1D01" w:rsidRDefault="00A85304" w:rsidP="00DF0797">
      <w:pPr>
        <w:pStyle w:val="Prrafodelista1"/>
        <w:widowControl w:val="0"/>
        <w:tabs>
          <w:tab w:val="left" w:pos="2020"/>
        </w:tabs>
        <w:spacing w:after="0" w:line="240" w:lineRule="auto"/>
        <w:ind w:left="993" w:hanging="567"/>
        <w:jc w:val="both"/>
        <w:rPr>
          <w:rFonts w:ascii="Arial" w:hAnsi="Arial" w:cs="Arial"/>
        </w:rPr>
      </w:pPr>
    </w:p>
    <w:p w:rsidR="00A85304" w:rsidRPr="007A1D01" w:rsidRDefault="00A85304" w:rsidP="0092471C">
      <w:pPr>
        <w:pStyle w:val="Prrafodelista1"/>
        <w:widowControl w:val="0"/>
        <w:numPr>
          <w:ilvl w:val="1"/>
          <w:numId w:val="278"/>
        </w:numPr>
        <w:tabs>
          <w:tab w:val="left" w:pos="2020"/>
        </w:tabs>
        <w:spacing w:after="0" w:line="240" w:lineRule="auto"/>
        <w:ind w:left="993" w:hanging="567"/>
        <w:jc w:val="both"/>
        <w:rPr>
          <w:rFonts w:ascii="Arial" w:hAnsi="Arial" w:cs="Arial"/>
          <w:lang w:val="es-ES"/>
        </w:rPr>
      </w:pPr>
      <w:r w:rsidRPr="007A1D01">
        <w:rPr>
          <w:rFonts w:ascii="Arial" w:hAnsi="Arial" w:cs="Arial"/>
        </w:rPr>
        <w:t>L</w:t>
      </w:r>
      <w:r w:rsidRPr="007A1D01">
        <w:rPr>
          <w:rFonts w:ascii="Arial" w:hAnsi="Arial" w:cs="Arial"/>
          <w:lang w:val="es-ES"/>
        </w:rPr>
        <w:t>a determinación de las áreas materia de primera inscripción de dominio de predios del Estado requiere</w:t>
      </w:r>
      <w:r w:rsidRPr="007A1D01">
        <w:rPr>
          <w:rFonts w:ascii="Arial" w:hAnsi="Arial" w:cs="Arial"/>
        </w:rPr>
        <w:t>n previamente de inspecciones técnicas y consultas a las entidades competentes, dependiendo de la naturaleza y ubicación del predio a inscribir.</w:t>
      </w:r>
    </w:p>
    <w:p w:rsidR="00A85304" w:rsidRPr="007A1D01" w:rsidRDefault="00A85304" w:rsidP="00DF0797">
      <w:pPr>
        <w:pStyle w:val="Prrafodelista2"/>
        <w:widowControl w:val="0"/>
        <w:tabs>
          <w:tab w:val="left" w:pos="2020"/>
        </w:tabs>
        <w:spacing w:after="0" w:line="240" w:lineRule="auto"/>
        <w:ind w:left="993" w:hanging="567"/>
        <w:jc w:val="both"/>
        <w:rPr>
          <w:rFonts w:ascii="Arial" w:hAnsi="Arial" w:cs="Arial"/>
          <w:lang w:val="es-ES"/>
        </w:rPr>
      </w:pPr>
    </w:p>
    <w:p w:rsidR="00A85304" w:rsidRPr="007A1D01" w:rsidRDefault="00A85304" w:rsidP="0092471C">
      <w:pPr>
        <w:pStyle w:val="Prrafodelista2"/>
        <w:widowControl w:val="0"/>
        <w:numPr>
          <w:ilvl w:val="1"/>
          <w:numId w:val="278"/>
        </w:numPr>
        <w:tabs>
          <w:tab w:val="left" w:pos="2020"/>
        </w:tabs>
        <w:spacing w:after="0" w:line="240" w:lineRule="auto"/>
        <w:ind w:left="993" w:hanging="567"/>
        <w:jc w:val="both"/>
        <w:rPr>
          <w:rFonts w:ascii="Arial" w:hAnsi="Arial" w:cs="Arial"/>
          <w:lang w:val="es-ES"/>
        </w:rPr>
      </w:pPr>
      <w:r w:rsidRPr="007A1D01">
        <w:rPr>
          <w:rFonts w:ascii="Arial" w:hAnsi="Arial" w:cs="Arial"/>
          <w:lang w:val="es-ES"/>
        </w:rPr>
        <w:t xml:space="preserve">La primera inscripción de dominio en el Registro de Predios de las áreas ubicadas en Zona de Playa Protegida corresponde sustentar y aprobar a la SBN. </w:t>
      </w:r>
    </w:p>
    <w:p w:rsidR="00A85304" w:rsidRPr="007A1D01" w:rsidRDefault="00A85304" w:rsidP="00DF0797">
      <w:pPr>
        <w:spacing w:after="0" w:line="240" w:lineRule="auto"/>
        <w:jc w:val="both"/>
        <w:rPr>
          <w:rFonts w:ascii="Arial" w:hAnsi="Arial" w:cs="Arial"/>
        </w:rPr>
      </w:pPr>
    </w:p>
    <w:p w:rsidR="00A85304" w:rsidRPr="007A1D01" w:rsidRDefault="00A85304" w:rsidP="0092471C">
      <w:pPr>
        <w:pStyle w:val="Prrafodelista1"/>
        <w:widowControl w:val="0"/>
        <w:numPr>
          <w:ilvl w:val="0"/>
          <w:numId w:val="271"/>
        </w:numPr>
        <w:tabs>
          <w:tab w:val="left" w:pos="2020"/>
        </w:tabs>
        <w:spacing w:after="0" w:line="240" w:lineRule="auto"/>
        <w:ind w:left="426" w:hanging="426"/>
        <w:jc w:val="both"/>
        <w:rPr>
          <w:rFonts w:ascii="Arial" w:hAnsi="Arial" w:cs="Arial"/>
          <w:b/>
          <w:lang w:val="es-ES"/>
        </w:rPr>
      </w:pPr>
      <w:r w:rsidRPr="007A1D01">
        <w:rPr>
          <w:rFonts w:ascii="Arial" w:hAnsi="Arial" w:cs="Arial"/>
          <w:b/>
          <w:lang w:val="es-ES"/>
        </w:rPr>
        <w:t xml:space="preserve">DISPOSICIONES ESPECIFICAS </w:t>
      </w:r>
    </w:p>
    <w:p w:rsidR="00A85304" w:rsidRPr="007A1D01" w:rsidRDefault="00A85304" w:rsidP="00DF0797">
      <w:pPr>
        <w:pStyle w:val="Prrafodelista1"/>
        <w:widowControl w:val="0"/>
        <w:spacing w:after="0" w:line="240" w:lineRule="auto"/>
        <w:ind w:left="927"/>
        <w:jc w:val="both"/>
        <w:rPr>
          <w:rFonts w:ascii="Arial" w:hAnsi="Arial" w:cs="Arial"/>
          <w:lang w:val="es-ES"/>
        </w:rPr>
      </w:pPr>
    </w:p>
    <w:p w:rsidR="00A85304" w:rsidRPr="007A1D01" w:rsidRDefault="00A85304" w:rsidP="00DF0797">
      <w:pPr>
        <w:pStyle w:val="Prrafodelista1"/>
        <w:widowControl w:val="0"/>
        <w:spacing w:after="0" w:line="240" w:lineRule="auto"/>
        <w:ind w:left="993" w:hanging="567"/>
        <w:jc w:val="both"/>
        <w:rPr>
          <w:rFonts w:ascii="Arial" w:hAnsi="Arial" w:cs="Arial"/>
          <w:lang w:val="es-ES"/>
        </w:rPr>
      </w:pPr>
      <w:r w:rsidRPr="007A1D01">
        <w:rPr>
          <w:rFonts w:ascii="Arial" w:hAnsi="Arial" w:cs="Arial"/>
          <w:b/>
          <w:lang w:val="es-ES"/>
        </w:rPr>
        <w:t>6.1</w:t>
      </w:r>
      <w:r w:rsidRPr="007A1D01">
        <w:rPr>
          <w:rFonts w:ascii="Arial" w:hAnsi="Arial" w:cs="Arial"/>
          <w:lang w:val="es-ES"/>
        </w:rPr>
        <w:t xml:space="preserve"> </w:t>
      </w:r>
      <w:r w:rsidR="001A5A05">
        <w:rPr>
          <w:rFonts w:ascii="Arial" w:hAnsi="Arial" w:cs="Arial"/>
          <w:lang w:val="es-ES"/>
        </w:rPr>
        <w:tab/>
      </w:r>
      <w:r w:rsidRPr="007A1D01">
        <w:rPr>
          <w:rFonts w:ascii="Arial" w:hAnsi="Arial" w:cs="Arial"/>
          <w:b/>
          <w:lang w:val="es-ES"/>
        </w:rPr>
        <w:t>Etapas del procedimiento de primera inscripción de dominio de predios del Estado</w:t>
      </w:r>
    </w:p>
    <w:p w:rsidR="00A85304" w:rsidRPr="007A1D01" w:rsidRDefault="00A85304" w:rsidP="00DF0797">
      <w:pPr>
        <w:pStyle w:val="Prrafodelista1"/>
        <w:widowControl w:val="0"/>
        <w:spacing w:after="0" w:line="240" w:lineRule="auto"/>
        <w:ind w:left="0"/>
        <w:jc w:val="both"/>
        <w:rPr>
          <w:rFonts w:ascii="Arial" w:hAnsi="Arial" w:cs="Arial"/>
          <w:lang w:val="es-ES"/>
        </w:rPr>
      </w:pPr>
    </w:p>
    <w:p w:rsidR="00A85304" w:rsidRPr="007A1D01" w:rsidRDefault="00A85304" w:rsidP="00DF0797">
      <w:pPr>
        <w:pStyle w:val="Prrafodelista1"/>
        <w:widowControl w:val="0"/>
        <w:spacing w:after="0" w:line="240" w:lineRule="auto"/>
        <w:ind w:left="993"/>
        <w:jc w:val="both"/>
        <w:rPr>
          <w:rFonts w:ascii="Arial" w:hAnsi="Arial" w:cs="Arial"/>
          <w:lang w:val="es-ES"/>
        </w:rPr>
      </w:pPr>
      <w:r w:rsidRPr="007A1D01">
        <w:rPr>
          <w:rFonts w:ascii="Arial" w:hAnsi="Arial" w:cs="Arial"/>
          <w:lang w:val="es-ES"/>
        </w:rPr>
        <w:t>El procedimiento de primera inscripción de dominio de predios del Estado comprende las siguientes etapas:</w:t>
      </w:r>
    </w:p>
    <w:p w:rsidR="00A85304" w:rsidRPr="007A1D01" w:rsidRDefault="00A85304" w:rsidP="00DF0797">
      <w:pPr>
        <w:pStyle w:val="Prrafodelista1"/>
        <w:widowControl w:val="0"/>
        <w:spacing w:after="0" w:line="240" w:lineRule="auto"/>
        <w:ind w:left="1560"/>
        <w:jc w:val="both"/>
        <w:rPr>
          <w:rFonts w:ascii="Arial" w:hAnsi="Arial" w:cs="Arial"/>
          <w:lang w:val="es-ES"/>
        </w:rPr>
      </w:pPr>
    </w:p>
    <w:p w:rsidR="00A85304" w:rsidRPr="00DF0797" w:rsidRDefault="00A85304" w:rsidP="0092471C">
      <w:pPr>
        <w:pStyle w:val="Prrafodelista1"/>
        <w:widowControl w:val="0"/>
        <w:numPr>
          <w:ilvl w:val="2"/>
          <w:numId w:val="273"/>
        </w:numPr>
        <w:spacing w:after="0" w:line="240" w:lineRule="auto"/>
        <w:ind w:left="1843"/>
        <w:jc w:val="both"/>
        <w:rPr>
          <w:rFonts w:ascii="Arial" w:hAnsi="Arial" w:cs="Arial"/>
          <w:lang w:val="es-ES"/>
        </w:rPr>
      </w:pPr>
      <w:r w:rsidRPr="00DF0797">
        <w:rPr>
          <w:rFonts w:ascii="Arial" w:hAnsi="Arial" w:cs="Arial"/>
          <w:lang w:val="es-ES"/>
        </w:rPr>
        <w:t>Identificación del predio</w:t>
      </w:r>
    </w:p>
    <w:p w:rsidR="00A85304" w:rsidRPr="00DF0797" w:rsidRDefault="00A85304" w:rsidP="0092471C">
      <w:pPr>
        <w:pStyle w:val="Prrafodelista1"/>
        <w:widowControl w:val="0"/>
        <w:numPr>
          <w:ilvl w:val="2"/>
          <w:numId w:val="273"/>
        </w:numPr>
        <w:spacing w:after="0" w:line="240" w:lineRule="auto"/>
        <w:ind w:left="1843"/>
        <w:jc w:val="both"/>
        <w:rPr>
          <w:rFonts w:ascii="Arial" w:hAnsi="Arial" w:cs="Arial"/>
          <w:lang w:val="es-ES"/>
        </w:rPr>
      </w:pPr>
      <w:r w:rsidRPr="00DF0797">
        <w:rPr>
          <w:rFonts w:ascii="Arial" w:hAnsi="Arial" w:cs="Arial"/>
          <w:lang w:val="es-ES"/>
        </w:rPr>
        <w:t xml:space="preserve">Elaboración de Informe Técnico Legal </w:t>
      </w:r>
    </w:p>
    <w:p w:rsidR="00A85304" w:rsidRPr="00DF0797" w:rsidRDefault="00A85304" w:rsidP="0092471C">
      <w:pPr>
        <w:pStyle w:val="Prrafodelista1"/>
        <w:widowControl w:val="0"/>
        <w:numPr>
          <w:ilvl w:val="2"/>
          <w:numId w:val="273"/>
        </w:numPr>
        <w:spacing w:after="0" w:line="240" w:lineRule="auto"/>
        <w:ind w:left="1843"/>
        <w:jc w:val="both"/>
        <w:rPr>
          <w:rFonts w:ascii="Arial" w:hAnsi="Arial" w:cs="Arial"/>
          <w:lang w:val="es-ES"/>
        </w:rPr>
      </w:pPr>
      <w:r w:rsidRPr="00DF0797">
        <w:rPr>
          <w:rFonts w:ascii="Arial" w:hAnsi="Arial" w:cs="Arial"/>
          <w:lang w:val="es-ES"/>
        </w:rPr>
        <w:t>Emisión de resolución</w:t>
      </w:r>
    </w:p>
    <w:p w:rsidR="00A85304" w:rsidRPr="00DF0797" w:rsidRDefault="00A85304" w:rsidP="0092471C">
      <w:pPr>
        <w:pStyle w:val="Prrafodelista1"/>
        <w:widowControl w:val="0"/>
        <w:numPr>
          <w:ilvl w:val="2"/>
          <w:numId w:val="273"/>
        </w:numPr>
        <w:spacing w:after="0" w:line="240" w:lineRule="auto"/>
        <w:ind w:left="1843"/>
        <w:jc w:val="both"/>
        <w:rPr>
          <w:rFonts w:ascii="Arial" w:hAnsi="Arial" w:cs="Arial"/>
          <w:lang w:val="es-ES"/>
        </w:rPr>
      </w:pPr>
      <w:r w:rsidRPr="00DF0797">
        <w:rPr>
          <w:rFonts w:ascii="Arial" w:hAnsi="Arial" w:cs="Arial"/>
          <w:lang w:val="es-ES"/>
        </w:rPr>
        <w:t xml:space="preserve">Inscripción y registro   </w:t>
      </w:r>
    </w:p>
    <w:p w:rsidR="00A85304" w:rsidRPr="007A1D01" w:rsidRDefault="00A85304" w:rsidP="00DF0797">
      <w:pPr>
        <w:pStyle w:val="Prrafodelista1"/>
        <w:widowControl w:val="0"/>
        <w:spacing w:after="0" w:line="240" w:lineRule="auto"/>
        <w:ind w:left="709"/>
        <w:jc w:val="both"/>
        <w:rPr>
          <w:rFonts w:ascii="Arial" w:hAnsi="Arial" w:cs="Arial"/>
          <w:lang w:val="es-ES"/>
        </w:rPr>
      </w:pPr>
    </w:p>
    <w:p w:rsidR="00A85304" w:rsidRPr="007A1D01" w:rsidRDefault="00A85304" w:rsidP="00DF0797">
      <w:pPr>
        <w:pStyle w:val="Prrafodelista1"/>
        <w:widowControl w:val="0"/>
        <w:spacing w:after="0" w:line="240" w:lineRule="auto"/>
        <w:ind w:left="993"/>
        <w:jc w:val="both"/>
        <w:rPr>
          <w:rFonts w:ascii="Arial" w:hAnsi="Arial" w:cs="Arial"/>
          <w:lang w:val="es-ES"/>
        </w:rPr>
      </w:pPr>
      <w:r w:rsidRPr="007A1D01">
        <w:rPr>
          <w:rFonts w:ascii="Arial" w:hAnsi="Arial" w:cs="Arial"/>
          <w:lang w:val="es-ES"/>
        </w:rPr>
        <w:t>El caso de la SBN la presente Directiva será aplicada por la SDAPE.</w:t>
      </w:r>
    </w:p>
    <w:p w:rsidR="00A85304" w:rsidRPr="007A1D01" w:rsidRDefault="00A85304" w:rsidP="00DF0797">
      <w:pPr>
        <w:pStyle w:val="Prrafodelista1"/>
        <w:widowControl w:val="0"/>
        <w:spacing w:after="0" w:line="240" w:lineRule="auto"/>
        <w:ind w:left="709"/>
        <w:jc w:val="both"/>
        <w:rPr>
          <w:rFonts w:ascii="Arial" w:hAnsi="Arial" w:cs="Arial"/>
          <w:lang w:val="es-ES"/>
        </w:rPr>
      </w:pPr>
    </w:p>
    <w:p w:rsidR="00A85304" w:rsidRPr="007A1D01" w:rsidRDefault="00A85304" w:rsidP="00DF0797">
      <w:pPr>
        <w:pStyle w:val="Prrafodelista1"/>
        <w:widowControl w:val="0"/>
        <w:spacing w:after="0" w:line="240" w:lineRule="auto"/>
        <w:ind w:left="1134" w:hanging="708"/>
        <w:jc w:val="both"/>
        <w:rPr>
          <w:rFonts w:ascii="Arial" w:hAnsi="Arial" w:cs="Arial"/>
          <w:b/>
          <w:lang w:val="es-ES"/>
        </w:rPr>
      </w:pPr>
      <w:r w:rsidRPr="007A1D01">
        <w:rPr>
          <w:rFonts w:ascii="Arial" w:hAnsi="Arial" w:cs="Arial"/>
          <w:b/>
          <w:lang w:val="es-ES"/>
        </w:rPr>
        <w:t>6.2.</w:t>
      </w:r>
      <w:r w:rsidRPr="007A1D01">
        <w:rPr>
          <w:rFonts w:ascii="Arial" w:hAnsi="Arial" w:cs="Arial"/>
          <w:b/>
          <w:lang w:val="es-ES"/>
        </w:rPr>
        <w:tab/>
        <w:t>Identificación del predio</w:t>
      </w:r>
    </w:p>
    <w:p w:rsidR="00A85304" w:rsidRPr="007A1D01" w:rsidRDefault="00A85304" w:rsidP="00DF0797">
      <w:pPr>
        <w:pStyle w:val="Prrafodelista1"/>
        <w:widowControl w:val="0"/>
        <w:spacing w:after="0" w:line="240" w:lineRule="auto"/>
        <w:ind w:left="0"/>
        <w:jc w:val="both"/>
        <w:rPr>
          <w:rFonts w:ascii="Arial" w:hAnsi="Arial" w:cs="Arial"/>
          <w:b/>
          <w:lang w:val="es-ES"/>
        </w:rPr>
      </w:pPr>
    </w:p>
    <w:p w:rsidR="00A85304" w:rsidRPr="007A1D01" w:rsidRDefault="00A85304" w:rsidP="00DF0797">
      <w:pPr>
        <w:pStyle w:val="Prrafodelista1"/>
        <w:widowControl w:val="0"/>
        <w:spacing w:after="0" w:line="240" w:lineRule="auto"/>
        <w:ind w:left="1843" w:hanging="709"/>
        <w:jc w:val="both"/>
        <w:rPr>
          <w:rFonts w:ascii="Arial" w:hAnsi="Arial" w:cs="Arial"/>
          <w:b/>
          <w:lang w:val="es-ES"/>
        </w:rPr>
      </w:pPr>
      <w:r w:rsidRPr="007A1D01">
        <w:rPr>
          <w:rFonts w:ascii="Arial" w:hAnsi="Arial" w:cs="Arial"/>
          <w:b/>
          <w:lang w:val="es-ES"/>
        </w:rPr>
        <w:t>6.2.1</w:t>
      </w:r>
      <w:r w:rsidRPr="007A1D01">
        <w:rPr>
          <w:rFonts w:ascii="Arial" w:hAnsi="Arial" w:cs="Arial"/>
          <w:lang w:val="es-ES"/>
        </w:rPr>
        <w:t xml:space="preserve"> </w:t>
      </w:r>
      <w:r w:rsidR="00DF0797">
        <w:rPr>
          <w:rFonts w:ascii="Arial" w:hAnsi="Arial" w:cs="Arial"/>
          <w:lang w:val="es-ES"/>
        </w:rPr>
        <w:tab/>
      </w:r>
      <w:r w:rsidRPr="007A1D01">
        <w:rPr>
          <w:rFonts w:ascii="Arial" w:hAnsi="Arial" w:cs="Arial"/>
          <w:lang w:val="es-ES"/>
        </w:rPr>
        <w:t>El órgano competente de la SBN, los Gobiernos Regionales con funciones transferidas o con Convenio de Delegación, inicia de oficio el procedimiento de primera inscripción de dominio a favor del Estado, abriendo el expediente, a partir de las formas siguientes:</w:t>
      </w:r>
    </w:p>
    <w:p w:rsidR="00A85304" w:rsidRPr="007A1D01" w:rsidRDefault="00A85304" w:rsidP="00DF0797">
      <w:pPr>
        <w:pStyle w:val="Prrafodelista1"/>
        <w:widowControl w:val="0"/>
        <w:spacing w:after="0" w:line="240" w:lineRule="auto"/>
        <w:ind w:left="851"/>
        <w:jc w:val="both"/>
        <w:rPr>
          <w:rFonts w:ascii="Arial" w:hAnsi="Arial" w:cs="Arial"/>
          <w:lang w:val="es-ES"/>
        </w:rPr>
      </w:pPr>
    </w:p>
    <w:p w:rsidR="00A85304" w:rsidRPr="007A1D01" w:rsidRDefault="00A85304" w:rsidP="0092471C">
      <w:pPr>
        <w:pStyle w:val="Prrafodelista1"/>
        <w:widowControl w:val="0"/>
        <w:numPr>
          <w:ilvl w:val="0"/>
          <w:numId w:val="269"/>
        </w:numPr>
        <w:spacing w:after="0" w:line="240" w:lineRule="auto"/>
        <w:ind w:left="2268"/>
        <w:jc w:val="both"/>
        <w:rPr>
          <w:rFonts w:ascii="Arial" w:hAnsi="Arial" w:cs="Arial"/>
          <w:lang w:val="es-ES"/>
        </w:rPr>
      </w:pPr>
      <w:r w:rsidRPr="007A1D01">
        <w:rPr>
          <w:rFonts w:ascii="Arial" w:hAnsi="Arial" w:cs="Arial"/>
          <w:lang w:val="es-ES"/>
        </w:rPr>
        <w:t xml:space="preserve">Por información que obra en la entidad. </w:t>
      </w:r>
    </w:p>
    <w:p w:rsidR="00A85304" w:rsidRPr="007A1D01" w:rsidRDefault="00A85304" w:rsidP="0092471C">
      <w:pPr>
        <w:pStyle w:val="Prrafodelista1"/>
        <w:widowControl w:val="0"/>
        <w:numPr>
          <w:ilvl w:val="0"/>
          <w:numId w:val="269"/>
        </w:numPr>
        <w:spacing w:after="0" w:line="240" w:lineRule="auto"/>
        <w:ind w:left="2268"/>
        <w:jc w:val="both"/>
        <w:rPr>
          <w:rFonts w:ascii="Arial" w:hAnsi="Arial" w:cs="Arial"/>
          <w:lang w:val="es-ES"/>
        </w:rPr>
      </w:pPr>
      <w:r w:rsidRPr="007A1D01">
        <w:rPr>
          <w:rFonts w:ascii="Arial" w:hAnsi="Arial" w:cs="Arial"/>
          <w:lang w:val="es-ES"/>
        </w:rPr>
        <w:t>Por inspecciones técnicas.</w:t>
      </w:r>
    </w:p>
    <w:p w:rsidR="00A85304" w:rsidRPr="007A1D01" w:rsidRDefault="00A85304" w:rsidP="0092471C">
      <w:pPr>
        <w:pStyle w:val="Prrafodelista1"/>
        <w:widowControl w:val="0"/>
        <w:numPr>
          <w:ilvl w:val="0"/>
          <w:numId w:val="269"/>
        </w:numPr>
        <w:spacing w:after="0" w:line="240" w:lineRule="auto"/>
        <w:ind w:left="2268"/>
        <w:jc w:val="both"/>
        <w:rPr>
          <w:rFonts w:ascii="Arial" w:hAnsi="Arial" w:cs="Arial"/>
          <w:lang w:val="es-ES"/>
        </w:rPr>
      </w:pPr>
      <w:r w:rsidRPr="007A1D01">
        <w:rPr>
          <w:rFonts w:ascii="Arial" w:hAnsi="Arial" w:cs="Arial"/>
          <w:lang w:val="es-ES"/>
        </w:rPr>
        <w:t>Por solicitud de una entidad pública en vía de saneamiento</w:t>
      </w:r>
    </w:p>
    <w:p w:rsidR="00A85304" w:rsidRPr="007A1D01" w:rsidRDefault="00A85304" w:rsidP="0092471C">
      <w:pPr>
        <w:pStyle w:val="Prrafodelista1"/>
        <w:widowControl w:val="0"/>
        <w:numPr>
          <w:ilvl w:val="0"/>
          <w:numId w:val="269"/>
        </w:numPr>
        <w:spacing w:after="0" w:line="240" w:lineRule="auto"/>
        <w:ind w:left="2268"/>
        <w:jc w:val="both"/>
        <w:rPr>
          <w:rFonts w:ascii="Arial" w:hAnsi="Arial" w:cs="Arial"/>
          <w:lang w:val="es-ES"/>
        </w:rPr>
      </w:pPr>
      <w:r w:rsidRPr="007A1D01">
        <w:rPr>
          <w:rFonts w:ascii="Arial" w:hAnsi="Arial" w:cs="Arial"/>
          <w:lang w:val="es-ES"/>
        </w:rPr>
        <w:t>Por solicitud de una entidad pública, privada o persona natural como parte de la adquisición de un derecho de disposición o administración sobre el predio estatal no Inscrito</w:t>
      </w:r>
    </w:p>
    <w:p w:rsidR="00A85304" w:rsidRPr="007A1D01" w:rsidRDefault="00A85304" w:rsidP="0092471C">
      <w:pPr>
        <w:pStyle w:val="Prrafodelista1"/>
        <w:widowControl w:val="0"/>
        <w:numPr>
          <w:ilvl w:val="0"/>
          <w:numId w:val="269"/>
        </w:numPr>
        <w:spacing w:after="0" w:line="240" w:lineRule="auto"/>
        <w:ind w:left="2268"/>
        <w:jc w:val="both"/>
        <w:rPr>
          <w:rFonts w:ascii="Arial" w:hAnsi="Arial" w:cs="Arial"/>
          <w:lang w:val="es-ES"/>
        </w:rPr>
      </w:pPr>
      <w:r w:rsidRPr="007A1D01">
        <w:rPr>
          <w:rFonts w:ascii="Arial" w:hAnsi="Arial" w:cs="Arial"/>
          <w:lang w:val="es-ES"/>
        </w:rPr>
        <w:t xml:space="preserve">Por denuncia u otras formas de comunicación. </w:t>
      </w:r>
    </w:p>
    <w:p w:rsidR="00A85304" w:rsidRPr="007A1D01" w:rsidRDefault="00A85304" w:rsidP="00DF0797">
      <w:pPr>
        <w:pStyle w:val="Prrafodelista1"/>
        <w:widowControl w:val="0"/>
        <w:spacing w:after="0" w:line="240" w:lineRule="auto"/>
        <w:jc w:val="both"/>
        <w:rPr>
          <w:rFonts w:ascii="Arial" w:hAnsi="Arial" w:cs="Arial"/>
          <w:lang w:val="es-ES"/>
        </w:rPr>
      </w:pPr>
      <w:r w:rsidRPr="007A1D01">
        <w:rPr>
          <w:rFonts w:ascii="Arial" w:hAnsi="Arial" w:cs="Arial"/>
          <w:lang w:val="es-ES"/>
        </w:rPr>
        <w:t xml:space="preserve"> </w:t>
      </w:r>
    </w:p>
    <w:p w:rsidR="00A85304" w:rsidRPr="007A1D01" w:rsidRDefault="00A85304" w:rsidP="00DF0797">
      <w:pPr>
        <w:pStyle w:val="Prrafodelista1"/>
        <w:widowControl w:val="0"/>
        <w:spacing w:after="0" w:line="240" w:lineRule="auto"/>
        <w:ind w:left="1843" w:hanging="709"/>
        <w:jc w:val="both"/>
        <w:rPr>
          <w:rFonts w:ascii="Arial" w:hAnsi="Arial" w:cs="Arial"/>
          <w:lang w:val="es-ES"/>
        </w:rPr>
      </w:pPr>
      <w:r w:rsidRPr="007A1D01">
        <w:rPr>
          <w:rFonts w:ascii="Arial" w:hAnsi="Arial" w:cs="Arial"/>
          <w:b/>
          <w:lang w:val="es-ES"/>
        </w:rPr>
        <w:t>6.2.2.</w:t>
      </w:r>
      <w:r w:rsidRPr="007A1D01">
        <w:rPr>
          <w:rFonts w:ascii="Arial" w:hAnsi="Arial" w:cs="Arial"/>
          <w:lang w:val="es-ES"/>
        </w:rPr>
        <w:t xml:space="preserve"> </w:t>
      </w:r>
      <w:r w:rsidRPr="007A1D01">
        <w:rPr>
          <w:rFonts w:ascii="Arial" w:hAnsi="Arial" w:cs="Arial"/>
          <w:lang w:val="es-ES"/>
        </w:rPr>
        <w:tab/>
        <w:t>La acción se inicia con la elaboración del polígono del predio y su respectiva verificación en la base gráfica con que cuente</w:t>
      </w:r>
      <w:r>
        <w:rPr>
          <w:rFonts w:ascii="Arial" w:hAnsi="Arial" w:cs="Arial"/>
          <w:lang w:val="es-ES"/>
        </w:rPr>
        <w:t xml:space="preserve"> la entidad, que en el caso de la SBN se encuentra administrada por la SDRC, y los demás documentos</w:t>
      </w:r>
      <w:r w:rsidRPr="007A1D01">
        <w:rPr>
          <w:rFonts w:ascii="Arial" w:hAnsi="Arial" w:cs="Arial"/>
          <w:lang w:val="es-ES"/>
        </w:rPr>
        <w:t xml:space="preserve"> </w:t>
      </w:r>
      <w:r>
        <w:rPr>
          <w:rFonts w:ascii="Arial" w:hAnsi="Arial" w:cs="Arial"/>
          <w:lang w:val="es-ES"/>
        </w:rPr>
        <w:t>con que se cuente</w:t>
      </w:r>
      <w:r w:rsidRPr="007A1D01">
        <w:rPr>
          <w:rFonts w:ascii="Arial" w:hAnsi="Arial" w:cs="Arial"/>
          <w:lang w:val="es-ES"/>
        </w:rPr>
        <w:t>; asimismo, dependiendo  de la naturaleza y ubicación del predio, será enviado en consulta a otras entidades como: Municipalidades, SUNARP, COFOPRI, SERNANP, MINCU, Dirección Regional de Agricultura o de los órganos que hacen sus veces en esa materia, entre otras, quienes deberán dar respuesta dentro del plazo de siete (07) días hábiles establecido en</w:t>
      </w:r>
      <w:r>
        <w:rPr>
          <w:rFonts w:ascii="Arial" w:hAnsi="Arial" w:cs="Arial"/>
          <w:lang w:val="es-ES"/>
        </w:rPr>
        <w:t xml:space="preserve"> el artículo 56 de</w:t>
      </w:r>
      <w:r w:rsidRPr="007A1D01">
        <w:rPr>
          <w:rFonts w:ascii="Arial" w:hAnsi="Arial" w:cs="Arial"/>
          <w:lang w:val="es-ES"/>
        </w:rPr>
        <w:t xml:space="preserve"> la Ley N° 30230.</w:t>
      </w:r>
    </w:p>
    <w:p w:rsidR="00A85304" w:rsidRPr="007A1D01" w:rsidRDefault="00A85304" w:rsidP="00DF0797">
      <w:pPr>
        <w:pStyle w:val="Prrafodelista1"/>
        <w:widowControl w:val="0"/>
        <w:spacing w:after="0" w:line="240" w:lineRule="auto"/>
        <w:ind w:left="1843" w:hanging="709"/>
        <w:jc w:val="both"/>
        <w:rPr>
          <w:rFonts w:ascii="Arial" w:hAnsi="Arial" w:cs="Arial"/>
          <w:lang w:val="es-ES"/>
        </w:rPr>
      </w:pPr>
      <w:r w:rsidRPr="007A1D01">
        <w:rPr>
          <w:rFonts w:ascii="Arial" w:hAnsi="Arial" w:cs="Arial"/>
          <w:lang w:val="es-ES"/>
        </w:rPr>
        <w:t xml:space="preserve"> </w:t>
      </w:r>
    </w:p>
    <w:p w:rsidR="00A85304" w:rsidRPr="007A1D01" w:rsidRDefault="00A85304" w:rsidP="0092471C">
      <w:pPr>
        <w:pStyle w:val="Prrafodelista1"/>
        <w:widowControl w:val="0"/>
        <w:numPr>
          <w:ilvl w:val="2"/>
          <w:numId w:val="274"/>
        </w:numPr>
        <w:spacing w:after="0" w:line="240" w:lineRule="auto"/>
        <w:ind w:left="1843" w:hanging="709"/>
        <w:jc w:val="both"/>
        <w:rPr>
          <w:rFonts w:ascii="Arial" w:hAnsi="Arial" w:cs="Arial"/>
          <w:lang w:val="es-ES"/>
        </w:rPr>
      </w:pPr>
      <w:r w:rsidRPr="007A1D01">
        <w:rPr>
          <w:rFonts w:ascii="Arial" w:hAnsi="Arial" w:cs="Arial"/>
          <w:lang w:val="es-ES"/>
        </w:rPr>
        <w:t>Con la información obtenida, se realiza vis</w:t>
      </w:r>
      <w:r>
        <w:rPr>
          <w:rFonts w:ascii="Arial" w:hAnsi="Arial" w:cs="Arial"/>
          <w:lang w:val="es-ES"/>
        </w:rPr>
        <w:t>ita en campo consistente en la inspección t</w:t>
      </w:r>
      <w:r w:rsidRPr="007A1D01">
        <w:rPr>
          <w:rFonts w:ascii="Arial" w:hAnsi="Arial" w:cs="Arial"/>
          <w:lang w:val="es-ES"/>
        </w:rPr>
        <w:t>écnica y la respectiva recolección de datos, la cual debe constar en el documento respectivo.</w:t>
      </w:r>
    </w:p>
    <w:p w:rsidR="00A85304" w:rsidRPr="007A1D01" w:rsidRDefault="00A85304" w:rsidP="00DF0797">
      <w:pPr>
        <w:pStyle w:val="Prrafodelista1"/>
        <w:widowControl w:val="0"/>
        <w:spacing w:after="0" w:line="240" w:lineRule="auto"/>
        <w:ind w:left="1843" w:hanging="709"/>
        <w:jc w:val="both"/>
        <w:rPr>
          <w:rFonts w:ascii="Arial" w:hAnsi="Arial" w:cs="Arial"/>
          <w:lang w:val="es-ES"/>
        </w:rPr>
      </w:pPr>
    </w:p>
    <w:p w:rsidR="00A85304" w:rsidRPr="007A1D01" w:rsidRDefault="00A85304" w:rsidP="0092471C">
      <w:pPr>
        <w:pStyle w:val="Prrafodelista1"/>
        <w:widowControl w:val="0"/>
        <w:numPr>
          <w:ilvl w:val="2"/>
          <w:numId w:val="274"/>
        </w:numPr>
        <w:spacing w:after="0" w:line="240" w:lineRule="auto"/>
        <w:ind w:left="1843" w:hanging="709"/>
        <w:jc w:val="both"/>
        <w:rPr>
          <w:rFonts w:ascii="Arial" w:hAnsi="Arial" w:cs="Arial"/>
          <w:lang w:val="es-ES"/>
        </w:rPr>
      </w:pPr>
      <w:r w:rsidRPr="007A1D01">
        <w:rPr>
          <w:rFonts w:ascii="Arial" w:hAnsi="Arial" w:cs="Arial"/>
          <w:lang w:val="es-ES"/>
        </w:rPr>
        <w:t xml:space="preserve">Recabada la información, se </w:t>
      </w:r>
      <w:r>
        <w:rPr>
          <w:rFonts w:ascii="Arial" w:hAnsi="Arial" w:cs="Arial"/>
          <w:lang w:val="es-ES"/>
        </w:rPr>
        <w:t xml:space="preserve">pone fin al </w:t>
      </w:r>
      <w:r w:rsidRPr="007A1D01">
        <w:rPr>
          <w:rFonts w:ascii="Arial" w:hAnsi="Arial" w:cs="Arial"/>
          <w:lang w:val="es-ES"/>
        </w:rPr>
        <w:t>procedimiento, cuando  se presenten los siguientes supuestos:</w:t>
      </w:r>
    </w:p>
    <w:p w:rsidR="00A85304" w:rsidRPr="007A1D01" w:rsidRDefault="00A85304" w:rsidP="00DF0797">
      <w:pPr>
        <w:pStyle w:val="Prrafodelista1"/>
        <w:widowControl w:val="0"/>
        <w:spacing w:after="0" w:line="240" w:lineRule="auto"/>
        <w:ind w:left="1843" w:hanging="709"/>
        <w:jc w:val="both"/>
        <w:rPr>
          <w:rFonts w:ascii="Arial" w:hAnsi="Arial" w:cs="Arial"/>
          <w:lang w:val="es-ES"/>
        </w:rPr>
      </w:pPr>
    </w:p>
    <w:p w:rsidR="00A85304" w:rsidRDefault="00A85304" w:rsidP="0092471C">
      <w:pPr>
        <w:pStyle w:val="Prrafodelista1"/>
        <w:widowControl w:val="0"/>
        <w:numPr>
          <w:ilvl w:val="0"/>
          <w:numId w:val="281"/>
        </w:numPr>
        <w:spacing w:after="0" w:line="240" w:lineRule="auto"/>
        <w:ind w:left="2268" w:hanging="425"/>
        <w:jc w:val="both"/>
        <w:rPr>
          <w:rFonts w:ascii="Arial" w:hAnsi="Arial" w:cs="Arial"/>
          <w:lang w:val="es-ES"/>
        </w:rPr>
      </w:pPr>
      <w:r w:rsidRPr="007A1D01">
        <w:rPr>
          <w:rFonts w:ascii="Arial" w:hAnsi="Arial" w:cs="Arial"/>
          <w:lang w:val="es-ES"/>
        </w:rPr>
        <w:t>Se acredite que el predio es de propiedad particular o de Comunidades Campesinas o Comunidades Nativas, cuyo derecho de propiedad se encuentra inscrito en el Registro de Predios de la SUNARP.</w:t>
      </w:r>
    </w:p>
    <w:p w:rsidR="00A85304" w:rsidRDefault="00A85304" w:rsidP="00DF0797">
      <w:pPr>
        <w:pStyle w:val="Prrafodelista1"/>
        <w:widowControl w:val="0"/>
        <w:spacing w:after="0" w:line="240" w:lineRule="auto"/>
        <w:ind w:left="2268" w:hanging="425"/>
        <w:jc w:val="both"/>
        <w:rPr>
          <w:rFonts w:ascii="Arial" w:hAnsi="Arial" w:cs="Arial"/>
          <w:lang w:val="es-ES"/>
        </w:rPr>
      </w:pPr>
    </w:p>
    <w:p w:rsidR="00A85304" w:rsidRDefault="00A85304" w:rsidP="0092471C">
      <w:pPr>
        <w:pStyle w:val="Prrafodelista1"/>
        <w:widowControl w:val="0"/>
        <w:numPr>
          <w:ilvl w:val="0"/>
          <w:numId w:val="281"/>
        </w:numPr>
        <w:spacing w:after="0" w:line="240" w:lineRule="auto"/>
        <w:ind w:left="2268" w:hanging="425"/>
        <w:jc w:val="both"/>
        <w:rPr>
          <w:rFonts w:ascii="Arial" w:hAnsi="Arial" w:cs="Arial"/>
          <w:lang w:val="es-ES"/>
        </w:rPr>
      </w:pPr>
      <w:r w:rsidRPr="005F5231">
        <w:rPr>
          <w:rFonts w:ascii="Arial" w:hAnsi="Arial" w:cs="Arial"/>
          <w:lang w:val="es-ES"/>
        </w:rPr>
        <w:t xml:space="preserve">Se trate de tierras no inscritas, de propiedad o en posesión de Comunidades Campesinas o Comunidades Nativas reconocidas, que se encuentren o no comprendidas en procesos de </w:t>
      </w:r>
      <w:r w:rsidRPr="005F5231">
        <w:rPr>
          <w:rFonts w:ascii="Arial" w:hAnsi="Arial" w:cs="Arial"/>
        </w:rPr>
        <w:t xml:space="preserve"> saneamiento físico legal y formalización de la propiedad </w:t>
      </w:r>
      <w:r>
        <w:rPr>
          <w:rFonts w:ascii="Arial" w:hAnsi="Arial" w:cs="Arial"/>
        </w:rPr>
        <w:t>agraria</w:t>
      </w:r>
      <w:r w:rsidRPr="005F5231">
        <w:rPr>
          <w:rFonts w:ascii="Arial" w:hAnsi="Arial" w:cs="Arial"/>
        </w:rPr>
        <w:t>, en el marco de las disposiciones legales de la materia.</w:t>
      </w:r>
    </w:p>
    <w:p w:rsidR="00A85304" w:rsidRDefault="00A85304" w:rsidP="00DF0797">
      <w:pPr>
        <w:pStyle w:val="Prrafodelista1"/>
        <w:widowControl w:val="0"/>
        <w:spacing w:after="0" w:line="240" w:lineRule="auto"/>
        <w:ind w:left="2268" w:hanging="425"/>
        <w:jc w:val="both"/>
        <w:rPr>
          <w:rFonts w:ascii="Arial" w:hAnsi="Arial" w:cs="Arial"/>
          <w:lang w:val="es-ES"/>
        </w:rPr>
      </w:pPr>
    </w:p>
    <w:p w:rsidR="00A85304" w:rsidRPr="00952320" w:rsidRDefault="00A85304" w:rsidP="0092471C">
      <w:pPr>
        <w:pStyle w:val="Prrafodelista1"/>
        <w:widowControl w:val="0"/>
        <w:numPr>
          <w:ilvl w:val="0"/>
          <w:numId w:val="281"/>
        </w:numPr>
        <w:spacing w:after="0" w:line="240" w:lineRule="auto"/>
        <w:ind w:left="2268" w:hanging="425"/>
        <w:jc w:val="both"/>
        <w:rPr>
          <w:rFonts w:ascii="Arial" w:hAnsi="Arial" w:cs="Arial"/>
          <w:lang w:val="es-ES"/>
        </w:rPr>
      </w:pPr>
      <w:r w:rsidRPr="00952320">
        <w:rPr>
          <w:rFonts w:ascii="Arial" w:hAnsi="Arial" w:cs="Arial"/>
          <w:lang w:val="es-ES"/>
        </w:rPr>
        <w:t xml:space="preserve">Si acredite que el predio es de propiedad particulares por constar en documento público válidamente otorgado. </w:t>
      </w:r>
    </w:p>
    <w:p w:rsidR="00A85304" w:rsidRPr="007A1D01" w:rsidRDefault="00A85304" w:rsidP="00DF0797">
      <w:pPr>
        <w:pStyle w:val="Prrafodelista1"/>
        <w:widowControl w:val="0"/>
        <w:spacing w:after="0" w:line="240" w:lineRule="auto"/>
        <w:ind w:left="1843" w:hanging="709"/>
        <w:jc w:val="both"/>
        <w:rPr>
          <w:rFonts w:ascii="Arial" w:hAnsi="Arial" w:cs="Arial"/>
          <w:lang w:val="es-ES"/>
        </w:rPr>
      </w:pPr>
    </w:p>
    <w:p w:rsidR="00A85304" w:rsidRPr="007A1D01" w:rsidRDefault="00A85304" w:rsidP="0092471C">
      <w:pPr>
        <w:pStyle w:val="Prrafodelista1"/>
        <w:widowControl w:val="0"/>
        <w:numPr>
          <w:ilvl w:val="2"/>
          <w:numId w:val="274"/>
        </w:numPr>
        <w:spacing w:after="0" w:line="240" w:lineRule="auto"/>
        <w:ind w:left="1843" w:hanging="709"/>
        <w:jc w:val="both"/>
        <w:rPr>
          <w:rFonts w:ascii="Arial" w:hAnsi="Arial" w:cs="Arial"/>
          <w:lang w:val="es-ES"/>
        </w:rPr>
      </w:pPr>
      <w:r w:rsidRPr="007A1D01">
        <w:rPr>
          <w:rFonts w:ascii="Arial" w:hAnsi="Arial" w:cs="Arial"/>
          <w:lang w:val="es-ES"/>
        </w:rPr>
        <w:t xml:space="preserve">En caso que el predio se encuentre ocupado por particulares, no impide continuar con el procedimiento de inmatriculación. </w:t>
      </w:r>
    </w:p>
    <w:p w:rsidR="00A85304" w:rsidRPr="007A1D01" w:rsidRDefault="00A85304" w:rsidP="00DF0797">
      <w:pPr>
        <w:pStyle w:val="Prrafodelista1"/>
        <w:widowControl w:val="0"/>
        <w:spacing w:after="0" w:line="240" w:lineRule="auto"/>
        <w:ind w:left="1843" w:hanging="709"/>
        <w:jc w:val="both"/>
        <w:rPr>
          <w:rFonts w:ascii="Arial" w:hAnsi="Arial" w:cs="Arial"/>
          <w:lang w:val="es-ES"/>
        </w:rPr>
      </w:pPr>
    </w:p>
    <w:p w:rsidR="00A85304" w:rsidRPr="007A1D01" w:rsidRDefault="00A85304" w:rsidP="0092471C">
      <w:pPr>
        <w:pStyle w:val="Prrafodelista1"/>
        <w:widowControl w:val="0"/>
        <w:numPr>
          <w:ilvl w:val="2"/>
          <w:numId w:val="274"/>
        </w:numPr>
        <w:spacing w:after="0" w:line="240" w:lineRule="auto"/>
        <w:ind w:left="1843" w:hanging="709"/>
        <w:jc w:val="both"/>
        <w:rPr>
          <w:rFonts w:ascii="Arial" w:hAnsi="Arial" w:cs="Arial"/>
          <w:lang w:val="es-ES"/>
        </w:rPr>
      </w:pPr>
      <w:r w:rsidRPr="007A1D01">
        <w:rPr>
          <w:rFonts w:ascii="Arial" w:hAnsi="Arial" w:cs="Arial"/>
          <w:lang w:val="es-ES"/>
        </w:rPr>
        <w:t>Si se determina la existencia de área libre del Estado y ésta es de competencia de la entidad que sustenta el procedimiento, se procede con la elaboración de los siguientes documentos:</w:t>
      </w:r>
    </w:p>
    <w:p w:rsidR="00A85304" w:rsidRPr="007A1D01" w:rsidRDefault="00A85304" w:rsidP="00DF0797">
      <w:pPr>
        <w:pStyle w:val="Prrafodelista1"/>
        <w:widowControl w:val="0"/>
        <w:spacing w:after="0" w:line="240" w:lineRule="auto"/>
        <w:ind w:left="1843" w:hanging="709"/>
        <w:jc w:val="both"/>
        <w:rPr>
          <w:rFonts w:ascii="Arial" w:hAnsi="Arial" w:cs="Arial"/>
          <w:lang w:val="es-ES"/>
        </w:rPr>
      </w:pPr>
    </w:p>
    <w:p w:rsidR="00A85304" w:rsidRPr="007A1D01" w:rsidRDefault="00A85304" w:rsidP="0092471C">
      <w:pPr>
        <w:pStyle w:val="Prrafodelista1"/>
        <w:widowControl w:val="0"/>
        <w:numPr>
          <w:ilvl w:val="0"/>
          <w:numId w:val="279"/>
        </w:numPr>
        <w:spacing w:after="0" w:line="240" w:lineRule="auto"/>
        <w:ind w:left="2268" w:hanging="425"/>
        <w:jc w:val="both"/>
        <w:rPr>
          <w:rFonts w:ascii="Arial" w:hAnsi="Arial" w:cs="Arial"/>
          <w:lang w:val="es-ES"/>
        </w:rPr>
      </w:pPr>
      <w:r w:rsidRPr="007A1D01">
        <w:rPr>
          <w:rFonts w:ascii="Arial" w:hAnsi="Arial" w:cs="Arial"/>
          <w:lang w:val="es-ES"/>
        </w:rPr>
        <w:t xml:space="preserve">Plano Perimétrico y de Ubicación georreferenciado en coordenadas UTM oficiales, aprobadas por el Instituto Geográfico Nacional, en concordancia con las normas de la materia. </w:t>
      </w:r>
    </w:p>
    <w:p w:rsidR="00A85304" w:rsidRPr="007A1D01" w:rsidRDefault="00A85304" w:rsidP="00DF0797">
      <w:pPr>
        <w:spacing w:after="0" w:line="240" w:lineRule="auto"/>
        <w:ind w:left="2268" w:hanging="425"/>
        <w:jc w:val="both"/>
        <w:rPr>
          <w:rFonts w:ascii="Arial" w:hAnsi="Arial" w:cs="Arial"/>
          <w:lang w:val="es-ES_tradnl"/>
        </w:rPr>
      </w:pPr>
    </w:p>
    <w:p w:rsidR="00A85304" w:rsidRPr="007A1D01" w:rsidRDefault="00A85304" w:rsidP="0092471C">
      <w:pPr>
        <w:pStyle w:val="Prrafodelista1"/>
        <w:widowControl w:val="0"/>
        <w:numPr>
          <w:ilvl w:val="0"/>
          <w:numId w:val="279"/>
        </w:numPr>
        <w:spacing w:after="0" w:line="240" w:lineRule="auto"/>
        <w:ind w:left="2268" w:hanging="425"/>
        <w:jc w:val="both"/>
        <w:rPr>
          <w:rFonts w:ascii="Arial" w:hAnsi="Arial" w:cs="Arial"/>
          <w:lang w:val="es-ES"/>
        </w:rPr>
      </w:pPr>
      <w:r w:rsidRPr="007A1D01">
        <w:rPr>
          <w:rFonts w:ascii="Arial" w:hAnsi="Arial" w:cs="Arial"/>
          <w:lang w:val="es-ES"/>
        </w:rPr>
        <w:t>Memoria descriptiva, la que debe contener la zonificación y los esquemas viales, de ser el caso.</w:t>
      </w:r>
    </w:p>
    <w:p w:rsidR="00A85304" w:rsidRPr="007A1D01" w:rsidRDefault="00A85304" w:rsidP="00DF0797">
      <w:pPr>
        <w:pStyle w:val="Prrafodelista1"/>
        <w:widowControl w:val="0"/>
        <w:spacing w:after="0" w:line="240" w:lineRule="auto"/>
        <w:ind w:left="1843" w:hanging="709"/>
        <w:jc w:val="both"/>
        <w:rPr>
          <w:rFonts w:ascii="Arial" w:hAnsi="Arial" w:cs="Arial"/>
          <w:lang w:val="es-ES"/>
        </w:rPr>
      </w:pPr>
      <w:r w:rsidRPr="007A1D01">
        <w:rPr>
          <w:noProof/>
          <w:lang w:val="es-MX" w:eastAsia="es-MX"/>
        </w:rPr>
        <mc:AlternateContent>
          <mc:Choice Requires="wpg">
            <w:drawing>
              <wp:anchor distT="0" distB="0" distL="114300" distR="114300" simplePos="0" relativeHeight="251714560" behindDoc="1" locked="0" layoutInCell="1" allowOverlap="1" wp14:anchorId="351EE7F8" wp14:editId="7DB5EA6F">
                <wp:simplePos x="0" y="0"/>
                <wp:positionH relativeFrom="page">
                  <wp:posOffset>4773295</wp:posOffset>
                </wp:positionH>
                <wp:positionV relativeFrom="paragraph">
                  <wp:posOffset>-6350</wp:posOffset>
                </wp:positionV>
                <wp:extent cx="0" cy="54610"/>
                <wp:effectExtent l="20320" t="22225" r="17780" b="18415"/>
                <wp:wrapNone/>
                <wp:docPr id="1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54610"/>
                          <a:chOff x="7517" y="-10"/>
                          <a:chExt cx="2" cy="200"/>
                        </a:xfrm>
                      </wpg:grpSpPr>
                      <wps:wsp>
                        <wps:cNvPr id="73" name="Freeform 25"/>
                        <wps:cNvSpPr>
                          <a:spLocks/>
                        </wps:cNvSpPr>
                        <wps:spPr bwMode="auto">
                          <a:xfrm>
                            <a:off x="7517" y="-10"/>
                            <a:ext cx="2" cy="200"/>
                          </a:xfrm>
                          <a:custGeom>
                            <a:avLst/>
                            <a:gdLst>
                              <a:gd name="T0" fmla="+- 0 189 -10"/>
                              <a:gd name="T1" fmla="*/ 189 h 200"/>
                              <a:gd name="T2" fmla="+- 0 -10 -10"/>
                              <a:gd name="T3" fmla="*/ -10 h 200"/>
                            </a:gdLst>
                            <a:ahLst/>
                            <a:cxnLst>
                              <a:cxn ang="0">
                                <a:pos x="0" y="T1"/>
                              </a:cxn>
                              <a:cxn ang="0">
                                <a:pos x="0" y="T3"/>
                              </a:cxn>
                            </a:cxnLst>
                            <a:rect l="0" t="0" r="r" b="b"/>
                            <a:pathLst>
                              <a:path h="200">
                                <a:moveTo>
                                  <a:pt x="0" y="199"/>
                                </a:moveTo>
                                <a:lnTo>
                                  <a:pt x="0" y="0"/>
                                </a:lnTo>
                              </a:path>
                            </a:pathLst>
                          </a:custGeom>
                          <a:noFill/>
                          <a:ln w="34778">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C8BDC7" id="Group 24" o:spid="_x0000_s1026" style="position:absolute;margin-left:375.85pt;margin-top:-.5pt;width:0;height:4.3pt;z-index:-251601920;mso-position-horizontal-relative:page" coordorigin="7517,-10" coordsize="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">
                <v:shape id="Freeform 25" o:spid="_x0000_s1027" style="position:absolute;left:7517;top:-10;width:2;height:200;visibility:visible;mso-wrap-style:square;v-text-anchor:top" coordsize="2,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dqU8UA&#10;AADbAAAADwAAAGRycy9kb3ducmV2LnhtbESPzW7CMBCE70i8g7VIvYEDVQEFDEJVfxCcCBw4LvE2&#10;sRqv09iFwNPXSJU4jmbmG8182dpKnKnxxrGC4SABQZw7bbhQcNi/96cgfEDWWDkmBVfysFx0O3NM&#10;tbvwjs5ZKESEsE9RQRlCnUrp85Is+oGriaP35RqLIcqmkLrBS4TbSo6SZCwtGo4LJdb0WlL+nf1a&#10;BSMz/gmHzfZ4+zx9XF82k+z25oxST712NQMRqA2P8H97rRVMnuH+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h2pTxQAAANsAAAAPAAAAAAAAAAAAAAAAAJgCAABkcnMv&#10;ZG93bnJldi54bWxQSwUGAAAAAAQABAD1AAAAigMAAAAA&#10;" path="m,199l,e" filled="f" strokecolor="#e2e2e2" strokeweight=".96606mm">
                  <v:path arrowok="t" o:connecttype="custom" o:connectlocs="0,189;0,-10" o:connectangles="0,0"/>
                </v:shape>
                <w10:wrap anchorx="page"/>
              </v:group>
            </w:pict>
          </mc:Fallback>
        </mc:AlternateContent>
      </w:r>
    </w:p>
    <w:p w:rsidR="00A85304" w:rsidRPr="007A1D01" w:rsidRDefault="00A85304" w:rsidP="0092471C">
      <w:pPr>
        <w:pStyle w:val="Prrafodelista1"/>
        <w:widowControl w:val="0"/>
        <w:numPr>
          <w:ilvl w:val="2"/>
          <w:numId w:val="274"/>
        </w:numPr>
        <w:spacing w:after="0" w:line="240" w:lineRule="auto"/>
        <w:ind w:left="1843" w:hanging="709"/>
        <w:jc w:val="both"/>
        <w:rPr>
          <w:rFonts w:ascii="Arial" w:hAnsi="Arial" w:cs="Arial"/>
          <w:lang w:val="es-ES"/>
        </w:rPr>
      </w:pPr>
      <w:r w:rsidRPr="007A1D01">
        <w:rPr>
          <w:rFonts w:ascii="Arial" w:hAnsi="Arial" w:cs="Arial"/>
          <w:lang w:val="es-ES"/>
        </w:rPr>
        <w:t xml:space="preserve">Con la documentación técnica elaborada, de ser necesario, se remite en consulta al </w:t>
      </w:r>
      <w:r w:rsidRPr="007A1D01">
        <w:rPr>
          <w:rFonts w:ascii="Arial" w:hAnsi="Arial" w:cs="Arial"/>
          <w:spacing w:val="-2"/>
          <w:lang w:val="es-ES"/>
        </w:rPr>
        <w:t>Registro de Predios de la SUNARP, solicitando la búsqueda catastral respectiva del área a inmatricular, adjuntando los documentos correspondientes.</w:t>
      </w:r>
    </w:p>
    <w:p w:rsidR="00A85304" w:rsidRPr="007A1D01" w:rsidRDefault="00A85304" w:rsidP="00DF0797">
      <w:pPr>
        <w:pStyle w:val="Prrafodelista1"/>
        <w:widowControl w:val="0"/>
        <w:spacing w:after="0" w:line="240" w:lineRule="auto"/>
        <w:ind w:left="1843" w:hanging="709"/>
        <w:jc w:val="both"/>
        <w:rPr>
          <w:rFonts w:ascii="Arial" w:hAnsi="Arial" w:cs="Arial"/>
          <w:lang w:val="es-ES"/>
        </w:rPr>
      </w:pPr>
    </w:p>
    <w:p w:rsidR="00A85304" w:rsidRPr="007A1D01" w:rsidRDefault="00A85304" w:rsidP="0092471C">
      <w:pPr>
        <w:pStyle w:val="Prrafodelista1"/>
        <w:widowControl w:val="0"/>
        <w:numPr>
          <w:ilvl w:val="2"/>
          <w:numId w:val="274"/>
        </w:numPr>
        <w:spacing w:after="0" w:line="240" w:lineRule="auto"/>
        <w:ind w:left="1843" w:hanging="709"/>
        <w:jc w:val="both"/>
        <w:rPr>
          <w:rFonts w:ascii="Arial" w:hAnsi="Arial" w:cs="Arial"/>
          <w:lang w:val="es-ES"/>
        </w:rPr>
      </w:pPr>
      <w:r w:rsidRPr="007A1D01">
        <w:rPr>
          <w:rFonts w:ascii="Arial" w:hAnsi="Arial" w:cs="Arial"/>
          <w:spacing w:val="-2"/>
          <w:lang w:val="es-ES"/>
        </w:rPr>
        <w:t>Si amerita</w:t>
      </w:r>
      <w:r w:rsidRPr="007A1D01">
        <w:rPr>
          <w:rFonts w:ascii="Arial" w:hAnsi="Arial" w:cs="Arial"/>
          <w:lang w:val="es-ES"/>
        </w:rPr>
        <w:t xml:space="preserve">, se solicitará además Publicidad Registral Certificada consistente en la búsqueda personal a nombre del poseedor, de los colindantes, de persona jurídica y/o institución que tuviera alguna relación con el predio materia de inmatriculación. </w:t>
      </w:r>
    </w:p>
    <w:p w:rsidR="00A85304" w:rsidRPr="007A1D01" w:rsidRDefault="00A85304" w:rsidP="00DF0797">
      <w:pPr>
        <w:pStyle w:val="Prrafodelista1"/>
        <w:widowControl w:val="0"/>
        <w:spacing w:after="0" w:line="240" w:lineRule="auto"/>
        <w:ind w:left="1843" w:hanging="709"/>
        <w:jc w:val="both"/>
        <w:rPr>
          <w:rFonts w:ascii="Arial" w:hAnsi="Arial" w:cs="Arial"/>
          <w:lang w:val="es-ES"/>
        </w:rPr>
      </w:pPr>
    </w:p>
    <w:p w:rsidR="00A85304" w:rsidRPr="007A1D01" w:rsidRDefault="00A85304" w:rsidP="0092471C">
      <w:pPr>
        <w:pStyle w:val="Prrafodelista1"/>
        <w:widowControl w:val="0"/>
        <w:numPr>
          <w:ilvl w:val="2"/>
          <w:numId w:val="274"/>
        </w:numPr>
        <w:spacing w:after="0" w:line="240" w:lineRule="auto"/>
        <w:ind w:left="1843" w:hanging="709"/>
        <w:jc w:val="both"/>
        <w:rPr>
          <w:rFonts w:ascii="Arial" w:hAnsi="Arial" w:cs="Arial"/>
          <w:lang w:val="es-ES"/>
        </w:rPr>
      </w:pPr>
      <w:r w:rsidRPr="007A1D01">
        <w:rPr>
          <w:rFonts w:ascii="Arial" w:hAnsi="Arial" w:cs="Arial"/>
          <w:lang w:val="es-ES"/>
        </w:rPr>
        <w:t xml:space="preserve">Si se determina que el área total materia de inmatriculación se encuentra inscrito en el Registro de Predios, </w:t>
      </w:r>
      <w:r>
        <w:rPr>
          <w:rFonts w:ascii="Arial" w:hAnsi="Arial" w:cs="Arial"/>
          <w:lang w:val="es-ES"/>
        </w:rPr>
        <w:t xml:space="preserve">se pone fin al </w:t>
      </w:r>
      <w:r w:rsidRPr="007A1D01">
        <w:rPr>
          <w:rFonts w:ascii="Arial" w:hAnsi="Arial" w:cs="Arial"/>
          <w:lang w:val="es-ES"/>
        </w:rPr>
        <w:t>procedimiento.</w:t>
      </w:r>
    </w:p>
    <w:p w:rsidR="00A85304" w:rsidRPr="007A1D01" w:rsidRDefault="00A85304" w:rsidP="00DF0797">
      <w:pPr>
        <w:pStyle w:val="Prrafodelista1"/>
        <w:widowControl w:val="0"/>
        <w:spacing w:after="0" w:line="240" w:lineRule="auto"/>
        <w:ind w:left="1843" w:hanging="709"/>
        <w:jc w:val="both"/>
        <w:rPr>
          <w:rFonts w:ascii="Arial" w:hAnsi="Arial" w:cs="Arial"/>
          <w:lang w:val="es-ES"/>
        </w:rPr>
      </w:pPr>
    </w:p>
    <w:p w:rsidR="00A85304" w:rsidRPr="007A1D01" w:rsidRDefault="00A85304" w:rsidP="0092471C">
      <w:pPr>
        <w:pStyle w:val="Prrafodelista1"/>
        <w:widowControl w:val="0"/>
        <w:numPr>
          <w:ilvl w:val="2"/>
          <w:numId w:val="274"/>
        </w:numPr>
        <w:spacing w:after="0" w:line="240" w:lineRule="auto"/>
        <w:ind w:left="1843" w:hanging="709"/>
        <w:jc w:val="both"/>
        <w:rPr>
          <w:rFonts w:ascii="Arial" w:hAnsi="Arial" w:cs="Arial"/>
          <w:lang w:val="es-ES"/>
        </w:rPr>
      </w:pPr>
      <w:r w:rsidRPr="007A1D01">
        <w:rPr>
          <w:rFonts w:ascii="Arial" w:hAnsi="Arial" w:cs="Arial"/>
          <w:lang w:val="es-ES"/>
        </w:rPr>
        <w:t xml:space="preserve">Si con la respuesta registral se determina que </w:t>
      </w:r>
      <w:r>
        <w:rPr>
          <w:rFonts w:ascii="Arial" w:hAnsi="Arial" w:cs="Arial"/>
          <w:lang w:val="es-ES"/>
        </w:rPr>
        <w:t xml:space="preserve">el total o </w:t>
      </w:r>
      <w:r w:rsidRPr="007A1D01">
        <w:rPr>
          <w:rFonts w:ascii="Arial" w:hAnsi="Arial" w:cs="Arial"/>
          <w:lang w:val="es-ES"/>
        </w:rPr>
        <w:t>parte del área materia de inmatriculación se encuentra libre</w:t>
      </w:r>
      <w:r w:rsidRPr="007A1D01">
        <w:rPr>
          <w:rFonts w:ascii="Arial" w:hAnsi="Arial" w:cs="Arial"/>
        </w:rPr>
        <w:t xml:space="preserve"> de inscripción, se continúa con el procedimiento respecto de dicha área, procediendo </w:t>
      </w:r>
      <w:r>
        <w:rPr>
          <w:rFonts w:ascii="Arial" w:hAnsi="Arial" w:cs="Arial"/>
        </w:rPr>
        <w:t xml:space="preserve">si corresponde </w:t>
      </w:r>
      <w:r w:rsidRPr="007A1D01">
        <w:rPr>
          <w:rFonts w:ascii="Arial" w:hAnsi="Arial" w:cs="Arial"/>
        </w:rPr>
        <w:t xml:space="preserve">al redimensionamiento del área estatal y </w:t>
      </w:r>
      <w:r w:rsidRPr="007A1D01">
        <w:rPr>
          <w:rFonts w:ascii="Arial" w:hAnsi="Arial" w:cs="Arial"/>
          <w:lang w:val="es-ES"/>
        </w:rPr>
        <w:t>elaboración de los nuevos planos y memoria descriptiva correspondientes.</w:t>
      </w:r>
    </w:p>
    <w:p w:rsidR="00A85304" w:rsidRPr="007A1D01" w:rsidRDefault="00A85304" w:rsidP="00DF0797">
      <w:pPr>
        <w:pStyle w:val="Prrafodelista1"/>
        <w:widowControl w:val="0"/>
        <w:spacing w:after="0" w:line="240" w:lineRule="auto"/>
        <w:ind w:left="993"/>
        <w:jc w:val="both"/>
        <w:rPr>
          <w:rFonts w:ascii="Arial" w:hAnsi="Arial" w:cs="Arial"/>
          <w:lang w:val="es-ES"/>
        </w:rPr>
      </w:pPr>
    </w:p>
    <w:p w:rsidR="00A85304" w:rsidRPr="007A1D01" w:rsidRDefault="00A85304" w:rsidP="00DF0797">
      <w:pPr>
        <w:pStyle w:val="Prrafodelista1"/>
        <w:widowControl w:val="0"/>
        <w:spacing w:after="0" w:line="240" w:lineRule="auto"/>
        <w:ind w:left="1134" w:hanging="425"/>
        <w:jc w:val="both"/>
        <w:rPr>
          <w:rFonts w:ascii="Arial" w:hAnsi="Arial" w:cs="Arial"/>
          <w:b/>
          <w:lang w:val="es-ES"/>
        </w:rPr>
      </w:pPr>
      <w:r w:rsidRPr="007A1D01">
        <w:rPr>
          <w:rFonts w:ascii="Arial" w:hAnsi="Arial" w:cs="Arial"/>
          <w:b/>
          <w:lang w:val="es-ES"/>
        </w:rPr>
        <w:t xml:space="preserve">6.3. </w:t>
      </w:r>
      <w:r w:rsidRPr="007A1D01">
        <w:rPr>
          <w:rFonts w:ascii="Arial" w:hAnsi="Arial" w:cs="Arial"/>
          <w:b/>
          <w:lang w:val="es-ES"/>
        </w:rPr>
        <w:tab/>
        <w:t>Elaboración de Informe Técnico Legal</w:t>
      </w:r>
    </w:p>
    <w:p w:rsidR="00A85304" w:rsidRPr="007A1D01" w:rsidRDefault="00A85304" w:rsidP="00DF0797">
      <w:pPr>
        <w:pStyle w:val="Prrafodelista1"/>
        <w:widowControl w:val="0"/>
        <w:spacing w:after="0" w:line="240" w:lineRule="auto"/>
        <w:ind w:left="0"/>
        <w:jc w:val="both"/>
        <w:rPr>
          <w:rFonts w:ascii="Arial" w:hAnsi="Arial" w:cs="Arial"/>
          <w:lang w:val="es-ES"/>
        </w:rPr>
      </w:pPr>
    </w:p>
    <w:p w:rsidR="00A85304" w:rsidRPr="007A1D01" w:rsidRDefault="00A85304" w:rsidP="0092471C">
      <w:pPr>
        <w:pStyle w:val="Prrafodelista1"/>
        <w:widowControl w:val="0"/>
        <w:numPr>
          <w:ilvl w:val="2"/>
          <w:numId w:val="275"/>
        </w:numPr>
        <w:spacing w:after="0" w:line="240" w:lineRule="auto"/>
        <w:ind w:left="2127"/>
        <w:jc w:val="both"/>
        <w:rPr>
          <w:rFonts w:ascii="Arial" w:hAnsi="Arial" w:cs="Arial"/>
          <w:lang w:val="es-ES"/>
        </w:rPr>
      </w:pPr>
      <w:r w:rsidRPr="007A1D01">
        <w:rPr>
          <w:rFonts w:ascii="Arial" w:hAnsi="Arial" w:cs="Arial"/>
          <w:lang w:val="es-ES"/>
        </w:rPr>
        <w:t>Determinada el área libre del Estado, la unidad que sustenta el procedimiento prosigue con las siguientes acciones:</w:t>
      </w:r>
    </w:p>
    <w:p w:rsidR="00A85304" w:rsidRPr="007A1D01" w:rsidRDefault="00A85304" w:rsidP="00DF0797">
      <w:pPr>
        <w:pStyle w:val="Prrafodelista1"/>
        <w:widowControl w:val="0"/>
        <w:spacing w:after="0" w:line="240" w:lineRule="auto"/>
        <w:ind w:left="2127"/>
        <w:jc w:val="both"/>
        <w:rPr>
          <w:rFonts w:ascii="Arial" w:hAnsi="Arial" w:cs="Arial"/>
          <w:lang w:val="es-ES"/>
        </w:rPr>
      </w:pPr>
      <w:r w:rsidRPr="007A1D01">
        <w:rPr>
          <w:rFonts w:ascii="Arial" w:hAnsi="Arial" w:cs="Arial"/>
          <w:lang w:val="es-ES"/>
        </w:rPr>
        <w:t xml:space="preserve">  </w:t>
      </w:r>
    </w:p>
    <w:p w:rsidR="00A85304" w:rsidRPr="007A1D01" w:rsidRDefault="00A85304" w:rsidP="0092471C">
      <w:pPr>
        <w:pStyle w:val="Prrafodelista1"/>
        <w:widowControl w:val="0"/>
        <w:numPr>
          <w:ilvl w:val="0"/>
          <w:numId w:val="280"/>
        </w:numPr>
        <w:spacing w:after="0" w:line="240" w:lineRule="auto"/>
        <w:ind w:left="2552"/>
        <w:jc w:val="both"/>
        <w:rPr>
          <w:rFonts w:ascii="Arial" w:hAnsi="Arial" w:cs="Arial"/>
          <w:lang w:val="es-ES"/>
        </w:rPr>
      </w:pPr>
      <w:r w:rsidRPr="007A1D01">
        <w:rPr>
          <w:rFonts w:ascii="Arial" w:hAnsi="Arial" w:cs="Arial"/>
          <w:lang w:val="es-ES"/>
        </w:rPr>
        <w:t>Inspección Técnica, de ser necesario, para delimitar el área a inmatricular definitivamente, a través de elementos técnicos de medición y, de ser el caso, efectuar el levantamiento topográfico.</w:t>
      </w:r>
    </w:p>
    <w:p w:rsidR="00A85304" w:rsidRPr="007A1D01" w:rsidRDefault="00A85304" w:rsidP="00DF0797">
      <w:pPr>
        <w:pStyle w:val="Prrafodelista1"/>
        <w:widowControl w:val="0"/>
        <w:spacing w:after="0" w:line="240" w:lineRule="auto"/>
        <w:ind w:left="2552"/>
        <w:jc w:val="both"/>
        <w:rPr>
          <w:rFonts w:ascii="Arial" w:hAnsi="Arial" w:cs="Arial"/>
          <w:lang w:val="es-ES"/>
        </w:rPr>
      </w:pPr>
    </w:p>
    <w:p w:rsidR="00A85304" w:rsidRPr="007A1D01" w:rsidRDefault="00A85304" w:rsidP="0092471C">
      <w:pPr>
        <w:pStyle w:val="Prrafodelista1"/>
        <w:widowControl w:val="0"/>
        <w:numPr>
          <w:ilvl w:val="0"/>
          <w:numId w:val="280"/>
        </w:numPr>
        <w:spacing w:after="0" w:line="240" w:lineRule="auto"/>
        <w:ind w:left="2552"/>
        <w:jc w:val="both"/>
        <w:rPr>
          <w:rFonts w:ascii="Arial" w:hAnsi="Arial" w:cs="Arial"/>
          <w:lang w:val="es-ES"/>
        </w:rPr>
      </w:pPr>
      <w:r w:rsidRPr="007A1D01">
        <w:rPr>
          <w:rFonts w:ascii="Arial" w:hAnsi="Arial" w:cs="Arial"/>
          <w:lang w:val="es-ES"/>
        </w:rPr>
        <w:t>Colocación de hitos (</w:t>
      </w:r>
      <w:r w:rsidRPr="007A1D01">
        <w:rPr>
          <w:rFonts w:ascii="Arial" w:hAnsi="Arial" w:cs="Arial"/>
        </w:rPr>
        <w:t>monumentación</w:t>
      </w:r>
      <w:r w:rsidRPr="007A1D01">
        <w:rPr>
          <w:rFonts w:ascii="Arial" w:hAnsi="Arial" w:cs="Arial"/>
          <w:lang w:val="es-ES"/>
        </w:rPr>
        <w:t>) en los vértices que sean relevantes, según cada caso y siempre que la geografía y condiciones naturales lo permitan.</w:t>
      </w:r>
    </w:p>
    <w:p w:rsidR="00A85304" w:rsidRPr="007A1D01" w:rsidRDefault="00A85304" w:rsidP="00DF0797">
      <w:pPr>
        <w:pStyle w:val="Prrafodelista"/>
        <w:spacing w:after="0" w:line="240" w:lineRule="auto"/>
        <w:ind w:left="2552"/>
        <w:rPr>
          <w:rFonts w:ascii="Arial" w:hAnsi="Arial" w:cs="Arial"/>
          <w:lang w:val="es-ES"/>
        </w:rPr>
      </w:pPr>
    </w:p>
    <w:p w:rsidR="00A85304" w:rsidRPr="007A1D01" w:rsidRDefault="00A85304" w:rsidP="0092471C">
      <w:pPr>
        <w:pStyle w:val="Prrafodelista1"/>
        <w:widowControl w:val="0"/>
        <w:numPr>
          <w:ilvl w:val="0"/>
          <w:numId w:val="280"/>
        </w:numPr>
        <w:spacing w:after="0" w:line="240" w:lineRule="auto"/>
        <w:ind w:left="2552"/>
        <w:jc w:val="both"/>
        <w:rPr>
          <w:rFonts w:ascii="Arial" w:hAnsi="Arial" w:cs="Arial"/>
          <w:lang w:val="es-ES"/>
        </w:rPr>
      </w:pPr>
      <w:r w:rsidRPr="007A1D01">
        <w:rPr>
          <w:rFonts w:ascii="Arial" w:hAnsi="Arial" w:cs="Arial"/>
          <w:lang w:val="es-ES"/>
        </w:rPr>
        <w:t>Elaborar el plano perimétrico – ubicación y memoria descriptiva.</w:t>
      </w:r>
    </w:p>
    <w:p w:rsidR="00A85304" w:rsidRPr="007A1D01" w:rsidRDefault="00A85304" w:rsidP="00DF0797">
      <w:pPr>
        <w:pStyle w:val="Prrafodelista"/>
        <w:spacing w:after="0" w:line="240" w:lineRule="auto"/>
        <w:ind w:left="2552"/>
        <w:rPr>
          <w:rFonts w:ascii="Arial" w:hAnsi="Arial" w:cs="Arial"/>
          <w:lang w:val="es-ES"/>
        </w:rPr>
      </w:pPr>
    </w:p>
    <w:p w:rsidR="00A85304" w:rsidRPr="007A1D01" w:rsidRDefault="00A85304" w:rsidP="0092471C">
      <w:pPr>
        <w:pStyle w:val="Prrafodelista1"/>
        <w:widowControl w:val="0"/>
        <w:numPr>
          <w:ilvl w:val="0"/>
          <w:numId w:val="280"/>
        </w:numPr>
        <w:spacing w:after="0" w:line="240" w:lineRule="auto"/>
        <w:ind w:left="2552"/>
        <w:jc w:val="both"/>
        <w:rPr>
          <w:rFonts w:ascii="Arial" w:hAnsi="Arial" w:cs="Arial"/>
          <w:lang w:val="es-ES"/>
        </w:rPr>
      </w:pPr>
      <w:r w:rsidRPr="007A1D01">
        <w:rPr>
          <w:rFonts w:ascii="Arial" w:hAnsi="Arial" w:cs="Arial"/>
          <w:lang w:val="es-ES"/>
        </w:rPr>
        <w:t>Elabora</w:t>
      </w:r>
      <w:r>
        <w:rPr>
          <w:rFonts w:ascii="Arial" w:hAnsi="Arial" w:cs="Arial"/>
          <w:lang w:val="es-ES"/>
        </w:rPr>
        <w:t>r</w:t>
      </w:r>
      <w:r w:rsidRPr="007A1D01">
        <w:rPr>
          <w:rFonts w:ascii="Arial" w:hAnsi="Arial" w:cs="Arial"/>
          <w:lang w:val="es-ES"/>
        </w:rPr>
        <w:t xml:space="preserve"> el documento de valor estimado del predio.</w:t>
      </w:r>
    </w:p>
    <w:p w:rsidR="00A85304" w:rsidRPr="007A1D01" w:rsidRDefault="00A85304" w:rsidP="00DF0797">
      <w:pPr>
        <w:pStyle w:val="Prrafodelista"/>
        <w:spacing w:after="0" w:line="240" w:lineRule="auto"/>
        <w:ind w:left="2552"/>
        <w:rPr>
          <w:rFonts w:ascii="Arial" w:hAnsi="Arial" w:cs="Arial"/>
          <w:lang w:val="es-ES"/>
        </w:rPr>
      </w:pPr>
    </w:p>
    <w:p w:rsidR="00A85304" w:rsidRPr="007A1D01" w:rsidRDefault="00A85304" w:rsidP="0092471C">
      <w:pPr>
        <w:pStyle w:val="Prrafodelista1"/>
        <w:widowControl w:val="0"/>
        <w:numPr>
          <w:ilvl w:val="0"/>
          <w:numId w:val="280"/>
        </w:numPr>
        <w:spacing w:after="0" w:line="240" w:lineRule="auto"/>
        <w:ind w:left="2552"/>
        <w:jc w:val="both"/>
        <w:rPr>
          <w:rFonts w:ascii="Arial" w:hAnsi="Arial" w:cs="Arial"/>
          <w:lang w:val="es-ES"/>
        </w:rPr>
      </w:pPr>
      <w:r w:rsidRPr="007A1D01">
        <w:rPr>
          <w:rFonts w:ascii="Arial" w:hAnsi="Arial" w:cs="Arial"/>
          <w:lang w:val="es-ES"/>
        </w:rPr>
        <w:t>Elaborar el Informe Técnico Legal, siguiendo el formato aprobado por la SBN.</w:t>
      </w:r>
    </w:p>
    <w:p w:rsidR="00A85304" w:rsidRPr="007A1D01" w:rsidRDefault="00A85304" w:rsidP="00DF0797">
      <w:pPr>
        <w:pStyle w:val="Prrafodelista"/>
        <w:spacing w:after="0" w:line="240" w:lineRule="auto"/>
        <w:ind w:left="2552"/>
        <w:rPr>
          <w:rFonts w:ascii="Arial" w:hAnsi="Arial" w:cs="Arial"/>
          <w:lang w:val="es-ES"/>
        </w:rPr>
      </w:pPr>
    </w:p>
    <w:p w:rsidR="00A85304" w:rsidRPr="007A1D01" w:rsidRDefault="00A85304" w:rsidP="0092471C">
      <w:pPr>
        <w:pStyle w:val="Prrafodelista1"/>
        <w:widowControl w:val="0"/>
        <w:numPr>
          <w:ilvl w:val="0"/>
          <w:numId w:val="280"/>
        </w:numPr>
        <w:spacing w:after="0" w:line="240" w:lineRule="auto"/>
        <w:ind w:left="2552"/>
        <w:jc w:val="both"/>
        <w:rPr>
          <w:rFonts w:ascii="Arial" w:hAnsi="Arial" w:cs="Arial"/>
          <w:lang w:val="es-ES"/>
        </w:rPr>
      </w:pPr>
      <w:r w:rsidRPr="007A1D01">
        <w:rPr>
          <w:rFonts w:ascii="Arial" w:hAnsi="Arial" w:cs="Arial"/>
          <w:lang w:val="es-ES"/>
        </w:rPr>
        <w:t xml:space="preserve">Elaborar el proyecto de resolución respectiva. </w:t>
      </w:r>
    </w:p>
    <w:p w:rsidR="00A85304" w:rsidRPr="007A1D01" w:rsidRDefault="00A85304" w:rsidP="00DF0797">
      <w:pPr>
        <w:pStyle w:val="Prrafodelista1"/>
        <w:widowControl w:val="0"/>
        <w:spacing w:after="0" w:line="240" w:lineRule="auto"/>
        <w:ind w:left="993"/>
        <w:jc w:val="both"/>
        <w:rPr>
          <w:rFonts w:ascii="Arial" w:hAnsi="Arial" w:cs="Arial"/>
          <w:lang w:val="es-ES"/>
        </w:rPr>
      </w:pPr>
    </w:p>
    <w:p w:rsidR="00A85304" w:rsidRPr="007A1D01" w:rsidRDefault="00A85304" w:rsidP="00DF0797">
      <w:pPr>
        <w:pStyle w:val="Prrafodelista1"/>
        <w:widowControl w:val="0"/>
        <w:spacing w:after="0" w:line="240" w:lineRule="auto"/>
        <w:ind w:left="2127"/>
        <w:jc w:val="both"/>
        <w:rPr>
          <w:rFonts w:ascii="Arial" w:hAnsi="Arial" w:cs="Arial"/>
          <w:lang w:val="es-ES"/>
        </w:rPr>
      </w:pPr>
      <w:r w:rsidRPr="007A1D01">
        <w:rPr>
          <w:rFonts w:ascii="Arial" w:hAnsi="Arial" w:cs="Arial"/>
          <w:lang w:val="es-ES"/>
        </w:rPr>
        <w:t xml:space="preserve">El Informe Técnico Legal y la documentación sustentatoria </w:t>
      </w:r>
      <w:r>
        <w:rPr>
          <w:rFonts w:ascii="Arial" w:hAnsi="Arial" w:cs="Arial"/>
          <w:lang w:val="es-ES"/>
        </w:rPr>
        <w:t>s</w:t>
      </w:r>
      <w:r w:rsidRPr="007A1D01">
        <w:rPr>
          <w:rFonts w:ascii="Arial" w:hAnsi="Arial" w:cs="Arial"/>
          <w:lang w:val="es-ES"/>
        </w:rPr>
        <w:t>e remit</w:t>
      </w:r>
      <w:r>
        <w:rPr>
          <w:rFonts w:ascii="Arial" w:hAnsi="Arial" w:cs="Arial"/>
          <w:lang w:val="es-ES"/>
        </w:rPr>
        <w:t>e</w:t>
      </w:r>
      <w:r w:rsidRPr="007A1D01">
        <w:rPr>
          <w:rFonts w:ascii="Arial" w:hAnsi="Arial" w:cs="Arial"/>
          <w:lang w:val="es-ES"/>
        </w:rPr>
        <w:t xml:space="preserve"> a la SDRC para la inscripción provisional del predio en el SINABIP.</w:t>
      </w:r>
    </w:p>
    <w:p w:rsidR="00A85304" w:rsidRPr="007A1D01" w:rsidRDefault="00A85304" w:rsidP="00DF0797">
      <w:pPr>
        <w:pStyle w:val="Prrafodelista1"/>
        <w:widowControl w:val="0"/>
        <w:spacing w:after="0" w:line="240" w:lineRule="auto"/>
        <w:ind w:left="0"/>
        <w:jc w:val="both"/>
        <w:rPr>
          <w:rFonts w:ascii="Arial" w:hAnsi="Arial" w:cs="Arial"/>
          <w:lang w:val="es-ES"/>
        </w:rPr>
      </w:pPr>
    </w:p>
    <w:p w:rsidR="00A85304" w:rsidRPr="007A1D01" w:rsidRDefault="00A85304" w:rsidP="00DF0797">
      <w:pPr>
        <w:pStyle w:val="Prrafodelista1"/>
        <w:widowControl w:val="0"/>
        <w:spacing w:after="0" w:line="240" w:lineRule="auto"/>
        <w:ind w:left="1418" w:hanging="709"/>
        <w:jc w:val="both"/>
        <w:rPr>
          <w:rFonts w:ascii="Arial" w:hAnsi="Arial" w:cs="Arial"/>
          <w:b/>
          <w:lang w:val="es-ES"/>
        </w:rPr>
      </w:pPr>
      <w:r w:rsidRPr="007A1D01">
        <w:rPr>
          <w:rFonts w:ascii="Arial" w:hAnsi="Arial" w:cs="Arial"/>
          <w:b/>
          <w:lang w:val="es-ES"/>
        </w:rPr>
        <w:t xml:space="preserve">6.4. </w:t>
      </w:r>
      <w:r w:rsidRPr="007A1D01">
        <w:rPr>
          <w:rFonts w:ascii="Arial" w:hAnsi="Arial" w:cs="Arial"/>
          <w:b/>
          <w:lang w:val="es-ES"/>
        </w:rPr>
        <w:tab/>
        <w:t>Emisión de la resolución</w:t>
      </w:r>
    </w:p>
    <w:p w:rsidR="00A85304" w:rsidRPr="007A1D01" w:rsidRDefault="00A85304" w:rsidP="00DF0797">
      <w:pPr>
        <w:pStyle w:val="Prrafodelista1"/>
        <w:widowControl w:val="0"/>
        <w:spacing w:after="0" w:line="240" w:lineRule="auto"/>
        <w:ind w:left="0"/>
        <w:jc w:val="both"/>
        <w:rPr>
          <w:rFonts w:ascii="Arial" w:hAnsi="Arial" w:cs="Arial"/>
          <w:b/>
          <w:lang w:val="es-ES"/>
        </w:rPr>
      </w:pPr>
    </w:p>
    <w:p w:rsidR="00A85304" w:rsidRPr="007A1D01" w:rsidRDefault="00A85304" w:rsidP="0092471C">
      <w:pPr>
        <w:pStyle w:val="Prrafodelista1"/>
        <w:numPr>
          <w:ilvl w:val="2"/>
          <w:numId w:val="276"/>
        </w:numPr>
        <w:shd w:val="clear" w:color="auto" w:fill="FFFFFF"/>
        <w:tabs>
          <w:tab w:val="left" w:pos="284"/>
        </w:tabs>
        <w:spacing w:after="0" w:line="240" w:lineRule="auto"/>
        <w:ind w:left="2127"/>
        <w:jc w:val="both"/>
        <w:rPr>
          <w:rFonts w:ascii="Arial" w:hAnsi="Arial" w:cs="Arial"/>
          <w:lang w:val="es-ES"/>
        </w:rPr>
      </w:pPr>
      <w:r w:rsidRPr="007A1D01">
        <w:rPr>
          <w:rFonts w:ascii="Arial" w:hAnsi="Arial" w:cs="Arial"/>
          <w:bCs/>
          <w:lang w:val="es-ES"/>
        </w:rPr>
        <w:t xml:space="preserve">Con la documentación anterior, </w:t>
      </w:r>
      <w:r w:rsidRPr="007A1D01">
        <w:rPr>
          <w:rFonts w:ascii="Arial" w:hAnsi="Arial" w:cs="Arial"/>
          <w:lang w:val="es-ES"/>
        </w:rPr>
        <w:t xml:space="preserve">la autoridad administrativa competente de la SBN, los Gobiernos Regionales con funciones transferidas o con convenio de delegación de competencias, </w:t>
      </w:r>
      <w:r w:rsidRPr="007A1D01">
        <w:rPr>
          <w:rFonts w:ascii="Arial" w:hAnsi="Arial" w:cs="Arial"/>
          <w:bCs/>
          <w:lang w:val="es-ES"/>
        </w:rPr>
        <w:t>procede a emitir la resolución</w:t>
      </w:r>
      <w:r w:rsidRPr="007A1D01">
        <w:rPr>
          <w:rFonts w:ascii="Arial" w:hAnsi="Arial" w:cs="Arial"/>
          <w:b/>
          <w:bCs/>
          <w:lang w:val="es-ES"/>
        </w:rPr>
        <w:t xml:space="preserve"> </w:t>
      </w:r>
      <w:r w:rsidRPr="007A1D01">
        <w:rPr>
          <w:noProof/>
          <w:lang w:val="es-MX" w:eastAsia="es-MX"/>
        </w:rPr>
        <mc:AlternateContent>
          <mc:Choice Requires="wpg">
            <w:drawing>
              <wp:anchor distT="0" distB="0" distL="114300" distR="114300" simplePos="0" relativeHeight="251712512" behindDoc="1" locked="0" layoutInCell="1" allowOverlap="1" wp14:anchorId="46EFA041" wp14:editId="71E3C83C">
                <wp:simplePos x="0" y="0"/>
                <wp:positionH relativeFrom="page">
                  <wp:posOffset>3065780</wp:posOffset>
                </wp:positionH>
                <wp:positionV relativeFrom="paragraph">
                  <wp:posOffset>5080</wp:posOffset>
                </wp:positionV>
                <wp:extent cx="0" cy="54610"/>
                <wp:effectExtent l="17780" t="24130" r="20320" b="26035"/>
                <wp:wrapNone/>
                <wp:docPr id="8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54610"/>
                          <a:chOff x="4828" y="8"/>
                          <a:chExt cx="2" cy="200"/>
                        </a:xfrm>
                      </wpg:grpSpPr>
                      <wps:wsp>
                        <wps:cNvPr id="81" name="Freeform 17"/>
                        <wps:cNvSpPr>
                          <a:spLocks/>
                        </wps:cNvSpPr>
                        <wps:spPr bwMode="auto">
                          <a:xfrm>
                            <a:off x="4828" y="8"/>
                            <a:ext cx="2" cy="200"/>
                          </a:xfrm>
                          <a:custGeom>
                            <a:avLst/>
                            <a:gdLst>
                              <a:gd name="T0" fmla="+- 0 207 8"/>
                              <a:gd name="T1" fmla="*/ 207 h 200"/>
                              <a:gd name="T2" fmla="+- 0 8 8"/>
                              <a:gd name="T3" fmla="*/ 8 h 200"/>
                            </a:gdLst>
                            <a:ahLst/>
                            <a:cxnLst>
                              <a:cxn ang="0">
                                <a:pos x="0" y="T1"/>
                              </a:cxn>
                              <a:cxn ang="0">
                                <a:pos x="0" y="T3"/>
                              </a:cxn>
                            </a:cxnLst>
                            <a:rect l="0" t="0" r="r" b="b"/>
                            <a:pathLst>
                              <a:path h="200">
                                <a:moveTo>
                                  <a:pt x="0" y="199"/>
                                </a:moveTo>
                                <a:lnTo>
                                  <a:pt x="0" y="0"/>
                                </a:lnTo>
                              </a:path>
                            </a:pathLst>
                          </a:custGeom>
                          <a:noFill/>
                          <a:ln w="34778">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1550D8" id="Group 16" o:spid="_x0000_s1026" style="position:absolute;margin-left:241.4pt;margin-top:.4pt;width:0;height:4.3pt;z-index:-251603968;mso-position-horizontal-relative:page" coordorigin="4828,8" coordsize="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">
                <v:shape id="Freeform 17" o:spid="_x0000_s1027" style="position:absolute;left:4828;top:8;width:2;height:200;visibility:visible;mso-wrap-style:square;v-text-anchor:top" coordsize="2,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whmMUA&#10;AADbAAAADwAAAGRycy9kb3ducmV2LnhtbESPQWsCMRSE7wX/Q3iCt5pV0MrWKCJtFT119eDxdfPc&#10;DW5etpuoq7/eCIUeh5n5hpnOW1uJCzXeOFYw6CcgiHOnDRcK9rvP1wkIH5A1Vo5JwY08zGedlymm&#10;2l35my5ZKESEsE9RQRlCnUrp85Is+r6riaN3dI3FEGVTSN3gNcJtJYdJMpYWDceFEmtalpSfsrNV&#10;MDTj37DfbA/31c/XbbR5y+4fzijV67aLdxCB2vAf/muvtYLJAJ5f4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zCGYxQAAANsAAAAPAAAAAAAAAAAAAAAAAJgCAABkcnMv&#10;ZG93bnJldi54bWxQSwUGAAAAAAQABAD1AAAAigMAAAAA&#10;" path="m,199l,e" filled="f" strokecolor="#e2e2e2" strokeweight=".96606mm">
                  <v:path arrowok="t" o:connecttype="custom" o:connectlocs="0,207;0,8" o:connectangles="0,0"/>
                </v:shape>
                <w10:wrap anchorx="page"/>
              </v:group>
            </w:pict>
          </mc:Fallback>
        </mc:AlternateContent>
      </w:r>
      <w:r w:rsidRPr="007A1D01">
        <w:rPr>
          <w:noProof/>
          <w:lang w:val="es-MX" w:eastAsia="es-MX"/>
        </w:rPr>
        <mc:AlternateContent>
          <mc:Choice Requires="wpg">
            <w:drawing>
              <wp:anchor distT="0" distB="0" distL="114300" distR="114300" simplePos="0" relativeHeight="251713536" behindDoc="1" locked="0" layoutInCell="1" allowOverlap="1" wp14:anchorId="4A8591D8" wp14:editId="0138E29D">
                <wp:simplePos x="0" y="0"/>
                <wp:positionH relativeFrom="page">
                  <wp:posOffset>4969510</wp:posOffset>
                </wp:positionH>
                <wp:positionV relativeFrom="paragraph">
                  <wp:posOffset>19685</wp:posOffset>
                </wp:positionV>
                <wp:extent cx="0" cy="54610"/>
                <wp:effectExtent l="26035" t="29210" r="31115" b="30480"/>
                <wp:wrapNone/>
                <wp:docPr id="8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54610"/>
                          <a:chOff x="7826" y="31"/>
                          <a:chExt cx="2" cy="200"/>
                        </a:xfrm>
                      </wpg:grpSpPr>
                      <wps:wsp>
                        <wps:cNvPr id="108" name="Freeform 19"/>
                        <wps:cNvSpPr>
                          <a:spLocks/>
                        </wps:cNvSpPr>
                        <wps:spPr bwMode="auto">
                          <a:xfrm>
                            <a:off x="7826" y="31"/>
                            <a:ext cx="2" cy="200"/>
                          </a:xfrm>
                          <a:custGeom>
                            <a:avLst/>
                            <a:gdLst>
                              <a:gd name="T0" fmla="+- 0 230 31"/>
                              <a:gd name="T1" fmla="*/ 230 h 200"/>
                              <a:gd name="T2" fmla="+- 0 31 31"/>
                              <a:gd name="T3" fmla="*/ 31 h 200"/>
                            </a:gdLst>
                            <a:ahLst/>
                            <a:cxnLst>
                              <a:cxn ang="0">
                                <a:pos x="0" y="T1"/>
                              </a:cxn>
                              <a:cxn ang="0">
                                <a:pos x="0" y="T3"/>
                              </a:cxn>
                            </a:cxnLst>
                            <a:rect l="0" t="0" r="r" b="b"/>
                            <a:pathLst>
                              <a:path h="200">
                                <a:moveTo>
                                  <a:pt x="0" y="199"/>
                                </a:moveTo>
                                <a:lnTo>
                                  <a:pt x="0" y="0"/>
                                </a:lnTo>
                              </a:path>
                            </a:pathLst>
                          </a:custGeom>
                          <a:noFill/>
                          <a:ln w="51664">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A2FF81" id="Group 18" o:spid="_x0000_s1026" style="position:absolute;margin-left:391.3pt;margin-top:1.55pt;width:0;height:4.3pt;z-index:-251602944;mso-position-horizontal-relative:page" coordorigin="7826,31" coordsize="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">
                <v:shape id="Freeform 19" o:spid="_x0000_s1027" style="position:absolute;left:7826;top:31;width:2;height:200;visibility:visible;mso-wrap-style:square;v-text-anchor:top" coordsize="2,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f2EMQA&#10;AADcAAAADwAAAGRycy9kb3ducmV2LnhtbESPQWvCQBCF74L/YRmhF6m7CpUSXUVaCkJPjf6AITsm&#10;0exsmt2a6K/vHARv85j3vXmz3g6+UVfqYh3YwnxmQBEXwdVcWjgevl7fQcWE7LAJTBZuFGG7GY/W&#10;mLnQ8w9d81QqCeGYoYUqpTbTOhYVeYyz0BLL7hQ6j0lkV2rXYS/hvtELY5baY81yocKWPioqLvmf&#10;lxqftz6/T79/+9Kk+W4Rzvv4drf2ZTLsVqASDelpftB7J5yRtvKMTKA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n9hDEAAAA3AAAAA8AAAAAAAAAAAAAAAAAmAIAAGRycy9k&#10;b3ducmV2LnhtbFBLBQYAAAAABAAEAPUAAACJAwAAAAA=&#10;" path="m,199l,e" filled="f" strokecolor="#e2e2e2" strokeweight="1.43511mm">
                  <v:path arrowok="t" o:connecttype="custom" o:connectlocs="0,230;0,31" o:connectangles="0,0"/>
                </v:shape>
                <w10:wrap anchorx="page"/>
              </v:group>
            </w:pict>
          </mc:Fallback>
        </mc:AlternateContent>
      </w:r>
      <w:r w:rsidRPr="007A1D01">
        <w:rPr>
          <w:rFonts w:ascii="Arial" w:hAnsi="Arial" w:cs="Arial"/>
          <w:lang w:val="es-ES"/>
        </w:rPr>
        <w:t>que dispone la primera inscripción de dominio del predio a favor del Estado.</w:t>
      </w:r>
    </w:p>
    <w:p w:rsidR="00A85304" w:rsidRPr="007A1D01" w:rsidRDefault="00A85304" w:rsidP="00DF0797">
      <w:pPr>
        <w:pStyle w:val="Prrafodelista1"/>
        <w:shd w:val="clear" w:color="auto" w:fill="FFFFFF"/>
        <w:tabs>
          <w:tab w:val="left" w:pos="284"/>
        </w:tabs>
        <w:spacing w:after="0" w:line="240" w:lineRule="auto"/>
        <w:ind w:left="2127"/>
        <w:jc w:val="both"/>
        <w:rPr>
          <w:rFonts w:ascii="Arial" w:hAnsi="Arial" w:cs="Arial"/>
          <w:lang w:val="es-ES"/>
        </w:rPr>
      </w:pPr>
    </w:p>
    <w:p w:rsidR="00A85304" w:rsidRPr="007A1D01" w:rsidRDefault="00A85304" w:rsidP="0092471C">
      <w:pPr>
        <w:pStyle w:val="Prrafodelista1"/>
        <w:numPr>
          <w:ilvl w:val="2"/>
          <w:numId w:val="276"/>
        </w:numPr>
        <w:shd w:val="clear" w:color="auto" w:fill="FFFFFF"/>
        <w:tabs>
          <w:tab w:val="left" w:pos="284"/>
        </w:tabs>
        <w:spacing w:after="0" w:line="240" w:lineRule="auto"/>
        <w:ind w:left="2127"/>
        <w:jc w:val="both"/>
        <w:rPr>
          <w:rFonts w:ascii="Arial" w:hAnsi="Arial" w:cs="Arial"/>
          <w:lang w:val="es-ES"/>
        </w:rPr>
      </w:pPr>
      <w:r w:rsidRPr="007A1D01">
        <w:rPr>
          <w:rFonts w:ascii="Arial" w:hAnsi="Arial" w:cs="Arial"/>
          <w:lang w:val="es-ES"/>
        </w:rPr>
        <w:t>Con la resolución emitida, se procede a su publicación en el Diario Oficial El Peruano y en el portal web de la entidad que la emite, así como un extracto, en un diario de mayor circulación en la región en que se encuentre el predio, en un plazo de diez (10) días hábiles contados a partir del día siguiente de su expedición.</w:t>
      </w:r>
    </w:p>
    <w:p w:rsidR="00A85304" w:rsidRPr="007A1D01" w:rsidRDefault="00A85304" w:rsidP="00DF0797">
      <w:pPr>
        <w:pStyle w:val="Prrafodelista"/>
        <w:spacing w:after="0" w:line="240" w:lineRule="auto"/>
        <w:ind w:left="2127"/>
        <w:rPr>
          <w:rFonts w:ascii="Arial" w:hAnsi="Arial" w:cs="Arial"/>
          <w:lang w:val="es-ES"/>
        </w:rPr>
      </w:pPr>
    </w:p>
    <w:p w:rsidR="00A85304" w:rsidRPr="007A1D01" w:rsidRDefault="00A85304" w:rsidP="00DF0797">
      <w:pPr>
        <w:pStyle w:val="Prrafodelista"/>
        <w:spacing w:after="0" w:line="240" w:lineRule="auto"/>
        <w:ind w:left="2127"/>
        <w:jc w:val="both"/>
        <w:rPr>
          <w:rFonts w:ascii="Arial" w:hAnsi="Arial" w:cs="Arial"/>
          <w:lang w:val="es-ES"/>
        </w:rPr>
      </w:pPr>
      <w:r w:rsidRPr="007A1D01">
        <w:rPr>
          <w:rFonts w:ascii="Arial" w:hAnsi="Arial" w:cs="Arial"/>
          <w:lang w:val="es-ES"/>
        </w:rPr>
        <w:t xml:space="preserve">La publicación del extracto debe contener lo siguiente: número y fecha de la resolución, área, ubicación y otros datos relevantes del predio. En la misma publicación del extracto pueden integrarse el contenido de más de una resolución.  </w:t>
      </w:r>
    </w:p>
    <w:p w:rsidR="00A85304" w:rsidRPr="007A1D01" w:rsidRDefault="00A85304" w:rsidP="00DF0797">
      <w:pPr>
        <w:pStyle w:val="Prrafodelista"/>
        <w:spacing w:after="0" w:line="240" w:lineRule="auto"/>
        <w:ind w:left="2127"/>
        <w:rPr>
          <w:rFonts w:ascii="Arial" w:hAnsi="Arial" w:cs="Arial"/>
          <w:lang w:val="es-ES"/>
        </w:rPr>
      </w:pPr>
    </w:p>
    <w:p w:rsidR="00A85304" w:rsidRPr="007A1D01" w:rsidRDefault="00A85304" w:rsidP="00DF0797">
      <w:pPr>
        <w:pStyle w:val="Prrafodelista"/>
        <w:shd w:val="clear" w:color="auto" w:fill="FFFFFF"/>
        <w:tabs>
          <w:tab w:val="left" w:pos="284"/>
        </w:tabs>
        <w:spacing w:after="0" w:line="240" w:lineRule="auto"/>
        <w:ind w:left="2127"/>
        <w:jc w:val="both"/>
        <w:rPr>
          <w:rFonts w:ascii="Arial" w:hAnsi="Arial" w:cs="Arial"/>
          <w:lang w:val="es-ES"/>
        </w:rPr>
      </w:pPr>
      <w:r w:rsidRPr="007A1D01">
        <w:rPr>
          <w:rFonts w:ascii="Arial" w:hAnsi="Arial" w:cs="Arial"/>
          <w:lang w:val="es-ES"/>
        </w:rPr>
        <w:t>En el caso de la SBN, la gestión de la publicación estará a cargo de la UTD.</w:t>
      </w:r>
    </w:p>
    <w:p w:rsidR="00A85304" w:rsidRPr="007A1D01" w:rsidRDefault="00A85304" w:rsidP="0092471C">
      <w:pPr>
        <w:pStyle w:val="Prrafodelista1"/>
        <w:numPr>
          <w:ilvl w:val="2"/>
          <w:numId w:val="276"/>
        </w:numPr>
        <w:shd w:val="clear" w:color="auto" w:fill="FFFFFF"/>
        <w:tabs>
          <w:tab w:val="left" w:pos="284"/>
        </w:tabs>
        <w:spacing w:after="0" w:line="240" w:lineRule="auto"/>
        <w:ind w:left="2127"/>
        <w:jc w:val="both"/>
        <w:rPr>
          <w:rFonts w:ascii="Arial" w:hAnsi="Arial" w:cs="Arial"/>
          <w:lang w:val="es-ES"/>
        </w:rPr>
      </w:pPr>
      <w:r w:rsidRPr="007A1D01">
        <w:rPr>
          <w:rFonts w:ascii="Arial" w:hAnsi="Arial" w:cs="Arial"/>
          <w:lang w:val="es-ES"/>
        </w:rPr>
        <w:t>Si  la resolución emitida es impugnada, el órgano competente procede a resolver el recurso aplicando además los criterios establecidos en el numeral 6.2.4 de la presente Directiva.</w:t>
      </w:r>
    </w:p>
    <w:p w:rsidR="00A85304" w:rsidRPr="007A1D01" w:rsidRDefault="00A85304" w:rsidP="00DF0797">
      <w:pPr>
        <w:pStyle w:val="Prrafodelista"/>
        <w:shd w:val="clear" w:color="auto" w:fill="FFFFFF"/>
        <w:tabs>
          <w:tab w:val="left" w:pos="284"/>
        </w:tabs>
        <w:spacing w:after="0" w:line="240" w:lineRule="auto"/>
        <w:ind w:left="2127"/>
        <w:jc w:val="both"/>
        <w:rPr>
          <w:rFonts w:ascii="Arial" w:hAnsi="Arial" w:cs="Arial"/>
          <w:lang w:val="es-ES"/>
        </w:rPr>
      </w:pPr>
    </w:p>
    <w:p w:rsidR="00A85304" w:rsidRPr="007A1D01" w:rsidRDefault="00A85304" w:rsidP="00DF0797">
      <w:pPr>
        <w:shd w:val="clear" w:color="auto" w:fill="FFFFFF"/>
        <w:tabs>
          <w:tab w:val="left" w:pos="284"/>
        </w:tabs>
        <w:spacing w:after="0" w:line="240" w:lineRule="auto"/>
        <w:ind w:left="2127"/>
        <w:jc w:val="both"/>
        <w:rPr>
          <w:rFonts w:ascii="Arial" w:hAnsi="Arial" w:cs="Arial"/>
        </w:rPr>
      </w:pPr>
      <w:r w:rsidRPr="007A1D01">
        <w:rPr>
          <w:rFonts w:ascii="Arial" w:hAnsi="Arial" w:cs="Arial"/>
        </w:rPr>
        <w:t>Si no se confirma la resolución en segunda instancia, el procedimiento concluye y se procede a comunicar dicha situación a la SDRC para los fines de su competencia, asi como solicitar al Registro de Predios la cancelación del asiento registral en caso que se hubiese inmatriculado el predio.</w:t>
      </w:r>
    </w:p>
    <w:p w:rsidR="00A85304" w:rsidRPr="007A1D01" w:rsidRDefault="00A85304" w:rsidP="00DF0797">
      <w:pPr>
        <w:shd w:val="clear" w:color="auto" w:fill="FFFFFF"/>
        <w:tabs>
          <w:tab w:val="left" w:pos="284"/>
        </w:tabs>
        <w:spacing w:after="0" w:line="240" w:lineRule="auto"/>
        <w:ind w:left="2127"/>
        <w:jc w:val="both"/>
        <w:rPr>
          <w:rFonts w:ascii="Arial" w:hAnsi="Arial" w:cs="Arial"/>
        </w:rPr>
      </w:pPr>
      <w:r w:rsidRPr="007A1D01">
        <w:rPr>
          <w:rFonts w:ascii="Arial" w:hAnsi="Arial" w:cs="Arial"/>
        </w:rPr>
        <w:t>Si se confirma la resolución, el procedimiento continúa conforme al numeral siguiente.</w:t>
      </w:r>
    </w:p>
    <w:p w:rsidR="00A85304" w:rsidRPr="007A1D01" w:rsidRDefault="00A85304" w:rsidP="00DF0797">
      <w:pPr>
        <w:shd w:val="clear" w:color="auto" w:fill="FFFFFF"/>
        <w:tabs>
          <w:tab w:val="left" w:pos="284"/>
        </w:tabs>
        <w:spacing w:after="0" w:line="240" w:lineRule="auto"/>
        <w:ind w:left="720"/>
        <w:jc w:val="both"/>
        <w:rPr>
          <w:rFonts w:ascii="Arial" w:hAnsi="Arial" w:cs="Arial"/>
        </w:rPr>
      </w:pPr>
    </w:p>
    <w:p w:rsidR="00A85304" w:rsidRPr="007A1D01" w:rsidRDefault="00A85304" w:rsidP="00DF0797">
      <w:pPr>
        <w:pStyle w:val="Prrafodelista1"/>
        <w:widowControl w:val="0"/>
        <w:spacing w:after="0" w:line="240" w:lineRule="auto"/>
        <w:ind w:left="1418" w:hanging="709"/>
        <w:jc w:val="both"/>
        <w:rPr>
          <w:rFonts w:ascii="Arial" w:hAnsi="Arial" w:cs="Arial"/>
          <w:b/>
          <w:lang w:val="es-ES"/>
        </w:rPr>
      </w:pPr>
      <w:r w:rsidRPr="007A1D01">
        <w:rPr>
          <w:rFonts w:ascii="Arial" w:hAnsi="Arial" w:cs="Arial"/>
          <w:b/>
          <w:lang w:val="es-ES"/>
        </w:rPr>
        <w:t xml:space="preserve">6.5. </w:t>
      </w:r>
      <w:r w:rsidRPr="007A1D01">
        <w:rPr>
          <w:rFonts w:ascii="Arial" w:hAnsi="Arial" w:cs="Arial"/>
          <w:b/>
          <w:lang w:val="es-ES"/>
        </w:rPr>
        <w:tab/>
        <w:t>Inscripción y registro</w:t>
      </w:r>
    </w:p>
    <w:p w:rsidR="00A85304" w:rsidRPr="007A1D01" w:rsidRDefault="00A85304" w:rsidP="00DF0797">
      <w:pPr>
        <w:pStyle w:val="Prrafodelista1"/>
        <w:widowControl w:val="0"/>
        <w:spacing w:after="0" w:line="240" w:lineRule="auto"/>
        <w:ind w:left="0"/>
        <w:jc w:val="both"/>
        <w:rPr>
          <w:rFonts w:ascii="Arial" w:hAnsi="Arial" w:cs="Arial"/>
          <w:b/>
          <w:lang w:val="es-ES"/>
        </w:rPr>
      </w:pPr>
    </w:p>
    <w:p w:rsidR="00A85304" w:rsidRPr="007A1D01" w:rsidRDefault="00A85304" w:rsidP="00DF0797">
      <w:pPr>
        <w:shd w:val="clear" w:color="auto" w:fill="FFFFFF"/>
        <w:spacing w:after="0" w:line="240" w:lineRule="auto"/>
        <w:ind w:left="2127" w:hanging="709"/>
        <w:jc w:val="both"/>
        <w:rPr>
          <w:rFonts w:ascii="Arial" w:hAnsi="Arial" w:cs="Arial"/>
        </w:rPr>
      </w:pPr>
      <w:r w:rsidRPr="007A1D01">
        <w:rPr>
          <w:rFonts w:ascii="Arial" w:hAnsi="Arial" w:cs="Arial"/>
          <w:b/>
        </w:rPr>
        <w:t>6.5.1</w:t>
      </w:r>
      <w:r w:rsidRPr="007A1D01">
        <w:rPr>
          <w:rFonts w:ascii="Arial" w:hAnsi="Arial" w:cs="Arial"/>
        </w:rPr>
        <w:t>.</w:t>
      </w:r>
      <w:r w:rsidRPr="007A1D01">
        <w:rPr>
          <w:rFonts w:ascii="Arial" w:hAnsi="Arial" w:cs="Arial"/>
        </w:rPr>
        <w:tab/>
        <w:t>Una vez publicada la resolución, la unidad que sustenta el procedimiento  solicitará a la Oficina Registral correspondiente de la SUNARP la inscripción del acto de primera de dominio, acompañando la documentación técnica sustentatoria consistente en la copia autenticada de la Resolución, Plano Perimétrico-Ubicación y Memoria Descriptiva, los cuales constituyen título suficiente para su inscripción.</w:t>
      </w:r>
    </w:p>
    <w:p w:rsidR="00A85304" w:rsidRPr="007A1D01" w:rsidRDefault="00A85304" w:rsidP="00DF0797">
      <w:pPr>
        <w:shd w:val="clear" w:color="auto" w:fill="FFFFFF"/>
        <w:spacing w:after="0" w:line="240" w:lineRule="auto"/>
        <w:ind w:left="2127" w:hanging="709"/>
        <w:jc w:val="both"/>
        <w:rPr>
          <w:rFonts w:ascii="Arial" w:hAnsi="Arial" w:cs="Arial"/>
        </w:rPr>
      </w:pPr>
    </w:p>
    <w:p w:rsidR="00A85304" w:rsidRPr="007A1D01" w:rsidRDefault="00A85304" w:rsidP="0092471C">
      <w:pPr>
        <w:pStyle w:val="Prrafodelista"/>
        <w:numPr>
          <w:ilvl w:val="2"/>
          <w:numId w:val="277"/>
        </w:numPr>
        <w:spacing w:after="0" w:line="240" w:lineRule="auto"/>
        <w:ind w:left="2127"/>
        <w:jc w:val="both"/>
        <w:rPr>
          <w:rFonts w:ascii="Arial" w:hAnsi="Arial" w:cs="Arial"/>
          <w:lang w:val="es-ES"/>
        </w:rPr>
      </w:pPr>
      <w:r w:rsidRPr="007A1D01">
        <w:rPr>
          <w:rFonts w:ascii="Arial" w:hAnsi="Arial" w:cs="Arial"/>
          <w:lang w:val="es-ES"/>
        </w:rPr>
        <w:t>De existir observaciones en sede registral, la unidad que sustenta el procedimiento procede a levantar dichas observaciones, para lo cual  puede adecuar la documentación técnica sustentatoria del procedimiento, emitiendo, de ser necesario, la resolución con los nuevos datos para el reingreso del título.</w:t>
      </w:r>
    </w:p>
    <w:p w:rsidR="00A85304" w:rsidRPr="007A1D01" w:rsidRDefault="00A85304" w:rsidP="00DF0797">
      <w:pPr>
        <w:pStyle w:val="Prrafodelista"/>
        <w:spacing w:after="0" w:line="240" w:lineRule="auto"/>
        <w:ind w:left="2127"/>
        <w:jc w:val="both"/>
        <w:rPr>
          <w:rFonts w:ascii="Arial" w:hAnsi="Arial" w:cs="Arial"/>
          <w:lang w:val="es-ES"/>
        </w:rPr>
      </w:pPr>
    </w:p>
    <w:p w:rsidR="00A85304" w:rsidRPr="007A1D01" w:rsidRDefault="00A85304" w:rsidP="0092471C">
      <w:pPr>
        <w:pStyle w:val="Prrafodelista"/>
        <w:numPr>
          <w:ilvl w:val="2"/>
          <w:numId w:val="277"/>
        </w:numPr>
        <w:spacing w:after="0" w:line="240" w:lineRule="auto"/>
        <w:ind w:left="2127"/>
        <w:jc w:val="both"/>
        <w:rPr>
          <w:rFonts w:ascii="Arial" w:hAnsi="Arial" w:cs="Arial"/>
          <w:lang w:val="es-ES"/>
        </w:rPr>
      </w:pPr>
      <w:r w:rsidRPr="007A1D01">
        <w:rPr>
          <w:rFonts w:ascii="Arial" w:hAnsi="Arial" w:cs="Arial"/>
          <w:lang w:val="es-ES"/>
        </w:rPr>
        <w:t xml:space="preserve">En </w:t>
      </w:r>
      <w:r w:rsidRPr="007A1D01">
        <w:rPr>
          <w:rFonts w:ascii="Arial" w:hAnsi="Arial" w:cs="Arial"/>
        </w:rPr>
        <w:t>caso que la primera inscripción de dominio se hubiere efectuado anotando en el rubro de cargas y gravámenes que la resolución no se encuentra firme, de conformidad con lo establecido en el artículo 10 del Reglamento de Inscripciones del Registro de Predios, aprobado por la Resolución N° 097-2013-SUNARP/SN, una vez que quede firme dicha resolución la</w:t>
      </w:r>
      <w:r w:rsidRPr="007A1D01">
        <w:rPr>
          <w:rFonts w:ascii="Arial" w:hAnsi="Arial" w:cs="Arial"/>
          <w:lang w:val="es-ES"/>
        </w:rPr>
        <w:t xml:space="preserve"> unidad que sustenta el procedimiento</w:t>
      </w:r>
      <w:r w:rsidRPr="007A1D01">
        <w:rPr>
          <w:rFonts w:ascii="Arial" w:hAnsi="Arial" w:cs="Arial"/>
        </w:rPr>
        <w:t xml:space="preserve">  solicita al Registro de Predios el levantamiento de mencionada carga.</w:t>
      </w:r>
    </w:p>
    <w:p w:rsidR="00A85304" w:rsidRPr="007A1D01" w:rsidRDefault="00A85304" w:rsidP="00DF0797">
      <w:pPr>
        <w:pStyle w:val="Prrafodelista"/>
        <w:spacing w:after="0" w:line="240" w:lineRule="auto"/>
        <w:ind w:left="2127"/>
        <w:jc w:val="both"/>
        <w:rPr>
          <w:rFonts w:ascii="Arial" w:hAnsi="Arial" w:cs="Arial"/>
          <w:lang w:val="es-ES"/>
        </w:rPr>
      </w:pPr>
    </w:p>
    <w:p w:rsidR="00A85304" w:rsidRPr="007A1D01" w:rsidRDefault="00A85304" w:rsidP="0092471C">
      <w:pPr>
        <w:pStyle w:val="Prrafodelista"/>
        <w:numPr>
          <w:ilvl w:val="2"/>
          <w:numId w:val="277"/>
        </w:numPr>
        <w:spacing w:after="0" w:line="240" w:lineRule="auto"/>
        <w:ind w:left="2127"/>
        <w:jc w:val="both"/>
        <w:rPr>
          <w:rFonts w:ascii="Arial" w:hAnsi="Arial" w:cs="Arial"/>
          <w:lang w:val="es-ES"/>
        </w:rPr>
      </w:pPr>
      <w:r w:rsidRPr="007A1D01">
        <w:rPr>
          <w:rFonts w:ascii="Arial" w:hAnsi="Arial" w:cs="Arial"/>
          <w:lang w:val="es-ES"/>
        </w:rPr>
        <w:t xml:space="preserve">Una vez inscrito el predio en los registros públicos, la unidad competente procede actualizar </w:t>
      </w:r>
      <w:r>
        <w:rPr>
          <w:rFonts w:ascii="Arial" w:hAnsi="Arial" w:cs="Arial"/>
          <w:lang w:val="es-ES"/>
        </w:rPr>
        <w:t xml:space="preserve">como definitivo </w:t>
      </w:r>
      <w:r w:rsidRPr="007A1D01">
        <w:rPr>
          <w:rFonts w:ascii="Arial" w:hAnsi="Arial" w:cs="Arial"/>
          <w:lang w:val="es-ES"/>
        </w:rPr>
        <w:t>el SINABIP adjuntando la documentación legal y técnica del predio.</w:t>
      </w:r>
    </w:p>
    <w:p w:rsidR="00A85304" w:rsidRPr="007A1D01" w:rsidRDefault="00A85304" w:rsidP="00DF0797">
      <w:pPr>
        <w:pStyle w:val="Prrafodelista"/>
        <w:spacing w:after="0" w:line="240" w:lineRule="auto"/>
        <w:ind w:left="2127"/>
        <w:rPr>
          <w:rFonts w:ascii="Arial" w:hAnsi="Arial" w:cs="Arial"/>
          <w:lang w:val="es-ES"/>
        </w:rPr>
      </w:pPr>
    </w:p>
    <w:p w:rsidR="00A85304" w:rsidRDefault="00A85304" w:rsidP="00DF0797">
      <w:pPr>
        <w:pStyle w:val="Prrafodelista"/>
        <w:spacing w:after="0" w:line="240" w:lineRule="auto"/>
        <w:ind w:left="2127"/>
        <w:jc w:val="both"/>
        <w:rPr>
          <w:rFonts w:ascii="Arial" w:hAnsi="Arial" w:cs="Arial"/>
          <w:lang w:val="es-ES"/>
        </w:rPr>
      </w:pPr>
      <w:r w:rsidRPr="007A1D01">
        <w:rPr>
          <w:rFonts w:ascii="Arial" w:hAnsi="Arial" w:cs="Arial"/>
          <w:lang w:val="es-ES"/>
        </w:rPr>
        <w:t>En el caso de la SBN, la SDAPE deberá informar, de corresponder, a la SDDI para los fines de su competencia.</w:t>
      </w:r>
    </w:p>
    <w:p w:rsidR="00DF0797" w:rsidRPr="007A1D01" w:rsidRDefault="00DF0797" w:rsidP="00DF0797">
      <w:pPr>
        <w:pStyle w:val="Prrafodelista"/>
        <w:spacing w:after="0" w:line="240" w:lineRule="auto"/>
        <w:ind w:left="2127"/>
        <w:jc w:val="both"/>
        <w:rPr>
          <w:rFonts w:ascii="Arial" w:hAnsi="Arial" w:cs="Arial"/>
          <w:lang w:val="es-ES"/>
        </w:rPr>
      </w:pPr>
    </w:p>
    <w:p w:rsidR="00A85304" w:rsidRPr="007A1D01" w:rsidRDefault="00A85304" w:rsidP="0092471C">
      <w:pPr>
        <w:pStyle w:val="Prrafodelista3"/>
        <w:widowControl w:val="0"/>
        <w:numPr>
          <w:ilvl w:val="0"/>
          <w:numId w:val="271"/>
        </w:numPr>
        <w:tabs>
          <w:tab w:val="left" w:pos="2020"/>
        </w:tabs>
        <w:spacing w:after="0" w:line="240" w:lineRule="auto"/>
        <w:ind w:left="426" w:hanging="425"/>
        <w:jc w:val="both"/>
        <w:rPr>
          <w:rFonts w:ascii="Arial" w:hAnsi="Arial" w:cs="Arial"/>
          <w:b/>
          <w:lang w:val="es-ES"/>
        </w:rPr>
      </w:pPr>
      <w:r w:rsidRPr="007A1D01">
        <w:rPr>
          <w:rFonts w:ascii="Arial" w:hAnsi="Arial" w:cs="Arial"/>
          <w:b/>
          <w:lang w:val="es-ES"/>
        </w:rPr>
        <w:t>DISPOSICIONES COMPLEMENTARIAS</w:t>
      </w:r>
    </w:p>
    <w:p w:rsidR="00A85304" w:rsidRPr="007A1D01" w:rsidRDefault="00A85304" w:rsidP="00DF0797">
      <w:pPr>
        <w:spacing w:after="0" w:line="240" w:lineRule="auto"/>
        <w:jc w:val="both"/>
        <w:rPr>
          <w:rFonts w:ascii="Arial" w:eastAsia="Calibri" w:hAnsi="Arial" w:cs="Arial"/>
          <w:b/>
          <w:strike/>
        </w:rPr>
      </w:pPr>
    </w:p>
    <w:p w:rsidR="00A85304" w:rsidRPr="007A1D01" w:rsidRDefault="00A85304" w:rsidP="00DF0797">
      <w:pPr>
        <w:spacing w:after="0" w:line="240" w:lineRule="auto"/>
        <w:ind w:left="425"/>
        <w:jc w:val="both"/>
        <w:rPr>
          <w:rFonts w:ascii="Arial" w:eastAsia="Calibri" w:hAnsi="Arial" w:cs="Arial"/>
          <w:b/>
        </w:rPr>
      </w:pPr>
      <w:r w:rsidRPr="007A1D01">
        <w:rPr>
          <w:rFonts w:ascii="Arial" w:eastAsia="Calibri" w:hAnsi="Arial" w:cs="Arial"/>
          <w:b/>
        </w:rPr>
        <w:t xml:space="preserve">Primera.- De los procedimientos de primera inscripción de dominio de predios del Estado en el marco del artículo 41 del Decreto Legislativo Nº 1192 </w:t>
      </w:r>
    </w:p>
    <w:p w:rsidR="00A85304" w:rsidRPr="007A1D01" w:rsidRDefault="00A85304" w:rsidP="00DF0797">
      <w:pPr>
        <w:spacing w:after="0" w:line="240" w:lineRule="auto"/>
        <w:ind w:left="425"/>
        <w:jc w:val="both"/>
        <w:rPr>
          <w:rFonts w:ascii="Arial" w:eastAsia="Calibri" w:hAnsi="Arial" w:cs="Arial"/>
        </w:rPr>
      </w:pPr>
      <w:r w:rsidRPr="007A1D01">
        <w:rPr>
          <w:rFonts w:ascii="Arial" w:hAnsi="Arial" w:cs="Arial"/>
        </w:rPr>
        <w:t>Los procedimientos de primera inscripción de dominio de predios a favor del Estado, enmarcados dentro del numeral 41.1 del artículo 41 del Decreto Legislativo Nº 1192, a cargo de la SBN, se regulan conforme a la directiva SBN, aprobada para ello y supletoriamente por la presente Directiva.</w:t>
      </w:r>
    </w:p>
    <w:p w:rsidR="00DF0797" w:rsidRDefault="00DF0797" w:rsidP="00DF0797">
      <w:pPr>
        <w:spacing w:after="0" w:line="240" w:lineRule="auto"/>
        <w:ind w:left="425"/>
        <w:jc w:val="both"/>
        <w:rPr>
          <w:rFonts w:ascii="Arial" w:eastAsia="Calibri" w:hAnsi="Arial" w:cs="Arial"/>
          <w:b/>
        </w:rPr>
      </w:pPr>
    </w:p>
    <w:p w:rsidR="00A85304" w:rsidRPr="007A1D01" w:rsidRDefault="00A85304" w:rsidP="00DF0797">
      <w:pPr>
        <w:spacing w:after="0" w:line="240" w:lineRule="auto"/>
        <w:ind w:left="425"/>
        <w:jc w:val="both"/>
        <w:rPr>
          <w:rFonts w:ascii="Arial" w:eastAsia="Calibri" w:hAnsi="Arial" w:cs="Arial"/>
          <w:b/>
        </w:rPr>
      </w:pPr>
      <w:r w:rsidRPr="007A1D01">
        <w:rPr>
          <w:rFonts w:ascii="Arial" w:eastAsia="Calibri" w:hAnsi="Arial" w:cs="Arial"/>
          <w:b/>
        </w:rPr>
        <w:t xml:space="preserve">Segunda.- Del procedimiento de inmatriculación a cargo del MINCU </w:t>
      </w:r>
    </w:p>
    <w:p w:rsidR="00A85304" w:rsidRPr="007A1D01" w:rsidRDefault="00A85304" w:rsidP="00DF0797">
      <w:pPr>
        <w:spacing w:after="0" w:line="240" w:lineRule="auto"/>
        <w:ind w:left="425"/>
        <w:jc w:val="both"/>
        <w:rPr>
          <w:rFonts w:ascii="Arial" w:hAnsi="Arial" w:cs="Arial"/>
        </w:rPr>
      </w:pPr>
      <w:r w:rsidRPr="007A1D01">
        <w:rPr>
          <w:rFonts w:ascii="Arial" w:hAnsi="Arial" w:cs="Arial"/>
        </w:rPr>
        <w:t xml:space="preserve">El MINCU, en el procedimiento de primera inscripción de domino de los predios del Estado que constituyan Patrimonio Cultural de la Nación, de conformidad con el artículo 13 de la Ley Nº 28296, podrá aplicar la presente directiva </w:t>
      </w:r>
      <w:r w:rsidRPr="00952320">
        <w:rPr>
          <w:rFonts w:ascii="Arial" w:hAnsi="Arial" w:cs="Arial"/>
        </w:rPr>
        <w:t>en cuanto corresponda.</w:t>
      </w:r>
    </w:p>
    <w:p w:rsidR="00A85304" w:rsidRPr="007A1D01" w:rsidRDefault="00A85304" w:rsidP="00DF0797">
      <w:pPr>
        <w:spacing w:after="0" w:line="240" w:lineRule="auto"/>
        <w:ind w:left="426"/>
        <w:jc w:val="both"/>
        <w:rPr>
          <w:rFonts w:ascii="Arial" w:hAnsi="Arial" w:cs="Arial"/>
        </w:rPr>
      </w:pPr>
    </w:p>
    <w:p w:rsidR="00A85304" w:rsidRPr="007A1D01" w:rsidRDefault="00A85304" w:rsidP="00DF0797">
      <w:pPr>
        <w:pStyle w:val="Prrafodelista3"/>
        <w:widowControl w:val="0"/>
        <w:tabs>
          <w:tab w:val="left" w:pos="2020"/>
        </w:tabs>
        <w:spacing w:after="0" w:line="240" w:lineRule="auto"/>
        <w:ind w:left="426"/>
        <w:jc w:val="both"/>
        <w:rPr>
          <w:rFonts w:ascii="Arial" w:hAnsi="Arial" w:cs="Arial"/>
          <w:b/>
          <w:lang w:val="es-ES"/>
        </w:rPr>
      </w:pPr>
      <w:r w:rsidRPr="007A1D01">
        <w:rPr>
          <w:rFonts w:ascii="Arial" w:hAnsi="Arial" w:cs="Arial"/>
          <w:b/>
          <w:lang w:val="es-ES"/>
        </w:rPr>
        <w:t xml:space="preserve">Tercera.- De la primera inscripción de dominio de predio del Estado por las entidades públicas del SNBE  </w:t>
      </w:r>
    </w:p>
    <w:p w:rsidR="00A85304" w:rsidRPr="007A1D01" w:rsidRDefault="00A85304" w:rsidP="00DF0797">
      <w:pPr>
        <w:spacing w:after="0" w:line="240" w:lineRule="auto"/>
        <w:ind w:left="426"/>
        <w:jc w:val="both"/>
        <w:rPr>
          <w:rFonts w:ascii="Arial" w:hAnsi="Arial" w:cs="Arial"/>
        </w:rPr>
      </w:pPr>
      <w:r w:rsidRPr="007A1D01">
        <w:rPr>
          <w:rFonts w:ascii="Arial" w:hAnsi="Arial" w:cs="Arial"/>
        </w:rPr>
        <w:t>Las entidades públicas autorizadas para efectuar el saneamiento de los predios de su propiedad u administración conforme a las no</w:t>
      </w:r>
      <w:r>
        <w:rPr>
          <w:rFonts w:ascii="Arial" w:hAnsi="Arial" w:cs="Arial"/>
        </w:rPr>
        <w:t>r</w:t>
      </w:r>
      <w:r w:rsidRPr="007A1D01">
        <w:rPr>
          <w:rFonts w:ascii="Arial" w:hAnsi="Arial" w:cs="Arial"/>
        </w:rPr>
        <w:t xml:space="preserve">mas de saneamiento dispuestas en la Ley Nº 26512, Decreto Supremo N° 014-95-MTC, </w:t>
      </w:r>
      <w:r w:rsidRPr="0009727E">
        <w:rPr>
          <w:rFonts w:ascii="Arial" w:hAnsi="Arial" w:cs="Arial"/>
        </w:rPr>
        <w:t>Decreto Supremo</w:t>
      </w:r>
      <w:r>
        <w:rPr>
          <w:rFonts w:ascii="Arial" w:hAnsi="Arial" w:cs="Arial"/>
        </w:rPr>
        <w:t xml:space="preserve"> Nº</w:t>
      </w:r>
      <w:r w:rsidRPr="0009727E">
        <w:rPr>
          <w:rFonts w:ascii="Arial" w:hAnsi="Arial" w:cs="Arial"/>
        </w:rPr>
        <w:t xml:space="preserve"> 006-98- ED,</w:t>
      </w:r>
      <w:r>
        <w:rPr>
          <w:rFonts w:ascii="Arial" w:hAnsi="Arial" w:cs="Arial"/>
        </w:rPr>
        <w:t xml:space="preserve"> </w:t>
      </w:r>
      <w:r w:rsidRPr="007A1D01">
        <w:rPr>
          <w:rFonts w:ascii="Arial" w:hAnsi="Arial" w:cs="Arial"/>
        </w:rPr>
        <w:t xml:space="preserve">Decreto de Urgencia N° 071-2001, Decreto Supremo Nº 130-2001-EF y sus normas complementarias o modificatorias, aplicarán las reglas contenidas en las etapas de identificación del predio y elaboración </w:t>
      </w:r>
      <w:r>
        <w:rPr>
          <w:rFonts w:ascii="Arial" w:hAnsi="Arial" w:cs="Arial"/>
        </w:rPr>
        <w:t>del Informe Técnico</w:t>
      </w:r>
      <w:r w:rsidRPr="007A1D01">
        <w:rPr>
          <w:rFonts w:ascii="Arial" w:hAnsi="Arial" w:cs="Arial"/>
        </w:rPr>
        <w:t xml:space="preserve"> </w:t>
      </w:r>
      <w:r>
        <w:rPr>
          <w:rFonts w:ascii="Arial" w:hAnsi="Arial" w:cs="Arial"/>
        </w:rPr>
        <w:t>L</w:t>
      </w:r>
      <w:r w:rsidRPr="007A1D01">
        <w:rPr>
          <w:rFonts w:ascii="Arial" w:hAnsi="Arial" w:cs="Arial"/>
        </w:rPr>
        <w:t xml:space="preserve">egal, de conformidad con los numerales 6.2 y 6.3 de la presente Directiva. </w:t>
      </w:r>
    </w:p>
    <w:p w:rsidR="00DF0797" w:rsidRDefault="00DF0797" w:rsidP="00DF0797">
      <w:pPr>
        <w:pStyle w:val="Prrafodelista3"/>
        <w:widowControl w:val="0"/>
        <w:tabs>
          <w:tab w:val="left" w:pos="2020"/>
        </w:tabs>
        <w:spacing w:after="0" w:line="240" w:lineRule="auto"/>
        <w:ind w:left="426"/>
        <w:jc w:val="both"/>
        <w:rPr>
          <w:rFonts w:ascii="Arial" w:hAnsi="Arial" w:cs="Arial"/>
          <w:b/>
          <w:lang w:val="es-ES"/>
        </w:rPr>
      </w:pPr>
    </w:p>
    <w:p w:rsidR="00A85304" w:rsidRPr="007A1D01" w:rsidRDefault="00A85304" w:rsidP="00DF0797">
      <w:pPr>
        <w:pStyle w:val="Prrafodelista3"/>
        <w:widowControl w:val="0"/>
        <w:tabs>
          <w:tab w:val="left" w:pos="2020"/>
        </w:tabs>
        <w:spacing w:after="0" w:line="240" w:lineRule="auto"/>
        <w:ind w:left="426"/>
        <w:jc w:val="both"/>
        <w:rPr>
          <w:rFonts w:ascii="Arial" w:hAnsi="Arial" w:cs="Arial"/>
          <w:b/>
          <w:lang w:val="es-ES"/>
        </w:rPr>
      </w:pPr>
      <w:r w:rsidRPr="007A1D01">
        <w:rPr>
          <w:rFonts w:ascii="Arial" w:hAnsi="Arial" w:cs="Arial"/>
          <w:b/>
          <w:lang w:val="es-ES"/>
        </w:rPr>
        <w:t xml:space="preserve">Cuarta.- De la primera inscripción de dominio de predio de las municipalidades </w:t>
      </w:r>
    </w:p>
    <w:p w:rsidR="00A85304" w:rsidRPr="007A1D01" w:rsidRDefault="00A85304" w:rsidP="00DF0797">
      <w:pPr>
        <w:pStyle w:val="Prrafodelista1"/>
        <w:widowControl w:val="0"/>
        <w:spacing w:after="0" w:line="240" w:lineRule="auto"/>
        <w:ind w:left="426"/>
        <w:jc w:val="both"/>
        <w:rPr>
          <w:rFonts w:ascii="Arial" w:hAnsi="Arial" w:cs="Arial"/>
          <w:lang w:val="es-ES"/>
        </w:rPr>
      </w:pPr>
      <w:r w:rsidRPr="007A1D01">
        <w:rPr>
          <w:rFonts w:ascii="Arial" w:hAnsi="Arial" w:cs="Arial"/>
        </w:rPr>
        <w:t xml:space="preserve">Los Gobiernos Locales para la inmatriculación de los </w:t>
      </w:r>
      <w:r>
        <w:rPr>
          <w:rFonts w:ascii="Arial" w:hAnsi="Arial" w:cs="Arial"/>
        </w:rPr>
        <w:t xml:space="preserve">predios </w:t>
      </w:r>
      <w:r w:rsidRPr="007A1D01">
        <w:rPr>
          <w:rFonts w:ascii="Arial" w:hAnsi="Arial" w:cs="Arial"/>
        </w:rPr>
        <w:t>descritos en el artículo 56 de la Ley 27972 – LOM, pueden aplicar de manera supletoria, las reglas contenidas en las etapas de identificación preliminar del predio e inspección técnica y diagnostico final del predio, de conformidad con los numerales 6.2 y 6.3 de la presente Directiva, conforme a lo dispuesto en el artículo 12 del Reglamento de la Ley N° 29151.</w:t>
      </w:r>
    </w:p>
    <w:p w:rsidR="00A85304" w:rsidRPr="007A1D01" w:rsidRDefault="00A85304" w:rsidP="00DF0797">
      <w:pPr>
        <w:spacing w:after="0" w:line="240" w:lineRule="auto"/>
        <w:ind w:left="426"/>
        <w:jc w:val="both"/>
        <w:rPr>
          <w:rFonts w:ascii="Arial" w:eastAsia="Calibri" w:hAnsi="Arial" w:cs="Arial"/>
          <w:b/>
        </w:rPr>
      </w:pPr>
    </w:p>
    <w:p w:rsidR="00A85304" w:rsidRPr="007A1D01" w:rsidRDefault="00A85304" w:rsidP="00DF0797">
      <w:pPr>
        <w:spacing w:after="0" w:line="240" w:lineRule="auto"/>
        <w:ind w:left="425"/>
        <w:jc w:val="both"/>
        <w:rPr>
          <w:rFonts w:ascii="Arial" w:eastAsia="Calibri" w:hAnsi="Arial" w:cs="Arial"/>
          <w:b/>
        </w:rPr>
      </w:pPr>
      <w:r w:rsidRPr="007A1D01">
        <w:rPr>
          <w:rFonts w:ascii="Arial" w:eastAsia="Calibri" w:hAnsi="Arial" w:cs="Arial"/>
          <w:b/>
        </w:rPr>
        <w:t xml:space="preserve">Quinta.- </w:t>
      </w:r>
      <w:r w:rsidRPr="007A1D01">
        <w:rPr>
          <w:rFonts w:ascii="Arial" w:eastAsia="Calibri" w:hAnsi="Arial" w:cs="Arial"/>
          <w:b/>
        </w:rPr>
        <w:tab/>
        <w:t xml:space="preserve">Del procedimiento de redimensionamiento del área inmatriculada </w:t>
      </w:r>
    </w:p>
    <w:p w:rsidR="00A85304" w:rsidRPr="007A1D01" w:rsidRDefault="00A85304" w:rsidP="00DF0797">
      <w:pPr>
        <w:spacing w:after="0" w:line="240" w:lineRule="auto"/>
        <w:ind w:left="425"/>
        <w:jc w:val="both"/>
        <w:rPr>
          <w:rFonts w:ascii="Arial" w:hAnsi="Arial" w:cs="Arial"/>
        </w:rPr>
      </w:pPr>
      <w:r w:rsidRPr="007A1D01">
        <w:rPr>
          <w:rFonts w:ascii="Arial" w:hAnsi="Arial" w:cs="Arial"/>
        </w:rPr>
        <w:t xml:space="preserve">Si luego de inscrito un predio de dominio estatal en el registro de predios en el marco de la Ley Nº 29151 y su Reglamento, se determina que hay superposición parcial con áreas legalmente inscritas, teniendo en cuenta lo dispuesto en el artículo 23 de la citada Ley, se procede al redimensionamiento del área estatal vía el procedimiento de rectificación de áreas, linderos y medidas perimétricas o, si la superposición es total, a dejar sin efecto la resolución. </w:t>
      </w:r>
    </w:p>
    <w:p w:rsidR="00DF0797" w:rsidRDefault="00DF0797" w:rsidP="00DF0797">
      <w:pPr>
        <w:spacing w:after="0" w:line="240" w:lineRule="auto"/>
        <w:ind w:left="425"/>
        <w:jc w:val="both"/>
        <w:rPr>
          <w:rFonts w:ascii="Arial" w:hAnsi="Arial" w:cs="Arial"/>
        </w:rPr>
      </w:pPr>
    </w:p>
    <w:p w:rsidR="00A85304" w:rsidRPr="007A1D01" w:rsidRDefault="00A85304" w:rsidP="00DF0797">
      <w:pPr>
        <w:spacing w:after="0" w:line="240" w:lineRule="auto"/>
        <w:ind w:left="425"/>
        <w:jc w:val="both"/>
        <w:rPr>
          <w:rFonts w:ascii="Arial" w:hAnsi="Arial" w:cs="Arial"/>
        </w:rPr>
      </w:pPr>
      <w:r w:rsidRPr="007A1D01">
        <w:rPr>
          <w:rFonts w:ascii="Arial" w:hAnsi="Arial" w:cs="Arial"/>
        </w:rPr>
        <w:t xml:space="preserve">En caso que existan indicios que el titulo anteriormente inscrito adoleciera de vicios de nulidad o se trate de títulos fraudulentos, se comunica al Procurador Púbico para que inicie las acciones legales correspondientes. </w:t>
      </w:r>
    </w:p>
    <w:p w:rsidR="00DF0797" w:rsidRDefault="00DF0797" w:rsidP="00DF0797">
      <w:pPr>
        <w:spacing w:after="0" w:line="240" w:lineRule="auto"/>
        <w:ind w:left="425"/>
        <w:jc w:val="both"/>
        <w:rPr>
          <w:rFonts w:ascii="Arial" w:hAnsi="Arial" w:cs="Arial"/>
        </w:rPr>
      </w:pPr>
    </w:p>
    <w:p w:rsidR="00A85304" w:rsidRPr="007A1D01" w:rsidRDefault="00A85304" w:rsidP="00DF0797">
      <w:pPr>
        <w:spacing w:after="0" w:line="240" w:lineRule="auto"/>
        <w:ind w:left="425"/>
        <w:jc w:val="both"/>
        <w:rPr>
          <w:rFonts w:ascii="Arial" w:eastAsia="Calibri" w:hAnsi="Arial" w:cs="Arial"/>
        </w:rPr>
      </w:pPr>
      <w:r w:rsidRPr="007A1D01">
        <w:rPr>
          <w:rFonts w:ascii="Arial" w:hAnsi="Arial" w:cs="Arial"/>
        </w:rPr>
        <w:t>En el caso se presente superposición por duplicidad de partidas entre predios del Estado, se procederá conforme a lo establecido por el artículo 6 del Decreto Legislativo N° 1202.</w:t>
      </w:r>
    </w:p>
    <w:p w:rsidR="00A85304" w:rsidRPr="007A1D01" w:rsidRDefault="00A85304" w:rsidP="00DF0797">
      <w:pPr>
        <w:pStyle w:val="Prrafodelista3"/>
        <w:widowControl w:val="0"/>
        <w:tabs>
          <w:tab w:val="left" w:pos="2020"/>
        </w:tabs>
        <w:spacing w:after="0" w:line="240" w:lineRule="auto"/>
        <w:ind w:left="0"/>
        <w:jc w:val="both"/>
        <w:rPr>
          <w:rFonts w:ascii="Arial" w:hAnsi="Arial" w:cs="Arial"/>
          <w:b/>
          <w:lang w:val="es-ES"/>
        </w:rPr>
      </w:pPr>
    </w:p>
    <w:p w:rsidR="00A85304" w:rsidRPr="007A1D01" w:rsidRDefault="00A85304" w:rsidP="0092471C">
      <w:pPr>
        <w:pStyle w:val="Prrafodelista3"/>
        <w:widowControl w:val="0"/>
        <w:numPr>
          <w:ilvl w:val="0"/>
          <w:numId w:val="271"/>
        </w:numPr>
        <w:tabs>
          <w:tab w:val="left" w:pos="2020"/>
        </w:tabs>
        <w:spacing w:after="0" w:line="240" w:lineRule="auto"/>
        <w:ind w:left="567" w:hanging="567"/>
        <w:jc w:val="both"/>
        <w:rPr>
          <w:rFonts w:ascii="Arial" w:hAnsi="Arial" w:cs="Arial"/>
          <w:b/>
          <w:lang w:val="es-ES"/>
        </w:rPr>
      </w:pPr>
      <w:r w:rsidRPr="007A1D01">
        <w:rPr>
          <w:rFonts w:ascii="Arial" w:hAnsi="Arial" w:cs="Arial"/>
          <w:b/>
          <w:lang w:val="es-ES"/>
        </w:rPr>
        <w:t>DISPOSICIÓN TRANSITORIA</w:t>
      </w:r>
    </w:p>
    <w:p w:rsidR="00A85304" w:rsidRPr="007A1D01" w:rsidRDefault="00A85304" w:rsidP="00DF0797">
      <w:pPr>
        <w:spacing w:after="0" w:line="240" w:lineRule="auto"/>
        <w:ind w:left="426"/>
        <w:jc w:val="both"/>
        <w:rPr>
          <w:rFonts w:ascii="Arial" w:eastAsia="Calibri" w:hAnsi="Arial" w:cs="Arial"/>
          <w:b/>
        </w:rPr>
      </w:pPr>
      <w:r w:rsidRPr="007A1D01">
        <w:rPr>
          <w:rFonts w:ascii="Arial" w:eastAsia="Calibri" w:hAnsi="Arial" w:cs="Arial"/>
          <w:b/>
        </w:rPr>
        <w:t>Única.- De los procedimientos iniciados antes de la entrada en vigencia de la presente Directiva</w:t>
      </w:r>
    </w:p>
    <w:p w:rsidR="00A85304" w:rsidRPr="007A1D01" w:rsidRDefault="00A85304" w:rsidP="00DF0797">
      <w:pPr>
        <w:spacing w:after="0" w:line="240" w:lineRule="auto"/>
        <w:ind w:left="426"/>
        <w:jc w:val="both"/>
        <w:rPr>
          <w:rFonts w:ascii="Arial" w:eastAsia="Calibri" w:hAnsi="Arial" w:cs="Arial"/>
        </w:rPr>
      </w:pPr>
      <w:r w:rsidRPr="007A1D01">
        <w:rPr>
          <w:rFonts w:ascii="Arial" w:eastAsia="Calibri" w:hAnsi="Arial" w:cs="Arial"/>
        </w:rPr>
        <w:t>El procedimiento de primera de dominio estatal que se encuentren en trámite, se regirán por la presente Directiva, adecuándose en la fase en que se encuentren.</w:t>
      </w:r>
    </w:p>
    <w:p w:rsidR="00A85304" w:rsidRPr="007A1D01" w:rsidRDefault="00A85304" w:rsidP="00DF0797">
      <w:pPr>
        <w:spacing w:after="0" w:line="240" w:lineRule="auto"/>
        <w:ind w:left="345"/>
        <w:contextualSpacing/>
        <w:jc w:val="both"/>
        <w:rPr>
          <w:rFonts w:ascii="Arial" w:eastAsia="Calibri" w:hAnsi="Arial" w:cs="Arial"/>
          <w:strike/>
        </w:rPr>
      </w:pPr>
    </w:p>
    <w:p w:rsidR="00A85304" w:rsidRPr="007A1D01" w:rsidRDefault="00A85304" w:rsidP="00DF0797">
      <w:pPr>
        <w:spacing w:after="0" w:line="240" w:lineRule="auto"/>
        <w:jc w:val="both"/>
        <w:rPr>
          <w:rFonts w:ascii="Arial" w:hAnsi="Arial" w:cs="Arial"/>
          <w:b/>
          <w:bCs/>
        </w:rPr>
      </w:pPr>
      <w:r>
        <w:rPr>
          <w:rFonts w:ascii="Arial" w:hAnsi="Arial" w:cs="Arial"/>
          <w:b/>
          <w:bCs/>
        </w:rPr>
        <w:t xml:space="preserve">IX. </w:t>
      </w:r>
      <w:r w:rsidR="00DF0797">
        <w:rPr>
          <w:rFonts w:ascii="Arial" w:hAnsi="Arial" w:cs="Arial"/>
          <w:b/>
          <w:bCs/>
        </w:rPr>
        <w:t xml:space="preserve">  </w:t>
      </w:r>
      <w:r>
        <w:rPr>
          <w:rFonts w:ascii="Arial" w:hAnsi="Arial" w:cs="Arial"/>
          <w:b/>
          <w:bCs/>
        </w:rPr>
        <w:t>ANEXO</w:t>
      </w:r>
    </w:p>
    <w:p w:rsidR="00A85304" w:rsidRPr="007A1D01" w:rsidRDefault="00A85304" w:rsidP="00DF0797">
      <w:pPr>
        <w:spacing w:after="0" w:line="240" w:lineRule="auto"/>
        <w:ind w:left="426" w:firstLine="23"/>
        <w:contextualSpacing/>
        <w:rPr>
          <w:rFonts w:ascii="Arial" w:eastAsia="Calibri" w:hAnsi="Arial" w:cs="Arial"/>
          <w:b/>
        </w:rPr>
      </w:pPr>
      <w:r w:rsidRPr="007A1D01">
        <w:rPr>
          <w:rFonts w:ascii="Arial" w:hAnsi="Arial" w:cs="Arial"/>
        </w:rPr>
        <w:t>Forman parte de la presente Directiva el anexo que a continuación se indica.</w:t>
      </w:r>
    </w:p>
    <w:p w:rsidR="00A85304" w:rsidRPr="007A1D01" w:rsidRDefault="00A85304" w:rsidP="00A85304">
      <w:pPr>
        <w:contextualSpacing/>
        <w:rPr>
          <w:rFonts w:ascii="Arial" w:eastAsia="Calibri" w:hAnsi="Arial" w:cs="Arial"/>
          <w:b/>
        </w:rPr>
      </w:pPr>
    </w:p>
    <w:p w:rsidR="00A85304" w:rsidRPr="007A1D01" w:rsidRDefault="00A85304" w:rsidP="00A85304">
      <w:pPr>
        <w:ind w:left="284"/>
        <w:contextualSpacing/>
        <w:jc w:val="center"/>
        <w:rPr>
          <w:rFonts w:ascii="Arial" w:eastAsia="Calibri" w:hAnsi="Arial" w:cs="Arial"/>
          <w:b/>
        </w:rPr>
      </w:pPr>
    </w:p>
    <w:p w:rsidR="00A85304" w:rsidRPr="007A1D01" w:rsidRDefault="00A85304" w:rsidP="00A85304">
      <w:pPr>
        <w:ind w:left="-1157"/>
        <w:contextualSpacing/>
        <w:jc w:val="center"/>
        <w:rPr>
          <w:rFonts w:ascii="Arial" w:eastAsia="Calibri" w:hAnsi="Arial" w:cs="Arial"/>
          <w:b/>
        </w:rPr>
      </w:pPr>
      <w:r w:rsidRPr="007A1D01">
        <w:rPr>
          <w:rFonts w:ascii="Arial" w:eastAsia="Calibri" w:hAnsi="Arial" w:cs="Arial"/>
          <w:b/>
        </w:rPr>
        <w:t>ANEXO</w:t>
      </w:r>
    </w:p>
    <w:p w:rsidR="00A85304" w:rsidRPr="007A1D01" w:rsidRDefault="00A85304" w:rsidP="00A85304">
      <w:pPr>
        <w:ind w:left="-1157"/>
        <w:contextualSpacing/>
        <w:jc w:val="center"/>
        <w:rPr>
          <w:rFonts w:ascii="Arial" w:eastAsia="Calibri" w:hAnsi="Arial" w:cs="Arial"/>
          <w:b/>
        </w:rPr>
      </w:pPr>
      <w:r w:rsidRPr="007A1D01">
        <w:rPr>
          <w:rFonts w:ascii="Arial" w:eastAsia="Calibri" w:hAnsi="Arial" w:cs="Arial"/>
          <w:b/>
        </w:rPr>
        <w:t>ABREVIATURAS</w:t>
      </w:r>
    </w:p>
    <w:p w:rsidR="00A85304" w:rsidRPr="007A1D01" w:rsidRDefault="00A85304" w:rsidP="00A85304">
      <w:pPr>
        <w:contextualSpacing/>
        <w:jc w:val="both"/>
        <w:rPr>
          <w:rFonts w:ascii="Arial" w:eastAsia="Calibri" w:hAnsi="Arial" w:cs="Arial"/>
        </w:rPr>
      </w:pPr>
    </w:p>
    <w:p w:rsidR="00A85304" w:rsidRPr="007A1D01" w:rsidRDefault="00A85304" w:rsidP="00DF0797">
      <w:pPr>
        <w:spacing w:after="0" w:line="240" w:lineRule="auto"/>
        <w:ind w:left="345"/>
        <w:contextualSpacing/>
        <w:jc w:val="both"/>
        <w:rPr>
          <w:rFonts w:ascii="Arial" w:eastAsia="Calibri" w:hAnsi="Arial" w:cs="Arial"/>
        </w:rPr>
      </w:pPr>
      <w:r w:rsidRPr="007A1D01">
        <w:rPr>
          <w:rFonts w:ascii="Arial" w:eastAsia="Calibri" w:hAnsi="Arial" w:cs="Arial"/>
          <w:b/>
        </w:rPr>
        <w:t>DGPE:</w:t>
      </w:r>
      <w:r w:rsidRPr="007A1D01">
        <w:rPr>
          <w:rFonts w:ascii="Arial" w:eastAsia="Calibri" w:hAnsi="Arial" w:cs="Arial"/>
        </w:rPr>
        <w:t xml:space="preserve"> Dirección de Gestión del Patrimonio Estatal.</w:t>
      </w:r>
    </w:p>
    <w:p w:rsidR="00A85304" w:rsidRPr="007A1D01" w:rsidRDefault="00DF0797" w:rsidP="00DF0797">
      <w:pPr>
        <w:spacing w:after="0" w:line="240" w:lineRule="auto"/>
        <w:ind w:left="345"/>
        <w:contextualSpacing/>
        <w:jc w:val="both"/>
        <w:rPr>
          <w:rFonts w:ascii="Arial" w:eastAsia="Calibri" w:hAnsi="Arial" w:cs="Arial"/>
        </w:rPr>
      </w:pPr>
      <w:r>
        <w:rPr>
          <w:rFonts w:ascii="Arial" w:eastAsia="Calibri" w:hAnsi="Arial" w:cs="Arial"/>
          <w:b/>
        </w:rPr>
        <w:t>S</w:t>
      </w:r>
      <w:r w:rsidR="00A85304" w:rsidRPr="007A1D01">
        <w:rPr>
          <w:rFonts w:ascii="Arial" w:eastAsia="Calibri" w:hAnsi="Arial" w:cs="Arial"/>
          <w:b/>
        </w:rPr>
        <w:t>BN:</w:t>
      </w:r>
      <w:r w:rsidR="00A85304" w:rsidRPr="007A1D01">
        <w:rPr>
          <w:rFonts w:ascii="Arial" w:eastAsia="Calibri" w:hAnsi="Arial" w:cs="Arial"/>
        </w:rPr>
        <w:t xml:space="preserve"> Superintendencia Nacional de Bienes Estatales.</w:t>
      </w:r>
    </w:p>
    <w:p w:rsidR="00A85304" w:rsidRPr="007A1D01" w:rsidRDefault="00A85304" w:rsidP="00DF0797">
      <w:pPr>
        <w:spacing w:after="0" w:line="240" w:lineRule="auto"/>
        <w:ind w:left="345"/>
        <w:contextualSpacing/>
        <w:jc w:val="both"/>
        <w:rPr>
          <w:rFonts w:ascii="Arial" w:eastAsia="Calibri" w:hAnsi="Arial" w:cs="Arial"/>
        </w:rPr>
      </w:pPr>
      <w:r w:rsidRPr="007A1D01">
        <w:rPr>
          <w:rFonts w:ascii="Arial" w:eastAsia="Calibri" w:hAnsi="Arial" w:cs="Arial"/>
          <w:b/>
        </w:rPr>
        <w:t xml:space="preserve">SDAPE: </w:t>
      </w:r>
      <w:r w:rsidRPr="007A1D01">
        <w:rPr>
          <w:rFonts w:ascii="Arial" w:eastAsia="Calibri" w:hAnsi="Arial" w:cs="Arial"/>
        </w:rPr>
        <w:t>Subdirección de Administración del Patrimonio Estatal</w:t>
      </w:r>
    </w:p>
    <w:p w:rsidR="00A85304" w:rsidRPr="007A1D01" w:rsidRDefault="00A85304" w:rsidP="00DF0797">
      <w:pPr>
        <w:spacing w:after="0" w:line="240" w:lineRule="auto"/>
        <w:ind w:left="345"/>
        <w:contextualSpacing/>
        <w:jc w:val="both"/>
        <w:rPr>
          <w:rFonts w:ascii="Arial" w:eastAsia="Calibri" w:hAnsi="Arial" w:cs="Arial"/>
        </w:rPr>
      </w:pPr>
      <w:r w:rsidRPr="007A1D01">
        <w:rPr>
          <w:rFonts w:ascii="Arial" w:eastAsia="Calibri" w:hAnsi="Arial" w:cs="Arial"/>
          <w:b/>
        </w:rPr>
        <w:t>SDDI:</w:t>
      </w:r>
      <w:r w:rsidRPr="007A1D01">
        <w:rPr>
          <w:rFonts w:ascii="Arial" w:eastAsia="Calibri" w:hAnsi="Arial" w:cs="Arial"/>
        </w:rPr>
        <w:t xml:space="preserve"> Subdirección de Desarrollo Inmobiliario</w:t>
      </w:r>
    </w:p>
    <w:p w:rsidR="00A85304" w:rsidRPr="007A1D01" w:rsidRDefault="00A85304" w:rsidP="00DF0797">
      <w:pPr>
        <w:spacing w:after="0" w:line="240" w:lineRule="auto"/>
        <w:ind w:left="345"/>
        <w:contextualSpacing/>
        <w:jc w:val="both"/>
        <w:rPr>
          <w:rFonts w:ascii="Arial" w:eastAsia="Calibri" w:hAnsi="Arial" w:cs="Arial"/>
        </w:rPr>
      </w:pPr>
      <w:r w:rsidRPr="007A1D01">
        <w:rPr>
          <w:rFonts w:ascii="Arial" w:eastAsia="Calibri" w:hAnsi="Arial" w:cs="Arial"/>
          <w:b/>
        </w:rPr>
        <w:t>SDRC:</w:t>
      </w:r>
      <w:r w:rsidRPr="007A1D01">
        <w:rPr>
          <w:rFonts w:ascii="Arial" w:eastAsia="Calibri" w:hAnsi="Arial" w:cs="Arial"/>
        </w:rPr>
        <w:t xml:space="preserve"> Subdirección de Registro y Catastro</w:t>
      </w:r>
    </w:p>
    <w:p w:rsidR="00A85304" w:rsidRPr="007A1D01" w:rsidRDefault="00A85304" w:rsidP="00DF0797">
      <w:pPr>
        <w:spacing w:after="0" w:line="240" w:lineRule="auto"/>
        <w:ind w:left="345"/>
        <w:contextualSpacing/>
        <w:jc w:val="both"/>
        <w:rPr>
          <w:rFonts w:ascii="Arial" w:eastAsia="Calibri" w:hAnsi="Arial" w:cs="Arial"/>
        </w:rPr>
      </w:pPr>
      <w:r w:rsidRPr="007A1D01">
        <w:rPr>
          <w:rFonts w:ascii="Arial" w:eastAsia="Calibri" w:hAnsi="Arial" w:cs="Arial"/>
          <w:b/>
        </w:rPr>
        <w:t>SDS:</w:t>
      </w:r>
      <w:r w:rsidRPr="007A1D01">
        <w:rPr>
          <w:rFonts w:ascii="Arial" w:eastAsia="Calibri" w:hAnsi="Arial" w:cs="Arial"/>
        </w:rPr>
        <w:t xml:space="preserve"> Subdirección de Supervisión</w:t>
      </w:r>
    </w:p>
    <w:p w:rsidR="00A85304" w:rsidRPr="007A1D01" w:rsidRDefault="00A85304" w:rsidP="00DF0797">
      <w:pPr>
        <w:spacing w:after="0" w:line="240" w:lineRule="auto"/>
        <w:ind w:left="345"/>
        <w:contextualSpacing/>
        <w:jc w:val="both"/>
        <w:rPr>
          <w:rFonts w:ascii="Arial" w:eastAsia="Calibri" w:hAnsi="Arial" w:cs="Arial"/>
        </w:rPr>
      </w:pPr>
      <w:r w:rsidRPr="007A1D01">
        <w:rPr>
          <w:rFonts w:ascii="Arial" w:eastAsia="Calibri" w:hAnsi="Arial" w:cs="Arial"/>
          <w:b/>
        </w:rPr>
        <w:t xml:space="preserve">SERNANP: </w:t>
      </w:r>
      <w:r w:rsidRPr="007A1D01">
        <w:rPr>
          <w:rFonts w:ascii="Arial" w:eastAsia="Calibri" w:hAnsi="Arial" w:cs="Arial"/>
        </w:rPr>
        <w:t xml:space="preserve">Servicio Nacional de Áreas Naturales Protegidas por el Estado </w:t>
      </w:r>
    </w:p>
    <w:p w:rsidR="00A85304" w:rsidRPr="007A1D01" w:rsidRDefault="00A85304" w:rsidP="00DF0797">
      <w:pPr>
        <w:spacing w:after="0" w:line="240" w:lineRule="auto"/>
        <w:ind w:left="345"/>
        <w:contextualSpacing/>
        <w:jc w:val="both"/>
        <w:rPr>
          <w:rFonts w:ascii="Arial" w:eastAsia="Calibri" w:hAnsi="Arial" w:cs="Arial"/>
        </w:rPr>
      </w:pPr>
      <w:r w:rsidRPr="007A1D01">
        <w:rPr>
          <w:rFonts w:ascii="Arial" w:eastAsia="Calibri" w:hAnsi="Arial" w:cs="Arial"/>
          <w:b/>
        </w:rPr>
        <w:t xml:space="preserve">MINCU: </w:t>
      </w:r>
      <w:r w:rsidRPr="007A1D01">
        <w:rPr>
          <w:rFonts w:ascii="Arial" w:eastAsia="Calibri" w:hAnsi="Arial" w:cs="Arial"/>
        </w:rPr>
        <w:t>Ministerio de Cultura</w:t>
      </w:r>
    </w:p>
    <w:p w:rsidR="00A85304" w:rsidRPr="007A1D01" w:rsidRDefault="00A85304" w:rsidP="00DF0797">
      <w:pPr>
        <w:spacing w:after="0" w:line="240" w:lineRule="auto"/>
        <w:ind w:left="345"/>
        <w:contextualSpacing/>
        <w:jc w:val="both"/>
        <w:rPr>
          <w:rFonts w:ascii="Arial" w:eastAsia="Calibri" w:hAnsi="Arial" w:cs="Arial"/>
          <w:b/>
        </w:rPr>
      </w:pPr>
      <w:r w:rsidRPr="007A1D01">
        <w:rPr>
          <w:rFonts w:ascii="Arial" w:eastAsia="Calibri" w:hAnsi="Arial" w:cs="Arial"/>
          <w:b/>
        </w:rPr>
        <w:t xml:space="preserve">COFOPRI: </w:t>
      </w:r>
      <w:r w:rsidRPr="007A1D01">
        <w:rPr>
          <w:rFonts w:ascii="Arial" w:eastAsia="Calibri" w:hAnsi="Arial" w:cs="Arial"/>
        </w:rPr>
        <w:t>Organismo de Formalización de la Propiedad Informal</w:t>
      </w:r>
    </w:p>
    <w:p w:rsidR="00A85304" w:rsidRPr="007A1D01" w:rsidRDefault="00A85304" w:rsidP="00DF0797">
      <w:pPr>
        <w:spacing w:after="0" w:line="240" w:lineRule="auto"/>
        <w:ind w:left="345"/>
        <w:contextualSpacing/>
        <w:jc w:val="both"/>
        <w:rPr>
          <w:rFonts w:ascii="Arial" w:eastAsia="Calibri" w:hAnsi="Arial" w:cs="Arial"/>
        </w:rPr>
      </w:pPr>
    </w:p>
    <w:p w:rsidR="00A85304" w:rsidRPr="007A1D01" w:rsidRDefault="00A85304" w:rsidP="00DF0797">
      <w:pPr>
        <w:spacing w:after="0" w:line="240" w:lineRule="auto"/>
        <w:ind w:left="345"/>
        <w:contextualSpacing/>
        <w:jc w:val="both"/>
        <w:rPr>
          <w:rFonts w:ascii="Arial" w:eastAsia="Calibri" w:hAnsi="Arial" w:cs="Arial"/>
        </w:rPr>
      </w:pPr>
      <w:r w:rsidRPr="007A1D01">
        <w:rPr>
          <w:rFonts w:ascii="Arial" w:eastAsia="Calibri" w:hAnsi="Arial" w:cs="Arial"/>
          <w:b/>
        </w:rPr>
        <w:t>SINABIP:</w:t>
      </w:r>
      <w:r w:rsidRPr="007A1D01">
        <w:rPr>
          <w:rFonts w:ascii="Arial" w:eastAsia="Calibri" w:hAnsi="Arial" w:cs="Arial"/>
        </w:rPr>
        <w:t xml:space="preserve"> Sistema de Información Nacional de Bienes Estatales.</w:t>
      </w:r>
    </w:p>
    <w:p w:rsidR="00A85304" w:rsidRPr="007A1D01" w:rsidRDefault="00DF0797" w:rsidP="00DF0797">
      <w:pPr>
        <w:spacing w:after="0" w:line="240" w:lineRule="auto"/>
        <w:ind w:left="345"/>
        <w:contextualSpacing/>
        <w:jc w:val="both"/>
        <w:rPr>
          <w:rFonts w:ascii="Arial" w:eastAsia="Calibri" w:hAnsi="Arial" w:cs="Arial"/>
        </w:rPr>
      </w:pPr>
      <w:r>
        <w:rPr>
          <w:rFonts w:ascii="Arial" w:eastAsia="Calibri" w:hAnsi="Arial" w:cs="Arial"/>
          <w:b/>
        </w:rPr>
        <w:t>S</w:t>
      </w:r>
      <w:r w:rsidR="00A85304" w:rsidRPr="007A1D01">
        <w:rPr>
          <w:rFonts w:ascii="Arial" w:eastAsia="Calibri" w:hAnsi="Arial" w:cs="Arial"/>
          <w:b/>
        </w:rPr>
        <w:t xml:space="preserve">NBE: </w:t>
      </w:r>
      <w:r w:rsidR="00A85304" w:rsidRPr="007A1D01">
        <w:rPr>
          <w:rFonts w:ascii="Arial" w:eastAsia="Calibri" w:hAnsi="Arial" w:cs="Arial"/>
        </w:rPr>
        <w:t>Sistema Nacional de Bienes Estatales</w:t>
      </w:r>
    </w:p>
    <w:p w:rsidR="00A85304" w:rsidRPr="007A1D01" w:rsidRDefault="00A85304" w:rsidP="00DF0797">
      <w:pPr>
        <w:spacing w:after="0" w:line="240" w:lineRule="auto"/>
        <w:contextualSpacing/>
        <w:jc w:val="both"/>
        <w:rPr>
          <w:rFonts w:ascii="Arial" w:eastAsia="Calibri" w:hAnsi="Arial" w:cs="Arial"/>
          <w:strike/>
        </w:rPr>
      </w:pPr>
      <w:r w:rsidRPr="007A1D01">
        <w:rPr>
          <w:rFonts w:ascii="Arial" w:eastAsia="Calibri" w:hAnsi="Arial" w:cs="Arial"/>
          <w:b/>
        </w:rPr>
        <w:t xml:space="preserve">     </w:t>
      </w:r>
    </w:p>
    <w:p w:rsidR="00A85304" w:rsidRPr="007A1D01" w:rsidRDefault="00A85304" w:rsidP="00A85304">
      <w:pPr>
        <w:ind w:left="345"/>
        <w:contextualSpacing/>
        <w:jc w:val="both"/>
        <w:rPr>
          <w:rFonts w:ascii="Arial" w:eastAsia="Calibri" w:hAnsi="Arial" w:cs="Arial"/>
          <w:strike/>
        </w:rPr>
      </w:pPr>
    </w:p>
    <w:p w:rsidR="006312E8" w:rsidRDefault="006312E8" w:rsidP="006312E8">
      <w:pPr>
        <w:spacing w:after="0" w:line="240" w:lineRule="auto"/>
        <w:jc w:val="center"/>
        <w:rPr>
          <w:rFonts w:ascii="Arial" w:eastAsia="Calibri" w:hAnsi="Arial" w:cs="Arial"/>
          <w:b/>
          <w:sz w:val="28"/>
          <w:szCs w:val="28"/>
        </w:rPr>
      </w:pPr>
    </w:p>
    <w:p w:rsidR="00DF0797" w:rsidRDefault="00DF0797" w:rsidP="006312E8">
      <w:pPr>
        <w:spacing w:after="0" w:line="240" w:lineRule="auto"/>
        <w:jc w:val="center"/>
        <w:rPr>
          <w:rFonts w:ascii="Arial" w:eastAsia="Calibri" w:hAnsi="Arial" w:cs="Arial"/>
          <w:b/>
          <w:sz w:val="28"/>
          <w:szCs w:val="28"/>
        </w:rPr>
      </w:pPr>
    </w:p>
    <w:p w:rsidR="00DF0797" w:rsidRDefault="00DF0797" w:rsidP="006312E8">
      <w:pPr>
        <w:spacing w:after="0" w:line="240" w:lineRule="auto"/>
        <w:jc w:val="center"/>
        <w:rPr>
          <w:rFonts w:ascii="Arial" w:eastAsia="Calibri" w:hAnsi="Arial" w:cs="Arial"/>
          <w:b/>
          <w:sz w:val="28"/>
          <w:szCs w:val="28"/>
        </w:rPr>
      </w:pPr>
    </w:p>
    <w:p w:rsidR="00DF0797" w:rsidRDefault="00DF0797" w:rsidP="006312E8">
      <w:pPr>
        <w:spacing w:after="0" w:line="240" w:lineRule="auto"/>
        <w:jc w:val="center"/>
        <w:rPr>
          <w:rFonts w:ascii="Arial" w:eastAsia="Calibri" w:hAnsi="Arial" w:cs="Arial"/>
          <w:b/>
          <w:sz w:val="28"/>
          <w:szCs w:val="28"/>
        </w:rPr>
      </w:pPr>
    </w:p>
    <w:p w:rsidR="00DF0797" w:rsidRDefault="00DF0797" w:rsidP="006312E8">
      <w:pPr>
        <w:spacing w:after="0" w:line="240" w:lineRule="auto"/>
        <w:jc w:val="center"/>
        <w:rPr>
          <w:rFonts w:ascii="Arial" w:eastAsia="Calibri" w:hAnsi="Arial" w:cs="Arial"/>
          <w:b/>
          <w:sz w:val="28"/>
          <w:szCs w:val="28"/>
        </w:rPr>
      </w:pPr>
    </w:p>
    <w:p w:rsidR="00DF0797" w:rsidRDefault="00DF0797" w:rsidP="006312E8">
      <w:pPr>
        <w:spacing w:after="0" w:line="240" w:lineRule="auto"/>
        <w:jc w:val="center"/>
        <w:rPr>
          <w:rFonts w:ascii="Arial" w:eastAsia="Calibri" w:hAnsi="Arial" w:cs="Arial"/>
          <w:b/>
          <w:sz w:val="28"/>
          <w:szCs w:val="28"/>
        </w:rPr>
      </w:pPr>
    </w:p>
    <w:p w:rsidR="00DF0797" w:rsidRDefault="00DF0797" w:rsidP="006312E8">
      <w:pPr>
        <w:spacing w:after="0" w:line="240" w:lineRule="auto"/>
        <w:jc w:val="center"/>
        <w:rPr>
          <w:rFonts w:ascii="Arial" w:eastAsia="Calibri" w:hAnsi="Arial" w:cs="Arial"/>
          <w:b/>
          <w:sz w:val="28"/>
          <w:szCs w:val="28"/>
        </w:rPr>
      </w:pPr>
    </w:p>
    <w:p w:rsidR="00DF0797" w:rsidRDefault="00DF0797" w:rsidP="006312E8">
      <w:pPr>
        <w:spacing w:after="0" w:line="240" w:lineRule="auto"/>
        <w:jc w:val="center"/>
        <w:rPr>
          <w:rFonts w:ascii="Arial" w:eastAsia="Calibri" w:hAnsi="Arial" w:cs="Arial"/>
          <w:b/>
          <w:sz w:val="28"/>
          <w:szCs w:val="28"/>
        </w:rPr>
      </w:pPr>
    </w:p>
    <w:p w:rsidR="00DF0797" w:rsidRDefault="00DF0797" w:rsidP="006312E8">
      <w:pPr>
        <w:spacing w:after="0" w:line="240" w:lineRule="auto"/>
        <w:jc w:val="center"/>
        <w:rPr>
          <w:rFonts w:ascii="Arial" w:eastAsia="Calibri" w:hAnsi="Arial" w:cs="Arial"/>
          <w:b/>
          <w:sz w:val="28"/>
          <w:szCs w:val="28"/>
        </w:rPr>
      </w:pPr>
    </w:p>
    <w:p w:rsidR="00DF0797" w:rsidRDefault="00DF0797" w:rsidP="006312E8">
      <w:pPr>
        <w:spacing w:after="0" w:line="240" w:lineRule="auto"/>
        <w:jc w:val="center"/>
        <w:rPr>
          <w:rFonts w:ascii="Arial" w:eastAsia="Calibri" w:hAnsi="Arial" w:cs="Arial"/>
          <w:b/>
          <w:sz w:val="28"/>
          <w:szCs w:val="28"/>
        </w:rPr>
      </w:pPr>
    </w:p>
    <w:p w:rsidR="00DF0797" w:rsidRDefault="00DF0797" w:rsidP="006312E8">
      <w:pPr>
        <w:spacing w:after="0" w:line="240" w:lineRule="auto"/>
        <w:jc w:val="center"/>
        <w:rPr>
          <w:rFonts w:ascii="Arial" w:eastAsia="Calibri" w:hAnsi="Arial" w:cs="Arial"/>
          <w:b/>
          <w:sz w:val="28"/>
          <w:szCs w:val="28"/>
        </w:rPr>
      </w:pPr>
    </w:p>
    <w:p w:rsidR="00DF0797" w:rsidRDefault="00DF0797" w:rsidP="006312E8">
      <w:pPr>
        <w:spacing w:after="0" w:line="240" w:lineRule="auto"/>
        <w:jc w:val="center"/>
        <w:rPr>
          <w:rFonts w:ascii="Arial" w:eastAsia="Calibri" w:hAnsi="Arial" w:cs="Arial"/>
          <w:b/>
          <w:sz w:val="28"/>
          <w:szCs w:val="28"/>
        </w:rPr>
      </w:pPr>
    </w:p>
    <w:p w:rsidR="00DF0797" w:rsidRDefault="00DF0797" w:rsidP="006312E8">
      <w:pPr>
        <w:spacing w:after="0" w:line="240" w:lineRule="auto"/>
        <w:jc w:val="center"/>
        <w:rPr>
          <w:rFonts w:ascii="Arial" w:eastAsia="Calibri" w:hAnsi="Arial" w:cs="Arial"/>
          <w:b/>
          <w:sz w:val="28"/>
          <w:szCs w:val="28"/>
        </w:rPr>
      </w:pPr>
    </w:p>
    <w:p w:rsidR="00DF0797" w:rsidRDefault="00DF0797" w:rsidP="006312E8">
      <w:pPr>
        <w:spacing w:after="0" w:line="240" w:lineRule="auto"/>
        <w:jc w:val="center"/>
        <w:rPr>
          <w:rFonts w:ascii="Arial" w:eastAsia="Calibri" w:hAnsi="Arial" w:cs="Arial"/>
          <w:b/>
          <w:sz w:val="28"/>
          <w:szCs w:val="28"/>
        </w:rPr>
      </w:pPr>
    </w:p>
    <w:p w:rsidR="00DF0797" w:rsidRDefault="00DF0797" w:rsidP="006312E8">
      <w:pPr>
        <w:spacing w:after="0" w:line="240" w:lineRule="auto"/>
        <w:jc w:val="center"/>
        <w:rPr>
          <w:rFonts w:ascii="Arial" w:eastAsia="Calibri" w:hAnsi="Arial" w:cs="Arial"/>
          <w:b/>
          <w:sz w:val="28"/>
          <w:szCs w:val="28"/>
        </w:rPr>
      </w:pPr>
    </w:p>
    <w:p w:rsidR="00DF0797" w:rsidRDefault="00DF0797" w:rsidP="006312E8">
      <w:pPr>
        <w:spacing w:after="0" w:line="240" w:lineRule="auto"/>
        <w:jc w:val="center"/>
        <w:rPr>
          <w:rFonts w:ascii="Arial" w:eastAsia="Calibri" w:hAnsi="Arial" w:cs="Arial"/>
          <w:b/>
          <w:sz w:val="28"/>
          <w:szCs w:val="28"/>
        </w:rPr>
      </w:pPr>
    </w:p>
    <w:p w:rsidR="00DF0797" w:rsidRDefault="00DF0797" w:rsidP="006312E8">
      <w:pPr>
        <w:spacing w:after="0" w:line="240" w:lineRule="auto"/>
        <w:jc w:val="center"/>
        <w:rPr>
          <w:rFonts w:ascii="Arial" w:eastAsia="Calibri" w:hAnsi="Arial" w:cs="Arial"/>
          <w:b/>
          <w:sz w:val="28"/>
          <w:szCs w:val="28"/>
        </w:rPr>
      </w:pPr>
    </w:p>
    <w:p w:rsidR="00DF0797" w:rsidRPr="00A85304" w:rsidRDefault="00DF0797" w:rsidP="006312E8">
      <w:pPr>
        <w:spacing w:after="0" w:line="240" w:lineRule="auto"/>
        <w:jc w:val="center"/>
        <w:rPr>
          <w:rFonts w:ascii="Arial" w:eastAsia="Calibri" w:hAnsi="Arial" w:cs="Arial"/>
          <w:b/>
          <w:sz w:val="28"/>
          <w:szCs w:val="28"/>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r w:rsidRPr="006312E8">
        <w:rPr>
          <w:rFonts w:ascii="Arial" w:eastAsia="Calibri" w:hAnsi="Arial" w:cs="Arial"/>
          <w:b/>
          <w:sz w:val="28"/>
          <w:szCs w:val="28"/>
          <w:lang w:val="es-ES"/>
        </w:rPr>
        <w:t>RESOLUCION Nº 026-2002-SBN</w:t>
      </w:r>
    </w:p>
    <w:p w:rsidR="006312E8" w:rsidRPr="006312E8" w:rsidRDefault="006312E8" w:rsidP="006312E8">
      <w:pPr>
        <w:spacing w:after="0" w:line="240" w:lineRule="auto"/>
        <w:jc w:val="center"/>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Aprueban Directiva “Procedimiento para la donación de los predios del dominio privado del Estado de libre disponibilidad y para la aceptación de la donación de propiedad predial a favor del Estado”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right"/>
        <w:rPr>
          <w:rFonts w:ascii="Arial" w:eastAsia="Calibri" w:hAnsi="Arial" w:cs="Arial"/>
          <w:b/>
          <w:lang w:val="es-ES"/>
        </w:rPr>
      </w:pPr>
      <w:r w:rsidRPr="006312E8">
        <w:rPr>
          <w:rFonts w:ascii="Arial" w:eastAsia="Calibri" w:hAnsi="Arial" w:cs="Arial"/>
          <w:b/>
          <w:lang w:val="es-ES"/>
        </w:rPr>
        <w:t>Fecha de publicación: 05-09-2002</w:t>
      </w:r>
    </w:p>
    <w:p w:rsidR="006312E8" w:rsidRPr="006312E8" w:rsidRDefault="006312E8" w:rsidP="006312E8">
      <w:pPr>
        <w:spacing w:after="0" w:line="240" w:lineRule="auto"/>
        <w:jc w:val="right"/>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NOTA: de conformidad con el Artículo 5 de la Resolución Nº 040-2013-SBN, publicada el 15 junio 2013, se dejan sin efecto los formatos de Informe Técnico Legal para actos de gestión sobre bienes inmuebles de propiedad estatal, contenidos en la Directiva Nº 006-2002-SBN, aprobada por la presente Resolución, los cuales quedan sustituidos por el “Formato Único de Informe Técnico Legal” aprobado por el artículo 1 de la citada Resolución.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La Molina, 25 de julio de 2002</w:t>
      </w: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CONSIDERANDO: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la Superintendencia de Bienes Nacionales, en adelante la SBN, es el organismo público descentralizado, adscrito al Ministerio de Economía y Finanzas en mérito de lo dispuesto por la Ley Nº 27395, encargado del registro, control y administración del patrimonio estatal, cuya finalidad es promover el aprovechamiento económico de los bienes del Estado a través de un eficiente sistema de administración de los mismos;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el literal e) del artículo 7 del Decreto Supremo Nº 131-2001-EF, establece como una de las funciones y atribuciones de la SBN, la de dictar y aprobar las directivas aplicables para la administración, adquisición y disposición de los bienes de propiedad estatal a cargo de la SBN;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los artículos 55 al 59 del Decreto Supremo Nº 154-2001-EF, regulan la donación de los predios del Estado y la correspondiente aceptación de las donaciones a favor del Estado;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en consecuencia, resulta necesario aprobar la Directiva que regule el procedimiento de la donación de los bienes de las entidades públicas y la donación de los bienes administrados por la Superintendencia de Bienes Nacionales, así como la aceptación de las donaciones a favor del Estado representado por la SBN y las que se realicen a cualquier otra entidad pública;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Con las visaciones de la Gerencia General, de la Gerencia de Operaciones y de la Gerencia Legal;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De conformidad con el Decreto Ley Nº 25556, el Decreto Ley Nº 25554, el Decreto de Urgencia Nº 071-2001, el Decreto Supremo Nº  131-2001-EF, el Decreto Supremo Nº 154-2001-EF y la Resolución Nº  315-2001/SBN;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SE RESUELVE:</w:t>
      </w: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b/>
          <w:lang w:val="es-ES"/>
        </w:rPr>
        <w:t>Artículo Único.-</w:t>
      </w:r>
      <w:r w:rsidRPr="006312E8">
        <w:rPr>
          <w:rFonts w:ascii="Arial" w:eastAsia="Calibri" w:hAnsi="Arial" w:cs="Arial"/>
          <w:lang w:val="es-ES"/>
        </w:rPr>
        <w:t xml:space="preserve"> Aprobar la Directiva Nº 006-2002/SBN, que regula el “Procedimiento para la donación de los predios del dominio privado del Estado de libre disponibilidad y para la aceptación de la donación de propiedad predial a favor del Estado”, que forma parte integrante de la presente Resolución.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Regístrese, comuníquese y publíquese.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AÍDA AMEZAGA MENÉNDEZ</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b/>
          <w:lang w:val="es-ES"/>
        </w:rPr>
        <w:tab/>
      </w:r>
      <w:r w:rsidRPr="006312E8">
        <w:rPr>
          <w:rFonts w:ascii="Arial" w:eastAsia="Calibri" w:hAnsi="Arial" w:cs="Arial"/>
          <w:lang w:val="es-ES"/>
        </w:rPr>
        <w:t>Superintendente de Bienes Nacionales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E104C8">
      <w:pPr>
        <w:pStyle w:val="TITO2"/>
      </w:pPr>
      <w:bookmarkStart w:id="233" w:name="_Toc392856208"/>
      <w:bookmarkStart w:id="234" w:name="_Toc399335483"/>
      <w:bookmarkStart w:id="235" w:name="_Toc421025431"/>
      <w:bookmarkStart w:id="236" w:name="_Toc470855533"/>
      <w:bookmarkStart w:id="237" w:name="D0062002"/>
      <w:r w:rsidRPr="006312E8">
        <w:t>DIRECTIVA Nº 006-2002/SBN</w:t>
      </w:r>
      <w:bookmarkEnd w:id="233"/>
      <w:bookmarkEnd w:id="234"/>
      <w:bookmarkEnd w:id="235"/>
      <w:bookmarkEnd w:id="236"/>
    </w:p>
    <w:bookmarkEnd w:id="237"/>
    <w:p w:rsidR="006312E8" w:rsidRPr="006312E8" w:rsidRDefault="006312E8" w:rsidP="006312E8">
      <w:pPr>
        <w:spacing w:after="0" w:line="240" w:lineRule="auto"/>
        <w:jc w:val="center"/>
        <w:rPr>
          <w:rFonts w:ascii="Arial" w:eastAsia="Calibri" w:hAnsi="Arial" w:cs="Arial"/>
          <w:b/>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PROCEDIMIENTO PARA LA DONACION DE PREDIOS DEL DOMINIO PRIVADO DEL ESTADO DE LIBRE DISPONIBILIDAD Y PARA LA ACEPTACION DE LA DONACION DE PROPIEDAD PREDIAL A FAVOR DEL ESTADO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1. </w:t>
      </w:r>
      <w:r w:rsidRPr="006312E8">
        <w:rPr>
          <w:rFonts w:ascii="Arial" w:eastAsia="Calibri" w:hAnsi="Arial" w:cs="Arial"/>
          <w:b/>
          <w:u w:val="single"/>
          <w:lang w:val="es-ES"/>
        </w:rPr>
        <w:t>ASPECTOS GENERALES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84"/>
        <w:jc w:val="both"/>
        <w:rPr>
          <w:rFonts w:ascii="Arial" w:eastAsia="Calibri" w:hAnsi="Arial" w:cs="Arial"/>
          <w:b/>
          <w:lang w:val="es-ES"/>
        </w:rPr>
      </w:pPr>
      <w:r w:rsidRPr="006312E8">
        <w:rPr>
          <w:rFonts w:ascii="Arial" w:eastAsia="Calibri" w:hAnsi="Arial" w:cs="Arial"/>
          <w:b/>
          <w:lang w:val="es-ES"/>
        </w:rPr>
        <w:t>1.1 Finalidad</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La presente Directiva tiene por finalidad:</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DF0797">
      <w:pPr>
        <w:numPr>
          <w:ilvl w:val="0"/>
          <w:numId w:val="110"/>
        </w:numPr>
        <w:spacing w:after="0" w:line="240" w:lineRule="auto"/>
        <w:contextualSpacing/>
        <w:jc w:val="both"/>
        <w:rPr>
          <w:rFonts w:ascii="Arial" w:eastAsia="Calibri" w:hAnsi="Arial" w:cs="Arial"/>
          <w:lang w:val="es-ES"/>
        </w:rPr>
      </w:pPr>
      <w:r w:rsidRPr="006312E8">
        <w:rPr>
          <w:rFonts w:ascii="Arial" w:eastAsia="Calibri" w:hAnsi="Arial" w:cs="Arial"/>
          <w:lang w:val="es-ES"/>
        </w:rPr>
        <w:t>Establecer el procedimiento para la emisión de la opinión favorable para la donación de predios del Estado debidamente representado por la Superintendencia de Bienes Nacionales, en adelante la SBN, así como para la donación de predios de las Entidades Públicas en general.</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DF0797">
      <w:pPr>
        <w:numPr>
          <w:ilvl w:val="0"/>
          <w:numId w:val="110"/>
        </w:numPr>
        <w:spacing w:after="0" w:line="240" w:lineRule="auto"/>
        <w:contextualSpacing/>
        <w:jc w:val="both"/>
        <w:rPr>
          <w:rFonts w:ascii="Arial" w:eastAsia="Calibri" w:hAnsi="Arial" w:cs="Arial"/>
          <w:lang w:val="es-ES"/>
        </w:rPr>
      </w:pPr>
      <w:r w:rsidRPr="006312E8">
        <w:rPr>
          <w:rFonts w:ascii="Arial" w:eastAsia="Calibri" w:hAnsi="Arial" w:cs="Arial"/>
          <w:lang w:val="es-ES"/>
        </w:rPr>
        <w:t>Establecer los mecanismos de aceptación de la donación de predios de propiedad de personas naturales o jurídicas a favor del Estado, debidamente representado por la Superintendencia de Bienes Nacionales o directamente a favor de cualquier entidad estatal.</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DF0797">
      <w:pPr>
        <w:numPr>
          <w:ilvl w:val="0"/>
          <w:numId w:val="110"/>
        </w:numPr>
        <w:spacing w:after="0" w:line="240" w:lineRule="auto"/>
        <w:contextualSpacing/>
        <w:jc w:val="both"/>
        <w:rPr>
          <w:rFonts w:ascii="Arial" w:eastAsia="Calibri" w:hAnsi="Arial" w:cs="Arial"/>
          <w:lang w:val="es-ES"/>
        </w:rPr>
      </w:pPr>
      <w:r w:rsidRPr="006312E8">
        <w:rPr>
          <w:rFonts w:ascii="Arial" w:eastAsia="Calibri" w:hAnsi="Arial" w:cs="Arial"/>
          <w:lang w:val="es-ES"/>
        </w:rPr>
        <w:t>Establecer los mecanismos de entrega y recepción de los predios donados.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84"/>
        <w:jc w:val="both"/>
        <w:rPr>
          <w:rFonts w:ascii="Arial" w:eastAsia="Calibri" w:hAnsi="Arial" w:cs="Arial"/>
          <w:b/>
          <w:lang w:val="es-ES"/>
        </w:rPr>
      </w:pPr>
      <w:r w:rsidRPr="006312E8">
        <w:rPr>
          <w:rFonts w:ascii="Arial" w:eastAsia="Calibri" w:hAnsi="Arial" w:cs="Arial"/>
          <w:b/>
          <w:lang w:val="es-ES"/>
        </w:rPr>
        <w:t>1.2. Base Legal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DF0797">
      <w:pPr>
        <w:numPr>
          <w:ilvl w:val="0"/>
          <w:numId w:val="111"/>
        </w:numPr>
        <w:spacing w:after="0" w:line="240" w:lineRule="auto"/>
        <w:ind w:left="1134"/>
        <w:contextualSpacing/>
        <w:jc w:val="both"/>
        <w:rPr>
          <w:rFonts w:ascii="Arial" w:eastAsia="Calibri" w:hAnsi="Arial" w:cs="Arial"/>
          <w:lang w:val="es-ES"/>
        </w:rPr>
      </w:pPr>
      <w:r w:rsidRPr="006312E8">
        <w:rPr>
          <w:rFonts w:ascii="Arial" w:eastAsia="Calibri" w:hAnsi="Arial" w:cs="Arial"/>
          <w:lang w:val="es-ES"/>
        </w:rPr>
        <w:t>La Cuarta Disposición Transitoria y Final del Decreto Nº 25556, modificado por el Decreto Ley Nº 25738, Ley de Creación de la Superintendencia de Bienes Nacionales.</w:t>
      </w:r>
    </w:p>
    <w:p w:rsidR="006312E8" w:rsidRPr="006312E8" w:rsidRDefault="006312E8" w:rsidP="006312E8">
      <w:pPr>
        <w:spacing w:after="0" w:line="240" w:lineRule="auto"/>
        <w:ind w:left="1134"/>
        <w:jc w:val="both"/>
        <w:rPr>
          <w:rFonts w:ascii="Arial" w:eastAsia="Calibri" w:hAnsi="Arial" w:cs="Arial"/>
          <w:lang w:val="es-ES"/>
        </w:rPr>
      </w:pPr>
    </w:p>
    <w:p w:rsidR="006312E8" w:rsidRPr="006312E8" w:rsidRDefault="006312E8" w:rsidP="00DF0797">
      <w:pPr>
        <w:numPr>
          <w:ilvl w:val="0"/>
          <w:numId w:val="111"/>
        </w:numPr>
        <w:spacing w:after="0" w:line="240" w:lineRule="auto"/>
        <w:ind w:left="1134"/>
        <w:contextualSpacing/>
        <w:jc w:val="both"/>
        <w:rPr>
          <w:rFonts w:ascii="Arial" w:eastAsia="Calibri" w:hAnsi="Arial" w:cs="Arial"/>
          <w:lang w:val="es-ES"/>
        </w:rPr>
      </w:pPr>
      <w:r w:rsidRPr="006312E8">
        <w:rPr>
          <w:rFonts w:ascii="Arial" w:eastAsia="Calibri" w:hAnsi="Arial" w:cs="Arial"/>
          <w:lang w:val="es-ES"/>
        </w:rPr>
        <w:t>La Ley Nº 27395, que adscribe la SBN al Ministerio de Economía y Finanzas.</w:t>
      </w:r>
    </w:p>
    <w:p w:rsidR="006312E8" w:rsidRPr="006312E8" w:rsidRDefault="006312E8" w:rsidP="006312E8">
      <w:pPr>
        <w:spacing w:after="0" w:line="240" w:lineRule="auto"/>
        <w:ind w:left="1134"/>
        <w:jc w:val="both"/>
        <w:rPr>
          <w:rFonts w:ascii="Arial" w:eastAsia="Calibri" w:hAnsi="Arial" w:cs="Arial"/>
          <w:lang w:val="es-ES"/>
        </w:rPr>
      </w:pPr>
    </w:p>
    <w:p w:rsidR="006312E8" w:rsidRPr="006312E8" w:rsidRDefault="006312E8" w:rsidP="00DF0797">
      <w:pPr>
        <w:numPr>
          <w:ilvl w:val="0"/>
          <w:numId w:val="111"/>
        </w:numPr>
        <w:spacing w:after="0" w:line="240" w:lineRule="auto"/>
        <w:ind w:left="1134"/>
        <w:contextualSpacing/>
        <w:jc w:val="both"/>
        <w:rPr>
          <w:rFonts w:ascii="Arial" w:eastAsia="Calibri" w:hAnsi="Arial" w:cs="Arial"/>
          <w:lang w:val="es-ES"/>
        </w:rPr>
      </w:pPr>
      <w:r w:rsidRPr="006312E8">
        <w:rPr>
          <w:rFonts w:ascii="Arial" w:eastAsia="Calibri" w:hAnsi="Arial" w:cs="Arial"/>
          <w:lang w:val="es-ES"/>
        </w:rPr>
        <w:t>El artículo 1 del Decreto Ley Nº 25554, modificado por el artículo 2 del Decreto de Urgencia Nº 071-2001, por el que se dispone que los actos de administración, adquisición y disposición de propiedad estatal, serán aprobados mediante Resolución de la SBN.</w:t>
      </w:r>
    </w:p>
    <w:p w:rsidR="006312E8" w:rsidRPr="006312E8" w:rsidRDefault="006312E8" w:rsidP="006312E8">
      <w:pPr>
        <w:spacing w:after="0" w:line="240" w:lineRule="auto"/>
        <w:ind w:left="1134"/>
        <w:jc w:val="both"/>
        <w:rPr>
          <w:rFonts w:ascii="Arial" w:eastAsia="Calibri" w:hAnsi="Arial" w:cs="Arial"/>
          <w:lang w:val="es-ES"/>
        </w:rPr>
      </w:pPr>
    </w:p>
    <w:p w:rsidR="006312E8" w:rsidRPr="006312E8" w:rsidRDefault="006312E8" w:rsidP="00DF0797">
      <w:pPr>
        <w:numPr>
          <w:ilvl w:val="0"/>
          <w:numId w:val="111"/>
        </w:numPr>
        <w:spacing w:after="0" w:line="240" w:lineRule="auto"/>
        <w:ind w:left="1134"/>
        <w:contextualSpacing/>
        <w:jc w:val="both"/>
        <w:rPr>
          <w:rFonts w:ascii="Arial" w:eastAsia="Calibri" w:hAnsi="Arial" w:cs="Arial"/>
          <w:lang w:val="es-ES"/>
        </w:rPr>
      </w:pPr>
      <w:r w:rsidRPr="006312E8">
        <w:rPr>
          <w:rFonts w:ascii="Arial" w:eastAsia="Calibri" w:hAnsi="Arial" w:cs="Arial"/>
          <w:lang w:val="es-ES"/>
        </w:rPr>
        <w:t>El literal e) del artículo 7 del Decreto Supremo Nº 131-2001-EF, que aprueba el Estatuto de la SBN, en el que se señala entre las funciones de ésta, la de aprobar las Directivas aplicables para la administración, adquisición y disposición de los bienes de propiedad estatal a cargo de la SBN.</w:t>
      </w:r>
    </w:p>
    <w:p w:rsidR="006312E8" w:rsidRPr="006312E8" w:rsidRDefault="006312E8" w:rsidP="006312E8">
      <w:pPr>
        <w:spacing w:after="0" w:line="240" w:lineRule="auto"/>
        <w:ind w:left="1134"/>
        <w:jc w:val="both"/>
        <w:rPr>
          <w:rFonts w:ascii="Arial" w:eastAsia="Calibri" w:hAnsi="Arial" w:cs="Arial"/>
          <w:lang w:val="es-ES"/>
        </w:rPr>
      </w:pPr>
    </w:p>
    <w:p w:rsidR="006312E8" w:rsidRPr="006312E8" w:rsidRDefault="006312E8" w:rsidP="00DF0797">
      <w:pPr>
        <w:numPr>
          <w:ilvl w:val="0"/>
          <w:numId w:val="111"/>
        </w:numPr>
        <w:spacing w:after="0" w:line="240" w:lineRule="auto"/>
        <w:ind w:left="1134"/>
        <w:contextualSpacing/>
        <w:jc w:val="both"/>
        <w:rPr>
          <w:rFonts w:ascii="Arial" w:eastAsia="Calibri" w:hAnsi="Arial" w:cs="Arial"/>
          <w:lang w:val="es-ES"/>
        </w:rPr>
      </w:pPr>
      <w:r w:rsidRPr="006312E8">
        <w:rPr>
          <w:rFonts w:ascii="Arial" w:eastAsia="Calibri" w:hAnsi="Arial" w:cs="Arial"/>
          <w:lang w:val="es-ES"/>
        </w:rPr>
        <w:t>Los artículos 16 y 56 al 59 del Decreto Supremo Nº 154-2001-EF, que aprueba el Reglamento General de Procedimientos Administrativos de los Bienes de Propiedad Estatal, correspondiente a la Donación Predial.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84"/>
        <w:jc w:val="both"/>
        <w:rPr>
          <w:rFonts w:ascii="Arial" w:eastAsia="Calibri" w:hAnsi="Arial" w:cs="Arial"/>
          <w:b/>
          <w:lang w:val="es-ES"/>
        </w:rPr>
      </w:pPr>
      <w:r w:rsidRPr="006312E8">
        <w:rPr>
          <w:rFonts w:ascii="Arial" w:eastAsia="Calibri" w:hAnsi="Arial" w:cs="Arial"/>
          <w:b/>
          <w:lang w:val="es-ES"/>
        </w:rPr>
        <w:t>1.3. Alcance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709"/>
        <w:jc w:val="both"/>
        <w:rPr>
          <w:rFonts w:ascii="Arial" w:eastAsia="Calibri" w:hAnsi="Arial" w:cs="Arial"/>
          <w:lang w:val="es-ES"/>
        </w:rPr>
      </w:pPr>
      <w:r w:rsidRPr="006312E8">
        <w:rPr>
          <w:rFonts w:ascii="Arial" w:eastAsia="Calibri" w:hAnsi="Arial" w:cs="Arial"/>
          <w:lang w:val="es-ES"/>
        </w:rPr>
        <w:t>La presente Directiva tiene alcance nacional y es de cumplimiento obligatorio por todas las entidades públicas.</w:t>
      </w:r>
    </w:p>
    <w:p w:rsidR="006312E8" w:rsidRPr="006312E8" w:rsidRDefault="006312E8" w:rsidP="006312E8">
      <w:pPr>
        <w:spacing w:after="0" w:line="240" w:lineRule="auto"/>
        <w:ind w:left="709"/>
        <w:jc w:val="both"/>
        <w:rPr>
          <w:rFonts w:ascii="Arial" w:eastAsia="Calibri" w:hAnsi="Arial" w:cs="Arial"/>
          <w:lang w:val="es-ES"/>
        </w:rPr>
      </w:pPr>
    </w:p>
    <w:p w:rsidR="006312E8" w:rsidRPr="006312E8" w:rsidRDefault="006312E8" w:rsidP="006312E8">
      <w:pPr>
        <w:spacing w:after="0" w:line="240" w:lineRule="auto"/>
        <w:ind w:left="709"/>
        <w:jc w:val="both"/>
        <w:rPr>
          <w:rFonts w:ascii="Arial" w:eastAsia="Calibri" w:hAnsi="Arial" w:cs="Arial"/>
          <w:lang w:val="es-ES"/>
        </w:rPr>
      </w:pPr>
      <w:r w:rsidRPr="006312E8">
        <w:rPr>
          <w:rFonts w:ascii="Arial" w:eastAsia="Calibri" w:hAnsi="Arial" w:cs="Arial"/>
          <w:lang w:val="es-ES"/>
        </w:rPr>
        <w:t>No están comprendidos en el párrafo anterior, los predios de las entidades públicas que cuenten con un régimen legal especial en la materia.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84"/>
        <w:jc w:val="both"/>
        <w:rPr>
          <w:rFonts w:ascii="Arial" w:eastAsia="Calibri" w:hAnsi="Arial" w:cs="Arial"/>
          <w:b/>
          <w:lang w:val="es-ES"/>
        </w:rPr>
      </w:pPr>
      <w:r w:rsidRPr="006312E8">
        <w:rPr>
          <w:rFonts w:ascii="Arial" w:eastAsia="Calibri" w:hAnsi="Arial" w:cs="Arial"/>
          <w:b/>
          <w:lang w:val="es-ES"/>
        </w:rPr>
        <w:t>1.4. Disposiciones Generales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1.4.1 </w:t>
      </w:r>
      <w:r w:rsidRPr="006312E8">
        <w:rPr>
          <w:rFonts w:ascii="Arial" w:eastAsia="Calibri" w:hAnsi="Arial" w:cs="Arial"/>
          <w:lang w:val="es-ES"/>
        </w:rPr>
        <w:tab/>
        <w:t>La potestad decisoria de impulsar el trámite de donación queda reservada, según sea el caso, a la entidad propietaria y a la SBN, respecto de los predios de dominio privado del Estado de libre disponibilidad que se encuentren bajo su respectiva administración. Este mismo criterio será de aplicación al trámite de aceptación de donación, en lo que sea pertinente.</w:t>
      </w:r>
    </w:p>
    <w:p w:rsidR="006312E8" w:rsidRPr="006312E8" w:rsidRDefault="006312E8" w:rsidP="006312E8">
      <w:pPr>
        <w:spacing w:after="0" w:line="240" w:lineRule="auto"/>
        <w:ind w:left="1418" w:hanging="709"/>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1.4.2 </w:t>
      </w:r>
      <w:r w:rsidRPr="006312E8">
        <w:rPr>
          <w:rFonts w:ascii="Arial" w:eastAsia="Calibri" w:hAnsi="Arial" w:cs="Arial"/>
          <w:lang w:val="es-ES"/>
        </w:rPr>
        <w:tab/>
        <w:t>En el mismo procedimiento, se sustentará la desafectación administrativa del bien inmueble, a fin de incorporarlo al dominio privado, cuando corresponda.</w:t>
      </w:r>
    </w:p>
    <w:p w:rsidR="006312E8" w:rsidRPr="006312E8" w:rsidRDefault="006312E8" w:rsidP="006312E8">
      <w:pPr>
        <w:spacing w:after="0" w:line="240" w:lineRule="auto"/>
        <w:ind w:left="1418" w:hanging="709"/>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1.4.3 </w:t>
      </w:r>
      <w:r w:rsidRPr="006312E8">
        <w:rPr>
          <w:rFonts w:ascii="Arial" w:eastAsia="Calibri" w:hAnsi="Arial" w:cs="Arial"/>
          <w:lang w:val="es-ES"/>
        </w:rPr>
        <w:tab/>
        <w:t>Las donaciones de propiedad estatal se realizan respecto de predios inmatriculados, debidamente saneados física y legalmente.</w:t>
      </w:r>
    </w:p>
    <w:p w:rsidR="006312E8" w:rsidRPr="006312E8" w:rsidRDefault="006312E8" w:rsidP="006312E8">
      <w:pPr>
        <w:spacing w:after="0" w:line="240" w:lineRule="auto"/>
        <w:ind w:left="1418" w:hanging="709"/>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1.4.4 </w:t>
      </w:r>
      <w:r w:rsidRPr="006312E8">
        <w:rPr>
          <w:rFonts w:ascii="Arial" w:eastAsia="Calibri" w:hAnsi="Arial" w:cs="Arial"/>
          <w:lang w:val="es-ES"/>
        </w:rPr>
        <w:tab/>
        <w:t>La donación de la propiedad del Estado y la aceptación de donación predial a favor de Estado, se rigen por las normas contenidas en la presente Directiva, así como en lo dispuesto por el Código Civil.</w:t>
      </w:r>
    </w:p>
    <w:p w:rsidR="006312E8" w:rsidRPr="006312E8" w:rsidRDefault="006312E8" w:rsidP="006312E8">
      <w:pPr>
        <w:spacing w:after="0" w:line="240" w:lineRule="auto"/>
        <w:ind w:left="1418" w:hanging="709"/>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1.4.5 </w:t>
      </w:r>
      <w:r w:rsidRPr="006312E8">
        <w:rPr>
          <w:rFonts w:ascii="Arial" w:eastAsia="Calibri" w:hAnsi="Arial" w:cs="Arial"/>
          <w:lang w:val="es-ES"/>
        </w:rPr>
        <w:tab/>
        <w:t>La solicitud de donación, la Memoria Descriptiva y el Informe Técnico Legal, deben ser elaborados según los formatos que se aprueban con la presente Directiva (Anexo 1, Anexo 2 y Anexo 3, respectivamente).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2. </w:t>
      </w:r>
      <w:r w:rsidRPr="006312E8">
        <w:rPr>
          <w:rFonts w:ascii="Arial" w:eastAsia="Calibri" w:hAnsi="Arial" w:cs="Arial"/>
          <w:b/>
          <w:u w:val="single"/>
          <w:lang w:val="es-ES"/>
        </w:rPr>
        <w:t>DE LA DONACION PREDIAL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84"/>
        <w:jc w:val="both"/>
        <w:rPr>
          <w:rFonts w:ascii="Arial" w:eastAsia="Calibri" w:hAnsi="Arial" w:cs="Arial"/>
          <w:b/>
          <w:lang w:val="es-ES"/>
        </w:rPr>
      </w:pPr>
      <w:r w:rsidRPr="006312E8">
        <w:rPr>
          <w:rFonts w:ascii="Arial" w:eastAsia="Calibri" w:hAnsi="Arial" w:cs="Arial"/>
          <w:b/>
          <w:lang w:val="es-ES"/>
        </w:rPr>
        <w:t>2.1 Disposiciones Específicas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2.1.1 </w:t>
      </w:r>
      <w:r w:rsidRPr="006312E8">
        <w:rPr>
          <w:rFonts w:ascii="Arial" w:eastAsia="Calibri" w:hAnsi="Arial" w:cs="Arial"/>
          <w:lang w:val="es-ES"/>
        </w:rPr>
        <w:tab/>
        <w:t>Por la donación, el Estado conviene en transferir gratuitamente la propiedad de un bien a favor de personas naturales o jurídicas, que coadyuven al fin social del Estado y que sea de interés nacional.</w:t>
      </w:r>
    </w:p>
    <w:p w:rsidR="006312E8" w:rsidRPr="006312E8" w:rsidRDefault="006312E8" w:rsidP="006312E8">
      <w:pPr>
        <w:spacing w:after="0" w:line="240" w:lineRule="auto"/>
        <w:ind w:left="1418" w:hanging="709"/>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2.1.2 </w:t>
      </w:r>
      <w:r w:rsidRPr="006312E8">
        <w:rPr>
          <w:rFonts w:ascii="Arial" w:eastAsia="Calibri" w:hAnsi="Arial" w:cs="Arial"/>
          <w:lang w:val="es-ES"/>
        </w:rPr>
        <w:tab/>
        <w:t>El predio materia de donación deberá ser plenamente identificado debiendo estar inscrito en los Registros Públicos.</w:t>
      </w:r>
    </w:p>
    <w:p w:rsidR="006312E8" w:rsidRPr="006312E8" w:rsidRDefault="006312E8" w:rsidP="006312E8">
      <w:pPr>
        <w:spacing w:after="0" w:line="240" w:lineRule="auto"/>
        <w:ind w:left="1418" w:hanging="709"/>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2.1.3 </w:t>
      </w:r>
      <w:r w:rsidRPr="006312E8">
        <w:rPr>
          <w:rFonts w:ascii="Arial" w:eastAsia="Calibri" w:hAnsi="Arial" w:cs="Arial"/>
          <w:lang w:val="es-ES"/>
        </w:rPr>
        <w:tab/>
        <w:t>Los gastos que irrogue la formalización de la donación serán de cuenta del donatario.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84"/>
        <w:jc w:val="both"/>
        <w:rPr>
          <w:rFonts w:ascii="Arial" w:eastAsia="Calibri" w:hAnsi="Arial" w:cs="Arial"/>
          <w:b/>
          <w:lang w:val="es-ES"/>
        </w:rPr>
      </w:pPr>
      <w:r w:rsidRPr="006312E8">
        <w:rPr>
          <w:rFonts w:ascii="Arial" w:eastAsia="Calibri" w:hAnsi="Arial" w:cs="Arial"/>
          <w:b/>
          <w:lang w:val="es-ES"/>
        </w:rPr>
        <w:t>2.2 Procedimiento</w:t>
      </w: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2.2.1 </w:t>
      </w:r>
      <w:r w:rsidRPr="006312E8">
        <w:rPr>
          <w:rFonts w:ascii="Arial" w:eastAsia="Calibri" w:hAnsi="Arial" w:cs="Arial"/>
          <w:lang w:val="es-ES"/>
        </w:rPr>
        <w:tab/>
        <w:t>La solicitud de donación se presentará ante la entidad pública a cuyo favor se encuentre inscrito el predio, de acuerdo con el Formato aprobado con el Anexo 1.</w:t>
      </w:r>
    </w:p>
    <w:p w:rsidR="006312E8" w:rsidRPr="006312E8" w:rsidRDefault="006312E8" w:rsidP="006312E8">
      <w:pPr>
        <w:spacing w:after="0" w:line="240" w:lineRule="auto"/>
        <w:ind w:left="1418" w:hanging="709"/>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2.2.2 </w:t>
      </w:r>
      <w:r w:rsidRPr="006312E8">
        <w:rPr>
          <w:rFonts w:ascii="Arial" w:eastAsia="Calibri" w:hAnsi="Arial" w:cs="Arial"/>
          <w:lang w:val="es-ES"/>
        </w:rPr>
        <w:tab/>
        <w:t>Están legitimados para presentar solicitudes de donación: (i) Las personas naturales, personas jurídicas de derecho público no estatal; y, (iii) Las personas jurídicas de derecho privado.</w:t>
      </w:r>
    </w:p>
    <w:p w:rsidR="006312E8" w:rsidRPr="006312E8" w:rsidRDefault="006312E8" w:rsidP="006312E8">
      <w:pPr>
        <w:spacing w:after="0" w:line="240" w:lineRule="auto"/>
        <w:ind w:left="1418" w:hanging="709"/>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2.2.3 </w:t>
      </w:r>
      <w:r w:rsidRPr="006312E8">
        <w:rPr>
          <w:rFonts w:ascii="Arial" w:eastAsia="Calibri" w:hAnsi="Arial" w:cs="Arial"/>
          <w:lang w:val="es-ES"/>
        </w:rPr>
        <w:tab/>
        <w:t>Recibida la solicitud, la entidad propietaria deberá evaluarla y calificarla. En el caso que la calificación sea positiva, se comunicará al peticionante la admisión a trámite de su solicitud y se solicitará a la SBN la emisión de la opinión correspondiente. Si la calificación es negativa, se comunicará la denegatoria al peticionante, archivándose su solicitud.</w:t>
      </w:r>
    </w:p>
    <w:p w:rsidR="006312E8" w:rsidRPr="006312E8" w:rsidRDefault="006312E8" w:rsidP="006312E8">
      <w:pPr>
        <w:spacing w:after="0" w:line="240" w:lineRule="auto"/>
        <w:ind w:left="1418" w:hanging="709"/>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2.2.4 </w:t>
      </w:r>
      <w:r w:rsidRPr="006312E8">
        <w:rPr>
          <w:rFonts w:ascii="Arial" w:eastAsia="Calibri" w:hAnsi="Arial" w:cs="Arial"/>
          <w:lang w:val="es-ES"/>
        </w:rPr>
        <w:tab/>
        <w:t>Iniciado el procedimiento administrativo, se conformará el expediente administrativo, el cual contendrá los siguientes documentos: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DF0797">
      <w:pPr>
        <w:numPr>
          <w:ilvl w:val="0"/>
          <w:numId w:val="112"/>
        </w:numPr>
        <w:spacing w:after="0" w:line="240" w:lineRule="auto"/>
        <w:ind w:left="1843"/>
        <w:contextualSpacing/>
        <w:jc w:val="both"/>
        <w:rPr>
          <w:rFonts w:ascii="Arial" w:eastAsia="Calibri" w:hAnsi="Arial" w:cs="Arial"/>
          <w:lang w:val="es-ES"/>
        </w:rPr>
      </w:pPr>
      <w:r w:rsidRPr="006312E8">
        <w:rPr>
          <w:rFonts w:ascii="Arial" w:eastAsia="Calibri" w:hAnsi="Arial" w:cs="Arial"/>
          <w:lang w:val="es-ES"/>
        </w:rPr>
        <w:t>Solicitud de donación. (Anexo 1)</w:t>
      </w:r>
    </w:p>
    <w:p w:rsidR="006312E8" w:rsidRPr="006312E8" w:rsidRDefault="006312E8" w:rsidP="006312E8">
      <w:pPr>
        <w:spacing w:after="0" w:line="240" w:lineRule="auto"/>
        <w:ind w:left="1843"/>
        <w:contextualSpacing/>
        <w:jc w:val="both"/>
        <w:rPr>
          <w:rFonts w:ascii="Arial" w:eastAsia="Calibri" w:hAnsi="Arial" w:cs="Arial"/>
          <w:lang w:val="es-ES"/>
        </w:rPr>
      </w:pPr>
    </w:p>
    <w:p w:rsidR="006312E8" w:rsidRPr="006312E8" w:rsidRDefault="006312E8" w:rsidP="00DF0797">
      <w:pPr>
        <w:numPr>
          <w:ilvl w:val="0"/>
          <w:numId w:val="112"/>
        </w:numPr>
        <w:spacing w:after="0" w:line="240" w:lineRule="auto"/>
        <w:ind w:left="1843"/>
        <w:contextualSpacing/>
        <w:jc w:val="both"/>
        <w:rPr>
          <w:rFonts w:ascii="Arial" w:eastAsia="Calibri" w:hAnsi="Arial" w:cs="Arial"/>
          <w:lang w:val="es-ES"/>
        </w:rPr>
      </w:pPr>
      <w:r w:rsidRPr="006312E8">
        <w:rPr>
          <w:rFonts w:ascii="Arial" w:eastAsia="Calibri" w:hAnsi="Arial" w:cs="Arial"/>
          <w:lang w:val="es-ES"/>
        </w:rPr>
        <w:t>Comunicación al peticionante.</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DF0797">
      <w:pPr>
        <w:numPr>
          <w:ilvl w:val="0"/>
          <w:numId w:val="112"/>
        </w:numPr>
        <w:spacing w:after="0" w:line="240" w:lineRule="auto"/>
        <w:ind w:left="1843"/>
        <w:contextualSpacing/>
        <w:jc w:val="both"/>
        <w:rPr>
          <w:rFonts w:ascii="Arial" w:eastAsia="Calibri" w:hAnsi="Arial" w:cs="Arial"/>
          <w:lang w:val="es-ES"/>
        </w:rPr>
      </w:pPr>
      <w:r w:rsidRPr="006312E8">
        <w:rPr>
          <w:rFonts w:ascii="Arial" w:eastAsia="Calibri" w:hAnsi="Arial" w:cs="Arial"/>
          <w:lang w:val="es-ES"/>
        </w:rPr>
        <w:t>Copia de la partida registral del predio.</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DF0797">
      <w:pPr>
        <w:numPr>
          <w:ilvl w:val="0"/>
          <w:numId w:val="112"/>
        </w:numPr>
        <w:spacing w:after="0" w:line="240" w:lineRule="auto"/>
        <w:ind w:left="1843"/>
        <w:contextualSpacing/>
        <w:jc w:val="both"/>
        <w:rPr>
          <w:rFonts w:ascii="Arial" w:eastAsia="Calibri" w:hAnsi="Arial" w:cs="Arial"/>
          <w:lang w:val="es-ES"/>
        </w:rPr>
      </w:pPr>
      <w:r w:rsidRPr="006312E8">
        <w:rPr>
          <w:rFonts w:ascii="Arial" w:eastAsia="Calibri" w:hAnsi="Arial" w:cs="Arial"/>
          <w:lang w:val="es-ES"/>
        </w:rPr>
        <w:t>Plano perimétrico del terreno en coordenadas UTM a escala 1/100, 1/200 ó 1/500, con la indicación del área, los linderos, los ángulos y las medidas perimétricas.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DF0797">
      <w:pPr>
        <w:numPr>
          <w:ilvl w:val="0"/>
          <w:numId w:val="112"/>
        </w:numPr>
        <w:spacing w:after="0" w:line="240" w:lineRule="auto"/>
        <w:ind w:left="1843"/>
        <w:contextualSpacing/>
        <w:jc w:val="both"/>
        <w:rPr>
          <w:rFonts w:ascii="Arial" w:eastAsia="Calibri" w:hAnsi="Arial" w:cs="Arial"/>
          <w:lang w:val="es-ES"/>
        </w:rPr>
      </w:pPr>
      <w:r w:rsidRPr="006312E8">
        <w:rPr>
          <w:rFonts w:ascii="Arial" w:eastAsia="Calibri" w:hAnsi="Arial" w:cs="Arial"/>
          <w:lang w:val="es-ES"/>
        </w:rPr>
        <w:t>Plano de ubicación del predio a escala 1/1000 ó 1/ 5000.</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DF0797">
      <w:pPr>
        <w:numPr>
          <w:ilvl w:val="0"/>
          <w:numId w:val="112"/>
        </w:numPr>
        <w:spacing w:after="0" w:line="240" w:lineRule="auto"/>
        <w:ind w:left="1843"/>
        <w:contextualSpacing/>
        <w:jc w:val="both"/>
        <w:rPr>
          <w:rFonts w:ascii="Arial" w:eastAsia="Calibri" w:hAnsi="Arial" w:cs="Arial"/>
          <w:lang w:val="es-ES"/>
        </w:rPr>
      </w:pPr>
      <w:r w:rsidRPr="006312E8">
        <w:rPr>
          <w:rFonts w:ascii="Arial" w:eastAsia="Calibri" w:hAnsi="Arial" w:cs="Arial"/>
          <w:lang w:val="es-ES"/>
        </w:rPr>
        <w:t>Memoria descriptiva del terreno indicando la ubicación, el área, el perímetro, los linderos, las medidas perimétricas, la zonificación y las observaciones que se consideren pertinentes. (Anexo 2).</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DF0797">
      <w:pPr>
        <w:numPr>
          <w:ilvl w:val="0"/>
          <w:numId w:val="112"/>
        </w:numPr>
        <w:spacing w:after="0" w:line="240" w:lineRule="auto"/>
        <w:ind w:left="1843"/>
        <w:contextualSpacing/>
        <w:jc w:val="both"/>
        <w:rPr>
          <w:rFonts w:ascii="Arial" w:eastAsia="Calibri" w:hAnsi="Arial" w:cs="Arial"/>
          <w:lang w:val="es-ES"/>
        </w:rPr>
      </w:pPr>
      <w:r w:rsidRPr="006312E8">
        <w:rPr>
          <w:rFonts w:ascii="Arial" w:eastAsia="Calibri" w:hAnsi="Arial" w:cs="Arial"/>
          <w:lang w:val="es-ES"/>
        </w:rPr>
        <w:t>Informe Técnico - Legal, sustentado por los respectivos profesionales (Anexo 3) (*)</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2.2.5. </w:t>
      </w:r>
      <w:r w:rsidRPr="006312E8">
        <w:rPr>
          <w:rFonts w:ascii="Arial" w:eastAsia="Calibri" w:hAnsi="Arial" w:cs="Arial"/>
          <w:lang w:val="es-ES"/>
        </w:rPr>
        <w:tab/>
        <w:t>El expediente administrativo organizado por la entidad propietaria será remitido a la SBN, para la emisión de la opinión correspondiente.</w:t>
      </w:r>
    </w:p>
    <w:p w:rsidR="006312E8" w:rsidRPr="006312E8" w:rsidRDefault="006312E8" w:rsidP="006312E8">
      <w:pPr>
        <w:spacing w:after="0" w:line="240" w:lineRule="auto"/>
        <w:ind w:left="1418" w:hanging="709"/>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2.2.6. </w:t>
      </w:r>
      <w:r w:rsidRPr="006312E8">
        <w:rPr>
          <w:rFonts w:ascii="Arial" w:eastAsia="Calibri" w:hAnsi="Arial" w:cs="Arial"/>
          <w:lang w:val="es-ES"/>
        </w:rPr>
        <w:tab/>
        <w:t>La SBN emitirá la opinión correspondiente y, de ser el caso, elaborará el Proyecto de Resolución Suprema, el cual será remitido a la entidad propietaria, para la tramitación correspondiente.</w:t>
      </w:r>
    </w:p>
    <w:p w:rsidR="006312E8" w:rsidRPr="006312E8" w:rsidRDefault="006312E8" w:rsidP="006312E8">
      <w:pPr>
        <w:spacing w:after="0" w:line="240" w:lineRule="auto"/>
        <w:ind w:left="1418" w:hanging="709"/>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2.2.7. </w:t>
      </w:r>
      <w:r w:rsidRPr="006312E8">
        <w:rPr>
          <w:rFonts w:ascii="Arial" w:eastAsia="Calibri" w:hAnsi="Arial" w:cs="Arial"/>
          <w:lang w:val="es-ES"/>
        </w:rPr>
        <w:tab/>
        <w:t>Emitida la Resolución Suprema, el contrato de donación se suscribirá entre el representante de la entidad titular del predio y el donatario, y se elevará a escritura pública, de acuerdo con las condiciones que se establezcan en la Resolución Suprema.</w:t>
      </w:r>
    </w:p>
    <w:p w:rsidR="006312E8" w:rsidRPr="006312E8" w:rsidRDefault="006312E8" w:rsidP="006312E8">
      <w:pPr>
        <w:spacing w:after="0" w:line="240" w:lineRule="auto"/>
        <w:ind w:left="1418" w:hanging="709"/>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2.2.8. </w:t>
      </w:r>
      <w:r w:rsidRPr="006312E8">
        <w:rPr>
          <w:rFonts w:ascii="Arial" w:eastAsia="Calibri" w:hAnsi="Arial" w:cs="Arial"/>
          <w:lang w:val="es-ES"/>
        </w:rPr>
        <w:tab/>
        <w:t>La entidad propietaria remitirá el Testimonio de la escritura pública de donación con la respectiva anotación registral de la inscripción y el registro de la carga a favor del donante a fin de proceder a la baja administrativa del predio del Sistema de Información Nacional de Bienes de Propiedad Estatal - SINABIP</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3. </w:t>
      </w:r>
      <w:r w:rsidRPr="006312E8">
        <w:rPr>
          <w:rFonts w:ascii="Arial" w:eastAsia="Calibri" w:hAnsi="Arial" w:cs="Arial"/>
          <w:b/>
          <w:u w:val="single"/>
          <w:lang w:val="es-ES"/>
        </w:rPr>
        <w:t>DE LA ACEPTACION DE DONACION PREDIAL A FAVOR DEL ESTADO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84"/>
        <w:jc w:val="both"/>
        <w:rPr>
          <w:rFonts w:ascii="Arial" w:eastAsia="Calibri" w:hAnsi="Arial" w:cs="Arial"/>
          <w:b/>
          <w:lang w:val="es-ES"/>
        </w:rPr>
      </w:pPr>
      <w:r w:rsidRPr="006312E8">
        <w:rPr>
          <w:rFonts w:ascii="Arial" w:eastAsia="Calibri" w:hAnsi="Arial" w:cs="Arial"/>
          <w:b/>
          <w:lang w:val="es-ES"/>
        </w:rPr>
        <w:t>3.1 Disposiciones Específicas</w:t>
      </w: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3.1.1 </w:t>
      </w:r>
      <w:r w:rsidRPr="006312E8">
        <w:rPr>
          <w:rFonts w:ascii="Arial" w:eastAsia="Calibri" w:hAnsi="Arial" w:cs="Arial"/>
          <w:lang w:val="es-ES"/>
        </w:rPr>
        <w:tab/>
        <w:t>La donación de un predio a favor del Estado importa la transferencia voluntaria de la propiedad de dicho bien, a título gratuito, al Estado, por parte de una persona natural, sociedad conyugal, co propietarios, persona jurídica de derecho privado, o la conjunción de cualesquiera de ellas.</w:t>
      </w:r>
    </w:p>
    <w:p w:rsidR="006312E8" w:rsidRPr="006312E8" w:rsidRDefault="006312E8" w:rsidP="006312E8">
      <w:pPr>
        <w:spacing w:after="0" w:line="240" w:lineRule="auto"/>
        <w:ind w:left="1418" w:hanging="709"/>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3.1.2 </w:t>
      </w:r>
      <w:r w:rsidRPr="006312E8">
        <w:rPr>
          <w:rFonts w:ascii="Arial" w:eastAsia="Calibri" w:hAnsi="Arial" w:cs="Arial"/>
          <w:lang w:val="es-ES"/>
        </w:rPr>
        <w:tab/>
        <w:t>La donación que surte efectos por causa de muerte del donante se rige por la ley de la materia.</w:t>
      </w:r>
    </w:p>
    <w:p w:rsidR="006312E8" w:rsidRPr="006312E8" w:rsidRDefault="006312E8" w:rsidP="006312E8">
      <w:pPr>
        <w:spacing w:after="0" w:line="240" w:lineRule="auto"/>
        <w:ind w:left="1418" w:hanging="709"/>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3.1.3 </w:t>
      </w:r>
      <w:r w:rsidRPr="006312E8">
        <w:rPr>
          <w:rFonts w:ascii="Arial" w:eastAsia="Calibri" w:hAnsi="Arial" w:cs="Arial"/>
          <w:lang w:val="es-ES"/>
        </w:rPr>
        <w:tab/>
        <w:t>El beneficiario de la donación podrá ser directamente el Estado, el que estará debidamente representado por la SBN, o cualquier otra entidad del sector público.</w:t>
      </w:r>
    </w:p>
    <w:p w:rsidR="006312E8" w:rsidRPr="006312E8" w:rsidRDefault="006312E8" w:rsidP="006312E8">
      <w:pPr>
        <w:spacing w:after="0" w:line="240" w:lineRule="auto"/>
        <w:ind w:left="1418" w:hanging="709"/>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3.1.4 </w:t>
      </w:r>
      <w:r w:rsidRPr="006312E8">
        <w:rPr>
          <w:rFonts w:ascii="Arial" w:eastAsia="Calibri" w:hAnsi="Arial" w:cs="Arial"/>
          <w:lang w:val="es-ES"/>
        </w:rPr>
        <w:tab/>
        <w:t>El predio materia de donación deberá estar plenamente identificado, debiendo de preferencia estar inscrito en los Registros Públicos.</w:t>
      </w:r>
    </w:p>
    <w:p w:rsidR="006312E8" w:rsidRPr="006312E8" w:rsidRDefault="006312E8" w:rsidP="006312E8">
      <w:pPr>
        <w:spacing w:after="0" w:line="240" w:lineRule="auto"/>
        <w:ind w:left="1418" w:hanging="709"/>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3.1.5 </w:t>
      </w:r>
      <w:r w:rsidRPr="006312E8">
        <w:rPr>
          <w:rFonts w:ascii="Arial" w:eastAsia="Calibri" w:hAnsi="Arial" w:cs="Arial"/>
          <w:lang w:val="es-ES"/>
        </w:rPr>
        <w:tab/>
        <w:t>Los gastos que irrogue la formalización de la donación serán de cuenta del Estado o la entidad pública beneficiaria, según sea el caso.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84"/>
        <w:jc w:val="both"/>
        <w:rPr>
          <w:rFonts w:ascii="Arial" w:eastAsia="Calibri" w:hAnsi="Arial" w:cs="Arial"/>
          <w:b/>
          <w:lang w:val="es-ES"/>
        </w:rPr>
      </w:pPr>
      <w:r w:rsidRPr="006312E8">
        <w:rPr>
          <w:rFonts w:ascii="Arial" w:eastAsia="Calibri" w:hAnsi="Arial" w:cs="Arial"/>
          <w:b/>
          <w:lang w:val="es-ES"/>
        </w:rPr>
        <w:t>3.2 Del Procedimiento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3.2.1 </w:t>
      </w:r>
      <w:r w:rsidRPr="006312E8">
        <w:rPr>
          <w:rFonts w:ascii="Arial" w:eastAsia="Calibri" w:hAnsi="Arial" w:cs="Arial"/>
          <w:lang w:val="es-ES"/>
        </w:rPr>
        <w:tab/>
        <w:t>El escrito de donación a favor del Estado deberá ser remitido, según sea el caso, a la SBN o a la entidad pública elegida, la misma que, de considerarlo procedente, deberá admitirlo a trámite, iniciando el respectivo expediente administrativo.</w:t>
      </w:r>
    </w:p>
    <w:p w:rsidR="006312E8" w:rsidRPr="006312E8" w:rsidRDefault="006312E8" w:rsidP="006312E8">
      <w:pPr>
        <w:spacing w:after="0" w:line="240" w:lineRule="auto"/>
        <w:ind w:left="1418" w:hanging="709"/>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3.2.2 </w:t>
      </w:r>
      <w:r w:rsidRPr="006312E8">
        <w:rPr>
          <w:rFonts w:ascii="Arial" w:eastAsia="Calibri" w:hAnsi="Arial" w:cs="Arial"/>
          <w:lang w:val="es-ES"/>
        </w:rPr>
        <w:tab/>
        <w:t>El expediente administrativo deberá contener la siguiente documentación: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DF0797">
      <w:pPr>
        <w:numPr>
          <w:ilvl w:val="0"/>
          <w:numId w:val="113"/>
        </w:numPr>
        <w:spacing w:after="0" w:line="240" w:lineRule="auto"/>
        <w:ind w:left="1843"/>
        <w:contextualSpacing/>
        <w:jc w:val="both"/>
        <w:rPr>
          <w:rFonts w:ascii="Arial" w:eastAsia="Calibri" w:hAnsi="Arial" w:cs="Arial"/>
          <w:lang w:val="es-ES"/>
        </w:rPr>
      </w:pPr>
      <w:r w:rsidRPr="006312E8">
        <w:rPr>
          <w:rFonts w:ascii="Arial" w:eastAsia="Calibri" w:hAnsi="Arial" w:cs="Arial"/>
          <w:lang w:val="es-ES"/>
        </w:rPr>
        <w:t>Escrito del interesado comunicando la decisión de donar un predio de su propiedad, precisando su área, la ubicación, el valor real y la forma de adquisición, así como la documentación que acredite su identidad o personería jurídica. Será exigible, en su caso, el testimonio de la escritura de constitución de la persona jurídica, así como la copia legalizada del acta que aprueba la decisión de donar, y el certificado de vigencia del poder del representante legal.</w:t>
      </w:r>
    </w:p>
    <w:p w:rsidR="006312E8" w:rsidRPr="006312E8" w:rsidRDefault="006312E8" w:rsidP="006312E8">
      <w:pPr>
        <w:spacing w:after="0" w:line="240" w:lineRule="auto"/>
        <w:ind w:left="1843"/>
        <w:contextualSpacing/>
        <w:jc w:val="both"/>
        <w:rPr>
          <w:rFonts w:ascii="Arial" w:eastAsia="Calibri" w:hAnsi="Arial" w:cs="Arial"/>
          <w:lang w:val="es-ES"/>
        </w:rPr>
      </w:pPr>
    </w:p>
    <w:p w:rsidR="006312E8" w:rsidRPr="006312E8" w:rsidRDefault="006312E8" w:rsidP="00DF0797">
      <w:pPr>
        <w:numPr>
          <w:ilvl w:val="0"/>
          <w:numId w:val="113"/>
        </w:numPr>
        <w:spacing w:after="0" w:line="240" w:lineRule="auto"/>
        <w:ind w:left="1843"/>
        <w:contextualSpacing/>
        <w:jc w:val="both"/>
        <w:rPr>
          <w:rFonts w:ascii="Arial" w:eastAsia="Calibri" w:hAnsi="Arial" w:cs="Arial"/>
          <w:lang w:val="es-ES"/>
        </w:rPr>
      </w:pPr>
      <w:r w:rsidRPr="006312E8">
        <w:rPr>
          <w:rFonts w:ascii="Arial" w:eastAsia="Calibri" w:hAnsi="Arial" w:cs="Arial"/>
          <w:lang w:val="es-ES"/>
        </w:rPr>
        <w:t>Certificado Registral Inmobiliario del predio a donar con una antigüedad no mayor de 30 días.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DF0797">
      <w:pPr>
        <w:numPr>
          <w:ilvl w:val="0"/>
          <w:numId w:val="113"/>
        </w:numPr>
        <w:spacing w:after="0" w:line="240" w:lineRule="auto"/>
        <w:ind w:left="1843"/>
        <w:contextualSpacing/>
        <w:jc w:val="both"/>
        <w:rPr>
          <w:rFonts w:ascii="Arial" w:eastAsia="Calibri" w:hAnsi="Arial" w:cs="Arial"/>
          <w:lang w:val="es-ES"/>
        </w:rPr>
      </w:pPr>
      <w:r w:rsidRPr="006312E8">
        <w:rPr>
          <w:rFonts w:ascii="Arial" w:eastAsia="Calibri" w:hAnsi="Arial" w:cs="Arial"/>
          <w:lang w:val="es-ES"/>
        </w:rPr>
        <w:t>Declaración jurada de la no existencia de procesos judiciales respecto al predio y de no estar incurso en los límites del artículo 1629  del Código Civil.</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DF0797">
      <w:pPr>
        <w:numPr>
          <w:ilvl w:val="0"/>
          <w:numId w:val="113"/>
        </w:numPr>
        <w:spacing w:after="0" w:line="240" w:lineRule="auto"/>
        <w:ind w:left="1843"/>
        <w:contextualSpacing/>
        <w:jc w:val="both"/>
        <w:rPr>
          <w:rFonts w:ascii="Arial" w:eastAsia="Calibri" w:hAnsi="Arial" w:cs="Arial"/>
          <w:lang w:val="es-ES"/>
        </w:rPr>
      </w:pPr>
      <w:r w:rsidRPr="006312E8">
        <w:rPr>
          <w:rFonts w:ascii="Arial" w:eastAsia="Calibri" w:hAnsi="Arial" w:cs="Arial"/>
          <w:lang w:val="es-ES"/>
        </w:rPr>
        <w:t>Si se trata de un predio no inscrito en los Registros Públicos, se deberá contar con el certificado de la Oficina Registral que acredite que el predio no se encuentra inscrito o que no figura inscrito el predio a donar a nombre del donante. Asimismo, se deberá contar con la copia simple del título con el que el donante acredita la propiedad, por ejemplo, la escritura pública, el Contrato Privado o cualquier otro documento de adquisición; y excepcionalmente, en el caso de no contar con documentos que acrediten la propiedad, el donante podrá presentar una declaración jurada indicando que se conduce como propietario y ejerce la posesión por un tiempo mayor a 10 años.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1276" w:hanging="567"/>
        <w:jc w:val="both"/>
        <w:rPr>
          <w:rFonts w:ascii="Arial" w:eastAsia="Calibri" w:hAnsi="Arial" w:cs="Arial"/>
          <w:lang w:val="es-ES"/>
        </w:rPr>
      </w:pPr>
      <w:r w:rsidRPr="006312E8">
        <w:rPr>
          <w:rFonts w:ascii="Arial" w:eastAsia="Calibri" w:hAnsi="Arial" w:cs="Arial"/>
          <w:lang w:val="es-ES"/>
        </w:rPr>
        <w:t>3.2.3 La entidad donataria deberá emitir un informe técnico legal pronunciándose sobre la procedencia o improcedencia de la aceptación de donación.</w:t>
      </w:r>
    </w:p>
    <w:p w:rsidR="006312E8" w:rsidRPr="006312E8" w:rsidRDefault="006312E8" w:rsidP="006312E8">
      <w:pPr>
        <w:spacing w:after="0" w:line="240" w:lineRule="auto"/>
        <w:ind w:left="1276" w:hanging="567"/>
        <w:jc w:val="both"/>
        <w:rPr>
          <w:rFonts w:ascii="Arial" w:eastAsia="Calibri" w:hAnsi="Arial" w:cs="Arial"/>
          <w:lang w:val="es-ES"/>
        </w:rPr>
      </w:pPr>
    </w:p>
    <w:p w:rsidR="006312E8" w:rsidRPr="006312E8" w:rsidRDefault="006312E8" w:rsidP="006312E8">
      <w:pPr>
        <w:spacing w:after="0" w:line="240" w:lineRule="auto"/>
        <w:ind w:left="1276" w:hanging="567"/>
        <w:jc w:val="both"/>
        <w:rPr>
          <w:rFonts w:ascii="Arial" w:eastAsia="Calibri" w:hAnsi="Arial" w:cs="Arial"/>
          <w:lang w:val="es-ES"/>
        </w:rPr>
      </w:pPr>
      <w:r w:rsidRPr="006312E8">
        <w:rPr>
          <w:rFonts w:ascii="Arial" w:eastAsia="Calibri" w:hAnsi="Arial" w:cs="Arial"/>
          <w:lang w:val="es-ES"/>
        </w:rPr>
        <w:t>3.2.4 La entidad donataria a través del Titular del Sector o del Pliego, deberá emitir la correspondiente Resolución de aceptación de donación, la misma que deberá insertarse en la escritura pública que se suscriba oportunamente.</w:t>
      </w:r>
    </w:p>
    <w:p w:rsidR="006312E8" w:rsidRPr="006312E8" w:rsidRDefault="006312E8" w:rsidP="006312E8">
      <w:pPr>
        <w:spacing w:after="0" w:line="240" w:lineRule="auto"/>
        <w:ind w:left="1276" w:hanging="567"/>
        <w:jc w:val="both"/>
        <w:rPr>
          <w:rFonts w:ascii="Arial" w:eastAsia="Calibri" w:hAnsi="Arial" w:cs="Arial"/>
          <w:lang w:val="es-ES"/>
        </w:rPr>
      </w:pPr>
    </w:p>
    <w:p w:rsidR="006312E8" w:rsidRPr="006312E8" w:rsidRDefault="006312E8" w:rsidP="006312E8">
      <w:pPr>
        <w:spacing w:after="0" w:line="240" w:lineRule="auto"/>
        <w:ind w:left="1276" w:hanging="567"/>
        <w:jc w:val="both"/>
        <w:rPr>
          <w:rFonts w:ascii="Arial" w:eastAsia="Calibri" w:hAnsi="Arial" w:cs="Arial"/>
          <w:lang w:val="es-ES"/>
        </w:rPr>
      </w:pPr>
      <w:r w:rsidRPr="006312E8">
        <w:rPr>
          <w:rFonts w:ascii="Arial" w:eastAsia="Calibri" w:hAnsi="Arial" w:cs="Arial"/>
          <w:lang w:val="es-ES"/>
        </w:rPr>
        <w:t>3.2.5</w:t>
      </w:r>
      <w:r w:rsidRPr="006312E8">
        <w:rPr>
          <w:rFonts w:ascii="Arial" w:eastAsia="Calibri" w:hAnsi="Arial" w:cs="Arial"/>
          <w:lang w:val="es-ES"/>
        </w:rPr>
        <w:tab/>
        <w:t>Luego de suscrita la escritura pública, el donante y el donatario procederán a la suscripción del Acta de Entrega - Recepción, la que deberá contar con los detalles de ubicación, características generales y estado del predio donado.</w:t>
      </w:r>
    </w:p>
    <w:p w:rsidR="006312E8" w:rsidRPr="006312E8" w:rsidRDefault="006312E8" w:rsidP="006312E8">
      <w:pPr>
        <w:spacing w:after="0" w:line="240" w:lineRule="auto"/>
        <w:ind w:left="1276" w:hanging="567"/>
        <w:jc w:val="both"/>
        <w:rPr>
          <w:rFonts w:ascii="Arial" w:eastAsia="Calibri" w:hAnsi="Arial" w:cs="Arial"/>
          <w:lang w:val="es-ES"/>
        </w:rPr>
      </w:pPr>
    </w:p>
    <w:p w:rsidR="006312E8" w:rsidRPr="006312E8" w:rsidRDefault="006312E8" w:rsidP="006312E8">
      <w:pPr>
        <w:spacing w:after="0" w:line="240" w:lineRule="auto"/>
        <w:ind w:left="1276" w:hanging="567"/>
        <w:jc w:val="both"/>
        <w:rPr>
          <w:rFonts w:ascii="Arial" w:eastAsia="Calibri" w:hAnsi="Arial" w:cs="Arial"/>
          <w:lang w:val="es-ES"/>
        </w:rPr>
      </w:pPr>
      <w:r w:rsidRPr="006312E8">
        <w:rPr>
          <w:rFonts w:ascii="Arial" w:eastAsia="Calibri" w:hAnsi="Arial" w:cs="Arial"/>
          <w:lang w:val="es-ES"/>
        </w:rPr>
        <w:t>3.2.6</w:t>
      </w:r>
      <w:r w:rsidRPr="006312E8">
        <w:rPr>
          <w:rFonts w:ascii="Arial" w:eastAsia="Calibri" w:hAnsi="Arial" w:cs="Arial"/>
          <w:lang w:val="es-ES"/>
        </w:rPr>
        <w:tab/>
        <w:t>La entidad donataria remitirá el testimonio de la escritura pública con la anotación registras de inscripción a la SBN para su registro en el SINABIP.</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sz w:val="28"/>
          <w:szCs w:val="28"/>
          <w:lang w:val="es-ES"/>
        </w:rPr>
      </w:pPr>
      <w:r w:rsidRPr="006312E8">
        <w:rPr>
          <w:rFonts w:ascii="Arial" w:eastAsia="Calibri" w:hAnsi="Arial" w:cs="Arial"/>
          <w:b/>
          <w:sz w:val="28"/>
          <w:szCs w:val="28"/>
          <w:lang w:val="es-ES"/>
        </w:rPr>
        <w:t>RESOLUCION Nº 014-2011-SBN</w:t>
      </w:r>
    </w:p>
    <w:p w:rsidR="006312E8" w:rsidRPr="006312E8" w:rsidRDefault="006312E8" w:rsidP="006312E8">
      <w:pPr>
        <w:spacing w:after="0" w:line="240" w:lineRule="auto"/>
        <w:jc w:val="center"/>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Aprueban la Directiva Nº 001-2011-SBN que regula los “Procedimientos para Asunción de Titularidad de Predios de Dominio Privado Estatal”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right"/>
        <w:rPr>
          <w:rFonts w:ascii="Arial" w:eastAsia="Calibri" w:hAnsi="Arial" w:cs="Arial"/>
          <w:b/>
          <w:lang w:val="es-ES"/>
        </w:rPr>
      </w:pPr>
      <w:r w:rsidRPr="006312E8">
        <w:rPr>
          <w:rFonts w:ascii="Arial" w:eastAsia="Calibri" w:hAnsi="Arial" w:cs="Arial"/>
          <w:b/>
          <w:lang w:val="es-ES"/>
        </w:rPr>
        <w:t>Fecha de publicación 19-03-2011</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Lima, 11 de marzo de 2011</w:t>
      </w: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CONSIDERANDO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mediante Ley Nº 29151, se crea el Sistema Nacional de Bienes Estatales como el conjunto de organismos, garantías y normas que regulan de manera integral y coherente los bienes estatales, en sus niveles de Gobierno Nacional, Regional y Local, a fin de lograr una administración ordenada, simplificada y eficiente de los bienes del Estado;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la Superintendencia Nacional de Bienes Estatales - SBN es un organismo público ejecutor y constituye un pliego presupuestal, siendo el ente rector responsable tanto de normar los actos de adquisición, disposición, administración y supervisión de los bienes estatales, como de ejecutar dichos actos respecto de los bienes cuya administración está a su cargo, de acuerdo a la normatividad vigente gozando de autonomía económica, presupuestal, financiera, técnica y funcional, con representación judicial propia;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el artículo 13 de la Ley Nº 29151, Ley General del Sistema Nacional de Bienes Estatales, dispone que la SBN es responsable de normar los actos de adquisición, disposición, administración y supervisión de los bienes estatales;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los literales b), c) y d) del numeral 14.1 del artículo 14 de la acotada Ley, señalan como funciones y atribuciones exclusivas de la SBN, dictar las Directivas aplicables para la administración, adquisición y disposición de los bienes de propiedad estatal, procurar una eficiente gestión del portafolio inmobiliario de los bienes estatales optimizando su uso y valor, así como supervisar los bienes estatales, el cumplimiento del debido procedimiento y de los actos que ejecutan las entidades pertenecientes al Sistema, poniendo en su conocimiento y el de la Contraloría General de la República las infracciones a la normatividad que determine para las acciones correctivas y sanciones respectivas, bajo responsabilidad del Titular de la entidad pública;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en ese sentido el Artículo 72 del citado Reglamento, dispone que el Estado, representado por la SBN, asumirá la titularidad de los bienes de las entidades señaladas en los literales b), c) y d) del Artículo 8 de la Ley Nº 29151, en caso se compruebe un destino distinto a la finalidad asignada o haberse verificado el abandono de los bienes de su propiedad por el plazo de dos (2) años;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en este contexto resulta necesario regular los procedimientos para la sustentación y aprobación de la asunción de titularidad, por causales legalmente establecidas, de predios del dominio privado estatal;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Con la visación de la Secretaría General, de la Oficina de Asesoría Jurídica, de la Oficina de Planeamiento y Presupuesto, de la Oficina de Administración y Finanzas, de la Dirección de Gestión del Patrimonio Estatal y de la Dirección de Normas y Registro;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De conformidad con lo dispuesto por la Ley Nº 29151, Ley General del Sistema Nacional de Bienes Estatales, su reglamento aprobado por el Decreto Supremo Nº 007-2008-VIVIENDA y Decreto Supremo Nº 016-2010-VIVIENDA;</w:t>
      </w:r>
    </w:p>
    <w:p w:rsidR="006312E8" w:rsidRPr="006312E8" w:rsidRDefault="006312E8" w:rsidP="006312E8">
      <w:pPr>
        <w:spacing w:after="0" w:line="240" w:lineRule="auto"/>
        <w:jc w:val="both"/>
        <w:rPr>
          <w:rFonts w:ascii="Arial" w:eastAsia="Calibri" w:hAnsi="Arial" w:cs="Arial"/>
          <w:lang w:val="es-ES"/>
        </w:rPr>
      </w:pPr>
    </w:p>
    <w:p w:rsidR="00A57CDE" w:rsidRDefault="00A57CDE" w:rsidP="006312E8">
      <w:pPr>
        <w:spacing w:after="0" w:line="240" w:lineRule="auto"/>
        <w:jc w:val="both"/>
        <w:rPr>
          <w:rFonts w:ascii="Arial" w:eastAsia="Calibri" w:hAnsi="Arial" w:cs="Arial"/>
          <w:b/>
          <w:lang w:val="es-ES"/>
        </w:rPr>
      </w:pPr>
    </w:p>
    <w:p w:rsidR="00A57CDE" w:rsidRDefault="00A57CDE"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SE RESUELVE:</w:t>
      </w: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b/>
          <w:lang w:val="es-ES"/>
        </w:rPr>
        <w:t>Artículo 1.-</w:t>
      </w:r>
      <w:r w:rsidRPr="006312E8">
        <w:rPr>
          <w:rFonts w:ascii="Arial" w:eastAsia="Calibri" w:hAnsi="Arial" w:cs="Arial"/>
          <w:lang w:val="es-ES"/>
        </w:rPr>
        <w:t xml:space="preserve"> Aprobar la Directiva Nº 001-2011-SBN, que regula los “Procedimientos para la Asunción de Titularidad de Predios de Dominio Privado Estatal”.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b/>
          <w:lang w:val="es-ES"/>
        </w:rPr>
        <w:t>Artículo 2.-</w:t>
      </w:r>
      <w:r w:rsidRPr="006312E8">
        <w:rPr>
          <w:rFonts w:ascii="Arial" w:eastAsia="Calibri" w:hAnsi="Arial" w:cs="Arial"/>
          <w:lang w:val="es-ES"/>
        </w:rPr>
        <w:t xml:space="preserve"> Disponer que la presente Directiva Nº 001-2011/SBN, aprobada en el artículo precedente, debe ser publicada en el Portal Institucional de la SBN (www.sbn.gob.pe) entrando en vigencia a partir del día siguiente de publicación de la presente Resolución en el Diario Oficial El Peruano.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Regístrese, comuníquese y publíquese.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 xml:space="preserve">JORGE VILLANUEVA CARBAJAL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b/>
          <w:lang w:val="es-ES"/>
        </w:rPr>
        <w:tab/>
      </w:r>
      <w:r w:rsidRPr="006312E8">
        <w:rPr>
          <w:rFonts w:ascii="Arial" w:eastAsia="Calibri" w:hAnsi="Arial" w:cs="Arial"/>
          <w:lang w:val="es-ES"/>
        </w:rPr>
        <w:t>Superintendente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r>
    </w:p>
    <w:p w:rsidR="006312E8" w:rsidRPr="006312E8" w:rsidRDefault="006312E8" w:rsidP="00E104C8">
      <w:pPr>
        <w:pStyle w:val="TITO2"/>
      </w:pPr>
      <w:bookmarkStart w:id="238" w:name="_Toc392856210"/>
      <w:bookmarkStart w:id="239" w:name="_Toc399335485"/>
      <w:bookmarkStart w:id="240" w:name="_Toc421025432"/>
      <w:bookmarkStart w:id="241" w:name="_Toc470855534"/>
      <w:bookmarkStart w:id="242" w:name="D0012011"/>
      <w:r w:rsidRPr="006312E8">
        <w:t>DIRECTIVA Nº 001-2011-SBN</w:t>
      </w:r>
      <w:bookmarkEnd w:id="238"/>
      <w:bookmarkEnd w:id="239"/>
      <w:bookmarkEnd w:id="240"/>
      <w:bookmarkEnd w:id="241"/>
    </w:p>
    <w:bookmarkEnd w:id="242"/>
    <w:p w:rsidR="006312E8" w:rsidRPr="006312E8" w:rsidRDefault="006312E8" w:rsidP="006312E8">
      <w:pPr>
        <w:spacing w:after="0" w:line="240" w:lineRule="auto"/>
        <w:jc w:val="center"/>
        <w:rPr>
          <w:rFonts w:ascii="Arial" w:eastAsia="Calibri" w:hAnsi="Arial" w:cs="Arial"/>
          <w:b/>
          <w:lang w:val="es-ES"/>
        </w:rPr>
      </w:pPr>
    </w:p>
    <w:p w:rsidR="006312E8" w:rsidRPr="006312E8" w:rsidRDefault="006312E8" w:rsidP="006312E8">
      <w:pPr>
        <w:spacing w:after="0" w:line="240" w:lineRule="auto"/>
        <w:jc w:val="center"/>
        <w:rPr>
          <w:rFonts w:ascii="Arial" w:eastAsia="Calibri" w:hAnsi="Arial" w:cs="Arial"/>
          <w:lang w:val="es-ES"/>
        </w:rPr>
      </w:pPr>
      <w:r w:rsidRPr="006312E8">
        <w:rPr>
          <w:rFonts w:ascii="Arial" w:eastAsia="Calibri" w:hAnsi="Arial" w:cs="Arial"/>
          <w:b/>
          <w:lang w:val="es-ES"/>
        </w:rPr>
        <w:t>PROCEDIMIENTOS PARA LA ASUNCION DE TITULARIDAD DE PREDIOS DE DOMINIO PRIVADO ESTATAL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1. ASPECTOS GENERALES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DF0797">
      <w:pPr>
        <w:numPr>
          <w:ilvl w:val="1"/>
          <w:numId w:val="114"/>
        </w:numPr>
        <w:spacing w:after="0" w:line="240" w:lineRule="auto"/>
        <w:contextualSpacing/>
        <w:jc w:val="both"/>
        <w:rPr>
          <w:rFonts w:ascii="Arial" w:eastAsia="Calibri" w:hAnsi="Arial" w:cs="Arial"/>
          <w:b/>
          <w:lang w:val="es-ES"/>
        </w:rPr>
      </w:pPr>
      <w:r w:rsidRPr="006312E8">
        <w:rPr>
          <w:rFonts w:ascii="Arial" w:eastAsia="Calibri" w:hAnsi="Arial" w:cs="Arial"/>
          <w:b/>
          <w:lang w:val="es-ES"/>
        </w:rPr>
        <w:t>Finalidad</w:t>
      </w:r>
    </w:p>
    <w:p w:rsidR="006312E8" w:rsidRPr="006312E8" w:rsidRDefault="006312E8" w:rsidP="006312E8">
      <w:pPr>
        <w:spacing w:after="0" w:line="240" w:lineRule="auto"/>
        <w:ind w:left="720"/>
        <w:contextualSpacing/>
        <w:jc w:val="both"/>
        <w:rPr>
          <w:rFonts w:ascii="Arial" w:eastAsia="Calibri" w:hAnsi="Arial" w:cs="Arial"/>
          <w:b/>
          <w:lang w:val="es-ES"/>
        </w:rPr>
      </w:pPr>
    </w:p>
    <w:p w:rsidR="006312E8" w:rsidRPr="006312E8" w:rsidRDefault="006312E8" w:rsidP="006312E8">
      <w:pPr>
        <w:spacing w:after="0" w:line="240" w:lineRule="auto"/>
        <w:ind w:left="709"/>
        <w:jc w:val="both"/>
        <w:rPr>
          <w:rFonts w:ascii="Arial" w:eastAsia="Calibri" w:hAnsi="Arial" w:cs="Arial"/>
          <w:lang w:val="es-ES"/>
        </w:rPr>
      </w:pPr>
      <w:r w:rsidRPr="006312E8">
        <w:rPr>
          <w:rFonts w:ascii="Arial" w:eastAsia="Calibri" w:hAnsi="Arial" w:cs="Arial"/>
          <w:lang w:val="es-ES"/>
        </w:rPr>
        <w:t>Optimizar el procedimiento de asunción de titularidad, por causales legalmente establecidas, de predios de dominio privado estatal.</w:t>
      </w: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DF0797">
      <w:pPr>
        <w:numPr>
          <w:ilvl w:val="1"/>
          <w:numId w:val="114"/>
        </w:numPr>
        <w:spacing w:after="0" w:line="240" w:lineRule="auto"/>
        <w:contextualSpacing/>
        <w:jc w:val="both"/>
        <w:rPr>
          <w:rFonts w:ascii="Arial" w:eastAsia="Calibri" w:hAnsi="Arial" w:cs="Arial"/>
          <w:b/>
          <w:lang w:val="es-ES"/>
        </w:rPr>
      </w:pPr>
      <w:r w:rsidRPr="006312E8">
        <w:rPr>
          <w:rFonts w:ascii="Arial" w:eastAsia="Calibri" w:hAnsi="Arial" w:cs="Arial"/>
          <w:b/>
          <w:lang w:val="es-ES"/>
        </w:rPr>
        <w:t>Objetivo</w:t>
      </w:r>
    </w:p>
    <w:p w:rsidR="006312E8" w:rsidRPr="006312E8" w:rsidRDefault="006312E8" w:rsidP="006312E8">
      <w:pPr>
        <w:spacing w:after="0" w:line="240" w:lineRule="auto"/>
        <w:ind w:left="720"/>
        <w:contextualSpacing/>
        <w:jc w:val="both"/>
        <w:rPr>
          <w:rFonts w:ascii="Arial" w:eastAsia="Calibri" w:hAnsi="Arial" w:cs="Arial"/>
          <w:b/>
          <w:lang w:val="es-ES"/>
        </w:rPr>
      </w:pPr>
    </w:p>
    <w:p w:rsidR="006312E8" w:rsidRPr="006312E8" w:rsidRDefault="006312E8" w:rsidP="006312E8">
      <w:pPr>
        <w:spacing w:after="0" w:line="240" w:lineRule="auto"/>
        <w:ind w:left="709"/>
        <w:jc w:val="both"/>
        <w:rPr>
          <w:rFonts w:ascii="Arial" w:eastAsia="Calibri" w:hAnsi="Arial" w:cs="Arial"/>
          <w:lang w:val="es-ES"/>
        </w:rPr>
      </w:pPr>
      <w:r w:rsidRPr="006312E8">
        <w:rPr>
          <w:rFonts w:ascii="Arial" w:eastAsia="Calibri" w:hAnsi="Arial" w:cs="Arial"/>
          <w:lang w:val="es-ES"/>
        </w:rPr>
        <w:t>Regular los procedimientos para la sustentación y aprobación de la asunción de titularidad de predios del dominio privado estatal.</w:t>
      </w: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DF0797">
      <w:pPr>
        <w:numPr>
          <w:ilvl w:val="1"/>
          <w:numId w:val="114"/>
        </w:numPr>
        <w:spacing w:after="0" w:line="240" w:lineRule="auto"/>
        <w:contextualSpacing/>
        <w:jc w:val="both"/>
        <w:rPr>
          <w:rFonts w:ascii="Arial" w:eastAsia="Calibri" w:hAnsi="Arial" w:cs="Arial"/>
          <w:b/>
          <w:lang w:val="es-ES"/>
        </w:rPr>
      </w:pPr>
      <w:r w:rsidRPr="006312E8">
        <w:rPr>
          <w:rFonts w:ascii="Arial" w:eastAsia="Calibri" w:hAnsi="Arial" w:cs="Arial"/>
          <w:b/>
          <w:lang w:val="es-ES"/>
        </w:rPr>
        <w:t>Alcances</w:t>
      </w:r>
    </w:p>
    <w:p w:rsidR="006312E8" w:rsidRPr="006312E8" w:rsidRDefault="006312E8" w:rsidP="006312E8">
      <w:pPr>
        <w:spacing w:after="0" w:line="240" w:lineRule="auto"/>
        <w:ind w:left="720"/>
        <w:contextualSpacing/>
        <w:jc w:val="both"/>
        <w:rPr>
          <w:rFonts w:ascii="Arial" w:eastAsia="Calibri" w:hAnsi="Arial" w:cs="Arial"/>
          <w:b/>
          <w:lang w:val="es-ES"/>
        </w:rPr>
      </w:pPr>
    </w:p>
    <w:p w:rsidR="006312E8" w:rsidRPr="006312E8" w:rsidRDefault="006312E8" w:rsidP="006312E8">
      <w:pPr>
        <w:spacing w:after="0" w:line="240" w:lineRule="auto"/>
        <w:ind w:left="709"/>
        <w:jc w:val="both"/>
        <w:rPr>
          <w:rFonts w:ascii="Arial" w:eastAsia="Calibri" w:hAnsi="Arial" w:cs="Arial"/>
          <w:lang w:val="es-ES"/>
        </w:rPr>
      </w:pPr>
      <w:r w:rsidRPr="006312E8">
        <w:rPr>
          <w:rFonts w:ascii="Arial" w:eastAsia="Calibri" w:hAnsi="Arial" w:cs="Arial"/>
          <w:lang w:val="es-ES"/>
        </w:rPr>
        <w:t>La presente Directiva es de aplicación de la Subdirección de Administración del Patrimonio Estatal (SDAPE), de la Subdirección de Supervisión (SDS) y de la Subdirección de Desarrollo Inmobiliario (SDDI) de la Superintendencia Nacional de Bienes Estatales - SBN. Comprende los predios del dominio privado del Estado y de las entidades que conforman el Sistema Nacional de Bienes Estatales a las que se hace referencia en los literales b, c y d del Artículo 8 de la Ley Nº 29151, en adelante “las entidades”.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426"/>
        <w:jc w:val="both"/>
        <w:rPr>
          <w:rFonts w:ascii="Arial" w:eastAsia="Calibri" w:hAnsi="Arial" w:cs="Arial"/>
          <w:b/>
          <w:lang w:val="es-ES"/>
        </w:rPr>
      </w:pPr>
      <w:r w:rsidRPr="006312E8">
        <w:rPr>
          <w:rFonts w:ascii="Arial" w:eastAsia="Calibri" w:hAnsi="Arial" w:cs="Arial"/>
          <w:b/>
          <w:lang w:val="es-ES"/>
        </w:rPr>
        <w:t>1.4 Base Legal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DF0797">
      <w:pPr>
        <w:numPr>
          <w:ilvl w:val="0"/>
          <w:numId w:val="115"/>
        </w:numPr>
        <w:spacing w:after="0" w:line="240" w:lineRule="auto"/>
        <w:ind w:left="1134"/>
        <w:contextualSpacing/>
        <w:jc w:val="both"/>
        <w:rPr>
          <w:rFonts w:ascii="Arial" w:eastAsia="Calibri" w:hAnsi="Arial" w:cs="Arial"/>
          <w:lang w:val="es-ES"/>
        </w:rPr>
      </w:pPr>
      <w:r w:rsidRPr="006312E8">
        <w:rPr>
          <w:rFonts w:ascii="Arial" w:eastAsia="Calibri" w:hAnsi="Arial" w:cs="Arial"/>
          <w:lang w:val="es-ES"/>
        </w:rPr>
        <w:t>Ley General del Sistema Nacional de Bienes Estatales, aprobada con Ley Nº 29151, en adelante “la Ley”.</w:t>
      </w:r>
    </w:p>
    <w:p w:rsidR="006312E8" w:rsidRPr="006312E8" w:rsidRDefault="006312E8" w:rsidP="006312E8">
      <w:pPr>
        <w:spacing w:after="0" w:line="240" w:lineRule="auto"/>
        <w:ind w:left="1134"/>
        <w:jc w:val="both"/>
        <w:rPr>
          <w:rFonts w:ascii="Arial" w:eastAsia="Calibri" w:hAnsi="Arial" w:cs="Arial"/>
          <w:lang w:val="es-ES"/>
        </w:rPr>
      </w:pPr>
    </w:p>
    <w:p w:rsidR="006312E8" w:rsidRPr="006312E8" w:rsidRDefault="006312E8" w:rsidP="00DF0797">
      <w:pPr>
        <w:numPr>
          <w:ilvl w:val="0"/>
          <w:numId w:val="115"/>
        </w:numPr>
        <w:spacing w:after="0" w:line="240" w:lineRule="auto"/>
        <w:ind w:left="1134"/>
        <w:contextualSpacing/>
        <w:jc w:val="both"/>
        <w:rPr>
          <w:rFonts w:ascii="Arial" w:eastAsia="Calibri" w:hAnsi="Arial" w:cs="Arial"/>
          <w:lang w:val="es-ES"/>
        </w:rPr>
      </w:pPr>
      <w:r w:rsidRPr="006312E8">
        <w:rPr>
          <w:rFonts w:ascii="Arial" w:eastAsia="Calibri" w:hAnsi="Arial" w:cs="Arial"/>
          <w:lang w:val="es-ES"/>
        </w:rPr>
        <w:t>Los literales b) y c) del numeral 14.1 del artículo 14 de la Ley, en los que se establece como una de las atribuciones de la Superintendencia Nacional de Bienes Estatales - SBN, la de expedir Directivas sobre los actos de adquisición, administración, registro y supervisión de los bienes estatales, para optimizar la gestión de los mismos.</w:t>
      </w:r>
    </w:p>
    <w:p w:rsidR="006312E8" w:rsidRPr="006312E8" w:rsidRDefault="006312E8" w:rsidP="006312E8">
      <w:pPr>
        <w:spacing w:after="0" w:line="240" w:lineRule="auto"/>
        <w:ind w:left="1134"/>
        <w:jc w:val="both"/>
        <w:rPr>
          <w:rFonts w:ascii="Arial" w:eastAsia="Calibri" w:hAnsi="Arial" w:cs="Arial"/>
          <w:lang w:val="es-ES"/>
        </w:rPr>
      </w:pPr>
    </w:p>
    <w:p w:rsidR="006312E8" w:rsidRPr="006312E8" w:rsidRDefault="006312E8" w:rsidP="00DF0797">
      <w:pPr>
        <w:numPr>
          <w:ilvl w:val="0"/>
          <w:numId w:val="115"/>
        </w:numPr>
        <w:spacing w:after="0" w:line="240" w:lineRule="auto"/>
        <w:ind w:left="1134"/>
        <w:contextualSpacing/>
        <w:jc w:val="both"/>
        <w:rPr>
          <w:rFonts w:ascii="Arial" w:eastAsia="Calibri" w:hAnsi="Arial" w:cs="Arial"/>
          <w:lang w:val="es-ES"/>
        </w:rPr>
      </w:pPr>
      <w:r w:rsidRPr="006312E8">
        <w:rPr>
          <w:rFonts w:ascii="Arial" w:eastAsia="Calibri" w:hAnsi="Arial" w:cs="Arial"/>
          <w:lang w:val="es-ES"/>
        </w:rPr>
        <w:t>Reglamento de la Ley General del Sistema Nacional de Bienes Estatales, aprobado con Decreto Supremo Nº 007-2008-VIVIENDA en adelante “el Reglamento”.</w:t>
      </w:r>
    </w:p>
    <w:p w:rsidR="006312E8" w:rsidRPr="006312E8" w:rsidRDefault="006312E8" w:rsidP="006312E8">
      <w:pPr>
        <w:spacing w:after="0" w:line="240" w:lineRule="auto"/>
        <w:ind w:left="1134"/>
        <w:jc w:val="both"/>
        <w:rPr>
          <w:rFonts w:ascii="Arial" w:eastAsia="Calibri" w:hAnsi="Arial" w:cs="Arial"/>
          <w:lang w:val="es-ES"/>
        </w:rPr>
      </w:pPr>
    </w:p>
    <w:p w:rsidR="006312E8" w:rsidRPr="006312E8" w:rsidRDefault="006312E8" w:rsidP="00DF0797">
      <w:pPr>
        <w:numPr>
          <w:ilvl w:val="0"/>
          <w:numId w:val="115"/>
        </w:numPr>
        <w:spacing w:after="0" w:line="240" w:lineRule="auto"/>
        <w:ind w:left="1134"/>
        <w:contextualSpacing/>
        <w:jc w:val="both"/>
        <w:rPr>
          <w:rFonts w:ascii="Arial" w:eastAsia="Calibri" w:hAnsi="Arial" w:cs="Arial"/>
          <w:lang w:val="es-ES"/>
        </w:rPr>
      </w:pPr>
      <w:r w:rsidRPr="006312E8">
        <w:rPr>
          <w:rFonts w:ascii="Arial" w:eastAsia="Calibri" w:hAnsi="Arial" w:cs="Arial"/>
          <w:lang w:val="es-ES"/>
        </w:rPr>
        <w:t>El artículo 1.01 del Reglamento Nacional de Tasaciones del Perú, aprobado por la Resolución Ministerial Nº 126-2007-VIVIENDA, de fecha 07 de mayo de 2007, dispone que dicho Reglamento tiene por finalidad establecer los criterios, conceptos, definiciones y procedimientos técnicos normativos para formular la valuación de bienes inmuebles y muebles, el artículo 1.06 dispone el uso obligatorio de dicho Reglamento en los casos en que se trate de practicar una valuación en la que el Estado interviene en alguna medida; y el artículo 1.8 establece que se denomina perito valuador al profesional colegiado que en razón de sus estudios superiores y a su experiencia, está debidamente capacitado para efectuar la valuación de un bien. Esta disposición, en cuanto a la condición de colegiado, no es aplicable en los casos de campos de actividad que no son materia de colegiación.</w:t>
      </w:r>
    </w:p>
    <w:p w:rsidR="006312E8" w:rsidRPr="006312E8" w:rsidRDefault="006312E8" w:rsidP="006312E8">
      <w:pPr>
        <w:spacing w:after="0" w:line="240" w:lineRule="auto"/>
        <w:ind w:left="1134"/>
        <w:jc w:val="both"/>
        <w:rPr>
          <w:rFonts w:ascii="Arial" w:eastAsia="Calibri" w:hAnsi="Arial" w:cs="Arial"/>
          <w:lang w:val="es-ES"/>
        </w:rPr>
      </w:pPr>
    </w:p>
    <w:p w:rsidR="006312E8" w:rsidRPr="006312E8" w:rsidRDefault="006312E8" w:rsidP="00DF0797">
      <w:pPr>
        <w:numPr>
          <w:ilvl w:val="0"/>
          <w:numId w:val="115"/>
        </w:numPr>
        <w:spacing w:after="0" w:line="240" w:lineRule="auto"/>
        <w:ind w:left="1134"/>
        <w:contextualSpacing/>
        <w:jc w:val="both"/>
        <w:rPr>
          <w:rFonts w:ascii="Arial" w:eastAsia="Calibri" w:hAnsi="Arial" w:cs="Arial"/>
          <w:lang w:val="es-ES"/>
        </w:rPr>
      </w:pPr>
      <w:r w:rsidRPr="006312E8">
        <w:rPr>
          <w:rFonts w:ascii="Arial" w:eastAsia="Calibri" w:hAnsi="Arial" w:cs="Arial"/>
          <w:lang w:val="es-ES"/>
        </w:rPr>
        <w:t>El literal c) del artículo 7 del Reglamento de Organización y Funciones de la SBN, aprobado por el Decreto Supremo Nº 016-2010-VIVIENDA.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2. DISPOSICIONES GENERALES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numPr>
          <w:ilvl w:val="1"/>
          <w:numId w:val="3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La SBN como ente rector del Sistema Nacional de Bienes Estatales, tiene a su cargo la función exclusiva de supervisión de los bienes estatales y de los actos que recaen sobre éstos, así como del cumplimiento del debido procedimiento que ejecuten las entidades públicas que conforman dicho Sistema.</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1"/>
          <w:numId w:val="3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La asunción de titularidad es el procedimiento que la SBN inicia de oficio, en representación del Estado, en cumplimiento de su función de supervisión, luego de comprobar mediante la inspección técnica correspondiente que el predio de una entidad pública está siendo destinado a finalidad diferente a la asignada o se encuentra en situación de abandono por un plazo de dos (2) años.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1"/>
          <w:numId w:val="3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Asimismo, de manera excepcional la SBN puede asumir titularidad sobre predios de propiedad del Estado para su venta, que se encuentren bajo su administración directa y que no hayan sido donados por particulares para fines específicos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1"/>
          <w:numId w:val="3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La valorización de los predios cuya titularidad es asumida por el Estado representado por la SBN, es efectuada por los profesionales de la SDAPE.</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1"/>
          <w:numId w:val="3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Las inspecciones técnicas que efectúa la SBN en cumplimiento de su función de supervisión sobre los predios de las entidades, se realizan periódicamente y sin previo aviso.</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1"/>
          <w:numId w:val="3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La SBN requerirá a la entidad propietaria del predio cuya titularidad se asume, acredite el pago de los servicios de agua, energía eléctrica y otros que correspondan, así como el pago de arbitrios y demás tributos que recaigan sobre dicho bien.</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numPr>
          <w:ilvl w:val="1"/>
          <w:numId w:val="3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La entidad propietaria del predio cuya titularidad asume el Estado representado por la SBN, será responsable del pago de las deudas que se hubieren generado en el predio por concepto de tributos y de servicios hasta el momento de la asunción de titularidad.</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3. DISPOSICIONES ESPECÍFICAS DEL PROCEDIMIENTO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84"/>
        <w:jc w:val="both"/>
        <w:rPr>
          <w:rFonts w:ascii="Arial" w:eastAsia="Calibri" w:hAnsi="Arial" w:cs="Arial"/>
          <w:lang w:val="es-ES"/>
        </w:rPr>
      </w:pPr>
      <w:r w:rsidRPr="006312E8">
        <w:rPr>
          <w:rFonts w:ascii="Arial" w:eastAsia="Calibri" w:hAnsi="Arial" w:cs="Arial"/>
          <w:lang w:val="es-ES"/>
        </w:rPr>
        <w:t>Procedimiento para la asunción de titularidad de predios de dominio privado de las entidades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709" w:hanging="425"/>
        <w:jc w:val="both"/>
        <w:rPr>
          <w:rFonts w:ascii="Arial" w:eastAsia="Calibri" w:hAnsi="Arial" w:cs="Arial"/>
          <w:b/>
          <w:lang w:val="es-ES"/>
        </w:rPr>
      </w:pPr>
      <w:r w:rsidRPr="006312E8">
        <w:rPr>
          <w:rFonts w:ascii="Arial" w:eastAsia="Calibri" w:hAnsi="Arial" w:cs="Arial"/>
          <w:b/>
          <w:lang w:val="es-ES"/>
        </w:rPr>
        <w:t xml:space="preserve">3.1 </w:t>
      </w:r>
      <w:r w:rsidRPr="006312E8">
        <w:rPr>
          <w:rFonts w:ascii="Arial" w:eastAsia="Calibri" w:hAnsi="Arial" w:cs="Arial"/>
          <w:b/>
          <w:lang w:val="es-ES"/>
        </w:rPr>
        <w:tab/>
        <w:t>Inicio del procedimiento</w:t>
      </w:r>
    </w:p>
    <w:p w:rsidR="006312E8" w:rsidRPr="006312E8" w:rsidRDefault="006312E8" w:rsidP="006312E8">
      <w:pPr>
        <w:spacing w:after="0" w:line="240" w:lineRule="auto"/>
        <w:ind w:left="709"/>
        <w:jc w:val="both"/>
        <w:rPr>
          <w:rFonts w:ascii="Arial" w:eastAsia="Calibri" w:hAnsi="Arial" w:cs="Arial"/>
          <w:lang w:val="es-ES"/>
        </w:rPr>
      </w:pPr>
      <w:r w:rsidRPr="006312E8">
        <w:rPr>
          <w:rFonts w:ascii="Arial" w:eastAsia="Calibri" w:hAnsi="Arial" w:cs="Arial"/>
          <w:lang w:val="es-ES"/>
        </w:rPr>
        <w:t>El procedimiento administrativo de asunción de titularidad se inicia luego que efectuada la inspección técnica por los profesionales de la SDS a un predio de propiedad estatal, advierte que éste se encuentra en estado de abandono por un plazo de 2 años o se está destinando a una finalidad distinta a la asignada.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84"/>
        <w:jc w:val="both"/>
        <w:rPr>
          <w:rFonts w:ascii="Arial" w:eastAsia="Calibri" w:hAnsi="Arial" w:cs="Arial"/>
          <w:b/>
          <w:lang w:val="es-ES"/>
        </w:rPr>
      </w:pPr>
      <w:r w:rsidRPr="006312E8">
        <w:rPr>
          <w:rFonts w:ascii="Arial" w:eastAsia="Calibri" w:hAnsi="Arial" w:cs="Arial"/>
          <w:b/>
          <w:lang w:val="es-ES"/>
        </w:rPr>
        <w:t>3.2 De la notificación para el descargo</w:t>
      </w:r>
    </w:p>
    <w:p w:rsidR="006312E8" w:rsidRPr="006312E8" w:rsidRDefault="006312E8" w:rsidP="006312E8">
      <w:pPr>
        <w:spacing w:after="0" w:line="240" w:lineRule="auto"/>
        <w:ind w:left="709"/>
        <w:jc w:val="both"/>
        <w:rPr>
          <w:rFonts w:ascii="Arial" w:eastAsia="Calibri" w:hAnsi="Arial" w:cs="Arial"/>
          <w:lang w:val="es-ES"/>
        </w:rPr>
      </w:pPr>
      <w:r w:rsidRPr="006312E8">
        <w:rPr>
          <w:rFonts w:ascii="Arial" w:eastAsia="Calibri" w:hAnsi="Arial" w:cs="Arial"/>
          <w:lang w:val="es-ES"/>
        </w:rPr>
        <w:t>La SDS notificará a la entidad propietaria de la situación física encontrada en el predio inspeccionado a fin de que efectúe el descargo correspondiente, otorgándole para tal efecto un plazo de quince (15) días calendario, computados a partir del día siguiente de recibida la notificación.</w:t>
      </w:r>
    </w:p>
    <w:p w:rsidR="006312E8" w:rsidRPr="006312E8" w:rsidRDefault="006312E8" w:rsidP="006312E8">
      <w:pPr>
        <w:spacing w:after="0" w:line="240" w:lineRule="auto"/>
        <w:ind w:left="709"/>
        <w:jc w:val="both"/>
        <w:rPr>
          <w:rFonts w:ascii="Arial" w:eastAsia="Calibri" w:hAnsi="Arial" w:cs="Arial"/>
          <w:lang w:val="es-ES"/>
        </w:rPr>
      </w:pPr>
    </w:p>
    <w:p w:rsidR="006312E8" w:rsidRPr="006312E8" w:rsidRDefault="006312E8" w:rsidP="006312E8">
      <w:pPr>
        <w:spacing w:after="0" w:line="240" w:lineRule="auto"/>
        <w:ind w:left="709"/>
        <w:jc w:val="both"/>
        <w:rPr>
          <w:rFonts w:ascii="Arial" w:eastAsia="Calibri" w:hAnsi="Arial" w:cs="Arial"/>
          <w:lang w:val="es-ES"/>
        </w:rPr>
      </w:pPr>
      <w:r w:rsidRPr="006312E8">
        <w:rPr>
          <w:rFonts w:ascii="Arial" w:eastAsia="Calibri" w:hAnsi="Arial" w:cs="Arial"/>
          <w:lang w:val="es-ES"/>
        </w:rPr>
        <w:t>Como parte del descargo, la entidad deberá adjuntar los recibos de pago de los servicios, tributos y demás obligaciones a las que se encuentra sujeto el predio.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84"/>
        <w:jc w:val="both"/>
        <w:rPr>
          <w:rFonts w:ascii="Arial" w:eastAsia="Calibri" w:hAnsi="Arial" w:cs="Arial"/>
          <w:b/>
          <w:lang w:val="es-ES"/>
        </w:rPr>
      </w:pPr>
      <w:r w:rsidRPr="006312E8">
        <w:rPr>
          <w:rFonts w:ascii="Arial" w:eastAsia="Calibri" w:hAnsi="Arial" w:cs="Arial"/>
          <w:b/>
          <w:lang w:val="es-ES"/>
        </w:rPr>
        <w:t xml:space="preserve">3.3 </w:t>
      </w:r>
      <w:r w:rsidRPr="006312E8">
        <w:rPr>
          <w:rFonts w:ascii="Arial" w:eastAsia="Calibri" w:hAnsi="Arial" w:cs="Arial"/>
          <w:b/>
          <w:lang w:val="es-ES"/>
        </w:rPr>
        <w:tab/>
        <w:t>Evaluación del descargo de la entidad</w:t>
      </w:r>
    </w:p>
    <w:p w:rsidR="006312E8" w:rsidRPr="006312E8" w:rsidRDefault="006312E8" w:rsidP="006312E8">
      <w:pPr>
        <w:spacing w:after="0" w:line="240" w:lineRule="auto"/>
        <w:ind w:left="709"/>
        <w:jc w:val="both"/>
        <w:rPr>
          <w:rFonts w:ascii="Arial" w:eastAsia="Calibri" w:hAnsi="Arial" w:cs="Arial"/>
          <w:lang w:val="es-ES"/>
        </w:rPr>
      </w:pPr>
      <w:r w:rsidRPr="006312E8">
        <w:rPr>
          <w:rFonts w:ascii="Arial" w:eastAsia="Calibri" w:hAnsi="Arial" w:cs="Arial"/>
          <w:lang w:val="es-ES"/>
        </w:rPr>
        <w:t>Presentado el descargo por parte de la entidad propietaria, los profesionales de la SDS a cargo del trámite, evaluarán los argumentos esgrimidos así como la documentación presentada; y, en caso fuera suficiente elaborarán el Informe Técnico Legal y proyecto de comunicación correspondiente a la entidad propietaria, poniendo fin al procedimiento.</w:t>
      </w:r>
    </w:p>
    <w:p w:rsidR="006312E8" w:rsidRPr="006312E8" w:rsidRDefault="006312E8" w:rsidP="006312E8">
      <w:pPr>
        <w:spacing w:after="0" w:line="240" w:lineRule="auto"/>
        <w:ind w:left="709"/>
        <w:jc w:val="both"/>
        <w:rPr>
          <w:rFonts w:ascii="Arial" w:eastAsia="Calibri" w:hAnsi="Arial" w:cs="Arial"/>
          <w:lang w:val="es-ES"/>
        </w:rPr>
      </w:pPr>
    </w:p>
    <w:p w:rsidR="006312E8" w:rsidRPr="006312E8" w:rsidRDefault="006312E8" w:rsidP="006312E8">
      <w:pPr>
        <w:spacing w:after="0" w:line="240" w:lineRule="auto"/>
        <w:ind w:left="709"/>
        <w:jc w:val="both"/>
        <w:rPr>
          <w:rFonts w:ascii="Arial" w:eastAsia="Calibri" w:hAnsi="Arial" w:cs="Arial"/>
          <w:lang w:val="es-ES"/>
        </w:rPr>
      </w:pPr>
      <w:r w:rsidRPr="006312E8">
        <w:rPr>
          <w:rFonts w:ascii="Arial" w:eastAsia="Calibri" w:hAnsi="Arial" w:cs="Arial"/>
          <w:lang w:val="es-ES"/>
        </w:rPr>
        <w:t>La SDS dispondrá respecto de estos predios la realización de inspecciones técnicas de manera periódica.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709" w:hanging="425"/>
        <w:jc w:val="both"/>
        <w:rPr>
          <w:rFonts w:ascii="Arial" w:eastAsia="Calibri" w:hAnsi="Arial" w:cs="Arial"/>
          <w:lang w:val="es-ES"/>
        </w:rPr>
      </w:pPr>
      <w:r w:rsidRPr="006312E8">
        <w:rPr>
          <w:rFonts w:ascii="Arial" w:eastAsia="Calibri" w:hAnsi="Arial" w:cs="Arial"/>
          <w:b/>
          <w:lang w:val="es-ES"/>
        </w:rPr>
        <w:t>3.4</w:t>
      </w:r>
      <w:r w:rsidRPr="006312E8">
        <w:rPr>
          <w:rFonts w:ascii="Arial" w:eastAsia="Calibri" w:hAnsi="Arial" w:cs="Arial"/>
          <w:lang w:val="es-ES"/>
        </w:rPr>
        <w:t>.</w:t>
      </w:r>
      <w:r w:rsidRPr="006312E8">
        <w:rPr>
          <w:rFonts w:ascii="Arial" w:eastAsia="Calibri" w:hAnsi="Arial" w:cs="Arial"/>
          <w:lang w:val="es-ES"/>
        </w:rPr>
        <w:tab/>
        <w:t>En caso el descargo fuera efectuado por la entidad propietaria de manera extemporánea o los argumentos esgrimidos no se encuentren acreditados, los profesionales a cargo del trámite elaborarán el Informe Técnico Legal correspondiente comunicándolo a la SDAPE para las acciones de su competencia.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709" w:hanging="425"/>
        <w:jc w:val="both"/>
        <w:rPr>
          <w:rFonts w:ascii="Arial" w:eastAsia="Calibri" w:hAnsi="Arial" w:cs="Arial"/>
          <w:b/>
          <w:lang w:val="es-ES"/>
        </w:rPr>
      </w:pPr>
      <w:r w:rsidRPr="006312E8">
        <w:rPr>
          <w:rFonts w:ascii="Arial" w:eastAsia="Calibri" w:hAnsi="Arial" w:cs="Arial"/>
          <w:b/>
          <w:lang w:val="es-ES"/>
        </w:rPr>
        <w:t>3.5. Informe Técnico Legal</w:t>
      </w:r>
    </w:p>
    <w:p w:rsidR="006312E8" w:rsidRPr="006312E8" w:rsidRDefault="006312E8" w:rsidP="006312E8">
      <w:pPr>
        <w:spacing w:after="0" w:line="240" w:lineRule="auto"/>
        <w:ind w:left="709"/>
        <w:jc w:val="both"/>
        <w:rPr>
          <w:rFonts w:ascii="Arial" w:eastAsia="Calibri" w:hAnsi="Arial" w:cs="Arial"/>
          <w:lang w:val="es-ES"/>
        </w:rPr>
      </w:pPr>
      <w:r w:rsidRPr="006312E8">
        <w:rPr>
          <w:rFonts w:ascii="Arial" w:eastAsia="Calibri" w:hAnsi="Arial" w:cs="Arial"/>
          <w:lang w:val="es-ES"/>
        </w:rPr>
        <w:t>El informe técnico legal que sustenta el trámite de asunción de titularidad del predio de propiedad estatal, será elaborado por el o los profesionales responsables del trámite y suscrito por el Jefe de la SDAPE, adjuntando el Proyecto de Resolución que aprobará la asunción de titularidad.</w:t>
      </w:r>
    </w:p>
    <w:p w:rsidR="006312E8" w:rsidRPr="006312E8" w:rsidRDefault="006312E8" w:rsidP="006312E8">
      <w:pPr>
        <w:spacing w:after="0" w:line="240" w:lineRule="auto"/>
        <w:ind w:left="709"/>
        <w:jc w:val="both"/>
        <w:rPr>
          <w:rFonts w:ascii="Arial" w:eastAsia="Calibri" w:hAnsi="Arial" w:cs="Arial"/>
          <w:lang w:val="es-ES"/>
        </w:rPr>
      </w:pPr>
    </w:p>
    <w:p w:rsidR="006312E8" w:rsidRPr="006312E8" w:rsidRDefault="006312E8" w:rsidP="006312E8">
      <w:pPr>
        <w:spacing w:after="0" w:line="240" w:lineRule="auto"/>
        <w:ind w:left="709"/>
        <w:jc w:val="both"/>
        <w:rPr>
          <w:rFonts w:ascii="Arial" w:eastAsia="Calibri" w:hAnsi="Arial" w:cs="Arial"/>
          <w:lang w:val="es-ES"/>
        </w:rPr>
      </w:pPr>
      <w:r w:rsidRPr="006312E8">
        <w:rPr>
          <w:rFonts w:ascii="Arial" w:eastAsia="Calibri" w:hAnsi="Arial" w:cs="Arial"/>
          <w:lang w:val="es-ES"/>
        </w:rPr>
        <w:t>El citado informe debe contener el análisis y fundamentación de la decisión de asumir la titularidad del predio.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709" w:hanging="425"/>
        <w:jc w:val="both"/>
        <w:rPr>
          <w:rFonts w:ascii="Arial" w:eastAsia="Calibri" w:hAnsi="Arial" w:cs="Arial"/>
          <w:b/>
          <w:lang w:val="es-ES"/>
        </w:rPr>
      </w:pPr>
      <w:r w:rsidRPr="006312E8">
        <w:rPr>
          <w:rFonts w:ascii="Arial" w:eastAsia="Calibri" w:hAnsi="Arial" w:cs="Arial"/>
          <w:b/>
          <w:lang w:val="es-ES"/>
        </w:rPr>
        <w:t>3.6. Expedición de la Resolución</w:t>
      </w:r>
    </w:p>
    <w:p w:rsidR="006312E8" w:rsidRPr="006312E8" w:rsidRDefault="006312E8" w:rsidP="006312E8">
      <w:pPr>
        <w:spacing w:after="0" w:line="240" w:lineRule="auto"/>
        <w:ind w:left="709"/>
        <w:jc w:val="both"/>
        <w:rPr>
          <w:rFonts w:ascii="Arial" w:eastAsia="Calibri" w:hAnsi="Arial" w:cs="Arial"/>
          <w:lang w:val="es-ES"/>
        </w:rPr>
      </w:pPr>
      <w:r w:rsidRPr="006312E8">
        <w:rPr>
          <w:rFonts w:ascii="Arial" w:eastAsia="Calibri" w:hAnsi="Arial" w:cs="Arial"/>
          <w:lang w:val="es-ES"/>
        </w:rPr>
        <w:t>La asunción de titularidad tramitada y sustentada por la SBN será aprobada con Resolución de la SDAPE.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84"/>
        <w:jc w:val="both"/>
        <w:rPr>
          <w:rFonts w:ascii="Arial" w:eastAsia="Calibri" w:hAnsi="Arial" w:cs="Arial"/>
          <w:b/>
          <w:lang w:val="es-ES"/>
        </w:rPr>
      </w:pPr>
      <w:r w:rsidRPr="006312E8">
        <w:rPr>
          <w:rFonts w:ascii="Arial" w:eastAsia="Calibri" w:hAnsi="Arial" w:cs="Arial"/>
          <w:b/>
          <w:lang w:val="es-ES"/>
        </w:rPr>
        <w:t xml:space="preserve">3.7 </w:t>
      </w:r>
      <w:r w:rsidRPr="006312E8">
        <w:rPr>
          <w:rFonts w:ascii="Arial" w:eastAsia="Calibri" w:hAnsi="Arial" w:cs="Arial"/>
          <w:b/>
          <w:lang w:val="es-ES"/>
        </w:rPr>
        <w:tab/>
        <w:t>Notificación de la Resolución</w:t>
      </w:r>
    </w:p>
    <w:p w:rsidR="006312E8" w:rsidRPr="006312E8" w:rsidRDefault="006312E8" w:rsidP="006312E8">
      <w:pPr>
        <w:spacing w:after="0" w:line="240" w:lineRule="auto"/>
        <w:ind w:left="709"/>
        <w:jc w:val="both"/>
        <w:rPr>
          <w:rFonts w:ascii="Arial" w:eastAsia="Calibri" w:hAnsi="Arial" w:cs="Arial"/>
          <w:lang w:val="es-ES"/>
        </w:rPr>
      </w:pPr>
      <w:r w:rsidRPr="006312E8">
        <w:rPr>
          <w:rFonts w:ascii="Arial" w:eastAsia="Calibri" w:hAnsi="Arial" w:cs="Arial"/>
          <w:lang w:val="es-ES"/>
        </w:rPr>
        <w:t>La Resolución que expida la SDAPE, mediante la cual se dispone la asunción de titularidad, será notificada a la entidad propietaria dentro del plazo de cinco (5) días computados a partir de su expedición.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709" w:hanging="425"/>
        <w:jc w:val="both"/>
        <w:rPr>
          <w:rFonts w:ascii="Arial" w:eastAsia="Calibri" w:hAnsi="Arial" w:cs="Arial"/>
          <w:b/>
          <w:lang w:val="es-ES"/>
        </w:rPr>
      </w:pPr>
      <w:r w:rsidRPr="006312E8">
        <w:rPr>
          <w:rFonts w:ascii="Arial" w:eastAsia="Calibri" w:hAnsi="Arial" w:cs="Arial"/>
          <w:b/>
          <w:lang w:val="es-ES"/>
        </w:rPr>
        <w:t xml:space="preserve">3.8 </w:t>
      </w:r>
      <w:r w:rsidRPr="006312E8">
        <w:rPr>
          <w:rFonts w:ascii="Arial" w:eastAsia="Calibri" w:hAnsi="Arial" w:cs="Arial"/>
          <w:b/>
          <w:lang w:val="es-ES"/>
        </w:rPr>
        <w:tab/>
        <w:t>De la actualización del SINABIP</w:t>
      </w:r>
    </w:p>
    <w:p w:rsidR="006312E8" w:rsidRPr="006312E8" w:rsidRDefault="006312E8" w:rsidP="006312E8">
      <w:pPr>
        <w:spacing w:after="0" w:line="240" w:lineRule="auto"/>
        <w:ind w:left="709"/>
        <w:jc w:val="both"/>
        <w:rPr>
          <w:rFonts w:ascii="Arial" w:eastAsia="Calibri" w:hAnsi="Arial" w:cs="Arial"/>
          <w:lang w:val="es-ES"/>
        </w:rPr>
      </w:pPr>
      <w:r w:rsidRPr="006312E8">
        <w:rPr>
          <w:rFonts w:ascii="Arial" w:eastAsia="Calibri" w:hAnsi="Arial" w:cs="Arial"/>
          <w:lang w:val="es-ES"/>
        </w:rPr>
        <w:t>Consentida que fuera la resolución emitida por la SDAPE que dispone la asunción de titularidad, será remitida al Registro de Predios para su inscripción, luego de lo cual la SDAPE procederá a ejecutar la anotación respectiva en el asiento correspondiente del SINABIP, así como remitir físicamente a la Subdirección de Registro y Catastro, la documentación sustentatoria pertinente.</w:t>
      </w:r>
    </w:p>
    <w:p w:rsidR="006312E8" w:rsidRPr="006312E8" w:rsidRDefault="006312E8" w:rsidP="006312E8">
      <w:pPr>
        <w:spacing w:after="0" w:line="240" w:lineRule="auto"/>
        <w:ind w:left="709"/>
        <w:jc w:val="both"/>
        <w:rPr>
          <w:rFonts w:ascii="Arial" w:eastAsia="Calibri" w:hAnsi="Arial" w:cs="Arial"/>
          <w:lang w:val="es-ES"/>
        </w:rPr>
      </w:pPr>
    </w:p>
    <w:p w:rsidR="006312E8" w:rsidRPr="006312E8" w:rsidRDefault="006312E8" w:rsidP="006312E8">
      <w:pPr>
        <w:spacing w:after="0" w:line="240" w:lineRule="auto"/>
        <w:ind w:left="709"/>
        <w:jc w:val="both"/>
        <w:rPr>
          <w:rFonts w:ascii="Arial" w:eastAsia="Calibri" w:hAnsi="Arial" w:cs="Arial"/>
          <w:lang w:val="es-ES"/>
        </w:rPr>
      </w:pPr>
      <w:r w:rsidRPr="006312E8">
        <w:rPr>
          <w:rFonts w:ascii="Arial" w:eastAsia="Calibri" w:hAnsi="Arial" w:cs="Arial"/>
          <w:lang w:val="es-ES"/>
        </w:rPr>
        <w:t>Asimismo, la SDAPE dispondrá el archivo definitivo del Expediente.</w:t>
      </w:r>
    </w:p>
    <w:p w:rsidR="006312E8" w:rsidRPr="006312E8" w:rsidRDefault="006312E8" w:rsidP="006312E8">
      <w:pPr>
        <w:spacing w:after="0" w:line="240" w:lineRule="auto"/>
        <w:ind w:left="709"/>
        <w:jc w:val="both"/>
        <w:rPr>
          <w:rFonts w:ascii="Arial" w:eastAsia="Calibri" w:hAnsi="Arial" w:cs="Arial"/>
          <w:lang w:val="es-ES"/>
        </w:rPr>
      </w:pPr>
    </w:p>
    <w:p w:rsidR="006312E8" w:rsidRPr="004303D3" w:rsidRDefault="006312E8" w:rsidP="004303D3">
      <w:pPr>
        <w:spacing w:after="0" w:line="240" w:lineRule="auto"/>
        <w:ind w:left="284"/>
        <w:jc w:val="both"/>
        <w:rPr>
          <w:rFonts w:ascii="Arial" w:eastAsia="Calibri" w:hAnsi="Arial" w:cs="Arial"/>
          <w:b/>
          <w:lang w:val="es-ES"/>
        </w:rPr>
      </w:pPr>
      <w:r w:rsidRPr="004303D3">
        <w:rPr>
          <w:rFonts w:ascii="Arial" w:eastAsia="Calibri" w:hAnsi="Arial" w:cs="Arial"/>
          <w:b/>
          <w:lang w:val="es-ES"/>
        </w:rPr>
        <w:t>Procedimiento para la asunción de titularidad de predios de dominio privado del Estado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709" w:hanging="425"/>
        <w:jc w:val="both"/>
        <w:rPr>
          <w:rFonts w:ascii="Arial" w:eastAsia="Calibri" w:hAnsi="Arial" w:cs="Arial"/>
          <w:lang w:val="es-ES"/>
        </w:rPr>
      </w:pPr>
      <w:r w:rsidRPr="006312E8">
        <w:rPr>
          <w:rFonts w:ascii="Arial" w:eastAsia="Calibri" w:hAnsi="Arial" w:cs="Arial"/>
          <w:b/>
          <w:lang w:val="es-ES"/>
        </w:rPr>
        <w:t>3.9</w:t>
      </w:r>
      <w:r w:rsidRPr="006312E8">
        <w:rPr>
          <w:rFonts w:ascii="Arial" w:eastAsia="Calibri" w:hAnsi="Arial" w:cs="Arial"/>
          <w:lang w:val="es-ES"/>
        </w:rPr>
        <w:t xml:space="preserve"> </w:t>
      </w:r>
      <w:r w:rsidRPr="006312E8">
        <w:rPr>
          <w:rFonts w:ascii="Arial" w:eastAsia="Calibri" w:hAnsi="Arial" w:cs="Arial"/>
          <w:lang w:val="es-ES"/>
        </w:rPr>
        <w:tab/>
        <w:t>Para la venta de predios de dominio privado del Estado mediante subasta pública o venta directa, excepcionalmente la SDDI solicitará mediante Memorándum a la SDAPE que tramite la asunción de titularidad de la SBN sobre dichos predios, para lo cual adjuntará la documentación técnica y legal respectiva, incluyendo el Informe de la inspección técnica efectuada.</w:t>
      </w:r>
    </w:p>
    <w:p w:rsidR="006312E8" w:rsidRPr="006312E8" w:rsidRDefault="006312E8" w:rsidP="006312E8">
      <w:pPr>
        <w:spacing w:after="0" w:line="240" w:lineRule="auto"/>
        <w:ind w:left="709" w:hanging="425"/>
        <w:jc w:val="both"/>
        <w:rPr>
          <w:rFonts w:ascii="Arial" w:eastAsia="Calibri" w:hAnsi="Arial" w:cs="Arial"/>
          <w:lang w:val="es-ES"/>
        </w:rPr>
      </w:pPr>
    </w:p>
    <w:p w:rsidR="006312E8" w:rsidRPr="006312E8" w:rsidRDefault="006312E8" w:rsidP="006312E8">
      <w:pPr>
        <w:spacing w:after="0" w:line="240" w:lineRule="auto"/>
        <w:ind w:left="709" w:hanging="567"/>
        <w:jc w:val="both"/>
        <w:rPr>
          <w:rFonts w:ascii="Arial" w:eastAsia="Calibri" w:hAnsi="Arial" w:cs="Arial"/>
          <w:lang w:val="es-ES"/>
        </w:rPr>
      </w:pPr>
      <w:r w:rsidRPr="006312E8">
        <w:rPr>
          <w:rFonts w:ascii="Arial" w:eastAsia="Calibri" w:hAnsi="Arial" w:cs="Arial"/>
          <w:b/>
          <w:lang w:val="es-ES"/>
        </w:rPr>
        <w:t>3.10</w:t>
      </w:r>
      <w:r w:rsidRPr="006312E8">
        <w:rPr>
          <w:rFonts w:ascii="Arial" w:eastAsia="Calibri" w:hAnsi="Arial" w:cs="Arial"/>
          <w:lang w:val="es-ES"/>
        </w:rPr>
        <w:t xml:space="preserve"> </w:t>
      </w:r>
      <w:r w:rsidRPr="006312E8">
        <w:rPr>
          <w:rFonts w:ascii="Arial" w:eastAsia="Calibri" w:hAnsi="Arial" w:cs="Arial"/>
          <w:lang w:val="es-ES"/>
        </w:rPr>
        <w:tab/>
        <w:t>En caso el predio objeto de trámite fuera uno de dominio público, que ha perdido la naturaleza o condición apropiada para su uso público o para prestar un servicio público, la SDDI debe, previa a la solicitud de asunción de titularidad, expedir la Resolución aprobando la desafectación administrativa respectiva.</w:t>
      </w:r>
    </w:p>
    <w:p w:rsidR="006312E8" w:rsidRPr="006312E8" w:rsidRDefault="006312E8" w:rsidP="006312E8">
      <w:pPr>
        <w:spacing w:after="0" w:line="240" w:lineRule="auto"/>
        <w:ind w:left="709" w:hanging="567"/>
        <w:jc w:val="both"/>
        <w:rPr>
          <w:rFonts w:ascii="Arial" w:eastAsia="Calibri" w:hAnsi="Arial" w:cs="Arial"/>
          <w:lang w:val="es-ES"/>
        </w:rPr>
      </w:pPr>
    </w:p>
    <w:p w:rsidR="006312E8" w:rsidRPr="006312E8" w:rsidRDefault="006312E8" w:rsidP="006312E8">
      <w:pPr>
        <w:spacing w:after="0" w:line="240" w:lineRule="auto"/>
        <w:ind w:left="709" w:hanging="567"/>
        <w:jc w:val="both"/>
        <w:rPr>
          <w:rFonts w:ascii="Arial" w:eastAsia="Calibri" w:hAnsi="Arial" w:cs="Arial"/>
          <w:lang w:val="es-ES"/>
        </w:rPr>
      </w:pPr>
      <w:r w:rsidRPr="006312E8">
        <w:rPr>
          <w:rFonts w:ascii="Arial" w:eastAsia="Calibri" w:hAnsi="Arial" w:cs="Arial"/>
          <w:b/>
          <w:lang w:val="es-ES"/>
        </w:rPr>
        <w:t>3.11</w:t>
      </w:r>
      <w:r w:rsidRPr="006312E8">
        <w:rPr>
          <w:rFonts w:ascii="Arial" w:eastAsia="Calibri" w:hAnsi="Arial" w:cs="Arial"/>
          <w:lang w:val="es-ES"/>
        </w:rPr>
        <w:t xml:space="preserve"> </w:t>
      </w:r>
      <w:r w:rsidRPr="006312E8">
        <w:rPr>
          <w:rFonts w:ascii="Arial" w:eastAsia="Calibri" w:hAnsi="Arial" w:cs="Arial"/>
          <w:lang w:val="es-ES"/>
        </w:rPr>
        <w:tab/>
        <w:t>Luego de efectuada la solicitud de asunción de titularidad, los encargados del trámite en la SDAPE elaborarán el Informe Técnico Legal sustentatorio de la asunción de titularidad así como el proyecto de Resolución correspondiente.</w:t>
      </w:r>
    </w:p>
    <w:p w:rsidR="006312E8" w:rsidRPr="006312E8" w:rsidRDefault="006312E8" w:rsidP="006312E8">
      <w:pPr>
        <w:spacing w:after="0" w:line="240" w:lineRule="auto"/>
        <w:ind w:hanging="567"/>
        <w:jc w:val="both"/>
        <w:rPr>
          <w:rFonts w:ascii="Arial" w:eastAsia="Calibri" w:hAnsi="Arial" w:cs="Arial"/>
          <w:lang w:val="es-ES"/>
        </w:rPr>
      </w:pPr>
    </w:p>
    <w:p w:rsidR="006312E8" w:rsidRPr="006312E8" w:rsidRDefault="006312E8" w:rsidP="006312E8">
      <w:pPr>
        <w:spacing w:after="0" w:line="240" w:lineRule="auto"/>
        <w:ind w:left="709" w:hanging="567"/>
        <w:jc w:val="both"/>
        <w:rPr>
          <w:rFonts w:ascii="Arial" w:eastAsia="Calibri" w:hAnsi="Arial" w:cs="Arial"/>
          <w:b/>
          <w:lang w:val="es-ES"/>
        </w:rPr>
      </w:pPr>
      <w:r w:rsidRPr="006312E8">
        <w:rPr>
          <w:rFonts w:ascii="Arial" w:eastAsia="Calibri" w:hAnsi="Arial" w:cs="Arial"/>
          <w:b/>
          <w:lang w:val="es-ES"/>
        </w:rPr>
        <w:t>3.12</w:t>
      </w:r>
      <w:r w:rsidRPr="006312E8">
        <w:rPr>
          <w:rFonts w:ascii="Arial" w:eastAsia="Calibri" w:hAnsi="Arial" w:cs="Arial"/>
          <w:lang w:val="es-ES"/>
        </w:rPr>
        <w:t xml:space="preserve"> </w:t>
      </w:r>
      <w:r w:rsidRPr="006312E8">
        <w:rPr>
          <w:rFonts w:ascii="Arial" w:eastAsia="Calibri" w:hAnsi="Arial" w:cs="Arial"/>
          <w:lang w:val="es-ES"/>
        </w:rPr>
        <w:tab/>
      </w:r>
      <w:r w:rsidRPr="006312E8">
        <w:rPr>
          <w:rFonts w:ascii="Arial" w:eastAsia="Calibri" w:hAnsi="Arial" w:cs="Arial"/>
          <w:b/>
          <w:lang w:val="es-ES"/>
        </w:rPr>
        <w:t>Expedición de la Resolución</w:t>
      </w:r>
    </w:p>
    <w:p w:rsidR="006312E8" w:rsidRPr="006312E8" w:rsidRDefault="006312E8" w:rsidP="006312E8">
      <w:pPr>
        <w:spacing w:after="0" w:line="240" w:lineRule="auto"/>
        <w:ind w:left="709"/>
        <w:jc w:val="both"/>
        <w:rPr>
          <w:rFonts w:ascii="Arial" w:eastAsia="Calibri" w:hAnsi="Arial" w:cs="Arial"/>
          <w:lang w:val="es-ES"/>
        </w:rPr>
      </w:pPr>
      <w:r w:rsidRPr="006312E8">
        <w:rPr>
          <w:rFonts w:ascii="Arial" w:eastAsia="Calibri" w:hAnsi="Arial" w:cs="Arial"/>
          <w:lang w:val="es-ES"/>
        </w:rPr>
        <w:t>La SDAPE es la unidad orgánica encargada de aprobar la Resolución disponiendo la asunción de titularidad de la SBN, sobre predios de dominio privado del Estado.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709" w:hanging="567"/>
        <w:jc w:val="both"/>
        <w:rPr>
          <w:rFonts w:ascii="Arial" w:eastAsia="Calibri" w:hAnsi="Arial" w:cs="Arial"/>
          <w:b/>
          <w:lang w:val="es-ES"/>
        </w:rPr>
      </w:pPr>
      <w:r w:rsidRPr="006312E8">
        <w:rPr>
          <w:rFonts w:ascii="Arial" w:eastAsia="Calibri" w:hAnsi="Arial" w:cs="Arial"/>
          <w:b/>
          <w:lang w:val="es-ES"/>
        </w:rPr>
        <w:t xml:space="preserve">3.13 </w:t>
      </w:r>
      <w:r w:rsidRPr="006312E8">
        <w:rPr>
          <w:rFonts w:ascii="Arial" w:eastAsia="Calibri" w:hAnsi="Arial" w:cs="Arial"/>
          <w:b/>
          <w:lang w:val="es-ES"/>
        </w:rPr>
        <w:tab/>
        <w:t>Notificación de la Resolución</w:t>
      </w:r>
    </w:p>
    <w:p w:rsidR="006312E8" w:rsidRPr="006312E8" w:rsidRDefault="006312E8" w:rsidP="006312E8">
      <w:pPr>
        <w:spacing w:after="0" w:line="240" w:lineRule="auto"/>
        <w:ind w:left="709"/>
        <w:jc w:val="both"/>
        <w:rPr>
          <w:rFonts w:ascii="Arial" w:eastAsia="Calibri" w:hAnsi="Arial" w:cs="Arial"/>
          <w:lang w:val="es-ES"/>
        </w:rPr>
      </w:pPr>
      <w:r w:rsidRPr="006312E8">
        <w:rPr>
          <w:rFonts w:ascii="Arial" w:eastAsia="Calibri" w:hAnsi="Arial" w:cs="Arial"/>
          <w:lang w:val="es-ES"/>
        </w:rPr>
        <w:t>La SDAPE comunicará a la SDDI, la asunción de titularidad, dentro del plazo de cinco (5) días de expedida la Resolución para la prosecución del trámite de venta.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567" w:hanging="425"/>
        <w:jc w:val="both"/>
        <w:rPr>
          <w:rFonts w:ascii="Arial" w:eastAsia="Calibri" w:hAnsi="Arial" w:cs="Arial"/>
          <w:b/>
          <w:lang w:val="es-ES"/>
        </w:rPr>
      </w:pPr>
      <w:r w:rsidRPr="006312E8">
        <w:rPr>
          <w:rFonts w:ascii="Arial" w:eastAsia="Calibri" w:hAnsi="Arial" w:cs="Arial"/>
          <w:b/>
          <w:lang w:val="es-ES"/>
        </w:rPr>
        <w:t xml:space="preserve">3.14 </w:t>
      </w:r>
      <w:r w:rsidRPr="006312E8">
        <w:rPr>
          <w:rFonts w:ascii="Arial" w:eastAsia="Calibri" w:hAnsi="Arial" w:cs="Arial"/>
          <w:b/>
          <w:lang w:val="es-ES"/>
        </w:rPr>
        <w:tab/>
        <w:t>De la actualización del SINABIP</w:t>
      </w:r>
    </w:p>
    <w:p w:rsidR="006312E8" w:rsidRPr="006312E8" w:rsidRDefault="006312E8" w:rsidP="006312E8">
      <w:pPr>
        <w:spacing w:after="0" w:line="240" w:lineRule="auto"/>
        <w:ind w:left="709"/>
        <w:jc w:val="both"/>
        <w:rPr>
          <w:rFonts w:ascii="Arial" w:eastAsia="Calibri" w:hAnsi="Arial" w:cs="Arial"/>
          <w:lang w:val="es-ES"/>
        </w:rPr>
      </w:pPr>
      <w:r w:rsidRPr="006312E8">
        <w:rPr>
          <w:rFonts w:ascii="Arial" w:eastAsia="Calibri" w:hAnsi="Arial" w:cs="Arial"/>
          <w:lang w:val="es-ES"/>
        </w:rPr>
        <w:t>Consentida que fuera la resolución emitida por la SDAPE que dispone la asunción de titularidad, será remitida al Registro de Predios para su inscripción, luego de lo cual la SDAPE procederá a ejecutar la anotación respectiva en el asiento correspondiente del SINABIP, así como remitir físicamente a la Subdirección de Registro y Catastro, la documentación sustentatoria pertinente.</w:t>
      </w:r>
    </w:p>
    <w:p w:rsidR="006312E8" w:rsidRPr="006312E8" w:rsidRDefault="006312E8" w:rsidP="006312E8">
      <w:pPr>
        <w:spacing w:after="0" w:line="240" w:lineRule="auto"/>
        <w:ind w:left="709"/>
        <w:jc w:val="both"/>
        <w:rPr>
          <w:rFonts w:ascii="Arial" w:eastAsia="Calibri" w:hAnsi="Arial" w:cs="Arial"/>
          <w:lang w:val="es-ES"/>
        </w:rPr>
      </w:pPr>
    </w:p>
    <w:p w:rsidR="006312E8" w:rsidRPr="006312E8" w:rsidRDefault="006312E8" w:rsidP="006312E8">
      <w:pPr>
        <w:spacing w:after="0" w:line="240" w:lineRule="auto"/>
        <w:ind w:left="709"/>
        <w:jc w:val="both"/>
        <w:rPr>
          <w:rFonts w:ascii="Arial" w:eastAsia="Calibri" w:hAnsi="Arial" w:cs="Arial"/>
          <w:lang w:val="es-ES"/>
        </w:rPr>
      </w:pPr>
      <w:r w:rsidRPr="006312E8">
        <w:rPr>
          <w:rFonts w:ascii="Arial" w:eastAsia="Calibri" w:hAnsi="Arial" w:cs="Arial"/>
          <w:lang w:val="es-ES"/>
        </w:rPr>
        <w:t>Asimismo, la SDAPE dispondrá el archivo definitivo del expediente.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4. Disposición Transitoria, Complementaria y Final</w:t>
      </w:r>
    </w:p>
    <w:p w:rsidR="006312E8" w:rsidRPr="006312E8" w:rsidRDefault="006312E8" w:rsidP="006312E8">
      <w:pPr>
        <w:spacing w:after="0" w:line="240" w:lineRule="auto"/>
        <w:ind w:left="284"/>
        <w:jc w:val="both"/>
        <w:rPr>
          <w:rFonts w:ascii="Arial" w:eastAsia="Calibri" w:hAnsi="Arial" w:cs="Arial"/>
          <w:lang w:val="es-ES"/>
        </w:rPr>
      </w:pPr>
    </w:p>
    <w:p w:rsidR="006312E8" w:rsidRPr="006312E8" w:rsidRDefault="006312E8" w:rsidP="006312E8">
      <w:pPr>
        <w:spacing w:after="0" w:line="240" w:lineRule="auto"/>
        <w:ind w:left="284"/>
        <w:jc w:val="both"/>
        <w:rPr>
          <w:rFonts w:ascii="Arial" w:eastAsia="Calibri" w:hAnsi="Arial" w:cs="Arial"/>
          <w:b/>
          <w:lang w:val="es-ES"/>
        </w:rPr>
      </w:pPr>
      <w:r w:rsidRPr="006312E8">
        <w:rPr>
          <w:rFonts w:ascii="Arial" w:eastAsia="Calibri" w:hAnsi="Arial" w:cs="Arial"/>
          <w:b/>
          <w:lang w:val="es-ES"/>
        </w:rPr>
        <w:t>Primera.- De la vigencia</w:t>
      </w:r>
    </w:p>
    <w:p w:rsidR="006312E8" w:rsidRPr="006312E8" w:rsidRDefault="006312E8" w:rsidP="006312E8">
      <w:pPr>
        <w:spacing w:after="0" w:line="240" w:lineRule="auto"/>
        <w:ind w:left="284"/>
        <w:jc w:val="both"/>
        <w:rPr>
          <w:rFonts w:ascii="Arial" w:eastAsia="Calibri" w:hAnsi="Arial" w:cs="Arial"/>
          <w:lang w:val="es-ES"/>
        </w:rPr>
      </w:pPr>
      <w:r w:rsidRPr="006312E8">
        <w:rPr>
          <w:rFonts w:ascii="Arial" w:eastAsia="Calibri" w:hAnsi="Arial" w:cs="Arial"/>
          <w:lang w:val="es-ES"/>
        </w:rPr>
        <w:t>La presente Directiva entrará en vigencia al día siguiente de su publicación.</w:t>
      </w:r>
    </w:p>
    <w:p w:rsidR="006312E8" w:rsidRPr="006312E8" w:rsidRDefault="006312E8" w:rsidP="006312E8">
      <w:pPr>
        <w:spacing w:after="0" w:line="240" w:lineRule="auto"/>
        <w:ind w:left="284"/>
        <w:jc w:val="both"/>
        <w:rPr>
          <w:rFonts w:ascii="Arial" w:eastAsia="Calibri" w:hAnsi="Arial" w:cs="Arial"/>
          <w:lang w:val="es-ES"/>
        </w:rPr>
      </w:pPr>
    </w:p>
    <w:p w:rsidR="006312E8" w:rsidRPr="006312E8" w:rsidRDefault="006312E8" w:rsidP="006312E8">
      <w:pPr>
        <w:spacing w:after="0" w:line="240" w:lineRule="auto"/>
        <w:ind w:left="284"/>
        <w:jc w:val="both"/>
        <w:rPr>
          <w:rFonts w:ascii="Arial" w:eastAsia="Calibri" w:hAnsi="Arial" w:cs="Arial"/>
          <w:b/>
          <w:lang w:val="es-ES"/>
        </w:rPr>
      </w:pPr>
      <w:r w:rsidRPr="006312E8">
        <w:rPr>
          <w:rFonts w:ascii="Arial" w:eastAsia="Calibri" w:hAnsi="Arial" w:cs="Arial"/>
          <w:b/>
          <w:lang w:val="es-ES"/>
        </w:rPr>
        <w:t>Segunda.- De los procedimientos iniciados antes de la entrada en vigencia de la presente Directiva.</w:t>
      </w:r>
    </w:p>
    <w:p w:rsidR="006312E8" w:rsidRPr="006312E8" w:rsidRDefault="006312E8" w:rsidP="006312E8">
      <w:pPr>
        <w:spacing w:after="0" w:line="240" w:lineRule="auto"/>
        <w:ind w:left="284"/>
        <w:jc w:val="both"/>
        <w:rPr>
          <w:rFonts w:ascii="Arial" w:eastAsia="Calibri" w:hAnsi="Arial" w:cs="Arial"/>
          <w:lang w:val="es-ES"/>
        </w:rPr>
      </w:pPr>
      <w:r w:rsidRPr="006312E8">
        <w:rPr>
          <w:rFonts w:ascii="Arial" w:eastAsia="Calibri" w:hAnsi="Arial" w:cs="Arial"/>
          <w:lang w:val="es-ES"/>
        </w:rPr>
        <w:t>Los procedimientos de asunción de titularidad que se encuentren en trámite y se hayan iniciado con el Reglamento de la Ley Nº 29151, se regirán por la presente Directiva.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E104C8">
      <w:pPr>
        <w:pStyle w:val="TITO2"/>
        <w:rPr>
          <w:u w:val="single"/>
        </w:rPr>
      </w:pPr>
      <w:bookmarkStart w:id="243" w:name="_Toc392856211"/>
      <w:bookmarkStart w:id="244" w:name="_Toc399335486"/>
      <w:bookmarkStart w:id="245" w:name="_Toc421025433"/>
      <w:bookmarkStart w:id="246" w:name="_Toc470855535"/>
      <w:r w:rsidRPr="006312E8">
        <w:t>ACTOS DE ADMINISTRACION</w:t>
      </w:r>
      <w:bookmarkEnd w:id="243"/>
      <w:bookmarkEnd w:id="244"/>
      <w:bookmarkEnd w:id="245"/>
      <w:bookmarkEnd w:id="246"/>
    </w:p>
    <w:p w:rsidR="006312E8" w:rsidRPr="006312E8" w:rsidRDefault="006312E8" w:rsidP="006312E8">
      <w:pPr>
        <w:spacing w:after="0" w:line="240" w:lineRule="auto"/>
        <w:jc w:val="both"/>
        <w:rPr>
          <w:rFonts w:ascii="Arial" w:eastAsia="Calibri" w:hAnsi="Arial" w:cs="Arial"/>
          <w:lang w:val="es-ES"/>
        </w:rPr>
      </w:pPr>
    </w:p>
    <w:p w:rsidR="006312E8" w:rsidRPr="006312E8" w:rsidRDefault="007F56F0" w:rsidP="006312E8">
      <w:pPr>
        <w:spacing w:after="0" w:line="240" w:lineRule="auto"/>
        <w:jc w:val="center"/>
        <w:rPr>
          <w:rFonts w:ascii="Arial" w:eastAsia="Calibri" w:hAnsi="Arial" w:cs="Arial"/>
          <w:b/>
          <w:sz w:val="28"/>
          <w:szCs w:val="28"/>
          <w:lang w:val="es-ES"/>
        </w:rPr>
      </w:pPr>
      <w:r>
        <w:rPr>
          <w:rFonts w:ascii="Arial" w:eastAsia="Calibri" w:hAnsi="Arial" w:cs="Arial"/>
          <w:b/>
          <w:sz w:val="28"/>
          <w:szCs w:val="28"/>
          <w:lang w:val="es-ES"/>
        </w:rPr>
        <w:t>RESOLUCION Nº 068</w:t>
      </w:r>
      <w:r w:rsidR="006312E8" w:rsidRPr="006312E8">
        <w:rPr>
          <w:rFonts w:ascii="Arial" w:eastAsia="Calibri" w:hAnsi="Arial" w:cs="Arial"/>
          <w:b/>
          <w:sz w:val="28"/>
          <w:szCs w:val="28"/>
          <w:lang w:val="es-ES"/>
        </w:rPr>
        <w:t>-20</w:t>
      </w:r>
      <w:r>
        <w:rPr>
          <w:rFonts w:ascii="Arial" w:eastAsia="Calibri" w:hAnsi="Arial" w:cs="Arial"/>
          <w:b/>
          <w:sz w:val="28"/>
          <w:szCs w:val="28"/>
          <w:lang w:val="es-ES"/>
        </w:rPr>
        <w:t>16/</w:t>
      </w:r>
      <w:r w:rsidR="006312E8" w:rsidRPr="006312E8">
        <w:rPr>
          <w:rFonts w:ascii="Arial" w:eastAsia="Calibri" w:hAnsi="Arial" w:cs="Arial"/>
          <w:b/>
          <w:sz w:val="28"/>
          <w:szCs w:val="28"/>
          <w:lang w:val="es-ES"/>
        </w:rPr>
        <w:t>SBN</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 xml:space="preserve">Aprueban Directiva </w:t>
      </w:r>
      <w:r w:rsidR="007F56F0">
        <w:rPr>
          <w:rFonts w:ascii="Arial" w:eastAsia="Calibri" w:hAnsi="Arial" w:cs="Arial"/>
          <w:b/>
          <w:lang w:val="es-ES"/>
        </w:rPr>
        <w:t>denominada</w:t>
      </w:r>
      <w:r w:rsidRPr="006312E8">
        <w:rPr>
          <w:rFonts w:ascii="Arial" w:eastAsia="Calibri" w:hAnsi="Arial" w:cs="Arial"/>
          <w:b/>
          <w:lang w:val="es-ES"/>
        </w:rPr>
        <w:t xml:space="preserve"> “Procedimiento</w:t>
      </w:r>
      <w:r w:rsidR="007F56F0">
        <w:rPr>
          <w:rFonts w:ascii="Arial" w:eastAsia="Calibri" w:hAnsi="Arial" w:cs="Arial"/>
          <w:b/>
          <w:lang w:val="es-ES"/>
        </w:rPr>
        <w:t>s</w:t>
      </w:r>
      <w:r w:rsidRPr="006312E8">
        <w:rPr>
          <w:rFonts w:ascii="Arial" w:eastAsia="Calibri" w:hAnsi="Arial" w:cs="Arial"/>
          <w:b/>
          <w:lang w:val="es-ES"/>
        </w:rPr>
        <w:t xml:space="preserve"> para el Arrendamiento de Predios de Dominio Privado </w:t>
      </w:r>
      <w:r w:rsidR="007F56F0">
        <w:rPr>
          <w:rFonts w:ascii="Arial" w:eastAsia="Calibri" w:hAnsi="Arial" w:cs="Arial"/>
          <w:b/>
          <w:lang w:val="es-ES"/>
        </w:rPr>
        <w:t>Estatal</w:t>
      </w:r>
      <w:r w:rsidRPr="006312E8">
        <w:rPr>
          <w:rFonts w:ascii="Arial" w:eastAsia="Calibri" w:hAnsi="Arial" w:cs="Arial"/>
          <w:b/>
          <w:lang w:val="es-ES"/>
        </w:rPr>
        <w:t xml:space="preserve"> de Libre Disponibilidad”</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right"/>
        <w:rPr>
          <w:rFonts w:ascii="Arial" w:eastAsia="Calibri" w:hAnsi="Arial" w:cs="Arial"/>
          <w:b/>
          <w:lang w:val="es-ES"/>
        </w:rPr>
      </w:pPr>
      <w:r w:rsidRPr="006312E8">
        <w:rPr>
          <w:rFonts w:ascii="Arial" w:eastAsia="Calibri" w:hAnsi="Arial" w:cs="Arial"/>
          <w:b/>
          <w:lang w:val="es-ES"/>
        </w:rPr>
        <w:t xml:space="preserve">Fecha de publicación: </w:t>
      </w:r>
      <w:r w:rsidR="007F56F0">
        <w:rPr>
          <w:rFonts w:ascii="Arial" w:eastAsia="Calibri" w:hAnsi="Arial" w:cs="Arial"/>
          <w:b/>
          <w:lang w:val="es-ES"/>
        </w:rPr>
        <w:t>16</w:t>
      </w:r>
      <w:r w:rsidRPr="006312E8">
        <w:rPr>
          <w:rFonts w:ascii="Arial" w:eastAsia="Calibri" w:hAnsi="Arial" w:cs="Arial"/>
          <w:b/>
          <w:lang w:val="es-ES"/>
        </w:rPr>
        <w:t>-0</w:t>
      </w:r>
      <w:r w:rsidR="007F56F0">
        <w:rPr>
          <w:rFonts w:ascii="Arial" w:eastAsia="Calibri" w:hAnsi="Arial" w:cs="Arial"/>
          <w:b/>
          <w:lang w:val="es-ES"/>
        </w:rPr>
        <w:t>9</w:t>
      </w:r>
      <w:r w:rsidRPr="006312E8">
        <w:rPr>
          <w:rFonts w:ascii="Arial" w:eastAsia="Calibri" w:hAnsi="Arial" w:cs="Arial"/>
          <w:b/>
          <w:lang w:val="es-ES"/>
        </w:rPr>
        <w:t>-20</w:t>
      </w:r>
      <w:r w:rsidR="007F56F0">
        <w:rPr>
          <w:rFonts w:ascii="Arial" w:eastAsia="Calibri" w:hAnsi="Arial" w:cs="Arial"/>
          <w:b/>
          <w:lang w:val="es-ES"/>
        </w:rPr>
        <w:t>16</w:t>
      </w:r>
    </w:p>
    <w:p w:rsidR="006312E8" w:rsidRPr="006312E8" w:rsidRDefault="006312E8" w:rsidP="006312E8">
      <w:pPr>
        <w:spacing w:after="0" w:line="240" w:lineRule="auto"/>
        <w:jc w:val="both"/>
        <w:rPr>
          <w:rFonts w:ascii="Arial" w:eastAsia="Calibri" w:hAnsi="Arial" w:cs="Arial"/>
          <w:lang w:val="es-ES"/>
        </w:rPr>
      </w:pPr>
    </w:p>
    <w:p w:rsidR="007F56F0" w:rsidRPr="007F56F0" w:rsidRDefault="007F56F0" w:rsidP="007F56F0">
      <w:pPr>
        <w:autoSpaceDE w:val="0"/>
        <w:autoSpaceDN w:val="0"/>
        <w:adjustRightInd w:val="0"/>
        <w:spacing w:after="0" w:line="240" w:lineRule="auto"/>
        <w:jc w:val="both"/>
        <w:rPr>
          <w:rFonts w:ascii="Arial" w:eastAsia="Times New Roman" w:hAnsi="Arial" w:cs="Arial"/>
          <w:lang w:val="es-ES_tradnl" w:eastAsia="es-ES"/>
        </w:rPr>
      </w:pPr>
      <w:bookmarkStart w:id="247" w:name="_Toc392856212"/>
      <w:bookmarkStart w:id="248" w:name="_Toc399335487"/>
      <w:bookmarkStart w:id="249" w:name="_Toc421025434"/>
      <w:bookmarkStart w:id="250" w:name="D0062007"/>
      <w:r w:rsidRPr="007F56F0">
        <w:rPr>
          <w:rFonts w:ascii="Arial" w:eastAsia="Times New Roman" w:hAnsi="Arial" w:cs="Arial"/>
          <w:lang w:val="es-ES_tradnl" w:eastAsia="es-ES"/>
        </w:rPr>
        <w:t xml:space="preserve">San Isidro, </w:t>
      </w:r>
      <w:r>
        <w:rPr>
          <w:rFonts w:ascii="Arial" w:eastAsia="Times New Roman" w:hAnsi="Arial" w:cs="Arial"/>
          <w:lang w:val="es-ES_tradnl" w:eastAsia="es-ES"/>
        </w:rPr>
        <w:t>12 de setiembre de 2016</w:t>
      </w:r>
    </w:p>
    <w:p w:rsidR="007F56F0" w:rsidRPr="007F56F0" w:rsidRDefault="007F56F0" w:rsidP="007F56F0">
      <w:pPr>
        <w:autoSpaceDE w:val="0"/>
        <w:autoSpaceDN w:val="0"/>
        <w:adjustRightInd w:val="0"/>
        <w:spacing w:after="0" w:line="240" w:lineRule="auto"/>
        <w:jc w:val="both"/>
        <w:rPr>
          <w:rFonts w:ascii="Arial" w:eastAsia="Times New Roman" w:hAnsi="Arial" w:cs="Arial"/>
          <w:lang w:val="es-ES_tradnl" w:eastAsia="es-ES"/>
        </w:rPr>
      </w:pPr>
    </w:p>
    <w:p w:rsidR="007F56F0" w:rsidRPr="007F56F0" w:rsidRDefault="007F56F0" w:rsidP="007F56F0">
      <w:pPr>
        <w:autoSpaceDE w:val="0"/>
        <w:autoSpaceDN w:val="0"/>
        <w:adjustRightInd w:val="0"/>
        <w:spacing w:after="0" w:line="240" w:lineRule="auto"/>
        <w:jc w:val="both"/>
        <w:rPr>
          <w:rFonts w:ascii="Arial" w:eastAsia="Times New Roman" w:hAnsi="Arial" w:cs="Arial"/>
          <w:lang w:val="es-ES_tradnl" w:eastAsia="es-ES"/>
        </w:rPr>
      </w:pPr>
      <w:r w:rsidRPr="007F56F0">
        <w:rPr>
          <w:rFonts w:ascii="Arial" w:eastAsia="Times New Roman" w:hAnsi="Arial" w:cs="Arial"/>
          <w:b/>
          <w:lang w:val="es-ES_tradnl" w:eastAsia="es-ES"/>
        </w:rPr>
        <w:t>VISTO</w:t>
      </w:r>
      <w:r w:rsidRPr="007F56F0">
        <w:rPr>
          <w:rFonts w:ascii="Arial" w:eastAsia="Times New Roman" w:hAnsi="Arial" w:cs="Arial"/>
          <w:lang w:val="es-ES_tradnl" w:eastAsia="es-ES"/>
        </w:rPr>
        <w:t>:</w:t>
      </w:r>
    </w:p>
    <w:p w:rsidR="007F56F0" w:rsidRPr="007F56F0" w:rsidRDefault="007F56F0" w:rsidP="007F56F0">
      <w:pPr>
        <w:autoSpaceDE w:val="0"/>
        <w:autoSpaceDN w:val="0"/>
        <w:adjustRightInd w:val="0"/>
        <w:spacing w:after="0" w:line="240" w:lineRule="auto"/>
        <w:jc w:val="both"/>
        <w:rPr>
          <w:rFonts w:ascii="Arial" w:eastAsia="Times New Roman" w:hAnsi="Arial" w:cs="Arial"/>
          <w:lang w:val="es-ES_tradnl" w:eastAsia="es-ES"/>
        </w:rPr>
      </w:pPr>
      <w:r>
        <w:rPr>
          <w:rFonts w:ascii="Arial" w:eastAsia="Times New Roman" w:hAnsi="Arial" w:cs="Arial"/>
          <w:lang w:val="es-ES_tradnl" w:eastAsia="es-ES"/>
        </w:rPr>
        <w:t xml:space="preserve">El Informe Especial N° 00757-20167SBN-OPP-RAG de fecha 09 de setiembre de 2016, emitido por la Especialista en Racionalización de la Oficina de Planeamiento y Presupuesto y el </w:t>
      </w:r>
      <w:r w:rsidRPr="007F56F0">
        <w:rPr>
          <w:rFonts w:ascii="Arial" w:eastAsia="Times New Roman" w:hAnsi="Arial" w:cs="Arial"/>
          <w:lang w:val="es-ES_tradnl" w:eastAsia="es-ES"/>
        </w:rPr>
        <w:t>Informe N° 123-2016/SBN-DNR-SDNC de fecha 07</w:t>
      </w:r>
      <w:r>
        <w:rPr>
          <w:rFonts w:ascii="Arial" w:eastAsia="Times New Roman" w:hAnsi="Arial" w:cs="Arial"/>
          <w:lang w:val="es-ES_tradnl" w:eastAsia="es-ES"/>
        </w:rPr>
        <w:t xml:space="preserve"> de setiembre de </w:t>
      </w:r>
      <w:r w:rsidRPr="007F56F0">
        <w:rPr>
          <w:rFonts w:ascii="Arial" w:eastAsia="Times New Roman" w:hAnsi="Arial" w:cs="Arial"/>
          <w:lang w:val="es-ES_tradnl" w:eastAsia="es-ES"/>
        </w:rPr>
        <w:t>2016, emitido por la Subdirección de Normas y Capacitación de la Dirección de Normas y Registro;</w:t>
      </w:r>
    </w:p>
    <w:p w:rsidR="007F56F0" w:rsidRPr="007F56F0" w:rsidRDefault="007F56F0" w:rsidP="007F56F0">
      <w:pPr>
        <w:autoSpaceDE w:val="0"/>
        <w:autoSpaceDN w:val="0"/>
        <w:adjustRightInd w:val="0"/>
        <w:spacing w:after="0" w:line="240" w:lineRule="auto"/>
        <w:jc w:val="both"/>
        <w:rPr>
          <w:rFonts w:ascii="Arial" w:eastAsia="Times New Roman" w:hAnsi="Arial" w:cs="Arial"/>
          <w:lang w:val="es-ES_tradnl" w:eastAsia="es-ES"/>
        </w:rPr>
      </w:pPr>
    </w:p>
    <w:p w:rsidR="007F56F0" w:rsidRPr="007F56F0" w:rsidRDefault="007F56F0" w:rsidP="007F56F0">
      <w:pPr>
        <w:autoSpaceDE w:val="0"/>
        <w:autoSpaceDN w:val="0"/>
        <w:adjustRightInd w:val="0"/>
        <w:spacing w:after="0" w:line="240" w:lineRule="auto"/>
        <w:jc w:val="both"/>
        <w:rPr>
          <w:rFonts w:ascii="Arial" w:eastAsia="Times New Roman" w:hAnsi="Arial" w:cs="Arial"/>
          <w:b/>
          <w:bCs/>
          <w:lang w:val="es-ES_tradnl" w:eastAsia="es-ES"/>
        </w:rPr>
      </w:pPr>
      <w:r w:rsidRPr="007F56F0">
        <w:rPr>
          <w:rFonts w:ascii="Arial" w:eastAsia="Times New Roman" w:hAnsi="Arial" w:cs="Arial"/>
          <w:lang w:val="es-ES_tradnl" w:eastAsia="es-ES"/>
        </w:rPr>
        <w:t xml:space="preserve"> </w:t>
      </w:r>
      <w:r w:rsidRPr="007F56F0">
        <w:rPr>
          <w:rFonts w:ascii="Arial" w:eastAsia="Times New Roman" w:hAnsi="Arial" w:cs="Arial"/>
          <w:b/>
          <w:bCs/>
          <w:lang w:val="es-ES_tradnl" w:eastAsia="es-ES"/>
        </w:rPr>
        <w:t>CONSIDERANDO:</w:t>
      </w:r>
    </w:p>
    <w:p w:rsidR="007F56F0" w:rsidRPr="007F56F0" w:rsidRDefault="007F56F0" w:rsidP="007F56F0">
      <w:pPr>
        <w:autoSpaceDE w:val="0"/>
        <w:autoSpaceDN w:val="0"/>
        <w:adjustRightInd w:val="0"/>
        <w:spacing w:after="0" w:line="240" w:lineRule="auto"/>
        <w:ind w:firstLine="709"/>
        <w:jc w:val="both"/>
        <w:rPr>
          <w:rFonts w:ascii="Arial" w:eastAsia="Times New Roman" w:hAnsi="Arial" w:cs="Arial"/>
          <w:lang w:val="es-ES_tradnl" w:eastAsia="es-ES"/>
        </w:rPr>
      </w:pPr>
    </w:p>
    <w:p w:rsidR="007F56F0" w:rsidRPr="007F56F0" w:rsidRDefault="007F56F0" w:rsidP="007F56F0">
      <w:pPr>
        <w:autoSpaceDE w:val="0"/>
        <w:autoSpaceDN w:val="0"/>
        <w:adjustRightInd w:val="0"/>
        <w:spacing w:after="0" w:line="240" w:lineRule="auto"/>
        <w:jc w:val="both"/>
        <w:rPr>
          <w:rFonts w:ascii="Arial" w:eastAsia="Times New Roman" w:hAnsi="Arial" w:cs="Arial"/>
          <w:lang w:val="es-ES" w:eastAsia="es-ES"/>
        </w:rPr>
      </w:pPr>
      <w:r w:rsidRPr="007F56F0">
        <w:rPr>
          <w:rFonts w:ascii="Arial" w:eastAsia="Times New Roman" w:hAnsi="Arial" w:cs="Arial"/>
          <w:lang w:val="es-ES" w:eastAsia="es-ES"/>
        </w:rPr>
        <w:t>Que, la Superintendencia Nacional de Bienes Estatales (SBN) es un organismo público ejecutor, adscrito al Ministerio de Vivienda, Construcción y Saneamiento, y el Ente Rector del Sistema Nacional de Bienes Estatales (SNBE), responsable de normar los actos de adquisición, disposición, administración y supervisión de los bienes estatales, así como de ejecutar dichos actos respecto de los bienes cuya administración está a su cargo, de acuerdo a la normatividad vigente, gozando de autonomía económica, presupuestal, financiera, técnica y funcional, de conformidad a lo establecido en la Ley Nº 29151, Ley General del Sistema Nacional de Bienes Estatales y su Reglamento, aprobado por el Decreto Supremo Nº 007-2008-VIVIENDA;</w:t>
      </w:r>
    </w:p>
    <w:p w:rsidR="007F56F0" w:rsidRPr="007F56F0" w:rsidRDefault="007F56F0" w:rsidP="007F56F0">
      <w:pPr>
        <w:autoSpaceDE w:val="0"/>
        <w:autoSpaceDN w:val="0"/>
        <w:adjustRightInd w:val="0"/>
        <w:spacing w:after="0" w:line="240" w:lineRule="auto"/>
        <w:ind w:firstLine="709"/>
        <w:jc w:val="both"/>
        <w:rPr>
          <w:rFonts w:ascii="Arial" w:eastAsia="Times New Roman" w:hAnsi="Arial" w:cs="Arial"/>
          <w:lang w:val="es-ES" w:eastAsia="es-ES"/>
        </w:rPr>
      </w:pPr>
    </w:p>
    <w:p w:rsidR="007F56F0" w:rsidRDefault="007F56F0" w:rsidP="007F56F0">
      <w:pPr>
        <w:autoSpaceDE w:val="0"/>
        <w:autoSpaceDN w:val="0"/>
        <w:adjustRightInd w:val="0"/>
        <w:spacing w:after="0" w:line="240" w:lineRule="auto"/>
        <w:jc w:val="both"/>
        <w:rPr>
          <w:rFonts w:ascii="Arial" w:eastAsia="Times New Roman" w:hAnsi="Arial" w:cs="Arial"/>
          <w:lang w:val="es-ES" w:eastAsia="es-ES"/>
        </w:rPr>
      </w:pPr>
      <w:r w:rsidRPr="007F56F0">
        <w:rPr>
          <w:rFonts w:ascii="Arial" w:eastAsia="Times New Roman" w:hAnsi="Arial" w:cs="Arial"/>
          <w:lang w:val="es-ES" w:eastAsia="es-ES"/>
        </w:rPr>
        <w:t>Que, el literal b) del numeral 14.1 del artículo 14º de la citada Ley, concordante con el literal a) del numeral 9.1 del artículo 9° de su Reglamento, aprobado por el Decreto Supremo N° 007-2008-VIVIENDA, señalan que la SBN, en calidad de ente rector del SNBE, tiene la función de expedir directivas o disposiciones legales, entre otros, sobre los actos de disposición de bienes estatales, de cumplimiento obligatorio por parte de las entidades que conforman el SNBE;</w:t>
      </w:r>
    </w:p>
    <w:p w:rsidR="004E58E6" w:rsidRDefault="004E58E6" w:rsidP="007F56F0">
      <w:pPr>
        <w:autoSpaceDE w:val="0"/>
        <w:autoSpaceDN w:val="0"/>
        <w:adjustRightInd w:val="0"/>
        <w:spacing w:after="0" w:line="240" w:lineRule="auto"/>
        <w:jc w:val="both"/>
        <w:rPr>
          <w:rFonts w:ascii="Arial" w:eastAsia="Times New Roman" w:hAnsi="Arial" w:cs="Arial"/>
          <w:lang w:val="es-ES" w:eastAsia="es-ES"/>
        </w:rPr>
      </w:pPr>
    </w:p>
    <w:p w:rsidR="004E58E6" w:rsidRDefault="004E58E6" w:rsidP="007F56F0">
      <w:pPr>
        <w:autoSpaceDE w:val="0"/>
        <w:autoSpaceDN w:val="0"/>
        <w:adjustRightInd w:val="0"/>
        <w:spacing w:after="0" w:line="240" w:lineRule="auto"/>
        <w:jc w:val="both"/>
        <w:rPr>
          <w:rFonts w:ascii="Arial" w:eastAsia="Times New Roman" w:hAnsi="Arial" w:cs="Arial"/>
          <w:lang w:val="es-ES" w:eastAsia="es-ES"/>
        </w:rPr>
      </w:pPr>
      <w:r>
        <w:rPr>
          <w:rFonts w:ascii="Arial" w:eastAsia="Times New Roman" w:hAnsi="Arial" w:cs="Arial"/>
          <w:lang w:val="es-ES" w:eastAsia="es-ES"/>
        </w:rPr>
        <w:t>Que, el artículo 92 del Decreto Supremo N° 007-2008-VIVIENDA, Reglamento de la Ley N° 29151, Ley General del Sistema Nacional de Bienes Estatales, establece que el arrendamiento de predios estatales se efectuará mediante convocatoria pública y, excepcionalmente, de manera directa;</w:t>
      </w:r>
    </w:p>
    <w:p w:rsidR="004E58E6" w:rsidRDefault="004E58E6" w:rsidP="007F56F0">
      <w:pPr>
        <w:autoSpaceDE w:val="0"/>
        <w:autoSpaceDN w:val="0"/>
        <w:adjustRightInd w:val="0"/>
        <w:spacing w:after="0" w:line="240" w:lineRule="auto"/>
        <w:jc w:val="both"/>
        <w:rPr>
          <w:rFonts w:ascii="Arial" w:eastAsia="Times New Roman" w:hAnsi="Arial" w:cs="Arial"/>
          <w:lang w:val="es-ES" w:eastAsia="es-ES"/>
        </w:rPr>
      </w:pPr>
    </w:p>
    <w:p w:rsidR="004E58E6" w:rsidRPr="007F56F0" w:rsidRDefault="004E58E6" w:rsidP="007F56F0">
      <w:pPr>
        <w:autoSpaceDE w:val="0"/>
        <w:autoSpaceDN w:val="0"/>
        <w:adjustRightInd w:val="0"/>
        <w:spacing w:after="0" w:line="240" w:lineRule="auto"/>
        <w:jc w:val="both"/>
        <w:rPr>
          <w:rFonts w:ascii="Arial" w:eastAsia="Times New Roman" w:hAnsi="Arial" w:cs="Arial"/>
          <w:lang w:val="es-ES" w:eastAsia="es-ES"/>
        </w:rPr>
      </w:pPr>
      <w:r>
        <w:rPr>
          <w:rFonts w:ascii="Arial" w:eastAsia="Times New Roman" w:hAnsi="Arial" w:cs="Arial"/>
          <w:lang w:val="es-ES" w:eastAsia="es-ES"/>
        </w:rPr>
        <w:t>Que, del mismo modo, el artículo 95 del mencionado Reglamento, señala que el arrendamiento se aprueba por Resolución de la autoridad administrativa de la entidad que corresponda de acuerdo con sus competencias.</w:t>
      </w:r>
    </w:p>
    <w:p w:rsidR="007F56F0" w:rsidRPr="007F56F0" w:rsidRDefault="007F56F0" w:rsidP="007F56F0">
      <w:pPr>
        <w:suppressAutoHyphens/>
        <w:spacing w:after="0" w:line="240" w:lineRule="auto"/>
        <w:jc w:val="both"/>
        <w:rPr>
          <w:rFonts w:ascii="Arial" w:eastAsia="Times New Roman" w:hAnsi="Arial" w:cs="Arial"/>
          <w:color w:val="000000"/>
          <w:lang w:val="es-ES" w:eastAsia="es-ES"/>
        </w:rPr>
      </w:pPr>
    </w:p>
    <w:p w:rsidR="007F56F0" w:rsidRPr="007F56F0" w:rsidRDefault="007F56F0" w:rsidP="007F56F0">
      <w:pPr>
        <w:suppressAutoHyphens/>
        <w:spacing w:after="0" w:line="240" w:lineRule="auto"/>
        <w:jc w:val="both"/>
        <w:rPr>
          <w:rFonts w:ascii="Arial" w:eastAsia="Times New Roman" w:hAnsi="Arial" w:cs="Arial"/>
          <w:lang w:val="es-ES" w:eastAsia="es-ES"/>
        </w:rPr>
      </w:pPr>
      <w:r w:rsidRPr="007F56F0">
        <w:rPr>
          <w:rFonts w:ascii="Arial" w:eastAsia="Times New Roman" w:hAnsi="Arial" w:cs="Arial"/>
          <w:color w:val="000000"/>
          <w:lang w:val="es-ES" w:eastAsia="es-ES"/>
        </w:rPr>
        <w:t xml:space="preserve">Que, mediante </w:t>
      </w:r>
      <w:r w:rsidR="004E58E6">
        <w:rPr>
          <w:rFonts w:ascii="Arial" w:eastAsia="Times New Roman" w:hAnsi="Arial" w:cs="Arial"/>
          <w:color w:val="000000"/>
          <w:lang w:val="es-ES" w:eastAsia="es-ES"/>
        </w:rPr>
        <w:t>los</w:t>
      </w:r>
      <w:r w:rsidRPr="007F56F0">
        <w:rPr>
          <w:rFonts w:ascii="Arial" w:eastAsia="Times New Roman" w:hAnsi="Arial" w:cs="Arial"/>
          <w:color w:val="000000"/>
          <w:lang w:val="es-ES" w:eastAsia="es-ES"/>
        </w:rPr>
        <w:t xml:space="preserve"> documento</w:t>
      </w:r>
      <w:r w:rsidR="004E58E6">
        <w:rPr>
          <w:rFonts w:ascii="Arial" w:eastAsia="Times New Roman" w:hAnsi="Arial" w:cs="Arial"/>
          <w:color w:val="000000"/>
          <w:lang w:val="es-ES" w:eastAsia="es-ES"/>
        </w:rPr>
        <w:t>s</w:t>
      </w:r>
      <w:r w:rsidRPr="007F56F0">
        <w:rPr>
          <w:rFonts w:ascii="Arial" w:eastAsia="Times New Roman" w:hAnsi="Arial" w:cs="Arial"/>
          <w:color w:val="000000"/>
          <w:lang w:val="es-ES" w:eastAsia="es-ES"/>
        </w:rPr>
        <w:t xml:space="preserve"> de visto</w:t>
      </w:r>
      <w:r w:rsidR="004E58E6">
        <w:rPr>
          <w:rFonts w:ascii="Arial" w:eastAsia="Times New Roman" w:hAnsi="Arial" w:cs="Arial"/>
          <w:color w:val="000000"/>
          <w:lang w:val="es-ES" w:eastAsia="es-ES"/>
        </w:rPr>
        <w:t>s</w:t>
      </w:r>
      <w:r w:rsidRPr="007F56F0">
        <w:rPr>
          <w:rFonts w:ascii="Arial" w:eastAsia="Times New Roman" w:hAnsi="Arial" w:cs="Arial"/>
          <w:color w:val="000000"/>
          <w:lang w:val="es-ES" w:eastAsia="es-ES"/>
        </w:rPr>
        <w:t xml:space="preserve">, la Subdirección de Normas y Capacitación de la Dirección de Normas y Registro </w:t>
      </w:r>
      <w:r w:rsidR="004E58E6">
        <w:rPr>
          <w:rFonts w:ascii="Arial" w:eastAsia="Times New Roman" w:hAnsi="Arial" w:cs="Arial"/>
          <w:color w:val="000000"/>
          <w:lang w:val="es-ES" w:eastAsia="es-ES"/>
        </w:rPr>
        <w:t xml:space="preserve">ha elaborado y </w:t>
      </w:r>
      <w:r w:rsidRPr="007F56F0">
        <w:rPr>
          <w:rFonts w:ascii="Arial" w:eastAsia="Times New Roman" w:hAnsi="Arial" w:cs="Arial"/>
          <w:color w:val="000000"/>
          <w:lang w:val="es-ES" w:eastAsia="es-ES"/>
        </w:rPr>
        <w:t>sustenta</w:t>
      </w:r>
      <w:r w:rsidR="004E58E6">
        <w:rPr>
          <w:rFonts w:ascii="Arial" w:eastAsia="Times New Roman" w:hAnsi="Arial" w:cs="Arial"/>
          <w:color w:val="000000"/>
          <w:lang w:val="es-ES" w:eastAsia="es-ES"/>
        </w:rPr>
        <w:t>do</w:t>
      </w:r>
      <w:r w:rsidRPr="007F56F0">
        <w:rPr>
          <w:rFonts w:ascii="Arial" w:eastAsia="Times New Roman" w:hAnsi="Arial" w:cs="Arial"/>
          <w:color w:val="000000"/>
          <w:lang w:val="es-ES" w:eastAsia="es-ES"/>
        </w:rPr>
        <w:t xml:space="preserve"> la propuesta de directiva denominada: “P</w:t>
      </w:r>
      <w:r w:rsidRPr="007F56F0">
        <w:rPr>
          <w:rFonts w:ascii="Arial" w:eastAsia="Times New Roman" w:hAnsi="Arial" w:cs="Arial"/>
          <w:lang w:val="es-ES" w:eastAsia="es-ES"/>
        </w:rPr>
        <w:t>rocedimientos para el arrendamiento de predios de dominio privado estatal de libre disponibilidad”</w:t>
      </w:r>
      <w:r w:rsidRPr="007F56F0">
        <w:rPr>
          <w:rFonts w:ascii="Arial" w:eastAsia="Times New Roman" w:hAnsi="Arial" w:cs="Arial"/>
          <w:color w:val="000000"/>
          <w:lang w:val="es-ES" w:eastAsia="es-ES"/>
        </w:rPr>
        <w:t xml:space="preserve">, la cual recoge las sugerencias y recomendaciones de las unidades orgánicas de la SBN involucradas en </w:t>
      </w:r>
      <w:r w:rsidR="004E58E6">
        <w:rPr>
          <w:rFonts w:ascii="Arial" w:eastAsia="Times New Roman" w:hAnsi="Arial" w:cs="Arial"/>
          <w:color w:val="000000"/>
          <w:lang w:val="es-ES" w:eastAsia="es-ES"/>
        </w:rPr>
        <w:t>el procedimiento, así como las recomendaciones N° 3 y N° 11, formuladas por el Órgano de Control Institucional, a través de los Informes de Auditoria N° 002-2014-2-4413/SBN-OCI-AC y N° 004-2015-2-4413/SBN-OCI-AC;</w:t>
      </w:r>
    </w:p>
    <w:p w:rsidR="007F56F0" w:rsidRPr="007F56F0" w:rsidRDefault="007F56F0" w:rsidP="007F56F0">
      <w:pPr>
        <w:suppressAutoHyphens/>
        <w:spacing w:after="0" w:line="240" w:lineRule="auto"/>
        <w:jc w:val="both"/>
        <w:rPr>
          <w:rFonts w:ascii="Arial" w:eastAsia="Times New Roman" w:hAnsi="Arial" w:cs="Arial"/>
          <w:color w:val="000000"/>
          <w:lang w:val="es-ES" w:eastAsia="es-ES"/>
        </w:rPr>
      </w:pPr>
    </w:p>
    <w:p w:rsidR="007F56F0" w:rsidRDefault="007F56F0" w:rsidP="004E58E6">
      <w:pPr>
        <w:suppressAutoHyphens/>
        <w:spacing w:after="0" w:line="240" w:lineRule="auto"/>
        <w:jc w:val="both"/>
        <w:rPr>
          <w:rFonts w:ascii="Arial" w:eastAsia="Times New Roman" w:hAnsi="Arial" w:cs="Arial"/>
          <w:lang w:val="es-ES" w:eastAsia="es-ES"/>
        </w:rPr>
      </w:pPr>
      <w:r w:rsidRPr="007F56F0">
        <w:rPr>
          <w:rFonts w:ascii="Arial" w:eastAsia="Times New Roman" w:hAnsi="Arial" w:cs="Arial"/>
          <w:color w:val="000000"/>
          <w:lang w:val="es-ES" w:eastAsia="es-ES"/>
        </w:rPr>
        <w:t>Que, en tal sentido, resulta necesario aprobar</w:t>
      </w:r>
      <w:r w:rsidR="004E58E6">
        <w:rPr>
          <w:rFonts w:ascii="Arial" w:eastAsia="Times New Roman" w:hAnsi="Arial" w:cs="Arial"/>
          <w:color w:val="000000"/>
          <w:lang w:val="es-ES" w:eastAsia="es-ES"/>
        </w:rPr>
        <w:t xml:space="preserve"> la </w:t>
      </w:r>
      <w:r w:rsidR="004E58E6" w:rsidRPr="007F56F0">
        <w:rPr>
          <w:rFonts w:ascii="Arial" w:eastAsia="Times New Roman" w:hAnsi="Arial" w:cs="Arial"/>
          <w:color w:val="000000"/>
          <w:lang w:val="es-ES" w:eastAsia="es-ES"/>
        </w:rPr>
        <w:t xml:space="preserve">directiva </w:t>
      </w:r>
      <w:r w:rsidR="004E58E6">
        <w:rPr>
          <w:rFonts w:ascii="Arial" w:eastAsia="Times New Roman" w:hAnsi="Arial" w:cs="Arial"/>
          <w:color w:val="000000"/>
          <w:lang w:val="es-ES" w:eastAsia="es-ES"/>
        </w:rPr>
        <w:t>que regula los</w:t>
      </w:r>
      <w:r w:rsidR="004E58E6" w:rsidRPr="007F56F0">
        <w:rPr>
          <w:rFonts w:ascii="Arial" w:eastAsia="Times New Roman" w:hAnsi="Arial" w:cs="Arial"/>
          <w:color w:val="000000"/>
          <w:lang w:val="es-ES" w:eastAsia="es-ES"/>
        </w:rPr>
        <w:t xml:space="preserve"> “P</w:t>
      </w:r>
      <w:r w:rsidR="004E58E6" w:rsidRPr="007F56F0">
        <w:rPr>
          <w:rFonts w:ascii="Arial" w:eastAsia="Times New Roman" w:hAnsi="Arial" w:cs="Arial"/>
          <w:lang w:val="es-ES" w:eastAsia="es-ES"/>
        </w:rPr>
        <w:t>rocedimientos para el arrendamiento de predios de dominio privado estatal de libre disponibilidad”</w:t>
      </w:r>
      <w:r w:rsidRPr="007F56F0">
        <w:rPr>
          <w:rFonts w:ascii="Arial" w:eastAsia="Times New Roman" w:hAnsi="Arial" w:cs="Arial"/>
          <w:color w:val="000000"/>
          <w:lang w:val="es-ES" w:eastAsia="es-ES"/>
        </w:rPr>
        <w:t xml:space="preserve"> </w:t>
      </w:r>
      <w:r w:rsidR="004E58E6">
        <w:rPr>
          <w:rFonts w:ascii="Arial" w:eastAsia="Times New Roman" w:hAnsi="Arial" w:cs="Arial"/>
          <w:color w:val="000000"/>
          <w:lang w:val="es-ES" w:eastAsia="es-ES"/>
        </w:rPr>
        <w:t xml:space="preserve">con la finalidad de optimizar, actualizar y consolidar dicho procedimiento que a la fecha se encuentra regulado por la Directiva N° 006-2007/SBN aprobada por Resolución N° 032-2007/SBN, la misma que en la actualidad no resulta aplicable, ya que los marcos normativos que permitió su aprobación en su oportunidad se encuentran derogados y en esta medida se deroga la Directiva N° 006-2007/SBN denominada </w:t>
      </w:r>
      <w:r w:rsidR="004E58E6" w:rsidRPr="007F56F0">
        <w:rPr>
          <w:rFonts w:ascii="Arial" w:eastAsia="Times New Roman" w:hAnsi="Arial" w:cs="Arial"/>
          <w:color w:val="000000"/>
          <w:lang w:val="es-ES" w:eastAsia="es-ES"/>
        </w:rPr>
        <w:t>directiva denominada: “P</w:t>
      </w:r>
      <w:r w:rsidR="004E58E6" w:rsidRPr="007F56F0">
        <w:rPr>
          <w:rFonts w:ascii="Arial" w:eastAsia="Times New Roman" w:hAnsi="Arial" w:cs="Arial"/>
          <w:lang w:val="es-ES" w:eastAsia="es-ES"/>
        </w:rPr>
        <w:t>rocedimientos para el arrendamiento de pr</w:t>
      </w:r>
      <w:r w:rsidR="004E58E6">
        <w:rPr>
          <w:rFonts w:ascii="Arial" w:eastAsia="Times New Roman" w:hAnsi="Arial" w:cs="Arial"/>
          <w:lang w:val="es-ES" w:eastAsia="es-ES"/>
        </w:rPr>
        <w:t>edios de dominio privado del Estado</w:t>
      </w:r>
      <w:r w:rsidR="004E58E6" w:rsidRPr="007F56F0">
        <w:rPr>
          <w:rFonts w:ascii="Arial" w:eastAsia="Times New Roman" w:hAnsi="Arial" w:cs="Arial"/>
          <w:lang w:val="es-ES" w:eastAsia="es-ES"/>
        </w:rPr>
        <w:t xml:space="preserve"> de libre disponibilidad”</w:t>
      </w:r>
      <w:r w:rsidR="004E58E6">
        <w:rPr>
          <w:rFonts w:ascii="Arial" w:eastAsia="Times New Roman" w:hAnsi="Arial" w:cs="Arial"/>
          <w:lang w:val="es-ES" w:eastAsia="es-ES"/>
        </w:rPr>
        <w:t>, aprobada por la Resolución N° 032-2007/SBN;</w:t>
      </w:r>
    </w:p>
    <w:p w:rsidR="004E58E6" w:rsidRPr="007F56F0" w:rsidRDefault="004E58E6" w:rsidP="004E58E6">
      <w:pPr>
        <w:suppressAutoHyphens/>
        <w:spacing w:after="0" w:line="240" w:lineRule="auto"/>
        <w:jc w:val="both"/>
        <w:rPr>
          <w:rFonts w:ascii="Arial" w:eastAsia="Times New Roman" w:hAnsi="Arial" w:cs="Arial"/>
          <w:color w:val="000000"/>
          <w:lang w:val="es-ES" w:eastAsia="es-ES"/>
        </w:rPr>
      </w:pPr>
    </w:p>
    <w:p w:rsidR="007F56F0" w:rsidRPr="007F56F0" w:rsidRDefault="007F56F0" w:rsidP="007F56F0">
      <w:pPr>
        <w:suppressAutoHyphens/>
        <w:spacing w:after="0" w:line="240" w:lineRule="auto"/>
        <w:jc w:val="both"/>
        <w:rPr>
          <w:rFonts w:ascii="Arial" w:eastAsia="Times New Roman" w:hAnsi="Arial" w:cs="Arial"/>
          <w:color w:val="000000"/>
          <w:lang w:val="es-ES" w:eastAsia="es-ES"/>
        </w:rPr>
      </w:pPr>
      <w:r w:rsidRPr="007F56F0">
        <w:rPr>
          <w:rFonts w:ascii="Arial" w:eastAsia="Times New Roman" w:hAnsi="Arial" w:cs="Arial"/>
          <w:color w:val="000000"/>
          <w:lang w:val="es-ES" w:eastAsia="es-ES"/>
        </w:rPr>
        <w:t xml:space="preserve">Con los visados de la Secretaría General, la Oficina de Planeamiento y Presupuesto, la Oficina de Asesoría Jurídica, la Dirección de Normas y Registro, la Dirección de Gestión del Patrimonio Estatal, y la Oficina de Administración y Finanzas; y, </w:t>
      </w:r>
    </w:p>
    <w:p w:rsidR="007F56F0" w:rsidRPr="007F56F0" w:rsidRDefault="007F56F0" w:rsidP="007F56F0">
      <w:pPr>
        <w:suppressAutoHyphens/>
        <w:spacing w:after="0" w:line="240" w:lineRule="auto"/>
        <w:jc w:val="both"/>
        <w:rPr>
          <w:rFonts w:ascii="Arial" w:eastAsia="Times New Roman" w:hAnsi="Arial" w:cs="Arial"/>
          <w:color w:val="000000"/>
          <w:lang w:val="es-ES" w:eastAsia="es-ES"/>
        </w:rPr>
      </w:pPr>
    </w:p>
    <w:p w:rsidR="007F56F0" w:rsidRPr="007F56F0" w:rsidRDefault="007F56F0" w:rsidP="007F56F0">
      <w:pPr>
        <w:suppressAutoHyphens/>
        <w:spacing w:after="0" w:line="240" w:lineRule="auto"/>
        <w:jc w:val="both"/>
        <w:rPr>
          <w:rFonts w:ascii="Arial" w:eastAsia="Times New Roman" w:hAnsi="Arial" w:cs="Arial"/>
          <w:color w:val="000000"/>
          <w:lang w:val="es-ES" w:eastAsia="es-ES"/>
        </w:rPr>
      </w:pPr>
      <w:r w:rsidRPr="007F56F0">
        <w:rPr>
          <w:rFonts w:ascii="Arial" w:eastAsia="Times New Roman" w:hAnsi="Arial" w:cs="Arial"/>
          <w:color w:val="000000"/>
          <w:lang w:val="es-ES" w:eastAsia="es-ES"/>
        </w:rPr>
        <w:t>De conformidad con lo establecido en el literal b) del numeral 14.1 del artículo 14 de la Ley N° 29151, Ley General del Sistema Nacional de Bienes Estatales, el literal a) del numeral 9.1 del artículo 9 del Reglamento de la Ley N° 29151, aprobado por el Decreto Supremo N° 007-2008-VIVIENDA, modificado por el Decreto Supremo N° 013-2012-VIVIENDA; y en uso de las atribuciones conferidas en los literales b) y r) del artículo 11 del Reglamento de Organización y Funciones de la Superintendencia Nacional de Bienes Estatales – SBN, aprobado por el Decreto Supremo N° 016-2010-VIVIENDA;</w:t>
      </w:r>
    </w:p>
    <w:p w:rsidR="007F56F0" w:rsidRPr="007F56F0" w:rsidRDefault="007F56F0" w:rsidP="007F56F0">
      <w:pPr>
        <w:suppressAutoHyphens/>
        <w:spacing w:after="0" w:line="240" w:lineRule="auto"/>
        <w:jc w:val="both"/>
        <w:rPr>
          <w:rFonts w:ascii="Arial" w:eastAsia="Times New Roman" w:hAnsi="Arial" w:cs="Arial"/>
          <w:b/>
          <w:color w:val="000000"/>
          <w:lang w:val="es-ES" w:eastAsia="es-ES"/>
        </w:rPr>
      </w:pPr>
    </w:p>
    <w:p w:rsidR="007F56F0" w:rsidRPr="007F56F0" w:rsidRDefault="007F56F0" w:rsidP="007F56F0">
      <w:pPr>
        <w:suppressAutoHyphens/>
        <w:spacing w:after="0" w:line="240" w:lineRule="auto"/>
        <w:jc w:val="both"/>
        <w:outlineLvl w:val="0"/>
        <w:rPr>
          <w:rFonts w:ascii="Arial" w:eastAsia="Times New Roman" w:hAnsi="Arial" w:cs="Arial"/>
          <w:b/>
          <w:color w:val="000000"/>
          <w:lang w:val="es-ES" w:eastAsia="es-ES"/>
        </w:rPr>
      </w:pPr>
      <w:r w:rsidRPr="007F56F0">
        <w:rPr>
          <w:rFonts w:ascii="Arial" w:eastAsia="Times New Roman" w:hAnsi="Arial" w:cs="Arial"/>
          <w:b/>
          <w:color w:val="000000"/>
          <w:lang w:val="es-ES" w:eastAsia="es-ES"/>
        </w:rPr>
        <w:t>SE RESUELVE:</w:t>
      </w:r>
    </w:p>
    <w:p w:rsidR="007F56F0" w:rsidRPr="007F56F0" w:rsidRDefault="007F56F0" w:rsidP="007F56F0">
      <w:pPr>
        <w:suppressAutoHyphens/>
        <w:spacing w:after="0" w:line="240" w:lineRule="auto"/>
        <w:jc w:val="both"/>
        <w:rPr>
          <w:rFonts w:ascii="Arial" w:eastAsia="Times New Roman" w:hAnsi="Arial" w:cs="Arial"/>
          <w:b/>
          <w:color w:val="000000"/>
          <w:lang w:val="es-ES" w:eastAsia="es-ES"/>
        </w:rPr>
      </w:pPr>
    </w:p>
    <w:p w:rsidR="007F56F0" w:rsidRPr="007F56F0" w:rsidRDefault="007F56F0" w:rsidP="007F56F0">
      <w:pPr>
        <w:suppressAutoHyphens/>
        <w:spacing w:after="0" w:line="240" w:lineRule="auto"/>
        <w:jc w:val="both"/>
        <w:rPr>
          <w:rFonts w:ascii="Arial" w:eastAsia="Times New Roman" w:hAnsi="Arial" w:cs="Arial"/>
          <w:color w:val="000000"/>
          <w:lang w:val="es-ES" w:eastAsia="es-ES"/>
        </w:rPr>
      </w:pPr>
      <w:r w:rsidRPr="007F56F0">
        <w:rPr>
          <w:rFonts w:ascii="Arial" w:eastAsia="Times New Roman" w:hAnsi="Arial" w:cs="Arial"/>
          <w:b/>
          <w:color w:val="000000"/>
          <w:lang w:val="es-ES" w:eastAsia="es-ES"/>
        </w:rPr>
        <w:t xml:space="preserve">Artículo 1º.- </w:t>
      </w:r>
      <w:r w:rsidRPr="007F56F0">
        <w:rPr>
          <w:rFonts w:ascii="Arial" w:eastAsia="Times New Roman" w:hAnsi="Arial" w:cs="Arial"/>
          <w:color w:val="000000"/>
          <w:lang w:val="es-ES" w:eastAsia="es-ES"/>
        </w:rPr>
        <w:t xml:space="preserve">Aprobar </w:t>
      </w:r>
      <w:smartTag w:uri="urn:schemas-microsoft-com:office:smarttags" w:element="PersonName">
        <w:smartTagPr>
          <w:attr w:name="ProductID" w:val="la Directiva N"/>
        </w:smartTagPr>
        <w:r w:rsidRPr="007F56F0">
          <w:rPr>
            <w:rFonts w:ascii="Arial" w:eastAsia="Times New Roman" w:hAnsi="Arial" w:cs="Arial"/>
            <w:color w:val="000000"/>
            <w:lang w:val="es-ES" w:eastAsia="es-ES"/>
          </w:rPr>
          <w:t>la Directiva N</w:t>
        </w:r>
      </w:smartTag>
      <w:r w:rsidRPr="007F56F0">
        <w:rPr>
          <w:rFonts w:ascii="Arial" w:eastAsia="Times New Roman" w:hAnsi="Arial" w:cs="Arial"/>
          <w:color w:val="000000"/>
          <w:lang w:val="es-ES" w:eastAsia="es-ES"/>
        </w:rPr>
        <w:t xml:space="preserve">º </w:t>
      </w:r>
      <w:r w:rsidR="004E58E6">
        <w:rPr>
          <w:rFonts w:ascii="Arial" w:eastAsia="Times New Roman" w:hAnsi="Arial" w:cs="Arial"/>
          <w:color w:val="000000"/>
          <w:lang w:val="es-ES" w:eastAsia="es-ES"/>
        </w:rPr>
        <w:t>005</w:t>
      </w:r>
      <w:r w:rsidRPr="007F56F0">
        <w:rPr>
          <w:rFonts w:ascii="Arial" w:eastAsia="Times New Roman" w:hAnsi="Arial" w:cs="Arial"/>
          <w:color w:val="000000"/>
          <w:lang w:val="es-ES" w:eastAsia="es-ES"/>
        </w:rPr>
        <w:t xml:space="preserve"> -2016/SBN denominada “P</w:t>
      </w:r>
      <w:r w:rsidRPr="007F56F0">
        <w:rPr>
          <w:rFonts w:ascii="Arial" w:eastAsia="Times New Roman" w:hAnsi="Arial" w:cs="Arial"/>
          <w:lang w:val="es-ES" w:eastAsia="es-ES"/>
        </w:rPr>
        <w:t>rocedimientos para el arrendamiento de predios de dominio privado estatal de libre disponibilidad”</w:t>
      </w:r>
      <w:r w:rsidR="004E58E6">
        <w:rPr>
          <w:rFonts w:ascii="Arial" w:eastAsia="Times New Roman" w:hAnsi="Arial" w:cs="Arial"/>
          <w:lang w:val="es-ES" w:eastAsia="es-ES"/>
        </w:rPr>
        <w:t xml:space="preserve"> y los Anexos N° 1, N° 2, N° 3 y N° 4 que forman parte integrante de la misma.</w:t>
      </w:r>
      <w:r w:rsidRPr="007F56F0">
        <w:rPr>
          <w:rFonts w:ascii="Arial" w:eastAsia="Times New Roman" w:hAnsi="Arial" w:cs="Arial"/>
          <w:lang w:val="es-ES" w:eastAsia="es-ES"/>
        </w:rPr>
        <w:t>.</w:t>
      </w:r>
    </w:p>
    <w:p w:rsidR="007F56F0" w:rsidRPr="007F56F0" w:rsidRDefault="007F56F0" w:rsidP="007F56F0">
      <w:pPr>
        <w:suppressAutoHyphens/>
        <w:spacing w:after="0" w:line="240" w:lineRule="auto"/>
        <w:jc w:val="both"/>
        <w:rPr>
          <w:rFonts w:ascii="Arial" w:eastAsia="Times New Roman" w:hAnsi="Arial" w:cs="Arial"/>
          <w:color w:val="000000"/>
          <w:lang w:val="es-ES" w:eastAsia="es-ES"/>
        </w:rPr>
      </w:pPr>
    </w:p>
    <w:p w:rsidR="007F56F0" w:rsidRPr="007F56F0" w:rsidRDefault="007F56F0" w:rsidP="007F56F0">
      <w:pPr>
        <w:suppressAutoHyphens/>
        <w:spacing w:after="0" w:line="240" w:lineRule="auto"/>
        <w:jc w:val="both"/>
        <w:rPr>
          <w:rFonts w:ascii="Arial" w:eastAsia="Times New Roman" w:hAnsi="Arial" w:cs="Arial"/>
          <w:color w:val="000000"/>
          <w:lang w:val="es-ES" w:eastAsia="es-ES"/>
        </w:rPr>
      </w:pPr>
      <w:r w:rsidRPr="007F56F0">
        <w:rPr>
          <w:rFonts w:ascii="Arial" w:eastAsia="Times New Roman" w:hAnsi="Arial" w:cs="Arial"/>
          <w:b/>
          <w:color w:val="000000"/>
          <w:lang w:val="es-ES" w:eastAsia="es-ES"/>
        </w:rPr>
        <w:t xml:space="preserve">Artículo 2º.- </w:t>
      </w:r>
      <w:r w:rsidRPr="007F56F0">
        <w:rPr>
          <w:rFonts w:ascii="Arial" w:eastAsia="Times New Roman" w:hAnsi="Arial" w:cs="Arial"/>
          <w:color w:val="000000"/>
          <w:lang w:val="es-ES" w:eastAsia="es-ES"/>
        </w:rPr>
        <w:t xml:space="preserve"> Derogar la Directiva Nº 006-2007/SBN denominada: “Procedimiento para el arrendamiento de predios del dominio privado del Estado de libre disponibilidad” </w:t>
      </w:r>
      <w:r w:rsidR="00477B96">
        <w:rPr>
          <w:rFonts w:ascii="Arial" w:eastAsia="Times New Roman" w:hAnsi="Arial" w:cs="Arial"/>
          <w:color w:val="000000"/>
          <w:lang w:val="es-ES" w:eastAsia="es-ES"/>
        </w:rPr>
        <w:t>aprobada por Resolución N° 032-2007/SBN</w:t>
      </w:r>
      <w:r w:rsidRPr="007F56F0">
        <w:rPr>
          <w:rFonts w:ascii="Arial" w:eastAsia="Times New Roman" w:hAnsi="Arial" w:cs="Arial"/>
          <w:color w:val="000000"/>
          <w:lang w:val="es-ES" w:eastAsia="es-ES"/>
        </w:rPr>
        <w:t>.</w:t>
      </w:r>
    </w:p>
    <w:p w:rsidR="007F56F0" w:rsidRPr="007F56F0" w:rsidRDefault="007F56F0" w:rsidP="007F56F0">
      <w:pPr>
        <w:suppressAutoHyphens/>
        <w:spacing w:after="0" w:line="240" w:lineRule="auto"/>
        <w:jc w:val="both"/>
        <w:rPr>
          <w:rFonts w:ascii="Arial" w:eastAsia="Times New Roman" w:hAnsi="Arial" w:cs="Arial"/>
          <w:b/>
          <w:color w:val="000000"/>
          <w:lang w:val="es-ES" w:eastAsia="es-ES"/>
        </w:rPr>
      </w:pPr>
    </w:p>
    <w:p w:rsidR="00477B96" w:rsidRPr="00477B96" w:rsidRDefault="007F56F0" w:rsidP="007F56F0">
      <w:pPr>
        <w:suppressAutoHyphens/>
        <w:spacing w:after="0" w:line="240" w:lineRule="auto"/>
        <w:jc w:val="both"/>
        <w:rPr>
          <w:rFonts w:ascii="Arial" w:eastAsia="Times New Roman" w:hAnsi="Arial" w:cs="Arial"/>
          <w:lang w:val="es-ES" w:eastAsia="es-ES"/>
        </w:rPr>
      </w:pPr>
      <w:r w:rsidRPr="007F56F0">
        <w:rPr>
          <w:rFonts w:ascii="Arial" w:eastAsia="Times New Roman" w:hAnsi="Arial" w:cs="Arial"/>
          <w:b/>
          <w:lang w:val="es-ES" w:eastAsia="es-ES"/>
        </w:rPr>
        <w:t xml:space="preserve">Artículo 3º.- </w:t>
      </w:r>
      <w:r w:rsidR="00477B96">
        <w:rPr>
          <w:rFonts w:ascii="Arial" w:eastAsia="Times New Roman" w:hAnsi="Arial" w:cs="Arial"/>
          <w:lang w:val="es-ES" w:eastAsia="es-ES"/>
        </w:rPr>
        <w:t>Las disposiciones de la Directiva N° 005-2016/SBN, entrarán en vigencia a partir del  día siguiente de la publicación de la presente resolución en el Diario Oficial “El Peruano”.</w:t>
      </w:r>
    </w:p>
    <w:p w:rsidR="00477B96" w:rsidRDefault="00477B96" w:rsidP="007F56F0">
      <w:pPr>
        <w:suppressAutoHyphens/>
        <w:spacing w:after="0" w:line="240" w:lineRule="auto"/>
        <w:jc w:val="both"/>
        <w:rPr>
          <w:rFonts w:ascii="Arial" w:eastAsia="Times New Roman" w:hAnsi="Arial" w:cs="Arial"/>
          <w:b/>
          <w:lang w:val="es-ES" w:eastAsia="es-ES"/>
        </w:rPr>
      </w:pPr>
    </w:p>
    <w:p w:rsidR="007F56F0" w:rsidRPr="007F56F0" w:rsidRDefault="00477B96" w:rsidP="00477B96">
      <w:pPr>
        <w:suppressAutoHyphens/>
        <w:spacing w:after="0" w:line="240" w:lineRule="auto"/>
        <w:jc w:val="both"/>
        <w:rPr>
          <w:rFonts w:ascii="Arial" w:eastAsia="Times New Roman" w:hAnsi="Arial" w:cs="Arial"/>
          <w:lang w:val="es-ES" w:eastAsia="es-ES"/>
        </w:rPr>
      </w:pPr>
      <w:r>
        <w:rPr>
          <w:rFonts w:ascii="Arial" w:eastAsia="Times New Roman" w:hAnsi="Arial" w:cs="Arial"/>
          <w:b/>
          <w:lang w:val="es-ES" w:eastAsia="es-ES"/>
        </w:rPr>
        <w:t xml:space="preserve">Artículo 4°.- </w:t>
      </w:r>
      <w:r w:rsidR="007F56F0" w:rsidRPr="007F56F0">
        <w:rPr>
          <w:rFonts w:ascii="Arial" w:eastAsia="Times New Roman" w:hAnsi="Arial" w:cs="Arial"/>
          <w:lang w:val="es-ES" w:eastAsia="es-ES"/>
        </w:rPr>
        <w:t>Encargar a la Oficina de Administración y Finanzas la publicación de la Directiva N°</w:t>
      </w:r>
      <w:r>
        <w:rPr>
          <w:rFonts w:ascii="Arial" w:eastAsia="Times New Roman" w:hAnsi="Arial" w:cs="Arial"/>
          <w:lang w:val="es-ES" w:eastAsia="es-ES"/>
        </w:rPr>
        <w:t xml:space="preserve"> 005</w:t>
      </w:r>
      <w:r w:rsidR="007F56F0" w:rsidRPr="007F56F0">
        <w:rPr>
          <w:rFonts w:ascii="Arial" w:eastAsia="Times New Roman" w:hAnsi="Arial" w:cs="Arial"/>
          <w:lang w:val="es-ES" w:eastAsia="es-ES"/>
        </w:rPr>
        <w:t>-2016/SBN y la presente Resolución en la página web (</w:t>
      </w:r>
      <w:hyperlink r:id="rId18" w:history="1">
        <w:r w:rsidR="007F56F0" w:rsidRPr="007F56F0">
          <w:rPr>
            <w:rFonts w:ascii="Arial" w:eastAsia="Times New Roman" w:hAnsi="Arial" w:cs="Arial"/>
            <w:color w:val="0000FF"/>
            <w:u w:val="single"/>
            <w:lang w:val="es-ES" w:eastAsia="es-ES"/>
          </w:rPr>
          <w:t>www.sbn.gob.pe</w:t>
        </w:r>
      </w:hyperlink>
      <w:r w:rsidR="007F56F0" w:rsidRPr="007F56F0">
        <w:rPr>
          <w:rFonts w:ascii="Arial" w:eastAsia="Times New Roman" w:hAnsi="Arial" w:cs="Arial"/>
          <w:lang w:val="es-ES" w:eastAsia="es-ES"/>
        </w:rPr>
        <w:t>) y en la intranet institucional.</w:t>
      </w:r>
    </w:p>
    <w:p w:rsidR="007F56F0" w:rsidRPr="007F56F0" w:rsidRDefault="007F56F0" w:rsidP="007F56F0">
      <w:pPr>
        <w:suppressAutoHyphens/>
        <w:spacing w:after="0" w:line="240" w:lineRule="auto"/>
        <w:jc w:val="both"/>
        <w:rPr>
          <w:rFonts w:ascii="Arial" w:eastAsia="Times New Roman" w:hAnsi="Arial" w:cs="Arial"/>
          <w:b/>
          <w:color w:val="000000"/>
          <w:lang w:val="es-ES" w:eastAsia="es-ES"/>
        </w:rPr>
      </w:pPr>
    </w:p>
    <w:p w:rsidR="007F56F0" w:rsidRDefault="007F56F0" w:rsidP="007F56F0">
      <w:pPr>
        <w:suppressAutoHyphens/>
        <w:spacing w:after="0" w:line="240" w:lineRule="auto"/>
        <w:jc w:val="both"/>
        <w:outlineLvl w:val="0"/>
        <w:rPr>
          <w:rFonts w:ascii="Times New Roman" w:eastAsia="Times New Roman" w:hAnsi="Times New Roman" w:cs="Times New Roman"/>
          <w:color w:val="000000"/>
          <w:lang w:val="es-ES" w:eastAsia="es-ES"/>
        </w:rPr>
      </w:pPr>
      <w:r w:rsidRPr="007F56F0">
        <w:rPr>
          <w:rFonts w:ascii="Arial" w:eastAsia="Times New Roman" w:hAnsi="Arial" w:cs="Arial"/>
          <w:b/>
          <w:color w:val="000000"/>
          <w:lang w:val="es-ES" w:eastAsia="es-ES"/>
        </w:rPr>
        <w:t>Regístrese, comuníquese y publíquese.</w:t>
      </w:r>
      <w:r w:rsidRPr="007F56F0">
        <w:rPr>
          <w:rFonts w:ascii="Times New Roman" w:eastAsia="Times New Roman" w:hAnsi="Times New Roman" w:cs="Times New Roman"/>
          <w:color w:val="000000"/>
          <w:lang w:val="es-ES" w:eastAsia="es-ES"/>
        </w:rPr>
        <w:t> </w:t>
      </w:r>
    </w:p>
    <w:p w:rsidR="00477B96" w:rsidRDefault="00477B96" w:rsidP="007F56F0">
      <w:pPr>
        <w:suppressAutoHyphens/>
        <w:spacing w:after="0" w:line="240" w:lineRule="auto"/>
        <w:jc w:val="both"/>
        <w:outlineLvl w:val="0"/>
        <w:rPr>
          <w:rFonts w:ascii="Times New Roman" w:eastAsia="Times New Roman" w:hAnsi="Times New Roman" w:cs="Times New Roman"/>
          <w:color w:val="000000"/>
          <w:lang w:val="es-ES" w:eastAsia="es-ES"/>
        </w:rPr>
      </w:pPr>
    </w:p>
    <w:p w:rsidR="00477B96" w:rsidRDefault="00477B96" w:rsidP="007F56F0">
      <w:pPr>
        <w:suppressAutoHyphens/>
        <w:spacing w:after="0" w:line="240" w:lineRule="auto"/>
        <w:jc w:val="both"/>
        <w:outlineLvl w:val="0"/>
        <w:rPr>
          <w:rFonts w:ascii="Times New Roman" w:eastAsia="Times New Roman" w:hAnsi="Times New Roman" w:cs="Times New Roman"/>
          <w:color w:val="000000"/>
          <w:lang w:val="es-ES" w:eastAsia="es-ES"/>
        </w:rPr>
      </w:pPr>
    </w:p>
    <w:p w:rsidR="00477B96" w:rsidRPr="00477B96" w:rsidRDefault="00477B96" w:rsidP="00477B96">
      <w:pPr>
        <w:suppressAutoHyphens/>
        <w:spacing w:after="0" w:line="240" w:lineRule="auto"/>
        <w:jc w:val="center"/>
        <w:outlineLvl w:val="0"/>
        <w:rPr>
          <w:rFonts w:ascii="Times New Roman" w:eastAsia="Times New Roman" w:hAnsi="Times New Roman" w:cs="Times New Roman"/>
          <w:b/>
          <w:color w:val="000000"/>
          <w:lang w:val="es-ES" w:eastAsia="es-ES"/>
        </w:rPr>
      </w:pPr>
      <w:r w:rsidRPr="00477B96">
        <w:rPr>
          <w:rFonts w:ascii="Times New Roman" w:eastAsia="Times New Roman" w:hAnsi="Times New Roman" w:cs="Times New Roman"/>
          <w:b/>
          <w:color w:val="000000"/>
          <w:lang w:val="es-ES" w:eastAsia="es-ES"/>
        </w:rPr>
        <w:t>JOSE LUIS PAIRAZAMAN TORRES</w:t>
      </w:r>
    </w:p>
    <w:p w:rsidR="00477B96" w:rsidRDefault="00477B96" w:rsidP="00477B96">
      <w:pPr>
        <w:suppressAutoHyphens/>
        <w:spacing w:after="0" w:line="240" w:lineRule="auto"/>
        <w:jc w:val="center"/>
        <w:outlineLvl w:val="0"/>
        <w:rPr>
          <w:rFonts w:ascii="Times New Roman" w:eastAsia="Times New Roman" w:hAnsi="Times New Roman" w:cs="Times New Roman"/>
          <w:color w:val="000000"/>
          <w:lang w:val="es-ES" w:eastAsia="es-ES"/>
        </w:rPr>
      </w:pPr>
      <w:r>
        <w:rPr>
          <w:rFonts w:ascii="Times New Roman" w:eastAsia="Times New Roman" w:hAnsi="Times New Roman" w:cs="Times New Roman"/>
          <w:color w:val="000000"/>
          <w:lang w:val="es-ES" w:eastAsia="es-ES"/>
        </w:rPr>
        <w:t>Superintendente</w:t>
      </w:r>
    </w:p>
    <w:p w:rsidR="007F56F0" w:rsidRDefault="007F56F0" w:rsidP="007F56F0">
      <w:pPr>
        <w:suppressAutoHyphens/>
        <w:spacing w:after="0" w:line="240" w:lineRule="auto"/>
        <w:jc w:val="both"/>
        <w:outlineLvl w:val="0"/>
        <w:rPr>
          <w:rFonts w:ascii="Times New Roman" w:eastAsia="Times New Roman" w:hAnsi="Times New Roman" w:cs="Times New Roman"/>
          <w:color w:val="000000"/>
          <w:lang w:val="es-ES" w:eastAsia="es-ES"/>
        </w:rPr>
      </w:pPr>
    </w:p>
    <w:p w:rsidR="006312E8" w:rsidRPr="006312E8" w:rsidRDefault="006312E8" w:rsidP="00E104C8">
      <w:pPr>
        <w:pStyle w:val="TITO2"/>
      </w:pPr>
      <w:bookmarkStart w:id="251" w:name="_Toc470855536"/>
      <w:r w:rsidRPr="006312E8">
        <w:t>DIRECTIVA Nº 00</w:t>
      </w:r>
      <w:r w:rsidR="00A02A15">
        <w:t>5</w:t>
      </w:r>
      <w:r w:rsidRPr="006312E8">
        <w:t>-20</w:t>
      </w:r>
      <w:r w:rsidR="00A02A15">
        <w:t>16</w:t>
      </w:r>
      <w:r w:rsidRPr="006312E8">
        <w:t>/SBN</w:t>
      </w:r>
      <w:bookmarkEnd w:id="247"/>
      <w:bookmarkEnd w:id="248"/>
      <w:bookmarkEnd w:id="249"/>
      <w:bookmarkEnd w:id="251"/>
    </w:p>
    <w:bookmarkEnd w:id="250"/>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PROCEDIMIENTO PARA EL ARRENDAMIENTO DE PREDIOS DEL DOMINIO PRIVADO DEL ESTADO DE LIBRE DISPONIBILIDAD</w:t>
      </w:r>
    </w:p>
    <w:p w:rsidR="006312E8" w:rsidRPr="006312E8" w:rsidRDefault="006312E8" w:rsidP="006312E8">
      <w:pPr>
        <w:spacing w:after="0" w:line="240" w:lineRule="auto"/>
        <w:jc w:val="both"/>
        <w:rPr>
          <w:rFonts w:ascii="Arial" w:eastAsia="Calibri" w:hAnsi="Arial" w:cs="Arial"/>
          <w:lang w:val="es-ES"/>
        </w:rPr>
      </w:pPr>
    </w:p>
    <w:p w:rsidR="007F56F0" w:rsidRPr="007F56F0" w:rsidRDefault="007F56F0" w:rsidP="007F56F0">
      <w:pPr>
        <w:spacing w:after="0" w:line="240" w:lineRule="auto"/>
        <w:ind w:left="540" w:hanging="540"/>
        <w:jc w:val="both"/>
        <w:rPr>
          <w:rFonts w:ascii="Arial" w:eastAsia="Times New Roman" w:hAnsi="Arial" w:cs="Arial"/>
          <w:b/>
          <w:lang w:eastAsia="es-ES"/>
        </w:rPr>
      </w:pPr>
    </w:p>
    <w:p w:rsidR="007F56F0" w:rsidRPr="007F56F0" w:rsidRDefault="007F56F0" w:rsidP="0092471C">
      <w:pPr>
        <w:widowControl w:val="0"/>
        <w:numPr>
          <w:ilvl w:val="0"/>
          <w:numId w:val="313"/>
        </w:numPr>
        <w:suppressAutoHyphens/>
        <w:spacing w:after="0" w:line="240" w:lineRule="auto"/>
        <w:ind w:left="260" w:right="57" w:hanging="260"/>
        <w:contextualSpacing/>
        <w:jc w:val="both"/>
        <w:rPr>
          <w:rFonts w:ascii="Arial" w:eastAsia="Lucida Sans Unicode" w:hAnsi="Arial" w:cs="Arial"/>
          <w:lang w:val="es-ES_tradnl" w:eastAsia="es-ES"/>
        </w:rPr>
      </w:pPr>
      <w:r w:rsidRPr="007F56F0">
        <w:rPr>
          <w:rFonts w:ascii="Arial" w:eastAsia="Calibri" w:hAnsi="Arial" w:cs="Arial"/>
          <w:b/>
          <w:lang w:val="es-ES_tradnl"/>
        </w:rPr>
        <w:t>FINALIDAD</w:t>
      </w:r>
    </w:p>
    <w:p w:rsidR="007F56F0" w:rsidRPr="007F56F0" w:rsidRDefault="007F56F0" w:rsidP="007F56F0">
      <w:pPr>
        <w:widowControl w:val="0"/>
        <w:suppressAutoHyphens/>
        <w:ind w:left="260" w:right="57"/>
        <w:contextualSpacing/>
        <w:jc w:val="both"/>
        <w:rPr>
          <w:rFonts w:ascii="Arial" w:eastAsia="Lucida Sans Unicode" w:hAnsi="Arial" w:cs="Arial"/>
          <w:lang w:val="es-ES_tradnl" w:eastAsia="es-ES"/>
        </w:rPr>
      </w:pPr>
      <w:r w:rsidRPr="007F56F0">
        <w:rPr>
          <w:rFonts w:ascii="Arial" w:eastAsia="Lucida Sans Unicode" w:hAnsi="Arial" w:cs="Arial"/>
          <w:lang w:val="es-ES_tradnl" w:eastAsia="es-ES"/>
        </w:rPr>
        <w:t>Optimizar los procedimientos para el arrendamiento de predios de dominio privado estatal de libre disponibilidad para facilitar su uso y aprovechamiento por parte de las entidades del SNBE.</w:t>
      </w:r>
    </w:p>
    <w:p w:rsidR="007F56F0" w:rsidRPr="007F56F0" w:rsidRDefault="007F56F0" w:rsidP="007F56F0">
      <w:pPr>
        <w:widowControl w:val="0"/>
        <w:suppressAutoHyphens/>
        <w:ind w:left="260" w:right="57"/>
        <w:contextualSpacing/>
        <w:jc w:val="both"/>
        <w:rPr>
          <w:rFonts w:ascii="Arial" w:eastAsia="Lucida Sans Unicode" w:hAnsi="Arial" w:cs="Arial"/>
          <w:lang w:val="es-ES_tradnl" w:eastAsia="es-ES"/>
        </w:rPr>
      </w:pPr>
    </w:p>
    <w:p w:rsidR="007F56F0" w:rsidRPr="007F56F0" w:rsidRDefault="007F56F0" w:rsidP="0092471C">
      <w:pPr>
        <w:widowControl w:val="0"/>
        <w:numPr>
          <w:ilvl w:val="0"/>
          <w:numId w:val="313"/>
        </w:numPr>
        <w:suppressAutoHyphens/>
        <w:spacing w:after="0" w:line="240" w:lineRule="auto"/>
        <w:ind w:left="260" w:right="57" w:hanging="283"/>
        <w:contextualSpacing/>
        <w:jc w:val="both"/>
        <w:rPr>
          <w:rFonts w:ascii="Arial" w:eastAsia="Lucida Sans Unicode" w:hAnsi="Arial" w:cs="Arial"/>
          <w:lang w:val="es-ES_tradnl" w:eastAsia="es-ES"/>
        </w:rPr>
      </w:pPr>
      <w:r w:rsidRPr="007F56F0">
        <w:rPr>
          <w:rFonts w:ascii="Arial" w:eastAsia="Calibri" w:hAnsi="Arial" w:cs="Arial"/>
          <w:b/>
          <w:lang w:val="es-ES_tradnl"/>
        </w:rPr>
        <w:t>OBJETIVO</w:t>
      </w:r>
    </w:p>
    <w:p w:rsidR="007F56F0" w:rsidRDefault="007F56F0" w:rsidP="007F56F0">
      <w:pPr>
        <w:widowControl w:val="0"/>
        <w:suppressAutoHyphens/>
        <w:ind w:left="260" w:right="57"/>
        <w:contextualSpacing/>
        <w:jc w:val="both"/>
        <w:rPr>
          <w:rFonts w:ascii="Arial" w:eastAsia="Lucida Sans Unicode" w:hAnsi="Arial" w:cs="Arial"/>
          <w:lang w:val="es-ES_tradnl" w:eastAsia="es-ES"/>
        </w:rPr>
      </w:pPr>
      <w:r w:rsidRPr="007F56F0">
        <w:rPr>
          <w:rFonts w:ascii="Arial" w:eastAsia="Lucida Sans Unicode" w:hAnsi="Arial" w:cs="Arial"/>
          <w:lang w:val="es-ES_tradnl" w:eastAsia="es-ES"/>
        </w:rPr>
        <w:t>Regular los procedimientos de arrendamiento por convocatoria pública y de manera directa, así como las atribuciones y responsabilidades de los órganos de la SBN y de las demás entidades del SNBE.</w:t>
      </w:r>
    </w:p>
    <w:p w:rsidR="00477B96" w:rsidRPr="007F56F0" w:rsidRDefault="00477B96" w:rsidP="007F56F0">
      <w:pPr>
        <w:widowControl w:val="0"/>
        <w:suppressAutoHyphens/>
        <w:ind w:left="260" w:right="57"/>
        <w:contextualSpacing/>
        <w:jc w:val="both"/>
        <w:rPr>
          <w:rFonts w:ascii="Arial" w:eastAsia="Lucida Sans Unicode" w:hAnsi="Arial" w:cs="Arial"/>
          <w:lang w:val="es-ES_tradnl" w:eastAsia="es-ES"/>
        </w:rPr>
      </w:pPr>
    </w:p>
    <w:p w:rsidR="007F56F0" w:rsidRPr="007F56F0" w:rsidRDefault="007F56F0" w:rsidP="0092471C">
      <w:pPr>
        <w:numPr>
          <w:ilvl w:val="0"/>
          <w:numId w:val="313"/>
        </w:numPr>
        <w:spacing w:after="0" w:line="240" w:lineRule="auto"/>
        <w:ind w:left="260" w:right="57" w:hanging="283"/>
        <w:contextualSpacing/>
        <w:jc w:val="both"/>
        <w:rPr>
          <w:rFonts w:ascii="Arial" w:eastAsia="Times New Roman" w:hAnsi="Arial" w:cs="Arial"/>
          <w:lang w:val="es-ES" w:eastAsia="es-ES"/>
        </w:rPr>
      </w:pPr>
      <w:r w:rsidRPr="007F56F0">
        <w:rPr>
          <w:rFonts w:ascii="Arial" w:eastAsia="Calibri" w:hAnsi="Arial" w:cs="Arial"/>
          <w:b/>
          <w:lang w:val="es-ES"/>
        </w:rPr>
        <w:t>ALCANCE</w:t>
      </w:r>
    </w:p>
    <w:p w:rsidR="007F56F0" w:rsidRPr="007F56F0" w:rsidRDefault="007F56F0" w:rsidP="007F56F0">
      <w:pPr>
        <w:tabs>
          <w:tab w:val="left" w:pos="993"/>
        </w:tabs>
        <w:spacing w:line="240" w:lineRule="auto"/>
        <w:ind w:left="261" w:right="57"/>
        <w:contextualSpacing/>
        <w:jc w:val="both"/>
        <w:rPr>
          <w:rFonts w:ascii="Arial" w:eastAsia="Times New Roman" w:hAnsi="Arial" w:cs="Arial"/>
          <w:lang w:val="es-ES" w:eastAsia="es-ES"/>
        </w:rPr>
      </w:pPr>
      <w:r w:rsidRPr="007F56F0">
        <w:rPr>
          <w:rFonts w:ascii="Arial" w:eastAsia="Times New Roman" w:hAnsi="Arial" w:cs="Arial"/>
          <w:lang w:val="es-ES" w:eastAsia="es-ES"/>
        </w:rPr>
        <w:t>La presente Directiva comprende los predios de dominio privado estatal de libre disponibilidad y su alcance es a nivel nacional, de tal forma es de estricto cumplimiento para las entidades que conforman el SNBE, incluyendo a los Gobiernos Regionales que cuentan con funciones transferidas o con un Convenio de Delegación de Competencias, en el marco del proceso de descentralización, respecto de las funciones del artículo 62° de la Ley N° 27867, Ley Orgánica de Gobiernos Regionales.</w:t>
      </w:r>
    </w:p>
    <w:p w:rsidR="007F56F0" w:rsidRPr="007F56F0" w:rsidRDefault="007F56F0" w:rsidP="007F56F0">
      <w:pPr>
        <w:widowControl w:val="0"/>
        <w:suppressAutoHyphens/>
        <w:spacing w:after="0" w:line="240" w:lineRule="auto"/>
        <w:ind w:left="260" w:right="57"/>
        <w:jc w:val="both"/>
        <w:rPr>
          <w:rFonts w:ascii="Arial" w:eastAsia="Lucida Sans Unicode" w:hAnsi="Arial" w:cs="Arial"/>
          <w:lang w:val="es-ES_tradnl" w:eastAsia="es-ES"/>
        </w:rPr>
      </w:pPr>
      <w:r w:rsidRPr="007F56F0">
        <w:rPr>
          <w:rFonts w:ascii="Arial" w:eastAsia="Calibri" w:hAnsi="Arial" w:cs="Arial"/>
          <w:lang w:val="es-ES" w:eastAsia="es-ES"/>
        </w:rPr>
        <w:t>Los Gobiernos Regionales, Gobiernos Locales y las entidades públicas, que cuentan con régimen legal propio para administrar los predios de su propiedad, pueden aplicar la presente directiva de manera supletoria.</w:t>
      </w:r>
    </w:p>
    <w:p w:rsidR="007F56F0" w:rsidRPr="007F56F0" w:rsidRDefault="007F56F0" w:rsidP="007F56F0">
      <w:pPr>
        <w:spacing w:after="0" w:line="240" w:lineRule="auto"/>
        <w:contextualSpacing/>
        <w:jc w:val="both"/>
        <w:rPr>
          <w:rFonts w:ascii="Arial" w:eastAsia="Calibri" w:hAnsi="Arial" w:cs="Arial"/>
          <w:lang w:val="es-ES_tradnl"/>
        </w:rPr>
      </w:pPr>
    </w:p>
    <w:p w:rsidR="007F56F0" w:rsidRPr="007F56F0" w:rsidRDefault="007F56F0" w:rsidP="0092471C">
      <w:pPr>
        <w:numPr>
          <w:ilvl w:val="0"/>
          <w:numId w:val="313"/>
        </w:numPr>
        <w:spacing w:after="0" w:line="240" w:lineRule="auto"/>
        <w:ind w:left="260" w:hanging="283"/>
        <w:contextualSpacing/>
        <w:jc w:val="both"/>
        <w:rPr>
          <w:rFonts w:ascii="Arial" w:eastAsia="Calibri" w:hAnsi="Arial" w:cs="Arial"/>
          <w:b/>
          <w:lang w:val="es-ES"/>
        </w:rPr>
      </w:pPr>
      <w:r w:rsidRPr="007F56F0">
        <w:rPr>
          <w:rFonts w:ascii="Arial" w:eastAsia="Calibri" w:hAnsi="Arial" w:cs="Arial"/>
          <w:b/>
          <w:lang w:val="es-ES"/>
        </w:rPr>
        <w:t>BASE LEGAL</w:t>
      </w:r>
    </w:p>
    <w:p w:rsidR="007F56F0" w:rsidRPr="007F56F0" w:rsidRDefault="007F56F0" w:rsidP="0092471C">
      <w:pPr>
        <w:widowControl w:val="0"/>
        <w:numPr>
          <w:ilvl w:val="0"/>
          <w:numId w:val="314"/>
        </w:numPr>
        <w:suppressAutoHyphens/>
        <w:spacing w:after="0" w:line="240" w:lineRule="auto"/>
        <w:ind w:right="57"/>
        <w:contextualSpacing/>
        <w:jc w:val="both"/>
        <w:rPr>
          <w:rFonts w:ascii="Arial" w:eastAsia="Lucida Sans Unicode" w:hAnsi="Arial" w:cs="Arial"/>
          <w:lang w:val="es-ES_tradnl" w:eastAsia="es-ES"/>
        </w:rPr>
      </w:pPr>
      <w:r w:rsidRPr="007F56F0">
        <w:rPr>
          <w:rFonts w:ascii="Arial" w:eastAsia="Lucida Sans Unicode" w:hAnsi="Arial" w:cs="Arial"/>
          <w:lang w:val="es-ES_tradnl" w:eastAsia="es-ES"/>
        </w:rPr>
        <w:t>Ley N° 27867, Ley Orgánica de Gobiernos Regionales.</w:t>
      </w:r>
    </w:p>
    <w:p w:rsidR="007F56F0" w:rsidRPr="007F56F0" w:rsidRDefault="007F56F0" w:rsidP="007F56F0">
      <w:pPr>
        <w:widowControl w:val="0"/>
        <w:suppressAutoHyphens/>
        <w:spacing w:after="0" w:line="240" w:lineRule="auto"/>
        <w:ind w:left="720" w:right="57"/>
        <w:contextualSpacing/>
        <w:jc w:val="both"/>
        <w:rPr>
          <w:rFonts w:ascii="Arial" w:eastAsia="Lucida Sans Unicode" w:hAnsi="Arial" w:cs="Arial"/>
          <w:lang w:val="es-ES_tradnl" w:eastAsia="es-ES"/>
        </w:rPr>
      </w:pPr>
    </w:p>
    <w:p w:rsidR="007F56F0" w:rsidRPr="007F56F0" w:rsidRDefault="007F56F0" w:rsidP="0092471C">
      <w:pPr>
        <w:widowControl w:val="0"/>
        <w:numPr>
          <w:ilvl w:val="0"/>
          <w:numId w:val="314"/>
        </w:numPr>
        <w:suppressAutoHyphens/>
        <w:spacing w:after="0" w:line="240" w:lineRule="auto"/>
        <w:ind w:right="57"/>
        <w:contextualSpacing/>
        <w:jc w:val="both"/>
        <w:rPr>
          <w:rFonts w:ascii="Arial" w:eastAsia="Lucida Sans Unicode" w:hAnsi="Arial" w:cs="Arial"/>
          <w:lang w:val="es-ES_tradnl" w:eastAsia="es-ES"/>
        </w:rPr>
      </w:pPr>
      <w:r w:rsidRPr="007F56F0">
        <w:rPr>
          <w:rFonts w:ascii="Arial" w:eastAsia="Lucida Sans Unicode" w:hAnsi="Arial" w:cs="Arial"/>
          <w:lang w:val="es-ES_tradnl" w:eastAsia="es-ES"/>
        </w:rPr>
        <w:t>Ley N° 29151, Ley General del Sistema Nacional de Bienes Estatales.</w:t>
      </w:r>
    </w:p>
    <w:p w:rsidR="007F56F0" w:rsidRPr="007F56F0" w:rsidRDefault="007F56F0" w:rsidP="007F56F0">
      <w:pPr>
        <w:widowControl w:val="0"/>
        <w:suppressAutoHyphens/>
        <w:spacing w:after="0" w:line="240" w:lineRule="auto"/>
        <w:ind w:left="708"/>
        <w:rPr>
          <w:rFonts w:ascii="Arial" w:eastAsia="Lucida Sans Unicode" w:hAnsi="Arial" w:cs="Arial"/>
          <w:lang w:val="es-ES_tradnl" w:eastAsia="es-ES"/>
        </w:rPr>
      </w:pPr>
    </w:p>
    <w:p w:rsidR="007F56F0" w:rsidRPr="007F56F0" w:rsidRDefault="007F56F0" w:rsidP="0092471C">
      <w:pPr>
        <w:widowControl w:val="0"/>
        <w:numPr>
          <w:ilvl w:val="0"/>
          <w:numId w:val="314"/>
        </w:numPr>
        <w:suppressAutoHyphens/>
        <w:spacing w:after="0" w:line="240" w:lineRule="auto"/>
        <w:ind w:right="57"/>
        <w:contextualSpacing/>
        <w:jc w:val="both"/>
        <w:rPr>
          <w:rFonts w:ascii="Arial" w:eastAsia="Lucida Sans Unicode" w:hAnsi="Arial" w:cs="Arial"/>
          <w:lang w:val="es-ES_tradnl" w:eastAsia="es-ES"/>
        </w:rPr>
      </w:pPr>
      <w:r w:rsidRPr="007F56F0">
        <w:rPr>
          <w:rFonts w:ascii="Arial" w:eastAsia="Lucida Sans Unicode" w:hAnsi="Arial" w:cs="Arial"/>
          <w:lang w:val="es-ES_tradnl" w:eastAsia="es-ES"/>
        </w:rPr>
        <w:t>Ley N° 29618, Ley que establece la presunción de que el Estado es poseedor de los inmuebles de su propiedad y declara imprescriptibles los bienes inmuebles de dominio privado estatal.</w:t>
      </w:r>
    </w:p>
    <w:p w:rsidR="007F56F0" w:rsidRPr="007F56F0" w:rsidRDefault="007F56F0" w:rsidP="007F56F0">
      <w:pPr>
        <w:widowControl w:val="0"/>
        <w:suppressAutoHyphens/>
        <w:spacing w:after="0" w:line="240" w:lineRule="auto"/>
        <w:ind w:left="708"/>
        <w:rPr>
          <w:rFonts w:ascii="Arial" w:eastAsia="Lucida Sans Unicode" w:hAnsi="Arial" w:cs="Arial"/>
          <w:lang w:val="es-ES_tradnl" w:eastAsia="es-ES"/>
        </w:rPr>
      </w:pPr>
    </w:p>
    <w:p w:rsidR="007F56F0" w:rsidRPr="007F56F0" w:rsidRDefault="007F56F0" w:rsidP="0092471C">
      <w:pPr>
        <w:widowControl w:val="0"/>
        <w:numPr>
          <w:ilvl w:val="0"/>
          <w:numId w:val="314"/>
        </w:numPr>
        <w:suppressAutoHyphens/>
        <w:spacing w:after="0" w:line="240" w:lineRule="auto"/>
        <w:ind w:right="57"/>
        <w:contextualSpacing/>
        <w:jc w:val="both"/>
        <w:rPr>
          <w:rFonts w:ascii="Arial" w:eastAsia="Lucida Sans Unicode" w:hAnsi="Arial" w:cs="Arial"/>
          <w:lang w:val="es-ES_tradnl" w:eastAsia="es-ES"/>
        </w:rPr>
      </w:pPr>
      <w:r w:rsidRPr="007F56F0">
        <w:rPr>
          <w:rFonts w:ascii="Arial" w:eastAsia="Lucida Sans Unicode" w:hAnsi="Arial" w:cs="Arial"/>
          <w:color w:val="000000"/>
          <w:lang w:val="es-MX" w:eastAsia="es-ES"/>
        </w:rPr>
        <w:t>Decreto Legislativo N° 295, que aprueba el Código Civil, artículos 1666 al 1712.</w:t>
      </w:r>
    </w:p>
    <w:p w:rsidR="007F56F0" w:rsidRPr="007F56F0" w:rsidRDefault="007F56F0" w:rsidP="007F56F0">
      <w:pPr>
        <w:widowControl w:val="0"/>
        <w:suppressAutoHyphens/>
        <w:spacing w:after="0" w:line="240" w:lineRule="auto"/>
        <w:ind w:left="708"/>
        <w:rPr>
          <w:rFonts w:ascii="Arial" w:eastAsia="Lucida Sans Unicode" w:hAnsi="Arial" w:cs="Arial"/>
          <w:lang w:val="es-ES_tradnl" w:eastAsia="es-ES"/>
        </w:rPr>
      </w:pPr>
    </w:p>
    <w:p w:rsidR="007F56F0" w:rsidRPr="007F56F0" w:rsidRDefault="007F56F0" w:rsidP="0092471C">
      <w:pPr>
        <w:widowControl w:val="0"/>
        <w:numPr>
          <w:ilvl w:val="0"/>
          <w:numId w:val="314"/>
        </w:numPr>
        <w:suppressAutoHyphens/>
        <w:spacing w:after="0" w:line="240" w:lineRule="auto"/>
        <w:ind w:right="57"/>
        <w:contextualSpacing/>
        <w:jc w:val="both"/>
        <w:rPr>
          <w:rFonts w:ascii="Arial" w:eastAsia="Lucida Sans Unicode" w:hAnsi="Arial" w:cs="Arial"/>
          <w:lang w:val="es-ES_tradnl" w:eastAsia="es-ES"/>
        </w:rPr>
      </w:pPr>
      <w:r w:rsidRPr="007F56F0">
        <w:rPr>
          <w:rFonts w:ascii="Arial" w:eastAsia="Lucida Sans Unicode" w:hAnsi="Arial" w:cs="Arial"/>
          <w:lang w:val="es-ES_tradnl" w:eastAsia="es-ES"/>
        </w:rPr>
        <w:t>Decreto Supremo N° 007-2008-VIVIENDA, que aprueba el Reglamento de la Ley N° 29151, Ley General del Sistema Nacional de Bienes Estatales, en adelante el Reglamento.</w:t>
      </w:r>
    </w:p>
    <w:p w:rsidR="007F56F0" w:rsidRPr="007F56F0" w:rsidRDefault="007F56F0" w:rsidP="007F56F0">
      <w:pPr>
        <w:widowControl w:val="0"/>
        <w:suppressAutoHyphens/>
        <w:spacing w:after="0" w:line="240" w:lineRule="auto"/>
        <w:ind w:left="708"/>
        <w:rPr>
          <w:rFonts w:ascii="Arial" w:eastAsia="Lucida Sans Unicode" w:hAnsi="Arial" w:cs="Arial"/>
          <w:lang w:val="es-ES_tradnl" w:eastAsia="es-ES"/>
        </w:rPr>
      </w:pPr>
    </w:p>
    <w:p w:rsidR="007F56F0" w:rsidRPr="007F56F0" w:rsidRDefault="007F56F0" w:rsidP="0092471C">
      <w:pPr>
        <w:widowControl w:val="0"/>
        <w:numPr>
          <w:ilvl w:val="0"/>
          <w:numId w:val="314"/>
        </w:numPr>
        <w:suppressAutoHyphens/>
        <w:spacing w:after="0" w:line="240" w:lineRule="auto"/>
        <w:ind w:right="57"/>
        <w:contextualSpacing/>
        <w:jc w:val="both"/>
        <w:rPr>
          <w:rFonts w:ascii="Arial" w:eastAsia="Lucida Sans Unicode" w:hAnsi="Arial" w:cs="Arial"/>
          <w:lang w:val="es-ES_tradnl" w:eastAsia="es-ES"/>
        </w:rPr>
      </w:pPr>
      <w:r w:rsidRPr="007F56F0">
        <w:rPr>
          <w:rFonts w:ascii="Arial" w:eastAsia="Lucida Sans Unicode" w:hAnsi="Arial" w:cs="Arial"/>
          <w:lang w:val="es-ES_tradnl" w:eastAsia="es-ES"/>
        </w:rPr>
        <w:t>Decreto Supremo N° 016-2010-VIVIENDA, que aprueba el Reglamento de Organización y Funciones de la Superintendencia Nacional de Bienes Estatales – SBN.</w:t>
      </w:r>
    </w:p>
    <w:p w:rsidR="007F56F0" w:rsidRPr="007F56F0" w:rsidRDefault="007F56F0" w:rsidP="007F56F0">
      <w:pPr>
        <w:widowControl w:val="0"/>
        <w:suppressAutoHyphens/>
        <w:spacing w:after="0" w:line="240" w:lineRule="auto"/>
        <w:ind w:left="708"/>
        <w:rPr>
          <w:rFonts w:ascii="Arial" w:eastAsia="Lucida Sans Unicode" w:hAnsi="Arial" w:cs="Arial"/>
          <w:lang w:val="es-ES_tradnl" w:eastAsia="es-ES"/>
        </w:rPr>
      </w:pPr>
    </w:p>
    <w:p w:rsidR="007F56F0" w:rsidRPr="007F56F0" w:rsidRDefault="007F56F0" w:rsidP="0092471C">
      <w:pPr>
        <w:widowControl w:val="0"/>
        <w:numPr>
          <w:ilvl w:val="0"/>
          <w:numId w:val="314"/>
        </w:numPr>
        <w:suppressAutoHyphens/>
        <w:spacing w:after="0" w:line="240" w:lineRule="auto"/>
        <w:ind w:right="57"/>
        <w:contextualSpacing/>
        <w:jc w:val="both"/>
        <w:rPr>
          <w:rFonts w:ascii="Arial" w:eastAsia="Lucida Sans Unicode" w:hAnsi="Arial" w:cs="Arial"/>
          <w:lang w:val="es-ES_tradnl" w:eastAsia="es-ES"/>
        </w:rPr>
      </w:pPr>
      <w:r w:rsidRPr="007F56F0">
        <w:rPr>
          <w:rFonts w:ascii="Arial" w:eastAsia="Lucida Sans Unicode" w:hAnsi="Arial" w:cs="Arial"/>
          <w:lang w:val="es-ES_tradnl" w:eastAsia="es-ES"/>
        </w:rPr>
        <w:t>Resolución Ministerial N° 172-2016-VIVIENDA, que aprueba el Reglamento Nacional de Tasaciones.</w:t>
      </w:r>
    </w:p>
    <w:p w:rsidR="007F56F0" w:rsidRPr="007F56F0" w:rsidRDefault="007F56F0" w:rsidP="007F56F0">
      <w:pPr>
        <w:widowControl w:val="0"/>
        <w:suppressAutoHyphens/>
        <w:spacing w:after="0" w:line="240" w:lineRule="auto"/>
        <w:ind w:left="708"/>
        <w:rPr>
          <w:rFonts w:ascii="Arial" w:eastAsia="Lucida Sans Unicode" w:hAnsi="Arial" w:cs="Arial"/>
          <w:lang w:val="es-ES_tradnl" w:eastAsia="es-ES"/>
        </w:rPr>
      </w:pPr>
    </w:p>
    <w:p w:rsidR="007F56F0" w:rsidRPr="007F56F0" w:rsidRDefault="007F56F0" w:rsidP="0092471C">
      <w:pPr>
        <w:widowControl w:val="0"/>
        <w:numPr>
          <w:ilvl w:val="0"/>
          <w:numId w:val="314"/>
        </w:numPr>
        <w:suppressAutoHyphens/>
        <w:spacing w:after="0" w:line="240" w:lineRule="auto"/>
        <w:ind w:right="57"/>
        <w:contextualSpacing/>
        <w:jc w:val="both"/>
        <w:rPr>
          <w:rFonts w:ascii="Arial" w:eastAsia="Lucida Sans Unicode" w:hAnsi="Arial" w:cs="Arial"/>
          <w:lang w:val="es-ES_tradnl" w:eastAsia="es-ES"/>
        </w:rPr>
      </w:pPr>
      <w:r w:rsidRPr="007F56F0">
        <w:rPr>
          <w:rFonts w:ascii="Arial" w:eastAsia="Lucida Sans Unicode" w:hAnsi="Arial" w:cs="Arial"/>
          <w:lang w:val="es-ES_tradnl" w:eastAsia="es-ES"/>
        </w:rPr>
        <w:t>Resolución N° 040-2013-SBN, que aprueba el “Formato Único de Informe Técnico Legal” aplicable a los actos de gestión sobre bienes inmuebles de propiedad estatal.</w:t>
      </w:r>
    </w:p>
    <w:p w:rsidR="007F56F0" w:rsidRPr="007F56F0" w:rsidRDefault="007F56F0" w:rsidP="007F56F0">
      <w:pPr>
        <w:widowControl w:val="0"/>
        <w:suppressAutoHyphens/>
        <w:spacing w:after="0" w:line="240" w:lineRule="auto"/>
        <w:ind w:left="708"/>
        <w:rPr>
          <w:rFonts w:ascii="Arial" w:eastAsia="Lucida Sans Unicode" w:hAnsi="Arial" w:cs="Arial"/>
          <w:lang w:val="es-ES_tradnl" w:eastAsia="es-ES"/>
        </w:rPr>
      </w:pPr>
    </w:p>
    <w:p w:rsidR="007F56F0" w:rsidRPr="007F56F0" w:rsidRDefault="007F56F0" w:rsidP="0092471C">
      <w:pPr>
        <w:numPr>
          <w:ilvl w:val="0"/>
          <w:numId w:val="312"/>
        </w:numPr>
        <w:spacing w:after="0" w:line="240" w:lineRule="auto"/>
        <w:ind w:left="686" w:right="57" w:hanging="426"/>
        <w:contextualSpacing/>
        <w:jc w:val="both"/>
        <w:rPr>
          <w:rFonts w:ascii="Arial" w:eastAsia="Lucida Sans Unicode" w:hAnsi="Arial" w:cs="Arial"/>
          <w:lang w:val="es-ES_tradnl" w:eastAsia="es-ES"/>
        </w:rPr>
      </w:pPr>
      <w:r w:rsidRPr="007F56F0">
        <w:rPr>
          <w:rFonts w:ascii="Arial" w:eastAsia="Lucida Sans Unicode" w:hAnsi="Arial" w:cs="Arial"/>
          <w:lang w:val="es-ES_tradnl" w:eastAsia="es-ES"/>
        </w:rPr>
        <w:t>Resolución N° 017-2011-SBN, que aprueba la Directiva N° 002-2011-SBN que regula el “Registro de la Información de los Predios de Titularidad Estatal en el Sistema de Información Nacional de Bienes Estatales-SINABIP”.</w:t>
      </w:r>
    </w:p>
    <w:p w:rsidR="007F56F0" w:rsidRPr="007F56F0" w:rsidRDefault="007F56F0" w:rsidP="007F56F0">
      <w:pPr>
        <w:widowControl w:val="0"/>
        <w:suppressAutoHyphens/>
        <w:spacing w:after="0" w:line="240" w:lineRule="auto"/>
        <w:ind w:left="708"/>
        <w:rPr>
          <w:rFonts w:ascii="Arial" w:eastAsia="Lucida Sans Unicode" w:hAnsi="Arial" w:cs="Arial"/>
          <w:lang w:val="es-ES_tradnl" w:eastAsia="es-ES"/>
        </w:rPr>
      </w:pPr>
    </w:p>
    <w:p w:rsidR="007F56F0" w:rsidRPr="007F56F0" w:rsidRDefault="007F56F0" w:rsidP="0092471C">
      <w:pPr>
        <w:numPr>
          <w:ilvl w:val="0"/>
          <w:numId w:val="312"/>
        </w:numPr>
        <w:spacing w:after="0" w:line="240" w:lineRule="auto"/>
        <w:ind w:left="686" w:right="57" w:hanging="426"/>
        <w:contextualSpacing/>
        <w:jc w:val="both"/>
        <w:rPr>
          <w:rFonts w:ascii="Arial" w:eastAsia="Lucida Sans Unicode" w:hAnsi="Arial" w:cs="Arial"/>
          <w:lang w:val="es-ES_tradnl" w:eastAsia="es-ES"/>
        </w:rPr>
      </w:pPr>
      <w:r w:rsidRPr="007F56F0">
        <w:rPr>
          <w:rFonts w:ascii="Arial" w:eastAsia="Lucida Sans Unicode" w:hAnsi="Arial" w:cs="Arial"/>
          <w:lang w:val="es-ES_tradnl" w:eastAsia="es-ES"/>
        </w:rPr>
        <w:t xml:space="preserve">Resolución N° 001-2014/SBN, que aprueba la Directiva N° 001-2014/SBN, denominada “Procedimientos para la Formulación y Aprobación de Directivas en la SBN”, </w:t>
      </w:r>
    </w:p>
    <w:p w:rsidR="007F56F0" w:rsidRPr="007F56F0" w:rsidRDefault="007F56F0" w:rsidP="007F56F0">
      <w:pPr>
        <w:widowControl w:val="0"/>
        <w:suppressAutoHyphens/>
        <w:spacing w:after="0" w:line="240" w:lineRule="auto"/>
        <w:ind w:left="708"/>
        <w:rPr>
          <w:rFonts w:ascii="Arial" w:eastAsia="Lucida Sans Unicode" w:hAnsi="Arial" w:cs="Arial"/>
          <w:highlight w:val="yellow"/>
          <w:lang w:val="es-ES_tradnl" w:eastAsia="es-ES"/>
        </w:rPr>
      </w:pPr>
    </w:p>
    <w:p w:rsidR="007F56F0" w:rsidRPr="007F56F0" w:rsidRDefault="007F56F0" w:rsidP="007F56F0">
      <w:pPr>
        <w:widowControl w:val="0"/>
        <w:suppressAutoHyphens/>
        <w:spacing w:after="0" w:line="240" w:lineRule="auto"/>
        <w:ind w:left="629"/>
        <w:contextualSpacing/>
        <w:jc w:val="both"/>
        <w:rPr>
          <w:rFonts w:ascii="Arial" w:eastAsia="Calibri" w:hAnsi="Arial" w:cs="Arial"/>
          <w:lang w:val="es-ES_tradnl"/>
        </w:rPr>
      </w:pPr>
      <w:r w:rsidRPr="007F56F0">
        <w:rPr>
          <w:rFonts w:ascii="Arial" w:eastAsia="Lucida Sans Unicode" w:hAnsi="Arial" w:cs="Arial"/>
          <w:lang w:val="es-ES_tradnl" w:eastAsia="es-ES"/>
        </w:rPr>
        <w:t>Las referidas normas incluyen sus respectivas modificaciones, de ser el caso.</w:t>
      </w:r>
    </w:p>
    <w:p w:rsidR="007F56F0" w:rsidRPr="007F56F0" w:rsidRDefault="007F56F0" w:rsidP="007F56F0">
      <w:pPr>
        <w:spacing w:after="0" w:line="240" w:lineRule="auto"/>
        <w:contextualSpacing/>
        <w:jc w:val="both"/>
        <w:rPr>
          <w:rFonts w:ascii="Arial" w:eastAsia="Calibri" w:hAnsi="Arial" w:cs="Arial"/>
          <w:lang w:val="es-ES"/>
        </w:rPr>
      </w:pPr>
    </w:p>
    <w:p w:rsidR="007F56F0" w:rsidRPr="007F56F0" w:rsidRDefault="007F56F0" w:rsidP="0092471C">
      <w:pPr>
        <w:numPr>
          <w:ilvl w:val="0"/>
          <w:numId w:val="313"/>
        </w:numPr>
        <w:spacing w:after="0" w:line="240" w:lineRule="auto"/>
        <w:ind w:left="260" w:hanging="260"/>
        <w:contextualSpacing/>
        <w:jc w:val="both"/>
        <w:rPr>
          <w:rFonts w:ascii="Arial" w:eastAsia="Calibri" w:hAnsi="Arial" w:cs="Arial"/>
          <w:b/>
          <w:lang w:val="es-ES"/>
        </w:rPr>
      </w:pPr>
      <w:r w:rsidRPr="007F56F0">
        <w:rPr>
          <w:rFonts w:ascii="Arial" w:eastAsia="Calibri" w:hAnsi="Arial" w:cs="Arial"/>
          <w:b/>
          <w:lang w:val="es-ES"/>
        </w:rPr>
        <w:t>DISPOSICIONES GENERALES</w:t>
      </w:r>
    </w:p>
    <w:p w:rsidR="007F56F0" w:rsidRPr="007F56F0" w:rsidRDefault="007F56F0" w:rsidP="007F56F0">
      <w:pPr>
        <w:ind w:left="260"/>
        <w:contextualSpacing/>
        <w:jc w:val="both"/>
        <w:rPr>
          <w:rFonts w:ascii="Arial" w:eastAsia="Calibri" w:hAnsi="Arial" w:cs="Arial"/>
          <w:b/>
          <w:lang w:val="es-ES"/>
        </w:rPr>
      </w:pPr>
    </w:p>
    <w:p w:rsidR="007F56F0" w:rsidRPr="007F56F0" w:rsidRDefault="007F56F0" w:rsidP="00477B96">
      <w:pPr>
        <w:spacing w:after="0" w:line="240" w:lineRule="auto"/>
        <w:ind w:left="851" w:right="57" w:hanging="567"/>
        <w:contextualSpacing/>
        <w:jc w:val="both"/>
        <w:rPr>
          <w:rFonts w:ascii="Arial" w:eastAsia="Times New Roman" w:hAnsi="Arial" w:cs="Arial"/>
          <w:lang w:val="es-ES" w:eastAsia="es-ES"/>
        </w:rPr>
      </w:pPr>
      <w:r w:rsidRPr="007F56F0">
        <w:rPr>
          <w:rFonts w:ascii="Arial" w:eastAsia="Calibri" w:hAnsi="Arial" w:cs="Arial"/>
          <w:lang w:val="es-ES"/>
        </w:rPr>
        <w:t xml:space="preserve">5.1 </w:t>
      </w:r>
      <w:r w:rsidR="00477B96">
        <w:rPr>
          <w:rFonts w:ascii="Arial" w:eastAsia="Calibri" w:hAnsi="Arial" w:cs="Arial"/>
          <w:lang w:val="es-ES"/>
        </w:rPr>
        <w:tab/>
      </w:r>
      <w:r w:rsidRPr="007F56F0">
        <w:rPr>
          <w:rFonts w:ascii="Arial" w:eastAsia="Times New Roman" w:hAnsi="Arial" w:cs="Arial"/>
          <w:lang w:val="es-ES" w:eastAsia="es-ES"/>
        </w:rPr>
        <w:t xml:space="preserve">El arrendamiento se efectúa sobre predios de dominio privado estatal de libre disponibilidad que se encuentran inscritos a favor del Estado o de la respectiva entidad pública, pudiendo constituirse sobre predios no inscritos cuando la entidad pública arrendadora acredite el derecho de propiedad que le asiste, subsistiendo la obligación de dicha entidad de realizar el saneamiento técnico-legal. En cualquiera de los casos, el predio debe estar registrado en el SINABIP.  </w:t>
      </w:r>
    </w:p>
    <w:p w:rsidR="007F56F0" w:rsidRPr="007F56F0" w:rsidRDefault="007F56F0" w:rsidP="00477B96">
      <w:pPr>
        <w:spacing w:after="0" w:line="240" w:lineRule="auto"/>
        <w:ind w:left="851" w:right="57" w:hanging="567"/>
        <w:contextualSpacing/>
        <w:jc w:val="both"/>
        <w:rPr>
          <w:rFonts w:ascii="Arial" w:eastAsia="Times New Roman" w:hAnsi="Arial" w:cs="Arial"/>
          <w:lang w:val="es-ES" w:eastAsia="es-ES"/>
        </w:rPr>
      </w:pPr>
      <w:r w:rsidRPr="007F56F0">
        <w:rPr>
          <w:rFonts w:ascii="Arial" w:eastAsia="Times New Roman" w:hAnsi="Arial" w:cs="Arial"/>
          <w:lang w:val="es-ES" w:eastAsia="es-ES"/>
        </w:rPr>
        <w:t xml:space="preserve">  </w:t>
      </w:r>
    </w:p>
    <w:p w:rsidR="007F56F0" w:rsidRPr="007F56F0" w:rsidRDefault="007F56F0" w:rsidP="00477B96">
      <w:pPr>
        <w:tabs>
          <w:tab w:val="left" w:pos="487"/>
          <w:tab w:val="left" w:pos="629"/>
        </w:tabs>
        <w:spacing w:after="0" w:line="240" w:lineRule="auto"/>
        <w:ind w:left="851" w:right="57" w:hanging="567"/>
        <w:contextualSpacing/>
        <w:jc w:val="both"/>
        <w:rPr>
          <w:rFonts w:ascii="Arial" w:eastAsia="Times New Roman" w:hAnsi="Arial" w:cs="Arial"/>
          <w:lang w:val="es-ES" w:eastAsia="es-ES"/>
        </w:rPr>
      </w:pPr>
      <w:r w:rsidRPr="007F56F0">
        <w:rPr>
          <w:rFonts w:ascii="Arial" w:eastAsia="Calibri" w:hAnsi="Arial" w:cs="Arial"/>
          <w:lang w:val="es-ES"/>
        </w:rPr>
        <w:t xml:space="preserve">5.2 </w:t>
      </w:r>
      <w:r w:rsidR="00477B96">
        <w:rPr>
          <w:rFonts w:ascii="Arial" w:eastAsia="Calibri" w:hAnsi="Arial" w:cs="Arial"/>
          <w:lang w:val="es-ES"/>
        </w:rPr>
        <w:tab/>
      </w:r>
      <w:r w:rsidRPr="007F56F0">
        <w:rPr>
          <w:rFonts w:ascii="Arial" w:eastAsia="Times New Roman" w:hAnsi="Arial" w:cs="Arial"/>
          <w:lang w:val="es-ES" w:eastAsia="es-ES"/>
        </w:rPr>
        <w:t>El arrendamiento se efectúa por convocatoria pública o, excepcionalmente, en forma directa. El arrendamiento directo procede en los casos expresamente establecidos en el artículo 94° del Reglamento.</w:t>
      </w:r>
    </w:p>
    <w:p w:rsidR="007F56F0" w:rsidRPr="007F56F0" w:rsidRDefault="007F56F0" w:rsidP="00477B96">
      <w:pPr>
        <w:spacing w:after="0" w:line="240" w:lineRule="auto"/>
        <w:ind w:left="851" w:right="57" w:hanging="567"/>
        <w:contextualSpacing/>
        <w:jc w:val="both"/>
        <w:rPr>
          <w:rFonts w:ascii="Arial" w:eastAsia="Times New Roman" w:hAnsi="Arial" w:cs="Arial"/>
          <w:lang w:val="es-ES" w:eastAsia="es-ES"/>
        </w:rPr>
      </w:pPr>
    </w:p>
    <w:p w:rsidR="007F56F0" w:rsidRPr="007F56F0" w:rsidRDefault="007F56F0" w:rsidP="00477B96">
      <w:pPr>
        <w:spacing w:after="0" w:line="240" w:lineRule="auto"/>
        <w:ind w:left="851" w:right="57" w:hanging="567"/>
        <w:contextualSpacing/>
        <w:jc w:val="both"/>
        <w:rPr>
          <w:rFonts w:ascii="Arial" w:eastAsia="Times New Roman" w:hAnsi="Arial" w:cs="Arial"/>
          <w:lang w:val="es-ES" w:eastAsia="es-ES"/>
        </w:rPr>
      </w:pPr>
      <w:r w:rsidRPr="007F56F0">
        <w:rPr>
          <w:rFonts w:ascii="Arial" w:eastAsia="Times New Roman" w:hAnsi="Arial" w:cs="Arial"/>
          <w:lang w:val="es-ES" w:eastAsia="es-ES"/>
        </w:rPr>
        <w:t xml:space="preserve">5.3 </w:t>
      </w:r>
      <w:r w:rsidR="00477B96">
        <w:rPr>
          <w:rFonts w:ascii="Arial" w:eastAsia="Times New Roman" w:hAnsi="Arial" w:cs="Arial"/>
          <w:lang w:val="es-ES" w:eastAsia="es-ES"/>
        </w:rPr>
        <w:tab/>
      </w:r>
      <w:r w:rsidRPr="007F56F0">
        <w:rPr>
          <w:rFonts w:ascii="Arial" w:eastAsia="Times New Roman" w:hAnsi="Arial" w:cs="Arial"/>
          <w:lang w:val="es-ES" w:eastAsia="es-ES"/>
        </w:rPr>
        <w:t>Cuando la solicitud del arrendamiento directo no se encuentra subsumido en las causales, puede reconducirse en un procedimiento de arrendamiento por convocatoria pública y viceversa, siempre que medie solicitud del administrado.</w:t>
      </w:r>
    </w:p>
    <w:p w:rsidR="007F56F0" w:rsidRPr="007F56F0" w:rsidRDefault="007F56F0" w:rsidP="00477B96">
      <w:pPr>
        <w:widowControl w:val="0"/>
        <w:suppressAutoHyphens/>
        <w:spacing w:after="0" w:line="240" w:lineRule="auto"/>
        <w:ind w:left="851" w:hanging="567"/>
        <w:jc w:val="both"/>
        <w:rPr>
          <w:rFonts w:ascii="Arial" w:eastAsia="Lucida Sans Unicode" w:hAnsi="Arial" w:cs="Arial"/>
          <w:lang w:val="es-ES" w:eastAsia="es-ES"/>
        </w:rPr>
      </w:pPr>
    </w:p>
    <w:p w:rsidR="007F56F0" w:rsidRPr="007F56F0" w:rsidRDefault="007F56F0" w:rsidP="00477B96">
      <w:pPr>
        <w:spacing w:after="0" w:line="240" w:lineRule="auto"/>
        <w:ind w:left="851" w:right="57" w:hanging="567"/>
        <w:contextualSpacing/>
        <w:jc w:val="both"/>
        <w:rPr>
          <w:rFonts w:ascii="Arial" w:eastAsia="Times New Roman" w:hAnsi="Arial" w:cs="Arial"/>
          <w:lang w:val="es-ES" w:eastAsia="es-ES"/>
        </w:rPr>
      </w:pPr>
      <w:r w:rsidRPr="007F56F0">
        <w:rPr>
          <w:rFonts w:ascii="Arial" w:eastAsia="Times New Roman" w:hAnsi="Arial" w:cs="Arial"/>
          <w:lang w:val="es-ES" w:eastAsia="es-ES"/>
        </w:rPr>
        <w:t xml:space="preserve">5.4 </w:t>
      </w:r>
      <w:r w:rsidR="00477B96">
        <w:rPr>
          <w:rFonts w:ascii="Arial" w:eastAsia="Times New Roman" w:hAnsi="Arial" w:cs="Arial"/>
          <w:lang w:val="es-ES" w:eastAsia="es-ES"/>
        </w:rPr>
        <w:tab/>
      </w:r>
      <w:r w:rsidRPr="007F56F0">
        <w:rPr>
          <w:rFonts w:ascii="Arial" w:eastAsia="Times New Roman" w:hAnsi="Arial" w:cs="Arial"/>
          <w:lang w:val="es-ES" w:eastAsia="es-ES"/>
        </w:rPr>
        <w:t>El predio materia de arrendamiento debe estar identificado en cuanto a su área, gráfico y ubicación.</w:t>
      </w:r>
    </w:p>
    <w:p w:rsidR="007F56F0" w:rsidRPr="007F56F0" w:rsidRDefault="007F56F0" w:rsidP="00477B96">
      <w:pPr>
        <w:spacing w:after="0" w:line="240" w:lineRule="auto"/>
        <w:ind w:left="851" w:right="57" w:hanging="567"/>
        <w:contextualSpacing/>
        <w:jc w:val="both"/>
        <w:rPr>
          <w:rFonts w:ascii="Arial" w:eastAsia="Times New Roman" w:hAnsi="Arial" w:cs="Arial"/>
          <w:lang w:val="es-ES" w:eastAsia="es-ES"/>
        </w:rPr>
      </w:pPr>
    </w:p>
    <w:p w:rsidR="007F56F0" w:rsidRPr="007F56F0" w:rsidRDefault="007F56F0" w:rsidP="00477B96">
      <w:pPr>
        <w:spacing w:after="0" w:line="240" w:lineRule="auto"/>
        <w:ind w:left="851" w:right="57" w:hanging="567"/>
        <w:contextualSpacing/>
        <w:jc w:val="both"/>
        <w:rPr>
          <w:rFonts w:ascii="Arial" w:eastAsia="Times New Roman" w:hAnsi="Arial" w:cs="Arial"/>
          <w:lang w:val="es-ES" w:eastAsia="es-ES"/>
        </w:rPr>
      </w:pPr>
      <w:r w:rsidRPr="007F56F0">
        <w:rPr>
          <w:rFonts w:ascii="Arial" w:eastAsia="Times New Roman" w:hAnsi="Arial" w:cs="Arial"/>
          <w:lang w:val="es-ES" w:eastAsia="es-ES"/>
        </w:rPr>
        <w:t xml:space="preserve">5.5 </w:t>
      </w:r>
      <w:r w:rsidR="00477B96">
        <w:rPr>
          <w:rFonts w:ascii="Arial" w:eastAsia="Times New Roman" w:hAnsi="Arial" w:cs="Arial"/>
          <w:lang w:val="es-ES" w:eastAsia="es-ES"/>
        </w:rPr>
        <w:tab/>
      </w:r>
      <w:r w:rsidRPr="007F56F0">
        <w:rPr>
          <w:rFonts w:ascii="Arial" w:eastAsia="Times New Roman" w:hAnsi="Arial" w:cs="Arial"/>
          <w:lang w:val="es-ES" w:eastAsia="es-ES"/>
        </w:rPr>
        <w:t>Los procedimientos de arrendamiento son sustentados y aprobados por la entidad pública propietaria; cuando el predio es de propiedad del Estado, por la SBN o el Gobierno Regional con funciones transferidas o delegadas, en el marco del proceso de descentralización.</w:t>
      </w:r>
      <w:r w:rsidR="00477B96">
        <w:rPr>
          <w:rFonts w:ascii="Arial" w:eastAsia="Times New Roman" w:hAnsi="Arial" w:cs="Arial"/>
          <w:lang w:val="es-ES" w:eastAsia="es-ES"/>
        </w:rPr>
        <w:t xml:space="preserve"> </w:t>
      </w:r>
      <w:r w:rsidRPr="007F56F0">
        <w:rPr>
          <w:rFonts w:ascii="Arial" w:eastAsia="Times New Roman" w:hAnsi="Arial" w:cs="Arial"/>
          <w:lang w:val="es-ES" w:eastAsia="es-ES"/>
        </w:rPr>
        <w:t>En el caso de la SBN, la unidad competente para sustentar y aprobar el procedimiento de arrendamiento de los predios de propiedad del Estado es la SDAPE; en las demás entidades, será la unidad orgánica competente, según sus documentos de gestión institucional.</w:t>
      </w:r>
    </w:p>
    <w:p w:rsidR="007F56F0" w:rsidRPr="007F56F0" w:rsidRDefault="007F56F0" w:rsidP="00477B96">
      <w:pPr>
        <w:spacing w:after="0" w:line="240" w:lineRule="auto"/>
        <w:ind w:left="851" w:right="57" w:hanging="567"/>
        <w:contextualSpacing/>
        <w:jc w:val="both"/>
        <w:rPr>
          <w:rFonts w:ascii="Arial" w:eastAsia="Times New Roman" w:hAnsi="Arial" w:cs="Arial"/>
          <w:lang w:val="es-ES" w:eastAsia="es-ES"/>
        </w:rPr>
      </w:pPr>
    </w:p>
    <w:p w:rsidR="007F56F0" w:rsidRPr="007F56F0" w:rsidRDefault="007F56F0" w:rsidP="00477B96">
      <w:pPr>
        <w:spacing w:after="0" w:line="240" w:lineRule="auto"/>
        <w:ind w:left="851" w:right="57" w:hanging="567"/>
        <w:contextualSpacing/>
        <w:jc w:val="both"/>
        <w:rPr>
          <w:rFonts w:ascii="Arial" w:eastAsia="Times New Roman" w:hAnsi="Arial" w:cs="Arial"/>
          <w:lang w:val="es-ES" w:eastAsia="es-ES"/>
        </w:rPr>
      </w:pPr>
      <w:r w:rsidRPr="007F56F0">
        <w:rPr>
          <w:rFonts w:ascii="Arial" w:eastAsia="Times New Roman" w:hAnsi="Arial" w:cs="Arial"/>
          <w:lang w:val="es-ES" w:eastAsia="es-ES"/>
        </w:rPr>
        <w:t xml:space="preserve">5.6 </w:t>
      </w:r>
      <w:r w:rsidR="00477B96">
        <w:rPr>
          <w:rFonts w:ascii="Arial" w:eastAsia="Times New Roman" w:hAnsi="Arial" w:cs="Arial"/>
          <w:lang w:val="es-ES" w:eastAsia="es-ES"/>
        </w:rPr>
        <w:tab/>
      </w:r>
      <w:r w:rsidRPr="007F56F0">
        <w:rPr>
          <w:rFonts w:ascii="Arial" w:eastAsia="Times New Roman" w:hAnsi="Arial" w:cs="Arial"/>
          <w:lang w:val="es-ES" w:eastAsia="es-ES"/>
        </w:rPr>
        <w:t>El plazo de los contratos de arrendamiento es de duración determinada, el cual no puede exceder seis (6) años, conforme a lo establecido en el artículo 1688 del Código Civil. Vencido dicho plazo el arrendatario debe devolver el bien.</w:t>
      </w:r>
    </w:p>
    <w:p w:rsidR="007F56F0" w:rsidRPr="007F56F0" w:rsidRDefault="007F56F0" w:rsidP="00477B96">
      <w:pPr>
        <w:spacing w:after="0" w:line="240" w:lineRule="auto"/>
        <w:ind w:left="851" w:right="57" w:hanging="567"/>
        <w:jc w:val="both"/>
        <w:rPr>
          <w:rFonts w:ascii="Arial" w:eastAsia="Times New Roman" w:hAnsi="Arial" w:cs="Arial"/>
          <w:lang w:val="es-ES" w:eastAsia="es-ES"/>
        </w:rPr>
      </w:pPr>
    </w:p>
    <w:p w:rsidR="007F56F0" w:rsidRPr="007F56F0" w:rsidRDefault="007F56F0" w:rsidP="00477B96">
      <w:pPr>
        <w:spacing w:after="0" w:line="240" w:lineRule="auto"/>
        <w:ind w:left="851" w:right="57" w:hanging="143"/>
        <w:jc w:val="both"/>
        <w:rPr>
          <w:rFonts w:ascii="Arial" w:eastAsia="Times New Roman" w:hAnsi="Arial" w:cs="Arial"/>
          <w:lang w:val="es-ES" w:eastAsia="es-ES"/>
        </w:rPr>
      </w:pPr>
      <w:r w:rsidRPr="007F56F0">
        <w:rPr>
          <w:rFonts w:ascii="Arial" w:eastAsia="Times New Roman" w:hAnsi="Arial" w:cs="Arial"/>
          <w:lang w:val="es-ES" w:eastAsia="es-ES"/>
        </w:rPr>
        <w:t>Antes del vencimiento del plazo, la entidad propietaria o competente para la administración del predio puede promover y/o tramitar los procedimientos de administración o disposición, según el marco legal vigente. En dicho procedimiento puede participar el arrendatario, siempre que deje una garantía con cheque de gerencia, que asegure la desocupación del predio, en caso no resulte adjudicatario de ningún derecho real.</w:t>
      </w:r>
    </w:p>
    <w:p w:rsidR="007F56F0" w:rsidRPr="007F56F0" w:rsidRDefault="007F56F0" w:rsidP="00477B96">
      <w:pPr>
        <w:spacing w:after="0" w:line="240" w:lineRule="auto"/>
        <w:ind w:left="851" w:hanging="567"/>
        <w:contextualSpacing/>
        <w:jc w:val="both"/>
        <w:rPr>
          <w:rFonts w:ascii="Arial" w:eastAsia="Calibri" w:hAnsi="Arial" w:cs="Arial"/>
          <w:strike/>
          <w:color w:val="FF0000"/>
          <w:lang w:val="es-ES"/>
        </w:rPr>
      </w:pPr>
    </w:p>
    <w:p w:rsidR="007F56F0" w:rsidRPr="007F56F0" w:rsidRDefault="007F56F0" w:rsidP="0092471C">
      <w:pPr>
        <w:widowControl w:val="0"/>
        <w:numPr>
          <w:ilvl w:val="1"/>
          <w:numId w:val="324"/>
        </w:numPr>
        <w:suppressAutoHyphens/>
        <w:spacing w:after="0" w:line="240" w:lineRule="auto"/>
        <w:ind w:left="851" w:right="57" w:hanging="567"/>
        <w:contextualSpacing/>
        <w:jc w:val="both"/>
        <w:rPr>
          <w:rFonts w:ascii="Arial" w:eastAsia="Lucida Sans Unicode" w:hAnsi="Arial" w:cs="Arial"/>
          <w:lang w:val="es-ES_tradnl" w:eastAsia="es-ES"/>
        </w:rPr>
      </w:pPr>
      <w:r w:rsidRPr="007F56F0">
        <w:rPr>
          <w:rFonts w:ascii="Arial" w:eastAsia="Lucida Sans Unicode" w:hAnsi="Arial" w:cs="Arial"/>
          <w:lang w:val="es-ES_tradnl" w:eastAsia="es-ES"/>
        </w:rPr>
        <w:t xml:space="preserve">Para la determinación del plazo, debe tenerse en cuenta los criterios de mayor rentabilidad y conservación del predio. </w:t>
      </w:r>
    </w:p>
    <w:p w:rsidR="007F56F0" w:rsidRPr="007F56F0" w:rsidRDefault="007F56F0" w:rsidP="00477B96">
      <w:pPr>
        <w:widowControl w:val="0"/>
        <w:suppressAutoHyphens/>
        <w:spacing w:after="0" w:line="240" w:lineRule="auto"/>
        <w:ind w:left="851" w:right="57" w:hanging="567"/>
        <w:contextualSpacing/>
        <w:jc w:val="both"/>
        <w:rPr>
          <w:rFonts w:ascii="Arial" w:eastAsia="Lucida Sans Unicode" w:hAnsi="Arial" w:cs="Arial"/>
          <w:lang w:val="es-ES_tradnl" w:eastAsia="es-ES"/>
        </w:rPr>
      </w:pPr>
    </w:p>
    <w:p w:rsidR="007F56F0" w:rsidRPr="007F56F0" w:rsidRDefault="007F56F0" w:rsidP="0092471C">
      <w:pPr>
        <w:widowControl w:val="0"/>
        <w:numPr>
          <w:ilvl w:val="1"/>
          <w:numId w:val="324"/>
        </w:numPr>
        <w:suppressAutoHyphens/>
        <w:spacing w:after="0" w:line="240" w:lineRule="auto"/>
        <w:ind w:left="851" w:right="57" w:hanging="567"/>
        <w:contextualSpacing/>
        <w:jc w:val="both"/>
        <w:rPr>
          <w:rFonts w:ascii="Arial" w:eastAsia="Lucida Sans Unicode" w:hAnsi="Arial" w:cs="Arial"/>
          <w:lang w:val="es-ES_tradnl" w:eastAsia="es-ES"/>
        </w:rPr>
      </w:pPr>
      <w:r w:rsidRPr="007F56F0">
        <w:rPr>
          <w:rFonts w:ascii="Arial" w:eastAsia="Lucida Sans Unicode" w:hAnsi="Arial" w:cs="Arial"/>
          <w:lang w:val="es-ES_tradnl" w:eastAsia="es-ES"/>
        </w:rPr>
        <w:t>El arrendamiento es otorgado a título oneroso y a valor comercial. La renta es determinada en la tasación efectuada conforme al Reglamento Nacional de Tasaciones, el cual puede ser fijado en soles o en moneda extranjera, según lo que resulte más favorable a los intereses del Estado.</w:t>
      </w:r>
    </w:p>
    <w:p w:rsidR="007F56F0" w:rsidRPr="007F56F0" w:rsidRDefault="007F56F0" w:rsidP="00477B96">
      <w:pPr>
        <w:widowControl w:val="0"/>
        <w:suppressAutoHyphens/>
        <w:spacing w:after="0" w:line="240" w:lineRule="auto"/>
        <w:ind w:left="851" w:hanging="567"/>
        <w:rPr>
          <w:rFonts w:ascii="Arial" w:eastAsia="Lucida Sans Unicode" w:hAnsi="Arial" w:cs="Arial"/>
          <w:lang w:val="es-MX" w:eastAsia="es-ES"/>
        </w:rPr>
      </w:pPr>
    </w:p>
    <w:p w:rsidR="007F56F0" w:rsidRPr="007F56F0" w:rsidRDefault="007F56F0" w:rsidP="0092471C">
      <w:pPr>
        <w:widowControl w:val="0"/>
        <w:numPr>
          <w:ilvl w:val="1"/>
          <w:numId w:val="324"/>
        </w:numPr>
        <w:suppressAutoHyphens/>
        <w:spacing w:after="0" w:line="240" w:lineRule="auto"/>
        <w:ind w:left="851" w:right="57" w:hanging="567"/>
        <w:contextualSpacing/>
        <w:jc w:val="both"/>
        <w:rPr>
          <w:rFonts w:ascii="Arial" w:eastAsia="Lucida Sans Unicode" w:hAnsi="Arial" w:cs="Arial"/>
          <w:lang w:val="es-ES_tradnl" w:eastAsia="es-ES"/>
        </w:rPr>
      </w:pPr>
      <w:r w:rsidRPr="007F56F0">
        <w:rPr>
          <w:rFonts w:ascii="Arial" w:eastAsia="Lucida Sans Unicode" w:hAnsi="Arial" w:cs="Arial"/>
          <w:lang w:val="es-MX" w:eastAsia="es-ES"/>
        </w:rPr>
        <w:t xml:space="preserve">La valorización </w:t>
      </w:r>
      <w:r w:rsidRPr="007F56F0">
        <w:rPr>
          <w:rFonts w:ascii="Arial" w:eastAsia="Lucida Sans Unicode" w:hAnsi="Arial" w:cs="Arial"/>
          <w:lang w:val="es-ES_tradnl" w:eastAsia="es-ES"/>
        </w:rPr>
        <w:t xml:space="preserve">comercial para fines del arrendamiento se efectúa de acuerdo a lo dispuesto en el artículo 36 del Reglamento, por la </w:t>
      </w:r>
      <w:r w:rsidRPr="007F56F0">
        <w:rPr>
          <w:rFonts w:ascii="Arial" w:eastAsia="Lucida Sans Unicode" w:hAnsi="Arial" w:cs="Arial"/>
          <w:color w:val="000000"/>
          <w:lang w:val="es-MX" w:eastAsia="es-ES"/>
        </w:rPr>
        <w:t>unidad orgánica de la entidad pública que sustenta el procedimiento o por un ente especializado en valuaciones.</w:t>
      </w:r>
    </w:p>
    <w:p w:rsidR="007F56F0" w:rsidRPr="007F56F0" w:rsidRDefault="007F56F0" w:rsidP="00477B96">
      <w:pPr>
        <w:widowControl w:val="0"/>
        <w:suppressAutoHyphens/>
        <w:spacing w:after="0" w:line="240" w:lineRule="auto"/>
        <w:ind w:left="851" w:hanging="567"/>
        <w:rPr>
          <w:rFonts w:ascii="Arial" w:eastAsia="Lucida Sans Unicode" w:hAnsi="Arial" w:cs="Arial"/>
          <w:lang w:val="es-ES_tradnl" w:eastAsia="es-ES"/>
        </w:rPr>
      </w:pPr>
    </w:p>
    <w:p w:rsidR="007F56F0" w:rsidRPr="007F56F0" w:rsidRDefault="007F56F0" w:rsidP="00477B96">
      <w:pPr>
        <w:widowControl w:val="0"/>
        <w:suppressAutoHyphens/>
        <w:spacing w:after="0" w:line="240" w:lineRule="auto"/>
        <w:ind w:left="851" w:right="57"/>
        <w:contextualSpacing/>
        <w:jc w:val="both"/>
        <w:rPr>
          <w:rFonts w:ascii="Arial" w:eastAsia="Lucida Sans Unicode" w:hAnsi="Arial" w:cs="Arial"/>
          <w:lang w:val="es-ES_tradnl" w:eastAsia="es-ES"/>
        </w:rPr>
      </w:pPr>
      <w:r w:rsidRPr="007F56F0">
        <w:rPr>
          <w:rFonts w:ascii="Arial" w:eastAsia="Lucida Sans Unicode" w:hAnsi="Arial" w:cs="Arial"/>
          <w:lang w:val="es-ES_tradnl" w:eastAsia="es-ES"/>
        </w:rPr>
        <w:t xml:space="preserve">En el caso del arrendamiento directo, cuando la valorización comercial es elaborada por </w:t>
      </w:r>
      <w:r w:rsidRPr="007F56F0">
        <w:rPr>
          <w:rFonts w:ascii="Arial" w:eastAsia="Calibri" w:hAnsi="Arial" w:cs="Arial"/>
          <w:lang w:val="es-ES_tradnl" w:eastAsia="es-ES"/>
        </w:rPr>
        <w:t xml:space="preserve">un ente especializado (organismo especializado o perito tasador), </w:t>
      </w:r>
      <w:r w:rsidRPr="007F56F0">
        <w:rPr>
          <w:rFonts w:ascii="Arial" w:eastAsia="Lucida Sans Unicode" w:hAnsi="Arial" w:cs="Arial"/>
          <w:color w:val="000000"/>
          <w:lang w:val="es-MX" w:eastAsia="es-ES"/>
        </w:rPr>
        <w:t xml:space="preserve">el servicio de tasación es cancelado por el administrado que solicita el arrendamiento directo, dentro del plazo de diez (10) días hábiles de recibida la comunicación efectuada por la unidad orgánica competente, dándose por concluido el procedimiento de arrendamiento, si no se cumple con la cancelación en el plazo referido. </w:t>
      </w:r>
    </w:p>
    <w:p w:rsidR="007F56F0" w:rsidRPr="007F56F0" w:rsidRDefault="007F56F0" w:rsidP="007F56F0">
      <w:pPr>
        <w:widowControl w:val="0"/>
        <w:suppressAutoHyphens/>
        <w:spacing w:after="0" w:line="240" w:lineRule="auto"/>
        <w:ind w:left="360" w:right="57"/>
        <w:contextualSpacing/>
        <w:jc w:val="both"/>
        <w:rPr>
          <w:rFonts w:ascii="Arial" w:eastAsia="Lucida Sans Unicode" w:hAnsi="Arial" w:cs="Arial"/>
          <w:lang w:val="es-ES_tradnl" w:eastAsia="es-ES"/>
        </w:rPr>
      </w:pPr>
    </w:p>
    <w:p w:rsidR="007F56F0" w:rsidRPr="007F56F0" w:rsidRDefault="007F56F0" w:rsidP="0092471C">
      <w:pPr>
        <w:widowControl w:val="0"/>
        <w:numPr>
          <w:ilvl w:val="1"/>
          <w:numId w:val="324"/>
        </w:numPr>
        <w:tabs>
          <w:tab w:val="left" w:pos="487"/>
        </w:tabs>
        <w:suppressAutoHyphens/>
        <w:spacing w:after="0" w:line="240" w:lineRule="auto"/>
        <w:ind w:left="851" w:right="57" w:hanging="567"/>
        <w:contextualSpacing/>
        <w:jc w:val="both"/>
        <w:rPr>
          <w:rFonts w:ascii="Arial" w:eastAsia="Lucida Sans Unicode" w:hAnsi="Arial" w:cs="Arial"/>
          <w:lang w:val="es-ES_tradnl" w:eastAsia="es-ES"/>
        </w:rPr>
      </w:pPr>
      <w:r w:rsidRPr="007F56F0">
        <w:rPr>
          <w:rFonts w:ascii="Arial" w:eastAsia="Lucida Sans Unicode" w:hAnsi="Arial" w:cs="Arial"/>
          <w:lang w:val="es-ES_tradnl" w:eastAsia="es-ES"/>
        </w:rPr>
        <w:t xml:space="preserve">El predio debe ser destinado a la finalidad para la cual se arrendó, salvo consentimiento por escrito de la entidad arrendadora. </w:t>
      </w:r>
    </w:p>
    <w:p w:rsidR="007F56F0" w:rsidRPr="007F56F0" w:rsidRDefault="007F56F0" w:rsidP="00477B96">
      <w:pPr>
        <w:widowControl w:val="0"/>
        <w:suppressAutoHyphens/>
        <w:spacing w:after="0" w:line="240" w:lineRule="auto"/>
        <w:ind w:left="851" w:hanging="567"/>
        <w:rPr>
          <w:rFonts w:ascii="Arial" w:eastAsia="Lucida Sans Unicode" w:hAnsi="Arial" w:cs="Arial"/>
          <w:lang w:val="es-ES_tradnl" w:eastAsia="es-ES"/>
        </w:rPr>
      </w:pPr>
    </w:p>
    <w:p w:rsidR="007F56F0" w:rsidRPr="007F56F0" w:rsidRDefault="007F56F0" w:rsidP="0092471C">
      <w:pPr>
        <w:widowControl w:val="0"/>
        <w:numPr>
          <w:ilvl w:val="1"/>
          <w:numId w:val="324"/>
        </w:numPr>
        <w:tabs>
          <w:tab w:val="left" w:pos="487"/>
        </w:tabs>
        <w:suppressAutoHyphens/>
        <w:spacing w:after="0" w:line="240" w:lineRule="auto"/>
        <w:ind w:left="851" w:right="57" w:hanging="567"/>
        <w:contextualSpacing/>
        <w:jc w:val="both"/>
        <w:rPr>
          <w:rFonts w:ascii="Arial" w:eastAsia="Lucida Sans Unicode" w:hAnsi="Arial" w:cs="Arial"/>
          <w:lang w:val="es-ES_tradnl" w:eastAsia="es-ES"/>
        </w:rPr>
      </w:pPr>
      <w:r w:rsidRPr="007F56F0">
        <w:rPr>
          <w:rFonts w:ascii="Arial" w:eastAsia="Lucida Sans Unicode" w:hAnsi="Arial" w:cs="Arial"/>
          <w:lang w:val="es-ES_tradnl" w:eastAsia="es-ES"/>
        </w:rPr>
        <w:t>Las mejoras necesarias, útiles y de recreo que se efectúen en el predio, requieren autorización escrita de la entidad arrendadora y no tienen carácter reembolsable a la conclusión del arrendamiento.</w:t>
      </w:r>
    </w:p>
    <w:p w:rsidR="007F56F0" w:rsidRPr="007F56F0" w:rsidRDefault="007F56F0" w:rsidP="00477B96">
      <w:pPr>
        <w:widowControl w:val="0"/>
        <w:suppressAutoHyphens/>
        <w:spacing w:after="0" w:line="240" w:lineRule="auto"/>
        <w:ind w:left="851" w:hanging="567"/>
        <w:rPr>
          <w:rFonts w:ascii="Arial" w:eastAsia="Lucida Sans Unicode" w:hAnsi="Arial" w:cs="Arial"/>
          <w:lang w:val="es-ES_tradnl" w:eastAsia="es-ES"/>
        </w:rPr>
      </w:pPr>
    </w:p>
    <w:p w:rsidR="007F56F0" w:rsidRPr="007F56F0" w:rsidRDefault="007F56F0" w:rsidP="0092471C">
      <w:pPr>
        <w:widowControl w:val="0"/>
        <w:numPr>
          <w:ilvl w:val="1"/>
          <w:numId w:val="324"/>
        </w:numPr>
        <w:tabs>
          <w:tab w:val="left" w:pos="487"/>
        </w:tabs>
        <w:suppressAutoHyphens/>
        <w:spacing w:after="0" w:line="240" w:lineRule="auto"/>
        <w:ind w:left="851" w:right="57" w:hanging="567"/>
        <w:contextualSpacing/>
        <w:jc w:val="both"/>
        <w:rPr>
          <w:rFonts w:ascii="Arial" w:eastAsia="Lucida Sans Unicode" w:hAnsi="Arial" w:cs="Arial"/>
          <w:lang w:val="es-ES_tradnl" w:eastAsia="es-ES"/>
        </w:rPr>
      </w:pPr>
      <w:r w:rsidRPr="007F56F0">
        <w:rPr>
          <w:rFonts w:ascii="Arial" w:eastAsia="Lucida Sans Unicode" w:hAnsi="Arial" w:cs="Arial"/>
          <w:lang w:val="es-ES_tradnl" w:eastAsia="es-ES"/>
        </w:rPr>
        <w:t>El arrendatario no puede subarrendar a terceros, total o parcialmente, el predio, bajo causal de resolución contractual, salvo que cuente con el consentimiento expreso y por escrito de la entidad arrendadora.</w:t>
      </w:r>
    </w:p>
    <w:p w:rsidR="007F56F0" w:rsidRPr="007F56F0" w:rsidRDefault="007F56F0" w:rsidP="00477B96">
      <w:pPr>
        <w:widowControl w:val="0"/>
        <w:suppressAutoHyphens/>
        <w:spacing w:after="0" w:line="240" w:lineRule="auto"/>
        <w:ind w:left="851" w:hanging="567"/>
        <w:rPr>
          <w:rFonts w:ascii="Arial" w:eastAsia="Lucida Sans Unicode" w:hAnsi="Arial" w:cs="Arial"/>
          <w:lang w:val="es-ES_tradnl" w:eastAsia="es-ES"/>
        </w:rPr>
      </w:pPr>
    </w:p>
    <w:p w:rsidR="007F56F0" w:rsidRPr="007F56F0" w:rsidRDefault="007F56F0" w:rsidP="0092471C">
      <w:pPr>
        <w:widowControl w:val="0"/>
        <w:numPr>
          <w:ilvl w:val="1"/>
          <w:numId w:val="324"/>
        </w:numPr>
        <w:tabs>
          <w:tab w:val="left" w:pos="487"/>
        </w:tabs>
        <w:suppressAutoHyphens/>
        <w:spacing w:after="0" w:line="240" w:lineRule="auto"/>
        <w:ind w:left="851" w:right="57" w:hanging="567"/>
        <w:contextualSpacing/>
        <w:jc w:val="both"/>
        <w:rPr>
          <w:rFonts w:ascii="Arial" w:eastAsia="Lucida Sans Unicode" w:hAnsi="Arial" w:cs="Arial"/>
          <w:lang w:val="es-ES_tradnl" w:eastAsia="es-ES"/>
        </w:rPr>
      </w:pPr>
      <w:r w:rsidRPr="007F56F0">
        <w:rPr>
          <w:rFonts w:ascii="Arial" w:eastAsia="Lucida Sans Unicode" w:hAnsi="Arial" w:cs="Arial"/>
          <w:lang w:val="es-ES_tradnl" w:eastAsia="es-ES"/>
        </w:rPr>
        <w:t>La entidad arrendadora tiene la facultad de reservarse el derecho de los aires, las paredes externas u otras áreas del predio, lo cual debe establecerse en forma expresa en la convocatoria pública que se lleve a cabo para tal fin, así como en los considerandos de la resolución y disposiciones de los contratos, cuando corresponda. Las áreas reservadas podrán ser materia de otros actos de administración por parte de la entidad arrendadora, en tanto no impida el uso del predio arrendado.</w:t>
      </w:r>
    </w:p>
    <w:p w:rsidR="007F56F0" w:rsidRPr="007F56F0" w:rsidRDefault="007F56F0" w:rsidP="00477B96">
      <w:pPr>
        <w:widowControl w:val="0"/>
        <w:suppressAutoHyphens/>
        <w:spacing w:after="0" w:line="240" w:lineRule="auto"/>
        <w:ind w:left="851" w:hanging="567"/>
        <w:rPr>
          <w:rFonts w:ascii="Arial" w:eastAsia="Lucida Sans Unicode" w:hAnsi="Arial" w:cs="Arial"/>
          <w:lang w:val="es-ES_tradnl" w:eastAsia="es-ES"/>
        </w:rPr>
      </w:pPr>
    </w:p>
    <w:p w:rsidR="007F56F0" w:rsidRPr="007F56F0" w:rsidRDefault="007F56F0" w:rsidP="0092471C">
      <w:pPr>
        <w:widowControl w:val="0"/>
        <w:numPr>
          <w:ilvl w:val="1"/>
          <w:numId w:val="324"/>
        </w:numPr>
        <w:tabs>
          <w:tab w:val="left" w:pos="487"/>
        </w:tabs>
        <w:suppressAutoHyphens/>
        <w:spacing w:after="0" w:line="240" w:lineRule="auto"/>
        <w:ind w:left="851" w:right="57" w:hanging="567"/>
        <w:contextualSpacing/>
        <w:jc w:val="both"/>
        <w:rPr>
          <w:rFonts w:ascii="Arial" w:eastAsia="Lucida Sans Unicode" w:hAnsi="Arial" w:cs="Arial"/>
          <w:lang w:val="es-ES_tradnl" w:eastAsia="es-ES"/>
        </w:rPr>
      </w:pPr>
      <w:r w:rsidRPr="007F56F0">
        <w:rPr>
          <w:rFonts w:ascii="Arial" w:eastAsia="Lucida Sans Unicode" w:hAnsi="Arial" w:cs="Arial"/>
          <w:lang w:val="es-ES_tradnl" w:eastAsia="es-ES"/>
        </w:rPr>
        <w:t>Por razones de interés, necesidad o utilidad pública debidamente fundamentadas, l</w:t>
      </w:r>
      <w:r w:rsidRPr="007F56F0">
        <w:rPr>
          <w:rFonts w:ascii="Arial" w:eastAsia="Lucida Sans Unicode" w:hAnsi="Arial" w:cs="Arial"/>
          <w:lang w:val="es-ES" w:eastAsia="es-ES"/>
        </w:rPr>
        <w:t xml:space="preserve">a entidad arrendadora podrá requerir el bien al arrendatario antes de la fecha de vencimiento del contrato, mediante carta notarial, otorgándole un plazo de sesenta (60) días calendario para desocupar el predio, corriendo dicho plazo a partir del día siguiente de recibida la carta notarial. </w:t>
      </w:r>
    </w:p>
    <w:p w:rsidR="007F56F0" w:rsidRPr="007F56F0" w:rsidRDefault="007F56F0" w:rsidP="00477B96">
      <w:pPr>
        <w:widowControl w:val="0"/>
        <w:suppressAutoHyphens/>
        <w:spacing w:after="0" w:line="240" w:lineRule="auto"/>
        <w:ind w:left="851" w:hanging="567"/>
        <w:rPr>
          <w:rFonts w:ascii="Arial" w:eastAsia="Lucida Sans Unicode" w:hAnsi="Arial" w:cs="Arial"/>
          <w:lang w:val="es-ES" w:eastAsia="es-ES"/>
        </w:rPr>
      </w:pPr>
    </w:p>
    <w:p w:rsidR="007F56F0" w:rsidRPr="007F56F0" w:rsidRDefault="00477B96" w:rsidP="00477B96">
      <w:pPr>
        <w:widowControl w:val="0"/>
        <w:tabs>
          <w:tab w:val="left" w:pos="487"/>
        </w:tabs>
        <w:suppressAutoHyphens/>
        <w:spacing w:after="0" w:line="240" w:lineRule="auto"/>
        <w:ind w:left="851" w:right="57" w:hanging="567"/>
        <w:contextualSpacing/>
        <w:jc w:val="both"/>
        <w:rPr>
          <w:rFonts w:ascii="Arial" w:eastAsia="Lucida Sans Unicode" w:hAnsi="Arial" w:cs="Arial"/>
          <w:lang w:val="es-ES_tradnl" w:eastAsia="es-ES"/>
        </w:rPr>
      </w:pPr>
      <w:r>
        <w:rPr>
          <w:rFonts w:ascii="Arial" w:eastAsia="Lucida Sans Unicode" w:hAnsi="Arial" w:cs="Arial"/>
          <w:lang w:val="es-ES" w:eastAsia="es-ES"/>
        </w:rPr>
        <w:tab/>
      </w:r>
      <w:r>
        <w:rPr>
          <w:rFonts w:ascii="Arial" w:eastAsia="Lucida Sans Unicode" w:hAnsi="Arial" w:cs="Arial"/>
          <w:lang w:val="es-ES" w:eastAsia="es-ES"/>
        </w:rPr>
        <w:tab/>
      </w:r>
      <w:r w:rsidR="007F56F0" w:rsidRPr="007F56F0">
        <w:rPr>
          <w:rFonts w:ascii="Arial" w:eastAsia="Lucida Sans Unicode" w:hAnsi="Arial" w:cs="Arial"/>
          <w:lang w:val="es-ES" w:eastAsia="es-ES"/>
        </w:rPr>
        <w:t>De igual forma, en caso que el arrendatario quisiera devolver el predio antes del vencimiento del contrato deberá comunicarlo a la entidad estatal mediante carta notarial, sesenta (60) días calendario, antes de su devolución.</w:t>
      </w:r>
    </w:p>
    <w:p w:rsidR="007F56F0" w:rsidRPr="007F56F0" w:rsidRDefault="007F56F0" w:rsidP="007F56F0">
      <w:pPr>
        <w:spacing w:after="0" w:line="240" w:lineRule="auto"/>
        <w:jc w:val="both"/>
        <w:rPr>
          <w:rFonts w:ascii="Arial" w:eastAsia="Times New Roman" w:hAnsi="Arial" w:cs="Arial"/>
          <w:lang w:val="es-ES_tradnl" w:eastAsia="es-ES"/>
        </w:rPr>
      </w:pPr>
    </w:p>
    <w:p w:rsidR="007F56F0" w:rsidRPr="007F56F0" w:rsidRDefault="007F56F0" w:rsidP="0092471C">
      <w:pPr>
        <w:widowControl w:val="0"/>
        <w:numPr>
          <w:ilvl w:val="0"/>
          <w:numId w:val="315"/>
        </w:numPr>
        <w:suppressAutoHyphens/>
        <w:spacing w:after="0" w:line="240" w:lineRule="auto"/>
        <w:ind w:right="57"/>
        <w:contextualSpacing/>
        <w:jc w:val="both"/>
        <w:rPr>
          <w:rFonts w:ascii="Arial" w:eastAsia="Lucida Sans Unicode" w:hAnsi="Arial" w:cs="Arial"/>
          <w:b/>
          <w:lang w:val="es-ES_tradnl" w:eastAsia="es-ES"/>
        </w:rPr>
      </w:pPr>
      <w:r w:rsidRPr="007F56F0">
        <w:rPr>
          <w:rFonts w:ascii="Arial" w:eastAsia="Lucida Sans Unicode" w:hAnsi="Arial" w:cs="Arial"/>
          <w:b/>
          <w:lang w:val="es-ES_tradnl" w:eastAsia="es-ES"/>
        </w:rPr>
        <w:t>DISPOSICIONES ESPECÍFICAS</w:t>
      </w:r>
    </w:p>
    <w:p w:rsidR="007F56F0" w:rsidRPr="007F56F0" w:rsidRDefault="007F56F0" w:rsidP="007F56F0">
      <w:pPr>
        <w:spacing w:after="0" w:line="240" w:lineRule="auto"/>
        <w:ind w:left="57" w:right="57"/>
        <w:jc w:val="both"/>
        <w:rPr>
          <w:rFonts w:ascii="Arial" w:eastAsia="Times New Roman" w:hAnsi="Arial" w:cs="Arial"/>
          <w:b/>
          <w:lang w:val="es-ES" w:eastAsia="es-ES"/>
        </w:rPr>
      </w:pPr>
    </w:p>
    <w:p w:rsidR="007F56F0" w:rsidRPr="007F56F0" w:rsidRDefault="007F56F0" w:rsidP="0092471C">
      <w:pPr>
        <w:numPr>
          <w:ilvl w:val="1"/>
          <w:numId w:val="315"/>
        </w:numPr>
        <w:spacing w:after="0" w:line="240" w:lineRule="auto"/>
        <w:ind w:left="1134" w:right="57" w:hanging="283"/>
        <w:contextualSpacing/>
        <w:jc w:val="both"/>
        <w:rPr>
          <w:rFonts w:ascii="Arial" w:eastAsia="Lucida Sans Unicode" w:hAnsi="Arial" w:cs="Arial"/>
          <w:b/>
          <w:lang w:val="es-ES_tradnl" w:eastAsia="es-ES"/>
        </w:rPr>
      </w:pPr>
      <w:r w:rsidRPr="007F56F0">
        <w:rPr>
          <w:rFonts w:ascii="Arial" w:eastAsia="Lucida Sans Unicode" w:hAnsi="Arial" w:cs="Arial"/>
          <w:b/>
          <w:lang w:val="es-ES_tradnl" w:eastAsia="es-ES"/>
        </w:rPr>
        <w:t>PROCEDIMIENTO PARA EL ARRENDAMIENTO POR CONVOCATORIA PÚBLICA</w:t>
      </w:r>
    </w:p>
    <w:p w:rsidR="007F56F0" w:rsidRPr="007F56F0" w:rsidRDefault="007F56F0" w:rsidP="007F56F0">
      <w:pPr>
        <w:spacing w:after="0" w:line="240" w:lineRule="auto"/>
        <w:jc w:val="both"/>
        <w:rPr>
          <w:rFonts w:ascii="Arial" w:eastAsia="Times New Roman" w:hAnsi="Arial" w:cs="Arial"/>
          <w:lang w:val="es-ES" w:eastAsia="es-ES"/>
        </w:rPr>
      </w:pPr>
    </w:p>
    <w:p w:rsidR="007F56F0" w:rsidRPr="007F56F0" w:rsidRDefault="007F56F0" w:rsidP="0092471C">
      <w:pPr>
        <w:numPr>
          <w:ilvl w:val="2"/>
          <w:numId w:val="315"/>
        </w:numPr>
        <w:spacing w:after="0" w:line="240" w:lineRule="auto"/>
        <w:ind w:left="2127"/>
        <w:contextualSpacing/>
        <w:jc w:val="both"/>
        <w:rPr>
          <w:rFonts w:ascii="Arial" w:eastAsia="Lucida Sans Unicode" w:hAnsi="Arial" w:cs="Arial"/>
          <w:b/>
          <w:lang w:val="es-ES_tradnl" w:eastAsia="es-ES"/>
        </w:rPr>
      </w:pPr>
      <w:r w:rsidRPr="007F56F0">
        <w:rPr>
          <w:rFonts w:ascii="Arial" w:eastAsia="Calibri" w:hAnsi="Arial" w:cs="Arial"/>
          <w:b/>
          <w:lang w:val="es-ES" w:eastAsia="es-ES"/>
        </w:rPr>
        <w:t>Del inicio del procedimiento</w:t>
      </w:r>
    </w:p>
    <w:p w:rsidR="007F56F0" w:rsidRPr="007F56F0" w:rsidRDefault="007F56F0" w:rsidP="00477B96">
      <w:pPr>
        <w:widowControl w:val="0"/>
        <w:suppressAutoHyphens/>
        <w:spacing w:after="0" w:line="240" w:lineRule="auto"/>
        <w:ind w:left="2127"/>
        <w:jc w:val="both"/>
        <w:rPr>
          <w:rFonts w:ascii="Arial" w:eastAsia="Lucida Sans Unicode" w:hAnsi="Arial" w:cs="Arial"/>
          <w:lang w:val="es-ES_tradnl" w:eastAsia="es-ES"/>
        </w:rPr>
      </w:pPr>
      <w:r w:rsidRPr="007F56F0">
        <w:rPr>
          <w:rFonts w:ascii="Arial" w:eastAsia="Calibri" w:hAnsi="Arial" w:cs="Arial"/>
          <w:lang w:val="es-ES" w:eastAsia="es-ES"/>
        </w:rPr>
        <w:t>La potestad de impulsar y sustentar el trámite de arrendamiento por convocatoria pública corresponde a la entidad propietaria</w:t>
      </w:r>
      <w:r w:rsidRPr="007F56F0">
        <w:rPr>
          <w:rFonts w:ascii="Arial" w:eastAsia="Lucida Sans Unicode" w:hAnsi="Arial" w:cs="Arial"/>
          <w:lang w:val="es-ES_tradnl" w:eastAsia="es-ES"/>
        </w:rPr>
        <w:t xml:space="preserve"> o, cuando el bien es de propiedad del Estado, a la SBN o al Gobierno Regional con funciones transferidas o delegadas, en el marco del proceso de descentralización.</w:t>
      </w:r>
    </w:p>
    <w:p w:rsidR="007F56F0" w:rsidRPr="007F56F0" w:rsidRDefault="007F56F0" w:rsidP="00477B96">
      <w:pPr>
        <w:widowControl w:val="0"/>
        <w:suppressAutoHyphens/>
        <w:spacing w:after="0" w:line="240" w:lineRule="auto"/>
        <w:ind w:left="2127"/>
        <w:jc w:val="both"/>
        <w:rPr>
          <w:rFonts w:ascii="Arial" w:eastAsia="Lucida Sans Unicode" w:hAnsi="Arial" w:cs="Arial"/>
          <w:lang w:val="es-ES_tradnl" w:eastAsia="es-ES"/>
        </w:rPr>
      </w:pPr>
    </w:p>
    <w:p w:rsidR="007F56F0" w:rsidRPr="007F56F0" w:rsidRDefault="007F56F0" w:rsidP="00477B96">
      <w:pPr>
        <w:widowControl w:val="0"/>
        <w:suppressAutoHyphens/>
        <w:spacing w:after="0" w:line="240" w:lineRule="auto"/>
        <w:ind w:left="2127"/>
        <w:jc w:val="both"/>
        <w:rPr>
          <w:rFonts w:ascii="Arial" w:eastAsia="Lucida Sans Unicode" w:hAnsi="Arial" w:cs="Arial"/>
          <w:lang w:val="es-ES_tradnl" w:eastAsia="es-ES"/>
        </w:rPr>
      </w:pPr>
      <w:r w:rsidRPr="007F56F0">
        <w:rPr>
          <w:rFonts w:ascii="Arial" w:eastAsia="Calibri" w:hAnsi="Arial" w:cs="Arial"/>
          <w:lang w:val="es-ES" w:eastAsia="es-ES"/>
        </w:rPr>
        <w:t>La petición de terceros interesados en el arrendamiento de predios estatales por convocatoria pública no obliga a la entidad pública a iniciar dicho procedimiento.</w:t>
      </w:r>
    </w:p>
    <w:p w:rsidR="007F56F0" w:rsidRPr="007F56F0" w:rsidRDefault="007F56F0" w:rsidP="00477B96">
      <w:pPr>
        <w:widowControl w:val="0"/>
        <w:suppressAutoHyphens/>
        <w:spacing w:after="0" w:line="240" w:lineRule="auto"/>
        <w:ind w:left="2127"/>
        <w:jc w:val="both"/>
        <w:rPr>
          <w:rFonts w:ascii="Arial" w:eastAsia="Lucida Sans Unicode" w:hAnsi="Arial" w:cs="Arial"/>
          <w:lang w:val="es-ES_tradnl" w:eastAsia="es-ES"/>
        </w:rPr>
      </w:pPr>
    </w:p>
    <w:p w:rsidR="007F56F0" w:rsidRPr="007F56F0" w:rsidRDefault="007F56F0" w:rsidP="0092471C">
      <w:pPr>
        <w:numPr>
          <w:ilvl w:val="2"/>
          <w:numId w:val="315"/>
        </w:numPr>
        <w:spacing w:after="0" w:line="240" w:lineRule="auto"/>
        <w:ind w:left="2127"/>
        <w:contextualSpacing/>
        <w:jc w:val="both"/>
        <w:rPr>
          <w:rFonts w:ascii="Arial" w:eastAsia="Lucida Sans Unicode" w:hAnsi="Arial" w:cs="Arial"/>
          <w:b/>
          <w:lang w:val="es-ES" w:eastAsia="es-ES"/>
        </w:rPr>
      </w:pPr>
      <w:r w:rsidRPr="007F56F0">
        <w:rPr>
          <w:rFonts w:ascii="Arial" w:eastAsia="Lucida Sans Unicode" w:hAnsi="Arial" w:cs="Arial"/>
          <w:b/>
          <w:lang w:val="es-ES_tradnl" w:eastAsia="es-ES"/>
        </w:rPr>
        <w:t xml:space="preserve">Identificación de predios estatales aptos para su arrendamiento </w:t>
      </w:r>
    </w:p>
    <w:p w:rsidR="007F56F0" w:rsidRPr="007F56F0" w:rsidRDefault="007F56F0" w:rsidP="00477B96">
      <w:pPr>
        <w:widowControl w:val="0"/>
        <w:suppressAutoHyphens/>
        <w:spacing w:after="0" w:line="240" w:lineRule="auto"/>
        <w:ind w:left="2127"/>
        <w:jc w:val="both"/>
        <w:rPr>
          <w:rFonts w:ascii="Arial" w:eastAsia="Calibri" w:hAnsi="Arial" w:cs="Arial"/>
          <w:lang w:val="es-ES" w:eastAsia="es-ES"/>
        </w:rPr>
      </w:pPr>
      <w:r w:rsidRPr="007F56F0">
        <w:rPr>
          <w:rFonts w:ascii="Arial" w:eastAsia="Lucida Sans Unicode" w:hAnsi="Arial" w:cs="Arial"/>
          <w:lang w:val="es-ES" w:eastAsia="es-ES"/>
        </w:rPr>
        <w:t xml:space="preserve">La unidad orgánica competente de la entidad, previo diagnóstico técnico legal, identifica predios de dominio privado estatal de libre disponibilidad para su arrendamiento y </w:t>
      </w:r>
      <w:r w:rsidRPr="007F56F0">
        <w:rPr>
          <w:rFonts w:ascii="Arial" w:eastAsia="Calibri" w:hAnsi="Arial" w:cs="Arial"/>
          <w:lang w:val="es-ES" w:eastAsia="es-ES"/>
        </w:rPr>
        <w:t xml:space="preserve">organiza la documentación sustentatoria correspondiente, la cual debe incluir, cuando menos: a) Ficha Técnica del predio; b) Partida Registral; y c) Documento de valor de renta referencial. </w:t>
      </w:r>
    </w:p>
    <w:p w:rsidR="007F56F0" w:rsidRPr="007F56F0" w:rsidRDefault="007F56F0" w:rsidP="00477B96">
      <w:pPr>
        <w:widowControl w:val="0"/>
        <w:suppressAutoHyphens/>
        <w:spacing w:after="0" w:line="240" w:lineRule="auto"/>
        <w:ind w:left="2127"/>
        <w:jc w:val="both"/>
        <w:rPr>
          <w:rFonts w:ascii="Arial" w:eastAsia="Lucida Sans Unicode" w:hAnsi="Arial" w:cs="Arial"/>
          <w:lang w:val="es-ES" w:eastAsia="es-ES"/>
        </w:rPr>
      </w:pPr>
    </w:p>
    <w:p w:rsidR="007F56F0" w:rsidRPr="007F56F0" w:rsidRDefault="007F56F0" w:rsidP="00477B96">
      <w:pPr>
        <w:widowControl w:val="0"/>
        <w:suppressAutoHyphens/>
        <w:spacing w:after="0" w:line="240" w:lineRule="auto"/>
        <w:ind w:left="2127"/>
        <w:jc w:val="both"/>
        <w:rPr>
          <w:rFonts w:ascii="Arial" w:eastAsia="Lucida Sans Unicode" w:hAnsi="Arial" w:cs="Arial"/>
          <w:lang w:val="es-ES" w:eastAsia="es-ES"/>
        </w:rPr>
      </w:pPr>
      <w:r w:rsidRPr="007F56F0">
        <w:rPr>
          <w:rFonts w:ascii="Arial" w:eastAsia="Lucida Sans Unicode" w:hAnsi="Arial" w:cs="Arial"/>
          <w:lang w:val="es-ES" w:eastAsia="es-ES"/>
        </w:rPr>
        <w:t xml:space="preserve">Con la documentación antes indicada, la unidad orgánica competente propone los predios aptos para ser arrendados ante la instancia inmediata superior. </w:t>
      </w:r>
    </w:p>
    <w:p w:rsidR="007F56F0" w:rsidRPr="007F56F0" w:rsidRDefault="007F56F0" w:rsidP="00477B96">
      <w:pPr>
        <w:widowControl w:val="0"/>
        <w:suppressAutoHyphens/>
        <w:spacing w:after="0" w:line="240" w:lineRule="auto"/>
        <w:ind w:left="2127"/>
        <w:jc w:val="both"/>
        <w:rPr>
          <w:rFonts w:ascii="Arial" w:eastAsia="Lucida Sans Unicode" w:hAnsi="Arial" w:cs="Arial"/>
          <w:lang w:val="es-ES" w:eastAsia="es-ES"/>
        </w:rPr>
      </w:pPr>
    </w:p>
    <w:p w:rsidR="007F56F0" w:rsidRPr="007F56F0" w:rsidRDefault="007F56F0" w:rsidP="0092471C">
      <w:pPr>
        <w:numPr>
          <w:ilvl w:val="2"/>
          <w:numId w:val="315"/>
        </w:numPr>
        <w:spacing w:after="0" w:line="240" w:lineRule="auto"/>
        <w:ind w:left="2127"/>
        <w:contextualSpacing/>
        <w:jc w:val="both"/>
        <w:rPr>
          <w:rFonts w:ascii="Arial" w:eastAsia="Lucida Sans Unicode" w:hAnsi="Arial" w:cs="Arial"/>
          <w:b/>
          <w:lang w:val="es-ES" w:eastAsia="es-ES"/>
        </w:rPr>
      </w:pPr>
      <w:r w:rsidRPr="007F56F0">
        <w:rPr>
          <w:rFonts w:ascii="Arial" w:eastAsia="Lucida Sans Unicode" w:hAnsi="Arial" w:cs="Arial"/>
          <w:b/>
          <w:lang w:val="es-ES_tradnl" w:eastAsia="es-ES"/>
        </w:rPr>
        <w:t>Conformidad de la autoridad competente</w:t>
      </w:r>
    </w:p>
    <w:p w:rsidR="007F56F0" w:rsidRPr="007F56F0" w:rsidRDefault="007F56F0" w:rsidP="00477B96">
      <w:pPr>
        <w:widowControl w:val="0"/>
        <w:suppressAutoHyphens/>
        <w:spacing w:after="0" w:line="240" w:lineRule="auto"/>
        <w:ind w:left="2127"/>
        <w:jc w:val="both"/>
        <w:rPr>
          <w:rFonts w:ascii="Arial" w:eastAsia="Lucida Sans Unicode" w:hAnsi="Arial" w:cs="Arial"/>
          <w:lang w:val="es-ES_tradnl" w:eastAsia="es-ES"/>
        </w:rPr>
      </w:pPr>
      <w:r w:rsidRPr="007F56F0">
        <w:rPr>
          <w:rFonts w:ascii="Arial" w:eastAsia="Lucida Sans Unicode" w:hAnsi="Arial" w:cs="Arial"/>
          <w:lang w:val="es-ES_tradnl" w:eastAsia="es-ES"/>
        </w:rPr>
        <w:t>El ó</w:t>
      </w:r>
      <w:r w:rsidRPr="007F56F0">
        <w:rPr>
          <w:rFonts w:ascii="Arial" w:eastAsia="Lucida Sans Unicode" w:hAnsi="Arial" w:cs="Arial"/>
          <w:lang w:val="es-ES" w:eastAsia="es-ES"/>
        </w:rPr>
        <w:t xml:space="preserve">rgano superior </w:t>
      </w:r>
      <w:r w:rsidRPr="007F56F0">
        <w:rPr>
          <w:rFonts w:ascii="Arial" w:eastAsia="Lucida Sans Unicode" w:hAnsi="Arial" w:cs="Arial"/>
          <w:lang w:val="es-ES_tradnl" w:eastAsia="es-ES"/>
        </w:rPr>
        <w:t xml:space="preserve">procede a evaluar los predios propuestos para arrendamiento y, de ser el caso, da la conformidad correspondiente con documento a los predios aptos. Si no se otorga la conformidad, </w:t>
      </w:r>
      <w:r w:rsidRPr="007F56F0">
        <w:rPr>
          <w:rFonts w:ascii="Arial" w:eastAsia="Lucida Sans Unicode" w:hAnsi="Arial" w:cs="Arial"/>
          <w:lang w:val="es-ES" w:eastAsia="es-ES"/>
        </w:rPr>
        <w:t xml:space="preserve">la unidad orgánica que sustenta el procedimiento </w:t>
      </w:r>
      <w:r w:rsidRPr="007F56F0">
        <w:rPr>
          <w:rFonts w:ascii="Arial" w:eastAsia="Lucida Sans Unicode" w:hAnsi="Arial" w:cs="Arial"/>
          <w:lang w:val="es-ES_tradnl" w:eastAsia="es-ES"/>
        </w:rPr>
        <w:t>da por concluida esta etapa. De existir petición de un tercero, se le notifica la decisión al administrado, sin lugar a impugnación o reclamo alguno, por tratarse de un procedimiento de oficio.</w:t>
      </w:r>
    </w:p>
    <w:p w:rsidR="007F56F0" w:rsidRPr="007F56F0" w:rsidRDefault="007F56F0" w:rsidP="00477B96">
      <w:pPr>
        <w:widowControl w:val="0"/>
        <w:suppressAutoHyphens/>
        <w:spacing w:after="0" w:line="240" w:lineRule="auto"/>
        <w:ind w:left="2127"/>
        <w:jc w:val="both"/>
        <w:rPr>
          <w:rFonts w:ascii="Arial" w:eastAsia="Lucida Sans Unicode" w:hAnsi="Arial" w:cs="Arial"/>
          <w:lang w:val="es-ES_tradnl" w:eastAsia="es-ES"/>
        </w:rPr>
      </w:pPr>
    </w:p>
    <w:p w:rsidR="007F56F0" w:rsidRPr="007F56F0" w:rsidRDefault="007F56F0" w:rsidP="00477B96">
      <w:pPr>
        <w:spacing w:after="0" w:line="240" w:lineRule="auto"/>
        <w:ind w:left="2127" w:right="57"/>
        <w:jc w:val="both"/>
        <w:rPr>
          <w:rFonts w:ascii="Arial" w:eastAsia="Times New Roman" w:hAnsi="Arial" w:cs="Arial"/>
          <w:lang w:val="es-ES" w:eastAsia="es-ES"/>
        </w:rPr>
      </w:pPr>
      <w:r w:rsidRPr="007F56F0">
        <w:rPr>
          <w:rFonts w:ascii="Arial" w:eastAsia="Times New Roman" w:hAnsi="Arial" w:cs="Arial"/>
          <w:lang w:val="es-ES" w:eastAsia="es-ES"/>
        </w:rPr>
        <w:t>Con el documento de conformidad para la convocatoria pública, se procede abrir el expediente administrativo.</w:t>
      </w:r>
    </w:p>
    <w:p w:rsidR="007F56F0" w:rsidRPr="007F56F0" w:rsidRDefault="007F56F0" w:rsidP="00477B96">
      <w:pPr>
        <w:spacing w:after="0" w:line="240" w:lineRule="auto"/>
        <w:ind w:left="2127" w:right="57"/>
        <w:jc w:val="both"/>
        <w:rPr>
          <w:rFonts w:ascii="Arial" w:eastAsia="Times New Roman" w:hAnsi="Arial" w:cs="Arial"/>
          <w:lang w:val="es-ES" w:eastAsia="es-ES"/>
        </w:rPr>
      </w:pPr>
    </w:p>
    <w:p w:rsidR="007F56F0" w:rsidRPr="007F56F0" w:rsidRDefault="007F56F0" w:rsidP="0092471C">
      <w:pPr>
        <w:numPr>
          <w:ilvl w:val="2"/>
          <w:numId w:val="315"/>
        </w:numPr>
        <w:spacing w:after="0" w:line="240" w:lineRule="auto"/>
        <w:ind w:left="2127" w:right="57"/>
        <w:contextualSpacing/>
        <w:jc w:val="both"/>
        <w:rPr>
          <w:rFonts w:ascii="Arial" w:eastAsia="Lucida Sans Unicode" w:hAnsi="Arial" w:cs="Arial"/>
          <w:b/>
          <w:lang w:val="es-ES_tradnl" w:eastAsia="es-ES"/>
        </w:rPr>
      </w:pPr>
      <w:r w:rsidRPr="007F56F0">
        <w:rPr>
          <w:rFonts w:ascii="Arial" w:eastAsia="Lucida Sans Unicode" w:hAnsi="Arial" w:cs="Arial"/>
          <w:b/>
          <w:lang w:val="es-ES_tradnl" w:eastAsia="es-ES"/>
        </w:rPr>
        <w:t>Valorización comercial del bien y determinación de la renta</w:t>
      </w:r>
    </w:p>
    <w:p w:rsidR="007F56F0" w:rsidRPr="007F56F0" w:rsidRDefault="007F56F0" w:rsidP="00477B96">
      <w:pPr>
        <w:widowControl w:val="0"/>
        <w:suppressAutoHyphens/>
        <w:spacing w:after="0" w:line="240" w:lineRule="auto"/>
        <w:ind w:left="2127"/>
        <w:jc w:val="both"/>
        <w:rPr>
          <w:rFonts w:ascii="Arial" w:eastAsia="Lucida Sans Unicode" w:hAnsi="Arial" w:cs="Arial"/>
          <w:lang w:val="es-ES" w:eastAsia="es-ES"/>
        </w:rPr>
      </w:pPr>
      <w:r w:rsidRPr="007F56F0">
        <w:rPr>
          <w:rFonts w:ascii="Arial" w:eastAsia="Lucida Sans Unicode" w:hAnsi="Arial" w:cs="Arial"/>
          <w:lang w:val="es-ES" w:eastAsia="es-ES"/>
        </w:rPr>
        <w:t xml:space="preserve">Con la conformidad del órgano superior, la unidad orgánica encargada del procedimiento efectúa la valorización comercial para determinar la renta del arrendamiento de los predios aptos o en su defecto, encarga la valorización. </w:t>
      </w:r>
    </w:p>
    <w:p w:rsidR="007F56F0" w:rsidRPr="007F56F0" w:rsidRDefault="007F56F0" w:rsidP="00477B96">
      <w:pPr>
        <w:widowControl w:val="0"/>
        <w:suppressAutoHyphens/>
        <w:spacing w:after="0" w:line="240" w:lineRule="auto"/>
        <w:ind w:left="2127"/>
        <w:jc w:val="both"/>
        <w:rPr>
          <w:rFonts w:ascii="Arial" w:eastAsia="Lucida Sans Unicode" w:hAnsi="Arial" w:cs="Arial"/>
          <w:lang w:val="es-ES" w:eastAsia="es-ES"/>
        </w:rPr>
      </w:pPr>
    </w:p>
    <w:p w:rsidR="007F56F0" w:rsidRPr="007F56F0" w:rsidRDefault="007F56F0" w:rsidP="00477B96">
      <w:pPr>
        <w:widowControl w:val="0"/>
        <w:suppressAutoHyphens/>
        <w:spacing w:after="0" w:line="240" w:lineRule="auto"/>
        <w:ind w:left="2127"/>
        <w:jc w:val="both"/>
        <w:rPr>
          <w:rFonts w:ascii="Arial" w:eastAsia="Lucida Sans Unicode" w:hAnsi="Arial" w:cs="Arial"/>
          <w:lang w:val="es-ES" w:eastAsia="es-ES"/>
        </w:rPr>
      </w:pPr>
      <w:r w:rsidRPr="007F56F0">
        <w:rPr>
          <w:rFonts w:ascii="Arial" w:eastAsia="Lucida Sans Unicode" w:hAnsi="Arial" w:cs="Arial"/>
          <w:lang w:val="es-ES" w:eastAsia="es-ES"/>
        </w:rPr>
        <w:t>En caso que se hubiere encargado la valorización, una vez recibida la tasación, la unidad orgánica que sustenta el trámite deberá evaluarla y darle conformidad; en caso contrario, solicitará al responsable de la valorización se ratifique o la modifique.</w:t>
      </w:r>
    </w:p>
    <w:p w:rsidR="007F56F0" w:rsidRPr="007F56F0" w:rsidRDefault="007F56F0" w:rsidP="00477B96">
      <w:pPr>
        <w:spacing w:after="0" w:line="240" w:lineRule="auto"/>
        <w:ind w:left="2127" w:right="57"/>
        <w:jc w:val="both"/>
        <w:rPr>
          <w:rFonts w:ascii="Arial" w:eastAsia="Times New Roman" w:hAnsi="Arial" w:cs="Arial"/>
          <w:lang w:val="es-ES" w:eastAsia="es-ES"/>
        </w:rPr>
      </w:pPr>
    </w:p>
    <w:p w:rsidR="007F56F0" w:rsidRPr="007F56F0" w:rsidRDefault="007F56F0" w:rsidP="0092471C">
      <w:pPr>
        <w:numPr>
          <w:ilvl w:val="2"/>
          <w:numId w:val="315"/>
        </w:numPr>
        <w:spacing w:after="0" w:line="240" w:lineRule="auto"/>
        <w:ind w:left="2127" w:right="57"/>
        <w:contextualSpacing/>
        <w:jc w:val="both"/>
        <w:rPr>
          <w:rFonts w:ascii="Arial" w:eastAsia="Lucida Sans Unicode" w:hAnsi="Arial" w:cs="Arial"/>
          <w:b/>
          <w:lang w:val="es-ES_tradnl" w:eastAsia="es-ES"/>
        </w:rPr>
      </w:pPr>
      <w:r w:rsidRPr="007F56F0">
        <w:rPr>
          <w:rFonts w:ascii="Arial" w:eastAsia="Lucida Sans Unicode" w:hAnsi="Arial" w:cs="Arial"/>
          <w:b/>
          <w:lang w:val="es-ES_tradnl" w:eastAsia="es-ES"/>
        </w:rPr>
        <w:t xml:space="preserve">De la adecuación del procedimiento a arrendamiento directo </w:t>
      </w:r>
    </w:p>
    <w:p w:rsidR="007F56F0" w:rsidRPr="007F56F0" w:rsidRDefault="007F56F0" w:rsidP="00477B96">
      <w:pPr>
        <w:widowControl w:val="0"/>
        <w:suppressAutoHyphens/>
        <w:spacing w:after="0" w:line="240" w:lineRule="auto"/>
        <w:ind w:left="2127"/>
        <w:jc w:val="both"/>
        <w:rPr>
          <w:rFonts w:ascii="Arial" w:eastAsia="Lucida Sans Unicode" w:hAnsi="Arial" w:cs="Arial"/>
          <w:lang w:val="es-ES" w:eastAsia="es-ES"/>
        </w:rPr>
      </w:pPr>
      <w:r w:rsidRPr="007F56F0">
        <w:rPr>
          <w:rFonts w:ascii="Arial" w:eastAsia="Lucida Sans Unicode" w:hAnsi="Arial" w:cs="Arial"/>
          <w:lang w:val="es-ES" w:eastAsia="es-ES"/>
        </w:rPr>
        <w:t>De existir peticiones de arrendamiento por parte de algún tercero interesado, y si de la valoración se determina que la renta mensual es inferior al 50% de la Unidad Impositiva Tributaria (UIT), se comunica al administrado dicha situación, para que de considerarlo pertinente  opte por solicitar la adecuación del trámite por arrendamiento directo. De existir varios interesados la comunicación se efectúa según orden de ingreso de solicitud.</w:t>
      </w:r>
    </w:p>
    <w:p w:rsidR="007F56F0" w:rsidRPr="007F56F0" w:rsidRDefault="007F56F0" w:rsidP="00477B96">
      <w:pPr>
        <w:widowControl w:val="0"/>
        <w:suppressAutoHyphens/>
        <w:spacing w:after="0" w:line="240" w:lineRule="auto"/>
        <w:ind w:left="2127" w:right="57"/>
        <w:jc w:val="both"/>
        <w:rPr>
          <w:rFonts w:ascii="Arial" w:eastAsia="Lucida Sans Unicode" w:hAnsi="Arial" w:cs="Arial"/>
          <w:lang w:val="es-ES" w:eastAsia="es-ES"/>
        </w:rPr>
      </w:pPr>
    </w:p>
    <w:p w:rsidR="007F56F0" w:rsidRPr="007F56F0" w:rsidRDefault="007F56F0" w:rsidP="0092471C">
      <w:pPr>
        <w:numPr>
          <w:ilvl w:val="2"/>
          <w:numId w:val="315"/>
        </w:numPr>
        <w:spacing w:after="0" w:line="240" w:lineRule="auto"/>
        <w:ind w:left="2127" w:right="57"/>
        <w:contextualSpacing/>
        <w:jc w:val="both"/>
        <w:rPr>
          <w:rFonts w:ascii="Arial" w:eastAsia="Lucida Sans Unicode" w:hAnsi="Arial" w:cs="Arial"/>
          <w:lang w:val="es-ES_tradnl" w:eastAsia="es-ES"/>
        </w:rPr>
      </w:pPr>
      <w:r w:rsidRPr="007F56F0">
        <w:rPr>
          <w:rFonts w:ascii="Arial" w:eastAsia="Lucida Sans Unicode" w:hAnsi="Arial" w:cs="Arial"/>
          <w:b/>
          <w:lang w:val="es-ES" w:eastAsia="es-ES"/>
        </w:rPr>
        <w:t>Publicación y contenido de la convocatoria pública</w:t>
      </w:r>
    </w:p>
    <w:p w:rsidR="007F56F0" w:rsidRPr="007F56F0" w:rsidRDefault="007F56F0" w:rsidP="00477B96">
      <w:pPr>
        <w:widowControl w:val="0"/>
        <w:suppressAutoHyphens/>
        <w:spacing w:after="0" w:line="240" w:lineRule="auto"/>
        <w:ind w:left="2127" w:right="57"/>
        <w:jc w:val="both"/>
        <w:rPr>
          <w:rFonts w:ascii="Arial" w:eastAsia="Lucida Sans Unicode" w:hAnsi="Arial" w:cs="Arial"/>
          <w:lang w:val="es-ES" w:eastAsia="es-ES"/>
        </w:rPr>
      </w:pPr>
      <w:r w:rsidRPr="007F56F0">
        <w:rPr>
          <w:rFonts w:ascii="Arial" w:eastAsia="Lucida Sans Unicode" w:hAnsi="Arial" w:cs="Arial"/>
          <w:lang w:val="es-ES" w:eastAsia="es-ES"/>
        </w:rPr>
        <w:t xml:space="preserve">La convocatoria se publicará por única vez en el diario oficial "El Peruano" o en otro de mayor circulación de la localidad donde se ubica el predio. </w:t>
      </w:r>
    </w:p>
    <w:p w:rsidR="007F56F0" w:rsidRPr="007F56F0" w:rsidRDefault="007F56F0" w:rsidP="00477B96">
      <w:pPr>
        <w:widowControl w:val="0"/>
        <w:suppressAutoHyphens/>
        <w:spacing w:after="0" w:line="240" w:lineRule="auto"/>
        <w:ind w:left="2127" w:right="57"/>
        <w:jc w:val="both"/>
        <w:rPr>
          <w:rFonts w:ascii="Arial" w:eastAsia="Lucida Sans Unicode" w:hAnsi="Arial" w:cs="Arial"/>
          <w:lang w:val="es-ES" w:eastAsia="es-ES"/>
        </w:rPr>
      </w:pPr>
    </w:p>
    <w:p w:rsidR="007F56F0" w:rsidRPr="007F56F0" w:rsidRDefault="007F56F0" w:rsidP="00477B96">
      <w:pPr>
        <w:widowControl w:val="0"/>
        <w:suppressAutoHyphens/>
        <w:spacing w:after="0" w:line="240" w:lineRule="auto"/>
        <w:ind w:left="2127" w:right="57"/>
        <w:jc w:val="both"/>
        <w:rPr>
          <w:rFonts w:ascii="Arial" w:eastAsia="Lucida Sans Unicode" w:hAnsi="Arial" w:cs="Arial"/>
          <w:lang w:val="es-ES_tradnl" w:eastAsia="es-ES"/>
        </w:rPr>
      </w:pPr>
      <w:r w:rsidRPr="007F56F0">
        <w:rPr>
          <w:rFonts w:ascii="Arial" w:eastAsia="Lucida Sans Unicode" w:hAnsi="Arial" w:cs="Arial"/>
          <w:lang w:val="es-ES" w:eastAsia="es-ES"/>
        </w:rPr>
        <w:t>Cuando no existan medios escritos en la localidad donde se da la convocatoria, se podrá publicar en lugares públicos y visibles de la zona, en cuyo caso se suscribirá un acta de publicación que contenga la fecha y la hora y lugar de la difusión.</w:t>
      </w:r>
    </w:p>
    <w:p w:rsidR="007F56F0" w:rsidRPr="007F56F0" w:rsidRDefault="007F56F0" w:rsidP="00477B96">
      <w:pPr>
        <w:widowControl w:val="0"/>
        <w:suppressAutoHyphens/>
        <w:spacing w:after="0" w:line="240" w:lineRule="auto"/>
        <w:ind w:left="2127"/>
        <w:jc w:val="both"/>
        <w:rPr>
          <w:rFonts w:ascii="Arial" w:eastAsia="Lucida Sans Unicode" w:hAnsi="Arial" w:cs="Arial"/>
          <w:lang w:val="es-ES_tradnl" w:eastAsia="es-ES"/>
        </w:rPr>
      </w:pPr>
    </w:p>
    <w:p w:rsidR="007F56F0" w:rsidRPr="007F56F0" w:rsidRDefault="007F56F0" w:rsidP="00477B96">
      <w:pPr>
        <w:widowControl w:val="0"/>
        <w:suppressAutoHyphens/>
        <w:spacing w:after="0" w:line="240" w:lineRule="auto"/>
        <w:ind w:left="2127"/>
        <w:jc w:val="both"/>
        <w:rPr>
          <w:rFonts w:ascii="Arial" w:eastAsia="Lucida Sans Unicode" w:hAnsi="Arial" w:cs="Arial"/>
          <w:lang w:val="es-ES" w:eastAsia="es-ES"/>
        </w:rPr>
      </w:pPr>
      <w:r w:rsidRPr="007F56F0">
        <w:rPr>
          <w:rFonts w:ascii="Arial" w:eastAsia="Lucida Sans Unicode" w:hAnsi="Arial" w:cs="Arial"/>
          <w:lang w:val="es-ES" w:eastAsia="es-ES"/>
        </w:rPr>
        <w:t xml:space="preserve">Si la entidad pública cuenta con un portal web, la convocatoria también se publicar por este medio. </w:t>
      </w:r>
    </w:p>
    <w:p w:rsidR="007F56F0" w:rsidRPr="007F56F0" w:rsidRDefault="007F56F0" w:rsidP="00477B96">
      <w:pPr>
        <w:widowControl w:val="0"/>
        <w:suppressAutoHyphens/>
        <w:spacing w:after="0" w:line="240" w:lineRule="auto"/>
        <w:ind w:left="2127" w:right="57"/>
        <w:jc w:val="both"/>
        <w:rPr>
          <w:rFonts w:ascii="Arial" w:eastAsia="Lucida Sans Unicode" w:hAnsi="Arial" w:cs="Arial"/>
          <w:lang w:val="es-ES" w:eastAsia="es-ES"/>
        </w:rPr>
      </w:pPr>
    </w:p>
    <w:p w:rsidR="007F56F0" w:rsidRPr="007F56F0" w:rsidRDefault="007F56F0" w:rsidP="00477B96">
      <w:pPr>
        <w:widowControl w:val="0"/>
        <w:suppressAutoHyphens/>
        <w:spacing w:after="0" w:line="240" w:lineRule="auto"/>
        <w:ind w:left="2127" w:right="57"/>
        <w:jc w:val="both"/>
        <w:rPr>
          <w:rFonts w:ascii="Arial" w:eastAsia="Lucida Sans Unicode" w:hAnsi="Arial" w:cs="Arial"/>
          <w:lang w:val="es-ES_tradnl" w:eastAsia="es-ES"/>
        </w:rPr>
      </w:pPr>
      <w:r w:rsidRPr="007F56F0">
        <w:rPr>
          <w:rFonts w:ascii="Arial" w:eastAsia="Lucida Sans Unicode" w:hAnsi="Arial" w:cs="Arial"/>
          <w:lang w:val="es-ES" w:eastAsia="es-ES"/>
        </w:rPr>
        <w:t>La publicación debe contener lo siguiente:</w:t>
      </w:r>
    </w:p>
    <w:p w:rsidR="007F56F0" w:rsidRPr="007F56F0" w:rsidRDefault="007F56F0" w:rsidP="0092471C">
      <w:pPr>
        <w:numPr>
          <w:ilvl w:val="0"/>
          <w:numId w:val="316"/>
        </w:numPr>
        <w:spacing w:after="0" w:line="240" w:lineRule="auto"/>
        <w:ind w:left="2694" w:hanging="284"/>
        <w:contextualSpacing/>
        <w:jc w:val="both"/>
        <w:rPr>
          <w:rFonts w:ascii="Arial" w:eastAsia="Lucida Sans Unicode" w:hAnsi="Arial" w:cs="Arial"/>
          <w:lang w:val="es-ES" w:eastAsia="es-ES"/>
        </w:rPr>
      </w:pPr>
      <w:r w:rsidRPr="007F56F0">
        <w:rPr>
          <w:rFonts w:ascii="Arial" w:eastAsia="Lucida Sans Unicode" w:hAnsi="Arial" w:cs="Arial"/>
          <w:lang w:val="es-ES" w:eastAsia="es-ES"/>
        </w:rPr>
        <w:t>Datos del predio que permitan su identificación (CUS, ubicación, área, partida registral)</w:t>
      </w:r>
    </w:p>
    <w:p w:rsidR="007F56F0" w:rsidRPr="007F56F0" w:rsidRDefault="007F56F0" w:rsidP="0092471C">
      <w:pPr>
        <w:numPr>
          <w:ilvl w:val="0"/>
          <w:numId w:val="316"/>
        </w:numPr>
        <w:spacing w:after="0" w:line="240" w:lineRule="auto"/>
        <w:ind w:left="2694" w:hanging="284"/>
        <w:contextualSpacing/>
        <w:jc w:val="both"/>
        <w:rPr>
          <w:rFonts w:ascii="Arial" w:eastAsia="Lucida Sans Unicode" w:hAnsi="Arial" w:cs="Arial"/>
          <w:lang w:val="es-ES" w:eastAsia="es-ES"/>
        </w:rPr>
      </w:pPr>
      <w:r w:rsidRPr="007F56F0">
        <w:rPr>
          <w:rFonts w:ascii="Arial" w:eastAsia="Lucida Sans Unicode" w:hAnsi="Arial" w:cs="Arial"/>
          <w:lang w:val="es-ES" w:eastAsia="es-ES"/>
        </w:rPr>
        <w:t>Renta mensual expresada en nuevos soles.</w:t>
      </w:r>
    </w:p>
    <w:p w:rsidR="007F56F0" w:rsidRPr="007F56F0" w:rsidRDefault="007F56F0" w:rsidP="0092471C">
      <w:pPr>
        <w:numPr>
          <w:ilvl w:val="0"/>
          <w:numId w:val="316"/>
        </w:numPr>
        <w:spacing w:after="0" w:line="240" w:lineRule="auto"/>
        <w:ind w:left="2694" w:hanging="284"/>
        <w:contextualSpacing/>
        <w:jc w:val="both"/>
        <w:rPr>
          <w:rFonts w:ascii="Arial" w:eastAsia="Lucida Sans Unicode" w:hAnsi="Arial" w:cs="Arial"/>
          <w:lang w:val="es-ES" w:eastAsia="es-ES"/>
        </w:rPr>
      </w:pPr>
      <w:r w:rsidRPr="007F56F0">
        <w:rPr>
          <w:rFonts w:ascii="Arial" w:eastAsia="Lucida Sans Unicode" w:hAnsi="Arial" w:cs="Arial"/>
          <w:lang w:val="es-ES" w:eastAsia="es-ES"/>
        </w:rPr>
        <w:t>Plazo del arrendamiento.</w:t>
      </w:r>
    </w:p>
    <w:p w:rsidR="007F56F0" w:rsidRPr="007F56F0" w:rsidRDefault="007F56F0" w:rsidP="0092471C">
      <w:pPr>
        <w:numPr>
          <w:ilvl w:val="0"/>
          <w:numId w:val="316"/>
        </w:numPr>
        <w:spacing w:after="0" w:line="240" w:lineRule="auto"/>
        <w:ind w:left="2694" w:hanging="284"/>
        <w:contextualSpacing/>
        <w:jc w:val="both"/>
        <w:rPr>
          <w:rFonts w:ascii="Arial" w:eastAsia="Lucida Sans Unicode" w:hAnsi="Arial" w:cs="Arial"/>
          <w:lang w:val="es-ES" w:eastAsia="es-ES"/>
        </w:rPr>
      </w:pPr>
      <w:r w:rsidRPr="007F56F0">
        <w:rPr>
          <w:rFonts w:ascii="Arial" w:eastAsia="Lucida Sans Unicode" w:hAnsi="Arial" w:cs="Arial"/>
          <w:lang w:val="es-ES" w:eastAsia="es-ES"/>
        </w:rPr>
        <w:t>Cronograma del proceso.</w:t>
      </w:r>
    </w:p>
    <w:p w:rsidR="007F56F0" w:rsidRPr="007F56F0" w:rsidRDefault="007F56F0" w:rsidP="0092471C">
      <w:pPr>
        <w:numPr>
          <w:ilvl w:val="0"/>
          <w:numId w:val="316"/>
        </w:numPr>
        <w:spacing w:after="0" w:line="240" w:lineRule="auto"/>
        <w:ind w:left="2694" w:hanging="284"/>
        <w:contextualSpacing/>
        <w:jc w:val="both"/>
        <w:rPr>
          <w:rFonts w:ascii="Arial" w:eastAsia="Lucida Sans Unicode" w:hAnsi="Arial" w:cs="Arial"/>
          <w:lang w:val="es-ES" w:eastAsia="es-ES"/>
        </w:rPr>
      </w:pPr>
      <w:r w:rsidRPr="007F56F0">
        <w:rPr>
          <w:rFonts w:ascii="Arial" w:eastAsia="Lucida Sans Unicode" w:hAnsi="Arial" w:cs="Arial"/>
          <w:lang w:val="es-ES" w:eastAsia="es-ES"/>
        </w:rPr>
        <w:t>Modalidad  para la presentación de propuestas (sobre cerrado)</w:t>
      </w:r>
    </w:p>
    <w:p w:rsidR="007F56F0" w:rsidRPr="007F56F0" w:rsidRDefault="007F56F0" w:rsidP="0092471C">
      <w:pPr>
        <w:numPr>
          <w:ilvl w:val="0"/>
          <w:numId w:val="316"/>
        </w:numPr>
        <w:spacing w:after="0" w:line="240" w:lineRule="auto"/>
        <w:ind w:left="2694" w:hanging="284"/>
        <w:contextualSpacing/>
        <w:jc w:val="both"/>
        <w:rPr>
          <w:rFonts w:ascii="Arial" w:eastAsia="Lucida Sans Unicode" w:hAnsi="Arial" w:cs="Arial"/>
          <w:lang w:val="es-ES" w:eastAsia="es-ES"/>
        </w:rPr>
      </w:pPr>
      <w:r w:rsidRPr="007F56F0">
        <w:rPr>
          <w:rFonts w:ascii="Arial" w:eastAsia="Lucida Sans Unicode" w:hAnsi="Arial" w:cs="Arial"/>
          <w:lang w:val="es-ES" w:eastAsia="es-ES"/>
        </w:rPr>
        <w:t>Otras situaciones que se consideren pertinentes.</w:t>
      </w:r>
    </w:p>
    <w:p w:rsidR="007F56F0" w:rsidRPr="007F56F0" w:rsidRDefault="007F56F0" w:rsidP="00477B96">
      <w:pPr>
        <w:spacing w:after="0" w:line="240" w:lineRule="auto"/>
        <w:ind w:left="2127"/>
        <w:jc w:val="both"/>
        <w:rPr>
          <w:rFonts w:ascii="Arial" w:eastAsia="Times New Roman" w:hAnsi="Arial" w:cs="Arial"/>
          <w:lang w:val="es-ES" w:eastAsia="es-ES"/>
        </w:rPr>
      </w:pPr>
    </w:p>
    <w:p w:rsidR="007F56F0" w:rsidRPr="007F56F0" w:rsidRDefault="007F56F0" w:rsidP="0092471C">
      <w:pPr>
        <w:numPr>
          <w:ilvl w:val="2"/>
          <w:numId w:val="315"/>
        </w:numPr>
        <w:spacing w:after="0" w:line="240" w:lineRule="auto"/>
        <w:ind w:left="2127" w:right="57"/>
        <w:contextualSpacing/>
        <w:jc w:val="both"/>
        <w:rPr>
          <w:rFonts w:ascii="Arial" w:eastAsia="Lucida Sans Unicode" w:hAnsi="Arial" w:cs="Arial"/>
          <w:lang w:val="es-ES_tradnl" w:eastAsia="es-ES"/>
        </w:rPr>
      </w:pPr>
      <w:r w:rsidRPr="007F56F0">
        <w:rPr>
          <w:rFonts w:ascii="Arial" w:eastAsia="Lucida Sans Unicode" w:hAnsi="Arial" w:cs="Arial"/>
          <w:b/>
          <w:lang w:val="es-ES" w:eastAsia="es-ES"/>
        </w:rPr>
        <w:t>Presentación de sobres</w:t>
      </w:r>
    </w:p>
    <w:p w:rsidR="007F56F0" w:rsidRPr="007F56F0" w:rsidRDefault="007F56F0" w:rsidP="00477B96">
      <w:pPr>
        <w:widowControl w:val="0"/>
        <w:suppressAutoHyphens/>
        <w:spacing w:after="0" w:line="240" w:lineRule="auto"/>
        <w:ind w:left="2127" w:right="57"/>
        <w:jc w:val="both"/>
        <w:rPr>
          <w:rFonts w:ascii="Arial" w:eastAsia="Lucida Sans Unicode" w:hAnsi="Arial" w:cs="Arial"/>
          <w:lang w:val="es-ES_tradnl" w:eastAsia="es-ES"/>
        </w:rPr>
      </w:pPr>
      <w:r w:rsidRPr="007F56F0">
        <w:rPr>
          <w:rFonts w:ascii="Arial" w:eastAsia="Lucida Sans Unicode" w:hAnsi="Arial" w:cs="Arial"/>
          <w:lang w:val="es-ES" w:eastAsia="es-ES"/>
        </w:rPr>
        <w:t>De acuerdo al cronograma publicado, los interesados en participar del proceso presentaran en sobre cerrado su propuesta de renta, además de la declaración jurada de no tener impedimento para contratar con el Estado, ni encontrarse en condición de deudor.</w:t>
      </w:r>
    </w:p>
    <w:p w:rsidR="007F56F0" w:rsidRPr="007F56F0" w:rsidRDefault="007F56F0" w:rsidP="00477B96">
      <w:pPr>
        <w:widowControl w:val="0"/>
        <w:suppressAutoHyphens/>
        <w:spacing w:after="0" w:line="240" w:lineRule="auto"/>
        <w:ind w:left="2127"/>
        <w:jc w:val="both"/>
        <w:rPr>
          <w:rFonts w:ascii="Arial" w:eastAsia="Lucida Sans Unicode" w:hAnsi="Arial" w:cs="Arial"/>
          <w:lang w:val="es-ES_tradnl" w:eastAsia="es-ES"/>
        </w:rPr>
      </w:pPr>
    </w:p>
    <w:p w:rsidR="007F56F0" w:rsidRPr="007F56F0" w:rsidRDefault="007F56F0" w:rsidP="00477B96">
      <w:pPr>
        <w:widowControl w:val="0"/>
        <w:suppressAutoHyphens/>
        <w:spacing w:after="0" w:line="240" w:lineRule="auto"/>
        <w:ind w:left="2127" w:right="57"/>
        <w:jc w:val="both"/>
        <w:rPr>
          <w:rFonts w:ascii="Arial" w:eastAsia="Lucida Sans Unicode" w:hAnsi="Arial" w:cs="Arial"/>
          <w:lang w:val="es-ES_tradnl" w:eastAsia="es-ES"/>
        </w:rPr>
      </w:pPr>
      <w:r w:rsidRPr="007F56F0">
        <w:rPr>
          <w:rFonts w:ascii="Arial" w:eastAsia="Lucida Sans Unicode" w:hAnsi="Arial" w:cs="Arial"/>
          <w:lang w:val="es-ES" w:eastAsia="es-ES"/>
        </w:rPr>
        <w:t>De no presentarse propuestas, se declarará desierta la convocatoria, pudiendo proponer posteriormente una nueva, teniendo como base el último valor de la renta, siempre que se encuentre vigente la valorización.</w:t>
      </w:r>
    </w:p>
    <w:p w:rsidR="007F56F0" w:rsidRPr="007F56F0" w:rsidRDefault="007F56F0" w:rsidP="00477B96">
      <w:pPr>
        <w:widowControl w:val="0"/>
        <w:suppressAutoHyphens/>
        <w:spacing w:after="0" w:line="240" w:lineRule="auto"/>
        <w:ind w:left="2127" w:right="57"/>
        <w:jc w:val="both"/>
        <w:rPr>
          <w:rFonts w:ascii="Arial" w:eastAsia="Lucida Sans Unicode" w:hAnsi="Arial" w:cs="Arial"/>
          <w:lang w:val="es-ES_tradnl" w:eastAsia="es-ES"/>
        </w:rPr>
      </w:pPr>
    </w:p>
    <w:p w:rsidR="007F56F0" w:rsidRPr="007F56F0" w:rsidRDefault="007F56F0" w:rsidP="0092471C">
      <w:pPr>
        <w:numPr>
          <w:ilvl w:val="2"/>
          <w:numId w:val="315"/>
        </w:numPr>
        <w:spacing w:after="0" w:line="240" w:lineRule="auto"/>
        <w:ind w:left="2127" w:right="57"/>
        <w:contextualSpacing/>
        <w:jc w:val="both"/>
        <w:rPr>
          <w:rFonts w:ascii="Arial" w:eastAsia="Lucida Sans Unicode" w:hAnsi="Arial" w:cs="Arial"/>
          <w:lang w:val="es-ES_tradnl" w:eastAsia="es-ES"/>
        </w:rPr>
      </w:pPr>
      <w:r w:rsidRPr="007F56F0">
        <w:rPr>
          <w:rFonts w:ascii="Arial" w:eastAsia="Lucida Sans Unicode" w:hAnsi="Arial" w:cs="Arial"/>
          <w:b/>
          <w:lang w:val="es-ES" w:eastAsia="es-ES"/>
        </w:rPr>
        <w:t>De la apertura de sobres y elección de la oferta ganadora</w:t>
      </w:r>
    </w:p>
    <w:p w:rsidR="007F56F0" w:rsidRPr="007F56F0" w:rsidRDefault="007F56F0" w:rsidP="00477B96">
      <w:pPr>
        <w:widowControl w:val="0"/>
        <w:suppressAutoHyphens/>
        <w:spacing w:after="0" w:line="240" w:lineRule="auto"/>
        <w:ind w:left="2127" w:right="57"/>
        <w:jc w:val="both"/>
        <w:rPr>
          <w:rFonts w:ascii="Arial" w:eastAsia="Lucida Sans Unicode" w:hAnsi="Arial" w:cs="Arial"/>
          <w:lang w:val="es-ES_tradnl" w:eastAsia="es-ES"/>
        </w:rPr>
      </w:pPr>
      <w:r w:rsidRPr="007F56F0">
        <w:rPr>
          <w:rFonts w:ascii="Arial" w:eastAsia="Lucida Sans Unicode" w:hAnsi="Arial" w:cs="Arial"/>
          <w:lang w:val="es-ES" w:eastAsia="es-ES"/>
        </w:rPr>
        <w:t>De acuerdo al plazo señalado, la unidad orgánica encargada del procedimiento procede a la apertura de los sobres y a la verificación de las propuestas, calificando como beneficiario al postor que ofrezca la mayor propuesta de pago de renta, sobre la base de la tasación. El presente acto deberá consignarse en un acta de fecha cierta.</w:t>
      </w:r>
    </w:p>
    <w:p w:rsidR="007F56F0" w:rsidRPr="007F56F0" w:rsidRDefault="007F56F0" w:rsidP="00477B96">
      <w:pPr>
        <w:widowControl w:val="0"/>
        <w:suppressAutoHyphens/>
        <w:spacing w:after="0" w:line="240" w:lineRule="auto"/>
        <w:ind w:left="2127" w:right="57"/>
        <w:jc w:val="both"/>
        <w:rPr>
          <w:rFonts w:ascii="Arial" w:eastAsia="Lucida Sans Unicode" w:hAnsi="Arial" w:cs="Arial"/>
          <w:lang w:val="es-ES_tradnl" w:eastAsia="es-ES"/>
        </w:rPr>
      </w:pPr>
    </w:p>
    <w:p w:rsidR="007F56F0" w:rsidRPr="007F56F0" w:rsidRDefault="007F56F0" w:rsidP="0092471C">
      <w:pPr>
        <w:numPr>
          <w:ilvl w:val="2"/>
          <w:numId w:val="315"/>
        </w:numPr>
        <w:spacing w:after="0" w:line="240" w:lineRule="auto"/>
        <w:ind w:left="2127" w:right="57"/>
        <w:contextualSpacing/>
        <w:jc w:val="both"/>
        <w:rPr>
          <w:rFonts w:ascii="Arial" w:eastAsia="Lucida Sans Unicode" w:hAnsi="Arial" w:cs="Arial"/>
          <w:lang w:val="es-ES_tradnl" w:eastAsia="es-ES"/>
        </w:rPr>
      </w:pPr>
      <w:r w:rsidRPr="007F56F0">
        <w:rPr>
          <w:rFonts w:ascii="Arial" w:eastAsia="Lucida Sans Unicode" w:hAnsi="Arial" w:cs="Arial"/>
          <w:b/>
          <w:lang w:val="es-ES" w:eastAsia="es-ES"/>
        </w:rPr>
        <w:t>Comunicación al postor de la aceptación de la oferta</w:t>
      </w:r>
    </w:p>
    <w:p w:rsidR="007F56F0" w:rsidRPr="007F56F0" w:rsidRDefault="007F56F0" w:rsidP="00477B96">
      <w:pPr>
        <w:widowControl w:val="0"/>
        <w:suppressAutoHyphens/>
        <w:spacing w:after="0" w:line="240" w:lineRule="auto"/>
        <w:ind w:left="2127"/>
        <w:jc w:val="both"/>
        <w:rPr>
          <w:rFonts w:ascii="Arial" w:eastAsia="Lucida Sans Unicode" w:hAnsi="Arial" w:cs="Arial"/>
          <w:color w:val="FF0000"/>
          <w:lang w:val="es-ES" w:eastAsia="es-ES"/>
        </w:rPr>
      </w:pPr>
      <w:r w:rsidRPr="007F56F0">
        <w:rPr>
          <w:rFonts w:ascii="Arial" w:eastAsia="Lucida Sans Unicode" w:hAnsi="Arial" w:cs="Arial"/>
          <w:lang w:val="es-ES" w:eastAsia="es-ES"/>
        </w:rPr>
        <w:t xml:space="preserve">La unidad orgánica encargada del procedimiento comunica al postor la aceptación de su propuesta, emitiendo un informe sustentatorio, el cual será remitido al superior jerárquico o a quien corresponda de acuerdo a sus atribuciones. </w:t>
      </w:r>
    </w:p>
    <w:p w:rsidR="007F56F0" w:rsidRPr="007F56F0" w:rsidRDefault="007F56F0" w:rsidP="007F56F0">
      <w:pPr>
        <w:spacing w:after="0" w:line="240" w:lineRule="auto"/>
        <w:jc w:val="both"/>
        <w:rPr>
          <w:rFonts w:ascii="Arial" w:eastAsia="Times New Roman" w:hAnsi="Arial" w:cs="Arial"/>
          <w:lang w:val="es-ES" w:eastAsia="es-ES"/>
        </w:rPr>
      </w:pPr>
    </w:p>
    <w:p w:rsidR="007F56F0" w:rsidRPr="007F56F0" w:rsidRDefault="007F56F0" w:rsidP="00477B96">
      <w:pPr>
        <w:spacing w:after="0" w:line="240" w:lineRule="auto"/>
        <w:ind w:left="1418" w:hanging="567"/>
        <w:jc w:val="both"/>
        <w:rPr>
          <w:rFonts w:ascii="Arial" w:eastAsia="Times New Roman" w:hAnsi="Arial" w:cs="Arial"/>
          <w:b/>
          <w:lang w:val="es-ES" w:eastAsia="es-ES"/>
        </w:rPr>
      </w:pPr>
      <w:r w:rsidRPr="007F56F0">
        <w:rPr>
          <w:rFonts w:ascii="Arial" w:eastAsia="Times New Roman" w:hAnsi="Arial" w:cs="Arial"/>
          <w:b/>
          <w:lang w:val="es-ES" w:eastAsia="es-ES"/>
        </w:rPr>
        <w:t xml:space="preserve">6.2  </w:t>
      </w:r>
      <w:r w:rsidR="00477B96">
        <w:rPr>
          <w:rFonts w:ascii="Arial" w:eastAsia="Times New Roman" w:hAnsi="Arial" w:cs="Arial"/>
          <w:b/>
          <w:lang w:val="es-ES" w:eastAsia="es-ES"/>
        </w:rPr>
        <w:tab/>
      </w:r>
      <w:r w:rsidRPr="007F56F0">
        <w:rPr>
          <w:rFonts w:ascii="Arial" w:eastAsia="Times New Roman" w:hAnsi="Arial" w:cs="Arial"/>
          <w:b/>
          <w:lang w:val="es-ES" w:eastAsia="es-ES"/>
        </w:rPr>
        <w:t>DEL PROCEDIMIENTO PARA EL ARRENDAMIENTO DIRECTO</w:t>
      </w:r>
    </w:p>
    <w:p w:rsidR="007F56F0" w:rsidRPr="007F56F0" w:rsidRDefault="007F56F0" w:rsidP="007F56F0">
      <w:pPr>
        <w:spacing w:after="0" w:line="240" w:lineRule="auto"/>
        <w:jc w:val="both"/>
        <w:rPr>
          <w:rFonts w:ascii="Arial" w:eastAsia="Times New Roman" w:hAnsi="Arial" w:cs="Arial"/>
          <w:b/>
          <w:lang w:val="es-ES" w:eastAsia="es-ES"/>
        </w:rPr>
      </w:pPr>
      <w:r w:rsidRPr="007F56F0">
        <w:rPr>
          <w:rFonts w:ascii="Arial" w:eastAsia="Times New Roman" w:hAnsi="Arial" w:cs="Arial"/>
          <w:b/>
          <w:lang w:val="es-ES" w:eastAsia="es-ES"/>
        </w:rPr>
        <w:t xml:space="preserve">           </w:t>
      </w:r>
    </w:p>
    <w:p w:rsidR="007F56F0" w:rsidRPr="007F56F0" w:rsidRDefault="007F56F0" w:rsidP="00477B96">
      <w:pPr>
        <w:spacing w:after="0" w:line="240" w:lineRule="auto"/>
        <w:ind w:left="2127" w:right="57" w:hanging="709"/>
        <w:jc w:val="both"/>
        <w:rPr>
          <w:rFonts w:ascii="Arial" w:eastAsia="Times New Roman" w:hAnsi="Arial" w:cs="Arial"/>
          <w:b/>
          <w:lang w:val="es-ES" w:eastAsia="es-ES"/>
        </w:rPr>
      </w:pPr>
      <w:r w:rsidRPr="007F56F0">
        <w:rPr>
          <w:rFonts w:ascii="Arial" w:eastAsia="Times New Roman" w:hAnsi="Arial" w:cs="Arial"/>
          <w:b/>
          <w:lang w:val="es-ES" w:eastAsia="es-ES"/>
        </w:rPr>
        <w:t xml:space="preserve">6.2.1   Causales de arrendamiento directo </w:t>
      </w:r>
    </w:p>
    <w:p w:rsidR="007F56F0" w:rsidRPr="007F56F0" w:rsidRDefault="007F56F0" w:rsidP="00477B96">
      <w:pPr>
        <w:spacing w:after="0" w:line="240" w:lineRule="auto"/>
        <w:ind w:left="2127" w:right="57" w:hanging="3"/>
        <w:jc w:val="both"/>
        <w:rPr>
          <w:rFonts w:ascii="Arial" w:eastAsia="Times New Roman" w:hAnsi="Arial" w:cs="Arial"/>
          <w:lang w:val="es-ES" w:eastAsia="es-ES"/>
        </w:rPr>
      </w:pPr>
      <w:r w:rsidRPr="007F56F0">
        <w:rPr>
          <w:rFonts w:ascii="Arial" w:eastAsia="Times New Roman" w:hAnsi="Arial" w:cs="Arial"/>
          <w:lang w:val="es-ES" w:eastAsia="es-ES"/>
        </w:rPr>
        <w:t>El arrendamiento directo de los bienes estatales de libre disponibilidad solo procede en los casos siguientes:</w:t>
      </w:r>
    </w:p>
    <w:p w:rsidR="007F56F0" w:rsidRPr="007F56F0" w:rsidRDefault="007F56F0" w:rsidP="00477B96">
      <w:pPr>
        <w:widowControl w:val="0"/>
        <w:suppressAutoHyphens/>
        <w:spacing w:after="0" w:line="240" w:lineRule="auto"/>
        <w:ind w:left="2127" w:right="57" w:hanging="709"/>
        <w:jc w:val="both"/>
        <w:rPr>
          <w:rFonts w:ascii="Arial" w:eastAsia="Lucida Sans Unicode" w:hAnsi="Arial" w:cs="Arial"/>
          <w:lang w:val="es-ES_tradnl" w:eastAsia="es-ES"/>
        </w:rPr>
      </w:pPr>
    </w:p>
    <w:p w:rsidR="007F56F0" w:rsidRPr="007F56F0" w:rsidRDefault="007F56F0" w:rsidP="0092471C">
      <w:pPr>
        <w:numPr>
          <w:ilvl w:val="0"/>
          <w:numId w:val="318"/>
        </w:numPr>
        <w:spacing w:after="0" w:line="240" w:lineRule="auto"/>
        <w:ind w:left="2977" w:right="57" w:hanging="426"/>
        <w:contextualSpacing/>
        <w:jc w:val="both"/>
        <w:rPr>
          <w:rFonts w:ascii="Arial" w:eastAsia="Lucida Sans Unicode" w:hAnsi="Arial" w:cs="Arial"/>
          <w:lang w:val="es-ES_tradnl" w:eastAsia="es-ES"/>
        </w:rPr>
      </w:pPr>
      <w:r w:rsidRPr="007F56F0">
        <w:rPr>
          <w:rFonts w:ascii="Arial" w:eastAsia="Lucida Sans Unicode" w:hAnsi="Arial" w:cs="Arial"/>
          <w:lang w:val="es-ES_tradnl" w:eastAsia="es-ES"/>
        </w:rPr>
        <w:t xml:space="preserve">Cuando se encuentre ocupado por más de un (1) año, anterior a la fecha de publicación del Reglamento, sin mediar vínculo contractual alguno, siempre que el poseedor pague la renta dejada de percibir durante el año inmediato anterior a la suscripción del contrato.  </w:t>
      </w:r>
    </w:p>
    <w:p w:rsidR="007F56F0" w:rsidRPr="007F56F0" w:rsidRDefault="007F56F0" w:rsidP="00477B96">
      <w:pPr>
        <w:widowControl w:val="0"/>
        <w:suppressAutoHyphens/>
        <w:spacing w:after="0" w:line="240" w:lineRule="auto"/>
        <w:ind w:left="2977" w:right="57" w:hanging="426"/>
        <w:jc w:val="both"/>
        <w:rPr>
          <w:rFonts w:ascii="Arial" w:eastAsia="Lucida Sans Unicode" w:hAnsi="Arial" w:cs="Arial"/>
          <w:lang w:val="es-ES_tradnl" w:eastAsia="es-ES"/>
        </w:rPr>
      </w:pPr>
    </w:p>
    <w:p w:rsidR="007F56F0" w:rsidRPr="007F56F0" w:rsidRDefault="007F56F0" w:rsidP="0092471C">
      <w:pPr>
        <w:numPr>
          <w:ilvl w:val="0"/>
          <w:numId w:val="318"/>
        </w:numPr>
        <w:spacing w:after="0" w:line="240" w:lineRule="auto"/>
        <w:ind w:left="2977" w:right="57" w:hanging="426"/>
        <w:contextualSpacing/>
        <w:jc w:val="both"/>
        <w:rPr>
          <w:rFonts w:ascii="Arial" w:eastAsia="Lucida Sans Unicode" w:hAnsi="Arial" w:cs="Arial"/>
          <w:lang w:val="es-ES_tradnl" w:eastAsia="es-ES"/>
        </w:rPr>
      </w:pPr>
      <w:r w:rsidRPr="007F56F0">
        <w:rPr>
          <w:rFonts w:ascii="Arial" w:eastAsia="Lucida Sans Unicode" w:hAnsi="Arial" w:cs="Arial"/>
          <w:lang w:val="es-ES_tradnl" w:eastAsia="es-ES"/>
        </w:rPr>
        <w:t>Cuando la renta mensual a valor comercial resulte inferior al 50% de la UIT vigente y el período de alquiler no exceda de un (1) año, pudiendo ser renovado como máximo en dos (2) oportunidades.</w:t>
      </w:r>
    </w:p>
    <w:p w:rsidR="007F56F0" w:rsidRPr="007F56F0" w:rsidRDefault="007F56F0" w:rsidP="00477B96">
      <w:pPr>
        <w:widowControl w:val="0"/>
        <w:suppressAutoHyphens/>
        <w:spacing w:after="0" w:line="240" w:lineRule="auto"/>
        <w:ind w:left="2127" w:right="57" w:hanging="709"/>
        <w:jc w:val="both"/>
        <w:rPr>
          <w:rFonts w:ascii="Arial" w:eastAsia="Lucida Sans Unicode" w:hAnsi="Arial" w:cs="Arial"/>
          <w:lang w:val="es-ES_tradnl" w:eastAsia="es-ES"/>
        </w:rPr>
      </w:pPr>
    </w:p>
    <w:p w:rsidR="007F56F0" w:rsidRPr="007F56F0" w:rsidRDefault="007F56F0" w:rsidP="00477B96">
      <w:pPr>
        <w:spacing w:after="0" w:line="240" w:lineRule="auto"/>
        <w:ind w:left="2127" w:right="57" w:hanging="709"/>
        <w:jc w:val="both"/>
        <w:rPr>
          <w:rFonts w:ascii="Arial" w:eastAsia="Times New Roman" w:hAnsi="Arial" w:cs="Arial"/>
          <w:lang w:val="es-ES" w:eastAsia="es-ES"/>
        </w:rPr>
      </w:pPr>
      <w:r w:rsidRPr="007F56F0">
        <w:rPr>
          <w:rFonts w:ascii="Arial" w:eastAsia="Times New Roman" w:hAnsi="Arial" w:cs="Arial"/>
          <w:b/>
          <w:lang w:val="es-ES" w:eastAsia="es-ES"/>
        </w:rPr>
        <w:t>6.2.2</w:t>
      </w:r>
      <w:r w:rsidRPr="007F56F0">
        <w:rPr>
          <w:rFonts w:ascii="Arial" w:eastAsia="Times New Roman" w:hAnsi="Arial" w:cs="Arial"/>
          <w:b/>
          <w:lang w:val="es-ES" w:eastAsia="es-ES"/>
        </w:rPr>
        <w:tab/>
        <w:t>Presentación de la solicitud</w:t>
      </w:r>
      <w:r w:rsidRPr="007F56F0">
        <w:rPr>
          <w:rFonts w:ascii="Arial" w:eastAsia="Times New Roman" w:hAnsi="Arial" w:cs="Arial"/>
          <w:lang w:val="es-ES" w:eastAsia="es-ES"/>
        </w:rPr>
        <w:tab/>
      </w:r>
    </w:p>
    <w:p w:rsidR="007F56F0" w:rsidRPr="007F56F0" w:rsidRDefault="007F56F0" w:rsidP="00477B96">
      <w:pPr>
        <w:spacing w:after="0" w:line="240" w:lineRule="auto"/>
        <w:ind w:left="2127" w:right="57" w:hanging="3"/>
        <w:jc w:val="both"/>
        <w:rPr>
          <w:rFonts w:ascii="Arial" w:eastAsia="Times New Roman" w:hAnsi="Arial" w:cs="Arial"/>
          <w:lang w:val="es-ES" w:eastAsia="es-ES"/>
        </w:rPr>
      </w:pPr>
      <w:r w:rsidRPr="007F56F0">
        <w:rPr>
          <w:rFonts w:ascii="Arial" w:eastAsia="Times New Roman" w:hAnsi="Arial" w:cs="Arial"/>
          <w:lang w:val="es-ES" w:eastAsia="es-ES"/>
        </w:rPr>
        <w:t>Para el procedimiento de arrendamiento directo, la solicitud debe formularse por escrito, con los siguientes requisitos:</w:t>
      </w:r>
    </w:p>
    <w:p w:rsidR="007F56F0" w:rsidRPr="007F56F0" w:rsidRDefault="007F56F0" w:rsidP="00477B96">
      <w:pPr>
        <w:spacing w:after="0" w:line="240" w:lineRule="auto"/>
        <w:ind w:left="2127" w:right="57" w:hanging="709"/>
        <w:jc w:val="both"/>
        <w:rPr>
          <w:rFonts w:ascii="Arial" w:eastAsia="Times New Roman" w:hAnsi="Arial" w:cs="Arial"/>
          <w:lang w:val="es-ES" w:eastAsia="es-ES"/>
        </w:rPr>
      </w:pPr>
    </w:p>
    <w:p w:rsidR="007F56F0" w:rsidRPr="007F56F0" w:rsidRDefault="007F56F0" w:rsidP="0092471C">
      <w:pPr>
        <w:numPr>
          <w:ilvl w:val="0"/>
          <w:numId w:val="317"/>
        </w:numPr>
        <w:spacing w:after="0" w:line="240" w:lineRule="auto"/>
        <w:ind w:left="2977" w:right="57" w:hanging="425"/>
        <w:contextualSpacing/>
        <w:jc w:val="both"/>
        <w:rPr>
          <w:rFonts w:ascii="Arial" w:eastAsia="Lucida Sans Unicode" w:hAnsi="Arial" w:cs="Arial"/>
          <w:lang w:val="es-ES_tradnl" w:eastAsia="es-ES"/>
        </w:rPr>
      </w:pPr>
      <w:r w:rsidRPr="007F56F0">
        <w:rPr>
          <w:rFonts w:ascii="Arial" w:eastAsia="Lucida Sans Unicode" w:hAnsi="Arial" w:cs="Arial"/>
          <w:lang w:val="es-ES_tradnl" w:eastAsia="es-ES"/>
        </w:rPr>
        <w:t>La indicación de la entidad pública a la que se dirige.</w:t>
      </w:r>
    </w:p>
    <w:p w:rsidR="007F56F0" w:rsidRPr="007F56F0" w:rsidRDefault="007F56F0" w:rsidP="00477B96">
      <w:pPr>
        <w:spacing w:after="0" w:line="240" w:lineRule="auto"/>
        <w:ind w:left="2977" w:right="57" w:hanging="425"/>
        <w:contextualSpacing/>
        <w:jc w:val="both"/>
        <w:rPr>
          <w:rFonts w:ascii="Arial" w:eastAsia="Lucida Sans Unicode" w:hAnsi="Arial" w:cs="Arial"/>
          <w:lang w:val="es-ES_tradnl" w:eastAsia="es-ES"/>
        </w:rPr>
      </w:pPr>
    </w:p>
    <w:p w:rsidR="007F56F0" w:rsidRPr="007F56F0" w:rsidRDefault="007F56F0" w:rsidP="0092471C">
      <w:pPr>
        <w:numPr>
          <w:ilvl w:val="0"/>
          <w:numId w:val="317"/>
        </w:numPr>
        <w:spacing w:after="0" w:line="240" w:lineRule="auto"/>
        <w:ind w:left="2977" w:right="57" w:hanging="425"/>
        <w:contextualSpacing/>
        <w:jc w:val="both"/>
        <w:rPr>
          <w:rFonts w:ascii="Arial" w:eastAsia="Lucida Sans Unicode" w:hAnsi="Arial" w:cs="Arial"/>
          <w:lang w:val="es-ES_tradnl" w:eastAsia="es-ES"/>
        </w:rPr>
      </w:pPr>
      <w:r w:rsidRPr="007F56F0">
        <w:rPr>
          <w:rFonts w:ascii="Arial" w:eastAsia="Lucida Sans Unicode" w:hAnsi="Arial" w:cs="Arial"/>
          <w:lang w:val="es-ES_tradnl" w:eastAsia="es-ES"/>
        </w:rPr>
        <w:t>Nombres y apellidos completos, domicilio y número de Documento Nacional de Identidad o carné de extranjería del administrado y, en su caso, la calidad de representante y de la persona natural o jurídica a quien represente.</w:t>
      </w:r>
    </w:p>
    <w:p w:rsidR="007F56F0" w:rsidRPr="007F56F0" w:rsidRDefault="007F56F0" w:rsidP="00477B96">
      <w:pPr>
        <w:widowControl w:val="0"/>
        <w:suppressAutoHyphens/>
        <w:spacing w:after="0" w:line="240" w:lineRule="auto"/>
        <w:ind w:left="2977" w:right="57" w:hanging="425"/>
        <w:jc w:val="both"/>
        <w:rPr>
          <w:rFonts w:ascii="Arial" w:eastAsia="Lucida Sans Unicode" w:hAnsi="Arial" w:cs="Arial"/>
          <w:lang w:val="es-ES_tradnl" w:eastAsia="es-ES"/>
        </w:rPr>
      </w:pPr>
    </w:p>
    <w:p w:rsidR="007F56F0" w:rsidRPr="007F56F0" w:rsidRDefault="007F56F0" w:rsidP="0092471C">
      <w:pPr>
        <w:numPr>
          <w:ilvl w:val="0"/>
          <w:numId w:val="317"/>
        </w:numPr>
        <w:spacing w:after="0" w:line="240" w:lineRule="auto"/>
        <w:ind w:left="2977" w:right="57" w:hanging="425"/>
        <w:contextualSpacing/>
        <w:jc w:val="both"/>
        <w:rPr>
          <w:rFonts w:ascii="Arial" w:eastAsia="Lucida Sans Unicode" w:hAnsi="Arial" w:cs="Arial"/>
          <w:lang w:val="es-ES_tradnl" w:eastAsia="es-ES"/>
        </w:rPr>
      </w:pPr>
      <w:r w:rsidRPr="007F56F0">
        <w:rPr>
          <w:rFonts w:ascii="Arial" w:eastAsia="Lucida Sans Unicode" w:hAnsi="Arial" w:cs="Arial"/>
          <w:lang w:val="es-ES_tradnl" w:eastAsia="es-ES"/>
        </w:rPr>
        <w:t>Expresión concreta del pedido, indicando el área, ubicación del predio, Partida Registral y la causal de arrendamiento, establecida en el artículo 94° del Reglamento.</w:t>
      </w:r>
    </w:p>
    <w:p w:rsidR="007F56F0" w:rsidRPr="007F56F0" w:rsidRDefault="007F56F0" w:rsidP="00477B96">
      <w:pPr>
        <w:widowControl w:val="0"/>
        <w:suppressAutoHyphens/>
        <w:spacing w:after="0" w:line="240" w:lineRule="auto"/>
        <w:ind w:left="2977" w:right="57" w:hanging="425"/>
        <w:jc w:val="both"/>
        <w:rPr>
          <w:rFonts w:ascii="Arial" w:eastAsia="Lucida Sans Unicode" w:hAnsi="Arial" w:cs="Arial"/>
          <w:b/>
          <w:color w:val="FF0000"/>
          <w:lang w:val="es-ES" w:eastAsia="es-ES"/>
        </w:rPr>
      </w:pPr>
    </w:p>
    <w:p w:rsidR="007F56F0" w:rsidRPr="007F56F0" w:rsidRDefault="007F56F0" w:rsidP="0092471C">
      <w:pPr>
        <w:numPr>
          <w:ilvl w:val="0"/>
          <w:numId w:val="317"/>
        </w:numPr>
        <w:spacing w:after="0" w:line="240" w:lineRule="auto"/>
        <w:ind w:left="2977" w:right="57" w:hanging="425"/>
        <w:contextualSpacing/>
        <w:jc w:val="both"/>
        <w:rPr>
          <w:rFonts w:ascii="Arial" w:eastAsia="Lucida Sans Unicode" w:hAnsi="Arial" w:cs="Arial"/>
          <w:lang w:val="es-ES_tradnl" w:eastAsia="es-ES"/>
        </w:rPr>
      </w:pPr>
      <w:r w:rsidRPr="007F56F0">
        <w:rPr>
          <w:rFonts w:ascii="Arial" w:eastAsia="Lucida Sans Unicode" w:hAnsi="Arial" w:cs="Arial"/>
          <w:lang w:val="es-ES" w:eastAsia="es-ES"/>
        </w:rPr>
        <w:t>Indicación del uso o finalidad a la cual se destinará el predio.</w:t>
      </w:r>
    </w:p>
    <w:p w:rsidR="007F56F0" w:rsidRPr="007F56F0" w:rsidRDefault="007F56F0" w:rsidP="00477B96">
      <w:pPr>
        <w:widowControl w:val="0"/>
        <w:suppressAutoHyphens/>
        <w:spacing w:after="0" w:line="240" w:lineRule="auto"/>
        <w:ind w:left="2977" w:hanging="425"/>
        <w:rPr>
          <w:rFonts w:ascii="Arial" w:eastAsia="Lucida Sans Unicode" w:hAnsi="Arial" w:cs="Arial"/>
          <w:lang w:val="es-ES" w:eastAsia="es-ES"/>
        </w:rPr>
      </w:pPr>
    </w:p>
    <w:p w:rsidR="007F56F0" w:rsidRPr="007F56F0" w:rsidRDefault="007F56F0" w:rsidP="0092471C">
      <w:pPr>
        <w:numPr>
          <w:ilvl w:val="0"/>
          <w:numId w:val="317"/>
        </w:numPr>
        <w:spacing w:after="0" w:line="240" w:lineRule="auto"/>
        <w:ind w:left="2977" w:right="57" w:hanging="425"/>
        <w:contextualSpacing/>
        <w:jc w:val="both"/>
        <w:rPr>
          <w:rFonts w:ascii="Arial" w:eastAsia="Lucida Sans Unicode" w:hAnsi="Arial" w:cs="Arial"/>
          <w:lang w:val="es-ES_tradnl" w:eastAsia="es-ES"/>
        </w:rPr>
      </w:pPr>
      <w:r w:rsidRPr="007F56F0">
        <w:rPr>
          <w:rFonts w:ascii="Arial" w:eastAsia="Lucida Sans Unicode" w:hAnsi="Arial" w:cs="Arial"/>
          <w:lang w:val="es-ES" w:eastAsia="es-ES"/>
        </w:rPr>
        <w:t xml:space="preserve">Lugar, fecha, firma o huella digital, en caso de no saber firmar o tener impedimento físico. </w:t>
      </w:r>
    </w:p>
    <w:p w:rsidR="007F56F0" w:rsidRPr="007F56F0" w:rsidRDefault="007F56F0" w:rsidP="00477B96">
      <w:pPr>
        <w:widowControl w:val="0"/>
        <w:suppressAutoHyphens/>
        <w:spacing w:after="0" w:line="240" w:lineRule="auto"/>
        <w:ind w:left="2977" w:hanging="425"/>
        <w:rPr>
          <w:rFonts w:ascii="Arial" w:eastAsia="Lucida Sans Unicode" w:hAnsi="Arial" w:cs="Arial"/>
          <w:lang w:val="es-ES_tradnl" w:eastAsia="es-ES"/>
        </w:rPr>
      </w:pPr>
    </w:p>
    <w:p w:rsidR="007F56F0" w:rsidRPr="007F56F0" w:rsidRDefault="007F56F0" w:rsidP="0092471C">
      <w:pPr>
        <w:numPr>
          <w:ilvl w:val="0"/>
          <w:numId w:val="317"/>
        </w:numPr>
        <w:spacing w:after="0" w:line="240" w:lineRule="auto"/>
        <w:ind w:left="2977" w:right="57" w:hanging="425"/>
        <w:contextualSpacing/>
        <w:jc w:val="both"/>
        <w:rPr>
          <w:rFonts w:ascii="Arial" w:eastAsia="Lucida Sans Unicode" w:hAnsi="Arial" w:cs="Arial"/>
          <w:lang w:val="es-ES_tradnl" w:eastAsia="es-ES"/>
        </w:rPr>
      </w:pPr>
      <w:r w:rsidRPr="007F56F0">
        <w:rPr>
          <w:rFonts w:ascii="Arial" w:eastAsia="Lucida Sans Unicode" w:hAnsi="Arial" w:cs="Arial"/>
          <w:lang w:val="es-ES" w:eastAsia="es-ES"/>
        </w:rPr>
        <w:t>Adjuntar los documentos que se detallan a continuación:</w:t>
      </w:r>
    </w:p>
    <w:p w:rsidR="007F56F0" w:rsidRPr="007F56F0" w:rsidRDefault="007F56F0" w:rsidP="00477B96">
      <w:pPr>
        <w:widowControl w:val="0"/>
        <w:suppressAutoHyphens/>
        <w:spacing w:after="0" w:line="240" w:lineRule="auto"/>
        <w:ind w:left="2127" w:hanging="709"/>
        <w:rPr>
          <w:rFonts w:ascii="Arial" w:eastAsia="Lucida Sans Unicode" w:hAnsi="Arial" w:cs="Arial"/>
          <w:lang w:val="es-ES_tradnl" w:eastAsia="es-ES"/>
        </w:rPr>
      </w:pPr>
    </w:p>
    <w:p w:rsidR="007F56F0" w:rsidRPr="007F56F0" w:rsidRDefault="007F56F0" w:rsidP="00477B96">
      <w:pPr>
        <w:spacing w:after="0" w:line="240" w:lineRule="auto"/>
        <w:ind w:left="4111" w:right="57" w:hanging="709"/>
        <w:jc w:val="both"/>
        <w:rPr>
          <w:rFonts w:ascii="Arial" w:eastAsia="Times New Roman" w:hAnsi="Arial" w:cs="Arial"/>
          <w:lang w:val="es-ES" w:eastAsia="es-ES"/>
        </w:rPr>
      </w:pPr>
      <w:r w:rsidRPr="007F56F0">
        <w:rPr>
          <w:rFonts w:ascii="Arial" w:eastAsia="Times New Roman" w:hAnsi="Arial" w:cs="Arial"/>
          <w:lang w:val="es-ES" w:eastAsia="es-ES"/>
        </w:rPr>
        <w:t xml:space="preserve">f.1 </w:t>
      </w:r>
      <w:r w:rsidRPr="007F56F0">
        <w:rPr>
          <w:rFonts w:ascii="Arial" w:eastAsia="Times New Roman" w:hAnsi="Arial" w:cs="Arial"/>
          <w:lang w:val="es-ES" w:eastAsia="es-ES"/>
        </w:rPr>
        <w:tab/>
        <w:t>Copia simple del Documento Nacional de Identidad, Carné de Extranjería o vigencia de poder del solicitante con una antigüedad no mayor a treinta (30) días calendario.</w:t>
      </w:r>
    </w:p>
    <w:p w:rsidR="007F56F0" w:rsidRPr="007F56F0" w:rsidRDefault="007F56F0" w:rsidP="00477B96">
      <w:pPr>
        <w:spacing w:after="0" w:line="240" w:lineRule="auto"/>
        <w:ind w:left="4111" w:right="57" w:hanging="709"/>
        <w:jc w:val="both"/>
        <w:rPr>
          <w:rFonts w:ascii="Arial" w:eastAsia="Times New Roman" w:hAnsi="Arial" w:cs="Arial"/>
          <w:lang w:val="es-ES" w:eastAsia="es-ES"/>
        </w:rPr>
      </w:pPr>
    </w:p>
    <w:p w:rsidR="007F56F0" w:rsidRPr="007F56F0" w:rsidRDefault="007F56F0" w:rsidP="00477B96">
      <w:pPr>
        <w:spacing w:after="0" w:line="240" w:lineRule="auto"/>
        <w:ind w:left="4111" w:right="57" w:hanging="709"/>
        <w:jc w:val="both"/>
        <w:rPr>
          <w:rFonts w:ascii="Arial" w:eastAsia="Times New Roman" w:hAnsi="Arial" w:cs="Arial"/>
          <w:lang w:val="es-ES" w:eastAsia="es-ES"/>
        </w:rPr>
      </w:pPr>
      <w:r w:rsidRPr="007F56F0">
        <w:rPr>
          <w:rFonts w:ascii="Arial" w:eastAsia="Times New Roman" w:hAnsi="Arial" w:cs="Arial"/>
          <w:lang w:val="es-ES" w:eastAsia="es-ES"/>
        </w:rPr>
        <w:t>f.2</w:t>
      </w:r>
      <w:r w:rsidRPr="007F56F0">
        <w:rPr>
          <w:rFonts w:ascii="Arial" w:eastAsia="Times New Roman" w:hAnsi="Arial" w:cs="Arial"/>
          <w:lang w:val="es-ES" w:eastAsia="es-ES"/>
        </w:rPr>
        <w:tab/>
        <w:t xml:space="preserve">Memoria Descriptiva y Plano perimétrico - ubicación en coordenadas UTM oficiales, a escala apropiada, firmado por ingeniero o arquitecto colegiado, en soporte físico y digital, salvo que la solicitud de arrendamiento sea de todo el área inscrita, en cuyo caso será facultativo. </w:t>
      </w:r>
    </w:p>
    <w:p w:rsidR="007F56F0" w:rsidRPr="007F56F0" w:rsidRDefault="007F56F0" w:rsidP="00477B96">
      <w:pPr>
        <w:spacing w:after="0" w:line="240" w:lineRule="auto"/>
        <w:ind w:left="4111" w:right="57" w:hanging="709"/>
        <w:jc w:val="both"/>
        <w:rPr>
          <w:rFonts w:ascii="Arial" w:eastAsia="Times New Roman" w:hAnsi="Arial" w:cs="Arial"/>
          <w:lang w:val="es-ES" w:eastAsia="es-ES"/>
        </w:rPr>
      </w:pPr>
      <w:r w:rsidRPr="007F56F0">
        <w:rPr>
          <w:rFonts w:ascii="Arial" w:eastAsia="Times New Roman" w:hAnsi="Arial" w:cs="Arial"/>
          <w:lang w:val="es-ES" w:eastAsia="es-ES"/>
        </w:rPr>
        <w:t xml:space="preserve">  </w:t>
      </w:r>
    </w:p>
    <w:p w:rsidR="007F56F0" w:rsidRPr="007F56F0" w:rsidRDefault="007F56F0" w:rsidP="00477B96">
      <w:pPr>
        <w:spacing w:after="0" w:line="240" w:lineRule="auto"/>
        <w:ind w:left="4111" w:right="57" w:hanging="709"/>
        <w:jc w:val="both"/>
        <w:rPr>
          <w:rFonts w:ascii="Arial" w:eastAsia="Times New Roman" w:hAnsi="Arial" w:cs="Arial"/>
          <w:lang w:val="es-ES" w:eastAsia="es-ES"/>
        </w:rPr>
      </w:pPr>
      <w:r w:rsidRPr="007F56F0">
        <w:rPr>
          <w:rFonts w:ascii="Arial" w:eastAsia="Times New Roman" w:hAnsi="Arial" w:cs="Arial"/>
          <w:lang w:val="es-ES" w:eastAsia="es-ES"/>
        </w:rPr>
        <w:t>f.3</w:t>
      </w:r>
      <w:r w:rsidRPr="007F56F0">
        <w:rPr>
          <w:rFonts w:ascii="Arial" w:eastAsia="Times New Roman" w:hAnsi="Arial" w:cs="Arial"/>
          <w:lang w:val="es-ES" w:eastAsia="es-ES"/>
        </w:rPr>
        <w:tab/>
        <w:t>En caso que el predio no se encuentre inscrito, el Certificado de Búsqueda Catastral expedido por la SUNARP con una antigüedad no mayor a sesenta (60) días calendario.</w:t>
      </w:r>
    </w:p>
    <w:p w:rsidR="007F56F0" w:rsidRPr="007F56F0" w:rsidRDefault="007F56F0" w:rsidP="00477B96">
      <w:pPr>
        <w:spacing w:after="0" w:line="240" w:lineRule="auto"/>
        <w:ind w:left="4111" w:right="57" w:hanging="709"/>
        <w:jc w:val="both"/>
        <w:rPr>
          <w:rFonts w:ascii="Arial" w:eastAsia="Times New Roman" w:hAnsi="Arial" w:cs="Arial"/>
          <w:lang w:val="es-ES" w:eastAsia="es-ES"/>
        </w:rPr>
      </w:pPr>
    </w:p>
    <w:p w:rsidR="007F56F0" w:rsidRPr="007F56F0" w:rsidRDefault="007F56F0" w:rsidP="00477B96">
      <w:pPr>
        <w:spacing w:after="0" w:line="240" w:lineRule="auto"/>
        <w:ind w:left="4111" w:right="57" w:hanging="709"/>
        <w:jc w:val="both"/>
        <w:rPr>
          <w:rFonts w:ascii="Arial" w:eastAsia="Times New Roman" w:hAnsi="Arial" w:cs="Arial"/>
          <w:lang w:val="es-ES" w:eastAsia="es-ES"/>
        </w:rPr>
      </w:pPr>
      <w:r w:rsidRPr="007F56F0">
        <w:rPr>
          <w:rFonts w:ascii="Arial" w:eastAsia="Times New Roman" w:hAnsi="Arial" w:cs="Arial"/>
          <w:lang w:val="es-ES" w:eastAsia="es-ES"/>
        </w:rPr>
        <w:t xml:space="preserve">f.4 </w:t>
      </w:r>
      <w:r w:rsidR="00477B96">
        <w:rPr>
          <w:rFonts w:ascii="Arial" w:eastAsia="Times New Roman" w:hAnsi="Arial" w:cs="Arial"/>
          <w:lang w:val="es-ES" w:eastAsia="es-ES"/>
        </w:rPr>
        <w:tab/>
      </w:r>
      <w:r w:rsidRPr="007F56F0">
        <w:rPr>
          <w:rFonts w:ascii="Arial" w:eastAsia="Times New Roman" w:hAnsi="Arial" w:cs="Arial"/>
          <w:lang w:val="es-ES" w:eastAsia="es-ES"/>
        </w:rPr>
        <w:t>Declaración Jurada suscrita por el solicitante, de no encontrarse impedido de contratar con el Estado.</w:t>
      </w:r>
    </w:p>
    <w:p w:rsidR="007F56F0" w:rsidRPr="007F56F0" w:rsidRDefault="007F56F0" w:rsidP="00477B96">
      <w:pPr>
        <w:spacing w:after="0" w:line="240" w:lineRule="auto"/>
        <w:ind w:left="4111" w:right="57" w:hanging="709"/>
        <w:jc w:val="both"/>
        <w:rPr>
          <w:rFonts w:ascii="Arial" w:eastAsia="Times New Roman" w:hAnsi="Arial" w:cs="Arial"/>
          <w:lang w:val="es-ES" w:eastAsia="es-ES"/>
        </w:rPr>
      </w:pPr>
    </w:p>
    <w:p w:rsidR="007F56F0" w:rsidRPr="007F56F0" w:rsidRDefault="007F56F0" w:rsidP="00477B96">
      <w:pPr>
        <w:spacing w:after="0" w:line="240" w:lineRule="auto"/>
        <w:ind w:left="4111" w:right="57" w:hanging="709"/>
        <w:jc w:val="both"/>
        <w:rPr>
          <w:rFonts w:ascii="Arial" w:eastAsia="Times New Roman" w:hAnsi="Arial" w:cs="Arial"/>
          <w:lang w:val="es-ES" w:eastAsia="es-ES"/>
        </w:rPr>
      </w:pPr>
      <w:r w:rsidRPr="007F56F0">
        <w:rPr>
          <w:rFonts w:ascii="Arial" w:eastAsia="Times New Roman" w:hAnsi="Arial" w:cs="Arial"/>
          <w:lang w:val="es-ES" w:eastAsia="es-ES"/>
        </w:rPr>
        <w:t xml:space="preserve">f.5 </w:t>
      </w:r>
      <w:r w:rsidR="00477B96">
        <w:rPr>
          <w:rFonts w:ascii="Arial" w:eastAsia="Times New Roman" w:hAnsi="Arial" w:cs="Arial"/>
          <w:lang w:val="es-ES" w:eastAsia="es-ES"/>
        </w:rPr>
        <w:tab/>
      </w:r>
      <w:r w:rsidRPr="007F56F0">
        <w:rPr>
          <w:rFonts w:ascii="Arial" w:eastAsia="Times New Roman" w:hAnsi="Arial" w:cs="Arial"/>
          <w:color w:val="000000"/>
          <w:shd w:val="clear" w:color="auto" w:fill="FFFFFF"/>
          <w:lang w:val="es-ES" w:eastAsia="es-ES"/>
        </w:rPr>
        <w:t>Declaración Jurada del solicitante conteniendo el compromiso de pago de la renta dejada de percibir por la SBN, en el caso de arrendamiento directo por causal de posesión.</w:t>
      </w:r>
    </w:p>
    <w:p w:rsidR="007F56F0" w:rsidRPr="007F56F0" w:rsidRDefault="007F56F0" w:rsidP="00477B96">
      <w:pPr>
        <w:widowControl w:val="0"/>
        <w:suppressAutoHyphens/>
        <w:spacing w:after="0" w:line="240" w:lineRule="auto"/>
        <w:ind w:left="2127" w:right="425" w:hanging="709"/>
        <w:jc w:val="both"/>
        <w:rPr>
          <w:rFonts w:ascii="Arial" w:eastAsia="Lucida Sans Unicode" w:hAnsi="Arial" w:cs="Arial"/>
          <w:i/>
          <w:color w:val="FF0000"/>
          <w:lang w:val="es-ES" w:eastAsia="es-ES"/>
        </w:rPr>
      </w:pPr>
    </w:p>
    <w:p w:rsidR="007F56F0" w:rsidRPr="007F56F0" w:rsidRDefault="007F56F0" w:rsidP="0092471C">
      <w:pPr>
        <w:numPr>
          <w:ilvl w:val="0"/>
          <w:numId w:val="317"/>
        </w:numPr>
        <w:spacing w:after="0" w:line="240" w:lineRule="auto"/>
        <w:ind w:left="2977" w:right="57" w:hanging="425"/>
        <w:contextualSpacing/>
        <w:jc w:val="both"/>
        <w:rPr>
          <w:rFonts w:ascii="Arial" w:eastAsia="Lucida Sans Unicode" w:hAnsi="Arial" w:cs="Arial"/>
          <w:lang w:val="es-ES" w:eastAsia="es-ES"/>
        </w:rPr>
      </w:pPr>
      <w:r w:rsidRPr="007F56F0">
        <w:rPr>
          <w:rFonts w:ascii="Arial" w:eastAsia="Lucida Sans Unicode" w:hAnsi="Arial" w:cs="Arial"/>
          <w:lang w:val="es-ES" w:eastAsia="es-ES"/>
        </w:rPr>
        <w:t>Para el supuesto del arrendamiento directo señalado en el numeral 1) del artículo 94 del Reglamento, la posesión se acredita con la copia fedatiada, autenticada, legalizada o certificada de documentos expedidos por entidad pública o de fecha cierta que acredite la antigüedad de posesión sobre el predio, en favor del solicitante o de sus predecesores, antes del 15 de marzo de 2007.</w:t>
      </w:r>
    </w:p>
    <w:p w:rsidR="007F56F0" w:rsidRPr="007F56F0" w:rsidRDefault="007F56F0" w:rsidP="00477B96">
      <w:pPr>
        <w:widowControl w:val="0"/>
        <w:suppressAutoHyphens/>
        <w:spacing w:after="0" w:line="240" w:lineRule="auto"/>
        <w:ind w:left="2127" w:right="57" w:hanging="709"/>
        <w:jc w:val="both"/>
        <w:rPr>
          <w:rFonts w:ascii="Arial" w:eastAsia="Lucida Sans Unicode" w:hAnsi="Arial" w:cs="Arial"/>
          <w:strike/>
          <w:lang w:val="es-ES" w:eastAsia="es-ES"/>
        </w:rPr>
      </w:pPr>
    </w:p>
    <w:p w:rsidR="007F56F0" w:rsidRPr="007F56F0" w:rsidRDefault="007F56F0" w:rsidP="00477B96">
      <w:pPr>
        <w:autoSpaceDE w:val="0"/>
        <w:autoSpaceDN w:val="0"/>
        <w:adjustRightInd w:val="0"/>
        <w:spacing w:after="0" w:line="240" w:lineRule="auto"/>
        <w:ind w:left="2977"/>
        <w:jc w:val="both"/>
        <w:rPr>
          <w:rFonts w:ascii="Arial" w:eastAsia="Times New Roman" w:hAnsi="Arial" w:cs="Arial"/>
          <w:lang w:val="es-ES" w:eastAsia="es-ES"/>
        </w:rPr>
      </w:pPr>
      <w:r w:rsidRPr="007F56F0">
        <w:rPr>
          <w:rFonts w:ascii="Arial" w:eastAsia="Times New Roman" w:hAnsi="Arial" w:cs="Arial"/>
          <w:lang w:val="es-ES" w:eastAsia="es-ES"/>
        </w:rPr>
        <w:t>Los documentos que acrediten el plazo de antigüedad, requerido para el arrendamiento directo por causal de posesión, deben guardar correspondencia indubitable con el predio materia de solicitud.</w:t>
      </w:r>
    </w:p>
    <w:p w:rsidR="007F56F0" w:rsidRPr="007F56F0" w:rsidRDefault="007F56F0" w:rsidP="00477B96">
      <w:pPr>
        <w:autoSpaceDE w:val="0"/>
        <w:autoSpaceDN w:val="0"/>
        <w:adjustRightInd w:val="0"/>
        <w:spacing w:after="0" w:line="240" w:lineRule="auto"/>
        <w:ind w:left="2977"/>
        <w:jc w:val="both"/>
        <w:rPr>
          <w:rFonts w:ascii="Arial" w:eastAsia="Times New Roman" w:hAnsi="Arial" w:cs="Arial"/>
          <w:lang w:val="es-ES" w:eastAsia="es-ES"/>
        </w:rPr>
      </w:pPr>
    </w:p>
    <w:p w:rsidR="007F56F0" w:rsidRPr="007F56F0" w:rsidRDefault="007F56F0" w:rsidP="00477B96">
      <w:pPr>
        <w:tabs>
          <w:tab w:val="left" w:pos="1276"/>
        </w:tabs>
        <w:spacing w:after="0" w:line="240" w:lineRule="auto"/>
        <w:ind w:left="2977"/>
        <w:jc w:val="both"/>
        <w:rPr>
          <w:rFonts w:ascii="Arial" w:eastAsia="Times New Roman" w:hAnsi="Arial" w:cs="Arial"/>
          <w:lang w:val="es-ES" w:eastAsia="es-ES"/>
        </w:rPr>
      </w:pPr>
      <w:r w:rsidRPr="007F56F0">
        <w:rPr>
          <w:rFonts w:ascii="Arial" w:eastAsia="Times New Roman" w:hAnsi="Arial" w:cs="Arial"/>
          <w:lang w:val="es-ES" w:eastAsia="es-ES"/>
        </w:rPr>
        <w:t>El poseedor actual puede adicionar al suyo, el plazo posesorio de quien le transfirió el bien, así como de los anteriores poseedores, siempre que se acredite la cadena de transmisión de la posesión.</w:t>
      </w:r>
    </w:p>
    <w:p w:rsidR="007F56F0" w:rsidRPr="007F56F0" w:rsidRDefault="007F56F0" w:rsidP="00477B96">
      <w:pPr>
        <w:tabs>
          <w:tab w:val="left" w:pos="1276"/>
        </w:tabs>
        <w:spacing w:after="0" w:line="240" w:lineRule="auto"/>
        <w:ind w:left="2977"/>
        <w:jc w:val="both"/>
        <w:rPr>
          <w:rFonts w:ascii="Arial" w:eastAsia="Times New Roman" w:hAnsi="Arial" w:cs="Arial"/>
          <w:lang w:val="es-ES" w:eastAsia="es-ES"/>
        </w:rPr>
      </w:pPr>
    </w:p>
    <w:p w:rsidR="007F56F0" w:rsidRPr="007F56F0" w:rsidRDefault="007F56F0" w:rsidP="00477B96">
      <w:pPr>
        <w:tabs>
          <w:tab w:val="left" w:pos="1276"/>
        </w:tabs>
        <w:spacing w:after="0" w:line="240" w:lineRule="auto"/>
        <w:ind w:left="2977"/>
        <w:jc w:val="both"/>
        <w:rPr>
          <w:rFonts w:ascii="Arial" w:eastAsia="Times New Roman" w:hAnsi="Arial" w:cs="Arial"/>
          <w:lang w:val="es-ES" w:eastAsia="es-ES"/>
        </w:rPr>
      </w:pPr>
      <w:r w:rsidRPr="007F56F0">
        <w:rPr>
          <w:rFonts w:ascii="Arial" w:eastAsia="Times New Roman" w:hAnsi="Arial" w:cs="Arial"/>
          <w:lang w:val="es-ES" w:eastAsia="es-ES"/>
        </w:rPr>
        <w:t xml:space="preserve">La antigüedad de la posesión se desprende de la misma ocupación y de los documentos que ofrezca el administrado en calidad de medios de prueba. </w:t>
      </w:r>
    </w:p>
    <w:p w:rsidR="007F56F0" w:rsidRPr="007F56F0" w:rsidRDefault="007F56F0" w:rsidP="00477B96">
      <w:pPr>
        <w:tabs>
          <w:tab w:val="left" w:pos="1276"/>
        </w:tabs>
        <w:spacing w:after="0" w:line="240" w:lineRule="auto"/>
        <w:ind w:left="2127" w:hanging="709"/>
        <w:jc w:val="both"/>
        <w:rPr>
          <w:rFonts w:ascii="Arial" w:eastAsia="Times New Roman" w:hAnsi="Arial" w:cs="Arial"/>
          <w:lang w:val="es-ES" w:eastAsia="es-ES"/>
        </w:rPr>
      </w:pPr>
    </w:p>
    <w:p w:rsidR="007F56F0" w:rsidRPr="007F56F0" w:rsidRDefault="007F56F0" w:rsidP="0092471C">
      <w:pPr>
        <w:numPr>
          <w:ilvl w:val="2"/>
          <w:numId w:val="319"/>
        </w:numPr>
        <w:spacing w:after="0" w:line="240" w:lineRule="auto"/>
        <w:ind w:left="2127" w:hanging="709"/>
        <w:contextualSpacing/>
        <w:jc w:val="both"/>
        <w:rPr>
          <w:rFonts w:ascii="Arial" w:eastAsia="Lucida Sans Unicode" w:hAnsi="Arial" w:cs="Arial"/>
          <w:b/>
          <w:lang w:val="es-ES" w:eastAsia="es-ES"/>
        </w:rPr>
      </w:pPr>
      <w:r w:rsidRPr="007F56F0">
        <w:rPr>
          <w:rFonts w:ascii="Arial" w:eastAsia="Lucida Sans Unicode" w:hAnsi="Arial" w:cs="Arial"/>
          <w:b/>
          <w:lang w:val="es-ES" w:eastAsia="es-ES"/>
        </w:rPr>
        <w:t>Evaluación de la solicitud y plazo de subsanación</w:t>
      </w:r>
    </w:p>
    <w:p w:rsidR="007F56F0" w:rsidRPr="007F56F0" w:rsidRDefault="007F56F0" w:rsidP="00477B96">
      <w:pPr>
        <w:widowControl w:val="0"/>
        <w:shd w:val="clear" w:color="auto" w:fill="FFFFFF"/>
        <w:suppressAutoHyphens/>
        <w:overflowPunct w:val="0"/>
        <w:autoSpaceDE w:val="0"/>
        <w:autoSpaceDN w:val="0"/>
        <w:adjustRightInd w:val="0"/>
        <w:spacing w:after="0" w:line="240" w:lineRule="auto"/>
        <w:ind w:left="2127" w:hanging="3"/>
        <w:jc w:val="both"/>
        <w:rPr>
          <w:rFonts w:ascii="Arial" w:eastAsia="Lucida Sans Unicode" w:hAnsi="Arial" w:cs="Arial"/>
          <w:lang w:val="es-ES" w:eastAsia="es-ES"/>
        </w:rPr>
      </w:pPr>
      <w:r w:rsidRPr="007F56F0">
        <w:rPr>
          <w:rFonts w:ascii="Arial" w:eastAsia="Lucida Sans Unicode" w:hAnsi="Arial" w:cs="Arial"/>
          <w:lang w:val="es-ES" w:eastAsia="es-ES"/>
        </w:rPr>
        <w:t xml:space="preserve">Recibida la solicitud, la unidad orgánica encargada de sustentar el trámite, procede a verificar la documentación presentada y, de considerarlo necesario, puede requerir al administrado para que dentro del término de diez (10) días hábiles, computados a partir del día siguiente de su notificación, subsane las observaciones </w:t>
      </w:r>
      <w:r w:rsidRPr="007F56F0">
        <w:rPr>
          <w:rFonts w:ascii="Arial" w:eastAsia="Lucida Sans Unicode" w:hAnsi="Arial" w:cs="Arial"/>
          <w:lang w:val="es-ES_tradnl" w:eastAsia="es-ES"/>
        </w:rPr>
        <w:t>que haya advertido de su solicitud en el cumplimiento de los requisitos solicitados</w:t>
      </w:r>
      <w:r w:rsidRPr="007F56F0">
        <w:rPr>
          <w:rFonts w:ascii="Arial" w:eastAsia="Lucida Sans Unicode" w:hAnsi="Arial" w:cs="Arial"/>
          <w:lang w:val="es-ES" w:eastAsia="es-ES"/>
        </w:rPr>
        <w:t>. Por razones justificadas, puede prorrogarse el plazo por igual término y por única vez, siempre que el administrado lo solicite antes de su vencimiento.</w:t>
      </w:r>
    </w:p>
    <w:p w:rsidR="007F56F0" w:rsidRPr="007F56F0" w:rsidRDefault="007F56F0" w:rsidP="00477B96">
      <w:pPr>
        <w:widowControl w:val="0"/>
        <w:shd w:val="clear" w:color="auto" w:fill="FFFFFF"/>
        <w:suppressAutoHyphens/>
        <w:overflowPunct w:val="0"/>
        <w:autoSpaceDE w:val="0"/>
        <w:autoSpaceDN w:val="0"/>
        <w:adjustRightInd w:val="0"/>
        <w:spacing w:after="0" w:line="240" w:lineRule="auto"/>
        <w:ind w:left="2127" w:hanging="709"/>
        <w:jc w:val="both"/>
        <w:rPr>
          <w:rFonts w:ascii="Arial" w:eastAsia="Lucida Sans Unicode" w:hAnsi="Arial" w:cs="Arial"/>
          <w:lang w:val="es-ES" w:eastAsia="es-ES"/>
        </w:rPr>
      </w:pPr>
    </w:p>
    <w:p w:rsidR="007F56F0" w:rsidRPr="007F56F0" w:rsidRDefault="007F56F0" w:rsidP="00477B96">
      <w:pPr>
        <w:widowControl w:val="0"/>
        <w:shd w:val="clear" w:color="auto" w:fill="FFFFFF"/>
        <w:suppressAutoHyphens/>
        <w:overflowPunct w:val="0"/>
        <w:autoSpaceDE w:val="0"/>
        <w:autoSpaceDN w:val="0"/>
        <w:adjustRightInd w:val="0"/>
        <w:spacing w:after="0" w:line="240" w:lineRule="auto"/>
        <w:ind w:left="2127" w:hanging="3"/>
        <w:jc w:val="both"/>
        <w:rPr>
          <w:rFonts w:ascii="Arial" w:eastAsia="Lucida Sans Unicode" w:hAnsi="Arial" w:cs="Arial"/>
          <w:color w:val="000000"/>
          <w:lang w:val="es-MX" w:eastAsia="es-ES"/>
        </w:rPr>
      </w:pPr>
      <w:r w:rsidRPr="007F56F0">
        <w:rPr>
          <w:rFonts w:ascii="Arial" w:eastAsia="Lucida Sans Unicode" w:hAnsi="Arial" w:cs="Arial"/>
          <w:color w:val="000000"/>
          <w:lang w:val="es-MX" w:eastAsia="es-ES"/>
        </w:rPr>
        <w:t>En el caso que el administrado no subsane las observaciones efectuadas dentro del plazo otorgado o ampliado, se da por concluido el trámite, notificándose dicha decisión al administrado.</w:t>
      </w:r>
    </w:p>
    <w:p w:rsidR="007F56F0" w:rsidRPr="007F56F0" w:rsidRDefault="007F56F0" w:rsidP="00477B96">
      <w:pPr>
        <w:widowControl w:val="0"/>
        <w:shd w:val="clear" w:color="auto" w:fill="FFFFFF"/>
        <w:suppressAutoHyphens/>
        <w:overflowPunct w:val="0"/>
        <w:autoSpaceDE w:val="0"/>
        <w:autoSpaceDN w:val="0"/>
        <w:adjustRightInd w:val="0"/>
        <w:spacing w:after="0" w:line="240" w:lineRule="auto"/>
        <w:ind w:left="2127" w:hanging="709"/>
        <w:jc w:val="both"/>
        <w:rPr>
          <w:rFonts w:ascii="Arial" w:eastAsia="Lucida Sans Unicode" w:hAnsi="Arial" w:cs="Arial"/>
          <w:color w:val="000000"/>
          <w:lang w:val="es-MX" w:eastAsia="es-ES"/>
        </w:rPr>
      </w:pPr>
    </w:p>
    <w:p w:rsidR="007F56F0" w:rsidRPr="007F56F0" w:rsidRDefault="007F56F0" w:rsidP="0092471C">
      <w:pPr>
        <w:numPr>
          <w:ilvl w:val="2"/>
          <w:numId w:val="319"/>
        </w:numPr>
        <w:tabs>
          <w:tab w:val="left" w:pos="1276"/>
        </w:tabs>
        <w:spacing w:after="0" w:line="240" w:lineRule="auto"/>
        <w:ind w:left="2127" w:hanging="709"/>
        <w:contextualSpacing/>
        <w:jc w:val="both"/>
        <w:rPr>
          <w:rFonts w:ascii="Arial" w:eastAsia="Lucida Sans Unicode" w:hAnsi="Arial" w:cs="Arial"/>
          <w:b/>
          <w:lang w:val="es-ES" w:eastAsia="es-ES"/>
        </w:rPr>
      </w:pPr>
      <w:r w:rsidRPr="007F56F0">
        <w:rPr>
          <w:rFonts w:ascii="Arial" w:eastAsia="Lucida Sans Unicode" w:hAnsi="Arial" w:cs="Arial"/>
          <w:b/>
          <w:lang w:val="es-ES_tradnl" w:eastAsia="es-ES"/>
        </w:rPr>
        <w:t xml:space="preserve">Diagnóstico técnico legal del predio </w:t>
      </w:r>
    </w:p>
    <w:p w:rsidR="007F56F0" w:rsidRPr="007F56F0" w:rsidRDefault="00477B96" w:rsidP="00477B96">
      <w:pPr>
        <w:widowControl w:val="0"/>
        <w:tabs>
          <w:tab w:val="left" w:pos="1276"/>
        </w:tabs>
        <w:suppressAutoHyphens/>
        <w:spacing w:after="0" w:line="240" w:lineRule="auto"/>
        <w:ind w:left="2127" w:hanging="709"/>
        <w:jc w:val="both"/>
        <w:rPr>
          <w:rFonts w:ascii="Arial" w:eastAsia="Lucida Sans Unicode" w:hAnsi="Arial" w:cs="Arial"/>
          <w:lang w:val="es-ES_tradnl" w:eastAsia="es-ES"/>
        </w:rPr>
      </w:pPr>
      <w:r>
        <w:rPr>
          <w:rFonts w:ascii="Arial" w:eastAsia="Lucida Sans Unicode" w:hAnsi="Arial" w:cs="Arial"/>
          <w:lang w:val="es-ES_tradnl" w:eastAsia="es-ES"/>
        </w:rPr>
        <w:tab/>
      </w:r>
      <w:r w:rsidR="007F56F0" w:rsidRPr="007F56F0">
        <w:rPr>
          <w:rFonts w:ascii="Arial" w:eastAsia="Lucida Sans Unicode" w:hAnsi="Arial" w:cs="Arial"/>
          <w:lang w:val="es-ES_tradnl" w:eastAsia="es-ES"/>
        </w:rPr>
        <w:t xml:space="preserve">Con la información proporcionada por el administrado, la unidad orgánica competente, previa inspección técnica, </w:t>
      </w:r>
      <w:r w:rsidR="007F56F0" w:rsidRPr="007F56F0">
        <w:rPr>
          <w:rFonts w:ascii="Arial" w:eastAsia="Lucida Sans Unicode" w:hAnsi="Arial" w:cs="Arial"/>
          <w:lang w:val="es-ES" w:eastAsia="es-ES"/>
        </w:rPr>
        <w:t>de ser necesaria</w:t>
      </w:r>
      <w:r w:rsidR="007F56F0" w:rsidRPr="007F56F0">
        <w:rPr>
          <w:rFonts w:ascii="Arial" w:eastAsia="Lucida Sans Unicode" w:hAnsi="Arial" w:cs="Arial"/>
          <w:lang w:val="es-ES_tradnl" w:eastAsia="es-ES"/>
        </w:rPr>
        <w:t xml:space="preserve">, procede a verificar </w:t>
      </w:r>
      <w:r w:rsidR="007F56F0" w:rsidRPr="007F56F0">
        <w:rPr>
          <w:rFonts w:ascii="Arial" w:eastAsia="Lucida Sans Unicode" w:hAnsi="Arial" w:cs="Arial"/>
          <w:lang w:val="es-ES" w:eastAsia="es-ES"/>
        </w:rPr>
        <w:t xml:space="preserve">que el predio es de dominio privado estatal de libre disponibilidad, debiendo tener en consideración </w:t>
      </w:r>
      <w:r w:rsidR="007F56F0" w:rsidRPr="007F56F0">
        <w:rPr>
          <w:rFonts w:ascii="Arial" w:eastAsia="Lucida Sans Unicode" w:hAnsi="Arial" w:cs="Arial"/>
          <w:lang w:val="es-ES_tradnl" w:eastAsia="es-ES"/>
        </w:rPr>
        <w:t xml:space="preserve">la condición jurídica del predio y su no inclusión dentro de un régimen legal especial para la administración o disposición del mismo. </w:t>
      </w:r>
    </w:p>
    <w:p w:rsidR="007F56F0" w:rsidRPr="007F56F0" w:rsidRDefault="007F56F0" w:rsidP="00477B96">
      <w:pPr>
        <w:tabs>
          <w:tab w:val="left" w:pos="1276"/>
        </w:tabs>
        <w:spacing w:after="0" w:line="240" w:lineRule="auto"/>
        <w:ind w:left="2127" w:right="425" w:hanging="709"/>
        <w:jc w:val="both"/>
        <w:rPr>
          <w:rFonts w:ascii="Arial" w:eastAsia="Times New Roman" w:hAnsi="Arial" w:cs="Arial"/>
          <w:i/>
          <w:color w:val="FF0000"/>
          <w:lang w:val="es-ES" w:eastAsia="es-ES"/>
        </w:rPr>
      </w:pPr>
    </w:p>
    <w:p w:rsidR="007F56F0" w:rsidRPr="007F56F0" w:rsidRDefault="007F56F0" w:rsidP="00477B96">
      <w:pPr>
        <w:widowControl w:val="0"/>
        <w:suppressAutoHyphens/>
        <w:spacing w:after="0" w:line="240" w:lineRule="auto"/>
        <w:ind w:left="2127" w:hanging="3"/>
        <w:jc w:val="both"/>
        <w:rPr>
          <w:rFonts w:ascii="Arial" w:eastAsia="Lucida Sans Unicode" w:hAnsi="Arial" w:cs="Arial"/>
          <w:lang w:val="es-ES" w:eastAsia="es-ES"/>
        </w:rPr>
      </w:pPr>
      <w:r w:rsidRPr="007F56F0">
        <w:rPr>
          <w:rFonts w:ascii="Arial" w:eastAsia="Lucida Sans Unicode" w:hAnsi="Arial" w:cs="Arial"/>
          <w:lang w:val="es-ES" w:eastAsia="es-ES"/>
        </w:rPr>
        <w:t>En el</w:t>
      </w:r>
      <w:r w:rsidRPr="007F56F0">
        <w:rPr>
          <w:rFonts w:ascii="Arial" w:eastAsia="Lucida Sans Unicode" w:hAnsi="Arial" w:cs="Arial"/>
          <w:b/>
          <w:lang w:val="es-ES" w:eastAsia="es-ES"/>
        </w:rPr>
        <w:t xml:space="preserve"> </w:t>
      </w:r>
      <w:r w:rsidRPr="007F56F0">
        <w:rPr>
          <w:rFonts w:ascii="Arial" w:eastAsia="Lucida Sans Unicode" w:hAnsi="Arial" w:cs="Arial"/>
          <w:lang w:val="es-ES" w:eastAsia="es-ES"/>
        </w:rPr>
        <w:t>caso de la</w:t>
      </w:r>
      <w:r w:rsidRPr="007F56F0">
        <w:rPr>
          <w:rFonts w:ascii="Arial" w:eastAsia="Lucida Sans Unicode" w:hAnsi="Arial" w:cs="Arial"/>
          <w:b/>
          <w:lang w:val="es-ES" w:eastAsia="es-ES"/>
        </w:rPr>
        <w:t xml:space="preserve"> </w:t>
      </w:r>
      <w:r w:rsidRPr="007F56F0">
        <w:rPr>
          <w:rFonts w:ascii="Arial" w:eastAsia="Lucida Sans Unicode" w:hAnsi="Arial" w:cs="Arial"/>
          <w:lang w:val="es-ES" w:eastAsia="es-ES"/>
        </w:rPr>
        <w:t xml:space="preserve">causal de posesión, contemplada en el numeral </w:t>
      </w:r>
      <w:r w:rsidRPr="007F56F0">
        <w:rPr>
          <w:rFonts w:ascii="Arial" w:eastAsia="Lucida Sans Unicode" w:hAnsi="Arial" w:cs="Arial"/>
          <w:color w:val="002060"/>
          <w:lang w:val="es-ES" w:eastAsia="es-ES"/>
        </w:rPr>
        <w:t xml:space="preserve">1) </w:t>
      </w:r>
      <w:r w:rsidRPr="007F56F0">
        <w:rPr>
          <w:rFonts w:ascii="Arial" w:eastAsia="Lucida Sans Unicode" w:hAnsi="Arial" w:cs="Arial"/>
          <w:lang w:val="es-ES" w:eastAsia="es-ES"/>
        </w:rPr>
        <w:t>del artículo 94° del Reglamento, la entidad titular del predio necesariamente verifica dicha situación a través de una inspección técnica in situ. Para tal efecto, el predio debe encontrarse ocupado, en su mayor parte, y delimitado en su totalidad. En todos los casos, la información recogida en el predio se consigna en el Informe Técnico Legal correspondiente.</w:t>
      </w:r>
    </w:p>
    <w:p w:rsidR="007F56F0" w:rsidRPr="007F56F0" w:rsidRDefault="007F56F0" w:rsidP="00477B96">
      <w:pPr>
        <w:tabs>
          <w:tab w:val="left" w:pos="1276"/>
        </w:tabs>
        <w:spacing w:after="0" w:line="240" w:lineRule="auto"/>
        <w:ind w:left="2127" w:hanging="709"/>
        <w:jc w:val="both"/>
        <w:rPr>
          <w:rFonts w:ascii="Arial" w:eastAsia="Times New Roman" w:hAnsi="Arial" w:cs="Arial"/>
          <w:lang w:val="es-ES" w:eastAsia="es-ES"/>
        </w:rPr>
      </w:pPr>
    </w:p>
    <w:p w:rsidR="007F56F0" w:rsidRPr="007F56F0" w:rsidRDefault="00477B96" w:rsidP="00477B96">
      <w:pPr>
        <w:widowControl w:val="0"/>
        <w:tabs>
          <w:tab w:val="left" w:pos="1276"/>
        </w:tabs>
        <w:suppressAutoHyphens/>
        <w:spacing w:after="0" w:line="240" w:lineRule="auto"/>
        <w:ind w:left="2127" w:hanging="709"/>
        <w:jc w:val="both"/>
        <w:rPr>
          <w:rFonts w:ascii="Arial" w:eastAsia="Lucida Sans Unicode" w:hAnsi="Arial" w:cs="Arial"/>
          <w:color w:val="000000"/>
          <w:lang w:val="es-MX" w:eastAsia="es-ES"/>
        </w:rPr>
      </w:pPr>
      <w:r>
        <w:rPr>
          <w:rFonts w:ascii="Arial" w:eastAsia="Lucida Sans Unicode" w:hAnsi="Arial" w:cs="Arial"/>
          <w:lang w:val="es-ES" w:eastAsia="es-ES"/>
        </w:rPr>
        <w:tab/>
      </w:r>
      <w:r w:rsidR="007F56F0" w:rsidRPr="007F56F0">
        <w:rPr>
          <w:rFonts w:ascii="Arial" w:eastAsia="Lucida Sans Unicode" w:hAnsi="Arial" w:cs="Arial"/>
          <w:lang w:val="es-ES" w:eastAsia="es-ES"/>
        </w:rPr>
        <w:t xml:space="preserve">La discrepancia entre el área indicada en los documentos con el área real del predio en arrendamiento no invalida los efectos probatorios de los documentos presentados. </w:t>
      </w:r>
    </w:p>
    <w:p w:rsidR="007F56F0" w:rsidRPr="007F56F0" w:rsidRDefault="007F56F0" w:rsidP="00477B96">
      <w:pPr>
        <w:widowControl w:val="0"/>
        <w:suppressAutoHyphens/>
        <w:spacing w:after="0" w:line="240" w:lineRule="auto"/>
        <w:ind w:left="2127" w:hanging="709"/>
        <w:jc w:val="both"/>
        <w:rPr>
          <w:rFonts w:ascii="Arial" w:eastAsia="Lucida Sans Unicode" w:hAnsi="Arial" w:cs="Arial"/>
          <w:lang w:val="es-ES" w:eastAsia="es-ES"/>
        </w:rPr>
      </w:pPr>
    </w:p>
    <w:p w:rsidR="007F56F0" w:rsidRPr="007F56F0" w:rsidRDefault="00477B96" w:rsidP="00477B96">
      <w:pPr>
        <w:widowControl w:val="0"/>
        <w:tabs>
          <w:tab w:val="left" w:pos="1276"/>
        </w:tabs>
        <w:suppressAutoHyphens/>
        <w:spacing w:after="0" w:line="240" w:lineRule="auto"/>
        <w:ind w:left="2127" w:hanging="709"/>
        <w:jc w:val="both"/>
        <w:rPr>
          <w:rFonts w:ascii="Arial" w:eastAsia="Calibri" w:hAnsi="Arial" w:cs="Arial"/>
          <w:lang w:val="es-ES" w:eastAsia="es-ES"/>
        </w:rPr>
      </w:pPr>
      <w:r>
        <w:rPr>
          <w:rFonts w:ascii="Arial" w:eastAsia="Calibri" w:hAnsi="Arial" w:cs="Arial"/>
          <w:lang w:val="es-ES" w:eastAsia="es-ES"/>
        </w:rPr>
        <w:tab/>
      </w:r>
      <w:r w:rsidR="007F56F0" w:rsidRPr="007F56F0">
        <w:rPr>
          <w:rFonts w:ascii="Arial" w:eastAsia="Calibri" w:hAnsi="Arial" w:cs="Arial"/>
          <w:lang w:val="es-ES" w:eastAsia="es-ES"/>
        </w:rPr>
        <w:t>Salvo que exista mandato judicial expreso que suspenda o prohíba el otorgamiento de algún acto de administración sobre el predio, la existencia de cargas, gravámenes y procesos judiciales, administrativos o registrales que afecten a los predios estatales, así como la</w:t>
      </w:r>
      <w:r w:rsidR="007F56F0" w:rsidRPr="007F56F0">
        <w:rPr>
          <w:rFonts w:ascii="Arial" w:eastAsia="Calibri" w:hAnsi="Arial" w:cs="Arial"/>
          <w:i/>
          <w:lang w:val="es-ES" w:eastAsia="es-ES"/>
        </w:rPr>
        <w:t xml:space="preserve"> </w:t>
      </w:r>
      <w:r w:rsidR="007F56F0" w:rsidRPr="007F56F0">
        <w:rPr>
          <w:rFonts w:ascii="Arial" w:eastAsia="Calibri" w:hAnsi="Arial" w:cs="Arial"/>
          <w:lang w:val="es-ES" w:eastAsia="es-ES"/>
        </w:rPr>
        <w:t>posesión que pueda existir sobre éstos, no limita otorgar el arrendamiento, siempre que estas circunstancias sean puestas en conocimiento del solicitante, lo cual constará en la resolución que aprueba dicho acto.</w:t>
      </w:r>
    </w:p>
    <w:p w:rsidR="007F56F0" w:rsidRPr="007F56F0" w:rsidRDefault="007F56F0" w:rsidP="00477B96">
      <w:pPr>
        <w:widowControl w:val="0"/>
        <w:tabs>
          <w:tab w:val="left" w:pos="1276"/>
        </w:tabs>
        <w:suppressAutoHyphens/>
        <w:spacing w:after="0" w:line="240" w:lineRule="auto"/>
        <w:ind w:left="2127" w:hanging="709"/>
        <w:jc w:val="both"/>
        <w:rPr>
          <w:rFonts w:ascii="Arial" w:eastAsia="Calibri" w:hAnsi="Arial" w:cs="Arial"/>
          <w:lang w:val="es-ES" w:eastAsia="es-ES"/>
        </w:rPr>
      </w:pPr>
    </w:p>
    <w:p w:rsidR="007F56F0" w:rsidRPr="007F56F0" w:rsidRDefault="00477B96" w:rsidP="00477B96">
      <w:pPr>
        <w:widowControl w:val="0"/>
        <w:tabs>
          <w:tab w:val="left" w:pos="1276"/>
        </w:tabs>
        <w:suppressAutoHyphens/>
        <w:spacing w:after="0" w:line="240" w:lineRule="auto"/>
        <w:ind w:left="2127" w:hanging="709"/>
        <w:jc w:val="both"/>
        <w:rPr>
          <w:rFonts w:ascii="Arial" w:eastAsia="Lucida Sans Unicode" w:hAnsi="Arial" w:cs="Arial"/>
          <w:lang w:val="es-ES_tradnl" w:eastAsia="es-ES"/>
        </w:rPr>
      </w:pPr>
      <w:r>
        <w:rPr>
          <w:rFonts w:ascii="Arial" w:eastAsia="Lucida Sans Unicode" w:hAnsi="Arial" w:cs="Arial"/>
          <w:lang w:val="es-ES_tradnl" w:eastAsia="es-ES"/>
        </w:rPr>
        <w:tab/>
      </w:r>
      <w:r w:rsidR="007F56F0" w:rsidRPr="007F56F0">
        <w:rPr>
          <w:rFonts w:ascii="Arial" w:eastAsia="Lucida Sans Unicode" w:hAnsi="Arial" w:cs="Arial"/>
          <w:lang w:val="es-ES_tradnl" w:eastAsia="es-ES"/>
        </w:rPr>
        <w:t xml:space="preserve">Si se advierte que el predio es de propiedad privada, dominio público, no es de libre disponibilidad o </w:t>
      </w:r>
      <w:r w:rsidR="007F56F0" w:rsidRPr="007F56F0">
        <w:rPr>
          <w:rFonts w:ascii="Arial" w:eastAsia="Lucida Sans Unicode" w:hAnsi="Arial" w:cs="Arial"/>
          <w:color w:val="000000"/>
          <w:lang w:val="es-ES_tradnl" w:eastAsia="es-ES"/>
        </w:rPr>
        <w:t xml:space="preserve">presenta cualquier </w:t>
      </w:r>
      <w:r w:rsidR="007F56F0" w:rsidRPr="007F56F0">
        <w:rPr>
          <w:rFonts w:ascii="Arial" w:eastAsia="Calibri" w:hAnsi="Arial" w:cs="Arial"/>
          <w:lang w:val="es-ES" w:eastAsia="es-ES"/>
        </w:rPr>
        <w:t>restricción o situación incompatible</w:t>
      </w:r>
      <w:r w:rsidR="007F56F0" w:rsidRPr="007F56F0">
        <w:rPr>
          <w:rFonts w:ascii="Arial" w:eastAsia="Lucida Sans Unicode" w:hAnsi="Arial" w:cs="Arial"/>
          <w:color w:val="FF0000"/>
          <w:lang w:val="es-ES_tradnl" w:eastAsia="es-ES"/>
        </w:rPr>
        <w:t xml:space="preserve"> </w:t>
      </w:r>
      <w:r w:rsidR="007F56F0" w:rsidRPr="007F56F0">
        <w:rPr>
          <w:rFonts w:ascii="Arial" w:eastAsia="Lucida Sans Unicode" w:hAnsi="Arial" w:cs="Arial"/>
          <w:color w:val="000000"/>
          <w:lang w:val="es-ES_tradnl" w:eastAsia="es-ES"/>
        </w:rPr>
        <w:t>con el arrendamiento solicitado</w:t>
      </w:r>
      <w:r w:rsidR="007F56F0" w:rsidRPr="007F56F0">
        <w:rPr>
          <w:rFonts w:ascii="Arial" w:eastAsia="Lucida Sans Unicode" w:hAnsi="Arial" w:cs="Arial"/>
          <w:lang w:val="es-ES_tradnl" w:eastAsia="es-ES"/>
        </w:rPr>
        <w:t xml:space="preserve"> se da por concluido el trámite, notificándose dicha decisión al administrado. </w:t>
      </w:r>
    </w:p>
    <w:p w:rsidR="007F56F0" w:rsidRPr="007F56F0" w:rsidRDefault="007F56F0" w:rsidP="00477B96">
      <w:pPr>
        <w:widowControl w:val="0"/>
        <w:tabs>
          <w:tab w:val="left" w:pos="1276"/>
        </w:tabs>
        <w:suppressAutoHyphens/>
        <w:spacing w:after="0" w:line="240" w:lineRule="auto"/>
        <w:ind w:left="2127" w:hanging="709"/>
        <w:jc w:val="both"/>
        <w:rPr>
          <w:rFonts w:ascii="Arial" w:eastAsia="Lucida Sans Unicode" w:hAnsi="Arial" w:cs="Arial"/>
          <w:lang w:val="es-ES_tradnl" w:eastAsia="es-ES"/>
        </w:rPr>
      </w:pPr>
    </w:p>
    <w:p w:rsidR="007F56F0" w:rsidRPr="007F56F0" w:rsidRDefault="007F56F0" w:rsidP="00477B96">
      <w:pPr>
        <w:widowControl w:val="0"/>
        <w:suppressAutoHyphens/>
        <w:spacing w:after="0" w:line="240" w:lineRule="auto"/>
        <w:ind w:left="2127" w:hanging="3"/>
        <w:jc w:val="both"/>
        <w:rPr>
          <w:rFonts w:ascii="Arial" w:eastAsia="Lucida Sans Unicode" w:hAnsi="Arial" w:cs="Arial"/>
          <w:color w:val="FF0000"/>
          <w:u w:val="single"/>
          <w:lang w:val="es-ES" w:eastAsia="es-ES"/>
        </w:rPr>
      </w:pPr>
      <w:r w:rsidRPr="007F56F0">
        <w:rPr>
          <w:rFonts w:ascii="Arial" w:eastAsia="Lucida Sans Unicode" w:hAnsi="Arial" w:cs="Arial"/>
          <w:lang w:val="es-ES" w:eastAsia="es-ES"/>
        </w:rPr>
        <w:t xml:space="preserve">Si de la evaluación se determina que el trámite no califica bajo las causales establecidas en el artículo 94° del Reglamento, la unidad orgánica que sustenta el trámite declara la improcedencia de la solicitud y da por concluido el procedimiento, notificando dicha decisión al solicitante. </w:t>
      </w:r>
    </w:p>
    <w:p w:rsidR="007F56F0" w:rsidRPr="007F56F0" w:rsidRDefault="007F56F0" w:rsidP="00477B96">
      <w:pPr>
        <w:widowControl w:val="0"/>
        <w:tabs>
          <w:tab w:val="left" w:pos="1276"/>
        </w:tabs>
        <w:suppressAutoHyphens/>
        <w:spacing w:after="0" w:line="240" w:lineRule="auto"/>
        <w:ind w:left="2127" w:hanging="709"/>
        <w:jc w:val="both"/>
        <w:rPr>
          <w:rFonts w:ascii="Arial" w:eastAsia="Lucida Sans Unicode" w:hAnsi="Arial" w:cs="Arial"/>
          <w:b/>
          <w:lang w:val="es-ES" w:eastAsia="es-ES"/>
        </w:rPr>
      </w:pPr>
    </w:p>
    <w:p w:rsidR="007F56F0" w:rsidRPr="007F56F0" w:rsidRDefault="007F56F0" w:rsidP="00477B96">
      <w:pPr>
        <w:widowControl w:val="0"/>
        <w:tabs>
          <w:tab w:val="left" w:pos="1276"/>
        </w:tabs>
        <w:suppressAutoHyphens/>
        <w:spacing w:after="0" w:line="240" w:lineRule="auto"/>
        <w:ind w:left="2127" w:hanging="709"/>
        <w:jc w:val="both"/>
        <w:rPr>
          <w:rFonts w:ascii="Arial" w:eastAsia="Lucida Sans Unicode" w:hAnsi="Arial" w:cs="Arial"/>
          <w:b/>
          <w:lang w:val="es-ES" w:eastAsia="es-ES"/>
        </w:rPr>
      </w:pPr>
    </w:p>
    <w:p w:rsidR="007F56F0" w:rsidRPr="007F56F0" w:rsidRDefault="007F56F0" w:rsidP="0092471C">
      <w:pPr>
        <w:numPr>
          <w:ilvl w:val="2"/>
          <w:numId w:val="319"/>
        </w:numPr>
        <w:tabs>
          <w:tab w:val="left" w:pos="1276"/>
        </w:tabs>
        <w:spacing w:after="0" w:line="240" w:lineRule="auto"/>
        <w:ind w:left="2127" w:hanging="709"/>
        <w:contextualSpacing/>
        <w:jc w:val="both"/>
        <w:rPr>
          <w:rFonts w:ascii="Arial" w:eastAsia="Lucida Sans Unicode" w:hAnsi="Arial" w:cs="Arial"/>
          <w:b/>
          <w:lang w:val="es-ES" w:eastAsia="es-ES"/>
        </w:rPr>
      </w:pPr>
      <w:r w:rsidRPr="007F56F0">
        <w:rPr>
          <w:rFonts w:ascii="Arial" w:eastAsia="Lucida Sans Unicode" w:hAnsi="Arial" w:cs="Arial"/>
          <w:b/>
          <w:lang w:val="es-ES" w:eastAsia="es-ES"/>
        </w:rPr>
        <w:t>Determinación y comunicación de la renta</w:t>
      </w:r>
    </w:p>
    <w:p w:rsidR="007F56F0" w:rsidRPr="007F56F0" w:rsidRDefault="007F56F0" w:rsidP="00477B96">
      <w:pPr>
        <w:spacing w:after="0" w:line="240" w:lineRule="auto"/>
        <w:ind w:left="2127" w:hanging="3"/>
        <w:contextualSpacing/>
        <w:jc w:val="both"/>
        <w:rPr>
          <w:rFonts w:ascii="Arial" w:eastAsia="Times New Roman" w:hAnsi="Arial" w:cs="Arial"/>
          <w:lang w:val="es-ES" w:eastAsia="es-ES"/>
        </w:rPr>
      </w:pPr>
      <w:r w:rsidRPr="007F56F0">
        <w:rPr>
          <w:rFonts w:ascii="Arial" w:eastAsia="Times New Roman" w:hAnsi="Arial" w:cs="Arial"/>
          <w:color w:val="000000"/>
          <w:lang w:val="es-MX" w:eastAsia="es-ES"/>
        </w:rPr>
        <w:t>Admitida a trámite la solicitud de arrendamiento directo, l</w:t>
      </w:r>
      <w:r w:rsidRPr="007F56F0">
        <w:rPr>
          <w:rFonts w:ascii="Arial" w:eastAsia="Times New Roman" w:hAnsi="Arial" w:cs="Arial"/>
          <w:lang w:val="es-ES" w:eastAsia="es-ES"/>
        </w:rPr>
        <w:t>a unidad orgánica a cargo del procedimiento efectúa la valorización comercial  para determinar la renta del arrendamiento, o encarga dicha valorización, de acuerdo a lo establecido en las Disposiciones Generales de la presente Directiva.</w:t>
      </w:r>
    </w:p>
    <w:p w:rsidR="007F56F0" w:rsidRPr="007F56F0" w:rsidRDefault="007F56F0" w:rsidP="00477B96">
      <w:pPr>
        <w:spacing w:after="0" w:line="240" w:lineRule="auto"/>
        <w:ind w:left="2127" w:hanging="709"/>
        <w:contextualSpacing/>
        <w:jc w:val="both"/>
        <w:rPr>
          <w:rFonts w:ascii="Arial" w:eastAsia="Times New Roman" w:hAnsi="Arial" w:cs="Arial"/>
          <w:lang w:val="es-ES" w:eastAsia="es-ES"/>
        </w:rPr>
      </w:pPr>
    </w:p>
    <w:p w:rsidR="007F56F0" w:rsidRPr="007F56F0" w:rsidRDefault="007F56F0" w:rsidP="00477B96">
      <w:pPr>
        <w:spacing w:after="0" w:line="240" w:lineRule="auto"/>
        <w:ind w:left="2127" w:hanging="3"/>
        <w:contextualSpacing/>
        <w:jc w:val="both"/>
        <w:rPr>
          <w:rFonts w:ascii="Arial" w:eastAsia="Calibri" w:hAnsi="Arial" w:cs="Arial"/>
          <w:lang w:val="es-ES" w:eastAsia="es-ES"/>
        </w:rPr>
      </w:pPr>
      <w:r w:rsidRPr="007F56F0">
        <w:rPr>
          <w:rFonts w:ascii="Arial" w:eastAsia="Times New Roman" w:hAnsi="Arial" w:cs="Arial"/>
          <w:lang w:val="es-ES" w:eastAsia="es-ES"/>
        </w:rPr>
        <w:t xml:space="preserve">Si la solicitud de arrendamiento se sustenta en el numeral 2) del artículo 94 del Reglamento y se determina que la renta mensual es igual o mayor al 50% de la UIT, la unidad orgánica que sustenta el trámite </w:t>
      </w:r>
      <w:r w:rsidRPr="007F56F0">
        <w:rPr>
          <w:rFonts w:ascii="Arial" w:eastAsia="Calibri" w:hAnsi="Arial" w:cs="Arial"/>
          <w:lang w:val="es-ES" w:eastAsia="es-ES"/>
        </w:rPr>
        <w:t>declara la improcedencia de la solicitud, notificando al administrado. Dicho administrado puede optar por solicitar el arrendamiento por convocatoria pública.</w:t>
      </w:r>
    </w:p>
    <w:p w:rsidR="007F56F0" w:rsidRPr="007F56F0" w:rsidRDefault="007F56F0" w:rsidP="00477B96">
      <w:pPr>
        <w:spacing w:after="0" w:line="240" w:lineRule="auto"/>
        <w:ind w:left="2127" w:hanging="709"/>
        <w:contextualSpacing/>
        <w:jc w:val="both"/>
        <w:rPr>
          <w:rFonts w:ascii="Arial" w:eastAsia="Calibri" w:hAnsi="Arial" w:cs="Arial"/>
          <w:lang w:val="es-ES" w:eastAsia="es-ES"/>
        </w:rPr>
      </w:pPr>
    </w:p>
    <w:p w:rsidR="007F56F0" w:rsidRPr="007F56F0" w:rsidRDefault="00477B96" w:rsidP="00477B96">
      <w:pPr>
        <w:widowControl w:val="0"/>
        <w:shd w:val="clear" w:color="auto" w:fill="FFFFFF"/>
        <w:tabs>
          <w:tab w:val="left" w:pos="459"/>
        </w:tabs>
        <w:suppressAutoHyphens/>
        <w:overflowPunct w:val="0"/>
        <w:autoSpaceDE w:val="0"/>
        <w:autoSpaceDN w:val="0"/>
        <w:adjustRightInd w:val="0"/>
        <w:spacing w:after="0" w:line="240" w:lineRule="auto"/>
        <w:ind w:left="2127" w:hanging="709"/>
        <w:jc w:val="both"/>
        <w:rPr>
          <w:rFonts w:ascii="Arial" w:eastAsia="Lucida Sans Unicode" w:hAnsi="Arial" w:cs="Arial"/>
          <w:color w:val="000000"/>
          <w:lang w:val="es-MX" w:eastAsia="es-ES"/>
        </w:rPr>
      </w:pPr>
      <w:r>
        <w:rPr>
          <w:rFonts w:ascii="Arial" w:eastAsia="Lucida Sans Unicode" w:hAnsi="Arial" w:cs="Arial"/>
          <w:color w:val="000000"/>
          <w:lang w:val="es-MX" w:eastAsia="es-ES"/>
        </w:rPr>
        <w:tab/>
      </w:r>
      <w:r w:rsidR="007F56F0" w:rsidRPr="007F56F0">
        <w:rPr>
          <w:rFonts w:ascii="Arial" w:eastAsia="Lucida Sans Unicode" w:hAnsi="Arial" w:cs="Arial"/>
          <w:color w:val="000000"/>
          <w:lang w:val="es-MX" w:eastAsia="es-ES"/>
        </w:rPr>
        <w:t xml:space="preserve">De ajustarse el monto de la renta a la causal antes citada o de tratarse de la causal de posesión, </w:t>
      </w:r>
      <w:r w:rsidR="007F56F0" w:rsidRPr="007F56F0">
        <w:rPr>
          <w:rFonts w:ascii="Arial" w:eastAsia="Lucida Sans Unicode" w:hAnsi="Arial" w:cs="Arial"/>
          <w:lang w:val="es-ES_tradnl" w:eastAsia="es-ES"/>
        </w:rPr>
        <w:t>la unidad orgánica que sustenta el procedimiento,</w:t>
      </w:r>
      <w:r w:rsidR="007F56F0" w:rsidRPr="007F56F0">
        <w:rPr>
          <w:rFonts w:ascii="Arial" w:eastAsia="Calibri" w:hAnsi="Arial" w:cs="Arial"/>
          <w:lang w:val="es-ES_tradnl" w:eastAsia="es-ES"/>
        </w:rPr>
        <w:t xml:space="preserve"> dentro del plazo de tres </w:t>
      </w:r>
      <w:r w:rsidR="007F56F0" w:rsidRPr="007F56F0">
        <w:rPr>
          <w:rFonts w:ascii="Arial" w:eastAsia="Lucida Sans Unicode" w:hAnsi="Arial" w:cs="Arial"/>
          <w:lang w:val="es-ES" w:eastAsia="es-ES"/>
        </w:rPr>
        <w:t xml:space="preserve">(03) días hábiles, </w:t>
      </w:r>
      <w:r w:rsidR="007F56F0" w:rsidRPr="007F56F0">
        <w:rPr>
          <w:rFonts w:ascii="Arial" w:eastAsia="Lucida Sans Unicode" w:hAnsi="Arial" w:cs="Arial"/>
          <w:color w:val="000000"/>
          <w:lang w:val="es-MX" w:eastAsia="es-ES"/>
        </w:rPr>
        <w:t>notifica al administrado</w:t>
      </w:r>
      <w:r w:rsidR="007F56F0" w:rsidRPr="007F56F0">
        <w:rPr>
          <w:rFonts w:ascii="Arial" w:eastAsia="Lucida Sans Unicode" w:hAnsi="Arial" w:cs="Arial"/>
          <w:lang w:val="es-ES" w:eastAsia="es-ES"/>
        </w:rPr>
        <w:t xml:space="preserve"> el valor de la renta</w:t>
      </w:r>
      <w:r w:rsidR="007F56F0" w:rsidRPr="007F56F0">
        <w:rPr>
          <w:rFonts w:ascii="Arial" w:eastAsia="Lucida Sans Unicode" w:hAnsi="Arial" w:cs="Arial"/>
          <w:color w:val="000000"/>
          <w:lang w:val="es-MX" w:eastAsia="es-ES"/>
        </w:rPr>
        <w:t xml:space="preserve">, adjuntando copia de la valorización, a fin que manifieste su aceptación, en el plazo de tres (03) días hábiles, contados desde el día siguiente de recibida la comunicación. </w:t>
      </w:r>
    </w:p>
    <w:p w:rsidR="007F56F0" w:rsidRPr="007F56F0" w:rsidRDefault="007F56F0" w:rsidP="00477B96">
      <w:pPr>
        <w:widowControl w:val="0"/>
        <w:shd w:val="clear" w:color="auto" w:fill="FFFFFF"/>
        <w:tabs>
          <w:tab w:val="left" w:pos="459"/>
        </w:tabs>
        <w:suppressAutoHyphens/>
        <w:overflowPunct w:val="0"/>
        <w:autoSpaceDE w:val="0"/>
        <w:autoSpaceDN w:val="0"/>
        <w:adjustRightInd w:val="0"/>
        <w:spacing w:after="0" w:line="240" w:lineRule="auto"/>
        <w:ind w:left="2127" w:hanging="709"/>
        <w:jc w:val="both"/>
        <w:rPr>
          <w:rFonts w:ascii="Arial" w:eastAsia="Lucida Sans Unicode" w:hAnsi="Arial" w:cs="Arial"/>
          <w:color w:val="000000"/>
          <w:lang w:val="es-MX" w:eastAsia="es-ES"/>
        </w:rPr>
      </w:pPr>
    </w:p>
    <w:p w:rsidR="007F56F0" w:rsidRPr="007F56F0" w:rsidRDefault="00477B96" w:rsidP="00477B96">
      <w:pPr>
        <w:widowControl w:val="0"/>
        <w:shd w:val="clear" w:color="auto" w:fill="FFFFFF"/>
        <w:tabs>
          <w:tab w:val="left" w:pos="459"/>
        </w:tabs>
        <w:suppressAutoHyphens/>
        <w:overflowPunct w:val="0"/>
        <w:autoSpaceDE w:val="0"/>
        <w:autoSpaceDN w:val="0"/>
        <w:adjustRightInd w:val="0"/>
        <w:spacing w:after="0" w:line="240" w:lineRule="auto"/>
        <w:ind w:left="2127" w:hanging="709"/>
        <w:jc w:val="both"/>
        <w:rPr>
          <w:rFonts w:ascii="Arial" w:eastAsia="Lucida Sans Unicode" w:hAnsi="Arial" w:cs="Arial"/>
          <w:color w:val="000000"/>
          <w:lang w:val="es-MX" w:eastAsia="es-ES"/>
        </w:rPr>
      </w:pPr>
      <w:r>
        <w:rPr>
          <w:rFonts w:ascii="Arial" w:eastAsia="Times New Roman" w:hAnsi="Arial" w:cs="Arial"/>
          <w:lang w:val="es-ES" w:eastAsia="es-ES"/>
        </w:rPr>
        <w:tab/>
      </w:r>
      <w:r w:rsidR="007F56F0" w:rsidRPr="007F56F0">
        <w:rPr>
          <w:rFonts w:ascii="Arial" w:eastAsia="Times New Roman" w:hAnsi="Arial" w:cs="Arial"/>
          <w:lang w:val="es-ES" w:eastAsia="es-ES"/>
        </w:rPr>
        <w:t>El administrado únicamente puede requerir la aclaración o la corrección de errores materiales.</w:t>
      </w:r>
    </w:p>
    <w:p w:rsidR="007F56F0" w:rsidRPr="007F56F0" w:rsidRDefault="007F56F0" w:rsidP="00477B96">
      <w:pPr>
        <w:spacing w:after="0" w:line="240" w:lineRule="auto"/>
        <w:ind w:left="2127" w:hanging="709"/>
        <w:jc w:val="both"/>
        <w:rPr>
          <w:rFonts w:ascii="Arial" w:eastAsia="Times New Roman" w:hAnsi="Arial" w:cs="Arial"/>
          <w:lang w:val="es-MX" w:eastAsia="es-ES"/>
        </w:rPr>
      </w:pPr>
    </w:p>
    <w:p w:rsidR="007F56F0" w:rsidRPr="007F56F0" w:rsidRDefault="007F56F0" w:rsidP="00477B96">
      <w:pPr>
        <w:spacing w:after="0" w:line="240" w:lineRule="auto"/>
        <w:ind w:left="2127" w:hanging="3"/>
        <w:jc w:val="both"/>
        <w:rPr>
          <w:rFonts w:ascii="Arial" w:eastAsia="Times New Roman" w:hAnsi="Arial" w:cs="Arial"/>
          <w:lang w:val="es-ES" w:eastAsia="es-ES"/>
        </w:rPr>
      </w:pPr>
      <w:r w:rsidRPr="007F56F0">
        <w:rPr>
          <w:rFonts w:ascii="Arial" w:eastAsia="Times New Roman" w:hAnsi="Arial" w:cs="Arial"/>
          <w:lang w:val="es-ES" w:eastAsia="es-ES"/>
        </w:rPr>
        <w:t>De requerirse alguna aclaración o corrección de la valorización, ésta se pondrá en conocimiento del responsable de la valorización, a efectos que se ratifique o la modifique, en un plazo no mayor de diez (10) días hábiles.</w:t>
      </w:r>
    </w:p>
    <w:p w:rsidR="007F56F0" w:rsidRPr="007F56F0" w:rsidRDefault="007F56F0" w:rsidP="00477B96">
      <w:pPr>
        <w:widowControl w:val="0"/>
        <w:shd w:val="clear" w:color="auto" w:fill="FFFFFF"/>
        <w:tabs>
          <w:tab w:val="left" w:pos="459"/>
        </w:tabs>
        <w:suppressAutoHyphens/>
        <w:overflowPunct w:val="0"/>
        <w:autoSpaceDE w:val="0"/>
        <w:autoSpaceDN w:val="0"/>
        <w:adjustRightInd w:val="0"/>
        <w:spacing w:after="0" w:line="240" w:lineRule="auto"/>
        <w:ind w:left="2127" w:hanging="709"/>
        <w:jc w:val="both"/>
        <w:rPr>
          <w:rFonts w:ascii="Arial" w:eastAsia="Times New Roman" w:hAnsi="Arial" w:cs="Arial"/>
          <w:lang w:val="es-ES" w:eastAsia="es-ES"/>
        </w:rPr>
      </w:pPr>
    </w:p>
    <w:p w:rsidR="007F56F0" w:rsidRPr="007F56F0" w:rsidRDefault="007F56F0" w:rsidP="00477B96">
      <w:pPr>
        <w:spacing w:after="0" w:line="240" w:lineRule="auto"/>
        <w:ind w:left="2127" w:hanging="3"/>
        <w:jc w:val="both"/>
        <w:rPr>
          <w:rFonts w:ascii="Arial" w:eastAsia="Times New Roman" w:hAnsi="Arial" w:cs="Arial"/>
          <w:lang w:val="es-ES" w:eastAsia="es-ES"/>
        </w:rPr>
      </w:pPr>
      <w:r w:rsidRPr="007F56F0">
        <w:rPr>
          <w:rFonts w:ascii="Arial" w:eastAsia="Times New Roman" w:hAnsi="Arial" w:cs="Arial"/>
          <w:lang w:val="es-ES" w:eastAsia="es-ES"/>
        </w:rPr>
        <w:t>Con la aceptación del valor de la renta por parte del administrado, los profesionales responsables del procedimiento elaboran el informe técnico legal y el proyecto de resolución que aprueba el arrendamiento.</w:t>
      </w:r>
    </w:p>
    <w:p w:rsidR="007F56F0" w:rsidRPr="007F56F0" w:rsidRDefault="007F56F0" w:rsidP="00477B96">
      <w:pPr>
        <w:widowControl w:val="0"/>
        <w:shd w:val="clear" w:color="auto" w:fill="FFFFFF"/>
        <w:suppressAutoHyphens/>
        <w:overflowPunct w:val="0"/>
        <w:autoSpaceDE w:val="0"/>
        <w:autoSpaceDN w:val="0"/>
        <w:adjustRightInd w:val="0"/>
        <w:spacing w:after="0" w:line="240" w:lineRule="auto"/>
        <w:ind w:left="2127" w:hanging="709"/>
        <w:jc w:val="both"/>
        <w:rPr>
          <w:rFonts w:ascii="Arial" w:eastAsia="Lucida Sans Unicode" w:hAnsi="Arial" w:cs="Arial"/>
          <w:color w:val="000000"/>
          <w:lang w:val="es-ES" w:eastAsia="es-ES"/>
        </w:rPr>
      </w:pPr>
    </w:p>
    <w:p w:rsidR="007F56F0" w:rsidRPr="007F56F0" w:rsidRDefault="007F56F0" w:rsidP="0092471C">
      <w:pPr>
        <w:numPr>
          <w:ilvl w:val="2"/>
          <w:numId w:val="319"/>
        </w:numPr>
        <w:spacing w:after="0" w:line="240" w:lineRule="auto"/>
        <w:ind w:left="2127" w:hanging="709"/>
        <w:contextualSpacing/>
        <w:jc w:val="both"/>
        <w:rPr>
          <w:rFonts w:ascii="Arial" w:eastAsia="Lucida Sans Unicode" w:hAnsi="Arial" w:cs="Arial"/>
          <w:b/>
          <w:lang w:val="es-MX" w:eastAsia="es-ES"/>
        </w:rPr>
      </w:pPr>
      <w:r w:rsidRPr="007F56F0">
        <w:rPr>
          <w:rFonts w:ascii="Arial" w:eastAsia="Lucida Sans Unicode" w:hAnsi="Arial" w:cs="Arial"/>
          <w:b/>
          <w:lang w:val="es-ES" w:eastAsia="es-ES"/>
        </w:rPr>
        <w:t>De la entrega provisional</w:t>
      </w:r>
    </w:p>
    <w:p w:rsidR="007F56F0" w:rsidRPr="007F56F0" w:rsidRDefault="007F56F0" w:rsidP="00477B96">
      <w:pPr>
        <w:widowControl w:val="0"/>
        <w:suppressAutoHyphens/>
        <w:spacing w:after="0" w:line="240" w:lineRule="auto"/>
        <w:ind w:left="2127" w:hanging="3"/>
        <w:jc w:val="both"/>
        <w:rPr>
          <w:rFonts w:ascii="Arial" w:eastAsia="Lucida Sans Unicode" w:hAnsi="Arial" w:cs="Arial"/>
          <w:lang w:val="es-MX" w:eastAsia="es-ES"/>
        </w:rPr>
      </w:pPr>
      <w:r w:rsidRPr="007F56F0">
        <w:rPr>
          <w:rFonts w:ascii="Arial" w:eastAsia="Lucida Sans Unicode" w:hAnsi="Arial" w:cs="Arial"/>
          <w:lang w:val="es-MX" w:eastAsia="es-ES"/>
        </w:rPr>
        <w:t xml:space="preserve">Procede la entrega provisional del predio, de conformidad con lo establecido en el artículo 49-A del Reglamento, sólo en el caso de arrendamiento directo por la causal del monto de la renta que no supere el 50% de la UIT y luego que se haya determinado dicha renta. </w:t>
      </w:r>
    </w:p>
    <w:p w:rsidR="007F56F0" w:rsidRPr="007F56F0" w:rsidRDefault="007F56F0" w:rsidP="00477B96">
      <w:pPr>
        <w:widowControl w:val="0"/>
        <w:suppressAutoHyphens/>
        <w:spacing w:after="0" w:line="240" w:lineRule="auto"/>
        <w:ind w:left="2127" w:hanging="709"/>
        <w:jc w:val="both"/>
        <w:rPr>
          <w:rFonts w:ascii="Arial" w:eastAsia="Lucida Sans Unicode" w:hAnsi="Arial" w:cs="Arial"/>
          <w:lang w:val="es-MX" w:eastAsia="es-ES"/>
        </w:rPr>
      </w:pPr>
    </w:p>
    <w:p w:rsidR="007F56F0" w:rsidRPr="007F56F0" w:rsidRDefault="007F56F0" w:rsidP="00477B96">
      <w:pPr>
        <w:widowControl w:val="0"/>
        <w:suppressAutoHyphens/>
        <w:spacing w:after="0" w:line="240" w:lineRule="auto"/>
        <w:ind w:left="2127" w:hanging="3"/>
        <w:jc w:val="both"/>
        <w:rPr>
          <w:rFonts w:ascii="Arial" w:eastAsia="Lucida Sans Unicode" w:hAnsi="Arial" w:cs="Arial"/>
          <w:lang w:val="es-ES" w:eastAsia="es-ES"/>
        </w:rPr>
      </w:pPr>
      <w:r w:rsidRPr="007F56F0">
        <w:rPr>
          <w:rFonts w:ascii="Arial" w:eastAsia="Lucida Sans Unicode" w:hAnsi="Arial" w:cs="Arial"/>
          <w:lang w:val="es-MX" w:eastAsia="es-ES"/>
        </w:rPr>
        <w:t>La entrega se efectúa a través de un</w:t>
      </w:r>
      <w:r w:rsidRPr="007F56F0">
        <w:rPr>
          <w:rFonts w:ascii="Arial" w:eastAsia="Calibri" w:hAnsi="Arial" w:cs="Arial"/>
          <w:lang w:val="es-ES_tradnl" w:eastAsia="es-ES"/>
        </w:rPr>
        <w:t xml:space="preserve"> acta de entrega-recepción, sin que ello signifique el otorgamiento del arrendamiento solicitado. Dicha acta adquirirá la condición de definitiva, una vez suscrito el contrato respectivo, salvo que hubiera variación del área, en cuyo caso se suscribirá un acta de entrega definitiva. </w:t>
      </w:r>
      <w:r w:rsidRPr="007F56F0">
        <w:rPr>
          <w:rFonts w:ascii="Arial" w:eastAsia="Lucida Sans Unicode" w:hAnsi="Arial" w:cs="Arial"/>
          <w:lang w:val="es-MX" w:eastAsia="es-ES"/>
        </w:rPr>
        <w:t>En este caso, la renta a pagar corre desde la fecha en el que suscribe el acta de entrega.</w:t>
      </w:r>
    </w:p>
    <w:p w:rsidR="007F56F0" w:rsidRPr="007F56F0" w:rsidRDefault="007F56F0" w:rsidP="00477B96">
      <w:pPr>
        <w:widowControl w:val="0"/>
        <w:suppressAutoHyphens/>
        <w:spacing w:after="0" w:line="240" w:lineRule="auto"/>
        <w:ind w:left="2127" w:right="57" w:hanging="709"/>
        <w:jc w:val="both"/>
        <w:rPr>
          <w:rFonts w:ascii="Arial" w:eastAsia="Lucida Sans Unicode" w:hAnsi="Arial" w:cs="Arial"/>
          <w:highlight w:val="yellow"/>
          <w:lang w:val="es-ES" w:eastAsia="es-ES"/>
        </w:rPr>
      </w:pPr>
    </w:p>
    <w:p w:rsidR="007F56F0" w:rsidRPr="007F56F0" w:rsidRDefault="007F56F0" w:rsidP="0092471C">
      <w:pPr>
        <w:numPr>
          <w:ilvl w:val="2"/>
          <w:numId w:val="319"/>
        </w:numPr>
        <w:spacing w:after="0" w:line="240" w:lineRule="auto"/>
        <w:ind w:left="2127" w:hanging="709"/>
        <w:contextualSpacing/>
        <w:jc w:val="both"/>
        <w:rPr>
          <w:rFonts w:ascii="Arial" w:eastAsia="Lucida Sans Unicode" w:hAnsi="Arial" w:cs="Arial"/>
          <w:b/>
          <w:color w:val="000000"/>
          <w:lang w:val="es-MX" w:eastAsia="es-ES"/>
        </w:rPr>
      </w:pPr>
      <w:r w:rsidRPr="007F56F0">
        <w:rPr>
          <w:rFonts w:ascii="Arial" w:eastAsia="Lucida Sans Unicode" w:hAnsi="Arial" w:cs="Arial"/>
          <w:b/>
          <w:lang w:val="es-ES" w:eastAsia="es-ES"/>
        </w:rPr>
        <w:t>Abandono del procedimiento</w:t>
      </w:r>
    </w:p>
    <w:p w:rsidR="007F56F0" w:rsidRPr="007F56F0" w:rsidRDefault="007F56F0" w:rsidP="00477B96">
      <w:pPr>
        <w:widowControl w:val="0"/>
        <w:suppressAutoHyphens/>
        <w:spacing w:after="0" w:line="240" w:lineRule="auto"/>
        <w:ind w:left="2127" w:hanging="3"/>
        <w:jc w:val="both"/>
        <w:rPr>
          <w:rFonts w:ascii="Arial" w:eastAsia="Lucida Sans Unicode" w:hAnsi="Arial" w:cs="Arial"/>
          <w:color w:val="000000"/>
          <w:lang w:val="es-MX" w:eastAsia="es-ES"/>
        </w:rPr>
      </w:pPr>
      <w:r w:rsidRPr="007F56F0">
        <w:rPr>
          <w:rFonts w:ascii="Arial" w:eastAsia="Lucida Sans Unicode" w:hAnsi="Arial" w:cs="Arial"/>
          <w:lang w:val="es-ES" w:eastAsia="es-ES"/>
        </w:rPr>
        <w:t xml:space="preserve">Transcurrido </w:t>
      </w:r>
      <w:r w:rsidRPr="007F56F0">
        <w:rPr>
          <w:rFonts w:ascii="Arial" w:eastAsia="Lucida Sans Unicode" w:hAnsi="Arial" w:cs="Arial"/>
          <w:color w:val="000000"/>
          <w:lang w:val="es-MX" w:eastAsia="es-ES"/>
        </w:rPr>
        <w:t xml:space="preserve">el plazo de notificación de la valorización de la renta, sin que se produzca la aceptación por el administrado, la unidad orgánica que sustenta el procedimiento, declara mediante resolución motivada el abandono del procedimiento, requiriendo al administrado la devolución del predio, en el caso que se hubiera efectuado la entrega provisional, la cual se deja sin efecto. </w:t>
      </w:r>
    </w:p>
    <w:p w:rsidR="007F56F0" w:rsidRPr="007F56F0" w:rsidRDefault="007F56F0" w:rsidP="007F56F0">
      <w:pPr>
        <w:widowControl w:val="0"/>
        <w:shd w:val="clear" w:color="auto" w:fill="FFFFFF"/>
        <w:suppressAutoHyphens/>
        <w:overflowPunct w:val="0"/>
        <w:autoSpaceDE w:val="0"/>
        <w:autoSpaceDN w:val="0"/>
        <w:adjustRightInd w:val="0"/>
        <w:spacing w:after="0" w:line="240" w:lineRule="auto"/>
        <w:ind w:left="777"/>
        <w:jc w:val="both"/>
        <w:rPr>
          <w:rFonts w:ascii="Arial" w:eastAsia="Lucida Sans Unicode" w:hAnsi="Arial" w:cs="Arial"/>
          <w:color w:val="000000"/>
          <w:lang w:val="es-MX" w:eastAsia="es-ES"/>
        </w:rPr>
      </w:pPr>
    </w:p>
    <w:p w:rsidR="007F56F0" w:rsidRPr="007F56F0" w:rsidRDefault="007F56F0" w:rsidP="0092471C">
      <w:pPr>
        <w:numPr>
          <w:ilvl w:val="1"/>
          <w:numId w:val="319"/>
        </w:numPr>
        <w:spacing w:after="0" w:line="240" w:lineRule="auto"/>
        <w:ind w:left="1418" w:right="57" w:hanging="567"/>
        <w:contextualSpacing/>
        <w:jc w:val="both"/>
        <w:rPr>
          <w:rFonts w:ascii="Arial" w:eastAsia="Lucida Sans Unicode" w:hAnsi="Arial" w:cs="Arial"/>
          <w:b/>
          <w:lang w:val="es-ES_tradnl" w:eastAsia="es-ES"/>
        </w:rPr>
      </w:pPr>
      <w:r w:rsidRPr="007F56F0">
        <w:rPr>
          <w:rFonts w:ascii="Arial" w:eastAsia="Lucida Sans Unicode" w:hAnsi="Arial" w:cs="Arial"/>
          <w:b/>
          <w:lang w:val="es-ES_tradnl" w:eastAsia="es-ES"/>
        </w:rPr>
        <w:t>DISPOSICIONES COMUNES APLICABLES A LOS PROCEDIMIENTOS DE ARRENDAMIENTO</w:t>
      </w:r>
    </w:p>
    <w:p w:rsidR="007F56F0" w:rsidRPr="007F56F0" w:rsidRDefault="007F56F0" w:rsidP="007F56F0">
      <w:pPr>
        <w:widowControl w:val="0"/>
        <w:suppressAutoHyphens/>
        <w:spacing w:after="0" w:line="240" w:lineRule="auto"/>
        <w:ind w:left="702" w:right="57"/>
        <w:jc w:val="both"/>
        <w:rPr>
          <w:rFonts w:ascii="Arial" w:eastAsia="Lucida Sans Unicode" w:hAnsi="Arial" w:cs="Arial"/>
          <w:b/>
          <w:lang w:val="es-ES_tradnl" w:eastAsia="es-ES"/>
        </w:rPr>
      </w:pPr>
    </w:p>
    <w:p w:rsidR="007F56F0" w:rsidRPr="007F56F0" w:rsidRDefault="007F56F0" w:rsidP="00477B96">
      <w:pPr>
        <w:shd w:val="clear" w:color="auto" w:fill="FFFFFF"/>
        <w:tabs>
          <w:tab w:val="left" w:pos="459"/>
        </w:tabs>
        <w:overflowPunct w:val="0"/>
        <w:autoSpaceDE w:val="0"/>
        <w:autoSpaceDN w:val="0"/>
        <w:adjustRightInd w:val="0"/>
        <w:spacing w:after="0" w:line="240" w:lineRule="auto"/>
        <w:ind w:left="2127" w:hanging="709"/>
        <w:jc w:val="both"/>
        <w:rPr>
          <w:rFonts w:ascii="Arial" w:eastAsia="Times New Roman" w:hAnsi="Arial" w:cs="Arial"/>
          <w:b/>
          <w:lang w:val="es-ES" w:eastAsia="es-ES"/>
        </w:rPr>
      </w:pPr>
      <w:r w:rsidRPr="007F56F0">
        <w:rPr>
          <w:rFonts w:ascii="Arial" w:eastAsia="Times New Roman" w:hAnsi="Arial" w:cs="Arial"/>
          <w:b/>
          <w:lang w:val="es-ES" w:eastAsia="es-ES"/>
        </w:rPr>
        <w:t>6.3.1</w:t>
      </w:r>
      <w:r w:rsidRPr="007F56F0">
        <w:rPr>
          <w:rFonts w:ascii="Arial" w:eastAsia="Times New Roman" w:hAnsi="Arial" w:cs="Arial"/>
          <w:b/>
          <w:lang w:val="es-ES" w:eastAsia="es-ES"/>
        </w:rPr>
        <w:tab/>
        <w:t>Informe Técnico Legal</w:t>
      </w:r>
    </w:p>
    <w:p w:rsidR="007F56F0" w:rsidRPr="007F56F0" w:rsidRDefault="007F56F0" w:rsidP="00477B96">
      <w:pPr>
        <w:spacing w:after="0" w:line="240" w:lineRule="auto"/>
        <w:ind w:left="2127" w:hanging="3"/>
        <w:jc w:val="both"/>
        <w:rPr>
          <w:rFonts w:ascii="Arial" w:eastAsia="Times New Roman" w:hAnsi="Arial" w:cs="Arial"/>
          <w:lang w:val="es-ES" w:eastAsia="es-ES"/>
        </w:rPr>
      </w:pPr>
      <w:r w:rsidRPr="007F56F0">
        <w:rPr>
          <w:rFonts w:ascii="Arial" w:eastAsia="Times New Roman" w:hAnsi="Arial" w:cs="Arial"/>
          <w:lang w:val="es-ES" w:eastAsia="es-ES"/>
        </w:rPr>
        <w:t>El informe técnico legal que sustenta el arrendamiento debe contener el análisis y fundamentación de la decisión de entregar en arrendamiento el bien, los datos técnicos y los de valuación, así como la elección de la oferta ganadora, para el caso del arrendamiento por convocatoria pública.</w:t>
      </w:r>
    </w:p>
    <w:p w:rsidR="007F56F0" w:rsidRPr="007F56F0" w:rsidRDefault="007F56F0" w:rsidP="00477B96">
      <w:pPr>
        <w:spacing w:after="0" w:line="240" w:lineRule="auto"/>
        <w:ind w:left="2127" w:hanging="709"/>
        <w:jc w:val="both"/>
        <w:rPr>
          <w:rFonts w:ascii="Arial" w:eastAsia="Times New Roman" w:hAnsi="Arial" w:cs="Arial"/>
          <w:lang w:val="es-ES" w:eastAsia="es-ES"/>
        </w:rPr>
      </w:pPr>
    </w:p>
    <w:p w:rsidR="007F56F0" w:rsidRPr="007F56F0" w:rsidRDefault="007F56F0" w:rsidP="00477B96">
      <w:pPr>
        <w:spacing w:after="0" w:line="240" w:lineRule="auto"/>
        <w:ind w:left="2127" w:hanging="3"/>
        <w:jc w:val="both"/>
        <w:rPr>
          <w:rFonts w:ascii="Arial" w:eastAsia="Times New Roman" w:hAnsi="Arial" w:cs="Arial"/>
          <w:lang w:val="es-ES" w:eastAsia="es-ES"/>
        </w:rPr>
      </w:pPr>
      <w:r w:rsidRPr="007F56F0">
        <w:rPr>
          <w:rFonts w:ascii="Arial" w:eastAsia="Times New Roman" w:hAnsi="Arial" w:cs="Arial"/>
          <w:lang w:val="es-ES" w:eastAsia="es-ES"/>
        </w:rPr>
        <w:t>El citado informe es suscrito por él o los responsables a cargo de la sustentación del procedimiento y puesto a disposición del jefe de la unidad orgánica competente de la entidad para su visación, adjuntando el proyecto de resolución que aprobará el otorgamiento del arrendamiento.</w:t>
      </w:r>
    </w:p>
    <w:p w:rsidR="007F56F0" w:rsidRPr="007F56F0" w:rsidRDefault="007F56F0" w:rsidP="00477B96">
      <w:pPr>
        <w:spacing w:after="0" w:line="240" w:lineRule="auto"/>
        <w:ind w:left="2127" w:hanging="709"/>
        <w:jc w:val="both"/>
        <w:rPr>
          <w:rFonts w:ascii="Arial" w:eastAsia="Times New Roman" w:hAnsi="Arial" w:cs="Arial"/>
          <w:lang w:val="es-ES" w:eastAsia="es-ES"/>
        </w:rPr>
      </w:pPr>
    </w:p>
    <w:p w:rsidR="007F56F0" w:rsidRPr="007F56F0" w:rsidRDefault="007F56F0" w:rsidP="00477B96">
      <w:pPr>
        <w:spacing w:after="0" w:line="240" w:lineRule="auto"/>
        <w:ind w:left="2127" w:hanging="3"/>
        <w:jc w:val="both"/>
        <w:rPr>
          <w:rFonts w:ascii="Arial" w:eastAsia="Calibri" w:hAnsi="Arial" w:cs="Arial"/>
          <w:lang w:val="es-ES" w:eastAsia="es-ES"/>
        </w:rPr>
      </w:pPr>
      <w:r w:rsidRPr="007F56F0">
        <w:rPr>
          <w:rFonts w:ascii="Arial" w:eastAsia="Calibri" w:hAnsi="Arial" w:cs="Arial"/>
          <w:lang w:val="es-ES" w:eastAsia="es-ES"/>
        </w:rPr>
        <w:t>En caso que con posterioridad a la admisión a trámite se tome conocimiento de la existencia de algún impedimento u otra restricción que impida entregar en arrendamiento el predio, la unidad orgánica que sustenta el trámite puede, atendiendo a las circunstancias, concluir el trámite o suspenderlo hasta que se levante el impedimento o restricción.</w:t>
      </w:r>
    </w:p>
    <w:p w:rsidR="007F56F0" w:rsidRPr="007F56F0" w:rsidRDefault="007F56F0" w:rsidP="00477B96">
      <w:pPr>
        <w:spacing w:after="0" w:line="240" w:lineRule="auto"/>
        <w:ind w:left="2127" w:hanging="709"/>
        <w:jc w:val="both"/>
        <w:rPr>
          <w:rFonts w:ascii="Arial" w:eastAsia="Calibri" w:hAnsi="Arial" w:cs="Arial"/>
          <w:lang w:val="es-ES" w:eastAsia="es-ES"/>
        </w:rPr>
      </w:pPr>
      <w:r w:rsidRPr="007F56F0">
        <w:rPr>
          <w:rFonts w:ascii="Arial" w:eastAsia="Calibri" w:hAnsi="Arial" w:cs="Arial"/>
          <w:lang w:val="es-ES" w:eastAsia="es-ES"/>
        </w:rPr>
        <w:t xml:space="preserve"> </w:t>
      </w:r>
    </w:p>
    <w:p w:rsidR="007F56F0" w:rsidRPr="007F56F0" w:rsidRDefault="007F56F0" w:rsidP="0092471C">
      <w:pPr>
        <w:numPr>
          <w:ilvl w:val="2"/>
          <w:numId w:val="320"/>
        </w:numPr>
        <w:spacing w:after="0" w:line="240" w:lineRule="auto"/>
        <w:ind w:left="2127" w:hanging="709"/>
        <w:contextualSpacing/>
        <w:jc w:val="both"/>
        <w:rPr>
          <w:rFonts w:ascii="Arial" w:eastAsia="Lucida Sans Unicode" w:hAnsi="Arial" w:cs="Arial"/>
          <w:b/>
          <w:lang w:val="es-ES" w:eastAsia="es-ES"/>
        </w:rPr>
      </w:pPr>
      <w:r w:rsidRPr="007F56F0">
        <w:rPr>
          <w:rFonts w:ascii="Arial" w:eastAsia="Lucida Sans Unicode" w:hAnsi="Arial" w:cs="Arial"/>
          <w:b/>
          <w:lang w:val="es-ES" w:eastAsia="es-ES"/>
        </w:rPr>
        <w:t>Expedición de la Resolución</w:t>
      </w:r>
    </w:p>
    <w:p w:rsidR="007F56F0" w:rsidRPr="007F56F0" w:rsidRDefault="007F56F0" w:rsidP="00477B96">
      <w:pPr>
        <w:spacing w:after="0" w:line="240" w:lineRule="auto"/>
        <w:ind w:left="2127" w:hanging="3"/>
        <w:jc w:val="both"/>
        <w:rPr>
          <w:rFonts w:ascii="Arial" w:eastAsia="Times New Roman" w:hAnsi="Arial" w:cs="Arial"/>
          <w:lang w:val="es-ES" w:eastAsia="es-ES"/>
        </w:rPr>
      </w:pPr>
      <w:r w:rsidRPr="007F56F0">
        <w:rPr>
          <w:rFonts w:ascii="Arial" w:eastAsia="Times New Roman" w:hAnsi="Arial" w:cs="Arial"/>
          <w:lang w:val="es-ES" w:eastAsia="es-ES"/>
        </w:rPr>
        <w:t>El arrendamiento se aprueba con la resolución de la SDAPE, en el caso de la SBN, o por la autoridad administrativa competente en el caso de las demás entidades.</w:t>
      </w:r>
    </w:p>
    <w:p w:rsidR="007F56F0" w:rsidRPr="007F56F0" w:rsidRDefault="007F56F0" w:rsidP="00477B96">
      <w:pPr>
        <w:spacing w:after="0" w:line="240" w:lineRule="auto"/>
        <w:ind w:left="2127" w:hanging="709"/>
        <w:jc w:val="both"/>
        <w:rPr>
          <w:rFonts w:ascii="Arial" w:eastAsia="Times New Roman" w:hAnsi="Arial" w:cs="Arial"/>
          <w:lang w:val="es-ES" w:eastAsia="es-ES"/>
        </w:rPr>
      </w:pPr>
    </w:p>
    <w:p w:rsidR="007F56F0" w:rsidRPr="007F56F0" w:rsidRDefault="007F56F0" w:rsidP="00477B96">
      <w:pPr>
        <w:spacing w:after="0" w:line="240" w:lineRule="auto"/>
        <w:ind w:left="2127" w:hanging="3"/>
        <w:jc w:val="both"/>
        <w:rPr>
          <w:rFonts w:ascii="Arial" w:eastAsia="Times New Roman" w:hAnsi="Arial" w:cs="Arial"/>
          <w:lang w:val="es-ES" w:eastAsia="es-ES"/>
        </w:rPr>
      </w:pPr>
      <w:r w:rsidRPr="007F56F0">
        <w:rPr>
          <w:rFonts w:ascii="Arial" w:eastAsia="Times New Roman" w:hAnsi="Arial" w:cs="Arial"/>
          <w:lang w:val="es-ES" w:eastAsia="es-ES"/>
        </w:rPr>
        <w:t>La resolución debe precisar la duración del arrendamiento, los derechos que se otorga, el valor de la contraprestación y su forma de pago, así como el plazo para la cancelación de la renta y la garantía de fiel cumplimiento, incluyendo la obligación de pago referida en el numeral 1) del artículo 94 del reglamento, cuando corresponda, la cual se liquidará con la elaboración del contrato.</w:t>
      </w:r>
    </w:p>
    <w:p w:rsidR="007F56F0" w:rsidRPr="007F56F0" w:rsidRDefault="007F56F0" w:rsidP="00477B96">
      <w:pPr>
        <w:spacing w:after="0" w:line="240" w:lineRule="auto"/>
        <w:ind w:left="2127" w:hanging="709"/>
        <w:jc w:val="both"/>
        <w:rPr>
          <w:rFonts w:ascii="Arial" w:eastAsia="Times New Roman" w:hAnsi="Arial" w:cs="Arial"/>
          <w:lang w:val="es-ES" w:eastAsia="es-ES"/>
        </w:rPr>
      </w:pPr>
    </w:p>
    <w:p w:rsidR="007F56F0" w:rsidRPr="007F56F0" w:rsidRDefault="007F56F0" w:rsidP="00477B96">
      <w:pPr>
        <w:spacing w:after="0" w:line="240" w:lineRule="auto"/>
        <w:ind w:left="2127" w:hanging="3"/>
        <w:jc w:val="both"/>
        <w:rPr>
          <w:rFonts w:ascii="Arial" w:eastAsia="Times New Roman" w:hAnsi="Arial" w:cs="Arial"/>
          <w:color w:val="000000"/>
          <w:lang w:val="es-MX" w:eastAsia="es-ES"/>
        </w:rPr>
      </w:pPr>
      <w:r w:rsidRPr="007F56F0">
        <w:rPr>
          <w:rFonts w:ascii="Arial" w:eastAsia="Times New Roman" w:hAnsi="Arial" w:cs="Arial"/>
          <w:lang w:val="es-ES" w:eastAsia="es-ES"/>
        </w:rPr>
        <w:t>Dicha resolución debe ser comunicada a la unidad de tesorería de la entidad para el cobro de la renta.</w:t>
      </w:r>
    </w:p>
    <w:p w:rsidR="007F56F0" w:rsidRPr="007F56F0" w:rsidRDefault="007F56F0" w:rsidP="00477B96">
      <w:pPr>
        <w:spacing w:after="0" w:line="240" w:lineRule="auto"/>
        <w:ind w:left="2127" w:hanging="709"/>
        <w:jc w:val="both"/>
        <w:rPr>
          <w:rFonts w:ascii="Arial" w:eastAsia="Times New Roman" w:hAnsi="Arial" w:cs="Arial"/>
          <w:lang w:val="es-MX" w:eastAsia="es-ES"/>
        </w:rPr>
      </w:pPr>
    </w:p>
    <w:p w:rsidR="007F56F0" w:rsidRPr="007F56F0" w:rsidRDefault="007F56F0" w:rsidP="0092471C">
      <w:pPr>
        <w:numPr>
          <w:ilvl w:val="2"/>
          <w:numId w:val="320"/>
        </w:numPr>
        <w:spacing w:after="0" w:line="240" w:lineRule="auto"/>
        <w:ind w:left="2127" w:hanging="709"/>
        <w:contextualSpacing/>
        <w:jc w:val="both"/>
        <w:rPr>
          <w:rFonts w:ascii="Arial" w:eastAsia="Lucida Sans Unicode" w:hAnsi="Arial" w:cs="Arial"/>
          <w:b/>
          <w:lang w:val="es-ES" w:eastAsia="es-ES"/>
        </w:rPr>
      </w:pPr>
      <w:r w:rsidRPr="007F56F0">
        <w:rPr>
          <w:rFonts w:ascii="Arial" w:eastAsia="Lucida Sans Unicode" w:hAnsi="Arial" w:cs="Arial"/>
          <w:b/>
          <w:lang w:val="es-ES" w:eastAsia="es-ES"/>
        </w:rPr>
        <w:t>Pago de la renta y plazo para la cancelación de la contraprestación</w:t>
      </w:r>
    </w:p>
    <w:p w:rsidR="007F56F0" w:rsidRPr="007F56F0" w:rsidRDefault="00477B96" w:rsidP="00477B96">
      <w:pPr>
        <w:tabs>
          <w:tab w:val="left" w:pos="1276"/>
        </w:tabs>
        <w:spacing w:after="0" w:line="240" w:lineRule="auto"/>
        <w:ind w:left="2127" w:hanging="709"/>
        <w:jc w:val="both"/>
        <w:rPr>
          <w:rFonts w:ascii="Arial" w:eastAsia="Times New Roman" w:hAnsi="Arial" w:cs="Arial"/>
          <w:lang w:val="es-ES" w:eastAsia="es-ES"/>
        </w:rPr>
      </w:pPr>
      <w:r>
        <w:rPr>
          <w:rFonts w:ascii="Arial" w:eastAsia="Times New Roman" w:hAnsi="Arial" w:cs="Arial"/>
          <w:lang w:val="es-ES" w:eastAsia="es-ES"/>
        </w:rPr>
        <w:tab/>
      </w:r>
      <w:r w:rsidR="007F56F0" w:rsidRPr="007F56F0">
        <w:rPr>
          <w:rFonts w:ascii="Arial" w:eastAsia="Times New Roman" w:hAnsi="Arial" w:cs="Arial"/>
          <w:lang w:val="es-ES" w:eastAsia="es-ES"/>
        </w:rPr>
        <w:t>Dentro de los diez (10) días hábiles posteriores a la fecha de notificación de la Resolución que aprueba el arrendamiento, el administrado debe efectuar el depósito de la primera cuota y garantía de fiel cumplimiento.</w:t>
      </w:r>
    </w:p>
    <w:p w:rsidR="007F56F0" w:rsidRPr="007F56F0" w:rsidRDefault="007F56F0" w:rsidP="00477B96">
      <w:pPr>
        <w:widowControl w:val="0"/>
        <w:spacing w:after="0" w:line="240" w:lineRule="auto"/>
        <w:ind w:left="2127" w:hanging="709"/>
        <w:contextualSpacing/>
        <w:jc w:val="both"/>
        <w:rPr>
          <w:rFonts w:ascii="Arial" w:eastAsia="Times New Roman" w:hAnsi="Arial" w:cs="Arial"/>
          <w:lang w:val="es-ES"/>
        </w:rPr>
      </w:pPr>
    </w:p>
    <w:p w:rsidR="007F56F0" w:rsidRPr="007F56F0" w:rsidRDefault="007F56F0" w:rsidP="00477B96">
      <w:pPr>
        <w:widowControl w:val="0"/>
        <w:spacing w:after="0" w:line="240" w:lineRule="auto"/>
        <w:ind w:left="2127" w:hanging="3"/>
        <w:contextualSpacing/>
        <w:jc w:val="both"/>
        <w:rPr>
          <w:rFonts w:ascii="Arial" w:eastAsia="Times New Roman" w:hAnsi="Arial" w:cs="Arial"/>
          <w:lang w:val="es-ES"/>
        </w:rPr>
      </w:pPr>
      <w:r w:rsidRPr="007F56F0">
        <w:rPr>
          <w:rFonts w:ascii="Arial" w:eastAsia="Times New Roman" w:hAnsi="Arial" w:cs="Arial"/>
          <w:lang w:val="es-ES"/>
        </w:rPr>
        <w:t>El pago de la renta a que se refiere el numeral 1) del artículo 94° del Reglamento se efectúa al momento de la firma del contrato de arrendamiento.</w:t>
      </w:r>
    </w:p>
    <w:p w:rsidR="007F56F0" w:rsidRPr="007F56F0" w:rsidRDefault="007F56F0" w:rsidP="00477B96">
      <w:pPr>
        <w:widowControl w:val="0"/>
        <w:spacing w:after="0" w:line="240" w:lineRule="auto"/>
        <w:ind w:left="2127" w:hanging="709"/>
        <w:contextualSpacing/>
        <w:jc w:val="both"/>
        <w:rPr>
          <w:rFonts w:ascii="Arial" w:eastAsia="Times New Roman" w:hAnsi="Arial" w:cs="Arial"/>
          <w:lang w:val="es-ES"/>
        </w:rPr>
      </w:pPr>
    </w:p>
    <w:p w:rsidR="007F56F0" w:rsidRPr="007F56F0" w:rsidRDefault="00477B96" w:rsidP="00477B96">
      <w:pPr>
        <w:shd w:val="clear" w:color="auto" w:fill="FFFFFF"/>
        <w:tabs>
          <w:tab w:val="left" w:pos="459"/>
        </w:tabs>
        <w:overflowPunct w:val="0"/>
        <w:autoSpaceDE w:val="0"/>
        <w:autoSpaceDN w:val="0"/>
        <w:adjustRightInd w:val="0"/>
        <w:spacing w:after="0" w:line="240" w:lineRule="auto"/>
        <w:ind w:left="2127" w:hanging="709"/>
        <w:jc w:val="both"/>
        <w:rPr>
          <w:rFonts w:ascii="Arial" w:eastAsia="Times New Roman" w:hAnsi="Arial" w:cs="Arial"/>
          <w:lang w:val="es-ES" w:eastAsia="es-ES"/>
        </w:rPr>
      </w:pPr>
      <w:r>
        <w:rPr>
          <w:rFonts w:ascii="Arial" w:eastAsia="Times New Roman" w:hAnsi="Arial" w:cs="Arial"/>
          <w:lang w:val="es-ES" w:eastAsia="es-ES"/>
        </w:rPr>
        <w:tab/>
      </w:r>
      <w:r w:rsidR="007F56F0" w:rsidRPr="007F56F0">
        <w:rPr>
          <w:rFonts w:ascii="Arial" w:eastAsia="Times New Roman" w:hAnsi="Arial" w:cs="Arial"/>
          <w:lang w:val="es-ES" w:eastAsia="es-ES"/>
        </w:rPr>
        <w:t xml:space="preserve">Si no se efectúan los pagos antes indicados, la unidad orgánica a cargo del trámite deja sin efecto la resolución que aprueba el arrendamiento. </w:t>
      </w:r>
    </w:p>
    <w:p w:rsidR="007F56F0" w:rsidRPr="007F56F0" w:rsidRDefault="007F56F0" w:rsidP="00477B96">
      <w:pPr>
        <w:widowControl w:val="0"/>
        <w:spacing w:after="0" w:line="240" w:lineRule="auto"/>
        <w:ind w:left="2127" w:hanging="709"/>
        <w:contextualSpacing/>
        <w:jc w:val="both"/>
        <w:rPr>
          <w:rFonts w:ascii="Arial" w:eastAsia="Times New Roman" w:hAnsi="Arial" w:cs="Arial"/>
          <w:lang w:val="es-ES"/>
        </w:rPr>
      </w:pPr>
    </w:p>
    <w:p w:rsidR="007F56F0" w:rsidRPr="007F56F0" w:rsidRDefault="007F56F0" w:rsidP="00477B96">
      <w:pPr>
        <w:widowControl w:val="0"/>
        <w:spacing w:after="0" w:line="240" w:lineRule="auto"/>
        <w:ind w:left="2127" w:hanging="3"/>
        <w:contextualSpacing/>
        <w:jc w:val="both"/>
        <w:rPr>
          <w:rFonts w:ascii="Arial" w:eastAsia="Times New Roman" w:hAnsi="Arial" w:cs="Arial"/>
          <w:lang w:val="es-ES"/>
        </w:rPr>
      </w:pPr>
      <w:r w:rsidRPr="007F56F0">
        <w:rPr>
          <w:rFonts w:ascii="Arial" w:eastAsia="Times New Roman" w:hAnsi="Arial" w:cs="Arial"/>
          <w:lang w:val="es-ES"/>
        </w:rPr>
        <w:t>Las demás cuotas de la renta debe ser pagadas por adelantado, en periodos mensuales, trimestrales o anuales, dentro de los primeros cinco (5) días útiles del periodo que se fije. Para tal efecto, la entidad arrendadora emitirá los comprobantes de pago correspondientes.</w:t>
      </w:r>
    </w:p>
    <w:p w:rsidR="007F56F0" w:rsidRPr="007F56F0" w:rsidRDefault="007F56F0" w:rsidP="00477B96">
      <w:pPr>
        <w:spacing w:after="0" w:line="240" w:lineRule="auto"/>
        <w:ind w:left="2127" w:hanging="709"/>
        <w:jc w:val="both"/>
        <w:rPr>
          <w:rFonts w:ascii="Arial" w:eastAsia="Times New Roman" w:hAnsi="Arial" w:cs="Arial"/>
          <w:lang w:val="es-ES" w:eastAsia="es-ES"/>
        </w:rPr>
      </w:pPr>
    </w:p>
    <w:p w:rsidR="007F56F0" w:rsidRPr="007F56F0" w:rsidRDefault="007F56F0" w:rsidP="00477B96">
      <w:pPr>
        <w:spacing w:after="0" w:line="240" w:lineRule="auto"/>
        <w:ind w:left="2127" w:hanging="3"/>
        <w:jc w:val="both"/>
        <w:rPr>
          <w:rFonts w:ascii="Arial" w:eastAsia="Times New Roman" w:hAnsi="Arial" w:cs="Arial"/>
          <w:lang w:val="es-ES" w:eastAsia="es-ES"/>
        </w:rPr>
      </w:pPr>
      <w:r w:rsidRPr="007F56F0">
        <w:rPr>
          <w:rFonts w:ascii="Arial" w:eastAsia="Times New Roman" w:hAnsi="Arial" w:cs="Arial"/>
          <w:lang w:val="es-ES" w:eastAsia="es-ES"/>
        </w:rPr>
        <w:t>El pago se efectuará mediante Cheque de Gerencia No Negociable o depósito en la cuenta corriente de la entidad arrendadora.</w:t>
      </w:r>
    </w:p>
    <w:p w:rsidR="007F56F0" w:rsidRPr="007F56F0" w:rsidRDefault="007F56F0" w:rsidP="00477B96">
      <w:pPr>
        <w:widowControl w:val="0"/>
        <w:shd w:val="clear" w:color="auto" w:fill="FFFFFF"/>
        <w:tabs>
          <w:tab w:val="left" w:pos="459"/>
        </w:tabs>
        <w:suppressAutoHyphens/>
        <w:overflowPunct w:val="0"/>
        <w:autoSpaceDE w:val="0"/>
        <w:autoSpaceDN w:val="0"/>
        <w:adjustRightInd w:val="0"/>
        <w:spacing w:after="0" w:line="240" w:lineRule="auto"/>
        <w:ind w:left="2127" w:hanging="709"/>
        <w:jc w:val="both"/>
        <w:rPr>
          <w:rFonts w:ascii="Arial" w:eastAsia="Lucida Sans Unicode" w:hAnsi="Arial" w:cs="Arial"/>
          <w:lang w:val="es-ES" w:eastAsia="es-ES"/>
        </w:rPr>
      </w:pPr>
    </w:p>
    <w:p w:rsidR="007F56F0" w:rsidRPr="007F56F0" w:rsidRDefault="007F56F0" w:rsidP="0092471C">
      <w:pPr>
        <w:numPr>
          <w:ilvl w:val="2"/>
          <w:numId w:val="320"/>
        </w:numPr>
        <w:spacing w:after="0" w:line="240" w:lineRule="auto"/>
        <w:ind w:left="2127" w:hanging="709"/>
        <w:contextualSpacing/>
        <w:jc w:val="both"/>
        <w:rPr>
          <w:rFonts w:ascii="Arial" w:eastAsia="Lucida Sans Unicode" w:hAnsi="Arial" w:cs="Arial"/>
          <w:b/>
          <w:lang w:val="es-ES" w:eastAsia="es-ES"/>
        </w:rPr>
      </w:pPr>
      <w:r w:rsidRPr="007F56F0">
        <w:rPr>
          <w:rFonts w:ascii="Arial" w:eastAsia="Lucida Sans Unicode" w:hAnsi="Arial" w:cs="Arial"/>
          <w:b/>
          <w:lang w:val="es-ES" w:eastAsia="es-ES"/>
        </w:rPr>
        <w:t xml:space="preserve">De la suscripción del contrato </w:t>
      </w:r>
    </w:p>
    <w:p w:rsidR="007F56F0" w:rsidRPr="007F56F0" w:rsidRDefault="00477B96" w:rsidP="00477B96">
      <w:pPr>
        <w:tabs>
          <w:tab w:val="left" w:pos="1276"/>
        </w:tabs>
        <w:spacing w:after="0" w:line="240" w:lineRule="auto"/>
        <w:ind w:left="2127" w:hanging="709"/>
        <w:jc w:val="both"/>
        <w:rPr>
          <w:rFonts w:ascii="Arial" w:eastAsia="Times New Roman" w:hAnsi="Arial" w:cs="Arial"/>
          <w:lang w:val="es-ES" w:eastAsia="es-ES"/>
        </w:rPr>
      </w:pPr>
      <w:r>
        <w:rPr>
          <w:rFonts w:ascii="Arial" w:eastAsia="Times New Roman" w:hAnsi="Arial" w:cs="Arial"/>
          <w:lang w:val="es-ES" w:eastAsia="es-ES"/>
        </w:rPr>
        <w:tab/>
      </w:r>
      <w:r w:rsidR="007F56F0" w:rsidRPr="007F56F0">
        <w:rPr>
          <w:rFonts w:ascii="Arial" w:eastAsia="Times New Roman" w:hAnsi="Arial" w:cs="Arial"/>
          <w:lang w:val="es-ES" w:eastAsia="es-ES"/>
        </w:rPr>
        <w:t>Dentro de cinco (5) días de efectuado el pago del depósito de la primera cuota y de la garantía de fiel cumplimiento, la unidad de tesorería comunicará a la unidad orgánica que sustenta el procedimiento, a partir de dicho momento y dentro del plazo de diez (10) días hábiles, la SDAPE en el caso de la SBN o la unidad orgánica que corresponda, en las demás entidades, elevará el proyecto del contrato conjuntamente con el expediente administrativo sustentatorio al órgano superior que corresponda para su conformidad y suscripción.</w:t>
      </w:r>
    </w:p>
    <w:p w:rsidR="007F56F0" w:rsidRPr="007F56F0" w:rsidRDefault="007F56F0" w:rsidP="00477B96">
      <w:pPr>
        <w:widowControl w:val="0"/>
        <w:tabs>
          <w:tab w:val="left" w:pos="1276"/>
        </w:tabs>
        <w:suppressAutoHyphens/>
        <w:spacing w:after="0" w:line="240" w:lineRule="auto"/>
        <w:ind w:left="2127" w:hanging="709"/>
        <w:jc w:val="both"/>
        <w:rPr>
          <w:rFonts w:ascii="Arial" w:eastAsia="Lucida Sans Unicode" w:hAnsi="Arial" w:cs="Arial"/>
          <w:lang w:val="es-ES" w:eastAsia="es-ES"/>
        </w:rPr>
      </w:pPr>
    </w:p>
    <w:p w:rsidR="007F56F0" w:rsidRPr="007F56F0" w:rsidRDefault="00477B96" w:rsidP="00477B96">
      <w:pPr>
        <w:tabs>
          <w:tab w:val="left" w:pos="1276"/>
        </w:tabs>
        <w:spacing w:after="0" w:line="240" w:lineRule="auto"/>
        <w:ind w:left="2127" w:hanging="709"/>
        <w:jc w:val="both"/>
        <w:rPr>
          <w:rFonts w:ascii="Arial" w:eastAsia="Times New Roman" w:hAnsi="Arial" w:cs="Arial"/>
          <w:lang w:val="es-ES" w:eastAsia="es-ES"/>
        </w:rPr>
      </w:pPr>
      <w:r>
        <w:rPr>
          <w:rFonts w:ascii="Arial" w:eastAsia="Times New Roman" w:hAnsi="Arial" w:cs="Arial"/>
          <w:lang w:val="es-ES" w:eastAsia="es-ES"/>
        </w:rPr>
        <w:tab/>
      </w:r>
      <w:r w:rsidR="007F56F0" w:rsidRPr="007F56F0">
        <w:rPr>
          <w:rFonts w:ascii="Arial" w:eastAsia="Times New Roman" w:hAnsi="Arial" w:cs="Arial"/>
          <w:lang w:val="es-ES" w:eastAsia="es-ES"/>
        </w:rPr>
        <w:t>El contrato debe contener los siguientes elementos mínimos, según corresponda:</w:t>
      </w:r>
    </w:p>
    <w:p w:rsidR="007F56F0" w:rsidRPr="007F56F0" w:rsidRDefault="007F56F0" w:rsidP="0092471C">
      <w:pPr>
        <w:numPr>
          <w:ilvl w:val="0"/>
          <w:numId w:val="321"/>
        </w:numPr>
        <w:spacing w:after="0" w:line="240" w:lineRule="auto"/>
        <w:ind w:left="3119" w:hanging="567"/>
        <w:contextualSpacing/>
        <w:jc w:val="both"/>
        <w:rPr>
          <w:rFonts w:ascii="Arial" w:eastAsia="Lucida Sans Unicode" w:hAnsi="Arial" w:cs="Arial"/>
          <w:lang w:val="es-ES" w:eastAsia="es-ES"/>
        </w:rPr>
      </w:pPr>
      <w:r w:rsidRPr="007F56F0">
        <w:rPr>
          <w:rFonts w:ascii="Arial" w:eastAsia="Lucida Sans Unicode" w:hAnsi="Arial" w:cs="Arial"/>
          <w:lang w:val="es-ES" w:eastAsia="es-ES"/>
        </w:rPr>
        <w:t>Datos que identifiquen el predio.</w:t>
      </w:r>
    </w:p>
    <w:p w:rsidR="007F56F0" w:rsidRPr="007F56F0" w:rsidRDefault="007F56F0" w:rsidP="0092471C">
      <w:pPr>
        <w:numPr>
          <w:ilvl w:val="0"/>
          <w:numId w:val="321"/>
        </w:numPr>
        <w:spacing w:after="0" w:line="240" w:lineRule="auto"/>
        <w:ind w:left="3119" w:hanging="567"/>
        <w:contextualSpacing/>
        <w:jc w:val="both"/>
        <w:rPr>
          <w:rFonts w:ascii="Arial" w:eastAsia="Lucida Sans Unicode" w:hAnsi="Arial" w:cs="Arial"/>
          <w:lang w:val="es-ES" w:eastAsia="es-ES"/>
        </w:rPr>
      </w:pPr>
      <w:r w:rsidRPr="007F56F0">
        <w:rPr>
          <w:rFonts w:ascii="Arial" w:eastAsia="Lucida Sans Unicode" w:hAnsi="Arial" w:cs="Arial"/>
          <w:lang w:val="es-ES" w:eastAsia="es-ES"/>
        </w:rPr>
        <w:t>Atribuciones y obligaciones de las partes.</w:t>
      </w:r>
    </w:p>
    <w:p w:rsidR="007F56F0" w:rsidRPr="007F56F0" w:rsidRDefault="007F56F0" w:rsidP="0092471C">
      <w:pPr>
        <w:numPr>
          <w:ilvl w:val="0"/>
          <w:numId w:val="321"/>
        </w:numPr>
        <w:spacing w:after="0" w:line="240" w:lineRule="auto"/>
        <w:ind w:left="3119" w:hanging="567"/>
        <w:contextualSpacing/>
        <w:jc w:val="both"/>
        <w:rPr>
          <w:rFonts w:ascii="Arial" w:eastAsia="Lucida Sans Unicode" w:hAnsi="Arial" w:cs="Arial"/>
          <w:lang w:val="es-ES" w:eastAsia="es-ES"/>
        </w:rPr>
      </w:pPr>
      <w:r w:rsidRPr="007F56F0">
        <w:rPr>
          <w:rFonts w:ascii="Arial" w:eastAsia="Lucida Sans Unicode" w:hAnsi="Arial" w:cs="Arial"/>
          <w:lang w:val="es-ES" w:eastAsia="es-ES"/>
        </w:rPr>
        <w:t>Plazo del arrendamiento.</w:t>
      </w:r>
    </w:p>
    <w:p w:rsidR="007F56F0" w:rsidRPr="007F56F0" w:rsidRDefault="007F56F0" w:rsidP="0092471C">
      <w:pPr>
        <w:numPr>
          <w:ilvl w:val="0"/>
          <w:numId w:val="321"/>
        </w:numPr>
        <w:spacing w:after="0" w:line="240" w:lineRule="auto"/>
        <w:ind w:left="3119" w:hanging="567"/>
        <w:contextualSpacing/>
        <w:jc w:val="both"/>
        <w:rPr>
          <w:rFonts w:ascii="Arial" w:eastAsia="Lucida Sans Unicode" w:hAnsi="Arial" w:cs="Arial"/>
          <w:lang w:val="es-ES" w:eastAsia="es-ES"/>
        </w:rPr>
      </w:pPr>
      <w:r w:rsidRPr="007F56F0">
        <w:rPr>
          <w:rFonts w:ascii="Arial" w:eastAsia="Lucida Sans Unicode" w:hAnsi="Arial" w:cs="Arial"/>
          <w:lang w:val="es-ES" w:eastAsia="es-ES"/>
        </w:rPr>
        <w:t>Renta mensual sin incluir los impuestos de ley.</w:t>
      </w:r>
    </w:p>
    <w:p w:rsidR="007F56F0" w:rsidRPr="007F56F0" w:rsidRDefault="007F56F0" w:rsidP="0092471C">
      <w:pPr>
        <w:numPr>
          <w:ilvl w:val="0"/>
          <w:numId w:val="321"/>
        </w:numPr>
        <w:spacing w:after="0" w:line="240" w:lineRule="auto"/>
        <w:ind w:left="3119" w:hanging="567"/>
        <w:contextualSpacing/>
        <w:jc w:val="both"/>
        <w:rPr>
          <w:rFonts w:ascii="Arial" w:eastAsia="Lucida Sans Unicode" w:hAnsi="Arial" w:cs="Arial"/>
          <w:lang w:val="es-ES" w:eastAsia="es-ES"/>
        </w:rPr>
      </w:pPr>
      <w:r w:rsidRPr="007F56F0">
        <w:rPr>
          <w:rFonts w:ascii="Arial" w:eastAsia="Lucida Sans Unicode" w:hAnsi="Arial" w:cs="Arial"/>
          <w:lang w:val="es-ES" w:eastAsia="es-ES"/>
        </w:rPr>
        <w:t>Los gastos notariales y registrales son de cuenta del arrendatario.</w:t>
      </w:r>
    </w:p>
    <w:p w:rsidR="007F56F0" w:rsidRPr="007F56F0" w:rsidRDefault="007F56F0" w:rsidP="0092471C">
      <w:pPr>
        <w:numPr>
          <w:ilvl w:val="0"/>
          <w:numId w:val="321"/>
        </w:numPr>
        <w:spacing w:after="0" w:line="240" w:lineRule="auto"/>
        <w:ind w:left="3119" w:hanging="567"/>
        <w:contextualSpacing/>
        <w:jc w:val="both"/>
        <w:rPr>
          <w:rFonts w:ascii="Arial" w:eastAsia="Lucida Sans Unicode" w:hAnsi="Arial" w:cs="Arial"/>
          <w:lang w:val="es-ES" w:eastAsia="es-ES"/>
        </w:rPr>
      </w:pPr>
      <w:r w:rsidRPr="007F56F0">
        <w:rPr>
          <w:rFonts w:ascii="Arial" w:eastAsia="Lucida Sans Unicode" w:hAnsi="Arial" w:cs="Arial"/>
          <w:lang w:val="es-ES" w:eastAsia="es-ES"/>
        </w:rPr>
        <w:t>El pago de arbitrios municipales y los servicios son de cuenta del arrendatario.</w:t>
      </w:r>
    </w:p>
    <w:p w:rsidR="007F56F0" w:rsidRPr="007F56F0" w:rsidRDefault="007F56F0" w:rsidP="0092471C">
      <w:pPr>
        <w:numPr>
          <w:ilvl w:val="0"/>
          <w:numId w:val="321"/>
        </w:numPr>
        <w:spacing w:after="0" w:line="240" w:lineRule="auto"/>
        <w:ind w:left="3119" w:hanging="567"/>
        <w:contextualSpacing/>
        <w:jc w:val="both"/>
        <w:rPr>
          <w:rFonts w:ascii="Arial" w:eastAsia="Lucida Sans Unicode" w:hAnsi="Arial" w:cs="Arial"/>
          <w:lang w:val="es-ES" w:eastAsia="es-ES"/>
        </w:rPr>
      </w:pPr>
      <w:r w:rsidRPr="007F56F0">
        <w:rPr>
          <w:rFonts w:ascii="Arial" w:eastAsia="Lucida Sans Unicode" w:hAnsi="Arial" w:cs="Arial"/>
          <w:lang w:val="es-ES" w:eastAsia="es-ES"/>
        </w:rPr>
        <w:t>La reserva de áreas o usos a favor de la entidad arrendadora, cuando corresponda.</w:t>
      </w:r>
    </w:p>
    <w:p w:rsidR="007F56F0" w:rsidRPr="007F56F0" w:rsidRDefault="007F56F0" w:rsidP="0092471C">
      <w:pPr>
        <w:numPr>
          <w:ilvl w:val="0"/>
          <w:numId w:val="321"/>
        </w:numPr>
        <w:spacing w:after="0" w:line="240" w:lineRule="auto"/>
        <w:ind w:left="3119" w:hanging="567"/>
        <w:contextualSpacing/>
        <w:jc w:val="both"/>
        <w:rPr>
          <w:rFonts w:ascii="Arial" w:eastAsia="Lucida Sans Unicode" w:hAnsi="Arial" w:cs="Arial"/>
          <w:lang w:val="es-ES" w:eastAsia="es-ES"/>
        </w:rPr>
      </w:pPr>
      <w:r w:rsidRPr="007F56F0">
        <w:rPr>
          <w:rFonts w:ascii="Arial" w:eastAsia="Lucida Sans Unicode" w:hAnsi="Arial" w:cs="Arial"/>
          <w:lang w:val="es-ES" w:eastAsia="es-ES"/>
        </w:rPr>
        <w:t>La obligación de contratar una póliza de seguro, cuando corresponda.</w:t>
      </w:r>
    </w:p>
    <w:p w:rsidR="007F56F0" w:rsidRPr="007F56F0" w:rsidRDefault="007F56F0" w:rsidP="0092471C">
      <w:pPr>
        <w:numPr>
          <w:ilvl w:val="0"/>
          <w:numId w:val="321"/>
        </w:numPr>
        <w:spacing w:after="0" w:line="240" w:lineRule="auto"/>
        <w:ind w:left="3119" w:hanging="567"/>
        <w:contextualSpacing/>
        <w:jc w:val="both"/>
        <w:rPr>
          <w:rFonts w:ascii="Arial" w:eastAsia="Lucida Sans Unicode" w:hAnsi="Arial" w:cs="Arial"/>
          <w:lang w:val="es-ES" w:eastAsia="es-ES"/>
        </w:rPr>
      </w:pPr>
      <w:r w:rsidRPr="007F56F0">
        <w:rPr>
          <w:rFonts w:ascii="Arial" w:eastAsia="Lucida Sans Unicode" w:hAnsi="Arial" w:cs="Arial"/>
          <w:lang w:val="es-ES" w:eastAsia="es-ES"/>
        </w:rPr>
        <w:t>La obligación de depositar la garantía de fiel cumplimiento y su satisfacción de que ésta se encuentra cancelada.</w:t>
      </w:r>
    </w:p>
    <w:p w:rsidR="007F56F0" w:rsidRPr="007F56F0" w:rsidRDefault="007F56F0" w:rsidP="0092471C">
      <w:pPr>
        <w:numPr>
          <w:ilvl w:val="0"/>
          <w:numId w:val="321"/>
        </w:numPr>
        <w:spacing w:after="0" w:line="240" w:lineRule="auto"/>
        <w:ind w:left="3119" w:hanging="709"/>
        <w:contextualSpacing/>
        <w:jc w:val="both"/>
        <w:rPr>
          <w:rFonts w:ascii="Arial" w:eastAsia="Lucida Sans Unicode" w:hAnsi="Arial" w:cs="Arial"/>
          <w:lang w:val="es-ES" w:eastAsia="es-ES"/>
        </w:rPr>
      </w:pPr>
      <w:r w:rsidRPr="007F56F0">
        <w:rPr>
          <w:rFonts w:ascii="Arial" w:eastAsia="Lucida Sans Unicode" w:hAnsi="Arial" w:cs="Arial"/>
          <w:lang w:val="es-ES" w:eastAsia="es-ES"/>
        </w:rPr>
        <w:t>El establecimiento de penalidades.</w:t>
      </w:r>
    </w:p>
    <w:p w:rsidR="007F56F0" w:rsidRPr="007F56F0" w:rsidRDefault="007F56F0" w:rsidP="0092471C">
      <w:pPr>
        <w:numPr>
          <w:ilvl w:val="0"/>
          <w:numId w:val="321"/>
        </w:numPr>
        <w:spacing w:after="0" w:line="240" w:lineRule="auto"/>
        <w:ind w:left="3119" w:hanging="709"/>
        <w:contextualSpacing/>
        <w:jc w:val="both"/>
        <w:rPr>
          <w:rFonts w:ascii="Arial" w:eastAsia="Lucida Sans Unicode" w:hAnsi="Arial" w:cs="Arial"/>
          <w:lang w:val="es-ES" w:eastAsia="es-ES"/>
        </w:rPr>
      </w:pPr>
      <w:r w:rsidRPr="007F56F0">
        <w:rPr>
          <w:rFonts w:ascii="Arial" w:eastAsia="Lucida Sans Unicode" w:hAnsi="Arial" w:cs="Arial"/>
          <w:lang w:val="es-ES" w:eastAsia="es-ES"/>
        </w:rPr>
        <w:t>Clausula resolutoria expresa ante el incumplimiento de pago o de otras obligaciones establecidas.</w:t>
      </w:r>
    </w:p>
    <w:p w:rsidR="007F56F0" w:rsidRPr="007F56F0" w:rsidRDefault="007F56F0" w:rsidP="0092471C">
      <w:pPr>
        <w:numPr>
          <w:ilvl w:val="0"/>
          <w:numId w:val="321"/>
        </w:numPr>
        <w:spacing w:after="0" w:line="240" w:lineRule="auto"/>
        <w:ind w:left="3119" w:hanging="709"/>
        <w:contextualSpacing/>
        <w:jc w:val="both"/>
        <w:rPr>
          <w:rFonts w:ascii="Arial" w:eastAsia="Lucida Sans Unicode" w:hAnsi="Arial" w:cs="Arial"/>
          <w:lang w:val="es-ES" w:eastAsia="es-ES"/>
        </w:rPr>
      </w:pPr>
      <w:r w:rsidRPr="007F56F0">
        <w:rPr>
          <w:rFonts w:ascii="Arial" w:eastAsia="Lucida Sans Unicode" w:hAnsi="Arial" w:cs="Arial"/>
          <w:lang w:val="es-ES" w:eastAsia="es-ES"/>
        </w:rPr>
        <w:t>Y demás disposiciones pertinentes contenidas en el Código Civil, que garanticen los intereses del Estado.</w:t>
      </w:r>
    </w:p>
    <w:p w:rsidR="007F56F0" w:rsidRPr="007F56F0" w:rsidRDefault="007F56F0" w:rsidP="00477B96">
      <w:pPr>
        <w:spacing w:after="0" w:line="240" w:lineRule="auto"/>
        <w:ind w:left="2127" w:hanging="709"/>
        <w:jc w:val="both"/>
        <w:rPr>
          <w:rFonts w:ascii="Arial" w:eastAsia="Times New Roman" w:hAnsi="Arial" w:cs="Arial"/>
          <w:strike/>
          <w:lang w:val="es-ES" w:eastAsia="es-ES"/>
        </w:rPr>
      </w:pPr>
    </w:p>
    <w:p w:rsidR="007F56F0" w:rsidRPr="007F56F0" w:rsidRDefault="00477B96" w:rsidP="00477B96">
      <w:pPr>
        <w:widowControl w:val="0"/>
        <w:shd w:val="clear" w:color="auto" w:fill="FFFFFF"/>
        <w:tabs>
          <w:tab w:val="left" w:pos="459"/>
        </w:tabs>
        <w:suppressAutoHyphens/>
        <w:overflowPunct w:val="0"/>
        <w:autoSpaceDE w:val="0"/>
        <w:autoSpaceDN w:val="0"/>
        <w:adjustRightInd w:val="0"/>
        <w:spacing w:after="0" w:line="240" w:lineRule="auto"/>
        <w:ind w:left="2127" w:hanging="709"/>
        <w:jc w:val="both"/>
        <w:rPr>
          <w:rFonts w:ascii="Arial" w:eastAsia="Lucida Sans Unicode" w:hAnsi="Arial" w:cs="Arial"/>
          <w:lang w:val="es-ES_tradnl" w:eastAsia="es-ES"/>
        </w:rPr>
      </w:pPr>
      <w:r>
        <w:rPr>
          <w:rFonts w:ascii="Arial" w:eastAsia="Lucida Sans Unicode" w:hAnsi="Arial" w:cs="Arial"/>
          <w:lang w:val="es-ES" w:eastAsia="es-ES"/>
        </w:rPr>
        <w:tab/>
      </w:r>
      <w:r w:rsidR="007F56F0" w:rsidRPr="007F56F0">
        <w:rPr>
          <w:rFonts w:ascii="Arial" w:eastAsia="Lucida Sans Unicode" w:hAnsi="Arial" w:cs="Arial"/>
          <w:lang w:val="es-ES" w:eastAsia="es-ES"/>
        </w:rPr>
        <w:t xml:space="preserve">Una vez elaborado el contrato, </w:t>
      </w:r>
      <w:r w:rsidR="007F56F0" w:rsidRPr="007F56F0">
        <w:rPr>
          <w:rFonts w:ascii="Arial" w:eastAsia="Lucida Sans Unicode" w:hAnsi="Arial" w:cs="Arial"/>
          <w:lang w:val="es-ES_tradnl" w:eastAsia="es-ES"/>
        </w:rPr>
        <w:t>la unidad orgánica que sustentó el procedimiento requiere al administrado mediante oficio, a fin que cumpla con suscribir el referido contrato en un plazo no mayor a quince (15) días hábiles, contados desde la respectiva notificación. En el caso del pago a que se refiere el numeral 1) del artículo 94 del reglamento, éste se requiere al administrado conjuntamente con la suscripción del contrato.</w:t>
      </w:r>
    </w:p>
    <w:p w:rsidR="007F56F0" w:rsidRPr="007F56F0" w:rsidRDefault="007F56F0" w:rsidP="00477B96">
      <w:pPr>
        <w:widowControl w:val="0"/>
        <w:shd w:val="clear" w:color="auto" w:fill="FFFFFF"/>
        <w:tabs>
          <w:tab w:val="left" w:pos="459"/>
        </w:tabs>
        <w:suppressAutoHyphens/>
        <w:overflowPunct w:val="0"/>
        <w:autoSpaceDE w:val="0"/>
        <w:autoSpaceDN w:val="0"/>
        <w:adjustRightInd w:val="0"/>
        <w:spacing w:after="0" w:line="240" w:lineRule="auto"/>
        <w:ind w:left="2127" w:hanging="709"/>
        <w:jc w:val="both"/>
        <w:rPr>
          <w:rFonts w:ascii="Arial" w:eastAsia="Lucida Sans Unicode" w:hAnsi="Arial" w:cs="Arial"/>
          <w:lang w:val="es-ES_tradnl" w:eastAsia="es-ES"/>
        </w:rPr>
      </w:pPr>
    </w:p>
    <w:p w:rsidR="007F56F0" w:rsidRPr="007F56F0" w:rsidRDefault="00477B96" w:rsidP="00477B96">
      <w:pPr>
        <w:widowControl w:val="0"/>
        <w:shd w:val="clear" w:color="auto" w:fill="FFFFFF"/>
        <w:tabs>
          <w:tab w:val="left" w:pos="459"/>
        </w:tabs>
        <w:suppressAutoHyphens/>
        <w:overflowPunct w:val="0"/>
        <w:autoSpaceDE w:val="0"/>
        <w:autoSpaceDN w:val="0"/>
        <w:adjustRightInd w:val="0"/>
        <w:spacing w:after="0" w:line="240" w:lineRule="auto"/>
        <w:ind w:left="2127" w:hanging="709"/>
        <w:jc w:val="both"/>
        <w:rPr>
          <w:rFonts w:ascii="Arial" w:eastAsia="Lucida Sans Unicode" w:hAnsi="Arial" w:cs="Arial"/>
          <w:lang w:val="es-ES_tradnl" w:eastAsia="es-ES"/>
        </w:rPr>
      </w:pPr>
      <w:r>
        <w:rPr>
          <w:rFonts w:ascii="Arial" w:eastAsia="Lucida Sans Unicode" w:hAnsi="Arial" w:cs="Arial"/>
          <w:lang w:val="es-ES_tradnl" w:eastAsia="es-ES"/>
        </w:rPr>
        <w:tab/>
      </w:r>
      <w:r w:rsidR="007F56F0" w:rsidRPr="007F56F0">
        <w:rPr>
          <w:rFonts w:ascii="Arial" w:eastAsia="Lucida Sans Unicode" w:hAnsi="Arial" w:cs="Arial"/>
          <w:lang w:val="es-ES_tradnl" w:eastAsia="es-ES"/>
        </w:rPr>
        <w:t>En el caso que el administrado no cumpla con suscribir el contrato en el plazo antes indicado o s</w:t>
      </w:r>
      <w:r w:rsidR="007F56F0" w:rsidRPr="007F56F0">
        <w:rPr>
          <w:rFonts w:ascii="Arial" w:eastAsia="Lucida Sans Unicode" w:hAnsi="Arial" w:cs="Arial"/>
          <w:lang w:val="es-ES" w:eastAsia="es-ES"/>
        </w:rPr>
        <w:t>i no se efectúa el pago de la renta a que se refiere el numeral 1) del artículo 94° del Reglamento al momento de la firma del contrato, se deja sin efecto la resolución que aprueba el arrendamiento, requiriendo la devolución del predio, en caso de haberse entregado, sin lugar a devolución de la renta pagada.</w:t>
      </w:r>
    </w:p>
    <w:p w:rsidR="007F56F0" w:rsidRPr="007F56F0" w:rsidRDefault="007F56F0" w:rsidP="00477B96">
      <w:pPr>
        <w:widowControl w:val="0"/>
        <w:spacing w:after="0" w:line="240" w:lineRule="auto"/>
        <w:ind w:left="2127" w:hanging="709"/>
        <w:contextualSpacing/>
        <w:jc w:val="both"/>
        <w:rPr>
          <w:rFonts w:ascii="Arial" w:eastAsia="Times New Roman" w:hAnsi="Arial" w:cs="Arial"/>
          <w:lang w:val="es-ES"/>
        </w:rPr>
      </w:pPr>
    </w:p>
    <w:p w:rsidR="007F56F0" w:rsidRPr="007F56F0" w:rsidRDefault="007F56F0" w:rsidP="00477B96">
      <w:pPr>
        <w:spacing w:after="0" w:line="240" w:lineRule="auto"/>
        <w:ind w:left="2127" w:hanging="3"/>
        <w:jc w:val="both"/>
        <w:rPr>
          <w:rFonts w:ascii="Arial" w:eastAsia="Times New Roman" w:hAnsi="Arial" w:cs="Arial"/>
          <w:lang w:val="es-ES" w:eastAsia="es-ES"/>
        </w:rPr>
      </w:pPr>
      <w:r w:rsidRPr="007F56F0">
        <w:rPr>
          <w:rFonts w:ascii="Arial" w:eastAsia="Times New Roman" w:hAnsi="Arial" w:cs="Arial"/>
          <w:lang w:val="es-ES" w:eastAsia="es-ES"/>
        </w:rPr>
        <w:t>Los gastos notariales y registrales son asumidos por el administrado, incluyendo el pago del Testimonio a favor de la entidad propietaria del predio.</w:t>
      </w:r>
    </w:p>
    <w:p w:rsidR="007F56F0" w:rsidRPr="007F56F0" w:rsidRDefault="007F56F0" w:rsidP="00477B96">
      <w:pPr>
        <w:spacing w:after="0" w:line="240" w:lineRule="auto"/>
        <w:ind w:left="2127" w:hanging="709"/>
        <w:jc w:val="both"/>
        <w:rPr>
          <w:rFonts w:ascii="Arial" w:eastAsia="Times New Roman" w:hAnsi="Arial" w:cs="Arial"/>
          <w:lang w:val="es-ES" w:eastAsia="es-ES"/>
        </w:rPr>
      </w:pPr>
    </w:p>
    <w:p w:rsidR="007F56F0" w:rsidRPr="007F56F0" w:rsidRDefault="007F56F0" w:rsidP="00477B96">
      <w:pPr>
        <w:spacing w:after="0" w:line="240" w:lineRule="auto"/>
        <w:ind w:left="2127" w:hanging="3"/>
        <w:jc w:val="both"/>
        <w:rPr>
          <w:rFonts w:ascii="Arial" w:eastAsia="Times New Roman" w:hAnsi="Arial" w:cs="Arial"/>
          <w:lang w:val="es-ES" w:eastAsia="es-ES"/>
        </w:rPr>
      </w:pPr>
      <w:r w:rsidRPr="007F56F0">
        <w:rPr>
          <w:rFonts w:ascii="Arial" w:eastAsia="Times New Roman" w:hAnsi="Arial" w:cs="Arial"/>
          <w:lang w:val="es-ES" w:eastAsia="es-ES"/>
        </w:rPr>
        <w:t>Respecto a los predios de competencia de la SBN, corresponde a la DGPE, suscribir la minuta de arrendamiento y la escritura pública. Si los predios son de propiedad de otras entidades públicas, corresponde a la oficina de control patrimonial de dicha entidad o a la que tenga facultades conforme a su ROF.</w:t>
      </w:r>
    </w:p>
    <w:p w:rsidR="007F56F0" w:rsidRPr="007F56F0" w:rsidRDefault="007F56F0" w:rsidP="00477B96">
      <w:pPr>
        <w:spacing w:after="0" w:line="240" w:lineRule="auto"/>
        <w:ind w:left="2127" w:right="283" w:hanging="709"/>
        <w:jc w:val="both"/>
        <w:rPr>
          <w:rFonts w:ascii="Arial" w:eastAsia="Times New Roman" w:hAnsi="Arial" w:cs="Arial"/>
          <w:i/>
          <w:color w:val="FF0000"/>
          <w:lang w:val="es-ES" w:eastAsia="es-ES"/>
        </w:rPr>
      </w:pPr>
    </w:p>
    <w:p w:rsidR="007F56F0" w:rsidRPr="007F56F0" w:rsidRDefault="007F56F0" w:rsidP="0092471C">
      <w:pPr>
        <w:numPr>
          <w:ilvl w:val="2"/>
          <w:numId w:val="320"/>
        </w:numPr>
        <w:spacing w:after="0" w:line="240" w:lineRule="auto"/>
        <w:ind w:left="2127" w:right="57" w:hanging="709"/>
        <w:contextualSpacing/>
        <w:jc w:val="both"/>
        <w:rPr>
          <w:rFonts w:ascii="Arial" w:eastAsia="Lucida Sans Unicode" w:hAnsi="Arial" w:cs="Arial"/>
          <w:b/>
          <w:lang w:val="es-ES_tradnl" w:eastAsia="es-ES"/>
        </w:rPr>
      </w:pPr>
      <w:r w:rsidRPr="007F56F0">
        <w:rPr>
          <w:rFonts w:ascii="Arial" w:eastAsia="Lucida Sans Unicode" w:hAnsi="Arial" w:cs="Arial"/>
          <w:b/>
          <w:lang w:val="es-ES_tradnl" w:eastAsia="es-ES"/>
        </w:rPr>
        <w:t>Cláusula de reajuste automático</w:t>
      </w:r>
    </w:p>
    <w:p w:rsidR="007F56F0" w:rsidRPr="007F56F0" w:rsidRDefault="007F56F0" w:rsidP="00477B96">
      <w:pPr>
        <w:spacing w:after="0" w:line="240" w:lineRule="auto"/>
        <w:ind w:left="2127" w:hanging="3"/>
        <w:jc w:val="both"/>
        <w:rPr>
          <w:rFonts w:ascii="Arial" w:eastAsia="Times New Roman" w:hAnsi="Arial" w:cs="Arial"/>
          <w:lang w:val="es-ES" w:eastAsia="es-ES"/>
        </w:rPr>
      </w:pPr>
      <w:r w:rsidRPr="007F56F0">
        <w:rPr>
          <w:rFonts w:ascii="Arial" w:eastAsia="Times New Roman" w:hAnsi="Arial" w:cs="Arial"/>
          <w:lang w:val="es-ES" w:eastAsia="es-ES"/>
        </w:rPr>
        <w:t>En todos los contratos de arrendamiento se incluye una cláusula de reajuste automático anual de la renta, en función del IPC.</w:t>
      </w:r>
    </w:p>
    <w:p w:rsidR="007F56F0" w:rsidRPr="007F56F0" w:rsidRDefault="007F56F0" w:rsidP="00477B96">
      <w:pPr>
        <w:widowControl w:val="0"/>
        <w:tabs>
          <w:tab w:val="left" w:pos="1276"/>
        </w:tabs>
        <w:suppressAutoHyphens/>
        <w:spacing w:after="0" w:line="240" w:lineRule="auto"/>
        <w:ind w:left="2127" w:hanging="709"/>
        <w:jc w:val="both"/>
        <w:rPr>
          <w:rFonts w:ascii="Arial" w:eastAsia="Lucida Sans Unicode" w:hAnsi="Arial" w:cs="Arial"/>
          <w:b/>
          <w:lang w:val="es-ES" w:eastAsia="es-ES"/>
        </w:rPr>
      </w:pPr>
    </w:p>
    <w:p w:rsidR="007F56F0" w:rsidRPr="007F56F0" w:rsidRDefault="007F56F0" w:rsidP="00477B96">
      <w:pPr>
        <w:spacing w:after="0" w:line="240" w:lineRule="auto"/>
        <w:ind w:left="2127" w:hanging="3"/>
        <w:jc w:val="both"/>
        <w:rPr>
          <w:rFonts w:ascii="Arial" w:eastAsia="Times New Roman" w:hAnsi="Arial" w:cs="Arial"/>
          <w:lang w:val="es-ES" w:eastAsia="es-ES"/>
        </w:rPr>
      </w:pPr>
      <w:r w:rsidRPr="007F56F0">
        <w:rPr>
          <w:rFonts w:ascii="Arial" w:eastAsia="Times New Roman" w:hAnsi="Arial" w:cs="Arial"/>
          <w:lang w:val="es-ES" w:eastAsia="es-ES"/>
        </w:rPr>
        <w:t>En el caso de la SBN, el SAT realiza la actualización de la renta para su cobro. En las demás entidades, corresponde a la unidad administrativa de la oficina de control patrimonial o la que haga sus veces, de acuerdo a sus instrumentos de gestión.</w:t>
      </w:r>
    </w:p>
    <w:p w:rsidR="007F56F0" w:rsidRPr="007F56F0" w:rsidRDefault="007F56F0" w:rsidP="00477B96">
      <w:pPr>
        <w:tabs>
          <w:tab w:val="left" w:pos="2970"/>
        </w:tabs>
        <w:spacing w:after="0" w:line="240" w:lineRule="auto"/>
        <w:ind w:left="2127" w:hanging="709"/>
        <w:jc w:val="both"/>
        <w:rPr>
          <w:rFonts w:ascii="Arial" w:eastAsia="Times New Roman" w:hAnsi="Arial" w:cs="Arial"/>
          <w:b/>
          <w:color w:val="1F497D"/>
          <w:lang w:val="es-ES" w:eastAsia="es-ES"/>
        </w:rPr>
      </w:pPr>
    </w:p>
    <w:p w:rsidR="007F56F0" w:rsidRPr="007F56F0" w:rsidRDefault="007F56F0" w:rsidP="0092471C">
      <w:pPr>
        <w:numPr>
          <w:ilvl w:val="2"/>
          <w:numId w:val="320"/>
        </w:numPr>
        <w:tabs>
          <w:tab w:val="left" w:pos="1276"/>
        </w:tabs>
        <w:spacing w:after="0" w:line="240" w:lineRule="auto"/>
        <w:ind w:left="2127" w:hanging="709"/>
        <w:contextualSpacing/>
        <w:jc w:val="both"/>
        <w:rPr>
          <w:rFonts w:ascii="Arial" w:eastAsia="Lucida Sans Unicode" w:hAnsi="Arial" w:cs="Arial"/>
          <w:b/>
          <w:lang w:val="es-ES" w:eastAsia="es-ES"/>
        </w:rPr>
      </w:pPr>
      <w:r w:rsidRPr="007F56F0">
        <w:rPr>
          <w:rFonts w:ascii="Arial" w:eastAsia="Lucida Sans Unicode" w:hAnsi="Arial" w:cs="Arial"/>
          <w:b/>
          <w:lang w:val="es-ES" w:eastAsia="es-ES"/>
        </w:rPr>
        <w:t>Garantía de fiel Cumplimiento</w:t>
      </w:r>
    </w:p>
    <w:p w:rsidR="007F56F0" w:rsidRPr="007F56F0" w:rsidRDefault="007F56F0" w:rsidP="00477B96">
      <w:pPr>
        <w:spacing w:after="0" w:line="240" w:lineRule="auto"/>
        <w:ind w:left="2127" w:hanging="3"/>
        <w:jc w:val="both"/>
        <w:rPr>
          <w:rFonts w:ascii="Arial" w:eastAsia="Times New Roman" w:hAnsi="Arial" w:cs="Arial"/>
          <w:lang w:val="es-ES" w:eastAsia="es-ES"/>
        </w:rPr>
      </w:pPr>
      <w:r w:rsidRPr="007F56F0">
        <w:rPr>
          <w:rFonts w:ascii="Arial" w:eastAsia="Times New Roman" w:hAnsi="Arial" w:cs="Arial"/>
          <w:lang w:val="es-ES" w:eastAsia="es-ES"/>
        </w:rPr>
        <w:t>La garantía tiene por objeto preservar el buen estado de las instalaciones del predio, el pago de la renta, arbitrios y/o servicios; así como moras, intereses y penalidades conforme a las estipulaciones del contrato.</w:t>
      </w:r>
    </w:p>
    <w:p w:rsidR="007F56F0" w:rsidRPr="007F56F0" w:rsidRDefault="007F56F0" w:rsidP="00477B96">
      <w:pPr>
        <w:widowControl w:val="0"/>
        <w:suppressAutoHyphens/>
        <w:spacing w:after="0" w:line="240" w:lineRule="auto"/>
        <w:ind w:left="2127" w:hanging="709"/>
        <w:jc w:val="both"/>
        <w:rPr>
          <w:rFonts w:ascii="Arial" w:eastAsia="Lucida Sans Unicode" w:hAnsi="Arial" w:cs="Arial"/>
          <w:lang w:val="es-ES" w:eastAsia="es-ES"/>
        </w:rPr>
      </w:pPr>
    </w:p>
    <w:p w:rsidR="007F56F0" w:rsidRPr="007F56F0" w:rsidRDefault="007F56F0" w:rsidP="00477B96">
      <w:pPr>
        <w:spacing w:after="0" w:line="240" w:lineRule="auto"/>
        <w:ind w:left="2127" w:hanging="3"/>
        <w:jc w:val="both"/>
        <w:rPr>
          <w:rFonts w:ascii="Arial" w:eastAsia="Times New Roman" w:hAnsi="Arial" w:cs="Arial"/>
          <w:lang w:val="es-ES" w:eastAsia="es-ES"/>
        </w:rPr>
      </w:pPr>
      <w:r w:rsidRPr="007F56F0">
        <w:rPr>
          <w:rFonts w:ascii="Arial" w:eastAsia="Times New Roman" w:hAnsi="Arial" w:cs="Arial"/>
          <w:lang w:val="es-ES" w:eastAsia="es-ES"/>
        </w:rPr>
        <w:t xml:space="preserve">Todo contrato de arrendamiento debe contar con la cláusula de Garantía de Fiel Cumplimiento por la suma equivalente a dos (2) veces el valor de la renta, la cual deberá ser entregada mediante carta fianza antes de la suscripción del contrato. La conformidad de la garantía deberá expresarse en el contrato. </w:t>
      </w:r>
    </w:p>
    <w:p w:rsidR="007F56F0" w:rsidRPr="007F56F0" w:rsidRDefault="007F56F0" w:rsidP="00477B96">
      <w:pPr>
        <w:widowControl w:val="0"/>
        <w:tabs>
          <w:tab w:val="left" w:pos="1276"/>
        </w:tabs>
        <w:suppressAutoHyphens/>
        <w:spacing w:after="0" w:line="240" w:lineRule="auto"/>
        <w:ind w:left="2127" w:hanging="709"/>
        <w:jc w:val="both"/>
        <w:rPr>
          <w:rFonts w:ascii="Arial" w:eastAsia="Lucida Sans Unicode" w:hAnsi="Arial" w:cs="Arial"/>
          <w:lang w:val="es-ES" w:eastAsia="es-ES"/>
        </w:rPr>
      </w:pPr>
    </w:p>
    <w:p w:rsidR="007F56F0" w:rsidRPr="007F56F0" w:rsidRDefault="007F56F0" w:rsidP="00477B96">
      <w:pPr>
        <w:spacing w:after="0" w:line="240" w:lineRule="auto"/>
        <w:ind w:left="2127" w:hanging="3"/>
        <w:jc w:val="both"/>
        <w:rPr>
          <w:rFonts w:ascii="Arial" w:eastAsia="Times New Roman" w:hAnsi="Arial" w:cs="Arial"/>
          <w:lang w:val="es-ES" w:eastAsia="es-ES"/>
        </w:rPr>
      </w:pPr>
      <w:r w:rsidRPr="007F56F0">
        <w:rPr>
          <w:rFonts w:ascii="Arial" w:eastAsia="Times New Roman" w:hAnsi="Arial" w:cs="Arial"/>
          <w:lang w:val="es-ES" w:eastAsia="es-ES"/>
        </w:rPr>
        <w:t>La garantía será devuelta al finalizar el contrato, siempre y cuando no existan obligaciones pendientes de pago y el inmueble se encuentre en buen estado de conservación y sin más desgaste que los derivados de su uso normal.</w:t>
      </w:r>
    </w:p>
    <w:p w:rsidR="007F56F0" w:rsidRPr="007F56F0" w:rsidRDefault="007F56F0" w:rsidP="00477B96">
      <w:pPr>
        <w:spacing w:after="0" w:line="240" w:lineRule="auto"/>
        <w:ind w:left="2127" w:hanging="709"/>
        <w:jc w:val="both"/>
        <w:rPr>
          <w:rFonts w:ascii="Arial" w:eastAsia="Times New Roman" w:hAnsi="Arial" w:cs="Arial"/>
          <w:lang w:val="es-ES" w:eastAsia="es-ES"/>
        </w:rPr>
      </w:pPr>
    </w:p>
    <w:p w:rsidR="007F56F0" w:rsidRPr="007F56F0" w:rsidRDefault="007F56F0" w:rsidP="00477B96">
      <w:pPr>
        <w:spacing w:after="0" w:line="240" w:lineRule="auto"/>
        <w:ind w:left="2127" w:hanging="3"/>
        <w:jc w:val="both"/>
        <w:rPr>
          <w:rFonts w:ascii="Arial" w:eastAsia="Times New Roman" w:hAnsi="Arial" w:cs="Arial"/>
          <w:lang w:val="es-ES" w:eastAsia="es-ES"/>
        </w:rPr>
      </w:pPr>
      <w:r w:rsidRPr="007F56F0">
        <w:rPr>
          <w:rFonts w:ascii="Arial" w:eastAsia="Times New Roman" w:hAnsi="Arial" w:cs="Arial"/>
          <w:lang w:val="es-ES" w:eastAsia="es-ES"/>
        </w:rPr>
        <w:t>La verificación del estado situacional en que se devuelve el bien será efectuada por la unidad encargada de la administración del predio, que en el caso de los bienes del Estado a cargo de la SBN, es la SDAPE.</w:t>
      </w:r>
    </w:p>
    <w:p w:rsidR="007F56F0" w:rsidRPr="007F56F0" w:rsidRDefault="007F56F0" w:rsidP="00477B96">
      <w:pPr>
        <w:spacing w:after="0" w:line="240" w:lineRule="auto"/>
        <w:ind w:left="2127" w:hanging="709"/>
        <w:jc w:val="both"/>
        <w:rPr>
          <w:rFonts w:ascii="Arial" w:eastAsia="Times New Roman" w:hAnsi="Arial" w:cs="Arial"/>
          <w:lang w:val="es-ES" w:eastAsia="es-ES"/>
        </w:rPr>
      </w:pPr>
    </w:p>
    <w:p w:rsidR="007F56F0" w:rsidRPr="007F56F0" w:rsidRDefault="007F56F0" w:rsidP="0092471C">
      <w:pPr>
        <w:numPr>
          <w:ilvl w:val="2"/>
          <w:numId w:val="320"/>
        </w:numPr>
        <w:tabs>
          <w:tab w:val="left" w:pos="1276"/>
        </w:tabs>
        <w:spacing w:after="0" w:line="240" w:lineRule="auto"/>
        <w:ind w:left="2127" w:hanging="709"/>
        <w:contextualSpacing/>
        <w:jc w:val="both"/>
        <w:rPr>
          <w:rFonts w:ascii="Arial" w:eastAsia="Lucida Sans Unicode" w:hAnsi="Arial" w:cs="Arial"/>
          <w:b/>
          <w:lang w:val="es-ES" w:eastAsia="es-ES"/>
        </w:rPr>
      </w:pPr>
      <w:r w:rsidRPr="007F56F0">
        <w:rPr>
          <w:rFonts w:ascii="Arial" w:eastAsia="Lucida Sans Unicode" w:hAnsi="Arial" w:cs="Arial"/>
          <w:b/>
          <w:lang w:val="es-ES" w:eastAsia="es-ES"/>
        </w:rPr>
        <w:t>Póliza de Seguro</w:t>
      </w:r>
    </w:p>
    <w:p w:rsidR="007F56F0" w:rsidRPr="007F56F0" w:rsidRDefault="007F56F0" w:rsidP="00477B96">
      <w:pPr>
        <w:spacing w:after="0" w:line="240" w:lineRule="auto"/>
        <w:ind w:left="2127" w:hanging="3"/>
        <w:jc w:val="both"/>
        <w:rPr>
          <w:rFonts w:ascii="Arial" w:eastAsia="Times New Roman" w:hAnsi="Arial" w:cs="Arial"/>
          <w:lang w:val="es-ES" w:eastAsia="es-ES"/>
        </w:rPr>
      </w:pPr>
      <w:r w:rsidRPr="007F56F0">
        <w:rPr>
          <w:rFonts w:ascii="Arial" w:eastAsia="Times New Roman" w:hAnsi="Arial" w:cs="Arial"/>
          <w:lang w:val="es-ES" w:eastAsia="es-ES"/>
        </w:rPr>
        <w:t>Cuando los predios comprendan edificaciones y la renta mensual supere 1 UIT, siempre que el período de alquiler supere un (1) año, el arrendatario está obligado a contratar a nombre de la entidad arrendadora una Póliza de Seguro de Responsabilidad Civil contra todo riesgo. La póliza debe tener vigencia por todo el plazo del contrato, extendiéndose esta obligación a los casos de renovación contractual. Lo dispuesto no es exigible en los casos de arrendamiento directo regulado en el numeral 2) del artículo 94 del Reglamento.</w:t>
      </w:r>
    </w:p>
    <w:p w:rsidR="007F56F0" w:rsidRPr="007F56F0" w:rsidRDefault="007F56F0" w:rsidP="00477B96">
      <w:pPr>
        <w:widowControl w:val="0"/>
        <w:tabs>
          <w:tab w:val="left" w:pos="1276"/>
        </w:tabs>
        <w:suppressAutoHyphens/>
        <w:spacing w:after="0" w:line="240" w:lineRule="auto"/>
        <w:ind w:left="2127" w:hanging="709"/>
        <w:jc w:val="both"/>
        <w:rPr>
          <w:rFonts w:ascii="Arial" w:eastAsia="Lucida Sans Unicode" w:hAnsi="Arial" w:cs="Arial"/>
          <w:lang w:val="es-ES" w:eastAsia="es-ES"/>
        </w:rPr>
      </w:pPr>
    </w:p>
    <w:p w:rsidR="007F56F0" w:rsidRPr="007F56F0" w:rsidRDefault="007F56F0" w:rsidP="00477B96">
      <w:pPr>
        <w:spacing w:after="0" w:line="240" w:lineRule="auto"/>
        <w:ind w:left="2127" w:hanging="3"/>
        <w:jc w:val="both"/>
        <w:rPr>
          <w:rFonts w:ascii="Arial" w:eastAsia="Times New Roman" w:hAnsi="Arial" w:cs="Arial"/>
          <w:lang w:val="es-ES" w:eastAsia="es-ES"/>
        </w:rPr>
      </w:pPr>
      <w:r w:rsidRPr="007F56F0">
        <w:rPr>
          <w:rFonts w:ascii="Arial" w:eastAsia="Times New Roman" w:hAnsi="Arial" w:cs="Arial"/>
          <w:lang w:val="es-ES" w:eastAsia="es-ES"/>
        </w:rPr>
        <w:t xml:space="preserve">La Póliza debe ser entregada a la entidad arrendadora dentro de los quince (15) días hábiles de suscrito el contrato, cuyo incumplimiento puede ocasionar la resolución del contrato. </w:t>
      </w:r>
    </w:p>
    <w:p w:rsidR="007F56F0" w:rsidRPr="007F56F0" w:rsidRDefault="007F56F0" w:rsidP="00477B96">
      <w:pPr>
        <w:widowControl w:val="0"/>
        <w:tabs>
          <w:tab w:val="left" w:pos="1276"/>
        </w:tabs>
        <w:suppressAutoHyphens/>
        <w:spacing w:after="0" w:line="240" w:lineRule="auto"/>
        <w:ind w:left="2127" w:hanging="709"/>
        <w:jc w:val="both"/>
        <w:rPr>
          <w:rFonts w:ascii="Arial" w:eastAsia="Lucida Sans Unicode" w:hAnsi="Arial" w:cs="Arial"/>
          <w:b/>
          <w:lang w:val="es-ES" w:eastAsia="es-ES"/>
        </w:rPr>
      </w:pPr>
    </w:p>
    <w:p w:rsidR="007F56F0" w:rsidRPr="007F56F0" w:rsidRDefault="007F56F0" w:rsidP="0092471C">
      <w:pPr>
        <w:numPr>
          <w:ilvl w:val="2"/>
          <w:numId w:val="320"/>
        </w:numPr>
        <w:spacing w:after="0" w:line="240" w:lineRule="auto"/>
        <w:ind w:left="2127" w:hanging="709"/>
        <w:contextualSpacing/>
        <w:jc w:val="both"/>
        <w:rPr>
          <w:rFonts w:ascii="Arial" w:eastAsia="Lucida Sans Unicode" w:hAnsi="Arial" w:cs="Arial"/>
          <w:b/>
          <w:lang w:val="es-ES" w:eastAsia="es-ES"/>
        </w:rPr>
      </w:pPr>
      <w:r w:rsidRPr="007F56F0">
        <w:rPr>
          <w:rFonts w:ascii="Arial" w:eastAsia="Lucida Sans Unicode" w:hAnsi="Arial" w:cs="Arial"/>
          <w:b/>
          <w:lang w:val="es-ES" w:eastAsia="es-ES"/>
        </w:rPr>
        <w:t xml:space="preserve">Del registro del contrato en el aplicativo </w:t>
      </w:r>
    </w:p>
    <w:p w:rsidR="007F56F0" w:rsidRPr="007F56F0" w:rsidRDefault="00477B96" w:rsidP="00477B96">
      <w:pPr>
        <w:widowControl w:val="0"/>
        <w:tabs>
          <w:tab w:val="left" w:pos="567"/>
        </w:tabs>
        <w:spacing w:after="0" w:line="240" w:lineRule="auto"/>
        <w:ind w:left="2127" w:hanging="709"/>
        <w:contextualSpacing/>
        <w:jc w:val="both"/>
        <w:rPr>
          <w:rFonts w:ascii="Arial" w:eastAsia="Times New Roman" w:hAnsi="Arial" w:cs="Arial"/>
          <w:lang w:val="es-ES"/>
        </w:rPr>
      </w:pPr>
      <w:r>
        <w:rPr>
          <w:rFonts w:ascii="Arial" w:eastAsia="Times New Roman" w:hAnsi="Arial" w:cs="Arial"/>
          <w:lang w:val="es-ES"/>
        </w:rPr>
        <w:tab/>
      </w:r>
      <w:r w:rsidR="007F56F0" w:rsidRPr="007F56F0">
        <w:rPr>
          <w:rFonts w:ascii="Arial" w:eastAsia="Times New Roman" w:hAnsi="Arial" w:cs="Arial"/>
          <w:lang w:val="es-ES"/>
        </w:rPr>
        <w:t xml:space="preserve">Una vez suscrito el contrato, la unidad orgánica que sustentó el arrendamiento procede a registrar el contrato en el aplicativo denominado </w:t>
      </w:r>
      <w:r w:rsidR="007F56F0" w:rsidRPr="007F56F0">
        <w:rPr>
          <w:rFonts w:ascii="Arial" w:eastAsia="Calibri" w:hAnsi="Arial" w:cs="Arial"/>
          <w:lang w:val="es-ES"/>
        </w:rPr>
        <w:t xml:space="preserve">“Seguimiento de Contratos” del SINABIP” </w:t>
      </w:r>
      <w:r w:rsidR="007F56F0" w:rsidRPr="007F56F0">
        <w:rPr>
          <w:rFonts w:ascii="Arial" w:eastAsia="Times New Roman" w:hAnsi="Arial" w:cs="Arial"/>
          <w:lang w:val="es-ES"/>
        </w:rPr>
        <w:t xml:space="preserve">y luego debe poner en conocimiento de la unidad encargada del cobro de la renta. </w:t>
      </w:r>
    </w:p>
    <w:p w:rsidR="007F56F0" w:rsidRPr="007F56F0" w:rsidRDefault="007F56F0" w:rsidP="00477B96">
      <w:pPr>
        <w:widowControl w:val="0"/>
        <w:tabs>
          <w:tab w:val="left" w:pos="1276"/>
        </w:tabs>
        <w:suppressAutoHyphens/>
        <w:spacing w:after="0" w:line="240" w:lineRule="auto"/>
        <w:ind w:left="2127" w:hanging="709"/>
        <w:jc w:val="both"/>
        <w:rPr>
          <w:rFonts w:ascii="Arial" w:eastAsia="Lucida Sans Unicode" w:hAnsi="Arial" w:cs="Arial"/>
          <w:b/>
          <w:lang w:val="es-ES" w:eastAsia="es-ES"/>
        </w:rPr>
      </w:pPr>
    </w:p>
    <w:p w:rsidR="007F56F0" w:rsidRPr="007F56F0" w:rsidRDefault="007F56F0" w:rsidP="0092471C">
      <w:pPr>
        <w:widowControl w:val="0"/>
        <w:numPr>
          <w:ilvl w:val="2"/>
          <w:numId w:val="320"/>
        </w:numPr>
        <w:spacing w:after="0" w:line="240" w:lineRule="auto"/>
        <w:ind w:left="2127" w:hanging="709"/>
        <w:contextualSpacing/>
        <w:jc w:val="both"/>
        <w:rPr>
          <w:rFonts w:ascii="Arial" w:eastAsia="Times New Roman" w:hAnsi="Arial" w:cs="Arial"/>
          <w:b/>
          <w:lang w:val="es-ES"/>
        </w:rPr>
      </w:pPr>
      <w:r w:rsidRPr="007F56F0">
        <w:rPr>
          <w:rFonts w:ascii="Arial" w:eastAsia="Times New Roman" w:hAnsi="Arial" w:cs="Arial"/>
          <w:b/>
          <w:lang w:val="es-ES"/>
        </w:rPr>
        <w:t>Del Acta de Entrega Recepción y Devolución</w:t>
      </w:r>
    </w:p>
    <w:p w:rsidR="007F56F0" w:rsidRPr="007F56F0" w:rsidRDefault="007F56F0" w:rsidP="00477B96">
      <w:pPr>
        <w:widowControl w:val="0"/>
        <w:spacing w:after="0" w:line="240" w:lineRule="auto"/>
        <w:ind w:left="2127" w:hanging="3"/>
        <w:contextualSpacing/>
        <w:jc w:val="both"/>
        <w:rPr>
          <w:rFonts w:ascii="Arial" w:eastAsia="Times New Roman" w:hAnsi="Arial" w:cs="Arial"/>
          <w:lang w:val="es-ES"/>
        </w:rPr>
      </w:pPr>
      <w:r w:rsidRPr="007F56F0">
        <w:rPr>
          <w:rFonts w:ascii="Arial" w:eastAsia="Times New Roman" w:hAnsi="Arial" w:cs="Arial"/>
          <w:lang w:val="es-ES"/>
        </w:rPr>
        <w:t>Una vez suscrito el contrato de arrendamiento, la entidad arrendadora efectúa la entrega del predio al arrendatario, debiendo para tal efecto suscribir un acta de entrega – recepción.</w:t>
      </w:r>
    </w:p>
    <w:p w:rsidR="007F56F0" w:rsidRPr="007F56F0" w:rsidRDefault="007F56F0" w:rsidP="00477B96">
      <w:pPr>
        <w:widowControl w:val="0"/>
        <w:spacing w:after="0" w:line="240" w:lineRule="auto"/>
        <w:ind w:left="2127" w:hanging="709"/>
        <w:contextualSpacing/>
        <w:jc w:val="both"/>
        <w:rPr>
          <w:rFonts w:ascii="Arial" w:eastAsia="Times New Roman" w:hAnsi="Arial" w:cs="Arial"/>
          <w:lang w:val="es-ES"/>
        </w:rPr>
      </w:pPr>
    </w:p>
    <w:p w:rsidR="007F56F0" w:rsidRPr="007F56F0" w:rsidRDefault="007F56F0" w:rsidP="00477B96">
      <w:pPr>
        <w:widowControl w:val="0"/>
        <w:spacing w:after="0" w:line="240" w:lineRule="auto"/>
        <w:ind w:left="2127" w:hanging="3"/>
        <w:contextualSpacing/>
        <w:jc w:val="both"/>
        <w:rPr>
          <w:rFonts w:ascii="Arial" w:eastAsia="Times New Roman" w:hAnsi="Arial" w:cs="Arial"/>
          <w:lang w:val="es-ES"/>
        </w:rPr>
      </w:pPr>
      <w:r w:rsidRPr="007F56F0">
        <w:rPr>
          <w:rFonts w:ascii="Arial" w:eastAsia="Times New Roman" w:hAnsi="Arial" w:cs="Arial"/>
          <w:lang w:val="es-ES"/>
        </w:rPr>
        <w:t>El acta de entrega-recepción no es obligatoria en aquellos casos que se sustenten en la causal de posesión regulada en el numeral 1) del artículo 94 del Reglamento; tampoco resulta necesaria en aquellos casos, que habiéndose suscrito el acta de entrega provisional, esta adquiera la condición de definitiva, conforme lo dispone el numeral 6.2.6 de la presente directiva, siempre que no exista variación del área del predio materia de arrendamiento.</w:t>
      </w:r>
    </w:p>
    <w:p w:rsidR="007F56F0" w:rsidRPr="007F56F0" w:rsidRDefault="007F56F0" w:rsidP="00477B96">
      <w:pPr>
        <w:widowControl w:val="0"/>
        <w:spacing w:after="0" w:line="240" w:lineRule="auto"/>
        <w:ind w:left="2127" w:hanging="709"/>
        <w:contextualSpacing/>
        <w:jc w:val="both"/>
        <w:rPr>
          <w:rFonts w:ascii="Arial" w:eastAsia="Times New Roman" w:hAnsi="Arial" w:cs="Arial"/>
          <w:lang w:val="es-ES"/>
        </w:rPr>
      </w:pPr>
    </w:p>
    <w:p w:rsidR="007F56F0" w:rsidRPr="007F56F0" w:rsidRDefault="007F56F0" w:rsidP="00477B96">
      <w:pPr>
        <w:widowControl w:val="0"/>
        <w:spacing w:after="0" w:line="240" w:lineRule="auto"/>
        <w:ind w:left="2127" w:hanging="3"/>
        <w:contextualSpacing/>
        <w:jc w:val="both"/>
        <w:rPr>
          <w:rFonts w:ascii="Arial" w:eastAsia="Times New Roman" w:hAnsi="Arial" w:cs="Arial"/>
          <w:lang w:val="es-ES"/>
        </w:rPr>
      </w:pPr>
      <w:r w:rsidRPr="007F56F0">
        <w:rPr>
          <w:rFonts w:ascii="Arial" w:eastAsia="Times New Roman" w:hAnsi="Arial" w:cs="Arial"/>
          <w:lang w:val="es-ES"/>
        </w:rPr>
        <w:t>Concluido el plazo del contrato de arrendamiento, la devolución del bien debe constar en un acta de devolución, suscrita por el representante de la entidad que aprobó el trámite.</w:t>
      </w:r>
    </w:p>
    <w:p w:rsidR="007F56F0" w:rsidRPr="007F56F0" w:rsidRDefault="007F56F0" w:rsidP="007F56F0">
      <w:pPr>
        <w:widowControl w:val="0"/>
        <w:spacing w:after="0" w:line="240" w:lineRule="auto"/>
        <w:ind w:left="1276"/>
        <w:contextualSpacing/>
        <w:jc w:val="both"/>
        <w:rPr>
          <w:rFonts w:ascii="Arial" w:eastAsia="Times New Roman" w:hAnsi="Arial" w:cs="Arial"/>
          <w:lang w:val="es-ES"/>
        </w:rPr>
      </w:pPr>
    </w:p>
    <w:p w:rsidR="007F56F0" w:rsidRPr="007F56F0" w:rsidRDefault="007F56F0" w:rsidP="0092471C">
      <w:pPr>
        <w:numPr>
          <w:ilvl w:val="2"/>
          <w:numId w:val="320"/>
        </w:numPr>
        <w:spacing w:after="0" w:line="240" w:lineRule="auto"/>
        <w:ind w:left="2127" w:right="57" w:hanging="851"/>
        <w:contextualSpacing/>
        <w:jc w:val="both"/>
        <w:rPr>
          <w:rFonts w:ascii="Arial" w:eastAsia="Lucida Sans Unicode" w:hAnsi="Arial" w:cs="Arial"/>
          <w:b/>
          <w:lang w:val="es-ES_tradnl" w:eastAsia="es-ES"/>
        </w:rPr>
      </w:pPr>
      <w:r w:rsidRPr="007F56F0">
        <w:rPr>
          <w:rFonts w:ascii="Arial" w:eastAsia="Lucida Sans Unicode" w:hAnsi="Arial" w:cs="Arial"/>
          <w:b/>
          <w:lang w:val="es-ES_tradnl" w:eastAsia="es-ES"/>
        </w:rPr>
        <w:t>De la actualización del SINABIP</w:t>
      </w:r>
    </w:p>
    <w:p w:rsidR="007F56F0" w:rsidRPr="007F56F0" w:rsidRDefault="007F56F0" w:rsidP="00477B96">
      <w:pPr>
        <w:widowControl w:val="0"/>
        <w:suppressAutoHyphens/>
        <w:spacing w:after="0" w:line="240" w:lineRule="auto"/>
        <w:ind w:left="2127" w:hanging="3"/>
        <w:jc w:val="both"/>
        <w:rPr>
          <w:rFonts w:ascii="Arial" w:eastAsia="Times New Roman" w:hAnsi="Arial" w:cs="Arial"/>
          <w:lang w:val="es-ES"/>
        </w:rPr>
      </w:pPr>
      <w:r w:rsidRPr="007F56F0">
        <w:rPr>
          <w:rFonts w:ascii="Arial" w:eastAsia="Times New Roman" w:hAnsi="Arial" w:cs="Arial"/>
          <w:lang w:val="es-ES"/>
        </w:rPr>
        <w:t>Dentro del plazo de diez (10) días hábiles contados desde la suscripción del contrato, la unidad orgánica encargada de sustentar el trámite de arrendamiento remite a la SDRC de la SBN, los documentos técnicos y legales en formato físico y/o digital que sustenten el trámite de arrendamiento para su inscripción y actualización en el SINABIP, luego de lo cual dispondrá el archivo definitivo del expediente.</w:t>
      </w:r>
    </w:p>
    <w:p w:rsidR="007F56F0" w:rsidRPr="007F56F0" w:rsidRDefault="007F56F0" w:rsidP="00477B96">
      <w:pPr>
        <w:widowControl w:val="0"/>
        <w:suppressAutoHyphens/>
        <w:spacing w:after="0" w:line="240" w:lineRule="auto"/>
        <w:ind w:left="2127" w:hanging="851"/>
        <w:jc w:val="both"/>
        <w:rPr>
          <w:rFonts w:ascii="Arial" w:eastAsia="Times New Roman" w:hAnsi="Arial" w:cs="Arial"/>
          <w:lang w:val="es-ES"/>
        </w:rPr>
      </w:pPr>
    </w:p>
    <w:p w:rsidR="007F56F0" w:rsidRPr="007F56F0" w:rsidRDefault="007F56F0" w:rsidP="00477B96">
      <w:pPr>
        <w:spacing w:after="0" w:line="240" w:lineRule="auto"/>
        <w:ind w:left="2127" w:hanging="851"/>
        <w:jc w:val="both"/>
        <w:rPr>
          <w:rFonts w:ascii="Arial" w:eastAsia="Times New Roman" w:hAnsi="Arial" w:cs="Arial"/>
          <w:b/>
          <w:lang w:val="es-ES" w:eastAsia="es-ES"/>
        </w:rPr>
      </w:pPr>
      <w:r w:rsidRPr="007F56F0">
        <w:rPr>
          <w:rFonts w:ascii="Arial" w:eastAsia="Times New Roman" w:hAnsi="Arial" w:cs="Arial"/>
          <w:b/>
          <w:lang w:val="es-ES" w:eastAsia="es-ES"/>
        </w:rPr>
        <w:t>6.3.11 Liquidación y distribución de los ingresos obtenidos.</w:t>
      </w:r>
    </w:p>
    <w:p w:rsidR="007F56F0" w:rsidRPr="007F56F0" w:rsidRDefault="007F56F0" w:rsidP="00477B96">
      <w:pPr>
        <w:widowControl w:val="0"/>
        <w:suppressAutoHyphens/>
        <w:spacing w:after="0" w:line="240" w:lineRule="auto"/>
        <w:ind w:left="2127" w:hanging="3"/>
        <w:jc w:val="both"/>
        <w:rPr>
          <w:rFonts w:ascii="Arial" w:eastAsia="Lucida Sans Unicode" w:hAnsi="Arial" w:cs="Arial"/>
          <w:lang w:val="es-ES_tradnl" w:eastAsia="es-ES"/>
        </w:rPr>
      </w:pPr>
      <w:r w:rsidRPr="007F56F0">
        <w:rPr>
          <w:rFonts w:ascii="Arial" w:eastAsia="Lucida Sans Unicode" w:hAnsi="Arial" w:cs="Arial"/>
          <w:lang w:val="es-ES_tradnl" w:eastAsia="es-ES"/>
        </w:rPr>
        <w:t>Para efectos de la distribución de ingresos referidos en el artículo 88 del reglamento, la liquidación de los gastos operativos y administrativos vinculados al predio materia de arrendamiento o inherentes al respectivo procedimiento, es efectuada por la OAF en el caso de la SBN o la unidad orgánica competente de la entidad que sustenta el procedimiento, de acuerdo a los instrumentos de gestión institucional correspondientes.</w:t>
      </w:r>
    </w:p>
    <w:p w:rsidR="007F56F0" w:rsidRPr="007F56F0" w:rsidRDefault="007F56F0" w:rsidP="00477B96">
      <w:pPr>
        <w:widowControl w:val="0"/>
        <w:suppressAutoHyphens/>
        <w:spacing w:after="0" w:line="240" w:lineRule="auto"/>
        <w:ind w:left="2127" w:hanging="851"/>
        <w:jc w:val="both"/>
        <w:rPr>
          <w:rFonts w:ascii="Arial" w:eastAsia="Lucida Sans Unicode" w:hAnsi="Arial" w:cs="Arial"/>
          <w:lang w:val="es-ES_tradnl" w:eastAsia="es-ES"/>
        </w:rPr>
      </w:pPr>
    </w:p>
    <w:p w:rsidR="007F56F0" w:rsidRPr="007F56F0" w:rsidRDefault="007F56F0" w:rsidP="00477B96">
      <w:pPr>
        <w:widowControl w:val="0"/>
        <w:suppressAutoHyphens/>
        <w:spacing w:after="0" w:line="240" w:lineRule="auto"/>
        <w:ind w:left="2127" w:hanging="3"/>
        <w:jc w:val="both"/>
        <w:rPr>
          <w:rFonts w:ascii="Arial" w:eastAsia="Lucida Sans Unicode" w:hAnsi="Arial" w:cs="Arial"/>
          <w:lang w:val="es-ES_tradnl" w:eastAsia="es-ES"/>
        </w:rPr>
      </w:pPr>
      <w:r w:rsidRPr="007F56F0">
        <w:rPr>
          <w:rFonts w:ascii="Arial" w:eastAsia="Lucida Sans Unicode" w:hAnsi="Arial" w:cs="Arial"/>
          <w:lang w:val="es-ES_tradnl" w:eastAsia="es-ES"/>
        </w:rPr>
        <w:t>Para tal efecto, dentro del plazo de quince (15) días hábiles de recibida la comunicación del SAT respecto del pago del precio de renta, la SDAPE o la unidad orgánica correspondiente que sustentó el arrendamiento debe remitir a la OAF o la que haga sus veces en la entidad que realizó el procedimiento de arrendamiento, copia de los comprobantes de los gastos efectuados con una antigüedad no mayor a un (1) año que obren en el expediente, identificando, además. otros servicios en que se hubiera incurrido, cuyos comprobantes obran en la OAF.</w:t>
      </w:r>
    </w:p>
    <w:p w:rsidR="007F56F0" w:rsidRPr="007F56F0" w:rsidRDefault="007F56F0" w:rsidP="00477B96">
      <w:pPr>
        <w:widowControl w:val="0"/>
        <w:suppressAutoHyphens/>
        <w:spacing w:after="0" w:line="240" w:lineRule="auto"/>
        <w:ind w:left="2127" w:hanging="851"/>
        <w:jc w:val="both"/>
        <w:rPr>
          <w:rFonts w:ascii="Arial" w:eastAsia="Lucida Sans Unicode" w:hAnsi="Arial" w:cs="Arial"/>
          <w:lang w:val="es-ES_tradnl" w:eastAsia="es-ES"/>
        </w:rPr>
      </w:pPr>
    </w:p>
    <w:p w:rsidR="007F56F0" w:rsidRPr="007F56F0" w:rsidRDefault="007F56F0" w:rsidP="00477B96">
      <w:pPr>
        <w:widowControl w:val="0"/>
        <w:suppressAutoHyphens/>
        <w:spacing w:after="0" w:line="240" w:lineRule="auto"/>
        <w:ind w:left="2127" w:hanging="3"/>
        <w:jc w:val="both"/>
        <w:rPr>
          <w:rFonts w:ascii="Arial" w:eastAsia="Lucida Sans Unicode" w:hAnsi="Arial" w:cs="Arial"/>
          <w:lang w:val="es-ES_tradnl" w:eastAsia="es-ES"/>
        </w:rPr>
      </w:pPr>
      <w:r w:rsidRPr="007F56F0">
        <w:rPr>
          <w:rFonts w:ascii="Arial" w:eastAsia="Lucida Sans Unicode" w:hAnsi="Arial" w:cs="Arial"/>
          <w:lang w:val="es-ES_tradnl" w:eastAsia="es-ES"/>
        </w:rPr>
        <w:t xml:space="preserve">El Gobierno Local, Gobierno Regional o la entidad pública titular del predio, según corresponda, debe comunicar a la SBN el cumplimiento del pago correspondiente, dentro del plazo de quince (15) días hábiles de recibido el pago por el arrendamiento. </w:t>
      </w:r>
    </w:p>
    <w:p w:rsidR="007F56F0" w:rsidRPr="007F56F0" w:rsidRDefault="007F56F0" w:rsidP="00477B96">
      <w:pPr>
        <w:spacing w:after="0" w:line="240" w:lineRule="auto"/>
        <w:ind w:left="2127" w:hanging="851"/>
        <w:jc w:val="both"/>
        <w:rPr>
          <w:rFonts w:ascii="Arial" w:eastAsia="Times New Roman" w:hAnsi="Arial" w:cs="Arial"/>
          <w:b/>
          <w:lang w:val="es-ES" w:eastAsia="es-ES"/>
        </w:rPr>
      </w:pPr>
    </w:p>
    <w:p w:rsidR="007F56F0" w:rsidRPr="007F56F0" w:rsidRDefault="007F56F0" w:rsidP="0092471C">
      <w:pPr>
        <w:widowControl w:val="0"/>
        <w:numPr>
          <w:ilvl w:val="2"/>
          <w:numId w:val="327"/>
        </w:numPr>
        <w:suppressAutoHyphens/>
        <w:spacing w:after="0" w:line="240" w:lineRule="auto"/>
        <w:ind w:left="2127" w:hanging="851"/>
        <w:jc w:val="both"/>
        <w:rPr>
          <w:rFonts w:ascii="Arial" w:eastAsia="Lucida Sans Unicode" w:hAnsi="Arial" w:cs="Arial"/>
          <w:b/>
          <w:lang w:val="es-ES_tradnl" w:eastAsia="es-ES"/>
        </w:rPr>
      </w:pPr>
      <w:r w:rsidRPr="007F56F0">
        <w:rPr>
          <w:rFonts w:ascii="Arial" w:eastAsia="Lucida Sans Unicode" w:hAnsi="Arial" w:cs="Arial"/>
          <w:b/>
          <w:lang w:val="es-ES_tradnl" w:eastAsia="es-ES"/>
        </w:rPr>
        <w:t>Control y seguimiento de las obligaciones contractuales y tributarias referidas en el contrato de arrendamiento</w:t>
      </w:r>
    </w:p>
    <w:p w:rsidR="007F56F0" w:rsidRPr="007F56F0" w:rsidRDefault="007F56F0" w:rsidP="00477B96">
      <w:pPr>
        <w:widowControl w:val="0"/>
        <w:suppressAutoHyphens/>
        <w:spacing w:after="0" w:line="240" w:lineRule="auto"/>
        <w:ind w:left="2127" w:hanging="3"/>
        <w:jc w:val="both"/>
        <w:rPr>
          <w:rFonts w:ascii="Arial" w:eastAsia="Lucida Sans Unicode" w:hAnsi="Arial" w:cs="Arial"/>
          <w:lang w:val="es-ES_tradnl" w:eastAsia="es-ES"/>
        </w:rPr>
      </w:pPr>
      <w:r w:rsidRPr="007F56F0">
        <w:rPr>
          <w:rFonts w:ascii="Arial" w:eastAsia="Lucida Sans Unicode" w:hAnsi="Arial" w:cs="Arial"/>
          <w:lang w:val="es-ES_tradnl" w:eastAsia="es-ES"/>
        </w:rPr>
        <w:t xml:space="preserve">El SAT, en el caso de la SBN o la que haga sus veces, en el caso de las demás entidades, realiza un seguimiento continuo del pago por concepto de la merced conductiva, para que ésta se cumpla en el plazo estipulado en el contrato, para lo cual puede recurrir a la información contenida en el módulo “Seguimiento de Contratos” del SINABIP”. </w:t>
      </w:r>
    </w:p>
    <w:p w:rsidR="007F56F0" w:rsidRPr="007F56F0" w:rsidRDefault="007F56F0" w:rsidP="00477B96">
      <w:pPr>
        <w:widowControl w:val="0"/>
        <w:suppressAutoHyphens/>
        <w:spacing w:after="0" w:line="240" w:lineRule="auto"/>
        <w:ind w:left="2127" w:hanging="851"/>
        <w:jc w:val="both"/>
        <w:rPr>
          <w:rFonts w:ascii="Arial" w:eastAsia="Calibri" w:hAnsi="Arial" w:cs="Arial"/>
          <w:highlight w:val="yellow"/>
          <w:lang w:val="es-ES" w:eastAsia="es-ES"/>
        </w:rPr>
      </w:pPr>
    </w:p>
    <w:p w:rsidR="007F56F0" w:rsidRPr="007F56F0" w:rsidRDefault="007F56F0" w:rsidP="00477B96">
      <w:pPr>
        <w:widowControl w:val="0"/>
        <w:suppressAutoHyphens/>
        <w:spacing w:after="0" w:line="240" w:lineRule="auto"/>
        <w:ind w:left="2127" w:hanging="3"/>
        <w:jc w:val="both"/>
        <w:rPr>
          <w:rFonts w:ascii="Arial" w:eastAsia="Calibri" w:hAnsi="Arial" w:cs="Arial"/>
          <w:lang w:val="es-ES" w:eastAsia="es-ES"/>
        </w:rPr>
      </w:pPr>
      <w:r w:rsidRPr="007F56F0">
        <w:rPr>
          <w:rFonts w:ascii="Arial" w:eastAsia="Calibri" w:hAnsi="Arial" w:cs="Arial"/>
          <w:lang w:val="es-ES" w:eastAsia="es-ES"/>
        </w:rPr>
        <w:t xml:space="preserve">Asimismo, el SAT, en el caso de la SBN o la unidad que corresponda, dentro de los primeros quince (15) días de cada mes, remite a la SDAPE, en el caso de la SBN, o en el caso de las demás entidades, a la unidad orgánica competente, el reporte de los depósitos efectuados por concepto de renta mensual de arrendamiento. </w:t>
      </w:r>
    </w:p>
    <w:p w:rsidR="007F56F0" w:rsidRPr="007F56F0" w:rsidRDefault="007F56F0" w:rsidP="00477B96">
      <w:pPr>
        <w:widowControl w:val="0"/>
        <w:suppressAutoHyphens/>
        <w:spacing w:after="0" w:line="240" w:lineRule="auto"/>
        <w:ind w:left="2127" w:hanging="851"/>
        <w:jc w:val="both"/>
        <w:rPr>
          <w:rFonts w:ascii="Arial" w:eastAsia="Calibri" w:hAnsi="Arial" w:cs="Arial"/>
          <w:lang w:val="es-ES" w:eastAsia="es-ES"/>
        </w:rPr>
      </w:pPr>
    </w:p>
    <w:p w:rsidR="007F56F0" w:rsidRPr="007F56F0" w:rsidRDefault="007F56F0" w:rsidP="00477B96">
      <w:pPr>
        <w:widowControl w:val="0"/>
        <w:suppressAutoHyphens/>
        <w:spacing w:after="0" w:line="240" w:lineRule="auto"/>
        <w:ind w:left="2127" w:hanging="3"/>
        <w:jc w:val="both"/>
        <w:rPr>
          <w:rFonts w:ascii="Arial" w:eastAsia="Times New Roman" w:hAnsi="Arial" w:cs="Arial"/>
          <w:lang w:val="es-ES"/>
        </w:rPr>
      </w:pPr>
      <w:r w:rsidRPr="007F56F0">
        <w:rPr>
          <w:rFonts w:ascii="Arial" w:eastAsia="Lucida Sans Unicode" w:hAnsi="Arial" w:cs="Arial"/>
          <w:lang w:val="es-ES_tradnl" w:eastAsia="es-ES"/>
        </w:rPr>
        <w:t>Respecto a las obligaciones tributarias y de servicio de mantenimiento, el arrendatario está obligado a efectuar estos pagos antes de su vencimiento, debiendo remitir un reporte de los recibos de pago que viene efectuando mensualmente, a fin que este se anexe al expediente que dio origen el arrendamiento</w:t>
      </w:r>
      <w:r w:rsidRPr="007F56F0">
        <w:rPr>
          <w:rFonts w:ascii="Arial" w:eastAsia="Calibri" w:hAnsi="Arial" w:cs="Arial"/>
          <w:lang w:val="es-ES" w:eastAsia="es-ES"/>
        </w:rPr>
        <w:t>.</w:t>
      </w:r>
    </w:p>
    <w:p w:rsidR="007F56F0" w:rsidRPr="007F56F0" w:rsidRDefault="007F56F0" w:rsidP="00477B96">
      <w:pPr>
        <w:spacing w:after="0" w:line="240" w:lineRule="auto"/>
        <w:ind w:left="2127" w:right="57" w:hanging="851"/>
        <w:jc w:val="both"/>
        <w:rPr>
          <w:rFonts w:ascii="Arial" w:eastAsia="Times New Roman" w:hAnsi="Arial" w:cs="Arial"/>
          <w:lang w:val="es-ES" w:eastAsia="es-ES"/>
        </w:rPr>
      </w:pPr>
    </w:p>
    <w:p w:rsidR="007F56F0" w:rsidRPr="007F56F0" w:rsidRDefault="007F56F0" w:rsidP="0092471C">
      <w:pPr>
        <w:widowControl w:val="0"/>
        <w:numPr>
          <w:ilvl w:val="2"/>
          <w:numId w:val="325"/>
        </w:numPr>
        <w:spacing w:after="0" w:line="240" w:lineRule="auto"/>
        <w:ind w:left="2127" w:hanging="851"/>
        <w:contextualSpacing/>
        <w:jc w:val="both"/>
        <w:rPr>
          <w:rFonts w:ascii="Arial" w:eastAsia="Times New Roman" w:hAnsi="Arial" w:cs="Arial"/>
          <w:b/>
          <w:lang w:val="es-ES"/>
        </w:rPr>
      </w:pPr>
      <w:r w:rsidRPr="007F56F0">
        <w:rPr>
          <w:rFonts w:ascii="Arial" w:eastAsia="Times New Roman" w:hAnsi="Arial" w:cs="Arial"/>
          <w:b/>
          <w:lang w:val="es-ES"/>
        </w:rPr>
        <w:t>De las acciones de supervisión del predio</w:t>
      </w:r>
    </w:p>
    <w:p w:rsidR="007F56F0" w:rsidRPr="007F56F0" w:rsidRDefault="007F56F0" w:rsidP="00477B96">
      <w:pPr>
        <w:widowControl w:val="0"/>
        <w:spacing w:after="0" w:line="240" w:lineRule="auto"/>
        <w:ind w:left="2127" w:hanging="3"/>
        <w:contextualSpacing/>
        <w:jc w:val="both"/>
        <w:rPr>
          <w:rFonts w:ascii="Arial" w:eastAsia="Times New Roman" w:hAnsi="Arial" w:cs="Arial"/>
          <w:b/>
          <w:lang w:val="es-ES"/>
        </w:rPr>
      </w:pPr>
      <w:r w:rsidRPr="007F56F0">
        <w:rPr>
          <w:rFonts w:ascii="Arial" w:eastAsia="Calibri" w:hAnsi="Arial" w:cs="Arial"/>
        </w:rPr>
        <w:t xml:space="preserve">La SDS efectuará sus acciones de supervisión, conforme a lo dispuesto en la </w:t>
      </w:r>
      <w:r w:rsidRPr="007F56F0">
        <w:rPr>
          <w:rFonts w:ascii="Arial" w:eastAsia="Times New Roman" w:hAnsi="Arial" w:cs="Arial"/>
        </w:rPr>
        <w:t>Directiva 003-2016/SBN</w:t>
      </w:r>
      <w:r w:rsidRPr="007F56F0">
        <w:rPr>
          <w:rFonts w:ascii="Arial" w:eastAsia="Calibri" w:hAnsi="Arial" w:cs="Arial"/>
        </w:rPr>
        <w:t xml:space="preserve"> denominada “Lineamientos para la supervisión de bienes inmuebles estatales”.</w:t>
      </w:r>
    </w:p>
    <w:p w:rsidR="007F56F0" w:rsidRPr="007F56F0" w:rsidRDefault="007F56F0" w:rsidP="00477B96">
      <w:pPr>
        <w:widowControl w:val="0"/>
        <w:spacing w:after="0" w:line="240" w:lineRule="auto"/>
        <w:ind w:left="2127" w:hanging="851"/>
        <w:contextualSpacing/>
        <w:jc w:val="both"/>
        <w:rPr>
          <w:rFonts w:ascii="Arial" w:eastAsia="Times New Roman" w:hAnsi="Arial" w:cs="Arial"/>
          <w:b/>
          <w:lang w:val="es-ES"/>
        </w:rPr>
      </w:pPr>
    </w:p>
    <w:p w:rsidR="007F56F0" w:rsidRPr="007F56F0" w:rsidRDefault="007F56F0" w:rsidP="00477B96">
      <w:pPr>
        <w:widowControl w:val="0"/>
        <w:spacing w:after="0" w:line="240" w:lineRule="auto"/>
        <w:ind w:left="2127" w:hanging="851"/>
        <w:contextualSpacing/>
        <w:jc w:val="both"/>
        <w:rPr>
          <w:rFonts w:ascii="Arial" w:eastAsia="Times New Roman" w:hAnsi="Arial" w:cs="Arial"/>
          <w:b/>
          <w:lang w:val="es-ES"/>
        </w:rPr>
      </w:pPr>
      <w:r w:rsidRPr="007F56F0">
        <w:rPr>
          <w:rFonts w:ascii="Arial" w:eastAsia="Calibri" w:hAnsi="Arial" w:cs="Arial"/>
          <w:b/>
          <w:lang w:val="es-ES"/>
        </w:rPr>
        <w:t>6.3.14 Resolución Contractual</w:t>
      </w:r>
    </w:p>
    <w:p w:rsidR="007F56F0" w:rsidRPr="007F56F0" w:rsidRDefault="007F56F0" w:rsidP="00477B96">
      <w:pPr>
        <w:widowControl w:val="0"/>
        <w:spacing w:after="0" w:line="240" w:lineRule="auto"/>
        <w:ind w:left="2127" w:hanging="3"/>
        <w:contextualSpacing/>
        <w:jc w:val="both"/>
        <w:rPr>
          <w:rFonts w:ascii="Arial" w:eastAsia="Times New Roman" w:hAnsi="Arial" w:cs="Arial"/>
          <w:b/>
          <w:lang w:val="es-ES"/>
        </w:rPr>
      </w:pPr>
      <w:r w:rsidRPr="007F56F0">
        <w:rPr>
          <w:rFonts w:ascii="Arial" w:eastAsia="Calibri" w:hAnsi="Arial" w:cs="Arial"/>
          <w:lang w:val="es-ES"/>
        </w:rPr>
        <w:t>De existir incumplimiento del pago de las rentas en más de una oportunidad, el SAT comunicará dicha situación a la SDAPE en el caso de la SBN, para el caso de los predios a cargo de las demás entidades, corresponderá a las unidades orgánicas competentes. Para tal efecto, la DGPE en el caso de la SBN, con el sustento de la SDAPE, comunicará al administrado que procede a valerse de la cláusula resolutoria y requerirá la devolución del bien, en el caso de las demás entidades, lo efectuará la unidad orgánica competente.</w:t>
      </w:r>
    </w:p>
    <w:p w:rsidR="007F56F0" w:rsidRPr="007F56F0" w:rsidRDefault="007F56F0" w:rsidP="00477B96">
      <w:pPr>
        <w:widowControl w:val="0"/>
        <w:spacing w:after="0" w:line="240" w:lineRule="auto"/>
        <w:ind w:left="2127" w:hanging="851"/>
        <w:contextualSpacing/>
        <w:jc w:val="both"/>
        <w:rPr>
          <w:rFonts w:ascii="Arial" w:eastAsia="Calibri" w:hAnsi="Arial" w:cs="Arial"/>
          <w:lang w:val="es-ES"/>
        </w:rPr>
      </w:pPr>
    </w:p>
    <w:p w:rsidR="007F56F0" w:rsidRPr="007F56F0" w:rsidRDefault="007F56F0" w:rsidP="00477B96">
      <w:pPr>
        <w:widowControl w:val="0"/>
        <w:spacing w:after="0" w:line="240" w:lineRule="auto"/>
        <w:ind w:left="2127" w:hanging="3"/>
        <w:contextualSpacing/>
        <w:jc w:val="both"/>
        <w:rPr>
          <w:rFonts w:ascii="Arial" w:eastAsia="Times New Roman" w:hAnsi="Arial" w:cs="Arial"/>
          <w:b/>
          <w:lang w:val="es-ES"/>
        </w:rPr>
      </w:pPr>
      <w:r w:rsidRPr="007F56F0">
        <w:rPr>
          <w:rFonts w:ascii="Arial" w:eastAsia="Calibri" w:hAnsi="Arial" w:cs="Arial"/>
          <w:lang w:val="es-ES"/>
        </w:rPr>
        <w:t>En los casos de incumplimiento de la finalidad o destino asignado al inmueble y de otras obligaciones bajo sanción de resolución, en base al informe de la SDS en el caso de la SBN, la SDAPE evaluará la resolución del contrato, en el caso de las demás entidades, corresponderá a las unidades orgánicas competentes.</w:t>
      </w:r>
    </w:p>
    <w:p w:rsidR="007F56F0" w:rsidRPr="007F56F0" w:rsidRDefault="007F56F0" w:rsidP="00477B96">
      <w:pPr>
        <w:widowControl w:val="0"/>
        <w:tabs>
          <w:tab w:val="left" w:pos="567"/>
        </w:tabs>
        <w:spacing w:after="0" w:line="240" w:lineRule="auto"/>
        <w:ind w:left="2127" w:hanging="851"/>
        <w:contextualSpacing/>
        <w:jc w:val="both"/>
        <w:rPr>
          <w:rFonts w:ascii="Arial" w:eastAsia="Calibri" w:hAnsi="Arial" w:cs="Arial"/>
          <w:lang w:val="es-ES"/>
        </w:rPr>
      </w:pPr>
    </w:p>
    <w:p w:rsidR="007F56F0" w:rsidRPr="007F56F0" w:rsidRDefault="007F56F0" w:rsidP="0092471C">
      <w:pPr>
        <w:widowControl w:val="0"/>
        <w:numPr>
          <w:ilvl w:val="2"/>
          <w:numId w:val="326"/>
        </w:numPr>
        <w:suppressAutoHyphens/>
        <w:spacing w:after="0" w:line="240" w:lineRule="auto"/>
        <w:ind w:left="2127" w:hanging="851"/>
        <w:contextualSpacing/>
        <w:jc w:val="both"/>
        <w:rPr>
          <w:rFonts w:ascii="Arial" w:eastAsia="Lucida Sans Unicode" w:hAnsi="Arial" w:cs="Arial"/>
          <w:b/>
          <w:lang w:val="es-ES_tradnl" w:eastAsia="es-ES"/>
        </w:rPr>
      </w:pPr>
      <w:r w:rsidRPr="007F56F0">
        <w:rPr>
          <w:rFonts w:ascii="Arial" w:eastAsia="Lucida Sans Unicode" w:hAnsi="Arial" w:cs="Arial"/>
          <w:b/>
          <w:lang w:val="es-ES_tradnl" w:eastAsia="es-ES"/>
        </w:rPr>
        <w:t>Causales de extinción</w:t>
      </w:r>
    </w:p>
    <w:p w:rsidR="007F56F0" w:rsidRPr="007F56F0" w:rsidRDefault="007F56F0" w:rsidP="00477B96">
      <w:pPr>
        <w:widowControl w:val="0"/>
        <w:suppressAutoHyphens/>
        <w:spacing w:after="0" w:line="240" w:lineRule="auto"/>
        <w:ind w:left="2127" w:hanging="3"/>
        <w:contextualSpacing/>
        <w:jc w:val="both"/>
        <w:rPr>
          <w:rFonts w:ascii="Arial" w:eastAsia="Lucida Sans Unicode" w:hAnsi="Arial" w:cs="Arial"/>
          <w:b/>
          <w:lang w:val="es-ES_tradnl" w:eastAsia="es-ES"/>
        </w:rPr>
      </w:pPr>
      <w:r w:rsidRPr="007F56F0">
        <w:rPr>
          <w:rFonts w:ascii="Arial" w:eastAsia="Lucida Sans Unicode" w:hAnsi="Arial" w:cs="Arial"/>
          <w:lang w:val="es-ES_tradnl" w:eastAsia="es-ES"/>
        </w:rPr>
        <w:t>El arrendamiento se extingue en los siguientes supuestos:</w:t>
      </w:r>
    </w:p>
    <w:p w:rsidR="007F56F0" w:rsidRPr="007F56F0" w:rsidRDefault="007F56F0" w:rsidP="00477B96">
      <w:pPr>
        <w:widowControl w:val="0"/>
        <w:tabs>
          <w:tab w:val="left" w:pos="1276"/>
        </w:tabs>
        <w:suppressAutoHyphens/>
        <w:spacing w:after="0" w:line="240" w:lineRule="auto"/>
        <w:ind w:left="2127" w:hanging="851"/>
        <w:jc w:val="both"/>
        <w:rPr>
          <w:rFonts w:ascii="Arial" w:eastAsia="Lucida Sans Unicode" w:hAnsi="Arial" w:cs="Arial"/>
          <w:lang w:val="es-ES_tradnl" w:eastAsia="es-ES"/>
        </w:rPr>
      </w:pPr>
    </w:p>
    <w:p w:rsidR="007F56F0" w:rsidRPr="007F56F0" w:rsidRDefault="007F56F0" w:rsidP="0092471C">
      <w:pPr>
        <w:numPr>
          <w:ilvl w:val="1"/>
          <w:numId w:val="322"/>
        </w:numPr>
        <w:spacing w:after="0" w:line="240" w:lineRule="auto"/>
        <w:ind w:left="2977" w:hanging="425"/>
        <w:contextualSpacing/>
        <w:jc w:val="both"/>
        <w:rPr>
          <w:rFonts w:ascii="Arial" w:eastAsia="Lucida Sans Unicode" w:hAnsi="Arial" w:cs="Arial"/>
          <w:lang w:val="es-ES" w:eastAsia="es-ES"/>
        </w:rPr>
      </w:pPr>
      <w:r w:rsidRPr="007F56F0">
        <w:rPr>
          <w:rFonts w:ascii="Arial" w:eastAsia="Lucida Sans Unicode" w:hAnsi="Arial" w:cs="Arial"/>
          <w:lang w:val="es-ES" w:eastAsia="es-ES"/>
        </w:rPr>
        <w:t>Resolución contractual conforme al artículo 1697 del Código Civil.</w:t>
      </w:r>
    </w:p>
    <w:p w:rsidR="007F56F0" w:rsidRPr="007F56F0" w:rsidRDefault="007F56F0" w:rsidP="0092471C">
      <w:pPr>
        <w:numPr>
          <w:ilvl w:val="1"/>
          <w:numId w:val="322"/>
        </w:numPr>
        <w:spacing w:after="0" w:line="240" w:lineRule="auto"/>
        <w:ind w:left="2977" w:hanging="425"/>
        <w:contextualSpacing/>
        <w:jc w:val="both"/>
        <w:rPr>
          <w:rFonts w:ascii="Arial" w:eastAsia="Lucida Sans Unicode" w:hAnsi="Arial" w:cs="Arial"/>
          <w:lang w:val="es-ES" w:eastAsia="es-ES"/>
        </w:rPr>
      </w:pPr>
      <w:r w:rsidRPr="007F56F0">
        <w:rPr>
          <w:rFonts w:ascii="Arial" w:eastAsia="Lucida Sans Unicode" w:hAnsi="Arial" w:cs="Arial"/>
          <w:lang w:val="es-ES" w:eastAsia="es-ES"/>
        </w:rPr>
        <w:t>Incumplimiento de las disposiciones establecidas en el contrato, en esta Directiva, el Reglamento y el Derecho Común, en lo que fuere aplicable.</w:t>
      </w:r>
    </w:p>
    <w:p w:rsidR="007F56F0" w:rsidRPr="007F56F0" w:rsidRDefault="007F56F0" w:rsidP="0092471C">
      <w:pPr>
        <w:numPr>
          <w:ilvl w:val="1"/>
          <w:numId w:val="322"/>
        </w:numPr>
        <w:spacing w:after="0" w:line="240" w:lineRule="auto"/>
        <w:ind w:left="2977" w:hanging="425"/>
        <w:contextualSpacing/>
        <w:jc w:val="both"/>
        <w:rPr>
          <w:rFonts w:ascii="Arial" w:eastAsia="Lucida Sans Unicode" w:hAnsi="Arial" w:cs="Arial"/>
          <w:lang w:val="es-ES" w:eastAsia="es-ES"/>
        </w:rPr>
      </w:pPr>
      <w:r w:rsidRPr="007F56F0">
        <w:rPr>
          <w:rFonts w:ascii="Arial" w:eastAsia="Lucida Sans Unicode" w:hAnsi="Arial" w:cs="Arial"/>
          <w:lang w:val="es-ES" w:eastAsia="es-ES"/>
        </w:rPr>
        <w:t>Vencimiento del plazo contractual.</w:t>
      </w:r>
    </w:p>
    <w:p w:rsidR="007F56F0" w:rsidRPr="007F56F0" w:rsidRDefault="007F56F0" w:rsidP="0092471C">
      <w:pPr>
        <w:numPr>
          <w:ilvl w:val="1"/>
          <w:numId w:val="322"/>
        </w:numPr>
        <w:spacing w:after="0" w:line="240" w:lineRule="auto"/>
        <w:ind w:left="2977" w:hanging="425"/>
        <w:contextualSpacing/>
        <w:jc w:val="both"/>
        <w:rPr>
          <w:rFonts w:ascii="Arial" w:eastAsia="Lucida Sans Unicode" w:hAnsi="Arial" w:cs="Arial"/>
          <w:lang w:val="es-ES" w:eastAsia="es-ES"/>
        </w:rPr>
      </w:pPr>
      <w:r w:rsidRPr="007F56F0">
        <w:rPr>
          <w:rFonts w:ascii="Arial" w:eastAsia="Lucida Sans Unicode" w:hAnsi="Arial" w:cs="Arial"/>
          <w:lang w:val="es-ES" w:eastAsia="es-ES"/>
        </w:rPr>
        <w:t>Por la destrucción total o pérdida del bien arrendado.</w:t>
      </w:r>
    </w:p>
    <w:p w:rsidR="007F56F0" w:rsidRPr="007F56F0" w:rsidRDefault="007F56F0" w:rsidP="0092471C">
      <w:pPr>
        <w:numPr>
          <w:ilvl w:val="1"/>
          <w:numId w:val="322"/>
        </w:numPr>
        <w:spacing w:after="0" w:line="240" w:lineRule="auto"/>
        <w:ind w:left="2977" w:hanging="425"/>
        <w:contextualSpacing/>
        <w:jc w:val="both"/>
        <w:rPr>
          <w:rFonts w:ascii="Arial" w:eastAsia="Lucida Sans Unicode" w:hAnsi="Arial" w:cs="Arial"/>
          <w:lang w:val="es-ES" w:eastAsia="es-ES"/>
        </w:rPr>
      </w:pPr>
      <w:r w:rsidRPr="007F56F0">
        <w:rPr>
          <w:rFonts w:ascii="Arial" w:eastAsia="Lucida Sans Unicode" w:hAnsi="Arial" w:cs="Arial"/>
          <w:lang w:val="es-ES" w:eastAsia="es-ES"/>
        </w:rPr>
        <w:t>Por razones de necesidad o utilidad pública, o como medida para la conservación del bien.</w:t>
      </w:r>
    </w:p>
    <w:p w:rsidR="007F56F0" w:rsidRPr="007F56F0" w:rsidRDefault="007F56F0" w:rsidP="00477B96">
      <w:pPr>
        <w:spacing w:after="0" w:line="240" w:lineRule="auto"/>
        <w:ind w:left="2127" w:hanging="851"/>
        <w:jc w:val="both"/>
        <w:rPr>
          <w:rFonts w:ascii="Arial" w:eastAsia="Times New Roman" w:hAnsi="Arial" w:cs="Arial"/>
          <w:lang w:val="es-ES" w:eastAsia="es-ES"/>
        </w:rPr>
      </w:pPr>
    </w:p>
    <w:p w:rsidR="007F56F0" w:rsidRPr="007F56F0" w:rsidRDefault="007F56F0" w:rsidP="00477B96">
      <w:pPr>
        <w:widowControl w:val="0"/>
        <w:suppressAutoHyphens/>
        <w:spacing w:after="0" w:line="240" w:lineRule="auto"/>
        <w:ind w:left="2127" w:hanging="3"/>
        <w:jc w:val="both"/>
        <w:rPr>
          <w:rFonts w:ascii="Arial" w:eastAsia="Lucida Sans Unicode" w:hAnsi="Arial" w:cs="Arial"/>
          <w:lang w:val="es-ES_tradnl" w:eastAsia="es-ES"/>
        </w:rPr>
      </w:pPr>
      <w:r w:rsidRPr="007F56F0">
        <w:rPr>
          <w:rFonts w:ascii="Arial" w:eastAsia="Lucida Sans Unicode" w:hAnsi="Arial" w:cs="Arial"/>
          <w:lang w:val="es-ES_tradnl" w:eastAsia="es-ES"/>
        </w:rPr>
        <w:t>Para tal efecto, la SDAPE en el caso de la SBN o la unidad orgánica competente en las demás entidades, expedirá la resolución administrativa que declara la extinción del arrendamiento.</w:t>
      </w:r>
    </w:p>
    <w:p w:rsidR="007F56F0" w:rsidRPr="007F56F0" w:rsidRDefault="007F56F0" w:rsidP="00477B96">
      <w:pPr>
        <w:widowControl w:val="0"/>
        <w:suppressAutoHyphens/>
        <w:spacing w:after="0" w:line="240" w:lineRule="auto"/>
        <w:ind w:left="2127" w:hanging="851"/>
        <w:jc w:val="both"/>
        <w:rPr>
          <w:rFonts w:ascii="Arial" w:eastAsia="Lucida Sans Unicode" w:hAnsi="Arial" w:cs="Arial"/>
          <w:lang w:val="es-ES_tradnl" w:eastAsia="es-ES"/>
        </w:rPr>
      </w:pPr>
    </w:p>
    <w:p w:rsidR="007F56F0" w:rsidRPr="007F56F0" w:rsidRDefault="007F56F0" w:rsidP="0092471C">
      <w:pPr>
        <w:widowControl w:val="0"/>
        <w:numPr>
          <w:ilvl w:val="2"/>
          <w:numId w:val="326"/>
        </w:numPr>
        <w:suppressAutoHyphens/>
        <w:spacing w:after="0" w:line="240" w:lineRule="auto"/>
        <w:ind w:left="2127" w:hanging="851"/>
        <w:jc w:val="both"/>
        <w:rPr>
          <w:rFonts w:ascii="Arial" w:eastAsia="Lucida Sans Unicode" w:hAnsi="Arial" w:cs="Arial"/>
          <w:lang w:val="es-ES_tradnl" w:eastAsia="es-ES"/>
        </w:rPr>
      </w:pPr>
      <w:r w:rsidRPr="007F56F0">
        <w:rPr>
          <w:rFonts w:ascii="Arial" w:eastAsia="Lucida Sans Unicode" w:hAnsi="Arial" w:cs="Arial"/>
          <w:b/>
          <w:lang w:val="es-ES_tradnl" w:eastAsia="es-ES"/>
        </w:rPr>
        <w:t>De las acciones de recuperación</w:t>
      </w:r>
    </w:p>
    <w:p w:rsidR="007F56F0" w:rsidRPr="007F56F0" w:rsidRDefault="007F56F0" w:rsidP="00477B96">
      <w:pPr>
        <w:widowControl w:val="0"/>
        <w:suppressAutoHyphens/>
        <w:spacing w:after="0" w:line="240" w:lineRule="auto"/>
        <w:ind w:left="2127" w:hanging="3"/>
        <w:jc w:val="both"/>
        <w:rPr>
          <w:rFonts w:ascii="Arial" w:eastAsia="Lucida Sans Unicode" w:hAnsi="Arial" w:cs="Arial"/>
          <w:lang w:val="es-ES_tradnl" w:eastAsia="es-ES"/>
        </w:rPr>
      </w:pPr>
      <w:r w:rsidRPr="007F56F0">
        <w:rPr>
          <w:rFonts w:ascii="Arial" w:eastAsia="Lucida Sans Unicode" w:hAnsi="Arial" w:cs="Arial"/>
          <w:lang w:val="es-ES_tradnl" w:eastAsia="es-ES"/>
        </w:rPr>
        <w:t>En los casos que exista posesión del predio, una vez producido el archivamiento del trámite de arrendamiento o resuelto el contrato y el arrendatario no entregue el bien, deberá ponerse en conocimiento bajo responsabilidad de la PP de la SBN o de las entidades, respectivamente, para las acciones judiciales conducentes a la recuperación del predio.</w:t>
      </w:r>
    </w:p>
    <w:p w:rsidR="007F56F0" w:rsidRPr="007F56F0" w:rsidRDefault="007F56F0" w:rsidP="00477B96">
      <w:pPr>
        <w:widowControl w:val="0"/>
        <w:suppressAutoHyphens/>
        <w:spacing w:after="0" w:line="240" w:lineRule="auto"/>
        <w:ind w:left="2127" w:hanging="851"/>
        <w:rPr>
          <w:rFonts w:ascii="Arial" w:eastAsia="Lucida Sans Unicode" w:hAnsi="Arial" w:cs="Arial"/>
          <w:lang w:val="es-ES_tradnl" w:eastAsia="es-ES"/>
        </w:rPr>
      </w:pPr>
    </w:p>
    <w:p w:rsidR="007F56F0" w:rsidRPr="007F56F0" w:rsidRDefault="007F56F0" w:rsidP="00477B96">
      <w:pPr>
        <w:widowControl w:val="0"/>
        <w:suppressAutoHyphens/>
        <w:spacing w:after="0" w:line="240" w:lineRule="auto"/>
        <w:ind w:left="2127" w:hanging="3"/>
        <w:jc w:val="both"/>
        <w:rPr>
          <w:rFonts w:ascii="Arial" w:eastAsia="Lucida Sans Unicode" w:hAnsi="Arial" w:cs="Arial"/>
          <w:lang w:val="es-ES_tradnl" w:eastAsia="es-ES"/>
        </w:rPr>
      </w:pPr>
      <w:r w:rsidRPr="007F56F0">
        <w:rPr>
          <w:rFonts w:ascii="Arial" w:eastAsia="Lucida Sans Unicode" w:hAnsi="Arial" w:cs="Arial"/>
          <w:lang w:val="es-ES_tradnl" w:eastAsia="es-ES"/>
        </w:rPr>
        <w:t>Para tal efecto, corresponde al arrendatario dar aviso inmediato a la entidad arrendadora de cualquier usurpación o perturbación que amenace la ocupación de terceros no autorizados en el bien, de lo contrario asumirá los gastos por daños y perjuicios correspondientes. En caso de tratarse de entidades arrendatarias, éstas deberán ejercer las acciones de recuperación que correspondan, sin perjuicio de dar aviso a la entidad arrendadora.</w:t>
      </w:r>
    </w:p>
    <w:p w:rsidR="007F56F0" w:rsidRPr="007F56F0" w:rsidRDefault="007F56F0" w:rsidP="00477B96">
      <w:pPr>
        <w:widowControl w:val="0"/>
        <w:suppressAutoHyphens/>
        <w:spacing w:after="0" w:line="240" w:lineRule="auto"/>
        <w:ind w:left="2127" w:right="57" w:hanging="851"/>
        <w:jc w:val="both"/>
        <w:rPr>
          <w:rFonts w:ascii="Arial" w:eastAsia="Lucida Sans Unicode" w:hAnsi="Arial" w:cs="Arial"/>
          <w:lang w:val="es-ES" w:eastAsia="es-ES"/>
        </w:rPr>
      </w:pPr>
    </w:p>
    <w:p w:rsidR="007F56F0" w:rsidRPr="007F56F0" w:rsidRDefault="007F56F0" w:rsidP="0092471C">
      <w:pPr>
        <w:widowControl w:val="0"/>
        <w:numPr>
          <w:ilvl w:val="2"/>
          <w:numId w:val="326"/>
        </w:numPr>
        <w:suppressAutoHyphens/>
        <w:spacing w:after="0" w:line="240" w:lineRule="auto"/>
        <w:ind w:left="2127" w:right="57" w:hanging="851"/>
        <w:contextualSpacing/>
        <w:jc w:val="both"/>
        <w:rPr>
          <w:rFonts w:ascii="Arial" w:eastAsia="Lucida Sans Unicode" w:hAnsi="Arial" w:cs="Arial"/>
          <w:b/>
          <w:lang w:val="es-ES_tradnl" w:eastAsia="es-ES"/>
        </w:rPr>
      </w:pPr>
      <w:r w:rsidRPr="007F56F0">
        <w:rPr>
          <w:rFonts w:ascii="Arial" w:eastAsia="Lucida Sans Unicode" w:hAnsi="Arial" w:cs="Arial"/>
          <w:b/>
          <w:lang w:val="es-ES_tradnl" w:eastAsia="es-ES"/>
        </w:rPr>
        <w:t>Renovación del contrato</w:t>
      </w:r>
    </w:p>
    <w:p w:rsidR="007F56F0" w:rsidRPr="007F56F0" w:rsidRDefault="007F56F0" w:rsidP="00477B96">
      <w:pPr>
        <w:widowControl w:val="0"/>
        <w:suppressAutoHyphens/>
        <w:spacing w:after="0" w:line="240" w:lineRule="auto"/>
        <w:ind w:left="2127" w:right="57" w:hanging="3"/>
        <w:contextualSpacing/>
        <w:jc w:val="both"/>
        <w:rPr>
          <w:rFonts w:ascii="Arial" w:eastAsia="Lucida Sans Unicode" w:hAnsi="Arial" w:cs="Arial"/>
          <w:lang w:val="es-ES_tradnl" w:eastAsia="es-ES"/>
        </w:rPr>
      </w:pPr>
      <w:r w:rsidRPr="007F56F0">
        <w:rPr>
          <w:rFonts w:ascii="Arial" w:eastAsia="Lucida Sans Unicode" w:hAnsi="Arial" w:cs="Arial"/>
          <w:lang w:val="es-ES_tradnl" w:eastAsia="es-ES"/>
        </w:rPr>
        <w:t xml:space="preserve">La renovación del contrato de arrendamiento procede siempre que no se exceda del plazo máximo previsto en la normatividad vigente, sea solicitada con una anticipación no menor de dos (2) meses al vencimiento del plazo de vigencia, y siempre que el arrendatario se encuentre al día en los pagos estipulados en el contrato primigenio.  </w:t>
      </w:r>
    </w:p>
    <w:p w:rsidR="007F56F0" w:rsidRPr="007F56F0" w:rsidRDefault="007F56F0" w:rsidP="00477B96">
      <w:pPr>
        <w:widowControl w:val="0"/>
        <w:suppressAutoHyphens/>
        <w:spacing w:after="0" w:line="240" w:lineRule="auto"/>
        <w:ind w:left="2127" w:right="57" w:hanging="851"/>
        <w:contextualSpacing/>
        <w:jc w:val="both"/>
        <w:rPr>
          <w:rFonts w:ascii="Arial" w:eastAsia="Lucida Sans Unicode" w:hAnsi="Arial" w:cs="Arial"/>
          <w:lang w:val="es-ES_tradnl" w:eastAsia="es-ES"/>
        </w:rPr>
      </w:pPr>
    </w:p>
    <w:p w:rsidR="007F56F0" w:rsidRPr="007F56F0" w:rsidRDefault="007F56F0" w:rsidP="00477B96">
      <w:pPr>
        <w:widowControl w:val="0"/>
        <w:suppressAutoHyphens/>
        <w:spacing w:after="0" w:line="240" w:lineRule="auto"/>
        <w:ind w:left="2127" w:right="57" w:hanging="3"/>
        <w:contextualSpacing/>
        <w:jc w:val="both"/>
        <w:rPr>
          <w:rFonts w:ascii="Arial" w:eastAsia="Lucida Sans Unicode" w:hAnsi="Arial" w:cs="Arial"/>
          <w:lang w:val="es-ES" w:eastAsia="es-ES"/>
        </w:rPr>
      </w:pPr>
      <w:r w:rsidRPr="007F56F0">
        <w:rPr>
          <w:rFonts w:ascii="Arial" w:eastAsia="Lucida Sans Unicode" w:hAnsi="Arial" w:cs="Arial"/>
          <w:lang w:val="es-ES_tradnl" w:eastAsia="es-ES"/>
        </w:rPr>
        <w:t xml:space="preserve">Para dicho efecto se requiere efectuar una nueva valorización del arrendamiento,  de acuerdo a las normas vigentes sobre la tasación de predios estatales, la cual es cancelada por el administrado, no siendo necesaria la nueva valorización en el supuesto </w:t>
      </w:r>
      <w:r w:rsidRPr="007F56F0">
        <w:rPr>
          <w:rFonts w:ascii="Arial" w:eastAsia="Lucida Sans Unicode" w:hAnsi="Arial" w:cs="Arial"/>
          <w:lang w:val="es-ES" w:eastAsia="es-ES"/>
        </w:rPr>
        <w:t xml:space="preserve">a que se refiere el numeral 2) del artículo 94° del Reglamento, en cuyo caso se toma como referencia la valorización anterior, ajustada con el </w:t>
      </w:r>
      <w:r w:rsidRPr="007F56F0">
        <w:rPr>
          <w:rFonts w:ascii="Arial" w:eastAsia="Lucida Sans Unicode" w:hAnsi="Arial" w:cs="Arial"/>
          <w:lang w:val="es-ES_tradnl" w:eastAsia="es-ES"/>
        </w:rPr>
        <w:t>IPC.</w:t>
      </w:r>
    </w:p>
    <w:p w:rsidR="007F56F0" w:rsidRPr="007F56F0" w:rsidRDefault="007F56F0" w:rsidP="007F56F0">
      <w:pPr>
        <w:spacing w:after="0" w:line="240" w:lineRule="auto"/>
        <w:jc w:val="both"/>
        <w:rPr>
          <w:rFonts w:ascii="Arial" w:eastAsia="Times New Roman" w:hAnsi="Arial" w:cs="Arial"/>
          <w:lang w:val="es-ES" w:eastAsia="es-ES"/>
        </w:rPr>
      </w:pPr>
    </w:p>
    <w:p w:rsidR="007F56F0" w:rsidRPr="007F56F0" w:rsidRDefault="007F56F0" w:rsidP="0092471C">
      <w:pPr>
        <w:widowControl w:val="0"/>
        <w:numPr>
          <w:ilvl w:val="0"/>
          <w:numId w:val="315"/>
        </w:numPr>
        <w:suppressAutoHyphens/>
        <w:spacing w:after="0" w:line="240" w:lineRule="auto"/>
        <w:ind w:left="544" w:right="57" w:hanging="487"/>
        <w:jc w:val="both"/>
        <w:rPr>
          <w:rFonts w:ascii="Arial" w:eastAsia="Lucida Sans Unicode" w:hAnsi="Arial" w:cs="Arial"/>
          <w:b/>
          <w:lang w:val="es-ES_tradnl" w:eastAsia="es-ES"/>
        </w:rPr>
      </w:pPr>
      <w:r w:rsidRPr="007F56F0">
        <w:rPr>
          <w:rFonts w:ascii="Arial" w:eastAsia="Lucida Sans Unicode" w:hAnsi="Arial" w:cs="Arial"/>
          <w:b/>
          <w:lang w:val="es-ES_tradnl" w:eastAsia="es-ES"/>
        </w:rPr>
        <w:t>DISPOSICIONES COMPLEMENTARIAS FINALES</w:t>
      </w:r>
    </w:p>
    <w:p w:rsidR="007F56F0" w:rsidRPr="007F56F0" w:rsidRDefault="007F56F0" w:rsidP="007F56F0">
      <w:pPr>
        <w:spacing w:after="0" w:line="240" w:lineRule="auto"/>
        <w:ind w:left="544" w:right="57"/>
        <w:jc w:val="both"/>
        <w:rPr>
          <w:rFonts w:ascii="Arial" w:eastAsia="Times New Roman" w:hAnsi="Arial" w:cs="Arial"/>
          <w:b/>
          <w:lang w:val="es-ES" w:eastAsia="es-ES"/>
        </w:rPr>
      </w:pPr>
      <w:r w:rsidRPr="007F56F0">
        <w:rPr>
          <w:rFonts w:ascii="Arial" w:eastAsia="Times New Roman" w:hAnsi="Arial" w:cs="Arial"/>
          <w:b/>
          <w:lang w:val="es-ES" w:eastAsia="es-ES"/>
        </w:rPr>
        <w:t>Única.- Del cumplimiento de las disposiciones contenidas en la presente Directiva.</w:t>
      </w:r>
    </w:p>
    <w:p w:rsidR="007F56F0" w:rsidRPr="007F56F0" w:rsidRDefault="007F56F0" w:rsidP="007F56F0">
      <w:pPr>
        <w:spacing w:after="0" w:line="240" w:lineRule="auto"/>
        <w:ind w:left="544" w:right="57"/>
        <w:jc w:val="both"/>
        <w:rPr>
          <w:rFonts w:ascii="Arial" w:eastAsia="Times New Roman" w:hAnsi="Arial" w:cs="Arial"/>
          <w:lang w:val="es-ES" w:eastAsia="es-ES"/>
        </w:rPr>
      </w:pPr>
      <w:r w:rsidRPr="007F56F0">
        <w:rPr>
          <w:rFonts w:ascii="Arial" w:eastAsia="Times New Roman" w:hAnsi="Arial" w:cs="Arial"/>
          <w:lang w:val="es-ES" w:eastAsia="es-ES"/>
        </w:rPr>
        <w:t>La DGPE, conjuntamente con la SDAPE son responsables de velar por el cumplimiento de las disposiciones contenidas en la presente Directiva, respecto de los predios de propiedad del Estado que se encuentran bajo la administración de la SBN.</w:t>
      </w:r>
    </w:p>
    <w:p w:rsidR="007F56F0" w:rsidRPr="007F56F0" w:rsidRDefault="007F56F0" w:rsidP="007F56F0">
      <w:pPr>
        <w:spacing w:after="0" w:line="240" w:lineRule="auto"/>
        <w:ind w:left="544" w:right="57"/>
        <w:jc w:val="both"/>
        <w:rPr>
          <w:rFonts w:ascii="Arial" w:eastAsia="Times New Roman" w:hAnsi="Arial" w:cs="Arial"/>
          <w:lang w:val="es-ES" w:eastAsia="es-ES"/>
        </w:rPr>
      </w:pPr>
    </w:p>
    <w:p w:rsidR="007F56F0" w:rsidRPr="007F56F0" w:rsidRDefault="007F56F0" w:rsidP="007F56F0">
      <w:pPr>
        <w:spacing w:after="0" w:line="240" w:lineRule="auto"/>
        <w:ind w:left="544" w:right="57"/>
        <w:jc w:val="both"/>
        <w:rPr>
          <w:rFonts w:ascii="Arial" w:eastAsia="Times New Roman" w:hAnsi="Arial" w:cs="Arial"/>
          <w:lang w:val="es-ES" w:eastAsia="es-ES"/>
        </w:rPr>
      </w:pPr>
      <w:r w:rsidRPr="007F56F0">
        <w:rPr>
          <w:rFonts w:ascii="Arial" w:eastAsia="Times New Roman" w:hAnsi="Arial" w:cs="Arial"/>
          <w:lang w:val="es-ES" w:eastAsia="es-ES"/>
        </w:rPr>
        <w:t>Corresponde a cada órgano o unidad orgánica de las entidades que conforman el SNBE, designada para tal fin, velar por el cumplimiento de las disposiciones contenidas en la presente Directiva, de acuerdo a sus documentos de gestión.</w:t>
      </w:r>
    </w:p>
    <w:p w:rsidR="007F56F0" w:rsidRPr="007F56F0" w:rsidRDefault="007F56F0" w:rsidP="007F56F0">
      <w:pPr>
        <w:spacing w:after="0" w:line="240" w:lineRule="auto"/>
        <w:ind w:right="57"/>
        <w:jc w:val="both"/>
        <w:rPr>
          <w:rFonts w:ascii="Arial" w:eastAsia="Times New Roman" w:hAnsi="Arial" w:cs="Arial"/>
          <w:lang w:val="es-ES" w:eastAsia="es-ES"/>
        </w:rPr>
      </w:pPr>
    </w:p>
    <w:p w:rsidR="007F56F0" w:rsidRPr="007F56F0" w:rsidRDefault="007F56F0" w:rsidP="0092471C">
      <w:pPr>
        <w:widowControl w:val="0"/>
        <w:numPr>
          <w:ilvl w:val="0"/>
          <w:numId w:val="315"/>
        </w:numPr>
        <w:suppressAutoHyphens/>
        <w:spacing w:after="0" w:line="240" w:lineRule="auto"/>
        <w:ind w:left="544" w:right="57" w:hanging="487"/>
        <w:jc w:val="both"/>
        <w:rPr>
          <w:rFonts w:ascii="Arial" w:eastAsia="Lucida Sans Unicode" w:hAnsi="Arial" w:cs="Arial"/>
          <w:b/>
          <w:lang w:val="es-ES_tradnl" w:eastAsia="es-ES"/>
        </w:rPr>
      </w:pPr>
      <w:r w:rsidRPr="007F56F0">
        <w:rPr>
          <w:rFonts w:ascii="Arial" w:eastAsia="Lucida Sans Unicode" w:hAnsi="Arial" w:cs="Arial"/>
          <w:b/>
          <w:lang w:val="es-ES_tradnl" w:eastAsia="es-ES"/>
        </w:rPr>
        <w:t>DISPOSICIONES COMPLEMENTARIAS TRANSITORIAS</w:t>
      </w:r>
    </w:p>
    <w:p w:rsidR="007F56F0" w:rsidRPr="007F56F0" w:rsidRDefault="007F56F0" w:rsidP="007F56F0">
      <w:pPr>
        <w:spacing w:after="0" w:line="240" w:lineRule="auto"/>
        <w:ind w:left="544"/>
        <w:jc w:val="both"/>
        <w:rPr>
          <w:rFonts w:ascii="Arial" w:eastAsia="Times New Roman" w:hAnsi="Arial" w:cs="Arial"/>
          <w:lang w:val="es-ES" w:eastAsia="es-ES"/>
        </w:rPr>
      </w:pPr>
      <w:r w:rsidRPr="007F56F0">
        <w:rPr>
          <w:rFonts w:ascii="Arial" w:eastAsia="Times New Roman" w:hAnsi="Arial" w:cs="Arial"/>
          <w:b/>
          <w:lang w:val="es-ES" w:eastAsia="es-ES"/>
        </w:rPr>
        <w:t>Única</w:t>
      </w:r>
      <w:r w:rsidRPr="007F56F0">
        <w:rPr>
          <w:rFonts w:ascii="Arial" w:eastAsia="Times New Roman" w:hAnsi="Arial" w:cs="Arial"/>
          <w:lang w:val="es-ES" w:eastAsia="es-ES"/>
        </w:rPr>
        <w:t xml:space="preserve">.- </w:t>
      </w:r>
      <w:r w:rsidRPr="007F56F0">
        <w:rPr>
          <w:rFonts w:ascii="Arial" w:eastAsia="Times New Roman" w:hAnsi="Arial" w:cs="Arial"/>
          <w:b/>
          <w:lang w:val="es-ES" w:eastAsia="es-ES"/>
        </w:rPr>
        <w:t>Adecuación de los procedimientos</w:t>
      </w:r>
      <w:r w:rsidRPr="007F56F0">
        <w:rPr>
          <w:rFonts w:ascii="Arial" w:eastAsia="Times New Roman" w:hAnsi="Arial" w:cs="Arial"/>
          <w:lang w:val="es-ES" w:eastAsia="es-ES"/>
        </w:rPr>
        <w:t xml:space="preserve"> </w:t>
      </w:r>
      <w:r w:rsidRPr="007F56F0">
        <w:rPr>
          <w:rFonts w:ascii="Arial" w:eastAsia="Times New Roman" w:hAnsi="Arial" w:cs="Arial"/>
          <w:b/>
          <w:lang w:val="es-ES" w:eastAsia="es-ES"/>
        </w:rPr>
        <w:t>otorgados antes de la entrada en vigencia de la presente Directiva</w:t>
      </w:r>
      <w:r w:rsidRPr="007F56F0">
        <w:rPr>
          <w:rFonts w:ascii="Arial" w:eastAsia="Times New Roman" w:hAnsi="Arial" w:cs="Arial"/>
          <w:lang w:val="es-ES" w:eastAsia="es-ES"/>
        </w:rPr>
        <w:t>.</w:t>
      </w:r>
    </w:p>
    <w:p w:rsidR="007F56F0" w:rsidRPr="007F56F0" w:rsidRDefault="007F56F0" w:rsidP="007F56F0">
      <w:pPr>
        <w:spacing w:after="0" w:line="240" w:lineRule="auto"/>
        <w:ind w:left="544"/>
        <w:jc w:val="both"/>
        <w:rPr>
          <w:rFonts w:ascii="Arial" w:eastAsia="Times New Roman" w:hAnsi="Arial" w:cs="Arial"/>
          <w:lang w:val="es-ES" w:eastAsia="es-ES"/>
        </w:rPr>
      </w:pPr>
      <w:r w:rsidRPr="007F56F0">
        <w:rPr>
          <w:rFonts w:ascii="Arial" w:eastAsia="Times New Roman" w:hAnsi="Arial" w:cs="Arial"/>
          <w:lang w:val="es-ES" w:eastAsia="es-ES"/>
        </w:rPr>
        <w:t>Los contratos de arrendamiento otorgados antes de la vigencia de la presente Directiva, así como los procedimientos que se encuentren en trámite se regirán por la presente Directiva a partir de la etapa en que se encuentren.</w:t>
      </w:r>
    </w:p>
    <w:p w:rsidR="007F56F0" w:rsidRPr="007F56F0" w:rsidRDefault="007F56F0" w:rsidP="007F56F0">
      <w:pPr>
        <w:tabs>
          <w:tab w:val="left" w:pos="709"/>
        </w:tabs>
        <w:spacing w:after="0" w:line="240" w:lineRule="auto"/>
        <w:ind w:left="709"/>
        <w:jc w:val="both"/>
        <w:rPr>
          <w:rFonts w:ascii="Arial" w:eastAsia="Times New Roman" w:hAnsi="Arial" w:cs="Arial"/>
          <w:b/>
          <w:lang w:val="es-ES" w:eastAsia="es-ES"/>
        </w:rPr>
      </w:pPr>
    </w:p>
    <w:p w:rsidR="007F56F0" w:rsidRPr="007F56F0" w:rsidRDefault="007F56F0" w:rsidP="007F56F0">
      <w:pPr>
        <w:spacing w:after="0" w:line="240" w:lineRule="auto"/>
        <w:ind w:left="544" w:right="57" w:hanging="487"/>
        <w:jc w:val="both"/>
        <w:rPr>
          <w:rFonts w:ascii="Arial" w:eastAsia="Times New Roman" w:hAnsi="Arial" w:cs="Arial"/>
          <w:b/>
          <w:lang w:val="es-ES" w:eastAsia="es-ES"/>
        </w:rPr>
      </w:pPr>
      <w:r w:rsidRPr="007F56F0">
        <w:rPr>
          <w:rFonts w:ascii="Arial" w:eastAsia="Times New Roman" w:hAnsi="Arial" w:cs="Arial"/>
          <w:b/>
          <w:lang w:val="es-ES" w:eastAsia="es-ES"/>
        </w:rPr>
        <w:t xml:space="preserve">IX. </w:t>
      </w:r>
      <w:r w:rsidRPr="007F56F0">
        <w:rPr>
          <w:rFonts w:ascii="Arial" w:eastAsia="Times New Roman" w:hAnsi="Arial" w:cs="Arial"/>
          <w:b/>
          <w:lang w:val="es-ES" w:eastAsia="es-ES"/>
        </w:rPr>
        <w:tab/>
        <w:t>ANEXOS</w:t>
      </w:r>
    </w:p>
    <w:p w:rsidR="007F56F0" w:rsidRPr="007F56F0" w:rsidRDefault="007F56F0" w:rsidP="007F56F0">
      <w:pPr>
        <w:spacing w:after="0" w:line="240" w:lineRule="auto"/>
        <w:ind w:left="544" w:right="57"/>
        <w:jc w:val="both"/>
        <w:rPr>
          <w:rFonts w:ascii="Arial" w:eastAsia="Times New Roman" w:hAnsi="Arial" w:cs="Arial"/>
          <w:lang w:val="es-ES" w:eastAsia="es-ES"/>
        </w:rPr>
      </w:pPr>
      <w:r w:rsidRPr="007F56F0">
        <w:rPr>
          <w:rFonts w:ascii="Arial" w:eastAsia="Times New Roman" w:hAnsi="Arial" w:cs="Arial"/>
          <w:lang w:val="es-ES" w:eastAsia="es-ES"/>
        </w:rPr>
        <w:t>Forman parte de la presente Directiva los anexos que a continuación se indican:</w:t>
      </w:r>
    </w:p>
    <w:p w:rsidR="007F56F0" w:rsidRPr="007F56F0" w:rsidRDefault="007F56F0" w:rsidP="007F56F0">
      <w:pPr>
        <w:spacing w:after="0" w:line="240" w:lineRule="auto"/>
        <w:ind w:left="57" w:right="57"/>
        <w:jc w:val="both"/>
        <w:rPr>
          <w:rFonts w:ascii="Arial" w:eastAsia="Times New Roman" w:hAnsi="Arial" w:cs="Arial"/>
          <w:lang w:val="es-ES" w:eastAsia="es-ES"/>
        </w:rPr>
      </w:pPr>
      <w:r w:rsidRPr="007F56F0">
        <w:rPr>
          <w:rFonts w:ascii="Arial" w:eastAsia="Times New Roman" w:hAnsi="Arial" w:cs="Arial"/>
          <w:lang w:val="es-ES" w:eastAsia="es-ES"/>
        </w:rPr>
        <w:t xml:space="preserve"> </w:t>
      </w:r>
    </w:p>
    <w:p w:rsidR="007F56F0" w:rsidRPr="007F56F0" w:rsidRDefault="007F56F0" w:rsidP="0092471C">
      <w:pPr>
        <w:numPr>
          <w:ilvl w:val="1"/>
          <w:numId w:val="323"/>
        </w:numPr>
        <w:tabs>
          <w:tab w:val="left" w:pos="993"/>
        </w:tabs>
        <w:spacing w:after="0" w:line="240" w:lineRule="auto"/>
        <w:ind w:hanging="1440"/>
        <w:contextualSpacing/>
        <w:rPr>
          <w:rFonts w:ascii="Arial" w:eastAsia="Lucida Sans Unicode" w:hAnsi="Arial" w:cs="Arial"/>
          <w:lang w:val="es-ES_tradnl" w:eastAsia="es-ES"/>
        </w:rPr>
      </w:pPr>
      <w:r w:rsidRPr="007F56F0">
        <w:rPr>
          <w:rFonts w:ascii="Arial" w:eastAsia="Lucida Sans Unicode" w:hAnsi="Arial" w:cs="Arial"/>
          <w:lang w:val="es-ES_tradnl" w:eastAsia="es-ES"/>
        </w:rPr>
        <w:t>Abreviaturas</w:t>
      </w:r>
    </w:p>
    <w:p w:rsidR="007F56F0" w:rsidRPr="007F56F0" w:rsidRDefault="007F56F0" w:rsidP="0092471C">
      <w:pPr>
        <w:numPr>
          <w:ilvl w:val="1"/>
          <w:numId w:val="323"/>
        </w:numPr>
        <w:tabs>
          <w:tab w:val="left" w:pos="993"/>
        </w:tabs>
        <w:spacing w:after="0" w:line="240" w:lineRule="auto"/>
        <w:ind w:left="969" w:hanging="260"/>
        <w:contextualSpacing/>
        <w:rPr>
          <w:rFonts w:ascii="Arial" w:eastAsia="Lucida Sans Unicode" w:hAnsi="Arial" w:cs="Arial"/>
          <w:lang w:val="es-ES_tradnl" w:eastAsia="es-ES"/>
        </w:rPr>
      </w:pPr>
      <w:r w:rsidRPr="007F56F0">
        <w:rPr>
          <w:rFonts w:ascii="Arial" w:eastAsia="Lucida Sans Unicode" w:hAnsi="Arial" w:cs="Arial"/>
          <w:lang w:val="es-ES_tradnl" w:eastAsia="es-ES"/>
        </w:rPr>
        <w:t>Glosario de Términos</w:t>
      </w:r>
    </w:p>
    <w:p w:rsidR="007F56F0" w:rsidRPr="007F56F0" w:rsidRDefault="007F56F0" w:rsidP="0092471C">
      <w:pPr>
        <w:numPr>
          <w:ilvl w:val="1"/>
          <w:numId w:val="323"/>
        </w:numPr>
        <w:tabs>
          <w:tab w:val="left" w:pos="993"/>
        </w:tabs>
        <w:spacing w:after="0" w:line="240" w:lineRule="auto"/>
        <w:ind w:hanging="1440"/>
        <w:contextualSpacing/>
        <w:rPr>
          <w:rFonts w:ascii="Arial" w:eastAsia="Lucida Sans Unicode" w:hAnsi="Arial" w:cs="Arial"/>
          <w:lang w:val="es-ES_tradnl" w:eastAsia="es-ES"/>
        </w:rPr>
      </w:pPr>
      <w:r w:rsidRPr="007F56F0">
        <w:rPr>
          <w:rFonts w:ascii="Arial" w:eastAsia="Lucida Sans Unicode" w:hAnsi="Arial" w:cs="Arial"/>
          <w:lang w:val="es-ES_tradnl" w:eastAsia="es-ES"/>
        </w:rPr>
        <w:t>Declaración Jurada de compromiso de pago.</w:t>
      </w:r>
    </w:p>
    <w:p w:rsidR="007F56F0" w:rsidRPr="007F56F0" w:rsidRDefault="007F56F0" w:rsidP="007F56F0">
      <w:pPr>
        <w:spacing w:after="0" w:line="240" w:lineRule="auto"/>
        <w:ind w:left="57" w:right="57"/>
        <w:jc w:val="both"/>
        <w:rPr>
          <w:rFonts w:ascii="Arial" w:eastAsia="Times New Roman" w:hAnsi="Arial" w:cs="Arial"/>
          <w:lang w:val="es-ES_tradnl" w:eastAsia="es-ES"/>
        </w:rPr>
      </w:pPr>
    </w:p>
    <w:p w:rsidR="007F56F0" w:rsidRPr="007F56F0" w:rsidRDefault="007F56F0" w:rsidP="009D2FD1">
      <w:pPr>
        <w:spacing w:after="0" w:line="240" w:lineRule="auto"/>
        <w:ind w:left="57" w:right="57"/>
        <w:jc w:val="center"/>
        <w:rPr>
          <w:rFonts w:ascii="Arial" w:eastAsia="Times New Roman" w:hAnsi="Arial" w:cs="Arial"/>
          <w:b/>
          <w:lang w:val="es-ES" w:eastAsia="es-ES"/>
        </w:rPr>
      </w:pPr>
      <w:r w:rsidRPr="007F56F0">
        <w:rPr>
          <w:rFonts w:ascii="Arial" w:eastAsia="Times New Roman" w:hAnsi="Arial" w:cs="Arial"/>
          <w:b/>
          <w:lang w:val="es-ES" w:eastAsia="es-ES"/>
        </w:rPr>
        <w:t>ANEXO N° 1:</w:t>
      </w:r>
    </w:p>
    <w:p w:rsidR="007F56F0" w:rsidRPr="007F56F0" w:rsidRDefault="007F56F0" w:rsidP="009D2FD1">
      <w:pPr>
        <w:spacing w:after="0" w:line="240" w:lineRule="auto"/>
        <w:ind w:left="57" w:right="57"/>
        <w:jc w:val="center"/>
        <w:rPr>
          <w:rFonts w:ascii="Arial" w:eastAsia="Times New Roman" w:hAnsi="Arial" w:cs="Arial"/>
          <w:b/>
          <w:lang w:val="es-ES" w:eastAsia="es-ES"/>
        </w:rPr>
      </w:pPr>
      <w:r w:rsidRPr="007F56F0">
        <w:rPr>
          <w:rFonts w:ascii="Arial" w:eastAsia="Times New Roman" w:hAnsi="Arial" w:cs="Arial"/>
          <w:b/>
          <w:lang w:val="es-ES" w:eastAsia="es-ES"/>
        </w:rPr>
        <w:t>ABREVIATURAS</w:t>
      </w:r>
    </w:p>
    <w:p w:rsidR="007F56F0" w:rsidRPr="007F56F0" w:rsidRDefault="007F56F0" w:rsidP="007F56F0">
      <w:pPr>
        <w:spacing w:after="0" w:line="240" w:lineRule="auto"/>
        <w:ind w:left="57" w:right="57"/>
        <w:jc w:val="both"/>
        <w:rPr>
          <w:rFonts w:ascii="Arial" w:eastAsia="Times New Roman" w:hAnsi="Arial" w:cs="Arial"/>
          <w:lang w:val="es-ES" w:eastAsia="es-ES"/>
        </w:rPr>
      </w:pPr>
    </w:p>
    <w:p w:rsidR="007F56F0" w:rsidRPr="007F56F0" w:rsidRDefault="007F56F0" w:rsidP="007F56F0">
      <w:pPr>
        <w:spacing w:after="0" w:line="240" w:lineRule="auto"/>
        <w:ind w:left="57" w:right="57"/>
        <w:jc w:val="both"/>
        <w:rPr>
          <w:rFonts w:ascii="Arial" w:eastAsia="Times New Roman" w:hAnsi="Arial" w:cs="Arial"/>
          <w:lang w:val="es-ES" w:eastAsia="es-ES"/>
        </w:rPr>
      </w:pPr>
    </w:p>
    <w:p w:rsidR="007F56F0" w:rsidRPr="007F56F0" w:rsidRDefault="007F56F0" w:rsidP="007F56F0">
      <w:pPr>
        <w:widowControl w:val="0"/>
        <w:suppressAutoHyphens/>
        <w:spacing w:after="0" w:line="360" w:lineRule="auto"/>
        <w:jc w:val="both"/>
        <w:rPr>
          <w:rFonts w:ascii="Arial" w:eastAsia="Calibri" w:hAnsi="Arial" w:cs="Arial"/>
          <w:b/>
        </w:rPr>
      </w:pPr>
      <w:r w:rsidRPr="007F56F0">
        <w:rPr>
          <w:rFonts w:ascii="Arial" w:eastAsia="Calibri" w:hAnsi="Arial" w:cs="Arial"/>
          <w:b/>
          <w:lang w:val="es-ES"/>
        </w:rPr>
        <w:t>CUS</w:t>
      </w:r>
      <w:r w:rsidRPr="007F56F0">
        <w:rPr>
          <w:rFonts w:ascii="Arial" w:eastAsia="Calibri" w:hAnsi="Arial" w:cs="Arial"/>
        </w:rPr>
        <w:t>: Código Único SINABIP</w:t>
      </w:r>
    </w:p>
    <w:p w:rsidR="007F56F0" w:rsidRPr="007F56F0" w:rsidRDefault="007F56F0" w:rsidP="007F56F0">
      <w:pPr>
        <w:widowControl w:val="0"/>
        <w:suppressAutoHyphens/>
        <w:spacing w:after="0" w:line="360" w:lineRule="auto"/>
        <w:jc w:val="both"/>
        <w:rPr>
          <w:rFonts w:ascii="Arial" w:eastAsia="Calibri" w:hAnsi="Arial" w:cs="Arial"/>
        </w:rPr>
      </w:pPr>
      <w:r w:rsidRPr="007F56F0">
        <w:rPr>
          <w:rFonts w:ascii="Arial" w:eastAsia="Calibri" w:hAnsi="Arial" w:cs="Arial"/>
          <w:b/>
        </w:rPr>
        <w:t>DGPE</w:t>
      </w:r>
      <w:r w:rsidRPr="007F56F0">
        <w:rPr>
          <w:rFonts w:ascii="Arial" w:eastAsia="Calibri" w:hAnsi="Arial" w:cs="Arial"/>
        </w:rPr>
        <w:t>: Dirección de Gestión del Patrimonio Estatal de la SBN.</w:t>
      </w:r>
    </w:p>
    <w:p w:rsidR="007F56F0" w:rsidRPr="007F56F0" w:rsidRDefault="007F56F0" w:rsidP="007F56F0">
      <w:pPr>
        <w:widowControl w:val="0"/>
        <w:suppressAutoHyphens/>
        <w:spacing w:after="0" w:line="360" w:lineRule="auto"/>
        <w:jc w:val="both"/>
        <w:rPr>
          <w:rFonts w:ascii="Arial" w:eastAsia="Calibri" w:hAnsi="Arial" w:cs="Arial"/>
          <w:b/>
        </w:rPr>
      </w:pPr>
      <w:r w:rsidRPr="007F56F0">
        <w:rPr>
          <w:rFonts w:ascii="Arial" w:eastAsia="Calibri" w:hAnsi="Arial" w:cs="Arial"/>
          <w:b/>
        </w:rPr>
        <w:t>IPC</w:t>
      </w:r>
      <w:r w:rsidRPr="007F56F0">
        <w:rPr>
          <w:rFonts w:ascii="Arial" w:eastAsia="Calibri" w:hAnsi="Arial" w:cs="Arial"/>
        </w:rPr>
        <w:t>: Índice de Precios al Consumidor.</w:t>
      </w:r>
    </w:p>
    <w:p w:rsidR="007F56F0" w:rsidRPr="007F56F0" w:rsidRDefault="007F56F0" w:rsidP="007F56F0">
      <w:pPr>
        <w:widowControl w:val="0"/>
        <w:suppressAutoHyphens/>
        <w:spacing w:after="0" w:line="360" w:lineRule="auto"/>
        <w:jc w:val="both"/>
        <w:rPr>
          <w:rFonts w:ascii="Arial" w:eastAsia="Calibri" w:hAnsi="Arial" w:cs="Arial"/>
        </w:rPr>
      </w:pPr>
      <w:r w:rsidRPr="007F56F0">
        <w:rPr>
          <w:rFonts w:ascii="Arial" w:eastAsia="Calibri" w:hAnsi="Arial" w:cs="Arial"/>
          <w:b/>
        </w:rPr>
        <w:t>OAF:</w:t>
      </w:r>
      <w:r w:rsidRPr="007F56F0">
        <w:rPr>
          <w:rFonts w:ascii="Arial" w:eastAsia="Calibri" w:hAnsi="Arial" w:cs="Arial"/>
        </w:rPr>
        <w:t xml:space="preserve"> Oficina de Administración y Finanzas de la SBN.</w:t>
      </w:r>
    </w:p>
    <w:p w:rsidR="007F56F0" w:rsidRPr="007F56F0" w:rsidRDefault="007F56F0" w:rsidP="007F56F0">
      <w:pPr>
        <w:widowControl w:val="0"/>
        <w:suppressAutoHyphens/>
        <w:spacing w:after="0" w:line="360" w:lineRule="auto"/>
        <w:jc w:val="both"/>
        <w:rPr>
          <w:rFonts w:ascii="Arial" w:eastAsia="Calibri" w:hAnsi="Arial" w:cs="Arial"/>
        </w:rPr>
      </w:pPr>
      <w:r w:rsidRPr="007F56F0">
        <w:rPr>
          <w:rFonts w:ascii="Arial" w:eastAsia="Calibri" w:hAnsi="Arial" w:cs="Arial"/>
          <w:b/>
        </w:rPr>
        <w:t>OAJ</w:t>
      </w:r>
      <w:r w:rsidRPr="007F56F0">
        <w:rPr>
          <w:rFonts w:ascii="Arial" w:eastAsia="Calibri" w:hAnsi="Arial" w:cs="Arial"/>
        </w:rPr>
        <w:t>: Oficina de Asesoría Jurídica de la SBN.</w:t>
      </w:r>
    </w:p>
    <w:p w:rsidR="007F56F0" w:rsidRPr="007F56F0" w:rsidRDefault="007F56F0" w:rsidP="007F56F0">
      <w:pPr>
        <w:widowControl w:val="0"/>
        <w:suppressAutoHyphens/>
        <w:spacing w:after="0" w:line="360" w:lineRule="auto"/>
        <w:jc w:val="both"/>
        <w:rPr>
          <w:rFonts w:ascii="Arial" w:eastAsia="Calibri" w:hAnsi="Arial" w:cs="Arial"/>
        </w:rPr>
      </w:pPr>
      <w:r w:rsidRPr="007F56F0">
        <w:rPr>
          <w:rFonts w:ascii="Arial" w:eastAsia="Calibri" w:hAnsi="Arial" w:cs="Arial"/>
          <w:b/>
        </w:rPr>
        <w:t>PP</w:t>
      </w:r>
      <w:r w:rsidRPr="007F56F0">
        <w:rPr>
          <w:rFonts w:ascii="Arial" w:eastAsia="Calibri" w:hAnsi="Arial" w:cs="Arial"/>
        </w:rPr>
        <w:t>: Procuraduría Pública.</w:t>
      </w:r>
    </w:p>
    <w:p w:rsidR="007F56F0" w:rsidRPr="007F56F0" w:rsidRDefault="007F56F0" w:rsidP="007F56F0">
      <w:pPr>
        <w:widowControl w:val="0"/>
        <w:suppressAutoHyphens/>
        <w:spacing w:after="0" w:line="360" w:lineRule="auto"/>
        <w:jc w:val="both"/>
        <w:rPr>
          <w:rFonts w:ascii="Arial" w:eastAsia="Calibri" w:hAnsi="Arial" w:cs="Arial"/>
        </w:rPr>
      </w:pPr>
      <w:r w:rsidRPr="007F56F0">
        <w:rPr>
          <w:rFonts w:ascii="Arial" w:eastAsia="Calibri" w:hAnsi="Arial" w:cs="Arial"/>
          <w:b/>
        </w:rPr>
        <w:t xml:space="preserve">ROF: </w:t>
      </w:r>
      <w:r w:rsidRPr="007F56F0">
        <w:rPr>
          <w:rFonts w:ascii="Arial" w:eastAsia="Calibri" w:hAnsi="Arial" w:cs="Arial"/>
        </w:rPr>
        <w:t>Reglamento de Organización y Funciones.</w:t>
      </w:r>
    </w:p>
    <w:p w:rsidR="007F56F0" w:rsidRPr="007F56F0" w:rsidRDefault="007F56F0" w:rsidP="007F56F0">
      <w:pPr>
        <w:widowControl w:val="0"/>
        <w:suppressAutoHyphens/>
        <w:spacing w:after="0" w:line="360" w:lineRule="auto"/>
        <w:jc w:val="both"/>
        <w:rPr>
          <w:rFonts w:ascii="Arial" w:eastAsia="Calibri" w:hAnsi="Arial" w:cs="Arial"/>
        </w:rPr>
      </w:pPr>
      <w:r w:rsidRPr="007F56F0">
        <w:rPr>
          <w:rFonts w:ascii="Arial" w:eastAsia="Calibri" w:hAnsi="Arial" w:cs="Arial"/>
          <w:b/>
        </w:rPr>
        <w:t>SAT</w:t>
      </w:r>
      <w:r w:rsidRPr="007F56F0">
        <w:rPr>
          <w:rFonts w:ascii="Arial" w:eastAsia="Calibri" w:hAnsi="Arial" w:cs="Arial"/>
        </w:rPr>
        <w:t>: Sistema Administrativo de Tesorería.</w:t>
      </w:r>
    </w:p>
    <w:p w:rsidR="007F56F0" w:rsidRPr="007F56F0" w:rsidRDefault="007F56F0" w:rsidP="007F56F0">
      <w:pPr>
        <w:widowControl w:val="0"/>
        <w:suppressAutoHyphens/>
        <w:spacing w:after="0" w:line="360" w:lineRule="auto"/>
        <w:jc w:val="both"/>
        <w:rPr>
          <w:rFonts w:ascii="Arial" w:eastAsia="Calibri" w:hAnsi="Arial" w:cs="Arial"/>
        </w:rPr>
      </w:pPr>
      <w:r w:rsidRPr="007F56F0">
        <w:rPr>
          <w:rFonts w:ascii="Arial" w:eastAsia="Calibri" w:hAnsi="Arial" w:cs="Arial"/>
          <w:b/>
        </w:rPr>
        <w:t>SBN</w:t>
      </w:r>
      <w:r w:rsidRPr="007F56F0">
        <w:rPr>
          <w:rFonts w:ascii="Arial" w:eastAsia="Calibri" w:hAnsi="Arial" w:cs="Arial"/>
        </w:rPr>
        <w:t>: Superintendencia Nacional de Bienes Estatales.</w:t>
      </w:r>
    </w:p>
    <w:p w:rsidR="007F56F0" w:rsidRPr="007F56F0" w:rsidRDefault="007F56F0" w:rsidP="007F56F0">
      <w:pPr>
        <w:widowControl w:val="0"/>
        <w:suppressAutoHyphens/>
        <w:spacing w:after="0" w:line="360" w:lineRule="auto"/>
        <w:jc w:val="both"/>
        <w:rPr>
          <w:rFonts w:ascii="Arial" w:eastAsia="Calibri" w:hAnsi="Arial" w:cs="Arial"/>
        </w:rPr>
      </w:pPr>
      <w:r w:rsidRPr="007F56F0">
        <w:rPr>
          <w:rFonts w:ascii="Arial" w:eastAsia="Calibri" w:hAnsi="Arial" w:cs="Arial"/>
          <w:b/>
        </w:rPr>
        <w:t>SDAPE</w:t>
      </w:r>
      <w:r w:rsidRPr="007F56F0">
        <w:rPr>
          <w:rFonts w:ascii="Arial" w:eastAsia="Calibri" w:hAnsi="Arial" w:cs="Arial"/>
        </w:rPr>
        <w:t>: Subdirección de Administración de Patrimonio Estatal.</w:t>
      </w:r>
    </w:p>
    <w:p w:rsidR="007F56F0" w:rsidRPr="007F56F0" w:rsidRDefault="007F56F0" w:rsidP="007F56F0">
      <w:pPr>
        <w:widowControl w:val="0"/>
        <w:suppressAutoHyphens/>
        <w:spacing w:after="0" w:line="360" w:lineRule="auto"/>
        <w:jc w:val="both"/>
        <w:rPr>
          <w:rFonts w:ascii="Arial" w:eastAsia="Calibri" w:hAnsi="Arial" w:cs="Arial"/>
        </w:rPr>
      </w:pPr>
      <w:r w:rsidRPr="007F56F0">
        <w:rPr>
          <w:rFonts w:ascii="Arial" w:eastAsia="Calibri" w:hAnsi="Arial" w:cs="Arial"/>
          <w:b/>
        </w:rPr>
        <w:t>SDDI</w:t>
      </w:r>
      <w:r w:rsidRPr="007F56F0">
        <w:rPr>
          <w:rFonts w:ascii="Arial" w:eastAsia="Calibri" w:hAnsi="Arial" w:cs="Arial"/>
        </w:rPr>
        <w:t>: Subdirección de Desarrollo Inmobiliario de la SBN.</w:t>
      </w:r>
    </w:p>
    <w:p w:rsidR="007F56F0" w:rsidRPr="007F56F0" w:rsidRDefault="007F56F0" w:rsidP="007F56F0">
      <w:pPr>
        <w:widowControl w:val="0"/>
        <w:suppressAutoHyphens/>
        <w:spacing w:after="0" w:line="360" w:lineRule="auto"/>
        <w:jc w:val="both"/>
        <w:rPr>
          <w:rFonts w:ascii="Arial" w:eastAsia="Calibri" w:hAnsi="Arial" w:cs="Arial"/>
        </w:rPr>
      </w:pPr>
      <w:r w:rsidRPr="007F56F0">
        <w:rPr>
          <w:rFonts w:ascii="Arial" w:eastAsia="Calibri" w:hAnsi="Arial" w:cs="Arial"/>
          <w:b/>
        </w:rPr>
        <w:t>SDRC</w:t>
      </w:r>
      <w:r w:rsidRPr="007F56F0">
        <w:rPr>
          <w:rFonts w:ascii="Arial" w:eastAsia="Calibri" w:hAnsi="Arial" w:cs="Arial"/>
        </w:rPr>
        <w:t>: Subdirección de Registro y Catastro.</w:t>
      </w:r>
    </w:p>
    <w:p w:rsidR="007F56F0" w:rsidRPr="007F56F0" w:rsidRDefault="007F56F0" w:rsidP="007F56F0">
      <w:pPr>
        <w:widowControl w:val="0"/>
        <w:suppressAutoHyphens/>
        <w:spacing w:after="0" w:line="360" w:lineRule="auto"/>
        <w:jc w:val="both"/>
        <w:rPr>
          <w:rFonts w:ascii="Arial" w:eastAsia="Calibri" w:hAnsi="Arial" w:cs="Arial"/>
        </w:rPr>
      </w:pPr>
      <w:r w:rsidRPr="007F56F0">
        <w:rPr>
          <w:rFonts w:ascii="Arial" w:eastAsia="Calibri" w:hAnsi="Arial" w:cs="Arial"/>
          <w:b/>
        </w:rPr>
        <w:t>SDS</w:t>
      </w:r>
      <w:r w:rsidRPr="007F56F0">
        <w:rPr>
          <w:rFonts w:ascii="Arial" w:eastAsia="Calibri" w:hAnsi="Arial" w:cs="Arial"/>
        </w:rPr>
        <w:t xml:space="preserve">: Subdirección de Supervisión. </w:t>
      </w:r>
    </w:p>
    <w:p w:rsidR="007F56F0" w:rsidRPr="007F56F0" w:rsidRDefault="007F56F0" w:rsidP="007F56F0">
      <w:pPr>
        <w:widowControl w:val="0"/>
        <w:suppressAutoHyphens/>
        <w:spacing w:after="0" w:line="360" w:lineRule="auto"/>
        <w:jc w:val="both"/>
        <w:rPr>
          <w:rFonts w:ascii="Arial" w:eastAsia="Calibri" w:hAnsi="Arial" w:cs="Arial"/>
        </w:rPr>
      </w:pPr>
      <w:r w:rsidRPr="007F56F0">
        <w:rPr>
          <w:rFonts w:ascii="Arial" w:eastAsia="Calibri" w:hAnsi="Arial" w:cs="Arial"/>
          <w:b/>
        </w:rPr>
        <w:t>SINABIP</w:t>
      </w:r>
      <w:r w:rsidRPr="007F56F0">
        <w:rPr>
          <w:rFonts w:ascii="Arial" w:eastAsia="Calibri" w:hAnsi="Arial" w:cs="Arial"/>
        </w:rPr>
        <w:t xml:space="preserve">: Sistema de Información Nacional de Bienes Estatales.   </w:t>
      </w:r>
    </w:p>
    <w:p w:rsidR="007F56F0" w:rsidRPr="007F56F0" w:rsidRDefault="007F56F0" w:rsidP="007F56F0">
      <w:pPr>
        <w:widowControl w:val="0"/>
        <w:suppressAutoHyphens/>
        <w:spacing w:after="0" w:line="360" w:lineRule="auto"/>
        <w:jc w:val="both"/>
        <w:rPr>
          <w:rFonts w:ascii="Arial" w:eastAsia="Calibri" w:hAnsi="Arial" w:cs="Arial"/>
        </w:rPr>
      </w:pPr>
      <w:r w:rsidRPr="007F56F0">
        <w:rPr>
          <w:rFonts w:ascii="Arial" w:eastAsia="Calibri" w:hAnsi="Arial" w:cs="Arial"/>
          <w:b/>
        </w:rPr>
        <w:t>SNBE</w:t>
      </w:r>
      <w:r w:rsidRPr="007F56F0">
        <w:rPr>
          <w:rFonts w:ascii="Arial" w:eastAsia="Calibri" w:hAnsi="Arial" w:cs="Arial"/>
        </w:rPr>
        <w:t>: Sistema Nacional de Bienes Estatales.</w:t>
      </w:r>
    </w:p>
    <w:p w:rsidR="007F56F0" w:rsidRPr="007F56F0" w:rsidRDefault="007F56F0" w:rsidP="007F56F0">
      <w:pPr>
        <w:widowControl w:val="0"/>
        <w:suppressAutoHyphens/>
        <w:spacing w:after="0" w:line="360" w:lineRule="auto"/>
        <w:jc w:val="both"/>
        <w:rPr>
          <w:rFonts w:ascii="Arial" w:eastAsia="Calibri" w:hAnsi="Arial" w:cs="Arial"/>
        </w:rPr>
      </w:pPr>
      <w:r w:rsidRPr="007F56F0">
        <w:rPr>
          <w:rFonts w:ascii="Arial" w:eastAsia="Calibri" w:hAnsi="Arial" w:cs="Arial"/>
          <w:b/>
        </w:rPr>
        <w:t>SUNARP</w:t>
      </w:r>
      <w:r w:rsidRPr="007F56F0">
        <w:rPr>
          <w:rFonts w:ascii="Arial" w:eastAsia="Calibri" w:hAnsi="Arial" w:cs="Arial"/>
        </w:rPr>
        <w:t>: Superintendencia Nacional de los Registros Públicos.</w:t>
      </w:r>
    </w:p>
    <w:p w:rsidR="007F56F0" w:rsidRPr="007F56F0" w:rsidRDefault="007F56F0" w:rsidP="007F56F0">
      <w:pPr>
        <w:spacing w:after="0" w:line="240" w:lineRule="auto"/>
        <w:ind w:left="57" w:right="57"/>
        <w:jc w:val="both"/>
        <w:rPr>
          <w:rFonts w:ascii="Arial" w:eastAsia="Times New Roman" w:hAnsi="Arial" w:cs="Arial"/>
          <w:lang w:eastAsia="es-ES"/>
        </w:rPr>
      </w:pPr>
    </w:p>
    <w:p w:rsidR="007F56F0" w:rsidRPr="007F56F0" w:rsidRDefault="007F56F0" w:rsidP="007F56F0">
      <w:pPr>
        <w:spacing w:after="0" w:line="240" w:lineRule="auto"/>
        <w:jc w:val="both"/>
        <w:rPr>
          <w:rFonts w:ascii="Arial" w:eastAsia="Times New Roman" w:hAnsi="Arial" w:cs="Arial"/>
          <w:lang w:val="es-ES" w:eastAsia="es-ES"/>
        </w:rPr>
      </w:pPr>
    </w:p>
    <w:p w:rsidR="007F56F0" w:rsidRPr="007F56F0" w:rsidRDefault="007F56F0" w:rsidP="007F56F0">
      <w:pPr>
        <w:spacing w:after="0" w:line="240" w:lineRule="auto"/>
        <w:ind w:left="57" w:right="57"/>
        <w:jc w:val="center"/>
        <w:rPr>
          <w:rFonts w:ascii="Arial" w:eastAsia="Times New Roman" w:hAnsi="Arial" w:cs="Arial"/>
          <w:b/>
          <w:lang w:val="es-ES" w:eastAsia="es-ES"/>
        </w:rPr>
      </w:pPr>
      <w:r w:rsidRPr="007F56F0">
        <w:rPr>
          <w:rFonts w:ascii="Arial" w:eastAsia="Times New Roman" w:hAnsi="Arial" w:cs="Arial"/>
          <w:b/>
          <w:lang w:val="es-ES" w:eastAsia="es-ES"/>
        </w:rPr>
        <w:t>ANEXO N° 2:</w:t>
      </w:r>
    </w:p>
    <w:p w:rsidR="007F56F0" w:rsidRPr="007F56F0" w:rsidRDefault="007F56F0" w:rsidP="007F56F0">
      <w:pPr>
        <w:spacing w:after="0" w:line="240" w:lineRule="auto"/>
        <w:ind w:left="57" w:right="57"/>
        <w:jc w:val="center"/>
        <w:rPr>
          <w:rFonts w:ascii="Arial" w:eastAsia="Times New Roman" w:hAnsi="Arial" w:cs="Arial"/>
          <w:b/>
          <w:lang w:val="es-ES" w:eastAsia="es-ES"/>
        </w:rPr>
      </w:pPr>
    </w:p>
    <w:p w:rsidR="007F56F0" w:rsidRPr="007F56F0" w:rsidRDefault="007F56F0" w:rsidP="007F56F0">
      <w:pPr>
        <w:spacing w:after="0" w:line="240" w:lineRule="auto"/>
        <w:ind w:left="57" w:right="57"/>
        <w:jc w:val="center"/>
        <w:rPr>
          <w:rFonts w:ascii="Arial" w:eastAsia="Times New Roman" w:hAnsi="Arial" w:cs="Arial"/>
          <w:b/>
          <w:lang w:val="es-ES" w:eastAsia="es-ES"/>
        </w:rPr>
      </w:pPr>
      <w:r w:rsidRPr="007F56F0">
        <w:rPr>
          <w:rFonts w:ascii="Arial" w:eastAsia="Times New Roman" w:hAnsi="Arial" w:cs="Arial"/>
          <w:b/>
          <w:lang w:val="es-ES" w:eastAsia="es-ES"/>
        </w:rPr>
        <w:t>GLOSARIO DE TÉRMINOS</w:t>
      </w:r>
    </w:p>
    <w:p w:rsidR="007F56F0" w:rsidRPr="007F56F0" w:rsidRDefault="007F56F0" w:rsidP="007F56F0">
      <w:pPr>
        <w:spacing w:after="0" w:line="240" w:lineRule="auto"/>
        <w:ind w:left="57" w:right="57"/>
        <w:jc w:val="both"/>
        <w:rPr>
          <w:rFonts w:ascii="Arial" w:eastAsia="Times New Roman" w:hAnsi="Arial" w:cs="Arial"/>
          <w:lang w:val="es-ES" w:eastAsia="es-ES"/>
        </w:rPr>
      </w:pPr>
    </w:p>
    <w:p w:rsidR="007F56F0" w:rsidRPr="007F56F0" w:rsidRDefault="007F56F0" w:rsidP="007F56F0">
      <w:pPr>
        <w:spacing w:after="0" w:line="240" w:lineRule="auto"/>
        <w:ind w:left="57" w:right="57"/>
        <w:jc w:val="both"/>
        <w:rPr>
          <w:rFonts w:ascii="Arial" w:eastAsia="Times New Roman" w:hAnsi="Arial" w:cs="Arial"/>
          <w:lang w:val="es-ES" w:eastAsia="es-ES"/>
        </w:rPr>
      </w:pPr>
      <w:r w:rsidRPr="007F56F0">
        <w:rPr>
          <w:rFonts w:ascii="Arial" w:eastAsia="Times New Roman" w:hAnsi="Arial" w:cs="Arial"/>
          <w:lang w:val="es-ES" w:eastAsia="es-ES"/>
        </w:rPr>
        <w:t>Para efectos de la presente Directiva, se aplican las definiciones siguientes:</w:t>
      </w:r>
    </w:p>
    <w:p w:rsidR="007F56F0" w:rsidRPr="007F56F0" w:rsidRDefault="007F56F0" w:rsidP="007F56F0">
      <w:pPr>
        <w:spacing w:after="0" w:line="240" w:lineRule="auto"/>
        <w:ind w:left="57" w:right="57"/>
        <w:jc w:val="both"/>
        <w:rPr>
          <w:rFonts w:ascii="Arial" w:eastAsia="Times New Roman" w:hAnsi="Arial" w:cs="Arial"/>
          <w:lang w:val="es-ES" w:eastAsia="es-ES"/>
        </w:rPr>
      </w:pPr>
    </w:p>
    <w:p w:rsidR="007F56F0" w:rsidRPr="007F56F0" w:rsidRDefault="007F56F0" w:rsidP="007F56F0">
      <w:pPr>
        <w:spacing w:after="0" w:line="240" w:lineRule="auto"/>
        <w:ind w:left="57" w:right="57"/>
        <w:jc w:val="both"/>
        <w:rPr>
          <w:rFonts w:ascii="Arial" w:eastAsia="Times New Roman" w:hAnsi="Arial" w:cs="Arial"/>
          <w:lang w:val="es-ES" w:eastAsia="es-ES"/>
        </w:rPr>
      </w:pPr>
      <w:r w:rsidRPr="007F56F0">
        <w:rPr>
          <w:rFonts w:ascii="Arial" w:eastAsia="Times New Roman" w:hAnsi="Arial" w:cs="Arial"/>
          <w:b/>
          <w:lang w:val="es-ES" w:eastAsia="es-ES"/>
        </w:rPr>
        <w:t>Documento de valor de renta referencial:</w:t>
      </w:r>
      <w:r w:rsidRPr="007F56F0">
        <w:rPr>
          <w:rFonts w:ascii="Arial" w:eastAsia="Times New Roman" w:hAnsi="Arial" w:cs="Arial"/>
          <w:lang w:val="es-ES" w:eastAsia="es-ES"/>
        </w:rPr>
        <w:t xml:space="preserve"> Documento elaborado por el profesional técnico que participa en la sustentación de la documentación para la evaluación del predio a ser considerado en el procedimiento de arrendamiento.</w:t>
      </w:r>
    </w:p>
    <w:p w:rsidR="007F56F0" w:rsidRPr="007F56F0" w:rsidRDefault="007F56F0" w:rsidP="007F56F0">
      <w:pPr>
        <w:spacing w:after="0" w:line="240" w:lineRule="auto"/>
        <w:ind w:left="57" w:right="57"/>
        <w:jc w:val="both"/>
        <w:rPr>
          <w:rFonts w:ascii="Arial" w:eastAsia="Times New Roman" w:hAnsi="Arial" w:cs="Arial"/>
          <w:lang w:val="es-ES" w:eastAsia="es-ES"/>
        </w:rPr>
      </w:pPr>
    </w:p>
    <w:p w:rsidR="007F56F0" w:rsidRPr="007F56F0" w:rsidRDefault="007F56F0" w:rsidP="007F56F0">
      <w:pPr>
        <w:spacing w:after="0" w:line="240" w:lineRule="auto"/>
        <w:ind w:left="57" w:right="57"/>
        <w:jc w:val="both"/>
        <w:rPr>
          <w:rFonts w:ascii="Arial" w:eastAsia="Times New Roman" w:hAnsi="Arial" w:cs="Arial"/>
          <w:lang w:val="es-ES" w:eastAsia="es-ES"/>
        </w:rPr>
      </w:pPr>
      <w:r w:rsidRPr="007F56F0">
        <w:rPr>
          <w:rFonts w:ascii="Arial" w:eastAsia="Times New Roman" w:hAnsi="Arial" w:cs="Arial"/>
          <w:b/>
          <w:lang w:val="es-ES" w:eastAsia="es-ES"/>
        </w:rPr>
        <w:t>Entidad pública:</w:t>
      </w:r>
      <w:r w:rsidRPr="007F56F0">
        <w:rPr>
          <w:rFonts w:ascii="Arial" w:eastAsia="Times New Roman" w:hAnsi="Arial" w:cs="Arial"/>
          <w:lang w:val="es-ES" w:eastAsia="es-ES"/>
        </w:rPr>
        <w:t xml:space="preserve"> Las entidades a las que se refiere el artículo 8 de la Ley Nº 29151, Ley General del Sistema Nacional de Bienes Estatales.</w:t>
      </w:r>
    </w:p>
    <w:p w:rsidR="007F56F0" w:rsidRPr="007F56F0" w:rsidRDefault="007F56F0" w:rsidP="007F56F0">
      <w:pPr>
        <w:spacing w:after="0" w:line="240" w:lineRule="auto"/>
        <w:ind w:left="57" w:right="57"/>
        <w:jc w:val="both"/>
        <w:rPr>
          <w:rFonts w:ascii="Arial" w:eastAsia="Times New Roman" w:hAnsi="Arial" w:cs="Arial"/>
          <w:lang w:val="es-ES" w:eastAsia="es-ES"/>
        </w:rPr>
      </w:pPr>
    </w:p>
    <w:p w:rsidR="007F56F0" w:rsidRPr="007F56F0" w:rsidRDefault="007F56F0" w:rsidP="007F56F0">
      <w:pPr>
        <w:spacing w:after="0" w:line="240" w:lineRule="auto"/>
        <w:ind w:left="57" w:right="57"/>
        <w:jc w:val="both"/>
        <w:rPr>
          <w:rFonts w:ascii="Arial" w:eastAsia="Times New Roman" w:hAnsi="Arial" w:cs="Arial"/>
          <w:lang w:val="es-ES" w:eastAsia="es-ES"/>
        </w:rPr>
      </w:pPr>
      <w:r w:rsidRPr="007F56F0">
        <w:rPr>
          <w:rFonts w:ascii="Arial" w:eastAsia="Times New Roman" w:hAnsi="Arial" w:cs="Arial"/>
          <w:b/>
          <w:lang w:val="es-ES" w:eastAsia="es-ES"/>
        </w:rPr>
        <w:t>Gastos Administrativos</w:t>
      </w:r>
      <w:r w:rsidRPr="007F56F0">
        <w:rPr>
          <w:rFonts w:ascii="Arial" w:eastAsia="Times New Roman" w:hAnsi="Arial" w:cs="Arial"/>
          <w:lang w:val="es-ES" w:eastAsia="es-ES"/>
        </w:rPr>
        <w:t>: Aquellos gastos indirectos que sirven de soporte al proceso de arrendamiento, tales como impresiones de planos y otros documentos; pagos de luz, agua, teléfono y otros de la sede administrativa de la entidad, entre otros similares.</w:t>
      </w:r>
    </w:p>
    <w:p w:rsidR="007F56F0" w:rsidRPr="007F56F0" w:rsidRDefault="007F56F0" w:rsidP="007F56F0">
      <w:pPr>
        <w:spacing w:after="0" w:line="240" w:lineRule="auto"/>
        <w:ind w:left="57" w:right="57"/>
        <w:jc w:val="both"/>
        <w:rPr>
          <w:rFonts w:ascii="Arial" w:eastAsia="Times New Roman" w:hAnsi="Arial" w:cs="Arial"/>
          <w:lang w:val="es-ES" w:eastAsia="es-ES"/>
        </w:rPr>
      </w:pPr>
    </w:p>
    <w:p w:rsidR="007F56F0" w:rsidRPr="007F56F0" w:rsidRDefault="007F56F0" w:rsidP="007F56F0">
      <w:pPr>
        <w:spacing w:after="0" w:line="240" w:lineRule="auto"/>
        <w:ind w:left="57" w:right="57"/>
        <w:jc w:val="both"/>
        <w:rPr>
          <w:rFonts w:ascii="Arial" w:eastAsia="Times New Roman" w:hAnsi="Arial" w:cs="Arial"/>
          <w:lang w:val="es-ES" w:eastAsia="es-ES"/>
        </w:rPr>
      </w:pPr>
      <w:r w:rsidRPr="007F56F0">
        <w:rPr>
          <w:rFonts w:ascii="Arial" w:eastAsia="Times New Roman" w:hAnsi="Arial" w:cs="Arial"/>
          <w:b/>
          <w:lang w:val="es-ES" w:eastAsia="es-ES"/>
        </w:rPr>
        <w:t>Gastos operativos:</w:t>
      </w:r>
      <w:r w:rsidRPr="007F56F0">
        <w:rPr>
          <w:rFonts w:ascii="Arial" w:eastAsia="Times New Roman" w:hAnsi="Arial" w:cs="Arial"/>
          <w:lang w:val="es-ES" w:eastAsia="es-ES"/>
        </w:rPr>
        <w:t xml:space="preserve"> Aquellos gastos que realiza la entidad que están directamente vinculados al procedimiento o a los predios materia de arrendamiento, tales como: pago de los tributos municipales y de servicios públicos; seguridad y vigilancia; viáticos de los profesionales; tasaciones; publicaciones; honorarios de los profesionales contratados de manera exclusiva para dicho procedimiento;  tasas registrales, entre otros.</w:t>
      </w:r>
    </w:p>
    <w:p w:rsidR="007F56F0" w:rsidRPr="007F56F0" w:rsidRDefault="007F56F0" w:rsidP="007F56F0">
      <w:pPr>
        <w:spacing w:after="0" w:line="240" w:lineRule="auto"/>
        <w:ind w:left="57" w:right="57"/>
        <w:jc w:val="both"/>
        <w:rPr>
          <w:rFonts w:ascii="Arial" w:eastAsia="Times New Roman" w:hAnsi="Arial" w:cs="Arial"/>
          <w:lang w:val="es-ES" w:eastAsia="es-ES"/>
        </w:rPr>
      </w:pPr>
    </w:p>
    <w:p w:rsidR="007F56F0" w:rsidRPr="007F56F0" w:rsidRDefault="007F56F0" w:rsidP="007F56F0">
      <w:pPr>
        <w:spacing w:after="0" w:line="240" w:lineRule="auto"/>
        <w:ind w:left="57" w:right="57"/>
        <w:jc w:val="both"/>
        <w:rPr>
          <w:rFonts w:ascii="Arial" w:eastAsia="Times New Roman" w:hAnsi="Arial" w:cs="Arial"/>
          <w:b/>
          <w:lang w:val="es-ES" w:eastAsia="es-ES"/>
        </w:rPr>
      </w:pPr>
      <w:r w:rsidRPr="007F56F0">
        <w:rPr>
          <w:rFonts w:ascii="Arial" w:eastAsia="Times New Roman" w:hAnsi="Arial" w:cs="Arial"/>
          <w:b/>
          <w:lang w:val="es-ES" w:eastAsia="es-ES"/>
        </w:rPr>
        <w:t>Localidad</w:t>
      </w:r>
      <w:r w:rsidRPr="007F56F0">
        <w:rPr>
          <w:rFonts w:ascii="Arial" w:eastAsia="Times New Roman" w:hAnsi="Arial" w:cs="Arial"/>
          <w:lang w:val="es-ES" w:eastAsia="es-ES"/>
        </w:rPr>
        <w:t>.-  Se refiere a la</w:t>
      </w:r>
      <w:r w:rsidRPr="007F56F0">
        <w:rPr>
          <w:rFonts w:ascii="Arial" w:eastAsia="Times New Roman" w:hAnsi="Arial" w:cs="Arial"/>
          <w:b/>
          <w:lang w:val="es-ES" w:eastAsia="es-ES"/>
        </w:rPr>
        <w:t xml:space="preserve"> </w:t>
      </w:r>
      <w:r w:rsidRPr="007F56F0">
        <w:rPr>
          <w:rFonts w:ascii="Arial" w:eastAsia="Times New Roman" w:hAnsi="Arial" w:cs="Arial"/>
          <w:lang w:val="es-ES" w:eastAsia="es-ES"/>
        </w:rPr>
        <w:t>provincia</w:t>
      </w:r>
      <w:r w:rsidRPr="007F56F0">
        <w:rPr>
          <w:rFonts w:ascii="Arial" w:eastAsia="Times New Roman" w:hAnsi="Arial" w:cs="Arial"/>
          <w:b/>
          <w:lang w:val="es-ES" w:eastAsia="es-ES"/>
        </w:rPr>
        <w:t xml:space="preserve"> </w:t>
      </w:r>
      <w:r w:rsidRPr="007F56F0">
        <w:rPr>
          <w:rFonts w:ascii="Arial" w:eastAsia="Times New Roman" w:hAnsi="Arial" w:cs="Arial"/>
          <w:lang w:val="es-ES" w:eastAsia="es-ES"/>
        </w:rPr>
        <w:t>de un departamento.</w:t>
      </w:r>
      <w:r w:rsidRPr="007F56F0">
        <w:rPr>
          <w:rFonts w:ascii="Arial" w:eastAsia="Times New Roman" w:hAnsi="Arial" w:cs="Arial"/>
          <w:b/>
          <w:lang w:val="es-ES" w:eastAsia="es-ES"/>
        </w:rPr>
        <w:t xml:space="preserve"> </w:t>
      </w:r>
    </w:p>
    <w:p w:rsidR="007F56F0" w:rsidRPr="007F56F0" w:rsidRDefault="007F56F0" w:rsidP="007F56F0">
      <w:pPr>
        <w:spacing w:after="0" w:line="240" w:lineRule="auto"/>
        <w:ind w:left="57" w:right="57"/>
        <w:jc w:val="both"/>
        <w:rPr>
          <w:rFonts w:ascii="Arial" w:eastAsia="Times New Roman" w:hAnsi="Arial" w:cs="Arial"/>
          <w:lang w:val="es-ES" w:eastAsia="es-ES"/>
        </w:rPr>
      </w:pPr>
    </w:p>
    <w:p w:rsidR="007F56F0" w:rsidRPr="007F56F0" w:rsidRDefault="007F56F0" w:rsidP="007F56F0">
      <w:pPr>
        <w:spacing w:after="0" w:line="240" w:lineRule="auto"/>
        <w:ind w:left="57" w:right="57"/>
        <w:jc w:val="both"/>
        <w:rPr>
          <w:rFonts w:ascii="Arial" w:eastAsia="Times New Roman" w:hAnsi="Arial" w:cs="Arial"/>
          <w:lang w:val="es-ES" w:eastAsia="es-ES"/>
        </w:rPr>
      </w:pPr>
      <w:r w:rsidRPr="007F56F0">
        <w:rPr>
          <w:rFonts w:ascii="Arial" w:eastAsia="Times New Roman" w:hAnsi="Arial" w:cs="Arial"/>
          <w:b/>
          <w:lang w:val="es-ES" w:eastAsia="es-ES"/>
        </w:rPr>
        <w:t>Predio de dominio privado estatal:</w:t>
      </w:r>
      <w:r w:rsidRPr="007F56F0">
        <w:rPr>
          <w:rFonts w:ascii="Arial" w:eastAsia="Times New Roman" w:hAnsi="Arial" w:cs="Arial"/>
          <w:lang w:val="es-ES" w:eastAsia="es-ES"/>
        </w:rPr>
        <w:t xml:space="preserve"> Aquel predio que siendo de propiedad del Estado o de alguna entidad pública, no está destinado al uso público ni afectado a algún servicio público, y respecto del cual su titular ejerce el derecho de propiedad con todos sus atributos, conforme a lo indicado en el inciso b) del numeral 2.2. del artículo 2 del Reglamento.  </w:t>
      </w:r>
    </w:p>
    <w:p w:rsidR="007F56F0" w:rsidRPr="007F56F0" w:rsidRDefault="007F56F0" w:rsidP="007F56F0">
      <w:pPr>
        <w:spacing w:after="0" w:line="240" w:lineRule="auto"/>
        <w:ind w:left="57" w:right="57"/>
        <w:jc w:val="both"/>
        <w:rPr>
          <w:rFonts w:ascii="Arial" w:eastAsia="Times New Roman" w:hAnsi="Arial" w:cs="Arial"/>
          <w:lang w:val="es-ES" w:eastAsia="es-ES"/>
        </w:rPr>
      </w:pPr>
    </w:p>
    <w:p w:rsidR="007F56F0" w:rsidRPr="007F56F0" w:rsidRDefault="007F56F0" w:rsidP="007F56F0">
      <w:pPr>
        <w:spacing w:after="0" w:line="240" w:lineRule="auto"/>
        <w:ind w:left="57" w:right="57"/>
        <w:jc w:val="both"/>
        <w:rPr>
          <w:rFonts w:ascii="Arial" w:eastAsia="Times New Roman" w:hAnsi="Arial" w:cs="Arial"/>
          <w:lang w:val="es-ES" w:eastAsia="es-ES"/>
        </w:rPr>
      </w:pPr>
      <w:r w:rsidRPr="007F56F0">
        <w:rPr>
          <w:rFonts w:ascii="Arial" w:eastAsia="Times New Roman" w:hAnsi="Arial" w:cs="Arial"/>
          <w:b/>
          <w:lang w:val="es-ES" w:eastAsia="es-ES"/>
        </w:rPr>
        <w:t>Predio de libre disponibilidad para un acto de administración</w:t>
      </w:r>
      <w:r w:rsidRPr="007F56F0">
        <w:rPr>
          <w:rFonts w:ascii="Arial" w:eastAsia="Times New Roman" w:hAnsi="Arial" w:cs="Arial"/>
          <w:lang w:val="es-ES" w:eastAsia="es-ES"/>
        </w:rPr>
        <w:t xml:space="preserve">: Aquel que no </w:t>
      </w:r>
      <w:r w:rsidRPr="007F56F0">
        <w:rPr>
          <w:rFonts w:ascii="Arial" w:eastAsia="Calibri" w:hAnsi="Arial" w:cs="Arial"/>
          <w:lang w:val="es-ES" w:eastAsia="es-ES"/>
        </w:rPr>
        <w:t>tiene impedimento legal o judicial para la constitución de acto de gestión sobre el predio que no implique el desplazamiento de dominio.</w:t>
      </w:r>
    </w:p>
    <w:p w:rsidR="007F56F0" w:rsidRPr="007F56F0" w:rsidRDefault="007F56F0" w:rsidP="007F56F0">
      <w:pPr>
        <w:spacing w:after="0" w:line="240" w:lineRule="auto"/>
        <w:ind w:left="57" w:right="57"/>
        <w:jc w:val="both"/>
        <w:rPr>
          <w:rFonts w:ascii="Arial" w:eastAsia="Times New Roman" w:hAnsi="Arial" w:cs="Arial"/>
          <w:lang w:val="es-ES" w:eastAsia="es-ES"/>
        </w:rPr>
      </w:pPr>
    </w:p>
    <w:p w:rsidR="007F56F0" w:rsidRPr="007F56F0" w:rsidRDefault="007F56F0" w:rsidP="007F56F0">
      <w:pPr>
        <w:spacing w:after="0" w:line="240" w:lineRule="auto"/>
        <w:ind w:left="57" w:right="57"/>
        <w:jc w:val="both"/>
        <w:rPr>
          <w:rFonts w:ascii="Arial" w:eastAsia="Times New Roman" w:hAnsi="Arial" w:cs="Arial"/>
          <w:lang w:val="es-ES" w:eastAsia="es-ES"/>
        </w:rPr>
      </w:pPr>
      <w:r w:rsidRPr="007F56F0">
        <w:rPr>
          <w:rFonts w:ascii="Arial" w:eastAsia="Times New Roman" w:hAnsi="Arial" w:cs="Arial"/>
          <w:b/>
          <w:lang w:val="es-ES" w:eastAsia="es-ES"/>
        </w:rPr>
        <w:t>Valor comercial:</w:t>
      </w:r>
      <w:r w:rsidRPr="007F56F0">
        <w:rPr>
          <w:rFonts w:ascii="Arial" w:eastAsia="Times New Roman" w:hAnsi="Arial" w:cs="Arial"/>
          <w:lang w:val="es-ES" w:eastAsia="es-ES"/>
        </w:rPr>
        <w:t xml:space="preserve"> Valor de mercado determinado siguiendo los procedimientos del Reglamento Nacional de Tasaciones del Perú. </w:t>
      </w:r>
    </w:p>
    <w:p w:rsidR="006312E8" w:rsidRDefault="006312E8" w:rsidP="006312E8">
      <w:pPr>
        <w:spacing w:after="200" w:line="276" w:lineRule="auto"/>
        <w:jc w:val="center"/>
        <w:rPr>
          <w:rFonts w:ascii="Arial" w:eastAsia="Calibri" w:hAnsi="Arial" w:cs="Arial"/>
          <w:b/>
          <w:sz w:val="28"/>
          <w:szCs w:val="28"/>
          <w:lang w:val="es-ES"/>
        </w:rPr>
      </w:pPr>
    </w:p>
    <w:p w:rsidR="009D2FD1" w:rsidRDefault="009D2FD1" w:rsidP="006312E8">
      <w:pPr>
        <w:spacing w:after="200" w:line="276" w:lineRule="auto"/>
        <w:jc w:val="center"/>
        <w:rPr>
          <w:rFonts w:ascii="Arial" w:eastAsia="Calibri" w:hAnsi="Arial" w:cs="Arial"/>
          <w:b/>
          <w:sz w:val="28"/>
          <w:szCs w:val="28"/>
          <w:lang w:val="es-ES"/>
        </w:rPr>
      </w:pPr>
    </w:p>
    <w:p w:rsidR="009D2FD1" w:rsidRDefault="009D2FD1" w:rsidP="006312E8">
      <w:pPr>
        <w:spacing w:after="200" w:line="276" w:lineRule="auto"/>
        <w:jc w:val="center"/>
        <w:rPr>
          <w:rFonts w:ascii="Arial" w:eastAsia="Calibri" w:hAnsi="Arial" w:cs="Arial"/>
          <w:b/>
          <w:sz w:val="28"/>
          <w:szCs w:val="28"/>
          <w:lang w:val="es-ES"/>
        </w:rPr>
      </w:pPr>
    </w:p>
    <w:p w:rsidR="009D2FD1" w:rsidRDefault="009D2FD1" w:rsidP="006312E8">
      <w:pPr>
        <w:spacing w:after="200" w:line="276" w:lineRule="auto"/>
        <w:jc w:val="center"/>
        <w:rPr>
          <w:rFonts w:ascii="Arial" w:eastAsia="Calibri" w:hAnsi="Arial" w:cs="Arial"/>
          <w:b/>
          <w:sz w:val="28"/>
          <w:szCs w:val="28"/>
          <w:lang w:val="es-ES"/>
        </w:rPr>
      </w:pPr>
    </w:p>
    <w:p w:rsidR="009D2FD1" w:rsidRDefault="009D2FD1" w:rsidP="006312E8">
      <w:pPr>
        <w:spacing w:after="200" w:line="276" w:lineRule="auto"/>
        <w:jc w:val="center"/>
        <w:rPr>
          <w:rFonts w:ascii="Arial" w:eastAsia="Calibri" w:hAnsi="Arial" w:cs="Arial"/>
          <w:b/>
          <w:sz w:val="28"/>
          <w:szCs w:val="28"/>
          <w:lang w:val="es-ES"/>
        </w:rPr>
      </w:pPr>
    </w:p>
    <w:p w:rsidR="009D2FD1" w:rsidRDefault="009D2FD1" w:rsidP="006312E8">
      <w:pPr>
        <w:spacing w:after="200" w:line="276" w:lineRule="auto"/>
        <w:jc w:val="center"/>
        <w:rPr>
          <w:rFonts w:ascii="Arial" w:eastAsia="Calibri" w:hAnsi="Arial" w:cs="Arial"/>
          <w:b/>
          <w:sz w:val="28"/>
          <w:szCs w:val="28"/>
          <w:lang w:val="es-ES"/>
        </w:rPr>
      </w:pPr>
    </w:p>
    <w:p w:rsidR="009D2FD1" w:rsidRDefault="009D2FD1" w:rsidP="006312E8">
      <w:pPr>
        <w:spacing w:after="200" w:line="276" w:lineRule="auto"/>
        <w:jc w:val="center"/>
        <w:rPr>
          <w:rFonts w:ascii="Arial" w:eastAsia="Calibri" w:hAnsi="Arial" w:cs="Arial"/>
          <w:b/>
          <w:sz w:val="28"/>
          <w:szCs w:val="28"/>
          <w:lang w:val="es-ES"/>
        </w:rPr>
      </w:pPr>
    </w:p>
    <w:p w:rsidR="009D2FD1" w:rsidRDefault="009D2FD1" w:rsidP="006312E8">
      <w:pPr>
        <w:spacing w:after="200" w:line="276" w:lineRule="auto"/>
        <w:jc w:val="center"/>
        <w:rPr>
          <w:rFonts w:ascii="Arial" w:eastAsia="Calibri" w:hAnsi="Arial" w:cs="Arial"/>
          <w:b/>
          <w:sz w:val="28"/>
          <w:szCs w:val="28"/>
          <w:lang w:val="es-ES"/>
        </w:rPr>
      </w:pPr>
    </w:p>
    <w:p w:rsidR="009D2FD1" w:rsidRDefault="009D2FD1" w:rsidP="006312E8">
      <w:pPr>
        <w:spacing w:after="200" w:line="276" w:lineRule="auto"/>
        <w:jc w:val="center"/>
        <w:rPr>
          <w:rFonts w:ascii="Arial" w:eastAsia="Calibri" w:hAnsi="Arial" w:cs="Arial"/>
          <w:b/>
          <w:sz w:val="28"/>
          <w:szCs w:val="28"/>
          <w:lang w:val="es-ES"/>
        </w:rPr>
      </w:pPr>
    </w:p>
    <w:p w:rsidR="00C0291C" w:rsidRPr="006312E8" w:rsidRDefault="00C0291C" w:rsidP="00C0291C">
      <w:pPr>
        <w:spacing w:after="0" w:line="240" w:lineRule="auto"/>
        <w:jc w:val="center"/>
        <w:rPr>
          <w:rFonts w:ascii="Arial" w:eastAsia="Calibri" w:hAnsi="Arial" w:cs="Arial"/>
          <w:b/>
          <w:sz w:val="28"/>
          <w:szCs w:val="28"/>
          <w:lang w:val="es-ES"/>
        </w:rPr>
      </w:pPr>
      <w:r>
        <w:rPr>
          <w:rFonts w:ascii="Arial" w:eastAsia="Calibri" w:hAnsi="Arial" w:cs="Arial"/>
          <w:b/>
          <w:sz w:val="28"/>
          <w:szCs w:val="28"/>
          <w:lang w:val="es-ES"/>
        </w:rPr>
        <w:t>RESOLUCION Nº 070</w:t>
      </w:r>
      <w:r w:rsidRPr="006312E8">
        <w:rPr>
          <w:rFonts w:ascii="Arial" w:eastAsia="Calibri" w:hAnsi="Arial" w:cs="Arial"/>
          <w:b/>
          <w:sz w:val="28"/>
          <w:szCs w:val="28"/>
          <w:lang w:val="es-ES"/>
        </w:rPr>
        <w:t>-20</w:t>
      </w:r>
      <w:r>
        <w:rPr>
          <w:rFonts w:ascii="Arial" w:eastAsia="Calibri" w:hAnsi="Arial" w:cs="Arial"/>
          <w:b/>
          <w:sz w:val="28"/>
          <w:szCs w:val="28"/>
          <w:lang w:val="es-ES"/>
        </w:rPr>
        <w:t>16/</w:t>
      </w:r>
      <w:r w:rsidRPr="006312E8">
        <w:rPr>
          <w:rFonts w:ascii="Arial" w:eastAsia="Calibri" w:hAnsi="Arial" w:cs="Arial"/>
          <w:b/>
          <w:sz w:val="28"/>
          <w:szCs w:val="28"/>
          <w:lang w:val="es-ES"/>
        </w:rPr>
        <w:t>SBN</w:t>
      </w:r>
    </w:p>
    <w:p w:rsidR="00C0291C" w:rsidRPr="006312E8" w:rsidRDefault="00C0291C" w:rsidP="00C0291C">
      <w:pPr>
        <w:spacing w:after="0" w:line="240" w:lineRule="auto"/>
        <w:jc w:val="center"/>
        <w:rPr>
          <w:rFonts w:ascii="Arial" w:eastAsia="Calibri" w:hAnsi="Arial" w:cs="Arial"/>
          <w:b/>
          <w:lang w:val="es-ES"/>
        </w:rPr>
      </w:pPr>
      <w:r w:rsidRPr="006312E8">
        <w:rPr>
          <w:rFonts w:ascii="Arial" w:eastAsia="Calibri" w:hAnsi="Arial" w:cs="Arial"/>
          <w:b/>
          <w:lang w:val="es-ES"/>
        </w:rPr>
        <w:t xml:space="preserve">Aprueban Directiva </w:t>
      </w:r>
      <w:r>
        <w:rPr>
          <w:rFonts w:ascii="Arial" w:eastAsia="Calibri" w:hAnsi="Arial" w:cs="Arial"/>
          <w:b/>
          <w:lang w:val="es-ES"/>
        </w:rPr>
        <w:t>denominada</w:t>
      </w:r>
      <w:r w:rsidRPr="006312E8">
        <w:rPr>
          <w:rFonts w:ascii="Arial" w:eastAsia="Calibri" w:hAnsi="Arial" w:cs="Arial"/>
          <w:b/>
          <w:lang w:val="es-ES"/>
        </w:rPr>
        <w:t xml:space="preserve"> “Procedimiento para </w:t>
      </w:r>
      <w:r>
        <w:rPr>
          <w:rFonts w:ascii="Arial" w:eastAsia="Calibri" w:hAnsi="Arial" w:cs="Arial"/>
          <w:b/>
          <w:lang w:val="es-ES"/>
        </w:rPr>
        <w:t>la constitución del Derecho de Servidumbre sobre predios estatales</w:t>
      </w:r>
      <w:r w:rsidRPr="006312E8">
        <w:rPr>
          <w:rFonts w:ascii="Arial" w:eastAsia="Calibri" w:hAnsi="Arial" w:cs="Arial"/>
          <w:b/>
          <w:lang w:val="es-ES"/>
        </w:rPr>
        <w:t>”</w:t>
      </w:r>
    </w:p>
    <w:p w:rsidR="00C0291C" w:rsidRPr="006312E8" w:rsidRDefault="00C0291C" w:rsidP="00C0291C">
      <w:pPr>
        <w:spacing w:after="0" w:line="240" w:lineRule="auto"/>
        <w:jc w:val="both"/>
        <w:rPr>
          <w:rFonts w:ascii="Arial" w:eastAsia="Calibri" w:hAnsi="Arial" w:cs="Arial"/>
          <w:lang w:val="es-ES"/>
        </w:rPr>
      </w:pPr>
    </w:p>
    <w:p w:rsidR="00C0291C" w:rsidRPr="006312E8" w:rsidRDefault="00C0291C" w:rsidP="00C0291C">
      <w:pPr>
        <w:spacing w:after="0" w:line="240" w:lineRule="auto"/>
        <w:jc w:val="right"/>
        <w:rPr>
          <w:rFonts w:ascii="Arial" w:eastAsia="Calibri" w:hAnsi="Arial" w:cs="Arial"/>
          <w:b/>
          <w:lang w:val="es-ES"/>
        </w:rPr>
      </w:pPr>
      <w:r w:rsidRPr="006312E8">
        <w:rPr>
          <w:rFonts w:ascii="Arial" w:eastAsia="Calibri" w:hAnsi="Arial" w:cs="Arial"/>
          <w:b/>
          <w:lang w:val="es-ES"/>
        </w:rPr>
        <w:t xml:space="preserve">Fecha de publicación: </w:t>
      </w:r>
      <w:r w:rsidR="00B83C23">
        <w:rPr>
          <w:rFonts w:ascii="Arial" w:eastAsia="Calibri" w:hAnsi="Arial" w:cs="Arial"/>
          <w:b/>
          <w:lang w:val="es-ES"/>
        </w:rPr>
        <w:t>19</w:t>
      </w:r>
      <w:r w:rsidRPr="006312E8">
        <w:rPr>
          <w:rFonts w:ascii="Arial" w:eastAsia="Calibri" w:hAnsi="Arial" w:cs="Arial"/>
          <w:b/>
          <w:lang w:val="es-ES"/>
        </w:rPr>
        <w:t>-</w:t>
      </w:r>
      <w:r w:rsidR="00B83C23">
        <w:rPr>
          <w:rFonts w:ascii="Arial" w:eastAsia="Calibri" w:hAnsi="Arial" w:cs="Arial"/>
          <w:b/>
          <w:lang w:val="es-ES"/>
        </w:rPr>
        <w:t>1</w:t>
      </w:r>
      <w:r w:rsidRPr="006312E8">
        <w:rPr>
          <w:rFonts w:ascii="Arial" w:eastAsia="Calibri" w:hAnsi="Arial" w:cs="Arial"/>
          <w:b/>
          <w:lang w:val="es-ES"/>
        </w:rPr>
        <w:t>0-20</w:t>
      </w:r>
      <w:r>
        <w:rPr>
          <w:rFonts w:ascii="Arial" w:eastAsia="Calibri" w:hAnsi="Arial" w:cs="Arial"/>
          <w:b/>
          <w:lang w:val="es-ES"/>
        </w:rPr>
        <w:t>16</w:t>
      </w:r>
    </w:p>
    <w:p w:rsidR="00C0291C" w:rsidRPr="006312E8" w:rsidRDefault="00C0291C" w:rsidP="00C0291C">
      <w:pPr>
        <w:spacing w:after="0" w:line="240" w:lineRule="auto"/>
        <w:jc w:val="both"/>
        <w:rPr>
          <w:rFonts w:ascii="Arial" w:eastAsia="Calibri" w:hAnsi="Arial" w:cs="Arial"/>
          <w:lang w:val="es-ES"/>
        </w:rPr>
      </w:pPr>
    </w:p>
    <w:p w:rsidR="00C0291C" w:rsidRPr="00C0291C" w:rsidRDefault="00C0291C" w:rsidP="00C0291C">
      <w:pPr>
        <w:suppressAutoHyphens/>
        <w:spacing w:after="0" w:line="240" w:lineRule="auto"/>
        <w:jc w:val="both"/>
        <w:outlineLvl w:val="0"/>
        <w:rPr>
          <w:rFonts w:ascii="Arial" w:eastAsia="Times New Roman" w:hAnsi="Arial" w:cs="Arial"/>
          <w:lang w:val="es-ES_tradnl" w:eastAsia="es-ES"/>
        </w:rPr>
      </w:pPr>
      <w:r w:rsidRPr="00C0291C">
        <w:rPr>
          <w:rFonts w:ascii="Arial" w:eastAsia="Times New Roman" w:hAnsi="Arial" w:cs="Arial"/>
          <w:lang w:val="es-ES_tradnl" w:eastAsia="es-ES"/>
        </w:rPr>
        <w:t>San Isidro, 12 de octubre de 2016</w:t>
      </w:r>
    </w:p>
    <w:p w:rsidR="00C0291C" w:rsidRPr="00C0291C" w:rsidRDefault="00C0291C" w:rsidP="00C0291C">
      <w:pPr>
        <w:suppressAutoHyphens/>
        <w:spacing w:after="0" w:line="240" w:lineRule="auto"/>
        <w:jc w:val="both"/>
        <w:outlineLvl w:val="0"/>
        <w:rPr>
          <w:rFonts w:ascii="Arial" w:eastAsia="Times New Roman" w:hAnsi="Arial" w:cs="Arial"/>
          <w:lang w:val="es-ES_tradnl" w:eastAsia="es-ES"/>
        </w:rPr>
      </w:pPr>
    </w:p>
    <w:p w:rsidR="00C0291C" w:rsidRPr="00C0291C" w:rsidRDefault="00C0291C" w:rsidP="00C0291C">
      <w:pPr>
        <w:suppressAutoHyphens/>
        <w:spacing w:after="0" w:line="240" w:lineRule="auto"/>
        <w:jc w:val="both"/>
        <w:outlineLvl w:val="0"/>
        <w:rPr>
          <w:rFonts w:ascii="Arial" w:eastAsia="Times New Roman" w:hAnsi="Arial" w:cs="Arial"/>
          <w:b/>
          <w:lang w:val="es-ES_tradnl" w:eastAsia="es-ES"/>
        </w:rPr>
      </w:pPr>
      <w:r w:rsidRPr="00C0291C">
        <w:rPr>
          <w:rFonts w:ascii="Arial" w:eastAsia="Times New Roman" w:hAnsi="Arial" w:cs="Arial"/>
          <w:b/>
          <w:lang w:val="es-ES_tradnl" w:eastAsia="es-ES"/>
        </w:rPr>
        <w:t>VISTO:</w:t>
      </w:r>
    </w:p>
    <w:p w:rsidR="00C0291C" w:rsidRPr="00C0291C" w:rsidRDefault="00C0291C" w:rsidP="00C0291C">
      <w:pPr>
        <w:suppressAutoHyphens/>
        <w:spacing w:after="0" w:line="240" w:lineRule="auto"/>
        <w:jc w:val="both"/>
        <w:outlineLvl w:val="0"/>
        <w:rPr>
          <w:rFonts w:ascii="Arial" w:eastAsia="Times New Roman" w:hAnsi="Arial" w:cs="Arial"/>
          <w:lang w:val="es-ES_tradnl" w:eastAsia="es-ES"/>
        </w:rPr>
      </w:pPr>
      <w:r w:rsidRPr="00C0291C">
        <w:rPr>
          <w:rFonts w:ascii="Arial" w:eastAsia="Times New Roman" w:hAnsi="Arial" w:cs="Arial"/>
          <w:lang w:val="es-ES_tradnl" w:eastAsia="es-ES"/>
        </w:rPr>
        <w:t>El Informe N° 145-2016/SBN-DNR-SDNC de fecha 10 de octubre de 2016, emitido por la Subdirección de Normas y Capacitación de la Dirección de Normas y Registro;</w:t>
      </w:r>
    </w:p>
    <w:p w:rsidR="00C0291C" w:rsidRPr="00C0291C" w:rsidRDefault="00C0291C" w:rsidP="00C0291C">
      <w:pPr>
        <w:suppressAutoHyphens/>
        <w:spacing w:after="0" w:line="240" w:lineRule="auto"/>
        <w:jc w:val="both"/>
        <w:outlineLvl w:val="0"/>
        <w:rPr>
          <w:rFonts w:ascii="Arial" w:eastAsia="Times New Roman" w:hAnsi="Arial" w:cs="Arial"/>
          <w:lang w:val="es-ES_tradnl" w:eastAsia="es-ES"/>
        </w:rPr>
      </w:pPr>
    </w:p>
    <w:p w:rsidR="00C0291C" w:rsidRPr="00C0291C" w:rsidRDefault="00C0291C" w:rsidP="00C0291C">
      <w:pPr>
        <w:suppressAutoHyphens/>
        <w:spacing w:after="0" w:line="240" w:lineRule="auto"/>
        <w:jc w:val="both"/>
        <w:outlineLvl w:val="0"/>
        <w:rPr>
          <w:rFonts w:ascii="Arial" w:eastAsia="Times New Roman" w:hAnsi="Arial" w:cs="Arial"/>
          <w:b/>
          <w:lang w:val="es-ES_tradnl" w:eastAsia="es-ES"/>
        </w:rPr>
      </w:pPr>
      <w:r w:rsidRPr="00C0291C">
        <w:rPr>
          <w:rFonts w:ascii="Arial" w:eastAsia="Times New Roman" w:hAnsi="Arial" w:cs="Arial"/>
          <w:b/>
          <w:lang w:val="es-ES_tradnl" w:eastAsia="es-ES"/>
        </w:rPr>
        <w:t>CONSIDERANDO:</w:t>
      </w:r>
    </w:p>
    <w:p w:rsidR="00C0291C" w:rsidRPr="00C0291C" w:rsidRDefault="00C0291C" w:rsidP="00C0291C">
      <w:pPr>
        <w:suppressAutoHyphens/>
        <w:spacing w:after="0" w:line="240" w:lineRule="auto"/>
        <w:jc w:val="both"/>
        <w:outlineLvl w:val="0"/>
        <w:rPr>
          <w:rFonts w:ascii="Arial" w:eastAsia="Times New Roman" w:hAnsi="Arial" w:cs="Arial"/>
          <w:lang w:val="es-ES_tradnl" w:eastAsia="es-ES"/>
        </w:rPr>
      </w:pPr>
      <w:r w:rsidRPr="00C0291C">
        <w:rPr>
          <w:rFonts w:ascii="Arial" w:eastAsia="Times New Roman" w:hAnsi="Arial" w:cs="Arial"/>
          <w:lang w:val="es-ES_tradnl" w:eastAsia="es-ES"/>
        </w:rPr>
        <w:t>Que, la Superintendencia Nacional de Bienes Estatales (SBN) es un organismo público ejecutor, adscrito al Ministerio de Vivienda, Construcción y Saneamiento, y el Ente Rector del Sistema Nacional de Bienes Estatales (SNBE), responsable de normar los actos de adquisición, disposición, administración y supervisión de los bienes estatales, así como de ejecutar dichos actos respecto de los bienes cuya administración está a su cargo, de acuerdo a la normatividad vigente, gozando de autonomía económica, presupuestal, financiera, técnica y funcional, de conformidad a lo establecido en la Ley Nº 29151, Ley General del Sistema Nacional de Bienes Estatales y su Reglamento, aprobado por el Decreto Supremo Nº 007-2008-VIVIENDA;</w:t>
      </w:r>
    </w:p>
    <w:p w:rsidR="00C0291C" w:rsidRPr="00C0291C" w:rsidRDefault="00C0291C" w:rsidP="00C0291C">
      <w:pPr>
        <w:suppressAutoHyphens/>
        <w:spacing w:after="0" w:line="240" w:lineRule="auto"/>
        <w:jc w:val="both"/>
        <w:outlineLvl w:val="0"/>
        <w:rPr>
          <w:rFonts w:ascii="Arial" w:eastAsia="Times New Roman" w:hAnsi="Arial" w:cs="Arial"/>
          <w:lang w:val="es-ES_tradnl" w:eastAsia="es-ES"/>
        </w:rPr>
      </w:pPr>
    </w:p>
    <w:p w:rsidR="00C0291C" w:rsidRPr="00C0291C" w:rsidRDefault="00C0291C" w:rsidP="00C0291C">
      <w:pPr>
        <w:suppressAutoHyphens/>
        <w:spacing w:after="0" w:line="240" w:lineRule="auto"/>
        <w:jc w:val="both"/>
        <w:outlineLvl w:val="0"/>
        <w:rPr>
          <w:rFonts w:ascii="Arial" w:eastAsia="Times New Roman" w:hAnsi="Arial" w:cs="Arial"/>
          <w:lang w:val="es-ES_tradnl" w:eastAsia="es-ES"/>
        </w:rPr>
      </w:pPr>
      <w:r w:rsidRPr="00C0291C">
        <w:rPr>
          <w:rFonts w:ascii="Arial" w:eastAsia="Times New Roman" w:hAnsi="Arial" w:cs="Arial"/>
          <w:lang w:val="es-ES_tradnl" w:eastAsia="es-ES"/>
        </w:rPr>
        <w:t>Que, el literal b) del numeral 14.1 del artículo 14º de la citada Ley, concordante con el literal a) del numeral 9.1 del artículo 9° de su Reglamento, aprobado por el Decreto Supremo N° 007-2008-VIVIENDA, señalan que la SBN, en calidad de ente rector del SNBE, tiene la función de expedir directivas o disposiciones legales, entre otros, sobre los actos de disposición de bienes estatales, de cumplimiento obligatorio por parte de las entidades que conforman el SNBE;</w:t>
      </w:r>
    </w:p>
    <w:p w:rsidR="00C0291C" w:rsidRPr="00C0291C" w:rsidRDefault="00C0291C" w:rsidP="00C0291C">
      <w:pPr>
        <w:suppressAutoHyphens/>
        <w:spacing w:after="0" w:line="240" w:lineRule="auto"/>
        <w:jc w:val="both"/>
        <w:outlineLvl w:val="0"/>
        <w:rPr>
          <w:rFonts w:ascii="Arial" w:eastAsia="Times New Roman" w:hAnsi="Arial" w:cs="Arial"/>
          <w:lang w:val="es-ES_tradnl" w:eastAsia="es-ES"/>
        </w:rPr>
      </w:pPr>
    </w:p>
    <w:p w:rsidR="00C0291C" w:rsidRPr="00C0291C" w:rsidRDefault="00C0291C" w:rsidP="00C0291C">
      <w:pPr>
        <w:suppressAutoHyphens/>
        <w:spacing w:after="0" w:line="240" w:lineRule="auto"/>
        <w:jc w:val="both"/>
        <w:outlineLvl w:val="0"/>
        <w:rPr>
          <w:rFonts w:ascii="Arial" w:eastAsia="Times New Roman" w:hAnsi="Arial" w:cs="Arial"/>
          <w:lang w:val="es-ES_tradnl" w:eastAsia="es-ES"/>
        </w:rPr>
      </w:pPr>
      <w:r w:rsidRPr="00C0291C">
        <w:rPr>
          <w:rFonts w:ascii="Arial" w:eastAsia="Times New Roman" w:hAnsi="Arial" w:cs="Arial"/>
          <w:lang w:val="es-ES_tradnl" w:eastAsia="es-ES"/>
        </w:rPr>
        <w:t>Que, mediante el documento del visto, la Subdirección de Normas y Capacitación de la Dirección de Normas y Registro sustenta la propuesta de la directiva denominada: “Procedimiento para la constitución del derecho de servidumbre sobre predios estatales”, con la finalidad de optimizar el uso y aprovechamiento de la propiedad estatal por parte de las entidades del SNBE a través de la regulación de la constitución del derecho de servidumbre convencional estipulada en el Código Civil sobre los predios estatales, directiva que recoge las sugerencias y recomendaciones de las unidades orgánicas de la SBN involucradas en el trámite del procedimiento de servidumbre, así como las recomendaciones N° 03, N° 04, N° 05, N° 07 y N° 11 formuladas por el Órgano de Control Institucional, en el Informe de Auditoría N° 002-2015-2-4413/SBN-OCI-AC.</w:t>
      </w:r>
    </w:p>
    <w:p w:rsidR="00C0291C" w:rsidRPr="00C0291C" w:rsidRDefault="00C0291C" w:rsidP="00C0291C">
      <w:pPr>
        <w:suppressAutoHyphens/>
        <w:spacing w:after="0" w:line="240" w:lineRule="auto"/>
        <w:jc w:val="both"/>
        <w:outlineLvl w:val="0"/>
        <w:rPr>
          <w:rFonts w:ascii="Arial" w:eastAsia="Times New Roman" w:hAnsi="Arial" w:cs="Arial"/>
          <w:lang w:val="es-ES_tradnl" w:eastAsia="es-ES"/>
        </w:rPr>
      </w:pPr>
    </w:p>
    <w:p w:rsidR="00C0291C" w:rsidRPr="00C0291C" w:rsidRDefault="00C0291C" w:rsidP="00C0291C">
      <w:pPr>
        <w:suppressAutoHyphens/>
        <w:spacing w:after="0" w:line="240" w:lineRule="auto"/>
        <w:jc w:val="both"/>
        <w:outlineLvl w:val="0"/>
        <w:rPr>
          <w:rFonts w:ascii="Arial" w:eastAsia="Times New Roman" w:hAnsi="Arial" w:cs="Arial"/>
          <w:lang w:val="es-ES_tradnl" w:eastAsia="es-ES"/>
        </w:rPr>
      </w:pPr>
      <w:r w:rsidRPr="00C0291C">
        <w:rPr>
          <w:rFonts w:ascii="Arial" w:eastAsia="Times New Roman" w:hAnsi="Arial" w:cs="Arial"/>
          <w:lang w:val="es-ES_tradnl" w:eastAsia="es-ES"/>
        </w:rPr>
        <w:t>Que, en tal sentido, resulta necesario aprobar la directiva, denominada: “Procedimiento para la constitución del derecho de servidumbre sobre predios estatales”.</w:t>
      </w:r>
    </w:p>
    <w:p w:rsidR="00C0291C" w:rsidRPr="00C0291C" w:rsidRDefault="00C0291C" w:rsidP="00C0291C">
      <w:pPr>
        <w:suppressAutoHyphens/>
        <w:spacing w:after="0" w:line="240" w:lineRule="auto"/>
        <w:jc w:val="both"/>
        <w:outlineLvl w:val="0"/>
        <w:rPr>
          <w:rFonts w:ascii="Arial" w:eastAsia="Times New Roman" w:hAnsi="Arial" w:cs="Arial"/>
          <w:lang w:val="es-ES_tradnl" w:eastAsia="es-ES"/>
        </w:rPr>
      </w:pPr>
    </w:p>
    <w:p w:rsidR="00C0291C" w:rsidRPr="00C0291C" w:rsidRDefault="00C0291C" w:rsidP="00C0291C">
      <w:pPr>
        <w:suppressAutoHyphens/>
        <w:spacing w:after="0" w:line="240" w:lineRule="auto"/>
        <w:jc w:val="both"/>
        <w:outlineLvl w:val="0"/>
        <w:rPr>
          <w:rFonts w:ascii="Arial" w:eastAsia="Times New Roman" w:hAnsi="Arial" w:cs="Arial"/>
          <w:lang w:val="es-ES_tradnl" w:eastAsia="es-ES"/>
        </w:rPr>
      </w:pPr>
      <w:r w:rsidRPr="00C0291C">
        <w:rPr>
          <w:rFonts w:ascii="Arial" w:eastAsia="Times New Roman" w:hAnsi="Arial" w:cs="Arial"/>
          <w:lang w:val="es-ES_tradnl" w:eastAsia="es-ES"/>
        </w:rPr>
        <w:t>Con los visados de la Secretaría General, la Oficina de Planeamiento y Presupuesto, la Oficina de Asesoría Jurídica, la Dirección de Normas y Registro, la Dirección de Gestión del Patrimonio Estatal, y la Oficina de Administración y Finanzas; y,</w:t>
      </w:r>
    </w:p>
    <w:p w:rsidR="00C0291C" w:rsidRPr="00C0291C" w:rsidRDefault="00C0291C" w:rsidP="00C0291C">
      <w:pPr>
        <w:suppressAutoHyphens/>
        <w:spacing w:after="0" w:line="240" w:lineRule="auto"/>
        <w:jc w:val="both"/>
        <w:outlineLvl w:val="0"/>
        <w:rPr>
          <w:rFonts w:ascii="Arial" w:eastAsia="Times New Roman" w:hAnsi="Arial" w:cs="Arial"/>
          <w:lang w:val="es-ES_tradnl" w:eastAsia="es-ES"/>
        </w:rPr>
      </w:pPr>
    </w:p>
    <w:p w:rsidR="00C0291C" w:rsidRPr="00C0291C" w:rsidRDefault="00C0291C" w:rsidP="00C0291C">
      <w:pPr>
        <w:suppressAutoHyphens/>
        <w:spacing w:after="0" w:line="240" w:lineRule="auto"/>
        <w:jc w:val="both"/>
        <w:outlineLvl w:val="0"/>
        <w:rPr>
          <w:rFonts w:ascii="Arial" w:eastAsia="Times New Roman" w:hAnsi="Arial" w:cs="Arial"/>
          <w:lang w:val="es-ES_tradnl" w:eastAsia="es-ES"/>
        </w:rPr>
      </w:pPr>
      <w:r w:rsidRPr="00C0291C">
        <w:rPr>
          <w:rFonts w:ascii="Arial" w:eastAsia="Times New Roman" w:hAnsi="Arial" w:cs="Arial"/>
          <w:lang w:val="es-ES_tradnl" w:eastAsia="es-ES"/>
        </w:rPr>
        <w:t>De conformidad con lo establecido en el literal b) del numeral 14.1 del artículo 14 de la Ley N° 29151, Ley General del Sistema Nacional de Bienes Estatales, el literal a) del numeral 9.1 del artículo 9 del Reglamento de la Ley N° 29151, aprobado por el Decreto Supremo N° 007-2008-VIVIENDA, modificado por el Decreto Supremo N° 013-2012-VIVIENDA; y en uso de las atribuciones conferidas en los literales b) y r) del artículo 11 del Reglamento de Organización y Funciones de la Superintendencia Nacional de Bienes Estatales – SBN, aprobado por el Decreto Supremo N° 016-2010-VIVIENDA;</w:t>
      </w:r>
    </w:p>
    <w:p w:rsidR="00C0291C" w:rsidRDefault="00C0291C" w:rsidP="00C0291C">
      <w:pPr>
        <w:suppressAutoHyphens/>
        <w:spacing w:after="0" w:line="240" w:lineRule="auto"/>
        <w:jc w:val="both"/>
        <w:outlineLvl w:val="0"/>
        <w:rPr>
          <w:rFonts w:ascii="Arial" w:eastAsia="Times New Roman" w:hAnsi="Arial" w:cs="Arial"/>
          <w:lang w:val="es-ES_tradnl" w:eastAsia="es-ES"/>
        </w:rPr>
      </w:pPr>
    </w:p>
    <w:p w:rsidR="00C0291C" w:rsidRDefault="00C0291C" w:rsidP="00C0291C">
      <w:pPr>
        <w:suppressAutoHyphens/>
        <w:spacing w:after="0" w:line="240" w:lineRule="auto"/>
        <w:jc w:val="both"/>
        <w:outlineLvl w:val="0"/>
        <w:rPr>
          <w:rFonts w:ascii="Arial" w:eastAsia="Times New Roman" w:hAnsi="Arial" w:cs="Arial"/>
          <w:lang w:val="es-ES_tradnl" w:eastAsia="es-ES"/>
        </w:rPr>
      </w:pPr>
    </w:p>
    <w:p w:rsidR="00C0291C" w:rsidRDefault="00C0291C" w:rsidP="00C0291C">
      <w:pPr>
        <w:suppressAutoHyphens/>
        <w:spacing w:after="0" w:line="240" w:lineRule="auto"/>
        <w:jc w:val="both"/>
        <w:outlineLvl w:val="0"/>
        <w:rPr>
          <w:rFonts w:ascii="Arial" w:eastAsia="Times New Roman" w:hAnsi="Arial" w:cs="Arial"/>
          <w:lang w:val="es-ES_tradnl" w:eastAsia="es-ES"/>
        </w:rPr>
      </w:pPr>
    </w:p>
    <w:p w:rsidR="00C0291C" w:rsidRPr="00C0291C" w:rsidRDefault="00C0291C" w:rsidP="00C0291C">
      <w:pPr>
        <w:suppressAutoHyphens/>
        <w:spacing w:after="0" w:line="240" w:lineRule="auto"/>
        <w:jc w:val="both"/>
        <w:outlineLvl w:val="0"/>
        <w:rPr>
          <w:rFonts w:ascii="Arial" w:eastAsia="Times New Roman" w:hAnsi="Arial" w:cs="Arial"/>
          <w:lang w:val="es-ES_tradnl" w:eastAsia="es-ES"/>
        </w:rPr>
      </w:pPr>
    </w:p>
    <w:p w:rsidR="00C0291C" w:rsidRPr="00C0291C" w:rsidRDefault="00C0291C" w:rsidP="00C0291C">
      <w:pPr>
        <w:suppressAutoHyphens/>
        <w:spacing w:after="0" w:line="240" w:lineRule="auto"/>
        <w:jc w:val="both"/>
        <w:outlineLvl w:val="0"/>
        <w:rPr>
          <w:rFonts w:ascii="Arial" w:eastAsia="Times New Roman" w:hAnsi="Arial" w:cs="Arial"/>
          <w:b/>
          <w:lang w:val="es-ES_tradnl" w:eastAsia="es-ES"/>
        </w:rPr>
      </w:pPr>
      <w:r w:rsidRPr="00C0291C">
        <w:rPr>
          <w:rFonts w:ascii="Arial" w:eastAsia="Times New Roman" w:hAnsi="Arial" w:cs="Arial"/>
          <w:b/>
          <w:lang w:val="es-ES_tradnl" w:eastAsia="es-ES"/>
        </w:rPr>
        <w:t>SE RESUELVE:</w:t>
      </w:r>
    </w:p>
    <w:p w:rsidR="00C0291C" w:rsidRPr="00C0291C" w:rsidRDefault="00C0291C" w:rsidP="00C0291C">
      <w:pPr>
        <w:suppressAutoHyphens/>
        <w:spacing w:after="0" w:line="240" w:lineRule="auto"/>
        <w:jc w:val="both"/>
        <w:outlineLvl w:val="0"/>
        <w:rPr>
          <w:rFonts w:ascii="Arial" w:eastAsia="Times New Roman" w:hAnsi="Arial" w:cs="Arial"/>
          <w:b/>
          <w:lang w:val="es-ES_tradnl" w:eastAsia="es-ES"/>
        </w:rPr>
      </w:pPr>
    </w:p>
    <w:p w:rsidR="00C0291C" w:rsidRPr="00C0291C" w:rsidRDefault="00C0291C" w:rsidP="00C0291C">
      <w:pPr>
        <w:suppressAutoHyphens/>
        <w:spacing w:after="0" w:line="240" w:lineRule="auto"/>
        <w:jc w:val="both"/>
        <w:outlineLvl w:val="0"/>
        <w:rPr>
          <w:rFonts w:ascii="Arial" w:eastAsia="Times New Roman" w:hAnsi="Arial" w:cs="Arial"/>
          <w:lang w:val="es-ES_tradnl" w:eastAsia="es-ES"/>
        </w:rPr>
      </w:pPr>
      <w:r w:rsidRPr="00C0291C">
        <w:rPr>
          <w:rFonts w:ascii="Arial" w:eastAsia="Times New Roman" w:hAnsi="Arial" w:cs="Arial"/>
          <w:b/>
          <w:lang w:val="es-ES_tradnl" w:eastAsia="es-ES"/>
        </w:rPr>
        <w:t>Artículo 1º.-</w:t>
      </w:r>
      <w:r w:rsidRPr="00C0291C">
        <w:rPr>
          <w:rFonts w:ascii="Arial" w:eastAsia="Times New Roman" w:hAnsi="Arial" w:cs="Arial"/>
          <w:lang w:val="es-ES_tradnl" w:eastAsia="es-ES"/>
        </w:rPr>
        <w:t xml:space="preserve"> Aprobar la Directiva Nº 007-2016/SBN denominada “Procedimiento para la constitución del derecho de servidumbre sobre predios estatales”.</w:t>
      </w:r>
    </w:p>
    <w:p w:rsidR="00C0291C" w:rsidRDefault="00C0291C" w:rsidP="00C0291C">
      <w:pPr>
        <w:suppressAutoHyphens/>
        <w:spacing w:after="0" w:line="240" w:lineRule="auto"/>
        <w:jc w:val="both"/>
        <w:outlineLvl w:val="0"/>
        <w:rPr>
          <w:rFonts w:ascii="Arial" w:eastAsia="Times New Roman" w:hAnsi="Arial" w:cs="Arial"/>
          <w:lang w:val="es-ES_tradnl" w:eastAsia="es-ES"/>
        </w:rPr>
      </w:pPr>
    </w:p>
    <w:p w:rsidR="00C0291C" w:rsidRPr="00C0291C" w:rsidRDefault="00C0291C" w:rsidP="00C0291C">
      <w:pPr>
        <w:suppressAutoHyphens/>
        <w:spacing w:after="0" w:line="240" w:lineRule="auto"/>
        <w:jc w:val="both"/>
        <w:outlineLvl w:val="0"/>
        <w:rPr>
          <w:rFonts w:ascii="Arial" w:eastAsia="Times New Roman" w:hAnsi="Arial" w:cs="Arial"/>
          <w:lang w:val="es-ES_tradnl" w:eastAsia="es-ES"/>
        </w:rPr>
      </w:pPr>
      <w:r w:rsidRPr="00C0291C">
        <w:rPr>
          <w:rFonts w:ascii="Arial" w:eastAsia="Times New Roman" w:hAnsi="Arial" w:cs="Arial"/>
          <w:b/>
          <w:lang w:val="es-ES_tradnl" w:eastAsia="es-ES"/>
        </w:rPr>
        <w:t>Artículo 2º.-</w:t>
      </w:r>
      <w:r w:rsidRPr="00C0291C">
        <w:rPr>
          <w:rFonts w:ascii="Arial" w:eastAsia="Times New Roman" w:hAnsi="Arial" w:cs="Arial"/>
          <w:lang w:val="es-ES_tradnl" w:eastAsia="es-ES"/>
        </w:rPr>
        <w:t xml:space="preserve"> Encargar a la Oficina de Administración y Finanzas la publicación de la Directiva N° 007-2016/SBN y la presente Resolución en la página web (www.sbn.gob.pe) y en la intranet institucional.</w:t>
      </w:r>
    </w:p>
    <w:p w:rsidR="00C0291C" w:rsidRPr="00C0291C" w:rsidRDefault="00C0291C" w:rsidP="00C0291C">
      <w:pPr>
        <w:suppressAutoHyphens/>
        <w:spacing w:after="0" w:line="240" w:lineRule="auto"/>
        <w:jc w:val="both"/>
        <w:outlineLvl w:val="0"/>
        <w:rPr>
          <w:rFonts w:ascii="Arial" w:eastAsia="Times New Roman" w:hAnsi="Arial" w:cs="Arial"/>
          <w:lang w:val="es-ES_tradnl" w:eastAsia="es-ES"/>
        </w:rPr>
      </w:pPr>
      <w:r w:rsidRPr="00C0291C">
        <w:rPr>
          <w:rFonts w:ascii="Arial" w:eastAsia="Times New Roman" w:hAnsi="Arial" w:cs="Arial"/>
          <w:lang w:val="es-ES_tradnl" w:eastAsia="es-ES"/>
        </w:rPr>
        <w:t>Regístrese, comuníquese y publíquese.</w:t>
      </w:r>
    </w:p>
    <w:p w:rsidR="00C0291C" w:rsidRPr="00C0291C" w:rsidRDefault="00C0291C" w:rsidP="00C0291C">
      <w:pPr>
        <w:suppressAutoHyphens/>
        <w:spacing w:after="0" w:line="240" w:lineRule="auto"/>
        <w:jc w:val="both"/>
        <w:outlineLvl w:val="0"/>
        <w:rPr>
          <w:rFonts w:ascii="Arial" w:eastAsia="Times New Roman" w:hAnsi="Arial" w:cs="Arial"/>
          <w:lang w:val="es-ES_tradnl" w:eastAsia="es-ES"/>
        </w:rPr>
      </w:pPr>
    </w:p>
    <w:p w:rsidR="00C0291C" w:rsidRDefault="00C0291C" w:rsidP="00C0291C">
      <w:pPr>
        <w:suppressAutoHyphens/>
        <w:spacing w:after="0" w:line="240" w:lineRule="auto"/>
        <w:jc w:val="both"/>
        <w:outlineLvl w:val="0"/>
        <w:rPr>
          <w:rFonts w:ascii="Times New Roman" w:eastAsia="Times New Roman" w:hAnsi="Times New Roman" w:cs="Times New Roman"/>
          <w:color w:val="000000"/>
          <w:lang w:val="es-ES" w:eastAsia="es-ES"/>
        </w:rPr>
      </w:pPr>
    </w:p>
    <w:p w:rsidR="00C0291C" w:rsidRPr="00477B96" w:rsidRDefault="00C0291C" w:rsidP="00C0291C">
      <w:pPr>
        <w:suppressAutoHyphens/>
        <w:spacing w:after="0" w:line="240" w:lineRule="auto"/>
        <w:jc w:val="center"/>
        <w:outlineLvl w:val="0"/>
        <w:rPr>
          <w:rFonts w:ascii="Times New Roman" w:eastAsia="Times New Roman" w:hAnsi="Times New Roman" w:cs="Times New Roman"/>
          <w:b/>
          <w:color w:val="000000"/>
          <w:lang w:val="es-ES" w:eastAsia="es-ES"/>
        </w:rPr>
      </w:pPr>
      <w:r w:rsidRPr="00477B96">
        <w:rPr>
          <w:rFonts w:ascii="Times New Roman" w:eastAsia="Times New Roman" w:hAnsi="Times New Roman" w:cs="Times New Roman"/>
          <w:b/>
          <w:color w:val="000000"/>
          <w:lang w:val="es-ES" w:eastAsia="es-ES"/>
        </w:rPr>
        <w:t>JOSE LUIS PAIRAZAMAN TORRES</w:t>
      </w:r>
    </w:p>
    <w:p w:rsidR="00C0291C" w:rsidRDefault="00C0291C" w:rsidP="00C0291C">
      <w:pPr>
        <w:suppressAutoHyphens/>
        <w:spacing w:after="0" w:line="240" w:lineRule="auto"/>
        <w:jc w:val="center"/>
        <w:outlineLvl w:val="0"/>
        <w:rPr>
          <w:rFonts w:ascii="Times New Roman" w:eastAsia="Times New Roman" w:hAnsi="Times New Roman" w:cs="Times New Roman"/>
          <w:color w:val="000000"/>
          <w:lang w:val="es-ES" w:eastAsia="es-ES"/>
        </w:rPr>
      </w:pPr>
      <w:r>
        <w:rPr>
          <w:rFonts w:ascii="Times New Roman" w:eastAsia="Times New Roman" w:hAnsi="Times New Roman" w:cs="Times New Roman"/>
          <w:color w:val="000000"/>
          <w:lang w:val="es-ES" w:eastAsia="es-ES"/>
        </w:rPr>
        <w:t>Superintendente</w:t>
      </w:r>
    </w:p>
    <w:p w:rsidR="00C0291C" w:rsidRDefault="00C0291C" w:rsidP="00C0291C">
      <w:pPr>
        <w:suppressAutoHyphens/>
        <w:spacing w:after="0" w:line="240" w:lineRule="auto"/>
        <w:jc w:val="both"/>
        <w:outlineLvl w:val="0"/>
        <w:rPr>
          <w:rFonts w:ascii="Times New Roman" w:eastAsia="Times New Roman" w:hAnsi="Times New Roman" w:cs="Times New Roman"/>
          <w:color w:val="000000"/>
          <w:lang w:val="es-ES" w:eastAsia="es-ES"/>
        </w:rPr>
      </w:pPr>
    </w:p>
    <w:p w:rsidR="00C0291C" w:rsidRPr="006312E8" w:rsidRDefault="00C0291C" w:rsidP="00C0291C">
      <w:pPr>
        <w:pStyle w:val="TITO2"/>
      </w:pPr>
      <w:bookmarkStart w:id="252" w:name="_Toc470855537"/>
      <w:r w:rsidRPr="006312E8">
        <w:t>DIRECTIVA Nº 00</w:t>
      </w:r>
      <w:r>
        <w:t>7</w:t>
      </w:r>
      <w:r w:rsidRPr="006312E8">
        <w:t>-20</w:t>
      </w:r>
      <w:r>
        <w:t>16</w:t>
      </w:r>
      <w:r w:rsidRPr="006312E8">
        <w:t>/SBN</w:t>
      </w:r>
      <w:bookmarkEnd w:id="252"/>
    </w:p>
    <w:p w:rsidR="00C0291C" w:rsidRPr="006312E8" w:rsidRDefault="00C0291C" w:rsidP="00C0291C">
      <w:pPr>
        <w:spacing w:after="0" w:line="240" w:lineRule="auto"/>
        <w:jc w:val="center"/>
        <w:rPr>
          <w:rFonts w:ascii="Arial" w:eastAsia="Calibri" w:hAnsi="Arial" w:cs="Arial"/>
          <w:b/>
          <w:lang w:val="es-ES"/>
        </w:rPr>
      </w:pPr>
      <w:r w:rsidRPr="006312E8">
        <w:rPr>
          <w:rFonts w:ascii="Arial" w:eastAsia="Calibri" w:hAnsi="Arial" w:cs="Arial"/>
          <w:b/>
          <w:lang w:val="es-ES"/>
        </w:rPr>
        <w:t xml:space="preserve">PROCEDIMIENTO PARA </w:t>
      </w:r>
      <w:r>
        <w:rPr>
          <w:rFonts w:ascii="Arial" w:eastAsia="Calibri" w:hAnsi="Arial" w:cs="Arial"/>
          <w:b/>
          <w:lang w:val="es-ES"/>
        </w:rPr>
        <w:t>LA CONSTITUCIÓN DEL DERECHO DE SERVIDUMBRE SOBRE PREDIOS ESTATALES</w:t>
      </w:r>
    </w:p>
    <w:p w:rsidR="00C0291C" w:rsidRPr="006312E8" w:rsidRDefault="00C0291C" w:rsidP="00C0291C">
      <w:pPr>
        <w:spacing w:after="0" w:line="240" w:lineRule="auto"/>
        <w:jc w:val="both"/>
        <w:rPr>
          <w:rFonts w:ascii="Arial" w:eastAsia="Calibri" w:hAnsi="Arial" w:cs="Arial"/>
          <w:lang w:val="es-ES"/>
        </w:rPr>
      </w:pPr>
    </w:p>
    <w:p w:rsidR="00C0291C" w:rsidRDefault="00C0291C" w:rsidP="00C0291C">
      <w:pPr>
        <w:spacing w:after="0" w:line="240" w:lineRule="auto"/>
        <w:jc w:val="both"/>
        <w:rPr>
          <w:rFonts w:ascii="Arial" w:eastAsia="Times New Roman" w:hAnsi="Arial" w:cs="Arial"/>
          <w:lang w:eastAsia="es-ES"/>
        </w:rPr>
      </w:pPr>
    </w:p>
    <w:p w:rsidR="00C0291C" w:rsidRPr="00C0291C" w:rsidRDefault="00C0291C" w:rsidP="00C0291C">
      <w:pPr>
        <w:spacing w:after="0" w:line="240" w:lineRule="auto"/>
        <w:jc w:val="both"/>
        <w:rPr>
          <w:rFonts w:ascii="Arial" w:eastAsia="Times New Roman" w:hAnsi="Arial" w:cs="Arial"/>
          <w:b/>
          <w:lang w:eastAsia="es-ES"/>
        </w:rPr>
      </w:pPr>
      <w:r w:rsidRPr="00C0291C">
        <w:rPr>
          <w:rFonts w:ascii="Arial" w:eastAsia="Times New Roman" w:hAnsi="Arial" w:cs="Arial"/>
          <w:b/>
          <w:lang w:eastAsia="es-ES"/>
        </w:rPr>
        <w:t>I.</w:t>
      </w:r>
      <w:r w:rsidRPr="00C0291C">
        <w:rPr>
          <w:rFonts w:ascii="Arial" w:eastAsia="Times New Roman" w:hAnsi="Arial" w:cs="Arial"/>
          <w:b/>
          <w:lang w:eastAsia="es-ES"/>
        </w:rPr>
        <w:tab/>
        <w:t>FINALIDAD</w:t>
      </w:r>
    </w:p>
    <w:p w:rsidR="00C0291C" w:rsidRPr="00C0291C" w:rsidRDefault="00C0291C" w:rsidP="00C0291C">
      <w:pPr>
        <w:spacing w:after="0" w:line="240" w:lineRule="auto"/>
        <w:ind w:left="709"/>
        <w:jc w:val="both"/>
        <w:rPr>
          <w:rFonts w:ascii="Arial" w:eastAsia="Times New Roman" w:hAnsi="Arial" w:cs="Arial"/>
          <w:lang w:eastAsia="es-ES"/>
        </w:rPr>
      </w:pPr>
      <w:r w:rsidRPr="00C0291C">
        <w:rPr>
          <w:rFonts w:ascii="Arial" w:eastAsia="Times New Roman" w:hAnsi="Arial" w:cs="Arial"/>
          <w:lang w:eastAsia="es-ES"/>
        </w:rPr>
        <w:t xml:space="preserve">Optimizar el uso y aprovechamiento de la propiedad estatal por parte de las entidades del SNBE a través de la regulación de la constitución del derecho de servidumbre estipulada en el Código Civil sobre los predios estatales. </w:t>
      </w:r>
    </w:p>
    <w:p w:rsidR="00C0291C" w:rsidRPr="00C0291C" w:rsidRDefault="00C0291C" w:rsidP="00C0291C">
      <w:pPr>
        <w:spacing w:after="0" w:line="240" w:lineRule="auto"/>
        <w:jc w:val="both"/>
        <w:rPr>
          <w:rFonts w:ascii="Arial" w:eastAsia="Times New Roman" w:hAnsi="Arial" w:cs="Arial"/>
          <w:lang w:eastAsia="es-ES"/>
        </w:rPr>
      </w:pPr>
    </w:p>
    <w:p w:rsidR="00C0291C" w:rsidRPr="00C0291C" w:rsidRDefault="00C0291C" w:rsidP="00C0291C">
      <w:pPr>
        <w:spacing w:after="0" w:line="240" w:lineRule="auto"/>
        <w:jc w:val="both"/>
        <w:rPr>
          <w:rFonts w:ascii="Arial" w:eastAsia="Times New Roman" w:hAnsi="Arial" w:cs="Arial"/>
          <w:b/>
          <w:lang w:eastAsia="es-ES"/>
        </w:rPr>
      </w:pPr>
      <w:r w:rsidRPr="00C0291C">
        <w:rPr>
          <w:rFonts w:ascii="Arial" w:eastAsia="Times New Roman" w:hAnsi="Arial" w:cs="Arial"/>
          <w:b/>
          <w:lang w:eastAsia="es-ES"/>
        </w:rPr>
        <w:t>II.</w:t>
      </w:r>
      <w:r w:rsidRPr="00C0291C">
        <w:rPr>
          <w:rFonts w:ascii="Arial" w:eastAsia="Times New Roman" w:hAnsi="Arial" w:cs="Arial"/>
          <w:b/>
          <w:lang w:eastAsia="es-ES"/>
        </w:rPr>
        <w:tab/>
        <w:t>OBJETIVO</w:t>
      </w:r>
    </w:p>
    <w:p w:rsidR="00C0291C" w:rsidRPr="00C0291C" w:rsidRDefault="00C0291C" w:rsidP="00C0291C">
      <w:pPr>
        <w:spacing w:after="0" w:line="240" w:lineRule="auto"/>
        <w:ind w:left="709"/>
        <w:jc w:val="both"/>
        <w:rPr>
          <w:rFonts w:ascii="Arial" w:eastAsia="Times New Roman" w:hAnsi="Arial" w:cs="Arial"/>
          <w:lang w:eastAsia="es-ES"/>
        </w:rPr>
      </w:pPr>
      <w:r w:rsidRPr="00C0291C">
        <w:rPr>
          <w:rFonts w:ascii="Arial" w:eastAsia="Times New Roman" w:hAnsi="Arial" w:cs="Arial"/>
          <w:lang w:eastAsia="es-ES"/>
        </w:rPr>
        <w:t>Regular el procedimiento para la constitución del derecho de servidumbre estipulada en el Código Civil sobre predios de propiedad estatal, así como las atribuciones y responsabilidades de los órganos de la SBN y de las demás entidades del SNBE</w:t>
      </w:r>
    </w:p>
    <w:p w:rsidR="00C0291C" w:rsidRPr="00C0291C" w:rsidRDefault="00C0291C" w:rsidP="00C0291C">
      <w:pPr>
        <w:spacing w:after="0" w:line="240" w:lineRule="auto"/>
        <w:jc w:val="both"/>
        <w:rPr>
          <w:rFonts w:ascii="Arial" w:eastAsia="Times New Roman" w:hAnsi="Arial" w:cs="Arial"/>
          <w:lang w:eastAsia="es-ES"/>
        </w:rPr>
      </w:pPr>
    </w:p>
    <w:p w:rsidR="00C0291C" w:rsidRPr="00C0291C" w:rsidRDefault="00C0291C" w:rsidP="00C0291C">
      <w:pPr>
        <w:spacing w:after="0" w:line="240" w:lineRule="auto"/>
        <w:jc w:val="both"/>
        <w:rPr>
          <w:rFonts w:ascii="Arial" w:eastAsia="Times New Roman" w:hAnsi="Arial" w:cs="Arial"/>
          <w:b/>
          <w:lang w:eastAsia="es-ES"/>
        </w:rPr>
      </w:pPr>
      <w:r w:rsidRPr="00C0291C">
        <w:rPr>
          <w:rFonts w:ascii="Arial" w:eastAsia="Times New Roman" w:hAnsi="Arial" w:cs="Arial"/>
          <w:b/>
          <w:lang w:eastAsia="es-ES"/>
        </w:rPr>
        <w:t>III.</w:t>
      </w:r>
      <w:r w:rsidRPr="00C0291C">
        <w:rPr>
          <w:rFonts w:ascii="Arial" w:eastAsia="Times New Roman" w:hAnsi="Arial" w:cs="Arial"/>
          <w:b/>
          <w:lang w:eastAsia="es-ES"/>
        </w:rPr>
        <w:tab/>
        <w:t xml:space="preserve">ALCANCE </w:t>
      </w:r>
    </w:p>
    <w:p w:rsidR="00C0291C" w:rsidRPr="00C0291C" w:rsidRDefault="00C0291C" w:rsidP="00C0291C">
      <w:pPr>
        <w:spacing w:after="0" w:line="240" w:lineRule="auto"/>
        <w:jc w:val="both"/>
        <w:rPr>
          <w:rFonts w:ascii="Arial" w:eastAsia="Times New Roman" w:hAnsi="Arial" w:cs="Arial"/>
          <w:lang w:eastAsia="es-ES"/>
        </w:rPr>
      </w:pPr>
    </w:p>
    <w:p w:rsidR="00C0291C" w:rsidRPr="00C0291C" w:rsidRDefault="00C0291C" w:rsidP="00C0291C">
      <w:pPr>
        <w:spacing w:after="0" w:line="240" w:lineRule="auto"/>
        <w:ind w:left="709"/>
        <w:jc w:val="both"/>
        <w:rPr>
          <w:rFonts w:ascii="Arial" w:eastAsia="Times New Roman" w:hAnsi="Arial" w:cs="Arial"/>
          <w:lang w:eastAsia="es-ES"/>
        </w:rPr>
      </w:pPr>
      <w:r w:rsidRPr="00C0291C">
        <w:rPr>
          <w:rFonts w:ascii="Arial" w:eastAsia="Times New Roman" w:hAnsi="Arial" w:cs="Arial"/>
          <w:lang w:eastAsia="es-ES"/>
        </w:rPr>
        <w:t>L</w:t>
      </w:r>
      <w:r w:rsidR="00E12642">
        <w:rPr>
          <w:rFonts w:ascii="Arial" w:eastAsia="Times New Roman" w:hAnsi="Arial" w:cs="Arial"/>
          <w:lang w:eastAsia="es-ES"/>
        </w:rPr>
        <w:t xml:space="preserve">a presente Directiva </w:t>
      </w:r>
      <w:r w:rsidRPr="00C0291C">
        <w:rPr>
          <w:rFonts w:ascii="Arial" w:eastAsia="Times New Roman" w:hAnsi="Arial" w:cs="Arial"/>
          <w:lang w:eastAsia="es-ES"/>
        </w:rPr>
        <w:t>comprende los predios de propiedad estatal y su alcance es a nivel nacional, de tal forma es de estricto cumplimiento para las entidades que conforman el SNBE, incluyendo a los Gobiernos Regionales que cuentan con funciones transferidas o con un Convenio de Delegación de funciones, en el marco del proceso de descentralización, respecto de las funciones del artículo 62° de la Ley N° 27867, Ley Orgánica de Gobiernos Regionales.</w:t>
      </w:r>
    </w:p>
    <w:p w:rsidR="00C0291C" w:rsidRPr="00C0291C" w:rsidRDefault="00C0291C" w:rsidP="00C0291C">
      <w:pPr>
        <w:spacing w:after="0" w:line="240" w:lineRule="auto"/>
        <w:ind w:left="709"/>
        <w:jc w:val="both"/>
        <w:rPr>
          <w:rFonts w:ascii="Arial" w:eastAsia="Times New Roman" w:hAnsi="Arial" w:cs="Arial"/>
          <w:lang w:eastAsia="es-ES"/>
        </w:rPr>
      </w:pPr>
    </w:p>
    <w:p w:rsidR="00C0291C" w:rsidRPr="00C0291C" w:rsidRDefault="00C0291C" w:rsidP="00C0291C">
      <w:pPr>
        <w:spacing w:after="0" w:line="240" w:lineRule="auto"/>
        <w:ind w:left="709"/>
        <w:jc w:val="both"/>
        <w:rPr>
          <w:rFonts w:ascii="Arial" w:eastAsia="Times New Roman" w:hAnsi="Arial" w:cs="Arial"/>
          <w:lang w:eastAsia="es-ES"/>
        </w:rPr>
      </w:pPr>
      <w:r w:rsidRPr="00C0291C">
        <w:rPr>
          <w:rFonts w:ascii="Arial" w:eastAsia="Times New Roman" w:hAnsi="Arial" w:cs="Arial"/>
          <w:lang w:eastAsia="es-ES"/>
        </w:rPr>
        <w:t>Los Gobiernos Regionales, Gobiernos Locales y las entidades públicas, que cuentan con régimen legal propio para administrar los predios de su propiedad, pueden aplicar la presente directiva de manera supletoria.</w:t>
      </w:r>
    </w:p>
    <w:p w:rsidR="00C0291C" w:rsidRPr="00C0291C" w:rsidRDefault="00C0291C" w:rsidP="00C0291C">
      <w:pPr>
        <w:spacing w:after="0" w:line="240" w:lineRule="auto"/>
        <w:jc w:val="both"/>
        <w:rPr>
          <w:rFonts w:ascii="Arial" w:eastAsia="Times New Roman" w:hAnsi="Arial" w:cs="Arial"/>
          <w:lang w:eastAsia="es-ES"/>
        </w:rPr>
      </w:pPr>
    </w:p>
    <w:p w:rsidR="00C0291C" w:rsidRPr="00C0291C" w:rsidRDefault="00C0291C" w:rsidP="00C0291C">
      <w:pPr>
        <w:spacing w:after="0" w:line="240" w:lineRule="auto"/>
        <w:jc w:val="both"/>
        <w:rPr>
          <w:rFonts w:ascii="Arial" w:eastAsia="Times New Roman" w:hAnsi="Arial" w:cs="Arial"/>
          <w:b/>
          <w:lang w:eastAsia="es-ES"/>
        </w:rPr>
      </w:pPr>
      <w:r w:rsidRPr="00C0291C">
        <w:rPr>
          <w:rFonts w:ascii="Arial" w:eastAsia="Times New Roman" w:hAnsi="Arial" w:cs="Arial"/>
          <w:b/>
          <w:lang w:eastAsia="es-ES"/>
        </w:rPr>
        <w:t>IV.     BASE LEGAL</w:t>
      </w:r>
    </w:p>
    <w:p w:rsidR="00C0291C" w:rsidRPr="00C0291C" w:rsidRDefault="00C0291C" w:rsidP="00E12642">
      <w:pPr>
        <w:spacing w:after="0" w:line="240" w:lineRule="auto"/>
        <w:ind w:left="567"/>
        <w:jc w:val="both"/>
        <w:rPr>
          <w:rFonts w:ascii="Arial" w:eastAsia="Times New Roman" w:hAnsi="Arial" w:cs="Arial"/>
          <w:lang w:eastAsia="es-ES"/>
        </w:rPr>
      </w:pPr>
      <w:r w:rsidRPr="00C0291C">
        <w:rPr>
          <w:rFonts w:ascii="Arial" w:eastAsia="Times New Roman" w:hAnsi="Arial" w:cs="Arial"/>
          <w:lang w:eastAsia="es-ES"/>
        </w:rPr>
        <w:t>Ley N° 26856, Ley que declara que las playas del litoral son bienes de uso público, inalienables e imprescriptibles y establecen la zona de dominio restringido.</w:t>
      </w:r>
    </w:p>
    <w:p w:rsidR="00C0291C" w:rsidRPr="00C0291C" w:rsidRDefault="00C0291C" w:rsidP="00E12642">
      <w:pPr>
        <w:spacing w:after="0" w:line="240" w:lineRule="auto"/>
        <w:ind w:left="567"/>
        <w:jc w:val="both"/>
        <w:rPr>
          <w:rFonts w:ascii="Arial" w:eastAsia="Times New Roman" w:hAnsi="Arial" w:cs="Arial"/>
          <w:lang w:eastAsia="es-ES"/>
        </w:rPr>
      </w:pPr>
    </w:p>
    <w:p w:rsidR="00C0291C" w:rsidRPr="00C0291C" w:rsidRDefault="00C0291C" w:rsidP="00E12642">
      <w:pPr>
        <w:spacing w:after="0" w:line="240" w:lineRule="auto"/>
        <w:ind w:left="567"/>
        <w:jc w:val="both"/>
        <w:rPr>
          <w:rFonts w:ascii="Arial" w:eastAsia="Times New Roman" w:hAnsi="Arial" w:cs="Arial"/>
          <w:lang w:eastAsia="es-ES"/>
        </w:rPr>
      </w:pPr>
      <w:r w:rsidRPr="00C0291C">
        <w:rPr>
          <w:rFonts w:ascii="Arial" w:eastAsia="Times New Roman" w:hAnsi="Arial" w:cs="Arial"/>
          <w:lang w:eastAsia="es-ES"/>
        </w:rPr>
        <w:t xml:space="preserve">Ley N° 27444, Ley del Procedimiento Administrativo General. </w:t>
      </w:r>
    </w:p>
    <w:p w:rsidR="00C0291C" w:rsidRPr="00C0291C" w:rsidRDefault="00C0291C" w:rsidP="00E12642">
      <w:pPr>
        <w:spacing w:after="0" w:line="240" w:lineRule="auto"/>
        <w:ind w:left="567"/>
        <w:jc w:val="both"/>
        <w:rPr>
          <w:rFonts w:ascii="Arial" w:eastAsia="Times New Roman" w:hAnsi="Arial" w:cs="Arial"/>
          <w:lang w:eastAsia="es-ES"/>
        </w:rPr>
      </w:pPr>
    </w:p>
    <w:p w:rsidR="00C0291C" w:rsidRPr="00C0291C" w:rsidRDefault="00C0291C" w:rsidP="00E12642">
      <w:pPr>
        <w:spacing w:after="0" w:line="240" w:lineRule="auto"/>
        <w:ind w:left="567"/>
        <w:jc w:val="both"/>
        <w:rPr>
          <w:rFonts w:ascii="Arial" w:eastAsia="Times New Roman" w:hAnsi="Arial" w:cs="Arial"/>
          <w:lang w:eastAsia="es-ES"/>
        </w:rPr>
      </w:pPr>
      <w:r w:rsidRPr="00C0291C">
        <w:rPr>
          <w:rFonts w:ascii="Arial" w:eastAsia="Times New Roman" w:hAnsi="Arial" w:cs="Arial"/>
          <w:lang w:eastAsia="es-ES"/>
        </w:rPr>
        <w:t>Ley N° 29151, Ley General del Sistema Nacional de Bienes Estatales, en adelante la Ley.</w:t>
      </w:r>
    </w:p>
    <w:p w:rsidR="00C0291C" w:rsidRPr="00C0291C" w:rsidRDefault="00C0291C" w:rsidP="00E12642">
      <w:pPr>
        <w:spacing w:after="0" w:line="240" w:lineRule="auto"/>
        <w:ind w:left="567"/>
        <w:jc w:val="both"/>
        <w:rPr>
          <w:rFonts w:ascii="Arial" w:eastAsia="Times New Roman" w:hAnsi="Arial" w:cs="Arial"/>
          <w:lang w:eastAsia="es-ES"/>
        </w:rPr>
      </w:pPr>
    </w:p>
    <w:p w:rsidR="00C0291C" w:rsidRPr="00C0291C" w:rsidRDefault="00C0291C" w:rsidP="00E12642">
      <w:pPr>
        <w:spacing w:after="0" w:line="240" w:lineRule="auto"/>
        <w:ind w:left="567"/>
        <w:jc w:val="both"/>
        <w:rPr>
          <w:rFonts w:ascii="Arial" w:eastAsia="Times New Roman" w:hAnsi="Arial" w:cs="Arial"/>
          <w:lang w:eastAsia="es-ES"/>
        </w:rPr>
      </w:pPr>
      <w:r w:rsidRPr="00C0291C">
        <w:rPr>
          <w:rFonts w:ascii="Arial" w:eastAsia="Times New Roman" w:hAnsi="Arial" w:cs="Arial"/>
          <w:lang w:eastAsia="es-ES"/>
        </w:rPr>
        <w:t>Decreto Legislativo N° 295, que aprueba el Código Civil, artículos 1035 al 1045.</w:t>
      </w:r>
    </w:p>
    <w:p w:rsidR="00C0291C" w:rsidRPr="00C0291C" w:rsidRDefault="00C0291C" w:rsidP="00E12642">
      <w:pPr>
        <w:spacing w:after="0" w:line="240" w:lineRule="auto"/>
        <w:ind w:left="567"/>
        <w:jc w:val="both"/>
        <w:rPr>
          <w:rFonts w:ascii="Arial" w:eastAsia="Times New Roman" w:hAnsi="Arial" w:cs="Arial"/>
          <w:lang w:eastAsia="es-ES"/>
        </w:rPr>
      </w:pPr>
    </w:p>
    <w:p w:rsidR="00C0291C" w:rsidRPr="00C0291C" w:rsidRDefault="00C0291C" w:rsidP="00E12642">
      <w:pPr>
        <w:spacing w:after="0" w:line="240" w:lineRule="auto"/>
        <w:ind w:left="567"/>
        <w:jc w:val="both"/>
        <w:rPr>
          <w:rFonts w:ascii="Arial" w:eastAsia="Times New Roman" w:hAnsi="Arial" w:cs="Arial"/>
          <w:lang w:eastAsia="es-ES"/>
        </w:rPr>
      </w:pPr>
      <w:r w:rsidRPr="00C0291C">
        <w:rPr>
          <w:rFonts w:ascii="Arial" w:eastAsia="Times New Roman" w:hAnsi="Arial" w:cs="Arial"/>
          <w:lang w:eastAsia="es-ES"/>
        </w:rPr>
        <w:t>Decreto Supremo N° 050-2006-EF, que aprueba el Reglamento de la Ley N° 26856, que declara que las playas son bienes de uso público, inalienables e imprescriptibles y establece la zona de dominio restringido.</w:t>
      </w:r>
    </w:p>
    <w:p w:rsidR="00C0291C" w:rsidRPr="00C0291C" w:rsidRDefault="00C0291C" w:rsidP="00E12642">
      <w:pPr>
        <w:spacing w:after="0" w:line="240" w:lineRule="auto"/>
        <w:ind w:left="567"/>
        <w:jc w:val="both"/>
        <w:rPr>
          <w:rFonts w:ascii="Arial" w:eastAsia="Times New Roman" w:hAnsi="Arial" w:cs="Arial"/>
          <w:lang w:eastAsia="es-ES"/>
        </w:rPr>
      </w:pPr>
    </w:p>
    <w:p w:rsidR="00C0291C" w:rsidRPr="00C0291C" w:rsidRDefault="00C0291C" w:rsidP="00E12642">
      <w:pPr>
        <w:spacing w:after="0" w:line="240" w:lineRule="auto"/>
        <w:ind w:left="567"/>
        <w:jc w:val="both"/>
        <w:rPr>
          <w:rFonts w:ascii="Arial" w:eastAsia="Times New Roman" w:hAnsi="Arial" w:cs="Arial"/>
          <w:lang w:eastAsia="es-ES"/>
        </w:rPr>
      </w:pPr>
      <w:r w:rsidRPr="00C0291C">
        <w:rPr>
          <w:rFonts w:ascii="Arial" w:eastAsia="Times New Roman" w:hAnsi="Arial" w:cs="Arial"/>
          <w:lang w:eastAsia="es-ES"/>
        </w:rPr>
        <w:t>Decreto Supremo N° 007-2008-VIVIENDA, que aprueba el Reglamento de la Ley N° 29151, Ley General del Sistema Nacional de Bienes Estatales, en adelante el Reglamento.</w:t>
      </w:r>
    </w:p>
    <w:p w:rsidR="00C0291C" w:rsidRPr="00C0291C" w:rsidRDefault="00C0291C" w:rsidP="00E12642">
      <w:pPr>
        <w:spacing w:after="0" w:line="240" w:lineRule="auto"/>
        <w:ind w:left="567"/>
        <w:jc w:val="both"/>
        <w:rPr>
          <w:rFonts w:ascii="Arial" w:eastAsia="Times New Roman" w:hAnsi="Arial" w:cs="Arial"/>
          <w:lang w:eastAsia="es-ES"/>
        </w:rPr>
      </w:pPr>
    </w:p>
    <w:p w:rsidR="00C0291C" w:rsidRPr="00C0291C" w:rsidRDefault="00C0291C" w:rsidP="00E12642">
      <w:pPr>
        <w:spacing w:after="0" w:line="240" w:lineRule="auto"/>
        <w:ind w:left="567"/>
        <w:jc w:val="both"/>
        <w:rPr>
          <w:rFonts w:ascii="Arial" w:eastAsia="Times New Roman" w:hAnsi="Arial" w:cs="Arial"/>
          <w:lang w:eastAsia="es-ES"/>
        </w:rPr>
      </w:pPr>
      <w:r w:rsidRPr="00C0291C">
        <w:rPr>
          <w:rFonts w:ascii="Arial" w:eastAsia="Times New Roman" w:hAnsi="Arial" w:cs="Arial"/>
          <w:lang w:eastAsia="es-ES"/>
        </w:rPr>
        <w:t>Decreto Supremo N° 016-2010-VIVIENDA, que aprueba el Reglamento de Organización y Funciones de la Superintendencia Nacional de Bienes Estatales – SBN.</w:t>
      </w:r>
    </w:p>
    <w:p w:rsidR="00C0291C" w:rsidRPr="00C0291C" w:rsidRDefault="00C0291C" w:rsidP="00E12642">
      <w:pPr>
        <w:spacing w:after="0" w:line="240" w:lineRule="auto"/>
        <w:ind w:left="567"/>
        <w:jc w:val="both"/>
        <w:rPr>
          <w:rFonts w:ascii="Arial" w:eastAsia="Times New Roman" w:hAnsi="Arial" w:cs="Arial"/>
          <w:lang w:eastAsia="es-ES"/>
        </w:rPr>
      </w:pPr>
    </w:p>
    <w:p w:rsidR="00C0291C" w:rsidRPr="00C0291C" w:rsidRDefault="00C0291C" w:rsidP="00E12642">
      <w:pPr>
        <w:spacing w:after="0" w:line="240" w:lineRule="auto"/>
        <w:ind w:left="567"/>
        <w:jc w:val="both"/>
        <w:rPr>
          <w:rFonts w:ascii="Arial" w:eastAsia="Times New Roman" w:hAnsi="Arial" w:cs="Arial"/>
          <w:lang w:eastAsia="es-ES"/>
        </w:rPr>
      </w:pPr>
      <w:r w:rsidRPr="00C0291C">
        <w:rPr>
          <w:rFonts w:ascii="Arial" w:eastAsia="Times New Roman" w:hAnsi="Arial" w:cs="Arial"/>
          <w:lang w:eastAsia="es-ES"/>
        </w:rPr>
        <w:t>Resolución Ministerial N° 172-2016-VIVIENDA, que aprueba el Reglamento Nacional de Tasaciones.</w:t>
      </w:r>
    </w:p>
    <w:p w:rsidR="00C0291C" w:rsidRPr="00C0291C" w:rsidRDefault="00C0291C" w:rsidP="00E12642">
      <w:pPr>
        <w:spacing w:after="0" w:line="240" w:lineRule="auto"/>
        <w:ind w:left="567"/>
        <w:jc w:val="both"/>
        <w:rPr>
          <w:rFonts w:ascii="Arial" w:eastAsia="Times New Roman" w:hAnsi="Arial" w:cs="Arial"/>
          <w:lang w:eastAsia="es-ES"/>
        </w:rPr>
      </w:pPr>
    </w:p>
    <w:p w:rsidR="00C0291C" w:rsidRPr="00C0291C" w:rsidRDefault="00C0291C" w:rsidP="00E12642">
      <w:pPr>
        <w:spacing w:after="0" w:line="240" w:lineRule="auto"/>
        <w:ind w:left="567"/>
        <w:jc w:val="both"/>
        <w:rPr>
          <w:rFonts w:ascii="Arial" w:eastAsia="Times New Roman" w:hAnsi="Arial" w:cs="Arial"/>
          <w:lang w:eastAsia="es-ES"/>
        </w:rPr>
      </w:pPr>
      <w:r w:rsidRPr="00C0291C">
        <w:rPr>
          <w:rFonts w:ascii="Arial" w:eastAsia="Times New Roman" w:hAnsi="Arial" w:cs="Arial"/>
          <w:lang w:eastAsia="es-ES"/>
        </w:rPr>
        <w:t>Resolución N° 001-2014/SBN, que aprueba la Directiva N° 001-2014/SBN, denominada: “Procedimientos para la Formulación y Aprobación de Directivas en la SBN”.</w:t>
      </w:r>
    </w:p>
    <w:p w:rsidR="00C0291C" w:rsidRPr="00C0291C" w:rsidRDefault="00C0291C" w:rsidP="00E12642">
      <w:pPr>
        <w:spacing w:after="0" w:line="240" w:lineRule="auto"/>
        <w:ind w:left="567"/>
        <w:jc w:val="both"/>
        <w:rPr>
          <w:rFonts w:ascii="Arial" w:eastAsia="Times New Roman" w:hAnsi="Arial" w:cs="Arial"/>
          <w:lang w:eastAsia="es-ES"/>
        </w:rPr>
      </w:pPr>
    </w:p>
    <w:p w:rsidR="00C0291C" w:rsidRPr="00C0291C" w:rsidRDefault="00C0291C" w:rsidP="00E12642">
      <w:pPr>
        <w:spacing w:after="0" w:line="240" w:lineRule="auto"/>
        <w:ind w:left="567"/>
        <w:jc w:val="both"/>
        <w:rPr>
          <w:rFonts w:ascii="Arial" w:eastAsia="Times New Roman" w:hAnsi="Arial" w:cs="Arial"/>
          <w:lang w:eastAsia="es-ES"/>
        </w:rPr>
      </w:pPr>
      <w:r w:rsidRPr="00C0291C">
        <w:rPr>
          <w:rFonts w:ascii="Arial" w:eastAsia="Times New Roman" w:hAnsi="Arial" w:cs="Arial"/>
          <w:lang w:eastAsia="es-ES"/>
        </w:rPr>
        <w:t>Las referidas normas incluyen sus respectivas modificaciones, de ser el caso.</w:t>
      </w:r>
    </w:p>
    <w:p w:rsidR="00C0291C" w:rsidRPr="00C0291C" w:rsidRDefault="00C0291C" w:rsidP="00C0291C">
      <w:pPr>
        <w:spacing w:after="0" w:line="240" w:lineRule="auto"/>
        <w:jc w:val="both"/>
        <w:rPr>
          <w:rFonts w:ascii="Arial" w:eastAsia="Times New Roman" w:hAnsi="Arial" w:cs="Arial"/>
          <w:lang w:eastAsia="es-ES"/>
        </w:rPr>
      </w:pPr>
    </w:p>
    <w:p w:rsidR="00C0291C" w:rsidRPr="00E12642" w:rsidRDefault="00E12642" w:rsidP="00E12642">
      <w:pPr>
        <w:spacing w:after="0" w:line="240" w:lineRule="auto"/>
        <w:ind w:left="567" w:hanging="567"/>
        <w:jc w:val="both"/>
        <w:rPr>
          <w:rFonts w:ascii="Arial" w:eastAsia="Times New Roman" w:hAnsi="Arial" w:cs="Arial"/>
          <w:b/>
          <w:lang w:eastAsia="es-ES"/>
        </w:rPr>
      </w:pPr>
      <w:r>
        <w:rPr>
          <w:rFonts w:ascii="Arial" w:eastAsia="Times New Roman" w:hAnsi="Arial" w:cs="Arial"/>
          <w:b/>
          <w:lang w:eastAsia="es-ES"/>
        </w:rPr>
        <w:t xml:space="preserve">V. </w:t>
      </w:r>
      <w:r>
        <w:rPr>
          <w:rFonts w:ascii="Arial" w:eastAsia="Times New Roman" w:hAnsi="Arial" w:cs="Arial"/>
          <w:b/>
          <w:lang w:eastAsia="es-ES"/>
        </w:rPr>
        <w:tab/>
      </w:r>
      <w:r w:rsidR="00C0291C" w:rsidRPr="00E12642">
        <w:rPr>
          <w:rFonts w:ascii="Arial" w:eastAsia="Times New Roman" w:hAnsi="Arial" w:cs="Arial"/>
          <w:b/>
          <w:lang w:eastAsia="es-ES"/>
        </w:rPr>
        <w:t>DISPOSICIONES GENERALES</w:t>
      </w:r>
    </w:p>
    <w:p w:rsidR="00C0291C" w:rsidRPr="00C0291C" w:rsidRDefault="00C0291C" w:rsidP="00C0291C">
      <w:pPr>
        <w:spacing w:after="0" w:line="240" w:lineRule="auto"/>
        <w:jc w:val="both"/>
        <w:rPr>
          <w:rFonts w:ascii="Arial" w:eastAsia="Times New Roman" w:hAnsi="Arial" w:cs="Arial"/>
          <w:lang w:eastAsia="es-ES"/>
        </w:rPr>
      </w:pPr>
    </w:p>
    <w:p w:rsidR="00C0291C" w:rsidRDefault="00C0291C" w:rsidP="00E12642">
      <w:pPr>
        <w:pStyle w:val="Prrafodelista"/>
        <w:numPr>
          <w:ilvl w:val="1"/>
          <w:numId w:val="36"/>
        </w:numPr>
        <w:spacing w:after="0" w:line="240" w:lineRule="auto"/>
        <w:ind w:left="1276" w:hanging="709"/>
        <w:jc w:val="both"/>
        <w:rPr>
          <w:rFonts w:ascii="Arial" w:eastAsia="Times New Roman" w:hAnsi="Arial" w:cs="Arial"/>
          <w:lang w:eastAsia="es-ES"/>
        </w:rPr>
      </w:pPr>
      <w:r w:rsidRPr="00E12642">
        <w:rPr>
          <w:rFonts w:ascii="Arial" w:eastAsia="Times New Roman" w:hAnsi="Arial" w:cs="Arial"/>
          <w:lang w:eastAsia="es-ES"/>
        </w:rPr>
        <w:t>Para un mejor entendimiento de las disposiciones contenidas en la presente Directiva, en el Anexo  Nº 1  y N° 2 se precisan el Glosario de Términos y las Abreviaturas utilizados en su contenido.</w:t>
      </w:r>
    </w:p>
    <w:p w:rsidR="00E12642" w:rsidRPr="00E12642" w:rsidRDefault="00E12642" w:rsidP="00E12642">
      <w:pPr>
        <w:pStyle w:val="Prrafodelista"/>
        <w:spacing w:after="0" w:line="240" w:lineRule="auto"/>
        <w:ind w:left="1276"/>
        <w:jc w:val="both"/>
        <w:rPr>
          <w:rFonts w:ascii="Arial" w:eastAsia="Times New Roman" w:hAnsi="Arial" w:cs="Arial"/>
          <w:lang w:eastAsia="es-ES"/>
        </w:rPr>
      </w:pPr>
    </w:p>
    <w:p w:rsidR="00C0291C" w:rsidRDefault="00C0291C" w:rsidP="00E12642">
      <w:pPr>
        <w:pStyle w:val="Prrafodelista"/>
        <w:numPr>
          <w:ilvl w:val="1"/>
          <w:numId w:val="36"/>
        </w:numPr>
        <w:spacing w:after="0" w:line="240" w:lineRule="auto"/>
        <w:ind w:left="1276" w:hanging="709"/>
        <w:jc w:val="both"/>
        <w:rPr>
          <w:rFonts w:ascii="Arial" w:eastAsia="Times New Roman" w:hAnsi="Arial" w:cs="Arial"/>
          <w:lang w:eastAsia="es-ES"/>
        </w:rPr>
      </w:pPr>
      <w:r w:rsidRPr="00E12642">
        <w:rPr>
          <w:rFonts w:ascii="Arial" w:eastAsia="Times New Roman" w:hAnsi="Arial" w:cs="Arial"/>
          <w:lang w:eastAsia="es-ES"/>
        </w:rPr>
        <w:t xml:space="preserve">La servidumbre sobre predios estatales se constituye en forma directa y a título oneroso a favor de otro predio, de propiedad o bajo titularidad estatal o particular. La servidumbre es gratuita cuando es solicitada por una entidad estatal. </w:t>
      </w:r>
    </w:p>
    <w:p w:rsidR="00E12642" w:rsidRPr="00E12642" w:rsidRDefault="00E12642" w:rsidP="00E12642">
      <w:pPr>
        <w:pStyle w:val="Prrafodelista"/>
        <w:rPr>
          <w:rFonts w:ascii="Arial" w:eastAsia="Times New Roman" w:hAnsi="Arial" w:cs="Arial"/>
          <w:lang w:eastAsia="es-ES"/>
        </w:rPr>
      </w:pPr>
    </w:p>
    <w:p w:rsidR="00C0291C" w:rsidRDefault="00C0291C" w:rsidP="00E12642">
      <w:pPr>
        <w:pStyle w:val="Prrafodelista"/>
        <w:numPr>
          <w:ilvl w:val="1"/>
          <w:numId w:val="36"/>
        </w:numPr>
        <w:spacing w:after="0" w:line="240" w:lineRule="auto"/>
        <w:ind w:left="1276" w:hanging="709"/>
        <w:jc w:val="both"/>
        <w:rPr>
          <w:rFonts w:ascii="Arial" w:eastAsia="Times New Roman" w:hAnsi="Arial" w:cs="Arial"/>
          <w:lang w:eastAsia="es-ES"/>
        </w:rPr>
      </w:pPr>
      <w:r w:rsidRPr="00E12642">
        <w:rPr>
          <w:rFonts w:ascii="Arial" w:eastAsia="Times New Roman" w:hAnsi="Arial" w:cs="Arial"/>
          <w:lang w:eastAsia="es-ES"/>
        </w:rPr>
        <w:t xml:space="preserve">La servidumbre subsiste cualquiera sea su propietario. Si un predio se encuentra gravado con el derecho de servidumbre puede ser objeto de venta o transferencia. </w:t>
      </w:r>
    </w:p>
    <w:p w:rsidR="00E12642" w:rsidRPr="00E12642" w:rsidRDefault="00E12642" w:rsidP="00E12642">
      <w:pPr>
        <w:pStyle w:val="Prrafodelista"/>
        <w:rPr>
          <w:rFonts w:ascii="Arial" w:eastAsia="Times New Roman" w:hAnsi="Arial" w:cs="Arial"/>
          <w:lang w:eastAsia="es-ES"/>
        </w:rPr>
      </w:pPr>
    </w:p>
    <w:p w:rsidR="00C0291C" w:rsidRDefault="00C0291C" w:rsidP="00E12642">
      <w:pPr>
        <w:pStyle w:val="Prrafodelista"/>
        <w:numPr>
          <w:ilvl w:val="1"/>
          <w:numId w:val="36"/>
        </w:numPr>
        <w:spacing w:after="0" w:line="240" w:lineRule="auto"/>
        <w:ind w:left="1276" w:hanging="709"/>
        <w:jc w:val="both"/>
        <w:rPr>
          <w:rFonts w:ascii="Arial" w:eastAsia="Times New Roman" w:hAnsi="Arial" w:cs="Arial"/>
          <w:lang w:eastAsia="es-ES"/>
        </w:rPr>
      </w:pPr>
      <w:r w:rsidRPr="00E12642">
        <w:rPr>
          <w:rFonts w:ascii="Arial" w:eastAsia="Times New Roman" w:hAnsi="Arial" w:cs="Arial"/>
          <w:lang w:eastAsia="es-ES"/>
        </w:rPr>
        <w:t>En un mismo predio estatal puede otorgarse más de un derecho de servidumbre u otro derecho real a favor de uno o más beneficiarios, siempre que los usos solicitados sean compatibles.</w:t>
      </w:r>
    </w:p>
    <w:p w:rsidR="00E12642" w:rsidRPr="00E12642" w:rsidRDefault="00E12642" w:rsidP="00E12642">
      <w:pPr>
        <w:pStyle w:val="Prrafodelista"/>
        <w:rPr>
          <w:rFonts w:ascii="Arial" w:eastAsia="Times New Roman" w:hAnsi="Arial" w:cs="Arial"/>
          <w:lang w:eastAsia="es-ES"/>
        </w:rPr>
      </w:pPr>
    </w:p>
    <w:p w:rsidR="00C0291C" w:rsidRDefault="00C0291C" w:rsidP="00E12642">
      <w:pPr>
        <w:pStyle w:val="Prrafodelista"/>
        <w:numPr>
          <w:ilvl w:val="1"/>
          <w:numId w:val="36"/>
        </w:numPr>
        <w:spacing w:after="0" w:line="240" w:lineRule="auto"/>
        <w:ind w:left="1276" w:hanging="709"/>
        <w:jc w:val="both"/>
        <w:rPr>
          <w:rFonts w:ascii="Arial" w:eastAsia="Times New Roman" w:hAnsi="Arial" w:cs="Arial"/>
          <w:lang w:eastAsia="es-ES"/>
        </w:rPr>
      </w:pPr>
      <w:r w:rsidRPr="00E12642">
        <w:rPr>
          <w:rFonts w:ascii="Arial" w:eastAsia="Times New Roman" w:hAnsi="Arial" w:cs="Arial"/>
          <w:lang w:eastAsia="es-ES"/>
        </w:rPr>
        <w:t xml:space="preserve">Las mejoras necesarias, útiles y de recreo que se efectúen en el predio no tendrán carácter reembolsable a la conclusión de la servidumbre. </w:t>
      </w:r>
    </w:p>
    <w:p w:rsidR="00E12642" w:rsidRPr="00E12642" w:rsidRDefault="00E12642" w:rsidP="00E12642">
      <w:pPr>
        <w:pStyle w:val="Prrafodelista"/>
        <w:rPr>
          <w:rFonts w:ascii="Arial" w:eastAsia="Times New Roman" w:hAnsi="Arial" w:cs="Arial"/>
          <w:lang w:eastAsia="es-ES"/>
        </w:rPr>
      </w:pPr>
    </w:p>
    <w:p w:rsidR="00C0291C" w:rsidRDefault="00C0291C" w:rsidP="00E12642">
      <w:pPr>
        <w:pStyle w:val="Prrafodelista"/>
        <w:numPr>
          <w:ilvl w:val="1"/>
          <w:numId w:val="36"/>
        </w:numPr>
        <w:spacing w:after="0" w:line="240" w:lineRule="auto"/>
        <w:ind w:left="1276" w:hanging="709"/>
        <w:jc w:val="both"/>
        <w:rPr>
          <w:rFonts w:ascii="Arial" w:eastAsia="Times New Roman" w:hAnsi="Arial" w:cs="Arial"/>
          <w:lang w:eastAsia="es-ES"/>
        </w:rPr>
      </w:pPr>
      <w:r w:rsidRPr="00E12642">
        <w:rPr>
          <w:rFonts w:ascii="Arial" w:eastAsia="Times New Roman" w:hAnsi="Arial" w:cs="Arial"/>
          <w:lang w:eastAsia="es-ES"/>
        </w:rPr>
        <w:t xml:space="preserve">La constitución del derecho de servidumbre se realiza sobre predios de dominio privado estatal, inscritos y saneados. </w:t>
      </w:r>
    </w:p>
    <w:p w:rsidR="00E12642" w:rsidRPr="00E12642" w:rsidRDefault="00E12642" w:rsidP="00E12642">
      <w:pPr>
        <w:pStyle w:val="Prrafodelista"/>
        <w:rPr>
          <w:rFonts w:ascii="Arial" w:eastAsia="Times New Roman" w:hAnsi="Arial" w:cs="Arial"/>
          <w:lang w:eastAsia="es-ES"/>
        </w:rPr>
      </w:pPr>
    </w:p>
    <w:p w:rsidR="00C0291C" w:rsidRDefault="00C0291C" w:rsidP="00E12642">
      <w:pPr>
        <w:pStyle w:val="Prrafodelista"/>
        <w:numPr>
          <w:ilvl w:val="1"/>
          <w:numId w:val="36"/>
        </w:numPr>
        <w:spacing w:after="0" w:line="240" w:lineRule="auto"/>
        <w:ind w:left="1276" w:hanging="709"/>
        <w:jc w:val="both"/>
        <w:rPr>
          <w:rFonts w:ascii="Arial" w:eastAsia="Times New Roman" w:hAnsi="Arial" w:cs="Arial"/>
          <w:lang w:eastAsia="es-ES"/>
        </w:rPr>
      </w:pPr>
      <w:r w:rsidRPr="00E12642">
        <w:rPr>
          <w:rFonts w:ascii="Arial" w:eastAsia="Times New Roman" w:hAnsi="Arial" w:cs="Arial"/>
          <w:lang w:eastAsia="es-ES"/>
        </w:rPr>
        <w:t xml:space="preserve">De existir ocupaciones sobre el predio solicitado, corresponde al beneficiario de la servidumbre realizar las acciones pertinentes que le permitan el uso del bien. </w:t>
      </w:r>
    </w:p>
    <w:p w:rsidR="00E12642" w:rsidRPr="00E12642" w:rsidRDefault="00E12642" w:rsidP="00E12642">
      <w:pPr>
        <w:pStyle w:val="Prrafodelista"/>
        <w:rPr>
          <w:rFonts w:ascii="Arial" w:eastAsia="Times New Roman" w:hAnsi="Arial" w:cs="Arial"/>
          <w:lang w:eastAsia="es-ES"/>
        </w:rPr>
      </w:pPr>
    </w:p>
    <w:p w:rsidR="00C0291C" w:rsidRDefault="00C0291C" w:rsidP="00E12642">
      <w:pPr>
        <w:pStyle w:val="Prrafodelista"/>
        <w:numPr>
          <w:ilvl w:val="1"/>
          <w:numId w:val="36"/>
        </w:numPr>
        <w:spacing w:after="0" w:line="240" w:lineRule="auto"/>
        <w:ind w:left="1276" w:hanging="709"/>
        <w:jc w:val="both"/>
        <w:rPr>
          <w:rFonts w:ascii="Arial" w:eastAsia="Times New Roman" w:hAnsi="Arial" w:cs="Arial"/>
          <w:lang w:eastAsia="es-ES"/>
        </w:rPr>
      </w:pPr>
      <w:r w:rsidRPr="00E12642">
        <w:rPr>
          <w:rFonts w:ascii="Arial" w:eastAsia="Times New Roman" w:hAnsi="Arial" w:cs="Arial"/>
          <w:lang w:eastAsia="es-ES"/>
        </w:rPr>
        <w:t>La contraprestación por el derecho de servidumbre es determinada en la tasación efectuada conforme al Reglamento Nacional de Tasaciones, el cual puede ser fijado en soles y/o en moneda extranjera, según lo que resulte más favorable a los intereses del Estado.</w:t>
      </w:r>
    </w:p>
    <w:p w:rsidR="00E12642" w:rsidRPr="00E12642" w:rsidRDefault="00E12642" w:rsidP="00E12642">
      <w:pPr>
        <w:pStyle w:val="Prrafodelista"/>
        <w:rPr>
          <w:rFonts w:ascii="Arial" w:eastAsia="Times New Roman" w:hAnsi="Arial" w:cs="Arial"/>
          <w:lang w:eastAsia="es-ES"/>
        </w:rPr>
      </w:pPr>
    </w:p>
    <w:p w:rsidR="00C0291C" w:rsidRDefault="00C0291C" w:rsidP="00E12642">
      <w:pPr>
        <w:pStyle w:val="Prrafodelista"/>
        <w:numPr>
          <w:ilvl w:val="1"/>
          <w:numId w:val="36"/>
        </w:numPr>
        <w:spacing w:after="0" w:line="240" w:lineRule="auto"/>
        <w:ind w:left="1276" w:hanging="709"/>
        <w:jc w:val="both"/>
        <w:rPr>
          <w:rFonts w:ascii="Arial" w:eastAsia="Times New Roman" w:hAnsi="Arial" w:cs="Arial"/>
          <w:lang w:eastAsia="es-ES"/>
        </w:rPr>
      </w:pPr>
      <w:r w:rsidRPr="00E12642">
        <w:rPr>
          <w:rFonts w:ascii="Arial" w:eastAsia="Times New Roman" w:hAnsi="Arial" w:cs="Arial"/>
          <w:lang w:eastAsia="es-ES"/>
        </w:rPr>
        <w:t xml:space="preserve">La servidumbre de paso sobre un predio estatal se otorga sobre bienes de dominio privado estatal. Excepcionalmente podrá constituirse sobre un predio afectado en uso, siempre y cuando se constate que dicha área es la única vía de acceso para el solicitante, para lo cual la entidad propietaria debe recabar la opinión de la entidad afectataria. </w:t>
      </w:r>
    </w:p>
    <w:p w:rsidR="00E12642" w:rsidRPr="00E12642" w:rsidRDefault="00E12642" w:rsidP="00E12642">
      <w:pPr>
        <w:pStyle w:val="Prrafodelista"/>
        <w:rPr>
          <w:rFonts w:ascii="Arial" w:eastAsia="Times New Roman" w:hAnsi="Arial" w:cs="Arial"/>
          <w:lang w:eastAsia="es-ES"/>
        </w:rPr>
      </w:pPr>
    </w:p>
    <w:p w:rsidR="00C0291C" w:rsidRDefault="00C0291C" w:rsidP="00E12642">
      <w:pPr>
        <w:pStyle w:val="Prrafodelista"/>
        <w:numPr>
          <w:ilvl w:val="1"/>
          <w:numId w:val="36"/>
        </w:numPr>
        <w:spacing w:after="0" w:line="240" w:lineRule="auto"/>
        <w:ind w:left="1276" w:hanging="709"/>
        <w:jc w:val="both"/>
        <w:rPr>
          <w:rFonts w:ascii="Arial" w:eastAsia="Times New Roman" w:hAnsi="Arial" w:cs="Arial"/>
          <w:lang w:eastAsia="es-ES"/>
        </w:rPr>
      </w:pPr>
      <w:r w:rsidRPr="00E12642">
        <w:rPr>
          <w:rFonts w:ascii="Arial" w:eastAsia="Times New Roman" w:hAnsi="Arial" w:cs="Arial"/>
          <w:lang w:eastAsia="es-ES"/>
        </w:rPr>
        <w:t xml:space="preserve">La servidumbre de paso otorgada a favor de un predio de propiedad o bajo la titularidad de un particular es onerosa. Excepcionalmente, es gratuita cuando dicho predio ha sido adquirido enclavado en otro predio estatal de propiedad de la misma entidad que le otorgó derechos sobre el predio. </w:t>
      </w:r>
    </w:p>
    <w:p w:rsidR="00E12642" w:rsidRPr="00E12642" w:rsidRDefault="00E12642" w:rsidP="00E12642">
      <w:pPr>
        <w:pStyle w:val="Prrafodelista"/>
        <w:rPr>
          <w:rFonts w:ascii="Arial" w:eastAsia="Times New Roman" w:hAnsi="Arial" w:cs="Arial"/>
          <w:lang w:eastAsia="es-ES"/>
        </w:rPr>
      </w:pPr>
    </w:p>
    <w:p w:rsidR="00E12642" w:rsidRDefault="00E12642" w:rsidP="00E12642">
      <w:pPr>
        <w:pStyle w:val="Prrafodelista"/>
        <w:spacing w:after="0" w:line="240" w:lineRule="auto"/>
        <w:ind w:left="1276"/>
        <w:jc w:val="both"/>
        <w:rPr>
          <w:rFonts w:ascii="Arial" w:eastAsia="Times New Roman" w:hAnsi="Arial" w:cs="Arial"/>
          <w:lang w:eastAsia="es-ES"/>
        </w:rPr>
      </w:pPr>
      <w:r>
        <w:rPr>
          <w:rFonts w:ascii="Arial" w:eastAsia="Times New Roman" w:hAnsi="Arial" w:cs="Arial"/>
          <w:lang w:eastAsia="es-ES"/>
        </w:rPr>
        <w:t>L</w:t>
      </w:r>
      <w:r w:rsidRPr="00E12642">
        <w:rPr>
          <w:rFonts w:ascii="Arial" w:eastAsia="Times New Roman" w:hAnsi="Arial" w:cs="Arial"/>
          <w:lang w:eastAsia="es-ES"/>
        </w:rPr>
        <w:t>a presente Directiva no regula el procedimiento para la constitución de servidumbre de paso para las vías de acceso a las playas, las cuales seguirán la regulación establecida por la Ley Nº 26856; así como las respectivas disposiciones del Reglamento de la citada Ley.</w:t>
      </w:r>
    </w:p>
    <w:p w:rsidR="00E12642" w:rsidRDefault="00E12642" w:rsidP="00E12642">
      <w:pPr>
        <w:pStyle w:val="Prrafodelista"/>
        <w:spacing w:after="0" w:line="240" w:lineRule="auto"/>
        <w:ind w:left="1276"/>
        <w:jc w:val="both"/>
        <w:rPr>
          <w:rFonts w:ascii="Arial" w:eastAsia="Times New Roman" w:hAnsi="Arial" w:cs="Arial"/>
          <w:lang w:eastAsia="es-ES"/>
        </w:rPr>
      </w:pPr>
    </w:p>
    <w:p w:rsidR="00C0291C" w:rsidRDefault="00C0291C" w:rsidP="00E12642">
      <w:pPr>
        <w:pStyle w:val="Prrafodelista"/>
        <w:numPr>
          <w:ilvl w:val="1"/>
          <w:numId w:val="36"/>
        </w:numPr>
        <w:spacing w:after="0" w:line="240" w:lineRule="auto"/>
        <w:ind w:left="1276" w:hanging="709"/>
        <w:jc w:val="both"/>
        <w:rPr>
          <w:rFonts w:ascii="Arial" w:eastAsia="Times New Roman" w:hAnsi="Arial" w:cs="Arial"/>
          <w:lang w:eastAsia="es-ES"/>
        </w:rPr>
      </w:pPr>
      <w:r w:rsidRPr="00E12642">
        <w:rPr>
          <w:rFonts w:ascii="Arial" w:eastAsia="Times New Roman" w:hAnsi="Arial" w:cs="Arial"/>
          <w:lang w:eastAsia="es-ES"/>
        </w:rPr>
        <w:t>El plazo de vigencia de la servidumbre se fija en atención al uso o restricción requerida por el solicitante y de acuerdo al sustento contenido en el informe técnico emitido por la entidad titular del predio estatal.</w:t>
      </w:r>
    </w:p>
    <w:p w:rsidR="00E12642" w:rsidRPr="00E12642" w:rsidRDefault="00E12642" w:rsidP="00E12642">
      <w:pPr>
        <w:pStyle w:val="Prrafodelista"/>
        <w:spacing w:after="0" w:line="240" w:lineRule="auto"/>
        <w:ind w:left="1276"/>
        <w:jc w:val="both"/>
        <w:rPr>
          <w:rFonts w:ascii="Arial" w:eastAsia="Times New Roman" w:hAnsi="Arial" w:cs="Arial"/>
          <w:lang w:eastAsia="es-ES"/>
        </w:rPr>
      </w:pPr>
    </w:p>
    <w:p w:rsidR="00C0291C" w:rsidRDefault="00C0291C" w:rsidP="00E12642">
      <w:pPr>
        <w:pStyle w:val="Prrafodelista"/>
        <w:spacing w:after="0" w:line="240" w:lineRule="auto"/>
        <w:ind w:left="1276"/>
        <w:jc w:val="both"/>
        <w:rPr>
          <w:rFonts w:ascii="Arial" w:eastAsia="Times New Roman" w:hAnsi="Arial" w:cs="Arial"/>
          <w:lang w:eastAsia="es-ES"/>
        </w:rPr>
      </w:pPr>
      <w:r w:rsidRPr="00E12642">
        <w:rPr>
          <w:rFonts w:ascii="Arial" w:eastAsia="Times New Roman" w:hAnsi="Arial" w:cs="Arial"/>
          <w:lang w:eastAsia="es-ES"/>
        </w:rPr>
        <w:t xml:space="preserve">El derecho de servidumbre es otorgado hasta por un plazo de diez (10) años, renovable. La solicitud de renovación del derecho de servidumbre se presenta ante la entidad competente, con una anticipación no menor de seis (6) meses al vencimiento del plazo de vigencia. </w:t>
      </w:r>
    </w:p>
    <w:p w:rsidR="00E12642" w:rsidRPr="00E12642" w:rsidRDefault="00E12642" w:rsidP="00E12642">
      <w:pPr>
        <w:pStyle w:val="Prrafodelista"/>
        <w:rPr>
          <w:rFonts w:ascii="Arial" w:eastAsia="Times New Roman" w:hAnsi="Arial" w:cs="Arial"/>
          <w:lang w:eastAsia="es-ES"/>
        </w:rPr>
      </w:pPr>
    </w:p>
    <w:p w:rsidR="00C0291C" w:rsidRDefault="00C0291C" w:rsidP="00E12642">
      <w:pPr>
        <w:pStyle w:val="Prrafodelista"/>
        <w:spacing w:after="0" w:line="240" w:lineRule="auto"/>
        <w:ind w:left="1276"/>
        <w:jc w:val="both"/>
        <w:rPr>
          <w:rFonts w:ascii="Arial" w:eastAsia="Times New Roman" w:hAnsi="Arial" w:cs="Arial"/>
          <w:lang w:eastAsia="es-ES"/>
        </w:rPr>
      </w:pPr>
      <w:r w:rsidRPr="00E12642">
        <w:rPr>
          <w:rFonts w:ascii="Arial" w:eastAsia="Times New Roman" w:hAnsi="Arial" w:cs="Arial"/>
          <w:lang w:eastAsia="es-ES"/>
        </w:rPr>
        <w:t xml:space="preserve">Para la aprobación de la renovación de la servidumbre se deberá efectuar una nueva valorización de la servidumbre, de acuerdo a las normas vigentes sobre la tasación de predios estatales, la cual es cancelada por el administrado.  </w:t>
      </w:r>
    </w:p>
    <w:p w:rsidR="00E12642" w:rsidRPr="00E12642" w:rsidRDefault="00E12642" w:rsidP="00E12642">
      <w:pPr>
        <w:pStyle w:val="Prrafodelista"/>
        <w:rPr>
          <w:rFonts w:ascii="Arial" w:eastAsia="Times New Roman" w:hAnsi="Arial" w:cs="Arial"/>
          <w:lang w:eastAsia="es-ES"/>
        </w:rPr>
      </w:pPr>
    </w:p>
    <w:p w:rsidR="00C0291C" w:rsidRPr="00E12642" w:rsidRDefault="00C0291C" w:rsidP="00E12642">
      <w:pPr>
        <w:pStyle w:val="Prrafodelista"/>
        <w:numPr>
          <w:ilvl w:val="1"/>
          <w:numId w:val="36"/>
        </w:numPr>
        <w:spacing w:after="0" w:line="240" w:lineRule="auto"/>
        <w:ind w:left="1276" w:hanging="709"/>
        <w:jc w:val="both"/>
        <w:rPr>
          <w:rFonts w:ascii="Arial" w:eastAsia="Times New Roman" w:hAnsi="Arial" w:cs="Arial"/>
          <w:lang w:eastAsia="es-ES"/>
        </w:rPr>
      </w:pPr>
      <w:r w:rsidRPr="00E12642">
        <w:rPr>
          <w:rFonts w:ascii="Arial" w:eastAsia="Times New Roman" w:hAnsi="Arial" w:cs="Arial"/>
          <w:lang w:eastAsia="es-ES"/>
        </w:rPr>
        <w:t xml:space="preserve">La resolución del contrato o extinción de la servidumbre no da derecho a la restitución de las sumas que se hubieran abonado por concepto de la servidumbre. </w:t>
      </w:r>
    </w:p>
    <w:p w:rsidR="00C0291C" w:rsidRPr="00C0291C" w:rsidRDefault="00C0291C" w:rsidP="00C0291C">
      <w:pPr>
        <w:spacing w:after="0" w:line="240" w:lineRule="auto"/>
        <w:jc w:val="both"/>
        <w:rPr>
          <w:rFonts w:ascii="Arial" w:eastAsia="Times New Roman" w:hAnsi="Arial" w:cs="Arial"/>
          <w:lang w:eastAsia="es-ES"/>
        </w:rPr>
      </w:pPr>
    </w:p>
    <w:p w:rsidR="00C0291C" w:rsidRPr="00C0291C" w:rsidRDefault="00C0291C" w:rsidP="00C0291C">
      <w:pPr>
        <w:spacing w:after="0" w:line="240" w:lineRule="auto"/>
        <w:jc w:val="both"/>
        <w:rPr>
          <w:rFonts w:ascii="Arial" w:eastAsia="Times New Roman" w:hAnsi="Arial" w:cs="Arial"/>
          <w:lang w:eastAsia="es-ES"/>
        </w:rPr>
      </w:pPr>
    </w:p>
    <w:p w:rsidR="00C0291C" w:rsidRPr="00E12642" w:rsidRDefault="00C0291C" w:rsidP="00E12642">
      <w:pPr>
        <w:spacing w:after="0" w:line="240" w:lineRule="auto"/>
        <w:ind w:left="567" w:hanging="567"/>
        <w:jc w:val="both"/>
        <w:rPr>
          <w:rFonts w:ascii="Arial" w:eastAsia="Times New Roman" w:hAnsi="Arial" w:cs="Arial"/>
          <w:b/>
          <w:lang w:eastAsia="es-ES"/>
        </w:rPr>
      </w:pPr>
      <w:r w:rsidRPr="00E12642">
        <w:rPr>
          <w:rFonts w:ascii="Arial" w:eastAsia="Times New Roman" w:hAnsi="Arial" w:cs="Arial"/>
          <w:b/>
          <w:lang w:eastAsia="es-ES"/>
        </w:rPr>
        <w:t xml:space="preserve">VI. </w:t>
      </w:r>
      <w:r w:rsidR="00E12642">
        <w:rPr>
          <w:rFonts w:ascii="Arial" w:eastAsia="Times New Roman" w:hAnsi="Arial" w:cs="Arial"/>
          <w:b/>
          <w:lang w:eastAsia="es-ES"/>
        </w:rPr>
        <w:tab/>
      </w:r>
      <w:r w:rsidRPr="00E12642">
        <w:rPr>
          <w:rFonts w:ascii="Arial" w:eastAsia="Times New Roman" w:hAnsi="Arial" w:cs="Arial"/>
          <w:b/>
          <w:lang w:eastAsia="es-ES"/>
        </w:rPr>
        <w:t>DISPOSICIONES ESPECÍFICAS</w:t>
      </w:r>
    </w:p>
    <w:p w:rsidR="00C0291C" w:rsidRPr="00C0291C" w:rsidRDefault="00C0291C" w:rsidP="00C0291C">
      <w:pPr>
        <w:spacing w:after="0" w:line="240" w:lineRule="auto"/>
        <w:jc w:val="both"/>
        <w:rPr>
          <w:rFonts w:ascii="Arial" w:eastAsia="Times New Roman" w:hAnsi="Arial" w:cs="Arial"/>
          <w:lang w:eastAsia="es-ES"/>
        </w:rPr>
      </w:pPr>
    </w:p>
    <w:p w:rsidR="00C0291C" w:rsidRPr="00E12642" w:rsidRDefault="00C0291C" w:rsidP="00E12642">
      <w:pPr>
        <w:spacing w:after="0" w:line="240" w:lineRule="auto"/>
        <w:ind w:left="1418" w:hanging="709"/>
        <w:jc w:val="both"/>
        <w:rPr>
          <w:rFonts w:ascii="Arial" w:eastAsia="Times New Roman" w:hAnsi="Arial" w:cs="Arial"/>
          <w:b/>
          <w:lang w:eastAsia="es-ES"/>
        </w:rPr>
      </w:pPr>
      <w:r w:rsidRPr="00E12642">
        <w:rPr>
          <w:rFonts w:ascii="Arial" w:eastAsia="Times New Roman" w:hAnsi="Arial" w:cs="Arial"/>
          <w:b/>
          <w:lang w:eastAsia="es-ES"/>
        </w:rPr>
        <w:t>6.1 Etapas del procedimiento</w:t>
      </w:r>
    </w:p>
    <w:p w:rsidR="00C0291C" w:rsidRPr="00C0291C" w:rsidRDefault="00C0291C" w:rsidP="00E12642">
      <w:pPr>
        <w:spacing w:after="0" w:line="240" w:lineRule="auto"/>
        <w:ind w:left="993"/>
        <w:jc w:val="both"/>
        <w:rPr>
          <w:rFonts w:ascii="Arial" w:eastAsia="Times New Roman" w:hAnsi="Arial" w:cs="Arial"/>
          <w:lang w:eastAsia="es-ES"/>
        </w:rPr>
      </w:pPr>
      <w:r w:rsidRPr="00C0291C">
        <w:rPr>
          <w:rFonts w:ascii="Arial" w:eastAsia="Times New Roman" w:hAnsi="Arial" w:cs="Arial"/>
          <w:lang w:eastAsia="es-ES"/>
        </w:rPr>
        <w:t>El procedimiento de constitución del derecho de servidumbre convencional tiene las etapas siguientes:</w:t>
      </w:r>
    </w:p>
    <w:p w:rsidR="00C0291C" w:rsidRPr="00E12642" w:rsidRDefault="00C0291C" w:rsidP="0092471C">
      <w:pPr>
        <w:pStyle w:val="Prrafodelista"/>
        <w:numPr>
          <w:ilvl w:val="1"/>
          <w:numId w:val="329"/>
        </w:numPr>
        <w:spacing w:after="0" w:line="240" w:lineRule="auto"/>
        <w:ind w:left="1701" w:hanging="425"/>
        <w:jc w:val="both"/>
        <w:rPr>
          <w:rFonts w:ascii="Arial" w:eastAsia="Times New Roman" w:hAnsi="Arial" w:cs="Arial"/>
          <w:lang w:eastAsia="es-ES"/>
        </w:rPr>
      </w:pPr>
      <w:r w:rsidRPr="00E12642">
        <w:rPr>
          <w:rFonts w:ascii="Arial" w:eastAsia="Times New Roman" w:hAnsi="Arial" w:cs="Arial"/>
          <w:lang w:eastAsia="es-ES"/>
        </w:rPr>
        <w:t xml:space="preserve">Presentación de la solicitud </w:t>
      </w:r>
    </w:p>
    <w:p w:rsidR="00C0291C" w:rsidRPr="00E12642" w:rsidRDefault="00C0291C" w:rsidP="0092471C">
      <w:pPr>
        <w:pStyle w:val="Prrafodelista"/>
        <w:numPr>
          <w:ilvl w:val="1"/>
          <w:numId w:val="329"/>
        </w:numPr>
        <w:spacing w:after="0" w:line="240" w:lineRule="auto"/>
        <w:ind w:left="1701" w:hanging="425"/>
        <w:jc w:val="both"/>
        <w:rPr>
          <w:rFonts w:ascii="Arial" w:eastAsia="Times New Roman" w:hAnsi="Arial" w:cs="Arial"/>
          <w:lang w:eastAsia="es-ES"/>
        </w:rPr>
      </w:pPr>
      <w:r w:rsidRPr="00E12642">
        <w:rPr>
          <w:rFonts w:ascii="Arial" w:eastAsia="Times New Roman" w:hAnsi="Arial" w:cs="Arial"/>
          <w:lang w:eastAsia="es-ES"/>
        </w:rPr>
        <w:t>Evaluación de la solicitud y plazo de subsanación</w:t>
      </w:r>
    </w:p>
    <w:p w:rsidR="00C0291C" w:rsidRPr="00E12642" w:rsidRDefault="00C0291C" w:rsidP="0092471C">
      <w:pPr>
        <w:pStyle w:val="Prrafodelista"/>
        <w:numPr>
          <w:ilvl w:val="1"/>
          <w:numId w:val="329"/>
        </w:numPr>
        <w:spacing w:after="0" w:line="240" w:lineRule="auto"/>
        <w:ind w:left="1701" w:hanging="425"/>
        <w:jc w:val="both"/>
        <w:rPr>
          <w:rFonts w:ascii="Arial" w:eastAsia="Times New Roman" w:hAnsi="Arial" w:cs="Arial"/>
          <w:lang w:eastAsia="es-ES"/>
        </w:rPr>
      </w:pPr>
      <w:r w:rsidRPr="00E12642">
        <w:rPr>
          <w:rFonts w:ascii="Arial" w:eastAsia="Times New Roman" w:hAnsi="Arial" w:cs="Arial"/>
          <w:lang w:eastAsia="es-ES"/>
        </w:rPr>
        <w:t xml:space="preserve">Análisis de competencia </w:t>
      </w:r>
    </w:p>
    <w:p w:rsidR="00C0291C" w:rsidRPr="00E12642" w:rsidRDefault="00C0291C" w:rsidP="0092471C">
      <w:pPr>
        <w:pStyle w:val="Prrafodelista"/>
        <w:numPr>
          <w:ilvl w:val="1"/>
          <w:numId w:val="329"/>
        </w:numPr>
        <w:spacing w:after="0" w:line="240" w:lineRule="auto"/>
        <w:ind w:left="1701" w:hanging="425"/>
        <w:jc w:val="both"/>
        <w:rPr>
          <w:rFonts w:ascii="Arial" w:eastAsia="Times New Roman" w:hAnsi="Arial" w:cs="Arial"/>
          <w:lang w:eastAsia="es-ES"/>
        </w:rPr>
      </w:pPr>
      <w:r w:rsidRPr="00E12642">
        <w:rPr>
          <w:rFonts w:ascii="Arial" w:eastAsia="Times New Roman" w:hAnsi="Arial" w:cs="Arial"/>
          <w:lang w:eastAsia="es-ES"/>
        </w:rPr>
        <w:t>Diagnóstico técnico - legal del predio</w:t>
      </w:r>
    </w:p>
    <w:p w:rsidR="00C0291C" w:rsidRPr="00E12642" w:rsidRDefault="00C0291C" w:rsidP="0092471C">
      <w:pPr>
        <w:pStyle w:val="Prrafodelista"/>
        <w:numPr>
          <w:ilvl w:val="1"/>
          <w:numId w:val="329"/>
        </w:numPr>
        <w:spacing w:after="0" w:line="240" w:lineRule="auto"/>
        <w:ind w:left="1701" w:hanging="425"/>
        <w:jc w:val="both"/>
        <w:rPr>
          <w:rFonts w:ascii="Arial" w:eastAsia="Times New Roman" w:hAnsi="Arial" w:cs="Arial"/>
          <w:lang w:eastAsia="es-ES"/>
        </w:rPr>
      </w:pPr>
      <w:r w:rsidRPr="00E12642">
        <w:rPr>
          <w:rFonts w:ascii="Arial" w:eastAsia="Times New Roman" w:hAnsi="Arial" w:cs="Arial"/>
          <w:lang w:eastAsia="es-ES"/>
        </w:rPr>
        <w:t>Valorización para la servidumbre</w:t>
      </w:r>
    </w:p>
    <w:p w:rsidR="00C0291C" w:rsidRPr="00E12642" w:rsidRDefault="00C0291C" w:rsidP="0092471C">
      <w:pPr>
        <w:pStyle w:val="Prrafodelista"/>
        <w:numPr>
          <w:ilvl w:val="1"/>
          <w:numId w:val="329"/>
        </w:numPr>
        <w:spacing w:after="0" w:line="240" w:lineRule="auto"/>
        <w:ind w:left="1701" w:hanging="425"/>
        <w:jc w:val="both"/>
        <w:rPr>
          <w:rFonts w:ascii="Arial" w:eastAsia="Times New Roman" w:hAnsi="Arial" w:cs="Arial"/>
          <w:lang w:eastAsia="es-ES"/>
        </w:rPr>
      </w:pPr>
      <w:r w:rsidRPr="00E12642">
        <w:rPr>
          <w:rFonts w:ascii="Arial" w:eastAsia="Times New Roman" w:hAnsi="Arial" w:cs="Arial"/>
          <w:lang w:eastAsia="es-ES"/>
        </w:rPr>
        <w:t>Abandono del procedimiento</w:t>
      </w:r>
    </w:p>
    <w:p w:rsidR="00C0291C" w:rsidRPr="00E12642" w:rsidRDefault="00C0291C" w:rsidP="0092471C">
      <w:pPr>
        <w:pStyle w:val="Prrafodelista"/>
        <w:numPr>
          <w:ilvl w:val="1"/>
          <w:numId w:val="329"/>
        </w:numPr>
        <w:spacing w:after="0" w:line="240" w:lineRule="auto"/>
        <w:ind w:left="1701" w:hanging="425"/>
        <w:jc w:val="both"/>
        <w:rPr>
          <w:rFonts w:ascii="Arial" w:eastAsia="Times New Roman" w:hAnsi="Arial" w:cs="Arial"/>
          <w:lang w:eastAsia="es-ES"/>
        </w:rPr>
      </w:pPr>
      <w:r w:rsidRPr="00E12642">
        <w:rPr>
          <w:rFonts w:ascii="Arial" w:eastAsia="Times New Roman" w:hAnsi="Arial" w:cs="Arial"/>
          <w:lang w:eastAsia="es-ES"/>
        </w:rPr>
        <w:t xml:space="preserve">Informe técnico - legal </w:t>
      </w:r>
    </w:p>
    <w:p w:rsidR="00C0291C" w:rsidRPr="00E12642" w:rsidRDefault="00C0291C" w:rsidP="0092471C">
      <w:pPr>
        <w:pStyle w:val="Prrafodelista"/>
        <w:numPr>
          <w:ilvl w:val="1"/>
          <w:numId w:val="329"/>
        </w:numPr>
        <w:spacing w:after="0" w:line="240" w:lineRule="auto"/>
        <w:ind w:left="1701" w:hanging="425"/>
        <w:jc w:val="both"/>
        <w:rPr>
          <w:rFonts w:ascii="Arial" w:eastAsia="Times New Roman" w:hAnsi="Arial" w:cs="Arial"/>
          <w:lang w:eastAsia="es-ES"/>
        </w:rPr>
      </w:pPr>
      <w:r w:rsidRPr="00E12642">
        <w:rPr>
          <w:rFonts w:ascii="Arial" w:eastAsia="Times New Roman" w:hAnsi="Arial" w:cs="Arial"/>
          <w:lang w:eastAsia="es-ES"/>
        </w:rPr>
        <w:t xml:space="preserve">Expedición de la resolución </w:t>
      </w:r>
    </w:p>
    <w:p w:rsidR="00C0291C" w:rsidRPr="00E12642" w:rsidRDefault="00C0291C" w:rsidP="0092471C">
      <w:pPr>
        <w:pStyle w:val="Prrafodelista"/>
        <w:numPr>
          <w:ilvl w:val="1"/>
          <w:numId w:val="329"/>
        </w:numPr>
        <w:spacing w:after="0" w:line="240" w:lineRule="auto"/>
        <w:ind w:left="1701" w:hanging="425"/>
        <w:jc w:val="both"/>
        <w:rPr>
          <w:rFonts w:ascii="Arial" w:eastAsia="Times New Roman" w:hAnsi="Arial" w:cs="Arial"/>
          <w:lang w:eastAsia="es-ES"/>
        </w:rPr>
      </w:pPr>
      <w:r w:rsidRPr="00E12642">
        <w:rPr>
          <w:rFonts w:ascii="Arial" w:eastAsia="Times New Roman" w:hAnsi="Arial" w:cs="Arial"/>
          <w:lang w:eastAsia="es-ES"/>
        </w:rPr>
        <w:t>Pago de la contraprestación por la servidumbre</w:t>
      </w:r>
    </w:p>
    <w:p w:rsidR="00C0291C" w:rsidRPr="00E12642" w:rsidRDefault="00C0291C" w:rsidP="0092471C">
      <w:pPr>
        <w:pStyle w:val="Prrafodelista"/>
        <w:numPr>
          <w:ilvl w:val="1"/>
          <w:numId w:val="329"/>
        </w:numPr>
        <w:spacing w:after="0" w:line="240" w:lineRule="auto"/>
        <w:ind w:left="1701" w:hanging="425"/>
        <w:jc w:val="both"/>
        <w:rPr>
          <w:rFonts w:ascii="Arial" w:eastAsia="Times New Roman" w:hAnsi="Arial" w:cs="Arial"/>
          <w:lang w:eastAsia="es-ES"/>
        </w:rPr>
      </w:pPr>
      <w:r w:rsidRPr="00E12642">
        <w:rPr>
          <w:rFonts w:ascii="Arial" w:eastAsia="Times New Roman" w:hAnsi="Arial" w:cs="Arial"/>
          <w:lang w:eastAsia="es-ES"/>
        </w:rPr>
        <w:t>Contrato de servidumbre</w:t>
      </w:r>
    </w:p>
    <w:p w:rsidR="00C0291C" w:rsidRPr="00E12642" w:rsidRDefault="00C0291C" w:rsidP="0092471C">
      <w:pPr>
        <w:pStyle w:val="Prrafodelista"/>
        <w:numPr>
          <w:ilvl w:val="1"/>
          <w:numId w:val="329"/>
        </w:numPr>
        <w:spacing w:after="0" w:line="240" w:lineRule="auto"/>
        <w:ind w:left="1701" w:hanging="425"/>
        <w:jc w:val="both"/>
        <w:rPr>
          <w:rFonts w:ascii="Arial" w:eastAsia="Times New Roman" w:hAnsi="Arial" w:cs="Arial"/>
          <w:lang w:eastAsia="es-ES"/>
        </w:rPr>
      </w:pPr>
      <w:r w:rsidRPr="00E12642">
        <w:rPr>
          <w:rFonts w:ascii="Arial" w:eastAsia="Times New Roman" w:hAnsi="Arial" w:cs="Arial"/>
          <w:lang w:eastAsia="es-ES"/>
        </w:rPr>
        <w:t xml:space="preserve">Registro del Contrato en el aplicativo </w:t>
      </w:r>
    </w:p>
    <w:p w:rsidR="00C0291C" w:rsidRPr="00E12642" w:rsidRDefault="00C0291C" w:rsidP="0092471C">
      <w:pPr>
        <w:pStyle w:val="Prrafodelista"/>
        <w:numPr>
          <w:ilvl w:val="1"/>
          <w:numId w:val="329"/>
        </w:numPr>
        <w:spacing w:after="0" w:line="240" w:lineRule="auto"/>
        <w:ind w:left="1701" w:hanging="425"/>
        <w:jc w:val="both"/>
        <w:rPr>
          <w:rFonts w:ascii="Arial" w:eastAsia="Times New Roman" w:hAnsi="Arial" w:cs="Arial"/>
          <w:lang w:eastAsia="es-ES"/>
        </w:rPr>
      </w:pPr>
      <w:r w:rsidRPr="00E12642">
        <w:rPr>
          <w:rFonts w:ascii="Arial" w:eastAsia="Times New Roman" w:hAnsi="Arial" w:cs="Arial"/>
          <w:lang w:eastAsia="es-ES"/>
        </w:rPr>
        <w:t>Liquidación y deducción de gastos</w:t>
      </w:r>
    </w:p>
    <w:p w:rsidR="00C0291C" w:rsidRPr="00E12642" w:rsidRDefault="00C0291C" w:rsidP="0092471C">
      <w:pPr>
        <w:pStyle w:val="Prrafodelista"/>
        <w:numPr>
          <w:ilvl w:val="1"/>
          <w:numId w:val="329"/>
        </w:numPr>
        <w:spacing w:after="0" w:line="240" w:lineRule="auto"/>
        <w:ind w:left="1701" w:hanging="425"/>
        <w:jc w:val="both"/>
        <w:rPr>
          <w:rFonts w:ascii="Arial" w:eastAsia="Times New Roman" w:hAnsi="Arial" w:cs="Arial"/>
          <w:lang w:eastAsia="es-ES"/>
        </w:rPr>
      </w:pPr>
      <w:r w:rsidRPr="00E12642">
        <w:rPr>
          <w:rFonts w:ascii="Arial" w:eastAsia="Times New Roman" w:hAnsi="Arial" w:cs="Arial"/>
          <w:lang w:eastAsia="es-ES"/>
        </w:rPr>
        <w:t>Distribución de ingresos y comunicación a la SBN</w:t>
      </w:r>
    </w:p>
    <w:p w:rsidR="00C0291C" w:rsidRPr="00E12642" w:rsidRDefault="00C0291C" w:rsidP="0092471C">
      <w:pPr>
        <w:pStyle w:val="Prrafodelista"/>
        <w:numPr>
          <w:ilvl w:val="1"/>
          <w:numId w:val="329"/>
        </w:numPr>
        <w:spacing w:after="0" w:line="240" w:lineRule="auto"/>
        <w:ind w:left="1701" w:hanging="425"/>
        <w:jc w:val="both"/>
        <w:rPr>
          <w:rFonts w:ascii="Arial" w:eastAsia="Times New Roman" w:hAnsi="Arial" w:cs="Arial"/>
          <w:lang w:eastAsia="es-ES"/>
        </w:rPr>
      </w:pPr>
      <w:r w:rsidRPr="00E12642">
        <w:rPr>
          <w:rFonts w:ascii="Arial" w:eastAsia="Times New Roman" w:hAnsi="Arial" w:cs="Arial"/>
          <w:lang w:eastAsia="es-ES"/>
        </w:rPr>
        <w:t>Actualización del SINABIP</w:t>
      </w:r>
    </w:p>
    <w:p w:rsidR="00C0291C" w:rsidRPr="00C0291C" w:rsidRDefault="00C0291C" w:rsidP="00C0291C">
      <w:pPr>
        <w:spacing w:after="0" w:line="240" w:lineRule="auto"/>
        <w:jc w:val="both"/>
        <w:rPr>
          <w:rFonts w:ascii="Arial" w:eastAsia="Times New Roman" w:hAnsi="Arial" w:cs="Arial"/>
          <w:lang w:eastAsia="es-ES"/>
        </w:rPr>
      </w:pPr>
      <w:r w:rsidRPr="00C0291C">
        <w:rPr>
          <w:rFonts w:ascii="Arial" w:eastAsia="Times New Roman" w:hAnsi="Arial" w:cs="Arial"/>
          <w:lang w:eastAsia="es-ES"/>
        </w:rPr>
        <w:t xml:space="preserve">      </w:t>
      </w:r>
    </w:p>
    <w:p w:rsidR="00C0291C" w:rsidRPr="00C0291C" w:rsidRDefault="00C0291C" w:rsidP="00E12642">
      <w:pPr>
        <w:spacing w:after="0" w:line="240" w:lineRule="auto"/>
        <w:ind w:left="993"/>
        <w:jc w:val="both"/>
        <w:rPr>
          <w:rFonts w:ascii="Arial" w:eastAsia="Times New Roman" w:hAnsi="Arial" w:cs="Arial"/>
          <w:lang w:eastAsia="es-ES"/>
        </w:rPr>
      </w:pPr>
      <w:r w:rsidRPr="00C0291C">
        <w:rPr>
          <w:rFonts w:ascii="Arial" w:eastAsia="Times New Roman" w:hAnsi="Arial" w:cs="Arial"/>
          <w:lang w:eastAsia="es-ES"/>
        </w:rPr>
        <w:t>Las etapas antes indicadas no son necesariamente sucesivas, las cuales dependen de la situación jurídica del predio requerido.</w:t>
      </w:r>
    </w:p>
    <w:p w:rsidR="00C0291C" w:rsidRPr="00C0291C" w:rsidRDefault="00C0291C" w:rsidP="00C0291C">
      <w:pPr>
        <w:spacing w:after="0" w:line="240" w:lineRule="auto"/>
        <w:jc w:val="both"/>
        <w:rPr>
          <w:rFonts w:ascii="Arial" w:eastAsia="Times New Roman" w:hAnsi="Arial" w:cs="Arial"/>
          <w:lang w:eastAsia="es-ES"/>
        </w:rPr>
      </w:pPr>
    </w:p>
    <w:p w:rsidR="00C0291C" w:rsidRPr="00E12642" w:rsidRDefault="00C0291C" w:rsidP="00E12642">
      <w:pPr>
        <w:spacing w:after="0" w:line="240" w:lineRule="auto"/>
        <w:ind w:left="851"/>
        <w:jc w:val="both"/>
        <w:rPr>
          <w:rFonts w:ascii="Arial" w:eastAsia="Times New Roman" w:hAnsi="Arial" w:cs="Arial"/>
          <w:b/>
          <w:lang w:eastAsia="es-ES"/>
        </w:rPr>
      </w:pPr>
      <w:r w:rsidRPr="00E12642">
        <w:rPr>
          <w:rFonts w:ascii="Arial" w:eastAsia="Times New Roman" w:hAnsi="Arial" w:cs="Arial"/>
          <w:b/>
          <w:lang w:eastAsia="es-ES"/>
        </w:rPr>
        <w:t>Presentación de la solicitud</w:t>
      </w:r>
    </w:p>
    <w:p w:rsidR="00E12642" w:rsidRDefault="00E12642" w:rsidP="00E12642">
      <w:pPr>
        <w:spacing w:after="0" w:line="240" w:lineRule="auto"/>
        <w:ind w:left="851"/>
        <w:jc w:val="both"/>
        <w:rPr>
          <w:rFonts w:ascii="Arial" w:eastAsia="Times New Roman" w:hAnsi="Arial" w:cs="Arial"/>
          <w:lang w:eastAsia="es-ES"/>
        </w:rPr>
      </w:pPr>
    </w:p>
    <w:p w:rsidR="00C0291C" w:rsidRDefault="00C0291C" w:rsidP="0092471C">
      <w:pPr>
        <w:pStyle w:val="Prrafodelista"/>
        <w:numPr>
          <w:ilvl w:val="1"/>
          <w:numId w:val="273"/>
        </w:numPr>
        <w:spacing w:after="0" w:line="240" w:lineRule="auto"/>
        <w:ind w:left="1418"/>
        <w:jc w:val="both"/>
        <w:rPr>
          <w:rFonts w:ascii="Arial" w:eastAsia="Times New Roman" w:hAnsi="Arial" w:cs="Arial"/>
          <w:lang w:eastAsia="es-ES"/>
        </w:rPr>
      </w:pPr>
      <w:r w:rsidRPr="00E12642">
        <w:rPr>
          <w:rFonts w:ascii="Arial" w:eastAsia="Times New Roman" w:hAnsi="Arial" w:cs="Arial"/>
          <w:lang w:eastAsia="es-ES"/>
        </w:rPr>
        <w:t>El procedimiento de constitución de servidumbre se inicia con la presentación de una solicitud escrita ante la entidad propietaria del predio o ante la SBN o el Gobierno Regional con funciones transferidas o delegadas, en el caso de predios de propiedad del Estado.</w:t>
      </w:r>
    </w:p>
    <w:p w:rsidR="00E12642" w:rsidRDefault="00E12642" w:rsidP="00E12642">
      <w:pPr>
        <w:pStyle w:val="Prrafodelista"/>
        <w:spacing w:after="0" w:line="240" w:lineRule="auto"/>
        <w:ind w:left="1418"/>
        <w:jc w:val="both"/>
        <w:rPr>
          <w:rFonts w:ascii="Arial" w:eastAsia="Times New Roman" w:hAnsi="Arial" w:cs="Arial"/>
          <w:lang w:eastAsia="es-ES"/>
        </w:rPr>
      </w:pPr>
    </w:p>
    <w:p w:rsidR="00C0291C" w:rsidRPr="00E12642" w:rsidRDefault="00C0291C" w:rsidP="0092471C">
      <w:pPr>
        <w:pStyle w:val="Prrafodelista"/>
        <w:numPr>
          <w:ilvl w:val="1"/>
          <w:numId w:val="273"/>
        </w:numPr>
        <w:spacing w:after="0" w:line="240" w:lineRule="auto"/>
        <w:ind w:left="1418"/>
        <w:jc w:val="both"/>
        <w:rPr>
          <w:rFonts w:ascii="Arial" w:eastAsia="Times New Roman" w:hAnsi="Arial" w:cs="Arial"/>
          <w:lang w:eastAsia="es-ES"/>
        </w:rPr>
      </w:pPr>
      <w:r w:rsidRPr="00E12642">
        <w:rPr>
          <w:rFonts w:ascii="Arial" w:eastAsia="Times New Roman" w:hAnsi="Arial" w:cs="Arial"/>
          <w:lang w:eastAsia="es-ES"/>
        </w:rPr>
        <w:t>La solicitud debe contener los requisitos siguientes:</w:t>
      </w:r>
    </w:p>
    <w:p w:rsidR="00C0291C" w:rsidRPr="00C0291C" w:rsidRDefault="00C0291C" w:rsidP="00E12642">
      <w:pPr>
        <w:spacing w:after="0" w:line="240" w:lineRule="auto"/>
        <w:ind w:left="851"/>
        <w:jc w:val="both"/>
        <w:rPr>
          <w:rFonts w:ascii="Arial" w:eastAsia="Times New Roman" w:hAnsi="Arial" w:cs="Arial"/>
          <w:lang w:eastAsia="es-ES"/>
        </w:rPr>
      </w:pPr>
    </w:p>
    <w:p w:rsidR="00C0291C" w:rsidRDefault="00C0291C" w:rsidP="0092471C">
      <w:pPr>
        <w:pStyle w:val="Prrafodelista"/>
        <w:numPr>
          <w:ilvl w:val="0"/>
          <w:numId w:val="330"/>
        </w:numPr>
        <w:spacing w:after="0" w:line="240" w:lineRule="auto"/>
        <w:ind w:left="1843"/>
        <w:jc w:val="both"/>
        <w:rPr>
          <w:rFonts w:ascii="Arial" w:eastAsia="Times New Roman" w:hAnsi="Arial" w:cs="Arial"/>
          <w:lang w:eastAsia="es-ES"/>
        </w:rPr>
      </w:pPr>
      <w:r w:rsidRPr="00A50DDE">
        <w:rPr>
          <w:rFonts w:ascii="Arial" w:eastAsia="Times New Roman" w:hAnsi="Arial" w:cs="Arial"/>
          <w:lang w:eastAsia="es-ES"/>
        </w:rPr>
        <w:t xml:space="preserve">La indicación del nombre, datos de identidad y domicilio del administrado y/o de su apoderado o representante legal. En el caso de personas naturales, se deberá acompañar copia legible del DNI o carnet de extranjería del administrado o de su apoderado. Tratándose de personas jurídicas, acompañará copia simple del DNI o Carnet de Extranjería de su representante legal, en cuyo caso además se adjuntará copia de la partida registral donde consta inscrita la constitución social y el certificado de vigencia de poder del representante legal, este último con una antigüedad no mayor a treinta (30) días. </w:t>
      </w:r>
    </w:p>
    <w:p w:rsidR="00A50DDE" w:rsidRPr="00A50DDE" w:rsidRDefault="00A50DDE" w:rsidP="00A50DDE">
      <w:pPr>
        <w:pStyle w:val="Prrafodelista"/>
        <w:spacing w:after="0" w:line="240" w:lineRule="auto"/>
        <w:ind w:left="1843"/>
        <w:jc w:val="both"/>
        <w:rPr>
          <w:rFonts w:ascii="Arial" w:eastAsia="Times New Roman" w:hAnsi="Arial" w:cs="Arial"/>
          <w:lang w:eastAsia="es-ES"/>
        </w:rPr>
      </w:pPr>
    </w:p>
    <w:p w:rsidR="00A50DDE" w:rsidRDefault="00C0291C" w:rsidP="0092471C">
      <w:pPr>
        <w:pStyle w:val="Prrafodelista"/>
        <w:numPr>
          <w:ilvl w:val="0"/>
          <w:numId w:val="330"/>
        </w:numPr>
        <w:spacing w:after="0" w:line="240" w:lineRule="auto"/>
        <w:ind w:left="1843"/>
        <w:jc w:val="both"/>
        <w:rPr>
          <w:rFonts w:ascii="Arial" w:eastAsia="Times New Roman" w:hAnsi="Arial" w:cs="Arial"/>
          <w:lang w:eastAsia="es-ES"/>
        </w:rPr>
      </w:pPr>
      <w:r w:rsidRPr="00A50DDE">
        <w:rPr>
          <w:rFonts w:ascii="Arial" w:eastAsia="Times New Roman" w:hAnsi="Arial" w:cs="Arial"/>
          <w:lang w:eastAsia="es-ES"/>
        </w:rPr>
        <w:t>La expresión concreta de lo pedido, indicando área, ubicación y derechos sobre el predio dominante, así como el área requerida en servidumbre como predio sirviente, su ubicación, finalidad y plazo para el cual se solicita.</w:t>
      </w:r>
    </w:p>
    <w:p w:rsidR="00A50DDE" w:rsidRPr="00A50DDE" w:rsidRDefault="00A50DDE" w:rsidP="00A50DDE">
      <w:pPr>
        <w:pStyle w:val="Prrafodelista"/>
        <w:rPr>
          <w:rFonts w:ascii="Arial" w:eastAsia="Times New Roman" w:hAnsi="Arial" w:cs="Arial"/>
          <w:lang w:eastAsia="es-ES"/>
        </w:rPr>
      </w:pPr>
    </w:p>
    <w:p w:rsidR="00C0291C" w:rsidRDefault="00C0291C" w:rsidP="0092471C">
      <w:pPr>
        <w:pStyle w:val="Prrafodelista"/>
        <w:numPr>
          <w:ilvl w:val="0"/>
          <w:numId w:val="330"/>
        </w:numPr>
        <w:spacing w:after="0" w:line="240" w:lineRule="auto"/>
        <w:ind w:left="1843"/>
        <w:jc w:val="both"/>
        <w:rPr>
          <w:rFonts w:ascii="Arial" w:eastAsia="Times New Roman" w:hAnsi="Arial" w:cs="Arial"/>
          <w:lang w:eastAsia="es-ES"/>
        </w:rPr>
      </w:pPr>
      <w:r w:rsidRPr="00A50DDE">
        <w:rPr>
          <w:rFonts w:ascii="Arial" w:eastAsia="Times New Roman" w:hAnsi="Arial" w:cs="Arial"/>
          <w:lang w:eastAsia="es-ES"/>
        </w:rPr>
        <w:t>Partida Registral o Certificado de Búsqueda Catastral expedido por la SUNARP, actualizados del predio sirviente requerido en servidumbre.</w:t>
      </w:r>
    </w:p>
    <w:p w:rsidR="00A50DDE" w:rsidRPr="00A50DDE" w:rsidRDefault="00A50DDE" w:rsidP="00A50DDE">
      <w:pPr>
        <w:pStyle w:val="Prrafodelista"/>
        <w:rPr>
          <w:rFonts w:ascii="Arial" w:eastAsia="Times New Roman" w:hAnsi="Arial" w:cs="Arial"/>
          <w:lang w:eastAsia="es-ES"/>
        </w:rPr>
      </w:pPr>
    </w:p>
    <w:p w:rsidR="00C0291C" w:rsidRDefault="00C0291C" w:rsidP="0092471C">
      <w:pPr>
        <w:pStyle w:val="Prrafodelista"/>
        <w:numPr>
          <w:ilvl w:val="0"/>
          <w:numId w:val="330"/>
        </w:numPr>
        <w:spacing w:after="0" w:line="240" w:lineRule="auto"/>
        <w:ind w:left="1843"/>
        <w:jc w:val="both"/>
        <w:rPr>
          <w:rFonts w:ascii="Arial" w:eastAsia="Times New Roman" w:hAnsi="Arial" w:cs="Arial"/>
          <w:lang w:eastAsia="es-ES"/>
        </w:rPr>
      </w:pPr>
      <w:r w:rsidRPr="00A50DDE">
        <w:rPr>
          <w:rFonts w:ascii="Arial" w:eastAsia="Times New Roman" w:hAnsi="Arial" w:cs="Arial"/>
          <w:lang w:eastAsia="es-ES"/>
        </w:rPr>
        <w:t xml:space="preserve">Memoria descriptiva y plano perimétrico - ubicación del predio sirviente requerido en servidumbre, en coordenadas UTM, a escala apropiada, en donde se visualice el polígono de la servidumbre solicitada, linderos, ángulos y medidas perimétricas, autorizado por ingeniero o arquitecto colegiado, en soporte físico (papel) y archivo digital (CD-ROM). </w:t>
      </w:r>
    </w:p>
    <w:p w:rsidR="00A50DDE" w:rsidRPr="00A50DDE" w:rsidRDefault="00A50DDE" w:rsidP="00A50DDE">
      <w:pPr>
        <w:pStyle w:val="Prrafodelista"/>
        <w:rPr>
          <w:rFonts w:ascii="Arial" w:eastAsia="Times New Roman" w:hAnsi="Arial" w:cs="Arial"/>
          <w:lang w:eastAsia="es-ES"/>
        </w:rPr>
      </w:pPr>
    </w:p>
    <w:p w:rsidR="00C0291C" w:rsidRDefault="00C0291C" w:rsidP="0092471C">
      <w:pPr>
        <w:pStyle w:val="Prrafodelista"/>
        <w:numPr>
          <w:ilvl w:val="0"/>
          <w:numId w:val="330"/>
        </w:numPr>
        <w:spacing w:after="0" w:line="240" w:lineRule="auto"/>
        <w:ind w:left="1843"/>
        <w:jc w:val="both"/>
        <w:rPr>
          <w:rFonts w:ascii="Arial" w:eastAsia="Times New Roman" w:hAnsi="Arial" w:cs="Arial"/>
          <w:lang w:eastAsia="es-ES"/>
        </w:rPr>
      </w:pPr>
      <w:r w:rsidRPr="00A50DDE">
        <w:rPr>
          <w:rFonts w:ascii="Arial" w:eastAsia="Times New Roman" w:hAnsi="Arial" w:cs="Arial"/>
          <w:lang w:eastAsia="es-ES"/>
        </w:rPr>
        <w:t xml:space="preserve">Plano perimétrico - ubicación del predio dominante, en coordenadas UTM, a escala apropiada, en donde se visualice el polígono, linderos, ángulos y medidas perimétricas, autorizado por ingeniero o arquitecto colegiado, en soporte físico (papel) y archivo digital (CD-ROM). </w:t>
      </w:r>
    </w:p>
    <w:p w:rsidR="00A50DDE" w:rsidRPr="00A50DDE" w:rsidRDefault="00A50DDE" w:rsidP="00A50DDE">
      <w:pPr>
        <w:pStyle w:val="Prrafodelista"/>
        <w:rPr>
          <w:rFonts w:ascii="Arial" w:eastAsia="Times New Roman" w:hAnsi="Arial" w:cs="Arial"/>
          <w:lang w:eastAsia="es-ES"/>
        </w:rPr>
      </w:pPr>
    </w:p>
    <w:p w:rsidR="00C0291C" w:rsidRDefault="00C0291C" w:rsidP="0092471C">
      <w:pPr>
        <w:pStyle w:val="Prrafodelista"/>
        <w:numPr>
          <w:ilvl w:val="0"/>
          <w:numId w:val="330"/>
        </w:numPr>
        <w:spacing w:after="0" w:line="240" w:lineRule="auto"/>
        <w:ind w:left="1843"/>
        <w:jc w:val="both"/>
        <w:rPr>
          <w:rFonts w:ascii="Arial" w:eastAsia="Times New Roman" w:hAnsi="Arial" w:cs="Arial"/>
          <w:lang w:eastAsia="es-ES"/>
        </w:rPr>
      </w:pPr>
      <w:r w:rsidRPr="00A50DDE">
        <w:rPr>
          <w:rFonts w:ascii="Arial" w:eastAsia="Times New Roman" w:hAnsi="Arial" w:cs="Arial"/>
          <w:lang w:eastAsia="es-ES"/>
        </w:rPr>
        <w:t>Copia certificada de la Partida Registral o del documento que acredita su derecho sobre el predio dominante.</w:t>
      </w:r>
    </w:p>
    <w:p w:rsidR="00A50DDE" w:rsidRPr="00A50DDE" w:rsidRDefault="00A50DDE" w:rsidP="00A50DDE">
      <w:pPr>
        <w:pStyle w:val="Prrafodelista"/>
        <w:rPr>
          <w:rFonts w:ascii="Arial" w:eastAsia="Times New Roman" w:hAnsi="Arial" w:cs="Arial"/>
          <w:lang w:eastAsia="es-ES"/>
        </w:rPr>
      </w:pPr>
    </w:p>
    <w:p w:rsidR="00C0291C" w:rsidRDefault="00C0291C" w:rsidP="0092471C">
      <w:pPr>
        <w:pStyle w:val="Prrafodelista"/>
        <w:numPr>
          <w:ilvl w:val="0"/>
          <w:numId w:val="330"/>
        </w:numPr>
        <w:spacing w:after="0" w:line="240" w:lineRule="auto"/>
        <w:ind w:left="1843"/>
        <w:jc w:val="both"/>
        <w:rPr>
          <w:rFonts w:ascii="Arial" w:eastAsia="Times New Roman" w:hAnsi="Arial" w:cs="Arial"/>
          <w:lang w:eastAsia="es-ES"/>
        </w:rPr>
      </w:pPr>
      <w:r w:rsidRPr="00A50DDE">
        <w:rPr>
          <w:rFonts w:ascii="Arial" w:eastAsia="Times New Roman" w:hAnsi="Arial" w:cs="Arial"/>
          <w:lang w:eastAsia="es-ES"/>
        </w:rPr>
        <w:t>Declaración Jurada suscrita por el solicitante, de no encontrarse impedido de contratar con el Estado. (Anexo N° 3)</w:t>
      </w:r>
    </w:p>
    <w:p w:rsidR="00A50DDE" w:rsidRPr="00A50DDE" w:rsidRDefault="00A50DDE" w:rsidP="00A50DDE">
      <w:pPr>
        <w:pStyle w:val="Prrafodelista"/>
        <w:rPr>
          <w:rFonts w:ascii="Arial" w:eastAsia="Times New Roman" w:hAnsi="Arial" w:cs="Arial"/>
          <w:lang w:eastAsia="es-ES"/>
        </w:rPr>
      </w:pPr>
    </w:p>
    <w:p w:rsidR="00C0291C" w:rsidRPr="00A50DDE" w:rsidRDefault="00C0291C" w:rsidP="0092471C">
      <w:pPr>
        <w:pStyle w:val="Prrafodelista"/>
        <w:numPr>
          <w:ilvl w:val="0"/>
          <w:numId w:val="330"/>
        </w:numPr>
        <w:spacing w:after="0" w:line="240" w:lineRule="auto"/>
        <w:ind w:left="1843"/>
        <w:jc w:val="both"/>
        <w:rPr>
          <w:rFonts w:ascii="Arial" w:eastAsia="Times New Roman" w:hAnsi="Arial" w:cs="Arial"/>
          <w:lang w:eastAsia="es-ES"/>
        </w:rPr>
      </w:pPr>
      <w:r w:rsidRPr="00A50DDE">
        <w:rPr>
          <w:rFonts w:ascii="Arial" w:eastAsia="Times New Roman" w:hAnsi="Arial" w:cs="Arial"/>
          <w:lang w:eastAsia="es-ES"/>
        </w:rPr>
        <w:t xml:space="preserve">Documento que contiene el pronunciamiento de la respectiva autoridad sectorial respecto a que el pedido de servidumbre no se encuentra dentro del ámbito de aplicación de sus respectivas normas sectoriales, para las solicitudes de servidumbres formuladas de conformidad con la Única Disposición Complementaria Transitoria de la presente directiva.   </w:t>
      </w:r>
    </w:p>
    <w:p w:rsidR="00C0291C" w:rsidRPr="00C0291C" w:rsidRDefault="00C0291C" w:rsidP="00E12642">
      <w:pPr>
        <w:spacing w:after="0" w:line="240" w:lineRule="auto"/>
        <w:ind w:left="851"/>
        <w:jc w:val="both"/>
        <w:rPr>
          <w:rFonts w:ascii="Arial" w:eastAsia="Times New Roman" w:hAnsi="Arial" w:cs="Arial"/>
          <w:lang w:eastAsia="es-ES"/>
        </w:rPr>
      </w:pPr>
    </w:p>
    <w:p w:rsidR="00C0291C" w:rsidRDefault="00A50DDE" w:rsidP="00E12642">
      <w:pPr>
        <w:spacing w:after="0" w:line="240" w:lineRule="auto"/>
        <w:ind w:left="851"/>
        <w:jc w:val="both"/>
        <w:rPr>
          <w:rFonts w:ascii="Arial" w:eastAsia="Times New Roman" w:hAnsi="Arial" w:cs="Arial"/>
          <w:b/>
          <w:lang w:eastAsia="es-ES"/>
        </w:rPr>
      </w:pPr>
      <w:r>
        <w:rPr>
          <w:rFonts w:ascii="Arial" w:eastAsia="Times New Roman" w:hAnsi="Arial" w:cs="Arial"/>
          <w:b/>
          <w:lang w:eastAsia="es-ES"/>
        </w:rPr>
        <w:t xml:space="preserve"> </w:t>
      </w:r>
      <w:r w:rsidR="00C0291C" w:rsidRPr="00A50DDE">
        <w:rPr>
          <w:rFonts w:ascii="Arial" w:eastAsia="Times New Roman" w:hAnsi="Arial" w:cs="Arial"/>
          <w:b/>
          <w:lang w:eastAsia="es-ES"/>
        </w:rPr>
        <w:t>Evaluación de la solicitud y plazo de subsanación</w:t>
      </w:r>
    </w:p>
    <w:p w:rsidR="00A50DDE" w:rsidRPr="00A50DDE" w:rsidRDefault="00A50DDE" w:rsidP="00E12642">
      <w:pPr>
        <w:spacing w:after="0" w:line="240" w:lineRule="auto"/>
        <w:ind w:left="851"/>
        <w:jc w:val="both"/>
        <w:rPr>
          <w:rFonts w:ascii="Arial" w:eastAsia="Times New Roman" w:hAnsi="Arial" w:cs="Arial"/>
          <w:b/>
          <w:lang w:eastAsia="es-ES"/>
        </w:rPr>
      </w:pPr>
    </w:p>
    <w:p w:rsidR="00A50DDE" w:rsidRDefault="00C0291C" w:rsidP="0092471C">
      <w:pPr>
        <w:pStyle w:val="Prrafodelista"/>
        <w:numPr>
          <w:ilvl w:val="1"/>
          <w:numId w:val="273"/>
        </w:numPr>
        <w:spacing w:after="0" w:line="240" w:lineRule="auto"/>
        <w:ind w:left="1418"/>
        <w:jc w:val="both"/>
        <w:rPr>
          <w:rFonts w:ascii="Arial" w:eastAsia="Times New Roman" w:hAnsi="Arial" w:cs="Arial"/>
          <w:lang w:eastAsia="es-ES"/>
        </w:rPr>
      </w:pPr>
      <w:r w:rsidRPr="00A50DDE">
        <w:rPr>
          <w:rFonts w:ascii="Arial" w:eastAsia="Times New Roman" w:hAnsi="Arial" w:cs="Arial"/>
          <w:lang w:eastAsia="es-ES"/>
        </w:rPr>
        <w:t xml:space="preserve">La SDAPE en el caso de la SBN, o la unidad orgánica competente en el caso del Gobierno Regional con funciones transferidas o delegadas, o de la entidad propietaria del predio estatal, se encarga de sustentar el trámite para la constitución de la servidumbre. </w:t>
      </w:r>
    </w:p>
    <w:p w:rsidR="00C0291C" w:rsidRDefault="00C0291C" w:rsidP="00A50DDE">
      <w:pPr>
        <w:pStyle w:val="Prrafodelista"/>
        <w:spacing w:after="0" w:line="240" w:lineRule="auto"/>
        <w:ind w:left="1418"/>
        <w:jc w:val="both"/>
        <w:rPr>
          <w:rFonts w:ascii="Arial" w:eastAsia="Times New Roman" w:hAnsi="Arial" w:cs="Arial"/>
          <w:lang w:eastAsia="es-ES"/>
        </w:rPr>
      </w:pPr>
      <w:r w:rsidRPr="00A50DDE">
        <w:rPr>
          <w:rFonts w:ascii="Arial" w:eastAsia="Times New Roman" w:hAnsi="Arial" w:cs="Arial"/>
          <w:lang w:eastAsia="es-ES"/>
        </w:rPr>
        <w:t xml:space="preserve"> </w:t>
      </w:r>
    </w:p>
    <w:p w:rsidR="00C0291C" w:rsidRDefault="00C0291C" w:rsidP="00A50DDE">
      <w:pPr>
        <w:pStyle w:val="Prrafodelista"/>
        <w:spacing w:after="0" w:line="240" w:lineRule="auto"/>
        <w:ind w:left="1418"/>
        <w:jc w:val="both"/>
        <w:rPr>
          <w:rFonts w:ascii="Arial" w:eastAsia="Times New Roman" w:hAnsi="Arial" w:cs="Arial"/>
          <w:lang w:eastAsia="es-ES"/>
        </w:rPr>
      </w:pPr>
      <w:r w:rsidRPr="00A50DDE">
        <w:rPr>
          <w:rFonts w:ascii="Arial" w:eastAsia="Times New Roman" w:hAnsi="Arial" w:cs="Arial"/>
          <w:lang w:eastAsia="es-ES"/>
        </w:rPr>
        <w:t xml:space="preserve">La unidad orgánica a que se refiere el numeral anterior podrá requerir al administrado para que dentro del término de diez (10) días hábiles, computados a partir del día siguiente de su notificación, subsane las observaciones que haya advertido de su solicitud en el cumplimiento de los requisitos solicitados, suspendiéndose el procedimiento hasta la subsanación respectiva. Excepcionalmente y por razones justificadas, antes del vencimiento del plazo señalado, el administrado podrá solicitar su ampliación hasta por igual término para el cumplimiento de lo que se le hubiere requerido. </w:t>
      </w:r>
    </w:p>
    <w:p w:rsidR="00A50DDE" w:rsidRPr="00A50DDE" w:rsidRDefault="00A50DDE" w:rsidP="00A50DDE">
      <w:pPr>
        <w:pStyle w:val="Prrafodelista"/>
        <w:rPr>
          <w:rFonts w:ascii="Arial" w:eastAsia="Times New Roman" w:hAnsi="Arial" w:cs="Arial"/>
          <w:lang w:eastAsia="es-ES"/>
        </w:rPr>
      </w:pPr>
    </w:p>
    <w:p w:rsidR="00C0291C" w:rsidRPr="00A50DDE" w:rsidRDefault="00C0291C" w:rsidP="0092471C">
      <w:pPr>
        <w:pStyle w:val="Prrafodelista"/>
        <w:numPr>
          <w:ilvl w:val="1"/>
          <w:numId w:val="273"/>
        </w:numPr>
        <w:spacing w:after="0" w:line="240" w:lineRule="auto"/>
        <w:ind w:left="1418"/>
        <w:jc w:val="both"/>
        <w:rPr>
          <w:rFonts w:ascii="Arial" w:eastAsia="Times New Roman" w:hAnsi="Arial" w:cs="Arial"/>
          <w:lang w:eastAsia="es-ES"/>
        </w:rPr>
      </w:pPr>
      <w:r w:rsidRPr="00A50DDE">
        <w:rPr>
          <w:rFonts w:ascii="Arial" w:eastAsia="Times New Roman" w:hAnsi="Arial" w:cs="Arial"/>
          <w:lang w:eastAsia="es-ES"/>
        </w:rPr>
        <w:t>En el caso que el administrado no subsane las observaciones efectuadas dentro del plazo otorgado o ampliado, se da por concluido el trámite, notificándose dicha decisión al administrado.</w:t>
      </w:r>
    </w:p>
    <w:p w:rsidR="00C0291C" w:rsidRDefault="00C0291C" w:rsidP="00E12642">
      <w:pPr>
        <w:spacing w:after="0" w:line="240" w:lineRule="auto"/>
        <w:ind w:left="851"/>
        <w:jc w:val="both"/>
        <w:rPr>
          <w:rFonts w:ascii="Arial" w:eastAsia="Times New Roman" w:hAnsi="Arial" w:cs="Arial"/>
          <w:lang w:eastAsia="es-ES"/>
        </w:rPr>
      </w:pPr>
    </w:p>
    <w:p w:rsidR="00A50DDE" w:rsidRPr="00C0291C" w:rsidRDefault="00A50DDE" w:rsidP="00E12642">
      <w:pPr>
        <w:spacing w:after="0" w:line="240" w:lineRule="auto"/>
        <w:ind w:left="851"/>
        <w:jc w:val="both"/>
        <w:rPr>
          <w:rFonts w:ascii="Arial" w:eastAsia="Times New Roman" w:hAnsi="Arial" w:cs="Arial"/>
          <w:lang w:eastAsia="es-ES"/>
        </w:rPr>
      </w:pPr>
    </w:p>
    <w:p w:rsidR="00C0291C" w:rsidRPr="00A50DDE" w:rsidRDefault="00C0291C" w:rsidP="00E12642">
      <w:pPr>
        <w:spacing w:after="0" w:line="240" w:lineRule="auto"/>
        <w:ind w:left="851"/>
        <w:jc w:val="both"/>
        <w:rPr>
          <w:rFonts w:ascii="Arial" w:eastAsia="Times New Roman" w:hAnsi="Arial" w:cs="Arial"/>
          <w:b/>
          <w:lang w:eastAsia="es-ES"/>
        </w:rPr>
      </w:pPr>
      <w:r w:rsidRPr="00C0291C">
        <w:rPr>
          <w:rFonts w:ascii="Arial" w:eastAsia="Times New Roman" w:hAnsi="Arial" w:cs="Arial"/>
          <w:lang w:eastAsia="es-ES"/>
        </w:rPr>
        <w:t xml:space="preserve"> </w:t>
      </w:r>
      <w:r w:rsidRPr="00A50DDE">
        <w:rPr>
          <w:rFonts w:ascii="Arial" w:eastAsia="Times New Roman" w:hAnsi="Arial" w:cs="Arial"/>
          <w:b/>
          <w:lang w:eastAsia="es-ES"/>
        </w:rPr>
        <w:t xml:space="preserve">Análisis de competencia </w:t>
      </w:r>
    </w:p>
    <w:p w:rsidR="00C0291C" w:rsidRDefault="00C0291C" w:rsidP="0092471C">
      <w:pPr>
        <w:pStyle w:val="Prrafodelista"/>
        <w:numPr>
          <w:ilvl w:val="1"/>
          <w:numId w:val="273"/>
        </w:numPr>
        <w:spacing w:after="0" w:line="240" w:lineRule="auto"/>
        <w:ind w:left="1418"/>
        <w:jc w:val="both"/>
        <w:rPr>
          <w:rFonts w:ascii="Arial" w:eastAsia="Times New Roman" w:hAnsi="Arial" w:cs="Arial"/>
          <w:lang w:eastAsia="es-ES"/>
        </w:rPr>
      </w:pPr>
      <w:r w:rsidRPr="00A50DDE">
        <w:rPr>
          <w:rFonts w:ascii="Arial" w:eastAsia="Times New Roman" w:hAnsi="Arial" w:cs="Arial"/>
          <w:lang w:eastAsia="es-ES"/>
        </w:rPr>
        <w:t xml:space="preserve">La unidad orgánica a cargo del trámite debe analizar si la servidumbre solicitada corresponde al presente procedimiento, o si es requerida para la ejecución de actividades bajo competencia de autoridades sectoriales, regulada por leyes especiales, en cuyo caso, procede la devolución de la solicitud y el archivo del expediente. </w:t>
      </w:r>
    </w:p>
    <w:p w:rsidR="00A50DDE" w:rsidRDefault="00A50DDE" w:rsidP="00A50DDE">
      <w:pPr>
        <w:pStyle w:val="Prrafodelista"/>
        <w:spacing w:after="0" w:line="240" w:lineRule="auto"/>
        <w:ind w:left="480"/>
        <w:jc w:val="both"/>
        <w:rPr>
          <w:rFonts w:ascii="Arial" w:eastAsia="Times New Roman" w:hAnsi="Arial" w:cs="Arial"/>
          <w:lang w:eastAsia="es-ES"/>
        </w:rPr>
      </w:pPr>
    </w:p>
    <w:p w:rsidR="00A50DDE" w:rsidRPr="00A50DDE" w:rsidRDefault="00A50DDE" w:rsidP="00A50DDE">
      <w:pPr>
        <w:spacing w:after="0" w:line="240" w:lineRule="auto"/>
        <w:ind w:left="851"/>
        <w:jc w:val="both"/>
        <w:rPr>
          <w:rFonts w:ascii="Arial" w:eastAsia="Times New Roman" w:hAnsi="Arial" w:cs="Arial"/>
          <w:b/>
          <w:lang w:eastAsia="es-ES"/>
        </w:rPr>
      </w:pPr>
      <w:r w:rsidRPr="00A50DDE">
        <w:rPr>
          <w:rFonts w:ascii="Arial" w:eastAsia="Times New Roman" w:hAnsi="Arial" w:cs="Arial"/>
          <w:b/>
          <w:lang w:eastAsia="es-ES"/>
        </w:rPr>
        <w:t xml:space="preserve">Diagnóstico Técnico Legal del predio </w:t>
      </w:r>
    </w:p>
    <w:p w:rsidR="00A50DDE" w:rsidRPr="00A50DDE" w:rsidRDefault="00A50DDE" w:rsidP="00A50DDE">
      <w:pPr>
        <w:pStyle w:val="Prrafodelista"/>
        <w:spacing w:after="0" w:line="240" w:lineRule="auto"/>
        <w:ind w:left="480"/>
        <w:jc w:val="both"/>
        <w:rPr>
          <w:rFonts w:ascii="Arial" w:eastAsia="Times New Roman" w:hAnsi="Arial" w:cs="Arial"/>
          <w:lang w:eastAsia="es-ES"/>
        </w:rPr>
      </w:pPr>
    </w:p>
    <w:p w:rsidR="00C0291C" w:rsidRDefault="00C0291C" w:rsidP="0092471C">
      <w:pPr>
        <w:pStyle w:val="Prrafodelista"/>
        <w:numPr>
          <w:ilvl w:val="1"/>
          <w:numId w:val="273"/>
        </w:numPr>
        <w:spacing w:after="0" w:line="240" w:lineRule="auto"/>
        <w:ind w:left="1418"/>
        <w:jc w:val="both"/>
        <w:rPr>
          <w:rFonts w:ascii="Arial" w:eastAsia="Times New Roman" w:hAnsi="Arial" w:cs="Arial"/>
          <w:lang w:eastAsia="es-ES"/>
        </w:rPr>
      </w:pPr>
      <w:r w:rsidRPr="00A50DDE">
        <w:rPr>
          <w:rFonts w:ascii="Arial" w:eastAsia="Times New Roman" w:hAnsi="Arial" w:cs="Arial"/>
          <w:lang w:eastAsia="es-ES"/>
        </w:rPr>
        <w:t>Con la información proporcionada por el administrado, así como con la información que se solicite a las entidades públicas y privadas que permita verificar la situación físico-legal del predio solicitado, de ser necesaria, la SDAPE o la unidad orgánica competente, previa inspección técnica, procede a determinar la condición jurídica del predio y su no inclusión dentro de un régimen legal especial para la administración o disposición del mismo, teniendo en consideración, si la servidumbre solicitada es compatible con algún otro derecho existente sobre el predio.</w:t>
      </w:r>
    </w:p>
    <w:p w:rsidR="00A50DDE" w:rsidRDefault="00A50DDE" w:rsidP="00A50DDE">
      <w:pPr>
        <w:pStyle w:val="Prrafodelista"/>
        <w:spacing w:after="0" w:line="240" w:lineRule="auto"/>
        <w:ind w:left="1418"/>
        <w:jc w:val="both"/>
        <w:rPr>
          <w:rFonts w:ascii="Arial" w:eastAsia="Times New Roman" w:hAnsi="Arial" w:cs="Arial"/>
          <w:lang w:eastAsia="es-ES"/>
        </w:rPr>
      </w:pPr>
    </w:p>
    <w:p w:rsidR="00C0291C" w:rsidRDefault="00C0291C" w:rsidP="00A50DDE">
      <w:pPr>
        <w:pStyle w:val="Prrafodelista"/>
        <w:spacing w:after="0" w:line="240" w:lineRule="auto"/>
        <w:ind w:left="1418"/>
        <w:jc w:val="both"/>
        <w:rPr>
          <w:rFonts w:ascii="Arial" w:eastAsia="Times New Roman" w:hAnsi="Arial" w:cs="Arial"/>
          <w:lang w:eastAsia="es-ES"/>
        </w:rPr>
      </w:pPr>
      <w:r w:rsidRPr="00A50DDE">
        <w:rPr>
          <w:rFonts w:ascii="Arial" w:eastAsia="Times New Roman" w:hAnsi="Arial" w:cs="Arial"/>
          <w:lang w:eastAsia="es-ES"/>
        </w:rPr>
        <w:t xml:space="preserve">Si se advierte que el predio constituye propiedad privada o presenta cualquier restricción o situación incompatible con la servidumbre solicitada se dará por concluido el trámite, notificándose dicha decisión al administrado. De lo contrario, se continúa con el procedimiento. </w:t>
      </w:r>
    </w:p>
    <w:p w:rsidR="00A50DDE" w:rsidRDefault="00A50DDE" w:rsidP="00A50DDE">
      <w:pPr>
        <w:pStyle w:val="Prrafodelista"/>
        <w:spacing w:after="0" w:line="240" w:lineRule="auto"/>
        <w:ind w:left="1418"/>
        <w:jc w:val="both"/>
        <w:rPr>
          <w:rFonts w:ascii="Arial" w:eastAsia="Times New Roman" w:hAnsi="Arial" w:cs="Arial"/>
          <w:lang w:eastAsia="es-ES"/>
        </w:rPr>
      </w:pPr>
    </w:p>
    <w:p w:rsidR="00A50DDE" w:rsidRPr="00A50DDE" w:rsidRDefault="00A50DDE" w:rsidP="00A50DDE">
      <w:pPr>
        <w:spacing w:after="0" w:line="240" w:lineRule="auto"/>
        <w:ind w:left="851"/>
        <w:jc w:val="both"/>
        <w:rPr>
          <w:rFonts w:ascii="Arial" w:eastAsia="Times New Roman" w:hAnsi="Arial" w:cs="Arial"/>
          <w:b/>
          <w:lang w:eastAsia="es-ES"/>
        </w:rPr>
      </w:pPr>
      <w:r w:rsidRPr="00A50DDE">
        <w:rPr>
          <w:rFonts w:ascii="Arial" w:eastAsia="Times New Roman" w:hAnsi="Arial" w:cs="Arial"/>
          <w:b/>
          <w:lang w:eastAsia="es-ES"/>
        </w:rPr>
        <w:t>Valorización para la servidumbre</w:t>
      </w:r>
    </w:p>
    <w:p w:rsidR="00A50DDE" w:rsidRPr="00A50DDE" w:rsidRDefault="00A50DDE" w:rsidP="00A50DDE">
      <w:pPr>
        <w:pStyle w:val="Prrafodelista"/>
        <w:rPr>
          <w:rFonts w:ascii="Arial" w:eastAsia="Times New Roman" w:hAnsi="Arial" w:cs="Arial"/>
          <w:lang w:eastAsia="es-ES"/>
        </w:rPr>
      </w:pPr>
    </w:p>
    <w:p w:rsidR="00C0291C" w:rsidRDefault="00C0291C" w:rsidP="0092471C">
      <w:pPr>
        <w:pStyle w:val="Prrafodelista"/>
        <w:numPr>
          <w:ilvl w:val="1"/>
          <w:numId w:val="273"/>
        </w:numPr>
        <w:spacing w:after="0" w:line="240" w:lineRule="auto"/>
        <w:ind w:left="1418"/>
        <w:jc w:val="both"/>
        <w:rPr>
          <w:rFonts w:ascii="Arial" w:eastAsia="Times New Roman" w:hAnsi="Arial" w:cs="Arial"/>
          <w:lang w:eastAsia="es-ES"/>
        </w:rPr>
      </w:pPr>
      <w:r w:rsidRPr="00A50DDE">
        <w:rPr>
          <w:rFonts w:ascii="Arial" w:eastAsia="Times New Roman" w:hAnsi="Arial" w:cs="Arial"/>
          <w:lang w:eastAsia="es-ES"/>
        </w:rPr>
        <w:t xml:space="preserve">La valorización comercial del predio para fines de la servidumbre es efectuada preferentemente por un organismo especializado en tasaciones con reconocida y acreditada experiencia, pudiendo ser efectuada por un perito tasador debidamente acreditado o por la unidad orgánica de la entidad pública que sustenta el procedimiento, de acuerdo a lo dispuesto por el artículo 36º del Reglamento. </w:t>
      </w:r>
    </w:p>
    <w:p w:rsidR="00A50DDE" w:rsidRDefault="00A50DDE" w:rsidP="00A50DDE">
      <w:pPr>
        <w:pStyle w:val="Prrafodelista"/>
        <w:spacing w:after="0" w:line="240" w:lineRule="auto"/>
        <w:ind w:left="1418"/>
        <w:jc w:val="both"/>
        <w:rPr>
          <w:rFonts w:ascii="Arial" w:eastAsia="Times New Roman" w:hAnsi="Arial" w:cs="Arial"/>
          <w:lang w:eastAsia="es-ES"/>
        </w:rPr>
      </w:pPr>
    </w:p>
    <w:p w:rsidR="00C0291C" w:rsidRDefault="00C0291C" w:rsidP="00A50DDE">
      <w:pPr>
        <w:pStyle w:val="Prrafodelista"/>
        <w:spacing w:after="0" w:line="240" w:lineRule="auto"/>
        <w:ind w:left="1418"/>
        <w:jc w:val="both"/>
        <w:rPr>
          <w:rFonts w:ascii="Arial" w:eastAsia="Times New Roman" w:hAnsi="Arial" w:cs="Arial"/>
          <w:lang w:eastAsia="es-ES"/>
        </w:rPr>
      </w:pPr>
      <w:r w:rsidRPr="00A50DDE">
        <w:rPr>
          <w:rFonts w:ascii="Arial" w:eastAsia="Times New Roman" w:hAnsi="Arial" w:cs="Arial"/>
          <w:lang w:eastAsia="es-ES"/>
        </w:rPr>
        <w:t xml:space="preserve">La contratación de los servicios de tasación comercial se efectúa conforme a las Directivas o Lineamientos internos con que cuenta cada entidad, respetando los principios básicos de las contrataciones del Estado. </w:t>
      </w:r>
    </w:p>
    <w:p w:rsidR="00A50DDE" w:rsidRPr="00A50DDE" w:rsidRDefault="00A50DDE" w:rsidP="00A50DDE">
      <w:pPr>
        <w:pStyle w:val="Prrafodelista"/>
        <w:rPr>
          <w:rFonts w:ascii="Arial" w:eastAsia="Times New Roman" w:hAnsi="Arial" w:cs="Arial"/>
          <w:lang w:eastAsia="es-ES"/>
        </w:rPr>
      </w:pPr>
    </w:p>
    <w:p w:rsidR="00C0291C" w:rsidRDefault="00C0291C" w:rsidP="00A50DDE">
      <w:pPr>
        <w:pStyle w:val="Prrafodelista"/>
        <w:spacing w:after="0" w:line="240" w:lineRule="auto"/>
        <w:ind w:left="1418"/>
        <w:jc w:val="both"/>
        <w:rPr>
          <w:rFonts w:ascii="Arial" w:eastAsia="Times New Roman" w:hAnsi="Arial" w:cs="Arial"/>
          <w:lang w:eastAsia="es-ES"/>
        </w:rPr>
      </w:pPr>
      <w:r w:rsidRPr="00A50DDE">
        <w:rPr>
          <w:rFonts w:ascii="Arial" w:eastAsia="Times New Roman" w:hAnsi="Arial" w:cs="Arial"/>
          <w:lang w:eastAsia="es-ES"/>
        </w:rPr>
        <w:t xml:space="preserve">Cuando la valorización comercial es elaborada por un organismo especializado o perito tasador, el servicio de tasación es cancelado por el administrado, dentro del plazo de diez (10) días hábiles, de recibida la comunicación efectuada por la unidad orgánica competente de la entidad propietaria, Gobierno Regional con funciones transferidas o delegadas, o de la SDAPE, en  caso de los predios a cargo de la SBN. </w:t>
      </w:r>
    </w:p>
    <w:p w:rsidR="00A50DDE" w:rsidRPr="00A50DDE" w:rsidRDefault="00A50DDE" w:rsidP="00A50DDE">
      <w:pPr>
        <w:pStyle w:val="Prrafodelista"/>
        <w:rPr>
          <w:rFonts w:ascii="Arial" w:eastAsia="Times New Roman" w:hAnsi="Arial" w:cs="Arial"/>
          <w:lang w:eastAsia="es-ES"/>
        </w:rPr>
      </w:pPr>
    </w:p>
    <w:p w:rsidR="00C0291C" w:rsidRDefault="00C0291C" w:rsidP="00A50DDE">
      <w:pPr>
        <w:pStyle w:val="Prrafodelista"/>
        <w:spacing w:after="0" w:line="240" w:lineRule="auto"/>
        <w:ind w:left="1418"/>
        <w:jc w:val="both"/>
        <w:rPr>
          <w:rFonts w:ascii="Arial" w:eastAsia="Times New Roman" w:hAnsi="Arial" w:cs="Arial"/>
          <w:lang w:eastAsia="es-ES"/>
        </w:rPr>
      </w:pPr>
      <w:r w:rsidRPr="00A50DDE">
        <w:rPr>
          <w:rFonts w:ascii="Arial" w:eastAsia="Times New Roman" w:hAnsi="Arial" w:cs="Arial"/>
          <w:lang w:eastAsia="es-ES"/>
        </w:rPr>
        <w:t xml:space="preserve">En caso que no se cancele la tasación dentro del plazo indicado, se dará por concluido el procedimiento de servidumbre. </w:t>
      </w:r>
    </w:p>
    <w:p w:rsidR="00A50DDE" w:rsidRPr="00A50DDE" w:rsidRDefault="00A50DDE" w:rsidP="00A50DDE">
      <w:pPr>
        <w:pStyle w:val="Prrafodelista"/>
        <w:rPr>
          <w:rFonts w:ascii="Arial" w:eastAsia="Times New Roman" w:hAnsi="Arial" w:cs="Arial"/>
          <w:lang w:eastAsia="es-ES"/>
        </w:rPr>
      </w:pPr>
    </w:p>
    <w:p w:rsidR="00C0291C" w:rsidRDefault="00C0291C" w:rsidP="00A50DDE">
      <w:pPr>
        <w:pStyle w:val="Prrafodelista"/>
        <w:spacing w:after="0" w:line="240" w:lineRule="auto"/>
        <w:ind w:left="1418"/>
        <w:jc w:val="both"/>
        <w:rPr>
          <w:rFonts w:ascii="Arial" w:eastAsia="Times New Roman" w:hAnsi="Arial" w:cs="Arial"/>
          <w:lang w:eastAsia="es-ES"/>
        </w:rPr>
      </w:pPr>
      <w:r w:rsidRPr="00A50DDE">
        <w:rPr>
          <w:rFonts w:ascii="Arial" w:eastAsia="Times New Roman" w:hAnsi="Arial" w:cs="Arial"/>
          <w:lang w:eastAsia="es-ES"/>
        </w:rPr>
        <w:t>Si se hubiera realizado la entrega provisional del predio, de conformidad con lo establecido en el artículo 49-A del Reglamento, en la valorización de la contraprestación se debe considerar el monto que corresponde pagar al administrado, desde la fecha en que fue recibido el predio mediante la respectiva acta de entrega- recepción.  En el caso de una renovación, en la valorización de la contraprestación se debe considerar el monto que corresponde pagar al administrado desde el día siguiente del ve</w:t>
      </w:r>
      <w:r w:rsidR="00A50DDE">
        <w:rPr>
          <w:rFonts w:ascii="Arial" w:eastAsia="Times New Roman" w:hAnsi="Arial" w:cs="Arial"/>
          <w:lang w:eastAsia="es-ES"/>
        </w:rPr>
        <w:t>ncimiento del contrato anterior.</w:t>
      </w:r>
    </w:p>
    <w:p w:rsidR="00A50DDE" w:rsidRPr="00A50DDE" w:rsidRDefault="00A50DDE" w:rsidP="00A50DDE">
      <w:pPr>
        <w:pStyle w:val="Prrafodelista"/>
        <w:rPr>
          <w:rFonts w:ascii="Arial" w:eastAsia="Times New Roman" w:hAnsi="Arial" w:cs="Arial"/>
          <w:lang w:eastAsia="es-ES"/>
        </w:rPr>
      </w:pPr>
    </w:p>
    <w:p w:rsidR="00C0291C" w:rsidRDefault="00C0291C" w:rsidP="00A50DDE">
      <w:pPr>
        <w:pStyle w:val="Prrafodelista"/>
        <w:spacing w:after="0" w:line="240" w:lineRule="auto"/>
        <w:ind w:left="1418"/>
        <w:jc w:val="both"/>
        <w:rPr>
          <w:rFonts w:ascii="Arial" w:eastAsia="Times New Roman" w:hAnsi="Arial" w:cs="Arial"/>
          <w:lang w:eastAsia="es-ES"/>
        </w:rPr>
      </w:pPr>
      <w:r w:rsidRPr="00A50DDE">
        <w:rPr>
          <w:rFonts w:ascii="Arial" w:eastAsia="Times New Roman" w:hAnsi="Arial" w:cs="Arial"/>
          <w:lang w:eastAsia="es-ES"/>
        </w:rPr>
        <w:t xml:space="preserve">El tasador a cargo de la valuación presenta un informe de la valorización comercial y el estudio de mercado, con la debida fundamentación de su utilización en la tasación efectuada. </w:t>
      </w:r>
    </w:p>
    <w:p w:rsidR="00A50DDE" w:rsidRPr="00A50DDE" w:rsidRDefault="00A50DDE" w:rsidP="00A50DDE">
      <w:pPr>
        <w:pStyle w:val="Prrafodelista"/>
        <w:rPr>
          <w:rFonts w:ascii="Arial" w:eastAsia="Times New Roman" w:hAnsi="Arial" w:cs="Arial"/>
          <w:lang w:eastAsia="es-ES"/>
        </w:rPr>
      </w:pPr>
    </w:p>
    <w:p w:rsidR="00C0291C" w:rsidRDefault="00C0291C" w:rsidP="00A50DDE">
      <w:pPr>
        <w:pStyle w:val="Prrafodelista"/>
        <w:spacing w:after="0" w:line="240" w:lineRule="auto"/>
        <w:ind w:left="1418"/>
        <w:jc w:val="both"/>
        <w:rPr>
          <w:rFonts w:ascii="Arial" w:eastAsia="Times New Roman" w:hAnsi="Arial" w:cs="Arial"/>
          <w:lang w:eastAsia="es-ES"/>
        </w:rPr>
      </w:pPr>
      <w:r w:rsidRPr="00A50DDE">
        <w:rPr>
          <w:rFonts w:ascii="Arial" w:eastAsia="Times New Roman" w:hAnsi="Arial" w:cs="Arial"/>
          <w:lang w:eastAsia="es-ES"/>
        </w:rPr>
        <w:t>La unidad orgánica competente de la entidad a cargo del trámite, evalúa y da la conformidad al procedimiento y al estudio de mercado de la tasación efectuada, en un plazo no mayor de diez (10) días hábiles desde su recepción. De requerir alguna aclaración o corrección de la valorización, la pondrá en conocimiento del responsable de la tasación, a fin que se ratifique o la modifique, dentro del plazo de diez (10) días hábiles.</w:t>
      </w:r>
    </w:p>
    <w:p w:rsidR="00A50DDE" w:rsidRPr="00A50DDE" w:rsidRDefault="00A50DDE" w:rsidP="00A50DDE">
      <w:pPr>
        <w:pStyle w:val="Prrafodelista"/>
        <w:rPr>
          <w:rFonts w:ascii="Arial" w:eastAsia="Times New Roman" w:hAnsi="Arial" w:cs="Arial"/>
          <w:lang w:eastAsia="es-ES"/>
        </w:rPr>
      </w:pPr>
    </w:p>
    <w:p w:rsidR="00C0291C" w:rsidRDefault="00C0291C" w:rsidP="00A50DDE">
      <w:pPr>
        <w:pStyle w:val="Prrafodelista"/>
        <w:spacing w:after="0" w:line="240" w:lineRule="auto"/>
        <w:ind w:left="1418"/>
        <w:jc w:val="both"/>
        <w:rPr>
          <w:rFonts w:ascii="Arial" w:eastAsia="Times New Roman" w:hAnsi="Arial" w:cs="Arial"/>
          <w:lang w:eastAsia="es-ES"/>
        </w:rPr>
      </w:pPr>
      <w:r w:rsidRPr="00A50DDE">
        <w:rPr>
          <w:rFonts w:ascii="Arial" w:eastAsia="Times New Roman" w:hAnsi="Arial" w:cs="Arial"/>
          <w:lang w:eastAsia="es-ES"/>
        </w:rPr>
        <w:t xml:space="preserve">Una vez aprobada la valorización, se notifica al administrado el valor de la contraprestación por la servidumbre, adjuntando copia de la misma, a efectos que manifieste su aceptación en el plazo de cinco (05) días hábiles, contados desde el día siguiente de recibida la comunicación. </w:t>
      </w:r>
    </w:p>
    <w:p w:rsidR="00A50DDE" w:rsidRPr="00A50DDE" w:rsidRDefault="00A50DDE" w:rsidP="00A50DDE">
      <w:pPr>
        <w:pStyle w:val="Prrafodelista"/>
        <w:rPr>
          <w:rFonts w:ascii="Arial" w:eastAsia="Times New Roman" w:hAnsi="Arial" w:cs="Arial"/>
          <w:lang w:eastAsia="es-ES"/>
        </w:rPr>
      </w:pPr>
    </w:p>
    <w:p w:rsidR="00C0291C" w:rsidRDefault="00C0291C" w:rsidP="00A50DDE">
      <w:pPr>
        <w:pStyle w:val="Prrafodelista"/>
        <w:spacing w:after="0" w:line="240" w:lineRule="auto"/>
        <w:ind w:left="1418"/>
        <w:jc w:val="both"/>
        <w:rPr>
          <w:rFonts w:ascii="Arial" w:eastAsia="Times New Roman" w:hAnsi="Arial" w:cs="Arial"/>
          <w:lang w:eastAsia="es-ES"/>
        </w:rPr>
      </w:pPr>
      <w:r w:rsidRPr="00A50DDE">
        <w:rPr>
          <w:rFonts w:ascii="Arial" w:eastAsia="Times New Roman" w:hAnsi="Arial" w:cs="Arial"/>
          <w:lang w:eastAsia="es-ES"/>
        </w:rPr>
        <w:t xml:space="preserve">En la comunicación, además se hace llegar la propuesta de la forma de pago de la contraprestación por la servidumbre. </w:t>
      </w:r>
    </w:p>
    <w:p w:rsidR="00A50DDE" w:rsidRPr="00A50DDE" w:rsidRDefault="00A50DDE" w:rsidP="00A50DDE">
      <w:pPr>
        <w:pStyle w:val="Prrafodelista"/>
        <w:rPr>
          <w:rFonts w:ascii="Arial" w:eastAsia="Times New Roman" w:hAnsi="Arial" w:cs="Arial"/>
          <w:lang w:eastAsia="es-ES"/>
        </w:rPr>
      </w:pPr>
    </w:p>
    <w:p w:rsidR="00C0291C" w:rsidRDefault="00C0291C" w:rsidP="00A50DDE">
      <w:pPr>
        <w:pStyle w:val="Prrafodelista"/>
        <w:spacing w:after="0" w:line="240" w:lineRule="auto"/>
        <w:ind w:left="1418"/>
        <w:jc w:val="both"/>
        <w:rPr>
          <w:rFonts w:ascii="Arial" w:eastAsia="Times New Roman" w:hAnsi="Arial" w:cs="Arial"/>
          <w:lang w:eastAsia="es-ES"/>
        </w:rPr>
      </w:pPr>
      <w:r w:rsidRPr="00A50DDE">
        <w:rPr>
          <w:rFonts w:ascii="Arial" w:eastAsia="Times New Roman" w:hAnsi="Arial" w:cs="Arial"/>
          <w:lang w:eastAsia="es-ES"/>
        </w:rPr>
        <w:t>El administrado únicamente puede requerir la aclaración o la corrección de errores materiales.</w:t>
      </w:r>
    </w:p>
    <w:p w:rsidR="00A50DDE" w:rsidRPr="00A50DDE" w:rsidRDefault="00A50DDE" w:rsidP="00A50DDE">
      <w:pPr>
        <w:pStyle w:val="Prrafodelista"/>
        <w:rPr>
          <w:rFonts w:ascii="Arial" w:eastAsia="Times New Roman" w:hAnsi="Arial" w:cs="Arial"/>
          <w:lang w:eastAsia="es-ES"/>
        </w:rPr>
      </w:pPr>
    </w:p>
    <w:p w:rsidR="00C0291C" w:rsidRDefault="00C0291C" w:rsidP="0092471C">
      <w:pPr>
        <w:pStyle w:val="Prrafodelista"/>
        <w:numPr>
          <w:ilvl w:val="1"/>
          <w:numId w:val="273"/>
        </w:numPr>
        <w:spacing w:after="0" w:line="240" w:lineRule="auto"/>
        <w:ind w:left="1418"/>
        <w:jc w:val="both"/>
        <w:rPr>
          <w:rFonts w:ascii="Arial" w:eastAsia="Times New Roman" w:hAnsi="Arial" w:cs="Arial"/>
          <w:lang w:eastAsia="es-ES"/>
        </w:rPr>
      </w:pPr>
      <w:r w:rsidRPr="00A50DDE">
        <w:rPr>
          <w:rFonts w:ascii="Arial" w:eastAsia="Times New Roman" w:hAnsi="Arial" w:cs="Arial"/>
          <w:lang w:eastAsia="es-ES"/>
        </w:rPr>
        <w:t xml:space="preserve">Transcurrido el plazo de notificación de la valorización comercial sin que se produzca la aceptación por el administrado, la SDAPE en el caso de la SBN o la unidad orgánica competente, según corresponda, concluye el procedimiento y archiva el expediente.  </w:t>
      </w:r>
    </w:p>
    <w:p w:rsidR="00A50DDE" w:rsidRPr="00A50DDE" w:rsidRDefault="00A50DDE" w:rsidP="00A50DDE">
      <w:pPr>
        <w:pStyle w:val="Prrafodelista"/>
        <w:rPr>
          <w:rFonts w:ascii="Arial" w:eastAsia="Times New Roman" w:hAnsi="Arial" w:cs="Arial"/>
          <w:lang w:eastAsia="es-ES"/>
        </w:rPr>
      </w:pPr>
    </w:p>
    <w:p w:rsidR="00C0291C" w:rsidRDefault="00C0291C" w:rsidP="00A50DDE">
      <w:pPr>
        <w:pStyle w:val="Prrafodelista"/>
        <w:spacing w:after="0" w:line="240" w:lineRule="auto"/>
        <w:ind w:left="1418"/>
        <w:jc w:val="both"/>
        <w:rPr>
          <w:rFonts w:ascii="Arial" w:eastAsia="Times New Roman" w:hAnsi="Arial" w:cs="Arial"/>
          <w:lang w:eastAsia="es-ES"/>
        </w:rPr>
      </w:pPr>
      <w:r w:rsidRPr="00A50DDE">
        <w:rPr>
          <w:rFonts w:ascii="Arial" w:eastAsia="Times New Roman" w:hAnsi="Arial" w:cs="Arial"/>
          <w:lang w:eastAsia="es-ES"/>
        </w:rPr>
        <w:t>En caso se hubiera efectuado la entrega provisional, ésta se deja sin efecto, requiriéndose al administrado la devolución del predio, así como el pago del monto que corresponda, desde la fecha en que fue recibido el predio mediante la respectiva Acta de Entrega – Recepción</w:t>
      </w:r>
    </w:p>
    <w:p w:rsidR="00A50DDE" w:rsidRPr="00A50DDE" w:rsidRDefault="00A50DDE" w:rsidP="00A50DDE">
      <w:pPr>
        <w:pStyle w:val="Prrafodelista"/>
        <w:rPr>
          <w:rFonts w:ascii="Arial" w:eastAsia="Times New Roman" w:hAnsi="Arial" w:cs="Arial"/>
          <w:b/>
          <w:lang w:eastAsia="es-ES"/>
        </w:rPr>
      </w:pPr>
    </w:p>
    <w:p w:rsidR="00A50DDE" w:rsidRPr="00A50DDE" w:rsidRDefault="00A50DDE" w:rsidP="00A50DDE">
      <w:pPr>
        <w:spacing w:after="0" w:line="240" w:lineRule="auto"/>
        <w:ind w:left="851"/>
        <w:jc w:val="both"/>
        <w:rPr>
          <w:rFonts w:ascii="Arial" w:eastAsia="Times New Roman" w:hAnsi="Arial" w:cs="Arial"/>
          <w:b/>
          <w:lang w:eastAsia="es-ES"/>
        </w:rPr>
      </w:pPr>
      <w:r w:rsidRPr="00A50DDE">
        <w:rPr>
          <w:rFonts w:ascii="Arial" w:eastAsia="Times New Roman" w:hAnsi="Arial" w:cs="Arial"/>
          <w:b/>
          <w:lang w:eastAsia="es-ES"/>
        </w:rPr>
        <w:t xml:space="preserve">Vigencia de la valorización </w:t>
      </w:r>
    </w:p>
    <w:p w:rsidR="00A50DDE" w:rsidRPr="00A50DDE" w:rsidRDefault="00A50DDE" w:rsidP="00A50DDE">
      <w:pPr>
        <w:pStyle w:val="Prrafodelista"/>
        <w:rPr>
          <w:rFonts w:ascii="Arial" w:eastAsia="Times New Roman" w:hAnsi="Arial" w:cs="Arial"/>
          <w:lang w:eastAsia="es-ES"/>
        </w:rPr>
      </w:pPr>
    </w:p>
    <w:p w:rsidR="00C0291C" w:rsidRDefault="00C0291C" w:rsidP="0092471C">
      <w:pPr>
        <w:pStyle w:val="Prrafodelista"/>
        <w:numPr>
          <w:ilvl w:val="1"/>
          <w:numId w:val="273"/>
        </w:numPr>
        <w:spacing w:after="0" w:line="240" w:lineRule="auto"/>
        <w:ind w:left="1701" w:hanging="708"/>
        <w:jc w:val="both"/>
        <w:rPr>
          <w:rFonts w:ascii="Arial" w:eastAsia="Times New Roman" w:hAnsi="Arial" w:cs="Arial"/>
          <w:lang w:eastAsia="es-ES"/>
        </w:rPr>
      </w:pPr>
      <w:r w:rsidRPr="00A50DDE">
        <w:rPr>
          <w:rFonts w:ascii="Arial" w:eastAsia="Times New Roman" w:hAnsi="Arial" w:cs="Arial"/>
          <w:lang w:eastAsia="es-ES"/>
        </w:rPr>
        <w:t xml:space="preserve">La valorización tiene un plazo de ocho (08) meses de vigencia, por lo que, de transcurrir dicho plazo antes de la aprobación de la servidumbre, se debe efectuar una nueva valorización, la que tendrá una vigencia igual al plazo antes indicado. En caso que dicho plazo haya transcurrido por causas atribuibles al administrado, corresponde que éste cancele la nueva valorización. </w:t>
      </w:r>
    </w:p>
    <w:p w:rsidR="00A50DDE" w:rsidRDefault="00A50DDE" w:rsidP="00A50DDE">
      <w:pPr>
        <w:pStyle w:val="Prrafodelista"/>
        <w:spacing w:after="0" w:line="240" w:lineRule="auto"/>
        <w:ind w:left="1701"/>
        <w:jc w:val="both"/>
        <w:rPr>
          <w:rFonts w:ascii="Arial" w:eastAsia="Times New Roman" w:hAnsi="Arial" w:cs="Arial"/>
          <w:lang w:eastAsia="es-ES"/>
        </w:rPr>
      </w:pPr>
    </w:p>
    <w:p w:rsidR="00A50DDE" w:rsidRPr="00A50DDE" w:rsidRDefault="00A50DDE" w:rsidP="00A50DDE">
      <w:pPr>
        <w:spacing w:after="0" w:line="240" w:lineRule="auto"/>
        <w:ind w:left="851"/>
        <w:jc w:val="both"/>
        <w:rPr>
          <w:rFonts w:ascii="Arial" w:eastAsia="Times New Roman" w:hAnsi="Arial" w:cs="Arial"/>
          <w:b/>
          <w:lang w:eastAsia="es-ES"/>
        </w:rPr>
      </w:pPr>
      <w:r w:rsidRPr="00A50DDE">
        <w:rPr>
          <w:rFonts w:ascii="Arial" w:eastAsia="Times New Roman" w:hAnsi="Arial" w:cs="Arial"/>
          <w:b/>
          <w:lang w:eastAsia="es-ES"/>
        </w:rPr>
        <w:t>Informe Técnico Legal</w:t>
      </w:r>
    </w:p>
    <w:p w:rsidR="00A50DDE" w:rsidRDefault="00A50DDE" w:rsidP="00A50DDE">
      <w:pPr>
        <w:pStyle w:val="Prrafodelista"/>
        <w:spacing w:after="0" w:line="240" w:lineRule="auto"/>
        <w:ind w:left="1701"/>
        <w:jc w:val="both"/>
        <w:rPr>
          <w:rFonts w:ascii="Arial" w:eastAsia="Times New Roman" w:hAnsi="Arial" w:cs="Arial"/>
          <w:lang w:eastAsia="es-ES"/>
        </w:rPr>
      </w:pPr>
    </w:p>
    <w:p w:rsidR="00C0291C" w:rsidRDefault="00C0291C" w:rsidP="0092471C">
      <w:pPr>
        <w:pStyle w:val="Prrafodelista"/>
        <w:numPr>
          <w:ilvl w:val="1"/>
          <w:numId w:val="273"/>
        </w:numPr>
        <w:spacing w:after="0" w:line="240" w:lineRule="auto"/>
        <w:ind w:left="1701" w:hanging="708"/>
        <w:jc w:val="both"/>
        <w:rPr>
          <w:rFonts w:ascii="Arial" w:eastAsia="Times New Roman" w:hAnsi="Arial" w:cs="Arial"/>
          <w:lang w:eastAsia="es-ES"/>
        </w:rPr>
      </w:pPr>
      <w:r w:rsidRPr="00A50DDE">
        <w:rPr>
          <w:rFonts w:ascii="Arial" w:eastAsia="Times New Roman" w:hAnsi="Arial" w:cs="Arial"/>
          <w:lang w:eastAsia="es-ES"/>
        </w:rPr>
        <w:t>Con la conformidad de la tasación del predio materia de servidumbre se procede a la elaboración del Informe Técnico-Legal que sustenta la constitución del derecho de servidumbre.</w:t>
      </w:r>
    </w:p>
    <w:p w:rsidR="00A50DDE" w:rsidRDefault="00A50DDE" w:rsidP="00A50DDE">
      <w:pPr>
        <w:pStyle w:val="Prrafodelista"/>
        <w:spacing w:after="0" w:line="240" w:lineRule="auto"/>
        <w:ind w:left="1701"/>
        <w:jc w:val="both"/>
        <w:rPr>
          <w:rFonts w:ascii="Arial" w:eastAsia="Times New Roman" w:hAnsi="Arial" w:cs="Arial"/>
          <w:lang w:eastAsia="es-ES"/>
        </w:rPr>
      </w:pPr>
    </w:p>
    <w:p w:rsidR="00C0291C" w:rsidRDefault="00C0291C" w:rsidP="00A50DDE">
      <w:pPr>
        <w:pStyle w:val="Prrafodelista"/>
        <w:spacing w:after="0" w:line="240" w:lineRule="auto"/>
        <w:ind w:left="1701"/>
        <w:jc w:val="both"/>
        <w:rPr>
          <w:rFonts w:ascii="Arial" w:eastAsia="Times New Roman" w:hAnsi="Arial" w:cs="Arial"/>
          <w:lang w:eastAsia="es-ES"/>
        </w:rPr>
      </w:pPr>
      <w:r w:rsidRPr="00A50DDE">
        <w:rPr>
          <w:rFonts w:ascii="Arial" w:eastAsia="Times New Roman" w:hAnsi="Arial" w:cs="Arial"/>
          <w:lang w:eastAsia="es-ES"/>
        </w:rPr>
        <w:t xml:space="preserve">El Informe Técnico-Legal es elaborado por el (los) profesional(es) de la unidad orgánica responsable(s) de la tramitación y evaluación del procedimiento, y debe contener el análisis y la fundamentación respectiva conforme a lo establecido por el artículo 34º del Reglamento, adjuntando el proyecto de Resolución que aprueba el otorgamiento de la servidumbre, suscrito por el jefe de la unidad orgánica competente, así como el proyecto de contrato. </w:t>
      </w:r>
    </w:p>
    <w:p w:rsidR="00A50DDE" w:rsidRDefault="00A50DDE" w:rsidP="00A50DDE">
      <w:pPr>
        <w:pStyle w:val="Prrafodelista"/>
        <w:spacing w:after="0" w:line="240" w:lineRule="auto"/>
        <w:ind w:left="480"/>
        <w:jc w:val="both"/>
        <w:rPr>
          <w:rFonts w:ascii="Arial" w:eastAsia="Times New Roman" w:hAnsi="Arial" w:cs="Arial"/>
          <w:lang w:eastAsia="es-ES"/>
        </w:rPr>
      </w:pPr>
    </w:p>
    <w:p w:rsidR="00A50DDE" w:rsidRPr="00A50DDE" w:rsidRDefault="00A50DDE" w:rsidP="00A50DDE">
      <w:pPr>
        <w:pStyle w:val="Prrafodelista"/>
        <w:spacing w:after="0" w:line="240" w:lineRule="auto"/>
        <w:ind w:left="851"/>
        <w:jc w:val="both"/>
        <w:rPr>
          <w:rFonts w:ascii="Arial" w:eastAsia="Times New Roman" w:hAnsi="Arial" w:cs="Arial"/>
          <w:b/>
          <w:lang w:eastAsia="es-ES"/>
        </w:rPr>
      </w:pPr>
      <w:r w:rsidRPr="00A50DDE">
        <w:rPr>
          <w:rFonts w:ascii="Arial" w:eastAsia="Times New Roman" w:hAnsi="Arial" w:cs="Arial"/>
          <w:b/>
          <w:lang w:eastAsia="es-ES"/>
        </w:rPr>
        <w:t>Expedición de la resolución</w:t>
      </w:r>
    </w:p>
    <w:p w:rsidR="00A50DDE" w:rsidRPr="00A50DDE" w:rsidRDefault="00A50DDE" w:rsidP="00A50DDE">
      <w:pPr>
        <w:pStyle w:val="Prrafodelista"/>
        <w:rPr>
          <w:rFonts w:ascii="Arial" w:eastAsia="Times New Roman" w:hAnsi="Arial" w:cs="Arial"/>
          <w:lang w:eastAsia="es-ES"/>
        </w:rPr>
      </w:pPr>
    </w:p>
    <w:p w:rsidR="00C0291C" w:rsidRDefault="00C0291C" w:rsidP="0092471C">
      <w:pPr>
        <w:pStyle w:val="Prrafodelista"/>
        <w:numPr>
          <w:ilvl w:val="1"/>
          <w:numId w:val="273"/>
        </w:numPr>
        <w:spacing w:after="0" w:line="240" w:lineRule="auto"/>
        <w:ind w:left="1701" w:hanging="708"/>
        <w:jc w:val="both"/>
        <w:rPr>
          <w:rFonts w:ascii="Arial" w:eastAsia="Times New Roman" w:hAnsi="Arial" w:cs="Arial"/>
          <w:lang w:eastAsia="es-ES"/>
        </w:rPr>
      </w:pPr>
      <w:r w:rsidRPr="00A50DDE">
        <w:rPr>
          <w:rFonts w:ascii="Arial" w:eastAsia="Times New Roman" w:hAnsi="Arial" w:cs="Arial"/>
          <w:lang w:eastAsia="es-ES"/>
        </w:rPr>
        <w:t xml:space="preserve">La constitución del derecho de servidumbre, tramitada y sustentada por la SBN, es aprobada con resolución de SDAPE. En el caso de los Gobiernos Regionales con funciones transferidas o delegadas, así como de las demás entidades, es aprobada por la autoridad administrativa que haga sus veces, de acuerdo a sus documentos de gestión. </w:t>
      </w:r>
    </w:p>
    <w:p w:rsidR="00C0291C" w:rsidRDefault="00C0291C" w:rsidP="00A50DDE">
      <w:pPr>
        <w:pStyle w:val="Prrafodelista"/>
        <w:spacing w:after="0" w:line="240" w:lineRule="auto"/>
        <w:ind w:left="1701"/>
        <w:jc w:val="both"/>
        <w:rPr>
          <w:rFonts w:ascii="Arial" w:eastAsia="Times New Roman" w:hAnsi="Arial" w:cs="Arial"/>
          <w:lang w:eastAsia="es-ES"/>
        </w:rPr>
      </w:pPr>
      <w:r w:rsidRPr="00A50DDE">
        <w:rPr>
          <w:rFonts w:ascii="Arial" w:eastAsia="Times New Roman" w:hAnsi="Arial" w:cs="Arial"/>
          <w:lang w:eastAsia="es-ES"/>
        </w:rPr>
        <w:t>La resolución que aprueba la constitución de la servidumbre debe precisar la duración de la servidumbre, los derechos que se otorga, el valor de la contraprestación y su forma de pago, así como el plazo para la cancelación de la contraprestación</w:t>
      </w:r>
      <w:r w:rsidR="00A50DDE">
        <w:rPr>
          <w:rFonts w:ascii="Arial" w:eastAsia="Times New Roman" w:hAnsi="Arial" w:cs="Arial"/>
          <w:lang w:eastAsia="es-ES"/>
        </w:rPr>
        <w:t>.</w:t>
      </w:r>
    </w:p>
    <w:p w:rsidR="00A50DDE" w:rsidRDefault="00A50DDE" w:rsidP="00A50DDE">
      <w:pPr>
        <w:pStyle w:val="Prrafodelista"/>
        <w:spacing w:after="0" w:line="240" w:lineRule="auto"/>
        <w:ind w:left="1701"/>
        <w:jc w:val="both"/>
        <w:rPr>
          <w:rFonts w:ascii="Arial" w:eastAsia="Times New Roman" w:hAnsi="Arial" w:cs="Arial"/>
          <w:lang w:eastAsia="es-ES"/>
        </w:rPr>
      </w:pPr>
    </w:p>
    <w:p w:rsidR="00A50DDE" w:rsidRPr="00A50DDE" w:rsidRDefault="00A50DDE" w:rsidP="00A50DDE">
      <w:pPr>
        <w:spacing w:after="0" w:line="240" w:lineRule="auto"/>
        <w:ind w:left="851"/>
        <w:jc w:val="both"/>
        <w:rPr>
          <w:rFonts w:ascii="Arial" w:eastAsia="Times New Roman" w:hAnsi="Arial" w:cs="Arial"/>
          <w:b/>
          <w:lang w:eastAsia="es-ES"/>
        </w:rPr>
      </w:pPr>
      <w:r w:rsidRPr="00A50DDE">
        <w:rPr>
          <w:rFonts w:ascii="Arial" w:eastAsia="Times New Roman" w:hAnsi="Arial" w:cs="Arial"/>
          <w:b/>
          <w:lang w:eastAsia="es-ES"/>
        </w:rPr>
        <w:t xml:space="preserve">Pago de la contraprestación por la servidumbre </w:t>
      </w:r>
    </w:p>
    <w:p w:rsidR="00A50DDE" w:rsidRDefault="00A50DDE" w:rsidP="00A50DDE">
      <w:pPr>
        <w:pStyle w:val="Prrafodelista"/>
        <w:spacing w:after="0" w:line="240" w:lineRule="auto"/>
        <w:ind w:left="1701"/>
        <w:jc w:val="both"/>
        <w:rPr>
          <w:rFonts w:ascii="Arial" w:eastAsia="Times New Roman" w:hAnsi="Arial" w:cs="Arial"/>
          <w:lang w:eastAsia="es-ES"/>
        </w:rPr>
      </w:pPr>
    </w:p>
    <w:p w:rsidR="00C0291C" w:rsidRPr="00A50DDE" w:rsidRDefault="00C0291C" w:rsidP="0092471C">
      <w:pPr>
        <w:pStyle w:val="Prrafodelista"/>
        <w:numPr>
          <w:ilvl w:val="1"/>
          <w:numId w:val="273"/>
        </w:numPr>
        <w:spacing w:after="0" w:line="240" w:lineRule="auto"/>
        <w:ind w:left="1701" w:hanging="708"/>
        <w:jc w:val="both"/>
        <w:rPr>
          <w:rFonts w:ascii="Arial" w:eastAsia="Times New Roman" w:hAnsi="Arial" w:cs="Arial"/>
          <w:lang w:eastAsia="es-ES"/>
        </w:rPr>
      </w:pPr>
      <w:r w:rsidRPr="00A50DDE">
        <w:rPr>
          <w:rFonts w:ascii="Arial" w:eastAsia="Times New Roman" w:hAnsi="Arial" w:cs="Arial"/>
          <w:lang w:eastAsia="es-ES"/>
        </w:rPr>
        <w:t xml:space="preserve">El pago de la contraprestación por la servidumbre es anual y por adelantado, contado desde la fecha de notificación de la resolución que aprueba la servidumbre. </w:t>
      </w:r>
    </w:p>
    <w:p w:rsidR="00C0291C" w:rsidRPr="00C0291C" w:rsidRDefault="00C0291C" w:rsidP="00E12642">
      <w:pPr>
        <w:spacing w:after="0" w:line="240" w:lineRule="auto"/>
        <w:ind w:left="851"/>
        <w:jc w:val="both"/>
        <w:rPr>
          <w:rFonts w:ascii="Arial" w:eastAsia="Times New Roman" w:hAnsi="Arial" w:cs="Arial"/>
          <w:lang w:eastAsia="es-ES"/>
        </w:rPr>
      </w:pPr>
    </w:p>
    <w:p w:rsidR="00C0291C" w:rsidRPr="00C0291C" w:rsidRDefault="00C0291C" w:rsidP="00A50DDE">
      <w:pPr>
        <w:spacing w:after="0" w:line="240" w:lineRule="auto"/>
        <w:ind w:left="1701"/>
        <w:jc w:val="both"/>
        <w:rPr>
          <w:rFonts w:ascii="Arial" w:eastAsia="Times New Roman" w:hAnsi="Arial" w:cs="Arial"/>
          <w:lang w:eastAsia="es-ES"/>
        </w:rPr>
      </w:pPr>
      <w:r w:rsidRPr="00C0291C">
        <w:rPr>
          <w:rFonts w:ascii="Arial" w:eastAsia="Times New Roman" w:hAnsi="Arial" w:cs="Arial"/>
          <w:lang w:eastAsia="es-ES"/>
        </w:rPr>
        <w:t>En el caso que se haya realizado la entrega provisional del predio al administrado, se debe contar el pago de la contraprestación, desde la fecha de suscripción del acta de entrega - recepción. En el caso de una renovación, el pago de la contraprestación se computa desde el día siguiente de la fecha de vencimiento del contrato a renovarse.</w:t>
      </w:r>
    </w:p>
    <w:p w:rsidR="00C0291C" w:rsidRPr="00C0291C" w:rsidRDefault="00C0291C" w:rsidP="00A50DDE">
      <w:pPr>
        <w:spacing w:after="0" w:line="240" w:lineRule="auto"/>
        <w:ind w:left="1701"/>
        <w:jc w:val="both"/>
        <w:rPr>
          <w:rFonts w:ascii="Arial" w:eastAsia="Times New Roman" w:hAnsi="Arial" w:cs="Arial"/>
          <w:lang w:eastAsia="es-ES"/>
        </w:rPr>
      </w:pPr>
    </w:p>
    <w:p w:rsidR="00C0291C" w:rsidRPr="00C0291C" w:rsidRDefault="00C0291C" w:rsidP="00A50DDE">
      <w:pPr>
        <w:spacing w:after="0" w:line="240" w:lineRule="auto"/>
        <w:ind w:left="1701"/>
        <w:jc w:val="both"/>
        <w:rPr>
          <w:rFonts w:ascii="Arial" w:eastAsia="Times New Roman" w:hAnsi="Arial" w:cs="Arial"/>
          <w:lang w:eastAsia="es-ES"/>
        </w:rPr>
      </w:pPr>
      <w:r w:rsidRPr="00C0291C">
        <w:rPr>
          <w:rFonts w:ascii="Arial" w:eastAsia="Times New Roman" w:hAnsi="Arial" w:cs="Arial"/>
          <w:lang w:eastAsia="es-ES"/>
        </w:rPr>
        <w:t xml:space="preserve">La cancelación de la contraprestación puede ser en una sola armada o en cuotas anuales; el número de cuotas es establecido por la entidad que aprueba la servidumbre, en la respectiva resolución. </w:t>
      </w:r>
    </w:p>
    <w:p w:rsidR="00C0291C" w:rsidRPr="00C0291C" w:rsidRDefault="00C0291C" w:rsidP="00A50DDE">
      <w:pPr>
        <w:spacing w:after="0" w:line="240" w:lineRule="auto"/>
        <w:ind w:left="1701"/>
        <w:jc w:val="both"/>
        <w:rPr>
          <w:rFonts w:ascii="Arial" w:eastAsia="Times New Roman" w:hAnsi="Arial" w:cs="Arial"/>
          <w:lang w:eastAsia="es-ES"/>
        </w:rPr>
      </w:pPr>
    </w:p>
    <w:p w:rsidR="00C0291C" w:rsidRPr="00C0291C" w:rsidRDefault="00C0291C" w:rsidP="00A50DDE">
      <w:pPr>
        <w:spacing w:after="0" w:line="240" w:lineRule="auto"/>
        <w:ind w:left="1701"/>
        <w:jc w:val="both"/>
        <w:rPr>
          <w:rFonts w:ascii="Arial" w:eastAsia="Times New Roman" w:hAnsi="Arial" w:cs="Arial"/>
          <w:lang w:eastAsia="es-ES"/>
        </w:rPr>
      </w:pPr>
      <w:r w:rsidRPr="00C0291C">
        <w:rPr>
          <w:rFonts w:ascii="Arial" w:eastAsia="Times New Roman" w:hAnsi="Arial" w:cs="Arial"/>
          <w:lang w:eastAsia="es-ES"/>
        </w:rPr>
        <w:t>Cuando se establezca el pago en cuotas anuales, dicho monto se actualizará anualmente con el ÍPC. En el caso de la SBN, el SAT realiza dicha actualización para su cobro. En las demás entidades, corresponde a la unidad administrativa competente, de acuerdo a sus instrumentos de gestión.</w:t>
      </w:r>
    </w:p>
    <w:p w:rsidR="00C0291C" w:rsidRPr="00C0291C" w:rsidRDefault="00C0291C" w:rsidP="00A50DDE">
      <w:pPr>
        <w:spacing w:after="0" w:line="240" w:lineRule="auto"/>
        <w:ind w:left="1701"/>
        <w:jc w:val="both"/>
        <w:rPr>
          <w:rFonts w:ascii="Arial" w:eastAsia="Times New Roman" w:hAnsi="Arial" w:cs="Arial"/>
          <w:lang w:eastAsia="es-ES"/>
        </w:rPr>
      </w:pPr>
    </w:p>
    <w:p w:rsidR="00C0291C" w:rsidRPr="00C0291C" w:rsidRDefault="00C0291C" w:rsidP="00A50DDE">
      <w:pPr>
        <w:spacing w:after="0" w:line="240" w:lineRule="auto"/>
        <w:ind w:left="1701"/>
        <w:jc w:val="both"/>
        <w:rPr>
          <w:rFonts w:ascii="Arial" w:eastAsia="Times New Roman" w:hAnsi="Arial" w:cs="Arial"/>
          <w:lang w:eastAsia="es-ES"/>
        </w:rPr>
      </w:pPr>
      <w:r w:rsidRPr="00C0291C">
        <w:rPr>
          <w:rFonts w:ascii="Arial" w:eastAsia="Times New Roman" w:hAnsi="Arial" w:cs="Arial"/>
          <w:lang w:eastAsia="es-ES"/>
        </w:rPr>
        <w:t xml:space="preserve">Por razones de eficiencia en la gestión de cobro de la contraprestación, la entidad titular del bien puede disponer que el pago sea efectuado en una sola cuota, cuando esta no supere las treinta (30) UIT. </w:t>
      </w:r>
    </w:p>
    <w:p w:rsidR="00C0291C" w:rsidRPr="00C0291C" w:rsidRDefault="00C0291C" w:rsidP="00E12642">
      <w:pPr>
        <w:spacing w:after="0" w:line="240" w:lineRule="auto"/>
        <w:ind w:left="851"/>
        <w:jc w:val="both"/>
        <w:rPr>
          <w:rFonts w:ascii="Arial" w:eastAsia="Times New Roman" w:hAnsi="Arial" w:cs="Arial"/>
          <w:lang w:eastAsia="es-ES"/>
        </w:rPr>
      </w:pPr>
    </w:p>
    <w:p w:rsidR="00C0291C" w:rsidRPr="00A50DDE" w:rsidRDefault="00C0291C" w:rsidP="00E12642">
      <w:pPr>
        <w:spacing w:after="0" w:line="240" w:lineRule="auto"/>
        <w:ind w:left="851"/>
        <w:jc w:val="both"/>
        <w:rPr>
          <w:rFonts w:ascii="Arial" w:eastAsia="Times New Roman" w:hAnsi="Arial" w:cs="Arial"/>
          <w:b/>
          <w:lang w:eastAsia="es-ES"/>
        </w:rPr>
      </w:pPr>
      <w:r w:rsidRPr="00A50DDE">
        <w:rPr>
          <w:rFonts w:ascii="Arial" w:eastAsia="Times New Roman" w:hAnsi="Arial" w:cs="Arial"/>
          <w:b/>
          <w:lang w:eastAsia="es-ES"/>
        </w:rPr>
        <w:t>Plazo para cancelación de la contraprestación</w:t>
      </w:r>
    </w:p>
    <w:p w:rsidR="00A50DDE" w:rsidRDefault="00A50DDE" w:rsidP="00E12642">
      <w:pPr>
        <w:spacing w:after="0" w:line="240" w:lineRule="auto"/>
        <w:ind w:left="851"/>
        <w:jc w:val="both"/>
        <w:rPr>
          <w:rFonts w:ascii="Arial" w:eastAsia="Times New Roman" w:hAnsi="Arial" w:cs="Arial"/>
          <w:lang w:eastAsia="es-ES"/>
        </w:rPr>
      </w:pPr>
    </w:p>
    <w:p w:rsidR="00C0291C" w:rsidRPr="00A50DDE" w:rsidRDefault="00C0291C" w:rsidP="0092471C">
      <w:pPr>
        <w:pStyle w:val="Prrafodelista"/>
        <w:numPr>
          <w:ilvl w:val="1"/>
          <w:numId w:val="273"/>
        </w:numPr>
        <w:spacing w:after="0" w:line="240" w:lineRule="auto"/>
        <w:ind w:left="1701" w:hanging="708"/>
        <w:jc w:val="both"/>
        <w:rPr>
          <w:rFonts w:ascii="Arial" w:eastAsia="Times New Roman" w:hAnsi="Arial" w:cs="Arial"/>
          <w:lang w:eastAsia="es-ES"/>
        </w:rPr>
      </w:pPr>
      <w:r w:rsidRPr="00A50DDE">
        <w:rPr>
          <w:rFonts w:ascii="Arial" w:eastAsia="Times New Roman" w:hAnsi="Arial" w:cs="Arial"/>
          <w:lang w:eastAsia="es-ES"/>
        </w:rPr>
        <w:t>El valor de la contraprestación de la servidumbre debe ser cancelado por el administrado, de acuerdo a la forma de pago determinada en la resolución que aprueba la servidumbre, dentro del plazo de quince (15) días hábiles, contados a partir de la notificación de la resolución.</w:t>
      </w:r>
    </w:p>
    <w:p w:rsidR="00A50DDE" w:rsidRPr="00A50DDE" w:rsidRDefault="00A50DDE" w:rsidP="00A50DDE">
      <w:pPr>
        <w:pStyle w:val="Prrafodelista"/>
        <w:spacing w:after="0" w:line="240" w:lineRule="auto"/>
        <w:ind w:left="480"/>
        <w:jc w:val="both"/>
        <w:rPr>
          <w:rFonts w:ascii="Arial" w:eastAsia="Times New Roman" w:hAnsi="Arial" w:cs="Arial"/>
          <w:lang w:eastAsia="es-ES"/>
        </w:rPr>
      </w:pPr>
    </w:p>
    <w:p w:rsidR="00C0291C" w:rsidRPr="00C0291C" w:rsidRDefault="00C0291C" w:rsidP="00A50DDE">
      <w:pPr>
        <w:spacing w:after="0" w:line="240" w:lineRule="auto"/>
        <w:ind w:left="1701"/>
        <w:jc w:val="both"/>
        <w:rPr>
          <w:rFonts w:ascii="Arial" w:eastAsia="Times New Roman" w:hAnsi="Arial" w:cs="Arial"/>
          <w:lang w:eastAsia="es-ES"/>
        </w:rPr>
      </w:pPr>
      <w:r w:rsidRPr="00C0291C">
        <w:rPr>
          <w:rFonts w:ascii="Arial" w:eastAsia="Times New Roman" w:hAnsi="Arial" w:cs="Arial"/>
          <w:lang w:eastAsia="es-ES"/>
        </w:rPr>
        <w:t xml:space="preserve">El pago se efectuará mediante Cheque de Gerencia No Negociable o depósito efectuado en la cuenta bancaria de la entidad propietaria o de la SBN o del Gobierno Regional con funciones transferidas o delegadas, en el caso de los predios del Estado. </w:t>
      </w:r>
    </w:p>
    <w:p w:rsidR="00C0291C" w:rsidRPr="00C0291C" w:rsidRDefault="00C0291C" w:rsidP="00A50DDE">
      <w:pPr>
        <w:spacing w:after="0" w:line="240" w:lineRule="auto"/>
        <w:ind w:left="1701"/>
        <w:jc w:val="both"/>
        <w:rPr>
          <w:rFonts w:ascii="Arial" w:eastAsia="Times New Roman" w:hAnsi="Arial" w:cs="Arial"/>
          <w:lang w:eastAsia="es-ES"/>
        </w:rPr>
      </w:pPr>
    </w:p>
    <w:p w:rsidR="00C0291C" w:rsidRPr="00C0291C" w:rsidRDefault="00C0291C" w:rsidP="00A50DDE">
      <w:pPr>
        <w:spacing w:after="0" w:line="240" w:lineRule="auto"/>
        <w:ind w:left="1701"/>
        <w:jc w:val="both"/>
        <w:rPr>
          <w:rFonts w:ascii="Arial" w:eastAsia="Times New Roman" w:hAnsi="Arial" w:cs="Arial"/>
          <w:lang w:eastAsia="es-ES"/>
        </w:rPr>
      </w:pPr>
      <w:r w:rsidRPr="00C0291C">
        <w:rPr>
          <w:rFonts w:ascii="Arial" w:eastAsia="Times New Roman" w:hAnsi="Arial" w:cs="Arial"/>
          <w:lang w:eastAsia="es-ES"/>
        </w:rPr>
        <w:t>Si no se efectúa el pago de la contraprestación en el plazo establecido, SDAPE, en el caso de la SBN, o la unidad orgánica competente, en los demás casos, deja sin efecto la resolución que aprueba la servidumbre, requiriendo la devolución del predio y el pago que corresponda, en el caso de entrega provisional.</w:t>
      </w:r>
    </w:p>
    <w:p w:rsidR="00C0291C" w:rsidRPr="00C0291C" w:rsidRDefault="00C0291C" w:rsidP="00E12642">
      <w:pPr>
        <w:spacing w:after="0" w:line="240" w:lineRule="auto"/>
        <w:ind w:left="851"/>
        <w:jc w:val="both"/>
        <w:rPr>
          <w:rFonts w:ascii="Arial" w:eastAsia="Times New Roman" w:hAnsi="Arial" w:cs="Arial"/>
          <w:lang w:eastAsia="es-ES"/>
        </w:rPr>
      </w:pPr>
    </w:p>
    <w:p w:rsidR="00C0291C" w:rsidRPr="00250994" w:rsidRDefault="00C0291C" w:rsidP="00E12642">
      <w:pPr>
        <w:spacing w:after="0" w:line="240" w:lineRule="auto"/>
        <w:ind w:left="851"/>
        <w:jc w:val="both"/>
        <w:rPr>
          <w:rFonts w:ascii="Arial" w:eastAsia="Times New Roman" w:hAnsi="Arial" w:cs="Arial"/>
          <w:b/>
          <w:lang w:eastAsia="es-ES"/>
        </w:rPr>
      </w:pPr>
      <w:r w:rsidRPr="00250994">
        <w:rPr>
          <w:rFonts w:ascii="Arial" w:eastAsia="Times New Roman" w:hAnsi="Arial" w:cs="Arial"/>
          <w:b/>
          <w:lang w:eastAsia="es-ES"/>
        </w:rPr>
        <w:t xml:space="preserve">Contrato  de  servidumbre  </w:t>
      </w:r>
    </w:p>
    <w:p w:rsidR="00250994" w:rsidRDefault="00250994" w:rsidP="00E12642">
      <w:pPr>
        <w:spacing w:after="0" w:line="240" w:lineRule="auto"/>
        <w:ind w:left="851"/>
        <w:jc w:val="both"/>
        <w:rPr>
          <w:rFonts w:ascii="Arial" w:eastAsia="Times New Roman" w:hAnsi="Arial" w:cs="Arial"/>
          <w:lang w:eastAsia="es-ES"/>
        </w:rPr>
      </w:pPr>
    </w:p>
    <w:p w:rsidR="00C0291C" w:rsidRDefault="00C0291C" w:rsidP="0092471C">
      <w:pPr>
        <w:pStyle w:val="Prrafodelista"/>
        <w:numPr>
          <w:ilvl w:val="1"/>
          <w:numId w:val="273"/>
        </w:numPr>
        <w:spacing w:after="0" w:line="240" w:lineRule="auto"/>
        <w:ind w:left="1701" w:hanging="708"/>
        <w:jc w:val="both"/>
        <w:rPr>
          <w:rFonts w:ascii="Arial" w:eastAsia="Times New Roman" w:hAnsi="Arial" w:cs="Arial"/>
          <w:lang w:eastAsia="es-ES"/>
        </w:rPr>
      </w:pPr>
      <w:r w:rsidRPr="00250994">
        <w:rPr>
          <w:rFonts w:ascii="Arial" w:eastAsia="Times New Roman" w:hAnsi="Arial" w:cs="Arial"/>
          <w:lang w:eastAsia="es-ES"/>
        </w:rPr>
        <w:t xml:space="preserve">Dentro de los cinco (05) días hábiles de efectuado el pago por el administrado, conforme a la forma de pago aprobada en la resolución, el SAT, en el caso de la SBN o la unidad de tesorería respectiva en los demás casos, comunicará a la unidad orgánica que sustenta el procedimiento. A partir de dicho momento y dentro del plazo de diez (10) días hábiles, la SDAPE en el caso de la SBN o la unidad orgánica que corresponda, en las demás entidades, elevará el proyecto del contrato, conjuntamente con el expediente administrativo sustentatorio, al órgano superior para su conformidad y suscripción. </w:t>
      </w:r>
    </w:p>
    <w:p w:rsidR="00250994" w:rsidRDefault="00250994" w:rsidP="00250994">
      <w:pPr>
        <w:pStyle w:val="Prrafodelista"/>
        <w:spacing w:after="0" w:line="240" w:lineRule="auto"/>
        <w:ind w:left="480"/>
        <w:jc w:val="both"/>
        <w:rPr>
          <w:rFonts w:ascii="Arial" w:eastAsia="Times New Roman" w:hAnsi="Arial" w:cs="Arial"/>
          <w:lang w:eastAsia="es-ES"/>
        </w:rPr>
      </w:pPr>
    </w:p>
    <w:p w:rsidR="00250994" w:rsidRPr="00250994" w:rsidRDefault="00250994" w:rsidP="00250994">
      <w:pPr>
        <w:pStyle w:val="Prrafodelista"/>
        <w:spacing w:after="0" w:line="240" w:lineRule="auto"/>
        <w:ind w:left="1701"/>
        <w:jc w:val="both"/>
        <w:rPr>
          <w:rFonts w:ascii="Arial" w:eastAsia="Times New Roman" w:hAnsi="Arial" w:cs="Arial"/>
          <w:lang w:eastAsia="es-ES"/>
        </w:rPr>
      </w:pPr>
      <w:r w:rsidRPr="00250994">
        <w:rPr>
          <w:rFonts w:ascii="Arial" w:eastAsia="Times New Roman" w:hAnsi="Arial" w:cs="Arial"/>
          <w:lang w:eastAsia="es-ES"/>
        </w:rPr>
        <w:t xml:space="preserve">Una vez aprobado el contrato, la unidad orgánica que sustentó el procedimiento requiere al administrado mediante oficio, a fin que cumpla con suscribir el referido contrato en un plazo no mayor a quince (15) días hábiles, contados desde la respectiva notificación. </w:t>
      </w:r>
    </w:p>
    <w:p w:rsidR="00250994" w:rsidRDefault="00250994" w:rsidP="00250994">
      <w:pPr>
        <w:pStyle w:val="Prrafodelista"/>
        <w:spacing w:after="0" w:line="240" w:lineRule="auto"/>
        <w:ind w:left="1701"/>
        <w:jc w:val="both"/>
        <w:rPr>
          <w:rFonts w:ascii="Arial" w:eastAsia="Times New Roman" w:hAnsi="Arial" w:cs="Arial"/>
          <w:lang w:eastAsia="es-ES"/>
        </w:rPr>
      </w:pPr>
    </w:p>
    <w:p w:rsidR="00C0291C" w:rsidRDefault="00C0291C" w:rsidP="0092471C">
      <w:pPr>
        <w:pStyle w:val="Prrafodelista"/>
        <w:numPr>
          <w:ilvl w:val="1"/>
          <w:numId w:val="273"/>
        </w:numPr>
        <w:spacing w:after="0" w:line="240" w:lineRule="auto"/>
        <w:ind w:left="1701" w:hanging="708"/>
        <w:jc w:val="both"/>
        <w:rPr>
          <w:rFonts w:ascii="Arial" w:eastAsia="Times New Roman" w:hAnsi="Arial" w:cs="Arial"/>
          <w:lang w:eastAsia="es-ES"/>
        </w:rPr>
      </w:pPr>
      <w:r w:rsidRPr="00250994">
        <w:rPr>
          <w:rFonts w:ascii="Arial" w:eastAsia="Times New Roman" w:hAnsi="Arial" w:cs="Arial"/>
          <w:lang w:eastAsia="es-ES"/>
        </w:rPr>
        <w:t>Si el contrato no es suscrito dentro del plazo antes indicado por causas imputables al administrado, la SDAPE, en el caso de la SBN, o la unidad orgánica que corresponda, en el caso de las demás entidades, deja sin efecto la resolución que aprueba la servidumbre, requiriendo la devolución del predio, de ser el caso y efectuando la devolución del monto abonado, previa deducción de los gastos operativos y administrativos incurridos.</w:t>
      </w:r>
    </w:p>
    <w:p w:rsidR="00250994" w:rsidRDefault="00250994" w:rsidP="00250994">
      <w:pPr>
        <w:pStyle w:val="Prrafodelista"/>
        <w:spacing w:after="0" w:line="240" w:lineRule="auto"/>
        <w:ind w:left="1701"/>
        <w:jc w:val="both"/>
        <w:rPr>
          <w:rFonts w:ascii="Arial" w:eastAsia="Times New Roman" w:hAnsi="Arial" w:cs="Arial"/>
          <w:lang w:eastAsia="es-ES"/>
        </w:rPr>
      </w:pPr>
    </w:p>
    <w:p w:rsidR="00C0291C" w:rsidRDefault="00C0291C" w:rsidP="0092471C">
      <w:pPr>
        <w:pStyle w:val="Prrafodelista"/>
        <w:numPr>
          <w:ilvl w:val="1"/>
          <w:numId w:val="273"/>
        </w:numPr>
        <w:spacing w:after="0" w:line="240" w:lineRule="auto"/>
        <w:ind w:left="1701" w:hanging="708"/>
        <w:jc w:val="both"/>
        <w:rPr>
          <w:rFonts w:ascii="Arial" w:eastAsia="Times New Roman" w:hAnsi="Arial" w:cs="Arial"/>
          <w:lang w:eastAsia="es-ES"/>
        </w:rPr>
      </w:pPr>
      <w:r w:rsidRPr="00250994">
        <w:rPr>
          <w:rFonts w:ascii="Arial" w:eastAsia="Times New Roman" w:hAnsi="Arial" w:cs="Arial"/>
          <w:lang w:eastAsia="es-ES"/>
        </w:rPr>
        <w:t>El contrato puede ser elevado a escritura pública, a pedido del  administrado, quien asumirá los gastos notariales y registrales, a que hubiera lugar, incluida una copia del testimonio a favor de la entidad propietaria del terreno. En el caso de la SBN, corresponde a la DGPE suscribir dichos documentos y en el caso de las demás entidades, a la unidad que tenga facultades conforme a su ROF.</w:t>
      </w:r>
    </w:p>
    <w:p w:rsidR="00250994" w:rsidRPr="00250994" w:rsidRDefault="00250994" w:rsidP="00250994">
      <w:pPr>
        <w:pStyle w:val="Prrafodelista"/>
        <w:rPr>
          <w:rFonts w:ascii="Arial" w:eastAsia="Times New Roman" w:hAnsi="Arial" w:cs="Arial"/>
          <w:lang w:eastAsia="es-ES"/>
        </w:rPr>
      </w:pPr>
    </w:p>
    <w:p w:rsidR="00C0291C" w:rsidRDefault="00C0291C" w:rsidP="0092471C">
      <w:pPr>
        <w:pStyle w:val="Prrafodelista"/>
        <w:numPr>
          <w:ilvl w:val="1"/>
          <w:numId w:val="273"/>
        </w:numPr>
        <w:spacing w:after="0" w:line="240" w:lineRule="auto"/>
        <w:ind w:left="1701" w:hanging="708"/>
        <w:jc w:val="both"/>
        <w:rPr>
          <w:rFonts w:ascii="Arial" w:eastAsia="Times New Roman" w:hAnsi="Arial" w:cs="Arial"/>
          <w:lang w:eastAsia="es-ES"/>
        </w:rPr>
      </w:pPr>
      <w:r w:rsidRPr="00250994">
        <w:rPr>
          <w:rFonts w:ascii="Arial" w:eastAsia="Times New Roman" w:hAnsi="Arial" w:cs="Arial"/>
          <w:lang w:eastAsia="es-ES"/>
        </w:rPr>
        <w:t xml:space="preserve">El contrato debe contener como mínimo el tipo de servidumbre, su duración, el valor de la contraprestación, las obligaciones y derechos de las partes y las causales de resolución del contrato, entre las cuales debe establecerse una cláusula resolutoria expresa en caso de incumplimiento de una o más obligaciones contractuales, conforme se establece en el Anexo N° 4.  </w:t>
      </w:r>
    </w:p>
    <w:p w:rsidR="00250994" w:rsidRPr="00250994" w:rsidRDefault="00250994" w:rsidP="00250994">
      <w:pPr>
        <w:pStyle w:val="Prrafodelista"/>
        <w:rPr>
          <w:rFonts w:ascii="Arial" w:eastAsia="Times New Roman" w:hAnsi="Arial" w:cs="Arial"/>
          <w:lang w:eastAsia="es-ES"/>
        </w:rPr>
      </w:pPr>
    </w:p>
    <w:p w:rsidR="00C0291C" w:rsidRPr="00250994" w:rsidRDefault="00C0291C" w:rsidP="0092471C">
      <w:pPr>
        <w:pStyle w:val="Prrafodelista"/>
        <w:numPr>
          <w:ilvl w:val="1"/>
          <w:numId w:val="273"/>
        </w:numPr>
        <w:spacing w:after="0" w:line="240" w:lineRule="auto"/>
        <w:ind w:left="1701" w:hanging="708"/>
        <w:jc w:val="both"/>
        <w:rPr>
          <w:rFonts w:ascii="Arial" w:eastAsia="Times New Roman" w:hAnsi="Arial" w:cs="Arial"/>
          <w:lang w:eastAsia="es-ES"/>
        </w:rPr>
      </w:pPr>
      <w:r w:rsidRPr="00250994">
        <w:rPr>
          <w:rFonts w:ascii="Arial" w:eastAsia="Times New Roman" w:hAnsi="Arial" w:cs="Arial"/>
          <w:lang w:eastAsia="es-ES"/>
        </w:rPr>
        <w:t xml:space="preserve">Dentro de los cinco (05) días hábiles de suscrito el contrato por el administrado y por la entidad competente, SDAPE, en el caso de la SBN o la unidad orgánica que corresponda, en los demás casos, efectúa la entrega de un (01) original al administrado y una (01) copia autenticada al SAT, OAF y SDS en el caso de la SBN, o a las unidades que hagan sus veces, en los demás casos, para las acciones de su competencia. </w:t>
      </w:r>
    </w:p>
    <w:p w:rsidR="00C0291C" w:rsidRPr="00C0291C" w:rsidRDefault="00C0291C" w:rsidP="00E12642">
      <w:pPr>
        <w:spacing w:after="0" w:line="240" w:lineRule="auto"/>
        <w:ind w:left="851"/>
        <w:jc w:val="both"/>
        <w:rPr>
          <w:rFonts w:ascii="Arial" w:eastAsia="Times New Roman" w:hAnsi="Arial" w:cs="Arial"/>
          <w:lang w:eastAsia="es-ES"/>
        </w:rPr>
      </w:pPr>
    </w:p>
    <w:p w:rsidR="00C0291C" w:rsidRPr="00250994" w:rsidRDefault="00C0291C" w:rsidP="00E12642">
      <w:pPr>
        <w:spacing w:after="0" w:line="240" w:lineRule="auto"/>
        <w:ind w:left="851"/>
        <w:jc w:val="both"/>
        <w:rPr>
          <w:rFonts w:ascii="Arial" w:eastAsia="Times New Roman" w:hAnsi="Arial" w:cs="Arial"/>
          <w:b/>
          <w:lang w:eastAsia="es-ES"/>
        </w:rPr>
      </w:pPr>
      <w:r w:rsidRPr="00250994">
        <w:rPr>
          <w:rFonts w:ascii="Arial" w:eastAsia="Times New Roman" w:hAnsi="Arial" w:cs="Arial"/>
          <w:b/>
          <w:lang w:eastAsia="es-ES"/>
        </w:rPr>
        <w:t xml:space="preserve">Del registro del contrato en el aplicativo </w:t>
      </w:r>
    </w:p>
    <w:p w:rsidR="00250994" w:rsidRDefault="00250994" w:rsidP="00E12642">
      <w:pPr>
        <w:spacing w:after="0" w:line="240" w:lineRule="auto"/>
        <w:ind w:left="851"/>
        <w:jc w:val="both"/>
        <w:rPr>
          <w:rFonts w:ascii="Arial" w:eastAsia="Times New Roman" w:hAnsi="Arial" w:cs="Arial"/>
          <w:lang w:eastAsia="es-ES"/>
        </w:rPr>
      </w:pPr>
    </w:p>
    <w:p w:rsidR="00C0291C" w:rsidRPr="00250994" w:rsidRDefault="00C0291C" w:rsidP="0092471C">
      <w:pPr>
        <w:pStyle w:val="Prrafodelista"/>
        <w:numPr>
          <w:ilvl w:val="1"/>
          <w:numId w:val="273"/>
        </w:numPr>
        <w:spacing w:after="0" w:line="240" w:lineRule="auto"/>
        <w:ind w:left="1701" w:hanging="708"/>
        <w:jc w:val="both"/>
        <w:rPr>
          <w:rFonts w:ascii="Arial" w:eastAsia="Times New Roman" w:hAnsi="Arial" w:cs="Arial"/>
          <w:lang w:eastAsia="es-ES"/>
        </w:rPr>
      </w:pPr>
      <w:r w:rsidRPr="00250994">
        <w:rPr>
          <w:rFonts w:ascii="Arial" w:eastAsia="Times New Roman" w:hAnsi="Arial" w:cs="Arial"/>
          <w:lang w:eastAsia="es-ES"/>
        </w:rPr>
        <w:t>Una vez suscrito el contrato, la unidad orgánica que sustentó el procedimiento procede a registrar el contrato en el aplicativo denominado “Seguimiento de Contratos” del SINABIP” y luego pone en conocimiento de la unidad encargada del cobro de la servidumbre.</w:t>
      </w:r>
    </w:p>
    <w:p w:rsidR="00250994" w:rsidRPr="00250994" w:rsidRDefault="00250994" w:rsidP="00250994">
      <w:pPr>
        <w:pStyle w:val="Prrafodelista"/>
        <w:spacing w:after="0" w:line="240" w:lineRule="auto"/>
        <w:ind w:left="480"/>
        <w:jc w:val="both"/>
        <w:rPr>
          <w:rFonts w:ascii="Arial" w:eastAsia="Times New Roman" w:hAnsi="Arial" w:cs="Arial"/>
          <w:lang w:eastAsia="es-ES"/>
        </w:rPr>
      </w:pPr>
    </w:p>
    <w:p w:rsidR="00C0291C" w:rsidRPr="00250994" w:rsidRDefault="00C0291C" w:rsidP="00E12642">
      <w:pPr>
        <w:spacing w:after="0" w:line="240" w:lineRule="auto"/>
        <w:ind w:left="851"/>
        <w:jc w:val="both"/>
        <w:rPr>
          <w:rFonts w:ascii="Arial" w:eastAsia="Times New Roman" w:hAnsi="Arial" w:cs="Arial"/>
          <w:b/>
          <w:lang w:eastAsia="es-ES"/>
        </w:rPr>
      </w:pPr>
      <w:r w:rsidRPr="00250994">
        <w:rPr>
          <w:rFonts w:ascii="Arial" w:eastAsia="Times New Roman" w:hAnsi="Arial" w:cs="Arial"/>
          <w:b/>
          <w:lang w:eastAsia="es-ES"/>
        </w:rPr>
        <w:t xml:space="preserve">Liquidación y deducción de gastos </w:t>
      </w:r>
    </w:p>
    <w:p w:rsidR="00250994" w:rsidRDefault="00250994" w:rsidP="00E12642">
      <w:pPr>
        <w:spacing w:after="0" w:line="240" w:lineRule="auto"/>
        <w:ind w:left="851"/>
        <w:jc w:val="both"/>
        <w:rPr>
          <w:rFonts w:ascii="Arial" w:eastAsia="Times New Roman" w:hAnsi="Arial" w:cs="Arial"/>
          <w:lang w:eastAsia="es-ES"/>
        </w:rPr>
      </w:pPr>
    </w:p>
    <w:p w:rsidR="00C0291C" w:rsidRDefault="00C0291C" w:rsidP="0092471C">
      <w:pPr>
        <w:pStyle w:val="Prrafodelista"/>
        <w:numPr>
          <w:ilvl w:val="1"/>
          <w:numId w:val="273"/>
        </w:numPr>
        <w:spacing w:after="0" w:line="240" w:lineRule="auto"/>
        <w:ind w:left="1701" w:hanging="708"/>
        <w:jc w:val="both"/>
        <w:rPr>
          <w:rFonts w:ascii="Arial" w:eastAsia="Times New Roman" w:hAnsi="Arial" w:cs="Arial"/>
          <w:lang w:eastAsia="es-ES"/>
        </w:rPr>
      </w:pPr>
      <w:r w:rsidRPr="00250994">
        <w:rPr>
          <w:rFonts w:ascii="Arial" w:eastAsia="Times New Roman" w:hAnsi="Arial" w:cs="Arial"/>
          <w:lang w:eastAsia="es-ES"/>
        </w:rPr>
        <w:t xml:space="preserve">La liquidación de los gastos operativos y administrativos vinculados al predio materia de servidumbre o inherentes al procedimiento, es efectuada por la OAF en el caso de la SBN o por la unidad orgánica competente de la entidad que sustenta el procedimiento, de acuerdo a sus instrumentos de gestión institucional. </w:t>
      </w:r>
    </w:p>
    <w:p w:rsidR="00250994" w:rsidRDefault="00250994" w:rsidP="00250994">
      <w:pPr>
        <w:pStyle w:val="Prrafodelista"/>
        <w:spacing w:after="0" w:line="240" w:lineRule="auto"/>
        <w:ind w:left="1701"/>
        <w:jc w:val="both"/>
        <w:rPr>
          <w:rFonts w:ascii="Arial" w:eastAsia="Times New Roman" w:hAnsi="Arial" w:cs="Arial"/>
          <w:lang w:eastAsia="es-ES"/>
        </w:rPr>
      </w:pPr>
    </w:p>
    <w:p w:rsidR="00C0291C" w:rsidRPr="00250994" w:rsidRDefault="00C0291C" w:rsidP="00250994">
      <w:pPr>
        <w:pStyle w:val="Prrafodelista"/>
        <w:spacing w:after="0" w:line="240" w:lineRule="auto"/>
        <w:ind w:left="1701"/>
        <w:jc w:val="both"/>
        <w:rPr>
          <w:rFonts w:ascii="Arial" w:eastAsia="Times New Roman" w:hAnsi="Arial" w:cs="Arial"/>
          <w:lang w:eastAsia="es-ES"/>
        </w:rPr>
      </w:pPr>
      <w:r w:rsidRPr="00250994">
        <w:rPr>
          <w:rFonts w:ascii="Arial" w:eastAsia="Times New Roman" w:hAnsi="Arial" w:cs="Arial"/>
          <w:lang w:eastAsia="es-ES"/>
        </w:rPr>
        <w:t xml:space="preserve">Para tal efecto, dentro del plazo de diez (10) días hábiles contados desde la suscripción del contrato de servidumbre, o desde la fecha de vencimiento para dicha suscripción, SDAPE, en el caso de la SBN o la unidad orgánica que sustentó la servidumbre, comunica y remite a la OAF o la unidad competente en las demás entidades, copia de los comprobantes de los gastos que obren en el expediente con una antigüedad no mayor a un (1) año. </w:t>
      </w:r>
    </w:p>
    <w:p w:rsidR="00C0291C" w:rsidRPr="00C0291C" w:rsidRDefault="00C0291C" w:rsidP="00E12642">
      <w:pPr>
        <w:spacing w:after="0" w:line="240" w:lineRule="auto"/>
        <w:ind w:left="851"/>
        <w:jc w:val="both"/>
        <w:rPr>
          <w:rFonts w:ascii="Arial" w:eastAsia="Times New Roman" w:hAnsi="Arial" w:cs="Arial"/>
          <w:lang w:eastAsia="es-ES"/>
        </w:rPr>
      </w:pPr>
    </w:p>
    <w:p w:rsidR="00C0291C" w:rsidRPr="00C0291C" w:rsidRDefault="00C0291C" w:rsidP="00250994">
      <w:pPr>
        <w:spacing w:after="0" w:line="240" w:lineRule="auto"/>
        <w:ind w:left="1701"/>
        <w:jc w:val="both"/>
        <w:rPr>
          <w:rFonts w:ascii="Arial" w:eastAsia="Times New Roman" w:hAnsi="Arial" w:cs="Arial"/>
          <w:lang w:eastAsia="es-ES"/>
        </w:rPr>
      </w:pPr>
      <w:r w:rsidRPr="00C0291C">
        <w:rPr>
          <w:rFonts w:ascii="Arial" w:eastAsia="Times New Roman" w:hAnsi="Arial" w:cs="Arial"/>
          <w:lang w:eastAsia="es-ES"/>
        </w:rPr>
        <w:t xml:space="preserve">La deducción por gastos administrativos, por todo concepto, será de dos (2) UIT. </w:t>
      </w:r>
    </w:p>
    <w:p w:rsidR="00C0291C" w:rsidRDefault="00C0291C" w:rsidP="00250994">
      <w:pPr>
        <w:spacing w:after="0" w:line="240" w:lineRule="auto"/>
        <w:ind w:left="1701"/>
        <w:jc w:val="both"/>
        <w:rPr>
          <w:rFonts w:ascii="Arial" w:eastAsia="Times New Roman" w:hAnsi="Arial" w:cs="Arial"/>
          <w:lang w:eastAsia="es-ES"/>
        </w:rPr>
      </w:pPr>
    </w:p>
    <w:p w:rsidR="00B83C23" w:rsidRDefault="00B83C23" w:rsidP="00250994">
      <w:pPr>
        <w:spacing w:after="0" w:line="240" w:lineRule="auto"/>
        <w:ind w:left="851"/>
        <w:jc w:val="both"/>
        <w:rPr>
          <w:rFonts w:ascii="Arial" w:eastAsia="Times New Roman" w:hAnsi="Arial" w:cs="Arial"/>
          <w:b/>
          <w:lang w:eastAsia="es-ES"/>
        </w:rPr>
      </w:pPr>
    </w:p>
    <w:p w:rsidR="00B83C23" w:rsidRDefault="00B83C23" w:rsidP="00250994">
      <w:pPr>
        <w:spacing w:after="0" w:line="240" w:lineRule="auto"/>
        <w:ind w:left="851"/>
        <w:jc w:val="both"/>
        <w:rPr>
          <w:rFonts w:ascii="Arial" w:eastAsia="Times New Roman" w:hAnsi="Arial" w:cs="Arial"/>
          <w:b/>
          <w:lang w:eastAsia="es-ES"/>
        </w:rPr>
      </w:pPr>
    </w:p>
    <w:p w:rsidR="00B83C23" w:rsidRDefault="00B83C23" w:rsidP="00250994">
      <w:pPr>
        <w:spacing w:after="0" w:line="240" w:lineRule="auto"/>
        <w:ind w:left="851"/>
        <w:jc w:val="both"/>
        <w:rPr>
          <w:rFonts w:ascii="Arial" w:eastAsia="Times New Roman" w:hAnsi="Arial" w:cs="Arial"/>
          <w:b/>
          <w:lang w:eastAsia="es-ES"/>
        </w:rPr>
      </w:pPr>
    </w:p>
    <w:p w:rsidR="00C0291C" w:rsidRPr="00250994" w:rsidRDefault="00C0291C" w:rsidP="00250994">
      <w:pPr>
        <w:spacing w:after="0" w:line="240" w:lineRule="auto"/>
        <w:ind w:left="851"/>
        <w:jc w:val="both"/>
        <w:rPr>
          <w:rFonts w:ascii="Arial" w:eastAsia="Times New Roman" w:hAnsi="Arial" w:cs="Arial"/>
          <w:b/>
          <w:lang w:eastAsia="es-ES"/>
        </w:rPr>
      </w:pPr>
      <w:r w:rsidRPr="00250994">
        <w:rPr>
          <w:rFonts w:ascii="Arial" w:eastAsia="Times New Roman" w:hAnsi="Arial" w:cs="Arial"/>
          <w:b/>
          <w:lang w:eastAsia="es-ES"/>
        </w:rPr>
        <w:t>Distribución de ingresos y comunicación a la SBN</w:t>
      </w:r>
    </w:p>
    <w:p w:rsidR="00250994" w:rsidRDefault="00250994" w:rsidP="00E12642">
      <w:pPr>
        <w:spacing w:after="0" w:line="240" w:lineRule="auto"/>
        <w:ind w:left="851"/>
        <w:jc w:val="both"/>
        <w:rPr>
          <w:rFonts w:ascii="Arial" w:eastAsia="Times New Roman" w:hAnsi="Arial" w:cs="Arial"/>
          <w:lang w:eastAsia="es-ES"/>
        </w:rPr>
      </w:pPr>
    </w:p>
    <w:p w:rsidR="00C0291C" w:rsidRPr="00250994" w:rsidRDefault="00C0291C" w:rsidP="0092471C">
      <w:pPr>
        <w:pStyle w:val="Prrafodelista"/>
        <w:numPr>
          <w:ilvl w:val="1"/>
          <w:numId w:val="273"/>
        </w:numPr>
        <w:spacing w:after="0" w:line="240" w:lineRule="auto"/>
        <w:ind w:left="1701" w:hanging="708"/>
        <w:jc w:val="both"/>
        <w:rPr>
          <w:rFonts w:ascii="Arial" w:eastAsia="Times New Roman" w:hAnsi="Arial" w:cs="Arial"/>
          <w:lang w:eastAsia="es-ES"/>
        </w:rPr>
      </w:pPr>
      <w:r w:rsidRPr="00250994">
        <w:rPr>
          <w:rFonts w:ascii="Arial" w:eastAsia="Times New Roman" w:hAnsi="Arial" w:cs="Arial"/>
          <w:lang w:eastAsia="es-ES"/>
        </w:rPr>
        <w:t xml:space="preserve">Cuando el predio es de propiedad del Estado, administrado por la SBN o por el Gobierno Regional con funciones transferidas  o delegadas, los ingresos obtenidos producto de la constitución del derecho de servidumbre, previa deducción de los gastos operativos y administrativos incurridos, son abonados a favor del Tesoro Público, lo cual se efectúa dentro del plazo de diez (10) días hábiles, contados desde la fecha de liquidación y deducción de los gastos operativos y administrativos, a cargo de la unidad competente. Cuando el predio es de propiedad de la entidad, le corresponde el 100% de los ingresos. </w:t>
      </w:r>
    </w:p>
    <w:p w:rsidR="00250994" w:rsidRPr="00250994" w:rsidRDefault="00250994" w:rsidP="00250994">
      <w:pPr>
        <w:pStyle w:val="Prrafodelista"/>
        <w:spacing w:after="0" w:line="240" w:lineRule="auto"/>
        <w:ind w:left="480"/>
        <w:jc w:val="both"/>
        <w:rPr>
          <w:rFonts w:ascii="Arial" w:eastAsia="Times New Roman" w:hAnsi="Arial" w:cs="Arial"/>
          <w:lang w:eastAsia="es-ES"/>
        </w:rPr>
      </w:pPr>
    </w:p>
    <w:p w:rsidR="00C0291C" w:rsidRPr="00250994" w:rsidRDefault="00C0291C" w:rsidP="00E12642">
      <w:pPr>
        <w:spacing w:after="0" w:line="240" w:lineRule="auto"/>
        <w:ind w:left="851"/>
        <w:jc w:val="both"/>
        <w:rPr>
          <w:rFonts w:ascii="Arial" w:eastAsia="Times New Roman" w:hAnsi="Arial" w:cs="Arial"/>
          <w:b/>
          <w:lang w:eastAsia="es-ES"/>
        </w:rPr>
      </w:pPr>
      <w:r w:rsidRPr="00250994">
        <w:rPr>
          <w:rFonts w:ascii="Arial" w:eastAsia="Times New Roman" w:hAnsi="Arial" w:cs="Arial"/>
          <w:b/>
          <w:lang w:eastAsia="es-ES"/>
        </w:rPr>
        <w:t>Actualización del SINABIP</w:t>
      </w:r>
    </w:p>
    <w:p w:rsidR="00250994" w:rsidRDefault="00250994" w:rsidP="00E12642">
      <w:pPr>
        <w:spacing w:after="0" w:line="240" w:lineRule="auto"/>
        <w:ind w:left="851"/>
        <w:jc w:val="both"/>
        <w:rPr>
          <w:rFonts w:ascii="Arial" w:eastAsia="Times New Roman" w:hAnsi="Arial" w:cs="Arial"/>
          <w:lang w:eastAsia="es-ES"/>
        </w:rPr>
      </w:pPr>
    </w:p>
    <w:p w:rsidR="00C0291C" w:rsidRPr="00250994" w:rsidRDefault="00C0291C" w:rsidP="0092471C">
      <w:pPr>
        <w:pStyle w:val="Prrafodelista"/>
        <w:numPr>
          <w:ilvl w:val="1"/>
          <w:numId w:val="273"/>
        </w:numPr>
        <w:spacing w:after="0" w:line="240" w:lineRule="auto"/>
        <w:ind w:left="1701" w:hanging="708"/>
        <w:jc w:val="both"/>
        <w:rPr>
          <w:rFonts w:ascii="Arial" w:eastAsia="Times New Roman" w:hAnsi="Arial" w:cs="Arial"/>
          <w:lang w:eastAsia="es-ES"/>
        </w:rPr>
      </w:pPr>
      <w:r w:rsidRPr="00250994">
        <w:rPr>
          <w:rFonts w:ascii="Arial" w:eastAsia="Times New Roman" w:hAnsi="Arial" w:cs="Arial"/>
          <w:lang w:eastAsia="es-ES"/>
        </w:rPr>
        <w:t>Dentro del plazo de diez (10) días hábiles contados desde la suscripción del contrato, la unidad orgánica encargada de sustentar el procedimiento remite a la SDRC de la SBN, los documentos técnicos y legales en formato físico y/o digital que sustenten el trámite para su inscripción y actualización en el SINABIP, luego de lo cual dispondrá el archivo definitivo del expediente.</w:t>
      </w:r>
    </w:p>
    <w:p w:rsidR="00250994" w:rsidRPr="00250994" w:rsidRDefault="00250994" w:rsidP="00250994">
      <w:pPr>
        <w:pStyle w:val="Prrafodelista"/>
        <w:spacing w:after="0" w:line="240" w:lineRule="auto"/>
        <w:ind w:left="480"/>
        <w:jc w:val="both"/>
        <w:rPr>
          <w:rFonts w:ascii="Arial" w:eastAsia="Times New Roman" w:hAnsi="Arial" w:cs="Arial"/>
          <w:lang w:eastAsia="es-ES"/>
        </w:rPr>
      </w:pPr>
    </w:p>
    <w:p w:rsidR="00C0291C" w:rsidRPr="00250994" w:rsidRDefault="00C0291C" w:rsidP="00E12642">
      <w:pPr>
        <w:spacing w:after="0" w:line="240" w:lineRule="auto"/>
        <w:ind w:left="851"/>
        <w:jc w:val="both"/>
        <w:rPr>
          <w:rFonts w:ascii="Arial" w:eastAsia="Times New Roman" w:hAnsi="Arial" w:cs="Arial"/>
          <w:b/>
          <w:lang w:eastAsia="es-ES"/>
        </w:rPr>
      </w:pPr>
      <w:r w:rsidRPr="00250994">
        <w:rPr>
          <w:rFonts w:ascii="Arial" w:eastAsia="Times New Roman" w:hAnsi="Arial" w:cs="Arial"/>
          <w:b/>
          <w:lang w:eastAsia="es-ES"/>
        </w:rPr>
        <w:t>Control y seguimiento de las obligaciones contractuales y tributarias referidas en el contrato de servidumbre</w:t>
      </w:r>
    </w:p>
    <w:p w:rsidR="00250994" w:rsidRDefault="00250994" w:rsidP="00E12642">
      <w:pPr>
        <w:spacing w:after="0" w:line="240" w:lineRule="auto"/>
        <w:ind w:left="851"/>
        <w:jc w:val="both"/>
        <w:rPr>
          <w:rFonts w:ascii="Arial" w:eastAsia="Times New Roman" w:hAnsi="Arial" w:cs="Arial"/>
          <w:lang w:eastAsia="es-ES"/>
        </w:rPr>
      </w:pPr>
    </w:p>
    <w:p w:rsidR="00C0291C" w:rsidRPr="00250994" w:rsidRDefault="00C0291C" w:rsidP="0092471C">
      <w:pPr>
        <w:pStyle w:val="Prrafodelista"/>
        <w:numPr>
          <w:ilvl w:val="1"/>
          <w:numId w:val="273"/>
        </w:numPr>
        <w:spacing w:after="0" w:line="240" w:lineRule="auto"/>
        <w:ind w:left="1701" w:hanging="708"/>
        <w:jc w:val="both"/>
        <w:rPr>
          <w:rFonts w:ascii="Arial" w:eastAsia="Times New Roman" w:hAnsi="Arial" w:cs="Arial"/>
          <w:lang w:eastAsia="es-ES"/>
        </w:rPr>
      </w:pPr>
      <w:r w:rsidRPr="00250994">
        <w:rPr>
          <w:rFonts w:ascii="Arial" w:eastAsia="Times New Roman" w:hAnsi="Arial" w:cs="Arial"/>
          <w:lang w:eastAsia="es-ES"/>
        </w:rPr>
        <w:t xml:space="preserve">El SAT, en el caso de la SBN o la que haga sus veces, en el caso de las demás entidades, realiza el seguimiento del pago de la servidumbre, para que ésta se cumpla dentro del plazo estipulado en el contrato, para lo cual puede recurrir a la información contenida en el módulo “Seguimiento de Contratos” del SINABIP”, remitiendo a la SDAPE, en el caso de la SBN o la unidad orgánica competente, en las demás entidades, el reporte del depósito efectuado por concepto de servidumbre, dentro de los diez (10) días hábiles de efectuado el pago.  </w:t>
      </w:r>
    </w:p>
    <w:p w:rsidR="00250994" w:rsidRPr="00250994" w:rsidRDefault="00250994" w:rsidP="00250994">
      <w:pPr>
        <w:pStyle w:val="Prrafodelista"/>
        <w:spacing w:after="0" w:line="240" w:lineRule="auto"/>
        <w:ind w:left="480"/>
        <w:jc w:val="both"/>
        <w:rPr>
          <w:rFonts w:ascii="Arial" w:eastAsia="Times New Roman" w:hAnsi="Arial" w:cs="Arial"/>
          <w:lang w:eastAsia="es-ES"/>
        </w:rPr>
      </w:pPr>
    </w:p>
    <w:p w:rsidR="00C0291C" w:rsidRPr="00C0291C" w:rsidRDefault="00C0291C" w:rsidP="00250994">
      <w:pPr>
        <w:spacing w:after="0" w:line="240" w:lineRule="auto"/>
        <w:ind w:left="1701"/>
        <w:jc w:val="both"/>
        <w:rPr>
          <w:rFonts w:ascii="Arial" w:eastAsia="Times New Roman" w:hAnsi="Arial" w:cs="Arial"/>
          <w:lang w:eastAsia="es-ES"/>
        </w:rPr>
      </w:pPr>
      <w:r w:rsidRPr="00C0291C">
        <w:rPr>
          <w:rFonts w:ascii="Arial" w:eastAsia="Times New Roman" w:hAnsi="Arial" w:cs="Arial"/>
          <w:lang w:eastAsia="es-ES"/>
        </w:rPr>
        <w:t>Respecto a las obligaciones tributarias y de servicios, el administrado está obligado a efectuar estos pagos antes de su vencimiento, debiendo remitir al SAT en el caso de la SBN o a la unidad orgánica competente en los demás casos, un reporte de los recibos de pago que viene efectuando anualmente, a fin que este se anexe al expediente que dio origen a la servidumbre.</w:t>
      </w:r>
    </w:p>
    <w:p w:rsidR="00C0291C" w:rsidRPr="00C0291C" w:rsidRDefault="00C0291C" w:rsidP="00E12642">
      <w:pPr>
        <w:spacing w:after="0" w:line="240" w:lineRule="auto"/>
        <w:ind w:left="851"/>
        <w:jc w:val="both"/>
        <w:rPr>
          <w:rFonts w:ascii="Arial" w:eastAsia="Times New Roman" w:hAnsi="Arial" w:cs="Arial"/>
          <w:lang w:eastAsia="es-ES"/>
        </w:rPr>
      </w:pPr>
    </w:p>
    <w:p w:rsidR="00C0291C" w:rsidRPr="00250994" w:rsidRDefault="00C0291C" w:rsidP="00E12642">
      <w:pPr>
        <w:spacing w:after="0" w:line="240" w:lineRule="auto"/>
        <w:ind w:left="851"/>
        <w:jc w:val="both"/>
        <w:rPr>
          <w:rFonts w:ascii="Arial" w:eastAsia="Times New Roman" w:hAnsi="Arial" w:cs="Arial"/>
          <w:b/>
          <w:lang w:eastAsia="es-ES"/>
        </w:rPr>
      </w:pPr>
      <w:r w:rsidRPr="00250994">
        <w:rPr>
          <w:rFonts w:ascii="Arial" w:eastAsia="Times New Roman" w:hAnsi="Arial" w:cs="Arial"/>
          <w:b/>
          <w:lang w:eastAsia="es-ES"/>
        </w:rPr>
        <w:t>Acciones de supervisión</w:t>
      </w:r>
    </w:p>
    <w:p w:rsidR="00250994" w:rsidRDefault="00250994" w:rsidP="00E12642">
      <w:pPr>
        <w:spacing w:after="0" w:line="240" w:lineRule="auto"/>
        <w:ind w:left="851"/>
        <w:jc w:val="both"/>
        <w:rPr>
          <w:rFonts w:ascii="Arial" w:eastAsia="Times New Roman" w:hAnsi="Arial" w:cs="Arial"/>
          <w:lang w:eastAsia="es-ES"/>
        </w:rPr>
      </w:pPr>
    </w:p>
    <w:p w:rsidR="00C0291C" w:rsidRPr="00250994" w:rsidRDefault="00C0291C" w:rsidP="0092471C">
      <w:pPr>
        <w:pStyle w:val="Prrafodelista"/>
        <w:numPr>
          <w:ilvl w:val="1"/>
          <w:numId w:val="273"/>
        </w:numPr>
        <w:spacing w:after="0" w:line="240" w:lineRule="auto"/>
        <w:ind w:left="1701" w:hanging="708"/>
        <w:jc w:val="both"/>
        <w:rPr>
          <w:rFonts w:ascii="Arial" w:eastAsia="Times New Roman" w:hAnsi="Arial" w:cs="Arial"/>
          <w:lang w:eastAsia="es-ES"/>
        </w:rPr>
      </w:pPr>
      <w:r w:rsidRPr="00250994">
        <w:rPr>
          <w:rFonts w:ascii="Arial" w:eastAsia="Times New Roman" w:hAnsi="Arial" w:cs="Arial"/>
          <w:lang w:eastAsia="es-ES"/>
        </w:rPr>
        <w:t>La SDS efectúa las acciones de supervisión, conforme a lo dispuesto en la Directiva 003-2016/SBN, denominada: “Lineamientos para la supervisión de bienes inmuebles estatales”, sin perjuicio de las inspecciones periódicas que puedan efectuar las unidades orgánicas competentes de las demás entidades, a los predios sobre los cuales se ha constituido el derecho de servidumbre.</w:t>
      </w:r>
    </w:p>
    <w:p w:rsidR="00250994" w:rsidRPr="00250994" w:rsidRDefault="00250994" w:rsidP="00250994">
      <w:pPr>
        <w:pStyle w:val="Prrafodelista"/>
        <w:spacing w:after="0" w:line="240" w:lineRule="auto"/>
        <w:ind w:left="480"/>
        <w:jc w:val="both"/>
        <w:rPr>
          <w:rFonts w:ascii="Arial" w:eastAsia="Times New Roman" w:hAnsi="Arial" w:cs="Arial"/>
          <w:lang w:eastAsia="es-ES"/>
        </w:rPr>
      </w:pPr>
    </w:p>
    <w:p w:rsidR="00C0291C" w:rsidRPr="00250994" w:rsidRDefault="00C0291C" w:rsidP="00E12642">
      <w:pPr>
        <w:spacing w:after="0" w:line="240" w:lineRule="auto"/>
        <w:ind w:left="851"/>
        <w:jc w:val="both"/>
        <w:rPr>
          <w:rFonts w:ascii="Arial" w:eastAsia="Times New Roman" w:hAnsi="Arial" w:cs="Arial"/>
          <w:b/>
          <w:lang w:eastAsia="es-ES"/>
        </w:rPr>
      </w:pPr>
      <w:r w:rsidRPr="00250994">
        <w:rPr>
          <w:rFonts w:ascii="Arial" w:eastAsia="Times New Roman" w:hAnsi="Arial" w:cs="Arial"/>
          <w:b/>
          <w:lang w:eastAsia="es-ES"/>
        </w:rPr>
        <w:t xml:space="preserve">Resolución del contrato </w:t>
      </w:r>
    </w:p>
    <w:p w:rsidR="00250994" w:rsidRDefault="00250994" w:rsidP="00E12642">
      <w:pPr>
        <w:spacing w:after="0" w:line="240" w:lineRule="auto"/>
        <w:ind w:left="851"/>
        <w:jc w:val="both"/>
        <w:rPr>
          <w:rFonts w:ascii="Arial" w:eastAsia="Times New Roman" w:hAnsi="Arial" w:cs="Arial"/>
          <w:lang w:eastAsia="es-ES"/>
        </w:rPr>
      </w:pPr>
    </w:p>
    <w:p w:rsidR="00C0291C" w:rsidRPr="00250994" w:rsidRDefault="00C0291C" w:rsidP="0092471C">
      <w:pPr>
        <w:pStyle w:val="Prrafodelista"/>
        <w:numPr>
          <w:ilvl w:val="1"/>
          <w:numId w:val="273"/>
        </w:numPr>
        <w:spacing w:after="0" w:line="240" w:lineRule="auto"/>
        <w:ind w:left="1701" w:hanging="708"/>
        <w:jc w:val="both"/>
        <w:rPr>
          <w:rFonts w:ascii="Arial" w:eastAsia="Times New Roman" w:hAnsi="Arial" w:cs="Arial"/>
          <w:lang w:eastAsia="es-ES"/>
        </w:rPr>
      </w:pPr>
      <w:r w:rsidRPr="00250994">
        <w:rPr>
          <w:rFonts w:ascii="Arial" w:eastAsia="Times New Roman" w:hAnsi="Arial" w:cs="Arial"/>
          <w:lang w:eastAsia="es-ES"/>
        </w:rPr>
        <w:t>De verificarse el incumplimiento del pago de la servidumbre, de los tributos o servicios correspondientes al predio, el SAT o quien haga sus veces comunicará dicha situación a la SDAPE, en el caso de la SBN o a la unidad respectiva, en el caso de las demás entidades. En los casos de incumplimiento y/o desnaturalización de la finalidad, incumplimiento de otras obligaciones contractuales y en las demás causales de resolución contractual, corresponde a la SDS informar a la SDAPE, en el caso de la SBN o a las unidades orgánicas competentes, en el caso de las demás entidades.</w:t>
      </w:r>
    </w:p>
    <w:p w:rsidR="00250994" w:rsidRPr="00250994" w:rsidRDefault="00250994" w:rsidP="00250994">
      <w:pPr>
        <w:pStyle w:val="Prrafodelista"/>
        <w:spacing w:after="0" w:line="240" w:lineRule="auto"/>
        <w:ind w:left="480"/>
        <w:jc w:val="both"/>
        <w:rPr>
          <w:rFonts w:ascii="Arial" w:eastAsia="Times New Roman" w:hAnsi="Arial" w:cs="Arial"/>
          <w:lang w:eastAsia="es-ES"/>
        </w:rPr>
      </w:pPr>
    </w:p>
    <w:p w:rsidR="00C0291C" w:rsidRPr="00C0291C" w:rsidRDefault="00C0291C" w:rsidP="00E12642">
      <w:pPr>
        <w:spacing w:after="0" w:line="240" w:lineRule="auto"/>
        <w:ind w:left="851"/>
        <w:jc w:val="both"/>
        <w:rPr>
          <w:rFonts w:ascii="Arial" w:eastAsia="Times New Roman" w:hAnsi="Arial" w:cs="Arial"/>
          <w:lang w:eastAsia="es-ES"/>
        </w:rPr>
      </w:pPr>
    </w:p>
    <w:p w:rsidR="00C0291C" w:rsidRPr="00C0291C" w:rsidRDefault="00C0291C" w:rsidP="00250994">
      <w:pPr>
        <w:spacing w:after="0" w:line="240" w:lineRule="auto"/>
        <w:ind w:left="1701"/>
        <w:jc w:val="both"/>
        <w:rPr>
          <w:rFonts w:ascii="Arial" w:eastAsia="Times New Roman" w:hAnsi="Arial" w:cs="Arial"/>
          <w:lang w:eastAsia="es-ES"/>
        </w:rPr>
      </w:pPr>
      <w:r w:rsidRPr="00C0291C">
        <w:rPr>
          <w:rFonts w:ascii="Arial" w:eastAsia="Times New Roman" w:hAnsi="Arial" w:cs="Arial"/>
          <w:lang w:eastAsia="es-ES"/>
        </w:rPr>
        <w:t>Con la información recibida, la SDAPE en el caso de la SBN o la unidad que haga sus veces, en los demás casos, evalúa y sustenta la resolución del contrato. Con dicho sustento, la DGPE, en el caso de la SBN, o la unidad competente, en los demás casos, comunica al administrado que procede a valerse de la cláusula resolutoria, requiriendo la devolución del bien.</w:t>
      </w:r>
    </w:p>
    <w:p w:rsidR="00C0291C" w:rsidRPr="00C0291C" w:rsidRDefault="00C0291C" w:rsidP="00250994">
      <w:pPr>
        <w:spacing w:after="0" w:line="240" w:lineRule="auto"/>
        <w:ind w:left="1701"/>
        <w:jc w:val="both"/>
        <w:rPr>
          <w:rFonts w:ascii="Arial" w:eastAsia="Times New Roman" w:hAnsi="Arial" w:cs="Arial"/>
          <w:lang w:eastAsia="es-ES"/>
        </w:rPr>
      </w:pPr>
    </w:p>
    <w:p w:rsidR="00C0291C" w:rsidRPr="00C0291C" w:rsidRDefault="00C0291C" w:rsidP="00250994">
      <w:pPr>
        <w:spacing w:after="0" w:line="240" w:lineRule="auto"/>
        <w:ind w:left="1701"/>
        <w:jc w:val="both"/>
        <w:rPr>
          <w:rFonts w:ascii="Arial" w:eastAsia="Times New Roman" w:hAnsi="Arial" w:cs="Arial"/>
          <w:lang w:eastAsia="es-ES"/>
        </w:rPr>
      </w:pPr>
      <w:r w:rsidRPr="00C0291C">
        <w:rPr>
          <w:rFonts w:ascii="Arial" w:eastAsia="Times New Roman" w:hAnsi="Arial" w:cs="Arial"/>
          <w:lang w:eastAsia="es-ES"/>
        </w:rPr>
        <w:t xml:space="preserve">Dentro del plazo de cinco (05) días de resuelto el contrato, la SDAPE en el caso de la SBN o la unidad orgánica competente, en los demás casos, emite resolución declarando la extinción de la servidumbre. </w:t>
      </w:r>
    </w:p>
    <w:p w:rsidR="00C0291C" w:rsidRPr="00C0291C" w:rsidRDefault="00C0291C" w:rsidP="00E12642">
      <w:pPr>
        <w:spacing w:after="0" w:line="240" w:lineRule="auto"/>
        <w:ind w:left="851"/>
        <w:jc w:val="both"/>
        <w:rPr>
          <w:rFonts w:ascii="Arial" w:eastAsia="Times New Roman" w:hAnsi="Arial" w:cs="Arial"/>
          <w:lang w:eastAsia="es-ES"/>
        </w:rPr>
      </w:pPr>
    </w:p>
    <w:p w:rsidR="00C0291C" w:rsidRPr="00250994" w:rsidRDefault="00C0291C" w:rsidP="00E12642">
      <w:pPr>
        <w:spacing w:after="0" w:line="240" w:lineRule="auto"/>
        <w:ind w:left="851"/>
        <w:jc w:val="both"/>
        <w:rPr>
          <w:rFonts w:ascii="Arial" w:eastAsia="Times New Roman" w:hAnsi="Arial" w:cs="Arial"/>
          <w:b/>
          <w:lang w:eastAsia="es-ES"/>
        </w:rPr>
      </w:pPr>
      <w:r w:rsidRPr="00250994">
        <w:rPr>
          <w:rFonts w:ascii="Arial" w:eastAsia="Times New Roman" w:hAnsi="Arial" w:cs="Arial"/>
          <w:b/>
          <w:lang w:eastAsia="es-ES"/>
        </w:rPr>
        <w:t>De las acciones de recuperación</w:t>
      </w:r>
    </w:p>
    <w:p w:rsidR="00250994" w:rsidRDefault="00250994" w:rsidP="00E12642">
      <w:pPr>
        <w:spacing w:after="0" w:line="240" w:lineRule="auto"/>
        <w:ind w:left="851"/>
        <w:jc w:val="both"/>
        <w:rPr>
          <w:rFonts w:ascii="Arial" w:eastAsia="Times New Roman" w:hAnsi="Arial" w:cs="Arial"/>
          <w:lang w:eastAsia="es-ES"/>
        </w:rPr>
      </w:pPr>
    </w:p>
    <w:p w:rsidR="00C0291C" w:rsidRPr="00C0291C" w:rsidRDefault="00250994" w:rsidP="00250994">
      <w:pPr>
        <w:spacing w:after="0" w:line="240" w:lineRule="auto"/>
        <w:ind w:left="1701" w:hanging="708"/>
        <w:jc w:val="both"/>
        <w:rPr>
          <w:rFonts w:ascii="Arial" w:eastAsia="Times New Roman" w:hAnsi="Arial" w:cs="Arial"/>
          <w:lang w:eastAsia="es-ES"/>
        </w:rPr>
      </w:pPr>
      <w:r>
        <w:rPr>
          <w:rFonts w:ascii="Arial" w:eastAsia="Times New Roman" w:hAnsi="Arial" w:cs="Arial"/>
          <w:lang w:eastAsia="es-ES"/>
        </w:rPr>
        <w:t xml:space="preserve">6.27 </w:t>
      </w:r>
      <w:r>
        <w:rPr>
          <w:rFonts w:ascii="Arial" w:eastAsia="Times New Roman" w:hAnsi="Arial" w:cs="Arial"/>
          <w:lang w:eastAsia="es-ES"/>
        </w:rPr>
        <w:tab/>
      </w:r>
      <w:r w:rsidR="00C0291C" w:rsidRPr="00C0291C">
        <w:rPr>
          <w:rFonts w:ascii="Arial" w:eastAsia="Times New Roman" w:hAnsi="Arial" w:cs="Arial"/>
          <w:lang w:eastAsia="es-ES"/>
        </w:rPr>
        <w:t>En los casos que, producido el archivamiento del procedimiento o resuelto el contrato de servidumbre, no se cumpla con devolver el predio, la unidad competente pone en conocimiento  de la PP de la SBN o de las entidades, según corresponda, para las acciones judiciales conducentes a la recuperación del predio.</w:t>
      </w:r>
    </w:p>
    <w:p w:rsidR="00C0291C" w:rsidRPr="00C0291C" w:rsidRDefault="00C0291C" w:rsidP="00C0291C">
      <w:pPr>
        <w:spacing w:after="0" w:line="240" w:lineRule="auto"/>
        <w:jc w:val="both"/>
        <w:rPr>
          <w:rFonts w:ascii="Arial" w:eastAsia="Times New Roman" w:hAnsi="Arial" w:cs="Arial"/>
          <w:lang w:eastAsia="es-ES"/>
        </w:rPr>
      </w:pPr>
    </w:p>
    <w:p w:rsidR="00C0291C" w:rsidRPr="00250994" w:rsidRDefault="00C0291C" w:rsidP="00C0291C">
      <w:pPr>
        <w:spacing w:after="0" w:line="240" w:lineRule="auto"/>
        <w:jc w:val="both"/>
        <w:rPr>
          <w:rFonts w:ascii="Arial" w:eastAsia="Times New Roman" w:hAnsi="Arial" w:cs="Arial"/>
          <w:b/>
          <w:lang w:eastAsia="es-ES"/>
        </w:rPr>
      </w:pPr>
      <w:r w:rsidRPr="00250994">
        <w:rPr>
          <w:rFonts w:ascii="Arial" w:eastAsia="Times New Roman" w:hAnsi="Arial" w:cs="Arial"/>
          <w:b/>
          <w:lang w:eastAsia="es-ES"/>
        </w:rPr>
        <w:t>VII. DISPOSICIONES COMPLEMENTARIAS FINALES</w:t>
      </w:r>
    </w:p>
    <w:p w:rsidR="00C0291C" w:rsidRPr="00C0291C" w:rsidRDefault="00C0291C" w:rsidP="00C0291C">
      <w:pPr>
        <w:spacing w:after="0" w:line="240" w:lineRule="auto"/>
        <w:jc w:val="both"/>
        <w:rPr>
          <w:rFonts w:ascii="Arial" w:eastAsia="Times New Roman" w:hAnsi="Arial" w:cs="Arial"/>
          <w:lang w:eastAsia="es-ES"/>
        </w:rPr>
      </w:pPr>
    </w:p>
    <w:p w:rsidR="00C0291C" w:rsidRPr="00250994" w:rsidRDefault="00C0291C" w:rsidP="00C0291C">
      <w:pPr>
        <w:spacing w:after="0" w:line="240" w:lineRule="auto"/>
        <w:jc w:val="both"/>
        <w:rPr>
          <w:rFonts w:ascii="Arial" w:eastAsia="Times New Roman" w:hAnsi="Arial" w:cs="Arial"/>
          <w:b/>
          <w:lang w:eastAsia="es-ES"/>
        </w:rPr>
      </w:pPr>
      <w:r w:rsidRPr="00250994">
        <w:rPr>
          <w:rFonts w:ascii="Arial" w:eastAsia="Times New Roman" w:hAnsi="Arial" w:cs="Arial"/>
          <w:b/>
          <w:lang w:eastAsia="es-ES"/>
        </w:rPr>
        <w:t>Primera.- Procedimientos iniciados antes de la entrada en vigencia de la presente Directiva.</w:t>
      </w:r>
    </w:p>
    <w:p w:rsidR="00C0291C" w:rsidRPr="00C0291C" w:rsidRDefault="00C0291C" w:rsidP="00C0291C">
      <w:pPr>
        <w:spacing w:after="0" w:line="240" w:lineRule="auto"/>
        <w:jc w:val="both"/>
        <w:rPr>
          <w:rFonts w:ascii="Arial" w:eastAsia="Times New Roman" w:hAnsi="Arial" w:cs="Arial"/>
          <w:lang w:eastAsia="es-ES"/>
        </w:rPr>
      </w:pPr>
      <w:r w:rsidRPr="00C0291C">
        <w:rPr>
          <w:rFonts w:ascii="Arial" w:eastAsia="Times New Roman" w:hAnsi="Arial" w:cs="Arial"/>
          <w:lang w:eastAsia="es-ES"/>
        </w:rPr>
        <w:t>Los procedimientos de constitución de servidumbre que se encuentren en trámite se regirán por la presente Directiva, en la etapa que se encuentren.</w:t>
      </w:r>
    </w:p>
    <w:p w:rsidR="00C0291C" w:rsidRPr="00C0291C" w:rsidRDefault="00C0291C" w:rsidP="00C0291C">
      <w:pPr>
        <w:spacing w:after="0" w:line="240" w:lineRule="auto"/>
        <w:jc w:val="both"/>
        <w:rPr>
          <w:rFonts w:ascii="Arial" w:eastAsia="Times New Roman" w:hAnsi="Arial" w:cs="Arial"/>
          <w:lang w:eastAsia="es-ES"/>
        </w:rPr>
      </w:pPr>
    </w:p>
    <w:p w:rsidR="00C0291C" w:rsidRPr="00250994" w:rsidRDefault="00C0291C" w:rsidP="00C0291C">
      <w:pPr>
        <w:spacing w:after="0" w:line="240" w:lineRule="auto"/>
        <w:jc w:val="both"/>
        <w:rPr>
          <w:rFonts w:ascii="Arial" w:eastAsia="Times New Roman" w:hAnsi="Arial" w:cs="Arial"/>
          <w:b/>
          <w:lang w:eastAsia="es-ES"/>
        </w:rPr>
      </w:pPr>
      <w:r w:rsidRPr="00250994">
        <w:rPr>
          <w:rFonts w:ascii="Arial" w:eastAsia="Times New Roman" w:hAnsi="Arial" w:cs="Arial"/>
          <w:b/>
          <w:lang w:eastAsia="es-ES"/>
        </w:rPr>
        <w:t xml:space="preserve">Segunda.- Procedimientos referidos a servidumbres para proyectos de inversión </w:t>
      </w:r>
    </w:p>
    <w:p w:rsidR="00C0291C" w:rsidRPr="00C0291C" w:rsidRDefault="00C0291C" w:rsidP="00C0291C">
      <w:pPr>
        <w:spacing w:after="0" w:line="240" w:lineRule="auto"/>
        <w:jc w:val="both"/>
        <w:rPr>
          <w:rFonts w:ascii="Arial" w:eastAsia="Times New Roman" w:hAnsi="Arial" w:cs="Arial"/>
          <w:lang w:eastAsia="es-ES"/>
        </w:rPr>
      </w:pPr>
      <w:r w:rsidRPr="00C0291C">
        <w:rPr>
          <w:rFonts w:ascii="Arial" w:eastAsia="Times New Roman" w:hAnsi="Arial" w:cs="Arial"/>
          <w:lang w:eastAsia="es-ES"/>
        </w:rPr>
        <w:t xml:space="preserve">Las solicitudes de servidumbre sobre predios estatales requeridos a la SBN para proyectos de inversión, corresponden ser atendidos a través de los procedimientos establecidos en la Ley N° 30327, el Decreto Supremo N° 002-2016/SBN-VIVIENDA y demás disposiciones sobre la materia. </w:t>
      </w:r>
    </w:p>
    <w:p w:rsidR="00C0291C" w:rsidRPr="00C0291C" w:rsidRDefault="00C0291C" w:rsidP="00C0291C">
      <w:pPr>
        <w:spacing w:after="0" w:line="240" w:lineRule="auto"/>
        <w:jc w:val="both"/>
        <w:rPr>
          <w:rFonts w:ascii="Arial" w:eastAsia="Times New Roman" w:hAnsi="Arial" w:cs="Arial"/>
          <w:lang w:eastAsia="es-ES"/>
        </w:rPr>
      </w:pPr>
    </w:p>
    <w:p w:rsidR="00C0291C" w:rsidRPr="00250994" w:rsidRDefault="00C0291C" w:rsidP="00C0291C">
      <w:pPr>
        <w:spacing w:after="0" w:line="240" w:lineRule="auto"/>
        <w:jc w:val="both"/>
        <w:rPr>
          <w:rFonts w:ascii="Arial" w:eastAsia="Times New Roman" w:hAnsi="Arial" w:cs="Arial"/>
          <w:b/>
          <w:lang w:eastAsia="es-ES"/>
        </w:rPr>
      </w:pPr>
      <w:r w:rsidRPr="00250994">
        <w:rPr>
          <w:rFonts w:ascii="Arial" w:eastAsia="Times New Roman" w:hAnsi="Arial" w:cs="Arial"/>
          <w:b/>
          <w:lang w:eastAsia="es-ES"/>
        </w:rPr>
        <w:t>Tercera.- Del cumplimiento de las disposiciones contenidas en la presente Directiva.</w:t>
      </w:r>
    </w:p>
    <w:p w:rsidR="00C0291C" w:rsidRPr="00C0291C" w:rsidRDefault="00C0291C" w:rsidP="00C0291C">
      <w:pPr>
        <w:spacing w:after="0" w:line="240" w:lineRule="auto"/>
        <w:jc w:val="both"/>
        <w:rPr>
          <w:rFonts w:ascii="Arial" w:eastAsia="Times New Roman" w:hAnsi="Arial" w:cs="Arial"/>
          <w:lang w:eastAsia="es-ES"/>
        </w:rPr>
      </w:pPr>
      <w:r w:rsidRPr="00C0291C">
        <w:rPr>
          <w:rFonts w:ascii="Arial" w:eastAsia="Times New Roman" w:hAnsi="Arial" w:cs="Arial"/>
          <w:lang w:eastAsia="es-ES"/>
        </w:rPr>
        <w:t>La DGPE, conjuntamente con la SDAPE, son responsables de velar por el cumplimiento de las disposiciones contenidas en la presente Directiva, respecto de los predios de propiedad del Estado que se encuentran bajo la administración de la SBN.</w:t>
      </w:r>
    </w:p>
    <w:p w:rsidR="00C0291C" w:rsidRPr="00C0291C" w:rsidRDefault="00C0291C" w:rsidP="00C0291C">
      <w:pPr>
        <w:spacing w:after="0" w:line="240" w:lineRule="auto"/>
        <w:jc w:val="both"/>
        <w:rPr>
          <w:rFonts w:ascii="Arial" w:eastAsia="Times New Roman" w:hAnsi="Arial" w:cs="Arial"/>
          <w:lang w:eastAsia="es-ES"/>
        </w:rPr>
      </w:pPr>
    </w:p>
    <w:p w:rsidR="00C0291C" w:rsidRPr="00C0291C" w:rsidRDefault="00C0291C" w:rsidP="00C0291C">
      <w:pPr>
        <w:spacing w:after="0" w:line="240" w:lineRule="auto"/>
        <w:jc w:val="both"/>
        <w:rPr>
          <w:rFonts w:ascii="Arial" w:eastAsia="Times New Roman" w:hAnsi="Arial" w:cs="Arial"/>
          <w:lang w:eastAsia="es-ES"/>
        </w:rPr>
      </w:pPr>
      <w:r w:rsidRPr="00C0291C">
        <w:rPr>
          <w:rFonts w:ascii="Arial" w:eastAsia="Times New Roman" w:hAnsi="Arial" w:cs="Arial"/>
          <w:lang w:eastAsia="es-ES"/>
        </w:rPr>
        <w:t>Corresponde a cada órgano o unidad orgánica de las entidades que conforman el SNBE, designada para tal fin, velar por el cumplimiento de las disposiciones contenidas en la presente Directiva, de acuerdo a sus documentos de gestión.</w:t>
      </w:r>
    </w:p>
    <w:p w:rsidR="00C0291C" w:rsidRPr="00C0291C" w:rsidRDefault="00C0291C" w:rsidP="00C0291C">
      <w:pPr>
        <w:spacing w:after="0" w:line="240" w:lineRule="auto"/>
        <w:jc w:val="both"/>
        <w:rPr>
          <w:rFonts w:ascii="Arial" w:eastAsia="Times New Roman" w:hAnsi="Arial" w:cs="Arial"/>
          <w:lang w:eastAsia="es-ES"/>
        </w:rPr>
      </w:pPr>
    </w:p>
    <w:p w:rsidR="00C0291C" w:rsidRPr="00250994" w:rsidRDefault="00C0291C" w:rsidP="00C0291C">
      <w:pPr>
        <w:spacing w:after="0" w:line="240" w:lineRule="auto"/>
        <w:jc w:val="both"/>
        <w:rPr>
          <w:rFonts w:ascii="Arial" w:eastAsia="Times New Roman" w:hAnsi="Arial" w:cs="Arial"/>
          <w:b/>
          <w:lang w:eastAsia="es-ES"/>
        </w:rPr>
      </w:pPr>
      <w:r w:rsidRPr="00250994">
        <w:rPr>
          <w:rFonts w:ascii="Arial" w:eastAsia="Times New Roman" w:hAnsi="Arial" w:cs="Arial"/>
          <w:b/>
          <w:lang w:eastAsia="es-ES"/>
        </w:rPr>
        <w:t>VIII.  DISPOSICIONES COMPLEMENTARIAS TRANSITORIAS</w:t>
      </w:r>
    </w:p>
    <w:p w:rsidR="00C0291C" w:rsidRPr="00C0291C" w:rsidRDefault="00C0291C" w:rsidP="00C0291C">
      <w:pPr>
        <w:spacing w:after="0" w:line="240" w:lineRule="auto"/>
        <w:jc w:val="both"/>
        <w:rPr>
          <w:rFonts w:ascii="Arial" w:eastAsia="Times New Roman" w:hAnsi="Arial" w:cs="Arial"/>
          <w:lang w:eastAsia="es-ES"/>
        </w:rPr>
      </w:pPr>
    </w:p>
    <w:p w:rsidR="00C0291C" w:rsidRPr="00C0291C" w:rsidRDefault="00C0291C" w:rsidP="00C0291C">
      <w:pPr>
        <w:spacing w:after="0" w:line="240" w:lineRule="auto"/>
        <w:jc w:val="both"/>
        <w:rPr>
          <w:rFonts w:ascii="Arial" w:eastAsia="Times New Roman" w:hAnsi="Arial" w:cs="Arial"/>
          <w:lang w:eastAsia="es-ES"/>
        </w:rPr>
      </w:pPr>
      <w:r w:rsidRPr="00250994">
        <w:rPr>
          <w:rFonts w:ascii="Arial" w:eastAsia="Times New Roman" w:hAnsi="Arial" w:cs="Arial"/>
          <w:b/>
          <w:lang w:eastAsia="es-ES"/>
        </w:rPr>
        <w:t>Única.-</w:t>
      </w:r>
      <w:r w:rsidRPr="00C0291C">
        <w:rPr>
          <w:rFonts w:ascii="Arial" w:eastAsia="Times New Roman" w:hAnsi="Arial" w:cs="Arial"/>
          <w:lang w:eastAsia="es-ES"/>
        </w:rPr>
        <w:t xml:space="preserve"> Las solicitudes de servidumbre que no se encuentren en el ámbito de aplicación de la Ley N° 30327, ni de las respectivas normas sectoriales, se regirán por la presente Directiva, siempre que el administrado acredite dicha situación con el pronunciamiento de la respectiva entidad sectorial, en tanto no sea aprobada la modificación del Reglamento de la Ley N° 29151, ni disposiciones referidas a la constitución de servidumbre en el marco del Sistema Nacional de Bienes Estatales.</w:t>
      </w:r>
    </w:p>
    <w:p w:rsidR="00C0291C" w:rsidRPr="00C0291C" w:rsidRDefault="00C0291C" w:rsidP="00C0291C">
      <w:pPr>
        <w:spacing w:after="0" w:line="240" w:lineRule="auto"/>
        <w:jc w:val="both"/>
        <w:rPr>
          <w:rFonts w:ascii="Arial" w:eastAsia="Times New Roman" w:hAnsi="Arial" w:cs="Arial"/>
          <w:lang w:eastAsia="es-ES"/>
        </w:rPr>
      </w:pPr>
    </w:p>
    <w:p w:rsidR="00C0291C" w:rsidRPr="00250994" w:rsidRDefault="00C0291C" w:rsidP="00C0291C">
      <w:pPr>
        <w:spacing w:after="0" w:line="240" w:lineRule="auto"/>
        <w:jc w:val="both"/>
        <w:rPr>
          <w:rFonts w:ascii="Arial" w:eastAsia="Times New Roman" w:hAnsi="Arial" w:cs="Arial"/>
          <w:b/>
          <w:lang w:eastAsia="es-ES"/>
        </w:rPr>
      </w:pPr>
      <w:r w:rsidRPr="00250994">
        <w:rPr>
          <w:rFonts w:ascii="Arial" w:eastAsia="Times New Roman" w:hAnsi="Arial" w:cs="Arial"/>
          <w:b/>
          <w:lang w:eastAsia="es-ES"/>
        </w:rPr>
        <w:t>IX.</w:t>
      </w:r>
      <w:r w:rsidR="00250994">
        <w:rPr>
          <w:rFonts w:ascii="Arial" w:eastAsia="Times New Roman" w:hAnsi="Arial" w:cs="Arial"/>
          <w:b/>
          <w:lang w:eastAsia="es-ES"/>
        </w:rPr>
        <w:t xml:space="preserve"> </w:t>
      </w:r>
      <w:r w:rsidRPr="00250994">
        <w:rPr>
          <w:rFonts w:ascii="Arial" w:eastAsia="Times New Roman" w:hAnsi="Arial" w:cs="Arial"/>
          <w:b/>
          <w:lang w:eastAsia="es-ES"/>
        </w:rPr>
        <w:t xml:space="preserve">ANEXOS </w:t>
      </w:r>
    </w:p>
    <w:p w:rsidR="00C0291C" w:rsidRPr="00C0291C" w:rsidRDefault="00C0291C" w:rsidP="00C0291C">
      <w:pPr>
        <w:spacing w:after="0" w:line="240" w:lineRule="auto"/>
        <w:jc w:val="both"/>
        <w:rPr>
          <w:rFonts w:ascii="Arial" w:eastAsia="Times New Roman" w:hAnsi="Arial" w:cs="Arial"/>
          <w:lang w:eastAsia="es-ES"/>
        </w:rPr>
      </w:pPr>
      <w:r w:rsidRPr="00C0291C">
        <w:rPr>
          <w:rFonts w:ascii="Arial" w:eastAsia="Times New Roman" w:hAnsi="Arial" w:cs="Arial"/>
          <w:lang w:eastAsia="es-ES"/>
        </w:rPr>
        <w:t>Forman parte de la presente Directiva, los anexos siguientes:</w:t>
      </w:r>
    </w:p>
    <w:p w:rsidR="00C0291C" w:rsidRPr="00C0291C" w:rsidRDefault="00C0291C" w:rsidP="00C0291C">
      <w:pPr>
        <w:spacing w:after="0" w:line="240" w:lineRule="auto"/>
        <w:jc w:val="both"/>
        <w:rPr>
          <w:rFonts w:ascii="Arial" w:eastAsia="Times New Roman" w:hAnsi="Arial" w:cs="Arial"/>
          <w:lang w:eastAsia="es-ES"/>
        </w:rPr>
      </w:pPr>
    </w:p>
    <w:p w:rsidR="00C0291C" w:rsidRPr="00C0291C" w:rsidRDefault="00C0291C" w:rsidP="00C0291C">
      <w:pPr>
        <w:spacing w:after="0" w:line="240" w:lineRule="auto"/>
        <w:jc w:val="both"/>
        <w:rPr>
          <w:rFonts w:ascii="Arial" w:eastAsia="Times New Roman" w:hAnsi="Arial" w:cs="Arial"/>
          <w:lang w:eastAsia="es-ES"/>
        </w:rPr>
      </w:pPr>
      <w:r w:rsidRPr="00C0291C">
        <w:rPr>
          <w:rFonts w:ascii="Arial" w:eastAsia="Times New Roman" w:hAnsi="Arial" w:cs="Arial"/>
          <w:lang w:eastAsia="es-ES"/>
        </w:rPr>
        <w:t xml:space="preserve">ANEXO N° 1.-  </w:t>
      </w:r>
      <w:r w:rsidR="00250994">
        <w:rPr>
          <w:rFonts w:ascii="Arial" w:eastAsia="Times New Roman" w:hAnsi="Arial" w:cs="Arial"/>
          <w:lang w:eastAsia="es-ES"/>
        </w:rPr>
        <w:tab/>
      </w:r>
      <w:r w:rsidRPr="00C0291C">
        <w:rPr>
          <w:rFonts w:ascii="Arial" w:eastAsia="Times New Roman" w:hAnsi="Arial" w:cs="Arial"/>
          <w:lang w:eastAsia="es-ES"/>
        </w:rPr>
        <w:t>Glosario de Términos</w:t>
      </w:r>
    </w:p>
    <w:p w:rsidR="00C0291C" w:rsidRPr="00C0291C" w:rsidRDefault="00C0291C" w:rsidP="00C0291C">
      <w:pPr>
        <w:spacing w:after="0" w:line="240" w:lineRule="auto"/>
        <w:jc w:val="both"/>
        <w:rPr>
          <w:rFonts w:ascii="Arial" w:eastAsia="Times New Roman" w:hAnsi="Arial" w:cs="Arial"/>
          <w:lang w:eastAsia="es-ES"/>
        </w:rPr>
      </w:pPr>
      <w:r w:rsidRPr="00C0291C">
        <w:rPr>
          <w:rFonts w:ascii="Arial" w:eastAsia="Times New Roman" w:hAnsi="Arial" w:cs="Arial"/>
          <w:lang w:eastAsia="es-ES"/>
        </w:rPr>
        <w:t xml:space="preserve">ANEXO N° 2.-  </w:t>
      </w:r>
      <w:r w:rsidR="00250994">
        <w:rPr>
          <w:rFonts w:ascii="Arial" w:eastAsia="Times New Roman" w:hAnsi="Arial" w:cs="Arial"/>
          <w:lang w:eastAsia="es-ES"/>
        </w:rPr>
        <w:tab/>
      </w:r>
      <w:r w:rsidRPr="00C0291C">
        <w:rPr>
          <w:rFonts w:ascii="Arial" w:eastAsia="Times New Roman" w:hAnsi="Arial" w:cs="Arial"/>
          <w:lang w:eastAsia="es-ES"/>
        </w:rPr>
        <w:t>Abreviaturas</w:t>
      </w:r>
    </w:p>
    <w:p w:rsidR="00C0291C" w:rsidRPr="00C0291C" w:rsidRDefault="00C0291C" w:rsidP="00C0291C">
      <w:pPr>
        <w:spacing w:after="0" w:line="240" w:lineRule="auto"/>
        <w:jc w:val="both"/>
        <w:rPr>
          <w:rFonts w:ascii="Arial" w:eastAsia="Times New Roman" w:hAnsi="Arial" w:cs="Arial"/>
          <w:lang w:eastAsia="es-ES"/>
        </w:rPr>
      </w:pPr>
      <w:r w:rsidRPr="00C0291C">
        <w:rPr>
          <w:rFonts w:ascii="Arial" w:eastAsia="Times New Roman" w:hAnsi="Arial" w:cs="Arial"/>
          <w:lang w:eastAsia="es-ES"/>
        </w:rPr>
        <w:t xml:space="preserve">ANEXO N° 3.-  </w:t>
      </w:r>
      <w:r w:rsidR="00250994">
        <w:rPr>
          <w:rFonts w:ascii="Arial" w:eastAsia="Times New Roman" w:hAnsi="Arial" w:cs="Arial"/>
          <w:lang w:eastAsia="es-ES"/>
        </w:rPr>
        <w:tab/>
      </w:r>
      <w:r w:rsidRPr="00C0291C">
        <w:rPr>
          <w:rFonts w:ascii="Arial" w:eastAsia="Times New Roman" w:hAnsi="Arial" w:cs="Arial"/>
          <w:lang w:eastAsia="es-ES"/>
        </w:rPr>
        <w:t xml:space="preserve">Declaración Jurada de no </w:t>
      </w:r>
      <w:r w:rsidR="00250994">
        <w:rPr>
          <w:rFonts w:ascii="Arial" w:eastAsia="Times New Roman" w:hAnsi="Arial" w:cs="Arial"/>
          <w:lang w:eastAsia="es-ES"/>
        </w:rPr>
        <w:t xml:space="preserve">tener impedimento de contratar </w:t>
      </w:r>
      <w:r w:rsidRPr="00C0291C">
        <w:rPr>
          <w:rFonts w:ascii="Arial" w:eastAsia="Times New Roman" w:hAnsi="Arial" w:cs="Arial"/>
          <w:lang w:eastAsia="es-ES"/>
        </w:rPr>
        <w:t>con el Estado</w:t>
      </w:r>
    </w:p>
    <w:p w:rsidR="00C0291C" w:rsidRPr="00C0291C" w:rsidRDefault="00C0291C" w:rsidP="00C0291C">
      <w:pPr>
        <w:spacing w:after="0" w:line="240" w:lineRule="auto"/>
        <w:jc w:val="both"/>
        <w:rPr>
          <w:rFonts w:ascii="Arial" w:eastAsia="Times New Roman" w:hAnsi="Arial" w:cs="Arial"/>
          <w:lang w:eastAsia="es-ES"/>
        </w:rPr>
      </w:pPr>
      <w:r w:rsidRPr="00C0291C">
        <w:rPr>
          <w:rFonts w:ascii="Arial" w:eastAsia="Times New Roman" w:hAnsi="Arial" w:cs="Arial"/>
          <w:lang w:eastAsia="es-ES"/>
        </w:rPr>
        <w:t xml:space="preserve">ANEXO  N° 4.- </w:t>
      </w:r>
      <w:r w:rsidR="00250994">
        <w:rPr>
          <w:rFonts w:ascii="Arial" w:eastAsia="Times New Roman" w:hAnsi="Arial" w:cs="Arial"/>
          <w:lang w:eastAsia="es-ES"/>
        </w:rPr>
        <w:tab/>
      </w:r>
      <w:r w:rsidRPr="00C0291C">
        <w:rPr>
          <w:rFonts w:ascii="Arial" w:eastAsia="Times New Roman" w:hAnsi="Arial" w:cs="Arial"/>
          <w:lang w:eastAsia="es-ES"/>
        </w:rPr>
        <w:t>“Cláusulas mínimas d</w:t>
      </w:r>
      <w:r w:rsidR="00250994">
        <w:rPr>
          <w:rFonts w:ascii="Arial" w:eastAsia="Times New Roman" w:hAnsi="Arial" w:cs="Arial"/>
          <w:lang w:eastAsia="es-ES"/>
        </w:rPr>
        <w:t>el Contrato de Constitución de</w:t>
      </w:r>
      <w:r w:rsidRPr="00C0291C">
        <w:rPr>
          <w:rFonts w:ascii="Arial" w:eastAsia="Times New Roman" w:hAnsi="Arial" w:cs="Arial"/>
          <w:lang w:eastAsia="es-ES"/>
        </w:rPr>
        <w:t xml:space="preserve"> Servidumbre”</w:t>
      </w:r>
    </w:p>
    <w:p w:rsidR="00C0291C" w:rsidRDefault="00C0291C" w:rsidP="006312E8">
      <w:pPr>
        <w:spacing w:after="200" w:line="276" w:lineRule="auto"/>
        <w:jc w:val="center"/>
        <w:rPr>
          <w:rFonts w:ascii="Arial" w:eastAsia="Calibri" w:hAnsi="Arial" w:cs="Arial"/>
          <w:b/>
          <w:sz w:val="28"/>
          <w:szCs w:val="28"/>
          <w:lang w:val="es-ES_tradnl"/>
        </w:rPr>
      </w:pPr>
    </w:p>
    <w:p w:rsidR="006312E8" w:rsidRPr="006312E8" w:rsidRDefault="006312E8" w:rsidP="006312E8">
      <w:pPr>
        <w:spacing w:after="200" w:line="276" w:lineRule="auto"/>
        <w:jc w:val="center"/>
        <w:rPr>
          <w:rFonts w:ascii="Arial" w:eastAsia="Calibri" w:hAnsi="Arial" w:cs="Arial"/>
          <w:b/>
          <w:sz w:val="28"/>
          <w:szCs w:val="28"/>
        </w:rPr>
      </w:pPr>
      <w:r w:rsidRPr="006312E8">
        <w:rPr>
          <w:rFonts w:ascii="Arial" w:eastAsia="Calibri" w:hAnsi="Arial" w:cs="Arial"/>
          <w:b/>
          <w:sz w:val="28"/>
          <w:szCs w:val="28"/>
        </w:rPr>
        <w:t>RESOLUCIÓN Nº 033-2007-SBN-GG</w:t>
      </w:r>
    </w:p>
    <w:p w:rsidR="006312E8" w:rsidRPr="006312E8" w:rsidRDefault="006312E8" w:rsidP="006312E8">
      <w:pPr>
        <w:spacing w:after="0" w:line="240" w:lineRule="auto"/>
        <w:jc w:val="center"/>
        <w:rPr>
          <w:rFonts w:ascii="Arial" w:eastAsia="Calibri" w:hAnsi="Arial" w:cs="Arial"/>
          <w:b/>
        </w:rPr>
      </w:pPr>
    </w:p>
    <w:p w:rsidR="006312E8" w:rsidRPr="006312E8" w:rsidRDefault="006312E8" w:rsidP="006312E8">
      <w:pPr>
        <w:spacing w:after="0" w:line="240" w:lineRule="auto"/>
        <w:jc w:val="center"/>
        <w:rPr>
          <w:rFonts w:ascii="Arial" w:eastAsia="Calibri" w:hAnsi="Arial" w:cs="Arial"/>
          <w:b/>
        </w:rPr>
      </w:pPr>
      <w:r w:rsidRPr="006312E8">
        <w:rPr>
          <w:rFonts w:ascii="Arial" w:eastAsia="Calibri" w:hAnsi="Arial" w:cs="Arial"/>
          <w:b/>
        </w:rPr>
        <w:t>Aprueban la Directiva Nº 002-2007/SBN que regula el “Procedimiento para el arrendamiento de predios de dominio privado del Estado de libre disponibilidad administrados por la SBN</w:t>
      </w:r>
    </w:p>
    <w:p w:rsidR="006312E8" w:rsidRPr="006312E8" w:rsidRDefault="006312E8" w:rsidP="006312E8">
      <w:pPr>
        <w:spacing w:after="0" w:line="240" w:lineRule="auto"/>
        <w:jc w:val="center"/>
        <w:rPr>
          <w:rFonts w:ascii="Arial" w:eastAsia="Calibri" w:hAnsi="Arial" w:cs="Arial"/>
        </w:rPr>
      </w:pPr>
    </w:p>
    <w:p w:rsidR="006312E8" w:rsidRPr="006312E8" w:rsidRDefault="006312E8" w:rsidP="006312E8">
      <w:pPr>
        <w:spacing w:after="0" w:line="240" w:lineRule="auto"/>
        <w:jc w:val="right"/>
        <w:rPr>
          <w:rFonts w:ascii="Arial" w:eastAsia="Calibri" w:hAnsi="Arial" w:cs="Arial"/>
          <w:b/>
          <w:lang w:val="es-ES"/>
        </w:rPr>
      </w:pPr>
      <w:r w:rsidRPr="006312E8">
        <w:rPr>
          <w:rFonts w:ascii="Arial" w:eastAsia="Calibri" w:hAnsi="Arial" w:cs="Arial"/>
          <w:b/>
          <w:lang w:val="es-ES"/>
        </w:rPr>
        <w:t>Fecha de publicación: 13-07-2007</w:t>
      </w:r>
    </w:p>
    <w:p w:rsidR="006312E8" w:rsidRPr="006312E8" w:rsidRDefault="006312E8" w:rsidP="006312E8">
      <w:pPr>
        <w:spacing w:after="0" w:line="240" w:lineRule="auto"/>
        <w:jc w:val="center"/>
        <w:rPr>
          <w:rFonts w:ascii="Arial" w:eastAsia="Calibri" w:hAnsi="Arial" w:cs="Arial"/>
          <w:lang w:val="es-ES"/>
        </w:rPr>
      </w:pPr>
    </w:p>
    <w:p w:rsidR="006312E8" w:rsidRPr="006312E8" w:rsidRDefault="006312E8" w:rsidP="006312E8">
      <w:pPr>
        <w:spacing w:after="0" w:line="240" w:lineRule="auto"/>
        <w:rPr>
          <w:rFonts w:ascii="Arial" w:eastAsia="Calibri" w:hAnsi="Arial" w:cs="Arial"/>
          <w:b/>
          <w:lang w:val="es-ES"/>
        </w:rPr>
      </w:pPr>
      <w:r w:rsidRPr="006312E8">
        <w:rPr>
          <w:rFonts w:ascii="Arial" w:eastAsia="Calibri" w:hAnsi="Arial" w:cs="Arial"/>
          <w:b/>
          <w:lang w:val="es-ES"/>
        </w:rPr>
        <w:t>La Molina, 13 de julio de 2007</w:t>
      </w:r>
    </w:p>
    <w:p w:rsidR="006312E8" w:rsidRPr="006312E8" w:rsidRDefault="006312E8" w:rsidP="006312E8">
      <w:pPr>
        <w:spacing w:after="0" w:line="240" w:lineRule="auto"/>
        <w:jc w:val="center"/>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b/>
          <w:bCs/>
          <w:lang w:val="es-ES"/>
        </w:rPr>
        <w:t>CONSIDERANDO: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la Superintendencia de Bienes Nacionales - SBN es el Organismo Público Descentralizado adscrito al Ministerio de Vivienda, Construcción y Saneamiento en mérito de lo dispuesto por el Decreto Supremo N° 004-2007-VIVIENDA; encargado del registro, control y administración del patrimonio estatal;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con la finalidad de delimitar las responsabilidades de cada órgano y unidad orgánica de la SBN involucrada con el procedimiento de arrendamiento predial, entre otros aspectos, se estima por conveniente aprobar una directiva de carácter administrativo que regule el tema;</w:t>
      </w:r>
    </w:p>
    <w:p w:rsidR="006312E8" w:rsidRPr="006312E8" w:rsidRDefault="006312E8" w:rsidP="006312E8">
      <w:pPr>
        <w:tabs>
          <w:tab w:val="left" w:pos="1260"/>
        </w:tabs>
        <w:spacing w:after="0" w:line="240" w:lineRule="auto"/>
        <w:jc w:val="both"/>
        <w:rPr>
          <w:rFonts w:ascii="Arial" w:eastAsia="Calibri" w:hAnsi="Arial" w:cs="Arial"/>
          <w:lang w:val="es-ES"/>
        </w:rPr>
      </w:pPr>
      <w:r w:rsidRPr="006312E8">
        <w:rPr>
          <w:rFonts w:ascii="Arial" w:eastAsia="Calibri" w:hAnsi="Arial" w:cs="Arial"/>
          <w:lang w:val="es-ES"/>
        </w:rPr>
        <w:tab/>
      </w:r>
    </w:p>
    <w:p w:rsidR="006312E8" w:rsidRPr="006312E8" w:rsidRDefault="006312E8" w:rsidP="006312E8">
      <w:pPr>
        <w:tabs>
          <w:tab w:val="left" w:pos="1560"/>
        </w:tabs>
        <w:spacing w:after="0" w:line="240" w:lineRule="auto"/>
        <w:jc w:val="both"/>
        <w:rPr>
          <w:rFonts w:ascii="Arial" w:eastAsia="Calibri" w:hAnsi="Arial" w:cs="Arial"/>
          <w:lang w:val="es-ES"/>
        </w:rPr>
      </w:pPr>
      <w:r w:rsidRPr="006312E8">
        <w:rPr>
          <w:rFonts w:ascii="Arial" w:eastAsia="Calibri" w:hAnsi="Arial" w:cs="Arial"/>
          <w:lang w:val="es-ES"/>
        </w:rPr>
        <w:t xml:space="preserve">Que, de acuerdo a lo establecido en el Literal e) del Artículo 15 del Decreto Supremo </w:t>
      </w:r>
      <w:r w:rsidRPr="006312E8">
        <w:rPr>
          <w:rFonts w:ascii="Calibri" w:eastAsia="Calibri" w:hAnsi="Calibri" w:cs="Times New Roman"/>
          <w:noProof/>
          <w:lang w:val="es-MX" w:eastAsia="es-MX"/>
        </w:rPr>
        <mc:AlternateContent>
          <mc:Choice Requires="wps">
            <w:drawing>
              <wp:anchor distT="0" distB="0" distL="114300" distR="114300" simplePos="0" relativeHeight="251674624" behindDoc="1" locked="0" layoutInCell="1" allowOverlap="1" wp14:anchorId="32BF96F8" wp14:editId="7B0F87C6">
                <wp:simplePos x="0" y="0"/>
                <wp:positionH relativeFrom="page">
                  <wp:posOffset>1452880</wp:posOffset>
                </wp:positionH>
                <wp:positionV relativeFrom="paragraph">
                  <wp:posOffset>102235</wp:posOffset>
                </wp:positionV>
                <wp:extent cx="53975" cy="69850"/>
                <wp:effectExtent l="0" t="0" r="0" b="0"/>
                <wp:wrapNone/>
                <wp:docPr id="74" name="Cuadro de texto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 cy="6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5A7" w:rsidRDefault="004515A7" w:rsidP="006312E8">
                            <w:pPr>
                              <w:spacing w:after="0" w:line="110" w:lineRule="exact"/>
                              <w:ind w:right="-57"/>
                              <w:rPr>
                                <w:rFonts w:ascii="Times New Roman" w:hAnsi="Times New Roman"/>
                                <w:sz w:val="11"/>
                                <w:szCs w:val="11"/>
                              </w:rPr>
                            </w:pPr>
                            <w:r>
                              <w:rPr>
                                <w:rFonts w:ascii="Times New Roman" w:hAnsi="Times New Roman"/>
                                <w:color w:val="9A9ABF"/>
                                <w:w w:val="155"/>
                                <w:sz w:val="11"/>
                                <w:szCs w:val="11"/>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F96F8" id="Cuadro de texto 74" o:spid="_x0000_s1030" type="#_x0000_t202" style="position:absolute;left:0;text-align:left;margin-left:114.4pt;margin-top:8.05pt;width:4.25pt;height:5.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" filled="f" stroked="f">
                <v:textbox inset="0,0,0,0">
                  <w:txbxContent>
                    <w:p w:rsidR="004515A7" w:rsidRDefault="004515A7" w:rsidP="006312E8">
                      <w:pPr>
                        <w:spacing w:after="0" w:line="110" w:lineRule="exact"/>
                        <w:ind w:right="-57"/>
                        <w:rPr>
                          <w:rFonts w:ascii="Times New Roman" w:hAnsi="Times New Roman"/>
                          <w:sz w:val="11"/>
                          <w:szCs w:val="11"/>
                        </w:rPr>
                      </w:pPr>
                      <w:r>
                        <w:rPr>
                          <w:rFonts w:ascii="Times New Roman" w:hAnsi="Times New Roman"/>
                          <w:color w:val="9A9ABF"/>
                          <w:w w:val="155"/>
                          <w:sz w:val="11"/>
                          <w:szCs w:val="11"/>
                        </w:rPr>
                        <w:t>0</w:t>
                      </w:r>
                    </w:p>
                  </w:txbxContent>
                </v:textbox>
                <w10:wrap anchorx="page"/>
              </v:shape>
            </w:pict>
          </mc:Fallback>
        </mc:AlternateContent>
      </w:r>
      <w:r w:rsidRPr="006312E8">
        <w:rPr>
          <w:rFonts w:ascii="Arial" w:eastAsia="Calibri" w:hAnsi="Arial" w:cs="Arial"/>
          <w:lang w:val="es-ES"/>
        </w:rPr>
        <w:t xml:space="preserve">0131-2001-EF,  Estatuto  de  la  SBN, entre  las  funciones  del  Gerente  General se encuentra la de  dictar  las resoluciones necesarias para el adecuado funcionamiento organizacional; </w:t>
      </w:r>
    </w:p>
    <w:p w:rsidR="006312E8" w:rsidRPr="006312E8" w:rsidRDefault="006312E8" w:rsidP="006312E8">
      <w:pPr>
        <w:tabs>
          <w:tab w:val="left" w:pos="1560"/>
        </w:tabs>
        <w:spacing w:after="0" w:line="240" w:lineRule="auto"/>
        <w:jc w:val="both"/>
        <w:rPr>
          <w:rFonts w:ascii="Arial" w:eastAsia="Calibri" w:hAnsi="Arial" w:cs="Arial"/>
          <w:lang w:val="es-ES"/>
        </w:rPr>
      </w:pPr>
    </w:p>
    <w:p w:rsidR="006312E8" w:rsidRPr="006312E8" w:rsidRDefault="006312E8" w:rsidP="006312E8">
      <w:pPr>
        <w:tabs>
          <w:tab w:val="left" w:pos="1560"/>
        </w:tabs>
        <w:spacing w:after="0" w:line="240" w:lineRule="auto"/>
        <w:jc w:val="both"/>
        <w:rPr>
          <w:rFonts w:ascii="Arial" w:eastAsia="Calibri" w:hAnsi="Arial" w:cs="Arial"/>
          <w:lang w:val="es-ES"/>
        </w:rPr>
      </w:pPr>
      <w:r w:rsidRPr="006312E8">
        <w:rPr>
          <w:rFonts w:ascii="Arial" w:eastAsia="Calibri" w:hAnsi="Arial" w:cs="Arial"/>
          <w:lang w:val="es-ES"/>
        </w:rPr>
        <w:t>Con la visación de la Gerencia de Operaciones, la Gerencia Legal, La Gerencia de Administración y la Gerencia de Planeamiento y Desarrollo;</w:t>
      </w:r>
    </w:p>
    <w:p w:rsidR="006312E8" w:rsidRPr="006312E8" w:rsidRDefault="006312E8" w:rsidP="006312E8">
      <w:pPr>
        <w:tabs>
          <w:tab w:val="left" w:pos="1240"/>
        </w:tabs>
        <w:spacing w:after="0" w:line="240" w:lineRule="auto"/>
        <w:jc w:val="both"/>
        <w:rPr>
          <w:rFonts w:ascii="Arial" w:eastAsia="Calibri" w:hAnsi="Arial" w:cs="Arial"/>
          <w:lang w:val="es-ES"/>
        </w:rPr>
      </w:pPr>
    </w:p>
    <w:p w:rsidR="006312E8" w:rsidRPr="006312E8" w:rsidRDefault="006312E8" w:rsidP="006312E8">
      <w:pPr>
        <w:tabs>
          <w:tab w:val="left" w:pos="1240"/>
        </w:tabs>
        <w:spacing w:after="0" w:line="240" w:lineRule="auto"/>
        <w:jc w:val="both"/>
        <w:rPr>
          <w:rFonts w:ascii="Arial" w:eastAsia="Calibri" w:hAnsi="Arial" w:cs="Arial"/>
          <w:lang w:val="es-ES"/>
        </w:rPr>
      </w:pPr>
      <w:r w:rsidRPr="006312E8">
        <w:rPr>
          <w:rFonts w:ascii="Arial" w:eastAsia="Calibri" w:hAnsi="Arial" w:cs="Arial"/>
          <w:lang w:val="es-ES"/>
        </w:rPr>
        <w:t>De conformidad con lo dispuesto por la Ley N° 27444, el Decreto Supremo N°131-2001- EF y la Resolución N°315-2001/SBN;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b/>
          <w:bCs/>
          <w:lang w:val="es-ES"/>
        </w:rPr>
        <w:t>SE RESUELVE: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b/>
          <w:bCs/>
          <w:lang w:val="es-ES"/>
        </w:rPr>
        <w:t xml:space="preserve">Artículo 1°.- </w:t>
      </w:r>
      <w:r w:rsidRPr="006312E8">
        <w:rPr>
          <w:rFonts w:ascii="Arial" w:eastAsia="Calibri" w:hAnsi="Arial" w:cs="Arial"/>
          <w:lang w:val="es-ES"/>
        </w:rPr>
        <w:t>Aprobar la Directiva N°002-2007/GG, la cual regula el "Procedimiento para Arrendamiento de Predios de Dominio Privado del Estado de Libre Disponibilidad Administrados por la Superintendencia de Bienes Nacionales”, la misma que forma parte la presente Resolución.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Calibri" w:eastAsia="Calibri" w:hAnsi="Calibri" w:cs="Times New Roman"/>
          <w:noProof/>
          <w:lang w:val="es-MX" w:eastAsia="es-MX"/>
        </w:rPr>
        <mc:AlternateContent>
          <mc:Choice Requires="wps">
            <w:drawing>
              <wp:anchor distT="0" distB="0" distL="114300" distR="114300" simplePos="0" relativeHeight="251676672" behindDoc="1" locked="0" layoutInCell="1" allowOverlap="1" wp14:anchorId="1DD8B569" wp14:editId="1DB44800">
                <wp:simplePos x="0" y="0"/>
                <wp:positionH relativeFrom="page">
                  <wp:posOffset>1918970</wp:posOffset>
                </wp:positionH>
                <wp:positionV relativeFrom="paragraph">
                  <wp:posOffset>98425</wp:posOffset>
                </wp:positionV>
                <wp:extent cx="64135" cy="107950"/>
                <wp:effectExtent l="4445" t="1905" r="0" b="4445"/>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5A7" w:rsidRDefault="004515A7" w:rsidP="006312E8">
                            <w:pPr>
                              <w:spacing w:after="0" w:line="170" w:lineRule="exact"/>
                              <w:ind w:right="-66"/>
                              <w:rPr>
                                <w:rFonts w:ascii="Arial" w:hAnsi="Arial" w:cs="Arial"/>
                                <w:sz w:val="17"/>
                                <w:szCs w:val="17"/>
                              </w:rPr>
                            </w:pPr>
                            <w:r>
                              <w:rPr>
                                <w:rFonts w:ascii="Arial" w:hAnsi="Arial" w:cs="Arial"/>
                                <w:color w:val="959595"/>
                                <w:w w:val="214"/>
                                <w:sz w:val="17"/>
                                <w:szCs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8B569" id="Cuadro de texto 12" o:spid="_x0000_s1031" type="#_x0000_t202" style="position:absolute;left:0;text-align:left;margin-left:151.1pt;margin-top:7.75pt;width:5.05pt;height:8.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" filled="f" stroked="f">
                <v:textbox inset="0,0,0,0">
                  <w:txbxContent>
                    <w:p w:rsidR="004515A7" w:rsidRDefault="004515A7" w:rsidP="006312E8">
                      <w:pPr>
                        <w:spacing w:after="0" w:line="170" w:lineRule="exact"/>
                        <w:ind w:right="-66"/>
                        <w:rPr>
                          <w:rFonts w:ascii="Arial" w:hAnsi="Arial" w:cs="Arial"/>
                          <w:sz w:val="17"/>
                          <w:szCs w:val="17"/>
                        </w:rPr>
                      </w:pPr>
                      <w:r>
                        <w:rPr>
                          <w:rFonts w:ascii="Arial" w:hAnsi="Arial" w:cs="Arial"/>
                          <w:color w:val="959595"/>
                          <w:w w:val="214"/>
                          <w:sz w:val="17"/>
                          <w:szCs w:val="17"/>
                        </w:rPr>
                        <w:t>.</w:t>
                      </w:r>
                    </w:p>
                  </w:txbxContent>
                </v:textbox>
                <w10:wrap anchorx="page"/>
              </v:shape>
            </w:pict>
          </mc:Fallback>
        </mc:AlternateContent>
      </w:r>
      <w:r w:rsidRPr="006312E8">
        <w:rPr>
          <w:rFonts w:ascii="Arial" w:eastAsia="Calibri" w:hAnsi="Arial" w:cs="Arial"/>
          <w:b/>
          <w:lang w:val="es-ES"/>
        </w:rPr>
        <w:t>Artículo 2°</w:t>
      </w:r>
      <w:r w:rsidRPr="006312E8">
        <w:rPr>
          <w:rFonts w:ascii="Arial" w:eastAsia="Calibri" w:hAnsi="Arial" w:cs="Arial"/>
          <w:lang w:val="es-ES"/>
        </w:rPr>
        <w:t>.- La vigencia de la presente Directiva es a partir del día martes 17 de julio de 2007</w:t>
      </w: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b/>
          <w:lang w:val="es-ES"/>
        </w:rPr>
        <w:t>Regístrese y comuníquese</w:t>
      </w:r>
      <w:r w:rsidRPr="006312E8">
        <w:rPr>
          <w:rFonts w:ascii="Arial" w:eastAsia="Calibri" w:hAnsi="Arial" w:cs="Arial"/>
          <w:lang w:val="es-ES"/>
        </w:rPr>
        <w:t xml:space="preserve">.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JORGE VILLANUEVA CARBAJAL</w:t>
      </w:r>
    </w:p>
    <w:p w:rsidR="006312E8" w:rsidRPr="006312E8" w:rsidRDefault="006312E8" w:rsidP="006312E8">
      <w:pPr>
        <w:spacing w:after="0" w:line="240" w:lineRule="auto"/>
        <w:jc w:val="center"/>
        <w:rPr>
          <w:rFonts w:ascii="Arial" w:eastAsia="Calibri" w:hAnsi="Arial" w:cs="Arial"/>
          <w:lang w:val="es-ES"/>
        </w:rPr>
      </w:pPr>
      <w:r w:rsidRPr="006312E8">
        <w:rPr>
          <w:rFonts w:ascii="Arial" w:eastAsia="Calibri" w:hAnsi="Arial" w:cs="Arial"/>
          <w:lang w:val="es-ES"/>
        </w:rPr>
        <w:t>Gerente General</w:t>
      </w:r>
    </w:p>
    <w:p w:rsidR="006312E8" w:rsidRPr="006312E8" w:rsidRDefault="006312E8" w:rsidP="006312E8">
      <w:pPr>
        <w:spacing w:after="0" w:line="240" w:lineRule="auto"/>
        <w:jc w:val="center"/>
        <w:rPr>
          <w:rFonts w:ascii="Arial" w:eastAsia="Calibri" w:hAnsi="Arial" w:cs="Arial"/>
          <w:lang w:val="es-ES"/>
        </w:rPr>
      </w:pPr>
      <w:r w:rsidRPr="006312E8">
        <w:rPr>
          <w:rFonts w:ascii="Arial" w:eastAsia="Calibri" w:hAnsi="Arial" w:cs="Arial"/>
          <w:lang w:val="es-ES"/>
        </w:rPr>
        <w:t>Superintendencia de Bienes Nacionales</w:t>
      </w:r>
    </w:p>
    <w:p w:rsidR="006312E8" w:rsidRPr="006312E8" w:rsidRDefault="006312E8" w:rsidP="006312E8">
      <w:pPr>
        <w:spacing w:after="0" w:line="240" w:lineRule="auto"/>
        <w:jc w:val="center"/>
        <w:rPr>
          <w:rFonts w:ascii="Arial" w:eastAsia="Calibri" w:hAnsi="Arial" w:cs="Arial"/>
          <w:lang w:val="es-ES"/>
        </w:rPr>
      </w:pPr>
    </w:p>
    <w:p w:rsidR="006312E8" w:rsidRPr="006312E8" w:rsidRDefault="006312E8" w:rsidP="00E104C8">
      <w:pPr>
        <w:pStyle w:val="TITO2"/>
      </w:pPr>
      <w:bookmarkStart w:id="253" w:name="_Toc392856213"/>
      <w:bookmarkStart w:id="254" w:name="_Toc399335488"/>
      <w:bookmarkStart w:id="255" w:name="_Toc421025435"/>
      <w:bookmarkStart w:id="256" w:name="_Toc470855538"/>
      <w:bookmarkStart w:id="257" w:name="D0022077GG"/>
      <w:r w:rsidRPr="006312E8">
        <w:t>DIRECTIVA N°</w:t>
      </w:r>
      <w:r w:rsidR="00135BD8">
        <w:t xml:space="preserve"> </w:t>
      </w:r>
      <w:r w:rsidRPr="006312E8">
        <w:t>002-2007/GG</w:t>
      </w:r>
      <w:bookmarkEnd w:id="253"/>
      <w:bookmarkEnd w:id="254"/>
      <w:bookmarkEnd w:id="255"/>
      <w:bookmarkEnd w:id="256"/>
    </w:p>
    <w:bookmarkEnd w:id="257"/>
    <w:p w:rsidR="006312E8" w:rsidRPr="006312E8" w:rsidRDefault="006312E8" w:rsidP="006312E8">
      <w:pPr>
        <w:spacing w:after="0" w:line="240" w:lineRule="auto"/>
        <w:jc w:val="center"/>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bCs/>
          <w:lang w:val="es-ES"/>
        </w:rPr>
      </w:pPr>
      <w:r w:rsidRPr="006312E8">
        <w:rPr>
          <w:rFonts w:ascii="Arial" w:eastAsia="Calibri" w:hAnsi="Arial" w:cs="Arial"/>
          <w:b/>
          <w:bCs/>
          <w:lang w:val="es-ES"/>
        </w:rPr>
        <w:t xml:space="preserve">PROCEDIMIENTO PARA EL ARRENDAMIENTO DE PREDIOS </w:t>
      </w:r>
    </w:p>
    <w:p w:rsidR="006312E8" w:rsidRPr="006312E8" w:rsidRDefault="006312E8" w:rsidP="006312E8">
      <w:pPr>
        <w:spacing w:after="0" w:line="240" w:lineRule="auto"/>
        <w:jc w:val="center"/>
        <w:rPr>
          <w:rFonts w:ascii="Arial" w:eastAsia="Calibri" w:hAnsi="Arial" w:cs="Arial"/>
          <w:b/>
          <w:bCs/>
          <w:lang w:val="es-ES"/>
        </w:rPr>
      </w:pPr>
      <w:r w:rsidRPr="006312E8">
        <w:rPr>
          <w:rFonts w:ascii="Arial" w:eastAsia="Calibri" w:hAnsi="Arial" w:cs="Arial"/>
          <w:b/>
          <w:bCs/>
          <w:lang w:val="es-ES"/>
        </w:rPr>
        <w:t xml:space="preserve">DEL DOMINIO PRIVADO DEL ESTADO DE LIBRE DISPONIBILIDAD ADMINISTRADOS </w:t>
      </w:r>
    </w:p>
    <w:p w:rsidR="006312E8" w:rsidRPr="006312E8" w:rsidRDefault="006312E8" w:rsidP="006312E8">
      <w:pPr>
        <w:spacing w:after="0" w:line="240" w:lineRule="auto"/>
        <w:jc w:val="center"/>
        <w:rPr>
          <w:rFonts w:ascii="Arial" w:eastAsia="Calibri" w:hAnsi="Arial" w:cs="Arial"/>
          <w:lang w:val="es-ES"/>
        </w:rPr>
      </w:pPr>
      <w:r w:rsidRPr="006312E8">
        <w:rPr>
          <w:rFonts w:ascii="Arial" w:eastAsia="Calibri" w:hAnsi="Arial" w:cs="Arial"/>
          <w:b/>
          <w:bCs/>
          <w:lang w:val="es-ES"/>
        </w:rPr>
        <w:t>POR LA SUPERINTENDENCIA DE BIENES NACIONALES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widowControl w:val="0"/>
        <w:numPr>
          <w:ilvl w:val="0"/>
          <w:numId w:val="49"/>
        </w:numPr>
        <w:spacing w:after="0" w:line="240" w:lineRule="auto"/>
        <w:contextualSpacing/>
        <w:jc w:val="both"/>
        <w:rPr>
          <w:rFonts w:ascii="Arial" w:eastAsia="Times New Roman" w:hAnsi="Arial" w:cs="Arial"/>
          <w:lang w:val="es-ES"/>
        </w:rPr>
      </w:pPr>
      <w:r w:rsidRPr="006312E8">
        <w:rPr>
          <w:rFonts w:ascii="Arial" w:eastAsia="Times New Roman" w:hAnsi="Arial" w:cs="Arial"/>
          <w:b/>
          <w:bCs/>
          <w:lang w:val="es-ES"/>
        </w:rPr>
        <w:t>FINALIDAD</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360"/>
        <w:jc w:val="both"/>
        <w:rPr>
          <w:rFonts w:ascii="Arial" w:eastAsia="Calibri" w:hAnsi="Arial" w:cs="Arial"/>
          <w:lang w:val="es-ES"/>
        </w:rPr>
      </w:pPr>
      <w:r w:rsidRPr="006312E8">
        <w:rPr>
          <w:rFonts w:ascii="Arial" w:eastAsia="Calibri" w:hAnsi="Arial" w:cs="Arial"/>
          <w:lang w:val="es-ES"/>
        </w:rPr>
        <w:t>Regular los procedimientos, atribuciones y responsabilidades de los órganos de la Superintendencia de Bienes Nacionales - SBN en el arrendamiento de predios de dominio privado del Estado.</w:t>
      </w:r>
    </w:p>
    <w:p w:rsidR="006312E8" w:rsidRPr="006312E8" w:rsidRDefault="006312E8" w:rsidP="006312E8">
      <w:pPr>
        <w:widowControl w:val="0"/>
        <w:numPr>
          <w:ilvl w:val="0"/>
          <w:numId w:val="49"/>
        </w:numPr>
        <w:spacing w:after="0" w:line="240" w:lineRule="auto"/>
        <w:contextualSpacing/>
        <w:jc w:val="both"/>
        <w:rPr>
          <w:rFonts w:ascii="Arial" w:eastAsia="Times New Roman" w:hAnsi="Arial" w:cs="Arial"/>
          <w:lang w:val="es-ES"/>
        </w:rPr>
      </w:pPr>
      <w:r w:rsidRPr="006312E8">
        <w:rPr>
          <w:rFonts w:ascii="Arial" w:eastAsia="Times New Roman" w:hAnsi="Arial" w:cs="Arial"/>
          <w:b/>
          <w:bCs/>
          <w:lang w:val="es-ES"/>
        </w:rPr>
        <w:t>OBJETIVOS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widowControl w:val="0"/>
        <w:numPr>
          <w:ilvl w:val="0"/>
          <w:numId w:val="50"/>
        </w:numPr>
        <w:tabs>
          <w:tab w:val="left" w:pos="709"/>
        </w:tabs>
        <w:spacing w:after="0" w:line="240" w:lineRule="auto"/>
        <w:ind w:left="709"/>
        <w:contextualSpacing/>
        <w:jc w:val="both"/>
        <w:rPr>
          <w:rFonts w:ascii="Arial" w:eastAsia="Times New Roman" w:hAnsi="Arial" w:cs="Arial"/>
          <w:lang w:val="es-ES"/>
        </w:rPr>
      </w:pPr>
      <w:r w:rsidRPr="006312E8">
        <w:rPr>
          <w:rFonts w:ascii="Arial" w:eastAsia="Times New Roman" w:hAnsi="Arial" w:cs="Arial"/>
          <w:lang w:val="es-ES"/>
        </w:rPr>
        <w:t>Hacer eficiente el procedimiento de arrendamiento de los inmuebles de libre disponibilidad del Estado a cargo de la SBN.</w:t>
      </w:r>
    </w:p>
    <w:p w:rsidR="006312E8" w:rsidRPr="006312E8" w:rsidRDefault="006312E8" w:rsidP="006312E8">
      <w:pPr>
        <w:tabs>
          <w:tab w:val="left" w:pos="709"/>
        </w:tabs>
        <w:spacing w:after="0" w:line="240" w:lineRule="auto"/>
        <w:ind w:left="709"/>
        <w:jc w:val="both"/>
        <w:rPr>
          <w:rFonts w:ascii="Arial" w:eastAsia="Calibri" w:hAnsi="Arial" w:cs="Arial"/>
          <w:lang w:val="es-ES"/>
        </w:rPr>
      </w:pPr>
    </w:p>
    <w:p w:rsidR="006312E8" w:rsidRPr="006312E8" w:rsidRDefault="006312E8" w:rsidP="006312E8">
      <w:pPr>
        <w:widowControl w:val="0"/>
        <w:numPr>
          <w:ilvl w:val="0"/>
          <w:numId w:val="50"/>
        </w:numPr>
        <w:tabs>
          <w:tab w:val="left" w:pos="709"/>
          <w:tab w:val="left" w:pos="2260"/>
        </w:tabs>
        <w:spacing w:after="0" w:line="240" w:lineRule="auto"/>
        <w:ind w:left="709"/>
        <w:contextualSpacing/>
        <w:jc w:val="both"/>
        <w:rPr>
          <w:rFonts w:ascii="Arial" w:eastAsia="Times New Roman" w:hAnsi="Arial" w:cs="Arial"/>
          <w:lang w:val="es-ES"/>
        </w:rPr>
      </w:pPr>
      <w:r w:rsidRPr="006312E8">
        <w:rPr>
          <w:rFonts w:ascii="Arial" w:eastAsia="Times New Roman" w:hAnsi="Arial" w:cs="Arial"/>
          <w:lang w:val="es-ES"/>
        </w:rPr>
        <w:t>Implementar mecanismos   que permitan salvaguardar los intereses del Estado.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widowControl w:val="0"/>
        <w:numPr>
          <w:ilvl w:val="0"/>
          <w:numId w:val="49"/>
        </w:numPr>
        <w:spacing w:after="0" w:line="240" w:lineRule="auto"/>
        <w:contextualSpacing/>
        <w:jc w:val="both"/>
        <w:rPr>
          <w:rFonts w:ascii="Arial" w:eastAsia="Times New Roman" w:hAnsi="Arial" w:cs="Arial"/>
          <w:lang w:val="es-ES"/>
        </w:rPr>
      </w:pPr>
      <w:r w:rsidRPr="006312E8">
        <w:rPr>
          <w:rFonts w:ascii="Arial" w:eastAsia="Times New Roman" w:hAnsi="Arial" w:cs="Arial"/>
          <w:b/>
          <w:bCs/>
          <w:lang w:val="es-ES"/>
        </w:rPr>
        <w:t>BASE LEGAL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widowControl w:val="0"/>
        <w:numPr>
          <w:ilvl w:val="0"/>
          <w:numId w:val="51"/>
        </w:numPr>
        <w:spacing w:after="0" w:line="240" w:lineRule="auto"/>
        <w:ind w:left="709"/>
        <w:contextualSpacing/>
        <w:jc w:val="both"/>
        <w:rPr>
          <w:rFonts w:ascii="Arial" w:eastAsia="Times New Roman" w:hAnsi="Arial" w:cs="Arial"/>
          <w:lang w:val="es-ES"/>
        </w:rPr>
      </w:pPr>
      <w:r w:rsidRPr="006312E8">
        <w:rPr>
          <w:rFonts w:ascii="Arial" w:eastAsia="Times New Roman" w:hAnsi="Arial" w:cs="Arial"/>
          <w:lang w:val="es-ES"/>
        </w:rPr>
        <w:t>Cuarta Disposición Transitoria y Final del Decreto Ley N°25556, modificada por el Artículo 5 del Decreto Ley N°25738.Ley de creación de la SBN.</w:t>
      </w:r>
    </w:p>
    <w:p w:rsidR="006312E8" w:rsidRPr="006312E8" w:rsidRDefault="006312E8" w:rsidP="006312E8">
      <w:pPr>
        <w:spacing w:after="0" w:line="240" w:lineRule="auto"/>
        <w:ind w:left="709"/>
        <w:contextualSpacing/>
        <w:jc w:val="both"/>
        <w:rPr>
          <w:rFonts w:ascii="Arial" w:eastAsia="Times New Roman" w:hAnsi="Arial" w:cs="Arial"/>
          <w:lang w:val="es-ES"/>
        </w:rPr>
      </w:pPr>
    </w:p>
    <w:p w:rsidR="006312E8" w:rsidRPr="006312E8" w:rsidRDefault="006312E8" w:rsidP="006312E8">
      <w:pPr>
        <w:widowControl w:val="0"/>
        <w:numPr>
          <w:ilvl w:val="0"/>
          <w:numId w:val="51"/>
        </w:numPr>
        <w:spacing w:after="0" w:line="240" w:lineRule="auto"/>
        <w:ind w:left="709"/>
        <w:contextualSpacing/>
        <w:jc w:val="both"/>
        <w:rPr>
          <w:rFonts w:ascii="Arial" w:eastAsia="Times New Roman" w:hAnsi="Arial" w:cs="Arial"/>
          <w:lang w:val="es-ES"/>
        </w:rPr>
      </w:pPr>
      <w:r w:rsidRPr="006312E8">
        <w:rPr>
          <w:rFonts w:ascii="Arial" w:eastAsia="Times New Roman" w:hAnsi="Arial" w:cs="Arial"/>
          <w:lang w:val="es-ES"/>
        </w:rPr>
        <w:t>Decreto    Supremo    N°131-2001-EF    que    aprobó    el    Estatuto   de    la Superintendencia de Bienes Nacionales.</w:t>
      </w:r>
    </w:p>
    <w:p w:rsidR="006312E8" w:rsidRPr="006312E8" w:rsidRDefault="006312E8" w:rsidP="006312E8">
      <w:pPr>
        <w:spacing w:after="200" w:line="276" w:lineRule="auto"/>
        <w:ind w:left="709"/>
        <w:contextualSpacing/>
        <w:rPr>
          <w:rFonts w:ascii="Arial" w:eastAsia="Times New Roman" w:hAnsi="Arial" w:cs="Arial"/>
          <w:lang w:val="es-ES"/>
        </w:rPr>
      </w:pPr>
    </w:p>
    <w:p w:rsidR="006312E8" w:rsidRPr="006312E8" w:rsidRDefault="006312E8" w:rsidP="006312E8">
      <w:pPr>
        <w:widowControl w:val="0"/>
        <w:numPr>
          <w:ilvl w:val="0"/>
          <w:numId w:val="51"/>
        </w:numPr>
        <w:spacing w:after="0" w:line="240" w:lineRule="auto"/>
        <w:ind w:left="709"/>
        <w:contextualSpacing/>
        <w:jc w:val="both"/>
        <w:rPr>
          <w:rFonts w:ascii="Arial" w:eastAsia="Times New Roman" w:hAnsi="Arial" w:cs="Arial"/>
          <w:lang w:val="es-ES"/>
        </w:rPr>
      </w:pPr>
      <w:r w:rsidRPr="006312E8">
        <w:rPr>
          <w:rFonts w:ascii="Arial" w:eastAsia="Times New Roman" w:hAnsi="Arial" w:cs="Arial"/>
          <w:lang w:val="es-ES"/>
        </w:rPr>
        <w:t>Decreto Supremo N°004-2007-VIVIENDA, mediante el cual se adscribió a la SBN al Ministerio de Vivienda, Construcción y Saneamiento.</w:t>
      </w:r>
    </w:p>
    <w:p w:rsidR="006312E8" w:rsidRPr="006312E8" w:rsidRDefault="006312E8" w:rsidP="006312E8">
      <w:pPr>
        <w:spacing w:after="200" w:line="276" w:lineRule="auto"/>
        <w:ind w:left="709"/>
        <w:contextualSpacing/>
        <w:rPr>
          <w:rFonts w:ascii="Arial" w:eastAsia="Times New Roman" w:hAnsi="Arial" w:cs="Arial"/>
          <w:lang w:val="es-ES"/>
        </w:rPr>
      </w:pPr>
    </w:p>
    <w:p w:rsidR="006312E8" w:rsidRPr="006312E8" w:rsidRDefault="006312E8" w:rsidP="006312E8">
      <w:pPr>
        <w:widowControl w:val="0"/>
        <w:numPr>
          <w:ilvl w:val="0"/>
          <w:numId w:val="51"/>
        </w:numPr>
        <w:spacing w:after="0" w:line="240" w:lineRule="auto"/>
        <w:ind w:left="709"/>
        <w:contextualSpacing/>
        <w:jc w:val="both"/>
        <w:rPr>
          <w:rFonts w:ascii="Arial" w:eastAsia="Times New Roman" w:hAnsi="Arial" w:cs="Arial"/>
          <w:lang w:val="es-ES"/>
        </w:rPr>
      </w:pPr>
      <w:r w:rsidRPr="006312E8">
        <w:rPr>
          <w:rFonts w:ascii="Arial" w:eastAsia="Times New Roman" w:hAnsi="Arial" w:cs="Arial"/>
          <w:lang w:val="es-ES"/>
        </w:rPr>
        <w:t>El Literal e) del Artículo 7° del Decreto Supremo N°131-2001-EF, que aprobó el Estatuto de la SBN, en el que se señala como una de las funciones de ésta, la de aprobar las Directivas aplicables para la administración, adquisición y disposición de los bienes de propiedad estatal a cargo de la SBN.</w:t>
      </w:r>
    </w:p>
    <w:p w:rsidR="006312E8" w:rsidRPr="006312E8" w:rsidRDefault="006312E8" w:rsidP="006312E8">
      <w:pPr>
        <w:spacing w:after="200" w:line="276" w:lineRule="auto"/>
        <w:ind w:left="709"/>
        <w:contextualSpacing/>
        <w:rPr>
          <w:rFonts w:ascii="Arial" w:eastAsia="Times New Roman" w:hAnsi="Arial" w:cs="Arial"/>
          <w:lang w:val="es-ES"/>
        </w:rPr>
      </w:pPr>
    </w:p>
    <w:p w:rsidR="006312E8" w:rsidRPr="006312E8" w:rsidRDefault="006312E8" w:rsidP="006312E8">
      <w:pPr>
        <w:widowControl w:val="0"/>
        <w:numPr>
          <w:ilvl w:val="0"/>
          <w:numId w:val="51"/>
        </w:numPr>
        <w:spacing w:after="0" w:line="240" w:lineRule="auto"/>
        <w:ind w:left="709"/>
        <w:contextualSpacing/>
        <w:jc w:val="both"/>
        <w:rPr>
          <w:rFonts w:ascii="Arial" w:eastAsia="Times New Roman" w:hAnsi="Arial" w:cs="Arial"/>
          <w:lang w:val="es-ES"/>
        </w:rPr>
      </w:pPr>
      <w:r w:rsidRPr="006312E8">
        <w:rPr>
          <w:rFonts w:ascii="Arial" w:eastAsia="Times New Roman" w:hAnsi="Arial" w:cs="Arial"/>
          <w:lang w:val="es-ES"/>
        </w:rPr>
        <w:t>Decreto Supremo N°154-2001-EF que aprueba del Reglamento General de Procedimientos Administrativos de los Bienes de Propiedad Estatal y sus modificatorias, en especial los Artículos 64° y 72° que regulan el procedimiento para   el  arrendamiento  de   predios   de   propiedad   del   Estado  de   libre disponibilidad.</w:t>
      </w:r>
    </w:p>
    <w:p w:rsidR="006312E8" w:rsidRPr="006312E8" w:rsidRDefault="006312E8" w:rsidP="006312E8">
      <w:pPr>
        <w:spacing w:after="200" w:line="276" w:lineRule="auto"/>
        <w:ind w:left="709"/>
        <w:contextualSpacing/>
        <w:rPr>
          <w:rFonts w:ascii="Arial" w:eastAsia="Times New Roman" w:hAnsi="Arial" w:cs="Arial"/>
          <w:lang w:val="es-ES"/>
        </w:rPr>
      </w:pPr>
    </w:p>
    <w:p w:rsidR="006312E8" w:rsidRPr="006312E8" w:rsidRDefault="006312E8" w:rsidP="006312E8">
      <w:pPr>
        <w:widowControl w:val="0"/>
        <w:numPr>
          <w:ilvl w:val="0"/>
          <w:numId w:val="51"/>
        </w:numPr>
        <w:spacing w:after="0" w:line="240" w:lineRule="auto"/>
        <w:ind w:left="709"/>
        <w:contextualSpacing/>
        <w:jc w:val="both"/>
        <w:rPr>
          <w:rFonts w:ascii="Arial" w:eastAsia="Times New Roman" w:hAnsi="Arial" w:cs="Arial"/>
          <w:lang w:val="es-ES"/>
        </w:rPr>
      </w:pPr>
      <w:r w:rsidRPr="006312E8">
        <w:rPr>
          <w:rFonts w:ascii="Arial" w:eastAsia="Times New Roman" w:hAnsi="Arial" w:cs="Arial"/>
          <w:lang w:val="es-ES"/>
        </w:rPr>
        <w:t>Decreto Supremo N°154-2001-EF Primera Disposición Complementaria, faculta a la SBN para dictar las normas procedimentales complementarias para la aplicación del Reglamento General de Procedimientos Administrativos de los Bienes de Propiedad Estatal.</w:t>
      </w:r>
    </w:p>
    <w:p w:rsidR="006312E8" w:rsidRPr="006312E8" w:rsidRDefault="006312E8" w:rsidP="006312E8">
      <w:pPr>
        <w:spacing w:after="200" w:line="276" w:lineRule="auto"/>
        <w:ind w:left="709"/>
        <w:contextualSpacing/>
        <w:rPr>
          <w:rFonts w:ascii="Arial" w:eastAsia="Times New Roman" w:hAnsi="Arial" w:cs="Arial"/>
          <w:lang w:val="es-ES"/>
        </w:rPr>
      </w:pPr>
    </w:p>
    <w:p w:rsidR="006312E8" w:rsidRPr="006312E8" w:rsidRDefault="006312E8" w:rsidP="006312E8">
      <w:pPr>
        <w:widowControl w:val="0"/>
        <w:numPr>
          <w:ilvl w:val="0"/>
          <w:numId w:val="51"/>
        </w:numPr>
        <w:spacing w:after="0" w:line="240" w:lineRule="auto"/>
        <w:ind w:left="709"/>
        <w:contextualSpacing/>
        <w:jc w:val="both"/>
        <w:rPr>
          <w:rFonts w:ascii="Arial" w:eastAsia="Times New Roman" w:hAnsi="Arial" w:cs="Arial"/>
          <w:lang w:val="es-ES"/>
        </w:rPr>
      </w:pPr>
      <w:r w:rsidRPr="006312E8">
        <w:rPr>
          <w:rFonts w:ascii="Arial" w:eastAsia="Times New Roman" w:hAnsi="Arial" w:cs="Arial"/>
          <w:lang w:val="es-ES"/>
        </w:rPr>
        <w:t>Decreto de Urgencia N°071-2001 Artículo 3° que  dispone  que los actos  de administración, adquisición y  disposición de propiedad  estatal, serán aprobados mediante Resolución de la SBN, salvo en lo referente a las ventas directas de predios de propiedad estatal que deben aprobarse por Resolución Suprema, con informe favorable de la SBN.</w:t>
      </w:r>
    </w:p>
    <w:p w:rsidR="006312E8" w:rsidRPr="006312E8" w:rsidRDefault="006312E8" w:rsidP="006312E8">
      <w:pPr>
        <w:spacing w:after="0" w:line="240" w:lineRule="auto"/>
        <w:ind w:left="709"/>
        <w:contextualSpacing/>
        <w:jc w:val="both"/>
        <w:rPr>
          <w:rFonts w:ascii="Arial" w:eastAsia="Times New Roman" w:hAnsi="Arial" w:cs="Arial"/>
          <w:lang w:val="es-ES"/>
        </w:rPr>
      </w:pPr>
    </w:p>
    <w:p w:rsidR="006312E8" w:rsidRPr="006312E8" w:rsidRDefault="006312E8" w:rsidP="006312E8">
      <w:pPr>
        <w:widowControl w:val="0"/>
        <w:numPr>
          <w:ilvl w:val="0"/>
          <w:numId w:val="51"/>
        </w:numPr>
        <w:spacing w:after="0" w:line="240" w:lineRule="auto"/>
        <w:ind w:left="709"/>
        <w:contextualSpacing/>
        <w:jc w:val="both"/>
        <w:rPr>
          <w:rFonts w:ascii="Arial" w:eastAsia="Times New Roman" w:hAnsi="Arial" w:cs="Arial"/>
          <w:lang w:val="es-ES"/>
        </w:rPr>
      </w:pPr>
      <w:r w:rsidRPr="006312E8">
        <w:rPr>
          <w:rFonts w:ascii="Arial" w:eastAsia="Times New Roman" w:hAnsi="Arial" w:cs="Arial"/>
          <w:lang w:val="es-ES"/>
        </w:rPr>
        <w:t>Resolución  N°315-2001/SBN que aprobó  el Reglamento de Organización y Funciones</w:t>
      </w:r>
    </w:p>
    <w:p w:rsidR="006312E8" w:rsidRPr="006312E8" w:rsidRDefault="006312E8" w:rsidP="006312E8">
      <w:pPr>
        <w:spacing w:after="0" w:line="240" w:lineRule="auto"/>
        <w:ind w:left="709"/>
        <w:contextualSpacing/>
        <w:jc w:val="both"/>
        <w:rPr>
          <w:rFonts w:ascii="Arial" w:eastAsia="Times New Roman" w:hAnsi="Arial" w:cs="Arial"/>
          <w:lang w:val="es-ES"/>
        </w:rPr>
      </w:pPr>
    </w:p>
    <w:p w:rsidR="006312E8" w:rsidRPr="006312E8" w:rsidRDefault="006312E8" w:rsidP="006312E8">
      <w:pPr>
        <w:widowControl w:val="0"/>
        <w:numPr>
          <w:ilvl w:val="0"/>
          <w:numId w:val="51"/>
        </w:numPr>
        <w:spacing w:after="0" w:line="240" w:lineRule="auto"/>
        <w:ind w:left="709"/>
        <w:contextualSpacing/>
        <w:jc w:val="both"/>
        <w:rPr>
          <w:rFonts w:ascii="Arial" w:eastAsia="Times New Roman" w:hAnsi="Arial" w:cs="Arial"/>
          <w:lang w:val="es-ES"/>
        </w:rPr>
      </w:pPr>
      <w:r w:rsidRPr="006312E8">
        <w:rPr>
          <w:rFonts w:ascii="Arial" w:eastAsia="Times New Roman" w:hAnsi="Arial" w:cs="Arial"/>
          <w:lang w:val="es-ES"/>
        </w:rPr>
        <w:t>Resolución N°031-2007/SBN que aprueba la Directiva N°006-2007/SBN, la cual regula el procedimiento para el arrendamiento de predios del dominio privado del estado de libre disponibilidad.</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widowControl w:val="0"/>
        <w:numPr>
          <w:ilvl w:val="0"/>
          <w:numId w:val="49"/>
        </w:numPr>
        <w:spacing w:after="0" w:line="240" w:lineRule="auto"/>
        <w:contextualSpacing/>
        <w:jc w:val="both"/>
        <w:rPr>
          <w:rFonts w:ascii="Arial" w:eastAsia="Times New Roman" w:hAnsi="Arial" w:cs="Arial"/>
          <w:b/>
          <w:lang w:val="es-ES"/>
        </w:rPr>
      </w:pPr>
      <w:r w:rsidRPr="006312E8">
        <w:rPr>
          <w:rFonts w:ascii="Arial" w:eastAsia="Times New Roman" w:hAnsi="Arial" w:cs="Arial"/>
          <w:b/>
          <w:bCs/>
          <w:lang w:val="es-ES"/>
        </w:rPr>
        <w:t>ALCANCE</w:t>
      </w: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ind w:left="360"/>
        <w:jc w:val="both"/>
        <w:rPr>
          <w:rFonts w:ascii="Arial" w:eastAsia="Calibri" w:hAnsi="Arial" w:cs="Arial"/>
          <w:lang w:val="es-ES"/>
        </w:rPr>
      </w:pPr>
      <w:r w:rsidRPr="006312E8">
        <w:rPr>
          <w:rFonts w:ascii="Arial" w:eastAsia="Calibri" w:hAnsi="Arial" w:cs="Arial"/>
          <w:lang w:val="es-ES"/>
        </w:rPr>
        <w:t>La presente Directiva tiene alcance para todos los órganos y unidades orgánicas de la SBN.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widowControl w:val="0"/>
        <w:numPr>
          <w:ilvl w:val="0"/>
          <w:numId w:val="49"/>
        </w:numPr>
        <w:spacing w:after="0" w:line="240" w:lineRule="auto"/>
        <w:contextualSpacing/>
        <w:jc w:val="both"/>
        <w:rPr>
          <w:rFonts w:ascii="Arial" w:eastAsia="Times New Roman" w:hAnsi="Arial" w:cs="Arial"/>
          <w:b/>
          <w:lang w:val="es-ES"/>
        </w:rPr>
      </w:pPr>
      <w:r w:rsidRPr="006312E8">
        <w:rPr>
          <w:rFonts w:ascii="Arial" w:eastAsia="Times New Roman" w:hAnsi="Arial" w:cs="Arial"/>
          <w:b/>
          <w:lang w:val="es-ES"/>
        </w:rPr>
        <w:t>DISPOSICIONES GENERALES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360"/>
        <w:jc w:val="both"/>
        <w:rPr>
          <w:rFonts w:ascii="Arial" w:eastAsia="Calibri" w:hAnsi="Arial" w:cs="Arial"/>
          <w:lang w:val="es-ES"/>
        </w:rPr>
      </w:pPr>
      <w:r w:rsidRPr="006312E8">
        <w:rPr>
          <w:rFonts w:ascii="Arial" w:eastAsia="Calibri" w:hAnsi="Arial" w:cs="Arial"/>
          <w:lang w:val="es-ES"/>
        </w:rPr>
        <w:t>Las disposiciones de la Directiva N°006-2007/SBN, aprobada mediante Resolución N°031-2007/SBN, que regula el procedimiento para el arrendamiento de predios del dominio privado del estado de libre disponibilidad, serán aplicables a la SBN en todo aquello que corresponda.</w:t>
      </w:r>
    </w:p>
    <w:p w:rsidR="006312E8" w:rsidRDefault="006312E8" w:rsidP="006312E8">
      <w:pPr>
        <w:spacing w:after="0" w:line="240" w:lineRule="auto"/>
        <w:jc w:val="both"/>
        <w:rPr>
          <w:rFonts w:ascii="Arial" w:eastAsia="Calibri" w:hAnsi="Arial" w:cs="Arial"/>
          <w:lang w:val="es-ES"/>
        </w:rPr>
      </w:pPr>
    </w:p>
    <w:p w:rsidR="00A57CDE" w:rsidRPr="006312E8" w:rsidRDefault="00A57CDE" w:rsidP="006312E8">
      <w:pPr>
        <w:spacing w:after="0" w:line="240" w:lineRule="auto"/>
        <w:jc w:val="both"/>
        <w:rPr>
          <w:rFonts w:ascii="Arial" w:eastAsia="Calibri" w:hAnsi="Arial" w:cs="Arial"/>
          <w:lang w:val="es-ES"/>
        </w:rPr>
      </w:pPr>
    </w:p>
    <w:p w:rsidR="006312E8" w:rsidRPr="006312E8" w:rsidRDefault="006312E8" w:rsidP="006312E8">
      <w:pPr>
        <w:widowControl w:val="0"/>
        <w:numPr>
          <w:ilvl w:val="0"/>
          <w:numId w:val="49"/>
        </w:numPr>
        <w:spacing w:after="0" w:line="240" w:lineRule="auto"/>
        <w:contextualSpacing/>
        <w:jc w:val="both"/>
        <w:rPr>
          <w:rFonts w:ascii="Arial" w:eastAsia="Times New Roman" w:hAnsi="Arial" w:cs="Arial"/>
          <w:b/>
          <w:lang w:val="es-ES"/>
        </w:rPr>
      </w:pPr>
      <w:r w:rsidRPr="006312E8">
        <w:rPr>
          <w:rFonts w:ascii="Arial" w:eastAsia="Times New Roman" w:hAnsi="Arial" w:cs="Arial"/>
          <w:b/>
          <w:lang w:val="es-ES"/>
        </w:rPr>
        <w:t>DISPOSICIONES ESPECÍFICAS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widowControl w:val="0"/>
        <w:numPr>
          <w:ilvl w:val="0"/>
          <w:numId w:val="52"/>
        </w:numPr>
        <w:tabs>
          <w:tab w:val="left" w:pos="284"/>
        </w:tabs>
        <w:spacing w:after="0" w:line="240" w:lineRule="auto"/>
        <w:contextualSpacing/>
        <w:jc w:val="both"/>
        <w:rPr>
          <w:rFonts w:ascii="Arial" w:eastAsia="Times New Roman" w:hAnsi="Arial" w:cs="Arial"/>
          <w:lang w:val="es-ES"/>
        </w:rPr>
      </w:pPr>
      <w:r w:rsidRPr="006312E8">
        <w:rPr>
          <w:rFonts w:ascii="Arial" w:eastAsia="Times New Roman" w:hAnsi="Arial" w:cs="Arial"/>
          <w:b/>
          <w:lang w:val="es-ES"/>
        </w:rPr>
        <w:t>Delimitación de  Responsabilidades</w:t>
      </w:r>
    </w:p>
    <w:p w:rsidR="006312E8" w:rsidRPr="006312E8" w:rsidRDefault="006312E8" w:rsidP="006312E8">
      <w:pPr>
        <w:tabs>
          <w:tab w:val="left" w:pos="2260"/>
        </w:tabs>
        <w:spacing w:after="0" w:line="240" w:lineRule="auto"/>
        <w:ind w:left="360"/>
        <w:contextualSpacing/>
        <w:jc w:val="both"/>
        <w:rPr>
          <w:rFonts w:ascii="Arial" w:eastAsia="Times New Roman" w:hAnsi="Arial" w:cs="Arial"/>
          <w:lang w:val="es-ES"/>
        </w:rPr>
      </w:pPr>
    </w:p>
    <w:p w:rsidR="006312E8" w:rsidRPr="006312E8" w:rsidRDefault="006312E8" w:rsidP="006312E8">
      <w:pPr>
        <w:widowControl w:val="0"/>
        <w:numPr>
          <w:ilvl w:val="1"/>
          <w:numId w:val="52"/>
        </w:numPr>
        <w:tabs>
          <w:tab w:val="left" w:pos="709"/>
        </w:tabs>
        <w:spacing w:after="0" w:line="240" w:lineRule="auto"/>
        <w:ind w:left="709"/>
        <w:contextualSpacing/>
        <w:jc w:val="both"/>
        <w:rPr>
          <w:rFonts w:ascii="Arial" w:eastAsia="Times New Roman" w:hAnsi="Arial" w:cs="Arial"/>
          <w:lang w:val="es-ES"/>
        </w:rPr>
      </w:pPr>
      <w:r w:rsidRPr="006312E8">
        <w:rPr>
          <w:rFonts w:ascii="Arial" w:eastAsia="Times New Roman" w:hAnsi="Arial" w:cs="Arial"/>
          <w:lang w:val="es-ES"/>
        </w:rPr>
        <w:t>La Jefatura de Adquisiciones y Recuperaciones - JAR, estará encargada de efectuar el saneamiento técnico legal del inmueble a ser arrendado, cuando corresponda.</w:t>
      </w:r>
    </w:p>
    <w:p w:rsidR="006312E8" w:rsidRPr="006312E8" w:rsidRDefault="006312E8" w:rsidP="006312E8">
      <w:pPr>
        <w:tabs>
          <w:tab w:val="left" w:pos="709"/>
        </w:tabs>
        <w:spacing w:after="0" w:line="240" w:lineRule="auto"/>
        <w:ind w:left="709" w:hanging="432"/>
        <w:contextualSpacing/>
        <w:jc w:val="both"/>
        <w:rPr>
          <w:rFonts w:ascii="Arial" w:eastAsia="Times New Roman" w:hAnsi="Arial" w:cs="Arial"/>
          <w:lang w:val="es-ES"/>
        </w:rPr>
      </w:pPr>
    </w:p>
    <w:p w:rsidR="006312E8" w:rsidRPr="006312E8" w:rsidRDefault="006312E8" w:rsidP="006312E8">
      <w:pPr>
        <w:widowControl w:val="0"/>
        <w:numPr>
          <w:ilvl w:val="1"/>
          <w:numId w:val="52"/>
        </w:numPr>
        <w:tabs>
          <w:tab w:val="left" w:pos="709"/>
        </w:tabs>
        <w:spacing w:after="0" w:line="240" w:lineRule="auto"/>
        <w:ind w:left="709"/>
        <w:contextualSpacing/>
        <w:jc w:val="both"/>
        <w:rPr>
          <w:rFonts w:ascii="Arial" w:eastAsia="Times New Roman" w:hAnsi="Arial" w:cs="Arial"/>
          <w:lang w:val="es-ES"/>
        </w:rPr>
      </w:pPr>
      <w:r w:rsidRPr="006312E8">
        <w:rPr>
          <w:rFonts w:ascii="Arial" w:eastAsia="Times New Roman" w:hAnsi="Arial" w:cs="Arial"/>
          <w:lang w:val="es-ES"/>
        </w:rPr>
        <w:t>La  Jefatura  de  Adjudicaciones - JAD, aprueba  mediante  Resolución la relación de predios susceptibles de ser ofrecidos en arrendamiento, efectúa y/o encarga la tasación con el objeto de determinar el valor de mercado de la renta que se debe cobrar por el predio a arrendar; lleva a cabo los procesos de convocatoria y la adjudicación del inmueble arrendado.</w:t>
      </w:r>
    </w:p>
    <w:p w:rsidR="006312E8" w:rsidRPr="006312E8" w:rsidRDefault="006312E8" w:rsidP="006312E8">
      <w:pPr>
        <w:tabs>
          <w:tab w:val="left" w:pos="709"/>
        </w:tabs>
        <w:spacing w:after="200" w:line="276" w:lineRule="auto"/>
        <w:ind w:left="709" w:hanging="432"/>
        <w:contextualSpacing/>
        <w:rPr>
          <w:rFonts w:ascii="Arial" w:eastAsia="Times New Roman" w:hAnsi="Arial" w:cs="Arial"/>
          <w:lang w:val="es-ES"/>
        </w:rPr>
      </w:pPr>
    </w:p>
    <w:p w:rsidR="006312E8" w:rsidRPr="006312E8" w:rsidRDefault="006312E8" w:rsidP="006312E8">
      <w:pPr>
        <w:widowControl w:val="0"/>
        <w:numPr>
          <w:ilvl w:val="1"/>
          <w:numId w:val="52"/>
        </w:numPr>
        <w:tabs>
          <w:tab w:val="left" w:pos="709"/>
        </w:tabs>
        <w:spacing w:after="0" w:line="240" w:lineRule="auto"/>
        <w:ind w:left="709"/>
        <w:contextualSpacing/>
        <w:jc w:val="both"/>
        <w:rPr>
          <w:rFonts w:ascii="Arial" w:eastAsia="Times New Roman" w:hAnsi="Arial" w:cs="Arial"/>
          <w:lang w:val="es-ES"/>
        </w:rPr>
      </w:pPr>
      <w:r w:rsidRPr="006312E8">
        <w:rPr>
          <w:rFonts w:ascii="Arial" w:eastAsia="Times New Roman" w:hAnsi="Arial" w:cs="Arial"/>
          <w:lang w:val="es-ES"/>
        </w:rPr>
        <w:t>La Gerencia de Operaciones será la responsable de aprobar el inicio del procedimiento de arrendamiento, suscribir los contratos y resolverlos, en los casos que correspondan.</w:t>
      </w:r>
    </w:p>
    <w:p w:rsidR="006312E8" w:rsidRPr="006312E8" w:rsidRDefault="006312E8" w:rsidP="006312E8">
      <w:pPr>
        <w:tabs>
          <w:tab w:val="left" w:pos="709"/>
        </w:tabs>
        <w:spacing w:after="200" w:line="276" w:lineRule="auto"/>
        <w:ind w:left="709" w:hanging="432"/>
        <w:contextualSpacing/>
        <w:rPr>
          <w:rFonts w:ascii="Arial" w:eastAsia="Times New Roman" w:hAnsi="Arial" w:cs="Arial"/>
          <w:lang w:val="es-ES"/>
        </w:rPr>
      </w:pPr>
    </w:p>
    <w:p w:rsidR="006312E8" w:rsidRPr="006312E8" w:rsidRDefault="006312E8" w:rsidP="006312E8">
      <w:pPr>
        <w:widowControl w:val="0"/>
        <w:numPr>
          <w:ilvl w:val="1"/>
          <w:numId w:val="52"/>
        </w:numPr>
        <w:tabs>
          <w:tab w:val="left" w:pos="709"/>
        </w:tabs>
        <w:spacing w:after="0" w:line="240" w:lineRule="auto"/>
        <w:ind w:left="709"/>
        <w:contextualSpacing/>
        <w:jc w:val="both"/>
        <w:rPr>
          <w:rFonts w:ascii="Arial" w:eastAsia="Times New Roman" w:hAnsi="Arial" w:cs="Arial"/>
          <w:lang w:val="es-ES"/>
        </w:rPr>
      </w:pPr>
      <w:r w:rsidRPr="006312E8">
        <w:rPr>
          <w:rFonts w:ascii="Arial" w:eastAsia="Times New Roman" w:hAnsi="Arial" w:cs="Arial"/>
          <w:lang w:val="es-ES"/>
        </w:rPr>
        <w:t>El  contrato  de  arrendamiento se  aprobará  conforme lo  establecido en el siguiente cuadro:</w:t>
      </w:r>
    </w:p>
    <w:p w:rsidR="006312E8" w:rsidRPr="006312E8" w:rsidRDefault="006312E8" w:rsidP="006312E8">
      <w:pPr>
        <w:spacing w:after="0" w:line="240" w:lineRule="auto"/>
        <w:jc w:val="both"/>
        <w:rPr>
          <w:rFonts w:ascii="Arial" w:eastAsia="Calibri" w:hAnsi="Arial" w:cs="Arial"/>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991"/>
        <w:gridCol w:w="3387"/>
      </w:tblGrid>
      <w:tr w:rsidR="006312E8" w:rsidRPr="006312E8" w:rsidTr="00D04998">
        <w:trPr>
          <w:trHeight w:hRule="exact" w:val="286"/>
          <w:jc w:val="center"/>
        </w:trPr>
        <w:tc>
          <w:tcPr>
            <w:tcW w:w="2991" w:type="dxa"/>
            <w:vAlign w:val="center"/>
          </w:tcPr>
          <w:p w:rsidR="006312E8" w:rsidRPr="006312E8" w:rsidRDefault="006312E8" w:rsidP="006312E8">
            <w:pPr>
              <w:spacing w:after="0" w:line="240" w:lineRule="auto"/>
              <w:rPr>
                <w:rFonts w:ascii="Arial" w:eastAsia="Calibri" w:hAnsi="Arial" w:cs="Arial"/>
              </w:rPr>
            </w:pPr>
            <w:r w:rsidRPr="006312E8">
              <w:rPr>
                <w:rFonts w:ascii="Arial" w:eastAsia="Calibri" w:hAnsi="Arial" w:cs="Arial"/>
              </w:rPr>
              <w:t>Nivel de Aprobación</w:t>
            </w:r>
          </w:p>
        </w:tc>
        <w:tc>
          <w:tcPr>
            <w:tcW w:w="3387" w:type="dxa"/>
            <w:vAlign w:val="center"/>
          </w:tcPr>
          <w:p w:rsidR="006312E8" w:rsidRPr="006312E8" w:rsidRDefault="006312E8" w:rsidP="006312E8">
            <w:pPr>
              <w:spacing w:after="0" w:line="240" w:lineRule="auto"/>
              <w:rPr>
                <w:rFonts w:ascii="Arial" w:eastAsia="Calibri" w:hAnsi="Arial" w:cs="Arial"/>
                <w:lang w:val="es-ES"/>
              </w:rPr>
            </w:pPr>
            <w:r w:rsidRPr="006312E8">
              <w:rPr>
                <w:rFonts w:ascii="Arial" w:eastAsia="Calibri" w:hAnsi="Arial" w:cs="Arial"/>
                <w:lang w:val="es-ES"/>
              </w:rPr>
              <w:t>Gradualidad de la renta mensual</w:t>
            </w:r>
          </w:p>
        </w:tc>
      </w:tr>
      <w:tr w:rsidR="006312E8" w:rsidRPr="006312E8" w:rsidTr="00D04998">
        <w:trPr>
          <w:trHeight w:hRule="exact" w:val="277"/>
          <w:jc w:val="center"/>
        </w:trPr>
        <w:tc>
          <w:tcPr>
            <w:tcW w:w="2991" w:type="dxa"/>
            <w:vAlign w:val="center"/>
          </w:tcPr>
          <w:p w:rsidR="006312E8" w:rsidRPr="006312E8" w:rsidRDefault="006312E8" w:rsidP="006312E8">
            <w:pPr>
              <w:spacing w:after="0" w:line="240" w:lineRule="auto"/>
              <w:rPr>
                <w:rFonts w:ascii="Arial" w:eastAsia="Calibri" w:hAnsi="Arial" w:cs="Arial"/>
              </w:rPr>
            </w:pPr>
            <w:r w:rsidRPr="006312E8">
              <w:rPr>
                <w:rFonts w:ascii="Arial" w:eastAsia="Calibri" w:hAnsi="Arial" w:cs="Arial"/>
              </w:rPr>
              <w:t>Jefatura de Adjudicaciones</w:t>
            </w:r>
          </w:p>
        </w:tc>
        <w:tc>
          <w:tcPr>
            <w:tcW w:w="3387" w:type="dxa"/>
            <w:vAlign w:val="center"/>
          </w:tcPr>
          <w:p w:rsidR="006312E8" w:rsidRPr="006312E8" w:rsidRDefault="006312E8" w:rsidP="006312E8">
            <w:pPr>
              <w:spacing w:after="0" w:line="240" w:lineRule="auto"/>
              <w:rPr>
                <w:rFonts w:ascii="Arial" w:eastAsia="Calibri" w:hAnsi="Arial" w:cs="Arial"/>
              </w:rPr>
            </w:pPr>
            <w:r w:rsidRPr="006312E8">
              <w:rPr>
                <w:rFonts w:ascii="Arial" w:eastAsia="Calibri" w:hAnsi="Arial" w:cs="Arial"/>
              </w:rPr>
              <w:t>Hasta 3 UIT</w:t>
            </w:r>
          </w:p>
        </w:tc>
      </w:tr>
      <w:tr w:rsidR="006312E8" w:rsidRPr="006312E8" w:rsidTr="00D04998">
        <w:trPr>
          <w:trHeight w:hRule="exact" w:val="292"/>
          <w:jc w:val="center"/>
        </w:trPr>
        <w:tc>
          <w:tcPr>
            <w:tcW w:w="2991" w:type="dxa"/>
            <w:vAlign w:val="center"/>
          </w:tcPr>
          <w:p w:rsidR="006312E8" w:rsidRPr="006312E8" w:rsidRDefault="006312E8" w:rsidP="006312E8">
            <w:pPr>
              <w:spacing w:after="0" w:line="240" w:lineRule="auto"/>
              <w:rPr>
                <w:rFonts w:ascii="Arial" w:eastAsia="Calibri" w:hAnsi="Arial" w:cs="Arial"/>
              </w:rPr>
            </w:pPr>
            <w:r w:rsidRPr="006312E8">
              <w:rPr>
                <w:rFonts w:ascii="Arial" w:eastAsia="Calibri" w:hAnsi="Arial" w:cs="Arial"/>
              </w:rPr>
              <w:t>Gerencia de Operaciones</w:t>
            </w:r>
          </w:p>
        </w:tc>
        <w:tc>
          <w:tcPr>
            <w:tcW w:w="3387" w:type="dxa"/>
            <w:vAlign w:val="center"/>
          </w:tcPr>
          <w:p w:rsidR="006312E8" w:rsidRPr="006312E8" w:rsidRDefault="006312E8" w:rsidP="006312E8">
            <w:pPr>
              <w:spacing w:after="0" w:line="240" w:lineRule="auto"/>
              <w:rPr>
                <w:rFonts w:ascii="Arial" w:eastAsia="Calibri" w:hAnsi="Arial" w:cs="Arial"/>
              </w:rPr>
            </w:pPr>
            <w:r w:rsidRPr="006312E8">
              <w:rPr>
                <w:rFonts w:ascii="Arial" w:eastAsia="Calibri" w:hAnsi="Arial" w:cs="Arial"/>
              </w:rPr>
              <w:t xml:space="preserve">De </w:t>
            </w:r>
            <w:smartTag w:uri="urn:schemas-microsoft-com:office:smarttags" w:element="metricconverter">
              <w:smartTagPr>
                <w:attr w:name="ProductID" w:val="3 a"/>
              </w:smartTagPr>
              <w:r w:rsidRPr="006312E8">
                <w:rPr>
                  <w:rFonts w:ascii="Arial" w:eastAsia="Calibri" w:hAnsi="Arial" w:cs="Arial"/>
                </w:rPr>
                <w:t>3 a</w:t>
              </w:r>
            </w:smartTag>
            <w:r w:rsidRPr="006312E8">
              <w:rPr>
                <w:rFonts w:ascii="Arial" w:eastAsia="Calibri" w:hAnsi="Arial" w:cs="Arial"/>
              </w:rPr>
              <w:t xml:space="preserve"> 10UIT</w:t>
            </w:r>
          </w:p>
        </w:tc>
      </w:tr>
      <w:tr w:rsidR="006312E8" w:rsidRPr="006312E8" w:rsidTr="00D04998">
        <w:trPr>
          <w:trHeight w:hRule="exact" w:val="273"/>
          <w:jc w:val="center"/>
        </w:trPr>
        <w:tc>
          <w:tcPr>
            <w:tcW w:w="2991" w:type="dxa"/>
            <w:vAlign w:val="center"/>
          </w:tcPr>
          <w:p w:rsidR="006312E8" w:rsidRPr="006312E8" w:rsidRDefault="006312E8" w:rsidP="006312E8">
            <w:pPr>
              <w:spacing w:after="0" w:line="240" w:lineRule="auto"/>
              <w:rPr>
                <w:rFonts w:ascii="Arial" w:eastAsia="Calibri" w:hAnsi="Arial" w:cs="Arial"/>
              </w:rPr>
            </w:pPr>
            <w:r w:rsidRPr="006312E8">
              <w:rPr>
                <w:rFonts w:ascii="Arial" w:eastAsia="Calibri" w:hAnsi="Arial" w:cs="Arial"/>
              </w:rPr>
              <w:t>Gerencia General</w:t>
            </w:r>
          </w:p>
        </w:tc>
        <w:tc>
          <w:tcPr>
            <w:tcW w:w="3387" w:type="dxa"/>
            <w:vAlign w:val="center"/>
          </w:tcPr>
          <w:p w:rsidR="006312E8" w:rsidRPr="006312E8" w:rsidRDefault="006312E8" w:rsidP="006312E8">
            <w:pPr>
              <w:spacing w:after="0" w:line="240" w:lineRule="auto"/>
              <w:rPr>
                <w:rFonts w:ascii="Arial" w:eastAsia="Calibri" w:hAnsi="Arial" w:cs="Arial"/>
              </w:rPr>
            </w:pPr>
            <w:r w:rsidRPr="006312E8">
              <w:rPr>
                <w:rFonts w:ascii="Arial" w:eastAsia="Calibri" w:hAnsi="Arial" w:cs="Arial"/>
              </w:rPr>
              <w:t xml:space="preserve">De </w:t>
            </w:r>
            <w:smartTag w:uri="urn:schemas-microsoft-com:office:smarttags" w:element="metricconverter">
              <w:smartTagPr>
                <w:attr w:name="ProductID" w:val="10 a"/>
              </w:smartTagPr>
              <w:r w:rsidRPr="006312E8">
                <w:rPr>
                  <w:rFonts w:ascii="Arial" w:eastAsia="Calibri" w:hAnsi="Arial" w:cs="Arial"/>
                </w:rPr>
                <w:t>10 a</w:t>
              </w:r>
            </w:smartTag>
            <w:r w:rsidRPr="006312E8">
              <w:rPr>
                <w:rFonts w:ascii="Arial" w:eastAsia="Calibri" w:hAnsi="Arial" w:cs="Arial"/>
              </w:rPr>
              <w:t xml:space="preserve"> más UIT</w:t>
            </w:r>
          </w:p>
        </w:tc>
      </w:tr>
    </w:tbl>
    <w:p w:rsidR="006312E8" w:rsidRPr="006312E8" w:rsidRDefault="006312E8" w:rsidP="006312E8">
      <w:pPr>
        <w:spacing w:after="0" w:line="240" w:lineRule="auto"/>
        <w:jc w:val="both"/>
        <w:rPr>
          <w:rFonts w:ascii="Arial" w:eastAsia="Calibri" w:hAnsi="Arial" w:cs="Arial"/>
        </w:rPr>
      </w:pPr>
    </w:p>
    <w:p w:rsidR="006312E8" w:rsidRPr="00135BD8" w:rsidRDefault="006312E8" w:rsidP="00135BD8">
      <w:pPr>
        <w:widowControl w:val="0"/>
        <w:numPr>
          <w:ilvl w:val="1"/>
          <w:numId w:val="52"/>
        </w:numPr>
        <w:tabs>
          <w:tab w:val="left" w:pos="709"/>
        </w:tabs>
        <w:spacing w:after="0" w:line="240" w:lineRule="auto"/>
        <w:ind w:left="709"/>
        <w:contextualSpacing/>
        <w:jc w:val="both"/>
        <w:rPr>
          <w:rFonts w:ascii="Arial" w:eastAsia="Times New Roman" w:hAnsi="Arial" w:cs="Arial"/>
          <w:lang w:val="es-ES"/>
        </w:rPr>
      </w:pPr>
      <w:r w:rsidRPr="006312E8">
        <w:rPr>
          <w:rFonts w:ascii="Arial" w:eastAsia="Times New Roman" w:hAnsi="Arial" w:cs="Arial"/>
          <w:spacing w:val="6"/>
          <w:lang w:val="es-ES"/>
        </w:rPr>
        <w:t>La Gerencia   de   Administración,   será   la   encargada   de   realizar   las actualizaciones anuales del valor de los arrendamientos, aplicando para el caso el índice de Precios al Consumidor (IPC).  Asimismo, la  Oficina de</w:t>
      </w:r>
      <w:r w:rsidRPr="006312E8">
        <w:rPr>
          <w:rFonts w:ascii="Arial" w:eastAsia="Times New Roman" w:hAnsi="Arial" w:cs="Arial"/>
          <w:lang w:val="es-ES"/>
        </w:rPr>
        <w:t xml:space="preserve"> </w:t>
      </w:r>
      <w:r w:rsidRPr="00135BD8">
        <w:rPr>
          <w:rFonts w:ascii="Arial" w:eastAsia="Calibri" w:hAnsi="Arial" w:cs="Arial"/>
          <w:lang w:val="es-ES"/>
        </w:rPr>
        <w:t>Tesorería se encargará de las funciones de cobranza de la renta, verificación del pago de los arbitrios y servicios en general.</w:t>
      </w:r>
    </w:p>
    <w:p w:rsidR="006312E8" w:rsidRPr="006312E8" w:rsidRDefault="006312E8" w:rsidP="006312E8">
      <w:pPr>
        <w:tabs>
          <w:tab w:val="left" w:pos="709"/>
        </w:tabs>
        <w:spacing w:after="0" w:line="240" w:lineRule="auto"/>
        <w:ind w:left="709"/>
        <w:jc w:val="both"/>
        <w:rPr>
          <w:rFonts w:ascii="Arial" w:eastAsia="Calibri" w:hAnsi="Arial" w:cs="Arial"/>
          <w:lang w:val="es-ES"/>
        </w:rPr>
      </w:pPr>
    </w:p>
    <w:p w:rsidR="006312E8" w:rsidRPr="006312E8" w:rsidRDefault="006312E8" w:rsidP="006312E8">
      <w:pPr>
        <w:widowControl w:val="0"/>
        <w:numPr>
          <w:ilvl w:val="1"/>
          <w:numId w:val="52"/>
        </w:numPr>
        <w:tabs>
          <w:tab w:val="left" w:pos="709"/>
        </w:tabs>
        <w:spacing w:after="0" w:line="240" w:lineRule="auto"/>
        <w:ind w:left="709"/>
        <w:contextualSpacing/>
        <w:jc w:val="both"/>
        <w:rPr>
          <w:rFonts w:ascii="Arial" w:eastAsia="Times New Roman" w:hAnsi="Arial" w:cs="Arial"/>
          <w:lang w:val="es-ES"/>
        </w:rPr>
      </w:pPr>
      <w:r w:rsidRPr="006312E8">
        <w:rPr>
          <w:rFonts w:ascii="Arial" w:eastAsia="Times New Roman" w:hAnsi="Arial" w:cs="Arial"/>
          <w:lang w:val="es-ES"/>
        </w:rPr>
        <w:t>La Oficina de Tesorería deberá, dentro de los primeros 15 días del mes siguiente, remitir a la Gerencia de Administración un resumen de los cobros efectuados y aquellos que se encuentren pendientes de pago. La relación de las obligaciones impagas será remitida a la Gerencia de Operaciones.</w:t>
      </w:r>
    </w:p>
    <w:p w:rsidR="006312E8" w:rsidRPr="006312E8" w:rsidRDefault="006312E8" w:rsidP="006312E8">
      <w:pPr>
        <w:tabs>
          <w:tab w:val="left" w:pos="709"/>
        </w:tabs>
        <w:spacing w:after="0" w:line="240" w:lineRule="auto"/>
        <w:ind w:left="709"/>
        <w:contextualSpacing/>
        <w:jc w:val="both"/>
        <w:rPr>
          <w:rFonts w:ascii="Arial" w:eastAsia="Times New Roman" w:hAnsi="Arial" w:cs="Arial"/>
          <w:lang w:val="es-ES"/>
        </w:rPr>
      </w:pPr>
    </w:p>
    <w:p w:rsidR="006312E8" w:rsidRPr="006312E8" w:rsidRDefault="006312E8" w:rsidP="006312E8">
      <w:pPr>
        <w:widowControl w:val="0"/>
        <w:numPr>
          <w:ilvl w:val="1"/>
          <w:numId w:val="52"/>
        </w:numPr>
        <w:tabs>
          <w:tab w:val="left" w:pos="709"/>
        </w:tabs>
        <w:spacing w:after="0" w:line="240" w:lineRule="auto"/>
        <w:ind w:left="709"/>
        <w:contextualSpacing/>
        <w:jc w:val="both"/>
        <w:rPr>
          <w:rFonts w:ascii="Arial" w:eastAsia="Times New Roman" w:hAnsi="Arial" w:cs="Arial"/>
          <w:lang w:val="es-ES"/>
        </w:rPr>
      </w:pPr>
      <w:r w:rsidRPr="006312E8">
        <w:rPr>
          <w:rFonts w:ascii="Arial" w:eastAsia="Times New Roman" w:hAnsi="Arial" w:cs="Arial"/>
          <w:lang w:val="es-ES"/>
        </w:rPr>
        <w:t>La Jefatura de Adjudicaciones requerirá el cumplimiento de pago bajo apercibimiento de resolución del contrato. De no prosperar, la Gerencia de operaciones resolverá el contrato y requerirá la devolución inmediata del inmueble.</w:t>
      </w:r>
    </w:p>
    <w:p w:rsidR="006312E8" w:rsidRPr="006312E8" w:rsidRDefault="006312E8" w:rsidP="006312E8">
      <w:pPr>
        <w:tabs>
          <w:tab w:val="left" w:pos="709"/>
        </w:tabs>
        <w:spacing w:after="200" w:line="276" w:lineRule="auto"/>
        <w:ind w:left="709"/>
        <w:contextualSpacing/>
        <w:rPr>
          <w:rFonts w:ascii="Arial" w:eastAsia="Times New Roman" w:hAnsi="Arial" w:cs="Arial"/>
          <w:lang w:val="es-ES"/>
        </w:rPr>
      </w:pPr>
    </w:p>
    <w:p w:rsidR="006312E8" w:rsidRPr="006312E8" w:rsidRDefault="006312E8" w:rsidP="006312E8">
      <w:pPr>
        <w:widowControl w:val="0"/>
        <w:numPr>
          <w:ilvl w:val="1"/>
          <w:numId w:val="52"/>
        </w:numPr>
        <w:tabs>
          <w:tab w:val="left" w:pos="709"/>
        </w:tabs>
        <w:spacing w:after="0" w:line="240" w:lineRule="auto"/>
        <w:ind w:left="709"/>
        <w:contextualSpacing/>
        <w:jc w:val="both"/>
        <w:rPr>
          <w:rFonts w:ascii="Arial" w:eastAsia="Times New Roman" w:hAnsi="Arial" w:cs="Arial"/>
          <w:lang w:val="es-ES"/>
        </w:rPr>
      </w:pPr>
      <w:r w:rsidRPr="006312E8">
        <w:rPr>
          <w:rFonts w:ascii="Arial" w:eastAsia="Times New Roman" w:hAnsi="Arial" w:cs="Arial"/>
          <w:lang w:val="es-ES"/>
        </w:rPr>
        <w:t>La Jefatura de Adquisiciones y Recuperaciones - JAR, programara anualmente la verificación de los inmuebles arrendados. Si de la fiscalización correspondiente se determinase que algún inmueble no es utilizado de acuerdo con lo estipulado en el contrato o no es conservado debidamente, lo informará a la Gerencia de Operaciones para que resuelva el contrato y requiera la devolución inmediata del inmueble.</w:t>
      </w:r>
    </w:p>
    <w:p w:rsidR="006312E8" w:rsidRPr="006312E8" w:rsidRDefault="006312E8" w:rsidP="006312E8">
      <w:pPr>
        <w:tabs>
          <w:tab w:val="left" w:pos="709"/>
        </w:tabs>
        <w:spacing w:after="200" w:line="276" w:lineRule="auto"/>
        <w:ind w:left="709"/>
        <w:contextualSpacing/>
        <w:rPr>
          <w:rFonts w:ascii="Arial" w:eastAsia="Times New Roman" w:hAnsi="Arial" w:cs="Arial"/>
          <w:lang w:val="es-ES"/>
        </w:rPr>
      </w:pPr>
    </w:p>
    <w:p w:rsidR="006312E8" w:rsidRPr="006312E8" w:rsidRDefault="006312E8" w:rsidP="006312E8">
      <w:pPr>
        <w:widowControl w:val="0"/>
        <w:numPr>
          <w:ilvl w:val="1"/>
          <w:numId w:val="52"/>
        </w:numPr>
        <w:tabs>
          <w:tab w:val="left" w:pos="709"/>
        </w:tabs>
        <w:spacing w:after="0" w:line="240" w:lineRule="auto"/>
        <w:ind w:left="709"/>
        <w:contextualSpacing/>
        <w:jc w:val="both"/>
        <w:rPr>
          <w:rFonts w:ascii="Arial" w:eastAsia="Times New Roman" w:hAnsi="Arial" w:cs="Arial"/>
          <w:lang w:val="es-ES"/>
        </w:rPr>
      </w:pPr>
      <w:r w:rsidRPr="006312E8">
        <w:rPr>
          <w:rFonts w:ascii="Arial" w:eastAsia="Times New Roman" w:hAnsi="Arial" w:cs="Arial"/>
          <w:lang w:val="es-ES"/>
        </w:rPr>
        <w:t>Una vez resuelto el contrato en el caso que el arrendatario no entregue el bien, la Gerencia de Operaciones informará a la Gerencia Legal con el objeto que inicie las acciones judiciales correspondientes.</w:t>
      </w:r>
    </w:p>
    <w:p w:rsidR="006312E8" w:rsidRPr="006312E8" w:rsidRDefault="006312E8" w:rsidP="006312E8">
      <w:pPr>
        <w:tabs>
          <w:tab w:val="left" w:pos="709"/>
        </w:tabs>
        <w:spacing w:after="200" w:line="276" w:lineRule="auto"/>
        <w:ind w:left="709"/>
        <w:contextualSpacing/>
        <w:rPr>
          <w:rFonts w:ascii="Arial" w:eastAsia="Times New Roman" w:hAnsi="Arial" w:cs="Arial"/>
          <w:lang w:val="es-ES"/>
        </w:rPr>
      </w:pPr>
    </w:p>
    <w:p w:rsidR="006312E8" w:rsidRPr="006312E8" w:rsidRDefault="006312E8" w:rsidP="006312E8">
      <w:pPr>
        <w:widowControl w:val="0"/>
        <w:numPr>
          <w:ilvl w:val="1"/>
          <w:numId w:val="52"/>
        </w:numPr>
        <w:tabs>
          <w:tab w:val="left" w:pos="709"/>
        </w:tabs>
        <w:spacing w:after="0" w:line="240" w:lineRule="auto"/>
        <w:ind w:left="709" w:hanging="508"/>
        <w:contextualSpacing/>
        <w:jc w:val="both"/>
        <w:rPr>
          <w:rFonts w:ascii="Arial" w:eastAsia="Times New Roman" w:hAnsi="Arial" w:cs="Arial"/>
          <w:lang w:val="es-ES"/>
        </w:rPr>
      </w:pPr>
      <w:r w:rsidRPr="006312E8">
        <w:rPr>
          <w:rFonts w:ascii="Arial" w:eastAsia="Times New Roman" w:hAnsi="Arial" w:cs="Arial"/>
          <w:lang w:val="es-ES"/>
        </w:rPr>
        <w:t>Concluido  el plazo del contrato de  Arrendamiento, el arrendatario deberá devolver el inmueble mediante la suscripción de un Acta de Entrega, la cual será  celebrada  con  el representante  de  la  Jefatura  de  Adquisiciones  y Recuperaciones.</w:t>
      </w:r>
    </w:p>
    <w:p w:rsidR="006312E8" w:rsidRPr="006312E8" w:rsidRDefault="006312E8" w:rsidP="006312E8">
      <w:pPr>
        <w:tabs>
          <w:tab w:val="left" w:pos="709"/>
        </w:tabs>
        <w:spacing w:after="200" w:line="276" w:lineRule="auto"/>
        <w:ind w:left="709"/>
        <w:contextualSpacing/>
        <w:rPr>
          <w:rFonts w:ascii="Arial" w:eastAsia="Times New Roman" w:hAnsi="Arial" w:cs="Arial"/>
          <w:lang w:val="es-ES"/>
        </w:rPr>
      </w:pPr>
    </w:p>
    <w:p w:rsidR="006312E8" w:rsidRPr="006312E8" w:rsidRDefault="006312E8" w:rsidP="006312E8">
      <w:pPr>
        <w:widowControl w:val="0"/>
        <w:numPr>
          <w:ilvl w:val="1"/>
          <w:numId w:val="52"/>
        </w:numPr>
        <w:tabs>
          <w:tab w:val="left" w:pos="709"/>
        </w:tabs>
        <w:spacing w:after="0" w:line="240" w:lineRule="auto"/>
        <w:ind w:left="709" w:hanging="508"/>
        <w:contextualSpacing/>
        <w:jc w:val="both"/>
        <w:rPr>
          <w:rFonts w:ascii="Arial" w:eastAsia="Times New Roman" w:hAnsi="Arial" w:cs="Arial"/>
          <w:lang w:val="es-ES"/>
        </w:rPr>
      </w:pPr>
      <w:r w:rsidRPr="006312E8">
        <w:rPr>
          <w:rFonts w:ascii="Arial" w:eastAsia="Times New Roman" w:hAnsi="Arial" w:cs="Arial"/>
          <w:lang w:val="es-ES"/>
        </w:rPr>
        <w:t>Si vencido el plazo del contrato, el arrendatario permanece en el inmueble, no se   entiende que hay   renovación   tácita,   sino la   continuación del arrendamiento, bajo sus mismas estipulaciones, hasta que se le requiera la devolución del Inmueble de acuerdo al Artículo 1700° del Código Civil.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widowControl w:val="0"/>
        <w:numPr>
          <w:ilvl w:val="0"/>
          <w:numId w:val="52"/>
        </w:numPr>
        <w:tabs>
          <w:tab w:val="left" w:pos="284"/>
        </w:tabs>
        <w:spacing w:after="0" w:line="240" w:lineRule="auto"/>
        <w:ind w:left="284" w:hanging="284"/>
        <w:contextualSpacing/>
        <w:jc w:val="both"/>
        <w:rPr>
          <w:rFonts w:ascii="Arial" w:eastAsia="Times New Roman" w:hAnsi="Arial" w:cs="Arial"/>
          <w:b/>
          <w:lang w:val="es-ES"/>
        </w:rPr>
      </w:pPr>
      <w:r w:rsidRPr="006312E8">
        <w:rPr>
          <w:rFonts w:ascii="Arial" w:eastAsia="Times New Roman" w:hAnsi="Arial" w:cs="Arial"/>
          <w:b/>
          <w:lang w:val="es-ES"/>
        </w:rPr>
        <w:t>Facultad de reserva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widowControl w:val="0"/>
        <w:numPr>
          <w:ilvl w:val="1"/>
          <w:numId w:val="52"/>
        </w:numPr>
        <w:tabs>
          <w:tab w:val="left" w:pos="851"/>
        </w:tabs>
        <w:spacing w:after="0" w:line="240" w:lineRule="auto"/>
        <w:ind w:left="851" w:hanging="508"/>
        <w:contextualSpacing/>
        <w:jc w:val="both"/>
        <w:rPr>
          <w:rFonts w:ascii="Arial" w:eastAsia="Times New Roman" w:hAnsi="Arial" w:cs="Arial"/>
          <w:lang w:val="es-ES"/>
        </w:rPr>
      </w:pPr>
      <w:r w:rsidRPr="006312E8">
        <w:rPr>
          <w:rFonts w:ascii="Arial" w:eastAsia="Times New Roman" w:hAnsi="Arial" w:cs="Arial"/>
          <w:lang w:val="es-ES"/>
        </w:rPr>
        <w:t>La SBN tiene la facultad de reservar en los contratos la disposición de los aires, las paredes externas u otras áreas del inmueble para un uso diferente al arrendamiento, lo cual deberá establecerse de manera expresa en la convocatoria pública que se lleve a cabo para tal fin.</w:t>
      </w:r>
    </w:p>
    <w:p w:rsidR="006312E8" w:rsidRPr="006312E8" w:rsidRDefault="006312E8" w:rsidP="006312E8">
      <w:pPr>
        <w:tabs>
          <w:tab w:val="left" w:pos="851"/>
        </w:tabs>
        <w:spacing w:after="0" w:line="240" w:lineRule="auto"/>
        <w:ind w:left="851"/>
        <w:contextualSpacing/>
        <w:jc w:val="both"/>
        <w:rPr>
          <w:rFonts w:ascii="Arial" w:eastAsia="Times New Roman" w:hAnsi="Arial" w:cs="Arial"/>
          <w:lang w:val="es-ES"/>
        </w:rPr>
      </w:pPr>
    </w:p>
    <w:p w:rsidR="006312E8" w:rsidRPr="006312E8" w:rsidRDefault="006312E8" w:rsidP="006312E8">
      <w:pPr>
        <w:widowControl w:val="0"/>
        <w:numPr>
          <w:ilvl w:val="1"/>
          <w:numId w:val="52"/>
        </w:numPr>
        <w:tabs>
          <w:tab w:val="left" w:pos="851"/>
        </w:tabs>
        <w:spacing w:after="0" w:line="240" w:lineRule="auto"/>
        <w:ind w:left="851" w:hanging="508"/>
        <w:contextualSpacing/>
        <w:jc w:val="both"/>
        <w:rPr>
          <w:rFonts w:ascii="Arial" w:eastAsia="Times New Roman" w:hAnsi="Arial" w:cs="Arial"/>
          <w:lang w:val="es-ES"/>
        </w:rPr>
      </w:pPr>
      <w:r w:rsidRPr="006312E8">
        <w:rPr>
          <w:rFonts w:ascii="Arial" w:eastAsia="Times New Roman" w:hAnsi="Arial" w:cs="Arial"/>
          <w:lang w:val="es-ES"/>
        </w:rPr>
        <w:t>Las áreas reservadas podrán ser materia de posterior arrendamiento, en tanto no impida el uso del inmueble arrendado.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widowControl w:val="0"/>
        <w:numPr>
          <w:ilvl w:val="0"/>
          <w:numId w:val="52"/>
        </w:numPr>
        <w:tabs>
          <w:tab w:val="left" w:pos="426"/>
        </w:tabs>
        <w:spacing w:after="0" w:line="240" w:lineRule="auto"/>
        <w:ind w:left="426"/>
        <w:contextualSpacing/>
        <w:jc w:val="both"/>
        <w:rPr>
          <w:rFonts w:ascii="Arial" w:eastAsia="Times New Roman" w:hAnsi="Arial" w:cs="Arial"/>
          <w:b/>
          <w:lang w:val="es-ES"/>
        </w:rPr>
      </w:pPr>
      <w:r w:rsidRPr="006312E8">
        <w:rPr>
          <w:rFonts w:ascii="Arial" w:eastAsia="Times New Roman" w:hAnsi="Arial" w:cs="Arial"/>
          <w:b/>
          <w:lang w:val="es-ES"/>
        </w:rPr>
        <w:t>La Renovación del Contrato  de arrendamiento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widowControl w:val="0"/>
        <w:numPr>
          <w:ilvl w:val="1"/>
          <w:numId w:val="52"/>
        </w:numPr>
        <w:tabs>
          <w:tab w:val="left" w:pos="709"/>
        </w:tabs>
        <w:spacing w:after="0" w:line="240" w:lineRule="auto"/>
        <w:ind w:left="709" w:hanging="508"/>
        <w:contextualSpacing/>
        <w:jc w:val="both"/>
        <w:rPr>
          <w:rFonts w:ascii="Arial" w:eastAsia="Times New Roman" w:hAnsi="Arial" w:cs="Arial"/>
          <w:lang w:val="es-ES"/>
        </w:rPr>
      </w:pPr>
      <w:r w:rsidRPr="006312E8">
        <w:rPr>
          <w:rFonts w:ascii="Arial" w:eastAsia="Times New Roman" w:hAnsi="Arial" w:cs="Arial"/>
          <w:lang w:val="es-ES"/>
        </w:rPr>
        <w:t>La Jefatura de Adjudicaciones deberá evaluar la renovación de los contratos de  arrendamiento  con  una  anticipación de  dos  (2)  meses  antes  de  su conclusión.</w:t>
      </w:r>
    </w:p>
    <w:p w:rsidR="006312E8" w:rsidRPr="006312E8" w:rsidRDefault="006312E8" w:rsidP="006312E8">
      <w:pPr>
        <w:tabs>
          <w:tab w:val="left" w:pos="709"/>
        </w:tabs>
        <w:spacing w:after="0" w:line="240" w:lineRule="auto"/>
        <w:ind w:left="709"/>
        <w:contextualSpacing/>
        <w:jc w:val="both"/>
        <w:rPr>
          <w:rFonts w:ascii="Arial" w:eastAsia="Times New Roman" w:hAnsi="Arial" w:cs="Arial"/>
          <w:lang w:val="es-ES"/>
        </w:rPr>
      </w:pPr>
    </w:p>
    <w:p w:rsidR="006312E8" w:rsidRPr="006312E8" w:rsidRDefault="006312E8" w:rsidP="006312E8">
      <w:pPr>
        <w:widowControl w:val="0"/>
        <w:numPr>
          <w:ilvl w:val="1"/>
          <w:numId w:val="52"/>
        </w:numPr>
        <w:tabs>
          <w:tab w:val="left" w:pos="709"/>
        </w:tabs>
        <w:spacing w:after="0" w:line="240" w:lineRule="auto"/>
        <w:ind w:left="709" w:hanging="508"/>
        <w:contextualSpacing/>
        <w:jc w:val="both"/>
        <w:rPr>
          <w:rFonts w:ascii="Arial" w:eastAsia="Times New Roman" w:hAnsi="Arial" w:cs="Arial"/>
          <w:lang w:val="es-ES"/>
        </w:rPr>
      </w:pPr>
      <w:r w:rsidRPr="006312E8">
        <w:rPr>
          <w:rFonts w:ascii="Arial" w:eastAsia="Times New Roman" w:hAnsi="Arial" w:cs="Arial"/>
          <w:lang w:val="es-ES"/>
        </w:rPr>
        <w:t>La renovación podrá efectuarse incluso con fecha posterior a la conclusión del contrato primigenio.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widowControl w:val="0"/>
        <w:numPr>
          <w:ilvl w:val="0"/>
          <w:numId w:val="52"/>
        </w:numPr>
        <w:tabs>
          <w:tab w:val="left" w:pos="426"/>
        </w:tabs>
        <w:spacing w:after="0" w:line="240" w:lineRule="auto"/>
        <w:ind w:left="426"/>
        <w:contextualSpacing/>
        <w:jc w:val="both"/>
        <w:rPr>
          <w:rFonts w:ascii="Arial" w:eastAsia="Times New Roman" w:hAnsi="Arial" w:cs="Arial"/>
          <w:lang w:val="es-ES"/>
        </w:rPr>
      </w:pPr>
      <w:r w:rsidRPr="006312E8">
        <w:rPr>
          <w:rFonts w:ascii="Arial" w:eastAsia="Times New Roman" w:hAnsi="Arial" w:cs="Arial"/>
          <w:b/>
          <w:lang w:val="es-ES"/>
        </w:rPr>
        <w:t>De la Administración del Expediente</w:t>
      </w:r>
      <w:r w:rsidRPr="006312E8">
        <w:rPr>
          <w:rFonts w:ascii="Arial" w:eastAsia="Times New Roman" w:hAnsi="Arial" w:cs="Arial"/>
          <w:lang w:val="es-ES"/>
        </w:rPr>
        <w:t>.</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widowControl w:val="0"/>
        <w:numPr>
          <w:ilvl w:val="1"/>
          <w:numId w:val="52"/>
        </w:numPr>
        <w:tabs>
          <w:tab w:val="left" w:pos="993"/>
        </w:tabs>
        <w:spacing w:after="0" w:line="240" w:lineRule="auto"/>
        <w:ind w:left="993" w:hanging="508"/>
        <w:contextualSpacing/>
        <w:jc w:val="both"/>
        <w:rPr>
          <w:rFonts w:ascii="Arial" w:eastAsia="Times New Roman" w:hAnsi="Arial" w:cs="Arial"/>
          <w:lang w:val="es-ES"/>
        </w:rPr>
      </w:pPr>
      <w:r w:rsidRPr="006312E8">
        <w:rPr>
          <w:rFonts w:ascii="Arial" w:eastAsia="Times New Roman" w:hAnsi="Arial" w:cs="Arial"/>
          <w:lang w:val="es-ES"/>
        </w:rPr>
        <w:t>La   custodia  del  expediente  se  encontrará  a  cargo  de  la  Jefatura  de Adjudicaciones, el mismo que deberá contener todos los documentos que se generen como consecuencia de la celebración, ejecución y/o resolución del contrato  de  arrendamiento. Para  tal  fin, la  Gerencia de Administración le remitirá  mensualmente  copia  de  los  recibos  de  pago;  y  la  Jefatura  de Adquisiciones y Recuperaciones remitirá copia de las fichas que sustenten las verificaciones realizadas.</w:t>
      </w:r>
    </w:p>
    <w:p w:rsidR="006312E8" w:rsidRPr="006312E8" w:rsidRDefault="006312E8" w:rsidP="006312E8">
      <w:pPr>
        <w:tabs>
          <w:tab w:val="left" w:pos="993"/>
        </w:tabs>
        <w:spacing w:after="0" w:line="240" w:lineRule="auto"/>
        <w:ind w:left="993"/>
        <w:contextualSpacing/>
        <w:jc w:val="both"/>
        <w:rPr>
          <w:rFonts w:ascii="Arial" w:eastAsia="Times New Roman" w:hAnsi="Arial" w:cs="Arial"/>
          <w:lang w:val="es-ES"/>
        </w:rPr>
      </w:pPr>
    </w:p>
    <w:p w:rsidR="006312E8" w:rsidRPr="006312E8" w:rsidRDefault="006312E8" w:rsidP="006312E8">
      <w:pPr>
        <w:widowControl w:val="0"/>
        <w:numPr>
          <w:ilvl w:val="1"/>
          <w:numId w:val="52"/>
        </w:numPr>
        <w:tabs>
          <w:tab w:val="left" w:pos="993"/>
        </w:tabs>
        <w:spacing w:after="0" w:line="240" w:lineRule="auto"/>
        <w:ind w:left="993" w:hanging="508"/>
        <w:contextualSpacing/>
        <w:jc w:val="both"/>
        <w:rPr>
          <w:rFonts w:ascii="Arial" w:eastAsia="Times New Roman" w:hAnsi="Arial" w:cs="Arial"/>
          <w:lang w:val="es-ES"/>
        </w:rPr>
      </w:pPr>
      <w:r w:rsidRPr="006312E8">
        <w:rPr>
          <w:rFonts w:ascii="Arial" w:eastAsia="Times New Roman" w:hAnsi="Arial" w:cs="Arial"/>
          <w:lang w:val="es-ES"/>
        </w:rPr>
        <w:t>Una copia  autenticada del contrato de arrendamiento será remitida por la Jefatura de Adjudicaciones a las siguientes unidades orgánicas:</w:t>
      </w:r>
    </w:p>
    <w:p w:rsidR="006312E8" w:rsidRPr="006312E8" w:rsidRDefault="006312E8" w:rsidP="006312E8">
      <w:pPr>
        <w:spacing w:after="200" w:line="276" w:lineRule="auto"/>
        <w:ind w:left="720"/>
        <w:contextualSpacing/>
        <w:rPr>
          <w:rFonts w:ascii="Arial" w:eastAsia="Times New Roman" w:hAnsi="Arial" w:cs="Arial"/>
          <w:lang w:val="es-ES"/>
        </w:rPr>
      </w:pPr>
    </w:p>
    <w:p w:rsidR="006312E8" w:rsidRPr="006312E8" w:rsidRDefault="006312E8" w:rsidP="006312E8">
      <w:pPr>
        <w:widowControl w:val="0"/>
        <w:numPr>
          <w:ilvl w:val="2"/>
          <w:numId w:val="52"/>
        </w:numPr>
        <w:tabs>
          <w:tab w:val="left" w:pos="1701"/>
        </w:tabs>
        <w:spacing w:after="0" w:line="240" w:lineRule="auto"/>
        <w:ind w:left="1701" w:hanging="657"/>
        <w:contextualSpacing/>
        <w:jc w:val="both"/>
        <w:rPr>
          <w:rFonts w:ascii="Arial" w:eastAsia="Times New Roman" w:hAnsi="Arial" w:cs="Arial"/>
          <w:lang w:val="es-ES"/>
        </w:rPr>
      </w:pPr>
      <w:r w:rsidRPr="006312E8">
        <w:rPr>
          <w:rFonts w:ascii="Arial" w:eastAsia="Times New Roman" w:hAnsi="Arial" w:cs="Arial"/>
          <w:lang w:val="es-ES"/>
        </w:rPr>
        <w:t>Jefatura del Sistema de Información Nacional de Bienes de Propiedad Estatal, para que dentro de los 5 días útiles de suscrito el contrato sea incorporado al respectivo Asiento del SINABIP.</w:t>
      </w:r>
    </w:p>
    <w:p w:rsidR="006312E8" w:rsidRPr="006312E8" w:rsidRDefault="006312E8" w:rsidP="006312E8">
      <w:pPr>
        <w:tabs>
          <w:tab w:val="left" w:pos="1701"/>
        </w:tabs>
        <w:spacing w:after="0" w:line="240" w:lineRule="auto"/>
        <w:ind w:left="1701"/>
        <w:contextualSpacing/>
        <w:jc w:val="both"/>
        <w:rPr>
          <w:rFonts w:ascii="Arial" w:eastAsia="Times New Roman" w:hAnsi="Arial" w:cs="Arial"/>
          <w:lang w:val="es-ES"/>
        </w:rPr>
      </w:pPr>
    </w:p>
    <w:p w:rsidR="006312E8" w:rsidRPr="006312E8" w:rsidRDefault="006312E8" w:rsidP="006312E8">
      <w:pPr>
        <w:widowControl w:val="0"/>
        <w:numPr>
          <w:ilvl w:val="2"/>
          <w:numId w:val="52"/>
        </w:numPr>
        <w:tabs>
          <w:tab w:val="left" w:pos="1701"/>
        </w:tabs>
        <w:spacing w:after="0" w:line="240" w:lineRule="auto"/>
        <w:ind w:left="1701" w:hanging="657"/>
        <w:contextualSpacing/>
        <w:jc w:val="both"/>
        <w:rPr>
          <w:rFonts w:ascii="Arial" w:eastAsia="Times New Roman" w:hAnsi="Arial" w:cs="Arial"/>
          <w:lang w:val="es-ES"/>
        </w:rPr>
      </w:pPr>
      <w:r w:rsidRPr="006312E8">
        <w:rPr>
          <w:rFonts w:ascii="Arial" w:eastAsia="Times New Roman" w:hAnsi="Arial" w:cs="Arial"/>
          <w:lang w:val="es-ES"/>
        </w:rPr>
        <w:t>Jefatura de Adquisiciones y Recuperaciones, con el objeto de que programe inspecciones periódicas para verificar el uso y conservación del bien. La Ficha de verificación será anexada al expediente administrativo.</w:t>
      </w:r>
    </w:p>
    <w:p w:rsidR="006312E8" w:rsidRPr="006312E8" w:rsidRDefault="006312E8" w:rsidP="006312E8">
      <w:pPr>
        <w:tabs>
          <w:tab w:val="left" w:pos="1701"/>
        </w:tabs>
        <w:spacing w:after="200" w:line="276" w:lineRule="auto"/>
        <w:ind w:left="1701"/>
        <w:contextualSpacing/>
        <w:rPr>
          <w:rFonts w:ascii="Arial" w:eastAsia="Times New Roman" w:hAnsi="Arial" w:cs="Arial"/>
          <w:lang w:val="es-ES"/>
        </w:rPr>
      </w:pPr>
    </w:p>
    <w:p w:rsidR="006312E8" w:rsidRPr="006312E8" w:rsidRDefault="006312E8" w:rsidP="006312E8">
      <w:pPr>
        <w:widowControl w:val="0"/>
        <w:numPr>
          <w:ilvl w:val="2"/>
          <w:numId w:val="52"/>
        </w:numPr>
        <w:tabs>
          <w:tab w:val="left" w:pos="1701"/>
        </w:tabs>
        <w:spacing w:after="0" w:line="240" w:lineRule="auto"/>
        <w:ind w:left="1701" w:hanging="657"/>
        <w:contextualSpacing/>
        <w:jc w:val="both"/>
        <w:rPr>
          <w:rFonts w:ascii="Arial" w:eastAsia="Times New Roman" w:hAnsi="Arial" w:cs="Arial"/>
          <w:lang w:val="es-ES"/>
        </w:rPr>
      </w:pPr>
      <w:r w:rsidRPr="006312E8">
        <w:rPr>
          <w:rFonts w:ascii="Arial" w:eastAsia="Times New Roman" w:hAnsi="Arial" w:cs="Arial"/>
          <w:lang w:val="es-ES"/>
        </w:rPr>
        <w:t>Gerencia de Administración, para el cobro de la renta y supervisión del pago de obligaciones.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widowControl w:val="0"/>
        <w:numPr>
          <w:ilvl w:val="1"/>
          <w:numId w:val="52"/>
        </w:numPr>
        <w:tabs>
          <w:tab w:val="left" w:pos="993"/>
        </w:tabs>
        <w:spacing w:after="0" w:line="240" w:lineRule="auto"/>
        <w:ind w:left="993" w:hanging="508"/>
        <w:contextualSpacing/>
        <w:jc w:val="both"/>
        <w:rPr>
          <w:rFonts w:ascii="Arial" w:eastAsia="Times New Roman" w:hAnsi="Arial" w:cs="Arial"/>
          <w:lang w:val="es-ES"/>
        </w:rPr>
      </w:pPr>
      <w:r w:rsidRPr="006312E8">
        <w:rPr>
          <w:rFonts w:ascii="Arial" w:eastAsia="Times New Roman" w:hAnsi="Arial" w:cs="Arial"/>
          <w:lang w:val="es-ES"/>
        </w:rPr>
        <w:t>La renovación del contrato de arrendamiento se tramitará en un expediente diferente al que sustentó el primer arrendamiento, archivándose este último mediante memorándum de la Jefatura de Adjudicaciones.</w:t>
      </w:r>
    </w:p>
    <w:p w:rsidR="006312E8" w:rsidRPr="006312E8" w:rsidRDefault="006312E8" w:rsidP="006312E8">
      <w:pPr>
        <w:tabs>
          <w:tab w:val="left" w:pos="993"/>
        </w:tabs>
        <w:spacing w:after="0" w:line="240" w:lineRule="auto"/>
        <w:ind w:left="993"/>
        <w:contextualSpacing/>
        <w:jc w:val="both"/>
        <w:rPr>
          <w:rFonts w:ascii="Arial" w:eastAsia="Times New Roman" w:hAnsi="Arial" w:cs="Arial"/>
          <w:lang w:val="es-ES"/>
        </w:rPr>
      </w:pPr>
    </w:p>
    <w:p w:rsidR="006312E8" w:rsidRPr="006312E8" w:rsidRDefault="006312E8" w:rsidP="006312E8">
      <w:pPr>
        <w:widowControl w:val="0"/>
        <w:numPr>
          <w:ilvl w:val="1"/>
          <w:numId w:val="52"/>
        </w:numPr>
        <w:tabs>
          <w:tab w:val="left" w:pos="993"/>
        </w:tabs>
        <w:spacing w:after="0" w:line="240" w:lineRule="auto"/>
        <w:ind w:left="993" w:hanging="508"/>
        <w:contextualSpacing/>
        <w:jc w:val="both"/>
        <w:rPr>
          <w:rFonts w:ascii="Arial" w:eastAsia="Times New Roman" w:hAnsi="Arial" w:cs="Arial"/>
          <w:lang w:val="es-ES"/>
        </w:rPr>
      </w:pPr>
      <w:r w:rsidRPr="006312E8">
        <w:rPr>
          <w:rFonts w:ascii="Arial" w:eastAsia="Times New Roman" w:hAnsi="Arial" w:cs="Arial"/>
          <w:lang w:val="es-ES"/>
        </w:rPr>
        <w:t>El expediente  se  cerrará  con  el memorándum  que  emita  la  Jefatura  de Adquisiciones y Recuperaciones  o la Jefatura de Adjudicaciones, cuando se recupere la posesión  y administración del inmueble que se encontraba arrendado.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widowControl w:val="0"/>
        <w:numPr>
          <w:ilvl w:val="0"/>
          <w:numId w:val="52"/>
        </w:numPr>
        <w:tabs>
          <w:tab w:val="left" w:pos="426"/>
        </w:tabs>
        <w:spacing w:after="0" w:line="240" w:lineRule="auto"/>
        <w:ind w:left="426"/>
        <w:contextualSpacing/>
        <w:jc w:val="both"/>
        <w:rPr>
          <w:rFonts w:ascii="Arial" w:eastAsia="Times New Roman" w:hAnsi="Arial" w:cs="Arial"/>
          <w:b/>
          <w:lang w:val="es-ES"/>
        </w:rPr>
      </w:pPr>
      <w:r w:rsidRPr="006312E8">
        <w:rPr>
          <w:rFonts w:ascii="Arial" w:eastAsia="Times New Roman" w:hAnsi="Arial" w:cs="Arial"/>
          <w:b/>
          <w:lang w:val="es-ES"/>
        </w:rPr>
        <w:t>Elementos mínimos  del contrato de arrendamiento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widowControl w:val="0"/>
        <w:numPr>
          <w:ilvl w:val="1"/>
          <w:numId w:val="52"/>
        </w:numPr>
        <w:tabs>
          <w:tab w:val="left" w:pos="709"/>
        </w:tabs>
        <w:spacing w:after="0" w:line="240" w:lineRule="auto"/>
        <w:ind w:left="709" w:hanging="508"/>
        <w:contextualSpacing/>
        <w:jc w:val="both"/>
        <w:rPr>
          <w:rFonts w:ascii="Arial" w:eastAsia="Times New Roman" w:hAnsi="Arial" w:cs="Arial"/>
          <w:lang w:val="es-ES"/>
        </w:rPr>
      </w:pPr>
      <w:r w:rsidRPr="006312E8">
        <w:rPr>
          <w:rFonts w:ascii="Arial" w:eastAsia="Times New Roman" w:hAnsi="Arial" w:cs="Arial"/>
          <w:lang w:val="es-ES"/>
        </w:rPr>
        <w:t>Los contratos de arrendamiento deberán considerar los siguientes elementos mínimos según corresponda: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widowControl w:val="0"/>
        <w:numPr>
          <w:ilvl w:val="0"/>
          <w:numId w:val="53"/>
        </w:numPr>
        <w:spacing w:after="0" w:line="240" w:lineRule="auto"/>
        <w:ind w:left="993"/>
        <w:contextualSpacing/>
        <w:jc w:val="both"/>
        <w:rPr>
          <w:rFonts w:ascii="Arial" w:eastAsia="Times New Roman" w:hAnsi="Arial" w:cs="Arial"/>
          <w:lang w:val="es-ES"/>
        </w:rPr>
      </w:pPr>
      <w:r w:rsidRPr="006312E8">
        <w:rPr>
          <w:rFonts w:ascii="Arial" w:eastAsia="Times New Roman" w:hAnsi="Arial" w:cs="Arial"/>
          <w:lang w:val="es-ES"/>
        </w:rPr>
        <w:t>El plazo del arrendamiento debe ser de dos (2) años pudiendo ser renovado.</w:t>
      </w:r>
    </w:p>
    <w:p w:rsidR="006312E8" w:rsidRPr="006312E8" w:rsidRDefault="006312E8" w:rsidP="006312E8">
      <w:pPr>
        <w:widowControl w:val="0"/>
        <w:numPr>
          <w:ilvl w:val="0"/>
          <w:numId w:val="53"/>
        </w:numPr>
        <w:spacing w:after="0" w:line="240" w:lineRule="auto"/>
        <w:ind w:left="993"/>
        <w:contextualSpacing/>
        <w:jc w:val="both"/>
        <w:rPr>
          <w:rFonts w:ascii="Arial" w:eastAsia="Times New Roman" w:hAnsi="Arial" w:cs="Arial"/>
          <w:lang w:val="es-ES"/>
        </w:rPr>
      </w:pPr>
      <w:r w:rsidRPr="006312E8">
        <w:rPr>
          <w:rFonts w:ascii="Arial" w:eastAsia="Times New Roman" w:hAnsi="Arial" w:cs="Arial"/>
          <w:lang w:val="es-ES"/>
        </w:rPr>
        <w:t>Cláusula de reajuste automático anual de la renta, en función al índice de Precios al Consumidor (IPC).</w:t>
      </w:r>
    </w:p>
    <w:p w:rsidR="006312E8" w:rsidRPr="006312E8" w:rsidRDefault="006312E8" w:rsidP="006312E8">
      <w:pPr>
        <w:widowControl w:val="0"/>
        <w:numPr>
          <w:ilvl w:val="0"/>
          <w:numId w:val="53"/>
        </w:numPr>
        <w:spacing w:after="0" w:line="240" w:lineRule="auto"/>
        <w:ind w:left="993"/>
        <w:contextualSpacing/>
        <w:jc w:val="both"/>
        <w:rPr>
          <w:rFonts w:ascii="Arial" w:eastAsia="Times New Roman" w:hAnsi="Arial" w:cs="Arial"/>
          <w:lang w:val="es-ES"/>
        </w:rPr>
      </w:pPr>
      <w:r w:rsidRPr="006312E8">
        <w:rPr>
          <w:rFonts w:ascii="Arial" w:eastAsia="Times New Roman" w:hAnsi="Arial" w:cs="Arial"/>
          <w:lang w:val="es-ES"/>
        </w:rPr>
        <w:t>Es obligación del arrendatario realizar el pago de arbitrios municipales y los servicios del inmueble.</w:t>
      </w:r>
    </w:p>
    <w:p w:rsidR="006312E8" w:rsidRPr="006312E8" w:rsidRDefault="006312E8" w:rsidP="006312E8">
      <w:pPr>
        <w:widowControl w:val="0"/>
        <w:numPr>
          <w:ilvl w:val="0"/>
          <w:numId w:val="53"/>
        </w:numPr>
        <w:spacing w:after="0" w:line="240" w:lineRule="auto"/>
        <w:ind w:left="993"/>
        <w:contextualSpacing/>
        <w:jc w:val="both"/>
        <w:rPr>
          <w:rFonts w:ascii="Arial" w:eastAsia="Times New Roman" w:hAnsi="Arial" w:cs="Arial"/>
          <w:lang w:val="es-ES"/>
        </w:rPr>
      </w:pPr>
      <w:r w:rsidRPr="006312E8">
        <w:rPr>
          <w:rFonts w:ascii="Arial" w:eastAsia="Times New Roman" w:hAnsi="Arial" w:cs="Arial"/>
          <w:lang w:val="es-ES"/>
        </w:rPr>
        <w:t>Disposiciones que correspondan sobre arrendamiento contenidas en el Código Civil, con las que se garanticen los intereses del Estado.</w:t>
      </w:r>
    </w:p>
    <w:p w:rsidR="006312E8" w:rsidRPr="006312E8" w:rsidRDefault="006312E8" w:rsidP="006312E8">
      <w:pPr>
        <w:widowControl w:val="0"/>
        <w:numPr>
          <w:ilvl w:val="0"/>
          <w:numId w:val="53"/>
        </w:numPr>
        <w:spacing w:after="0" w:line="240" w:lineRule="auto"/>
        <w:ind w:left="993"/>
        <w:contextualSpacing/>
        <w:jc w:val="both"/>
        <w:rPr>
          <w:rFonts w:ascii="Arial" w:eastAsia="Times New Roman" w:hAnsi="Arial" w:cs="Arial"/>
          <w:lang w:val="es-ES"/>
        </w:rPr>
      </w:pPr>
      <w:r w:rsidRPr="006312E8">
        <w:rPr>
          <w:rFonts w:ascii="Arial" w:eastAsia="Times New Roman" w:hAnsi="Arial" w:cs="Arial"/>
          <w:lang w:val="es-ES"/>
        </w:rPr>
        <w:t>Determinación de algún área reservada en el inmueble a arrendar.</w:t>
      </w:r>
    </w:p>
    <w:p w:rsidR="006312E8" w:rsidRPr="006312E8" w:rsidRDefault="006312E8" w:rsidP="006312E8">
      <w:pPr>
        <w:widowControl w:val="0"/>
        <w:numPr>
          <w:ilvl w:val="0"/>
          <w:numId w:val="53"/>
        </w:numPr>
        <w:spacing w:after="0" w:line="240" w:lineRule="auto"/>
        <w:ind w:left="993"/>
        <w:contextualSpacing/>
        <w:jc w:val="both"/>
        <w:rPr>
          <w:rFonts w:ascii="Arial" w:eastAsia="Times New Roman" w:hAnsi="Arial" w:cs="Arial"/>
          <w:lang w:val="es-ES"/>
        </w:rPr>
      </w:pPr>
      <w:r w:rsidRPr="006312E8">
        <w:rPr>
          <w:rFonts w:ascii="Arial" w:eastAsia="Times New Roman" w:hAnsi="Arial" w:cs="Arial"/>
          <w:lang w:val="es-ES"/>
        </w:rPr>
        <w:t>En todo arrendamiento cuya renta supere una (1) UIT, deberá señalarse la obligación de la arrendataria de contratar a nombre de la SBN una Póliza de Seguro de Responsabilidad Civil contra todo riesgo.</w:t>
      </w:r>
    </w:p>
    <w:p w:rsidR="006312E8" w:rsidRPr="006312E8" w:rsidRDefault="006312E8" w:rsidP="006312E8">
      <w:pPr>
        <w:widowControl w:val="0"/>
        <w:numPr>
          <w:ilvl w:val="0"/>
          <w:numId w:val="53"/>
        </w:numPr>
        <w:spacing w:after="0" w:line="240" w:lineRule="auto"/>
        <w:ind w:left="993"/>
        <w:contextualSpacing/>
        <w:jc w:val="both"/>
        <w:rPr>
          <w:rFonts w:ascii="Arial" w:eastAsia="Times New Roman" w:hAnsi="Arial" w:cs="Arial"/>
          <w:lang w:val="es-ES"/>
        </w:rPr>
      </w:pPr>
      <w:r w:rsidRPr="006312E8">
        <w:rPr>
          <w:rFonts w:ascii="Arial" w:eastAsia="Times New Roman" w:hAnsi="Arial" w:cs="Arial"/>
          <w:lang w:val="es-ES"/>
        </w:rPr>
        <w:t>Todo contrato de arrendamiento cuya renta sea superior a una (1) UIT, deberé contar con una Garantía de Fiel Cumplimiento.</w:t>
      </w:r>
    </w:p>
    <w:p w:rsidR="006312E8" w:rsidRPr="006312E8" w:rsidRDefault="006312E8" w:rsidP="006312E8">
      <w:pPr>
        <w:widowControl w:val="0"/>
        <w:numPr>
          <w:ilvl w:val="0"/>
          <w:numId w:val="53"/>
        </w:numPr>
        <w:spacing w:after="0" w:line="240" w:lineRule="auto"/>
        <w:ind w:left="993"/>
        <w:contextualSpacing/>
        <w:jc w:val="both"/>
        <w:rPr>
          <w:rFonts w:ascii="Arial" w:eastAsia="Times New Roman" w:hAnsi="Arial" w:cs="Arial"/>
          <w:lang w:val="es-ES"/>
        </w:rPr>
      </w:pPr>
      <w:r w:rsidRPr="006312E8">
        <w:rPr>
          <w:rFonts w:ascii="Arial" w:eastAsia="Times New Roman" w:hAnsi="Arial" w:cs="Arial"/>
          <w:lang w:val="es-ES"/>
        </w:rPr>
        <w:t>Todo contrato de arrendamiento cuya renta sea inferior a una (1) UIT, deberá contar con una garantía por la suma equivalente a dos (02) veces el valor de la renta.</w:t>
      </w:r>
    </w:p>
    <w:p w:rsidR="006312E8" w:rsidRPr="006312E8" w:rsidRDefault="006312E8" w:rsidP="006312E8">
      <w:pPr>
        <w:widowControl w:val="0"/>
        <w:numPr>
          <w:ilvl w:val="0"/>
          <w:numId w:val="53"/>
        </w:numPr>
        <w:spacing w:after="0" w:line="240" w:lineRule="auto"/>
        <w:ind w:left="993"/>
        <w:contextualSpacing/>
        <w:jc w:val="both"/>
        <w:rPr>
          <w:rFonts w:ascii="Arial" w:eastAsia="Times New Roman" w:hAnsi="Arial" w:cs="Arial"/>
          <w:lang w:val="es-ES"/>
        </w:rPr>
      </w:pPr>
      <w:r w:rsidRPr="006312E8">
        <w:rPr>
          <w:rFonts w:ascii="Arial" w:eastAsia="Times New Roman" w:hAnsi="Arial" w:cs="Arial"/>
          <w:lang w:val="es-ES"/>
        </w:rPr>
        <w:t>Sólo procede el subarrendamiento con autorización expresa de la SBN.</w:t>
      </w:r>
    </w:p>
    <w:p w:rsidR="006312E8" w:rsidRPr="006312E8" w:rsidRDefault="006312E8" w:rsidP="006312E8">
      <w:pPr>
        <w:widowControl w:val="0"/>
        <w:numPr>
          <w:ilvl w:val="0"/>
          <w:numId w:val="53"/>
        </w:numPr>
        <w:spacing w:after="0" w:line="240" w:lineRule="auto"/>
        <w:ind w:left="993"/>
        <w:contextualSpacing/>
        <w:jc w:val="both"/>
        <w:rPr>
          <w:rFonts w:ascii="Arial" w:eastAsia="Times New Roman" w:hAnsi="Arial" w:cs="Arial"/>
          <w:lang w:val="es-ES"/>
        </w:rPr>
      </w:pPr>
      <w:r w:rsidRPr="006312E8">
        <w:rPr>
          <w:rFonts w:ascii="Arial" w:eastAsia="Times New Roman" w:hAnsi="Arial" w:cs="Arial"/>
          <w:lang w:val="es-ES"/>
        </w:rPr>
        <w:t>Deberá   señalarse   en   el   contrato   el   mecanismo   de   solución   de controversia a ser utilizado por las partes.</w:t>
      </w:r>
    </w:p>
    <w:p w:rsidR="006312E8" w:rsidRPr="006312E8" w:rsidRDefault="006312E8" w:rsidP="006312E8">
      <w:pPr>
        <w:widowControl w:val="0"/>
        <w:numPr>
          <w:ilvl w:val="0"/>
          <w:numId w:val="53"/>
        </w:numPr>
        <w:spacing w:after="0" w:line="240" w:lineRule="auto"/>
        <w:ind w:left="993"/>
        <w:contextualSpacing/>
        <w:jc w:val="both"/>
        <w:rPr>
          <w:rFonts w:ascii="Arial" w:eastAsia="Times New Roman" w:hAnsi="Arial" w:cs="Arial"/>
          <w:lang w:val="es-ES"/>
        </w:rPr>
      </w:pPr>
      <w:r w:rsidRPr="006312E8">
        <w:rPr>
          <w:rFonts w:ascii="Arial" w:eastAsia="Times New Roman" w:hAnsi="Arial" w:cs="Arial"/>
          <w:lang w:val="es-ES"/>
        </w:rPr>
        <w:t>Establecimiento de penalidades, de ser el caso.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sz w:val="28"/>
          <w:szCs w:val="28"/>
        </w:rPr>
      </w:pPr>
      <w:r w:rsidRPr="006312E8">
        <w:rPr>
          <w:rFonts w:ascii="Arial" w:eastAsia="Calibri" w:hAnsi="Arial" w:cs="Arial"/>
          <w:b/>
          <w:sz w:val="28"/>
          <w:szCs w:val="28"/>
        </w:rPr>
        <w:t>RESOLUCION Nº 044-2011-SBN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Calibri" w:eastAsia="Calibri" w:hAnsi="Calibri" w:cs="Times New Roman"/>
        </w:rPr>
      </w:pPr>
    </w:p>
    <w:p w:rsidR="006312E8" w:rsidRPr="006312E8" w:rsidRDefault="006312E8" w:rsidP="006312E8">
      <w:pPr>
        <w:spacing w:after="0" w:line="240" w:lineRule="auto"/>
        <w:jc w:val="center"/>
        <w:rPr>
          <w:rFonts w:ascii="Arial" w:eastAsia="Calibri" w:hAnsi="Arial" w:cs="Arial"/>
          <w:b/>
        </w:rPr>
      </w:pPr>
      <w:r w:rsidRPr="006312E8">
        <w:rPr>
          <w:rFonts w:ascii="Arial" w:eastAsia="Calibri" w:hAnsi="Arial" w:cs="Arial"/>
          <w:b/>
        </w:rPr>
        <w:t>Aprueba Directiva Nº 004-2011/SBN de fecha 21 de junio de 2011, que regula los “Procedimientos para la constitución del derecho de usufructo oneroso de predios de dominio privado estatal de libre disponibilidad y de la opinión técnica de la SBN para la constitución del derecho de usufructo a cargo de las entidades del Sistema</w:t>
      </w:r>
    </w:p>
    <w:p w:rsidR="006312E8" w:rsidRPr="006312E8" w:rsidRDefault="006312E8" w:rsidP="006312E8">
      <w:pPr>
        <w:spacing w:after="0" w:line="240" w:lineRule="auto"/>
        <w:jc w:val="both"/>
        <w:rPr>
          <w:rFonts w:ascii="Calibri" w:eastAsia="Calibri" w:hAnsi="Calibri" w:cs="Times New Roman"/>
        </w:rPr>
      </w:pPr>
    </w:p>
    <w:p w:rsidR="006312E8" w:rsidRPr="006312E8" w:rsidRDefault="006312E8" w:rsidP="006312E8">
      <w:pPr>
        <w:spacing w:after="0" w:line="240" w:lineRule="auto"/>
        <w:jc w:val="right"/>
        <w:rPr>
          <w:rFonts w:ascii="Arial" w:eastAsia="Calibri" w:hAnsi="Arial" w:cs="Arial"/>
          <w:b/>
        </w:rPr>
      </w:pPr>
      <w:r w:rsidRPr="006312E8">
        <w:rPr>
          <w:rFonts w:ascii="Arial" w:eastAsia="Calibri" w:hAnsi="Arial" w:cs="Arial"/>
          <w:b/>
        </w:rPr>
        <w:t>Fecha de publicación: 26-06-2011</w:t>
      </w:r>
    </w:p>
    <w:p w:rsidR="006312E8" w:rsidRPr="006312E8" w:rsidRDefault="006312E8" w:rsidP="006312E8">
      <w:pPr>
        <w:spacing w:after="0" w:line="240" w:lineRule="auto"/>
        <w:jc w:val="both"/>
        <w:rPr>
          <w:rFonts w:ascii="Arial" w:eastAsia="Calibri" w:hAnsi="Arial" w:cs="Arial"/>
          <w:b/>
          <w:bCs/>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b/>
          <w:bCs/>
          <w:lang w:val="es-ES"/>
        </w:rPr>
        <w:t>CONSIDERANDO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mediante Ley N° 29151,se crea el Sistema Nacional de Bienes Estatales como el conjunto de organismos, garantías y normas que regulan de manera integral y coherente los bienes estatales, en sus niveles de Gobierno Nacional, Regional y Local, a fin de lograr una administración ordenada, simplificada y eficiente de los bienes del Estado;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la Superintendencia Nacional de Bienes Estatales - SBN es un organismo público ejecutor y constituye un pliego presupuesta!, siendo el ente rector responsable tanto de normar los actos de adquisición, disposición, administración y supervisión de los  bienes  estatales, como de  ejecutar dichos  actos respecto de  los  bienes cuya administración está a su cargo, de acuerdo  a la normatividad vigente gozando de autonomía económica, presupuesta!, financiera, técnica y funcional, con representación judicial propia;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el artículo 13° de la Ley N° 29151, Ley General del Sistema Nacional de Bienes  Estatales,  dispone  que  la  SBN  es  responsable  de  normar  los  actos  de adquisición, disposición, administración y supervisión de los bienes estatales;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los literales b), e) y d) del numeral14.1 del artículo 14° de la acotada Ley, señalan como funciones y atribuciones exclusivas de la SBN, dictar las  Directivas aplicables para la administración, adquisición y disposición de los bienes de propiedad estatal, procurar una eficiente gestión del portafolio inmobiliario de los bienes estatales optimizando su uso y valor, así como supervisar los bienes estatales, el cumplimiento del debido procedimiento y de los actos que ejecutan las entidades pertenecientes al Sistema, poniendo en su conocimiento y el de la Contraloría General de la República las  infracciones  a  la  normatividad que  determine para  las  acciones  correctivas y sanciones respectivas, bajo responsabilidad del Titular de la entidad pública;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en ese sentido el Artículo 89° del citado Reglamento, dispone que  la institución del derecho de usufructo puede efectuarse por convocatoria pública o de manera directa;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en este contexto resultan necesario regular los procedimientos para la sustentación y aprobación de la constitución onerosa directa del usufructo por causales y por convocatoria pública, así como para la opinión técnica que emite la SBN para la constitución del derecho de usufructo a cargo de las entidades del Sistema.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Con la visación de la Secretaría General, de la Oficina de Asesoría Jurídica, de la Oficina de Planeamiento y Presupuesto, de la Oficina de Administración y Finanzas, de la Dirección  de Gestión del Patrimonio Estatal y de  la Dirección de  Normas  y Registro;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De conformidad con lo dispuesto por la Ley N° 29151, Ley General del Sistema Nacional de Bienes Estatales, su reglamento aprobado por el Decreto Supremo N° 007-2008-VIVIENDA y Decreto Supremo N° 016-2010-VIVIENDA;</w:t>
      </w:r>
    </w:p>
    <w:p w:rsidR="006312E8" w:rsidRDefault="006312E8" w:rsidP="006312E8">
      <w:pPr>
        <w:spacing w:after="0" w:line="240" w:lineRule="auto"/>
        <w:jc w:val="both"/>
        <w:rPr>
          <w:rFonts w:ascii="Arial" w:eastAsia="Calibri" w:hAnsi="Arial" w:cs="Arial"/>
          <w:lang w:val="es-ES"/>
        </w:rPr>
      </w:pPr>
    </w:p>
    <w:p w:rsidR="00A57CDE" w:rsidRPr="006312E8" w:rsidRDefault="00A57CDE"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b/>
          <w:bCs/>
          <w:lang w:val="es-ES"/>
        </w:rPr>
        <w:t>SE RESUELVE: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b/>
          <w:bCs/>
          <w:lang w:val="es-ES"/>
        </w:rPr>
        <w:t xml:space="preserve">Artículo 1°.-   </w:t>
      </w:r>
      <w:r w:rsidRPr="006312E8">
        <w:rPr>
          <w:rFonts w:ascii="Arial" w:eastAsia="Calibri" w:hAnsi="Arial" w:cs="Arial"/>
          <w:lang w:val="es-ES"/>
        </w:rPr>
        <w:t>Aprobar la Directiva N° 004-2011/SBN, que regula los "Procedimientos para la constitución del derecho de usufructo oneroso de predios de dominio privado estatal de libre disponibilidad y de la opinión técnica de la SBN para la constitución del derecho de usufructo a cargo de las entidades del Sistema".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b/>
          <w:bCs/>
          <w:lang w:val="es-ES"/>
        </w:rPr>
        <w:t xml:space="preserve">Artículo </w:t>
      </w:r>
      <w:r w:rsidRPr="006312E8">
        <w:rPr>
          <w:rFonts w:ascii="Arial" w:eastAsia="Calibri" w:hAnsi="Arial" w:cs="Arial"/>
          <w:b/>
          <w:lang w:val="es-ES"/>
        </w:rPr>
        <w:t>2°</w:t>
      </w:r>
      <w:r w:rsidRPr="006312E8">
        <w:rPr>
          <w:rFonts w:ascii="Arial" w:eastAsia="Calibri" w:hAnsi="Arial" w:cs="Arial"/>
          <w:lang w:val="es-ES"/>
        </w:rPr>
        <w:t xml:space="preserve">.- Disponer que la presente Directiva N° 004-2011/SBN, aprobada en el artículo precedente, debe ser publicada en el Portal Institucional de la SBN </w:t>
      </w:r>
      <w:r w:rsidRPr="006312E8">
        <w:rPr>
          <w:rFonts w:ascii="Arial" w:eastAsia="Calibri" w:hAnsi="Arial" w:cs="Arial"/>
          <w:u w:val="single" w:color="000000"/>
          <w:lang w:val="es-ES"/>
        </w:rPr>
        <w:t>(</w:t>
      </w:r>
      <w:hyperlink r:id="rId19">
        <w:r w:rsidRPr="006312E8">
          <w:rPr>
            <w:rFonts w:ascii="Arial" w:eastAsia="Calibri" w:hAnsi="Arial" w:cs="Arial"/>
            <w:u w:val="single" w:color="000000"/>
            <w:lang w:val="es-ES"/>
          </w:rPr>
          <w:t>www.sbn.gob.</w:t>
        </w:r>
      </w:hyperlink>
      <w:r w:rsidR="002A533C">
        <w:rPr>
          <w:rFonts w:ascii="Arial" w:eastAsia="Calibri" w:hAnsi="Arial" w:cs="Arial"/>
          <w:u w:val="single" w:color="000000"/>
          <w:lang w:val="es-ES"/>
        </w:rPr>
        <w:t>p</w:t>
      </w:r>
      <w:r w:rsidRPr="006312E8">
        <w:rPr>
          <w:rFonts w:ascii="Arial" w:eastAsia="Calibri" w:hAnsi="Arial" w:cs="Arial"/>
          <w:u w:val="single" w:color="000000"/>
          <w:lang w:val="es-ES"/>
        </w:rPr>
        <w:t>e</w:t>
      </w:r>
      <w:r w:rsidRPr="006312E8">
        <w:rPr>
          <w:rFonts w:ascii="Arial" w:eastAsia="Calibri" w:hAnsi="Arial" w:cs="Arial"/>
          <w:lang w:val="es-ES"/>
        </w:rPr>
        <w:t>) entrando en vigencia a partir del día siguiente de publicación de la presente Resolución en el diario Oficial “El Peruano".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b/>
          <w:lang w:val="es-ES"/>
        </w:rPr>
        <w:t>Regístrese, comuníquese y publíquese</w:t>
      </w:r>
      <w:r w:rsidRPr="006312E8">
        <w:rPr>
          <w:rFonts w:ascii="Arial" w:eastAsia="Calibri" w:hAnsi="Arial" w:cs="Arial"/>
          <w:lang w:val="es-ES"/>
        </w:rPr>
        <w:t>.</w:t>
      </w: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JORGE VILLANUEVA CARBAJAL</w:t>
      </w:r>
    </w:p>
    <w:p w:rsidR="006312E8" w:rsidRPr="006312E8" w:rsidRDefault="006312E8" w:rsidP="006312E8">
      <w:pPr>
        <w:spacing w:after="0" w:line="240" w:lineRule="auto"/>
        <w:jc w:val="center"/>
        <w:rPr>
          <w:rFonts w:ascii="Arial" w:eastAsia="Calibri" w:hAnsi="Arial" w:cs="Arial"/>
          <w:lang w:val="es-ES"/>
        </w:rPr>
      </w:pPr>
      <w:r w:rsidRPr="006312E8">
        <w:rPr>
          <w:rFonts w:ascii="Arial" w:eastAsia="Calibri" w:hAnsi="Arial" w:cs="Arial"/>
          <w:lang w:val="es-ES"/>
        </w:rPr>
        <w:t>Superintendente</w:t>
      </w:r>
    </w:p>
    <w:p w:rsidR="006312E8" w:rsidRPr="006312E8" w:rsidRDefault="006312E8" w:rsidP="006312E8">
      <w:pPr>
        <w:spacing w:after="0" w:line="240" w:lineRule="auto"/>
        <w:jc w:val="center"/>
        <w:rPr>
          <w:rFonts w:ascii="Arial" w:eastAsia="Calibri" w:hAnsi="Arial" w:cs="Arial"/>
          <w:lang w:val="es-ES"/>
        </w:rPr>
      </w:pPr>
      <w:r w:rsidRPr="006312E8">
        <w:rPr>
          <w:rFonts w:ascii="Arial" w:eastAsia="Calibri" w:hAnsi="Arial" w:cs="Arial"/>
          <w:lang w:val="es-ES"/>
        </w:rPr>
        <w:t xml:space="preserve">Superintendencia Nacional de Bienes Estatales </w:t>
      </w:r>
    </w:p>
    <w:p w:rsidR="006312E8" w:rsidRPr="006312E8" w:rsidRDefault="006312E8" w:rsidP="006312E8">
      <w:pPr>
        <w:spacing w:after="0" w:line="240" w:lineRule="auto"/>
        <w:jc w:val="center"/>
        <w:rPr>
          <w:rFonts w:ascii="Arial" w:eastAsia="Calibri" w:hAnsi="Arial" w:cs="Arial"/>
          <w:lang w:val="es-ES"/>
        </w:rPr>
      </w:pPr>
    </w:p>
    <w:p w:rsidR="006312E8" w:rsidRPr="006312E8" w:rsidRDefault="006312E8" w:rsidP="00E104C8">
      <w:pPr>
        <w:pStyle w:val="TITO2"/>
      </w:pPr>
      <w:bookmarkStart w:id="258" w:name="_Toc392856214"/>
      <w:bookmarkStart w:id="259" w:name="_Toc399335489"/>
      <w:bookmarkStart w:id="260" w:name="_Toc421025436"/>
      <w:bookmarkStart w:id="261" w:name="_Toc470855539"/>
      <w:bookmarkStart w:id="262" w:name="D0042011"/>
      <w:r w:rsidRPr="006312E8">
        <w:t>DIRECTIVA N° 004 -2011/SBN</w:t>
      </w:r>
      <w:bookmarkEnd w:id="258"/>
      <w:bookmarkEnd w:id="259"/>
      <w:bookmarkEnd w:id="260"/>
      <w:bookmarkEnd w:id="261"/>
    </w:p>
    <w:bookmarkEnd w:id="262"/>
    <w:p w:rsidR="006312E8" w:rsidRPr="006312E8" w:rsidRDefault="006312E8" w:rsidP="006312E8">
      <w:pPr>
        <w:spacing w:after="0" w:line="240" w:lineRule="auto"/>
        <w:jc w:val="center"/>
        <w:rPr>
          <w:rFonts w:ascii="Arial" w:eastAsia="Calibri" w:hAnsi="Arial" w:cs="Arial"/>
          <w:b/>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PROCEDIMIENTOS PARA LA CONSTITUCION DEL DERECHO DE USUFRUCTO ONEROSO DE PREDIOS DE DOMINIO PRIVADO ESTATAL DE LIBRE DISPONIBILIDAD Y DE LA OPINION TECNICA DE LA SBN PARA LA CONSTITUCION DEL DERECHO DE USUFRUCTO A CARGO DE LAS ENTIDADES DEL SISTEMA</w:t>
      </w:r>
    </w:p>
    <w:p w:rsidR="006312E8" w:rsidRPr="006312E8" w:rsidRDefault="006312E8" w:rsidP="006312E8">
      <w:pPr>
        <w:spacing w:after="0" w:line="240" w:lineRule="auto"/>
        <w:jc w:val="both"/>
        <w:rPr>
          <w:rFonts w:ascii="Arial" w:eastAsia="Calibri" w:hAnsi="Arial" w:cs="Arial"/>
          <w:b/>
          <w:u w:val="single"/>
          <w:lang w:val="es-ES"/>
        </w:rPr>
      </w:pPr>
    </w:p>
    <w:p w:rsidR="006312E8" w:rsidRPr="006312E8" w:rsidRDefault="006312E8" w:rsidP="006312E8">
      <w:pPr>
        <w:spacing w:after="0" w:line="240" w:lineRule="auto"/>
        <w:rPr>
          <w:rFonts w:ascii="Arial" w:eastAsia="Calibri" w:hAnsi="Arial" w:cs="Arial"/>
          <w:b/>
          <w:lang w:val="es-ES"/>
        </w:rPr>
      </w:pPr>
      <w:r w:rsidRPr="006312E8">
        <w:rPr>
          <w:rFonts w:ascii="Arial" w:eastAsia="Calibri" w:hAnsi="Arial" w:cs="Arial"/>
          <w:b/>
          <w:lang w:val="es-ES"/>
        </w:rPr>
        <w:t>Lima, 21 de junio de 2011</w:t>
      </w:r>
    </w:p>
    <w:p w:rsidR="006312E8" w:rsidRPr="006312E8" w:rsidRDefault="006312E8" w:rsidP="006312E8">
      <w:pPr>
        <w:spacing w:after="0" w:line="240" w:lineRule="auto"/>
        <w:rPr>
          <w:rFonts w:ascii="Arial" w:eastAsia="Calibri" w:hAnsi="Arial" w:cs="Arial"/>
          <w:lang w:val="es-ES"/>
        </w:rPr>
      </w:pPr>
    </w:p>
    <w:p w:rsidR="006312E8" w:rsidRPr="006312E8" w:rsidRDefault="006312E8" w:rsidP="006312E8">
      <w:pPr>
        <w:spacing w:after="0" w:line="240" w:lineRule="auto"/>
        <w:rPr>
          <w:rFonts w:ascii="Arial" w:eastAsia="Calibri" w:hAnsi="Arial" w:cs="Arial"/>
          <w:lang w:val="es-ES"/>
        </w:rPr>
      </w:pPr>
    </w:p>
    <w:p w:rsidR="006312E8" w:rsidRPr="006312E8" w:rsidRDefault="006312E8" w:rsidP="006312E8">
      <w:pPr>
        <w:widowControl w:val="0"/>
        <w:numPr>
          <w:ilvl w:val="0"/>
          <w:numId w:val="54"/>
        </w:numPr>
        <w:tabs>
          <w:tab w:val="left" w:pos="426"/>
        </w:tabs>
        <w:spacing w:after="0" w:line="240" w:lineRule="auto"/>
        <w:ind w:left="426"/>
        <w:contextualSpacing/>
        <w:jc w:val="both"/>
        <w:rPr>
          <w:rFonts w:ascii="Arial" w:eastAsia="Times New Roman" w:hAnsi="Arial" w:cs="Arial"/>
          <w:b/>
          <w:lang w:val="es-ES"/>
        </w:rPr>
      </w:pPr>
      <w:r w:rsidRPr="006312E8">
        <w:rPr>
          <w:rFonts w:ascii="Arial" w:eastAsia="Times New Roman" w:hAnsi="Arial" w:cs="Arial"/>
          <w:b/>
          <w:lang w:val="es-ES"/>
        </w:rPr>
        <w:t>ASPECTOS GENERALES</w:t>
      </w: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widowControl w:val="0"/>
        <w:numPr>
          <w:ilvl w:val="1"/>
          <w:numId w:val="54"/>
        </w:numPr>
        <w:tabs>
          <w:tab w:val="left" w:pos="709"/>
        </w:tabs>
        <w:spacing w:after="0" w:line="240" w:lineRule="auto"/>
        <w:ind w:left="851"/>
        <w:contextualSpacing/>
        <w:jc w:val="both"/>
        <w:rPr>
          <w:rFonts w:ascii="Arial" w:eastAsia="Times New Roman" w:hAnsi="Arial" w:cs="Arial"/>
          <w:b/>
          <w:lang w:val="es-ES"/>
        </w:rPr>
      </w:pPr>
      <w:r w:rsidRPr="006312E8">
        <w:rPr>
          <w:rFonts w:ascii="Arial" w:eastAsia="Times New Roman" w:hAnsi="Arial" w:cs="Arial"/>
          <w:b/>
          <w:lang w:val="es-ES"/>
        </w:rPr>
        <w:t>Finalidad</w:t>
      </w:r>
    </w:p>
    <w:p w:rsidR="006312E8" w:rsidRPr="006312E8" w:rsidRDefault="006312E8" w:rsidP="006312E8">
      <w:pPr>
        <w:tabs>
          <w:tab w:val="left" w:pos="3520"/>
        </w:tabs>
        <w:spacing w:after="0" w:line="240" w:lineRule="auto"/>
        <w:ind w:left="851"/>
        <w:jc w:val="both"/>
        <w:rPr>
          <w:rFonts w:ascii="Arial" w:eastAsia="Calibri" w:hAnsi="Arial" w:cs="Arial"/>
          <w:lang w:val="es-ES"/>
        </w:rPr>
      </w:pPr>
      <w:r w:rsidRPr="006312E8">
        <w:rPr>
          <w:rFonts w:ascii="Arial" w:eastAsia="Calibri" w:hAnsi="Arial" w:cs="Arial"/>
          <w:lang w:val="es-ES"/>
        </w:rPr>
        <w:t>Regular los procedimientos de constitución onerosa directa del derecho de Usufructo, por causales legalmente establecidas, y por convocatoria pública de predios del dominio privado estatal de libre disponibilidad, así como de la opinión técnica que emite la SBN para la constitución del derecho de usufructo a cargo de las entidades del Sistema.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widowControl w:val="0"/>
        <w:numPr>
          <w:ilvl w:val="1"/>
          <w:numId w:val="54"/>
        </w:numPr>
        <w:tabs>
          <w:tab w:val="left" w:pos="851"/>
        </w:tabs>
        <w:spacing w:after="0" w:line="240" w:lineRule="auto"/>
        <w:ind w:left="851"/>
        <w:contextualSpacing/>
        <w:jc w:val="both"/>
        <w:rPr>
          <w:rFonts w:ascii="Arial" w:eastAsia="Times New Roman" w:hAnsi="Arial" w:cs="Arial"/>
          <w:b/>
          <w:lang w:val="es-ES"/>
        </w:rPr>
      </w:pPr>
      <w:r w:rsidRPr="006312E8">
        <w:rPr>
          <w:rFonts w:ascii="Arial" w:eastAsia="Times New Roman" w:hAnsi="Arial" w:cs="Arial"/>
          <w:b/>
          <w:lang w:val="es-ES"/>
        </w:rPr>
        <w:t>Objetivo</w:t>
      </w: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Desarrollar los procedimientos para la sustentación y aprobación n eficiente de la constitución onerosa directa del Usufructo por causales y por convocatoria pública, así como para la opinión técnica que emite la SBN para la constitución del derecho de usufructo a cargo de las entidades del Sistema.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widowControl w:val="0"/>
        <w:numPr>
          <w:ilvl w:val="1"/>
          <w:numId w:val="54"/>
        </w:numPr>
        <w:tabs>
          <w:tab w:val="left" w:pos="851"/>
        </w:tabs>
        <w:spacing w:after="0" w:line="240" w:lineRule="auto"/>
        <w:ind w:left="851"/>
        <w:contextualSpacing/>
        <w:jc w:val="both"/>
        <w:rPr>
          <w:rFonts w:ascii="Arial" w:eastAsia="Times New Roman" w:hAnsi="Arial" w:cs="Arial"/>
          <w:b/>
          <w:lang w:val="es-ES"/>
        </w:rPr>
      </w:pPr>
      <w:r w:rsidRPr="006312E8">
        <w:rPr>
          <w:rFonts w:ascii="Arial" w:eastAsia="Times New Roman" w:hAnsi="Arial" w:cs="Arial"/>
          <w:b/>
          <w:lang w:val="es-ES"/>
        </w:rPr>
        <w:t>Alcances</w:t>
      </w: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La presente Directiva es de alcance nacional y comprende los predios del dominio privado estatal de libre disponibilidad que   están bajo competencia directa de: (i) La SBN; (ii) Los Gobiernos Regionales a los que la SBN haya transferido competencias en el marco del proceso de descentralización; y, (iii) Las demás entidades que conforman el Sistema Nacional de Bienes Estatales, en adelante "</w:t>
      </w:r>
      <w:r w:rsidRPr="006312E8">
        <w:rPr>
          <w:rFonts w:ascii="Arial" w:eastAsia="Calibri" w:hAnsi="Arial" w:cs="Arial"/>
          <w:b/>
          <w:lang w:val="es-ES"/>
        </w:rPr>
        <w:t>las entidades</w:t>
      </w:r>
      <w:r w:rsidRPr="006312E8">
        <w:rPr>
          <w:rFonts w:ascii="Arial" w:eastAsia="Calibri" w:hAnsi="Arial" w:cs="Arial"/>
          <w:lang w:val="es-ES"/>
        </w:rPr>
        <w:t>".</w:t>
      </w:r>
    </w:p>
    <w:p w:rsidR="006312E8" w:rsidRPr="006312E8" w:rsidRDefault="006312E8" w:rsidP="006312E8">
      <w:pPr>
        <w:spacing w:after="0" w:line="240" w:lineRule="auto"/>
        <w:ind w:left="851"/>
        <w:jc w:val="both"/>
        <w:rPr>
          <w:rFonts w:ascii="Arial" w:eastAsia="Calibri" w:hAnsi="Arial" w:cs="Arial"/>
          <w:lang w:val="es-ES"/>
        </w:rPr>
      </w:pP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En el caso de la SBN la presente Directiva es de aplicación de la Dirección de   Gestión   de   Patrimonio Estatal   (DGPE) y de las Subdirecciones de Administración de Patrimonio Estatal (SDAPE), de Desarrollo Inmobiliario (SDDI) y de la Supervisión.</w:t>
      </w:r>
    </w:p>
    <w:p w:rsidR="006312E8" w:rsidRPr="006312E8" w:rsidRDefault="006312E8" w:rsidP="006312E8">
      <w:pPr>
        <w:spacing w:after="0" w:line="240" w:lineRule="auto"/>
        <w:ind w:left="851"/>
        <w:jc w:val="both"/>
        <w:rPr>
          <w:rFonts w:ascii="Arial" w:eastAsia="Calibri" w:hAnsi="Arial" w:cs="Arial"/>
          <w:lang w:val="es-ES"/>
        </w:rPr>
      </w:pP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Los Gobiernos Locales y las entidades públicas que cuentan con régimen legal especial pueden aplicar la presente directiva de manera supletoria.</w:t>
      </w:r>
    </w:p>
    <w:p w:rsidR="006312E8" w:rsidRPr="006312E8" w:rsidRDefault="006312E8" w:rsidP="006312E8">
      <w:pPr>
        <w:widowControl w:val="0"/>
        <w:tabs>
          <w:tab w:val="left" w:pos="3300"/>
        </w:tabs>
        <w:spacing w:after="0" w:line="240" w:lineRule="auto"/>
        <w:contextualSpacing/>
        <w:jc w:val="both"/>
        <w:rPr>
          <w:rFonts w:ascii="Arial" w:eastAsia="Times New Roman" w:hAnsi="Arial" w:cs="Arial"/>
          <w:lang w:val="es-ES"/>
        </w:rPr>
      </w:pPr>
    </w:p>
    <w:p w:rsidR="006312E8" w:rsidRPr="006312E8" w:rsidRDefault="006312E8" w:rsidP="006312E8">
      <w:pPr>
        <w:widowControl w:val="0"/>
        <w:tabs>
          <w:tab w:val="left" w:pos="851"/>
        </w:tabs>
        <w:spacing w:after="0" w:line="240" w:lineRule="auto"/>
        <w:ind w:left="851" w:hanging="426"/>
        <w:contextualSpacing/>
        <w:jc w:val="both"/>
        <w:rPr>
          <w:rFonts w:ascii="Arial" w:eastAsia="Times New Roman" w:hAnsi="Arial" w:cs="Arial"/>
          <w:b/>
          <w:lang w:val="es-ES"/>
        </w:rPr>
      </w:pPr>
      <w:r w:rsidRPr="006312E8">
        <w:rPr>
          <w:rFonts w:ascii="Arial" w:eastAsia="Times New Roman" w:hAnsi="Arial" w:cs="Arial"/>
          <w:b/>
          <w:lang w:val="es-ES"/>
        </w:rPr>
        <w:t xml:space="preserve">1.4 </w:t>
      </w:r>
      <w:r w:rsidRPr="006312E8">
        <w:rPr>
          <w:rFonts w:ascii="Arial" w:eastAsia="Times New Roman" w:hAnsi="Arial" w:cs="Arial"/>
          <w:b/>
          <w:lang w:val="es-ES"/>
        </w:rPr>
        <w:tab/>
        <w:t>Base Legal</w:t>
      </w: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 xml:space="preserve">Ley General del Sistema Nacional de Bienes Estatales, aprobada con Ley N° 29151, en adelante " </w:t>
      </w:r>
      <w:r w:rsidRPr="006312E8">
        <w:rPr>
          <w:rFonts w:ascii="Arial" w:eastAsia="Calibri" w:hAnsi="Arial" w:cs="Arial"/>
          <w:b/>
          <w:lang w:val="es-ES"/>
        </w:rPr>
        <w:t>la Ley</w:t>
      </w:r>
      <w:r w:rsidRPr="006312E8">
        <w:rPr>
          <w:rFonts w:ascii="Arial" w:eastAsia="Calibri" w:hAnsi="Arial" w:cs="Arial"/>
          <w:lang w:val="es-ES"/>
        </w:rPr>
        <w:t>".</w:t>
      </w:r>
    </w:p>
    <w:p w:rsidR="006312E8" w:rsidRPr="006312E8" w:rsidRDefault="006312E8" w:rsidP="006312E8">
      <w:pPr>
        <w:spacing w:after="0" w:line="240" w:lineRule="auto"/>
        <w:ind w:left="851"/>
        <w:jc w:val="both"/>
        <w:rPr>
          <w:rFonts w:ascii="Arial" w:eastAsia="Calibri" w:hAnsi="Arial" w:cs="Arial"/>
          <w:lang w:val="es-ES"/>
        </w:rPr>
      </w:pP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Los literales b) y c) del numeral 14.1 del artículo 14° de la Ley, en los que se establece como una de las atribuciones de la Superintendencia Nacional de Bienes Estatales- SBN, la de expedir Directivas sobre los actos de adquisición, administración, registro y supervisión de los bienes estatales, para optimizar la gestión de los mismos.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numPr>
          <w:ilvl w:val="0"/>
          <w:numId w:val="59"/>
        </w:numPr>
        <w:spacing w:after="0" w:line="240" w:lineRule="auto"/>
        <w:ind w:left="1276"/>
        <w:jc w:val="both"/>
        <w:rPr>
          <w:rFonts w:ascii="Arial" w:eastAsia="Calibri" w:hAnsi="Arial" w:cs="Arial"/>
          <w:lang w:val="es-ES"/>
        </w:rPr>
      </w:pPr>
      <w:r w:rsidRPr="006312E8">
        <w:rPr>
          <w:rFonts w:ascii="Arial" w:eastAsia="Calibri" w:hAnsi="Arial" w:cs="Arial"/>
          <w:lang w:val="es-ES"/>
        </w:rPr>
        <w:t>Ley N° 26856 - Ley que declara que las playas del litoral son bienes de uso público, inalienables e imprescriptibles y establecen la zona de dominio restringido -que regula la posibilidad de desafectar áreas ubicadas en zona de dominio restringido de las playas del litoral de la República.</w:t>
      </w:r>
    </w:p>
    <w:p w:rsidR="006312E8" w:rsidRPr="006312E8" w:rsidRDefault="006312E8" w:rsidP="006312E8">
      <w:pPr>
        <w:spacing w:after="0" w:line="240" w:lineRule="auto"/>
        <w:ind w:left="1276"/>
        <w:jc w:val="both"/>
        <w:rPr>
          <w:rFonts w:ascii="Arial" w:eastAsia="Calibri" w:hAnsi="Arial" w:cs="Arial"/>
          <w:lang w:val="es-ES"/>
        </w:rPr>
      </w:pPr>
    </w:p>
    <w:p w:rsidR="006312E8" w:rsidRPr="006312E8" w:rsidRDefault="006312E8" w:rsidP="006312E8">
      <w:pPr>
        <w:numPr>
          <w:ilvl w:val="0"/>
          <w:numId w:val="59"/>
        </w:numPr>
        <w:spacing w:after="0" w:line="240" w:lineRule="auto"/>
        <w:ind w:left="1276"/>
        <w:jc w:val="both"/>
        <w:rPr>
          <w:rFonts w:ascii="Arial" w:eastAsia="Calibri" w:hAnsi="Arial" w:cs="Arial"/>
          <w:lang w:val="es-ES"/>
        </w:rPr>
      </w:pPr>
      <w:r w:rsidRPr="006312E8">
        <w:rPr>
          <w:rFonts w:ascii="Arial" w:eastAsia="Calibri" w:hAnsi="Arial" w:cs="Arial"/>
          <w:lang w:val="es-ES"/>
        </w:rPr>
        <w:t>Artículos 1002°, 1009°, 1013°,1014°, 1015° del Código Civil.</w:t>
      </w:r>
    </w:p>
    <w:p w:rsidR="006312E8" w:rsidRPr="006312E8" w:rsidRDefault="006312E8" w:rsidP="006312E8">
      <w:pPr>
        <w:spacing w:after="0" w:line="240" w:lineRule="auto"/>
        <w:ind w:left="1276"/>
        <w:jc w:val="both"/>
        <w:rPr>
          <w:rFonts w:ascii="Arial" w:eastAsia="Calibri" w:hAnsi="Arial" w:cs="Arial"/>
          <w:lang w:val="es-ES"/>
        </w:rPr>
      </w:pPr>
    </w:p>
    <w:p w:rsidR="006312E8" w:rsidRPr="006312E8" w:rsidRDefault="006312E8" w:rsidP="006312E8">
      <w:pPr>
        <w:numPr>
          <w:ilvl w:val="0"/>
          <w:numId w:val="59"/>
        </w:numPr>
        <w:spacing w:after="0" w:line="240" w:lineRule="auto"/>
        <w:ind w:left="1276"/>
        <w:jc w:val="both"/>
        <w:rPr>
          <w:rFonts w:ascii="Arial" w:eastAsia="Calibri" w:hAnsi="Arial" w:cs="Arial"/>
          <w:lang w:val="es-ES"/>
        </w:rPr>
      </w:pPr>
      <w:r w:rsidRPr="006312E8">
        <w:rPr>
          <w:rFonts w:ascii="Arial" w:eastAsia="Calibri" w:hAnsi="Arial" w:cs="Arial"/>
          <w:lang w:val="es-ES"/>
        </w:rPr>
        <w:t>Ley N° 29618, Ley que establece la presunción de que el Estado es poseedor de los inmuebles de su propiedad y declara imprescriptibles los bienes inmuebles de dominio privado estatal.</w:t>
      </w:r>
    </w:p>
    <w:p w:rsidR="006312E8" w:rsidRPr="006312E8" w:rsidRDefault="006312E8" w:rsidP="006312E8">
      <w:pPr>
        <w:spacing w:after="0" w:line="240" w:lineRule="auto"/>
        <w:ind w:left="1276"/>
        <w:jc w:val="both"/>
        <w:rPr>
          <w:rFonts w:ascii="Arial" w:eastAsia="Calibri" w:hAnsi="Arial" w:cs="Arial"/>
          <w:lang w:val="es-ES"/>
        </w:rPr>
      </w:pPr>
    </w:p>
    <w:p w:rsidR="006312E8" w:rsidRPr="006312E8" w:rsidRDefault="006312E8" w:rsidP="006312E8">
      <w:pPr>
        <w:numPr>
          <w:ilvl w:val="0"/>
          <w:numId w:val="59"/>
        </w:numPr>
        <w:spacing w:after="0" w:line="240" w:lineRule="auto"/>
        <w:ind w:left="1276"/>
        <w:jc w:val="both"/>
        <w:rPr>
          <w:rFonts w:ascii="Arial" w:eastAsia="Calibri" w:hAnsi="Arial" w:cs="Arial"/>
          <w:lang w:val="es-ES"/>
        </w:rPr>
      </w:pPr>
      <w:r w:rsidRPr="006312E8">
        <w:rPr>
          <w:rFonts w:ascii="Arial" w:eastAsia="Calibri" w:hAnsi="Arial" w:cs="Arial"/>
          <w:lang w:val="es-ES"/>
        </w:rPr>
        <w:t xml:space="preserve">Reglamento de la Ley General del Sistema Nacional de Bienes Estatales, aprobado con Decreto Supremo N° 007-2008-VIVIENDA en adelante </w:t>
      </w:r>
      <w:r w:rsidRPr="006312E8">
        <w:rPr>
          <w:rFonts w:ascii="Arial" w:eastAsia="Calibri" w:hAnsi="Arial" w:cs="Arial"/>
          <w:bCs/>
          <w:lang w:val="es-ES"/>
        </w:rPr>
        <w:t>"el Reglamento".</w:t>
      </w:r>
    </w:p>
    <w:p w:rsidR="006312E8" w:rsidRPr="006312E8" w:rsidRDefault="006312E8" w:rsidP="006312E8">
      <w:pPr>
        <w:spacing w:after="0" w:line="240" w:lineRule="auto"/>
        <w:ind w:left="1276"/>
        <w:jc w:val="both"/>
        <w:rPr>
          <w:rFonts w:ascii="Arial" w:eastAsia="Calibri" w:hAnsi="Arial" w:cs="Arial"/>
          <w:lang w:val="es-ES"/>
        </w:rPr>
      </w:pPr>
    </w:p>
    <w:p w:rsidR="006312E8" w:rsidRPr="006312E8" w:rsidRDefault="006312E8" w:rsidP="006312E8">
      <w:pPr>
        <w:numPr>
          <w:ilvl w:val="0"/>
          <w:numId w:val="59"/>
        </w:numPr>
        <w:spacing w:after="0" w:line="240" w:lineRule="auto"/>
        <w:ind w:left="1276"/>
        <w:jc w:val="both"/>
        <w:rPr>
          <w:rFonts w:ascii="Arial" w:eastAsia="Calibri" w:hAnsi="Arial" w:cs="Arial"/>
          <w:lang w:val="es-ES"/>
        </w:rPr>
      </w:pPr>
      <w:r w:rsidRPr="006312E8">
        <w:rPr>
          <w:rFonts w:ascii="Arial" w:eastAsia="Calibri" w:hAnsi="Arial" w:cs="Arial"/>
          <w:lang w:val="es-ES"/>
        </w:rPr>
        <w:t>Reglamento de la Ley N° 26856, aprobado con Decreto Supremo N° 050-2006-EF, que regula, entre otros aspectos, el procedimiento de desafectación y adjudicación en propiedad de áreas ubicadas en la zona de dominio restringido.</w:t>
      </w:r>
    </w:p>
    <w:p w:rsidR="006312E8" w:rsidRPr="006312E8" w:rsidRDefault="006312E8" w:rsidP="006312E8">
      <w:pPr>
        <w:spacing w:after="0" w:line="240" w:lineRule="auto"/>
        <w:ind w:left="1276"/>
        <w:jc w:val="both"/>
        <w:rPr>
          <w:rFonts w:ascii="Arial" w:eastAsia="Calibri" w:hAnsi="Arial" w:cs="Arial"/>
          <w:lang w:val="es-ES"/>
        </w:rPr>
      </w:pPr>
    </w:p>
    <w:p w:rsidR="006312E8" w:rsidRPr="006312E8" w:rsidRDefault="006312E8" w:rsidP="006312E8">
      <w:pPr>
        <w:numPr>
          <w:ilvl w:val="0"/>
          <w:numId w:val="59"/>
        </w:numPr>
        <w:spacing w:after="0" w:line="240" w:lineRule="auto"/>
        <w:ind w:left="1276"/>
        <w:jc w:val="both"/>
        <w:rPr>
          <w:rFonts w:ascii="Arial" w:eastAsia="Calibri" w:hAnsi="Arial" w:cs="Arial"/>
          <w:lang w:val="es-ES"/>
        </w:rPr>
      </w:pPr>
      <w:r w:rsidRPr="006312E8">
        <w:rPr>
          <w:rFonts w:ascii="Arial" w:eastAsia="Calibri" w:hAnsi="Arial" w:cs="Arial"/>
          <w:lang w:val="es-ES"/>
        </w:rPr>
        <w:t>El artículo I.01 del Reglamento Nacional de Tasaciones del Perú, aprobado por la Resolución Ministerial N° 126-2007-VIVIENDA, de fecha 07 de mayo de 2007, dispone que dicho Reglamento tiene por finalidad establecer los criterios, conceptos, definiciones y procedimientos técnicos normativos para formular la valuación de bienes  inmuebles  y  muebles,  el  artículo  I.06 dispone  el  uso obligatorio de dicho Reglamento en los casos en que se trate de practicar una valuación en la que el Estado interviene en alguna medida; y el artículo 1.8 establece que se denomina perito valuador al profesional colegiado que en razón de sus estudios superiores y a su experiencia, está debidamente capacitado para efectuar la valuación de un bien. Esta disposición, en cuanto a la condición de colegiado, no es aplicable en los casos de campos de actividad que no son materia de colegiación.</w:t>
      </w:r>
    </w:p>
    <w:p w:rsidR="006312E8" w:rsidRPr="006312E8" w:rsidRDefault="006312E8" w:rsidP="006312E8">
      <w:pPr>
        <w:spacing w:after="0" w:line="240" w:lineRule="auto"/>
        <w:ind w:left="1276"/>
        <w:jc w:val="both"/>
        <w:rPr>
          <w:rFonts w:ascii="Arial" w:eastAsia="Calibri" w:hAnsi="Arial" w:cs="Arial"/>
          <w:lang w:val="es-ES"/>
        </w:rPr>
      </w:pPr>
    </w:p>
    <w:p w:rsidR="006312E8" w:rsidRPr="006312E8" w:rsidRDefault="006312E8" w:rsidP="006312E8">
      <w:pPr>
        <w:numPr>
          <w:ilvl w:val="0"/>
          <w:numId w:val="59"/>
        </w:numPr>
        <w:spacing w:after="0" w:line="240" w:lineRule="auto"/>
        <w:ind w:left="1276"/>
        <w:jc w:val="both"/>
        <w:rPr>
          <w:rFonts w:ascii="Arial" w:eastAsia="Calibri" w:hAnsi="Arial" w:cs="Arial"/>
          <w:lang w:val="es-ES"/>
        </w:rPr>
      </w:pPr>
      <w:r w:rsidRPr="006312E8">
        <w:rPr>
          <w:rFonts w:ascii="Arial" w:eastAsia="Calibri" w:hAnsi="Arial" w:cs="Arial"/>
          <w:lang w:val="es-ES"/>
        </w:rPr>
        <w:t xml:space="preserve">El literal e) del artículo 7° del Reglamento de Organización y Funciones de la SBN, aprobado por Decreto Supremo N° 016-2010­ VIVIENDA. </w:t>
      </w:r>
    </w:p>
    <w:p w:rsidR="006312E8" w:rsidRPr="006312E8" w:rsidRDefault="006312E8" w:rsidP="006312E8">
      <w:pPr>
        <w:widowControl w:val="0"/>
        <w:spacing w:after="0" w:line="240" w:lineRule="auto"/>
        <w:contextualSpacing/>
        <w:rPr>
          <w:rFonts w:ascii="Arial" w:eastAsia="Times New Roman" w:hAnsi="Arial" w:cs="Arial"/>
          <w:b/>
          <w:lang w:val="es-ES"/>
        </w:rPr>
      </w:pPr>
    </w:p>
    <w:p w:rsidR="006312E8" w:rsidRPr="006312E8" w:rsidRDefault="006312E8" w:rsidP="006312E8">
      <w:pPr>
        <w:widowControl w:val="0"/>
        <w:numPr>
          <w:ilvl w:val="0"/>
          <w:numId w:val="54"/>
        </w:numPr>
        <w:tabs>
          <w:tab w:val="left" w:pos="284"/>
        </w:tabs>
        <w:spacing w:after="0" w:line="240" w:lineRule="auto"/>
        <w:ind w:left="284" w:hanging="284"/>
        <w:contextualSpacing/>
        <w:jc w:val="both"/>
        <w:rPr>
          <w:rFonts w:ascii="Arial" w:eastAsia="Times New Roman" w:hAnsi="Arial" w:cs="Arial"/>
          <w:b/>
        </w:rPr>
      </w:pPr>
      <w:r w:rsidRPr="006312E8">
        <w:rPr>
          <w:rFonts w:ascii="Arial" w:eastAsia="Times New Roman" w:hAnsi="Arial" w:cs="Arial"/>
          <w:b/>
        </w:rPr>
        <w:t>DISPOSICIONES GENERALES</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widowControl w:val="0"/>
        <w:numPr>
          <w:ilvl w:val="1"/>
          <w:numId w:val="54"/>
        </w:numPr>
        <w:tabs>
          <w:tab w:val="left" w:pos="709"/>
          <w:tab w:val="left" w:pos="3360"/>
        </w:tabs>
        <w:spacing w:after="0" w:line="240" w:lineRule="auto"/>
        <w:ind w:left="709"/>
        <w:contextualSpacing/>
        <w:jc w:val="both"/>
        <w:rPr>
          <w:rFonts w:ascii="Arial" w:eastAsia="Times New Roman" w:hAnsi="Arial" w:cs="Arial"/>
          <w:lang w:val="es-ES"/>
        </w:rPr>
      </w:pPr>
      <w:r w:rsidRPr="006312E8">
        <w:rPr>
          <w:rFonts w:ascii="Arial" w:eastAsia="Times New Roman" w:hAnsi="Arial" w:cs="Arial"/>
          <w:lang w:val="es-ES"/>
        </w:rPr>
        <w:t>El usufructo oneroso de predios de dominio privado estatal se puede constituir de forma directa y por convocatoria pública.</w:t>
      </w:r>
    </w:p>
    <w:p w:rsidR="006312E8" w:rsidRPr="006312E8" w:rsidRDefault="006312E8" w:rsidP="006312E8">
      <w:pPr>
        <w:tabs>
          <w:tab w:val="left" w:pos="709"/>
          <w:tab w:val="left" w:pos="3360"/>
        </w:tabs>
        <w:spacing w:after="0" w:line="240" w:lineRule="auto"/>
        <w:ind w:left="709"/>
        <w:contextualSpacing/>
        <w:jc w:val="both"/>
        <w:rPr>
          <w:rFonts w:ascii="Arial" w:eastAsia="Times New Roman" w:hAnsi="Arial" w:cs="Arial"/>
          <w:lang w:val="es-ES"/>
        </w:rPr>
      </w:pPr>
    </w:p>
    <w:p w:rsidR="006312E8" w:rsidRPr="006312E8" w:rsidRDefault="006312E8" w:rsidP="006312E8">
      <w:pPr>
        <w:widowControl w:val="0"/>
        <w:numPr>
          <w:ilvl w:val="1"/>
          <w:numId w:val="54"/>
        </w:numPr>
        <w:tabs>
          <w:tab w:val="left" w:pos="709"/>
          <w:tab w:val="left" w:pos="3360"/>
        </w:tabs>
        <w:spacing w:after="0" w:line="240" w:lineRule="auto"/>
        <w:ind w:left="709"/>
        <w:contextualSpacing/>
        <w:jc w:val="both"/>
        <w:rPr>
          <w:rFonts w:ascii="Arial" w:eastAsia="Times New Roman" w:hAnsi="Arial" w:cs="Arial"/>
          <w:lang w:val="es-ES"/>
        </w:rPr>
      </w:pPr>
      <w:r w:rsidRPr="006312E8">
        <w:rPr>
          <w:rFonts w:ascii="Arial" w:eastAsia="Times New Roman" w:hAnsi="Arial" w:cs="Arial"/>
          <w:lang w:val="es-ES"/>
        </w:rPr>
        <w:t>La constitución directa del Usufructo oneroso de predios de dominio privado estatal procede en los casos expresamente establecidos en el Artículo 89° del Reglamento y en otras normas especiales.</w:t>
      </w:r>
    </w:p>
    <w:p w:rsidR="006312E8" w:rsidRPr="006312E8" w:rsidRDefault="006312E8" w:rsidP="006312E8">
      <w:pPr>
        <w:tabs>
          <w:tab w:val="left" w:pos="709"/>
        </w:tabs>
        <w:spacing w:after="200" w:line="240" w:lineRule="auto"/>
        <w:ind w:left="709"/>
        <w:contextualSpacing/>
        <w:rPr>
          <w:rFonts w:ascii="Arial" w:eastAsia="Times New Roman" w:hAnsi="Arial" w:cs="Arial"/>
          <w:lang w:val="es-ES"/>
        </w:rPr>
      </w:pPr>
    </w:p>
    <w:p w:rsidR="006312E8" w:rsidRPr="006312E8" w:rsidRDefault="006312E8" w:rsidP="006312E8">
      <w:pPr>
        <w:widowControl w:val="0"/>
        <w:numPr>
          <w:ilvl w:val="1"/>
          <w:numId w:val="54"/>
        </w:numPr>
        <w:tabs>
          <w:tab w:val="left" w:pos="709"/>
          <w:tab w:val="left" w:pos="3360"/>
        </w:tabs>
        <w:spacing w:after="0" w:line="240" w:lineRule="auto"/>
        <w:ind w:left="709"/>
        <w:contextualSpacing/>
        <w:jc w:val="both"/>
        <w:rPr>
          <w:rFonts w:ascii="Arial" w:eastAsia="Times New Roman" w:hAnsi="Arial" w:cs="Arial"/>
          <w:lang w:val="es-ES"/>
        </w:rPr>
      </w:pPr>
      <w:r w:rsidRPr="006312E8">
        <w:rPr>
          <w:rFonts w:ascii="Arial" w:eastAsia="Times New Roman" w:hAnsi="Arial" w:cs="Arial"/>
          <w:lang w:val="es-ES"/>
        </w:rPr>
        <w:t>La constitución directa del usufructo oneroso se inicia a solicitud de un administrado ante la entidad propietaria del bien o, cuando el bien es de propiedad del Estado, ante la SBN o el Gobierno Regional que haya asumido  competencia,  mientras que la  constitución del derecho  de usufructo  oneroso  por  convocatoria pública  queda  reservada  a  la decisión de la entidad propietaria o administradora del predio.</w:t>
      </w:r>
    </w:p>
    <w:p w:rsidR="006312E8" w:rsidRPr="006312E8" w:rsidRDefault="006312E8" w:rsidP="006312E8">
      <w:pPr>
        <w:tabs>
          <w:tab w:val="left" w:pos="709"/>
        </w:tabs>
        <w:spacing w:after="200" w:line="240" w:lineRule="auto"/>
        <w:ind w:left="709"/>
        <w:contextualSpacing/>
        <w:rPr>
          <w:rFonts w:ascii="Arial" w:eastAsia="Times New Roman" w:hAnsi="Arial" w:cs="Arial"/>
          <w:lang w:val="es-ES"/>
        </w:rPr>
      </w:pPr>
    </w:p>
    <w:p w:rsidR="006312E8" w:rsidRPr="006312E8" w:rsidRDefault="006312E8" w:rsidP="006312E8">
      <w:pPr>
        <w:widowControl w:val="0"/>
        <w:numPr>
          <w:ilvl w:val="1"/>
          <w:numId w:val="54"/>
        </w:numPr>
        <w:tabs>
          <w:tab w:val="left" w:pos="709"/>
          <w:tab w:val="left" w:pos="3360"/>
        </w:tabs>
        <w:spacing w:after="0" w:line="240" w:lineRule="auto"/>
        <w:ind w:left="709"/>
        <w:contextualSpacing/>
        <w:jc w:val="both"/>
        <w:rPr>
          <w:rFonts w:ascii="Arial" w:eastAsia="Times New Roman" w:hAnsi="Arial" w:cs="Arial"/>
          <w:lang w:val="es-ES"/>
        </w:rPr>
      </w:pPr>
      <w:r w:rsidRPr="006312E8">
        <w:rPr>
          <w:rFonts w:ascii="Arial" w:eastAsia="Times New Roman" w:hAnsi="Arial" w:cs="Arial"/>
          <w:lang w:val="es-ES"/>
        </w:rPr>
        <w:t>La valorización de la contraprestación por el Usufructo, será  solicitada por las entidades estatales propietarias  o administradoras del predio, por aplicación extensiva del Artículo 36° del Reglamento, al organismo encargado de efectuar las tasaciones a valor comercial de la propiedad estatal y en caso de no existir en la zona a un perito tasador acreditado.</w:t>
      </w:r>
    </w:p>
    <w:p w:rsidR="006312E8" w:rsidRPr="006312E8" w:rsidRDefault="006312E8" w:rsidP="006312E8">
      <w:pPr>
        <w:tabs>
          <w:tab w:val="left" w:pos="709"/>
        </w:tabs>
        <w:spacing w:after="200" w:line="240" w:lineRule="auto"/>
        <w:ind w:left="709"/>
        <w:contextualSpacing/>
        <w:rPr>
          <w:rFonts w:ascii="Arial" w:eastAsia="Times New Roman" w:hAnsi="Arial" w:cs="Arial"/>
          <w:lang w:val="es-ES"/>
        </w:rPr>
      </w:pPr>
    </w:p>
    <w:p w:rsidR="006312E8" w:rsidRPr="006312E8" w:rsidRDefault="006312E8" w:rsidP="006312E8">
      <w:pPr>
        <w:widowControl w:val="0"/>
        <w:numPr>
          <w:ilvl w:val="1"/>
          <w:numId w:val="54"/>
        </w:numPr>
        <w:tabs>
          <w:tab w:val="left" w:pos="709"/>
          <w:tab w:val="left" w:pos="3360"/>
        </w:tabs>
        <w:spacing w:after="0" w:line="240" w:lineRule="auto"/>
        <w:ind w:left="709"/>
        <w:contextualSpacing/>
        <w:jc w:val="both"/>
        <w:rPr>
          <w:rFonts w:ascii="Arial" w:eastAsia="Times New Roman" w:hAnsi="Arial" w:cs="Arial"/>
          <w:lang w:val="es-ES"/>
        </w:rPr>
      </w:pPr>
      <w:r w:rsidRPr="006312E8">
        <w:rPr>
          <w:rFonts w:ascii="Arial" w:eastAsia="Times New Roman" w:hAnsi="Arial" w:cs="Arial"/>
          <w:lang w:val="es-ES"/>
        </w:rPr>
        <w:t>La constitución del derecho de Usufructo se realiza sobre predios de libre disponibilidad, una vez que se haya inscrito el derecho a favor del Estado o de la entidad que pretenda otorgarlo en usufructo.</w:t>
      </w:r>
    </w:p>
    <w:p w:rsidR="006312E8" w:rsidRPr="006312E8" w:rsidRDefault="006312E8" w:rsidP="006312E8">
      <w:pPr>
        <w:tabs>
          <w:tab w:val="left" w:pos="709"/>
        </w:tabs>
        <w:spacing w:after="200" w:line="240" w:lineRule="auto"/>
        <w:ind w:left="709"/>
        <w:contextualSpacing/>
        <w:rPr>
          <w:rFonts w:ascii="Arial" w:eastAsia="Times New Roman" w:hAnsi="Arial" w:cs="Arial"/>
          <w:lang w:val="es-ES"/>
        </w:rPr>
      </w:pPr>
    </w:p>
    <w:p w:rsidR="006312E8" w:rsidRPr="006312E8" w:rsidRDefault="006312E8" w:rsidP="006312E8">
      <w:pPr>
        <w:widowControl w:val="0"/>
        <w:numPr>
          <w:ilvl w:val="1"/>
          <w:numId w:val="54"/>
        </w:numPr>
        <w:tabs>
          <w:tab w:val="left" w:pos="709"/>
          <w:tab w:val="left" w:pos="3360"/>
        </w:tabs>
        <w:spacing w:after="0" w:line="240" w:lineRule="auto"/>
        <w:ind w:left="709"/>
        <w:contextualSpacing/>
        <w:jc w:val="both"/>
        <w:rPr>
          <w:rFonts w:ascii="Arial" w:eastAsia="Times New Roman" w:hAnsi="Arial" w:cs="Arial"/>
          <w:lang w:val="es-ES"/>
        </w:rPr>
      </w:pPr>
      <w:r w:rsidRPr="006312E8">
        <w:rPr>
          <w:rFonts w:ascii="Arial" w:eastAsia="Times New Roman" w:hAnsi="Arial" w:cs="Arial"/>
          <w:lang w:val="es-ES"/>
        </w:rPr>
        <w:t>En caso que la constitución del derecho de usufructo recaiga sobre un predio que tiene alguna calificación especial (se encuentra en zona turística, en zona monumental, etc.), deberá solicitarse previamente la opinión técnica de los organismos competentes.</w:t>
      </w:r>
    </w:p>
    <w:p w:rsidR="006312E8" w:rsidRPr="006312E8" w:rsidRDefault="006312E8" w:rsidP="006312E8">
      <w:pPr>
        <w:tabs>
          <w:tab w:val="left" w:pos="709"/>
        </w:tabs>
        <w:spacing w:after="200" w:line="240" w:lineRule="auto"/>
        <w:ind w:left="709"/>
        <w:contextualSpacing/>
        <w:rPr>
          <w:rFonts w:ascii="Arial" w:eastAsia="Times New Roman" w:hAnsi="Arial" w:cs="Arial"/>
          <w:lang w:val="es-ES"/>
        </w:rPr>
      </w:pPr>
    </w:p>
    <w:p w:rsidR="006312E8" w:rsidRPr="006312E8" w:rsidRDefault="006312E8" w:rsidP="006312E8">
      <w:pPr>
        <w:widowControl w:val="0"/>
        <w:numPr>
          <w:ilvl w:val="1"/>
          <w:numId w:val="54"/>
        </w:numPr>
        <w:tabs>
          <w:tab w:val="left" w:pos="709"/>
          <w:tab w:val="left" w:pos="3360"/>
        </w:tabs>
        <w:spacing w:after="0" w:line="240" w:lineRule="auto"/>
        <w:ind w:left="709"/>
        <w:contextualSpacing/>
        <w:jc w:val="both"/>
        <w:rPr>
          <w:rFonts w:ascii="Arial" w:eastAsia="Times New Roman" w:hAnsi="Arial" w:cs="Arial"/>
          <w:lang w:val="es-ES"/>
        </w:rPr>
      </w:pPr>
      <w:r w:rsidRPr="006312E8">
        <w:rPr>
          <w:rFonts w:ascii="Arial" w:eastAsia="Times New Roman" w:hAnsi="Arial" w:cs="Arial"/>
          <w:lang w:val="es-ES"/>
        </w:rPr>
        <w:t>En ningún caso los gastos (operativos y administrativos) que genere la constitución del derecho de usufructo deben ser superiores al monto total de la contraprestación por dicho derecho.</w:t>
      </w:r>
    </w:p>
    <w:p w:rsidR="006312E8" w:rsidRPr="006312E8" w:rsidRDefault="006312E8" w:rsidP="006312E8">
      <w:pPr>
        <w:tabs>
          <w:tab w:val="left" w:pos="709"/>
        </w:tabs>
        <w:spacing w:after="200" w:line="240" w:lineRule="auto"/>
        <w:ind w:left="709"/>
        <w:contextualSpacing/>
        <w:rPr>
          <w:rFonts w:ascii="Arial" w:eastAsia="Times New Roman" w:hAnsi="Arial" w:cs="Arial"/>
          <w:lang w:val="es-ES"/>
        </w:rPr>
      </w:pPr>
    </w:p>
    <w:p w:rsidR="006312E8" w:rsidRPr="006312E8" w:rsidRDefault="006312E8" w:rsidP="006312E8">
      <w:pPr>
        <w:widowControl w:val="0"/>
        <w:numPr>
          <w:ilvl w:val="1"/>
          <w:numId w:val="54"/>
        </w:numPr>
        <w:tabs>
          <w:tab w:val="left" w:pos="709"/>
          <w:tab w:val="left" w:pos="3360"/>
        </w:tabs>
        <w:spacing w:after="0" w:line="240" w:lineRule="auto"/>
        <w:ind w:left="709"/>
        <w:contextualSpacing/>
        <w:jc w:val="both"/>
        <w:rPr>
          <w:rFonts w:ascii="Arial" w:eastAsia="Times New Roman" w:hAnsi="Arial" w:cs="Arial"/>
          <w:lang w:val="es-ES"/>
        </w:rPr>
      </w:pPr>
      <w:r w:rsidRPr="006312E8">
        <w:rPr>
          <w:rFonts w:ascii="Arial" w:eastAsia="Times New Roman" w:hAnsi="Arial" w:cs="Arial"/>
          <w:lang w:val="es-ES"/>
        </w:rPr>
        <w:t>Para la entrega del predio en usufructo, la entidad propietaria o administradora elaborará    y    suscribirá    conjuntamente    con    el usufructuario un Acta o Inventario sobre la condición o situación física del predio sobre el que se constituye el derecho de usufructo.</w:t>
      </w:r>
    </w:p>
    <w:p w:rsidR="006312E8" w:rsidRPr="006312E8" w:rsidRDefault="006312E8" w:rsidP="006312E8">
      <w:pPr>
        <w:tabs>
          <w:tab w:val="left" w:pos="709"/>
        </w:tabs>
        <w:spacing w:after="200" w:line="240" w:lineRule="auto"/>
        <w:ind w:left="709"/>
        <w:contextualSpacing/>
        <w:rPr>
          <w:rFonts w:ascii="Arial" w:eastAsia="Times New Roman" w:hAnsi="Arial" w:cs="Arial"/>
          <w:lang w:val="es-ES"/>
        </w:rPr>
      </w:pPr>
    </w:p>
    <w:p w:rsidR="006312E8" w:rsidRPr="006312E8" w:rsidRDefault="006312E8" w:rsidP="006312E8">
      <w:pPr>
        <w:widowControl w:val="0"/>
        <w:numPr>
          <w:ilvl w:val="1"/>
          <w:numId w:val="54"/>
        </w:numPr>
        <w:tabs>
          <w:tab w:val="left" w:pos="709"/>
          <w:tab w:val="left" w:pos="3360"/>
        </w:tabs>
        <w:spacing w:after="0" w:line="240" w:lineRule="auto"/>
        <w:ind w:left="709"/>
        <w:contextualSpacing/>
        <w:jc w:val="both"/>
        <w:rPr>
          <w:rFonts w:ascii="Arial" w:eastAsia="Times New Roman" w:hAnsi="Arial" w:cs="Arial"/>
          <w:lang w:val="es-ES"/>
        </w:rPr>
      </w:pPr>
      <w:r w:rsidRPr="006312E8">
        <w:rPr>
          <w:rFonts w:ascii="Arial" w:eastAsia="Times New Roman" w:hAnsi="Arial" w:cs="Arial"/>
          <w:lang w:val="es-ES"/>
        </w:rPr>
        <w:t>Se   requiere   autorización   expresa   de   la   entidad   propietaria   o administradora para que el usufructuario realice mejoras útiles y de recreo en el predio.</w:t>
      </w:r>
    </w:p>
    <w:p w:rsidR="006312E8" w:rsidRPr="006312E8" w:rsidRDefault="006312E8" w:rsidP="006312E8">
      <w:pPr>
        <w:widowControl w:val="0"/>
        <w:tabs>
          <w:tab w:val="left" w:pos="709"/>
          <w:tab w:val="left" w:pos="3360"/>
        </w:tabs>
        <w:spacing w:after="0" w:line="240" w:lineRule="auto"/>
        <w:ind w:left="709"/>
        <w:contextualSpacing/>
        <w:jc w:val="both"/>
        <w:rPr>
          <w:rFonts w:ascii="Arial" w:eastAsia="Times New Roman" w:hAnsi="Arial" w:cs="Arial"/>
          <w:lang w:val="es-ES"/>
        </w:rPr>
      </w:pPr>
    </w:p>
    <w:p w:rsidR="006312E8" w:rsidRPr="006312E8" w:rsidRDefault="006312E8" w:rsidP="006312E8">
      <w:pPr>
        <w:widowControl w:val="0"/>
        <w:numPr>
          <w:ilvl w:val="1"/>
          <w:numId w:val="54"/>
        </w:numPr>
        <w:tabs>
          <w:tab w:val="left" w:pos="709"/>
          <w:tab w:val="left" w:pos="3360"/>
        </w:tabs>
        <w:spacing w:after="0" w:line="240" w:lineRule="auto"/>
        <w:ind w:left="709" w:hanging="508"/>
        <w:contextualSpacing/>
        <w:jc w:val="both"/>
        <w:rPr>
          <w:rFonts w:ascii="Arial" w:eastAsia="Times New Roman" w:hAnsi="Arial" w:cs="Arial"/>
          <w:lang w:val="es-ES"/>
        </w:rPr>
      </w:pPr>
      <w:r w:rsidRPr="006312E8">
        <w:rPr>
          <w:rFonts w:ascii="Arial" w:eastAsia="Times New Roman" w:hAnsi="Arial" w:cs="Arial"/>
          <w:lang w:val="es-ES"/>
        </w:rPr>
        <w:t>Las mejoras necesarias, útiles y de recreo que se efectúen en el predio, no tendrán carácter reembolsable a la conclusión del usufructo.</w:t>
      </w:r>
    </w:p>
    <w:p w:rsidR="006312E8" w:rsidRPr="006312E8" w:rsidRDefault="006312E8" w:rsidP="006312E8">
      <w:pPr>
        <w:tabs>
          <w:tab w:val="left" w:pos="709"/>
          <w:tab w:val="left" w:pos="3360"/>
        </w:tabs>
        <w:spacing w:after="0" w:line="240" w:lineRule="auto"/>
        <w:ind w:left="709"/>
        <w:contextualSpacing/>
        <w:jc w:val="both"/>
        <w:rPr>
          <w:rFonts w:ascii="Arial" w:eastAsia="Times New Roman" w:hAnsi="Arial" w:cs="Arial"/>
          <w:lang w:val="es-ES"/>
        </w:rPr>
      </w:pPr>
    </w:p>
    <w:p w:rsidR="006312E8" w:rsidRPr="006312E8" w:rsidRDefault="006312E8" w:rsidP="006312E8">
      <w:pPr>
        <w:widowControl w:val="0"/>
        <w:numPr>
          <w:ilvl w:val="1"/>
          <w:numId w:val="54"/>
        </w:numPr>
        <w:tabs>
          <w:tab w:val="left" w:pos="709"/>
          <w:tab w:val="left" w:pos="3360"/>
        </w:tabs>
        <w:spacing w:after="0" w:line="240" w:lineRule="auto"/>
        <w:ind w:left="709" w:hanging="508"/>
        <w:contextualSpacing/>
        <w:jc w:val="both"/>
        <w:rPr>
          <w:rFonts w:ascii="Arial" w:eastAsia="Times New Roman" w:hAnsi="Arial" w:cs="Arial"/>
          <w:lang w:val="es-ES"/>
        </w:rPr>
      </w:pPr>
      <w:r w:rsidRPr="006312E8">
        <w:rPr>
          <w:rFonts w:ascii="Arial" w:eastAsia="Times New Roman" w:hAnsi="Arial" w:cs="Arial"/>
          <w:lang w:val="es-ES"/>
        </w:rPr>
        <w:t>La cesión del usufructo requerirá autorización expresa de la entidad propietaria o administradora del bien, bajo sanción de nulidad.</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widowControl w:val="0"/>
        <w:numPr>
          <w:ilvl w:val="0"/>
          <w:numId w:val="54"/>
        </w:numPr>
        <w:tabs>
          <w:tab w:val="left" w:pos="426"/>
        </w:tabs>
        <w:spacing w:after="0" w:line="240" w:lineRule="auto"/>
        <w:ind w:left="426"/>
        <w:contextualSpacing/>
        <w:jc w:val="both"/>
        <w:rPr>
          <w:rFonts w:ascii="Arial" w:eastAsia="Times New Roman" w:hAnsi="Arial" w:cs="Arial"/>
          <w:b/>
        </w:rPr>
      </w:pPr>
      <w:r w:rsidRPr="006312E8">
        <w:rPr>
          <w:rFonts w:ascii="Arial" w:eastAsia="Times New Roman" w:hAnsi="Arial" w:cs="Arial"/>
          <w:b/>
        </w:rPr>
        <w:t>DISPOSICIONES ESPECÍFICAS DEL PROCEDIMIENTO</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ind w:left="426"/>
        <w:jc w:val="both"/>
        <w:rPr>
          <w:rFonts w:ascii="Arial" w:eastAsia="Calibri" w:hAnsi="Arial" w:cs="Arial"/>
          <w:b/>
          <w:lang w:val="es-ES"/>
        </w:rPr>
      </w:pPr>
      <w:r w:rsidRPr="006312E8">
        <w:rPr>
          <w:rFonts w:ascii="Arial" w:eastAsia="Calibri" w:hAnsi="Arial" w:cs="Arial"/>
          <w:b/>
          <w:lang w:val="es-ES"/>
        </w:rPr>
        <w:t>Procedimiento para la constitución directa del Usufructo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widowControl w:val="0"/>
        <w:numPr>
          <w:ilvl w:val="1"/>
          <w:numId w:val="54"/>
        </w:numPr>
        <w:spacing w:after="0" w:line="240" w:lineRule="auto"/>
        <w:ind w:left="851"/>
        <w:contextualSpacing/>
        <w:jc w:val="both"/>
        <w:rPr>
          <w:rFonts w:ascii="Arial" w:eastAsia="Times New Roman" w:hAnsi="Arial" w:cs="Arial"/>
          <w:lang w:val="es-ES"/>
        </w:rPr>
      </w:pPr>
      <w:r w:rsidRPr="006312E8">
        <w:rPr>
          <w:rFonts w:ascii="Arial" w:eastAsia="Times New Roman" w:hAnsi="Arial" w:cs="Arial"/>
          <w:b/>
          <w:lang w:val="es-ES"/>
        </w:rPr>
        <w:t>Presentación de la solicitud</w:t>
      </w:r>
    </w:p>
    <w:p w:rsidR="006312E8" w:rsidRPr="006312E8" w:rsidRDefault="006312E8" w:rsidP="006312E8">
      <w:pPr>
        <w:spacing w:after="0" w:line="240" w:lineRule="auto"/>
        <w:ind w:left="720"/>
        <w:jc w:val="both"/>
        <w:rPr>
          <w:rFonts w:ascii="Arial" w:eastAsia="Calibri" w:hAnsi="Arial" w:cs="Arial"/>
          <w:lang w:val="es-ES"/>
        </w:rPr>
      </w:pPr>
    </w:p>
    <w:p w:rsidR="006312E8" w:rsidRPr="006312E8" w:rsidRDefault="006312E8" w:rsidP="006312E8">
      <w:pPr>
        <w:spacing w:after="0" w:line="240" w:lineRule="auto"/>
        <w:ind w:left="720"/>
        <w:jc w:val="both"/>
        <w:rPr>
          <w:rFonts w:ascii="Arial" w:eastAsia="Calibri" w:hAnsi="Arial" w:cs="Arial"/>
          <w:lang w:val="es-ES"/>
        </w:rPr>
      </w:pPr>
      <w:r w:rsidRPr="006312E8">
        <w:rPr>
          <w:rFonts w:ascii="Arial" w:eastAsia="Calibri" w:hAnsi="Arial" w:cs="Arial"/>
          <w:lang w:val="es-ES"/>
        </w:rPr>
        <w:t>Para el inicio del procedimiento administrativo de constitución directa del Usufructo oneroso por causal, el administrado deberá solicitarlo por escrito y contendrá:</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widowControl w:val="0"/>
        <w:numPr>
          <w:ilvl w:val="0"/>
          <w:numId w:val="55"/>
        </w:numPr>
        <w:spacing w:after="0" w:line="240" w:lineRule="auto"/>
        <w:ind w:left="1134"/>
        <w:contextualSpacing/>
        <w:jc w:val="both"/>
        <w:rPr>
          <w:rFonts w:ascii="Arial" w:eastAsia="Times New Roman" w:hAnsi="Arial" w:cs="Arial"/>
          <w:lang w:val="es-ES"/>
        </w:rPr>
      </w:pPr>
      <w:r w:rsidRPr="006312E8">
        <w:rPr>
          <w:rFonts w:ascii="Arial" w:eastAsia="Times New Roman" w:hAnsi="Arial" w:cs="Arial"/>
          <w:lang w:val="es-ES"/>
        </w:rPr>
        <w:t>La indicación de la entidad pública a la cual se dirige.</w:t>
      </w:r>
    </w:p>
    <w:p w:rsidR="006312E8" w:rsidRPr="006312E8" w:rsidRDefault="006312E8" w:rsidP="006312E8">
      <w:pPr>
        <w:spacing w:after="0" w:line="240" w:lineRule="auto"/>
        <w:ind w:left="1134"/>
        <w:jc w:val="both"/>
        <w:rPr>
          <w:rFonts w:ascii="Arial" w:eastAsia="Calibri" w:hAnsi="Arial" w:cs="Arial"/>
          <w:lang w:val="es-ES"/>
        </w:rPr>
      </w:pPr>
    </w:p>
    <w:p w:rsidR="006312E8" w:rsidRPr="006312E8" w:rsidRDefault="006312E8" w:rsidP="006312E8">
      <w:pPr>
        <w:widowControl w:val="0"/>
        <w:numPr>
          <w:ilvl w:val="0"/>
          <w:numId w:val="55"/>
        </w:numPr>
        <w:spacing w:after="0" w:line="240" w:lineRule="auto"/>
        <w:ind w:left="1134"/>
        <w:contextualSpacing/>
        <w:jc w:val="both"/>
        <w:rPr>
          <w:rFonts w:ascii="Arial" w:eastAsia="Times New Roman" w:hAnsi="Arial" w:cs="Arial"/>
          <w:lang w:val="es-ES"/>
        </w:rPr>
      </w:pPr>
      <w:r w:rsidRPr="006312E8">
        <w:rPr>
          <w:rFonts w:ascii="Arial" w:eastAsia="Times New Roman" w:hAnsi="Arial" w:cs="Arial"/>
          <w:lang w:val="es-ES"/>
        </w:rPr>
        <w:t>Nombres y apellidos completos, domicilio  y número de Documento Nacional de Identidad o carné de extranjería del administrado, y en su caso, la calidad de representante y de la persona natural o jurídica a quien represente.</w:t>
      </w:r>
    </w:p>
    <w:p w:rsidR="006312E8" w:rsidRPr="006312E8" w:rsidRDefault="006312E8" w:rsidP="006312E8">
      <w:pPr>
        <w:spacing w:after="0" w:line="240" w:lineRule="auto"/>
        <w:ind w:left="1134"/>
        <w:jc w:val="both"/>
        <w:rPr>
          <w:rFonts w:ascii="Arial" w:eastAsia="Calibri" w:hAnsi="Arial" w:cs="Arial"/>
          <w:lang w:val="es-ES"/>
        </w:rPr>
      </w:pPr>
    </w:p>
    <w:p w:rsidR="006312E8" w:rsidRPr="006312E8" w:rsidRDefault="006312E8" w:rsidP="006312E8">
      <w:pPr>
        <w:widowControl w:val="0"/>
        <w:numPr>
          <w:ilvl w:val="0"/>
          <w:numId w:val="55"/>
        </w:numPr>
        <w:spacing w:after="0" w:line="240" w:lineRule="auto"/>
        <w:ind w:left="1134"/>
        <w:contextualSpacing/>
        <w:jc w:val="both"/>
        <w:rPr>
          <w:rFonts w:ascii="Arial" w:eastAsia="Times New Roman" w:hAnsi="Arial" w:cs="Arial"/>
          <w:lang w:val="es-ES"/>
        </w:rPr>
      </w:pPr>
      <w:r w:rsidRPr="006312E8">
        <w:rPr>
          <w:rFonts w:ascii="Arial" w:eastAsia="Times New Roman" w:hAnsi="Arial" w:cs="Arial"/>
          <w:lang w:val="es-ES"/>
        </w:rPr>
        <w:t>La expresión concreta de lo pedido, indicando el área, ubicación del predio y la causal expresa a la que se acoge su pedido de constitución directa de Usufructo, conforme lo dispuesto en el Artículo 89° del Reglamento u otra norma legal.</w:t>
      </w:r>
    </w:p>
    <w:p w:rsidR="006312E8" w:rsidRPr="006312E8" w:rsidRDefault="006312E8" w:rsidP="006312E8">
      <w:pPr>
        <w:spacing w:after="0" w:line="240" w:lineRule="auto"/>
        <w:ind w:left="1134"/>
        <w:jc w:val="both"/>
        <w:rPr>
          <w:rFonts w:ascii="Arial" w:eastAsia="Calibri" w:hAnsi="Arial" w:cs="Arial"/>
          <w:lang w:val="es-ES"/>
        </w:rPr>
      </w:pPr>
    </w:p>
    <w:p w:rsidR="006312E8" w:rsidRPr="006312E8" w:rsidRDefault="006312E8" w:rsidP="006312E8">
      <w:pPr>
        <w:widowControl w:val="0"/>
        <w:numPr>
          <w:ilvl w:val="0"/>
          <w:numId w:val="55"/>
        </w:numPr>
        <w:spacing w:after="0" w:line="240" w:lineRule="auto"/>
        <w:ind w:left="1134"/>
        <w:contextualSpacing/>
        <w:jc w:val="both"/>
        <w:rPr>
          <w:rFonts w:ascii="Arial" w:eastAsia="Times New Roman" w:hAnsi="Arial" w:cs="Arial"/>
          <w:lang w:val="es-ES"/>
        </w:rPr>
      </w:pPr>
      <w:r w:rsidRPr="006312E8">
        <w:rPr>
          <w:rFonts w:ascii="Arial" w:eastAsia="Times New Roman" w:hAnsi="Arial" w:cs="Arial"/>
          <w:lang w:val="es-ES"/>
        </w:rPr>
        <w:t>Lugar, fecha, firma o huella digital, en caso de no saber firmar o estar impedido.</w:t>
      </w:r>
    </w:p>
    <w:p w:rsidR="006312E8" w:rsidRPr="006312E8" w:rsidRDefault="006312E8" w:rsidP="006312E8">
      <w:pPr>
        <w:spacing w:after="0" w:line="240" w:lineRule="auto"/>
        <w:ind w:left="1134"/>
        <w:jc w:val="both"/>
        <w:rPr>
          <w:rFonts w:ascii="Arial" w:eastAsia="Calibri" w:hAnsi="Arial" w:cs="Arial"/>
          <w:lang w:val="es-ES"/>
        </w:rPr>
      </w:pPr>
    </w:p>
    <w:p w:rsidR="006312E8" w:rsidRPr="006312E8" w:rsidRDefault="006312E8" w:rsidP="006312E8">
      <w:pPr>
        <w:widowControl w:val="0"/>
        <w:numPr>
          <w:ilvl w:val="0"/>
          <w:numId w:val="55"/>
        </w:numPr>
        <w:spacing w:after="0" w:line="240" w:lineRule="auto"/>
        <w:ind w:left="1134"/>
        <w:contextualSpacing/>
        <w:jc w:val="both"/>
        <w:rPr>
          <w:rFonts w:ascii="Arial" w:eastAsia="Times New Roman" w:hAnsi="Arial" w:cs="Arial"/>
          <w:lang w:val="es-ES"/>
        </w:rPr>
      </w:pPr>
      <w:r w:rsidRPr="006312E8">
        <w:rPr>
          <w:rFonts w:ascii="Arial" w:eastAsia="Times New Roman" w:hAnsi="Arial" w:cs="Arial"/>
          <w:lang w:val="es-ES"/>
        </w:rPr>
        <w:t>Copia legible del Documento Nacional de Identidad si es persona natural y en su caso del representante, o si es persona jurídica, copia de la partida registral donde consta inscrita su constitución y certificado de vigencia de poder de su representante legal, así como copia del Documento Nacional de Identidad de éste.</w:t>
      </w:r>
    </w:p>
    <w:p w:rsidR="006312E8" w:rsidRPr="006312E8" w:rsidRDefault="006312E8" w:rsidP="006312E8">
      <w:pPr>
        <w:spacing w:after="0" w:line="240" w:lineRule="auto"/>
        <w:ind w:left="1134"/>
        <w:jc w:val="both"/>
        <w:rPr>
          <w:rFonts w:ascii="Arial" w:eastAsia="Calibri" w:hAnsi="Arial" w:cs="Arial"/>
          <w:lang w:val="es-ES"/>
        </w:rPr>
      </w:pPr>
    </w:p>
    <w:p w:rsidR="006312E8" w:rsidRPr="006312E8" w:rsidRDefault="006312E8" w:rsidP="006312E8">
      <w:pPr>
        <w:widowControl w:val="0"/>
        <w:numPr>
          <w:ilvl w:val="0"/>
          <w:numId w:val="55"/>
        </w:numPr>
        <w:spacing w:after="0" w:line="240" w:lineRule="auto"/>
        <w:ind w:left="1134"/>
        <w:contextualSpacing/>
        <w:jc w:val="both"/>
        <w:rPr>
          <w:rFonts w:ascii="Arial" w:eastAsia="Times New Roman" w:hAnsi="Arial" w:cs="Arial"/>
          <w:lang w:val="es-ES"/>
        </w:rPr>
      </w:pPr>
      <w:r w:rsidRPr="006312E8">
        <w:rPr>
          <w:rFonts w:ascii="Arial" w:eastAsia="Times New Roman" w:hAnsi="Arial" w:cs="Arial"/>
          <w:lang w:val="es-ES"/>
        </w:rPr>
        <w:t>Plano perimétrico del predio en coordenadas UTM, a escala 1/1 00, 1/200, 1/500 con indicación de área, linderos, ángulos y medidas perimétricas autorizado por ingeniero o arquitecto colegiado.</w:t>
      </w:r>
    </w:p>
    <w:p w:rsidR="006312E8" w:rsidRPr="006312E8" w:rsidRDefault="006312E8" w:rsidP="006312E8">
      <w:pPr>
        <w:spacing w:after="0" w:line="240" w:lineRule="auto"/>
        <w:ind w:left="1134"/>
        <w:jc w:val="both"/>
        <w:rPr>
          <w:rFonts w:ascii="Arial" w:eastAsia="Calibri" w:hAnsi="Arial" w:cs="Arial"/>
          <w:lang w:val="es-ES"/>
        </w:rPr>
      </w:pPr>
    </w:p>
    <w:p w:rsidR="006312E8" w:rsidRPr="006312E8" w:rsidRDefault="006312E8" w:rsidP="006312E8">
      <w:pPr>
        <w:widowControl w:val="0"/>
        <w:numPr>
          <w:ilvl w:val="0"/>
          <w:numId w:val="55"/>
        </w:numPr>
        <w:spacing w:after="0" w:line="240" w:lineRule="auto"/>
        <w:ind w:left="1134"/>
        <w:contextualSpacing/>
        <w:jc w:val="both"/>
        <w:rPr>
          <w:rFonts w:ascii="Arial" w:eastAsia="Times New Roman" w:hAnsi="Arial" w:cs="Arial"/>
          <w:lang w:val="es-ES"/>
        </w:rPr>
      </w:pPr>
      <w:r w:rsidRPr="006312E8">
        <w:rPr>
          <w:rFonts w:ascii="Arial" w:eastAsia="Times New Roman" w:hAnsi="Arial" w:cs="Arial"/>
          <w:lang w:val="es-ES"/>
        </w:rPr>
        <w:t>Plano de Ubicación del predio en escala 1/1000 o 1/500.</w:t>
      </w:r>
    </w:p>
    <w:p w:rsidR="006312E8" w:rsidRPr="006312E8" w:rsidRDefault="006312E8" w:rsidP="006312E8">
      <w:pPr>
        <w:spacing w:after="0" w:line="240" w:lineRule="auto"/>
        <w:ind w:left="1134"/>
        <w:jc w:val="both"/>
        <w:rPr>
          <w:rFonts w:ascii="Arial" w:eastAsia="Calibri" w:hAnsi="Arial" w:cs="Arial"/>
          <w:lang w:val="es-ES"/>
        </w:rPr>
      </w:pPr>
    </w:p>
    <w:p w:rsidR="006312E8" w:rsidRPr="006312E8" w:rsidRDefault="006312E8" w:rsidP="006312E8">
      <w:pPr>
        <w:widowControl w:val="0"/>
        <w:numPr>
          <w:ilvl w:val="0"/>
          <w:numId w:val="55"/>
        </w:numPr>
        <w:spacing w:after="0" w:line="240" w:lineRule="auto"/>
        <w:ind w:left="1134"/>
        <w:contextualSpacing/>
        <w:jc w:val="both"/>
        <w:rPr>
          <w:rFonts w:ascii="Arial" w:eastAsia="Times New Roman" w:hAnsi="Arial" w:cs="Arial"/>
          <w:lang w:val="es-ES"/>
        </w:rPr>
      </w:pPr>
      <w:r w:rsidRPr="006312E8">
        <w:rPr>
          <w:rFonts w:ascii="Arial" w:eastAsia="Times New Roman" w:hAnsi="Arial" w:cs="Arial"/>
          <w:lang w:val="es-ES"/>
        </w:rPr>
        <w:t>Memoria descriptiva (con los nombres de los colindantes, si los hubiere) autorizado por ingeniero o arquitecto colegiado.</w:t>
      </w:r>
    </w:p>
    <w:p w:rsidR="006312E8" w:rsidRPr="006312E8" w:rsidRDefault="006312E8" w:rsidP="006312E8">
      <w:pPr>
        <w:spacing w:after="0" w:line="240" w:lineRule="auto"/>
        <w:ind w:left="1134"/>
        <w:contextualSpacing/>
        <w:jc w:val="both"/>
        <w:rPr>
          <w:rFonts w:ascii="Arial" w:eastAsia="Times New Roman" w:hAnsi="Arial" w:cs="Arial"/>
          <w:lang w:val="es-ES"/>
        </w:rPr>
      </w:pPr>
    </w:p>
    <w:p w:rsidR="006312E8" w:rsidRPr="006312E8" w:rsidRDefault="006312E8" w:rsidP="006312E8">
      <w:pPr>
        <w:widowControl w:val="0"/>
        <w:numPr>
          <w:ilvl w:val="0"/>
          <w:numId w:val="55"/>
        </w:numPr>
        <w:spacing w:after="0" w:line="240" w:lineRule="auto"/>
        <w:ind w:left="1134"/>
        <w:contextualSpacing/>
        <w:jc w:val="both"/>
        <w:rPr>
          <w:rFonts w:ascii="Arial" w:eastAsia="Times New Roman" w:hAnsi="Arial" w:cs="Arial"/>
          <w:lang w:val="es-ES"/>
        </w:rPr>
      </w:pPr>
      <w:r w:rsidRPr="006312E8">
        <w:rPr>
          <w:rFonts w:ascii="Arial" w:eastAsia="Times New Roman" w:hAnsi="Arial" w:cs="Arial"/>
          <w:lang w:val="es-ES"/>
        </w:rPr>
        <w:t>Certificado de Búsqueda Catastral del predio expedido por la SUNARP con una antigüedad no mayor a seis (6) meses, o indicar el número de partida registral en la que corre inscrito el predio.</w:t>
      </w:r>
    </w:p>
    <w:p w:rsidR="006312E8" w:rsidRPr="006312E8" w:rsidRDefault="006312E8" w:rsidP="006312E8">
      <w:pPr>
        <w:spacing w:after="0" w:line="240" w:lineRule="auto"/>
        <w:ind w:left="720"/>
        <w:contextualSpacing/>
        <w:jc w:val="both"/>
        <w:rPr>
          <w:rFonts w:ascii="Arial" w:eastAsia="Times New Roman" w:hAnsi="Arial" w:cs="Arial"/>
          <w:lang w:val="es-ES"/>
        </w:rPr>
      </w:pPr>
    </w:p>
    <w:p w:rsidR="006312E8" w:rsidRPr="006312E8" w:rsidRDefault="006312E8" w:rsidP="006312E8">
      <w:pPr>
        <w:spacing w:after="0" w:line="240" w:lineRule="auto"/>
        <w:ind w:left="1134"/>
        <w:jc w:val="both"/>
        <w:rPr>
          <w:rFonts w:ascii="Arial" w:eastAsia="Calibri" w:hAnsi="Arial" w:cs="Arial"/>
          <w:lang w:val="es-ES"/>
        </w:rPr>
      </w:pPr>
      <w:r w:rsidRPr="006312E8">
        <w:rPr>
          <w:rFonts w:ascii="Arial" w:eastAsia="Calibri" w:hAnsi="Arial" w:cs="Arial"/>
          <w:lang w:val="es-ES"/>
        </w:rPr>
        <w:t>Dependiendo del supuesto en que se sustenta su solicitud, deberá acompañar, según corresponda, además los siguientes documentos:</w:t>
      </w:r>
    </w:p>
    <w:p w:rsidR="006312E8" w:rsidRPr="006312E8" w:rsidRDefault="006312E8" w:rsidP="006312E8">
      <w:pPr>
        <w:spacing w:after="0" w:line="240" w:lineRule="auto"/>
        <w:ind w:left="720"/>
        <w:contextualSpacing/>
        <w:jc w:val="both"/>
        <w:rPr>
          <w:rFonts w:ascii="Arial" w:eastAsia="Times New Roman" w:hAnsi="Arial" w:cs="Arial"/>
          <w:i/>
          <w:lang w:val="es-ES"/>
        </w:rPr>
      </w:pPr>
    </w:p>
    <w:p w:rsidR="006312E8" w:rsidRPr="006312E8" w:rsidRDefault="006312E8" w:rsidP="006312E8">
      <w:pPr>
        <w:spacing w:after="0" w:line="240" w:lineRule="auto"/>
        <w:ind w:left="1134" w:hanging="436"/>
        <w:contextualSpacing/>
        <w:jc w:val="both"/>
        <w:rPr>
          <w:rFonts w:ascii="Arial" w:eastAsia="Times New Roman" w:hAnsi="Arial" w:cs="Arial"/>
          <w:lang w:val="es-ES"/>
        </w:rPr>
      </w:pPr>
      <w:r w:rsidRPr="006312E8">
        <w:rPr>
          <w:rFonts w:ascii="Arial" w:eastAsia="Times New Roman" w:hAnsi="Arial" w:cs="Arial"/>
          <w:b/>
          <w:lang w:val="es-ES"/>
        </w:rPr>
        <w:t>j.</w:t>
      </w:r>
      <w:r w:rsidRPr="006312E8">
        <w:rPr>
          <w:rFonts w:ascii="Arial" w:eastAsia="Times New Roman" w:hAnsi="Arial" w:cs="Arial"/>
          <w:lang w:val="es-ES"/>
        </w:rPr>
        <w:tab/>
        <w:t>En el caso que la constitución del derecho de    usufructo sea   un proyecto de inversión    orientado al aprovechamiento económico y social del bien, el administrado presentará dicho proyecto, principalmente lo referido al área en que se ejecutará el proyecto, y acreditará su aprobación de acuerdo al detalle siguiente:</w:t>
      </w:r>
    </w:p>
    <w:p w:rsidR="006312E8" w:rsidRPr="006312E8" w:rsidRDefault="006312E8" w:rsidP="006312E8">
      <w:pPr>
        <w:spacing w:after="0" w:line="240" w:lineRule="auto"/>
        <w:ind w:left="1134"/>
        <w:contextualSpacing/>
        <w:jc w:val="both"/>
        <w:rPr>
          <w:rFonts w:ascii="Arial" w:eastAsia="Times New Roman" w:hAnsi="Arial" w:cs="Arial"/>
          <w:lang w:val="es-ES"/>
        </w:rPr>
      </w:pPr>
    </w:p>
    <w:p w:rsidR="006312E8" w:rsidRPr="006312E8" w:rsidRDefault="006312E8" w:rsidP="006312E8">
      <w:pPr>
        <w:spacing w:after="0" w:line="240" w:lineRule="auto"/>
        <w:ind w:left="1134"/>
        <w:contextualSpacing/>
        <w:jc w:val="both"/>
        <w:rPr>
          <w:rFonts w:ascii="Arial" w:eastAsia="Times New Roman" w:hAnsi="Arial" w:cs="Arial"/>
          <w:lang w:val="es-ES"/>
        </w:rPr>
      </w:pPr>
      <w:r w:rsidRPr="006312E8">
        <w:rPr>
          <w:rFonts w:ascii="Arial" w:eastAsia="Times New Roman" w:hAnsi="Arial" w:cs="Arial"/>
          <w:lang w:val="es-ES"/>
        </w:rPr>
        <w:t>Mediante la presentación de la copia certificada de la resolución administrativa, autorización, declaración de viabilidad u otro documento análogo, emitido por las entidades competentes del Gobierno Nacional, Regional o Local, de acuerdo a su Reglamento de Organización y Funciones, la cual debe haber quedado firme.</w:t>
      </w:r>
    </w:p>
    <w:p w:rsidR="006312E8" w:rsidRPr="006312E8" w:rsidRDefault="006312E8" w:rsidP="006312E8">
      <w:pPr>
        <w:spacing w:after="0" w:line="240" w:lineRule="auto"/>
        <w:ind w:left="1134"/>
        <w:contextualSpacing/>
        <w:jc w:val="both"/>
        <w:rPr>
          <w:rFonts w:ascii="Arial" w:eastAsia="Times New Roman" w:hAnsi="Arial" w:cs="Arial"/>
          <w:lang w:val="es-ES"/>
        </w:rPr>
      </w:pPr>
    </w:p>
    <w:p w:rsidR="006312E8" w:rsidRPr="006312E8" w:rsidRDefault="006312E8" w:rsidP="006312E8">
      <w:pPr>
        <w:spacing w:after="0" w:line="240" w:lineRule="auto"/>
        <w:ind w:left="1134"/>
        <w:contextualSpacing/>
        <w:jc w:val="both"/>
        <w:rPr>
          <w:rFonts w:ascii="Arial" w:eastAsia="Times New Roman" w:hAnsi="Arial" w:cs="Arial"/>
          <w:lang w:val="es-ES"/>
        </w:rPr>
      </w:pPr>
      <w:r w:rsidRPr="006312E8">
        <w:rPr>
          <w:rFonts w:ascii="Arial" w:eastAsia="Times New Roman" w:hAnsi="Arial" w:cs="Arial"/>
          <w:lang w:val="es-ES"/>
        </w:rPr>
        <w:t>En el caso de los proyectos comprendidos en el ámbito de aplicación de la Ley N° 27446, Ley del Sistema Nacional de Evaluación del Impacto Ambiental y su Reglamento, aprobado por el Decreto Supremo N° 019-2009-MINAM, el administrado presentará la copia certificada de la certificación ambiental que corresponda, expedida por la respectiva autoridad competente.</w:t>
      </w:r>
    </w:p>
    <w:p w:rsidR="006312E8" w:rsidRPr="006312E8" w:rsidRDefault="006312E8" w:rsidP="006312E8">
      <w:pPr>
        <w:spacing w:after="0" w:line="240" w:lineRule="auto"/>
        <w:ind w:left="1134"/>
        <w:contextualSpacing/>
        <w:jc w:val="both"/>
        <w:rPr>
          <w:rFonts w:ascii="Arial" w:eastAsia="Times New Roman" w:hAnsi="Arial" w:cs="Arial"/>
          <w:b/>
          <w:i/>
          <w:color w:val="FF0000"/>
          <w:sz w:val="16"/>
          <w:szCs w:val="16"/>
          <w:lang w:val="es-ES"/>
        </w:rPr>
      </w:pPr>
    </w:p>
    <w:p w:rsidR="006312E8" w:rsidRPr="007C5FD0" w:rsidRDefault="006312E8" w:rsidP="006312E8">
      <w:pPr>
        <w:spacing w:after="0" w:line="240" w:lineRule="auto"/>
        <w:ind w:left="1134"/>
        <w:contextualSpacing/>
        <w:jc w:val="both"/>
        <w:rPr>
          <w:rFonts w:ascii="Arial" w:eastAsia="Times New Roman" w:hAnsi="Arial" w:cs="Arial"/>
          <w:b/>
          <w:color w:val="FF0000"/>
          <w:sz w:val="16"/>
          <w:szCs w:val="16"/>
          <w:lang w:val="es-ES"/>
        </w:rPr>
      </w:pPr>
      <w:r w:rsidRPr="007C5FD0">
        <w:rPr>
          <w:rFonts w:ascii="Arial" w:eastAsia="Times New Roman" w:hAnsi="Arial" w:cs="Arial"/>
          <w:b/>
          <w:color w:val="FF0000"/>
          <w:sz w:val="16"/>
          <w:szCs w:val="16"/>
          <w:lang w:val="es-ES"/>
        </w:rPr>
        <w:t>(*) Inciso modificado por el Artículo 1 de la Resolución N° 009-2013/SBN, publicado el 10 de febrero de 2013</w:t>
      </w:r>
    </w:p>
    <w:p w:rsidR="006312E8" w:rsidRPr="006312E8" w:rsidRDefault="006312E8" w:rsidP="006312E8">
      <w:pPr>
        <w:spacing w:after="0" w:line="240" w:lineRule="auto"/>
        <w:ind w:left="1134"/>
        <w:contextualSpacing/>
        <w:jc w:val="both"/>
        <w:rPr>
          <w:rFonts w:ascii="Arial" w:eastAsia="Times New Roman" w:hAnsi="Arial" w:cs="Arial"/>
          <w:lang w:val="es-ES"/>
        </w:rPr>
      </w:pPr>
    </w:p>
    <w:p w:rsidR="006312E8" w:rsidRPr="006312E8" w:rsidRDefault="006312E8" w:rsidP="0092471C">
      <w:pPr>
        <w:widowControl w:val="0"/>
        <w:numPr>
          <w:ilvl w:val="0"/>
          <w:numId w:val="155"/>
        </w:numPr>
        <w:spacing w:after="0" w:line="240" w:lineRule="auto"/>
        <w:ind w:left="1134" w:hanging="425"/>
        <w:contextualSpacing/>
        <w:jc w:val="both"/>
        <w:rPr>
          <w:rFonts w:ascii="Arial" w:eastAsia="Times New Roman" w:hAnsi="Arial" w:cs="Arial"/>
          <w:lang w:val="es-ES"/>
        </w:rPr>
      </w:pPr>
      <w:r w:rsidRPr="006312E8">
        <w:rPr>
          <w:rFonts w:ascii="Arial" w:eastAsia="Times New Roman" w:hAnsi="Arial" w:cs="Arial"/>
          <w:lang w:val="es-ES"/>
        </w:rPr>
        <w:t>Para acreditar la posesión del predio por un plazo mayor a 2 años, en caso que la  sustentación directa del Usufructo sea por esta causa, el solicitante deberá adjuntar cualquiera de los siguientes documentos: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1843" w:hanging="425"/>
        <w:contextualSpacing/>
        <w:jc w:val="both"/>
        <w:rPr>
          <w:rFonts w:ascii="Arial" w:eastAsia="Times New Roman" w:hAnsi="Arial" w:cs="Arial"/>
          <w:lang w:val="es-ES"/>
        </w:rPr>
      </w:pPr>
      <w:r w:rsidRPr="006312E8">
        <w:rPr>
          <w:rFonts w:ascii="Arial" w:eastAsia="Times New Roman" w:hAnsi="Arial" w:cs="Arial"/>
          <w:lang w:val="es-ES"/>
        </w:rPr>
        <w:t xml:space="preserve">k.1. </w:t>
      </w:r>
      <w:r w:rsidRPr="006312E8">
        <w:rPr>
          <w:rFonts w:ascii="Arial" w:eastAsia="Times New Roman" w:hAnsi="Arial" w:cs="Arial"/>
          <w:lang w:val="es-ES"/>
        </w:rPr>
        <w:tab/>
        <w:t>Copia certificada o autenticada de la Declaración Jurada del Impuesto Predial (HR y PU o PR) y de los Recibos de Pago de los tributos municipales correspondientes a los años de posesión del predio. Las declaraciones juradas y pagos de tributos que hayan sido formuladas en vía de regularización sólo tienen mérito para acreditar la antigüedad de la posesión a partir de la fecha en que ellas han sido presentadas o pagadas ante la autoridad competente.</w:t>
      </w:r>
    </w:p>
    <w:p w:rsidR="006312E8" w:rsidRPr="006312E8" w:rsidRDefault="006312E8" w:rsidP="006312E8">
      <w:pPr>
        <w:spacing w:after="0" w:line="240" w:lineRule="auto"/>
        <w:ind w:left="1843" w:hanging="425"/>
        <w:jc w:val="both"/>
        <w:rPr>
          <w:rFonts w:ascii="Arial" w:eastAsia="Calibri" w:hAnsi="Arial" w:cs="Arial"/>
          <w:lang w:val="es-ES"/>
        </w:rPr>
      </w:pPr>
    </w:p>
    <w:p w:rsidR="006312E8" w:rsidRPr="006312E8" w:rsidRDefault="006312E8" w:rsidP="006312E8">
      <w:pPr>
        <w:spacing w:after="0" w:line="240" w:lineRule="auto"/>
        <w:ind w:left="1843" w:hanging="425"/>
        <w:jc w:val="both"/>
        <w:rPr>
          <w:rFonts w:ascii="Arial" w:eastAsia="Calibri" w:hAnsi="Arial" w:cs="Arial"/>
          <w:lang w:val="es-ES"/>
        </w:rPr>
      </w:pPr>
      <w:r w:rsidRPr="006312E8">
        <w:rPr>
          <w:rFonts w:ascii="Arial" w:eastAsia="Calibri" w:hAnsi="Arial" w:cs="Arial"/>
          <w:lang w:val="es-ES"/>
        </w:rPr>
        <w:t xml:space="preserve">k.2. </w:t>
      </w:r>
      <w:r w:rsidRPr="006312E8">
        <w:rPr>
          <w:rFonts w:ascii="Arial" w:eastAsia="Calibri" w:hAnsi="Arial" w:cs="Arial"/>
          <w:lang w:val="es-ES"/>
        </w:rPr>
        <w:tab/>
        <w:t>Testimonio de la escritura pública o documento privado con certificación de firma, en el que conste la transferencia de la posesión del predio a su favor.</w:t>
      </w:r>
    </w:p>
    <w:p w:rsidR="006312E8" w:rsidRPr="006312E8" w:rsidRDefault="006312E8" w:rsidP="006312E8">
      <w:pPr>
        <w:spacing w:after="0" w:line="240" w:lineRule="auto"/>
        <w:ind w:left="1843" w:hanging="425"/>
        <w:jc w:val="both"/>
        <w:rPr>
          <w:rFonts w:ascii="Arial" w:eastAsia="Calibri" w:hAnsi="Arial" w:cs="Arial"/>
          <w:lang w:val="es-ES"/>
        </w:rPr>
      </w:pPr>
    </w:p>
    <w:p w:rsidR="006312E8" w:rsidRPr="006312E8" w:rsidRDefault="006312E8" w:rsidP="006312E8">
      <w:pPr>
        <w:spacing w:after="0" w:line="240" w:lineRule="auto"/>
        <w:ind w:left="1843" w:hanging="425"/>
        <w:jc w:val="both"/>
        <w:rPr>
          <w:rFonts w:ascii="Arial" w:eastAsia="Calibri" w:hAnsi="Arial" w:cs="Arial"/>
          <w:lang w:val="es-ES"/>
        </w:rPr>
      </w:pPr>
      <w:r w:rsidRPr="006312E8">
        <w:rPr>
          <w:rFonts w:ascii="Arial" w:eastAsia="Calibri" w:hAnsi="Arial" w:cs="Arial"/>
          <w:lang w:val="es-ES"/>
        </w:rPr>
        <w:t xml:space="preserve">k.3. </w:t>
      </w:r>
      <w:r w:rsidRPr="006312E8">
        <w:rPr>
          <w:rFonts w:ascii="Arial" w:eastAsia="Calibri" w:hAnsi="Arial" w:cs="Arial"/>
          <w:lang w:val="es-ES"/>
        </w:rPr>
        <w:tab/>
        <w:t>Copia certificada de la inspección judicial del predio en proceso de prueba anticipada, con el objeto de verificar la posesión del predio.</w:t>
      </w:r>
    </w:p>
    <w:p w:rsidR="006312E8" w:rsidRPr="006312E8" w:rsidRDefault="006312E8" w:rsidP="006312E8">
      <w:pPr>
        <w:spacing w:after="0" w:line="240" w:lineRule="auto"/>
        <w:ind w:left="1843" w:hanging="425"/>
        <w:jc w:val="both"/>
        <w:rPr>
          <w:rFonts w:ascii="Arial" w:eastAsia="Calibri" w:hAnsi="Arial" w:cs="Arial"/>
          <w:lang w:val="es-ES"/>
        </w:rPr>
      </w:pPr>
    </w:p>
    <w:p w:rsidR="006312E8" w:rsidRPr="006312E8" w:rsidRDefault="006312E8" w:rsidP="006312E8">
      <w:pPr>
        <w:spacing w:after="0" w:line="240" w:lineRule="auto"/>
        <w:ind w:left="1843" w:hanging="425"/>
        <w:jc w:val="both"/>
        <w:rPr>
          <w:rFonts w:ascii="Arial" w:eastAsia="Calibri" w:hAnsi="Arial" w:cs="Arial"/>
          <w:lang w:val="es-ES"/>
        </w:rPr>
      </w:pPr>
      <w:r w:rsidRPr="006312E8">
        <w:rPr>
          <w:rFonts w:ascii="Arial" w:eastAsia="Calibri" w:hAnsi="Arial" w:cs="Arial"/>
          <w:lang w:val="es-ES"/>
        </w:rPr>
        <w:t xml:space="preserve">k.4. Original o copia certificada de la constancia de posesión otorgada por la Municipalidad en cuya jurisdicción se encuentra el predio. </w:t>
      </w:r>
    </w:p>
    <w:p w:rsidR="006312E8" w:rsidRPr="006312E8" w:rsidRDefault="006312E8" w:rsidP="006312E8">
      <w:pPr>
        <w:spacing w:after="0" w:line="240" w:lineRule="auto"/>
        <w:ind w:left="1843" w:hanging="425"/>
        <w:jc w:val="both"/>
        <w:rPr>
          <w:rFonts w:ascii="Arial" w:eastAsia="Calibri" w:hAnsi="Arial" w:cs="Arial"/>
          <w:lang w:val="es-ES"/>
        </w:rPr>
      </w:pPr>
    </w:p>
    <w:p w:rsidR="006312E8" w:rsidRPr="006312E8" w:rsidRDefault="006312E8" w:rsidP="006312E8">
      <w:pPr>
        <w:spacing w:after="0" w:line="240" w:lineRule="auto"/>
        <w:ind w:left="1843" w:hanging="425"/>
        <w:jc w:val="both"/>
        <w:rPr>
          <w:rFonts w:ascii="Arial" w:eastAsia="Calibri" w:hAnsi="Arial" w:cs="Arial"/>
          <w:lang w:val="es-ES"/>
        </w:rPr>
      </w:pPr>
      <w:r w:rsidRPr="006312E8">
        <w:rPr>
          <w:rFonts w:ascii="Arial" w:eastAsia="Calibri" w:hAnsi="Arial" w:cs="Arial"/>
          <w:lang w:val="es-ES"/>
        </w:rPr>
        <w:t xml:space="preserve">k.5. </w:t>
      </w:r>
      <w:r w:rsidRPr="006312E8">
        <w:rPr>
          <w:rFonts w:ascii="Arial" w:eastAsia="Calibri" w:hAnsi="Arial" w:cs="Arial"/>
          <w:lang w:val="es-ES"/>
        </w:rPr>
        <w:tab/>
        <w:t xml:space="preserve"> Cualquier otro instrumento emitido por entidad pública   que acredite la posesión del predio.</w:t>
      </w:r>
    </w:p>
    <w:p w:rsidR="006312E8" w:rsidRPr="006312E8" w:rsidRDefault="006312E8" w:rsidP="006312E8">
      <w:pPr>
        <w:spacing w:after="0" w:line="240" w:lineRule="auto"/>
        <w:ind w:left="1440"/>
        <w:jc w:val="both"/>
        <w:rPr>
          <w:rFonts w:ascii="Arial" w:eastAsia="Calibri" w:hAnsi="Arial" w:cs="Arial"/>
          <w:lang w:val="es-ES"/>
        </w:rPr>
      </w:pPr>
    </w:p>
    <w:p w:rsidR="006312E8" w:rsidRPr="006312E8" w:rsidRDefault="006312E8" w:rsidP="006312E8">
      <w:pPr>
        <w:spacing w:after="0" w:line="240" w:lineRule="auto"/>
        <w:ind w:left="1440"/>
        <w:jc w:val="both"/>
        <w:rPr>
          <w:rFonts w:ascii="Arial" w:eastAsia="Calibri" w:hAnsi="Arial" w:cs="Arial"/>
          <w:lang w:val="es-ES"/>
        </w:rPr>
      </w:pPr>
      <w:r w:rsidRPr="006312E8">
        <w:rPr>
          <w:rFonts w:ascii="Arial" w:eastAsia="Calibri" w:hAnsi="Arial" w:cs="Arial"/>
          <w:lang w:val="es-ES"/>
        </w:rPr>
        <w:t xml:space="preserve">Los documentos antes indicados deben guardar correspondencia indubitable con el predio materia de solicitud. </w:t>
      </w:r>
      <w:r w:rsidRPr="006312E8">
        <w:rPr>
          <w:rFonts w:ascii="Arial" w:eastAsia="Calibri" w:hAnsi="Arial" w:cs="Arial"/>
          <w:lang w:val="es-ES"/>
        </w:rPr>
        <w:tab/>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92471C">
      <w:pPr>
        <w:widowControl w:val="0"/>
        <w:numPr>
          <w:ilvl w:val="0"/>
          <w:numId w:val="155"/>
        </w:numPr>
        <w:spacing w:after="0" w:line="240" w:lineRule="auto"/>
        <w:ind w:left="1134"/>
        <w:contextualSpacing/>
        <w:jc w:val="both"/>
        <w:rPr>
          <w:rFonts w:ascii="Arial" w:eastAsia="Times New Roman" w:hAnsi="Arial" w:cs="Arial"/>
          <w:lang w:val="es-ES"/>
        </w:rPr>
      </w:pPr>
      <w:r w:rsidRPr="006312E8">
        <w:rPr>
          <w:rFonts w:ascii="Arial" w:eastAsia="Times New Roman" w:hAnsi="Arial" w:cs="Arial"/>
          <w:lang w:val="es-ES"/>
        </w:rPr>
        <w:t>Para la constitución  directa del Usufructo  de terrenos ubicados en zonas   de   dominio   restringido, que cuenten con proyectos  de inversión orientados  a un aprovechamiento  económico  y social del bien  u  obras  ejecutadas  con  anterioridad  al  12 abril de  2006, destinados a cualquiera de los fines regulados en el Artículo 18° del Reglamento  de  la  Ley  N° 26856,  el poseedor  del  predio debe presentar además de los requisitos establecidos en el último párrafo del citado  artículo, cualquiera  de los documentos  Indicados en el inciso k) del presente numeral</w:t>
      </w:r>
    </w:p>
    <w:p w:rsidR="006312E8" w:rsidRPr="006312E8" w:rsidRDefault="006312E8" w:rsidP="006312E8">
      <w:pPr>
        <w:spacing w:after="0" w:line="240" w:lineRule="auto"/>
        <w:ind w:left="1134"/>
        <w:contextualSpacing/>
        <w:jc w:val="both"/>
        <w:rPr>
          <w:rFonts w:ascii="Arial" w:eastAsia="Times New Roman" w:hAnsi="Arial" w:cs="Arial"/>
          <w:lang w:val="es-ES"/>
        </w:rPr>
      </w:pPr>
    </w:p>
    <w:p w:rsidR="006312E8" w:rsidRPr="006312E8" w:rsidRDefault="006312E8" w:rsidP="006312E8">
      <w:pPr>
        <w:spacing w:after="0" w:line="240" w:lineRule="auto"/>
        <w:ind w:left="1134"/>
        <w:contextualSpacing/>
        <w:jc w:val="both"/>
        <w:rPr>
          <w:rFonts w:ascii="Arial" w:eastAsia="Times New Roman" w:hAnsi="Arial" w:cs="Arial"/>
          <w:lang w:val="es-ES"/>
        </w:rPr>
      </w:pPr>
      <w:r w:rsidRPr="006312E8">
        <w:rPr>
          <w:rFonts w:ascii="Arial" w:eastAsia="Times New Roman" w:hAnsi="Arial" w:cs="Arial"/>
          <w:lang w:val="es-ES"/>
        </w:rPr>
        <w:t>“Cuando los proyectos u obras han sido ejecutados con posterioridad a la fecha indicada en el párrafo precedente, o se pretenda ejecutar proyectos para los fines regulados en el artículo 18° del Reglamento de la Ley N° 26856, el administrado debe adjuntar además de los requisitos que exige el último párrafo del citado artículo, el documento emitido por la entidad competente donde se apruebe y/o permita los fines o servicios establecidos en la citada norma en los terrenos ubicados en zonas de dominio restringido, según corresponda”.</w:t>
      </w:r>
    </w:p>
    <w:p w:rsidR="006312E8" w:rsidRPr="006312E8" w:rsidRDefault="006312E8" w:rsidP="006312E8">
      <w:pPr>
        <w:spacing w:after="0" w:line="240" w:lineRule="auto"/>
        <w:ind w:left="1134"/>
        <w:contextualSpacing/>
        <w:jc w:val="both"/>
        <w:rPr>
          <w:rFonts w:ascii="Arial" w:eastAsia="Times New Roman" w:hAnsi="Arial" w:cs="Arial"/>
          <w:lang w:val="es-ES"/>
        </w:rPr>
      </w:pPr>
    </w:p>
    <w:p w:rsidR="006312E8" w:rsidRPr="006312E8" w:rsidRDefault="006312E8" w:rsidP="006312E8">
      <w:pPr>
        <w:spacing w:after="0" w:line="240" w:lineRule="auto"/>
        <w:ind w:left="1134"/>
        <w:contextualSpacing/>
        <w:jc w:val="both"/>
        <w:rPr>
          <w:rFonts w:ascii="Arial" w:eastAsia="Times New Roman" w:hAnsi="Arial" w:cs="Arial"/>
          <w:lang w:val="es-ES"/>
        </w:rPr>
      </w:pPr>
      <w:r w:rsidRPr="006312E8">
        <w:rPr>
          <w:rFonts w:ascii="Arial" w:eastAsia="Times New Roman" w:hAnsi="Arial" w:cs="Arial"/>
          <w:lang w:val="es-ES"/>
        </w:rPr>
        <w:t>Cuando el proyecto u obra que se pretende ejecutar para los fines regulados en el Artículo 18° del Reglamento de la Ley N° 26856, se encuentra enmarcado en una zona declarada por norma legal como de interés nacional, el administrado debe adjuntar por lo menos una opinión del Sector respecto a la compatibilidad del proyecto de Inversión con la finalidad preestablecida para la zona”</w:t>
      </w:r>
    </w:p>
    <w:p w:rsidR="006312E8" w:rsidRPr="006312E8" w:rsidRDefault="006312E8" w:rsidP="006312E8">
      <w:pPr>
        <w:spacing w:after="0" w:line="240" w:lineRule="auto"/>
        <w:ind w:left="1134"/>
        <w:contextualSpacing/>
        <w:jc w:val="both"/>
        <w:rPr>
          <w:rFonts w:ascii="Arial" w:eastAsia="Times New Roman" w:hAnsi="Arial" w:cs="Arial"/>
          <w:lang w:val="es-ES"/>
        </w:rPr>
      </w:pPr>
    </w:p>
    <w:p w:rsidR="006312E8" w:rsidRPr="00E97BAF" w:rsidRDefault="006312E8" w:rsidP="006312E8">
      <w:pPr>
        <w:spacing w:after="0" w:line="240" w:lineRule="auto"/>
        <w:ind w:left="720" w:firstLine="414"/>
        <w:contextualSpacing/>
        <w:jc w:val="both"/>
        <w:rPr>
          <w:rFonts w:ascii="Arial" w:eastAsia="Times New Roman" w:hAnsi="Arial" w:cs="Arial"/>
          <w:b/>
          <w:color w:val="FF0000"/>
          <w:sz w:val="16"/>
          <w:szCs w:val="16"/>
          <w:lang w:val="es-ES"/>
        </w:rPr>
      </w:pPr>
      <w:r w:rsidRPr="00E97BAF">
        <w:rPr>
          <w:rFonts w:ascii="Arial" w:eastAsia="Times New Roman" w:hAnsi="Arial" w:cs="Arial"/>
          <w:b/>
          <w:color w:val="FF0000"/>
          <w:sz w:val="16"/>
          <w:szCs w:val="16"/>
          <w:lang w:val="es-ES"/>
        </w:rPr>
        <w:t>(*)Texto modificado por el Artículo 1 de la Resolución N° 009-2013/SBN, publicado el 10 de febrero de 2013</w:t>
      </w:r>
    </w:p>
    <w:p w:rsidR="006312E8" w:rsidRPr="006312E8" w:rsidRDefault="006312E8" w:rsidP="006312E8">
      <w:pPr>
        <w:spacing w:after="0" w:line="240" w:lineRule="auto"/>
        <w:ind w:left="1134"/>
        <w:contextualSpacing/>
        <w:jc w:val="both"/>
        <w:rPr>
          <w:rFonts w:ascii="Arial" w:eastAsia="Times New Roman" w:hAnsi="Arial" w:cs="Arial"/>
          <w:lang w:val="es-ES"/>
        </w:rPr>
      </w:pPr>
    </w:p>
    <w:p w:rsidR="006312E8" w:rsidRPr="006312E8" w:rsidRDefault="006312E8" w:rsidP="006312E8">
      <w:pPr>
        <w:widowControl w:val="0"/>
        <w:numPr>
          <w:ilvl w:val="1"/>
          <w:numId w:val="54"/>
        </w:numPr>
        <w:tabs>
          <w:tab w:val="left" w:pos="851"/>
        </w:tabs>
        <w:spacing w:after="0" w:line="240" w:lineRule="auto"/>
        <w:ind w:left="851" w:hanging="425"/>
        <w:contextualSpacing/>
        <w:jc w:val="both"/>
        <w:rPr>
          <w:rFonts w:ascii="Arial" w:eastAsia="Times New Roman" w:hAnsi="Arial" w:cs="Arial"/>
          <w:b/>
          <w:lang w:val="es-ES"/>
        </w:rPr>
      </w:pPr>
      <w:r w:rsidRPr="006312E8">
        <w:rPr>
          <w:rFonts w:ascii="Arial" w:eastAsia="Times New Roman" w:hAnsi="Arial" w:cs="Arial"/>
          <w:b/>
          <w:lang w:val="es-ES"/>
        </w:rPr>
        <w:t>Verificación de documentos y plazo de subsanación</w:t>
      </w:r>
    </w:p>
    <w:p w:rsidR="006312E8" w:rsidRPr="006312E8" w:rsidRDefault="006312E8" w:rsidP="006312E8">
      <w:pPr>
        <w:tabs>
          <w:tab w:val="left" w:pos="8380"/>
        </w:tabs>
        <w:spacing w:after="0" w:line="240" w:lineRule="auto"/>
        <w:ind w:left="851"/>
        <w:jc w:val="both"/>
        <w:rPr>
          <w:rFonts w:ascii="Arial" w:eastAsia="Calibri" w:hAnsi="Arial" w:cs="Arial"/>
          <w:lang w:val="es-ES"/>
        </w:rPr>
      </w:pPr>
      <w:r w:rsidRPr="006312E8">
        <w:rPr>
          <w:rFonts w:ascii="Arial" w:eastAsia="Calibri" w:hAnsi="Arial" w:cs="Arial"/>
          <w:lang w:val="es-ES"/>
        </w:rPr>
        <w:t>Recibida la solicitud, la entidad pública, a través de la unidad operativa encargada    de    sustentar    el   trámite.    procederá    a   verificar la documentación    presentada    y    de    ser    necesario requerirá    al administrado  para que  dentro del término  de  diez  (10) días hábiles, computados  a partir del día siguiente de su notificación, proceda a la aclaración, precisión o reformulación  de su pedido  o presentación de documentos  complementarios  a los  presentados, bajo apercibimiento de tenerse  por no presentada la solicitud.</w:t>
      </w:r>
    </w:p>
    <w:p w:rsidR="006312E8" w:rsidRPr="006312E8" w:rsidRDefault="006312E8" w:rsidP="006312E8">
      <w:pPr>
        <w:spacing w:after="0" w:line="240" w:lineRule="auto"/>
        <w:ind w:left="426"/>
        <w:jc w:val="both"/>
        <w:rPr>
          <w:rFonts w:ascii="Arial" w:eastAsia="Calibri" w:hAnsi="Arial" w:cs="Arial"/>
          <w:lang w:val="es-ES"/>
        </w:rPr>
      </w:pPr>
    </w:p>
    <w:p w:rsidR="006312E8" w:rsidRPr="006312E8" w:rsidRDefault="006312E8" w:rsidP="006312E8">
      <w:pPr>
        <w:widowControl w:val="0"/>
        <w:numPr>
          <w:ilvl w:val="1"/>
          <w:numId w:val="54"/>
        </w:numPr>
        <w:tabs>
          <w:tab w:val="left" w:pos="851"/>
        </w:tabs>
        <w:spacing w:after="0" w:line="240" w:lineRule="auto"/>
        <w:ind w:left="851" w:hanging="508"/>
        <w:contextualSpacing/>
        <w:jc w:val="both"/>
        <w:rPr>
          <w:rFonts w:ascii="Arial" w:eastAsia="Times New Roman" w:hAnsi="Arial" w:cs="Arial"/>
          <w:b/>
          <w:lang w:val="es-ES"/>
        </w:rPr>
      </w:pPr>
      <w:r w:rsidRPr="006312E8">
        <w:rPr>
          <w:rFonts w:ascii="Arial" w:eastAsia="Times New Roman" w:hAnsi="Arial" w:cs="Arial"/>
          <w:b/>
          <w:lang w:val="es-ES"/>
        </w:rPr>
        <w:t>Evaluación de libre disponibilidad del predio y saneamiento previo</w:t>
      </w: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Con la información proporcionada por el administrado, previa inspección técnica, se procederá a verificar que el   terreno solicitado sea efectivamente de libre disponibilidad, debiendo tener en cuenta para tal efecto la condición jurídica del predio (dominio público o dominio privado) y su no inclusión dentro de un régimen legal especial para la administración o disposición del mismo.</w:t>
      </w:r>
    </w:p>
    <w:p w:rsidR="006312E8" w:rsidRPr="006312E8" w:rsidRDefault="006312E8" w:rsidP="006312E8">
      <w:pPr>
        <w:spacing w:after="0" w:line="240" w:lineRule="auto"/>
        <w:ind w:left="851"/>
        <w:jc w:val="both"/>
        <w:rPr>
          <w:rFonts w:ascii="Arial" w:eastAsia="Calibri" w:hAnsi="Arial" w:cs="Arial"/>
          <w:lang w:val="es-ES"/>
        </w:rPr>
      </w:pP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Si el predio no es de libre disponibilidad o si la entidad considera no acceder a la solicitud de constitución de Usufructo, dará por concluido el trámite notificando su decisión al administrado.</w:t>
      </w:r>
    </w:p>
    <w:p w:rsidR="006312E8" w:rsidRPr="006312E8" w:rsidRDefault="006312E8" w:rsidP="006312E8">
      <w:pPr>
        <w:spacing w:after="0" w:line="240" w:lineRule="auto"/>
        <w:ind w:left="851"/>
        <w:jc w:val="both"/>
        <w:rPr>
          <w:rFonts w:ascii="Arial" w:eastAsia="Calibri" w:hAnsi="Arial" w:cs="Arial"/>
          <w:lang w:val="es-ES"/>
        </w:rPr>
      </w:pP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Si el predio es de libre disponibilidad y se encuentra pendiente la inscripción registral del dominio a favor del Estado o de la entidad propietaria, previamente debe efectuarse la referida inscripción.</w:t>
      </w:r>
    </w:p>
    <w:p w:rsidR="006312E8" w:rsidRPr="006312E8" w:rsidRDefault="006312E8" w:rsidP="006312E8">
      <w:pPr>
        <w:spacing w:after="0" w:line="240" w:lineRule="auto"/>
        <w:ind w:left="851"/>
        <w:jc w:val="both"/>
        <w:rPr>
          <w:rFonts w:ascii="Arial" w:eastAsia="Calibri" w:hAnsi="Arial" w:cs="Arial"/>
          <w:lang w:val="es-ES"/>
        </w:rPr>
      </w:pP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Si el predio constituye un bien estatal de dominio público, la solicitud de constitución directa de Usufructo debe ser rechazada de plano, salvo que dicho inmueble hubiera perdido la naturaleza o condición apropiada para su uso público o para ser destinado a la prestación de servicios públicos, en cuyo caso debe derivarse los actuados a la unidad o entidad competente para que evalúe y tramite previamente la desafectación administrativa.</w:t>
      </w:r>
    </w:p>
    <w:p w:rsidR="006312E8" w:rsidRPr="006312E8" w:rsidRDefault="006312E8" w:rsidP="006312E8">
      <w:pPr>
        <w:spacing w:after="0" w:line="240" w:lineRule="auto"/>
        <w:ind w:left="851"/>
        <w:jc w:val="both"/>
        <w:rPr>
          <w:rFonts w:ascii="Arial" w:eastAsia="Calibri" w:hAnsi="Arial" w:cs="Arial"/>
          <w:lang w:val="es-ES"/>
        </w:rPr>
      </w:pP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Cuando el predio se ubica en zona de dominio restringido y de la documentación presentada se   desprende   que   cumple   con   los requisitos para la procedencia de la constitución directa del Usufructo de acuerdo con la Ley N° 26856, su Reglamento aprobado con Decreto Supremo N° 050-2006-EF, Ley N° 29151, su Reglamento y la presente Directiva, se proseguirá con la desafectación administrativa en caso contrario, la solicitud será rechazada de plano.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widowControl w:val="0"/>
        <w:numPr>
          <w:ilvl w:val="1"/>
          <w:numId w:val="54"/>
        </w:numPr>
        <w:tabs>
          <w:tab w:val="left" w:pos="851"/>
        </w:tabs>
        <w:spacing w:after="0" w:line="240" w:lineRule="auto"/>
        <w:ind w:left="851" w:hanging="508"/>
        <w:contextualSpacing/>
        <w:jc w:val="both"/>
        <w:rPr>
          <w:rFonts w:ascii="Arial" w:eastAsia="Times New Roman" w:hAnsi="Arial" w:cs="Arial"/>
          <w:b/>
          <w:lang w:val="es-ES"/>
        </w:rPr>
      </w:pPr>
      <w:r w:rsidRPr="006312E8">
        <w:rPr>
          <w:rFonts w:ascii="Arial" w:eastAsia="Times New Roman" w:hAnsi="Arial" w:cs="Arial"/>
          <w:b/>
          <w:lang w:val="es-ES"/>
        </w:rPr>
        <w:t>Verificación de la Posesión del predio solicitado</w:t>
      </w: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Cuando la solicitud de constitución de Usufructo sea sustentada en la causal de posesión contemplada en el Artículo 89° del Reglamento, la misma debe ser constatada a través de una inspección técnica por parte de la entidad pública propietaria o administradora del bien. Para este supuesto, el predio debe encontrarse en su mayor parte destinado a alguna actividad socio económica, además delimitado en su totalidad, de tal forma que restrinja el acceso de manera efectiva y permanente de terceros distintos a quien ejerce su posesión, y cuente con los documentos que acrediten indubitablemente que el solicitante viene ejerciendo la protección, custodia y conservación del área para sí por un plazo mayor a 2 años.</w:t>
      </w:r>
    </w:p>
    <w:p w:rsidR="006312E8" w:rsidRPr="006312E8" w:rsidRDefault="006312E8" w:rsidP="006312E8">
      <w:pPr>
        <w:tabs>
          <w:tab w:val="left" w:pos="3400"/>
        </w:tabs>
        <w:spacing w:after="0" w:line="240" w:lineRule="auto"/>
        <w:jc w:val="both"/>
        <w:rPr>
          <w:rFonts w:ascii="Arial" w:eastAsia="Calibri" w:hAnsi="Arial" w:cs="Arial"/>
          <w:lang w:val="es-ES"/>
        </w:rPr>
      </w:pPr>
    </w:p>
    <w:p w:rsidR="006312E8" w:rsidRPr="006312E8" w:rsidRDefault="006312E8" w:rsidP="006312E8">
      <w:pPr>
        <w:widowControl w:val="0"/>
        <w:numPr>
          <w:ilvl w:val="1"/>
          <w:numId w:val="54"/>
        </w:numPr>
        <w:spacing w:after="0" w:line="240" w:lineRule="auto"/>
        <w:ind w:left="851" w:hanging="426"/>
        <w:contextualSpacing/>
        <w:jc w:val="both"/>
        <w:rPr>
          <w:rFonts w:ascii="Arial" w:eastAsia="Times New Roman" w:hAnsi="Arial" w:cs="Arial"/>
          <w:b/>
          <w:lang w:val="es-ES"/>
        </w:rPr>
      </w:pPr>
      <w:r w:rsidRPr="006312E8">
        <w:rPr>
          <w:rFonts w:ascii="Arial" w:eastAsia="Times New Roman" w:hAnsi="Arial" w:cs="Arial"/>
          <w:b/>
          <w:lang w:val="es-ES"/>
        </w:rPr>
        <w:t xml:space="preserve">Antigüedad  de la posesión y suma de plazos posesorios </w:t>
      </w:r>
    </w:p>
    <w:p w:rsidR="006312E8" w:rsidRPr="006312E8" w:rsidRDefault="006312E8" w:rsidP="006312E8">
      <w:pPr>
        <w:tabs>
          <w:tab w:val="left" w:pos="3400"/>
        </w:tabs>
        <w:spacing w:after="0" w:line="240" w:lineRule="auto"/>
        <w:ind w:left="851"/>
        <w:jc w:val="both"/>
        <w:rPr>
          <w:rFonts w:ascii="Arial" w:eastAsia="Calibri" w:hAnsi="Arial" w:cs="Arial"/>
          <w:lang w:val="es-ES"/>
        </w:rPr>
      </w:pPr>
      <w:r w:rsidRPr="006312E8">
        <w:rPr>
          <w:rFonts w:ascii="Arial" w:eastAsia="Calibri" w:hAnsi="Arial" w:cs="Arial"/>
          <w:lang w:val="es-ES"/>
        </w:rPr>
        <w:t>La antigüedad de la posesión debe desprenderse de la misma ocupación y de los documentos que ofrezca el administrado en calidad de medios de prueba.</w:t>
      </w:r>
    </w:p>
    <w:p w:rsidR="006312E8" w:rsidRPr="006312E8" w:rsidRDefault="006312E8" w:rsidP="006312E8">
      <w:pPr>
        <w:spacing w:after="0" w:line="240" w:lineRule="auto"/>
        <w:ind w:left="851"/>
        <w:jc w:val="both"/>
        <w:rPr>
          <w:rFonts w:ascii="Arial" w:eastAsia="Calibri" w:hAnsi="Arial" w:cs="Arial"/>
          <w:lang w:val="es-ES"/>
        </w:rPr>
      </w:pP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El poseedor actual puede adicionar al suyo, el plazo posesorio de quien le transfirió el bien, así como de los anteriores poseedores, siempre que se acredite la cadena de transmisión de la posesión.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widowControl w:val="0"/>
        <w:numPr>
          <w:ilvl w:val="1"/>
          <w:numId w:val="54"/>
        </w:numPr>
        <w:tabs>
          <w:tab w:val="left" w:pos="851"/>
        </w:tabs>
        <w:spacing w:after="0" w:line="240" w:lineRule="auto"/>
        <w:ind w:left="851" w:hanging="426"/>
        <w:contextualSpacing/>
        <w:jc w:val="both"/>
        <w:rPr>
          <w:rFonts w:ascii="Arial" w:eastAsia="Times New Roman" w:hAnsi="Arial" w:cs="Arial"/>
          <w:b/>
          <w:lang w:val="es-ES"/>
        </w:rPr>
      </w:pPr>
      <w:r w:rsidRPr="006312E8">
        <w:rPr>
          <w:rFonts w:ascii="Arial" w:eastAsia="Times New Roman" w:hAnsi="Arial" w:cs="Arial"/>
          <w:b/>
          <w:lang w:val="es-ES"/>
        </w:rPr>
        <w:t>Alcances de la valorización del predio</w:t>
      </w: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La valorización para establecer la contraprestación por el usufructo del predio debe efectuarse teniendo en cuenta tanto el terreno como la edificación existente en el predio, salvo que éste no hubiese estado inscrito en los Registros Públicos al momento de la solicitud de constitución del Usufructo o encontrándose Inscrito, se demuestre que la edificación ha sido efectuada por el solicitante, además en ambas excepciones no debe  existir sentencia,  laudo  arbitral o Resolución administrativa firme en contra del solicitante o sus predecesores respecto a la recuperación del predio en  su integridad a favor del Estado.</w:t>
      </w:r>
    </w:p>
    <w:p w:rsidR="006312E8" w:rsidRPr="006312E8" w:rsidRDefault="006312E8" w:rsidP="006312E8">
      <w:pPr>
        <w:spacing w:after="0" w:line="240" w:lineRule="auto"/>
        <w:ind w:left="851"/>
        <w:jc w:val="both"/>
        <w:rPr>
          <w:rFonts w:ascii="Arial" w:eastAsia="Calibri" w:hAnsi="Arial" w:cs="Arial"/>
          <w:lang w:val="es-ES"/>
        </w:rPr>
      </w:pP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La titularidad de las construcciones puede ser acreditada con contrato de obra, declaración jurada o cualquier documento público o privado que conlleve a concluir que la edificación ha sido efectuada por el solicitante o sus predecesores, pero no por el Estado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widowControl w:val="0"/>
        <w:numPr>
          <w:ilvl w:val="1"/>
          <w:numId w:val="54"/>
        </w:numPr>
        <w:tabs>
          <w:tab w:val="left" w:pos="851"/>
        </w:tabs>
        <w:spacing w:after="0" w:line="240" w:lineRule="auto"/>
        <w:ind w:left="851" w:hanging="426"/>
        <w:contextualSpacing/>
        <w:jc w:val="both"/>
        <w:rPr>
          <w:rFonts w:ascii="Arial" w:eastAsia="Times New Roman" w:hAnsi="Arial" w:cs="Arial"/>
          <w:b/>
          <w:lang w:val="es-ES"/>
        </w:rPr>
      </w:pPr>
      <w:r w:rsidRPr="006312E8">
        <w:rPr>
          <w:rFonts w:ascii="Arial" w:eastAsia="Times New Roman" w:hAnsi="Arial" w:cs="Arial"/>
          <w:b/>
          <w:lang w:val="es-ES"/>
        </w:rPr>
        <w:t>Determinación del valor  de la contraprestación por  el usufructo del predio</w:t>
      </w: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La entidad pública propietaria o administradora del bien solicitará a un organismo especializado en la materia, y en caso de no existir en la zona a un perito tasador, la valorización de la contraprestación por el usufructo del predio.</w:t>
      </w:r>
    </w:p>
    <w:p w:rsidR="006312E8" w:rsidRPr="006312E8" w:rsidRDefault="006312E8" w:rsidP="006312E8">
      <w:pPr>
        <w:spacing w:after="0" w:line="240" w:lineRule="auto"/>
        <w:ind w:left="851"/>
        <w:jc w:val="both"/>
        <w:rPr>
          <w:rFonts w:ascii="Arial" w:eastAsia="Calibri" w:hAnsi="Arial" w:cs="Arial"/>
          <w:lang w:val="es-ES"/>
        </w:rPr>
      </w:pP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La contratación de los servicios de tasación comercial se efectuará conforme a las Directivas o lineamientos internos con que cuenta cada entidad, respetando los principios básicos de las contrataciones del Estado.</w:t>
      </w:r>
    </w:p>
    <w:p w:rsidR="006312E8" w:rsidRPr="006312E8" w:rsidRDefault="006312E8" w:rsidP="006312E8">
      <w:pPr>
        <w:spacing w:after="0" w:line="240" w:lineRule="auto"/>
        <w:ind w:left="851"/>
        <w:jc w:val="both"/>
        <w:rPr>
          <w:rFonts w:ascii="Arial" w:eastAsia="Calibri" w:hAnsi="Arial" w:cs="Arial"/>
          <w:lang w:val="es-ES"/>
        </w:rPr>
      </w:pPr>
    </w:p>
    <w:p w:rsidR="006312E8" w:rsidRPr="006312E8" w:rsidRDefault="006312E8" w:rsidP="006312E8">
      <w:pPr>
        <w:spacing w:after="0" w:line="240" w:lineRule="auto"/>
        <w:ind w:left="851"/>
        <w:jc w:val="both"/>
        <w:rPr>
          <w:rFonts w:ascii="Arial" w:eastAsia="Calibri" w:hAnsi="Arial" w:cs="Arial"/>
          <w:b/>
          <w:lang w:val="es-ES"/>
        </w:rPr>
      </w:pPr>
      <w:r w:rsidRPr="006312E8">
        <w:rPr>
          <w:rFonts w:ascii="Arial" w:eastAsia="Calibri" w:hAnsi="Arial" w:cs="Arial"/>
          <w:lang w:val="es-ES"/>
        </w:rPr>
        <w:t xml:space="preserve">El servicio de tasación debe ser pagado por el administrado a través de la entidad encargada del trámite de usufructo dentro de 10 días calendario de comunicado el monto. </w:t>
      </w:r>
    </w:p>
    <w:p w:rsidR="006312E8" w:rsidRPr="006312E8" w:rsidRDefault="006312E8" w:rsidP="006312E8">
      <w:pPr>
        <w:spacing w:after="0" w:line="240" w:lineRule="auto"/>
        <w:ind w:left="851"/>
        <w:jc w:val="both"/>
        <w:rPr>
          <w:rFonts w:ascii="Arial" w:eastAsia="Calibri" w:hAnsi="Arial" w:cs="Arial"/>
          <w:lang w:val="es-ES"/>
        </w:rPr>
      </w:pP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El tasador debe presentar a la entidad un informe   de valuación comercial y estudio de mercado, con la debida fundamentación de su utilización en la valorización efectuada.</w:t>
      </w:r>
    </w:p>
    <w:p w:rsidR="006312E8" w:rsidRPr="006312E8" w:rsidRDefault="006312E8" w:rsidP="006312E8">
      <w:pPr>
        <w:spacing w:after="0" w:line="240" w:lineRule="auto"/>
        <w:ind w:left="851"/>
        <w:jc w:val="both"/>
        <w:rPr>
          <w:rFonts w:ascii="Arial" w:eastAsia="Calibri" w:hAnsi="Arial" w:cs="Arial"/>
          <w:lang w:val="es-ES"/>
        </w:rPr>
      </w:pP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Recibida  la valorización, la unidad orgánica que sustenta el trámite en un plazo  de  diez  (10)  días  hábiles  evaluará  y  le  dará  conformidad  al procedimiento y al estudio de mercado de la tasación, luego de lo cual procederá   a   notificar   al   administrado   el   valor   en   soles   de   la contraprestación por la constitución del usufructo a efectos que en un plazo de tres (03) días hábiles manifieste su aceptación.</w:t>
      </w:r>
    </w:p>
    <w:p w:rsidR="006312E8" w:rsidRPr="006312E8" w:rsidRDefault="006312E8" w:rsidP="006312E8">
      <w:pPr>
        <w:spacing w:after="0" w:line="240" w:lineRule="auto"/>
        <w:ind w:left="851"/>
        <w:jc w:val="both"/>
        <w:rPr>
          <w:rFonts w:ascii="Arial" w:eastAsia="Calibri" w:hAnsi="Arial" w:cs="Arial"/>
          <w:lang w:val="es-ES"/>
        </w:rPr>
      </w:pP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Con la aceptación del valor de la contraprestación por el administrado se elaborará   el Informe Técnico Legal sustentatorio y el proyecto de Resolución aprobando el otorgamiento del Usufructo, así como el proyecto de contrato correspondiente.</w:t>
      </w:r>
    </w:p>
    <w:p w:rsidR="006312E8" w:rsidRPr="006312E8" w:rsidRDefault="006312E8" w:rsidP="006312E8">
      <w:pPr>
        <w:spacing w:after="0" w:line="240" w:lineRule="auto"/>
        <w:ind w:left="851"/>
        <w:jc w:val="both"/>
        <w:rPr>
          <w:rFonts w:ascii="Arial" w:eastAsia="Calibri" w:hAnsi="Arial" w:cs="Arial"/>
          <w:lang w:val="es-ES"/>
        </w:rPr>
      </w:pP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De producirse disconformidad, debidamente fundamentada, por parte del administrado con relación al valor de la contraprestación, ésta se pondrá en conocimiento del responsable de la valorización, a efectos que se ratifique o la modifique</w:t>
      </w:r>
    </w:p>
    <w:p w:rsidR="006312E8" w:rsidRPr="006312E8" w:rsidRDefault="006312E8" w:rsidP="006312E8">
      <w:pPr>
        <w:spacing w:after="0" w:line="240" w:lineRule="auto"/>
        <w:ind w:left="851"/>
        <w:jc w:val="both"/>
        <w:rPr>
          <w:rFonts w:ascii="Arial" w:eastAsia="Calibri" w:hAnsi="Arial" w:cs="Arial"/>
          <w:lang w:val="es-ES"/>
        </w:rPr>
      </w:pP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Producida la aceptación del valor de la contraprestación por parte del administrado, se continuará con el procedimiento, caso contrario se declarará concluido el trámite.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widowControl w:val="0"/>
        <w:numPr>
          <w:ilvl w:val="1"/>
          <w:numId w:val="54"/>
        </w:numPr>
        <w:tabs>
          <w:tab w:val="left" w:pos="142"/>
        </w:tabs>
        <w:spacing w:after="0" w:line="240" w:lineRule="auto"/>
        <w:ind w:left="851" w:hanging="426"/>
        <w:contextualSpacing/>
        <w:jc w:val="both"/>
        <w:rPr>
          <w:rFonts w:ascii="Arial" w:eastAsia="Times New Roman" w:hAnsi="Arial" w:cs="Arial"/>
          <w:lang w:val="es-ES"/>
        </w:rPr>
      </w:pPr>
      <w:r w:rsidRPr="006312E8">
        <w:rPr>
          <w:rFonts w:ascii="Arial" w:eastAsia="Times New Roman" w:hAnsi="Arial" w:cs="Arial"/>
          <w:b/>
          <w:lang w:val="es-ES"/>
        </w:rPr>
        <w:t>Vigencia de la valorización de la contraprestación y su actualización</w:t>
      </w:r>
      <w:r w:rsidRPr="006312E8">
        <w:rPr>
          <w:rFonts w:ascii="Arial" w:eastAsia="Times New Roman" w:hAnsi="Arial" w:cs="Arial"/>
          <w:lang w:val="es-ES"/>
        </w:rPr>
        <w:t>.</w:t>
      </w:r>
    </w:p>
    <w:p w:rsidR="006312E8" w:rsidRPr="006312E8" w:rsidRDefault="006312E8" w:rsidP="006312E8">
      <w:pPr>
        <w:widowControl w:val="0"/>
        <w:tabs>
          <w:tab w:val="left" w:pos="142"/>
        </w:tabs>
        <w:spacing w:after="0" w:line="240" w:lineRule="auto"/>
        <w:ind w:left="426"/>
        <w:contextualSpacing/>
        <w:jc w:val="both"/>
        <w:rPr>
          <w:rFonts w:ascii="Arial" w:eastAsia="Times New Roman" w:hAnsi="Arial" w:cs="Arial"/>
          <w:lang w:val="es-ES"/>
        </w:rPr>
      </w:pP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Si transcurre el plazo máximo de ocho (8) meses de vigencia de la valorización antes de la aprobación de la constitución del usufructo, se deberá actualizar la misma, la que tendrá igual plazo de vigencia.</w:t>
      </w:r>
    </w:p>
    <w:p w:rsidR="006312E8" w:rsidRPr="006312E8" w:rsidRDefault="006312E8" w:rsidP="006312E8">
      <w:pPr>
        <w:spacing w:after="0" w:line="240" w:lineRule="auto"/>
        <w:ind w:left="851"/>
        <w:jc w:val="both"/>
        <w:rPr>
          <w:rFonts w:ascii="Arial" w:eastAsia="Calibri" w:hAnsi="Arial" w:cs="Arial"/>
          <w:lang w:val="es-ES"/>
        </w:rPr>
      </w:pPr>
    </w:p>
    <w:p w:rsidR="006312E8" w:rsidRPr="006312E8" w:rsidRDefault="006312E8" w:rsidP="006312E8">
      <w:pPr>
        <w:spacing w:after="0" w:line="240" w:lineRule="auto"/>
        <w:ind w:left="851"/>
        <w:contextualSpacing/>
        <w:jc w:val="both"/>
        <w:rPr>
          <w:rFonts w:ascii="Arial" w:eastAsia="Times New Roman" w:hAnsi="Arial" w:cs="Arial"/>
          <w:b/>
          <w:color w:val="FF0000"/>
          <w:sz w:val="16"/>
          <w:szCs w:val="16"/>
          <w:lang w:val="es-ES"/>
        </w:rPr>
      </w:pPr>
      <w:r w:rsidRPr="006312E8">
        <w:rPr>
          <w:rFonts w:ascii="Arial" w:eastAsia="Times New Roman" w:hAnsi="Arial" w:cs="Arial"/>
          <w:b/>
          <w:i/>
          <w:color w:val="FF0000"/>
          <w:sz w:val="16"/>
          <w:szCs w:val="16"/>
          <w:lang w:val="es-ES"/>
        </w:rPr>
        <w:t>(*)</w:t>
      </w:r>
      <w:r w:rsidRPr="006312E8">
        <w:rPr>
          <w:rFonts w:ascii="Arial" w:eastAsia="Times New Roman" w:hAnsi="Arial" w:cs="Arial"/>
          <w:b/>
          <w:color w:val="FF0000"/>
          <w:sz w:val="16"/>
          <w:szCs w:val="16"/>
          <w:lang w:val="es-ES"/>
        </w:rPr>
        <w:t>Texto modificado por el Artículo 1 de la Resolución N° 009-2013/SBN, publicado el 10 de febrero de 2013</w:t>
      </w:r>
    </w:p>
    <w:p w:rsidR="006312E8" w:rsidRPr="006312E8" w:rsidRDefault="006312E8" w:rsidP="006312E8">
      <w:pPr>
        <w:spacing w:after="0" w:line="240" w:lineRule="auto"/>
        <w:ind w:left="851"/>
        <w:jc w:val="both"/>
        <w:rPr>
          <w:rFonts w:ascii="Arial" w:eastAsia="Calibri" w:hAnsi="Arial" w:cs="Arial"/>
          <w:lang w:val="es-ES"/>
        </w:rPr>
      </w:pP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A criterio de la entidad propietaria o administradora del predio puede disponerse la actualización de una tasación antes del vencimiento del plazo indicado.</w:t>
      </w:r>
    </w:p>
    <w:p w:rsidR="006312E8" w:rsidRPr="006312E8" w:rsidRDefault="006312E8" w:rsidP="006312E8">
      <w:pPr>
        <w:spacing w:after="0" w:line="240" w:lineRule="auto"/>
        <w:ind w:left="851"/>
        <w:jc w:val="both"/>
        <w:rPr>
          <w:rFonts w:ascii="Arial" w:eastAsia="Calibri" w:hAnsi="Arial" w:cs="Arial"/>
          <w:lang w:val="es-ES"/>
        </w:rPr>
      </w:pP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El costo  de la actualización  de la  tasación debe  ser asumido  por  la entidad  que sustenta el trámite, salvo que el retardo en el impulso del procedimiento  se haya debido  al incumplimiento o demora  de ciertos requerimientos que se haya efectuado al administrado.</w:t>
      </w:r>
    </w:p>
    <w:p w:rsidR="006312E8" w:rsidRPr="006312E8" w:rsidRDefault="006312E8" w:rsidP="006312E8">
      <w:pPr>
        <w:spacing w:after="0" w:line="240" w:lineRule="auto"/>
        <w:ind w:left="851"/>
        <w:jc w:val="both"/>
        <w:rPr>
          <w:rFonts w:ascii="Arial" w:eastAsia="Calibri" w:hAnsi="Arial" w:cs="Arial"/>
          <w:lang w:val="es-ES"/>
        </w:rPr>
      </w:pP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 xml:space="preserve">Si de la actualización de la valorización se determina una variación en el valor de la contraprestación por el usufructo del Inmueble, se comunicará al administrado para su aceptación, en caso contrario se procederá al archivo definitivo de la solicitud formulada.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widowControl w:val="0"/>
        <w:numPr>
          <w:ilvl w:val="1"/>
          <w:numId w:val="54"/>
        </w:numPr>
        <w:tabs>
          <w:tab w:val="left" w:pos="284"/>
        </w:tabs>
        <w:spacing w:after="0" w:line="240" w:lineRule="auto"/>
        <w:ind w:left="851" w:hanging="426"/>
        <w:contextualSpacing/>
        <w:jc w:val="both"/>
        <w:rPr>
          <w:rFonts w:ascii="Arial" w:eastAsia="Times New Roman" w:hAnsi="Arial" w:cs="Arial"/>
          <w:b/>
          <w:lang w:val="es-ES"/>
        </w:rPr>
      </w:pPr>
      <w:r w:rsidRPr="006312E8">
        <w:rPr>
          <w:rFonts w:ascii="Arial" w:eastAsia="Times New Roman" w:hAnsi="Arial" w:cs="Arial"/>
          <w:b/>
          <w:lang w:val="es-ES"/>
        </w:rPr>
        <w:t>De las acciones para la recuperación del predio</w:t>
      </w: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 xml:space="preserve">En caso la entidad propietaria o administradora del bien rechazara la solicitud de constitución directa de Usufructo o el solicitante de ésta, no encuentre  conforme con el valor de la contraprestación, con su ratificación o con su  modificación, la  unidad orgánica  a cargo del trámite  procederá  al  archivo  definitivo  de  la  solicitud  formulada   poniendo en conocimiento del órgano superior jerárquico a fin de que comunique a la Procuraduría Pública para las acciones judiciales conducentes a la recuperación del predio, cuando la causal que sustentó la solicitud de Usufructo es la de posesión. </w:t>
      </w:r>
    </w:p>
    <w:p w:rsidR="006312E8" w:rsidRPr="006312E8" w:rsidRDefault="006312E8" w:rsidP="006312E8">
      <w:pPr>
        <w:spacing w:after="0" w:line="240" w:lineRule="auto"/>
        <w:ind w:left="720"/>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Procedimiento para la constitución del Usufructo por convocatoria pública</w:t>
      </w:r>
    </w:p>
    <w:p w:rsidR="006312E8" w:rsidRPr="006312E8" w:rsidRDefault="006312E8" w:rsidP="006312E8">
      <w:pPr>
        <w:spacing w:after="0" w:line="240" w:lineRule="auto"/>
        <w:ind w:left="720"/>
        <w:jc w:val="both"/>
        <w:rPr>
          <w:rFonts w:ascii="Arial" w:eastAsia="Calibri" w:hAnsi="Arial" w:cs="Arial"/>
          <w:lang w:val="es-ES"/>
        </w:rPr>
      </w:pPr>
    </w:p>
    <w:p w:rsidR="006312E8" w:rsidRPr="006312E8" w:rsidRDefault="006312E8" w:rsidP="006312E8">
      <w:pPr>
        <w:widowControl w:val="0"/>
        <w:numPr>
          <w:ilvl w:val="1"/>
          <w:numId w:val="54"/>
        </w:numPr>
        <w:tabs>
          <w:tab w:val="left" w:pos="284"/>
        </w:tabs>
        <w:spacing w:after="0" w:line="240" w:lineRule="auto"/>
        <w:ind w:left="851" w:hanging="567"/>
        <w:contextualSpacing/>
        <w:jc w:val="both"/>
        <w:rPr>
          <w:rFonts w:ascii="Arial" w:eastAsia="Times New Roman" w:hAnsi="Arial" w:cs="Arial"/>
          <w:b/>
          <w:lang w:val="es-ES"/>
        </w:rPr>
      </w:pPr>
      <w:r w:rsidRPr="006312E8">
        <w:rPr>
          <w:rFonts w:ascii="Arial" w:eastAsia="Times New Roman" w:hAnsi="Arial" w:cs="Arial"/>
          <w:b/>
          <w:lang w:val="es-ES"/>
        </w:rPr>
        <w:t>De la decisión de convocatoria pública de constitución de Usufructo de un predio.</w:t>
      </w: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La entidad pública, a través de la unidad orgánica encargada del trámite, propondrá al órgano superior para su conformidad, los predios aptos para disponer su tasación para la constitución del usufructo por convocatoria pública.</w:t>
      </w:r>
    </w:p>
    <w:p w:rsidR="006312E8" w:rsidRPr="006312E8" w:rsidRDefault="006312E8" w:rsidP="006312E8">
      <w:pPr>
        <w:spacing w:after="0" w:line="240" w:lineRule="auto"/>
        <w:ind w:left="851" w:hanging="567"/>
        <w:jc w:val="both"/>
        <w:rPr>
          <w:rFonts w:ascii="Arial" w:eastAsia="Calibri" w:hAnsi="Arial" w:cs="Arial"/>
          <w:lang w:val="es-ES"/>
        </w:rPr>
      </w:pP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Los predios deberán encontrarse saneados, con la titularidad inscrita y en condición de disponibles.</w:t>
      </w:r>
      <w:r w:rsidRPr="006312E8">
        <w:rPr>
          <w:rFonts w:ascii="Arial" w:eastAsia="Calibri" w:hAnsi="Arial" w:cs="Arial"/>
          <w:lang w:val="es-ES"/>
        </w:rPr>
        <w:tab/>
      </w:r>
    </w:p>
    <w:p w:rsidR="006312E8" w:rsidRPr="006312E8" w:rsidRDefault="006312E8" w:rsidP="006312E8">
      <w:pPr>
        <w:spacing w:after="0" w:line="240" w:lineRule="auto"/>
        <w:ind w:left="851" w:hanging="567"/>
        <w:jc w:val="both"/>
        <w:rPr>
          <w:rFonts w:ascii="Arial" w:eastAsia="Calibri" w:hAnsi="Arial" w:cs="Arial"/>
          <w:lang w:val="es-ES"/>
        </w:rPr>
      </w:pPr>
    </w:p>
    <w:p w:rsidR="006312E8" w:rsidRPr="006312E8" w:rsidRDefault="006312E8" w:rsidP="006312E8">
      <w:pPr>
        <w:widowControl w:val="0"/>
        <w:numPr>
          <w:ilvl w:val="1"/>
          <w:numId w:val="54"/>
        </w:numPr>
        <w:tabs>
          <w:tab w:val="left" w:pos="142"/>
        </w:tabs>
        <w:spacing w:after="0" w:line="240" w:lineRule="auto"/>
        <w:ind w:left="851" w:hanging="567"/>
        <w:contextualSpacing/>
        <w:jc w:val="both"/>
        <w:rPr>
          <w:rFonts w:ascii="Arial" w:eastAsia="Times New Roman" w:hAnsi="Arial" w:cs="Arial"/>
          <w:b/>
          <w:lang w:val="es-ES"/>
        </w:rPr>
      </w:pPr>
      <w:r w:rsidRPr="006312E8">
        <w:rPr>
          <w:rFonts w:ascii="Arial" w:eastAsia="Times New Roman" w:hAnsi="Arial" w:cs="Arial"/>
          <w:b/>
          <w:lang w:val="es-ES"/>
        </w:rPr>
        <w:t>De la valorización de la contraprestación por el usufructo</w:t>
      </w: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Con la conformidad del órgano superior, la unidad orgánica encargada del trámite, procederá a solicitar la valorización de la contraprestación por  el usufructo del predio,  siguiendo  para  tal efecto los criterios establecidos en los numerales 3.6  (Alcances de la valorización del predio), 3.7 (Determinación del valor de la contraprestación por el usufructo  del  predio)  y  3.8  (Vigencia de  la  valorización de  la contraprestación y su actualización) de la presente Directiva, en lo que fuera pertinente</w:t>
      </w:r>
    </w:p>
    <w:p w:rsidR="006312E8" w:rsidRPr="006312E8" w:rsidRDefault="006312E8" w:rsidP="006312E8">
      <w:pPr>
        <w:spacing w:after="0" w:line="240" w:lineRule="auto"/>
        <w:ind w:left="851" w:hanging="567"/>
        <w:jc w:val="both"/>
        <w:rPr>
          <w:rFonts w:ascii="Arial" w:eastAsia="Calibri" w:hAnsi="Arial" w:cs="Arial"/>
          <w:lang w:val="es-ES"/>
        </w:rPr>
      </w:pPr>
    </w:p>
    <w:p w:rsidR="006312E8" w:rsidRPr="006312E8" w:rsidRDefault="006312E8" w:rsidP="006312E8">
      <w:pPr>
        <w:widowControl w:val="0"/>
        <w:numPr>
          <w:ilvl w:val="1"/>
          <w:numId w:val="54"/>
        </w:numPr>
        <w:tabs>
          <w:tab w:val="left" w:pos="142"/>
        </w:tabs>
        <w:spacing w:after="0" w:line="240" w:lineRule="auto"/>
        <w:ind w:left="851" w:hanging="567"/>
        <w:contextualSpacing/>
        <w:jc w:val="both"/>
        <w:rPr>
          <w:rFonts w:ascii="Arial" w:eastAsia="Times New Roman" w:hAnsi="Arial" w:cs="Arial"/>
          <w:lang w:val="es-ES"/>
        </w:rPr>
      </w:pPr>
      <w:r w:rsidRPr="006312E8">
        <w:rPr>
          <w:rFonts w:ascii="Arial" w:eastAsia="Times New Roman" w:hAnsi="Arial" w:cs="Arial"/>
          <w:lang w:val="es-ES"/>
        </w:rPr>
        <w:t>Recibida la valorización, la unidad orgánica que sustenta el trámite debe evaluarla y   darle conformidad al procedimiento, en caso contrario solicitara al responsable de la valorización se ratifique o la modifique.</w:t>
      </w:r>
    </w:p>
    <w:p w:rsidR="006312E8" w:rsidRPr="006312E8" w:rsidRDefault="006312E8" w:rsidP="006312E8">
      <w:pPr>
        <w:spacing w:after="0" w:line="240" w:lineRule="auto"/>
        <w:ind w:left="851" w:hanging="567"/>
        <w:jc w:val="both"/>
        <w:rPr>
          <w:rFonts w:ascii="Arial" w:eastAsia="Calibri" w:hAnsi="Arial" w:cs="Arial"/>
          <w:lang w:val="es-ES"/>
        </w:rPr>
      </w:pPr>
    </w:p>
    <w:p w:rsidR="006312E8" w:rsidRPr="006312E8" w:rsidRDefault="006312E8" w:rsidP="006312E8">
      <w:pPr>
        <w:widowControl w:val="0"/>
        <w:numPr>
          <w:ilvl w:val="1"/>
          <w:numId w:val="54"/>
        </w:numPr>
        <w:tabs>
          <w:tab w:val="left" w:pos="284"/>
        </w:tabs>
        <w:spacing w:after="0" w:line="240" w:lineRule="auto"/>
        <w:ind w:left="851" w:hanging="567"/>
        <w:contextualSpacing/>
        <w:jc w:val="both"/>
        <w:rPr>
          <w:rFonts w:ascii="Arial" w:eastAsia="Times New Roman" w:hAnsi="Arial" w:cs="Arial"/>
          <w:b/>
          <w:lang w:val="es-ES"/>
        </w:rPr>
      </w:pPr>
      <w:r w:rsidRPr="006312E8">
        <w:rPr>
          <w:rFonts w:ascii="Arial" w:eastAsia="Times New Roman" w:hAnsi="Arial" w:cs="Arial"/>
          <w:b/>
          <w:lang w:val="es-ES"/>
        </w:rPr>
        <w:t>Publicación de la convocatoria pública</w:t>
      </w: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u w:color="000000"/>
          <w:lang w:val="es-ES"/>
        </w:rPr>
        <w:t>Aprobada la valorización</w:t>
      </w:r>
      <w:r w:rsidRPr="006312E8">
        <w:rPr>
          <w:rFonts w:ascii="Arial" w:eastAsia="Calibri" w:hAnsi="Arial" w:cs="Arial"/>
          <w:lang w:val="es-ES"/>
        </w:rPr>
        <w:t xml:space="preserve">,  la  unidad  orgánica  a  cargo  </w:t>
      </w:r>
      <w:r w:rsidRPr="006312E8">
        <w:rPr>
          <w:rFonts w:ascii="Arial" w:eastAsia="Calibri" w:hAnsi="Arial" w:cs="Arial"/>
          <w:u w:color="000000"/>
          <w:lang w:val="es-ES"/>
        </w:rPr>
        <w:t>de</w:t>
      </w:r>
      <w:r w:rsidRPr="006312E8">
        <w:rPr>
          <w:rFonts w:ascii="Arial" w:eastAsia="Calibri" w:hAnsi="Arial" w:cs="Arial"/>
          <w:lang w:val="es-ES"/>
        </w:rPr>
        <w:t>l trámite procederá a publicar una vez en el diario oficial El Peruano y en otro de mayor circulación de la Región donde se ubica el inmueble, así como en el portal Institucional de la SBN y de la entidad, si lo tuviera, desde  la   misma  fecha  en  que  se   efectúe  la   publicación,  la convocatoria pública para la constitución del derecho de usufructo.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widowControl w:val="0"/>
        <w:numPr>
          <w:ilvl w:val="1"/>
          <w:numId w:val="54"/>
        </w:numPr>
        <w:tabs>
          <w:tab w:val="left" w:pos="284"/>
        </w:tabs>
        <w:spacing w:after="0" w:line="240" w:lineRule="auto"/>
        <w:ind w:left="851" w:hanging="567"/>
        <w:contextualSpacing/>
        <w:jc w:val="both"/>
        <w:rPr>
          <w:rFonts w:ascii="Arial" w:eastAsia="Times New Roman" w:hAnsi="Arial" w:cs="Arial"/>
          <w:b/>
          <w:lang w:val="es-ES"/>
        </w:rPr>
      </w:pPr>
      <w:r w:rsidRPr="006312E8">
        <w:rPr>
          <w:rFonts w:ascii="Arial" w:eastAsia="Times New Roman" w:hAnsi="Arial" w:cs="Arial"/>
          <w:b/>
          <w:lang w:val="es-ES"/>
        </w:rPr>
        <w:t>Contenido de la Convocatoria Pública</w:t>
      </w: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La convocatoria pública debe contener la siguiente información: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widowControl w:val="0"/>
        <w:numPr>
          <w:ilvl w:val="0"/>
          <w:numId w:val="56"/>
        </w:numPr>
        <w:spacing w:after="0" w:line="240" w:lineRule="auto"/>
        <w:ind w:left="1276"/>
        <w:contextualSpacing/>
        <w:jc w:val="both"/>
        <w:rPr>
          <w:rFonts w:ascii="Arial" w:eastAsia="Times New Roman" w:hAnsi="Arial" w:cs="Arial"/>
          <w:lang w:val="es-ES"/>
        </w:rPr>
      </w:pPr>
      <w:r w:rsidRPr="006312E8">
        <w:rPr>
          <w:rFonts w:ascii="Arial" w:eastAsia="Times New Roman" w:hAnsi="Arial" w:cs="Arial"/>
          <w:lang w:val="es-ES"/>
        </w:rPr>
        <w:t>Ubicación, área, zonificación, usos permisibles del predio que se ofrece en usufructo.</w:t>
      </w:r>
    </w:p>
    <w:p w:rsidR="006312E8" w:rsidRPr="006312E8" w:rsidRDefault="006312E8" w:rsidP="006312E8">
      <w:pPr>
        <w:widowControl w:val="0"/>
        <w:numPr>
          <w:ilvl w:val="0"/>
          <w:numId w:val="56"/>
        </w:numPr>
        <w:spacing w:after="0" w:line="240" w:lineRule="auto"/>
        <w:ind w:left="1276"/>
        <w:contextualSpacing/>
        <w:jc w:val="both"/>
        <w:rPr>
          <w:rFonts w:ascii="Arial" w:eastAsia="Times New Roman" w:hAnsi="Arial" w:cs="Arial"/>
          <w:lang w:val="es-ES"/>
        </w:rPr>
      </w:pPr>
      <w:r w:rsidRPr="006312E8">
        <w:rPr>
          <w:rFonts w:ascii="Arial" w:eastAsia="Times New Roman" w:hAnsi="Arial" w:cs="Arial"/>
          <w:lang w:val="es-ES"/>
        </w:rPr>
        <w:t xml:space="preserve">Valorización comercial en soles de la contraprestación. </w:t>
      </w:r>
    </w:p>
    <w:p w:rsidR="006312E8" w:rsidRPr="006312E8" w:rsidRDefault="006312E8" w:rsidP="006312E8">
      <w:pPr>
        <w:widowControl w:val="0"/>
        <w:numPr>
          <w:ilvl w:val="0"/>
          <w:numId w:val="56"/>
        </w:numPr>
        <w:spacing w:after="0" w:line="240" w:lineRule="auto"/>
        <w:ind w:left="1276"/>
        <w:contextualSpacing/>
        <w:jc w:val="both"/>
        <w:rPr>
          <w:rFonts w:ascii="Arial" w:eastAsia="Times New Roman" w:hAnsi="Arial" w:cs="Arial"/>
          <w:lang w:val="es-ES"/>
        </w:rPr>
      </w:pPr>
      <w:r w:rsidRPr="006312E8">
        <w:rPr>
          <w:rFonts w:ascii="Arial" w:eastAsia="Times New Roman" w:hAnsi="Arial" w:cs="Arial"/>
          <w:lang w:val="es-ES"/>
        </w:rPr>
        <w:t>Plazo y lugar para la presentación de propuestas.</w:t>
      </w:r>
    </w:p>
    <w:p w:rsidR="006312E8" w:rsidRPr="006312E8" w:rsidRDefault="006312E8" w:rsidP="006312E8">
      <w:pPr>
        <w:widowControl w:val="0"/>
        <w:numPr>
          <w:ilvl w:val="0"/>
          <w:numId w:val="56"/>
        </w:numPr>
        <w:spacing w:after="0" w:line="240" w:lineRule="auto"/>
        <w:ind w:left="1276"/>
        <w:contextualSpacing/>
        <w:jc w:val="both"/>
        <w:rPr>
          <w:rFonts w:ascii="Arial" w:eastAsia="Times New Roman" w:hAnsi="Arial" w:cs="Arial"/>
          <w:lang w:val="es-ES"/>
        </w:rPr>
      </w:pPr>
      <w:r w:rsidRPr="006312E8">
        <w:rPr>
          <w:rFonts w:ascii="Arial" w:eastAsia="Times New Roman" w:hAnsi="Arial" w:cs="Arial"/>
          <w:lang w:val="es-ES"/>
        </w:rPr>
        <w:t>Formalidad para la presentación de propuestas (sobre cerrado).</w:t>
      </w:r>
    </w:p>
    <w:p w:rsidR="006312E8" w:rsidRPr="006312E8" w:rsidRDefault="006312E8" w:rsidP="006312E8">
      <w:pPr>
        <w:widowControl w:val="0"/>
        <w:numPr>
          <w:ilvl w:val="0"/>
          <w:numId w:val="56"/>
        </w:numPr>
        <w:spacing w:after="0" w:line="240" w:lineRule="auto"/>
        <w:ind w:left="1276"/>
        <w:contextualSpacing/>
        <w:jc w:val="both"/>
        <w:rPr>
          <w:rFonts w:ascii="Arial" w:eastAsia="Times New Roman" w:hAnsi="Arial" w:cs="Arial"/>
          <w:lang w:val="es-ES"/>
        </w:rPr>
      </w:pPr>
      <w:r w:rsidRPr="006312E8">
        <w:rPr>
          <w:rFonts w:ascii="Arial" w:eastAsia="Times New Roman" w:hAnsi="Arial" w:cs="Arial"/>
          <w:lang w:val="es-ES"/>
        </w:rPr>
        <w:t>Declaración jurada de los interesados de no tener impedimento para contratar, ni deudas pendientes con el Estado.</w:t>
      </w:r>
    </w:p>
    <w:p w:rsidR="006312E8" w:rsidRPr="006312E8" w:rsidRDefault="006312E8" w:rsidP="006312E8">
      <w:pPr>
        <w:widowControl w:val="0"/>
        <w:numPr>
          <w:ilvl w:val="0"/>
          <w:numId w:val="56"/>
        </w:numPr>
        <w:spacing w:after="0" w:line="240" w:lineRule="auto"/>
        <w:ind w:left="1276"/>
        <w:contextualSpacing/>
        <w:jc w:val="both"/>
        <w:rPr>
          <w:rFonts w:ascii="Arial" w:eastAsia="Times New Roman" w:hAnsi="Arial" w:cs="Arial"/>
          <w:lang w:val="es-ES"/>
        </w:rPr>
      </w:pPr>
      <w:r w:rsidRPr="006312E8">
        <w:rPr>
          <w:rFonts w:ascii="Arial" w:eastAsia="Times New Roman" w:hAnsi="Arial" w:cs="Arial"/>
          <w:lang w:val="es-ES"/>
        </w:rPr>
        <w:t>Demás observaciones que se consideren pertinentes.</w:t>
      </w:r>
    </w:p>
    <w:p w:rsidR="00E104C8" w:rsidRPr="006312E8" w:rsidRDefault="00E104C8" w:rsidP="006312E8">
      <w:pPr>
        <w:spacing w:after="0" w:line="240" w:lineRule="auto"/>
        <w:jc w:val="both"/>
        <w:rPr>
          <w:rFonts w:ascii="Arial" w:eastAsia="Calibri" w:hAnsi="Arial" w:cs="Arial"/>
          <w:lang w:val="es-ES"/>
        </w:rPr>
      </w:pPr>
    </w:p>
    <w:p w:rsidR="006312E8" w:rsidRPr="006312E8" w:rsidRDefault="006312E8" w:rsidP="006312E8">
      <w:pPr>
        <w:widowControl w:val="0"/>
        <w:numPr>
          <w:ilvl w:val="1"/>
          <w:numId w:val="54"/>
        </w:numPr>
        <w:tabs>
          <w:tab w:val="left" w:pos="284"/>
        </w:tabs>
        <w:spacing w:after="0" w:line="240" w:lineRule="auto"/>
        <w:ind w:left="851" w:hanging="567"/>
        <w:contextualSpacing/>
        <w:jc w:val="both"/>
        <w:rPr>
          <w:rFonts w:ascii="Arial" w:eastAsia="Times New Roman" w:hAnsi="Arial" w:cs="Arial"/>
          <w:b/>
          <w:lang w:val="es-ES"/>
        </w:rPr>
      </w:pPr>
      <w:r w:rsidRPr="006312E8">
        <w:rPr>
          <w:rFonts w:ascii="Arial" w:eastAsia="Times New Roman" w:hAnsi="Arial" w:cs="Arial"/>
          <w:b/>
          <w:lang w:val="es-ES"/>
        </w:rPr>
        <w:t>Presentación de sobres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En la convocatoria pública de usufructo oneroso podrán participar personas naturales o jurídicas, nacionales o extranjeras, de manera directa o a través de un representante con carta simple y cumplir con sus disposiciones.</w:t>
      </w:r>
    </w:p>
    <w:p w:rsidR="006312E8" w:rsidRPr="006312E8" w:rsidRDefault="006312E8" w:rsidP="006312E8">
      <w:pPr>
        <w:spacing w:after="0" w:line="240" w:lineRule="auto"/>
        <w:ind w:left="851"/>
        <w:jc w:val="both"/>
        <w:rPr>
          <w:rFonts w:ascii="Arial" w:eastAsia="Calibri" w:hAnsi="Arial" w:cs="Arial"/>
          <w:lang w:val="es-ES"/>
        </w:rPr>
      </w:pP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En el caso de personas jurídicas, éstas intervendrán a través de su representante legal o apoderado.</w:t>
      </w:r>
    </w:p>
    <w:p w:rsidR="006312E8" w:rsidRPr="006312E8" w:rsidRDefault="006312E8" w:rsidP="006312E8">
      <w:pPr>
        <w:spacing w:after="0" w:line="240" w:lineRule="auto"/>
        <w:ind w:left="851"/>
        <w:jc w:val="both"/>
        <w:rPr>
          <w:rFonts w:ascii="Arial" w:eastAsia="Calibri" w:hAnsi="Arial" w:cs="Arial"/>
          <w:lang w:val="es-ES"/>
        </w:rPr>
      </w:pP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Están prohibidos de participar como postores aquellas personas que se encuentran incursas en alguna de las siguientes incompatibilidades: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widowControl w:val="0"/>
        <w:numPr>
          <w:ilvl w:val="0"/>
          <w:numId w:val="57"/>
        </w:numPr>
        <w:tabs>
          <w:tab w:val="left" w:pos="1276"/>
        </w:tabs>
        <w:spacing w:after="0" w:line="240" w:lineRule="auto"/>
        <w:ind w:left="1276"/>
        <w:contextualSpacing/>
        <w:jc w:val="both"/>
        <w:rPr>
          <w:rFonts w:ascii="Arial" w:eastAsia="Times New Roman" w:hAnsi="Arial" w:cs="Arial"/>
          <w:lang w:val="es-ES"/>
        </w:rPr>
      </w:pPr>
      <w:r w:rsidRPr="006312E8">
        <w:rPr>
          <w:rFonts w:ascii="Arial" w:eastAsia="Times New Roman" w:hAnsi="Arial" w:cs="Arial"/>
          <w:lang w:val="es-ES"/>
        </w:rPr>
        <w:t>Las establecidas en el artículo 22° de la Ley N° 29151, Ley General del Sistema Nacional de Bienes Estatales.</w:t>
      </w:r>
    </w:p>
    <w:p w:rsidR="006312E8" w:rsidRPr="006312E8" w:rsidRDefault="006312E8" w:rsidP="006312E8">
      <w:pPr>
        <w:tabs>
          <w:tab w:val="left" w:pos="1276"/>
        </w:tabs>
        <w:spacing w:after="0" w:line="240" w:lineRule="auto"/>
        <w:ind w:left="1276"/>
        <w:jc w:val="both"/>
        <w:rPr>
          <w:rFonts w:ascii="Arial" w:eastAsia="Calibri" w:hAnsi="Arial" w:cs="Arial"/>
          <w:lang w:val="es-ES"/>
        </w:rPr>
      </w:pPr>
    </w:p>
    <w:p w:rsidR="006312E8" w:rsidRPr="006312E8" w:rsidRDefault="006312E8" w:rsidP="006312E8">
      <w:pPr>
        <w:widowControl w:val="0"/>
        <w:numPr>
          <w:ilvl w:val="0"/>
          <w:numId w:val="57"/>
        </w:numPr>
        <w:tabs>
          <w:tab w:val="left" w:pos="1276"/>
        </w:tabs>
        <w:spacing w:after="0" w:line="240" w:lineRule="auto"/>
        <w:ind w:left="1276"/>
        <w:contextualSpacing/>
        <w:jc w:val="both"/>
        <w:rPr>
          <w:rFonts w:ascii="Arial" w:eastAsia="Times New Roman" w:hAnsi="Arial" w:cs="Arial"/>
          <w:lang w:val="es-ES"/>
        </w:rPr>
      </w:pPr>
      <w:r w:rsidRPr="006312E8">
        <w:rPr>
          <w:rFonts w:ascii="Arial" w:eastAsia="Times New Roman" w:hAnsi="Arial" w:cs="Arial"/>
          <w:lang w:val="es-ES"/>
        </w:rPr>
        <w:t>Los funcionarios y servidores públicos a los que se refiere, en cada caso los artículos 1366°,  1367°   y 1368°  del Código Civil, ya sea directa o indirectamente o por persona interpuesta. Los actos administrativos que contravengan esta prohibición son nulos, sin perjuicio de las responsabilidades a que hubiere lugar.</w:t>
      </w:r>
    </w:p>
    <w:p w:rsidR="006312E8" w:rsidRPr="006312E8" w:rsidRDefault="006312E8" w:rsidP="006312E8">
      <w:pPr>
        <w:tabs>
          <w:tab w:val="left" w:pos="1276"/>
        </w:tabs>
        <w:spacing w:after="0" w:line="240" w:lineRule="auto"/>
        <w:ind w:left="1276"/>
        <w:jc w:val="both"/>
        <w:rPr>
          <w:rFonts w:ascii="Arial" w:eastAsia="Calibri" w:hAnsi="Arial" w:cs="Arial"/>
          <w:lang w:val="es-ES"/>
        </w:rPr>
      </w:pPr>
    </w:p>
    <w:p w:rsidR="006312E8" w:rsidRPr="006312E8" w:rsidRDefault="006312E8" w:rsidP="006312E8">
      <w:pPr>
        <w:widowControl w:val="0"/>
        <w:numPr>
          <w:ilvl w:val="0"/>
          <w:numId w:val="57"/>
        </w:numPr>
        <w:tabs>
          <w:tab w:val="left" w:pos="1276"/>
        </w:tabs>
        <w:spacing w:after="0" w:line="240" w:lineRule="auto"/>
        <w:ind w:left="1276"/>
        <w:contextualSpacing/>
        <w:jc w:val="both"/>
        <w:rPr>
          <w:rFonts w:ascii="Arial" w:eastAsia="Times New Roman" w:hAnsi="Arial" w:cs="Arial"/>
          <w:lang w:val="es-ES"/>
        </w:rPr>
      </w:pPr>
      <w:r w:rsidRPr="006312E8">
        <w:rPr>
          <w:rFonts w:ascii="Arial" w:eastAsia="Times New Roman" w:hAnsi="Arial" w:cs="Arial"/>
          <w:lang w:val="es-ES"/>
        </w:rPr>
        <w:t>Aquellas personas naturales o jurídicas que tengan impedimento para negociar o celebrar contratos con el Estado Peruano, o sus empresas u organismos.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widowControl w:val="0"/>
        <w:numPr>
          <w:ilvl w:val="1"/>
          <w:numId w:val="54"/>
        </w:numPr>
        <w:tabs>
          <w:tab w:val="left" w:pos="284"/>
        </w:tabs>
        <w:spacing w:after="0" w:line="240" w:lineRule="auto"/>
        <w:ind w:left="851" w:hanging="567"/>
        <w:contextualSpacing/>
        <w:jc w:val="both"/>
        <w:rPr>
          <w:rFonts w:ascii="Arial" w:eastAsia="Times New Roman" w:hAnsi="Arial" w:cs="Arial"/>
          <w:b/>
          <w:lang w:val="es-ES"/>
        </w:rPr>
      </w:pPr>
      <w:r w:rsidRPr="006312E8">
        <w:rPr>
          <w:rFonts w:ascii="Arial" w:eastAsia="Times New Roman" w:hAnsi="Arial" w:cs="Arial"/>
          <w:b/>
          <w:lang w:val="es-ES"/>
        </w:rPr>
        <w:t>De la apertura de sobres</w:t>
      </w: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Vencido el plazo contenido en la convocatoria, la unidad orgánica a cargo del trámite procederá a la apertura de los sobres presentados, dando cuenta al órgano superior de la mayor oferta de presentada, así como de los beneficios adicionales que ofrezca el postor a favor del Estado, de ser el caso, para su conformidad.</w:t>
      </w:r>
    </w:p>
    <w:p w:rsidR="006312E8" w:rsidRPr="006312E8" w:rsidRDefault="006312E8" w:rsidP="006312E8">
      <w:pPr>
        <w:spacing w:after="0" w:line="240" w:lineRule="auto"/>
        <w:ind w:left="851" w:hanging="567"/>
        <w:jc w:val="both"/>
        <w:rPr>
          <w:rFonts w:ascii="Arial" w:eastAsia="Calibri" w:hAnsi="Arial" w:cs="Arial"/>
          <w:lang w:val="es-ES"/>
        </w:rPr>
      </w:pPr>
    </w:p>
    <w:p w:rsidR="006312E8" w:rsidRPr="006312E8" w:rsidRDefault="006312E8" w:rsidP="006312E8">
      <w:pPr>
        <w:widowControl w:val="0"/>
        <w:numPr>
          <w:ilvl w:val="1"/>
          <w:numId w:val="54"/>
        </w:numPr>
        <w:tabs>
          <w:tab w:val="left" w:pos="284"/>
        </w:tabs>
        <w:spacing w:after="0" w:line="240" w:lineRule="auto"/>
        <w:ind w:left="851" w:hanging="567"/>
        <w:contextualSpacing/>
        <w:jc w:val="both"/>
        <w:rPr>
          <w:rFonts w:ascii="Arial" w:eastAsia="Times New Roman" w:hAnsi="Arial" w:cs="Arial"/>
          <w:b/>
          <w:lang w:val="es-ES"/>
        </w:rPr>
      </w:pPr>
      <w:r w:rsidRPr="006312E8">
        <w:rPr>
          <w:rFonts w:ascii="Arial" w:eastAsia="Times New Roman" w:hAnsi="Arial" w:cs="Arial"/>
          <w:b/>
          <w:lang w:val="es-ES"/>
        </w:rPr>
        <w:t>Comunicación de la aceptación de la oferta</w:t>
      </w: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Emitida la conformidad, la unidad orgánica a cargo del trámite procederá a comunicar al interesado la aceptación de la oferta de contraprestación.</w:t>
      </w:r>
    </w:p>
    <w:p w:rsidR="006312E8" w:rsidRPr="006312E8" w:rsidRDefault="006312E8" w:rsidP="006312E8">
      <w:pPr>
        <w:spacing w:after="0" w:line="240" w:lineRule="auto"/>
        <w:ind w:left="851" w:hanging="567"/>
        <w:jc w:val="both"/>
        <w:rPr>
          <w:rFonts w:ascii="Arial" w:eastAsia="Calibri" w:hAnsi="Arial" w:cs="Arial"/>
          <w:lang w:val="es-ES"/>
        </w:rPr>
      </w:pPr>
    </w:p>
    <w:p w:rsidR="006312E8" w:rsidRPr="006312E8" w:rsidRDefault="006312E8" w:rsidP="006312E8">
      <w:pPr>
        <w:widowControl w:val="0"/>
        <w:numPr>
          <w:ilvl w:val="1"/>
          <w:numId w:val="54"/>
        </w:numPr>
        <w:tabs>
          <w:tab w:val="left" w:pos="284"/>
        </w:tabs>
        <w:spacing w:after="0" w:line="240" w:lineRule="auto"/>
        <w:ind w:left="851" w:hanging="567"/>
        <w:contextualSpacing/>
        <w:jc w:val="both"/>
        <w:rPr>
          <w:rFonts w:ascii="Arial" w:eastAsia="Times New Roman" w:hAnsi="Arial" w:cs="Arial"/>
          <w:b/>
          <w:lang w:val="es-ES"/>
        </w:rPr>
      </w:pPr>
      <w:r w:rsidRPr="006312E8">
        <w:rPr>
          <w:rFonts w:ascii="Arial" w:eastAsia="Times New Roman" w:hAnsi="Arial" w:cs="Arial"/>
          <w:b/>
          <w:lang w:val="es-ES"/>
        </w:rPr>
        <w:t>Inexistencia  de propuestas</w:t>
      </w:r>
    </w:p>
    <w:p w:rsidR="006312E8" w:rsidRPr="006312E8" w:rsidRDefault="006312E8" w:rsidP="006312E8">
      <w:pPr>
        <w:spacing w:after="0" w:line="240" w:lineRule="auto"/>
        <w:ind w:left="851"/>
        <w:jc w:val="both"/>
        <w:rPr>
          <w:rFonts w:ascii="Arial" w:eastAsia="Calibri" w:hAnsi="Arial" w:cs="Arial"/>
          <w:lang w:val="es-ES"/>
        </w:rPr>
      </w:pP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En caso de que no se presentara ninguna propuesta para la constitución del usufructo, la unidad orgánica o entidad  titular del predio declarará desierta la convocatoria, pudiendo proponer posteriormente una nueva, teniendo como base el último valor de la contraprestación , siempre que no haya transcurrido más de ocho (8) meses de efectuada la valorización. (*)</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6312E8">
      <w:pPr>
        <w:spacing w:after="0" w:line="240" w:lineRule="auto"/>
        <w:ind w:left="851"/>
        <w:contextualSpacing/>
        <w:jc w:val="both"/>
        <w:rPr>
          <w:rFonts w:ascii="Arial" w:eastAsia="Times New Roman" w:hAnsi="Arial" w:cs="Arial"/>
          <w:b/>
          <w:i/>
          <w:color w:val="FF0000"/>
          <w:sz w:val="16"/>
          <w:szCs w:val="16"/>
          <w:lang w:val="es-ES"/>
        </w:rPr>
      </w:pPr>
      <w:r w:rsidRPr="006312E8">
        <w:rPr>
          <w:rFonts w:ascii="Arial" w:eastAsia="Calibri" w:hAnsi="Arial" w:cs="Arial"/>
          <w:lang w:val="es-ES"/>
        </w:rPr>
        <w:t xml:space="preserve"> </w:t>
      </w:r>
      <w:r w:rsidRPr="006312E8">
        <w:rPr>
          <w:rFonts w:ascii="Arial" w:eastAsia="Times New Roman" w:hAnsi="Arial" w:cs="Arial"/>
          <w:b/>
          <w:i/>
          <w:color w:val="FF0000"/>
          <w:sz w:val="16"/>
          <w:szCs w:val="16"/>
          <w:lang w:val="es-ES"/>
        </w:rPr>
        <w:t>(*) Texto modificado por el Artículo 1 de la Resolución N° 009-2013/SBN, publicado el 10 de febrero de 2013</w:t>
      </w:r>
    </w:p>
    <w:p w:rsidR="006312E8" w:rsidRPr="006312E8" w:rsidRDefault="006312E8" w:rsidP="006312E8">
      <w:pPr>
        <w:spacing w:after="0" w:line="240" w:lineRule="auto"/>
        <w:ind w:left="720"/>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Del procedimiento aplicable   para la sustentación de la constitución del Usufructo por causal o por convocatoria pública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widowControl w:val="0"/>
        <w:numPr>
          <w:ilvl w:val="1"/>
          <w:numId w:val="54"/>
        </w:numPr>
        <w:tabs>
          <w:tab w:val="left" w:pos="284"/>
        </w:tabs>
        <w:spacing w:after="0" w:line="240" w:lineRule="auto"/>
        <w:ind w:left="851" w:hanging="567"/>
        <w:contextualSpacing/>
        <w:jc w:val="both"/>
        <w:rPr>
          <w:rFonts w:ascii="Arial" w:eastAsia="Times New Roman" w:hAnsi="Arial" w:cs="Arial"/>
          <w:b/>
          <w:lang w:val="es-ES"/>
        </w:rPr>
      </w:pPr>
      <w:r w:rsidRPr="006312E8">
        <w:rPr>
          <w:rFonts w:ascii="Arial" w:eastAsia="Times New Roman" w:hAnsi="Arial" w:cs="Arial"/>
          <w:b/>
          <w:lang w:val="es-ES"/>
        </w:rPr>
        <w:t>Informe Técnico Legal</w:t>
      </w: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El informe técnico legal que sustenta el derecho de Usufructo será elaborado por el o los responsables del trámite y visado por el Jefe de la unidad orgánica competente, adjuntando el Proyecto de Resolución que aprobará el otorgamiento del derecho de Usufructo.</w:t>
      </w:r>
    </w:p>
    <w:p w:rsidR="006312E8" w:rsidRPr="006312E8" w:rsidRDefault="006312E8" w:rsidP="006312E8">
      <w:pPr>
        <w:spacing w:after="0" w:line="240" w:lineRule="auto"/>
        <w:ind w:left="851" w:hanging="567"/>
        <w:jc w:val="both"/>
        <w:rPr>
          <w:rFonts w:ascii="Arial" w:eastAsia="Calibri" w:hAnsi="Arial" w:cs="Arial"/>
          <w:lang w:val="es-ES"/>
        </w:rPr>
      </w:pP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El citado informe debe contener el análisis y fundamentación de la decisión de constituir el derecho de usufructo, así como de la elección de la oferta ganadora, para el caso de usufructo por convocatoria pública.</w:t>
      </w:r>
    </w:p>
    <w:p w:rsidR="006312E8" w:rsidRPr="006312E8" w:rsidRDefault="006312E8" w:rsidP="006312E8">
      <w:pPr>
        <w:spacing w:after="0" w:line="240" w:lineRule="auto"/>
        <w:ind w:left="851" w:hanging="567"/>
        <w:jc w:val="both"/>
        <w:rPr>
          <w:rFonts w:ascii="Arial" w:eastAsia="Calibri" w:hAnsi="Arial" w:cs="Arial"/>
          <w:lang w:val="es-ES"/>
        </w:rPr>
      </w:pP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En el caso de la SBN, el informe técnico legal, proyecto de Resolución y de contrato deberán ser elaborados por los profesionales de la Subdirección de Administración del Patrimonio Estatal.</w:t>
      </w:r>
    </w:p>
    <w:p w:rsidR="006312E8" w:rsidRDefault="006312E8" w:rsidP="006312E8">
      <w:pPr>
        <w:spacing w:after="0" w:line="240" w:lineRule="auto"/>
        <w:ind w:left="851" w:hanging="567"/>
        <w:jc w:val="both"/>
        <w:rPr>
          <w:rFonts w:ascii="Arial" w:eastAsia="Calibri" w:hAnsi="Arial" w:cs="Arial"/>
          <w:lang w:val="es-ES"/>
        </w:rPr>
      </w:pPr>
    </w:p>
    <w:p w:rsidR="006312E8" w:rsidRPr="006312E8" w:rsidRDefault="006312E8" w:rsidP="006312E8">
      <w:pPr>
        <w:widowControl w:val="0"/>
        <w:numPr>
          <w:ilvl w:val="1"/>
          <w:numId w:val="54"/>
        </w:numPr>
        <w:tabs>
          <w:tab w:val="left" w:pos="284"/>
        </w:tabs>
        <w:spacing w:after="0" w:line="240" w:lineRule="auto"/>
        <w:ind w:left="851" w:hanging="567"/>
        <w:contextualSpacing/>
        <w:jc w:val="both"/>
        <w:rPr>
          <w:rFonts w:ascii="Arial" w:eastAsia="Times New Roman" w:hAnsi="Arial" w:cs="Arial"/>
          <w:lang w:val="es-ES"/>
        </w:rPr>
      </w:pPr>
      <w:r w:rsidRPr="006312E8">
        <w:rPr>
          <w:rFonts w:ascii="Arial" w:eastAsia="Times New Roman" w:hAnsi="Arial" w:cs="Arial"/>
          <w:b/>
          <w:lang w:val="es-ES"/>
        </w:rPr>
        <w:t xml:space="preserve">Expedición de la resolución                                                            </w:t>
      </w: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La constitución del derecho de Usufructo tramitada y sustentada por la SBN, será   aprobada   con   resolución   de   la   Subdirección de Administración de Patrimonio Estatal.</w:t>
      </w:r>
    </w:p>
    <w:p w:rsidR="006312E8" w:rsidRPr="006312E8" w:rsidRDefault="006312E8" w:rsidP="006312E8">
      <w:pPr>
        <w:spacing w:after="0" w:line="240" w:lineRule="auto"/>
        <w:ind w:left="851" w:hanging="567"/>
        <w:jc w:val="both"/>
        <w:rPr>
          <w:rFonts w:ascii="Arial" w:eastAsia="Calibri" w:hAnsi="Arial" w:cs="Arial"/>
          <w:lang w:val="es-ES"/>
        </w:rPr>
      </w:pP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En el caso del trámite de constitución directa de Usufructo de predios ubicados en zona de dominio restringido, la Subdirección de Administración de Patrimonio Estatal deberá solicitar previamente a la Subdirección de Desarrollo Inmobiliario la declaración de desafectación del área. La resolución que aprueba el otorgamiento del derecho de usufructo deberá prever la sanción de reincorporación inmediata a la zona de dominio restringido del predio en caso no se concrete el usufructo, se varíe o incumpla con la finalidad para la cual se otorgó, así como a la fecha de conclusión del usufructo.</w:t>
      </w:r>
    </w:p>
    <w:p w:rsidR="006312E8" w:rsidRPr="006312E8" w:rsidRDefault="006312E8" w:rsidP="006312E8">
      <w:pPr>
        <w:spacing w:after="0" w:line="240" w:lineRule="auto"/>
        <w:ind w:left="851" w:hanging="567"/>
        <w:jc w:val="both"/>
        <w:rPr>
          <w:rFonts w:ascii="Arial" w:eastAsia="Calibri" w:hAnsi="Arial" w:cs="Arial"/>
          <w:lang w:val="es-ES"/>
        </w:rPr>
      </w:pP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En los casos de constitución directa y por convocatoria pública del usufructo tramitado por las entidades será aprobado con resolución de la autoridad administrativa que corresponda, conforme al primer párrafo del Artículo 90 del Reglamento, previa opinión técnica de la SBN.</w:t>
      </w:r>
    </w:p>
    <w:p w:rsidR="006312E8" w:rsidRPr="006312E8" w:rsidRDefault="006312E8" w:rsidP="006312E8">
      <w:pPr>
        <w:spacing w:after="0" w:line="240" w:lineRule="auto"/>
        <w:ind w:left="709" w:hanging="709"/>
        <w:jc w:val="both"/>
        <w:rPr>
          <w:rFonts w:ascii="Arial" w:eastAsia="Calibri" w:hAnsi="Arial" w:cs="Arial"/>
          <w:lang w:val="es-ES"/>
        </w:rPr>
      </w:pPr>
    </w:p>
    <w:p w:rsidR="006312E8" w:rsidRPr="006312E8" w:rsidRDefault="006312E8" w:rsidP="006312E8">
      <w:pPr>
        <w:widowControl w:val="0"/>
        <w:numPr>
          <w:ilvl w:val="1"/>
          <w:numId w:val="54"/>
        </w:numPr>
        <w:spacing w:after="0" w:line="240" w:lineRule="auto"/>
        <w:ind w:left="851" w:hanging="567"/>
        <w:contextualSpacing/>
        <w:jc w:val="both"/>
        <w:rPr>
          <w:rFonts w:ascii="Arial" w:eastAsia="Times New Roman" w:hAnsi="Arial" w:cs="Arial"/>
          <w:b/>
          <w:lang w:val="es-ES"/>
        </w:rPr>
      </w:pPr>
      <w:r w:rsidRPr="006312E8">
        <w:rPr>
          <w:rFonts w:ascii="Arial" w:eastAsia="Times New Roman" w:hAnsi="Arial" w:cs="Arial"/>
          <w:b/>
          <w:lang w:val="es-ES"/>
        </w:rPr>
        <w:t xml:space="preserve">Del trámite del contrato </w:t>
      </w:r>
    </w:p>
    <w:p w:rsidR="006312E8" w:rsidRPr="006312E8" w:rsidRDefault="006312E8" w:rsidP="006312E8">
      <w:pPr>
        <w:spacing w:after="0" w:line="240" w:lineRule="auto"/>
        <w:ind w:left="851" w:hanging="1"/>
        <w:jc w:val="both"/>
        <w:rPr>
          <w:rFonts w:ascii="Arial" w:eastAsia="Calibri" w:hAnsi="Arial" w:cs="Arial"/>
          <w:lang w:val="es-ES"/>
        </w:rPr>
      </w:pPr>
      <w:r w:rsidRPr="006312E8">
        <w:rPr>
          <w:rFonts w:ascii="Arial" w:eastAsia="Calibri" w:hAnsi="Arial" w:cs="Arial"/>
          <w:lang w:val="es-ES"/>
        </w:rPr>
        <w:t>Una vez efectuada la notificación de la Resolución al administrado, la Subdirección de Administración de Patrimonio Estatal elevará el proyecto de contrato conjuntamente con el Expediente administrativo sustentatorio a la Dirección de Gestión de Patrimonio Estatal, a fin de que, previa conformidad, lo derive a la Oficina de Asesoría Jurídica para que con su visación, remita los actuados a la Subdirección de Administración de Patrimonio Estatal para el trámite respectivo.</w:t>
      </w:r>
    </w:p>
    <w:p w:rsidR="006312E8" w:rsidRDefault="006312E8" w:rsidP="006312E8">
      <w:pPr>
        <w:spacing w:after="0" w:line="240" w:lineRule="auto"/>
        <w:ind w:left="709" w:hanging="709"/>
        <w:jc w:val="both"/>
        <w:rPr>
          <w:rFonts w:ascii="Arial" w:eastAsia="Calibri" w:hAnsi="Arial" w:cs="Arial"/>
          <w:lang w:val="es-ES"/>
        </w:rPr>
      </w:pPr>
    </w:p>
    <w:p w:rsidR="00A57CDE" w:rsidRDefault="00A57CDE" w:rsidP="006312E8">
      <w:pPr>
        <w:spacing w:after="0" w:line="240" w:lineRule="auto"/>
        <w:ind w:left="709" w:hanging="709"/>
        <w:jc w:val="both"/>
        <w:rPr>
          <w:rFonts w:ascii="Arial" w:eastAsia="Calibri" w:hAnsi="Arial" w:cs="Arial"/>
          <w:lang w:val="es-ES"/>
        </w:rPr>
      </w:pPr>
    </w:p>
    <w:p w:rsidR="00E97BAF" w:rsidRPr="006312E8" w:rsidRDefault="00E97BAF" w:rsidP="006312E8">
      <w:pPr>
        <w:spacing w:after="0" w:line="240" w:lineRule="auto"/>
        <w:ind w:left="709" w:hanging="709"/>
        <w:jc w:val="both"/>
        <w:rPr>
          <w:rFonts w:ascii="Arial" w:eastAsia="Calibri" w:hAnsi="Arial" w:cs="Arial"/>
          <w:lang w:val="es-ES"/>
        </w:rPr>
      </w:pPr>
    </w:p>
    <w:p w:rsidR="006312E8" w:rsidRPr="006312E8" w:rsidRDefault="006312E8" w:rsidP="006312E8">
      <w:pPr>
        <w:widowControl w:val="0"/>
        <w:numPr>
          <w:ilvl w:val="1"/>
          <w:numId w:val="54"/>
        </w:numPr>
        <w:tabs>
          <w:tab w:val="left" w:pos="567"/>
        </w:tabs>
        <w:spacing w:after="0" w:line="240" w:lineRule="auto"/>
        <w:ind w:left="851" w:hanging="567"/>
        <w:contextualSpacing/>
        <w:jc w:val="both"/>
        <w:rPr>
          <w:rFonts w:ascii="Arial" w:eastAsia="Times New Roman" w:hAnsi="Arial" w:cs="Arial"/>
          <w:b/>
          <w:lang w:val="es-ES"/>
        </w:rPr>
      </w:pPr>
      <w:r w:rsidRPr="006312E8">
        <w:rPr>
          <w:rFonts w:ascii="Arial" w:eastAsia="Times New Roman" w:hAnsi="Arial" w:cs="Arial"/>
          <w:b/>
          <w:lang w:val="es-ES"/>
        </w:rPr>
        <w:t>Del contenido del contrato</w:t>
      </w:r>
    </w:p>
    <w:p w:rsidR="006312E8" w:rsidRPr="006312E8" w:rsidRDefault="006312E8" w:rsidP="006312E8">
      <w:pPr>
        <w:spacing w:after="0" w:line="240" w:lineRule="auto"/>
        <w:ind w:left="851" w:hanging="567"/>
        <w:jc w:val="both"/>
        <w:rPr>
          <w:rFonts w:ascii="Arial" w:eastAsia="Calibri" w:hAnsi="Arial" w:cs="Arial"/>
          <w:b/>
          <w:i/>
          <w:lang w:val="es-ES"/>
        </w:rPr>
      </w:pP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El contrato debe contener necesariamente las clausulas mínimas establecidas en el Anexo 1: “Cláusulas Mínimas del Contrato de Constitución de Usufructo a título oneroso” de la presente Directiva. En ese sentido deberá incluir el plazo de duración del usufructo que será establecido de acuerdo al proyecto de inversión a ejecutar en el predio, las obligaciones de las partes, las causales de resolución del contrato y las demás cláusulas indicadas en el citado formato. (*)</w:t>
      </w:r>
    </w:p>
    <w:p w:rsidR="006312E8" w:rsidRPr="006312E8" w:rsidRDefault="006312E8" w:rsidP="006312E8">
      <w:pPr>
        <w:spacing w:after="0" w:line="240" w:lineRule="auto"/>
        <w:ind w:left="851"/>
        <w:contextualSpacing/>
        <w:jc w:val="both"/>
        <w:rPr>
          <w:rFonts w:ascii="Arial" w:eastAsia="Times New Roman" w:hAnsi="Arial" w:cs="Arial"/>
          <w:b/>
          <w:i/>
          <w:color w:val="FF0000"/>
          <w:sz w:val="16"/>
          <w:szCs w:val="16"/>
          <w:lang w:val="es-ES"/>
        </w:rPr>
      </w:pPr>
    </w:p>
    <w:p w:rsidR="006312E8" w:rsidRPr="00E97BAF" w:rsidRDefault="006312E8" w:rsidP="006312E8">
      <w:pPr>
        <w:spacing w:after="0" w:line="240" w:lineRule="auto"/>
        <w:ind w:left="851"/>
        <w:contextualSpacing/>
        <w:jc w:val="both"/>
        <w:rPr>
          <w:rFonts w:ascii="Arial" w:eastAsia="Times New Roman" w:hAnsi="Arial" w:cs="Arial"/>
          <w:b/>
          <w:color w:val="FF0000"/>
          <w:sz w:val="16"/>
          <w:szCs w:val="16"/>
          <w:lang w:val="es-ES"/>
        </w:rPr>
      </w:pPr>
      <w:r w:rsidRPr="00E97BAF">
        <w:rPr>
          <w:rFonts w:ascii="Arial" w:eastAsia="Times New Roman" w:hAnsi="Arial" w:cs="Arial"/>
          <w:b/>
          <w:color w:val="FF0000"/>
          <w:sz w:val="16"/>
          <w:szCs w:val="16"/>
          <w:lang w:val="es-ES"/>
        </w:rPr>
        <w:t>(*)Texto modificado por el Artículo 1 de la Resolución N° 009-2013/SBN, publicado el 05 de febrero de 2013</w:t>
      </w:r>
    </w:p>
    <w:p w:rsidR="006312E8" w:rsidRPr="006312E8" w:rsidRDefault="006312E8" w:rsidP="006312E8">
      <w:pPr>
        <w:spacing w:after="0" w:line="240" w:lineRule="auto"/>
        <w:ind w:left="851" w:hanging="567"/>
        <w:jc w:val="both"/>
        <w:rPr>
          <w:rFonts w:ascii="Arial" w:eastAsia="Calibri" w:hAnsi="Arial" w:cs="Arial"/>
          <w:lang w:val="es-ES"/>
        </w:rPr>
      </w:pPr>
    </w:p>
    <w:p w:rsidR="006312E8" w:rsidRPr="006312E8" w:rsidRDefault="006312E8" w:rsidP="006312E8">
      <w:pPr>
        <w:widowControl w:val="0"/>
        <w:numPr>
          <w:ilvl w:val="1"/>
          <w:numId w:val="54"/>
        </w:numPr>
        <w:tabs>
          <w:tab w:val="left" w:pos="567"/>
        </w:tabs>
        <w:spacing w:after="0" w:line="240" w:lineRule="auto"/>
        <w:ind w:left="851" w:hanging="567"/>
        <w:contextualSpacing/>
        <w:jc w:val="both"/>
        <w:rPr>
          <w:rFonts w:ascii="Arial" w:eastAsia="Times New Roman" w:hAnsi="Arial" w:cs="Arial"/>
          <w:lang w:val="es-ES"/>
        </w:rPr>
      </w:pPr>
      <w:r w:rsidRPr="006312E8">
        <w:rPr>
          <w:rFonts w:ascii="Arial" w:eastAsia="Times New Roman" w:hAnsi="Arial" w:cs="Arial"/>
          <w:lang w:val="es-ES"/>
        </w:rPr>
        <w:t>Los contratos de usufructo deberán contener una cláusula que disponga la actualización anual de la contraprestación por la constitución del usufructo conforme al Índice de Precios al Consumidor. Asimismo, deben contener una cláusula resolutoria expresa ante el incumplimiento de una o más obligaciones contractuales.</w:t>
      </w:r>
    </w:p>
    <w:p w:rsidR="006312E8" w:rsidRPr="006312E8" w:rsidRDefault="006312E8" w:rsidP="006312E8">
      <w:pPr>
        <w:spacing w:after="0" w:line="240" w:lineRule="auto"/>
        <w:ind w:left="851" w:hanging="567"/>
        <w:jc w:val="both"/>
        <w:rPr>
          <w:rFonts w:ascii="Arial" w:eastAsia="Calibri" w:hAnsi="Arial" w:cs="Arial"/>
          <w:lang w:val="es-ES"/>
        </w:rPr>
      </w:pPr>
    </w:p>
    <w:p w:rsidR="006312E8" w:rsidRPr="006312E8" w:rsidRDefault="006312E8" w:rsidP="006312E8">
      <w:pPr>
        <w:widowControl w:val="0"/>
        <w:numPr>
          <w:ilvl w:val="1"/>
          <w:numId w:val="54"/>
        </w:numPr>
        <w:tabs>
          <w:tab w:val="left" w:pos="284"/>
          <w:tab w:val="left" w:pos="709"/>
        </w:tabs>
        <w:spacing w:after="0" w:line="240" w:lineRule="auto"/>
        <w:ind w:left="851" w:hanging="567"/>
        <w:contextualSpacing/>
        <w:jc w:val="both"/>
        <w:rPr>
          <w:rFonts w:ascii="Arial" w:eastAsia="Times New Roman" w:hAnsi="Arial" w:cs="Arial"/>
          <w:lang w:val="es-ES"/>
        </w:rPr>
      </w:pPr>
      <w:r w:rsidRPr="006312E8">
        <w:rPr>
          <w:rFonts w:ascii="Arial" w:eastAsia="Times New Roman" w:hAnsi="Arial" w:cs="Arial"/>
          <w:lang w:val="es-ES"/>
        </w:rPr>
        <w:t>Los contratos deberán señalar expresamente que la contraprestación por la constitución del derecho de usufructo no incluyen los impuestos de ley.</w:t>
      </w:r>
    </w:p>
    <w:p w:rsidR="006312E8" w:rsidRPr="006312E8" w:rsidRDefault="006312E8" w:rsidP="006312E8">
      <w:pPr>
        <w:spacing w:after="0" w:line="240" w:lineRule="auto"/>
        <w:ind w:left="851" w:hanging="567"/>
        <w:jc w:val="both"/>
        <w:rPr>
          <w:rFonts w:ascii="Arial" w:eastAsia="Calibri" w:hAnsi="Arial" w:cs="Arial"/>
          <w:lang w:val="es-ES"/>
        </w:rPr>
      </w:pPr>
    </w:p>
    <w:p w:rsidR="006312E8" w:rsidRPr="006312E8" w:rsidRDefault="006312E8" w:rsidP="006312E8">
      <w:pPr>
        <w:widowControl w:val="0"/>
        <w:numPr>
          <w:ilvl w:val="1"/>
          <w:numId w:val="54"/>
        </w:numPr>
        <w:tabs>
          <w:tab w:val="left" w:pos="567"/>
        </w:tabs>
        <w:spacing w:after="0" w:line="240" w:lineRule="auto"/>
        <w:ind w:left="851" w:hanging="567"/>
        <w:contextualSpacing/>
        <w:jc w:val="both"/>
        <w:rPr>
          <w:rFonts w:ascii="Arial" w:eastAsia="Times New Roman" w:hAnsi="Arial" w:cs="Arial"/>
          <w:lang w:val="es-ES"/>
        </w:rPr>
      </w:pPr>
      <w:r w:rsidRPr="006312E8">
        <w:rPr>
          <w:rFonts w:ascii="Arial" w:eastAsia="Times New Roman" w:hAnsi="Arial" w:cs="Arial"/>
          <w:b/>
          <w:bCs/>
          <w:lang w:val="es-ES"/>
        </w:rPr>
        <w:t>Plazo para cancelación de la contraprestación</w:t>
      </w: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El valor de la contraprestación por la constitución del Usufructo, debe ser pagado íntegramente por el usufructuario en el plazo establecido en la Resolución que lo aprueba y en el contrato de usufructo.</w:t>
      </w:r>
    </w:p>
    <w:p w:rsidR="006312E8" w:rsidRPr="006312E8" w:rsidRDefault="006312E8" w:rsidP="006312E8">
      <w:pPr>
        <w:spacing w:after="0" w:line="240" w:lineRule="auto"/>
        <w:ind w:left="851" w:hanging="567"/>
        <w:jc w:val="both"/>
        <w:rPr>
          <w:rFonts w:ascii="Arial" w:eastAsia="Calibri" w:hAnsi="Arial" w:cs="Arial"/>
          <w:lang w:val="es-ES"/>
        </w:rPr>
      </w:pP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El pago se efectuará mediante Cheque de Gerencia No Negociable o depósito efectuado en la cuenta corriente de la entidad propietaria o administradora del predio.</w:t>
      </w:r>
    </w:p>
    <w:p w:rsidR="006312E8" w:rsidRPr="006312E8" w:rsidRDefault="006312E8" w:rsidP="006312E8">
      <w:pPr>
        <w:spacing w:after="0" w:line="240" w:lineRule="auto"/>
        <w:ind w:left="851" w:hanging="567"/>
        <w:jc w:val="both"/>
        <w:rPr>
          <w:rFonts w:ascii="Arial" w:eastAsia="Calibri" w:hAnsi="Arial" w:cs="Arial"/>
          <w:lang w:val="es-ES"/>
        </w:rPr>
      </w:pPr>
    </w:p>
    <w:p w:rsidR="006312E8" w:rsidRPr="006312E8" w:rsidRDefault="006312E8" w:rsidP="006312E8">
      <w:pPr>
        <w:widowControl w:val="0"/>
        <w:numPr>
          <w:ilvl w:val="1"/>
          <w:numId w:val="54"/>
        </w:numPr>
        <w:tabs>
          <w:tab w:val="left" w:pos="567"/>
        </w:tabs>
        <w:spacing w:after="0" w:line="240" w:lineRule="auto"/>
        <w:ind w:left="851" w:hanging="567"/>
        <w:contextualSpacing/>
        <w:jc w:val="both"/>
        <w:rPr>
          <w:rFonts w:ascii="Arial" w:eastAsia="Times New Roman" w:hAnsi="Arial" w:cs="Arial"/>
          <w:lang w:val="es-ES"/>
        </w:rPr>
      </w:pPr>
      <w:r w:rsidRPr="006312E8">
        <w:rPr>
          <w:rFonts w:ascii="Arial" w:eastAsia="Times New Roman" w:hAnsi="Arial" w:cs="Arial"/>
          <w:b/>
          <w:bCs/>
          <w:lang w:val="es-ES"/>
        </w:rPr>
        <w:t>De la firma del contrato</w:t>
      </w: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Dentro de los diez (10) días hábiles de expedida la Resolución que autoriza la  constitución del derecho  de  Usufructo,  se  procederá  a suscribir el contrato respectivo, el cual podrá ser elevado a escritura pública dependiendo de la envergadura del proyecto por  el cual se aprueba la constitución del usufructo o a solicitud del usufructuario, en ambos casos los gastos notariales y registrales serán de cargo de aquél,   incluido  una  copia  del  testimonio  a  favor  de   la  entidad propietaria del predio.</w:t>
      </w:r>
    </w:p>
    <w:p w:rsidR="006312E8" w:rsidRDefault="006312E8" w:rsidP="006312E8">
      <w:pPr>
        <w:spacing w:after="0" w:line="240" w:lineRule="auto"/>
        <w:ind w:left="851" w:hanging="567"/>
        <w:jc w:val="both"/>
        <w:rPr>
          <w:rFonts w:ascii="Arial" w:eastAsia="Calibri" w:hAnsi="Arial" w:cs="Arial"/>
          <w:lang w:val="es-ES"/>
        </w:rPr>
      </w:pPr>
    </w:p>
    <w:p w:rsidR="00E104C8" w:rsidRPr="006312E8" w:rsidRDefault="00E104C8" w:rsidP="006312E8">
      <w:pPr>
        <w:spacing w:after="0" w:line="240" w:lineRule="auto"/>
        <w:ind w:left="851" w:hanging="567"/>
        <w:jc w:val="both"/>
        <w:rPr>
          <w:rFonts w:ascii="Arial" w:eastAsia="Calibri" w:hAnsi="Arial" w:cs="Arial"/>
          <w:lang w:val="es-ES"/>
        </w:rPr>
      </w:pPr>
    </w:p>
    <w:p w:rsidR="006312E8" w:rsidRPr="006312E8" w:rsidRDefault="006312E8" w:rsidP="006312E8">
      <w:pPr>
        <w:widowControl w:val="0"/>
        <w:numPr>
          <w:ilvl w:val="1"/>
          <w:numId w:val="54"/>
        </w:numPr>
        <w:tabs>
          <w:tab w:val="left" w:pos="567"/>
        </w:tabs>
        <w:spacing w:after="0" w:line="240" w:lineRule="auto"/>
        <w:ind w:left="851" w:hanging="567"/>
        <w:contextualSpacing/>
        <w:jc w:val="both"/>
        <w:rPr>
          <w:rFonts w:ascii="Arial" w:eastAsia="Times New Roman" w:hAnsi="Arial" w:cs="Arial"/>
          <w:lang w:val="es-ES"/>
        </w:rPr>
      </w:pPr>
      <w:r w:rsidRPr="006312E8">
        <w:rPr>
          <w:rFonts w:ascii="Arial" w:eastAsia="Times New Roman" w:hAnsi="Arial" w:cs="Arial"/>
          <w:b/>
          <w:bCs/>
          <w:lang w:val="es-ES"/>
        </w:rPr>
        <w:t>Liquidación, deducción de gastos y distribución de los ingresos</w:t>
      </w: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La liquidación de los gastos operativos  (publicaciones)  y administrativos (mantenimiento, pago de  servicios públicos,  tributos municipales, tasas registrales y/o seguridad) inherentes al inmueble materia de usufructo que tengan una antigüedad no mayor a un año, será efectuada por la Oficina de Administración y Finanzas de la SBN o la que haga sus veces en las demás entidades, en un plazo de 15 días de realizado el pago de la contraprestación establecida por la constitución  del  usufructo,  para  lo  cual  el  área  que  sustentó  el usufructo debe proporcionar la información que estuviere a su alcance.</w:t>
      </w:r>
    </w:p>
    <w:p w:rsidR="006312E8" w:rsidRPr="006312E8" w:rsidRDefault="006312E8" w:rsidP="006312E8">
      <w:pPr>
        <w:spacing w:after="0" w:line="240" w:lineRule="auto"/>
        <w:ind w:left="851" w:hanging="567"/>
        <w:jc w:val="both"/>
        <w:rPr>
          <w:rFonts w:ascii="Arial" w:eastAsia="Calibri" w:hAnsi="Arial" w:cs="Arial"/>
          <w:lang w:val="es-ES"/>
        </w:rPr>
      </w:pP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La contraprestación por el usufructo será distribuido y depositado en las cuentas públicas que corresponda, por la Oficina de Administración y Finanzas de la SBN, de acuerdo con la normatividad vigente y la liquidación que comunique el área que sustentó el usufructo, previa deducción de los gastos determinados conforme al párrafo precedente.</w:t>
      </w:r>
    </w:p>
    <w:p w:rsidR="006312E8" w:rsidRPr="006312E8" w:rsidRDefault="006312E8" w:rsidP="006312E8">
      <w:pPr>
        <w:spacing w:after="0" w:line="240" w:lineRule="auto"/>
        <w:ind w:left="851" w:hanging="567"/>
        <w:jc w:val="both"/>
        <w:rPr>
          <w:rFonts w:ascii="Arial" w:eastAsia="Calibri" w:hAnsi="Arial" w:cs="Arial"/>
          <w:lang w:val="es-ES"/>
        </w:rPr>
      </w:pPr>
    </w:p>
    <w:p w:rsidR="006312E8" w:rsidRPr="006312E8" w:rsidRDefault="006312E8" w:rsidP="006312E8">
      <w:pPr>
        <w:spacing w:after="0" w:line="240" w:lineRule="auto"/>
        <w:ind w:left="851"/>
        <w:jc w:val="both"/>
        <w:rPr>
          <w:rFonts w:ascii="Arial" w:eastAsia="Calibri" w:hAnsi="Arial" w:cs="Arial"/>
          <w:b/>
          <w:lang w:val="es-ES"/>
        </w:rPr>
      </w:pPr>
      <w:r w:rsidRPr="006312E8">
        <w:rPr>
          <w:rFonts w:ascii="Arial" w:eastAsia="Calibri" w:hAnsi="Arial" w:cs="Arial"/>
          <w:lang w:val="es-ES"/>
        </w:rPr>
        <w:t xml:space="preserve">Los gastos operativos y administrativos serán deducidos del monto de la primera contraprestación que pague el usufructuario y en caso resultare insuficiente se aplicará a las siguientes contraprestaciones, hasta completar el monto de los gastos incurridos. </w:t>
      </w:r>
    </w:p>
    <w:p w:rsidR="006312E8" w:rsidRDefault="006312E8" w:rsidP="006312E8">
      <w:pPr>
        <w:spacing w:after="0" w:line="240" w:lineRule="auto"/>
        <w:ind w:left="851" w:hanging="567"/>
        <w:jc w:val="both"/>
        <w:rPr>
          <w:rFonts w:ascii="Arial" w:eastAsia="Calibri" w:hAnsi="Arial" w:cs="Arial"/>
          <w:lang w:val="es-ES"/>
        </w:rPr>
      </w:pPr>
    </w:p>
    <w:p w:rsidR="00A57CDE" w:rsidRDefault="00A57CDE" w:rsidP="006312E8">
      <w:pPr>
        <w:spacing w:after="0" w:line="240" w:lineRule="auto"/>
        <w:ind w:left="851" w:hanging="567"/>
        <w:jc w:val="both"/>
        <w:rPr>
          <w:rFonts w:ascii="Arial" w:eastAsia="Calibri" w:hAnsi="Arial" w:cs="Arial"/>
          <w:lang w:val="es-ES"/>
        </w:rPr>
      </w:pPr>
    </w:p>
    <w:p w:rsidR="00A57CDE" w:rsidRPr="006312E8" w:rsidRDefault="00A57CDE" w:rsidP="006312E8">
      <w:pPr>
        <w:spacing w:after="0" w:line="240" w:lineRule="auto"/>
        <w:ind w:left="851" w:hanging="567"/>
        <w:jc w:val="both"/>
        <w:rPr>
          <w:rFonts w:ascii="Arial" w:eastAsia="Calibri" w:hAnsi="Arial" w:cs="Arial"/>
          <w:lang w:val="es-ES"/>
        </w:rPr>
      </w:pPr>
    </w:p>
    <w:p w:rsidR="006312E8" w:rsidRPr="006312E8" w:rsidRDefault="006312E8" w:rsidP="006312E8">
      <w:pPr>
        <w:widowControl w:val="0"/>
        <w:numPr>
          <w:ilvl w:val="1"/>
          <w:numId w:val="54"/>
        </w:numPr>
        <w:tabs>
          <w:tab w:val="left" w:pos="567"/>
        </w:tabs>
        <w:spacing w:after="0" w:line="240" w:lineRule="auto"/>
        <w:ind w:left="851" w:hanging="567"/>
        <w:contextualSpacing/>
        <w:jc w:val="both"/>
        <w:rPr>
          <w:rFonts w:ascii="Arial" w:eastAsia="Times New Roman" w:hAnsi="Arial" w:cs="Arial"/>
          <w:b/>
          <w:lang w:val="es-ES"/>
        </w:rPr>
      </w:pPr>
      <w:r w:rsidRPr="006312E8">
        <w:rPr>
          <w:rFonts w:ascii="Arial" w:eastAsia="Times New Roman" w:hAnsi="Arial" w:cs="Arial"/>
          <w:b/>
          <w:lang w:val="es-ES"/>
        </w:rPr>
        <w:t>De la actualización del SINABIP</w:t>
      </w: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Con la Resolución y/o el contrato de Usufructo, debidamente firmado por las partes, se dispondrá su anotación en el asiento correspondiente e SINABIP y el archivo definitivo del expediente.</w:t>
      </w:r>
    </w:p>
    <w:p w:rsidR="006312E8" w:rsidRPr="006312E8" w:rsidRDefault="006312E8" w:rsidP="006312E8">
      <w:pPr>
        <w:spacing w:after="0" w:line="240" w:lineRule="auto"/>
        <w:ind w:left="851" w:hanging="567"/>
        <w:jc w:val="both"/>
        <w:rPr>
          <w:rFonts w:ascii="Arial" w:eastAsia="Calibri" w:hAnsi="Arial" w:cs="Arial"/>
          <w:lang w:val="es-ES"/>
        </w:rPr>
      </w:pPr>
    </w:p>
    <w:p w:rsidR="006312E8" w:rsidRPr="006312E8" w:rsidRDefault="006312E8" w:rsidP="006312E8">
      <w:pPr>
        <w:widowControl w:val="0"/>
        <w:numPr>
          <w:ilvl w:val="1"/>
          <w:numId w:val="54"/>
        </w:numPr>
        <w:tabs>
          <w:tab w:val="left" w:pos="567"/>
        </w:tabs>
        <w:spacing w:after="0" w:line="240" w:lineRule="auto"/>
        <w:ind w:left="851" w:hanging="567"/>
        <w:contextualSpacing/>
        <w:jc w:val="both"/>
        <w:rPr>
          <w:rFonts w:ascii="Arial" w:eastAsia="Times New Roman" w:hAnsi="Arial" w:cs="Arial"/>
          <w:b/>
          <w:lang w:val="es-ES"/>
        </w:rPr>
      </w:pPr>
      <w:r w:rsidRPr="006312E8">
        <w:rPr>
          <w:rFonts w:ascii="Arial" w:eastAsia="Times New Roman" w:hAnsi="Arial" w:cs="Arial"/>
          <w:b/>
          <w:lang w:val="es-ES"/>
        </w:rPr>
        <w:t>De las acciones de supervisión</w:t>
      </w: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La Subdirección  de Supervisión debe efectuar inspecciones técnicas a los predios de propiedad del Estado, entregados  en usufructo, a fin de verificar  el cumplimiento  de  los proyectos de inversión para  los  que fueron otorgados, así como las demás  obligaciones  establecidas en la Resolución  y en el contrato respectivo.</w:t>
      </w:r>
    </w:p>
    <w:p w:rsidR="006312E8" w:rsidRPr="006312E8" w:rsidRDefault="006312E8" w:rsidP="006312E8">
      <w:pPr>
        <w:spacing w:after="0" w:line="240" w:lineRule="auto"/>
        <w:ind w:left="851" w:hanging="567"/>
        <w:jc w:val="both"/>
        <w:rPr>
          <w:rFonts w:ascii="Arial" w:eastAsia="Calibri" w:hAnsi="Arial" w:cs="Arial"/>
          <w:lang w:val="es-ES"/>
        </w:rPr>
      </w:pP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Si  de   la  inspección   técnica   se  constata   el  cumplimiento  de  las obligaciones   estipuladas   en   la   Resolución   y   en   el   contrato   de constitución del derecho  de usufructo, la Subdirección  de Supervisión elaborará  el respectivo  informe  técnico legal anexándolo al expediente administrativo, disponiendo  su archivo provisional.</w:t>
      </w:r>
    </w:p>
    <w:p w:rsidR="006312E8" w:rsidRPr="006312E8" w:rsidRDefault="006312E8" w:rsidP="006312E8">
      <w:pPr>
        <w:spacing w:after="0" w:line="240" w:lineRule="auto"/>
        <w:ind w:left="851" w:hanging="567"/>
        <w:jc w:val="both"/>
        <w:rPr>
          <w:rFonts w:ascii="Arial" w:eastAsia="Calibri" w:hAnsi="Arial" w:cs="Arial"/>
          <w:lang w:val="es-ES"/>
        </w:rPr>
      </w:pP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Si en la inspección técnica se determina que el usufructuario incumple con alguna de las obligaciones contenidas en la Resolución y/o en el contrato de usufructo, la Subdirección de Supervisión solicitará al usufructuario el descargo correspondiente, otorgándole un plazo de quince (15) días calendario, luego de lo cual remitirá los actuados a la Subdirección de Administración del Patrimonio Estatal, para la prosecución del trámite respectivo.</w:t>
      </w:r>
    </w:p>
    <w:p w:rsidR="006312E8" w:rsidRPr="006312E8" w:rsidRDefault="006312E8" w:rsidP="006312E8">
      <w:pPr>
        <w:spacing w:after="0" w:line="240" w:lineRule="auto"/>
        <w:ind w:left="851" w:hanging="567"/>
        <w:jc w:val="both"/>
        <w:rPr>
          <w:rFonts w:ascii="Arial" w:eastAsia="Calibri" w:hAnsi="Arial" w:cs="Arial"/>
          <w:lang w:val="es-ES"/>
        </w:rPr>
      </w:pP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En  caso  se  efectuara el  descargo correspondiente  sin  el  debido sustento  o de ser el caso éste no fuera suficiente, la Subdirección de Administración del   Patrimonio Estatal,  previo Informe técnico legal sustentado por los profesionales responsables,   comunicará   la resolución  del  contrato  al  usufructuario,   el cual   operará   de  pleno derecho, reasumiendo el Estado la propiedad  del predio  incluyendo  lo edificado.</w:t>
      </w:r>
    </w:p>
    <w:p w:rsidR="006312E8" w:rsidRPr="006312E8" w:rsidRDefault="006312E8" w:rsidP="006312E8">
      <w:pPr>
        <w:spacing w:after="0" w:line="240" w:lineRule="auto"/>
        <w:ind w:left="851" w:hanging="567"/>
        <w:jc w:val="both"/>
        <w:rPr>
          <w:rFonts w:ascii="Arial" w:eastAsia="Calibri" w:hAnsi="Arial" w:cs="Arial"/>
          <w:lang w:val="es-ES"/>
        </w:rPr>
      </w:pP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Si  del descargo  efectuado  el usufructuario   acredita  situaciones  que determinaron  el   incumplimiento   de   determinadas   obligaciones,  la Subdirección  de  Administración del Patrimonio  Estatal  concederá, de ser  el caso, un plazo  máximo  de 30  (treinta) días calendario para  la correspondiente subsanación.</w:t>
      </w:r>
    </w:p>
    <w:p w:rsidR="006312E8" w:rsidRPr="006312E8" w:rsidRDefault="006312E8" w:rsidP="006312E8">
      <w:pPr>
        <w:spacing w:after="0" w:line="240" w:lineRule="auto"/>
        <w:ind w:left="851" w:hanging="567"/>
        <w:jc w:val="both"/>
        <w:rPr>
          <w:rFonts w:ascii="Arial" w:eastAsia="Calibri" w:hAnsi="Arial" w:cs="Arial"/>
          <w:lang w:val="es-ES"/>
        </w:rPr>
      </w:pPr>
    </w:p>
    <w:p w:rsidR="006312E8" w:rsidRPr="006312E8" w:rsidRDefault="006312E8" w:rsidP="006312E8">
      <w:pPr>
        <w:spacing w:after="0" w:line="240" w:lineRule="auto"/>
        <w:ind w:left="851"/>
        <w:jc w:val="both"/>
        <w:rPr>
          <w:rFonts w:ascii="Arial" w:eastAsia="Calibri" w:hAnsi="Arial" w:cs="Arial"/>
          <w:lang w:val="es-ES"/>
        </w:rPr>
      </w:pPr>
      <w:r w:rsidRPr="006312E8">
        <w:rPr>
          <w:rFonts w:ascii="Arial" w:eastAsia="Calibri" w:hAnsi="Arial" w:cs="Arial"/>
          <w:lang w:val="es-ES"/>
        </w:rPr>
        <w:t>En  los  casos  de predios  de  dominio  privado  estatal  a  cargo  de los Gobiernos  Regionales  por transferencia  de competencias de la SBN,  así como de propiedad de las entidades sobre los que se haya constituido derechos de usufructo, corresponderá que las acciones de supervisión sean efectuadas por las unidades orgánicas responsables del patrimonio estatal conforme a sus respectivas competencias.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widowControl w:val="0"/>
        <w:numPr>
          <w:ilvl w:val="0"/>
          <w:numId w:val="54"/>
        </w:numPr>
        <w:tabs>
          <w:tab w:val="left" w:pos="284"/>
        </w:tabs>
        <w:spacing w:after="0" w:line="240" w:lineRule="auto"/>
        <w:contextualSpacing/>
        <w:jc w:val="both"/>
        <w:rPr>
          <w:rFonts w:ascii="Arial" w:eastAsia="Times New Roman" w:hAnsi="Arial" w:cs="Arial"/>
          <w:b/>
          <w:lang w:val="es-ES"/>
        </w:rPr>
      </w:pPr>
      <w:r w:rsidRPr="006312E8">
        <w:rPr>
          <w:rFonts w:ascii="Arial" w:eastAsia="Times New Roman" w:hAnsi="Arial" w:cs="Arial"/>
          <w:b/>
          <w:lang w:val="es-ES"/>
        </w:rPr>
        <w:t>Opinión  técnica de la SBN para la constitución del derecho  de usufructo tramitado por las demás entidades del Sistema</w:t>
      </w:r>
    </w:p>
    <w:p w:rsidR="006312E8" w:rsidRPr="006312E8" w:rsidRDefault="006312E8" w:rsidP="006312E8">
      <w:pPr>
        <w:spacing w:after="0" w:line="240" w:lineRule="auto"/>
        <w:ind w:left="360"/>
        <w:jc w:val="both"/>
        <w:rPr>
          <w:rFonts w:ascii="Arial" w:eastAsia="Calibri" w:hAnsi="Arial" w:cs="Arial"/>
          <w:lang w:val="es-ES"/>
        </w:rPr>
      </w:pPr>
      <w:r w:rsidRPr="006312E8">
        <w:rPr>
          <w:rFonts w:ascii="Arial" w:eastAsia="Calibri" w:hAnsi="Arial" w:cs="Arial"/>
          <w:lang w:val="es-ES"/>
        </w:rPr>
        <w:t>Para la opinión técnica de la SBN en el trámite de constitución del derecho de Usufructo, las entidades deberán remitir copia de los siguientes documentos: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widowControl w:val="0"/>
        <w:numPr>
          <w:ilvl w:val="0"/>
          <w:numId w:val="58"/>
        </w:numPr>
        <w:spacing w:after="0" w:line="240" w:lineRule="auto"/>
        <w:ind w:left="993" w:hanging="284"/>
        <w:contextualSpacing/>
        <w:jc w:val="both"/>
        <w:rPr>
          <w:rFonts w:ascii="Arial" w:eastAsia="Times New Roman" w:hAnsi="Arial" w:cs="Arial"/>
          <w:lang w:val="es-ES"/>
        </w:rPr>
      </w:pPr>
      <w:r w:rsidRPr="006312E8">
        <w:rPr>
          <w:rFonts w:ascii="Arial" w:eastAsia="Times New Roman" w:hAnsi="Arial" w:cs="Arial"/>
          <w:lang w:val="es-ES"/>
        </w:rPr>
        <w:t>Plano perimétrico del predio en coordenadas UTM a escala 1/100, 1/200, 1/500 con la indicación del área, linderos, ángulos y medidas perimétricas correspondientes.</w:t>
      </w:r>
    </w:p>
    <w:p w:rsidR="006312E8" w:rsidRPr="006312E8" w:rsidRDefault="006312E8" w:rsidP="006312E8">
      <w:pPr>
        <w:widowControl w:val="0"/>
        <w:numPr>
          <w:ilvl w:val="0"/>
          <w:numId w:val="58"/>
        </w:numPr>
        <w:spacing w:after="0" w:line="240" w:lineRule="auto"/>
        <w:ind w:left="993" w:hanging="284"/>
        <w:contextualSpacing/>
        <w:jc w:val="both"/>
        <w:rPr>
          <w:rFonts w:ascii="Arial" w:eastAsia="Times New Roman" w:hAnsi="Arial" w:cs="Arial"/>
          <w:lang w:val="es-ES"/>
        </w:rPr>
      </w:pPr>
      <w:r w:rsidRPr="006312E8">
        <w:rPr>
          <w:rFonts w:ascii="Arial" w:eastAsia="Times New Roman" w:hAnsi="Arial" w:cs="Arial"/>
          <w:lang w:val="es-ES"/>
        </w:rPr>
        <w:t>Plano de Ubicación del predio en escala de 1/1000 a 1/500.</w:t>
      </w:r>
    </w:p>
    <w:p w:rsidR="006312E8" w:rsidRPr="006312E8" w:rsidRDefault="006312E8" w:rsidP="006312E8">
      <w:pPr>
        <w:widowControl w:val="0"/>
        <w:numPr>
          <w:ilvl w:val="0"/>
          <w:numId w:val="58"/>
        </w:numPr>
        <w:spacing w:after="0" w:line="240" w:lineRule="auto"/>
        <w:ind w:left="993" w:hanging="284"/>
        <w:contextualSpacing/>
        <w:jc w:val="both"/>
        <w:rPr>
          <w:rFonts w:ascii="Arial" w:eastAsia="Times New Roman" w:hAnsi="Arial" w:cs="Arial"/>
          <w:lang w:val="es-ES"/>
        </w:rPr>
      </w:pPr>
      <w:r w:rsidRPr="006312E8">
        <w:rPr>
          <w:rFonts w:ascii="Arial" w:eastAsia="Times New Roman" w:hAnsi="Arial" w:cs="Arial"/>
          <w:lang w:val="es-ES"/>
        </w:rPr>
        <w:t>Memoria descriptiva del terreno indicándose la ubicación, el área, los linderos, las medidas perimétricas, la zonificación y las observaciones que se consideren pertinentes.</w:t>
      </w:r>
    </w:p>
    <w:p w:rsidR="006312E8" w:rsidRPr="006312E8" w:rsidRDefault="006312E8" w:rsidP="006312E8">
      <w:pPr>
        <w:widowControl w:val="0"/>
        <w:numPr>
          <w:ilvl w:val="0"/>
          <w:numId w:val="58"/>
        </w:numPr>
        <w:spacing w:after="0" w:line="240" w:lineRule="auto"/>
        <w:ind w:left="993" w:hanging="284"/>
        <w:contextualSpacing/>
        <w:jc w:val="both"/>
        <w:rPr>
          <w:rFonts w:ascii="Arial" w:eastAsia="Times New Roman" w:hAnsi="Arial" w:cs="Arial"/>
          <w:lang w:val="es-ES"/>
        </w:rPr>
      </w:pPr>
      <w:r w:rsidRPr="006312E8">
        <w:rPr>
          <w:rFonts w:ascii="Arial" w:eastAsia="Times New Roman" w:hAnsi="Arial" w:cs="Arial"/>
          <w:lang w:val="es-ES"/>
        </w:rPr>
        <w:t>Fotografías del predio.</w:t>
      </w:r>
    </w:p>
    <w:p w:rsidR="006312E8" w:rsidRPr="006312E8" w:rsidRDefault="006312E8" w:rsidP="006312E8">
      <w:pPr>
        <w:widowControl w:val="0"/>
        <w:numPr>
          <w:ilvl w:val="0"/>
          <w:numId w:val="58"/>
        </w:numPr>
        <w:spacing w:after="0" w:line="240" w:lineRule="auto"/>
        <w:ind w:left="993" w:hanging="284"/>
        <w:contextualSpacing/>
        <w:jc w:val="both"/>
        <w:rPr>
          <w:rFonts w:ascii="Arial" w:eastAsia="Times New Roman" w:hAnsi="Arial" w:cs="Arial"/>
          <w:lang w:val="es-ES"/>
        </w:rPr>
      </w:pPr>
      <w:r w:rsidRPr="006312E8">
        <w:rPr>
          <w:rFonts w:ascii="Arial" w:eastAsia="Times New Roman" w:hAnsi="Arial" w:cs="Arial"/>
          <w:lang w:val="es-ES"/>
        </w:rPr>
        <w:t>Copia de la partida registral del predio objeto del Usufructo.</w:t>
      </w:r>
    </w:p>
    <w:p w:rsidR="006312E8" w:rsidRPr="006312E8" w:rsidRDefault="006312E8" w:rsidP="006312E8">
      <w:pPr>
        <w:widowControl w:val="0"/>
        <w:numPr>
          <w:ilvl w:val="0"/>
          <w:numId w:val="58"/>
        </w:numPr>
        <w:spacing w:after="0" w:line="240" w:lineRule="auto"/>
        <w:ind w:left="993" w:hanging="284"/>
        <w:contextualSpacing/>
        <w:jc w:val="both"/>
        <w:rPr>
          <w:rFonts w:ascii="Arial" w:eastAsia="Times New Roman" w:hAnsi="Arial" w:cs="Arial"/>
          <w:lang w:val="es-ES"/>
        </w:rPr>
      </w:pPr>
      <w:r w:rsidRPr="006312E8">
        <w:rPr>
          <w:rFonts w:ascii="Arial" w:eastAsia="Times New Roman" w:hAnsi="Arial" w:cs="Arial"/>
          <w:lang w:val="es-ES"/>
        </w:rPr>
        <w:t>Valorización de la contraprestación por el usufructo del predio, elaborada de conformidad con el Reglamento Nacional de Tasaciones.</w:t>
      </w:r>
    </w:p>
    <w:p w:rsidR="006312E8" w:rsidRPr="006312E8" w:rsidRDefault="006312E8" w:rsidP="006312E8">
      <w:pPr>
        <w:widowControl w:val="0"/>
        <w:numPr>
          <w:ilvl w:val="0"/>
          <w:numId w:val="58"/>
        </w:numPr>
        <w:spacing w:after="0" w:line="240" w:lineRule="auto"/>
        <w:ind w:left="993" w:hanging="284"/>
        <w:contextualSpacing/>
        <w:jc w:val="both"/>
        <w:rPr>
          <w:rFonts w:ascii="Arial" w:eastAsia="Times New Roman" w:hAnsi="Arial" w:cs="Arial"/>
          <w:lang w:val="es-ES"/>
        </w:rPr>
      </w:pPr>
      <w:r w:rsidRPr="006312E8">
        <w:rPr>
          <w:rFonts w:ascii="Arial" w:eastAsia="Times New Roman" w:hAnsi="Arial" w:cs="Arial"/>
          <w:lang w:val="es-ES"/>
        </w:rPr>
        <w:t>Informe Técnico - Legal de la entidad propietaria conteniendo la opinión para la constitución del Usufructo.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360"/>
        <w:jc w:val="both"/>
        <w:rPr>
          <w:rFonts w:ascii="Arial" w:eastAsia="Calibri" w:hAnsi="Arial" w:cs="Arial"/>
          <w:lang w:val="es-ES"/>
        </w:rPr>
      </w:pPr>
      <w:r w:rsidRPr="006312E8">
        <w:rPr>
          <w:rFonts w:ascii="Arial" w:eastAsia="Calibri" w:hAnsi="Arial" w:cs="Arial"/>
          <w:lang w:val="es-ES"/>
        </w:rPr>
        <w:t>La entidad deberá de remitir además copia de la solicitud de constitución del derecho de Usufructo presentada y anexos que sustentan la causal de Usufructo, en caso se trate de constitución directa de Usufructo, así como copia de los documentos  indicados en los literales j) y k) del numeral 3.1 de la presente directiva.</w:t>
      </w:r>
    </w:p>
    <w:p w:rsidR="006312E8" w:rsidRPr="006312E8" w:rsidRDefault="006312E8" w:rsidP="006312E8">
      <w:pPr>
        <w:spacing w:after="0" w:line="240" w:lineRule="auto"/>
        <w:ind w:left="360"/>
        <w:jc w:val="both"/>
        <w:rPr>
          <w:rFonts w:ascii="Arial" w:eastAsia="Calibri" w:hAnsi="Arial" w:cs="Arial"/>
          <w:lang w:val="es-ES"/>
        </w:rPr>
      </w:pPr>
    </w:p>
    <w:p w:rsidR="006312E8" w:rsidRPr="006312E8" w:rsidRDefault="006312E8" w:rsidP="006312E8">
      <w:pPr>
        <w:spacing w:after="0" w:line="240" w:lineRule="auto"/>
        <w:ind w:left="360"/>
        <w:jc w:val="both"/>
        <w:rPr>
          <w:rFonts w:ascii="Arial" w:eastAsia="Calibri" w:hAnsi="Arial" w:cs="Arial"/>
          <w:lang w:val="es-ES"/>
        </w:rPr>
      </w:pPr>
      <w:r w:rsidRPr="006312E8">
        <w:rPr>
          <w:rFonts w:ascii="Arial" w:eastAsia="Calibri" w:hAnsi="Arial" w:cs="Arial"/>
          <w:lang w:val="es-ES"/>
        </w:rPr>
        <w:t>Recibida la solicitud, la Subdirección de Administración del Patrimonio Estatal de la SBN procederá a verificar la documentación presentada, pudiendo requerir a la entidad, vía oficio o correo electrónico, los documentos complementarios o la aclaración que estime necesaria.</w:t>
      </w:r>
    </w:p>
    <w:p w:rsidR="006312E8" w:rsidRPr="006312E8" w:rsidRDefault="006312E8" w:rsidP="006312E8">
      <w:pPr>
        <w:spacing w:after="0" w:line="240" w:lineRule="auto"/>
        <w:ind w:left="360"/>
        <w:jc w:val="both"/>
        <w:rPr>
          <w:rFonts w:ascii="Arial" w:eastAsia="Calibri" w:hAnsi="Arial" w:cs="Arial"/>
          <w:lang w:val="es-ES"/>
        </w:rPr>
      </w:pPr>
    </w:p>
    <w:p w:rsidR="006312E8" w:rsidRPr="006312E8" w:rsidRDefault="006312E8" w:rsidP="006312E8">
      <w:pPr>
        <w:spacing w:after="0" w:line="240" w:lineRule="auto"/>
        <w:ind w:left="360"/>
        <w:jc w:val="both"/>
        <w:rPr>
          <w:rFonts w:ascii="Arial" w:eastAsia="Calibri" w:hAnsi="Arial" w:cs="Arial"/>
          <w:lang w:val="es-ES"/>
        </w:rPr>
      </w:pPr>
      <w:r w:rsidRPr="006312E8">
        <w:rPr>
          <w:rFonts w:ascii="Arial" w:eastAsia="Calibri" w:hAnsi="Arial" w:cs="Arial"/>
          <w:lang w:val="es-ES"/>
        </w:rPr>
        <w:t>El pronunciamiento de la SBN, está referido al cumplimiento de los requisitos que exige el procedimiento para la constitución directa o por convocatoria pública del usufructo, siendo de exclusiva responsabilidad de la entidad pública propietaria   del bien, la veracidad   de la documentación remitida, así como de la aprobación de la valorización de la contraprestación por el usufructo del predio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360"/>
        <w:jc w:val="both"/>
        <w:rPr>
          <w:rFonts w:ascii="Arial" w:eastAsia="Calibri" w:hAnsi="Arial" w:cs="Arial"/>
          <w:lang w:val="es-ES"/>
        </w:rPr>
      </w:pPr>
      <w:r w:rsidRPr="006312E8">
        <w:rPr>
          <w:rFonts w:ascii="Arial" w:eastAsia="Calibri" w:hAnsi="Arial" w:cs="Arial"/>
          <w:lang w:val="es-ES"/>
        </w:rPr>
        <w:t>La opinión técnica debe ser emitida en un plazo no mayor de treinta  (30) días hábiles de recibida la solicitud o efectuada la subsanación de la misma, luego de lo cual las entidades aprobarán la constitución del usufructo   con   Resolución   de   la   autoridad   administrativa    que corresponda,   conforme  al   primer   párrafo  del   Artículo   90°  del Reglamento.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widowControl w:val="0"/>
        <w:numPr>
          <w:ilvl w:val="0"/>
          <w:numId w:val="54"/>
        </w:numPr>
        <w:spacing w:after="0" w:line="240" w:lineRule="auto"/>
        <w:contextualSpacing/>
        <w:jc w:val="both"/>
        <w:rPr>
          <w:rFonts w:ascii="Arial" w:eastAsia="Times New Roman" w:hAnsi="Arial" w:cs="Arial"/>
          <w:b/>
          <w:lang w:val="es-ES"/>
        </w:rPr>
      </w:pPr>
      <w:r w:rsidRPr="006312E8">
        <w:rPr>
          <w:rFonts w:ascii="Arial" w:eastAsia="Times New Roman" w:hAnsi="Arial" w:cs="Arial"/>
          <w:b/>
          <w:lang w:val="es-ES"/>
        </w:rPr>
        <w:t>De la participación de la SBN por encargo</w:t>
      </w:r>
    </w:p>
    <w:p w:rsidR="006312E8" w:rsidRPr="006312E8" w:rsidRDefault="006312E8" w:rsidP="006312E8">
      <w:pPr>
        <w:spacing w:after="0" w:line="240" w:lineRule="auto"/>
        <w:ind w:left="360"/>
        <w:jc w:val="both"/>
        <w:rPr>
          <w:rFonts w:ascii="Arial" w:eastAsia="Calibri" w:hAnsi="Arial" w:cs="Arial"/>
          <w:lang w:val="es-ES"/>
        </w:rPr>
      </w:pPr>
      <w:r w:rsidRPr="006312E8">
        <w:rPr>
          <w:rFonts w:ascii="Arial" w:eastAsia="Calibri" w:hAnsi="Arial" w:cs="Arial"/>
          <w:lang w:val="es-ES"/>
        </w:rPr>
        <w:t>La entidad propietaria o administradora del predio puede encargar a la SBN que efectúe la sustentación técnico - legal para el usufructo de un bien, debiendo suscribirse para tal efecto el Convenio respectivo.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widowControl w:val="0"/>
        <w:numPr>
          <w:ilvl w:val="1"/>
          <w:numId w:val="54"/>
        </w:numPr>
        <w:spacing w:after="0" w:line="240" w:lineRule="auto"/>
        <w:ind w:left="851"/>
        <w:contextualSpacing/>
        <w:jc w:val="both"/>
        <w:rPr>
          <w:rFonts w:ascii="Arial" w:eastAsia="Times New Roman" w:hAnsi="Arial" w:cs="Arial"/>
          <w:lang w:val="es-ES"/>
        </w:rPr>
      </w:pPr>
      <w:r w:rsidRPr="006312E8">
        <w:rPr>
          <w:rFonts w:ascii="Arial" w:eastAsia="Times New Roman" w:hAnsi="Arial" w:cs="Arial"/>
          <w:lang w:val="es-ES"/>
        </w:rPr>
        <w:t>Luego que la SBN efectúe la sustentación corresponderá a la entidad propietaria o administradora del predio aprobar y formalizarla constitución del usufructo, de acuerdo al procedimiento establecido en la presente Directiva.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widowControl w:val="0"/>
        <w:numPr>
          <w:ilvl w:val="0"/>
          <w:numId w:val="54"/>
        </w:numPr>
        <w:spacing w:after="0" w:line="240" w:lineRule="auto"/>
        <w:contextualSpacing/>
        <w:jc w:val="both"/>
        <w:rPr>
          <w:rFonts w:ascii="Arial" w:eastAsia="Times New Roman" w:hAnsi="Arial" w:cs="Arial"/>
          <w:b/>
          <w:lang w:val="es-ES"/>
        </w:rPr>
      </w:pPr>
      <w:r w:rsidRPr="006312E8">
        <w:rPr>
          <w:rFonts w:ascii="Arial" w:eastAsia="Times New Roman" w:hAnsi="Arial" w:cs="Arial"/>
          <w:b/>
          <w:lang w:val="es-ES"/>
        </w:rPr>
        <w:t>Disposición Transitoria, Complementaria y Final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360"/>
        <w:jc w:val="both"/>
        <w:rPr>
          <w:rFonts w:ascii="Arial" w:eastAsia="Calibri" w:hAnsi="Arial" w:cs="Arial"/>
          <w:b/>
          <w:lang w:val="es-ES"/>
        </w:rPr>
      </w:pPr>
      <w:r w:rsidRPr="006312E8">
        <w:rPr>
          <w:rFonts w:ascii="Arial" w:eastAsia="Calibri" w:hAnsi="Arial" w:cs="Arial"/>
          <w:b/>
          <w:lang w:val="es-ES"/>
        </w:rPr>
        <w:t>Primera.- De la vigencia</w:t>
      </w:r>
    </w:p>
    <w:p w:rsidR="006312E8" w:rsidRPr="006312E8" w:rsidRDefault="006312E8" w:rsidP="006312E8">
      <w:pPr>
        <w:spacing w:after="0" w:line="240" w:lineRule="auto"/>
        <w:ind w:left="360"/>
        <w:jc w:val="both"/>
        <w:rPr>
          <w:rFonts w:ascii="Arial" w:eastAsia="Calibri" w:hAnsi="Arial" w:cs="Arial"/>
          <w:lang w:val="es-ES"/>
        </w:rPr>
      </w:pPr>
      <w:r w:rsidRPr="006312E8">
        <w:rPr>
          <w:rFonts w:ascii="Arial" w:eastAsia="Calibri" w:hAnsi="Arial" w:cs="Arial"/>
          <w:lang w:val="es-ES"/>
        </w:rPr>
        <w:t>La presente Directiva entrará en vigencia al día siguiente   de su publicación.</w:t>
      </w:r>
    </w:p>
    <w:p w:rsidR="006312E8" w:rsidRPr="006312E8" w:rsidRDefault="006312E8" w:rsidP="006312E8">
      <w:pPr>
        <w:spacing w:after="0" w:line="240" w:lineRule="auto"/>
        <w:ind w:left="360"/>
        <w:jc w:val="both"/>
        <w:rPr>
          <w:rFonts w:ascii="Arial" w:eastAsia="Calibri" w:hAnsi="Arial" w:cs="Arial"/>
          <w:lang w:val="es-ES"/>
        </w:rPr>
      </w:pPr>
    </w:p>
    <w:p w:rsidR="006312E8" w:rsidRPr="006312E8" w:rsidRDefault="006312E8" w:rsidP="006312E8">
      <w:pPr>
        <w:spacing w:after="0" w:line="240" w:lineRule="auto"/>
        <w:ind w:left="360"/>
        <w:jc w:val="both"/>
        <w:rPr>
          <w:rFonts w:ascii="Arial" w:eastAsia="Calibri" w:hAnsi="Arial" w:cs="Arial"/>
          <w:lang w:val="es-ES"/>
        </w:rPr>
      </w:pPr>
      <w:r w:rsidRPr="006312E8">
        <w:rPr>
          <w:rFonts w:ascii="Arial" w:eastAsia="Calibri" w:hAnsi="Arial" w:cs="Arial"/>
          <w:b/>
          <w:lang w:val="es-ES"/>
        </w:rPr>
        <w:t>Segunda</w:t>
      </w:r>
      <w:r w:rsidRPr="006312E8">
        <w:rPr>
          <w:rFonts w:ascii="Arial" w:eastAsia="Calibri" w:hAnsi="Arial" w:cs="Arial"/>
          <w:lang w:val="es-ES"/>
        </w:rPr>
        <w:t xml:space="preserve">.- </w:t>
      </w:r>
      <w:r w:rsidRPr="006312E8">
        <w:rPr>
          <w:rFonts w:ascii="Arial" w:eastAsia="Calibri" w:hAnsi="Arial" w:cs="Arial"/>
          <w:b/>
          <w:lang w:val="es-ES"/>
        </w:rPr>
        <w:t>De los procedimientos iniciados antes de la entrada en vigencia de la presente Directiva</w:t>
      </w:r>
      <w:r w:rsidRPr="006312E8">
        <w:rPr>
          <w:rFonts w:ascii="Arial" w:eastAsia="Calibri" w:hAnsi="Arial" w:cs="Arial"/>
          <w:lang w:val="es-ES"/>
        </w:rPr>
        <w:t>.</w:t>
      </w:r>
    </w:p>
    <w:p w:rsidR="006312E8" w:rsidRPr="006312E8" w:rsidRDefault="006312E8" w:rsidP="006312E8">
      <w:pPr>
        <w:spacing w:after="0" w:line="240" w:lineRule="auto"/>
        <w:ind w:left="360"/>
        <w:jc w:val="both"/>
        <w:rPr>
          <w:rFonts w:ascii="Arial" w:eastAsia="Calibri" w:hAnsi="Arial" w:cs="Arial"/>
          <w:lang w:val="es-ES"/>
        </w:rPr>
      </w:pPr>
      <w:r w:rsidRPr="006312E8">
        <w:rPr>
          <w:rFonts w:ascii="Arial" w:eastAsia="Calibri" w:hAnsi="Arial" w:cs="Arial"/>
          <w:lang w:val="es-ES"/>
        </w:rPr>
        <w:t>Los procedimientos de constitución de usufructo que se encuentren en trámite y se hayan iniciado con el Reglamento de la Ley N° 29151, se regirán por la presente Directiva.</w:t>
      </w:r>
    </w:p>
    <w:p w:rsidR="006312E8" w:rsidRPr="006312E8" w:rsidRDefault="006312E8" w:rsidP="006312E8">
      <w:pPr>
        <w:spacing w:after="0" w:line="240" w:lineRule="auto"/>
        <w:ind w:left="360"/>
        <w:jc w:val="both"/>
        <w:rPr>
          <w:rFonts w:ascii="Arial" w:eastAsia="Calibri" w:hAnsi="Arial" w:cs="Arial"/>
          <w:lang w:val="es-ES"/>
        </w:rPr>
      </w:pPr>
    </w:p>
    <w:p w:rsidR="006312E8" w:rsidRPr="006312E8" w:rsidRDefault="006312E8" w:rsidP="006312E8">
      <w:pPr>
        <w:spacing w:after="0" w:line="240" w:lineRule="auto"/>
        <w:ind w:left="360"/>
        <w:jc w:val="both"/>
        <w:rPr>
          <w:rFonts w:ascii="Arial" w:eastAsia="Calibri" w:hAnsi="Arial" w:cs="Arial"/>
          <w:lang w:val="es-ES"/>
        </w:rPr>
      </w:pPr>
      <w:r w:rsidRPr="006312E8">
        <w:rPr>
          <w:rFonts w:ascii="Arial" w:eastAsia="Calibri" w:hAnsi="Arial" w:cs="Arial"/>
          <w:lang w:val="es-ES"/>
        </w:rPr>
        <w:t>Aquellos procedimientos iniciados bajo la vigencia del Reglamento General de Procedimientos Administrativos de los Bienes de Propiedad Estatal, aprobado con Decreto  Supremo N° 154-2001-EF y sus modificatorias se regirán por la presente Directiva en lo que le fuere aplicable.</w:t>
      </w:r>
    </w:p>
    <w:p w:rsidR="006312E8" w:rsidRPr="006312E8" w:rsidRDefault="006312E8" w:rsidP="006312E8">
      <w:pPr>
        <w:spacing w:after="0" w:line="240" w:lineRule="auto"/>
        <w:ind w:left="360"/>
        <w:jc w:val="both"/>
        <w:rPr>
          <w:rFonts w:ascii="Arial" w:eastAsia="Calibri" w:hAnsi="Arial" w:cs="Arial"/>
          <w:lang w:val="es-ES"/>
        </w:rPr>
      </w:pPr>
    </w:p>
    <w:p w:rsidR="006312E8" w:rsidRPr="006312E8" w:rsidRDefault="006312E8" w:rsidP="006312E8">
      <w:pPr>
        <w:spacing w:after="0" w:line="240" w:lineRule="auto"/>
        <w:ind w:left="360"/>
        <w:jc w:val="both"/>
        <w:rPr>
          <w:rFonts w:ascii="Arial" w:eastAsia="Calibri" w:hAnsi="Arial" w:cs="Arial"/>
          <w:b/>
          <w:lang w:val="es-ES"/>
        </w:rPr>
      </w:pPr>
      <w:r w:rsidRPr="006312E8">
        <w:rPr>
          <w:rFonts w:ascii="Arial" w:eastAsia="Calibri" w:hAnsi="Arial" w:cs="Arial"/>
          <w:b/>
          <w:lang w:val="es-ES"/>
        </w:rPr>
        <w:t>Tercera.- Aplicación supletoria</w:t>
      </w:r>
    </w:p>
    <w:p w:rsidR="006312E8" w:rsidRPr="006312E8" w:rsidRDefault="006312E8" w:rsidP="006312E8">
      <w:pPr>
        <w:spacing w:after="0" w:line="240" w:lineRule="auto"/>
        <w:ind w:left="360"/>
        <w:jc w:val="both"/>
        <w:rPr>
          <w:rFonts w:ascii="Arial" w:eastAsia="Calibri" w:hAnsi="Arial" w:cs="Arial"/>
          <w:lang w:val="es-ES"/>
        </w:rPr>
      </w:pPr>
      <w:r w:rsidRPr="006312E8">
        <w:rPr>
          <w:rFonts w:ascii="Arial" w:eastAsia="Calibri" w:hAnsi="Arial" w:cs="Arial"/>
          <w:lang w:val="es-ES"/>
        </w:rPr>
        <w:t xml:space="preserve">Serán de aplicación las normas contenidas en la presente Directiva, en lo que fuera pertinente, a la constitución del usufructo de b1enes estatales considerados por leyes especiales. </w:t>
      </w:r>
    </w:p>
    <w:p w:rsidR="006312E8" w:rsidRPr="006312E8" w:rsidRDefault="006312E8" w:rsidP="006312E8">
      <w:pPr>
        <w:spacing w:after="0" w:line="240" w:lineRule="auto"/>
        <w:ind w:left="360"/>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sz w:val="28"/>
          <w:szCs w:val="28"/>
          <w:lang w:val="es-ES"/>
        </w:rPr>
      </w:pPr>
      <w:r w:rsidRPr="006312E8">
        <w:rPr>
          <w:rFonts w:ascii="Arial" w:eastAsia="Calibri" w:hAnsi="Arial" w:cs="Arial"/>
          <w:b/>
          <w:sz w:val="28"/>
          <w:szCs w:val="28"/>
          <w:lang w:val="es-ES"/>
        </w:rPr>
        <w:t>RESOLUCION Nº 050-2011-SBN</w:t>
      </w: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Aprueban Directiva que regula los “Procedimientos para la afectación en uso, extinción de la afectación en uso de predios de libre disponibilidad, así como para la regularización de las afectaciones en uso en predios que están siendo destinados a uso público o que sirvan para la prestación de un servicio público”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right"/>
        <w:rPr>
          <w:rFonts w:ascii="Arial" w:eastAsia="Calibri" w:hAnsi="Arial" w:cs="Arial"/>
          <w:b/>
          <w:lang w:val="es-ES"/>
        </w:rPr>
      </w:pPr>
      <w:r w:rsidRPr="006312E8">
        <w:rPr>
          <w:rFonts w:ascii="Arial" w:eastAsia="Calibri" w:hAnsi="Arial" w:cs="Arial"/>
          <w:b/>
          <w:lang w:val="es-ES"/>
        </w:rPr>
        <w:t>Fecha de publicación: 17-08-2011</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Lima, 11 de agosto de 2011</w:t>
      </w: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CONSIDERANDO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mediante Ley Nº 29151, se crea el Sistema Nacional de Bienes Estatales como el conjunto de organismos, garantías y normas que regulan de manera integral y coherente los bienes estatales, en sus niveles de Gobierno Nacional, Regional y Local, a fin de lograr una administración ordenada, simplificada y eficiente de los bienes del Estado;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la Superintendencia Nacional de Bienes Estatales - SBN es un organismo público ejecutor y constituye un pliego presupuestal, siendo el ente rector responsable tanto de normar los actos de adquisición, disposición, administración y supervisión de los bienes estatales, como de ejecutar dichos actos respecto de los bienes cuya administración está a su cargo, de acuerdo a la normatividad vigente gozando de autonomía económica, presupuestal, financiera, técnica y funcional, con representación judicial propia;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el artículo 13 de la Ley Nº 29151, Ley General del Sistema Nacional de Bienes Estatales, dispone que la SBN es responsable de normar los actos de adquisición, disposición, administración y supervisión de los bienes estatales;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los literales b), c) y d) del numeral 14.1 del artículo 14 de la acotada Ley, señalan como funciones y atribuciones exclusivas de la SBN, dictar las Directivas aplicables para la administración, adquisición y disposición de los bienes de propiedad estatal, procurar una eficiente gestión del portafolio inmobiliario de los bienes estatales optimizando su uso y valor, así como supervisar los bienes estatales, el cumplimiento del debido procedimiento y de los actos que ejecutan las entidades pertenecientes al Sistema, poniendo en su conocimiento y el de la Contraloría General de la República las infracciones a la normatividad que determine para las acciones correctivas y sanciones respectivas, bajo responsabilidad del Titular de la entidad pública;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en ese sentido el Artículo 97 del citado Reglamento, dispone que la afectación en uso sólo otorga el derecho de usar a título gratuito un predio a una entidad para que lo destine al uso o servicio público y excepcionalmente para fines de interés y desarrollo social;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en este contexto resulta necesario regular los procedimientos para la sustentación y aprobación de la: i) afectación en uso de predios estatales de libre disponibilidad a favor de las entidades integrantes del Sistema, ii) extinción de la afectación en uso cuando la entidad afectataria haya incurrido en alguna de las causales previstas en el Decreto Nº 007-2008-VIVIENDA así como para la recuperación de los referidos predios y iii) regularización de la afectación en uso de los predios que estén siendo destinados al uso público o que sirvan para la prestación de un servicio público;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Con la visación de la Secretaría General, de la Oficina de Asesoría Jurídica, de la Oficina de Planeamiento y Presupuesto, de la Dirección de Gestión del Patrimonio Estatal y de la Dirección de Normas y Registro;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De conformidad con lo dispuesto por la Ley Nº 29151, Ley General del Sistema Nacional de Bienes Estatales, su reglamento aprobado por el Decreto Supremo Nº 007-2008-VIVIENDA y Decreto Supremo Nº 016-2010-VIVIENDA;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SE RESUELVE:</w:t>
      </w: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b/>
          <w:lang w:val="es-ES"/>
        </w:rPr>
        <w:t>Artículo 1.-</w:t>
      </w:r>
      <w:r w:rsidRPr="006312E8">
        <w:rPr>
          <w:rFonts w:ascii="Arial" w:eastAsia="Calibri" w:hAnsi="Arial" w:cs="Arial"/>
          <w:lang w:val="es-ES"/>
        </w:rPr>
        <w:t xml:space="preserve"> Aprobar la Directiva Nº 005-2011-SBN, que regula los “Procedimientos para la afectación en uso, extinción de la afectación en uso de predios de libre disponibilidad, así como para la regularización de las afectaciones en uso en predios que están siendo destinados a uso público o que sirvan para la prestación de un servicio público”.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b/>
          <w:lang w:val="es-ES"/>
        </w:rPr>
        <w:t>Artículo 2.-</w:t>
      </w:r>
      <w:r w:rsidRPr="006312E8">
        <w:rPr>
          <w:rFonts w:ascii="Arial" w:eastAsia="Calibri" w:hAnsi="Arial" w:cs="Arial"/>
          <w:lang w:val="es-ES"/>
        </w:rPr>
        <w:t xml:space="preserve"> Derogar la Directiva Nº 005-2002-SBN que regula los “Procedimientos para la afectación en uso y desafectación de predios del Estado”.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b/>
          <w:lang w:val="es-ES"/>
        </w:rPr>
        <w:t>Artículo 3.-</w:t>
      </w:r>
      <w:r w:rsidRPr="006312E8">
        <w:rPr>
          <w:rFonts w:ascii="Arial" w:eastAsia="Calibri" w:hAnsi="Arial" w:cs="Arial"/>
          <w:lang w:val="es-ES"/>
        </w:rPr>
        <w:t xml:space="preserve"> Disponer que la presente Directiva Nº 005-2011-SBN, aprobada en el artículo precedente, debe ser publicada en el Portal Institucional de la SBN (www.sbn.gob.pe) entrando en vigencia a partir del día siguiente de publicación de la presente Resolución en el Diario Oficial El Peruano.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Regístrese, comuníquese y publíquese.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JORGE VILLANUEVA CARBAJAL</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Superintendente</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Superintendencia Nacional de Bienes Estatales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r>
    </w:p>
    <w:p w:rsidR="006312E8" w:rsidRPr="006312E8" w:rsidRDefault="006312E8" w:rsidP="00E104C8">
      <w:pPr>
        <w:pStyle w:val="TITO2"/>
      </w:pPr>
      <w:bookmarkStart w:id="263" w:name="_Toc392856216"/>
      <w:bookmarkStart w:id="264" w:name="_Toc399335491"/>
      <w:bookmarkStart w:id="265" w:name="_Toc421025438"/>
      <w:bookmarkStart w:id="266" w:name="_Toc470855540"/>
      <w:bookmarkStart w:id="267" w:name="D0052011"/>
      <w:r w:rsidRPr="006312E8">
        <w:t>DIRECTIVA Nº 005-2011-SBN</w:t>
      </w:r>
      <w:bookmarkEnd w:id="263"/>
      <w:bookmarkEnd w:id="264"/>
      <w:bookmarkEnd w:id="265"/>
      <w:bookmarkEnd w:id="266"/>
    </w:p>
    <w:bookmarkEnd w:id="267"/>
    <w:p w:rsidR="006312E8" w:rsidRPr="006312E8" w:rsidRDefault="006312E8" w:rsidP="006312E8">
      <w:pPr>
        <w:spacing w:after="0" w:line="240" w:lineRule="auto"/>
        <w:jc w:val="center"/>
        <w:rPr>
          <w:rFonts w:ascii="Arial" w:eastAsia="Calibri" w:hAnsi="Arial" w:cs="Arial"/>
          <w:b/>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PROCEDIMIENTOS PARA EL OTORGAMIENTO Y EXTINCION DE LA AFECTACION EN USO DE PREDIOS DE DOMINIO PRIVADO ESTATAL, ASI COMO PARA LA REGULARIZACION DE AFECTACIONES EN USO DE PREDIOS DE DOMINIO PÚBLICO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Lima, 09 agosto 2011</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1. ASPECTOS GENERALES</w:t>
      </w: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92471C">
      <w:pPr>
        <w:numPr>
          <w:ilvl w:val="1"/>
          <w:numId w:val="117"/>
        </w:numPr>
        <w:spacing w:after="0" w:line="240" w:lineRule="auto"/>
        <w:ind w:left="567"/>
        <w:contextualSpacing/>
        <w:jc w:val="both"/>
        <w:rPr>
          <w:rFonts w:ascii="Arial" w:eastAsia="Calibri" w:hAnsi="Arial" w:cs="Arial"/>
          <w:b/>
          <w:lang w:val="es-ES"/>
        </w:rPr>
      </w:pPr>
      <w:r w:rsidRPr="006312E8">
        <w:rPr>
          <w:rFonts w:ascii="Arial" w:eastAsia="Calibri" w:hAnsi="Arial" w:cs="Arial"/>
          <w:b/>
          <w:lang w:val="es-ES"/>
        </w:rPr>
        <w:t>Finalidad</w:t>
      </w:r>
    </w:p>
    <w:p w:rsidR="006312E8" w:rsidRPr="006312E8" w:rsidRDefault="006312E8" w:rsidP="006312E8">
      <w:pPr>
        <w:spacing w:after="0" w:line="240" w:lineRule="auto"/>
        <w:ind w:left="360"/>
        <w:contextualSpacing/>
        <w:jc w:val="both"/>
        <w:rPr>
          <w:rFonts w:ascii="Arial" w:eastAsia="Calibri" w:hAnsi="Arial" w:cs="Arial"/>
          <w:lang w:val="es-ES"/>
        </w:rPr>
      </w:pPr>
    </w:p>
    <w:p w:rsidR="006312E8" w:rsidRPr="006312E8" w:rsidRDefault="006312E8" w:rsidP="006312E8">
      <w:pPr>
        <w:spacing w:after="0" w:line="240" w:lineRule="auto"/>
        <w:ind w:left="567"/>
        <w:jc w:val="both"/>
        <w:rPr>
          <w:rFonts w:ascii="Arial" w:eastAsia="Calibri" w:hAnsi="Arial" w:cs="Arial"/>
          <w:lang w:val="es-ES"/>
        </w:rPr>
      </w:pPr>
      <w:r w:rsidRPr="006312E8">
        <w:rPr>
          <w:rFonts w:ascii="Arial" w:eastAsia="Calibri" w:hAnsi="Arial" w:cs="Arial"/>
          <w:lang w:val="es-ES"/>
        </w:rPr>
        <w:t>Regular los procedimientos para el otorgamiento y extinción de la afectación en uso de predios de dominio privado estatal de libre disponibilidad, así como para la regularización de las afectaciones en uso de los predios de dominio público.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92471C">
      <w:pPr>
        <w:numPr>
          <w:ilvl w:val="1"/>
          <w:numId w:val="117"/>
        </w:numPr>
        <w:spacing w:after="0" w:line="240" w:lineRule="auto"/>
        <w:ind w:left="567"/>
        <w:contextualSpacing/>
        <w:jc w:val="both"/>
        <w:rPr>
          <w:rFonts w:ascii="Arial" w:eastAsia="Calibri" w:hAnsi="Arial" w:cs="Arial"/>
          <w:b/>
          <w:lang w:val="es-ES"/>
        </w:rPr>
      </w:pPr>
      <w:r w:rsidRPr="006312E8">
        <w:rPr>
          <w:rFonts w:ascii="Arial" w:eastAsia="Calibri" w:hAnsi="Arial" w:cs="Arial"/>
          <w:b/>
          <w:lang w:val="es-ES"/>
        </w:rPr>
        <w:t>Objetivo</w:t>
      </w:r>
    </w:p>
    <w:p w:rsidR="006312E8" w:rsidRPr="006312E8" w:rsidRDefault="006312E8" w:rsidP="006312E8">
      <w:pPr>
        <w:spacing w:after="0" w:line="240" w:lineRule="auto"/>
        <w:ind w:left="360"/>
        <w:contextualSpacing/>
        <w:jc w:val="both"/>
        <w:rPr>
          <w:rFonts w:ascii="Arial" w:eastAsia="Calibri" w:hAnsi="Arial" w:cs="Arial"/>
          <w:lang w:val="es-ES"/>
        </w:rPr>
      </w:pPr>
    </w:p>
    <w:p w:rsidR="006312E8" w:rsidRPr="006312E8" w:rsidRDefault="006312E8" w:rsidP="006312E8">
      <w:pPr>
        <w:spacing w:after="0" w:line="240" w:lineRule="auto"/>
        <w:ind w:left="567"/>
        <w:jc w:val="both"/>
        <w:rPr>
          <w:rFonts w:ascii="Arial" w:eastAsia="Calibri" w:hAnsi="Arial" w:cs="Arial"/>
          <w:lang w:val="es-ES"/>
        </w:rPr>
      </w:pPr>
      <w:r w:rsidRPr="006312E8">
        <w:rPr>
          <w:rFonts w:ascii="Arial" w:eastAsia="Calibri" w:hAnsi="Arial" w:cs="Arial"/>
          <w:lang w:val="es-ES"/>
        </w:rPr>
        <w:t>Desarrollar los procedimientos para la sustentación y aprobación de: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numPr>
          <w:ilvl w:val="0"/>
          <w:numId w:val="57"/>
        </w:numPr>
        <w:spacing w:after="0" w:line="240" w:lineRule="auto"/>
        <w:ind w:left="993"/>
        <w:contextualSpacing/>
        <w:jc w:val="both"/>
        <w:rPr>
          <w:rFonts w:ascii="Arial" w:eastAsia="Calibri" w:hAnsi="Arial" w:cs="Arial"/>
          <w:lang w:val="es-ES"/>
        </w:rPr>
      </w:pPr>
      <w:r w:rsidRPr="006312E8">
        <w:rPr>
          <w:rFonts w:ascii="Arial" w:eastAsia="Calibri" w:hAnsi="Arial" w:cs="Arial"/>
          <w:lang w:val="es-ES"/>
        </w:rPr>
        <w:t>La afectación en uso de predios estatales de libre disponibilidad a favor de las entidades integrantes del Sistema.</w:t>
      </w:r>
    </w:p>
    <w:p w:rsidR="006312E8" w:rsidRPr="006312E8" w:rsidRDefault="006312E8" w:rsidP="006312E8">
      <w:pPr>
        <w:spacing w:after="0" w:line="240" w:lineRule="auto"/>
        <w:ind w:left="993"/>
        <w:jc w:val="both"/>
        <w:rPr>
          <w:rFonts w:ascii="Arial" w:eastAsia="Calibri" w:hAnsi="Arial" w:cs="Arial"/>
          <w:lang w:val="es-ES"/>
        </w:rPr>
      </w:pPr>
    </w:p>
    <w:p w:rsidR="006312E8" w:rsidRPr="006312E8" w:rsidRDefault="006312E8" w:rsidP="006312E8">
      <w:pPr>
        <w:numPr>
          <w:ilvl w:val="0"/>
          <w:numId w:val="57"/>
        </w:numPr>
        <w:spacing w:after="0" w:line="240" w:lineRule="auto"/>
        <w:ind w:left="993"/>
        <w:contextualSpacing/>
        <w:jc w:val="both"/>
        <w:rPr>
          <w:rFonts w:ascii="Arial" w:eastAsia="Calibri" w:hAnsi="Arial" w:cs="Arial"/>
          <w:lang w:val="es-ES"/>
        </w:rPr>
      </w:pPr>
      <w:r w:rsidRPr="006312E8">
        <w:rPr>
          <w:rFonts w:ascii="Arial" w:eastAsia="Calibri" w:hAnsi="Arial" w:cs="Arial"/>
          <w:lang w:val="es-ES"/>
        </w:rPr>
        <w:t>La extinción de la afectación en uso cuando la entidad afectataria haya incurrido en alguna de las causales previstas en el Decreto Supremo Nº 007-2008-VIVIENDA, así como para la recuperación de los referidos predios.</w:t>
      </w:r>
    </w:p>
    <w:p w:rsidR="006312E8" w:rsidRPr="006312E8" w:rsidRDefault="006312E8" w:rsidP="006312E8">
      <w:pPr>
        <w:spacing w:after="0" w:line="240" w:lineRule="auto"/>
        <w:ind w:left="993"/>
        <w:jc w:val="both"/>
        <w:rPr>
          <w:rFonts w:ascii="Arial" w:eastAsia="Calibri" w:hAnsi="Arial" w:cs="Arial"/>
          <w:lang w:val="es-ES"/>
        </w:rPr>
      </w:pPr>
    </w:p>
    <w:p w:rsidR="006312E8" w:rsidRPr="006312E8" w:rsidRDefault="006312E8" w:rsidP="006312E8">
      <w:pPr>
        <w:numPr>
          <w:ilvl w:val="0"/>
          <w:numId w:val="57"/>
        </w:numPr>
        <w:spacing w:after="0" w:line="240" w:lineRule="auto"/>
        <w:ind w:left="993"/>
        <w:contextualSpacing/>
        <w:jc w:val="both"/>
        <w:rPr>
          <w:rFonts w:ascii="Arial" w:eastAsia="Calibri" w:hAnsi="Arial" w:cs="Arial"/>
          <w:lang w:val="es-ES"/>
        </w:rPr>
      </w:pPr>
      <w:r w:rsidRPr="006312E8">
        <w:rPr>
          <w:rFonts w:ascii="Arial" w:eastAsia="Calibri" w:hAnsi="Arial" w:cs="Arial"/>
          <w:lang w:val="es-ES"/>
        </w:rPr>
        <w:t>Regularización de la afectación en uso de los predios que estén siendo destinados al uso público o que sirvan para la prestación de un servicio público.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567" w:hanging="283"/>
        <w:jc w:val="both"/>
        <w:rPr>
          <w:rFonts w:ascii="Arial" w:eastAsia="Calibri" w:hAnsi="Arial" w:cs="Arial"/>
          <w:b/>
          <w:lang w:val="es-ES"/>
        </w:rPr>
      </w:pPr>
      <w:r w:rsidRPr="006312E8">
        <w:rPr>
          <w:rFonts w:ascii="Arial" w:eastAsia="Calibri" w:hAnsi="Arial" w:cs="Arial"/>
          <w:b/>
          <w:lang w:val="es-ES"/>
        </w:rPr>
        <w:t xml:space="preserve">1.3 </w:t>
      </w:r>
      <w:r w:rsidRPr="006312E8">
        <w:rPr>
          <w:rFonts w:ascii="Arial" w:eastAsia="Calibri" w:hAnsi="Arial" w:cs="Arial"/>
          <w:b/>
          <w:lang w:val="es-ES"/>
        </w:rPr>
        <w:tab/>
        <w:t>Alcances</w:t>
      </w:r>
    </w:p>
    <w:p w:rsidR="006312E8" w:rsidRPr="006312E8" w:rsidRDefault="006312E8" w:rsidP="006312E8">
      <w:pPr>
        <w:spacing w:after="0" w:line="240" w:lineRule="auto"/>
        <w:ind w:left="709"/>
        <w:jc w:val="both"/>
        <w:rPr>
          <w:rFonts w:ascii="Arial" w:eastAsia="Calibri" w:hAnsi="Arial" w:cs="Arial"/>
          <w:lang w:val="es-ES"/>
        </w:rPr>
      </w:pPr>
      <w:r w:rsidRPr="006312E8">
        <w:rPr>
          <w:rFonts w:ascii="Arial" w:eastAsia="Calibri" w:hAnsi="Arial" w:cs="Arial"/>
          <w:lang w:val="es-ES"/>
        </w:rPr>
        <w:t>La presente Directiva es de alcance nacional y comprende los predios de dominio privado estatal de libre disponibilidad que están bajo competencia directa de: (i) La SBN; (ii) Los Gobiernos Regionales a los que SBN haya transferido funciones en el marco del proceso de descentralización; y. (iii) Las demás entidades que conforman el Sistema Nacional de Bienes Estatales, en adelante “las entidades”.</w:t>
      </w:r>
    </w:p>
    <w:p w:rsidR="006312E8" w:rsidRPr="006312E8" w:rsidRDefault="006312E8" w:rsidP="006312E8">
      <w:pPr>
        <w:spacing w:after="0" w:line="240" w:lineRule="auto"/>
        <w:ind w:left="709"/>
        <w:jc w:val="both"/>
        <w:rPr>
          <w:rFonts w:ascii="Arial" w:eastAsia="Calibri" w:hAnsi="Arial" w:cs="Arial"/>
          <w:lang w:val="es-ES"/>
        </w:rPr>
      </w:pPr>
    </w:p>
    <w:p w:rsidR="006312E8" w:rsidRPr="006312E8" w:rsidRDefault="006312E8" w:rsidP="006312E8">
      <w:pPr>
        <w:spacing w:after="0" w:line="240" w:lineRule="auto"/>
        <w:ind w:left="709"/>
        <w:jc w:val="both"/>
        <w:rPr>
          <w:rFonts w:ascii="Arial" w:eastAsia="Calibri" w:hAnsi="Arial" w:cs="Arial"/>
          <w:lang w:val="es-ES"/>
        </w:rPr>
      </w:pPr>
      <w:r w:rsidRPr="006312E8">
        <w:rPr>
          <w:rFonts w:ascii="Arial" w:eastAsia="Calibri" w:hAnsi="Arial" w:cs="Arial"/>
          <w:lang w:val="es-ES"/>
        </w:rPr>
        <w:t xml:space="preserve">Asimismo, comprende los predios de dominio público para la regularización de la afectación en uso, procedimiento a cargo de la SBN. </w:t>
      </w:r>
    </w:p>
    <w:p w:rsidR="006312E8" w:rsidRPr="006312E8" w:rsidRDefault="006312E8" w:rsidP="006312E8">
      <w:pPr>
        <w:spacing w:after="0" w:line="240" w:lineRule="auto"/>
        <w:ind w:left="709"/>
        <w:jc w:val="both"/>
        <w:rPr>
          <w:rFonts w:ascii="Arial" w:eastAsia="Calibri" w:hAnsi="Arial" w:cs="Arial"/>
          <w:lang w:val="es-ES"/>
        </w:rPr>
      </w:pPr>
    </w:p>
    <w:p w:rsidR="006312E8" w:rsidRPr="006312E8" w:rsidRDefault="006312E8" w:rsidP="006312E8">
      <w:pPr>
        <w:spacing w:after="0" w:line="240" w:lineRule="auto"/>
        <w:ind w:left="709"/>
        <w:jc w:val="both"/>
        <w:rPr>
          <w:rFonts w:ascii="Arial" w:eastAsia="Calibri" w:hAnsi="Arial" w:cs="Arial"/>
          <w:lang w:val="es-ES"/>
        </w:rPr>
      </w:pPr>
      <w:r w:rsidRPr="006312E8">
        <w:rPr>
          <w:rFonts w:ascii="Arial" w:eastAsia="Calibri" w:hAnsi="Arial" w:cs="Arial"/>
          <w:lang w:val="es-ES"/>
        </w:rPr>
        <w:t>En el caso de la SBN, la presente Directiva es de aplicación de las Subdirecciones de Administración de Patrimonio Estatal (SDAPE), la de Supervisión (SDS) y la de Desarrollo Inmobiliario (SDDI)</w:t>
      </w:r>
    </w:p>
    <w:p w:rsidR="006312E8" w:rsidRPr="006312E8" w:rsidRDefault="006312E8" w:rsidP="006312E8">
      <w:pPr>
        <w:spacing w:after="0" w:line="240" w:lineRule="auto"/>
        <w:ind w:left="709"/>
        <w:jc w:val="both"/>
        <w:rPr>
          <w:rFonts w:ascii="Arial" w:eastAsia="Calibri" w:hAnsi="Arial" w:cs="Arial"/>
          <w:lang w:val="es-ES"/>
        </w:rPr>
      </w:pPr>
    </w:p>
    <w:p w:rsidR="006312E8" w:rsidRPr="006312E8" w:rsidRDefault="006312E8" w:rsidP="006312E8">
      <w:pPr>
        <w:spacing w:after="0" w:line="240" w:lineRule="auto"/>
        <w:ind w:left="709"/>
        <w:jc w:val="both"/>
        <w:rPr>
          <w:rFonts w:ascii="Arial" w:eastAsia="Calibri" w:hAnsi="Arial" w:cs="Arial"/>
          <w:lang w:val="es-ES"/>
        </w:rPr>
      </w:pPr>
      <w:r w:rsidRPr="006312E8">
        <w:rPr>
          <w:rFonts w:ascii="Arial" w:eastAsia="Calibri" w:hAnsi="Arial" w:cs="Arial"/>
          <w:lang w:val="es-ES"/>
        </w:rPr>
        <w:t>Los Gobiernos Locales y las entidades públicas que cuentan con régimen legal especial pueden aplicar la presente directiva de manera supletoria.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84"/>
        <w:jc w:val="both"/>
        <w:rPr>
          <w:rFonts w:ascii="Arial" w:eastAsia="Calibri" w:hAnsi="Arial" w:cs="Arial"/>
          <w:b/>
          <w:lang w:val="es-ES"/>
        </w:rPr>
      </w:pPr>
      <w:r w:rsidRPr="006312E8">
        <w:rPr>
          <w:rFonts w:ascii="Arial" w:eastAsia="Calibri" w:hAnsi="Arial" w:cs="Arial"/>
          <w:b/>
          <w:lang w:val="es-ES"/>
        </w:rPr>
        <w:t>1.4 Base Legal</w:t>
      </w:r>
    </w:p>
    <w:p w:rsidR="006312E8" w:rsidRPr="006312E8" w:rsidRDefault="006312E8" w:rsidP="006312E8">
      <w:pPr>
        <w:numPr>
          <w:ilvl w:val="0"/>
          <w:numId w:val="57"/>
        </w:numPr>
        <w:spacing w:after="0" w:line="240" w:lineRule="auto"/>
        <w:ind w:left="993"/>
        <w:contextualSpacing/>
        <w:jc w:val="both"/>
        <w:rPr>
          <w:rFonts w:ascii="Arial" w:eastAsia="Calibri" w:hAnsi="Arial" w:cs="Arial"/>
          <w:lang w:val="es-ES"/>
        </w:rPr>
      </w:pPr>
      <w:r w:rsidRPr="006312E8">
        <w:rPr>
          <w:rFonts w:ascii="Arial" w:eastAsia="Calibri" w:hAnsi="Arial" w:cs="Arial"/>
          <w:lang w:val="es-ES"/>
        </w:rPr>
        <w:t>Ley General del Sistema Nacional de Bienes Estatales, aprobada con Ley 29151, en adelante “la Ley”.</w:t>
      </w:r>
    </w:p>
    <w:p w:rsidR="006312E8" w:rsidRPr="006312E8" w:rsidRDefault="006312E8" w:rsidP="006312E8">
      <w:pPr>
        <w:spacing w:after="0" w:line="240" w:lineRule="auto"/>
        <w:ind w:left="993"/>
        <w:jc w:val="both"/>
        <w:rPr>
          <w:rFonts w:ascii="Arial" w:eastAsia="Calibri" w:hAnsi="Arial" w:cs="Arial"/>
          <w:lang w:val="es-ES"/>
        </w:rPr>
      </w:pPr>
    </w:p>
    <w:p w:rsidR="006312E8" w:rsidRPr="006312E8" w:rsidRDefault="006312E8" w:rsidP="0092471C">
      <w:pPr>
        <w:numPr>
          <w:ilvl w:val="0"/>
          <w:numId w:val="118"/>
        </w:numPr>
        <w:spacing w:after="0" w:line="240" w:lineRule="auto"/>
        <w:ind w:left="993"/>
        <w:contextualSpacing/>
        <w:jc w:val="both"/>
        <w:rPr>
          <w:rFonts w:ascii="Arial" w:eastAsia="Calibri" w:hAnsi="Arial" w:cs="Arial"/>
          <w:lang w:val="es-ES"/>
        </w:rPr>
      </w:pPr>
      <w:r w:rsidRPr="006312E8">
        <w:rPr>
          <w:rFonts w:ascii="Arial" w:eastAsia="Calibri" w:hAnsi="Arial" w:cs="Arial"/>
          <w:lang w:val="es-ES"/>
        </w:rPr>
        <w:t>Los literales b) y c) del numeral 14.1 del artículo 14 de la Ley, en los que se establece como una de las atribuciones de la Superintendencia Nacional de Bienes Estatales SBN, la de expedir Directivas sobre los actos de adquisición, administración, registro y supervisión de los bienes estatales, para optimizar la gestión de los mismos.</w:t>
      </w:r>
    </w:p>
    <w:p w:rsidR="006312E8" w:rsidRPr="006312E8" w:rsidRDefault="006312E8" w:rsidP="006312E8">
      <w:pPr>
        <w:spacing w:after="0" w:line="240" w:lineRule="auto"/>
        <w:ind w:left="993"/>
        <w:jc w:val="both"/>
        <w:rPr>
          <w:rFonts w:ascii="Arial" w:eastAsia="Calibri" w:hAnsi="Arial" w:cs="Arial"/>
          <w:lang w:val="es-ES"/>
        </w:rPr>
      </w:pPr>
    </w:p>
    <w:p w:rsidR="006312E8" w:rsidRPr="006312E8" w:rsidRDefault="006312E8" w:rsidP="0092471C">
      <w:pPr>
        <w:numPr>
          <w:ilvl w:val="0"/>
          <w:numId w:val="118"/>
        </w:numPr>
        <w:spacing w:after="0" w:line="240" w:lineRule="auto"/>
        <w:ind w:left="993"/>
        <w:contextualSpacing/>
        <w:jc w:val="both"/>
        <w:rPr>
          <w:rFonts w:ascii="Arial" w:eastAsia="Calibri" w:hAnsi="Arial" w:cs="Arial"/>
          <w:lang w:val="es-ES"/>
        </w:rPr>
      </w:pPr>
      <w:r w:rsidRPr="006312E8">
        <w:rPr>
          <w:rFonts w:ascii="Arial" w:eastAsia="Calibri" w:hAnsi="Arial" w:cs="Arial"/>
          <w:lang w:val="es-ES"/>
        </w:rPr>
        <w:t>Reglamento de la Ley General del Sistema Nacional de Bienes Estatales, aprobado con Decreto Supremo Nº 007-2008-VIVIENDA en adelante “el Reglamento”.</w:t>
      </w:r>
    </w:p>
    <w:p w:rsidR="006312E8" w:rsidRPr="006312E8" w:rsidRDefault="006312E8" w:rsidP="006312E8">
      <w:pPr>
        <w:spacing w:after="0" w:line="240" w:lineRule="auto"/>
        <w:ind w:left="993"/>
        <w:jc w:val="both"/>
        <w:rPr>
          <w:rFonts w:ascii="Arial" w:eastAsia="Calibri" w:hAnsi="Arial" w:cs="Arial"/>
          <w:lang w:val="es-ES"/>
        </w:rPr>
      </w:pPr>
    </w:p>
    <w:p w:rsidR="006312E8" w:rsidRPr="006312E8" w:rsidRDefault="006312E8" w:rsidP="0092471C">
      <w:pPr>
        <w:numPr>
          <w:ilvl w:val="0"/>
          <w:numId w:val="118"/>
        </w:numPr>
        <w:spacing w:after="0" w:line="240" w:lineRule="auto"/>
        <w:ind w:left="993"/>
        <w:contextualSpacing/>
        <w:jc w:val="both"/>
        <w:rPr>
          <w:rFonts w:ascii="Arial" w:eastAsia="Calibri" w:hAnsi="Arial" w:cs="Arial"/>
          <w:lang w:val="es-ES"/>
        </w:rPr>
      </w:pPr>
      <w:r w:rsidRPr="006312E8">
        <w:rPr>
          <w:rFonts w:ascii="Arial" w:eastAsia="Calibri" w:hAnsi="Arial" w:cs="Arial"/>
          <w:lang w:val="es-ES"/>
        </w:rPr>
        <w:t>El literal c) del artículo 7 del Reglamento de Organización y Funciones de la SBN, aprobado por Decreto Supremo Nº 016-2010-VIVIENDA.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2. DISPOSICIONES GENERALES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84"/>
        <w:jc w:val="both"/>
        <w:rPr>
          <w:rFonts w:ascii="Arial" w:eastAsia="Calibri" w:hAnsi="Arial" w:cs="Arial"/>
          <w:b/>
          <w:lang w:val="es-ES"/>
        </w:rPr>
      </w:pPr>
      <w:r w:rsidRPr="006312E8">
        <w:rPr>
          <w:rFonts w:ascii="Arial" w:eastAsia="Calibri" w:hAnsi="Arial" w:cs="Arial"/>
          <w:b/>
          <w:lang w:val="es-ES"/>
        </w:rPr>
        <w:t>AFECTACION EN USO</w:t>
      </w:r>
    </w:p>
    <w:p w:rsidR="006312E8" w:rsidRPr="006312E8" w:rsidRDefault="006312E8" w:rsidP="006312E8">
      <w:pPr>
        <w:spacing w:after="0" w:line="240" w:lineRule="auto"/>
        <w:ind w:left="284"/>
        <w:jc w:val="both"/>
        <w:rPr>
          <w:rFonts w:ascii="Arial" w:eastAsia="Calibri" w:hAnsi="Arial" w:cs="Arial"/>
          <w:b/>
          <w:lang w:val="es-ES"/>
        </w:rPr>
      </w:pPr>
    </w:p>
    <w:p w:rsidR="006312E8" w:rsidRPr="00D060EB" w:rsidRDefault="006312E8" w:rsidP="0092471C">
      <w:pPr>
        <w:pStyle w:val="Prrafodelista"/>
        <w:numPr>
          <w:ilvl w:val="1"/>
          <w:numId w:val="328"/>
        </w:numPr>
        <w:spacing w:after="0" w:line="240" w:lineRule="auto"/>
        <w:ind w:left="709"/>
        <w:jc w:val="both"/>
        <w:rPr>
          <w:rFonts w:ascii="Arial" w:eastAsia="Calibri" w:hAnsi="Arial" w:cs="Arial"/>
          <w:lang w:val="es-ES"/>
        </w:rPr>
      </w:pPr>
      <w:r w:rsidRPr="00D060EB">
        <w:rPr>
          <w:rFonts w:ascii="Arial" w:eastAsia="Calibri" w:hAnsi="Arial" w:cs="Arial"/>
          <w:lang w:val="es-ES"/>
        </w:rPr>
        <w:t>La afectación en uso se inicia a solicitud de cualquier entidad integrante del Sistema ante la entidad propietaria del bien o, cuando el bien es de propiedad del Estado, ante la SBN o el Gobierno Regional que haya asumido funciones.</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D060EB" w:rsidRDefault="006312E8" w:rsidP="0092471C">
      <w:pPr>
        <w:pStyle w:val="Prrafodelista"/>
        <w:numPr>
          <w:ilvl w:val="1"/>
          <w:numId w:val="328"/>
        </w:numPr>
        <w:spacing w:after="0" w:line="240" w:lineRule="auto"/>
        <w:ind w:left="709"/>
        <w:jc w:val="both"/>
        <w:rPr>
          <w:rFonts w:ascii="Arial" w:eastAsia="Calibri" w:hAnsi="Arial" w:cs="Arial"/>
          <w:lang w:val="es-ES"/>
        </w:rPr>
      </w:pPr>
      <w:r w:rsidRPr="00D060EB">
        <w:rPr>
          <w:rFonts w:ascii="Arial" w:eastAsia="Calibri" w:hAnsi="Arial" w:cs="Arial"/>
          <w:lang w:val="es-ES"/>
        </w:rPr>
        <w:t>Las solicitudes de afectación en uso, debidamente sustentadas. Deben ser formuladas indicándose el uso o servicio público al que se destinará el predio estatal.</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1"/>
          <w:numId w:val="328"/>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La afectación en uso será tramitada y aprobada por la entidad pública propietaria o administradora del predio, a través de la unidad operativa encargada de sustentar el trámite. En los casos de predios del Estado, bajo administración de la SBN, la sustentación y aprobación está a cargo de la SDAPE.</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1"/>
          <w:numId w:val="328"/>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La afectación en uso sobre predios de dominio privado estatal se constituye, a título gratuito, a fin de que se destine al uso o servicio público; y, excepcionalmente para fines de interés y desarrollo social.</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490E64" w:rsidP="0092471C">
      <w:pPr>
        <w:numPr>
          <w:ilvl w:val="1"/>
          <w:numId w:val="328"/>
        </w:numPr>
        <w:spacing w:after="0" w:line="240" w:lineRule="auto"/>
        <w:ind w:left="709"/>
        <w:contextualSpacing/>
        <w:jc w:val="both"/>
        <w:rPr>
          <w:rFonts w:ascii="Arial" w:eastAsia="Calibri" w:hAnsi="Arial" w:cs="Arial"/>
          <w:lang w:val="es-ES"/>
        </w:rPr>
      </w:pPr>
      <w:r w:rsidRPr="00490E64">
        <w:rPr>
          <w:rFonts w:ascii="Arial" w:eastAsia="Calibri" w:hAnsi="Arial" w:cs="Arial"/>
          <w:lang w:val="es-ES"/>
        </w:rPr>
        <w:t>La afectación en uso se constituye sobre predios de libre disponibilidad que se encuentren inscritos a favor del Estado o de la entidad titular del predio estatal.</w:t>
      </w:r>
      <w:r>
        <w:rPr>
          <w:rFonts w:ascii="Arial" w:eastAsia="Calibri" w:hAnsi="Arial" w:cs="Arial"/>
          <w:lang w:val="es-ES"/>
        </w:rPr>
        <w:t xml:space="preserve"> (*)</w:t>
      </w:r>
    </w:p>
    <w:p w:rsidR="00490E64" w:rsidRPr="00490E64" w:rsidRDefault="00490E64" w:rsidP="00490E64">
      <w:pPr>
        <w:spacing w:after="0" w:line="240" w:lineRule="auto"/>
        <w:ind w:firstLine="708"/>
        <w:jc w:val="both"/>
        <w:rPr>
          <w:rFonts w:ascii="Arial" w:eastAsia="Times New Roman" w:hAnsi="Arial" w:cs="Arial"/>
          <w:b/>
          <w:color w:val="FF0000"/>
          <w:sz w:val="16"/>
          <w:szCs w:val="16"/>
          <w:lang w:val="es-ES"/>
        </w:rPr>
      </w:pPr>
      <w:r w:rsidRPr="00490E64">
        <w:rPr>
          <w:rFonts w:ascii="Arial" w:eastAsia="Times New Roman" w:hAnsi="Arial" w:cs="Arial"/>
          <w:b/>
          <w:color w:val="FF0000"/>
          <w:sz w:val="16"/>
          <w:szCs w:val="16"/>
          <w:lang w:val="es-ES"/>
        </w:rPr>
        <w:t>(*)</w:t>
      </w:r>
      <w:r>
        <w:rPr>
          <w:rFonts w:ascii="Arial" w:eastAsia="Times New Roman" w:hAnsi="Arial" w:cs="Arial"/>
          <w:b/>
          <w:color w:val="FF0000"/>
          <w:sz w:val="16"/>
          <w:szCs w:val="16"/>
          <w:lang w:val="es-ES"/>
        </w:rPr>
        <w:t xml:space="preserve"> Numeral</w:t>
      </w:r>
      <w:r w:rsidRPr="00490E64">
        <w:rPr>
          <w:rFonts w:ascii="Arial" w:eastAsia="Times New Roman" w:hAnsi="Arial" w:cs="Arial"/>
          <w:b/>
          <w:color w:val="FF0000"/>
          <w:sz w:val="16"/>
          <w:szCs w:val="16"/>
          <w:lang w:val="es-ES"/>
        </w:rPr>
        <w:t xml:space="preserve"> modificado por el Artículo 1 de la </w:t>
      </w:r>
      <w:r>
        <w:rPr>
          <w:rFonts w:ascii="Arial" w:eastAsia="Times New Roman" w:hAnsi="Arial" w:cs="Arial"/>
          <w:b/>
          <w:color w:val="FF0000"/>
          <w:sz w:val="16"/>
          <w:szCs w:val="16"/>
          <w:lang w:val="es-ES"/>
        </w:rPr>
        <w:t>Resolución N° 047</w:t>
      </w:r>
      <w:r w:rsidRPr="00490E64">
        <w:rPr>
          <w:rFonts w:ascii="Arial" w:eastAsia="Times New Roman" w:hAnsi="Arial" w:cs="Arial"/>
          <w:b/>
          <w:color w:val="FF0000"/>
          <w:sz w:val="16"/>
          <w:szCs w:val="16"/>
          <w:lang w:val="es-ES"/>
        </w:rPr>
        <w:t>-201</w:t>
      </w:r>
      <w:r>
        <w:rPr>
          <w:rFonts w:ascii="Arial" w:eastAsia="Times New Roman" w:hAnsi="Arial" w:cs="Arial"/>
          <w:b/>
          <w:color w:val="FF0000"/>
          <w:sz w:val="16"/>
          <w:szCs w:val="16"/>
          <w:lang w:val="es-ES"/>
        </w:rPr>
        <w:t>6</w:t>
      </w:r>
      <w:r w:rsidRPr="00490E64">
        <w:rPr>
          <w:rFonts w:ascii="Arial" w:eastAsia="Times New Roman" w:hAnsi="Arial" w:cs="Arial"/>
          <w:b/>
          <w:color w:val="FF0000"/>
          <w:sz w:val="16"/>
          <w:szCs w:val="16"/>
          <w:lang w:val="es-ES"/>
        </w:rPr>
        <w:t>/SBN, publicad</w:t>
      </w:r>
      <w:r>
        <w:rPr>
          <w:rFonts w:ascii="Arial" w:eastAsia="Times New Roman" w:hAnsi="Arial" w:cs="Arial"/>
          <w:b/>
          <w:color w:val="FF0000"/>
          <w:sz w:val="16"/>
          <w:szCs w:val="16"/>
          <w:lang w:val="es-ES"/>
        </w:rPr>
        <w:t>a</w:t>
      </w:r>
      <w:r w:rsidRPr="00490E64">
        <w:rPr>
          <w:rFonts w:ascii="Arial" w:eastAsia="Times New Roman" w:hAnsi="Arial" w:cs="Arial"/>
          <w:b/>
          <w:color w:val="FF0000"/>
          <w:sz w:val="16"/>
          <w:szCs w:val="16"/>
          <w:lang w:val="es-ES"/>
        </w:rPr>
        <w:t xml:space="preserve"> el </w:t>
      </w:r>
      <w:r>
        <w:rPr>
          <w:rFonts w:ascii="Arial" w:eastAsia="Times New Roman" w:hAnsi="Arial" w:cs="Arial"/>
          <w:b/>
          <w:color w:val="FF0000"/>
          <w:sz w:val="16"/>
          <w:szCs w:val="16"/>
          <w:lang w:val="es-ES"/>
        </w:rPr>
        <w:t>01</w:t>
      </w:r>
      <w:r w:rsidRPr="00490E64">
        <w:rPr>
          <w:rFonts w:ascii="Arial" w:eastAsia="Times New Roman" w:hAnsi="Arial" w:cs="Arial"/>
          <w:b/>
          <w:color w:val="FF0000"/>
          <w:sz w:val="16"/>
          <w:szCs w:val="16"/>
          <w:lang w:val="es-ES"/>
        </w:rPr>
        <w:t xml:space="preserve"> de </w:t>
      </w:r>
      <w:r>
        <w:rPr>
          <w:rFonts w:ascii="Arial" w:eastAsia="Times New Roman" w:hAnsi="Arial" w:cs="Arial"/>
          <w:b/>
          <w:color w:val="FF0000"/>
          <w:sz w:val="16"/>
          <w:szCs w:val="16"/>
          <w:lang w:val="es-ES"/>
        </w:rPr>
        <w:t>julio</w:t>
      </w:r>
      <w:r w:rsidRPr="00490E64">
        <w:rPr>
          <w:rFonts w:ascii="Arial" w:eastAsia="Times New Roman" w:hAnsi="Arial" w:cs="Arial"/>
          <w:b/>
          <w:color w:val="FF0000"/>
          <w:sz w:val="16"/>
          <w:szCs w:val="16"/>
          <w:lang w:val="es-ES"/>
        </w:rPr>
        <w:t xml:space="preserve"> de 201</w:t>
      </w:r>
      <w:r>
        <w:rPr>
          <w:rFonts w:ascii="Arial" w:eastAsia="Times New Roman" w:hAnsi="Arial" w:cs="Arial"/>
          <w:b/>
          <w:color w:val="FF0000"/>
          <w:sz w:val="16"/>
          <w:szCs w:val="16"/>
          <w:lang w:val="es-ES"/>
        </w:rPr>
        <w:t>6</w:t>
      </w:r>
    </w:p>
    <w:p w:rsidR="006312E8" w:rsidRPr="006312E8" w:rsidRDefault="006312E8" w:rsidP="006312E8">
      <w:pPr>
        <w:spacing w:after="200" w:line="276" w:lineRule="auto"/>
        <w:ind w:left="720"/>
        <w:contextualSpacing/>
        <w:rPr>
          <w:rFonts w:ascii="Arial" w:eastAsia="Calibri" w:hAnsi="Arial" w:cs="Arial"/>
          <w:lang w:val="es-ES"/>
        </w:rPr>
      </w:pPr>
    </w:p>
    <w:p w:rsidR="00490E64" w:rsidRPr="00490E64" w:rsidRDefault="00490E64" w:rsidP="0092471C">
      <w:pPr>
        <w:numPr>
          <w:ilvl w:val="1"/>
          <w:numId w:val="328"/>
        </w:numPr>
        <w:spacing w:after="0" w:line="240" w:lineRule="auto"/>
        <w:ind w:left="709"/>
        <w:contextualSpacing/>
        <w:jc w:val="both"/>
        <w:rPr>
          <w:rFonts w:ascii="Arial" w:eastAsia="Calibri" w:hAnsi="Arial" w:cs="Arial"/>
          <w:lang w:val="es-ES"/>
        </w:rPr>
      </w:pPr>
      <w:r w:rsidRPr="00490E64">
        <w:rPr>
          <w:rFonts w:ascii="Arial" w:eastAsia="Calibri" w:hAnsi="Arial" w:cs="Arial"/>
          <w:lang w:val="es-ES"/>
        </w:rPr>
        <w:t>La afectación en uso se otorga a plazo determinado o indeterminado, conforme a la finalidad a la que se pretende destinar el bien para el uso público o prestación de un servicio público, en el marco de sus fines institucionales, lo que deberá constar en la Resolución aprobatoria correspondiente, bajo sanción de nulidad.</w:t>
      </w:r>
    </w:p>
    <w:p w:rsidR="00490E64" w:rsidRDefault="00490E64" w:rsidP="00490E64">
      <w:pPr>
        <w:spacing w:after="200" w:line="276" w:lineRule="auto"/>
        <w:ind w:left="720"/>
        <w:contextualSpacing/>
        <w:jc w:val="both"/>
        <w:rPr>
          <w:rFonts w:ascii="Arial" w:eastAsia="Calibri" w:hAnsi="Arial" w:cs="Arial"/>
          <w:lang w:val="es-ES"/>
        </w:rPr>
      </w:pPr>
    </w:p>
    <w:p w:rsidR="00490E64" w:rsidRPr="00490E64" w:rsidRDefault="00490E64" w:rsidP="00490E64">
      <w:pPr>
        <w:spacing w:after="200" w:line="276" w:lineRule="auto"/>
        <w:ind w:left="720"/>
        <w:contextualSpacing/>
        <w:jc w:val="both"/>
        <w:rPr>
          <w:rFonts w:ascii="Arial" w:eastAsia="Calibri" w:hAnsi="Arial" w:cs="Arial"/>
          <w:lang w:val="es-ES"/>
        </w:rPr>
      </w:pPr>
      <w:r w:rsidRPr="00490E64">
        <w:rPr>
          <w:rFonts w:ascii="Arial" w:eastAsia="Calibri" w:hAnsi="Arial" w:cs="Arial"/>
          <w:lang w:val="es-ES"/>
        </w:rPr>
        <w:t>En caso que para el cumplimiento de la finalidad se requiera la ejecución de un proyecto, en la Resolución que aprueba la afectación en uso, además, se consigna el plazo para la ejecución de dicho proyecto, bajo sanción de extinción de la afectación en uso. Dicho proyecto puede consistir en la ejecución de una obra de infraestructura u otra actividad.</w:t>
      </w:r>
    </w:p>
    <w:p w:rsidR="00490E64" w:rsidRDefault="00490E64" w:rsidP="00490E64">
      <w:pPr>
        <w:spacing w:after="200" w:line="276" w:lineRule="auto"/>
        <w:ind w:left="720"/>
        <w:contextualSpacing/>
        <w:jc w:val="both"/>
        <w:rPr>
          <w:rFonts w:ascii="Arial" w:eastAsia="Calibri" w:hAnsi="Arial" w:cs="Arial"/>
          <w:lang w:val="es-ES"/>
        </w:rPr>
      </w:pPr>
    </w:p>
    <w:p w:rsidR="00490E64" w:rsidRPr="00490E64" w:rsidRDefault="00490E64" w:rsidP="00490E64">
      <w:pPr>
        <w:spacing w:after="200" w:line="276" w:lineRule="auto"/>
        <w:ind w:left="720"/>
        <w:contextualSpacing/>
        <w:jc w:val="both"/>
        <w:rPr>
          <w:rFonts w:ascii="Arial" w:eastAsia="Calibri" w:hAnsi="Arial" w:cs="Arial"/>
          <w:lang w:val="es-ES"/>
        </w:rPr>
      </w:pPr>
      <w:r w:rsidRPr="00490E64">
        <w:rPr>
          <w:rFonts w:ascii="Arial" w:eastAsia="Calibri" w:hAnsi="Arial" w:cs="Arial"/>
          <w:lang w:val="es-ES"/>
        </w:rPr>
        <w:t>En la Resolución que aprueba la afectación en uso, además, debe consignarse el plazo para la ejecución del proyecto requerido para el cumplimiento de la finalidad, bajo sanción de extinción de la afectación en uso. Dicho proyecto puede consistir en la ejecución de una obra de infraestructura.</w:t>
      </w:r>
    </w:p>
    <w:p w:rsidR="00490E64" w:rsidRDefault="00490E64" w:rsidP="00490E64">
      <w:pPr>
        <w:spacing w:after="200" w:line="276" w:lineRule="auto"/>
        <w:ind w:left="720"/>
        <w:contextualSpacing/>
        <w:jc w:val="both"/>
        <w:rPr>
          <w:rFonts w:ascii="Arial" w:eastAsia="Calibri" w:hAnsi="Arial" w:cs="Arial"/>
          <w:lang w:val="es-ES"/>
        </w:rPr>
      </w:pPr>
    </w:p>
    <w:p w:rsidR="00490E64" w:rsidRPr="00490E64" w:rsidRDefault="00490E64" w:rsidP="00490E64">
      <w:pPr>
        <w:spacing w:after="200" w:line="276" w:lineRule="auto"/>
        <w:ind w:left="720"/>
        <w:contextualSpacing/>
        <w:jc w:val="both"/>
        <w:rPr>
          <w:rFonts w:ascii="Arial" w:eastAsia="Calibri" w:hAnsi="Arial" w:cs="Arial"/>
          <w:lang w:val="es-ES"/>
        </w:rPr>
      </w:pPr>
      <w:r w:rsidRPr="00490E64">
        <w:rPr>
          <w:rFonts w:ascii="Arial" w:eastAsia="Calibri" w:hAnsi="Arial" w:cs="Arial"/>
          <w:lang w:val="es-ES"/>
        </w:rPr>
        <w:t>El plazo para la ejecución del proyecto u obra se establece de la forma siguiente:</w:t>
      </w:r>
    </w:p>
    <w:p w:rsidR="00490E64" w:rsidRPr="00490E64" w:rsidRDefault="00490E64" w:rsidP="00490E64">
      <w:pPr>
        <w:spacing w:after="200" w:line="276" w:lineRule="auto"/>
        <w:ind w:left="720"/>
        <w:contextualSpacing/>
        <w:jc w:val="both"/>
        <w:rPr>
          <w:rFonts w:ascii="Arial" w:eastAsia="Calibri" w:hAnsi="Arial" w:cs="Arial"/>
          <w:lang w:val="es-ES"/>
        </w:rPr>
      </w:pPr>
    </w:p>
    <w:p w:rsidR="00490E64" w:rsidRPr="00490E64" w:rsidRDefault="00490E64" w:rsidP="00490E64">
      <w:pPr>
        <w:spacing w:after="200" w:line="276" w:lineRule="auto"/>
        <w:ind w:left="1560" w:hanging="426"/>
        <w:contextualSpacing/>
        <w:jc w:val="both"/>
        <w:rPr>
          <w:rFonts w:ascii="Arial" w:eastAsia="Calibri" w:hAnsi="Arial" w:cs="Arial"/>
          <w:lang w:val="es-ES"/>
        </w:rPr>
      </w:pPr>
      <w:r w:rsidRPr="00490E64">
        <w:rPr>
          <w:rFonts w:ascii="Arial" w:eastAsia="Calibri" w:hAnsi="Arial" w:cs="Arial"/>
          <w:lang w:val="es-ES"/>
        </w:rPr>
        <w:t xml:space="preserve">a) </w:t>
      </w:r>
      <w:r>
        <w:rPr>
          <w:rFonts w:ascii="Arial" w:eastAsia="Calibri" w:hAnsi="Arial" w:cs="Arial"/>
          <w:lang w:val="es-ES"/>
        </w:rPr>
        <w:tab/>
      </w:r>
      <w:r w:rsidRPr="00490E64">
        <w:rPr>
          <w:rFonts w:ascii="Arial" w:eastAsia="Calibri" w:hAnsi="Arial" w:cs="Arial"/>
          <w:lang w:val="es-ES"/>
        </w:rPr>
        <w:t>Si se sustenta con un expediente de proyecto, el plazo se establece de acuerdo al cronograma fijado en dicho proyecto.</w:t>
      </w:r>
    </w:p>
    <w:p w:rsidR="00490E64" w:rsidRPr="00490E64" w:rsidRDefault="00490E64" w:rsidP="00490E64">
      <w:pPr>
        <w:spacing w:after="200" w:line="276" w:lineRule="auto"/>
        <w:ind w:left="1560" w:hanging="426"/>
        <w:contextualSpacing/>
        <w:jc w:val="both"/>
        <w:rPr>
          <w:rFonts w:ascii="Arial" w:eastAsia="Calibri" w:hAnsi="Arial" w:cs="Arial"/>
          <w:lang w:val="es-ES"/>
        </w:rPr>
      </w:pPr>
    </w:p>
    <w:p w:rsidR="00490E64" w:rsidRPr="00490E64" w:rsidRDefault="00490E64" w:rsidP="00490E64">
      <w:pPr>
        <w:spacing w:after="200" w:line="276" w:lineRule="auto"/>
        <w:ind w:left="1560" w:hanging="426"/>
        <w:contextualSpacing/>
        <w:jc w:val="both"/>
        <w:rPr>
          <w:rFonts w:ascii="Arial" w:eastAsia="Calibri" w:hAnsi="Arial" w:cs="Arial"/>
          <w:lang w:val="es-ES"/>
        </w:rPr>
      </w:pPr>
      <w:r w:rsidRPr="00490E64">
        <w:rPr>
          <w:rFonts w:ascii="Arial" w:eastAsia="Calibri" w:hAnsi="Arial" w:cs="Arial"/>
          <w:lang w:val="es-ES"/>
        </w:rPr>
        <w:t xml:space="preserve">b) </w:t>
      </w:r>
      <w:r>
        <w:rPr>
          <w:rFonts w:ascii="Arial" w:eastAsia="Calibri" w:hAnsi="Arial" w:cs="Arial"/>
          <w:lang w:val="es-ES"/>
        </w:rPr>
        <w:tab/>
      </w:r>
      <w:r w:rsidRPr="00490E64">
        <w:rPr>
          <w:rFonts w:ascii="Arial" w:eastAsia="Calibri" w:hAnsi="Arial" w:cs="Arial"/>
          <w:lang w:val="es-ES"/>
        </w:rPr>
        <w:t>Si se sustenta con un plan conceptual o idea de proyecto se dispondrá el plazo máximo de dos (2) años para la presentación del expediente del proyecto, y, una vez presentado, vía Resolución se establecerá el plazo para su ejecución, conforme al cronograma fijado en dicho proyecto.</w:t>
      </w:r>
    </w:p>
    <w:p w:rsidR="00490E64" w:rsidRPr="00490E64" w:rsidRDefault="00490E64" w:rsidP="00490E64">
      <w:pPr>
        <w:spacing w:after="200" w:line="276" w:lineRule="auto"/>
        <w:ind w:left="720"/>
        <w:contextualSpacing/>
        <w:jc w:val="both"/>
        <w:rPr>
          <w:rFonts w:ascii="Arial" w:eastAsia="Calibri" w:hAnsi="Arial" w:cs="Arial"/>
          <w:lang w:val="es-ES"/>
        </w:rPr>
      </w:pPr>
    </w:p>
    <w:p w:rsidR="006312E8" w:rsidRDefault="00490E64" w:rsidP="00490E64">
      <w:pPr>
        <w:spacing w:after="200" w:line="276" w:lineRule="auto"/>
        <w:ind w:left="720"/>
        <w:contextualSpacing/>
        <w:jc w:val="both"/>
        <w:rPr>
          <w:rFonts w:ascii="Arial" w:eastAsia="Calibri" w:hAnsi="Arial" w:cs="Arial"/>
          <w:lang w:val="es-ES"/>
        </w:rPr>
      </w:pPr>
      <w:r w:rsidRPr="00490E64">
        <w:rPr>
          <w:rFonts w:ascii="Arial" w:eastAsia="Calibri" w:hAnsi="Arial" w:cs="Arial"/>
          <w:lang w:val="es-ES"/>
        </w:rPr>
        <w:t>En cualquiera de los supuestos antes mencionados puede otorgarse un plazo mayor al indicado, siempre y cuando la dimensión de la ejecución del proyec</w:t>
      </w:r>
      <w:r>
        <w:rPr>
          <w:rFonts w:ascii="Arial" w:eastAsia="Calibri" w:hAnsi="Arial" w:cs="Arial"/>
          <w:lang w:val="es-ES"/>
        </w:rPr>
        <w:t xml:space="preserve">to lo amerite, la cual debe ser </w:t>
      </w:r>
      <w:r w:rsidRPr="00490E64">
        <w:rPr>
          <w:rFonts w:ascii="Arial" w:eastAsia="Calibri" w:hAnsi="Arial" w:cs="Arial"/>
          <w:lang w:val="es-ES"/>
        </w:rPr>
        <w:t>sustentada</w:t>
      </w:r>
      <w:r>
        <w:rPr>
          <w:rFonts w:ascii="Arial" w:eastAsia="Calibri" w:hAnsi="Arial" w:cs="Arial"/>
          <w:lang w:val="es-ES"/>
        </w:rPr>
        <w:t>. (*)</w:t>
      </w:r>
    </w:p>
    <w:p w:rsidR="00490E64" w:rsidRDefault="00490E64" w:rsidP="00490E64">
      <w:pPr>
        <w:spacing w:after="200" w:line="276" w:lineRule="auto"/>
        <w:ind w:left="720"/>
        <w:contextualSpacing/>
        <w:jc w:val="both"/>
        <w:rPr>
          <w:rFonts w:ascii="Arial" w:eastAsia="Calibri" w:hAnsi="Arial" w:cs="Arial"/>
          <w:lang w:val="es-ES"/>
        </w:rPr>
      </w:pPr>
      <w:r w:rsidRPr="00490E64">
        <w:rPr>
          <w:rFonts w:ascii="Arial" w:eastAsia="Times New Roman" w:hAnsi="Arial" w:cs="Arial"/>
          <w:b/>
          <w:color w:val="FF0000"/>
          <w:sz w:val="16"/>
          <w:szCs w:val="16"/>
          <w:lang w:val="es-ES"/>
        </w:rPr>
        <w:t>(*)</w:t>
      </w:r>
      <w:r>
        <w:rPr>
          <w:rFonts w:ascii="Arial" w:eastAsia="Times New Roman" w:hAnsi="Arial" w:cs="Arial"/>
          <w:b/>
          <w:color w:val="FF0000"/>
          <w:sz w:val="16"/>
          <w:szCs w:val="16"/>
          <w:lang w:val="es-ES"/>
        </w:rPr>
        <w:t xml:space="preserve"> Numeral</w:t>
      </w:r>
      <w:r w:rsidRPr="00490E64">
        <w:rPr>
          <w:rFonts w:ascii="Arial" w:eastAsia="Times New Roman" w:hAnsi="Arial" w:cs="Arial"/>
          <w:b/>
          <w:color w:val="FF0000"/>
          <w:sz w:val="16"/>
          <w:szCs w:val="16"/>
          <w:lang w:val="es-ES"/>
        </w:rPr>
        <w:t xml:space="preserve"> modificado por el Artículo 1 de la </w:t>
      </w:r>
      <w:r>
        <w:rPr>
          <w:rFonts w:ascii="Arial" w:eastAsia="Times New Roman" w:hAnsi="Arial" w:cs="Arial"/>
          <w:b/>
          <w:color w:val="FF0000"/>
          <w:sz w:val="16"/>
          <w:szCs w:val="16"/>
          <w:lang w:val="es-ES"/>
        </w:rPr>
        <w:t>Resolución N° 047</w:t>
      </w:r>
      <w:r w:rsidRPr="00490E64">
        <w:rPr>
          <w:rFonts w:ascii="Arial" w:eastAsia="Times New Roman" w:hAnsi="Arial" w:cs="Arial"/>
          <w:b/>
          <w:color w:val="FF0000"/>
          <w:sz w:val="16"/>
          <w:szCs w:val="16"/>
          <w:lang w:val="es-ES"/>
        </w:rPr>
        <w:t>-201</w:t>
      </w:r>
      <w:r>
        <w:rPr>
          <w:rFonts w:ascii="Arial" w:eastAsia="Times New Roman" w:hAnsi="Arial" w:cs="Arial"/>
          <w:b/>
          <w:color w:val="FF0000"/>
          <w:sz w:val="16"/>
          <w:szCs w:val="16"/>
          <w:lang w:val="es-ES"/>
        </w:rPr>
        <w:t>6</w:t>
      </w:r>
      <w:r w:rsidRPr="00490E64">
        <w:rPr>
          <w:rFonts w:ascii="Arial" w:eastAsia="Times New Roman" w:hAnsi="Arial" w:cs="Arial"/>
          <w:b/>
          <w:color w:val="FF0000"/>
          <w:sz w:val="16"/>
          <w:szCs w:val="16"/>
          <w:lang w:val="es-ES"/>
        </w:rPr>
        <w:t>/SBN, publicad</w:t>
      </w:r>
      <w:r>
        <w:rPr>
          <w:rFonts w:ascii="Arial" w:eastAsia="Times New Roman" w:hAnsi="Arial" w:cs="Arial"/>
          <w:b/>
          <w:color w:val="FF0000"/>
          <w:sz w:val="16"/>
          <w:szCs w:val="16"/>
          <w:lang w:val="es-ES"/>
        </w:rPr>
        <w:t>a</w:t>
      </w:r>
      <w:r w:rsidRPr="00490E64">
        <w:rPr>
          <w:rFonts w:ascii="Arial" w:eastAsia="Times New Roman" w:hAnsi="Arial" w:cs="Arial"/>
          <w:b/>
          <w:color w:val="FF0000"/>
          <w:sz w:val="16"/>
          <w:szCs w:val="16"/>
          <w:lang w:val="es-ES"/>
        </w:rPr>
        <w:t xml:space="preserve"> el </w:t>
      </w:r>
      <w:r>
        <w:rPr>
          <w:rFonts w:ascii="Arial" w:eastAsia="Times New Roman" w:hAnsi="Arial" w:cs="Arial"/>
          <w:b/>
          <w:color w:val="FF0000"/>
          <w:sz w:val="16"/>
          <w:szCs w:val="16"/>
          <w:lang w:val="es-ES"/>
        </w:rPr>
        <w:t>01</w:t>
      </w:r>
      <w:r w:rsidRPr="00490E64">
        <w:rPr>
          <w:rFonts w:ascii="Arial" w:eastAsia="Times New Roman" w:hAnsi="Arial" w:cs="Arial"/>
          <w:b/>
          <w:color w:val="FF0000"/>
          <w:sz w:val="16"/>
          <w:szCs w:val="16"/>
          <w:lang w:val="es-ES"/>
        </w:rPr>
        <w:t xml:space="preserve"> de </w:t>
      </w:r>
      <w:r>
        <w:rPr>
          <w:rFonts w:ascii="Arial" w:eastAsia="Times New Roman" w:hAnsi="Arial" w:cs="Arial"/>
          <w:b/>
          <w:color w:val="FF0000"/>
          <w:sz w:val="16"/>
          <w:szCs w:val="16"/>
          <w:lang w:val="es-ES"/>
        </w:rPr>
        <w:t>julio</w:t>
      </w:r>
      <w:r w:rsidRPr="00490E64">
        <w:rPr>
          <w:rFonts w:ascii="Arial" w:eastAsia="Times New Roman" w:hAnsi="Arial" w:cs="Arial"/>
          <w:b/>
          <w:color w:val="FF0000"/>
          <w:sz w:val="16"/>
          <w:szCs w:val="16"/>
          <w:lang w:val="es-ES"/>
        </w:rPr>
        <w:t xml:space="preserve"> de 201</w:t>
      </w:r>
      <w:r>
        <w:rPr>
          <w:rFonts w:ascii="Arial" w:eastAsia="Times New Roman" w:hAnsi="Arial" w:cs="Arial"/>
          <w:b/>
          <w:color w:val="FF0000"/>
          <w:sz w:val="16"/>
          <w:szCs w:val="16"/>
          <w:lang w:val="es-ES"/>
        </w:rPr>
        <w:t>6</w:t>
      </w:r>
    </w:p>
    <w:p w:rsidR="00490E64" w:rsidRPr="006312E8" w:rsidRDefault="00490E64" w:rsidP="00490E64">
      <w:pPr>
        <w:spacing w:after="200" w:line="276" w:lineRule="auto"/>
        <w:ind w:left="720"/>
        <w:contextualSpacing/>
        <w:rPr>
          <w:rFonts w:ascii="Arial" w:eastAsia="Calibri" w:hAnsi="Arial" w:cs="Arial"/>
          <w:lang w:val="es-ES"/>
        </w:rPr>
      </w:pPr>
    </w:p>
    <w:p w:rsidR="006312E8" w:rsidRPr="006312E8" w:rsidRDefault="006312E8" w:rsidP="0092471C">
      <w:pPr>
        <w:numPr>
          <w:ilvl w:val="1"/>
          <w:numId w:val="328"/>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Las afectaciones en uso aprobadas a plazo determinado podrán ser objeto de prórroga, previa evaluación de la unidad orgánica competente.</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1"/>
          <w:numId w:val="328"/>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Existirá pluralidad de afectatarios cuando dos o más entidades destinan parcialmente un mismo predio a un servicio público. En tal caso cada afectatario ejercerá proporcionalmente los derechos y obligaciones (conservación, mantenimiento y tributarios) inherentes a la afectación en uso otorgada.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1"/>
          <w:numId w:val="328"/>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El Estado puede poner término unilateralmente y de pleno derecho a las afectaciones en uso que otorgue, por razones de seguridad o de interés público.</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1"/>
          <w:numId w:val="328"/>
        </w:numPr>
        <w:spacing w:after="0" w:line="240" w:lineRule="auto"/>
        <w:ind w:left="709" w:hanging="567"/>
        <w:contextualSpacing/>
        <w:jc w:val="both"/>
        <w:rPr>
          <w:rFonts w:ascii="Arial" w:eastAsia="Calibri" w:hAnsi="Arial" w:cs="Arial"/>
          <w:lang w:val="es-ES"/>
        </w:rPr>
      </w:pPr>
      <w:r w:rsidRPr="006312E8">
        <w:rPr>
          <w:rFonts w:ascii="Arial" w:eastAsia="Calibri" w:hAnsi="Arial" w:cs="Arial"/>
          <w:lang w:val="es-ES"/>
        </w:rPr>
        <w:t>Expedida la Resolución de Afectación en uso, la entidad propietaria o administradora (SBN o Gobierno Regional) elaborará y suscribirá conjuntamente con el afectatario el Acta de Entrega - Recepción del predio sobre el que se constituye el derecho de afectación en uso.</w:t>
      </w:r>
    </w:p>
    <w:p w:rsidR="006312E8" w:rsidRPr="006312E8" w:rsidRDefault="006312E8" w:rsidP="006312E8">
      <w:pPr>
        <w:spacing w:after="200" w:line="276" w:lineRule="auto"/>
        <w:ind w:left="720"/>
        <w:contextualSpacing/>
        <w:rPr>
          <w:rFonts w:ascii="Arial" w:eastAsia="Calibri" w:hAnsi="Arial" w:cs="Arial"/>
          <w:lang w:val="es-ES"/>
        </w:rPr>
      </w:pPr>
    </w:p>
    <w:p w:rsidR="006312E8" w:rsidRDefault="00490E64" w:rsidP="0092471C">
      <w:pPr>
        <w:numPr>
          <w:ilvl w:val="1"/>
          <w:numId w:val="328"/>
        </w:numPr>
        <w:spacing w:after="0" w:line="240" w:lineRule="auto"/>
        <w:ind w:left="709" w:hanging="567"/>
        <w:contextualSpacing/>
        <w:jc w:val="both"/>
        <w:rPr>
          <w:rFonts w:ascii="Arial" w:eastAsia="Calibri" w:hAnsi="Arial" w:cs="Arial"/>
          <w:lang w:val="es-ES"/>
        </w:rPr>
      </w:pPr>
      <w:r w:rsidRPr="00490E64">
        <w:rPr>
          <w:rFonts w:ascii="Arial" w:eastAsia="Calibri" w:hAnsi="Arial" w:cs="Arial"/>
          <w:lang w:val="es-ES"/>
        </w:rPr>
        <w:t>Los predios de dominio privado estatal que se afecten en uso para ser destinados al uso público o a la prestación de un servicio público, se incorporan al dominio público, cuya administración, conservación, defensa y tutela compete a la entidad afectataria, sin perjuicio de la atribución de verificar el cumplimiento de la finalidad que corresponde a la entidad propietaria, al Gobierno Regional con funciones transferidas, en el caso de predios del Estado ubicados dentro de su respectiva jurisdicción, así como, a la SBN, en representación del Estado y en su condición de ente rector</w:t>
      </w:r>
      <w:r>
        <w:rPr>
          <w:rFonts w:ascii="Arial" w:eastAsia="Calibri" w:hAnsi="Arial" w:cs="Arial"/>
          <w:lang w:val="es-ES"/>
        </w:rPr>
        <w:t>. (*)</w:t>
      </w:r>
    </w:p>
    <w:p w:rsidR="00490E64" w:rsidRPr="00490E64" w:rsidRDefault="00490E64" w:rsidP="00490E64">
      <w:pPr>
        <w:spacing w:after="200" w:line="276" w:lineRule="auto"/>
        <w:ind w:left="709"/>
        <w:jc w:val="both"/>
        <w:rPr>
          <w:rFonts w:ascii="Arial" w:eastAsia="Calibri" w:hAnsi="Arial" w:cs="Arial"/>
          <w:lang w:val="es-ES"/>
        </w:rPr>
      </w:pPr>
      <w:r w:rsidRPr="00490E64">
        <w:rPr>
          <w:rFonts w:ascii="Arial" w:eastAsia="Times New Roman" w:hAnsi="Arial" w:cs="Arial"/>
          <w:b/>
          <w:color w:val="FF0000"/>
          <w:sz w:val="16"/>
          <w:szCs w:val="16"/>
          <w:lang w:val="es-ES"/>
        </w:rPr>
        <w:t>(*) Numeral modificado por el Artículo 1 de la Resolución N° 047-2016/SBN, publicada el 01 de julio de 2016</w:t>
      </w:r>
    </w:p>
    <w:p w:rsidR="006312E8" w:rsidRPr="006312E8" w:rsidRDefault="004D0D73" w:rsidP="0092471C">
      <w:pPr>
        <w:numPr>
          <w:ilvl w:val="1"/>
          <w:numId w:val="328"/>
        </w:numPr>
        <w:spacing w:after="0" w:line="240" w:lineRule="auto"/>
        <w:ind w:left="709" w:hanging="567"/>
        <w:contextualSpacing/>
        <w:jc w:val="both"/>
        <w:rPr>
          <w:rFonts w:ascii="Arial" w:eastAsia="Calibri" w:hAnsi="Arial" w:cs="Arial"/>
          <w:lang w:val="es-ES"/>
        </w:rPr>
      </w:pPr>
      <w:r w:rsidRPr="004D0D73">
        <w:rPr>
          <w:rFonts w:ascii="Arial" w:eastAsia="Calibri" w:hAnsi="Arial" w:cs="Arial"/>
          <w:lang w:val="es-ES"/>
        </w:rPr>
        <w:t>Puede hacerse la entrega provisional del predio que se solicita en afectación en uso, en los casos que peligre la seguridad del mismo, o exista razones debidamente justificadas, debiendo para tal efecto la entidad propietaria o administradora entregar la posesión mediante el Acta de Entrega Recepción respectiva, sin que ello signifique el otorgamiento de la afectación en uso a su favor. Dicha Acta adquirirá la condición de definitiva, una vez que quede firme la resolución que apruebe la afectación en uso, salvo que hubiera variación del área materia de entrega provisional, en cuyo caso se suscribirá una nueva acta</w:t>
      </w:r>
      <w:r>
        <w:rPr>
          <w:rFonts w:ascii="Arial" w:eastAsia="Calibri" w:hAnsi="Arial" w:cs="Arial"/>
          <w:lang w:val="es-ES"/>
        </w:rPr>
        <w:t>. (*)</w:t>
      </w:r>
    </w:p>
    <w:p w:rsidR="004D0D73" w:rsidRPr="004D0D73" w:rsidRDefault="004D0D73" w:rsidP="004D0D73">
      <w:pPr>
        <w:spacing w:after="200" w:line="276" w:lineRule="auto"/>
        <w:ind w:firstLine="708"/>
        <w:jc w:val="both"/>
        <w:rPr>
          <w:rFonts w:ascii="Arial" w:eastAsia="Calibri" w:hAnsi="Arial" w:cs="Arial"/>
          <w:lang w:val="es-ES"/>
        </w:rPr>
      </w:pPr>
      <w:r w:rsidRPr="004D0D73">
        <w:rPr>
          <w:rFonts w:ascii="Arial" w:eastAsia="Times New Roman" w:hAnsi="Arial" w:cs="Arial"/>
          <w:b/>
          <w:color w:val="FF0000"/>
          <w:sz w:val="16"/>
          <w:szCs w:val="16"/>
          <w:lang w:val="es-ES"/>
        </w:rPr>
        <w:t>(*) Numeral modificado por el Artículo 1 de la Resolución N° 047-2016/SBN, publicada el 01 de julio de 2016</w:t>
      </w:r>
    </w:p>
    <w:p w:rsidR="006312E8" w:rsidRPr="006312E8" w:rsidRDefault="006312E8" w:rsidP="0092471C">
      <w:pPr>
        <w:numPr>
          <w:ilvl w:val="1"/>
          <w:numId w:val="328"/>
        </w:numPr>
        <w:spacing w:after="0" w:line="240" w:lineRule="auto"/>
        <w:ind w:left="709" w:hanging="567"/>
        <w:contextualSpacing/>
        <w:jc w:val="both"/>
        <w:rPr>
          <w:rFonts w:ascii="Arial" w:eastAsia="Calibri" w:hAnsi="Arial" w:cs="Arial"/>
          <w:lang w:val="es-ES"/>
        </w:rPr>
      </w:pPr>
      <w:r w:rsidRPr="006312E8">
        <w:rPr>
          <w:rFonts w:ascii="Arial" w:eastAsia="Calibri" w:hAnsi="Arial" w:cs="Arial"/>
          <w:lang w:val="es-ES"/>
        </w:rPr>
        <w:t>Los gastos de conservación u obras que se ejecuten en el predio entregado de manera provisional no son reembolsables.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1"/>
          <w:numId w:val="328"/>
        </w:numPr>
        <w:spacing w:after="0" w:line="240" w:lineRule="auto"/>
        <w:ind w:left="709" w:hanging="567"/>
        <w:contextualSpacing/>
        <w:jc w:val="both"/>
        <w:rPr>
          <w:rFonts w:ascii="Arial" w:eastAsia="Calibri" w:hAnsi="Arial" w:cs="Arial"/>
          <w:lang w:val="es-ES"/>
        </w:rPr>
      </w:pPr>
      <w:r w:rsidRPr="006312E8">
        <w:rPr>
          <w:rFonts w:ascii="Arial" w:eastAsia="Calibri" w:hAnsi="Arial" w:cs="Arial"/>
          <w:lang w:val="es-ES"/>
        </w:rPr>
        <w:t>La entidad afectataria deberá de cumplir con la finalidad de la afectación en uso, conservando diligentemente el predio, asumiendo los gastos de conservación, mantenimiento y tributarios del mismo. Asimismo, deberá efectuar la declaratoria de fábrica de las obras ejecutadas sobre el predio afectado, a favor del Estado o de la entidad propietaria, contando para ello con la facultad de suscribir los documentos públicos y privados necesarios, devolviendo el bien afectado sin más deterioro que el uso ordinario a la conclusión de la afectación en uso.</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1"/>
          <w:numId w:val="328"/>
        </w:numPr>
        <w:spacing w:after="0" w:line="240" w:lineRule="auto"/>
        <w:ind w:left="709" w:hanging="567"/>
        <w:contextualSpacing/>
        <w:jc w:val="both"/>
        <w:rPr>
          <w:rFonts w:ascii="Arial" w:eastAsia="Calibri" w:hAnsi="Arial" w:cs="Arial"/>
          <w:lang w:val="es-ES"/>
        </w:rPr>
      </w:pPr>
      <w:r w:rsidRPr="006312E8">
        <w:rPr>
          <w:rFonts w:ascii="Arial" w:eastAsia="Calibri" w:hAnsi="Arial" w:cs="Arial"/>
          <w:lang w:val="es-ES"/>
        </w:rPr>
        <w:t>Las entidades afectatarias pueden de manera excepcional y temporal otorgar el derecho de uso sobre los predios afectados a su favor, a fin de obtener recursos que deben ser destinados exclusivamente al mantenimiento y conservación del bien a su cargo, a la mejora del servicio o al pago de los tributos que correspondan, debiendo comunicar tal acto a la entidad propietaria o administradora del bien.</w:t>
      </w:r>
    </w:p>
    <w:p w:rsidR="006312E8" w:rsidRPr="006312E8" w:rsidRDefault="006312E8" w:rsidP="006312E8">
      <w:pPr>
        <w:spacing w:after="0" w:line="240" w:lineRule="auto"/>
        <w:ind w:firstLine="142"/>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REGULARIZACIÓN DE LA AFECTACIÓN EN USO</w:t>
      </w:r>
    </w:p>
    <w:p w:rsidR="006312E8" w:rsidRPr="006312E8" w:rsidRDefault="006312E8" w:rsidP="006312E8">
      <w:pPr>
        <w:spacing w:after="200" w:line="276" w:lineRule="auto"/>
        <w:ind w:left="720"/>
        <w:contextualSpacing/>
        <w:rPr>
          <w:rFonts w:ascii="Arial" w:eastAsia="Calibri" w:hAnsi="Arial" w:cs="Arial"/>
          <w:lang w:val="es-ES"/>
        </w:rPr>
      </w:pPr>
    </w:p>
    <w:p w:rsidR="004D0D73" w:rsidRPr="004D0D73" w:rsidRDefault="004D0D73" w:rsidP="0092471C">
      <w:pPr>
        <w:numPr>
          <w:ilvl w:val="1"/>
          <w:numId w:val="328"/>
        </w:numPr>
        <w:spacing w:after="0" w:line="240" w:lineRule="auto"/>
        <w:ind w:left="709" w:hanging="567"/>
        <w:contextualSpacing/>
        <w:jc w:val="both"/>
        <w:rPr>
          <w:rFonts w:ascii="Arial" w:eastAsia="Calibri" w:hAnsi="Arial" w:cs="Arial"/>
          <w:lang w:val="es-ES"/>
        </w:rPr>
      </w:pPr>
      <w:r>
        <w:rPr>
          <w:rFonts w:ascii="Arial" w:eastAsia="Calibri" w:hAnsi="Arial" w:cs="Arial"/>
          <w:lang w:val="es-ES"/>
        </w:rPr>
        <w:t>L</w:t>
      </w:r>
      <w:r w:rsidRPr="004D0D73">
        <w:rPr>
          <w:rFonts w:ascii="Arial" w:eastAsia="Calibri" w:hAnsi="Arial" w:cs="Arial"/>
          <w:lang w:val="es-ES"/>
        </w:rPr>
        <w:t>a SBN puede aprobar la afectación en uso, en vía de regularización, de los predios que estén siendo destinados al uso público o que sirvan para la prestación de un servicio público, a favor de la entidad responsable de la administración del bien o de la prestación del servicio público.</w:t>
      </w:r>
      <w:r>
        <w:rPr>
          <w:rFonts w:ascii="Arial" w:eastAsia="Calibri" w:hAnsi="Arial" w:cs="Arial"/>
          <w:lang w:val="es-ES"/>
        </w:rPr>
        <w:t xml:space="preserve"> </w:t>
      </w:r>
    </w:p>
    <w:p w:rsidR="004D0D73" w:rsidRDefault="004D0D73" w:rsidP="004D0D73">
      <w:pPr>
        <w:spacing w:after="0" w:line="240" w:lineRule="auto"/>
        <w:ind w:left="709"/>
        <w:contextualSpacing/>
        <w:jc w:val="both"/>
        <w:rPr>
          <w:rFonts w:ascii="Arial" w:eastAsia="Calibri" w:hAnsi="Arial" w:cs="Arial"/>
          <w:lang w:val="es-ES"/>
        </w:rPr>
      </w:pPr>
    </w:p>
    <w:p w:rsidR="006312E8" w:rsidRDefault="004D0D73" w:rsidP="004D0D73">
      <w:pPr>
        <w:spacing w:after="0" w:line="240" w:lineRule="auto"/>
        <w:ind w:left="709"/>
        <w:contextualSpacing/>
        <w:jc w:val="both"/>
        <w:rPr>
          <w:rFonts w:ascii="Arial" w:eastAsia="Calibri" w:hAnsi="Arial" w:cs="Arial"/>
          <w:lang w:val="es-ES"/>
        </w:rPr>
      </w:pPr>
      <w:r w:rsidRPr="004D0D73">
        <w:rPr>
          <w:rFonts w:ascii="Arial" w:eastAsia="Calibri" w:hAnsi="Arial" w:cs="Arial"/>
          <w:lang w:val="es-ES"/>
        </w:rPr>
        <w:t>De tratarse de un área de aporte reglamentario o equipamiento urbano de titularidad estatal que está siendo destinado al uso público o está sirviendo para la prestación de un servicio público, distintos a la finalidad para la cual se entregó el predio, corresponde evaluar su regularización, a través del procedimiento de asignación o de reasignación de la administración del bien, según corresponda, el cual está a cargo de la SBN, sin perjuicio de las competencias que correspondan a los Gobiernos Locales</w:t>
      </w:r>
      <w:r>
        <w:rPr>
          <w:rFonts w:ascii="Arial" w:eastAsia="Calibri" w:hAnsi="Arial" w:cs="Arial"/>
          <w:lang w:val="es-ES"/>
        </w:rPr>
        <w:t>- (*)</w:t>
      </w:r>
    </w:p>
    <w:p w:rsidR="004D0D73" w:rsidRPr="004D0D73" w:rsidRDefault="004D0D73" w:rsidP="004D0D73">
      <w:pPr>
        <w:spacing w:after="200" w:line="276" w:lineRule="auto"/>
        <w:ind w:firstLine="708"/>
        <w:jc w:val="both"/>
        <w:rPr>
          <w:rFonts w:ascii="Arial" w:eastAsia="Calibri" w:hAnsi="Arial" w:cs="Arial"/>
          <w:lang w:val="es-ES"/>
        </w:rPr>
      </w:pPr>
      <w:r w:rsidRPr="004D0D73">
        <w:rPr>
          <w:rFonts w:ascii="Arial" w:eastAsia="Times New Roman" w:hAnsi="Arial" w:cs="Arial"/>
          <w:b/>
          <w:color w:val="FF0000"/>
          <w:sz w:val="16"/>
          <w:szCs w:val="16"/>
          <w:lang w:val="es-ES"/>
        </w:rPr>
        <w:t>(*) Numeral modificado por el Artículo 1 de la Resolución N° 047-2016/SBN, publicada el 01 de julio de 2016</w:t>
      </w: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EXTINCION DE LA AFECTACION EN USO</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92471C">
      <w:pPr>
        <w:numPr>
          <w:ilvl w:val="1"/>
          <w:numId w:val="328"/>
        </w:numPr>
        <w:spacing w:after="0" w:line="240" w:lineRule="auto"/>
        <w:ind w:left="709" w:hanging="567"/>
        <w:contextualSpacing/>
        <w:jc w:val="both"/>
        <w:rPr>
          <w:rFonts w:ascii="Arial" w:eastAsia="Calibri" w:hAnsi="Arial" w:cs="Arial"/>
          <w:lang w:val="es-ES"/>
        </w:rPr>
      </w:pPr>
      <w:r w:rsidRPr="006312E8">
        <w:rPr>
          <w:rFonts w:ascii="Arial" w:eastAsia="Calibri" w:hAnsi="Arial" w:cs="Arial"/>
          <w:lang w:val="es-ES"/>
        </w:rPr>
        <w:t>La extinción de la afectación en uso otorgada sobre predios de propiedad estatal, constituye un procedimiento que se inicia de oficio.</w:t>
      </w:r>
    </w:p>
    <w:p w:rsidR="006312E8" w:rsidRPr="006312E8" w:rsidRDefault="006312E8" w:rsidP="006312E8">
      <w:pPr>
        <w:spacing w:after="200" w:line="276" w:lineRule="auto"/>
        <w:ind w:left="720"/>
        <w:contextualSpacing/>
        <w:rPr>
          <w:rFonts w:ascii="Arial" w:eastAsia="Calibri" w:hAnsi="Arial" w:cs="Arial"/>
          <w:lang w:val="es-ES"/>
        </w:rPr>
      </w:pPr>
    </w:p>
    <w:p w:rsidR="004D0D73" w:rsidRPr="004D0D73" w:rsidRDefault="004D0D73" w:rsidP="0092471C">
      <w:pPr>
        <w:numPr>
          <w:ilvl w:val="1"/>
          <w:numId w:val="328"/>
        </w:numPr>
        <w:spacing w:after="0" w:line="240" w:lineRule="auto"/>
        <w:ind w:left="709" w:hanging="567"/>
        <w:contextualSpacing/>
        <w:jc w:val="both"/>
        <w:rPr>
          <w:rFonts w:ascii="Arial" w:eastAsia="Calibri" w:hAnsi="Arial" w:cs="Arial"/>
          <w:lang w:val="es-ES"/>
        </w:rPr>
      </w:pPr>
      <w:r w:rsidRPr="004D0D73">
        <w:rPr>
          <w:rFonts w:ascii="Arial" w:eastAsia="Calibri" w:hAnsi="Arial" w:cs="Arial"/>
          <w:lang w:val="es-ES"/>
        </w:rPr>
        <w:t>La extinción de la afectación en uso es tramitada y aprobada por la entidad pública propietaria o administradora del predio, a través de la unidad operativa encargada de sustentar el trámite.</w:t>
      </w:r>
    </w:p>
    <w:p w:rsidR="004D0D73" w:rsidRPr="004D0D73" w:rsidRDefault="004D0D73" w:rsidP="004D0D73">
      <w:pPr>
        <w:spacing w:after="0" w:line="240" w:lineRule="auto"/>
        <w:ind w:left="709" w:hanging="567"/>
        <w:contextualSpacing/>
        <w:jc w:val="both"/>
        <w:rPr>
          <w:rFonts w:ascii="Arial" w:eastAsia="Calibri" w:hAnsi="Arial" w:cs="Arial"/>
          <w:lang w:val="es-ES"/>
        </w:rPr>
      </w:pPr>
    </w:p>
    <w:p w:rsidR="006312E8" w:rsidRPr="006312E8" w:rsidRDefault="004D0D73" w:rsidP="004D0D73">
      <w:pPr>
        <w:spacing w:after="0" w:line="240" w:lineRule="auto"/>
        <w:ind w:left="709" w:hanging="1"/>
        <w:contextualSpacing/>
        <w:jc w:val="both"/>
        <w:rPr>
          <w:rFonts w:ascii="Arial" w:eastAsia="Calibri" w:hAnsi="Arial" w:cs="Arial"/>
          <w:lang w:val="es-ES"/>
        </w:rPr>
      </w:pPr>
      <w:r w:rsidRPr="004D0D73">
        <w:rPr>
          <w:rFonts w:ascii="Arial" w:eastAsia="Calibri" w:hAnsi="Arial" w:cs="Arial"/>
          <w:lang w:val="es-ES"/>
        </w:rPr>
        <w:t>En los casos de predios del Estado, bajo administración de la SBN, la sustentación y aprobación está a cargo de la SDS y de la SDAPE. Tratándose de predios del Estado, bajo la administración de los Gobiernos Regionales con funciones transferidas son sustentadas y aprobadas por la autoridad administrativa de dichas entidades, según sus instrumentos de gestión institucional</w:t>
      </w:r>
      <w:r>
        <w:rPr>
          <w:rFonts w:ascii="Arial" w:eastAsia="Calibri" w:hAnsi="Arial" w:cs="Arial"/>
          <w:lang w:val="es-ES"/>
        </w:rPr>
        <w:t>. (*)</w:t>
      </w:r>
    </w:p>
    <w:p w:rsidR="004D0D73" w:rsidRPr="004D0D73" w:rsidRDefault="004D0D73" w:rsidP="004D0D73">
      <w:pPr>
        <w:spacing w:after="200" w:line="276" w:lineRule="auto"/>
        <w:ind w:firstLine="708"/>
        <w:jc w:val="both"/>
        <w:rPr>
          <w:rFonts w:ascii="Arial" w:eastAsia="Calibri" w:hAnsi="Arial" w:cs="Arial"/>
          <w:lang w:val="es-ES"/>
        </w:rPr>
      </w:pPr>
      <w:r w:rsidRPr="004D0D73">
        <w:rPr>
          <w:rFonts w:ascii="Arial" w:eastAsia="Times New Roman" w:hAnsi="Arial" w:cs="Arial"/>
          <w:b/>
          <w:color w:val="FF0000"/>
          <w:sz w:val="16"/>
          <w:szCs w:val="16"/>
          <w:lang w:val="es-ES"/>
        </w:rPr>
        <w:t>(*) Numeral modificado por el Artículo 1 de la Resolución N° 047-2016/SBN, publicada el 01 de julio de 2016</w:t>
      </w:r>
    </w:p>
    <w:p w:rsidR="006312E8" w:rsidRPr="006312E8" w:rsidRDefault="006312E8" w:rsidP="0092471C">
      <w:pPr>
        <w:numPr>
          <w:ilvl w:val="1"/>
          <w:numId w:val="328"/>
        </w:numPr>
        <w:spacing w:after="0" w:line="240" w:lineRule="auto"/>
        <w:ind w:left="709" w:hanging="567"/>
        <w:contextualSpacing/>
        <w:jc w:val="both"/>
        <w:rPr>
          <w:rFonts w:ascii="Arial" w:eastAsia="Calibri" w:hAnsi="Arial" w:cs="Arial"/>
          <w:lang w:val="es-ES"/>
        </w:rPr>
      </w:pPr>
      <w:r w:rsidRPr="006312E8">
        <w:rPr>
          <w:rFonts w:ascii="Arial" w:eastAsia="Calibri" w:hAnsi="Arial" w:cs="Arial"/>
          <w:lang w:val="es-ES"/>
        </w:rPr>
        <w:t>La SBN efectúa acciones de supervisión periódicas sobre los predios estatales en los cuales hubiere recaído afectaciones en uso, así como del cumplimiento de la finalidad para la cual fueron afectados en uso.</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4D0D73" w:rsidP="0092471C">
      <w:pPr>
        <w:numPr>
          <w:ilvl w:val="1"/>
          <w:numId w:val="328"/>
        </w:numPr>
        <w:spacing w:after="0" w:line="240" w:lineRule="auto"/>
        <w:ind w:left="709" w:hanging="567"/>
        <w:contextualSpacing/>
        <w:jc w:val="both"/>
        <w:rPr>
          <w:rFonts w:ascii="Arial" w:eastAsia="Calibri" w:hAnsi="Arial" w:cs="Arial"/>
          <w:lang w:val="es-ES"/>
        </w:rPr>
      </w:pPr>
      <w:r w:rsidRPr="004D0D73">
        <w:rPr>
          <w:rFonts w:ascii="Arial" w:eastAsia="Calibri" w:hAnsi="Arial" w:cs="Arial"/>
          <w:lang w:val="es-ES"/>
        </w:rPr>
        <w:t>Por la extinción de la afectación en uso la entidad propietaria del predio, o, el Estado, a través de la SBN o el Gobierno Regional con funciones transferidas, reasume las facultades de uso y administración del predio, al haber incurrido la entidad afectataria en cualquiera de las causales de extinción previstas en los numerales 1), 2), 3), 6) y 7) del artículo 105 del Reglamento</w:t>
      </w:r>
      <w:r>
        <w:rPr>
          <w:rFonts w:ascii="Arial" w:eastAsia="Calibri" w:hAnsi="Arial" w:cs="Arial"/>
          <w:lang w:val="es-ES"/>
        </w:rPr>
        <w:t>. (*)</w:t>
      </w:r>
    </w:p>
    <w:p w:rsidR="004D0D73" w:rsidRPr="004D0D73" w:rsidRDefault="004D0D73" w:rsidP="004D0D73">
      <w:pPr>
        <w:spacing w:after="200" w:line="276" w:lineRule="auto"/>
        <w:ind w:firstLine="708"/>
        <w:jc w:val="both"/>
        <w:rPr>
          <w:rFonts w:ascii="Arial" w:eastAsia="Calibri" w:hAnsi="Arial" w:cs="Arial"/>
          <w:lang w:val="es-ES"/>
        </w:rPr>
      </w:pPr>
      <w:r w:rsidRPr="004D0D73">
        <w:rPr>
          <w:rFonts w:ascii="Arial" w:eastAsia="Times New Roman" w:hAnsi="Arial" w:cs="Arial"/>
          <w:b/>
          <w:color w:val="FF0000"/>
          <w:sz w:val="16"/>
          <w:szCs w:val="16"/>
          <w:lang w:val="es-ES"/>
        </w:rPr>
        <w:t>(*) Numeral modificado por el Artículo 1 de la Resolución N° 047-2016/SBN, publicada el 01 de julio de 2016</w:t>
      </w:r>
    </w:p>
    <w:p w:rsidR="006312E8" w:rsidRPr="006312E8" w:rsidRDefault="006312E8" w:rsidP="0092471C">
      <w:pPr>
        <w:numPr>
          <w:ilvl w:val="1"/>
          <w:numId w:val="328"/>
        </w:numPr>
        <w:spacing w:after="0" w:line="240" w:lineRule="auto"/>
        <w:ind w:left="709" w:hanging="567"/>
        <w:contextualSpacing/>
        <w:jc w:val="both"/>
        <w:rPr>
          <w:rFonts w:ascii="Arial" w:eastAsia="Calibri" w:hAnsi="Arial" w:cs="Arial"/>
          <w:lang w:val="es-ES"/>
        </w:rPr>
      </w:pPr>
      <w:r w:rsidRPr="006312E8">
        <w:rPr>
          <w:rFonts w:ascii="Arial" w:eastAsia="Calibri" w:hAnsi="Arial" w:cs="Arial"/>
          <w:lang w:val="es-ES"/>
        </w:rPr>
        <w:t xml:space="preserve">En </w:t>
      </w:r>
      <w:r w:rsidR="004D0D73" w:rsidRPr="004D0D73">
        <w:rPr>
          <w:rFonts w:ascii="Arial" w:eastAsia="Calibri" w:hAnsi="Arial" w:cs="Arial"/>
          <w:lang w:val="es-ES"/>
        </w:rPr>
        <w:t>Los predios de dominio privado estatal que, al ser afectados en uso, se incorporaron al dominio público, una vez extinguida la afectación en uso, retornan al dominio privado de la entidad propietaria o del Estado, representado por la SBN o por el Gobierno Regional con funciones transferidas, con excepción de los predios que estén sirviendo de soporte para la prestación de un servicio público o sean de uso público administrado por otra entidad</w:t>
      </w:r>
      <w:r w:rsidR="004D0D73">
        <w:rPr>
          <w:rFonts w:ascii="Arial" w:eastAsia="Calibri" w:hAnsi="Arial" w:cs="Arial"/>
          <w:lang w:val="es-ES"/>
        </w:rPr>
        <w:t>. (*)</w:t>
      </w:r>
    </w:p>
    <w:p w:rsidR="00822FA5" w:rsidRPr="00822FA5" w:rsidRDefault="00822FA5" w:rsidP="00822FA5">
      <w:pPr>
        <w:spacing w:after="200" w:line="276" w:lineRule="auto"/>
        <w:ind w:firstLine="708"/>
        <w:jc w:val="both"/>
        <w:rPr>
          <w:rFonts w:ascii="Arial" w:eastAsia="Calibri" w:hAnsi="Arial" w:cs="Arial"/>
          <w:lang w:val="es-ES"/>
        </w:rPr>
      </w:pPr>
      <w:r w:rsidRPr="00822FA5">
        <w:rPr>
          <w:rFonts w:ascii="Arial" w:eastAsia="Times New Roman" w:hAnsi="Arial" w:cs="Arial"/>
          <w:b/>
          <w:color w:val="FF0000"/>
          <w:sz w:val="16"/>
          <w:szCs w:val="16"/>
          <w:lang w:val="es-ES"/>
        </w:rPr>
        <w:t>(*) Numeral modificado por el Artículo 1 de la Resolución N° 047-2016/SBN, publicada el 01 de julio de 2016</w:t>
      </w:r>
    </w:p>
    <w:p w:rsidR="006312E8" w:rsidRPr="006312E8" w:rsidRDefault="006312E8" w:rsidP="0092471C">
      <w:pPr>
        <w:numPr>
          <w:ilvl w:val="1"/>
          <w:numId w:val="328"/>
        </w:numPr>
        <w:spacing w:after="0" w:line="240" w:lineRule="auto"/>
        <w:ind w:left="709" w:hanging="567"/>
        <w:contextualSpacing/>
        <w:jc w:val="both"/>
        <w:rPr>
          <w:rFonts w:ascii="Arial" w:eastAsia="Calibri" w:hAnsi="Arial" w:cs="Arial"/>
          <w:lang w:val="es-ES"/>
        </w:rPr>
      </w:pPr>
      <w:r w:rsidRPr="006312E8">
        <w:rPr>
          <w:rFonts w:ascii="Arial" w:eastAsia="Calibri" w:hAnsi="Arial" w:cs="Arial"/>
          <w:lang w:val="es-ES"/>
        </w:rPr>
        <w:t>La extinción de la afectación en uso no otorga derecho de reembolso alguno por las edificaciones o mejoras efectuadas en el predio, a favor de quien tuvo la calidad de afectatario, quedando éstas a favor del titular del predio.</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1"/>
          <w:numId w:val="328"/>
        </w:numPr>
        <w:spacing w:after="0" w:line="240" w:lineRule="auto"/>
        <w:ind w:left="709" w:hanging="567"/>
        <w:contextualSpacing/>
        <w:jc w:val="both"/>
        <w:rPr>
          <w:rFonts w:ascii="Arial" w:eastAsia="Calibri" w:hAnsi="Arial" w:cs="Arial"/>
          <w:lang w:val="es-ES"/>
        </w:rPr>
      </w:pPr>
      <w:r w:rsidRPr="006312E8">
        <w:rPr>
          <w:rFonts w:ascii="Arial" w:eastAsia="Calibri" w:hAnsi="Arial" w:cs="Arial"/>
          <w:lang w:val="es-ES"/>
        </w:rPr>
        <w:t>La extinción de la afectación en uso deberá declararse expresamente mediante resolución de la unidad orgánica competente de la entidad propietaria o administradora del predio, constituyendo dicha resolución título suficiente para su inscripción en el Registro de Predios correspondiente.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3. DISPOSICIONES ESPECÍFICAS DE LOS PROCEDIMIENTOS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84"/>
        <w:jc w:val="both"/>
        <w:rPr>
          <w:rFonts w:ascii="Arial" w:eastAsia="Calibri" w:hAnsi="Arial" w:cs="Arial"/>
          <w:b/>
          <w:lang w:val="es-ES"/>
        </w:rPr>
      </w:pPr>
      <w:r w:rsidRPr="006312E8">
        <w:rPr>
          <w:rFonts w:ascii="Arial" w:eastAsia="Calibri" w:hAnsi="Arial" w:cs="Arial"/>
          <w:b/>
          <w:lang w:val="es-ES"/>
        </w:rPr>
        <w:t>Procedimiento de la afectación en uso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84"/>
        <w:jc w:val="both"/>
        <w:rPr>
          <w:rFonts w:ascii="Arial" w:eastAsia="Calibri" w:hAnsi="Arial" w:cs="Arial"/>
          <w:b/>
          <w:lang w:val="es-ES"/>
        </w:rPr>
      </w:pPr>
      <w:r w:rsidRPr="006312E8">
        <w:rPr>
          <w:rFonts w:ascii="Arial" w:eastAsia="Calibri" w:hAnsi="Arial" w:cs="Arial"/>
          <w:b/>
          <w:lang w:val="es-ES"/>
        </w:rPr>
        <w:t>3.1 Presentación de la solicitud</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709"/>
        <w:jc w:val="both"/>
        <w:rPr>
          <w:rFonts w:ascii="Arial" w:eastAsia="Calibri" w:hAnsi="Arial" w:cs="Arial"/>
          <w:lang w:val="es-ES"/>
        </w:rPr>
      </w:pPr>
      <w:r w:rsidRPr="006312E8">
        <w:rPr>
          <w:rFonts w:ascii="Arial" w:eastAsia="Calibri" w:hAnsi="Arial" w:cs="Arial"/>
          <w:lang w:val="es-ES"/>
        </w:rPr>
        <w:t>Para el inicio del procedimiento administrativo de afectación en uso la entidad deberá solicitarlo por escrito y contendrá:</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92471C">
      <w:pPr>
        <w:numPr>
          <w:ilvl w:val="1"/>
          <w:numId w:val="282"/>
        </w:numPr>
        <w:spacing w:after="0" w:line="240" w:lineRule="auto"/>
        <w:ind w:left="1134"/>
        <w:contextualSpacing/>
        <w:jc w:val="both"/>
        <w:rPr>
          <w:rFonts w:ascii="Arial" w:eastAsia="Calibri" w:hAnsi="Arial" w:cs="Arial"/>
          <w:lang w:val="es-ES"/>
        </w:rPr>
      </w:pPr>
      <w:r w:rsidRPr="006312E8">
        <w:rPr>
          <w:rFonts w:ascii="Arial" w:eastAsia="Calibri" w:hAnsi="Arial" w:cs="Arial"/>
          <w:lang w:val="es-ES"/>
        </w:rPr>
        <w:t>La indicación de la entidad pública propietaria o administradora del o predio (SBN o Gobierno Regional en caso de transferencia de funciones) a la cual se dirige.</w:t>
      </w:r>
    </w:p>
    <w:p w:rsidR="006312E8" w:rsidRPr="006312E8" w:rsidRDefault="006312E8" w:rsidP="00822FA5">
      <w:pPr>
        <w:spacing w:after="0" w:line="240" w:lineRule="auto"/>
        <w:ind w:left="1134"/>
        <w:contextualSpacing/>
        <w:jc w:val="both"/>
        <w:rPr>
          <w:rFonts w:ascii="Arial" w:eastAsia="Calibri" w:hAnsi="Arial" w:cs="Arial"/>
          <w:lang w:val="es-ES"/>
        </w:rPr>
      </w:pPr>
    </w:p>
    <w:p w:rsidR="006312E8" w:rsidRPr="006312E8" w:rsidRDefault="006312E8" w:rsidP="0092471C">
      <w:pPr>
        <w:numPr>
          <w:ilvl w:val="1"/>
          <w:numId w:val="282"/>
        </w:numPr>
        <w:spacing w:after="0" w:line="240" w:lineRule="auto"/>
        <w:ind w:left="1134"/>
        <w:contextualSpacing/>
        <w:jc w:val="both"/>
        <w:rPr>
          <w:rFonts w:ascii="Arial" w:eastAsia="Calibri" w:hAnsi="Arial" w:cs="Arial"/>
          <w:lang w:val="es-ES"/>
        </w:rPr>
      </w:pPr>
      <w:r w:rsidRPr="006312E8">
        <w:rPr>
          <w:rFonts w:ascii="Arial" w:eastAsia="Calibri" w:hAnsi="Arial" w:cs="Arial"/>
          <w:lang w:val="es-ES"/>
        </w:rPr>
        <w:t>Nombres y apellidos completos, domicilio y número de Documento Nacional de Identidad y cargo del representante de la entidad solicitante.</w:t>
      </w:r>
    </w:p>
    <w:p w:rsidR="006312E8" w:rsidRPr="006312E8" w:rsidRDefault="006312E8" w:rsidP="00822FA5">
      <w:pPr>
        <w:spacing w:after="200" w:line="276" w:lineRule="auto"/>
        <w:ind w:left="1134"/>
        <w:contextualSpacing/>
        <w:rPr>
          <w:rFonts w:ascii="Arial" w:eastAsia="Calibri" w:hAnsi="Arial" w:cs="Arial"/>
          <w:lang w:val="es-ES"/>
        </w:rPr>
      </w:pPr>
    </w:p>
    <w:p w:rsidR="006312E8" w:rsidRPr="006312E8" w:rsidRDefault="006312E8" w:rsidP="0092471C">
      <w:pPr>
        <w:numPr>
          <w:ilvl w:val="1"/>
          <w:numId w:val="282"/>
        </w:numPr>
        <w:spacing w:after="0" w:line="240" w:lineRule="auto"/>
        <w:ind w:left="1134"/>
        <w:contextualSpacing/>
        <w:jc w:val="both"/>
        <w:rPr>
          <w:rFonts w:ascii="Arial" w:eastAsia="Calibri" w:hAnsi="Arial" w:cs="Arial"/>
          <w:lang w:val="es-ES"/>
        </w:rPr>
      </w:pPr>
      <w:r w:rsidRPr="006312E8">
        <w:rPr>
          <w:rFonts w:ascii="Arial" w:eastAsia="Calibri" w:hAnsi="Arial" w:cs="Arial"/>
          <w:lang w:val="es-ES"/>
        </w:rPr>
        <w:t>La expresión concreta de lo pedido, indicando el área, ubicación del predio, el uso o servicio público al que se destinará, conforme lo dispuesto en el Artículo 99 del Decreto Supremo Nº 007-2008-VIVIENDA.</w:t>
      </w:r>
    </w:p>
    <w:p w:rsidR="006312E8" w:rsidRPr="006312E8" w:rsidRDefault="006312E8" w:rsidP="00822FA5">
      <w:pPr>
        <w:spacing w:after="200" w:line="276" w:lineRule="auto"/>
        <w:ind w:left="1134"/>
        <w:contextualSpacing/>
        <w:rPr>
          <w:rFonts w:ascii="Arial" w:eastAsia="Calibri" w:hAnsi="Arial" w:cs="Arial"/>
          <w:lang w:val="es-ES"/>
        </w:rPr>
      </w:pPr>
    </w:p>
    <w:p w:rsidR="006312E8" w:rsidRDefault="00822FA5" w:rsidP="0092471C">
      <w:pPr>
        <w:numPr>
          <w:ilvl w:val="1"/>
          <w:numId w:val="282"/>
        </w:numPr>
        <w:spacing w:after="0" w:line="240" w:lineRule="auto"/>
        <w:ind w:left="1134"/>
        <w:contextualSpacing/>
        <w:jc w:val="both"/>
        <w:rPr>
          <w:rFonts w:ascii="Arial" w:eastAsia="Calibri" w:hAnsi="Arial" w:cs="Arial"/>
          <w:lang w:val="es-ES"/>
        </w:rPr>
      </w:pPr>
      <w:r w:rsidRPr="00822FA5">
        <w:rPr>
          <w:rFonts w:ascii="Arial" w:eastAsia="Calibri" w:hAnsi="Arial" w:cs="Arial"/>
          <w:lang w:val="es-ES"/>
        </w:rPr>
        <w:t>Plano perimétrico - ubicación georreferenciado a la Red Geodésica Oficial, en coordenadas UTM, a escala apropiada, indicando su zona geográfica y en Datum WGS84, autorizado por ingeniero o arquitecto colegiado</w:t>
      </w:r>
      <w:r>
        <w:rPr>
          <w:rFonts w:ascii="Arial" w:eastAsia="Calibri" w:hAnsi="Arial" w:cs="Arial"/>
          <w:lang w:val="es-ES"/>
        </w:rPr>
        <w:t>. (*)</w:t>
      </w:r>
    </w:p>
    <w:p w:rsidR="00822FA5" w:rsidRPr="00822FA5" w:rsidRDefault="00822FA5" w:rsidP="00822FA5">
      <w:pPr>
        <w:pStyle w:val="Prrafodelista"/>
        <w:spacing w:after="200" w:line="276" w:lineRule="auto"/>
        <w:ind w:firstLine="414"/>
        <w:jc w:val="both"/>
        <w:rPr>
          <w:rFonts w:ascii="Arial" w:eastAsia="Calibri" w:hAnsi="Arial" w:cs="Arial"/>
          <w:lang w:val="es-ES"/>
        </w:rPr>
      </w:pPr>
      <w:r w:rsidRPr="00822FA5">
        <w:rPr>
          <w:rFonts w:ascii="Arial" w:eastAsia="Times New Roman" w:hAnsi="Arial" w:cs="Arial"/>
          <w:b/>
          <w:color w:val="FF0000"/>
          <w:sz w:val="16"/>
          <w:szCs w:val="16"/>
          <w:lang w:val="es-ES"/>
        </w:rPr>
        <w:t xml:space="preserve">(*) </w:t>
      </w:r>
      <w:r>
        <w:rPr>
          <w:rFonts w:ascii="Arial" w:eastAsia="Times New Roman" w:hAnsi="Arial" w:cs="Arial"/>
          <w:b/>
          <w:color w:val="FF0000"/>
          <w:sz w:val="16"/>
          <w:szCs w:val="16"/>
          <w:lang w:val="es-ES"/>
        </w:rPr>
        <w:t>Inciso</w:t>
      </w:r>
      <w:r w:rsidRPr="00822FA5">
        <w:rPr>
          <w:rFonts w:ascii="Arial" w:eastAsia="Times New Roman" w:hAnsi="Arial" w:cs="Arial"/>
          <w:b/>
          <w:color w:val="FF0000"/>
          <w:sz w:val="16"/>
          <w:szCs w:val="16"/>
          <w:lang w:val="es-ES"/>
        </w:rPr>
        <w:t xml:space="preserve"> modificado por el Artículo 1 de la Resolución N° 047-2016/SBN, publicada el 01 de julio de 2016</w:t>
      </w:r>
    </w:p>
    <w:p w:rsidR="006312E8" w:rsidRPr="006312E8" w:rsidRDefault="006312E8" w:rsidP="0092471C">
      <w:pPr>
        <w:numPr>
          <w:ilvl w:val="1"/>
          <w:numId w:val="282"/>
        </w:numPr>
        <w:spacing w:after="0" w:line="240" w:lineRule="auto"/>
        <w:ind w:left="1134"/>
        <w:contextualSpacing/>
        <w:jc w:val="both"/>
        <w:rPr>
          <w:rFonts w:ascii="Arial" w:eastAsia="Calibri" w:hAnsi="Arial" w:cs="Arial"/>
          <w:lang w:val="es-ES"/>
        </w:rPr>
      </w:pPr>
      <w:r w:rsidRPr="006312E8">
        <w:rPr>
          <w:rFonts w:ascii="Arial" w:eastAsia="Calibri" w:hAnsi="Arial" w:cs="Arial"/>
          <w:lang w:val="es-ES"/>
        </w:rPr>
        <w:t>Plano de Ubicación del predio en escala a 1/5000 o 1/10000.</w:t>
      </w:r>
    </w:p>
    <w:p w:rsidR="006312E8" w:rsidRPr="006312E8" w:rsidRDefault="006312E8" w:rsidP="00822FA5">
      <w:pPr>
        <w:spacing w:after="200" w:line="276" w:lineRule="auto"/>
        <w:ind w:left="1134"/>
        <w:contextualSpacing/>
        <w:rPr>
          <w:rFonts w:ascii="Arial" w:eastAsia="Calibri" w:hAnsi="Arial" w:cs="Arial"/>
          <w:lang w:val="es-ES"/>
        </w:rPr>
      </w:pPr>
    </w:p>
    <w:p w:rsidR="0050192A" w:rsidRPr="006312E8" w:rsidRDefault="0050192A" w:rsidP="0092471C">
      <w:pPr>
        <w:numPr>
          <w:ilvl w:val="1"/>
          <w:numId w:val="282"/>
        </w:numPr>
        <w:spacing w:after="0" w:line="240" w:lineRule="auto"/>
        <w:ind w:left="1134"/>
        <w:contextualSpacing/>
        <w:jc w:val="both"/>
        <w:rPr>
          <w:rFonts w:ascii="Arial" w:eastAsia="Calibri" w:hAnsi="Arial" w:cs="Arial"/>
          <w:lang w:val="es-ES"/>
        </w:rPr>
      </w:pPr>
      <w:r w:rsidRPr="006312E8">
        <w:rPr>
          <w:rFonts w:ascii="Arial" w:eastAsia="Calibri" w:hAnsi="Arial" w:cs="Arial"/>
          <w:lang w:val="es-ES"/>
        </w:rPr>
        <w:t>Memoria descriptiva indicando la ubicación, el área, los linderos, las medidas perimétricas y la zonificación (con los nombres de los colindantes, si los hubiere) autorizado por ingeniero o arquitecto colegiado.</w:t>
      </w:r>
    </w:p>
    <w:p w:rsidR="00822FA5" w:rsidRDefault="00822FA5" w:rsidP="00822FA5">
      <w:pPr>
        <w:pStyle w:val="Prrafodelista"/>
        <w:spacing w:after="200" w:line="276" w:lineRule="auto"/>
        <w:ind w:left="1134"/>
        <w:rPr>
          <w:rFonts w:ascii="Arial" w:eastAsia="Calibri" w:hAnsi="Arial" w:cs="Arial"/>
          <w:lang w:val="es-ES"/>
        </w:rPr>
      </w:pPr>
    </w:p>
    <w:p w:rsidR="00822FA5" w:rsidRPr="00822FA5" w:rsidRDefault="00822FA5" w:rsidP="0092471C">
      <w:pPr>
        <w:pStyle w:val="Prrafodelista"/>
        <w:numPr>
          <w:ilvl w:val="1"/>
          <w:numId w:val="282"/>
        </w:numPr>
        <w:spacing w:after="200" w:line="276" w:lineRule="auto"/>
        <w:ind w:left="1134"/>
        <w:jc w:val="both"/>
        <w:rPr>
          <w:rFonts w:ascii="Arial" w:eastAsia="Calibri" w:hAnsi="Arial" w:cs="Arial"/>
          <w:lang w:val="es-ES"/>
        </w:rPr>
      </w:pPr>
      <w:r w:rsidRPr="00822FA5">
        <w:rPr>
          <w:rFonts w:ascii="Arial" w:eastAsia="Calibri" w:hAnsi="Arial" w:cs="Arial"/>
          <w:lang w:val="es-ES"/>
        </w:rPr>
        <w:t>Expediente del proyecto o Plan conceptual.</w:t>
      </w:r>
    </w:p>
    <w:p w:rsidR="00822FA5" w:rsidRPr="00822FA5" w:rsidRDefault="00822FA5" w:rsidP="00822FA5">
      <w:pPr>
        <w:spacing w:after="0" w:line="240" w:lineRule="auto"/>
        <w:ind w:left="1134"/>
        <w:contextualSpacing/>
        <w:jc w:val="both"/>
        <w:rPr>
          <w:rFonts w:ascii="Arial" w:eastAsia="Calibri" w:hAnsi="Arial" w:cs="Arial"/>
          <w:lang w:val="es-ES"/>
        </w:rPr>
      </w:pPr>
      <w:r w:rsidRPr="00822FA5">
        <w:rPr>
          <w:rFonts w:ascii="Arial" w:eastAsia="Calibri" w:hAnsi="Arial" w:cs="Arial"/>
          <w:lang w:val="es-ES"/>
        </w:rPr>
        <w:t>El expediente del proyecto es el conjunto de documentos que integra dicho expediente, aprobado o visado por la autoridad o área competente conteniendo como mínimo la denominación, descripción, finalidad, objetivo, alcances del proyecto, indicación de beneficiarios, justificación de la dimensión del área solicitada, los planos de distribución, memoria descriptiva del proyecto, cronograma general de la ejecución del proyecto y plazo para su culminación, presupuesto estimado y forma de financiamiento.</w:t>
      </w:r>
    </w:p>
    <w:p w:rsidR="00822FA5" w:rsidRPr="00822FA5" w:rsidRDefault="00822FA5" w:rsidP="00822FA5">
      <w:pPr>
        <w:spacing w:after="0" w:line="240" w:lineRule="auto"/>
        <w:ind w:left="1134"/>
        <w:contextualSpacing/>
        <w:jc w:val="both"/>
        <w:rPr>
          <w:rFonts w:ascii="Arial" w:eastAsia="Calibri" w:hAnsi="Arial" w:cs="Arial"/>
          <w:lang w:val="es-ES"/>
        </w:rPr>
      </w:pPr>
    </w:p>
    <w:p w:rsidR="006312E8" w:rsidRDefault="00822FA5" w:rsidP="00822FA5">
      <w:pPr>
        <w:spacing w:after="0" w:line="240" w:lineRule="auto"/>
        <w:ind w:left="1134"/>
        <w:contextualSpacing/>
        <w:jc w:val="both"/>
        <w:rPr>
          <w:rFonts w:ascii="Arial" w:eastAsia="Calibri" w:hAnsi="Arial" w:cs="Arial"/>
          <w:lang w:val="es-ES"/>
        </w:rPr>
      </w:pPr>
      <w:r w:rsidRPr="00822FA5">
        <w:rPr>
          <w:rFonts w:ascii="Arial" w:eastAsia="Calibri" w:hAnsi="Arial" w:cs="Arial"/>
          <w:lang w:val="es-ES"/>
        </w:rPr>
        <w:t>El Plan conceptual o idea de proyecto es un documento debidamente visado por la autoridad o área competente, conteniendo como mínimo lo siguiente: objetivos, descripción técnica del proyecto, demanda y número aproximado de beneficiarios, cronograma preliminar, justificación de la dimensión del área solicitada, presupuesto estimado y forma de financiamiento</w:t>
      </w:r>
      <w:r>
        <w:rPr>
          <w:rFonts w:ascii="Arial" w:eastAsia="Calibri" w:hAnsi="Arial" w:cs="Arial"/>
          <w:lang w:val="es-ES"/>
        </w:rPr>
        <w:t>. (*)</w:t>
      </w:r>
    </w:p>
    <w:p w:rsidR="00822FA5" w:rsidRPr="00822FA5" w:rsidRDefault="00822FA5" w:rsidP="00822FA5">
      <w:pPr>
        <w:pStyle w:val="Prrafodelista"/>
        <w:spacing w:after="0" w:line="240" w:lineRule="auto"/>
        <w:ind w:firstLine="414"/>
        <w:jc w:val="both"/>
        <w:rPr>
          <w:rFonts w:ascii="Arial" w:eastAsia="Calibri" w:hAnsi="Arial" w:cs="Arial"/>
          <w:lang w:val="es-ES"/>
        </w:rPr>
      </w:pPr>
      <w:r w:rsidRPr="00822FA5">
        <w:rPr>
          <w:rFonts w:ascii="Arial" w:eastAsia="Times New Roman" w:hAnsi="Arial" w:cs="Arial"/>
          <w:b/>
          <w:color w:val="FF0000"/>
          <w:sz w:val="16"/>
          <w:szCs w:val="16"/>
          <w:lang w:val="es-ES"/>
        </w:rPr>
        <w:t xml:space="preserve">(*) </w:t>
      </w:r>
      <w:r>
        <w:rPr>
          <w:rFonts w:ascii="Arial" w:eastAsia="Times New Roman" w:hAnsi="Arial" w:cs="Arial"/>
          <w:b/>
          <w:color w:val="FF0000"/>
          <w:sz w:val="16"/>
          <w:szCs w:val="16"/>
          <w:lang w:val="es-ES"/>
        </w:rPr>
        <w:t>Inciso</w:t>
      </w:r>
      <w:r w:rsidRPr="00822FA5">
        <w:rPr>
          <w:rFonts w:ascii="Arial" w:eastAsia="Times New Roman" w:hAnsi="Arial" w:cs="Arial"/>
          <w:b/>
          <w:color w:val="FF0000"/>
          <w:sz w:val="16"/>
          <w:szCs w:val="16"/>
          <w:lang w:val="es-ES"/>
        </w:rPr>
        <w:t xml:space="preserve"> modificado por el Artículo 1 de la Resolución N° 047-2016/SBN, publicada el 01 de julio de 2016</w:t>
      </w:r>
    </w:p>
    <w:p w:rsidR="00822FA5" w:rsidRPr="006312E8" w:rsidRDefault="00822FA5" w:rsidP="00822FA5">
      <w:pPr>
        <w:spacing w:after="200" w:line="276" w:lineRule="auto"/>
        <w:ind w:left="1134"/>
        <w:contextualSpacing/>
        <w:rPr>
          <w:rFonts w:ascii="Arial" w:eastAsia="Calibri" w:hAnsi="Arial" w:cs="Arial"/>
          <w:lang w:val="es-ES"/>
        </w:rPr>
      </w:pPr>
    </w:p>
    <w:p w:rsidR="006312E8" w:rsidRDefault="00822FA5" w:rsidP="0092471C">
      <w:pPr>
        <w:numPr>
          <w:ilvl w:val="1"/>
          <w:numId w:val="282"/>
        </w:numPr>
        <w:spacing w:after="0" w:line="240" w:lineRule="auto"/>
        <w:ind w:left="1134"/>
        <w:contextualSpacing/>
        <w:jc w:val="both"/>
        <w:rPr>
          <w:rFonts w:ascii="Arial" w:eastAsia="Calibri" w:hAnsi="Arial" w:cs="Arial"/>
          <w:lang w:val="es-ES"/>
        </w:rPr>
      </w:pPr>
      <w:r w:rsidRPr="00822FA5">
        <w:rPr>
          <w:rFonts w:ascii="Arial" w:eastAsia="Calibri" w:hAnsi="Arial" w:cs="Arial"/>
          <w:lang w:val="es-ES"/>
        </w:rPr>
        <w:t>Certificado de zonificación y Vías o Certificado de Parámetros Urbanísticos y Edificatorio, en caso de existir</w:t>
      </w:r>
      <w:r>
        <w:rPr>
          <w:rFonts w:ascii="Arial" w:eastAsia="Calibri" w:hAnsi="Arial" w:cs="Arial"/>
          <w:lang w:val="es-ES"/>
        </w:rPr>
        <w:t>. (*)</w:t>
      </w:r>
    </w:p>
    <w:p w:rsidR="00822FA5" w:rsidRPr="00822FA5" w:rsidRDefault="00822FA5" w:rsidP="00822FA5">
      <w:pPr>
        <w:spacing w:after="0" w:line="240" w:lineRule="auto"/>
        <w:ind w:left="1134"/>
        <w:contextualSpacing/>
        <w:jc w:val="both"/>
        <w:rPr>
          <w:rFonts w:ascii="Arial" w:eastAsia="Calibri" w:hAnsi="Arial" w:cs="Arial"/>
          <w:lang w:val="es-ES"/>
        </w:rPr>
      </w:pPr>
      <w:r w:rsidRPr="00822FA5">
        <w:rPr>
          <w:rFonts w:ascii="Arial" w:eastAsia="Times New Roman" w:hAnsi="Arial" w:cs="Arial"/>
          <w:b/>
          <w:color w:val="FF0000"/>
          <w:sz w:val="16"/>
          <w:szCs w:val="16"/>
          <w:lang w:val="es-ES"/>
        </w:rPr>
        <w:t xml:space="preserve">(*) </w:t>
      </w:r>
      <w:r>
        <w:rPr>
          <w:rFonts w:ascii="Arial" w:eastAsia="Times New Roman" w:hAnsi="Arial" w:cs="Arial"/>
          <w:b/>
          <w:color w:val="FF0000"/>
          <w:sz w:val="16"/>
          <w:szCs w:val="16"/>
          <w:lang w:val="es-ES"/>
        </w:rPr>
        <w:t>Inciso</w:t>
      </w:r>
      <w:r w:rsidRPr="00822FA5">
        <w:rPr>
          <w:rFonts w:ascii="Arial" w:eastAsia="Times New Roman" w:hAnsi="Arial" w:cs="Arial"/>
          <w:b/>
          <w:color w:val="FF0000"/>
          <w:sz w:val="16"/>
          <w:szCs w:val="16"/>
          <w:lang w:val="es-ES"/>
        </w:rPr>
        <w:t xml:space="preserve"> modificado por el Artículo 1 de la Resolución N° 047-2016/SBN, publicada el 01 de julio de 2016</w:t>
      </w:r>
    </w:p>
    <w:p w:rsidR="006312E8" w:rsidRDefault="006312E8" w:rsidP="006312E8">
      <w:pPr>
        <w:spacing w:after="0" w:line="240" w:lineRule="auto"/>
        <w:jc w:val="both"/>
        <w:rPr>
          <w:rFonts w:ascii="Arial" w:eastAsia="Calibri" w:hAnsi="Arial" w:cs="Arial"/>
          <w:lang w:val="es-ES"/>
        </w:rPr>
      </w:pPr>
    </w:p>
    <w:p w:rsidR="0050192A" w:rsidRDefault="0050192A" w:rsidP="0092471C">
      <w:pPr>
        <w:pStyle w:val="Prrafodelista"/>
        <w:numPr>
          <w:ilvl w:val="1"/>
          <w:numId w:val="282"/>
        </w:numPr>
        <w:spacing w:after="0" w:line="240" w:lineRule="auto"/>
        <w:ind w:left="1134"/>
        <w:jc w:val="both"/>
        <w:rPr>
          <w:rFonts w:ascii="Arial" w:eastAsia="Calibri" w:hAnsi="Arial" w:cs="Arial"/>
          <w:lang w:val="es-ES"/>
        </w:rPr>
      </w:pPr>
      <w:r>
        <w:rPr>
          <w:rFonts w:ascii="Arial" w:eastAsia="Calibri" w:hAnsi="Arial" w:cs="Arial"/>
          <w:lang w:val="es-ES"/>
        </w:rPr>
        <w:t>(*)</w:t>
      </w:r>
    </w:p>
    <w:p w:rsidR="0050192A" w:rsidRPr="0050192A" w:rsidRDefault="0050192A" w:rsidP="0050192A">
      <w:pPr>
        <w:pStyle w:val="Prrafodelista"/>
        <w:spacing w:after="0" w:line="240" w:lineRule="auto"/>
        <w:ind w:firstLine="414"/>
        <w:jc w:val="both"/>
        <w:rPr>
          <w:rFonts w:ascii="Arial" w:eastAsia="Calibri" w:hAnsi="Arial" w:cs="Arial"/>
          <w:lang w:val="es-ES"/>
        </w:rPr>
      </w:pPr>
      <w:r w:rsidRPr="0050192A">
        <w:rPr>
          <w:rFonts w:ascii="Arial" w:eastAsia="Times New Roman" w:hAnsi="Arial" w:cs="Arial"/>
          <w:b/>
          <w:color w:val="FF0000"/>
          <w:sz w:val="16"/>
          <w:szCs w:val="16"/>
          <w:lang w:val="es-ES"/>
        </w:rPr>
        <w:t>(*) Inciso</w:t>
      </w:r>
      <w:r>
        <w:rPr>
          <w:rFonts w:ascii="Arial" w:eastAsia="Times New Roman" w:hAnsi="Arial" w:cs="Arial"/>
          <w:b/>
          <w:color w:val="FF0000"/>
          <w:sz w:val="16"/>
          <w:szCs w:val="16"/>
          <w:lang w:val="es-ES"/>
        </w:rPr>
        <w:t xml:space="preserve"> excluído por el Artículo 2</w:t>
      </w:r>
      <w:r w:rsidRPr="0050192A">
        <w:rPr>
          <w:rFonts w:ascii="Arial" w:eastAsia="Times New Roman" w:hAnsi="Arial" w:cs="Arial"/>
          <w:b/>
          <w:color w:val="FF0000"/>
          <w:sz w:val="16"/>
          <w:szCs w:val="16"/>
          <w:lang w:val="es-ES"/>
        </w:rPr>
        <w:t xml:space="preserve"> de la Resolución N° 047-2016/SBN, publicada el 01 de julio de 2016</w:t>
      </w:r>
    </w:p>
    <w:p w:rsidR="0050192A" w:rsidRPr="0050192A" w:rsidRDefault="0050192A" w:rsidP="0050192A">
      <w:pPr>
        <w:pStyle w:val="Prrafodelista"/>
        <w:spacing w:after="0" w:line="240" w:lineRule="auto"/>
        <w:ind w:left="1134"/>
        <w:jc w:val="both"/>
        <w:rPr>
          <w:rFonts w:ascii="Arial" w:eastAsia="Calibri" w:hAnsi="Arial" w:cs="Arial"/>
          <w:lang w:val="es-ES"/>
        </w:rPr>
      </w:pPr>
    </w:p>
    <w:p w:rsidR="006312E8" w:rsidRDefault="006312E8" w:rsidP="006312E8">
      <w:pPr>
        <w:spacing w:after="0" w:line="240" w:lineRule="auto"/>
        <w:ind w:left="709" w:hanging="425"/>
        <w:jc w:val="both"/>
        <w:rPr>
          <w:rFonts w:ascii="Arial" w:eastAsia="Calibri" w:hAnsi="Arial" w:cs="Arial"/>
          <w:lang w:val="es-ES"/>
        </w:rPr>
      </w:pPr>
      <w:r w:rsidRPr="006312E8">
        <w:rPr>
          <w:rFonts w:ascii="Arial" w:eastAsia="Calibri" w:hAnsi="Arial" w:cs="Arial"/>
          <w:b/>
          <w:lang w:val="es-ES"/>
        </w:rPr>
        <w:t>3.2</w:t>
      </w:r>
      <w:r w:rsidR="00822FA5">
        <w:rPr>
          <w:rFonts w:ascii="Arial" w:eastAsia="Calibri" w:hAnsi="Arial" w:cs="Arial"/>
          <w:lang w:val="es-ES"/>
        </w:rPr>
        <w:t xml:space="preserve"> </w:t>
      </w:r>
      <w:r w:rsidR="00822FA5">
        <w:rPr>
          <w:rFonts w:ascii="Arial" w:eastAsia="Calibri" w:hAnsi="Arial" w:cs="Arial"/>
          <w:lang w:val="es-ES"/>
        </w:rPr>
        <w:tab/>
      </w:r>
      <w:r w:rsidR="00822FA5" w:rsidRPr="00822FA5">
        <w:rPr>
          <w:rFonts w:ascii="Arial" w:eastAsia="Calibri" w:hAnsi="Arial" w:cs="Arial"/>
          <w:lang w:val="es-ES"/>
        </w:rPr>
        <w:t>En aquellos procedimientos en que se solicita a la SBN la afectación en uso, en vías de regularización, no resulta necesaria la presentación de los requisitos señalados en los literales g) y h) antes indicado</w:t>
      </w:r>
      <w:r w:rsidRPr="006312E8">
        <w:rPr>
          <w:rFonts w:ascii="Arial" w:eastAsia="Calibri" w:hAnsi="Arial" w:cs="Arial"/>
          <w:lang w:val="es-ES"/>
        </w:rPr>
        <w:t>.</w:t>
      </w:r>
      <w:r w:rsidR="00822FA5">
        <w:rPr>
          <w:rFonts w:ascii="Arial" w:eastAsia="Calibri" w:hAnsi="Arial" w:cs="Arial"/>
          <w:lang w:val="es-ES"/>
        </w:rPr>
        <w:t xml:space="preserve"> (*)</w:t>
      </w:r>
    </w:p>
    <w:p w:rsidR="00822FA5" w:rsidRPr="00822FA5" w:rsidRDefault="00822FA5" w:rsidP="00822FA5">
      <w:pPr>
        <w:spacing w:after="0" w:line="240" w:lineRule="auto"/>
        <w:ind w:left="709"/>
        <w:contextualSpacing/>
        <w:jc w:val="both"/>
        <w:rPr>
          <w:rFonts w:ascii="Arial" w:eastAsia="Calibri" w:hAnsi="Arial" w:cs="Arial"/>
          <w:lang w:val="es-ES"/>
        </w:rPr>
      </w:pPr>
      <w:r w:rsidRPr="00822FA5">
        <w:rPr>
          <w:rFonts w:ascii="Arial" w:eastAsia="Times New Roman" w:hAnsi="Arial" w:cs="Arial"/>
          <w:b/>
          <w:color w:val="FF0000"/>
          <w:sz w:val="16"/>
          <w:szCs w:val="16"/>
          <w:lang w:val="es-ES"/>
        </w:rPr>
        <w:t xml:space="preserve">(*) </w:t>
      </w:r>
      <w:r>
        <w:rPr>
          <w:rFonts w:ascii="Arial" w:eastAsia="Times New Roman" w:hAnsi="Arial" w:cs="Arial"/>
          <w:b/>
          <w:color w:val="FF0000"/>
          <w:sz w:val="16"/>
          <w:szCs w:val="16"/>
          <w:lang w:val="es-ES"/>
        </w:rPr>
        <w:t>Numeral</w:t>
      </w:r>
      <w:r w:rsidRPr="00822FA5">
        <w:rPr>
          <w:rFonts w:ascii="Arial" w:eastAsia="Times New Roman" w:hAnsi="Arial" w:cs="Arial"/>
          <w:b/>
          <w:color w:val="FF0000"/>
          <w:sz w:val="16"/>
          <w:szCs w:val="16"/>
          <w:lang w:val="es-ES"/>
        </w:rPr>
        <w:t xml:space="preserve"> modificado por el Artículo 1 de la Resolución N° 047-2016/SBN, publicada el 01 de julio de 2016</w:t>
      </w:r>
    </w:p>
    <w:p w:rsidR="00822FA5" w:rsidRPr="006312E8" w:rsidRDefault="00822FA5" w:rsidP="006312E8">
      <w:pPr>
        <w:spacing w:after="0" w:line="240" w:lineRule="auto"/>
        <w:ind w:left="709" w:hanging="425"/>
        <w:jc w:val="both"/>
        <w:rPr>
          <w:rFonts w:ascii="Arial" w:eastAsia="Calibri" w:hAnsi="Arial" w:cs="Arial"/>
          <w:lang w:val="es-ES"/>
        </w:rPr>
      </w:pPr>
    </w:p>
    <w:p w:rsidR="006312E8" w:rsidRDefault="006312E8" w:rsidP="006312E8">
      <w:pPr>
        <w:spacing w:after="0" w:line="240" w:lineRule="auto"/>
        <w:ind w:left="709" w:hanging="425"/>
        <w:jc w:val="both"/>
        <w:rPr>
          <w:rFonts w:ascii="Arial" w:eastAsia="Calibri" w:hAnsi="Arial" w:cs="Arial"/>
          <w:lang w:val="es-ES"/>
        </w:rPr>
      </w:pPr>
      <w:r w:rsidRPr="006312E8">
        <w:rPr>
          <w:rFonts w:ascii="Arial" w:eastAsia="Calibri" w:hAnsi="Arial" w:cs="Arial"/>
          <w:b/>
          <w:lang w:val="es-ES"/>
        </w:rPr>
        <w:t>3.3</w:t>
      </w:r>
      <w:r w:rsidR="00822FA5">
        <w:rPr>
          <w:rFonts w:ascii="Arial" w:eastAsia="Calibri" w:hAnsi="Arial" w:cs="Arial"/>
          <w:lang w:val="es-ES"/>
        </w:rPr>
        <w:t xml:space="preserve"> </w:t>
      </w:r>
      <w:r w:rsidR="00822FA5">
        <w:rPr>
          <w:rFonts w:ascii="Arial" w:eastAsia="Calibri" w:hAnsi="Arial" w:cs="Arial"/>
          <w:lang w:val="es-ES"/>
        </w:rPr>
        <w:tab/>
        <w:t>L</w:t>
      </w:r>
      <w:r w:rsidR="00822FA5" w:rsidRPr="00822FA5">
        <w:rPr>
          <w:rFonts w:ascii="Arial" w:eastAsia="Calibri" w:hAnsi="Arial" w:cs="Arial"/>
          <w:lang w:val="es-ES"/>
        </w:rPr>
        <w:t>as solicitudes de afectación en uso formuladas por los Gobiernos Regionales y/o Gobiernos Locales, deberán contar con el Acuerdo de Consejo Regional o Acuerdo de Concejo Municipal respectivamente, en el que se apruebe la petición, salvo que se trate de una regularización de afectación en uso, en cuyo caso no será necesario tal requisito</w:t>
      </w:r>
      <w:r w:rsidR="00822FA5">
        <w:rPr>
          <w:rFonts w:ascii="Arial" w:eastAsia="Calibri" w:hAnsi="Arial" w:cs="Arial"/>
          <w:lang w:val="es-ES"/>
        </w:rPr>
        <w:t>. (*)</w:t>
      </w:r>
    </w:p>
    <w:p w:rsidR="00822FA5" w:rsidRPr="00822FA5" w:rsidRDefault="00822FA5" w:rsidP="00822FA5">
      <w:pPr>
        <w:spacing w:after="0" w:line="240" w:lineRule="auto"/>
        <w:ind w:left="709"/>
        <w:contextualSpacing/>
        <w:jc w:val="both"/>
        <w:rPr>
          <w:rFonts w:ascii="Arial" w:eastAsia="Calibri" w:hAnsi="Arial" w:cs="Arial"/>
          <w:lang w:val="es-ES"/>
        </w:rPr>
      </w:pPr>
      <w:r w:rsidRPr="00822FA5">
        <w:rPr>
          <w:rFonts w:ascii="Arial" w:eastAsia="Times New Roman" w:hAnsi="Arial" w:cs="Arial"/>
          <w:b/>
          <w:color w:val="FF0000"/>
          <w:sz w:val="16"/>
          <w:szCs w:val="16"/>
          <w:lang w:val="es-ES"/>
        </w:rPr>
        <w:t xml:space="preserve">(*) </w:t>
      </w:r>
      <w:r>
        <w:rPr>
          <w:rFonts w:ascii="Arial" w:eastAsia="Times New Roman" w:hAnsi="Arial" w:cs="Arial"/>
          <w:b/>
          <w:color w:val="FF0000"/>
          <w:sz w:val="16"/>
          <w:szCs w:val="16"/>
          <w:lang w:val="es-ES"/>
        </w:rPr>
        <w:t>Numeral</w:t>
      </w:r>
      <w:r w:rsidRPr="00822FA5">
        <w:rPr>
          <w:rFonts w:ascii="Arial" w:eastAsia="Times New Roman" w:hAnsi="Arial" w:cs="Arial"/>
          <w:b/>
          <w:color w:val="FF0000"/>
          <w:sz w:val="16"/>
          <w:szCs w:val="16"/>
          <w:lang w:val="es-ES"/>
        </w:rPr>
        <w:t xml:space="preserve"> modificado por el Artículo 1 de la Resolución N° 047-2016/SBN, publicada el 01 de julio de 2016</w:t>
      </w:r>
    </w:p>
    <w:p w:rsidR="00822FA5" w:rsidRPr="006312E8" w:rsidRDefault="00822FA5" w:rsidP="00822FA5">
      <w:pPr>
        <w:spacing w:after="0" w:line="240" w:lineRule="auto"/>
        <w:ind w:left="709"/>
        <w:jc w:val="both"/>
        <w:rPr>
          <w:rFonts w:ascii="Arial" w:eastAsia="Calibri" w:hAnsi="Arial" w:cs="Arial"/>
          <w:lang w:val="es-ES"/>
        </w:rPr>
      </w:pPr>
    </w:p>
    <w:p w:rsidR="006312E8" w:rsidRPr="006312E8" w:rsidRDefault="006312E8" w:rsidP="006312E8">
      <w:pPr>
        <w:spacing w:after="0" w:line="240" w:lineRule="auto"/>
        <w:ind w:left="709" w:hanging="425"/>
        <w:jc w:val="both"/>
        <w:rPr>
          <w:rFonts w:ascii="Arial" w:eastAsia="Calibri" w:hAnsi="Arial" w:cs="Arial"/>
          <w:b/>
          <w:lang w:val="es-ES"/>
        </w:rPr>
      </w:pPr>
      <w:r w:rsidRPr="006312E8">
        <w:rPr>
          <w:rFonts w:ascii="Arial" w:eastAsia="Calibri" w:hAnsi="Arial" w:cs="Arial"/>
          <w:b/>
          <w:lang w:val="es-ES"/>
        </w:rPr>
        <w:t>3.4</w:t>
      </w:r>
      <w:r w:rsidRPr="006312E8">
        <w:rPr>
          <w:rFonts w:ascii="Arial" w:eastAsia="Calibri" w:hAnsi="Arial" w:cs="Arial"/>
          <w:lang w:val="es-ES"/>
        </w:rPr>
        <w:t xml:space="preserve"> </w:t>
      </w:r>
      <w:r w:rsidRPr="006312E8">
        <w:rPr>
          <w:rFonts w:ascii="Arial" w:eastAsia="Calibri" w:hAnsi="Arial" w:cs="Arial"/>
          <w:lang w:val="es-ES"/>
        </w:rPr>
        <w:tab/>
      </w:r>
      <w:r w:rsidRPr="006312E8">
        <w:rPr>
          <w:rFonts w:ascii="Arial" w:eastAsia="Calibri" w:hAnsi="Arial" w:cs="Arial"/>
          <w:b/>
          <w:lang w:val="es-ES"/>
        </w:rPr>
        <w:t>Verificación de documentos y plazo de subsanación</w:t>
      </w:r>
    </w:p>
    <w:p w:rsidR="00822FA5" w:rsidRPr="00822FA5" w:rsidRDefault="006312E8" w:rsidP="00822FA5">
      <w:pPr>
        <w:spacing w:after="0" w:line="240" w:lineRule="auto"/>
        <w:ind w:left="709" w:hanging="425"/>
        <w:jc w:val="both"/>
        <w:rPr>
          <w:rFonts w:ascii="Arial" w:eastAsia="Calibri" w:hAnsi="Arial" w:cs="Arial"/>
          <w:lang w:val="es-ES"/>
        </w:rPr>
      </w:pPr>
      <w:r w:rsidRPr="006312E8">
        <w:rPr>
          <w:rFonts w:ascii="Arial" w:eastAsia="Calibri" w:hAnsi="Arial" w:cs="Arial"/>
          <w:lang w:val="es-ES"/>
        </w:rPr>
        <w:tab/>
      </w:r>
      <w:r w:rsidR="00822FA5" w:rsidRPr="00822FA5">
        <w:rPr>
          <w:rFonts w:ascii="Arial" w:eastAsia="Calibri" w:hAnsi="Arial" w:cs="Arial"/>
          <w:lang w:val="es-ES"/>
        </w:rPr>
        <w:t>Recibida la solicitud, la entidad pública propietaria o administradora del predio, a través de la unidad operativa encargada de sustentar el trámite, procederá a verificar la documentación presentada y de ser necesario requerirá al administrado para que dentro del término de quince (15) días hábiles, computados a partir del día siguiente de su notificación, proceda a la aclaración, precisión o reformulación de su pedido o presentación de documentos complementarios a los presentados, bajo apercibimiento de tenerse por no presentada la solicitud.</w:t>
      </w:r>
    </w:p>
    <w:p w:rsidR="00822FA5" w:rsidRPr="00822FA5" w:rsidRDefault="00822FA5" w:rsidP="00822FA5">
      <w:pPr>
        <w:spacing w:after="0" w:line="240" w:lineRule="auto"/>
        <w:ind w:left="709" w:hanging="425"/>
        <w:jc w:val="both"/>
        <w:rPr>
          <w:rFonts w:ascii="Arial" w:eastAsia="Calibri" w:hAnsi="Arial" w:cs="Arial"/>
          <w:lang w:val="es-ES"/>
        </w:rPr>
      </w:pPr>
    </w:p>
    <w:p w:rsidR="006312E8" w:rsidRPr="006312E8" w:rsidRDefault="00822FA5" w:rsidP="00822FA5">
      <w:pPr>
        <w:spacing w:after="0" w:line="240" w:lineRule="auto"/>
        <w:ind w:left="709" w:hanging="425"/>
        <w:jc w:val="both"/>
        <w:rPr>
          <w:rFonts w:ascii="Arial" w:eastAsia="Calibri" w:hAnsi="Arial" w:cs="Arial"/>
          <w:lang w:val="es-ES"/>
        </w:rPr>
      </w:pPr>
      <w:r w:rsidRPr="00822FA5">
        <w:rPr>
          <w:rFonts w:ascii="Arial" w:eastAsia="Calibri" w:hAnsi="Arial" w:cs="Arial"/>
          <w:lang w:val="es-ES"/>
        </w:rPr>
        <w:tab/>
        <w:t>Por excepción, si el Certificado de Parámetros Urbanísticos que se adjunta señala una zonificación que no es compatible con la finalidad del uso o servicio público propuesto, se podrá otorgar la afectación en uso con cargo a que el afectatario, gestione y obtenga el cambio de zonificación ante el Gobierno Local respectivo, dentro de un plazo no mayor de dos (02) años, bajo apercibimiento de extinguirse la afectación en uso de pleno derecho y consecuentemente se emita la Resolución respectiva. Por razones debidamente justificadas que no sean imputables al afectatario, podrá prorrogarse el plazo antes indicado hasta por igual término</w:t>
      </w:r>
      <w:r w:rsidR="006312E8" w:rsidRPr="006312E8">
        <w:rPr>
          <w:rFonts w:ascii="Arial" w:eastAsia="Calibri" w:hAnsi="Arial" w:cs="Arial"/>
          <w:lang w:val="es-ES"/>
        </w:rPr>
        <w:t>. (*)</w:t>
      </w:r>
    </w:p>
    <w:p w:rsidR="00822FA5" w:rsidRPr="00822FA5" w:rsidRDefault="00822FA5" w:rsidP="00822FA5">
      <w:pPr>
        <w:spacing w:after="0" w:line="240" w:lineRule="auto"/>
        <w:ind w:left="709"/>
        <w:contextualSpacing/>
        <w:jc w:val="both"/>
        <w:rPr>
          <w:rFonts w:ascii="Arial" w:eastAsia="Calibri" w:hAnsi="Arial" w:cs="Arial"/>
          <w:lang w:val="es-ES"/>
        </w:rPr>
      </w:pPr>
      <w:r w:rsidRPr="00822FA5">
        <w:rPr>
          <w:rFonts w:ascii="Arial" w:eastAsia="Times New Roman" w:hAnsi="Arial" w:cs="Arial"/>
          <w:b/>
          <w:color w:val="FF0000"/>
          <w:sz w:val="16"/>
          <w:szCs w:val="16"/>
          <w:lang w:val="es-ES"/>
        </w:rPr>
        <w:t xml:space="preserve">(*) </w:t>
      </w:r>
      <w:r>
        <w:rPr>
          <w:rFonts w:ascii="Arial" w:eastAsia="Times New Roman" w:hAnsi="Arial" w:cs="Arial"/>
          <w:b/>
          <w:color w:val="FF0000"/>
          <w:sz w:val="16"/>
          <w:szCs w:val="16"/>
          <w:lang w:val="es-ES"/>
        </w:rPr>
        <w:t>Numeral</w:t>
      </w:r>
      <w:r w:rsidRPr="00822FA5">
        <w:rPr>
          <w:rFonts w:ascii="Arial" w:eastAsia="Times New Roman" w:hAnsi="Arial" w:cs="Arial"/>
          <w:b/>
          <w:color w:val="FF0000"/>
          <w:sz w:val="16"/>
          <w:szCs w:val="16"/>
          <w:lang w:val="es-ES"/>
        </w:rPr>
        <w:t xml:space="preserve"> modificado por el Artículo 1 de la Resolución N° 047-2016/SBN, publicada el 01 de julio de 2016</w:t>
      </w:r>
    </w:p>
    <w:p w:rsidR="006312E8" w:rsidRDefault="006312E8" w:rsidP="00822FA5">
      <w:pPr>
        <w:spacing w:after="0" w:line="240" w:lineRule="auto"/>
        <w:ind w:left="709"/>
        <w:jc w:val="both"/>
        <w:rPr>
          <w:rFonts w:ascii="Arial" w:eastAsia="Calibri" w:hAnsi="Arial" w:cs="Arial"/>
          <w:lang w:val="es-ES"/>
        </w:rPr>
      </w:pPr>
    </w:p>
    <w:p w:rsidR="005309C0" w:rsidRPr="006312E8" w:rsidRDefault="005309C0" w:rsidP="00822FA5">
      <w:pPr>
        <w:spacing w:after="0" w:line="240" w:lineRule="auto"/>
        <w:ind w:left="709"/>
        <w:jc w:val="both"/>
        <w:rPr>
          <w:rFonts w:ascii="Arial" w:eastAsia="Calibri" w:hAnsi="Arial" w:cs="Arial"/>
          <w:lang w:val="es-ES"/>
        </w:rPr>
      </w:pPr>
    </w:p>
    <w:p w:rsidR="006312E8" w:rsidRPr="006312E8" w:rsidRDefault="006312E8" w:rsidP="006312E8">
      <w:pPr>
        <w:spacing w:after="0" w:line="240" w:lineRule="auto"/>
        <w:ind w:left="709" w:hanging="425"/>
        <w:jc w:val="both"/>
        <w:rPr>
          <w:rFonts w:ascii="Arial" w:eastAsia="Calibri" w:hAnsi="Arial" w:cs="Arial"/>
          <w:b/>
          <w:lang w:val="es-ES"/>
        </w:rPr>
      </w:pPr>
      <w:r w:rsidRPr="006312E8">
        <w:rPr>
          <w:rFonts w:ascii="Arial" w:eastAsia="Calibri" w:hAnsi="Arial" w:cs="Arial"/>
          <w:b/>
          <w:lang w:val="es-ES"/>
        </w:rPr>
        <w:t xml:space="preserve">3.5 </w:t>
      </w:r>
      <w:r w:rsidRPr="006312E8">
        <w:rPr>
          <w:rFonts w:ascii="Arial" w:eastAsia="Calibri" w:hAnsi="Arial" w:cs="Arial"/>
          <w:b/>
          <w:lang w:val="es-ES"/>
        </w:rPr>
        <w:tab/>
        <w:t>Evaluación de libre disponibilidad del predio y saneamiento previo</w:t>
      </w:r>
    </w:p>
    <w:p w:rsidR="00822FA5" w:rsidRPr="00822FA5" w:rsidRDefault="006312E8" w:rsidP="00822FA5">
      <w:pPr>
        <w:spacing w:after="0" w:line="240" w:lineRule="auto"/>
        <w:ind w:left="709" w:hanging="425"/>
        <w:jc w:val="both"/>
        <w:rPr>
          <w:rFonts w:ascii="Arial" w:eastAsia="Calibri" w:hAnsi="Arial" w:cs="Arial"/>
          <w:lang w:val="es-ES"/>
        </w:rPr>
      </w:pPr>
      <w:r w:rsidRPr="006312E8">
        <w:rPr>
          <w:rFonts w:ascii="Arial" w:eastAsia="Calibri" w:hAnsi="Arial" w:cs="Arial"/>
          <w:lang w:val="es-ES"/>
        </w:rPr>
        <w:tab/>
      </w:r>
      <w:r w:rsidR="00822FA5" w:rsidRPr="00822FA5">
        <w:rPr>
          <w:rFonts w:ascii="Arial" w:eastAsia="Calibri" w:hAnsi="Arial" w:cs="Arial"/>
          <w:lang w:val="es-ES"/>
        </w:rPr>
        <w:t>Con la información proporcionada por el administrado, previa inspección técnica, se procederá a verificar que el predio solicitado sea de libre disponibilidad, debiendo tener en cuenta para tal efecto la condición jurídica del predio y su no inclusión dentro de un régimen legal especial para la administración o disposición del mismo.</w:t>
      </w:r>
    </w:p>
    <w:p w:rsidR="00822FA5" w:rsidRPr="00822FA5" w:rsidRDefault="00822FA5" w:rsidP="00822FA5">
      <w:pPr>
        <w:spacing w:after="0" w:line="240" w:lineRule="auto"/>
        <w:ind w:left="709" w:hanging="425"/>
        <w:jc w:val="both"/>
        <w:rPr>
          <w:rFonts w:ascii="Arial" w:eastAsia="Calibri" w:hAnsi="Arial" w:cs="Arial"/>
          <w:lang w:val="es-ES"/>
        </w:rPr>
      </w:pPr>
    </w:p>
    <w:p w:rsidR="00822FA5" w:rsidRPr="00822FA5" w:rsidRDefault="00822FA5" w:rsidP="00822FA5">
      <w:pPr>
        <w:spacing w:after="0" w:line="240" w:lineRule="auto"/>
        <w:ind w:left="709" w:hanging="425"/>
        <w:jc w:val="both"/>
        <w:rPr>
          <w:rFonts w:ascii="Arial" w:eastAsia="Calibri" w:hAnsi="Arial" w:cs="Arial"/>
          <w:lang w:val="es-ES"/>
        </w:rPr>
      </w:pPr>
      <w:r w:rsidRPr="00822FA5">
        <w:rPr>
          <w:rFonts w:ascii="Arial" w:eastAsia="Calibri" w:hAnsi="Arial" w:cs="Arial"/>
          <w:lang w:val="es-ES"/>
        </w:rPr>
        <w:tab/>
        <w:t>Se consideran predios estatales de libre disponibilidad a los que no tienen impedimento legal o judicial para efectuar los distintos actos que contempla las normas del Sistema, salvo que exista mandado judicial expreso que suspenda o prohíba otorgar algún derecho sobre el predio materia de afectación en uso.</w:t>
      </w:r>
    </w:p>
    <w:p w:rsidR="00822FA5" w:rsidRPr="00822FA5" w:rsidRDefault="00822FA5" w:rsidP="00822FA5">
      <w:pPr>
        <w:spacing w:after="0" w:line="240" w:lineRule="auto"/>
        <w:ind w:left="709" w:hanging="425"/>
        <w:jc w:val="both"/>
        <w:rPr>
          <w:rFonts w:ascii="Arial" w:eastAsia="Calibri" w:hAnsi="Arial" w:cs="Arial"/>
          <w:lang w:val="es-ES"/>
        </w:rPr>
      </w:pPr>
    </w:p>
    <w:p w:rsidR="00822FA5" w:rsidRPr="00822FA5" w:rsidRDefault="00822FA5" w:rsidP="00822FA5">
      <w:pPr>
        <w:spacing w:after="0" w:line="240" w:lineRule="auto"/>
        <w:ind w:left="709" w:hanging="425"/>
        <w:jc w:val="both"/>
        <w:rPr>
          <w:rFonts w:ascii="Arial" w:eastAsia="Calibri" w:hAnsi="Arial" w:cs="Arial"/>
          <w:lang w:val="es-ES"/>
        </w:rPr>
      </w:pPr>
      <w:r w:rsidRPr="00822FA5">
        <w:rPr>
          <w:rFonts w:ascii="Arial" w:eastAsia="Calibri" w:hAnsi="Arial" w:cs="Arial"/>
          <w:lang w:val="es-ES"/>
        </w:rPr>
        <w:tab/>
        <w:t>La existencia de cargas, gravámenes y procesos judiciales, administrativos o registrales que afecten a predios estatales, así como la posesión que pueda existir sobre éstos, no limita otorgar la afectación en uso, debiendo ser puestas en conocimiento a la entidad solicitante del bien, al momento de aprobarse la afectación en uso, lo cual constará en la resolución que aprueba dicho acto.</w:t>
      </w:r>
    </w:p>
    <w:p w:rsidR="00822FA5" w:rsidRPr="00822FA5" w:rsidRDefault="00822FA5" w:rsidP="00822FA5">
      <w:pPr>
        <w:spacing w:after="0" w:line="240" w:lineRule="auto"/>
        <w:ind w:left="709" w:hanging="425"/>
        <w:jc w:val="both"/>
        <w:rPr>
          <w:rFonts w:ascii="Arial" w:eastAsia="Calibri" w:hAnsi="Arial" w:cs="Arial"/>
          <w:lang w:val="es-ES"/>
        </w:rPr>
      </w:pPr>
    </w:p>
    <w:p w:rsidR="00822FA5" w:rsidRPr="00822FA5" w:rsidRDefault="00822FA5" w:rsidP="00822FA5">
      <w:pPr>
        <w:spacing w:after="0" w:line="240" w:lineRule="auto"/>
        <w:ind w:left="709" w:hanging="425"/>
        <w:jc w:val="both"/>
        <w:rPr>
          <w:rFonts w:ascii="Arial" w:eastAsia="Calibri" w:hAnsi="Arial" w:cs="Arial"/>
          <w:lang w:val="es-ES"/>
        </w:rPr>
      </w:pPr>
      <w:r w:rsidRPr="00822FA5">
        <w:rPr>
          <w:rFonts w:ascii="Arial" w:eastAsia="Calibri" w:hAnsi="Arial" w:cs="Arial"/>
          <w:lang w:val="es-ES"/>
        </w:rPr>
        <w:tab/>
        <w:t>Si el predio no es de libre disponibilidad o si la entidad considera no acceder a la solicitud de afectación en uso, dará por concluido el trámite notificando su decisión al administrado.</w:t>
      </w:r>
    </w:p>
    <w:p w:rsidR="00822FA5" w:rsidRPr="00822FA5" w:rsidRDefault="00822FA5" w:rsidP="00822FA5">
      <w:pPr>
        <w:spacing w:after="0" w:line="240" w:lineRule="auto"/>
        <w:ind w:left="709" w:hanging="425"/>
        <w:jc w:val="both"/>
        <w:rPr>
          <w:rFonts w:ascii="Arial" w:eastAsia="Calibri" w:hAnsi="Arial" w:cs="Arial"/>
          <w:lang w:val="es-ES"/>
        </w:rPr>
      </w:pPr>
    </w:p>
    <w:p w:rsidR="00822FA5" w:rsidRPr="00822FA5" w:rsidRDefault="00822FA5" w:rsidP="00822FA5">
      <w:pPr>
        <w:spacing w:after="0" w:line="240" w:lineRule="auto"/>
        <w:ind w:left="709" w:hanging="425"/>
        <w:jc w:val="both"/>
        <w:rPr>
          <w:rFonts w:ascii="Arial" w:eastAsia="Calibri" w:hAnsi="Arial" w:cs="Arial"/>
          <w:lang w:val="es-ES"/>
        </w:rPr>
      </w:pPr>
      <w:r w:rsidRPr="00822FA5">
        <w:rPr>
          <w:rFonts w:ascii="Arial" w:eastAsia="Calibri" w:hAnsi="Arial" w:cs="Arial"/>
          <w:lang w:val="es-ES"/>
        </w:rPr>
        <w:tab/>
        <w:t>Si el predio es de libre disponibilidad y se encuentra pendiente la inscripción registral del dominio a favor del Estado o de la entidad propietaria, previamente debe efectuarse la referida inscripción.</w:t>
      </w:r>
    </w:p>
    <w:p w:rsidR="00822FA5" w:rsidRPr="00822FA5" w:rsidRDefault="00822FA5" w:rsidP="00822FA5">
      <w:pPr>
        <w:spacing w:after="0" w:line="240" w:lineRule="auto"/>
        <w:ind w:left="709" w:hanging="425"/>
        <w:jc w:val="both"/>
        <w:rPr>
          <w:rFonts w:ascii="Arial" w:eastAsia="Calibri" w:hAnsi="Arial" w:cs="Arial"/>
          <w:lang w:val="es-ES"/>
        </w:rPr>
      </w:pPr>
    </w:p>
    <w:p w:rsidR="006312E8" w:rsidRDefault="00822FA5" w:rsidP="00822FA5">
      <w:pPr>
        <w:spacing w:after="0" w:line="240" w:lineRule="auto"/>
        <w:ind w:left="709" w:hanging="425"/>
        <w:jc w:val="both"/>
        <w:rPr>
          <w:rFonts w:ascii="Arial" w:eastAsia="Calibri" w:hAnsi="Arial" w:cs="Arial"/>
          <w:lang w:val="es-ES"/>
        </w:rPr>
      </w:pPr>
      <w:r w:rsidRPr="00822FA5">
        <w:rPr>
          <w:rFonts w:ascii="Arial" w:eastAsia="Calibri" w:hAnsi="Arial" w:cs="Arial"/>
          <w:lang w:val="es-ES"/>
        </w:rPr>
        <w:tab/>
        <w:t>En el caso que el predio esté siendo destinado al uso público o a la prestación de un servicio público, previa evaluación, la SBN podrá aprobar, en vía de regularización, la afectación en uso, la asignación o reasignación, según corresponda a favor de la entidad responsable de la administración del bien o de la prestación del servicio</w:t>
      </w:r>
      <w:r>
        <w:rPr>
          <w:rFonts w:ascii="Arial" w:eastAsia="Calibri" w:hAnsi="Arial" w:cs="Arial"/>
          <w:lang w:val="es-ES"/>
        </w:rPr>
        <w:t>.(*)</w:t>
      </w:r>
    </w:p>
    <w:p w:rsidR="00822FA5" w:rsidRPr="00822FA5" w:rsidRDefault="00822FA5" w:rsidP="00822FA5">
      <w:pPr>
        <w:spacing w:after="0" w:line="240" w:lineRule="auto"/>
        <w:ind w:left="709"/>
        <w:contextualSpacing/>
        <w:jc w:val="both"/>
        <w:rPr>
          <w:rFonts w:ascii="Arial" w:eastAsia="Calibri" w:hAnsi="Arial" w:cs="Arial"/>
          <w:lang w:val="es-ES"/>
        </w:rPr>
      </w:pPr>
      <w:r w:rsidRPr="00822FA5">
        <w:rPr>
          <w:rFonts w:ascii="Arial" w:eastAsia="Times New Roman" w:hAnsi="Arial" w:cs="Arial"/>
          <w:b/>
          <w:color w:val="FF0000"/>
          <w:sz w:val="16"/>
          <w:szCs w:val="16"/>
          <w:lang w:val="es-ES"/>
        </w:rPr>
        <w:t xml:space="preserve">(*) </w:t>
      </w:r>
      <w:r>
        <w:rPr>
          <w:rFonts w:ascii="Arial" w:eastAsia="Times New Roman" w:hAnsi="Arial" w:cs="Arial"/>
          <w:b/>
          <w:color w:val="FF0000"/>
          <w:sz w:val="16"/>
          <w:szCs w:val="16"/>
          <w:lang w:val="es-ES"/>
        </w:rPr>
        <w:t>Numeral</w:t>
      </w:r>
      <w:r w:rsidRPr="00822FA5">
        <w:rPr>
          <w:rFonts w:ascii="Arial" w:eastAsia="Times New Roman" w:hAnsi="Arial" w:cs="Arial"/>
          <w:b/>
          <w:color w:val="FF0000"/>
          <w:sz w:val="16"/>
          <w:szCs w:val="16"/>
          <w:lang w:val="es-ES"/>
        </w:rPr>
        <w:t xml:space="preserve"> modificado por el Artículo 1 de la Resolución N° 047-2016/SBN, publicada el 01 de julio de 2016</w:t>
      </w:r>
    </w:p>
    <w:p w:rsidR="00822FA5" w:rsidRPr="006312E8" w:rsidRDefault="00822FA5" w:rsidP="00822FA5">
      <w:pPr>
        <w:spacing w:after="0" w:line="240" w:lineRule="auto"/>
        <w:ind w:left="709"/>
        <w:jc w:val="both"/>
        <w:rPr>
          <w:rFonts w:ascii="Arial" w:eastAsia="Calibri" w:hAnsi="Arial" w:cs="Arial"/>
          <w:lang w:val="es-ES"/>
        </w:rPr>
      </w:pPr>
    </w:p>
    <w:p w:rsidR="006312E8" w:rsidRPr="006312E8" w:rsidRDefault="006312E8" w:rsidP="006312E8">
      <w:pPr>
        <w:spacing w:after="0" w:line="240" w:lineRule="auto"/>
        <w:ind w:left="709" w:hanging="425"/>
        <w:jc w:val="both"/>
        <w:rPr>
          <w:rFonts w:ascii="Arial" w:eastAsia="Calibri" w:hAnsi="Arial" w:cs="Arial"/>
          <w:b/>
          <w:lang w:val="es-ES"/>
        </w:rPr>
      </w:pPr>
      <w:r w:rsidRPr="006312E8">
        <w:rPr>
          <w:rFonts w:ascii="Arial" w:eastAsia="Calibri" w:hAnsi="Arial" w:cs="Arial"/>
          <w:b/>
          <w:lang w:val="es-ES"/>
        </w:rPr>
        <w:t xml:space="preserve">3.6 </w:t>
      </w:r>
      <w:r w:rsidRPr="006312E8">
        <w:rPr>
          <w:rFonts w:ascii="Arial" w:eastAsia="Calibri" w:hAnsi="Arial" w:cs="Arial"/>
          <w:b/>
          <w:lang w:val="es-ES"/>
        </w:rPr>
        <w:tab/>
        <w:t>Informe Técnico Legal</w:t>
      </w:r>
    </w:p>
    <w:p w:rsidR="006312E8" w:rsidRPr="006312E8" w:rsidRDefault="006312E8" w:rsidP="006312E8">
      <w:pPr>
        <w:spacing w:after="0" w:line="240" w:lineRule="auto"/>
        <w:ind w:left="709" w:hanging="425"/>
        <w:jc w:val="both"/>
        <w:rPr>
          <w:rFonts w:ascii="Arial" w:eastAsia="Calibri" w:hAnsi="Arial" w:cs="Arial"/>
          <w:lang w:val="es-ES"/>
        </w:rPr>
      </w:pPr>
      <w:r w:rsidRPr="006312E8">
        <w:rPr>
          <w:rFonts w:ascii="Arial" w:eastAsia="Calibri" w:hAnsi="Arial" w:cs="Arial"/>
          <w:lang w:val="es-ES"/>
        </w:rPr>
        <w:tab/>
        <w:t>El informe técnico legal que sustenta la afectación en uso será elaborado por el o los responsables del trámite y visado por el Jefe de la unidad orgánica competente, adjuntando el Proyecto de Resolución que aprueba la afectación en uso.</w:t>
      </w:r>
    </w:p>
    <w:p w:rsidR="006312E8" w:rsidRPr="006312E8" w:rsidRDefault="006312E8" w:rsidP="006312E8">
      <w:pPr>
        <w:spacing w:after="0" w:line="240" w:lineRule="auto"/>
        <w:ind w:left="709" w:hanging="425"/>
        <w:jc w:val="both"/>
        <w:rPr>
          <w:rFonts w:ascii="Arial" w:eastAsia="Calibri" w:hAnsi="Arial" w:cs="Arial"/>
          <w:lang w:val="es-ES"/>
        </w:rPr>
      </w:pPr>
    </w:p>
    <w:p w:rsidR="006312E8" w:rsidRPr="006312E8" w:rsidRDefault="006312E8" w:rsidP="006312E8">
      <w:pPr>
        <w:spacing w:after="0" w:line="240" w:lineRule="auto"/>
        <w:ind w:left="709" w:hanging="425"/>
        <w:jc w:val="both"/>
        <w:rPr>
          <w:rFonts w:ascii="Arial" w:eastAsia="Calibri" w:hAnsi="Arial" w:cs="Arial"/>
          <w:lang w:val="es-ES"/>
        </w:rPr>
      </w:pPr>
      <w:r w:rsidRPr="006312E8">
        <w:rPr>
          <w:rFonts w:ascii="Arial" w:eastAsia="Calibri" w:hAnsi="Arial" w:cs="Arial"/>
          <w:lang w:val="es-ES"/>
        </w:rPr>
        <w:tab/>
        <w:t>El citado informe debe contener el análisis y fundamentación de la decisión de constituir la afectación en uso, conforme lo establecido en el artículo 34 del Decreto Supremo Nº 0007-2008-VIVIENDA.</w:t>
      </w:r>
    </w:p>
    <w:p w:rsidR="006312E8" w:rsidRPr="006312E8" w:rsidRDefault="006312E8" w:rsidP="006312E8">
      <w:pPr>
        <w:spacing w:after="0" w:line="240" w:lineRule="auto"/>
        <w:ind w:left="709" w:hanging="425"/>
        <w:jc w:val="both"/>
        <w:rPr>
          <w:rFonts w:ascii="Arial" w:eastAsia="Calibri" w:hAnsi="Arial" w:cs="Arial"/>
          <w:lang w:val="es-ES"/>
        </w:rPr>
      </w:pPr>
    </w:p>
    <w:p w:rsidR="006312E8" w:rsidRPr="006312E8" w:rsidRDefault="006312E8" w:rsidP="006312E8">
      <w:pPr>
        <w:spacing w:after="0" w:line="240" w:lineRule="auto"/>
        <w:ind w:left="709" w:hanging="425"/>
        <w:jc w:val="both"/>
        <w:rPr>
          <w:rFonts w:ascii="Arial" w:eastAsia="Calibri" w:hAnsi="Arial" w:cs="Arial"/>
          <w:b/>
          <w:lang w:val="es-ES"/>
        </w:rPr>
      </w:pPr>
      <w:r w:rsidRPr="006312E8">
        <w:rPr>
          <w:rFonts w:ascii="Arial" w:eastAsia="Calibri" w:hAnsi="Arial" w:cs="Arial"/>
          <w:b/>
          <w:lang w:val="es-ES"/>
        </w:rPr>
        <w:t xml:space="preserve">3.7 </w:t>
      </w:r>
      <w:r w:rsidRPr="006312E8">
        <w:rPr>
          <w:rFonts w:ascii="Arial" w:eastAsia="Calibri" w:hAnsi="Arial" w:cs="Arial"/>
          <w:b/>
          <w:lang w:val="es-ES"/>
        </w:rPr>
        <w:tab/>
        <w:t>Expedición de la resolución</w:t>
      </w:r>
    </w:p>
    <w:p w:rsidR="00FB5E8D" w:rsidRPr="00FB5E8D" w:rsidRDefault="006312E8" w:rsidP="00FB5E8D">
      <w:pPr>
        <w:spacing w:after="0" w:line="240" w:lineRule="auto"/>
        <w:ind w:left="709" w:hanging="425"/>
        <w:jc w:val="both"/>
        <w:rPr>
          <w:rFonts w:ascii="Arial" w:eastAsia="Calibri" w:hAnsi="Arial" w:cs="Arial"/>
          <w:lang w:val="es-ES"/>
        </w:rPr>
      </w:pPr>
      <w:r w:rsidRPr="006312E8">
        <w:rPr>
          <w:rFonts w:ascii="Arial" w:eastAsia="Calibri" w:hAnsi="Arial" w:cs="Arial"/>
          <w:lang w:val="es-ES"/>
        </w:rPr>
        <w:tab/>
      </w:r>
      <w:r w:rsidR="00FB5E8D" w:rsidRPr="00FB5E8D">
        <w:rPr>
          <w:rFonts w:ascii="Arial" w:eastAsia="Calibri" w:hAnsi="Arial" w:cs="Arial"/>
          <w:lang w:val="es-ES"/>
        </w:rPr>
        <w:t>La afectación en uso de los predios del Estado, tramitada y sustentada por la SBN, será aprobada por resolución de la SDAPE.</w:t>
      </w:r>
    </w:p>
    <w:p w:rsidR="00FB5E8D" w:rsidRPr="00FB5E8D" w:rsidRDefault="00FB5E8D" w:rsidP="00FB5E8D">
      <w:pPr>
        <w:spacing w:after="0" w:line="240" w:lineRule="auto"/>
        <w:ind w:left="709" w:hanging="425"/>
        <w:jc w:val="both"/>
        <w:rPr>
          <w:rFonts w:ascii="Arial" w:eastAsia="Calibri" w:hAnsi="Arial" w:cs="Arial"/>
          <w:lang w:val="es-ES"/>
        </w:rPr>
      </w:pPr>
    </w:p>
    <w:p w:rsidR="006312E8" w:rsidRDefault="00FB5E8D" w:rsidP="00FB5E8D">
      <w:pPr>
        <w:spacing w:after="0" w:line="240" w:lineRule="auto"/>
        <w:ind w:left="709" w:hanging="425"/>
        <w:jc w:val="both"/>
        <w:rPr>
          <w:rFonts w:ascii="Arial" w:eastAsia="Calibri" w:hAnsi="Arial" w:cs="Arial"/>
          <w:lang w:val="es-ES"/>
        </w:rPr>
      </w:pPr>
      <w:r w:rsidRPr="00FB5E8D">
        <w:rPr>
          <w:rFonts w:ascii="Arial" w:eastAsia="Calibri" w:hAnsi="Arial" w:cs="Arial"/>
          <w:lang w:val="es-ES"/>
        </w:rPr>
        <w:tab/>
        <w:t>La afectación en uso de predios de propiedad del Estado que se encuentran bajo competencia de los Gobiernos Regionales, como consecuencia de la transferencia de funciones a que se refiere el artículo 62 de la Ley Nº 27867, Ley Orgánica de Gobiernos Regionales, así como los predios de propiedad de las entidades públicas, será aprobada por resolución de la autoridad administrativa, según sus instrumentos de gestión institucional</w:t>
      </w:r>
      <w:r>
        <w:rPr>
          <w:rFonts w:ascii="Arial" w:eastAsia="Calibri" w:hAnsi="Arial" w:cs="Arial"/>
          <w:lang w:val="es-ES"/>
        </w:rPr>
        <w:t>.</w:t>
      </w:r>
    </w:p>
    <w:p w:rsidR="00FB5E8D" w:rsidRPr="00822FA5" w:rsidRDefault="00FB5E8D" w:rsidP="00FB5E8D">
      <w:pPr>
        <w:spacing w:after="0" w:line="240" w:lineRule="auto"/>
        <w:ind w:left="709"/>
        <w:contextualSpacing/>
        <w:jc w:val="both"/>
        <w:rPr>
          <w:rFonts w:ascii="Arial" w:eastAsia="Calibri" w:hAnsi="Arial" w:cs="Arial"/>
          <w:lang w:val="es-ES"/>
        </w:rPr>
      </w:pPr>
      <w:r w:rsidRPr="00822FA5">
        <w:rPr>
          <w:rFonts w:ascii="Arial" w:eastAsia="Times New Roman" w:hAnsi="Arial" w:cs="Arial"/>
          <w:b/>
          <w:color w:val="FF0000"/>
          <w:sz w:val="16"/>
          <w:szCs w:val="16"/>
          <w:lang w:val="es-ES"/>
        </w:rPr>
        <w:t xml:space="preserve">(*) </w:t>
      </w:r>
      <w:r>
        <w:rPr>
          <w:rFonts w:ascii="Arial" w:eastAsia="Times New Roman" w:hAnsi="Arial" w:cs="Arial"/>
          <w:b/>
          <w:color w:val="FF0000"/>
          <w:sz w:val="16"/>
          <w:szCs w:val="16"/>
          <w:lang w:val="es-ES"/>
        </w:rPr>
        <w:t>Numeral</w:t>
      </w:r>
      <w:r w:rsidRPr="00822FA5">
        <w:rPr>
          <w:rFonts w:ascii="Arial" w:eastAsia="Times New Roman" w:hAnsi="Arial" w:cs="Arial"/>
          <w:b/>
          <w:color w:val="FF0000"/>
          <w:sz w:val="16"/>
          <w:szCs w:val="16"/>
          <w:lang w:val="es-ES"/>
        </w:rPr>
        <w:t xml:space="preserve"> modificado por el Artículo 1 de la Resolución N° 047-2016/SBN, publicada el 01 de julio de 2016</w:t>
      </w:r>
    </w:p>
    <w:p w:rsidR="00FB5E8D" w:rsidRPr="006312E8" w:rsidRDefault="00FB5E8D" w:rsidP="00FB5E8D">
      <w:pPr>
        <w:spacing w:after="0" w:line="240" w:lineRule="auto"/>
        <w:ind w:left="709" w:hanging="425"/>
        <w:jc w:val="both"/>
        <w:rPr>
          <w:rFonts w:ascii="Arial" w:eastAsia="Calibri" w:hAnsi="Arial" w:cs="Arial"/>
          <w:lang w:val="es-ES"/>
        </w:rPr>
      </w:pPr>
    </w:p>
    <w:p w:rsidR="006312E8" w:rsidRPr="006312E8" w:rsidRDefault="006312E8" w:rsidP="006312E8">
      <w:pPr>
        <w:spacing w:after="0" w:line="240" w:lineRule="auto"/>
        <w:ind w:left="709" w:hanging="425"/>
        <w:jc w:val="both"/>
        <w:rPr>
          <w:rFonts w:ascii="Arial" w:eastAsia="Calibri" w:hAnsi="Arial" w:cs="Arial"/>
          <w:b/>
          <w:lang w:val="es-ES"/>
        </w:rPr>
      </w:pPr>
      <w:r w:rsidRPr="006312E8">
        <w:rPr>
          <w:rFonts w:ascii="Arial" w:eastAsia="Calibri" w:hAnsi="Arial" w:cs="Arial"/>
          <w:b/>
          <w:lang w:val="es-ES"/>
        </w:rPr>
        <w:t xml:space="preserve">3.8 </w:t>
      </w:r>
      <w:r w:rsidRPr="006312E8">
        <w:rPr>
          <w:rFonts w:ascii="Arial" w:eastAsia="Calibri" w:hAnsi="Arial" w:cs="Arial"/>
          <w:b/>
          <w:lang w:val="es-ES"/>
        </w:rPr>
        <w:tab/>
        <w:t>De la notificación de la resolución</w:t>
      </w:r>
    </w:p>
    <w:p w:rsidR="006312E8" w:rsidRPr="006312E8" w:rsidRDefault="006312E8" w:rsidP="006312E8">
      <w:pPr>
        <w:spacing w:after="0" w:line="240" w:lineRule="auto"/>
        <w:ind w:left="709" w:hanging="425"/>
        <w:jc w:val="both"/>
        <w:rPr>
          <w:rFonts w:ascii="Arial" w:eastAsia="Calibri" w:hAnsi="Arial" w:cs="Arial"/>
          <w:lang w:val="es-ES"/>
        </w:rPr>
      </w:pPr>
      <w:r w:rsidRPr="006312E8">
        <w:rPr>
          <w:rFonts w:ascii="Arial" w:eastAsia="Calibri" w:hAnsi="Arial" w:cs="Arial"/>
          <w:lang w:val="es-ES"/>
        </w:rPr>
        <w:tab/>
        <w:t>La Resolución aprobando la afectación en uso será notificada a la entidad afectataria dentro de los cinco (05) días hábiles de expedida.</w:t>
      </w:r>
    </w:p>
    <w:p w:rsidR="006312E8" w:rsidRDefault="006312E8" w:rsidP="006312E8">
      <w:pPr>
        <w:spacing w:after="0" w:line="240" w:lineRule="auto"/>
        <w:ind w:left="709" w:hanging="425"/>
        <w:jc w:val="both"/>
        <w:rPr>
          <w:rFonts w:ascii="Arial" w:eastAsia="Calibri" w:hAnsi="Arial" w:cs="Arial"/>
          <w:lang w:val="es-ES"/>
        </w:rPr>
      </w:pPr>
    </w:p>
    <w:p w:rsidR="005309C0" w:rsidRDefault="005309C0" w:rsidP="006312E8">
      <w:pPr>
        <w:spacing w:after="0" w:line="240" w:lineRule="auto"/>
        <w:ind w:left="709" w:hanging="425"/>
        <w:jc w:val="both"/>
        <w:rPr>
          <w:rFonts w:ascii="Arial" w:eastAsia="Calibri" w:hAnsi="Arial" w:cs="Arial"/>
          <w:lang w:val="es-ES"/>
        </w:rPr>
      </w:pPr>
    </w:p>
    <w:p w:rsidR="005309C0" w:rsidRPr="006312E8" w:rsidRDefault="005309C0" w:rsidP="006312E8">
      <w:pPr>
        <w:spacing w:after="0" w:line="240" w:lineRule="auto"/>
        <w:ind w:left="709" w:hanging="425"/>
        <w:jc w:val="both"/>
        <w:rPr>
          <w:rFonts w:ascii="Arial" w:eastAsia="Calibri" w:hAnsi="Arial" w:cs="Arial"/>
          <w:lang w:val="es-ES"/>
        </w:rPr>
      </w:pPr>
    </w:p>
    <w:p w:rsidR="006312E8" w:rsidRPr="006312E8" w:rsidRDefault="006312E8" w:rsidP="006312E8">
      <w:pPr>
        <w:spacing w:after="0" w:line="240" w:lineRule="auto"/>
        <w:ind w:left="709" w:hanging="425"/>
        <w:jc w:val="both"/>
        <w:rPr>
          <w:rFonts w:ascii="Arial" w:eastAsia="Calibri" w:hAnsi="Arial" w:cs="Arial"/>
          <w:b/>
          <w:lang w:val="es-ES"/>
        </w:rPr>
      </w:pPr>
      <w:r w:rsidRPr="006312E8">
        <w:rPr>
          <w:rFonts w:ascii="Arial" w:eastAsia="Calibri" w:hAnsi="Arial" w:cs="Arial"/>
          <w:b/>
          <w:lang w:val="es-ES"/>
        </w:rPr>
        <w:t xml:space="preserve">3.9 </w:t>
      </w:r>
      <w:r w:rsidRPr="006312E8">
        <w:rPr>
          <w:rFonts w:ascii="Arial" w:eastAsia="Calibri" w:hAnsi="Arial" w:cs="Arial"/>
          <w:b/>
          <w:lang w:val="es-ES"/>
        </w:rPr>
        <w:tab/>
        <w:t>Del Acta de Entrega - Recepción del predio afectado en uso</w:t>
      </w:r>
    </w:p>
    <w:p w:rsidR="00FB5E8D" w:rsidRPr="00FB5E8D" w:rsidRDefault="006312E8" w:rsidP="00FB5E8D">
      <w:pPr>
        <w:spacing w:after="0" w:line="240" w:lineRule="auto"/>
        <w:ind w:left="709" w:hanging="425"/>
        <w:jc w:val="both"/>
        <w:rPr>
          <w:rFonts w:ascii="Arial" w:eastAsia="Calibri" w:hAnsi="Arial" w:cs="Arial"/>
          <w:lang w:val="es-ES"/>
        </w:rPr>
      </w:pPr>
      <w:r w:rsidRPr="006312E8">
        <w:rPr>
          <w:rFonts w:ascii="Arial" w:eastAsia="Calibri" w:hAnsi="Arial" w:cs="Arial"/>
          <w:lang w:val="es-ES"/>
        </w:rPr>
        <w:tab/>
      </w:r>
      <w:r w:rsidR="00FB5E8D" w:rsidRPr="00FB5E8D">
        <w:rPr>
          <w:rFonts w:ascii="Arial" w:eastAsia="Calibri" w:hAnsi="Arial" w:cs="Arial"/>
          <w:lang w:val="es-ES"/>
        </w:rPr>
        <w:t>Una vez firme la resolución que aprobó la afectación en uso, la entidad propietaria o administradora del predio procederá a efectuar la entrega del predio al afectatario, procediéndose a suscribir el Acta de Entrega - Recepción correspondiente.</w:t>
      </w:r>
    </w:p>
    <w:p w:rsidR="00FB5E8D" w:rsidRPr="00FB5E8D" w:rsidRDefault="00FB5E8D" w:rsidP="00FB5E8D">
      <w:pPr>
        <w:spacing w:after="0" w:line="240" w:lineRule="auto"/>
        <w:ind w:left="709" w:hanging="425"/>
        <w:jc w:val="both"/>
        <w:rPr>
          <w:rFonts w:ascii="Arial" w:eastAsia="Calibri" w:hAnsi="Arial" w:cs="Arial"/>
          <w:lang w:val="es-ES"/>
        </w:rPr>
      </w:pPr>
    </w:p>
    <w:p w:rsidR="006312E8" w:rsidRDefault="00FB5E8D" w:rsidP="00FB5E8D">
      <w:pPr>
        <w:spacing w:after="0" w:line="240" w:lineRule="auto"/>
        <w:ind w:left="709" w:hanging="425"/>
        <w:jc w:val="both"/>
        <w:rPr>
          <w:rFonts w:ascii="Arial" w:eastAsia="Calibri" w:hAnsi="Arial" w:cs="Arial"/>
          <w:lang w:val="es-ES"/>
        </w:rPr>
      </w:pPr>
      <w:r w:rsidRPr="00FB5E8D">
        <w:rPr>
          <w:rFonts w:ascii="Arial" w:eastAsia="Calibri" w:hAnsi="Arial" w:cs="Arial"/>
          <w:lang w:val="es-ES"/>
        </w:rPr>
        <w:tab/>
        <w:t>El Acta de Entrega-Recepción no resultará necesaria en los casos de regularización de afectaciones en uso ni en aquellos en que habiéndose efectuado la entrega provisional, hayan adquirido la condición de definitiva, conforme lo dispone el numeral 2.12 de la presente directiva, siempre que no exista variación del área del predio materia de afectación en uso</w:t>
      </w:r>
      <w:r>
        <w:rPr>
          <w:rFonts w:ascii="Arial" w:eastAsia="Calibri" w:hAnsi="Arial" w:cs="Arial"/>
          <w:lang w:val="es-ES"/>
        </w:rPr>
        <w:t>. (*)</w:t>
      </w:r>
    </w:p>
    <w:p w:rsidR="00FB5E8D" w:rsidRPr="00822FA5" w:rsidRDefault="00FB5E8D" w:rsidP="00FB5E8D">
      <w:pPr>
        <w:spacing w:after="0" w:line="240" w:lineRule="auto"/>
        <w:ind w:left="709"/>
        <w:contextualSpacing/>
        <w:jc w:val="both"/>
        <w:rPr>
          <w:rFonts w:ascii="Arial" w:eastAsia="Calibri" w:hAnsi="Arial" w:cs="Arial"/>
          <w:lang w:val="es-ES"/>
        </w:rPr>
      </w:pPr>
      <w:r w:rsidRPr="00822FA5">
        <w:rPr>
          <w:rFonts w:ascii="Arial" w:eastAsia="Times New Roman" w:hAnsi="Arial" w:cs="Arial"/>
          <w:b/>
          <w:color w:val="FF0000"/>
          <w:sz w:val="16"/>
          <w:szCs w:val="16"/>
          <w:lang w:val="es-ES"/>
        </w:rPr>
        <w:t xml:space="preserve">(*) </w:t>
      </w:r>
      <w:r>
        <w:rPr>
          <w:rFonts w:ascii="Arial" w:eastAsia="Times New Roman" w:hAnsi="Arial" w:cs="Arial"/>
          <w:b/>
          <w:color w:val="FF0000"/>
          <w:sz w:val="16"/>
          <w:szCs w:val="16"/>
          <w:lang w:val="es-ES"/>
        </w:rPr>
        <w:t>Numeral</w:t>
      </w:r>
      <w:r w:rsidRPr="00822FA5">
        <w:rPr>
          <w:rFonts w:ascii="Arial" w:eastAsia="Times New Roman" w:hAnsi="Arial" w:cs="Arial"/>
          <w:b/>
          <w:color w:val="FF0000"/>
          <w:sz w:val="16"/>
          <w:szCs w:val="16"/>
          <w:lang w:val="es-ES"/>
        </w:rPr>
        <w:t xml:space="preserve"> modificado por el Artículo 1 de la Resolución N° 047-2016/SBN, publicada el 01 de julio de 2016</w:t>
      </w:r>
    </w:p>
    <w:p w:rsidR="00FB5E8D" w:rsidRDefault="00FB5E8D" w:rsidP="00FB5E8D">
      <w:pPr>
        <w:spacing w:after="0" w:line="240" w:lineRule="auto"/>
        <w:ind w:left="709"/>
        <w:jc w:val="both"/>
        <w:rPr>
          <w:rFonts w:ascii="Arial" w:eastAsia="Calibri" w:hAnsi="Arial" w:cs="Arial"/>
          <w:lang w:val="es-ES"/>
        </w:rPr>
      </w:pPr>
    </w:p>
    <w:p w:rsidR="006312E8" w:rsidRPr="006312E8" w:rsidRDefault="006312E8" w:rsidP="006312E8">
      <w:pPr>
        <w:spacing w:after="0" w:line="240" w:lineRule="auto"/>
        <w:ind w:left="709" w:hanging="567"/>
        <w:jc w:val="both"/>
        <w:rPr>
          <w:rFonts w:ascii="Arial" w:eastAsia="Calibri" w:hAnsi="Arial" w:cs="Arial"/>
          <w:b/>
          <w:lang w:val="es-ES"/>
        </w:rPr>
      </w:pPr>
      <w:r w:rsidRPr="006312E8">
        <w:rPr>
          <w:rFonts w:ascii="Arial" w:eastAsia="Calibri" w:hAnsi="Arial" w:cs="Arial"/>
          <w:b/>
          <w:lang w:val="es-ES"/>
        </w:rPr>
        <w:t>3.10   De la actualización del SINABIP</w:t>
      </w:r>
    </w:p>
    <w:p w:rsidR="006312E8" w:rsidRPr="006312E8" w:rsidRDefault="006312E8" w:rsidP="006312E8">
      <w:pPr>
        <w:spacing w:after="0" w:line="240" w:lineRule="auto"/>
        <w:ind w:left="709" w:hanging="1"/>
        <w:jc w:val="both"/>
        <w:rPr>
          <w:rFonts w:ascii="Arial" w:eastAsia="Calibri" w:hAnsi="Arial" w:cs="Arial"/>
          <w:lang w:val="es-ES"/>
        </w:rPr>
      </w:pPr>
      <w:r w:rsidRPr="006312E8">
        <w:rPr>
          <w:rFonts w:ascii="Arial" w:eastAsia="Calibri" w:hAnsi="Arial" w:cs="Arial"/>
          <w:lang w:val="es-ES"/>
        </w:rPr>
        <w:t>Una vez consentida la Resolución, ésta será remitida al Registro de Predios para su inscripción, luego de lo cual se procederá a ejecutar la anotación respectiva en el SINABIP, así como a remitir físicamente a la Subdirección de Registro y Catastro de la Superintendencia de Bienes Estatales la documentación sustentatoria correspondiente.</w:t>
      </w:r>
    </w:p>
    <w:p w:rsidR="006312E8" w:rsidRPr="006312E8" w:rsidRDefault="006312E8" w:rsidP="006312E8">
      <w:pPr>
        <w:spacing w:after="0" w:line="240" w:lineRule="auto"/>
        <w:ind w:left="709" w:hanging="425"/>
        <w:jc w:val="both"/>
        <w:rPr>
          <w:rFonts w:ascii="Arial" w:eastAsia="Calibri" w:hAnsi="Arial" w:cs="Arial"/>
          <w:lang w:val="es-ES"/>
        </w:rPr>
      </w:pPr>
    </w:p>
    <w:p w:rsidR="006312E8" w:rsidRPr="006312E8" w:rsidRDefault="006312E8" w:rsidP="006312E8">
      <w:pPr>
        <w:spacing w:after="0" w:line="240" w:lineRule="auto"/>
        <w:ind w:left="709" w:hanging="567"/>
        <w:jc w:val="both"/>
        <w:rPr>
          <w:rFonts w:ascii="Arial" w:eastAsia="Calibri" w:hAnsi="Arial" w:cs="Arial"/>
          <w:b/>
          <w:lang w:val="es-ES"/>
        </w:rPr>
      </w:pPr>
      <w:r w:rsidRPr="006312E8">
        <w:rPr>
          <w:rFonts w:ascii="Arial" w:eastAsia="Calibri" w:hAnsi="Arial" w:cs="Arial"/>
          <w:b/>
          <w:lang w:val="es-ES"/>
        </w:rPr>
        <w:t xml:space="preserve"> 3.11 </w:t>
      </w:r>
      <w:r w:rsidRPr="006312E8">
        <w:rPr>
          <w:rFonts w:ascii="Arial" w:eastAsia="Calibri" w:hAnsi="Arial" w:cs="Arial"/>
          <w:b/>
          <w:lang w:val="es-ES"/>
        </w:rPr>
        <w:tab/>
        <w:t>Del archivo del Expediente</w:t>
      </w:r>
    </w:p>
    <w:p w:rsidR="006312E8" w:rsidRPr="006312E8" w:rsidRDefault="006312E8" w:rsidP="006312E8">
      <w:pPr>
        <w:spacing w:after="0" w:line="240" w:lineRule="auto"/>
        <w:ind w:left="709" w:hanging="425"/>
        <w:jc w:val="both"/>
        <w:rPr>
          <w:rFonts w:ascii="Arial" w:eastAsia="Calibri" w:hAnsi="Arial" w:cs="Arial"/>
          <w:lang w:val="es-ES"/>
        </w:rPr>
      </w:pPr>
      <w:r w:rsidRPr="006312E8">
        <w:rPr>
          <w:rFonts w:ascii="Arial" w:eastAsia="Calibri" w:hAnsi="Arial" w:cs="Arial"/>
          <w:lang w:val="es-ES"/>
        </w:rPr>
        <w:tab/>
        <w:t>Una vez ejecutada las acciones tendientes a la inscripción de la afectación en uso así como su registro en el SINABIP, la SDAPE o la unidad operativa encargada del trámite, dispondrá el archivo definitivo del expediente.</w:t>
      </w:r>
    </w:p>
    <w:p w:rsidR="006312E8" w:rsidRPr="006312E8" w:rsidRDefault="006312E8" w:rsidP="006312E8">
      <w:pPr>
        <w:spacing w:after="0" w:line="240" w:lineRule="auto"/>
        <w:ind w:left="709" w:hanging="425"/>
        <w:jc w:val="both"/>
        <w:rPr>
          <w:rFonts w:ascii="Arial" w:eastAsia="Calibri" w:hAnsi="Arial" w:cs="Arial"/>
          <w:lang w:val="es-ES"/>
        </w:rPr>
      </w:pPr>
    </w:p>
    <w:p w:rsidR="006312E8" w:rsidRPr="006312E8" w:rsidRDefault="006312E8" w:rsidP="006312E8">
      <w:pPr>
        <w:spacing w:after="0" w:line="240" w:lineRule="auto"/>
        <w:ind w:left="709" w:hanging="567"/>
        <w:jc w:val="both"/>
        <w:rPr>
          <w:rFonts w:ascii="Arial" w:eastAsia="Calibri" w:hAnsi="Arial" w:cs="Arial"/>
          <w:b/>
          <w:lang w:val="es-ES"/>
        </w:rPr>
      </w:pPr>
      <w:r w:rsidRPr="006312E8">
        <w:rPr>
          <w:rFonts w:ascii="Arial" w:eastAsia="Calibri" w:hAnsi="Arial" w:cs="Arial"/>
          <w:b/>
          <w:lang w:val="es-ES"/>
        </w:rPr>
        <w:t>Procedimiento para la extinción de la afectación en uso</w:t>
      </w:r>
    </w:p>
    <w:p w:rsidR="006312E8" w:rsidRPr="006312E8" w:rsidRDefault="006312E8" w:rsidP="006312E8">
      <w:pPr>
        <w:spacing w:after="0" w:line="240" w:lineRule="auto"/>
        <w:ind w:left="709" w:hanging="425"/>
        <w:jc w:val="both"/>
        <w:rPr>
          <w:rFonts w:ascii="Arial" w:eastAsia="Calibri" w:hAnsi="Arial" w:cs="Arial"/>
          <w:lang w:val="es-ES"/>
        </w:rPr>
      </w:pPr>
    </w:p>
    <w:p w:rsidR="006312E8" w:rsidRPr="006312E8" w:rsidRDefault="006312E8" w:rsidP="006312E8">
      <w:pPr>
        <w:spacing w:after="0" w:line="240" w:lineRule="auto"/>
        <w:ind w:left="709" w:hanging="567"/>
        <w:jc w:val="both"/>
        <w:rPr>
          <w:rFonts w:ascii="Arial" w:eastAsia="Calibri" w:hAnsi="Arial" w:cs="Arial"/>
          <w:b/>
          <w:lang w:val="es-ES"/>
        </w:rPr>
      </w:pPr>
      <w:r w:rsidRPr="006312E8">
        <w:rPr>
          <w:rFonts w:ascii="Arial" w:eastAsia="Calibri" w:hAnsi="Arial" w:cs="Arial"/>
          <w:b/>
          <w:lang w:val="es-ES"/>
        </w:rPr>
        <w:t xml:space="preserve">3.12 </w:t>
      </w:r>
      <w:r w:rsidRPr="006312E8">
        <w:rPr>
          <w:rFonts w:ascii="Arial" w:eastAsia="Calibri" w:hAnsi="Arial" w:cs="Arial"/>
          <w:b/>
          <w:lang w:val="es-ES"/>
        </w:rPr>
        <w:tab/>
        <w:t>Inicio del procedimiento de extinción de la afectación en uso</w:t>
      </w:r>
    </w:p>
    <w:p w:rsidR="006312E8" w:rsidRPr="006312E8" w:rsidRDefault="006312E8" w:rsidP="006312E8">
      <w:pPr>
        <w:spacing w:after="0" w:line="240" w:lineRule="auto"/>
        <w:ind w:left="709" w:hanging="425"/>
        <w:jc w:val="both"/>
        <w:rPr>
          <w:rFonts w:ascii="Arial" w:eastAsia="Calibri" w:hAnsi="Arial" w:cs="Arial"/>
          <w:lang w:val="es-ES"/>
        </w:rPr>
      </w:pPr>
      <w:r w:rsidRPr="006312E8">
        <w:rPr>
          <w:rFonts w:ascii="Arial" w:eastAsia="Calibri" w:hAnsi="Arial" w:cs="Arial"/>
          <w:lang w:val="es-ES"/>
        </w:rPr>
        <w:tab/>
        <w:t>El inicio del procedimiento administrativo de extinción de la afectación en uso, se produce con la inspección técnica intempestiva que la entidad propietaria o administradora del predio, a través de la unidad orgánica competente, efectúa sobre el predio afectado en uso a fin de determinar la situación física y legal del mismo, así como su adecuada utilización y cautela de acuerdo con los fines para los que fue afectado.</w:t>
      </w:r>
    </w:p>
    <w:p w:rsidR="006312E8" w:rsidRPr="006312E8" w:rsidRDefault="006312E8" w:rsidP="006312E8">
      <w:pPr>
        <w:spacing w:after="0" w:line="240" w:lineRule="auto"/>
        <w:ind w:left="709" w:hanging="425"/>
        <w:jc w:val="both"/>
        <w:rPr>
          <w:rFonts w:ascii="Arial" w:eastAsia="Calibri" w:hAnsi="Arial" w:cs="Arial"/>
          <w:lang w:val="es-ES"/>
        </w:rPr>
      </w:pPr>
    </w:p>
    <w:p w:rsidR="006312E8" w:rsidRPr="006312E8" w:rsidRDefault="006312E8" w:rsidP="006312E8">
      <w:pPr>
        <w:spacing w:after="0" w:line="240" w:lineRule="auto"/>
        <w:ind w:left="709" w:hanging="425"/>
        <w:jc w:val="both"/>
        <w:rPr>
          <w:rFonts w:ascii="Arial" w:eastAsia="Calibri" w:hAnsi="Arial" w:cs="Arial"/>
          <w:lang w:val="es-ES"/>
        </w:rPr>
      </w:pPr>
      <w:r w:rsidRPr="006312E8">
        <w:rPr>
          <w:rFonts w:ascii="Arial" w:eastAsia="Calibri" w:hAnsi="Arial" w:cs="Arial"/>
          <w:lang w:val="es-ES"/>
        </w:rPr>
        <w:tab/>
        <w:t>Tratándose de predios del Estado bajo administración de la SBN, el inicio del citado procedimiento estará a cargo de la SDS.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142"/>
        <w:jc w:val="both"/>
        <w:rPr>
          <w:rFonts w:ascii="Arial" w:eastAsia="Calibri" w:hAnsi="Arial" w:cs="Arial"/>
          <w:b/>
          <w:lang w:val="es-ES"/>
        </w:rPr>
      </w:pPr>
      <w:r w:rsidRPr="006312E8">
        <w:rPr>
          <w:rFonts w:ascii="Arial" w:eastAsia="Calibri" w:hAnsi="Arial" w:cs="Arial"/>
          <w:b/>
          <w:lang w:val="es-ES"/>
        </w:rPr>
        <w:t>3.13 Causales de extinción de la afectación en uso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numPr>
          <w:ilvl w:val="1"/>
          <w:numId w:val="56"/>
        </w:numPr>
        <w:spacing w:after="0" w:line="240" w:lineRule="auto"/>
        <w:ind w:left="993"/>
        <w:contextualSpacing/>
        <w:jc w:val="both"/>
        <w:rPr>
          <w:rFonts w:ascii="Arial" w:eastAsia="Calibri" w:hAnsi="Arial" w:cs="Arial"/>
          <w:b/>
          <w:lang w:val="es-ES"/>
        </w:rPr>
      </w:pPr>
      <w:r w:rsidRPr="006312E8">
        <w:rPr>
          <w:rFonts w:ascii="Arial" w:eastAsia="Calibri" w:hAnsi="Arial" w:cs="Arial"/>
          <w:b/>
          <w:lang w:val="es-ES"/>
        </w:rPr>
        <w:t>Incumplimiento y/o desnaturalización de su finalidad</w:t>
      </w:r>
    </w:p>
    <w:p w:rsidR="006312E8" w:rsidRPr="006312E8" w:rsidRDefault="006312E8" w:rsidP="006312E8">
      <w:pPr>
        <w:spacing w:after="0" w:line="240" w:lineRule="auto"/>
        <w:ind w:left="1800"/>
        <w:contextualSpacing/>
        <w:jc w:val="both"/>
        <w:rPr>
          <w:rFonts w:ascii="Arial" w:eastAsia="Calibri" w:hAnsi="Arial" w:cs="Arial"/>
          <w:b/>
          <w:lang w:val="es-ES"/>
        </w:rPr>
      </w:pPr>
    </w:p>
    <w:p w:rsidR="006312E8" w:rsidRPr="006312E8" w:rsidRDefault="006312E8" w:rsidP="006312E8">
      <w:pPr>
        <w:spacing w:after="0" w:line="240" w:lineRule="auto"/>
        <w:ind w:left="993"/>
        <w:jc w:val="both"/>
        <w:rPr>
          <w:rFonts w:ascii="Arial" w:eastAsia="Calibri" w:hAnsi="Arial" w:cs="Arial"/>
          <w:lang w:val="es-ES"/>
        </w:rPr>
      </w:pPr>
      <w:r w:rsidRPr="006312E8">
        <w:rPr>
          <w:rFonts w:ascii="Arial" w:eastAsia="Calibri" w:hAnsi="Arial" w:cs="Arial"/>
          <w:lang w:val="es-ES"/>
        </w:rPr>
        <w:t>Ocurre cuando efectuada la inspección técnica, se constata que el afectatario no ha cumplido con darle al predio la finalidad para la cual fue otorgado o ha variado o desnaturalizado en todo o en parte el destino del mismo.</w:t>
      </w:r>
    </w:p>
    <w:p w:rsidR="006312E8" w:rsidRPr="006312E8" w:rsidRDefault="006312E8" w:rsidP="006312E8">
      <w:pPr>
        <w:spacing w:after="0" w:line="240" w:lineRule="auto"/>
        <w:ind w:left="993"/>
        <w:jc w:val="both"/>
        <w:rPr>
          <w:rFonts w:ascii="Arial" w:eastAsia="Calibri" w:hAnsi="Arial" w:cs="Arial"/>
          <w:lang w:val="es-ES"/>
        </w:rPr>
      </w:pPr>
    </w:p>
    <w:p w:rsidR="006312E8" w:rsidRPr="006312E8" w:rsidRDefault="006312E8" w:rsidP="006312E8">
      <w:pPr>
        <w:spacing w:after="0" w:line="240" w:lineRule="auto"/>
        <w:ind w:left="993"/>
        <w:jc w:val="both"/>
        <w:rPr>
          <w:rFonts w:ascii="Arial" w:eastAsia="Calibri" w:hAnsi="Arial" w:cs="Arial"/>
          <w:lang w:val="es-ES"/>
        </w:rPr>
      </w:pPr>
      <w:r w:rsidRPr="006312E8">
        <w:rPr>
          <w:rFonts w:ascii="Arial" w:eastAsia="Calibri" w:hAnsi="Arial" w:cs="Arial"/>
          <w:lang w:val="es-ES"/>
        </w:rPr>
        <w:t>Asimismo, cuando el afectatario hubiere otorgado el predio en garantía, transferido, arrendado o cedido a terceros bajo cualquier título, aún cuando se esté cumpliendo con el fin para el cual fue afectado en uso, no siendo obligación de la entidad propietaria cancelar el importe materia de gravamen o de indemnizar al tercero adquirente, de ser el caso.</w:t>
      </w:r>
    </w:p>
    <w:p w:rsidR="006312E8" w:rsidRPr="006312E8" w:rsidRDefault="006312E8" w:rsidP="006312E8">
      <w:pPr>
        <w:spacing w:after="0" w:line="240" w:lineRule="auto"/>
        <w:ind w:left="993"/>
        <w:jc w:val="both"/>
        <w:rPr>
          <w:rFonts w:ascii="Arial" w:eastAsia="Calibri" w:hAnsi="Arial" w:cs="Arial"/>
          <w:lang w:val="es-ES"/>
        </w:rPr>
      </w:pPr>
    </w:p>
    <w:p w:rsidR="006312E8" w:rsidRPr="006312E8" w:rsidRDefault="006312E8" w:rsidP="006312E8">
      <w:pPr>
        <w:spacing w:after="0" w:line="240" w:lineRule="auto"/>
        <w:ind w:left="993"/>
        <w:jc w:val="both"/>
        <w:rPr>
          <w:rFonts w:ascii="Arial" w:eastAsia="Calibri" w:hAnsi="Arial" w:cs="Arial"/>
          <w:lang w:val="es-ES"/>
        </w:rPr>
      </w:pPr>
      <w:r w:rsidRPr="006312E8">
        <w:rPr>
          <w:rFonts w:ascii="Arial" w:eastAsia="Calibri" w:hAnsi="Arial" w:cs="Arial"/>
          <w:lang w:val="es-ES"/>
        </w:rPr>
        <w:t>La autorización otorgada en el numeral 2.15 de la presente Directiva constituye una excepción a la causal de extinción contenida en el párrafo precedente.</w:t>
      </w: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numPr>
          <w:ilvl w:val="1"/>
          <w:numId w:val="56"/>
        </w:numPr>
        <w:spacing w:after="0" w:line="240" w:lineRule="auto"/>
        <w:ind w:left="993"/>
        <w:contextualSpacing/>
        <w:jc w:val="both"/>
        <w:rPr>
          <w:rFonts w:ascii="Arial" w:eastAsia="Calibri" w:hAnsi="Arial" w:cs="Arial"/>
          <w:b/>
          <w:lang w:val="es-ES"/>
        </w:rPr>
      </w:pPr>
      <w:r w:rsidRPr="006312E8">
        <w:rPr>
          <w:rFonts w:ascii="Arial" w:eastAsia="Calibri" w:hAnsi="Arial" w:cs="Arial"/>
          <w:b/>
          <w:lang w:val="es-ES"/>
        </w:rPr>
        <w:t>Renuncia a la afectación en uso</w:t>
      </w:r>
    </w:p>
    <w:p w:rsidR="006312E8" w:rsidRPr="006312E8" w:rsidRDefault="006312E8" w:rsidP="006312E8">
      <w:pPr>
        <w:spacing w:after="0" w:line="240" w:lineRule="auto"/>
        <w:ind w:left="1080"/>
        <w:contextualSpacing/>
        <w:jc w:val="both"/>
        <w:rPr>
          <w:rFonts w:ascii="Arial" w:eastAsia="Calibri" w:hAnsi="Arial" w:cs="Arial"/>
          <w:lang w:val="es-ES"/>
        </w:rPr>
      </w:pPr>
      <w:r w:rsidRPr="006312E8">
        <w:rPr>
          <w:rFonts w:ascii="Arial" w:eastAsia="Calibri" w:hAnsi="Arial" w:cs="Arial"/>
          <w:lang w:val="es-ES"/>
        </w:rPr>
        <w:t>La renuncia a la afectación en uso constituye la declaración unilateral del afectatario por cuyo mérito devuelve la administración del bien a la entidad que la otorgó. La renuncia debe ser efectuada por escrito con firma del funcionario competente debidamente acreditado.</w:t>
      </w:r>
    </w:p>
    <w:p w:rsidR="006312E8" w:rsidRPr="006312E8" w:rsidRDefault="006312E8" w:rsidP="006312E8">
      <w:pPr>
        <w:spacing w:after="0" w:line="240" w:lineRule="auto"/>
        <w:ind w:left="1080"/>
        <w:contextualSpacing/>
        <w:jc w:val="both"/>
        <w:rPr>
          <w:rFonts w:ascii="Arial" w:eastAsia="Calibri" w:hAnsi="Arial" w:cs="Arial"/>
          <w:lang w:val="es-ES"/>
        </w:rPr>
      </w:pPr>
    </w:p>
    <w:p w:rsidR="006312E8" w:rsidRPr="006312E8" w:rsidRDefault="006312E8" w:rsidP="006312E8">
      <w:pPr>
        <w:spacing w:after="0" w:line="240" w:lineRule="auto"/>
        <w:ind w:left="1080"/>
        <w:contextualSpacing/>
        <w:jc w:val="both"/>
        <w:rPr>
          <w:rFonts w:ascii="Arial" w:eastAsia="Calibri" w:hAnsi="Arial" w:cs="Arial"/>
          <w:lang w:val="es-ES"/>
        </w:rPr>
      </w:pPr>
      <w:r w:rsidRPr="006312E8">
        <w:rPr>
          <w:rFonts w:ascii="Arial" w:eastAsia="Calibri" w:hAnsi="Arial" w:cs="Arial"/>
          <w:lang w:val="es-ES"/>
        </w:rPr>
        <w:t>No procede la renuncia a la afectación en uso si el predio se encuentra ocupado por persona distinta al afectatario.</w:t>
      </w:r>
    </w:p>
    <w:p w:rsidR="006312E8" w:rsidRPr="006312E8" w:rsidRDefault="006312E8" w:rsidP="006312E8">
      <w:pPr>
        <w:spacing w:after="0" w:line="240" w:lineRule="auto"/>
        <w:ind w:left="993"/>
        <w:contextualSpacing/>
        <w:jc w:val="both"/>
        <w:rPr>
          <w:rFonts w:ascii="Arial" w:eastAsia="Calibri" w:hAnsi="Arial" w:cs="Arial"/>
          <w:b/>
          <w:lang w:val="es-ES"/>
        </w:rPr>
      </w:pPr>
    </w:p>
    <w:p w:rsidR="006312E8" w:rsidRPr="006312E8" w:rsidRDefault="006312E8" w:rsidP="006312E8">
      <w:pPr>
        <w:numPr>
          <w:ilvl w:val="1"/>
          <w:numId w:val="56"/>
        </w:numPr>
        <w:spacing w:after="0" w:line="240" w:lineRule="auto"/>
        <w:ind w:left="993"/>
        <w:contextualSpacing/>
        <w:jc w:val="both"/>
        <w:rPr>
          <w:rFonts w:ascii="Arial" w:eastAsia="Calibri" w:hAnsi="Arial" w:cs="Arial"/>
          <w:b/>
          <w:lang w:val="es-ES"/>
        </w:rPr>
      </w:pPr>
      <w:r w:rsidRPr="006312E8">
        <w:rPr>
          <w:rFonts w:ascii="Arial" w:eastAsia="Calibri" w:hAnsi="Arial" w:cs="Arial"/>
          <w:b/>
          <w:lang w:val="es-ES"/>
        </w:rPr>
        <w:t>Extinción de la entidad afectataria</w:t>
      </w:r>
    </w:p>
    <w:p w:rsidR="006312E8" w:rsidRPr="006312E8" w:rsidRDefault="006312E8" w:rsidP="006312E8">
      <w:pPr>
        <w:spacing w:after="0" w:line="240" w:lineRule="auto"/>
        <w:ind w:left="993"/>
        <w:contextualSpacing/>
        <w:jc w:val="both"/>
        <w:rPr>
          <w:rFonts w:ascii="Arial" w:eastAsia="Calibri" w:hAnsi="Arial" w:cs="Arial"/>
          <w:lang w:val="es-ES"/>
        </w:rPr>
      </w:pPr>
      <w:r w:rsidRPr="006312E8">
        <w:rPr>
          <w:rFonts w:ascii="Arial" w:eastAsia="Calibri" w:hAnsi="Arial" w:cs="Arial"/>
          <w:lang w:val="es-ES"/>
        </w:rPr>
        <w:t>Ocurre cuando la entidad pública a favor de la que se aprobó afectación en uso se ha extinguido.</w:t>
      </w: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numPr>
          <w:ilvl w:val="1"/>
          <w:numId w:val="56"/>
        </w:numPr>
        <w:spacing w:after="0" w:line="240" w:lineRule="auto"/>
        <w:ind w:left="993"/>
        <w:contextualSpacing/>
        <w:jc w:val="both"/>
        <w:rPr>
          <w:rFonts w:ascii="Arial" w:eastAsia="Calibri" w:hAnsi="Arial" w:cs="Arial"/>
          <w:b/>
          <w:lang w:val="es-ES"/>
        </w:rPr>
      </w:pPr>
      <w:r w:rsidRPr="006312E8">
        <w:rPr>
          <w:rFonts w:ascii="Arial" w:eastAsia="Calibri" w:hAnsi="Arial" w:cs="Arial"/>
          <w:b/>
          <w:lang w:val="es-ES"/>
        </w:rPr>
        <w:t>Destrucción del bien</w:t>
      </w:r>
    </w:p>
    <w:p w:rsidR="006312E8" w:rsidRPr="006312E8" w:rsidRDefault="006312E8" w:rsidP="006312E8">
      <w:pPr>
        <w:spacing w:after="0" w:line="240" w:lineRule="auto"/>
        <w:ind w:left="993"/>
        <w:jc w:val="both"/>
        <w:rPr>
          <w:rFonts w:ascii="Arial" w:eastAsia="Calibri" w:hAnsi="Arial" w:cs="Arial"/>
          <w:lang w:val="es-ES"/>
        </w:rPr>
      </w:pPr>
      <w:r w:rsidRPr="006312E8">
        <w:rPr>
          <w:rFonts w:ascii="Arial" w:eastAsia="Calibri" w:hAnsi="Arial" w:cs="Arial"/>
          <w:lang w:val="es-ES"/>
        </w:rPr>
        <w:t>Cuando de la inspección técnica se constata la destrucción del bien o el deterioro de sus partes integrantes o accesorias mayor al de su uso ordinario, evidenciando negligencia del afectatario en la conservación y mantenimiento del predio.</w:t>
      </w:r>
    </w:p>
    <w:p w:rsidR="006312E8" w:rsidRPr="006312E8" w:rsidRDefault="006312E8" w:rsidP="006312E8">
      <w:pPr>
        <w:spacing w:after="0" w:line="240" w:lineRule="auto"/>
        <w:ind w:left="993"/>
        <w:contextualSpacing/>
        <w:jc w:val="both"/>
        <w:rPr>
          <w:rFonts w:ascii="Arial" w:eastAsia="Calibri" w:hAnsi="Arial" w:cs="Arial"/>
          <w:lang w:val="es-ES"/>
        </w:rPr>
      </w:pPr>
    </w:p>
    <w:p w:rsidR="006312E8" w:rsidRPr="006312E8" w:rsidRDefault="006312E8" w:rsidP="006312E8">
      <w:pPr>
        <w:numPr>
          <w:ilvl w:val="1"/>
          <w:numId w:val="56"/>
        </w:numPr>
        <w:spacing w:after="0" w:line="240" w:lineRule="auto"/>
        <w:ind w:left="993"/>
        <w:contextualSpacing/>
        <w:jc w:val="both"/>
        <w:rPr>
          <w:rFonts w:ascii="Arial" w:eastAsia="Calibri" w:hAnsi="Arial" w:cs="Arial"/>
          <w:b/>
          <w:lang w:val="es-ES"/>
        </w:rPr>
      </w:pPr>
      <w:r w:rsidRPr="006312E8">
        <w:rPr>
          <w:rFonts w:ascii="Arial" w:eastAsia="Calibri" w:hAnsi="Arial" w:cs="Arial"/>
          <w:b/>
          <w:lang w:val="es-ES"/>
        </w:rPr>
        <w:t>Consolidación del dominio</w:t>
      </w:r>
    </w:p>
    <w:p w:rsidR="006312E8" w:rsidRPr="006312E8" w:rsidRDefault="006312E8" w:rsidP="006312E8">
      <w:pPr>
        <w:spacing w:after="0" w:line="240" w:lineRule="auto"/>
        <w:ind w:left="993"/>
        <w:contextualSpacing/>
        <w:jc w:val="both"/>
        <w:rPr>
          <w:rFonts w:ascii="Arial" w:eastAsia="Calibri" w:hAnsi="Arial" w:cs="Arial"/>
          <w:lang w:val="es-ES"/>
        </w:rPr>
      </w:pPr>
      <w:r w:rsidRPr="006312E8">
        <w:rPr>
          <w:rFonts w:ascii="Arial" w:eastAsia="Calibri" w:hAnsi="Arial" w:cs="Arial"/>
          <w:lang w:val="es-ES"/>
        </w:rPr>
        <w:t>Cuando la entidad afectataria adquiere la calidad de propietaria del bien, afectado en uso, en virtud a una transferencia de dominio a su favor, bajo cualquiera de las figuras establecidas en la normatividad vigente.</w:t>
      </w:r>
    </w:p>
    <w:p w:rsidR="006312E8" w:rsidRPr="006312E8" w:rsidRDefault="006312E8" w:rsidP="006312E8">
      <w:pPr>
        <w:spacing w:after="0" w:line="240" w:lineRule="auto"/>
        <w:ind w:left="993"/>
        <w:contextualSpacing/>
        <w:jc w:val="both"/>
        <w:rPr>
          <w:rFonts w:ascii="Arial" w:eastAsia="Calibri" w:hAnsi="Arial" w:cs="Arial"/>
          <w:lang w:val="es-ES"/>
        </w:rPr>
      </w:pPr>
    </w:p>
    <w:p w:rsidR="006312E8" w:rsidRPr="006312E8" w:rsidRDefault="006312E8" w:rsidP="006312E8">
      <w:pPr>
        <w:spacing w:after="0" w:line="240" w:lineRule="auto"/>
        <w:ind w:left="993"/>
        <w:contextualSpacing/>
        <w:jc w:val="both"/>
        <w:rPr>
          <w:rFonts w:ascii="Arial" w:eastAsia="Calibri" w:hAnsi="Arial" w:cs="Arial"/>
          <w:lang w:val="es-ES"/>
        </w:rPr>
      </w:pPr>
      <w:r w:rsidRPr="006312E8">
        <w:rPr>
          <w:rFonts w:ascii="Arial" w:eastAsia="Calibri" w:hAnsi="Arial" w:cs="Arial"/>
          <w:lang w:val="es-ES"/>
        </w:rPr>
        <w:t>Cuando la extinción de la afectación en uso sea por esta causal, corresponderá, por excepción, a la autoridad a cargo de la transferencia del predio, aprobar en la misma resolución la correspondiente extinción de la afectación en uso.</w:t>
      </w:r>
    </w:p>
    <w:p w:rsidR="006312E8" w:rsidRPr="006312E8" w:rsidRDefault="006312E8" w:rsidP="006312E8">
      <w:pPr>
        <w:spacing w:after="0" w:line="240" w:lineRule="auto"/>
        <w:ind w:left="993"/>
        <w:contextualSpacing/>
        <w:jc w:val="both"/>
        <w:rPr>
          <w:rFonts w:ascii="Arial" w:eastAsia="Calibri" w:hAnsi="Arial" w:cs="Arial"/>
          <w:lang w:val="es-ES"/>
        </w:rPr>
      </w:pPr>
    </w:p>
    <w:p w:rsidR="006312E8" w:rsidRPr="006312E8" w:rsidRDefault="006312E8" w:rsidP="006312E8">
      <w:pPr>
        <w:spacing w:after="0" w:line="240" w:lineRule="auto"/>
        <w:ind w:left="993"/>
        <w:contextualSpacing/>
        <w:jc w:val="both"/>
        <w:rPr>
          <w:rFonts w:ascii="Arial" w:eastAsia="Calibri" w:hAnsi="Arial" w:cs="Arial"/>
          <w:lang w:val="es-ES"/>
        </w:rPr>
      </w:pPr>
      <w:r w:rsidRPr="006312E8">
        <w:rPr>
          <w:rFonts w:ascii="Arial" w:eastAsia="Calibri" w:hAnsi="Arial" w:cs="Arial"/>
          <w:lang w:val="es-ES"/>
        </w:rPr>
        <w:t>En los casos de predios del Estado, a cargo de la SBN, corresponderá a la SDDI aprobar la referida extinción de la afectación en uso.</w:t>
      </w:r>
    </w:p>
    <w:p w:rsidR="006312E8" w:rsidRPr="006312E8" w:rsidRDefault="006312E8" w:rsidP="006312E8">
      <w:pPr>
        <w:spacing w:after="0" w:line="240" w:lineRule="auto"/>
        <w:ind w:left="993"/>
        <w:contextualSpacing/>
        <w:jc w:val="both"/>
        <w:rPr>
          <w:rFonts w:ascii="Arial" w:eastAsia="Calibri" w:hAnsi="Arial" w:cs="Arial"/>
          <w:lang w:val="es-ES"/>
        </w:rPr>
      </w:pPr>
    </w:p>
    <w:p w:rsidR="006312E8" w:rsidRPr="006312E8" w:rsidRDefault="006312E8" w:rsidP="006312E8">
      <w:pPr>
        <w:numPr>
          <w:ilvl w:val="1"/>
          <w:numId w:val="56"/>
        </w:numPr>
        <w:spacing w:after="0" w:line="240" w:lineRule="auto"/>
        <w:ind w:left="993"/>
        <w:contextualSpacing/>
        <w:jc w:val="both"/>
        <w:rPr>
          <w:rFonts w:ascii="Arial" w:eastAsia="Calibri" w:hAnsi="Arial" w:cs="Arial"/>
          <w:b/>
          <w:lang w:val="es-ES"/>
        </w:rPr>
      </w:pPr>
      <w:r w:rsidRPr="006312E8">
        <w:rPr>
          <w:rFonts w:ascii="Arial" w:eastAsia="Calibri" w:hAnsi="Arial" w:cs="Arial"/>
          <w:b/>
          <w:lang w:val="es-ES"/>
        </w:rPr>
        <w:t>Cese de la finalidad</w:t>
      </w:r>
    </w:p>
    <w:p w:rsidR="006312E8" w:rsidRPr="006312E8" w:rsidRDefault="006312E8" w:rsidP="006312E8">
      <w:pPr>
        <w:spacing w:after="0" w:line="240" w:lineRule="auto"/>
        <w:ind w:left="993"/>
        <w:contextualSpacing/>
        <w:jc w:val="both"/>
        <w:rPr>
          <w:rFonts w:ascii="Arial" w:eastAsia="Calibri" w:hAnsi="Arial" w:cs="Arial"/>
          <w:lang w:val="es-ES"/>
        </w:rPr>
      </w:pPr>
      <w:r w:rsidRPr="006312E8">
        <w:rPr>
          <w:rFonts w:ascii="Arial" w:eastAsia="Calibri" w:hAnsi="Arial" w:cs="Arial"/>
          <w:lang w:val="es-ES"/>
        </w:rPr>
        <w:t>Cuando no resulte necesario continuar con la ejecución de la afectación en uso, por que así lo ha establecido un mandato legal.</w:t>
      </w:r>
    </w:p>
    <w:p w:rsidR="006312E8" w:rsidRPr="006312E8" w:rsidRDefault="006312E8" w:rsidP="006312E8">
      <w:pPr>
        <w:spacing w:after="0" w:line="240" w:lineRule="auto"/>
        <w:ind w:left="1080"/>
        <w:contextualSpacing/>
        <w:jc w:val="both"/>
        <w:rPr>
          <w:rFonts w:ascii="Arial" w:eastAsia="Calibri" w:hAnsi="Arial" w:cs="Arial"/>
          <w:lang w:val="es-ES"/>
        </w:rPr>
      </w:pPr>
    </w:p>
    <w:p w:rsidR="006312E8" w:rsidRPr="006312E8" w:rsidRDefault="006312E8" w:rsidP="006312E8">
      <w:pPr>
        <w:numPr>
          <w:ilvl w:val="1"/>
          <w:numId w:val="56"/>
        </w:numPr>
        <w:spacing w:after="0" w:line="240" w:lineRule="auto"/>
        <w:ind w:left="993"/>
        <w:contextualSpacing/>
        <w:jc w:val="both"/>
        <w:rPr>
          <w:rFonts w:ascii="Arial" w:eastAsia="Calibri" w:hAnsi="Arial" w:cs="Arial"/>
          <w:b/>
          <w:lang w:val="es-ES"/>
        </w:rPr>
      </w:pPr>
      <w:r w:rsidRPr="006312E8">
        <w:rPr>
          <w:rFonts w:ascii="Arial" w:eastAsia="Calibri" w:hAnsi="Arial" w:cs="Arial"/>
          <w:b/>
          <w:lang w:val="es-ES"/>
        </w:rPr>
        <w:t>Otras que se determine por norma expresa.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709" w:hanging="567"/>
        <w:jc w:val="both"/>
        <w:rPr>
          <w:rFonts w:ascii="Arial" w:eastAsia="Calibri" w:hAnsi="Arial" w:cs="Arial"/>
          <w:b/>
          <w:lang w:val="es-ES"/>
        </w:rPr>
      </w:pPr>
      <w:r w:rsidRPr="006312E8">
        <w:rPr>
          <w:rFonts w:ascii="Arial" w:eastAsia="Calibri" w:hAnsi="Arial" w:cs="Arial"/>
          <w:b/>
          <w:lang w:val="es-ES"/>
        </w:rPr>
        <w:t xml:space="preserve">3.14 </w:t>
      </w:r>
      <w:r w:rsidRPr="006312E8">
        <w:rPr>
          <w:rFonts w:ascii="Arial" w:eastAsia="Calibri" w:hAnsi="Arial" w:cs="Arial"/>
          <w:b/>
          <w:lang w:val="es-ES"/>
        </w:rPr>
        <w:tab/>
        <w:t>De la verificación de uso</w:t>
      </w:r>
    </w:p>
    <w:p w:rsidR="006312E8" w:rsidRPr="006312E8" w:rsidRDefault="006312E8" w:rsidP="006312E8">
      <w:pPr>
        <w:spacing w:after="0" w:line="240" w:lineRule="auto"/>
        <w:ind w:left="709" w:hanging="567"/>
        <w:jc w:val="both"/>
        <w:rPr>
          <w:rFonts w:ascii="Arial" w:eastAsia="Calibri" w:hAnsi="Arial" w:cs="Arial"/>
          <w:lang w:val="es-ES"/>
        </w:rPr>
      </w:pPr>
      <w:r w:rsidRPr="006312E8">
        <w:rPr>
          <w:rFonts w:ascii="Arial" w:eastAsia="Calibri" w:hAnsi="Arial" w:cs="Arial"/>
          <w:lang w:val="es-ES"/>
        </w:rPr>
        <w:tab/>
        <w:t>Si de la inspección técnica al predio afectado en uso, se verifica que el predio viene siendo utilizado de acuerdo con los términos estipulados en la Resolución de Afectación en Uso, los profesionales de la SDS o de la unidad a cargo del trámite, elaborarán el informe técnico legal dando cuenta de lo verificado, disponiéndose el archivo de lo actuado en el expediente sustentatorio de la Resolución de afectación en uso.</w:t>
      </w:r>
    </w:p>
    <w:p w:rsidR="006312E8" w:rsidRPr="006312E8" w:rsidRDefault="006312E8" w:rsidP="006312E8">
      <w:pPr>
        <w:spacing w:after="0" w:line="240" w:lineRule="auto"/>
        <w:ind w:left="709" w:hanging="567"/>
        <w:jc w:val="both"/>
        <w:rPr>
          <w:rFonts w:ascii="Arial" w:eastAsia="Calibri" w:hAnsi="Arial" w:cs="Arial"/>
          <w:lang w:val="es-ES"/>
        </w:rPr>
      </w:pPr>
    </w:p>
    <w:p w:rsidR="006312E8" w:rsidRPr="006312E8" w:rsidRDefault="006312E8" w:rsidP="006312E8">
      <w:pPr>
        <w:spacing w:after="0" w:line="240" w:lineRule="auto"/>
        <w:ind w:left="709" w:hanging="567"/>
        <w:jc w:val="both"/>
        <w:rPr>
          <w:rFonts w:ascii="Arial" w:eastAsia="Calibri" w:hAnsi="Arial" w:cs="Arial"/>
          <w:lang w:val="es-ES"/>
        </w:rPr>
      </w:pPr>
      <w:r w:rsidRPr="006312E8">
        <w:rPr>
          <w:rFonts w:ascii="Arial" w:eastAsia="Calibri" w:hAnsi="Arial" w:cs="Arial"/>
          <w:lang w:val="es-ES"/>
        </w:rPr>
        <w:tab/>
        <w:t>La SDS dispondrá respecto de estos predios la realización de inspecciones técnicas de manera periódica.</w:t>
      </w:r>
    </w:p>
    <w:p w:rsidR="006312E8" w:rsidRPr="006312E8" w:rsidRDefault="006312E8" w:rsidP="006312E8">
      <w:pPr>
        <w:spacing w:after="0" w:line="240" w:lineRule="auto"/>
        <w:ind w:left="709" w:hanging="567"/>
        <w:jc w:val="both"/>
        <w:rPr>
          <w:rFonts w:ascii="Arial" w:eastAsia="Calibri" w:hAnsi="Arial" w:cs="Arial"/>
          <w:lang w:val="es-ES"/>
        </w:rPr>
      </w:pPr>
    </w:p>
    <w:p w:rsidR="006312E8" w:rsidRPr="006312E8" w:rsidRDefault="006312E8" w:rsidP="006312E8">
      <w:pPr>
        <w:spacing w:after="0" w:line="240" w:lineRule="auto"/>
        <w:ind w:left="709" w:hanging="567"/>
        <w:jc w:val="both"/>
        <w:rPr>
          <w:rFonts w:ascii="Arial" w:eastAsia="Calibri" w:hAnsi="Arial" w:cs="Arial"/>
          <w:b/>
          <w:lang w:val="es-ES"/>
        </w:rPr>
      </w:pPr>
      <w:r w:rsidRPr="006312E8">
        <w:rPr>
          <w:rFonts w:ascii="Arial" w:eastAsia="Calibri" w:hAnsi="Arial" w:cs="Arial"/>
          <w:b/>
          <w:lang w:val="es-ES"/>
        </w:rPr>
        <w:t xml:space="preserve">3.15 </w:t>
      </w:r>
      <w:r w:rsidRPr="006312E8">
        <w:rPr>
          <w:rFonts w:ascii="Arial" w:eastAsia="Calibri" w:hAnsi="Arial" w:cs="Arial"/>
          <w:b/>
          <w:lang w:val="es-ES"/>
        </w:rPr>
        <w:tab/>
        <w:t>De la notificación para el descargo</w:t>
      </w:r>
    </w:p>
    <w:p w:rsidR="00FB5E8D" w:rsidRPr="00FB5E8D" w:rsidRDefault="006312E8" w:rsidP="00FB5E8D">
      <w:pPr>
        <w:spacing w:after="0" w:line="240" w:lineRule="auto"/>
        <w:ind w:left="709" w:hanging="567"/>
        <w:jc w:val="both"/>
        <w:rPr>
          <w:rFonts w:ascii="Arial" w:eastAsia="Calibri" w:hAnsi="Arial" w:cs="Arial"/>
          <w:lang w:val="es-ES"/>
        </w:rPr>
      </w:pPr>
      <w:r w:rsidRPr="006312E8">
        <w:rPr>
          <w:rFonts w:ascii="Arial" w:eastAsia="Calibri" w:hAnsi="Arial" w:cs="Arial"/>
          <w:lang w:val="es-ES"/>
        </w:rPr>
        <w:tab/>
      </w:r>
      <w:r w:rsidR="00FB5E8D" w:rsidRPr="00FB5E8D">
        <w:rPr>
          <w:rFonts w:ascii="Arial" w:eastAsia="Calibri" w:hAnsi="Arial" w:cs="Arial"/>
          <w:lang w:val="es-ES"/>
        </w:rPr>
        <w:t>En caso que en la inspección técnica se determine la existencia de alguna causal para la extinción de la afectación en uso, la SDS o, la unidad orgánica competente, notificará a la entidad afectataria de la situación física encontrada en el predio a fin de que efectúe el descargo correspondiente dentro del plazo de quince (15) días hábiles. Si se advierte que el predio se encuentra ocupado por terceros no autorizados, la SDS, además, requerirá a la entidad afectataria que adopte las acciones de recuperación del bien, sin perjuicio de continuar con el procedimiento de extinción de la afectación en uso.</w:t>
      </w:r>
    </w:p>
    <w:p w:rsidR="00FB5E8D" w:rsidRPr="00FB5E8D" w:rsidRDefault="00FB5E8D" w:rsidP="00FB5E8D">
      <w:pPr>
        <w:spacing w:after="0" w:line="240" w:lineRule="auto"/>
        <w:ind w:left="709" w:hanging="567"/>
        <w:jc w:val="both"/>
        <w:rPr>
          <w:rFonts w:ascii="Arial" w:eastAsia="Calibri" w:hAnsi="Arial" w:cs="Arial"/>
          <w:lang w:val="es-ES"/>
        </w:rPr>
      </w:pPr>
    </w:p>
    <w:p w:rsidR="006312E8" w:rsidRDefault="00FB5E8D" w:rsidP="00FB5E8D">
      <w:pPr>
        <w:spacing w:after="0" w:line="240" w:lineRule="auto"/>
        <w:ind w:left="709" w:hanging="567"/>
        <w:jc w:val="both"/>
        <w:rPr>
          <w:rFonts w:ascii="Arial" w:eastAsia="Calibri" w:hAnsi="Arial" w:cs="Arial"/>
          <w:lang w:val="es-ES"/>
        </w:rPr>
      </w:pPr>
      <w:r w:rsidRPr="00FB5E8D">
        <w:rPr>
          <w:rFonts w:ascii="Arial" w:eastAsia="Calibri" w:hAnsi="Arial" w:cs="Arial"/>
          <w:lang w:val="es-ES"/>
        </w:rPr>
        <w:tab/>
        <w:t>Adicionalmente, se podrá solicitar al afectatario todo tipo de información vinculada con la verificación del incumplimiento, el grado de avance de las obras comprometidas, la acreditación del pago de los servicios públicos, los tributos municipales y cualquier otro aspecto relacionado con la afectación</w:t>
      </w:r>
      <w:r>
        <w:rPr>
          <w:rFonts w:ascii="Arial" w:eastAsia="Calibri" w:hAnsi="Arial" w:cs="Arial"/>
          <w:lang w:val="es-ES"/>
        </w:rPr>
        <w:t xml:space="preserve">. (*) </w:t>
      </w:r>
    </w:p>
    <w:p w:rsidR="00FB5E8D" w:rsidRPr="00822FA5" w:rsidRDefault="00FB5E8D" w:rsidP="00FB5E8D">
      <w:pPr>
        <w:spacing w:after="0" w:line="240" w:lineRule="auto"/>
        <w:ind w:left="709"/>
        <w:contextualSpacing/>
        <w:jc w:val="both"/>
        <w:rPr>
          <w:rFonts w:ascii="Arial" w:eastAsia="Calibri" w:hAnsi="Arial" w:cs="Arial"/>
          <w:lang w:val="es-ES"/>
        </w:rPr>
      </w:pPr>
      <w:r w:rsidRPr="00822FA5">
        <w:rPr>
          <w:rFonts w:ascii="Arial" w:eastAsia="Times New Roman" w:hAnsi="Arial" w:cs="Arial"/>
          <w:b/>
          <w:color w:val="FF0000"/>
          <w:sz w:val="16"/>
          <w:szCs w:val="16"/>
          <w:lang w:val="es-ES"/>
        </w:rPr>
        <w:t xml:space="preserve">(*) </w:t>
      </w:r>
      <w:r>
        <w:rPr>
          <w:rFonts w:ascii="Arial" w:eastAsia="Times New Roman" w:hAnsi="Arial" w:cs="Arial"/>
          <w:b/>
          <w:color w:val="FF0000"/>
          <w:sz w:val="16"/>
          <w:szCs w:val="16"/>
          <w:lang w:val="es-ES"/>
        </w:rPr>
        <w:t>Numeral</w:t>
      </w:r>
      <w:r w:rsidRPr="00822FA5">
        <w:rPr>
          <w:rFonts w:ascii="Arial" w:eastAsia="Times New Roman" w:hAnsi="Arial" w:cs="Arial"/>
          <w:b/>
          <w:color w:val="FF0000"/>
          <w:sz w:val="16"/>
          <w:szCs w:val="16"/>
          <w:lang w:val="es-ES"/>
        </w:rPr>
        <w:t xml:space="preserve"> modificado por el Artículo 1 de la Resolución N° 047-2016/SBN, publicada el 01 de julio de 2016</w:t>
      </w:r>
    </w:p>
    <w:p w:rsidR="00FB5E8D" w:rsidRDefault="00FB5E8D" w:rsidP="00FB5E8D">
      <w:pPr>
        <w:spacing w:after="0" w:line="240" w:lineRule="auto"/>
        <w:ind w:left="709"/>
        <w:jc w:val="both"/>
        <w:rPr>
          <w:rFonts w:ascii="Arial" w:eastAsia="Calibri" w:hAnsi="Arial" w:cs="Arial"/>
          <w:lang w:val="es-ES"/>
        </w:rPr>
      </w:pPr>
    </w:p>
    <w:p w:rsidR="006312E8" w:rsidRPr="006312E8" w:rsidRDefault="006312E8" w:rsidP="006312E8">
      <w:pPr>
        <w:spacing w:after="0" w:line="240" w:lineRule="auto"/>
        <w:ind w:left="709" w:hanging="567"/>
        <w:jc w:val="both"/>
        <w:rPr>
          <w:rFonts w:ascii="Arial" w:eastAsia="Calibri" w:hAnsi="Arial" w:cs="Arial"/>
          <w:b/>
          <w:lang w:val="es-ES"/>
        </w:rPr>
      </w:pPr>
      <w:r w:rsidRPr="006312E8">
        <w:rPr>
          <w:rFonts w:ascii="Arial" w:eastAsia="Calibri" w:hAnsi="Arial" w:cs="Arial"/>
          <w:b/>
          <w:lang w:val="es-ES"/>
        </w:rPr>
        <w:t xml:space="preserve">3.16 </w:t>
      </w:r>
      <w:r w:rsidRPr="006312E8">
        <w:rPr>
          <w:rFonts w:ascii="Arial" w:eastAsia="Calibri" w:hAnsi="Arial" w:cs="Arial"/>
          <w:b/>
          <w:lang w:val="es-ES"/>
        </w:rPr>
        <w:tab/>
        <w:t>De la remisión del descargo y demás actuados a la unidad orgánica competente</w:t>
      </w:r>
    </w:p>
    <w:p w:rsidR="006312E8" w:rsidRPr="006312E8" w:rsidRDefault="006312E8" w:rsidP="006312E8">
      <w:pPr>
        <w:spacing w:after="0" w:line="240" w:lineRule="auto"/>
        <w:ind w:left="709" w:hanging="567"/>
        <w:jc w:val="both"/>
        <w:rPr>
          <w:rFonts w:ascii="Arial" w:eastAsia="Calibri" w:hAnsi="Arial" w:cs="Arial"/>
          <w:lang w:val="es-ES"/>
        </w:rPr>
      </w:pPr>
      <w:r w:rsidRPr="006312E8">
        <w:rPr>
          <w:rFonts w:ascii="Arial" w:eastAsia="Calibri" w:hAnsi="Arial" w:cs="Arial"/>
          <w:lang w:val="es-ES"/>
        </w:rPr>
        <w:tab/>
        <w:t>Transcurrido el plazo establecido en el numeral precedente, sin que medie el descargo del afectatario o habiéndose efectuado éste, la SDS elaborará la Ficha Técnica correspondiente, dando cuenta de manera detallada de la situación física y legal; del predio, adjuntando las vistas fotográficas respectivas, remitiendo todo ello así como los demás actuados a la SDAPE para la evaluación correspondiente.</w:t>
      </w:r>
    </w:p>
    <w:p w:rsidR="006312E8" w:rsidRPr="006312E8" w:rsidRDefault="006312E8" w:rsidP="006312E8">
      <w:pPr>
        <w:spacing w:after="0" w:line="240" w:lineRule="auto"/>
        <w:ind w:left="709" w:hanging="567"/>
        <w:jc w:val="both"/>
        <w:rPr>
          <w:rFonts w:ascii="Arial" w:eastAsia="Calibri" w:hAnsi="Arial" w:cs="Arial"/>
          <w:lang w:val="es-ES"/>
        </w:rPr>
      </w:pPr>
    </w:p>
    <w:p w:rsidR="006312E8" w:rsidRPr="006312E8" w:rsidRDefault="006312E8" w:rsidP="006312E8">
      <w:pPr>
        <w:spacing w:after="0" w:line="240" w:lineRule="auto"/>
        <w:ind w:left="709" w:hanging="567"/>
        <w:jc w:val="both"/>
        <w:rPr>
          <w:rFonts w:ascii="Arial" w:eastAsia="Calibri" w:hAnsi="Arial" w:cs="Arial"/>
          <w:b/>
          <w:lang w:val="es-ES"/>
        </w:rPr>
      </w:pPr>
      <w:r w:rsidRPr="006312E8">
        <w:rPr>
          <w:rFonts w:ascii="Arial" w:eastAsia="Calibri" w:hAnsi="Arial" w:cs="Arial"/>
          <w:b/>
          <w:lang w:val="es-ES"/>
        </w:rPr>
        <w:t xml:space="preserve">3.17 </w:t>
      </w:r>
      <w:r w:rsidRPr="006312E8">
        <w:rPr>
          <w:rFonts w:ascii="Arial" w:eastAsia="Calibri" w:hAnsi="Arial" w:cs="Arial"/>
          <w:b/>
          <w:lang w:val="es-ES"/>
        </w:rPr>
        <w:tab/>
        <w:t>Evaluación del descargo</w:t>
      </w:r>
    </w:p>
    <w:p w:rsidR="006312E8" w:rsidRPr="006312E8" w:rsidRDefault="006312E8" w:rsidP="006312E8">
      <w:pPr>
        <w:spacing w:after="0" w:line="240" w:lineRule="auto"/>
        <w:ind w:left="709" w:hanging="567"/>
        <w:jc w:val="both"/>
        <w:rPr>
          <w:rFonts w:ascii="Arial" w:eastAsia="Calibri" w:hAnsi="Arial" w:cs="Arial"/>
          <w:lang w:val="es-ES"/>
        </w:rPr>
      </w:pPr>
      <w:r w:rsidRPr="006312E8">
        <w:rPr>
          <w:rFonts w:ascii="Arial" w:eastAsia="Calibri" w:hAnsi="Arial" w:cs="Arial"/>
          <w:lang w:val="es-ES"/>
        </w:rPr>
        <w:tab/>
        <w:t>Tratándose de predios del Estado, bajo administración de la SBN corresponderá a la SDAPE, efectuar la evaluación del descargo emitido por la entidad afectataria y en caso fuere suficiente determinar la viabilidad de que la afectación en uso permanezca, elaborándose el informe técnico legal correspondiente.</w:t>
      </w:r>
    </w:p>
    <w:p w:rsidR="006312E8" w:rsidRPr="006312E8" w:rsidRDefault="006312E8" w:rsidP="006312E8">
      <w:pPr>
        <w:spacing w:after="0" w:line="240" w:lineRule="auto"/>
        <w:ind w:left="709" w:hanging="567"/>
        <w:jc w:val="both"/>
        <w:rPr>
          <w:rFonts w:ascii="Arial" w:eastAsia="Calibri" w:hAnsi="Arial" w:cs="Arial"/>
          <w:lang w:val="es-ES"/>
        </w:rPr>
      </w:pPr>
    </w:p>
    <w:p w:rsidR="006312E8" w:rsidRPr="006312E8" w:rsidRDefault="006312E8" w:rsidP="006312E8">
      <w:pPr>
        <w:spacing w:after="0" w:line="240" w:lineRule="auto"/>
        <w:ind w:left="709" w:hanging="567"/>
        <w:jc w:val="both"/>
        <w:rPr>
          <w:rFonts w:ascii="Arial" w:eastAsia="Calibri" w:hAnsi="Arial" w:cs="Arial"/>
          <w:lang w:val="es-ES"/>
        </w:rPr>
      </w:pPr>
      <w:r w:rsidRPr="006312E8">
        <w:rPr>
          <w:rFonts w:ascii="Arial" w:eastAsia="Calibri" w:hAnsi="Arial" w:cs="Arial"/>
          <w:lang w:val="es-ES"/>
        </w:rPr>
        <w:tab/>
        <w:t>Asimismo, en caso el descargo no se hubiere producido, éste fuera insuficiente o se hubiese efectuado de manera extemporánea, los profesionales a cargo del trámite deberán elaborar el informe técnico legal que sustenta la extinción de la afectación en uso, el que deberá estar visado por el Jefe de la unidad orgánica competente, adjuntando el Proyecto de Resolución que aprueba la extinción de la afectación en uso.</w:t>
      </w:r>
    </w:p>
    <w:p w:rsidR="006312E8" w:rsidRPr="006312E8" w:rsidRDefault="006312E8" w:rsidP="006312E8">
      <w:pPr>
        <w:spacing w:after="0" w:line="240" w:lineRule="auto"/>
        <w:ind w:left="709" w:hanging="567"/>
        <w:jc w:val="both"/>
        <w:rPr>
          <w:rFonts w:ascii="Arial" w:eastAsia="Calibri" w:hAnsi="Arial" w:cs="Arial"/>
          <w:lang w:val="es-ES"/>
        </w:rPr>
      </w:pPr>
    </w:p>
    <w:p w:rsidR="006312E8" w:rsidRPr="006312E8" w:rsidRDefault="006312E8" w:rsidP="006312E8">
      <w:pPr>
        <w:spacing w:after="0" w:line="240" w:lineRule="auto"/>
        <w:ind w:left="709" w:hanging="567"/>
        <w:jc w:val="both"/>
        <w:rPr>
          <w:rFonts w:ascii="Arial" w:eastAsia="Calibri" w:hAnsi="Arial" w:cs="Arial"/>
          <w:b/>
          <w:lang w:val="es-ES"/>
        </w:rPr>
      </w:pPr>
      <w:r w:rsidRPr="006312E8">
        <w:rPr>
          <w:rFonts w:ascii="Arial" w:eastAsia="Calibri" w:hAnsi="Arial" w:cs="Arial"/>
          <w:b/>
          <w:lang w:val="es-ES"/>
        </w:rPr>
        <w:t xml:space="preserve">3.18 </w:t>
      </w:r>
      <w:r w:rsidRPr="006312E8">
        <w:rPr>
          <w:rFonts w:ascii="Arial" w:eastAsia="Calibri" w:hAnsi="Arial" w:cs="Arial"/>
          <w:b/>
          <w:lang w:val="es-ES"/>
        </w:rPr>
        <w:tab/>
        <w:t>Informe Técnico Legal</w:t>
      </w:r>
    </w:p>
    <w:p w:rsidR="006312E8" w:rsidRPr="006312E8" w:rsidRDefault="006312E8" w:rsidP="006312E8">
      <w:pPr>
        <w:spacing w:after="0" w:line="240" w:lineRule="auto"/>
        <w:ind w:left="709" w:hanging="567"/>
        <w:jc w:val="both"/>
        <w:rPr>
          <w:rFonts w:ascii="Arial" w:eastAsia="Calibri" w:hAnsi="Arial" w:cs="Arial"/>
          <w:lang w:val="es-ES"/>
        </w:rPr>
      </w:pPr>
      <w:r w:rsidRPr="006312E8">
        <w:rPr>
          <w:rFonts w:ascii="Arial" w:eastAsia="Calibri" w:hAnsi="Arial" w:cs="Arial"/>
          <w:lang w:val="es-ES"/>
        </w:rPr>
        <w:tab/>
        <w:t>El informe técnico legal que sustenta la extinción de la afectación en uso será elaborado por el o los profesionales responsables del trámite; y. en caso de predios de propiedad del Estado administrados por la SBN, suscrito por el Jefe de la SDAPE, adjuntando el Proyecto de Resolución que aprueba la extinción de la afectación en uso.</w:t>
      </w:r>
    </w:p>
    <w:p w:rsidR="006312E8" w:rsidRPr="006312E8" w:rsidRDefault="006312E8" w:rsidP="006312E8">
      <w:pPr>
        <w:spacing w:after="0" w:line="240" w:lineRule="auto"/>
        <w:ind w:left="709" w:hanging="567"/>
        <w:jc w:val="both"/>
        <w:rPr>
          <w:rFonts w:ascii="Arial" w:eastAsia="Calibri" w:hAnsi="Arial" w:cs="Arial"/>
          <w:lang w:val="es-ES"/>
        </w:rPr>
      </w:pPr>
    </w:p>
    <w:p w:rsidR="006312E8" w:rsidRPr="006312E8" w:rsidRDefault="006312E8" w:rsidP="006312E8">
      <w:pPr>
        <w:spacing w:after="0" w:line="240" w:lineRule="auto"/>
        <w:ind w:left="709" w:hanging="567"/>
        <w:jc w:val="both"/>
        <w:rPr>
          <w:rFonts w:ascii="Arial" w:eastAsia="Calibri" w:hAnsi="Arial" w:cs="Arial"/>
          <w:b/>
          <w:lang w:val="es-ES"/>
        </w:rPr>
      </w:pPr>
      <w:r w:rsidRPr="006312E8">
        <w:rPr>
          <w:rFonts w:ascii="Arial" w:eastAsia="Calibri" w:hAnsi="Arial" w:cs="Arial"/>
          <w:b/>
          <w:lang w:val="es-ES"/>
        </w:rPr>
        <w:t xml:space="preserve">3.19 </w:t>
      </w:r>
      <w:r w:rsidRPr="006312E8">
        <w:rPr>
          <w:rFonts w:ascii="Arial" w:eastAsia="Calibri" w:hAnsi="Arial" w:cs="Arial"/>
          <w:b/>
          <w:lang w:val="es-ES"/>
        </w:rPr>
        <w:tab/>
        <w:t>Expedición de la resolución</w:t>
      </w:r>
    </w:p>
    <w:p w:rsidR="006312E8" w:rsidRPr="006312E8" w:rsidRDefault="006312E8" w:rsidP="006312E8">
      <w:pPr>
        <w:spacing w:after="0" w:line="240" w:lineRule="auto"/>
        <w:ind w:left="709" w:hanging="567"/>
        <w:jc w:val="both"/>
        <w:rPr>
          <w:rFonts w:ascii="Arial" w:eastAsia="Calibri" w:hAnsi="Arial" w:cs="Arial"/>
          <w:lang w:val="es-ES"/>
        </w:rPr>
      </w:pPr>
      <w:r w:rsidRPr="006312E8">
        <w:rPr>
          <w:rFonts w:ascii="Arial" w:eastAsia="Calibri" w:hAnsi="Arial" w:cs="Arial"/>
          <w:lang w:val="es-ES"/>
        </w:rPr>
        <w:tab/>
        <w:t>La extinción de la afectación en uso tramitada y sustentada por la SBN, será aprobada con resolución de la SDAPE, sin perjuicio de la excepción establecida para los casos de extinción de afectación en uso por causal de consolidación de dominio.</w:t>
      </w:r>
    </w:p>
    <w:p w:rsidR="006312E8" w:rsidRPr="006312E8" w:rsidRDefault="006312E8" w:rsidP="006312E8">
      <w:pPr>
        <w:spacing w:after="0" w:line="240" w:lineRule="auto"/>
        <w:ind w:left="709" w:hanging="567"/>
        <w:jc w:val="both"/>
        <w:rPr>
          <w:rFonts w:ascii="Arial" w:eastAsia="Calibri" w:hAnsi="Arial" w:cs="Arial"/>
          <w:lang w:val="es-ES"/>
        </w:rPr>
      </w:pPr>
    </w:p>
    <w:p w:rsidR="006312E8" w:rsidRPr="006312E8" w:rsidRDefault="006312E8" w:rsidP="006312E8">
      <w:pPr>
        <w:spacing w:after="0" w:line="240" w:lineRule="auto"/>
        <w:ind w:left="709" w:hanging="567"/>
        <w:jc w:val="both"/>
        <w:rPr>
          <w:rFonts w:ascii="Arial" w:eastAsia="Calibri" w:hAnsi="Arial" w:cs="Arial"/>
          <w:b/>
          <w:lang w:val="es-ES"/>
        </w:rPr>
      </w:pPr>
      <w:r w:rsidRPr="006312E8">
        <w:rPr>
          <w:rFonts w:ascii="Arial" w:eastAsia="Calibri" w:hAnsi="Arial" w:cs="Arial"/>
          <w:b/>
          <w:lang w:val="es-ES"/>
        </w:rPr>
        <w:t xml:space="preserve">3.20 </w:t>
      </w:r>
      <w:r w:rsidRPr="006312E8">
        <w:rPr>
          <w:rFonts w:ascii="Arial" w:eastAsia="Calibri" w:hAnsi="Arial" w:cs="Arial"/>
          <w:b/>
          <w:lang w:val="es-ES"/>
        </w:rPr>
        <w:tab/>
        <w:t>Notificación de la Resolución</w:t>
      </w:r>
    </w:p>
    <w:p w:rsidR="006312E8" w:rsidRPr="006312E8" w:rsidRDefault="006312E8" w:rsidP="006312E8">
      <w:pPr>
        <w:spacing w:after="0" w:line="240" w:lineRule="auto"/>
        <w:ind w:left="709" w:hanging="567"/>
        <w:jc w:val="both"/>
        <w:rPr>
          <w:rFonts w:ascii="Arial" w:eastAsia="Calibri" w:hAnsi="Arial" w:cs="Arial"/>
          <w:lang w:val="es-ES"/>
        </w:rPr>
      </w:pPr>
      <w:r w:rsidRPr="006312E8">
        <w:rPr>
          <w:rFonts w:ascii="Arial" w:eastAsia="Calibri" w:hAnsi="Arial" w:cs="Arial"/>
          <w:lang w:val="es-ES"/>
        </w:rPr>
        <w:tab/>
        <w:t>La Resolución que expida la SDAPE, mediante la cual se extingue la afectación en uso, será notificada a la entidad que fue afectataria dentro del plazo de cinco (05) días computados a partir de su expedición.</w:t>
      </w:r>
    </w:p>
    <w:p w:rsidR="006312E8" w:rsidRPr="006312E8" w:rsidRDefault="006312E8" w:rsidP="006312E8">
      <w:pPr>
        <w:spacing w:after="0" w:line="240" w:lineRule="auto"/>
        <w:ind w:left="709" w:hanging="567"/>
        <w:jc w:val="both"/>
        <w:rPr>
          <w:rFonts w:ascii="Arial" w:eastAsia="Calibri" w:hAnsi="Arial" w:cs="Arial"/>
          <w:lang w:val="es-ES"/>
        </w:rPr>
      </w:pPr>
    </w:p>
    <w:p w:rsidR="006312E8" w:rsidRPr="006312E8" w:rsidRDefault="006312E8" w:rsidP="006312E8">
      <w:pPr>
        <w:spacing w:after="0" w:line="240" w:lineRule="auto"/>
        <w:ind w:left="709" w:hanging="567"/>
        <w:jc w:val="both"/>
        <w:rPr>
          <w:rFonts w:ascii="Arial" w:eastAsia="Calibri" w:hAnsi="Arial" w:cs="Arial"/>
          <w:b/>
          <w:lang w:val="es-ES"/>
        </w:rPr>
      </w:pPr>
      <w:r w:rsidRPr="006312E8">
        <w:rPr>
          <w:rFonts w:ascii="Arial" w:eastAsia="Calibri" w:hAnsi="Arial" w:cs="Arial"/>
          <w:b/>
          <w:lang w:val="es-ES"/>
        </w:rPr>
        <w:t xml:space="preserve">3.21 </w:t>
      </w:r>
      <w:r w:rsidRPr="006312E8">
        <w:rPr>
          <w:rFonts w:ascii="Arial" w:eastAsia="Calibri" w:hAnsi="Arial" w:cs="Arial"/>
          <w:b/>
          <w:lang w:val="es-ES"/>
        </w:rPr>
        <w:tab/>
        <w:t>De la actualización del SINABIP</w:t>
      </w:r>
    </w:p>
    <w:p w:rsidR="006312E8" w:rsidRPr="006312E8" w:rsidRDefault="006312E8" w:rsidP="006312E8">
      <w:pPr>
        <w:spacing w:after="0" w:line="240" w:lineRule="auto"/>
        <w:ind w:left="709" w:hanging="567"/>
        <w:jc w:val="both"/>
        <w:rPr>
          <w:rFonts w:ascii="Arial" w:eastAsia="Calibri" w:hAnsi="Arial" w:cs="Arial"/>
          <w:lang w:val="es-ES"/>
        </w:rPr>
      </w:pPr>
      <w:r w:rsidRPr="006312E8">
        <w:rPr>
          <w:rFonts w:ascii="Arial" w:eastAsia="Calibri" w:hAnsi="Arial" w:cs="Arial"/>
          <w:lang w:val="es-ES"/>
        </w:rPr>
        <w:tab/>
        <w:t>Consentida que fuera la resolución emitida por la unidad orgánica competente o por la SDAPE, será remitida al Registro de Predios para su inscripción, luego de lo cual se procederá a ejecutar la anotación respectiva en el asiento correspondiente al SINABIP, así como a remitir físicamente a la Subdirección de Registro y Catastro de la SBN, la documentación sustentatoria pertinente.</w:t>
      </w:r>
    </w:p>
    <w:p w:rsidR="006312E8" w:rsidRPr="006312E8" w:rsidRDefault="006312E8" w:rsidP="006312E8">
      <w:pPr>
        <w:spacing w:after="0" w:line="240" w:lineRule="auto"/>
        <w:ind w:left="709" w:hanging="567"/>
        <w:jc w:val="both"/>
        <w:rPr>
          <w:rFonts w:ascii="Arial" w:eastAsia="Calibri" w:hAnsi="Arial" w:cs="Arial"/>
          <w:lang w:val="es-ES"/>
        </w:rPr>
      </w:pPr>
    </w:p>
    <w:p w:rsidR="006312E8" w:rsidRPr="006312E8" w:rsidRDefault="006312E8" w:rsidP="006312E8">
      <w:pPr>
        <w:spacing w:after="0" w:line="240" w:lineRule="auto"/>
        <w:ind w:left="709" w:hanging="567"/>
        <w:jc w:val="both"/>
        <w:rPr>
          <w:rFonts w:ascii="Arial" w:eastAsia="Calibri" w:hAnsi="Arial" w:cs="Arial"/>
          <w:lang w:val="es-ES"/>
        </w:rPr>
      </w:pPr>
      <w:r w:rsidRPr="006312E8">
        <w:rPr>
          <w:rFonts w:ascii="Arial" w:eastAsia="Calibri" w:hAnsi="Arial" w:cs="Arial"/>
          <w:lang w:val="es-ES"/>
        </w:rPr>
        <w:tab/>
        <w:t>Asimismo, la SDAPE o la unidad orgánica competente a cargo del trámite dispondrá el archivo definitivo del Expediente.</w:t>
      </w:r>
    </w:p>
    <w:p w:rsidR="006312E8" w:rsidRPr="006312E8" w:rsidRDefault="006312E8" w:rsidP="006312E8">
      <w:pPr>
        <w:spacing w:after="0" w:line="240" w:lineRule="auto"/>
        <w:ind w:left="709" w:hanging="567"/>
        <w:jc w:val="both"/>
        <w:rPr>
          <w:rFonts w:ascii="Arial" w:eastAsia="Calibri" w:hAnsi="Arial" w:cs="Arial"/>
          <w:lang w:val="es-ES"/>
        </w:rPr>
      </w:pPr>
    </w:p>
    <w:p w:rsidR="006312E8" w:rsidRPr="006312E8" w:rsidRDefault="006312E8" w:rsidP="006312E8">
      <w:pPr>
        <w:spacing w:after="0" w:line="240" w:lineRule="auto"/>
        <w:ind w:left="709" w:hanging="567"/>
        <w:jc w:val="both"/>
        <w:rPr>
          <w:rFonts w:ascii="Arial" w:eastAsia="Calibri" w:hAnsi="Arial" w:cs="Arial"/>
          <w:b/>
          <w:lang w:val="es-ES"/>
        </w:rPr>
      </w:pPr>
      <w:r w:rsidRPr="006312E8">
        <w:rPr>
          <w:rFonts w:ascii="Arial" w:eastAsia="Calibri" w:hAnsi="Arial" w:cs="Arial"/>
          <w:b/>
          <w:lang w:val="es-ES"/>
        </w:rPr>
        <w:t xml:space="preserve">3.22 </w:t>
      </w:r>
      <w:r w:rsidRPr="006312E8">
        <w:rPr>
          <w:rFonts w:ascii="Arial" w:eastAsia="Calibri" w:hAnsi="Arial" w:cs="Arial"/>
          <w:b/>
          <w:lang w:val="es-ES"/>
        </w:rPr>
        <w:tab/>
        <w:t>De la recepción del predio</w:t>
      </w:r>
    </w:p>
    <w:p w:rsidR="006312E8" w:rsidRPr="006312E8" w:rsidRDefault="006312E8" w:rsidP="006312E8">
      <w:pPr>
        <w:spacing w:after="0" w:line="240" w:lineRule="auto"/>
        <w:ind w:left="709" w:hanging="567"/>
        <w:jc w:val="both"/>
        <w:rPr>
          <w:rFonts w:ascii="Arial" w:eastAsia="Calibri" w:hAnsi="Arial" w:cs="Arial"/>
          <w:lang w:val="es-ES"/>
        </w:rPr>
      </w:pPr>
      <w:r w:rsidRPr="006312E8">
        <w:rPr>
          <w:rFonts w:ascii="Arial" w:eastAsia="Calibri" w:hAnsi="Arial" w:cs="Arial"/>
          <w:lang w:val="es-ES"/>
        </w:rPr>
        <w:tab/>
        <w:t>Dentro del plazo de quince (15) días de consentida que fuera la Resolución de extinción de afectación en uso, la unidad orgánica competente o la SBN, de ser el caso, procederá a recibir el predio de propiedad de la entidad o del Estado mediante la correspondiente Acta de Recepción.</w:t>
      </w:r>
    </w:p>
    <w:p w:rsidR="006312E8" w:rsidRPr="006312E8" w:rsidRDefault="006312E8" w:rsidP="006312E8">
      <w:pPr>
        <w:spacing w:after="0" w:line="240" w:lineRule="auto"/>
        <w:ind w:left="709" w:hanging="567"/>
        <w:jc w:val="both"/>
        <w:rPr>
          <w:rFonts w:ascii="Arial" w:eastAsia="Calibri" w:hAnsi="Arial" w:cs="Arial"/>
          <w:lang w:val="es-ES"/>
        </w:rPr>
      </w:pPr>
    </w:p>
    <w:p w:rsidR="006312E8" w:rsidRPr="006312E8" w:rsidRDefault="006312E8" w:rsidP="006312E8">
      <w:pPr>
        <w:spacing w:after="0" w:line="240" w:lineRule="auto"/>
        <w:ind w:left="709" w:hanging="567"/>
        <w:jc w:val="both"/>
        <w:rPr>
          <w:rFonts w:ascii="Arial" w:eastAsia="Calibri" w:hAnsi="Arial" w:cs="Arial"/>
          <w:b/>
          <w:lang w:val="es-ES"/>
        </w:rPr>
      </w:pPr>
      <w:r w:rsidRPr="006312E8">
        <w:rPr>
          <w:rFonts w:ascii="Arial" w:eastAsia="Calibri" w:hAnsi="Arial" w:cs="Arial"/>
          <w:b/>
          <w:lang w:val="es-ES"/>
        </w:rPr>
        <w:t xml:space="preserve">3.23 </w:t>
      </w:r>
      <w:r w:rsidRPr="006312E8">
        <w:rPr>
          <w:rFonts w:ascii="Arial" w:eastAsia="Calibri" w:hAnsi="Arial" w:cs="Arial"/>
          <w:b/>
          <w:lang w:val="es-ES"/>
        </w:rPr>
        <w:tab/>
        <w:t>De las acciones para la recuperación del predio</w:t>
      </w:r>
    </w:p>
    <w:p w:rsidR="006312E8" w:rsidRPr="006312E8" w:rsidRDefault="006312E8" w:rsidP="006312E8">
      <w:pPr>
        <w:spacing w:after="0" w:line="240" w:lineRule="auto"/>
        <w:ind w:left="709" w:hanging="567"/>
        <w:jc w:val="both"/>
        <w:rPr>
          <w:rFonts w:ascii="Arial" w:eastAsia="Calibri" w:hAnsi="Arial" w:cs="Arial"/>
          <w:lang w:val="es-ES"/>
        </w:rPr>
      </w:pPr>
      <w:r w:rsidRPr="006312E8">
        <w:rPr>
          <w:rFonts w:ascii="Arial" w:eastAsia="Calibri" w:hAnsi="Arial" w:cs="Arial"/>
          <w:lang w:val="es-ES"/>
        </w:rPr>
        <w:tab/>
        <w:t>En caso la entidad que fue afectataria no cumpliera dentro del plazo señalado, en el numeral precedente, con la devolución del predio cuya extinción de afectación en uso se ha declarado, la unidad orgánica competente o de ser el caso la SDAPE procederán a requerirle administrativamente otorgándole un plazo adicional de cinco (05) días hábiles, luego de lo cual ante la negativa de devolución se solicitará a la Procuraduría Pública de la entidad pública o de la SBN, se inicien las acciones judiciales tendientes a la recuperación del predio.</w:t>
      </w:r>
    </w:p>
    <w:p w:rsidR="006312E8" w:rsidRDefault="006312E8" w:rsidP="006312E8">
      <w:pPr>
        <w:spacing w:after="0" w:line="240" w:lineRule="auto"/>
        <w:jc w:val="both"/>
        <w:rPr>
          <w:rFonts w:ascii="Arial" w:eastAsia="Calibri" w:hAnsi="Arial" w:cs="Arial"/>
          <w:lang w:val="es-ES"/>
        </w:rPr>
      </w:pPr>
    </w:p>
    <w:p w:rsidR="004735E3" w:rsidRDefault="004735E3" w:rsidP="006312E8">
      <w:pPr>
        <w:spacing w:after="0" w:line="240" w:lineRule="auto"/>
        <w:jc w:val="both"/>
        <w:rPr>
          <w:rFonts w:ascii="Arial" w:eastAsia="Calibri" w:hAnsi="Arial" w:cs="Arial"/>
          <w:lang w:val="es-ES"/>
        </w:rPr>
      </w:pPr>
    </w:p>
    <w:p w:rsidR="004735E3" w:rsidRPr="006312E8" w:rsidRDefault="004735E3"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4. Disposición Transitoria, Complementaria y Final </w:t>
      </w: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Primera.- De la vigencia</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presente Directiva entrará en vigencia al día siguiente de su publicación.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1134" w:hanging="1134"/>
        <w:jc w:val="both"/>
        <w:rPr>
          <w:rFonts w:ascii="Arial" w:eastAsia="Calibri" w:hAnsi="Arial" w:cs="Arial"/>
          <w:b/>
          <w:lang w:val="es-ES"/>
        </w:rPr>
      </w:pPr>
      <w:r w:rsidRPr="006312E8">
        <w:rPr>
          <w:rFonts w:ascii="Arial" w:eastAsia="Calibri" w:hAnsi="Arial" w:cs="Arial"/>
          <w:b/>
          <w:lang w:val="es-ES"/>
        </w:rPr>
        <w:t xml:space="preserve">Segunda.- </w:t>
      </w:r>
      <w:r w:rsidRPr="006312E8">
        <w:rPr>
          <w:rFonts w:ascii="Arial" w:eastAsia="Calibri" w:hAnsi="Arial" w:cs="Arial"/>
          <w:b/>
          <w:lang w:val="es-ES"/>
        </w:rPr>
        <w:tab/>
        <w:t>De los procedimientos iniciados antes de la entrada en vigencia de la presente Directiva</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Los procedimientos de afectación en uso, regularización de afectación en uso y extinción de la afectación en uso que se encuentren en trámite y se hayan iniciado con el Reglamento de la Ley Nº 29151, se regirán por la presente Directiva.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Aquellos procedimientos iniciados bajo la vigencia del Reglamento General de Procedimientos Administrativos de los Bienes de Propiedad Estatal, aprobado con Decreto Supremo Nº 154-2001-EF y sus modificatorias se regirán por la presente Directiva en lo que le fuere aplicable.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Tercera.- Aplicación supletoria</w:t>
      </w:r>
    </w:p>
    <w:p w:rsidR="006312E8" w:rsidRDefault="004735E3" w:rsidP="006312E8">
      <w:pPr>
        <w:spacing w:after="0" w:line="240" w:lineRule="auto"/>
        <w:jc w:val="both"/>
        <w:rPr>
          <w:rFonts w:ascii="Arial" w:eastAsia="Calibri" w:hAnsi="Arial" w:cs="Arial"/>
          <w:lang w:val="es-ES"/>
        </w:rPr>
      </w:pPr>
      <w:r w:rsidRPr="004735E3">
        <w:rPr>
          <w:rFonts w:ascii="Arial" w:eastAsia="Calibri" w:hAnsi="Arial" w:cs="Arial"/>
          <w:lang w:val="es-ES"/>
        </w:rPr>
        <w:t>Las normas previstas en la presente Directiva son de aplicación a los procedimientos de asignación o reasignación de bienes de dominio público, así como al procedimiento de cesión en uso sobre bienes de dominio privado estatal, en lo que fuere pertinente y teniendo en consideración la naturaleza de cada uno de dichos ellos</w:t>
      </w:r>
      <w:r w:rsidR="006312E8" w:rsidRPr="006312E8">
        <w:rPr>
          <w:rFonts w:ascii="Arial" w:eastAsia="Calibri" w:hAnsi="Arial" w:cs="Arial"/>
          <w:lang w:val="es-ES"/>
        </w:rPr>
        <w:t>.</w:t>
      </w:r>
      <w:r>
        <w:rPr>
          <w:rFonts w:ascii="Arial" w:eastAsia="Calibri" w:hAnsi="Arial" w:cs="Arial"/>
          <w:lang w:val="es-ES"/>
        </w:rPr>
        <w:t xml:space="preserve"> (*)</w:t>
      </w:r>
    </w:p>
    <w:p w:rsidR="004735E3" w:rsidRPr="00822FA5" w:rsidRDefault="004735E3" w:rsidP="004735E3">
      <w:pPr>
        <w:spacing w:after="0" w:line="240" w:lineRule="auto"/>
        <w:contextualSpacing/>
        <w:jc w:val="both"/>
        <w:rPr>
          <w:rFonts w:ascii="Arial" w:eastAsia="Calibri" w:hAnsi="Arial" w:cs="Arial"/>
          <w:lang w:val="es-ES"/>
        </w:rPr>
      </w:pPr>
      <w:r w:rsidRPr="00822FA5">
        <w:rPr>
          <w:rFonts w:ascii="Arial" w:eastAsia="Times New Roman" w:hAnsi="Arial" w:cs="Arial"/>
          <w:b/>
          <w:color w:val="FF0000"/>
          <w:sz w:val="16"/>
          <w:szCs w:val="16"/>
          <w:lang w:val="es-ES"/>
        </w:rPr>
        <w:t xml:space="preserve">(*) </w:t>
      </w:r>
      <w:r>
        <w:rPr>
          <w:rFonts w:ascii="Arial" w:eastAsia="Times New Roman" w:hAnsi="Arial" w:cs="Arial"/>
          <w:b/>
          <w:color w:val="FF0000"/>
          <w:sz w:val="16"/>
          <w:szCs w:val="16"/>
          <w:lang w:val="es-ES"/>
        </w:rPr>
        <w:t>Numeral</w:t>
      </w:r>
      <w:r w:rsidRPr="00822FA5">
        <w:rPr>
          <w:rFonts w:ascii="Arial" w:eastAsia="Times New Roman" w:hAnsi="Arial" w:cs="Arial"/>
          <w:b/>
          <w:color w:val="FF0000"/>
          <w:sz w:val="16"/>
          <w:szCs w:val="16"/>
          <w:lang w:val="es-ES"/>
        </w:rPr>
        <w:t xml:space="preserve"> modificado por el Artículo 1 de la Resolución N° 047-2016/SBN, publicada el 01 de julio de 2016</w:t>
      </w:r>
    </w:p>
    <w:p w:rsidR="004735E3" w:rsidRPr="006312E8" w:rsidRDefault="004735E3" w:rsidP="006312E8">
      <w:pPr>
        <w:spacing w:after="0" w:line="240" w:lineRule="auto"/>
        <w:jc w:val="both"/>
        <w:rPr>
          <w:rFonts w:ascii="Arial" w:eastAsia="Calibri" w:hAnsi="Arial" w:cs="Arial"/>
          <w:lang w:val="es-ES"/>
        </w:rPr>
      </w:pPr>
    </w:p>
    <w:p w:rsidR="004735E3" w:rsidRPr="004735E3" w:rsidRDefault="004735E3" w:rsidP="004735E3">
      <w:pPr>
        <w:spacing w:after="0" w:line="240" w:lineRule="auto"/>
        <w:jc w:val="both"/>
        <w:rPr>
          <w:rFonts w:ascii="Arial" w:eastAsia="Calibri" w:hAnsi="Arial" w:cs="Arial"/>
          <w:b/>
          <w:lang w:val="es-ES"/>
        </w:rPr>
      </w:pPr>
      <w:r w:rsidRPr="004735E3">
        <w:rPr>
          <w:rFonts w:ascii="Arial" w:eastAsia="Calibri" w:hAnsi="Arial" w:cs="Arial"/>
          <w:b/>
          <w:lang w:val="es-ES"/>
        </w:rPr>
        <w:t>Cuarta.- De la verificación de cumplimient</w:t>
      </w:r>
      <w:r>
        <w:rPr>
          <w:rFonts w:ascii="Arial" w:eastAsia="Calibri" w:hAnsi="Arial" w:cs="Arial"/>
          <w:b/>
          <w:lang w:val="es-ES"/>
        </w:rPr>
        <w:t>o de la actividad por el Sector</w:t>
      </w:r>
    </w:p>
    <w:p w:rsidR="004735E3" w:rsidRPr="004735E3" w:rsidRDefault="004735E3" w:rsidP="004735E3">
      <w:pPr>
        <w:spacing w:after="0" w:line="240" w:lineRule="auto"/>
        <w:jc w:val="both"/>
        <w:rPr>
          <w:rFonts w:ascii="Arial" w:eastAsia="Calibri" w:hAnsi="Arial" w:cs="Arial"/>
          <w:lang w:val="es-ES"/>
        </w:rPr>
      </w:pPr>
      <w:r w:rsidRPr="004735E3">
        <w:rPr>
          <w:rFonts w:ascii="Arial" w:eastAsia="Calibri" w:hAnsi="Arial" w:cs="Arial"/>
          <w:lang w:val="es-ES"/>
        </w:rPr>
        <w:t>La verificación del cumplimiento de la actividad que desarrolle la entidad afectataria, respecto a aquellos que hayan requerido la autorización a cargo de un Sector, corresponderá ser efectuada por éste, sin perjuicio de la supervisión que efectué la SBN respecto del uso del predio.</w:t>
      </w:r>
    </w:p>
    <w:p w:rsidR="004735E3" w:rsidRPr="004735E3" w:rsidRDefault="004735E3" w:rsidP="004735E3">
      <w:pPr>
        <w:spacing w:after="0" w:line="240" w:lineRule="auto"/>
        <w:jc w:val="both"/>
        <w:rPr>
          <w:rFonts w:ascii="Arial" w:eastAsia="Calibri" w:hAnsi="Arial" w:cs="Arial"/>
          <w:lang w:val="es-ES"/>
        </w:rPr>
      </w:pPr>
    </w:p>
    <w:p w:rsidR="006312E8" w:rsidRPr="006312E8" w:rsidRDefault="004735E3" w:rsidP="004735E3">
      <w:pPr>
        <w:spacing w:after="0" w:line="240" w:lineRule="auto"/>
        <w:jc w:val="both"/>
        <w:rPr>
          <w:rFonts w:ascii="Arial" w:eastAsia="Calibri" w:hAnsi="Arial" w:cs="Arial"/>
          <w:lang w:val="es-ES"/>
        </w:rPr>
      </w:pPr>
      <w:r w:rsidRPr="004735E3">
        <w:rPr>
          <w:rFonts w:ascii="Arial" w:eastAsia="Calibri" w:hAnsi="Arial" w:cs="Arial"/>
          <w:lang w:val="es-ES"/>
        </w:rPr>
        <w:t>La SBN en cumplimiento de su función de supervisión como ente rector del SNBE, puede solicitar información o pronunciamiento técnico a la entidad que autorizó el desarrollo de la actividad, la que deberá ser atendida en un plazo no mayor a treinta (30) días hábile</w:t>
      </w:r>
      <w:r>
        <w:rPr>
          <w:rFonts w:ascii="Arial" w:eastAsia="Calibri" w:hAnsi="Arial" w:cs="Arial"/>
          <w:lang w:val="es-ES"/>
        </w:rPr>
        <w:t>s. (*)</w:t>
      </w:r>
    </w:p>
    <w:p w:rsidR="004735E3" w:rsidRPr="00822FA5" w:rsidRDefault="004735E3" w:rsidP="004735E3">
      <w:pPr>
        <w:spacing w:after="0" w:line="240" w:lineRule="auto"/>
        <w:contextualSpacing/>
        <w:jc w:val="both"/>
        <w:rPr>
          <w:rFonts w:ascii="Arial" w:eastAsia="Calibri" w:hAnsi="Arial" w:cs="Arial"/>
          <w:lang w:val="es-ES"/>
        </w:rPr>
      </w:pPr>
      <w:r w:rsidRPr="00822FA5">
        <w:rPr>
          <w:rFonts w:ascii="Arial" w:eastAsia="Times New Roman" w:hAnsi="Arial" w:cs="Arial"/>
          <w:b/>
          <w:color w:val="FF0000"/>
          <w:sz w:val="16"/>
          <w:szCs w:val="16"/>
          <w:lang w:val="es-ES"/>
        </w:rPr>
        <w:t xml:space="preserve">(*) </w:t>
      </w:r>
      <w:r>
        <w:rPr>
          <w:rFonts w:ascii="Arial" w:eastAsia="Times New Roman" w:hAnsi="Arial" w:cs="Arial"/>
          <w:b/>
          <w:color w:val="FF0000"/>
          <w:sz w:val="16"/>
          <w:szCs w:val="16"/>
          <w:lang w:val="es-ES"/>
        </w:rPr>
        <w:t>Numeral incorporado</w:t>
      </w:r>
      <w:r w:rsidRPr="00822FA5">
        <w:rPr>
          <w:rFonts w:ascii="Arial" w:eastAsia="Times New Roman" w:hAnsi="Arial" w:cs="Arial"/>
          <w:b/>
          <w:color w:val="FF0000"/>
          <w:sz w:val="16"/>
          <w:szCs w:val="16"/>
          <w:lang w:val="es-ES"/>
        </w:rPr>
        <w:t xml:space="preserve"> por el Artículo 1 de la Resolución N° 047-2016/SBN, publicada el 01 de julio de 2016</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Default="006312E8" w:rsidP="006312E8">
      <w:pPr>
        <w:spacing w:after="0" w:line="240" w:lineRule="auto"/>
        <w:jc w:val="both"/>
        <w:rPr>
          <w:rFonts w:ascii="Arial" w:eastAsia="Calibri" w:hAnsi="Arial" w:cs="Arial"/>
          <w:lang w:val="es-ES"/>
        </w:rPr>
      </w:pPr>
    </w:p>
    <w:p w:rsidR="004735E3" w:rsidRDefault="004735E3" w:rsidP="006312E8">
      <w:pPr>
        <w:spacing w:after="0" w:line="240" w:lineRule="auto"/>
        <w:jc w:val="both"/>
        <w:rPr>
          <w:rFonts w:ascii="Arial" w:eastAsia="Calibri" w:hAnsi="Arial" w:cs="Arial"/>
          <w:lang w:val="es-ES"/>
        </w:rPr>
      </w:pPr>
    </w:p>
    <w:p w:rsidR="004735E3" w:rsidRDefault="004735E3" w:rsidP="006312E8">
      <w:pPr>
        <w:spacing w:after="0" w:line="240" w:lineRule="auto"/>
        <w:jc w:val="both"/>
        <w:rPr>
          <w:rFonts w:ascii="Arial" w:eastAsia="Calibri" w:hAnsi="Arial" w:cs="Arial"/>
          <w:lang w:val="es-ES"/>
        </w:rPr>
      </w:pPr>
    </w:p>
    <w:p w:rsidR="004735E3" w:rsidRDefault="004735E3" w:rsidP="006312E8">
      <w:pPr>
        <w:spacing w:after="0" w:line="240" w:lineRule="auto"/>
        <w:jc w:val="both"/>
        <w:rPr>
          <w:rFonts w:ascii="Arial" w:eastAsia="Calibri" w:hAnsi="Arial" w:cs="Arial"/>
          <w:lang w:val="es-ES"/>
        </w:rPr>
      </w:pPr>
    </w:p>
    <w:p w:rsidR="004735E3" w:rsidRDefault="004735E3" w:rsidP="006312E8">
      <w:pPr>
        <w:spacing w:after="0" w:line="240" w:lineRule="auto"/>
        <w:jc w:val="both"/>
        <w:rPr>
          <w:rFonts w:ascii="Arial" w:eastAsia="Calibri" w:hAnsi="Arial" w:cs="Arial"/>
          <w:lang w:val="es-ES"/>
        </w:rPr>
      </w:pPr>
    </w:p>
    <w:p w:rsidR="004735E3" w:rsidRDefault="004735E3" w:rsidP="006312E8">
      <w:pPr>
        <w:spacing w:after="0" w:line="240" w:lineRule="auto"/>
        <w:jc w:val="both"/>
        <w:rPr>
          <w:rFonts w:ascii="Arial" w:eastAsia="Calibri" w:hAnsi="Arial" w:cs="Arial"/>
          <w:lang w:val="es-ES"/>
        </w:rPr>
      </w:pPr>
    </w:p>
    <w:p w:rsidR="004735E3" w:rsidRDefault="004735E3" w:rsidP="006312E8">
      <w:pPr>
        <w:spacing w:after="0" w:line="240" w:lineRule="auto"/>
        <w:jc w:val="both"/>
        <w:rPr>
          <w:rFonts w:ascii="Arial" w:eastAsia="Calibri" w:hAnsi="Arial" w:cs="Arial"/>
          <w:lang w:val="es-ES"/>
        </w:rPr>
      </w:pPr>
    </w:p>
    <w:p w:rsidR="004735E3" w:rsidRDefault="004735E3" w:rsidP="006312E8">
      <w:pPr>
        <w:spacing w:after="0" w:line="240" w:lineRule="auto"/>
        <w:jc w:val="both"/>
        <w:rPr>
          <w:rFonts w:ascii="Arial" w:eastAsia="Calibri" w:hAnsi="Arial" w:cs="Arial"/>
          <w:lang w:val="es-ES"/>
        </w:rPr>
      </w:pPr>
    </w:p>
    <w:p w:rsidR="004735E3" w:rsidRDefault="004735E3" w:rsidP="006312E8">
      <w:pPr>
        <w:spacing w:after="0" w:line="240" w:lineRule="auto"/>
        <w:jc w:val="both"/>
        <w:rPr>
          <w:rFonts w:ascii="Arial" w:eastAsia="Calibri" w:hAnsi="Arial" w:cs="Arial"/>
          <w:lang w:val="es-ES"/>
        </w:rPr>
      </w:pPr>
    </w:p>
    <w:p w:rsidR="004735E3" w:rsidRDefault="004735E3" w:rsidP="006312E8">
      <w:pPr>
        <w:spacing w:after="0" w:line="240" w:lineRule="auto"/>
        <w:jc w:val="both"/>
        <w:rPr>
          <w:rFonts w:ascii="Arial" w:eastAsia="Calibri" w:hAnsi="Arial" w:cs="Arial"/>
          <w:lang w:val="es-ES"/>
        </w:rPr>
      </w:pPr>
    </w:p>
    <w:p w:rsidR="004735E3" w:rsidRDefault="004735E3" w:rsidP="006312E8">
      <w:pPr>
        <w:spacing w:after="0" w:line="240" w:lineRule="auto"/>
        <w:jc w:val="both"/>
        <w:rPr>
          <w:rFonts w:ascii="Arial" w:eastAsia="Calibri" w:hAnsi="Arial" w:cs="Arial"/>
          <w:lang w:val="es-ES"/>
        </w:rPr>
      </w:pPr>
    </w:p>
    <w:p w:rsidR="004735E3" w:rsidRDefault="004735E3" w:rsidP="006312E8">
      <w:pPr>
        <w:spacing w:after="0" w:line="240" w:lineRule="auto"/>
        <w:jc w:val="both"/>
        <w:rPr>
          <w:rFonts w:ascii="Arial" w:eastAsia="Calibri" w:hAnsi="Arial" w:cs="Arial"/>
          <w:lang w:val="es-ES"/>
        </w:rPr>
      </w:pPr>
    </w:p>
    <w:p w:rsidR="004735E3" w:rsidRDefault="004735E3" w:rsidP="006312E8">
      <w:pPr>
        <w:spacing w:after="0" w:line="240" w:lineRule="auto"/>
        <w:jc w:val="both"/>
        <w:rPr>
          <w:rFonts w:ascii="Arial" w:eastAsia="Calibri" w:hAnsi="Arial" w:cs="Arial"/>
          <w:lang w:val="es-ES"/>
        </w:rPr>
      </w:pPr>
    </w:p>
    <w:p w:rsidR="004735E3" w:rsidRDefault="004735E3" w:rsidP="006312E8">
      <w:pPr>
        <w:spacing w:after="0" w:line="240" w:lineRule="auto"/>
        <w:jc w:val="both"/>
        <w:rPr>
          <w:rFonts w:ascii="Arial" w:eastAsia="Calibri" w:hAnsi="Arial" w:cs="Arial"/>
          <w:lang w:val="es-ES"/>
        </w:rPr>
      </w:pPr>
    </w:p>
    <w:p w:rsidR="004735E3" w:rsidRDefault="004735E3" w:rsidP="006312E8">
      <w:pPr>
        <w:spacing w:after="0" w:line="240" w:lineRule="auto"/>
        <w:jc w:val="both"/>
        <w:rPr>
          <w:rFonts w:ascii="Arial" w:eastAsia="Calibri" w:hAnsi="Arial" w:cs="Arial"/>
          <w:lang w:val="es-ES"/>
        </w:rPr>
      </w:pPr>
    </w:p>
    <w:p w:rsidR="00BE4D03" w:rsidRPr="00BE4D03" w:rsidRDefault="00BE4D03" w:rsidP="00BE4D03">
      <w:pPr>
        <w:jc w:val="center"/>
        <w:rPr>
          <w:rFonts w:ascii="Arial" w:hAnsi="Arial" w:cs="Arial"/>
          <w:b/>
          <w:sz w:val="28"/>
          <w:szCs w:val="28"/>
        </w:rPr>
      </w:pPr>
      <w:r w:rsidRPr="00BE4D03">
        <w:rPr>
          <w:rFonts w:ascii="Arial" w:hAnsi="Arial" w:cs="Arial"/>
          <w:b/>
          <w:sz w:val="28"/>
          <w:szCs w:val="28"/>
        </w:rPr>
        <w:t>RESOLUCIÓN N° 070-2015/SBN</w:t>
      </w:r>
    </w:p>
    <w:p w:rsidR="00BE4D03" w:rsidRDefault="00BE4D03" w:rsidP="00BE4D03">
      <w:pPr>
        <w:spacing w:after="0" w:line="240" w:lineRule="auto"/>
        <w:jc w:val="center"/>
        <w:rPr>
          <w:rFonts w:ascii="Arial" w:hAnsi="Arial" w:cs="Arial"/>
          <w:b/>
          <w:caps/>
          <w:color w:val="000000"/>
          <w:sz w:val="20"/>
          <w:szCs w:val="20"/>
          <w:shd w:val="clear" w:color="auto" w:fill="FFFFFF"/>
        </w:rPr>
      </w:pPr>
      <w:r w:rsidRPr="00BE4D03">
        <w:rPr>
          <w:rFonts w:ascii="Arial" w:hAnsi="Arial" w:cs="Arial"/>
          <w:b/>
          <w:caps/>
          <w:color w:val="000000"/>
          <w:sz w:val="20"/>
          <w:szCs w:val="20"/>
          <w:shd w:val="clear" w:color="auto" w:fill="FFFFFF"/>
        </w:rPr>
        <w:t>Aprueban la Directiva Nº 002-2015/ SBN, denominada "Lineamientos para la Determinación de la Contraprestación del Derecho de Servidumbre de Terrenos Eriazos de Propiedad Estatal para Proyectos de Inversión"</w:t>
      </w:r>
    </w:p>
    <w:p w:rsidR="00BE4D03" w:rsidRPr="00604D0B" w:rsidRDefault="00BE4D03" w:rsidP="00604D0B">
      <w:pPr>
        <w:spacing w:after="0" w:line="240" w:lineRule="auto"/>
        <w:jc w:val="right"/>
        <w:rPr>
          <w:rFonts w:ascii="Arial" w:hAnsi="Arial" w:cs="Arial"/>
          <w:b/>
          <w:caps/>
          <w:color w:val="000000"/>
          <w:sz w:val="20"/>
          <w:szCs w:val="20"/>
          <w:shd w:val="clear" w:color="auto" w:fill="FFFFFF"/>
        </w:rPr>
      </w:pPr>
      <w:r w:rsidRPr="00BE4D03">
        <w:rPr>
          <w:rFonts w:ascii="Arial" w:hAnsi="Arial" w:cs="Arial"/>
          <w:b/>
          <w:caps/>
          <w:color w:val="000000"/>
          <w:sz w:val="20"/>
          <w:szCs w:val="20"/>
        </w:rPr>
        <w:br/>
      </w:r>
      <w:r w:rsidR="00604D0B" w:rsidRPr="00604D0B">
        <w:rPr>
          <w:rFonts w:ascii="Arial" w:hAnsi="Arial" w:cs="Arial"/>
          <w:b/>
          <w:caps/>
          <w:color w:val="000000"/>
          <w:sz w:val="20"/>
          <w:szCs w:val="20"/>
        </w:rPr>
        <w:t>f</w:t>
      </w:r>
      <w:r w:rsidR="00604D0B">
        <w:rPr>
          <w:rFonts w:ascii="Arial" w:hAnsi="Arial" w:cs="Arial"/>
          <w:b/>
          <w:color w:val="000000"/>
          <w:sz w:val="20"/>
          <w:szCs w:val="20"/>
        </w:rPr>
        <w:t>echa de publicación</w:t>
      </w:r>
      <w:r w:rsidR="00604D0B" w:rsidRPr="00604D0B">
        <w:rPr>
          <w:rFonts w:ascii="Arial" w:hAnsi="Arial" w:cs="Arial"/>
          <w:b/>
          <w:caps/>
          <w:color w:val="000000"/>
          <w:sz w:val="20"/>
          <w:szCs w:val="20"/>
        </w:rPr>
        <w:t>: 14-10-2015</w:t>
      </w:r>
      <w:r w:rsidRPr="00604D0B">
        <w:rPr>
          <w:rFonts w:ascii="Arial" w:hAnsi="Arial" w:cs="Arial"/>
          <w:b/>
          <w:caps/>
          <w:color w:val="000000"/>
          <w:sz w:val="20"/>
          <w:szCs w:val="20"/>
        </w:rPr>
        <w:br/>
      </w:r>
    </w:p>
    <w:p w:rsidR="00BE4D03" w:rsidRPr="00747E3E" w:rsidRDefault="00BE4D03" w:rsidP="00BE4D03">
      <w:pPr>
        <w:spacing w:after="0" w:line="240" w:lineRule="auto"/>
        <w:jc w:val="both"/>
        <w:rPr>
          <w:rFonts w:ascii="Arial" w:hAnsi="Arial" w:cs="Arial"/>
          <w:b/>
          <w:color w:val="000000"/>
          <w:shd w:val="clear" w:color="auto" w:fill="FFFFFF"/>
        </w:rPr>
      </w:pPr>
      <w:r w:rsidRPr="00747E3E">
        <w:rPr>
          <w:rFonts w:ascii="Arial" w:hAnsi="Arial" w:cs="Arial"/>
          <w:b/>
          <w:color w:val="000000"/>
          <w:shd w:val="clear" w:color="auto" w:fill="FFFFFF"/>
        </w:rPr>
        <w:t>San Isidro,12 de octubre de 2015</w:t>
      </w:r>
    </w:p>
    <w:p w:rsidR="000977B2" w:rsidRPr="00747E3E" w:rsidRDefault="00BE4D03" w:rsidP="00BE4D03">
      <w:pPr>
        <w:spacing w:after="0" w:line="240" w:lineRule="auto"/>
        <w:jc w:val="both"/>
        <w:rPr>
          <w:rFonts w:ascii="Arial" w:hAnsi="Arial" w:cs="Arial"/>
          <w:color w:val="000000"/>
          <w:shd w:val="clear" w:color="auto" w:fill="FFFFFF"/>
        </w:rPr>
      </w:pPr>
      <w:r w:rsidRPr="00747E3E">
        <w:rPr>
          <w:rFonts w:ascii="Arial" w:hAnsi="Arial" w:cs="Arial"/>
          <w:color w:val="000000"/>
        </w:rPr>
        <w:br/>
      </w:r>
      <w:r w:rsidRPr="00747E3E">
        <w:rPr>
          <w:rFonts w:ascii="Arial" w:hAnsi="Arial" w:cs="Arial"/>
          <w:b/>
          <w:color w:val="000000"/>
          <w:shd w:val="clear" w:color="auto" w:fill="FFFFFF"/>
        </w:rPr>
        <w:t>VISTO:</w:t>
      </w:r>
      <w:r w:rsidRPr="00747E3E">
        <w:rPr>
          <w:rFonts w:ascii="Arial" w:hAnsi="Arial" w:cs="Arial"/>
          <w:b/>
          <w:color w:val="000000"/>
        </w:rPr>
        <w:br/>
      </w:r>
      <w:r w:rsidRPr="00747E3E">
        <w:rPr>
          <w:rFonts w:ascii="Arial" w:hAnsi="Arial" w:cs="Arial"/>
          <w:color w:val="000000"/>
        </w:rPr>
        <w:br/>
      </w:r>
      <w:r w:rsidRPr="00747E3E">
        <w:rPr>
          <w:rFonts w:ascii="Arial" w:hAnsi="Arial" w:cs="Arial"/>
          <w:color w:val="000000"/>
          <w:shd w:val="clear" w:color="auto" w:fill="FFFFFF"/>
        </w:rPr>
        <w:t>El Informe Nº 152-2015/SBN-DNR-SDNC de fecha 08 de setiembre de 2015, emitido por la Subdirección de Normas y Capacitación de la Dirección de Normas y Registro, y;</w:t>
      </w:r>
    </w:p>
    <w:p w:rsidR="000977B2" w:rsidRPr="00747E3E" w:rsidRDefault="00BE4D03" w:rsidP="00BE4D03">
      <w:pPr>
        <w:spacing w:after="0" w:line="240" w:lineRule="auto"/>
        <w:jc w:val="both"/>
        <w:rPr>
          <w:rFonts w:ascii="Arial" w:hAnsi="Arial" w:cs="Arial"/>
          <w:color w:val="000000"/>
          <w:shd w:val="clear" w:color="auto" w:fill="FFFFFF"/>
        </w:rPr>
      </w:pPr>
      <w:r w:rsidRPr="00747E3E">
        <w:rPr>
          <w:rFonts w:ascii="Arial" w:hAnsi="Arial" w:cs="Arial"/>
          <w:color w:val="000000"/>
        </w:rPr>
        <w:br/>
      </w:r>
      <w:r w:rsidRPr="00747E3E">
        <w:rPr>
          <w:rFonts w:ascii="Arial" w:hAnsi="Arial" w:cs="Arial"/>
          <w:b/>
          <w:color w:val="000000"/>
          <w:shd w:val="clear" w:color="auto" w:fill="FFFFFF"/>
        </w:rPr>
        <w:t>CONSIDERANDO:</w:t>
      </w:r>
      <w:r w:rsidRPr="00747E3E">
        <w:rPr>
          <w:rFonts w:ascii="Arial" w:hAnsi="Arial" w:cs="Arial"/>
          <w:b/>
          <w:color w:val="000000"/>
        </w:rPr>
        <w:br/>
      </w:r>
      <w:r w:rsidRPr="00747E3E">
        <w:rPr>
          <w:rFonts w:ascii="Arial" w:hAnsi="Arial" w:cs="Arial"/>
          <w:color w:val="000000"/>
        </w:rPr>
        <w:br/>
      </w:r>
      <w:r w:rsidRPr="00747E3E">
        <w:rPr>
          <w:rFonts w:ascii="Arial" w:hAnsi="Arial" w:cs="Arial"/>
          <w:color w:val="000000"/>
          <w:shd w:val="clear" w:color="auto" w:fill="FFFFFF"/>
        </w:rPr>
        <w:t>Que, la Superintendencia Nacional de</w:t>
      </w:r>
      <w:bookmarkStart w:id="268" w:name="more"/>
      <w:bookmarkEnd w:id="268"/>
      <w:r w:rsidRPr="00747E3E">
        <w:rPr>
          <w:rStyle w:val="apple-converted-space"/>
          <w:rFonts w:ascii="Arial" w:hAnsi="Arial" w:cs="Arial"/>
          <w:color w:val="000000"/>
          <w:shd w:val="clear" w:color="auto" w:fill="FFFFFF"/>
        </w:rPr>
        <w:t> </w:t>
      </w:r>
      <w:r w:rsidRPr="00747E3E">
        <w:rPr>
          <w:rFonts w:ascii="Arial" w:hAnsi="Arial" w:cs="Arial"/>
          <w:color w:val="000000"/>
          <w:shd w:val="clear" w:color="auto" w:fill="FFFFFF"/>
        </w:rPr>
        <w:t>Bienes Estatales - SBN es un organismo público ejecutor, adscrito al Ministerio de Vivienda, Construcción y Saneamiento, y el Ente Rector del Sistema Nacional de Bienes Estatales - SNBE, responsable de normar los actos de adquisición, disposición, administración y supervisión de los bienes estatales, así como de ejecutar dichos actos respecto de los bienes cuya administración está a su cargo, de acuerdo a la normatividad vigente, gozando de autonomía económica, presupuestal, financiera, técnica y funcional, de conformidad a lo establecido en la Ley Nº 29151, Ley General del Sistema Nacional de Bienes Estatales y su Reglamento, aprobado por el Decreto Supremo Nº 007-2008-VIVIENDA;</w:t>
      </w:r>
    </w:p>
    <w:p w:rsidR="000977B2" w:rsidRPr="00747E3E" w:rsidRDefault="00BE4D03" w:rsidP="00BE4D03">
      <w:pPr>
        <w:spacing w:after="0" w:line="240" w:lineRule="auto"/>
        <w:jc w:val="both"/>
        <w:rPr>
          <w:rFonts w:ascii="Arial" w:hAnsi="Arial" w:cs="Arial"/>
          <w:color w:val="000000"/>
          <w:shd w:val="clear" w:color="auto" w:fill="FFFFFF"/>
        </w:rPr>
      </w:pPr>
      <w:r w:rsidRPr="00747E3E">
        <w:rPr>
          <w:rFonts w:ascii="Arial" w:hAnsi="Arial" w:cs="Arial"/>
          <w:color w:val="000000"/>
        </w:rPr>
        <w:br/>
      </w:r>
      <w:r w:rsidRPr="00747E3E">
        <w:rPr>
          <w:rFonts w:ascii="Arial" w:hAnsi="Arial" w:cs="Arial"/>
          <w:color w:val="000000"/>
          <w:shd w:val="clear" w:color="auto" w:fill="FFFFFF"/>
        </w:rPr>
        <w:t>Que, el literal b) del numeral 14.1 del artículo 14º de la citada Ley, concordante con el literal a) del numeral 9.1 del artículo 9º de su Reglamento, aprobado por el Decreto Supremo Nº 007-2008-VIVIENDA, señalan que la SBN,</w:t>
      </w:r>
      <w:r w:rsidR="000977B2" w:rsidRPr="00747E3E">
        <w:rPr>
          <w:rFonts w:ascii="Arial" w:hAnsi="Arial" w:cs="Arial"/>
          <w:color w:val="000000"/>
          <w:shd w:val="clear" w:color="auto" w:fill="FFFFFF"/>
        </w:rPr>
        <w:t xml:space="preserve"> </w:t>
      </w:r>
      <w:r w:rsidRPr="00747E3E">
        <w:rPr>
          <w:rFonts w:ascii="Arial" w:hAnsi="Arial" w:cs="Arial"/>
          <w:color w:val="000000"/>
          <w:shd w:val="clear" w:color="auto" w:fill="FFFFFF"/>
        </w:rPr>
        <w:t>en calidad de ente rector del SNBE, tiene la función de expedir directivas o disposiciones legales, entre otros, sobre los actos de administración de bienes estatales, de cumplimiento obligatorio por parte de las entidades que conforman el SNBE;</w:t>
      </w:r>
    </w:p>
    <w:p w:rsidR="00BE4D03" w:rsidRPr="00747E3E" w:rsidRDefault="00BE4D03" w:rsidP="00BE4D03">
      <w:pPr>
        <w:spacing w:after="0" w:line="240" w:lineRule="auto"/>
        <w:jc w:val="both"/>
        <w:rPr>
          <w:rFonts w:ascii="Arial" w:hAnsi="Arial" w:cs="Arial"/>
          <w:color w:val="000000"/>
          <w:shd w:val="clear" w:color="auto" w:fill="FFFFFF"/>
        </w:rPr>
      </w:pPr>
      <w:r w:rsidRPr="00747E3E">
        <w:rPr>
          <w:rFonts w:ascii="Arial" w:hAnsi="Arial" w:cs="Arial"/>
          <w:color w:val="000000"/>
        </w:rPr>
        <w:br/>
      </w:r>
      <w:r w:rsidRPr="00747E3E">
        <w:rPr>
          <w:rFonts w:ascii="Arial" w:hAnsi="Arial" w:cs="Arial"/>
          <w:color w:val="000000"/>
          <w:shd w:val="clear" w:color="auto" w:fill="FFFFFF"/>
        </w:rPr>
        <w:t>Que, el artículo 18º y 19º de</w:t>
      </w:r>
      <w:r w:rsidR="00604D0B" w:rsidRPr="00747E3E">
        <w:rPr>
          <w:rFonts w:ascii="Arial" w:hAnsi="Arial" w:cs="Arial"/>
          <w:color w:val="000000"/>
          <w:shd w:val="clear" w:color="auto" w:fill="FFFFFF"/>
        </w:rPr>
        <w:t xml:space="preserve"> </w:t>
      </w:r>
      <w:r w:rsidRPr="00747E3E">
        <w:rPr>
          <w:rFonts w:ascii="Arial" w:hAnsi="Arial" w:cs="Arial"/>
          <w:color w:val="000000"/>
          <w:shd w:val="clear" w:color="auto" w:fill="FFFFFF"/>
        </w:rPr>
        <w:t>la Ley Nº 30327, Ley de Promoción de las Inversiones para el Crecimiento Económico y el Desarrollo Sostenible, señala que el titular de un proyecto de inversión puede solicitar a la autoridad sectorial competente la servidumbre sobre los terrenos eriazos de propiedad estatal que sean necesarios para el desarrollo del proyecto de inversión, y de ser el caso la SBN en un plazo no mayor de quince (15) días hábiles, de recibido el informe con la opinión técnica favorable de la autoridad sectorial competente, efectúa el correspondiente diagnóstico técnico-legal respecto de la titularidad del terreno eriazo solicitado y realiza la entrega provisional de este, mientras continúa el procedimiento de otorgamiento de servidumbre definitiva;</w:t>
      </w:r>
    </w:p>
    <w:p w:rsidR="000977B2" w:rsidRPr="00747E3E" w:rsidRDefault="000977B2" w:rsidP="00BE4D03">
      <w:pPr>
        <w:spacing w:after="0" w:line="240" w:lineRule="auto"/>
        <w:jc w:val="both"/>
        <w:rPr>
          <w:rFonts w:ascii="Arial" w:hAnsi="Arial" w:cs="Arial"/>
          <w:color w:val="000000"/>
          <w:shd w:val="clear" w:color="auto" w:fill="FFFFFF"/>
        </w:rPr>
      </w:pPr>
    </w:p>
    <w:p w:rsidR="000977B2" w:rsidRPr="00747E3E" w:rsidRDefault="00BE4D03" w:rsidP="00BE4D03">
      <w:pPr>
        <w:spacing w:after="0" w:line="240" w:lineRule="auto"/>
        <w:jc w:val="both"/>
        <w:rPr>
          <w:rFonts w:ascii="Arial" w:hAnsi="Arial" w:cs="Arial"/>
          <w:color w:val="000000"/>
          <w:shd w:val="clear" w:color="auto" w:fill="FFFFFF"/>
        </w:rPr>
      </w:pPr>
      <w:r w:rsidRPr="00747E3E">
        <w:rPr>
          <w:rFonts w:ascii="Arial" w:hAnsi="Arial" w:cs="Arial"/>
          <w:color w:val="000000"/>
          <w:shd w:val="clear" w:color="auto" w:fill="FFFFFF"/>
        </w:rPr>
        <w:t>Que, el artículo 20º de la mencionada Ley, establece que posteriormente a la entrega provisional del terreno, la SBN dispondrá la realización de la valuación comercial del mismo para fines de la servidumbre, que será efectuada a costo del titular del proyecto de inversión, por un organismo o empresa con acreditada experiencia, de acuerdo con la normativa vigente; valuación que será utilizada para el cálculo de la servidumbre a partir de la entrega provisional;</w:t>
      </w:r>
    </w:p>
    <w:p w:rsidR="000977B2" w:rsidRPr="00747E3E" w:rsidRDefault="00BE4D03" w:rsidP="00BE4D03">
      <w:pPr>
        <w:spacing w:after="0" w:line="240" w:lineRule="auto"/>
        <w:jc w:val="both"/>
        <w:rPr>
          <w:rFonts w:ascii="Arial" w:hAnsi="Arial" w:cs="Arial"/>
          <w:color w:val="000000"/>
          <w:shd w:val="clear" w:color="auto" w:fill="FFFFFF"/>
        </w:rPr>
      </w:pPr>
      <w:r w:rsidRPr="00747E3E">
        <w:rPr>
          <w:rFonts w:ascii="Arial" w:hAnsi="Arial" w:cs="Arial"/>
          <w:color w:val="000000"/>
        </w:rPr>
        <w:br/>
      </w:r>
      <w:r w:rsidRPr="00747E3E">
        <w:rPr>
          <w:rFonts w:ascii="Arial" w:hAnsi="Arial" w:cs="Arial"/>
          <w:color w:val="000000"/>
          <w:shd w:val="clear" w:color="auto" w:fill="FFFFFF"/>
        </w:rPr>
        <w:t>Que, el numeral 21.2 del artículo 21º de la citada Ley, establece que en caso de que el titular de un proyecto de inversión acepte la valuación comercial del terreno solicitado, el titular del mismo aprueba mediante resolución la constitución del derecho de servidumbre y la forma de pago para la disposición del terreno, la cual se inscribe por su sola notificación en el Registro de Predios de la SUNARP, y su anotación en el Sistema de información Nacional de Bienes Estatales (SINABIP);</w:t>
      </w:r>
    </w:p>
    <w:p w:rsidR="000977B2" w:rsidRPr="00747E3E" w:rsidRDefault="00BE4D03" w:rsidP="00BE4D03">
      <w:pPr>
        <w:spacing w:after="0" w:line="240" w:lineRule="auto"/>
        <w:jc w:val="both"/>
        <w:rPr>
          <w:rFonts w:ascii="Arial" w:hAnsi="Arial" w:cs="Arial"/>
          <w:color w:val="000000"/>
          <w:shd w:val="clear" w:color="auto" w:fill="FFFFFF"/>
        </w:rPr>
      </w:pPr>
      <w:r w:rsidRPr="00747E3E">
        <w:rPr>
          <w:rFonts w:ascii="Arial" w:hAnsi="Arial" w:cs="Arial"/>
          <w:color w:val="000000"/>
        </w:rPr>
        <w:br/>
      </w:r>
      <w:r w:rsidRPr="00747E3E">
        <w:rPr>
          <w:rFonts w:ascii="Arial" w:hAnsi="Arial" w:cs="Arial"/>
          <w:color w:val="000000"/>
          <w:shd w:val="clear" w:color="auto" w:fill="FFFFFF"/>
        </w:rPr>
        <w:t>Que,</w:t>
      </w:r>
      <w:r w:rsidR="000977B2" w:rsidRPr="00747E3E">
        <w:rPr>
          <w:rFonts w:ascii="Arial" w:hAnsi="Arial" w:cs="Arial"/>
          <w:color w:val="000000"/>
          <w:shd w:val="clear" w:color="auto" w:fill="FFFFFF"/>
        </w:rPr>
        <w:t xml:space="preserve"> </w:t>
      </w:r>
      <w:r w:rsidRPr="00747E3E">
        <w:rPr>
          <w:rFonts w:ascii="Arial" w:hAnsi="Arial" w:cs="Arial"/>
          <w:color w:val="000000"/>
          <w:shd w:val="clear" w:color="auto" w:fill="FFFFFF"/>
        </w:rPr>
        <w:t>mediante el documento del visto, la Subdirección de Normas y Capacitación</w:t>
      </w:r>
      <w:r w:rsidR="000977B2" w:rsidRPr="00747E3E">
        <w:rPr>
          <w:rFonts w:ascii="Arial" w:hAnsi="Arial" w:cs="Arial"/>
          <w:color w:val="000000"/>
          <w:shd w:val="clear" w:color="auto" w:fill="FFFFFF"/>
        </w:rPr>
        <w:t xml:space="preserve"> </w:t>
      </w:r>
      <w:r w:rsidRPr="00747E3E">
        <w:rPr>
          <w:rFonts w:ascii="Arial" w:hAnsi="Arial" w:cs="Arial"/>
          <w:color w:val="000000"/>
          <w:shd w:val="clear" w:color="auto" w:fill="FFFFFF"/>
        </w:rPr>
        <w:t>de la Dirección de Normas y Registro, sustenta la propuesta de directiva denominada "Lineamientos para la Determinación de la Contraprestación del Derecho de Servidumbre de Terrenos Eriazos de Propiedad Estatal para Proyectos de Inversión",</w:t>
      </w:r>
      <w:r w:rsidR="000977B2" w:rsidRPr="00747E3E">
        <w:rPr>
          <w:rFonts w:ascii="Arial" w:hAnsi="Arial" w:cs="Arial"/>
          <w:color w:val="000000"/>
          <w:shd w:val="clear" w:color="auto" w:fill="FFFFFF"/>
        </w:rPr>
        <w:t xml:space="preserve"> </w:t>
      </w:r>
      <w:r w:rsidRPr="00747E3E">
        <w:rPr>
          <w:rFonts w:ascii="Arial" w:hAnsi="Arial" w:cs="Arial"/>
          <w:color w:val="000000"/>
          <w:shd w:val="clear" w:color="auto" w:fill="FFFFFF"/>
        </w:rPr>
        <w:t>con la finalidad de</w:t>
      </w:r>
      <w:r w:rsidR="000977B2" w:rsidRPr="00747E3E">
        <w:rPr>
          <w:rFonts w:ascii="Arial" w:hAnsi="Arial" w:cs="Arial"/>
          <w:color w:val="000000"/>
          <w:shd w:val="clear" w:color="auto" w:fill="FFFFFF"/>
        </w:rPr>
        <w:t xml:space="preserve"> </w:t>
      </w:r>
      <w:r w:rsidRPr="00747E3E">
        <w:rPr>
          <w:rFonts w:ascii="Arial" w:hAnsi="Arial" w:cs="Arial"/>
          <w:color w:val="000000"/>
          <w:shd w:val="clear" w:color="auto" w:fill="FFFFFF"/>
        </w:rPr>
        <w:t>optimizar la determinación de la contraprestación del derecho de servidumbre sobre terrenos eriazos de propiedad estatal</w:t>
      </w:r>
      <w:r w:rsidR="000977B2" w:rsidRPr="00747E3E">
        <w:rPr>
          <w:rFonts w:ascii="Arial" w:hAnsi="Arial" w:cs="Arial"/>
          <w:color w:val="000000"/>
          <w:shd w:val="clear" w:color="auto" w:fill="FFFFFF"/>
        </w:rPr>
        <w:t xml:space="preserve"> </w:t>
      </w:r>
      <w:r w:rsidRPr="00747E3E">
        <w:rPr>
          <w:rFonts w:ascii="Arial" w:hAnsi="Arial" w:cs="Arial"/>
          <w:color w:val="000000"/>
          <w:shd w:val="clear" w:color="auto" w:fill="FFFFFF"/>
        </w:rPr>
        <w:t>de libre disponibilidad requeridos por los titulares de proyectos de inversión, en el marco de lo establecido en la Ley Nº 30327, Ley de Promoción de las Inversiones para el Crecimiento Económico y el Desarrollo Sostenible;</w:t>
      </w:r>
    </w:p>
    <w:p w:rsidR="00BE4D03" w:rsidRPr="00747E3E" w:rsidRDefault="00BE4D03" w:rsidP="00BE4D03">
      <w:pPr>
        <w:spacing w:after="0" w:line="240" w:lineRule="auto"/>
        <w:jc w:val="both"/>
        <w:rPr>
          <w:rFonts w:ascii="Arial" w:hAnsi="Arial" w:cs="Arial"/>
          <w:color w:val="000000"/>
          <w:shd w:val="clear" w:color="auto" w:fill="FFFFFF"/>
        </w:rPr>
      </w:pPr>
      <w:r w:rsidRPr="00747E3E">
        <w:rPr>
          <w:rFonts w:ascii="Arial" w:hAnsi="Arial" w:cs="Arial"/>
          <w:color w:val="000000"/>
          <w:shd w:val="clear" w:color="auto" w:fill="FFFFFF"/>
        </w:rPr>
        <w:t>Que, en tal sentido, resulta necesario aprobar la directiva denominada "Lineamientos para la Determinación de la Contraprestación del Derecho de Servidumbre de Terrenos Eriazos de Propiedad Estatal para Proyectos de Inversión";</w:t>
      </w:r>
      <w:r w:rsidRPr="00747E3E">
        <w:rPr>
          <w:rFonts w:ascii="Arial" w:hAnsi="Arial" w:cs="Arial"/>
          <w:color w:val="000000"/>
        </w:rPr>
        <w:br/>
      </w:r>
      <w:r w:rsidRPr="00747E3E">
        <w:rPr>
          <w:rFonts w:ascii="Arial" w:hAnsi="Arial" w:cs="Arial"/>
          <w:color w:val="000000"/>
        </w:rPr>
        <w:br/>
      </w:r>
      <w:r w:rsidRPr="00747E3E">
        <w:rPr>
          <w:rFonts w:ascii="Arial" w:hAnsi="Arial" w:cs="Arial"/>
          <w:color w:val="000000"/>
          <w:shd w:val="clear" w:color="auto" w:fill="FFFFFF"/>
        </w:rPr>
        <w:t>Con los visados dela Secretaría General, la Oficina de Planeamiento y Presupuesto, la Oficina de Asesoría Jurídica</w:t>
      </w:r>
      <w:r w:rsidR="000977B2" w:rsidRPr="00747E3E">
        <w:rPr>
          <w:rFonts w:ascii="Arial" w:hAnsi="Arial" w:cs="Arial"/>
          <w:color w:val="000000"/>
          <w:shd w:val="clear" w:color="auto" w:fill="FFFFFF"/>
        </w:rPr>
        <w:t xml:space="preserve"> </w:t>
      </w:r>
      <w:r w:rsidRPr="00747E3E">
        <w:rPr>
          <w:rFonts w:ascii="Arial" w:hAnsi="Arial" w:cs="Arial"/>
          <w:color w:val="000000"/>
          <w:shd w:val="clear" w:color="auto" w:fill="FFFFFF"/>
        </w:rPr>
        <w:t>la Dirección de Normas y Registro, la Dirección de Gestión del Patrimonio Estatal, y la Oficina de Administración y Finanzas, y;</w:t>
      </w:r>
    </w:p>
    <w:p w:rsidR="000977B2" w:rsidRPr="00747E3E" w:rsidRDefault="000977B2" w:rsidP="00BE4D03">
      <w:pPr>
        <w:spacing w:after="0" w:line="240" w:lineRule="auto"/>
        <w:jc w:val="both"/>
        <w:rPr>
          <w:rFonts w:ascii="Arial" w:hAnsi="Arial" w:cs="Arial"/>
          <w:color w:val="000000"/>
          <w:shd w:val="clear" w:color="auto" w:fill="FFFFFF"/>
        </w:rPr>
      </w:pPr>
    </w:p>
    <w:p w:rsidR="000977B2" w:rsidRPr="00747E3E" w:rsidRDefault="00BE4D03" w:rsidP="00BE4D03">
      <w:pPr>
        <w:spacing w:after="0" w:line="240" w:lineRule="auto"/>
        <w:jc w:val="both"/>
        <w:rPr>
          <w:rFonts w:ascii="Arial" w:hAnsi="Arial" w:cs="Arial"/>
          <w:color w:val="000000"/>
          <w:shd w:val="clear" w:color="auto" w:fill="FFFFFF"/>
        </w:rPr>
      </w:pPr>
      <w:r w:rsidRPr="00747E3E">
        <w:rPr>
          <w:rFonts w:ascii="Arial" w:hAnsi="Arial" w:cs="Arial"/>
          <w:color w:val="000000"/>
          <w:shd w:val="clear" w:color="auto" w:fill="FFFFFF"/>
        </w:rPr>
        <w:t>De conformidad con lo establecido en el literal b) del numeral 14.1 del artículo 14º de la Ley Nº 29151, Ley General del Sistema Nacional de Bienes Estatales; el literal a) del numeral 9.1 del artículo 9º del Reglamento de la Ley Nº 29151, aprobado por el Decreto Supremo Nº 007-2008-VIVIENDA, modificado por el Decreto Supremo Nº 013-2012-VIVIENDA; y en uso de las</w:t>
      </w:r>
      <w:r w:rsidR="000977B2" w:rsidRPr="00747E3E">
        <w:rPr>
          <w:rFonts w:ascii="Arial" w:hAnsi="Arial" w:cs="Arial"/>
          <w:color w:val="000000"/>
          <w:shd w:val="clear" w:color="auto" w:fill="FFFFFF"/>
        </w:rPr>
        <w:t xml:space="preserve"> </w:t>
      </w:r>
      <w:r w:rsidRPr="00747E3E">
        <w:rPr>
          <w:rFonts w:ascii="Arial" w:hAnsi="Arial" w:cs="Arial"/>
          <w:color w:val="000000"/>
          <w:shd w:val="clear" w:color="auto" w:fill="FFFFFF"/>
        </w:rPr>
        <w:t>atribuciones conferidas en los literales b) y r) del artículo 11º del Reglamento de Organización y Funciones de la Superintendencia Nacional de Bienes Estatales - SBN, aprobado por el Decreto Supremo Nº 016-2010-VIVIENDA;</w:t>
      </w:r>
    </w:p>
    <w:p w:rsidR="000977B2" w:rsidRPr="00747E3E" w:rsidRDefault="00BE4D03" w:rsidP="00BE4D03">
      <w:pPr>
        <w:spacing w:after="0" w:line="240" w:lineRule="auto"/>
        <w:jc w:val="both"/>
        <w:rPr>
          <w:rFonts w:ascii="Arial" w:hAnsi="Arial" w:cs="Arial"/>
          <w:b/>
          <w:color w:val="000000"/>
          <w:shd w:val="clear" w:color="auto" w:fill="FFFFFF"/>
        </w:rPr>
      </w:pPr>
      <w:r w:rsidRPr="00747E3E">
        <w:rPr>
          <w:rFonts w:ascii="Arial" w:hAnsi="Arial" w:cs="Arial"/>
          <w:color w:val="000000"/>
        </w:rPr>
        <w:br/>
      </w:r>
      <w:r w:rsidRPr="00747E3E">
        <w:rPr>
          <w:rFonts w:ascii="Arial" w:hAnsi="Arial" w:cs="Arial"/>
          <w:b/>
          <w:color w:val="000000"/>
          <w:shd w:val="clear" w:color="auto" w:fill="FFFFFF"/>
        </w:rPr>
        <w:t>SE RESUELVE:</w:t>
      </w:r>
    </w:p>
    <w:p w:rsidR="000977B2" w:rsidRPr="00747E3E" w:rsidRDefault="00BE4D03" w:rsidP="00BE4D03">
      <w:pPr>
        <w:spacing w:after="0" w:line="240" w:lineRule="auto"/>
        <w:jc w:val="both"/>
        <w:rPr>
          <w:rFonts w:ascii="Arial" w:hAnsi="Arial" w:cs="Arial"/>
          <w:color w:val="000000"/>
          <w:shd w:val="clear" w:color="auto" w:fill="FFFFFF"/>
        </w:rPr>
      </w:pPr>
      <w:r w:rsidRPr="00747E3E">
        <w:rPr>
          <w:rFonts w:ascii="Arial" w:hAnsi="Arial" w:cs="Arial"/>
          <w:color w:val="000000"/>
        </w:rPr>
        <w:br/>
      </w:r>
      <w:r w:rsidRPr="00747E3E">
        <w:rPr>
          <w:rFonts w:ascii="Arial" w:hAnsi="Arial" w:cs="Arial"/>
          <w:b/>
          <w:color w:val="000000"/>
          <w:shd w:val="clear" w:color="auto" w:fill="FFFFFF"/>
        </w:rPr>
        <w:t>Artículo 1º.-</w:t>
      </w:r>
      <w:r w:rsidRPr="00747E3E">
        <w:rPr>
          <w:rFonts w:ascii="Arial" w:hAnsi="Arial" w:cs="Arial"/>
          <w:color w:val="000000"/>
          <w:shd w:val="clear" w:color="auto" w:fill="FFFFFF"/>
        </w:rPr>
        <w:t xml:space="preserve"> Aprobar la Directiva Nº 002-2015/SBN, denominada "Lineamientos para la Determinación de la Contraprestación del Derecho de Servidumbre de Terrenos Eriazos de Propiedad Estatal para Proyectos de Inversión", que en anexo forma parte integrante de la presente Resolución.</w:t>
      </w:r>
    </w:p>
    <w:p w:rsidR="000977B2" w:rsidRPr="00747E3E" w:rsidRDefault="00BE4D03" w:rsidP="00BE4D03">
      <w:pPr>
        <w:spacing w:after="0" w:line="240" w:lineRule="auto"/>
        <w:jc w:val="both"/>
        <w:rPr>
          <w:rFonts w:ascii="Arial" w:hAnsi="Arial" w:cs="Arial"/>
          <w:color w:val="000000"/>
          <w:shd w:val="clear" w:color="auto" w:fill="FFFFFF"/>
        </w:rPr>
      </w:pPr>
      <w:r w:rsidRPr="00747E3E">
        <w:rPr>
          <w:rFonts w:ascii="Arial" w:hAnsi="Arial" w:cs="Arial"/>
          <w:color w:val="000000"/>
        </w:rPr>
        <w:br/>
      </w:r>
      <w:r w:rsidRPr="00747E3E">
        <w:rPr>
          <w:rFonts w:ascii="Arial" w:hAnsi="Arial" w:cs="Arial"/>
          <w:b/>
          <w:color w:val="000000"/>
          <w:shd w:val="clear" w:color="auto" w:fill="FFFFFF"/>
        </w:rPr>
        <w:t>Artículo 2º.-</w:t>
      </w:r>
      <w:r w:rsidRPr="00747E3E">
        <w:rPr>
          <w:rFonts w:ascii="Arial" w:hAnsi="Arial" w:cs="Arial"/>
          <w:color w:val="000000"/>
          <w:shd w:val="clear" w:color="auto" w:fill="FFFFFF"/>
        </w:rPr>
        <w:t xml:space="preserve"> Las disposiciones de la Directiva Nº 002-2015/SBN, entrarán en vigencia a partir del día siguiente de la publicación de la presente Resolución en el Diario Oficial El Peruano.</w:t>
      </w:r>
    </w:p>
    <w:p w:rsidR="000977B2" w:rsidRPr="00747E3E" w:rsidRDefault="00BE4D03" w:rsidP="00BE4D03">
      <w:pPr>
        <w:spacing w:after="0" w:line="240" w:lineRule="auto"/>
        <w:jc w:val="both"/>
        <w:rPr>
          <w:rFonts w:ascii="Arial" w:hAnsi="Arial" w:cs="Arial"/>
          <w:color w:val="000000"/>
          <w:shd w:val="clear" w:color="auto" w:fill="FFFFFF"/>
        </w:rPr>
      </w:pPr>
      <w:r w:rsidRPr="00747E3E">
        <w:rPr>
          <w:rFonts w:ascii="Arial" w:hAnsi="Arial" w:cs="Arial"/>
          <w:color w:val="000000"/>
        </w:rPr>
        <w:br/>
      </w:r>
      <w:r w:rsidRPr="00747E3E">
        <w:rPr>
          <w:rFonts w:ascii="Arial" w:hAnsi="Arial" w:cs="Arial"/>
          <w:b/>
          <w:color w:val="000000"/>
          <w:shd w:val="clear" w:color="auto" w:fill="FFFFFF"/>
        </w:rPr>
        <w:t>Artículo 3º.-</w:t>
      </w:r>
      <w:r w:rsidRPr="00747E3E">
        <w:rPr>
          <w:rFonts w:ascii="Arial" w:hAnsi="Arial" w:cs="Arial"/>
          <w:color w:val="000000"/>
          <w:shd w:val="clear" w:color="auto" w:fill="FFFFFF"/>
        </w:rPr>
        <w:t xml:space="preserve"> Encargar a la Oficina de Administración y Finanzas la publicación de la Directiva Nº 002-2015/SBN</w:t>
      </w:r>
      <w:r w:rsidRPr="00747E3E">
        <w:rPr>
          <w:rFonts w:ascii="Arial" w:hAnsi="Arial" w:cs="Arial"/>
          <w:color w:val="000000"/>
        </w:rPr>
        <w:br/>
      </w:r>
      <w:r w:rsidRPr="00747E3E">
        <w:rPr>
          <w:rFonts w:ascii="Arial" w:hAnsi="Arial" w:cs="Arial"/>
          <w:color w:val="000000"/>
          <w:shd w:val="clear" w:color="auto" w:fill="FFFFFF"/>
        </w:rPr>
        <w:t>y la presente Resolución en la página web</w:t>
      </w:r>
      <w:r w:rsidR="000977B2" w:rsidRPr="00747E3E">
        <w:rPr>
          <w:rFonts w:ascii="Arial" w:hAnsi="Arial" w:cs="Arial"/>
          <w:color w:val="000000"/>
          <w:shd w:val="clear" w:color="auto" w:fill="FFFFFF"/>
        </w:rPr>
        <w:t xml:space="preserve"> </w:t>
      </w:r>
      <w:r w:rsidRPr="00747E3E">
        <w:rPr>
          <w:rFonts w:ascii="Arial" w:hAnsi="Arial" w:cs="Arial"/>
          <w:color w:val="000000"/>
          <w:shd w:val="clear" w:color="auto" w:fill="FFFFFF"/>
        </w:rPr>
        <w:t>(www.sbn.gob. pe) y en la intranet institucional.</w:t>
      </w:r>
    </w:p>
    <w:p w:rsidR="00BE4D03" w:rsidRPr="00747E3E" w:rsidRDefault="00BE4D03" w:rsidP="00BE4D03">
      <w:pPr>
        <w:spacing w:after="0" w:line="240" w:lineRule="auto"/>
        <w:jc w:val="both"/>
        <w:rPr>
          <w:rFonts w:ascii="Arial" w:eastAsia="Calibri" w:hAnsi="Arial" w:cs="Arial"/>
          <w:b/>
          <w:lang w:val="es-ES"/>
        </w:rPr>
      </w:pPr>
      <w:r w:rsidRPr="00747E3E">
        <w:rPr>
          <w:rFonts w:ascii="Arial" w:hAnsi="Arial" w:cs="Arial"/>
          <w:color w:val="000000"/>
        </w:rPr>
        <w:br/>
      </w:r>
      <w:r w:rsidRPr="00747E3E">
        <w:rPr>
          <w:rFonts w:ascii="Arial" w:hAnsi="Arial" w:cs="Arial"/>
          <w:b/>
          <w:color w:val="000000"/>
          <w:shd w:val="clear" w:color="auto" w:fill="FFFFFF"/>
        </w:rPr>
        <w:t>Regístrese, comuníquese y publíquese.</w:t>
      </w:r>
    </w:p>
    <w:p w:rsidR="00BE4D03" w:rsidRPr="00747E3E" w:rsidRDefault="00BE4D03" w:rsidP="006312E8">
      <w:pPr>
        <w:spacing w:after="0" w:line="240" w:lineRule="auto"/>
        <w:jc w:val="both"/>
        <w:rPr>
          <w:rFonts w:ascii="Arial" w:eastAsia="Calibri" w:hAnsi="Arial" w:cs="Arial"/>
          <w:lang w:val="es-ES"/>
        </w:rPr>
      </w:pPr>
    </w:p>
    <w:p w:rsidR="00BE4D03" w:rsidRPr="00747E3E" w:rsidRDefault="00BE4D03" w:rsidP="006312E8">
      <w:pPr>
        <w:spacing w:after="0" w:line="240" w:lineRule="auto"/>
        <w:jc w:val="both"/>
        <w:rPr>
          <w:rFonts w:ascii="Arial" w:eastAsia="Calibri" w:hAnsi="Arial" w:cs="Arial"/>
          <w:b/>
          <w:lang w:val="es-ES"/>
        </w:rPr>
      </w:pPr>
      <w:r w:rsidRPr="00747E3E">
        <w:rPr>
          <w:rFonts w:ascii="Arial" w:eastAsia="Calibri" w:hAnsi="Arial" w:cs="Arial"/>
          <w:b/>
          <w:lang w:val="es-ES"/>
        </w:rPr>
        <w:t>SONIA MARIA CORDERO VASQUEZ</w:t>
      </w:r>
    </w:p>
    <w:p w:rsidR="00BE4D03" w:rsidRPr="00747E3E" w:rsidRDefault="00BE4D03" w:rsidP="006312E8">
      <w:pPr>
        <w:spacing w:after="0" w:line="240" w:lineRule="auto"/>
        <w:jc w:val="both"/>
        <w:rPr>
          <w:rFonts w:ascii="Arial" w:eastAsia="Calibri" w:hAnsi="Arial" w:cs="Arial"/>
          <w:lang w:val="es-ES"/>
        </w:rPr>
      </w:pPr>
      <w:r w:rsidRPr="00747E3E">
        <w:rPr>
          <w:rFonts w:ascii="Arial" w:eastAsia="Calibri" w:hAnsi="Arial" w:cs="Arial"/>
          <w:lang w:val="es-ES"/>
        </w:rPr>
        <w:t>Superintendente</w:t>
      </w:r>
    </w:p>
    <w:p w:rsidR="00BE4D03" w:rsidRDefault="00BE4D03" w:rsidP="006312E8">
      <w:pPr>
        <w:spacing w:after="0" w:line="240" w:lineRule="auto"/>
        <w:jc w:val="both"/>
        <w:rPr>
          <w:rFonts w:ascii="Arial" w:eastAsia="Calibri" w:hAnsi="Arial" w:cs="Arial"/>
          <w:lang w:val="es-ES"/>
        </w:rPr>
      </w:pPr>
    </w:p>
    <w:p w:rsidR="00BE4D03" w:rsidRDefault="00BE4D03" w:rsidP="00BE4D03">
      <w:pPr>
        <w:spacing w:after="0" w:line="240" w:lineRule="auto"/>
        <w:jc w:val="center"/>
        <w:rPr>
          <w:rFonts w:ascii="Arial" w:eastAsia="Calibri" w:hAnsi="Arial" w:cs="Arial"/>
          <w:lang w:val="es-ES"/>
        </w:rPr>
      </w:pPr>
    </w:p>
    <w:p w:rsidR="00BE4D03" w:rsidRDefault="00BE4D03" w:rsidP="000977B2">
      <w:pPr>
        <w:pStyle w:val="TITO2"/>
      </w:pPr>
      <w:bookmarkStart w:id="269" w:name="_Toc470855541"/>
      <w:r>
        <w:t>DIRECTIVA</w:t>
      </w:r>
      <w:r w:rsidR="000977B2">
        <w:t xml:space="preserve"> N° 002-2015-SBN</w:t>
      </w:r>
      <w:bookmarkEnd w:id="269"/>
    </w:p>
    <w:p w:rsidR="007E5AD0" w:rsidRDefault="007E5AD0" w:rsidP="000977B2">
      <w:pPr>
        <w:pStyle w:val="TITO2"/>
      </w:pPr>
    </w:p>
    <w:p w:rsidR="007E5AD0" w:rsidRDefault="007E5AD0" w:rsidP="007E5AD0">
      <w:pPr>
        <w:spacing w:after="0" w:line="240" w:lineRule="auto"/>
        <w:jc w:val="center"/>
        <w:rPr>
          <w:rFonts w:ascii="Arial" w:hAnsi="Arial" w:cs="Arial"/>
          <w:b/>
        </w:rPr>
      </w:pPr>
      <w:r>
        <w:rPr>
          <w:rFonts w:ascii="Arial" w:hAnsi="Arial" w:cs="Arial"/>
          <w:b/>
        </w:rPr>
        <w:t xml:space="preserve">LINEAMIENTOS PARA LA DETERMINACIÓN DE LA CONTRAPRESTACION </w:t>
      </w:r>
    </w:p>
    <w:p w:rsidR="007E5AD0" w:rsidRDefault="007E5AD0" w:rsidP="007E5AD0">
      <w:pPr>
        <w:spacing w:after="0" w:line="240" w:lineRule="auto"/>
        <w:jc w:val="center"/>
        <w:rPr>
          <w:rFonts w:ascii="Arial" w:hAnsi="Arial" w:cs="Arial"/>
          <w:b/>
        </w:rPr>
      </w:pPr>
      <w:r>
        <w:rPr>
          <w:rFonts w:ascii="Arial" w:hAnsi="Arial" w:cs="Arial"/>
          <w:b/>
        </w:rPr>
        <w:t xml:space="preserve">DEL DERECHO DE SERVIDUMBRE DE TERRENOS ERIAZOS </w:t>
      </w:r>
    </w:p>
    <w:p w:rsidR="007E5AD0" w:rsidRPr="007E5AD0" w:rsidRDefault="007E5AD0" w:rsidP="007E5AD0">
      <w:pPr>
        <w:spacing w:after="0" w:line="240" w:lineRule="auto"/>
        <w:jc w:val="center"/>
        <w:rPr>
          <w:rFonts w:ascii="Arial" w:hAnsi="Arial" w:cs="Arial"/>
          <w:b/>
        </w:rPr>
      </w:pPr>
      <w:r>
        <w:rPr>
          <w:rFonts w:ascii="Arial" w:hAnsi="Arial" w:cs="Arial"/>
          <w:b/>
        </w:rPr>
        <w:t>DE PROPIEDAD ESTATAL PARA PROYECTOS DE INVERSIÓN</w:t>
      </w:r>
    </w:p>
    <w:p w:rsidR="00BE4D03" w:rsidRDefault="00BE4D03" w:rsidP="006312E8">
      <w:pPr>
        <w:spacing w:after="0" w:line="240" w:lineRule="auto"/>
        <w:jc w:val="both"/>
        <w:rPr>
          <w:rFonts w:ascii="Arial" w:eastAsia="Calibri" w:hAnsi="Arial" w:cs="Arial"/>
          <w:lang w:val="es-ES"/>
        </w:rPr>
      </w:pPr>
    </w:p>
    <w:p w:rsidR="007E5AD0" w:rsidRDefault="007E5AD0" w:rsidP="007E5AD0">
      <w:pPr>
        <w:pStyle w:val="Prrafodelista"/>
        <w:spacing w:after="0" w:line="240" w:lineRule="auto"/>
        <w:ind w:left="426"/>
        <w:jc w:val="both"/>
        <w:rPr>
          <w:rFonts w:ascii="Arial" w:eastAsia="Calibri" w:hAnsi="Arial" w:cs="Arial"/>
          <w:lang w:val="es-ES"/>
        </w:rPr>
      </w:pPr>
    </w:p>
    <w:p w:rsidR="00BE4D03" w:rsidRDefault="007E5AD0" w:rsidP="007E5AD0">
      <w:pPr>
        <w:pStyle w:val="Prrafodelista"/>
        <w:numPr>
          <w:ilvl w:val="2"/>
          <w:numId w:val="24"/>
        </w:numPr>
        <w:spacing w:after="0" w:line="240" w:lineRule="auto"/>
        <w:ind w:left="426" w:hanging="425"/>
        <w:jc w:val="both"/>
        <w:rPr>
          <w:rFonts w:ascii="Arial" w:eastAsia="Calibri" w:hAnsi="Arial" w:cs="Arial"/>
          <w:b/>
          <w:lang w:val="es-ES"/>
        </w:rPr>
      </w:pPr>
      <w:r w:rsidRPr="007E5AD0">
        <w:rPr>
          <w:rFonts w:ascii="Arial" w:eastAsia="Calibri" w:hAnsi="Arial" w:cs="Arial"/>
          <w:b/>
          <w:lang w:val="es-ES"/>
        </w:rPr>
        <w:t>FINALIDAD</w:t>
      </w:r>
    </w:p>
    <w:p w:rsidR="007E5AD0" w:rsidRPr="007E5AD0" w:rsidRDefault="007E5AD0" w:rsidP="007E5AD0">
      <w:pPr>
        <w:pStyle w:val="Prrafodelista"/>
        <w:spacing w:after="0" w:line="240" w:lineRule="auto"/>
        <w:ind w:left="426"/>
        <w:jc w:val="both"/>
        <w:rPr>
          <w:rFonts w:ascii="Arial" w:eastAsia="Calibri" w:hAnsi="Arial" w:cs="Arial"/>
          <w:lang w:val="es-ES"/>
        </w:rPr>
      </w:pPr>
      <w:r>
        <w:rPr>
          <w:rFonts w:ascii="Arial" w:eastAsia="Calibri" w:hAnsi="Arial" w:cs="Arial"/>
          <w:lang w:val="es-ES"/>
        </w:rPr>
        <w:t>Optimizar la determinación de la contraprestación del derecho de servidumbre sobre terrenos eriazos de propiedad estatal de libre disponibilidad requeridos para proyectos de inversión.</w:t>
      </w:r>
    </w:p>
    <w:p w:rsidR="007E5AD0" w:rsidRDefault="007E5AD0" w:rsidP="007E5AD0">
      <w:pPr>
        <w:pStyle w:val="Prrafodelista"/>
        <w:spacing w:after="0" w:line="240" w:lineRule="auto"/>
        <w:ind w:left="426"/>
        <w:jc w:val="both"/>
        <w:rPr>
          <w:rFonts w:ascii="Arial" w:eastAsia="Calibri" w:hAnsi="Arial" w:cs="Arial"/>
          <w:b/>
          <w:lang w:val="es-ES"/>
        </w:rPr>
      </w:pPr>
    </w:p>
    <w:p w:rsidR="007E5AD0" w:rsidRDefault="007E5AD0" w:rsidP="007E5AD0">
      <w:pPr>
        <w:pStyle w:val="Prrafodelista"/>
        <w:numPr>
          <w:ilvl w:val="2"/>
          <w:numId w:val="24"/>
        </w:numPr>
        <w:spacing w:after="0" w:line="240" w:lineRule="auto"/>
        <w:ind w:left="426" w:hanging="425"/>
        <w:jc w:val="both"/>
        <w:rPr>
          <w:rFonts w:ascii="Arial" w:eastAsia="Calibri" w:hAnsi="Arial" w:cs="Arial"/>
          <w:b/>
          <w:lang w:val="es-ES"/>
        </w:rPr>
      </w:pPr>
      <w:r>
        <w:rPr>
          <w:rFonts w:ascii="Arial" w:eastAsia="Calibri" w:hAnsi="Arial" w:cs="Arial"/>
          <w:b/>
          <w:lang w:val="es-ES"/>
        </w:rPr>
        <w:t>OBJETIVO</w:t>
      </w:r>
    </w:p>
    <w:p w:rsidR="007E5AD0" w:rsidRDefault="007E5AD0" w:rsidP="007E5AD0">
      <w:pPr>
        <w:pStyle w:val="Prrafodelista"/>
        <w:spacing w:after="0" w:line="240" w:lineRule="auto"/>
        <w:ind w:left="426"/>
        <w:jc w:val="both"/>
        <w:rPr>
          <w:rFonts w:ascii="Arial" w:eastAsia="Calibri" w:hAnsi="Arial" w:cs="Arial"/>
          <w:lang w:val="es-ES"/>
        </w:rPr>
      </w:pPr>
      <w:r>
        <w:rPr>
          <w:rFonts w:ascii="Arial" w:eastAsia="Calibri" w:hAnsi="Arial" w:cs="Arial"/>
          <w:lang w:val="es-ES"/>
        </w:rPr>
        <w:t>Regular los lineamientos para la determinación de la contraprestación del derecho de servidumbre sobre terrenos eriazos de propiedad estatal de libre disponibilidad para proyectos de inversión, en el marco del Capítulo I del Título IV de la Ley N° 30327, Ley de Promoción de las Inversiones para el Crecimiento Económico y el Desarrollo Sostenible.</w:t>
      </w:r>
    </w:p>
    <w:p w:rsidR="007E5AD0" w:rsidRPr="007E5AD0" w:rsidRDefault="007E5AD0" w:rsidP="007E5AD0">
      <w:pPr>
        <w:pStyle w:val="Prrafodelista"/>
        <w:spacing w:after="0" w:line="240" w:lineRule="auto"/>
        <w:ind w:left="426"/>
        <w:jc w:val="both"/>
        <w:rPr>
          <w:rFonts w:ascii="Arial" w:eastAsia="Calibri" w:hAnsi="Arial" w:cs="Arial"/>
          <w:lang w:val="es-ES"/>
        </w:rPr>
      </w:pPr>
    </w:p>
    <w:p w:rsidR="007E5AD0" w:rsidRDefault="007E5AD0" w:rsidP="007E5AD0">
      <w:pPr>
        <w:pStyle w:val="Prrafodelista"/>
        <w:numPr>
          <w:ilvl w:val="2"/>
          <w:numId w:val="24"/>
        </w:numPr>
        <w:spacing w:after="0" w:line="240" w:lineRule="auto"/>
        <w:ind w:left="426" w:hanging="425"/>
        <w:jc w:val="both"/>
        <w:rPr>
          <w:rFonts w:ascii="Arial" w:eastAsia="Calibri" w:hAnsi="Arial" w:cs="Arial"/>
          <w:b/>
          <w:lang w:val="es-ES"/>
        </w:rPr>
      </w:pPr>
      <w:r>
        <w:rPr>
          <w:rFonts w:ascii="Arial" w:eastAsia="Calibri" w:hAnsi="Arial" w:cs="Arial"/>
          <w:b/>
          <w:lang w:val="es-ES"/>
        </w:rPr>
        <w:t>ALCANCE</w:t>
      </w:r>
    </w:p>
    <w:p w:rsidR="007E5AD0" w:rsidRDefault="007E5AD0" w:rsidP="007E5AD0">
      <w:pPr>
        <w:pStyle w:val="Prrafodelista"/>
        <w:spacing w:after="0" w:line="240" w:lineRule="auto"/>
        <w:ind w:left="426"/>
        <w:jc w:val="both"/>
        <w:rPr>
          <w:rFonts w:ascii="Arial" w:eastAsia="Calibri" w:hAnsi="Arial" w:cs="Arial"/>
          <w:lang w:val="es-ES"/>
        </w:rPr>
      </w:pPr>
      <w:r>
        <w:rPr>
          <w:rFonts w:ascii="Arial" w:eastAsia="Calibri" w:hAnsi="Arial" w:cs="Arial"/>
          <w:lang w:val="es-ES"/>
        </w:rPr>
        <w:t>La presente directiva tiene alcance nacional y es de obligatorio cumplimiento por parte de la SBN y de las entidades que conforman el SNBE.</w:t>
      </w:r>
    </w:p>
    <w:p w:rsidR="007E5AD0" w:rsidRPr="007E5AD0" w:rsidRDefault="007E5AD0" w:rsidP="007E5AD0">
      <w:pPr>
        <w:pStyle w:val="Prrafodelista"/>
        <w:spacing w:after="0" w:line="240" w:lineRule="auto"/>
        <w:ind w:left="426"/>
        <w:jc w:val="both"/>
        <w:rPr>
          <w:rFonts w:ascii="Arial" w:eastAsia="Calibri" w:hAnsi="Arial" w:cs="Arial"/>
          <w:lang w:val="es-ES"/>
        </w:rPr>
      </w:pPr>
    </w:p>
    <w:p w:rsidR="007E5AD0" w:rsidRDefault="007E5AD0" w:rsidP="007E5AD0">
      <w:pPr>
        <w:pStyle w:val="Prrafodelista"/>
        <w:numPr>
          <w:ilvl w:val="2"/>
          <w:numId w:val="24"/>
        </w:numPr>
        <w:spacing w:after="0" w:line="240" w:lineRule="auto"/>
        <w:ind w:left="426" w:hanging="425"/>
        <w:jc w:val="both"/>
        <w:rPr>
          <w:rFonts w:ascii="Arial" w:eastAsia="Calibri" w:hAnsi="Arial" w:cs="Arial"/>
          <w:b/>
          <w:lang w:val="es-ES"/>
        </w:rPr>
      </w:pPr>
      <w:r>
        <w:rPr>
          <w:rFonts w:ascii="Arial" w:eastAsia="Calibri" w:hAnsi="Arial" w:cs="Arial"/>
          <w:b/>
          <w:lang w:val="es-ES"/>
        </w:rPr>
        <w:t>BASE LEGAL</w:t>
      </w:r>
    </w:p>
    <w:p w:rsidR="007E5AD0" w:rsidRDefault="007E5AD0" w:rsidP="00241D1D">
      <w:pPr>
        <w:pStyle w:val="Prrafodelista"/>
        <w:numPr>
          <w:ilvl w:val="0"/>
          <w:numId w:val="79"/>
        </w:numPr>
        <w:spacing w:after="0" w:line="240" w:lineRule="auto"/>
        <w:ind w:left="851"/>
        <w:jc w:val="both"/>
        <w:rPr>
          <w:rFonts w:ascii="Arial" w:eastAsia="Calibri" w:hAnsi="Arial" w:cs="Arial"/>
          <w:lang w:val="es-ES"/>
        </w:rPr>
      </w:pPr>
      <w:r>
        <w:rPr>
          <w:rFonts w:ascii="Arial" w:eastAsia="Calibri" w:hAnsi="Arial" w:cs="Arial"/>
          <w:lang w:val="es-ES"/>
        </w:rPr>
        <w:t>Ley N° 29151, Ley General del Sistema Nacional de Bienes Estatales, y sus modificatorias.</w:t>
      </w:r>
    </w:p>
    <w:p w:rsidR="007E5AD0" w:rsidRDefault="007E5AD0" w:rsidP="00241D1D">
      <w:pPr>
        <w:pStyle w:val="Prrafodelista"/>
        <w:numPr>
          <w:ilvl w:val="0"/>
          <w:numId w:val="79"/>
        </w:numPr>
        <w:spacing w:after="0" w:line="240" w:lineRule="auto"/>
        <w:ind w:left="851"/>
        <w:jc w:val="both"/>
        <w:rPr>
          <w:rFonts w:ascii="Arial" w:eastAsia="Calibri" w:hAnsi="Arial" w:cs="Arial"/>
          <w:lang w:val="es-ES"/>
        </w:rPr>
      </w:pPr>
      <w:r>
        <w:rPr>
          <w:rFonts w:ascii="Arial" w:eastAsia="Calibri" w:hAnsi="Arial" w:cs="Arial"/>
          <w:lang w:val="es-ES"/>
        </w:rPr>
        <w:t>Ley N° 27444, Ley del Procedimiento Administrativo General</w:t>
      </w:r>
    </w:p>
    <w:p w:rsidR="007E5AD0" w:rsidRDefault="007E5AD0" w:rsidP="00241D1D">
      <w:pPr>
        <w:pStyle w:val="Prrafodelista"/>
        <w:numPr>
          <w:ilvl w:val="0"/>
          <w:numId w:val="79"/>
        </w:numPr>
        <w:spacing w:after="0" w:line="240" w:lineRule="auto"/>
        <w:ind w:left="851"/>
        <w:jc w:val="both"/>
        <w:rPr>
          <w:rFonts w:ascii="Arial" w:eastAsia="Calibri" w:hAnsi="Arial" w:cs="Arial"/>
          <w:lang w:val="es-ES"/>
        </w:rPr>
      </w:pPr>
      <w:r>
        <w:rPr>
          <w:rFonts w:ascii="Arial" w:eastAsia="Calibri" w:hAnsi="Arial" w:cs="Arial"/>
          <w:lang w:val="es-ES"/>
        </w:rPr>
        <w:t>Ley N° 30327, Ley de Promoción de las Inversiones para el Crecimiento Económico y el Desarrollo Sostenible.</w:t>
      </w:r>
    </w:p>
    <w:p w:rsidR="007E5AD0" w:rsidRDefault="007E5AD0" w:rsidP="00241D1D">
      <w:pPr>
        <w:pStyle w:val="Prrafodelista"/>
        <w:numPr>
          <w:ilvl w:val="0"/>
          <w:numId w:val="79"/>
        </w:numPr>
        <w:spacing w:after="0" w:line="240" w:lineRule="auto"/>
        <w:ind w:left="851"/>
        <w:jc w:val="both"/>
        <w:rPr>
          <w:rFonts w:ascii="Arial" w:eastAsia="Calibri" w:hAnsi="Arial" w:cs="Arial"/>
          <w:lang w:val="es-ES"/>
        </w:rPr>
      </w:pPr>
      <w:r>
        <w:rPr>
          <w:rFonts w:ascii="Arial" w:eastAsia="Calibri" w:hAnsi="Arial" w:cs="Arial"/>
          <w:lang w:val="es-ES"/>
        </w:rPr>
        <w:t>Reglamento de la Ley N° 29151, aprobado por el Decreto Supremo N° 007-2008-VIVIENDA; en adelante el “Reglamento”.</w:t>
      </w:r>
    </w:p>
    <w:p w:rsidR="007E5AD0" w:rsidRDefault="007E5AD0" w:rsidP="00241D1D">
      <w:pPr>
        <w:pStyle w:val="Prrafodelista"/>
        <w:numPr>
          <w:ilvl w:val="0"/>
          <w:numId w:val="79"/>
        </w:numPr>
        <w:spacing w:after="0" w:line="240" w:lineRule="auto"/>
        <w:ind w:left="851"/>
        <w:jc w:val="both"/>
        <w:rPr>
          <w:rFonts w:ascii="Arial" w:eastAsia="Calibri" w:hAnsi="Arial" w:cs="Arial"/>
          <w:lang w:val="es-ES"/>
        </w:rPr>
      </w:pPr>
      <w:r>
        <w:rPr>
          <w:rFonts w:ascii="Arial" w:eastAsia="Calibri" w:hAnsi="Arial" w:cs="Arial"/>
          <w:lang w:val="es-ES"/>
        </w:rPr>
        <w:t>Reglamento de Organización y Funciones de la SBN, aprobado por el Decreto Supremo N° 016-2010-VIVIENDA.</w:t>
      </w:r>
    </w:p>
    <w:p w:rsidR="007E5AD0" w:rsidRPr="007E5AD0" w:rsidRDefault="007E5AD0" w:rsidP="007E5AD0">
      <w:pPr>
        <w:pStyle w:val="Prrafodelista"/>
        <w:spacing w:after="0" w:line="240" w:lineRule="auto"/>
        <w:ind w:left="851"/>
        <w:jc w:val="both"/>
        <w:rPr>
          <w:rFonts w:ascii="Arial" w:eastAsia="Calibri" w:hAnsi="Arial" w:cs="Arial"/>
          <w:lang w:val="es-ES"/>
        </w:rPr>
      </w:pPr>
    </w:p>
    <w:p w:rsidR="007E5AD0" w:rsidRDefault="007E5AD0" w:rsidP="007E5AD0">
      <w:pPr>
        <w:pStyle w:val="Prrafodelista"/>
        <w:numPr>
          <w:ilvl w:val="2"/>
          <w:numId w:val="24"/>
        </w:numPr>
        <w:spacing w:after="0" w:line="240" w:lineRule="auto"/>
        <w:ind w:left="426" w:hanging="425"/>
        <w:jc w:val="both"/>
        <w:rPr>
          <w:rFonts w:ascii="Arial" w:eastAsia="Calibri" w:hAnsi="Arial" w:cs="Arial"/>
          <w:b/>
          <w:lang w:val="es-ES"/>
        </w:rPr>
      </w:pPr>
      <w:r>
        <w:rPr>
          <w:rFonts w:ascii="Arial" w:eastAsia="Calibri" w:hAnsi="Arial" w:cs="Arial"/>
          <w:b/>
          <w:lang w:val="es-ES"/>
        </w:rPr>
        <w:t>DISPOSICIÓN GENERAL</w:t>
      </w:r>
    </w:p>
    <w:p w:rsidR="007E5AD0" w:rsidRDefault="007E5AD0" w:rsidP="007E5AD0">
      <w:pPr>
        <w:pStyle w:val="Prrafodelista"/>
        <w:spacing w:after="0" w:line="240" w:lineRule="auto"/>
        <w:ind w:left="426"/>
        <w:jc w:val="both"/>
        <w:rPr>
          <w:rFonts w:ascii="Arial" w:eastAsia="Calibri" w:hAnsi="Arial" w:cs="Arial"/>
          <w:lang w:val="es-ES"/>
        </w:rPr>
      </w:pPr>
      <w:r>
        <w:rPr>
          <w:rFonts w:ascii="Arial" w:eastAsia="Calibri" w:hAnsi="Arial" w:cs="Arial"/>
          <w:lang w:val="es-ES"/>
        </w:rPr>
        <w:t>La constitución del derecho de servidumbre, requerida para proyectos de inversión, se realiza sobre terrenos eriazos de dominio privado estatal y de libre disponibilidad, en forma directa y a título oneroso, de conformidad con lo dispuesto por la Ley N° 30327, Ley de Promoción de las Inversiones para el Crecimiento Económico y el Desarrollo Sostenible y sus normas reglamentarias.</w:t>
      </w:r>
    </w:p>
    <w:p w:rsidR="007E5AD0" w:rsidRPr="007E5AD0" w:rsidRDefault="007E5AD0" w:rsidP="007E5AD0">
      <w:pPr>
        <w:pStyle w:val="Prrafodelista"/>
        <w:spacing w:after="0" w:line="240" w:lineRule="auto"/>
        <w:ind w:left="426"/>
        <w:jc w:val="both"/>
        <w:rPr>
          <w:rFonts w:ascii="Arial" w:eastAsia="Calibri" w:hAnsi="Arial" w:cs="Arial"/>
          <w:lang w:val="es-ES"/>
        </w:rPr>
      </w:pPr>
    </w:p>
    <w:p w:rsidR="007E5AD0" w:rsidRDefault="007E5AD0" w:rsidP="007E5AD0">
      <w:pPr>
        <w:pStyle w:val="Prrafodelista"/>
        <w:numPr>
          <w:ilvl w:val="2"/>
          <w:numId w:val="24"/>
        </w:numPr>
        <w:spacing w:after="0" w:line="240" w:lineRule="auto"/>
        <w:ind w:left="426" w:hanging="425"/>
        <w:jc w:val="both"/>
        <w:rPr>
          <w:rFonts w:ascii="Arial" w:eastAsia="Calibri" w:hAnsi="Arial" w:cs="Arial"/>
          <w:b/>
          <w:lang w:val="es-ES"/>
        </w:rPr>
      </w:pPr>
      <w:r>
        <w:rPr>
          <w:rFonts w:ascii="Arial" w:eastAsia="Calibri" w:hAnsi="Arial" w:cs="Arial"/>
          <w:b/>
          <w:lang w:val="es-ES"/>
        </w:rPr>
        <w:t>DISPOSICIONES ESPECIFICAS</w:t>
      </w:r>
    </w:p>
    <w:p w:rsidR="00FC4316" w:rsidRDefault="00FC4316" w:rsidP="00FC4316">
      <w:pPr>
        <w:pStyle w:val="Prrafodelista"/>
        <w:spacing w:after="0" w:line="240" w:lineRule="auto"/>
        <w:ind w:left="426"/>
        <w:jc w:val="both"/>
        <w:rPr>
          <w:rFonts w:ascii="Arial" w:eastAsia="Calibri" w:hAnsi="Arial" w:cs="Arial"/>
          <w:b/>
          <w:lang w:val="es-ES"/>
        </w:rPr>
      </w:pPr>
    </w:p>
    <w:p w:rsidR="00FC4316" w:rsidRDefault="00FC4316" w:rsidP="0092471C">
      <w:pPr>
        <w:pStyle w:val="Prrafodelista"/>
        <w:numPr>
          <w:ilvl w:val="1"/>
          <w:numId w:val="244"/>
        </w:numPr>
        <w:spacing w:after="0" w:line="240" w:lineRule="auto"/>
        <w:ind w:left="993" w:hanging="567"/>
        <w:jc w:val="both"/>
        <w:rPr>
          <w:rFonts w:ascii="Arial" w:eastAsia="Calibri" w:hAnsi="Arial" w:cs="Arial"/>
          <w:b/>
          <w:lang w:val="es-ES"/>
        </w:rPr>
      </w:pPr>
      <w:r w:rsidRPr="00FC4316">
        <w:rPr>
          <w:rFonts w:ascii="Arial" w:eastAsia="Calibri" w:hAnsi="Arial" w:cs="Arial"/>
          <w:b/>
          <w:lang w:val="es-ES"/>
        </w:rPr>
        <w:t>De la comunicación de la valorización al titular del proyecto y de la determinación de la contraprestación de la servidumbre</w:t>
      </w:r>
    </w:p>
    <w:p w:rsidR="00FC4316" w:rsidRDefault="00FC4316" w:rsidP="00FC4316">
      <w:pPr>
        <w:pStyle w:val="Prrafodelista"/>
        <w:spacing w:after="0" w:line="240" w:lineRule="auto"/>
        <w:ind w:left="993"/>
        <w:jc w:val="both"/>
        <w:rPr>
          <w:rFonts w:ascii="Arial" w:eastAsia="Calibri" w:hAnsi="Arial" w:cs="Arial"/>
          <w:b/>
          <w:lang w:val="es-ES"/>
        </w:rPr>
      </w:pPr>
    </w:p>
    <w:p w:rsidR="00FC4316" w:rsidRDefault="00FC4316" w:rsidP="0092471C">
      <w:pPr>
        <w:pStyle w:val="Prrafodelista"/>
        <w:numPr>
          <w:ilvl w:val="2"/>
          <w:numId w:val="244"/>
        </w:numPr>
        <w:spacing w:after="0" w:line="240" w:lineRule="auto"/>
        <w:ind w:left="1701"/>
        <w:jc w:val="both"/>
        <w:rPr>
          <w:rFonts w:ascii="Arial" w:eastAsia="Calibri" w:hAnsi="Arial" w:cs="Arial"/>
          <w:lang w:val="es-ES"/>
        </w:rPr>
      </w:pPr>
      <w:r>
        <w:rPr>
          <w:rFonts w:ascii="Arial" w:eastAsia="Calibri" w:hAnsi="Arial" w:cs="Arial"/>
          <w:lang w:val="es-ES"/>
        </w:rPr>
        <w:t>Una vez aprobada la tasación de la servidumbre, efectuada de acuerdo a lo establecido en el artículo 20 de la Ley N° 30327, Ley de Promoción de las Inversiones para el Crecimiento Económico y el Desarrollo Sostenible, la SDAPE notifica al titular del proyecto de inversión, adjuntando copia de la misma, a efectos que manifieste su aceptación en el plazo de (05) días hábiles, contados desde el día siguiente de recibida la comunicación.</w:t>
      </w:r>
    </w:p>
    <w:p w:rsidR="00FC4316" w:rsidRDefault="00FC4316" w:rsidP="00FC4316">
      <w:pPr>
        <w:pStyle w:val="Prrafodelista"/>
        <w:spacing w:after="0" w:line="240" w:lineRule="auto"/>
        <w:ind w:left="1701"/>
        <w:jc w:val="both"/>
        <w:rPr>
          <w:rFonts w:ascii="Arial" w:eastAsia="Calibri" w:hAnsi="Arial" w:cs="Arial"/>
          <w:lang w:val="es-ES"/>
        </w:rPr>
      </w:pPr>
    </w:p>
    <w:p w:rsidR="00FC4316" w:rsidRDefault="00FC4316" w:rsidP="0092471C">
      <w:pPr>
        <w:pStyle w:val="Prrafodelista"/>
        <w:numPr>
          <w:ilvl w:val="2"/>
          <w:numId w:val="244"/>
        </w:numPr>
        <w:spacing w:after="0" w:line="240" w:lineRule="auto"/>
        <w:ind w:left="1701"/>
        <w:jc w:val="both"/>
        <w:rPr>
          <w:rFonts w:ascii="Arial" w:eastAsia="Calibri" w:hAnsi="Arial" w:cs="Arial"/>
          <w:lang w:val="es-ES"/>
        </w:rPr>
      </w:pPr>
      <w:r>
        <w:rPr>
          <w:rFonts w:ascii="Arial" w:eastAsia="Calibri" w:hAnsi="Arial" w:cs="Arial"/>
          <w:lang w:val="es-ES"/>
        </w:rPr>
        <w:t>El titular del proyecto únicamente puede requerir aclaración o corrección de errores materiales, no siendo cuestionable el valor comercial determinado en la tasación.</w:t>
      </w:r>
    </w:p>
    <w:p w:rsidR="00FC4316" w:rsidRPr="00FC4316" w:rsidRDefault="00FC4316" w:rsidP="00FC4316">
      <w:pPr>
        <w:pStyle w:val="Prrafodelista"/>
        <w:rPr>
          <w:rFonts w:ascii="Arial" w:eastAsia="Calibri" w:hAnsi="Arial" w:cs="Arial"/>
          <w:lang w:val="es-ES"/>
        </w:rPr>
      </w:pPr>
    </w:p>
    <w:p w:rsidR="00FC4316" w:rsidRDefault="00FC4316" w:rsidP="0092471C">
      <w:pPr>
        <w:pStyle w:val="Prrafodelista"/>
        <w:numPr>
          <w:ilvl w:val="2"/>
          <w:numId w:val="244"/>
        </w:numPr>
        <w:spacing w:after="0" w:line="240" w:lineRule="auto"/>
        <w:ind w:left="1701"/>
        <w:jc w:val="both"/>
        <w:rPr>
          <w:rFonts w:ascii="Arial" w:eastAsia="Calibri" w:hAnsi="Arial" w:cs="Arial"/>
          <w:lang w:val="es-ES"/>
        </w:rPr>
      </w:pPr>
      <w:r>
        <w:rPr>
          <w:rFonts w:ascii="Arial" w:eastAsia="Calibri" w:hAnsi="Arial" w:cs="Arial"/>
          <w:lang w:val="es-ES"/>
        </w:rPr>
        <w:t>Tratándose de predios de propiedad del Estado, administrados de manera directa por la SBN, en la comunicación de la tasación se hace llegar la propuesta de la forma de pago de la contraprestación por la servidumbre.</w:t>
      </w:r>
    </w:p>
    <w:p w:rsidR="00FC4316" w:rsidRPr="00FC4316" w:rsidRDefault="00FC4316" w:rsidP="00FC4316">
      <w:pPr>
        <w:pStyle w:val="Prrafodelista"/>
        <w:rPr>
          <w:rFonts w:ascii="Arial" w:eastAsia="Calibri" w:hAnsi="Arial" w:cs="Arial"/>
          <w:lang w:val="es-ES"/>
        </w:rPr>
      </w:pPr>
    </w:p>
    <w:p w:rsidR="00FC4316" w:rsidRDefault="00FC4316" w:rsidP="0092471C">
      <w:pPr>
        <w:pStyle w:val="Prrafodelista"/>
        <w:numPr>
          <w:ilvl w:val="2"/>
          <w:numId w:val="244"/>
        </w:numPr>
        <w:spacing w:after="0" w:line="240" w:lineRule="auto"/>
        <w:ind w:left="1701"/>
        <w:jc w:val="both"/>
        <w:rPr>
          <w:rFonts w:ascii="Arial" w:eastAsia="Calibri" w:hAnsi="Arial" w:cs="Arial"/>
          <w:lang w:val="es-ES"/>
        </w:rPr>
      </w:pPr>
      <w:r>
        <w:rPr>
          <w:rFonts w:ascii="Arial" w:eastAsia="Calibri" w:hAnsi="Arial" w:cs="Arial"/>
          <w:lang w:val="es-ES"/>
        </w:rPr>
        <w:t>La contraprestación por la servidumbre se considera desde la fecha de suscripción del Acta de Entrega – Recepción.</w:t>
      </w:r>
    </w:p>
    <w:p w:rsidR="00FC4316" w:rsidRPr="00FC4316" w:rsidRDefault="00FC4316" w:rsidP="00FC4316">
      <w:pPr>
        <w:pStyle w:val="Prrafodelista"/>
        <w:rPr>
          <w:rFonts w:ascii="Arial" w:eastAsia="Calibri" w:hAnsi="Arial" w:cs="Arial"/>
          <w:lang w:val="es-ES"/>
        </w:rPr>
      </w:pPr>
    </w:p>
    <w:p w:rsidR="00FC4316" w:rsidRDefault="00FC4316" w:rsidP="0092471C">
      <w:pPr>
        <w:pStyle w:val="Prrafodelista"/>
        <w:numPr>
          <w:ilvl w:val="2"/>
          <w:numId w:val="244"/>
        </w:numPr>
        <w:spacing w:after="0" w:line="240" w:lineRule="auto"/>
        <w:ind w:left="1701"/>
        <w:jc w:val="both"/>
        <w:rPr>
          <w:rFonts w:ascii="Arial" w:eastAsia="Calibri" w:hAnsi="Arial" w:cs="Arial"/>
          <w:lang w:val="es-ES"/>
        </w:rPr>
      </w:pPr>
      <w:r>
        <w:rPr>
          <w:rFonts w:ascii="Arial" w:eastAsia="Calibri" w:hAnsi="Arial" w:cs="Arial"/>
          <w:lang w:val="es-ES"/>
        </w:rPr>
        <w:t>La cancelación de la contraprestación puede ser en una sola armada o en cuotas anuales; el número de cuotas es establecido por la entidad que aprueba la servidumbre, en la respectiva resolución.</w:t>
      </w:r>
    </w:p>
    <w:p w:rsidR="00FC4316" w:rsidRPr="00FC4316" w:rsidRDefault="00FC4316" w:rsidP="00FC4316">
      <w:pPr>
        <w:pStyle w:val="Prrafodelista"/>
        <w:rPr>
          <w:rFonts w:ascii="Arial" w:eastAsia="Calibri" w:hAnsi="Arial" w:cs="Arial"/>
          <w:lang w:val="es-ES"/>
        </w:rPr>
      </w:pPr>
    </w:p>
    <w:p w:rsidR="00FC4316" w:rsidRDefault="00FC4316" w:rsidP="0092471C">
      <w:pPr>
        <w:pStyle w:val="Prrafodelista"/>
        <w:numPr>
          <w:ilvl w:val="2"/>
          <w:numId w:val="244"/>
        </w:numPr>
        <w:spacing w:after="0" w:line="240" w:lineRule="auto"/>
        <w:ind w:left="1701"/>
        <w:jc w:val="both"/>
        <w:rPr>
          <w:rFonts w:ascii="Arial" w:eastAsia="Calibri" w:hAnsi="Arial" w:cs="Arial"/>
          <w:lang w:val="es-ES"/>
        </w:rPr>
      </w:pPr>
      <w:r>
        <w:rPr>
          <w:rFonts w:ascii="Arial" w:eastAsia="Calibri" w:hAnsi="Arial" w:cs="Arial"/>
          <w:lang w:val="es-ES"/>
        </w:rPr>
        <w:t>Cuando se establezca el pago en cuotas, el valor de éstas se obtiene dividiendo el valor total de la servidumbre entre el número de cuotas aprobadas, monto que se actualizará anualmente con el índice de Precios al Consumidor.</w:t>
      </w:r>
    </w:p>
    <w:p w:rsidR="00FC4316" w:rsidRPr="00FC4316" w:rsidRDefault="00FC4316" w:rsidP="00FC4316">
      <w:pPr>
        <w:pStyle w:val="Prrafodelista"/>
        <w:rPr>
          <w:rFonts w:ascii="Arial" w:eastAsia="Calibri" w:hAnsi="Arial" w:cs="Arial"/>
          <w:lang w:val="es-ES"/>
        </w:rPr>
      </w:pPr>
    </w:p>
    <w:p w:rsidR="00FC4316" w:rsidRDefault="00FC4316" w:rsidP="0092471C">
      <w:pPr>
        <w:pStyle w:val="Prrafodelista"/>
        <w:numPr>
          <w:ilvl w:val="2"/>
          <w:numId w:val="244"/>
        </w:numPr>
        <w:spacing w:after="0" w:line="240" w:lineRule="auto"/>
        <w:ind w:left="1701"/>
        <w:jc w:val="both"/>
        <w:rPr>
          <w:rFonts w:ascii="Arial" w:eastAsia="Calibri" w:hAnsi="Arial" w:cs="Arial"/>
          <w:lang w:val="es-ES"/>
        </w:rPr>
      </w:pPr>
      <w:r>
        <w:rPr>
          <w:rFonts w:ascii="Arial" w:eastAsia="Calibri" w:hAnsi="Arial" w:cs="Arial"/>
          <w:lang w:val="es-ES"/>
        </w:rPr>
        <w:t>Por razones de eficiencia en la gestión de cobro de la contraprestación, la entidad titular del bien puede disponer que el pago sea efectuado en una sola cuota, cuando esta no supere las treinta (30) UIT.</w:t>
      </w:r>
    </w:p>
    <w:p w:rsidR="00FC4316" w:rsidRPr="00FC4316" w:rsidRDefault="00FC4316" w:rsidP="00FC4316">
      <w:pPr>
        <w:pStyle w:val="Prrafodelista"/>
        <w:rPr>
          <w:rFonts w:ascii="Arial" w:eastAsia="Calibri" w:hAnsi="Arial" w:cs="Arial"/>
          <w:lang w:val="es-ES"/>
        </w:rPr>
      </w:pPr>
    </w:p>
    <w:p w:rsidR="00FC4316" w:rsidRDefault="00FC4316" w:rsidP="0092471C">
      <w:pPr>
        <w:pStyle w:val="Prrafodelista"/>
        <w:numPr>
          <w:ilvl w:val="2"/>
          <w:numId w:val="244"/>
        </w:numPr>
        <w:spacing w:after="0" w:line="240" w:lineRule="auto"/>
        <w:ind w:left="1701"/>
        <w:jc w:val="both"/>
        <w:rPr>
          <w:rFonts w:ascii="Arial" w:eastAsia="Calibri" w:hAnsi="Arial" w:cs="Arial"/>
          <w:lang w:val="es-ES"/>
        </w:rPr>
      </w:pPr>
      <w:r>
        <w:rPr>
          <w:rFonts w:ascii="Arial" w:eastAsia="Calibri" w:hAnsi="Arial" w:cs="Arial"/>
          <w:lang w:val="es-ES"/>
        </w:rPr>
        <w:t>Tratándose de terrenos de propiedad del Estado, administrados por los Gobiernos Regionales con funciones transferidas o terrenos de propiedad de las entidades públicas del SNBE, la propuesta de la forma de pago de la contraprestación es efectuada por dichas entidades, una vez que la SBN derive los expedientes con la aceptación del valor comercial, para  lo cual aplica las reglas previstas en los numerales anteriores.</w:t>
      </w:r>
    </w:p>
    <w:p w:rsidR="00FC4316" w:rsidRPr="00FC4316" w:rsidRDefault="00FC4316" w:rsidP="00FC4316">
      <w:pPr>
        <w:pStyle w:val="Prrafodelista"/>
        <w:rPr>
          <w:rFonts w:ascii="Arial" w:eastAsia="Calibri" w:hAnsi="Arial" w:cs="Arial"/>
          <w:lang w:val="es-ES"/>
        </w:rPr>
      </w:pPr>
    </w:p>
    <w:p w:rsidR="00FC4316" w:rsidRDefault="00195A39" w:rsidP="0092471C">
      <w:pPr>
        <w:pStyle w:val="Prrafodelista"/>
        <w:numPr>
          <w:ilvl w:val="2"/>
          <w:numId w:val="244"/>
        </w:numPr>
        <w:spacing w:after="0" w:line="240" w:lineRule="auto"/>
        <w:ind w:left="1701"/>
        <w:jc w:val="both"/>
        <w:rPr>
          <w:rFonts w:ascii="Arial" w:eastAsia="Calibri" w:hAnsi="Arial" w:cs="Arial"/>
          <w:lang w:val="es-ES"/>
        </w:rPr>
      </w:pPr>
      <w:r>
        <w:rPr>
          <w:rFonts w:ascii="Arial" w:eastAsia="Calibri" w:hAnsi="Arial" w:cs="Arial"/>
          <w:lang w:val="es-ES"/>
        </w:rPr>
        <w:t>Si con posterioridad a la tasación y habiéndose remitido el expediente a la entidad titular o competente del terreno, se reduce el área del terreno que fue objeto de valorización, la entidad titular o competente puede realizar el ajuste de la mencionada tasación.</w:t>
      </w:r>
    </w:p>
    <w:p w:rsidR="00FC4316" w:rsidRPr="00FC4316" w:rsidRDefault="00FC4316" w:rsidP="00FC4316">
      <w:pPr>
        <w:pStyle w:val="Prrafodelista"/>
        <w:spacing w:after="0" w:line="240" w:lineRule="auto"/>
        <w:jc w:val="both"/>
        <w:rPr>
          <w:rFonts w:ascii="Arial" w:eastAsia="Calibri" w:hAnsi="Arial" w:cs="Arial"/>
          <w:lang w:val="es-ES"/>
        </w:rPr>
      </w:pPr>
    </w:p>
    <w:p w:rsidR="00FC4316" w:rsidRDefault="00195A39" w:rsidP="0092471C">
      <w:pPr>
        <w:pStyle w:val="Prrafodelista"/>
        <w:numPr>
          <w:ilvl w:val="1"/>
          <w:numId w:val="244"/>
        </w:numPr>
        <w:spacing w:after="0" w:line="240" w:lineRule="auto"/>
        <w:ind w:left="993" w:hanging="567"/>
        <w:jc w:val="both"/>
        <w:rPr>
          <w:rFonts w:ascii="Arial" w:eastAsia="Calibri" w:hAnsi="Arial" w:cs="Arial"/>
          <w:b/>
          <w:lang w:val="es-ES"/>
        </w:rPr>
      </w:pPr>
      <w:r>
        <w:rPr>
          <w:rFonts w:ascii="Arial" w:eastAsia="Calibri" w:hAnsi="Arial" w:cs="Arial"/>
          <w:b/>
          <w:lang w:val="es-ES"/>
        </w:rPr>
        <w:t>Del pago de la contraprestación de la servidumbre</w:t>
      </w:r>
    </w:p>
    <w:p w:rsidR="00195A39" w:rsidRDefault="00195A39" w:rsidP="00195A39">
      <w:pPr>
        <w:pStyle w:val="Prrafodelista"/>
        <w:spacing w:after="0" w:line="240" w:lineRule="auto"/>
        <w:ind w:left="993"/>
        <w:jc w:val="both"/>
        <w:rPr>
          <w:rFonts w:ascii="Arial" w:eastAsia="Calibri" w:hAnsi="Arial" w:cs="Arial"/>
          <w:b/>
          <w:lang w:val="es-ES"/>
        </w:rPr>
      </w:pPr>
    </w:p>
    <w:p w:rsidR="00195A39" w:rsidRDefault="00195A39" w:rsidP="0092471C">
      <w:pPr>
        <w:pStyle w:val="Prrafodelista"/>
        <w:numPr>
          <w:ilvl w:val="2"/>
          <w:numId w:val="244"/>
        </w:numPr>
        <w:spacing w:after="0" w:line="240" w:lineRule="auto"/>
        <w:ind w:left="1701"/>
        <w:jc w:val="both"/>
        <w:rPr>
          <w:rFonts w:ascii="Arial" w:eastAsia="Calibri" w:hAnsi="Arial" w:cs="Arial"/>
          <w:lang w:val="es-ES"/>
        </w:rPr>
      </w:pPr>
      <w:r>
        <w:rPr>
          <w:rFonts w:ascii="Arial" w:eastAsia="Calibri" w:hAnsi="Arial" w:cs="Arial"/>
          <w:lang w:val="es-ES"/>
        </w:rPr>
        <w:t>La resolución que aprueba la constitución de la servidumbre debe precisar el valor de la contraprestación y su forma de pago, así como el plazo para la cancelación de la contraprestación.</w:t>
      </w:r>
    </w:p>
    <w:p w:rsidR="00195A39" w:rsidRDefault="00195A39" w:rsidP="00195A39">
      <w:pPr>
        <w:pStyle w:val="Prrafodelista"/>
        <w:spacing w:after="0" w:line="240" w:lineRule="auto"/>
        <w:ind w:left="1701"/>
        <w:jc w:val="both"/>
        <w:rPr>
          <w:rFonts w:ascii="Arial" w:eastAsia="Calibri" w:hAnsi="Arial" w:cs="Arial"/>
          <w:lang w:val="es-ES"/>
        </w:rPr>
      </w:pPr>
    </w:p>
    <w:p w:rsidR="00195A39" w:rsidRDefault="00195A39" w:rsidP="0092471C">
      <w:pPr>
        <w:pStyle w:val="Prrafodelista"/>
        <w:numPr>
          <w:ilvl w:val="2"/>
          <w:numId w:val="244"/>
        </w:numPr>
        <w:spacing w:after="0" w:line="240" w:lineRule="auto"/>
        <w:ind w:left="1701"/>
        <w:jc w:val="both"/>
        <w:rPr>
          <w:rFonts w:ascii="Arial" w:eastAsia="Calibri" w:hAnsi="Arial" w:cs="Arial"/>
          <w:lang w:val="es-ES"/>
        </w:rPr>
      </w:pPr>
      <w:r>
        <w:rPr>
          <w:rFonts w:ascii="Arial" w:eastAsia="Calibri" w:hAnsi="Arial" w:cs="Arial"/>
          <w:lang w:val="es-ES"/>
        </w:rPr>
        <w:t>El valor de la contraprestación por la constitución de servidumbre debe ser cancelado por el titular del proyecto de inversión, de acuerdo a la forma de pago establecida en la resolución que aprueba la servidumbre, dentro del plazo de quince (15) días hábiles contados a partir de la notificación de dicha resolución.</w:t>
      </w:r>
    </w:p>
    <w:p w:rsidR="00195A39" w:rsidRPr="00195A39" w:rsidRDefault="00195A39" w:rsidP="00195A39">
      <w:pPr>
        <w:pStyle w:val="Prrafodelista"/>
        <w:rPr>
          <w:rFonts w:ascii="Arial" w:eastAsia="Calibri" w:hAnsi="Arial" w:cs="Arial"/>
          <w:lang w:val="es-ES"/>
        </w:rPr>
      </w:pPr>
    </w:p>
    <w:p w:rsidR="00195A39" w:rsidRDefault="00195A39" w:rsidP="0092471C">
      <w:pPr>
        <w:pStyle w:val="Prrafodelista"/>
        <w:numPr>
          <w:ilvl w:val="2"/>
          <w:numId w:val="244"/>
        </w:numPr>
        <w:spacing w:after="0" w:line="240" w:lineRule="auto"/>
        <w:ind w:left="1701"/>
        <w:jc w:val="both"/>
        <w:rPr>
          <w:rFonts w:ascii="Arial" w:eastAsia="Calibri" w:hAnsi="Arial" w:cs="Arial"/>
          <w:lang w:val="es-ES"/>
        </w:rPr>
      </w:pPr>
      <w:r>
        <w:rPr>
          <w:rFonts w:ascii="Arial" w:eastAsia="Calibri" w:hAnsi="Arial" w:cs="Arial"/>
          <w:lang w:val="es-ES"/>
        </w:rPr>
        <w:t>El pago se efectúa mediante Cheque de Gerencia No Negociable o depósito en la cuenta corriente de la entidad propietaria o administradora del predio.</w:t>
      </w:r>
    </w:p>
    <w:p w:rsidR="00195A39" w:rsidRPr="00195A39" w:rsidRDefault="00195A39" w:rsidP="00195A39">
      <w:pPr>
        <w:pStyle w:val="Prrafodelista"/>
        <w:rPr>
          <w:rFonts w:ascii="Arial" w:eastAsia="Calibri" w:hAnsi="Arial" w:cs="Arial"/>
          <w:lang w:val="es-ES"/>
        </w:rPr>
      </w:pPr>
    </w:p>
    <w:p w:rsidR="00195A39" w:rsidRDefault="00195A39" w:rsidP="0092471C">
      <w:pPr>
        <w:pStyle w:val="Prrafodelista"/>
        <w:numPr>
          <w:ilvl w:val="2"/>
          <w:numId w:val="244"/>
        </w:numPr>
        <w:spacing w:after="0" w:line="240" w:lineRule="auto"/>
        <w:ind w:left="1701"/>
        <w:jc w:val="both"/>
        <w:rPr>
          <w:rFonts w:ascii="Arial" w:eastAsia="Calibri" w:hAnsi="Arial" w:cs="Arial"/>
          <w:lang w:val="es-ES"/>
        </w:rPr>
      </w:pPr>
      <w:r>
        <w:rPr>
          <w:rFonts w:ascii="Arial" w:eastAsia="Calibri" w:hAnsi="Arial" w:cs="Arial"/>
          <w:lang w:val="es-ES"/>
        </w:rPr>
        <w:t>Si no se efectúa el pago de la contraprestación, SDAPE, en el caso de los predios bajo administración de la SBN, o la unidad orgánica competente, en el caso de las demás entidades, requiere al titular del proyecto de inversión mediante oficio a fin que cumpla con efectuar el pago adeudado en un plazo no mayor a diez (10) días hábiles, contados desde la respectiva notificación, aplicando la mora correspondiente.</w:t>
      </w:r>
    </w:p>
    <w:p w:rsidR="00195A39" w:rsidRPr="00195A39" w:rsidRDefault="00195A39" w:rsidP="00195A39">
      <w:pPr>
        <w:pStyle w:val="Prrafodelista"/>
        <w:rPr>
          <w:rFonts w:ascii="Arial" w:eastAsia="Calibri" w:hAnsi="Arial" w:cs="Arial"/>
          <w:lang w:val="es-ES"/>
        </w:rPr>
      </w:pPr>
    </w:p>
    <w:p w:rsidR="00195A39" w:rsidRDefault="00195A39" w:rsidP="0092471C">
      <w:pPr>
        <w:pStyle w:val="Prrafodelista"/>
        <w:numPr>
          <w:ilvl w:val="2"/>
          <w:numId w:val="244"/>
        </w:numPr>
        <w:spacing w:after="0" w:line="240" w:lineRule="auto"/>
        <w:ind w:left="1701"/>
        <w:jc w:val="both"/>
        <w:rPr>
          <w:rFonts w:ascii="Arial" w:eastAsia="Calibri" w:hAnsi="Arial" w:cs="Arial"/>
          <w:lang w:val="es-ES"/>
        </w:rPr>
      </w:pPr>
      <w:r>
        <w:rPr>
          <w:rFonts w:ascii="Arial" w:eastAsia="Calibri" w:hAnsi="Arial" w:cs="Arial"/>
          <w:lang w:val="es-ES"/>
        </w:rPr>
        <w:t xml:space="preserve">De persistir el incumplimiento, SDAPE o la unidad orgánica competente, en el caso de las demás entidades, debe dejar sin efecto la resolución que aprueba la servidumbre, requiriendo la devolución del terreno. </w:t>
      </w:r>
    </w:p>
    <w:p w:rsidR="00195A39" w:rsidRPr="00195A39" w:rsidRDefault="00195A39" w:rsidP="00195A39">
      <w:pPr>
        <w:pStyle w:val="Prrafodelista"/>
        <w:spacing w:after="0" w:line="240" w:lineRule="auto"/>
        <w:jc w:val="both"/>
        <w:rPr>
          <w:rFonts w:ascii="Arial" w:eastAsia="Calibri" w:hAnsi="Arial" w:cs="Arial"/>
          <w:lang w:val="es-ES"/>
        </w:rPr>
      </w:pPr>
    </w:p>
    <w:p w:rsidR="00195A39" w:rsidRDefault="00195A39" w:rsidP="0092471C">
      <w:pPr>
        <w:pStyle w:val="Prrafodelista"/>
        <w:numPr>
          <w:ilvl w:val="1"/>
          <w:numId w:val="244"/>
        </w:numPr>
        <w:spacing w:after="0" w:line="240" w:lineRule="auto"/>
        <w:ind w:left="993" w:hanging="567"/>
        <w:jc w:val="both"/>
        <w:rPr>
          <w:rFonts w:ascii="Arial" w:eastAsia="Calibri" w:hAnsi="Arial" w:cs="Arial"/>
          <w:b/>
          <w:lang w:val="es-ES"/>
        </w:rPr>
      </w:pPr>
      <w:r>
        <w:rPr>
          <w:rFonts w:ascii="Arial" w:eastAsia="Calibri" w:hAnsi="Arial" w:cs="Arial"/>
          <w:b/>
          <w:lang w:val="es-ES"/>
        </w:rPr>
        <w:t>Del contrato de servidumbre y de la entrega definitiva del terreno</w:t>
      </w:r>
    </w:p>
    <w:p w:rsidR="00195A39" w:rsidRDefault="00195A39" w:rsidP="00195A39">
      <w:pPr>
        <w:pStyle w:val="Prrafodelista"/>
        <w:spacing w:after="0" w:line="240" w:lineRule="auto"/>
        <w:ind w:left="993"/>
        <w:jc w:val="both"/>
        <w:rPr>
          <w:rFonts w:ascii="Arial" w:eastAsia="Calibri" w:hAnsi="Arial" w:cs="Arial"/>
          <w:b/>
          <w:lang w:val="es-ES"/>
        </w:rPr>
      </w:pPr>
    </w:p>
    <w:p w:rsidR="00437681" w:rsidRDefault="00437681" w:rsidP="0092471C">
      <w:pPr>
        <w:pStyle w:val="Prrafodelista"/>
        <w:numPr>
          <w:ilvl w:val="2"/>
          <w:numId w:val="244"/>
        </w:numPr>
        <w:shd w:val="clear" w:color="auto" w:fill="FFFFFF"/>
        <w:overflowPunct w:val="0"/>
        <w:autoSpaceDE w:val="0"/>
        <w:autoSpaceDN w:val="0"/>
        <w:adjustRightInd w:val="0"/>
        <w:spacing w:after="0" w:line="240" w:lineRule="auto"/>
        <w:ind w:left="1701"/>
        <w:jc w:val="both"/>
        <w:rPr>
          <w:rFonts w:ascii="Arial" w:hAnsi="Arial" w:cs="Arial"/>
        </w:rPr>
      </w:pPr>
      <w:r w:rsidRPr="00437681">
        <w:rPr>
          <w:rFonts w:ascii="Arial" w:hAnsi="Arial" w:cs="Arial"/>
        </w:rPr>
        <w:t xml:space="preserve">Luego de que el titular del proyecto de inversión efectúe el pago de la contraprestación conforme a la forma de pago aprobada en la resolución, </w:t>
      </w:r>
      <w:r w:rsidRPr="00437681">
        <w:rPr>
          <w:rFonts w:ascii="Arial" w:hAnsi="Arial" w:cs="Arial"/>
          <w:lang w:bidi="he-IL"/>
        </w:rPr>
        <w:t>s</w:t>
      </w:r>
      <w:r w:rsidRPr="00437681">
        <w:rPr>
          <w:rFonts w:ascii="Arial" w:hAnsi="Arial" w:cs="Arial"/>
        </w:rPr>
        <w:t xml:space="preserve">e procederá a suscribir el contrato respectivo dentro del plazo de diez (10) días hábiles. </w:t>
      </w:r>
    </w:p>
    <w:p w:rsidR="00437681" w:rsidRDefault="00437681" w:rsidP="00437681">
      <w:pPr>
        <w:pStyle w:val="Prrafodelista"/>
        <w:shd w:val="clear" w:color="auto" w:fill="FFFFFF"/>
        <w:overflowPunct w:val="0"/>
        <w:autoSpaceDE w:val="0"/>
        <w:autoSpaceDN w:val="0"/>
        <w:adjustRightInd w:val="0"/>
        <w:spacing w:after="0" w:line="240" w:lineRule="auto"/>
        <w:ind w:left="1701"/>
        <w:jc w:val="both"/>
        <w:rPr>
          <w:rFonts w:ascii="Arial" w:hAnsi="Arial" w:cs="Arial"/>
        </w:rPr>
      </w:pPr>
    </w:p>
    <w:p w:rsidR="00437681" w:rsidRDefault="00437681" w:rsidP="0092471C">
      <w:pPr>
        <w:pStyle w:val="Prrafodelista"/>
        <w:numPr>
          <w:ilvl w:val="2"/>
          <w:numId w:val="244"/>
        </w:numPr>
        <w:shd w:val="clear" w:color="auto" w:fill="FFFFFF"/>
        <w:overflowPunct w:val="0"/>
        <w:autoSpaceDE w:val="0"/>
        <w:autoSpaceDN w:val="0"/>
        <w:adjustRightInd w:val="0"/>
        <w:spacing w:after="0" w:line="240" w:lineRule="auto"/>
        <w:ind w:left="1701"/>
        <w:jc w:val="both"/>
        <w:rPr>
          <w:rFonts w:ascii="Arial" w:hAnsi="Arial" w:cs="Arial"/>
        </w:rPr>
      </w:pPr>
      <w:r w:rsidRPr="00B01BFF">
        <w:rPr>
          <w:rFonts w:ascii="Arial" w:hAnsi="Arial" w:cs="Arial"/>
        </w:rPr>
        <w:t>Dicho contrato podrá ser elevado a escritura pública, a pedido del</w:t>
      </w:r>
      <w:r>
        <w:rPr>
          <w:rFonts w:ascii="Arial" w:hAnsi="Arial" w:cs="Arial"/>
        </w:rPr>
        <w:t xml:space="preserve"> </w:t>
      </w:r>
      <w:r w:rsidRPr="00B01BFF">
        <w:rPr>
          <w:rFonts w:ascii="Arial" w:hAnsi="Arial" w:cs="Arial"/>
        </w:rPr>
        <w:t xml:space="preserve"> titular del proyecto de inversión, quien asumirá los gastos notariales y registrales, a que hubiera lugar,  incluida  una copia  del  testimonio  a  favor de la  entidad propietaria del terreno.</w:t>
      </w:r>
    </w:p>
    <w:p w:rsidR="00437681" w:rsidRPr="00DF0663" w:rsidRDefault="00437681" w:rsidP="00437681">
      <w:pPr>
        <w:pStyle w:val="Prrafodelista"/>
        <w:ind w:left="1701"/>
        <w:rPr>
          <w:rFonts w:ascii="Arial" w:hAnsi="Arial" w:cs="Arial"/>
        </w:rPr>
      </w:pPr>
    </w:p>
    <w:p w:rsidR="00437681" w:rsidRPr="00DF0663" w:rsidRDefault="00437681" w:rsidP="0092471C">
      <w:pPr>
        <w:pStyle w:val="Prrafodelista"/>
        <w:numPr>
          <w:ilvl w:val="2"/>
          <w:numId w:val="244"/>
        </w:numPr>
        <w:shd w:val="clear" w:color="auto" w:fill="FFFFFF"/>
        <w:overflowPunct w:val="0"/>
        <w:autoSpaceDE w:val="0"/>
        <w:autoSpaceDN w:val="0"/>
        <w:adjustRightInd w:val="0"/>
        <w:spacing w:after="0" w:line="240" w:lineRule="auto"/>
        <w:ind w:left="1701"/>
        <w:jc w:val="both"/>
        <w:rPr>
          <w:rFonts w:ascii="Arial" w:hAnsi="Arial" w:cs="Arial"/>
        </w:rPr>
      </w:pPr>
      <w:r w:rsidRPr="00DF0663">
        <w:rPr>
          <w:rFonts w:ascii="Arial" w:hAnsi="Arial" w:cs="Arial"/>
        </w:rPr>
        <w:t>Una vez suscrito el contrato de servidumbre, si no hay variación del área materia de la entrega provisional, dicha entrega será considerada como entrega definitiva, sin necesidad de requerirse de la suscripción de una nueva acta; en caso contrario, se suscribirá el acta de entrega definitiva.</w:t>
      </w:r>
    </w:p>
    <w:p w:rsidR="00437681" w:rsidRDefault="00437681" w:rsidP="00437681">
      <w:pPr>
        <w:pStyle w:val="Prrafodelista"/>
        <w:shd w:val="clear" w:color="auto" w:fill="FFFFFF"/>
        <w:overflowPunct w:val="0"/>
        <w:autoSpaceDE w:val="0"/>
        <w:autoSpaceDN w:val="0"/>
        <w:adjustRightInd w:val="0"/>
        <w:spacing w:after="0" w:line="240" w:lineRule="auto"/>
        <w:ind w:left="1701"/>
        <w:jc w:val="both"/>
        <w:rPr>
          <w:rFonts w:ascii="Arial" w:hAnsi="Arial" w:cs="Arial"/>
        </w:rPr>
      </w:pPr>
    </w:p>
    <w:p w:rsidR="00747E3E" w:rsidRDefault="00747E3E" w:rsidP="00437681">
      <w:pPr>
        <w:pStyle w:val="Prrafodelista"/>
        <w:shd w:val="clear" w:color="auto" w:fill="FFFFFF"/>
        <w:overflowPunct w:val="0"/>
        <w:autoSpaceDE w:val="0"/>
        <w:autoSpaceDN w:val="0"/>
        <w:adjustRightInd w:val="0"/>
        <w:spacing w:after="0" w:line="240" w:lineRule="auto"/>
        <w:ind w:left="1701"/>
        <w:jc w:val="both"/>
        <w:rPr>
          <w:rFonts w:ascii="Arial" w:hAnsi="Arial" w:cs="Arial"/>
        </w:rPr>
      </w:pPr>
    </w:p>
    <w:p w:rsidR="00747E3E" w:rsidRPr="00437681" w:rsidRDefault="00747E3E" w:rsidP="00437681">
      <w:pPr>
        <w:pStyle w:val="Prrafodelista"/>
        <w:shd w:val="clear" w:color="auto" w:fill="FFFFFF"/>
        <w:overflowPunct w:val="0"/>
        <w:autoSpaceDE w:val="0"/>
        <w:autoSpaceDN w:val="0"/>
        <w:adjustRightInd w:val="0"/>
        <w:spacing w:after="0" w:line="240" w:lineRule="auto"/>
        <w:ind w:left="1701"/>
        <w:jc w:val="both"/>
        <w:rPr>
          <w:rFonts w:ascii="Arial" w:hAnsi="Arial" w:cs="Arial"/>
        </w:rPr>
      </w:pPr>
    </w:p>
    <w:p w:rsidR="00195A39" w:rsidRDefault="00437681" w:rsidP="0092471C">
      <w:pPr>
        <w:pStyle w:val="Prrafodelista"/>
        <w:numPr>
          <w:ilvl w:val="1"/>
          <w:numId w:val="244"/>
        </w:numPr>
        <w:spacing w:after="0" w:line="240" w:lineRule="auto"/>
        <w:ind w:left="993" w:hanging="567"/>
        <w:jc w:val="both"/>
        <w:rPr>
          <w:rFonts w:ascii="Arial" w:eastAsia="Calibri" w:hAnsi="Arial" w:cs="Arial"/>
          <w:b/>
          <w:lang w:val="es-ES"/>
        </w:rPr>
      </w:pPr>
      <w:r>
        <w:rPr>
          <w:rFonts w:ascii="Arial" w:eastAsia="Calibri" w:hAnsi="Arial" w:cs="Arial"/>
          <w:b/>
          <w:lang w:val="es-ES"/>
        </w:rPr>
        <w:t>De la actualización en el SINABIP</w:t>
      </w:r>
    </w:p>
    <w:p w:rsidR="00437681" w:rsidRDefault="00437681" w:rsidP="00437681">
      <w:pPr>
        <w:pStyle w:val="Prrafodelista"/>
        <w:spacing w:after="0" w:line="240" w:lineRule="auto"/>
        <w:ind w:left="993"/>
        <w:jc w:val="both"/>
        <w:rPr>
          <w:rFonts w:ascii="Arial" w:eastAsia="Calibri" w:hAnsi="Arial" w:cs="Arial"/>
          <w:b/>
          <w:lang w:val="es-ES"/>
        </w:rPr>
      </w:pPr>
    </w:p>
    <w:p w:rsidR="00437681" w:rsidRPr="00437681" w:rsidRDefault="00437681" w:rsidP="0092471C">
      <w:pPr>
        <w:pStyle w:val="Prrafodelista"/>
        <w:numPr>
          <w:ilvl w:val="2"/>
          <w:numId w:val="244"/>
        </w:numPr>
        <w:shd w:val="clear" w:color="auto" w:fill="FFFFFF"/>
        <w:overflowPunct w:val="0"/>
        <w:autoSpaceDE w:val="0"/>
        <w:autoSpaceDN w:val="0"/>
        <w:adjustRightInd w:val="0"/>
        <w:spacing w:after="0" w:line="240" w:lineRule="auto"/>
        <w:ind w:left="1701"/>
        <w:jc w:val="both"/>
        <w:rPr>
          <w:rFonts w:ascii="Arial" w:hAnsi="Arial" w:cs="Arial"/>
        </w:rPr>
      </w:pPr>
      <w:r w:rsidRPr="00437681">
        <w:rPr>
          <w:rFonts w:ascii="Arial" w:hAnsi="Arial" w:cs="Arial"/>
        </w:rPr>
        <w:t xml:space="preserve">En el plazo de diez (10) días hábiles contados desde la fecha en que la resolución que aprueba la servidumbre quedó consentida, debe remitirse la documentación sustentatoria pertinente a la SDRC de la DNR, bajo responsabilidad, luego de lo cual dispondrá el archivo definitivo del expediente. </w:t>
      </w:r>
    </w:p>
    <w:p w:rsidR="00437681" w:rsidRPr="00437681" w:rsidRDefault="00437681" w:rsidP="00437681">
      <w:pPr>
        <w:pStyle w:val="Prrafodelista"/>
        <w:shd w:val="clear" w:color="auto" w:fill="FFFFFF"/>
        <w:overflowPunct w:val="0"/>
        <w:autoSpaceDE w:val="0"/>
        <w:autoSpaceDN w:val="0"/>
        <w:adjustRightInd w:val="0"/>
        <w:spacing w:after="0" w:line="240" w:lineRule="auto"/>
        <w:jc w:val="both"/>
        <w:rPr>
          <w:rFonts w:ascii="Arial" w:hAnsi="Arial" w:cs="Arial"/>
        </w:rPr>
      </w:pPr>
    </w:p>
    <w:p w:rsidR="007E5AD0" w:rsidRDefault="007E5AD0" w:rsidP="007E5AD0">
      <w:pPr>
        <w:pStyle w:val="Prrafodelista"/>
        <w:numPr>
          <w:ilvl w:val="2"/>
          <w:numId w:val="24"/>
        </w:numPr>
        <w:spacing w:after="0" w:line="240" w:lineRule="auto"/>
        <w:ind w:left="426" w:hanging="425"/>
        <w:jc w:val="both"/>
        <w:rPr>
          <w:rFonts w:ascii="Arial" w:eastAsia="Calibri" w:hAnsi="Arial" w:cs="Arial"/>
          <w:b/>
          <w:lang w:val="es-ES"/>
        </w:rPr>
      </w:pPr>
      <w:r>
        <w:rPr>
          <w:rFonts w:ascii="Arial" w:eastAsia="Calibri" w:hAnsi="Arial" w:cs="Arial"/>
          <w:b/>
          <w:lang w:val="es-ES"/>
        </w:rPr>
        <w:t>DISPOSICIONES FINALES</w:t>
      </w:r>
    </w:p>
    <w:p w:rsidR="00437681" w:rsidRPr="00437681" w:rsidRDefault="00437681" w:rsidP="00437681">
      <w:pPr>
        <w:pStyle w:val="Prrafodelista"/>
        <w:ind w:left="426"/>
        <w:jc w:val="both"/>
        <w:rPr>
          <w:rFonts w:ascii="Arial" w:hAnsi="Arial" w:cs="Arial"/>
        </w:rPr>
      </w:pPr>
      <w:r w:rsidRPr="00437681">
        <w:rPr>
          <w:rFonts w:ascii="Arial" w:hAnsi="Arial" w:cs="Arial"/>
        </w:rPr>
        <w:t>La SBN, a través de SDAPE es responsable de velar por el cumplimiento de las disposiciones contenidas en la presente Directiva, respecto a los predios que se encuentran bajo la competencia de la SBN.</w:t>
      </w:r>
    </w:p>
    <w:p w:rsidR="00437681" w:rsidRPr="00437681" w:rsidRDefault="00437681" w:rsidP="00437681">
      <w:pPr>
        <w:pStyle w:val="Prrafodelista"/>
        <w:ind w:left="426"/>
        <w:jc w:val="both"/>
        <w:rPr>
          <w:rFonts w:ascii="Arial" w:hAnsi="Arial" w:cs="Arial"/>
        </w:rPr>
      </w:pPr>
    </w:p>
    <w:p w:rsidR="00437681" w:rsidRPr="00437681" w:rsidRDefault="00437681" w:rsidP="00437681">
      <w:pPr>
        <w:pStyle w:val="Prrafodelista"/>
        <w:ind w:left="426"/>
        <w:jc w:val="both"/>
        <w:rPr>
          <w:rFonts w:ascii="Arial" w:hAnsi="Arial" w:cs="Arial"/>
        </w:rPr>
      </w:pPr>
      <w:r w:rsidRPr="00437681">
        <w:rPr>
          <w:rFonts w:ascii="Arial" w:hAnsi="Arial" w:cs="Arial"/>
        </w:rPr>
        <w:t xml:space="preserve">En las demás entidades que conforman el SNBE, corresponde velar por el cumplimiento de las disposiciones contenidas en la presente Directiva, a los órganos o unidades orgánicas, respecto a los predios bajo su competencia, de acuerdo a sus respectivos documentos de gestión. </w:t>
      </w:r>
    </w:p>
    <w:p w:rsidR="00437681" w:rsidRDefault="00437681" w:rsidP="007E5AD0">
      <w:pPr>
        <w:pStyle w:val="Prrafodelista"/>
        <w:spacing w:after="0" w:line="240" w:lineRule="auto"/>
        <w:ind w:left="426"/>
        <w:jc w:val="both"/>
        <w:rPr>
          <w:rFonts w:ascii="Arial" w:eastAsia="Calibri" w:hAnsi="Arial" w:cs="Arial"/>
          <w:b/>
          <w:lang w:val="es-ES"/>
        </w:rPr>
      </w:pPr>
    </w:p>
    <w:p w:rsidR="007E5AD0" w:rsidRDefault="007E5AD0" w:rsidP="00437681">
      <w:pPr>
        <w:pStyle w:val="Prrafodelista"/>
        <w:spacing w:after="0" w:line="240" w:lineRule="auto"/>
        <w:ind w:left="426"/>
        <w:jc w:val="center"/>
        <w:rPr>
          <w:rFonts w:ascii="Arial" w:eastAsia="Calibri" w:hAnsi="Arial" w:cs="Arial"/>
          <w:b/>
          <w:lang w:val="es-ES"/>
        </w:rPr>
      </w:pPr>
      <w:r>
        <w:rPr>
          <w:rFonts w:ascii="Arial" w:eastAsia="Calibri" w:hAnsi="Arial" w:cs="Arial"/>
          <w:b/>
          <w:lang w:val="es-ES"/>
        </w:rPr>
        <w:t>ANEXO</w:t>
      </w:r>
      <w:r w:rsidR="00437681">
        <w:rPr>
          <w:rFonts w:ascii="Arial" w:eastAsia="Calibri" w:hAnsi="Arial" w:cs="Arial"/>
          <w:b/>
          <w:lang w:val="es-ES"/>
        </w:rPr>
        <w:t xml:space="preserve"> N° 1</w:t>
      </w:r>
    </w:p>
    <w:p w:rsidR="007E5AD0" w:rsidRPr="007E5AD0" w:rsidRDefault="007E5AD0" w:rsidP="00437681">
      <w:pPr>
        <w:pStyle w:val="Prrafodelista"/>
        <w:spacing w:after="0" w:line="240" w:lineRule="auto"/>
        <w:ind w:left="426"/>
        <w:jc w:val="center"/>
        <w:rPr>
          <w:rFonts w:ascii="Arial" w:eastAsia="Calibri" w:hAnsi="Arial" w:cs="Arial"/>
          <w:b/>
          <w:lang w:val="es-ES"/>
        </w:rPr>
      </w:pPr>
      <w:r>
        <w:rPr>
          <w:rFonts w:ascii="Arial" w:eastAsia="Calibri" w:hAnsi="Arial" w:cs="Arial"/>
          <w:b/>
          <w:lang w:val="es-ES"/>
        </w:rPr>
        <w:t>ABREVIATURAS</w:t>
      </w:r>
    </w:p>
    <w:p w:rsidR="007E5AD0" w:rsidRDefault="007E5AD0" w:rsidP="006312E8">
      <w:pPr>
        <w:spacing w:after="0" w:line="240" w:lineRule="auto"/>
        <w:jc w:val="both"/>
        <w:rPr>
          <w:rFonts w:ascii="Arial" w:eastAsia="Calibri" w:hAnsi="Arial" w:cs="Arial"/>
          <w:lang w:val="es-ES"/>
        </w:rPr>
      </w:pPr>
    </w:p>
    <w:p w:rsidR="00437681" w:rsidRDefault="00437681" w:rsidP="00437681">
      <w:pPr>
        <w:spacing w:after="0" w:line="240" w:lineRule="auto"/>
        <w:jc w:val="both"/>
        <w:rPr>
          <w:rFonts w:ascii="Arial" w:hAnsi="Arial" w:cs="Arial"/>
        </w:rPr>
      </w:pPr>
      <w:r>
        <w:rPr>
          <w:rFonts w:ascii="Arial" w:hAnsi="Arial" w:cs="Arial"/>
        </w:rPr>
        <w:t xml:space="preserve">         </w:t>
      </w:r>
      <w:r w:rsidRPr="00B01BFF">
        <w:rPr>
          <w:rFonts w:ascii="Arial" w:hAnsi="Arial" w:cs="Arial"/>
        </w:rPr>
        <w:t xml:space="preserve">Para </w:t>
      </w:r>
      <w:r>
        <w:rPr>
          <w:rFonts w:ascii="Arial" w:hAnsi="Arial" w:cs="Arial"/>
        </w:rPr>
        <w:t xml:space="preserve"> </w:t>
      </w:r>
      <w:r w:rsidRPr="00B01BFF">
        <w:rPr>
          <w:rFonts w:ascii="Arial" w:hAnsi="Arial" w:cs="Arial"/>
        </w:rPr>
        <w:t xml:space="preserve">efectos </w:t>
      </w:r>
      <w:r>
        <w:rPr>
          <w:rFonts w:ascii="Arial" w:hAnsi="Arial" w:cs="Arial"/>
        </w:rPr>
        <w:t xml:space="preserve"> </w:t>
      </w:r>
      <w:r w:rsidRPr="00B01BFF">
        <w:rPr>
          <w:rFonts w:ascii="Arial" w:hAnsi="Arial" w:cs="Arial"/>
        </w:rPr>
        <w:t xml:space="preserve">de </w:t>
      </w:r>
      <w:r>
        <w:rPr>
          <w:rFonts w:ascii="Arial" w:hAnsi="Arial" w:cs="Arial"/>
        </w:rPr>
        <w:t xml:space="preserve"> </w:t>
      </w:r>
      <w:r w:rsidRPr="00B01BFF">
        <w:rPr>
          <w:rFonts w:ascii="Arial" w:hAnsi="Arial" w:cs="Arial"/>
        </w:rPr>
        <w:t xml:space="preserve">la </w:t>
      </w:r>
      <w:r>
        <w:rPr>
          <w:rFonts w:ascii="Arial" w:hAnsi="Arial" w:cs="Arial"/>
        </w:rPr>
        <w:t xml:space="preserve"> </w:t>
      </w:r>
      <w:r w:rsidRPr="00B01BFF">
        <w:rPr>
          <w:rFonts w:ascii="Arial" w:hAnsi="Arial" w:cs="Arial"/>
        </w:rPr>
        <w:t xml:space="preserve">presente </w:t>
      </w:r>
      <w:r>
        <w:rPr>
          <w:rFonts w:ascii="Arial" w:hAnsi="Arial" w:cs="Arial"/>
        </w:rPr>
        <w:t xml:space="preserve"> </w:t>
      </w:r>
      <w:r w:rsidRPr="00B01BFF">
        <w:rPr>
          <w:rFonts w:ascii="Arial" w:hAnsi="Arial" w:cs="Arial"/>
        </w:rPr>
        <w:t xml:space="preserve">Directiva </w:t>
      </w:r>
      <w:r>
        <w:rPr>
          <w:rFonts w:ascii="Arial" w:hAnsi="Arial" w:cs="Arial"/>
        </w:rPr>
        <w:t xml:space="preserve"> </w:t>
      </w:r>
      <w:r w:rsidRPr="00B01BFF">
        <w:rPr>
          <w:rFonts w:ascii="Arial" w:hAnsi="Arial" w:cs="Arial"/>
        </w:rPr>
        <w:t xml:space="preserve">serán </w:t>
      </w:r>
      <w:r>
        <w:rPr>
          <w:rFonts w:ascii="Arial" w:hAnsi="Arial" w:cs="Arial"/>
        </w:rPr>
        <w:t xml:space="preserve"> </w:t>
      </w:r>
      <w:r w:rsidRPr="00B01BFF">
        <w:rPr>
          <w:rFonts w:ascii="Arial" w:hAnsi="Arial" w:cs="Arial"/>
        </w:rPr>
        <w:t xml:space="preserve">de </w:t>
      </w:r>
      <w:r>
        <w:rPr>
          <w:rFonts w:ascii="Arial" w:hAnsi="Arial" w:cs="Arial"/>
        </w:rPr>
        <w:t xml:space="preserve"> </w:t>
      </w:r>
      <w:r w:rsidRPr="00B01BFF">
        <w:rPr>
          <w:rFonts w:ascii="Arial" w:hAnsi="Arial" w:cs="Arial"/>
        </w:rPr>
        <w:t xml:space="preserve">aplicación </w:t>
      </w:r>
      <w:r>
        <w:rPr>
          <w:rFonts w:ascii="Arial" w:hAnsi="Arial" w:cs="Arial"/>
        </w:rPr>
        <w:t xml:space="preserve"> </w:t>
      </w:r>
      <w:r w:rsidRPr="00B01BFF">
        <w:rPr>
          <w:rFonts w:ascii="Arial" w:hAnsi="Arial" w:cs="Arial"/>
        </w:rPr>
        <w:t>las siguientes abreviaturas:</w:t>
      </w:r>
    </w:p>
    <w:p w:rsidR="00437681" w:rsidRDefault="00437681" w:rsidP="00437681">
      <w:pPr>
        <w:spacing w:after="0" w:line="240" w:lineRule="auto"/>
        <w:ind w:firstLine="540"/>
        <w:jc w:val="both"/>
        <w:rPr>
          <w:rFonts w:ascii="Arial" w:hAnsi="Arial" w:cs="Arial"/>
          <w:b/>
        </w:rPr>
      </w:pPr>
    </w:p>
    <w:p w:rsidR="00437681" w:rsidRDefault="00437681" w:rsidP="00437681">
      <w:pPr>
        <w:spacing w:after="0" w:line="240" w:lineRule="auto"/>
        <w:ind w:firstLine="540"/>
        <w:jc w:val="both"/>
        <w:rPr>
          <w:rFonts w:ascii="Arial" w:hAnsi="Arial" w:cs="Arial"/>
        </w:rPr>
      </w:pPr>
      <w:r>
        <w:rPr>
          <w:rFonts w:ascii="Arial" w:hAnsi="Arial" w:cs="Arial"/>
          <w:b/>
        </w:rPr>
        <w:t>DNR</w:t>
      </w:r>
      <w:r w:rsidRPr="00A4655A">
        <w:rPr>
          <w:rFonts w:ascii="Arial" w:hAnsi="Arial" w:cs="Arial"/>
        </w:rPr>
        <w:t>: Dirección</w:t>
      </w:r>
      <w:r>
        <w:rPr>
          <w:rFonts w:ascii="Arial" w:hAnsi="Arial" w:cs="Arial"/>
          <w:b/>
        </w:rPr>
        <w:t xml:space="preserve"> </w:t>
      </w:r>
      <w:r w:rsidRPr="00A4655A">
        <w:rPr>
          <w:rFonts w:ascii="Arial" w:hAnsi="Arial" w:cs="Arial"/>
        </w:rPr>
        <w:t>de Normas y Registro</w:t>
      </w:r>
    </w:p>
    <w:p w:rsidR="00437681" w:rsidRDefault="00437681" w:rsidP="00437681">
      <w:pPr>
        <w:spacing w:after="0" w:line="240" w:lineRule="auto"/>
        <w:ind w:left="540"/>
        <w:jc w:val="both"/>
        <w:rPr>
          <w:rFonts w:ascii="Arial" w:hAnsi="Arial" w:cs="Arial"/>
        </w:rPr>
      </w:pPr>
      <w:r w:rsidRPr="00B01BFF">
        <w:rPr>
          <w:rFonts w:ascii="Arial" w:hAnsi="Arial" w:cs="Arial"/>
          <w:b/>
        </w:rPr>
        <w:t>SBN</w:t>
      </w:r>
      <w:r w:rsidRPr="00B01BFF">
        <w:rPr>
          <w:rFonts w:ascii="Arial" w:hAnsi="Arial" w:cs="Arial"/>
        </w:rPr>
        <w:t>: Superintendencia Nacional de Bienes Estatales.</w:t>
      </w:r>
    </w:p>
    <w:p w:rsidR="00437681" w:rsidRPr="00B01BFF" w:rsidRDefault="00437681" w:rsidP="00437681">
      <w:pPr>
        <w:spacing w:after="0" w:line="240" w:lineRule="auto"/>
        <w:ind w:left="540"/>
        <w:jc w:val="both"/>
        <w:rPr>
          <w:rFonts w:ascii="Arial" w:hAnsi="Arial" w:cs="Arial"/>
        </w:rPr>
      </w:pPr>
      <w:r w:rsidRPr="00B01BFF">
        <w:rPr>
          <w:rFonts w:ascii="Arial" w:hAnsi="Arial" w:cs="Arial"/>
          <w:b/>
        </w:rPr>
        <w:t>SDAPE</w:t>
      </w:r>
      <w:r w:rsidRPr="00B01BFF">
        <w:rPr>
          <w:rFonts w:ascii="Arial" w:hAnsi="Arial" w:cs="Arial"/>
        </w:rPr>
        <w:t>: Subdirección de Administración del Patrimonio Estatal de la SBN.</w:t>
      </w:r>
    </w:p>
    <w:p w:rsidR="00437681" w:rsidRPr="00B01BFF" w:rsidRDefault="00437681" w:rsidP="00437681">
      <w:pPr>
        <w:spacing w:after="0" w:line="240" w:lineRule="auto"/>
        <w:ind w:left="540"/>
        <w:jc w:val="both"/>
        <w:rPr>
          <w:rFonts w:ascii="Arial" w:hAnsi="Arial" w:cs="Arial"/>
        </w:rPr>
      </w:pPr>
      <w:r w:rsidRPr="00B01BFF">
        <w:rPr>
          <w:rFonts w:ascii="Arial" w:hAnsi="Arial" w:cs="Arial"/>
          <w:b/>
        </w:rPr>
        <w:t>SDRC</w:t>
      </w:r>
      <w:r w:rsidRPr="00B01BFF">
        <w:rPr>
          <w:rFonts w:ascii="Arial" w:hAnsi="Arial" w:cs="Arial"/>
        </w:rPr>
        <w:t>: Subdirección de Registro y Catastro de la SBN.</w:t>
      </w:r>
    </w:p>
    <w:p w:rsidR="00437681" w:rsidRPr="00B01BFF" w:rsidRDefault="00437681" w:rsidP="00437681">
      <w:pPr>
        <w:spacing w:after="0" w:line="240" w:lineRule="auto"/>
        <w:ind w:left="540"/>
        <w:jc w:val="both"/>
        <w:rPr>
          <w:rFonts w:ascii="Arial" w:hAnsi="Arial" w:cs="Arial"/>
        </w:rPr>
      </w:pPr>
      <w:r w:rsidRPr="00B01BFF">
        <w:rPr>
          <w:rFonts w:ascii="Arial" w:hAnsi="Arial" w:cs="Arial"/>
          <w:b/>
        </w:rPr>
        <w:t>SINABIP</w:t>
      </w:r>
      <w:r w:rsidRPr="00B01BFF">
        <w:rPr>
          <w:rFonts w:ascii="Arial" w:hAnsi="Arial" w:cs="Arial"/>
        </w:rPr>
        <w:t>: Sistema de Información Nacional de Bienes Estatales.</w:t>
      </w:r>
    </w:p>
    <w:p w:rsidR="00437681" w:rsidRPr="00B01BFF" w:rsidRDefault="00437681" w:rsidP="00437681">
      <w:pPr>
        <w:spacing w:after="0" w:line="240" w:lineRule="auto"/>
        <w:ind w:left="540"/>
        <w:jc w:val="both"/>
        <w:rPr>
          <w:rFonts w:ascii="Arial" w:hAnsi="Arial" w:cs="Arial"/>
        </w:rPr>
      </w:pPr>
      <w:r w:rsidRPr="00B01BFF">
        <w:rPr>
          <w:rFonts w:ascii="Arial" w:hAnsi="Arial" w:cs="Arial"/>
          <w:b/>
        </w:rPr>
        <w:t>SNBE</w:t>
      </w:r>
      <w:r w:rsidRPr="00B01BFF">
        <w:rPr>
          <w:rFonts w:ascii="Arial" w:hAnsi="Arial" w:cs="Arial"/>
        </w:rPr>
        <w:t>: Sistema Nacional de Bienes Estatales</w:t>
      </w:r>
    </w:p>
    <w:p w:rsidR="00437681" w:rsidRPr="00B01BFF" w:rsidRDefault="00437681" w:rsidP="00437681">
      <w:pPr>
        <w:spacing w:after="0" w:line="240" w:lineRule="auto"/>
        <w:ind w:left="540"/>
        <w:jc w:val="both"/>
        <w:rPr>
          <w:rFonts w:ascii="Arial" w:hAnsi="Arial" w:cs="Arial"/>
        </w:rPr>
      </w:pPr>
      <w:r w:rsidRPr="00B01BFF">
        <w:rPr>
          <w:rFonts w:ascii="Arial" w:hAnsi="Arial" w:cs="Arial"/>
          <w:b/>
        </w:rPr>
        <w:t>UIT</w:t>
      </w:r>
      <w:r w:rsidRPr="00B01BFF">
        <w:rPr>
          <w:rFonts w:ascii="Arial" w:hAnsi="Arial" w:cs="Arial"/>
        </w:rPr>
        <w:t>: Unidad Impositiva Tributaria</w:t>
      </w:r>
    </w:p>
    <w:p w:rsidR="00437681" w:rsidRPr="00B01BFF" w:rsidRDefault="00437681" w:rsidP="00437681">
      <w:pPr>
        <w:ind w:left="540"/>
        <w:jc w:val="both"/>
        <w:rPr>
          <w:rFonts w:ascii="Arial" w:hAnsi="Arial" w:cs="Arial"/>
        </w:rPr>
      </w:pPr>
    </w:p>
    <w:p w:rsidR="00437681" w:rsidRDefault="00437681" w:rsidP="006312E8">
      <w:pPr>
        <w:spacing w:after="0" w:line="240" w:lineRule="auto"/>
        <w:jc w:val="both"/>
        <w:rPr>
          <w:rFonts w:ascii="Arial" w:eastAsia="Calibri" w:hAnsi="Arial" w:cs="Arial"/>
          <w:lang w:val="es-ES"/>
        </w:rPr>
      </w:pPr>
    </w:p>
    <w:p w:rsidR="007E5AD0" w:rsidRDefault="007E5AD0" w:rsidP="006312E8">
      <w:pPr>
        <w:spacing w:after="0" w:line="240" w:lineRule="auto"/>
        <w:jc w:val="both"/>
        <w:rPr>
          <w:rFonts w:ascii="Arial" w:eastAsia="Calibri" w:hAnsi="Arial" w:cs="Arial"/>
          <w:lang w:val="es-ES"/>
        </w:rPr>
      </w:pPr>
    </w:p>
    <w:p w:rsidR="007E5AD0" w:rsidRDefault="007E5AD0" w:rsidP="006312E8">
      <w:pPr>
        <w:spacing w:after="0" w:line="240" w:lineRule="auto"/>
        <w:jc w:val="both"/>
        <w:rPr>
          <w:rFonts w:ascii="Arial" w:eastAsia="Calibri" w:hAnsi="Arial" w:cs="Arial"/>
          <w:lang w:val="es-ES"/>
        </w:rPr>
      </w:pPr>
    </w:p>
    <w:p w:rsidR="007E5AD0" w:rsidRDefault="007E5AD0" w:rsidP="006312E8">
      <w:pPr>
        <w:spacing w:after="0" w:line="240" w:lineRule="auto"/>
        <w:jc w:val="both"/>
        <w:rPr>
          <w:rFonts w:ascii="Arial" w:eastAsia="Calibri" w:hAnsi="Arial" w:cs="Arial"/>
          <w:lang w:val="es-ES"/>
        </w:rPr>
      </w:pPr>
    </w:p>
    <w:p w:rsidR="007E5AD0" w:rsidRDefault="007E5AD0" w:rsidP="006312E8">
      <w:pPr>
        <w:spacing w:after="0" w:line="240" w:lineRule="auto"/>
        <w:jc w:val="both"/>
        <w:rPr>
          <w:rFonts w:ascii="Arial" w:eastAsia="Calibri" w:hAnsi="Arial" w:cs="Arial"/>
          <w:lang w:val="es-ES"/>
        </w:rPr>
      </w:pPr>
    </w:p>
    <w:p w:rsidR="007E5AD0" w:rsidRDefault="007E5AD0" w:rsidP="006312E8">
      <w:pPr>
        <w:spacing w:after="0" w:line="240" w:lineRule="auto"/>
        <w:jc w:val="both"/>
        <w:rPr>
          <w:rFonts w:ascii="Arial" w:eastAsia="Calibri" w:hAnsi="Arial" w:cs="Arial"/>
          <w:lang w:val="es-ES"/>
        </w:rPr>
      </w:pPr>
    </w:p>
    <w:p w:rsidR="007E5AD0" w:rsidRDefault="007E5AD0" w:rsidP="006312E8">
      <w:pPr>
        <w:spacing w:after="0" w:line="240" w:lineRule="auto"/>
        <w:jc w:val="both"/>
        <w:rPr>
          <w:rFonts w:ascii="Arial" w:eastAsia="Calibri" w:hAnsi="Arial" w:cs="Arial"/>
          <w:lang w:val="es-ES"/>
        </w:rPr>
      </w:pPr>
    </w:p>
    <w:p w:rsidR="007E5AD0" w:rsidRDefault="007E5AD0" w:rsidP="006312E8">
      <w:pPr>
        <w:spacing w:after="0" w:line="240" w:lineRule="auto"/>
        <w:jc w:val="both"/>
        <w:rPr>
          <w:rFonts w:ascii="Arial" w:eastAsia="Calibri" w:hAnsi="Arial" w:cs="Arial"/>
          <w:lang w:val="es-ES"/>
        </w:rPr>
      </w:pPr>
    </w:p>
    <w:p w:rsidR="007E5AD0" w:rsidRDefault="007E5AD0" w:rsidP="006312E8">
      <w:pPr>
        <w:spacing w:after="0" w:line="240" w:lineRule="auto"/>
        <w:jc w:val="both"/>
        <w:rPr>
          <w:rFonts w:ascii="Arial" w:eastAsia="Calibri" w:hAnsi="Arial" w:cs="Arial"/>
          <w:lang w:val="es-ES"/>
        </w:rPr>
      </w:pPr>
    </w:p>
    <w:p w:rsidR="007E5AD0" w:rsidRDefault="007E5AD0" w:rsidP="006312E8">
      <w:pPr>
        <w:spacing w:after="0" w:line="240" w:lineRule="auto"/>
        <w:jc w:val="both"/>
        <w:rPr>
          <w:rFonts w:ascii="Arial" w:eastAsia="Calibri" w:hAnsi="Arial" w:cs="Arial"/>
          <w:lang w:val="es-ES"/>
        </w:rPr>
      </w:pPr>
    </w:p>
    <w:p w:rsidR="007E5AD0" w:rsidRDefault="007E5AD0" w:rsidP="006312E8">
      <w:pPr>
        <w:spacing w:after="0" w:line="240" w:lineRule="auto"/>
        <w:jc w:val="both"/>
        <w:rPr>
          <w:rFonts w:ascii="Arial" w:eastAsia="Calibri" w:hAnsi="Arial" w:cs="Arial"/>
          <w:lang w:val="es-ES"/>
        </w:rPr>
      </w:pPr>
    </w:p>
    <w:p w:rsidR="007E5AD0" w:rsidRDefault="007E5AD0" w:rsidP="006312E8">
      <w:pPr>
        <w:spacing w:after="0" w:line="240" w:lineRule="auto"/>
        <w:jc w:val="both"/>
        <w:rPr>
          <w:rFonts w:ascii="Arial" w:eastAsia="Calibri" w:hAnsi="Arial" w:cs="Arial"/>
          <w:lang w:val="es-ES"/>
        </w:rPr>
      </w:pPr>
    </w:p>
    <w:p w:rsidR="007E5AD0" w:rsidRDefault="007E5AD0" w:rsidP="006312E8">
      <w:pPr>
        <w:spacing w:after="0" w:line="240" w:lineRule="auto"/>
        <w:jc w:val="both"/>
        <w:rPr>
          <w:rFonts w:ascii="Arial" w:eastAsia="Calibri" w:hAnsi="Arial" w:cs="Arial"/>
          <w:lang w:val="es-ES"/>
        </w:rPr>
      </w:pPr>
    </w:p>
    <w:p w:rsidR="007E5AD0" w:rsidRDefault="007E5AD0" w:rsidP="006312E8">
      <w:pPr>
        <w:spacing w:after="0" w:line="240" w:lineRule="auto"/>
        <w:jc w:val="both"/>
        <w:rPr>
          <w:rFonts w:ascii="Arial" w:eastAsia="Calibri" w:hAnsi="Arial" w:cs="Arial"/>
          <w:lang w:val="es-ES"/>
        </w:rPr>
      </w:pPr>
    </w:p>
    <w:p w:rsidR="007E5AD0" w:rsidRDefault="007E5AD0" w:rsidP="006312E8">
      <w:pPr>
        <w:spacing w:after="0" w:line="240" w:lineRule="auto"/>
        <w:jc w:val="both"/>
        <w:rPr>
          <w:rFonts w:ascii="Arial" w:eastAsia="Calibri" w:hAnsi="Arial" w:cs="Arial"/>
          <w:lang w:val="es-ES"/>
        </w:rPr>
      </w:pPr>
    </w:p>
    <w:p w:rsidR="007E5AD0" w:rsidRDefault="007E5AD0" w:rsidP="006312E8">
      <w:pPr>
        <w:spacing w:after="0" w:line="240" w:lineRule="auto"/>
        <w:jc w:val="both"/>
        <w:rPr>
          <w:rFonts w:ascii="Arial" w:eastAsia="Calibri" w:hAnsi="Arial" w:cs="Arial"/>
          <w:lang w:val="es-ES"/>
        </w:rPr>
      </w:pPr>
    </w:p>
    <w:p w:rsidR="00437681" w:rsidRDefault="00437681" w:rsidP="006312E8">
      <w:pPr>
        <w:spacing w:after="0" w:line="240" w:lineRule="auto"/>
        <w:jc w:val="both"/>
        <w:rPr>
          <w:rFonts w:ascii="Arial" w:eastAsia="Calibri" w:hAnsi="Arial" w:cs="Arial"/>
          <w:lang w:val="es-ES"/>
        </w:rPr>
      </w:pPr>
    </w:p>
    <w:p w:rsidR="00437681" w:rsidRDefault="00437681" w:rsidP="006312E8">
      <w:pPr>
        <w:spacing w:after="0" w:line="240" w:lineRule="auto"/>
        <w:jc w:val="both"/>
        <w:rPr>
          <w:rFonts w:ascii="Arial" w:eastAsia="Calibri" w:hAnsi="Arial" w:cs="Arial"/>
          <w:lang w:val="es-ES"/>
        </w:rPr>
      </w:pPr>
    </w:p>
    <w:p w:rsidR="00437681" w:rsidRDefault="00437681" w:rsidP="006312E8">
      <w:pPr>
        <w:spacing w:after="0" w:line="240" w:lineRule="auto"/>
        <w:jc w:val="both"/>
        <w:rPr>
          <w:rFonts w:ascii="Arial" w:eastAsia="Calibri" w:hAnsi="Arial" w:cs="Arial"/>
          <w:lang w:val="es-ES"/>
        </w:rPr>
      </w:pPr>
    </w:p>
    <w:p w:rsidR="00437681" w:rsidRDefault="00437681" w:rsidP="006312E8">
      <w:pPr>
        <w:spacing w:after="0" w:line="240" w:lineRule="auto"/>
        <w:jc w:val="both"/>
        <w:rPr>
          <w:rFonts w:ascii="Arial" w:eastAsia="Calibri" w:hAnsi="Arial" w:cs="Arial"/>
          <w:lang w:val="es-ES"/>
        </w:rPr>
      </w:pPr>
    </w:p>
    <w:p w:rsidR="00437681" w:rsidRDefault="00437681" w:rsidP="006312E8">
      <w:pPr>
        <w:spacing w:after="0" w:line="240" w:lineRule="auto"/>
        <w:jc w:val="both"/>
        <w:rPr>
          <w:rFonts w:ascii="Arial" w:eastAsia="Calibri" w:hAnsi="Arial" w:cs="Arial"/>
          <w:lang w:val="es-ES"/>
        </w:rPr>
      </w:pPr>
    </w:p>
    <w:p w:rsidR="00437681" w:rsidRDefault="00437681" w:rsidP="006312E8">
      <w:pPr>
        <w:spacing w:after="0" w:line="240" w:lineRule="auto"/>
        <w:jc w:val="both"/>
        <w:rPr>
          <w:rFonts w:ascii="Arial" w:eastAsia="Calibri" w:hAnsi="Arial" w:cs="Arial"/>
          <w:lang w:val="es-ES"/>
        </w:rPr>
      </w:pPr>
    </w:p>
    <w:p w:rsidR="00437681" w:rsidRDefault="00437681" w:rsidP="006312E8">
      <w:pPr>
        <w:spacing w:after="0" w:line="240" w:lineRule="auto"/>
        <w:jc w:val="both"/>
        <w:rPr>
          <w:rFonts w:ascii="Arial" w:eastAsia="Calibri" w:hAnsi="Arial" w:cs="Arial"/>
          <w:lang w:val="es-ES"/>
        </w:rPr>
      </w:pPr>
    </w:p>
    <w:p w:rsidR="00437681" w:rsidRDefault="00437681" w:rsidP="006312E8">
      <w:pPr>
        <w:spacing w:after="0" w:line="240" w:lineRule="auto"/>
        <w:jc w:val="both"/>
        <w:rPr>
          <w:rFonts w:ascii="Arial" w:eastAsia="Calibri" w:hAnsi="Arial" w:cs="Arial"/>
          <w:lang w:val="es-ES"/>
        </w:rPr>
      </w:pPr>
    </w:p>
    <w:p w:rsidR="006312E8" w:rsidRPr="006312E8" w:rsidRDefault="006312E8" w:rsidP="00E104C8">
      <w:pPr>
        <w:pStyle w:val="TITO2"/>
      </w:pPr>
      <w:bookmarkStart w:id="270" w:name="_Toc392856219"/>
      <w:bookmarkStart w:id="271" w:name="_Toc399335494"/>
      <w:bookmarkStart w:id="272" w:name="_Toc421025441"/>
      <w:bookmarkStart w:id="273" w:name="_Toc470855542"/>
      <w:r w:rsidRPr="006312E8">
        <w:t>ACTOS DE DISPOSICION</w:t>
      </w:r>
      <w:bookmarkEnd w:id="270"/>
      <w:bookmarkEnd w:id="271"/>
      <w:bookmarkEnd w:id="272"/>
      <w:bookmarkEnd w:id="273"/>
    </w:p>
    <w:p w:rsidR="006312E8" w:rsidRPr="006312E8" w:rsidRDefault="006312E8" w:rsidP="006312E8">
      <w:pPr>
        <w:spacing w:after="0" w:line="240" w:lineRule="auto"/>
        <w:jc w:val="both"/>
        <w:rPr>
          <w:rFonts w:ascii="Arial" w:eastAsia="Calibri" w:hAnsi="Arial" w:cs="Arial"/>
          <w:lang w:val="es-ES"/>
        </w:rPr>
      </w:pPr>
    </w:p>
    <w:p w:rsidR="006312E8" w:rsidRPr="006312E8" w:rsidRDefault="00F04FB9" w:rsidP="006312E8">
      <w:pPr>
        <w:spacing w:after="0" w:line="240" w:lineRule="auto"/>
        <w:jc w:val="center"/>
        <w:rPr>
          <w:rFonts w:ascii="Arial" w:eastAsia="Calibri" w:hAnsi="Arial" w:cs="Arial"/>
          <w:b/>
          <w:sz w:val="28"/>
          <w:szCs w:val="28"/>
          <w:lang w:val="es-ES"/>
        </w:rPr>
      </w:pPr>
      <w:r>
        <w:rPr>
          <w:rFonts w:ascii="Arial" w:eastAsia="Calibri" w:hAnsi="Arial" w:cs="Arial"/>
          <w:b/>
          <w:sz w:val="28"/>
          <w:szCs w:val="28"/>
          <w:lang w:val="es-ES"/>
        </w:rPr>
        <w:t>RESOLUCION Nº 028-20</w:t>
      </w:r>
      <w:r w:rsidR="006312E8" w:rsidRPr="006312E8">
        <w:rPr>
          <w:rFonts w:ascii="Arial" w:eastAsia="Calibri" w:hAnsi="Arial" w:cs="Arial"/>
          <w:b/>
          <w:sz w:val="28"/>
          <w:szCs w:val="28"/>
          <w:lang w:val="es-ES"/>
        </w:rPr>
        <w:t>4-SBN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Aprueban Directiva que regula el “Procedimiento para la constitución del derecho de superficie en predios de dominio privado del Estado”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right"/>
        <w:rPr>
          <w:rFonts w:ascii="Arial" w:eastAsia="Calibri" w:hAnsi="Arial" w:cs="Arial"/>
          <w:b/>
          <w:lang w:val="es-ES"/>
        </w:rPr>
      </w:pPr>
      <w:r w:rsidRPr="006312E8">
        <w:rPr>
          <w:rFonts w:ascii="Arial" w:eastAsia="Calibri" w:hAnsi="Arial" w:cs="Arial"/>
          <w:b/>
          <w:lang w:val="es-ES"/>
        </w:rPr>
        <w:t>Fecha de publicación: 05-08-2004</w:t>
      </w:r>
    </w:p>
    <w:p w:rsidR="006312E8" w:rsidRPr="006312E8" w:rsidRDefault="006312E8" w:rsidP="006312E8">
      <w:pPr>
        <w:spacing w:after="0" w:line="240" w:lineRule="auto"/>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De conformidad con el Artículo 5 de la Resolución Nº 040-2013-SBN, publicada el 15 junio 2013, se dejan sin efecto los formatos de Informe Técnico Legal para actos de gestión sobre bienes inmuebles de propiedad estatal, contenidos en la Directiva No. 007-2004-SBN, aprobada por la presente Resolución, los cuales quedan sustituidos por el “Formato Único de Informe Técnico Legal” aprobado por el artículo 1 de la citada Resolución.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La Molina, 23 de julio de 2004</w:t>
      </w: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CONSIDERANDO: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la Superintendencia de Bienes Nacionales, en adelante la SBN, es la entidad encargada del registro, control y administración del patrimonio estatal, adscrita al Ministerio de Economía y Finanzas por Ley Nº 27395, la misma que tiene como finalidad promover el aprovechamiento económico de los bienes del Estado a través de un eficiente sistema de administración de los mismos;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el artículo 1 del Decreto Ley Nº 25554, modificado por el artículo 2 del Decreto de Urgencia Nº 071-2001, establece que los actos de administración, adquisición y disposición de propiedad estatal, serán aprobados mediante Resolución de la SBN;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el literal e) del artículo 7 del Decreto Supremo Nº 131-2001-EF, que aprueba el Estatuto de la SBN, establece como una de las atribuciones de la SBN la de aprobar las Directivas aplicables para la administración, adquisición y disposición de los bienes de propiedad estatal a cargo de la SBN.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la Primera Disposición Complementaria del Reglamento General de Procedimientos Administrativos de los Bienes de Propiedad Estatal, aprobado por el Decreto Supremo Nº 154-2001-EF, faculta a la SBN a dictar las normas procedimentales complementarias para la aplicación de dicho Reglamento;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asimismo, la Décimo Séptima Disposición Transitoria del referido Reglamento, incorporada por el Decreto Supremo Nº 107-2003-EF, establece que los procedimientos correspondientes a derechos reales regulados por Leyes especiales, se regularán conforme a las Directivas que para tales efectos apruebe la SBN;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es necesario aprobar la Directiva que regule el procedimiento para la constitución de derecho de superficie en predios de dominio privado del Estado;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Con las visaciones de la Gerencia General, de la Gerencia de Operaciones y la Gerencia Legal;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De conformidad con el Decreto Ley Nº 25556, el Decreto Ley Nº 25554, el Decreto de Urgencia Nº 071-2001, el Decreto Supremo Nº 131-2001-EF, el Decreto Supremo Nº 154-2001-EF, modificado por el Decreto Supremo Nº 107-2003-EF y la Resolución Nº 315-2001-SBN;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SE RESUELVE:</w:t>
      </w: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b/>
          <w:lang w:val="es-ES"/>
        </w:rPr>
        <w:t>Artículo Único.-</w:t>
      </w:r>
      <w:r w:rsidRPr="006312E8">
        <w:rPr>
          <w:rFonts w:ascii="Arial" w:eastAsia="Calibri" w:hAnsi="Arial" w:cs="Arial"/>
          <w:lang w:val="es-ES"/>
        </w:rPr>
        <w:t xml:space="preserve"> Aprobar la Directiva Nº 007-2004/SBN, por la cual se regula el “Procedimiento para la constitución del derecho de superficie en predios de dominio privado del Estado”, la que forma parte integrante de la presente Resolución.</w:t>
      </w:r>
    </w:p>
    <w:p w:rsidR="00E104C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r>
    </w:p>
    <w:p w:rsidR="006312E8" w:rsidRPr="006312E8" w:rsidRDefault="006312E8" w:rsidP="00E104C8">
      <w:pPr>
        <w:spacing w:after="0" w:line="240" w:lineRule="auto"/>
        <w:ind w:firstLine="708"/>
        <w:jc w:val="both"/>
        <w:rPr>
          <w:rFonts w:ascii="Arial" w:eastAsia="Calibri" w:hAnsi="Arial" w:cs="Arial"/>
          <w:lang w:val="es-ES"/>
        </w:rPr>
      </w:pPr>
      <w:r w:rsidRPr="006312E8">
        <w:rPr>
          <w:rFonts w:ascii="Arial" w:eastAsia="Calibri" w:hAnsi="Arial" w:cs="Arial"/>
          <w:lang w:val="es-ES"/>
        </w:rPr>
        <w:t>Regístrese, comuníquese y publíquese.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AÍDA AMÉZAGA MENÉNDEZ</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Superintendente de Bienes Nacionales</w:t>
      </w:r>
    </w:p>
    <w:p w:rsidR="00A57CDE" w:rsidRDefault="00A57CDE" w:rsidP="00E104C8">
      <w:pPr>
        <w:pStyle w:val="TITO2"/>
      </w:pPr>
      <w:bookmarkStart w:id="274" w:name="_Toc392856220"/>
      <w:bookmarkStart w:id="275" w:name="_Toc399335495"/>
      <w:bookmarkStart w:id="276" w:name="_Toc421025442"/>
      <w:bookmarkStart w:id="277" w:name="D0072004"/>
    </w:p>
    <w:p w:rsidR="006312E8" w:rsidRPr="00E104C8" w:rsidRDefault="006312E8" w:rsidP="00E104C8">
      <w:pPr>
        <w:pStyle w:val="TITO2"/>
      </w:pPr>
      <w:bookmarkStart w:id="278" w:name="_Toc470855543"/>
      <w:r w:rsidRPr="00E104C8">
        <w:t>DIRECTIVA Nº 007-2004/SBN</w:t>
      </w:r>
      <w:bookmarkEnd w:id="274"/>
      <w:bookmarkEnd w:id="275"/>
      <w:bookmarkEnd w:id="276"/>
      <w:bookmarkEnd w:id="278"/>
    </w:p>
    <w:bookmarkEnd w:id="277"/>
    <w:p w:rsidR="006312E8" w:rsidRPr="006312E8" w:rsidRDefault="006312E8" w:rsidP="006312E8">
      <w:pPr>
        <w:spacing w:after="0" w:line="240" w:lineRule="auto"/>
        <w:jc w:val="center"/>
        <w:rPr>
          <w:rFonts w:ascii="Arial" w:eastAsia="Calibri" w:hAnsi="Arial" w:cs="Arial"/>
          <w:b/>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PROCEDIMIENTO PARA LA CONSTITUCIÓN DE DERECHO DE SUPERFICIE EN PREDIOS DE DOMINIO PRIVADO DEL ESTADO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1.- Aspectos Generales</w:t>
      </w: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92471C">
      <w:pPr>
        <w:numPr>
          <w:ilvl w:val="1"/>
          <w:numId w:val="119"/>
        </w:numPr>
        <w:spacing w:after="0" w:line="240" w:lineRule="auto"/>
        <w:ind w:left="709"/>
        <w:contextualSpacing/>
        <w:jc w:val="both"/>
        <w:rPr>
          <w:rFonts w:ascii="Arial" w:eastAsia="Calibri" w:hAnsi="Arial" w:cs="Arial"/>
          <w:b/>
          <w:lang w:val="es-ES"/>
        </w:rPr>
      </w:pPr>
      <w:r w:rsidRPr="006312E8">
        <w:rPr>
          <w:rFonts w:ascii="Arial" w:eastAsia="Calibri" w:hAnsi="Arial" w:cs="Arial"/>
          <w:b/>
          <w:lang w:val="es-ES"/>
        </w:rPr>
        <w:t>Finalidad</w:t>
      </w:r>
    </w:p>
    <w:p w:rsidR="006312E8" w:rsidRPr="006312E8" w:rsidRDefault="006312E8" w:rsidP="006312E8">
      <w:pPr>
        <w:spacing w:after="0" w:line="240" w:lineRule="auto"/>
        <w:ind w:left="1065"/>
        <w:contextualSpacing/>
        <w:jc w:val="both"/>
        <w:rPr>
          <w:rFonts w:ascii="Arial" w:eastAsia="Calibri" w:hAnsi="Arial" w:cs="Arial"/>
          <w:b/>
          <w:lang w:val="es-ES"/>
        </w:rPr>
      </w:pPr>
    </w:p>
    <w:p w:rsidR="006312E8" w:rsidRPr="006312E8" w:rsidRDefault="006312E8" w:rsidP="006312E8">
      <w:pPr>
        <w:spacing w:after="0" w:line="240" w:lineRule="auto"/>
        <w:ind w:left="709"/>
        <w:jc w:val="both"/>
        <w:rPr>
          <w:rFonts w:ascii="Arial" w:eastAsia="Calibri" w:hAnsi="Arial" w:cs="Arial"/>
          <w:lang w:val="es-ES"/>
        </w:rPr>
      </w:pPr>
      <w:r w:rsidRPr="006312E8">
        <w:rPr>
          <w:rFonts w:ascii="Arial" w:eastAsia="Calibri" w:hAnsi="Arial" w:cs="Arial"/>
          <w:lang w:val="es-ES"/>
        </w:rPr>
        <w:t>La presente Directiva tiene por finalidad establecer el procedimiento para la constitución del derecho de superficie de inmuebles del dominio privado del Estado.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92471C">
      <w:pPr>
        <w:numPr>
          <w:ilvl w:val="1"/>
          <w:numId w:val="119"/>
        </w:numPr>
        <w:spacing w:after="0" w:line="240" w:lineRule="auto"/>
        <w:ind w:left="709"/>
        <w:contextualSpacing/>
        <w:jc w:val="both"/>
        <w:rPr>
          <w:rFonts w:ascii="Arial" w:eastAsia="Calibri" w:hAnsi="Arial" w:cs="Arial"/>
          <w:b/>
          <w:lang w:val="es-ES"/>
        </w:rPr>
      </w:pPr>
      <w:r w:rsidRPr="006312E8">
        <w:rPr>
          <w:rFonts w:ascii="Arial" w:eastAsia="Calibri" w:hAnsi="Arial" w:cs="Arial"/>
          <w:b/>
          <w:lang w:val="es-ES"/>
        </w:rPr>
        <w:t>Base Legal</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92471C">
      <w:pPr>
        <w:numPr>
          <w:ilvl w:val="0"/>
          <w:numId w:val="118"/>
        </w:numPr>
        <w:spacing w:after="0" w:line="240" w:lineRule="auto"/>
        <w:ind w:left="1134"/>
        <w:contextualSpacing/>
        <w:jc w:val="both"/>
        <w:rPr>
          <w:rFonts w:ascii="Arial" w:eastAsia="Calibri" w:hAnsi="Arial" w:cs="Arial"/>
          <w:lang w:val="es-ES"/>
        </w:rPr>
      </w:pPr>
      <w:r w:rsidRPr="006312E8">
        <w:rPr>
          <w:rFonts w:ascii="Arial" w:eastAsia="Calibri" w:hAnsi="Arial" w:cs="Arial"/>
          <w:lang w:val="es-ES"/>
        </w:rPr>
        <w:t>La Cuarta Disposición Transitoria y Final del Decreto Ley Nº 25556, modificado por el Decreto Ley Nº 25738, Ley de Creación de la Superintendencia de Bienes Nacionales (SBN).</w:t>
      </w:r>
    </w:p>
    <w:p w:rsidR="006312E8" w:rsidRPr="006312E8" w:rsidRDefault="006312E8" w:rsidP="006312E8">
      <w:pPr>
        <w:spacing w:after="0" w:line="240" w:lineRule="auto"/>
        <w:ind w:left="1134"/>
        <w:jc w:val="both"/>
        <w:rPr>
          <w:rFonts w:ascii="Arial" w:eastAsia="Calibri" w:hAnsi="Arial" w:cs="Arial"/>
          <w:lang w:val="es-ES"/>
        </w:rPr>
      </w:pPr>
    </w:p>
    <w:p w:rsidR="006312E8" w:rsidRPr="006312E8" w:rsidRDefault="006312E8" w:rsidP="0092471C">
      <w:pPr>
        <w:numPr>
          <w:ilvl w:val="0"/>
          <w:numId w:val="118"/>
        </w:numPr>
        <w:spacing w:after="0" w:line="240" w:lineRule="auto"/>
        <w:ind w:left="1134"/>
        <w:contextualSpacing/>
        <w:jc w:val="both"/>
        <w:rPr>
          <w:rFonts w:ascii="Arial" w:eastAsia="Calibri" w:hAnsi="Arial" w:cs="Arial"/>
          <w:lang w:val="es-ES"/>
        </w:rPr>
      </w:pPr>
      <w:r w:rsidRPr="006312E8">
        <w:rPr>
          <w:rFonts w:ascii="Arial" w:eastAsia="Calibri" w:hAnsi="Arial" w:cs="Arial"/>
          <w:lang w:val="es-ES"/>
        </w:rPr>
        <w:t>Ley Nº 27395, que adscribe a la SBN al Ministerio de Economía y Finanzas.</w:t>
      </w:r>
    </w:p>
    <w:p w:rsidR="006312E8" w:rsidRPr="006312E8" w:rsidRDefault="006312E8" w:rsidP="006312E8">
      <w:pPr>
        <w:spacing w:after="0" w:line="240" w:lineRule="auto"/>
        <w:ind w:left="1134"/>
        <w:jc w:val="both"/>
        <w:rPr>
          <w:rFonts w:ascii="Arial" w:eastAsia="Calibri" w:hAnsi="Arial" w:cs="Arial"/>
          <w:lang w:val="es-ES"/>
        </w:rPr>
      </w:pPr>
    </w:p>
    <w:p w:rsidR="006312E8" w:rsidRPr="006312E8" w:rsidRDefault="006312E8" w:rsidP="0092471C">
      <w:pPr>
        <w:numPr>
          <w:ilvl w:val="0"/>
          <w:numId w:val="118"/>
        </w:numPr>
        <w:spacing w:after="0" w:line="240" w:lineRule="auto"/>
        <w:ind w:left="1134"/>
        <w:contextualSpacing/>
        <w:jc w:val="both"/>
        <w:rPr>
          <w:rFonts w:ascii="Arial" w:eastAsia="Calibri" w:hAnsi="Arial" w:cs="Arial"/>
          <w:lang w:val="es-ES"/>
        </w:rPr>
      </w:pPr>
      <w:r w:rsidRPr="006312E8">
        <w:rPr>
          <w:rFonts w:ascii="Arial" w:eastAsia="Calibri" w:hAnsi="Arial" w:cs="Arial"/>
          <w:lang w:val="es-ES"/>
        </w:rPr>
        <w:t>El artículo 1 del Decreto Ley Nº 25554, modificado por el artículo 2 del Decreto de Urgencia Nº 071-2001, por el que se dispone que los actos de administración, adquisición y disposición de propiedad estatal, serán aprobados mediante Resolución de la SBN.</w:t>
      </w:r>
    </w:p>
    <w:p w:rsidR="006312E8" w:rsidRPr="006312E8" w:rsidRDefault="006312E8" w:rsidP="006312E8">
      <w:pPr>
        <w:spacing w:after="0" w:line="240" w:lineRule="auto"/>
        <w:ind w:left="1134"/>
        <w:jc w:val="both"/>
        <w:rPr>
          <w:rFonts w:ascii="Arial" w:eastAsia="Calibri" w:hAnsi="Arial" w:cs="Arial"/>
          <w:lang w:val="es-ES"/>
        </w:rPr>
      </w:pPr>
    </w:p>
    <w:p w:rsidR="006312E8" w:rsidRPr="006312E8" w:rsidRDefault="006312E8" w:rsidP="0092471C">
      <w:pPr>
        <w:numPr>
          <w:ilvl w:val="0"/>
          <w:numId w:val="118"/>
        </w:numPr>
        <w:spacing w:after="0" w:line="240" w:lineRule="auto"/>
        <w:ind w:left="1134"/>
        <w:contextualSpacing/>
        <w:jc w:val="both"/>
        <w:rPr>
          <w:rFonts w:ascii="Arial" w:eastAsia="Calibri" w:hAnsi="Arial" w:cs="Arial"/>
          <w:lang w:val="es-ES"/>
        </w:rPr>
      </w:pPr>
      <w:r w:rsidRPr="006312E8">
        <w:rPr>
          <w:rFonts w:ascii="Arial" w:eastAsia="Calibri" w:hAnsi="Arial" w:cs="Arial"/>
          <w:lang w:val="es-ES"/>
        </w:rPr>
        <w:t>El literal e) del artículo 7 del Estatuto de la SBN, aprobado por Decreto Supremo Nº 131-2001-EF, señala entre sus funciones, la de aprobar las Directivas aplicables para la administración, adquisición y disposición de los bienes de propiedad estatal a cargo de la SBN.</w:t>
      </w:r>
    </w:p>
    <w:p w:rsidR="006312E8" w:rsidRPr="006312E8" w:rsidRDefault="006312E8" w:rsidP="006312E8">
      <w:pPr>
        <w:spacing w:after="0" w:line="240" w:lineRule="auto"/>
        <w:ind w:left="1134"/>
        <w:jc w:val="both"/>
        <w:rPr>
          <w:rFonts w:ascii="Arial" w:eastAsia="Calibri" w:hAnsi="Arial" w:cs="Arial"/>
          <w:lang w:val="es-ES"/>
        </w:rPr>
      </w:pPr>
    </w:p>
    <w:p w:rsidR="006312E8" w:rsidRPr="006312E8" w:rsidRDefault="006312E8" w:rsidP="0092471C">
      <w:pPr>
        <w:numPr>
          <w:ilvl w:val="0"/>
          <w:numId w:val="118"/>
        </w:numPr>
        <w:spacing w:after="0" w:line="240" w:lineRule="auto"/>
        <w:ind w:left="1134"/>
        <w:contextualSpacing/>
        <w:jc w:val="both"/>
        <w:rPr>
          <w:rFonts w:ascii="Arial" w:eastAsia="Calibri" w:hAnsi="Arial" w:cs="Arial"/>
          <w:lang w:val="es-ES"/>
        </w:rPr>
      </w:pPr>
      <w:r w:rsidRPr="006312E8">
        <w:rPr>
          <w:rFonts w:ascii="Arial" w:eastAsia="Calibri" w:hAnsi="Arial" w:cs="Arial"/>
          <w:lang w:val="es-ES"/>
        </w:rPr>
        <w:t>Artículo I, IV del Título Preliminar, artículo 3 y Décimo Séptima Disposición Transitoria del Decreto Supremo Nº 154-2001-EF, modificado por el Decreto Supremo Nº 107-2003-EF, correspondiente a la regulación de otros derechos reales.</w:t>
      </w:r>
    </w:p>
    <w:p w:rsidR="006312E8" w:rsidRPr="006312E8" w:rsidRDefault="006312E8" w:rsidP="006312E8">
      <w:pPr>
        <w:spacing w:after="0" w:line="240" w:lineRule="auto"/>
        <w:ind w:left="1134"/>
        <w:jc w:val="both"/>
        <w:rPr>
          <w:rFonts w:ascii="Arial" w:eastAsia="Calibri" w:hAnsi="Arial" w:cs="Arial"/>
          <w:lang w:val="es-ES"/>
        </w:rPr>
      </w:pPr>
    </w:p>
    <w:p w:rsidR="006312E8" w:rsidRPr="006312E8" w:rsidRDefault="006312E8" w:rsidP="0092471C">
      <w:pPr>
        <w:numPr>
          <w:ilvl w:val="0"/>
          <w:numId w:val="118"/>
        </w:numPr>
        <w:spacing w:after="0" w:line="240" w:lineRule="auto"/>
        <w:ind w:left="1134"/>
        <w:contextualSpacing/>
        <w:jc w:val="both"/>
        <w:rPr>
          <w:rFonts w:ascii="Arial" w:eastAsia="Calibri" w:hAnsi="Arial" w:cs="Arial"/>
          <w:lang w:val="es-ES"/>
        </w:rPr>
      </w:pPr>
      <w:r w:rsidRPr="006312E8">
        <w:rPr>
          <w:rFonts w:ascii="Arial" w:eastAsia="Calibri" w:hAnsi="Arial" w:cs="Arial"/>
          <w:lang w:val="es-ES"/>
        </w:rPr>
        <w:t>Código Civil, artículos 1030 al 1034.</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92471C">
      <w:pPr>
        <w:numPr>
          <w:ilvl w:val="1"/>
          <w:numId w:val="119"/>
        </w:numPr>
        <w:spacing w:after="0" w:line="240" w:lineRule="auto"/>
        <w:ind w:left="709"/>
        <w:contextualSpacing/>
        <w:jc w:val="both"/>
        <w:rPr>
          <w:rFonts w:ascii="Arial" w:eastAsia="Calibri" w:hAnsi="Arial" w:cs="Arial"/>
          <w:b/>
          <w:lang w:val="es-ES"/>
        </w:rPr>
      </w:pPr>
      <w:r w:rsidRPr="006312E8">
        <w:rPr>
          <w:rFonts w:ascii="Arial" w:eastAsia="Calibri" w:hAnsi="Arial" w:cs="Arial"/>
          <w:b/>
          <w:lang w:val="es-ES"/>
        </w:rPr>
        <w:t>Alcance</w:t>
      </w:r>
    </w:p>
    <w:p w:rsidR="006312E8" w:rsidRPr="006312E8" w:rsidRDefault="006312E8" w:rsidP="006312E8">
      <w:pPr>
        <w:spacing w:after="0" w:line="240" w:lineRule="auto"/>
        <w:ind w:left="1065"/>
        <w:contextualSpacing/>
        <w:jc w:val="both"/>
        <w:rPr>
          <w:rFonts w:ascii="Arial" w:eastAsia="Calibri" w:hAnsi="Arial" w:cs="Arial"/>
          <w:b/>
          <w:lang w:val="es-ES"/>
        </w:rPr>
      </w:pPr>
    </w:p>
    <w:p w:rsidR="006312E8" w:rsidRPr="006312E8" w:rsidRDefault="006312E8" w:rsidP="006312E8">
      <w:pPr>
        <w:spacing w:after="0" w:line="240" w:lineRule="auto"/>
        <w:ind w:left="709"/>
        <w:jc w:val="both"/>
        <w:rPr>
          <w:rFonts w:ascii="Arial" w:eastAsia="Calibri" w:hAnsi="Arial" w:cs="Arial"/>
          <w:lang w:val="es-ES"/>
        </w:rPr>
      </w:pPr>
      <w:r w:rsidRPr="006312E8">
        <w:rPr>
          <w:rFonts w:ascii="Arial" w:eastAsia="Calibri" w:hAnsi="Arial" w:cs="Arial"/>
          <w:lang w:val="es-ES"/>
        </w:rPr>
        <w:t>La presente Directiva tiene alcance nacional y es de cumplimiento obligatorio por todas las entidades públicas que conforman el Gobierno Nacional y Regional. Puede ser aplicable de manera supletoria a aquellas entidades que cuentan con un régimen legal especial en la materia.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2.- Del Derecho de Superficie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84"/>
        <w:jc w:val="both"/>
        <w:rPr>
          <w:rFonts w:ascii="Arial" w:eastAsia="Calibri" w:hAnsi="Arial" w:cs="Arial"/>
          <w:b/>
          <w:lang w:val="es-ES"/>
        </w:rPr>
      </w:pPr>
      <w:r w:rsidRPr="006312E8">
        <w:rPr>
          <w:rFonts w:ascii="Arial" w:eastAsia="Calibri" w:hAnsi="Arial" w:cs="Arial"/>
          <w:b/>
          <w:lang w:val="es-ES"/>
        </w:rPr>
        <w:t>2.1 Disposiciones Generales</w:t>
      </w: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2.1.1 </w:t>
      </w:r>
      <w:r w:rsidRPr="006312E8">
        <w:rPr>
          <w:rFonts w:ascii="Arial" w:eastAsia="Calibri" w:hAnsi="Arial" w:cs="Arial"/>
          <w:lang w:val="es-ES"/>
        </w:rPr>
        <w:tab/>
        <w:t>La constitución del derecho de superficie respecto a inmuebles de propiedad estatal se rige por las normas contenidas en el Decreto Supremo Nº 154-2001-EF, modificado por el Decreto Supremo Nº 107-2003-EF, por la presente Directiva, así como por lo dispuesto en el Código Civil, en lo que le sea aplicable.</w:t>
      </w:r>
    </w:p>
    <w:p w:rsidR="006312E8" w:rsidRPr="006312E8" w:rsidRDefault="006312E8" w:rsidP="006312E8">
      <w:pPr>
        <w:spacing w:after="0" w:line="240" w:lineRule="auto"/>
        <w:ind w:left="1418" w:hanging="709"/>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2.1.2 </w:t>
      </w:r>
      <w:r w:rsidRPr="006312E8">
        <w:rPr>
          <w:rFonts w:ascii="Arial" w:eastAsia="Calibri" w:hAnsi="Arial" w:cs="Arial"/>
          <w:lang w:val="es-ES"/>
        </w:rPr>
        <w:tab/>
        <w:t>La potestad decisoria de admitir a trámite la solicitud de constitución del derecho de superficie respecto a la propiedad predial estatal queda reservada, según sea el caso, a la entidad titular o a la SBN, respecto de los predios del Estado, que se encuentren bajo su administración.</w:t>
      </w:r>
    </w:p>
    <w:p w:rsidR="006312E8" w:rsidRPr="006312E8" w:rsidRDefault="006312E8" w:rsidP="006312E8">
      <w:pPr>
        <w:spacing w:after="0" w:line="240" w:lineRule="auto"/>
        <w:ind w:left="1418" w:hanging="709"/>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2.1.3 </w:t>
      </w:r>
      <w:r w:rsidRPr="006312E8">
        <w:rPr>
          <w:rFonts w:ascii="Arial" w:eastAsia="Calibri" w:hAnsi="Arial" w:cs="Arial"/>
          <w:lang w:val="es-ES"/>
        </w:rPr>
        <w:tab/>
        <w:t>La constitución del derecho de superficie sobre inmuebles de propiedad estatal, tiene como principal objetivo, maximizar la rentabilidad del predio a través del aprovechamiento económico del suelo, subsuelo y sobresuelo del mismo.</w:t>
      </w:r>
    </w:p>
    <w:p w:rsidR="006312E8" w:rsidRPr="006312E8" w:rsidRDefault="006312E8" w:rsidP="006312E8">
      <w:pPr>
        <w:spacing w:after="0" w:line="240" w:lineRule="auto"/>
        <w:ind w:left="1418" w:hanging="709"/>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2.1.4 </w:t>
      </w:r>
      <w:r w:rsidRPr="006312E8">
        <w:rPr>
          <w:rFonts w:ascii="Arial" w:eastAsia="Calibri" w:hAnsi="Arial" w:cs="Arial"/>
          <w:lang w:val="es-ES"/>
        </w:rPr>
        <w:tab/>
        <w:t>La solicitud, memoria descriptiva de la propiedad superficiaria y el correspondiente Informe Técnico Legal de la constitución del derecho de superficie, deben ser elaborados según los formatos aprobados con el Anexo 1, 2, 3, 4 de la presente Directiva.</w:t>
      </w:r>
    </w:p>
    <w:p w:rsidR="006312E8" w:rsidRPr="006312E8" w:rsidRDefault="006312E8" w:rsidP="006312E8">
      <w:pPr>
        <w:spacing w:after="0" w:line="240" w:lineRule="auto"/>
        <w:ind w:left="1418" w:hanging="709"/>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2.1.5 </w:t>
      </w:r>
      <w:r w:rsidRPr="006312E8">
        <w:rPr>
          <w:rFonts w:ascii="Arial" w:eastAsia="Calibri" w:hAnsi="Arial" w:cs="Arial"/>
          <w:lang w:val="es-ES"/>
        </w:rPr>
        <w:tab/>
        <w:t>El pago de los derechos administrativos correspondientes a la admisión, trámite, tasación, así como los gastos en la contratación de terceros que se requiera para la aprobación del derecho de superficie corresponden al peticionante.</w:t>
      </w:r>
    </w:p>
    <w:p w:rsidR="006312E8" w:rsidRPr="006312E8" w:rsidRDefault="006312E8" w:rsidP="006312E8">
      <w:pPr>
        <w:spacing w:after="0" w:line="240" w:lineRule="auto"/>
        <w:ind w:left="1418" w:hanging="709"/>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2.1.6 </w:t>
      </w:r>
      <w:r w:rsidRPr="006312E8">
        <w:rPr>
          <w:rFonts w:ascii="Arial" w:eastAsia="Calibri" w:hAnsi="Arial" w:cs="Arial"/>
          <w:lang w:val="es-ES"/>
        </w:rPr>
        <w:tab/>
        <w:t>Por el derecho de superficie, el Estado, en su condición de propietario del inmueble, constituye sobre él, un derecho temporal a favor de personas naturales o jurídicas de derecho privado (superficiario), facultados a tener y mantener edificaciones en propiedad (propiedad superficiaria) sobre el mismo suelo o por debajo de él, el cual deberá ser inscrito en el Registro Público correspondiente y en el Sistema de Información Nacional de los Bienes de propiedad Estatal - SINABIP.</w:t>
      </w:r>
    </w:p>
    <w:p w:rsidR="006312E8" w:rsidRPr="006312E8" w:rsidRDefault="006312E8" w:rsidP="006312E8">
      <w:pPr>
        <w:spacing w:after="0" w:line="240" w:lineRule="auto"/>
        <w:ind w:left="1418" w:hanging="709"/>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ab/>
        <w:t>El otorgamiento del derecho de superficie no limita la facultad de libre disposición del inmueble.</w:t>
      </w:r>
    </w:p>
    <w:p w:rsidR="006312E8" w:rsidRPr="006312E8" w:rsidRDefault="006312E8" w:rsidP="006312E8">
      <w:pPr>
        <w:spacing w:after="0" w:line="240" w:lineRule="auto"/>
        <w:ind w:left="1418" w:hanging="709"/>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2.1.7 </w:t>
      </w:r>
      <w:r w:rsidRPr="006312E8">
        <w:rPr>
          <w:rFonts w:ascii="Arial" w:eastAsia="Calibri" w:hAnsi="Arial" w:cs="Arial"/>
          <w:lang w:val="es-ES"/>
        </w:rPr>
        <w:tab/>
        <w:t>Con la constitución del derecho de superficie, el superficiario adquiere un derecho real enajenable, gravable y transmisible, manteniendo una edificación en propiedad separada, por encima o debajo del suelo.</w:t>
      </w:r>
    </w:p>
    <w:p w:rsidR="006312E8" w:rsidRPr="006312E8" w:rsidRDefault="006312E8" w:rsidP="006312E8">
      <w:pPr>
        <w:spacing w:after="0" w:line="240" w:lineRule="auto"/>
        <w:ind w:left="1418" w:hanging="709"/>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2.1.8 </w:t>
      </w:r>
      <w:r w:rsidRPr="006312E8">
        <w:rPr>
          <w:rFonts w:ascii="Arial" w:eastAsia="Calibri" w:hAnsi="Arial" w:cs="Arial"/>
          <w:lang w:val="es-ES"/>
        </w:rPr>
        <w:tab/>
        <w:t>El derecho de superficie se constituye respecto de los inmuebles debidamente inscritos, así como saneados física y legalmente.</w:t>
      </w:r>
    </w:p>
    <w:p w:rsidR="006312E8" w:rsidRPr="006312E8" w:rsidRDefault="006312E8" w:rsidP="006312E8">
      <w:pPr>
        <w:spacing w:after="0" w:line="240" w:lineRule="auto"/>
        <w:ind w:left="1418" w:hanging="709"/>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2.1.9 </w:t>
      </w:r>
      <w:r w:rsidRPr="006312E8">
        <w:rPr>
          <w:rFonts w:ascii="Arial" w:eastAsia="Calibri" w:hAnsi="Arial" w:cs="Arial"/>
          <w:lang w:val="es-ES"/>
        </w:rPr>
        <w:tab/>
        <w:t>Cuando corresponda, se sustanciará la desafectación administrativa del bien inmueble, a fin de incorporarlo al comercio, la misma que será aprobada en la Resolución que otorga el derecho de superficie.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1418" w:hanging="851"/>
        <w:jc w:val="both"/>
        <w:rPr>
          <w:rFonts w:ascii="Arial" w:eastAsia="Calibri" w:hAnsi="Arial" w:cs="Arial"/>
          <w:lang w:val="es-ES"/>
        </w:rPr>
      </w:pPr>
      <w:r w:rsidRPr="006312E8">
        <w:rPr>
          <w:rFonts w:ascii="Arial" w:eastAsia="Calibri" w:hAnsi="Arial" w:cs="Arial"/>
          <w:lang w:val="es-ES"/>
        </w:rPr>
        <w:t xml:space="preserve">2.1.10 </w:t>
      </w:r>
      <w:r w:rsidRPr="006312E8">
        <w:rPr>
          <w:rFonts w:ascii="Arial" w:eastAsia="Calibri" w:hAnsi="Arial" w:cs="Arial"/>
          <w:lang w:val="es-ES"/>
        </w:rPr>
        <w:tab/>
        <w:t>El derecho de superficie se puede constituir a título gratuito u oneroso, sobre el suelo o bajo él, adquiriendo el superficiario la propiedad de lo edificado durante el plazo que se otorgue el derecho. El derecho de superficie a título gratuito sólo se constituirá en los casos en que el o los solicitantes lo requieran para realizar actividades afines con el interés público, previa evaluación del titular del inmueble.</w:t>
      </w:r>
    </w:p>
    <w:p w:rsidR="006312E8" w:rsidRPr="006312E8" w:rsidRDefault="006312E8" w:rsidP="006312E8">
      <w:pPr>
        <w:spacing w:after="0" w:line="240" w:lineRule="auto"/>
        <w:ind w:left="1418" w:hanging="851"/>
        <w:jc w:val="both"/>
        <w:rPr>
          <w:rFonts w:ascii="Arial" w:eastAsia="Calibri" w:hAnsi="Arial" w:cs="Arial"/>
          <w:lang w:val="es-ES"/>
        </w:rPr>
      </w:pPr>
    </w:p>
    <w:p w:rsidR="006312E8" w:rsidRPr="006312E8" w:rsidRDefault="006312E8" w:rsidP="006312E8">
      <w:pPr>
        <w:spacing w:after="0" w:line="240" w:lineRule="auto"/>
        <w:ind w:left="1418" w:hanging="851"/>
        <w:jc w:val="both"/>
        <w:rPr>
          <w:rFonts w:ascii="Arial" w:eastAsia="Calibri" w:hAnsi="Arial" w:cs="Arial"/>
          <w:lang w:val="es-ES"/>
        </w:rPr>
      </w:pPr>
      <w:r w:rsidRPr="006312E8">
        <w:rPr>
          <w:rFonts w:ascii="Arial" w:eastAsia="Calibri" w:hAnsi="Arial" w:cs="Arial"/>
          <w:lang w:val="es-ES"/>
        </w:rPr>
        <w:t xml:space="preserve">2.1.11 </w:t>
      </w:r>
      <w:r w:rsidRPr="006312E8">
        <w:rPr>
          <w:rFonts w:ascii="Arial" w:eastAsia="Calibri" w:hAnsi="Arial" w:cs="Arial"/>
          <w:lang w:val="es-ES"/>
        </w:rPr>
        <w:tab/>
        <w:t>En la constitución del derecho de superficie a título oneroso, el superficiario, de acuerdo a lo establecido en el contrato, estará obligado a efectuar ante la SBN o la entidad titular del inmueble, de ser el caso, los siguientes pagos:</w:t>
      </w:r>
    </w:p>
    <w:p w:rsidR="006312E8" w:rsidRPr="006312E8" w:rsidRDefault="006312E8" w:rsidP="006312E8">
      <w:pPr>
        <w:spacing w:after="0" w:line="240" w:lineRule="auto"/>
        <w:ind w:left="1843"/>
        <w:jc w:val="both"/>
        <w:rPr>
          <w:rFonts w:ascii="Arial" w:eastAsia="Calibri" w:hAnsi="Arial" w:cs="Arial"/>
          <w:lang w:val="es-ES"/>
        </w:rPr>
      </w:pPr>
    </w:p>
    <w:p w:rsidR="006312E8" w:rsidRPr="006312E8" w:rsidRDefault="006312E8" w:rsidP="0092471C">
      <w:pPr>
        <w:numPr>
          <w:ilvl w:val="0"/>
          <w:numId w:val="118"/>
        </w:numPr>
        <w:spacing w:after="0" w:line="240" w:lineRule="auto"/>
        <w:ind w:left="1843"/>
        <w:contextualSpacing/>
        <w:jc w:val="both"/>
        <w:rPr>
          <w:rFonts w:ascii="Arial" w:eastAsia="Calibri" w:hAnsi="Arial" w:cs="Arial"/>
          <w:lang w:val="es-ES"/>
        </w:rPr>
      </w:pPr>
      <w:r w:rsidRPr="006312E8">
        <w:rPr>
          <w:rFonts w:ascii="Arial" w:eastAsia="Calibri" w:hAnsi="Arial" w:cs="Arial"/>
          <w:lang w:val="es-ES"/>
        </w:rPr>
        <w:t>Un porcentaje de la inversión proyectada a la firma del contrato y/o</w:t>
      </w:r>
    </w:p>
    <w:p w:rsidR="006312E8" w:rsidRPr="006312E8" w:rsidRDefault="006312E8" w:rsidP="006312E8">
      <w:pPr>
        <w:spacing w:after="0" w:line="240" w:lineRule="auto"/>
        <w:ind w:left="1843"/>
        <w:jc w:val="both"/>
        <w:rPr>
          <w:rFonts w:ascii="Arial" w:eastAsia="Calibri" w:hAnsi="Arial" w:cs="Arial"/>
          <w:lang w:val="es-ES"/>
        </w:rPr>
      </w:pPr>
    </w:p>
    <w:p w:rsidR="006312E8" w:rsidRPr="006312E8" w:rsidRDefault="006312E8" w:rsidP="0092471C">
      <w:pPr>
        <w:numPr>
          <w:ilvl w:val="0"/>
          <w:numId w:val="118"/>
        </w:numPr>
        <w:spacing w:after="0" w:line="240" w:lineRule="auto"/>
        <w:ind w:left="1843"/>
        <w:contextualSpacing/>
        <w:jc w:val="both"/>
        <w:rPr>
          <w:rFonts w:ascii="Arial" w:eastAsia="Calibri" w:hAnsi="Arial" w:cs="Arial"/>
          <w:lang w:val="es-ES"/>
        </w:rPr>
      </w:pPr>
      <w:r w:rsidRPr="006312E8">
        <w:rPr>
          <w:rFonts w:ascii="Arial" w:eastAsia="Calibri" w:hAnsi="Arial" w:cs="Arial"/>
          <w:lang w:val="es-ES"/>
        </w:rPr>
        <w:t>Pagos periódicos establecidos en el contrato y/o</w:t>
      </w:r>
    </w:p>
    <w:p w:rsidR="006312E8" w:rsidRPr="006312E8" w:rsidRDefault="006312E8" w:rsidP="006312E8">
      <w:pPr>
        <w:spacing w:after="0" w:line="240" w:lineRule="auto"/>
        <w:ind w:left="1843"/>
        <w:jc w:val="both"/>
        <w:rPr>
          <w:rFonts w:ascii="Arial" w:eastAsia="Calibri" w:hAnsi="Arial" w:cs="Arial"/>
          <w:lang w:val="es-ES"/>
        </w:rPr>
      </w:pPr>
    </w:p>
    <w:p w:rsidR="006312E8" w:rsidRPr="006312E8" w:rsidRDefault="006312E8" w:rsidP="0092471C">
      <w:pPr>
        <w:numPr>
          <w:ilvl w:val="0"/>
          <w:numId w:val="118"/>
        </w:numPr>
        <w:spacing w:after="0" w:line="240" w:lineRule="auto"/>
        <w:ind w:left="1843"/>
        <w:contextualSpacing/>
        <w:jc w:val="both"/>
        <w:rPr>
          <w:rFonts w:ascii="Arial" w:eastAsia="Calibri" w:hAnsi="Arial" w:cs="Arial"/>
          <w:lang w:val="es-ES"/>
        </w:rPr>
      </w:pPr>
      <w:r w:rsidRPr="006312E8">
        <w:rPr>
          <w:rFonts w:ascii="Arial" w:eastAsia="Calibri" w:hAnsi="Arial" w:cs="Arial"/>
          <w:lang w:val="es-ES"/>
        </w:rPr>
        <w:t>Un porcentaje del superávit de ingresos obtenidos comparados con el flujo económico proyectado a la firma del contrato y/o</w:t>
      </w:r>
    </w:p>
    <w:p w:rsidR="006312E8" w:rsidRPr="006312E8" w:rsidRDefault="006312E8" w:rsidP="006312E8">
      <w:pPr>
        <w:spacing w:after="0" w:line="240" w:lineRule="auto"/>
        <w:ind w:left="1843"/>
        <w:jc w:val="both"/>
        <w:rPr>
          <w:rFonts w:ascii="Arial" w:eastAsia="Calibri" w:hAnsi="Arial" w:cs="Arial"/>
          <w:lang w:val="es-ES"/>
        </w:rPr>
      </w:pPr>
    </w:p>
    <w:p w:rsidR="006312E8" w:rsidRPr="006312E8" w:rsidRDefault="006312E8" w:rsidP="0092471C">
      <w:pPr>
        <w:numPr>
          <w:ilvl w:val="0"/>
          <w:numId w:val="118"/>
        </w:numPr>
        <w:spacing w:after="0" w:line="240" w:lineRule="auto"/>
        <w:ind w:left="1843"/>
        <w:contextualSpacing/>
        <w:jc w:val="both"/>
        <w:rPr>
          <w:rFonts w:ascii="Arial" w:eastAsia="Calibri" w:hAnsi="Arial" w:cs="Arial"/>
          <w:lang w:val="es-ES"/>
        </w:rPr>
      </w:pPr>
      <w:r w:rsidRPr="006312E8">
        <w:rPr>
          <w:rFonts w:ascii="Arial" w:eastAsia="Calibri" w:hAnsi="Arial" w:cs="Arial"/>
          <w:lang w:val="es-ES"/>
        </w:rPr>
        <w:t>Otras modalidades de pago que convengan las partes contratantes.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1418" w:hanging="851"/>
        <w:jc w:val="both"/>
        <w:rPr>
          <w:rFonts w:ascii="Arial" w:eastAsia="Calibri" w:hAnsi="Arial" w:cs="Arial"/>
          <w:lang w:val="es-ES"/>
        </w:rPr>
      </w:pPr>
      <w:r w:rsidRPr="006312E8">
        <w:rPr>
          <w:rFonts w:ascii="Arial" w:eastAsia="Calibri" w:hAnsi="Arial" w:cs="Arial"/>
          <w:lang w:val="es-ES"/>
        </w:rPr>
        <w:t xml:space="preserve">2.1.12 </w:t>
      </w:r>
      <w:r w:rsidRPr="006312E8">
        <w:rPr>
          <w:rFonts w:ascii="Arial" w:eastAsia="Calibri" w:hAnsi="Arial" w:cs="Arial"/>
          <w:lang w:val="es-ES"/>
        </w:rPr>
        <w:tab/>
        <w:t>El superficiario está obligado a realizar la construcción, vinculada con el derecho de superficie otorgado, dentro del plazo pactado para su ejecución, bajo sanción de resolución del contrato por parte de la SBN o de la entidad titular del inmueble, sin perjuicio de las ejecuciones de garantía pactadas.</w:t>
      </w:r>
    </w:p>
    <w:p w:rsidR="006312E8" w:rsidRPr="006312E8" w:rsidRDefault="006312E8" w:rsidP="006312E8">
      <w:pPr>
        <w:spacing w:after="0" w:line="240" w:lineRule="auto"/>
        <w:ind w:left="1418" w:hanging="851"/>
        <w:jc w:val="both"/>
        <w:rPr>
          <w:rFonts w:ascii="Arial" w:eastAsia="Calibri" w:hAnsi="Arial" w:cs="Arial"/>
          <w:lang w:val="es-ES"/>
        </w:rPr>
      </w:pPr>
    </w:p>
    <w:p w:rsidR="006312E8" w:rsidRPr="006312E8" w:rsidRDefault="006312E8" w:rsidP="006312E8">
      <w:pPr>
        <w:spacing w:after="0" w:line="240" w:lineRule="auto"/>
        <w:ind w:left="1418" w:hanging="851"/>
        <w:jc w:val="both"/>
        <w:rPr>
          <w:rFonts w:ascii="Arial" w:eastAsia="Calibri" w:hAnsi="Arial" w:cs="Arial"/>
          <w:lang w:val="es-ES"/>
        </w:rPr>
      </w:pPr>
      <w:r w:rsidRPr="006312E8">
        <w:rPr>
          <w:rFonts w:ascii="Arial" w:eastAsia="Calibri" w:hAnsi="Arial" w:cs="Arial"/>
          <w:lang w:val="es-ES"/>
        </w:rPr>
        <w:t xml:space="preserve">2.1.13 </w:t>
      </w:r>
      <w:r w:rsidRPr="006312E8">
        <w:rPr>
          <w:rFonts w:ascii="Arial" w:eastAsia="Calibri" w:hAnsi="Arial" w:cs="Arial"/>
          <w:lang w:val="es-ES"/>
        </w:rPr>
        <w:tab/>
        <w:t>El superficiario es directamente responsable por el pago de tributos, la conservación, cautela física y seguridad jurídica del inmueble y/o sus edificaciones, que sean de su cargo.</w:t>
      </w:r>
    </w:p>
    <w:p w:rsidR="006312E8" w:rsidRPr="006312E8" w:rsidRDefault="006312E8" w:rsidP="006312E8">
      <w:pPr>
        <w:spacing w:after="0" w:line="240" w:lineRule="auto"/>
        <w:ind w:left="1418" w:hanging="851"/>
        <w:jc w:val="both"/>
        <w:rPr>
          <w:rFonts w:ascii="Arial" w:eastAsia="Calibri" w:hAnsi="Arial" w:cs="Arial"/>
          <w:lang w:val="es-ES"/>
        </w:rPr>
      </w:pPr>
    </w:p>
    <w:p w:rsidR="006312E8" w:rsidRPr="006312E8" w:rsidRDefault="006312E8" w:rsidP="006312E8">
      <w:pPr>
        <w:spacing w:after="0" w:line="240" w:lineRule="auto"/>
        <w:ind w:left="1418" w:hanging="851"/>
        <w:jc w:val="both"/>
        <w:rPr>
          <w:rFonts w:ascii="Arial" w:eastAsia="Calibri" w:hAnsi="Arial" w:cs="Arial"/>
          <w:lang w:val="es-ES"/>
        </w:rPr>
      </w:pPr>
      <w:r w:rsidRPr="006312E8">
        <w:rPr>
          <w:rFonts w:ascii="Arial" w:eastAsia="Calibri" w:hAnsi="Arial" w:cs="Arial"/>
          <w:lang w:val="es-ES"/>
        </w:rPr>
        <w:t xml:space="preserve">2.1.14 </w:t>
      </w:r>
      <w:r w:rsidRPr="006312E8">
        <w:rPr>
          <w:rFonts w:ascii="Arial" w:eastAsia="Calibri" w:hAnsi="Arial" w:cs="Arial"/>
          <w:lang w:val="es-ES"/>
        </w:rPr>
        <w:tab/>
        <w:t>El superficiario está obligado a cubrir los gastos que irrogue la formalización de la constitución del derecho de superficie.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1418" w:hanging="851"/>
        <w:jc w:val="both"/>
        <w:rPr>
          <w:rFonts w:ascii="Arial" w:eastAsia="Calibri" w:hAnsi="Arial" w:cs="Arial"/>
          <w:lang w:val="es-ES"/>
        </w:rPr>
      </w:pPr>
      <w:r w:rsidRPr="006312E8">
        <w:rPr>
          <w:rFonts w:ascii="Arial" w:eastAsia="Calibri" w:hAnsi="Arial" w:cs="Arial"/>
          <w:lang w:val="es-ES"/>
        </w:rPr>
        <w:t xml:space="preserve">2.1.15 </w:t>
      </w:r>
      <w:r w:rsidRPr="006312E8">
        <w:rPr>
          <w:rFonts w:ascii="Arial" w:eastAsia="Calibri" w:hAnsi="Arial" w:cs="Arial"/>
          <w:lang w:val="es-ES"/>
        </w:rPr>
        <w:tab/>
        <w:t>El derecho de superficie caduca o se extingue por las siguientes razones: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1843" w:hanging="425"/>
        <w:jc w:val="both"/>
        <w:rPr>
          <w:rFonts w:ascii="Arial" w:eastAsia="Calibri" w:hAnsi="Arial" w:cs="Arial"/>
          <w:lang w:val="es-ES"/>
        </w:rPr>
      </w:pPr>
      <w:r w:rsidRPr="006312E8">
        <w:rPr>
          <w:rFonts w:ascii="Arial" w:eastAsia="Calibri" w:hAnsi="Arial" w:cs="Arial"/>
          <w:lang w:val="es-ES"/>
        </w:rPr>
        <w:t xml:space="preserve">a.- </w:t>
      </w:r>
      <w:r w:rsidRPr="006312E8">
        <w:rPr>
          <w:rFonts w:ascii="Arial" w:eastAsia="Calibri" w:hAnsi="Arial" w:cs="Arial"/>
          <w:lang w:val="es-ES"/>
        </w:rPr>
        <w:tab/>
        <w:t>Por el transcurso del plazo pactado, sin que haya mediado renovación alguna.</w:t>
      </w:r>
    </w:p>
    <w:p w:rsidR="006312E8" w:rsidRPr="006312E8" w:rsidRDefault="006312E8" w:rsidP="006312E8">
      <w:pPr>
        <w:spacing w:after="0" w:line="240" w:lineRule="auto"/>
        <w:ind w:left="1843" w:hanging="425"/>
        <w:jc w:val="both"/>
        <w:rPr>
          <w:rFonts w:ascii="Arial" w:eastAsia="Calibri" w:hAnsi="Arial" w:cs="Arial"/>
          <w:lang w:val="es-ES"/>
        </w:rPr>
      </w:pPr>
    </w:p>
    <w:p w:rsidR="006312E8" w:rsidRPr="006312E8" w:rsidRDefault="006312E8" w:rsidP="006312E8">
      <w:pPr>
        <w:spacing w:after="0" w:line="240" w:lineRule="auto"/>
        <w:ind w:left="1843" w:hanging="425"/>
        <w:jc w:val="both"/>
        <w:rPr>
          <w:rFonts w:ascii="Arial" w:eastAsia="Calibri" w:hAnsi="Arial" w:cs="Arial"/>
          <w:lang w:val="es-ES"/>
        </w:rPr>
      </w:pPr>
      <w:r w:rsidRPr="006312E8">
        <w:rPr>
          <w:rFonts w:ascii="Arial" w:eastAsia="Calibri" w:hAnsi="Arial" w:cs="Arial"/>
          <w:lang w:val="es-ES"/>
        </w:rPr>
        <w:t xml:space="preserve">b.- </w:t>
      </w:r>
      <w:r w:rsidRPr="006312E8">
        <w:rPr>
          <w:rFonts w:ascii="Arial" w:eastAsia="Calibri" w:hAnsi="Arial" w:cs="Arial"/>
          <w:lang w:val="es-ES"/>
        </w:rPr>
        <w:tab/>
        <w:t>Por la renuncia del superficiario.</w:t>
      </w:r>
    </w:p>
    <w:p w:rsidR="006312E8" w:rsidRPr="006312E8" w:rsidRDefault="006312E8" w:rsidP="006312E8">
      <w:pPr>
        <w:spacing w:after="0" w:line="240" w:lineRule="auto"/>
        <w:ind w:left="1843" w:hanging="425"/>
        <w:jc w:val="both"/>
        <w:rPr>
          <w:rFonts w:ascii="Arial" w:eastAsia="Calibri" w:hAnsi="Arial" w:cs="Arial"/>
          <w:lang w:val="es-ES"/>
        </w:rPr>
      </w:pPr>
    </w:p>
    <w:p w:rsidR="006312E8" w:rsidRPr="006312E8" w:rsidRDefault="006312E8" w:rsidP="006312E8">
      <w:pPr>
        <w:spacing w:after="0" w:line="240" w:lineRule="auto"/>
        <w:ind w:left="1843" w:hanging="425"/>
        <w:jc w:val="both"/>
        <w:rPr>
          <w:rFonts w:ascii="Arial" w:eastAsia="Calibri" w:hAnsi="Arial" w:cs="Arial"/>
          <w:lang w:val="es-ES"/>
        </w:rPr>
      </w:pPr>
      <w:r w:rsidRPr="006312E8">
        <w:rPr>
          <w:rFonts w:ascii="Arial" w:eastAsia="Calibri" w:hAnsi="Arial" w:cs="Arial"/>
          <w:lang w:val="es-ES"/>
        </w:rPr>
        <w:t xml:space="preserve">c.- </w:t>
      </w:r>
      <w:r w:rsidRPr="006312E8">
        <w:rPr>
          <w:rFonts w:ascii="Arial" w:eastAsia="Calibri" w:hAnsi="Arial" w:cs="Arial"/>
          <w:lang w:val="es-ES"/>
        </w:rPr>
        <w:tab/>
        <w:t>Por la resolución del título constitutivo, proveniente del incumplimiento de la ejecución de la edificación en el plazo estipulado en el contrato y/o por cualquier otra causal de resolución pactada por las partes.</w:t>
      </w:r>
    </w:p>
    <w:p w:rsidR="006312E8" w:rsidRPr="006312E8" w:rsidRDefault="006312E8" w:rsidP="006312E8">
      <w:pPr>
        <w:spacing w:after="0" w:line="240" w:lineRule="auto"/>
        <w:ind w:left="1843" w:hanging="425"/>
        <w:jc w:val="both"/>
        <w:rPr>
          <w:rFonts w:ascii="Arial" w:eastAsia="Calibri" w:hAnsi="Arial" w:cs="Arial"/>
          <w:lang w:val="es-ES"/>
        </w:rPr>
      </w:pPr>
    </w:p>
    <w:p w:rsidR="006312E8" w:rsidRPr="006312E8" w:rsidRDefault="006312E8" w:rsidP="006312E8">
      <w:pPr>
        <w:spacing w:after="0" w:line="240" w:lineRule="auto"/>
        <w:ind w:left="1843" w:hanging="425"/>
        <w:jc w:val="both"/>
        <w:rPr>
          <w:rFonts w:ascii="Arial" w:eastAsia="Calibri" w:hAnsi="Arial" w:cs="Arial"/>
          <w:lang w:val="es-ES"/>
        </w:rPr>
      </w:pPr>
      <w:r w:rsidRPr="006312E8">
        <w:rPr>
          <w:rFonts w:ascii="Arial" w:eastAsia="Calibri" w:hAnsi="Arial" w:cs="Arial"/>
          <w:lang w:val="es-ES"/>
        </w:rPr>
        <w:t xml:space="preserve">d.- </w:t>
      </w:r>
      <w:r w:rsidRPr="006312E8">
        <w:rPr>
          <w:rFonts w:ascii="Arial" w:eastAsia="Calibri" w:hAnsi="Arial" w:cs="Arial"/>
          <w:lang w:val="es-ES"/>
        </w:rPr>
        <w:tab/>
        <w:t>Por la destrucción total de la obra siempre y cuando el superficiario manifieste incapacidad o falta de voluntad para reparar o substituir la infraestructura destruida.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567"/>
        <w:jc w:val="both"/>
        <w:rPr>
          <w:rFonts w:ascii="Arial" w:eastAsia="Calibri" w:hAnsi="Arial" w:cs="Arial"/>
          <w:lang w:val="es-ES"/>
        </w:rPr>
      </w:pPr>
      <w:r w:rsidRPr="006312E8">
        <w:rPr>
          <w:rFonts w:ascii="Arial" w:eastAsia="Calibri" w:hAnsi="Arial" w:cs="Arial"/>
          <w:lang w:val="es-ES"/>
        </w:rPr>
        <w:t xml:space="preserve">2.1.16 </w:t>
      </w:r>
      <w:r w:rsidRPr="006312E8">
        <w:rPr>
          <w:rFonts w:ascii="Arial" w:eastAsia="Calibri" w:hAnsi="Arial" w:cs="Arial"/>
          <w:lang w:val="es-ES"/>
        </w:rPr>
        <w:tab/>
        <w:t>Son causales de suspensión del contrato: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1843" w:hanging="425"/>
        <w:jc w:val="both"/>
        <w:rPr>
          <w:rFonts w:ascii="Arial" w:eastAsia="Calibri" w:hAnsi="Arial" w:cs="Arial"/>
          <w:lang w:val="es-ES"/>
        </w:rPr>
      </w:pPr>
      <w:r w:rsidRPr="006312E8">
        <w:rPr>
          <w:rFonts w:ascii="Arial" w:eastAsia="Calibri" w:hAnsi="Arial" w:cs="Arial"/>
          <w:lang w:val="es-ES"/>
        </w:rPr>
        <w:t xml:space="preserve">a.- </w:t>
      </w:r>
      <w:r w:rsidRPr="006312E8">
        <w:rPr>
          <w:rFonts w:ascii="Arial" w:eastAsia="Calibri" w:hAnsi="Arial" w:cs="Arial"/>
          <w:lang w:val="es-ES"/>
        </w:rPr>
        <w:tab/>
        <w:t>Caso fortuito o fuerza mayor que impidan la ejecución de la obra o prestación del servicio.</w:t>
      </w:r>
    </w:p>
    <w:p w:rsidR="006312E8" w:rsidRPr="006312E8" w:rsidRDefault="006312E8" w:rsidP="006312E8">
      <w:pPr>
        <w:spacing w:after="0" w:line="240" w:lineRule="auto"/>
        <w:ind w:left="1843" w:hanging="425"/>
        <w:jc w:val="both"/>
        <w:rPr>
          <w:rFonts w:ascii="Arial" w:eastAsia="Calibri" w:hAnsi="Arial" w:cs="Arial"/>
          <w:lang w:val="es-ES"/>
        </w:rPr>
      </w:pPr>
    </w:p>
    <w:p w:rsidR="006312E8" w:rsidRPr="006312E8" w:rsidRDefault="006312E8" w:rsidP="006312E8">
      <w:pPr>
        <w:spacing w:after="0" w:line="240" w:lineRule="auto"/>
        <w:ind w:left="1843" w:hanging="425"/>
        <w:jc w:val="both"/>
        <w:rPr>
          <w:rFonts w:ascii="Arial" w:eastAsia="Calibri" w:hAnsi="Arial" w:cs="Arial"/>
          <w:lang w:val="es-ES"/>
        </w:rPr>
      </w:pPr>
      <w:r w:rsidRPr="006312E8">
        <w:rPr>
          <w:rFonts w:ascii="Arial" w:eastAsia="Calibri" w:hAnsi="Arial" w:cs="Arial"/>
          <w:lang w:val="es-ES"/>
        </w:rPr>
        <w:t xml:space="preserve">b.- </w:t>
      </w:r>
      <w:r w:rsidRPr="006312E8">
        <w:rPr>
          <w:rFonts w:ascii="Arial" w:eastAsia="Calibri" w:hAnsi="Arial" w:cs="Arial"/>
          <w:lang w:val="es-ES"/>
        </w:rPr>
        <w:tab/>
        <w:t>La destrucción parcial de la obra o sus elementos por causa no imputable al superficiario, de modo que resulte imposible su utilización por determinado período en los términos señalados en la Resolución y el Contrato.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1418" w:hanging="851"/>
        <w:jc w:val="both"/>
        <w:rPr>
          <w:rFonts w:ascii="Arial" w:eastAsia="Calibri" w:hAnsi="Arial" w:cs="Arial"/>
          <w:lang w:val="es-ES"/>
        </w:rPr>
      </w:pPr>
      <w:r w:rsidRPr="006312E8">
        <w:rPr>
          <w:rFonts w:ascii="Arial" w:eastAsia="Calibri" w:hAnsi="Arial" w:cs="Arial"/>
          <w:lang w:val="es-ES"/>
        </w:rPr>
        <w:t xml:space="preserve">2.1.17 </w:t>
      </w:r>
      <w:r w:rsidRPr="006312E8">
        <w:rPr>
          <w:rFonts w:ascii="Arial" w:eastAsia="Calibri" w:hAnsi="Arial" w:cs="Arial"/>
          <w:lang w:val="es-ES"/>
        </w:rPr>
        <w:tab/>
        <w:t>La SBN o la entidad titular del inmueble queda expresamente facultada a resolver unilateralmente el contrato en forma directa, automática y sin necesidad de declaración judicial previa, por las siguientes causales: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1843" w:hanging="425"/>
        <w:jc w:val="both"/>
        <w:rPr>
          <w:rFonts w:ascii="Arial" w:eastAsia="Calibri" w:hAnsi="Arial" w:cs="Arial"/>
          <w:lang w:val="es-ES"/>
        </w:rPr>
      </w:pPr>
      <w:r w:rsidRPr="006312E8">
        <w:rPr>
          <w:rFonts w:ascii="Arial" w:eastAsia="Calibri" w:hAnsi="Arial" w:cs="Arial"/>
          <w:lang w:val="es-ES"/>
        </w:rPr>
        <w:t>a.-</w:t>
      </w:r>
      <w:r w:rsidRPr="006312E8">
        <w:rPr>
          <w:rFonts w:ascii="Arial" w:eastAsia="Calibri" w:hAnsi="Arial" w:cs="Arial"/>
          <w:lang w:val="es-ES"/>
        </w:rPr>
        <w:tab/>
        <w:t>Por el incumplimiento de cualquiera de las condiciones y/o obligaciones establecidas en la Resolución y en el contrato de constitución del derecho de superficie.</w:t>
      </w:r>
    </w:p>
    <w:p w:rsidR="006312E8" w:rsidRPr="006312E8" w:rsidRDefault="006312E8" w:rsidP="006312E8">
      <w:pPr>
        <w:spacing w:after="0" w:line="240" w:lineRule="auto"/>
        <w:ind w:left="1843" w:hanging="425"/>
        <w:jc w:val="both"/>
        <w:rPr>
          <w:rFonts w:ascii="Arial" w:eastAsia="Calibri" w:hAnsi="Arial" w:cs="Arial"/>
          <w:lang w:val="es-ES"/>
        </w:rPr>
      </w:pPr>
    </w:p>
    <w:p w:rsidR="006312E8" w:rsidRPr="006312E8" w:rsidRDefault="006312E8" w:rsidP="006312E8">
      <w:pPr>
        <w:spacing w:after="0" w:line="240" w:lineRule="auto"/>
        <w:ind w:left="1843" w:hanging="425"/>
        <w:jc w:val="both"/>
        <w:rPr>
          <w:rFonts w:ascii="Arial" w:eastAsia="Calibri" w:hAnsi="Arial" w:cs="Arial"/>
          <w:lang w:val="es-ES"/>
        </w:rPr>
      </w:pPr>
      <w:r w:rsidRPr="006312E8">
        <w:rPr>
          <w:rFonts w:ascii="Arial" w:eastAsia="Calibri" w:hAnsi="Arial" w:cs="Arial"/>
          <w:lang w:val="es-ES"/>
        </w:rPr>
        <w:t xml:space="preserve">b.- </w:t>
      </w:r>
      <w:r w:rsidRPr="006312E8">
        <w:rPr>
          <w:rFonts w:ascii="Arial" w:eastAsia="Calibri" w:hAnsi="Arial" w:cs="Arial"/>
          <w:lang w:val="es-ES"/>
        </w:rPr>
        <w:tab/>
        <w:t>Por el incumplimiento del plazo de conclusión de las etapas en que se fija la construcción del proyecto, quedando el superficiario obligado a entregar al Estado o a la entidad titular del inmueble, sin derecho a reembolso alguno, la edificación realizada parcial o total en el inmueble materia de resolución.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1418" w:hanging="851"/>
        <w:jc w:val="both"/>
        <w:rPr>
          <w:rFonts w:ascii="Arial" w:eastAsia="Calibri" w:hAnsi="Arial" w:cs="Arial"/>
          <w:lang w:val="es-ES"/>
        </w:rPr>
      </w:pPr>
      <w:r w:rsidRPr="006312E8">
        <w:rPr>
          <w:rFonts w:ascii="Arial" w:eastAsia="Calibri" w:hAnsi="Arial" w:cs="Arial"/>
          <w:lang w:val="es-ES"/>
        </w:rPr>
        <w:t xml:space="preserve">2.1.18 </w:t>
      </w:r>
      <w:r w:rsidRPr="006312E8">
        <w:rPr>
          <w:rFonts w:ascii="Arial" w:eastAsia="Calibri" w:hAnsi="Arial" w:cs="Arial"/>
          <w:lang w:val="es-ES"/>
        </w:rPr>
        <w:tab/>
        <w:t>El valor de la construcción producto de la constitución del derecho de superficie, en ningún caso será reembolsado por la entidad propietaria del inmueble una vez vencido el plazo pactado en el respectivo contrato.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142"/>
        <w:jc w:val="both"/>
        <w:rPr>
          <w:rFonts w:ascii="Arial" w:eastAsia="Calibri" w:hAnsi="Arial" w:cs="Arial"/>
          <w:b/>
          <w:lang w:val="es-ES"/>
        </w:rPr>
      </w:pPr>
      <w:r w:rsidRPr="006312E8">
        <w:rPr>
          <w:rFonts w:ascii="Arial" w:eastAsia="Calibri" w:hAnsi="Arial" w:cs="Arial"/>
          <w:b/>
          <w:lang w:val="es-ES"/>
        </w:rPr>
        <w:t>2.2 Procedimiento</w:t>
      </w:r>
    </w:p>
    <w:p w:rsidR="006312E8" w:rsidRPr="006312E8" w:rsidRDefault="006312E8" w:rsidP="006312E8">
      <w:pPr>
        <w:spacing w:after="0" w:line="240" w:lineRule="auto"/>
        <w:ind w:left="142"/>
        <w:jc w:val="both"/>
        <w:rPr>
          <w:rFonts w:ascii="Arial" w:eastAsia="Calibri" w:hAnsi="Arial" w:cs="Arial"/>
          <w:b/>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2.2.1 </w:t>
      </w:r>
      <w:r w:rsidRPr="006312E8">
        <w:rPr>
          <w:rFonts w:ascii="Arial" w:eastAsia="Calibri" w:hAnsi="Arial" w:cs="Arial"/>
          <w:lang w:val="es-ES"/>
        </w:rPr>
        <w:tab/>
        <w:t>La solicitud de constitución de derecho de superficie se presentará ante la entidad pública a cuyo favor se encuentra inscrito el inmueble, o ante la SBN, en el caso de predios del Estado administrados por dicha entidad, de acuerdo al Formato aprobado con el Anexo Nº 1, adjuntando la siguiente documentación: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1985" w:hanging="567"/>
        <w:jc w:val="both"/>
        <w:rPr>
          <w:rFonts w:ascii="Arial" w:eastAsia="Calibri" w:hAnsi="Arial" w:cs="Arial"/>
          <w:lang w:val="es-ES"/>
        </w:rPr>
      </w:pPr>
      <w:r w:rsidRPr="006312E8">
        <w:rPr>
          <w:rFonts w:ascii="Arial" w:eastAsia="Calibri" w:hAnsi="Arial" w:cs="Arial"/>
          <w:lang w:val="es-ES"/>
        </w:rPr>
        <w:t xml:space="preserve">a.- </w:t>
      </w:r>
      <w:r w:rsidRPr="006312E8">
        <w:rPr>
          <w:rFonts w:ascii="Arial" w:eastAsia="Calibri" w:hAnsi="Arial" w:cs="Arial"/>
          <w:lang w:val="es-ES"/>
        </w:rPr>
        <w:tab/>
        <w:t>En el caso de persona natural, se deberá adjuntar a la solicitud copia del Documento Nacional de Identidad.</w:t>
      </w:r>
    </w:p>
    <w:p w:rsidR="006312E8" w:rsidRPr="006312E8" w:rsidRDefault="006312E8" w:rsidP="006312E8">
      <w:pPr>
        <w:spacing w:after="0" w:line="240" w:lineRule="auto"/>
        <w:ind w:left="1985" w:hanging="567"/>
        <w:jc w:val="both"/>
        <w:rPr>
          <w:rFonts w:ascii="Arial" w:eastAsia="Calibri" w:hAnsi="Arial" w:cs="Arial"/>
          <w:lang w:val="es-ES"/>
        </w:rPr>
      </w:pPr>
    </w:p>
    <w:p w:rsidR="006312E8" w:rsidRPr="006312E8" w:rsidRDefault="006312E8" w:rsidP="006312E8">
      <w:pPr>
        <w:spacing w:after="0" w:line="240" w:lineRule="auto"/>
        <w:ind w:left="1985" w:hanging="567"/>
        <w:jc w:val="both"/>
        <w:rPr>
          <w:rFonts w:ascii="Arial" w:eastAsia="Calibri" w:hAnsi="Arial" w:cs="Arial"/>
          <w:lang w:val="es-ES"/>
        </w:rPr>
      </w:pPr>
      <w:r w:rsidRPr="006312E8">
        <w:rPr>
          <w:rFonts w:ascii="Arial" w:eastAsia="Calibri" w:hAnsi="Arial" w:cs="Arial"/>
          <w:lang w:val="es-ES"/>
        </w:rPr>
        <w:t xml:space="preserve">b.- </w:t>
      </w:r>
      <w:r w:rsidRPr="006312E8">
        <w:rPr>
          <w:rFonts w:ascii="Arial" w:eastAsia="Calibri" w:hAnsi="Arial" w:cs="Arial"/>
          <w:lang w:val="es-ES"/>
        </w:rPr>
        <w:tab/>
        <w:t>En el caso de Personas Jurídicas, se deberá adjuntar copia literal de la Ficha de su constitución inscrita ante el Registro Público correspondiente.</w:t>
      </w:r>
    </w:p>
    <w:p w:rsidR="006312E8" w:rsidRPr="006312E8" w:rsidRDefault="006312E8" w:rsidP="006312E8">
      <w:pPr>
        <w:spacing w:after="0" w:line="240" w:lineRule="auto"/>
        <w:ind w:left="1985" w:hanging="567"/>
        <w:jc w:val="both"/>
        <w:rPr>
          <w:rFonts w:ascii="Arial" w:eastAsia="Calibri" w:hAnsi="Arial" w:cs="Arial"/>
          <w:lang w:val="es-ES"/>
        </w:rPr>
      </w:pPr>
    </w:p>
    <w:p w:rsidR="006312E8" w:rsidRPr="006312E8" w:rsidRDefault="006312E8" w:rsidP="006312E8">
      <w:pPr>
        <w:spacing w:after="0" w:line="240" w:lineRule="auto"/>
        <w:ind w:left="1985" w:hanging="567"/>
        <w:jc w:val="both"/>
        <w:rPr>
          <w:rFonts w:ascii="Arial" w:eastAsia="Calibri" w:hAnsi="Arial" w:cs="Arial"/>
          <w:lang w:val="es-ES"/>
        </w:rPr>
      </w:pPr>
      <w:r w:rsidRPr="006312E8">
        <w:rPr>
          <w:rFonts w:ascii="Arial" w:eastAsia="Calibri" w:hAnsi="Arial" w:cs="Arial"/>
          <w:lang w:val="es-ES"/>
        </w:rPr>
        <w:t xml:space="preserve">c.- </w:t>
      </w:r>
      <w:r w:rsidRPr="006312E8">
        <w:rPr>
          <w:rFonts w:ascii="Arial" w:eastAsia="Calibri" w:hAnsi="Arial" w:cs="Arial"/>
          <w:lang w:val="es-ES"/>
        </w:rPr>
        <w:tab/>
        <w:t>Copia simple de los Estatutos de la Entidad solicitante.</w:t>
      </w:r>
    </w:p>
    <w:p w:rsidR="006312E8" w:rsidRPr="006312E8" w:rsidRDefault="006312E8" w:rsidP="006312E8">
      <w:pPr>
        <w:spacing w:after="0" w:line="240" w:lineRule="auto"/>
        <w:ind w:left="1985" w:hanging="567"/>
        <w:jc w:val="both"/>
        <w:rPr>
          <w:rFonts w:ascii="Arial" w:eastAsia="Calibri" w:hAnsi="Arial" w:cs="Arial"/>
          <w:lang w:val="es-ES"/>
        </w:rPr>
      </w:pPr>
    </w:p>
    <w:p w:rsidR="006312E8" w:rsidRPr="006312E8" w:rsidRDefault="006312E8" w:rsidP="006312E8">
      <w:pPr>
        <w:spacing w:after="0" w:line="240" w:lineRule="auto"/>
        <w:ind w:left="1985" w:hanging="567"/>
        <w:jc w:val="both"/>
        <w:rPr>
          <w:rFonts w:ascii="Arial" w:eastAsia="Calibri" w:hAnsi="Arial" w:cs="Arial"/>
          <w:lang w:val="es-ES"/>
        </w:rPr>
      </w:pPr>
      <w:r w:rsidRPr="006312E8">
        <w:rPr>
          <w:rFonts w:ascii="Arial" w:eastAsia="Calibri" w:hAnsi="Arial" w:cs="Arial"/>
          <w:lang w:val="es-ES"/>
        </w:rPr>
        <w:t xml:space="preserve">d.- </w:t>
      </w:r>
      <w:r w:rsidRPr="006312E8">
        <w:rPr>
          <w:rFonts w:ascii="Arial" w:eastAsia="Calibri" w:hAnsi="Arial" w:cs="Arial"/>
          <w:lang w:val="es-ES"/>
        </w:rPr>
        <w:tab/>
        <w:t>Plano perimétrico del inmueble materia de superficie en coordenadas UTM a escala 1/100, 1/200, 1/500 con indicación de área, linderos, ángulos y medidas perimétricas.</w:t>
      </w:r>
    </w:p>
    <w:p w:rsidR="006312E8" w:rsidRPr="006312E8" w:rsidRDefault="006312E8" w:rsidP="006312E8">
      <w:pPr>
        <w:spacing w:after="0" w:line="240" w:lineRule="auto"/>
        <w:ind w:left="1985" w:hanging="567"/>
        <w:jc w:val="both"/>
        <w:rPr>
          <w:rFonts w:ascii="Arial" w:eastAsia="Calibri" w:hAnsi="Arial" w:cs="Arial"/>
          <w:lang w:val="es-ES"/>
        </w:rPr>
      </w:pPr>
    </w:p>
    <w:p w:rsidR="006312E8" w:rsidRPr="006312E8" w:rsidRDefault="006312E8" w:rsidP="006312E8">
      <w:pPr>
        <w:spacing w:after="0" w:line="240" w:lineRule="auto"/>
        <w:ind w:left="1985" w:hanging="567"/>
        <w:jc w:val="both"/>
        <w:rPr>
          <w:rFonts w:ascii="Arial" w:eastAsia="Calibri" w:hAnsi="Arial" w:cs="Arial"/>
          <w:lang w:val="es-ES"/>
        </w:rPr>
      </w:pPr>
      <w:r w:rsidRPr="006312E8">
        <w:rPr>
          <w:rFonts w:ascii="Arial" w:eastAsia="Calibri" w:hAnsi="Arial" w:cs="Arial"/>
          <w:lang w:val="es-ES"/>
        </w:rPr>
        <w:t xml:space="preserve">e.- </w:t>
      </w:r>
      <w:r w:rsidRPr="006312E8">
        <w:rPr>
          <w:rFonts w:ascii="Arial" w:eastAsia="Calibri" w:hAnsi="Arial" w:cs="Arial"/>
          <w:lang w:val="es-ES"/>
        </w:rPr>
        <w:tab/>
        <w:t>Plano de Ubicación del inmueble a escala 1/1000 ó 1/5000.</w:t>
      </w:r>
    </w:p>
    <w:p w:rsidR="006312E8" w:rsidRPr="006312E8" w:rsidRDefault="006312E8" w:rsidP="006312E8">
      <w:pPr>
        <w:spacing w:after="0" w:line="240" w:lineRule="auto"/>
        <w:ind w:left="1985" w:hanging="567"/>
        <w:jc w:val="both"/>
        <w:rPr>
          <w:rFonts w:ascii="Arial" w:eastAsia="Calibri" w:hAnsi="Arial" w:cs="Arial"/>
          <w:lang w:val="es-ES"/>
        </w:rPr>
      </w:pPr>
    </w:p>
    <w:p w:rsidR="006312E8" w:rsidRPr="006312E8" w:rsidRDefault="006312E8" w:rsidP="006312E8">
      <w:pPr>
        <w:spacing w:after="0" w:line="240" w:lineRule="auto"/>
        <w:ind w:left="1985" w:hanging="567"/>
        <w:jc w:val="both"/>
        <w:rPr>
          <w:rFonts w:ascii="Arial" w:eastAsia="Calibri" w:hAnsi="Arial" w:cs="Arial"/>
          <w:lang w:val="es-ES"/>
        </w:rPr>
      </w:pPr>
      <w:r w:rsidRPr="006312E8">
        <w:rPr>
          <w:rFonts w:ascii="Arial" w:eastAsia="Calibri" w:hAnsi="Arial" w:cs="Arial"/>
          <w:lang w:val="es-ES"/>
        </w:rPr>
        <w:t xml:space="preserve">f.- </w:t>
      </w:r>
      <w:r w:rsidRPr="006312E8">
        <w:rPr>
          <w:rFonts w:ascii="Arial" w:eastAsia="Calibri" w:hAnsi="Arial" w:cs="Arial"/>
          <w:lang w:val="es-ES"/>
        </w:rPr>
        <w:tab/>
        <w:t>Memoria Descriptiva, indicando ubicación, perímetro, linderos, medidas perimétricas, zonificación y observaciones pertinentes. (Anexo 2).</w:t>
      </w:r>
    </w:p>
    <w:p w:rsidR="006312E8" w:rsidRPr="006312E8" w:rsidRDefault="006312E8" w:rsidP="006312E8">
      <w:pPr>
        <w:spacing w:after="0" w:line="240" w:lineRule="auto"/>
        <w:ind w:left="1985" w:hanging="567"/>
        <w:jc w:val="both"/>
        <w:rPr>
          <w:rFonts w:ascii="Arial" w:eastAsia="Calibri" w:hAnsi="Arial" w:cs="Arial"/>
          <w:lang w:val="es-ES"/>
        </w:rPr>
      </w:pPr>
    </w:p>
    <w:p w:rsidR="006312E8" w:rsidRPr="006312E8" w:rsidRDefault="006312E8" w:rsidP="006312E8">
      <w:pPr>
        <w:spacing w:after="0" w:line="240" w:lineRule="auto"/>
        <w:ind w:left="1985" w:hanging="567"/>
        <w:jc w:val="both"/>
        <w:rPr>
          <w:rFonts w:ascii="Arial" w:eastAsia="Calibri" w:hAnsi="Arial" w:cs="Arial"/>
          <w:lang w:val="es-ES"/>
        </w:rPr>
      </w:pPr>
      <w:r w:rsidRPr="006312E8">
        <w:rPr>
          <w:rFonts w:ascii="Arial" w:eastAsia="Calibri" w:hAnsi="Arial" w:cs="Arial"/>
          <w:lang w:val="es-ES"/>
        </w:rPr>
        <w:t xml:space="preserve">g.- </w:t>
      </w:r>
      <w:r w:rsidRPr="006312E8">
        <w:rPr>
          <w:rFonts w:ascii="Arial" w:eastAsia="Calibri" w:hAnsi="Arial" w:cs="Arial"/>
          <w:lang w:val="es-ES"/>
        </w:rPr>
        <w:tab/>
        <w:t>Perfil del Proyecto de Inversión, el cual contiene la siguiente documentación: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1985"/>
        <w:jc w:val="both"/>
        <w:rPr>
          <w:rFonts w:ascii="Arial" w:eastAsia="Calibri" w:hAnsi="Arial" w:cs="Arial"/>
          <w:lang w:val="es-ES"/>
        </w:rPr>
      </w:pPr>
      <w:r w:rsidRPr="006312E8">
        <w:rPr>
          <w:rFonts w:ascii="Arial" w:eastAsia="Calibri" w:hAnsi="Arial" w:cs="Arial"/>
          <w:lang w:val="es-ES"/>
        </w:rPr>
        <w:tab/>
        <w:t>1.- Lineamiento: Presentación del Proyecto.</w:t>
      </w:r>
    </w:p>
    <w:p w:rsidR="006312E8" w:rsidRPr="006312E8" w:rsidRDefault="006312E8" w:rsidP="006312E8">
      <w:pPr>
        <w:spacing w:after="0" w:line="240" w:lineRule="auto"/>
        <w:ind w:left="1985"/>
        <w:jc w:val="both"/>
        <w:rPr>
          <w:rFonts w:ascii="Arial" w:eastAsia="Calibri" w:hAnsi="Arial" w:cs="Arial"/>
          <w:lang w:val="es-ES"/>
        </w:rPr>
      </w:pPr>
    </w:p>
    <w:p w:rsidR="006312E8" w:rsidRPr="006312E8" w:rsidRDefault="006312E8" w:rsidP="006312E8">
      <w:pPr>
        <w:spacing w:after="0" w:line="240" w:lineRule="auto"/>
        <w:ind w:left="1985"/>
        <w:jc w:val="both"/>
        <w:rPr>
          <w:rFonts w:ascii="Arial" w:eastAsia="Calibri" w:hAnsi="Arial" w:cs="Arial"/>
          <w:lang w:val="es-ES"/>
        </w:rPr>
      </w:pPr>
      <w:r w:rsidRPr="006312E8">
        <w:rPr>
          <w:rFonts w:ascii="Arial" w:eastAsia="Calibri" w:hAnsi="Arial" w:cs="Arial"/>
          <w:lang w:val="es-ES"/>
        </w:rPr>
        <w:tab/>
        <w:t>2.- Guía técnico-económica del Proyecto: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410"/>
        <w:jc w:val="both"/>
        <w:rPr>
          <w:rFonts w:ascii="Arial" w:eastAsia="Calibri" w:hAnsi="Arial" w:cs="Arial"/>
          <w:lang w:val="es-ES"/>
        </w:rPr>
      </w:pPr>
      <w:r w:rsidRPr="006312E8">
        <w:rPr>
          <w:rFonts w:ascii="Arial" w:eastAsia="Calibri" w:hAnsi="Arial" w:cs="Arial"/>
          <w:lang w:val="es-ES"/>
        </w:rPr>
        <w:t>2.1 Características generales del proyecto.</w:t>
      </w:r>
    </w:p>
    <w:p w:rsidR="006312E8" w:rsidRPr="006312E8" w:rsidRDefault="006312E8" w:rsidP="006312E8">
      <w:pPr>
        <w:spacing w:after="0" w:line="240" w:lineRule="auto"/>
        <w:ind w:left="2410"/>
        <w:jc w:val="both"/>
        <w:rPr>
          <w:rFonts w:ascii="Arial" w:eastAsia="Calibri" w:hAnsi="Arial" w:cs="Arial"/>
          <w:lang w:val="es-ES"/>
        </w:rPr>
      </w:pPr>
      <w:r w:rsidRPr="006312E8">
        <w:rPr>
          <w:rFonts w:ascii="Arial" w:eastAsia="Calibri" w:hAnsi="Arial" w:cs="Arial"/>
          <w:lang w:val="es-ES"/>
        </w:rPr>
        <w:t>2.2 Justificación económica de la iniciativa.</w:t>
      </w:r>
    </w:p>
    <w:p w:rsidR="006312E8" w:rsidRPr="006312E8" w:rsidRDefault="006312E8" w:rsidP="006312E8">
      <w:pPr>
        <w:spacing w:after="0" w:line="240" w:lineRule="auto"/>
        <w:ind w:left="2410"/>
        <w:jc w:val="both"/>
        <w:rPr>
          <w:rFonts w:ascii="Arial" w:eastAsia="Calibri" w:hAnsi="Arial" w:cs="Arial"/>
          <w:lang w:val="es-ES"/>
        </w:rPr>
      </w:pPr>
      <w:r w:rsidRPr="006312E8">
        <w:rPr>
          <w:rFonts w:ascii="Arial" w:eastAsia="Calibri" w:hAnsi="Arial" w:cs="Arial"/>
          <w:lang w:val="es-ES"/>
        </w:rPr>
        <w:t>2.3 Inversiones a realizar.</w:t>
      </w:r>
    </w:p>
    <w:p w:rsidR="006312E8" w:rsidRPr="006312E8" w:rsidRDefault="006312E8" w:rsidP="006312E8">
      <w:pPr>
        <w:spacing w:after="0" w:line="240" w:lineRule="auto"/>
        <w:ind w:left="2410"/>
        <w:jc w:val="both"/>
        <w:rPr>
          <w:rFonts w:ascii="Arial" w:eastAsia="Calibri" w:hAnsi="Arial" w:cs="Arial"/>
          <w:lang w:val="es-ES"/>
        </w:rPr>
      </w:pPr>
      <w:r w:rsidRPr="006312E8">
        <w:rPr>
          <w:rFonts w:ascii="Arial" w:eastAsia="Calibri" w:hAnsi="Arial" w:cs="Arial"/>
          <w:lang w:val="es-ES"/>
        </w:rPr>
        <w:t>2.4 Ingresos, costos y viabilidad económica del proyecto.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2.2.2 </w:t>
      </w:r>
      <w:r w:rsidRPr="006312E8">
        <w:rPr>
          <w:rFonts w:ascii="Arial" w:eastAsia="Calibri" w:hAnsi="Arial" w:cs="Arial"/>
          <w:lang w:val="es-ES"/>
        </w:rPr>
        <w:tab/>
        <w:t>En el caso de inmuebles administrados por la SBN, corresponde su evaluación, calificación y pronunciamiento a la Jefatura de Adjudicaciones.</w:t>
      </w:r>
    </w:p>
    <w:p w:rsidR="006312E8" w:rsidRPr="006312E8" w:rsidRDefault="006312E8" w:rsidP="006312E8">
      <w:pPr>
        <w:spacing w:after="0" w:line="240" w:lineRule="auto"/>
        <w:ind w:left="1418" w:hanging="709"/>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ab/>
        <w:t>En el caso de inmuebles administrados por las entidades públicas, la entidad titular del inmueble, a través de su Comité de Gestión Patrimonial, deberá evaluarla y calificarla. De ser positiva la calificación y contando con la opinión favorable del titular de la entidad propietaria del inmueble, deberá comunicar al peticionante del derecho, la admisión a trámite de su solicitud y remitir a la SBN, para su previa opinión, el correspondiente expediente administrativo. Si la calificación, es negativa se comunicará la denegatoria al peticionante, archivándose su solicitud.</w:t>
      </w:r>
    </w:p>
    <w:p w:rsidR="006312E8" w:rsidRPr="006312E8" w:rsidRDefault="006312E8" w:rsidP="006312E8">
      <w:pPr>
        <w:spacing w:after="0" w:line="240" w:lineRule="auto"/>
        <w:ind w:left="1418" w:hanging="709"/>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2.2.3 </w:t>
      </w:r>
      <w:r w:rsidRPr="006312E8">
        <w:rPr>
          <w:rFonts w:ascii="Arial" w:eastAsia="Calibri" w:hAnsi="Arial" w:cs="Arial"/>
          <w:lang w:val="es-ES"/>
        </w:rPr>
        <w:tab/>
        <w:t>El expediente administrativo deberá contener, además de los requisitos establecidos en el punto 2.2.1 de la presente Directiva, la siguiente documentación: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1985" w:hanging="567"/>
        <w:jc w:val="both"/>
        <w:rPr>
          <w:rFonts w:ascii="Arial" w:eastAsia="Calibri" w:hAnsi="Arial" w:cs="Arial"/>
          <w:lang w:val="es-ES"/>
        </w:rPr>
      </w:pPr>
      <w:r w:rsidRPr="006312E8">
        <w:rPr>
          <w:rFonts w:ascii="Arial" w:eastAsia="Calibri" w:hAnsi="Arial" w:cs="Arial"/>
          <w:lang w:val="es-ES"/>
        </w:rPr>
        <w:t xml:space="preserve">a.- </w:t>
      </w:r>
      <w:r w:rsidRPr="006312E8">
        <w:rPr>
          <w:rFonts w:ascii="Arial" w:eastAsia="Calibri" w:hAnsi="Arial" w:cs="Arial"/>
          <w:lang w:val="es-ES"/>
        </w:rPr>
        <w:tab/>
        <w:t>Comunicación al peticionante de la admisión a trámite de su solicitud.</w:t>
      </w:r>
    </w:p>
    <w:p w:rsidR="006312E8" w:rsidRPr="006312E8" w:rsidRDefault="006312E8" w:rsidP="006312E8">
      <w:pPr>
        <w:spacing w:after="0" w:line="240" w:lineRule="auto"/>
        <w:ind w:left="1985" w:hanging="567"/>
        <w:jc w:val="both"/>
        <w:rPr>
          <w:rFonts w:ascii="Arial" w:eastAsia="Calibri" w:hAnsi="Arial" w:cs="Arial"/>
          <w:lang w:val="es-ES"/>
        </w:rPr>
      </w:pPr>
    </w:p>
    <w:p w:rsidR="006312E8" w:rsidRPr="006312E8" w:rsidRDefault="006312E8" w:rsidP="006312E8">
      <w:pPr>
        <w:spacing w:after="0" w:line="240" w:lineRule="auto"/>
        <w:ind w:left="1985" w:hanging="567"/>
        <w:jc w:val="both"/>
        <w:rPr>
          <w:rFonts w:ascii="Arial" w:eastAsia="Calibri" w:hAnsi="Arial" w:cs="Arial"/>
          <w:lang w:val="es-ES"/>
        </w:rPr>
      </w:pPr>
      <w:r w:rsidRPr="006312E8">
        <w:rPr>
          <w:rFonts w:ascii="Arial" w:eastAsia="Calibri" w:hAnsi="Arial" w:cs="Arial"/>
          <w:lang w:val="es-ES"/>
        </w:rPr>
        <w:t xml:space="preserve">b.- </w:t>
      </w:r>
      <w:r w:rsidRPr="006312E8">
        <w:rPr>
          <w:rFonts w:ascii="Arial" w:eastAsia="Calibri" w:hAnsi="Arial" w:cs="Arial"/>
          <w:lang w:val="es-ES"/>
        </w:rPr>
        <w:tab/>
        <w:t>Copia de la partida registral del inmueble de titularidad del Estado o de la entidad pública, de ser el caso.</w:t>
      </w:r>
    </w:p>
    <w:p w:rsidR="006312E8" w:rsidRPr="006312E8" w:rsidRDefault="006312E8" w:rsidP="006312E8">
      <w:pPr>
        <w:spacing w:after="0" w:line="240" w:lineRule="auto"/>
        <w:ind w:left="1985" w:hanging="567"/>
        <w:jc w:val="both"/>
        <w:rPr>
          <w:rFonts w:ascii="Arial" w:eastAsia="Calibri" w:hAnsi="Arial" w:cs="Arial"/>
          <w:lang w:val="es-ES"/>
        </w:rPr>
      </w:pPr>
    </w:p>
    <w:p w:rsidR="006312E8" w:rsidRPr="006312E8" w:rsidRDefault="006312E8" w:rsidP="006312E8">
      <w:pPr>
        <w:spacing w:after="0" w:line="240" w:lineRule="auto"/>
        <w:ind w:left="1985" w:hanging="567"/>
        <w:jc w:val="both"/>
        <w:rPr>
          <w:rFonts w:ascii="Arial" w:eastAsia="Calibri" w:hAnsi="Arial" w:cs="Arial"/>
          <w:lang w:val="es-ES"/>
        </w:rPr>
      </w:pPr>
      <w:r w:rsidRPr="006312E8">
        <w:rPr>
          <w:rFonts w:ascii="Arial" w:eastAsia="Calibri" w:hAnsi="Arial" w:cs="Arial"/>
          <w:lang w:val="es-ES"/>
        </w:rPr>
        <w:t xml:space="preserve">c.- </w:t>
      </w:r>
      <w:r w:rsidRPr="006312E8">
        <w:rPr>
          <w:rFonts w:ascii="Arial" w:eastAsia="Calibri" w:hAnsi="Arial" w:cs="Arial"/>
          <w:lang w:val="es-ES"/>
        </w:rPr>
        <w:tab/>
        <w:t>Valorización del inmueble y/o edificaciones.</w:t>
      </w:r>
    </w:p>
    <w:p w:rsidR="006312E8" w:rsidRPr="006312E8" w:rsidRDefault="006312E8" w:rsidP="006312E8">
      <w:pPr>
        <w:spacing w:after="0" w:line="240" w:lineRule="auto"/>
        <w:ind w:left="1985" w:hanging="567"/>
        <w:jc w:val="both"/>
        <w:rPr>
          <w:rFonts w:ascii="Arial" w:eastAsia="Calibri" w:hAnsi="Arial" w:cs="Arial"/>
          <w:lang w:val="es-ES"/>
        </w:rPr>
      </w:pPr>
    </w:p>
    <w:p w:rsidR="006312E8" w:rsidRPr="006312E8" w:rsidRDefault="006312E8" w:rsidP="006312E8">
      <w:pPr>
        <w:spacing w:after="0" w:line="240" w:lineRule="auto"/>
        <w:ind w:left="1985" w:hanging="567"/>
        <w:jc w:val="both"/>
        <w:rPr>
          <w:rFonts w:ascii="Arial" w:eastAsia="Calibri" w:hAnsi="Arial" w:cs="Arial"/>
          <w:lang w:val="es-ES"/>
        </w:rPr>
      </w:pPr>
      <w:r w:rsidRPr="006312E8">
        <w:rPr>
          <w:rFonts w:ascii="Arial" w:eastAsia="Calibri" w:hAnsi="Arial" w:cs="Arial"/>
          <w:lang w:val="es-ES"/>
        </w:rPr>
        <w:t xml:space="preserve">d.- </w:t>
      </w:r>
      <w:r w:rsidRPr="006312E8">
        <w:rPr>
          <w:rFonts w:ascii="Arial" w:eastAsia="Calibri" w:hAnsi="Arial" w:cs="Arial"/>
          <w:lang w:val="es-ES"/>
        </w:rPr>
        <w:tab/>
        <w:t>Perfil del expediente Técnico en el cual se informe sobre la factibilidad de la inversión presentada, plazo de ejecución de la obra, plazo requerido, rentabilidad económica para el inversionista.</w:t>
      </w:r>
    </w:p>
    <w:p w:rsidR="006312E8" w:rsidRPr="006312E8" w:rsidRDefault="006312E8" w:rsidP="006312E8">
      <w:pPr>
        <w:spacing w:after="0" w:line="240" w:lineRule="auto"/>
        <w:ind w:left="1985" w:hanging="567"/>
        <w:jc w:val="both"/>
        <w:rPr>
          <w:rFonts w:ascii="Arial" w:eastAsia="Calibri" w:hAnsi="Arial" w:cs="Arial"/>
          <w:lang w:val="es-ES"/>
        </w:rPr>
      </w:pPr>
    </w:p>
    <w:p w:rsidR="006312E8" w:rsidRPr="006312E8" w:rsidRDefault="006312E8" w:rsidP="006312E8">
      <w:pPr>
        <w:spacing w:after="0" w:line="240" w:lineRule="auto"/>
        <w:ind w:left="1985" w:hanging="567"/>
        <w:jc w:val="both"/>
        <w:rPr>
          <w:rFonts w:ascii="Arial" w:eastAsia="Calibri" w:hAnsi="Arial" w:cs="Arial"/>
          <w:lang w:val="es-ES"/>
        </w:rPr>
      </w:pPr>
      <w:r w:rsidRPr="006312E8">
        <w:rPr>
          <w:rFonts w:ascii="Arial" w:eastAsia="Calibri" w:hAnsi="Arial" w:cs="Arial"/>
          <w:lang w:val="es-ES"/>
        </w:rPr>
        <w:t xml:space="preserve">e.- </w:t>
      </w:r>
      <w:r w:rsidRPr="006312E8">
        <w:rPr>
          <w:rFonts w:ascii="Arial" w:eastAsia="Calibri" w:hAnsi="Arial" w:cs="Arial"/>
          <w:lang w:val="es-ES"/>
        </w:rPr>
        <w:tab/>
        <w:t>Informe Técnico Legal, sustentado por los profesionales responsables. (Anexo 3).</w:t>
      </w:r>
    </w:p>
    <w:p w:rsidR="006312E8" w:rsidRPr="006312E8" w:rsidRDefault="006312E8" w:rsidP="006312E8">
      <w:pPr>
        <w:spacing w:after="0" w:line="240" w:lineRule="auto"/>
        <w:ind w:left="1985" w:hanging="567"/>
        <w:jc w:val="both"/>
        <w:rPr>
          <w:rFonts w:ascii="Arial" w:eastAsia="Calibri" w:hAnsi="Arial" w:cs="Arial"/>
          <w:lang w:val="es-ES"/>
        </w:rPr>
      </w:pPr>
    </w:p>
    <w:p w:rsidR="006312E8" w:rsidRPr="006312E8" w:rsidRDefault="006312E8" w:rsidP="006312E8">
      <w:pPr>
        <w:spacing w:after="0" w:line="240" w:lineRule="auto"/>
        <w:ind w:left="1985" w:hanging="567"/>
        <w:jc w:val="both"/>
        <w:rPr>
          <w:rFonts w:ascii="Arial" w:eastAsia="Calibri" w:hAnsi="Arial" w:cs="Arial"/>
          <w:lang w:val="es-ES"/>
        </w:rPr>
      </w:pPr>
      <w:r w:rsidRPr="006312E8">
        <w:rPr>
          <w:rFonts w:ascii="Arial" w:eastAsia="Calibri" w:hAnsi="Arial" w:cs="Arial"/>
          <w:lang w:val="es-ES"/>
        </w:rPr>
        <w:t xml:space="preserve">f.- </w:t>
      </w:r>
      <w:r w:rsidRPr="006312E8">
        <w:rPr>
          <w:rFonts w:ascii="Arial" w:eastAsia="Calibri" w:hAnsi="Arial" w:cs="Arial"/>
          <w:lang w:val="es-ES"/>
        </w:rPr>
        <w:tab/>
        <w:t>Proyecto de Resolución Administrativa.</w:t>
      </w:r>
    </w:p>
    <w:p w:rsidR="006312E8" w:rsidRPr="006312E8" w:rsidRDefault="006312E8" w:rsidP="006312E8">
      <w:pPr>
        <w:spacing w:after="0" w:line="240" w:lineRule="auto"/>
        <w:ind w:left="1985" w:hanging="567"/>
        <w:jc w:val="both"/>
        <w:rPr>
          <w:rFonts w:ascii="Arial" w:eastAsia="Calibri" w:hAnsi="Arial" w:cs="Arial"/>
          <w:lang w:val="es-ES"/>
        </w:rPr>
      </w:pPr>
    </w:p>
    <w:p w:rsidR="006312E8" w:rsidRPr="006312E8" w:rsidRDefault="006312E8" w:rsidP="006312E8">
      <w:pPr>
        <w:spacing w:after="0" w:line="240" w:lineRule="auto"/>
        <w:ind w:left="1985" w:hanging="567"/>
        <w:jc w:val="both"/>
        <w:rPr>
          <w:rFonts w:ascii="Arial" w:eastAsia="Calibri" w:hAnsi="Arial" w:cs="Arial"/>
          <w:lang w:val="es-ES"/>
        </w:rPr>
      </w:pPr>
      <w:r w:rsidRPr="006312E8">
        <w:rPr>
          <w:rFonts w:ascii="Arial" w:eastAsia="Calibri" w:hAnsi="Arial" w:cs="Arial"/>
          <w:lang w:val="es-ES"/>
        </w:rPr>
        <w:t xml:space="preserve">g.- </w:t>
      </w:r>
      <w:r w:rsidRPr="006312E8">
        <w:rPr>
          <w:rFonts w:ascii="Arial" w:eastAsia="Calibri" w:hAnsi="Arial" w:cs="Arial"/>
          <w:lang w:val="es-ES"/>
        </w:rPr>
        <w:tab/>
        <w:t>Proyecto del Contrato.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2.2.4 </w:t>
      </w:r>
      <w:r w:rsidRPr="006312E8">
        <w:rPr>
          <w:rFonts w:ascii="Arial" w:eastAsia="Calibri" w:hAnsi="Arial" w:cs="Arial"/>
          <w:lang w:val="es-ES"/>
        </w:rPr>
        <w:tab/>
        <w:t>Una vez recibida la opinión favorable de la SBN, la entidad titular del inmueble expedirá la correspondiente Resolución y suscribirá el contrato de constitución de derecho de superficie.</w:t>
      </w:r>
    </w:p>
    <w:p w:rsidR="006312E8" w:rsidRPr="006312E8" w:rsidRDefault="006312E8" w:rsidP="006312E8">
      <w:pPr>
        <w:spacing w:after="0" w:line="240" w:lineRule="auto"/>
        <w:ind w:left="1418" w:hanging="709"/>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ab/>
        <w:t>En el caso que la SBN emita opinión desfavorable, la entidad titular deberá archivar el expediente y comunicar al peticionante mediante Resolución la denegatoria del trámite.</w:t>
      </w:r>
    </w:p>
    <w:p w:rsidR="006312E8" w:rsidRPr="006312E8" w:rsidRDefault="006312E8" w:rsidP="006312E8">
      <w:pPr>
        <w:spacing w:after="0" w:line="240" w:lineRule="auto"/>
        <w:ind w:left="1418" w:hanging="709"/>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2.2.5 </w:t>
      </w:r>
      <w:r w:rsidRPr="006312E8">
        <w:rPr>
          <w:rFonts w:ascii="Arial" w:eastAsia="Calibri" w:hAnsi="Arial" w:cs="Arial"/>
          <w:lang w:val="es-ES"/>
        </w:rPr>
        <w:tab/>
        <w:t>Emitida la Resolución, el contrato de derecho de superficie se suscribirá entre la SBN o el representante de la entidad titular del inmueble, de ser el caso, y el superficiario, elevándose a Escritura Pública, de acuerdo a las condiciones que se establezcan en la Resolución.</w:t>
      </w:r>
    </w:p>
    <w:p w:rsidR="006312E8" w:rsidRPr="006312E8" w:rsidRDefault="006312E8" w:rsidP="006312E8">
      <w:pPr>
        <w:spacing w:after="0" w:line="240" w:lineRule="auto"/>
        <w:ind w:left="1418" w:hanging="709"/>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2.2.6 </w:t>
      </w:r>
      <w:r w:rsidRPr="006312E8">
        <w:rPr>
          <w:rFonts w:ascii="Arial" w:eastAsia="Calibri" w:hAnsi="Arial" w:cs="Arial"/>
          <w:lang w:val="es-ES"/>
        </w:rPr>
        <w:tab/>
        <w:t>La SBN o a la entidad titular del inmueble, una vez suscrito el contrato, procederá a su inscripción en el Registro de la Propiedad Inmueble correspondiente, así como a su registro en el Sistema de Información Nacional de los Bienes de Propiedad Estatal.</w:t>
      </w:r>
    </w:p>
    <w:p w:rsidR="006312E8" w:rsidRPr="006312E8" w:rsidRDefault="006312E8" w:rsidP="006312E8">
      <w:pPr>
        <w:spacing w:after="0" w:line="240" w:lineRule="auto"/>
        <w:ind w:left="1418" w:hanging="709"/>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2.2.7 </w:t>
      </w:r>
      <w:r w:rsidRPr="006312E8">
        <w:rPr>
          <w:rFonts w:ascii="Arial" w:eastAsia="Calibri" w:hAnsi="Arial" w:cs="Arial"/>
          <w:lang w:val="es-ES"/>
        </w:rPr>
        <w:tab/>
        <w:t>La entidad titular remitirá a la SBN el testimonio de la Escritura Pública de constitución del derecho de superficie, con la correspondiente inscripción registral, en la que conste la anotación de la carga a favor del propietario, a fin de registrarla en el Sistema de Información Nacional de los Bienes de Propiedad Estatal - SINABIP.</w:t>
      </w:r>
    </w:p>
    <w:p w:rsidR="006312E8" w:rsidRPr="006312E8" w:rsidRDefault="006312E8" w:rsidP="006312E8">
      <w:pPr>
        <w:spacing w:after="0" w:line="240" w:lineRule="auto"/>
        <w:ind w:left="1418" w:hanging="709"/>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ab/>
        <w:t>En el caso, del contrato suscrito por la SBN, corresponde a la Jefatura de Adjudicaciones disponer su inscripción en el Registro Público correspondiente, así como su registro en el SINABIP.</w:t>
      </w:r>
    </w:p>
    <w:p w:rsidR="006312E8" w:rsidRPr="006312E8" w:rsidRDefault="006312E8" w:rsidP="006312E8">
      <w:pPr>
        <w:spacing w:after="0" w:line="240" w:lineRule="auto"/>
        <w:ind w:left="1418" w:hanging="709"/>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2.2.8 </w:t>
      </w:r>
      <w:r w:rsidRPr="006312E8">
        <w:rPr>
          <w:rFonts w:ascii="Arial" w:eastAsia="Calibri" w:hAnsi="Arial" w:cs="Arial"/>
          <w:lang w:val="es-ES"/>
        </w:rPr>
        <w:tab/>
        <w:t>Dentro del plazo de 30 días de emitida la Resolución que constituye el derecho de superficie, se suscribirá el acta de entrega del inmueble por un representante de la Jefatura de Adjudicaciones, en el caso de los predios administrados por la SBN y por un representante del Comité de Gestión Patrimonial, si se trata de predios administrados por entidad pública correspondiente, conforme al formato aprobado con el Anexo 5.</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3.- Fiscalización del Derecho de Superficie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84"/>
        <w:jc w:val="both"/>
        <w:rPr>
          <w:rFonts w:ascii="Arial" w:eastAsia="Calibri" w:hAnsi="Arial" w:cs="Arial"/>
          <w:b/>
          <w:lang w:val="es-ES"/>
        </w:rPr>
      </w:pPr>
      <w:r w:rsidRPr="006312E8">
        <w:rPr>
          <w:rFonts w:ascii="Arial" w:eastAsia="Calibri" w:hAnsi="Arial" w:cs="Arial"/>
          <w:b/>
          <w:lang w:val="es-ES"/>
        </w:rPr>
        <w:t>3.1 Disposiciones Específicas.-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3.1.1 </w:t>
      </w:r>
      <w:r w:rsidRPr="006312E8">
        <w:rPr>
          <w:rFonts w:ascii="Arial" w:eastAsia="Calibri" w:hAnsi="Arial" w:cs="Arial"/>
          <w:lang w:val="es-ES"/>
        </w:rPr>
        <w:tab/>
        <w:t>La fiscalización de los inmuebles de propiedad estatal, respecto de los cuales se haya emitido Resolución y suscrito contrato de constitución de derecho de superficie, está a cargo de la Jefatura de Adquisiciones y Recuperaciones, en el caso de los predios administrados por la SBN y del Comité de Gestión Patrimonial, en el caso de los inmuebles de titularidad de la correspondiente entidad pública.</w:t>
      </w:r>
    </w:p>
    <w:p w:rsidR="006312E8" w:rsidRPr="006312E8" w:rsidRDefault="006312E8" w:rsidP="006312E8">
      <w:pPr>
        <w:spacing w:after="0" w:line="240" w:lineRule="auto"/>
        <w:ind w:left="1418" w:hanging="709"/>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3.1.2 </w:t>
      </w:r>
      <w:r w:rsidRPr="006312E8">
        <w:rPr>
          <w:rFonts w:ascii="Arial" w:eastAsia="Calibri" w:hAnsi="Arial" w:cs="Arial"/>
          <w:lang w:val="es-ES"/>
        </w:rPr>
        <w:tab/>
        <w:t>La Jefatura de Adquisiciones y Recuperaciones o el Comité de Gestión Patrimonial, de ser el caso, efectuará la fiscalización de las condiciones y obligaciones establecidas en la Resolución Administrativa y en el contrato de constitución del derecho de superficie, pudiendo disponerse la resolución o suspensión del contrato, si fuera aplicable una determinada causal.</w:t>
      </w:r>
    </w:p>
    <w:p w:rsidR="006312E8" w:rsidRDefault="006312E8" w:rsidP="006312E8">
      <w:pPr>
        <w:spacing w:after="0" w:line="240" w:lineRule="auto"/>
        <w:jc w:val="both"/>
        <w:rPr>
          <w:rFonts w:ascii="Arial" w:eastAsia="Calibri" w:hAnsi="Arial" w:cs="Arial"/>
          <w:lang w:val="es-ES"/>
        </w:rPr>
      </w:pPr>
    </w:p>
    <w:p w:rsidR="00C61CE9" w:rsidRDefault="00C61CE9" w:rsidP="006312E8">
      <w:pPr>
        <w:spacing w:after="0" w:line="240" w:lineRule="auto"/>
        <w:jc w:val="both"/>
        <w:rPr>
          <w:rFonts w:ascii="Arial" w:eastAsia="Calibri" w:hAnsi="Arial" w:cs="Arial"/>
          <w:lang w:val="es-ES"/>
        </w:rPr>
      </w:pPr>
    </w:p>
    <w:p w:rsidR="00C61CE9" w:rsidRDefault="00C61CE9" w:rsidP="006312E8">
      <w:pPr>
        <w:spacing w:after="0" w:line="240" w:lineRule="auto"/>
        <w:jc w:val="both"/>
        <w:rPr>
          <w:rFonts w:ascii="Arial" w:eastAsia="Calibri" w:hAnsi="Arial" w:cs="Arial"/>
          <w:lang w:val="es-ES"/>
        </w:rPr>
      </w:pPr>
    </w:p>
    <w:p w:rsidR="00C61CE9" w:rsidRDefault="00C61CE9" w:rsidP="006312E8">
      <w:pPr>
        <w:spacing w:after="0" w:line="240" w:lineRule="auto"/>
        <w:jc w:val="both"/>
        <w:rPr>
          <w:rFonts w:ascii="Arial" w:eastAsia="Calibri" w:hAnsi="Arial" w:cs="Arial"/>
          <w:lang w:val="es-ES"/>
        </w:rPr>
      </w:pPr>
    </w:p>
    <w:p w:rsidR="00C61CE9" w:rsidRPr="006312E8" w:rsidRDefault="00C61CE9"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284"/>
        <w:jc w:val="both"/>
        <w:rPr>
          <w:rFonts w:ascii="Arial" w:eastAsia="Calibri" w:hAnsi="Arial" w:cs="Arial"/>
          <w:b/>
          <w:lang w:val="es-ES"/>
        </w:rPr>
      </w:pPr>
      <w:r w:rsidRPr="006312E8">
        <w:rPr>
          <w:rFonts w:ascii="Arial" w:eastAsia="Calibri" w:hAnsi="Arial" w:cs="Arial"/>
          <w:b/>
          <w:lang w:val="es-ES"/>
        </w:rPr>
        <w:t>3.2 Del Procedimiento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3.2.1 </w:t>
      </w:r>
      <w:r w:rsidRPr="006312E8">
        <w:rPr>
          <w:rFonts w:ascii="Arial" w:eastAsia="Calibri" w:hAnsi="Arial" w:cs="Arial"/>
          <w:lang w:val="es-ES"/>
        </w:rPr>
        <w:tab/>
        <w:t>La verificación es la acción intempestiva de fiscalización a cargo de la Jefatura de Adquisiciones y Recuperaciones y del Comité de Gestión Patrimonial, en cada caso. Puede realizarse en cualquier momento después de firmada el acta de entrega física del inmueble.</w:t>
      </w:r>
    </w:p>
    <w:p w:rsidR="006312E8" w:rsidRPr="006312E8" w:rsidRDefault="006312E8" w:rsidP="006312E8">
      <w:pPr>
        <w:spacing w:after="0" w:line="240" w:lineRule="auto"/>
        <w:ind w:left="1418" w:hanging="709"/>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3.2.2 </w:t>
      </w:r>
      <w:r w:rsidRPr="006312E8">
        <w:rPr>
          <w:rFonts w:ascii="Arial" w:eastAsia="Calibri" w:hAnsi="Arial" w:cs="Arial"/>
          <w:lang w:val="es-ES"/>
        </w:rPr>
        <w:tab/>
        <w:t>La verificación se realiza mediante una inspección técnica destinada a constatar la situación física y legal del inmueble, así como el cumplimiento de las obligaciones estipuladas en la Resolución y Contrato de derecho de superficie.</w:t>
      </w:r>
    </w:p>
    <w:p w:rsidR="006312E8" w:rsidRPr="006312E8" w:rsidRDefault="006312E8" w:rsidP="006312E8">
      <w:pPr>
        <w:spacing w:after="0" w:line="240" w:lineRule="auto"/>
        <w:ind w:left="1418" w:hanging="709"/>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3.2.3 </w:t>
      </w:r>
      <w:r w:rsidRPr="006312E8">
        <w:rPr>
          <w:rFonts w:ascii="Arial" w:eastAsia="Calibri" w:hAnsi="Arial" w:cs="Arial"/>
          <w:lang w:val="es-ES"/>
        </w:rPr>
        <w:tab/>
        <w:t>Si de la verificación se concluye que el predio está siendo utilizado de acuerdo con los términos estipulados en la Resolución y Contrato del derecho de superficie, se anexará el respectivo informe técnico legal al expediente, disponiendo su archivo provisional, según formato aprobado con el Anexo 4.</w:t>
      </w:r>
    </w:p>
    <w:p w:rsidR="006312E8" w:rsidRPr="006312E8" w:rsidRDefault="006312E8" w:rsidP="006312E8">
      <w:pPr>
        <w:spacing w:after="0" w:line="240" w:lineRule="auto"/>
        <w:ind w:left="1418" w:hanging="709"/>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3.2.4 </w:t>
      </w:r>
      <w:r w:rsidRPr="006312E8">
        <w:rPr>
          <w:rFonts w:ascii="Arial" w:eastAsia="Calibri" w:hAnsi="Arial" w:cs="Arial"/>
          <w:lang w:val="es-ES"/>
        </w:rPr>
        <w:tab/>
        <w:t>Si de la verificación se determina alguna causal establecida en el contrato o la presente Directiva, se notificará al superficiario, para que efectúe su descargo frente al hecho encontrado. Adicionalmente, se podrá solicitar todo tipo de información vinculada con la verificación de incumplimiento, grado de avance de las obras comprometidas, así como cumplimiento de los pagos establecidos en el contrato. Se otorgará al superficiario 30 días calendario para absolver el requerimiento o realizar el respectivo descargo.</w:t>
      </w:r>
    </w:p>
    <w:p w:rsidR="006312E8" w:rsidRPr="006312E8" w:rsidRDefault="006312E8" w:rsidP="006312E8">
      <w:pPr>
        <w:spacing w:after="0" w:line="240" w:lineRule="auto"/>
        <w:ind w:left="1418" w:hanging="709"/>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3.2.5 </w:t>
      </w:r>
      <w:r w:rsidRPr="006312E8">
        <w:rPr>
          <w:rFonts w:ascii="Arial" w:eastAsia="Calibri" w:hAnsi="Arial" w:cs="Arial"/>
          <w:lang w:val="es-ES"/>
        </w:rPr>
        <w:tab/>
        <w:t>En caso de presentarse los descargos correspondientes sin el debido sustento, la Jefatura de Adquisiciones y Recuperaciones o el Comité de Gestión Patrimonial, de ser el caso, previo informe técnico legal sustentado por los profesionales responsables, comunicará la resolución del contrato, el cual operará de puro derecho, reasumiendo el Estado o la entidad titular del inmueble, la propiedad de lo edificado, incluyendo la administración y disposición del inmueble.</w:t>
      </w:r>
    </w:p>
    <w:p w:rsidR="006312E8" w:rsidRPr="006312E8" w:rsidRDefault="006312E8" w:rsidP="006312E8">
      <w:pPr>
        <w:spacing w:after="0" w:line="240" w:lineRule="auto"/>
        <w:ind w:left="1418" w:hanging="709"/>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ab/>
        <w:t>Si de los descargos se advierten situaciones debidamente acreditadas que determinaron el incumplimiento de determinadas obligaciones se le concederá un plazo máximo de 90 días calendario para subsanación, inscribiéndose por su propio mérito la Resolución en los Registros Públicos y en el SINABIP.</w:t>
      </w:r>
    </w:p>
    <w:p w:rsidR="006312E8" w:rsidRPr="006312E8" w:rsidRDefault="006312E8" w:rsidP="006312E8">
      <w:pPr>
        <w:spacing w:after="0" w:line="240" w:lineRule="auto"/>
        <w:ind w:left="1418" w:hanging="709"/>
        <w:jc w:val="both"/>
        <w:rPr>
          <w:rFonts w:ascii="Arial" w:eastAsia="Calibri" w:hAnsi="Arial" w:cs="Arial"/>
          <w:lang w:val="es-ES"/>
        </w:rPr>
      </w:pPr>
    </w:p>
    <w:p w:rsidR="006312E8" w:rsidRPr="006312E8" w:rsidRDefault="006312E8" w:rsidP="006312E8">
      <w:pPr>
        <w:spacing w:after="0" w:line="240" w:lineRule="auto"/>
        <w:ind w:left="1418" w:hanging="709"/>
        <w:jc w:val="both"/>
        <w:rPr>
          <w:rFonts w:ascii="Arial" w:eastAsia="Calibri" w:hAnsi="Arial" w:cs="Arial"/>
          <w:lang w:val="es-ES"/>
        </w:rPr>
      </w:pPr>
      <w:r w:rsidRPr="006312E8">
        <w:rPr>
          <w:rFonts w:ascii="Arial" w:eastAsia="Calibri" w:hAnsi="Arial" w:cs="Arial"/>
          <w:lang w:val="es-ES"/>
        </w:rPr>
        <w:t xml:space="preserve">3.2.6 </w:t>
      </w:r>
      <w:r w:rsidRPr="006312E8">
        <w:rPr>
          <w:rFonts w:ascii="Arial" w:eastAsia="Calibri" w:hAnsi="Arial" w:cs="Arial"/>
          <w:lang w:val="es-ES"/>
        </w:rPr>
        <w:tab/>
        <w:t>El expediente administrativo contendrá la siguiente documentación, según corresponda: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tabs>
          <w:tab w:val="left" w:pos="1843"/>
        </w:tabs>
        <w:spacing w:after="0" w:line="240" w:lineRule="auto"/>
        <w:ind w:left="1843" w:hanging="426"/>
        <w:jc w:val="both"/>
        <w:rPr>
          <w:rFonts w:ascii="Arial" w:eastAsia="Calibri" w:hAnsi="Arial" w:cs="Arial"/>
          <w:lang w:val="es-ES"/>
        </w:rPr>
      </w:pPr>
      <w:r w:rsidRPr="006312E8">
        <w:rPr>
          <w:rFonts w:ascii="Arial" w:eastAsia="Calibri" w:hAnsi="Arial" w:cs="Arial"/>
          <w:lang w:val="es-ES"/>
        </w:rPr>
        <w:t xml:space="preserve">a.- </w:t>
      </w:r>
      <w:r w:rsidRPr="006312E8">
        <w:rPr>
          <w:rFonts w:ascii="Arial" w:eastAsia="Calibri" w:hAnsi="Arial" w:cs="Arial"/>
          <w:lang w:val="es-ES"/>
        </w:rPr>
        <w:tab/>
        <w:t>Copia de la Resolución, Contrato y anexos de la constitución del derecho de superficie.</w:t>
      </w:r>
    </w:p>
    <w:p w:rsidR="006312E8" w:rsidRPr="006312E8" w:rsidRDefault="006312E8" w:rsidP="006312E8">
      <w:pPr>
        <w:tabs>
          <w:tab w:val="left" w:pos="1843"/>
        </w:tabs>
        <w:spacing w:after="0" w:line="240" w:lineRule="auto"/>
        <w:ind w:left="1843" w:hanging="426"/>
        <w:jc w:val="both"/>
        <w:rPr>
          <w:rFonts w:ascii="Arial" w:eastAsia="Calibri" w:hAnsi="Arial" w:cs="Arial"/>
          <w:lang w:val="es-ES"/>
        </w:rPr>
      </w:pPr>
    </w:p>
    <w:p w:rsidR="006312E8" w:rsidRPr="006312E8" w:rsidRDefault="006312E8" w:rsidP="006312E8">
      <w:pPr>
        <w:tabs>
          <w:tab w:val="left" w:pos="1843"/>
        </w:tabs>
        <w:spacing w:after="0" w:line="240" w:lineRule="auto"/>
        <w:ind w:left="1843" w:hanging="426"/>
        <w:jc w:val="both"/>
        <w:rPr>
          <w:rFonts w:ascii="Arial" w:eastAsia="Calibri" w:hAnsi="Arial" w:cs="Arial"/>
          <w:lang w:val="es-ES"/>
        </w:rPr>
      </w:pPr>
      <w:r w:rsidRPr="006312E8">
        <w:rPr>
          <w:rFonts w:ascii="Arial" w:eastAsia="Calibri" w:hAnsi="Arial" w:cs="Arial"/>
          <w:lang w:val="es-ES"/>
        </w:rPr>
        <w:t xml:space="preserve">b.- </w:t>
      </w:r>
      <w:r w:rsidRPr="006312E8">
        <w:rPr>
          <w:rFonts w:ascii="Arial" w:eastAsia="Calibri" w:hAnsi="Arial" w:cs="Arial"/>
          <w:lang w:val="es-ES"/>
        </w:rPr>
        <w:tab/>
        <w:t>Partida Registral donde se encuentra inscrito el inmueble.</w:t>
      </w:r>
    </w:p>
    <w:p w:rsidR="006312E8" w:rsidRPr="006312E8" w:rsidRDefault="006312E8" w:rsidP="006312E8">
      <w:pPr>
        <w:tabs>
          <w:tab w:val="left" w:pos="1843"/>
        </w:tabs>
        <w:spacing w:after="0" w:line="240" w:lineRule="auto"/>
        <w:ind w:left="1843" w:hanging="426"/>
        <w:jc w:val="both"/>
        <w:rPr>
          <w:rFonts w:ascii="Arial" w:eastAsia="Calibri" w:hAnsi="Arial" w:cs="Arial"/>
          <w:lang w:val="es-ES"/>
        </w:rPr>
      </w:pPr>
    </w:p>
    <w:p w:rsidR="006312E8" w:rsidRPr="006312E8" w:rsidRDefault="006312E8" w:rsidP="006312E8">
      <w:pPr>
        <w:tabs>
          <w:tab w:val="left" w:pos="1843"/>
        </w:tabs>
        <w:spacing w:after="0" w:line="240" w:lineRule="auto"/>
        <w:ind w:left="1843" w:hanging="426"/>
        <w:jc w:val="both"/>
        <w:rPr>
          <w:rFonts w:ascii="Arial" w:eastAsia="Calibri" w:hAnsi="Arial" w:cs="Arial"/>
          <w:lang w:val="es-ES"/>
        </w:rPr>
      </w:pPr>
      <w:r w:rsidRPr="006312E8">
        <w:rPr>
          <w:rFonts w:ascii="Arial" w:eastAsia="Calibri" w:hAnsi="Arial" w:cs="Arial"/>
          <w:lang w:val="es-ES"/>
        </w:rPr>
        <w:t xml:space="preserve">c.- </w:t>
      </w:r>
      <w:r w:rsidRPr="006312E8">
        <w:rPr>
          <w:rFonts w:ascii="Arial" w:eastAsia="Calibri" w:hAnsi="Arial" w:cs="Arial"/>
          <w:lang w:val="es-ES"/>
        </w:rPr>
        <w:tab/>
        <w:t>Oficio o Notificación cursada al superficiario respecto a la situación encontrada en el inmueble.</w:t>
      </w:r>
    </w:p>
    <w:p w:rsidR="006312E8" w:rsidRPr="006312E8" w:rsidRDefault="006312E8" w:rsidP="006312E8">
      <w:pPr>
        <w:tabs>
          <w:tab w:val="left" w:pos="1843"/>
        </w:tabs>
        <w:spacing w:after="0" w:line="240" w:lineRule="auto"/>
        <w:ind w:left="1843" w:hanging="426"/>
        <w:jc w:val="both"/>
        <w:rPr>
          <w:rFonts w:ascii="Arial" w:eastAsia="Calibri" w:hAnsi="Arial" w:cs="Arial"/>
          <w:lang w:val="es-ES"/>
        </w:rPr>
      </w:pPr>
    </w:p>
    <w:p w:rsidR="006312E8" w:rsidRPr="006312E8" w:rsidRDefault="006312E8" w:rsidP="006312E8">
      <w:pPr>
        <w:tabs>
          <w:tab w:val="left" w:pos="1843"/>
        </w:tabs>
        <w:spacing w:after="0" w:line="240" w:lineRule="auto"/>
        <w:ind w:left="1843" w:hanging="426"/>
        <w:jc w:val="both"/>
        <w:rPr>
          <w:rFonts w:ascii="Arial" w:eastAsia="Calibri" w:hAnsi="Arial" w:cs="Arial"/>
          <w:lang w:val="es-ES"/>
        </w:rPr>
      </w:pPr>
      <w:r w:rsidRPr="006312E8">
        <w:rPr>
          <w:rFonts w:ascii="Arial" w:eastAsia="Calibri" w:hAnsi="Arial" w:cs="Arial"/>
          <w:lang w:val="es-ES"/>
        </w:rPr>
        <w:t xml:space="preserve">d.- </w:t>
      </w:r>
      <w:r w:rsidRPr="006312E8">
        <w:rPr>
          <w:rFonts w:ascii="Arial" w:eastAsia="Calibri" w:hAnsi="Arial" w:cs="Arial"/>
          <w:lang w:val="es-ES"/>
        </w:rPr>
        <w:tab/>
        <w:t>Planos Perimétrico y de ubicación en coordenadas UTM a escala 1/100, 1/200 ó 1/500 con la indicación del área, linderos, ángulos y medidas perimétricas.</w:t>
      </w:r>
    </w:p>
    <w:p w:rsidR="006312E8" w:rsidRPr="006312E8" w:rsidRDefault="006312E8" w:rsidP="006312E8">
      <w:pPr>
        <w:tabs>
          <w:tab w:val="left" w:pos="1843"/>
        </w:tabs>
        <w:spacing w:after="0" w:line="240" w:lineRule="auto"/>
        <w:ind w:left="1843" w:hanging="426"/>
        <w:jc w:val="both"/>
        <w:rPr>
          <w:rFonts w:ascii="Arial" w:eastAsia="Calibri" w:hAnsi="Arial" w:cs="Arial"/>
          <w:lang w:val="es-ES"/>
        </w:rPr>
      </w:pPr>
    </w:p>
    <w:p w:rsidR="006312E8" w:rsidRPr="006312E8" w:rsidRDefault="006312E8" w:rsidP="006312E8">
      <w:pPr>
        <w:tabs>
          <w:tab w:val="left" w:pos="1843"/>
        </w:tabs>
        <w:spacing w:after="0" w:line="240" w:lineRule="auto"/>
        <w:ind w:left="1843" w:hanging="426"/>
        <w:jc w:val="both"/>
        <w:rPr>
          <w:rFonts w:ascii="Arial" w:eastAsia="Calibri" w:hAnsi="Arial" w:cs="Arial"/>
          <w:lang w:val="es-ES"/>
        </w:rPr>
      </w:pPr>
      <w:r w:rsidRPr="006312E8">
        <w:rPr>
          <w:rFonts w:ascii="Arial" w:eastAsia="Calibri" w:hAnsi="Arial" w:cs="Arial"/>
          <w:lang w:val="es-ES"/>
        </w:rPr>
        <w:t xml:space="preserve">e.- </w:t>
      </w:r>
      <w:r w:rsidRPr="006312E8">
        <w:rPr>
          <w:rFonts w:ascii="Arial" w:eastAsia="Calibri" w:hAnsi="Arial" w:cs="Arial"/>
          <w:lang w:val="es-ES"/>
        </w:rPr>
        <w:tab/>
        <w:t>Informe Técnico Legal sustentado por los profesionales responsables.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sz w:val="28"/>
          <w:szCs w:val="28"/>
          <w:lang w:val="es-ES"/>
        </w:rPr>
      </w:pPr>
      <w:r w:rsidRPr="006312E8">
        <w:rPr>
          <w:rFonts w:ascii="Arial" w:eastAsia="Calibri" w:hAnsi="Arial" w:cs="Arial"/>
          <w:b/>
          <w:sz w:val="28"/>
          <w:szCs w:val="28"/>
          <w:lang w:val="es-ES"/>
        </w:rPr>
        <w:t xml:space="preserve">RESOLUCION Nº </w:t>
      </w:r>
      <w:r w:rsidR="002E6BD1">
        <w:rPr>
          <w:rFonts w:ascii="Arial" w:eastAsia="Calibri" w:hAnsi="Arial" w:cs="Arial"/>
          <w:b/>
          <w:sz w:val="28"/>
          <w:szCs w:val="28"/>
          <w:lang w:val="es-ES"/>
        </w:rPr>
        <w:t>096</w:t>
      </w:r>
      <w:r w:rsidRPr="006312E8">
        <w:rPr>
          <w:rFonts w:ascii="Arial" w:eastAsia="Calibri" w:hAnsi="Arial" w:cs="Arial"/>
          <w:b/>
          <w:sz w:val="28"/>
          <w:szCs w:val="28"/>
          <w:lang w:val="es-ES"/>
        </w:rPr>
        <w:t>-20</w:t>
      </w:r>
      <w:r w:rsidR="002E6BD1">
        <w:rPr>
          <w:rFonts w:ascii="Arial" w:eastAsia="Calibri" w:hAnsi="Arial" w:cs="Arial"/>
          <w:b/>
          <w:sz w:val="28"/>
          <w:szCs w:val="28"/>
          <w:lang w:val="es-ES"/>
        </w:rPr>
        <w:t>16</w:t>
      </w:r>
      <w:r w:rsidRPr="006312E8">
        <w:rPr>
          <w:rFonts w:ascii="Arial" w:eastAsia="Calibri" w:hAnsi="Arial" w:cs="Arial"/>
          <w:b/>
          <w:sz w:val="28"/>
          <w:szCs w:val="28"/>
          <w:lang w:val="es-ES"/>
        </w:rPr>
        <w:t>-SBN</w:t>
      </w:r>
    </w:p>
    <w:p w:rsidR="006312E8" w:rsidRDefault="006312E8" w:rsidP="006312E8">
      <w:pPr>
        <w:spacing w:after="0" w:line="240" w:lineRule="auto"/>
        <w:jc w:val="both"/>
        <w:rPr>
          <w:rFonts w:ascii="Arial" w:eastAsia="Calibri" w:hAnsi="Arial" w:cs="Arial"/>
          <w:lang w:val="es-ES"/>
        </w:rPr>
      </w:pPr>
    </w:p>
    <w:p w:rsidR="006312E8" w:rsidRPr="006312E8" w:rsidRDefault="00F205B0" w:rsidP="00F205B0">
      <w:pPr>
        <w:spacing w:after="0" w:line="240" w:lineRule="auto"/>
        <w:jc w:val="center"/>
        <w:rPr>
          <w:rFonts w:ascii="Arial" w:eastAsia="Calibri" w:hAnsi="Arial" w:cs="Arial"/>
          <w:b/>
          <w:lang w:val="es-ES"/>
        </w:rPr>
      </w:pPr>
      <w:r w:rsidRPr="00F205B0">
        <w:rPr>
          <w:rFonts w:ascii="Arial" w:eastAsia="Calibri" w:hAnsi="Arial" w:cs="Arial"/>
          <w:b/>
          <w:lang w:val="es-ES"/>
        </w:rPr>
        <w:t>Aprueban Directiva Nº 008-2016/SBN denominada “Procedimientos para la aprobación de la permuta de predios de dominio privado del Estado de libre disponibilidad” y Anexos</w:t>
      </w:r>
    </w:p>
    <w:p w:rsidR="006312E8" w:rsidRPr="006312E8" w:rsidRDefault="006312E8" w:rsidP="006312E8">
      <w:pPr>
        <w:spacing w:after="0" w:line="240" w:lineRule="auto"/>
        <w:jc w:val="right"/>
        <w:rPr>
          <w:rFonts w:ascii="Arial" w:eastAsia="Calibri" w:hAnsi="Arial" w:cs="Arial"/>
          <w:b/>
          <w:lang w:val="es-ES"/>
        </w:rPr>
      </w:pPr>
    </w:p>
    <w:p w:rsidR="006312E8" w:rsidRPr="006312E8" w:rsidRDefault="00B3318A" w:rsidP="006312E8">
      <w:pPr>
        <w:spacing w:after="0" w:line="240" w:lineRule="auto"/>
        <w:jc w:val="right"/>
        <w:rPr>
          <w:rFonts w:ascii="Arial" w:eastAsia="Calibri" w:hAnsi="Arial" w:cs="Arial"/>
          <w:b/>
          <w:lang w:val="es-ES"/>
        </w:rPr>
      </w:pPr>
      <w:r>
        <w:rPr>
          <w:rFonts w:ascii="Arial" w:eastAsia="Calibri" w:hAnsi="Arial" w:cs="Arial"/>
          <w:b/>
          <w:lang w:val="es-ES"/>
        </w:rPr>
        <w:t>Fecha de publicación:</w:t>
      </w:r>
      <w:r w:rsidR="00F205B0">
        <w:rPr>
          <w:rFonts w:ascii="Arial" w:eastAsia="Calibri" w:hAnsi="Arial" w:cs="Arial"/>
          <w:b/>
          <w:lang w:val="es-ES"/>
        </w:rPr>
        <w:t xml:space="preserve"> 17-12-2016</w:t>
      </w:r>
    </w:p>
    <w:p w:rsidR="006312E8" w:rsidRPr="006312E8" w:rsidRDefault="006312E8" w:rsidP="006312E8">
      <w:pPr>
        <w:spacing w:after="0" w:line="240" w:lineRule="auto"/>
        <w:jc w:val="both"/>
        <w:rPr>
          <w:rFonts w:ascii="Arial" w:eastAsia="Calibri" w:hAnsi="Arial" w:cs="Arial"/>
          <w:b/>
          <w:color w:val="FF0000"/>
          <w:sz w:val="16"/>
          <w:szCs w:val="16"/>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2E6BD1" w:rsidP="006312E8">
      <w:pPr>
        <w:spacing w:after="0" w:line="240" w:lineRule="auto"/>
        <w:jc w:val="both"/>
        <w:rPr>
          <w:rFonts w:ascii="Arial" w:eastAsia="Calibri" w:hAnsi="Arial" w:cs="Arial"/>
          <w:b/>
          <w:lang w:val="es-ES"/>
        </w:rPr>
      </w:pPr>
      <w:r>
        <w:rPr>
          <w:rFonts w:ascii="Arial" w:eastAsia="Calibri" w:hAnsi="Arial" w:cs="Arial"/>
          <w:b/>
          <w:lang w:val="es-ES"/>
        </w:rPr>
        <w:t>San Isidro</w:t>
      </w:r>
      <w:r w:rsidR="006312E8" w:rsidRPr="006312E8">
        <w:rPr>
          <w:rFonts w:ascii="Arial" w:eastAsia="Calibri" w:hAnsi="Arial" w:cs="Arial"/>
          <w:b/>
          <w:lang w:val="es-ES"/>
        </w:rPr>
        <w:t xml:space="preserve">, </w:t>
      </w:r>
      <w:r>
        <w:rPr>
          <w:rFonts w:ascii="Arial" w:eastAsia="Calibri" w:hAnsi="Arial" w:cs="Arial"/>
          <w:b/>
          <w:lang w:val="es-ES"/>
        </w:rPr>
        <w:t>12</w:t>
      </w:r>
      <w:r w:rsidR="006312E8" w:rsidRPr="006312E8">
        <w:rPr>
          <w:rFonts w:ascii="Arial" w:eastAsia="Calibri" w:hAnsi="Arial" w:cs="Arial"/>
          <w:b/>
          <w:lang w:val="es-ES"/>
        </w:rPr>
        <w:t xml:space="preserve"> de </w:t>
      </w:r>
      <w:r>
        <w:rPr>
          <w:rFonts w:ascii="Arial" w:eastAsia="Calibri" w:hAnsi="Arial" w:cs="Arial"/>
          <w:b/>
          <w:lang w:val="es-ES"/>
        </w:rPr>
        <w:t>diciembre</w:t>
      </w:r>
      <w:r w:rsidR="006312E8" w:rsidRPr="006312E8">
        <w:rPr>
          <w:rFonts w:ascii="Arial" w:eastAsia="Calibri" w:hAnsi="Arial" w:cs="Arial"/>
          <w:b/>
          <w:lang w:val="es-ES"/>
        </w:rPr>
        <w:t xml:space="preserve"> de 20</w:t>
      </w:r>
      <w:r>
        <w:rPr>
          <w:rFonts w:ascii="Arial" w:eastAsia="Calibri" w:hAnsi="Arial" w:cs="Arial"/>
          <w:b/>
          <w:lang w:val="es-ES"/>
        </w:rPr>
        <w:t>16</w:t>
      </w:r>
    </w:p>
    <w:p w:rsidR="006312E8" w:rsidRPr="006312E8" w:rsidRDefault="006312E8" w:rsidP="006312E8">
      <w:pPr>
        <w:spacing w:after="0" w:line="240" w:lineRule="auto"/>
        <w:jc w:val="both"/>
        <w:rPr>
          <w:rFonts w:ascii="Arial" w:eastAsia="Calibri" w:hAnsi="Arial" w:cs="Arial"/>
          <w:b/>
          <w:lang w:val="es-ES"/>
        </w:rPr>
      </w:pPr>
    </w:p>
    <w:p w:rsidR="002E6BD1" w:rsidRPr="002E6BD1" w:rsidRDefault="002E6BD1" w:rsidP="002E6BD1">
      <w:pPr>
        <w:spacing w:after="0" w:line="240" w:lineRule="auto"/>
        <w:jc w:val="both"/>
        <w:rPr>
          <w:rFonts w:ascii="Arial" w:eastAsia="Calibri" w:hAnsi="Arial" w:cs="Arial"/>
          <w:b/>
          <w:lang w:val="es-ES"/>
        </w:rPr>
      </w:pPr>
      <w:r w:rsidRPr="002E6BD1">
        <w:rPr>
          <w:rFonts w:ascii="Arial" w:eastAsia="Calibri" w:hAnsi="Arial" w:cs="Arial"/>
          <w:b/>
          <w:lang w:val="es-ES"/>
        </w:rPr>
        <w:t>VISTO:</w:t>
      </w:r>
    </w:p>
    <w:p w:rsidR="002E6BD1" w:rsidRPr="002E6BD1" w:rsidRDefault="002E6BD1" w:rsidP="002E6BD1">
      <w:pPr>
        <w:spacing w:after="0" w:line="240" w:lineRule="auto"/>
        <w:jc w:val="both"/>
        <w:rPr>
          <w:rFonts w:ascii="Arial" w:eastAsia="Calibri" w:hAnsi="Arial" w:cs="Arial"/>
          <w:lang w:val="es-ES"/>
        </w:rPr>
      </w:pPr>
      <w:r w:rsidRPr="002E6BD1">
        <w:rPr>
          <w:rFonts w:ascii="Arial" w:eastAsia="Calibri" w:hAnsi="Arial" w:cs="Arial"/>
          <w:lang w:val="es-ES"/>
        </w:rPr>
        <w:t>El Memorando N° 342-2016/SBN-DNR, emitido por la Dirección de Normas y Registro y, el Informe N° 169-2016/SBN-DNR-SDNC, emitido por la Subdirección de Normas y Capacitación, de fechas 30 y 29 de noviembre de 2016, respectivamente, y;</w:t>
      </w:r>
    </w:p>
    <w:p w:rsidR="002E6BD1" w:rsidRPr="002E6BD1" w:rsidRDefault="002E6BD1" w:rsidP="002E6BD1">
      <w:pPr>
        <w:spacing w:after="0" w:line="240" w:lineRule="auto"/>
        <w:jc w:val="both"/>
        <w:rPr>
          <w:rFonts w:ascii="Arial" w:eastAsia="Calibri" w:hAnsi="Arial" w:cs="Arial"/>
          <w:lang w:val="es-ES"/>
        </w:rPr>
      </w:pPr>
    </w:p>
    <w:p w:rsidR="002E6BD1" w:rsidRPr="002E6BD1" w:rsidRDefault="002E6BD1" w:rsidP="002E6BD1">
      <w:pPr>
        <w:spacing w:after="0" w:line="240" w:lineRule="auto"/>
        <w:jc w:val="both"/>
        <w:rPr>
          <w:rFonts w:ascii="Arial" w:eastAsia="Calibri" w:hAnsi="Arial" w:cs="Arial"/>
          <w:b/>
          <w:lang w:val="es-ES"/>
        </w:rPr>
      </w:pPr>
      <w:r w:rsidRPr="002E6BD1">
        <w:rPr>
          <w:rFonts w:ascii="Arial" w:eastAsia="Calibri" w:hAnsi="Arial" w:cs="Arial"/>
          <w:b/>
          <w:lang w:val="es-ES"/>
        </w:rPr>
        <w:t>CONSIDERANDO:</w:t>
      </w:r>
    </w:p>
    <w:p w:rsidR="002E6BD1" w:rsidRPr="002E6BD1" w:rsidRDefault="002E6BD1" w:rsidP="002E6BD1">
      <w:pPr>
        <w:spacing w:after="0" w:line="240" w:lineRule="auto"/>
        <w:jc w:val="both"/>
        <w:rPr>
          <w:rFonts w:ascii="Arial" w:eastAsia="Calibri" w:hAnsi="Arial" w:cs="Arial"/>
          <w:lang w:val="es-ES"/>
        </w:rPr>
      </w:pPr>
      <w:r w:rsidRPr="002E6BD1">
        <w:rPr>
          <w:rFonts w:ascii="Arial" w:eastAsia="Calibri" w:hAnsi="Arial" w:cs="Arial"/>
          <w:lang w:val="es-ES"/>
        </w:rPr>
        <w:t>Que, la Superintendencia Nacional de Bienes Estatales - SBN es un organismo público ejecutor, adscrito al Ministerio de Vivienda, Construcción y Saneamiento, y el ente rector del Sistema Nacional de Bienes Estatales - SNBE, responsable de normar los actos de adquisición, disposición, administración y supervisión de los bienes estatales, así como de ejecutar dichos actos respecto de los bienes cuya administración está a su cargo, de acuerdo a la normatividad vigente, gozando de autonomía económica, presupuestal, financiera, técnica y funcional, de conformidad a lo establecido en la Ley Nº 29151, Ley General del Sistema Nacional de Bienes Estatales y su Reglamento, aprobado por el Decreto Supremo Nº 007-2008-VIVIENDA;</w:t>
      </w:r>
    </w:p>
    <w:p w:rsidR="002E6BD1" w:rsidRDefault="002E6BD1" w:rsidP="002E6BD1">
      <w:pPr>
        <w:spacing w:after="0" w:line="240" w:lineRule="auto"/>
        <w:jc w:val="both"/>
        <w:rPr>
          <w:rFonts w:ascii="Arial" w:eastAsia="Calibri" w:hAnsi="Arial" w:cs="Arial"/>
          <w:lang w:val="es-ES"/>
        </w:rPr>
      </w:pPr>
    </w:p>
    <w:p w:rsidR="002E6BD1" w:rsidRPr="002E6BD1" w:rsidRDefault="002E6BD1" w:rsidP="002E6BD1">
      <w:pPr>
        <w:spacing w:after="0" w:line="240" w:lineRule="auto"/>
        <w:jc w:val="both"/>
        <w:rPr>
          <w:rFonts w:ascii="Arial" w:eastAsia="Calibri" w:hAnsi="Arial" w:cs="Arial"/>
          <w:lang w:val="es-ES"/>
        </w:rPr>
      </w:pPr>
      <w:r w:rsidRPr="002E6BD1">
        <w:rPr>
          <w:rFonts w:ascii="Arial" w:eastAsia="Calibri" w:hAnsi="Arial" w:cs="Arial"/>
          <w:lang w:val="es-ES"/>
        </w:rPr>
        <w:t>Que, el literal b) del numeral 14.1 del artículo 14º de la Ley N° 29151, concordante con el literal a) del numeral 9.1 del artículo 9° de su Reglamento, aprobado por el Decreto Supremo N° 007-2008-VIVIENDA (en adelante “el Reglamento de la Ley”), señalan que la SBN, en calidad de ente rector del SNBE, tiene la función y atribución exclusiva de expedir directivas o disposiciones legales en materia de adquisición, administración, disposición, registro y supervisión de bienes estatales, siendo de cumplimiento obligatorio por parte de las entidades que conforman el SNBE;</w:t>
      </w:r>
    </w:p>
    <w:p w:rsidR="002E6BD1" w:rsidRPr="002E6BD1" w:rsidRDefault="002E6BD1" w:rsidP="002E6BD1">
      <w:pPr>
        <w:spacing w:after="0" w:line="240" w:lineRule="auto"/>
        <w:jc w:val="both"/>
        <w:rPr>
          <w:rFonts w:ascii="Arial" w:eastAsia="Calibri" w:hAnsi="Arial" w:cs="Arial"/>
          <w:lang w:val="es-ES"/>
        </w:rPr>
      </w:pPr>
    </w:p>
    <w:p w:rsidR="002E6BD1" w:rsidRPr="002E6BD1" w:rsidRDefault="002E6BD1" w:rsidP="002E6BD1">
      <w:pPr>
        <w:spacing w:after="0" w:line="240" w:lineRule="auto"/>
        <w:jc w:val="both"/>
        <w:rPr>
          <w:rFonts w:ascii="Arial" w:eastAsia="Calibri" w:hAnsi="Arial" w:cs="Arial"/>
          <w:lang w:val="es-ES"/>
        </w:rPr>
      </w:pPr>
      <w:r w:rsidRPr="002E6BD1">
        <w:rPr>
          <w:rFonts w:ascii="Arial" w:eastAsia="Calibri" w:hAnsi="Arial" w:cs="Arial"/>
          <w:lang w:val="es-ES"/>
        </w:rPr>
        <w:t>Que, el literal b) del numeral 2.3 del artículo 2 del Reglamento de la Ley, establece que son actos de disposición aquellos que implican desplazamiento de dominio de los bienes estatales, como la permuta;</w:t>
      </w:r>
    </w:p>
    <w:p w:rsidR="002E6BD1" w:rsidRPr="002E6BD1" w:rsidRDefault="002E6BD1" w:rsidP="002E6BD1">
      <w:pPr>
        <w:spacing w:after="0" w:line="240" w:lineRule="auto"/>
        <w:jc w:val="both"/>
        <w:rPr>
          <w:rFonts w:ascii="Arial" w:eastAsia="Calibri" w:hAnsi="Arial" w:cs="Arial"/>
          <w:lang w:val="es-ES"/>
        </w:rPr>
      </w:pPr>
    </w:p>
    <w:p w:rsidR="002E6BD1" w:rsidRPr="002E6BD1" w:rsidRDefault="002E6BD1" w:rsidP="002E6BD1">
      <w:pPr>
        <w:spacing w:after="0" w:line="240" w:lineRule="auto"/>
        <w:jc w:val="both"/>
        <w:rPr>
          <w:rFonts w:ascii="Arial" w:eastAsia="Calibri" w:hAnsi="Arial" w:cs="Arial"/>
          <w:lang w:val="es-ES"/>
        </w:rPr>
      </w:pPr>
      <w:r w:rsidRPr="002E6BD1">
        <w:rPr>
          <w:rFonts w:ascii="Arial" w:eastAsia="Calibri" w:hAnsi="Arial" w:cs="Arial"/>
          <w:lang w:val="es-ES"/>
        </w:rPr>
        <w:t>Que, los artículos 81, 82 y 83 del Reglamento de la Ley Nº 29151, aprobado por el Decreto Supremo Nº 007-2008-VIVIENDA, establecen disposiciones relacionados a la permuta de predios de dominio privado del Estado;</w:t>
      </w:r>
    </w:p>
    <w:p w:rsidR="002E6BD1" w:rsidRPr="002E6BD1" w:rsidRDefault="002E6BD1" w:rsidP="002E6BD1">
      <w:pPr>
        <w:spacing w:after="0" w:line="240" w:lineRule="auto"/>
        <w:jc w:val="both"/>
        <w:rPr>
          <w:rFonts w:ascii="Arial" w:eastAsia="Calibri" w:hAnsi="Arial" w:cs="Arial"/>
          <w:lang w:val="es-ES"/>
        </w:rPr>
      </w:pPr>
    </w:p>
    <w:p w:rsidR="002E6BD1" w:rsidRPr="002E6BD1" w:rsidRDefault="002E6BD1" w:rsidP="002E6BD1">
      <w:pPr>
        <w:spacing w:after="0" w:line="240" w:lineRule="auto"/>
        <w:jc w:val="both"/>
        <w:rPr>
          <w:rFonts w:ascii="Arial" w:eastAsia="Calibri" w:hAnsi="Arial" w:cs="Arial"/>
          <w:lang w:val="es-ES"/>
        </w:rPr>
      </w:pPr>
      <w:r w:rsidRPr="002E6BD1">
        <w:rPr>
          <w:rFonts w:ascii="Arial" w:eastAsia="Calibri" w:hAnsi="Arial" w:cs="Arial"/>
          <w:lang w:val="es-ES"/>
        </w:rPr>
        <w:t>Que, mediante los documentos de vistos, la Dirección de Normas y Registro propone el proyecto de directiva denominada “Procedimientos para la aprobación de la permuta de predios de dominio privado del Estado de libre disponibilidad”, sustentado por la Subdirección de Normas y Capacitación, que tiene por objetivo regular el procedimiento para la aprobación de la permuta predial entre entidades públicas propietarias de un predio de dominio privado, y entre estas y las personas naturales o jurídicas de derecho privado propietarias de un predio inscrito;</w:t>
      </w:r>
    </w:p>
    <w:p w:rsidR="002E6BD1" w:rsidRPr="002E6BD1" w:rsidRDefault="002E6BD1" w:rsidP="002E6BD1">
      <w:pPr>
        <w:spacing w:after="0" w:line="240" w:lineRule="auto"/>
        <w:jc w:val="both"/>
        <w:rPr>
          <w:rFonts w:ascii="Arial" w:eastAsia="Calibri" w:hAnsi="Arial" w:cs="Arial"/>
          <w:lang w:val="es-ES"/>
        </w:rPr>
      </w:pPr>
    </w:p>
    <w:p w:rsidR="002E6BD1" w:rsidRPr="002E6BD1" w:rsidRDefault="002E6BD1" w:rsidP="002E6BD1">
      <w:pPr>
        <w:spacing w:after="0" w:line="240" w:lineRule="auto"/>
        <w:jc w:val="both"/>
        <w:rPr>
          <w:rFonts w:ascii="Arial" w:eastAsia="Calibri" w:hAnsi="Arial" w:cs="Arial"/>
          <w:lang w:val="es-ES"/>
        </w:rPr>
      </w:pPr>
      <w:r w:rsidRPr="002E6BD1">
        <w:rPr>
          <w:rFonts w:ascii="Arial" w:eastAsia="Calibri" w:hAnsi="Arial" w:cs="Arial"/>
          <w:lang w:val="es-ES"/>
        </w:rPr>
        <w:t>Que, la directiva mencionada en el párrafo precedente, recoge las propuestas normativas de los órganos y unidades orgánicas de la SBN involucradas en el procedimiento de permuta mencionado en el párrafo precedente;</w:t>
      </w:r>
    </w:p>
    <w:p w:rsidR="002E6BD1" w:rsidRPr="002E6BD1" w:rsidRDefault="002E6BD1" w:rsidP="002E6BD1">
      <w:pPr>
        <w:spacing w:after="0" w:line="240" w:lineRule="auto"/>
        <w:jc w:val="both"/>
        <w:rPr>
          <w:rFonts w:ascii="Arial" w:eastAsia="Calibri" w:hAnsi="Arial" w:cs="Arial"/>
          <w:lang w:val="es-ES"/>
        </w:rPr>
      </w:pPr>
    </w:p>
    <w:p w:rsidR="002E6BD1" w:rsidRPr="002E6BD1" w:rsidRDefault="002E6BD1" w:rsidP="002E6BD1">
      <w:pPr>
        <w:spacing w:after="0" w:line="240" w:lineRule="auto"/>
        <w:jc w:val="both"/>
        <w:rPr>
          <w:rFonts w:ascii="Arial" w:eastAsia="Calibri" w:hAnsi="Arial" w:cs="Arial"/>
          <w:lang w:val="es-ES"/>
        </w:rPr>
      </w:pPr>
      <w:r w:rsidRPr="002E6BD1">
        <w:rPr>
          <w:rFonts w:ascii="Arial" w:eastAsia="Calibri" w:hAnsi="Arial" w:cs="Arial"/>
          <w:lang w:val="es-ES"/>
        </w:rPr>
        <w:t>Que, en tal sentido, resulta necesario aprobar la directiva que regula los “Procedimientos para la aprobación de la permuta de predios de dominio privado del Estado de libre disponibilidad”, a fin de optimizar, actualizar y consolidar dicho procedimiento, dentro del marco normativo vigente;</w:t>
      </w:r>
    </w:p>
    <w:p w:rsidR="002E6BD1" w:rsidRPr="002E6BD1" w:rsidRDefault="002E6BD1" w:rsidP="002E6BD1">
      <w:pPr>
        <w:spacing w:after="0" w:line="240" w:lineRule="auto"/>
        <w:jc w:val="both"/>
        <w:rPr>
          <w:rFonts w:ascii="Arial" w:eastAsia="Calibri" w:hAnsi="Arial" w:cs="Arial"/>
          <w:lang w:val="es-ES"/>
        </w:rPr>
      </w:pPr>
    </w:p>
    <w:p w:rsidR="002E6BD1" w:rsidRPr="002E6BD1" w:rsidRDefault="002E6BD1" w:rsidP="002E6BD1">
      <w:pPr>
        <w:spacing w:after="0" w:line="240" w:lineRule="auto"/>
        <w:jc w:val="both"/>
        <w:rPr>
          <w:rFonts w:ascii="Arial" w:eastAsia="Calibri" w:hAnsi="Arial" w:cs="Arial"/>
          <w:lang w:val="es-ES"/>
        </w:rPr>
      </w:pPr>
      <w:r w:rsidRPr="002E6BD1">
        <w:rPr>
          <w:rFonts w:ascii="Arial" w:eastAsia="Calibri" w:hAnsi="Arial" w:cs="Arial"/>
          <w:lang w:val="es-ES"/>
        </w:rPr>
        <w:t>Con los visados de la Secretaría General, de la Oficina de Planeamiento y Presupuesto, de la Oficina de Asesoría Jurídica, de la Dirección de Normas y Registro y, de la Dirección de Gestión del Patrimonio Estatal; y,</w:t>
      </w:r>
    </w:p>
    <w:p w:rsidR="002E6BD1" w:rsidRPr="002E6BD1" w:rsidRDefault="002E6BD1" w:rsidP="002E6BD1">
      <w:pPr>
        <w:spacing w:after="0" w:line="240" w:lineRule="auto"/>
        <w:jc w:val="both"/>
        <w:rPr>
          <w:rFonts w:ascii="Arial" w:eastAsia="Calibri" w:hAnsi="Arial" w:cs="Arial"/>
          <w:lang w:val="es-ES"/>
        </w:rPr>
      </w:pPr>
    </w:p>
    <w:p w:rsidR="002E6BD1" w:rsidRPr="002E6BD1" w:rsidRDefault="002E6BD1" w:rsidP="002E6BD1">
      <w:pPr>
        <w:spacing w:after="0" w:line="240" w:lineRule="auto"/>
        <w:jc w:val="both"/>
        <w:rPr>
          <w:rFonts w:ascii="Arial" w:eastAsia="Calibri" w:hAnsi="Arial" w:cs="Arial"/>
          <w:lang w:val="es-ES"/>
        </w:rPr>
      </w:pPr>
      <w:r w:rsidRPr="002E6BD1">
        <w:rPr>
          <w:rFonts w:ascii="Arial" w:eastAsia="Calibri" w:hAnsi="Arial" w:cs="Arial"/>
          <w:lang w:val="es-ES"/>
        </w:rPr>
        <w:t>De conformidad con lo establecido en el literal b) del numeral 14.1 del artículo 14º de la Ley N° 29151, Ley General del Sistema Nacional de Bienes Estatales; el literal a) del numeral 9.1 del artículo 9° del Reglamento de la Ley N° 29151, aprobado por el Decreto Supremo N° 007-2008-VIVIENDA, modificado por el Decreto Supremo N° 013-2012-VIVIENDA; y en uso de las atribuciones conferidas en los literales b) y r) del artículo 11º del Reglamento de Organización y Funciones de la Superintendencia Nacional de Bienes Estatales - SBN, aprobado por el Decreto Supremo Nº 016-2010-VIVIENDA;</w:t>
      </w:r>
    </w:p>
    <w:p w:rsidR="002E6BD1" w:rsidRPr="002E6BD1" w:rsidRDefault="002E6BD1" w:rsidP="002E6BD1">
      <w:pPr>
        <w:spacing w:after="0" w:line="240" w:lineRule="auto"/>
        <w:jc w:val="both"/>
        <w:rPr>
          <w:rFonts w:ascii="Arial" w:eastAsia="Calibri" w:hAnsi="Arial" w:cs="Arial"/>
          <w:lang w:val="es-ES"/>
        </w:rPr>
      </w:pPr>
    </w:p>
    <w:p w:rsidR="002E6BD1" w:rsidRPr="002E6BD1" w:rsidRDefault="002E6BD1" w:rsidP="002E6BD1">
      <w:pPr>
        <w:spacing w:after="0" w:line="240" w:lineRule="auto"/>
        <w:jc w:val="both"/>
        <w:rPr>
          <w:rFonts w:ascii="Arial" w:eastAsia="Calibri" w:hAnsi="Arial" w:cs="Arial"/>
          <w:b/>
          <w:lang w:val="es-ES"/>
        </w:rPr>
      </w:pPr>
      <w:r w:rsidRPr="002E6BD1">
        <w:rPr>
          <w:rFonts w:ascii="Arial" w:eastAsia="Calibri" w:hAnsi="Arial" w:cs="Arial"/>
          <w:b/>
          <w:lang w:val="es-ES"/>
        </w:rPr>
        <w:t>SE RESUELVE:</w:t>
      </w:r>
    </w:p>
    <w:p w:rsidR="002E6BD1" w:rsidRPr="002E6BD1" w:rsidRDefault="002E6BD1" w:rsidP="002E6BD1">
      <w:pPr>
        <w:spacing w:after="0" w:line="240" w:lineRule="auto"/>
        <w:jc w:val="both"/>
        <w:rPr>
          <w:rFonts w:ascii="Arial" w:eastAsia="Calibri" w:hAnsi="Arial" w:cs="Arial"/>
          <w:lang w:val="es-ES"/>
        </w:rPr>
      </w:pPr>
    </w:p>
    <w:p w:rsidR="002E6BD1" w:rsidRPr="002E6BD1" w:rsidRDefault="002E6BD1" w:rsidP="002E6BD1">
      <w:pPr>
        <w:spacing w:after="0" w:line="240" w:lineRule="auto"/>
        <w:jc w:val="both"/>
        <w:rPr>
          <w:rFonts w:ascii="Arial" w:eastAsia="Calibri" w:hAnsi="Arial" w:cs="Arial"/>
          <w:lang w:val="es-ES"/>
        </w:rPr>
      </w:pPr>
      <w:r w:rsidRPr="00F205B0">
        <w:rPr>
          <w:rFonts w:ascii="Arial" w:eastAsia="Calibri" w:hAnsi="Arial" w:cs="Arial"/>
          <w:b/>
          <w:lang w:val="es-ES"/>
        </w:rPr>
        <w:t>Artículo 1.-</w:t>
      </w:r>
      <w:r w:rsidRPr="002E6BD1">
        <w:rPr>
          <w:rFonts w:ascii="Arial" w:eastAsia="Calibri" w:hAnsi="Arial" w:cs="Arial"/>
          <w:lang w:val="es-ES"/>
        </w:rPr>
        <w:t xml:space="preserve"> Aprobar la Directiva Nº 008-2016/SBN denominada “Procedimientos para la aprobación de la permuta de predios de dominio privado del Estado de libre disponibilidad” y, los Anexos Nros. 1, 2, 3, 4, 5, 6 y 7 que forman parte integrante de la indicada Directiva.</w:t>
      </w:r>
    </w:p>
    <w:p w:rsidR="002E6BD1" w:rsidRDefault="002E6BD1" w:rsidP="002E6BD1">
      <w:pPr>
        <w:spacing w:after="0" w:line="240" w:lineRule="auto"/>
        <w:jc w:val="both"/>
        <w:rPr>
          <w:rFonts w:ascii="Arial" w:eastAsia="Calibri" w:hAnsi="Arial" w:cs="Arial"/>
          <w:lang w:val="es-ES"/>
        </w:rPr>
      </w:pPr>
    </w:p>
    <w:p w:rsidR="002E6BD1" w:rsidRPr="002E6BD1" w:rsidRDefault="002E6BD1" w:rsidP="002E6BD1">
      <w:pPr>
        <w:spacing w:after="0" w:line="240" w:lineRule="auto"/>
        <w:jc w:val="both"/>
        <w:rPr>
          <w:rFonts w:ascii="Arial" w:eastAsia="Calibri" w:hAnsi="Arial" w:cs="Arial"/>
          <w:lang w:val="es-ES"/>
        </w:rPr>
      </w:pPr>
      <w:r w:rsidRPr="002E6BD1">
        <w:rPr>
          <w:rFonts w:ascii="Arial" w:eastAsia="Calibri" w:hAnsi="Arial" w:cs="Arial"/>
          <w:b/>
          <w:lang w:val="es-ES"/>
        </w:rPr>
        <w:t>Artículo 2.-</w:t>
      </w:r>
      <w:r w:rsidRPr="002E6BD1">
        <w:rPr>
          <w:rFonts w:ascii="Arial" w:eastAsia="Calibri" w:hAnsi="Arial" w:cs="Arial"/>
          <w:lang w:val="es-ES"/>
        </w:rPr>
        <w:t xml:space="preserve"> Derogar la Directiva Nº 002-2007/SBN denominada “Procedimiento para la Aprobación de la Permuta de Predios del Dominio Privado del Estado de Libre Disponibilidad”, aprobada por la Resolución N° 018-2007-SBN y, demás disposiciones que se opongan a la directiva aprobada en artículo 1 de la presente resolución.</w:t>
      </w:r>
    </w:p>
    <w:p w:rsidR="002E6BD1" w:rsidRDefault="002E6BD1" w:rsidP="002E6BD1">
      <w:pPr>
        <w:spacing w:after="0" w:line="240" w:lineRule="auto"/>
        <w:jc w:val="both"/>
        <w:rPr>
          <w:rFonts w:ascii="Arial" w:eastAsia="Calibri" w:hAnsi="Arial" w:cs="Arial"/>
          <w:lang w:val="es-ES"/>
        </w:rPr>
      </w:pPr>
    </w:p>
    <w:p w:rsidR="002E6BD1" w:rsidRPr="002E6BD1" w:rsidRDefault="002E6BD1" w:rsidP="002E6BD1">
      <w:pPr>
        <w:spacing w:after="0" w:line="240" w:lineRule="auto"/>
        <w:jc w:val="both"/>
        <w:rPr>
          <w:rFonts w:ascii="Arial" w:eastAsia="Calibri" w:hAnsi="Arial" w:cs="Arial"/>
          <w:lang w:val="es-ES"/>
        </w:rPr>
      </w:pPr>
      <w:r w:rsidRPr="002E6BD1">
        <w:rPr>
          <w:rFonts w:ascii="Arial" w:eastAsia="Calibri" w:hAnsi="Arial" w:cs="Arial"/>
          <w:b/>
          <w:lang w:val="es-ES"/>
        </w:rPr>
        <w:t>Artículo 3.-</w:t>
      </w:r>
      <w:r w:rsidRPr="002E6BD1">
        <w:rPr>
          <w:rFonts w:ascii="Arial" w:eastAsia="Calibri" w:hAnsi="Arial" w:cs="Arial"/>
          <w:lang w:val="es-ES"/>
        </w:rPr>
        <w:t xml:space="preserve"> Las disposiciones de la Directiva N° 008-2016/SBN entrarán en vigencia a partir del día siguiente de la publicación de la presente resolución en el Diario Oficial “El Peruano”.</w:t>
      </w:r>
    </w:p>
    <w:p w:rsidR="002E6BD1" w:rsidRDefault="002E6BD1" w:rsidP="002E6BD1">
      <w:pPr>
        <w:spacing w:after="0" w:line="240" w:lineRule="auto"/>
        <w:jc w:val="both"/>
        <w:rPr>
          <w:rFonts w:ascii="Arial" w:eastAsia="Calibri" w:hAnsi="Arial" w:cs="Arial"/>
          <w:lang w:val="es-ES"/>
        </w:rPr>
      </w:pPr>
    </w:p>
    <w:p w:rsidR="002E6BD1" w:rsidRPr="002E6BD1" w:rsidRDefault="002E6BD1" w:rsidP="002E6BD1">
      <w:pPr>
        <w:spacing w:after="0" w:line="240" w:lineRule="auto"/>
        <w:jc w:val="both"/>
        <w:rPr>
          <w:rFonts w:ascii="Arial" w:eastAsia="Calibri" w:hAnsi="Arial" w:cs="Arial"/>
          <w:lang w:val="es-ES"/>
        </w:rPr>
      </w:pPr>
      <w:r w:rsidRPr="002E6BD1">
        <w:rPr>
          <w:rFonts w:ascii="Arial" w:eastAsia="Calibri" w:hAnsi="Arial" w:cs="Arial"/>
          <w:b/>
          <w:lang w:val="es-ES"/>
        </w:rPr>
        <w:t>Artículo 4.-</w:t>
      </w:r>
      <w:r w:rsidRPr="002E6BD1">
        <w:rPr>
          <w:rFonts w:ascii="Arial" w:eastAsia="Calibri" w:hAnsi="Arial" w:cs="Arial"/>
          <w:lang w:val="es-ES"/>
        </w:rPr>
        <w:t xml:space="preserve"> Encargar a la Oficina de Administración y Finanzas la publicación de la Directiva N° 008-2016/SBN y de la presente resolución en la página web (www.sbn.gob.pe) e intranet institucional.</w:t>
      </w:r>
    </w:p>
    <w:p w:rsidR="006312E8" w:rsidRPr="002E6BD1" w:rsidRDefault="002E6BD1" w:rsidP="002E6BD1">
      <w:pPr>
        <w:spacing w:after="0" w:line="240" w:lineRule="auto"/>
        <w:jc w:val="both"/>
        <w:rPr>
          <w:rFonts w:ascii="Arial" w:eastAsia="Calibri" w:hAnsi="Arial" w:cs="Arial"/>
          <w:lang w:val="es-ES"/>
        </w:rPr>
      </w:pPr>
      <w:r w:rsidRPr="002E6BD1">
        <w:rPr>
          <w:rFonts w:ascii="Arial" w:eastAsia="Calibri" w:hAnsi="Arial" w:cs="Arial"/>
          <w:lang w:val="es-ES"/>
        </w:rPr>
        <w:t>Regístrese, comuníquese y publíquese.</w:t>
      </w:r>
    </w:p>
    <w:p w:rsidR="002E6BD1" w:rsidRPr="006312E8" w:rsidRDefault="002E6BD1" w:rsidP="002E6BD1">
      <w:pPr>
        <w:spacing w:after="0" w:line="240" w:lineRule="auto"/>
        <w:jc w:val="both"/>
        <w:rPr>
          <w:rFonts w:ascii="Arial" w:eastAsia="Calibri" w:hAnsi="Arial" w:cs="Arial"/>
          <w:lang w:val="es-ES"/>
        </w:rPr>
      </w:pPr>
    </w:p>
    <w:p w:rsidR="00F205B0" w:rsidRDefault="00F205B0" w:rsidP="00F205B0">
      <w:pPr>
        <w:spacing w:after="0" w:line="240" w:lineRule="auto"/>
        <w:jc w:val="center"/>
        <w:rPr>
          <w:rFonts w:ascii="Arial" w:eastAsia="Calibri" w:hAnsi="Arial" w:cs="Arial"/>
          <w:b/>
          <w:lang w:val="es-ES"/>
        </w:rPr>
      </w:pPr>
    </w:p>
    <w:p w:rsidR="00F205B0" w:rsidRDefault="00F205B0" w:rsidP="00F205B0">
      <w:pPr>
        <w:spacing w:after="0" w:line="240" w:lineRule="auto"/>
        <w:jc w:val="center"/>
        <w:rPr>
          <w:rFonts w:ascii="Arial" w:eastAsia="Calibri" w:hAnsi="Arial" w:cs="Arial"/>
          <w:b/>
          <w:lang w:val="es-ES"/>
        </w:rPr>
      </w:pPr>
    </w:p>
    <w:p w:rsidR="006312E8" w:rsidRPr="006312E8" w:rsidRDefault="00F205B0" w:rsidP="00F205B0">
      <w:pPr>
        <w:spacing w:after="0" w:line="240" w:lineRule="auto"/>
        <w:jc w:val="center"/>
        <w:rPr>
          <w:rFonts w:ascii="Arial" w:eastAsia="Calibri" w:hAnsi="Arial" w:cs="Arial"/>
          <w:b/>
          <w:lang w:val="es-ES"/>
        </w:rPr>
      </w:pPr>
      <w:r>
        <w:rPr>
          <w:rFonts w:ascii="Arial" w:eastAsia="Calibri" w:hAnsi="Arial" w:cs="Arial"/>
          <w:b/>
          <w:lang w:val="es-ES"/>
        </w:rPr>
        <w:t>JOSE LUIS PAIRAZAMAN TORRES</w:t>
      </w:r>
    </w:p>
    <w:p w:rsidR="006312E8" w:rsidRPr="006312E8" w:rsidRDefault="006312E8" w:rsidP="00F205B0">
      <w:pPr>
        <w:spacing w:after="0" w:line="240" w:lineRule="auto"/>
        <w:jc w:val="center"/>
        <w:rPr>
          <w:rFonts w:ascii="Arial" w:eastAsia="Calibri" w:hAnsi="Arial" w:cs="Arial"/>
          <w:lang w:val="es-ES"/>
        </w:rPr>
      </w:pPr>
      <w:r w:rsidRPr="006312E8">
        <w:rPr>
          <w:rFonts w:ascii="Arial" w:eastAsia="Calibri" w:hAnsi="Arial" w:cs="Arial"/>
          <w:lang w:val="es-ES"/>
        </w:rPr>
        <w:t>Superintendente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E104C8">
      <w:pPr>
        <w:pStyle w:val="TITO2"/>
      </w:pPr>
      <w:bookmarkStart w:id="279" w:name="_Toc392856221"/>
      <w:bookmarkStart w:id="280" w:name="_Toc399335496"/>
      <w:bookmarkStart w:id="281" w:name="_Toc421025443"/>
      <w:bookmarkStart w:id="282" w:name="_Toc470855544"/>
      <w:bookmarkStart w:id="283" w:name="D0022007"/>
      <w:r w:rsidRPr="006312E8">
        <w:t>DIRECTIVA Nº 00</w:t>
      </w:r>
      <w:r w:rsidR="00F205B0">
        <w:t>8</w:t>
      </w:r>
      <w:r w:rsidRPr="006312E8">
        <w:t>-20</w:t>
      </w:r>
      <w:r w:rsidR="00F205B0">
        <w:t>16</w:t>
      </w:r>
      <w:r w:rsidRPr="006312E8">
        <w:t>/SBN</w:t>
      </w:r>
      <w:bookmarkEnd w:id="279"/>
      <w:bookmarkEnd w:id="280"/>
      <w:bookmarkEnd w:id="281"/>
      <w:bookmarkEnd w:id="282"/>
    </w:p>
    <w:bookmarkEnd w:id="283"/>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r>
    </w:p>
    <w:p w:rsidR="00F205B0" w:rsidRDefault="00F205B0" w:rsidP="00F205B0">
      <w:pPr>
        <w:spacing w:after="0" w:line="240" w:lineRule="auto"/>
        <w:jc w:val="center"/>
        <w:rPr>
          <w:rFonts w:ascii="Arial" w:eastAsia="Calibri" w:hAnsi="Arial" w:cs="Arial"/>
          <w:b/>
          <w:caps/>
          <w:lang w:val="es-ES"/>
        </w:rPr>
      </w:pPr>
      <w:r w:rsidRPr="00F205B0">
        <w:rPr>
          <w:rFonts w:ascii="Arial" w:eastAsia="Calibri" w:hAnsi="Arial" w:cs="Arial"/>
          <w:b/>
          <w:caps/>
          <w:lang w:val="es-ES"/>
        </w:rPr>
        <w:t>Procedimientos para la aprobación de la permuta de predios de dominio privado del Estado de libre disponibilidad</w:t>
      </w:r>
    </w:p>
    <w:p w:rsidR="006312E8" w:rsidRPr="006312E8" w:rsidRDefault="006312E8" w:rsidP="00F205B0">
      <w:pPr>
        <w:spacing w:after="0" w:line="240" w:lineRule="auto"/>
        <w:jc w:val="center"/>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F205B0" w:rsidRPr="00FD2950" w:rsidRDefault="00F205B0" w:rsidP="0092471C">
      <w:pPr>
        <w:pStyle w:val="Prrafodelista"/>
        <w:widowControl w:val="0"/>
        <w:numPr>
          <w:ilvl w:val="0"/>
          <w:numId w:val="332"/>
        </w:numPr>
        <w:suppressAutoHyphens/>
        <w:spacing w:after="0" w:line="240" w:lineRule="auto"/>
        <w:ind w:left="402" w:hanging="402"/>
        <w:jc w:val="both"/>
        <w:rPr>
          <w:rFonts w:ascii="Arial" w:eastAsia="Calibri" w:hAnsi="Arial" w:cs="Arial"/>
          <w:b/>
          <w:sz w:val="21"/>
          <w:szCs w:val="21"/>
        </w:rPr>
      </w:pPr>
      <w:r w:rsidRPr="00FD2950">
        <w:rPr>
          <w:rFonts w:ascii="Arial" w:eastAsia="Calibri" w:hAnsi="Arial" w:cs="Arial"/>
          <w:b/>
          <w:sz w:val="21"/>
          <w:szCs w:val="21"/>
        </w:rPr>
        <w:t>FINALIDAD</w:t>
      </w:r>
    </w:p>
    <w:p w:rsidR="00F205B0" w:rsidRPr="00FD2950" w:rsidRDefault="00F205B0" w:rsidP="00F205B0">
      <w:pPr>
        <w:spacing w:after="0" w:line="240" w:lineRule="auto"/>
        <w:ind w:left="402"/>
        <w:contextualSpacing/>
        <w:jc w:val="both"/>
        <w:rPr>
          <w:rFonts w:ascii="Arial" w:eastAsia="Calibri" w:hAnsi="Arial" w:cs="Arial"/>
          <w:sz w:val="21"/>
          <w:szCs w:val="21"/>
          <w:lang w:val="es-ES_tradnl"/>
        </w:rPr>
      </w:pPr>
      <w:r w:rsidRPr="00FD2950">
        <w:rPr>
          <w:rFonts w:ascii="Arial" w:eastAsia="Calibri" w:hAnsi="Arial" w:cs="Arial"/>
          <w:sz w:val="21"/>
          <w:szCs w:val="21"/>
          <w:lang w:val="es-ES_tradnl"/>
        </w:rPr>
        <w:t>Contar con un instrumento normativo que establezca lineamientos predecibles, razonables y céleres que garanticen la eficiente disposición de los predios de dominio privado estatal de libre disponibilidad, a través de la modalidad de permuta, en el marco de las normas del Sistema Nacional de Bienes Estatales.</w:t>
      </w:r>
    </w:p>
    <w:p w:rsidR="00F205B0" w:rsidRDefault="00F205B0" w:rsidP="00F205B0">
      <w:pPr>
        <w:spacing w:after="0" w:line="240" w:lineRule="auto"/>
        <w:contextualSpacing/>
        <w:jc w:val="both"/>
        <w:rPr>
          <w:rFonts w:ascii="Arial" w:eastAsia="Calibri" w:hAnsi="Arial" w:cs="Arial"/>
          <w:sz w:val="21"/>
          <w:szCs w:val="21"/>
          <w:lang w:val="es-ES_tradnl"/>
        </w:rPr>
      </w:pPr>
    </w:p>
    <w:p w:rsidR="00F205B0" w:rsidRPr="00FD2950" w:rsidRDefault="00F205B0" w:rsidP="00F205B0">
      <w:pPr>
        <w:spacing w:after="0" w:line="240" w:lineRule="auto"/>
        <w:contextualSpacing/>
        <w:jc w:val="both"/>
        <w:rPr>
          <w:rFonts w:ascii="Arial" w:eastAsia="Calibri" w:hAnsi="Arial" w:cs="Arial"/>
          <w:sz w:val="21"/>
          <w:szCs w:val="21"/>
          <w:lang w:val="es-ES_tradnl"/>
        </w:rPr>
      </w:pPr>
    </w:p>
    <w:p w:rsidR="00F205B0" w:rsidRPr="00FD2950" w:rsidRDefault="00F205B0" w:rsidP="0092471C">
      <w:pPr>
        <w:pStyle w:val="Prrafodelista"/>
        <w:widowControl w:val="0"/>
        <w:numPr>
          <w:ilvl w:val="0"/>
          <w:numId w:val="332"/>
        </w:numPr>
        <w:suppressAutoHyphens/>
        <w:spacing w:after="0" w:line="240" w:lineRule="auto"/>
        <w:ind w:left="402" w:hanging="402"/>
        <w:jc w:val="both"/>
        <w:rPr>
          <w:rFonts w:ascii="Arial" w:eastAsia="Calibri" w:hAnsi="Arial" w:cs="Arial"/>
          <w:b/>
          <w:sz w:val="21"/>
          <w:szCs w:val="21"/>
        </w:rPr>
      </w:pPr>
      <w:r w:rsidRPr="00FD2950">
        <w:rPr>
          <w:rFonts w:ascii="Arial" w:eastAsia="Calibri" w:hAnsi="Arial" w:cs="Arial"/>
          <w:b/>
          <w:sz w:val="21"/>
          <w:szCs w:val="21"/>
        </w:rPr>
        <w:t>OBJETIVO</w:t>
      </w:r>
    </w:p>
    <w:p w:rsidR="00F205B0" w:rsidRPr="00FD2950" w:rsidRDefault="00F205B0" w:rsidP="00F205B0">
      <w:pPr>
        <w:spacing w:after="0" w:line="240" w:lineRule="auto"/>
        <w:ind w:left="402"/>
        <w:contextualSpacing/>
        <w:jc w:val="both"/>
        <w:rPr>
          <w:rFonts w:ascii="Arial" w:eastAsia="Calibri" w:hAnsi="Arial" w:cs="Arial"/>
          <w:sz w:val="21"/>
          <w:szCs w:val="21"/>
          <w:lang w:val="es-ES_tradnl"/>
        </w:rPr>
      </w:pPr>
      <w:r w:rsidRPr="00FD2950">
        <w:rPr>
          <w:rFonts w:ascii="Arial" w:eastAsia="Calibri" w:hAnsi="Arial" w:cs="Arial"/>
          <w:sz w:val="21"/>
          <w:szCs w:val="21"/>
          <w:lang w:val="es-ES_tradnl"/>
        </w:rPr>
        <w:t>Regular el procedimiento para la aprobación de la permuta predial entre entidades públicas propietarias de un predio de dominio privado, y entre estas y las personas naturales o jurídicas de derecho privado propietarias de un predio inscrito.</w:t>
      </w:r>
    </w:p>
    <w:p w:rsidR="00F205B0" w:rsidRDefault="00F205B0" w:rsidP="00F205B0">
      <w:pPr>
        <w:spacing w:after="0" w:line="240" w:lineRule="auto"/>
        <w:contextualSpacing/>
        <w:jc w:val="both"/>
        <w:rPr>
          <w:rFonts w:ascii="Arial" w:eastAsia="Calibri" w:hAnsi="Arial" w:cs="Arial"/>
          <w:sz w:val="21"/>
          <w:szCs w:val="21"/>
          <w:lang w:val="es-ES_tradnl"/>
        </w:rPr>
      </w:pPr>
    </w:p>
    <w:p w:rsidR="00F205B0" w:rsidRPr="00FD2950" w:rsidRDefault="00F205B0" w:rsidP="0092471C">
      <w:pPr>
        <w:pStyle w:val="Prrafodelista"/>
        <w:widowControl w:val="0"/>
        <w:numPr>
          <w:ilvl w:val="0"/>
          <w:numId w:val="332"/>
        </w:numPr>
        <w:suppressAutoHyphens/>
        <w:spacing w:after="0" w:line="240" w:lineRule="auto"/>
        <w:ind w:left="402" w:hanging="425"/>
        <w:jc w:val="both"/>
        <w:rPr>
          <w:rFonts w:ascii="Arial" w:eastAsia="Calibri" w:hAnsi="Arial" w:cs="Arial"/>
          <w:b/>
          <w:sz w:val="21"/>
          <w:szCs w:val="21"/>
        </w:rPr>
      </w:pPr>
      <w:r w:rsidRPr="00FD2950">
        <w:rPr>
          <w:rFonts w:ascii="Arial" w:eastAsia="Calibri" w:hAnsi="Arial" w:cs="Arial"/>
          <w:b/>
          <w:sz w:val="21"/>
          <w:szCs w:val="21"/>
        </w:rPr>
        <w:t>ALCANCE</w:t>
      </w:r>
    </w:p>
    <w:p w:rsidR="00F205B0" w:rsidRPr="00FD2950" w:rsidRDefault="00F205B0" w:rsidP="00F205B0">
      <w:pPr>
        <w:spacing w:after="0" w:line="240" w:lineRule="auto"/>
        <w:ind w:left="402"/>
        <w:contextualSpacing/>
        <w:jc w:val="both"/>
        <w:rPr>
          <w:rFonts w:ascii="Arial" w:eastAsia="Calibri" w:hAnsi="Arial" w:cs="Arial"/>
          <w:sz w:val="21"/>
          <w:szCs w:val="21"/>
          <w:lang w:val="es-ES_tradnl"/>
        </w:rPr>
      </w:pPr>
      <w:r w:rsidRPr="00FD2950">
        <w:rPr>
          <w:rFonts w:ascii="Arial" w:eastAsia="Calibri" w:hAnsi="Arial" w:cs="Arial"/>
          <w:sz w:val="21"/>
          <w:szCs w:val="21"/>
          <w:lang w:val="es-ES_tradnl"/>
        </w:rPr>
        <w:t>La presente directiva tiene alcance nacional y comprende los predios bajo competencia directa de:</w:t>
      </w:r>
    </w:p>
    <w:p w:rsidR="00F205B0" w:rsidRPr="00FD2950" w:rsidRDefault="00F205B0" w:rsidP="00F205B0">
      <w:pPr>
        <w:spacing w:after="0" w:line="240" w:lineRule="auto"/>
        <w:contextualSpacing/>
        <w:jc w:val="both"/>
        <w:rPr>
          <w:rFonts w:ascii="Arial" w:eastAsia="Calibri" w:hAnsi="Arial" w:cs="Arial"/>
          <w:sz w:val="21"/>
          <w:szCs w:val="21"/>
          <w:lang w:val="es-ES_tradnl"/>
        </w:rPr>
      </w:pPr>
    </w:p>
    <w:p w:rsidR="00F205B0" w:rsidRPr="00FD2950" w:rsidRDefault="00F205B0" w:rsidP="00F205B0">
      <w:pPr>
        <w:spacing w:after="0" w:line="240" w:lineRule="auto"/>
        <w:ind w:left="969" w:hanging="567"/>
        <w:contextualSpacing/>
        <w:jc w:val="both"/>
        <w:rPr>
          <w:rFonts w:ascii="Arial" w:eastAsia="Calibri" w:hAnsi="Arial" w:cs="Arial"/>
          <w:sz w:val="21"/>
          <w:szCs w:val="21"/>
          <w:lang w:val="es-ES_tradnl"/>
        </w:rPr>
      </w:pPr>
      <w:r w:rsidRPr="00FD2950">
        <w:rPr>
          <w:rFonts w:ascii="Arial" w:eastAsia="Calibri" w:hAnsi="Arial" w:cs="Arial"/>
          <w:sz w:val="21"/>
          <w:szCs w:val="21"/>
          <w:lang w:val="es-ES_tradnl"/>
        </w:rPr>
        <w:t>3.1.</w:t>
      </w:r>
      <w:r w:rsidRPr="00FD2950">
        <w:rPr>
          <w:rFonts w:ascii="Arial" w:eastAsia="Calibri" w:hAnsi="Arial" w:cs="Arial"/>
          <w:sz w:val="21"/>
          <w:szCs w:val="21"/>
          <w:lang w:val="es-ES_tradnl"/>
        </w:rPr>
        <w:tab/>
        <w:t>La SBN;</w:t>
      </w:r>
    </w:p>
    <w:p w:rsidR="00F205B0" w:rsidRPr="00FD2950" w:rsidRDefault="00F205B0" w:rsidP="00F205B0">
      <w:pPr>
        <w:spacing w:after="0" w:line="240" w:lineRule="auto"/>
        <w:ind w:left="969" w:hanging="567"/>
        <w:contextualSpacing/>
        <w:jc w:val="both"/>
        <w:rPr>
          <w:rFonts w:ascii="Arial" w:eastAsia="Calibri" w:hAnsi="Arial" w:cs="Arial"/>
          <w:sz w:val="21"/>
          <w:szCs w:val="21"/>
          <w:lang w:val="es-ES_tradnl"/>
        </w:rPr>
      </w:pPr>
      <w:r w:rsidRPr="00FD2950">
        <w:rPr>
          <w:rFonts w:ascii="Arial" w:eastAsia="Calibri" w:hAnsi="Arial" w:cs="Arial"/>
          <w:sz w:val="21"/>
          <w:szCs w:val="21"/>
          <w:lang w:val="es-ES_tradnl"/>
        </w:rPr>
        <w:t>3.2.</w:t>
      </w:r>
      <w:r w:rsidRPr="00FD2950">
        <w:rPr>
          <w:rFonts w:ascii="Arial" w:eastAsia="Calibri" w:hAnsi="Arial" w:cs="Arial"/>
          <w:sz w:val="21"/>
          <w:szCs w:val="21"/>
          <w:lang w:val="es-ES_tradnl"/>
        </w:rPr>
        <w:tab/>
        <w:t>Los Gobiernos Regionales que cuentan con funciones transferidas o convenio de delegación de competencias en el marco del proceso de descentralización, respecto de las funciones previstas en el artículo 62 de la Ley N° 27867, Ley Orgánica de Gobiernos Regionales; y,</w:t>
      </w:r>
    </w:p>
    <w:p w:rsidR="00F205B0" w:rsidRPr="00FD2950" w:rsidRDefault="00F205B0" w:rsidP="00F205B0">
      <w:pPr>
        <w:spacing w:after="0" w:line="240" w:lineRule="auto"/>
        <w:ind w:left="969" w:hanging="567"/>
        <w:contextualSpacing/>
        <w:jc w:val="both"/>
        <w:rPr>
          <w:rFonts w:ascii="Arial" w:eastAsia="Calibri" w:hAnsi="Arial" w:cs="Arial"/>
          <w:sz w:val="21"/>
          <w:szCs w:val="21"/>
          <w:lang w:val="es-ES_tradnl"/>
        </w:rPr>
      </w:pPr>
      <w:r w:rsidRPr="00FD2950">
        <w:rPr>
          <w:rFonts w:ascii="Arial" w:eastAsia="Calibri" w:hAnsi="Arial" w:cs="Arial"/>
          <w:sz w:val="21"/>
          <w:szCs w:val="21"/>
          <w:lang w:val="es-ES_tradnl"/>
        </w:rPr>
        <w:t>3.3.</w:t>
      </w:r>
      <w:r w:rsidRPr="00FD2950">
        <w:rPr>
          <w:rFonts w:ascii="Arial" w:eastAsia="Calibri" w:hAnsi="Arial" w:cs="Arial"/>
          <w:sz w:val="21"/>
          <w:szCs w:val="21"/>
          <w:lang w:val="es-ES_tradnl"/>
        </w:rPr>
        <w:tab/>
        <w:t>Las demás entidades públicas que conforman el Sistema Nacional de Bienes Estatales.</w:t>
      </w:r>
    </w:p>
    <w:p w:rsidR="00F205B0" w:rsidRPr="00FD2950" w:rsidRDefault="00F205B0" w:rsidP="00F205B0">
      <w:pPr>
        <w:spacing w:after="0" w:line="240" w:lineRule="auto"/>
        <w:contextualSpacing/>
        <w:jc w:val="both"/>
        <w:rPr>
          <w:rFonts w:ascii="Arial" w:eastAsia="Calibri" w:hAnsi="Arial" w:cs="Arial"/>
          <w:sz w:val="21"/>
          <w:szCs w:val="21"/>
          <w:lang w:val="es-ES_tradnl"/>
        </w:rPr>
      </w:pPr>
    </w:p>
    <w:p w:rsidR="00F205B0" w:rsidRPr="00FD2950" w:rsidRDefault="00F205B0" w:rsidP="00F205B0">
      <w:pPr>
        <w:spacing w:after="0" w:line="240" w:lineRule="auto"/>
        <w:ind w:left="402"/>
        <w:contextualSpacing/>
        <w:jc w:val="both"/>
        <w:rPr>
          <w:rFonts w:ascii="Arial" w:eastAsia="Calibri" w:hAnsi="Arial" w:cs="Arial"/>
          <w:sz w:val="21"/>
          <w:szCs w:val="21"/>
          <w:lang w:val="es-ES_tradnl"/>
        </w:rPr>
      </w:pPr>
      <w:r w:rsidRPr="00FD2950">
        <w:rPr>
          <w:rFonts w:ascii="Arial" w:eastAsia="Calibri" w:hAnsi="Arial" w:cs="Arial"/>
          <w:sz w:val="21"/>
          <w:szCs w:val="21"/>
          <w:lang w:val="es-ES_tradnl"/>
        </w:rPr>
        <w:t>Los Gobiernos Regionales, Gobiernos Locales y las entidades públicas, que cuentan con régimen legal propio para disponer los predios de su propiedad, pueden aplicar la presente directiva en vía supletoria.</w:t>
      </w:r>
    </w:p>
    <w:p w:rsidR="00F205B0" w:rsidRPr="00FD2950" w:rsidRDefault="00F205B0" w:rsidP="00F205B0">
      <w:pPr>
        <w:spacing w:after="0" w:line="240" w:lineRule="auto"/>
        <w:ind w:left="402"/>
        <w:contextualSpacing/>
        <w:jc w:val="both"/>
        <w:rPr>
          <w:rFonts w:ascii="Arial" w:eastAsia="Calibri" w:hAnsi="Arial" w:cs="Arial"/>
          <w:sz w:val="21"/>
          <w:szCs w:val="21"/>
          <w:lang w:val="es-ES_tradnl"/>
        </w:rPr>
      </w:pPr>
    </w:p>
    <w:p w:rsidR="00F205B0" w:rsidRPr="00FD2950" w:rsidRDefault="00F205B0" w:rsidP="00F205B0">
      <w:pPr>
        <w:spacing w:after="0" w:line="240" w:lineRule="auto"/>
        <w:ind w:left="402"/>
        <w:contextualSpacing/>
        <w:jc w:val="both"/>
        <w:rPr>
          <w:rFonts w:ascii="Arial" w:eastAsia="Calibri" w:hAnsi="Arial" w:cs="Arial"/>
          <w:sz w:val="21"/>
          <w:szCs w:val="21"/>
          <w:lang w:val="es-ES_tradnl"/>
        </w:rPr>
      </w:pPr>
      <w:r w:rsidRPr="00FD2950">
        <w:rPr>
          <w:rFonts w:ascii="Arial" w:eastAsia="Calibri" w:hAnsi="Arial" w:cs="Arial"/>
          <w:sz w:val="21"/>
          <w:szCs w:val="21"/>
          <w:lang w:val="es-ES_tradnl"/>
        </w:rPr>
        <w:t>No están comprendidos en esta directiva los predios estatales sujetos a procesos de formalización, titulación, privatización o concesión en cumplimiento de disposiciones especiales.</w:t>
      </w:r>
    </w:p>
    <w:p w:rsidR="00F205B0" w:rsidRDefault="00F205B0" w:rsidP="00F205B0">
      <w:pPr>
        <w:spacing w:after="0" w:line="240" w:lineRule="auto"/>
        <w:contextualSpacing/>
        <w:jc w:val="both"/>
        <w:rPr>
          <w:rFonts w:ascii="Arial" w:eastAsia="Calibri" w:hAnsi="Arial" w:cs="Arial"/>
          <w:b/>
          <w:sz w:val="21"/>
          <w:szCs w:val="21"/>
        </w:rPr>
      </w:pPr>
    </w:p>
    <w:p w:rsidR="00F205B0" w:rsidRPr="00193C44" w:rsidRDefault="00F205B0" w:rsidP="0092471C">
      <w:pPr>
        <w:pStyle w:val="Prrafodelista"/>
        <w:widowControl w:val="0"/>
        <w:numPr>
          <w:ilvl w:val="0"/>
          <w:numId w:val="332"/>
        </w:numPr>
        <w:suppressAutoHyphens/>
        <w:spacing w:after="0" w:line="240" w:lineRule="auto"/>
        <w:ind w:left="402" w:hanging="425"/>
        <w:jc w:val="both"/>
        <w:rPr>
          <w:rFonts w:ascii="Arial" w:eastAsia="Calibri" w:hAnsi="Arial" w:cs="Arial"/>
          <w:b/>
          <w:sz w:val="21"/>
          <w:szCs w:val="21"/>
        </w:rPr>
      </w:pPr>
      <w:r w:rsidRPr="00193C44">
        <w:rPr>
          <w:rFonts w:ascii="Arial" w:eastAsia="Calibri" w:hAnsi="Arial" w:cs="Arial"/>
          <w:b/>
          <w:sz w:val="21"/>
          <w:szCs w:val="21"/>
        </w:rPr>
        <w:t>BASE LEGAL</w:t>
      </w:r>
    </w:p>
    <w:p w:rsidR="00F205B0" w:rsidRPr="00FD2950" w:rsidRDefault="00F205B0" w:rsidP="00F205B0">
      <w:pPr>
        <w:spacing w:after="0" w:line="240" w:lineRule="auto"/>
        <w:ind w:left="686" w:hanging="283"/>
        <w:contextualSpacing/>
        <w:jc w:val="both"/>
        <w:rPr>
          <w:rFonts w:ascii="Arial" w:eastAsia="Calibri" w:hAnsi="Arial" w:cs="Arial"/>
          <w:sz w:val="21"/>
          <w:szCs w:val="21"/>
        </w:rPr>
      </w:pPr>
      <w:r w:rsidRPr="00FD2950">
        <w:rPr>
          <w:rFonts w:ascii="Arial" w:eastAsia="Calibri" w:hAnsi="Arial" w:cs="Arial"/>
          <w:sz w:val="21"/>
          <w:szCs w:val="21"/>
        </w:rPr>
        <w:t>-</w:t>
      </w:r>
      <w:r w:rsidRPr="00FD2950">
        <w:rPr>
          <w:rFonts w:ascii="Arial" w:eastAsia="Calibri" w:hAnsi="Arial" w:cs="Arial"/>
          <w:sz w:val="21"/>
          <w:szCs w:val="21"/>
        </w:rPr>
        <w:tab/>
        <w:t>Constitución Política del Perú.</w:t>
      </w:r>
    </w:p>
    <w:p w:rsidR="00F205B0" w:rsidRPr="00FD2950" w:rsidRDefault="00F205B0" w:rsidP="00F205B0">
      <w:pPr>
        <w:spacing w:after="0" w:line="240" w:lineRule="auto"/>
        <w:ind w:left="686" w:hanging="283"/>
        <w:contextualSpacing/>
        <w:jc w:val="both"/>
        <w:rPr>
          <w:rFonts w:ascii="Arial" w:eastAsia="Calibri" w:hAnsi="Arial" w:cs="Arial"/>
          <w:sz w:val="21"/>
          <w:szCs w:val="21"/>
        </w:rPr>
      </w:pPr>
      <w:r w:rsidRPr="00FD2950">
        <w:rPr>
          <w:rFonts w:ascii="Arial" w:eastAsia="Calibri" w:hAnsi="Arial" w:cs="Arial"/>
          <w:sz w:val="21"/>
          <w:szCs w:val="21"/>
        </w:rPr>
        <w:t>-</w:t>
      </w:r>
      <w:r w:rsidRPr="00FD2950">
        <w:rPr>
          <w:rFonts w:ascii="Arial" w:eastAsia="Calibri" w:hAnsi="Arial" w:cs="Arial"/>
          <w:sz w:val="21"/>
          <w:szCs w:val="21"/>
        </w:rPr>
        <w:tab/>
        <w:t>Código Civil.</w:t>
      </w:r>
    </w:p>
    <w:p w:rsidR="00F205B0" w:rsidRPr="00FD2950" w:rsidRDefault="00F205B0" w:rsidP="00F205B0">
      <w:pPr>
        <w:spacing w:after="0" w:line="240" w:lineRule="auto"/>
        <w:ind w:left="686" w:hanging="283"/>
        <w:contextualSpacing/>
        <w:jc w:val="both"/>
        <w:rPr>
          <w:rFonts w:ascii="Arial" w:eastAsia="Calibri" w:hAnsi="Arial" w:cs="Arial"/>
          <w:sz w:val="21"/>
          <w:szCs w:val="21"/>
        </w:rPr>
      </w:pPr>
      <w:r w:rsidRPr="00FD2950">
        <w:rPr>
          <w:rFonts w:ascii="Arial" w:eastAsia="Calibri" w:hAnsi="Arial" w:cs="Arial"/>
          <w:sz w:val="21"/>
          <w:szCs w:val="21"/>
        </w:rPr>
        <w:t>-</w:t>
      </w:r>
      <w:r w:rsidRPr="00FD2950">
        <w:rPr>
          <w:rFonts w:ascii="Arial" w:eastAsia="Calibri" w:hAnsi="Arial" w:cs="Arial"/>
          <w:sz w:val="21"/>
          <w:szCs w:val="21"/>
        </w:rPr>
        <w:tab/>
        <w:t>Ley N° 27444, Ley del Procedimiento Administrativo General.</w:t>
      </w:r>
    </w:p>
    <w:p w:rsidR="00F205B0" w:rsidRPr="00FD2950" w:rsidRDefault="00F205B0" w:rsidP="00F205B0">
      <w:pPr>
        <w:spacing w:after="0" w:line="240" w:lineRule="auto"/>
        <w:ind w:left="686" w:hanging="283"/>
        <w:contextualSpacing/>
        <w:jc w:val="both"/>
        <w:rPr>
          <w:rFonts w:ascii="Arial" w:eastAsia="Calibri" w:hAnsi="Arial" w:cs="Arial"/>
          <w:sz w:val="21"/>
          <w:szCs w:val="21"/>
        </w:rPr>
      </w:pPr>
      <w:r w:rsidRPr="00FD2950">
        <w:rPr>
          <w:rFonts w:ascii="Arial" w:eastAsia="Calibri" w:hAnsi="Arial" w:cs="Arial"/>
          <w:sz w:val="21"/>
          <w:szCs w:val="21"/>
        </w:rPr>
        <w:t>-</w:t>
      </w:r>
      <w:r w:rsidRPr="00FD2950">
        <w:rPr>
          <w:rFonts w:ascii="Arial" w:eastAsia="Calibri" w:hAnsi="Arial" w:cs="Arial"/>
          <w:sz w:val="21"/>
          <w:szCs w:val="21"/>
        </w:rPr>
        <w:tab/>
        <w:t>Ley N° 27867, Ley Orgánica de Gobiernos Regionales.</w:t>
      </w:r>
    </w:p>
    <w:p w:rsidR="00F205B0" w:rsidRPr="00FD2950" w:rsidRDefault="00F205B0" w:rsidP="00F205B0">
      <w:pPr>
        <w:spacing w:after="0" w:line="240" w:lineRule="auto"/>
        <w:ind w:left="686" w:hanging="283"/>
        <w:contextualSpacing/>
        <w:jc w:val="both"/>
        <w:rPr>
          <w:rFonts w:ascii="Arial" w:eastAsia="Calibri" w:hAnsi="Arial" w:cs="Arial"/>
          <w:sz w:val="21"/>
          <w:szCs w:val="21"/>
        </w:rPr>
      </w:pPr>
      <w:r w:rsidRPr="00FD2950">
        <w:rPr>
          <w:rFonts w:ascii="Arial" w:eastAsia="Calibri" w:hAnsi="Arial" w:cs="Arial"/>
          <w:sz w:val="21"/>
          <w:szCs w:val="21"/>
        </w:rPr>
        <w:t>-</w:t>
      </w:r>
      <w:r w:rsidRPr="00FD2950">
        <w:rPr>
          <w:rFonts w:ascii="Arial" w:eastAsia="Calibri" w:hAnsi="Arial" w:cs="Arial"/>
          <w:sz w:val="21"/>
          <w:szCs w:val="21"/>
        </w:rPr>
        <w:tab/>
        <w:t>Ley N° 29151, Ley General del Sistema Nacional de Bienes Estatales, y sus modificatorias.</w:t>
      </w:r>
    </w:p>
    <w:p w:rsidR="00F205B0" w:rsidRPr="00FD2950" w:rsidRDefault="00F205B0" w:rsidP="00F205B0">
      <w:pPr>
        <w:spacing w:after="0" w:line="240" w:lineRule="auto"/>
        <w:ind w:left="686" w:hanging="283"/>
        <w:contextualSpacing/>
        <w:jc w:val="both"/>
        <w:rPr>
          <w:rFonts w:ascii="Arial" w:eastAsia="Calibri" w:hAnsi="Arial" w:cs="Arial"/>
          <w:sz w:val="21"/>
          <w:szCs w:val="21"/>
        </w:rPr>
      </w:pPr>
      <w:r w:rsidRPr="00FD2950">
        <w:rPr>
          <w:rFonts w:ascii="Arial" w:eastAsia="Calibri" w:hAnsi="Arial" w:cs="Arial"/>
          <w:sz w:val="21"/>
          <w:szCs w:val="21"/>
        </w:rPr>
        <w:t>-</w:t>
      </w:r>
      <w:r w:rsidRPr="00FD2950">
        <w:rPr>
          <w:rFonts w:ascii="Arial" w:eastAsia="Calibri" w:hAnsi="Arial" w:cs="Arial"/>
          <w:sz w:val="21"/>
          <w:szCs w:val="21"/>
        </w:rPr>
        <w:tab/>
        <w:t>Ley N° 29618, Ley que establece la presunción de que el Estado es poseedor de los inmuebles de su propiedad y declara imprescriptibles los bienes inmuebles de dominio privado estatal.</w:t>
      </w:r>
    </w:p>
    <w:p w:rsidR="00F205B0" w:rsidRPr="00FD2950" w:rsidRDefault="00F205B0" w:rsidP="00F205B0">
      <w:pPr>
        <w:spacing w:after="0" w:line="240" w:lineRule="auto"/>
        <w:ind w:left="686" w:hanging="283"/>
        <w:contextualSpacing/>
        <w:jc w:val="both"/>
        <w:rPr>
          <w:rFonts w:ascii="Arial" w:eastAsia="Calibri" w:hAnsi="Arial" w:cs="Arial"/>
          <w:sz w:val="21"/>
          <w:szCs w:val="21"/>
        </w:rPr>
      </w:pPr>
      <w:r w:rsidRPr="00FD2950">
        <w:rPr>
          <w:rFonts w:ascii="Arial" w:eastAsia="Calibri" w:hAnsi="Arial" w:cs="Arial"/>
          <w:sz w:val="21"/>
          <w:szCs w:val="21"/>
        </w:rPr>
        <w:t>-</w:t>
      </w:r>
      <w:r w:rsidRPr="00FD2950">
        <w:rPr>
          <w:rFonts w:ascii="Arial" w:eastAsia="Calibri" w:hAnsi="Arial" w:cs="Arial"/>
          <w:sz w:val="21"/>
          <w:szCs w:val="21"/>
        </w:rPr>
        <w:tab/>
        <w:t>Reglamento de la Ley N° 29151, Ley General del Sistema Nacional de Bienes Estatales, aprobado con Decreto Supremo N° 007-2008-VIVIENDA, en adelante el Reglamento.</w:t>
      </w:r>
    </w:p>
    <w:p w:rsidR="00F205B0" w:rsidRPr="00FD2950" w:rsidRDefault="00F205B0" w:rsidP="00F205B0">
      <w:pPr>
        <w:spacing w:after="0" w:line="240" w:lineRule="auto"/>
        <w:ind w:left="686" w:hanging="284"/>
        <w:contextualSpacing/>
        <w:jc w:val="both"/>
        <w:rPr>
          <w:rFonts w:ascii="Arial" w:eastAsia="Calibri" w:hAnsi="Arial" w:cs="Arial"/>
          <w:sz w:val="21"/>
          <w:szCs w:val="21"/>
        </w:rPr>
      </w:pPr>
      <w:r w:rsidRPr="00FD2950">
        <w:rPr>
          <w:rFonts w:ascii="Arial" w:eastAsia="Calibri" w:hAnsi="Arial" w:cs="Arial"/>
          <w:sz w:val="21"/>
          <w:szCs w:val="21"/>
        </w:rPr>
        <w:t>-</w:t>
      </w:r>
      <w:r w:rsidRPr="00FD2950">
        <w:rPr>
          <w:rFonts w:ascii="Arial" w:eastAsia="Calibri" w:hAnsi="Arial" w:cs="Arial"/>
          <w:sz w:val="21"/>
          <w:szCs w:val="21"/>
        </w:rPr>
        <w:tab/>
        <w:t>Reglamento de Organización y Funciones de la Superintendencia Nacional de Bienes Estatales – SBN, aprobado con Decreto Supremo N° 016-2010-VIVIENDA.</w:t>
      </w:r>
    </w:p>
    <w:p w:rsidR="00F205B0" w:rsidRPr="00FD2950" w:rsidRDefault="00F205B0" w:rsidP="00F205B0">
      <w:pPr>
        <w:spacing w:after="0" w:line="240" w:lineRule="auto"/>
        <w:ind w:left="686" w:hanging="284"/>
        <w:contextualSpacing/>
        <w:jc w:val="both"/>
        <w:rPr>
          <w:rFonts w:ascii="Arial" w:eastAsia="Calibri" w:hAnsi="Arial" w:cs="Arial"/>
          <w:sz w:val="21"/>
          <w:szCs w:val="21"/>
        </w:rPr>
      </w:pPr>
      <w:r w:rsidRPr="00FD2950">
        <w:rPr>
          <w:rFonts w:ascii="Arial" w:eastAsia="Calibri" w:hAnsi="Arial" w:cs="Arial"/>
          <w:sz w:val="21"/>
          <w:szCs w:val="21"/>
        </w:rPr>
        <w:t>-</w:t>
      </w:r>
      <w:r w:rsidRPr="00FD2950">
        <w:rPr>
          <w:rFonts w:ascii="Arial" w:eastAsia="Calibri" w:hAnsi="Arial" w:cs="Arial"/>
          <w:sz w:val="21"/>
          <w:szCs w:val="21"/>
        </w:rPr>
        <w:tab/>
        <w:t>Resolución Ministerial N° 172-2016-VIVIENDA, que aprueba el Reglamento Nacional de Tasaciones.</w:t>
      </w:r>
    </w:p>
    <w:p w:rsidR="00F205B0" w:rsidRPr="00FD2950" w:rsidRDefault="00F205B0" w:rsidP="00F205B0">
      <w:pPr>
        <w:spacing w:after="0" w:line="240" w:lineRule="auto"/>
        <w:ind w:left="686" w:hanging="284"/>
        <w:contextualSpacing/>
        <w:jc w:val="both"/>
        <w:rPr>
          <w:rFonts w:ascii="Arial" w:eastAsia="Calibri" w:hAnsi="Arial" w:cs="Arial"/>
          <w:sz w:val="21"/>
          <w:szCs w:val="21"/>
        </w:rPr>
      </w:pPr>
      <w:r w:rsidRPr="00FD2950">
        <w:rPr>
          <w:rFonts w:ascii="Arial" w:eastAsia="Calibri" w:hAnsi="Arial" w:cs="Arial"/>
          <w:sz w:val="21"/>
          <w:szCs w:val="21"/>
        </w:rPr>
        <w:t>-</w:t>
      </w:r>
      <w:r w:rsidRPr="00FD2950">
        <w:rPr>
          <w:rFonts w:ascii="Arial" w:eastAsia="Calibri" w:hAnsi="Arial" w:cs="Arial"/>
          <w:sz w:val="21"/>
          <w:szCs w:val="21"/>
        </w:rPr>
        <w:tab/>
        <w:t>Resolución N° 017-2011-SBN, que aprueba la Directiva N° 002-2011-SBN que regula el “Registro de la Información de los Predios de Titularidad Estatal en el Sistema de Información Nacional de Bienes Estatales-SINABIP”.</w:t>
      </w:r>
    </w:p>
    <w:p w:rsidR="00F205B0" w:rsidRPr="00FD2950" w:rsidRDefault="00F205B0" w:rsidP="00F205B0">
      <w:pPr>
        <w:spacing w:after="0" w:line="240" w:lineRule="auto"/>
        <w:ind w:left="686" w:hanging="284"/>
        <w:contextualSpacing/>
        <w:jc w:val="both"/>
        <w:rPr>
          <w:rFonts w:ascii="Arial" w:eastAsia="Calibri" w:hAnsi="Arial" w:cs="Arial"/>
          <w:sz w:val="21"/>
          <w:szCs w:val="21"/>
        </w:rPr>
      </w:pPr>
      <w:r w:rsidRPr="00FD2950">
        <w:rPr>
          <w:rFonts w:ascii="Arial" w:eastAsia="Calibri" w:hAnsi="Arial" w:cs="Arial"/>
          <w:sz w:val="21"/>
          <w:szCs w:val="21"/>
        </w:rPr>
        <w:t>-</w:t>
      </w:r>
      <w:r w:rsidRPr="00FD2950">
        <w:rPr>
          <w:rFonts w:ascii="Arial" w:eastAsia="Calibri" w:hAnsi="Arial" w:cs="Arial"/>
          <w:sz w:val="21"/>
          <w:szCs w:val="21"/>
        </w:rPr>
        <w:tab/>
        <w:t>Resolución N° 040-2013-SBN, que aprueba el “Formato Único de Informe Técnico Legal” aplicable a los actos de gestión sobre bienes inmuebles de propiedad estatal.</w:t>
      </w:r>
    </w:p>
    <w:p w:rsidR="00F205B0" w:rsidRPr="00FD2950" w:rsidRDefault="00F205B0" w:rsidP="00F205B0">
      <w:pPr>
        <w:spacing w:after="0" w:line="240" w:lineRule="auto"/>
        <w:ind w:left="686" w:hanging="283"/>
        <w:contextualSpacing/>
        <w:jc w:val="both"/>
        <w:rPr>
          <w:rFonts w:ascii="Arial" w:eastAsia="Calibri" w:hAnsi="Arial" w:cs="Arial"/>
          <w:sz w:val="21"/>
          <w:szCs w:val="21"/>
        </w:rPr>
      </w:pPr>
      <w:r w:rsidRPr="00FD2950">
        <w:rPr>
          <w:rFonts w:ascii="Arial" w:eastAsia="Calibri" w:hAnsi="Arial" w:cs="Arial"/>
          <w:sz w:val="21"/>
          <w:szCs w:val="21"/>
        </w:rPr>
        <w:t>-</w:t>
      </w:r>
      <w:r w:rsidRPr="00FD2950">
        <w:rPr>
          <w:rFonts w:ascii="Arial" w:eastAsia="Calibri" w:hAnsi="Arial" w:cs="Arial"/>
          <w:sz w:val="21"/>
          <w:szCs w:val="21"/>
        </w:rPr>
        <w:tab/>
        <w:t xml:space="preserve">Resolución N° 069-2016/SBN, que aprueba la Directiva N° 006-2016/SBN que establece los “Lineamientos para el Levantamiento Catastral de Bienes Inmuebles Estatales”.  </w:t>
      </w:r>
    </w:p>
    <w:p w:rsidR="00F205B0" w:rsidRPr="00FD2950" w:rsidRDefault="00F205B0" w:rsidP="00F205B0">
      <w:pPr>
        <w:spacing w:after="0" w:line="240" w:lineRule="auto"/>
        <w:contextualSpacing/>
        <w:jc w:val="both"/>
        <w:rPr>
          <w:rFonts w:ascii="Arial" w:eastAsia="Calibri" w:hAnsi="Arial" w:cs="Arial"/>
          <w:sz w:val="21"/>
          <w:szCs w:val="21"/>
        </w:rPr>
      </w:pPr>
    </w:p>
    <w:p w:rsidR="00F205B0" w:rsidRPr="00FD2950" w:rsidRDefault="00F205B0" w:rsidP="00F205B0">
      <w:pPr>
        <w:spacing w:after="0" w:line="240" w:lineRule="auto"/>
        <w:ind w:left="402"/>
        <w:contextualSpacing/>
        <w:jc w:val="both"/>
        <w:rPr>
          <w:rFonts w:ascii="Arial" w:eastAsia="Calibri" w:hAnsi="Arial" w:cs="Arial"/>
          <w:sz w:val="21"/>
          <w:szCs w:val="21"/>
        </w:rPr>
      </w:pPr>
      <w:r w:rsidRPr="00FD2950">
        <w:rPr>
          <w:rFonts w:ascii="Arial" w:eastAsia="Calibri" w:hAnsi="Arial" w:cs="Arial"/>
          <w:sz w:val="21"/>
          <w:szCs w:val="21"/>
        </w:rPr>
        <w:t>Las referidas normas incluyen sus respetivas modificaciones, de ser el caso.</w:t>
      </w:r>
    </w:p>
    <w:p w:rsidR="00F205B0" w:rsidRPr="00FD2950" w:rsidRDefault="00F205B0" w:rsidP="00F205B0">
      <w:pPr>
        <w:spacing w:after="0" w:line="240" w:lineRule="auto"/>
        <w:contextualSpacing/>
        <w:jc w:val="both"/>
        <w:rPr>
          <w:rFonts w:ascii="Arial" w:eastAsia="Calibri" w:hAnsi="Arial" w:cs="Arial"/>
          <w:sz w:val="21"/>
          <w:szCs w:val="21"/>
        </w:rPr>
      </w:pPr>
    </w:p>
    <w:p w:rsidR="00F205B0" w:rsidRPr="00FD2950" w:rsidRDefault="00F205B0" w:rsidP="0092471C">
      <w:pPr>
        <w:pStyle w:val="Prrafodelista"/>
        <w:widowControl w:val="0"/>
        <w:numPr>
          <w:ilvl w:val="0"/>
          <w:numId w:val="337"/>
        </w:numPr>
        <w:suppressAutoHyphens/>
        <w:spacing w:after="0" w:line="240" w:lineRule="auto"/>
        <w:ind w:left="402" w:hanging="402"/>
        <w:contextualSpacing w:val="0"/>
        <w:jc w:val="both"/>
        <w:rPr>
          <w:rFonts w:ascii="Arial" w:hAnsi="Arial" w:cs="Arial"/>
          <w:b/>
          <w:sz w:val="21"/>
          <w:szCs w:val="21"/>
        </w:rPr>
      </w:pPr>
      <w:r w:rsidRPr="00FD2950">
        <w:rPr>
          <w:rFonts w:ascii="Arial" w:hAnsi="Arial" w:cs="Arial"/>
          <w:b/>
          <w:sz w:val="21"/>
          <w:szCs w:val="21"/>
        </w:rPr>
        <w:t>DISPOSICIONES GENERALES</w:t>
      </w:r>
    </w:p>
    <w:p w:rsidR="00F205B0" w:rsidRPr="00FD2950" w:rsidRDefault="00F205B0" w:rsidP="00F205B0">
      <w:pPr>
        <w:spacing w:after="0" w:line="240" w:lineRule="auto"/>
        <w:jc w:val="both"/>
        <w:rPr>
          <w:rFonts w:ascii="Arial" w:hAnsi="Arial" w:cs="Arial"/>
          <w:sz w:val="21"/>
          <w:szCs w:val="21"/>
        </w:rPr>
      </w:pPr>
    </w:p>
    <w:p w:rsidR="00F205B0" w:rsidRPr="00FD2950" w:rsidRDefault="00F205B0" w:rsidP="00F205B0">
      <w:pPr>
        <w:spacing w:after="0" w:line="240" w:lineRule="auto"/>
        <w:ind w:left="969" w:hanging="567"/>
        <w:jc w:val="both"/>
        <w:rPr>
          <w:rFonts w:ascii="Arial" w:hAnsi="Arial" w:cs="Arial"/>
          <w:b/>
          <w:strike/>
          <w:sz w:val="21"/>
          <w:szCs w:val="21"/>
        </w:rPr>
      </w:pPr>
      <w:r w:rsidRPr="00FD2950">
        <w:rPr>
          <w:rFonts w:ascii="Arial" w:hAnsi="Arial" w:cs="Arial"/>
          <w:b/>
          <w:sz w:val="21"/>
          <w:szCs w:val="21"/>
        </w:rPr>
        <w:t>5.1.</w:t>
      </w:r>
      <w:r w:rsidRPr="00FD2950">
        <w:rPr>
          <w:rFonts w:ascii="Arial" w:hAnsi="Arial" w:cs="Arial"/>
          <w:b/>
          <w:sz w:val="21"/>
          <w:szCs w:val="21"/>
        </w:rPr>
        <w:tab/>
        <w:t>De la inscripción registral previa del predio de propiedad privada ofrecido en permuta</w:t>
      </w:r>
    </w:p>
    <w:p w:rsidR="00F205B0" w:rsidRPr="00FD2950" w:rsidRDefault="00F205B0" w:rsidP="00F205B0">
      <w:pPr>
        <w:spacing w:after="0" w:line="240" w:lineRule="auto"/>
        <w:ind w:left="969"/>
        <w:jc w:val="both"/>
        <w:rPr>
          <w:rFonts w:ascii="Arial" w:hAnsi="Arial" w:cs="Arial"/>
          <w:sz w:val="21"/>
          <w:szCs w:val="21"/>
        </w:rPr>
      </w:pPr>
      <w:r w:rsidRPr="00FD2950">
        <w:rPr>
          <w:rFonts w:ascii="Arial" w:hAnsi="Arial" w:cs="Arial"/>
          <w:sz w:val="21"/>
          <w:szCs w:val="21"/>
        </w:rPr>
        <w:t>La admisión a trámite del procedimiento de permuta predial opera siempre que el predio de propiedad de las personas naturales o jurídicas de derecho privado</w:t>
      </w:r>
      <w:r w:rsidRPr="00FD2950">
        <w:rPr>
          <w:rFonts w:ascii="Arial" w:hAnsi="Arial" w:cs="Arial"/>
          <w:color w:val="FF0000"/>
          <w:sz w:val="21"/>
          <w:szCs w:val="21"/>
        </w:rPr>
        <w:t xml:space="preserve"> </w:t>
      </w:r>
      <w:r w:rsidRPr="00FD2950">
        <w:rPr>
          <w:rFonts w:ascii="Arial" w:hAnsi="Arial" w:cs="Arial"/>
          <w:sz w:val="21"/>
          <w:szCs w:val="21"/>
        </w:rPr>
        <w:t>se encuentre inscrito en el Registro de Predios de la Oficina Registral competente.</w:t>
      </w:r>
    </w:p>
    <w:p w:rsidR="00F205B0" w:rsidRPr="00FD2950" w:rsidRDefault="00F205B0" w:rsidP="00F205B0">
      <w:pPr>
        <w:spacing w:after="0" w:line="240" w:lineRule="auto"/>
        <w:ind w:left="686" w:hanging="426"/>
        <w:jc w:val="both"/>
        <w:rPr>
          <w:rFonts w:ascii="Arial" w:hAnsi="Arial" w:cs="Arial"/>
          <w:sz w:val="21"/>
          <w:szCs w:val="21"/>
        </w:rPr>
      </w:pPr>
    </w:p>
    <w:p w:rsidR="00F205B0" w:rsidRPr="00FD2950" w:rsidRDefault="00F205B0" w:rsidP="00F205B0">
      <w:pPr>
        <w:spacing w:after="0" w:line="240" w:lineRule="auto"/>
        <w:ind w:left="969" w:hanging="567"/>
        <w:jc w:val="both"/>
        <w:rPr>
          <w:rFonts w:ascii="Arial" w:hAnsi="Arial" w:cs="Arial"/>
          <w:b/>
          <w:sz w:val="21"/>
          <w:szCs w:val="21"/>
        </w:rPr>
      </w:pPr>
      <w:r w:rsidRPr="00FD2950">
        <w:rPr>
          <w:rFonts w:ascii="Arial" w:hAnsi="Arial" w:cs="Arial"/>
          <w:b/>
          <w:sz w:val="21"/>
          <w:szCs w:val="21"/>
        </w:rPr>
        <w:t>5.2.</w:t>
      </w:r>
      <w:r w:rsidRPr="00FD2950">
        <w:rPr>
          <w:rFonts w:ascii="Arial" w:hAnsi="Arial" w:cs="Arial"/>
          <w:b/>
          <w:sz w:val="21"/>
          <w:szCs w:val="21"/>
        </w:rPr>
        <w:tab/>
        <w:t>Del predio de dominio privado estatal materia de permuta</w:t>
      </w:r>
    </w:p>
    <w:p w:rsidR="00F205B0" w:rsidRPr="00FD2950" w:rsidRDefault="00F205B0" w:rsidP="00F205B0">
      <w:pPr>
        <w:spacing w:after="0" w:line="240" w:lineRule="auto"/>
        <w:ind w:left="969"/>
        <w:jc w:val="both"/>
        <w:rPr>
          <w:rFonts w:ascii="Arial" w:hAnsi="Arial" w:cs="Arial"/>
          <w:sz w:val="21"/>
          <w:szCs w:val="21"/>
        </w:rPr>
      </w:pPr>
      <w:r w:rsidRPr="00FD2950">
        <w:rPr>
          <w:rFonts w:ascii="Arial" w:hAnsi="Arial" w:cs="Arial"/>
          <w:sz w:val="21"/>
          <w:szCs w:val="21"/>
        </w:rPr>
        <w:t xml:space="preserve">La permuta </w:t>
      </w:r>
      <w:r w:rsidRPr="00FD2950">
        <w:rPr>
          <w:rFonts w:ascii="Arial" w:hAnsi="Arial" w:cs="Arial"/>
          <w:color w:val="000000" w:themeColor="text1"/>
          <w:sz w:val="21"/>
          <w:szCs w:val="21"/>
        </w:rPr>
        <w:t xml:space="preserve">se efectúa sobre predios de dominio privado estatal, de libre </w:t>
      </w:r>
      <w:r w:rsidRPr="00FD2950">
        <w:rPr>
          <w:rFonts w:ascii="Arial" w:hAnsi="Arial" w:cs="Arial"/>
          <w:sz w:val="21"/>
          <w:szCs w:val="21"/>
        </w:rPr>
        <w:t xml:space="preserve">disponibilidad, inscritos a favor del Estado o de la respectiva entidad pública, salvo que la entidad pública que permuta acredite el derecho de propiedad que le asiste, </w:t>
      </w:r>
      <w:r w:rsidRPr="00FD2950">
        <w:rPr>
          <w:rFonts w:ascii="Arial" w:hAnsi="Arial" w:cs="Arial"/>
          <w:color w:val="000000" w:themeColor="text1"/>
          <w:sz w:val="21"/>
          <w:szCs w:val="21"/>
        </w:rPr>
        <w:t xml:space="preserve">y el adquiriente asuma la obligación de efectuar el </w:t>
      </w:r>
      <w:r w:rsidRPr="00FD2950">
        <w:rPr>
          <w:rFonts w:ascii="Arial" w:hAnsi="Arial" w:cs="Arial"/>
          <w:sz w:val="21"/>
          <w:szCs w:val="21"/>
        </w:rPr>
        <w:t xml:space="preserve">saneamiento técnico legal. En ambos casos, el predio debe estar registrado en el SINABIP.  </w:t>
      </w:r>
    </w:p>
    <w:p w:rsidR="00F205B0" w:rsidRPr="00FD2950" w:rsidRDefault="00F205B0" w:rsidP="00F205B0">
      <w:pPr>
        <w:spacing w:after="0" w:line="240" w:lineRule="auto"/>
        <w:ind w:left="686" w:hanging="426"/>
        <w:jc w:val="both"/>
        <w:rPr>
          <w:rFonts w:ascii="Arial" w:hAnsi="Arial" w:cs="Arial"/>
          <w:sz w:val="21"/>
          <w:szCs w:val="21"/>
        </w:rPr>
      </w:pPr>
    </w:p>
    <w:p w:rsidR="00F205B0" w:rsidRPr="00FD2950" w:rsidRDefault="00F205B0" w:rsidP="00F205B0">
      <w:pPr>
        <w:spacing w:after="0" w:line="240" w:lineRule="auto"/>
        <w:ind w:left="969" w:hanging="567"/>
        <w:jc w:val="both"/>
        <w:rPr>
          <w:rFonts w:ascii="Arial" w:hAnsi="Arial" w:cs="Arial"/>
          <w:b/>
          <w:sz w:val="21"/>
          <w:szCs w:val="21"/>
        </w:rPr>
      </w:pPr>
      <w:r w:rsidRPr="00FD2950">
        <w:rPr>
          <w:rFonts w:ascii="Arial" w:hAnsi="Arial" w:cs="Arial"/>
          <w:b/>
          <w:sz w:val="21"/>
          <w:szCs w:val="21"/>
        </w:rPr>
        <w:t>5.3.</w:t>
      </w:r>
      <w:r w:rsidRPr="00FD2950">
        <w:rPr>
          <w:rFonts w:ascii="Arial" w:hAnsi="Arial" w:cs="Arial"/>
          <w:b/>
          <w:sz w:val="21"/>
          <w:szCs w:val="21"/>
        </w:rPr>
        <w:tab/>
        <w:t>De la libre disponibilidad de un predio estatal para la permuta</w:t>
      </w:r>
    </w:p>
    <w:p w:rsidR="00F205B0" w:rsidRPr="00FD2950" w:rsidRDefault="00F205B0" w:rsidP="00F205B0">
      <w:pPr>
        <w:spacing w:after="0" w:line="240" w:lineRule="auto"/>
        <w:ind w:left="969"/>
        <w:jc w:val="both"/>
        <w:rPr>
          <w:rFonts w:ascii="Arial" w:hAnsi="Arial" w:cs="Arial"/>
          <w:sz w:val="21"/>
          <w:szCs w:val="21"/>
        </w:rPr>
      </w:pPr>
      <w:r w:rsidRPr="00FD2950">
        <w:rPr>
          <w:rFonts w:ascii="Arial" w:hAnsi="Arial" w:cs="Arial"/>
          <w:sz w:val="21"/>
          <w:szCs w:val="21"/>
        </w:rPr>
        <w:t>Se consideran predios de dominio privado estatal de libre disponibilidad a los que no tienen impedimento legal o judicial para la transferencia de dominio.</w:t>
      </w:r>
    </w:p>
    <w:p w:rsidR="00F205B0" w:rsidRPr="00FD2950" w:rsidRDefault="00F205B0" w:rsidP="00F205B0">
      <w:pPr>
        <w:spacing w:after="0" w:line="240" w:lineRule="auto"/>
        <w:ind w:left="969"/>
        <w:jc w:val="both"/>
        <w:rPr>
          <w:rFonts w:ascii="Arial" w:hAnsi="Arial" w:cs="Arial"/>
          <w:sz w:val="21"/>
          <w:szCs w:val="21"/>
        </w:rPr>
      </w:pPr>
    </w:p>
    <w:p w:rsidR="00F205B0" w:rsidRPr="00FD2950" w:rsidRDefault="00F205B0" w:rsidP="00F205B0">
      <w:pPr>
        <w:spacing w:after="0" w:line="240" w:lineRule="auto"/>
        <w:ind w:left="969"/>
        <w:jc w:val="both"/>
        <w:rPr>
          <w:rFonts w:ascii="Arial" w:hAnsi="Arial" w:cs="Arial"/>
          <w:sz w:val="21"/>
          <w:szCs w:val="21"/>
        </w:rPr>
      </w:pPr>
      <w:r w:rsidRPr="00FD2950">
        <w:rPr>
          <w:rFonts w:ascii="Arial" w:hAnsi="Arial" w:cs="Arial"/>
          <w:sz w:val="21"/>
          <w:szCs w:val="21"/>
        </w:rPr>
        <w:t>Salvo que exista mandato judicial expreso que suspenda o prohíba la permuta predial, la existencia de cargas, gravámenes y procesos judiciales, administrativos o registrales, que afecten a predios estatales, no limitan su libre disposición. En este caso, tales circunstancias deben ser puestas en conocimiento del eventual adquiriente del bien o derecho, al momento de aprobarse la permuta predial, lo cual constará en la resolución que aprueba dicho acto, así como en la minuta respectiva, bajo sanción de nulidad.</w:t>
      </w:r>
    </w:p>
    <w:p w:rsidR="00F205B0" w:rsidRPr="00FD2950" w:rsidRDefault="00F205B0" w:rsidP="00F205B0">
      <w:pPr>
        <w:spacing w:after="0" w:line="240" w:lineRule="auto"/>
        <w:ind w:left="969"/>
        <w:jc w:val="both"/>
        <w:rPr>
          <w:rFonts w:ascii="Arial" w:hAnsi="Arial" w:cs="Arial"/>
          <w:sz w:val="21"/>
          <w:szCs w:val="21"/>
        </w:rPr>
      </w:pPr>
    </w:p>
    <w:p w:rsidR="00F205B0" w:rsidRPr="00FD2950" w:rsidRDefault="00F205B0" w:rsidP="00F205B0">
      <w:pPr>
        <w:spacing w:after="0" w:line="240" w:lineRule="auto"/>
        <w:ind w:left="969"/>
        <w:jc w:val="both"/>
        <w:rPr>
          <w:rFonts w:ascii="Arial" w:hAnsi="Arial" w:cs="Arial"/>
          <w:sz w:val="21"/>
          <w:szCs w:val="21"/>
        </w:rPr>
      </w:pPr>
      <w:r w:rsidRPr="00FD2950">
        <w:rPr>
          <w:rFonts w:ascii="Arial" w:hAnsi="Arial" w:cs="Arial"/>
          <w:sz w:val="21"/>
          <w:szCs w:val="21"/>
        </w:rPr>
        <w:t>En caso se acredite la concurrencia de los supuestos para la inhibición por conflicto con la función jurisdiccional, debe procederse conforme al artículo 64° de la Ley N° 27444, Ley del Procedimiento Administrativo General.</w:t>
      </w:r>
    </w:p>
    <w:p w:rsidR="00F205B0" w:rsidRDefault="00F205B0" w:rsidP="00F205B0">
      <w:pPr>
        <w:spacing w:after="0" w:line="240" w:lineRule="auto"/>
        <w:ind w:left="1134"/>
        <w:jc w:val="both"/>
        <w:rPr>
          <w:rFonts w:ascii="Arial" w:hAnsi="Arial" w:cs="Arial"/>
          <w:color w:val="000000" w:themeColor="text1"/>
          <w:sz w:val="21"/>
          <w:szCs w:val="21"/>
        </w:rPr>
      </w:pPr>
    </w:p>
    <w:p w:rsidR="00F205B0" w:rsidRPr="00FD2950" w:rsidRDefault="00F205B0" w:rsidP="0092471C">
      <w:pPr>
        <w:pStyle w:val="Prrafodelista"/>
        <w:numPr>
          <w:ilvl w:val="1"/>
          <w:numId w:val="334"/>
        </w:numPr>
        <w:spacing w:after="0" w:line="240" w:lineRule="auto"/>
        <w:ind w:left="969" w:hanging="567"/>
        <w:jc w:val="both"/>
        <w:rPr>
          <w:rFonts w:ascii="Arial" w:hAnsi="Arial" w:cs="Arial"/>
          <w:b/>
          <w:color w:val="000000" w:themeColor="text1"/>
          <w:sz w:val="21"/>
          <w:szCs w:val="21"/>
        </w:rPr>
      </w:pPr>
      <w:r w:rsidRPr="00FD2950">
        <w:rPr>
          <w:rFonts w:ascii="Arial" w:hAnsi="Arial" w:cs="Arial"/>
          <w:b/>
          <w:color w:val="000000" w:themeColor="text1"/>
          <w:sz w:val="21"/>
          <w:szCs w:val="21"/>
        </w:rPr>
        <w:t>De la responsabilidad del adquiriente del predio recibido en permuta</w:t>
      </w:r>
    </w:p>
    <w:p w:rsidR="00F205B0" w:rsidRPr="00FD2950" w:rsidRDefault="00F205B0" w:rsidP="00F205B0">
      <w:pPr>
        <w:spacing w:after="0" w:line="240" w:lineRule="auto"/>
        <w:ind w:left="969"/>
        <w:jc w:val="both"/>
        <w:rPr>
          <w:rFonts w:ascii="Arial" w:hAnsi="Arial" w:cs="Arial"/>
          <w:sz w:val="21"/>
          <w:szCs w:val="21"/>
        </w:rPr>
      </w:pPr>
      <w:r w:rsidRPr="00FD2950">
        <w:rPr>
          <w:rFonts w:ascii="Arial" w:hAnsi="Arial" w:cs="Arial"/>
          <w:color w:val="000000" w:themeColor="text1"/>
          <w:sz w:val="21"/>
          <w:szCs w:val="21"/>
        </w:rPr>
        <w:t xml:space="preserve">En el caso del procedimiento de permuta predial instruido por una entidad pública con una persona natural o jurídica de derecho privado, esta última asume el riesgo por la pérdida o deterioro de este, así como de sus frutos o </w:t>
      </w:r>
      <w:r w:rsidRPr="00FD2950">
        <w:rPr>
          <w:rFonts w:ascii="Arial" w:hAnsi="Arial" w:cs="Arial"/>
          <w:sz w:val="21"/>
          <w:szCs w:val="21"/>
        </w:rPr>
        <w:t>productos, no pudiendo bajo ninguna circunstancia exigir a la entidad permutante la devolución del predio permutado, indemnización o compensación alguna.</w:t>
      </w:r>
    </w:p>
    <w:p w:rsidR="00F205B0" w:rsidRPr="00FD2950" w:rsidRDefault="00F205B0" w:rsidP="00F205B0">
      <w:pPr>
        <w:spacing w:after="0" w:line="240" w:lineRule="auto"/>
        <w:jc w:val="both"/>
        <w:rPr>
          <w:rFonts w:ascii="Arial" w:hAnsi="Arial" w:cs="Arial"/>
          <w:strike/>
          <w:sz w:val="21"/>
          <w:szCs w:val="21"/>
        </w:rPr>
      </w:pPr>
    </w:p>
    <w:p w:rsidR="00F205B0" w:rsidRPr="00FD2950" w:rsidRDefault="00F205B0" w:rsidP="0092471C">
      <w:pPr>
        <w:pStyle w:val="Prrafodelista"/>
        <w:numPr>
          <w:ilvl w:val="1"/>
          <w:numId w:val="334"/>
        </w:numPr>
        <w:spacing w:after="0" w:line="240" w:lineRule="auto"/>
        <w:ind w:left="969" w:hanging="567"/>
        <w:jc w:val="both"/>
        <w:rPr>
          <w:rFonts w:ascii="Arial" w:hAnsi="Arial" w:cs="Arial"/>
          <w:b/>
          <w:sz w:val="21"/>
          <w:szCs w:val="21"/>
        </w:rPr>
      </w:pPr>
      <w:r w:rsidRPr="00FD2950">
        <w:rPr>
          <w:rFonts w:ascii="Arial" w:hAnsi="Arial" w:cs="Arial"/>
          <w:b/>
          <w:sz w:val="21"/>
          <w:szCs w:val="21"/>
        </w:rPr>
        <w:t>De la valorización comercial de los predios materia de permuta</w:t>
      </w:r>
    </w:p>
    <w:p w:rsidR="00F205B0" w:rsidRPr="00FD2950" w:rsidRDefault="00F205B0" w:rsidP="00F205B0">
      <w:pPr>
        <w:spacing w:after="0" w:line="240" w:lineRule="auto"/>
        <w:ind w:left="969"/>
        <w:jc w:val="both"/>
        <w:rPr>
          <w:rFonts w:ascii="Arial" w:hAnsi="Arial" w:cs="Arial"/>
          <w:sz w:val="21"/>
          <w:szCs w:val="21"/>
        </w:rPr>
      </w:pPr>
      <w:r w:rsidRPr="00FD2950">
        <w:rPr>
          <w:rFonts w:ascii="Arial" w:hAnsi="Arial" w:cs="Arial"/>
          <w:sz w:val="21"/>
          <w:szCs w:val="21"/>
        </w:rPr>
        <w:t>La valorización de los predios debe efectuarse tanto del terreno c</w:t>
      </w:r>
      <w:r>
        <w:rPr>
          <w:rFonts w:ascii="Arial" w:hAnsi="Arial" w:cs="Arial"/>
          <w:sz w:val="21"/>
          <w:szCs w:val="21"/>
        </w:rPr>
        <w:t xml:space="preserve">omo de la edificación existente, </w:t>
      </w:r>
      <w:r w:rsidRPr="0095624D">
        <w:rPr>
          <w:rFonts w:ascii="Arial" w:hAnsi="Arial" w:cs="Arial"/>
          <w:sz w:val="21"/>
          <w:szCs w:val="21"/>
        </w:rPr>
        <w:t>salvo que la entidad pública competente que se encuentra ocupando el predio ofrecido en permuta por el administrado (persona natural o jurídica de derecho privado) hubiera efectuado las edificaciones sobre dicho predio.</w:t>
      </w:r>
    </w:p>
    <w:p w:rsidR="00F205B0" w:rsidRPr="00FD2950" w:rsidRDefault="00F205B0" w:rsidP="00F205B0">
      <w:pPr>
        <w:spacing w:after="0" w:line="240" w:lineRule="auto"/>
        <w:ind w:left="969"/>
        <w:jc w:val="both"/>
        <w:rPr>
          <w:rFonts w:ascii="Arial" w:hAnsi="Arial" w:cs="Arial"/>
          <w:sz w:val="21"/>
          <w:szCs w:val="21"/>
        </w:rPr>
      </w:pPr>
    </w:p>
    <w:p w:rsidR="00F205B0" w:rsidRPr="00FD2950" w:rsidRDefault="00F205B0" w:rsidP="00F205B0">
      <w:pPr>
        <w:spacing w:after="0" w:line="240" w:lineRule="auto"/>
        <w:ind w:left="969"/>
        <w:contextualSpacing/>
        <w:jc w:val="both"/>
        <w:rPr>
          <w:rFonts w:ascii="Arial" w:eastAsia="Calibri" w:hAnsi="Arial" w:cs="Arial"/>
          <w:color w:val="000000" w:themeColor="text1"/>
          <w:sz w:val="21"/>
          <w:szCs w:val="21"/>
        </w:rPr>
      </w:pPr>
      <w:r w:rsidRPr="00FD2950">
        <w:rPr>
          <w:rFonts w:ascii="Arial" w:eastAsia="Calibri" w:hAnsi="Arial" w:cs="Arial"/>
          <w:color w:val="000000" w:themeColor="text1"/>
          <w:sz w:val="21"/>
          <w:szCs w:val="21"/>
        </w:rPr>
        <w:t xml:space="preserve">El organismo encargado de efectuar la tasación a valor comercial de la propiedad estatal a que se refiere el artículo 36 del Reglamento, es la persona jurídica, de derecho público o privado, con acreditada experiencia en el rubro de valorizaciones comerciales mayor a dos (2) años y que cuenta además con profesionales especializados. </w:t>
      </w:r>
    </w:p>
    <w:p w:rsidR="00F205B0" w:rsidRPr="00FD2950" w:rsidRDefault="00F205B0" w:rsidP="00F205B0">
      <w:pPr>
        <w:spacing w:after="0" w:line="240" w:lineRule="auto"/>
        <w:ind w:left="969"/>
        <w:contextualSpacing/>
        <w:jc w:val="both"/>
        <w:rPr>
          <w:rFonts w:ascii="Arial" w:eastAsia="Calibri" w:hAnsi="Arial" w:cs="Arial"/>
          <w:color w:val="FF0000"/>
          <w:sz w:val="21"/>
          <w:szCs w:val="21"/>
        </w:rPr>
      </w:pPr>
    </w:p>
    <w:p w:rsidR="00F205B0" w:rsidRPr="00FD2950" w:rsidRDefault="00F205B0" w:rsidP="00F205B0">
      <w:pPr>
        <w:spacing w:after="0" w:line="240" w:lineRule="auto"/>
        <w:ind w:left="969"/>
        <w:contextualSpacing/>
        <w:jc w:val="both"/>
        <w:rPr>
          <w:rFonts w:ascii="Arial" w:eastAsia="Calibri" w:hAnsi="Arial" w:cs="Arial"/>
          <w:color w:val="000000" w:themeColor="text1"/>
          <w:sz w:val="21"/>
          <w:szCs w:val="21"/>
        </w:rPr>
      </w:pPr>
      <w:r w:rsidRPr="00FD2950">
        <w:rPr>
          <w:rFonts w:ascii="Arial" w:eastAsia="Calibri" w:hAnsi="Arial" w:cs="Arial"/>
          <w:color w:val="000000" w:themeColor="text1"/>
          <w:sz w:val="21"/>
          <w:szCs w:val="21"/>
        </w:rPr>
        <w:t xml:space="preserve">El “perito tasador acreditado” a que se refiere el artículo 36 del Reglamento, es aquel profesional habilitado por su colegio profesional, con registro de perito vigente ante alguna entidad o cuerpo especializado en valuaciones con antigüedad mayor a dos (2) años. Dicho profesional interviene excepcionalmente, en caso que no exista un organismo especializado en la Región donde se ubica el predio. </w:t>
      </w:r>
    </w:p>
    <w:p w:rsidR="00F205B0" w:rsidRPr="00FD2950" w:rsidRDefault="00F205B0" w:rsidP="00F205B0">
      <w:pPr>
        <w:spacing w:after="0" w:line="240" w:lineRule="auto"/>
        <w:ind w:left="686"/>
        <w:jc w:val="both"/>
        <w:rPr>
          <w:rFonts w:ascii="Arial" w:hAnsi="Arial" w:cs="Arial"/>
          <w:sz w:val="21"/>
          <w:szCs w:val="21"/>
        </w:rPr>
      </w:pPr>
    </w:p>
    <w:p w:rsidR="00F205B0" w:rsidRPr="00FD2950" w:rsidRDefault="00F205B0" w:rsidP="00F205B0">
      <w:pPr>
        <w:spacing w:after="0" w:line="240" w:lineRule="auto"/>
        <w:ind w:left="969"/>
        <w:jc w:val="both"/>
        <w:rPr>
          <w:rFonts w:ascii="Arial" w:hAnsi="Arial" w:cs="Arial"/>
          <w:sz w:val="21"/>
          <w:szCs w:val="21"/>
        </w:rPr>
      </w:pPr>
      <w:r w:rsidRPr="00FD2950">
        <w:rPr>
          <w:rFonts w:ascii="Arial" w:hAnsi="Arial" w:cs="Arial"/>
          <w:sz w:val="21"/>
          <w:szCs w:val="21"/>
        </w:rPr>
        <w:t xml:space="preserve">En el caso del procedimiento de permuta predial iniciado por una persona natural o jurídica de derecho privado, esta asume los gastos que se devengan de la valorización del predio de su propiedad como el de la entidad pública competente. Mientras que, en el caso del procedimiento de permuta predial entre entidades públicas, cada una asume los gastos que se devenguen de la valorización de los predios materia de permuta. </w:t>
      </w:r>
    </w:p>
    <w:p w:rsidR="00F205B0" w:rsidRPr="00FD2950" w:rsidRDefault="00F205B0" w:rsidP="00F205B0">
      <w:pPr>
        <w:spacing w:after="0" w:line="240" w:lineRule="auto"/>
        <w:ind w:left="969"/>
        <w:jc w:val="both"/>
        <w:rPr>
          <w:rFonts w:ascii="Arial" w:hAnsi="Arial" w:cs="Arial"/>
          <w:sz w:val="21"/>
          <w:szCs w:val="21"/>
        </w:rPr>
      </w:pPr>
    </w:p>
    <w:p w:rsidR="00F205B0" w:rsidRPr="00FD2950" w:rsidRDefault="00F205B0" w:rsidP="00F205B0">
      <w:pPr>
        <w:spacing w:after="0" w:line="240" w:lineRule="auto"/>
        <w:ind w:left="969"/>
        <w:jc w:val="both"/>
        <w:rPr>
          <w:rFonts w:ascii="Arial" w:hAnsi="Arial" w:cs="Arial"/>
          <w:color w:val="000000" w:themeColor="text1"/>
          <w:sz w:val="21"/>
          <w:szCs w:val="21"/>
        </w:rPr>
      </w:pPr>
      <w:r w:rsidRPr="00FD2950">
        <w:rPr>
          <w:rFonts w:ascii="Arial" w:hAnsi="Arial" w:cs="Arial"/>
          <w:color w:val="000000" w:themeColor="text1"/>
          <w:sz w:val="21"/>
          <w:szCs w:val="21"/>
        </w:rPr>
        <w:t>La contratación de los servicios de tasación comercial se efectúa conforme a las directivas o lineamientos internos con que cuenta cada entidad, respetando los principios básicos de las contrataciones del Estado.</w:t>
      </w:r>
    </w:p>
    <w:p w:rsidR="00F205B0" w:rsidRPr="00FD2950" w:rsidRDefault="00F205B0" w:rsidP="00F205B0">
      <w:pPr>
        <w:spacing w:after="0" w:line="240" w:lineRule="auto"/>
        <w:jc w:val="both"/>
        <w:rPr>
          <w:rFonts w:ascii="Arial" w:hAnsi="Arial" w:cs="Arial"/>
          <w:sz w:val="21"/>
          <w:szCs w:val="21"/>
        </w:rPr>
      </w:pPr>
    </w:p>
    <w:p w:rsidR="00F205B0" w:rsidRPr="00FD2950" w:rsidRDefault="00F205B0" w:rsidP="0092471C">
      <w:pPr>
        <w:pStyle w:val="Prrafodelista"/>
        <w:numPr>
          <w:ilvl w:val="1"/>
          <w:numId w:val="334"/>
        </w:numPr>
        <w:spacing w:after="0" w:line="240" w:lineRule="auto"/>
        <w:ind w:left="969" w:hanging="567"/>
        <w:jc w:val="both"/>
        <w:rPr>
          <w:rFonts w:ascii="Arial" w:hAnsi="Arial" w:cs="Arial"/>
          <w:b/>
          <w:sz w:val="21"/>
          <w:szCs w:val="21"/>
        </w:rPr>
      </w:pPr>
      <w:r w:rsidRPr="00FD2950">
        <w:rPr>
          <w:rFonts w:ascii="Arial" w:hAnsi="Arial" w:cs="Arial"/>
          <w:b/>
          <w:sz w:val="21"/>
          <w:szCs w:val="21"/>
        </w:rPr>
        <w:t>Vigencia de la valorización y su actualización</w:t>
      </w:r>
    </w:p>
    <w:p w:rsidR="00F205B0" w:rsidRPr="00FD2950" w:rsidRDefault="00F205B0" w:rsidP="00F205B0">
      <w:pPr>
        <w:spacing w:after="0" w:line="240" w:lineRule="auto"/>
        <w:ind w:left="969"/>
        <w:jc w:val="both"/>
        <w:rPr>
          <w:rFonts w:ascii="Arial" w:hAnsi="Arial" w:cs="Arial"/>
          <w:sz w:val="21"/>
          <w:szCs w:val="21"/>
        </w:rPr>
      </w:pPr>
      <w:r w:rsidRPr="00FD2950">
        <w:rPr>
          <w:rFonts w:ascii="Arial" w:hAnsi="Arial" w:cs="Arial"/>
          <w:sz w:val="21"/>
          <w:szCs w:val="21"/>
        </w:rPr>
        <w:t>La vigencia de la valorización de los predios materia de permuta es de ocho (08) meses a partir de la emisión del documento que la contiene.</w:t>
      </w:r>
    </w:p>
    <w:p w:rsidR="00F205B0" w:rsidRPr="00FD2950" w:rsidRDefault="00F205B0" w:rsidP="00F205B0">
      <w:pPr>
        <w:spacing w:after="0" w:line="240" w:lineRule="auto"/>
        <w:ind w:left="969"/>
        <w:jc w:val="both"/>
        <w:rPr>
          <w:rFonts w:ascii="Arial" w:hAnsi="Arial" w:cs="Arial"/>
          <w:sz w:val="21"/>
          <w:szCs w:val="21"/>
        </w:rPr>
      </w:pPr>
    </w:p>
    <w:p w:rsidR="00F205B0" w:rsidRPr="00FD2950" w:rsidRDefault="00F205B0" w:rsidP="00F205B0">
      <w:pPr>
        <w:spacing w:after="0" w:line="240" w:lineRule="auto"/>
        <w:ind w:left="969"/>
        <w:jc w:val="both"/>
        <w:rPr>
          <w:rFonts w:ascii="Arial" w:hAnsi="Arial" w:cs="Arial"/>
          <w:color w:val="000000" w:themeColor="text1"/>
          <w:sz w:val="21"/>
          <w:szCs w:val="21"/>
        </w:rPr>
      </w:pPr>
      <w:r w:rsidRPr="00FD2950">
        <w:rPr>
          <w:rFonts w:ascii="Arial" w:hAnsi="Arial" w:cs="Arial"/>
          <w:color w:val="000000" w:themeColor="text1"/>
          <w:sz w:val="21"/>
          <w:szCs w:val="21"/>
        </w:rPr>
        <w:t xml:space="preserve">Transcurrido el plazo máximo de ocho (8) meses de vigencia de la valorización antes de la emisión de la resolución de aprobación de la permuta predial, corresponderá su actualización por el mismo plazo de vigencia. </w:t>
      </w:r>
    </w:p>
    <w:p w:rsidR="00F205B0" w:rsidRPr="00FD2950" w:rsidRDefault="00F205B0" w:rsidP="00F205B0">
      <w:pPr>
        <w:spacing w:after="0" w:line="240" w:lineRule="auto"/>
        <w:ind w:left="969"/>
        <w:jc w:val="both"/>
        <w:rPr>
          <w:rFonts w:ascii="Arial" w:hAnsi="Arial" w:cs="Arial"/>
          <w:sz w:val="21"/>
          <w:szCs w:val="21"/>
        </w:rPr>
      </w:pPr>
      <w:r w:rsidRPr="00FD2950">
        <w:rPr>
          <w:rFonts w:ascii="Arial" w:hAnsi="Arial" w:cs="Arial"/>
          <w:sz w:val="21"/>
          <w:szCs w:val="21"/>
        </w:rPr>
        <w:t>El costo del servicio de actualización de la valorización debe ser asumido por la entidad que sustenta el procedimiento, salvo que el retardo en el impulso del procedimiento sea por causa imputable al administrado.</w:t>
      </w:r>
    </w:p>
    <w:p w:rsidR="00F205B0" w:rsidRDefault="00F205B0" w:rsidP="00F205B0">
      <w:pPr>
        <w:spacing w:after="0" w:line="240" w:lineRule="auto"/>
        <w:jc w:val="both"/>
        <w:rPr>
          <w:rFonts w:ascii="Arial" w:hAnsi="Arial" w:cs="Arial"/>
          <w:sz w:val="21"/>
          <w:szCs w:val="21"/>
        </w:rPr>
      </w:pPr>
    </w:p>
    <w:p w:rsidR="00F205B0" w:rsidRPr="00FD2950" w:rsidRDefault="00F205B0" w:rsidP="0092471C">
      <w:pPr>
        <w:pStyle w:val="Prrafodelista"/>
        <w:numPr>
          <w:ilvl w:val="1"/>
          <w:numId w:val="334"/>
        </w:numPr>
        <w:spacing w:after="0" w:line="240" w:lineRule="auto"/>
        <w:ind w:left="969" w:hanging="567"/>
        <w:jc w:val="both"/>
        <w:rPr>
          <w:rFonts w:ascii="Arial" w:hAnsi="Arial" w:cs="Arial"/>
          <w:b/>
          <w:sz w:val="21"/>
          <w:szCs w:val="21"/>
        </w:rPr>
      </w:pPr>
      <w:r w:rsidRPr="00FD2950">
        <w:rPr>
          <w:rFonts w:ascii="Arial" w:hAnsi="Arial" w:cs="Arial"/>
          <w:b/>
          <w:sz w:val="21"/>
          <w:szCs w:val="21"/>
        </w:rPr>
        <w:t>De la autoridad competente que aprueba la permuta predial</w:t>
      </w:r>
    </w:p>
    <w:p w:rsidR="00F205B0" w:rsidRDefault="00F205B0" w:rsidP="00F205B0">
      <w:pPr>
        <w:spacing w:after="0" w:line="240" w:lineRule="auto"/>
        <w:ind w:left="969"/>
        <w:jc w:val="both"/>
        <w:rPr>
          <w:rFonts w:ascii="Arial" w:hAnsi="Arial" w:cs="Arial"/>
          <w:sz w:val="21"/>
          <w:szCs w:val="21"/>
        </w:rPr>
      </w:pPr>
      <w:r w:rsidRPr="00FD2950">
        <w:rPr>
          <w:rFonts w:ascii="Arial" w:hAnsi="Arial" w:cs="Arial"/>
          <w:sz w:val="21"/>
          <w:szCs w:val="21"/>
        </w:rPr>
        <w:t>La permuta de predios de propiedad de las entidades públicas es aprobada con resolución del Titular del Pliego</w:t>
      </w:r>
      <w:r w:rsidRPr="00FD2950">
        <w:rPr>
          <w:rFonts w:ascii="Arial" w:hAnsi="Arial" w:cs="Arial"/>
          <w:color w:val="000000" w:themeColor="text1"/>
          <w:sz w:val="21"/>
          <w:szCs w:val="21"/>
        </w:rPr>
        <w:t xml:space="preserve"> o de la máxima autoridad administrativa </w:t>
      </w:r>
      <w:r w:rsidRPr="00FD2950">
        <w:rPr>
          <w:rFonts w:ascii="Arial" w:hAnsi="Arial" w:cs="Arial"/>
          <w:sz w:val="21"/>
          <w:szCs w:val="21"/>
        </w:rPr>
        <w:t>de la propia entidad, previa opinión técnica de la SBN.</w:t>
      </w:r>
    </w:p>
    <w:p w:rsidR="00F205B0" w:rsidRPr="00FD2950" w:rsidRDefault="00F205B0" w:rsidP="00F205B0">
      <w:pPr>
        <w:spacing w:after="0" w:line="240" w:lineRule="auto"/>
        <w:ind w:left="686"/>
        <w:jc w:val="both"/>
        <w:rPr>
          <w:rFonts w:ascii="Arial" w:hAnsi="Arial" w:cs="Arial"/>
          <w:sz w:val="21"/>
          <w:szCs w:val="21"/>
        </w:rPr>
      </w:pPr>
    </w:p>
    <w:p w:rsidR="00F205B0" w:rsidRPr="00FD2950" w:rsidRDefault="00F205B0" w:rsidP="00F205B0">
      <w:pPr>
        <w:spacing w:after="0" w:line="240" w:lineRule="auto"/>
        <w:ind w:left="969"/>
        <w:jc w:val="both"/>
        <w:rPr>
          <w:rFonts w:ascii="Arial" w:hAnsi="Arial" w:cs="Arial"/>
          <w:sz w:val="21"/>
          <w:szCs w:val="21"/>
        </w:rPr>
      </w:pPr>
      <w:r w:rsidRPr="00FD2950">
        <w:rPr>
          <w:rFonts w:ascii="Arial" w:hAnsi="Arial" w:cs="Arial"/>
          <w:sz w:val="21"/>
          <w:szCs w:val="21"/>
        </w:rPr>
        <w:t>La permuta de predios de propiedad del Estado que se encuentran bajo competencia de los Gobiernos Regionales, sea en mérito a la transferencia o delegación de las funciones previstas en el artículo 62º de la Ley Nº 27867, Ley Orgánica de Gobiernos Regionales, es aprobada por resolución del Titular del Pliego del Gobierno Regional, previa opinión técnica de la SBN.</w:t>
      </w:r>
    </w:p>
    <w:p w:rsidR="00F205B0" w:rsidRPr="00FD2950" w:rsidRDefault="00F205B0" w:rsidP="00F205B0">
      <w:pPr>
        <w:spacing w:after="0" w:line="240" w:lineRule="auto"/>
        <w:ind w:left="969"/>
        <w:jc w:val="both"/>
        <w:rPr>
          <w:rFonts w:ascii="Arial" w:hAnsi="Arial" w:cs="Arial"/>
          <w:sz w:val="21"/>
          <w:szCs w:val="21"/>
        </w:rPr>
      </w:pPr>
    </w:p>
    <w:p w:rsidR="00F205B0" w:rsidRPr="00FD2950" w:rsidRDefault="00F205B0" w:rsidP="00F205B0">
      <w:pPr>
        <w:spacing w:after="0" w:line="240" w:lineRule="auto"/>
        <w:ind w:left="969"/>
        <w:jc w:val="both"/>
        <w:rPr>
          <w:rFonts w:ascii="Arial" w:hAnsi="Arial" w:cs="Arial"/>
          <w:sz w:val="21"/>
          <w:szCs w:val="21"/>
        </w:rPr>
      </w:pPr>
      <w:r w:rsidRPr="00FD2950">
        <w:rPr>
          <w:rFonts w:ascii="Arial" w:hAnsi="Arial" w:cs="Arial"/>
          <w:sz w:val="21"/>
          <w:szCs w:val="21"/>
        </w:rPr>
        <w:t>La permuta de predios del Estado bajo competencia o administración de la SBN, es aprobada por resolución de la SDDI.</w:t>
      </w:r>
    </w:p>
    <w:p w:rsidR="00F205B0" w:rsidRPr="00FD2950" w:rsidRDefault="00F205B0" w:rsidP="00F205B0">
      <w:pPr>
        <w:spacing w:after="0" w:line="240" w:lineRule="auto"/>
        <w:ind w:left="969"/>
        <w:jc w:val="both"/>
        <w:rPr>
          <w:rFonts w:ascii="Arial" w:hAnsi="Arial" w:cs="Arial"/>
          <w:sz w:val="21"/>
          <w:szCs w:val="21"/>
        </w:rPr>
      </w:pPr>
    </w:p>
    <w:p w:rsidR="00F205B0" w:rsidRPr="00FD2950" w:rsidRDefault="00F205B0" w:rsidP="0092471C">
      <w:pPr>
        <w:pStyle w:val="Prrafodelista"/>
        <w:numPr>
          <w:ilvl w:val="1"/>
          <w:numId w:val="334"/>
        </w:numPr>
        <w:spacing w:after="0" w:line="240" w:lineRule="auto"/>
        <w:ind w:left="969" w:hanging="567"/>
        <w:jc w:val="both"/>
        <w:rPr>
          <w:rFonts w:ascii="Arial" w:hAnsi="Arial" w:cs="Arial"/>
          <w:b/>
          <w:sz w:val="21"/>
          <w:szCs w:val="21"/>
        </w:rPr>
      </w:pPr>
      <w:r w:rsidRPr="00FD2950">
        <w:rPr>
          <w:rFonts w:ascii="Arial" w:hAnsi="Arial" w:cs="Arial"/>
          <w:b/>
          <w:sz w:val="21"/>
          <w:szCs w:val="21"/>
        </w:rPr>
        <w:t>De la elaboración de la minuta</w:t>
      </w:r>
      <w:r w:rsidRPr="00FD2950">
        <w:rPr>
          <w:rFonts w:ascii="Arial" w:hAnsi="Arial" w:cs="Arial"/>
          <w:b/>
          <w:color w:val="FF0000"/>
          <w:sz w:val="21"/>
          <w:szCs w:val="21"/>
        </w:rPr>
        <w:t xml:space="preserve"> </w:t>
      </w:r>
      <w:r w:rsidRPr="00FD2950">
        <w:rPr>
          <w:rFonts w:ascii="Arial" w:hAnsi="Arial" w:cs="Arial"/>
          <w:b/>
          <w:sz w:val="21"/>
          <w:szCs w:val="21"/>
        </w:rPr>
        <w:t>de permuta predial</w:t>
      </w:r>
    </w:p>
    <w:p w:rsidR="00F205B0" w:rsidRPr="00FD2950" w:rsidRDefault="00F205B0" w:rsidP="00F205B0">
      <w:pPr>
        <w:spacing w:after="0" w:line="240" w:lineRule="auto"/>
        <w:ind w:left="969"/>
        <w:jc w:val="both"/>
        <w:rPr>
          <w:rFonts w:ascii="Arial" w:hAnsi="Arial" w:cs="Arial"/>
          <w:sz w:val="21"/>
          <w:szCs w:val="21"/>
        </w:rPr>
      </w:pPr>
      <w:r w:rsidRPr="00FD2950">
        <w:rPr>
          <w:rFonts w:ascii="Arial" w:hAnsi="Arial" w:cs="Arial"/>
          <w:sz w:val="21"/>
          <w:szCs w:val="21"/>
        </w:rPr>
        <w:t>La minuta de permuta predial se elabora conforme a las normas del SNBE y, en lo que fuera aplicable, de acuerdo a las normas del derecho común.</w:t>
      </w:r>
    </w:p>
    <w:p w:rsidR="00F205B0" w:rsidRPr="00FD2950" w:rsidRDefault="00F205B0" w:rsidP="00F205B0">
      <w:pPr>
        <w:spacing w:after="0" w:line="240" w:lineRule="auto"/>
        <w:ind w:left="969"/>
        <w:jc w:val="both"/>
        <w:rPr>
          <w:rFonts w:ascii="Arial" w:hAnsi="Arial" w:cs="Arial"/>
          <w:sz w:val="21"/>
          <w:szCs w:val="21"/>
        </w:rPr>
      </w:pPr>
    </w:p>
    <w:p w:rsidR="00F205B0" w:rsidRPr="00FD2950" w:rsidRDefault="00F205B0" w:rsidP="0092471C">
      <w:pPr>
        <w:pStyle w:val="Prrafodelista"/>
        <w:numPr>
          <w:ilvl w:val="1"/>
          <w:numId w:val="334"/>
        </w:numPr>
        <w:spacing w:after="0" w:line="240" w:lineRule="auto"/>
        <w:ind w:left="969" w:hanging="567"/>
        <w:jc w:val="both"/>
        <w:rPr>
          <w:rFonts w:ascii="Arial" w:hAnsi="Arial" w:cs="Arial"/>
          <w:b/>
          <w:sz w:val="21"/>
          <w:szCs w:val="21"/>
        </w:rPr>
      </w:pPr>
      <w:r w:rsidRPr="00FD2950">
        <w:rPr>
          <w:rFonts w:ascii="Arial" w:hAnsi="Arial" w:cs="Arial"/>
          <w:b/>
          <w:sz w:val="21"/>
          <w:szCs w:val="21"/>
        </w:rPr>
        <w:t>Unidad competente de la SBN para el procedimiento de permuta predial</w:t>
      </w:r>
    </w:p>
    <w:p w:rsidR="00F205B0" w:rsidRDefault="00F205B0" w:rsidP="00F205B0">
      <w:pPr>
        <w:spacing w:after="0" w:line="240" w:lineRule="auto"/>
        <w:ind w:left="969"/>
        <w:jc w:val="both"/>
        <w:rPr>
          <w:rFonts w:ascii="Arial" w:hAnsi="Arial" w:cs="Arial"/>
          <w:color w:val="000000" w:themeColor="text1"/>
          <w:sz w:val="21"/>
          <w:szCs w:val="21"/>
        </w:rPr>
      </w:pPr>
      <w:r w:rsidRPr="00FD2950">
        <w:rPr>
          <w:rFonts w:ascii="Arial" w:hAnsi="Arial" w:cs="Arial"/>
          <w:sz w:val="21"/>
          <w:szCs w:val="21"/>
        </w:rPr>
        <w:t>La SDDI es la unidad orgánica encargada de</w:t>
      </w:r>
      <w:r w:rsidRPr="00FD2950">
        <w:rPr>
          <w:rFonts w:ascii="Arial" w:hAnsi="Arial" w:cs="Arial"/>
          <w:color w:val="000000" w:themeColor="text1"/>
          <w:sz w:val="21"/>
          <w:szCs w:val="21"/>
        </w:rPr>
        <w:t xml:space="preserve"> instruir el procedimiento de permuta de los predios que se encuentren bajo competencia o administración de la SBN.</w:t>
      </w:r>
    </w:p>
    <w:p w:rsidR="00F205B0" w:rsidRDefault="00F205B0" w:rsidP="00F205B0">
      <w:pPr>
        <w:spacing w:after="0" w:line="240" w:lineRule="auto"/>
        <w:ind w:left="969"/>
        <w:jc w:val="both"/>
        <w:rPr>
          <w:rFonts w:ascii="Arial" w:hAnsi="Arial" w:cs="Arial"/>
          <w:color w:val="000000" w:themeColor="text1"/>
          <w:sz w:val="21"/>
          <w:szCs w:val="21"/>
        </w:rPr>
      </w:pPr>
    </w:p>
    <w:p w:rsidR="00F205B0" w:rsidRPr="00006CC6" w:rsidRDefault="00F205B0" w:rsidP="0092471C">
      <w:pPr>
        <w:pStyle w:val="Prrafodelista"/>
        <w:widowControl w:val="0"/>
        <w:numPr>
          <w:ilvl w:val="1"/>
          <w:numId w:val="334"/>
        </w:numPr>
        <w:suppressAutoHyphens/>
        <w:spacing w:after="0" w:line="240" w:lineRule="auto"/>
        <w:ind w:left="969" w:hanging="567"/>
        <w:jc w:val="both"/>
        <w:rPr>
          <w:rFonts w:ascii="Arial" w:hAnsi="Arial" w:cs="Arial"/>
          <w:b/>
          <w:sz w:val="21"/>
          <w:szCs w:val="21"/>
        </w:rPr>
      </w:pPr>
      <w:r>
        <w:rPr>
          <w:rFonts w:ascii="Arial" w:hAnsi="Arial" w:cs="Arial"/>
          <w:b/>
          <w:sz w:val="21"/>
          <w:szCs w:val="21"/>
        </w:rPr>
        <w:t>De las abreviaturas y el glosario de términos</w:t>
      </w:r>
    </w:p>
    <w:p w:rsidR="00F205B0" w:rsidRDefault="00F205B0" w:rsidP="00F205B0">
      <w:pPr>
        <w:spacing w:after="0" w:line="240" w:lineRule="auto"/>
        <w:ind w:left="969"/>
        <w:jc w:val="both"/>
        <w:rPr>
          <w:rFonts w:ascii="Arial" w:hAnsi="Arial" w:cs="Arial"/>
          <w:color w:val="000000" w:themeColor="text1"/>
          <w:sz w:val="21"/>
          <w:szCs w:val="21"/>
        </w:rPr>
      </w:pPr>
      <w:r>
        <w:rPr>
          <w:rFonts w:ascii="Arial" w:hAnsi="Arial" w:cs="Arial"/>
          <w:sz w:val="21"/>
          <w:szCs w:val="21"/>
        </w:rPr>
        <w:t xml:space="preserve">Para mejor entendimiento de las disposiciones contenidas en la presente directiva, en los Anexos N° 1 y N° 2 se precisan las Abreviaturas y Glosario de Términos, utilizados en su contenido. </w:t>
      </w:r>
    </w:p>
    <w:p w:rsidR="00F205B0" w:rsidRPr="00FD2950" w:rsidRDefault="00F205B0" w:rsidP="00F205B0">
      <w:pPr>
        <w:spacing w:after="0" w:line="240" w:lineRule="auto"/>
        <w:jc w:val="both"/>
        <w:rPr>
          <w:rFonts w:ascii="Arial" w:hAnsi="Arial" w:cs="Arial"/>
          <w:sz w:val="21"/>
          <w:szCs w:val="21"/>
        </w:rPr>
      </w:pPr>
    </w:p>
    <w:p w:rsidR="00F205B0" w:rsidRPr="00FD2950" w:rsidRDefault="00F205B0" w:rsidP="00F205B0">
      <w:pPr>
        <w:spacing w:after="0" w:line="240" w:lineRule="auto"/>
        <w:ind w:left="402" w:hanging="402"/>
        <w:jc w:val="both"/>
        <w:rPr>
          <w:rFonts w:ascii="Arial" w:hAnsi="Arial" w:cs="Arial"/>
          <w:b/>
          <w:sz w:val="21"/>
          <w:szCs w:val="21"/>
        </w:rPr>
      </w:pPr>
      <w:r w:rsidRPr="00FD2950">
        <w:rPr>
          <w:rFonts w:ascii="Arial" w:hAnsi="Arial" w:cs="Arial"/>
          <w:b/>
          <w:sz w:val="21"/>
          <w:szCs w:val="21"/>
        </w:rPr>
        <w:t>VI.</w:t>
      </w:r>
      <w:r w:rsidRPr="00FD2950">
        <w:rPr>
          <w:rFonts w:ascii="Arial" w:hAnsi="Arial" w:cs="Arial"/>
          <w:b/>
          <w:sz w:val="21"/>
          <w:szCs w:val="21"/>
        </w:rPr>
        <w:tab/>
        <w:t>DISPOSICIONES ESPECÍFICAS</w:t>
      </w:r>
    </w:p>
    <w:p w:rsidR="00F205B0" w:rsidRPr="00FD2950" w:rsidRDefault="00F205B0" w:rsidP="00F205B0">
      <w:pPr>
        <w:spacing w:after="0" w:line="240" w:lineRule="auto"/>
        <w:jc w:val="both"/>
        <w:rPr>
          <w:rFonts w:ascii="Arial" w:hAnsi="Arial" w:cs="Arial"/>
          <w:sz w:val="21"/>
          <w:szCs w:val="21"/>
        </w:rPr>
      </w:pPr>
    </w:p>
    <w:p w:rsidR="00F205B0" w:rsidRPr="00FD2950" w:rsidRDefault="00F205B0" w:rsidP="00F205B0">
      <w:pPr>
        <w:spacing w:after="0" w:line="240" w:lineRule="auto"/>
        <w:ind w:left="969" w:hanging="567"/>
        <w:jc w:val="both"/>
        <w:rPr>
          <w:rFonts w:ascii="Arial" w:hAnsi="Arial" w:cs="Arial"/>
          <w:b/>
          <w:sz w:val="21"/>
          <w:szCs w:val="21"/>
        </w:rPr>
      </w:pPr>
      <w:r w:rsidRPr="00FD2950">
        <w:rPr>
          <w:rFonts w:ascii="Arial" w:hAnsi="Arial" w:cs="Arial"/>
          <w:b/>
          <w:sz w:val="21"/>
          <w:szCs w:val="21"/>
        </w:rPr>
        <w:t>6.1.</w:t>
      </w:r>
      <w:r w:rsidRPr="00FD2950">
        <w:rPr>
          <w:rFonts w:ascii="Arial" w:hAnsi="Arial" w:cs="Arial"/>
          <w:b/>
          <w:sz w:val="21"/>
          <w:szCs w:val="21"/>
        </w:rPr>
        <w:tab/>
        <w:t>Etapas del procedimiento de permuta predial</w:t>
      </w:r>
    </w:p>
    <w:p w:rsidR="00F205B0" w:rsidRPr="00FD2950" w:rsidRDefault="00F205B0" w:rsidP="00F205B0">
      <w:pPr>
        <w:spacing w:after="0" w:line="240" w:lineRule="auto"/>
        <w:ind w:left="969"/>
        <w:jc w:val="both"/>
        <w:rPr>
          <w:rFonts w:ascii="Arial" w:hAnsi="Arial" w:cs="Arial"/>
          <w:sz w:val="21"/>
          <w:szCs w:val="21"/>
        </w:rPr>
      </w:pPr>
      <w:r w:rsidRPr="00FD2950">
        <w:rPr>
          <w:rFonts w:ascii="Arial" w:hAnsi="Arial" w:cs="Arial"/>
          <w:sz w:val="21"/>
          <w:szCs w:val="21"/>
        </w:rPr>
        <w:t>El procedimiento de permuta predial tiene las siguientes etapas:</w:t>
      </w:r>
    </w:p>
    <w:p w:rsidR="00F205B0" w:rsidRPr="00FD2950" w:rsidRDefault="00F205B0" w:rsidP="00F205B0">
      <w:pPr>
        <w:spacing w:after="0" w:line="240" w:lineRule="auto"/>
        <w:jc w:val="both"/>
        <w:rPr>
          <w:rFonts w:ascii="Arial" w:hAnsi="Arial" w:cs="Arial"/>
          <w:sz w:val="21"/>
          <w:szCs w:val="21"/>
        </w:rPr>
      </w:pPr>
    </w:p>
    <w:p w:rsidR="00F205B0" w:rsidRPr="00FD2950" w:rsidRDefault="00F205B0" w:rsidP="00F205B0">
      <w:pPr>
        <w:spacing w:after="0" w:line="240" w:lineRule="auto"/>
        <w:ind w:left="1253" w:hanging="284"/>
        <w:jc w:val="both"/>
        <w:rPr>
          <w:rFonts w:ascii="Arial" w:hAnsi="Arial" w:cs="Arial"/>
          <w:sz w:val="21"/>
          <w:szCs w:val="21"/>
        </w:rPr>
      </w:pPr>
      <w:r w:rsidRPr="00FD2950">
        <w:rPr>
          <w:rFonts w:ascii="Arial" w:hAnsi="Arial" w:cs="Arial"/>
          <w:sz w:val="21"/>
          <w:szCs w:val="21"/>
        </w:rPr>
        <w:t>a)</w:t>
      </w:r>
      <w:r w:rsidRPr="00FD2950">
        <w:rPr>
          <w:rFonts w:ascii="Arial" w:hAnsi="Arial" w:cs="Arial"/>
          <w:sz w:val="21"/>
          <w:szCs w:val="21"/>
        </w:rPr>
        <w:tab/>
        <w:t>Presentación de la solicitud y generación de expediente.</w:t>
      </w:r>
    </w:p>
    <w:p w:rsidR="00F205B0" w:rsidRPr="00FD2950" w:rsidRDefault="00F205B0" w:rsidP="00F205B0">
      <w:pPr>
        <w:spacing w:after="0" w:line="240" w:lineRule="auto"/>
        <w:ind w:left="1253" w:hanging="284"/>
        <w:jc w:val="both"/>
        <w:rPr>
          <w:rFonts w:ascii="Arial" w:hAnsi="Arial" w:cs="Arial"/>
          <w:sz w:val="21"/>
          <w:szCs w:val="21"/>
        </w:rPr>
      </w:pPr>
      <w:r w:rsidRPr="00FD2950">
        <w:rPr>
          <w:rFonts w:ascii="Arial" w:hAnsi="Arial" w:cs="Arial"/>
          <w:sz w:val="21"/>
          <w:szCs w:val="21"/>
        </w:rPr>
        <w:t>b)</w:t>
      </w:r>
      <w:r w:rsidRPr="00FD2950">
        <w:rPr>
          <w:rFonts w:ascii="Arial" w:hAnsi="Arial" w:cs="Arial"/>
          <w:sz w:val="21"/>
          <w:szCs w:val="21"/>
        </w:rPr>
        <w:tab/>
        <w:t>Calificación formal de la solicitud.</w:t>
      </w:r>
    </w:p>
    <w:p w:rsidR="00F205B0" w:rsidRPr="00FD2950" w:rsidRDefault="00F205B0" w:rsidP="00F205B0">
      <w:pPr>
        <w:spacing w:after="0" w:line="240" w:lineRule="auto"/>
        <w:ind w:left="1253" w:hanging="284"/>
        <w:jc w:val="both"/>
        <w:rPr>
          <w:rFonts w:ascii="Arial" w:hAnsi="Arial" w:cs="Arial"/>
          <w:sz w:val="21"/>
          <w:szCs w:val="21"/>
        </w:rPr>
      </w:pPr>
      <w:r w:rsidRPr="00FD2950">
        <w:rPr>
          <w:rFonts w:ascii="Arial" w:hAnsi="Arial" w:cs="Arial"/>
          <w:sz w:val="21"/>
          <w:szCs w:val="21"/>
        </w:rPr>
        <w:t>c)</w:t>
      </w:r>
      <w:r w:rsidRPr="00FD2950">
        <w:rPr>
          <w:rFonts w:ascii="Arial" w:hAnsi="Arial" w:cs="Arial"/>
          <w:sz w:val="21"/>
          <w:szCs w:val="21"/>
        </w:rPr>
        <w:tab/>
        <w:t>Inspección técnica.</w:t>
      </w:r>
    </w:p>
    <w:p w:rsidR="00F205B0" w:rsidRPr="00FD2950" w:rsidRDefault="00F205B0" w:rsidP="00F205B0">
      <w:pPr>
        <w:spacing w:after="0" w:line="240" w:lineRule="auto"/>
        <w:ind w:left="1253" w:hanging="284"/>
        <w:jc w:val="both"/>
        <w:rPr>
          <w:rFonts w:ascii="Arial" w:hAnsi="Arial" w:cs="Arial"/>
          <w:sz w:val="21"/>
          <w:szCs w:val="21"/>
        </w:rPr>
      </w:pPr>
      <w:r w:rsidRPr="00FD2950">
        <w:rPr>
          <w:rFonts w:ascii="Arial" w:hAnsi="Arial" w:cs="Arial"/>
          <w:sz w:val="21"/>
          <w:szCs w:val="21"/>
        </w:rPr>
        <w:t>d)</w:t>
      </w:r>
      <w:r w:rsidRPr="00FD2950">
        <w:rPr>
          <w:rFonts w:ascii="Arial" w:hAnsi="Arial" w:cs="Arial"/>
          <w:sz w:val="21"/>
          <w:szCs w:val="21"/>
        </w:rPr>
        <w:tab/>
        <w:t>Valorización comercial.</w:t>
      </w:r>
    </w:p>
    <w:p w:rsidR="00F205B0" w:rsidRPr="00FD2950" w:rsidRDefault="00F205B0" w:rsidP="00F205B0">
      <w:pPr>
        <w:spacing w:after="0" w:line="240" w:lineRule="auto"/>
        <w:ind w:left="1253" w:hanging="284"/>
        <w:jc w:val="both"/>
        <w:rPr>
          <w:rFonts w:ascii="Arial" w:hAnsi="Arial" w:cs="Arial"/>
          <w:color w:val="000000" w:themeColor="text1"/>
          <w:sz w:val="21"/>
          <w:szCs w:val="21"/>
        </w:rPr>
      </w:pPr>
      <w:r w:rsidRPr="00FD2950">
        <w:rPr>
          <w:rFonts w:ascii="Arial" w:hAnsi="Arial" w:cs="Arial"/>
          <w:sz w:val="21"/>
          <w:szCs w:val="21"/>
        </w:rPr>
        <w:t>e)</w:t>
      </w:r>
      <w:r w:rsidRPr="00FD2950">
        <w:rPr>
          <w:rFonts w:ascii="Arial" w:hAnsi="Arial" w:cs="Arial"/>
          <w:sz w:val="21"/>
          <w:szCs w:val="21"/>
        </w:rPr>
        <w:tab/>
        <w:t>Calificación sustantiva de la solicitud</w:t>
      </w:r>
      <w:r w:rsidRPr="00FD2950">
        <w:rPr>
          <w:rFonts w:ascii="Arial" w:hAnsi="Arial" w:cs="Arial"/>
          <w:color w:val="000000" w:themeColor="text1"/>
          <w:sz w:val="21"/>
          <w:szCs w:val="21"/>
        </w:rPr>
        <w:t>.</w:t>
      </w:r>
    </w:p>
    <w:p w:rsidR="00F205B0" w:rsidRPr="00FD2950" w:rsidRDefault="00F205B0" w:rsidP="00F205B0">
      <w:pPr>
        <w:spacing w:after="0" w:line="240" w:lineRule="auto"/>
        <w:ind w:left="1253" w:hanging="284"/>
        <w:jc w:val="both"/>
        <w:rPr>
          <w:rFonts w:ascii="Arial" w:hAnsi="Arial" w:cs="Arial"/>
          <w:sz w:val="21"/>
          <w:szCs w:val="21"/>
        </w:rPr>
      </w:pPr>
      <w:r w:rsidRPr="00FD2950">
        <w:rPr>
          <w:rFonts w:ascii="Arial" w:hAnsi="Arial" w:cs="Arial"/>
          <w:color w:val="000000" w:themeColor="text1"/>
          <w:sz w:val="21"/>
          <w:szCs w:val="21"/>
        </w:rPr>
        <w:t>f)</w:t>
      </w:r>
      <w:r w:rsidRPr="00FD2950">
        <w:rPr>
          <w:rFonts w:ascii="Arial" w:hAnsi="Arial" w:cs="Arial"/>
          <w:color w:val="000000" w:themeColor="text1"/>
          <w:sz w:val="21"/>
          <w:szCs w:val="21"/>
        </w:rPr>
        <w:tab/>
        <w:t>Autorización o conformidad de la permuta por el titular o máxima autoridad administrativa de la entida</w:t>
      </w:r>
      <w:r w:rsidRPr="00FD2950">
        <w:rPr>
          <w:rFonts w:ascii="Arial" w:hAnsi="Arial" w:cs="Arial"/>
          <w:sz w:val="21"/>
          <w:szCs w:val="21"/>
        </w:rPr>
        <w:t>d.</w:t>
      </w:r>
    </w:p>
    <w:p w:rsidR="00F205B0" w:rsidRPr="00FD2950" w:rsidRDefault="00F205B0" w:rsidP="00F205B0">
      <w:pPr>
        <w:spacing w:after="0" w:line="240" w:lineRule="auto"/>
        <w:ind w:left="1253" w:hanging="284"/>
        <w:jc w:val="both"/>
        <w:rPr>
          <w:rFonts w:ascii="Arial" w:hAnsi="Arial" w:cs="Arial"/>
          <w:sz w:val="21"/>
          <w:szCs w:val="21"/>
        </w:rPr>
      </w:pPr>
      <w:r w:rsidRPr="00FD2950">
        <w:rPr>
          <w:rFonts w:ascii="Arial" w:hAnsi="Arial" w:cs="Arial"/>
          <w:sz w:val="21"/>
          <w:szCs w:val="21"/>
        </w:rPr>
        <w:t>g)</w:t>
      </w:r>
      <w:r w:rsidRPr="00FD2950">
        <w:rPr>
          <w:rFonts w:ascii="Arial" w:hAnsi="Arial" w:cs="Arial"/>
          <w:sz w:val="21"/>
          <w:szCs w:val="21"/>
        </w:rPr>
        <w:tab/>
        <w:t>Emisión del informe técnico legal.</w:t>
      </w:r>
    </w:p>
    <w:p w:rsidR="00F205B0" w:rsidRPr="00FD2950" w:rsidRDefault="00F205B0" w:rsidP="00F205B0">
      <w:pPr>
        <w:spacing w:after="0" w:line="240" w:lineRule="auto"/>
        <w:ind w:left="1253" w:hanging="284"/>
        <w:jc w:val="both"/>
        <w:rPr>
          <w:rFonts w:ascii="Arial" w:hAnsi="Arial" w:cs="Arial"/>
          <w:sz w:val="21"/>
          <w:szCs w:val="21"/>
        </w:rPr>
      </w:pPr>
      <w:r w:rsidRPr="00FD2950">
        <w:rPr>
          <w:rFonts w:ascii="Arial" w:hAnsi="Arial" w:cs="Arial"/>
          <w:sz w:val="21"/>
          <w:szCs w:val="21"/>
        </w:rPr>
        <w:t>h)</w:t>
      </w:r>
      <w:r w:rsidRPr="00FD2950">
        <w:rPr>
          <w:rFonts w:ascii="Arial" w:hAnsi="Arial" w:cs="Arial"/>
          <w:sz w:val="21"/>
          <w:szCs w:val="21"/>
        </w:rPr>
        <w:tab/>
        <w:t>Opinión técnica de la SBN en los procedimientos tramitados por las demás entidades del SNBE.</w:t>
      </w:r>
    </w:p>
    <w:p w:rsidR="00F205B0" w:rsidRPr="00FD2950" w:rsidRDefault="00F205B0" w:rsidP="00F205B0">
      <w:pPr>
        <w:spacing w:after="0" w:line="240" w:lineRule="auto"/>
        <w:ind w:left="1253" w:hanging="284"/>
        <w:jc w:val="both"/>
        <w:rPr>
          <w:rFonts w:ascii="Arial" w:hAnsi="Arial" w:cs="Arial"/>
          <w:sz w:val="21"/>
          <w:szCs w:val="21"/>
        </w:rPr>
      </w:pPr>
      <w:r w:rsidRPr="00FD2950">
        <w:rPr>
          <w:rFonts w:ascii="Arial" w:hAnsi="Arial" w:cs="Arial"/>
          <w:sz w:val="21"/>
          <w:szCs w:val="21"/>
        </w:rPr>
        <w:t>i)</w:t>
      </w:r>
      <w:r w:rsidRPr="00FD2950">
        <w:rPr>
          <w:rFonts w:ascii="Arial" w:hAnsi="Arial" w:cs="Arial"/>
          <w:sz w:val="21"/>
          <w:szCs w:val="21"/>
        </w:rPr>
        <w:tab/>
        <w:t>Emisión de la resolución que aprueba la permuta.</w:t>
      </w:r>
    </w:p>
    <w:p w:rsidR="00F205B0" w:rsidRPr="00FD2950" w:rsidRDefault="00F205B0" w:rsidP="00F205B0">
      <w:pPr>
        <w:spacing w:after="0" w:line="240" w:lineRule="auto"/>
        <w:ind w:left="1253" w:hanging="284"/>
        <w:jc w:val="both"/>
        <w:rPr>
          <w:rFonts w:ascii="Arial" w:hAnsi="Arial" w:cs="Arial"/>
          <w:sz w:val="21"/>
          <w:szCs w:val="21"/>
        </w:rPr>
      </w:pPr>
      <w:r w:rsidRPr="00FD2950">
        <w:rPr>
          <w:rFonts w:ascii="Arial" w:hAnsi="Arial" w:cs="Arial"/>
          <w:sz w:val="21"/>
          <w:szCs w:val="21"/>
        </w:rPr>
        <w:t>j)</w:t>
      </w:r>
      <w:r w:rsidRPr="00FD2950">
        <w:rPr>
          <w:rFonts w:ascii="Arial" w:hAnsi="Arial" w:cs="Arial"/>
          <w:sz w:val="21"/>
          <w:szCs w:val="21"/>
        </w:rPr>
        <w:tab/>
        <w:t>De la minuta de permuta y elevación a escritura pública.</w:t>
      </w:r>
    </w:p>
    <w:p w:rsidR="00F205B0" w:rsidRPr="00FD2950" w:rsidRDefault="00F205B0" w:rsidP="00F205B0">
      <w:pPr>
        <w:spacing w:after="0" w:line="240" w:lineRule="auto"/>
        <w:ind w:left="1253" w:hanging="284"/>
        <w:jc w:val="both"/>
        <w:rPr>
          <w:rFonts w:ascii="Arial" w:hAnsi="Arial" w:cs="Arial"/>
          <w:sz w:val="21"/>
          <w:szCs w:val="21"/>
        </w:rPr>
      </w:pPr>
      <w:r w:rsidRPr="00FD2950">
        <w:rPr>
          <w:rFonts w:ascii="Arial" w:hAnsi="Arial" w:cs="Arial"/>
          <w:sz w:val="21"/>
          <w:szCs w:val="21"/>
        </w:rPr>
        <w:t>k)</w:t>
      </w:r>
      <w:r w:rsidRPr="00FD2950">
        <w:rPr>
          <w:rFonts w:ascii="Arial" w:hAnsi="Arial" w:cs="Arial"/>
          <w:sz w:val="21"/>
          <w:szCs w:val="21"/>
        </w:rPr>
        <w:tab/>
        <w:t>De la actualización del SINABIP.</w:t>
      </w:r>
    </w:p>
    <w:p w:rsidR="00F205B0" w:rsidRDefault="00F205B0" w:rsidP="00F205B0">
      <w:pPr>
        <w:spacing w:after="0" w:line="240" w:lineRule="auto"/>
        <w:ind w:left="1253"/>
        <w:jc w:val="both"/>
        <w:rPr>
          <w:rFonts w:ascii="Arial" w:hAnsi="Arial" w:cs="Arial"/>
          <w:sz w:val="21"/>
          <w:szCs w:val="21"/>
        </w:rPr>
      </w:pPr>
    </w:p>
    <w:p w:rsidR="00F205B0" w:rsidRPr="00FD2950" w:rsidRDefault="00F205B0" w:rsidP="00F205B0">
      <w:pPr>
        <w:spacing w:after="0" w:line="240" w:lineRule="auto"/>
        <w:ind w:left="969" w:hanging="567"/>
        <w:jc w:val="both"/>
        <w:rPr>
          <w:rFonts w:ascii="Arial" w:hAnsi="Arial" w:cs="Arial"/>
          <w:b/>
          <w:sz w:val="21"/>
          <w:szCs w:val="21"/>
        </w:rPr>
      </w:pPr>
      <w:r w:rsidRPr="00FD2950">
        <w:rPr>
          <w:rFonts w:ascii="Arial" w:hAnsi="Arial" w:cs="Arial"/>
          <w:b/>
          <w:sz w:val="21"/>
          <w:szCs w:val="21"/>
        </w:rPr>
        <w:t>6.2.</w:t>
      </w:r>
      <w:r w:rsidRPr="00FD2950">
        <w:rPr>
          <w:rFonts w:ascii="Arial" w:hAnsi="Arial" w:cs="Arial"/>
          <w:b/>
          <w:sz w:val="21"/>
          <w:szCs w:val="21"/>
        </w:rPr>
        <w:tab/>
        <w:t xml:space="preserve">Presentación de la solicitud y generación de expediente </w:t>
      </w:r>
    </w:p>
    <w:p w:rsidR="00F205B0" w:rsidRPr="00FD2950" w:rsidRDefault="00F205B0" w:rsidP="00F205B0">
      <w:pPr>
        <w:spacing w:after="0" w:line="240" w:lineRule="auto"/>
        <w:ind w:left="969"/>
        <w:jc w:val="both"/>
        <w:rPr>
          <w:rFonts w:ascii="Arial" w:hAnsi="Arial" w:cs="Arial"/>
          <w:sz w:val="21"/>
          <w:szCs w:val="21"/>
        </w:rPr>
      </w:pPr>
      <w:r w:rsidRPr="00FD2950">
        <w:rPr>
          <w:rFonts w:ascii="Arial" w:hAnsi="Arial" w:cs="Arial"/>
          <w:sz w:val="21"/>
          <w:szCs w:val="21"/>
        </w:rPr>
        <w:t xml:space="preserve">Para el inicio del procedimiento administrativo de permuta predial, el solicitante debe presentar su pedido por escrito ante la entidad pública propietaria del predio o, cuando este es de propiedad del Estado, ante la SBN o el Gobierno Regional que cuente con competencias transferidas o delegadas, en el marco del proceso de descentralización. </w:t>
      </w:r>
    </w:p>
    <w:p w:rsidR="00F205B0" w:rsidRPr="00FD2950" w:rsidRDefault="00F205B0" w:rsidP="00F205B0">
      <w:pPr>
        <w:spacing w:after="0" w:line="240" w:lineRule="auto"/>
        <w:ind w:left="1134"/>
        <w:jc w:val="both"/>
        <w:rPr>
          <w:rFonts w:ascii="Arial" w:hAnsi="Arial" w:cs="Arial"/>
          <w:sz w:val="21"/>
          <w:szCs w:val="21"/>
        </w:rPr>
      </w:pPr>
    </w:p>
    <w:p w:rsidR="00F205B0" w:rsidRPr="00FD2950" w:rsidRDefault="00F205B0" w:rsidP="00F205B0">
      <w:pPr>
        <w:spacing w:after="0" w:line="240" w:lineRule="auto"/>
        <w:ind w:left="969"/>
        <w:jc w:val="both"/>
        <w:rPr>
          <w:rFonts w:ascii="Arial" w:hAnsi="Arial" w:cs="Arial"/>
          <w:color w:val="000000" w:themeColor="text1"/>
          <w:sz w:val="21"/>
          <w:szCs w:val="21"/>
        </w:rPr>
      </w:pPr>
      <w:r w:rsidRPr="00FD2950">
        <w:rPr>
          <w:rFonts w:ascii="Arial" w:hAnsi="Arial" w:cs="Arial"/>
          <w:color w:val="000000" w:themeColor="text1"/>
          <w:sz w:val="21"/>
          <w:szCs w:val="21"/>
        </w:rPr>
        <w:t>El solicitante debe acompañar a su pedido de permuta los siguientes requisitos:</w:t>
      </w:r>
    </w:p>
    <w:p w:rsidR="00F205B0" w:rsidRPr="00FD2950" w:rsidRDefault="00F205B0" w:rsidP="00F205B0">
      <w:pPr>
        <w:spacing w:after="0" w:line="240" w:lineRule="auto"/>
        <w:ind w:left="1134"/>
        <w:jc w:val="both"/>
        <w:rPr>
          <w:rFonts w:ascii="Arial" w:hAnsi="Arial" w:cs="Arial"/>
          <w:color w:val="000000" w:themeColor="text1"/>
          <w:sz w:val="21"/>
          <w:szCs w:val="21"/>
        </w:rPr>
      </w:pPr>
    </w:p>
    <w:p w:rsidR="00F205B0" w:rsidRPr="00FD2950" w:rsidRDefault="00F205B0" w:rsidP="0092471C">
      <w:pPr>
        <w:pStyle w:val="Prrafodelista"/>
        <w:numPr>
          <w:ilvl w:val="0"/>
          <w:numId w:val="335"/>
        </w:numPr>
        <w:spacing w:after="0" w:line="240" w:lineRule="auto"/>
        <w:ind w:left="1253" w:hanging="283"/>
        <w:jc w:val="both"/>
        <w:rPr>
          <w:rFonts w:ascii="Arial" w:hAnsi="Arial" w:cs="Arial"/>
          <w:color w:val="000000" w:themeColor="text1"/>
          <w:sz w:val="21"/>
          <w:szCs w:val="21"/>
        </w:rPr>
      </w:pPr>
      <w:r w:rsidRPr="00FD2950">
        <w:rPr>
          <w:rFonts w:ascii="Arial" w:hAnsi="Arial" w:cs="Arial"/>
          <w:sz w:val="21"/>
          <w:szCs w:val="21"/>
        </w:rPr>
        <w:t xml:space="preserve">Solicitud que debe contener lo siguiente: (i) la entidad pública a la cual se dirige; (ii) nombres y apellidos completos, domicilio y número de Documento Nacional de Identidad o Carnet de Extranjería del solicitante, y en su caso, la calidad de representante de la persona natural o jurídica a la que representa, en este último caso con indicación de la partida registral respectiva; (iii) la expresión concreta del pedido, indicando el área, ubicación del predio y partida registral del predio ofrecido en permuta y el que se solicita en permuta; y, (iv) lugar, fecha, </w:t>
      </w:r>
      <w:r w:rsidRPr="00FD2950">
        <w:rPr>
          <w:rFonts w:ascii="Arial" w:hAnsi="Arial" w:cs="Arial"/>
          <w:color w:val="000000" w:themeColor="text1"/>
          <w:sz w:val="21"/>
          <w:szCs w:val="21"/>
        </w:rPr>
        <w:t>firma o huella digital, en caso de no saber firmar o tener impedimento físico.</w:t>
      </w:r>
    </w:p>
    <w:p w:rsidR="00F205B0" w:rsidRPr="00FD2950" w:rsidRDefault="00F205B0" w:rsidP="00F205B0">
      <w:pPr>
        <w:pStyle w:val="Prrafodelista"/>
        <w:spacing w:after="0" w:line="240" w:lineRule="auto"/>
        <w:ind w:left="1253" w:hanging="284"/>
        <w:jc w:val="both"/>
        <w:rPr>
          <w:rFonts w:ascii="Arial" w:hAnsi="Arial" w:cs="Arial"/>
          <w:color w:val="000000" w:themeColor="text1"/>
          <w:sz w:val="21"/>
          <w:szCs w:val="21"/>
        </w:rPr>
      </w:pPr>
    </w:p>
    <w:p w:rsidR="00F205B0" w:rsidRPr="00FD2950" w:rsidRDefault="00F205B0" w:rsidP="0092471C">
      <w:pPr>
        <w:pStyle w:val="Prrafodelista"/>
        <w:numPr>
          <w:ilvl w:val="0"/>
          <w:numId w:val="335"/>
        </w:numPr>
        <w:spacing w:after="0" w:line="240" w:lineRule="auto"/>
        <w:ind w:left="1253" w:hanging="283"/>
        <w:jc w:val="both"/>
        <w:rPr>
          <w:rFonts w:ascii="Arial" w:hAnsi="Arial" w:cs="Arial"/>
          <w:color w:val="000000" w:themeColor="text1"/>
          <w:sz w:val="21"/>
          <w:szCs w:val="21"/>
        </w:rPr>
      </w:pPr>
      <w:r w:rsidRPr="00FD2950">
        <w:rPr>
          <w:rFonts w:ascii="Arial" w:hAnsi="Arial" w:cs="Arial"/>
          <w:color w:val="000000" w:themeColor="text1"/>
          <w:sz w:val="21"/>
          <w:szCs w:val="21"/>
        </w:rPr>
        <w:t>Planos de ubicación y perimétrico en coordenadas UTM, a escala apropiada, del predio ofrecido en permuta, firmado por ingeniero o arquitecto colegiado, y del predio estatal solicitado en permuta, cuando forme parte de un área de mayor extensión.</w:t>
      </w:r>
    </w:p>
    <w:p w:rsidR="00F205B0" w:rsidRPr="00FD2950" w:rsidRDefault="00F205B0" w:rsidP="00F205B0">
      <w:pPr>
        <w:pStyle w:val="Prrafodelista"/>
        <w:spacing w:after="0" w:line="240" w:lineRule="auto"/>
        <w:ind w:left="1253" w:hanging="283"/>
        <w:rPr>
          <w:rFonts w:ascii="Arial" w:hAnsi="Arial" w:cs="Arial"/>
          <w:color w:val="000000" w:themeColor="text1"/>
          <w:sz w:val="21"/>
          <w:szCs w:val="21"/>
        </w:rPr>
      </w:pPr>
    </w:p>
    <w:p w:rsidR="00F205B0" w:rsidRPr="00FD2950" w:rsidRDefault="00F205B0" w:rsidP="0092471C">
      <w:pPr>
        <w:pStyle w:val="Prrafodelista"/>
        <w:numPr>
          <w:ilvl w:val="0"/>
          <w:numId w:val="335"/>
        </w:numPr>
        <w:spacing w:after="0" w:line="240" w:lineRule="auto"/>
        <w:ind w:left="1253" w:hanging="283"/>
        <w:jc w:val="both"/>
        <w:rPr>
          <w:rFonts w:ascii="Arial" w:hAnsi="Arial" w:cs="Arial"/>
          <w:color w:val="000000" w:themeColor="text1"/>
          <w:sz w:val="21"/>
          <w:szCs w:val="21"/>
        </w:rPr>
      </w:pPr>
      <w:r w:rsidRPr="00FD2950">
        <w:rPr>
          <w:rFonts w:ascii="Arial" w:hAnsi="Arial" w:cs="Arial"/>
          <w:color w:val="000000" w:themeColor="text1"/>
          <w:sz w:val="21"/>
          <w:szCs w:val="21"/>
        </w:rPr>
        <w:t>Memoria Descriptiva del predio ofrecido en permuta, firmada por ingeniero o arquitecto colegiado, y del predio estatal solicitado en permuta, cuando forme parte de un área de mayor extensión.</w:t>
      </w:r>
    </w:p>
    <w:p w:rsidR="00F205B0" w:rsidRPr="00FD2950" w:rsidRDefault="00F205B0" w:rsidP="00F205B0">
      <w:pPr>
        <w:pStyle w:val="Prrafodelista"/>
        <w:spacing w:after="0" w:line="240" w:lineRule="auto"/>
        <w:ind w:left="1253" w:hanging="283"/>
        <w:rPr>
          <w:rFonts w:ascii="Arial" w:hAnsi="Arial" w:cs="Arial"/>
          <w:color w:val="000000" w:themeColor="text1"/>
          <w:sz w:val="21"/>
          <w:szCs w:val="21"/>
        </w:rPr>
      </w:pPr>
    </w:p>
    <w:p w:rsidR="00F205B0" w:rsidRPr="00FD2950" w:rsidRDefault="00F205B0" w:rsidP="0092471C">
      <w:pPr>
        <w:pStyle w:val="Prrafodelista"/>
        <w:numPr>
          <w:ilvl w:val="0"/>
          <w:numId w:val="335"/>
        </w:numPr>
        <w:spacing w:after="0" w:line="240" w:lineRule="auto"/>
        <w:ind w:left="1253" w:hanging="283"/>
        <w:jc w:val="both"/>
        <w:rPr>
          <w:rFonts w:ascii="Arial" w:hAnsi="Arial" w:cs="Arial"/>
          <w:color w:val="000000" w:themeColor="text1"/>
          <w:sz w:val="21"/>
          <w:szCs w:val="21"/>
        </w:rPr>
      </w:pPr>
      <w:r w:rsidRPr="00FD2950">
        <w:rPr>
          <w:rFonts w:ascii="Arial" w:hAnsi="Arial" w:cs="Arial"/>
          <w:color w:val="000000" w:themeColor="text1"/>
          <w:sz w:val="21"/>
          <w:szCs w:val="21"/>
        </w:rPr>
        <w:t xml:space="preserve">Declaración Jurada de inexistencia de cargas, gravámenes, deudas tributarias, procesos judiciales u otras restricciones técnicas o legales que impidan la transferencia del predio ofrecido en permuta (Anexo N° 3). </w:t>
      </w:r>
    </w:p>
    <w:p w:rsidR="00F205B0" w:rsidRPr="00FD2950" w:rsidRDefault="00F205B0" w:rsidP="00F205B0">
      <w:pPr>
        <w:pStyle w:val="Prrafodelista"/>
        <w:spacing w:after="0" w:line="240" w:lineRule="auto"/>
        <w:ind w:left="969" w:hanging="283"/>
        <w:rPr>
          <w:rFonts w:ascii="Arial" w:hAnsi="Arial" w:cs="Arial"/>
          <w:color w:val="000000" w:themeColor="text1"/>
          <w:sz w:val="21"/>
          <w:szCs w:val="21"/>
        </w:rPr>
      </w:pPr>
    </w:p>
    <w:p w:rsidR="00F205B0" w:rsidRPr="00FD2950" w:rsidRDefault="00F205B0" w:rsidP="0092471C">
      <w:pPr>
        <w:pStyle w:val="Prrafodelista"/>
        <w:numPr>
          <w:ilvl w:val="0"/>
          <w:numId w:val="335"/>
        </w:numPr>
        <w:spacing w:after="0" w:line="240" w:lineRule="auto"/>
        <w:ind w:left="1253" w:hanging="283"/>
        <w:jc w:val="both"/>
        <w:rPr>
          <w:rFonts w:ascii="Arial" w:hAnsi="Arial" w:cs="Arial"/>
          <w:color w:val="000000" w:themeColor="text1"/>
          <w:sz w:val="21"/>
          <w:szCs w:val="21"/>
        </w:rPr>
      </w:pPr>
      <w:r w:rsidRPr="00FD2950">
        <w:rPr>
          <w:rFonts w:ascii="Arial" w:hAnsi="Arial" w:cs="Arial"/>
          <w:sz w:val="21"/>
          <w:szCs w:val="21"/>
        </w:rPr>
        <w:t>Certificado de Zonificación y Vías o Certificado de Parámetros Urbanísticos del predio ofrecido en permuta.</w:t>
      </w:r>
      <w:r w:rsidRPr="00FD2950">
        <w:rPr>
          <w:rFonts w:ascii="Arial" w:hAnsi="Arial" w:cs="Arial"/>
          <w:color w:val="000000" w:themeColor="text1"/>
          <w:sz w:val="21"/>
          <w:szCs w:val="21"/>
        </w:rPr>
        <w:t xml:space="preserve"> </w:t>
      </w:r>
    </w:p>
    <w:p w:rsidR="00F205B0" w:rsidRPr="00FD2950" w:rsidRDefault="00F205B0" w:rsidP="00F205B0">
      <w:pPr>
        <w:spacing w:after="0" w:line="240" w:lineRule="auto"/>
        <w:ind w:left="1134"/>
        <w:jc w:val="both"/>
        <w:rPr>
          <w:rFonts w:ascii="Arial" w:hAnsi="Arial" w:cs="Arial"/>
          <w:color w:val="000000" w:themeColor="text1"/>
          <w:sz w:val="21"/>
          <w:szCs w:val="21"/>
        </w:rPr>
      </w:pPr>
    </w:p>
    <w:p w:rsidR="00F205B0" w:rsidRPr="00FD2950" w:rsidRDefault="00F205B0" w:rsidP="00F205B0">
      <w:pPr>
        <w:spacing w:after="0" w:line="240" w:lineRule="auto"/>
        <w:ind w:left="969"/>
        <w:jc w:val="both"/>
        <w:rPr>
          <w:rFonts w:ascii="Arial" w:hAnsi="Arial" w:cs="Arial"/>
          <w:color w:val="000000" w:themeColor="text1"/>
          <w:sz w:val="21"/>
          <w:szCs w:val="21"/>
        </w:rPr>
      </w:pPr>
      <w:r w:rsidRPr="00FD2950">
        <w:rPr>
          <w:rFonts w:ascii="Arial" w:hAnsi="Arial" w:cs="Arial"/>
          <w:color w:val="000000" w:themeColor="text1"/>
          <w:sz w:val="21"/>
          <w:szCs w:val="21"/>
        </w:rPr>
        <w:t>En el caso de la permuta predial entre entidades públicas, debe adjuntarse, además de los requisitos señalados anteriormente, el informe técnico legal respectivo.</w:t>
      </w:r>
    </w:p>
    <w:p w:rsidR="00F205B0" w:rsidRPr="00FD2950" w:rsidRDefault="00F205B0" w:rsidP="00F205B0">
      <w:pPr>
        <w:spacing w:after="0" w:line="240" w:lineRule="auto"/>
        <w:jc w:val="both"/>
        <w:rPr>
          <w:rFonts w:ascii="Arial" w:hAnsi="Arial" w:cs="Arial"/>
          <w:sz w:val="21"/>
          <w:szCs w:val="21"/>
        </w:rPr>
      </w:pPr>
    </w:p>
    <w:p w:rsidR="00F205B0" w:rsidRPr="00FD2950" w:rsidRDefault="00F205B0" w:rsidP="00F205B0">
      <w:pPr>
        <w:spacing w:after="0" w:line="240" w:lineRule="auto"/>
        <w:ind w:left="969" w:hanging="568"/>
        <w:jc w:val="both"/>
        <w:rPr>
          <w:rFonts w:ascii="Arial" w:hAnsi="Arial" w:cs="Arial"/>
          <w:b/>
          <w:sz w:val="21"/>
          <w:szCs w:val="21"/>
        </w:rPr>
      </w:pPr>
      <w:r w:rsidRPr="00FD2950">
        <w:rPr>
          <w:rFonts w:ascii="Arial" w:hAnsi="Arial" w:cs="Arial"/>
          <w:b/>
          <w:sz w:val="21"/>
          <w:szCs w:val="21"/>
        </w:rPr>
        <w:t>6.3.</w:t>
      </w:r>
      <w:r w:rsidRPr="00FD2950">
        <w:rPr>
          <w:rFonts w:ascii="Arial" w:hAnsi="Arial" w:cs="Arial"/>
          <w:b/>
          <w:sz w:val="21"/>
          <w:szCs w:val="21"/>
        </w:rPr>
        <w:tab/>
        <w:t>Calificación formal de la solicitud</w:t>
      </w:r>
    </w:p>
    <w:p w:rsidR="00F205B0" w:rsidRPr="00FD2950" w:rsidRDefault="00F205B0" w:rsidP="00F205B0">
      <w:pPr>
        <w:spacing w:after="0" w:line="240" w:lineRule="auto"/>
        <w:ind w:left="969"/>
        <w:jc w:val="both"/>
        <w:rPr>
          <w:rFonts w:ascii="Arial" w:hAnsi="Arial" w:cs="Arial"/>
          <w:sz w:val="21"/>
          <w:szCs w:val="21"/>
        </w:rPr>
      </w:pPr>
      <w:r w:rsidRPr="00FD2950">
        <w:rPr>
          <w:rFonts w:ascii="Arial" w:hAnsi="Arial" w:cs="Arial"/>
          <w:sz w:val="21"/>
          <w:szCs w:val="21"/>
        </w:rPr>
        <w:t>Recibida la solicitud, el órgano responsable de la entidad pública competente, procede a verificar lo siguiente:</w:t>
      </w:r>
    </w:p>
    <w:p w:rsidR="00F205B0" w:rsidRPr="00FD2950" w:rsidRDefault="00F205B0" w:rsidP="00F205B0">
      <w:pPr>
        <w:spacing w:after="0" w:line="240" w:lineRule="auto"/>
        <w:jc w:val="both"/>
        <w:rPr>
          <w:rFonts w:ascii="Arial" w:hAnsi="Arial" w:cs="Arial"/>
          <w:sz w:val="21"/>
          <w:szCs w:val="21"/>
        </w:rPr>
      </w:pPr>
    </w:p>
    <w:p w:rsidR="00F205B0" w:rsidRPr="00FD2950" w:rsidRDefault="00F205B0" w:rsidP="00F205B0">
      <w:pPr>
        <w:spacing w:after="0" w:line="240" w:lineRule="auto"/>
        <w:ind w:left="1253" w:hanging="283"/>
        <w:rPr>
          <w:rFonts w:ascii="Arial" w:hAnsi="Arial" w:cs="Arial"/>
          <w:color w:val="000000" w:themeColor="text1"/>
          <w:sz w:val="21"/>
          <w:szCs w:val="21"/>
        </w:rPr>
      </w:pPr>
      <w:r w:rsidRPr="00FD2950">
        <w:rPr>
          <w:rFonts w:ascii="Arial" w:hAnsi="Arial" w:cs="Arial"/>
          <w:sz w:val="21"/>
          <w:szCs w:val="21"/>
        </w:rPr>
        <w:t>a)</w:t>
      </w:r>
      <w:r w:rsidRPr="00FD2950">
        <w:rPr>
          <w:rFonts w:ascii="Arial" w:hAnsi="Arial" w:cs="Arial"/>
          <w:sz w:val="21"/>
          <w:szCs w:val="21"/>
        </w:rPr>
        <w:tab/>
        <w:t xml:space="preserve">El cumplimiento de los requisitos </w:t>
      </w:r>
      <w:r w:rsidRPr="00FD2950">
        <w:rPr>
          <w:rFonts w:ascii="Arial" w:hAnsi="Arial" w:cs="Arial"/>
          <w:color w:val="000000" w:themeColor="text1"/>
          <w:sz w:val="21"/>
          <w:szCs w:val="21"/>
        </w:rPr>
        <w:t>a que refiere el numeral precedente, según corresponda;</w:t>
      </w:r>
    </w:p>
    <w:p w:rsidR="00F205B0" w:rsidRPr="00FD2950" w:rsidRDefault="00F205B0" w:rsidP="00F205B0">
      <w:pPr>
        <w:spacing w:after="0" w:line="240" w:lineRule="auto"/>
        <w:ind w:left="1253" w:hanging="283"/>
        <w:jc w:val="both"/>
        <w:rPr>
          <w:rFonts w:ascii="Arial" w:hAnsi="Arial" w:cs="Arial"/>
          <w:sz w:val="21"/>
          <w:szCs w:val="21"/>
        </w:rPr>
      </w:pPr>
      <w:r w:rsidRPr="00FD2950">
        <w:rPr>
          <w:rFonts w:ascii="Arial" w:hAnsi="Arial" w:cs="Arial"/>
          <w:color w:val="000000" w:themeColor="text1"/>
          <w:sz w:val="21"/>
          <w:szCs w:val="21"/>
        </w:rPr>
        <w:t>b)</w:t>
      </w:r>
      <w:r w:rsidRPr="00FD2950">
        <w:rPr>
          <w:rFonts w:ascii="Arial" w:hAnsi="Arial" w:cs="Arial"/>
          <w:color w:val="000000" w:themeColor="text1"/>
          <w:sz w:val="21"/>
          <w:szCs w:val="21"/>
        </w:rPr>
        <w:tab/>
        <w:t>La libre disponibilidad del predio de dominio privado estatal solicitado u ofrecido en permuta, debiendo te</w:t>
      </w:r>
      <w:r w:rsidRPr="00FD2950">
        <w:rPr>
          <w:rFonts w:ascii="Arial" w:hAnsi="Arial" w:cs="Arial"/>
          <w:sz w:val="21"/>
          <w:szCs w:val="21"/>
        </w:rPr>
        <w:t xml:space="preserve">nerse en consideración la condición jurídica del predio y su no inclusión dentro de un régimen legal especial para la administración o disposición del mismo; y, </w:t>
      </w:r>
    </w:p>
    <w:p w:rsidR="00F205B0" w:rsidRPr="00FD2950" w:rsidRDefault="00F205B0" w:rsidP="00F205B0">
      <w:pPr>
        <w:spacing w:after="0" w:line="240" w:lineRule="auto"/>
        <w:ind w:left="1253" w:hanging="283"/>
        <w:jc w:val="both"/>
        <w:rPr>
          <w:rFonts w:ascii="Arial" w:hAnsi="Arial" w:cs="Arial"/>
          <w:sz w:val="21"/>
          <w:szCs w:val="21"/>
        </w:rPr>
      </w:pPr>
      <w:r w:rsidRPr="00FD2950">
        <w:rPr>
          <w:rFonts w:ascii="Arial" w:hAnsi="Arial" w:cs="Arial"/>
          <w:sz w:val="21"/>
          <w:szCs w:val="21"/>
        </w:rPr>
        <w:t>c)</w:t>
      </w:r>
      <w:r w:rsidRPr="00FD2950">
        <w:rPr>
          <w:rFonts w:ascii="Arial" w:hAnsi="Arial" w:cs="Arial"/>
          <w:sz w:val="21"/>
          <w:szCs w:val="21"/>
        </w:rPr>
        <w:tab/>
        <w:t>La inexistencia de cargas, gravámenes, deudas tributarias, procesos judiciales u otras restricciones técnicas o legales sobre el predio de propiedad privada en permuta, según corresponda (Anexo N° 3).</w:t>
      </w:r>
    </w:p>
    <w:p w:rsidR="00F205B0" w:rsidRPr="00FD2950" w:rsidRDefault="00F205B0" w:rsidP="00F205B0">
      <w:pPr>
        <w:spacing w:after="0" w:line="240" w:lineRule="auto"/>
        <w:jc w:val="both"/>
        <w:rPr>
          <w:rFonts w:ascii="Arial" w:hAnsi="Arial" w:cs="Arial"/>
          <w:sz w:val="21"/>
          <w:szCs w:val="21"/>
        </w:rPr>
      </w:pPr>
    </w:p>
    <w:p w:rsidR="00F205B0" w:rsidRPr="00FD2950" w:rsidRDefault="00F205B0" w:rsidP="00F205B0">
      <w:pPr>
        <w:spacing w:after="0" w:line="240" w:lineRule="auto"/>
        <w:ind w:left="969"/>
        <w:jc w:val="both"/>
        <w:rPr>
          <w:rFonts w:ascii="Arial" w:hAnsi="Arial" w:cs="Arial"/>
          <w:sz w:val="21"/>
          <w:szCs w:val="21"/>
        </w:rPr>
      </w:pPr>
      <w:r w:rsidRPr="00FD2950">
        <w:rPr>
          <w:rFonts w:ascii="Arial" w:hAnsi="Arial" w:cs="Arial"/>
          <w:sz w:val="21"/>
          <w:szCs w:val="21"/>
        </w:rPr>
        <w:t>De ser necesario, dicho órgano requiere al administrado efectuar la aclaración, precisión o reformulación de su pedido o complementar la documentación, en el plazo máximo de diez (10) días hábiles, computados a partir del día siguiente de su notificación. De manera excepcional y por razones justificadas debidamente acreditadas, puede prorrogarse dicho plazo por igual término y por única vez, siempre que el administrado lo solicite antes de su vencimiento.</w:t>
      </w:r>
    </w:p>
    <w:p w:rsidR="00F205B0" w:rsidRPr="00FD2950" w:rsidRDefault="00F205B0" w:rsidP="00F205B0">
      <w:pPr>
        <w:spacing w:after="0" w:line="240" w:lineRule="auto"/>
        <w:ind w:left="969"/>
        <w:jc w:val="both"/>
        <w:rPr>
          <w:rFonts w:ascii="Arial" w:hAnsi="Arial" w:cs="Arial"/>
          <w:sz w:val="21"/>
          <w:szCs w:val="21"/>
        </w:rPr>
      </w:pPr>
    </w:p>
    <w:p w:rsidR="00F205B0" w:rsidRPr="00FD2950" w:rsidRDefault="00F205B0" w:rsidP="00F205B0">
      <w:pPr>
        <w:spacing w:after="0" w:line="240" w:lineRule="auto"/>
        <w:ind w:left="969"/>
        <w:jc w:val="both"/>
        <w:rPr>
          <w:rFonts w:ascii="Arial" w:hAnsi="Arial" w:cs="Arial"/>
          <w:sz w:val="21"/>
          <w:szCs w:val="21"/>
        </w:rPr>
      </w:pPr>
      <w:r w:rsidRPr="00FD2950">
        <w:rPr>
          <w:rFonts w:ascii="Arial" w:hAnsi="Arial" w:cs="Arial"/>
          <w:sz w:val="21"/>
          <w:szCs w:val="21"/>
        </w:rPr>
        <w:t xml:space="preserve">En caso que el administrado no subsane las observaciones advertidas en el plazo concedido, </w:t>
      </w:r>
      <w:r w:rsidRPr="00FD2950">
        <w:rPr>
          <w:rFonts w:ascii="Arial" w:hAnsi="Arial" w:cs="Arial"/>
          <w:color w:val="000000" w:themeColor="text1"/>
          <w:sz w:val="21"/>
          <w:szCs w:val="21"/>
        </w:rPr>
        <w:t xml:space="preserve">se emitirá la resolución que declara la inadmisibilidad </w:t>
      </w:r>
      <w:r w:rsidRPr="00FD2950">
        <w:rPr>
          <w:rFonts w:ascii="Arial" w:hAnsi="Arial" w:cs="Arial"/>
          <w:sz w:val="21"/>
          <w:szCs w:val="21"/>
        </w:rPr>
        <w:t>de la solicitud, dándose concluido el procedimiento y procediéndose al archivo definitivo del expediente administrativo. Dicha resolución debe notificarse al administrado de acuerdo al régimen de notificaciones previsto en el artículo 21º de la Ley Nº 27444 – Ley del Procedimiento Administrativo General.</w:t>
      </w:r>
    </w:p>
    <w:p w:rsidR="00F205B0" w:rsidRPr="00FD2950" w:rsidRDefault="00F205B0" w:rsidP="00F205B0">
      <w:pPr>
        <w:spacing w:after="0" w:line="240" w:lineRule="auto"/>
        <w:ind w:left="1418"/>
        <w:jc w:val="both"/>
        <w:rPr>
          <w:rFonts w:ascii="Arial" w:hAnsi="Arial" w:cs="Arial"/>
          <w:sz w:val="21"/>
          <w:szCs w:val="21"/>
        </w:rPr>
      </w:pPr>
    </w:p>
    <w:p w:rsidR="00F205B0" w:rsidRPr="00FD2950" w:rsidRDefault="00F205B0" w:rsidP="00F205B0">
      <w:pPr>
        <w:spacing w:after="0" w:line="240" w:lineRule="auto"/>
        <w:ind w:left="969" w:hanging="567"/>
        <w:jc w:val="both"/>
        <w:rPr>
          <w:rFonts w:ascii="Arial" w:hAnsi="Arial" w:cs="Arial"/>
          <w:b/>
          <w:sz w:val="21"/>
          <w:szCs w:val="21"/>
        </w:rPr>
      </w:pPr>
      <w:r w:rsidRPr="00FD2950">
        <w:rPr>
          <w:rFonts w:ascii="Arial" w:hAnsi="Arial" w:cs="Arial"/>
          <w:b/>
          <w:sz w:val="21"/>
          <w:szCs w:val="21"/>
        </w:rPr>
        <w:t>6.4.</w:t>
      </w:r>
      <w:r w:rsidRPr="00FD2950">
        <w:rPr>
          <w:rFonts w:ascii="Arial" w:hAnsi="Arial" w:cs="Arial"/>
          <w:b/>
          <w:sz w:val="21"/>
          <w:szCs w:val="21"/>
        </w:rPr>
        <w:tab/>
        <w:t xml:space="preserve">Inspección técnica </w:t>
      </w:r>
    </w:p>
    <w:p w:rsidR="00F205B0" w:rsidRPr="00FD2950" w:rsidRDefault="00F205B0" w:rsidP="00F205B0">
      <w:pPr>
        <w:spacing w:after="0" w:line="240" w:lineRule="auto"/>
        <w:ind w:left="969"/>
        <w:jc w:val="both"/>
        <w:rPr>
          <w:rFonts w:ascii="Arial" w:hAnsi="Arial" w:cs="Arial"/>
          <w:sz w:val="21"/>
          <w:szCs w:val="21"/>
        </w:rPr>
      </w:pPr>
      <w:r w:rsidRPr="00FD2950">
        <w:rPr>
          <w:rFonts w:ascii="Arial" w:hAnsi="Arial" w:cs="Arial"/>
          <w:sz w:val="21"/>
          <w:szCs w:val="21"/>
        </w:rPr>
        <w:t>De ser favorable la calificación formal de la solicitud, el órgano responsable de la entidad pública competente, realiza la inspección técnica de los predios materia de permuta, verificando lo siguiente:</w:t>
      </w:r>
    </w:p>
    <w:p w:rsidR="00F205B0" w:rsidRPr="00FD2950" w:rsidRDefault="00F205B0" w:rsidP="00F205B0">
      <w:pPr>
        <w:spacing w:after="0" w:line="240" w:lineRule="auto"/>
        <w:jc w:val="both"/>
        <w:rPr>
          <w:rFonts w:ascii="Arial" w:hAnsi="Arial" w:cs="Arial"/>
          <w:sz w:val="21"/>
          <w:szCs w:val="21"/>
        </w:rPr>
      </w:pPr>
    </w:p>
    <w:p w:rsidR="00F205B0" w:rsidRDefault="00F205B0" w:rsidP="00F205B0">
      <w:pPr>
        <w:spacing w:after="0" w:line="240" w:lineRule="auto"/>
        <w:ind w:left="1536" w:hanging="567"/>
        <w:jc w:val="both"/>
        <w:rPr>
          <w:rFonts w:ascii="Arial" w:hAnsi="Arial" w:cs="Arial"/>
          <w:sz w:val="21"/>
          <w:szCs w:val="21"/>
        </w:rPr>
      </w:pPr>
      <w:r>
        <w:rPr>
          <w:rFonts w:ascii="Arial" w:hAnsi="Arial" w:cs="Arial"/>
          <w:sz w:val="21"/>
          <w:szCs w:val="21"/>
        </w:rPr>
        <w:t xml:space="preserve">6.4.1. </w:t>
      </w:r>
      <w:r w:rsidRPr="00FD2950">
        <w:rPr>
          <w:rFonts w:ascii="Arial" w:hAnsi="Arial" w:cs="Arial"/>
          <w:sz w:val="21"/>
          <w:szCs w:val="21"/>
        </w:rPr>
        <w:t xml:space="preserve">La situación física, vale decir, </w:t>
      </w:r>
      <w:r>
        <w:rPr>
          <w:rFonts w:ascii="Arial" w:hAnsi="Arial" w:cs="Arial"/>
          <w:sz w:val="21"/>
          <w:szCs w:val="21"/>
        </w:rPr>
        <w:t>la ocupación o no de los predios materia de pemuta.</w:t>
      </w:r>
    </w:p>
    <w:p w:rsidR="00F205B0" w:rsidRDefault="00F205B0" w:rsidP="00F205B0">
      <w:pPr>
        <w:spacing w:after="0" w:line="240" w:lineRule="auto"/>
        <w:ind w:left="1536" w:hanging="567"/>
        <w:jc w:val="both"/>
        <w:rPr>
          <w:rFonts w:ascii="Arial" w:hAnsi="Arial" w:cs="Arial"/>
          <w:sz w:val="21"/>
          <w:szCs w:val="21"/>
        </w:rPr>
      </w:pPr>
      <w:r>
        <w:rPr>
          <w:rFonts w:ascii="Arial" w:hAnsi="Arial" w:cs="Arial"/>
          <w:sz w:val="21"/>
          <w:szCs w:val="21"/>
        </w:rPr>
        <w:t xml:space="preserve">6.4.2. </w:t>
      </w:r>
      <w:r w:rsidRPr="00FD2950">
        <w:rPr>
          <w:rFonts w:ascii="Arial" w:hAnsi="Arial" w:cs="Arial"/>
          <w:sz w:val="21"/>
          <w:szCs w:val="21"/>
        </w:rPr>
        <w:t>Las restricciones en que pudieran encontrarse los predios, tales como: zonas de riesgo, zonas carentes de las condiciones de higiene y salubridad, áreas de vías públicas, entre otros.</w:t>
      </w:r>
    </w:p>
    <w:p w:rsidR="00F205B0" w:rsidRPr="00FD2950" w:rsidRDefault="00F205B0" w:rsidP="00F205B0">
      <w:pPr>
        <w:tabs>
          <w:tab w:val="left" w:pos="1253"/>
        </w:tabs>
        <w:spacing w:after="0" w:line="240" w:lineRule="auto"/>
        <w:ind w:left="1536" w:hanging="567"/>
        <w:jc w:val="both"/>
        <w:rPr>
          <w:rFonts w:ascii="Arial" w:hAnsi="Arial" w:cs="Arial"/>
          <w:sz w:val="21"/>
          <w:szCs w:val="21"/>
        </w:rPr>
      </w:pPr>
      <w:r>
        <w:rPr>
          <w:rFonts w:ascii="Arial" w:hAnsi="Arial" w:cs="Arial"/>
          <w:sz w:val="21"/>
          <w:szCs w:val="21"/>
        </w:rPr>
        <w:t>6.4.3. Las edificaciones y/o construcciones y/o servicios básicos en los predios.</w:t>
      </w:r>
    </w:p>
    <w:p w:rsidR="00F205B0" w:rsidRPr="00FD2950" w:rsidRDefault="00F205B0" w:rsidP="00F205B0">
      <w:pPr>
        <w:spacing w:after="0" w:line="240" w:lineRule="auto"/>
        <w:jc w:val="both"/>
        <w:rPr>
          <w:rFonts w:ascii="Arial" w:hAnsi="Arial" w:cs="Arial"/>
          <w:sz w:val="21"/>
          <w:szCs w:val="21"/>
        </w:rPr>
      </w:pPr>
    </w:p>
    <w:p w:rsidR="00F205B0" w:rsidRPr="00FD2950" w:rsidRDefault="00F205B0" w:rsidP="00F205B0">
      <w:pPr>
        <w:spacing w:after="0" w:line="240" w:lineRule="auto"/>
        <w:ind w:left="969" w:hanging="568"/>
        <w:jc w:val="both"/>
        <w:rPr>
          <w:rFonts w:ascii="Arial" w:hAnsi="Arial" w:cs="Arial"/>
          <w:b/>
          <w:sz w:val="21"/>
          <w:szCs w:val="21"/>
        </w:rPr>
      </w:pPr>
      <w:r w:rsidRPr="00FD2950">
        <w:rPr>
          <w:rFonts w:ascii="Arial" w:hAnsi="Arial" w:cs="Arial"/>
          <w:b/>
          <w:sz w:val="21"/>
          <w:szCs w:val="21"/>
        </w:rPr>
        <w:t>6.5.</w:t>
      </w:r>
      <w:r w:rsidRPr="00FD2950">
        <w:rPr>
          <w:rFonts w:ascii="Arial" w:hAnsi="Arial" w:cs="Arial"/>
          <w:b/>
          <w:sz w:val="21"/>
          <w:szCs w:val="21"/>
        </w:rPr>
        <w:tab/>
        <w:t>Valorización comercial</w:t>
      </w:r>
    </w:p>
    <w:p w:rsidR="00F205B0" w:rsidRPr="00FD2950" w:rsidRDefault="00F205B0" w:rsidP="00F205B0">
      <w:pPr>
        <w:spacing w:after="0" w:line="240" w:lineRule="auto"/>
        <w:ind w:left="969"/>
        <w:jc w:val="both"/>
        <w:rPr>
          <w:rFonts w:ascii="Arial" w:hAnsi="Arial" w:cs="Arial"/>
          <w:sz w:val="21"/>
          <w:szCs w:val="21"/>
        </w:rPr>
      </w:pPr>
      <w:r w:rsidRPr="00FD2950">
        <w:rPr>
          <w:rFonts w:ascii="Arial" w:hAnsi="Arial" w:cs="Arial"/>
          <w:sz w:val="21"/>
          <w:szCs w:val="21"/>
        </w:rPr>
        <w:t>Concluida la inspección técnica, el órgano responsable de la entidad pública competente comunica al administrado (persona natural o jurídica de derecho privado) los gastos que debe asumir como consecuencia de la valorización comercial de su predio y el de la entidad pública, a fin que entregue el monto respectivo ante la unidad orgánica de tesorería o la que haga sus veces, o efectúe el depósito en la cuenta bancaria de dicha entidad, en el plazo máximo de diez (10) días hábiles de recibida la comunicación, caso contrario se declara la inadmisibilidad de la solicitud, la conclusión del procedimiento y el archivo del expediente administrativo.</w:t>
      </w:r>
    </w:p>
    <w:p w:rsidR="00F205B0" w:rsidRPr="00FD2950" w:rsidRDefault="00F205B0" w:rsidP="00F205B0">
      <w:pPr>
        <w:spacing w:after="0" w:line="240" w:lineRule="auto"/>
        <w:ind w:left="969"/>
        <w:jc w:val="both"/>
        <w:rPr>
          <w:rFonts w:ascii="Arial" w:hAnsi="Arial" w:cs="Arial"/>
          <w:sz w:val="21"/>
          <w:szCs w:val="21"/>
        </w:rPr>
      </w:pPr>
    </w:p>
    <w:p w:rsidR="00F205B0" w:rsidRPr="00FD2950" w:rsidRDefault="00F205B0" w:rsidP="00F205B0">
      <w:pPr>
        <w:spacing w:after="0" w:line="240" w:lineRule="auto"/>
        <w:ind w:left="969"/>
        <w:jc w:val="both"/>
        <w:rPr>
          <w:rFonts w:ascii="Arial" w:hAnsi="Arial" w:cs="Arial"/>
          <w:sz w:val="21"/>
          <w:szCs w:val="21"/>
        </w:rPr>
      </w:pPr>
      <w:r w:rsidRPr="00FD2950">
        <w:rPr>
          <w:rFonts w:ascii="Arial" w:hAnsi="Arial" w:cs="Arial"/>
          <w:sz w:val="21"/>
          <w:szCs w:val="21"/>
        </w:rPr>
        <w:t>En el caso del procedimiento de permuta predial entre entidades públicas, la comunicación y el plazo para la entrega o depósito del monto correspondiente a la valorización a que refiere el párrafo precedente, sólo involucra al predio de la entidad pública ofrecido en p</w:t>
      </w:r>
      <w:r w:rsidRPr="00FD2950">
        <w:rPr>
          <w:rFonts w:ascii="Arial" w:hAnsi="Arial" w:cs="Arial"/>
          <w:color w:val="000000" w:themeColor="text1"/>
          <w:sz w:val="21"/>
          <w:szCs w:val="21"/>
        </w:rPr>
        <w:t>ermuta, toda vez que, la entidad pública competente solicita la valorización comercial del predio de su propiedad, bajo su competencia o administración.</w:t>
      </w:r>
      <w:r w:rsidRPr="00FD2950">
        <w:rPr>
          <w:rFonts w:ascii="Arial" w:hAnsi="Arial" w:cs="Arial"/>
          <w:sz w:val="21"/>
          <w:szCs w:val="21"/>
        </w:rPr>
        <w:t xml:space="preserve">  </w:t>
      </w:r>
    </w:p>
    <w:p w:rsidR="00F205B0" w:rsidRPr="00FD2950" w:rsidRDefault="00F205B0" w:rsidP="00F205B0">
      <w:pPr>
        <w:spacing w:after="0" w:line="240" w:lineRule="auto"/>
        <w:ind w:left="686"/>
        <w:jc w:val="both"/>
        <w:rPr>
          <w:rFonts w:ascii="Arial" w:hAnsi="Arial" w:cs="Arial"/>
          <w:sz w:val="21"/>
          <w:szCs w:val="21"/>
        </w:rPr>
      </w:pPr>
    </w:p>
    <w:p w:rsidR="00F205B0" w:rsidRPr="00FD2950" w:rsidRDefault="00F205B0" w:rsidP="00F205B0">
      <w:pPr>
        <w:spacing w:after="0" w:line="240" w:lineRule="auto"/>
        <w:ind w:left="969"/>
        <w:jc w:val="both"/>
        <w:rPr>
          <w:rFonts w:ascii="Arial" w:hAnsi="Arial" w:cs="Arial"/>
          <w:sz w:val="21"/>
          <w:szCs w:val="21"/>
        </w:rPr>
      </w:pPr>
      <w:r w:rsidRPr="00FD2950">
        <w:rPr>
          <w:rFonts w:ascii="Arial" w:hAnsi="Arial" w:cs="Arial"/>
          <w:sz w:val="21"/>
          <w:szCs w:val="21"/>
        </w:rPr>
        <w:t>El pago del servicio de valorización no obliga ni condiciona la aprobación de la permuta, por parte de la entidad pública competente.</w:t>
      </w:r>
    </w:p>
    <w:p w:rsidR="00F205B0" w:rsidRPr="00FD2950" w:rsidRDefault="00F205B0" w:rsidP="00F205B0">
      <w:pPr>
        <w:spacing w:after="0" w:line="240" w:lineRule="auto"/>
        <w:ind w:left="969"/>
        <w:jc w:val="both"/>
        <w:rPr>
          <w:rFonts w:ascii="Arial" w:hAnsi="Arial" w:cs="Arial"/>
          <w:sz w:val="21"/>
          <w:szCs w:val="21"/>
        </w:rPr>
      </w:pPr>
    </w:p>
    <w:p w:rsidR="00F205B0" w:rsidRPr="00FD2950" w:rsidRDefault="00F205B0" w:rsidP="00F205B0">
      <w:pPr>
        <w:spacing w:after="0" w:line="240" w:lineRule="auto"/>
        <w:ind w:left="969"/>
        <w:jc w:val="both"/>
        <w:rPr>
          <w:rFonts w:ascii="Arial" w:hAnsi="Arial" w:cs="Arial"/>
          <w:sz w:val="21"/>
          <w:szCs w:val="21"/>
        </w:rPr>
      </w:pPr>
      <w:r w:rsidRPr="00FD2950">
        <w:rPr>
          <w:rFonts w:ascii="Arial" w:hAnsi="Arial" w:cs="Arial"/>
          <w:sz w:val="21"/>
          <w:szCs w:val="21"/>
        </w:rPr>
        <w:t>El organismo especializado o perito tasador debe presentar a la entidad pública competente, un informe de valorización comercial y el estudio de mercado, con la debida fundamentación de su utilización en la valorización efectuada de los predios materia de permuta.</w:t>
      </w:r>
    </w:p>
    <w:p w:rsidR="00F205B0" w:rsidRPr="00FD2950" w:rsidRDefault="00F205B0" w:rsidP="00F205B0">
      <w:pPr>
        <w:spacing w:after="0" w:line="240" w:lineRule="auto"/>
        <w:ind w:left="969"/>
        <w:jc w:val="both"/>
        <w:rPr>
          <w:rFonts w:ascii="Arial" w:hAnsi="Arial" w:cs="Arial"/>
          <w:sz w:val="21"/>
          <w:szCs w:val="21"/>
        </w:rPr>
      </w:pPr>
    </w:p>
    <w:p w:rsidR="00F205B0" w:rsidRPr="00FD2950" w:rsidRDefault="00F205B0" w:rsidP="00F205B0">
      <w:pPr>
        <w:spacing w:after="0" w:line="240" w:lineRule="auto"/>
        <w:ind w:left="969"/>
        <w:jc w:val="both"/>
        <w:rPr>
          <w:rFonts w:ascii="Arial" w:hAnsi="Arial" w:cs="Arial"/>
          <w:sz w:val="21"/>
          <w:szCs w:val="21"/>
        </w:rPr>
      </w:pPr>
      <w:r w:rsidRPr="00FD2950">
        <w:rPr>
          <w:rFonts w:ascii="Arial" w:hAnsi="Arial" w:cs="Arial"/>
          <w:sz w:val="21"/>
          <w:szCs w:val="21"/>
        </w:rPr>
        <w:t>Recibido el informe de valorización de los predios, el órgano responsable de la entidad pública competente debe evaluar y emitir el informe de conformidad al procedimiento y estudio de mercado de la valorización. De ser necesario, se requerirá la aclaración o rectificación al organismo o perito que efectuó la valorización, la misma que debe ser atendida en el plazo de diez (10) días hábiles de recibido el requerimiento.</w:t>
      </w:r>
    </w:p>
    <w:p w:rsidR="00F205B0" w:rsidRPr="00FD2950" w:rsidRDefault="00F205B0" w:rsidP="00F205B0">
      <w:pPr>
        <w:spacing w:after="0" w:line="240" w:lineRule="auto"/>
        <w:ind w:left="969"/>
        <w:jc w:val="both"/>
        <w:rPr>
          <w:rFonts w:ascii="Arial" w:hAnsi="Arial" w:cs="Arial"/>
          <w:sz w:val="21"/>
          <w:szCs w:val="21"/>
        </w:rPr>
      </w:pPr>
    </w:p>
    <w:p w:rsidR="00F205B0" w:rsidRPr="00FD2950" w:rsidRDefault="00F205B0" w:rsidP="00F205B0">
      <w:pPr>
        <w:spacing w:after="0" w:line="240" w:lineRule="auto"/>
        <w:ind w:left="969"/>
        <w:jc w:val="both"/>
        <w:rPr>
          <w:rFonts w:ascii="Arial" w:hAnsi="Arial" w:cs="Arial"/>
          <w:sz w:val="21"/>
          <w:szCs w:val="21"/>
        </w:rPr>
      </w:pPr>
      <w:r w:rsidRPr="00FD2950">
        <w:rPr>
          <w:rFonts w:ascii="Arial" w:hAnsi="Arial" w:cs="Arial"/>
          <w:sz w:val="21"/>
          <w:szCs w:val="21"/>
        </w:rPr>
        <w:t>La conformidad de la tasación debe ser firmada por el profesional (ingeniero o arquitecto) que interviene en la sustentación del procedimiento y visada por el profesional a cargo del órgano responsable, de acuerdo al formato que se aprueba como Anexos N°s 4, 5 o 6 de la presente directiva.</w:t>
      </w:r>
    </w:p>
    <w:p w:rsidR="00F205B0" w:rsidRPr="00FD2950" w:rsidRDefault="00F205B0" w:rsidP="00F205B0">
      <w:pPr>
        <w:spacing w:after="0" w:line="240" w:lineRule="auto"/>
        <w:ind w:left="1134"/>
        <w:jc w:val="both"/>
        <w:rPr>
          <w:rFonts w:ascii="Arial" w:hAnsi="Arial" w:cs="Arial"/>
          <w:sz w:val="21"/>
          <w:szCs w:val="21"/>
        </w:rPr>
      </w:pPr>
    </w:p>
    <w:p w:rsidR="00F205B0" w:rsidRPr="00193C44" w:rsidRDefault="00F205B0" w:rsidP="0092471C">
      <w:pPr>
        <w:pStyle w:val="Prrafodelista"/>
        <w:widowControl w:val="0"/>
        <w:numPr>
          <w:ilvl w:val="1"/>
          <w:numId w:val="340"/>
        </w:numPr>
        <w:suppressAutoHyphens/>
        <w:spacing w:after="0" w:line="240" w:lineRule="auto"/>
        <w:ind w:left="969"/>
        <w:contextualSpacing w:val="0"/>
        <w:jc w:val="both"/>
        <w:rPr>
          <w:rFonts w:ascii="Arial" w:hAnsi="Arial" w:cs="Arial"/>
          <w:b/>
          <w:sz w:val="21"/>
          <w:szCs w:val="21"/>
        </w:rPr>
      </w:pPr>
      <w:r w:rsidRPr="00193C44">
        <w:rPr>
          <w:rFonts w:ascii="Arial" w:hAnsi="Arial" w:cs="Arial"/>
          <w:b/>
          <w:sz w:val="21"/>
          <w:szCs w:val="21"/>
        </w:rPr>
        <w:t>Calificación sustantiva de la solicitud</w:t>
      </w:r>
    </w:p>
    <w:p w:rsidR="00F205B0" w:rsidRPr="00193C44" w:rsidRDefault="00F205B0" w:rsidP="00F205B0">
      <w:pPr>
        <w:pStyle w:val="Prrafodelista"/>
        <w:spacing w:after="0" w:line="240" w:lineRule="auto"/>
        <w:ind w:left="540"/>
        <w:jc w:val="both"/>
        <w:rPr>
          <w:rFonts w:ascii="Arial" w:hAnsi="Arial" w:cs="Arial"/>
          <w:b/>
          <w:sz w:val="21"/>
          <w:szCs w:val="21"/>
        </w:rPr>
      </w:pPr>
    </w:p>
    <w:p w:rsidR="00F205B0" w:rsidRDefault="00F205B0" w:rsidP="0092471C">
      <w:pPr>
        <w:pStyle w:val="Prrafodelista"/>
        <w:widowControl w:val="0"/>
        <w:numPr>
          <w:ilvl w:val="2"/>
          <w:numId w:val="340"/>
        </w:numPr>
        <w:suppressAutoHyphens/>
        <w:spacing w:after="0" w:line="240" w:lineRule="auto"/>
        <w:ind w:left="1678" w:hanging="709"/>
        <w:contextualSpacing w:val="0"/>
        <w:jc w:val="both"/>
        <w:rPr>
          <w:rFonts w:ascii="Arial" w:hAnsi="Arial" w:cs="Arial"/>
          <w:sz w:val="21"/>
          <w:szCs w:val="21"/>
        </w:rPr>
      </w:pPr>
      <w:r w:rsidRPr="00193C44">
        <w:rPr>
          <w:rFonts w:ascii="Arial" w:hAnsi="Arial" w:cs="Arial"/>
          <w:sz w:val="21"/>
          <w:szCs w:val="21"/>
        </w:rPr>
        <w:t xml:space="preserve">La calificación sustantiva </w:t>
      </w:r>
      <w:r w:rsidRPr="00193C44">
        <w:rPr>
          <w:rFonts w:ascii="Arial" w:hAnsi="Arial" w:cs="Arial"/>
          <w:color w:val="000000" w:themeColor="text1"/>
          <w:sz w:val="21"/>
          <w:szCs w:val="21"/>
        </w:rPr>
        <w:t xml:space="preserve">es realizada por el órgano responsable de la </w:t>
      </w:r>
      <w:r w:rsidRPr="00193C44">
        <w:rPr>
          <w:rFonts w:ascii="Arial" w:hAnsi="Arial" w:cs="Arial"/>
          <w:sz w:val="21"/>
          <w:szCs w:val="21"/>
        </w:rPr>
        <w:t>entidad pública competente, luego de efectuada la inspección técnica y/o la valoración comercial de los predios materia de permuta.</w:t>
      </w:r>
    </w:p>
    <w:p w:rsidR="00F205B0" w:rsidRDefault="00F205B0" w:rsidP="00F205B0">
      <w:pPr>
        <w:pStyle w:val="Prrafodelista"/>
        <w:spacing w:after="0" w:line="240" w:lineRule="auto"/>
        <w:ind w:left="1678" w:hanging="709"/>
        <w:jc w:val="both"/>
        <w:rPr>
          <w:rFonts w:ascii="Arial" w:hAnsi="Arial" w:cs="Arial"/>
          <w:sz w:val="21"/>
          <w:szCs w:val="21"/>
        </w:rPr>
      </w:pPr>
    </w:p>
    <w:p w:rsidR="00F205B0" w:rsidRPr="00193C44" w:rsidRDefault="00F205B0" w:rsidP="0092471C">
      <w:pPr>
        <w:pStyle w:val="Prrafodelista"/>
        <w:widowControl w:val="0"/>
        <w:numPr>
          <w:ilvl w:val="2"/>
          <w:numId w:val="340"/>
        </w:numPr>
        <w:suppressAutoHyphens/>
        <w:spacing w:after="0" w:line="240" w:lineRule="auto"/>
        <w:ind w:left="1678" w:hanging="709"/>
        <w:contextualSpacing w:val="0"/>
        <w:jc w:val="both"/>
        <w:rPr>
          <w:rFonts w:ascii="Arial" w:hAnsi="Arial" w:cs="Arial"/>
          <w:sz w:val="21"/>
          <w:szCs w:val="21"/>
        </w:rPr>
      </w:pPr>
      <w:r w:rsidRPr="00193C44">
        <w:rPr>
          <w:rFonts w:ascii="Arial" w:hAnsi="Arial" w:cs="Arial"/>
          <w:sz w:val="21"/>
          <w:szCs w:val="21"/>
        </w:rPr>
        <w:t>En esta etapa debe evaluarse el resultado de la situación física de los predios</w:t>
      </w:r>
      <w:r>
        <w:rPr>
          <w:rFonts w:ascii="Arial" w:hAnsi="Arial" w:cs="Arial"/>
          <w:sz w:val="21"/>
          <w:szCs w:val="21"/>
        </w:rPr>
        <w:t xml:space="preserve"> </w:t>
      </w:r>
      <w:r w:rsidRPr="00193C44">
        <w:rPr>
          <w:rFonts w:ascii="Arial" w:hAnsi="Arial" w:cs="Arial"/>
          <w:sz w:val="21"/>
          <w:szCs w:val="21"/>
        </w:rPr>
        <w:t xml:space="preserve">materia de permuta a que refiere el sub numeral 6.4.1., </w:t>
      </w:r>
      <w:r>
        <w:rPr>
          <w:rFonts w:ascii="Arial" w:hAnsi="Arial" w:cs="Arial"/>
          <w:sz w:val="21"/>
          <w:szCs w:val="21"/>
        </w:rPr>
        <w:t>aplicándose en el caso de predios ocupados las reglas siguientes</w:t>
      </w:r>
      <w:r w:rsidRPr="00193C44">
        <w:rPr>
          <w:rFonts w:ascii="Arial" w:hAnsi="Arial" w:cs="Arial"/>
          <w:sz w:val="21"/>
          <w:szCs w:val="21"/>
        </w:rPr>
        <w:t>:</w:t>
      </w:r>
    </w:p>
    <w:p w:rsidR="00F205B0" w:rsidRDefault="00F205B0" w:rsidP="00F205B0">
      <w:pPr>
        <w:spacing w:after="0" w:line="240" w:lineRule="auto"/>
        <w:ind w:left="686"/>
        <w:jc w:val="both"/>
        <w:rPr>
          <w:rFonts w:ascii="Arial" w:hAnsi="Arial" w:cs="Arial"/>
          <w:sz w:val="21"/>
          <w:szCs w:val="21"/>
        </w:rPr>
      </w:pPr>
    </w:p>
    <w:p w:rsidR="00F205B0" w:rsidRDefault="00F205B0" w:rsidP="0092471C">
      <w:pPr>
        <w:pStyle w:val="Prrafodelista"/>
        <w:widowControl w:val="0"/>
        <w:numPr>
          <w:ilvl w:val="0"/>
          <w:numId w:val="339"/>
        </w:numPr>
        <w:suppressAutoHyphens/>
        <w:spacing w:after="0" w:line="240" w:lineRule="auto"/>
        <w:ind w:left="2103"/>
        <w:contextualSpacing w:val="0"/>
        <w:jc w:val="both"/>
        <w:rPr>
          <w:rFonts w:ascii="Arial" w:hAnsi="Arial" w:cs="Arial"/>
          <w:sz w:val="21"/>
          <w:szCs w:val="21"/>
        </w:rPr>
      </w:pPr>
      <w:r w:rsidRPr="0085144B">
        <w:rPr>
          <w:rFonts w:ascii="Arial" w:hAnsi="Arial" w:cs="Arial"/>
          <w:sz w:val="21"/>
          <w:szCs w:val="21"/>
        </w:rPr>
        <w:t>El predio estatal de la entidad pública competente se encuentra ocupado por esta o el administrado (persona natural o jurídica de derecho privado) y el predio ofrecido en permuta por el administrado se encuentra ocupado por este o dicha entidad.</w:t>
      </w:r>
    </w:p>
    <w:p w:rsidR="00F205B0" w:rsidRDefault="00F205B0" w:rsidP="00F205B0">
      <w:pPr>
        <w:pStyle w:val="Prrafodelista"/>
        <w:spacing w:after="0" w:line="240" w:lineRule="auto"/>
        <w:ind w:left="2103"/>
        <w:jc w:val="both"/>
        <w:rPr>
          <w:rFonts w:ascii="Arial" w:hAnsi="Arial" w:cs="Arial"/>
          <w:sz w:val="21"/>
          <w:szCs w:val="21"/>
        </w:rPr>
      </w:pPr>
    </w:p>
    <w:p w:rsidR="00F205B0" w:rsidRDefault="00F205B0" w:rsidP="00F205B0">
      <w:pPr>
        <w:pStyle w:val="Prrafodelista"/>
        <w:spacing w:after="0" w:line="240" w:lineRule="auto"/>
        <w:ind w:left="2103"/>
        <w:jc w:val="both"/>
        <w:rPr>
          <w:rFonts w:ascii="Arial" w:hAnsi="Arial" w:cs="Arial"/>
          <w:sz w:val="21"/>
          <w:szCs w:val="21"/>
        </w:rPr>
      </w:pPr>
      <w:r>
        <w:rPr>
          <w:rFonts w:ascii="Arial" w:hAnsi="Arial" w:cs="Arial"/>
          <w:sz w:val="21"/>
          <w:szCs w:val="21"/>
        </w:rPr>
        <w:t>En estos</w:t>
      </w:r>
      <w:r w:rsidRPr="0085144B">
        <w:rPr>
          <w:rFonts w:ascii="Arial" w:hAnsi="Arial" w:cs="Arial"/>
          <w:sz w:val="21"/>
          <w:szCs w:val="21"/>
        </w:rPr>
        <w:t xml:space="preserve"> caso</w:t>
      </w:r>
      <w:r>
        <w:rPr>
          <w:rFonts w:ascii="Arial" w:hAnsi="Arial" w:cs="Arial"/>
          <w:sz w:val="21"/>
          <w:szCs w:val="21"/>
        </w:rPr>
        <w:t>s</w:t>
      </w:r>
      <w:r w:rsidRPr="0085144B">
        <w:rPr>
          <w:rFonts w:ascii="Arial" w:hAnsi="Arial" w:cs="Arial"/>
          <w:sz w:val="21"/>
          <w:szCs w:val="21"/>
        </w:rPr>
        <w:t>, debe proseguirse con la ejecución de la etapa de valorización comercial prevista en el numeral 6.5. de la presente directiva.</w:t>
      </w:r>
    </w:p>
    <w:p w:rsidR="00F205B0" w:rsidRPr="0085144B" w:rsidRDefault="00F205B0" w:rsidP="00F205B0">
      <w:pPr>
        <w:pStyle w:val="Prrafodelista"/>
        <w:spacing w:after="0" w:line="240" w:lineRule="auto"/>
        <w:ind w:left="2103"/>
        <w:jc w:val="both"/>
        <w:rPr>
          <w:rFonts w:ascii="Arial" w:hAnsi="Arial" w:cs="Arial"/>
          <w:sz w:val="21"/>
          <w:szCs w:val="21"/>
        </w:rPr>
      </w:pPr>
    </w:p>
    <w:p w:rsidR="00F205B0" w:rsidRDefault="00F205B0" w:rsidP="0092471C">
      <w:pPr>
        <w:pStyle w:val="Prrafodelista"/>
        <w:widowControl w:val="0"/>
        <w:numPr>
          <w:ilvl w:val="0"/>
          <w:numId w:val="339"/>
        </w:numPr>
        <w:suppressAutoHyphens/>
        <w:spacing w:after="0" w:line="240" w:lineRule="auto"/>
        <w:ind w:left="2103"/>
        <w:contextualSpacing w:val="0"/>
        <w:jc w:val="both"/>
        <w:rPr>
          <w:rFonts w:ascii="Arial" w:hAnsi="Arial" w:cs="Arial"/>
          <w:sz w:val="21"/>
          <w:szCs w:val="21"/>
        </w:rPr>
      </w:pPr>
      <w:r w:rsidRPr="0085144B">
        <w:rPr>
          <w:rFonts w:ascii="Arial" w:hAnsi="Arial" w:cs="Arial"/>
          <w:sz w:val="21"/>
          <w:szCs w:val="21"/>
        </w:rPr>
        <w:t>El predio estatal de la entidad pública competente se encuentra ocupado por esta o un tercero distinto al administrado (persona natural o jurídica de derecho privado) y el predio ofrecido en permuta se encuentra ocupado por este último o por dicha entidad.</w:t>
      </w:r>
    </w:p>
    <w:p w:rsidR="00F205B0" w:rsidRPr="00281CC9" w:rsidRDefault="00F205B0" w:rsidP="00F205B0">
      <w:pPr>
        <w:spacing w:after="0" w:line="240" w:lineRule="auto"/>
        <w:jc w:val="both"/>
        <w:rPr>
          <w:rFonts w:ascii="Arial" w:hAnsi="Arial" w:cs="Arial"/>
          <w:sz w:val="21"/>
          <w:szCs w:val="21"/>
        </w:rPr>
      </w:pPr>
    </w:p>
    <w:p w:rsidR="00F205B0" w:rsidRDefault="00F205B0" w:rsidP="00F205B0">
      <w:pPr>
        <w:pStyle w:val="Prrafodelista"/>
        <w:spacing w:after="0" w:line="240" w:lineRule="auto"/>
        <w:ind w:left="2103"/>
        <w:jc w:val="both"/>
        <w:rPr>
          <w:rFonts w:ascii="Arial" w:hAnsi="Arial" w:cs="Arial"/>
          <w:sz w:val="21"/>
          <w:szCs w:val="21"/>
        </w:rPr>
      </w:pPr>
      <w:r>
        <w:rPr>
          <w:rFonts w:ascii="Arial" w:hAnsi="Arial" w:cs="Arial"/>
          <w:sz w:val="21"/>
          <w:szCs w:val="21"/>
        </w:rPr>
        <w:t>En estos</w:t>
      </w:r>
      <w:r w:rsidRPr="0085144B">
        <w:rPr>
          <w:rFonts w:ascii="Arial" w:hAnsi="Arial" w:cs="Arial"/>
          <w:sz w:val="21"/>
          <w:szCs w:val="21"/>
        </w:rPr>
        <w:t xml:space="preserve"> caso</w:t>
      </w:r>
      <w:r>
        <w:rPr>
          <w:rFonts w:ascii="Arial" w:hAnsi="Arial" w:cs="Arial"/>
          <w:sz w:val="21"/>
          <w:szCs w:val="21"/>
        </w:rPr>
        <w:t>s</w:t>
      </w:r>
      <w:r w:rsidRPr="0085144B">
        <w:rPr>
          <w:rFonts w:ascii="Arial" w:hAnsi="Arial" w:cs="Arial"/>
          <w:sz w:val="21"/>
          <w:szCs w:val="21"/>
        </w:rPr>
        <w:t>, el órgano responsable de la entidad pública competente debe comunicar tal situación al administrado, a fin que manifieste su conformidad con la prosecución del procedimiento administrativo de permuta predial, dentro del plazo máximo de diez (10) días hábiles, contados a partir del día siguiente de recibida la comunicación. De no manifestar su conformidad en el plazo establecido, debe emitirse la resolución que declara la improcedencia de la solicitud, la conclusión del procedimiento y el archivo del expediente administrativo.</w:t>
      </w:r>
    </w:p>
    <w:p w:rsidR="00F205B0" w:rsidRDefault="00F205B0" w:rsidP="00F205B0">
      <w:pPr>
        <w:pStyle w:val="Prrafodelista"/>
        <w:spacing w:after="0" w:line="240" w:lineRule="auto"/>
        <w:ind w:left="1106"/>
        <w:jc w:val="both"/>
        <w:rPr>
          <w:rFonts w:ascii="Arial" w:hAnsi="Arial" w:cs="Arial"/>
          <w:sz w:val="21"/>
          <w:szCs w:val="21"/>
        </w:rPr>
      </w:pPr>
    </w:p>
    <w:p w:rsidR="00F205B0" w:rsidRPr="00E2568F" w:rsidRDefault="00F205B0" w:rsidP="0092471C">
      <w:pPr>
        <w:pStyle w:val="Prrafodelista"/>
        <w:widowControl w:val="0"/>
        <w:numPr>
          <w:ilvl w:val="0"/>
          <w:numId w:val="341"/>
        </w:numPr>
        <w:suppressAutoHyphens/>
        <w:spacing w:after="0" w:line="240" w:lineRule="auto"/>
        <w:ind w:left="2103"/>
        <w:contextualSpacing w:val="0"/>
        <w:jc w:val="both"/>
        <w:rPr>
          <w:rFonts w:ascii="Arial" w:hAnsi="Arial" w:cs="Arial"/>
          <w:sz w:val="21"/>
          <w:szCs w:val="21"/>
        </w:rPr>
      </w:pPr>
      <w:r>
        <w:rPr>
          <w:rFonts w:ascii="Arial" w:hAnsi="Arial" w:cs="Arial"/>
          <w:sz w:val="21"/>
          <w:szCs w:val="21"/>
        </w:rPr>
        <w:t>El predio estatal</w:t>
      </w:r>
      <w:r w:rsidRPr="00E2568F">
        <w:rPr>
          <w:rFonts w:ascii="Arial" w:hAnsi="Arial" w:cs="Arial"/>
          <w:sz w:val="21"/>
          <w:szCs w:val="21"/>
        </w:rPr>
        <w:t xml:space="preserve"> de la entidad pública competente se encuentra ocupado</w:t>
      </w:r>
      <w:r>
        <w:rPr>
          <w:rFonts w:ascii="Arial" w:hAnsi="Arial" w:cs="Arial"/>
          <w:sz w:val="21"/>
          <w:szCs w:val="21"/>
        </w:rPr>
        <w:t xml:space="preserve"> por la misma entidad, el administrado o un tercero</w:t>
      </w:r>
      <w:r w:rsidRPr="00E2568F">
        <w:rPr>
          <w:rFonts w:ascii="Arial" w:hAnsi="Arial" w:cs="Arial"/>
          <w:sz w:val="21"/>
          <w:szCs w:val="21"/>
        </w:rPr>
        <w:t xml:space="preserve">, </w:t>
      </w:r>
      <w:r>
        <w:rPr>
          <w:rFonts w:ascii="Arial" w:hAnsi="Arial" w:cs="Arial"/>
          <w:sz w:val="21"/>
          <w:szCs w:val="21"/>
        </w:rPr>
        <w:t xml:space="preserve">y </w:t>
      </w:r>
      <w:r w:rsidRPr="00E2568F">
        <w:rPr>
          <w:rFonts w:ascii="Arial" w:hAnsi="Arial" w:cs="Arial"/>
          <w:sz w:val="21"/>
          <w:szCs w:val="21"/>
        </w:rPr>
        <w:t>el predio ofrecido en permuta se encuentra ocupado por un tercero distinto al administrado.</w:t>
      </w:r>
    </w:p>
    <w:p w:rsidR="00F205B0" w:rsidRDefault="00F205B0" w:rsidP="00F205B0">
      <w:pPr>
        <w:pStyle w:val="Prrafodelista"/>
        <w:spacing w:after="0" w:line="240" w:lineRule="auto"/>
        <w:ind w:left="1106"/>
        <w:jc w:val="both"/>
        <w:rPr>
          <w:rFonts w:ascii="Arial" w:hAnsi="Arial" w:cs="Arial"/>
          <w:sz w:val="21"/>
          <w:szCs w:val="21"/>
        </w:rPr>
      </w:pPr>
    </w:p>
    <w:p w:rsidR="00F205B0" w:rsidRDefault="00F205B0" w:rsidP="00F205B0">
      <w:pPr>
        <w:pStyle w:val="Prrafodelista"/>
        <w:spacing w:after="0" w:line="240" w:lineRule="auto"/>
        <w:ind w:left="2103"/>
        <w:jc w:val="both"/>
        <w:rPr>
          <w:rFonts w:ascii="Arial" w:hAnsi="Arial" w:cs="Arial"/>
          <w:sz w:val="21"/>
          <w:szCs w:val="21"/>
        </w:rPr>
      </w:pPr>
      <w:r w:rsidRPr="00EE20E4">
        <w:rPr>
          <w:rFonts w:ascii="Arial" w:hAnsi="Arial" w:cs="Arial"/>
          <w:sz w:val="21"/>
          <w:szCs w:val="21"/>
        </w:rPr>
        <w:t>En este caso, debe emitirse la resolución que declara la improcedencia de la solicitud, la conclusión del procedimiento y el archivo del expediente administrativo.</w:t>
      </w:r>
    </w:p>
    <w:p w:rsidR="00F205B0" w:rsidRDefault="00F205B0" w:rsidP="00F205B0">
      <w:pPr>
        <w:pStyle w:val="Prrafodelista"/>
        <w:spacing w:after="0" w:line="240" w:lineRule="auto"/>
        <w:ind w:left="1106"/>
        <w:jc w:val="both"/>
        <w:rPr>
          <w:rFonts w:ascii="Arial" w:hAnsi="Arial" w:cs="Arial"/>
          <w:sz w:val="21"/>
          <w:szCs w:val="21"/>
        </w:rPr>
      </w:pPr>
    </w:p>
    <w:p w:rsidR="00F205B0" w:rsidRDefault="00F205B0" w:rsidP="0092471C">
      <w:pPr>
        <w:pStyle w:val="Prrafodelista"/>
        <w:widowControl w:val="0"/>
        <w:numPr>
          <w:ilvl w:val="2"/>
          <w:numId w:val="340"/>
        </w:numPr>
        <w:suppressAutoHyphens/>
        <w:spacing w:after="0" w:line="240" w:lineRule="auto"/>
        <w:ind w:left="1678"/>
        <w:contextualSpacing w:val="0"/>
        <w:jc w:val="both"/>
        <w:rPr>
          <w:rFonts w:ascii="Arial" w:hAnsi="Arial" w:cs="Arial"/>
          <w:sz w:val="21"/>
          <w:szCs w:val="21"/>
        </w:rPr>
      </w:pPr>
      <w:r w:rsidRPr="00B97476">
        <w:rPr>
          <w:rFonts w:ascii="Arial" w:hAnsi="Arial" w:cs="Arial"/>
          <w:sz w:val="21"/>
          <w:szCs w:val="21"/>
        </w:rPr>
        <w:t>Asimismo, debe evaluarse que los predios materia de permuta no se encuentren inmersos en el supuesto señalado en el sub numeral 6.4.2. de la presente directiva. De lo contrario, debe emitirse la resolución que declara la improcedencia de la solicitud, la conclusión del procedimiento y el archivo del expediente administrativo.</w:t>
      </w:r>
    </w:p>
    <w:p w:rsidR="00F205B0" w:rsidRPr="00281CC9" w:rsidRDefault="00F205B0" w:rsidP="00F205B0">
      <w:pPr>
        <w:spacing w:after="0" w:line="240" w:lineRule="auto"/>
        <w:jc w:val="both"/>
        <w:rPr>
          <w:rFonts w:ascii="Arial" w:hAnsi="Arial" w:cs="Arial"/>
          <w:sz w:val="21"/>
          <w:szCs w:val="21"/>
        </w:rPr>
      </w:pPr>
    </w:p>
    <w:p w:rsidR="00F205B0" w:rsidRPr="00B97476" w:rsidRDefault="00F205B0" w:rsidP="0092471C">
      <w:pPr>
        <w:pStyle w:val="Prrafodelista"/>
        <w:widowControl w:val="0"/>
        <w:numPr>
          <w:ilvl w:val="2"/>
          <w:numId w:val="340"/>
        </w:numPr>
        <w:suppressAutoHyphens/>
        <w:spacing w:after="0" w:line="240" w:lineRule="auto"/>
        <w:ind w:left="1678"/>
        <w:contextualSpacing w:val="0"/>
        <w:jc w:val="both"/>
        <w:rPr>
          <w:rFonts w:ascii="Arial" w:hAnsi="Arial" w:cs="Arial"/>
          <w:sz w:val="21"/>
          <w:szCs w:val="21"/>
        </w:rPr>
      </w:pPr>
      <w:r w:rsidRPr="00B97476">
        <w:rPr>
          <w:rFonts w:ascii="Arial" w:hAnsi="Arial" w:cs="Arial"/>
          <w:sz w:val="21"/>
          <w:szCs w:val="21"/>
        </w:rPr>
        <w:t>De no declararse la improcedencia en los supuestos expuestos anteriormente, se procede a la etapa de valorización comercial prevista en el numeral 6.5. de la presente directiva. Como consecuencia de la valorización de los predios, se procede a evaluar, según corresponda, lo siguiente:</w:t>
      </w:r>
    </w:p>
    <w:p w:rsidR="00F205B0" w:rsidRPr="00FD2950" w:rsidRDefault="00F205B0" w:rsidP="00F205B0">
      <w:pPr>
        <w:spacing w:after="0" w:line="240" w:lineRule="auto"/>
        <w:ind w:left="1134"/>
        <w:jc w:val="both"/>
        <w:rPr>
          <w:rFonts w:ascii="Arial" w:hAnsi="Arial" w:cs="Arial"/>
          <w:sz w:val="21"/>
          <w:szCs w:val="21"/>
        </w:rPr>
      </w:pPr>
    </w:p>
    <w:p w:rsidR="00F205B0" w:rsidRPr="00FD2950" w:rsidRDefault="00F205B0" w:rsidP="00F205B0">
      <w:pPr>
        <w:spacing w:after="0" w:line="240" w:lineRule="auto"/>
        <w:ind w:left="2103" w:hanging="425"/>
        <w:jc w:val="both"/>
        <w:rPr>
          <w:rFonts w:ascii="Arial" w:hAnsi="Arial" w:cs="Arial"/>
          <w:sz w:val="21"/>
          <w:szCs w:val="21"/>
        </w:rPr>
      </w:pPr>
      <w:r w:rsidRPr="00FD2950">
        <w:rPr>
          <w:rFonts w:ascii="Arial" w:hAnsi="Arial" w:cs="Arial"/>
          <w:sz w:val="21"/>
          <w:szCs w:val="21"/>
        </w:rPr>
        <w:t>a)</w:t>
      </w:r>
      <w:r w:rsidRPr="00FD2950">
        <w:rPr>
          <w:rFonts w:ascii="Arial" w:hAnsi="Arial" w:cs="Arial"/>
          <w:sz w:val="21"/>
          <w:szCs w:val="21"/>
        </w:rPr>
        <w:tab/>
        <w:t>El valor comercial del predio de titularidad del administrado</w:t>
      </w:r>
      <w:r w:rsidRPr="00FD2950">
        <w:rPr>
          <w:rFonts w:ascii="Arial" w:hAnsi="Arial" w:cs="Arial"/>
          <w:color w:val="000000" w:themeColor="text1"/>
          <w:sz w:val="21"/>
          <w:szCs w:val="21"/>
        </w:rPr>
        <w:t xml:space="preserve"> (persona natural o jurídica de derecho privado), ofrecido en permuta, no</w:t>
      </w:r>
      <w:r w:rsidRPr="00FD2950">
        <w:rPr>
          <w:rFonts w:ascii="Arial" w:hAnsi="Arial" w:cs="Arial"/>
          <w:sz w:val="21"/>
          <w:szCs w:val="21"/>
        </w:rPr>
        <w:t xml:space="preserve"> debe ser inferior al veinte por ciento (20%) del valor comercial del predio de dominio privado de la entidad pública competente.  De lo contrario, debe emitirse la resolución que declara la improcedencia de la solicitud, la conclusión del procedimiento y el archivo del expediente administrativo.</w:t>
      </w:r>
    </w:p>
    <w:p w:rsidR="00F205B0" w:rsidRPr="00FD2950" w:rsidRDefault="00F205B0" w:rsidP="00F205B0">
      <w:pPr>
        <w:spacing w:after="0" w:line="240" w:lineRule="auto"/>
        <w:ind w:left="2103" w:hanging="425"/>
        <w:jc w:val="both"/>
        <w:rPr>
          <w:rFonts w:ascii="Arial" w:hAnsi="Arial" w:cs="Arial"/>
          <w:sz w:val="21"/>
          <w:szCs w:val="21"/>
        </w:rPr>
      </w:pPr>
    </w:p>
    <w:p w:rsidR="00F205B0" w:rsidRPr="00FD2950" w:rsidRDefault="00F205B0" w:rsidP="00F205B0">
      <w:pPr>
        <w:spacing w:after="0" w:line="240" w:lineRule="auto"/>
        <w:ind w:left="2103" w:hanging="425"/>
        <w:jc w:val="both"/>
        <w:rPr>
          <w:rFonts w:ascii="Arial" w:hAnsi="Arial" w:cs="Arial"/>
          <w:sz w:val="21"/>
          <w:szCs w:val="21"/>
        </w:rPr>
      </w:pPr>
      <w:r w:rsidRPr="00FD2950">
        <w:rPr>
          <w:rFonts w:ascii="Arial" w:hAnsi="Arial" w:cs="Arial"/>
          <w:sz w:val="21"/>
          <w:szCs w:val="21"/>
        </w:rPr>
        <w:t>b)</w:t>
      </w:r>
      <w:r w:rsidRPr="00FD2950">
        <w:rPr>
          <w:rFonts w:ascii="Arial" w:hAnsi="Arial" w:cs="Arial"/>
          <w:sz w:val="21"/>
          <w:szCs w:val="21"/>
        </w:rPr>
        <w:tab/>
        <w:t>El valor comercial del predio de titularidad del administrado</w:t>
      </w:r>
      <w:r w:rsidRPr="00FD2950">
        <w:rPr>
          <w:rFonts w:ascii="Arial" w:hAnsi="Arial" w:cs="Arial"/>
          <w:color w:val="000000" w:themeColor="text1"/>
          <w:sz w:val="21"/>
          <w:szCs w:val="21"/>
        </w:rPr>
        <w:t xml:space="preserve"> (persona natural o jurídica de derecho privado), ofrecido en permuta, es</w:t>
      </w:r>
      <w:r w:rsidRPr="00FD2950">
        <w:rPr>
          <w:rFonts w:ascii="Arial" w:hAnsi="Arial" w:cs="Arial"/>
          <w:sz w:val="21"/>
          <w:szCs w:val="21"/>
        </w:rPr>
        <w:t xml:space="preserve"> mayor al valor comercial del predio de dominio privado de la entidad pública competente.</w:t>
      </w:r>
    </w:p>
    <w:p w:rsidR="00F205B0" w:rsidRPr="00FD2950" w:rsidRDefault="00F205B0" w:rsidP="00F205B0">
      <w:pPr>
        <w:spacing w:after="0" w:line="240" w:lineRule="auto"/>
        <w:jc w:val="both"/>
        <w:rPr>
          <w:rFonts w:ascii="Arial" w:hAnsi="Arial" w:cs="Arial"/>
          <w:sz w:val="21"/>
          <w:szCs w:val="21"/>
        </w:rPr>
      </w:pPr>
    </w:p>
    <w:p w:rsidR="00F205B0" w:rsidRPr="00FD2950" w:rsidRDefault="00F205B0" w:rsidP="00F205B0">
      <w:pPr>
        <w:spacing w:after="0" w:line="240" w:lineRule="auto"/>
        <w:ind w:left="2103"/>
        <w:jc w:val="both"/>
        <w:rPr>
          <w:rFonts w:ascii="Arial" w:hAnsi="Arial" w:cs="Arial"/>
          <w:sz w:val="21"/>
          <w:szCs w:val="21"/>
        </w:rPr>
      </w:pPr>
      <w:r w:rsidRPr="00FD2950">
        <w:rPr>
          <w:rFonts w:ascii="Arial" w:hAnsi="Arial" w:cs="Arial"/>
          <w:sz w:val="21"/>
          <w:szCs w:val="21"/>
        </w:rPr>
        <w:t>En este supuesto, el órgano responsable de la instrucción del procedimiento de permuta predial, debe solicitar a la Oficina de Planeamiento y Presupuesto o la que haga sus veces, la disponibilidad presupuestal para asumir el pago de la diferencia de valor a favor del administrado, la misma que debe emitir una respuesta en el plazo máximo de cinco (5) días hábiles de recibida la solicitud.</w:t>
      </w:r>
    </w:p>
    <w:p w:rsidR="00F205B0" w:rsidRPr="00FD2950" w:rsidRDefault="00F205B0" w:rsidP="00F205B0">
      <w:pPr>
        <w:spacing w:after="0" w:line="240" w:lineRule="auto"/>
        <w:ind w:left="969"/>
        <w:jc w:val="both"/>
        <w:rPr>
          <w:rFonts w:ascii="Arial" w:hAnsi="Arial" w:cs="Arial"/>
          <w:sz w:val="21"/>
          <w:szCs w:val="21"/>
        </w:rPr>
      </w:pPr>
    </w:p>
    <w:p w:rsidR="00F205B0" w:rsidRPr="00FD2950" w:rsidRDefault="00F205B0" w:rsidP="00F205B0">
      <w:pPr>
        <w:spacing w:after="0" w:line="240" w:lineRule="auto"/>
        <w:ind w:left="2103"/>
        <w:jc w:val="both"/>
        <w:rPr>
          <w:rFonts w:ascii="Arial" w:hAnsi="Arial" w:cs="Arial"/>
          <w:sz w:val="21"/>
          <w:szCs w:val="21"/>
        </w:rPr>
      </w:pPr>
      <w:r w:rsidRPr="00FD2950">
        <w:rPr>
          <w:rFonts w:ascii="Arial" w:hAnsi="Arial" w:cs="Arial"/>
          <w:sz w:val="21"/>
          <w:szCs w:val="21"/>
        </w:rPr>
        <w:t xml:space="preserve">De existir disponibilidad presupuestal, el órgano responsable de la entidad pública competente, prosigue con el citado procedimiento. Caso contrario, debe comunicar tal situación al administrado, indicándole la posibilidad de poder renunciar a la diferencia de valor, en el plazo máximo de diez (10) días hábiles, contados a partir del día siguiente de recibida la comunicación. En caso que el administrado renuncie a la diferencia del valor debe proseguirse con el procedimiento de permuta predial. En su defecto, debe emitirse la resolución que declara la improcedencia de la solicitud, la conclusión del procedimiento y el archivo del expediente administrativo. </w:t>
      </w:r>
    </w:p>
    <w:p w:rsidR="00F205B0" w:rsidRPr="00FD2950" w:rsidRDefault="00F205B0" w:rsidP="00F205B0">
      <w:pPr>
        <w:spacing w:after="0" w:line="240" w:lineRule="auto"/>
        <w:ind w:left="2103"/>
        <w:jc w:val="both"/>
        <w:rPr>
          <w:rFonts w:ascii="Arial" w:hAnsi="Arial" w:cs="Arial"/>
          <w:sz w:val="21"/>
          <w:szCs w:val="21"/>
        </w:rPr>
      </w:pPr>
    </w:p>
    <w:p w:rsidR="00F205B0" w:rsidRPr="00FD2950" w:rsidRDefault="00F205B0" w:rsidP="00F205B0">
      <w:pPr>
        <w:spacing w:after="0" w:line="240" w:lineRule="auto"/>
        <w:ind w:left="2103"/>
        <w:jc w:val="both"/>
        <w:rPr>
          <w:rFonts w:ascii="Arial" w:hAnsi="Arial" w:cs="Arial"/>
          <w:sz w:val="21"/>
          <w:szCs w:val="21"/>
        </w:rPr>
      </w:pPr>
      <w:r w:rsidRPr="00FD2950">
        <w:rPr>
          <w:rFonts w:ascii="Arial" w:hAnsi="Arial" w:cs="Arial"/>
          <w:sz w:val="21"/>
          <w:szCs w:val="21"/>
        </w:rPr>
        <w:t>La renuncia referida en el párrafo precedente, debe formularse mediante documento escrito con firma legalizada ante notario público.</w:t>
      </w:r>
    </w:p>
    <w:p w:rsidR="00F205B0" w:rsidRPr="00FD2950" w:rsidRDefault="00F205B0" w:rsidP="00F205B0">
      <w:pPr>
        <w:spacing w:after="0" w:line="240" w:lineRule="auto"/>
        <w:jc w:val="both"/>
        <w:rPr>
          <w:rFonts w:ascii="Arial" w:hAnsi="Arial" w:cs="Arial"/>
          <w:sz w:val="21"/>
          <w:szCs w:val="21"/>
        </w:rPr>
      </w:pPr>
    </w:p>
    <w:p w:rsidR="00F205B0" w:rsidRPr="00FD2950" w:rsidRDefault="00F205B0" w:rsidP="00F205B0">
      <w:pPr>
        <w:spacing w:after="0" w:line="240" w:lineRule="auto"/>
        <w:ind w:left="2103" w:hanging="425"/>
        <w:jc w:val="both"/>
        <w:rPr>
          <w:rFonts w:ascii="Arial" w:hAnsi="Arial" w:cs="Arial"/>
          <w:sz w:val="21"/>
          <w:szCs w:val="21"/>
        </w:rPr>
      </w:pPr>
      <w:r w:rsidRPr="00FD2950">
        <w:rPr>
          <w:rFonts w:ascii="Arial" w:hAnsi="Arial" w:cs="Arial"/>
          <w:sz w:val="21"/>
          <w:szCs w:val="21"/>
        </w:rPr>
        <w:t>c)</w:t>
      </w:r>
      <w:r w:rsidRPr="00FD2950">
        <w:rPr>
          <w:rFonts w:ascii="Arial" w:hAnsi="Arial" w:cs="Arial"/>
          <w:sz w:val="21"/>
          <w:szCs w:val="21"/>
        </w:rPr>
        <w:tab/>
        <w:t>El valor comercial del predio de dominio privado de la entidad pública competente que será entregado en permuta puede s</w:t>
      </w:r>
      <w:r w:rsidRPr="00FD2950">
        <w:rPr>
          <w:rFonts w:ascii="Arial" w:hAnsi="Arial" w:cs="Arial"/>
          <w:color w:val="000000" w:themeColor="text1"/>
          <w:sz w:val="21"/>
          <w:szCs w:val="21"/>
        </w:rPr>
        <w:t>er superior al valor comercial del predio de titularidad del administrado (persona natural o jurídica de derecho privado), siempre que la difere</w:t>
      </w:r>
      <w:r w:rsidRPr="00FD2950">
        <w:rPr>
          <w:rFonts w:ascii="Arial" w:hAnsi="Arial" w:cs="Arial"/>
          <w:sz w:val="21"/>
          <w:szCs w:val="21"/>
        </w:rPr>
        <w:t xml:space="preserve">ncia de valor sea inferior al veinte por ciento (20%). </w:t>
      </w:r>
    </w:p>
    <w:p w:rsidR="00F205B0" w:rsidRPr="00FD2950" w:rsidRDefault="00F205B0" w:rsidP="00F205B0">
      <w:pPr>
        <w:spacing w:after="0" w:line="240" w:lineRule="auto"/>
        <w:jc w:val="both"/>
        <w:rPr>
          <w:rFonts w:ascii="Arial" w:hAnsi="Arial" w:cs="Arial"/>
          <w:sz w:val="21"/>
          <w:szCs w:val="21"/>
        </w:rPr>
      </w:pPr>
    </w:p>
    <w:p w:rsidR="00F205B0" w:rsidRPr="00FD2950" w:rsidRDefault="00F205B0" w:rsidP="00F205B0">
      <w:pPr>
        <w:spacing w:after="0" w:line="240" w:lineRule="auto"/>
        <w:ind w:left="2103"/>
        <w:jc w:val="both"/>
        <w:rPr>
          <w:rFonts w:ascii="Arial" w:hAnsi="Arial" w:cs="Arial"/>
          <w:sz w:val="21"/>
          <w:szCs w:val="21"/>
        </w:rPr>
      </w:pPr>
      <w:r w:rsidRPr="00FD2950">
        <w:rPr>
          <w:rFonts w:ascii="Arial" w:hAnsi="Arial" w:cs="Arial"/>
          <w:sz w:val="21"/>
          <w:szCs w:val="21"/>
        </w:rPr>
        <w:t xml:space="preserve">En este supuesto, el órgano responsable de la entidad pública competente debe comunicar tal situación al administrado, concediéndole un plazo no mayor de diez (10) días calendario, para que realice el depósito de la diferencia de valor en la cuenta bancaria de la entidad. Dicho pago constituye ingresos propios de la entidad pública propietaria del predio. </w:t>
      </w:r>
    </w:p>
    <w:p w:rsidR="00F205B0" w:rsidRPr="00FD2950" w:rsidRDefault="00F205B0" w:rsidP="00F205B0">
      <w:pPr>
        <w:spacing w:after="0" w:line="240" w:lineRule="auto"/>
        <w:ind w:left="2103"/>
        <w:jc w:val="both"/>
        <w:rPr>
          <w:rFonts w:ascii="Arial" w:hAnsi="Arial" w:cs="Arial"/>
          <w:sz w:val="21"/>
          <w:szCs w:val="21"/>
        </w:rPr>
      </w:pPr>
    </w:p>
    <w:p w:rsidR="00F205B0" w:rsidRPr="00FD2950" w:rsidRDefault="00F205B0" w:rsidP="00F205B0">
      <w:pPr>
        <w:spacing w:after="0" w:line="240" w:lineRule="auto"/>
        <w:ind w:left="2103"/>
        <w:jc w:val="both"/>
        <w:rPr>
          <w:rFonts w:ascii="Arial" w:hAnsi="Arial" w:cs="Arial"/>
          <w:sz w:val="21"/>
          <w:szCs w:val="21"/>
        </w:rPr>
      </w:pPr>
      <w:r w:rsidRPr="00FD2950">
        <w:rPr>
          <w:rFonts w:ascii="Arial" w:hAnsi="Arial" w:cs="Arial"/>
          <w:sz w:val="21"/>
          <w:szCs w:val="21"/>
        </w:rPr>
        <w:t>De no realizar el depósito correspondiente en el plazo establecido, debe emitirse la resolución que declara la improcedencia de la solicitud, la conclusión del procedimiento y el archivo del expediente administrativo.</w:t>
      </w:r>
    </w:p>
    <w:p w:rsidR="00F205B0" w:rsidRPr="00FD2950" w:rsidRDefault="00F205B0" w:rsidP="00F205B0">
      <w:pPr>
        <w:spacing w:after="0" w:line="240" w:lineRule="auto"/>
        <w:ind w:left="969"/>
        <w:jc w:val="both"/>
        <w:rPr>
          <w:rFonts w:ascii="Arial" w:hAnsi="Arial" w:cs="Arial"/>
          <w:color w:val="000000" w:themeColor="text1"/>
          <w:sz w:val="21"/>
          <w:szCs w:val="21"/>
        </w:rPr>
      </w:pPr>
    </w:p>
    <w:p w:rsidR="00F205B0" w:rsidRPr="00B97476" w:rsidRDefault="00F205B0" w:rsidP="0092471C">
      <w:pPr>
        <w:pStyle w:val="Prrafodelista"/>
        <w:widowControl w:val="0"/>
        <w:numPr>
          <w:ilvl w:val="0"/>
          <w:numId w:val="339"/>
        </w:numPr>
        <w:suppressAutoHyphens/>
        <w:spacing w:after="0" w:line="240" w:lineRule="auto"/>
        <w:ind w:left="2103"/>
        <w:contextualSpacing w:val="0"/>
        <w:jc w:val="both"/>
        <w:rPr>
          <w:rFonts w:ascii="Arial" w:hAnsi="Arial" w:cs="Arial"/>
          <w:color w:val="000000" w:themeColor="text1"/>
          <w:sz w:val="21"/>
          <w:szCs w:val="21"/>
        </w:rPr>
      </w:pPr>
      <w:r w:rsidRPr="00B97476">
        <w:rPr>
          <w:rFonts w:ascii="Arial" w:hAnsi="Arial" w:cs="Arial"/>
          <w:color w:val="000000" w:themeColor="text1"/>
          <w:sz w:val="21"/>
          <w:szCs w:val="21"/>
        </w:rPr>
        <w:t>El valor comercial del predio de dominio privado de la entidad pública ofrecido en permuta es superior al valor comercial del predio de dominio privado de la entidad pública que instruye el procedimiento de permuta, o viceversa.</w:t>
      </w:r>
    </w:p>
    <w:p w:rsidR="00F205B0" w:rsidRPr="00FD2950" w:rsidRDefault="00F205B0" w:rsidP="00F205B0">
      <w:pPr>
        <w:spacing w:after="0" w:line="240" w:lineRule="auto"/>
        <w:ind w:left="1418" w:hanging="284"/>
        <w:jc w:val="both"/>
        <w:rPr>
          <w:rFonts w:ascii="Arial" w:hAnsi="Arial" w:cs="Arial"/>
          <w:color w:val="000000" w:themeColor="text1"/>
          <w:sz w:val="21"/>
          <w:szCs w:val="21"/>
        </w:rPr>
      </w:pPr>
      <w:r w:rsidRPr="00FD2950">
        <w:rPr>
          <w:rFonts w:ascii="Arial" w:hAnsi="Arial" w:cs="Arial"/>
          <w:color w:val="000000" w:themeColor="text1"/>
          <w:sz w:val="21"/>
          <w:szCs w:val="21"/>
        </w:rPr>
        <w:tab/>
      </w:r>
    </w:p>
    <w:p w:rsidR="00F205B0" w:rsidRPr="00FD2950" w:rsidRDefault="00F205B0" w:rsidP="00F205B0">
      <w:pPr>
        <w:spacing w:after="0" w:line="240" w:lineRule="auto"/>
        <w:ind w:left="2103"/>
        <w:jc w:val="both"/>
        <w:rPr>
          <w:rFonts w:ascii="Arial" w:hAnsi="Arial" w:cs="Arial"/>
          <w:color w:val="000000" w:themeColor="text1"/>
          <w:sz w:val="21"/>
          <w:szCs w:val="21"/>
        </w:rPr>
      </w:pPr>
      <w:r w:rsidRPr="00FD2950">
        <w:rPr>
          <w:rFonts w:ascii="Arial" w:hAnsi="Arial" w:cs="Arial"/>
          <w:color w:val="000000" w:themeColor="text1"/>
          <w:sz w:val="21"/>
          <w:szCs w:val="21"/>
        </w:rPr>
        <w:t>En este supuesto, la entidad pública del predio cuyo valor comercial es menor, debe solicitar a su Oficina de Planeamiento y Presupuesto o la que haga sus veces, la disponibilidad presupuestal para asumir el pago de la diferencia de valor a favor de la otra entidad pública, la misma que debe emitir una respuesta en el plazo máximo de cinco (5) días hábiles de recibida la solicitud.</w:t>
      </w:r>
    </w:p>
    <w:p w:rsidR="00F205B0" w:rsidRPr="00FD2950" w:rsidRDefault="00F205B0" w:rsidP="00F205B0">
      <w:pPr>
        <w:spacing w:after="0" w:line="240" w:lineRule="auto"/>
        <w:ind w:left="969"/>
        <w:jc w:val="both"/>
        <w:rPr>
          <w:rFonts w:ascii="Arial" w:hAnsi="Arial" w:cs="Arial"/>
          <w:color w:val="000000" w:themeColor="text1"/>
          <w:sz w:val="21"/>
          <w:szCs w:val="21"/>
        </w:rPr>
      </w:pPr>
    </w:p>
    <w:p w:rsidR="00F205B0" w:rsidRPr="00FD2950" w:rsidRDefault="00F205B0" w:rsidP="00F205B0">
      <w:pPr>
        <w:spacing w:after="0" w:line="240" w:lineRule="auto"/>
        <w:ind w:left="2103"/>
        <w:jc w:val="both"/>
        <w:rPr>
          <w:rFonts w:ascii="Arial" w:hAnsi="Arial" w:cs="Arial"/>
          <w:color w:val="000000" w:themeColor="text1"/>
          <w:sz w:val="21"/>
          <w:szCs w:val="21"/>
        </w:rPr>
      </w:pPr>
      <w:r w:rsidRPr="00FD2950">
        <w:rPr>
          <w:rFonts w:ascii="Arial" w:hAnsi="Arial" w:cs="Arial"/>
          <w:color w:val="000000" w:themeColor="text1"/>
          <w:sz w:val="21"/>
          <w:szCs w:val="21"/>
        </w:rPr>
        <w:t>De existir disponibilidad presupuestal, la entidad pública solicitante o que instruye el procedimiento de permuta predial, según corresponda, debe efectuar el depósito de la diferencia de valor en la cuenta bancaria de la entidad respectiva, en un plazo no mayor de diez (10) días hábiles.</w:t>
      </w:r>
    </w:p>
    <w:p w:rsidR="00F205B0" w:rsidRPr="00FD2950" w:rsidRDefault="00F205B0" w:rsidP="00F205B0">
      <w:pPr>
        <w:spacing w:after="0" w:line="240" w:lineRule="auto"/>
        <w:ind w:left="2103"/>
        <w:jc w:val="both"/>
        <w:rPr>
          <w:rFonts w:ascii="Arial" w:hAnsi="Arial" w:cs="Arial"/>
          <w:color w:val="000000" w:themeColor="text1"/>
          <w:sz w:val="21"/>
          <w:szCs w:val="21"/>
        </w:rPr>
      </w:pPr>
    </w:p>
    <w:p w:rsidR="00F205B0" w:rsidRPr="00FD2950" w:rsidRDefault="00F205B0" w:rsidP="00F205B0">
      <w:pPr>
        <w:spacing w:after="0" w:line="240" w:lineRule="auto"/>
        <w:ind w:left="2103"/>
        <w:jc w:val="both"/>
        <w:rPr>
          <w:rFonts w:ascii="Arial" w:hAnsi="Arial" w:cs="Arial"/>
          <w:color w:val="000000" w:themeColor="text1"/>
          <w:sz w:val="21"/>
          <w:szCs w:val="21"/>
        </w:rPr>
      </w:pPr>
      <w:r w:rsidRPr="00FD2950">
        <w:rPr>
          <w:rFonts w:ascii="Arial" w:hAnsi="Arial" w:cs="Arial"/>
          <w:color w:val="000000" w:themeColor="text1"/>
          <w:sz w:val="21"/>
          <w:szCs w:val="21"/>
        </w:rPr>
        <w:t xml:space="preserve">En caso, de no realizarse el depósito correspondiente en el plazo establecido, debe emitirse la resolución que declara la improcedencia de la solicitud, la conclusión del procedimiento y el archivo del expediente administrativo.  </w:t>
      </w:r>
    </w:p>
    <w:p w:rsidR="00F205B0" w:rsidRPr="00FD2950" w:rsidRDefault="00F205B0" w:rsidP="00F205B0">
      <w:pPr>
        <w:tabs>
          <w:tab w:val="left" w:pos="2160"/>
        </w:tabs>
        <w:spacing w:after="0" w:line="240" w:lineRule="auto"/>
        <w:ind w:left="969"/>
        <w:jc w:val="both"/>
        <w:rPr>
          <w:rFonts w:ascii="Arial" w:hAnsi="Arial" w:cs="Arial"/>
          <w:color w:val="000000" w:themeColor="text1"/>
          <w:sz w:val="21"/>
          <w:szCs w:val="21"/>
        </w:rPr>
      </w:pPr>
      <w:r>
        <w:rPr>
          <w:rFonts w:ascii="Arial" w:hAnsi="Arial" w:cs="Arial"/>
          <w:color w:val="000000" w:themeColor="text1"/>
          <w:sz w:val="21"/>
          <w:szCs w:val="21"/>
        </w:rPr>
        <w:tab/>
      </w:r>
    </w:p>
    <w:p w:rsidR="00F205B0" w:rsidRPr="00FD2950" w:rsidRDefault="00F205B0" w:rsidP="00F205B0">
      <w:pPr>
        <w:spacing w:after="0" w:line="240" w:lineRule="auto"/>
        <w:ind w:left="2103"/>
        <w:jc w:val="both"/>
        <w:rPr>
          <w:rFonts w:ascii="Arial" w:hAnsi="Arial" w:cs="Arial"/>
          <w:color w:val="000000" w:themeColor="text1"/>
          <w:sz w:val="21"/>
          <w:szCs w:val="21"/>
        </w:rPr>
      </w:pPr>
      <w:r w:rsidRPr="00FD2950">
        <w:rPr>
          <w:rFonts w:ascii="Arial" w:hAnsi="Arial" w:cs="Arial"/>
          <w:color w:val="000000" w:themeColor="text1"/>
          <w:sz w:val="21"/>
          <w:szCs w:val="21"/>
        </w:rPr>
        <w:t>En caso de no existir disponibilidad presupuestal, debe procederse conforme lo señalado en el párrafo precedente, según corresponda.</w:t>
      </w:r>
    </w:p>
    <w:p w:rsidR="00F205B0" w:rsidRPr="00FD2950" w:rsidRDefault="00F205B0" w:rsidP="00F205B0">
      <w:pPr>
        <w:spacing w:after="0" w:line="240" w:lineRule="auto"/>
        <w:ind w:left="1418" w:hanging="284"/>
        <w:jc w:val="both"/>
        <w:rPr>
          <w:rFonts w:ascii="Arial" w:hAnsi="Arial" w:cs="Arial"/>
          <w:sz w:val="21"/>
          <w:szCs w:val="21"/>
        </w:rPr>
      </w:pPr>
    </w:p>
    <w:p w:rsidR="00F205B0" w:rsidRPr="00533080" w:rsidRDefault="00F205B0" w:rsidP="0092471C">
      <w:pPr>
        <w:pStyle w:val="Prrafodelista"/>
        <w:widowControl w:val="0"/>
        <w:numPr>
          <w:ilvl w:val="2"/>
          <w:numId w:val="340"/>
        </w:numPr>
        <w:suppressAutoHyphens/>
        <w:spacing w:after="0" w:line="240" w:lineRule="auto"/>
        <w:ind w:left="1678"/>
        <w:contextualSpacing w:val="0"/>
        <w:jc w:val="both"/>
        <w:rPr>
          <w:rFonts w:ascii="Arial" w:hAnsi="Arial" w:cs="Arial"/>
          <w:color w:val="FF0000"/>
          <w:sz w:val="21"/>
          <w:szCs w:val="21"/>
        </w:rPr>
      </w:pPr>
      <w:r w:rsidRPr="00B97476">
        <w:rPr>
          <w:rFonts w:ascii="Arial" w:hAnsi="Arial" w:cs="Arial"/>
          <w:sz w:val="21"/>
          <w:szCs w:val="21"/>
        </w:rPr>
        <w:t>La comunicación para efectuar el depósito de la diferencia de valor señalada en el numeral c), así como el plazo previsto en el tercer párrafo del literal d), debe entenderse realizado a partir del día hábil siguiente de la autorización o conformidad a que refiere el numeral 6.7. de la presente directiva.</w:t>
      </w:r>
    </w:p>
    <w:p w:rsidR="00F205B0" w:rsidRPr="00533080" w:rsidRDefault="00F205B0" w:rsidP="00F205B0">
      <w:pPr>
        <w:pStyle w:val="Prrafodelista"/>
        <w:spacing w:after="0" w:line="240" w:lineRule="auto"/>
        <w:ind w:left="1678"/>
        <w:jc w:val="both"/>
        <w:rPr>
          <w:rFonts w:ascii="Arial" w:hAnsi="Arial" w:cs="Arial"/>
          <w:color w:val="FF0000"/>
          <w:sz w:val="21"/>
          <w:szCs w:val="21"/>
        </w:rPr>
      </w:pPr>
    </w:p>
    <w:p w:rsidR="00F205B0" w:rsidRPr="00533080" w:rsidRDefault="00F205B0" w:rsidP="0092471C">
      <w:pPr>
        <w:pStyle w:val="Prrafodelista"/>
        <w:widowControl w:val="0"/>
        <w:numPr>
          <w:ilvl w:val="2"/>
          <w:numId w:val="340"/>
        </w:numPr>
        <w:suppressAutoHyphens/>
        <w:spacing w:after="0" w:line="240" w:lineRule="auto"/>
        <w:ind w:left="1678"/>
        <w:contextualSpacing w:val="0"/>
        <w:jc w:val="both"/>
        <w:rPr>
          <w:rFonts w:ascii="Arial" w:hAnsi="Arial" w:cs="Arial"/>
          <w:color w:val="FF0000"/>
          <w:sz w:val="21"/>
          <w:szCs w:val="21"/>
        </w:rPr>
      </w:pPr>
      <w:r w:rsidRPr="00533080">
        <w:rPr>
          <w:rFonts w:ascii="Arial" w:hAnsi="Arial" w:cs="Arial"/>
          <w:sz w:val="21"/>
          <w:szCs w:val="21"/>
        </w:rPr>
        <w:t xml:space="preserve">La calificación sustantiva favorable de la solicitud debe constar en un informe especializado, acompañado del análisis del beneficio económico y social para el Estado (Anexo N° 7). </w:t>
      </w:r>
    </w:p>
    <w:p w:rsidR="00F205B0" w:rsidRPr="00533080" w:rsidRDefault="00F205B0" w:rsidP="00F205B0">
      <w:pPr>
        <w:pStyle w:val="Prrafodelista"/>
        <w:spacing w:after="0" w:line="240" w:lineRule="auto"/>
        <w:ind w:left="1678"/>
        <w:rPr>
          <w:rFonts w:ascii="Arial" w:hAnsi="Arial" w:cs="Arial"/>
          <w:sz w:val="21"/>
          <w:szCs w:val="21"/>
        </w:rPr>
      </w:pPr>
    </w:p>
    <w:p w:rsidR="00F205B0" w:rsidRPr="00533080" w:rsidRDefault="00F205B0" w:rsidP="0092471C">
      <w:pPr>
        <w:pStyle w:val="Prrafodelista"/>
        <w:widowControl w:val="0"/>
        <w:numPr>
          <w:ilvl w:val="2"/>
          <w:numId w:val="340"/>
        </w:numPr>
        <w:suppressAutoHyphens/>
        <w:spacing w:after="0" w:line="240" w:lineRule="auto"/>
        <w:ind w:left="1678"/>
        <w:contextualSpacing w:val="0"/>
        <w:jc w:val="both"/>
        <w:rPr>
          <w:rFonts w:ascii="Arial" w:hAnsi="Arial" w:cs="Arial"/>
          <w:color w:val="FF0000"/>
          <w:sz w:val="21"/>
          <w:szCs w:val="21"/>
        </w:rPr>
      </w:pPr>
      <w:r w:rsidRPr="00533080">
        <w:rPr>
          <w:rFonts w:ascii="Arial" w:hAnsi="Arial" w:cs="Arial"/>
          <w:sz w:val="21"/>
          <w:szCs w:val="21"/>
        </w:rPr>
        <w:t>La calificación sustantiva negativa de la solicitud debe constar en un informe especializado que sustente las razones de improcedencia incurridas.</w:t>
      </w:r>
    </w:p>
    <w:p w:rsidR="00F205B0" w:rsidRPr="00FD2950" w:rsidRDefault="00F205B0" w:rsidP="00F205B0">
      <w:pPr>
        <w:spacing w:after="0" w:line="240" w:lineRule="auto"/>
        <w:ind w:left="686"/>
        <w:jc w:val="both"/>
        <w:rPr>
          <w:rFonts w:ascii="Arial" w:hAnsi="Arial" w:cs="Arial"/>
          <w:sz w:val="21"/>
          <w:szCs w:val="21"/>
        </w:rPr>
      </w:pPr>
    </w:p>
    <w:p w:rsidR="00F205B0" w:rsidRPr="00FD2950" w:rsidRDefault="00F205B0" w:rsidP="00F205B0">
      <w:pPr>
        <w:spacing w:after="0" w:line="240" w:lineRule="auto"/>
        <w:ind w:left="969" w:hanging="567"/>
        <w:jc w:val="both"/>
        <w:rPr>
          <w:rFonts w:ascii="Arial" w:hAnsi="Arial" w:cs="Arial"/>
          <w:b/>
          <w:color w:val="000000" w:themeColor="text1"/>
          <w:sz w:val="21"/>
          <w:szCs w:val="21"/>
        </w:rPr>
      </w:pPr>
      <w:r w:rsidRPr="00FD2950">
        <w:rPr>
          <w:rFonts w:ascii="Arial" w:hAnsi="Arial" w:cs="Arial"/>
          <w:b/>
          <w:sz w:val="21"/>
          <w:szCs w:val="21"/>
        </w:rPr>
        <w:t>6.7.</w:t>
      </w:r>
      <w:r w:rsidRPr="00FD2950">
        <w:rPr>
          <w:rFonts w:ascii="Arial" w:hAnsi="Arial" w:cs="Arial"/>
          <w:b/>
          <w:sz w:val="21"/>
          <w:szCs w:val="21"/>
        </w:rPr>
        <w:tab/>
        <w:t xml:space="preserve">Autorización o conformidad de la permuta por el titular </w:t>
      </w:r>
      <w:r w:rsidRPr="00FD2950">
        <w:rPr>
          <w:rFonts w:ascii="Arial" w:hAnsi="Arial" w:cs="Arial"/>
          <w:b/>
          <w:color w:val="000000" w:themeColor="text1"/>
          <w:sz w:val="21"/>
          <w:szCs w:val="21"/>
        </w:rPr>
        <w:t>o máxima autoridad administrativa de la entidad</w:t>
      </w:r>
    </w:p>
    <w:p w:rsidR="00F205B0" w:rsidRPr="00FD2950" w:rsidRDefault="00F205B0" w:rsidP="00F205B0">
      <w:pPr>
        <w:spacing w:after="0" w:line="240" w:lineRule="auto"/>
        <w:ind w:left="969"/>
        <w:jc w:val="both"/>
        <w:rPr>
          <w:rFonts w:ascii="Arial" w:hAnsi="Arial" w:cs="Arial"/>
          <w:sz w:val="21"/>
          <w:szCs w:val="21"/>
        </w:rPr>
      </w:pPr>
      <w:r w:rsidRPr="00FD2950">
        <w:rPr>
          <w:rFonts w:ascii="Arial" w:hAnsi="Arial" w:cs="Arial"/>
          <w:sz w:val="21"/>
          <w:szCs w:val="21"/>
        </w:rPr>
        <w:t>El informe especializado sobre la calificación sustantiva favor</w:t>
      </w:r>
      <w:r w:rsidRPr="00FD2950">
        <w:rPr>
          <w:rFonts w:ascii="Arial" w:hAnsi="Arial" w:cs="Arial"/>
          <w:color w:val="000000" w:themeColor="text1"/>
          <w:sz w:val="21"/>
          <w:szCs w:val="21"/>
        </w:rPr>
        <w:t>able de la solicitud es elevado al titular o máxima autoridad administrativa de la entidad pública competente, según corresponda al ámbito de sus funciones, a fin que emita su autorización para la prosecución del procedimiento</w:t>
      </w:r>
      <w:r w:rsidRPr="00FD2950">
        <w:rPr>
          <w:rFonts w:ascii="Arial" w:hAnsi="Arial" w:cs="Arial"/>
          <w:sz w:val="21"/>
          <w:szCs w:val="21"/>
        </w:rPr>
        <w:t>.</w:t>
      </w:r>
    </w:p>
    <w:p w:rsidR="00F205B0" w:rsidRPr="00FD2950" w:rsidRDefault="00F205B0" w:rsidP="00F205B0">
      <w:pPr>
        <w:spacing w:after="0" w:line="240" w:lineRule="auto"/>
        <w:ind w:left="544"/>
        <w:jc w:val="both"/>
        <w:rPr>
          <w:rFonts w:ascii="Arial" w:hAnsi="Arial" w:cs="Arial"/>
          <w:sz w:val="21"/>
          <w:szCs w:val="21"/>
        </w:rPr>
      </w:pPr>
    </w:p>
    <w:p w:rsidR="00F205B0" w:rsidRPr="00FD2950" w:rsidRDefault="00F205B0" w:rsidP="00F205B0">
      <w:pPr>
        <w:spacing w:after="0" w:line="240" w:lineRule="auto"/>
        <w:ind w:left="969"/>
        <w:jc w:val="both"/>
        <w:rPr>
          <w:rFonts w:ascii="Arial" w:hAnsi="Arial" w:cs="Arial"/>
          <w:color w:val="FF0000"/>
          <w:sz w:val="21"/>
          <w:szCs w:val="21"/>
        </w:rPr>
      </w:pPr>
      <w:r w:rsidRPr="00FD2950">
        <w:rPr>
          <w:rFonts w:ascii="Arial" w:hAnsi="Arial" w:cs="Arial"/>
          <w:color w:val="000000" w:themeColor="text1"/>
          <w:sz w:val="21"/>
          <w:szCs w:val="21"/>
        </w:rPr>
        <w:t>En el caso del procedimiento de permuta entre entidades públicas, la autorización es otorgada también por el titular del pliego o máxima autoridad administrativa de la entidad que ofrece en permuta el predio, según corresponda al ámbito de sus funciones, luego que el órgano responsable de la entidad pública competente comunica sobre la calificación favorable de su solicitud.</w:t>
      </w:r>
    </w:p>
    <w:p w:rsidR="00F205B0" w:rsidRPr="00FD2950" w:rsidRDefault="00F205B0" w:rsidP="00F205B0">
      <w:pPr>
        <w:spacing w:after="0" w:line="240" w:lineRule="auto"/>
        <w:ind w:left="969"/>
        <w:jc w:val="both"/>
        <w:rPr>
          <w:rFonts w:ascii="Arial" w:hAnsi="Arial" w:cs="Arial"/>
          <w:color w:val="FF0000"/>
          <w:sz w:val="21"/>
          <w:szCs w:val="21"/>
        </w:rPr>
      </w:pPr>
    </w:p>
    <w:p w:rsidR="00F205B0" w:rsidRPr="00FD2950" w:rsidRDefault="00F205B0" w:rsidP="00F205B0">
      <w:pPr>
        <w:spacing w:after="0" w:line="240" w:lineRule="auto"/>
        <w:ind w:left="969"/>
        <w:jc w:val="both"/>
        <w:rPr>
          <w:rFonts w:ascii="Arial" w:hAnsi="Arial" w:cs="Arial"/>
          <w:sz w:val="21"/>
          <w:szCs w:val="21"/>
        </w:rPr>
      </w:pPr>
      <w:r w:rsidRPr="00FD2950">
        <w:rPr>
          <w:rFonts w:ascii="Arial" w:hAnsi="Arial" w:cs="Arial"/>
          <w:sz w:val="21"/>
          <w:szCs w:val="21"/>
        </w:rPr>
        <w:t>En el procedimiento de permuta a cargo de la SBN, la SDDI eleva el precitado informe y sus anexos al Superintendente, a fin que brinde su conformidad, de ser el caso, la que es puesta en conocimiento de la SDDI, para la prosecución del procedimiento.</w:t>
      </w:r>
    </w:p>
    <w:p w:rsidR="00F205B0" w:rsidRPr="00FD2950" w:rsidRDefault="00F205B0" w:rsidP="00F205B0">
      <w:pPr>
        <w:spacing w:after="0" w:line="240" w:lineRule="auto"/>
        <w:ind w:left="544"/>
        <w:jc w:val="both"/>
        <w:rPr>
          <w:rFonts w:ascii="Arial" w:hAnsi="Arial" w:cs="Arial"/>
          <w:sz w:val="21"/>
          <w:szCs w:val="21"/>
        </w:rPr>
      </w:pPr>
    </w:p>
    <w:p w:rsidR="00F205B0" w:rsidRPr="00FD2950" w:rsidRDefault="00F205B0" w:rsidP="00F205B0">
      <w:pPr>
        <w:spacing w:after="0" w:line="240" w:lineRule="auto"/>
        <w:ind w:left="969"/>
        <w:jc w:val="both"/>
        <w:rPr>
          <w:rFonts w:ascii="Arial" w:hAnsi="Arial" w:cs="Arial"/>
          <w:color w:val="000000" w:themeColor="text1"/>
          <w:sz w:val="21"/>
          <w:szCs w:val="21"/>
        </w:rPr>
      </w:pPr>
      <w:r w:rsidRPr="00FD2950">
        <w:rPr>
          <w:rFonts w:ascii="Arial" w:hAnsi="Arial" w:cs="Arial"/>
          <w:color w:val="000000" w:themeColor="text1"/>
          <w:sz w:val="21"/>
          <w:szCs w:val="21"/>
        </w:rPr>
        <w:t>De no emitirse la autorización o conformidad respectiva, debe emitirse la resolución que declara la improcedencia de la solicitud, la conclusión del procedimiento y el archivo del expediente administrativo.</w:t>
      </w:r>
    </w:p>
    <w:p w:rsidR="00F205B0" w:rsidRPr="00FD2950" w:rsidRDefault="00F205B0" w:rsidP="00F205B0">
      <w:pPr>
        <w:spacing w:after="0" w:line="240" w:lineRule="auto"/>
        <w:ind w:left="1134"/>
        <w:jc w:val="both"/>
        <w:rPr>
          <w:rFonts w:ascii="Arial" w:hAnsi="Arial" w:cs="Arial"/>
          <w:sz w:val="21"/>
          <w:szCs w:val="21"/>
        </w:rPr>
      </w:pPr>
    </w:p>
    <w:p w:rsidR="00F205B0" w:rsidRPr="00FD2950" w:rsidRDefault="00F205B0" w:rsidP="00F205B0">
      <w:pPr>
        <w:spacing w:after="0" w:line="240" w:lineRule="auto"/>
        <w:ind w:left="969" w:hanging="567"/>
        <w:jc w:val="both"/>
        <w:rPr>
          <w:rFonts w:ascii="Arial" w:hAnsi="Arial" w:cs="Arial"/>
          <w:b/>
          <w:sz w:val="21"/>
          <w:szCs w:val="21"/>
        </w:rPr>
      </w:pPr>
      <w:r w:rsidRPr="00FD2950">
        <w:rPr>
          <w:rFonts w:ascii="Arial" w:hAnsi="Arial" w:cs="Arial"/>
          <w:b/>
          <w:sz w:val="21"/>
          <w:szCs w:val="21"/>
        </w:rPr>
        <w:t>6.8.</w:t>
      </w:r>
      <w:r w:rsidRPr="00FD2950">
        <w:rPr>
          <w:rFonts w:ascii="Arial" w:hAnsi="Arial" w:cs="Arial"/>
          <w:b/>
          <w:sz w:val="21"/>
          <w:szCs w:val="21"/>
        </w:rPr>
        <w:tab/>
        <w:t>Emisión del informe técnico legal</w:t>
      </w:r>
    </w:p>
    <w:p w:rsidR="00F205B0" w:rsidRPr="00FD2950" w:rsidRDefault="00F205B0" w:rsidP="00F205B0">
      <w:pPr>
        <w:spacing w:after="0" w:line="240" w:lineRule="auto"/>
        <w:ind w:left="969"/>
        <w:jc w:val="both"/>
        <w:rPr>
          <w:rFonts w:ascii="Arial" w:hAnsi="Arial" w:cs="Arial"/>
          <w:sz w:val="21"/>
          <w:szCs w:val="21"/>
        </w:rPr>
      </w:pPr>
      <w:r w:rsidRPr="00FD2950">
        <w:rPr>
          <w:rFonts w:ascii="Arial" w:hAnsi="Arial" w:cs="Arial"/>
          <w:sz w:val="21"/>
          <w:szCs w:val="21"/>
        </w:rPr>
        <w:t xml:space="preserve">El informe técnico legal contendrá la fundamentación del cumplimiento de cada una de las etapas precedentes que conforman el procedimiento de permuta predial, utilizándose el formato aprobado por la Resolución N° 040-2013-SBN. </w:t>
      </w:r>
    </w:p>
    <w:p w:rsidR="00F205B0" w:rsidRPr="00FD2950" w:rsidRDefault="00F205B0" w:rsidP="00F205B0">
      <w:pPr>
        <w:spacing w:after="0" w:line="240" w:lineRule="auto"/>
        <w:ind w:left="969"/>
        <w:jc w:val="both"/>
        <w:rPr>
          <w:rFonts w:ascii="Arial" w:hAnsi="Arial" w:cs="Arial"/>
          <w:sz w:val="21"/>
          <w:szCs w:val="21"/>
        </w:rPr>
      </w:pPr>
    </w:p>
    <w:p w:rsidR="00F205B0" w:rsidRPr="00FD2950" w:rsidRDefault="00F205B0" w:rsidP="00F205B0">
      <w:pPr>
        <w:spacing w:after="0" w:line="240" w:lineRule="auto"/>
        <w:ind w:left="969"/>
        <w:jc w:val="both"/>
        <w:rPr>
          <w:rFonts w:ascii="Arial" w:hAnsi="Arial" w:cs="Arial"/>
          <w:sz w:val="21"/>
          <w:szCs w:val="21"/>
        </w:rPr>
      </w:pPr>
      <w:r w:rsidRPr="00FD2950">
        <w:rPr>
          <w:rFonts w:ascii="Arial" w:hAnsi="Arial" w:cs="Arial"/>
          <w:sz w:val="21"/>
          <w:szCs w:val="21"/>
        </w:rPr>
        <w:t xml:space="preserve">Dicho informe debe ser elaborado y firmado por el o los responsables a cargo de la sustentación del expediente administrativo correspondiente, y puesto a disposición del profesional a cargo del órgano responsable de la entidad pública competente, adjuntando el proyecto de resolución que aprueba la permuta predial. </w:t>
      </w:r>
    </w:p>
    <w:p w:rsidR="00F205B0" w:rsidRPr="00FD2950" w:rsidRDefault="00F205B0" w:rsidP="00F205B0">
      <w:pPr>
        <w:spacing w:after="0" w:line="240" w:lineRule="auto"/>
        <w:ind w:left="969"/>
        <w:jc w:val="both"/>
        <w:rPr>
          <w:rFonts w:ascii="Arial" w:hAnsi="Arial" w:cs="Arial"/>
          <w:sz w:val="21"/>
          <w:szCs w:val="21"/>
        </w:rPr>
      </w:pPr>
    </w:p>
    <w:p w:rsidR="00F205B0" w:rsidRPr="00FD2950" w:rsidRDefault="00F205B0" w:rsidP="00F205B0">
      <w:pPr>
        <w:spacing w:after="0" w:line="240" w:lineRule="auto"/>
        <w:ind w:left="969"/>
        <w:jc w:val="both"/>
        <w:rPr>
          <w:rFonts w:ascii="Arial" w:hAnsi="Arial" w:cs="Arial"/>
          <w:sz w:val="21"/>
          <w:szCs w:val="21"/>
        </w:rPr>
      </w:pPr>
      <w:r w:rsidRPr="00FD2950">
        <w:rPr>
          <w:rFonts w:ascii="Arial" w:hAnsi="Arial" w:cs="Arial"/>
          <w:sz w:val="21"/>
          <w:szCs w:val="21"/>
        </w:rPr>
        <w:t>En el procedimiento a cargo de la SBN, el informe técnico legal es elaborado y firmado por los servidores públicos de la SDDI, responsables de la evaluación del expediente administrativo correspondiente, y elevado al Subdirector de dicha unidad orgánica, para la emisión de la resolución administrativa que apruebe la permuta predial.</w:t>
      </w:r>
    </w:p>
    <w:p w:rsidR="00F205B0" w:rsidRPr="00FD2950" w:rsidRDefault="00F205B0" w:rsidP="00F205B0">
      <w:pPr>
        <w:spacing w:after="0" w:line="240" w:lineRule="auto"/>
        <w:ind w:left="686" w:hanging="284"/>
        <w:jc w:val="both"/>
        <w:rPr>
          <w:rFonts w:ascii="Arial" w:hAnsi="Arial" w:cs="Arial"/>
          <w:sz w:val="21"/>
          <w:szCs w:val="21"/>
        </w:rPr>
      </w:pPr>
    </w:p>
    <w:p w:rsidR="00F205B0" w:rsidRPr="00FD2950" w:rsidRDefault="00F205B0" w:rsidP="00F205B0">
      <w:pPr>
        <w:spacing w:after="0" w:line="240" w:lineRule="auto"/>
        <w:ind w:left="969" w:hanging="567"/>
        <w:jc w:val="both"/>
        <w:rPr>
          <w:rFonts w:ascii="Arial" w:hAnsi="Arial" w:cs="Arial"/>
          <w:b/>
          <w:sz w:val="21"/>
          <w:szCs w:val="21"/>
        </w:rPr>
      </w:pPr>
      <w:r w:rsidRPr="00FD2950">
        <w:rPr>
          <w:rFonts w:ascii="Arial" w:hAnsi="Arial" w:cs="Arial"/>
          <w:b/>
          <w:sz w:val="21"/>
          <w:szCs w:val="21"/>
        </w:rPr>
        <w:t>6.9.</w:t>
      </w:r>
      <w:r w:rsidRPr="00FD2950">
        <w:rPr>
          <w:rFonts w:ascii="Arial" w:hAnsi="Arial" w:cs="Arial"/>
          <w:b/>
          <w:sz w:val="21"/>
          <w:szCs w:val="21"/>
        </w:rPr>
        <w:tab/>
        <w:t>Opinión técnica de la SBN en los procedimientos tramitados por las demás entidades del SNBE</w:t>
      </w:r>
    </w:p>
    <w:p w:rsidR="00F205B0" w:rsidRPr="00FD2950" w:rsidRDefault="00F205B0" w:rsidP="00F205B0">
      <w:pPr>
        <w:spacing w:after="0" w:line="240" w:lineRule="auto"/>
        <w:ind w:left="969"/>
        <w:jc w:val="both"/>
        <w:rPr>
          <w:rFonts w:ascii="Arial" w:hAnsi="Arial" w:cs="Arial"/>
          <w:sz w:val="21"/>
          <w:szCs w:val="21"/>
        </w:rPr>
      </w:pPr>
      <w:r w:rsidRPr="00FD2950">
        <w:rPr>
          <w:rFonts w:ascii="Arial" w:hAnsi="Arial" w:cs="Arial"/>
          <w:sz w:val="21"/>
          <w:szCs w:val="21"/>
        </w:rPr>
        <w:t xml:space="preserve">Una vez emitido el Informe Técnico Legal, las entidades del SNBE </w:t>
      </w:r>
      <w:r w:rsidRPr="00FD2950">
        <w:rPr>
          <w:rFonts w:ascii="Arial" w:hAnsi="Arial" w:cs="Arial"/>
          <w:color w:val="000000" w:themeColor="text1"/>
          <w:sz w:val="21"/>
          <w:szCs w:val="21"/>
        </w:rPr>
        <w:t xml:space="preserve">que instruyen el procedimiento de permuta predial solicitan opinión técnica </w:t>
      </w:r>
      <w:r w:rsidRPr="00FD2950">
        <w:rPr>
          <w:rFonts w:ascii="Arial" w:hAnsi="Arial" w:cs="Arial"/>
          <w:sz w:val="21"/>
          <w:szCs w:val="21"/>
        </w:rPr>
        <w:t xml:space="preserve">a la SBN respecto a </w:t>
      </w:r>
      <w:r w:rsidRPr="00FD2950">
        <w:rPr>
          <w:rFonts w:ascii="Arial" w:hAnsi="Arial" w:cs="Arial"/>
          <w:color w:val="000000" w:themeColor="text1"/>
          <w:sz w:val="21"/>
          <w:szCs w:val="21"/>
        </w:rPr>
        <w:t xml:space="preserve">dicho </w:t>
      </w:r>
      <w:r w:rsidRPr="00FD2950">
        <w:rPr>
          <w:rFonts w:ascii="Arial" w:hAnsi="Arial" w:cs="Arial"/>
          <w:sz w:val="21"/>
          <w:szCs w:val="21"/>
        </w:rPr>
        <w:t>procedimiento. Para tal efecto, deben remitir copia autenticada de los siguientes documentos:</w:t>
      </w:r>
    </w:p>
    <w:p w:rsidR="00F205B0" w:rsidRPr="00FD2950" w:rsidRDefault="00F205B0" w:rsidP="00F205B0">
      <w:pPr>
        <w:spacing w:after="0" w:line="240" w:lineRule="auto"/>
        <w:jc w:val="both"/>
        <w:rPr>
          <w:rFonts w:ascii="Arial" w:hAnsi="Arial" w:cs="Arial"/>
          <w:sz w:val="21"/>
          <w:szCs w:val="21"/>
        </w:rPr>
      </w:pPr>
    </w:p>
    <w:p w:rsidR="00F205B0" w:rsidRPr="00FD2950" w:rsidRDefault="00F205B0" w:rsidP="00F205B0">
      <w:pPr>
        <w:spacing w:after="0" w:line="240" w:lineRule="auto"/>
        <w:ind w:left="1253" w:hanging="283"/>
        <w:jc w:val="both"/>
        <w:rPr>
          <w:rFonts w:ascii="Arial" w:hAnsi="Arial" w:cs="Arial"/>
          <w:sz w:val="21"/>
          <w:szCs w:val="21"/>
        </w:rPr>
      </w:pPr>
      <w:r w:rsidRPr="00FD2950">
        <w:rPr>
          <w:rFonts w:ascii="Arial" w:hAnsi="Arial" w:cs="Arial"/>
          <w:color w:val="000000" w:themeColor="text1"/>
          <w:sz w:val="21"/>
          <w:szCs w:val="21"/>
        </w:rPr>
        <w:t>a)</w:t>
      </w:r>
      <w:r w:rsidRPr="00FD2950">
        <w:rPr>
          <w:rFonts w:ascii="Arial" w:hAnsi="Arial" w:cs="Arial"/>
          <w:color w:val="000000" w:themeColor="text1"/>
          <w:sz w:val="21"/>
          <w:szCs w:val="21"/>
        </w:rPr>
        <w:tab/>
        <w:t>Solicitud de permuta predial y demás requisitos formales</w:t>
      </w:r>
      <w:r w:rsidRPr="00FD2950">
        <w:rPr>
          <w:rFonts w:ascii="Arial" w:hAnsi="Arial" w:cs="Arial"/>
          <w:sz w:val="21"/>
          <w:szCs w:val="21"/>
        </w:rPr>
        <w:t xml:space="preserve">. En la solicitud debe indicarse </w:t>
      </w:r>
      <w:r w:rsidRPr="00FD2950">
        <w:rPr>
          <w:rFonts w:ascii="Arial" w:hAnsi="Arial" w:cs="Arial"/>
          <w:color w:val="000000" w:themeColor="text1"/>
          <w:sz w:val="21"/>
          <w:szCs w:val="21"/>
        </w:rPr>
        <w:t xml:space="preserve">la </w:t>
      </w:r>
      <w:r w:rsidRPr="00FD2950">
        <w:rPr>
          <w:rFonts w:ascii="Arial" w:hAnsi="Arial" w:cs="Arial"/>
          <w:sz w:val="21"/>
          <w:szCs w:val="21"/>
        </w:rPr>
        <w:t>partida registral de los predios materia de permuta predial, de corresponder.</w:t>
      </w:r>
    </w:p>
    <w:p w:rsidR="00F205B0" w:rsidRPr="00FD2950" w:rsidRDefault="00F205B0" w:rsidP="00F205B0">
      <w:pPr>
        <w:spacing w:after="0" w:line="240" w:lineRule="auto"/>
        <w:ind w:left="1253" w:hanging="283"/>
        <w:jc w:val="both"/>
        <w:rPr>
          <w:rFonts w:ascii="Arial" w:hAnsi="Arial" w:cs="Arial"/>
          <w:sz w:val="21"/>
          <w:szCs w:val="21"/>
        </w:rPr>
      </w:pPr>
      <w:r w:rsidRPr="00FD2950">
        <w:rPr>
          <w:rFonts w:ascii="Arial" w:hAnsi="Arial" w:cs="Arial"/>
          <w:sz w:val="21"/>
          <w:szCs w:val="21"/>
        </w:rPr>
        <w:t>b)</w:t>
      </w:r>
      <w:r w:rsidRPr="00FD2950">
        <w:rPr>
          <w:rFonts w:ascii="Arial" w:hAnsi="Arial" w:cs="Arial"/>
          <w:sz w:val="21"/>
          <w:szCs w:val="21"/>
        </w:rPr>
        <w:tab/>
        <w:t>Informe de calificación sustantiva favorable de la solicitud, acompañado del análisis del beneficio económico y social para el Estado.</w:t>
      </w:r>
    </w:p>
    <w:p w:rsidR="00F205B0" w:rsidRPr="00FD2950" w:rsidRDefault="00F205B0" w:rsidP="00F205B0">
      <w:pPr>
        <w:spacing w:after="0" w:line="240" w:lineRule="auto"/>
        <w:ind w:left="1253" w:hanging="283"/>
        <w:jc w:val="both"/>
        <w:rPr>
          <w:rFonts w:ascii="Arial" w:hAnsi="Arial" w:cs="Arial"/>
          <w:sz w:val="21"/>
          <w:szCs w:val="21"/>
        </w:rPr>
      </w:pPr>
      <w:r w:rsidRPr="00FD2950">
        <w:rPr>
          <w:rFonts w:ascii="Arial" w:hAnsi="Arial" w:cs="Arial"/>
          <w:sz w:val="21"/>
          <w:szCs w:val="21"/>
        </w:rPr>
        <w:t>c)</w:t>
      </w:r>
      <w:r w:rsidRPr="00FD2950">
        <w:rPr>
          <w:rFonts w:ascii="Arial" w:hAnsi="Arial" w:cs="Arial"/>
          <w:sz w:val="21"/>
          <w:szCs w:val="21"/>
        </w:rPr>
        <w:tab/>
        <w:t>Plano perimétrico - ubicación de los predios materia de permuta, en coordenadas UTM a escala apropiada, con la indicación del área, linderos, ángulos y medidas perimétricas correspondientes.</w:t>
      </w:r>
    </w:p>
    <w:p w:rsidR="00F205B0" w:rsidRPr="00FD2950" w:rsidRDefault="00F205B0" w:rsidP="00F205B0">
      <w:pPr>
        <w:spacing w:after="0" w:line="240" w:lineRule="auto"/>
        <w:ind w:left="1253" w:hanging="283"/>
        <w:jc w:val="both"/>
        <w:rPr>
          <w:rFonts w:ascii="Arial" w:hAnsi="Arial" w:cs="Arial"/>
          <w:sz w:val="21"/>
          <w:szCs w:val="21"/>
        </w:rPr>
      </w:pPr>
      <w:r w:rsidRPr="00FD2950">
        <w:rPr>
          <w:rFonts w:ascii="Arial" w:hAnsi="Arial" w:cs="Arial"/>
          <w:sz w:val="21"/>
          <w:szCs w:val="21"/>
        </w:rPr>
        <w:t>d)</w:t>
      </w:r>
      <w:r w:rsidRPr="00FD2950">
        <w:rPr>
          <w:rFonts w:ascii="Arial" w:hAnsi="Arial" w:cs="Arial"/>
          <w:sz w:val="21"/>
          <w:szCs w:val="21"/>
        </w:rPr>
        <w:tab/>
        <w:t>Memoria descriptiva de los predios materia de permuta, describiendo la ubicación, el área, los linderos, las medidas perimétricas, la zonificación y las observaciones que se consideren pertinentes.</w:t>
      </w:r>
    </w:p>
    <w:p w:rsidR="00F205B0" w:rsidRPr="00FD2950" w:rsidRDefault="00F205B0" w:rsidP="00F205B0">
      <w:pPr>
        <w:spacing w:after="0" w:line="240" w:lineRule="auto"/>
        <w:ind w:left="1253" w:hanging="283"/>
        <w:jc w:val="both"/>
        <w:rPr>
          <w:rFonts w:ascii="Arial" w:hAnsi="Arial" w:cs="Arial"/>
          <w:sz w:val="21"/>
          <w:szCs w:val="21"/>
        </w:rPr>
      </w:pPr>
      <w:r w:rsidRPr="00FD2950">
        <w:rPr>
          <w:rFonts w:ascii="Arial" w:hAnsi="Arial" w:cs="Arial"/>
          <w:sz w:val="21"/>
          <w:szCs w:val="21"/>
        </w:rPr>
        <w:t>e)</w:t>
      </w:r>
      <w:r w:rsidRPr="00FD2950">
        <w:rPr>
          <w:rFonts w:ascii="Arial" w:hAnsi="Arial" w:cs="Arial"/>
          <w:sz w:val="21"/>
          <w:szCs w:val="21"/>
        </w:rPr>
        <w:tab/>
        <w:t>Fotografías de los predios materia de permuta.</w:t>
      </w:r>
    </w:p>
    <w:p w:rsidR="00F205B0" w:rsidRPr="00FD2950" w:rsidRDefault="00F205B0" w:rsidP="00F205B0">
      <w:pPr>
        <w:spacing w:after="0" w:line="240" w:lineRule="auto"/>
        <w:ind w:left="1253" w:hanging="283"/>
        <w:jc w:val="both"/>
        <w:rPr>
          <w:rFonts w:ascii="Arial" w:hAnsi="Arial" w:cs="Arial"/>
          <w:sz w:val="21"/>
          <w:szCs w:val="21"/>
        </w:rPr>
      </w:pPr>
      <w:r w:rsidRPr="00FD2950">
        <w:rPr>
          <w:rFonts w:ascii="Arial" w:hAnsi="Arial" w:cs="Arial"/>
          <w:sz w:val="21"/>
          <w:szCs w:val="21"/>
        </w:rPr>
        <w:t>f)</w:t>
      </w:r>
      <w:r w:rsidRPr="00FD2950">
        <w:rPr>
          <w:rFonts w:ascii="Arial" w:hAnsi="Arial" w:cs="Arial"/>
          <w:sz w:val="21"/>
          <w:szCs w:val="21"/>
        </w:rPr>
        <w:tab/>
        <w:t>Valorización de los predios materia de permuta, elaborada de conformidad con lo dispuesto en el Reglamento Nacional de Tasaciones del Perú, acompañado del Informe de conformidad al procedimiento y estudio de mercado de la valorización de los predios.</w:t>
      </w:r>
    </w:p>
    <w:p w:rsidR="00F205B0" w:rsidRPr="00FD2950" w:rsidRDefault="00F205B0" w:rsidP="00F205B0">
      <w:pPr>
        <w:spacing w:after="0" w:line="240" w:lineRule="auto"/>
        <w:ind w:left="1253" w:hanging="283"/>
        <w:jc w:val="both"/>
        <w:rPr>
          <w:rFonts w:ascii="Arial" w:hAnsi="Arial" w:cs="Arial"/>
          <w:sz w:val="21"/>
          <w:szCs w:val="21"/>
        </w:rPr>
      </w:pPr>
      <w:r w:rsidRPr="00FD2950">
        <w:rPr>
          <w:rFonts w:ascii="Arial" w:hAnsi="Arial" w:cs="Arial"/>
          <w:sz w:val="21"/>
          <w:szCs w:val="21"/>
        </w:rPr>
        <w:t>g)</w:t>
      </w:r>
      <w:r w:rsidRPr="00FD2950">
        <w:rPr>
          <w:rFonts w:ascii="Arial" w:hAnsi="Arial" w:cs="Arial"/>
          <w:sz w:val="21"/>
          <w:szCs w:val="21"/>
        </w:rPr>
        <w:tab/>
        <w:t>Informe Técnico Legal, conteniendo la opinión favorable para la permuta predial.</w:t>
      </w:r>
    </w:p>
    <w:p w:rsidR="00F205B0" w:rsidRPr="00FD2950" w:rsidRDefault="00F205B0" w:rsidP="00F205B0">
      <w:pPr>
        <w:spacing w:after="0" w:line="240" w:lineRule="auto"/>
        <w:jc w:val="both"/>
        <w:rPr>
          <w:rFonts w:ascii="Arial" w:hAnsi="Arial" w:cs="Arial"/>
          <w:sz w:val="21"/>
          <w:szCs w:val="21"/>
        </w:rPr>
      </w:pPr>
    </w:p>
    <w:p w:rsidR="00F205B0" w:rsidRPr="00FD2950" w:rsidRDefault="00F205B0" w:rsidP="00F205B0">
      <w:pPr>
        <w:spacing w:after="0" w:line="240" w:lineRule="auto"/>
        <w:ind w:left="969"/>
        <w:jc w:val="both"/>
        <w:rPr>
          <w:rFonts w:ascii="Arial" w:hAnsi="Arial" w:cs="Arial"/>
          <w:sz w:val="21"/>
          <w:szCs w:val="21"/>
        </w:rPr>
      </w:pPr>
      <w:r w:rsidRPr="00FD2950">
        <w:rPr>
          <w:rFonts w:ascii="Arial" w:hAnsi="Arial" w:cs="Arial"/>
          <w:sz w:val="21"/>
          <w:szCs w:val="21"/>
        </w:rPr>
        <w:t>Recibida la solicitud, la SDDI procede a verificar la documentación presentada, pudiendo requerir a la entidad, vía oficio o correo electrónico, para que presente los documentos complementarios o la aclaración que estime necesaria, dentro del plazo de quince (15) días hábiles de recibida la notificación, caso contrario devuelve el expediente. De manera excepcional y por razones justificadas, puede prorrogar dicho plazo por igual término y por única vez, siempre que la entidad lo solicite antes de su vencimiento.</w:t>
      </w:r>
    </w:p>
    <w:p w:rsidR="00F205B0" w:rsidRPr="00FD2950" w:rsidRDefault="00F205B0" w:rsidP="00F205B0">
      <w:pPr>
        <w:spacing w:after="0" w:line="240" w:lineRule="auto"/>
        <w:ind w:left="1134"/>
        <w:jc w:val="both"/>
        <w:rPr>
          <w:rFonts w:ascii="Arial" w:hAnsi="Arial" w:cs="Arial"/>
          <w:sz w:val="21"/>
          <w:szCs w:val="21"/>
        </w:rPr>
      </w:pPr>
    </w:p>
    <w:p w:rsidR="00F205B0" w:rsidRPr="00FD2950" w:rsidRDefault="00F205B0" w:rsidP="00F205B0">
      <w:pPr>
        <w:spacing w:after="0" w:line="240" w:lineRule="auto"/>
        <w:ind w:left="969"/>
        <w:jc w:val="both"/>
        <w:rPr>
          <w:rFonts w:ascii="Arial" w:hAnsi="Arial" w:cs="Arial"/>
          <w:sz w:val="21"/>
          <w:szCs w:val="21"/>
        </w:rPr>
      </w:pPr>
      <w:r w:rsidRPr="00FD2950">
        <w:rPr>
          <w:rFonts w:ascii="Arial" w:hAnsi="Arial" w:cs="Arial"/>
          <w:sz w:val="21"/>
          <w:szCs w:val="21"/>
        </w:rPr>
        <w:t>La opinión técnica de la SBN se circunscribe únicamente a la verificación del cumplimiento de los requisitos que exige el procedimiento de permuta predial, siendo de exclusiva responsabilidad de la entidad pública la oportunidad en efectuar la permuta predial y veracidad de la documentación remitida, así como, la aprobación de la valorización de los predios materia de permuta.</w:t>
      </w:r>
    </w:p>
    <w:p w:rsidR="00F205B0" w:rsidRPr="00FD2950" w:rsidRDefault="00F205B0" w:rsidP="00F205B0">
      <w:pPr>
        <w:spacing w:after="0" w:line="240" w:lineRule="auto"/>
        <w:ind w:left="969"/>
        <w:jc w:val="both"/>
        <w:rPr>
          <w:rFonts w:ascii="Arial" w:hAnsi="Arial" w:cs="Arial"/>
          <w:sz w:val="21"/>
          <w:szCs w:val="21"/>
        </w:rPr>
      </w:pPr>
    </w:p>
    <w:p w:rsidR="00F205B0" w:rsidRPr="00FD2950" w:rsidRDefault="00F205B0" w:rsidP="00F205B0">
      <w:pPr>
        <w:spacing w:after="0" w:line="240" w:lineRule="auto"/>
        <w:ind w:left="969"/>
        <w:jc w:val="both"/>
        <w:rPr>
          <w:rFonts w:ascii="Arial" w:hAnsi="Arial" w:cs="Arial"/>
          <w:sz w:val="21"/>
          <w:szCs w:val="21"/>
        </w:rPr>
      </w:pPr>
      <w:r w:rsidRPr="00FD2950">
        <w:rPr>
          <w:rFonts w:ascii="Arial" w:hAnsi="Arial" w:cs="Arial"/>
          <w:sz w:val="21"/>
          <w:szCs w:val="21"/>
        </w:rPr>
        <w:t>La opinión técnica debe ser emitida por la SDDI, en un plazo no mayor de treinta (30) días hábiles de recibida la solicitud o efectuada la subsanación de la misma, y es comunicada a la entidad pública, a través de la DGPE.</w:t>
      </w:r>
    </w:p>
    <w:p w:rsidR="00F205B0" w:rsidRPr="00FD2950" w:rsidRDefault="00F205B0" w:rsidP="00F205B0">
      <w:pPr>
        <w:spacing w:after="0" w:line="240" w:lineRule="auto"/>
        <w:ind w:left="969"/>
        <w:jc w:val="both"/>
        <w:rPr>
          <w:rFonts w:ascii="Arial" w:hAnsi="Arial" w:cs="Arial"/>
          <w:sz w:val="21"/>
          <w:szCs w:val="21"/>
        </w:rPr>
      </w:pPr>
    </w:p>
    <w:p w:rsidR="00F205B0" w:rsidRPr="00FD2950" w:rsidRDefault="00F205B0" w:rsidP="00F205B0">
      <w:pPr>
        <w:spacing w:after="0" w:line="240" w:lineRule="auto"/>
        <w:ind w:left="969"/>
        <w:jc w:val="both"/>
        <w:rPr>
          <w:rFonts w:ascii="Arial" w:hAnsi="Arial" w:cs="Arial"/>
          <w:sz w:val="21"/>
          <w:szCs w:val="21"/>
        </w:rPr>
      </w:pPr>
      <w:r w:rsidRPr="00FD2950">
        <w:rPr>
          <w:rFonts w:ascii="Arial" w:hAnsi="Arial" w:cs="Arial"/>
          <w:sz w:val="21"/>
          <w:szCs w:val="21"/>
        </w:rPr>
        <w:t>El vencimiento de la valorización en esta etapa del procedimiento, no impide la emisión de la opinión técnica, la cual debe ser con cargo a que la entidad realice la actualización de la respectiva tasación.</w:t>
      </w:r>
    </w:p>
    <w:p w:rsidR="00F205B0" w:rsidRPr="00FD2950" w:rsidRDefault="00F205B0" w:rsidP="00F205B0">
      <w:pPr>
        <w:spacing w:after="0" w:line="240" w:lineRule="auto"/>
        <w:ind w:left="544"/>
        <w:jc w:val="both"/>
        <w:rPr>
          <w:rFonts w:ascii="Arial" w:hAnsi="Arial" w:cs="Arial"/>
          <w:sz w:val="21"/>
          <w:szCs w:val="21"/>
        </w:rPr>
      </w:pPr>
    </w:p>
    <w:p w:rsidR="00F205B0" w:rsidRPr="00FD2950" w:rsidRDefault="00F205B0" w:rsidP="00F205B0">
      <w:pPr>
        <w:spacing w:after="0" w:line="240" w:lineRule="auto"/>
        <w:ind w:left="969" w:hanging="567"/>
        <w:jc w:val="both"/>
        <w:rPr>
          <w:rFonts w:ascii="Arial" w:hAnsi="Arial" w:cs="Arial"/>
          <w:b/>
          <w:sz w:val="21"/>
          <w:szCs w:val="21"/>
        </w:rPr>
      </w:pPr>
      <w:r w:rsidRPr="00FD2950">
        <w:rPr>
          <w:rFonts w:ascii="Arial" w:hAnsi="Arial" w:cs="Arial"/>
          <w:b/>
          <w:sz w:val="21"/>
          <w:szCs w:val="21"/>
        </w:rPr>
        <w:t>6.10.</w:t>
      </w:r>
      <w:r w:rsidRPr="00FD2950">
        <w:rPr>
          <w:rFonts w:ascii="Arial" w:hAnsi="Arial" w:cs="Arial"/>
          <w:b/>
          <w:sz w:val="21"/>
          <w:szCs w:val="21"/>
        </w:rPr>
        <w:tab/>
        <w:t>Emisión de la resolución que aprueba la permuta</w:t>
      </w:r>
    </w:p>
    <w:p w:rsidR="00F205B0" w:rsidRPr="00FD2950" w:rsidRDefault="00F205B0" w:rsidP="00F205B0">
      <w:pPr>
        <w:spacing w:after="0" w:line="240" w:lineRule="auto"/>
        <w:ind w:left="969"/>
        <w:jc w:val="both"/>
        <w:rPr>
          <w:rFonts w:ascii="Arial" w:hAnsi="Arial" w:cs="Arial"/>
          <w:sz w:val="21"/>
          <w:szCs w:val="21"/>
        </w:rPr>
      </w:pPr>
      <w:r w:rsidRPr="00FD2950">
        <w:rPr>
          <w:rFonts w:ascii="Arial" w:hAnsi="Arial" w:cs="Arial"/>
          <w:sz w:val="21"/>
          <w:szCs w:val="21"/>
        </w:rPr>
        <w:t>La resolución que aprueba la permuta predial debe contener la descripción de los aspectos relevantes reseñados en las etapas de calificación formal de la solicitud, inspección técnica, valorización comercial de los predios materia de permuta, calificación sustantiva de la solicitud, autorización o conformidad del titular del pliego de la entidad pública competente y la opinión técnica favorable de la SBN, esto último en el caso de los procedimientos de permuta a cargo de las demás entidades del SNBE.</w:t>
      </w:r>
    </w:p>
    <w:p w:rsidR="00F205B0" w:rsidRPr="00FD2950" w:rsidRDefault="00F205B0" w:rsidP="00F205B0">
      <w:pPr>
        <w:spacing w:after="0" w:line="240" w:lineRule="auto"/>
        <w:ind w:left="969"/>
        <w:jc w:val="both"/>
        <w:rPr>
          <w:rFonts w:ascii="Arial" w:hAnsi="Arial" w:cs="Arial"/>
          <w:sz w:val="21"/>
          <w:szCs w:val="21"/>
        </w:rPr>
      </w:pPr>
    </w:p>
    <w:p w:rsidR="00F205B0" w:rsidRPr="00FD2950" w:rsidRDefault="00F205B0" w:rsidP="00F205B0">
      <w:pPr>
        <w:spacing w:after="0" w:line="240" w:lineRule="auto"/>
        <w:ind w:left="969"/>
        <w:jc w:val="both"/>
        <w:rPr>
          <w:rFonts w:ascii="Arial" w:hAnsi="Arial" w:cs="Arial"/>
          <w:color w:val="000000" w:themeColor="text1"/>
          <w:sz w:val="21"/>
          <w:szCs w:val="21"/>
        </w:rPr>
      </w:pPr>
      <w:r w:rsidRPr="00FD2950">
        <w:rPr>
          <w:rFonts w:ascii="Arial" w:hAnsi="Arial" w:cs="Arial"/>
          <w:color w:val="000000" w:themeColor="text1"/>
          <w:sz w:val="21"/>
          <w:szCs w:val="21"/>
        </w:rPr>
        <w:t>En el caso de la permuta predial entre entidades públicas, ambas deben emitir la resolución administrativa que aprueba dicho acto.</w:t>
      </w:r>
    </w:p>
    <w:p w:rsidR="00F205B0" w:rsidRPr="00FD2950" w:rsidRDefault="00F205B0" w:rsidP="00F205B0">
      <w:pPr>
        <w:spacing w:after="0" w:line="240" w:lineRule="auto"/>
        <w:ind w:left="1134"/>
        <w:jc w:val="both"/>
        <w:rPr>
          <w:rFonts w:ascii="Arial" w:hAnsi="Arial" w:cs="Arial"/>
          <w:sz w:val="21"/>
          <w:szCs w:val="21"/>
        </w:rPr>
      </w:pPr>
    </w:p>
    <w:p w:rsidR="00F205B0" w:rsidRPr="00FD2950" w:rsidRDefault="00F205B0" w:rsidP="00F205B0">
      <w:pPr>
        <w:spacing w:after="0" w:line="240" w:lineRule="auto"/>
        <w:ind w:left="969"/>
        <w:jc w:val="both"/>
        <w:rPr>
          <w:rFonts w:ascii="Arial" w:hAnsi="Arial" w:cs="Arial"/>
          <w:sz w:val="21"/>
          <w:szCs w:val="21"/>
        </w:rPr>
      </w:pPr>
      <w:r w:rsidRPr="00FD2950">
        <w:rPr>
          <w:rFonts w:ascii="Arial" w:hAnsi="Arial" w:cs="Arial"/>
          <w:sz w:val="21"/>
          <w:szCs w:val="21"/>
        </w:rPr>
        <w:t>La resolución que aprueba la permuta es notificada de acuerdo al régimen de notificaciones previsto en el artículo 21º de la Ley Nº 27444 – Ley del Procedimiento Administrativo General.</w:t>
      </w:r>
    </w:p>
    <w:p w:rsidR="00F205B0" w:rsidRPr="00FD2950" w:rsidRDefault="00F205B0" w:rsidP="00F205B0">
      <w:pPr>
        <w:spacing w:after="0" w:line="240" w:lineRule="auto"/>
        <w:jc w:val="both"/>
        <w:rPr>
          <w:rFonts w:ascii="Arial" w:hAnsi="Arial" w:cs="Arial"/>
          <w:sz w:val="21"/>
          <w:szCs w:val="21"/>
        </w:rPr>
      </w:pPr>
    </w:p>
    <w:p w:rsidR="00F205B0" w:rsidRPr="00FD2950" w:rsidRDefault="00F205B0" w:rsidP="00F205B0">
      <w:pPr>
        <w:spacing w:after="0" w:line="240" w:lineRule="auto"/>
        <w:ind w:left="969" w:hanging="567"/>
        <w:jc w:val="both"/>
        <w:rPr>
          <w:rFonts w:ascii="Arial" w:hAnsi="Arial" w:cs="Arial"/>
          <w:b/>
          <w:sz w:val="21"/>
          <w:szCs w:val="21"/>
        </w:rPr>
      </w:pPr>
      <w:r w:rsidRPr="00FD2950">
        <w:rPr>
          <w:rFonts w:ascii="Arial" w:hAnsi="Arial" w:cs="Arial"/>
          <w:b/>
          <w:sz w:val="21"/>
          <w:szCs w:val="21"/>
        </w:rPr>
        <w:t>6.11.</w:t>
      </w:r>
      <w:r w:rsidRPr="00FD2950">
        <w:rPr>
          <w:rFonts w:ascii="Arial" w:hAnsi="Arial" w:cs="Arial"/>
          <w:b/>
          <w:sz w:val="21"/>
          <w:szCs w:val="21"/>
        </w:rPr>
        <w:tab/>
        <w:t>De la minuta de permuta y elevación a escritura pública</w:t>
      </w:r>
    </w:p>
    <w:p w:rsidR="00F205B0" w:rsidRPr="00FD2950" w:rsidRDefault="00F205B0" w:rsidP="00F205B0">
      <w:pPr>
        <w:spacing w:after="0" w:line="240" w:lineRule="auto"/>
        <w:ind w:left="969"/>
        <w:jc w:val="both"/>
        <w:rPr>
          <w:rFonts w:ascii="Arial" w:hAnsi="Arial" w:cs="Arial"/>
          <w:sz w:val="21"/>
          <w:szCs w:val="21"/>
        </w:rPr>
      </w:pPr>
      <w:r w:rsidRPr="00FD2950">
        <w:rPr>
          <w:rFonts w:ascii="Arial" w:hAnsi="Arial" w:cs="Arial"/>
          <w:sz w:val="21"/>
          <w:szCs w:val="21"/>
        </w:rPr>
        <w:t>Luego de haber adquirido la calidad de cosa decidida la resolución que aprueba la permuta predial, el órgano responsable de la entidad pública competente elabora el proyecto de la minuta de permuta respectiva, la cual es elevada conjuntamente con el expediente administrativo al titular de dicha entidad o aquel que tenga facultades conforme a sus normas de organización interna, para su conformidad y suscripción. Asimismo, este último suscribe la escritura pública en virtud de la cual se formaliza la referida minuta, ante el notario público de la provincia donde se ubican los predios materia de permuta.</w:t>
      </w:r>
    </w:p>
    <w:p w:rsidR="00F205B0" w:rsidRPr="00FD2950" w:rsidRDefault="00F205B0" w:rsidP="00F205B0">
      <w:pPr>
        <w:spacing w:after="0" w:line="240" w:lineRule="auto"/>
        <w:ind w:left="544"/>
        <w:jc w:val="both"/>
        <w:rPr>
          <w:rFonts w:ascii="Arial" w:hAnsi="Arial" w:cs="Arial"/>
          <w:sz w:val="21"/>
          <w:szCs w:val="21"/>
        </w:rPr>
      </w:pPr>
    </w:p>
    <w:p w:rsidR="00F205B0" w:rsidRPr="00FD2950" w:rsidRDefault="00F205B0" w:rsidP="00F205B0">
      <w:pPr>
        <w:spacing w:after="0" w:line="240" w:lineRule="auto"/>
        <w:ind w:left="969"/>
        <w:jc w:val="both"/>
        <w:rPr>
          <w:rFonts w:ascii="Arial" w:hAnsi="Arial" w:cs="Arial"/>
          <w:sz w:val="21"/>
          <w:szCs w:val="21"/>
        </w:rPr>
      </w:pPr>
      <w:r w:rsidRPr="00FD2950">
        <w:rPr>
          <w:rFonts w:ascii="Arial" w:hAnsi="Arial" w:cs="Arial"/>
          <w:sz w:val="21"/>
          <w:szCs w:val="21"/>
        </w:rPr>
        <w:t>En el procedimiento a cargo de la SBN, la SDDI es responsable de la elaboración del proyecto de la minuta respectiva, y la DGPE es responsable de la conformidad y suscripción de la misma, así como, de la suscripción de la escritura pública.</w:t>
      </w:r>
    </w:p>
    <w:p w:rsidR="00F205B0" w:rsidRPr="00FD2950" w:rsidRDefault="00F205B0" w:rsidP="00F205B0">
      <w:pPr>
        <w:spacing w:after="0" w:line="240" w:lineRule="auto"/>
        <w:ind w:left="969"/>
        <w:jc w:val="both"/>
        <w:rPr>
          <w:rFonts w:ascii="Arial" w:hAnsi="Arial" w:cs="Arial"/>
          <w:sz w:val="21"/>
          <w:szCs w:val="21"/>
        </w:rPr>
      </w:pPr>
    </w:p>
    <w:p w:rsidR="00F205B0" w:rsidRPr="00FD2950" w:rsidRDefault="00F205B0" w:rsidP="00F205B0">
      <w:pPr>
        <w:spacing w:after="0" w:line="240" w:lineRule="auto"/>
        <w:ind w:left="969"/>
        <w:jc w:val="both"/>
        <w:rPr>
          <w:rFonts w:ascii="Arial" w:hAnsi="Arial" w:cs="Arial"/>
          <w:sz w:val="21"/>
          <w:szCs w:val="21"/>
        </w:rPr>
      </w:pPr>
      <w:r w:rsidRPr="00FD2950">
        <w:rPr>
          <w:rFonts w:ascii="Arial" w:hAnsi="Arial" w:cs="Arial"/>
          <w:sz w:val="21"/>
          <w:szCs w:val="21"/>
        </w:rPr>
        <w:t>El órgano responsable de la entidad pública competente debe comunicar al administrado (persona natural o jurídica de derecho privado) para que se apersone a suscribir la minuta de permuta, en el plazo máximo de quince (15) días hábiles, contados desde el día siguiente de recibida la comunicación, bajo apercibimiento de dejarse sin efecto la resolución que aprueba la permuta predial, requiriendo la devolución del predio de dominio privado estatal, en caso de haberse entregado, sin lugar a devolución por los gastos incurridos.</w:t>
      </w:r>
    </w:p>
    <w:p w:rsidR="00F205B0" w:rsidRPr="00FD2950" w:rsidRDefault="00F205B0" w:rsidP="00F205B0">
      <w:pPr>
        <w:spacing w:after="0" w:line="240" w:lineRule="auto"/>
        <w:ind w:left="969"/>
        <w:jc w:val="both"/>
        <w:rPr>
          <w:rFonts w:ascii="Arial" w:hAnsi="Arial" w:cs="Arial"/>
          <w:sz w:val="21"/>
          <w:szCs w:val="21"/>
        </w:rPr>
      </w:pPr>
    </w:p>
    <w:p w:rsidR="00F205B0" w:rsidRPr="00FD2950" w:rsidRDefault="00F205B0" w:rsidP="00F205B0">
      <w:pPr>
        <w:spacing w:after="0" w:line="240" w:lineRule="auto"/>
        <w:ind w:left="969"/>
        <w:jc w:val="both"/>
        <w:rPr>
          <w:rFonts w:ascii="Arial" w:hAnsi="Arial" w:cs="Arial"/>
          <w:sz w:val="21"/>
          <w:szCs w:val="21"/>
        </w:rPr>
      </w:pPr>
      <w:r w:rsidRPr="00FD2950">
        <w:rPr>
          <w:rFonts w:ascii="Arial" w:hAnsi="Arial" w:cs="Arial"/>
          <w:sz w:val="21"/>
          <w:szCs w:val="21"/>
        </w:rPr>
        <w:t>La minuta deberá contener los siguientes elementos mínimos, según corresponda:</w:t>
      </w:r>
    </w:p>
    <w:p w:rsidR="00F205B0" w:rsidRPr="00FD2950" w:rsidRDefault="00F205B0" w:rsidP="00F205B0">
      <w:pPr>
        <w:spacing w:after="0" w:line="240" w:lineRule="auto"/>
        <w:ind w:left="1134"/>
        <w:jc w:val="both"/>
        <w:rPr>
          <w:rFonts w:ascii="Arial" w:hAnsi="Arial" w:cs="Arial"/>
          <w:sz w:val="21"/>
          <w:szCs w:val="21"/>
        </w:rPr>
      </w:pPr>
    </w:p>
    <w:p w:rsidR="00F205B0" w:rsidRPr="00FD2950" w:rsidRDefault="00F205B0" w:rsidP="0092471C">
      <w:pPr>
        <w:pStyle w:val="Prrafodelista"/>
        <w:numPr>
          <w:ilvl w:val="0"/>
          <w:numId w:val="336"/>
        </w:numPr>
        <w:spacing w:after="0" w:line="240" w:lineRule="auto"/>
        <w:ind w:left="1394" w:hanging="426"/>
        <w:jc w:val="both"/>
        <w:rPr>
          <w:rFonts w:ascii="Arial" w:hAnsi="Arial" w:cs="Arial"/>
          <w:sz w:val="21"/>
          <w:szCs w:val="21"/>
        </w:rPr>
      </w:pPr>
      <w:r w:rsidRPr="00FD2950">
        <w:rPr>
          <w:rFonts w:ascii="Arial" w:hAnsi="Arial" w:cs="Arial"/>
          <w:sz w:val="21"/>
          <w:szCs w:val="21"/>
        </w:rPr>
        <w:t>Los datos de las partes (entidad pública competente y administrado);</w:t>
      </w:r>
    </w:p>
    <w:p w:rsidR="00F205B0" w:rsidRPr="00FD2950" w:rsidRDefault="00F205B0" w:rsidP="0092471C">
      <w:pPr>
        <w:pStyle w:val="Prrafodelista"/>
        <w:numPr>
          <w:ilvl w:val="0"/>
          <w:numId w:val="336"/>
        </w:numPr>
        <w:spacing w:after="0" w:line="240" w:lineRule="auto"/>
        <w:ind w:left="1394" w:hanging="426"/>
        <w:jc w:val="both"/>
        <w:rPr>
          <w:rFonts w:ascii="Arial" w:hAnsi="Arial" w:cs="Arial"/>
          <w:sz w:val="21"/>
          <w:szCs w:val="21"/>
        </w:rPr>
      </w:pPr>
      <w:r w:rsidRPr="00FD2950">
        <w:rPr>
          <w:rFonts w:ascii="Arial" w:hAnsi="Arial" w:cs="Arial"/>
          <w:sz w:val="21"/>
          <w:szCs w:val="21"/>
        </w:rPr>
        <w:t>Los datos de identificación de los predios materia de permuta;</w:t>
      </w:r>
    </w:p>
    <w:p w:rsidR="00F205B0" w:rsidRPr="00FD2950" w:rsidRDefault="00F205B0" w:rsidP="0092471C">
      <w:pPr>
        <w:pStyle w:val="Prrafodelista"/>
        <w:numPr>
          <w:ilvl w:val="0"/>
          <w:numId w:val="336"/>
        </w:numPr>
        <w:spacing w:after="0" w:line="240" w:lineRule="auto"/>
        <w:ind w:left="1394" w:hanging="426"/>
        <w:jc w:val="both"/>
        <w:rPr>
          <w:rFonts w:ascii="Arial" w:hAnsi="Arial" w:cs="Arial"/>
          <w:sz w:val="21"/>
          <w:szCs w:val="21"/>
        </w:rPr>
      </w:pPr>
      <w:r w:rsidRPr="00FD2950">
        <w:rPr>
          <w:rFonts w:ascii="Arial" w:hAnsi="Arial" w:cs="Arial"/>
          <w:sz w:val="21"/>
          <w:szCs w:val="21"/>
        </w:rPr>
        <w:t>El objeto de la minuta, precisando los datos de la resolución que aprueba la permuta.</w:t>
      </w:r>
    </w:p>
    <w:p w:rsidR="00F205B0" w:rsidRPr="00FD2950" w:rsidRDefault="00F205B0" w:rsidP="0092471C">
      <w:pPr>
        <w:pStyle w:val="Prrafodelista"/>
        <w:numPr>
          <w:ilvl w:val="0"/>
          <w:numId w:val="336"/>
        </w:numPr>
        <w:spacing w:after="0" w:line="240" w:lineRule="auto"/>
        <w:ind w:left="1394" w:hanging="426"/>
        <w:jc w:val="both"/>
        <w:rPr>
          <w:rFonts w:ascii="Arial" w:hAnsi="Arial" w:cs="Arial"/>
          <w:sz w:val="21"/>
          <w:szCs w:val="21"/>
        </w:rPr>
      </w:pPr>
      <w:r w:rsidRPr="00FD2950">
        <w:rPr>
          <w:rFonts w:ascii="Arial" w:hAnsi="Arial" w:cs="Arial"/>
          <w:sz w:val="21"/>
          <w:szCs w:val="21"/>
        </w:rPr>
        <w:t>Los valores de los predios de materia de permuta;</w:t>
      </w:r>
    </w:p>
    <w:p w:rsidR="00F205B0" w:rsidRPr="00FD2950" w:rsidRDefault="00F205B0" w:rsidP="0092471C">
      <w:pPr>
        <w:pStyle w:val="Prrafodelista"/>
        <w:numPr>
          <w:ilvl w:val="0"/>
          <w:numId w:val="336"/>
        </w:numPr>
        <w:spacing w:after="0" w:line="240" w:lineRule="auto"/>
        <w:ind w:left="1394" w:hanging="426"/>
        <w:jc w:val="both"/>
        <w:rPr>
          <w:rFonts w:ascii="Arial" w:hAnsi="Arial" w:cs="Arial"/>
          <w:sz w:val="21"/>
          <w:szCs w:val="21"/>
        </w:rPr>
      </w:pPr>
      <w:r w:rsidRPr="00FD2950">
        <w:rPr>
          <w:rFonts w:ascii="Arial" w:hAnsi="Arial" w:cs="Arial"/>
          <w:sz w:val="21"/>
          <w:szCs w:val="21"/>
        </w:rPr>
        <w:t>La inclusión de la regla aplicable en caso de diferencia de valores de los predios materia de permuta;</w:t>
      </w:r>
    </w:p>
    <w:p w:rsidR="00F205B0" w:rsidRPr="00FD2950" w:rsidRDefault="00F205B0" w:rsidP="0092471C">
      <w:pPr>
        <w:pStyle w:val="Prrafodelista"/>
        <w:numPr>
          <w:ilvl w:val="0"/>
          <w:numId w:val="336"/>
        </w:numPr>
        <w:spacing w:after="0" w:line="240" w:lineRule="auto"/>
        <w:ind w:left="1394" w:hanging="426"/>
        <w:jc w:val="both"/>
        <w:rPr>
          <w:rFonts w:ascii="Arial" w:hAnsi="Arial" w:cs="Arial"/>
          <w:sz w:val="21"/>
          <w:szCs w:val="21"/>
        </w:rPr>
      </w:pPr>
      <w:r w:rsidRPr="00FD2950">
        <w:rPr>
          <w:rFonts w:ascii="Arial" w:hAnsi="Arial" w:cs="Arial"/>
          <w:sz w:val="21"/>
          <w:szCs w:val="21"/>
        </w:rPr>
        <w:t>La existencia o inexistencia de cargas, gravámenes y/o procesos administrativos o judiciales;</w:t>
      </w:r>
    </w:p>
    <w:p w:rsidR="00F205B0" w:rsidRPr="00FD2950" w:rsidRDefault="00F205B0" w:rsidP="0092471C">
      <w:pPr>
        <w:pStyle w:val="Prrafodelista"/>
        <w:numPr>
          <w:ilvl w:val="0"/>
          <w:numId w:val="336"/>
        </w:numPr>
        <w:spacing w:after="0" w:line="240" w:lineRule="auto"/>
        <w:ind w:left="1394" w:hanging="426"/>
        <w:jc w:val="both"/>
        <w:rPr>
          <w:rFonts w:ascii="Arial" w:hAnsi="Arial" w:cs="Arial"/>
          <w:sz w:val="21"/>
          <w:szCs w:val="21"/>
        </w:rPr>
      </w:pPr>
      <w:r w:rsidRPr="00FD2950">
        <w:rPr>
          <w:rFonts w:ascii="Arial" w:hAnsi="Arial" w:cs="Arial"/>
          <w:sz w:val="21"/>
          <w:szCs w:val="21"/>
        </w:rPr>
        <w:t>Los gastos notariales y registrales;</w:t>
      </w:r>
    </w:p>
    <w:p w:rsidR="00F205B0" w:rsidRPr="00FD2950" w:rsidRDefault="00F205B0" w:rsidP="0092471C">
      <w:pPr>
        <w:pStyle w:val="Prrafodelista"/>
        <w:numPr>
          <w:ilvl w:val="0"/>
          <w:numId w:val="336"/>
        </w:numPr>
        <w:spacing w:after="0" w:line="240" w:lineRule="auto"/>
        <w:ind w:left="1394" w:hanging="426"/>
        <w:jc w:val="both"/>
        <w:rPr>
          <w:rFonts w:ascii="Arial" w:hAnsi="Arial" w:cs="Arial"/>
          <w:sz w:val="21"/>
          <w:szCs w:val="21"/>
        </w:rPr>
      </w:pPr>
      <w:r w:rsidRPr="00FD2950">
        <w:rPr>
          <w:rFonts w:ascii="Arial" w:hAnsi="Arial" w:cs="Arial"/>
          <w:sz w:val="21"/>
          <w:szCs w:val="21"/>
        </w:rPr>
        <w:t>El pago de tributos;</w:t>
      </w:r>
    </w:p>
    <w:p w:rsidR="00F205B0" w:rsidRPr="00FD2950" w:rsidRDefault="00F205B0" w:rsidP="0092471C">
      <w:pPr>
        <w:pStyle w:val="Prrafodelista"/>
        <w:numPr>
          <w:ilvl w:val="0"/>
          <w:numId w:val="336"/>
        </w:numPr>
        <w:spacing w:after="0" w:line="240" w:lineRule="auto"/>
        <w:ind w:left="1394" w:hanging="426"/>
        <w:jc w:val="both"/>
        <w:rPr>
          <w:rFonts w:ascii="Arial" w:hAnsi="Arial" w:cs="Arial"/>
          <w:sz w:val="21"/>
          <w:szCs w:val="21"/>
        </w:rPr>
      </w:pPr>
      <w:r w:rsidRPr="00FD2950">
        <w:rPr>
          <w:rFonts w:ascii="Arial" w:hAnsi="Arial" w:cs="Arial"/>
          <w:sz w:val="21"/>
          <w:szCs w:val="21"/>
        </w:rPr>
        <w:t>Jurisdicción y Competencia; y,</w:t>
      </w:r>
    </w:p>
    <w:p w:rsidR="00F205B0" w:rsidRPr="00FD2950" w:rsidRDefault="00F205B0" w:rsidP="0092471C">
      <w:pPr>
        <w:pStyle w:val="Prrafodelista"/>
        <w:numPr>
          <w:ilvl w:val="0"/>
          <w:numId w:val="336"/>
        </w:numPr>
        <w:spacing w:after="0" w:line="240" w:lineRule="auto"/>
        <w:ind w:left="1394" w:hanging="426"/>
        <w:jc w:val="both"/>
        <w:rPr>
          <w:rFonts w:ascii="Arial" w:hAnsi="Arial" w:cs="Arial"/>
          <w:sz w:val="21"/>
          <w:szCs w:val="21"/>
        </w:rPr>
      </w:pPr>
      <w:r w:rsidRPr="00FD2950">
        <w:rPr>
          <w:rFonts w:ascii="Arial" w:hAnsi="Arial" w:cs="Arial"/>
          <w:sz w:val="21"/>
          <w:szCs w:val="21"/>
        </w:rPr>
        <w:t>Otras disposiciones pertinentes.</w:t>
      </w:r>
    </w:p>
    <w:p w:rsidR="00F205B0" w:rsidRPr="00FD2950" w:rsidRDefault="00F205B0" w:rsidP="00F205B0">
      <w:pPr>
        <w:spacing w:after="0" w:line="240" w:lineRule="auto"/>
        <w:ind w:left="1134"/>
        <w:jc w:val="both"/>
        <w:rPr>
          <w:rFonts w:ascii="Arial" w:hAnsi="Arial" w:cs="Arial"/>
          <w:sz w:val="21"/>
          <w:szCs w:val="21"/>
        </w:rPr>
      </w:pPr>
    </w:p>
    <w:p w:rsidR="00F205B0" w:rsidRPr="00FD2950" w:rsidRDefault="00F205B0" w:rsidP="00F205B0">
      <w:pPr>
        <w:spacing w:after="0" w:line="240" w:lineRule="auto"/>
        <w:ind w:left="969"/>
        <w:jc w:val="both"/>
        <w:rPr>
          <w:rFonts w:ascii="Arial" w:hAnsi="Arial" w:cs="Arial"/>
          <w:sz w:val="21"/>
          <w:szCs w:val="21"/>
        </w:rPr>
      </w:pPr>
      <w:r w:rsidRPr="00FD2950">
        <w:rPr>
          <w:rFonts w:ascii="Arial" w:hAnsi="Arial" w:cs="Arial"/>
          <w:sz w:val="21"/>
          <w:szCs w:val="21"/>
        </w:rPr>
        <w:t>Los gastos notariales y registrales son asumidos por el administrado, inclusive una copia del testimonio a favor de la entidad pública competente.</w:t>
      </w:r>
    </w:p>
    <w:p w:rsidR="00F205B0" w:rsidRPr="00FD2950" w:rsidRDefault="00F205B0" w:rsidP="00F205B0">
      <w:pPr>
        <w:spacing w:after="0" w:line="240" w:lineRule="auto"/>
        <w:ind w:left="969"/>
        <w:jc w:val="both"/>
        <w:rPr>
          <w:rFonts w:ascii="Arial" w:hAnsi="Arial" w:cs="Arial"/>
          <w:sz w:val="21"/>
          <w:szCs w:val="21"/>
        </w:rPr>
      </w:pPr>
    </w:p>
    <w:p w:rsidR="00F205B0" w:rsidRPr="00FD2950" w:rsidRDefault="00F205B0" w:rsidP="00F205B0">
      <w:pPr>
        <w:spacing w:after="0" w:line="240" w:lineRule="auto"/>
        <w:ind w:left="969"/>
        <w:jc w:val="both"/>
        <w:rPr>
          <w:rFonts w:ascii="Arial" w:hAnsi="Arial" w:cs="Arial"/>
          <w:sz w:val="21"/>
          <w:szCs w:val="21"/>
        </w:rPr>
      </w:pPr>
      <w:r w:rsidRPr="00FD2950">
        <w:rPr>
          <w:rFonts w:ascii="Arial" w:hAnsi="Arial" w:cs="Arial"/>
          <w:sz w:val="21"/>
          <w:szCs w:val="21"/>
        </w:rPr>
        <w:t>Una vez inscrita la permuta, el órgano responsable de la entidad pública competente debe efectuar la declaración jurada de baja del predio entregado al administrado ante la municipalidad de la jurisdicción donde se ubica el predio.</w:t>
      </w:r>
    </w:p>
    <w:p w:rsidR="00F205B0" w:rsidRPr="00FD2950" w:rsidRDefault="00F205B0" w:rsidP="00F205B0">
      <w:pPr>
        <w:spacing w:after="0" w:line="240" w:lineRule="auto"/>
        <w:ind w:left="969"/>
        <w:jc w:val="both"/>
        <w:rPr>
          <w:rFonts w:ascii="Arial" w:hAnsi="Arial" w:cs="Arial"/>
          <w:color w:val="000000" w:themeColor="text1"/>
          <w:sz w:val="21"/>
          <w:szCs w:val="21"/>
        </w:rPr>
      </w:pPr>
    </w:p>
    <w:p w:rsidR="00F205B0" w:rsidRPr="00FD2950" w:rsidRDefault="00F205B0" w:rsidP="00F205B0">
      <w:pPr>
        <w:spacing w:after="0" w:line="240" w:lineRule="auto"/>
        <w:ind w:left="969"/>
        <w:jc w:val="both"/>
        <w:rPr>
          <w:rFonts w:ascii="Arial" w:hAnsi="Arial" w:cs="Arial"/>
          <w:color w:val="000000" w:themeColor="text1"/>
          <w:sz w:val="21"/>
          <w:szCs w:val="21"/>
        </w:rPr>
      </w:pPr>
      <w:r w:rsidRPr="00FD2950">
        <w:rPr>
          <w:rFonts w:ascii="Arial" w:hAnsi="Arial" w:cs="Arial"/>
          <w:color w:val="000000" w:themeColor="text1"/>
          <w:sz w:val="21"/>
          <w:szCs w:val="21"/>
        </w:rPr>
        <w:t xml:space="preserve">Las reglas previstas en el presente numeral también se aplican respecto al administrado que tenga la calidad de entidad pública que ofrece un predio en permuta ante otra entidad pública que instruye el citado procedimiento.  </w:t>
      </w:r>
    </w:p>
    <w:p w:rsidR="00F205B0" w:rsidRPr="00FD2950" w:rsidRDefault="00F205B0" w:rsidP="00F205B0">
      <w:pPr>
        <w:spacing w:after="0" w:line="240" w:lineRule="auto"/>
        <w:jc w:val="both"/>
        <w:rPr>
          <w:rFonts w:ascii="Arial" w:hAnsi="Arial" w:cs="Arial"/>
          <w:color w:val="000000" w:themeColor="text1"/>
          <w:sz w:val="21"/>
          <w:szCs w:val="21"/>
        </w:rPr>
      </w:pPr>
    </w:p>
    <w:p w:rsidR="00F205B0" w:rsidRPr="00FD2950" w:rsidRDefault="00F205B0" w:rsidP="00F205B0">
      <w:pPr>
        <w:spacing w:after="0" w:line="240" w:lineRule="auto"/>
        <w:ind w:left="969" w:hanging="567"/>
        <w:jc w:val="both"/>
        <w:rPr>
          <w:rFonts w:ascii="Arial" w:hAnsi="Arial" w:cs="Arial"/>
          <w:b/>
          <w:sz w:val="21"/>
          <w:szCs w:val="21"/>
        </w:rPr>
      </w:pPr>
      <w:r w:rsidRPr="00FD2950">
        <w:rPr>
          <w:rFonts w:ascii="Arial" w:hAnsi="Arial" w:cs="Arial"/>
          <w:b/>
          <w:sz w:val="21"/>
          <w:szCs w:val="21"/>
        </w:rPr>
        <w:t>6.12.</w:t>
      </w:r>
      <w:r w:rsidRPr="00FD2950">
        <w:rPr>
          <w:rFonts w:ascii="Arial" w:hAnsi="Arial" w:cs="Arial"/>
          <w:b/>
          <w:sz w:val="21"/>
          <w:szCs w:val="21"/>
        </w:rPr>
        <w:tab/>
        <w:t>De las Actas de Entrega – Recepción</w:t>
      </w:r>
    </w:p>
    <w:p w:rsidR="00F205B0" w:rsidRPr="00FD2950" w:rsidRDefault="00F205B0" w:rsidP="00F205B0">
      <w:pPr>
        <w:spacing w:after="0" w:line="240" w:lineRule="auto"/>
        <w:ind w:left="969"/>
        <w:jc w:val="both"/>
        <w:rPr>
          <w:rFonts w:ascii="Arial" w:hAnsi="Arial" w:cs="Arial"/>
          <w:color w:val="000000" w:themeColor="text1"/>
          <w:sz w:val="21"/>
          <w:szCs w:val="21"/>
        </w:rPr>
      </w:pPr>
      <w:r w:rsidRPr="00FD2950">
        <w:rPr>
          <w:rFonts w:ascii="Arial" w:hAnsi="Arial" w:cs="Arial"/>
          <w:sz w:val="21"/>
          <w:szCs w:val="21"/>
        </w:rPr>
        <w:t>Efectuada la suscripción de la minuta, el órgano responsable de la entidad pública procede a realizar la entrega de su predio al administrado, y este hace lo propio respecto al predio de su propiedad. Para tal efecto, debe suscribirse las Actas de Ent</w:t>
      </w:r>
      <w:r w:rsidRPr="00FD2950">
        <w:rPr>
          <w:rFonts w:ascii="Arial" w:hAnsi="Arial" w:cs="Arial"/>
          <w:color w:val="000000" w:themeColor="text1"/>
          <w:sz w:val="21"/>
          <w:szCs w:val="21"/>
        </w:rPr>
        <w:t>rega – Recepción correspondientes, salvo que se haya realizado el acta de entrega provisional a que refiere la Segunda Disposición Complementaria de la presente directiva.</w:t>
      </w:r>
    </w:p>
    <w:p w:rsidR="00F205B0" w:rsidRPr="00FD2950" w:rsidRDefault="00F205B0" w:rsidP="00F205B0">
      <w:pPr>
        <w:spacing w:after="0" w:line="240" w:lineRule="auto"/>
        <w:ind w:left="969"/>
        <w:jc w:val="both"/>
        <w:rPr>
          <w:rFonts w:ascii="Arial" w:hAnsi="Arial" w:cs="Arial"/>
          <w:sz w:val="21"/>
          <w:szCs w:val="21"/>
        </w:rPr>
      </w:pPr>
    </w:p>
    <w:p w:rsidR="00F205B0" w:rsidRPr="00FD2950" w:rsidRDefault="00F205B0" w:rsidP="00F205B0">
      <w:pPr>
        <w:spacing w:after="0" w:line="240" w:lineRule="auto"/>
        <w:ind w:left="969"/>
        <w:jc w:val="both"/>
        <w:rPr>
          <w:rFonts w:ascii="Arial" w:hAnsi="Arial" w:cs="Arial"/>
          <w:sz w:val="21"/>
          <w:szCs w:val="21"/>
        </w:rPr>
      </w:pPr>
      <w:r w:rsidRPr="00FD2950">
        <w:rPr>
          <w:rFonts w:ascii="Arial" w:hAnsi="Arial" w:cs="Arial"/>
          <w:sz w:val="21"/>
          <w:szCs w:val="21"/>
        </w:rPr>
        <w:t>En el caso de la SBN, la SDDI después de haber suscrito las Actas de Entrega – Recepción a que hace referencia el párrafo precedente, entrega el predio ofrecido en permuta por el administrado a la SDAPE, para su custodia correspondiente, debiendo constar tal hecho en el acta que se elabore para el efecto.</w:t>
      </w:r>
    </w:p>
    <w:p w:rsidR="00F205B0" w:rsidRPr="00FD2950" w:rsidRDefault="00F205B0" w:rsidP="00F205B0">
      <w:pPr>
        <w:spacing w:after="0" w:line="240" w:lineRule="auto"/>
        <w:ind w:left="544"/>
        <w:jc w:val="both"/>
        <w:rPr>
          <w:rFonts w:ascii="Arial" w:hAnsi="Arial" w:cs="Arial"/>
          <w:sz w:val="21"/>
          <w:szCs w:val="21"/>
        </w:rPr>
      </w:pPr>
    </w:p>
    <w:p w:rsidR="00F205B0" w:rsidRPr="00FD2950" w:rsidRDefault="00F205B0" w:rsidP="00F205B0">
      <w:pPr>
        <w:spacing w:after="0" w:line="240" w:lineRule="auto"/>
        <w:ind w:left="969" w:hanging="567"/>
        <w:jc w:val="both"/>
        <w:rPr>
          <w:rFonts w:ascii="Arial" w:hAnsi="Arial" w:cs="Arial"/>
          <w:b/>
          <w:sz w:val="21"/>
          <w:szCs w:val="21"/>
        </w:rPr>
      </w:pPr>
      <w:r w:rsidRPr="00FD2950">
        <w:rPr>
          <w:rFonts w:ascii="Arial" w:hAnsi="Arial" w:cs="Arial"/>
          <w:b/>
          <w:sz w:val="21"/>
          <w:szCs w:val="21"/>
        </w:rPr>
        <w:t>6.13.</w:t>
      </w:r>
      <w:r w:rsidRPr="00FD2950">
        <w:rPr>
          <w:rFonts w:ascii="Arial" w:hAnsi="Arial" w:cs="Arial"/>
          <w:b/>
          <w:sz w:val="21"/>
          <w:szCs w:val="21"/>
        </w:rPr>
        <w:tab/>
        <w:t>De la actualización del SINABIP</w:t>
      </w:r>
    </w:p>
    <w:p w:rsidR="00F205B0" w:rsidRPr="00FD2950" w:rsidRDefault="00F205B0" w:rsidP="00F205B0">
      <w:pPr>
        <w:spacing w:after="0" w:line="240" w:lineRule="auto"/>
        <w:ind w:left="969"/>
        <w:jc w:val="both"/>
        <w:rPr>
          <w:rFonts w:ascii="Arial" w:hAnsi="Arial" w:cs="Arial"/>
          <w:sz w:val="21"/>
          <w:szCs w:val="21"/>
        </w:rPr>
      </w:pPr>
      <w:r w:rsidRPr="00FD2950">
        <w:rPr>
          <w:rFonts w:ascii="Arial" w:hAnsi="Arial" w:cs="Arial"/>
          <w:sz w:val="21"/>
          <w:szCs w:val="21"/>
        </w:rPr>
        <w:t>Los documentos técnicos y legales en formato físico y/o digital que sustenten el procedimiento de permuta predial, deben ser remitidos a la SDRC de la SBN para su registro y actualización en el SINABIP, en el plazo establecido en el artículo 23 del reglamento, luego de lo cual se efectúa el archivo definitivo del expediente administrativo.</w:t>
      </w:r>
    </w:p>
    <w:p w:rsidR="00F205B0" w:rsidRDefault="00F205B0" w:rsidP="00F205B0">
      <w:pPr>
        <w:spacing w:after="0" w:line="240" w:lineRule="auto"/>
        <w:jc w:val="both"/>
        <w:rPr>
          <w:rFonts w:ascii="Arial" w:hAnsi="Arial" w:cs="Arial"/>
          <w:sz w:val="21"/>
          <w:szCs w:val="21"/>
        </w:rPr>
      </w:pPr>
    </w:p>
    <w:p w:rsidR="00F205B0" w:rsidRPr="00FD2950" w:rsidRDefault="00F205B0" w:rsidP="00F205B0">
      <w:pPr>
        <w:spacing w:after="0" w:line="240" w:lineRule="auto"/>
        <w:ind w:left="402" w:hanging="402"/>
        <w:jc w:val="both"/>
        <w:rPr>
          <w:rFonts w:ascii="Arial" w:hAnsi="Arial" w:cs="Arial"/>
          <w:b/>
          <w:sz w:val="21"/>
          <w:szCs w:val="21"/>
        </w:rPr>
      </w:pPr>
      <w:r w:rsidRPr="00FD2950">
        <w:rPr>
          <w:rFonts w:ascii="Arial" w:hAnsi="Arial" w:cs="Arial"/>
          <w:b/>
          <w:sz w:val="21"/>
          <w:szCs w:val="21"/>
        </w:rPr>
        <w:t>VII.</w:t>
      </w:r>
      <w:r w:rsidRPr="00FD2950">
        <w:rPr>
          <w:rFonts w:ascii="Arial" w:hAnsi="Arial" w:cs="Arial"/>
          <w:b/>
          <w:sz w:val="21"/>
          <w:szCs w:val="21"/>
        </w:rPr>
        <w:tab/>
        <w:t xml:space="preserve">DISPOSICIONES COMPLEMENTARIAS </w:t>
      </w:r>
    </w:p>
    <w:p w:rsidR="00F205B0" w:rsidRPr="00FD2950" w:rsidRDefault="00F205B0" w:rsidP="00F205B0">
      <w:pPr>
        <w:spacing w:after="0" w:line="240" w:lineRule="auto"/>
        <w:jc w:val="both"/>
        <w:rPr>
          <w:rFonts w:ascii="Arial" w:hAnsi="Arial" w:cs="Arial"/>
          <w:sz w:val="21"/>
          <w:szCs w:val="21"/>
        </w:rPr>
      </w:pPr>
    </w:p>
    <w:p w:rsidR="00F205B0" w:rsidRPr="00FD2950" w:rsidRDefault="00F205B0" w:rsidP="00F205B0">
      <w:pPr>
        <w:spacing w:after="0" w:line="240" w:lineRule="auto"/>
        <w:ind w:left="402"/>
        <w:jc w:val="both"/>
        <w:rPr>
          <w:rFonts w:ascii="Arial" w:hAnsi="Arial" w:cs="Arial"/>
          <w:b/>
          <w:sz w:val="21"/>
          <w:szCs w:val="21"/>
        </w:rPr>
      </w:pPr>
      <w:r w:rsidRPr="00FD2950">
        <w:rPr>
          <w:rFonts w:ascii="Arial" w:hAnsi="Arial" w:cs="Arial"/>
          <w:b/>
          <w:sz w:val="21"/>
          <w:szCs w:val="21"/>
        </w:rPr>
        <w:t>Primera.- De las acciones de recuperación</w:t>
      </w:r>
    </w:p>
    <w:p w:rsidR="00F205B0" w:rsidRDefault="00F205B0" w:rsidP="00F205B0">
      <w:pPr>
        <w:spacing w:after="0" w:line="240" w:lineRule="auto"/>
        <w:ind w:left="402"/>
        <w:jc w:val="both"/>
        <w:rPr>
          <w:rFonts w:ascii="Arial" w:hAnsi="Arial" w:cs="Arial"/>
          <w:sz w:val="21"/>
          <w:szCs w:val="21"/>
        </w:rPr>
      </w:pPr>
      <w:r w:rsidRPr="00FD2950">
        <w:rPr>
          <w:rFonts w:ascii="Arial" w:hAnsi="Arial" w:cs="Arial"/>
          <w:sz w:val="21"/>
          <w:szCs w:val="21"/>
        </w:rPr>
        <w:t xml:space="preserve">En </w:t>
      </w:r>
      <w:r>
        <w:rPr>
          <w:rFonts w:ascii="Arial" w:hAnsi="Arial" w:cs="Arial"/>
          <w:sz w:val="21"/>
          <w:szCs w:val="21"/>
        </w:rPr>
        <w:t xml:space="preserve">caso que </w:t>
      </w:r>
      <w:r w:rsidRPr="00FD2950">
        <w:rPr>
          <w:rFonts w:ascii="Arial" w:hAnsi="Arial" w:cs="Arial"/>
          <w:sz w:val="21"/>
          <w:szCs w:val="21"/>
        </w:rPr>
        <w:t>se determine que el predio estatal se encuentre invadido u ocupado ilegalmente, el órgano responsable de la entidad pública competente debe comunicar a la Procuraduría Pública competente, para las acciones conducentes a la recuperación del predio.</w:t>
      </w:r>
    </w:p>
    <w:p w:rsidR="00F205B0" w:rsidRDefault="00F205B0" w:rsidP="00F205B0">
      <w:pPr>
        <w:spacing w:after="0" w:line="240" w:lineRule="auto"/>
        <w:ind w:left="402"/>
        <w:jc w:val="both"/>
        <w:rPr>
          <w:rFonts w:ascii="Arial" w:hAnsi="Arial" w:cs="Arial"/>
          <w:sz w:val="21"/>
          <w:szCs w:val="21"/>
        </w:rPr>
      </w:pPr>
    </w:p>
    <w:p w:rsidR="00F205B0" w:rsidRPr="00FD2950" w:rsidRDefault="00F205B0" w:rsidP="00F205B0">
      <w:pPr>
        <w:spacing w:after="0" w:line="240" w:lineRule="auto"/>
        <w:ind w:left="402"/>
        <w:jc w:val="both"/>
        <w:rPr>
          <w:rFonts w:ascii="Arial" w:hAnsi="Arial" w:cs="Arial"/>
          <w:sz w:val="21"/>
          <w:szCs w:val="21"/>
        </w:rPr>
      </w:pPr>
      <w:r>
        <w:rPr>
          <w:rFonts w:ascii="Arial" w:hAnsi="Arial" w:cs="Arial"/>
          <w:sz w:val="21"/>
          <w:szCs w:val="21"/>
        </w:rPr>
        <w:t>Dicha disposición debe interpretarse en concordancia con lo dispuesto en el sub numeral 6.6.2. de la presente directiva.</w:t>
      </w:r>
    </w:p>
    <w:p w:rsidR="00F205B0" w:rsidRPr="00FD2950" w:rsidRDefault="00F205B0" w:rsidP="00F205B0">
      <w:pPr>
        <w:spacing w:after="0" w:line="240" w:lineRule="auto"/>
        <w:ind w:left="402"/>
        <w:jc w:val="both"/>
        <w:rPr>
          <w:rFonts w:ascii="Arial" w:hAnsi="Arial" w:cs="Arial"/>
          <w:sz w:val="21"/>
          <w:szCs w:val="21"/>
        </w:rPr>
      </w:pPr>
    </w:p>
    <w:p w:rsidR="00F205B0" w:rsidRPr="00FD2950" w:rsidRDefault="00F205B0" w:rsidP="00F205B0">
      <w:pPr>
        <w:spacing w:after="0" w:line="240" w:lineRule="auto"/>
        <w:ind w:left="402"/>
        <w:jc w:val="both"/>
        <w:rPr>
          <w:rFonts w:ascii="Arial" w:hAnsi="Arial" w:cs="Arial"/>
          <w:b/>
          <w:sz w:val="21"/>
          <w:szCs w:val="21"/>
        </w:rPr>
      </w:pPr>
      <w:r w:rsidRPr="00FD2950">
        <w:rPr>
          <w:rFonts w:ascii="Arial" w:hAnsi="Arial" w:cs="Arial"/>
          <w:b/>
          <w:sz w:val="21"/>
          <w:szCs w:val="21"/>
        </w:rPr>
        <w:t xml:space="preserve">Segunda.- De la entrega provisional </w:t>
      </w:r>
    </w:p>
    <w:p w:rsidR="00F205B0" w:rsidRPr="00FD2950" w:rsidRDefault="00F205B0" w:rsidP="00F205B0">
      <w:pPr>
        <w:spacing w:after="0" w:line="240" w:lineRule="auto"/>
        <w:ind w:left="402"/>
        <w:jc w:val="both"/>
        <w:rPr>
          <w:rFonts w:ascii="Arial" w:hAnsi="Arial" w:cs="Arial"/>
          <w:sz w:val="21"/>
          <w:szCs w:val="21"/>
        </w:rPr>
      </w:pPr>
      <w:r w:rsidRPr="00FD2950">
        <w:rPr>
          <w:rFonts w:ascii="Arial" w:hAnsi="Arial" w:cs="Arial"/>
          <w:sz w:val="21"/>
          <w:szCs w:val="21"/>
        </w:rPr>
        <w:t>La entrega provisional del predio estatal procede en caso peligre la seguridad del predio o existan razones debidamente acreditadas, siempre que exista la autorización o conformidad del titular del pliego o máxima autoridad administrativa para la prosecución del procedimiento de permuta predial.</w:t>
      </w:r>
    </w:p>
    <w:p w:rsidR="00F205B0" w:rsidRPr="00FD2950" w:rsidRDefault="00F205B0" w:rsidP="00F205B0">
      <w:pPr>
        <w:spacing w:after="0" w:line="240" w:lineRule="auto"/>
        <w:ind w:left="402"/>
        <w:jc w:val="both"/>
        <w:rPr>
          <w:rFonts w:ascii="Arial" w:hAnsi="Arial" w:cs="Arial"/>
          <w:sz w:val="21"/>
          <w:szCs w:val="21"/>
        </w:rPr>
      </w:pPr>
    </w:p>
    <w:p w:rsidR="00F205B0" w:rsidRPr="00FD2950" w:rsidRDefault="00F205B0" w:rsidP="00F205B0">
      <w:pPr>
        <w:spacing w:after="0" w:line="240" w:lineRule="auto"/>
        <w:ind w:left="402"/>
        <w:jc w:val="both"/>
        <w:rPr>
          <w:rFonts w:ascii="Arial" w:hAnsi="Arial" w:cs="Arial"/>
          <w:sz w:val="21"/>
          <w:szCs w:val="21"/>
        </w:rPr>
      </w:pPr>
      <w:r w:rsidRPr="00FD2950">
        <w:rPr>
          <w:rFonts w:ascii="Arial" w:hAnsi="Arial" w:cs="Arial"/>
          <w:sz w:val="21"/>
          <w:szCs w:val="21"/>
        </w:rPr>
        <w:t>En los procedimientos de p</w:t>
      </w:r>
      <w:r w:rsidRPr="00FD2950">
        <w:rPr>
          <w:rFonts w:ascii="Arial" w:hAnsi="Arial" w:cs="Arial"/>
          <w:color w:val="000000" w:themeColor="text1"/>
          <w:sz w:val="21"/>
          <w:szCs w:val="21"/>
        </w:rPr>
        <w:t xml:space="preserve">ermuta sustentados por las entidades con particulares, </w:t>
      </w:r>
      <w:r w:rsidRPr="00FD2950">
        <w:rPr>
          <w:rFonts w:ascii="Arial" w:hAnsi="Arial" w:cs="Arial"/>
          <w:sz w:val="21"/>
          <w:szCs w:val="21"/>
        </w:rPr>
        <w:t>la entrega provisional procede siempre que se cuente, además de lo indicado en el párr</w:t>
      </w:r>
      <w:r>
        <w:rPr>
          <w:rFonts w:ascii="Arial" w:hAnsi="Arial" w:cs="Arial"/>
          <w:sz w:val="21"/>
          <w:szCs w:val="21"/>
        </w:rPr>
        <w:t xml:space="preserve">afo precedente, con la opinión </w:t>
      </w:r>
      <w:r w:rsidRPr="00FD2950">
        <w:rPr>
          <w:rFonts w:ascii="Arial" w:hAnsi="Arial" w:cs="Arial"/>
          <w:sz w:val="21"/>
          <w:szCs w:val="21"/>
        </w:rPr>
        <w:t>favorable de la SBN.</w:t>
      </w:r>
    </w:p>
    <w:p w:rsidR="00F205B0" w:rsidRPr="00FD2950" w:rsidRDefault="00F205B0" w:rsidP="00F205B0">
      <w:pPr>
        <w:spacing w:after="0" w:line="240" w:lineRule="auto"/>
        <w:ind w:left="402"/>
        <w:jc w:val="both"/>
        <w:rPr>
          <w:rFonts w:ascii="Arial" w:hAnsi="Arial" w:cs="Arial"/>
          <w:sz w:val="21"/>
          <w:szCs w:val="21"/>
        </w:rPr>
      </w:pPr>
    </w:p>
    <w:p w:rsidR="00F205B0" w:rsidRPr="00FD2950" w:rsidRDefault="00F205B0" w:rsidP="00F205B0">
      <w:pPr>
        <w:spacing w:after="0" w:line="240" w:lineRule="auto"/>
        <w:ind w:left="402"/>
        <w:jc w:val="both"/>
        <w:rPr>
          <w:rFonts w:ascii="Arial" w:hAnsi="Arial" w:cs="Arial"/>
          <w:sz w:val="21"/>
          <w:szCs w:val="21"/>
        </w:rPr>
      </w:pPr>
      <w:r w:rsidRPr="00FD2950">
        <w:rPr>
          <w:rFonts w:ascii="Arial" w:hAnsi="Arial" w:cs="Arial"/>
          <w:sz w:val="21"/>
          <w:szCs w:val="21"/>
        </w:rPr>
        <w:t>A fin que la SBN pueda emitir opinión sobre una solicitud de entrega provisional formulada por el administrado, la entidad que sustenta el procedimiento debe remitir lo siguiente:</w:t>
      </w:r>
    </w:p>
    <w:p w:rsidR="00F205B0" w:rsidRPr="00FD2950" w:rsidRDefault="00F205B0" w:rsidP="00F205B0">
      <w:pPr>
        <w:spacing w:after="0" w:line="240" w:lineRule="auto"/>
        <w:jc w:val="both"/>
        <w:rPr>
          <w:rFonts w:ascii="Arial" w:hAnsi="Arial" w:cs="Arial"/>
          <w:sz w:val="21"/>
          <w:szCs w:val="21"/>
        </w:rPr>
      </w:pPr>
    </w:p>
    <w:p w:rsidR="00F205B0" w:rsidRPr="00FD2950" w:rsidRDefault="00F205B0" w:rsidP="00F205B0">
      <w:pPr>
        <w:spacing w:after="0" w:line="240" w:lineRule="auto"/>
        <w:ind w:left="851" w:hanging="449"/>
        <w:jc w:val="both"/>
        <w:rPr>
          <w:rFonts w:ascii="Arial" w:hAnsi="Arial" w:cs="Arial"/>
          <w:sz w:val="21"/>
          <w:szCs w:val="21"/>
        </w:rPr>
      </w:pPr>
      <w:r>
        <w:rPr>
          <w:rFonts w:ascii="Arial" w:hAnsi="Arial" w:cs="Arial"/>
          <w:sz w:val="21"/>
          <w:szCs w:val="21"/>
        </w:rPr>
        <w:t>a)</w:t>
      </w:r>
      <w:r>
        <w:rPr>
          <w:rFonts w:ascii="Arial" w:hAnsi="Arial" w:cs="Arial"/>
          <w:sz w:val="21"/>
          <w:szCs w:val="21"/>
        </w:rPr>
        <w:tab/>
        <w:t>Solicitud de permuta</w:t>
      </w:r>
      <w:r w:rsidRPr="00006CC6">
        <w:rPr>
          <w:rFonts w:ascii="Arial" w:hAnsi="Arial" w:cs="Arial"/>
          <w:sz w:val="21"/>
          <w:szCs w:val="21"/>
        </w:rPr>
        <w:t>, con indicación de la partida registral del predio estatal.</w:t>
      </w:r>
    </w:p>
    <w:p w:rsidR="00F205B0" w:rsidRPr="00FD2950" w:rsidRDefault="00F205B0" w:rsidP="00F205B0">
      <w:pPr>
        <w:spacing w:after="0" w:line="240" w:lineRule="auto"/>
        <w:ind w:left="851" w:hanging="449"/>
        <w:jc w:val="both"/>
        <w:rPr>
          <w:rFonts w:ascii="Arial" w:hAnsi="Arial" w:cs="Arial"/>
          <w:sz w:val="21"/>
          <w:szCs w:val="21"/>
        </w:rPr>
      </w:pPr>
      <w:r w:rsidRPr="00FD2950">
        <w:rPr>
          <w:rFonts w:ascii="Arial" w:hAnsi="Arial" w:cs="Arial"/>
          <w:sz w:val="21"/>
          <w:szCs w:val="21"/>
        </w:rPr>
        <w:t>b)</w:t>
      </w:r>
      <w:r w:rsidRPr="00FD2950">
        <w:rPr>
          <w:rFonts w:ascii="Arial" w:hAnsi="Arial" w:cs="Arial"/>
          <w:sz w:val="21"/>
          <w:szCs w:val="21"/>
        </w:rPr>
        <w:tab/>
        <w:t>Plano perimétrico – ubicación del predio estatal en coordenadas UTM a escala apropiada, con la indicación del área, linderos, ángulos y medidas perimétricas correspondientes.</w:t>
      </w:r>
    </w:p>
    <w:p w:rsidR="00F205B0" w:rsidRPr="00FD2950" w:rsidRDefault="00F205B0" w:rsidP="00F205B0">
      <w:pPr>
        <w:spacing w:after="0" w:line="240" w:lineRule="auto"/>
        <w:ind w:left="851" w:hanging="449"/>
        <w:jc w:val="both"/>
        <w:rPr>
          <w:rFonts w:ascii="Arial" w:hAnsi="Arial" w:cs="Arial"/>
          <w:sz w:val="21"/>
          <w:szCs w:val="21"/>
        </w:rPr>
      </w:pPr>
      <w:r w:rsidRPr="00FD2950">
        <w:rPr>
          <w:rFonts w:ascii="Arial" w:hAnsi="Arial" w:cs="Arial"/>
          <w:sz w:val="21"/>
          <w:szCs w:val="21"/>
        </w:rPr>
        <w:t>c)</w:t>
      </w:r>
      <w:r w:rsidRPr="00FD2950">
        <w:rPr>
          <w:rFonts w:ascii="Arial" w:hAnsi="Arial" w:cs="Arial"/>
          <w:sz w:val="21"/>
          <w:szCs w:val="21"/>
        </w:rPr>
        <w:tab/>
        <w:t>Memoria descriptiva del predio estatal, describiendo la ubicación, el área, los linderos, las medidas perimétricas, la zonificación si la hubiere y otras observaciones que se consideren pertinentes.</w:t>
      </w:r>
    </w:p>
    <w:p w:rsidR="00F205B0" w:rsidRDefault="00F205B0" w:rsidP="00F205B0">
      <w:pPr>
        <w:spacing w:after="0" w:line="240" w:lineRule="auto"/>
        <w:ind w:left="851" w:hanging="449"/>
        <w:jc w:val="both"/>
        <w:rPr>
          <w:rFonts w:ascii="Arial" w:hAnsi="Arial" w:cs="Arial"/>
          <w:sz w:val="21"/>
          <w:szCs w:val="21"/>
        </w:rPr>
      </w:pPr>
      <w:r w:rsidRPr="00FD2950">
        <w:rPr>
          <w:rFonts w:ascii="Arial" w:hAnsi="Arial" w:cs="Arial"/>
          <w:sz w:val="21"/>
          <w:szCs w:val="21"/>
        </w:rPr>
        <w:t>d)</w:t>
      </w:r>
      <w:r w:rsidRPr="00FD2950">
        <w:rPr>
          <w:rFonts w:ascii="Arial" w:hAnsi="Arial" w:cs="Arial"/>
          <w:sz w:val="21"/>
          <w:szCs w:val="21"/>
        </w:rPr>
        <w:tab/>
        <w:t>Informe de calificación favorable de la solicitud.</w:t>
      </w:r>
    </w:p>
    <w:p w:rsidR="00F205B0" w:rsidRPr="00FD2950" w:rsidRDefault="00F205B0" w:rsidP="00F205B0">
      <w:pPr>
        <w:spacing w:after="0" w:line="240" w:lineRule="auto"/>
        <w:ind w:left="851" w:hanging="284"/>
        <w:jc w:val="both"/>
        <w:rPr>
          <w:rFonts w:ascii="Arial" w:hAnsi="Arial" w:cs="Arial"/>
          <w:sz w:val="21"/>
          <w:szCs w:val="21"/>
        </w:rPr>
      </w:pPr>
    </w:p>
    <w:p w:rsidR="00F205B0" w:rsidRPr="00FD2950" w:rsidRDefault="00F205B0" w:rsidP="00F205B0">
      <w:pPr>
        <w:spacing w:after="0" w:line="240" w:lineRule="auto"/>
        <w:ind w:left="402"/>
        <w:jc w:val="both"/>
        <w:rPr>
          <w:rFonts w:ascii="Arial" w:hAnsi="Arial" w:cs="Arial"/>
          <w:sz w:val="21"/>
          <w:szCs w:val="21"/>
        </w:rPr>
      </w:pPr>
      <w:r w:rsidRPr="00FD2950">
        <w:rPr>
          <w:rFonts w:ascii="Arial" w:hAnsi="Arial" w:cs="Arial"/>
          <w:sz w:val="21"/>
          <w:szCs w:val="21"/>
        </w:rPr>
        <w:t>Recibida la solicitud, la SDDI procede a verificar la documentación presentada, pudiendo requerir a la entidad, vía oficio o correo electrónico, para que presente los documentos complementarios o la aclaración que estime necesaria, dentro del plazo de cinco (5) días hábiles de recibida la notificación, caso contrario se devolverá el expediente.</w:t>
      </w:r>
    </w:p>
    <w:p w:rsidR="00F205B0" w:rsidRPr="00FD2950" w:rsidRDefault="00F205B0" w:rsidP="00F205B0">
      <w:pPr>
        <w:spacing w:after="0" w:line="240" w:lineRule="auto"/>
        <w:ind w:left="567"/>
        <w:jc w:val="both"/>
        <w:rPr>
          <w:rFonts w:ascii="Arial" w:hAnsi="Arial" w:cs="Arial"/>
          <w:sz w:val="21"/>
          <w:szCs w:val="21"/>
        </w:rPr>
      </w:pPr>
    </w:p>
    <w:p w:rsidR="00F205B0" w:rsidRPr="00FD2950" w:rsidRDefault="00F205B0" w:rsidP="00F205B0">
      <w:pPr>
        <w:spacing w:after="0" w:line="240" w:lineRule="auto"/>
        <w:ind w:left="402"/>
        <w:jc w:val="both"/>
        <w:rPr>
          <w:rFonts w:ascii="Arial" w:hAnsi="Arial" w:cs="Arial"/>
          <w:sz w:val="21"/>
          <w:szCs w:val="21"/>
        </w:rPr>
      </w:pPr>
      <w:r w:rsidRPr="00FD2950">
        <w:rPr>
          <w:rFonts w:ascii="Arial" w:hAnsi="Arial" w:cs="Arial"/>
          <w:sz w:val="21"/>
          <w:szCs w:val="21"/>
        </w:rPr>
        <w:t>La opinión es emitida por la SDDI de la SBN y se circunscribe únicamente a la verificación del cumplimiento de los documentos señalados y a la fundamentación respecto a la causal de procedencia de la entrega provisional. Dicha opinión se emite en un plazo no mayor de treinta (30) días hábiles de recibida la solicitud o efectuada la subsanación de la misma.</w:t>
      </w:r>
    </w:p>
    <w:p w:rsidR="00F205B0" w:rsidRPr="00FD2950" w:rsidRDefault="00F205B0" w:rsidP="00F205B0">
      <w:pPr>
        <w:spacing w:after="0" w:line="240" w:lineRule="auto"/>
        <w:ind w:left="402"/>
        <w:jc w:val="both"/>
        <w:rPr>
          <w:rFonts w:ascii="Arial" w:hAnsi="Arial" w:cs="Arial"/>
          <w:sz w:val="21"/>
          <w:szCs w:val="21"/>
        </w:rPr>
      </w:pPr>
    </w:p>
    <w:p w:rsidR="00F205B0" w:rsidRPr="00FD2950" w:rsidRDefault="00F205B0" w:rsidP="00F205B0">
      <w:pPr>
        <w:spacing w:after="0" w:line="240" w:lineRule="auto"/>
        <w:ind w:left="402"/>
        <w:jc w:val="both"/>
        <w:rPr>
          <w:rFonts w:ascii="Arial" w:hAnsi="Arial" w:cs="Arial"/>
          <w:color w:val="FF0000"/>
          <w:sz w:val="21"/>
          <w:szCs w:val="21"/>
        </w:rPr>
      </w:pPr>
      <w:r w:rsidRPr="00FD2950">
        <w:rPr>
          <w:rFonts w:ascii="Arial" w:hAnsi="Arial" w:cs="Arial"/>
          <w:color w:val="000000" w:themeColor="text1"/>
          <w:sz w:val="21"/>
          <w:szCs w:val="21"/>
        </w:rPr>
        <w:t>La entrega se efectúa a través de un acta de entrega-recepción, sin que ello signifique la aprobación de la permuta predial solicitada. Dicha acta adquirirá la condición de definitiva, una vez suscrito la minuta respectiva, salvo que hubiera variación del área, en cuyo caso se suscribirá un acta de entrega definitiva.</w:t>
      </w:r>
      <w:r w:rsidRPr="00FD2950">
        <w:rPr>
          <w:rFonts w:ascii="Arial" w:hAnsi="Arial" w:cs="Arial"/>
          <w:color w:val="FF0000"/>
          <w:sz w:val="21"/>
          <w:szCs w:val="21"/>
        </w:rPr>
        <w:t xml:space="preserve"> </w:t>
      </w:r>
    </w:p>
    <w:p w:rsidR="00F205B0" w:rsidRPr="00FD2950" w:rsidRDefault="00F205B0" w:rsidP="00F205B0">
      <w:pPr>
        <w:spacing w:after="0" w:line="240" w:lineRule="auto"/>
        <w:ind w:left="402"/>
        <w:jc w:val="both"/>
        <w:rPr>
          <w:rFonts w:ascii="Arial" w:hAnsi="Arial" w:cs="Arial"/>
          <w:sz w:val="21"/>
          <w:szCs w:val="21"/>
        </w:rPr>
      </w:pPr>
    </w:p>
    <w:p w:rsidR="00F205B0" w:rsidRPr="00FD2950" w:rsidRDefault="00F205B0" w:rsidP="00F205B0">
      <w:pPr>
        <w:spacing w:after="0" w:line="240" w:lineRule="auto"/>
        <w:ind w:left="402"/>
        <w:jc w:val="both"/>
        <w:rPr>
          <w:rFonts w:ascii="Arial" w:hAnsi="Arial" w:cs="Arial"/>
          <w:b/>
          <w:sz w:val="21"/>
          <w:szCs w:val="21"/>
        </w:rPr>
      </w:pPr>
      <w:r w:rsidRPr="00FD2950">
        <w:rPr>
          <w:rFonts w:ascii="Arial" w:hAnsi="Arial" w:cs="Arial"/>
          <w:b/>
          <w:sz w:val="21"/>
          <w:szCs w:val="21"/>
        </w:rPr>
        <w:t>Tercera.- De las acciones de saneamiento para la prosecución del procedimiento administrativo de permuta predial</w:t>
      </w:r>
    </w:p>
    <w:p w:rsidR="00F205B0" w:rsidRPr="00FD2950" w:rsidRDefault="00F205B0" w:rsidP="00F205B0">
      <w:pPr>
        <w:spacing w:after="0" w:line="240" w:lineRule="auto"/>
        <w:ind w:left="402"/>
        <w:jc w:val="both"/>
        <w:rPr>
          <w:rFonts w:ascii="Arial" w:hAnsi="Arial" w:cs="Arial"/>
          <w:sz w:val="21"/>
          <w:szCs w:val="21"/>
        </w:rPr>
      </w:pPr>
      <w:r w:rsidRPr="00FD2950">
        <w:rPr>
          <w:rFonts w:ascii="Arial" w:hAnsi="Arial" w:cs="Arial"/>
          <w:sz w:val="21"/>
          <w:szCs w:val="21"/>
        </w:rPr>
        <w:t xml:space="preserve">En caso el predio de dominio privado estatal materia de permuta requiera la ejecución de alguna acción de saneamiento (independización, rectificación de área, linderos y/o medidas perimétricas, o acumulación), cualquiera de dichas acciones se ejecutarán luego de emitida la autorización o conformidad a que refiere el numeral 6.7 de la presente directiva. </w:t>
      </w:r>
    </w:p>
    <w:p w:rsidR="00F205B0" w:rsidRPr="00FD2950" w:rsidRDefault="00F205B0" w:rsidP="00F205B0">
      <w:pPr>
        <w:spacing w:after="0" w:line="240" w:lineRule="auto"/>
        <w:ind w:left="402"/>
        <w:jc w:val="both"/>
        <w:rPr>
          <w:rFonts w:ascii="Arial" w:hAnsi="Arial" w:cs="Arial"/>
          <w:sz w:val="21"/>
          <w:szCs w:val="21"/>
        </w:rPr>
      </w:pPr>
    </w:p>
    <w:p w:rsidR="00F205B0" w:rsidRPr="00FD2950" w:rsidRDefault="00F205B0" w:rsidP="00F205B0">
      <w:pPr>
        <w:spacing w:after="0" w:line="240" w:lineRule="auto"/>
        <w:ind w:left="402"/>
        <w:jc w:val="both"/>
        <w:rPr>
          <w:rFonts w:ascii="Arial" w:hAnsi="Arial" w:cs="Arial"/>
          <w:sz w:val="21"/>
          <w:szCs w:val="21"/>
        </w:rPr>
      </w:pPr>
      <w:r w:rsidRPr="00FD2950">
        <w:rPr>
          <w:rFonts w:ascii="Arial" w:hAnsi="Arial" w:cs="Arial"/>
          <w:sz w:val="21"/>
          <w:szCs w:val="21"/>
        </w:rPr>
        <w:t>En tal situación, el órgano responsable debe emitir la resolución de suspensión del procedimiento de permuta predial, debiendo notificar dicha decisión al administrado, a fin de no causarle indefensión.</w:t>
      </w:r>
    </w:p>
    <w:p w:rsidR="00F205B0" w:rsidRPr="00FD2950" w:rsidRDefault="00F205B0" w:rsidP="00F205B0">
      <w:pPr>
        <w:spacing w:after="0" w:line="240" w:lineRule="auto"/>
        <w:ind w:left="402"/>
        <w:jc w:val="both"/>
        <w:rPr>
          <w:rFonts w:ascii="Arial" w:hAnsi="Arial" w:cs="Arial"/>
          <w:sz w:val="21"/>
          <w:szCs w:val="21"/>
        </w:rPr>
      </w:pPr>
    </w:p>
    <w:p w:rsidR="00F205B0" w:rsidRPr="00FD2950" w:rsidRDefault="00F205B0" w:rsidP="00F205B0">
      <w:pPr>
        <w:spacing w:after="0" w:line="240" w:lineRule="auto"/>
        <w:ind w:left="402"/>
        <w:jc w:val="both"/>
        <w:rPr>
          <w:rFonts w:ascii="Arial" w:hAnsi="Arial" w:cs="Arial"/>
          <w:sz w:val="21"/>
          <w:szCs w:val="21"/>
        </w:rPr>
      </w:pPr>
      <w:r w:rsidRPr="00FD2950">
        <w:rPr>
          <w:rFonts w:ascii="Arial" w:hAnsi="Arial" w:cs="Arial"/>
          <w:sz w:val="21"/>
          <w:szCs w:val="21"/>
        </w:rPr>
        <w:t>La autorización o conformidad a que refiere el numeral 6.7 de la presente directiva, tendrá efecto legal siempre que se concluya de manera satisfactoria con la inscripción de la acción de saneamiento pertinente.</w:t>
      </w:r>
    </w:p>
    <w:p w:rsidR="00F205B0" w:rsidRDefault="00F205B0" w:rsidP="00F205B0">
      <w:pPr>
        <w:spacing w:after="0" w:line="240" w:lineRule="auto"/>
        <w:ind w:left="402"/>
        <w:jc w:val="both"/>
        <w:rPr>
          <w:rFonts w:ascii="Arial" w:hAnsi="Arial" w:cs="Arial"/>
          <w:b/>
          <w:sz w:val="21"/>
          <w:szCs w:val="21"/>
        </w:rPr>
      </w:pPr>
    </w:p>
    <w:p w:rsidR="00F205B0" w:rsidRPr="00FD2950" w:rsidRDefault="00F205B0" w:rsidP="00F205B0">
      <w:pPr>
        <w:spacing w:after="0" w:line="240" w:lineRule="auto"/>
        <w:ind w:left="402"/>
        <w:jc w:val="both"/>
        <w:rPr>
          <w:rFonts w:ascii="Arial" w:hAnsi="Arial" w:cs="Arial"/>
          <w:b/>
          <w:sz w:val="21"/>
          <w:szCs w:val="21"/>
        </w:rPr>
      </w:pPr>
    </w:p>
    <w:p w:rsidR="00F205B0" w:rsidRPr="00FD2950" w:rsidRDefault="00F205B0" w:rsidP="00F205B0">
      <w:pPr>
        <w:spacing w:after="0" w:line="240" w:lineRule="auto"/>
        <w:ind w:left="402"/>
        <w:jc w:val="both"/>
        <w:rPr>
          <w:rFonts w:ascii="Arial" w:hAnsi="Arial" w:cs="Arial"/>
          <w:b/>
          <w:sz w:val="21"/>
          <w:szCs w:val="21"/>
        </w:rPr>
      </w:pPr>
      <w:r w:rsidRPr="00FD2950">
        <w:rPr>
          <w:rFonts w:ascii="Arial" w:hAnsi="Arial" w:cs="Arial"/>
          <w:b/>
          <w:sz w:val="21"/>
          <w:szCs w:val="21"/>
        </w:rPr>
        <w:t>Cuarta.- De la declaración de alta del predio de propiedad del administrado entregado en permuta</w:t>
      </w:r>
    </w:p>
    <w:p w:rsidR="00F205B0" w:rsidRPr="00FD2950" w:rsidRDefault="00F205B0" w:rsidP="00F205B0">
      <w:pPr>
        <w:spacing w:after="0" w:line="240" w:lineRule="auto"/>
        <w:ind w:left="402"/>
        <w:jc w:val="both"/>
        <w:rPr>
          <w:rFonts w:ascii="Arial" w:hAnsi="Arial" w:cs="Arial"/>
          <w:sz w:val="21"/>
          <w:szCs w:val="21"/>
        </w:rPr>
      </w:pPr>
      <w:r w:rsidRPr="00FD2950">
        <w:rPr>
          <w:rFonts w:ascii="Arial" w:hAnsi="Arial" w:cs="Arial"/>
          <w:sz w:val="21"/>
          <w:szCs w:val="21"/>
        </w:rPr>
        <w:t>Una vez inscrito el acto de permuta, la entidad pública competente debe efectuar la declaración jurada de alta del predio entregado por el administrado ante la municipalidad de la jurisdicción donde se ubica el predio.</w:t>
      </w:r>
    </w:p>
    <w:p w:rsidR="00F205B0" w:rsidRPr="00FD2950" w:rsidRDefault="00F205B0" w:rsidP="00F205B0">
      <w:pPr>
        <w:spacing w:after="0" w:line="240" w:lineRule="auto"/>
        <w:ind w:left="402"/>
        <w:jc w:val="both"/>
        <w:rPr>
          <w:rFonts w:ascii="Arial" w:hAnsi="Arial" w:cs="Arial"/>
          <w:sz w:val="21"/>
          <w:szCs w:val="21"/>
        </w:rPr>
      </w:pPr>
    </w:p>
    <w:p w:rsidR="00F205B0" w:rsidRPr="00FD2950" w:rsidRDefault="00F205B0" w:rsidP="00F205B0">
      <w:pPr>
        <w:spacing w:after="0" w:line="240" w:lineRule="auto"/>
        <w:ind w:left="402"/>
        <w:jc w:val="both"/>
        <w:rPr>
          <w:rFonts w:ascii="Arial" w:hAnsi="Arial" w:cs="Arial"/>
          <w:sz w:val="21"/>
          <w:szCs w:val="21"/>
        </w:rPr>
      </w:pPr>
      <w:r w:rsidRPr="00FD2950">
        <w:rPr>
          <w:rFonts w:ascii="Arial" w:hAnsi="Arial" w:cs="Arial"/>
          <w:sz w:val="21"/>
          <w:szCs w:val="21"/>
        </w:rPr>
        <w:t>En el caso de la SBN, dicho procedimiento municipal es efectuado por la SDAPE.</w:t>
      </w:r>
    </w:p>
    <w:p w:rsidR="00F205B0" w:rsidRPr="00FD2950" w:rsidRDefault="00F205B0" w:rsidP="00F205B0">
      <w:pPr>
        <w:spacing w:after="0" w:line="240" w:lineRule="auto"/>
        <w:ind w:left="567"/>
        <w:jc w:val="both"/>
        <w:rPr>
          <w:rFonts w:ascii="Arial" w:hAnsi="Arial" w:cs="Arial"/>
          <w:sz w:val="21"/>
          <w:szCs w:val="21"/>
        </w:rPr>
      </w:pPr>
    </w:p>
    <w:p w:rsidR="00F205B0" w:rsidRPr="00FD2950" w:rsidRDefault="00F205B0" w:rsidP="00F205B0">
      <w:pPr>
        <w:spacing w:after="0" w:line="240" w:lineRule="auto"/>
        <w:ind w:left="402"/>
        <w:jc w:val="both"/>
        <w:rPr>
          <w:rFonts w:ascii="Arial" w:hAnsi="Arial" w:cs="Arial"/>
          <w:b/>
          <w:sz w:val="21"/>
          <w:szCs w:val="21"/>
        </w:rPr>
      </w:pPr>
      <w:r w:rsidRPr="00FD2950">
        <w:rPr>
          <w:rFonts w:ascii="Arial" w:hAnsi="Arial" w:cs="Arial"/>
          <w:b/>
          <w:sz w:val="21"/>
          <w:szCs w:val="21"/>
        </w:rPr>
        <w:t>Quinta.- De la permuta de aportes reglamentarios</w:t>
      </w:r>
    </w:p>
    <w:p w:rsidR="00F205B0" w:rsidRPr="00FD2950" w:rsidRDefault="00F205B0" w:rsidP="00F205B0">
      <w:pPr>
        <w:spacing w:after="0" w:line="240" w:lineRule="auto"/>
        <w:ind w:left="402"/>
        <w:jc w:val="both"/>
        <w:rPr>
          <w:rFonts w:ascii="Arial" w:hAnsi="Arial" w:cs="Arial"/>
          <w:sz w:val="21"/>
          <w:szCs w:val="21"/>
        </w:rPr>
      </w:pPr>
      <w:r w:rsidRPr="00FD2950">
        <w:rPr>
          <w:rFonts w:ascii="Arial" w:hAnsi="Arial" w:cs="Arial"/>
          <w:sz w:val="21"/>
          <w:szCs w:val="21"/>
        </w:rPr>
        <w:t>La permuta de aportes reglamentarios es una regla excepcional, que opera cuando el Estado representado por la SBN o Gobierno Regional con competencias transferidas o delegadas, ejerce administración directa de los predios que tienen esa calificación. La aprobación de la permuta está condicionada a la previa conversión de esta categoría de predios al dominio privado del Estado.</w:t>
      </w:r>
    </w:p>
    <w:p w:rsidR="00F205B0" w:rsidRPr="00FD2950" w:rsidRDefault="00F205B0" w:rsidP="00F205B0">
      <w:pPr>
        <w:spacing w:after="0" w:line="240" w:lineRule="auto"/>
        <w:ind w:left="402"/>
        <w:jc w:val="both"/>
        <w:rPr>
          <w:rFonts w:ascii="Arial" w:hAnsi="Arial" w:cs="Arial"/>
          <w:sz w:val="21"/>
          <w:szCs w:val="21"/>
        </w:rPr>
      </w:pPr>
    </w:p>
    <w:p w:rsidR="00F205B0" w:rsidRPr="00FD2950" w:rsidRDefault="00F205B0" w:rsidP="00F205B0">
      <w:pPr>
        <w:spacing w:after="0" w:line="240" w:lineRule="auto"/>
        <w:ind w:left="402"/>
        <w:jc w:val="both"/>
        <w:rPr>
          <w:rFonts w:ascii="Arial" w:hAnsi="Arial" w:cs="Arial"/>
          <w:b/>
          <w:color w:val="000000" w:themeColor="text1"/>
          <w:sz w:val="21"/>
          <w:szCs w:val="21"/>
        </w:rPr>
      </w:pPr>
      <w:r w:rsidRPr="00FD2950">
        <w:rPr>
          <w:rFonts w:ascii="Arial" w:hAnsi="Arial" w:cs="Arial"/>
          <w:b/>
          <w:color w:val="000000" w:themeColor="text1"/>
          <w:sz w:val="21"/>
          <w:szCs w:val="21"/>
        </w:rPr>
        <w:t>Sexta.- De la permuta de los predios estatales en los procesos de formalización de la propiedad</w:t>
      </w:r>
    </w:p>
    <w:p w:rsidR="00F205B0" w:rsidRPr="00FD2950" w:rsidRDefault="00F205B0" w:rsidP="00F205B0">
      <w:pPr>
        <w:spacing w:after="0" w:line="240" w:lineRule="auto"/>
        <w:ind w:left="402"/>
        <w:jc w:val="both"/>
        <w:rPr>
          <w:rFonts w:ascii="Arial" w:hAnsi="Arial" w:cs="Arial"/>
          <w:color w:val="000000" w:themeColor="text1"/>
          <w:sz w:val="21"/>
          <w:szCs w:val="21"/>
        </w:rPr>
      </w:pPr>
      <w:r w:rsidRPr="00FD2950">
        <w:rPr>
          <w:rFonts w:ascii="Arial" w:hAnsi="Arial" w:cs="Arial"/>
          <w:color w:val="000000" w:themeColor="text1"/>
          <w:sz w:val="21"/>
          <w:szCs w:val="21"/>
        </w:rPr>
        <w:t>El organismo formalizador, de manera extraordinaria, para efectos de la ejecución de los procedimientos de formalización previstos en la normativa especial respecto a los terrenos de propiedad de particulares ocupados por posesiones informales hasta el 31 de diciembre de 2004 y con una antigüedad no menor de diez (10) años de ocupación, a que refiere la Ley N° 28687 y el Reglamento del Título I de dicha ley, aprobado por Decreto Supremo N° 006-2006-VIVIENDA y sus modificatorias, podrá solicitar a la Superintendencia Nacional de Bienes Estatales, la permuta de predios de dominio privado estatal, pudiendo aplicar las disposiciones de la presente directiva, en lo que no se oponga.</w:t>
      </w:r>
    </w:p>
    <w:p w:rsidR="00F205B0" w:rsidRPr="00FD2950" w:rsidRDefault="00F205B0" w:rsidP="00F205B0">
      <w:pPr>
        <w:spacing w:after="0" w:line="240" w:lineRule="auto"/>
        <w:ind w:left="567"/>
        <w:jc w:val="both"/>
        <w:rPr>
          <w:rFonts w:ascii="Arial" w:hAnsi="Arial" w:cs="Arial"/>
          <w:color w:val="FF0000"/>
          <w:sz w:val="21"/>
          <w:szCs w:val="21"/>
        </w:rPr>
      </w:pPr>
    </w:p>
    <w:p w:rsidR="00F205B0" w:rsidRPr="00FD2950" w:rsidRDefault="00F205B0" w:rsidP="00F205B0">
      <w:pPr>
        <w:spacing w:after="0" w:line="240" w:lineRule="auto"/>
        <w:ind w:left="402"/>
        <w:jc w:val="both"/>
        <w:rPr>
          <w:rFonts w:ascii="Arial" w:hAnsi="Arial" w:cs="Arial"/>
          <w:b/>
          <w:sz w:val="21"/>
          <w:szCs w:val="21"/>
        </w:rPr>
      </w:pPr>
      <w:r w:rsidRPr="00FD2950">
        <w:rPr>
          <w:rFonts w:ascii="Arial" w:hAnsi="Arial" w:cs="Arial"/>
          <w:b/>
          <w:sz w:val="21"/>
          <w:szCs w:val="21"/>
        </w:rPr>
        <w:t>Séptima.- De la oposición en el procedimiento administrativo de permuta predial</w:t>
      </w:r>
    </w:p>
    <w:p w:rsidR="00F205B0" w:rsidRPr="00FD2950" w:rsidRDefault="00F205B0" w:rsidP="00F205B0">
      <w:pPr>
        <w:spacing w:after="0" w:line="240" w:lineRule="auto"/>
        <w:ind w:left="402"/>
        <w:jc w:val="both"/>
        <w:rPr>
          <w:rFonts w:ascii="Arial" w:hAnsi="Arial" w:cs="Arial"/>
          <w:sz w:val="21"/>
          <w:szCs w:val="21"/>
        </w:rPr>
      </w:pPr>
      <w:r w:rsidRPr="00FD2950">
        <w:rPr>
          <w:rFonts w:ascii="Arial" w:hAnsi="Arial" w:cs="Arial"/>
          <w:sz w:val="21"/>
          <w:szCs w:val="21"/>
        </w:rPr>
        <w:t xml:space="preserve">Los terceros que se consideren afectados en algún derecho real que tuvieran sobre el predio de dominio privado estatal materia de permuta, pueden formular su oposición ante el órgano responsable hasta antes de la etapa de emisión de la resolución a que refiere el numeral 6.10. de la presente directiva, adjuntando los documentos que sustenten tal derecho. </w:t>
      </w:r>
    </w:p>
    <w:p w:rsidR="00F205B0" w:rsidRPr="00FD2950" w:rsidRDefault="00F205B0" w:rsidP="00F205B0">
      <w:pPr>
        <w:spacing w:after="0" w:line="240" w:lineRule="auto"/>
        <w:ind w:left="402"/>
        <w:jc w:val="both"/>
        <w:rPr>
          <w:rFonts w:ascii="Arial" w:hAnsi="Arial" w:cs="Arial"/>
          <w:sz w:val="21"/>
          <w:szCs w:val="21"/>
        </w:rPr>
      </w:pPr>
    </w:p>
    <w:p w:rsidR="00F205B0" w:rsidRPr="00FD2950" w:rsidRDefault="00F205B0" w:rsidP="00F205B0">
      <w:pPr>
        <w:spacing w:after="0" w:line="240" w:lineRule="auto"/>
        <w:ind w:left="402"/>
        <w:jc w:val="both"/>
        <w:rPr>
          <w:rFonts w:ascii="Arial" w:hAnsi="Arial" w:cs="Arial"/>
          <w:color w:val="FF0000"/>
          <w:sz w:val="21"/>
          <w:szCs w:val="21"/>
        </w:rPr>
      </w:pPr>
      <w:r w:rsidRPr="00FD2950">
        <w:rPr>
          <w:rFonts w:ascii="Arial" w:hAnsi="Arial" w:cs="Arial"/>
          <w:sz w:val="21"/>
          <w:szCs w:val="21"/>
        </w:rPr>
        <w:t>Con o sin el descargo presentado por el administrado, la oposición será evaluada y resuelta en la etapa de emisión de la resolución. En caso de declararse fundada la oposición, se tendrá por concluido el procedimiento de permuta predial y se procede al archivo del expediente administrativo.</w:t>
      </w:r>
    </w:p>
    <w:p w:rsidR="00F205B0" w:rsidRPr="00FD2950" w:rsidRDefault="00F205B0" w:rsidP="00F205B0">
      <w:pPr>
        <w:spacing w:after="0" w:line="240" w:lineRule="auto"/>
        <w:ind w:left="402"/>
        <w:jc w:val="both"/>
        <w:rPr>
          <w:rFonts w:ascii="Arial" w:hAnsi="Arial" w:cs="Arial"/>
          <w:b/>
          <w:sz w:val="21"/>
          <w:szCs w:val="21"/>
        </w:rPr>
      </w:pPr>
    </w:p>
    <w:p w:rsidR="00F205B0" w:rsidRPr="00FD2950" w:rsidRDefault="00F205B0" w:rsidP="00F205B0">
      <w:pPr>
        <w:spacing w:after="0" w:line="240" w:lineRule="auto"/>
        <w:ind w:left="402"/>
        <w:jc w:val="both"/>
        <w:rPr>
          <w:rFonts w:ascii="Arial" w:hAnsi="Arial" w:cs="Arial"/>
          <w:b/>
          <w:sz w:val="21"/>
          <w:szCs w:val="21"/>
        </w:rPr>
      </w:pPr>
      <w:r w:rsidRPr="00FD2950">
        <w:rPr>
          <w:rFonts w:ascii="Arial" w:hAnsi="Arial" w:cs="Arial"/>
          <w:b/>
          <w:sz w:val="21"/>
          <w:szCs w:val="21"/>
        </w:rPr>
        <w:t>Octava.- De la aplicación supletoria de las disposiciones contenidas en las demás directivas del SNBE</w:t>
      </w:r>
    </w:p>
    <w:p w:rsidR="00F205B0" w:rsidRPr="00FD2950" w:rsidRDefault="00F205B0" w:rsidP="00F205B0">
      <w:pPr>
        <w:spacing w:after="0" w:line="240" w:lineRule="auto"/>
        <w:ind w:left="402"/>
        <w:jc w:val="both"/>
        <w:rPr>
          <w:rFonts w:ascii="Arial" w:hAnsi="Arial" w:cs="Arial"/>
          <w:sz w:val="21"/>
          <w:szCs w:val="21"/>
        </w:rPr>
      </w:pPr>
      <w:r w:rsidRPr="00FD2950">
        <w:rPr>
          <w:rFonts w:ascii="Arial" w:hAnsi="Arial" w:cs="Arial"/>
          <w:sz w:val="21"/>
          <w:szCs w:val="21"/>
        </w:rPr>
        <w:t>Las disposiciones contenidas en las demás directivas del SNBE pueden aplicarse supletoriamente al procedimiento de permuta predial regulado por la presente directiva, en lo que no se oponga.</w:t>
      </w:r>
    </w:p>
    <w:p w:rsidR="00F205B0" w:rsidRDefault="00F205B0" w:rsidP="00F205B0">
      <w:pPr>
        <w:spacing w:after="0" w:line="240" w:lineRule="auto"/>
        <w:ind w:left="402"/>
        <w:jc w:val="both"/>
        <w:rPr>
          <w:rFonts w:ascii="Arial" w:hAnsi="Arial" w:cs="Arial"/>
          <w:sz w:val="21"/>
          <w:szCs w:val="21"/>
        </w:rPr>
      </w:pPr>
    </w:p>
    <w:p w:rsidR="00F205B0" w:rsidRPr="00FD2950" w:rsidRDefault="00F205B0" w:rsidP="00F205B0">
      <w:pPr>
        <w:spacing w:after="0" w:line="240" w:lineRule="auto"/>
        <w:ind w:left="402" w:hanging="425"/>
        <w:jc w:val="both"/>
        <w:rPr>
          <w:rFonts w:ascii="Arial" w:hAnsi="Arial" w:cs="Arial"/>
          <w:b/>
          <w:sz w:val="21"/>
          <w:szCs w:val="21"/>
        </w:rPr>
      </w:pPr>
      <w:r w:rsidRPr="00FD2950">
        <w:rPr>
          <w:rFonts w:ascii="Arial" w:hAnsi="Arial" w:cs="Arial"/>
          <w:b/>
          <w:sz w:val="21"/>
          <w:szCs w:val="21"/>
        </w:rPr>
        <w:t>VIII.</w:t>
      </w:r>
      <w:r w:rsidRPr="00FD2950">
        <w:rPr>
          <w:rFonts w:ascii="Arial" w:hAnsi="Arial" w:cs="Arial"/>
          <w:b/>
          <w:sz w:val="21"/>
          <w:szCs w:val="21"/>
        </w:rPr>
        <w:tab/>
        <w:t>DISPOSICIÓN TRANSITORIA</w:t>
      </w:r>
    </w:p>
    <w:p w:rsidR="00F205B0" w:rsidRPr="00FD2950" w:rsidRDefault="00F205B0" w:rsidP="00F205B0">
      <w:pPr>
        <w:spacing w:after="0" w:line="240" w:lineRule="auto"/>
        <w:ind w:left="402"/>
        <w:jc w:val="both"/>
        <w:rPr>
          <w:rFonts w:ascii="Arial" w:hAnsi="Arial" w:cs="Arial"/>
          <w:b/>
          <w:sz w:val="21"/>
          <w:szCs w:val="21"/>
        </w:rPr>
      </w:pPr>
    </w:p>
    <w:p w:rsidR="00F205B0" w:rsidRPr="00FD2950" w:rsidRDefault="00F205B0" w:rsidP="00F205B0">
      <w:pPr>
        <w:spacing w:after="0" w:line="240" w:lineRule="auto"/>
        <w:ind w:left="402"/>
        <w:jc w:val="both"/>
        <w:rPr>
          <w:rFonts w:ascii="Arial" w:hAnsi="Arial" w:cs="Arial"/>
          <w:b/>
          <w:sz w:val="21"/>
          <w:szCs w:val="21"/>
        </w:rPr>
      </w:pPr>
      <w:r w:rsidRPr="00FD2950">
        <w:rPr>
          <w:rFonts w:ascii="Arial" w:hAnsi="Arial" w:cs="Arial"/>
          <w:b/>
          <w:sz w:val="21"/>
          <w:szCs w:val="21"/>
        </w:rPr>
        <w:t>Única.- Adecuación de los procedimientos iniciados antes de la entrada en vigencia de la presente directiva.</w:t>
      </w:r>
    </w:p>
    <w:p w:rsidR="00F205B0" w:rsidRPr="00FD2950" w:rsidRDefault="00F205B0" w:rsidP="00F205B0">
      <w:pPr>
        <w:spacing w:after="0" w:line="240" w:lineRule="auto"/>
        <w:ind w:left="402"/>
        <w:jc w:val="both"/>
        <w:rPr>
          <w:rFonts w:ascii="Arial" w:hAnsi="Arial" w:cs="Arial"/>
          <w:sz w:val="21"/>
          <w:szCs w:val="21"/>
        </w:rPr>
      </w:pPr>
      <w:r w:rsidRPr="00FD2950">
        <w:rPr>
          <w:rFonts w:ascii="Arial" w:hAnsi="Arial" w:cs="Arial"/>
          <w:sz w:val="21"/>
          <w:szCs w:val="21"/>
        </w:rPr>
        <w:t>En el caso de los procedimientos iniciados antes de la vigencia de la presente directiva y que se encuentren en trámite, se regirán por la presente directiva.</w:t>
      </w:r>
    </w:p>
    <w:p w:rsidR="00F205B0" w:rsidRDefault="00F205B0" w:rsidP="00F205B0">
      <w:pPr>
        <w:spacing w:after="0" w:line="240" w:lineRule="auto"/>
        <w:ind w:left="402"/>
        <w:jc w:val="both"/>
        <w:rPr>
          <w:rFonts w:ascii="Arial" w:hAnsi="Arial" w:cs="Arial"/>
          <w:sz w:val="21"/>
          <w:szCs w:val="21"/>
        </w:rPr>
      </w:pPr>
    </w:p>
    <w:p w:rsidR="00F205B0" w:rsidRPr="00AF032B" w:rsidRDefault="00F205B0" w:rsidP="0092471C">
      <w:pPr>
        <w:pStyle w:val="Prrafodelista"/>
        <w:widowControl w:val="0"/>
        <w:numPr>
          <w:ilvl w:val="0"/>
          <w:numId w:val="338"/>
        </w:numPr>
        <w:suppressAutoHyphens/>
        <w:spacing w:after="0" w:line="240" w:lineRule="auto"/>
        <w:ind w:left="402" w:hanging="402"/>
        <w:jc w:val="both"/>
        <w:rPr>
          <w:rFonts w:ascii="Arial" w:hAnsi="Arial" w:cs="Arial"/>
          <w:b/>
          <w:sz w:val="21"/>
          <w:szCs w:val="21"/>
        </w:rPr>
      </w:pPr>
      <w:r w:rsidRPr="00AF032B">
        <w:rPr>
          <w:rFonts w:ascii="Arial" w:hAnsi="Arial" w:cs="Arial"/>
          <w:b/>
          <w:sz w:val="21"/>
          <w:szCs w:val="21"/>
        </w:rPr>
        <w:t>DISPOSICIÓN FINAL</w:t>
      </w:r>
    </w:p>
    <w:p w:rsidR="00F205B0" w:rsidRPr="00FD2950" w:rsidRDefault="00F205B0" w:rsidP="00F205B0">
      <w:pPr>
        <w:spacing w:after="0" w:line="240" w:lineRule="auto"/>
        <w:ind w:left="402"/>
        <w:jc w:val="both"/>
        <w:rPr>
          <w:rFonts w:ascii="Arial" w:hAnsi="Arial" w:cs="Arial"/>
          <w:b/>
          <w:sz w:val="21"/>
          <w:szCs w:val="21"/>
        </w:rPr>
      </w:pPr>
      <w:r w:rsidRPr="00FD2950">
        <w:rPr>
          <w:rFonts w:ascii="Arial" w:hAnsi="Arial" w:cs="Arial"/>
          <w:b/>
          <w:sz w:val="21"/>
          <w:szCs w:val="21"/>
        </w:rPr>
        <w:t>Única.- Del cumplimiento de las disposiciones contenidas en la presente Directiva</w:t>
      </w:r>
    </w:p>
    <w:p w:rsidR="00F205B0" w:rsidRPr="00FD2950" w:rsidRDefault="00F205B0" w:rsidP="00F205B0">
      <w:pPr>
        <w:spacing w:after="0" w:line="240" w:lineRule="auto"/>
        <w:ind w:left="402"/>
        <w:jc w:val="both"/>
        <w:rPr>
          <w:rFonts w:ascii="Arial" w:hAnsi="Arial" w:cs="Arial"/>
          <w:sz w:val="21"/>
          <w:szCs w:val="21"/>
        </w:rPr>
      </w:pPr>
      <w:r w:rsidRPr="00FD2950">
        <w:rPr>
          <w:rFonts w:ascii="Arial" w:hAnsi="Arial" w:cs="Arial"/>
          <w:sz w:val="21"/>
          <w:szCs w:val="21"/>
        </w:rPr>
        <w:t>La DGPE, conjuntamente con la SDDI son responsables de velar por el cumplimiento de las disposiciones contenidas en la presente directiva, respecto de los predios de propiedad del Estado que se encuentran bajo competencia o administración de la SBN.</w:t>
      </w:r>
    </w:p>
    <w:p w:rsidR="00F205B0" w:rsidRPr="00FD2950" w:rsidRDefault="00F205B0" w:rsidP="00F205B0">
      <w:pPr>
        <w:spacing w:after="0" w:line="240" w:lineRule="auto"/>
        <w:ind w:left="402"/>
        <w:jc w:val="both"/>
        <w:rPr>
          <w:rFonts w:ascii="Arial" w:hAnsi="Arial" w:cs="Arial"/>
          <w:sz w:val="21"/>
          <w:szCs w:val="21"/>
        </w:rPr>
      </w:pPr>
    </w:p>
    <w:p w:rsidR="00F205B0" w:rsidRPr="00FD2950" w:rsidRDefault="00F205B0" w:rsidP="00F205B0">
      <w:pPr>
        <w:pStyle w:val="Prrafodelista"/>
        <w:spacing w:after="0" w:line="240" w:lineRule="auto"/>
        <w:ind w:left="402"/>
        <w:jc w:val="both"/>
        <w:rPr>
          <w:rFonts w:ascii="Arial" w:hAnsi="Arial" w:cs="Arial"/>
          <w:sz w:val="21"/>
          <w:szCs w:val="21"/>
        </w:rPr>
      </w:pPr>
      <w:r w:rsidRPr="00FD2950">
        <w:rPr>
          <w:rFonts w:ascii="Arial" w:hAnsi="Arial" w:cs="Arial"/>
          <w:sz w:val="21"/>
          <w:szCs w:val="21"/>
        </w:rPr>
        <w:t>Corresponde a cada órgano de las entidades que conforman el SNBE, responsable de la instrucción del procedimiento de permuta predial, de acuerdo a sus funciones previstas en sus normas de organización interna, velar por el cumplimiento de las disposiciones contenidas en la presente directiva.</w:t>
      </w:r>
    </w:p>
    <w:p w:rsidR="00F205B0" w:rsidRPr="00FD2950" w:rsidRDefault="00F205B0" w:rsidP="00F205B0">
      <w:pPr>
        <w:pStyle w:val="Prrafodelista"/>
        <w:spacing w:after="0" w:line="240" w:lineRule="auto"/>
        <w:ind w:left="260"/>
        <w:jc w:val="both"/>
        <w:rPr>
          <w:rFonts w:ascii="Arial" w:hAnsi="Arial" w:cs="Arial"/>
          <w:b/>
          <w:sz w:val="21"/>
          <w:szCs w:val="21"/>
        </w:rPr>
      </w:pPr>
    </w:p>
    <w:p w:rsidR="00F205B0" w:rsidRPr="00AF032B" w:rsidRDefault="00F205B0" w:rsidP="0092471C">
      <w:pPr>
        <w:pStyle w:val="Prrafodelista"/>
        <w:widowControl w:val="0"/>
        <w:numPr>
          <w:ilvl w:val="0"/>
          <w:numId w:val="338"/>
        </w:numPr>
        <w:suppressAutoHyphens/>
        <w:spacing w:after="0" w:line="240" w:lineRule="auto"/>
        <w:ind w:left="402" w:hanging="402"/>
        <w:jc w:val="both"/>
        <w:rPr>
          <w:rFonts w:ascii="Arial" w:hAnsi="Arial" w:cs="Arial"/>
          <w:b/>
          <w:sz w:val="21"/>
          <w:szCs w:val="21"/>
        </w:rPr>
      </w:pPr>
      <w:r w:rsidRPr="00AF032B">
        <w:rPr>
          <w:rFonts w:ascii="Arial" w:hAnsi="Arial" w:cs="Arial"/>
          <w:b/>
          <w:sz w:val="21"/>
          <w:szCs w:val="21"/>
        </w:rPr>
        <w:t>ANEXOS</w:t>
      </w:r>
    </w:p>
    <w:p w:rsidR="00F205B0" w:rsidRPr="00FD2950" w:rsidRDefault="00F205B0" w:rsidP="00F205B0">
      <w:pPr>
        <w:spacing w:after="0" w:line="240" w:lineRule="auto"/>
        <w:ind w:left="402"/>
        <w:jc w:val="both"/>
        <w:rPr>
          <w:rFonts w:ascii="Arial" w:hAnsi="Arial" w:cs="Arial"/>
          <w:sz w:val="21"/>
          <w:szCs w:val="21"/>
        </w:rPr>
      </w:pPr>
      <w:r w:rsidRPr="00FD2950">
        <w:rPr>
          <w:rFonts w:ascii="Arial" w:hAnsi="Arial" w:cs="Arial"/>
          <w:sz w:val="21"/>
          <w:szCs w:val="21"/>
        </w:rPr>
        <w:t>Forman parte de la presente Directiva los anexos que a continuación se indican:</w:t>
      </w:r>
    </w:p>
    <w:p w:rsidR="00F205B0" w:rsidRPr="00FD2950" w:rsidRDefault="00F205B0" w:rsidP="00F205B0">
      <w:pPr>
        <w:spacing w:after="0" w:line="240" w:lineRule="auto"/>
        <w:ind w:left="567"/>
        <w:jc w:val="both"/>
        <w:rPr>
          <w:rFonts w:ascii="Arial" w:hAnsi="Arial" w:cs="Arial"/>
          <w:sz w:val="21"/>
          <w:szCs w:val="21"/>
        </w:rPr>
      </w:pPr>
    </w:p>
    <w:p w:rsidR="00F205B0" w:rsidRPr="00FD2950" w:rsidRDefault="00F205B0" w:rsidP="0092471C">
      <w:pPr>
        <w:pStyle w:val="Prrafodelista"/>
        <w:numPr>
          <w:ilvl w:val="0"/>
          <w:numId w:val="333"/>
        </w:numPr>
        <w:spacing w:after="0" w:line="240" w:lineRule="auto"/>
        <w:ind w:left="686" w:hanging="284"/>
        <w:jc w:val="both"/>
        <w:rPr>
          <w:rFonts w:ascii="Arial" w:hAnsi="Arial" w:cs="Arial"/>
          <w:sz w:val="21"/>
          <w:szCs w:val="21"/>
        </w:rPr>
      </w:pPr>
      <w:r w:rsidRPr="00FD2950">
        <w:rPr>
          <w:rFonts w:ascii="Arial" w:hAnsi="Arial" w:cs="Arial"/>
          <w:sz w:val="21"/>
          <w:szCs w:val="21"/>
        </w:rPr>
        <w:t>Anexo N° 1: Abreviaturas.</w:t>
      </w:r>
    </w:p>
    <w:p w:rsidR="00F205B0" w:rsidRPr="00FD2950" w:rsidRDefault="00F205B0" w:rsidP="0092471C">
      <w:pPr>
        <w:pStyle w:val="Prrafodelista"/>
        <w:numPr>
          <w:ilvl w:val="0"/>
          <w:numId w:val="333"/>
        </w:numPr>
        <w:spacing w:after="0" w:line="240" w:lineRule="auto"/>
        <w:ind w:left="686" w:hanging="284"/>
        <w:jc w:val="both"/>
        <w:rPr>
          <w:rFonts w:ascii="Arial" w:hAnsi="Arial" w:cs="Arial"/>
          <w:sz w:val="21"/>
          <w:szCs w:val="21"/>
        </w:rPr>
      </w:pPr>
      <w:r w:rsidRPr="00FD2950">
        <w:rPr>
          <w:rFonts w:ascii="Arial" w:hAnsi="Arial" w:cs="Arial"/>
          <w:sz w:val="21"/>
          <w:szCs w:val="21"/>
        </w:rPr>
        <w:t>Anexo N° 2: Glosario de términos.</w:t>
      </w:r>
    </w:p>
    <w:p w:rsidR="00F205B0" w:rsidRPr="00FD2950" w:rsidRDefault="00F205B0" w:rsidP="0092471C">
      <w:pPr>
        <w:pStyle w:val="Prrafodelista"/>
        <w:numPr>
          <w:ilvl w:val="0"/>
          <w:numId w:val="333"/>
        </w:numPr>
        <w:spacing w:after="0" w:line="240" w:lineRule="auto"/>
        <w:ind w:left="686" w:hanging="284"/>
        <w:jc w:val="both"/>
        <w:rPr>
          <w:rFonts w:ascii="Arial" w:hAnsi="Arial" w:cs="Arial"/>
          <w:sz w:val="21"/>
          <w:szCs w:val="21"/>
        </w:rPr>
      </w:pPr>
      <w:r w:rsidRPr="00FD2950">
        <w:rPr>
          <w:rFonts w:ascii="Arial" w:hAnsi="Arial" w:cs="Arial"/>
          <w:sz w:val="21"/>
          <w:szCs w:val="21"/>
        </w:rPr>
        <w:t>Anexo N</w:t>
      </w:r>
      <w:r>
        <w:rPr>
          <w:rFonts w:ascii="Arial" w:hAnsi="Arial" w:cs="Arial"/>
          <w:sz w:val="21"/>
          <w:szCs w:val="21"/>
        </w:rPr>
        <w:t>°</w:t>
      </w:r>
      <w:r w:rsidRPr="00FD2950">
        <w:rPr>
          <w:rFonts w:ascii="Arial" w:hAnsi="Arial" w:cs="Arial"/>
          <w:sz w:val="21"/>
          <w:szCs w:val="21"/>
        </w:rPr>
        <w:t xml:space="preserve"> 3: Declaración Jurada.</w:t>
      </w:r>
    </w:p>
    <w:p w:rsidR="00F205B0" w:rsidRPr="00FD2950" w:rsidRDefault="00F205B0" w:rsidP="0092471C">
      <w:pPr>
        <w:pStyle w:val="Prrafodelista"/>
        <w:numPr>
          <w:ilvl w:val="0"/>
          <w:numId w:val="333"/>
        </w:numPr>
        <w:spacing w:after="0" w:line="240" w:lineRule="auto"/>
        <w:ind w:left="686" w:hanging="284"/>
        <w:jc w:val="both"/>
        <w:rPr>
          <w:rFonts w:ascii="Arial" w:hAnsi="Arial" w:cs="Arial"/>
          <w:sz w:val="21"/>
          <w:szCs w:val="21"/>
        </w:rPr>
      </w:pPr>
      <w:r w:rsidRPr="00FD2950">
        <w:rPr>
          <w:rFonts w:ascii="Arial" w:hAnsi="Arial" w:cs="Arial"/>
          <w:sz w:val="21"/>
          <w:szCs w:val="21"/>
        </w:rPr>
        <w:t>Anexo N° 4: Formato de Resumen de Valorización Comercial de Terreno Urbano.</w:t>
      </w:r>
    </w:p>
    <w:p w:rsidR="00F205B0" w:rsidRPr="00FD2950" w:rsidRDefault="00F205B0" w:rsidP="0092471C">
      <w:pPr>
        <w:pStyle w:val="Prrafodelista"/>
        <w:numPr>
          <w:ilvl w:val="0"/>
          <w:numId w:val="333"/>
        </w:numPr>
        <w:spacing w:after="0" w:line="240" w:lineRule="auto"/>
        <w:ind w:left="686" w:hanging="284"/>
        <w:jc w:val="both"/>
        <w:rPr>
          <w:rFonts w:ascii="Arial" w:hAnsi="Arial" w:cs="Arial"/>
          <w:sz w:val="21"/>
          <w:szCs w:val="21"/>
        </w:rPr>
      </w:pPr>
      <w:r w:rsidRPr="00FD2950">
        <w:rPr>
          <w:rFonts w:ascii="Arial" w:hAnsi="Arial" w:cs="Arial"/>
          <w:sz w:val="21"/>
          <w:szCs w:val="21"/>
        </w:rPr>
        <w:t>Anexo N° 5: Formato de Resumen de Valorización Comercial de Terreno Eriazo.</w:t>
      </w:r>
    </w:p>
    <w:p w:rsidR="00F205B0" w:rsidRPr="00FD2950" w:rsidRDefault="00F205B0" w:rsidP="0092471C">
      <w:pPr>
        <w:pStyle w:val="Prrafodelista"/>
        <w:numPr>
          <w:ilvl w:val="0"/>
          <w:numId w:val="333"/>
        </w:numPr>
        <w:spacing w:after="0" w:line="240" w:lineRule="auto"/>
        <w:ind w:left="686" w:hanging="284"/>
        <w:jc w:val="both"/>
        <w:rPr>
          <w:rFonts w:ascii="Arial" w:hAnsi="Arial" w:cs="Arial"/>
          <w:sz w:val="21"/>
          <w:szCs w:val="21"/>
        </w:rPr>
      </w:pPr>
      <w:r w:rsidRPr="00FD2950">
        <w:rPr>
          <w:rFonts w:ascii="Arial" w:hAnsi="Arial" w:cs="Arial"/>
          <w:sz w:val="21"/>
          <w:szCs w:val="21"/>
        </w:rPr>
        <w:t>Anexo N° 6: Formato de Resumen de Valorización Comercial de Terreno en Zona de Expansión Urbana.</w:t>
      </w:r>
    </w:p>
    <w:p w:rsidR="00F205B0" w:rsidRPr="00FD2950" w:rsidRDefault="00F205B0" w:rsidP="0092471C">
      <w:pPr>
        <w:pStyle w:val="Prrafodelista"/>
        <w:numPr>
          <w:ilvl w:val="0"/>
          <w:numId w:val="333"/>
        </w:numPr>
        <w:spacing w:after="0" w:line="240" w:lineRule="auto"/>
        <w:ind w:left="686" w:hanging="284"/>
        <w:jc w:val="both"/>
        <w:rPr>
          <w:rFonts w:ascii="Arial" w:hAnsi="Arial" w:cs="Arial"/>
          <w:sz w:val="21"/>
          <w:szCs w:val="21"/>
        </w:rPr>
      </w:pPr>
      <w:r w:rsidRPr="00FD2950">
        <w:rPr>
          <w:rFonts w:ascii="Arial" w:hAnsi="Arial" w:cs="Arial"/>
          <w:sz w:val="21"/>
          <w:szCs w:val="21"/>
        </w:rPr>
        <w:t>Anexo N° 7: Análisis Costo Beneficio Estimado para Procedimiento de Permuta Predial.</w:t>
      </w:r>
    </w:p>
    <w:p w:rsidR="006312E8" w:rsidRPr="00F205B0" w:rsidRDefault="006312E8" w:rsidP="006312E8">
      <w:pPr>
        <w:spacing w:after="0" w:line="240" w:lineRule="auto"/>
        <w:ind w:left="1425"/>
        <w:contextualSpacing/>
        <w:jc w:val="both"/>
        <w:rPr>
          <w:rFonts w:ascii="Arial" w:eastAsia="Calibri" w:hAnsi="Arial" w:cs="Arial"/>
        </w:rPr>
      </w:pPr>
    </w:p>
    <w:p w:rsidR="006312E8" w:rsidRPr="006312E8" w:rsidRDefault="006312E8" w:rsidP="006312E8">
      <w:pPr>
        <w:spacing w:after="0" w:line="240" w:lineRule="auto"/>
        <w:ind w:left="1425"/>
        <w:contextualSpacing/>
        <w:jc w:val="both"/>
        <w:rPr>
          <w:rFonts w:ascii="Arial" w:eastAsia="Calibri" w:hAnsi="Arial" w:cs="Arial"/>
          <w:lang w:val="es-ES"/>
        </w:rPr>
      </w:pPr>
    </w:p>
    <w:p w:rsidR="006312E8" w:rsidRPr="006312E8" w:rsidRDefault="006312E8" w:rsidP="006312E8">
      <w:pPr>
        <w:spacing w:after="0" w:line="240" w:lineRule="auto"/>
        <w:ind w:left="1425"/>
        <w:contextualSpacing/>
        <w:jc w:val="both"/>
        <w:rPr>
          <w:rFonts w:ascii="Arial" w:eastAsia="Calibri" w:hAnsi="Arial" w:cs="Arial"/>
          <w:lang w:val="es-ES"/>
        </w:rPr>
      </w:pPr>
    </w:p>
    <w:p w:rsidR="006312E8" w:rsidRPr="006312E8" w:rsidRDefault="006312E8" w:rsidP="006312E8">
      <w:pPr>
        <w:spacing w:after="0" w:line="240" w:lineRule="auto"/>
        <w:ind w:left="1425"/>
        <w:contextualSpacing/>
        <w:jc w:val="both"/>
        <w:rPr>
          <w:rFonts w:ascii="Arial" w:eastAsia="Calibri" w:hAnsi="Arial" w:cs="Arial"/>
          <w:lang w:val="es-ES"/>
        </w:rPr>
      </w:pPr>
    </w:p>
    <w:p w:rsidR="006312E8" w:rsidRPr="006312E8" w:rsidRDefault="006312E8" w:rsidP="006312E8">
      <w:pPr>
        <w:spacing w:after="0" w:line="240" w:lineRule="auto"/>
        <w:ind w:left="1425"/>
        <w:contextualSpacing/>
        <w:jc w:val="both"/>
        <w:rPr>
          <w:rFonts w:ascii="Arial" w:eastAsia="Calibri" w:hAnsi="Arial" w:cs="Arial"/>
          <w:lang w:val="es-ES"/>
        </w:rPr>
      </w:pPr>
    </w:p>
    <w:p w:rsidR="006312E8" w:rsidRDefault="006312E8" w:rsidP="006312E8">
      <w:pPr>
        <w:spacing w:after="0" w:line="240" w:lineRule="auto"/>
        <w:ind w:left="1425"/>
        <w:contextualSpacing/>
        <w:jc w:val="both"/>
        <w:rPr>
          <w:rFonts w:ascii="Arial" w:eastAsia="Calibri" w:hAnsi="Arial" w:cs="Arial"/>
          <w:lang w:val="es-ES"/>
        </w:rPr>
      </w:pPr>
    </w:p>
    <w:p w:rsidR="00B964AE" w:rsidRDefault="00B964AE" w:rsidP="006312E8">
      <w:pPr>
        <w:spacing w:after="0" w:line="240" w:lineRule="auto"/>
        <w:ind w:left="1425"/>
        <w:contextualSpacing/>
        <w:jc w:val="both"/>
        <w:rPr>
          <w:rFonts w:ascii="Arial" w:eastAsia="Calibri" w:hAnsi="Arial" w:cs="Arial"/>
          <w:lang w:val="es-ES"/>
        </w:rPr>
      </w:pPr>
    </w:p>
    <w:p w:rsidR="00B964AE" w:rsidRPr="006312E8" w:rsidRDefault="00B964AE" w:rsidP="006312E8">
      <w:pPr>
        <w:spacing w:after="0" w:line="240" w:lineRule="auto"/>
        <w:ind w:left="1425"/>
        <w:contextualSpacing/>
        <w:jc w:val="both"/>
        <w:rPr>
          <w:rFonts w:ascii="Arial" w:eastAsia="Calibri" w:hAnsi="Arial" w:cs="Arial"/>
          <w:lang w:val="es-ES"/>
        </w:rPr>
      </w:pPr>
    </w:p>
    <w:p w:rsidR="006312E8" w:rsidRPr="006312E8" w:rsidRDefault="006312E8" w:rsidP="006312E8">
      <w:pPr>
        <w:spacing w:after="0" w:line="240" w:lineRule="auto"/>
        <w:ind w:left="1425"/>
        <w:contextualSpacing/>
        <w:jc w:val="both"/>
        <w:rPr>
          <w:rFonts w:ascii="Arial" w:eastAsia="Calibri" w:hAnsi="Arial" w:cs="Arial"/>
          <w:lang w:val="es-ES"/>
        </w:rPr>
      </w:pPr>
    </w:p>
    <w:p w:rsidR="006312E8" w:rsidRPr="006312E8" w:rsidRDefault="006312E8" w:rsidP="006312E8">
      <w:pPr>
        <w:spacing w:after="0" w:line="240" w:lineRule="auto"/>
        <w:ind w:left="1425"/>
        <w:contextualSpacing/>
        <w:jc w:val="both"/>
        <w:rPr>
          <w:rFonts w:ascii="Arial" w:eastAsia="Calibri" w:hAnsi="Arial" w:cs="Arial"/>
          <w:lang w:val="es-ES"/>
        </w:rPr>
      </w:pPr>
    </w:p>
    <w:p w:rsidR="006312E8" w:rsidRPr="006312E8" w:rsidRDefault="006312E8" w:rsidP="006312E8">
      <w:pPr>
        <w:spacing w:after="0" w:line="240" w:lineRule="auto"/>
        <w:ind w:left="1425"/>
        <w:contextualSpacing/>
        <w:jc w:val="both"/>
        <w:rPr>
          <w:rFonts w:ascii="Arial" w:eastAsia="Calibri" w:hAnsi="Arial" w:cs="Arial"/>
          <w:lang w:val="es-ES"/>
        </w:rPr>
      </w:pPr>
    </w:p>
    <w:p w:rsidR="006312E8" w:rsidRPr="006312E8" w:rsidRDefault="006312E8" w:rsidP="006312E8">
      <w:pPr>
        <w:spacing w:after="0" w:line="240" w:lineRule="auto"/>
        <w:ind w:left="1425"/>
        <w:contextualSpacing/>
        <w:jc w:val="both"/>
        <w:rPr>
          <w:rFonts w:ascii="Arial" w:eastAsia="Calibri" w:hAnsi="Arial" w:cs="Arial"/>
          <w:lang w:val="es-ES"/>
        </w:rPr>
      </w:pPr>
    </w:p>
    <w:p w:rsidR="006312E8" w:rsidRPr="006312E8" w:rsidRDefault="006312E8" w:rsidP="006312E8">
      <w:pPr>
        <w:spacing w:after="0" w:line="240" w:lineRule="auto"/>
        <w:ind w:left="1425"/>
        <w:contextualSpacing/>
        <w:jc w:val="both"/>
        <w:rPr>
          <w:rFonts w:ascii="Arial" w:eastAsia="Calibri" w:hAnsi="Arial" w:cs="Arial"/>
          <w:lang w:val="es-ES"/>
        </w:rPr>
      </w:pPr>
    </w:p>
    <w:p w:rsidR="006312E8" w:rsidRDefault="006312E8" w:rsidP="006312E8">
      <w:pPr>
        <w:spacing w:after="0" w:line="240" w:lineRule="auto"/>
        <w:ind w:left="1425"/>
        <w:contextualSpacing/>
        <w:jc w:val="both"/>
        <w:rPr>
          <w:rFonts w:ascii="Arial" w:eastAsia="Calibri" w:hAnsi="Arial" w:cs="Arial"/>
          <w:lang w:val="es-ES"/>
        </w:rPr>
      </w:pPr>
    </w:p>
    <w:p w:rsidR="00F205B0" w:rsidRDefault="00F205B0" w:rsidP="006312E8">
      <w:pPr>
        <w:spacing w:after="0" w:line="240" w:lineRule="auto"/>
        <w:ind w:left="1425"/>
        <w:contextualSpacing/>
        <w:jc w:val="both"/>
        <w:rPr>
          <w:rFonts w:ascii="Arial" w:eastAsia="Calibri" w:hAnsi="Arial" w:cs="Arial"/>
          <w:lang w:val="es-ES"/>
        </w:rPr>
      </w:pPr>
    </w:p>
    <w:p w:rsidR="00F205B0" w:rsidRDefault="00F205B0" w:rsidP="006312E8">
      <w:pPr>
        <w:spacing w:after="0" w:line="240" w:lineRule="auto"/>
        <w:ind w:left="1425"/>
        <w:contextualSpacing/>
        <w:jc w:val="both"/>
        <w:rPr>
          <w:rFonts w:ascii="Arial" w:eastAsia="Calibri" w:hAnsi="Arial" w:cs="Arial"/>
          <w:lang w:val="es-ES"/>
        </w:rPr>
      </w:pPr>
    </w:p>
    <w:p w:rsidR="00F205B0" w:rsidRDefault="00F205B0" w:rsidP="006312E8">
      <w:pPr>
        <w:spacing w:after="0" w:line="240" w:lineRule="auto"/>
        <w:ind w:left="1425"/>
        <w:contextualSpacing/>
        <w:jc w:val="both"/>
        <w:rPr>
          <w:rFonts w:ascii="Arial" w:eastAsia="Calibri" w:hAnsi="Arial" w:cs="Arial"/>
          <w:lang w:val="es-ES"/>
        </w:rPr>
      </w:pPr>
    </w:p>
    <w:p w:rsidR="00F205B0" w:rsidRDefault="00F205B0" w:rsidP="006312E8">
      <w:pPr>
        <w:spacing w:after="0" w:line="240" w:lineRule="auto"/>
        <w:ind w:left="1425"/>
        <w:contextualSpacing/>
        <w:jc w:val="both"/>
        <w:rPr>
          <w:rFonts w:ascii="Arial" w:eastAsia="Calibri" w:hAnsi="Arial" w:cs="Arial"/>
          <w:lang w:val="es-ES"/>
        </w:rPr>
      </w:pPr>
    </w:p>
    <w:p w:rsidR="00F205B0" w:rsidRDefault="00F205B0" w:rsidP="006312E8">
      <w:pPr>
        <w:spacing w:after="0" w:line="240" w:lineRule="auto"/>
        <w:ind w:left="1425"/>
        <w:contextualSpacing/>
        <w:jc w:val="both"/>
        <w:rPr>
          <w:rFonts w:ascii="Arial" w:eastAsia="Calibri" w:hAnsi="Arial" w:cs="Arial"/>
          <w:lang w:val="es-ES"/>
        </w:rPr>
      </w:pPr>
    </w:p>
    <w:p w:rsidR="00F205B0" w:rsidRDefault="00F205B0" w:rsidP="006312E8">
      <w:pPr>
        <w:spacing w:after="0" w:line="240" w:lineRule="auto"/>
        <w:ind w:left="1425"/>
        <w:contextualSpacing/>
        <w:jc w:val="both"/>
        <w:rPr>
          <w:rFonts w:ascii="Arial" w:eastAsia="Calibri" w:hAnsi="Arial" w:cs="Arial"/>
          <w:lang w:val="es-ES"/>
        </w:rPr>
      </w:pPr>
    </w:p>
    <w:p w:rsidR="00F205B0" w:rsidRDefault="00F205B0" w:rsidP="006312E8">
      <w:pPr>
        <w:spacing w:after="0" w:line="240" w:lineRule="auto"/>
        <w:ind w:left="1425"/>
        <w:contextualSpacing/>
        <w:jc w:val="both"/>
        <w:rPr>
          <w:rFonts w:ascii="Arial" w:eastAsia="Calibri" w:hAnsi="Arial" w:cs="Arial"/>
          <w:lang w:val="es-ES"/>
        </w:rPr>
      </w:pPr>
    </w:p>
    <w:p w:rsidR="00F205B0" w:rsidRDefault="00F205B0" w:rsidP="006312E8">
      <w:pPr>
        <w:spacing w:after="0" w:line="240" w:lineRule="auto"/>
        <w:ind w:left="1425"/>
        <w:contextualSpacing/>
        <w:jc w:val="both"/>
        <w:rPr>
          <w:rFonts w:ascii="Arial" w:eastAsia="Calibri" w:hAnsi="Arial" w:cs="Arial"/>
          <w:lang w:val="es-ES"/>
        </w:rPr>
      </w:pPr>
    </w:p>
    <w:p w:rsidR="00F205B0" w:rsidRDefault="00F205B0" w:rsidP="006312E8">
      <w:pPr>
        <w:spacing w:after="0" w:line="240" w:lineRule="auto"/>
        <w:ind w:left="1425"/>
        <w:contextualSpacing/>
        <w:jc w:val="both"/>
        <w:rPr>
          <w:rFonts w:ascii="Arial" w:eastAsia="Calibri" w:hAnsi="Arial" w:cs="Arial"/>
          <w:lang w:val="es-ES"/>
        </w:rPr>
      </w:pPr>
    </w:p>
    <w:p w:rsidR="00F205B0" w:rsidRDefault="00F205B0" w:rsidP="006312E8">
      <w:pPr>
        <w:spacing w:after="0" w:line="240" w:lineRule="auto"/>
        <w:ind w:left="1425"/>
        <w:contextualSpacing/>
        <w:jc w:val="both"/>
        <w:rPr>
          <w:rFonts w:ascii="Arial" w:eastAsia="Calibri" w:hAnsi="Arial" w:cs="Arial"/>
          <w:lang w:val="es-ES"/>
        </w:rPr>
      </w:pPr>
    </w:p>
    <w:p w:rsidR="00F205B0" w:rsidRDefault="00F205B0" w:rsidP="006312E8">
      <w:pPr>
        <w:spacing w:after="0" w:line="240" w:lineRule="auto"/>
        <w:ind w:left="1425"/>
        <w:contextualSpacing/>
        <w:jc w:val="both"/>
        <w:rPr>
          <w:rFonts w:ascii="Arial" w:eastAsia="Calibri" w:hAnsi="Arial" w:cs="Arial"/>
          <w:lang w:val="es-ES"/>
        </w:rPr>
      </w:pPr>
    </w:p>
    <w:p w:rsidR="00F205B0" w:rsidRDefault="00F205B0" w:rsidP="006312E8">
      <w:pPr>
        <w:spacing w:after="0" w:line="240" w:lineRule="auto"/>
        <w:ind w:left="1425"/>
        <w:contextualSpacing/>
        <w:jc w:val="both"/>
        <w:rPr>
          <w:rFonts w:ascii="Arial" w:eastAsia="Calibri" w:hAnsi="Arial" w:cs="Arial"/>
          <w:lang w:val="es-ES"/>
        </w:rPr>
      </w:pPr>
    </w:p>
    <w:p w:rsidR="00F205B0" w:rsidRDefault="00F205B0" w:rsidP="006312E8">
      <w:pPr>
        <w:spacing w:after="0" w:line="240" w:lineRule="auto"/>
        <w:ind w:left="1425"/>
        <w:contextualSpacing/>
        <w:jc w:val="both"/>
        <w:rPr>
          <w:rFonts w:ascii="Arial" w:eastAsia="Calibri" w:hAnsi="Arial" w:cs="Arial"/>
          <w:lang w:val="es-ES"/>
        </w:rPr>
      </w:pPr>
    </w:p>
    <w:p w:rsidR="00F205B0" w:rsidRDefault="00F205B0" w:rsidP="006312E8">
      <w:pPr>
        <w:spacing w:after="0" w:line="240" w:lineRule="auto"/>
        <w:ind w:left="1425"/>
        <w:contextualSpacing/>
        <w:jc w:val="both"/>
        <w:rPr>
          <w:rFonts w:ascii="Arial" w:eastAsia="Calibri" w:hAnsi="Arial" w:cs="Arial"/>
          <w:lang w:val="es-ES"/>
        </w:rPr>
      </w:pPr>
    </w:p>
    <w:p w:rsidR="00F205B0" w:rsidRDefault="00F205B0" w:rsidP="006312E8">
      <w:pPr>
        <w:spacing w:after="0" w:line="240" w:lineRule="auto"/>
        <w:ind w:left="1425"/>
        <w:contextualSpacing/>
        <w:jc w:val="both"/>
        <w:rPr>
          <w:rFonts w:ascii="Arial" w:eastAsia="Calibri" w:hAnsi="Arial" w:cs="Arial"/>
          <w:lang w:val="es-ES"/>
        </w:rPr>
      </w:pPr>
    </w:p>
    <w:p w:rsidR="00F205B0" w:rsidRDefault="00F205B0" w:rsidP="006312E8">
      <w:pPr>
        <w:spacing w:after="0" w:line="240" w:lineRule="auto"/>
        <w:ind w:left="1425"/>
        <w:contextualSpacing/>
        <w:jc w:val="both"/>
        <w:rPr>
          <w:rFonts w:ascii="Arial" w:eastAsia="Calibri" w:hAnsi="Arial" w:cs="Arial"/>
          <w:lang w:val="es-ES"/>
        </w:rPr>
      </w:pPr>
    </w:p>
    <w:p w:rsidR="00F205B0" w:rsidRDefault="00F205B0" w:rsidP="006312E8">
      <w:pPr>
        <w:spacing w:after="0" w:line="240" w:lineRule="auto"/>
        <w:ind w:left="1425"/>
        <w:contextualSpacing/>
        <w:jc w:val="both"/>
        <w:rPr>
          <w:rFonts w:ascii="Arial" w:eastAsia="Calibri" w:hAnsi="Arial" w:cs="Arial"/>
          <w:lang w:val="es-ES"/>
        </w:rPr>
      </w:pPr>
    </w:p>
    <w:p w:rsidR="00F205B0" w:rsidRDefault="00F205B0" w:rsidP="006312E8">
      <w:pPr>
        <w:spacing w:after="0" w:line="240" w:lineRule="auto"/>
        <w:ind w:left="1425"/>
        <w:contextualSpacing/>
        <w:jc w:val="both"/>
        <w:rPr>
          <w:rFonts w:ascii="Arial" w:eastAsia="Calibri" w:hAnsi="Arial" w:cs="Arial"/>
          <w:lang w:val="es-ES"/>
        </w:rPr>
      </w:pPr>
    </w:p>
    <w:p w:rsidR="00F205B0" w:rsidRDefault="00F205B0" w:rsidP="006312E8">
      <w:pPr>
        <w:spacing w:after="0" w:line="240" w:lineRule="auto"/>
        <w:ind w:left="1425"/>
        <w:contextualSpacing/>
        <w:jc w:val="both"/>
        <w:rPr>
          <w:rFonts w:ascii="Arial" w:eastAsia="Calibri" w:hAnsi="Arial" w:cs="Arial"/>
          <w:lang w:val="es-ES"/>
        </w:rPr>
      </w:pPr>
    </w:p>
    <w:p w:rsidR="00F205B0" w:rsidRDefault="00F205B0" w:rsidP="006312E8">
      <w:pPr>
        <w:spacing w:after="0" w:line="240" w:lineRule="auto"/>
        <w:ind w:left="1425"/>
        <w:contextualSpacing/>
        <w:jc w:val="both"/>
        <w:rPr>
          <w:rFonts w:ascii="Arial" w:eastAsia="Calibri" w:hAnsi="Arial" w:cs="Arial"/>
          <w:lang w:val="es-ES"/>
        </w:rPr>
      </w:pPr>
    </w:p>
    <w:p w:rsidR="00F205B0" w:rsidRDefault="00F205B0" w:rsidP="006312E8">
      <w:pPr>
        <w:spacing w:after="0" w:line="240" w:lineRule="auto"/>
        <w:ind w:left="1425"/>
        <w:contextualSpacing/>
        <w:jc w:val="both"/>
        <w:rPr>
          <w:rFonts w:ascii="Arial" w:eastAsia="Calibri" w:hAnsi="Arial" w:cs="Arial"/>
          <w:lang w:val="es-ES"/>
        </w:rPr>
      </w:pPr>
    </w:p>
    <w:p w:rsidR="00F205B0" w:rsidRDefault="00F205B0" w:rsidP="006312E8">
      <w:pPr>
        <w:spacing w:after="0" w:line="240" w:lineRule="auto"/>
        <w:ind w:left="1425"/>
        <w:contextualSpacing/>
        <w:jc w:val="both"/>
        <w:rPr>
          <w:rFonts w:ascii="Arial" w:eastAsia="Calibri" w:hAnsi="Arial" w:cs="Arial"/>
          <w:lang w:val="es-ES"/>
        </w:rPr>
      </w:pPr>
    </w:p>
    <w:p w:rsidR="00F205B0" w:rsidRDefault="00F205B0" w:rsidP="006312E8">
      <w:pPr>
        <w:spacing w:after="0" w:line="240" w:lineRule="auto"/>
        <w:ind w:left="1425"/>
        <w:contextualSpacing/>
        <w:jc w:val="both"/>
        <w:rPr>
          <w:rFonts w:ascii="Arial" w:eastAsia="Calibri" w:hAnsi="Arial" w:cs="Arial"/>
          <w:lang w:val="es-ES"/>
        </w:rPr>
      </w:pPr>
    </w:p>
    <w:p w:rsidR="00F205B0" w:rsidRDefault="00F205B0" w:rsidP="006312E8">
      <w:pPr>
        <w:spacing w:after="0" w:line="240" w:lineRule="auto"/>
        <w:ind w:left="1425"/>
        <w:contextualSpacing/>
        <w:jc w:val="both"/>
        <w:rPr>
          <w:rFonts w:ascii="Arial" w:eastAsia="Calibri" w:hAnsi="Arial" w:cs="Arial"/>
          <w:lang w:val="es-ES"/>
        </w:rPr>
      </w:pPr>
    </w:p>
    <w:p w:rsidR="00F205B0" w:rsidRDefault="00F205B0" w:rsidP="006312E8">
      <w:pPr>
        <w:spacing w:after="0" w:line="240" w:lineRule="auto"/>
        <w:ind w:left="1425"/>
        <w:contextualSpacing/>
        <w:jc w:val="both"/>
        <w:rPr>
          <w:rFonts w:ascii="Arial" w:eastAsia="Calibri" w:hAnsi="Arial" w:cs="Arial"/>
          <w:lang w:val="es-ES"/>
        </w:rPr>
      </w:pPr>
    </w:p>
    <w:p w:rsidR="00F205B0" w:rsidRDefault="00F205B0" w:rsidP="006312E8">
      <w:pPr>
        <w:spacing w:after="0" w:line="240" w:lineRule="auto"/>
        <w:ind w:left="1425"/>
        <w:contextualSpacing/>
        <w:jc w:val="both"/>
        <w:rPr>
          <w:rFonts w:ascii="Arial" w:eastAsia="Calibri" w:hAnsi="Arial" w:cs="Arial"/>
          <w:lang w:val="es-ES"/>
        </w:rPr>
      </w:pPr>
    </w:p>
    <w:p w:rsidR="00F205B0" w:rsidRDefault="00F205B0" w:rsidP="006312E8">
      <w:pPr>
        <w:spacing w:after="0" w:line="240" w:lineRule="auto"/>
        <w:ind w:left="1425"/>
        <w:contextualSpacing/>
        <w:jc w:val="both"/>
        <w:rPr>
          <w:rFonts w:ascii="Arial" w:eastAsia="Calibri" w:hAnsi="Arial" w:cs="Arial"/>
          <w:lang w:val="es-ES"/>
        </w:rPr>
      </w:pPr>
    </w:p>
    <w:p w:rsidR="00F205B0" w:rsidRDefault="00F205B0" w:rsidP="006312E8">
      <w:pPr>
        <w:spacing w:after="0" w:line="240" w:lineRule="auto"/>
        <w:ind w:left="1425"/>
        <w:contextualSpacing/>
        <w:jc w:val="both"/>
        <w:rPr>
          <w:rFonts w:ascii="Arial" w:eastAsia="Calibri" w:hAnsi="Arial" w:cs="Arial"/>
          <w:lang w:val="es-ES"/>
        </w:rPr>
      </w:pPr>
    </w:p>
    <w:p w:rsidR="00F205B0" w:rsidRDefault="00F205B0" w:rsidP="006312E8">
      <w:pPr>
        <w:spacing w:after="0" w:line="240" w:lineRule="auto"/>
        <w:ind w:left="1425"/>
        <w:contextualSpacing/>
        <w:jc w:val="both"/>
        <w:rPr>
          <w:rFonts w:ascii="Arial" w:eastAsia="Calibri" w:hAnsi="Arial" w:cs="Arial"/>
          <w:lang w:val="es-ES"/>
        </w:rPr>
      </w:pPr>
    </w:p>
    <w:p w:rsidR="00F205B0" w:rsidRPr="006312E8" w:rsidRDefault="00F205B0" w:rsidP="006312E8">
      <w:pPr>
        <w:spacing w:after="0" w:line="240" w:lineRule="auto"/>
        <w:ind w:left="1425"/>
        <w:contextualSpacing/>
        <w:jc w:val="both"/>
        <w:rPr>
          <w:rFonts w:ascii="Arial" w:eastAsia="Calibri" w:hAnsi="Arial" w:cs="Arial"/>
          <w:lang w:val="es-ES"/>
        </w:rPr>
      </w:pPr>
    </w:p>
    <w:p w:rsidR="006312E8" w:rsidRPr="006312E8" w:rsidRDefault="006312E8" w:rsidP="006312E8">
      <w:pPr>
        <w:spacing w:after="0" w:line="240" w:lineRule="auto"/>
        <w:ind w:left="1425"/>
        <w:contextualSpacing/>
        <w:jc w:val="both"/>
        <w:rPr>
          <w:rFonts w:ascii="Arial" w:eastAsia="Calibri" w:hAnsi="Arial" w:cs="Arial"/>
          <w:lang w:val="es-ES"/>
        </w:rPr>
      </w:pPr>
    </w:p>
    <w:p w:rsidR="006312E8" w:rsidRPr="006312E8" w:rsidRDefault="006312E8" w:rsidP="006312E8">
      <w:pPr>
        <w:spacing w:after="0" w:line="240" w:lineRule="auto"/>
        <w:ind w:left="1425"/>
        <w:contextualSpacing/>
        <w:jc w:val="both"/>
        <w:rPr>
          <w:rFonts w:ascii="Arial" w:eastAsia="Calibri" w:hAnsi="Arial" w:cs="Arial"/>
          <w:lang w:val="es-ES"/>
        </w:rPr>
      </w:pPr>
    </w:p>
    <w:p w:rsidR="006312E8" w:rsidRPr="006312E8" w:rsidRDefault="006312E8" w:rsidP="006312E8">
      <w:pPr>
        <w:spacing w:after="0" w:line="240" w:lineRule="auto"/>
        <w:ind w:left="1425"/>
        <w:contextualSpacing/>
        <w:jc w:val="both"/>
        <w:rPr>
          <w:rFonts w:ascii="Arial" w:eastAsia="Calibri" w:hAnsi="Arial" w:cs="Arial"/>
          <w:lang w:val="es-ES"/>
        </w:rPr>
      </w:pPr>
    </w:p>
    <w:p w:rsidR="006312E8" w:rsidRPr="006312E8" w:rsidRDefault="006312E8" w:rsidP="006312E8">
      <w:pPr>
        <w:spacing w:after="0" w:line="240" w:lineRule="auto"/>
        <w:ind w:left="1425"/>
        <w:contextualSpacing/>
        <w:jc w:val="both"/>
        <w:rPr>
          <w:rFonts w:ascii="Arial" w:eastAsia="Calibri" w:hAnsi="Arial" w:cs="Arial"/>
          <w:lang w:val="es-ES"/>
        </w:rPr>
      </w:pPr>
    </w:p>
    <w:p w:rsidR="006312E8" w:rsidRDefault="00B964AE" w:rsidP="00B964AE">
      <w:pPr>
        <w:spacing w:after="0" w:line="240" w:lineRule="auto"/>
        <w:contextualSpacing/>
        <w:jc w:val="center"/>
        <w:rPr>
          <w:rFonts w:ascii="Arial" w:eastAsia="Calibri" w:hAnsi="Arial" w:cs="Arial"/>
          <w:b/>
          <w:sz w:val="28"/>
          <w:szCs w:val="28"/>
          <w:lang w:val="es-ES"/>
        </w:rPr>
      </w:pPr>
      <w:r w:rsidRPr="00B964AE">
        <w:rPr>
          <w:rFonts w:ascii="Arial" w:eastAsia="Calibri" w:hAnsi="Arial" w:cs="Arial"/>
          <w:b/>
          <w:sz w:val="28"/>
          <w:szCs w:val="28"/>
          <w:lang w:val="es-ES"/>
        </w:rPr>
        <w:t>RESOLUCIÓN N° 079-2015-SBN</w:t>
      </w:r>
    </w:p>
    <w:p w:rsidR="00B964AE" w:rsidRDefault="00B964AE" w:rsidP="00B964AE">
      <w:pPr>
        <w:spacing w:after="0" w:line="240" w:lineRule="auto"/>
        <w:contextualSpacing/>
        <w:jc w:val="center"/>
        <w:rPr>
          <w:rFonts w:ascii="Arial" w:eastAsia="Calibri" w:hAnsi="Arial" w:cs="Arial"/>
          <w:b/>
          <w:sz w:val="28"/>
          <w:szCs w:val="28"/>
          <w:lang w:val="es-ES"/>
        </w:rPr>
      </w:pPr>
    </w:p>
    <w:p w:rsidR="00B964AE" w:rsidRDefault="00D22235" w:rsidP="00D22235">
      <w:pPr>
        <w:pStyle w:val="Textopredeterminado"/>
        <w:widowControl/>
        <w:jc w:val="center"/>
        <w:rPr>
          <w:rFonts w:ascii="Arial" w:hAnsi="Arial" w:cs="Arial"/>
          <w:b/>
        </w:rPr>
      </w:pPr>
      <w:r>
        <w:rPr>
          <w:rFonts w:ascii="Arial" w:hAnsi="Arial" w:cs="Arial"/>
          <w:b/>
        </w:rPr>
        <w:t>Aprueban</w:t>
      </w:r>
      <w:r w:rsidRPr="00D22235">
        <w:rPr>
          <w:rFonts w:ascii="Arial" w:hAnsi="Arial" w:cs="Arial"/>
          <w:b/>
        </w:rPr>
        <w:t xml:space="preserve"> la Directiva N° 004-2015/SBN, denominada “Directiva para la inscripción y transferencia de predios estatales requeridos para la ejecución de obras de infraestructura en el marco del Decreto Legislativo N° 1192</w:t>
      </w:r>
    </w:p>
    <w:p w:rsidR="00D22235" w:rsidRDefault="00D22235" w:rsidP="00D22235">
      <w:pPr>
        <w:pStyle w:val="Textopredeterminado"/>
        <w:widowControl/>
        <w:jc w:val="center"/>
        <w:rPr>
          <w:rFonts w:ascii="Arial" w:hAnsi="Arial" w:cs="Arial"/>
          <w:b/>
        </w:rPr>
      </w:pPr>
    </w:p>
    <w:p w:rsidR="00D22235" w:rsidRPr="00D22235" w:rsidRDefault="00D22235" w:rsidP="00D22235">
      <w:pPr>
        <w:pStyle w:val="Textopredeterminado"/>
        <w:widowControl/>
        <w:jc w:val="right"/>
        <w:rPr>
          <w:rFonts w:ascii="Arial" w:hAnsi="Arial" w:cs="Arial"/>
          <w:b/>
          <w:sz w:val="22"/>
          <w:szCs w:val="22"/>
          <w:lang w:val="es-ES_tradnl"/>
        </w:rPr>
      </w:pPr>
      <w:r>
        <w:rPr>
          <w:rFonts w:ascii="Arial" w:hAnsi="Arial" w:cs="Arial"/>
          <w:b/>
        </w:rPr>
        <w:t>Fecha de publicación: 15-12-2015</w:t>
      </w:r>
    </w:p>
    <w:p w:rsidR="00B964AE" w:rsidRDefault="00B964AE" w:rsidP="00B964AE">
      <w:pPr>
        <w:pStyle w:val="Textopredeterminado"/>
        <w:widowControl/>
        <w:jc w:val="both"/>
        <w:rPr>
          <w:rFonts w:ascii="Arial" w:hAnsi="Arial" w:cs="Arial"/>
          <w:sz w:val="22"/>
          <w:szCs w:val="22"/>
          <w:lang w:val="es-ES_tradnl"/>
        </w:rPr>
      </w:pPr>
    </w:p>
    <w:p w:rsidR="00B964AE" w:rsidRDefault="00B964AE" w:rsidP="00B964AE">
      <w:pPr>
        <w:pStyle w:val="Textopredeterminado"/>
        <w:widowControl/>
        <w:jc w:val="both"/>
        <w:rPr>
          <w:rFonts w:ascii="Arial" w:hAnsi="Arial" w:cs="Arial"/>
          <w:sz w:val="22"/>
          <w:szCs w:val="22"/>
          <w:lang w:val="es-ES_tradnl"/>
        </w:rPr>
      </w:pPr>
      <w:r w:rsidRPr="00713A8B">
        <w:rPr>
          <w:rFonts w:ascii="Arial" w:hAnsi="Arial" w:cs="Arial"/>
          <w:sz w:val="22"/>
          <w:szCs w:val="22"/>
          <w:lang w:val="es-ES_tradnl"/>
        </w:rPr>
        <w:t xml:space="preserve">San Isidro, </w:t>
      </w:r>
      <w:r>
        <w:rPr>
          <w:rFonts w:ascii="Arial" w:hAnsi="Arial" w:cs="Arial"/>
          <w:sz w:val="22"/>
          <w:szCs w:val="22"/>
          <w:lang w:val="es-ES_tradnl"/>
        </w:rPr>
        <w:t>14 de diciembre de 2015</w:t>
      </w:r>
    </w:p>
    <w:p w:rsidR="00B964AE" w:rsidRDefault="00B964AE" w:rsidP="00B964AE">
      <w:pPr>
        <w:pStyle w:val="Textopredeterminado"/>
        <w:widowControl/>
        <w:jc w:val="both"/>
        <w:rPr>
          <w:rFonts w:ascii="Arial" w:hAnsi="Arial" w:cs="Arial"/>
          <w:sz w:val="22"/>
          <w:szCs w:val="22"/>
          <w:lang w:val="es-ES_tradnl"/>
        </w:rPr>
      </w:pPr>
    </w:p>
    <w:p w:rsidR="00B964AE" w:rsidRPr="002D1853" w:rsidRDefault="00B964AE" w:rsidP="00B964AE">
      <w:pPr>
        <w:pStyle w:val="Textopredeterminado"/>
        <w:widowControl/>
        <w:jc w:val="both"/>
        <w:rPr>
          <w:rFonts w:ascii="Arial" w:hAnsi="Arial" w:cs="Arial"/>
          <w:b/>
          <w:sz w:val="22"/>
          <w:szCs w:val="22"/>
          <w:lang w:val="es-ES_tradnl"/>
        </w:rPr>
      </w:pPr>
      <w:r>
        <w:rPr>
          <w:rFonts w:ascii="Arial" w:hAnsi="Arial" w:cs="Arial"/>
          <w:b/>
          <w:sz w:val="22"/>
          <w:szCs w:val="22"/>
          <w:lang w:val="es-ES_tradnl"/>
        </w:rPr>
        <w:t>V</w:t>
      </w:r>
      <w:r w:rsidRPr="002D1853">
        <w:rPr>
          <w:rFonts w:ascii="Arial" w:hAnsi="Arial" w:cs="Arial"/>
          <w:b/>
          <w:sz w:val="22"/>
          <w:szCs w:val="22"/>
          <w:lang w:val="es-ES_tradnl"/>
        </w:rPr>
        <w:t>ISTO:</w:t>
      </w:r>
    </w:p>
    <w:p w:rsidR="00B964AE" w:rsidRPr="002D1853" w:rsidRDefault="00B964AE" w:rsidP="00B964AE">
      <w:pPr>
        <w:pStyle w:val="Textopredeterminado"/>
        <w:widowControl/>
        <w:jc w:val="both"/>
        <w:rPr>
          <w:rFonts w:ascii="Arial" w:hAnsi="Arial" w:cs="Arial"/>
          <w:sz w:val="22"/>
          <w:szCs w:val="22"/>
          <w:lang w:val="es-ES_tradnl"/>
        </w:rPr>
      </w:pPr>
    </w:p>
    <w:p w:rsidR="00B964AE" w:rsidRDefault="00B964AE" w:rsidP="00B964AE">
      <w:pPr>
        <w:pStyle w:val="Textopredeterminado"/>
        <w:widowControl/>
        <w:jc w:val="both"/>
        <w:rPr>
          <w:rFonts w:ascii="Arial" w:hAnsi="Arial" w:cs="Arial"/>
          <w:sz w:val="22"/>
          <w:szCs w:val="22"/>
          <w:lang w:val="es-ES_tradnl"/>
        </w:rPr>
      </w:pPr>
      <w:r>
        <w:rPr>
          <w:rFonts w:ascii="Arial" w:hAnsi="Arial" w:cs="Arial"/>
          <w:sz w:val="22"/>
          <w:szCs w:val="22"/>
          <w:lang w:val="es-ES_tradnl"/>
        </w:rPr>
        <w:t>El</w:t>
      </w:r>
      <w:r w:rsidRPr="002D1853">
        <w:rPr>
          <w:rFonts w:ascii="Arial" w:hAnsi="Arial" w:cs="Arial"/>
          <w:sz w:val="22"/>
          <w:szCs w:val="22"/>
          <w:lang w:val="es-ES_tradnl"/>
        </w:rPr>
        <w:t xml:space="preserve"> Informe N</w:t>
      </w:r>
      <w:r>
        <w:rPr>
          <w:rFonts w:ascii="Arial" w:hAnsi="Arial" w:cs="Arial"/>
          <w:sz w:val="22"/>
          <w:szCs w:val="22"/>
          <w:lang w:val="es-ES_tradnl"/>
        </w:rPr>
        <w:t>°</w:t>
      </w:r>
      <w:r w:rsidRPr="002D1853">
        <w:rPr>
          <w:rFonts w:ascii="Arial" w:hAnsi="Arial" w:cs="Arial"/>
          <w:sz w:val="22"/>
          <w:szCs w:val="22"/>
          <w:lang w:val="es-ES_tradnl"/>
        </w:rPr>
        <w:t xml:space="preserve"> 1</w:t>
      </w:r>
      <w:r>
        <w:rPr>
          <w:rFonts w:ascii="Arial" w:hAnsi="Arial" w:cs="Arial"/>
          <w:sz w:val="22"/>
          <w:szCs w:val="22"/>
          <w:lang w:val="es-ES_tradnl"/>
        </w:rPr>
        <w:t>40</w:t>
      </w:r>
      <w:r w:rsidRPr="002D1853">
        <w:rPr>
          <w:rFonts w:ascii="Arial" w:hAnsi="Arial" w:cs="Arial"/>
          <w:sz w:val="22"/>
          <w:szCs w:val="22"/>
          <w:lang w:val="es-ES_tradnl"/>
        </w:rPr>
        <w:t>-2015/SBN-DNR de fecha 1</w:t>
      </w:r>
      <w:r>
        <w:rPr>
          <w:rFonts w:ascii="Arial" w:hAnsi="Arial" w:cs="Arial"/>
          <w:sz w:val="22"/>
          <w:szCs w:val="22"/>
          <w:lang w:val="es-ES_tradnl"/>
        </w:rPr>
        <w:t>1</w:t>
      </w:r>
      <w:r w:rsidRPr="002D1853">
        <w:rPr>
          <w:rFonts w:ascii="Arial" w:hAnsi="Arial" w:cs="Arial"/>
          <w:sz w:val="22"/>
          <w:szCs w:val="22"/>
          <w:lang w:val="es-ES_tradnl"/>
        </w:rPr>
        <w:t xml:space="preserve"> de </w:t>
      </w:r>
      <w:r>
        <w:rPr>
          <w:rFonts w:ascii="Arial" w:hAnsi="Arial" w:cs="Arial"/>
          <w:sz w:val="22"/>
          <w:szCs w:val="22"/>
          <w:lang w:val="es-ES_tradnl"/>
        </w:rPr>
        <w:t>diciembre</w:t>
      </w:r>
      <w:r w:rsidRPr="002D1853">
        <w:rPr>
          <w:rFonts w:ascii="Arial" w:hAnsi="Arial" w:cs="Arial"/>
          <w:sz w:val="22"/>
          <w:szCs w:val="22"/>
          <w:lang w:val="es-ES_tradnl"/>
        </w:rPr>
        <w:t xml:space="preserve"> de 2015, de la </w:t>
      </w:r>
      <w:r>
        <w:rPr>
          <w:rFonts w:ascii="Arial" w:hAnsi="Arial" w:cs="Arial"/>
          <w:sz w:val="22"/>
          <w:szCs w:val="22"/>
          <w:lang w:val="es-ES_tradnl"/>
        </w:rPr>
        <w:t xml:space="preserve">Dirección de </w:t>
      </w:r>
      <w:r w:rsidRPr="002D1853">
        <w:rPr>
          <w:rFonts w:ascii="Arial" w:hAnsi="Arial" w:cs="Arial"/>
          <w:sz w:val="22"/>
          <w:szCs w:val="22"/>
          <w:lang w:val="es-ES_tradnl"/>
        </w:rPr>
        <w:t>Normas y</w:t>
      </w:r>
      <w:r>
        <w:rPr>
          <w:rFonts w:ascii="Arial" w:hAnsi="Arial" w:cs="Arial"/>
          <w:sz w:val="22"/>
          <w:szCs w:val="22"/>
          <w:lang w:val="es-ES_tradnl"/>
        </w:rPr>
        <w:t xml:space="preserve"> Registro</w:t>
      </w:r>
      <w:r w:rsidRPr="002D1853">
        <w:rPr>
          <w:rFonts w:ascii="Arial" w:hAnsi="Arial" w:cs="Arial"/>
          <w:sz w:val="22"/>
          <w:szCs w:val="22"/>
          <w:lang w:val="es-ES_tradnl"/>
        </w:rPr>
        <w:t xml:space="preserve">; </w:t>
      </w:r>
    </w:p>
    <w:p w:rsidR="00B964AE" w:rsidRPr="002D1853" w:rsidRDefault="00B964AE" w:rsidP="00B964AE">
      <w:pPr>
        <w:pStyle w:val="Textopredeterminado"/>
        <w:widowControl/>
        <w:jc w:val="both"/>
        <w:rPr>
          <w:rFonts w:ascii="Arial" w:hAnsi="Arial" w:cs="Arial"/>
          <w:sz w:val="22"/>
          <w:szCs w:val="22"/>
          <w:lang w:val="es-ES_tradnl"/>
        </w:rPr>
      </w:pPr>
    </w:p>
    <w:p w:rsidR="00B964AE" w:rsidRPr="002D1853" w:rsidRDefault="00B964AE" w:rsidP="00B964AE">
      <w:pPr>
        <w:pStyle w:val="Textopredeterminado"/>
        <w:widowControl/>
        <w:jc w:val="both"/>
        <w:rPr>
          <w:rFonts w:ascii="Arial" w:hAnsi="Arial" w:cs="Arial"/>
          <w:b/>
          <w:bCs/>
          <w:sz w:val="22"/>
          <w:szCs w:val="22"/>
          <w:lang w:val="es-ES_tradnl"/>
        </w:rPr>
      </w:pPr>
      <w:r w:rsidRPr="002D1853">
        <w:rPr>
          <w:rFonts w:ascii="Arial" w:hAnsi="Arial" w:cs="Arial"/>
          <w:b/>
          <w:bCs/>
          <w:sz w:val="22"/>
          <w:szCs w:val="22"/>
          <w:lang w:val="es-ES_tradnl"/>
        </w:rPr>
        <w:t>CONSIDERANDO:</w:t>
      </w:r>
    </w:p>
    <w:p w:rsidR="00B964AE" w:rsidRPr="002D1853" w:rsidRDefault="00B964AE" w:rsidP="00B964AE">
      <w:pPr>
        <w:pStyle w:val="Textopredeterminado"/>
        <w:widowControl/>
        <w:jc w:val="both"/>
        <w:rPr>
          <w:rFonts w:ascii="Arial" w:hAnsi="Arial" w:cs="Arial"/>
          <w:b/>
          <w:bCs/>
          <w:sz w:val="22"/>
          <w:szCs w:val="22"/>
          <w:lang w:val="es-ES_tradnl"/>
        </w:rPr>
      </w:pPr>
    </w:p>
    <w:p w:rsidR="00B964AE" w:rsidRPr="002D1853" w:rsidRDefault="00B964AE" w:rsidP="00B964AE">
      <w:pPr>
        <w:spacing w:after="0" w:line="240" w:lineRule="auto"/>
        <w:jc w:val="both"/>
        <w:rPr>
          <w:rFonts w:ascii="Arial" w:hAnsi="Arial" w:cs="Arial"/>
        </w:rPr>
      </w:pPr>
      <w:r w:rsidRPr="002D1853">
        <w:rPr>
          <w:rFonts w:ascii="Arial" w:hAnsi="Arial" w:cs="Arial"/>
        </w:rPr>
        <w:t>Que, la Superintendencia Nacional de Bienes Estatales - SBN es un organismo público ejecutor, adscrito al Ministerio de Vivienda, Construcción y Saneamiento, y el Ente Rector del Sistema Nacional de Bienes Estatales, responsable de normar los actos de adquisición, disposición, administración y supervisión de los bienes estatales, así como de ejecutar dichos actos respecto de los bienes cuya administración está a su cargo, de acuerdo a la normatividad vigente, gozando de autonomía económica, presupuestal, financiera, técnica y funcional, de conformidad a lo establecido en la Ley N</w:t>
      </w:r>
      <w:r>
        <w:rPr>
          <w:rFonts w:ascii="Arial" w:hAnsi="Arial" w:cs="Arial"/>
        </w:rPr>
        <w:t>°</w:t>
      </w:r>
      <w:r w:rsidRPr="002D1853">
        <w:rPr>
          <w:rFonts w:ascii="Arial" w:hAnsi="Arial" w:cs="Arial"/>
        </w:rPr>
        <w:t xml:space="preserve"> 29151, Ley General del Sistema Nacional de Bienes Estatales, su modificatoria, y su Reglamento, ap</w:t>
      </w:r>
      <w:r>
        <w:rPr>
          <w:rFonts w:ascii="Arial" w:hAnsi="Arial" w:cs="Arial"/>
        </w:rPr>
        <w:t>robado por el Decreto Supremo N°</w:t>
      </w:r>
      <w:r w:rsidRPr="002D1853">
        <w:rPr>
          <w:rFonts w:ascii="Arial" w:hAnsi="Arial" w:cs="Arial"/>
        </w:rPr>
        <w:t xml:space="preserve"> 007-2008-VIVIENDA;  </w:t>
      </w:r>
    </w:p>
    <w:p w:rsidR="00B964AE" w:rsidRPr="00B964AE" w:rsidRDefault="00B964AE" w:rsidP="00B964AE">
      <w:pPr>
        <w:pStyle w:val="Textopredeterminado"/>
        <w:widowControl/>
        <w:jc w:val="both"/>
        <w:rPr>
          <w:rFonts w:ascii="Arial" w:hAnsi="Arial" w:cs="Arial"/>
          <w:sz w:val="22"/>
          <w:szCs w:val="22"/>
          <w:lang w:val="es-PE"/>
        </w:rPr>
      </w:pPr>
    </w:p>
    <w:p w:rsidR="00B964AE" w:rsidRDefault="00B964AE" w:rsidP="00B964AE">
      <w:pPr>
        <w:pStyle w:val="Textopredeterminado"/>
        <w:widowControl/>
        <w:jc w:val="both"/>
        <w:rPr>
          <w:rFonts w:ascii="Arial" w:hAnsi="Arial" w:cs="Arial"/>
          <w:sz w:val="22"/>
          <w:szCs w:val="22"/>
        </w:rPr>
      </w:pPr>
      <w:r w:rsidRPr="00AD64FB">
        <w:rPr>
          <w:rFonts w:ascii="Arial" w:hAnsi="Arial" w:cs="Arial"/>
          <w:sz w:val="22"/>
          <w:szCs w:val="22"/>
        </w:rPr>
        <w:t xml:space="preserve">Que, </w:t>
      </w:r>
      <w:r>
        <w:rPr>
          <w:rFonts w:ascii="Arial" w:hAnsi="Arial" w:cs="Arial"/>
          <w:sz w:val="22"/>
          <w:szCs w:val="22"/>
        </w:rPr>
        <w:t xml:space="preserve">a través del artículo 13 de la </w:t>
      </w:r>
      <w:r w:rsidRPr="00AD64FB">
        <w:rPr>
          <w:rFonts w:ascii="Arial" w:hAnsi="Arial" w:cs="Arial"/>
          <w:sz w:val="22"/>
          <w:szCs w:val="22"/>
        </w:rPr>
        <w:t>Ley N° 30025, Ley que facilita la adquisición, expropiación y posesión de bienes inmuebles para obras de infraestructura y declara de necesidad pública la adquisición o expropiación de bienes inmuebles afectados para la ejecución de diversas obras de infraestructura,</w:t>
      </w:r>
      <w:r>
        <w:rPr>
          <w:rFonts w:ascii="Arial" w:hAnsi="Arial" w:cs="Arial"/>
          <w:sz w:val="22"/>
          <w:szCs w:val="22"/>
        </w:rPr>
        <w:t xml:space="preserve"> se establecieron disposiciones para la transferencia de </w:t>
      </w:r>
      <w:r w:rsidRPr="00F50565">
        <w:rPr>
          <w:rFonts w:ascii="Arial" w:hAnsi="Arial" w:cs="Arial"/>
          <w:sz w:val="22"/>
          <w:szCs w:val="22"/>
        </w:rPr>
        <w:t>bienes de propiedad del Estado</w:t>
      </w:r>
      <w:r>
        <w:rPr>
          <w:rFonts w:ascii="Arial" w:hAnsi="Arial" w:cs="Arial"/>
          <w:sz w:val="22"/>
          <w:szCs w:val="22"/>
        </w:rPr>
        <w:t>, requeridos para la ejecución de obras de infraestructura declaradas de necesidad pública, interés nacional, seguridad nacional y/o de gran envergadura;</w:t>
      </w:r>
    </w:p>
    <w:p w:rsidR="00B964AE" w:rsidRDefault="00B964AE" w:rsidP="00B964AE">
      <w:pPr>
        <w:pStyle w:val="Textopredeterminado"/>
        <w:widowControl/>
        <w:jc w:val="both"/>
        <w:rPr>
          <w:rFonts w:ascii="Arial" w:hAnsi="Arial" w:cs="Arial"/>
          <w:sz w:val="22"/>
          <w:szCs w:val="22"/>
        </w:rPr>
      </w:pPr>
    </w:p>
    <w:p w:rsidR="00B964AE" w:rsidRDefault="00B964AE" w:rsidP="00B964AE">
      <w:pPr>
        <w:pStyle w:val="Textopredeterminado"/>
        <w:widowControl/>
        <w:jc w:val="both"/>
        <w:rPr>
          <w:rFonts w:ascii="Arial" w:hAnsi="Arial" w:cs="Arial"/>
          <w:sz w:val="22"/>
          <w:szCs w:val="22"/>
        </w:rPr>
      </w:pPr>
      <w:r>
        <w:rPr>
          <w:rFonts w:ascii="Arial" w:hAnsi="Arial" w:cs="Arial"/>
          <w:sz w:val="22"/>
          <w:szCs w:val="22"/>
        </w:rPr>
        <w:t xml:space="preserve">Que, mediante </w:t>
      </w:r>
      <w:r w:rsidRPr="00AD64FB">
        <w:rPr>
          <w:rFonts w:ascii="Arial" w:hAnsi="Arial" w:cs="Arial"/>
          <w:sz w:val="22"/>
          <w:szCs w:val="22"/>
        </w:rPr>
        <w:t xml:space="preserve">la Quinta Disposición Complementaria Final </w:t>
      </w:r>
      <w:r>
        <w:rPr>
          <w:rFonts w:ascii="Arial" w:hAnsi="Arial" w:cs="Arial"/>
          <w:sz w:val="22"/>
          <w:szCs w:val="22"/>
        </w:rPr>
        <w:t xml:space="preserve">de Ley N° 30025 y sus modificatorias, se declaró como </w:t>
      </w:r>
      <w:r w:rsidRPr="00AD64FB">
        <w:rPr>
          <w:rFonts w:ascii="Arial" w:hAnsi="Arial" w:cs="Arial"/>
          <w:sz w:val="22"/>
          <w:szCs w:val="22"/>
        </w:rPr>
        <w:t>necesidad pública la ejecución de las obras de infraestructura de interés</w:t>
      </w:r>
      <w:r>
        <w:rPr>
          <w:rFonts w:ascii="Arial" w:hAnsi="Arial" w:cs="Arial"/>
          <w:sz w:val="22"/>
          <w:szCs w:val="22"/>
        </w:rPr>
        <w:t xml:space="preserve"> nacional y de gran envergadura, para redu</w:t>
      </w:r>
      <w:r w:rsidRPr="00AD64FB">
        <w:rPr>
          <w:rFonts w:ascii="Arial" w:hAnsi="Arial" w:cs="Arial"/>
          <w:sz w:val="22"/>
          <w:szCs w:val="22"/>
        </w:rPr>
        <w:t>cir la brecha de infraestructura existente en nuestro país, brindar conectividad a las poblaciones alejadas con fines de inclusión social y permitir la mejora económica de las poblaciones que se verán beneficiadas por las obras</w:t>
      </w:r>
      <w:r>
        <w:rPr>
          <w:rFonts w:ascii="Arial" w:hAnsi="Arial" w:cs="Arial"/>
          <w:sz w:val="22"/>
          <w:szCs w:val="22"/>
        </w:rPr>
        <w:t>, entre otros;</w:t>
      </w:r>
    </w:p>
    <w:p w:rsidR="00B964AE" w:rsidRDefault="00B964AE" w:rsidP="00B964AE">
      <w:pPr>
        <w:pStyle w:val="Textopredeterminado"/>
        <w:widowControl/>
        <w:jc w:val="both"/>
        <w:rPr>
          <w:rFonts w:ascii="Arial" w:hAnsi="Arial" w:cs="Arial"/>
          <w:sz w:val="22"/>
          <w:szCs w:val="22"/>
        </w:rPr>
      </w:pPr>
    </w:p>
    <w:p w:rsidR="00B964AE" w:rsidRPr="00AD64FB" w:rsidRDefault="00B964AE" w:rsidP="00B964AE">
      <w:pPr>
        <w:pStyle w:val="Textopredeterminado"/>
        <w:widowControl/>
        <w:jc w:val="both"/>
        <w:rPr>
          <w:rFonts w:ascii="Arial" w:hAnsi="Arial" w:cs="Arial"/>
          <w:sz w:val="22"/>
          <w:szCs w:val="22"/>
        </w:rPr>
      </w:pPr>
      <w:r>
        <w:rPr>
          <w:rFonts w:ascii="Arial" w:hAnsi="Arial" w:cs="Arial"/>
          <w:sz w:val="22"/>
          <w:szCs w:val="22"/>
        </w:rPr>
        <w:t>Que, con la finalidad de establecer el procedimiento que facilite lo dispuesto en la precitada ley, se aprobó la Directiva N° 007-2013/SBN denominada Procedimientos para la transferencia e inscripción de predios estatales requeridos para la ejecución de proyectos de infraestructura en el marco de la Ley N° 30025, mediante la Resolución N° 079-2013/SBN;</w:t>
      </w:r>
    </w:p>
    <w:p w:rsidR="00B964AE" w:rsidRPr="00713A8B" w:rsidRDefault="00B964AE" w:rsidP="00B964AE">
      <w:pPr>
        <w:pStyle w:val="Textopredeterminado"/>
        <w:widowControl/>
        <w:jc w:val="both"/>
        <w:rPr>
          <w:rFonts w:ascii="Arial" w:hAnsi="Arial" w:cs="Arial"/>
          <w:sz w:val="22"/>
          <w:szCs w:val="22"/>
        </w:rPr>
      </w:pPr>
    </w:p>
    <w:p w:rsidR="00B964AE" w:rsidRDefault="00B964AE" w:rsidP="00B964AE">
      <w:pPr>
        <w:pStyle w:val="Textopredeterminado"/>
        <w:widowControl/>
        <w:jc w:val="both"/>
        <w:rPr>
          <w:rFonts w:ascii="Arial" w:hAnsi="Arial" w:cs="Arial"/>
          <w:sz w:val="22"/>
          <w:szCs w:val="22"/>
        </w:rPr>
      </w:pPr>
      <w:r w:rsidRPr="00713A8B">
        <w:rPr>
          <w:rFonts w:ascii="Arial" w:hAnsi="Arial" w:cs="Arial"/>
          <w:sz w:val="22"/>
          <w:szCs w:val="22"/>
        </w:rPr>
        <w:t xml:space="preserve">Que, </w:t>
      </w:r>
      <w:r>
        <w:rPr>
          <w:rFonts w:ascii="Arial" w:hAnsi="Arial" w:cs="Arial"/>
          <w:sz w:val="22"/>
          <w:szCs w:val="22"/>
        </w:rPr>
        <w:t xml:space="preserve">la Única Disposición Complementaria Derogatoria del Decreto Legislativo N° 1192, que aprueba </w:t>
      </w:r>
      <w:r w:rsidRPr="005458C4">
        <w:rPr>
          <w:rFonts w:ascii="Arial" w:hAnsi="Arial" w:cs="Arial"/>
          <w:sz w:val="22"/>
          <w:szCs w:val="22"/>
        </w:rPr>
        <w:t>la Ley Marco de Adquisición y Expropiación de inmuebles, transferencia de inmuebles de propiedad del Estado, liberación de Interferencias y dicta otras medidas para la ejecución de obras de infraestructura</w:t>
      </w:r>
      <w:r>
        <w:rPr>
          <w:rFonts w:ascii="Arial" w:hAnsi="Arial" w:cs="Arial"/>
          <w:sz w:val="22"/>
          <w:szCs w:val="22"/>
        </w:rPr>
        <w:t>, derogó la Ley N° 30025, excepto su Quinta Disposición Complementaria Final y sus Disposiciones Complementarias Modificatorias;</w:t>
      </w:r>
    </w:p>
    <w:p w:rsidR="00B964AE" w:rsidRDefault="00B964AE" w:rsidP="00B964AE">
      <w:pPr>
        <w:pStyle w:val="Textopredeterminado"/>
        <w:widowControl/>
        <w:jc w:val="both"/>
        <w:rPr>
          <w:rFonts w:ascii="Arial" w:hAnsi="Arial" w:cs="Arial"/>
          <w:sz w:val="22"/>
          <w:szCs w:val="22"/>
        </w:rPr>
      </w:pPr>
    </w:p>
    <w:p w:rsidR="00B964AE" w:rsidRDefault="00B964AE" w:rsidP="00B964AE">
      <w:pPr>
        <w:pStyle w:val="Textopredeterminado"/>
        <w:widowControl/>
        <w:jc w:val="both"/>
        <w:rPr>
          <w:rFonts w:ascii="Arial" w:hAnsi="Arial" w:cs="Arial"/>
          <w:sz w:val="22"/>
          <w:szCs w:val="22"/>
        </w:rPr>
      </w:pPr>
      <w:r w:rsidRPr="00713A8B">
        <w:rPr>
          <w:rFonts w:ascii="Arial" w:hAnsi="Arial" w:cs="Arial"/>
          <w:sz w:val="22"/>
          <w:szCs w:val="22"/>
        </w:rPr>
        <w:t xml:space="preserve">Que, </w:t>
      </w:r>
      <w:r>
        <w:rPr>
          <w:rFonts w:ascii="Arial" w:hAnsi="Arial" w:cs="Arial"/>
          <w:sz w:val="22"/>
          <w:szCs w:val="22"/>
        </w:rPr>
        <w:t>asimismo, el artículo 41 del Decreto Legislativo N° 1192, precisa que los predios que pueden ser adquiridos o expropiados para la ejecución de Obras de Infraestructura declaradas de necesidad pública, interés nacional, seguridad nacional y/o de gran envergadura, son transferidos a título gratuito por el sólo mérito de la resolución administrativa que emita la SBN, en un plazo de cuarenta y cinco días hábiles contados desde la presentación de la solicitud, entre otras disposiciones para el cumplimiento de su finalidad;</w:t>
      </w:r>
    </w:p>
    <w:p w:rsidR="00B964AE" w:rsidRDefault="00B964AE" w:rsidP="00B964AE">
      <w:pPr>
        <w:pStyle w:val="Textopredeterminado"/>
        <w:widowControl/>
        <w:jc w:val="both"/>
        <w:rPr>
          <w:rFonts w:ascii="Arial" w:hAnsi="Arial" w:cs="Arial"/>
          <w:sz w:val="22"/>
          <w:szCs w:val="22"/>
        </w:rPr>
      </w:pPr>
    </w:p>
    <w:p w:rsidR="00B964AE" w:rsidRDefault="00B964AE" w:rsidP="00B964AE">
      <w:pPr>
        <w:spacing w:after="0" w:line="240" w:lineRule="auto"/>
        <w:jc w:val="both"/>
        <w:rPr>
          <w:rFonts w:ascii="Arial" w:hAnsi="Arial" w:cs="Arial"/>
          <w:color w:val="000000"/>
          <w:lang w:val="es-MX"/>
        </w:rPr>
      </w:pPr>
      <w:r>
        <w:rPr>
          <w:rFonts w:ascii="Arial" w:hAnsi="Arial" w:cs="Arial"/>
        </w:rPr>
        <w:t>Que, el Informe del Visto, emitido por la</w:t>
      </w:r>
      <w:r w:rsidRPr="002D1853">
        <w:rPr>
          <w:rFonts w:ascii="Arial" w:hAnsi="Arial" w:cs="Arial"/>
          <w:lang w:val="es-ES_tradnl"/>
        </w:rPr>
        <w:t xml:space="preserve"> </w:t>
      </w:r>
      <w:r>
        <w:rPr>
          <w:rFonts w:ascii="Arial" w:hAnsi="Arial" w:cs="Arial"/>
          <w:lang w:val="es-ES_tradnl"/>
        </w:rPr>
        <w:t xml:space="preserve">Dirección de </w:t>
      </w:r>
      <w:r w:rsidRPr="002D1853">
        <w:rPr>
          <w:rFonts w:ascii="Arial" w:hAnsi="Arial" w:cs="Arial"/>
          <w:lang w:val="es-ES_tradnl"/>
        </w:rPr>
        <w:t>Normas y</w:t>
      </w:r>
      <w:r>
        <w:rPr>
          <w:rFonts w:ascii="Arial" w:hAnsi="Arial" w:cs="Arial"/>
          <w:lang w:val="es-ES_tradnl"/>
        </w:rPr>
        <w:t xml:space="preserve"> Registro, señala que e</w:t>
      </w:r>
      <w:r w:rsidRPr="00F426CB">
        <w:rPr>
          <w:rFonts w:ascii="Arial" w:hAnsi="Arial" w:cs="Arial"/>
        </w:rPr>
        <w:t>l Decreto Legislativo</w:t>
      </w:r>
      <w:r>
        <w:rPr>
          <w:rFonts w:ascii="Arial" w:hAnsi="Arial" w:cs="Arial"/>
        </w:rPr>
        <w:t xml:space="preserve"> N°</w:t>
      </w:r>
      <w:r w:rsidRPr="00F426CB">
        <w:rPr>
          <w:rFonts w:ascii="Arial" w:hAnsi="Arial" w:cs="Arial"/>
        </w:rPr>
        <w:t xml:space="preserve"> 1192 regula </w:t>
      </w:r>
      <w:r>
        <w:rPr>
          <w:rFonts w:ascii="Arial" w:hAnsi="Arial" w:cs="Arial"/>
        </w:rPr>
        <w:t xml:space="preserve">íntegramente la materia </w:t>
      </w:r>
      <w:r w:rsidRPr="00F426CB">
        <w:rPr>
          <w:rFonts w:ascii="Arial" w:hAnsi="Arial" w:cs="Arial"/>
        </w:rPr>
        <w:t>que contenía el artículo 13 de la Ley N</w:t>
      </w:r>
      <w:r>
        <w:rPr>
          <w:rFonts w:ascii="Arial" w:hAnsi="Arial" w:cs="Arial"/>
        </w:rPr>
        <w:t>°</w:t>
      </w:r>
      <w:r w:rsidRPr="00F426CB">
        <w:rPr>
          <w:rFonts w:ascii="Arial" w:hAnsi="Arial" w:cs="Arial"/>
        </w:rPr>
        <w:t xml:space="preserve"> 30025, con algunas precisiones adicionales, y deroga en forma expresa la citada Ley, </w:t>
      </w:r>
      <w:r>
        <w:rPr>
          <w:rFonts w:ascii="Arial" w:hAnsi="Arial" w:cs="Arial"/>
          <w:color w:val="000000"/>
          <w:lang w:val="es-MX"/>
        </w:rPr>
        <w:t>exceptuando so</w:t>
      </w:r>
      <w:r w:rsidRPr="00F426CB">
        <w:rPr>
          <w:rFonts w:ascii="Arial" w:hAnsi="Arial" w:cs="Arial"/>
          <w:color w:val="000000"/>
          <w:lang w:val="es-MX"/>
        </w:rPr>
        <w:t xml:space="preserve">lo su Quinta Disposición Complementaria Final y las Disposiciones Complementarias Modificatorias; por tanto, de acuerdo con el artículo I del Título Preliminar del Código Civil, se entiende que </w:t>
      </w:r>
      <w:r>
        <w:rPr>
          <w:rFonts w:ascii="Arial" w:hAnsi="Arial" w:cs="Arial"/>
          <w:color w:val="000000"/>
          <w:lang w:val="es-MX"/>
        </w:rPr>
        <w:t xml:space="preserve">se </w:t>
      </w:r>
      <w:r w:rsidRPr="00F426CB">
        <w:rPr>
          <w:rFonts w:ascii="Arial" w:hAnsi="Arial" w:cs="Arial"/>
          <w:color w:val="000000"/>
          <w:lang w:val="es-MX"/>
        </w:rPr>
        <w:t>encuentra derogad</w:t>
      </w:r>
      <w:r>
        <w:rPr>
          <w:rFonts w:ascii="Arial" w:hAnsi="Arial" w:cs="Arial"/>
          <w:color w:val="000000"/>
          <w:lang w:val="es-MX"/>
        </w:rPr>
        <w:t>a</w:t>
      </w:r>
      <w:r w:rsidRPr="00F426CB">
        <w:rPr>
          <w:rFonts w:ascii="Arial" w:hAnsi="Arial" w:cs="Arial"/>
          <w:color w:val="000000"/>
          <w:lang w:val="es-MX"/>
        </w:rPr>
        <w:t xml:space="preserve"> la Directiva N° 007-2013/SBN</w:t>
      </w:r>
      <w:r>
        <w:rPr>
          <w:rFonts w:ascii="Arial" w:hAnsi="Arial" w:cs="Arial"/>
          <w:color w:val="000000"/>
          <w:lang w:val="es-MX"/>
        </w:rPr>
        <w:t>;</w:t>
      </w:r>
    </w:p>
    <w:p w:rsidR="00B964AE" w:rsidRDefault="00B964AE" w:rsidP="00B964AE">
      <w:pPr>
        <w:tabs>
          <w:tab w:val="left" w:pos="540"/>
        </w:tabs>
        <w:spacing w:after="0" w:line="240" w:lineRule="auto"/>
        <w:jc w:val="both"/>
        <w:rPr>
          <w:rFonts w:ascii="Arial" w:hAnsi="Arial" w:cs="Arial"/>
          <w:lang w:val="es-ES_tradnl"/>
        </w:rPr>
      </w:pPr>
    </w:p>
    <w:p w:rsidR="00B964AE" w:rsidRDefault="00B964AE" w:rsidP="00B964AE">
      <w:pPr>
        <w:tabs>
          <w:tab w:val="left" w:pos="540"/>
        </w:tabs>
        <w:spacing w:after="0" w:line="240" w:lineRule="auto"/>
        <w:jc w:val="both"/>
        <w:rPr>
          <w:rFonts w:ascii="Arial" w:hAnsi="Arial" w:cs="Arial"/>
        </w:rPr>
      </w:pPr>
      <w:r w:rsidRPr="009D34B5">
        <w:rPr>
          <w:rFonts w:ascii="Arial" w:hAnsi="Arial" w:cs="Arial"/>
          <w:lang w:val="es-ES_tradnl"/>
        </w:rPr>
        <w:t xml:space="preserve">Que, por lo antes expuesto, es necesario </w:t>
      </w:r>
      <w:r>
        <w:rPr>
          <w:rFonts w:ascii="Arial" w:hAnsi="Arial" w:cs="Arial"/>
          <w:lang w:val="es-ES_tradnl"/>
        </w:rPr>
        <w:t>aprobar la Directiva propuesta por la Dirección de Normas y Registro que r</w:t>
      </w:r>
      <w:r w:rsidRPr="009D34B5">
        <w:rPr>
          <w:rFonts w:ascii="Arial" w:hAnsi="Arial" w:cs="Arial"/>
          <w:color w:val="000000"/>
          <w:lang w:val="es-MX"/>
        </w:rPr>
        <w:t>egul</w:t>
      </w:r>
      <w:r>
        <w:rPr>
          <w:rFonts w:ascii="Arial" w:hAnsi="Arial" w:cs="Arial"/>
          <w:color w:val="000000"/>
          <w:lang w:val="es-MX"/>
        </w:rPr>
        <w:t>e</w:t>
      </w:r>
      <w:r w:rsidRPr="009D34B5">
        <w:rPr>
          <w:rFonts w:ascii="Arial" w:hAnsi="Arial" w:cs="Arial"/>
          <w:color w:val="000000"/>
          <w:lang w:val="es-MX"/>
        </w:rPr>
        <w:t xml:space="preserve"> el procedimiento para la inscripción y transferencia, a título gratuito, de los predios y/o edificaciones de propiedad estatal requeridos para la ejecución de obras de infraestructura, comprendidos en la Quinta Disposición Complementaria Final de la Ley Nº 30025 y su modificatorias, en el marco de lo establecido por el artículo 41º del Decreto Legislativo Nº 1192</w:t>
      </w:r>
      <w:r>
        <w:rPr>
          <w:rFonts w:ascii="Arial" w:hAnsi="Arial" w:cs="Arial"/>
          <w:color w:val="000000"/>
          <w:lang w:val="es-MX"/>
        </w:rPr>
        <w:t xml:space="preserve">, así como </w:t>
      </w:r>
      <w:r>
        <w:rPr>
          <w:rFonts w:ascii="Arial" w:hAnsi="Arial" w:cs="Arial"/>
          <w:lang w:val="es-ES_tradnl"/>
        </w:rPr>
        <w:t xml:space="preserve">derogar la </w:t>
      </w:r>
      <w:r w:rsidRPr="00F426CB">
        <w:rPr>
          <w:rFonts w:ascii="Arial" w:hAnsi="Arial" w:cs="Arial"/>
          <w:color w:val="000000"/>
          <w:lang w:val="es-MX"/>
        </w:rPr>
        <w:t>Directiva N°</w:t>
      </w:r>
      <w:r>
        <w:rPr>
          <w:rFonts w:ascii="Arial" w:hAnsi="Arial" w:cs="Arial"/>
          <w:color w:val="000000"/>
          <w:lang w:val="es-MX"/>
        </w:rPr>
        <w:t xml:space="preserve"> 007-2013/SBN, aprobada por la Resolución N° 079-2013/SBN</w:t>
      </w:r>
      <w:r>
        <w:rPr>
          <w:rFonts w:ascii="Arial" w:hAnsi="Arial" w:cs="Arial"/>
        </w:rPr>
        <w:t>;</w:t>
      </w:r>
    </w:p>
    <w:p w:rsidR="00B964AE" w:rsidRPr="0062780A" w:rsidRDefault="00B964AE" w:rsidP="00B964AE">
      <w:pPr>
        <w:framePr w:hSpace="141" w:wrap="around" w:vAnchor="text" w:hAnchor="text" w:y="1"/>
        <w:spacing w:after="0" w:line="240" w:lineRule="auto"/>
        <w:suppressOverlap/>
        <w:jc w:val="both"/>
        <w:rPr>
          <w:rFonts w:ascii="Arial" w:hAnsi="Arial" w:cs="Arial"/>
          <w:sz w:val="16"/>
          <w:szCs w:val="16"/>
        </w:rPr>
      </w:pPr>
    </w:p>
    <w:p w:rsidR="00B964AE" w:rsidRDefault="00B964AE" w:rsidP="00B964AE">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rFonts w:ascii="Arial" w:hAnsi="Arial" w:cs="Arial"/>
        </w:rPr>
      </w:pPr>
    </w:p>
    <w:p w:rsidR="00B964AE" w:rsidRPr="00713A8B" w:rsidRDefault="00B964AE" w:rsidP="00B964AE">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rFonts w:ascii="Arial" w:hAnsi="Arial" w:cs="Arial"/>
        </w:rPr>
      </w:pPr>
      <w:r w:rsidRPr="00713A8B">
        <w:rPr>
          <w:rFonts w:ascii="Arial" w:hAnsi="Arial" w:cs="Arial"/>
        </w:rPr>
        <w:t>Con los visados de la Secretaría General, la Dirección de Normas y Registro, la Oficina de Planeamiento y Presupuesto, y la Oficina de Asesoría Jurídica, y;</w:t>
      </w:r>
    </w:p>
    <w:p w:rsidR="00B964AE" w:rsidRPr="00713A8B" w:rsidRDefault="00B964AE" w:rsidP="00B964AE">
      <w:pPr>
        <w:pStyle w:val="Textoindependiente2"/>
        <w:spacing w:after="0" w:line="240" w:lineRule="auto"/>
        <w:jc w:val="both"/>
        <w:rPr>
          <w:rFonts w:ascii="Arial" w:hAnsi="Arial" w:cs="Arial"/>
          <w:b/>
          <w:sz w:val="22"/>
          <w:szCs w:val="22"/>
        </w:rPr>
      </w:pPr>
      <w:r w:rsidRPr="00472EC6">
        <w:rPr>
          <w:rFonts w:ascii="Arial" w:hAnsi="Arial" w:cs="Arial"/>
          <w:sz w:val="22"/>
          <w:szCs w:val="22"/>
        </w:rPr>
        <w:t>De conformidad con lo establecido en el</w:t>
      </w:r>
      <w:r w:rsidRPr="00B57669">
        <w:rPr>
          <w:rFonts w:ascii="Arial" w:hAnsi="Arial" w:cs="Arial"/>
          <w:sz w:val="22"/>
          <w:szCs w:val="22"/>
        </w:rPr>
        <w:t xml:space="preserve"> </w:t>
      </w:r>
      <w:r>
        <w:rPr>
          <w:rFonts w:ascii="Arial" w:hAnsi="Arial" w:cs="Arial"/>
          <w:sz w:val="22"/>
          <w:szCs w:val="22"/>
        </w:rPr>
        <w:t xml:space="preserve">artículo 41 del Decreto Legislativo N° 1192, la Única Disposición Complementaria Derogatoria del Decreto Legislativo N° 1192; </w:t>
      </w:r>
      <w:r w:rsidRPr="00472EC6">
        <w:rPr>
          <w:rFonts w:ascii="Arial" w:hAnsi="Arial" w:cs="Arial"/>
          <w:sz w:val="22"/>
          <w:szCs w:val="22"/>
        </w:rPr>
        <w:t>y</w:t>
      </w:r>
      <w:r>
        <w:rPr>
          <w:rFonts w:ascii="Arial" w:hAnsi="Arial" w:cs="Arial"/>
          <w:sz w:val="22"/>
          <w:szCs w:val="22"/>
        </w:rPr>
        <w:t>,</w:t>
      </w:r>
      <w:r w:rsidRPr="00472EC6">
        <w:rPr>
          <w:rFonts w:ascii="Arial" w:hAnsi="Arial" w:cs="Arial"/>
          <w:sz w:val="22"/>
          <w:szCs w:val="22"/>
        </w:rPr>
        <w:t xml:space="preserve"> en uso de las funciones previstas en los incisos b) y r) del artículo 11 del Reglamento de Organización y Funciones de la Superintendencia</w:t>
      </w:r>
      <w:r w:rsidRPr="00713A8B">
        <w:rPr>
          <w:rFonts w:ascii="Arial" w:hAnsi="Arial" w:cs="Arial"/>
          <w:sz w:val="22"/>
          <w:szCs w:val="22"/>
        </w:rPr>
        <w:t xml:space="preserve"> Nacional de Bienes Estatales – SBN, ap</w:t>
      </w:r>
      <w:r>
        <w:rPr>
          <w:rFonts w:ascii="Arial" w:hAnsi="Arial" w:cs="Arial"/>
          <w:sz w:val="22"/>
          <w:szCs w:val="22"/>
        </w:rPr>
        <w:t>robado por el Decreto Supremo N°</w:t>
      </w:r>
      <w:r w:rsidRPr="00713A8B">
        <w:rPr>
          <w:rFonts w:ascii="Arial" w:hAnsi="Arial" w:cs="Arial"/>
          <w:sz w:val="22"/>
          <w:szCs w:val="22"/>
        </w:rPr>
        <w:t xml:space="preserve"> 016-2010-VIVIENDA;</w:t>
      </w:r>
      <w:r w:rsidRPr="00713A8B">
        <w:rPr>
          <w:rFonts w:ascii="Arial" w:hAnsi="Arial" w:cs="Arial"/>
          <w:b/>
          <w:sz w:val="22"/>
          <w:szCs w:val="22"/>
        </w:rPr>
        <w:t xml:space="preserve"> </w:t>
      </w:r>
    </w:p>
    <w:p w:rsidR="00B964AE" w:rsidRPr="00713A8B" w:rsidRDefault="00B964AE" w:rsidP="00B964AE">
      <w:pPr>
        <w:pStyle w:val="Textopredeterminado"/>
        <w:widowControl/>
        <w:jc w:val="both"/>
        <w:rPr>
          <w:rFonts w:ascii="Arial" w:hAnsi="Arial" w:cs="Arial"/>
          <w:sz w:val="22"/>
          <w:szCs w:val="22"/>
          <w:lang w:val="es-ES_tradnl"/>
        </w:rPr>
      </w:pPr>
      <w:r w:rsidRPr="00713A8B">
        <w:rPr>
          <w:rFonts w:ascii="Arial" w:hAnsi="Arial" w:cs="Arial"/>
          <w:sz w:val="22"/>
          <w:szCs w:val="22"/>
          <w:lang w:val="es-ES_tradnl"/>
        </w:rPr>
        <w:t xml:space="preserve">                                                </w:t>
      </w:r>
    </w:p>
    <w:p w:rsidR="00B964AE" w:rsidRPr="00713A8B" w:rsidRDefault="00B964AE" w:rsidP="00B964AE">
      <w:pPr>
        <w:pStyle w:val="Textopredeterminad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s>
        <w:jc w:val="both"/>
        <w:rPr>
          <w:rFonts w:ascii="Arial" w:hAnsi="Arial" w:cs="Arial"/>
          <w:b/>
          <w:sz w:val="22"/>
          <w:szCs w:val="22"/>
          <w:lang w:val="es-ES"/>
        </w:rPr>
      </w:pPr>
      <w:r w:rsidRPr="00713A8B">
        <w:rPr>
          <w:rFonts w:ascii="Arial" w:hAnsi="Arial" w:cs="Arial"/>
          <w:b/>
          <w:sz w:val="22"/>
          <w:szCs w:val="22"/>
          <w:lang w:val="es-ES"/>
        </w:rPr>
        <w:t>SE RESUELVE:</w:t>
      </w:r>
    </w:p>
    <w:p w:rsidR="00B964AE" w:rsidRPr="00713A8B" w:rsidRDefault="00B964AE" w:rsidP="00B964AE">
      <w:pPr>
        <w:pStyle w:val="Textopredeterminad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s>
        <w:jc w:val="both"/>
        <w:rPr>
          <w:rFonts w:ascii="Arial" w:hAnsi="Arial" w:cs="Arial"/>
          <w:b/>
          <w:sz w:val="22"/>
          <w:szCs w:val="22"/>
          <w:lang w:val="es-ES"/>
        </w:rPr>
      </w:pPr>
    </w:p>
    <w:p w:rsidR="00B964AE" w:rsidRDefault="00B964AE" w:rsidP="00B964AE">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rFonts w:ascii="Arial" w:hAnsi="Arial" w:cs="Arial"/>
        </w:rPr>
      </w:pPr>
      <w:r>
        <w:rPr>
          <w:rFonts w:ascii="Arial" w:hAnsi="Arial" w:cs="Arial"/>
          <w:b/>
        </w:rPr>
        <w:t>Artículo 1°</w:t>
      </w:r>
      <w:r w:rsidRPr="00713A8B">
        <w:rPr>
          <w:rFonts w:ascii="Arial" w:hAnsi="Arial" w:cs="Arial"/>
          <w:b/>
        </w:rPr>
        <w:t>.-</w:t>
      </w:r>
      <w:r w:rsidRPr="00713A8B">
        <w:rPr>
          <w:rFonts w:ascii="Arial" w:hAnsi="Arial" w:cs="Arial"/>
          <w:highlight w:val="white"/>
        </w:rPr>
        <w:t xml:space="preserve"> </w:t>
      </w:r>
      <w:r w:rsidRPr="00713A8B">
        <w:rPr>
          <w:rFonts w:ascii="Arial" w:hAnsi="Arial" w:cs="Arial"/>
        </w:rPr>
        <w:t>Aprobar la Directiva N</w:t>
      </w:r>
      <w:r>
        <w:rPr>
          <w:rFonts w:ascii="Arial" w:hAnsi="Arial" w:cs="Arial"/>
        </w:rPr>
        <w:t>° 004-</w:t>
      </w:r>
      <w:r w:rsidRPr="00713A8B">
        <w:rPr>
          <w:rFonts w:ascii="Arial" w:hAnsi="Arial" w:cs="Arial"/>
        </w:rPr>
        <w:t>201</w:t>
      </w:r>
      <w:r>
        <w:rPr>
          <w:rFonts w:ascii="Arial" w:hAnsi="Arial" w:cs="Arial"/>
        </w:rPr>
        <w:t>5/SBN, denominada “Directiva para la inscripción y transferencia de predios estatales requeridos para la ejecución de obras de infraestructura en el marco del Decreto Legislativo N° 1192”.</w:t>
      </w:r>
      <w:r w:rsidRPr="00713A8B">
        <w:rPr>
          <w:rFonts w:ascii="Arial" w:hAnsi="Arial" w:cs="Arial"/>
        </w:rPr>
        <w:t xml:space="preserve"> </w:t>
      </w:r>
    </w:p>
    <w:p w:rsidR="00FD044D" w:rsidRDefault="00FD044D" w:rsidP="00B964AE">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rFonts w:ascii="Arial" w:hAnsi="Arial" w:cs="Arial"/>
        </w:rPr>
      </w:pPr>
    </w:p>
    <w:p w:rsidR="00FD044D" w:rsidRPr="00FD044D" w:rsidRDefault="00FD044D" w:rsidP="00B964AE">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rFonts w:ascii="Arial" w:hAnsi="Arial" w:cs="Arial"/>
        </w:rPr>
      </w:pPr>
      <w:r w:rsidRPr="00FD044D">
        <w:rPr>
          <w:rFonts w:ascii="Arial" w:hAnsi="Arial" w:cs="Arial"/>
          <w:b/>
        </w:rPr>
        <w:t>Artículo 2°.-</w:t>
      </w:r>
      <w:r>
        <w:rPr>
          <w:rFonts w:ascii="Arial" w:hAnsi="Arial" w:cs="Arial"/>
          <w:b/>
        </w:rPr>
        <w:t xml:space="preserve"> </w:t>
      </w:r>
      <w:r>
        <w:rPr>
          <w:rFonts w:ascii="Arial" w:hAnsi="Arial" w:cs="Arial"/>
        </w:rPr>
        <w:t xml:space="preserve"> las disposiciones de la Directiva N° 004-2015/SBN, entrarán en vigencia a partir del día siguiente de la publicación de la presente Resolución en el Diario Oficial El Peruano.</w:t>
      </w:r>
    </w:p>
    <w:p w:rsidR="00B964AE" w:rsidRDefault="00B964AE" w:rsidP="00B964AE">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rFonts w:ascii="Arial" w:hAnsi="Arial" w:cs="Arial"/>
          <w:b/>
        </w:rPr>
      </w:pPr>
    </w:p>
    <w:p w:rsidR="00B964AE" w:rsidRDefault="00B964AE" w:rsidP="00B964AE">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rFonts w:ascii="Arial" w:hAnsi="Arial" w:cs="Arial"/>
          <w:b/>
        </w:rPr>
      </w:pPr>
      <w:r w:rsidRPr="00713A8B">
        <w:rPr>
          <w:rFonts w:ascii="Arial" w:hAnsi="Arial" w:cs="Arial"/>
          <w:b/>
        </w:rPr>
        <w:t>Artículo 3º.-</w:t>
      </w:r>
      <w:r>
        <w:rPr>
          <w:rFonts w:ascii="Arial" w:hAnsi="Arial" w:cs="Arial"/>
          <w:b/>
        </w:rPr>
        <w:t xml:space="preserve"> </w:t>
      </w:r>
      <w:r w:rsidRPr="003177DD">
        <w:rPr>
          <w:rFonts w:ascii="Arial" w:hAnsi="Arial" w:cs="Arial"/>
        </w:rPr>
        <w:t>Derogar</w:t>
      </w:r>
      <w:r>
        <w:rPr>
          <w:rFonts w:ascii="Arial" w:hAnsi="Arial" w:cs="Arial"/>
        </w:rPr>
        <w:t xml:space="preserve"> la </w:t>
      </w:r>
      <w:r w:rsidRPr="005B511B">
        <w:rPr>
          <w:rFonts w:ascii="Arial" w:hAnsi="Arial" w:cs="Arial"/>
        </w:rPr>
        <w:t xml:space="preserve">Directiva </w:t>
      </w:r>
      <w:r>
        <w:rPr>
          <w:rFonts w:ascii="Arial" w:hAnsi="Arial" w:cs="Arial"/>
        </w:rPr>
        <w:t xml:space="preserve">N° </w:t>
      </w:r>
      <w:r w:rsidRPr="005B511B">
        <w:rPr>
          <w:rFonts w:ascii="Arial" w:hAnsi="Arial" w:cs="Arial"/>
        </w:rPr>
        <w:t>00</w:t>
      </w:r>
      <w:r>
        <w:rPr>
          <w:rFonts w:ascii="Arial" w:hAnsi="Arial" w:cs="Arial"/>
        </w:rPr>
        <w:t>7</w:t>
      </w:r>
      <w:r w:rsidRPr="005B511B">
        <w:rPr>
          <w:rFonts w:ascii="Arial" w:hAnsi="Arial" w:cs="Arial"/>
        </w:rPr>
        <w:t>-201</w:t>
      </w:r>
      <w:r>
        <w:rPr>
          <w:rFonts w:ascii="Arial" w:hAnsi="Arial" w:cs="Arial"/>
        </w:rPr>
        <w:t>3/SBN</w:t>
      </w:r>
      <w:r w:rsidRPr="005B511B">
        <w:rPr>
          <w:rFonts w:ascii="Arial" w:hAnsi="Arial" w:cs="Arial"/>
        </w:rPr>
        <w:t xml:space="preserve">, aprobada por la </w:t>
      </w:r>
      <w:r>
        <w:rPr>
          <w:rFonts w:ascii="Arial" w:hAnsi="Arial" w:cs="Arial"/>
        </w:rPr>
        <w:t>R</w:t>
      </w:r>
      <w:r w:rsidRPr="005B511B">
        <w:rPr>
          <w:rFonts w:ascii="Arial" w:hAnsi="Arial" w:cs="Arial"/>
        </w:rPr>
        <w:t xml:space="preserve">esolución </w:t>
      </w:r>
      <w:r>
        <w:rPr>
          <w:rFonts w:ascii="Arial" w:hAnsi="Arial" w:cs="Arial"/>
        </w:rPr>
        <w:t xml:space="preserve">N° </w:t>
      </w:r>
      <w:r w:rsidRPr="005B511B">
        <w:rPr>
          <w:rFonts w:ascii="Arial" w:hAnsi="Arial" w:cs="Arial"/>
        </w:rPr>
        <w:t>0</w:t>
      </w:r>
      <w:r>
        <w:rPr>
          <w:rFonts w:ascii="Arial" w:hAnsi="Arial" w:cs="Arial"/>
        </w:rPr>
        <w:t>79</w:t>
      </w:r>
      <w:r w:rsidRPr="005B511B">
        <w:rPr>
          <w:rFonts w:ascii="Arial" w:hAnsi="Arial" w:cs="Arial"/>
        </w:rPr>
        <w:t>-201</w:t>
      </w:r>
      <w:r>
        <w:rPr>
          <w:rFonts w:ascii="Arial" w:hAnsi="Arial" w:cs="Arial"/>
        </w:rPr>
        <w:t>3/</w:t>
      </w:r>
      <w:r w:rsidRPr="005B511B">
        <w:rPr>
          <w:rFonts w:ascii="Arial" w:hAnsi="Arial" w:cs="Arial"/>
        </w:rPr>
        <w:t xml:space="preserve">SBN </w:t>
      </w:r>
      <w:r>
        <w:rPr>
          <w:rFonts w:ascii="Arial" w:hAnsi="Arial" w:cs="Arial"/>
        </w:rPr>
        <w:t>de fecha 25 de octubre de 2013</w:t>
      </w:r>
      <w:r w:rsidRPr="005B511B">
        <w:rPr>
          <w:rFonts w:ascii="Arial" w:hAnsi="Arial" w:cs="Arial"/>
        </w:rPr>
        <w:t>.</w:t>
      </w:r>
      <w:r w:rsidRPr="00713A8B">
        <w:rPr>
          <w:rFonts w:ascii="Arial" w:hAnsi="Arial" w:cs="Arial"/>
          <w:b/>
        </w:rPr>
        <w:t xml:space="preserve"> </w:t>
      </w:r>
    </w:p>
    <w:p w:rsidR="00B964AE" w:rsidRDefault="00B964AE" w:rsidP="00B964AE">
      <w:pPr>
        <w:pStyle w:val="Textopredeterminado"/>
        <w:widowControl/>
        <w:ind w:left="5387" w:firstLine="6"/>
        <w:jc w:val="center"/>
        <w:rPr>
          <w:rFonts w:ascii="Arial" w:hAnsi="Arial" w:cs="Arial"/>
          <w:b/>
          <w:sz w:val="22"/>
          <w:szCs w:val="22"/>
        </w:rPr>
      </w:pPr>
      <w:r>
        <w:rPr>
          <w:rFonts w:ascii="Arial" w:hAnsi="Arial" w:cs="Arial"/>
          <w:b/>
          <w:bCs/>
          <w:sz w:val="30"/>
          <w:szCs w:val="30"/>
          <w:lang w:val="es-ES_tradnl"/>
        </w:rPr>
        <w:t xml:space="preserve">  </w:t>
      </w:r>
    </w:p>
    <w:p w:rsidR="00B964AE" w:rsidRPr="00F70823" w:rsidRDefault="00B964AE" w:rsidP="00B964AE">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rFonts w:ascii="Arial" w:hAnsi="Arial" w:cs="Arial"/>
        </w:rPr>
      </w:pPr>
      <w:r>
        <w:rPr>
          <w:rFonts w:ascii="Arial" w:hAnsi="Arial" w:cs="Arial"/>
          <w:b/>
        </w:rPr>
        <w:t xml:space="preserve">Artículo 4°.- </w:t>
      </w:r>
      <w:r w:rsidRPr="00713A8B">
        <w:rPr>
          <w:rFonts w:ascii="Arial" w:hAnsi="Arial" w:cs="Arial"/>
        </w:rPr>
        <w:t>Encargar a la Oficina de Administración y Finanzas la publicación de la Directiva N</w:t>
      </w:r>
      <w:r>
        <w:rPr>
          <w:rFonts w:ascii="Arial" w:hAnsi="Arial" w:cs="Arial"/>
        </w:rPr>
        <w:t>° 004-</w:t>
      </w:r>
      <w:r w:rsidRPr="00713A8B">
        <w:rPr>
          <w:rFonts w:ascii="Arial" w:hAnsi="Arial" w:cs="Arial"/>
        </w:rPr>
        <w:t>201</w:t>
      </w:r>
      <w:r>
        <w:rPr>
          <w:rFonts w:ascii="Arial" w:hAnsi="Arial" w:cs="Arial"/>
        </w:rPr>
        <w:t>5</w:t>
      </w:r>
      <w:r w:rsidRPr="00713A8B">
        <w:rPr>
          <w:rFonts w:ascii="Arial" w:hAnsi="Arial" w:cs="Arial"/>
        </w:rPr>
        <w:t xml:space="preserve">/SBN y la presente Resolución en la página web </w:t>
      </w:r>
      <w:r w:rsidRPr="00713A8B">
        <w:rPr>
          <w:rFonts w:ascii="Arial" w:hAnsi="Arial" w:cs="Arial"/>
          <w:color w:val="000000" w:themeColor="text1"/>
        </w:rPr>
        <w:t>(</w:t>
      </w:r>
      <w:hyperlink r:id="rId20" w:history="1">
        <w:r w:rsidRPr="00713A8B">
          <w:rPr>
            <w:rStyle w:val="Hipervnculo"/>
            <w:rFonts w:ascii="Arial" w:hAnsi="Arial" w:cs="Arial"/>
            <w:color w:val="000000" w:themeColor="text1"/>
          </w:rPr>
          <w:t>www.sbn.gob.pe</w:t>
        </w:r>
      </w:hyperlink>
      <w:r w:rsidRPr="00713A8B">
        <w:rPr>
          <w:rFonts w:ascii="Arial" w:hAnsi="Arial" w:cs="Arial"/>
          <w:color w:val="000000" w:themeColor="text1"/>
        </w:rPr>
        <w:t>) y en la intranet institucional</w:t>
      </w:r>
      <w:r w:rsidRPr="00713A8B">
        <w:rPr>
          <w:rFonts w:ascii="Arial" w:hAnsi="Arial" w:cs="Arial"/>
        </w:rPr>
        <w:t>.</w:t>
      </w:r>
    </w:p>
    <w:p w:rsidR="00B964AE" w:rsidRDefault="00B964AE" w:rsidP="00B964AE">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rFonts w:ascii="Arial" w:hAnsi="Arial" w:cs="Arial"/>
          <w:b/>
        </w:rPr>
      </w:pPr>
    </w:p>
    <w:p w:rsidR="00B964AE" w:rsidRDefault="00B964AE" w:rsidP="00B964AE">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rFonts w:ascii="Arial" w:hAnsi="Arial" w:cs="Arial"/>
          <w:b/>
        </w:rPr>
      </w:pPr>
      <w:r>
        <w:rPr>
          <w:rFonts w:ascii="Arial" w:hAnsi="Arial" w:cs="Arial"/>
          <w:b/>
        </w:rPr>
        <w:tab/>
      </w:r>
      <w:r w:rsidRPr="00713A8B">
        <w:rPr>
          <w:rFonts w:ascii="Arial" w:hAnsi="Arial" w:cs="Arial"/>
          <w:b/>
        </w:rPr>
        <w:t>Regístrese, comuníquese y publíquese.</w:t>
      </w:r>
    </w:p>
    <w:p w:rsidR="00B964AE" w:rsidRDefault="00B964AE" w:rsidP="00B964AE">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center"/>
        <w:rPr>
          <w:rFonts w:ascii="Arial" w:hAnsi="Arial" w:cs="Arial"/>
          <w:b/>
        </w:rPr>
      </w:pPr>
    </w:p>
    <w:p w:rsidR="00B964AE" w:rsidRDefault="00B964AE" w:rsidP="00B964AE">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center"/>
        <w:rPr>
          <w:rFonts w:ascii="Arial" w:hAnsi="Arial" w:cs="Arial"/>
          <w:b/>
        </w:rPr>
      </w:pPr>
      <w:r>
        <w:rPr>
          <w:rFonts w:ascii="Arial" w:hAnsi="Arial" w:cs="Arial"/>
          <w:b/>
        </w:rPr>
        <w:t>JOSE LUIS PAIRAZAMAN TORRES</w:t>
      </w:r>
    </w:p>
    <w:p w:rsidR="00B964AE" w:rsidRPr="00B964AE" w:rsidRDefault="00B964AE" w:rsidP="00B964AE">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center"/>
        <w:rPr>
          <w:rFonts w:ascii="Arial" w:hAnsi="Arial" w:cs="Arial"/>
          <w:lang w:val="es-ES_tradnl"/>
        </w:rPr>
      </w:pPr>
      <w:r>
        <w:rPr>
          <w:rFonts w:ascii="Arial" w:hAnsi="Arial" w:cs="Arial"/>
        </w:rPr>
        <w:t>Superintendente</w:t>
      </w:r>
    </w:p>
    <w:p w:rsidR="00B964AE" w:rsidRDefault="00B964AE" w:rsidP="00B964AE">
      <w:pPr>
        <w:rPr>
          <w:rFonts w:ascii="Arial" w:hAnsi="Arial" w:cs="Arial"/>
          <w:lang w:val="es-ES_tradnl"/>
        </w:rPr>
      </w:pPr>
    </w:p>
    <w:p w:rsidR="00D22235" w:rsidRDefault="00D22235" w:rsidP="00D22235">
      <w:pPr>
        <w:pStyle w:val="TITO2"/>
      </w:pPr>
      <w:bookmarkStart w:id="284" w:name="_Toc470855545"/>
      <w:r>
        <w:t>DIRECTIVA N° 004-2015/SBN</w:t>
      </w:r>
      <w:bookmarkEnd w:id="284"/>
    </w:p>
    <w:p w:rsidR="00D22235" w:rsidRPr="00FD044D" w:rsidRDefault="00FD044D" w:rsidP="00FD044D">
      <w:pPr>
        <w:jc w:val="center"/>
        <w:rPr>
          <w:b/>
          <w:lang w:val="es-ES"/>
        </w:rPr>
      </w:pPr>
      <w:r w:rsidRPr="00FD044D">
        <w:rPr>
          <w:b/>
          <w:lang w:val="es-ES"/>
        </w:rPr>
        <w:t>Directiva para la inscripción y transferencia de predios estatales requeridos para la ejecución de obras de infraestructura en el marco del Decreto Legislativo Nº 1192</w:t>
      </w:r>
    </w:p>
    <w:p w:rsidR="00D22235" w:rsidRPr="00D22235" w:rsidRDefault="00D22235" w:rsidP="00D22235">
      <w:pPr>
        <w:spacing w:after="0" w:line="240" w:lineRule="auto"/>
        <w:ind w:left="426" w:hanging="425"/>
        <w:jc w:val="both"/>
        <w:rPr>
          <w:rFonts w:ascii="Arial" w:hAnsi="Arial" w:cs="Arial"/>
          <w:b/>
          <w:lang w:val="es-ES"/>
        </w:rPr>
      </w:pPr>
      <w:r w:rsidRPr="00D22235">
        <w:rPr>
          <w:rFonts w:ascii="Arial" w:hAnsi="Arial" w:cs="Arial"/>
          <w:b/>
          <w:lang w:val="es-ES"/>
        </w:rPr>
        <w:t>I.</w:t>
      </w:r>
      <w:r w:rsidRPr="00D22235">
        <w:rPr>
          <w:rFonts w:ascii="Arial" w:hAnsi="Arial" w:cs="Arial"/>
          <w:b/>
          <w:lang w:val="es-ES"/>
        </w:rPr>
        <w:tab/>
        <w:t>FINALIDAD</w:t>
      </w:r>
    </w:p>
    <w:p w:rsidR="00D22235" w:rsidRPr="00D22235" w:rsidRDefault="00D22235" w:rsidP="00D22235">
      <w:pPr>
        <w:spacing w:after="0" w:line="240" w:lineRule="auto"/>
        <w:jc w:val="both"/>
        <w:rPr>
          <w:rFonts w:ascii="Arial" w:hAnsi="Arial" w:cs="Arial"/>
          <w:lang w:val="es-ES"/>
        </w:rPr>
      </w:pPr>
    </w:p>
    <w:p w:rsidR="00D22235" w:rsidRPr="00D22235" w:rsidRDefault="00D22235" w:rsidP="00D22235">
      <w:pPr>
        <w:spacing w:after="0" w:line="240" w:lineRule="auto"/>
        <w:ind w:left="426"/>
        <w:jc w:val="both"/>
        <w:rPr>
          <w:rFonts w:ascii="Arial" w:hAnsi="Arial" w:cs="Arial"/>
          <w:lang w:val="es-ES"/>
        </w:rPr>
      </w:pPr>
      <w:r w:rsidRPr="00D22235">
        <w:rPr>
          <w:rFonts w:ascii="Arial" w:hAnsi="Arial" w:cs="Arial"/>
          <w:lang w:val="es-ES"/>
        </w:rPr>
        <w:t>Establecer disposiciones para que la Superintendencia Nacional de Bienes Estatales - SBN transfiera de manera célere predios estatales a favor de la entidad pública del sector, gobierno regional o gobierno local o titular del proyecto de infraestructura, comprendidos en la Quinta Disposición Complementaria Final de la Ley Nº 30025, Ley que facilita la adquisición, expropiación y posesión de bienes inmuebles para obras de infraestructura y declara de necesidad pública la adquisición o expropiación de bienes inmuebles afectados para la ejecución de diversas obras de infraestructura, y sus modificatorias, en el marco de lo dispuesto por el artículo 41º del Decreto Legislativo Nº 1192, Decreto Legislativo que aprueba la ley marco de adquisición y expropiación de inmuebles, transferencia de inmuebles de propiedad del Estado, liberación de interferencias y dicta otras medidas para la ejecución de obras de infraestructura.</w:t>
      </w:r>
    </w:p>
    <w:p w:rsidR="00D22235" w:rsidRPr="00D22235" w:rsidRDefault="00D22235" w:rsidP="00D22235">
      <w:pPr>
        <w:spacing w:after="0" w:line="240" w:lineRule="auto"/>
        <w:jc w:val="both"/>
        <w:rPr>
          <w:rFonts w:ascii="Arial" w:hAnsi="Arial" w:cs="Arial"/>
          <w:lang w:val="es-ES"/>
        </w:rPr>
      </w:pPr>
    </w:p>
    <w:p w:rsidR="00D22235" w:rsidRPr="00D22235" w:rsidRDefault="00D22235" w:rsidP="00D22235">
      <w:pPr>
        <w:spacing w:after="0" w:line="240" w:lineRule="auto"/>
        <w:ind w:left="426" w:hanging="426"/>
        <w:jc w:val="both"/>
        <w:rPr>
          <w:rFonts w:ascii="Arial" w:hAnsi="Arial" w:cs="Arial"/>
          <w:b/>
          <w:lang w:val="es-ES"/>
        </w:rPr>
      </w:pPr>
      <w:r w:rsidRPr="00D22235">
        <w:rPr>
          <w:rFonts w:ascii="Arial" w:hAnsi="Arial" w:cs="Arial"/>
          <w:b/>
          <w:lang w:val="es-ES"/>
        </w:rPr>
        <w:t>II.</w:t>
      </w:r>
      <w:r w:rsidRPr="00D22235">
        <w:rPr>
          <w:rFonts w:ascii="Arial" w:hAnsi="Arial" w:cs="Arial"/>
          <w:b/>
          <w:lang w:val="es-ES"/>
        </w:rPr>
        <w:tab/>
        <w:t>OBJETIVO</w:t>
      </w:r>
    </w:p>
    <w:p w:rsidR="00D22235" w:rsidRPr="00D22235" w:rsidRDefault="00D22235" w:rsidP="00D22235">
      <w:pPr>
        <w:spacing w:after="0" w:line="240" w:lineRule="auto"/>
        <w:jc w:val="both"/>
        <w:rPr>
          <w:rFonts w:ascii="Arial" w:hAnsi="Arial" w:cs="Arial"/>
          <w:lang w:val="es-ES"/>
        </w:rPr>
      </w:pPr>
    </w:p>
    <w:p w:rsidR="00D22235" w:rsidRPr="00D22235" w:rsidRDefault="00D22235" w:rsidP="00D22235">
      <w:pPr>
        <w:spacing w:after="0" w:line="240" w:lineRule="auto"/>
        <w:ind w:left="426"/>
        <w:jc w:val="both"/>
        <w:rPr>
          <w:rFonts w:ascii="Arial" w:hAnsi="Arial" w:cs="Arial"/>
          <w:lang w:val="es-ES"/>
        </w:rPr>
      </w:pPr>
      <w:r w:rsidRPr="00D22235">
        <w:rPr>
          <w:rFonts w:ascii="Arial" w:hAnsi="Arial" w:cs="Arial"/>
          <w:lang w:val="es-ES"/>
        </w:rPr>
        <w:t>Regular el procedimiento para la inscripción y transferencia, a título gratuito, de los predios y/o edificaciones de propiedad estatal requeridos para la ejecución de obras de infraestructura, comprendidos en la Quinta Disposición Complementaria Final de la Ley Nº 30025 y su modificatorias, en el marco de lo establecido por el artículo 41º del Decreto Legislativo Nº 1192.</w:t>
      </w:r>
    </w:p>
    <w:p w:rsidR="00D22235" w:rsidRPr="00D22235" w:rsidRDefault="00D22235" w:rsidP="00D22235">
      <w:pPr>
        <w:spacing w:after="0" w:line="240" w:lineRule="auto"/>
        <w:jc w:val="both"/>
        <w:rPr>
          <w:rFonts w:ascii="Arial" w:hAnsi="Arial" w:cs="Arial"/>
          <w:lang w:val="es-ES"/>
        </w:rPr>
      </w:pPr>
    </w:p>
    <w:p w:rsidR="00D22235" w:rsidRPr="00D22235" w:rsidRDefault="00D22235" w:rsidP="00D22235">
      <w:pPr>
        <w:spacing w:after="0" w:line="240" w:lineRule="auto"/>
        <w:ind w:left="426" w:hanging="426"/>
        <w:jc w:val="both"/>
        <w:rPr>
          <w:rFonts w:ascii="Arial" w:hAnsi="Arial" w:cs="Arial"/>
          <w:b/>
          <w:lang w:val="es-ES"/>
        </w:rPr>
      </w:pPr>
      <w:r w:rsidRPr="00D22235">
        <w:rPr>
          <w:rFonts w:ascii="Arial" w:hAnsi="Arial" w:cs="Arial"/>
          <w:b/>
          <w:lang w:val="es-ES"/>
        </w:rPr>
        <w:t>III.</w:t>
      </w:r>
      <w:r w:rsidRPr="00D22235">
        <w:rPr>
          <w:rFonts w:ascii="Arial" w:hAnsi="Arial" w:cs="Arial"/>
          <w:b/>
          <w:lang w:val="es-ES"/>
        </w:rPr>
        <w:tab/>
        <w:t>ALCANCE</w:t>
      </w:r>
    </w:p>
    <w:p w:rsidR="00D22235" w:rsidRPr="00D22235" w:rsidRDefault="00D22235" w:rsidP="00D22235">
      <w:pPr>
        <w:spacing w:after="0" w:line="240" w:lineRule="auto"/>
        <w:jc w:val="both"/>
        <w:rPr>
          <w:rFonts w:ascii="Arial" w:hAnsi="Arial" w:cs="Arial"/>
          <w:lang w:val="es-ES"/>
        </w:rPr>
      </w:pPr>
    </w:p>
    <w:p w:rsidR="00D22235" w:rsidRPr="00D22235" w:rsidRDefault="00D22235" w:rsidP="00D22235">
      <w:pPr>
        <w:spacing w:after="0" w:line="240" w:lineRule="auto"/>
        <w:ind w:left="426"/>
        <w:jc w:val="both"/>
        <w:rPr>
          <w:rFonts w:ascii="Arial" w:hAnsi="Arial" w:cs="Arial"/>
          <w:lang w:val="es-ES"/>
        </w:rPr>
      </w:pPr>
      <w:r w:rsidRPr="00D22235">
        <w:rPr>
          <w:rFonts w:ascii="Arial" w:hAnsi="Arial" w:cs="Arial"/>
          <w:lang w:val="es-ES"/>
        </w:rPr>
        <w:t xml:space="preserve">Los procedimientos regulados por la presente directiva son ejecutados por la SBN por intermedio de la Subdirección de Desarrollo Inmobiliario (SDDI) y la Subdirección de Administración del Patrimonio Estatal (SDAPE) de la Dirección de Gestión del Patrimonio Estatal (DGPE). </w:t>
      </w:r>
    </w:p>
    <w:p w:rsidR="00D22235" w:rsidRPr="00D22235" w:rsidRDefault="00D22235" w:rsidP="00D22235">
      <w:pPr>
        <w:spacing w:after="0" w:line="240" w:lineRule="auto"/>
        <w:ind w:left="426"/>
        <w:jc w:val="both"/>
        <w:rPr>
          <w:rFonts w:ascii="Arial" w:hAnsi="Arial" w:cs="Arial"/>
          <w:lang w:val="es-ES"/>
        </w:rPr>
      </w:pPr>
    </w:p>
    <w:p w:rsidR="00D22235" w:rsidRPr="00D22235" w:rsidRDefault="00D22235" w:rsidP="00D22235">
      <w:pPr>
        <w:spacing w:after="0" w:line="240" w:lineRule="auto"/>
        <w:ind w:left="426"/>
        <w:jc w:val="both"/>
        <w:rPr>
          <w:rFonts w:ascii="Arial" w:hAnsi="Arial" w:cs="Arial"/>
          <w:lang w:val="es-ES"/>
        </w:rPr>
      </w:pPr>
      <w:r w:rsidRPr="00D22235">
        <w:rPr>
          <w:rFonts w:ascii="Arial" w:hAnsi="Arial" w:cs="Arial"/>
          <w:lang w:val="es-ES"/>
        </w:rPr>
        <w:t>Comprende los predios y/o edificaciones de dominio público y dominio privado que tienen como titular al Estado, independientemente del nivel de gobierno al que están adscritos, incluidas sus empresas, así como de la calidad de administrador, propietario o titular registral de quien los detenta, inscritos y no inscritos en el Registro de Predios, requeridos para la ejecución de obras de infraestructura comprendidas en la Quinta Disposición Complementaria Final de la Ley Nº 30025 y sus modificatorias, en el marco del artículo 41º del Decreto Legislativo Nº 1192.</w:t>
      </w:r>
    </w:p>
    <w:p w:rsidR="00D22235" w:rsidRPr="00D22235" w:rsidRDefault="00D22235" w:rsidP="00D22235">
      <w:pPr>
        <w:spacing w:after="0" w:line="240" w:lineRule="auto"/>
        <w:jc w:val="both"/>
        <w:rPr>
          <w:rFonts w:ascii="Arial" w:hAnsi="Arial" w:cs="Arial"/>
          <w:lang w:val="es-ES"/>
        </w:rPr>
      </w:pPr>
    </w:p>
    <w:p w:rsidR="00D22235" w:rsidRPr="00D22235" w:rsidRDefault="00D22235" w:rsidP="00D22235">
      <w:pPr>
        <w:spacing w:after="0" w:line="240" w:lineRule="auto"/>
        <w:ind w:left="426" w:hanging="426"/>
        <w:jc w:val="both"/>
        <w:rPr>
          <w:rFonts w:ascii="Arial" w:hAnsi="Arial" w:cs="Arial"/>
          <w:b/>
          <w:lang w:val="es-ES"/>
        </w:rPr>
      </w:pPr>
      <w:r w:rsidRPr="00D22235">
        <w:rPr>
          <w:rFonts w:ascii="Arial" w:hAnsi="Arial" w:cs="Arial"/>
          <w:b/>
          <w:lang w:val="es-ES"/>
        </w:rPr>
        <w:t>IV.</w:t>
      </w:r>
      <w:r w:rsidRPr="00D22235">
        <w:rPr>
          <w:rFonts w:ascii="Arial" w:hAnsi="Arial" w:cs="Arial"/>
          <w:b/>
          <w:lang w:val="es-ES"/>
        </w:rPr>
        <w:tab/>
        <w:t>BASE LEGAL</w:t>
      </w:r>
    </w:p>
    <w:p w:rsidR="00D22235" w:rsidRPr="00D22235" w:rsidRDefault="00D22235" w:rsidP="00D22235">
      <w:pPr>
        <w:spacing w:after="0" w:line="240" w:lineRule="auto"/>
        <w:jc w:val="both"/>
        <w:rPr>
          <w:rFonts w:ascii="Arial" w:hAnsi="Arial" w:cs="Arial"/>
          <w:lang w:val="es-ES"/>
        </w:rPr>
      </w:pPr>
    </w:p>
    <w:p w:rsidR="00D22235" w:rsidRPr="00D22235" w:rsidRDefault="00D22235" w:rsidP="0092471C">
      <w:pPr>
        <w:pStyle w:val="Prrafodelista"/>
        <w:numPr>
          <w:ilvl w:val="0"/>
          <w:numId w:val="264"/>
        </w:numPr>
        <w:spacing w:after="0" w:line="240" w:lineRule="auto"/>
        <w:jc w:val="both"/>
        <w:rPr>
          <w:rFonts w:ascii="Arial" w:hAnsi="Arial" w:cs="Arial"/>
          <w:lang w:val="es-ES"/>
        </w:rPr>
      </w:pPr>
      <w:r w:rsidRPr="00D22235">
        <w:rPr>
          <w:rFonts w:ascii="Arial" w:hAnsi="Arial" w:cs="Arial"/>
          <w:lang w:val="es-ES"/>
        </w:rPr>
        <w:t>La Quinta Disposición Complementaria Final de la Ley Nº 30025, Ley que facilita la adquisición, expropiación y posesión de bienes inmuebles para obras de infraestructura y declara de necesidad pública la adquisición o expropiación de bienes inmuebles afectados para la ejecución de diversas obras de infraestructura, y sus modificatorias.</w:t>
      </w:r>
    </w:p>
    <w:p w:rsidR="00D22235" w:rsidRPr="00D22235" w:rsidRDefault="00D22235" w:rsidP="00D22235">
      <w:pPr>
        <w:pStyle w:val="Prrafodelista"/>
        <w:spacing w:after="0" w:line="240" w:lineRule="auto"/>
        <w:jc w:val="both"/>
        <w:rPr>
          <w:rFonts w:ascii="Arial" w:hAnsi="Arial" w:cs="Arial"/>
          <w:lang w:val="es-ES"/>
        </w:rPr>
      </w:pPr>
    </w:p>
    <w:p w:rsidR="00D22235" w:rsidRPr="00D22235" w:rsidRDefault="00D22235" w:rsidP="0092471C">
      <w:pPr>
        <w:pStyle w:val="Prrafodelista"/>
        <w:numPr>
          <w:ilvl w:val="0"/>
          <w:numId w:val="264"/>
        </w:numPr>
        <w:spacing w:after="0" w:line="240" w:lineRule="auto"/>
        <w:jc w:val="both"/>
        <w:rPr>
          <w:rFonts w:ascii="Arial" w:hAnsi="Arial" w:cs="Arial"/>
          <w:lang w:val="es-ES"/>
        </w:rPr>
      </w:pPr>
      <w:r w:rsidRPr="00D22235">
        <w:rPr>
          <w:rFonts w:ascii="Arial" w:hAnsi="Arial" w:cs="Arial"/>
          <w:lang w:val="es-ES"/>
        </w:rPr>
        <w:t>El Decreto Legislativo N° 1192, Decreto Legislativo que aprueba la ley marco de adquisición y expropiación de inmuebles, transferencia de inmuebles de propiedad del Estado, liberación de interferencias y dicta otras medidas para la ejecución de obras de infraestructura.</w:t>
      </w:r>
    </w:p>
    <w:p w:rsidR="00D22235" w:rsidRPr="00D22235" w:rsidRDefault="00D22235" w:rsidP="00D22235">
      <w:pPr>
        <w:pStyle w:val="Prrafodelista"/>
        <w:spacing w:after="0" w:line="240" w:lineRule="auto"/>
        <w:jc w:val="both"/>
        <w:rPr>
          <w:rFonts w:ascii="Arial" w:hAnsi="Arial" w:cs="Arial"/>
          <w:lang w:val="es-ES"/>
        </w:rPr>
      </w:pPr>
    </w:p>
    <w:p w:rsidR="00D22235" w:rsidRPr="00D22235" w:rsidRDefault="00D22235" w:rsidP="0092471C">
      <w:pPr>
        <w:pStyle w:val="Prrafodelista"/>
        <w:numPr>
          <w:ilvl w:val="0"/>
          <w:numId w:val="264"/>
        </w:numPr>
        <w:spacing w:after="0" w:line="240" w:lineRule="auto"/>
        <w:jc w:val="both"/>
        <w:rPr>
          <w:rFonts w:ascii="Arial" w:hAnsi="Arial" w:cs="Arial"/>
          <w:lang w:val="es-ES"/>
        </w:rPr>
      </w:pPr>
      <w:r w:rsidRPr="00D22235">
        <w:rPr>
          <w:rFonts w:ascii="Arial" w:hAnsi="Arial" w:cs="Arial"/>
          <w:lang w:val="es-ES"/>
        </w:rPr>
        <w:t>La Ley Nº 29151, Ley General del Sistema Nacional de Bienes Estatales, y sus modificatorias.</w:t>
      </w:r>
    </w:p>
    <w:p w:rsidR="00D22235" w:rsidRPr="00D22235" w:rsidRDefault="00D22235" w:rsidP="00D22235">
      <w:pPr>
        <w:pStyle w:val="Prrafodelista"/>
        <w:spacing w:after="0" w:line="240" w:lineRule="auto"/>
        <w:jc w:val="both"/>
        <w:rPr>
          <w:rFonts w:ascii="Arial" w:hAnsi="Arial" w:cs="Arial"/>
          <w:lang w:val="es-ES"/>
        </w:rPr>
      </w:pPr>
    </w:p>
    <w:p w:rsidR="00D22235" w:rsidRPr="00D22235" w:rsidRDefault="00D22235" w:rsidP="0092471C">
      <w:pPr>
        <w:pStyle w:val="Prrafodelista"/>
        <w:numPr>
          <w:ilvl w:val="0"/>
          <w:numId w:val="264"/>
        </w:numPr>
        <w:spacing w:after="0" w:line="240" w:lineRule="auto"/>
        <w:jc w:val="both"/>
        <w:rPr>
          <w:rFonts w:ascii="Arial" w:hAnsi="Arial" w:cs="Arial"/>
          <w:lang w:val="es-ES"/>
        </w:rPr>
      </w:pPr>
      <w:r w:rsidRPr="00D22235">
        <w:rPr>
          <w:rFonts w:ascii="Arial" w:hAnsi="Arial" w:cs="Arial"/>
          <w:lang w:val="es-ES"/>
        </w:rPr>
        <w:t>La Ley Nº 26856, Declaran que las playas del litoral son bienes de uso público, inalienables e imprescriptibles y establecen zona de dominio restringido.</w:t>
      </w:r>
    </w:p>
    <w:p w:rsidR="00D22235" w:rsidRPr="00D22235" w:rsidRDefault="00D22235" w:rsidP="00D22235">
      <w:pPr>
        <w:pStyle w:val="Prrafodelista"/>
        <w:spacing w:after="0" w:line="240" w:lineRule="auto"/>
        <w:jc w:val="both"/>
        <w:rPr>
          <w:rFonts w:ascii="Arial" w:hAnsi="Arial" w:cs="Arial"/>
          <w:lang w:val="es-ES"/>
        </w:rPr>
      </w:pPr>
    </w:p>
    <w:p w:rsidR="00D22235" w:rsidRPr="00D22235" w:rsidRDefault="00D22235" w:rsidP="0092471C">
      <w:pPr>
        <w:pStyle w:val="Prrafodelista"/>
        <w:numPr>
          <w:ilvl w:val="0"/>
          <w:numId w:val="264"/>
        </w:numPr>
        <w:spacing w:after="0" w:line="240" w:lineRule="auto"/>
        <w:jc w:val="both"/>
        <w:rPr>
          <w:rFonts w:ascii="Arial" w:hAnsi="Arial" w:cs="Arial"/>
          <w:lang w:val="es-ES"/>
        </w:rPr>
      </w:pPr>
      <w:r w:rsidRPr="00D22235">
        <w:rPr>
          <w:rFonts w:ascii="Arial" w:hAnsi="Arial" w:cs="Arial"/>
          <w:lang w:val="es-ES"/>
        </w:rPr>
        <w:t>La Ley Nº 29618, Ley que establece la presunción de que el Estado es poseedor de los inmuebles de su propiedad y declara imprescriptibles los bienes inmuebles de dominio privado estatal.</w:t>
      </w:r>
    </w:p>
    <w:p w:rsidR="00D22235" w:rsidRPr="00D22235" w:rsidRDefault="00D22235" w:rsidP="00D22235">
      <w:pPr>
        <w:pStyle w:val="Prrafodelista"/>
        <w:spacing w:after="0" w:line="240" w:lineRule="auto"/>
        <w:jc w:val="both"/>
        <w:rPr>
          <w:rFonts w:ascii="Arial" w:hAnsi="Arial" w:cs="Arial"/>
          <w:lang w:val="es-ES"/>
        </w:rPr>
      </w:pPr>
    </w:p>
    <w:p w:rsidR="00D22235" w:rsidRPr="00D22235" w:rsidRDefault="00D22235" w:rsidP="0092471C">
      <w:pPr>
        <w:pStyle w:val="Prrafodelista"/>
        <w:numPr>
          <w:ilvl w:val="0"/>
          <w:numId w:val="264"/>
        </w:numPr>
        <w:spacing w:after="0" w:line="240" w:lineRule="auto"/>
        <w:jc w:val="both"/>
        <w:rPr>
          <w:rFonts w:ascii="Arial" w:hAnsi="Arial" w:cs="Arial"/>
          <w:lang w:val="es-ES"/>
        </w:rPr>
      </w:pPr>
      <w:r w:rsidRPr="00D22235">
        <w:rPr>
          <w:rFonts w:ascii="Arial" w:hAnsi="Arial" w:cs="Arial"/>
          <w:lang w:val="es-ES"/>
        </w:rPr>
        <w:t>La Ley Nº 27444, Ley del Procedimiento Administrativo General.</w:t>
      </w:r>
    </w:p>
    <w:p w:rsidR="00D22235" w:rsidRPr="00D22235" w:rsidRDefault="00D22235" w:rsidP="00D22235">
      <w:pPr>
        <w:pStyle w:val="Prrafodelista"/>
        <w:spacing w:after="0" w:line="240" w:lineRule="auto"/>
        <w:jc w:val="both"/>
        <w:rPr>
          <w:rFonts w:ascii="Arial" w:hAnsi="Arial" w:cs="Arial"/>
          <w:lang w:val="es-ES"/>
        </w:rPr>
      </w:pPr>
    </w:p>
    <w:p w:rsidR="00D22235" w:rsidRPr="00D22235" w:rsidRDefault="00D22235" w:rsidP="0092471C">
      <w:pPr>
        <w:pStyle w:val="Prrafodelista"/>
        <w:numPr>
          <w:ilvl w:val="0"/>
          <w:numId w:val="264"/>
        </w:numPr>
        <w:spacing w:after="0" w:line="240" w:lineRule="auto"/>
        <w:jc w:val="both"/>
        <w:rPr>
          <w:rFonts w:ascii="Arial" w:hAnsi="Arial" w:cs="Arial"/>
          <w:lang w:val="es-ES"/>
        </w:rPr>
      </w:pPr>
      <w:r w:rsidRPr="00D22235">
        <w:rPr>
          <w:rFonts w:ascii="Arial" w:hAnsi="Arial" w:cs="Arial"/>
          <w:lang w:val="es-ES"/>
        </w:rPr>
        <w:t>El Decreto Supremo Nº 007-2008-VIVIENDA, que aprueba el Reglamento de la Ley Nº 29151, Ley General del Sistema Nacional de Bienes Estatales, y sus modificatorias.</w:t>
      </w:r>
    </w:p>
    <w:p w:rsidR="00D22235" w:rsidRPr="00D22235" w:rsidRDefault="00D22235" w:rsidP="00D22235">
      <w:pPr>
        <w:pStyle w:val="Prrafodelista"/>
        <w:spacing w:after="0" w:line="240" w:lineRule="auto"/>
        <w:jc w:val="both"/>
        <w:rPr>
          <w:rFonts w:ascii="Arial" w:hAnsi="Arial" w:cs="Arial"/>
          <w:lang w:val="es-ES"/>
        </w:rPr>
      </w:pPr>
    </w:p>
    <w:p w:rsidR="00D22235" w:rsidRPr="00D22235" w:rsidRDefault="00D22235" w:rsidP="0092471C">
      <w:pPr>
        <w:pStyle w:val="Prrafodelista"/>
        <w:numPr>
          <w:ilvl w:val="0"/>
          <w:numId w:val="264"/>
        </w:numPr>
        <w:spacing w:after="0" w:line="240" w:lineRule="auto"/>
        <w:jc w:val="both"/>
        <w:rPr>
          <w:rFonts w:ascii="Arial" w:hAnsi="Arial" w:cs="Arial"/>
          <w:lang w:val="es-ES"/>
        </w:rPr>
      </w:pPr>
      <w:r w:rsidRPr="00D22235">
        <w:rPr>
          <w:rFonts w:ascii="Arial" w:hAnsi="Arial" w:cs="Arial"/>
          <w:lang w:val="es-ES"/>
        </w:rPr>
        <w:t xml:space="preserve">El Decreto Supremo Nº 050-2006-EF, que aprueba el Reglamento de la Ley Nº 26856, que declara que las playas son bienes de uso público, inalienables e imprescriptibles y establece la zona de dominio restringido. </w:t>
      </w:r>
    </w:p>
    <w:p w:rsidR="00D22235" w:rsidRPr="00D22235" w:rsidRDefault="00D22235" w:rsidP="00D22235">
      <w:pPr>
        <w:pStyle w:val="Prrafodelista"/>
        <w:spacing w:after="0" w:line="240" w:lineRule="auto"/>
        <w:jc w:val="both"/>
        <w:rPr>
          <w:rFonts w:ascii="Arial" w:hAnsi="Arial" w:cs="Arial"/>
          <w:lang w:val="es-ES"/>
        </w:rPr>
      </w:pPr>
    </w:p>
    <w:p w:rsidR="00D22235" w:rsidRPr="00D22235" w:rsidRDefault="00D22235" w:rsidP="0092471C">
      <w:pPr>
        <w:pStyle w:val="Prrafodelista"/>
        <w:numPr>
          <w:ilvl w:val="0"/>
          <w:numId w:val="264"/>
        </w:numPr>
        <w:spacing w:after="0" w:line="240" w:lineRule="auto"/>
        <w:jc w:val="both"/>
        <w:rPr>
          <w:rFonts w:ascii="Arial" w:hAnsi="Arial" w:cs="Arial"/>
          <w:lang w:val="es-ES"/>
        </w:rPr>
      </w:pPr>
      <w:r w:rsidRPr="00D22235">
        <w:rPr>
          <w:rFonts w:ascii="Arial" w:hAnsi="Arial" w:cs="Arial"/>
          <w:lang w:val="es-ES"/>
        </w:rPr>
        <w:t>Decreto Supremo Nº 016-2010-VIVIENDA, que aprueba el Reglamento de Organización y Funciones de la Superintendencia Nacional de Bienes Estatales - SBN.</w:t>
      </w:r>
    </w:p>
    <w:p w:rsidR="00D22235" w:rsidRPr="00D22235" w:rsidRDefault="00D22235" w:rsidP="00D22235">
      <w:pPr>
        <w:spacing w:after="0" w:line="240" w:lineRule="auto"/>
        <w:jc w:val="both"/>
        <w:rPr>
          <w:rFonts w:ascii="Arial" w:hAnsi="Arial" w:cs="Arial"/>
          <w:lang w:val="es-ES"/>
        </w:rPr>
      </w:pPr>
    </w:p>
    <w:p w:rsidR="00DB1DCC" w:rsidRPr="00DE310B" w:rsidRDefault="00DB1DCC" w:rsidP="00DE310B">
      <w:pPr>
        <w:ind w:left="709" w:hanging="425"/>
        <w:rPr>
          <w:rFonts w:ascii="Arial" w:hAnsi="Arial" w:cs="Arial"/>
        </w:rPr>
      </w:pPr>
      <w:bookmarkStart w:id="285" w:name="_Toc459382683"/>
      <w:r w:rsidRPr="00DE310B">
        <w:rPr>
          <w:rFonts w:ascii="Arial" w:hAnsi="Arial" w:cs="Arial"/>
        </w:rPr>
        <w:t xml:space="preserve">- </w:t>
      </w:r>
      <w:r w:rsidRPr="00DE310B">
        <w:rPr>
          <w:rFonts w:ascii="Arial" w:hAnsi="Arial" w:cs="Arial"/>
        </w:rPr>
        <w:tab/>
        <w:t>El Decreto Supremo Nº 011-2013-VIVIENDA, que reglamenta los procedimientos especiales de saneamiento físico-legal y reglas para la inscripción de transferencias y modificaciones físicas de predios sujetos a trato directo o expropiación y aprueba otras dispo</w:t>
      </w:r>
      <w:r w:rsidR="00FD044D" w:rsidRPr="00DE310B">
        <w:rPr>
          <w:rFonts w:ascii="Arial" w:hAnsi="Arial" w:cs="Arial"/>
        </w:rPr>
        <w:t>siciones, y sus modificatorias. (*)</w:t>
      </w:r>
      <w:bookmarkEnd w:id="285"/>
    </w:p>
    <w:p w:rsidR="00FD044D" w:rsidRPr="006312E8" w:rsidRDefault="00FD044D" w:rsidP="00FD044D">
      <w:pPr>
        <w:spacing w:after="0" w:line="240" w:lineRule="auto"/>
        <w:jc w:val="both"/>
        <w:rPr>
          <w:rFonts w:ascii="Arial" w:eastAsia="Calibri" w:hAnsi="Arial" w:cs="Arial"/>
          <w:b/>
          <w:color w:val="FF0000"/>
          <w:sz w:val="16"/>
          <w:szCs w:val="16"/>
          <w:lang w:val="es-ES"/>
        </w:rPr>
      </w:pPr>
      <w:r>
        <w:rPr>
          <w:b/>
        </w:rPr>
        <w:tab/>
      </w:r>
      <w:r>
        <w:rPr>
          <w:rFonts w:ascii="Arial" w:eastAsia="Calibri" w:hAnsi="Arial" w:cs="Arial"/>
          <w:b/>
          <w:color w:val="FF0000"/>
          <w:sz w:val="16"/>
          <w:szCs w:val="16"/>
          <w:lang w:val="es-ES"/>
        </w:rPr>
        <w:t>(*) Incorporado</w:t>
      </w:r>
      <w:r w:rsidR="007216B0">
        <w:rPr>
          <w:rFonts w:ascii="Arial" w:eastAsia="Calibri" w:hAnsi="Arial" w:cs="Arial"/>
          <w:b/>
          <w:color w:val="FF0000"/>
          <w:sz w:val="16"/>
          <w:szCs w:val="16"/>
          <w:lang w:val="es-ES"/>
        </w:rPr>
        <w:t xml:space="preserve"> por el a</w:t>
      </w:r>
      <w:r w:rsidRPr="006312E8">
        <w:rPr>
          <w:rFonts w:ascii="Arial" w:eastAsia="Calibri" w:hAnsi="Arial" w:cs="Arial"/>
          <w:b/>
          <w:color w:val="FF0000"/>
          <w:sz w:val="16"/>
          <w:szCs w:val="16"/>
          <w:lang w:val="es-ES"/>
        </w:rPr>
        <w:t xml:space="preserve">rtículo </w:t>
      </w:r>
      <w:r>
        <w:rPr>
          <w:rFonts w:ascii="Arial" w:eastAsia="Calibri" w:hAnsi="Arial" w:cs="Arial"/>
          <w:b/>
          <w:color w:val="FF0000"/>
          <w:sz w:val="16"/>
          <w:szCs w:val="16"/>
          <w:lang w:val="es-ES"/>
        </w:rPr>
        <w:t>1</w:t>
      </w:r>
      <w:r w:rsidRPr="006312E8">
        <w:rPr>
          <w:rFonts w:ascii="Arial" w:eastAsia="Calibri" w:hAnsi="Arial" w:cs="Arial"/>
          <w:b/>
          <w:color w:val="FF0000"/>
          <w:sz w:val="16"/>
          <w:szCs w:val="16"/>
          <w:lang w:val="es-ES"/>
        </w:rPr>
        <w:t xml:space="preserve"> de la </w:t>
      </w:r>
      <w:r w:rsidR="007216B0" w:rsidRPr="006312E8">
        <w:rPr>
          <w:rFonts w:ascii="Arial" w:eastAsia="Calibri" w:hAnsi="Arial" w:cs="Arial"/>
          <w:b/>
          <w:color w:val="FF0000"/>
          <w:sz w:val="16"/>
          <w:szCs w:val="16"/>
          <w:lang w:val="es-ES"/>
        </w:rPr>
        <w:t>Resolución N</w:t>
      </w:r>
      <w:r w:rsidRPr="006312E8">
        <w:rPr>
          <w:rFonts w:ascii="Arial" w:eastAsia="Calibri" w:hAnsi="Arial" w:cs="Arial"/>
          <w:b/>
          <w:color w:val="FF0000"/>
          <w:sz w:val="16"/>
          <w:szCs w:val="16"/>
          <w:lang w:val="es-ES"/>
        </w:rPr>
        <w:t xml:space="preserve">º </w:t>
      </w:r>
      <w:r>
        <w:rPr>
          <w:rFonts w:ascii="Arial" w:eastAsia="Calibri" w:hAnsi="Arial" w:cs="Arial"/>
          <w:b/>
          <w:color w:val="FF0000"/>
          <w:sz w:val="16"/>
          <w:szCs w:val="16"/>
          <w:lang w:val="es-ES"/>
        </w:rPr>
        <w:t>032</w:t>
      </w:r>
      <w:r w:rsidRPr="006312E8">
        <w:rPr>
          <w:rFonts w:ascii="Arial" w:eastAsia="Calibri" w:hAnsi="Arial" w:cs="Arial"/>
          <w:b/>
          <w:color w:val="FF0000"/>
          <w:sz w:val="16"/>
          <w:szCs w:val="16"/>
          <w:lang w:val="es-ES"/>
        </w:rPr>
        <w:t>-201</w:t>
      </w:r>
      <w:r>
        <w:rPr>
          <w:rFonts w:ascii="Arial" w:eastAsia="Calibri" w:hAnsi="Arial" w:cs="Arial"/>
          <w:b/>
          <w:color w:val="FF0000"/>
          <w:sz w:val="16"/>
          <w:szCs w:val="16"/>
          <w:lang w:val="es-ES"/>
        </w:rPr>
        <w:t>6</w:t>
      </w:r>
      <w:r w:rsidRPr="006312E8">
        <w:rPr>
          <w:rFonts w:ascii="Arial" w:eastAsia="Calibri" w:hAnsi="Arial" w:cs="Arial"/>
          <w:b/>
          <w:color w:val="FF0000"/>
          <w:sz w:val="16"/>
          <w:szCs w:val="16"/>
          <w:lang w:val="es-ES"/>
        </w:rPr>
        <w:t xml:space="preserve">-SBN, publicada el </w:t>
      </w:r>
      <w:r>
        <w:rPr>
          <w:rFonts w:ascii="Arial" w:eastAsia="Calibri" w:hAnsi="Arial" w:cs="Arial"/>
          <w:b/>
          <w:color w:val="FF0000"/>
          <w:sz w:val="16"/>
          <w:szCs w:val="16"/>
          <w:lang w:val="es-ES"/>
        </w:rPr>
        <w:t>03 abril de</w:t>
      </w:r>
      <w:r w:rsidRPr="006312E8">
        <w:rPr>
          <w:rFonts w:ascii="Arial" w:eastAsia="Calibri" w:hAnsi="Arial" w:cs="Arial"/>
          <w:b/>
          <w:color w:val="FF0000"/>
          <w:sz w:val="16"/>
          <w:szCs w:val="16"/>
          <w:lang w:val="es-ES"/>
        </w:rPr>
        <w:t xml:space="preserve"> 201</w:t>
      </w:r>
      <w:r>
        <w:rPr>
          <w:rFonts w:ascii="Arial" w:eastAsia="Calibri" w:hAnsi="Arial" w:cs="Arial"/>
          <w:b/>
          <w:color w:val="FF0000"/>
          <w:sz w:val="16"/>
          <w:szCs w:val="16"/>
          <w:lang w:val="es-ES"/>
        </w:rPr>
        <w:t>6</w:t>
      </w:r>
      <w:r w:rsidRPr="006312E8">
        <w:rPr>
          <w:rFonts w:ascii="Arial" w:eastAsia="Calibri" w:hAnsi="Arial" w:cs="Arial"/>
          <w:b/>
          <w:color w:val="FF0000"/>
          <w:sz w:val="16"/>
          <w:szCs w:val="16"/>
          <w:lang w:val="es-ES"/>
        </w:rPr>
        <w:t>.</w:t>
      </w:r>
    </w:p>
    <w:p w:rsidR="00FD044D" w:rsidRPr="00177338" w:rsidRDefault="00FD044D" w:rsidP="00DB1DCC">
      <w:pPr>
        <w:pStyle w:val="TITO2"/>
        <w:ind w:left="709" w:hanging="425"/>
        <w:jc w:val="both"/>
        <w:rPr>
          <w:b w:val="0"/>
          <w:sz w:val="22"/>
          <w:szCs w:val="22"/>
        </w:rPr>
      </w:pPr>
    </w:p>
    <w:p w:rsidR="00D22235" w:rsidRPr="00D22235" w:rsidRDefault="00D22235" w:rsidP="00D22235">
      <w:pPr>
        <w:spacing w:after="0" w:line="240" w:lineRule="auto"/>
        <w:ind w:left="426" w:hanging="426"/>
        <w:jc w:val="both"/>
        <w:rPr>
          <w:rFonts w:ascii="Arial" w:hAnsi="Arial" w:cs="Arial"/>
          <w:b/>
          <w:lang w:val="es-ES"/>
        </w:rPr>
      </w:pPr>
      <w:r w:rsidRPr="00D22235">
        <w:rPr>
          <w:rFonts w:ascii="Arial" w:hAnsi="Arial" w:cs="Arial"/>
          <w:b/>
          <w:lang w:val="es-ES"/>
        </w:rPr>
        <w:t>V.</w:t>
      </w:r>
      <w:r w:rsidRPr="00D22235">
        <w:rPr>
          <w:rFonts w:ascii="Arial" w:hAnsi="Arial" w:cs="Arial"/>
          <w:b/>
          <w:lang w:val="es-ES"/>
        </w:rPr>
        <w:tab/>
        <w:t>DISPOSICIONES GENERALES</w:t>
      </w:r>
    </w:p>
    <w:p w:rsidR="00D22235" w:rsidRPr="00D22235" w:rsidRDefault="00D22235" w:rsidP="00D22235">
      <w:pPr>
        <w:spacing w:after="0" w:line="240" w:lineRule="auto"/>
        <w:jc w:val="both"/>
        <w:rPr>
          <w:rFonts w:ascii="Arial" w:hAnsi="Arial" w:cs="Arial"/>
          <w:lang w:val="es-ES"/>
        </w:rPr>
      </w:pPr>
    </w:p>
    <w:p w:rsidR="00D22235" w:rsidRPr="00D22235" w:rsidRDefault="00D22235" w:rsidP="00D22235">
      <w:pPr>
        <w:spacing w:after="0" w:line="240" w:lineRule="auto"/>
        <w:ind w:left="993" w:hanging="567"/>
        <w:jc w:val="both"/>
        <w:rPr>
          <w:rFonts w:ascii="Arial" w:hAnsi="Arial" w:cs="Arial"/>
          <w:lang w:val="es-ES"/>
        </w:rPr>
      </w:pPr>
      <w:r w:rsidRPr="00D22235">
        <w:rPr>
          <w:rFonts w:ascii="Arial" w:hAnsi="Arial" w:cs="Arial"/>
          <w:lang w:val="es-ES"/>
        </w:rPr>
        <w:t>5.1</w:t>
      </w:r>
      <w:r w:rsidRPr="00D22235">
        <w:rPr>
          <w:rFonts w:ascii="Arial" w:hAnsi="Arial" w:cs="Arial"/>
          <w:lang w:val="es-ES"/>
        </w:rPr>
        <w:tab/>
        <w:t>Los procedimientos a cargo de la SBN se inician a solicitud del representante legal de la entidad pública del sector, gobierno regional, gobierno local o  titular del proyecto de infraestructura, en adelante “el solicitante”.</w:t>
      </w:r>
    </w:p>
    <w:p w:rsidR="00D22235" w:rsidRPr="00D22235" w:rsidRDefault="00D22235" w:rsidP="00D22235">
      <w:pPr>
        <w:spacing w:after="0" w:line="240" w:lineRule="auto"/>
        <w:ind w:left="993" w:hanging="567"/>
        <w:jc w:val="both"/>
        <w:rPr>
          <w:rFonts w:ascii="Arial" w:hAnsi="Arial" w:cs="Arial"/>
          <w:lang w:val="es-ES"/>
        </w:rPr>
      </w:pPr>
    </w:p>
    <w:p w:rsidR="00D22235" w:rsidRPr="00D22235" w:rsidRDefault="00D22235" w:rsidP="00D22235">
      <w:pPr>
        <w:spacing w:after="0" w:line="240" w:lineRule="auto"/>
        <w:ind w:left="993" w:hanging="567"/>
        <w:jc w:val="both"/>
        <w:rPr>
          <w:rFonts w:ascii="Arial" w:hAnsi="Arial" w:cs="Arial"/>
          <w:lang w:val="es-ES"/>
        </w:rPr>
      </w:pPr>
      <w:r w:rsidRPr="00D22235">
        <w:rPr>
          <w:rFonts w:ascii="Arial" w:hAnsi="Arial" w:cs="Arial"/>
          <w:lang w:val="es-ES"/>
        </w:rPr>
        <w:t>5.2</w:t>
      </w:r>
      <w:r w:rsidRPr="00D22235">
        <w:rPr>
          <w:rFonts w:ascii="Arial" w:hAnsi="Arial" w:cs="Arial"/>
          <w:lang w:val="es-ES"/>
        </w:rPr>
        <w:tab/>
        <w:t>Tratándose de un procedimiento integral para poner a disposición terrenos estatales a favor de una entidad pública del sector, gobierno regional o gobierno local o titular del proyecto, a que se refiere la ley, con el fin de ejecutar obras de infraestructura declaradas por ley como de necesidad pública, interés nacional, seguridad nacional y/o de gran envergadura, se asignan funciones a la SDDI y la SDAPE para el desarrollo de los procedimientos, de la siguiente manera:</w:t>
      </w:r>
    </w:p>
    <w:p w:rsidR="00D22235" w:rsidRPr="00D22235" w:rsidRDefault="00D22235" w:rsidP="00D22235">
      <w:pPr>
        <w:spacing w:after="0" w:line="240" w:lineRule="auto"/>
        <w:jc w:val="both"/>
        <w:rPr>
          <w:rFonts w:ascii="Arial" w:hAnsi="Arial" w:cs="Arial"/>
          <w:lang w:val="es-ES"/>
        </w:rPr>
      </w:pPr>
    </w:p>
    <w:p w:rsidR="00D22235" w:rsidRPr="00D22235" w:rsidRDefault="00D22235" w:rsidP="00D22235">
      <w:pPr>
        <w:spacing w:after="0" w:line="240" w:lineRule="auto"/>
        <w:ind w:left="993"/>
        <w:jc w:val="both"/>
        <w:rPr>
          <w:rFonts w:ascii="Arial" w:hAnsi="Arial" w:cs="Arial"/>
          <w:lang w:val="es-ES"/>
        </w:rPr>
      </w:pPr>
      <w:r w:rsidRPr="00D22235">
        <w:rPr>
          <w:rFonts w:ascii="Arial" w:hAnsi="Arial" w:cs="Arial"/>
          <w:lang w:val="es-ES"/>
        </w:rPr>
        <w:t>•</w:t>
      </w:r>
      <w:r w:rsidRPr="00D22235">
        <w:rPr>
          <w:rFonts w:ascii="Arial" w:hAnsi="Arial" w:cs="Arial"/>
          <w:lang w:val="es-ES"/>
        </w:rPr>
        <w:tab/>
        <w:t>Primera inscripción de dominio de predios del Estado, a cargo de la SDAPE.</w:t>
      </w:r>
    </w:p>
    <w:p w:rsidR="00D22235" w:rsidRPr="00D22235" w:rsidRDefault="00D22235" w:rsidP="00D22235">
      <w:pPr>
        <w:spacing w:after="0" w:line="240" w:lineRule="auto"/>
        <w:ind w:left="993"/>
        <w:jc w:val="both"/>
        <w:rPr>
          <w:rFonts w:ascii="Arial" w:hAnsi="Arial" w:cs="Arial"/>
          <w:lang w:val="es-ES"/>
        </w:rPr>
      </w:pPr>
    </w:p>
    <w:p w:rsidR="00D22235" w:rsidRPr="00D22235" w:rsidRDefault="00D22235" w:rsidP="00D22235">
      <w:pPr>
        <w:spacing w:after="0" w:line="240" w:lineRule="auto"/>
        <w:ind w:left="993"/>
        <w:jc w:val="both"/>
        <w:rPr>
          <w:rFonts w:ascii="Arial" w:hAnsi="Arial" w:cs="Arial"/>
          <w:lang w:val="es-ES"/>
        </w:rPr>
      </w:pPr>
      <w:r w:rsidRPr="00D22235">
        <w:rPr>
          <w:rFonts w:ascii="Arial" w:hAnsi="Arial" w:cs="Arial"/>
          <w:lang w:val="es-ES"/>
        </w:rPr>
        <w:t>•</w:t>
      </w:r>
      <w:r w:rsidRPr="00D22235">
        <w:rPr>
          <w:rFonts w:ascii="Arial" w:hAnsi="Arial" w:cs="Arial"/>
          <w:lang w:val="es-ES"/>
        </w:rPr>
        <w:tab/>
        <w:t>Transferencia de inmuebles inscritos de propiedad estatal, a cargo de la SDDI.</w:t>
      </w:r>
    </w:p>
    <w:p w:rsidR="00D22235" w:rsidRPr="00D22235" w:rsidRDefault="00D22235" w:rsidP="00D22235">
      <w:pPr>
        <w:spacing w:after="0" w:line="240" w:lineRule="auto"/>
        <w:ind w:left="993"/>
        <w:jc w:val="both"/>
        <w:rPr>
          <w:rFonts w:ascii="Arial" w:hAnsi="Arial" w:cs="Arial"/>
          <w:lang w:val="es-ES"/>
        </w:rPr>
      </w:pPr>
    </w:p>
    <w:p w:rsidR="00D22235" w:rsidRPr="00D22235" w:rsidRDefault="00D22235" w:rsidP="00D22235">
      <w:pPr>
        <w:spacing w:after="0" w:line="240" w:lineRule="auto"/>
        <w:ind w:left="993"/>
        <w:jc w:val="both"/>
        <w:rPr>
          <w:rFonts w:ascii="Arial" w:hAnsi="Arial" w:cs="Arial"/>
          <w:lang w:val="es-ES"/>
        </w:rPr>
      </w:pPr>
      <w:r w:rsidRPr="00D22235">
        <w:rPr>
          <w:rFonts w:ascii="Arial" w:hAnsi="Arial" w:cs="Arial"/>
          <w:lang w:val="es-ES"/>
        </w:rPr>
        <w:t>•</w:t>
      </w:r>
      <w:r w:rsidRPr="00D22235">
        <w:rPr>
          <w:rFonts w:ascii="Arial" w:hAnsi="Arial" w:cs="Arial"/>
          <w:lang w:val="es-ES"/>
        </w:rPr>
        <w:tab/>
        <w:t>Extinción de la afectación en uso, a cargo de la SDDI.</w:t>
      </w:r>
    </w:p>
    <w:p w:rsidR="00D22235" w:rsidRPr="00D22235" w:rsidRDefault="00D22235" w:rsidP="00D22235">
      <w:pPr>
        <w:spacing w:after="0" w:line="240" w:lineRule="auto"/>
        <w:ind w:left="993"/>
        <w:jc w:val="both"/>
        <w:rPr>
          <w:rFonts w:ascii="Arial" w:hAnsi="Arial" w:cs="Arial"/>
          <w:lang w:val="es-ES"/>
        </w:rPr>
      </w:pPr>
    </w:p>
    <w:p w:rsidR="00D22235" w:rsidRPr="00D22235" w:rsidRDefault="00D22235" w:rsidP="00D22235">
      <w:pPr>
        <w:spacing w:after="0" w:line="240" w:lineRule="auto"/>
        <w:ind w:left="993"/>
        <w:jc w:val="both"/>
        <w:rPr>
          <w:rFonts w:ascii="Arial" w:hAnsi="Arial" w:cs="Arial"/>
          <w:lang w:val="es-ES"/>
        </w:rPr>
      </w:pPr>
      <w:r w:rsidRPr="00D22235">
        <w:rPr>
          <w:rFonts w:ascii="Arial" w:hAnsi="Arial" w:cs="Arial"/>
          <w:lang w:val="es-ES"/>
        </w:rPr>
        <w:t>•</w:t>
      </w:r>
      <w:r w:rsidRPr="00D22235">
        <w:rPr>
          <w:rFonts w:ascii="Arial" w:hAnsi="Arial" w:cs="Arial"/>
          <w:lang w:val="es-ES"/>
        </w:rPr>
        <w:tab/>
        <w:t>Desafectación de bienes de dominio público, a cargo de la SDDI.</w:t>
      </w:r>
    </w:p>
    <w:p w:rsidR="00D22235" w:rsidRPr="00D22235" w:rsidRDefault="00D22235" w:rsidP="00D22235">
      <w:pPr>
        <w:spacing w:after="0" w:line="240" w:lineRule="auto"/>
        <w:ind w:left="993"/>
        <w:jc w:val="both"/>
        <w:rPr>
          <w:rFonts w:ascii="Arial" w:hAnsi="Arial" w:cs="Arial"/>
          <w:lang w:val="es-ES"/>
        </w:rPr>
      </w:pPr>
    </w:p>
    <w:p w:rsidR="00D22235" w:rsidRPr="00D22235" w:rsidRDefault="00D22235" w:rsidP="00D22235">
      <w:pPr>
        <w:spacing w:after="0" w:line="240" w:lineRule="auto"/>
        <w:ind w:left="993"/>
        <w:jc w:val="both"/>
        <w:rPr>
          <w:rFonts w:ascii="Arial" w:hAnsi="Arial" w:cs="Arial"/>
          <w:lang w:val="es-ES"/>
        </w:rPr>
      </w:pPr>
      <w:r w:rsidRPr="00D22235">
        <w:rPr>
          <w:rFonts w:ascii="Arial" w:hAnsi="Arial" w:cs="Arial"/>
          <w:lang w:val="es-ES"/>
        </w:rPr>
        <w:t>•</w:t>
      </w:r>
      <w:r w:rsidRPr="00D22235">
        <w:rPr>
          <w:rFonts w:ascii="Arial" w:hAnsi="Arial" w:cs="Arial"/>
          <w:lang w:val="es-ES"/>
        </w:rPr>
        <w:tab/>
        <w:t>Reasignación de bienes de dominio público, a cargo de la SDDI.</w:t>
      </w:r>
    </w:p>
    <w:p w:rsidR="00D22235" w:rsidRPr="00D22235" w:rsidRDefault="00D22235" w:rsidP="00D22235">
      <w:pPr>
        <w:spacing w:after="0" w:line="240" w:lineRule="auto"/>
        <w:jc w:val="both"/>
        <w:rPr>
          <w:rFonts w:ascii="Arial" w:hAnsi="Arial" w:cs="Arial"/>
          <w:lang w:val="es-ES"/>
        </w:rPr>
      </w:pPr>
    </w:p>
    <w:p w:rsidR="00D22235" w:rsidRPr="00D22235" w:rsidRDefault="00D22235" w:rsidP="00D22235">
      <w:pPr>
        <w:spacing w:after="0" w:line="240" w:lineRule="auto"/>
        <w:ind w:left="993" w:hanging="567"/>
        <w:jc w:val="both"/>
        <w:rPr>
          <w:rFonts w:ascii="Arial" w:hAnsi="Arial" w:cs="Arial"/>
          <w:lang w:val="es-ES"/>
        </w:rPr>
      </w:pPr>
      <w:r w:rsidRPr="00D22235">
        <w:rPr>
          <w:rFonts w:ascii="Arial" w:hAnsi="Arial" w:cs="Arial"/>
          <w:lang w:val="es-ES"/>
        </w:rPr>
        <w:t>5.3</w:t>
      </w:r>
      <w:r w:rsidRPr="00D22235">
        <w:rPr>
          <w:rFonts w:ascii="Arial" w:hAnsi="Arial" w:cs="Arial"/>
          <w:lang w:val="es-ES"/>
        </w:rPr>
        <w:tab/>
        <w:t>Para el inicio del procedimiento el solicitante presenta una solicitud escrita, que contiene lo siguiente:</w:t>
      </w:r>
    </w:p>
    <w:p w:rsidR="00D22235" w:rsidRPr="00D22235" w:rsidRDefault="00D22235" w:rsidP="00D22235">
      <w:pPr>
        <w:spacing w:after="0" w:line="240" w:lineRule="auto"/>
        <w:jc w:val="both"/>
        <w:rPr>
          <w:rFonts w:ascii="Arial" w:hAnsi="Arial" w:cs="Arial"/>
          <w:lang w:val="es-ES"/>
        </w:rPr>
      </w:pPr>
    </w:p>
    <w:p w:rsidR="00D22235" w:rsidRPr="00D22235" w:rsidRDefault="00D22235" w:rsidP="00D22235">
      <w:pPr>
        <w:spacing w:after="0" w:line="240" w:lineRule="auto"/>
        <w:ind w:left="1843" w:hanging="850"/>
        <w:jc w:val="both"/>
        <w:rPr>
          <w:rFonts w:ascii="Arial" w:hAnsi="Arial" w:cs="Arial"/>
          <w:lang w:val="es-ES"/>
        </w:rPr>
      </w:pPr>
      <w:r w:rsidRPr="00D22235">
        <w:rPr>
          <w:rFonts w:ascii="Arial" w:hAnsi="Arial" w:cs="Arial"/>
          <w:lang w:val="es-ES"/>
        </w:rPr>
        <w:t xml:space="preserve">5.3.1 </w:t>
      </w:r>
      <w:r>
        <w:rPr>
          <w:rFonts w:ascii="Arial" w:hAnsi="Arial" w:cs="Arial"/>
          <w:lang w:val="es-ES"/>
        </w:rPr>
        <w:tab/>
      </w:r>
      <w:r w:rsidRPr="00D22235">
        <w:rPr>
          <w:rFonts w:ascii="Arial" w:hAnsi="Arial" w:cs="Arial"/>
          <w:lang w:val="es-ES"/>
        </w:rPr>
        <w:t>La identificación del solicitante, domicilio, los nombres y apellidos completos y número de Documento Nacional de Identidad (DNI) de su representante legal.</w:t>
      </w:r>
    </w:p>
    <w:p w:rsidR="00D22235" w:rsidRPr="00D22235" w:rsidRDefault="00D22235" w:rsidP="00D22235">
      <w:pPr>
        <w:spacing w:after="0" w:line="240" w:lineRule="auto"/>
        <w:ind w:left="1843" w:hanging="850"/>
        <w:jc w:val="both"/>
        <w:rPr>
          <w:rFonts w:ascii="Arial" w:hAnsi="Arial" w:cs="Arial"/>
          <w:lang w:val="es-ES"/>
        </w:rPr>
      </w:pPr>
    </w:p>
    <w:p w:rsidR="00D22235" w:rsidRPr="00D22235" w:rsidRDefault="00D22235" w:rsidP="00D22235">
      <w:pPr>
        <w:spacing w:after="0" w:line="240" w:lineRule="auto"/>
        <w:ind w:left="1843" w:hanging="850"/>
        <w:jc w:val="both"/>
        <w:rPr>
          <w:rFonts w:ascii="Arial" w:hAnsi="Arial" w:cs="Arial"/>
          <w:lang w:val="es-ES"/>
        </w:rPr>
      </w:pPr>
      <w:r w:rsidRPr="00D22235">
        <w:rPr>
          <w:rFonts w:ascii="Arial" w:hAnsi="Arial" w:cs="Arial"/>
          <w:lang w:val="es-ES"/>
        </w:rPr>
        <w:t xml:space="preserve">5.3.2 </w:t>
      </w:r>
      <w:r>
        <w:rPr>
          <w:rFonts w:ascii="Arial" w:hAnsi="Arial" w:cs="Arial"/>
          <w:lang w:val="es-ES"/>
        </w:rPr>
        <w:tab/>
      </w:r>
      <w:r w:rsidRPr="00D22235">
        <w:rPr>
          <w:rFonts w:ascii="Arial" w:hAnsi="Arial" w:cs="Arial"/>
          <w:lang w:val="es-ES"/>
        </w:rPr>
        <w:t>La expresión concreta de lo pedido, indicando la finalidad de la transferencia de dominio, así como el área solicitada y su relación con el área total de la obra de infraestructura.</w:t>
      </w:r>
    </w:p>
    <w:p w:rsidR="00D22235" w:rsidRPr="00D22235" w:rsidRDefault="00D22235" w:rsidP="00D22235">
      <w:pPr>
        <w:spacing w:after="0" w:line="240" w:lineRule="auto"/>
        <w:ind w:left="1843" w:hanging="850"/>
        <w:jc w:val="both"/>
        <w:rPr>
          <w:rFonts w:ascii="Arial" w:hAnsi="Arial" w:cs="Arial"/>
          <w:lang w:val="es-ES"/>
        </w:rPr>
      </w:pPr>
    </w:p>
    <w:p w:rsidR="00D22235" w:rsidRPr="00D22235" w:rsidRDefault="00D22235" w:rsidP="00D22235">
      <w:pPr>
        <w:spacing w:after="0" w:line="240" w:lineRule="auto"/>
        <w:ind w:left="1843" w:hanging="850"/>
        <w:jc w:val="both"/>
        <w:rPr>
          <w:rFonts w:ascii="Arial" w:hAnsi="Arial" w:cs="Arial"/>
          <w:lang w:val="es-ES"/>
        </w:rPr>
      </w:pPr>
      <w:r w:rsidRPr="00D22235">
        <w:rPr>
          <w:rFonts w:ascii="Arial" w:hAnsi="Arial" w:cs="Arial"/>
          <w:lang w:val="es-ES"/>
        </w:rPr>
        <w:t xml:space="preserve">5.3.3 </w:t>
      </w:r>
      <w:r>
        <w:rPr>
          <w:rFonts w:ascii="Arial" w:hAnsi="Arial" w:cs="Arial"/>
          <w:lang w:val="es-ES"/>
        </w:rPr>
        <w:tab/>
      </w:r>
      <w:r w:rsidRPr="00D22235">
        <w:rPr>
          <w:rFonts w:ascii="Arial" w:hAnsi="Arial" w:cs="Arial"/>
          <w:lang w:val="es-ES"/>
        </w:rPr>
        <w:t>El Plan de saneamiento físico y legal del predio estatal, el cual estará visado por los profesionales designados por el titular del proyecto, identificará el área total y el área afectada de cada predio, conteniendo como mínimo: el informe técnico legal en donde se precise ubicación, zonificación, linderos, ocupación, edificaciones, inscripciones, posesionarios, área afectada en relación al área total del proyecto, resumen de las obras que se van a ejecutar en el predio materia de la solicitud; así como la existencia de cargas, tales como: procesos judiciales, patrimonio cultural, concesiones, derecho de superficie, gravámenes, ocupaciones, superposiciones o duplicidades de partidas, reservas naturales, entre otros, el cual estará sustentado con los documentos siguientes:</w:t>
      </w:r>
    </w:p>
    <w:p w:rsidR="00D22235" w:rsidRPr="00D22235" w:rsidRDefault="00D22235" w:rsidP="00D22235">
      <w:pPr>
        <w:spacing w:after="0" w:line="240" w:lineRule="auto"/>
        <w:jc w:val="both"/>
        <w:rPr>
          <w:rFonts w:ascii="Arial" w:hAnsi="Arial" w:cs="Arial"/>
          <w:lang w:val="es-ES"/>
        </w:rPr>
      </w:pPr>
    </w:p>
    <w:p w:rsidR="00D22235" w:rsidRPr="00D22235" w:rsidRDefault="00D22235" w:rsidP="00D22235">
      <w:pPr>
        <w:spacing w:after="0" w:line="240" w:lineRule="auto"/>
        <w:ind w:left="2552" w:hanging="425"/>
        <w:jc w:val="both"/>
        <w:rPr>
          <w:rFonts w:ascii="Arial" w:hAnsi="Arial" w:cs="Arial"/>
          <w:lang w:val="es-ES"/>
        </w:rPr>
      </w:pPr>
      <w:r w:rsidRPr="00D22235">
        <w:rPr>
          <w:rFonts w:ascii="Arial" w:hAnsi="Arial" w:cs="Arial"/>
          <w:lang w:val="es-ES"/>
        </w:rPr>
        <w:t>a)</w:t>
      </w:r>
      <w:r w:rsidRPr="00D22235">
        <w:rPr>
          <w:rFonts w:ascii="Arial" w:hAnsi="Arial" w:cs="Arial"/>
          <w:lang w:val="es-ES"/>
        </w:rPr>
        <w:tab/>
        <w:t>Partida Registral y títulos archivados, de encontrarse inscrito el predio, o Certificado de Búsqueda Catastral, expedido por SUNARP, en caso de no encontrarse inscrito, conforme al área solicitada. Dichos documentos serán de una antigüedad no mayor a seis (6) meses.</w:t>
      </w:r>
    </w:p>
    <w:p w:rsidR="00D22235" w:rsidRPr="00D22235" w:rsidRDefault="00D22235" w:rsidP="00D22235">
      <w:pPr>
        <w:spacing w:after="0" w:line="240" w:lineRule="auto"/>
        <w:ind w:left="2552" w:hanging="425"/>
        <w:jc w:val="both"/>
        <w:rPr>
          <w:rFonts w:ascii="Arial" w:hAnsi="Arial" w:cs="Arial"/>
          <w:lang w:val="es-ES"/>
        </w:rPr>
      </w:pPr>
    </w:p>
    <w:p w:rsidR="00D22235" w:rsidRPr="00D22235" w:rsidRDefault="00D22235" w:rsidP="00D22235">
      <w:pPr>
        <w:spacing w:after="0" w:line="240" w:lineRule="auto"/>
        <w:ind w:left="2552" w:hanging="425"/>
        <w:jc w:val="both"/>
        <w:rPr>
          <w:rFonts w:ascii="Arial" w:hAnsi="Arial" w:cs="Arial"/>
          <w:lang w:val="es-ES"/>
        </w:rPr>
      </w:pPr>
      <w:r w:rsidRPr="00D22235">
        <w:rPr>
          <w:rFonts w:ascii="Arial" w:hAnsi="Arial" w:cs="Arial"/>
          <w:lang w:val="es-ES"/>
        </w:rPr>
        <w:t>b)</w:t>
      </w:r>
      <w:r w:rsidRPr="00D22235">
        <w:rPr>
          <w:rFonts w:ascii="Arial" w:hAnsi="Arial" w:cs="Arial"/>
          <w:lang w:val="es-ES"/>
        </w:rPr>
        <w:tab/>
        <w:t>Informe de Inspección técnica.</w:t>
      </w:r>
    </w:p>
    <w:p w:rsidR="00D22235" w:rsidRPr="00D22235" w:rsidRDefault="00D22235" w:rsidP="00D22235">
      <w:pPr>
        <w:spacing w:after="0" w:line="240" w:lineRule="auto"/>
        <w:ind w:left="2552" w:hanging="425"/>
        <w:jc w:val="both"/>
        <w:rPr>
          <w:rFonts w:ascii="Arial" w:hAnsi="Arial" w:cs="Arial"/>
          <w:lang w:val="es-ES"/>
        </w:rPr>
      </w:pPr>
    </w:p>
    <w:p w:rsidR="00D22235" w:rsidRPr="00D22235" w:rsidRDefault="00D22235" w:rsidP="00D22235">
      <w:pPr>
        <w:spacing w:after="0" w:line="240" w:lineRule="auto"/>
        <w:ind w:left="2552" w:hanging="425"/>
        <w:jc w:val="both"/>
        <w:rPr>
          <w:rFonts w:ascii="Arial" w:hAnsi="Arial" w:cs="Arial"/>
          <w:lang w:val="es-ES"/>
        </w:rPr>
      </w:pPr>
      <w:r w:rsidRPr="00D22235">
        <w:rPr>
          <w:rFonts w:ascii="Arial" w:hAnsi="Arial" w:cs="Arial"/>
          <w:lang w:val="es-ES"/>
        </w:rPr>
        <w:t>c)</w:t>
      </w:r>
      <w:r w:rsidRPr="00D22235">
        <w:rPr>
          <w:rFonts w:ascii="Arial" w:hAnsi="Arial" w:cs="Arial"/>
          <w:lang w:val="es-ES"/>
        </w:rPr>
        <w:tab/>
      </w:r>
      <w:r w:rsidR="007216B0" w:rsidRPr="007216B0">
        <w:rPr>
          <w:rFonts w:ascii="Arial" w:hAnsi="Arial" w:cs="Arial"/>
          <w:lang w:val="es-ES"/>
        </w:rPr>
        <w:t>Plano perimétrico y de ubicación del terreno en coordenadas UTM en sistema WGS 84, a escala 1/5000 o múltiplo apropiado, en formato digital y papel, con la indicación del área, linderos, ángulos y medidas perimétricas, autorizado por ingeniero o arquitecto colegiado y suscrito por verificador catastral, en dos (2) juegos</w:t>
      </w:r>
      <w:r w:rsidR="007216B0">
        <w:rPr>
          <w:rFonts w:ascii="Arial" w:hAnsi="Arial" w:cs="Arial"/>
          <w:lang w:val="es-ES"/>
        </w:rPr>
        <w:t>. (*)</w:t>
      </w:r>
    </w:p>
    <w:p w:rsidR="00D22235" w:rsidRDefault="007216B0" w:rsidP="007216B0">
      <w:pPr>
        <w:spacing w:after="0" w:line="240" w:lineRule="auto"/>
        <w:ind w:left="2552"/>
        <w:jc w:val="both"/>
        <w:rPr>
          <w:rFonts w:ascii="Arial" w:eastAsia="Calibri" w:hAnsi="Arial" w:cs="Arial"/>
          <w:b/>
          <w:color w:val="FF0000"/>
          <w:sz w:val="16"/>
          <w:szCs w:val="16"/>
          <w:lang w:val="es-ES"/>
        </w:rPr>
      </w:pPr>
      <w:r>
        <w:rPr>
          <w:rFonts w:ascii="Arial" w:eastAsia="Calibri" w:hAnsi="Arial" w:cs="Arial"/>
          <w:b/>
          <w:color w:val="FF0000"/>
          <w:sz w:val="16"/>
          <w:szCs w:val="16"/>
          <w:lang w:val="es-ES"/>
        </w:rPr>
        <w:t>(*) Inciso modificado</w:t>
      </w:r>
      <w:r w:rsidRPr="006312E8">
        <w:rPr>
          <w:rFonts w:ascii="Arial" w:eastAsia="Calibri" w:hAnsi="Arial" w:cs="Arial"/>
          <w:b/>
          <w:color w:val="FF0000"/>
          <w:sz w:val="16"/>
          <w:szCs w:val="16"/>
          <w:lang w:val="es-ES"/>
        </w:rPr>
        <w:t xml:space="preserve"> por el </w:t>
      </w:r>
      <w:r>
        <w:rPr>
          <w:rFonts w:ascii="Arial" w:eastAsia="Calibri" w:hAnsi="Arial" w:cs="Arial"/>
          <w:b/>
          <w:color w:val="FF0000"/>
          <w:sz w:val="16"/>
          <w:szCs w:val="16"/>
          <w:lang w:val="es-ES"/>
        </w:rPr>
        <w:t>a</w:t>
      </w:r>
      <w:r w:rsidRPr="006312E8">
        <w:rPr>
          <w:rFonts w:ascii="Arial" w:eastAsia="Calibri" w:hAnsi="Arial" w:cs="Arial"/>
          <w:b/>
          <w:color w:val="FF0000"/>
          <w:sz w:val="16"/>
          <w:szCs w:val="16"/>
          <w:lang w:val="es-ES"/>
        </w:rPr>
        <w:t xml:space="preserve">rtículo </w:t>
      </w:r>
      <w:r>
        <w:rPr>
          <w:rFonts w:ascii="Arial" w:eastAsia="Calibri" w:hAnsi="Arial" w:cs="Arial"/>
          <w:b/>
          <w:color w:val="FF0000"/>
          <w:sz w:val="16"/>
          <w:szCs w:val="16"/>
          <w:lang w:val="es-ES"/>
        </w:rPr>
        <w:t>2</w:t>
      </w:r>
      <w:r w:rsidRPr="006312E8">
        <w:rPr>
          <w:rFonts w:ascii="Arial" w:eastAsia="Calibri" w:hAnsi="Arial" w:cs="Arial"/>
          <w:b/>
          <w:color w:val="FF0000"/>
          <w:sz w:val="16"/>
          <w:szCs w:val="16"/>
          <w:lang w:val="es-ES"/>
        </w:rPr>
        <w:t xml:space="preserve"> de la Resolución Nº </w:t>
      </w:r>
      <w:r>
        <w:rPr>
          <w:rFonts w:ascii="Arial" w:eastAsia="Calibri" w:hAnsi="Arial" w:cs="Arial"/>
          <w:b/>
          <w:color w:val="FF0000"/>
          <w:sz w:val="16"/>
          <w:szCs w:val="16"/>
          <w:lang w:val="es-ES"/>
        </w:rPr>
        <w:t>032</w:t>
      </w:r>
      <w:r w:rsidRPr="006312E8">
        <w:rPr>
          <w:rFonts w:ascii="Arial" w:eastAsia="Calibri" w:hAnsi="Arial" w:cs="Arial"/>
          <w:b/>
          <w:color w:val="FF0000"/>
          <w:sz w:val="16"/>
          <w:szCs w:val="16"/>
          <w:lang w:val="es-ES"/>
        </w:rPr>
        <w:t>-201</w:t>
      </w:r>
      <w:r>
        <w:rPr>
          <w:rFonts w:ascii="Arial" w:eastAsia="Calibri" w:hAnsi="Arial" w:cs="Arial"/>
          <w:b/>
          <w:color w:val="FF0000"/>
          <w:sz w:val="16"/>
          <w:szCs w:val="16"/>
          <w:lang w:val="es-ES"/>
        </w:rPr>
        <w:t>6</w:t>
      </w:r>
      <w:r w:rsidRPr="006312E8">
        <w:rPr>
          <w:rFonts w:ascii="Arial" w:eastAsia="Calibri" w:hAnsi="Arial" w:cs="Arial"/>
          <w:b/>
          <w:color w:val="FF0000"/>
          <w:sz w:val="16"/>
          <w:szCs w:val="16"/>
          <w:lang w:val="es-ES"/>
        </w:rPr>
        <w:t xml:space="preserve">-SBN, publicada el </w:t>
      </w:r>
      <w:r>
        <w:rPr>
          <w:rFonts w:ascii="Arial" w:eastAsia="Calibri" w:hAnsi="Arial" w:cs="Arial"/>
          <w:b/>
          <w:color w:val="FF0000"/>
          <w:sz w:val="16"/>
          <w:szCs w:val="16"/>
          <w:lang w:val="es-ES"/>
        </w:rPr>
        <w:t>03 abril de</w:t>
      </w:r>
      <w:r w:rsidRPr="006312E8">
        <w:rPr>
          <w:rFonts w:ascii="Arial" w:eastAsia="Calibri" w:hAnsi="Arial" w:cs="Arial"/>
          <w:b/>
          <w:color w:val="FF0000"/>
          <w:sz w:val="16"/>
          <w:szCs w:val="16"/>
          <w:lang w:val="es-ES"/>
        </w:rPr>
        <w:t xml:space="preserve"> 201</w:t>
      </w:r>
      <w:r>
        <w:rPr>
          <w:rFonts w:ascii="Arial" w:eastAsia="Calibri" w:hAnsi="Arial" w:cs="Arial"/>
          <w:b/>
          <w:color w:val="FF0000"/>
          <w:sz w:val="16"/>
          <w:szCs w:val="16"/>
          <w:lang w:val="es-ES"/>
        </w:rPr>
        <w:t>6</w:t>
      </w:r>
      <w:r w:rsidRPr="006312E8">
        <w:rPr>
          <w:rFonts w:ascii="Arial" w:eastAsia="Calibri" w:hAnsi="Arial" w:cs="Arial"/>
          <w:b/>
          <w:color w:val="FF0000"/>
          <w:sz w:val="16"/>
          <w:szCs w:val="16"/>
          <w:lang w:val="es-ES"/>
        </w:rPr>
        <w:t>.</w:t>
      </w:r>
    </w:p>
    <w:p w:rsidR="007216B0" w:rsidRPr="00D22235" w:rsidRDefault="007216B0" w:rsidP="007216B0">
      <w:pPr>
        <w:spacing w:after="0" w:line="240" w:lineRule="auto"/>
        <w:ind w:left="2552"/>
        <w:jc w:val="both"/>
        <w:rPr>
          <w:rFonts w:ascii="Arial" w:hAnsi="Arial" w:cs="Arial"/>
          <w:lang w:val="es-ES"/>
        </w:rPr>
      </w:pPr>
    </w:p>
    <w:p w:rsidR="00D22235" w:rsidRPr="00D22235" w:rsidRDefault="00D22235" w:rsidP="00D22235">
      <w:pPr>
        <w:spacing w:after="0" w:line="240" w:lineRule="auto"/>
        <w:ind w:left="2552" w:hanging="425"/>
        <w:jc w:val="both"/>
        <w:rPr>
          <w:rFonts w:ascii="Arial" w:hAnsi="Arial" w:cs="Arial"/>
          <w:lang w:val="es-ES"/>
        </w:rPr>
      </w:pPr>
      <w:r w:rsidRPr="00D22235">
        <w:rPr>
          <w:rFonts w:ascii="Arial" w:hAnsi="Arial" w:cs="Arial"/>
          <w:lang w:val="es-ES"/>
        </w:rPr>
        <w:t>d)</w:t>
      </w:r>
      <w:r w:rsidRPr="00D22235">
        <w:rPr>
          <w:rFonts w:ascii="Arial" w:hAnsi="Arial" w:cs="Arial"/>
          <w:lang w:val="es-ES"/>
        </w:rPr>
        <w:tab/>
        <w:t xml:space="preserve">Memoria  Descriptiva, en la que se indique el área, los linderos y medidas perimétricas y la zonificación, autorizado por ingeniero o arquitecto colegiado y suscrito por verificador catastral, en dos (2) juegos. </w:t>
      </w:r>
    </w:p>
    <w:p w:rsidR="00D22235" w:rsidRPr="00D22235" w:rsidRDefault="00D22235" w:rsidP="00D22235">
      <w:pPr>
        <w:spacing w:after="0" w:line="240" w:lineRule="auto"/>
        <w:ind w:left="2552" w:hanging="425"/>
        <w:jc w:val="both"/>
        <w:rPr>
          <w:rFonts w:ascii="Arial" w:hAnsi="Arial" w:cs="Arial"/>
          <w:lang w:val="es-ES"/>
        </w:rPr>
      </w:pPr>
    </w:p>
    <w:p w:rsidR="00D22235" w:rsidRPr="00D22235" w:rsidRDefault="00D22235" w:rsidP="00D22235">
      <w:pPr>
        <w:spacing w:after="0" w:line="240" w:lineRule="auto"/>
        <w:ind w:left="2552" w:hanging="425"/>
        <w:jc w:val="both"/>
        <w:rPr>
          <w:rFonts w:ascii="Arial" w:hAnsi="Arial" w:cs="Arial"/>
          <w:lang w:val="es-ES"/>
        </w:rPr>
      </w:pPr>
      <w:r w:rsidRPr="00D22235">
        <w:rPr>
          <w:rFonts w:ascii="Arial" w:hAnsi="Arial" w:cs="Arial"/>
          <w:lang w:val="es-ES"/>
        </w:rPr>
        <w:t>e)</w:t>
      </w:r>
      <w:r w:rsidRPr="00D22235">
        <w:rPr>
          <w:rFonts w:ascii="Arial" w:hAnsi="Arial" w:cs="Arial"/>
          <w:lang w:val="es-ES"/>
        </w:rPr>
        <w:tab/>
        <w:t>Fotografías actuales del predio.</w:t>
      </w:r>
    </w:p>
    <w:p w:rsidR="00D22235" w:rsidRPr="00D22235" w:rsidRDefault="00D22235" w:rsidP="00D22235">
      <w:pPr>
        <w:spacing w:after="0" w:line="240" w:lineRule="auto"/>
        <w:jc w:val="both"/>
        <w:rPr>
          <w:rFonts w:ascii="Arial" w:hAnsi="Arial" w:cs="Arial"/>
          <w:lang w:val="es-ES"/>
        </w:rPr>
      </w:pPr>
    </w:p>
    <w:p w:rsidR="00D22235" w:rsidRPr="00D22235" w:rsidRDefault="00D22235" w:rsidP="00D22235">
      <w:pPr>
        <w:spacing w:after="0" w:line="240" w:lineRule="auto"/>
        <w:ind w:left="993" w:hanging="567"/>
        <w:jc w:val="both"/>
        <w:rPr>
          <w:rFonts w:ascii="Arial" w:hAnsi="Arial" w:cs="Arial"/>
          <w:lang w:val="es-ES"/>
        </w:rPr>
      </w:pPr>
      <w:r w:rsidRPr="00D22235">
        <w:rPr>
          <w:rFonts w:ascii="Arial" w:hAnsi="Arial" w:cs="Arial"/>
          <w:lang w:val="es-ES"/>
        </w:rPr>
        <w:t>5.4</w:t>
      </w:r>
      <w:r w:rsidRPr="00D22235">
        <w:rPr>
          <w:rFonts w:ascii="Arial" w:hAnsi="Arial" w:cs="Arial"/>
          <w:lang w:val="es-ES"/>
        </w:rPr>
        <w:tab/>
        <w:t>La información y documentación que el solicitante presente y la que consigne en el plan de saneamiento físico y legal, al cual se refiere la presente directiva, adquieren la calidad de Declaración Jurada.</w:t>
      </w:r>
    </w:p>
    <w:p w:rsidR="00D22235" w:rsidRPr="00D22235" w:rsidRDefault="00D22235" w:rsidP="00D22235">
      <w:pPr>
        <w:spacing w:after="0" w:line="240" w:lineRule="auto"/>
        <w:ind w:left="993" w:hanging="567"/>
        <w:jc w:val="both"/>
        <w:rPr>
          <w:rFonts w:ascii="Arial" w:hAnsi="Arial" w:cs="Arial"/>
          <w:lang w:val="es-ES"/>
        </w:rPr>
      </w:pPr>
    </w:p>
    <w:p w:rsidR="00D22235" w:rsidRPr="00D22235" w:rsidRDefault="00D22235" w:rsidP="00D22235">
      <w:pPr>
        <w:spacing w:after="0" w:line="240" w:lineRule="auto"/>
        <w:ind w:left="993" w:hanging="567"/>
        <w:jc w:val="both"/>
        <w:rPr>
          <w:rFonts w:ascii="Arial" w:hAnsi="Arial" w:cs="Arial"/>
          <w:lang w:val="es-ES"/>
        </w:rPr>
      </w:pPr>
      <w:r w:rsidRPr="00D22235">
        <w:rPr>
          <w:rFonts w:ascii="Arial" w:hAnsi="Arial" w:cs="Arial"/>
          <w:lang w:val="es-ES"/>
        </w:rPr>
        <w:t>5.5</w:t>
      </w:r>
      <w:r w:rsidRPr="00D22235">
        <w:rPr>
          <w:rFonts w:ascii="Arial" w:hAnsi="Arial" w:cs="Arial"/>
          <w:lang w:val="es-ES"/>
        </w:rPr>
        <w:tab/>
        <w:t xml:space="preserve">En caso existan cargas y gravámenes viables de sustitución, el solicitante deberá precisar su compromiso de sustituirlos, conforme a lo establecido en el numeral 41.4 del artículo 41º de la ley </w:t>
      </w:r>
    </w:p>
    <w:p w:rsidR="00D22235" w:rsidRPr="00D22235" w:rsidRDefault="00D22235" w:rsidP="00D22235">
      <w:pPr>
        <w:spacing w:after="0" w:line="240" w:lineRule="auto"/>
        <w:ind w:left="993" w:hanging="567"/>
        <w:jc w:val="both"/>
        <w:rPr>
          <w:rFonts w:ascii="Arial" w:hAnsi="Arial" w:cs="Arial"/>
          <w:lang w:val="es-ES"/>
        </w:rPr>
      </w:pPr>
    </w:p>
    <w:p w:rsidR="00D22235" w:rsidRPr="00D22235" w:rsidRDefault="00D22235" w:rsidP="00D22235">
      <w:pPr>
        <w:spacing w:after="0" w:line="240" w:lineRule="auto"/>
        <w:ind w:left="993" w:hanging="567"/>
        <w:jc w:val="both"/>
        <w:rPr>
          <w:rFonts w:ascii="Arial" w:hAnsi="Arial" w:cs="Arial"/>
          <w:lang w:val="es-ES"/>
        </w:rPr>
      </w:pPr>
      <w:r w:rsidRPr="00D22235">
        <w:rPr>
          <w:rFonts w:ascii="Arial" w:hAnsi="Arial" w:cs="Arial"/>
          <w:lang w:val="es-ES"/>
        </w:rPr>
        <w:t>5.6</w:t>
      </w:r>
      <w:r w:rsidRPr="00D22235">
        <w:rPr>
          <w:rFonts w:ascii="Arial" w:hAnsi="Arial" w:cs="Arial"/>
          <w:lang w:val="es-ES"/>
        </w:rPr>
        <w:tab/>
        <w:t>En el supuesto que la SDDI identifique una carga que no fue detectada por el titular del proyecto, dicha situación se le notificará, a fin que, en el plazo máximo de tres (3) días hábiles, se pronuncie sobre el mismo y si variará o no su solicitud. De no existir pronunciamiento orientado a la modificación del proyecto en el plazo indicado, se procede a la inscripción o transferencia del predio a su favor. La modificación de la solicitud, implicará un nuevo cómputo del plazo establecido en el numeral 41.1 del artículo 41° de la ley.</w:t>
      </w:r>
    </w:p>
    <w:p w:rsidR="00D22235" w:rsidRPr="00D22235" w:rsidRDefault="00D22235" w:rsidP="00D22235">
      <w:pPr>
        <w:spacing w:after="0" w:line="240" w:lineRule="auto"/>
        <w:ind w:left="993" w:hanging="567"/>
        <w:jc w:val="both"/>
        <w:rPr>
          <w:rFonts w:ascii="Arial" w:hAnsi="Arial" w:cs="Arial"/>
          <w:lang w:val="es-ES"/>
        </w:rPr>
      </w:pPr>
    </w:p>
    <w:p w:rsidR="00D22235" w:rsidRPr="00D22235" w:rsidRDefault="00D22235" w:rsidP="00D22235">
      <w:pPr>
        <w:spacing w:after="0" w:line="240" w:lineRule="auto"/>
        <w:ind w:left="993" w:hanging="567"/>
        <w:jc w:val="both"/>
        <w:rPr>
          <w:rFonts w:ascii="Arial" w:hAnsi="Arial" w:cs="Arial"/>
          <w:lang w:val="es-ES"/>
        </w:rPr>
      </w:pPr>
      <w:r w:rsidRPr="00D22235">
        <w:rPr>
          <w:rFonts w:ascii="Arial" w:hAnsi="Arial" w:cs="Arial"/>
          <w:lang w:val="es-ES"/>
        </w:rPr>
        <w:t>5.7</w:t>
      </w:r>
      <w:r w:rsidRPr="00D22235">
        <w:rPr>
          <w:rFonts w:ascii="Arial" w:hAnsi="Arial" w:cs="Arial"/>
          <w:lang w:val="es-ES"/>
        </w:rPr>
        <w:tab/>
        <w:t>De conformidad con lo dispuesto en el numeral 41.8 del artículo 41° de la ley, se desestimará cualquier acción privada destinada a evitar la transferencia de la propiedad entre entidades del Estado. Esta medida no es aplicable a los predios de propiedad, en posesión o en uso tradicional de las comunidades campesinas y comunidades nativas, las cuales se rigen por las leyes de la materia.</w:t>
      </w:r>
    </w:p>
    <w:p w:rsidR="00D22235" w:rsidRPr="00D22235" w:rsidRDefault="00D22235" w:rsidP="00D22235">
      <w:pPr>
        <w:spacing w:after="0" w:line="240" w:lineRule="auto"/>
        <w:ind w:left="993" w:hanging="567"/>
        <w:jc w:val="both"/>
        <w:rPr>
          <w:rFonts w:ascii="Arial" w:hAnsi="Arial" w:cs="Arial"/>
          <w:lang w:val="es-ES"/>
        </w:rPr>
      </w:pPr>
    </w:p>
    <w:p w:rsidR="00D22235" w:rsidRPr="00D22235" w:rsidRDefault="00D22235" w:rsidP="00D22235">
      <w:pPr>
        <w:spacing w:after="0" w:line="240" w:lineRule="auto"/>
        <w:ind w:left="993" w:hanging="567"/>
        <w:jc w:val="both"/>
        <w:rPr>
          <w:rFonts w:ascii="Arial" w:hAnsi="Arial" w:cs="Arial"/>
          <w:lang w:val="es-ES"/>
        </w:rPr>
      </w:pPr>
      <w:r w:rsidRPr="00D22235">
        <w:rPr>
          <w:rFonts w:ascii="Arial" w:hAnsi="Arial" w:cs="Arial"/>
          <w:lang w:val="es-ES"/>
        </w:rPr>
        <w:t>5.8</w:t>
      </w:r>
      <w:r w:rsidRPr="00D22235">
        <w:rPr>
          <w:rFonts w:ascii="Arial" w:hAnsi="Arial" w:cs="Arial"/>
          <w:lang w:val="es-ES"/>
        </w:rPr>
        <w:tab/>
        <w:t>En caso que por otras leyes se declare la ejecución de obras de infraestructura de necesidad pública, interés nacional, seguridad nacional y/o de gran envergadura, la transferencia de los predios y/o edificaciones de propiedad estatal requeridos para tal efecto, se llevará a cabo con la presente Directiva.</w:t>
      </w:r>
    </w:p>
    <w:p w:rsidR="00D22235" w:rsidRPr="00D22235" w:rsidRDefault="00D22235" w:rsidP="00D22235">
      <w:pPr>
        <w:spacing w:after="0" w:line="240" w:lineRule="auto"/>
        <w:ind w:left="993" w:hanging="567"/>
        <w:jc w:val="both"/>
        <w:rPr>
          <w:rFonts w:ascii="Arial" w:hAnsi="Arial" w:cs="Arial"/>
          <w:lang w:val="es-ES"/>
        </w:rPr>
      </w:pPr>
    </w:p>
    <w:p w:rsidR="00D22235" w:rsidRDefault="00D22235" w:rsidP="00D22235">
      <w:pPr>
        <w:spacing w:after="0" w:line="240" w:lineRule="auto"/>
        <w:ind w:left="993" w:hanging="567"/>
        <w:jc w:val="both"/>
        <w:rPr>
          <w:rFonts w:ascii="Arial" w:hAnsi="Arial" w:cs="Arial"/>
          <w:lang w:val="es-ES"/>
        </w:rPr>
      </w:pPr>
      <w:r w:rsidRPr="00D22235">
        <w:rPr>
          <w:rFonts w:ascii="Arial" w:hAnsi="Arial" w:cs="Arial"/>
          <w:lang w:val="es-ES"/>
        </w:rPr>
        <w:t>5.9</w:t>
      </w:r>
      <w:r w:rsidRPr="00D22235">
        <w:rPr>
          <w:rFonts w:ascii="Arial" w:hAnsi="Arial" w:cs="Arial"/>
          <w:lang w:val="es-ES"/>
        </w:rPr>
        <w:tab/>
        <w:t xml:space="preserve">Para el caso de predios comprendidos en obras de infraestructura, ubicados dentro de las zonas de dominio restringido, el solicitante debe precisar tal condición, a fin que la SBN declarare su desafectación cuando corresponda, procediendo conforme a lo establecido en la </w:t>
      </w:r>
      <w:r w:rsidR="00DB1DCC">
        <w:rPr>
          <w:rFonts w:ascii="Arial" w:hAnsi="Arial" w:cs="Arial"/>
          <w:lang w:val="es-ES"/>
        </w:rPr>
        <w:t>L</w:t>
      </w:r>
      <w:r w:rsidRPr="00D22235">
        <w:rPr>
          <w:rFonts w:ascii="Arial" w:hAnsi="Arial" w:cs="Arial"/>
          <w:lang w:val="es-ES"/>
        </w:rPr>
        <w:t>ey de la materia.</w:t>
      </w:r>
    </w:p>
    <w:p w:rsidR="00FD044D" w:rsidRDefault="00FD044D" w:rsidP="00D22235">
      <w:pPr>
        <w:spacing w:after="0" w:line="240" w:lineRule="auto"/>
        <w:ind w:left="993" w:hanging="567"/>
        <w:jc w:val="both"/>
        <w:rPr>
          <w:rFonts w:ascii="Arial" w:hAnsi="Arial" w:cs="Arial"/>
          <w:lang w:val="es-ES"/>
        </w:rPr>
      </w:pPr>
    </w:p>
    <w:p w:rsidR="005309C0" w:rsidRDefault="005309C0" w:rsidP="00D22235">
      <w:pPr>
        <w:spacing w:after="0" w:line="240" w:lineRule="auto"/>
        <w:ind w:left="993" w:hanging="567"/>
        <w:jc w:val="both"/>
        <w:rPr>
          <w:rFonts w:ascii="Arial" w:hAnsi="Arial" w:cs="Arial"/>
          <w:lang w:val="es-ES"/>
        </w:rPr>
      </w:pPr>
    </w:p>
    <w:p w:rsidR="005309C0" w:rsidRDefault="005309C0" w:rsidP="00D22235">
      <w:pPr>
        <w:spacing w:after="0" w:line="240" w:lineRule="auto"/>
        <w:ind w:left="993" w:hanging="567"/>
        <w:jc w:val="both"/>
        <w:rPr>
          <w:rFonts w:ascii="Arial" w:hAnsi="Arial" w:cs="Arial"/>
          <w:lang w:val="es-ES"/>
        </w:rPr>
      </w:pPr>
    </w:p>
    <w:p w:rsidR="005309C0" w:rsidRDefault="005309C0" w:rsidP="00D22235">
      <w:pPr>
        <w:spacing w:after="0" w:line="240" w:lineRule="auto"/>
        <w:ind w:left="993" w:hanging="567"/>
        <w:jc w:val="both"/>
        <w:rPr>
          <w:rFonts w:ascii="Arial" w:hAnsi="Arial" w:cs="Arial"/>
          <w:lang w:val="es-ES"/>
        </w:rPr>
      </w:pPr>
    </w:p>
    <w:p w:rsidR="005309C0" w:rsidRPr="00D22235" w:rsidRDefault="005309C0" w:rsidP="00D22235">
      <w:pPr>
        <w:spacing w:after="0" w:line="240" w:lineRule="auto"/>
        <w:ind w:left="993" w:hanging="567"/>
        <w:jc w:val="both"/>
        <w:rPr>
          <w:rFonts w:ascii="Arial" w:hAnsi="Arial" w:cs="Arial"/>
          <w:lang w:val="es-ES"/>
        </w:rPr>
      </w:pPr>
    </w:p>
    <w:p w:rsidR="00D22235" w:rsidRPr="00D22235" w:rsidRDefault="00D22235" w:rsidP="00D22235">
      <w:pPr>
        <w:spacing w:after="0" w:line="240" w:lineRule="auto"/>
        <w:ind w:left="993" w:hanging="567"/>
        <w:jc w:val="both"/>
        <w:rPr>
          <w:rFonts w:ascii="Arial" w:hAnsi="Arial" w:cs="Arial"/>
          <w:b/>
          <w:lang w:val="es-ES"/>
        </w:rPr>
      </w:pPr>
      <w:r w:rsidRPr="00D22235">
        <w:rPr>
          <w:rFonts w:ascii="Arial" w:hAnsi="Arial" w:cs="Arial"/>
          <w:b/>
          <w:lang w:val="es-ES"/>
        </w:rPr>
        <w:t>6.1</w:t>
      </w:r>
      <w:r w:rsidRPr="00D22235">
        <w:rPr>
          <w:rFonts w:ascii="Arial" w:hAnsi="Arial" w:cs="Arial"/>
          <w:b/>
          <w:lang w:val="es-ES"/>
        </w:rPr>
        <w:tab/>
        <w:t>PROCEDIMIENTO DE PRIMERA INSCRIPCIÓN DE DOMINIO DE PREDIOS DEL ESTADO</w:t>
      </w:r>
    </w:p>
    <w:p w:rsidR="00D22235" w:rsidRPr="00D22235" w:rsidRDefault="00D22235" w:rsidP="00D22235">
      <w:pPr>
        <w:spacing w:after="0" w:line="240" w:lineRule="auto"/>
        <w:jc w:val="both"/>
        <w:rPr>
          <w:rFonts w:ascii="Arial" w:hAnsi="Arial" w:cs="Arial"/>
          <w:lang w:val="es-ES"/>
        </w:rPr>
      </w:pPr>
    </w:p>
    <w:p w:rsidR="007216B0" w:rsidRDefault="00D22235" w:rsidP="00D22235">
      <w:pPr>
        <w:spacing w:after="0" w:line="240" w:lineRule="auto"/>
        <w:ind w:left="1843" w:hanging="850"/>
        <w:jc w:val="both"/>
        <w:rPr>
          <w:rFonts w:ascii="Arial" w:hAnsi="Arial" w:cs="Arial"/>
          <w:lang w:val="es-ES"/>
        </w:rPr>
      </w:pPr>
      <w:r w:rsidRPr="00D22235">
        <w:rPr>
          <w:rFonts w:ascii="Arial" w:hAnsi="Arial" w:cs="Arial"/>
          <w:lang w:val="es-ES"/>
        </w:rPr>
        <w:t>6.1.1</w:t>
      </w:r>
      <w:r w:rsidRPr="00D22235">
        <w:rPr>
          <w:rFonts w:ascii="Arial" w:hAnsi="Arial" w:cs="Arial"/>
          <w:lang w:val="es-ES"/>
        </w:rPr>
        <w:tab/>
      </w:r>
      <w:r w:rsidR="007216B0" w:rsidRPr="007216B0">
        <w:rPr>
          <w:rFonts w:ascii="Arial" w:hAnsi="Arial" w:cs="Arial"/>
          <w:lang w:val="es-ES"/>
        </w:rPr>
        <w:t>Presentada la solicitud de requerimiento del predio, si éste no se encuentra inscrito en los registros públicos y constituye propiedad del Estado, la SDAPE procede a tramitar la primera inscripción de dominio a favor de la entidad pú</w:t>
      </w:r>
      <w:r w:rsidR="007216B0">
        <w:rPr>
          <w:rFonts w:ascii="Arial" w:hAnsi="Arial" w:cs="Arial"/>
          <w:lang w:val="es-ES"/>
        </w:rPr>
        <w:t>blica solicitante</w:t>
      </w:r>
      <w:r w:rsidR="00DB1DCC" w:rsidRPr="00DB1DCC">
        <w:rPr>
          <w:rFonts w:ascii="Arial" w:hAnsi="Arial" w:cs="Arial"/>
          <w:lang w:val="es-ES"/>
        </w:rPr>
        <w:t>.</w:t>
      </w:r>
      <w:r w:rsidR="007216B0">
        <w:rPr>
          <w:rFonts w:ascii="Arial" w:hAnsi="Arial" w:cs="Arial"/>
          <w:lang w:val="es-ES"/>
        </w:rPr>
        <w:t xml:space="preserve"> (*)</w:t>
      </w:r>
    </w:p>
    <w:p w:rsidR="007216B0" w:rsidRDefault="007216B0" w:rsidP="007216B0">
      <w:pPr>
        <w:spacing w:after="0" w:line="240" w:lineRule="auto"/>
        <w:ind w:left="1843"/>
        <w:jc w:val="both"/>
        <w:rPr>
          <w:rFonts w:ascii="Arial" w:eastAsia="Calibri" w:hAnsi="Arial" w:cs="Arial"/>
          <w:b/>
          <w:color w:val="FF0000"/>
          <w:sz w:val="16"/>
          <w:szCs w:val="16"/>
          <w:lang w:val="es-ES"/>
        </w:rPr>
      </w:pPr>
      <w:r>
        <w:rPr>
          <w:rFonts w:ascii="Arial" w:eastAsia="Calibri" w:hAnsi="Arial" w:cs="Arial"/>
          <w:b/>
          <w:color w:val="FF0000"/>
          <w:sz w:val="16"/>
          <w:szCs w:val="16"/>
          <w:lang w:val="es-ES"/>
        </w:rPr>
        <w:t>(*) Numeral modificado</w:t>
      </w:r>
      <w:r w:rsidRPr="006312E8">
        <w:rPr>
          <w:rFonts w:ascii="Arial" w:eastAsia="Calibri" w:hAnsi="Arial" w:cs="Arial"/>
          <w:b/>
          <w:color w:val="FF0000"/>
          <w:sz w:val="16"/>
          <w:szCs w:val="16"/>
          <w:lang w:val="es-ES"/>
        </w:rPr>
        <w:t xml:space="preserve"> por el </w:t>
      </w:r>
      <w:r>
        <w:rPr>
          <w:rFonts w:ascii="Arial" w:eastAsia="Calibri" w:hAnsi="Arial" w:cs="Arial"/>
          <w:b/>
          <w:color w:val="FF0000"/>
          <w:sz w:val="16"/>
          <w:szCs w:val="16"/>
          <w:lang w:val="es-ES"/>
        </w:rPr>
        <w:t>a</w:t>
      </w:r>
      <w:r w:rsidRPr="006312E8">
        <w:rPr>
          <w:rFonts w:ascii="Arial" w:eastAsia="Calibri" w:hAnsi="Arial" w:cs="Arial"/>
          <w:b/>
          <w:color w:val="FF0000"/>
          <w:sz w:val="16"/>
          <w:szCs w:val="16"/>
          <w:lang w:val="es-ES"/>
        </w:rPr>
        <w:t xml:space="preserve">rtículo </w:t>
      </w:r>
      <w:r>
        <w:rPr>
          <w:rFonts w:ascii="Arial" w:eastAsia="Calibri" w:hAnsi="Arial" w:cs="Arial"/>
          <w:b/>
          <w:color w:val="FF0000"/>
          <w:sz w:val="16"/>
          <w:szCs w:val="16"/>
          <w:lang w:val="es-ES"/>
        </w:rPr>
        <w:t>2</w:t>
      </w:r>
      <w:r w:rsidRPr="006312E8">
        <w:rPr>
          <w:rFonts w:ascii="Arial" w:eastAsia="Calibri" w:hAnsi="Arial" w:cs="Arial"/>
          <w:b/>
          <w:color w:val="FF0000"/>
          <w:sz w:val="16"/>
          <w:szCs w:val="16"/>
          <w:lang w:val="es-ES"/>
        </w:rPr>
        <w:t xml:space="preserve"> de la Resolución Nº </w:t>
      </w:r>
      <w:r>
        <w:rPr>
          <w:rFonts w:ascii="Arial" w:eastAsia="Calibri" w:hAnsi="Arial" w:cs="Arial"/>
          <w:b/>
          <w:color w:val="FF0000"/>
          <w:sz w:val="16"/>
          <w:szCs w:val="16"/>
          <w:lang w:val="es-ES"/>
        </w:rPr>
        <w:t>032</w:t>
      </w:r>
      <w:r w:rsidRPr="006312E8">
        <w:rPr>
          <w:rFonts w:ascii="Arial" w:eastAsia="Calibri" w:hAnsi="Arial" w:cs="Arial"/>
          <w:b/>
          <w:color w:val="FF0000"/>
          <w:sz w:val="16"/>
          <w:szCs w:val="16"/>
          <w:lang w:val="es-ES"/>
        </w:rPr>
        <w:t>-201</w:t>
      </w:r>
      <w:r>
        <w:rPr>
          <w:rFonts w:ascii="Arial" w:eastAsia="Calibri" w:hAnsi="Arial" w:cs="Arial"/>
          <w:b/>
          <w:color w:val="FF0000"/>
          <w:sz w:val="16"/>
          <w:szCs w:val="16"/>
          <w:lang w:val="es-ES"/>
        </w:rPr>
        <w:t>6</w:t>
      </w:r>
      <w:r w:rsidRPr="006312E8">
        <w:rPr>
          <w:rFonts w:ascii="Arial" w:eastAsia="Calibri" w:hAnsi="Arial" w:cs="Arial"/>
          <w:b/>
          <w:color w:val="FF0000"/>
          <w:sz w:val="16"/>
          <w:szCs w:val="16"/>
          <w:lang w:val="es-ES"/>
        </w:rPr>
        <w:t xml:space="preserve">-SBN, publicada el </w:t>
      </w:r>
      <w:r>
        <w:rPr>
          <w:rFonts w:ascii="Arial" w:eastAsia="Calibri" w:hAnsi="Arial" w:cs="Arial"/>
          <w:b/>
          <w:color w:val="FF0000"/>
          <w:sz w:val="16"/>
          <w:szCs w:val="16"/>
          <w:lang w:val="es-ES"/>
        </w:rPr>
        <w:t>03 abril de</w:t>
      </w:r>
      <w:r w:rsidRPr="006312E8">
        <w:rPr>
          <w:rFonts w:ascii="Arial" w:eastAsia="Calibri" w:hAnsi="Arial" w:cs="Arial"/>
          <w:b/>
          <w:color w:val="FF0000"/>
          <w:sz w:val="16"/>
          <w:szCs w:val="16"/>
          <w:lang w:val="es-ES"/>
        </w:rPr>
        <w:t xml:space="preserve"> 201</w:t>
      </w:r>
      <w:r>
        <w:rPr>
          <w:rFonts w:ascii="Arial" w:eastAsia="Calibri" w:hAnsi="Arial" w:cs="Arial"/>
          <w:b/>
          <w:color w:val="FF0000"/>
          <w:sz w:val="16"/>
          <w:szCs w:val="16"/>
          <w:lang w:val="es-ES"/>
        </w:rPr>
        <w:t>6</w:t>
      </w:r>
      <w:r w:rsidRPr="006312E8">
        <w:rPr>
          <w:rFonts w:ascii="Arial" w:eastAsia="Calibri" w:hAnsi="Arial" w:cs="Arial"/>
          <w:b/>
          <w:color w:val="FF0000"/>
          <w:sz w:val="16"/>
          <w:szCs w:val="16"/>
          <w:lang w:val="es-ES"/>
        </w:rPr>
        <w:t>.</w:t>
      </w:r>
    </w:p>
    <w:p w:rsidR="00D22235" w:rsidRPr="00D22235" w:rsidRDefault="00D22235" w:rsidP="00D22235">
      <w:pPr>
        <w:spacing w:after="0" w:line="240" w:lineRule="auto"/>
        <w:ind w:left="1843" w:hanging="850"/>
        <w:jc w:val="both"/>
        <w:rPr>
          <w:rFonts w:ascii="Arial" w:hAnsi="Arial" w:cs="Arial"/>
          <w:lang w:val="es-ES"/>
        </w:rPr>
      </w:pPr>
      <w:r w:rsidRPr="00D22235">
        <w:rPr>
          <w:rFonts w:ascii="Arial" w:hAnsi="Arial" w:cs="Arial"/>
          <w:lang w:val="es-ES"/>
        </w:rPr>
        <w:t xml:space="preserve"> </w:t>
      </w:r>
    </w:p>
    <w:p w:rsidR="00D22235" w:rsidRPr="00D22235" w:rsidRDefault="00D22235" w:rsidP="00D22235">
      <w:pPr>
        <w:spacing w:after="0" w:line="240" w:lineRule="auto"/>
        <w:ind w:left="1843" w:hanging="850"/>
        <w:jc w:val="both"/>
        <w:rPr>
          <w:rFonts w:ascii="Arial" w:hAnsi="Arial" w:cs="Arial"/>
          <w:lang w:val="es-ES"/>
        </w:rPr>
      </w:pPr>
    </w:p>
    <w:p w:rsidR="00D22235" w:rsidRPr="00D22235" w:rsidRDefault="00D22235" w:rsidP="00D22235">
      <w:pPr>
        <w:spacing w:after="0" w:line="240" w:lineRule="auto"/>
        <w:ind w:left="1843" w:hanging="850"/>
        <w:jc w:val="both"/>
        <w:rPr>
          <w:rFonts w:ascii="Arial" w:hAnsi="Arial" w:cs="Arial"/>
          <w:lang w:val="es-ES"/>
        </w:rPr>
      </w:pPr>
      <w:r w:rsidRPr="00D22235">
        <w:rPr>
          <w:rFonts w:ascii="Arial" w:hAnsi="Arial" w:cs="Arial"/>
          <w:lang w:val="es-ES"/>
        </w:rPr>
        <w:t>6.1.2</w:t>
      </w:r>
      <w:r w:rsidRPr="00D22235">
        <w:rPr>
          <w:rFonts w:ascii="Arial" w:hAnsi="Arial" w:cs="Arial"/>
          <w:lang w:val="es-ES"/>
        </w:rPr>
        <w:tab/>
        <w:t>La documentación que sustenta la emisión de la resolución de dominio, son los documentos proporcionados por el solicitante, detallados en el numeral 5.3 de la presente directiva, no siendo necesario ni obligatorio el cumplimiento de otros requisitos por parte de la SBN, tales como la inspección técnica del predio, obtención del certificado de parámetros urbanísticos o de zonificación y vías.</w:t>
      </w:r>
    </w:p>
    <w:p w:rsidR="00D22235" w:rsidRPr="00D22235" w:rsidRDefault="00D22235" w:rsidP="00D22235">
      <w:pPr>
        <w:spacing w:after="0" w:line="240" w:lineRule="auto"/>
        <w:ind w:left="1843" w:hanging="850"/>
        <w:jc w:val="both"/>
        <w:rPr>
          <w:rFonts w:ascii="Arial" w:hAnsi="Arial" w:cs="Arial"/>
          <w:lang w:val="es-ES"/>
        </w:rPr>
      </w:pPr>
    </w:p>
    <w:p w:rsidR="00D22235" w:rsidRDefault="00D22235" w:rsidP="00D22235">
      <w:pPr>
        <w:spacing w:after="0" w:line="240" w:lineRule="auto"/>
        <w:ind w:left="1843" w:hanging="850"/>
        <w:jc w:val="both"/>
        <w:rPr>
          <w:rFonts w:ascii="Arial" w:hAnsi="Arial" w:cs="Arial"/>
          <w:lang w:val="es-ES"/>
        </w:rPr>
      </w:pPr>
      <w:r w:rsidRPr="00D22235">
        <w:rPr>
          <w:rFonts w:ascii="Arial" w:hAnsi="Arial" w:cs="Arial"/>
          <w:lang w:val="es-ES"/>
        </w:rPr>
        <w:t>6.1.3</w:t>
      </w:r>
      <w:r w:rsidRPr="00D22235">
        <w:rPr>
          <w:rFonts w:ascii="Arial" w:hAnsi="Arial" w:cs="Arial"/>
          <w:lang w:val="es-ES"/>
        </w:rPr>
        <w:tab/>
      </w:r>
      <w:r w:rsidR="007216B0" w:rsidRPr="007216B0">
        <w:rPr>
          <w:rFonts w:ascii="Arial" w:hAnsi="Arial" w:cs="Arial"/>
          <w:lang w:val="es-ES"/>
        </w:rPr>
        <w:t>Dentro del plazo de cinco (05) días hábiles de expedida la resolución que dispone la primera inscripción de dominio a favor de la entidad pública solicitante, la UTD efectuará, por única vez, la publicación de dicha resolución en el Diario Oficial “El Peruano” y, de un extracto, en un diario de mayor circulación en la región en que se encuentre el predio</w:t>
      </w:r>
      <w:r w:rsidR="007216B0">
        <w:rPr>
          <w:rFonts w:ascii="Arial" w:hAnsi="Arial" w:cs="Arial"/>
          <w:lang w:val="es-ES"/>
        </w:rPr>
        <w:t>. (*)</w:t>
      </w:r>
    </w:p>
    <w:p w:rsidR="007216B0" w:rsidRDefault="007216B0" w:rsidP="007216B0">
      <w:pPr>
        <w:spacing w:after="0" w:line="240" w:lineRule="auto"/>
        <w:ind w:left="1843"/>
        <w:jc w:val="both"/>
        <w:rPr>
          <w:rFonts w:ascii="Arial" w:eastAsia="Calibri" w:hAnsi="Arial" w:cs="Arial"/>
          <w:b/>
          <w:color w:val="FF0000"/>
          <w:sz w:val="16"/>
          <w:szCs w:val="16"/>
          <w:lang w:val="es-ES"/>
        </w:rPr>
      </w:pPr>
      <w:r>
        <w:rPr>
          <w:rFonts w:ascii="Arial" w:eastAsia="Calibri" w:hAnsi="Arial" w:cs="Arial"/>
          <w:b/>
          <w:color w:val="FF0000"/>
          <w:sz w:val="16"/>
          <w:szCs w:val="16"/>
          <w:lang w:val="es-ES"/>
        </w:rPr>
        <w:t>(*) Numeral modificado</w:t>
      </w:r>
      <w:r w:rsidRPr="006312E8">
        <w:rPr>
          <w:rFonts w:ascii="Arial" w:eastAsia="Calibri" w:hAnsi="Arial" w:cs="Arial"/>
          <w:b/>
          <w:color w:val="FF0000"/>
          <w:sz w:val="16"/>
          <w:szCs w:val="16"/>
          <w:lang w:val="es-ES"/>
        </w:rPr>
        <w:t xml:space="preserve"> por el </w:t>
      </w:r>
      <w:r>
        <w:rPr>
          <w:rFonts w:ascii="Arial" w:eastAsia="Calibri" w:hAnsi="Arial" w:cs="Arial"/>
          <w:b/>
          <w:color w:val="FF0000"/>
          <w:sz w:val="16"/>
          <w:szCs w:val="16"/>
          <w:lang w:val="es-ES"/>
        </w:rPr>
        <w:t>a</w:t>
      </w:r>
      <w:r w:rsidRPr="006312E8">
        <w:rPr>
          <w:rFonts w:ascii="Arial" w:eastAsia="Calibri" w:hAnsi="Arial" w:cs="Arial"/>
          <w:b/>
          <w:color w:val="FF0000"/>
          <w:sz w:val="16"/>
          <w:szCs w:val="16"/>
          <w:lang w:val="es-ES"/>
        </w:rPr>
        <w:t xml:space="preserve">rtículo </w:t>
      </w:r>
      <w:r>
        <w:rPr>
          <w:rFonts w:ascii="Arial" w:eastAsia="Calibri" w:hAnsi="Arial" w:cs="Arial"/>
          <w:b/>
          <w:color w:val="FF0000"/>
          <w:sz w:val="16"/>
          <w:szCs w:val="16"/>
          <w:lang w:val="es-ES"/>
        </w:rPr>
        <w:t>2</w:t>
      </w:r>
      <w:r w:rsidRPr="006312E8">
        <w:rPr>
          <w:rFonts w:ascii="Arial" w:eastAsia="Calibri" w:hAnsi="Arial" w:cs="Arial"/>
          <w:b/>
          <w:color w:val="FF0000"/>
          <w:sz w:val="16"/>
          <w:szCs w:val="16"/>
          <w:lang w:val="es-ES"/>
        </w:rPr>
        <w:t xml:space="preserve"> de la Resolución Nº </w:t>
      </w:r>
      <w:r>
        <w:rPr>
          <w:rFonts w:ascii="Arial" w:eastAsia="Calibri" w:hAnsi="Arial" w:cs="Arial"/>
          <w:b/>
          <w:color w:val="FF0000"/>
          <w:sz w:val="16"/>
          <w:szCs w:val="16"/>
          <w:lang w:val="es-ES"/>
        </w:rPr>
        <w:t>032</w:t>
      </w:r>
      <w:r w:rsidRPr="006312E8">
        <w:rPr>
          <w:rFonts w:ascii="Arial" w:eastAsia="Calibri" w:hAnsi="Arial" w:cs="Arial"/>
          <w:b/>
          <w:color w:val="FF0000"/>
          <w:sz w:val="16"/>
          <w:szCs w:val="16"/>
          <w:lang w:val="es-ES"/>
        </w:rPr>
        <w:t>-201</w:t>
      </w:r>
      <w:r>
        <w:rPr>
          <w:rFonts w:ascii="Arial" w:eastAsia="Calibri" w:hAnsi="Arial" w:cs="Arial"/>
          <w:b/>
          <w:color w:val="FF0000"/>
          <w:sz w:val="16"/>
          <w:szCs w:val="16"/>
          <w:lang w:val="es-ES"/>
        </w:rPr>
        <w:t>6</w:t>
      </w:r>
      <w:r w:rsidRPr="006312E8">
        <w:rPr>
          <w:rFonts w:ascii="Arial" w:eastAsia="Calibri" w:hAnsi="Arial" w:cs="Arial"/>
          <w:b/>
          <w:color w:val="FF0000"/>
          <w:sz w:val="16"/>
          <w:szCs w:val="16"/>
          <w:lang w:val="es-ES"/>
        </w:rPr>
        <w:t xml:space="preserve">-SBN, publicada el </w:t>
      </w:r>
      <w:r>
        <w:rPr>
          <w:rFonts w:ascii="Arial" w:eastAsia="Calibri" w:hAnsi="Arial" w:cs="Arial"/>
          <w:b/>
          <w:color w:val="FF0000"/>
          <w:sz w:val="16"/>
          <w:szCs w:val="16"/>
          <w:lang w:val="es-ES"/>
        </w:rPr>
        <w:t>03 abril de</w:t>
      </w:r>
      <w:r w:rsidRPr="006312E8">
        <w:rPr>
          <w:rFonts w:ascii="Arial" w:eastAsia="Calibri" w:hAnsi="Arial" w:cs="Arial"/>
          <w:b/>
          <w:color w:val="FF0000"/>
          <w:sz w:val="16"/>
          <w:szCs w:val="16"/>
          <w:lang w:val="es-ES"/>
        </w:rPr>
        <w:t xml:space="preserve"> 201</w:t>
      </w:r>
      <w:r>
        <w:rPr>
          <w:rFonts w:ascii="Arial" w:eastAsia="Calibri" w:hAnsi="Arial" w:cs="Arial"/>
          <w:b/>
          <w:color w:val="FF0000"/>
          <w:sz w:val="16"/>
          <w:szCs w:val="16"/>
          <w:lang w:val="es-ES"/>
        </w:rPr>
        <w:t>6</w:t>
      </w:r>
      <w:r w:rsidRPr="006312E8">
        <w:rPr>
          <w:rFonts w:ascii="Arial" w:eastAsia="Calibri" w:hAnsi="Arial" w:cs="Arial"/>
          <w:b/>
          <w:color w:val="FF0000"/>
          <w:sz w:val="16"/>
          <w:szCs w:val="16"/>
          <w:lang w:val="es-ES"/>
        </w:rPr>
        <w:t>.</w:t>
      </w:r>
    </w:p>
    <w:p w:rsidR="007216B0" w:rsidRPr="00D22235" w:rsidRDefault="007216B0" w:rsidP="00D22235">
      <w:pPr>
        <w:spacing w:after="0" w:line="240" w:lineRule="auto"/>
        <w:ind w:left="1843" w:hanging="850"/>
        <w:jc w:val="both"/>
        <w:rPr>
          <w:rFonts w:ascii="Arial" w:hAnsi="Arial" w:cs="Arial"/>
          <w:lang w:val="es-ES"/>
        </w:rPr>
      </w:pPr>
    </w:p>
    <w:p w:rsidR="00D22235" w:rsidRPr="00D22235" w:rsidRDefault="00D22235" w:rsidP="00D22235">
      <w:pPr>
        <w:spacing w:after="0" w:line="240" w:lineRule="auto"/>
        <w:ind w:left="1843" w:hanging="850"/>
        <w:jc w:val="both"/>
        <w:rPr>
          <w:rFonts w:ascii="Arial" w:hAnsi="Arial" w:cs="Arial"/>
          <w:lang w:val="es-ES"/>
        </w:rPr>
      </w:pPr>
      <w:r w:rsidRPr="00D22235">
        <w:rPr>
          <w:rFonts w:ascii="Arial" w:hAnsi="Arial" w:cs="Arial"/>
          <w:lang w:val="es-ES"/>
        </w:rPr>
        <w:t>6.1.4</w:t>
      </w:r>
      <w:r w:rsidRPr="00D22235">
        <w:rPr>
          <w:rFonts w:ascii="Arial" w:hAnsi="Arial" w:cs="Arial"/>
          <w:lang w:val="es-ES"/>
        </w:rPr>
        <w:tab/>
        <w:t>Una vez publicada la resolución, la SDAPE solicitará a la Oficina Registral correspondiente de la SUNARP la inscripción del acto de primera inscripción de dominio, acompañando la documentación técnica sustentatoria.</w:t>
      </w:r>
    </w:p>
    <w:p w:rsidR="00D22235" w:rsidRPr="00D22235" w:rsidRDefault="00D22235" w:rsidP="00D22235">
      <w:pPr>
        <w:spacing w:after="0" w:line="240" w:lineRule="auto"/>
        <w:ind w:left="1843" w:hanging="850"/>
        <w:jc w:val="both"/>
        <w:rPr>
          <w:rFonts w:ascii="Arial" w:hAnsi="Arial" w:cs="Arial"/>
          <w:lang w:val="es-ES"/>
        </w:rPr>
      </w:pPr>
    </w:p>
    <w:p w:rsidR="00D22235" w:rsidRPr="00D22235" w:rsidRDefault="00D22235" w:rsidP="00D22235">
      <w:pPr>
        <w:spacing w:after="0" w:line="240" w:lineRule="auto"/>
        <w:ind w:left="1843" w:hanging="850"/>
        <w:jc w:val="both"/>
        <w:rPr>
          <w:rFonts w:ascii="Arial" w:hAnsi="Arial" w:cs="Arial"/>
          <w:lang w:val="es-ES"/>
        </w:rPr>
      </w:pPr>
      <w:r w:rsidRPr="00D22235">
        <w:rPr>
          <w:rFonts w:ascii="Arial" w:hAnsi="Arial" w:cs="Arial"/>
          <w:lang w:val="es-ES"/>
        </w:rPr>
        <w:t>6.1.5</w:t>
      </w:r>
      <w:r w:rsidRPr="00D22235">
        <w:rPr>
          <w:rFonts w:ascii="Arial" w:hAnsi="Arial" w:cs="Arial"/>
          <w:lang w:val="es-ES"/>
        </w:rPr>
        <w:tab/>
        <w:t>Para la inscripción registral se adjuntará a la Resolución aprobatoria, los planos perimétricos y de ubicación y la memoria descriptiva presentados por el solicitante, lo cual constituye título suficiente para la inscripción registral.</w:t>
      </w:r>
    </w:p>
    <w:p w:rsidR="00D22235" w:rsidRPr="00D22235" w:rsidRDefault="00D22235" w:rsidP="00D22235">
      <w:pPr>
        <w:spacing w:after="0" w:line="240" w:lineRule="auto"/>
        <w:ind w:left="1843" w:hanging="850"/>
        <w:jc w:val="both"/>
        <w:rPr>
          <w:rFonts w:ascii="Arial" w:hAnsi="Arial" w:cs="Arial"/>
          <w:lang w:val="es-ES"/>
        </w:rPr>
      </w:pPr>
    </w:p>
    <w:p w:rsidR="00D22235" w:rsidRPr="00D22235" w:rsidRDefault="00D22235" w:rsidP="00D22235">
      <w:pPr>
        <w:spacing w:after="0" w:line="240" w:lineRule="auto"/>
        <w:ind w:left="1843" w:hanging="850"/>
        <w:jc w:val="both"/>
        <w:rPr>
          <w:rFonts w:ascii="Arial" w:hAnsi="Arial" w:cs="Arial"/>
          <w:lang w:val="es-ES"/>
        </w:rPr>
      </w:pPr>
      <w:r w:rsidRPr="00D22235">
        <w:rPr>
          <w:rFonts w:ascii="Arial" w:hAnsi="Arial" w:cs="Arial"/>
          <w:lang w:val="es-ES"/>
        </w:rPr>
        <w:t>6.1.6</w:t>
      </w:r>
      <w:r w:rsidRPr="00D22235">
        <w:rPr>
          <w:rFonts w:ascii="Arial" w:hAnsi="Arial" w:cs="Arial"/>
          <w:lang w:val="es-ES"/>
        </w:rPr>
        <w:tab/>
        <w:t>De existir observaciones de la SUNARP por la existencia de superposiciones con otros predios de propiedad privada, la SDAPE comunica dicha situación al solicitante, a fin que tome como base el área que corresponde al dominio del Estado, y efectúe los recortes que sean necesarios, luego de lo cual adecuará el procedimiento antes descrito, reingresando a la SUNARP la solicitud de inscripción con el área modificada, en cuyo caso se inicia un nuevo cómputo del plazo establecido en el numeral 41.1 del artículo 41° de la Ley.</w:t>
      </w:r>
    </w:p>
    <w:p w:rsidR="00D22235" w:rsidRPr="00D22235" w:rsidRDefault="00D22235" w:rsidP="00D22235">
      <w:pPr>
        <w:spacing w:after="0" w:line="240" w:lineRule="auto"/>
        <w:ind w:left="1843" w:hanging="850"/>
        <w:jc w:val="both"/>
        <w:rPr>
          <w:rFonts w:ascii="Arial" w:hAnsi="Arial" w:cs="Arial"/>
          <w:lang w:val="es-ES"/>
        </w:rPr>
      </w:pPr>
    </w:p>
    <w:p w:rsidR="00D22235" w:rsidRDefault="00D22235" w:rsidP="00D22235">
      <w:pPr>
        <w:spacing w:after="0" w:line="240" w:lineRule="auto"/>
        <w:ind w:left="1843" w:hanging="850"/>
        <w:jc w:val="both"/>
        <w:rPr>
          <w:rFonts w:ascii="Arial" w:hAnsi="Arial" w:cs="Arial"/>
          <w:lang w:val="es-ES"/>
        </w:rPr>
      </w:pPr>
      <w:r w:rsidRPr="00D22235">
        <w:rPr>
          <w:rFonts w:ascii="Arial" w:hAnsi="Arial" w:cs="Arial"/>
          <w:lang w:val="es-ES"/>
        </w:rPr>
        <w:t>6.1.7</w:t>
      </w:r>
      <w:r w:rsidRPr="00D22235">
        <w:rPr>
          <w:rFonts w:ascii="Arial" w:hAnsi="Arial" w:cs="Arial"/>
          <w:lang w:val="es-ES"/>
        </w:rPr>
        <w:tab/>
      </w:r>
      <w:r w:rsidR="007216B0" w:rsidRPr="007216B0">
        <w:rPr>
          <w:rFonts w:ascii="Arial" w:hAnsi="Arial" w:cs="Arial"/>
          <w:lang w:val="es-ES"/>
        </w:rPr>
        <w:t>En caso que la primera inscripción de dominio se hubiere efectuado anotando en el rubro de cargas y gravámenes y que la resolución no se encuentra firme, de conformidad con lo establecido en el artículo 10 del Reglamento de Inscripciones del Registro de Predios, aprobado por la Resolución Nº 097-2013-SUNARP-SN, una vez que quede firme dicha resolución la SDAPE solicita al Registro de Predios el levantamiento de mencionada carga.</w:t>
      </w:r>
      <w:r w:rsidR="007216B0">
        <w:rPr>
          <w:rFonts w:ascii="Arial" w:hAnsi="Arial" w:cs="Arial"/>
          <w:lang w:val="es-ES"/>
        </w:rPr>
        <w:t xml:space="preserve"> (*)</w:t>
      </w:r>
    </w:p>
    <w:p w:rsidR="007216B0" w:rsidRPr="00D22235" w:rsidRDefault="007216B0" w:rsidP="00D22235">
      <w:pPr>
        <w:spacing w:after="0" w:line="240" w:lineRule="auto"/>
        <w:ind w:left="1843" w:hanging="850"/>
        <w:jc w:val="both"/>
        <w:rPr>
          <w:rFonts w:ascii="Arial" w:hAnsi="Arial" w:cs="Arial"/>
          <w:lang w:val="es-ES"/>
        </w:rPr>
      </w:pPr>
      <w:r>
        <w:rPr>
          <w:rFonts w:ascii="Arial" w:hAnsi="Arial" w:cs="Arial"/>
          <w:lang w:val="es-ES"/>
        </w:rPr>
        <w:tab/>
      </w:r>
      <w:r>
        <w:rPr>
          <w:rFonts w:ascii="Arial" w:eastAsia="Calibri" w:hAnsi="Arial" w:cs="Arial"/>
          <w:b/>
          <w:color w:val="FF0000"/>
          <w:sz w:val="16"/>
          <w:szCs w:val="16"/>
          <w:lang w:val="es-ES"/>
        </w:rPr>
        <w:t>(*) Numeral modificado</w:t>
      </w:r>
      <w:r w:rsidRPr="006312E8">
        <w:rPr>
          <w:rFonts w:ascii="Arial" w:eastAsia="Calibri" w:hAnsi="Arial" w:cs="Arial"/>
          <w:b/>
          <w:color w:val="FF0000"/>
          <w:sz w:val="16"/>
          <w:szCs w:val="16"/>
          <w:lang w:val="es-ES"/>
        </w:rPr>
        <w:t xml:space="preserve"> por el </w:t>
      </w:r>
      <w:r>
        <w:rPr>
          <w:rFonts w:ascii="Arial" w:eastAsia="Calibri" w:hAnsi="Arial" w:cs="Arial"/>
          <w:b/>
          <w:color w:val="FF0000"/>
          <w:sz w:val="16"/>
          <w:szCs w:val="16"/>
          <w:lang w:val="es-ES"/>
        </w:rPr>
        <w:t>a</w:t>
      </w:r>
      <w:r w:rsidRPr="006312E8">
        <w:rPr>
          <w:rFonts w:ascii="Arial" w:eastAsia="Calibri" w:hAnsi="Arial" w:cs="Arial"/>
          <w:b/>
          <w:color w:val="FF0000"/>
          <w:sz w:val="16"/>
          <w:szCs w:val="16"/>
          <w:lang w:val="es-ES"/>
        </w:rPr>
        <w:t xml:space="preserve">rtículo </w:t>
      </w:r>
      <w:r>
        <w:rPr>
          <w:rFonts w:ascii="Arial" w:eastAsia="Calibri" w:hAnsi="Arial" w:cs="Arial"/>
          <w:b/>
          <w:color w:val="FF0000"/>
          <w:sz w:val="16"/>
          <w:szCs w:val="16"/>
          <w:lang w:val="es-ES"/>
        </w:rPr>
        <w:t>2</w:t>
      </w:r>
      <w:r w:rsidRPr="006312E8">
        <w:rPr>
          <w:rFonts w:ascii="Arial" w:eastAsia="Calibri" w:hAnsi="Arial" w:cs="Arial"/>
          <w:b/>
          <w:color w:val="FF0000"/>
          <w:sz w:val="16"/>
          <w:szCs w:val="16"/>
          <w:lang w:val="es-ES"/>
        </w:rPr>
        <w:t xml:space="preserve"> de la Resolución Nº </w:t>
      </w:r>
      <w:r>
        <w:rPr>
          <w:rFonts w:ascii="Arial" w:eastAsia="Calibri" w:hAnsi="Arial" w:cs="Arial"/>
          <w:b/>
          <w:color w:val="FF0000"/>
          <w:sz w:val="16"/>
          <w:szCs w:val="16"/>
          <w:lang w:val="es-ES"/>
        </w:rPr>
        <w:t>032</w:t>
      </w:r>
      <w:r w:rsidRPr="006312E8">
        <w:rPr>
          <w:rFonts w:ascii="Arial" w:eastAsia="Calibri" w:hAnsi="Arial" w:cs="Arial"/>
          <w:b/>
          <w:color w:val="FF0000"/>
          <w:sz w:val="16"/>
          <w:szCs w:val="16"/>
          <w:lang w:val="es-ES"/>
        </w:rPr>
        <w:t>-201</w:t>
      </w:r>
      <w:r>
        <w:rPr>
          <w:rFonts w:ascii="Arial" w:eastAsia="Calibri" w:hAnsi="Arial" w:cs="Arial"/>
          <w:b/>
          <w:color w:val="FF0000"/>
          <w:sz w:val="16"/>
          <w:szCs w:val="16"/>
          <w:lang w:val="es-ES"/>
        </w:rPr>
        <w:t>6</w:t>
      </w:r>
      <w:r w:rsidRPr="006312E8">
        <w:rPr>
          <w:rFonts w:ascii="Arial" w:eastAsia="Calibri" w:hAnsi="Arial" w:cs="Arial"/>
          <w:b/>
          <w:color w:val="FF0000"/>
          <w:sz w:val="16"/>
          <w:szCs w:val="16"/>
          <w:lang w:val="es-ES"/>
        </w:rPr>
        <w:t xml:space="preserve">-SBN, publicada el </w:t>
      </w:r>
      <w:r>
        <w:rPr>
          <w:rFonts w:ascii="Arial" w:eastAsia="Calibri" w:hAnsi="Arial" w:cs="Arial"/>
          <w:b/>
          <w:color w:val="FF0000"/>
          <w:sz w:val="16"/>
          <w:szCs w:val="16"/>
          <w:lang w:val="es-ES"/>
        </w:rPr>
        <w:t>03 abril de</w:t>
      </w:r>
      <w:r w:rsidRPr="006312E8">
        <w:rPr>
          <w:rFonts w:ascii="Arial" w:eastAsia="Calibri" w:hAnsi="Arial" w:cs="Arial"/>
          <w:b/>
          <w:color w:val="FF0000"/>
          <w:sz w:val="16"/>
          <w:szCs w:val="16"/>
          <w:lang w:val="es-ES"/>
        </w:rPr>
        <w:t xml:space="preserve"> 201</w:t>
      </w:r>
      <w:r>
        <w:rPr>
          <w:rFonts w:ascii="Arial" w:eastAsia="Calibri" w:hAnsi="Arial" w:cs="Arial"/>
          <w:b/>
          <w:color w:val="FF0000"/>
          <w:sz w:val="16"/>
          <w:szCs w:val="16"/>
          <w:lang w:val="es-ES"/>
        </w:rPr>
        <w:t>6</w:t>
      </w:r>
      <w:r w:rsidRPr="006312E8">
        <w:rPr>
          <w:rFonts w:ascii="Arial" w:eastAsia="Calibri" w:hAnsi="Arial" w:cs="Arial"/>
          <w:b/>
          <w:color w:val="FF0000"/>
          <w:sz w:val="16"/>
          <w:szCs w:val="16"/>
          <w:lang w:val="es-ES"/>
        </w:rPr>
        <w:t>.</w:t>
      </w:r>
    </w:p>
    <w:p w:rsidR="00D22235" w:rsidRPr="00D22235" w:rsidRDefault="00D22235" w:rsidP="00D22235">
      <w:pPr>
        <w:spacing w:after="0" w:line="240" w:lineRule="auto"/>
        <w:ind w:left="1843" w:hanging="850"/>
        <w:jc w:val="both"/>
        <w:rPr>
          <w:rFonts w:ascii="Arial" w:hAnsi="Arial" w:cs="Arial"/>
          <w:lang w:val="es-ES"/>
        </w:rPr>
      </w:pPr>
    </w:p>
    <w:p w:rsidR="00D22235" w:rsidRDefault="00D22235" w:rsidP="00D22235">
      <w:pPr>
        <w:spacing w:after="0" w:line="240" w:lineRule="auto"/>
        <w:ind w:left="1843" w:hanging="850"/>
        <w:jc w:val="both"/>
        <w:rPr>
          <w:rFonts w:ascii="Arial" w:hAnsi="Arial" w:cs="Arial"/>
          <w:lang w:val="es-ES"/>
        </w:rPr>
      </w:pPr>
      <w:r w:rsidRPr="00D22235">
        <w:rPr>
          <w:rFonts w:ascii="Arial" w:hAnsi="Arial" w:cs="Arial"/>
          <w:lang w:val="es-ES"/>
        </w:rPr>
        <w:t>6.1.8</w:t>
      </w:r>
      <w:r w:rsidRPr="00D22235">
        <w:rPr>
          <w:rFonts w:ascii="Arial" w:hAnsi="Arial" w:cs="Arial"/>
          <w:lang w:val="es-ES"/>
        </w:rPr>
        <w:tab/>
      </w:r>
      <w:r w:rsidR="00DB1DCC" w:rsidRPr="00DB1DCC">
        <w:rPr>
          <w:rFonts w:ascii="Arial" w:hAnsi="Arial" w:cs="Arial"/>
          <w:lang w:val="es-ES"/>
        </w:rPr>
        <w:t>Una vez inscrito el predio en el Registro de Predios, la SDAPE procede a remitir la documentación legal y técnica a la SDRC para su registro en el SINABIP, comunicándose al solicitante.</w:t>
      </w:r>
      <w:r w:rsidR="007216B0">
        <w:rPr>
          <w:rFonts w:ascii="Arial" w:hAnsi="Arial" w:cs="Arial"/>
          <w:lang w:val="es-ES"/>
        </w:rPr>
        <w:t xml:space="preserve"> (*)</w:t>
      </w:r>
    </w:p>
    <w:p w:rsidR="007216B0" w:rsidRPr="00D22235" w:rsidRDefault="007216B0" w:rsidP="007216B0">
      <w:pPr>
        <w:spacing w:after="0" w:line="240" w:lineRule="auto"/>
        <w:ind w:left="1843"/>
        <w:jc w:val="both"/>
        <w:rPr>
          <w:rFonts w:ascii="Arial" w:hAnsi="Arial" w:cs="Arial"/>
          <w:lang w:val="es-ES"/>
        </w:rPr>
      </w:pPr>
      <w:r>
        <w:rPr>
          <w:rFonts w:ascii="Arial" w:eastAsia="Calibri" w:hAnsi="Arial" w:cs="Arial"/>
          <w:b/>
          <w:color w:val="FF0000"/>
          <w:sz w:val="16"/>
          <w:szCs w:val="16"/>
          <w:lang w:val="es-ES"/>
        </w:rPr>
        <w:t>(*) Numeral modificado</w:t>
      </w:r>
      <w:r w:rsidRPr="006312E8">
        <w:rPr>
          <w:rFonts w:ascii="Arial" w:eastAsia="Calibri" w:hAnsi="Arial" w:cs="Arial"/>
          <w:b/>
          <w:color w:val="FF0000"/>
          <w:sz w:val="16"/>
          <w:szCs w:val="16"/>
          <w:lang w:val="es-ES"/>
        </w:rPr>
        <w:t xml:space="preserve"> por el </w:t>
      </w:r>
      <w:r>
        <w:rPr>
          <w:rFonts w:ascii="Arial" w:eastAsia="Calibri" w:hAnsi="Arial" w:cs="Arial"/>
          <w:b/>
          <w:color w:val="FF0000"/>
          <w:sz w:val="16"/>
          <w:szCs w:val="16"/>
          <w:lang w:val="es-ES"/>
        </w:rPr>
        <w:t>a</w:t>
      </w:r>
      <w:r w:rsidRPr="006312E8">
        <w:rPr>
          <w:rFonts w:ascii="Arial" w:eastAsia="Calibri" w:hAnsi="Arial" w:cs="Arial"/>
          <w:b/>
          <w:color w:val="FF0000"/>
          <w:sz w:val="16"/>
          <w:szCs w:val="16"/>
          <w:lang w:val="es-ES"/>
        </w:rPr>
        <w:t xml:space="preserve">rtículo </w:t>
      </w:r>
      <w:r>
        <w:rPr>
          <w:rFonts w:ascii="Arial" w:eastAsia="Calibri" w:hAnsi="Arial" w:cs="Arial"/>
          <w:b/>
          <w:color w:val="FF0000"/>
          <w:sz w:val="16"/>
          <w:szCs w:val="16"/>
          <w:lang w:val="es-ES"/>
        </w:rPr>
        <w:t>2</w:t>
      </w:r>
      <w:r w:rsidRPr="006312E8">
        <w:rPr>
          <w:rFonts w:ascii="Arial" w:eastAsia="Calibri" w:hAnsi="Arial" w:cs="Arial"/>
          <w:b/>
          <w:color w:val="FF0000"/>
          <w:sz w:val="16"/>
          <w:szCs w:val="16"/>
          <w:lang w:val="es-ES"/>
        </w:rPr>
        <w:t xml:space="preserve"> de la Resolución Nº </w:t>
      </w:r>
      <w:r>
        <w:rPr>
          <w:rFonts w:ascii="Arial" w:eastAsia="Calibri" w:hAnsi="Arial" w:cs="Arial"/>
          <w:b/>
          <w:color w:val="FF0000"/>
          <w:sz w:val="16"/>
          <w:szCs w:val="16"/>
          <w:lang w:val="es-ES"/>
        </w:rPr>
        <w:t>032</w:t>
      </w:r>
      <w:r w:rsidRPr="006312E8">
        <w:rPr>
          <w:rFonts w:ascii="Arial" w:eastAsia="Calibri" w:hAnsi="Arial" w:cs="Arial"/>
          <w:b/>
          <w:color w:val="FF0000"/>
          <w:sz w:val="16"/>
          <w:szCs w:val="16"/>
          <w:lang w:val="es-ES"/>
        </w:rPr>
        <w:t>-201</w:t>
      </w:r>
      <w:r>
        <w:rPr>
          <w:rFonts w:ascii="Arial" w:eastAsia="Calibri" w:hAnsi="Arial" w:cs="Arial"/>
          <w:b/>
          <w:color w:val="FF0000"/>
          <w:sz w:val="16"/>
          <w:szCs w:val="16"/>
          <w:lang w:val="es-ES"/>
        </w:rPr>
        <w:t>6</w:t>
      </w:r>
      <w:r w:rsidRPr="006312E8">
        <w:rPr>
          <w:rFonts w:ascii="Arial" w:eastAsia="Calibri" w:hAnsi="Arial" w:cs="Arial"/>
          <w:b/>
          <w:color w:val="FF0000"/>
          <w:sz w:val="16"/>
          <w:szCs w:val="16"/>
          <w:lang w:val="es-ES"/>
        </w:rPr>
        <w:t xml:space="preserve">-SBN, publicada el </w:t>
      </w:r>
      <w:r>
        <w:rPr>
          <w:rFonts w:ascii="Arial" w:eastAsia="Calibri" w:hAnsi="Arial" w:cs="Arial"/>
          <w:b/>
          <w:color w:val="FF0000"/>
          <w:sz w:val="16"/>
          <w:szCs w:val="16"/>
          <w:lang w:val="es-ES"/>
        </w:rPr>
        <w:t>03 abril de</w:t>
      </w:r>
      <w:r w:rsidRPr="006312E8">
        <w:rPr>
          <w:rFonts w:ascii="Arial" w:eastAsia="Calibri" w:hAnsi="Arial" w:cs="Arial"/>
          <w:b/>
          <w:color w:val="FF0000"/>
          <w:sz w:val="16"/>
          <w:szCs w:val="16"/>
          <w:lang w:val="es-ES"/>
        </w:rPr>
        <w:t xml:space="preserve"> 201</w:t>
      </w:r>
      <w:r>
        <w:rPr>
          <w:rFonts w:ascii="Arial" w:eastAsia="Calibri" w:hAnsi="Arial" w:cs="Arial"/>
          <w:b/>
          <w:color w:val="FF0000"/>
          <w:sz w:val="16"/>
          <w:szCs w:val="16"/>
          <w:lang w:val="es-ES"/>
        </w:rPr>
        <w:t>6</w:t>
      </w:r>
      <w:r w:rsidRPr="006312E8">
        <w:rPr>
          <w:rFonts w:ascii="Arial" w:eastAsia="Calibri" w:hAnsi="Arial" w:cs="Arial"/>
          <w:b/>
          <w:color w:val="FF0000"/>
          <w:sz w:val="16"/>
          <w:szCs w:val="16"/>
          <w:lang w:val="es-ES"/>
        </w:rPr>
        <w:t>.</w:t>
      </w:r>
    </w:p>
    <w:p w:rsidR="00D22235" w:rsidRPr="00D22235" w:rsidRDefault="00D22235" w:rsidP="00D22235">
      <w:pPr>
        <w:spacing w:after="0" w:line="240" w:lineRule="auto"/>
        <w:jc w:val="both"/>
        <w:rPr>
          <w:rFonts w:ascii="Arial" w:hAnsi="Arial" w:cs="Arial"/>
          <w:lang w:val="es-ES"/>
        </w:rPr>
      </w:pPr>
    </w:p>
    <w:p w:rsidR="00D22235" w:rsidRPr="00D22235" w:rsidRDefault="00D22235" w:rsidP="00D22235">
      <w:pPr>
        <w:spacing w:after="0" w:line="240" w:lineRule="auto"/>
        <w:ind w:left="1134" w:hanging="708"/>
        <w:jc w:val="both"/>
        <w:rPr>
          <w:rFonts w:ascii="Arial" w:hAnsi="Arial" w:cs="Arial"/>
          <w:b/>
          <w:lang w:val="es-ES"/>
        </w:rPr>
      </w:pPr>
      <w:r w:rsidRPr="00D22235">
        <w:rPr>
          <w:rFonts w:ascii="Arial" w:hAnsi="Arial" w:cs="Arial"/>
          <w:b/>
          <w:lang w:val="es-ES"/>
        </w:rPr>
        <w:t>6.2</w:t>
      </w:r>
      <w:r w:rsidRPr="00D22235">
        <w:rPr>
          <w:rFonts w:ascii="Arial" w:hAnsi="Arial" w:cs="Arial"/>
          <w:b/>
          <w:lang w:val="es-ES"/>
        </w:rPr>
        <w:tab/>
        <w:t>PROCEDIMIENTO DE TRANSFERENCIA DE PROPIEDAD ESTATAL</w:t>
      </w:r>
    </w:p>
    <w:p w:rsidR="00D22235" w:rsidRPr="00D22235" w:rsidRDefault="00D22235" w:rsidP="00D22235">
      <w:pPr>
        <w:spacing w:after="0" w:line="240" w:lineRule="auto"/>
        <w:jc w:val="both"/>
        <w:rPr>
          <w:rFonts w:ascii="Arial" w:hAnsi="Arial" w:cs="Arial"/>
          <w:lang w:val="es-ES"/>
        </w:rPr>
      </w:pPr>
    </w:p>
    <w:p w:rsidR="00D22235" w:rsidRPr="00D22235" w:rsidRDefault="00D22235" w:rsidP="00D22235">
      <w:pPr>
        <w:spacing w:after="0" w:line="240" w:lineRule="auto"/>
        <w:ind w:left="1843" w:hanging="850"/>
        <w:jc w:val="both"/>
        <w:rPr>
          <w:rFonts w:ascii="Arial" w:hAnsi="Arial" w:cs="Arial"/>
          <w:lang w:val="es-ES"/>
        </w:rPr>
      </w:pPr>
      <w:r w:rsidRPr="00D22235">
        <w:rPr>
          <w:rFonts w:ascii="Arial" w:hAnsi="Arial" w:cs="Arial"/>
          <w:lang w:val="es-ES"/>
        </w:rPr>
        <w:t>6.2.1</w:t>
      </w:r>
      <w:r w:rsidRPr="00D22235">
        <w:rPr>
          <w:rFonts w:ascii="Arial" w:hAnsi="Arial" w:cs="Arial"/>
          <w:lang w:val="es-ES"/>
        </w:rPr>
        <w:tab/>
        <w:t>Presentada la solicitud de transferencia, la SDDI, apertura un expediente por cada predio.</w:t>
      </w:r>
    </w:p>
    <w:p w:rsidR="00D22235" w:rsidRPr="00D22235" w:rsidRDefault="00D22235" w:rsidP="00D22235">
      <w:pPr>
        <w:spacing w:after="0" w:line="240" w:lineRule="auto"/>
        <w:ind w:left="1843" w:hanging="850"/>
        <w:jc w:val="both"/>
        <w:rPr>
          <w:rFonts w:ascii="Arial" w:hAnsi="Arial" w:cs="Arial"/>
          <w:lang w:val="es-ES"/>
        </w:rPr>
      </w:pPr>
    </w:p>
    <w:p w:rsidR="00D22235" w:rsidRPr="00D22235" w:rsidRDefault="00D22235" w:rsidP="00D22235">
      <w:pPr>
        <w:spacing w:after="0" w:line="240" w:lineRule="auto"/>
        <w:ind w:left="1843"/>
        <w:jc w:val="both"/>
        <w:rPr>
          <w:rFonts w:ascii="Arial" w:hAnsi="Arial" w:cs="Arial"/>
          <w:lang w:val="es-ES"/>
        </w:rPr>
      </w:pPr>
      <w:r w:rsidRPr="00D22235">
        <w:rPr>
          <w:rFonts w:ascii="Arial" w:hAnsi="Arial" w:cs="Arial"/>
          <w:lang w:val="es-ES"/>
        </w:rPr>
        <w:t>Cuando el proyecto comprenda varios predios estatales colindantes o no, la SDDI puede organizar en un solo expediente el trámite de la transferencia, si así lo considera, de acuerdo a la información presentada en el plan de saneamiento físico y legal.</w:t>
      </w:r>
    </w:p>
    <w:p w:rsidR="00D22235" w:rsidRPr="00D22235" w:rsidRDefault="00D22235" w:rsidP="00D22235">
      <w:pPr>
        <w:spacing w:after="0" w:line="240" w:lineRule="auto"/>
        <w:ind w:left="1843" w:hanging="850"/>
        <w:jc w:val="both"/>
        <w:rPr>
          <w:rFonts w:ascii="Arial" w:hAnsi="Arial" w:cs="Arial"/>
          <w:lang w:val="es-ES"/>
        </w:rPr>
      </w:pPr>
    </w:p>
    <w:p w:rsidR="00D22235" w:rsidRPr="00D22235" w:rsidRDefault="00D22235" w:rsidP="00D22235">
      <w:pPr>
        <w:spacing w:after="0" w:line="240" w:lineRule="auto"/>
        <w:ind w:left="1843" w:hanging="850"/>
        <w:jc w:val="both"/>
        <w:rPr>
          <w:rFonts w:ascii="Arial" w:hAnsi="Arial" w:cs="Arial"/>
          <w:lang w:val="es-ES"/>
        </w:rPr>
      </w:pPr>
      <w:r w:rsidRPr="00D22235">
        <w:rPr>
          <w:rFonts w:ascii="Arial" w:hAnsi="Arial" w:cs="Arial"/>
          <w:lang w:val="es-ES"/>
        </w:rPr>
        <w:t>6.2.2</w:t>
      </w:r>
      <w:r w:rsidRPr="00D22235">
        <w:rPr>
          <w:rFonts w:ascii="Arial" w:hAnsi="Arial" w:cs="Arial"/>
          <w:lang w:val="es-ES"/>
        </w:rPr>
        <w:tab/>
        <w:t>El procedimiento de anotación preventiva y la transferencia se efectúan sobre la base de la información brindada por el solicitante, no siendo necesario ni obligatorio el cumplimiento de otros requisitos por parte de la SBN, tales como la inspección técnica del predio, obtención del certificado de parámetros urbanísticos o de zonificación y vías.</w:t>
      </w:r>
    </w:p>
    <w:p w:rsidR="00D22235" w:rsidRPr="00D22235" w:rsidRDefault="00D22235" w:rsidP="00D22235">
      <w:pPr>
        <w:spacing w:after="0" w:line="240" w:lineRule="auto"/>
        <w:ind w:left="1843" w:hanging="850"/>
        <w:jc w:val="both"/>
        <w:rPr>
          <w:rFonts w:ascii="Arial" w:hAnsi="Arial" w:cs="Arial"/>
          <w:lang w:val="es-ES"/>
        </w:rPr>
      </w:pPr>
    </w:p>
    <w:p w:rsidR="00D22235" w:rsidRDefault="00D22235" w:rsidP="00D22235">
      <w:pPr>
        <w:spacing w:after="0" w:line="240" w:lineRule="auto"/>
        <w:ind w:left="1843" w:hanging="850"/>
        <w:jc w:val="both"/>
        <w:rPr>
          <w:rFonts w:ascii="Arial" w:hAnsi="Arial" w:cs="Arial"/>
          <w:lang w:val="es-ES"/>
        </w:rPr>
      </w:pPr>
      <w:r w:rsidRPr="00D22235">
        <w:rPr>
          <w:rFonts w:ascii="Arial" w:hAnsi="Arial" w:cs="Arial"/>
          <w:lang w:val="es-ES"/>
        </w:rPr>
        <w:t>6.2.3</w:t>
      </w:r>
      <w:r w:rsidRPr="00D22235">
        <w:rPr>
          <w:rFonts w:ascii="Arial" w:hAnsi="Arial" w:cs="Arial"/>
          <w:lang w:val="es-ES"/>
        </w:rPr>
        <w:tab/>
      </w:r>
      <w:r w:rsidR="007216B0" w:rsidRPr="007216B0">
        <w:rPr>
          <w:rFonts w:ascii="Arial" w:hAnsi="Arial" w:cs="Arial"/>
          <w:lang w:val="es-ES"/>
        </w:rPr>
        <w:t>Desde la presentación de la solicitud de transferencia, la SDDI, en el plazo máximo de dos (02) días hábiles, solicita la anotación preventiva del inicio del procedimiento de transferencia ante la SUNARP, precisando el número de la partida registral del predio objeto de transferencia. De manera paralela, la SDDI solicita a la SDRC el registro de la anotación preventiva en el SINABIP, adjuntando copia de los planos correspondientes</w:t>
      </w:r>
      <w:r w:rsidR="007216B0">
        <w:rPr>
          <w:rFonts w:ascii="Arial" w:hAnsi="Arial" w:cs="Arial"/>
          <w:lang w:val="es-ES"/>
        </w:rPr>
        <w:t>. (*)</w:t>
      </w:r>
    </w:p>
    <w:p w:rsidR="007216B0" w:rsidRPr="00D22235" w:rsidRDefault="007216B0" w:rsidP="007216B0">
      <w:pPr>
        <w:spacing w:after="0" w:line="240" w:lineRule="auto"/>
        <w:ind w:left="1843"/>
        <w:jc w:val="both"/>
        <w:rPr>
          <w:rFonts w:ascii="Arial" w:hAnsi="Arial" w:cs="Arial"/>
          <w:lang w:val="es-ES"/>
        </w:rPr>
      </w:pPr>
      <w:r>
        <w:rPr>
          <w:rFonts w:ascii="Arial" w:eastAsia="Calibri" w:hAnsi="Arial" w:cs="Arial"/>
          <w:b/>
          <w:color w:val="FF0000"/>
          <w:sz w:val="16"/>
          <w:szCs w:val="16"/>
          <w:lang w:val="es-ES"/>
        </w:rPr>
        <w:t>(*) Numeral modificado</w:t>
      </w:r>
      <w:r w:rsidRPr="006312E8">
        <w:rPr>
          <w:rFonts w:ascii="Arial" w:eastAsia="Calibri" w:hAnsi="Arial" w:cs="Arial"/>
          <w:b/>
          <w:color w:val="FF0000"/>
          <w:sz w:val="16"/>
          <w:szCs w:val="16"/>
          <w:lang w:val="es-ES"/>
        </w:rPr>
        <w:t xml:space="preserve"> por el </w:t>
      </w:r>
      <w:r>
        <w:rPr>
          <w:rFonts w:ascii="Arial" w:eastAsia="Calibri" w:hAnsi="Arial" w:cs="Arial"/>
          <w:b/>
          <w:color w:val="FF0000"/>
          <w:sz w:val="16"/>
          <w:szCs w:val="16"/>
          <w:lang w:val="es-ES"/>
        </w:rPr>
        <w:t>a</w:t>
      </w:r>
      <w:r w:rsidRPr="006312E8">
        <w:rPr>
          <w:rFonts w:ascii="Arial" w:eastAsia="Calibri" w:hAnsi="Arial" w:cs="Arial"/>
          <w:b/>
          <w:color w:val="FF0000"/>
          <w:sz w:val="16"/>
          <w:szCs w:val="16"/>
          <w:lang w:val="es-ES"/>
        </w:rPr>
        <w:t xml:space="preserve">rtículo </w:t>
      </w:r>
      <w:r>
        <w:rPr>
          <w:rFonts w:ascii="Arial" w:eastAsia="Calibri" w:hAnsi="Arial" w:cs="Arial"/>
          <w:b/>
          <w:color w:val="FF0000"/>
          <w:sz w:val="16"/>
          <w:szCs w:val="16"/>
          <w:lang w:val="es-ES"/>
        </w:rPr>
        <w:t>2</w:t>
      </w:r>
      <w:r w:rsidRPr="006312E8">
        <w:rPr>
          <w:rFonts w:ascii="Arial" w:eastAsia="Calibri" w:hAnsi="Arial" w:cs="Arial"/>
          <w:b/>
          <w:color w:val="FF0000"/>
          <w:sz w:val="16"/>
          <w:szCs w:val="16"/>
          <w:lang w:val="es-ES"/>
        </w:rPr>
        <w:t xml:space="preserve"> de la Resolución Nº </w:t>
      </w:r>
      <w:r>
        <w:rPr>
          <w:rFonts w:ascii="Arial" w:eastAsia="Calibri" w:hAnsi="Arial" w:cs="Arial"/>
          <w:b/>
          <w:color w:val="FF0000"/>
          <w:sz w:val="16"/>
          <w:szCs w:val="16"/>
          <w:lang w:val="es-ES"/>
        </w:rPr>
        <w:t>032</w:t>
      </w:r>
      <w:r w:rsidRPr="006312E8">
        <w:rPr>
          <w:rFonts w:ascii="Arial" w:eastAsia="Calibri" w:hAnsi="Arial" w:cs="Arial"/>
          <w:b/>
          <w:color w:val="FF0000"/>
          <w:sz w:val="16"/>
          <w:szCs w:val="16"/>
          <w:lang w:val="es-ES"/>
        </w:rPr>
        <w:t>-201</w:t>
      </w:r>
      <w:r>
        <w:rPr>
          <w:rFonts w:ascii="Arial" w:eastAsia="Calibri" w:hAnsi="Arial" w:cs="Arial"/>
          <w:b/>
          <w:color w:val="FF0000"/>
          <w:sz w:val="16"/>
          <w:szCs w:val="16"/>
          <w:lang w:val="es-ES"/>
        </w:rPr>
        <w:t>6</w:t>
      </w:r>
      <w:r w:rsidRPr="006312E8">
        <w:rPr>
          <w:rFonts w:ascii="Arial" w:eastAsia="Calibri" w:hAnsi="Arial" w:cs="Arial"/>
          <w:b/>
          <w:color w:val="FF0000"/>
          <w:sz w:val="16"/>
          <w:szCs w:val="16"/>
          <w:lang w:val="es-ES"/>
        </w:rPr>
        <w:t xml:space="preserve">-SBN, publicada el </w:t>
      </w:r>
      <w:r>
        <w:rPr>
          <w:rFonts w:ascii="Arial" w:eastAsia="Calibri" w:hAnsi="Arial" w:cs="Arial"/>
          <w:b/>
          <w:color w:val="FF0000"/>
          <w:sz w:val="16"/>
          <w:szCs w:val="16"/>
          <w:lang w:val="es-ES"/>
        </w:rPr>
        <w:t>03 abril de</w:t>
      </w:r>
      <w:r w:rsidRPr="006312E8">
        <w:rPr>
          <w:rFonts w:ascii="Arial" w:eastAsia="Calibri" w:hAnsi="Arial" w:cs="Arial"/>
          <w:b/>
          <w:color w:val="FF0000"/>
          <w:sz w:val="16"/>
          <w:szCs w:val="16"/>
          <w:lang w:val="es-ES"/>
        </w:rPr>
        <w:t xml:space="preserve"> 201</w:t>
      </w:r>
      <w:r>
        <w:rPr>
          <w:rFonts w:ascii="Arial" w:eastAsia="Calibri" w:hAnsi="Arial" w:cs="Arial"/>
          <w:b/>
          <w:color w:val="FF0000"/>
          <w:sz w:val="16"/>
          <w:szCs w:val="16"/>
          <w:lang w:val="es-ES"/>
        </w:rPr>
        <w:t>6</w:t>
      </w:r>
      <w:r w:rsidRPr="006312E8">
        <w:rPr>
          <w:rFonts w:ascii="Arial" w:eastAsia="Calibri" w:hAnsi="Arial" w:cs="Arial"/>
          <w:b/>
          <w:color w:val="FF0000"/>
          <w:sz w:val="16"/>
          <w:szCs w:val="16"/>
          <w:lang w:val="es-ES"/>
        </w:rPr>
        <w:t>.</w:t>
      </w:r>
    </w:p>
    <w:p w:rsidR="007216B0" w:rsidRPr="00D22235" w:rsidRDefault="007216B0" w:rsidP="00D22235">
      <w:pPr>
        <w:spacing w:after="0" w:line="240" w:lineRule="auto"/>
        <w:ind w:left="1843" w:hanging="850"/>
        <w:jc w:val="both"/>
        <w:rPr>
          <w:rFonts w:ascii="Arial" w:hAnsi="Arial" w:cs="Arial"/>
          <w:lang w:val="es-ES"/>
        </w:rPr>
      </w:pPr>
    </w:p>
    <w:p w:rsidR="00D22235" w:rsidRPr="00D22235" w:rsidRDefault="00D22235" w:rsidP="00D22235">
      <w:pPr>
        <w:spacing w:after="0" w:line="240" w:lineRule="auto"/>
        <w:ind w:left="1843" w:hanging="850"/>
        <w:jc w:val="both"/>
        <w:rPr>
          <w:rFonts w:ascii="Arial" w:hAnsi="Arial" w:cs="Arial"/>
          <w:lang w:val="es-ES"/>
        </w:rPr>
      </w:pPr>
    </w:p>
    <w:p w:rsidR="00D22235" w:rsidRPr="00D22235" w:rsidRDefault="00D22235" w:rsidP="00D22235">
      <w:pPr>
        <w:spacing w:after="0" w:line="240" w:lineRule="auto"/>
        <w:ind w:left="1843" w:hanging="850"/>
        <w:jc w:val="both"/>
        <w:rPr>
          <w:rFonts w:ascii="Arial" w:hAnsi="Arial" w:cs="Arial"/>
          <w:lang w:val="es-ES"/>
        </w:rPr>
      </w:pPr>
      <w:r w:rsidRPr="00D22235">
        <w:rPr>
          <w:rFonts w:ascii="Arial" w:hAnsi="Arial" w:cs="Arial"/>
          <w:lang w:val="es-ES"/>
        </w:rPr>
        <w:t>6.2.4</w:t>
      </w:r>
      <w:r w:rsidRPr="00D22235">
        <w:rPr>
          <w:rFonts w:ascii="Arial" w:hAnsi="Arial" w:cs="Arial"/>
          <w:lang w:val="es-ES"/>
        </w:rPr>
        <w:tab/>
        <w:t>La SDDI, cuando lo considere pertinente, podrá aprobar la independización, rectificación de áreas y la transferencia de los predios requeridos para la ejecución de obras de infraestructura comprendidos en la Ley, en la misma resolución.</w:t>
      </w:r>
    </w:p>
    <w:p w:rsidR="00D22235" w:rsidRPr="00D22235" w:rsidRDefault="00D22235" w:rsidP="00D22235">
      <w:pPr>
        <w:spacing w:after="0" w:line="240" w:lineRule="auto"/>
        <w:ind w:left="1843" w:hanging="850"/>
        <w:jc w:val="both"/>
        <w:rPr>
          <w:rFonts w:ascii="Arial" w:hAnsi="Arial" w:cs="Arial"/>
          <w:lang w:val="es-ES"/>
        </w:rPr>
      </w:pPr>
    </w:p>
    <w:p w:rsidR="00D22235" w:rsidRPr="00D22235" w:rsidRDefault="00D22235" w:rsidP="00D22235">
      <w:pPr>
        <w:spacing w:after="0" w:line="240" w:lineRule="auto"/>
        <w:ind w:left="1843" w:hanging="850"/>
        <w:jc w:val="both"/>
        <w:rPr>
          <w:rFonts w:ascii="Arial" w:hAnsi="Arial" w:cs="Arial"/>
          <w:lang w:val="es-ES"/>
        </w:rPr>
      </w:pPr>
      <w:r w:rsidRPr="00D22235">
        <w:rPr>
          <w:rFonts w:ascii="Arial" w:hAnsi="Arial" w:cs="Arial"/>
          <w:lang w:val="es-ES"/>
        </w:rPr>
        <w:t>6.2.5</w:t>
      </w:r>
      <w:r w:rsidRPr="00D22235">
        <w:rPr>
          <w:rFonts w:ascii="Arial" w:hAnsi="Arial" w:cs="Arial"/>
          <w:lang w:val="es-ES"/>
        </w:rPr>
        <w:tab/>
        <w:t>La SDDI se encuentra facultada a declarar de pleno derecho y por razones de interés público la extinción de afectaciones en uso, otorgadas sobre predios involucrados en los proyectos de obras de infraestructura comprendidos en la Ley, conjuntamente con la respectiva transferencia.</w:t>
      </w:r>
    </w:p>
    <w:p w:rsidR="00D22235" w:rsidRPr="00D22235" w:rsidRDefault="00D22235" w:rsidP="00D22235">
      <w:pPr>
        <w:spacing w:after="0" w:line="240" w:lineRule="auto"/>
        <w:ind w:left="1843" w:hanging="850"/>
        <w:jc w:val="both"/>
        <w:rPr>
          <w:rFonts w:ascii="Arial" w:hAnsi="Arial" w:cs="Arial"/>
          <w:lang w:val="es-ES"/>
        </w:rPr>
      </w:pPr>
    </w:p>
    <w:p w:rsidR="00D22235" w:rsidRPr="00D22235" w:rsidRDefault="00D22235" w:rsidP="00D22235">
      <w:pPr>
        <w:spacing w:after="0" w:line="240" w:lineRule="auto"/>
        <w:ind w:left="1843" w:hanging="850"/>
        <w:jc w:val="both"/>
        <w:rPr>
          <w:rFonts w:ascii="Arial" w:hAnsi="Arial" w:cs="Arial"/>
          <w:lang w:val="es-ES"/>
        </w:rPr>
      </w:pPr>
      <w:r w:rsidRPr="00D22235">
        <w:rPr>
          <w:rFonts w:ascii="Arial" w:hAnsi="Arial" w:cs="Arial"/>
          <w:lang w:val="es-ES"/>
        </w:rPr>
        <w:t>6.2.6</w:t>
      </w:r>
      <w:r w:rsidRPr="00D22235">
        <w:rPr>
          <w:rFonts w:ascii="Arial" w:hAnsi="Arial" w:cs="Arial"/>
          <w:lang w:val="es-ES"/>
        </w:rPr>
        <w:tab/>
        <w:t>En caso que el proyecto comprenda áreas de dominio público, expresamente declarados o identificados como tal a través de un acto administrativo o norma legal específica, como por ejemplo: áreas de aporte reglamentario, equipamiento urbano, vías, parques u otras áreas, independientemente del nivel de gobierno al que se encuentran adscritos, se dispondrá la reasignación del uso público a los fines para los que se requiere, de manera conjunta con el acto de transferencia de titularidad de dicho bien, en el marco de lo dispuesto por el numeral 41.1 del artículo 41 de la Ley.</w:t>
      </w:r>
    </w:p>
    <w:p w:rsidR="00D22235" w:rsidRPr="00D22235" w:rsidRDefault="00D22235" w:rsidP="00D22235">
      <w:pPr>
        <w:spacing w:after="0" w:line="240" w:lineRule="auto"/>
        <w:ind w:left="1843" w:hanging="850"/>
        <w:jc w:val="both"/>
        <w:rPr>
          <w:rFonts w:ascii="Arial" w:hAnsi="Arial" w:cs="Arial"/>
          <w:lang w:val="es-ES"/>
        </w:rPr>
      </w:pPr>
    </w:p>
    <w:p w:rsidR="00D22235" w:rsidRPr="00D22235" w:rsidRDefault="00D22235" w:rsidP="00D22235">
      <w:pPr>
        <w:spacing w:after="0" w:line="240" w:lineRule="auto"/>
        <w:ind w:left="1843" w:hanging="850"/>
        <w:jc w:val="both"/>
        <w:rPr>
          <w:rFonts w:ascii="Arial" w:hAnsi="Arial" w:cs="Arial"/>
          <w:lang w:val="es-ES"/>
        </w:rPr>
      </w:pPr>
      <w:r w:rsidRPr="00D22235">
        <w:rPr>
          <w:rFonts w:ascii="Arial" w:hAnsi="Arial" w:cs="Arial"/>
          <w:lang w:val="es-ES"/>
        </w:rPr>
        <w:t>6.2.7</w:t>
      </w:r>
      <w:r w:rsidRPr="00D22235">
        <w:rPr>
          <w:rFonts w:ascii="Arial" w:hAnsi="Arial" w:cs="Arial"/>
          <w:lang w:val="es-ES"/>
        </w:rPr>
        <w:tab/>
        <w:t>La resolución emitida por la SDDI, que dispone la transferencia de la propiedad estatal, es notificada al titular inscrito y al adquirente del predio, en el plazo de cinco (5) días contados a partir de la fecha de su expedición, acción que es ejecutada por la UTD, conforme a lo establecido en el numeral 24.1 del artículo 24º de la Ley Nº 27444, Ley del Procedimiento Administrativo General.</w:t>
      </w:r>
    </w:p>
    <w:p w:rsidR="00D22235" w:rsidRPr="00D22235" w:rsidRDefault="00D22235" w:rsidP="00D22235">
      <w:pPr>
        <w:spacing w:after="0" w:line="240" w:lineRule="auto"/>
        <w:ind w:left="1843" w:hanging="850"/>
        <w:jc w:val="both"/>
        <w:rPr>
          <w:rFonts w:ascii="Arial" w:hAnsi="Arial" w:cs="Arial"/>
          <w:lang w:val="es-ES"/>
        </w:rPr>
      </w:pPr>
    </w:p>
    <w:p w:rsidR="00D22235" w:rsidRPr="00D22235" w:rsidRDefault="00D22235" w:rsidP="00D22235">
      <w:pPr>
        <w:spacing w:after="0" w:line="240" w:lineRule="auto"/>
        <w:ind w:left="1843" w:hanging="850"/>
        <w:jc w:val="both"/>
        <w:rPr>
          <w:rFonts w:ascii="Arial" w:hAnsi="Arial" w:cs="Arial"/>
          <w:lang w:val="es-ES"/>
        </w:rPr>
      </w:pPr>
      <w:r w:rsidRPr="00D22235">
        <w:rPr>
          <w:rFonts w:ascii="Arial" w:hAnsi="Arial" w:cs="Arial"/>
          <w:lang w:val="es-ES"/>
        </w:rPr>
        <w:t>6.2.8</w:t>
      </w:r>
      <w:r w:rsidRPr="00D22235">
        <w:rPr>
          <w:rFonts w:ascii="Arial" w:hAnsi="Arial" w:cs="Arial"/>
          <w:lang w:val="es-ES"/>
        </w:rPr>
        <w:tab/>
        <w:t>La SDDI solicita al Registro de Predios la inscripción del referido acto administrativo, acompañando la documentación técnica sustentatoria correspondiente.</w:t>
      </w:r>
    </w:p>
    <w:p w:rsidR="00D22235" w:rsidRPr="00D22235" w:rsidRDefault="00D22235" w:rsidP="00D22235">
      <w:pPr>
        <w:spacing w:after="0" w:line="240" w:lineRule="auto"/>
        <w:ind w:left="1843" w:hanging="850"/>
        <w:jc w:val="both"/>
        <w:rPr>
          <w:rFonts w:ascii="Arial" w:hAnsi="Arial" w:cs="Arial"/>
          <w:lang w:val="es-ES"/>
        </w:rPr>
      </w:pPr>
    </w:p>
    <w:p w:rsidR="00D22235" w:rsidRPr="00D22235" w:rsidRDefault="00D22235" w:rsidP="00D22235">
      <w:pPr>
        <w:spacing w:after="0" w:line="240" w:lineRule="auto"/>
        <w:ind w:left="1843" w:hanging="850"/>
        <w:jc w:val="both"/>
        <w:rPr>
          <w:rFonts w:ascii="Arial" w:hAnsi="Arial" w:cs="Arial"/>
          <w:lang w:val="es-ES"/>
        </w:rPr>
      </w:pPr>
      <w:r w:rsidRPr="00D22235">
        <w:rPr>
          <w:rFonts w:ascii="Arial" w:hAnsi="Arial" w:cs="Arial"/>
          <w:lang w:val="es-ES"/>
        </w:rPr>
        <w:t>6.2.9</w:t>
      </w:r>
      <w:r w:rsidRPr="00D22235">
        <w:rPr>
          <w:rFonts w:ascii="Arial" w:hAnsi="Arial" w:cs="Arial"/>
          <w:lang w:val="es-ES"/>
        </w:rPr>
        <w:tab/>
        <w:t>Una vez inscrito el acto de transferencia en el Registro Público, la SDDI comunica tal hecho al adquirente del predio y remite la documentación legal y técnica a la SDRC para su actualización en el SINABIP.</w:t>
      </w:r>
    </w:p>
    <w:p w:rsidR="00D22235" w:rsidRPr="00D22235" w:rsidRDefault="00D22235" w:rsidP="00D22235">
      <w:pPr>
        <w:spacing w:after="0" w:line="240" w:lineRule="auto"/>
        <w:jc w:val="both"/>
        <w:rPr>
          <w:rFonts w:ascii="Arial" w:hAnsi="Arial" w:cs="Arial"/>
          <w:lang w:val="es-ES"/>
        </w:rPr>
      </w:pPr>
    </w:p>
    <w:p w:rsidR="00D22235" w:rsidRPr="00D22235" w:rsidRDefault="00D22235" w:rsidP="00D22235">
      <w:pPr>
        <w:spacing w:after="0" w:line="240" w:lineRule="auto"/>
        <w:ind w:left="567" w:hanging="567"/>
        <w:jc w:val="both"/>
        <w:rPr>
          <w:rFonts w:ascii="Arial" w:hAnsi="Arial" w:cs="Arial"/>
          <w:b/>
          <w:lang w:val="es-ES"/>
        </w:rPr>
      </w:pPr>
      <w:r w:rsidRPr="00D22235">
        <w:rPr>
          <w:rFonts w:ascii="Arial" w:hAnsi="Arial" w:cs="Arial"/>
          <w:b/>
          <w:lang w:val="es-ES"/>
        </w:rPr>
        <w:t>VII.</w:t>
      </w:r>
      <w:r w:rsidRPr="00D22235">
        <w:rPr>
          <w:rFonts w:ascii="Arial" w:hAnsi="Arial" w:cs="Arial"/>
          <w:b/>
          <w:lang w:val="es-ES"/>
        </w:rPr>
        <w:tab/>
        <w:t>DISPOSICIONES COMPLEMENTARIAS</w:t>
      </w:r>
    </w:p>
    <w:p w:rsidR="00D22235" w:rsidRPr="00D22235" w:rsidRDefault="00D22235" w:rsidP="00D22235">
      <w:pPr>
        <w:spacing w:after="0" w:line="240" w:lineRule="auto"/>
        <w:jc w:val="both"/>
        <w:rPr>
          <w:rFonts w:ascii="Arial" w:hAnsi="Arial" w:cs="Arial"/>
          <w:lang w:val="es-ES"/>
        </w:rPr>
      </w:pPr>
    </w:p>
    <w:p w:rsidR="00D22235" w:rsidRPr="00D22235" w:rsidRDefault="00D22235" w:rsidP="00D22235">
      <w:pPr>
        <w:spacing w:after="0" w:line="240" w:lineRule="auto"/>
        <w:ind w:left="567"/>
        <w:jc w:val="both"/>
        <w:rPr>
          <w:rFonts w:ascii="Arial" w:hAnsi="Arial" w:cs="Arial"/>
          <w:lang w:val="es-ES"/>
        </w:rPr>
      </w:pPr>
      <w:r w:rsidRPr="00D22235">
        <w:rPr>
          <w:rFonts w:ascii="Arial" w:hAnsi="Arial" w:cs="Arial"/>
          <w:b/>
          <w:lang w:val="es-ES"/>
        </w:rPr>
        <w:t>PRIMERA.-</w:t>
      </w:r>
      <w:r w:rsidRPr="00D22235">
        <w:rPr>
          <w:rFonts w:ascii="Arial" w:hAnsi="Arial" w:cs="Arial"/>
          <w:lang w:val="es-ES"/>
        </w:rPr>
        <w:t xml:space="preserve"> Todas las entidades del Estado, independientemente del nivel de gobierno al que se encuentren adscritos, desestimarán las solicitudes de venta directa efectuadas al amparo del artículo 77° del Reglamento de la Ley Nº 29151, Ley General del Sistema Nacional de Bienes Estatales, respecto de predios estatales comprendidos en la ley, por razones de interés público.</w:t>
      </w:r>
    </w:p>
    <w:p w:rsidR="00D22235" w:rsidRPr="00D22235" w:rsidRDefault="00D22235" w:rsidP="00D22235">
      <w:pPr>
        <w:spacing w:after="0" w:line="240" w:lineRule="auto"/>
        <w:ind w:left="567"/>
        <w:jc w:val="both"/>
        <w:rPr>
          <w:rFonts w:ascii="Arial" w:hAnsi="Arial" w:cs="Arial"/>
          <w:lang w:val="es-ES"/>
        </w:rPr>
      </w:pPr>
    </w:p>
    <w:p w:rsidR="00D22235" w:rsidRPr="00D22235" w:rsidRDefault="00D22235" w:rsidP="00D22235">
      <w:pPr>
        <w:spacing w:after="0" w:line="240" w:lineRule="auto"/>
        <w:ind w:left="567"/>
        <w:jc w:val="both"/>
        <w:rPr>
          <w:rFonts w:ascii="Arial" w:hAnsi="Arial" w:cs="Arial"/>
          <w:lang w:val="es-ES"/>
        </w:rPr>
      </w:pPr>
      <w:r w:rsidRPr="00D22235">
        <w:rPr>
          <w:rFonts w:ascii="Arial" w:hAnsi="Arial" w:cs="Arial"/>
          <w:b/>
          <w:lang w:val="es-ES"/>
        </w:rPr>
        <w:t>SEGUNDA.-</w:t>
      </w:r>
      <w:r w:rsidRPr="00D22235">
        <w:rPr>
          <w:rFonts w:ascii="Arial" w:hAnsi="Arial" w:cs="Arial"/>
          <w:lang w:val="es-ES"/>
        </w:rPr>
        <w:t xml:space="preserve"> La transferencia de los predios de propiedad estatal solicitados por el titular del proyecto, en marco de la presente Directiva, es efectuada para ser destinados a la ejecución de obras de infraestructura a que se refiere el Decreto Legislativo Nº 1192. En caso que existan áreas excedentes o que no sean necesarias para la ejecución de las respectivas obras, el titular del proyecto las pondrá a disposición de la SBN o al Gobierno Regional con funciones transferidas, en el marco del artículo 18 de la Ley N° 29151, Ley General del Sistema Nacional de Bienes Estatales, y del inciso f) del artículo 10 del Reglamento de dicho Ley, aprobado con Decreto Supremo Nº 007-2008-VIVIENDA.</w:t>
      </w:r>
    </w:p>
    <w:p w:rsidR="00D22235" w:rsidRPr="00D22235" w:rsidRDefault="00D22235" w:rsidP="00D22235">
      <w:pPr>
        <w:spacing w:after="0" w:line="240" w:lineRule="auto"/>
        <w:jc w:val="both"/>
        <w:rPr>
          <w:rFonts w:ascii="Arial" w:hAnsi="Arial" w:cs="Arial"/>
          <w:lang w:val="es-ES"/>
        </w:rPr>
      </w:pPr>
    </w:p>
    <w:p w:rsidR="00D22235" w:rsidRPr="00D22235" w:rsidRDefault="00D22235" w:rsidP="00D22235">
      <w:pPr>
        <w:spacing w:after="0" w:line="240" w:lineRule="auto"/>
        <w:ind w:left="709" w:hanging="709"/>
        <w:jc w:val="both"/>
        <w:rPr>
          <w:rFonts w:ascii="Arial" w:hAnsi="Arial" w:cs="Arial"/>
          <w:b/>
          <w:lang w:val="es-ES"/>
        </w:rPr>
      </w:pPr>
      <w:r w:rsidRPr="00D22235">
        <w:rPr>
          <w:rFonts w:ascii="Arial" w:hAnsi="Arial" w:cs="Arial"/>
          <w:b/>
          <w:lang w:val="es-ES"/>
        </w:rPr>
        <w:t>III.</w:t>
      </w:r>
      <w:r w:rsidRPr="00D22235">
        <w:rPr>
          <w:rFonts w:ascii="Arial" w:hAnsi="Arial" w:cs="Arial"/>
          <w:b/>
          <w:lang w:val="es-ES"/>
        </w:rPr>
        <w:tab/>
        <w:t>ANEXO</w:t>
      </w:r>
    </w:p>
    <w:p w:rsidR="00D22235" w:rsidRPr="00D22235" w:rsidRDefault="00D22235" w:rsidP="00D22235">
      <w:pPr>
        <w:spacing w:after="0" w:line="240" w:lineRule="auto"/>
        <w:jc w:val="both"/>
        <w:rPr>
          <w:rFonts w:ascii="Arial" w:hAnsi="Arial" w:cs="Arial"/>
          <w:lang w:val="es-ES"/>
        </w:rPr>
      </w:pPr>
    </w:p>
    <w:p w:rsidR="00D22235" w:rsidRPr="00D22235" w:rsidRDefault="00D22235" w:rsidP="00AA4B1C">
      <w:pPr>
        <w:spacing w:after="0" w:line="240" w:lineRule="auto"/>
        <w:ind w:left="709"/>
        <w:jc w:val="center"/>
        <w:rPr>
          <w:rFonts w:ascii="Arial" w:hAnsi="Arial" w:cs="Arial"/>
          <w:b/>
          <w:lang w:val="es-ES"/>
        </w:rPr>
      </w:pPr>
      <w:r w:rsidRPr="00D22235">
        <w:rPr>
          <w:rFonts w:ascii="Arial" w:hAnsi="Arial" w:cs="Arial"/>
          <w:b/>
          <w:lang w:val="es-ES"/>
        </w:rPr>
        <w:t>ABREVIATURAS</w:t>
      </w:r>
    </w:p>
    <w:p w:rsidR="00D22235" w:rsidRDefault="00D22235" w:rsidP="00D22235">
      <w:pPr>
        <w:spacing w:after="0" w:line="240" w:lineRule="auto"/>
        <w:ind w:left="709"/>
        <w:jc w:val="both"/>
        <w:rPr>
          <w:rFonts w:ascii="Arial" w:hAnsi="Arial" w:cs="Arial"/>
          <w:lang w:val="es-ES"/>
        </w:rPr>
      </w:pPr>
    </w:p>
    <w:p w:rsidR="00D22235" w:rsidRPr="00D22235" w:rsidRDefault="00D22235" w:rsidP="00D22235">
      <w:pPr>
        <w:spacing w:after="0" w:line="240" w:lineRule="auto"/>
        <w:ind w:left="709"/>
        <w:jc w:val="both"/>
        <w:rPr>
          <w:rFonts w:ascii="Arial" w:hAnsi="Arial" w:cs="Arial"/>
          <w:lang w:val="es-ES"/>
        </w:rPr>
      </w:pPr>
      <w:r w:rsidRPr="00D22235">
        <w:rPr>
          <w:rFonts w:ascii="Arial" w:hAnsi="Arial" w:cs="Arial"/>
          <w:lang w:val="es-ES"/>
        </w:rPr>
        <w:t>Para efectos de la presente Directiva son de aplicación las abreviaturas siguientes:</w:t>
      </w:r>
    </w:p>
    <w:p w:rsidR="00D22235" w:rsidRPr="00D22235" w:rsidRDefault="00D22235" w:rsidP="00D22235">
      <w:pPr>
        <w:spacing w:after="0" w:line="240" w:lineRule="auto"/>
        <w:jc w:val="both"/>
        <w:rPr>
          <w:rFonts w:ascii="Arial" w:hAnsi="Arial" w:cs="Arial"/>
          <w:lang w:val="es-ES"/>
        </w:rPr>
      </w:pPr>
      <w:r w:rsidRPr="00D22235">
        <w:rPr>
          <w:rFonts w:ascii="Arial" w:hAnsi="Arial" w:cs="Arial"/>
          <w:lang w:val="es-ES"/>
        </w:rPr>
        <w:t xml:space="preserve"> </w:t>
      </w:r>
    </w:p>
    <w:p w:rsidR="00D22235" w:rsidRPr="00D22235" w:rsidRDefault="00D22235" w:rsidP="0092471C">
      <w:pPr>
        <w:pStyle w:val="Prrafodelista"/>
        <w:numPr>
          <w:ilvl w:val="0"/>
          <w:numId w:val="265"/>
        </w:numPr>
        <w:spacing w:after="0" w:line="240" w:lineRule="auto"/>
        <w:ind w:left="1134"/>
        <w:jc w:val="both"/>
        <w:rPr>
          <w:rFonts w:ascii="Arial" w:hAnsi="Arial" w:cs="Arial"/>
          <w:lang w:val="es-ES"/>
        </w:rPr>
      </w:pPr>
      <w:r w:rsidRPr="00AA4B1C">
        <w:rPr>
          <w:rFonts w:ascii="Arial" w:hAnsi="Arial" w:cs="Arial"/>
          <w:b/>
          <w:lang w:val="es-ES"/>
        </w:rPr>
        <w:t>DNR:</w:t>
      </w:r>
      <w:r w:rsidRPr="00D22235">
        <w:rPr>
          <w:rFonts w:ascii="Arial" w:hAnsi="Arial" w:cs="Arial"/>
          <w:lang w:val="es-ES"/>
        </w:rPr>
        <w:t xml:space="preserve"> Dirección de Normas y Registro</w:t>
      </w:r>
    </w:p>
    <w:p w:rsidR="00D22235" w:rsidRPr="00D22235" w:rsidRDefault="00D22235" w:rsidP="00D22235">
      <w:pPr>
        <w:pStyle w:val="Prrafodelista"/>
        <w:spacing w:after="0" w:line="240" w:lineRule="auto"/>
        <w:ind w:left="1134"/>
        <w:jc w:val="both"/>
        <w:rPr>
          <w:rFonts w:ascii="Arial" w:hAnsi="Arial" w:cs="Arial"/>
          <w:lang w:val="es-ES"/>
        </w:rPr>
      </w:pPr>
    </w:p>
    <w:p w:rsidR="00D22235" w:rsidRPr="00D22235" w:rsidRDefault="00D22235" w:rsidP="0092471C">
      <w:pPr>
        <w:pStyle w:val="Prrafodelista"/>
        <w:numPr>
          <w:ilvl w:val="0"/>
          <w:numId w:val="265"/>
        </w:numPr>
        <w:spacing w:after="0" w:line="240" w:lineRule="auto"/>
        <w:ind w:left="1134"/>
        <w:jc w:val="both"/>
        <w:rPr>
          <w:rFonts w:ascii="Arial" w:hAnsi="Arial" w:cs="Arial"/>
          <w:lang w:val="es-ES"/>
        </w:rPr>
      </w:pPr>
      <w:r w:rsidRPr="00AA4B1C">
        <w:rPr>
          <w:rFonts w:ascii="Arial" w:hAnsi="Arial" w:cs="Arial"/>
          <w:b/>
          <w:lang w:val="es-ES"/>
        </w:rPr>
        <w:t>SBN:</w:t>
      </w:r>
      <w:r w:rsidRPr="00D22235">
        <w:rPr>
          <w:rFonts w:ascii="Arial" w:hAnsi="Arial" w:cs="Arial"/>
          <w:lang w:val="es-ES"/>
        </w:rPr>
        <w:t xml:space="preserve"> Superintendencia Nacional de Bienes Estatales.</w:t>
      </w:r>
    </w:p>
    <w:p w:rsidR="00D22235" w:rsidRPr="00D22235" w:rsidRDefault="00D22235" w:rsidP="00D22235">
      <w:pPr>
        <w:pStyle w:val="Prrafodelista"/>
        <w:spacing w:after="0" w:line="240" w:lineRule="auto"/>
        <w:ind w:left="1134"/>
        <w:jc w:val="both"/>
        <w:rPr>
          <w:rFonts w:ascii="Arial" w:hAnsi="Arial" w:cs="Arial"/>
          <w:lang w:val="es-ES"/>
        </w:rPr>
      </w:pPr>
    </w:p>
    <w:p w:rsidR="00D22235" w:rsidRPr="00D22235" w:rsidRDefault="00D22235" w:rsidP="0092471C">
      <w:pPr>
        <w:pStyle w:val="Prrafodelista"/>
        <w:numPr>
          <w:ilvl w:val="0"/>
          <w:numId w:val="265"/>
        </w:numPr>
        <w:spacing w:after="0" w:line="240" w:lineRule="auto"/>
        <w:ind w:left="1134"/>
        <w:jc w:val="both"/>
        <w:rPr>
          <w:rFonts w:ascii="Arial" w:hAnsi="Arial" w:cs="Arial"/>
          <w:lang w:val="es-ES"/>
        </w:rPr>
      </w:pPr>
      <w:r w:rsidRPr="00AA4B1C">
        <w:rPr>
          <w:rFonts w:ascii="Arial" w:hAnsi="Arial" w:cs="Arial"/>
          <w:b/>
          <w:lang w:val="es-ES"/>
        </w:rPr>
        <w:t>SDDI</w:t>
      </w:r>
      <w:r w:rsidRPr="00D22235">
        <w:rPr>
          <w:rFonts w:ascii="Arial" w:hAnsi="Arial" w:cs="Arial"/>
          <w:lang w:val="es-ES"/>
        </w:rPr>
        <w:t>: Subdirección de Desarrollo Inmobiliario.</w:t>
      </w:r>
    </w:p>
    <w:p w:rsidR="00D22235" w:rsidRPr="00D22235" w:rsidRDefault="00D22235" w:rsidP="00D22235">
      <w:pPr>
        <w:pStyle w:val="Prrafodelista"/>
        <w:spacing w:after="0" w:line="240" w:lineRule="auto"/>
        <w:ind w:left="1134"/>
        <w:jc w:val="both"/>
        <w:rPr>
          <w:rFonts w:ascii="Arial" w:hAnsi="Arial" w:cs="Arial"/>
          <w:lang w:val="es-ES"/>
        </w:rPr>
      </w:pPr>
    </w:p>
    <w:p w:rsidR="00D22235" w:rsidRPr="00D22235" w:rsidRDefault="00D22235" w:rsidP="0092471C">
      <w:pPr>
        <w:pStyle w:val="Prrafodelista"/>
        <w:numPr>
          <w:ilvl w:val="0"/>
          <w:numId w:val="265"/>
        </w:numPr>
        <w:spacing w:after="0" w:line="240" w:lineRule="auto"/>
        <w:ind w:left="1134"/>
        <w:jc w:val="both"/>
        <w:rPr>
          <w:rFonts w:ascii="Arial" w:hAnsi="Arial" w:cs="Arial"/>
          <w:lang w:val="es-ES"/>
        </w:rPr>
      </w:pPr>
      <w:r w:rsidRPr="00AA4B1C">
        <w:rPr>
          <w:rFonts w:ascii="Arial" w:hAnsi="Arial" w:cs="Arial"/>
          <w:b/>
          <w:lang w:val="es-ES"/>
        </w:rPr>
        <w:t>SDAPE:</w:t>
      </w:r>
      <w:r w:rsidRPr="00D22235">
        <w:rPr>
          <w:rFonts w:ascii="Arial" w:hAnsi="Arial" w:cs="Arial"/>
          <w:lang w:val="es-ES"/>
        </w:rPr>
        <w:t xml:space="preserve"> Subdirección de Administración del Patrimonio Estatal</w:t>
      </w:r>
    </w:p>
    <w:p w:rsidR="00D22235" w:rsidRPr="00D22235" w:rsidRDefault="00D22235" w:rsidP="00D22235">
      <w:pPr>
        <w:pStyle w:val="Prrafodelista"/>
        <w:spacing w:after="0" w:line="240" w:lineRule="auto"/>
        <w:ind w:left="1134"/>
        <w:jc w:val="both"/>
        <w:rPr>
          <w:rFonts w:ascii="Arial" w:hAnsi="Arial" w:cs="Arial"/>
          <w:lang w:val="es-ES"/>
        </w:rPr>
      </w:pPr>
    </w:p>
    <w:p w:rsidR="00D22235" w:rsidRPr="00D22235" w:rsidRDefault="00D22235" w:rsidP="0092471C">
      <w:pPr>
        <w:pStyle w:val="Prrafodelista"/>
        <w:numPr>
          <w:ilvl w:val="0"/>
          <w:numId w:val="265"/>
        </w:numPr>
        <w:spacing w:after="0" w:line="240" w:lineRule="auto"/>
        <w:ind w:left="1134"/>
        <w:jc w:val="both"/>
        <w:rPr>
          <w:rFonts w:ascii="Arial" w:hAnsi="Arial" w:cs="Arial"/>
          <w:lang w:val="es-ES"/>
        </w:rPr>
      </w:pPr>
      <w:r w:rsidRPr="00AA4B1C">
        <w:rPr>
          <w:rFonts w:ascii="Arial" w:hAnsi="Arial" w:cs="Arial"/>
          <w:b/>
          <w:lang w:val="es-ES"/>
        </w:rPr>
        <w:t>SDRC:</w:t>
      </w:r>
      <w:r w:rsidRPr="00D22235">
        <w:rPr>
          <w:rFonts w:ascii="Arial" w:hAnsi="Arial" w:cs="Arial"/>
          <w:lang w:val="es-ES"/>
        </w:rPr>
        <w:t xml:space="preserve"> Subdirección de Registro y Catastro.</w:t>
      </w:r>
    </w:p>
    <w:p w:rsidR="00D22235" w:rsidRPr="00D22235" w:rsidRDefault="00D22235" w:rsidP="00D22235">
      <w:pPr>
        <w:pStyle w:val="Prrafodelista"/>
        <w:spacing w:after="0" w:line="240" w:lineRule="auto"/>
        <w:ind w:left="1134"/>
        <w:jc w:val="both"/>
        <w:rPr>
          <w:rFonts w:ascii="Arial" w:hAnsi="Arial" w:cs="Arial"/>
          <w:lang w:val="es-ES"/>
        </w:rPr>
      </w:pPr>
    </w:p>
    <w:p w:rsidR="00D22235" w:rsidRPr="00D22235" w:rsidRDefault="00D22235" w:rsidP="0092471C">
      <w:pPr>
        <w:pStyle w:val="Prrafodelista"/>
        <w:numPr>
          <w:ilvl w:val="0"/>
          <w:numId w:val="265"/>
        </w:numPr>
        <w:spacing w:after="0" w:line="240" w:lineRule="auto"/>
        <w:ind w:left="1134"/>
        <w:jc w:val="both"/>
        <w:rPr>
          <w:rFonts w:ascii="Arial" w:hAnsi="Arial" w:cs="Arial"/>
          <w:lang w:val="es-ES"/>
        </w:rPr>
      </w:pPr>
      <w:r w:rsidRPr="00AA4B1C">
        <w:rPr>
          <w:rFonts w:ascii="Arial" w:hAnsi="Arial" w:cs="Arial"/>
          <w:b/>
          <w:lang w:val="es-ES"/>
        </w:rPr>
        <w:t>UTD</w:t>
      </w:r>
      <w:r w:rsidRPr="00D22235">
        <w:rPr>
          <w:rFonts w:ascii="Arial" w:hAnsi="Arial" w:cs="Arial"/>
          <w:lang w:val="es-ES"/>
        </w:rPr>
        <w:t>: Unidad de Trámite Documentario.</w:t>
      </w:r>
    </w:p>
    <w:p w:rsidR="00D22235" w:rsidRPr="00D22235" w:rsidRDefault="00D22235" w:rsidP="00D22235">
      <w:pPr>
        <w:pStyle w:val="Prrafodelista"/>
        <w:spacing w:after="0" w:line="240" w:lineRule="auto"/>
        <w:ind w:left="1134"/>
        <w:jc w:val="both"/>
        <w:rPr>
          <w:rFonts w:ascii="Arial" w:hAnsi="Arial" w:cs="Arial"/>
          <w:lang w:val="es-ES"/>
        </w:rPr>
      </w:pPr>
    </w:p>
    <w:p w:rsidR="00D22235" w:rsidRPr="00D22235" w:rsidRDefault="00D22235" w:rsidP="0092471C">
      <w:pPr>
        <w:pStyle w:val="Prrafodelista"/>
        <w:numPr>
          <w:ilvl w:val="0"/>
          <w:numId w:val="265"/>
        </w:numPr>
        <w:spacing w:after="0" w:line="240" w:lineRule="auto"/>
        <w:ind w:left="1134"/>
        <w:jc w:val="both"/>
        <w:rPr>
          <w:rFonts w:ascii="Arial" w:hAnsi="Arial" w:cs="Arial"/>
          <w:lang w:val="es-ES"/>
        </w:rPr>
      </w:pPr>
      <w:r w:rsidRPr="00AA4B1C">
        <w:rPr>
          <w:rFonts w:ascii="Arial" w:hAnsi="Arial" w:cs="Arial"/>
          <w:b/>
          <w:lang w:val="es-ES"/>
        </w:rPr>
        <w:t>SINABIP</w:t>
      </w:r>
      <w:r w:rsidRPr="00D22235">
        <w:rPr>
          <w:rFonts w:ascii="Arial" w:hAnsi="Arial" w:cs="Arial"/>
          <w:lang w:val="es-ES"/>
        </w:rPr>
        <w:t>: Sistema de Información Nacional de Bienes Estatales.</w:t>
      </w:r>
    </w:p>
    <w:p w:rsidR="00D22235" w:rsidRPr="00D22235" w:rsidRDefault="00D22235" w:rsidP="00D22235">
      <w:pPr>
        <w:pStyle w:val="Prrafodelista"/>
        <w:spacing w:after="0" w:line="240" w:lineRule="auto"/>
        <w:ind w:left="1134"/>
        <w:jc w:val="both"/>
        <w:rPr>
          <w:rFonts w:ascii="Arial" w:hAnsi="Arial" w:cs="Arial"/>
          <w:lang w:val="es-ES"/>
        </w:rPr>
      </w:pPr>
    </w:p>
    <w:p w:rsidR="00D22235" w:rsidRPr="00D22235" w:rsidRDefault="00D22235" w:rsidP="0092471C">
      <w:pPr>
        <w:pStyle w:val="Prrafodelista"/>
        <w:numPr>
          <w:ilvl w:val="0"/>
          <w:numId w:val="265"/>
        </w:numPr>
        <w:spacing w:after="0" w:line="240" w:lineRule="auto"/>
        <w:ind w:left="1134"/>
        <w:jc w:val="both"/>
        <w:rPr>
          <w:rFonts w:ascii="Arial" w:hAnsi="Arial" w:cs="Arial"/>
          <w:lang w:val="es-ES"/>
        </w:rPr>
      </w:pPr>
      <w:r w:rsidRPr="00AA4B1C">
        <w:rPr>
          <w:rFonts w:ascii="Arial" w:hAnsi="Arial" w:cs="Arial"/>
          <w:b/>
          <w:lang w:val="es-ES"/>
        </w:rPr>
        <w:t>SUNARP</w:t>
      </w:r>
      <w:r w:rsidRPr="00D22235">
        <w:rPr>
          <w:rFonts w:ascii="Arial" w:hAnsi="Arial" w:cs="Arial"/>
          <w:lang w:val="es-ES"/>
        </w:rPr>
        <w:t>: Superintendencia Nacional de los Registros Públicos.</w:t>
      </w:r>
    </w:p>
    <w:p w:rsidR="00D22235" w:rsidRPr="00D22235" w:rsidRDefault="00D22235" w:rsidP="00D22235">
      <w:pPr>
        <w:pStyle w:val="Prrafodelista"/>
        <w:spacing w:after="0" w:line="240" w:lineRule="auto"/>
        <w:ind w:left="1134"/>
        <w:jc w:val="both"/>
        <w:rPr>
          <w:rFonts w:ascii="Arial" w:hAnsi="Arial" w:cs="Arial"/>
          <w:lang w:val="es-ES"/>
        </w:rPr>
      </w:pPr>
    </w:p>
    <w:p w:rsidR="00D22235" w:rsidRPr="00D22235" w:rsidRDefault="00D22235" w:rsidP="0092471C">
      <w:pPr>
        <w:pStyle w:val="Prrafodelista"/>
        <w:numPr>
          <w:ilvl w:val="0"/>
          <w:numId w:val="265"/>
        </w:numPr>
        <w:spacing w:after="0" w:line="240" w:lineRule="auto"/>
        <w:ind w:left="1134"/>
        <w:jc w:val="both"/>
        <w:rPr>
          <w:rFonts w:ascii="Arial" w:hAnsi="Arial" w:cs="Arial"/>
          <w:lang w:val="es-ES"/>
        </w:rPr>
      </w:pPr>
      <w:r w:rsidRPr="00AA4B1C">
        <w:rPr>
          <w:rFonts w:ascii="Arial" w:hAnsi="Arial" w:cs="Arial"/>
          <w:b/>
          <w:lang w:val="es-ES"/>
        </w:rPr>
        <w:t>La ley</w:t>
      </w:r>
      <w:r w:rsidRPr="00D22235">
        <w:rPr>
          <w:rFonts w:ascii="Arial" w:hAnsi="Arial" w:cs="Arial"/>
          <w:lang w:val="es-ES"/>
        </w:rPr>
        <w:t>: Decreto Legislativo Nº 1192, Decreto Legislativo que aprueba la ley marco de adquisición y expropiación de inmuebles, transferencia de inmuebles de propiedad del Estado, liberación de interferencias y dicta otras medidas para la ejecución de obras de infraestructura.</w:t>
      </w:r>
    </w:p>
    <w:p w:rsidR="00D22235" w:rsidRPr="00D22235" w:rsidRDefault="00D22235" w:rsidP="00D22235">
      <w:pPr>
        <w:ind w:firstLine="708"/>
        <w:rPr>
          <w:lang w:val="es-ES"/>
        </w:rPr>
      </w:pPr>
    </w:p>
    <w:p w:rsidR="00B964AE" w:rsidRPr="00713A8B" w:rsidRDefault="00B964AE" w:rsidP="00B964AE">
      <w:pPr>
        <w:rPr>
          <w:rFonts w:ascii="Arial" w:hAnsi="Arial" w:cs="Arial"/>
        </w:rPr>
      </w:pPr>
    </w:p>
    <w:p w:rsidR="00B964AE" w:rsidRDefault="00B964AE" w:rsidP="00B964AE">
      <w:pPr>
        <w:spacing w:after="0" w:line="240" w:lineRule="auto"/>
        <w:contextualSpacing/>
        <w:jc w:val="both"/>
        <w:rPr>
          <w:rFonts w:ascii="Arial" w:eastAsia="Calibri" w:hAnsi="Arial" w:cs="Arial"/>
          <w:lang w:val="es-ES"/>
        </w:rPr>
      </w:pPr>
    </w:p>
    <w:p w:rsidR="00B964AE" w:rsidRDefault="00B964AE" w:rsidP="00B964AE">
      <w:pPr>
        <w:spacing w:after="0" w:line="240" w:lineRule="auto"/>
        <w:contextualSpacing/>
        <w:jc w:val="both"/>
        <w:rPr>
          <w:rFonts w:ascii="Arial" w:eastAsia="Calibri" w:hAnsi="Arial" w:cs="Arial"/>
          <w:lang w:val="es-ES"/>
        </w:rPr>
      </w:pPr>
    </w:p>
    <w:p w:rsidR="00B964AE" w:rsidRDefault="00B964AE" w:rsidP="00B964AE">
      <w:pPr>
        <w:spacing w:after="0" w:line="240" w:lineRule="auto"/>
        <w:contextualSpacing/>
        <w:jc w:val="both"/>
        <w:rPr>
          <w:rFonts w:ascii="Arial" w:eastAsia="Calibri" w:hAnsi="Arial" w:cs="Arial"/>
          <w:lang w:val="es-ES"/>
        </w:rPr>
      </w:pPr>
    </w:p>
    <w:p w:rsidR="00B964AE" w:rsidRDefault="00B964AE" w:rsidP="00B964AE">
      <w:pPr>
        <w:spacing w:after="0" w:line="240" w:lineRule="auto"/>
        <w:contextualSpacing/>
        <w:jc w:val="both"/>
        <w:rPr>
          <w:rFonts w:ascii="Arial" w:eastAsia="Calibri" w:hAnsi="Arial" w:cs="Arial"/>
          <w:lang w:val="es-ES"/>
        </w:rPr>
      </w:pPr>
    </w:p>
    <w:p w:rsidR="00B964AE" w:rsidRDefault="00B964AE" w:rsidP="00B964AE">
      <w:pPr>
        <w:spacing w:after="0" w:line="240" w:lineRule="auto"/>
        <w:contextualSpacing/>
        <w:jc w:val="both"/>
        <w:rPr>
          <w:rFonts w:ascii="Arial" w:eastAsia="Calibri" w:hAnsi="Arial" w:cs="Arial"/>
          <w:lang w:val="es-ES"/>
        </w:rPr>
      </w:pPr>
    </w:p>
    <w:p w:rsidR="00B964AE" w:rsidRDefault="00B964AE" w:rsidP="00B964AE">
      <w:pPr>
        <w:spacing w:after="0" w:line="240" w:lineRule="auto"/>
        <w:contextualSpacing/>
        <w:jc w:val="both"/>
        <w:rPr>
          <w:rFonts w:ascii="Arial" w:eastAsia="Calibri" w:hAnsi="Arial" w:cs="Arial"/>
          <w:lang w:val="es-ES"/>
        </w:rPr>
      </w:pPr>
    </w:p>
    <w:p w:rsidR="00B964AE" w:rsidRDefault="00B964AE" w:rsidP="00B964AE">
      <w:pPr>
        <w:spacing w:after="0" w:line="240" w:lineRule="auto"/>
        <w:contextualSpacing/>
        <w:jc w:val="both"/>
        <w:rPr>
          <w:rFonts w:ascii="Arial" w:eastAsia="Calibri" w:hAnsi="Arial" w:cs="Arial"/>
          <w:lang w:val="es-ES"/>
        </w:rPr>
      </w:pPr>
    </w:p>
    <w:p w:rsidR="00B964AE" w:rsidRDefault="00B964AE" w:rsidP="00B964AE">
      <w:pPr>
        <w:spacing w:after="0" w:line="240" w:lineRule="auto"/>
        <w:contextualSpacing/>
        <w:jc w:val="both"/>
        <w:rPr>
          <w:rFonts w:ascii="Arial" w:eastAsia="Calibri" w:hAnsi="Arial" w:cs="Arial"/>
          <w:lang w:val="es-ES"/>
        </w:rPr>
      </w:pPr>
    </w:p>
    <w:p w:rsidR="00AA4B1C" w:rsidRDefault="00AA4B1C" w:rsidP="00B964AE">
      <w:pPr>
        <w:spacing w:after="0" w:line="240" w:lineRule="auto"/>
        <w:contextualSpacing/>
        <w:jc w:val="both"/>
        <w:rPr>
          <w:rFonts w:ascii="Arial" w:eastAsia="Calibri" w:hAnsi="Arial" w:cs="Arial"/>
          <w:lang w:val="es-ES"/>
        </w:rPr>
      </w:pPr>
    </w:p>
    <w:p w:rsidR="00AA4B1C" w:rsidRDefault="00AA4B1C" w:rsidP="00B964AE">
      <w:pPr>
        <w:spacing w:after="0" w:line="240" w:lineRule="auto"/>
        <w:contextualSpacing/>
        <w:jc w:val="both"/>
        <w:rPr>
          <w:rFonts w:ascii="Arial" w:eastAsia="Calibri" w:hAnsi="Arial" w:cs="Arial"/>
          <w:lang w:val="es-ES"/>
        </w:rPr>
      </w:pPr>
    </w:p>
    <w:p w:rsidR="00F205B0" w:rsidRDefault="00F205B0" w:rsidP="00B964AE">
      <w:pPr>
        <w:spacing w:after="0" w:line="240" w:lineRule="auto"/>
        <w:contextualSpacing/>
        <w:jc w:val="both"/>
        <w:rPr>
          <w:rFonts w:ascii="Arial" w:eastAsia="Calibri" w:hAnsi="Arial" w:cs="Arial"/>
          <w:lang w:val="es-ES"/>
        </w:rPr>
      </w:pPr>
    </w:p>
    <w:p w:rsidR="00F205B0" w:rsidRDefault="00F205B0" w:rsidP="00B964AE">
      <w:pPr>
        <w:spacing w:after="0" w:line="240" w:lineRule="auto"/>
        <w:contextualSpacing/>
        <w:jc w:val="both"/>
        <w:rPr>
          <w:rFonts w:ascii="Arial" w:eastAsia="Calibri" w:hAnsi="Arial" w:cs="Arial"/>
          <w:lang w:val="es-ES"/>
        </w:rPr>
      </w:pPr>
    </w:p>
    <w:p w:rsidR="00F205B0" w:rsidRDefault="00F205B0" w:rsidP="00B964AE">
      <w:pPr>
        <w:spacing w:after="0" w:line="240" w:lineRule="auto"/>
        <w:contextualSpacing/>
        <w:jc w:val="both"/>
        <w:rPr>
          <w:rFonts w:ascii="Arial" w:eastAsia="Calibri" w:hAnsi="Arial" w:cs="Arial"/>
          <w:lang w:val="es-ES"/>
        </w:rPr>
      </w:pPr>
    </w:p>
    <w:p w:rsidR="00AA4B1C" w:rsidRDefault="00AA4B1C" w:rsidP="00B964AE">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sz w:val="28"/>
          <w:szCs w:val="28"/>
          <w:lang w:val="es-ES"/>
        </w:rPr>
      </w:pPr>
      <w:r w:rsidRPr="006312E8">
        <w:rPr>
          <w:rFonts w:ascii="Arial" w:eastAsia="Calibri" w:hAnsi="Arial" w:cs="Arial"/>
          <w:b/>
          <w:sz w:val="28"/>
          <w:szCs w:val="28"/>
          <w:lang w:val="es-ES"/>
        </w:rPr>
        <w:t>RESOLUCION Nº 064-2014-SBN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1425"/>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Aprueban Directiva que regula el “</w:t>
      </w:r>
      <w:r w:rsidRPr="006312E8">
        <w:rPr>
          <w:rFonts w:ascii="Arial" w:hAnsi="Arial" w:cs="Arial"/>
          <w:b/>
        </w:rPr>
        <w:t>Procedimiento para la aprobación de la venta directa de predios de dominio privado estatal de libre disponibilidad</w:t>
      </w:r>
      <w:r w:rsidRPr="006312E8">
        <w:rPr>
          <w:rFonts w:ascii="Arial" w:eastAsia="Calibri" w:hAnsi="Arial" w:cs="Arial"/>
          <w:b/>
          <w:lang w:val="es-ES"/>
        </w:rPr>
        <w:t>”</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155ABB" w:rsidP="006312E8">
      <w:pPr>
        <w:spacing w:after="0" w:line="240" w:lineRule="auto"/>
        <w:contextualSpacing/>
        <w:jc w:val="right"/>
        <w:rPr>
          <w:rFonts w:ascii="Arial" w:eastAsia="Calibri" w:hAnsi="Arial" w:cs="Arial"/>
          <w:b/>
          <w:lang w:val="es-ES"/>
        </w:rPr>
      </w:pPr>
      <w:r>
        <w:rPr>
          <w:rFonts w:ascii="Arial" w:eastAsia="Calibri" w:hAnsi="Arial" w:cs="Arial"/>
          <w:b/>
          <w:lang w:val="es-ES"/>
        </w:rPr>
        <w:t>Fecha de publicación: 11</w:t>
      </w:r>
      <w:r w:rsidR="006312E8" w:rsidRPr="006312E8">
        <w:rPr>
          <w:rFonts w:ascii="Arial" w:eastAsia="Calibri" w:hAnsi="Arial" w:cs="Arial"/>
          <w:b/>
          <w:lang w:val="es-ES"/>
        </w:rPr>
        <w:t>-09-2014</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autoSpaceDE w:val="0"/>
        <w:autoSpaceDN w:val="0"/>
        <w:adjustRightInd w:val="0"/>
        <w:spacing w:after="0" w:line="240" w:lineRule="auto"/>
        <w:jc w:val="both"/>
        <w:rPr>
          <w:rFonts w:ascii="Arial" w:eastAsia="Times New Roman" w:hAnsi="Arial" w:cs="Arial"/>
          <w:lang w:val="es-ES_tradnl" w:eastAsia="es-ES"/>
        </w:rPr>
      </w:pPr>
      <w:r w:rsidRPr="006312E8">
        <w:rPr>
          <w:rFonts w:ascii="Arial" w:eastAsia="Times New Roman" w:hAnsi="Arial" w:cs="Arial"/>
          <w:lang w:val="es-ES_tradnl" w:eastAsia="es-ES"/>
        </w:rPr>
        <w:t>San Isidro, 5 de setiembre de 2014</w:t>
      </w:r>
    </w:p>
    <w:p w:rsidR="006312E8" w:rsidRPr="006312E8" w:rsidRDefault="006312E8" w:rsidP="006312E8">
      <w:pPr>
        <w:autoSpaceDE w:val="0"/>
        <w:autoSpaceDN w:val="0"/>
        <w:adjustRightInd w:val="0"/>
        <w:spacing w:after="0" w:line="240" w:lineRule="auto"/>
        <w:ind w:firstLine="709"/>
        <w:jc w:val="both"/>
        <w:rPr>
          <w:rFonts w:ascii="Arial" w:eastAsia="Times New Roman" w:hAnsi="Arial" w:cs="Arial"/>
          <w:lang w:val="es-ES_tradnl" w:eastAsia="es-ES"/>
        </w:rPr>
      </w:pPr>
    </w:p>
    <w:p w:rsidR="006312E8" w:rsidRPr="006312E8" w:rsidRDefault="006312E8" w:rsidP="006312E8">
      <w:pPr>
        <w:autoSpaceDE w:val="0"/>
        <w:autoSpaceDN w:val="0"/>
        <w:adjustRightInd w:val="0"/>
        <w:spacing w:after="0" w:line="240" w:lineRule="auto"/>
        <w:jc w:val="both"/>
        <w:rPr>
          <w:rFonts w:ascii="Arial" w:eastAsia="Times New Roman" w:hAnsi="Arial" w:cs="Arial"/>
          <w:b/>
          <w:lang w:val="es-ES_tradnl" w:eastAsia="es-ES"/>
        </w:rPr>
      </w:pPr>
      <w:r w:rsidRPr="006312E8">
        <w:rPr>
          <w:rFonts w:ascii="Arial" w:eastAsia="Times New Roman" w:hAnsi="Arial" w:cs="Arial"/>
          <w:b/>
          <w:lang w:val="es-ES_tradnl" w:eastAsia="es-ES"/>
        </w:rPr>
        <w:t>VISTO:</w:t>
      </w:r>
    </w:p>
    <w:p w:rsidR="006312E8" w:rsidRPr="006312E8" w:rsidRDefault="006312E8" w:rsidP="006312E8">
      <w:pPr>
        <w:autoSpaceDE w:val="0"/>
        <w:autoSpaceDN w:val="0"/>
        <w:adjustRightInd w:val="0"/>
        <w:spacing w:after="0" w:line="240" w:lineRule="auto"/>
        <w:ind w:firstLine="709"/>
        <w:jc w:val="both"/>
        <w:rPr>
          <w:rFonts w:ascii="Arial" w:eastAsia="Times New Roman" w:hAnsi="Arial" w:cs="Arial"/>
          <w:lang w:val="es-ES_tradnl" w:eastAsia="es-ES"/>
        </w:rPr>
      </w:pPr>
    </w:p>
    <w:p w:rsidR="006312E8" w:rsidRPr="006312E8" w:rsidRDefault="006312E8" w:rsidP="006312E8">
      <w:pPr>
        <w:autoSpaceDE w:val="0"/>
        <w:autoSpaceDN w:val="0"/>
        <w:adjustRightInd w:val="0"/>
        <w:spacing w:after="0" w:line="240" w:lineRule="auto"/>
        <w:jc w:val="both"/>
        <w:rPr>
          <w:rFonts w:ascii="Arial" w:eastAsia="Times New Roman" w:hAnsi="Arial" w:cs="Arial"/>
          <w:lang w:val="es-ES_tradnl" w:eastAsia="es-ES"/>
        </w:rPr>
      </w:pPr>
      <w:r w:rsidRPr="006312E8">
        <w:rPr>
          <w:rFonts w:ascii="Arial" w:eastAsia="Times New Roman" w:hAnsi="Arial" w:cs="Arial"/>
          <w:lang w:val="es-ES_tradnl" w:eastAsia="es-ES"/>
        </w:rPr>
        <w:t>El Informe Nº 071-2014/SBN-DNR-SDNC de fecha 16 de junio de 2014, emitido por la Subdirección de Normas y Capacitación de la Dirección de Normas y Registro, y;</w:t>
      </w:r>
    </w:p>
    <w:p w:rsidR="006312E8" w:rsidRPr="006312E8" w:rsidRDefault="006312E8" w:rsidP="006312E8">
      <w:pPr>
        <w:autoSpaceDE w:val="0"/>
        <w:autoSpaceDN w:val="0"/>
        <w:adjustRightInd w:val="0"/>
        <w:spacing w:after="0" w:line="240" w:lineRule="auto"/>
        <w:ind w:firstLine="709"/>
        <w:jc w:val="both"/>
        <w:rPr>
          <w:rFonts w:ascii="Arial" w:eastAsia="Times New Roman" w:hAnsi="Arial" w:cs="Arial"/>
          <w:lang w:val="es-ES_tradnl" w:eastAsia="es-ES"/>
        </w:rPr>
      </w:pPr>
    </w:p>
    <w:p w:rsidR="006312E8" w:rsidRPr="006312E8" w:rsidRDefault="006312E8" w:rsidP="006312E8">
      <w:pPr>
        <w:autoSpaceDE w:val="0"/>
        <w:autoSpaceDN w:val="0"/>
        <w:adjustRightInd w:val="0"/>
        <w:spacing w:after="0" w:line="240" w:lineRule="auto"/>
        <w:jc w:val="both"/>
        <w:rPr>
          <w:rFonts w:ascii="Arial" w:eastAsia="Times New Roman" w:hAnsi="Arial" w:cs="Arial"/>
          <w:b/>
          <w:bCs/>
          <w:lang w:val="es-ES_tradnl" w:eastAsia="es-ES"/>
        </w:rPr>
      </w:pPr>
      <w:r w:rsidRPr="006312E8">
        <w:rPr>
          <w:rFonts w:ascii="Arial" w:eastAsia="Times New Roman" w:hAnsi="Arial" w:cs="Arial"/>
          <w:b/>
          <w:bCs/>
          <w:lang w:val="es-ES_tradnl" w:eastAsia="es-ES"/>
        </w:rPr>
        <w:t>CONSIDERANDO:</w:t>
      </w:r>
    </w:p>
    <w:p w:rsidR="006312E8" w:rsidRPr="006312E8" w:rsidRDefault="006312E8" w:rsidP="006312E8">
      <w:pPr>
        <w:autoSpaceDE w:val="0"/>
        <w:autoSpaceDN w:val="0"/>
        <w:adjustRightInd w:val="0"/>
        <w:spacing w:after="0" w:line="240" w:lineRule="auto"/>
        <w:ind w:firstLine="709"/>
        <w:jc w:val="both"/>
        <w:rPr>
          <w:rFonts w:ascii="Arial" w:eastAsia="Times New Roman" w:hAnsi="Arial" w:cs="Arial"/>
          <w:lang w:val="es-ES_tradnl" w:eastAsia="es-ES"/>
        </w:rPr>
      </w:pPr>
    </w:p>
    <w:p w:rsidR="006312E8" w:rsidRPr="006312E8" w:rsidRDefault="006312E8" w:rsidP="006312E8">
      <w:pPr>
        <w:jc w:val="both"/>
        <w:rPr>
          <w:rFonts w:ascii="Arial" w:hAnsi="Arial" w:cs="Arial"/>
        </w:rPr>
      </w:pPr>
      <w:r w:rsidRPr="006312E8">
        <w:rPr>
          <w:rFonts w:ascii="Arial" w:hAnsi="Arial" w:cs="Arial"/>
        </w:rPr>
        <w:t>Que, la Superintendencia Nacional de Bienes Estatales - SBN es un organismo público ejecutor, adscrito al Ministerio de Vivienda, Construcción y Saneamiento, y el Ente Rector del Sistema Nacional de Bienes Estatales, responsable de normar los actos de adquisición, disposición, administración y supervisión de los bienes estatales, así como de ejecutar dichos actos respecto de los bienes cuya administración está a su cargo, de acuerdo a la normatividad vigente, gozando de autonomía económica, presupuestal, financiera, técnica y funcional, de conformidad a lo establecido en la Ley Nº 29151, Ley General del Sistema Nacional de Bienes Estatales y su Reglamento, aprobado por el Decreto Supremo Nº 007-2008-VIVIENDA;</w:t>
      </w:r>
    </w:p>
    <w:p w:rsidR="006312E8" w:rsidRPr="006312E8" w:rsidRDefault="006312E8" w:rsidP="006312E8">
      <w:pPr>
        <w:jc w:val="both"/>
        <w:rPr>
          <w:rFonts w:ascii="Arial" w:hAnsi="Arial" w:cs="Arial"/>
        </w:rPr>
      </w:pPr>
      <w:r w:rsidRPr="006312E8">
        <w:rPr>
          <w:rFonts w:ascii="Arial" w:hAnsi="Arial" w:cs="Arial"/>
        </w:rPr>
        <w:t xml:space="preserve">Que, de acuerdo al literal e) del artículo 7° de la Ley Nº 29151, es una de las garantías del Sistema Nacional de Bienes Estatales (SNBE), la venta por subasta pública de los bienes de dominio privado estatal; y, de manera excepcional, en forma directa;  </w:t>
      </w:r>
    </w:p>
    <w:p w:rsidR="006312E8" w:rsidRPr="006312E8" w:rsidRDefault="006312E8" w:rsidP="006312E8">
      <w:pPr>
        <w:jc w:val="both"/>
        <w:rPr>
          <w:rFonts w:ascii="Arial" w:hAnsi="Arial" w:cs="Arial"/>
        </w:rPr>
      </w:pPr>
      <w:r w:rsidRPr="006312E8">
        <w:rPr>
          <w:rFonts w:ascii="Arial" w:hAnsi="Arial" w:cs="Arial"/>
        </w:rPr>
        <w:t>Que, el literal b) del numeral 14.1 del artículo 14º de la citada Ley, concordante con el literal a) del numeral 9.1 del artículo 9° de su Reglamento, aprobado por el Decreto Supremo N° 007-2008-VIVIENDA, señalan que la SBN, en calidad de ente rector del SNBE, tiene la función de expedir directivas o disposiciones legales, entre otros, sobre los actos de disposición de bienes estatales, de cumplimiento obligatorio por parte de las entidades que conforman el SNBE;</w:t>
      </w:r>
    </w:p>
    <w:p w:rsidR="006312E8" w:rsidRPr="006312E8" w:rsidRDefault="006312E8" w:rsidP="006312E8">
      <w:pPr>
        <w:jc w:val="both"/>
        <w:rPr>
          <w:rFonts w:ascii="Arial" w:hAnsi="Arial" w:cs="Arial"/>
        </w:rPr>
      </w:pPr>
      <w:r w:rsidRPr="006312E8">
        <w:rPr>
          <w:rFonts w:ascii="Arial" w:hAnsi="Arial" w:cs="Arial"/>
        </w:rPr>
        <w:t>Que, el artículo 74° del Reglamento de la Ley N° 29151, aprobado por el Decreto Supremo N° 007-2008-VIVIENDA, modificado por el Decreto Supremo N° 013-2012-VIVIENDA, establece que los bienes de dominio privado estatal pueden ser objeto de transferencia mediante la venta directa, en forma excepcional, la cual es regulada en el numeral 75.2 del artículo 75° y los artículos 77°, 78°, 78-A, 78-B, 78-C y 80° del precitado Reglamento;</w:t>
      </w:r>
    </w:p>
    <w:p w:rsidR="006312E8" w:rsidRPr="006312E8" w:rsidRDefault="006312E8" w:rsidP="006312E8">
      <w:pPr>
        <w:jc w:val="both"/>
        <w:rPr>
          <w:rFonts w:ascii="Arial" w:hAnsi="Arial"/>
        </w:rPr>
      </w:pPr>
      <w:r w:rsidRPr="006312E8">
        <w:rPr>
          <w:rFonts w:ascii="Arial" w:hAnsi="Arial" w:cs="Arial"/>
        </w:rPr>
        <w:t>Que, mediante el documento de visto, la Subdirección de Normas y Capacitación de la Dirección de Normas y Registro, ha elaborado la propuesta de directiva denominada “Procedimiento para la aprobación de la venta directa de predios de dominio privado estatal de libre disponibilidad”, que tiene por objetivo regular</w:t>
      </w:r>
      <w:r w:rsidRPr="006312E8">
        <w:rPr>
          <w:rFonts w:ascii="Arial" w:hAnsi="Arial"/>
        </w:rPr>
        <w:t xml:space="preserve"> el procedimiento de aprobación de la venta directa de los predios de dominio privado estatal de libre disponibilidad, con la finalidad de coadyuvar a la gestión eficiente del portafolio inmobiliario del Estado, mediante la promoción de la inversión privada; </w:t>
      </w:r>
    </w:p>
    <w:p w:rsidR="006312E8" w:rsidRPr="006312E8" w:rsidRDefault="006312E8" w:rsidP="006312E8">
      <w:pPr>
        <w:jc w:val="both"/>
        <w:rPr>
          <w:rFonts w:ascii="Arial" w:hAnsi="Arial" w:cs="Arial"/>
        </w:rPr>
      </w:pPr>
      <w:r w:rsidRPr="006312E8">
        <w:rPr>
          <w:rFonts w:ascii="Arial" w:hAnsi="Arial" w:cs="Arial"/>
        </w:rPr>
        <w:t>Que, en tal sentido, resulta necesario aprobar la directiva que regula el “Procedimiento para la aprobación de la venta directa de predios de dominio privado estatal de libre disponibilidad”, y en esa medida, derogar la Directiva Nº 003-2011/SBN, que regula los “Procedimientos para la aprobación de la venta directa por causal de predios de dominio privado del Estado de libre disponibilidad”, aprobada por la Resolución Nº 020-2011/SBN;</w:t>
      </w:r>
    </w:p>
    <w:p w:rsidR="006312E8" w:rsidRPr="006312E8" w:rsidRDefault="006312E8" w:rsidP="006312E8">
      <w:pPr>
        <w:jc w:val="both"/>
        <w:rPr>
          <w:rFonts w:ascii="Arial" w:hAnsi="Arial" w:cs="Arial"/>
        </w:rPr>
      </w:pPr>
      <w:r w:rsidRPr="006312E8">
        <w:rPr>
          <w:rFonts w:ascii="Arial" w:hAnsi="Arial" w:cs="Arial"/>
        </w:rPr>
        <w:t>Con los visados de la Secretaría General, la Oficina de Planeamiento y Presupuesto, la Oficina de Asesoría Jurídica, la Dirección de Normas y Registro, la Dirección de Gestión del Patrimonio Estatal, y la Oficina de Administración y Finanzas, y;</w:t>
      </w:r>
    </w:p>
    <w:p w:rsidR="006312E8" w:rsidRPr="006312E8" w:rsidRDefault="006312E8" w:rsidP="006312E8">
      <w:pPr>
        <w:spacing w:after="0" w:line="240" w:lineRule="atLeast"/>
        <w:jc w:val="both"/>
        <w:rPr>
          <w:rFonts w:ascii="Arial" w:eastAsia="Times New Roman" w:hAnsi="Arial" w:cs="Arial"/>
          <w:b/>
          <w:lang w:eastAsia="es-MX"/>
        </w:rPr>
      </w:pPr>
      <w:r w:rsidRPr="006312E8">
        <w:rPr>
          <w:rFonts w:ascii="Arial" w:eastAsia="Times New Roman" w:hAnsi="Arial" w:cs="Times New Roman"/>
          <w:lang w:eastAsia="es-MX"/>
        </w:rPr>
        <w:t>De conformidad con lo establecido en</w:t>
      </w:r>
      <w:r w:rsidRPr="006312E8">
        <w:rPr>
          <w:rFonts w:ascii="Arial" w:eastAsia="Times New Roman" w:hAnsi="Arial" w:cs="Arial"/>
          <w:lang w:eastAsia="es-MX"/>
        </w:rPr>
        <w:t xml:space="preserve"> el literal e) del artículo 7° y literal b) del numeral 14.1 del artículo 14º de</w:t>
      </w:r>
      <w:r w:rsidRPr="006312E8">
        <w:rPr>
          <w:rFonts w:ascii="Arial" w:eastAsia="Times New Roman" w:hAnsi="Arial" w:cs="Times New Roman"/>
          <w:lang w:eastAsia="es-MX"/>
        </w:rPr>
        <w:t xml:space="preserve"> la Ley N° 29151, Ley General del Sistema Nacional de Bienes Estatales; </w:t>
      </w:r>
      <w:r w:rsidRPr="006312E8">
        <w:rPr>
          <w:rFonts w:ascii="Arial" w:eastAsia="Times New Roman" w:hAnsi="Arial" w:cs="Arial"/>
          <w:lang w:eastAsia="es-MX"/>
        </w:rPr>
        <w:t>el literal a) del numeral 9.1 del artículo 9°, el artículo 74°, numeral 75.2 del artículo 75° y los artículos 77°, 78°, 78-A, 78-B, 78-C y 80° del Reglamento de la Ley N° 29151, aprobado por el Decreto Supremo N° 007-2008-VIVIENDA, modificado por el Decreto Supremo N° 013-2012-VIVIENDA; y en uso de las atribuciones conferidas en los literales b) y r) del artículo 11º del Reglamento de Organización y Funciones de la Superintendencia Nacional de Bienes Estatales – SBN, aprobado por el Decreto Supremo Nº 016-2010-VIVIENDA;</w:t>
      </w:r>
      <w:r w:rsidRPr="006312E8">
        <w:rPr>
          <w:rFonts w:ascii="Arial" w:eastAsia="Times New Roman" w:hAnsi="Arial" w:cs="Arial"/>
          <w:b/>
          <w:lang w:eastAsia="es-MX"/>
        </w:rPr>
        <w:t xml:space="preserve"> </w:t>
      </w:r>
    </w:p>
    <w:p w:rsidR="006312E8" w:rsidRPr="006312E8" w:rsidRDefault="006312E8" w:rsidP="006312E8">
      <w:pPr>
        <w:autoSpaceDE w:val="0"/>
        <w:autoSpaceDN w:val="0"/>
        <w:adjustRightInd w:val="0"/>
        <w:spacing w:after="0" w:line="240" w:lineRule="auto"/>
        <w:jc w:val="both"/>
        <w:rPr>
          <w:rFonts w:ascii="Arial" w:eastAsia="Times New Roman" w:hAnsi="Arial" w:cs="Arial"/>
          <w:lang w:val="es-ES_tradnl" w:eastAsia="es-ES"/>
        </w:rPr>
      </w:pPr>
      <w:r w:rsidRPr="006312E8">
        <w:rPr>
          <w:rFonts w:ascii="Arial" w:eastAsia="Times New Roman" w:hAnsi="Arial" w:cs="Arial"/>
          <w:lang w:val="es-ES_tradnl" w:eastAsia="es-ES"/>
        </w:rPr>
        <w:t xml:space="preserve">                                                    </w:t>
      </w:r>
    </w:p>
    <w:p w:rsidR="006312E8" w:rsidRPr="006312E8" w:rsidRDefault="006312E8" w:rsidP="006312E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s>
        <w:overflowPunct w:val="0"/>
        <w:autoSpaceDE w:val="0"/>
        <w:autoSpaceDN w:val="0"/>
        <w:adjustRightInd w:val="0"/>
        <w:spacing w:after="0" w:line="240" w:lineRule="auto"/>
        <w:jc w:val="both"/>
        <w:rPr>
          <w:rFonts w:ascii="Arial" w:eastAsia="Times New Roman" w:hAnsi="Arial" w:cs="Times New Roman"/>
          <w:b/>
          <w:color w:val="000000"/>
          <w:lang w:val="es-ES" w:eastAsia="es-ES"/>
        </w:rPr>
      </w:pPr>
      <w:r w:rsidRPr="006312E8">
        <w:rPr>
          <w:rFonts w:ascii="Arial" w:eastAsia="Times New Roman" w:hAnsi="Arial" w:cs="Times New Roman"/>
          <w:b/>
          <w:color w:val="000000"/>
          <w:lang w:val="es-ES" w:eastAsia="es-ES"/>
        </w:rPr>
        <w:t>SE RESUELVE:</w:t>
      </w:r>
    </w:p>
    <w:p w:rsidR="006312E8" w:rsidRPr="006312E8" w:rsidRDefault="006312E8" w:rsidP="006312E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s>
        <w:overflowPunct w:val="0"/>
        <w:autoSpaceDE w:val="0"/>
        <w:autoSpaceDN w:val="0"/>
        <w:adjustRightInd w:val="0"/>
        <w:spacing w:after="0" w:line="240" w:lineRule="auto"/>
        <w:ind w:firstLine="709"/>
        <w:jc w:val="both"/>
        <w:rPr>
          <w:rFonts w:ascii="Arial" w:eastAsia="Times New Roman" w:hAnsi="Arial" w:cs="Times New Roman"/>
          <w:b/>
          <w:color w:val="000000"/>
          <w:lang w:val="es-ES" w:eastAsia="es-ES"/>
        </w:rPr>
      </w:pPr>
    </w:p>
    <w:p w:rsidR="006312E8" w:rsidRPr="006312E8" w:rsidRDefault="006312E8" w:rsidP="006312E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rPr>
      </w:pPr>
      <w:r w:rsidRPr="006312E8">
        <w:rPr>
          <w:rFonts w:ascii="Arial" w:hAnsi="Arial"/>
          <w:b/>
        </w:rPr>
        <w:t>Artículo 1º.-</w:t>
      </w:r>
      <w:r w:rsidRPr="006312E8">
        <w:rPr>
          <w:rFonts w:ascii="Arial" w:hAnsi="Arial"/>
          <w:highlight w:val="white"/>
        </w:rPr>
        <w:t xml:space="preserve"> </w:t>
      </w:r>
      <w:r w:rsidRPr="006312E8">
        <w:rPr>
          <w:rFonts w:ascii="Arial" w:hAnsi="Arial"/>
        </w:rPr>
        <w:t xml:space="preserve">Aprobar </w:t>
      </w:r>
      <w:r w:rsidRPr="006312E8">
        <w:rPr>
          <w:rFonts w:ascii="Arial" w:hAnsi="Arial" w:cs="Arial"/>
        </w:rPr>
        <w:t>la Directiva Nº 006-2014/SBN, denominada “Procedimiento para la aprobación de la venta directa de predios de dominio privado estatal de libre disponibilidad” y los Anexos N°s. 1, 2, 3 y 4 que forman parte integrante de la misma.</w:t>
      </w:r>
      <w:r w:rsidRPr="006312E8">
        <w:rPr>
          <w:rFonts w:ascii="Arial" w:hAnsi="Arial"/>
        </w:rPr>
        <w:t xml:space="preserve"> </w:t>
      </w:r>
    </w:p>
    <w:p w:rsidR="006312E8" w:rsidRPr="006312E8" w:rsidRDefault="006312E8" w:rsidP="006312E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rPr>
      </w:pPr>
      <w:r w:rsidRPr="006312E8">
        <w:rPr>
          <w:rFonts w:ascii="Arial" w:hAnsi="Arial"/>
          <w:b/>
        </w:rPr>
        <w:t xml:space="preserve">Artículo 2º.- </w:t>
      </w:r>
      <w:r w:rsidRPr="006312E8">
        <w:rPr>
          <w:rFonts w:ascii="Arial" w:hAnsi="Arial"/>
        </w:rPr>
        <w:t xml:space="preserve">Derogar la </w:t>
      </w:r>
      <w:r w:rsidRPr="006312E8">
        <w:rPr>
          <w:rFonts w:ascii="Arial" w:hAnsi="Arial" w:cs="Arial"/>
        </w:rPr>
        <w:t>Directiva Nº 003-2011/SBN que regula los “Procedimientos para la aprobación de la venta directa por causal de predios de dominio privado del Estado de libre disponibilidad”, aprobada por la Resolución Nº 020-2011/SBN.</w:t>
      </w:r>
      <w:r w:rsidRPr="006312E8">
        <w:rPr>
          <w:rFonts w:ascii="Arial" w:hAnsi="Arial"/>
        </w:rPr>
        <w:t xml:space="preserve"> </w:t>
      </w:r>
    </w:p>
    <w:p w:rsidR="006312E8" w:rsidRPr="006312E8" w:rsidRDefault="006312E8" w:rsidP="006312E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rPr>
      </w:pPr>
      <w:r w:rsidRPr="006312E8">
        <w:rPr>
          <w:rFonts w:ascii="Arial" w:hAnsi="Arial"/>
          <w:b/>
        </w:rPr>
        <w:t>Artículo 3º.-</w:t>
      </w:r>
      <w:r w:rsidRPr="006312E8">
        <w:rPr>
          <w:rFonts w:ascii="Arial" w:hAnsi="Arial"/>
          <w:highlight w:val="white"/>
        </w:rPr>
        <w:t xml:space="preserve"> </w:t>
      </w:r>
      <w:r w:rsidRPr="006312E8">
        <w:rPr>
          <w:rFonts w:ascii="Arial" w:hAnsi="Arial"/>
        </w:rPr>
        <w:t xml:space="preserve">Las disposiciones de la Directiva Nº 006-2014/SBN, entrarán en vigencia a partir del día siguiente de la publicación de la presente Resolución en el Diario Oficial El Peruano. </w:t>
      </w:r>
    </w:p>
    <w:p w:rsidR="006312E8" w:rsidRPr="006312E8" w:rsidRDefault="006312E8" w:rsidP="006312E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sidRPr="006312E8">
        <w:rPr>
          <w:rFonts w:ascii="Arial" w:hAnsi="Arial"/>
          <w:b/>
        </w:rPr>
        <w:t>Artículo 4º.-</w:t>
      </w:r>
      <w:r w:rsidRPr="006312E8">
        <w:rPr>
          <w:rFonts w:ascii="Arial" w:hAnsi="Arial"/>
        </w:rPr>
        <w:t xml:space="preserve"> Encargar a la Oficina de Administración y Finanzas la publicación de la Directiva Nº 006-2014-2014/SBN y la presente Resolución en la página web </w:t>
      </w:r>
      <w:r w:rsidRPr="006312E8">
        <w:rPr>
          <w:rFonts w:ascii="Arial" w:hAnsi="Arial" w:cs="Arial"/>
        </w:rPr>
        <w:t>(</w:t>
      </w:r>
      <w:hyperlink r:id="rId21" w:history="1">
        <w:r w:rsidRPr="006312E8">
          <w:rPr>
            <w:rFonts w:ascii="Arial" w:hAnsi="Arial" w:cs="Arial"/>
            <w:color w:val="0000FF"/>
            <w:u w:val="single"/>
          </w:rPr>
          <w:t>www.sbn.gob.pe</w:t>
        </w:r>
      </w:hyperlink>
      <w:r w:rsidRPr="006312E8">
        <w:rPr>
          <w:rFonts w:ascii="Arial" w:hAnsi="Arial" w:cs="Arial"/>
        </w:rPr>
        <w:t xml:space="preserve">) y en </w:t>
      </w:r>
      <w:r w:rsidRPr="006312E8">
        <w:rPr>
          <w:rFonts w:ascii="Arial" w:hAnsi="Arial"/>
        </w:rPr>
        <w:t>la intranet institucional</w:t>
      </w:r>
      <w:r w:rsidRPr="006312E8">
        <w:rPr>
          <w:rFonts w:ascii="Arial" w:hAnsi="Arial" w:cs="Arial"/>
        </w:rPr>
        <w:t>.</w:t>
      </w:r>
    </w:p>
    <w:p w:rsidR="006312E8" w:rsidRPr="006312E8" w:rsidRDefault="006312E8" w:rsidP="006312E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b/>
        </w:rPr>
      </w:pPr>
      <w:r w:rsidRPr="006312E8">
        <w:rPr>
          <w:rFonts w:ascii="Arial" w:hAnsi="Arial"/>
          <w:b/>
        </w:rPr>
        <w:t>Regístrese, comuníquese y publíquese.</w:t>
      </w:r>
    </w:p>
    <w:p w:rsidR="006312E8" w:rsidRPr="006312E8" w:rsidRDefault="006312E8" w:rsidP="006312E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rPr>
          <w:rFonts w:ascii="Arial" w:hAnsi="Arial" w:cs="Arial"/>
          <w:b/>
        </w:rPr>
      </w:pPr>
      <w:r w:rsidRPr="006312E8">
        <w:rPr>
          <w:rFonts w:ascii="Arial" w:hAnsi="Arial" w:cs="Arial"/>
          <w:b/>
        </w:rPr>
        <w:t>SONIA MARIA CORDERO VASQUEZ</w:t>
      </w:r>
    </w:p>
    <w:p w:rsidR="006312E8" w:rsidRPr="006312E8" w:rsidRDefault="006312E8" w:rsidP="006312E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rPr>
          <w:rFonts w:ascii="Arial" w:hAnsi="Arial" w:cs="Arial"/>
        </w:rPr>
      </w:pPr>
      <w:r w:rsidRPr="006312E8">
        <w:rPr>
          <w:rFonts w:ascii="Arial" w:hAnsi="Arial" w:cs="Arial"/>
        </w:rPr>
        <w:t>Superintendente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E104C8">
      <w:pPr>
        <w:pStyle w:val="TITO2"/>
      </w:pPr>
      <w:bookmarkStart w:id="286" w:name="_Toc392856222"/>
      <w:bookmarkStart w:id="287" w:name="_Toc399335497"/>
      <w:bookmarkStart w:id="288" w:name="_Toc421025444"/>
      <w:bookmarkStart w:id="289" w:name="_Toc470855546"/>
      <w:bookmarkStart w:id="290" w:name="D0032011"/>
      <w:r w:rsidRPr="006312E8">
        <w:t>DIRECTIVA Nº 006-2014-SBN</w:t>
      </w:r>
      <w:bookmarkEnd w:id="286"/>
      <w:bookmarkEnd w:id="287"/>
      <w:bookmarkEnd w:id="288"/>
      <w:bookmarkEnd w:id="289"/>
    </w:p>
    <w:bookmarkEnd w:id="290"/>
    <w:p w:rsidR="006312E8" w:rsidRPr="006312E8" w:rsidRDefault="006312E8" w:rsidP="006312E8">
      <w:pPr>
        <w:spacing w:after="0" w:line="240" w:lineRule="auto"/>
        <w:contextualSpacing/>
        <w:jc w:val="center"/>
        <w:rPr>
          <w:rFonts w:ascii="Arial" w:eastAsia="Calibri" w:hAnsi="Arial" w:cs="Arial"/>
          <w:b/>
          <w:lang w:val="es-ES"/>
        </w:rPr>
      </w:pPr>
    </w:p>
    <w:p w:rsidR="006312E8" w:rsidRPr="006312E8" w:rsidRDefault="006312E8" w:rsidP="006312E8">
      <w:pPr>
        <w:spacing w:after="0" w:line="240" w:lineRule="auto"/>
        <w:contextualSpacing/>
        <w:jc w:val="center"/>
        <w:rPr>
          <w:rFonts w:ascii="Arial" w:eastAsia="Calibri" w:hAnsi="Arial" w:cs="Arial"/>
          <w:b/>
          <w:caps/>
          <w:lang w:val="es-ES"/>
        </w:rPr>
      </w:pPr>
      <w:r w:rsidRPr="006312E8">
        <w:rPr>
          <w:rFonts w:ascii="Arial" w:eastAsia="Calibri" w:hAnsi="Arial" w:cs="Arial"/>
          <w:b/>
          <w:caps/>
          <w:lang w:val="es-ES"/>
        </w:rPr>
        <w:t>Procedimiento para la aprobación de la venta directa de predios de dominio privado estatal de libre disponibilidad</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right"/>
        <w:rPr>
          <w:rFonts w:ascii="Arial" w:eastAsia="Calibri" w:hAnsi="Arial" w:cs="Arial"/>
          <w:b/>
          <w:lang w:val="es-ES"/>
        </w:rPr>
      </w:pPr>
      <w:r w:rsidRPr="006312E8">
        <w:rPr>
          <w:rFonts w:ascii="Arial" w:eastAsia="Calibri" w:hAnsi="Arial" w:cs="Arial"/>
          <w:b/>
          <w:lang w:val="es-ES"/>
        </w:rPr>
        <w:t>Lima, 05-09-2014</w:t>
      </w: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92471C">
      <w:pPr>
        <w:numPr>
          <w:ilvl w:val="0"/>
          <w:numId w:val="158"/>
        </w:numPr>
        <w:spacing w:after="0" w:line="240" w:lineRule="auto"/>
        <w:ind w:left="426" w:hanging="425"/>
        <w:contextualSpacing/>
        <w:jc w:val="both"/>
        <w:rPr>
          <w:rFonts w:ascii="Arial" w:eastAsia="Calibri" w:hAnsi="Arial" w:cs="Arial"/>
          <w:b/>
          <w:lang w:val="es-ES"/>
        </w:rPr>
      </w:pPr>
      <w:r w:rsidRPr="006312E8">
        <w:rPr>
          <w:rFonts w:ascii="Arial" w:eastAsia="Calibri" w:hAnsi="Arial" w:cs="Arial"/>
          <w:b/>
          <w:lang w:val="es-ES"/>
        </w:rPr>
        <w:t>FINALIDAD</w:t>
      </w:r>
    </w:p>
    <w:p w:rsidR="006312E8" w:rsidRPr="006312E8" w:rsidRDefault="006312E8" w:rsidP="006312E8">
      <w:p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 xml:space="preserve">Optimizar la venta directa de predios de dominio privado estatal de libre disponibilidad, procurando una eficiente gestión de dichos predios a fin de contribuir con el desarrollo del país. </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92471C">
      <w:pPr>
        <w:numPr>
          <w:ilvl w:val="0"/>
          <w:numId w:val="158"/>
        </w:numPr>
        <w:spacing w:after="0" w:line="240" w:lineRule="auto"/>
        <w:ind w:left="426" w:hanging="425"/>
        <w:contextualSpacing/>
        <w:jc w:val="both"/>
        <w:rPr>
          <w:rFonts w:ascii="Arial" w:eastAsia="Calibri" w:hAnsi="Arial" w:cs="Arial"/>
          <w:b/>
          <w:lang w:val="es-ES"/>
        </w:rPr>
      </w:pPr>
      <w:r w:rsidRPr="006312E8">
        <w:rPr>
          <w:rFonts w:ascii="Arial" w:eastAsia="Calibri" w:hAnsi="Arial" w:cs="Arial"/>
          <w:b/>
          <w:lang w:val="es-ES"/>
        </w:rPr>
        <w:t>OBJETIVO</w:t>
      </w:r>
    </w:p>
    <w:p w:rsidR="006312E8" w:rsidRPr="006312E8" w:rsidRDefault="006312E8" w:rsidP="006312E8">
      <w:p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Regular el procedimiento para la aprobación de la venta directa por causales legalmente establecidas de manera excepcional.</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92471C">
      <w:pPr>
        <w:numPr>
          <w:ilvl w:val="0"/>
          <w:numId w:val="158"/>
        </w:numPr>
        <w:spacing w:after="0" w:line="240" w:lineRule="auto"/>
        <w:ind w:left="426" w:hanging="425"/>
        <w:contextualSpacing/>
        <w:jc w:val="both"/>
        <w:rPr>
          <w:rFonts w:ascii="Arial" w:eastAsia="Calibri" w:hAnsi="Arial" w:cs="Arial"/>
          <w:b/>
          <w:lang w:val="es-ES"/>
        </w:rPr>
      </w:pPr>
      <w:r w:rsidRPr="006312E8">
        <w:rPr>
          <w:rFonts w:ascii="Arial" w:eastAsia="Calibri" w:hAnsi="Arial" w:cs="Arial"/>
          <w:b/>
          <w:lang w:val="es-ES"/>
        </w:rPr>
        <w:t>ALCANCE</w:t>
      </w:r>
    </w:p>
    <w:p w:rsidR="006312E8" w:rsidRPr="006312E8" w:rsidRDefault="006312E8" w:rsidP="006312E8">
      <w:p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La presente Directiva tiene alcance nacional y comprende los predios del dominio privado estatal de libre disponibilidad que están bajo competencia directa de: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92471C">
      <w:pPr>
        <w:numPr>
          <w:ilvl w:val="0"/>
          <w:numId w:val="159"/>
        </w:numPr>
        <w:spacing w:after="0" w:line="240" w:lineRule="auto"/>
        <w:contextualSpacing/>
        <w:jc w:val="both"/>
        <w:rPr>
          <w:rFonts w:ascii="Arial" w:eastAsia="Calibri" w:hAnsi="Arial" w:cs="Arial"/>
          <w:lang w:val="es-ES"/>
        </w:rPr>
      </w:pPr>
      <w:r w:rsidRPr="006312E8">
        <w:rPr>
          <w:rFonts w:ascii="Arial" w:eastAsia="Calibri" w:hAnsi="Arial" w:cs="Arial"/>
          <w:lang w:val="es-ES"/>
        </w:rPr>
        <w:t>La SBN;</w:t>
      </w:r>
    </w:p>
    <w:p w:rsidR="006312E8" w:rsidRPr="006312E8" w:rsidRDefault="006312E8" w:rsidP="006312E8">
      <w:pPr>
        <w:spacing w:after="0" w:line="240" w:lineRule="auto"/>
        <w:ind w:left="1440"/>
        <w:contextualSpacing/>
        <w:jc w:val="both"/>
        <w:rPr>
          <w:rFonts w:ascii="Arial" w:eastAsia="Calibri" w:hAnsi="Arial" w:cs="Arial"/>
          <w:lang w:val="es-ES"/>
        </w:rPr>
      </w:pPr>
    </w:p>
    <w:p w:rsidR="006312E8" w:rsidRPr="006312E8" w:rsidRDefault="006312E8" w:rsidP="0092471C">
      <w:pPr>
        <w:numPr>
          <w:ilvl w:val="0"/>
          <w:numId w:val="159"/>
        </w:numPr>
        <w:spacing w:after="0" w:line="240" w:lineRule="auto"/>
        <w:contextualSpacing/>
        <w:jc w:val="both"/>
        <w:rPr>
          <w:rFonts w:ascii="Arial" w:eastAsia="Calibri" w:hAnsi="Arial" w:cs="Arial"/>
          <w:lang w:val="es-ES"/>
        </w:rPr>
      </w:pPr>
      <w:r w:rsidRPr="006312E8">
        <w:rPr>
          <w:rFonts w:ascii="Arial" w:eastAsia="Calibri" w:hAnsi="Arial" w:cs="Arial"/>
          <w:lang w:val="es-ES"/>
        </w:rPr>
        <w:t>Los Gobiernos Regionales que hayan asumido competencias en el marco del proceso de descentralización, respecto de las funciones del artículo 62º de la Ley Nº 27867, Ley Orgánica de Gobiernos Regionales; y,</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0"/>
          <w:numId w:val="159"/>
        </w:num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Las demás entidades públicas que comprenden el Sistema Nacional de Bienes Estatales.</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6312E8">
      <w:p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 xml:space="preserve">No están comprendidos en esta Directiva los predios estatales que son materia de procesos de formalización, titulación, privatización o concesión en cumplimiento de disposiciones especiales. </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6312E8">
      <w:p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Los Gobiernos Regionales y las entidades públicas que cuentan con régimen legal propio para disponer los predios de su propiedad, aplicarán la presente directiva de manera supletoria.</w:t>
      </w:r>
    </w:p>
    <w:p w:rsidR="006312E8" w:rsidRPr="006312E8" w:rsidRDefault="006312E8" w:rsidP="006312E8">
      <w:pPr>
        <w:spacing w:after="0" w:line="240" w:lineRule="auto"/>
        <w:ind w:left="426"/>
        <w:contextualSpacing/>
        <w:jc w:val="both"/>
        <w:rPr>
          <w:rFonts w:ascii="Arial" w:eastAsia="Calibri" w:hAnsi="Arial" w:cs="Arial"/>
          <w:b/>
          <w:lang w:val="es-ES"/>
        </w:rPr>
      </w:pPr>
    </w:p>
    <w:p w:rsidR="006312E8" w:rsidRPr="006312E8" w:rsidRDefault="006312E8" w:rsidP="0092471C">
      <w:pPr>
        <w:numPr>
          <w:ilvl w:val="0"/>
          <w:numId w:val="158"/>
        </w:numPr>
        <w:spacing w:after="0" w:line="240" w:lineRule="auto"/>
        <w:ind w:left="426" w:hanging="425"/>
        <w:contextualSpacing/>
        <w:jc w:val="both"/>
        <w:rPr>
          <w:rFonts w:ascii="Arial" w:eastAsia="Calibri" w:hAnsi="Arial" w:cs="Arial"/>
          <w:b/>
          <w:lang w:val="es-ES"/>
        </w:rPr>
      </w:pPr>
      <w:r w:rsidRPr="006312E8">
        <w:rPr>
          <w:rFonts w:ascii="Arial" w:eastAsia="Calibri" w:hAnsi="Arial" w:cs="Arial"/>
          <w:b/>
          <w:lang w:val="es-ES"/>
        </w:rPr>
        <w:t>BASE LEGAL</w:t>
      </w:r>
    </w:p>
    <w:p w:rsidR="006312E8" w:rsidRPr="006312E8" w:rsidRDefault="006312E8" w:rsidP="006312E8">
      <w:pPr>
        <w:spacing w:after="0" w:line="240" w:lineRule="auto"/>
        <w:ind w:left="426"/>
        <w:contextualSpacing/>
        <w:jc w:val="both"/>
        <w:rPr>
          <w:rFonts w:ascii="Arial" w:eastAsia="Calibri" w:hAnsi="Arial" w:cs="Arial"/>
          <w:b/>
          <w:lang w:val="es-ES"/>
        </w:rPr>
      </w:pPr>
    </w:p>
    <w:p w:rsidR="006312E8" w:rsidRPr="006312E8" w:rsidRDefault="006312E8" w:rsidP="0092471C">
      <w:pPr>
        <w:numPr>
          <w:ilvl w:val="0"/>
          <w:numId w:val="160"/>
        </w:numPr>
        <w:spacing w:after="0" w:line="240" w:lineRule="auto"/>
        <w:contextualSpacing/>
        <w:jc w:val="both"/>
        <w:rPr>
          <w:rFonts w:ascii="Arial" w:eastAsia="Calibri" w:hAnsi="Arial" w:cs="Arial"/>
          <w:lang w:val="es-ES"/>
        </w:rPr>
      </w:pPr>
      <w:r w:rsidRPr="006312E8">
        <w:rPr>
          <w:rFonts w:ascii="Arial" w:eastAsia="Calibri" w:hAnsi="Arial" w:cs="Arial"/>
          <w:lang w:val="es-ES"/>
        </w:rPr>
        <w:t>Ley General del Sistema Nacional de Bienes Estatales, aprobada con Ley Nº 29151, modificada por la Ley Nº 30230 (en adelante, la Ley).</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60"/>
        </w:numPr>
        <w:spacing w:after="0" w:line="240" w:lineRule="auto"/>
        <w:contextualSpacing/>
        <w:jc w:val="both"/>
        <w:rPr>
          <w:rFonts w:ascii="Arial" w:eastAsia="Calibri" w:hAnsi="Arial" w:cs="Arial"/>
          <w:lang w:val="es-ES"/>
        </w:rPr>
      </w:pPr>
      <w:r w:rsidRPr="006312E8">
        <w:rPr>
          <w:rFonts w:ascii="Arial" w:eastAsia="Calibri" w:hAnsi="Arial" w:cs="Arial"/>
          <w:lang w:val="es-ES"/>
        </w:rPr>
        <w:t>Ley Nº 27444, Ley del Procedimiento Administrativo General.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60"/>
        </w:numPr>
        <w:spacing w:after="0" w:line="240" w:lineRule="auto"/>
        <w:contextualSpacing/>
        <w:jc w:val="both"/>
        <w:rPr>
          <w:rFonts w:ascii="Arial" w:eastAsia="Calibri" w:hAnsi="Arial" w:cs="Arial"/>
          <w:lang w:val="es-ES"/>
        </w:rPr>
      </w:pPr>
      <w:r w:rsidRPr="006312E8">
        <w:rPr>
          <w:rFonts w:ascii="Arial" w:eastAsia="Calibri" w:hAnsi="Arial" w:cs="Arial"/>
          <w:lang w:val="es-ES"/>
        </w:rPr>
        <w:t>Reglamento de la Ley General del Sistema Nacional de Bienes Estatales, aprobado con Decreto Supremo Nº 007-2008-VIVIENDA,  y sus modificatorias, aprobadas con los Decretos Supremos Nº 002-2009-VIVIENDA, Nº 016-2009-VIVIENDA, Nº 017-2009-VIVIENDA, Nº 002-2010-VIVIENDA, Nº 013-2012-VIVIENDA y N° 009-2013/VIVIENDA (en adelante, el Reglamento).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60"/>
        </w:numPr>
        <w:spacing w:after="0" w:line="240" w:lineRule="auto"/>
        <w:contextualSpacing/>
        <w:jc w:val="both"/>
        <w:rPr>
          <w:rFonts w:ascii="Arial" w:eastAsia="Calibri" w:hAnsi="Arial" w:cs="Arial"/>
          <w:lang w:val="es-ES"/>
        </w:rPr>
      </w:pPr>
      <w:r w:rsidRPr="006312E8">
        <w:rPr>
          <w:rFonts w:ascii="Arial" w:eastAsia="Calibri" w:hAnsi="Arial" w:cs="Arial"/>
          <w:lang w:val="es-ES"/>
        </w:rPr>
        <w:t>Artículo 94º del Reglamento de Transporte de Hidrocarburos por Ductos, aprobado por Decreto Supremo Nº 081-2007-EM.</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60"/>
        </w:num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Artículo 35º del Reglamento del Decreto Legislativo Nº 1012, que aprueba la Ley Marco de Asociaciones Público Privadas para la generación del empleo productivo y dicta normas para la agilización de los procesos de promoción de la inversión privada, aprobado por Decreto Supremo Nº 127-2014-EF.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60"/>
        </w:numPr>
        <w:spacing w:after="0" w:line="240" w:lineRule="auto"/>
        <w:contextualSpacing/>
        <w:jc w:val="both"/>
        <w:rPr>
          <w:rFonts w:ascii="Arial" w:eastAsia="Calibri" w:hAnsi="Arial" w:cs="Arial"/>
          <w:lang w:val="es-ES"/>
        </w:rPr>
      </w:pPr>
      <w:r w:rsidRPr="006312E8">
        <w:rPr>
          <w:rFonts w:ascii="Arial" w:eastAsia="Calibri" w:hAnsi="Arial" w:cs="Arial"/>
          <w:lang w:val="es-ES"/>
        </w:rPr>
        <w:t>Ley Nº 26856, Ley que declara que las playas del litoral son bienes de uso público, inalienables e imprescriptibles y establecen zona de dominio restringido.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60"/>
        </w:numPr>
        <w:spacing w:after="0" w:line="240" w:lineRule="auto"/>
        <w:contextualSpacing/>
        <w:jc w:val="both"/>
        <w:rPr>
          <w:rFonts w:ascii="Arial" w:eastAsia="Calibri" w:hAnsi="Arial" w:cs="Arial"/>
          <w:lang w:val="es-ES"/>
        </w:rPr>
      </w:pPr>
      <w:r w:rsidRPr="006312E8">
        <w:rPr>
          <w:rFonts w:ascii="Arial" w:eastAsia="Calibri" w:hAnsi="Arial" w:cs="Arial"/>
          <w:lang w:val="es-ES"/>
        </w:rPr>
        <w:t>Reglamento de la Ley Nº 26856, Ley que declara que las playas del litoral son bienes de uso público, inalienables e imprescriptibles y establecen la zona de dominio restringido, aprobado mediante el Decreto Supremo Nº 050-2006-EF.</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60"/>
        </w:numPr>
        <w:spacing w:after="0" w:line="240" w:lineRule="auto"/>
        <w:contextualSpacing/>
        <w:jc w:val="both"/>
        <w:rPr>
          <w:rFonts w:ascii="Arial" w:eastAsia="Calibri" w:hAnsi="Arial" w:cs="Arial"/>
          <w:lang w:val="es-ES"/>
        </w:rPr>
      </w:pPr>
      <w:r w:rsidRPr="006312E8">
        <w:rPr>
          <w:rFonts w:ascii="Arial" w:eastAsia="Calibri" w:hAnsi="Arial" w:cs="Arial"/>
          <w:lang w:val="es-ES"/>
        </w:rPr>
        <w:t>El artículo 62º de la Ley Nº 27867, Ley Orgánica de Gobiernos Regionales.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60"/>
        </w:numPr>
        <w:spacing w:after="0" w:line="240" w:lineRule="auto"/>
        <w:contextualSpacing/>
        <w:jc w:val="both"/>
        <w:rPr>
          <w:rFonts w:ascii="Arial" w:eastAsia="Calibri" w:hAnsi="Arial" w:cs="Arial"/>
          <w:lang w:val="es-ES"/>
        </w:rPr>
      </w:pPr>
      <w:r w:rsidRPr="006312E8">
        <w:rPr>
          <w:rFonts w:ascii="Arial" w:eastAsia="Calibri" w:hAnsi="Arial" w:cs="Arial"/>
          <w:lang w:val="es-ES"/>
        </w:rPr>
        <w:t>Los artículos I.01 y I.06  del Reglamento Nacional de Tasaciones del Perú, aprobado por la Resolución Ministerial Nº 126-2007-VIVIENDA.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60"/>
        </w:num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El Reglamento de Organización y Funciones de la Superintendencia Nacional de Bienes Estatales – SBN, aprobado por el Decreto Supremo Nº 016-2010-VIVIENDA (en adelante </w:t>
      </w:r>
      <w:r w:rsidRPr="006312E8">
        <w:rPr>
          <w:rFonts w:ascii="Arial" w:eastAsia="Calibri" w:hAnsi="Arial" w:cs="Arial"/>
          <w:b/>
          <w:lang w:val="es-ES"/>
        </w:rPr>
        <w:t>ROF de la SBN</w:t>
      </w:r>
      <w:r w:rsidRPr="006312E8">
        <w:rPr>
          <w:rFonts w:ascii="Arial" w:eastAsia="Calibri" w:hAnsi="Arial" w:cs="Arial"/>
          <w:lang w:val="es-ES"/>
        </w:rPr>
        <w:t>).</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92471C">
      <w:pPr>
        <w:numPr>
          <w:ilvl w:val="0"/>
          <w:numId w:val="158"/>
        </w:numPr>
        <w:spacing w:after="0" w:line="240" w:lineRule="auto"/>
        <w:ind w:left="426" w:hanging="425"/>
        <w:contextualSpacing/>
        <w:jc w:val="both"/>
        <w:rPr>
          <w:rFonts w:ascii="Arial" w:eastAsia="Calibri" w:hAnsi="Arial" w:cs="Arial"/>
          <w:b/>
          <w:lang w:val="es-ES"/>
        </w:rPr>
      </w:pPr>
      <w:r w:rsidRPr="006312E8">
        <w:rPr>
          <w:rFonts w:ascii="Arial" w:eastAsia="Calibri" w:hAnsi="Arial" w:cs="Arial"/>
          <w:b/>
          <w:lang w:val="es-ES"/>
        </w:rPr>
        <w:t>DISPOSICIONES GENERALES</w:t>
      </w:r>
    </w:p>
    <w:p w:rsidR="006312E8" w:rsidRPr="006312E8" w:rsidRDefault="006312E8" w:rsidP="006312E8">
      <w:pPr>
        <w:spacing w:after="0" w:line="240" w:lineRule="auto"/>
        <w:ind w:left="426"/>
        <w:contextualSpacing/>
        <w:jc w:val="both"/>
        <w:rPr>
          <w:rFonts w:ascii="Arial" w:eastAsia="Calibri" w:hAnsi="Arial" w:cs="Arial"/>
          <w:b/>
          <w:lang w:val="es-ES"/>
        </w:rPr>
      </w:pPr>
    </w:p>
    <w:p w:rsidR="006312E8" w:rsidRPr="006312E8" w:rsidRDefault="006312E8" w:rsidP="0092471C">
      <w:pPr>
        <w:numPr>
          <w:ilvl w:val="1"/>
          <w:numId w:val="158"/>
        </w:numPr>
        <w:spacing w:after="0" w:line="240" w:lineRule="auto"/>
        <w:ind w:left="851" w:hanging="425"/>
        <w:contextualSpacing/>
        <w:jc w:val="both"/>
        <w:rPr>
          <w:rFonts w:ascii="Arial" w:eastAsia="Calibri" w:hAnsi="Arial" w:cs="Arial"/>
          <w:lang w:val="es-ES"/>
        </w:rPr>
      </w:pPr>
      <w:r w:rsidRPr="006312E8">
        <w:rPr>
          <w:rFonts w:ascii="Arial" w:eastAsia="Calibri" w:hAnsi="Arial" w:cs="Arial"/>
          <w:lang w:val="es-ES"/>
        </w:rPr>
        <w:t xml:space="preserve">Para efectos de la presente directiva serán de aplicación las siguientes abreviaturas: </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b/>
          <w:lang w:val="es-ES"/>
        </w:rPr>
        <w:t>DGPE:</w:t>
      </w:r>
      <w:r w:rsidRPr="006312E8">
        <w:rPr>
          <w:rFonts w:ascii="Arial" w:eastAsia="Calibri" w:hAnsi="Arial" w:cs="Arial"/>
          <w:lang w:val="es-ES"/>
        </w:rPr>
        <w:t xml:space="preserve"> Dirección de Gestión del Patrimonio Estatal de la SBN.</w:t>
      </w: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b/>
          <w:lang w:val="es-ES"/>
        </w:rPr>
        <w:t>OAF:</w:t>
      </w:r>
      <w:r w:rsidRPr="006312E8">
        <w:rPr>
          <w:rFonts w:ascii="Arial" w:eastAsia="Calibri" w:hAnsi="Arial" w:cs="Arial"/>
          <w:lang w:val="es-ES"/>
        </w:rPr>
        <w:t xml:space="preserve"> Oficina de Administración y Finanzas de la SBN.</w:t>
      </w: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b/>
          <w:lang w:val="es-ES"/>
        </w:rPr>
        <w:t>SDAPE:</w:t>
      </w:r>
      <w:r w:rsidRPr="006312E8">
        <w:rPr>
          <w:rFonts w:ascii="Arial" w:eastAsia="Calibri" w:hAnsi="Arial" w:cs="Arial"/>
          <w:lang w:val="es-ES"/>
        </w:rPr>
        <w:t xml:space="preserve"> Subdirección de Administración de la Propiedad Estatal de la SBN.</w:t>
      </w: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b/>
          <w:lang w:val="es-ES"/>
        </w:rPr>
        <w:t>SBN:</w:t>
      </w:r>
      <w:r w:rsidRPr="006312E8">
        <w:rPr>
          <w:rFonts w:ascii="Arial" w:eastAsia="Calibri" w:hAnsi="Arial" w:cs="Arial"/>
          <w:lang w:val="es-ES"/>
        </w:rPr>
        <w:t xml:space="preserve"> Superintendencia Nacional de Bienes Estatales.</w:t>
      </w: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b/>
          <w:lang w:val="es-ES"/>
        </w:rPr>
        <w:t>SDDI:</w:t>
      </w:r>
      <w:r w:rsidRPr="006312E8">
        <w:rPr>
          <w:rFonts w:ascii="Arial" w:eastAsia="Calibri" w:hAnsi="Arial" w:cs="Arial"/>
          <w:lang w:val="es-ES"/>
        </w:rPr>
        <w:t xml:space="preserve"> Subdirección de Desarrollo Inmobiliario de la SBN.</w:t>
      </w: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b/>
          <w:lang w:val="es-ES"/>
        </w:rPr>
        <w:t>SINABIP:</w:t>
      </w:r>
      <w:r w:rsidRPr="006312E8">
        <w:rPr>
          <w:rFonts w:ascii="Arial" w:eastAsia="Calibri" w:hAnsi="Arial" w:cs="Arial"/>
          <w:lang w:val="es-ES"/>
        </w:rPr>
        <w:t xml:space="preserve"> Sistema de Información Nacional de Bienes Estatales.</w:t>
      </w: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b/>
          <w:lang w:val="es-ES"/>
        </w:rPr>
        <w:t>SNBE</w:t>
      </w:r>
      <w:r w:rsidRPr="006312E8">
        <w:rPr>
          <w:rFonts w:ascii="Arial" w:eastAsia="Calibri" w:hAnsi="Arial" w:cs="Arial"/>
          <w:lang w:val="es-ES"/>
        </w:rPr>
        <w:t xml:space="preserve"> o Sistema: Sistema Nacional de Bienes Estatales. </w:t>
      </w: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b/>
          <w:lang w:val="es-ES"/>
        </w:rPr>
        <w:t>Superintendente:</w:t>
      </w:r>
      <w:r w:rsidRPr="006312E8">
        <w:rPr>
          <w:rFonts w:ascii="Arial" w:eastAsia="Calibri" w:hAnsi="Arial" w:cs="Arial"/>
          <w:lang w:val="es-ES"/>
        </w:rPr>
        <w:t xml:space="preserve"> Superintendente Nacional de Bienes Estatales.</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92471C">
      <w:pPr>
        <w:numPr>
          <w:ilvl w:val="1"/>
          <w:numId w:val="158"/>
        </w:numPr>
        <w:spacing w:after="0" w:line="240" w:lineRule="auto"/>
        <w:ind w:left="851" w:hanging="425"/>
        <w:contextualSpacing/>
        <w:jc w:val="both"/>
        <w:rPr>
          <w:rFonts w:ascii="Arial" w:eastAsia="Calibri" w:hAnsi="Arial" w:cs="Arial"/>
          <w:b/>
          <w:lang w:val="es-ES"/>
        </w:rPr>
      </w:pPr>
      <w:r w:rsidRPr="006312E8">
        <w:rPr>
          <w:rFonts w:ascii="Arial" w:eastAsia="Calibri" w:hAnsi="Arial" w:cs="Arial"/>
          <w:b/>
          <w:lang w:val="es-ES"/>
        </w:rPr>
        <w:t>De la inscripción registral previa del predio</w:t>
      </w: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 xml:space="preserve">La admisión a trámite de venta directa de un predio estatal sólo es posible en tanto dicho bien se encuentre inscrito a favor del Estado o de la entidad que pretenda enajenarlo.     </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92471C">
      <w:pPr>
        <w:numPr>
          <w:ilvl w:val="1"/>
          <w:numId w:val="158"/>
        </w:numPr>
        <w:spacing w:after="0" w:line="240" w:lineRule="auto"/>
        <w:ind w:left="851" w:hanging="425"/>
        <w:contextualSpacing/>
        <w:jc w:val="both"/>
        <w:rPr>
          <w:rFonts w:ascii="Arial" w:eastAsia="Calibri" w:hAnsi="Arial" w:cs="Arial"/>
          <w:b/>
          <w:lang w:val="es-ES"/>
        </w:rPr>
      </w:pPr>
      <w:r w:rsidRPr="006312E8">
        <w:rPr>
          <w:rFonts w:ascii="Arial" w:eastAsia="Calibri" w:hAnsi="Arial" w:cs="Arial"/>
          <w:b/>
          <w:lang w:val="es-ES"/>
        </w:rPr>
        <w:t>De la libre disponibilidad de un predio estatal para la venta</w:t>
      </w: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 xml:space="preserve">Se consideran predios estales de libre disponibilidad a los que no tienen impedimento legal o judicial para la transferencia de dominio. </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Salvo que exista mandado judicial expreso que suspenda o prohíba la venta, la existencia de cargas, gravámenes y procesos judiciales, administrativos o registrales que afecten a predios estatales, así como la posesión que pueda existir sobre éstos, no limitan su libre disposición. En este caso, tales circunstancias deben ser puestas en conocimiento del eventual adquirente del bien o derecho, al momento de aprobarse el acto de disposición, lo cual constará en la resolución que aprueba dicho acto, así como en los contratos respectivos, bajo sanción de nulidad.</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En los casos indicados en el párrafo precedente, el adquirente del bien o derecho, asume el riesgo por la pérdida o deterioro de este, así como de sus frutos o productos, no pudiendo bajo ninguna circunstancia exigir a la entidad vendedora la devolución del precio, indemnización o compensación alguna.</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En caso se presente los supuestos para la inhibición por conflicto con la función jurisdiccional, debe procederse conforme al artículo 64º de la Ley Nº 27444, Ley del Procedimiento Administrativo General.</w:t>
      </w:r>
    </w:p>
    <w:p w:rsidR="006312E8" w:rsidRPr="006312E8" w:rsidRDefault="006312E8" w:rsidP="006312E8">
      <w:pPr>
        <w:spacing w:after="0" w:line="240" w:lineRule="auto"/>
        <w:ind w:left="851"/>
        <w:contextualSpacing/>
        <w:jc w:val="both"/>
        <w:rPr>
          <w:rFonts w:ascii="Arial" w:eastAsia="Calibri" w:hAnsi="Arial" w:cs="Arial"/>
          <w:b/>
          <w:lang w:val="es-ES"/>
        </w:rPr>
      </w:pPr>
    </w:p>
    <w:p w:rsidR="006312E8" w:rsidRPr="006312E8" w:rsidRDefault="006312E8" w:rsidP="0092471C">
      <w:pPr>
        <w:numPr>
          <w:ilvl w:val="1"/>
          <w:numId w:val="158"/>
        </w:numPr>
        <w:spacing w:after="0" w:line="240" w:lineRule="auto"/>
        <w:ind w:left="851" w:hanging="425"/>
        <w:contextualSpacing/>
        <w:jc w:val="both"/>
        <w:rPr>
          <w:rFonts w:ascii="Arial" w:eastAsia="Calibri" w:hAnsi="Arial" w:cs="Arial"/>
          <w:b/>
          <w:lang w:val="es-ES"/>
        </w:rPr>
      </w:pPr>
      <w:r w:rsidRPr="006312E8">
        <w:rPr>
          <w:rFonts w:ascii="Arial" w:eastAsia="Calibri" w:hAnsi="Arial" w:cs="Arial"/>
          <w:b/>
          <w:lang w:val="es-ES"/>
        </w:rPr>
        <w:t xml:space="preserve">De la antigüedad de la posesión y suma de plazos posesorios </w:t>
      </w: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La antigüedad de la posesión se acredita con los documentos que ofrezca el administrado en calidad de prueba y con la posesión que se verifique en campo.</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 xml:space="preserve">El poseedor actual puede adicionar al suyo, el plazo posesorio de quien le transfirió válidamente el predio, así como de los anteriores poseedores. </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 xml:space="preserve">Si el poseedor actual prueba haber poseído anteriormente, se presume que poseyó en el tiempo intermedio, salvo prueba en contrario, conforme al artículo 915º del Código Civil.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158"/>
        </w:numPr>
        <w:spacing w:after="0" w:line="240" w:lineRule="auto"/>
        <w:ind w:left="851" w:hanging="425"/>
        <w:contextualSpacing/>
        <w:jc w:val="both"/>
        <w:rPr>
          <w:rFonts w:ascii="Arial" w:eastAsia="Calibri" w:hAnsi="Arial" w:cs="Arial"/>
          <w:b/>
          <w:lang w:val="es-ES"/>
        </w:rPr>
      </w:pPr>
      <w:r w:rsidRPr="006312E8">
        <w:rPr>
          <w:rFonts w:ascii="Arial" w:eastAsia="Calibri" w:hAnsi="Arial" w:cs="Arial"/>
          <w:b/>
          <w:lang w:val="es-ES"/>
        </w:rPr>
        <w:t xml:space="preserve">Potestad de la entidad pública de denegar la venta directa </w:t>
      </w: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 xml:space="preserve">El cumplimiento de las causales no obliga por sí misma a la aprobación de la venta, pudiendo ser denegada cuando el Estado tiene planificado o proyectado ejecutar en el predio obras de interés público u otras actividades que tengan importancia o relevancia colectiva, conforme a lo dispuesto en el artículo 77º del Reglamento.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158"/>
        </w:numPr>
        <w:spacing w:after="0" w:line="240" w:lineRule="auto"/>
        <w:ind w:left="851" w:hanging="425"/>
        <w:contextualSpacing/>
        <w:jc w:val="both"/>
        <w:rPr>
          <w:rFonts w:ascii="Arial" w:eastAsia="Calibri" w:hAnsi="Arial" w:cs="Arial"/>
          <w:b/>
          <w:lang w:val="es-ES"/>
        </w:rPr>
      </w:pPr>
      <w:r w:rsidRPr="006312E8">
        <w:rPr>
          <w:rFonts w:ascii="Arial" w:eastAsia="Calibri" w:hAnsi="Arial" w:cs="Arial"/>
          <w:b/>
          <w:lang w:val="es-ES"/>
        </w:rPr>
        <w:t xml:space="preserve">Unidad competente en la SBN para el procedimiento de venta directa </w:t>
      </w: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La SDDI es la unidad orgánica encargada de sustentar el procedimiento y aprobar la venta directa de predios que se encuentren bajo competencia de la SBN.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158"/>
        </w:numPr>
        <w:spacing w:after="0" w:line="240" w:lineRule="auto"/>
        <w:ind w:left="851" w:hanging="425"/>
        <w:contextualSpacing/>
        <w:jc w:val="both"/>
        <w:rPr>
          <w:rFonts w:ascii="Arial" w:eastAsia="Calibri" w:hAnsi="Arial" w:cs="Arial"/>
          <w:b/>
          <w:lang w:val="es-ES"/>
        </w:rPr>
      </w:pPr>
      <w:r w:rsidRPr="006312E8">
        <w:rPr>
          <w:rFonts w:ascii="Arial" w:eastAsia="Calibri" w:hAnsi="Arial" w:cs="Arial"/>
          <w:b/>
          <w:lang w:val="es-ES"/>
        </w:rPr>
        <w:t xml:space="preserve">De la elaboración del contrato de compraventa </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El contrato de compraventa se elabora conforme a las normas del SNBE y, en lo que fuera aplicable, de acuerdo a las normas del derecho común.</w:t>
      </w:r>
    </w:p>
    <w:p w:rsidR="006312E8" w:rsidRDefault="006312E8" w:rsidP="006312E8">
      <w:pPr>
        <w:spacing w:after="0" w:line="240" w:lineRule="auto"/>
        <w:ind w:left="426"/>
        <w:contextualSpacing/>
        <w:jc w:val="both"/>
        <w:rPr>
          <w:rFonts w:ascii="Arial" w:eastAsia="Calibri" w:hAnsi="Arial" w:cs="Arial"/>
          <w:lang w:val="es-ES"/>
        </w:rPr>
      </w:pPr>
    </w:p>
    <w:p w:rsidR="006620AD" w:rsidRPr="006312E8" w:rsidRDefault="006620AD" w:rsidP="006312E8">
      <w:pPr>
        <w:spacing w:after="0" w:line="240" w:lineRule="auto"/>
        <w:ind w:left="426"/>
        <w:contextualSpacing/>
        <w:jc w:val="both"/>
        <w:rPr>
          <w:rFonts w:ascii="Arial" w:eastAsia="Calibri" w:hAnsi="Arial" w:cs="Arial"/>
          <w:lang w:val="es-ES"/>
        </w:rPr>
      </w:pPr>
    </w:p>
    <w:p w:rsidR="006312E8" w:rsidRPr="006312E8" w:rsidRDefault="006312E8" w:rsidP="0092471C">
      <w:pPr>
        <w:numPr>
          <w:ilvl w:val="0"/>
          <w:numId w:val="158"/>
        </w:numPr>
        <w:spacing w:after="0" w:line="240" w:lineRule="auto"/>
        <w:ind w:left="426" w:hanging="425"/>
        <w:contextualSpacing/>
        <w:jc w:val="both"/>
        <w:rPr>
          <w:rFonts w:ascii="Arial" w:eastAsia="Calibri" w:hAnsi="Arial" w:cs="Arial"/>
          <w:b/>
          <w:lang w:val="es-ES"/>
        </w:rPr>
      </w:pPr>
      <w:r w:rsidRPr="006312E8">
        <w:rPr>
          <w:rFonts w:ascii="Arial" w:eastAsia="Calibri" w:hAnsi="Arial" w:cs="Arial"/>
          <w:b/>
          <w:lang w:val="es-ES"/>
        </w:rPr>
        <w:t>DISPOSICIONES ESPECÍFICAS DEL PROCEDIMIENTO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158"/>
        </w:numPr>
        <w:spacing w:after="0" w:line="240" w:lineRule="auto"/>
        <w:ind w:left="851" w:hanging="425"/>
        <w:contextualSpacing/>
        <w:jc w:val="both"/>
        <w:rPr>
          <w:rFonts w:ascii="Arial" w:eastAsia="Calibri" w:hAnsi="Arial" w:cs="Arial"/>
          <w:b/>
          <w:lang w:val="es-ES"/>
        </w:rPr>
      </w:pPr>
      <w:r w:rsidRPr="006312E8">
        <w:rPr>
          <w:rFonts w:ascii="Arial" w:eastAsia="Calibri" w:hAnsi="Arial" w:cs="Arial"/>
          <w:b/>
          <w:lang w:val="es-ES"/>
        </w:rPr>
        <w:t>Etapas del procedimiento de venta directa.</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El procedimiento de venta directa tiene las siguientes etapas: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61"/>
        </w:numPr>
        <w:spacing w:after="0" w:line="240" w:lineRule="auto"/>
        <w:ind w:left="1276"/>
        <w:contextualSpacing/>
        <w:jc w:val="both"/>
        <w:rPr>
          <w:rFonts w:ascii="Arial" w:eastAsia="Calibri" w:hAnsi="Arial" w:cs="Arial"/>
          <w:lang w:val="es-ES"/>
        </w:rPr>
      </w:pPr>
      <w:r w:rsidRPr="006312E8">
        <w:rPr>
          <w:rFonts w:ascii="Arial" w:eastAsia="Calibri" w:hAnsi="Arial" w:cs="Arial"/>
          <w:lang w:val="es-ES"/>
        </w:rPr>
        <w:t>Presentación de la solicitud y generación de expediente de venta.</w:t>
      </w:r>
    </w:p>
    <w:p w:rsidR="006312E8" w:rsidRPr="006312E8" w:rsidRDefault="006312E8" w:rsidP="0092471C">
      <w:pPr>
        <w:numPr>
          <w:ilvl w:val="0"/>
          <w:numId w:val="161"/>
        </w:numPr>
        <w:spacing w:after="0" w:line="240" w:lineRule="auto"/>
        <w:ind w:left="1276"/>
        <w:contextualSpacing/>
        <w:jc w:val="both"/>
        <w:rPr>
          <w:rFonts w:ascii="Arial" w:eastAsia="Calibri" w:hAnsi="Arial" w:cs="Arial"/>
          <w:lang w:val="es-ES"/>
        </w:rPr>
      </w:pPr>
      <w:r w:rsidRPr="006312E8">
        <w:rPr>
          <w:rFonts w:ascii="Arial" w:eastAsia="Calibri" w:hAnsi="Arial" w:cs="Arial"/>
          <w:lang w:val="es-ES"/>
        </w:rPr>
        <w:t>Evaluación formal de la solicitud.</w:t>
      </w:r>
    </w:p>
    <w:p w:rsidR="006312E8" w:rsidRPr="006312E8" w:rsidRDefault="006312E8" w:rsidP="0092471C">
      <w:pPr>
        <w:numPr>
          <w:ilvl w:val="0"/>
          <w:numId w:val="161"/>
        </w:numPr>
        <w:spacing w:after="0" w:line="240" w:lineRule="auto"/>
        <w:ind w:left="1276"/>
        <w:contextualSpacing/>
        <w:jc w:val="both"/>
        <w:rPr>
          <w:rFonts w:ascii="Arial" w:eastAsia="Calibri" w:hAnsi="Arial" w:cs="Arial"/>
          <w:lang w:val="es-ES"/>
        </w:rPr>
      </w:pPr>
      <w:r w:rsidRPr="006312E8">
        <w:rPr>
          <w:rFonts w:ascii="Arial" w:eastAsia="Calibri" w:hAnsi="Arial" w:cs="Arial"/>
          <w:lang w:val="es-ES"/>
        </w:rPr>
        <w:t>Inspección técnica del predio solicitado.</w:t>
      </w:r>
    </w:p>
    <w:p w:rsidR="006312E8" w:rsidRPr="006312E8" w:rsidRDefault="006312E8" w:rsidP="0092471C">
      <w:pPr>
        <w:numPr>
          <w:ilvl w:val="0"/>
          <w:numId w:val="161"/>
        </w:numPr>
        <w:spacing w:after="0" w:line="240" w:lineRule="auto"/>
        <w:ind w:left="1276"/>
        <w:contextualSpacing/>
        <w:jc w:val="both"/>
        <w:rPr>
          <w:rFonts w:ascii="Arial" w:eastAsia="Calibri" w:hAnsi="Arial" w:cs="Arial"/>
          <w:lang w:val="es-ES"/>
        </w:rPr>
      </w:pPr>
      <w:r w:rsidRPr="006312E8">
        <w:rPr>
          <w:rFonts w:ascii="Arial" w:eastAsia="Calibri" w:hAnsi="Arial" w:cs="Arial"/>
          <w:lang w:val="es-ES"/>
        </w:rPr>
        <w:t>Calificación sustantiva del procedimiento.</w:t>
      </w:r>
    </w:p>
    <w:p w:rsidR="006312E8" w:rsidRPr="006312E8" w:rsidRDefault="006312E8" w:rsidP="0092471C">
      <w:pPr>
        <w:numPr>
          <w:ilvl w:val="0"/>
          <w:numId w:val="161"/>
        </w:numPr>
        <w:spacing w:after="0" w:line="240" w:lineRule="auto"/>
        <w:ind w:left="1276"/>
        <w:contextualSpacing/>
        <w:jc w:val="both"/>
        <w:rPr>
          <w:rFonts w:ascii="Arial" w:eastAsia="Calibri" w:hAnsi="Arial" w:cs="Arial"/>
          <w:lang w:val="es-ES"/>
        </w:rPr>
      </w:pPr>
      <w:r w:rsidRPr="006312E8">
        <w:rPr>
          <w:rFonts w:ascii="Arial" w:eastAsia="Calibri" w:hAnsi="Arial" w:cs="Arial"/>
          <w:lang w:val="es-ES"/>
        </w:rPr>
        <w:t>De la autorización o conformidad de la venta por el Titular del Pliego.</w:t>
      </w:r>
    </w:p>
    <w:p w:rsidR="006312E8" w:rsidRPr="006312E8" w:rsidRDefault="006312E8" w:rsidP="0092471C">
      <w:pPr>
        <w:numPr>
          <w:ilvl w:val="0"/>
          <w:numId w:val="161"/>
        </w:numPr>
        <w:spacing w:after="0" w:line="240" w:lineRule="auto"/>
        <w:ind w:left="1276"/>
        <w:contextualSpacing/>
        <w:jc w:val="both"/>
        <w:rPr>
          <w:rFonts w:ascii="Arial" w:eastAsia="Calibri" w:hAnsi="Arial" w:cs="Arial"/>
          <w:lang w:val="es-ES"/>
        </w:rPr>
      </w:pPr>
      <w:r w:rsidRPr="006312E8">
        <w:rPr>
          <w:rFonts w:ascii="Arial" w:eastAsia="Calibri" w:hAnsi="Arial" w:cs="Arial"/>
          <w:lang w:val="es-ES"/>
        </w:rPr>
        <w:t>Comunicación de calificación sustancial de la solicitud.</w:t>
      </w:r>
    </w:p>
    <w:p w:rsidR="006312E8" w:rsidRPr="006312E8" w:rsidRDefault="006312E8" w:rsidP="0092471C">
      <w:pPr>
        <w:numPr>
          <w:ilvl w:val="0"/>
          <w:numId w:val="161"/>
        </w:numPr>
        <w:spacing w:after="0" w:line="240" w:lineRule="auto"/>
        <w:ind w:left="1276"/>
        <w:contextualSpacing/>
        <w:jc w:val="both"/>
        <w:rPr>
          <w:rFonts w:ascii="Arial" w:eastAsia="Calibri" w:hAnsi="Arial" w:cs="Arial"/>
          <w:lang w:val="es-ES"/>
        </w:rPr>
      </w:pPr>
      <w:r w:rsidRPr="006312E8">
        <w:rPr>
          <w:rFonts w:ascii="Arial" w:eastAsia="Calibri" w:hAnsi="Arial" w:cs="Arial"/>
          <w:lang w:val="es-ES"/>
        </w:rPr>
        <w:t>De la valuación comercial del predio.</w:t>
      </w:r>
    </w:p>
    <w:p w:rsidR="006312E8" w:rsidRPr="006312E8" w:rsidRDefault="006312E8" w:rsidP="0092471C">
      <w:pPr>
        <w:numPr>
          <w:ilvl w:val="0"/>
          <w:numId w:val="161"/>
        </w:numPr>
        <w:spacing w:after="0" w:line="240" w:lineRule="auto"/>
        <w:ind w:left="1276"/>
        <w:contextualSpacing/>
        <w:jc w:val="both"/>
        <w:rPr>
          <w:rFonts w:ascii="Arial" w:eastAsia="Calibri" w:hAnsi="Arial" w:cs="Arial"/>
          <w:lang w:val="es-ES"/>
        </w:rPr>
      </w:pPr>
      <w:r w:rsidRPr="006312E8">
        <w:rPr>
          <w:rFonts w:ascii="Arial" w:eastAsia="Calibri" w:hAnsi="Arial" w:cs="Arial"/>
          <w:lang w:val="es-ES"/>
        </w:rPr>
        <w:t>Publicidad del procedimiento de venta directa.</w:t>
      </w:r>
    </w:p>
    <w:p w:rsidR="006312E8" w:rsidRPr="006312E8" w:rsidRDefault="006312E8" w:rsidP="0092471C">
      <w:pPr>
        <w:numPr>
          <w:ilvl w:val="0"/>
          <w:numId w:val="161"/>
        </w:numPr>
        <w:spacing w:after="0" w:line="240" w:lineRule="auto"/>
        <w:ind w:left="1276"/>
        <w:contextualSpacing/>
        <w:jc w:val="both"/>
        <w:rPr>
          <w:rFonts w:ascii="Arial" w:eastAsia="Calibri" w:hAnsi="Arial" w:cs="Arial"/>
          <w:lang w:val="es-ES"/>
        </w:rPr>
      </w:pPr>
      <w:r w:rsidRPr="006312E8">
        <w:rPr>
          <w:rFonts w:ascii="Arial" w:eastAsia="Calibri" w:hAnsi="Arial" w:cs="Arial"/>
          <w:lang w:val="es-ES"/>
        </w:rPr>
        <w:t>De la mejor oferta del precio de venta.</w:t>
      </w:r>
    </w:p>
    <w:p w:rsidR="006312E8" w:rsidRPr="006312E8" w:rsidRDefault="006312E8" w:rsidP="0092471C">
      <w:pPr>
        <w:numPr>
          <w:ilvl w:val="0"/>
          <w:numId w:val="161"/>
        </w:numPr>
        <w:spacing w:after="0" w:line="240" w:lineRule="auto"/>
        <w:ind w:left="1276"/>
        <w:contextualSpacing/>
        <w:jc w:val="both"/>
        <w:rPr>
          <w:rFonts w:ascii="Arial" w:eastAsia="Calibri" w:hAnsi="Arial" w:cs="Arial"/>
          <w:lang w:val="es-ES"/>
        </w:rPr>
      </w:pPr>
      <w:r w:rsidRPr="006312E8">
        <w:rPr>
          <w:rFonts w:ascii="Arial" w:eastAsia="Calibri" w:hAnsi="Arial" w:cs="Arial"/>
          <w:lang w:val="es-ES"/>
        </w:rPr>
        <w:t>De la emisión del Informe Técnico Legal.</w:t>
      </w:r>
    </w:p>
    <w:p w:rsidR="006312E8" w:rsidRPr="006312E8" w:rsidRDefault="006312E8" w:rsidP="0092471C">
      <w:pPr>
        <w:numPr>
          <w:ilvl w:val="0"/>
          <w:numId w:val="161"/>
        </w:numPr>
        <w:spacing w:after="0" w:line="240" w:lineRule="auto"/>
        <w:ind w:left="1276"/>
        <w:contextualSpacing/>
        <w:jc w:val="both"/>
        <w:rPr>
          <w:rFonts w:ascii="Arial" w:eastAsia="Calibri" w:hAnsi="Arial" w:cs="Arial"/>
          <w:lang w:val="es-ES"/>
        </w:rPr>
      </w:pPr>
      <w:r w:rsidRPr="006312E8">
        <w:rPr>
          <w:rFonts w:ascii="Arial" w:eastAsia="Calibri" w:hAnsi="Arial" w:cs="Arial"/>
          <w:lang w:val="es-ES"/>
        </w:rPr>
        <w:t>Opinión técnica de la SBN en los procedimientos tramitados por las demás entidades del Sistema.</w:t>
      </w:r>
    </w:p>
    <w:p w:rsidR="006312E8" w:rsidRPr="006312E8" w:rsidRDefault="006312E8" w:rsidP="0092471C">
      <w:pPr>
        <w:numPr>
          <w:ilvl w:val="0"/>
          <w:numId w:val="161"/>
        </w:numPr>
        <w:spacing w:after="0" w:line="240" w:lineRule="auto"/>
        <w:ind w:left="1276"/>
        <w:contextualSpacing/>
        <w:jc w:val="both"/>
        <w:rPr>
          <w:rFonts w:ascii="Arial" w:eastAsia="Calibri" w:hAnsi="Arial" w:cs="Arial"/>
          <w:lang w:val="es-ES"/>
        </w:rPr>
      </w:pPr>
      <w:r w:rsidRPr="006312E8">
        <w:rPr>
          <w:rFonts w:ascii="Arial" w:eastAsia="Calibri" w:hAnsi="Arial" w:cs="Arial"/>
          <w:lang w:val="es-ES"/>
        </w:rPr>
        <w:t>De la resolución que aprueba la venta directa.</w:t>
      </w:r>
    </w:p>
    <w:p w:rsidR="006312E8" w:rsidRPr="006312E8" w:rsidRDefault="006312E8" w:rsidP="0092471C">
      <w:pPr>
        <w:numPr>
          <w:ilvl w:val="0"/>
          <w:numId w:val="161"/>
        </w:numPr>
        <w:spacing w:after="0" w:line="240" w:lineRule="auto"/>
        <w:ind w:left="1276"/>
        <w:contextualSpacing/>
        <w:jc w:val="both"/>
        <w:rPr>
          <w:rFonts w:ascii="Arial" w:eastAsia="Calibri" w:hAnsi="Arial" w:cs="Arial"/>
          <w:lang w:val="es-ES"/>
        </w:rPr>
      </w:pPr>
      <w:r w:rsidRPr="006312E8">
        <w:rPr>
          <w:rFonts w:ascii="Arial" w:eastAsia="Calibri" w:hAnsi="Arial" w:cs="Arial"/>
          <w:lang w:val="es-ES"/>
        </w:rPr>
        <w:t>Del pago del precio de venta.</w:t>
      </w:r>
    </w:p>
    <w:p w:rsidR="006312E8" w:rsidRPr="006312E8" w:rsidRDefault="006312E8" w:rsidP="0092471C">
      <w:pPr>
        <w:numPr>
          <w:ilvl w:val="0"/>
          <w:numId w:val="161"/>
        </w:numPr>
        <w:spacing w:after="0" w:line="240" w:lineRule="auto"/>
        <w:ind w:left="1276"/>
        <w:contextualSpacing/>
        <w:jc w:val="both"/>
        <w:rPr>
          <w:rFonts w:ascii="Arial" w:eastAsia="Calibri" w:hAnsi="Arial" w:cs="Arial"/>
          <w:lang w:val="es-ES"/>
        </w:rPr>
      </w:pPr>
      <w:r w:rsidRPr="006312E8">
        <w:rPr>
          <w:rFonts w:ascii="Arial" w:eastAsia="Calibri" w:hAnsi="Arial" w:cs="Arial"/>
          <w:lang w:val="es-ES"/>
        </w:rPr>
        <w:t>Del contrato de compra venta y elevación a escritura pública.</w:t>
      </w:r>
    </w:p>
    <w:p w:rsidR="006312E8" w:rsidRPr="006312E8" w:rsidRDefault="006312E8" w:rsidP="0092471C">
      <w:pPr>
        <w:numPr>
          <w:ilvl w:val="0"/>
          <w:numId w:val="161"/>
        </w:numPr>
        <w:spacing w:after="0" w:line="240" w:lineRule="auto"/>
        <w:ind w:left="1276"/>
        <w:contextualSpacing/>
        <w:jc w:val="both"/>
        <w:rPr>
          <w:rFonts w:ascii="Arial" w:eastAsia="Calibri" w:hAnsi="Arial" w:cs="Arial"/>
          <w:lang w:val="es-ES"/>
        </w:rPr>
      </w:pPr>
      <w:r w:rsidRPr="006312E8">
        <w:rPr>
          <w:rFonts w:ascii="Arial" w:eastAsia="Calibri" w:hAnsi="Arial" w:cs="Arial"/>
          <w:lang w:val="es-ES"/>
        </w:rPr>
        <w:t>Liquidación y distribución de los ingresos obtenidos con la venta.</w:t>
      </w:r>
    </w:p>
    <w:p w:rsidR="006312E8" w:rsidRPr="006312E8" w:rsidRDefault="006312E8" w:rsidP="0092471C">
      <w:pPr>
        <w:numPr>
          <w:ilvl w:val="0"/>
          <w:numId w:val="161"/>
        </w:numPr>
        <w:spacing w:after="0" w:line="240" w:lineRule="auto"/>
        <w:ind w:left="1276"/>
        <w:contextualSpacing/>
        <w:jc w:val="both"/>
        <w:rPr>
          <w:rFonts w:ascii="Arial" w:eastAsia="Calibri" w:hAnsi="Arial" w:cs="Arial"/>
          <w:lang w:val="es-ES"/>
        </w:rPr>
      </w:pPr>
      <w:r w:rsidRPr="006312E8">
        <w:rPr>
          <w:rFonts w:ascii="Arial" w:eastAsia="Calibri" w:hAnsi="Arial" w:cs="Arial"/>
          <w:lang w:val="es-ES"/>
        </w:rPr>
        <w:t>De la actualización del SINABIP.</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158"/>
        </w:numPr>
        <w:spacing w:after="0" w:line="240" w:lineRule="auto"/>
        <w:ind w:left="851" w:hanging="425"/>
        <w:contextualSpacing/>
        <w:jc w:val="both"/>
        <w:rPr>
          <w:rFonts w:ascii="Arial" w:eastAsia="Calibri" w:hAnsi="Arial" w:cs="Arial"/>
          <w:b/>
          <w:lang w:val="es-ES"/>
        </w:rPr>
      </w:pPr>
      <w:r w:rsidRPr="006312E8">
        <w:rPr>
          <w:rFonts w:ascii="Arial" w:eastAsia="Calibri" w:hAnsi="Arial" w:cs="Arial"/>
          <w:b/>
          <w:lang w:val="es-ES"/>
        </w:rPr>
        <w:t>Presentación de la solicitud y generación de expediente de venta.</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 xml:space="preserve">Para el inicio del procedimiento administrativo de venta directa el solicitante debe presentar su pedido por escrito ante la entidad propietaria del predio o, cuando este es de propiedad del Estado, ante la SBN o el Gobierno Regional que cuente con competencias transferidas. </w:t>
      </w: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 xml:space="preserve">         </w:t>
      </w: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La solicitud debe contener:</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62"/>
        </w:numPr>
        <w:spacing w:after="0" w:line="240" w:lineRule="auto"/>
        <w:ind w:left="1276"/>
        <w:contextualSpacing/>
        <w:jc w:val="both"/>
        <w:rPr>
          <w:rFonts w:ascii="Arial" w:eastAsia="Calibri" w:hAnsi="Arial" w:cs="Arial"/>
          <w:lang w:val="es-ES"/>
        </w:rPr>
      </w:pPr>
      <w:r w:rsidRPr="006312E8">
        <w:rPr>
          <w:rFonts w:ascii="Arial" w:eastAsia="Calibri" w:hAnsi="Arial" w:cs="Arial"/>
          <w:lang w:val="es-ES"/>
        </w:rPr>
        <w:t>La indicación de la entidad pública a la cual se dirige.</w:t>
      </w:r>
    </w:p>
    <w:p w:rsidR="006312E8" w:rsidRPr="006312E8" w:rsidRDefault="006312E8" w:rsidP="006312E8">
      <w:pPr>
        <w:spacing w:after="0" w:line="240" w:lineRule="auto"/>
        <w:ind w:left="1276"/>
        <w:contextualSpacing/>
        <w:jc w:val="both"/>
        <w:rPr>
          <w:rFonts w:ascii="Arial" w:eastAsia="Calibri" w:hAnsi="Arial" w:cs="Arial"/>
          <w:lang w:val="es-ES"/>
        </w:rPr>
      </w:pPr>
    </w:p>
    <w:p w:rsidR="006312E8" w:rsidRPr="006312E8" w:rsidRDefault="006312E8" w:rsidP="0092471C">
      <w:pPr>
        <w:numPr>
          <w:ilvl w:val="0"/>
          <w:numId w:val="162"/>
        </w:numPr>
        <w:spacing w:after="0" w:line="240" w:lineRule="auto"/>
        <w:ind w:left="1276"/>
        <w:contextualSpacing/>
        <w:jc w:val="both"/>
        <w:rPr>
          <w:rFonts w:ascii="Arial" w:eastAsia="Calibri" w:hAnsi="Arial" w:cs="Arial"/>
          <w:lang w:val="es-ES"/>
        </w:rPr>
      </w:pPr>
      <w:r w:rsidRPr="006312E8">
        <w:rPr>
          <w:rFonts w:ascii="Arial" w:eastAsia="Calibri" w:hAnsi="Arial" w:cs="Arial"/>
          <w:lang w:val="es-ES"/>
        </w:rPr>
        <w:t>Nombres y apellidos completos, domicilio y número de Documento Nacional de Identidad o carné de extranjería del administrado, y en su caso, la calidad de representante y de la persona natural o jurídica a quien represente.</w:t>
      </w:r>
    </w:p>
    <w:p w:rsidR="006312E8" w:rsidRPr="006312E8" w:rsidRDefault="006312E8" w:rsidP="006312E8">
      <w:pPr>
        <w:spacing w:after="0" w:line="240" w:lineRule="auto"/>
        <w:ind w:left="1276"/>
        <w:contextualSpacing/>
        <w:jc w:val="both"/>
        <w:rPr>
          <w:rFonts w:ascii="Arial" w:eastAsia="Calibri" w:hAnsi="Arial" w:cs="Arial"/>
          <w:lang w:val="es-ES"/>
        </w:rPr>
      </w:pPr>
    </w:p>
    <w:p w:rsidR="006312E8" w:rsidRPr="006312E8" w:rsidRDefault="006312E8" w:rsidP="0092471C">
      <w:pPr>
        <w:numPr>
          <w:ilvl w:val="0"/>
          <w:numId w:val="162"/>
        </w:numPr>
        <w:spacing w:after="0" w:line="240" w:lineRule="auto"/>
        <w:ind w:left="1276"/>
        <w:contextualSpacing/>
        <w:jc w:val="both"/>
        <w:rPr>
          <w:rFonts w:ascii="Arial" w:eastAsia="Calibri" w:hAnsi="Arial" w:cs="Arial"/>
          <w:lang w:val="es-ES"/>
        </w:rPr>
      </w:pPr>
      <w:r w:rsidRPr="006312E8">
        <w:rPr>
          <w:rFonts w:ascii="Arial" w:eastAsia="Calibri" w:hAnsi="Arial" w:cs="Arial"/>
          <w:lang w:val="es-ES"/>
        </w:rPr>
        <w:t>La expresión concreta del pedido, indicando el área, ubicación del predio, partida registral y la causal de venta a que se acoge, establecida en el artículo 77° del Reglamento u otra norma legal.</w:t>
      </w:r>
    </w:p>
    <w:p w:rsidR="006312E8" w:rsidRPr="006312E8" w:rsidRDefault="006312E8" w:rsidP="006312E8">
      <w:pPr>
        <w:spacing w:after="0" w:line="240" w:lineRule="auto"/>
        <w:ind w:left="1276"/>
        <w:contextualSpacing/>
        <w:jc w:val="both"/>
        <w:rPr>
          <w:rFonts w:ascii="Arial" w:eastAsia="Calibri" w:hAnsi="Arial" w:cs="Arial"/>
          <w:lang w:val="es-ES"/>
        </w:rPr>
      </w:pPr>
    </w:p>
    <w:p w:rsidR="006312E8" w:rsidRPr="006312E8" w:rsidRDefault="006312E8" w:rsidP="0092471C">
      <w:pPr>
        <w:numPr>
          <w:ilvl w:val="0"/>
          <w:numId w:val="162"/>
        </w:numPr>
        <w:spacing w:after="0" w:line="240" w:lineRule="auto"/>
        <w:ind w:left="1276"/>
        <w:contextualSpacing/>
        <w:jc w:val="both"/>
        <w:rPr>
          <w:rFonts w:ascii="Arial" w:eastAsia="Calibri" w:hAnsi="Arial" w:cs="Arial"/>
          <w:lang w:val="es-ES"/>
        </w:rPr>
      </w:pPr>
      <w:r w:rsidRPr="006312E8">
        <w:rPr>
          <w:rFonts w:ascii="Arial" w:eastAsia="Calibri" w:hAnsi="Arial" w:cs="Arial"/>
          <w:lang w:val="es-ES"/>
        </w:rPr>
        <w:t>Lugar, fecha, firma o huella digital, en caso de no saber firmar o tener impedimento físico.</w:t>
      </w:r>
    </w:p>
    <w:p w:rsidR="006312E8" w:rsidRPr="006312E8" w:rsidRDefault="006312E8" w:rsidP="006312E8">
      <w:pPr>
        <w:spacing w:after="0" w:line="240" w:lineRule="auto"/>
        <w:ind w:left="1276"/>
        <w:contextualSpacing/>
        <w:jc w:val="both"/>
        <w:rPr>
          <w:rFonts w:ascii="Arial" w:eastAsia="Calibri" w:hAnsi="Arial" w:cs="Arial"/>
          <w:lang w:val="es-ES"/>
        </w:rPr>
      </w:pPr>
    </w:p>
    <w:p w:rsidR="006312E8" w:rsidRPr="006312E8" w:rsidRDefault="006312E8" w:rsidP="0092471C">
      <w:pPr>
        <w:numPr>
          <w:ilvl w:val="0"/>
          <w:numId w:val="162"/>
        </w:numPr>
        <w:spacing w:after="0" w:line="240" w:lineRule="auto"/>
        <w:ind w:left="1276"/>
        <w:contextualSpacing/>
        <w:jc w:val="both"/>
        <w:rPr>
          <w:rFonts w:ascii="Arial" w:eastAsia="Calibri" w:hAnsi="Arial" w:cs="Arial"/>
          <w:lang w:val="es-ES"/>
        </w:rPr>
      </w:pPr>
      <w:r w:rsidRPr="006312E8">
        <w:rPr>
          <w:rFonts w:ascii="Arial" w:eastAsia="Calibri" w:hAnsi="Arial" w:cs="Arial"/>
          <w:lang w:val="es-ES"/>
        </w:rPr>
        <w:t>Copia simple del Documento Nacional de Identidad o Carnet de Extranjería, en caso de persona natural. Tratándose de persona jurídica, copia simple de la partida registral donde conste inscrita su constitución y Certificado de Vigencia de Poder de su representante legal, así como copia simple del Documento Nacional de Identidad de este.</w:t>
      </w:r>
    </w:p>
    <w:p w:rsidR="006312E8" w:rsidRPr="006312E8" w:rsidRDefault="006312E8" w:rsidP="006312E8">
      <w:pPr>
        <w:spacing w:after="0" w:line="240" w:lineRule="auto"/>
        <w:ind w:left="1276"/>
        <w:contextualSpacing/>
        <w:jc w:val="both"/>
        <w:rPr>
          <w:rFonts w:ascii="Arial" w:eastAsia="Calibri" w:hAnsi="Arial" w:cs="Arial"/>
          <w:lang w:val="es-ES"/>
        </w:rPr>
      </w:pPr>
    </w:p>
    <w:p w:rsidR="006312E8" w:rsidRPr="006312E8" w:rsidRDefault="006312E8" w:rsidP="0092471C">
      <w:pPr>
        <w:numPr>
          <w:ilvl w:val="0"/>
          <w:numId w:val="162"/>
        </w:numPr>
        <w:spacing w:after="0" w:line="240" w:lineRule="auto"/>
        <w:ind w:left="1276"/>
        <w:contextualSpacing/>
        <w:jc w:val="both"/>
        <w:rPr>
          <w:rFonts w:ascii="Arial" w:eastAsia="Calibri" w:hAnsi="Arial" w:cs="Arial"/>
          <w:lang w:val="es-ES"/>
        </w:rPr>
      </w:pPr>
      <w:r w:rsidRPr="006312E8">
        <w:rPr>
          <w:rFonts w:ascii="Arial" w:eastAsia="Calibri" w:hAnsi="Arial" w:cs="Arial"/>
          <w:lang w:val="es-ES"/>
        </w:rPr>
        <w:t>Plano perimétrico y de ubicación en coordenadas UTM, a escala apropiada, autorizado por ingeniero o arquitecto colegiado, en caso que la venta sea de una parte del predio inscrito.</w:t>
      </w:r>
    </w:p>
    <w:p w:rsidR="006312E8" w:rsidRPr="006312E8" w:rsidRDefault="006312E8" w:rsidP="006312E8">
      <w:pPr>
        <w:spacing w:after="0" w:line="240" w:lineRule="auto"/>
        <w:ind w:left="1276"/>
        <w:contextualSpacing/>
        <w:jc w:val="both"/>
        <w:rPr>
          <w:rFonts w:ascii="Arial" w:eastAsia="Calibri" w:hAnsi="Arial" w:cs="Arial"/>
          <w:lang w:val="es-ES"/>
        </w:rPr>
      </w:pPr>
    </w:p>
    <w:p w:rsidR="006312E8" w:rsidRPr="006312E8" w:rsidRDefault="006312E8" w:rsidP="0092471C">
      <w:pPr>
        <w:numPr>
          <w:ilvl w:val="0"/>
          <w:numId w:val="162"/>
        </w:numPr>
        <w:spacing w:after="0" w:line="240" w:lineRule="auto"/>
        <w:ind w:left="1276"/>
        <w:contextualSpacing/>
        <w:jc w:val="both"/>
        <w:rPr>
          <w:rFonts w:ascii="Arial" w:eastAsia="Calibri" w:hAnsi="Arial" w:cs="Arial"/>
          <w:lang w:val="es-ES"/>
        </w:rPr>
      </w:pPr>
      <w:r w:rsidRPr="006312E8">
        <w:rPr>
          <w:rFonts w:ascii="Arial" w:eastAsia="Calibri" w:hAnsi="Arial" w:cs="Arial"/>
          <w:lang w:val="es-ES"/>
        </w:rPr>
        <w:t>Memoria descriptiva (con los nombres de los colindantes, de ser posible), autorizado por ingeniero o arquitecto colegiado, en caso que la venta sea de una parte del predio inscrito.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 xml:space="preserve">En adición a lo anterior y dependiendo del supuesto en que se sustenta la solicitud, el solicitante debe presentar, según corresponda, los siguientes documentos: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62"/>
        </w:numPr>
        <w:spacing w:after="0" w:line="240" w:lineRule="auto"/>
        <w:ind w:left="1276"/>
        <w:contextualSpacing/>
        <w:jc w:val="both"/>
        <w:rPr>
          <w:rFonts w:ascii="Arial" w:eastAsia="Calibri" w:hAnsi="Arial" w:cs="Arial"/>
          <w:lang w:val="es-ES"/>
        </w:rPr>
      </w:pPr>
      <w:r w:rsidRPr="006312E8">
        <w:rPr>
          <w:rFonts w:ascii="Arial" w:eastAsia="Calibri" w:hAnsi="Arial" w:cs="Arial"/>
          <w:lang w:val="es-ES"/>
        </w:rPr>
        <w:t xml:space="preserve">Para el supuesto de venta directa sustentado en la causal de colindancia prevista en el literal a) del artículo 77º del Reglamento, la Copia Literal de la partida o Certificado Registral Inmobiliario – CRI, o copia fedateada, autenticada, legalizada o certificada del instrumento público mediante el cual se acredite que su propiedad colinda con el predio del Estado que pretende comprar. </w:t>
      </w:r>
    </w:p>
    <w:p w:rsidR="006312E8" w:rsidRPr="006312E8" w:rsidRDefault="006312E8" w:rsidP="006312E8">
      <w:pPr>
        <w:spacing w:after="0" w:line="240" w:lineRule="auto"/>
        <w:ind w:left="1276"/>
        <w:contextualSpacing/>
        <w:jc w:val="both"/>
        <w:rPr>
          <w:rFonts w:ascii="Arial" w:eastAsia="Calibri" w:hAnsi="Arial" w:cs="Arial"/>
          <w:lang w:val="es-ES"/>
        </w:rPr>
      </w:pPr>
    </w:p>
    <w:p w:rsidR="006312E8" w:rsidRPr="006312E8" w:rsidRDefault="006312E8" w:rsidP="0092471C">
      <w:pPr>
        <w:numPr>
          <w:ilvl w:val="0"/>
          <w:numId w:val="162"/>
        </w:numPr>
        <w:spacing w:after="0" w:line="240" w:lineRule="auto"/>
        <w:ind w:left="1276"/>
        <w:contextualSpacing/>
        <w:jc w:val="both"/>
        <w:rPr>
          <w:rFonts w:ascii="Arial" w:eastAsia="Calibri" w:hAnsi="Arial" w:cs="Arial"/>
          <w:lang w:val="es-ES"/>
        </w:rPr>
      </w:pPr>
      <w:r w:rsidRPr="006312E8">
        <w:rPr>
          <w:rFonts w:ascii="Arial" w:eastAsia="Calibri" w:hAnsi="Arial" w:cs="Arial"/>
          <w:lang w:val="es-ES"/>
        </w:rPr>
        <w:t xml:space="preserve">Para el caso de la venta directa sustentado en el literal b) del artículo 77º del Reglamento, copia fedateada, autenticada, legalizada o certificada de la resolución mediante la cual se aprueba el proyecto de interés nacional o regional por el sector o entidad competente.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1276"/>
        <w:contextualSpacing/>
        <w:jc w:val="both"/>
        <w:rPr>
          <w:rFonts w:ascii="Arial" w:eastAsia="Calibri" w:hAnsi="Arial" w:cs="Arial"/>
          <w:lang w:val="es-ES"/>
        </w:rPr>
      </w:pPr>
      <w:r w:rsidRPr="006312E8">
        <w:rPr>
          <w:rFonts w:ascii="Arial" w:eastAsia="Calibri" w:hAnsi="Arial" w:cs="Arial"/>
          <w:lang w:val="es-ES"/>
        </w:rPr>
        <w:t>En dicha resolución o sus antecedentes debe constar el área y linderos del predio sobre el cual se ejecutará el Proyecto, así como el cronograma o plazo para la ejecución de este.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62"/>
        </w:numPr>
        <w:spacing w:after="0" w:line="240" w:lineRule="auto"/>
        <w:ind w:left="1276"/>
        <w:contextualSpacing/>
        <w:jc w:val="both"/>
        <w:rPr>
          <w:rFonts w:ascii="Arial" w:eastAsia="Calibri" w:hAnsi="Arial" w:cs="Arial"/>
          <w:lang w:val="es-ES"/>
        </w:rPr>
      </w:pPr>
      <w:r w:rsidRPr="006312E8">
        <w:rPr>
          <w:rFonts w:ascii="Arial" w:eastAsia="Calibri" w:hAnsi="Arial" w:cs="Arial"/>
          <w:lang w:val="es-ES"/>
        </w:rPr>
        <w:t xml:space="preserve">Para el supuesto de venta directa previsto en el literal c) del artículo 77º del Reglamento, debe acreditar la antigüedad de la posesión adjuntando cualquiera de los siguientes documentos: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1843" w:hanging="425"/>
        <w:contextualSpacing/>
        <w:jc w:val="both"/>
        <w:rPr>
          <w:rFonts w:ascii="Arial" w:eastAsia="Calibri" w:hAnsi="Arial" w:cs="Arial"/>
          <w:lang w:val="es-ES"/>
        </w:rPr>
      </w:pPr>
      <w:r w:rsidRPr="006312E8">
        <w:rPr>
          <w:rFonts w:ascii="Arial" w:eastAsia="Calibri" w:hAnsi="Arial" w:cs="Arial"/>
          <w:lang w:val="es-ES"/>
        </w:rPr>
        <w:t xml:space="preserve">j.1. </w:t>
      </w:r>
      <w:r w:rsidRPr="006312E8">
        <w:rPr>
          <w:rFonts w:ascii="Arial" w:eastAsia="Calibri" w:hAnsi="Arial" w:cs="Arial"/>
          <w:lang w:val="es-ES"/>
        </w:rPr>
        <w:tab/>
        <w:t>Copia fedateada, autenticada, legalizada o certificada de la Declaración Jurada del Impuesto Predial (HR y PU o PR) y de los Recibos de Pago de los tributos municipales correspondientes a los años de posesión del predio. Las declaraciones juradas y pagos de tributos que hayan sido formuladas en vía de regularización sólo tienen mérito para acreditar la antigüedad de la posesión a partir de la fecha en que han sido presentadas y pagadas ante la autoridad competente.</w:t>
      </w:r>
    </w:p>
    <w:p w:rsidR="006312E8" w:rsidRPr="006312E8" w:rsidRDefault="006312E8" w:rsidP="006312E8">
      <w:pPr>
        <w:spacing w:after="0" w:line="240" w:lineRule="auto"/>
        <w:ind w:left="1843" w:hanging="425"/>
        <w:contextualSpacing/>
        <w:jc w:val="both"/>
        <w:rPr>
          <w:rFonts w:ascii="Arial" w:eastAsia="Calibri" w:hAnsi="Arial" w:cs="Arial"/>
          <w:lang w:val="es-ES"/>
        </w:rPr>
      </w:pPr>
    </w:p>
    <w:p w:rsidR="006312E8" w:rsidRPr="006312E8" w:rsidRDefault="006312E8" w:rsidP="006312E8">
      <w:pPr>
        <w:spacing w:after="0" w:line="240" w:lineRule="auto"/>
        <w:ind w:left="1843" w:hanging="425"/>
        <w:contextualSpacing/>
        <w:jc w:val="both"/>
        <w:rPr>
          <w:rFonts w:ascii="Arial" w:eastAsia="Calibri" w:hAnsi="Arial" w:cs="Arial"/>
          <w:lang w:val="es-ES"/>
        </w:rPr>
      </w:pPr>
      <w:r w:rsidRPr="006312E8">
        <w:rPr>
          <w:rFonts w:ascii="Arial" w:eastAsia="Calibri" w:hAnsi="Arial" w:cs="Arial"/>
          <w:lang w:val="es-ES"/>
        </w:rPr>
        <w:t xml:space="preserve">j.2. </w:t>
      </w:r>
      <w:r w:rsidRPr="006312E8">
        <w:rPr>
          <w:rFonts w:ascii="Arial" w:eastAsia="Calibri" w:hAnsi="Arial" w:cs="Arial"/>
          <w:lang w:val="es-ES"/>
        </w:rPr>
        <w:tab/>
        <w:t>Copia fedateada, autenticada, legalizada o certificada del testimonio de la escritura pública o del documento privado con firmas legalizadas o certificadas, donde conste la transferencia de la posesión del predio a favor del solicitante.</w:t>
      </w:r>
    </w:p>
    <w:p w:rsidR="006312E8" w:rsidRPr="006312E8" w:rsidRDefault="006312E8" w:rsidP="006312E8">
      <w:pPr>
        <w:spacing w:after="0" w:line="240" w:lineRule="auto"/>
        <w:ind w:left="1843" w:hanging="425"/>
        <w:contextualSpacing/>
        <w:jc w:val="both"/>
        <w:rPr>
          <w:rFonts w:ascii="Arial" w:eastAsia="Calibri" w:hAnsi="Arial" w:cs="Arial"/>
          <w:lang w:val="es-ES"/>
        </w:rPr>
      </w:pPr>
    </w:p>
    <w:p w:rsidR="006312E8" w:rsidRPr="006312E8" w:rsidRDefault="006312E8" w:rsidP="006312E8">
      <w:pPr>
        <w:spacing w:after="0" w:line="240" w:lineRule="auto"/>
        <w:ind w:left="1843" w:hanging="425"/>
        <w:contextualSpacing/>
        <w:jc w:val="both"/>
        <w:rPr>
          <w:rFonts w:ascii="Arial" w:eastAsia="Calibri" w:hAnsi="Arial" w:cs="Arial"/>
          <w:lang w:val="es-ES"/>
        </w:rPr>
      </w:pPr>
      <w:r w:rsidRPr="006312E8">
        <w:rPr>
          <w:rFonts w:ascii="Arial" w:eastAsia="Calibri" w:hAnsi="Arial" w:cs="Arial"/>
          <w:lang w:val="es-ES"/>
        </w:rPr>
        <w:t xml:space="preserve">j.3. </w:t>
      </w:r>
      <w:r w:rsidRPr="006312E8">
        <w:rPr>
          <w:rFonts w:ascii="Arial" w:eastAsia="Calibri" w:hAnsi="Arial" w:cs="Arial"/>
          <w:lang w:val="es-ES"/>
        </w:rPr>
        <w:tab/>
        <w:t>Copia fedateada o certificada del acta de inspección judicial del predio.</w:t>
      </w:r>
    </w:p>
    <w:p w:rsidR="006312E8" w:rsidRPr="006312E8" w:rsidRDefault="006312E8" w:rsidP="006312E8">
      <w:pPr>
        <w:spacing w:after="0" w:line="240" w:lineRule="auto"/>
        <w:ind w:left="1843" w:hanging="425"/>
        <w:contextualSpacing/>
        <w:jc w:val="both"/>
        <w:rPr>
          <w:rFonts w:ascii="Arial" w:eastAsia="Calibri" w:hAnsi="Arial" w:cs="Arial"/>
          <w:lang w:val="es-ES"/>
        </w:rPr>
      </w:pPr>
    </w:p>
    <w:p w:rsidR="006312E8" w:rsidRPr="006312E8" w:rsidRDefault="006312E8" w:rsidP="006312E8">
      <w:pPr>
        <w:spacing w:after="0" w:line="240" w:lineRule="auto"/>
        <w:ind w:left="1843" w:hanging="425"/>
        <w:contextualSpacing/>
        <w:jc w:val="both"/>
        <w:rPr>
          <w:rFonts w:ascii="Arial" w:eastAsia="Calibri" w:hAnsi="Arial" w:cs="Arial"/>
          <w:lang w:val="es-ES"/>
        </w:rPr>
      </w:pPr>
      <w:r w:rsidRPr="006312E8">
        <w:rPr>
          <w:rFonts w:ascii="Arial" w:eastAsia="Calibri" w:hAnsi="Arial" w:cs="Arial"/>
          <w:lang w:val="es-ES"/>
        </w:rPr>
        <w:t xml:space="preserve">j.4. </w:t>
      </w:r>
      <w:r w:rsidRPr="006312E8">
        <w:rPr>
          <w:rFonts w:ascii="Arial" w:eastAsia="Calibri" w:hAnsi="Arial" w:cs="Arial"/>
          <w:lang w:val="es-ES"/>
        </w:rPr>
        <w:tab/>
        <w:t>Copia fedateada, autenticada, legalizada o certificada de la constancia de posesión otorgada por la municipalidad en cuya jurisdicción se encuentra el predio.</w:t>
      </w:r>
    </w:p>
    <w:p w:rsidR="006312E8" w:rsidRPr="006312E8" w:rsidRDefault="006312E8" w:rsidP="006312E8">
      <w:pPr>
        <w:spacing w:after="0" w:line="240" w:lineRule="auto"/>
        <w:ind w:left="1843" w:hanging="425"/>
        <w:contextualSpacing/>
        <w:jc w:val="both"/>
        <w:rPr>
          <w:rFonts w:ascii="Arial" w:eastAsia="Calibri" w:hAnsi="Arial" w:cs="Arial"/>
          <w:lang w:val="es-ES"/>
        </w:rPr>
      </w:pPr>
    </w:p>
    <w:p w:rsidR="006312E8" w:rsidRPr="006312E8" w:rsidRDefault="006312E8" w:rsidP="006312E8">
      <w:pPr>
        <w:spacing w:after="0" w:line="240" w:lineRule="auto"/>
        <w:ind w:left="1843" w:hanging="425"/>
        <w:contextualSpacing/>
        <w:jc w:val="both"/>
        <w:rPr>
          <w:rFonts w:ascii="Arial" w:eastAsia="Calibri" w:hAnsi="Arial" w:cs="Arial"/>
          <w:lang w:val="es-ES"/>
        </w:rPr>
      </w:pPr>
      <w:r w:rsidRPr="006312E8">
        <w:rPr>
          <w:rFonts w:ascii="Arial" w:eastAsia="Calibri" w:hAnsi="Arial" w:cs="Arial"/>
          <w:lang w:val="es-ES"/>
        </w:rPr>
        <w:t xml:space="preserve">j.5. </w:t>
      </w:r>
      <w:r w:rsidRPr="006312E8">
        <w:rPr>
          <w:rFonts w:ascii="Arial" w:eastAsia="Calibri" w:hAnsi="Arial" w:cs="Arial"/>
          <w:lang w:val="es-ES"/>
        </w:rPr>
        <w:tab/>
        <w:t>Otro documento emitido por entidad pública que acredite la posesión del predio en favor del solicitante o de sus predecesores.</w:t>
      </w:r>
    </w:p>
    <w:p w:rsidR="006312E8" w:rsidRPr="006312E8" w:rsidRDefault="006312E8" w:rsidP="006312E8">
      <w:pPr>
        <w:spacing w:after="0" w:line="240" w:lineRule="auto"/>
        <w:ind w:left="1843" w:hanging="425"/>
        <w:contextualSpacing/>
        <w:jc w:val="both"/>
        <w:rPr>
          <w:rFonts w:ascii="Arial" w:eastAsia="Calibri" w:hAnsi="Arial" w:cs="Arial"/>
          <w:lang w:val="es-ES"/>
        </w:rPr>
      </w:pPr>
    </w:p>
    <w:p w:rsidR="006312E8" w:rsidRPr="006312E8" w:rsidRDefault="006312E8" w:rsidP="006312E8">
      <w:pPr>
        <w:spacing w:after="0" w:line="240" w:lineRule="auto"/>
        <w:ind w:left="1843" w:hanging="425"/>
        <w:contextualSpacing/>
        <w:jc w:val="both"/>
        <w:rPr>
          <w:rFonts w:ascii="Arial" w:eastAsia="Calibri" w:hAnsi="Arial" w:cs="Arial"/>
          <w:lang w:val="es-ES"/>
        </w:rPr>
      </w:pPr>
      <w:r w:rsidRPr="006312E8">
        <w:rPr>
          <w:rFonts w:ascii="Arial" w:eastAsia="Calibri" w:hAnsi="Arial" w:cs="Arial"/>
          <w:lang w:val="es-ES"/>
        </w:rPr>
        <w:t xml:space="preserve">j.6. </w:t>
      </w:r>
      <w:r w:rsidRPr="006312E8">
        <w:rPr>
          <w:rFonts w:ascii="Arial" w:eastAsia="Calibri" w:hAnsi="Arial" w:cs="Arial"/>
          <w:lang w:val="es-ES"/>
        </w:rPr>
        <w:tab/>
        <w:t xml:space="preserve">En caso que el solicitante sea una persona jurídica no societaria, puede adjuntar: i) copia fedateada, legalizada o certificada del plano visado por la municipalidad del sector, utilizado para gestionar la habilitación de algún servicio público, sea agua y desagüe o energía eléctrica u otra obra; y, ii) copia fedateada, legalizada o certificada de los documentos de fecha cierta que acreditan la posesión de los socios ocupantes. Dichos documentos tendrán mérito probatorio desde la fecha de su emisión.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1843"/>
        <w:contextualSpacing/>
        <w:jc w:val="both"/>
        <w:rPr>
          <w:rFonts w:ascii="Arial" w:eastAsia="Calibri" w:hAnsi="Arial" w:cs="Arial"/>
          <w:lang w:val="es-ES"/>
        </w:rPr>
      </w:pPr>
      <w:r w:rsidRPr="006312E8">
        <w:rPr>
          <w:rFonts w:ascii="Arial" w:eastAsia="Calibri" w:hAnsi="Arial" w:cs="Arial"/>
          <w:lang w:val="es-ES"/>
        </w:rPr>
        <w:t xml:space="preserve">Adicionalmente, debe adjuntar copia certificada o autenticada del Libro Padrón de Asociados y Acta de Asamblea General en las que participen los ocupantes de los respectivos lotes, en la que deciden dar poder y representación para la adquisición de la totalidad del predio que ocupan.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1276"/>
        <w:contextualSpacing/>
        <w:jc w:val="both"/>
        <w:rPr>
          <w:rFonts w:ascii="Arial" w:eastAsia="Calibri" w:hAnsi="Arial" w:cs="Arial"/>
          <w:lang w:val="es-ES"/>
        </w:rPr>
      </w:pPr>
      <w:r w:rsidRPr="006312E8">
        <w:rPr>
          <w:rFonts w:ascii="Arial" w:eastAsia="Calibri" w:hAnsi="Arial" w:cs="Arial"/>
          <w:lang w:val="es-ES"/>
        </w:rPr>
        <w:t xml:space="preserve">Asimismo, el solicitante debe acreditar la compatibilidad de uso del predio con la zonificación establecida, si la hubiere, adjuntando el certificado de zonificación y vías o certificado de parámetros urbanísticos u otro documento emitido por la municipalidad competente.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62"/>
        </w:numPr>
        <w:spacing w:after="0" w:line="240" w:lineRule="auto"/>
        <w:ind w:left="1276"/>
        <w:contextualSpacing/>
        <w:jc w:val="both"/>
        <w:rPr>
          <w:rFonts w:ascii="Arial" w:eastAsia="Calibri" w:hAnsi="Arial" w:cs="Arial"/>
          <w:lang w:val="es-ES"/>
        </w:rPr>
      </w:pPr>
      <w:r w:rsidRPr="006312E8">
        <w:rPr>
          <w:rFonts w:ascii="Arial" w:eastAsia="Calibri" w:hAnsi="Arial" w:cs="Arial"/>
          <w:lang w:val="es-ES"/>
        </w:rPr>
        <w:t>Para el supuesto de venta directa previsto en el literal d) del artículo 77º del Reglamento, debe acreditar la antigüedad de la posesión adjuntando cualquiera de los documentos indicados en el literal precedente, con excepción  del certificado de zonificación y vías o certificado de parámetros urbanísticos u otro documento emitido por la municipalidad competente.</w:t>
      </w:r>
    </w:p>
    <w:p w:rsidR="006312E8" w:rsidRPr="006312E8" w:rsidRDefault="006312E8" w:rsidP="006312E8">
      <w:pPr>
        <w:spacing w:after="0" w:line="240" w:lineRule="auto"/>
        <w:ind w:left="1276"/>
        <w:contextualSpacing/>
        <w:jc w:val="both"/>
        <w:rPr>
          <w:rFonts w:ascii="Arial" w:eastAsia="Calibri" w:hAnsi="Arial" w:cs="Arial"/>
          <w:lang w:val="es-ES"/>
        </w:rPr>
      </w:pPr>
    </w:p>
    <w:p w:rsidR="006312E8" w:rsidRPr="006312E8" w:rsidRDefault="006312E8" w:rsidP="0092471C">
      <w:pPr>
        <w:numPr>
          <w:ilvl w:val="0"/>
          <w:numId w:val="162"/>
        </w:numPr>
        <w:spacing w:after="0" w:line="240" w:lineRule="auto"/>
        <w:ind w:left="1276"/>
        <w:contextualSpacing/>
        <w:jc w:val="both"/>
        <w:rPr>
          <w:rFonts w:ascii="Arial" w:eastAsia="Calibri" w:hAnsi="Arial" w:cs="Arial"/>
          <w:lang w:val="es-ES"/>
        </w:rPr>
      </w:pPr>
      <w:r w:rsidRPr="006312E8">
        <w:rPr>
          <w:rFonts w:ascii="Arial" w:eastAsia="Calibri" w:hAnsi="Arial" w:cs="Arial"/>
          <w:lang w:val="es-ES"/>
        </w:rPr>
        <w:t>Para el supuesto de venta directa previsto en el literal e) del artículo 77º del Reglamento, Copia Literal de la partida o Certificado Registral Inmobiliario – CRI, o copia fedateada, autenticada, legalizada o certificada del instrumento público que permita acreditar la colindancia con el predio del Estado, y el Certificado de Parámetros Urbanísticos y Edificatorios o el Certificado de Zonificación y Vías vigente, que acredite la falta de dimensión del predio a la del lote normativo establecido para la zona.</w:t>
      </w:r>
    </w:p>
    <w:p w:rsidR="006312E8" w:rsidRPr="006312E8" w:rsidRDefault="006312E8" w:rsidP="006312E8">
      <w:pPr>
        <w:spacing w:after="0" w:line="240" w:lineRule="auto"/>
        <w:ind w:left="1276" w:firstLine="60"/>
        <w:contextualSpacing/>
        <w:jc w:val="both"/>
        <w:rPr>
          <w:rFonts w:ascii="Arial" w:eastAsia="Calibri" w:hAnsi="Arial" w:cs="Arial"/>
          <w:lang w:val="es-ES"/>
        </w:rPr>
      </w:pPr>
    </w:p>
    <w:p w:rsidR="006312E8" w:rsidRPr="006312E8" w:rsidRDefault="006312E8" w:rsidP="0092471C">
      <w:pPr>
        <w:numPr>
          <w:ilvl w:val="0"/>
          <w:numId w:val="162"/>
        </w:numPr>
        <w:spacing w:after="0" w:line="240" w:lineRule="auto"/>
        <w:ind w:left="1276"/>
        <w:contextualSpacing/>
        <w:jc w:val="both"/>
        <w:rPr>
          <w:rFonts w:ascii="Arial" w:eastAsia="Calibri" w:hAnsi="Arial" w:cs="Arial"/>
          <w:lang w:val="es-ES"/>
        </w:rPr>
      </w:pPr>
      <w:r w:rsidRPr="006312E8">
        <w:rPr>
          <w:rFonts w:ascii="Arial" w:eastAsia="Calibri" w:hAnsi="Arial" w:cs="Arial"/>
          <w:lang w:val="es-ES"/>
        </w:rPr>
        <w:t>Para el supuesto del artículo 94º del Reglamento de Transporte de Hidrocarburos por Ductos, aprobado por Decreto Supremo Nº 081-2007-EM, el concesionario deberá adjuntar la resolución o certificado de concesión vigente y el plano que precise el área necesaria para llevar a cabo sus operaciones.</w:t>
      </w:r>
    </w:p>
    <w:p w:rsidR="006312E8" w:rsidRPr="006312E8" w:rsidRDefault="006312E8" w:rsidP="006312E8">
      <w:pPr>
        <w:spacing w:after="0" w:line="240" w:lineRule="auto"/>
        <w:ind w:left="1276"/>
        <w:contextualSpacing/>
        <w:jc w:val="both"/>
        <w:rPr>
          <w:rFonts w:ascii="Arial" w:eastAsia="Calibri" w:hAnsi="Arial" w:cs="Arial"/>
          <w:lang w:val="es-ES"/>
        </w:rPr>
      </w:pPr>
    </w:p>
    <w:p w:rsidR="006312E8" w:rsidRPr="006312E8" w:rsidRDefault="006312E8" w:rsidP="0092471C">
      <w:pPr>
        <w:numPr>
          <w:ilvl w:val="0"/>
          <w:numId w:val="162"/>
        </w:numPr>
        <w:spacing w:after="0" w:line="240" w:lineRule="auto"/>
        <w:ind w:left="1276"/>
        <w:contextualSpacing/>
        <w:jc w:val="both"/>
        <w:rPr>
          <w:rFonts w:ascii="Arial" w:eastAsia="Calibri" w:hAnsi="Arial" w:cs="Arial"/>
          <w:lang w:val="es-ES"/>
        </w:rPr>
      </w:pPr>
      <w:r w:rsidRPr="006312E8">
        <w:rPr>
          <w:rFonts w:ascii="Arial" w:eastAsia="Calibri" w:hAnsi="Arial" w:cs="Arial"/>
          <w:lang w:val="es-ES"/>
        </w:rPr>
        <w:t>Para la adjudicación de terrenos ubicados en zonas de dominio restringido en el que pretenda ejecutar proyectos para los fines indicados en el artículo 18º del Reglamento de la Ley Nº 26856, el solicitante debe presentar los requisitos que exige el último párrafo del citado artículo y la resolución del sector o entidad competente que declare de interés nacional o regional al proyecto.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158"/>
        </w:numPr>
        <w:spacing w:after="0" w:line="240" w:lineRule="auto"/>
        <w:ind w:left="851" w:hanging="425"/>
        <w:contextualSpacing/>
        <w:jc w:val="both"/>
        <w:rPr>
          <w:rFonts w:ascii="Arial" w:eastAsia="Calibri" w:hAnsi="Arial" w:cs="Arial"/>
          <w:b/>
          <w:lang w:val="es-ES"/>
        </w:rPr>
      </w:pPr>
      <w:r w:rsidRPr="006312E8">
        <w:rPr>
          <w:rFonts w:ascii="Arial" w:eastAsia="Calibri" w:hAnsi="Arial" w:cs="Arial"/>
          <w:b/>
          <w:lang w:val="es-ES"/>
        </w:rPr>
        <w:t>Evaluación formal de la solicitud.</w:t>
      </w: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Recibida la solicitud, la unidad orgánica competente de la entidad pública encargada de sustentar el trámite, procederá a verificar la documentación presentada y, de ser necesario, requerirá al administrado para que dentro del término de quince (15) días hábiles, computados a partir del día siguiente de su notificación, efectúe la aclaración, precisión o reformulación de su pedido o complemente la documentación, bajo apercibimiento de declararse inadmisible la solicitud. De manera excepcional y por razones justificadas, puede prorrogarse dicho plazo por igual término y por única vez, siempre que el administrado lo solicite antes de su vencimiento.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158"/>
        </w:numPr>
        <w:spacing w:after="0" w:line="240" w:lineRule="auto"/>
        <w:ind w:left="851" w:hanging="425"/>
        <w:contextualSpacing/>
        <w:jc w:val="both"/>
        <w:rPr>
          <w:rFonts w:ascii="Arial" w:eastAsia="Calibri" w:hAnsi="Arial" w:cs="Arial"/>
          <w:b/>
          <w:lang w:val="es-ES"/>
        </w:rPr>
      </w:pPr>
      <w:r w:rsidRPr="006312E8">
        <w:rPr>
          <w:rFonts w:ascii="Arial" w:eastAsia="Calibri" w:hAnsi="Arial" w:cs="Arial"/>
          <w:b/>
          <w:lang w:val="es-ES"/>
        </w:rPr>
        <w:t>Inspección técnica del predio.</w:t>
      </w: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Si la solicitud cumple con los requisitos formales de la causal en que se sustenta el procedimiento de venta directa, la unidad orgánica competente encargada de sustentar dicho procedimiento efectuará, de ser necesario, una inspección técnica del predio para comprobar el supuesto en que se sustenta la solicitud u otra circunstancia que incida en la calificación sustancial del procedimiento.</w:t>
      </w: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 xml:space="preserve"> </w:t>
      </w: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 xml:space="preserve">Para el supuesto de venta directa previsto en el literal c) del artículo 77º del Reglamento, se considera que hay posesión consolidada del predio en campo cuando presenta las siguientes condiciones: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w:t>
      </w:r>
    </w:p>
    <w:p w:rsidR="006312E8" w:rsidRPr="006312E8" w:rsidRDefault="006312E8" w:rsidP="0092471C">
      <w:pPr>
        <w:numPr>
          <w:ilvl w:val="0"/>
          <w:numId w:val="163"/>
        </w:numPr>
        <w:spacing w:after="0" w:line="240" w:lineRule="auto"/>
        <w:ind w:left="1276"/>
        <w:contextualSpacing/>
        <w:jc w:val="both"/>
        <w:rPr>
          <w:rFonts w:ascii="Arial" w:eastAsia="Calibri" w:hAnsi="Arial" w:cs="Arial"/>
          <w:lang w:val="es-ES"/>
        </w:rPr>
      </w:pPr>
      <w:r w:rsidRPr="006312E8">
        <w:rPr>
          <w:rFonts w:ascii="Arial" w:eastAsia="Calibri" w:hAnsi="Arial" w:cs="Arial"/>
          <w:lang w:val="es-ES"/>
        </w:rPr>
        <w:t>Obras civiles de carácter permanente.</w:t>
      </w:r>
    </w:p>
    <w:p w:rsidR="006312E8" w:rsidRPr="006312E8" w:rsidRDefault="006312E8" w:rsidP="006312E8">
      <w:pPr>
        <w:spacing w:after="0" w:line="240" w:lineRule="auto"/>
        <w:ind w:left="1276"/>
        <w:contextualSpacing/>
        <w:jc w:val="both"/>
        <w:rPr>
          <w:rFonts w:ascii="Arial" w:eastAsia="Calibri" w:hAnsi="Arial" w:cs="Arial"/>
          <w:lang w:val="es-ES"/>
        </w:rPr>
      </w:pPr>
    </w:p>
    <w:p w:rsidR="006312E8" w:rsidRPr="006312E8" w:rsidRDefault="006312E8" w:rsidP="0092471C">
      <w:pPr>
        <w:numPr>
          <w:ilvl w:val="0"/>
          <w:numId w:val="163"/>
        </w:numPr>
        <w:spacing w:after="0" w:line="240" w:lineRule="auto"/>
        <w:ind w:left="1276"/>
        <w:contextualSpacing/>
        <w:jc w:val="both"/>
        <w:rPr>
          <w:rFonts w:ascii="Arial" w:eastAsia="Calibri" w:hAnsi="Arial" w:cs="Arial"/>
          <w:lang w:val="es-ES"/>
        </w:rPr>
      </w:pPr>
      <w:r w:rsidRPr="006312E8">
        <w:rPr>
          <w:rFonts w:ascii="Arial" w:eastAsia="Calibri" w:hAnsi="Arial" w:cs="Arial"/>
          <w:lang w:val="es-ES"/>
        </w:rPr>
        <w:t>Está destinado a uso habitacional, comercial, industrial, educativo, recreacional u otro, en la mayor parte del predio, de acuerdo a la naturaleza de la actividad.</w:t>
      </w:r>
    </w:p>
    <w:p w:rsidR="006312E8" w:rsidRPr="006312E8" w:rsidRDefault="006312E8" w:rsidP="006312E8">
      <w:pPr>
        <w:spacing w:after="0" w:line="240" w:lineRule="auto"/>
        <w:ind w:left="1276"/>
        <w:contextualSpacing/>
        <w:jc w:val="both"/>
        <w:rPr>
          <w:rFonts w:ascii="Arial" w:eastAsia="Calibri" w:hAnsi="Arial" w:cs="Arial"/>
          <w:lang w:val="es-ES"/>
        </w:rPr>
      </w:pPr>
    </w:p>
    <w:p w:rsidR="006312E8" w:rsidRPr="006312E8" w:rsidRDefault="006312E8" w:rsidP="0092471C">
      <w:pPr>
        <w:numPr>
          <w:ilvl w:val="0"/>
          <w:numId w:val="163"/>
        </w:numPr>
        <w:spacing w:after="0" w:line="240" w:lineRule="auto"/>
        <w:ind w:left="1276"/>
        <w:contextualSpacing/>
        <w:jc w:val="both"/>
        <w:rPr>
          <w:rFonts w:ascii="Arial" w:eastAsia="Calibri" w:hAnsi="Arial" w:cs="Arial"/>
          <w:lang w:val="es-ES"/>
        </w:rPr>
      </w:pPr>
      <w:r w:rsidRPr="006312E8">
        <w:rPr>
          <w:rFonts w:ascii="Arial" w:eastAsia="Calibri" w:hAnsi="Arial" w:cs="Arial"/>
          <w:lang w:val="es-ES"/>
        </w:rPr>
        <w:t xml:space="preserve">Está delimitado en su totalidad, con materiales o elementos idóneos de acuerdo a la naturaleza de la actividad que se desarrolla en el predio.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Cuando la posesión es ejercida por quienes integran una persona jurídica no societaria, para el cómputo del área en uso debe considerarse los lotes ocupados, las vías de circulación y las áreas de equipamiento urbano; y, en cuanto a la delimitación del área debe adecuarse al perímetro indicado en el plano a que se refiere el inciso j.6 del numeral 6.2.</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 xml:space="preserve">Para el supuesto de venta directa previsto en el literal d) del artículo 77º del Reglamento, se considera que hay posesión del predio en campo cuando presenta las siguientes condiciones: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64"/>
        </w:numPr>
        <w:spacing w:after="0" w:line="240" w:lineRule="auto"/>
        <w:ind w:left="1276"/>
        <w:contextualSpacing/>
        <w:jc w:val="both"/>
        <w:rPr>
          <w:rFonts w:ascii="Arial" w:eastAsia="Calibri" w:hAnsi="Arial" w:cs="Arial"/>
          <w:lang w:val="es-ES"/>
        </w:rPr>
      </w:pPr>
      <w:r w:rsidRPr="006312E8">
        <w:rPr>
          <w:rFonts w:ascii="Arial" w:eastAsia="Calibri" w:hAnsi="Arial" w:cs="Arial"/>
          <w:lang w:val="es-ES"/>
        </w:rPr>
        <w:t>El área se encuentra delimitada en su totalidad por obra civil de carácter permanente.</w:t>
      </w:r>
    </w:p>
    <w:p w:rsidR="006312E8" w:rsidRPr="006312E8" w:rsidRDefault="006312E8" w:rsidP="006312E8">
      <w:pPr>
        <w:spacing w:after="0" w:line="240" w:lineRule="auto"/>
        <w:ind w:left="1276"/>
        <w:contextualSpacing/>
        <w:jc w:val="both"/>
        <w:rPr>
          <w:rFonts w:ascii="Arial" w:eastAsia="Calibri" w:hAnsi="Arial" w:cs="Arial"/>
          <w:lang w:val="es-ES"/>
        </w:rPr>
      </w:pPr>
    </w:p>
    <w:p w:rsidR="006312E8" w:rsidRPr="006312E8" w:rsidRDefault="006312E8" w:rsidP="0092471C">
      <w:pPr>
        <w:numPr>
          <w:ilvl w:val="0"/>
          <w:numId w:val="164"/>
        </w:numPr>
        <w:spacing w:after="0" w:line="240" w:lineRule="auto"/>
        <w:ind w:left="1276"/>
        <w:contextualSpacing/>
        <w:jc w:val="both"/>
        <w:rPr>
          <w:rFonts w:ascii="Arial" w:eastAsia="Calibri" w:hAnsi="Arial" w:cs="Arial"/>
          <w:lang w:val="es-ES"/>
        </w:rPr>
      </w:pPr>
      <w:r w:rsidRPr="006312E8">
        <w:rPr>
          <w:rFonts w:ascii="Arial" w:eastAsia="Calibri" w:hAnsi="Arial" w:cs="Arial"/>
          <w:lang w:val="es-ES"/>
        </w:rPr>
        <w:t>Dicha delimitación restrinja el acceso de manera efectiva a terceros.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 xml:space="preserve">Para comprobar la posesión del predio en campo la unidad orgánica competente está facultada para utilizar también las imágenes satelitales de la superficie territorial.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158"/>
        </w:numPr>
        <w:spacing w:after="0" w:line="240" w:lineRule="auto"/>
        <w:ind w:left="851" w:hanging="425"/>
        <w:contextualSpacing/>
        <w:jc w:val="both"/>
        <w:rPr>
          <w:rFonts w:ascii="Arial" w:eastAsia="Calibri" w:hAnsi="Arial" w:cs="Arial"/>
          <w:b/>
          <w:lang w:val="es-ES"/>
        </w:rPr>
      </w:pPr>
      <w:r w:rsidRPr="006312E8">
        <w:rPr>
          <w:rFonts w:ascii="Arial" w:eastAsia="Calibri" w:hAnsi="Arial" w:cs="Arial"/>
          <w:b/>
          <w:lang w:val="es-ES"/>
        </w:rPr>
        <w:t>Calificación sustantiva del procedimiento</w:t>
      </w: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 xml:space="preserve">Con la documentación proporcionada por el solicitante y luego de realizada la inspección técnica, de ser el caso, se procederá a verificar que el predio solicitado sea de libre disponibilidad, debiendo tener en cuenta la naturaleza jurídica de la titularidad (dominio público o dominio privado) y el marco legal aplicable. </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Los documentos que sustentan la solicitud de venta directa deben guardar correspondencia con el predio materia de solicitud. La discrepancia entre el área indicada en los documentos con el área real solicitada en venta, no invalida los efectos probatorios de tal documentación, siempre que de los demás datos se desprenda que corresponde al predio solicitado en venta.</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 xml:space="preserve">En caso que el predio solicitado en venta requiera de alguna acción de saneamiento (independización, rectificación de nombre del titular de dominio u otro similar), estas pueden efectuarse por la misma unidad orgánica que sustenta el procedimiento de venta directa y en el mismo expediente, luego de la etapa de conformidad de la venta por el Titular del Pliego a que se refiere el numeral 6.6. </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 xml:space="preserve">Si la solicitud de venta no se subsume en la causal de venta directa invocada o el predio no es de libre disponibilidad, la unidad orgánica competente de la entidad declara la improcedencia de la solicitud y dará por concluido el procedimiento, notificando dicha decisión al solicitante. </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 xml:space="preserve">De igual forma, debe declararse la improcedencia, cuando el predio constituya un bien estatal de dominio público, salvo que dicho inmueble hubiera perdido la naturaleza o condición apropiada para su uso público o para ser destinado a la prestación de servicios públicos, debiendo constar tal situación en el informe. En este caso, la desafectación administrativa deberá tramitarse luego de la etapa de conformidad de la venta por el Titular del Pliego a que se refiere el numeral 6.6. </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 xml:space="preserve">Cuando el predio se ubica en zona de dominio restringido y de la documentación presentada se desprende que cumple con los requisitos para la procedencia de la venta directa de acuerdo con la Ley Nº 26856 y su Reglamento aprobado con Decreto Supremo Nº 050-2006-EF, así como lo indicado en el literal o) del numeral 6.2, se proseguirá con el trámite respectivo; en caso contrario, la solicitud será declarada improcedente.  </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 xml:space="preserve">La calificación favorable de la solicitud de venta directa debe constar en un informe adjuntando además el análisis costo beneficio, conforme al Anexo 1.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158"/>
        </w:numPr>
        <w:spacing w:after="0" w:line="240" w:lineRule="auto"/>
        <w:ind w:left="851" w:hanging="425"/>
        <w:contextualSpacing/>
        <w:jc w:val="both"/>
        <w:rPr>
          <w:rFonts w:ascii="Arial" w:eastAsia="Calibri" w:hAnsi="Arial" w:cs="Arial"/>
          <w:b/>
          <w:lang w:val="es-ES"/>
        </w:rPr>
      </w:pPr>
      <w:r w:rsidRPr="006312E8">
        <w:rPr>
          <w:rFonts w:ascii="Arial" w:eastAsia="Calibri" w:hAnsi="Arial" w:cs="Arial"/>
          <w:b/>
          <w:lang w:val="es-ES"/>
        </w:rPr>
        <w:t>De la autorización o conformidad de la venta por el Titular del Pliego</w:t>
      </w: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El informe sobre la calificación favorable de la solicitud de venta es elevado al titular de la entidad, a fin que emita su autorización para continuar con el procedimiento.</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En los procedimientos a cargo de la SBN, la SDDI eleva el informe y sus anexos sobre la calificación favorable de la solicitud de venta al Superintendente, a fin que brinde su conformidad, de ser el caso, de acuerdo con la atribución que le confiere el inciso n) del artículo 11º del ROF de la SBN, la que será comunicada a la SDDI.</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Cuando el predio solicitado en venta directa sea de dominio público pero resulta evidente la pérdida de la naturaleza o condición apropiada para su uso o servicio público, la autorización o conformidad que se otorgue tendrá efecto siempre que se concluya con el procedimiento de desafectación administrativa.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158"/>
        </w:numPr>
        <w:spacing w:after="0" w:line="240" w:lineRule="auto"/>
        <w:ind w:left="851" w:hanging="425"/>
        <w:contextualSpacing/>
        <w:jc w:val="both"/>
        <w:rPr>
          <w:rFonts w:ascii="Arial" w:eastAsia="Calibri" w:hAnsi="Arial" w:cs="Arial"/>
          <w:b/>
          <w:lang w:val="es-ES"/>
        </w:rPr>
      </w:pPr>
      <w:r w:rsidRPr="006312E8">
        <w:rPr>
          <w:rFonts w:ascii="Arial" w:eastAsia="Calibri" w:hAnsi="Arial" w:cs="Arial"/>
          <w:b/>
          <w:lang w:val="es-ES"/>
        </w:rPr>
        <w:t>Comunicación de calificación sustancial de la solicitud</w:t>
      </w: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Con el documento de autorización o conformidad para la venta, la unidad orgánica competente de la entidad procede a notificar al administrado la calificación favorable de su solicitud de venta directa.</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Si no se hubiere otorgado la autorización o conformidad para la venta del predio, la unidad orgánica competente de la entidad a cargo de la tramitación del procedimiento de venta directa, dará por concluido dicho procedimiento, notificando la decisión al solicitante y archivando los actuados.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158"/>
        </w:numPr>
        <w:spacing w:after="0" w:line="240" w:lineRule="auto"/>
        <w:ind w:left="851" w:hanging="425"/>
        <w:contextualSpacing/>
        <w:jc w:val="both"/>
        <w:rPr>
          <w:rFonts w:ascii="Arial" w:eastAsia="Calibri" w:hAnsi="Arial" w:cs="Arial"/>
          <w:b/>
          <w:lang w:val="es-ES"/>
        </w:rPr>
      </w:pPr>
      <w:r w:rsidRPr="006312E8">
        <w:rPr>
          <w:rFonts w:ascii="Arial" w:eastAsia="Calibri" w:hAnsi="Arial" w:cs="Arial"/>
          <w:b/>
          <w:lang w:val="es-ES"/>
        </w:rPr>
        <w:t>De la valuación comercial del predio.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 xml:space="preserve"> </w:t>
      </w:r>
    </w:p>
    <w:p w:rsidR="006312E8" w:rsidRPr="006312E8" w:rsidRDefault="006312E8" w:rsidP="0092471C">
      <w:pPr>
        <w:numPr>
          <w:ilvl w:val="2"/>
          <w:numId w:val="158"/>
        </w:numPr>
        <w:spacing w:after="0" w:line="240" w:lineRule="auto"/>
        <w:ind w:left="1560"/>
        <w:contextualSpacing/>
        <w:jc w:val="both"/>
        <w:rPr>
          <w:rFonts w:ascii="Arial" w:eastAsia="Calibri" w:hAnsi="Arial" w:cs="Arial"/>
          <w:b/>
          <w:lang w:val="es-ES"/>
        </w:rPr>
      </w:pPr>
      <w:r w:rsidRPr="006312E8">
        <w:rPr>
          <w:rFonts w:ascii="Arial" w:eastAsia="Calibri" w:hAnsi="Arial" w:cs="Arial"/>
          <w:b/>
          <w:lang w:val="es-ES"/>
        </w:rPr>
        <w:t>Del alcance de la valorización comercial del predio.</w:t>
      </w:r>
    </w:p>
    <w:p w:rsidR="006312E8" w:rsidRPr="006312E8" w:rsidRDefault="006312E8" w:rsidP="006312E8">
      <w:pPr>
        <w:spacing w:after="0" w:line="240" w:lineRule="auto"/>
        <w:ind w:left="1080"/>
        <w:contextualSpacing/>
        <w:jc w:val="both"/>
        <w:rPr>
          <w:rFonts w:ascii="Arial" w:eastAsia="Calibri" w:hAnsi="Arial" w:cs="Arial"/>
          <w:lang w:val="es-ES"/>
        </w:rPr>
      </w:pPr>
    </w:p>
    <w:p w:rsidR="006312E8" w:rsidRPr="006312E8" w:rsidRDefault="006312E8" w:rsidP="006312E8">
      <w:pPr>
        <w:spacing w:after="0" w:line="240" w:lineRule="auto"/>
        <w:ind w:left="1560"/>
        <w:contextualSpacing/>
        <w:jc w:val="both"/>
        <w:rPr>
          <w:rFonts w:ascii="Arial" w:eastAsia="Calibri" w:hAnsi="Arial" w:cs="Arial"/>
          <w:lang w:val="es-ES"/>
        </w:rPr>
      </w:pPr>
      <w:r w:rsidRPr="006312E8">
        <w:rPr>
          <w:rFonts w:ascii="Arial" w:eastAsia="Calibri" w:hAnsi="Arial" w:cs="Arial"/>
          <w:lang w:val="es-ES"/>
        </w:rPr>
        <w:t xml:space="preserve">La valorización del predio debe efectuarse tanto del terreno como de la edificación existente, salvo que el poseedor del predio demuestre que la edificación ha sido efectuada por él o sus predecesores. No opera dicha excepción cuando existe sentencia con calidad de cosa juzgada, laudo arbitral o resolución administrativa firme en contra del ocupante o sus predecesores, respecto a la recuperación del predio en su integridad a favor del Estado o de la entidad pública titular. </w:t>
      </w:r>
    </w:p>
    <w:p w:rsidR="006312E8" w:rsidRPr="006312E8" w:rsidRDefault="006312E8" w:rsidP="006312E8">
      <w:pPr>
        <w:spacing w:after="0" w:line="240" w:lineRule="auto"/>
        <w:ind w:left="1560"/>
        <w:contextualSpacing/>
        <w:jc w:val="both"/>
        <w:rPr>
          <w:rFonts w:ascii="Arial" w:eastAsia="Calibri" w:hAnsi="Arial" w:cs="Arial"/>
          <w:lang w:val="es-ES"/>
        </w:rPr>
      </w:pPr>
    </w:p>
    <w:p w:rsidR="006312E8" w:rsidRPr="006312E8" w:rsidRDefault="006312E8" w:rsidP="006312E8">
      <w:pPr>
        <w:spacing w:after="0" w:line="240" w:lineRule="auto"/>
        <w:ind w:left="1560"/>
        <w:contextualSpacing/>
        <w:jc w:val="both"/>
        <w:rPr>
          <w:rFonts w:ascii="Arial" w:eastAsia="Calibri" w:hAnsi="Arial" w:cs="Arial"/>
          <w:lang w:val="es-ES"/>
        </w:rPr>
      </w:pPr>
      <w:r w:rsidRPr="006312E8">
        <w:rPr>
          <w:rFonts w:ascii="Arial" w:eastAsia="Calibri" w:hAnsi="Arial" w:cs="Arial"/>
          <w:lang w:val="es-ES"/>
        </w:rPr>
        <w:t>La titularidad de las construcciones puede ser acreditada por el solicitante con el contrato de obra, declaración jurada con firma certificada ante Notario Público o cualquier documento público o privado que permita concluir que la edificación ha sido efectuada por el poseedor o sus predecesores y no por el Estado.</w:t>
      </w:r>
    </w:p>
    <w:p w:rsidR="006312E8" w:rsidRPr="006312E8" w:rsidRDefault="006312E8" w:rsidP="006312E8">
      <w:pPr>
        <w:spacing w:after="0" w:line="240" w:lineRule="auto"/>
        <w:ind w:left="1560"/>
        <w:contextualSpacing/>
        <w:jc w:val="both"/>
        <w:rPr>
          <w:rFonts w:ascii="Arial" w:eastAsia="Calibri" w:hAnsi="Arial" w:cs="Arial"/>
          <w:lang w:val="es-ES"/>
        </w:rPr>
      </w:pPr>
    </w:p>
    <w:p w:rsidR="006312E8" w:rsidRPr="006312E8" w:rsidRDefault="006312E8" w:rsidP="006312E8">
      <w:pPr>
        <w:spacing w:after="0" w:line="240" w:lineRule="auto"/>
        <w:ind w:left="1560"/>
        <w:contextualSpacing/>
        <w:jc w:val="both"/>
        <w:rPr>
          <w:rFonts w:ascii="Arial" w:eastAsia="Calibri" w:hAnsi="Arial" w:cs="Arial"/>
          <w:lang w:val="es-ES"/>
        </w:rPr>
      </w:pPr>
      <w:r w:rsidRPr="006312E8">
        <w:rPr>
          <w:rFonts w:ascii="Arial" w:eastAsia="Calibri" w:hAnsi="Arial" w:cs="Arial"/>
          <w:lang w:val="es-ES"/>
        </w:rPr>
        <w:t xml:space="preserve">La tasación se efectúa conforme a los procedimientos previstos en el Reglamento Nacional de Tasaciones del Perú. </w:t>
      </w: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92471C">
      <w:pPr>
        <w:numPr>
          <w:ilvl w:val="2"/>
          <w:numId w:val="158"/>
        </w:numPr>
        <w:spacing w:after="0" w:line="240" w:lineRule="auto"/>
        <w:ind w:left="1560"/>
        <w:contextualSpacing/>
        <w:jc w:val="both"/>
        <w:rPr>
          <w:rFonts w:ascii="Arial" w:eastAsia="Calibri" w:hAnsi="Arial" w:cs="Arial"/>
          <w:b/>
          <w:lang w:val="es-ES"/>
        </w:rPr>
      </w:pPr>
      <w:r w:rsidRPr="006312E8">
        <w:rPr>
          <w:rFonts w:ascii="Arial" w:eastAsia="Calibri" w:hAnsi="Arial" w:cs="Arial"/>
          <w:b/>
          <w:lang w:val="es-ES"/>
        </w:rPr>
        <w:t>Del encargado de efectuar la tasación comercial y pago del servicio</w:t>
      </w:r>
    </w:p>
    <w:p w:rsidR="00C33571" w:rsidRDefault="00C33571" w:rsidP="00C33571">
      <w:pPr>
        <w:spacing w:after="0" w:line="240" w:lineRule="auto"/>
        <w:contextualSpacing/>
        <w:jc w:val="both"/>
        <w:rPr>
          <w:rFonts w:ascii="Arial" w:eastAsia="Calibri" w:hAnsi="Arial" w:cs="Arial"/>
          <w:lang w:val="es-ES"/>
        </w:rPr>
      </w:pPr>
    </w:p>
    <w:p w:rsidR="00C33571" w:rsidRPr="00C33571" w:rsidRDefault="00C33571" w:rsidP="00C33571">
      <w:pPr>
        <w:spacing w:after="0" w:line="240" w:lineRule="auto"/>
        <w:ind w:left="1560"/>
        <w:contextualSpacing/>
        <w:jc w:val="both"/>
        <w:rPr>
          <w:rFonts w:ascii="Arial" w:eastAsia="Calibri" w:hAnsi="Arial" w:cs="Arial"/>
          <w:lang w:val="es-ES"/>
        </w:rPr>
      </w:pPr>
      <w:r w:rsidRPr="00C33571">
        <w:rPr>
          <w:rFonts w:ascii="Arial" w:eastAsia="Calibri" w:hAnsi="Arial" w:cs="Arial"/>
          <w:lang w:val="es-ES"/>
        </w:rPr>
        <w:t xml:space="preserve">El organismo encargado de efectuar la tasación a valor comercial de la propiedad estatal a que se refiere el artículo 36 del Reglamento, es la persona jurídica, de derecho público o privado, con acreditada experiencia en el rubro de valorizaciones comerciales mayor a dos (2) años y que cuenta además con profesionales especializados. </w:t>
      </w:r>
    </w:p>
    <w:p w:rsidR="00C33571" w:rsidRDefault="00C33571" w:rsidP="00C33571">
      <w:pPr>
        <w:spacing w:after="0" w:line="240" w:lineRule="auto"/>
        <w:ind w:left="1560"/>
        <w:contextualSpacing/>
        <w:jc w:val="both"/>
        <w:rPr>
          <w:rFonts w:ascii="Arial" w:eastAsia="Calibri" w:hAnsi="Arial" w:cs="Arial"/>
          <w:lang w:val="es-ES"/>
        </w:rPr>
      </w:pPr>
    </w:p>
    <w:p w:rsidR="00C33571" w:rsidRPr="00C33571" w:rsidRDefault="00C33571" w:rsidP="00C33571">
      <w:pPr>
        <w:spacing w:after="0" w:line="240" w:lineRule="auto"/>
        <w:ind w:left="1560"/>
        <w:contextualSpacing/>
        <w:jc w:val="both"/>
        <w:rPr>
          <w:rFonts w:ascii="Arial" w:eastAsia="Calibri" w:hAnsi="Arial" w:cs="Arial"/>
          <w:lang w:val="es-ES"/>
        </w:rPr>
      </w:pPr>
      <w:r w:rsidRPr="00C33571">
        <w:rPr>
          <w:rFonts w:ascii="Arial" w:eastAsia="Calibri" w:hAnsi="Arial" w:cs="Arial"/>
          <w:lang w:val="es-ES"/>
        </w:rPr>
        <w:t xml:space="preserve">El “perito tasador acreditado” a que se refiere el artículo 36 del Reglamento, es aquel profesional habilitado por su colegio profesional, con registro de perito vigente ante alguna entidad o cuerpo especializado en valuaciones con antigüedad mayor a dos (2) años. Dicho profesional interviene excepcionalmente, en caso que no exista un organismo especializado en la Región donde se ubica el predio. </w:t>
      </w:r>
    </w:p>
    <w:p w:rsidR="00C33571" w:rsidRDefault="00C33571" w:rsidP="00C33571">
      <w:pPr>
        <w:spacing w:after="0" w:line="240" w:lineRule="auto"/>
        <w:ind w:left="1560"/>
        <w:contextualSpacing/>
        <w:jc w:val="both"/>
        <w:rPr>
          <w:rFonts w:ascii="Arial" w:eastAsia="Calibri" w:hAnsi="Arial" w:cs="Arial"/>
          <w:lang w:val="es-ES"/>
        </w:rPr>
      </w:pPr>
    </w:p>
    <w:p w:rsidR="00C33571" w:rsidRPr="00C33571" w:rsidRDefault="00C33571" w:rsidP="00C33571">
      <w:pPr>
        <w:spacing w:after="0" w:line="240" w:lineRule="auto"/>
        <w:ind w:left="1560"/>
        <w:contextualSpacing/>
        <w:jc w:val="both"/>
        <w:rPr>
          <w:rFonts w:ascii="Arial" w:eastAsia="Calibri" w:hAnsi="Arial" w:cs="Arial"/>
          <w:lang w:val="es-ES"/>
        </w:rPr>
      </w:pPr>
      <w:r w:rsidRPr="00C33571">
        <w:rPr>
          <w:rFonts w:ascii="Arial" w:eastAsia="Calibri" w:hAnsi="Arial" w:cs="Arial"/>
          <w:lang w:val="es-ES"/>
        </w:rPr>
        <w:t>La elección y contratación del organismo especializado o perito, que se encargará de efectuar el servicio de tasación, se realizará conforme a los lineamientos internos y/o términos de referencia que establezca cada entidad.</w:t>
      </w:r>
    </w:p>
    <w:p w:rsidR="00C33571" w:rsidRDefault="00C33571" w:rsidP="00C33571">
      <w:pPr>
        <w:spacing w:after="0" w:line="240" w:lineRule="auto"/>
        <w:ind w:left="1560"/>
        <w:contextualSpacing/>
        <w:jc w:val="both"/>
        <w:rPr>
          <w:rFonts w:ascii="Arial" w:eastAsia="Calibri" w:hAnsi="Arial" w:cs="Arial"/>
          <w:lang w:val="es-ES"/>
        </w:rPr>
      </w:pPr>
    </w:p>
    <w:p w:rsidR="00C33571" w:rsidRPr="00C33571" w:rsidRDefault="00C33571" w:rsidP="00C33571">
      <w:pPr>
        <w:spacing w:after="0" w:line="240" w:lineRule="auto"/>
        <w:ind w:left="1560"/>
        <w:contextualSpacing/>
        <w:jc w:val="both"/>
        <w:rPr>
          <w:rFonts w:ascii="Arial" w:eastAsia="Calibri" w:hAnsi="Arial" w:cs="Arial"/>
          <w:lang w:val="es-ES"/>
        </w:rPr>
      </w:pPr>
      <w:r w:rsidRPr="00C33571">
        <w:rPr>
          <w:rFonts w:ascii="Arial" w:eastAsia="Calibri" w:hAnsi="Arial" w:cs="Arial"/>
          <w:lang w:val="es-ES"/>
        </w:rPr>
        <w:t>Los gastos por concepto de la tasación son asumidos íntegramente por el administrado. El monto por dicho concepto es comunicado por la unidad orgánica de la entidad encargada del procedimiento de venta directa, el mismo que debe ser depositado en la cuenta bancaria del organismo encargado de efectuar la tasación o del perito tasador acreditado, dentro de los diez (10) días hábiles de recibida la comunicación, caso contrario se dará por concluido el procedimiento de venta directa.</w:t>
      </w:r>
    </w:p>
    <w:p w:rsidR="00C33571" w:rsidRDefault="00C33571" w:rsidP="00C33571">
      <w:pPr>
        <w:spacing w:after="0" w:line="240" w:lineRule="auto"/>
        <w:ind w:left="1560"/>
        <w:contextualSpacing/>
        <w:jc w:val="both"/>
        <w:rPr>
          <w:rFonts w:ascii="Arial" w:eastAsia="Calibri" w:hAnsi="Arial" w:cs="Arial"/>
          <w:lang w:val="es-ES"/>
        </w:rPr>
      </w:pPr>
    </w:p>
    <w:p w:rsidR="00C33571" w:rsidRPr="00C33571" w:rsidRDefault="00C33571" w:rsidP="00C33571">
      <w:pPr>
        <w:spacing w:after="0" w:line="240" w:lineRule="auto"/>
        <w:ind w:left="1560"/>
        <w:contextualSpacing/>
        <w:jc w:val="both"/>
        <w:rPr>
          <w:rFonts w:ascii="Arial" w:eastAsia="Calibri" w:hAnsi="Arial" w:cs="Arial"/>
          <w:lang w:val="es-ES"/>
        </w:rPr>
      </w:pPr>
      <w:r w:rsidRPr="00C33571">
        <w:rPr>
          <w:rFonts w:ascii="Arial" w:eastAsia="Calibri" w:hAnsi="Arial" w:cs="Arial"/>
          <w:lang w:val="es-ES"/>
        </w:rPr>
        <w:t>El administrado deberá poner en conocimiento el pago efectuado a la unidad orgánica de la entidad encargada del procedimiento de venta directa, para la continuación del trámite.</w:t>
      </w:r>
    </w:p>
    <w:p w:rsidR="00C33571" w:rsidRDefault="00C33571" w:rsidP="00C33571">
      <w:pPr>
        <w:spacing w:after="0" w:line="240" w:lineRule="auto"/>
        <w:ind w:left="1560"/>
        <w:contextualSpacing/>
        <w:jc w:val="both"/>
        <w:rPr>
          <w:rFonts w:ascii="Arial" w:eastAsia="Calibri" w:hAnsi="Arial" w:cs="Arial"/>
          <w:lang w:val="es-ES"/>
        </w:rPr>
      </w:pPr>
    </w:p>
    <w:p w:rsidR="008F41D4" w:rsidRPr="006312E8" w:rsidRDefault="00C33571" w:rsidP="008F41D4">
      <w:pPr>
        <w:spacing w:after="0" w:line="240" w:lineRule="auto"/>
        <w:ind w:left="1560"/>
        <w:jc w:val="both"/>
        <w:rPr>
          <w:rFonts w:ascii="Arial" w:eastAsia="Calibri" w:hAnsi="Arial" w:cs="Arial"/>
          <w:lang w:val="es-ES"/>
        </w:rPr>
      </w:pPr>
      <w:r w:rsidRPr="00C33571">
        <w:rPr>
          <w:rFonts w:ascii="Arial" w:eastAsia="Calibri" w:hAnsi="Arial" w:cs="Arial"/>
          <w:lang w:val="es-ES"/>
        </w:rPr>
        <w:t>El pago del servicio de tasación no obliga ni condiciona la aprobación de esta, por parte de la entidad que sustenta el procedimiento de venta directa.</w:t>
      </w:r>
      <w:r w:rsidR="008F41D4">
        <w:rPr>
          <w:rFonts w:ascii="Arial" w:eastAsia="Calibri" w:hAnsi="Arial" w:cs="Arial"/>
          <w:lang w:val="es-ES"/>
        </w:rPr>
        <w:t xml:space="preserve"> </w:t>
      </w:r>
      <w:r w:rsidR="008F41D4" w:rsidRPr="006312E8">
        <w:rPr>
          <w:rFonts w:ascii="Arial" w:eastAsia="Calibri" w:hAnsi="Arial" w:cs="Arial"/>
          <w:lang w:val="es-ES"/>
        </w:rPr>
        <w:t>(*)</w:t>
      </w:r>
    </w:p>
    <w:p w:rsidR="008F41D4" w:rsidRPr="006312E8" w:rsidRDefault="008F41D4" w:rsidP="008F41D4">
      <w:pPr>
        <w:spacing w:after="0" w:line="240" w:lineRule="auto"/>
        <w:ind w:left="1560"/>
        <w:jc w:val="both"/>
        <w:rPr>
          <w:rFonts w:ascii="Arial" w:eastAsia="Calibri" w:hAnsi="Arial" w:cs="Arial"/>
          <w:lang w:val="es-ES"/>
        </w:rPr>
      </w:pPr>
    </w:p>
    <w:p w:rsidR="008F41D4" w:rsidRPr="006312E8" w:rsidRDefault="008F41D4" w:rsidP="008F41D4">
      <w:pPr>
        <w:spacing w:after="0" w:line="240" w:lineRule="auto"/>
        <w:ind w:left="1560"/>
        <w:jc w:val="both"/>
        <w:rPr>
          <w:rFonts w:ascii="Arial" w:eastAsia="Calibri" w:hAnsi="Arial" w:cs="Arial"/>
          <w:b/>
          <w:color w:val="FF0000"/>
          <w:sz w:val="16"/>
          <w:szCs w:val="16"/>
          <w:lang w:val="es-ES"/>
        </w:rPr>
      </w:pPr>
      <w:r>
        <w:rPr>
          <w:rFonts w:ascii="Arial" w:eastAsia="Calibri" w:hAnsi="Arial" w:cs="Arial"/>
          <w:b/>
          <w:color w:val="FF0000"/>
          <w:sz w:val="16"/>
          <w:szCs w:val="16"/>
          <w:lang w:val="es-ES"/>
        </w:rPr>
        <w:t>(*) Numeral modificado por el artículo 1° de la Resolución N° 078-2015/SBN, publicada el 27-11-2015</w:t>
      </w:r>
      <w:r w:rsidRPr="006312E8">
        <w:rPr>
          <w:rFonts w:ascii="Arial" w:eastAsia="Calibri" w:hAnsi="Arial" w:cs="Arial"/>
          <w:b/>
          <w:color w:val="FF0000"/>
          <w:sz w:val="16"/>
          <w:szCs w:val="16"/>
          <w:lang w:val="es-ES"/>
        </w:rPr>
        <w:t>.</w:t>
      </w:r>
    </w:p>
    <w:p w:rsidR="00C33571" w:rsidRDefault="00C33571" w:rsidP="00C33571">
      <w:pPr>
        <w:spacing w:after="0" w:line="240" w:lineRule="auto"/>
        <w:ind w:left="1560"/>
        <w:contextualSpacing/>
        <w:jc w:val="both"/>
        <w:rPr>
          <w:rFonts w:ascii="Arial" w:eastAsia="Calibri" w:hAnsi="Arial" w:cs="Arial"/>
          <w:lang w:val="es-ES"/>
        </w:rPr>
      </w:pPr>
    </w:p>
    <w:p w:rsidR="006312E8" w:rsidRPr="006312E8" w:rsidRDefault="00C33571" w:rsidP="00B3318A">
      <w:pPr>
        <w:spacing w:after="0" w:line="240" w:lineRule="auto"/>
        <w:contextualSpacing/>
        <w:jc w:val="both"/>
        <w:rPr>
          <w:rFonts w:ascii="Arial" w:eastAsia="Calibri" w:hAnsi="Arial" w:cs="Arial"/>
          <w:b/>
          <w:lang w:val="es-ES"/>
        </w:rPr>
      </w:pPr>
      <w:r w:rsidRPr="00C33571">
        <w:rPr>
          <w:rFonts w:ascii="Arial" w:eastAsia="Calibri" w:hAnsi="Arial" w:cs="Arial"/>
          <w:lang w:val="es-ES"/>
        </w:rPr>
        <w:t xml:space="preserve">  </w:t>
      </w:r>
      <w:r w:rsidR="00B00199">
        <w:rPr>
          <w:rFonts w:ascii="Arial" w:eastAsia="Calibri" w:hAnsi="Arial" w:cs="Arial"/>
          <w:lang w:val="es-ES"/>
        </w:rPr>
        <w:tab/>
      </w:r>
      <w:r w:rsidR="00B00199">
        <w:rPr>
          <w:rFonts w:ascii="Arial" w:eastAsia="Calibri" w:hAnsi="Arial" w:cs="Arial"/>
          <w:lang w:val="es-ES"/>
        </w:rPr>
        <w:tab/>
      </w:r>
      <w:r w:rsidR="006312E8" w:rsidRPr="006312E8">
        <w:rPr>
          <w:rFonts w:ascii="Arial" w:eastAsia="Calibri" w:hAnsi="Arial" w:cs="Arial"/>
          <w:b/>
          <w:lang w:val="es-ES"/>
        </w:rPr>
        <w:t>De la determinación del valor del predio</w:t>
      </w:r>
    </w:p>
    <w:p w:rsidR="006312E8" w:rsidRPr="006312E8" w:rsidRDefault="006312E8" w:rsidP="006312E8">
      <w:pPr>
        <w:spacing w:after="0" w:line="240" w:lineRule="auto"/>
        <w:ind w:left="1080"/>
        <w:contextualSpacing/>
        <w:jc w:val="both"/>
        <w:rPr>
          <w:rFonts w:ascii="Arial" w:eastAsia="Calibri" w:hAnsi="Arial" w:cs="Arial"/>
          <w:lang w:val="es-ES"/>
        </w:rPr>
      </w:pPr>
    </w:p>
    <w:p w:rsidR="006312E8" w:rsidRPr="006312E8" w:rsidRDefault="006312E8" w:rsidP="006312E8">
      <w:pPr>
        <w:spacing w:after="0" w:line="240" w:lineRule="auto"/>
        <w:ind w:left="1560"/>
        <w:contextualSpacing/>
        <w:jc w:val="both"/>
        <w:rPr>
          <w:rFonts w:ascii="Arial" w:eastAsia="Calibri" w:hAnsi="Arial" w:cs="Arial"/>
          <w:lang w:val="es-ES"/>
        </w:rPr>
      </w:pPr>
      <w:r w:rsidRPr="006312E8">
        <w:rPr>
          <w:rFonts w:ascii="Arial" w:eastAsia="Calibri" w:hAnsi="Arial" w:cs="Arial"/>
          <w:lang w:val="es-ES"/>
        </w:rPr>
        <w:t xml:space="preserve">El organismo especializado o perito debe presentar a la entidad pública un informe de valuación comercial y el estudio de mercado, con la debida fundamentación de su utilización en la valorización efectuada. </w:t>
      </w:r>
    </w:p>
    <w:p w:rsidR="006312E8" w:rsidRPr="006312E8" w:rsidRDefault="006312E8" w:rsidP="006312E8">
      <w:pPr>
        <w:spacing w:after="0" w:line="240" w:lineRule="auto"/>
        <w:ind w:left="1560"/>
        <w:contextualSpacing/>
        <w:jc w:val="both"/>
        <w:rPr>
          <w:rFonts w:ascii="Arial" w:eastAsia="Calibri" w:hAnsi="Arial" w:cs="Arial"/>
          <w:lang w:val="es-ES"/>
        </w:rPr>
      </w:pPr>
    </w:p>
    <w:p w:rsidR="006312E8" w:rsidRPr="006312E8" w:rsidRDefault="006312E8" w:rsidP="006312E8">
      <w:pPr>
        <w:spacing w:after="0" w:line="240" w:lineRule="auto"/>
        <w:ind w:left="1560"/>
        <w:contextualSpacing/>
        <w:jc w:val="both"/>
        <w:rPr>
          <w:rFonts w:ascii="Arial" w:eastAsia="Calibri" w:hAnsi="Arial" w:cs="Arial"/>
          <w:lang w:val="es-ES"/>
        </w:rPr>
      </w:pPr>
      <w:r w:rsidRPr="006312E8">
        <w:rPr>
          <w:rFonts w:ascii="Arial" w:eastAsia="Calibri" w:hAnsi="Arial" w:cs="Arial"/>
          <w:lang w:val="es-ES"/>
        </w:rPr>
        <w:t xml:space="preserve">Recibido el informe de valuación del predio, la unidad orgánica que sustenta el trámite de venta directa debe evaluar y dar conformidad al procedimiento y estudio de mercado de la tasación. De ser necesario, se requerirá la aclaración o rectificación al organismo o perito que efectuó la tasación, la misma que debe ser atendida en el plazo de cinco (5) días hábiles de recibido el requerimiento. </w:t>
      </w:r>
    </w:p>
    <w:p w:rsidR="006312E8" w:rsidRPr="006312E8" w:rsidRDefault="006312E8" w:rsidP="006312E8">
      <w:pPr>
        <w:spacing w:after="0" w:line="240" w:lineRule="auto"/>
        <w:ind w:left="1560"/>
        <w:contextualSpacing/>
        <w:jc w:val="both"/>
        <w:rPr>
          <w:rFonts w:ascii="Arial" w:eastAsia="Calibri" w:hAnsi="Arial" w:cs="Arial"/>
          <w:lang w:val="es-ES"/>
        </w:rPr>
      </w:pPr>
    </w:p>
    <w:p w:rsidR="006312E8" w:rsidRPr="006312E8" w:rsidRDefault="006312E8" w:rsidP="006312E8">
      <w:pPr>
        <w:spacing w:after="0" w:line="240" w:lineRule="auto"/>
        <w:ind w:left="1560"/>
        <w:contextualSpacing/>
        <w:jc w:val="both"/>
        <w:rPr>
          <w:rFonts w:ascii="Arial" w:eastAsia="Calibri" w:hAnsi="Arial" w:cs="Arial"/>
          <w:lang w:val="es-ES"/>
        </w:rPr>
      </w:pPr>
      <w:r w:rsidRPr="006312E8">
        <w:rPr>
          <w:rFonts w:ascii="Arial" w:eastAsia="Calibri" w:hAnsi="Arial" w:cs="Arial"/>
          <w:lang w:val="es-ES"/>
        </w:rPr>
        <w:t>La conformidad de la tasación debe ser firmada por el profesional (ingeniero o arquitecto) que interviene en la sustentación del procedimiento y visada por el Jefe de la unidad orgánica, conforme a los formatos que se aprueba como Anexos 2, 3 y 4 de la presente Directiva.</w:t>
      </w:r>
    </w:p>
    <w:p w:rsidR="006312E8" w:rsidRPr="006312E8" w:rsidRDefault="006312E8" w:rsidP="006312E8">
      <w:pPr>
        <w:spacing w:after="0" w:line="240" w:lineRule="auto"/>
        <w:ind w:left="1560"/>
        <w:contextualSpacing/>
        <w:jc w:val="both"/>
        <w:rPr>
          <w:rFonts w:ascii="Arial" w:eastAsia="Calibri" w:hAnsi="Arial" w:cs="Arial"/>
          <w:lang w:val="es-ES"/>
        </w:rPr>
      </w:pPr>
    </w:p>
    <w:p w:rsidR="006312E8" w:rsidRPr="006312E8" w:rsidRDefault="006312E8" w:rsidP="006312E8">
      <w:pPr>
        <w:spacing w:after="0" w:line="240" w:lineRule="auto"/>
        <w:ind w:left="1560"/>
        <w:contextualSpacing/>
        <w:jc w:val="both"/>
        <w:rPr>
          <w:rFonts w:ascii="Arial" w:eastAsia="Calibri" w:hAnsi="Arial" w:cs="Arial"/>
          <w:lang w:val="es-ES"/>
        </w:rPr>
      </w:pPr>
      <w:r w:rsidRPr="006312E8">
        <w:rPr>
          <w:rFonts w:ascii="Arial" w:eastAsia="Calibri" w:hAnsi="Arial" w:cs="Arial"/>
          <w:lang w:val="es-ES"/>
        </w:rPr>
        <w:t xml:space="preserve">Una vez aprobada la valorización, se procede a notificar el valor de venta del predio al administrado, adjuntando una copia de la tasación, quien sólo puede solicitar alguna aclaración o corrección de errores materiales, si lo hubiere. No cabe impugnación del valor comercial determinado.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2"/>
          <w:numId w:val="158"/>
        </w:numPr>
        <w:spacing w:after="0" w:line="240" w:lineRule="auto"/>
        <w:ind w:left="1560"/>
        <w:contextualSpacing/>
        <w:jc w:val="both"/>
        <w:rPr>
          <w:rFonts w:ascii="Arial" w:eastAsia="Calibri" w:hAnsi="Arial" w:cs="Arial"/>
          <w:b/>
          <w:lang w:val="es-ES"/>
        </w:rPr>
      </w:pPr>
      <w:r w:rsidRPr="006312E8">
        <w:rPr>
          <w:rFonts w:ascii="Arial" w:eastAsia="Calibri" w:hAnsi="Arial" w:cs="Arial"/>
          <w:b/>
          <w:lang w:val="es-ES"/>
        </w:rPr>
        <w:t xml:space="preserve">Vigencia de la valorización y su actualización. </w:t>
      </w:r>
    </w:p>
    <w:p w:rsidR="006312E8" w:rsidRPr="006312E8" w:rsidRDefault="006312E8" w:rsidP="006312E8">
      <w:pPr>
        <w:spacing w:after="0" w:line="240" w:lineRule="auto"/>
        <w:ind w:left="1560"/>
        <w:contextualSpacing/>
        <w:jc w:val="both"/>
        <w:rPr>
          <w:rFonts w:ascii="Arial" w:eastAsia="Calibri" w:hAnsi="Arial" w:cs="Arial"/>
          <w:lang w:val="es-ES"/>
        </w:rPr>
      </w:pPr>
      <w:r w:rsidRPr="006312E8">
        <w:rPr>
          <w:rFonts w:ascii="Arial" w:eastAsia="Calibri" w:hAnsi="Arial" w:cs="Arial"/>
          <w:lang w:val="es-ES"/>
        </w:rPr>
        <w:t xml:space="preserve">Si transcurre el plazo máximo de ocho (8) meses de vigencia de la valorización antes de la emisión de la resolución de aprobación de la venta, se deberá actualizar la misma, la que tendrá igual plazo de vigencia. </w:t>
      </w:r>
    </w:p>
    <w:p w:rsidR="006312E8" w:rsidRPr="006312E8" w:rsidRDefault="006312E8" w:rsidP="006312E8">
      <w:pPr>
        <w:spacing w:after="0" w:line="240" w:lineRule="auto"/>
        <w:ind w:left="1560"/>
        <w:contextualSpacing/>
        <w:jc w:val="both"/>
        <w:rPr>
          <w:rFonts w:ascii="Arial" w:eastAsia="Calibri" w:hAnsi="Arial" w:cs="Arial"/>
          <w:lang w:val="es-ES"/>
        </w:rPr>
      </w:pPr>
    </w:p>
    <w:p w:rsidR="006312E8" w:rsidRPr="006312E8" w:rsidRDefault="006312E8" w:rsidP="006312E8">
      <w:pPr>
        <w:spacing w:after="0" w:line="240" w:lineRule="auto"/>
        <w:ind w:left="1560"/>
        <w:contextualSpacing/>
        <w:jc w:val="both"/>
        <w:rPr>
          <w:rFonts w:ascii="Arial" w:eastAsia="Calibri" w:hAnsi="Arial" w:cs="Arial"/>
          <w:lang w:val="es-ES"/>
        </w:rPr>
      </w:pPr>
      <w:r w:rsidRPr="006312E8">
        <w:rPr>
          <w:rFonts w:ascii="Arial" w:eastAsia="Calibri" w:hAnsi="Arial" w:cs="Arial"/>
          <w:lang w:val="es-ES"/>
        </w:rPr>
        <w:t>El costo del servicio de actualización de la tasación debe ser asumido por la entidad que sustenta el trámite, salvo que el retardo en el impulso del procedimiento sea por causa imputable al administrado.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158"/>
        </w:numPr>
        <w:spacing w:after="0" w:line="240" w:lineRule="auto"/>
        <w:ind w:left="851" w:hanging="425"/>
        <w:contextualSpacing/>
        <w:jc w:val="both"/>
        <w:rPr>
          <w:rFonts w:ascii="Arial" w:eastAsia="Calibri" w:hAnsi="Arial" w:cs="Arial"/>
          <w:b/>
          <w:lang w:val="es-ES"/>
        </w:rPr>
      </w:pPr>
      <w:r w:rsidRPr="006312E8">
        <w:rPr>
          <w:rFonts w:ascii="Arial" w:eastAsia="Calibri" w:hAnsi="Arial" w:cs="Arial"/>
          <w:b/>
          <w:lang w:val="es-ES"/>
        </w:rPr>
        <w:t>Publicidad del procedimiento de venta directa.</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92471C">
      <w:pPr>
        <w:numPr>
          <w:ilvl w:val="2"/>
          <w:numId w:val="158"/>
        </w:numPr>
        <w:spacing w:after="0" w:line="240" w:lineRule="auto"/>
        <w:ind w:left="1560"/>
        <w:contextualSpacing/>
        <w:jc w:val="both"/>
        <w:rPr>
          <w:rFonts w:ascii="Arial" w:eastAsia="Calibri" w:hAnsi="Arial" w:cs="Arial"/>
          <w:b/>
          <w:lang w:val="es-ES"/>
        </w:rPr>
      </w:pPr>
      <w:r w:rsidRPr="006312E8">
        <w:rPr>
          <w:rFonts w:ascii="Arial" w:eastAsia="Calibri" w:hAnsi="Arial" w:cs="Arial"/>
          <w:b/>
          <w:lang w:val="es-ES"/>
        </w:rPr>
        <w:t>De la notificación de la solicitud y precio de venta.</w:t>
      </w:r>
    </w:p>
    <w:p w:rsidR="006312E8" w:rsidRPr="006312E8" w:rsidRDefault="006312E8" w:rsidP="006312E8">
      <w:pPr>
        <w:spacing w:after="0" w:line="240" w:lineRule="auto"/>
        <w:ind w:left="1080"/>
        <w:contextualSpacing/>
        <w:jc w:val="both"/>
        <w:rPr>
          <w:rFonts w:ascii="Arial" w:eastAsia="Calibri" w:hAnsi="Arial" w:cs="Arial"/>
          <w:lang w:val="es-ES"/>
        </w:rPr>
      </w:pPr>
    </w:p>
    <w:p w:rsidR="006312E8" w:rsidRPr="006312E8" w:rsidRDefault="006312E8" w:rsidP="006312E8">
      <w:pPr>
        <w:spacing w:after="0" w:line="240" w:lineRule="auto"/>
        <w:ind w:left="1560"/>
        <w:contextualSpacing/>
        <w:jc w:val="both"/>
        <w:rPr>
          <w:rFonts w:ascii="Arial" w:eastAsia="Calibri" w:hAnsi="Arial" w:cs="Arial"/>
          <w:lang w:val="es-ES"/>
        </w:rPr>
      </w:pPr>
      <w:r w:rsidRPr="006312E8">
        <w:rPr>
          <w:rFonts w:ascii="Arial" w:eastAsia="Calibri" w:hAnsi="Arial" w:cs="Arial"/>
          <w:lang w:val="es-ES"/>
        </w:rPr>
        <w:t xml:space="preserve">Al notificarse el valor del predio al administrado, también se remitirá la esquela del aviso del procedimiento de venta directa, que contiene un extracto de la solicitud incluyendo el valor del predio, la cual debe ser publicada, por única vez, en el Diario Oficial “El Peruano”, en otro de mayor circulación de la Región en que se ubica el predio y en el portal institucional de la SBN y de la entidad, si la tuviera. </w:t>
      </w:r>
    </w:p>
    <w:p w:rsidR="006312E8" w:rsidRPr="006312E8" w:rsidRDefault="006312E8" w:rsidP="006312E8">
      <w:pPr>
        <w:spacing w:after="0" w:line="240" w:lineRule="auto"/>
        <w:ind w:left="1560"/>
        <w:contextualSpacing/>
        <w:jc w:val="both"/>
        <w:rPr>
          <w:rFonts w:ascii="Arial" w:eastAsia="Calibri" w:hAnsi="Arial" w:cs="Arial"/>
          <w:lang w:val="es-ES"/>
        </w:rPr>
      </w:pPr>
    </w:p>
    <w:p w:rsidR="006312E8" w:rsidRPr="006312E8" w:rsidRDefault="006312E8" w:rsidP="006312E8">
      <w:pPr>
        <w:spacing w:after="0" w:line="240" w:lineRule="auto"/>
        <w:ind w:left="1560"/>
        <w:contextualSpacing/>
        <w:jc w:val="both"/>
        <w:rPr>
          <w:rFonts w:ascii="Arial" w:eastAsia="Calibri" w:hAnsi="Arial" w:cs="Arial"/>
          <w:lang w:val="es-ES"/>
        </w:rPr>
      </w:pPr>
      <w:r w:rsidRPr="006312E8">
        <w:rPr>
          <w:rFonts w:ascii="Arial" w:eastAsia="Calibri" w:hAnsi="Arial" w:cs="Arial"/>
          <w:lang w:val="es-ES"/>
        </w:rPr>
        <w:t xml:space="preserve">El aviso de publicación debe ser ingresado ante las respectivas empresas editoras en el plazo de cinco (5) días hábiles, contados a partir del día siguiente de haber recibido la comunicación, en caso contrario se dará por concluido el procedimiento. La prórroga del plazo antes señalado procede por única vez y por igual término, a solicitud del administrado y siempre que existan razones justificadas. </w:t>
      </w:r>
    </w:p>
    <w:p w:rsidR="006312E8" w:rsidRPr="006312E8" w:rsidRDefault="006312E8" w:rsidP="006312E8">
      <w:pPr>
        <w:spacing w:after="0" w:line="240" w:lineRule="auto"/>
        <w:ind w:left="1560"/>
        <w:contextualSpacing/>
        <w:jc w:val="both"/>
        <w:rPr>
          <w:rFonts w:ascii="Arial" w:eastAsia="Calibri" w:hAnsi="Arial" w:cs="Arial"/>
          <w:lang w:val="es-ES"/>
        </w:rPr>
      </w:pPr>
    </w:p>
    <w:p w:rsidR="006312E8" w:rsidRPr="006312E8" w:rsidRDefault="006312E8" w:rsidP="006312E8">
      <w:pPr>
        <w:spacing w:after="0" w:line="240" w:lineRule="auto"/>
        <w:ind w:left="1560"/>
        <w:contextualSpacing/>
        <w:jc w:val="both"/>
        <w:rPr>
          <w:rFonts w:ascii="Arial" w:eastAsia="Calibri" w:hAnsi="Arial" w:cs="Arial"/>
          <w:lang w:val="es-ES"/>
        </w:rPr>
      </w:pPr>
      <w:r w:rsidRPr="006312E8">
        <w:rPr>
          <w:rFonts w:ascii="Arial" w:eastAsia="Calibri" w:hAnsi="Arial" w:cs="Arial"/>
          <w:lang w:val="es-ES"/>
        </w:rPr>
        <w:t xml:space="preserve">El aviso contiene el área, ubicación del predio, partida registral, valor de tasación, nombre del administrado, y de ser el caso, la zonificación, cargas y gravámenes.   </w:t>
      </w:r>
    </w:p>
    <w:p w:rsidR="006312E8" w:rsidRPr="006312E8" w:rsidRDefault="006312E8" w:rsidP="006312E8">
      <w:pPr>
        <w:spacing w:after="0" w:line="240" w:lineRule="auto"/>
        <w:ind w:left="1560"/>
        <w:contextualSpacing/>
        <w:jc w:val="both"/>
        <w:rPr>
          <w:rFonts w:ascii="Arial" w:eastAsia="Calibri" w:hAnsi="Arial" w:cs="Arial"/>
          <w:lang w:val="es-ES"/>
        </w:rPr>
      </w:pPr>
    </w:p>
    <w:p w:rsidR="006312E8" w:rsidRPr="006312E8" w:rsidRDefault="006312E8" w:rsidP="006312E8">
      <w:pPr>
        <w:spacing w:after="0" w:line="240" w:lineRule="auto"/>
        <w:ind w:left="1560"/>
        <w:contextualSpacing/>
        <w:jc w:val="both"/>
        <w:rPr>
          <w:rFonts w:ascii="Arial" w:eastAsia="Calibri" w:hAnsi="Arial" w:cs="Arial"/>
          <w:lang w:val="es-ES"/>
        </w:rPr>
      </w:pPr>
      <w:r w:rsidRPr="006312E8">
        <w:rPr>
          <w:rFonts w:ascii="Arial" w:eastAsia="Calibri" w:hAnsi="Arial" w:cs="Arial"/>
          <w:lang w:val="es-ES"/>
        </w:rPr>
        <w:t xml:space="preserve">El costo por el servicio de publicación es asumido íntegramente por el administrado. </w:t>
      </w:r>
    </w:p>
    <w:p w:rsidR="006312E8" w:rsidRPr="006312E8" w:rsidRDefault="006312E8" w:rsidP="006312E8">
      <w:pPr>
        <w:spacing w:after="0" w:line="240" w:lineRule="auto"/>
        <w:ind w:left="1560"/>
        <w:contextualSpacing/>
        <w:jc w:val="both"/>
        <w:rPr>
          <w:rFonts w:ascii="Arial" w:eastAsia="Calibri" w:hAnsi="Arial" w:cs="Arial"/>
          <w:lang w:val="es-ES"/>
        </w:rPr>
      </w:pPr>
    </w:p>
    <w:p w:rsidR="006312E8" w:rsidRPr="006312E8" w:rsidRDefault="006312E8" w:rsidP="006312E8">
      <w:pPr>
        <w:spacing w:after="0" w:line="240" w:lineRule="auto"/>
        <w:ind w:left="1560"/>
        <w:contextualSpacing/>
        <w:jc w:val="both"/>
        <w:rPr>
          <w:rFonts w:ascii="Arial" w:eastAsia="Calibri" w:hAnsi="Arial" w:cs="Arial"/>
          <w:lang w:val="es-ES"/>
        </w:rPr>
      </w:pPr>
      <w:r w:rsidRPr="006312E8">
        <w:rPr>
          <w:rFonts w:ascii="Arial" w:eastAsia="Calibri" w:hAnsi="Arial" w:cs="Arial"/>
          <w:lang w:val="es-ES"/>
        </w:rPr>
        <w:t xml:space="preserve">El administrado debe presentar ante la entidad responsable del procedimiento de venta, el recorte de las publicaciones efectuadas en los diarios.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2"/>
          <w:numId w:val="158"/>
        </w:numPr>
        <w:spacing w:after="0" w:line="240" w:lineRule="auto"/>
        <w:ind w:left="1560"/>
        <w:contextualSpacing/>
        <w:jc w:val="both"/>
        <w:rPr>
          <w:rFonts w:ascii="Arial" w:eastAsia="Calibri" w:hAnsi="Arial" w:cs="Arial"/>
          <w:b/>
          <w:lang w:val="es-ES"/>
        </w:rPr>
      </w:pPr>
      <w:r w:rsidRPr="006312E8">
        <w:rPr>
          <w:rFonts w:ascii="Arial" w:eastAsia="Calibri" w:hAnsi="Arial" w:cs="Arial"/>
          <w:b/>
          <w:lang w:val="es-ES"/>
        </w:rPr>
        <w:t>De la oposición al procedimiento de venta directa.</w:t>
      </w:r>
    </w:p>
    <w:p w:rsidR="006312E8" w:rsidRPr="006312E8" w:rsidRDefault="006312E8" w:rsidP="006312E8">
      <w:pPr>
        <w:spacing w:after="0" w:line="240" w:lineRule="auto"/>
        <w:ind w:left="1080"/>
        <w:contextualSpacing/>
        <w:jc w:val="both"/>
        <w:rPr>
          <w:rFonts w:ascii="Arial" w:eastAsia="Calibri" w:hAnsi="Arial" w:cs="Arial"/>
          <w:b/>
          <w:lang w:val="es-ES"/>
        </w:rPr>
      </w:pPr>
    </w:p>
    <w:p w:rsidR="006312E8" w:rsidRPr="006312E8" w:rsidRDefault="006312E8" w:rsidP="006312E8">
      <w:pPr>
        <w:spacing w:after="0" w:line="240" w:lineRule="auto"/>
        <w:ind w:left="1560"/>
        <w:contextualSpacing/>
        <w:jc w:val="both"/>
        <w:rPr>
          <w:rFonts w:ascii="Arial" w:eastAsia="Calibri" w:hAnsi="Arial" w:cs="Arial"/>
          <w:lang w:val="es-ES"/>
        </w:rPr>
      </w:pPr>
      <w:r w:rsidRPr="006312E8">
        <w:rPr>
          <w:rFonts w:ascii="Arial" w:eastAsia="Calibri" w:hAnsi="Arial" w:cs="Arial"/>
          <w:lang w:val="es-ES"/>
        </w:rPr>
        <w:t xml:space="preserve">Los terceros que se consideren afectados en algún derecho real que tuvieran sobre el predio materia de venta, pueden formular su oposición ante la unidad orgánica encargada del procedimiento de venta directa, dentro de los diez (10) días hábiles contados a partir del día siguiente de la última publicación efectuada en el periódico, adjuntando los documentos que sustenten tal derecho. </w:t>
      </w:r>
    </w:p>
    <w:p w:rsidR="006312E8" w:rsidRPr="006312E8" w:rsidRDefault="006312E8" w:rsidP="006312E8">
      <w:pPr>
        <w:spacing w:after="0" w:line="240" w:lineRule="auto"/>
        <w:ind w:left="1560"/>
        <w:contextualSpacing/>
        <w:jc w:val="both"/>
        <w:rPr>
          <w:rFonts w:ascii="Arial" w:eastAsia="Calibri" w:hAnsi="Arial" w:cs="Arial"/>
          <w:lang w:val="es-ES"/>
        </w:rPr>
      </w:pPr>
    </w:p>
    <w:p w:rsidR="006312E8" w:rsidRPr="006312E8" w:rsidRDefault="006312E8" w:rsidP="006312E8">
      <w:pPr>
        <w:spacing w:after="0" w:line="240" w:lineRule="auto"/>
        <w:ind w:left="1560"/>
        <w:contextualSpacing/>
        <w:jc w:val="both"/>
        <w:rPr>
          <w:rFonts w:ascii="Arial" w:eastAsia="Calibri" w:hAnsi="Arial" w:cs="Arial"/>
          <w:lang w:val="es-ES"/>
        </w:rPr>
      </w:pPr>
      <w:r w:rsidRPr="006312E8">
        <w:rPr>
          <w:rFonts w:ascii="Arial" w:eastAsia="Calibri" w:hAnsi="Arial" w:cs="Arial"/>
          <w:lang w:val="es-ES"/>
        </w:rPr>
        <w:t xml:space="preserve">Con o sin descargo presentado por el administrado, la oposición será evaluada y resuelta en la etapa de emisión de la resolución de la solicitud de venta. En caso de declarase fundada la oposición, se dará por concluido el procedimiento de venta directa. </w:t>
      </w: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92471C">
      <w:pPr>
        <w:numPr>
          <w:ilvl w:val="1"/>
          <w:numId w:val="158"/>
        </w:numPr>
        <w:spacing w:after="0" w:line="240" w:lineRule="auto"/>
        <w:ind w:left="851" w:hanging="567"/>
        <w:contextualSpacing/>
        <w:jc w:val="both"/>
        <w:rPr>
          <w:rFonts w:ascii="Arial" w:eastAsia="Calibri" w:hAnsi="Arial" w:cs="Arial"/>
          <w:b/>
          <w:lang w:val="es-ES"/>
        </w:rPr>
      </w:pPr>
      <w:r w:rsidRPr="006312E8">
        <w:rPr>
          <w:rFonts w:ascii="Arial" w:eastAsia="Calibri" w:hAnsi="Arial" w:cs="Arial"/>
          <w:b/>
          <w:lang w:val="es-ES"/>
        </w:rPr>
        <w:t>De la mejor oferta del precio de venta.</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92471C">
      <w:pPr>
        <w:numPr>
          <w:ilvl w:val="2"/>
          <w:numId w:val="158"/>
        </w:numPr>
        <w:spacing w:after="0" w:line="240" w:lineRule="auto"/>
        <w:ind w:left="1560" w:hanging="709"/>
        <w:contextualSpacing/>
        <w:jc w:val="both"/>
        <w:rPr>
          <w:rFonts w:ascii="Arial" w:eastAsia="Calibri" w:hAnsi="Arial" w:cs="Arial"/>
          <w:b/>
          <w:lang w:val="es-ES"/>
        </w:rPr>
      </w:pPr>
      <w:r w:rsidRPr="006312E8">
        <w:rPr>
          <w:rFonts w:ascii="Arial" w:eastAsia="Calibri" w:hAnsi="Arial" w:cs="Arial"/>
          <w:b/>
          <w:lang w:val="es-ES"/>
        </w:rPr>
        <w:t>De los supuestos en que opera la mejor oferta de precio de venta.</w:t>
      </w:r>
    </w:p>
    <w:p w:rsidR="006312E8" w:rsidRPr="006312E8" w:rsidRDefault="006312E8" w:rsidP="006312E8">
      <w:pPr>
        <w:spacing w:after="0" w:line="240" w:lineRule="auto"/>
        <w:ind w:left="1560"/>
        <w:contextualSpacing/>
        <w:jc w:val="both"/>
        <w:rPr>
          <w:rFonts w:ascii="Arial" w:eastAsia="Calibri" w:hAnsi="Arial" w:cs="Arial"/>
          <w:lang w:val="es-ES"/>
        </w:rPr>
      </w:pPr>
      <w:r w:rsidRPr="006312E8">
        <w:rPr>
          <w:rFonts w:ascii="Arial" w:eastAsia="Calibri" w:hAnsi="Arial" w:cs="Arial"/>
          <w:lang w:val="es-ES"/>
        </w:rPr>
        <w:t xml:space="preserve">En caso que el procedimiento de venta directa se sustente en la causal prevista en el literal d) del artículo 77º del Reglamento, cualquier tercero interesado en comprar el predio puede presentar su oferta mejorando el valor de venta, adjuntando una carta fianza de fiel cumplimiento por el 10% (diez por ciento) de su propuesta, dentro del plazo de diez (10) días hábiles contados desde la última publicación efectuada en el periódico a que se refiere el numeral precedente.   </w:t>
      </w:r>
    </w:p>
    <w:p w:rsidR="006312E8" w:rsidRPr="006312E8" w:rsidRDefault="006312E8" w:rsidP="006312E8">
      <w:pPr>
        <w:spacing w:after="0" w:line="240" w:lineRule="auto"/>
        <w:ind w:left="1560"/>
        <w:contextualSpacing/>
        <w:jc w:val="both"/>
        <w:rPr>
          <w:rFonts w:ascii="Arial" w:eastAsia="Calibri" w:hAnsi="Arial" w:cs="Arial"/>
          <w:lang w:val="es-ES"/>
        </w:rPr>
      </w:pPr>
    </w:p>
    <w:p w:rsidR="006312E8" w:rsidRPr="006312E8" w:rsidRDefault="006312E8" w:rsidP="006312E8">
      <w:pPr>
        <w:spacing w:after="0" w:line="240" w:lineRule="auto"/>
        <w:ind w:left="1560"/>
        <w:contextualSpacing/>
        <w:jc w:val="both"/>
        <w:rPr>
          <w:rFonts w:ascii="Arial" w:eastAsia="Calibri" w:hAnsi="Arial" w:cs="Arial"/>
          <w:lang w:val="es-ES"/>
        </w:rPr>
      </w:pPr>
      <w:r w:rsidRPr="006312E8">
        <w:rPr>
          <w:rFonts w:ascii="Arial" w:eastAsia="Calibri" w:hAnsi="Arial" w:cs="Arial"/>
          <w:lang w:val="es-ES"/>
        </w:rPr>
        <w:t>En caso, el procedimiento de venta directa se sustente en la causal prevista en el literal e) del artículo 77º del Reglamento, sólo el o los propietarios colindantes del predio solicitado en venta, pueden presentar una mejor oferta, en el plazo y las condiciones indicadas en el párrafo precedente.</w:t>
      </w:r>
    </w:p>
    <w:p w:rsidR="006312E8" w:rsidRPr="006312E8" w:rsidRDefault="006312E8" w:rsidP="006312E8">
      <w:pPr>
        <w:spacing w:after="0" w:line="240" w:lineRule="auto"/>
        <w:ind w:left="1560"/>
        <w:contextualSpacing/>
        <w:jc w:val="both"/>
        <w:rPr>
          <w:rFonts w:ascii="Arial" w:eastAsia="Calibri" w:hAnsi="Arial" w:cs="Arial"/>
          <w:lang w:val="es-ES"/>
        </w:rPr>
      </w:pPr>
    </w:p>
    <w:p w:rsidR="006312E8" w:rsidRPr="006312E8" w:rsidRDefault="006312E8" w:rsidP="006312E8">
      <w:pPr>
        <w:spacing w:after="0" w:line="240" w:lineRule="auto"/>
        <w:ind w:left="1560"/>
        <w:contextualSpacing/>
        <w:jc w:val="both"/>
        <w:rPr>
          <w:rFonts w:ascii="Arial" w:eastAsia="Calibri" w:hAnsi="Arial" w:cs="Arial"/>
          <w:lang w:val="es-ES"/>
        </w:rPr>
      </w:pPr>
      <w:r w:rsidRPr="006312E8">
        <w:rPr>
          <w:rFonts w:ascii="Arial" w:eastAsia="Calibri" w:hAnsi="Arial" w:cs="Arial"/>
          <w:lang w:val="es-ES"/>
        </w:rPr>
        <w:t>No procede admitir propuesta de mejor oferta, cuando la solicitud de venta directa se sustenta de manera conjunta en las causales previstas en los literales d) y e) del artículo 77º del Reglamento.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r>
    </w:p>
    <w:p w:rsidR="006312E8" w:rsidRPr="006312E8" w:rsidRDefault="006312E8" w:rsidP="0092471C">
      <w:pPr>
        <w:numPr>
          <w:ilvl w:val="2"/>
          <w:numId w:val="158"/>
        </w:numPr>
        <w:spacing w:after="0" w:line="240" w:lineRule="auto"/>
        <w:ind w:left="1560"/>
        <w:contextualSpacing/>
        <w:jc w:val="both"/>
        <w:rPr>
          <w:rFonts w:ascii="Arial" w:eastAsia="Calibri" w:hAnsi="Arial" w:cs="Arial"/>
          <w:b/>
          <w:lang w:val="es-ES"/>
        </w:rPr>
      </w:pPr>
      <w:r w:rsidRPr="006312E8">
        <w:rPr>
          <w:rFonts w:ascii="Arial" w:eastAsia="Calibri" w:hAnsi="Arial" w:cs="Arial"/>
          <w:b/>
          <w:lang w:val="es-ES"/>
        </w:rPr>
        <w:t>Traslado de la mejor oferta.</w:t>
      </w:r>
    </w:p>
    <w:p w:rsidR="006312E8" w:rsidRPr="006312E8" w:rsidRDefault="006312E8" w:rsidP="006312E8">
      <w:pPr>
        <w:spacing w:after="0" w:line="240" w:lineRule="auto"/>
        <w:ind w:left="1080"/>
        <w:contextualSpacing/>
        <w:jc w:val="both"/>
        <w:rPr>
          <w:rFonts w:ascii="Arial" w:eastAsia="Calibri" w:hAnsi="Arial" w:cs="Arial"/>
          <w:lang w:val="es-ES"/>
        </w:rPr>
      </w:pPr>
    </w:p>
    <w:p w:rsidR="006312E8" w:rsidRPr="006312E8" w:rsidRDefault="006312E8" w:rsidP="006312E8">
      <w:pPr>
        <w:spacing w:after="0" w:line="240" w:lineRule="auto"/>
        <w:ind w:left="1560"/>
        <w:contextualSpacing/>
        <w:jc w:val="both"/>
        <w:rPr>
          <w:rFonts w:ascii="Arial" w:eastAsia="Calibri" w:hAnsi="Arial" w:cs="Arial"/>
          <w:lang w:val="es-ES"/>
        </w:rPr>
      </w:pPr>
      <w:r w:rsidRPr="006312E8">
        <w:rPr>
          <w:rFonts w:ascii="Arial" w:eastAsia="Calibri" w:hAnsi="Arial" w:cs="Arial"/>
          <w:lang w:val="es-ES"/>
        </w:rPr>
        <w:t xml:space="preserve">Recibida la oferta válida del tercero, esta se comunicará al administrado a efectos que en un plazo de diez (10) días hábiles, pueda igualar o mejorar la oferta. En el supuesto que el administrado iguale o mejore la oferta, el procedimiento de venta continuará con este. </w:t>
      </w:r>
    </w:p>
    <w:p w:rsidR="006312E8" w:rsidRPr="006312E8" w:rsidRDefault="006312E8" w:rsidP="006312E8">
      <w:pPr>
        <w:spacing w:after="0" w:line="240" w:lineRule="auto"/>
        <w:ind w:left="1560"/>
        <w:contextualSpacing/>
        <w:jc w:val="both"/>
        <w:rPr>
          <w:rFonts w:ascii="Arial" w:eastAsia="Calibri" w:hAnsi="Arial" w:cs="Arial"/>
          <w:lang w:val="es-ES"/>
        </w:rPr>
      </w:pPr>
    </w:p>
    <w:p w:rsidR="006312E8" w:rsidRPr="006312E8" w:rsidRDefault="006312E8" w:rsidP="006312E8">
      <w:pPr>
        <w:spacing w:after="0" w:line="240" w:lineRule="auto"/>
        <w:ind w:left="1560"/>
        <w:contextualSpacing/>
        <w:jc w:val="both"/>
        <w:rPr>
          <w:rFonts w:ascii="Arial" w:eastAsia="Calibri" w:hAnsi="Arial" w:cs="Arial"/>
          <w:lang w:val="es-ES"/>
        </w:rPr>
      </w:pPr>
      <w:r w:rsidRPr="006312E8">
        <w:rPr>
          <w:rFonts w:ascii="Arial" w:eastAsia="Calibri" w:hAnsi="Arial" w:cs="Arial"/>
          <w:lang w:val="es-ES"/>
        </w:rPr>
        <w:t xml:space="preserve">En caso que el administrado no iguale o mejore la propuesta del tercero o formule su desistimiento del procedimiento de venta, habrá perdido la opción de compra, situación que será comunicada por escrito a este, debiendo continuar el procedimiento con el tercero que mejoró la oferta.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158"/>
        </w:numPr>
        <w:spacing w:after="0" w:line="240" w:lineRule="auto"/>
        <w:ind w:left="851" w:hanging="567"/>
        <w:contextualSpacing/>
        <w:jc w:val="both"/>
        <w:rPr>
          <w:rFonts w:ascii="Arial" w:eastAsia="Calibri" w:hAnsi="Arial" w:cs="Arial"/>
          <w:b/>
          <w:lang w:val="es-ES"/>
        </w:rPr>
      </w:pPr>
      <w:r w:rsidRPr="006312E8">
        <w:rPr>
          <w:rFonts w:ascii="Arial" w:eastAsia="Calibri" w:hAnsi="Arial" w:cs="Arial"/>
          <w:b/>
          <w:lang w:val="es-ES"/>
        </w:rPr>
        <w:t>De la emisión del Informe Técnico Legal.</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 xml:space="preserve">El informe técnico legal contendrá la fundamentación de la causal de venta y el cumplimiento de los requisitos exigidos para el procedimiento de venta directa, el cual será elaborado y firmado por el o los responsables a cargo de la sustentación del expediente de venta directa, y puesto a disposición del Jefe de la unidad orgánica competente de la entidad, adjuntando el proyecto de resolución que aprobará la venta directa. </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En los procedimientos a cargo de la SBN, el informe técnico legal es elaborado y firmado por el personal de la SDDI responsable de la evaluación del expediente de venta directa, y elevado al Subdirector de dicha unidad orgánica, para la emisión de la resolución administrativa que apruebe la venta directa.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158"/>
        </w:numPr>
        <w:spacing w:after="0" w:line="240" w:lineRule="auto"/>
        <w:ind w:left="851" w:hanging="567"/>
        <w:contextualSpacing/>
        <w:jc w:val="both"/>
        <w:rPr>
          <w:rFonts w:ascii="Arial" w:eastAsia="Calibri" w:hAnsi="Arial" w:cs="Arial"/>
          <w:b/>
          <w:lang w:val="es-ES"/>
        </w:rPr>
      </w:pPr>
      <w:r w:rsidRPr="006312E8">
        <w:rPr>
          <w:rFonts w:ascii="Arial" w:eastAsia="Calibri" w:hAnsi="Arial" w:cs="Arial"/>
          <w:b/>
          <w:lang w:val="es-ES"/>
        </w:rPr>
        <w:t>Opinión técnica de la SBN en los procedimientos tramitados por las demás entidades del Sistema</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 xml:space="preserve">Una vez emitido el Informe Técnico Legal, las entidades del Sistema solicitan opinión técnica a la SBN respecto al procedimiento de venta directa, conforme al artículo 33º y 75º del Reglamento. Para tal efecto, deben remitir copia autenticada de los siguientes documentos: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65"/>
        </w:numPr>
        <w:spacing w:after="0" w:line="240" w:lineRule="auto"/>
        <w:ind w:left="1276"/>
        <w:contextualSpacing/>
        <w:jc w:val="both"/>
        <w:rPr>
          <w:rFonts w:ascii="Arial" w:eastAsia="Calibri" w:hAnsi="Arial" w:cs="Arial"/>
          <w:lang w:val="es-ES"/>
        </w:rPr>
      </w:pPr>
      <w:r w:rsidRPr="006312E8">
        <w:rPr>
          <w:rFonts w:ascii="Arial" w:eastAsia="Calibri" w:hAnsi="Arial" w:cs="Arial"/>
          <w:lang w:val="es-ES"/>
        </w:rPr>
        <w:t>Solicitud de venta directa y requisitos que sustentan la causal de venta.</w:t>
      </w:r>
    </w:p>
    <w:p w:rsidR="006312E8" w:rsidRPr="006312E8" w:rsidRDefault="006312E8" w:rsidP="006312E8">
      <w:pPr>
        <w:spacing w:after="0" w:line="240" w:lineRule="auto"/>
        <w:ind w:left="1276"/>
        <w:contextualSpacing/>
        <w:jc w:val="both"/>
        <w:rPr>
          <w:rFonts w:ascii="Arial" w:eastAsia="Calibri" w:hAnsi="Arial" w:cs="Arial"/>
          <w:lang w:val="es-ES"/>
        </w:rPr>
      </w:pPr>
    </w:p>
    <w:p w:rsidR="006312E8" w:rsidRPr="006312E8" w:rsidRDefault="006312E8" w:rsidP="0092471C">
      <w:pPr>
        <w:numPr>
          <w:ilvl w:val="0"/>
          <w:numId w:val="165"/>
        </w:numPr>
        <w:spacing w:after="0" w:line="240" w:lineRule="auto"/>
        <w:ind w:left="1276"/>
        <w:contextualSpacing/>
        <w:jc w:val="both"/>
        <w:rPr>
          <w:rFonts w:ascii="Arial" w:eastAsia="Calibri" w:hAnsi="Arial" w:cs="Arial"/>
          <w:lang w:val="es-ES"/>
        </w:rPr>
      </w:pPr>
      <w:r w:rsidRPr="006312E8">
        <w:rPr>
          <w:rFonts w:ascii="Arial" w:eastAsia="Calibri" w:hAnsi="Arial" w:cs="Arial"/>
          <w:lang w:val="es-ES"/>
        </w:rPr>
        <w:t>Informe de calificación favorable de la solicitud de venta directa.</w:t>
      </w:r>
    </w:p>
    <w:p w:rsidR="006312E8" w:rsidRPr="006312E8" w:rsidRDefault="006312E8" w:rsidP="006312E8">
      <w:pPr>
        <w:spacing w:after="0" w:line="240" w:lineRule="auto"/>
        <w:ind w:left="1276"/>
        <w:contextualSpacing/>
        <w:jc w:val="both"/>
        <w:rPr>
          <w:rFonts w:ascii="Arial" w:eastAsia="Calibri" w:hAnsi="Arial" w:cs="Arial"/>
          <w:lang w:val="es-ES"/>
        </w:rPr>
      </w:pPr>
    </w:p>
    <w:p w:rsidR="006312E8" w:rsidRPr="006312E8" w:rsidRDefault="006312E8" w:rsidP="0092471C">
      <w:pPr>
        <w:numPr>
          <w:ilvl w:val="0"/>
          <w:numId w:val="165"/>
        </w:numPr>
        <w:spacing w:after="0" w:line="240" w:lineRule="auto"/>
        <w:ind w:left="1276"/>
        <w:contextualSpacing/>
        <w:jc w:val="both"/>
        <w:rPr>
          <w:rFonts w:ascii="Arial" w:eastAsia="Calibri" w:hAnsi="Arial" w:cs="Arial"/>
          <w:lang w:val="es-ES"/>
        </w:rPr>
      </w:pPr>
      <w:r w:rsidRPr="006312E8">
        <w:rPr>
          <w:rFonts w:ascii="Arial" w:eastAsia="Calibri" w:hAnsi="Arial" w:cs="Arial"/>
          <w:lang w:val="es-ES"/>
        </w:rPr>
        <w:t>Plano perimétrico - ubicación del predio en coordenadas UTM a escala apropiada, con la indicación del área, linderos, ángulos y medidas perimétricas correspondientes.</w:t>
      </w:r>
    </w:p>
    <w:p w:rsidR="006312E8" w:rsidRPr="006312E8" w:rsidRDefault="006312E8" w:rsidP="006312E8">
      <w:pPr>
        <w:spacing w:after="0" w:line="240" w:lineRule="auto"/>
        <w:ind w:left="1276"/>
        <w:contextualSpacing/>
        <w:jc w:val="both"/>
        <w:rPr>
          <w:rFonts w:ascii="Arial" w:eastAsia="Calibri" w:hAnsi="Arial" w:cs="Arial"/>
          <w:lang w:val="es-ES"/>
        </w:rPr>
      </w:pPr>
    </w:p>
    <w:p w:rsidR="006312E8" w:rsidRPr="006312E8" w:rsidRDefault="006312E8" w:rsidP="0092471C">
      <w:pPr>
        <w:numPr>
          <w:ilvl w:val="0"/>
          <w:numId w:val="165"/>
        </w:numPr>
        <w:spacing w:after="0" w:line="240" w:lineRule="auto"/>
        <w:ind w:left="1276"/>
        <w:contextualSpacing/>
        <w:jc w:val="both"/>
        <w:rPr>
          <w:rFonts w:ascii="Arial" w:eastAsia="Calibri" w:hAnsi="Arial" w:cs="Arial"/>
          <w:lang w:val="es-ES"/>
        </w:rPr>
      </w:pPr>
      <w:r w:rsidRPr="006312E8">
        <w:rPr>
          <w:rFonts w:ascii="Arial" w:eastAsia="Calibri" w:hAnsi="Arial" w:cs="Arial"/>
          <w:lang w:val="es-ES"/>
        </w:rPr>
        <w:t>Memoria descriptiva del predio, describiendo la ubicación, el área, los linderos, las medidas perimétricas, la zonificación y las observaciones que se consideren pertinentes.</w:t>
      </w:r>
    </w:p>
    <w:p w:rsidR="006312E8" w:rsidRPr="006312E8" w:rsidRDefault="006312E8" w:rsidP="006312E8">
      <w:pPr>
        <w:spacing w:after="0" w:line="240" w:lineRule="auto"/>
        <w:ind w:left="1276"/>
        <w:contextualSpacing/>
        <w:jc w:val="both"/>
        <w:rPr>
          <w:rFonts w:ascii="Arial" w:eastAsia="Calibri" w:hAnsi="Arial" w:cs="Arial"/>
          <w:lang w:val="es-ES"/>
        </w:rPr>
      </w:pPr>
    </w:p>
    <w:p w:rsidR="006312E8" w:rsidRPr="006312E8" w:rsidRDefault="006312E8" w:rsidP="0092471C">
      <w:pPr>
        <w:numPr>
          <w:ilvl w:val="0"/>
          <w:numId w:val="165"/>
        </w:numPr>
        <w:spacing w:after="0" w:line="240" w:lineRule="auto"/>
        <w:ind w:left="1276"/>
        <w:contextualSpacing/>
        <w:jc w:val="both"/>
        <w:rPr>
          <w:rFonts w:ascii="Arial" w:eastAsia="Calibri" w:hAnsi="Arial" w:cs="Arial"/>
          <w:lang w:val="es-ES"/>
        </w:rPr>
      </w:pPr>
      <w:r w:rsidRPr="006312E8">
        <w:rPr>
          <w:rFonts w:ascii="Arial" w:eastAsia="Calibri" w:hAnsi="Arial" w:cs="Arial"/>
          <w:lang w:val="es-ES"/>
        </w:rPr>
        <w:t>Fotografías del predio.</w:t>
      </w:r>
    </w:p>
    <w:p w:rsidR="006312E8" w:rsidRPr="006312E8" w:rsidRDefault="006312E8" w:rsidP="006312E8">
      <w:pPr>
        <w:spacing w:after="0" w:line="240" w:lineRule="auto"/>
        <w:ind w:left="1276"/>
        <w:contextualSpacing/>
        <w:jc w:val="both"/>
        <w:rPr>
          <w:rFonts w:ascii="Arial" w:eastAsia="Calibri" w:hAnsi="Arial" w:cs="Arial"/>
          <w:lang w:val="es-ES"/>
        </w:rPr>
      </w:pPr>
    </w:p>
    <w:p w:rsidR="006312E8" w:rsidRPr="006312E8" w:rsidRDefault="006312E8" w:rsidP="0092471C">
      <w:pPr>
        <w:numPr>
          <w:ilvl w:val="0"/>
          <w:numId w:val="165"/>
        </w:numPr>
        <w:spacing w:after="0" w:line="240" w:lineRule="auto"/>
        <w:ind w:left="1276"/>
        <w:contextualSpacing/>
        <w:jc w:val="both"/>
        <w:rPr>
          <w:rFonts w:ascii="Arial" w:eastAsia="Calibri" w:hAnsi="Arial" w:cs="Arial"/>
          <w:lang w:val="es-ES"/>
        </w:rPr>
      </w:pPr>
      <w:r w:rsidRPr="006312E8">
        <w:rPr>
          <w:rFonts w:ascii="Arial" w:eastAsia="Calibri" w:hAnsi="Arial" w:cs="Arial"/>
          <w:lang w:val="es-ES"/>
        </w:rPr>
        <w:t>Copia de la partida registral del predio materia de venta directa.</w:t>
      </w:r>
    </w:p>
    <w:p w:rsidR="006312E8" w:rsidRPr="006312E8" w:rsidRDefault="006312E8" w:rsidP="006312E8">
      <w:pPr>
        <w:spacing w:after="0" w:line="240" w:lineRule="auto"/>
        <w:ind w:left="1276"/>
        <w:contextualSpacing/>
        <w:jc w:val="both"/>
        <w:rPr>
          <w:rFonts w:ascii="Arial" w:eastAsia="Calibri" w:hAnsi="Arial" w:cs="Arial"/>
          <w:lang w:val="es-ES"/>
        </w:rPr>
      </w:pPr>
    </w:p>
    <w:p w:rsidR="006312E8" w:rsidRPr="006312E8" w:rsidRDefault="006312E8" w:rsidP="0092471C">
      <w:pPr>
        <w:numPr>
          <w:ilvl w:val="0"/>
          <w:numId w:val="165"/>
        </w:numPr>
        <w:spacing w:after="0" w:line="240" w:lineRule="auto"/>
        <w:ind w:left="1276"/>
        <w:contextualSpacing/>
        <w:jc w:val="both"/>
        <w:rPr>
          <w:rFonts w:ascii="Arial" w:eastAsia="Calibri" w:hAnsi="Arial" w:cs="Arial"/>
          <w:lang w:val="es-ES"/>
        </w:rPr>
      </w:pPr>
      <w:r w:rsidRPr="006312E8">
        <w:rPr>
          <w:rFonts w:ascii="Arial" w:eastAsia="Calibri" w:hAnsi="Arial" w:cs="Arial"/>
          <w:lang w:val="es-ES"/>
        </w:rPr>
        <w:t>Tasación del predio, elaborada de conformidad con lo dispuesto en el Reglamento Nacional de Tasaciones del Perú.</w:t>
      </w:r>
    </w:p>
    <w:p w:rsidR="006312E8" w:rsidRPr="006312E8" w:rsidRDefault="006312E8" w:rsidP="006312E8">
      <w:pPr>
        <w:spacing w:after="0" w:line="240" w:lineRule="auto"/>
        <w:ind w:left="1276"/>
        <w:contextualSpacing/>
        <w:jc w:val="both"/>
        <w:rPr>
          <w:rFonts w:ascii="Arial" w:eastAsia="Calibri" w:hAnsi="Arial" w:cs="Arial"/>
          <w:lang w:val="es-ES"/>
        </w:rPr>
      </w:pPr>
    </w:p>
    <w:p w:rsidR="006312E8" w:rsidRPr="006312E8" w:rsidRDefault="006312E8" w:rsidP="0092471C">
      <w:pPr>
        <w:numPr>
          <w:ilvl w:val="0"/>
          <w:numId w:val="165"/>
        </w:numPr>
        <w:spacing w:after="0" w:line="240" w:lineRule="auto"/>
        <w:ind w:left="1276"/>
        <w:contextualSpacing/>
        <w:jc w:val="both"/>
        <w:rPr>
          <w:rFonts w:ascii="Arial" w:eastAsia="Calibri" w:hAnsi="Arial" w:cs="Arial"/>
          <w:lang w:val="es-ES"/>
        </w:rPr>
      </w:pPr>
      <w:r w:rsidRPr="006312E8">
        <w:rPr>
          <w:rFonts w:ascii="Arial" w:eastAsia="Calibri" w:hAnsi="Arial" w:cs="Arial"/>
          <w:lang w:val="es-ES"/>
        </w:rPr>
        <w:t>Copia de las publicaciones de la solicitud de venta efectuadas en los diarios.</w:t>
      </w:r>
    </w:p>
    <w:p w:rsidR="006312E8" w:rsidRPr="006312E8" w:rsidRDefault="006312E8" w:rsidP="006312E8">
      <w:pPr>
        <w:spacing w:after="0" w:line="240" w:lineRule="auto"/>
        <w:ind w:left="1276"/>
        <w:contextualSpacing/>
        <w:jc w:val="both"/>
        <w:rPr>
          <w:rFonts w:ascii="Arial" w:eastAsia="Calibri" w:hAnsi="Arial" w:cs="Arial"/>
          <w:lang w:val="es-ES"/>
        </w:rPr>
      </w:pPr>
    </w:p>
    <w:p w:rsidR="006312E8" w:rsidRPr="006312E8" w:rsidRDefault="006312E8" w:rsidP="0092471C">
      <w:pPr>
        <w:numPr>
          <w:ilvl w:val="0"/>
          <w:numId w:val="165"/>
        </w:numPr>
        <w:spacing w:after="0" w:line="240" w:lineRule="auto"/>
        <w:ind w:left="1276"/>
        <w:contextualSpacing/>
        <w:jc w:val="both"/>
        <w:rPr>
          <w:rFonts w:ascii="Arial" w:eastAsia="Calibri" w:hAnsi="Arial" w:cs="Arial"/>
          <w:lang w:val="es-ES"/>
        </w:rPr>
      </w:pPr>
      <w:r w:rsidRPr="006312E8">
        <w:rPr>
          <w:rFonts w:ascii="Arial" w:eastAsia="Calibri" w:hAnsi="Arial" w:cs="Arial"/>
          <w:lang w:val="es-ES"/>
        </w:rPr>
        <w:t>Informe Técnico Legal de la entidad titular del predio, conteniendo la opinión para la venta directa.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 xml:space="preserve">Recibida la solicitud, la SDDI procede a verificar la documentación presentada, pudiendo requerir a la entidad, vía oficio o correo electrónico, para que presente los documentos complementarios o la aclaración que estime necesaria, dentro del plazo de quince (15) días hábiles de recibida la notificación, caso contrario se devolverá el expediente. De manera excepcional y por razones justificadas, puede prorrogarse dicho plazo por igual término y por única vez, siempre que la entidad lo solicite antes de su vencimiento. </w:t>
      </w: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 xml:space="preserve"> </w:t>
      </w: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 xml:space="preserve">La opinión técnica de la SBN se circunscribe únicamente a la verificación del cumplimiento de los requisitos que exige el procedimiento de venta directa, siendo de exclusiva responsabilidad de la entidad pública la oportunidad en efectuar la venta directa y veracidad de la documentación remitida, así como de la aprobación de la valorización del predio.    </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 xml:space="preserve">La opinión emitida por la SDDI será comunicada a la entidad a través de la DGPE.  </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La opinión técnica debe ser emitida en un plazo no mayor de treinta (30) días hábiles de recibida la solicitud o efectuada la subsanación de la misma.</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El vencimiento de la tasación en esta etapa del procedimiento, no impide la emisión de la opinión técnica, la cual debe ser con cargo a que la entidad realice la actualización de la respectiva tasación.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158"/>
        </w:numPr>
        <w:spacing w:after="0" w:line="240" w:lineRule="auto"/>
        <w:ind w:left="851" w:hanging="567"/>
        <w:contextualSpacing/>
        <w:jc w:val="both"/>
        <w:rPr>
          <w:rFonts w:ascii="Arial" w:eastAsia="Calibri" w:hAnsi="Arial" w:cs="Arial"/>
          <w:b/>
          <w:lang w:val="es-ES"/>
        </w:rPr>
      </w:pPr>
      <w:r w:rsidRPr="006312E8">
        <w:rPr>
          <w:rFonts w:ascii="Arial" w:eastAsia="Calibri" w:hAnsi="Arial" w:cs="Arial"/>
          <w:b/>
          <w:lang w:val="es-ES"/>
        </w:rPr>
        <w:t>De la resolución que aprueba la venta directa.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2"/>
          <w:numId w:val="158"/>
        </w:numPr>
        <w:spacing w:after="0" w:line="240" w:lineRule="auto"/>
        <w:ind w:left="1560"/>
        <w:contextualSpacing/>
        <w:jc w:val="both"/>
        <w:rPr>
          <w:rFonts w:ascii="Arial" w:eastAsia="Calibri" w:hAnsi="Arial" w:cs="Arial"/>
          <w:b/>
          <w:lang w:val="es-ES"/>
        </w:rPr>
      </w:pPr>
      <w:r w:rsidRPr="006312E8">
        <w:rPr>
          <w:rFonts w:ascii="Arial" w:eastAsia="Calibri" w:hAnsi="Arial" w:cs="Arial"/>
          <w:b/>
          <w:lang w:val="es-ES"/>
        </w:rPr>
        <w:t>De la autoridad competente que aprueba la venta directa.</w:t>
      </w:r>
    </w:p>
    <w:p w:rsidR="006312E8" w:rsidRPr="006312E8" w:rsidRDefault="006312E8" w:rsidP="006312E8">
      <w:pPr>
        <w:spacing w:after="0" w:line="240" w:lineRule="auto"/>
        <w:ind w:left="1080"/>
        <w:contextualSpacing/>
        <w:jc w:val="both"/>
        <w:rPr>
          <w:rFonts w:ascii="Arial" w:eastAsia="Calibri" w:hAnsi="Arial" w:cs="Arial"/>
          <w:lang w:val="es-ES"/>
        </w:rPr>
      </w:pPr>
    </w:p>
    <w:p w:rsidR="006312E8" w:rsidRPr="006312E8" w:rsidRDefault="006312E8" w:rsidP="006312E8">
      <w:pPr>
        <w:spacing w:after="0" w:line="240" w:lineRule="auto"/>
        <w:ind w:left="1560"/>
        <w:contextualSpacing/>
        <w:jc w:val="both"/>
        <w:rPr>
          <w:rFonts w:ascii="Arial" w:eastAsia="Calibri" w:hAnsi="Arial" w:cs="Arial"/>
          <w:lang w:val="es-ES"/>
        </w:rPr>
      </w:pPr>
      <w:r w:rsidRPr="006312E8">
        <w:rPr>
          <w:rFonts w:ascii="Arial" w:eastAsia="Calibri" w:hAnsi="Arial" w:cs="Arial"/>
          <w:lang w:val="es-ES"/>
        </w:rPr>
        <w:t xml:space="preserve">La venta directa por causal de predios de propiedad de las entidades públicas será aprobada con resolución del Titular del Pliego de la propia entidad, previa opinión técnica de la SBN, conforme al numeral 75.2 del artículo 75º del Reglamento. </w:t>
      </w:r>
    </w:p>
    <w:p w:rsidR="006312E8" w:rsidRPr="006312E8" w:rsidRDefault="006312E8" w:rsidP="006312E8">
      <w:pPr>
        <w:spacing w:after="0" w:line="240" w:lineRule="auto"/>
        <w:ind w:left="1560"/>
        <w:contextualSpacing/>
        <w:jc w:val="both"/>
        <w:rPr>
          <w:rFonts w:ascii="Arial" w:eastAsia="Calibri" w:hAnsi="Arial" w:cs="Arial"/>
          <w:lang w:val="es-ES"/>
        </w:rPr>
      </w:pPr>
    </w:p>
    <w:p w:rsidR="006312E8" w:rsidRPr="006312E8" w:rsidRDefault="006312E8" w:rsidP="006312E8">
      <w:pPr>
        <w:spacing w:after="0" w:line="240" w:lineRule="auto"/>
        <w:ind w:left="1560"/>
        <w:contextualSpacing/>
        <w:jc w:val="both"/>
        <w:rPr>
          <w:rFonts w:ascii="Arial" w:eastAsia="Calibri" w:hAnsi="Arial" w:cs="Arial"/>
          <w:lang w:val="es-ES"/>
        </w:rPr>
      </w:pPr>
      <w:r w:rsidRPr="006312E8">
        <w:rPr>
          <w:rFonts w:ascii="Arial" w:eastAsia="Calibri" w:hAnsi="Arial" w:cs="Arial"/>
          <w:lang w:val="es-ES"/>
        </w:rPr>
        <w:t>La venta directa por causal de predios de propiedad del Estado que se encuentran bajo competencia de los Gobiernos Regionales, como consecuencia de la transferencia de funciones a que se refiere el artículo 62º de la Ley Nº 27867, Ley Orgánica de Gobiernos Regionales, será aprobada por resolución del Titular del Pliego del Gobierno Regional, previa opinión técnica de la SBN, conforme al numeral 75.2 del artículo 75º del Reglamento.</w:t>
      </w:r>
    </w:p>
    <w:p w:rsidR="006312E8" w:rsidRPr="006312E8" w:rsidRDefault="006312E8" w:rsidP="006312E8">
      <w:pPr>
        <w:spacing w:after="0" w:line="240" w:lineRule="auto"/>
        <w:ind w:left="1560"/>
        <w:contextualSpacing/>
        <w:jc w:val="both"/>
        <w:rPr>
          <w:rFonts w:ascii="Arial" w:eastAsia="Calibri" w:hAnsi="Arial" w:cs="Arial"/>
          <w:lang w:val="es-ES"/>
        </w:rPr>
      </w:pPr>
      <w:r w:rsidRPr="006312E8">
        <w:rPr>
          <w:rFonts w:ascii="Arial" w:eastAsia="Calibri" w:hAnsi="Arial" w:cs="Arial"/>
          <w:lang w:val="es-ES"/>
        </w:rPr>
        <w:t xml:space="preserve"> </w:t>
      </w:r>
    </w:p>
    <w:p w:rsidR="006312E8" w:rsidRPr="006312E8" w:rsidRDefault="006312E8" w:rsidP="006312E8">
      <w:pPr>
        <w:spacing w:after="0" w:line="240" w:lineRule="auto"/>
        <w:ind w:left="1560"/>
        <w:contextualSpacing/>
        <w:jc w:val="both"/>
        <w:rPr>
          <w:rFonts w:ascii="Arial" w:eastAsia="Calibri" w:hAnsi="Arial" w:cs="Arial"/>
          <w:lang w:val="es-ES"/>
        </w:rPr>
      </w:pPr>
      <w:r w:rsidRPr="006312E8">
        <w:rPr>
          <w:rFonts w:ascii="Arial" w:eastAsia="Calibri" w:hAnsi="Arial" w:cs="Arial"/>
          <w:lang w:val="es-ES"/>
        </w:rPr>
        <w:t xml:space="preserve">La venta directa por causal de los predios del Estado, tramitada y sustentada por la SBN, será aprobada por resolución de la SDDI.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2"/>
          <w:numId w:val="158"/>
        </w:numPr>
        <w:spacing w:after="0" w:line="240" w:lineRule="auto"/>
        <w:ind w:left="1560"/>
        <w:contextualSpacing/>
        <w:jc w:val="both"/>
        <w:rPr>
          <w:rFonts w:ascii="Arial" w:eastAsia="Calibri" w:hAnsi="Arial" w:cs="Arial"/>
          <w:b/>
          <w:lang w:val="es-ES"/>
        </w:rPr>
      </w:pPr>
      <w:r w:rsidRPr="006312E8">
        <w:rPr>
          <w:rFonts w:ascii="Arial" w:eastAsia="Calibri" w:hAnsi="Arial" w:cs="Arial"/>
          <w:b/>
          <w:lang w:val="es-ES"/>
        </w:rPr>
        <w:t>Del contenido de la resolución.</w:t>
      </w:r>
    </w:p>
    <w:p w:rsidR="006312E8" w:rsidRPr="006312E8" w:rsidRDefault="006312E8" w:rsidP="006312E8">
      <w:pPr>
        <w:spacing w:after="0" w:line="240" w:lineRule="auto"/>
        <w:ind w:left="1560"/>
        <w:contextualSpacing/>
        <w:jc w:val="both"/>
        <w:rPr>
          <w:rFonts w:ascii="Arial" w:eastAsia="Calibri" w:hAnsi="Arial" w:cs="Arial"/>
          <w:lang w:val="es-ES"/>
        </w:rPr>
      </w:pPr>
      <w:r w:rsidRPr="006312E8">
        <w:rPr>
          <w:rFonts w:ascii="Arial" w:eastAsia="Calibri" w:hAnsi="Arial" w:cs="Arial"/>
          <w:lang w:val="es-ES"/>
        </w:rPr>
        <w:t xml:space="preserve">La resolución que aprueba la venta debe contener la identificación del predio y del administrado, el precio de venta, la causal en que se sustenta y otros aspectos relevantes. </w:t>
      </w:r>
    </w:p>
    <w:p w:rsidR="006312E8" w:rsidRPr="006312E8" w:rsidRDefault="006312E8" w:rsidP="006312E8">
      <w:pPr>
        <w:spacing w:after="0" w:line="240" w:lineRule="auto"/>
        <w:ind w:left="1560"/>
        <w:contextualSpacing/>
        <w:jc w:val="both"/>
        <w:rPr>
          <w:rFonts w:ascii="Arial" w:eastAsia="Calibri" w:hAnsi="Arial" w:cs="Arial"/>
          <w:lang w:val="es-ES"/>
        </w:rPr>
      </w:pPr>
    </w:p>
    <w:p w:rsidR="006312E8" w:rsidRPr="006312E8" w:rsidRDefault="006312E8" w:rsidP="006312E8">
      <w:pPr>
        <w:spacing w:after="0" w:line="240" w:lineRule="auto"/>
        <w:ind w:left="1560"/>
        <w:contextualSpacing/>
        <w:jc w:val="both"/>
        <w:rPr>
          <w:rFonts w:ascii="Arial" w:eastAsia="Calibri" w:hAnsi="Arial" w:cs="Arial"/>
          <w:lang w:val="es-ES"/>
        </w:rPr>
      </w:pPr>
      <w:r w:rsidRPr="006312E8">
        <w:rPr>
          <w:rFonts w:ascii="Arial" w:eastAsia="Calibri" w:hAnsi="Arial" w:cs="Arial"/>
          <w:lang w:val="es-ES"/>
        </w:rPr>
        <w:t xml:space="preserve">Para el supuesto de venta directa sustentada en la causal de ejecución de un proyecto de interés nacional o regional, prevista en el literal b) del artículo 77º del Reglamento, la resolución debe contener, además, la finalidad para la cual se adjudica el predio y el plazo de ejecución del proyecto, bajo sanción de reversión al dominio del Estado, sin la obligación de reembolso alguno por el pago del precio o mejora efectuada. </w:t>
      </w:r>
    </w:p>
    <w:p w:rsidR="006312E8" w:rsidRPr="006312E8" w:rsidRDefault="006312E8" w:rsidP="006312E8">
      <w:pPr>
        <w:spacing w:after="0" w:line="240" w:lineRule="auto"/>
        <w:ind w:left="1560"/>
        <w:contextualSpacing/>
        <w:jc w:val="both"/>
        <w:rPr>
          <w:rFonts w:ascii="Arial" w:eastAsia="Calibri" w:hAnsi="Arial" w:cs="Arial"/>
          <w:lang w:val="es-ES"/>
        </w:rPr>
      </w:pPr>
    </w:p>
    <w:p w:rsidR="006312E8" w:rsidRPr="006312E8" w:rsidRDefault="006312E8" w:rsidP="006312E8">
      <w:pPr>
        <w:spacing w:after="0" w:line="240" w:lineRule="auto"/>
        <w:ind w:left="1560"/>
        <w:contextualSpacing/>
        <w:jc w:val="both"/>
        <w:rPr>
          <w:rFonts w:ascii="Arial" w:eastAsia="Calibri" w:hAnsi="Arial" w:cs="Arial"/>
          <w:lang w:val="es-ES"/>
        </w:rPr>
      </w:pPr>
      <w:r w:rsidRPr="006312E8">
        <w:rPr>
          <w:rFonts w:ascii="Arial" w:eastAsia="Calibri" w:hAnsi="Arial" w:cs="Arial"/>
          <w:lang w:val="es-ES"/>
        </w:rPr>
        <w:t>Para el caso de la venta directa de predios ubicados en zona de dominio restringido, la resolución que emita la SDDI debe disponer la desafectación administrativa del predio y a continuación aprobar la venta. Además, dicha resolución debe precisar la sanción de reversión al dominio del Estado y su reincorporación a la zona de dominio restringido, en caso que no se concrete la venta o, si luego de adjudicado el predio, el adjudicatario varíe o incumpla con la finalidad para la cual se transfirió dicho predio, conforme al artículo 18º del Reglamento de la Ley Nº 26856, aprobado por el Decreto Supremo Nº 050-2006-EF, sin obligación de reembolso alguno a favor del adjudicatario por alguna mejora o pago que hubiere efectuado.</w:t>
      </w:r>
    </w:p>
    <w:p w:rsidR="006312E8" w:rsidRPr="006312E8" w:rsidRDefault="006312E8" w:rsidP="006312E8">
      <w:pPr>
        <w:spacing w:after="0" w:line="240" w:lineRule="auto"/>
        <w:ind w:left="1560"/>
        <w:contextualSpacing/>
        <w:jc w:val="both"/>
        <w:rPr>
          <w:rFonts w:ascii="Arial" w:eastAsia="Calibri" w:hAnsi="Arial" w:cs="Arial"/>
          <w:lang w:val="es-ES"/>
        </w:rPr>
      </w:pPr>
    </w:p>
    <w:p w:rsidR="006312E8" w:rsidRPr="006312E8" w:rsidRDefault="006312E8" w:rsidP="006312E8">
      <w:pPr>
        <w:spacing w:after="0" w:line="240" w:lineRule="auto"/>
        <w:ind w:left="1560"/>
        <w:contextualSpacing/>
        <w:jc w:val="both"/>
        <w:rPr>
          <w:rFonts w:ascii="Arial" w:eastAsia="Calibri" w:hAnsi="Arial" w:cs="Arial"/>
          <w:lang w:val="es-ES"/>
        </w:rPr>
      </w:pPr>
      <w:r w:rsidRPr="006312E8">
        <w:rPr>
          <w:rFonts w:ascii="Arial" w:eastAsia="Calibri" w:hAnsi="Arial" w:cs="Arial"/>
          <w:lang w:val="es-ES"/>
        </w:rPr>
        <w:t>En caso que el administrado hubiera solicitado el pago del precio en armadas, la entidad debe pronunciarse en la misma resolución de aprobación de la venta, siempre y cuando se encuentre dentro del supuesto previsto en el artículo 78-C del Reglamento.</w:t>
      </w:r>
    </w:p>
    <w:p w:rsidR="006312E8" w:rsidRDefault="006312E8" w:rsidP="006312E8">
      <w:pPr>
        <w:spacing w:after="0" w:line="240" w:lineRule="auto"/>
        <w:contextualSpacing/>
        <w:jc w:val="both"/>
        <w:rPr>
          <w:rFonts w:ascii="Arial" w:eastAsia="Calibri" w:hAnsi="Arial" w:cs="Arial"/>
          <w:lang w:val="es-ES"/>
        </w:rPr>
      </w:pPr>
    </w:p>
    <w:p w:rsidR="00B00199" w:rsidRPr="006312E8" w:rsidRDefault="00B00199" w:rsidP="006312E8">
      <w:pPr>
        <w:spacing w:after="0" w:line="240" w:lineRule="auto"/>
        <w:contextualSpacing/>
        <w:jc w:val="both"/>
        <w:rPr>
          <w:rFonts w:ascii="Arial" w:eastAsia="Calibri" w:hAnsi="Arial" w:cs="Arial"/>
          <w:lang w:val="es-ES"/>
        </w:rPr>
      </w:pPr>
    </w:p>
    <w:p w:rsidR="006312E8" w:rsidRPr="006312E8" w:rsidRDefault="006312E8" w:rsidP="0092471C">
      <w:pPr>
        <w:numPr>
          <w:ilvl w:val="2"/>
          <w:numId w:val="158"/>
        </w:numPr>
        <w:spacing w:after="0" w:line="240" w:lineRule="auto"/>
        <w:ind w:left="1560"/>
        <w:contextualSpacing/>
        <w:jc w:val="both"/>
        <w:rPr>
          <w:rFonts w:ascii="Arial" w:eastAsia="Calibri" w:hAnsi="Arial" w:cs="Arial"/>
          <w:b/>
          <w:lang w:val="es-ES"/>
        </w:rPr>
      </w:pPr>
      <w:r w:rsidRPr="006312E8">
        <w:rPr>
          <w:rFonts w:ascii="Arial" w:eastAsia="Calibri" w:hAnsi="Arial" w:cs="Arial"/>
          <w:b/>
          <w:lang w:val="es-ES"/>
        </w:rPr>
        <w:t>De la notificación de la resolución.</w:t>
      </w:r>
    </w:p>
    <w:p w:rsidR="006312E8" w:rsidRPr="006312E8" w:rsidRDefault="006312E8" w:rsidP="006312E8">
      <w:pPr>
        <w:spacing w:after="0" w:line="240" w:lineRule="auto"/>
        <w:ind w:left="1560"/>
        <w:contextualSpacing/>
        <w:jc w:val="both"/>
        <w:rPr>
          <w:rFonts w:ascii="Arial" w:eastAsia="Calibri" w:hAnsi="Arial" w:cs="Arial"/>
          <w:lang w:val="es-ES"/>
        </w:rPr>
      </w:pPr>
      <w:r w:rsidRPr="006312E8">
        <w:rPr>
          <w:rFonts w:ascii="Arial" w:eastAsia="Calibri" w:hAnsi="Arial" w:cs="Arial"/>
          <w:lang w:val="es-ES"/>
        </w:rPr>
        <w:t xml:space="preserve">La Resolución que aprueba la venta será notificada al administrado, de acuerdo al régimen de notificaciones previsto en el artículo 21º de la Ley Nº 27444 – Ley del Procedimiento Administrativo General. </w:t>
      </w:r>
    </w:p>
    <w:p w:rsidR="006312E8" w:rsidRPr="006312E8" w:rsidRDefault="006312E8" w:rsidP="006312E8">
      <w:pPr>
        <w:spacing w:after="0" w:line="240" w:lineRule="auto"/>
        <w:ind w:left="1560"/>
        <w:contextualSpacing/>
        <w:jc w:val="both"/>
        <w:rPr>
          <w:rFonts w:ascii="Arial" w:eastAsia="Calibri" w:hAnsi="Arial" w:cs="Arial"/>
          <w:lang w:val="es-ES"/>
        </w:rPr>
      </w:pPr>
    </w:p>
    <w:p w:rsidR="006312E8" w:rsidRPr="006312E8" w:rsidRDefault="006312E8" w:rsidP="006312E8">
      <w:pPr>
        <w:spacing w:after="0" w:line="240" w:lineRule="auto"/>
        <w:ind w:left="1560"/>
        <w:contextualSpacing/>
        <w:jc w:val="both"/>
        <w:rPr>
          <w:rFonts w:ascii="Arial" w:eastAsia="Calibri" w:hAnsi="Arial" w:cs="Arial"/>
          <w:lang w:val="es-ES"/>
        </w:rPr>
      </w:pPr>
      <w:r w:rsidRPr="006312E8">
        <w:rPr>
          <w:rFonts w:ascii="Arial" w:eastAsia="Calibri" w:hAnsi="Arial" w:cs="Arial"/>
          <w:lang w:val="es-ES"/>
        </w:rPr>
        <w:t>En caso que la venta sea de un predio ubicado en la zona de dominio restringido, debe disponerse además la publicación de la resolución en el Diario Oficial “El Peruano”, cuyo costo será pagado por el administrado. Para tal efecto, la SDDI remite al administrado la orden de publicación, la que debe ser ingresada a la empresa editora en un plazo de cinco (5) días hábiles de recibida la misma, en caso contrario se dará por concluido el procedimiento sin que haya operado la desafectación y la venta directa, dejándose sin efecto la resolución que aprobó la venta mediante otra resolución administrativa.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158"/>
        </w:numPr>
        <w:spacing w:after="0" w:line="240" w:lineRule="auto"/>
        <w:ind w:left="851" w:hanging="567"/>
        <w:contextualSpacing/>
        <w:jc w:val="both"/>
        <w:rPr>
          <w:rFonts w:ascii="Arial" w:eastAsia="Calibri" w:hAnsi="Arial" w:cs="Arial"/>
          <w:b/>
          <w:lang w:val="es-ES"/>
        </w:rPr>
      </w:pPr>
      <w:r w:rsidRPr="006312E8">
        <w:rPr>
          <w:rFonts w:ascii="Arial" w:eastAsia="Calibri" w:hAnsi="Arial" w:cs="Arial"/>
          <w:b/>
          <w:lang w:val="es-ES"/>
        </w:rPr>
        <w:t>Del pago del precio de venta.</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92471C">
      <w:pPr>
        <w:numPr>
          <w:ilvl w:val="2"/>
          <w:numId w:val="158"/>
        </w:numPr>
        <w:spacing w:after="0" w:line="240" w:lineRule="auto"/>
        <w:ind w:left="1701" w:hanging="850"/>
        <w:contextualSpacing/>
        <w:jc w:val="both"/>
        <w:rPr>
          <w:rFonts w:ascii="Arial" w:eastAsia="Calibri" w:hAnsi="Arial" w:cs="Arial"/>
          <w:b/>
          <w:lang w:val="es-ES"/>
        </w:rPr>
      </w:pPr>
      <w:r w:rsidRPr="006312E8">
        <w:rPr>
          <w:rFonts w:ascii="Arial" w:eastAsia="Calibri" w:hAnsi="Arial" w:cs="Arial"/>
          <w:b/>
          <w:lang w:val="es-ES"/>
        </w:rPr>
        <w:t>Plazo y forma de pago del precio de venta.</w:t>
      </w:r>
    </w:p>
    <w:p w:rsidR="006312E8" w:rsidRPr="006312E8" w:rsidRDefault="006312E8" w:rsidP="006312E8">
      <w:pPr>
        <w:spacing w:after="0" w:line="240" w:lineRule="auto"/>
        <w:ind w:left="1080"/>
        <w:contextualSpacing/>
        <w:jc w:val="both"/>
        <w:rPr>
          <w:rFonts w:ascii="Arial" w:eastAsia="Calibri" w:hAnsi="Arial" w:cs="Arial"/>
          <w:lang w:val="es-ES"/>
        </w:rPr>
      </w:pPr>
    </w:p>
    <w:p w:rsidR="006312E8" w:rsidRPr="006312E8" w:rsidRDefault="006312E8" w:rsidP="006312E8">
      <w:pPr>
        <w:spacing w:after="0" w:line="240" w:lineRule="auto"/>
        <w:ind w:left="1701"/>
        <w:contextualSpacing/>
        <w:jc w:val="both"/>
        <w:rPr>
          <w:rFonts w:ascii="Arial" w:eastAsia="Calibri" w:hAnsi="Arial" w:cs="Arial"/>
          <w:lang w:val="es-ES"/>
        </w:rPr>
      </w:pPr>
      <w:r w:rsidRPr="006312E8">
        <w:rPr>
          <w:rFonts w:ascii="Arial" w:eastAsia="Calibri" w:hAnsi="Arial" w:cs="Arial"/>
          <w:lang w:val="es-ES"/>
        </w:rPr>
        <w:t xml:space="preserve">El precio de venta del predio debe ser pagado íntegramente por el administrado dentro del plazo de treinta (30) días hábiles contados a partir de la notificación de la resolución que aprueba la venta, mediante cheque de gerencia no negociable o depósito efectuado en la cuenta corriente de la entidad vendedora. En caso de haberse establecido el precio en moneda extranjera, el depósito que realice el administrado debe efectuarse de acuerdo al tipo de cambio del día anterior a este, fijado por la Superintendencia de Banca, Seguros y AFP. </w:t>
      </w:r>
    </w:p>
    <w:p w:rsidR="006312E8" w:rsidRPr="006312E8" w:rsidRDefault="006312E8" w:rsidP="006312E8">
      <w:pPr>
        <w:spacing w:after="0" w:line="240" w:lineRule="auto"/>
        <w:ind w:left="1701"/>
        <w:contextualSpacing/>
        <w:jc w:val="both"/>
        <w:rPr>
          <w:rFonts w:ascii="Arial" w:eastAsia="Calibri" w:hAnsi="Arial" w:cs="Arial"/>
          <w:lang w:val="es-ES"/>
        </w:rPr>
      </w:pPr>
    </w:p>
    <w:p w:rsidR="006312E8" w:rsidRPr="006312E8" w:rsidRDefault="006312E8" w:rsidP="006312E8">
      <w:pPr>
        <w:spacing w:after="0" w:line="240" w:lineRule="auto"/>
        <w:ind w:left="1701"/>
        <w:contextualSpacing/>
        <w:jc w:val="both"/>
        <w:rPr>
          <w:rFonts w:ascii="Arial" w:eastAsia="Calibri" w:hAnsi="Arial" w:cs="Arial"/>
          <w:lang w:val="es-ES"/>
        </w:rPr>
      </w:pPr>
      <w:r w:rsidRPr="006312E8">
        <w:rPr>
          <w:rFonts w:ascii="Arial" w:eastAsia="Calibri" w:hAnsi="Arial" w:cs="Arial"/>
          <w:lang w:val="es-ES"/>
        </w:rPr>
        <w:t>El administrado que desea cancelar el precio de venta con financiamiento bancario, debe comunicarlo a la entidad vendedora, en el plazo de diez (10) días hábiles de notificada la resolución que aprueba la venta, adjuntando una carta emitida por una entidad financiera o bancaria que indique la aprobación del crédito para financiar el pago del precio de compra del predio, así como copia del voucher de depósito o un cheque de gerencia no negociable a nombre de la entidad vendedora por el 20% del precio de venta como mínimo. En este caso, el pago del saldo de precio debe efectuarse dentro de los veinte (20) días hábiles de entregada la minuta de compraventa al adjudicatario, en caso contrario el contrato de compraventa queda resuelto de pleno derecho, con la sola remisión de una comunicación escrita, conforme al artículo 1430º del Código Civil, quedando como indemnización a favor de la SBN, el 10% del precio de venta. Dicha indemnización se cobra del cheque de gerencia entregado o depósito efectuado como adelanto, devolviendo la diferencia al ex comprador, en nuevos soles y al tipo de cambio en que se hizo efectivo, de ser el caso.</w:t>
      </w:r>
    </w:p>
    <w:p w:rsidR="006312E8" w:rsidRPr="006312E8" w:rsidRDefault="006312E8" w:rsidP="006312E8">
      <w:pPr>
        <w:spacing w:after="0" w:line="240" w:lineRule="auto"/>
        <w:ind w:left="1701"/>
        <w:contextualSpacing/>
        <w:jc w:val="both"/>
        <w:rPr>
          <w:rFonts w:ascii="Arial" w:eastAsia="Calibri" w:hAnsi="Arial" w:cs="Arial"/>
          <w:lang w:val="es-ES"/>
        </w:rPr>
      </w:pPr>
    </w:p>
    <w:p w:rsidR="006312E8" w:rsidRPr="006312E8" w:rsidRDefault="006312E8" w:rsidP="006312E8">
      <w:pPr>
        <w:spacing w:after="0" w:line="240" w:lineRule="auto"/>
        <w:ind w:left="1701"/>
        <w:contextualSpacing/>
        <w:jc w:val="both"/>
        <w:rPr>
          <w:rFonts w:ascii="Arial" w:eastAsia="Calibri" w:hAnsi="Arial" w:cs="Arial"/>
          <w:lang w:val="es-ES"/>
        </w:rPr>
      </w:pPr>
      <w:r w:rsidRPr="006312E8">
        <w:rPr>
          <w:rFonts w:ascii="Arial" w:eastAsia="Calibri" w:hAnsi="Arial" w:cs="Arial"/>
          <w:lang w:val="es-ES"/>
        </w:rPr>
        <w:t>Si el comprador no ha comunicado acogerse a la forma de pago prevista en el párrafo precedente y tampoco ha cumplido con pagar el precio de venta dentro del plazo indicado en el primer párrafo del presente numeral, mediante resolución administrativa se dejará sin efecto la venta aprobada. En caso que la venta se hubiera efectuado al tercero que mejoró la oferta, además, se dispondrá ejecutar la carta fianza a que se refiere el numeral 6.10.1, por concepto de indemnización a favor de la entidad titular del predio que impulsó la venta.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2"/>
          <w:numId w:val="158"/>
        </w:numPr>
        <w:spacing w:after="0" w:line="240" w:lineRule="auto"/>
        <w:ind w:left="1701" w:hanging="850"/>
        <w:contextualSpacing/>
        <w:jc w:val="both"/>
        <w:rPr>
          <w:rFonts w:ascii="Arial" w:eastAsia="Calibri" w:hAnsi="Arial" w:cs="Arial"/>
          <w:b/>
          <w:lang w:val="es-ES"/>
        </w:rPr>
      </w:pPr>
      <w:r w:rsidRPr="006312E8">
        <w:rPr>
          <w:rFonts w:ascii="Arial" w:eastAsia="Calibri" w:hAnsi="Arial" w:cs="Arial"/>
          <w:b/>
          <w:lang w:val="es-ES"/>
        </w:rPr>
        <w:t>Medidas para garantizar la continuación del procedimiento de venta directa por las causales d) o e) del artículo 77º del Reglamento.</w:t>
      </w:r>
    </w:p>
    <w:p w:rsidR="006312E8" w:rsidRPr="006312E8" w:rsidRDefault="006312E8" w:rsidP="006312E8">
      <w:pPr>
        <w:spacing w:after="0" w:line="240" w:lineRule="auto"/>
        <w:ind w:left="1080"/>
        <w:contextualSpacing/>
        <w:jc w:val="both"/>
        <w:rPr>
          <w:rFonts w:ascii="Arial" w:eastAsia="Calibri" w:hAnsi="Arial" w:cs="Arial"/>
          <w:lang w:val="es-ES"/>
        </w:rPr>
      </w:pPr>
    </w:p>
    <w:p w:rsidR="006312E8" w:rsidRPr="006312E8" w:rsidRDefault="006312E8" w:rsidP="006312E8">
      <w:pPr>
        <w:spacing w:after="0" w:line="240" w:lineRule="auto"/>
        <w:ind w:left="1701"/>
        <w:contextualSpacing/>
        <w:jc w:val="both"/>
        <w:rPr>
          <w:rFonts w:ascii="Arial" w:eastAsia="Calibri" w:hAnsi="Arial" w:cs="Arial"/>
          <w:lang w:val="es-ES"/>
        </w:rPr>
      </w:pPr>
      <w:r w:rsidRPr="006312E8">
        <w:rPr>
          <w:rFonts w:ascii="Arial" w:eastAsia="Calibri" w:hAnsi="Arial" w:cs="Arial"/>
          <w:lang w:val="es-ES"/>
        </w:rPr>
        <w:t xml:space="preserve">En caso que el administrado incumpla el pago del precio de venta en el plazo regulado en el numeral precedente, se procede a comunicar dicha situación al tercero que mejoró la oferta del precio, si lo hubiere, dándole un plazo de tres (3) días hábiles para que manifiesta su interés en la compra del predio por el monto ofertado conforme al numeral 6.10.1. De manifestar su aceptación, se procede a emitir la resolución que aprueba la venta a favor de este último, dejando sin efecto la resolución anterior. </w:t>
      </w:r>
    </w:p>
    <w:p w:rsidR="006312E8" w:rsidRPr="006312E8" w:rsidRDefault="006312E8" w:rsidP="006312E8">
      <w:pPr>
        <w:spacing w:after="0" w:line="240" w:lineRule="auto"/>
        <w:ind w:left="1701"/>
        <w:contextualSpacing/>
        <w:jc w:val="both"/>
        <w:rPr>
          <w:rFonts w:ascii="Arial" w:eastAsia="Calibri" w:hAnsi="Arial" w:cs="Arial"/>
          <w:lang w:val="es-ES"/>
        </w:rPr>
      </w:pPr>
    </w:p>
    <w:p w:rsidR="006312E8" w:rsidRPr="006312E8" w:rsidRDefault="006312E8" w:rsidP="006312E8">
      <w:pPr>
        <w:spacing w:after="0" w:line="240" w:lineRule="auto"/>
        <w:ind w:left="1701"/>
        <w:contextualSpacing/>
        <w:jc w:val="both"/>
        <w:rPr>
          <w:rFonts w:ascii="Arial" w:eastAsia="Calibri" w:hAnsi="Arial" w:cs="Arial"/>
          <w:lang w:val="es-ES"/>
        </w:rPr>
      </w:pPr>
      <w:r w:rsidRPr="006312E8">
        <w:rPr>
          <w:rFonts w:ascii="Arial" w:eastAsia="Calibri" w:hAnsi="Arial" w:cs="Arial"/>
          <w:lang w:val="es-ES"/>
        </w:rPr>
        <w:t xml:space="preserve">En caso que el incumplimiento de pago sea por parte del tercero que mejoró la oferta, se retoma el procedimiento de venta directa con el administrado que lo inició, por el precio que esté dispuesto a pagar, no pudiendo ser menor al fijado en la tasación que se comunicó en su momento. </w:t>
      </w:r>
    </w:p>
    <w:p w:rsidR="006312E8" w:rsidRPr="006312E8" w:rsidRDefault="006312E8" w:rsidP="006312E8">
      <w:pPr>
        <w:spacing w:after="0" w:line="240" w:lineRule="auto"/>
        <w:ind w:left="1701"/>
        <w:contextualSpacing/>
        <w:jc w:val="both"/>
        <w:rPr>
          <w:rFonts w:ascii="Arial" w:eastAsia="Calibri" w:hAnsi="Arial" w:cs="Arial"/>
          <w:lang w:val="es-ES"/>
        </w:rPr>
      </w:pPr>
    </w:p>
    <w:p w:rsidR="006312E8" w:rsidRPr="006312E8" w:rsidRDefault="006312E8" w:rsidP="006312E8">
      <w:pPr>
        <w:spacing w:after="0" w:line="240" w:lineRule="auto"/>
        <w:ind w:left="1701"/>
        <w:contextualSpacing/>
        <w:jc w:val="both"/>
        <w:rPr>
          <w:rFonts w:ascii="Arial" w:eastAsia="Calibri" w:hAnsi="Arial" w:cs="Arial"/>
          <w:lang w:val="es-ES"/>
        </w:rPr>
      </w:pPr>
      <w:r w:rsidRPr="006312E8">
        <w:rPr>
          <w:rFonts w:ascii="Arial" w:eastAsia="Calibri" w:hAnsi="Arial" w:cs="Arial"/>
          <w:lang w:val="es-ES"/>
        </w:rPr>
        <w:t>La forma de pago del precio de venta debe seguir el mismo procedimiento regulado en el numeral precedente y, en caso que no se llegara a efectuar dicho pago, se procede a dar por concluido el procedimiento sin que haya operado la venta.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2"/>
          <w:numId w:val="158"/>
        </w:numPr>
        <w:spacing w:after="0" w:line="240" w:lineRule="auto"/>
        <w:ind w:left="1701" w:hanging="850"/>
        <w:contextualSpacing/>
        <w:jc w:val="both"/>
        <w:rPr>
          <w:rFonts w:ascii="Arial" w:eastAsia="Calibri" w:hAnsi="Arial" w:cs="Arial"/>
          <w:b/>
          <w:lang w:val="es-ES"/>
        </w:rPr>
      </w:pPr>
      <w:r w:rsidRPr="006312E8">
        <w:rPr>
          <w:rFonts w:ascii="Arial" w:eastAsia="Calibri" w:hAnsi="Arial" w:cs="Arial"/>
          <w:b/>
          <w:lang w:val="es-ES"/>
        </w:rPr>
        <w:t>Del pago del precio en armadas</w:t>
      </w:r>
    </w:p>
    <w:p w:rsidR="006312E8" w:rsidRPr="006312E8" w:rsidRDefault="006312E8" w:rsidP="006312E8">
      <w:pPr>
        <w:spacing w:after="0" w:line="240" w:lineRule="auto"/>
        <w:ind w:left="1701"/>
        <w:contextualSpacing/>
        <w:jc w:val="both"/>
        <w:rPr>
          <w:rFonts w:ascii="Arial" w:eastAsia="Calibri" w:hAnsi="Arial" w:cs="Arial"/>
          <w:lang w:val="es-ES"/>
        </w:rPr>
      </w:pPr>
      <w:r w:rsidRPr="006312E8">
        <w:rPr>
          <w:rFonts w:ascii="Arial" w:eastAsia="Calibri" w:hAnsi="Arial" w:cs="Arial"/>
          <w:lang w:val="es-ES"/>
        </w:rPr>
        <w:t xml:space="preserve">En caso que se haya autorizado el pago del precio en armadas de acuerdo con el segundo párrafo del artículo 78-C del Reglamento, el mismo debe ser efectuado conforme a lo indicado en la resolución de aprobación de la venta o en la minuta de compraventa.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158"/>
        </w:numPr>
        <w:spacing w:after="0" w:line="240" w:lineRule="auto"/>
        <w:ind w:left="851" w:hanging="567"/>
        <w:contextualSpacing/>
        <w:jc w:val="both"/>
        <w:rPr>
          <w:rFonts w:ascii="Arial" w:eastAsia="Calibri" w:hAnsi="Arial" w:cs="Arial"/>
          <w:b/>
          <w:lang w:val="es-ES"/>
        </w:rPr>
      </w:pPr>
      <w:r w:rsidRPr="006312E8">
        <w:rPr>
          <w:rFonts w:ascii="Arial" w:eastAsia="Calibri" w:hAnsi="Arial" w:cs="Arial"/>
          <w:b/>
          <w:lang w:val="es-ES"/>
        </w:rPr>
        <w:t>Del contrato de compra venta y elevación a escritura pública.</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 xml:space="preserve">Una vez cancelado el total del precio de venta o el 20% del total del precio de venta para el caso del pago con préstamo hipotecario, la DGPE suscribe la minuta de compra venta y la escritura pública a favor del comprador, respecto de los predios de competencia de la SBN, en un plazo máximo de diez (10) días hábiles. </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 xml:space="preserve">Si los predios son de propiedad de otras entidades públicas, es el titular de dicha entidad o aquel que tenga facultades conforme a su Reglamento de Organización y Funciones, el responsable de suscribir la minuta de compra venta y la escritura pública a favor del comprador. </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En caso el pago del precio de venta se efectúe con préstamo hipotecario, debe dejarse estipulado en el contrato que el saldo del precio será pagado dentro del plazo de veinte (20) días hábiles, contado desde la entrega de dicha minuta. La firma de la escritura pública se hará luego que se pague íntegramente el precio de venta o en su defecto, contra la entrega del cheque de gerencia en la notaría a cargo del trámite.</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 xml:space="preserve">En caso que se haya autorizado el pago del precio en armadas conforme al segundo párrafo del artículo 78-C del Reglamento, el monto de las cuotas de pago, los intereses, el cronograma de pago y demás detalles serán fijados en la minuta de compra venta. </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Los gastos notariales y registrales, en todos los casos, serán asumidos por el comprador, inclusive una copia del testimonio a favor de la entidad vendedora.</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 xml:space="preserve">Una vez cancelado el precio de venta, la entidad vendedora debe efectuar la declaración jurada de baja del predio ante la municipalidad de la jurisdicción donde se ubica el predio.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158"/>
        </w:numPr>
        <w:spacing w:after="0" w:line="240" w:lineRule="auto"/>
        <w:ind w:left="851" w:hanging="567"/>
        <w:contextualSpacing/>
        <w:jc w:val="both"/>
        <w:rPr>
          <w:rFonts w:ascii="Arial" w:eastAsia="Calibri" w:hAnsi="Arial" w:cs="Arial"/>
          <w:b/>
          <w:lang w:val="es-ES"/>
        </w:rPr>
      </w:pPr>
      <w:r w:rsidRPr="006312E8">
        <w:rPr>
          <w:rFonts w:ascii="Arial" w:eastAsia="Calibri" w:hAnsi="Arial" w:cs="Arial"/>
          <w:b/>
          <w:lang w:val="es-ES"/>
        </w:rPr>
        <w:t>Liquidación y distribución de los ingresos obtenidos con la venta.</w:t>
      </w: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 xml:space="preserve">Dentro del plazo de cinco (05) días hábiles de haber tomado conocimiento del pago del precio de venta, la unidad orgánica competente que sustentó la venta debe solicitar al área administrativa la liquidación de los gastos operativos y administrativos y la distribución de ingresos obtenidos con la venta. </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Los gastos administrativos son aquellos gastos indirectos que sirven de soporte al proceso de venta, tales como: viáticos de los profesionales,   impresiones de planos y otros documentos, pagos de luz, agua, teléfono y otros de la sede administrativa, entre otros.</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Los gastos operativos son aquellos gastos que realiza la entidad que están directamente vinculados al procedimiento o al predio materia de venta directa, tales como: pago de los tributos municipales y de servicios públicos, seguridad y vigilancia, tasas registrales, honorarios de los profesionales contratados de manera exclusiva para dicho procedimiento, entre otros.</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 xml:space="preserve">La liquidación de los gastos operativos y administrativos vinculados al predio materia de venta directa es efectuada por la OAF en el caso de la SBN, o la que haga sus veces, en el caso de las entidades del Sistema, en un plazo de quince (15) días hábiles de efectuada la comunicación por la unidad orgánica competente que sustentó la venta. </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 xml:space="preserve">La deducción por gastos administrativos, por todo concepto, será de dos (2) Unidades Impositivas Tributarias. </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En el mismo acto, la OAF en el caso de la SBN o la que haga sus veces en el caso de las demás entidades del Sistema, debe efectuar la liquidación total del producto de la venta, imputando los porcentajes de distribución conforme a la legislación vigente, previa deducción de los gastos que se haya determinado. Para este efecto, el porcentaje de distribución y base legal debe ser comunicado por la unidad orgánica competente que sustentó el procedimiento de venta.</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La transferencia de fondos del precio de venta en las cuentas públicas que correspondan, es efectuada por la OAF en el caso de la SBN, o la que haga sus veces, en el caso de las entidades del Sistema, conforme a la liquidación de venta, dentro del plazo de cinco (05) días hábiles de comunicada dicha liquidación.</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 xml:space="preserve">En el caso que se haya autorizado el pago del precio de venta a plazos, la deducción de los gastos operativos y administrativos, así como la entrega del porcentaje que corresponde a la SBN, serán imputados a la primera cuota que pague el comprador y, en caso resultare insuficiente, se aplicará a las siguientes cuotas hasta completar el monto que corresponda.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158"/>
        </w:numPr>
        <w:spacing w:after="0" w:line="240" w:lineRule="auto"/>
        <w:ind w:left="851" w:hanging="567"/>
        <w:contextualSpacing/>
        <w:jc w:val="both"/>
        <w:rPr>
          <w:rFonts w:ascii="Arial" w:eastAsia="Calibri" w:hAnsi="Arial" w:cs="Arial"/>
          <w:b/>
          <w:lang w:val="es-ES"/>
        </w:rPr>
      </w:pPr>
      <w:r w:rsidRPr="006312E8">
        <w:rPr>
          <w:rFonts w:ascii="Arial" w:eastAsia="Calibri" w:hAnsi="Arial" w:cs="Arial"/>
          <w:b/>
          <w:lang w:val="es-ES"/>
        </w:rPr>
        <w:t>De la actualización del SINABIP.</w:t>
      </w: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Con el contrato de compraventa debidamente firmado por las partes y/o asiento registral de inscripción de la transferencia de dominio del predio, se dispone la cancelación del asiento correspondiente del SINABIP y el archivo definitivo del expediente. Asimismo, de ser el caso, se procede a realizar el descargo correspondiente en los registros contables de la entidad ex propietaria del predio.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58"/>
        </w:numPr>
        <w:spacing w:after="0" w:line="240" w:lineRule="auto"/>
        <w:ind w:left="426" w:hanging="426"/>
        <w:contextualSpacing/>
        <w:jc w:val="both"/>
        <w:rPr>
          <w:rFonts w:ascii="Arial" w:eastAsia="Calibri" w:hAnsi="Arial" w:cs="Arial"/>
          <w:b/>
          <w:lang w:val="es-ES"/>
        </w:rPr>
      </w:pPr>
      <w:r w:rsidRPr="006312E8">
        <w:rPr>
          <w:rFonts w:ascii="Arial" w:eastAsia="Calibri" w:hAnsi="Arial" w:cs="Arial"/>
          <w:b/>
          <w:lang w:val="es-ES"/>
        </w:rPr>
        <w:t>DISPOSICIONES COMPLEMENTARIAS</w:t>
      </w:r>
    </w:p>
    <w:p w:rsidR="006312E8" w:rsidRPr="006312E8" w:rsidRDefault="006312E8" w:rsidP="006312E8">
      <w:pPr>
        <w:spacing w:after="0" w:line="240" w:lineRule="auto"/>
        <w:ind w:left="1080"/>
        <w:contextualSpacing/>
        <w:jc w:val="both"/>
        <w:rPr>
          <w:rFonts w:ascii="Arial" w:eastAsia="Calibri" w:hAnsi="Arial" w:cs="Arial"/>
          <w:lang w:val="es-ES"/>
        </w:rPr>
      </w:pPr>
    </w:p>
    <w:p w:rsidR="006312E8" w:rsidRPr="006312E8" w:rsidRDefault="006312E8" w:rsidP="006312E8">
      <w:pPr>
        <w:spacing w:after="0" w:line="240" w:lineRule="auto"/>
        <w:ind w:left="426"/>
        <w:contextualSpacing/>
        <w:jc w:val="both"/>
        <w:rPr>
          <w:rFonts w:ascii="Arial" w:eastAsia="Calibri" w:hAnsi="Arial" w:cs="Arial"/>
          <w:b/>
          <w:lang w:val="es-ES"/>
        </w:rPr>
      </w:pPr>
      <w:r w:rsidRPr="006312E8">
        <w:rPr>
          <w:rFonts w:ascii="Arial" w:eastAsia="Calibri" w:hAnsi="Arial" w:cs="Arial"/>
          <w:b/>
          <w:lang w:val="es-ES"/>
        </w:rPr>
        <w:t>Primera.- Del requerimiento de información a entidades públicas para sustentar el procedimiento de venta directa.</w:t>
      </w:r>
    </w:p>
    <w:p w:rsidR="006312E8" w:rsidRPr="006312E8" w:rsidRDefault="006312E8" w:rsidP="006312E8">
      <w:p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La entidad pública encargada del procedimiento de venta directa puede también solicitar, de ser el caso, información sobre el predio ante el Ministerio de Cultura, Superintendencia Nacional de los Registros Públicos, Municipalidades y otras entidades, quienes deben atender en el plazo máximo de siete (7) días hábiles de efectuado el requerimiento, conforme al artículo 56º de la Ley Nº 30230 – Ley que establece medidas tributarias, simplificación de procedimientos y permisos para la promoción y dinamización de la inversión en el país.</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6312E8">
      <w:pPr>
        <w:spacing w:after="0" w:line="240" w:lineRule="auto"/>
        <w:ind w:left="426"/>
        <w:contextualSpacing/>
        <w:jc w:val="both"/>
        <w:rPr>
          <w:rFonts w:ascii="Arial" w:eastAsia="Calibri" w:hAnsi="Arial" w:cs="Arial"/>
          <w:b/>
          <w:lang w:val="es-ES"/>
        </w:rPr>
      </w:pPr>
      <w:r w:rsidRPr="006312E8">
        <w:rPr>
          <w:rFonts w:ascii="Arial" w:eastAsia="Calibri" w:hAnsi="Arial" w:cs="Arial"/>
          <w:b/>
          <w:lang w:val="es-ES"/>
        </w:rPr>
        <w:t>Segunda.- De la desafectación administrativa de los predios estatales de dominio público</w:t>
      </w:r>
    </w:p>
    <w:p w:rsidR="006312E8" w:rsidRPr="006312E8" w:rsidRDefault="006312E8" w:rsidP="006312E8">
      <w:p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Cuando el predio solicitado en venta sea uno de dominio público por haber sido declarado formalmente como tal y se hubiere constatado la pérdida de la naturaleza o condición apropiada para uso público o para ser destinado a la prestación de un servicio público, la unidad orgánica que sustenta la venta debe comunicar a la entidad competente para que evalúe y tramite la desafectación administrativa.</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6312E8">
      <w:p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 xml:space="preserve">En caso que el predio solicitado en venta, se encuentre bajo competencia de la SBN, la desafectación administrativa se encuentra a cargo de la SDDI. </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6312E8">
      <w:p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En tanto, concluya el procedimiento administrativo de desafectación, el procedimiento de venta directa del predio queda suspendido.</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6312E8">
      <w:p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La resolución que aprueba la desafectación de dominio público debe ser publicada en el diario oficial El Peruano, cuyo costo será asumido por el administrado interesado en la compra del predio.</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6312E8">
      <w:p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Una vez que haya quedado firme la resolución de desafectación se procede a gestionar la inscripción registral.</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6312E8">
      <w:p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 xml:space="preserve">Los predios de dominio privado estatal que hubieren pasado a la condición de dominio público por el hecho de haber estado siendo destinado al uso o servicio público, retornan a su condición de dominio privado en cuanto haya cesado dicha situación fáctica, no requiriendo de una declaración formal de desafectación.    </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6312E8">
      <w:pPr>
        <w:spacing w:after="0" w:line="240" w:lineRule="auto"/>
        <w:ind w:left="426"/>
        <w:contextualSpacing/>
        <w:jc w:val="both"/>
        <w:rPr>
          <w:rFonts w:ascii="Arial" w:eastAsia="Calibri" w:hAnsi="Arial" w:cs="Arial"/>
          <w:b/>
          <w:lang w:val="es-ES"/>
        </w:rPr>
      </w:pPr>
      <w:r w:rsidRPr="006312E8">
        <w:rPr>
          <w:rFonts w:ascii="Arial" w:eastAsia="Calibri" w:hAnsi="Arial" w:cs="Arial"/>
          <w:b/>
          <w:lang w:val="es-ES"/>
        </w:rPr>
        <w:t>Tercera.- De la disposición de predios sustentada en la causal de ejecución de proyecto.</w:t>
      </w:r>
    </w:p>
    <w:p w:rsidR="006312E8" w:rsidRPr="006312E8" w:rsidRDefault="006312E8" w:rsidP="006312E8">
      <w:p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 xml:space="preserve">Para el supuesto de venta directa sustentada en la causal de ejecución de un proyecto de interés nacional o regional, prevista en el literal b) del artículo 77º del Reglamento, el comprador del predio puede transferirlo a terceros, manteniéndose la finalidad y plazo para la ejecución del proyecto que consta en el título.    </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6312E8">
      <w:pPr>
        <w:spacing w:after="0" w:line="240" w:lineRule="auto"/>
        <w:ind w:left="426"/>
        <w:contextualSpacing/>
        <w:jc w:val="both"/>
        <w:rPr>
          <w:rFonts w:ascii="Arial" w:eastAsia="Calibri" w:hAnsi="Arial" w:cs="Arial"/>
          <w:b/>
          <w:lang w:val="es-ES"/>
        </w:rPr>
      </w:pPr>
      <w:r w:rsidRPr="006312E8">
        <w:rPr>
          <w:rFonts w:ascii="Arial" w:eastAsia="Calibri" w:hAnsi="Arial" w:cs="Arial"/>
          <w:b/>
          <w:lang w:val="es-ES"/>
        </w:rPr>
        <w:t xml:space="preserve">Cuarta.- De la comunicación para el pago del precio de venta en cuotas </w:t>
      </w:r>
    </w:p>
    <w:p w:rsidR="006312E8" w:rsidRPr="006312E8" w:rsidRDefault="006312E8" w:rsidP="006312E8">
      <w:p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Sólo en los casos que la venta directa se sustente en las causales previstas en los literales c) y d) del artículo 77º del Reglamento y el administrado no cuente con otra propiedad inmobiliaria en la jurisdicción provincial en la que se ubica el predio, este puede pedir que al aprobar la venta se le autorice el pago del precio en armadas y en un plazo no mayor de tres (3) años, conforme a lo previsto en el segundo párrafo del artículo 78-C del Reglamento. Dicha solicitud puede ser presentada hasta antes que se emita la resolución aprobando la venta.</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6312E8">
      <w:p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 xml:space="preserve">Para este efecto, se considera como una sola provincia a la jurisdicción de Lima Metropolitana, la Provincia Constitucional del Callao y la provincia de Huarochirí. </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6312E8">
      <w:p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 xml:space="preserve">La inexistencia de propiedad predial del administrado será acreditada con el Certificado Negativo de Propiedad emitido por la SUNARP, cuya antigüedad no debe exceder de sesenta (60) días desde su emisión, acompañado de una declaración jurada donde manifieste que no cuenta con otra propiedad en la jurisdicción provincial donde se ubica el predio. Dicha documentación debe presentarse antes de la emisión de la resolución de aprobación de la venta. </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6312E8">
      <w:pPr>
        <w:spacing w:after="0" w:line="240" w:lineRule="auto"/>
        <w:ind w:left="426"/>
        <w:contextualSpacing/>
        <w:jc w:val="both"/>
        <w:rPr>
          <w:rFonts w:ascii="Arial" w:eastAsia="Calibri" w:hAnsi="Arial" w:cs="Arial"/>
          <w:b/>
          <w:lang w:val="es-ES"/>
        </w:rPr>
      </w:pPr>
      <w:r w:rsidRPr="006312E8">
        <w:rPr>
          <w:rFonts w:ascii="Arial" w:eastAsia="Calibri" w:hAnsi="Arial" w:cs="Arial"/>
          <w:b/>
          <w:lang w:val="es-ES"/>
        </w:rPr>
        <w:t xml:space="preserve">Quinta.- Del encargo a la SBN para la sustentación de la venta directa </w:t>
      </w:r>
    </w:p>
    <w:p w:rsidR="006312E8" w:rsidRPr="006312E8" w:rsidRDefault="006312E8" w:rsidP="006312E8">
      <w:p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 xml:space="preserve">Las entidades del Sistema Nacional de Bienes Estatales pueden encargar, vía convenio, a la SBN la sustentación del expediente para la aprobación de la venta directa de sus predios. </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6312E8">
      <w:p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 xml:space="preserve">En el convenio se fija la forma como debe reembolsarse los gastos administrativos y operativos; asimismo, se establece el monto que debe pagarse por concepto de comisión a la SBN. </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6312E8">
      <w:p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El encargo culmina cuando la SBN remite el expediente a la entidad, adjuntando un informe que contiene la opinión técnica favorable, de ser el caso. La aprobación de la venta del predio corresponde efectuarla a la propia entidad titular de este.</w:t>
      </w:r>
    </w:p>
    <w:p w:rsidR="006312E8" w:rsidRPr="006312E8" w:rsidRDefault="006312E8" w:rsidP="006312E8">
      <w:pPr>
        <w:spacing w:after="0" w:line="240" w:lineRule="auto"/>
        <w:ind w:left="426"/>
        <w:contextualSpacing/>
        <w:jc w:val="both"/>
        <w:rPr>
          <w:rFonts w:ascii="Arial" w:eastAsia="Calibri" w:hAnsi="Arial" w:cs="Arial"/>
          <w:b/>
          <w:lang w:val="es-ES"/>
        </w:rPr>
      </w:pPr>
      <w:r w:rsidRPr="006312E8">
        <w:rPr>
          <w:rFonts w:ascii="Arial" w:eastAsia="Calibri" w:hAnsi="Arial" w:cs="Arial"/>
          <w:b/>
          <w:lang w:val="es-ES"/>
        </w:rPr>
        <w:t xml:space="preserve">Sexta.- Verificación del cumplimiento de la finalidad para la cual se efectuó la venta directa y levantamiento de la carga </w:t>
      </w:r>
    </w:p>
    <w:p w:rsidR="006312E8" w:rsidRPr="006312E8" w:rsidRDefault="006312E8" w:rsidP="006312E8">
      <w:p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La verificación del cumplimiento de la finalidad para la cual se vendió directamente el predio, corresponde ser efectuada por la propia entidad que aprobó el proyecto de interés nacional o regional, sin perjuicio de la supervisión que pueda efectuar la SBN.</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6312E8">
      <w:p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La SBN, en cumplimiento de su función de supervisión como ente rector del SNBE, puede solicitar información o pronunciamiento técnico a la entidad que aprobó el proyecto, respecto a la verificación del cumplimiento de dicha finalidad, que debe ser atendida en un plazo no mayor de treinta (30) días hábiles.</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6312E8">
      <w:p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Con el informe de la entidad que aprobó el proyecto, en el que se pronuncia sobre el cumplimiento de la finalidad para la cual se efectuó la venta directa, el propietario del predio puede solicitar el levantamiento de la carga, la cual es aprobada por la unidad orgánica competente de la entidad que efectuó la venta.</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6312E8">
      <w:p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En caso de incumplimiento de la finalidad, acreditada con el pronunciamiento de la entidad que aprobó el proyecto, la unidad orgánica competente de la entidad que efectuó la venta emitirá la resolución de reversión del predio a favor del Estado o de la entidad que transfirió el predio.</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6312E8">
      <w:p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 xml:space="preserve">En el caso de los predios del Estado a cargo de la SBN, el levantamiento de la carga por cumplimiento de la finalidad o reversión del predio por incumplimiento de la finalidad, será aprobada por SDAPE; y, en las regiones en las que ya se efectuó la transferencia de competencias a que se refiere el artículo 62º de la Ley Nº 27867, Ley Orgánica de Gobiernos Regionales, será efectuado por el Gobierno Regional respectivo.  </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6312E8">
      <w:pPr>
        <w:spacing w:after="0" w:line="240" w:lineRule="auto"/>
        <w:ind w:left="426"/>
        <w:contextualSpacing/>
        <w:jc w:val="both"/>
        <w:rPr>
          <w:rFonts w:ascii="Arial" w:eastAsia="Calibri" w:hAnsi="Arial" w:cs="Arial"/>
          <w:b/>
          <w:lang w:val="es-ES"/>
        </w:rPr>
      </w:pPr>
      <w:r w:rsidRPr="006312E8">
        <w:rPr>
          <w:rFonts w:ascii="Arial" w:eastAsia="Calibri" w:hAnsi="Arial" w:cs="Arial"/>
          <w:b/>
          <w:lang w:val="es-ES"/>
        </w:rPr>
        <w:t xml:space="preserve">Sétima.- De la suscripción de contratos de compraventa en la disposición de predios aprobada en el marco del Plan Nacional de Vivienda o en los procesos de promoción de la inversión con asociación pública privada.  </w:t>
      </w:r>
    </w:p>
    <w:p w:rsidR="006312E8" w:rsidRPr="006312E8" w:rsidRDefault="006312E8" w:rsidP="006312E8">
      <w:p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Los contratos de compraventa de predios del Estado a favor de las empresas adjudicatarias de la Buena Pro, encargadas de la construcción y promoción del acceso de la población a la propiedad privada destinada a la vivienda en el marco del Plan Nacional de Vivienda, serán suscritos por la DGPE de la SBN o por la unidad orgánica competente del Gobierno Regional que cuente con las competencias transferidas, conforme al artículo 62º de la Ley Nº 27867, Ley Orgánica de Gobiernos Regionales.</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6312E8">
      <w:p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Los contratos de transferencia de dominio de predios del Estado otorgados en el marco de los procesos de promoción de la inversión privada, que regula el Decreto Legislativo Nº 1012 y su Reglamento aprobado por el Decreto Supremo Nº 127-2014-EF, que no se encuentren inmersos en los casos señalados en el párrafo precedente, serán suscritos por el organismo promotor, remitiendo dicho documento a la SBN para su registro en el SINABIP.</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6312E8">
      <w:p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En ambos casos, la determinación del precio de venta, así como la verificación del cumplimiento de las obligaciones futuras a que se compromete el adquirente del predio, es de responsabilidad de la entidad promotora o de la entidad que se indique en el correspondiente contrato.</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6312E8">
      <w:pPr>
        <w:spacing w:after="0" w:line="240" w:lineRule="auto"/>
        <w:ind w:left="426"/>
        <w:contextualSpacing/>
        <w:jc w:val="both"/>
        <w:rPr>
          <w:rFonts w:ascii="Arial" w:eastAsia="Calibri" w:hAnsi="Arial" w:cs="Arial"/>
          <w:b/>
          <w:lang w:val="es-ES"/>
        </w:rPr>
      </w:pPr>
      <w:r w:rsidRPr="006312E8">
        <w:rPr>
          <w:rFonts w:ascii="Arial" w:eastAsia="Calibri" w:hAnsi="Arial" w:cs="Arial"/>
          <w:b/>
          <w:lang w:val="es-ES"/>
        </w:rPr>
        <w:t>Octava.- De los predios cuyas ventas han sido declaradas improcedentes</w:t>
      </w:r>
    </w:p>
    <w:p w:rsidR="006312E8" w:rsidRPr="006312E8" w:rsidRDefault="006312E8" w:rsidP="006312E8">
      <w:p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 xml:space="preserve">En caso de haberse declarado improcedente, el pedido venta directa de un predio estatal por no haberse acreditado los requisitos que se exige para la casual o el administrado se hubiere desistido de su solicitud, el predio puede ser sometido a un procedimiento de subasta pública u otra forma de gestión que resulte más eficiente, sin perjuicio de ponerse en conocimiento de la Procuraduría Pública, a través de las unidades orgánicas competentes, para el inicio de las acciones judiciales de recuperación, si fuere el caso. </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6312E8">
      <w:p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 xml:space="preserve">Para los efectos del nuevo procedimiento de gestión que inicie de oficio la administración, puede utilizarse la tasación comercial vigente y demás documentos técnicos y legales que ya se tenga en el expediente concluido. </w:t>
      </w:r>
    </w:p>
    <w:p w:rsidR="006312E8" w:rsidRDefault="006312E8" w:rsidP="006312E8">
      <w:pPr>
        <w:spacing w:after="0" w:line="240" w:lineRule="auto"/>
        <w:ind w:left="426"/>
        <w:contextualSpacing/>
        <w:jc w:val="both"/>
        <w:rPr>
          <w:rFonts w:ascii="Arial" w:eastAsia="Calibri" w:hAnsi="Arial" w:cs="Arial"/>
          <w:lang w:val="es-ES"/>
        </w:rPr>
      </w:pPr>
    </w:p>
    <w:p w:rsidR="00B00199" w:rsidRDefault="00B00199" w:rsidP="006312E8">
      <w:pPr>
        <w:spacing w:after="0" w:line="240" w:lineRule="auto"/>
        <w:ind w:left="426"/>
        <w:contextualSpacing/>
        <w:jc w:val="both"/>
        <w:rPr>
          <w:rFonts w:ascii="Arial" w:eastAsia="Calibri" w:hAnsi="Arial" w:cs="Arial"/>
          <w:lang w:val="es-ES"/>
        </w:rPr>
      </w:pPr>
    </w:p>
    <w:p w:rsidR="00B00199" w:rsidRPr="006312E8" w:rsidRDefault="00B00199" w:rsidP="006312E8">
      <w:pPr>
        <w:spacing w:after="0" w:line="240" w:lineRule="auto"/>
        <w:ind w:left="426"/>
        <w:contextualSpacing/>
        <w:jc w:val="both"/>
        <w:rPr>
          <w:rFonts w:ascii="Arial" w:eastAsia="Calibri" w:hAnsi="Arial" w:cs="Arial"/>
          <w:lang w:val="es-ES"/>
        </w:rPr>
      </w:pPr>
    </w:p>
    <w:p w:rsidR="006312E8" w:rsidRPr="006312E8" w:rsidRDefault="006312E8" w:rsidP="006312E8">
      <w:pPr>
        <w:spacing w:after="0" w:line="240" w:lineRule="auto"/>
        <w:ind w:left="426"/>
        <w:contextualSpacing/>
        <w:jc w:val="both"/>
        <w:rPr>
          <w:rFonts w:ascii="Arial" w:eastAsia="Calibri" w:hAnsi="Arial" w:cs="Arial"/>
          <w:b/>
          <w:lang w:val="es-ES"/>
        </w:rPr>
      </w:pPr>
      <w:r w:rsidRPr="006312E8">
        <w:rPr>
          <w:rFonts w:ascii="Arial" w:eastAsia="Calibri" w:hAnsi="Arial" w:cs="Arial"/>
          <w:b/>
          <w:lang w:val="es-ES"/>
        </w:rPr>
        <w:t>Novena.- Entrega Provisional en el procedimiento de venta directa</w:t>
      </w:r>
    </w:p>
    <w:p w:rsidR="006312E8" w:rsidRPr="006312E8" w:rsidRDefault="006312E8" w:rsidP="006312E8">
      <w:p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La entrega provisional del predio estatal procede en caso peligre la seguridad del predio o existan razones debidamente acreditadas, siempre que haya sido calificado favorablemente el procedimiento de venta directa.</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6312E8">
      <w:p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En los procedimientos de venta directa sustentados por las entidades, la entrega provisional procede siempre que se cuente, además de lo indicado en el párrafo precedente, con la opinión favorable de la SBN.</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6312E8">
      <w:p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 xml:space="preserve">A fin que la SBN pueda emitir opinión sobre una solicitud de entrega provisional formulada por un tercero, la entidad que sustenta el procedimiento debe remitir lo siguiente: </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92471C">
      <w:pPr>
        <w:numPr>
          <w:ilvl w:val="0"/>
          <w:numId w:val="166"/>
        </w:num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Solicitud de venta directa.</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92471C">
      <w:pPr>
        <w:numPr>
          <w:ilvl w:val="0"/>
          <w:numId w:val="166"/>
        </w:num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Plano perimétrico – ubicación del predio en coordenadas UTM a escala apropiada, con la indicación del área, linderos, ángulos y medidas perimétricas correspondientes.</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92471C">
      <w:pPr>
        <w:numPr>
          <w:ilvl w:val="0"/>
          <w:numId w:val="166"/>
        </w:num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Memoria descriptiva del predio, describiendo la ubicación, el área, los linderos, las medidas perimétricas, la zonificación si la hubiere y otras observaciones que se consideren pertinentes.</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92471C">
      <w:pPr>
        <w:numPr>
          <w:ilvl w:val="0"/>
          <w:numId w:val="166"/>
        </w:num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Copia de la partida registral del predio materia de venta directa.</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92471C">
      <w:pPr>
        <w:numPr>
          <w:ilvl w:val="0"/>
          <w:numId w:val="166"/>
        </w:num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Informe de calificación favorable de la solicitud de venta directa.</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6312E8">
      <w:p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 xml:space="preserve">Recibida la solicitud, la SDDI procede a verificar la documentación presentada, pudiendo requerir a la entidad, vía oficio o correo electrónico, para que presente los documentos complementarios o la aclaración que estime necesaria, dentro del plazo de cinco (5) días hábiles de recibida la notificación, caso contrario se devolverá el expediente. </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6312E8">
      <w:p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La opinión técnica será emitida por la SDDI de la SBN y se circunscribe únicamente a la verificación del cumplimiento de la causal venta directa sobre la base del informe de calificación favorable emitido por la entidad.</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6312E8">
      <w:p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La opinión técnica debe ser emitida en un plazo no mayor de treinta (30) días hábiles de recibida la solicitud o efectuada la subsanación de la misma.</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6312E8">
      <w:pPr>
        <w:spacing w:after="0" w:line="240" w:lineRule="auto"/>
        <w:ind w:left="426"/>
        <w:contextualSpacing/>
        <w:jc w:val="both"/>
        <w:rPr>
          <w:rFonts w:ascii="Arial" w:eastAsia="Calibri" w:hAnsi="Arial" w:cs="Arial"/>
          <w:b/>
          <w:lang w:val="es-ES"/>
        </w:rPr>
      </w:pPr>
      <w:r w:rsidRPr="006312E8">
        <w:rPr>
          <w:rFonts w:ascii="Arial" w:eastAsia="Calibri" w:hAnsi="Arial" w:cs="Arial"/>
          <w:b/>
          <w:lang w:val="es-ES"/>
        </w:rPr>
        <w:t xml:space="preserve">Décima.- Unidad orgánica competente para la sustentación y aprobación de la venta directa de predios de propiedad de la SBN </w:t>
      </w:r>
    </w:p>
    <w:p w:rsidR="006312E8" w:rsidRPr="006312E8" w:rsidRDefault="006312E8" w:rsidP="006312E8">
      <w:p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La SDDI es la unidad orgánica responsable de sustentar el procedimiento y aprobar la venta directa de predios de propiedad de la SBN.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58"/>
        </w:numPr>
        <w:tabs>
          <w:tab w:val="left" w:pos="426"/>
        </w:tabs>
        <w:spacing w:after="0" w:line="240" w:lineRule="auto"/>
        <w:ind w:left="709"/>
        <w:contextualSpacing/>
        <w:jc w:val="both"/>
        <w:rPr>
          <w:rFonts w:ascii="Arial" w:eastAsia="Calibri" w:hAnsi="Arial" w:cs="Arial"/>
          <w:b/>
          <w:lang w:val="es-ES"/>
        </w:rPr>
      </w:pPr>
      <w:r w:rsidRPr="006312E8">
        <w:rPr>
          <w:rFonts w:ascii="Arial" w:eastAsia="Calibri" w:hAnsi="Arial" w:cs="Arial"/>
          <w:b/>
          <w:lang w:val="es-ES"/>
        </w:rPr>
        <w:t>DISPOSICIONES TRANSITORIAS</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6312E8">
      <w:pPr>
        <w:spacing w:after="0" w:line="240" w:lineRule="auto"/>
        <w:ind w:left="426"/>
        <w:contextualSpacing/>
        <w:jc w:val="both"/>
        <w:rPr>
          <w:rFonts w:ascii="Arial" w:eastAsia="Calibri" w:hAnsi="Arial" w:cs="Arial"/>
          <w:lang w:val="es-ES"/>
        </w:rPr>
      </w:pPr>
      <w:r w:rsidRPr="006312E8">
        <w:rPr>
          <w:rFonts w:ascii="Arial" w:eastAsia="Calibri" w:hAnsi="Arial" w:cs="Arial"/>
          <w:b/>
          <w:lang w:val="es-ES"/>
        </w:rPr>
        <w:t>Primera.-</w:t>
      </w:r>
      <w:r w:rsidRPr="006312E8">
        <w:rPr>
          <w:rFonts w:ascii="Arial" w:eastAsia="Calibri" w:hAnsi="Arial" w:cs="Arial"/>
          <w:lang w:val="es-ES"/>
        </w:rPr>
        <w:t xml:space="preserve"> </w:t>
      </w:r>
      <w:r w:rsidRPr="006312E8">
        <w:rPr>
          <w:rFonts w:ascii="Arial" w:eastAsia="Calibri" w:hAnsi="Arial" w:cs="Arial"/>
          <w:b/>
          <w:lang w:val="es-ES"/>
        </w:rPr>
        <w:t>De los procedimientos iniciados antes de la entrada en vigencia de la presente Directiva.</w:t>
      </w:r>
    </w:p>
    <w:p w:rsidR="006312E8" w:rsidRPr="006312E8" w:rsidRDefault="006312E8" w:rsidP="006312E8">
      <w:p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 xml:space="preserve">En los procedimientos de regularización de los contratos de compraventa o adjudicación a título oneroso, que compete efectuar a la SBN por mandato de una norma legal expresa, se aplica la presente directiva, en lo que fuere pertinente. </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6312E8">
      <w:pPr>
        <w:spacing w:after="0" w:line="240" w:lineRule="auto"/>
        <w:ind w:left="426"/>
        <w:contextualSpacing/>
        <w:jc w:val="both"/>
        <w:rPr>
          <w:rFonts w:ascii="Arial" w:eastAsia="Calibri" w:hAnsi="Arial" w:cs="Arial"/>
          <w:lang w:val="es-ES"/>
        </w:rPr>
      </w:pPr>
      <w:r w:rsidRPr="006312E8">
        <w:rPr>
          <w:rFonts w:ascii="Arial" w:eastAsia="Calibri" w:hAnsi="Arial" w:cs="Arial"/>
          <w:b/>
          <w:lang w:val="es-ES"/>
        </w:rPr>
        <w:t>Segunda.-</w:t>
      </w:r>
      <w:r w:rsidRPr="006312E8">
        <w:rPr>
          <w:rFonts w:ascii="Arial" w:eastAsia="Calibri" w:hAnsi="Arial" w:cs="Arial"/>
          <w:lang w:val="es-ES"/>
        </w:rPr>
        <w:t xml:space="preserve"> </w:t>
      </w:r>
      <w:r w:rsidRPr="006312E8">
        <w:rPr>
          <w:rFonts w:ascii="Arial" w:eastAsia="Calibri" w:hAnsi="Arial" w:cs="Arial"/>
          <w:b/>
          <w:lang w:val="es-ES"/>
        </w:rPr>
        <w:t>De los procedimientos iniciados antes de la entrada en vigencia de la presente Directiva.</w:t>
      </w:r>
    </w:p>
    <w:p w:rsidR="006312E8" w:rsidRPr="006312E8" w:rsidRDefault="006312E8" w:rsidP="006312E8">
      <w:p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 xml:space="preserve">Aquellos procedimientos iniciados bajo la vigencia del Reglamento General de Procedimientos Administrativos de los Bienes de Propiedad Estatal, aprobado por el Decreto Supremo Nº 154-2001-EF y sus modificatorias, se regirán por la presente Directiva en lo que fuere aplicable. </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6312E8">
      <w:p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 xml:space="preserve">Los procedimientos de venta directa que se encuentren en trámite y se hayan iniciado con la entrada en vigencia del Reglamento de la Ley Nº 29151, se regirán por la presente Directiva.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58"/>
        </w:numPr>
        <w:spacing w:after="0" w:line="240" w:lineRule="auto"/>
        <w:ind w:left="426" w:hanging="426"/>
        <w:contextualSpacing/>
        <w:jc w:val="both"/>
        <w:rPr>
          <w:rFonts w:ascii="Arial" w:eastAsia="Calibri" w:hAnsi="Arial" w:cs="Arial"/>
          <w:b/>
          <w:lang w:val="es-ES"/>
        </w:rPr>
      </w:pPr>
      <w:r w:rsidRPr="006312E8">
        <w:rPr>
          <w:rFonts w:ascii="Arial" w:eastAsia="Calibri" w:hAnsi="Arial" w:cs="Arial"/>
          <w:b/>
          <w:lang w:val="es-ES"/>
        </w:rPr>
        <w:t>DISPOSICIONES FINALES</w:t>
      </w:r>
    </w:p>
    <w:p w:rsidR="006312E8" w:rsidRPr="006312E8" w:rsidRDefault="006312E8" w:rsidP="006312E8">
      <w:pPr>
        <w:spacing w:after="0" w:line="240" w:lineRule="auto"/>
        <w:ind w:left="1080"/>
        <w:contextualSpacing/>
        <w:jc w:val="both"/>
        <w:rPr>
          <w:rFonts w:ascii="Arial" w:eastAsia="Calibri" w:hAnsi="Arial" w:cs="Arial"/>
          <w:lang w:val="es-ES"/>
        </w:rPr>
      </w:pPr>
    </w:p>
    <w:p w:rsidR="006312E8" w:rsidRPr="006312E8" w:rsidRDefault="006312E8" w:rsidP="006312E8">
      <w:pPr>
        <w:spacing w:after="0" w:line="240" w:lineRule="auto"/>
        <w:ind w:left="426"/>
        <w:contextualSpacing/>
        <w:jc w:val="both"/>
        <w:rPr>
          <w:rFonts w:ascii="Arial" w:eastAsia="Calibri" w:hAnsi="Arial" w:cs="Arial"/>
          <w:lang w:val="es-ES"/>
        </w:rPr>
      </w:pPr>
      <w:r w:rsidRPr="006312E8">
        <w:rPr>
          <w:rFonts w:ascii="Arial" w:eastAsia="Calibri" w:hAnsi="Arial" w:cs="Arial"/>
          <w:b/>
          <w:lang w:val="es-ES"/>
        </w:rPr>
        <w:t>Primera.-</w:t>
      </w:r>
      <w:r w:rsidRPr="006312E8">
        <w:rPr>
          <w:rFonts w:ascii="Arial" w:eastAsia="Calibri" w:hAnsi="Arial" w:cs="Arial"/>
          <w:lang w:val="es-ES"/>
        </w:rPr>
        <w:t xml:space="preserve"> La DGPE conjuntamente con la SDDI, son responsables de velar por el cumplimiento de las disposiciones contenidas en la presente Directiva, respecto de los predios de propiedad del Estado que se encuentran bajo la competencia de la SBN.</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6312E8">
      <w:p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 xml:space="preserve">En las entidades que conforman el Sistema, corresponde velar por el cumplimiento de las disposiciones contenidas en la presente Directiva, a los órganos o unidades orgánicas señaladas en sus documentos de gestión.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58"/>
        </w:numPr>
        <w:spacing w:after="0" w:line="240" w:lineRule="auto"/>
        <w:ind w:left="426" w:hanging="426"/>
        <w:contextualSpacing/>
        <w:jc w:val="both"/>
        <w:rPr>
          <w:rFonts w:ascii="Arial" w:eastAsia="Calibri" w:hAnsi="Arial" w:cs="Arial"/>
          <w:b/>
          <w:lang w:val="es-ES"/>
        </w:rPr>
      </w:pPr>
      <w:r w:rsidRPr="006312E8">
        <w:rPr>
          <w:rFonts w:ascii="Arial" w:eastAsia="Calibri" w:hAnsi="Arial" w:cs="Arial"/>
          <w:b/>
          <w:lang w:val="es-ES"/>
        </w:rPr>
        <w:t>ANEXOS</w:t>
      </w:r>
    </w:p>
    <w:p w:rsidR="006312E8" w:rsidRPr="006312E8" w:rsidRDefault="006312E8" w:rsidP="006312E8">
      <w:pPr>
        <w:spacing w:after="0" w:line="240" w:lineRule="auto"/>
        <w:ind w:left="1080"/>
        <w:contextualSpacing/>
        <w:jc w:val="both"/>
        <w:rPr>
          <w:rFonts w:ascii="Arial" w:eastAsia="Calibri" w:hAnsi="Arial" w:cs="Arial"/>
          <w:lang w:val="es-ES"/>
        </w:rPr>
      </w:pPr>
    </w:p>
    <w:p w:rsidR="006312E8" w:rsidRPr="006312E8" w:rsidRDefault="006312E8" w:rsidP="006312E8">
      <w:p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 xml:space="preserve">Forman parte de la presente Directiva los anexos que a continuación se indican: </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6312E8">
      <w:pPr>
        <w:spacing w:after="0" w:line="240" w:lineRule="auto"/>
        <w:ind w:left="426"/>
        <w:contextualSpacing/>
        <w:jc w:val="both"/>
        <w:rPr>
          <w:rFonts w:ascii="Arial" w:eastAsia="Calibri" w:hAnsi="Arial" w:cs="Arial"/>
          <w:lang w:val="es-ES"/>
        </w:rPr>
      </w:pPr>
      <w:r w:rsidRPr="006312E8">
        <w:rPr>
          <w:rFonts w:ascii="Arial" w:eastAsia="Calibri" w:hAnsi="Arial" w:cs="Arial"/>
          <w:b/>
          <w:lang w:val="es-ES"/>
        </w:rPr>
        <w:t>Anexo Nº 1:</w:t>
      </w:r>
      <w:r w:rsidRPr="006312E8">
        <w:rPr>
          <w:rFonts w:ascii="Arial" w:eastAsia="Calibri" w:hAnsi="Arial" w:cs="Arial"/>
          <w:lang w:val="es-ES"/>
        </w:rPr>
        <w:t xml:space="preserve"> Formato de Análisis Costo – Beneficio para la venta directa de predios de dominio privado del Estado de libre disponibilidad.</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6312E8">
      <w:pPr>
        <w:spacing w:after="0" w:line="240" w:lineRule="auto"/>
        <w:ind w:left="426"/>
        <w:contextualSpacing/>
        <w:jc w:val="both"/>
        <w:rPr>
          <w:rFonts w:ascii="Arial" w:eastAsia="Calibri" w:hAnsi="Arial" w:cs="Arial"/>
          <w:lang w:val="es-ES"/>
        </w:rPr>
      </w:pPr>
      <w:r w:rsidRPr="006312E8">
        <w:rPr>
          <w:rFonts w:ascii="Arial" w:eastAsia="Calibri" w:hAnsi="Arial" w:cs="Arial"/>
          <w:b/>
          <w:lang w:val="es-ES"/>
        </w:rPr>
        <w:t>Anexo N° 2:</w:t>
      </w:r>
      <w:r w:rsidRPr="006312E8">
        <w:rPr>
          <w:rFonts w:ascii="Arial" w:eastAsia="Calibri" w:hAnsi="Arial" w:cs="Arial"/>
          <w:lang w:val="es-ES"/>
        </w:rPr>
        <w:t xml:space="preserve"> Formato de Resumen de Valuación Comercial de Terreno Urbano.</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6312E8">
      <w:pPr>
        <w:spacing w:after="0" w:line="240" w:lineRule="auto"/>
        <w:ind w:left="426"/>
        <w:contextualSpacing/>
        <w:jc w:val="both"/>
        <w:rPr>
          <w:rFonts w:ascii="Arial" w:eastAsia="Calibri" w:hAnsi="Arial" w:cs="Arial"/>
          <w:lang w:val="es-ES"/>
        </w:rPr>
      </w:pPr>
      <w:r w:rsidRPr="006312E8">
        <w:rPr>
          <w:rFonts w:ascii="Arial" w:eastAsia="Calibri" w:hAnsi="Arial" w:cs="Arial"/>
          <w:b/>
          <w:lang w:val="es-ES"/>
        </w:rPr>
        <w:t>Anexo N°3:</w:t>
      </w:r>
      <w:r w:rsidRPr="006312E8">
        <w:rPr>
          <w:rFonts w:ascii="Arial" w:eastAsia="Calibri" w:hAnsi="Arial" w:cs="Arial"/>
          <w:lang w:val="es-ES"/>
        </w:rPr>
        <w:t xml:space="preserve"> Formato de Resumen de Valuación Comercial de Terreno Eriazo.</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6312E8">
      <w:pPr>
        <w:spacing w:after="0" w:line="240" w:lineRule="auto"/>
        <w:ind w:left="426"/>
        <w:contextualSpacing/>
        <w:jc w:val="both"/>
        <w:rPr>
          <w:rFonts w:ascii="Arial" w:eastAsia="Calibri" w:hAnsi="Arial" w:cs="Arial"/>
          <w:lang w:val="es-ES"/>
        </w:rPr>
      </w:pPr>
      <w:r w:rsidRPr="006312E8">
        <w:rPr>
          <w:rFonts w:ascii="Arial" w:eastAsia="Calibri" w:hAnsi="Arial" w:cs="Arial"/>
          <w:b/>
          <w:lang w:val="es-ES"/>
        </w:rPr>
        <w:t>Anexo N°4:</w:t>
      </w:r>
      <w:r w:rsidRPr="006312E8">
        <w:rPr>
          <w:rFonts w:ascii="Arial" w:eastAsia="Calibri" w:hAnsi="Arial" w:cs="Arial"/>
          <w:lang w:val="es-ES"/>
        </w:rPr>
        <w:t xml:space="preserve"> Formato de Resumen de Valuación Comercial de Terreno en Zona de Expansión Urbana.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1425"/>
        <w:contextualSpacing/>
        <w:jc w:val="both"/>
        <w:rPr>
          <w:rFonts w:ascii="Arial" w:eastAsia="Calibri" w:hAnsi="Arial" w:cs="Arial"/>
          <w:lang w:val="es-ES"/>
        </w:rPr>
      </w:pPr>
    </w:p>
    <w:p w:rsidR="006312E8" w:rsidRPr="006312E8" w:rsidRDefault="006312E8" w:rsidP="006312E8">
      <w:pPr>
        <w:spacing w:after="0" w:line="240" w:lineRule="auto"/>
        <w:ind w:left="1425"/>
        <w:contextualSpacing/>
        <w:jc w:val="both"/>
        <w:rPr>
          <w:rFonts w:ascii="Arial" w:eastAsia="Calibri" w:hAnsi="Arial" w:cs="Arial"/>
          <w:lang w:val="es-ES"/>
        </w:rPr>
      </w:pPr>
    </w:p>
    <w:p w:rsidR="006312E8" w:rsidRPr="006312E8" w:rsidRDefault="006312E8" w:rsidP="006312E8">
      <w:pPr>
        <w:spacing w:after="0" w:line="240" w:lineRule="auto"/>
        <w:ind w:left="1425"/>
        <w:contextualSpacing/>
        <w:jc w:val="both"/>
        <w:rPr>
          <w:rFonts w:ascii="Arial" w:eastAsia="Calibri" w:hAnsi="Arial" w:cs="Arial"/>
          <w:lang w:val="es-ES"/>
        </w:rPr>
      </w:pPr>
    </w:p>
    <w:p w:rsidR="006312E8" w:rsidRPr="006312E8" w:rsidRDefault="006312E8" w:rsidP="006312E8">
      <w:pPr>
        <w:spacing w:after="0" w:line="240" w:lineRule="auto"/>
        <w:ind w:left="1425"/>
        <w:contextualSpacing/>
        <w:jc w:val="both"/>
        <w:rPr>
          <w:rFonts w:ascii="Arial" w:eastAsia="Calibri" w:hAnsi="Arial" w:cs="Arial"/>
          <w:lang w:val="es-ES"/>
        </w:rPr>
      </w:pPr>
    </w:p>
    <w:p w:rsidR="006312E8" w:rsidRPr="006312E8" w:rsidRDefault="006312E8" w:rsidP="006312E8">
      <w:pPr>
        <w:spacing w:after="0" w:line="240" w:lineRule="auto"/>
        <w:ind w:left="1425"/>
        <w:contextualSpacing/>
        <w:jc w:val="both"/>
        <w:rPr>
          <w:rFonts w:ascii="Arial" w:eastAsia="Calibri" w:hAnsi="Arial" w:cs="Arial"/>
          <w:lang w:val="es-ES"/>
        </w:rPr>
      </w:pPr>
    </w:p>
    <w:p w:rsidR="006312E8" w:rsidRPr="006312E8" w:rsidRDefault="006312E8" w:rsidP="006312E8">
      <w:pPr>
        <w:spacing w:after="0" w:line="240" w:lineRule="auto"/>
        <w:ind w:left="1425"/>
        <w:contextualSpacing/>
        <w:jc w:val="both"/>
        <w:rPr>
          <w:rFonts w:ascii="Arial" w:eastAsia="Calibri" w:hAnsi="Arial" w:cs="Arial"/>
          <w:lang w:val="es-ES"/>
        </w:rPr>
      </w:pPr>
    </w:p>
    <w:p w:rsidR="006312E8" w:rsidRPr="006312E8" w:rsidRDefault="006312E8" w:rsidP="006312E8">
      <w:pPr>
        <w:spacing w:after="0" w:line="240" w:lineRule="auto"/>
        <w:ind w:left="1425"/>
        <w:contextualSpacing/>
        <w:jc w:val="both"/>
        <w:rPr>
          <w:rFonts w:ascii="Arial" w:eastAsia="Calibri" w:hAnsi="Arial" w:cs="Arial"/>
          <w:lang w:val="es-ES"/>
        </w:rPr>
      </w:pPr>
    </w:p>
    <w:p w:rsidR="006312E8" w:rsidRPr="006312E8" w:rsidRDefault="006312E8" w:rsidP="006312E8">
      <w:pPr>
        <w:spacing w:after="0" w:line="240" w:lineRule="auto"/>
        <w:ind w:left="1425"/>
        <w:contextualSpacing/>
        <w:jc w:val="both"/>
        <w:rPr>
          <w:rFonts w:ascii="Arial" w:eastAsia="Calibri" w:hAnsi="Arial" w:cs="Arial"/>
          <w:lang w:val="es-ES"/>
        </w:rPr>
      </w:pPr>
    </w:p>
    <w:p w:rsidR="006312E8" w:rsidRPr="006312E8" w:rsidRDefault="006312E8" w:rsidP="006312E8">
      <w:pPr>
        <w:spacing w:after="0" w:line="240" w:lineRule="auto"/>
        <w:ind w:left="1425"/>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Default="006312E8" w:rsidP="006312E8">
      <w:pPr>
        <w:spacing w:after="0" w:line="240" w:lineRule="auto"/>
        <w:contextualSpacing/>
        <w:jc w:val="both"/>
        <w:rPr>
          <w:rFonts w:ascii="Arial" w:eastAsia="Calibri" w:hAnsi="Arial" w:cs="Arial"/>
          <w:lang w:val="es-ES"/>
        </w:rPr>
      </w:pPr>
    </w:p>
    <w:p w:rsidR="00E104C8" w:rsidRDefault="00E104C8" w:rsidP="006312E8">
      <w:pPr>
        <w:spacing w:after="0" w:line="240" w:lineRule="auto"/>
        <w:contextualSpacing/>
        <w:jc w:val="both"/>
        <w:rPr>
          <w:rFonts w:ascii="Arial" w:eastAsia="Calibri" w:hAnsi="Arial" w:cs="Arial"/>
          <w:lang w:val="es-ES"/>
        </w:rPr>
      </w:pPr>
    </w:p>
    <w:p w:rsidR="00E104C8" w:rsidRDefault="00E104C8" w:rsidP="006312E8">
      <w:pPr>
        <w:spacing w:after="0" w:line="240" w:lineRule="auto"/>
        <w:contextualSpacing/>
        <w:jc w:val="both"/>
        <w:rPr>
          <w:rFonts w:ascii="Arial" w:eastAsia="Calibri" w:hAnsi="Arial" w:cs="Arial"/>
          <w:lang w:val="es-ES"/>
        </w:rPr>
      </w:pPr>
    </w:p>
    <w:p w:rsidR="00275A9E" w:rsidRDefault="00275A9E" w:rsidP="006312E8">
      <w:pPr>
        <w:spacing w:after="0" w:line="240" w:lineRule="auto"/>
        <w:contextualSpacing/>
        <w:jc w:val="center"/>
        <w:rPr>
          <w:rFonts w:ascii="Arial" w:eastAsia="Calibri" w:hAnsi="Arial" w:cs="Arial"/>
          <w:b/>
          <w:sz w:val="28"/>
          <w:szCs w:val="28"/>
          <w:lang w:val="es-ES"/>
        </w:rPr>
      </w:pPr>
    </w:p>
    <w:p w:rsidR="00275A9E" w:rsidRDefault="00275A9E" w:rsidP="006312E8">
      <w:pPr>
        <w:spacing w:after="0" w:line="240" w:lineRule="auto"/>
        <w:contextualSpacing/>
        <w:jc w:val="center"/>
        <w:rPr>
          <w:rFonts w:ascii="Arial" w:eastAsia="Calibri" w:hAnsi="Arial" w:cs="Arial"/>
          <w:b/>
          <w:sz w:val="28"/>
          <w:szCs w:val="28"/>
          <w:lang w:val="es-ES"/>
        </w:rPr>
      </w:pPr>
    </w:p>
    <w:p w:rsidR="00275A9E" w:rsidRDefault="00275A9E" w:rsidP="006312E8">
      <w:pPr>
        <w:spacing w:after="0" w:line="240" w:lineRule="auto"/>
        <w:contextualSpacing/>
        <w:jc w:val="center"/>
        <w:rPr>
          <w:rFonts w:ascii="Arial" w:eastAsia="Calibri" w:hAnsi="Arial" w:cs="Arial"/>
          <w:b/>
          <w:sz w:val="28"/>
          <w:szCs w:val="28"/>
          <w:lang w:val="es-ES"/>
        </w:rPr>
      </w:pPr>
    </w:p>
    <w:p w:rsidR="00275A9E" w:rsidRDefault="00275A9E" w:rsidP="006312E8">
      <w:pPr>
        <w:spacing w:after="0" w:line="240" w:lineRule="auto"/>
        <w:contextualSpacing/>
        <w:jc w:val="center"/>
        <w:rPr>
          <w:rFonts w:ascii="Arial" w:eastAsia="Calibri" w:hAnsi="Arial" w:cs="Arial"/>
          <w:b/>
          <w:sz w:val="28"/>
          <w:szCs w:val="28"/>
          <w:lang w:val="es-ES"/>
        </w:rPr>
      </w:pPr>
    </w:p>
    <w:p w:rsidR="00275A9E" w:rsidRDefault="00275A9E" w:rsidP="006312E8">
      <w:pPr>
        <w:spacing w:after="0" w:line="240" w:lineRule="auto"/>
        <w:contextualSpacing/>
        <w:jc w:val="center"/>
        <w:rPr>
          <w:rFonts w:ascii="Arial" w:eastAsia="Calibri" w:hAnsi="Arial" w:cs="Arial"/>
          <w:b/>
          <w:sz w:val="28"/>
          <w:szCs w:val="28"/>
          <w:lang w:val="es-ES"/>
        </w:rPr>
      </w:pPr>
    </w:p>
    <w:p w:rsidR="006312E8" w:rsidRPr="006312E8" w:rsidRDefault="0082444B" w:rsidP="006312E8">
      <w:pPr>
        <w:spacing w:after="0" w:line="240" w:lineRule="auto"/>
        <w:contextualSpacing/>
        <w:jc w:val="center"/>
        <w:rPr>
          <w:rFonts w:ascii="Arial" w:eastAsia="Calibri" w:hAnsi="Arial" w:cs="Arial"/>
          <w:b/>
          <w:sz w:val="28"/>
          <w:szCs w:val="28"/>
          <w:lang w:val="es-ES"/>
        </w:rPr>
      </w:pPr>
      <w:r>
        <w:rPr>
          <w:rFonts w:ascii="Arial" w:eastAsia="Calibri" w:hAnsi="Arial" w:cs="Arial"/>
          <w:b/>
          <w:sz w:val="28"/>
          <w:szCs w:val="28"/>
          <w:lang w:val="es-ES"/>
        </w:rPr>
        <w:t>RESOLUCION Nº 048</w:t>
      </w:r>
      <w:r w:rsidR="006312E8" w:rsidRPr="006312E8">
        <w:rPr>
          <w:rFonts w:ascii="Arial" w:eastAsia="Calibri" w:hAnsi="Arial" w:cs="Arial"/>
          <w:b/>
          <w:sz w:val="28"/>
          <w:szCs w:val="28"/>
          <w:lang w:val="es-ES"/>
        </w:rPr>
        <w:t>-201</w:t>
      </w:r>
      <w:r>
        <w:rPr>
          <w:rFonts w:ascii="Arial" w:eastAsia="Calibri" w:hAnsi="Arial" w:cs="Arial"/>
          <w:b/>
          <w:sz w:val="28"/>
          <w:szCs w:val="28"/>
          <w:lang w:val="es-ES"/>
        </w:rPr>
        <w:t>6</w:t>
      </w:r>
      <w:r w:rsidR="006312E8" w:rsidRPr="006312E8">
        <w:rPr>
          <w:rFonts w:ascii="Arial" w:eastAsia="Calibri" w:hAnsi="Arial" w:cs="Arial"/>
          <w:b/>
          <w:sz w:val="28"/>
          <w:szCs w:val="28"/>
          <w:lang w:val="es-ES"/>
        </w:rPr>
        <w:t>-SBN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 xml:space="preserve">Aprueban </w:t>
      </w:r>
      <w:r w:rsidR="0082444B">
        <w:rPr>
          <w:rFonts w:ascii="Arial" w:eastAsia="Calibri" w:hAnsi="Arial" w:cs="Arial"/>
          <w:b/>
          <w:lang w:val="es-ES"/>
        </w:rPr>
        <w:t xml:space="preserve">la </w:t>
      </w:r>
      <w:r w:rsidRPr="006312E8">
        <w:rPr>
          <w:rFonts w:ascii="Arial" w:eastAsia="Calibri" w:hAnsi="Arial" w:cs="Arial"/>
          <w:b/>
          <w:lang w:val="es-ES"/>
        </w:rPr>
        <w:t>Directiva</w:t>
      </w:r>
      <w:r w:rsidR="0082444B">
        <w:rPr>
          <w:rFonts w:ascii="Arial" w:eastAsia="Calibri" w:hAnsi="Arial" w:cs="Arial"/>
          <w:b/>
          <w:lang w:val="es-ES"/>
        </w:rPr>
        <w:t xml:space="preserve"> N° 001-2016/SBN, denominada</w:t>
      </w:r>
      <w:r w:rsidRPr="006312E8">
        <w:rPr>
          <w:rFonts w:ascii="Arial" w:eastAsia="Calibri" w:hAnsi="Arial" w:cs="Arial"/>
          <w:b/>
          <w:lang w:val="es-ES"/>
        </w:rPr>
        <w:t xml:space="preserve"> “Procedimientos para la venta mediante subasta pública de predios de dominio privado del Estado de libre disponibilidad”</w:t>
      </w:r>
    </w:p>
    <w:p w:rsidR="006312E8" w:rsidRPr="006312E8" w:rsidRDefault="006312E8" w:rsidP="006312E8">
      <w:pPr>
        <w:spacing w:after="0" w:line="240" w:lineRule="auto"/>
        <w:ind w:left="720"/>
        <w:contextualSpacing/>
        <w:jc w:val="both"/>
        <w:rPr>
          <w:rFonts w:ascii="Arial" w:eastAsia="Calibri" w:hAnsi="Arial" w:cs="Arial"/>
          <w:lang w:val="es-ES"/>
        </w:rPr>
      </w:pPr>
    </w:p>
    <w:p w:rsidR="006312E8" w:rsidRPr="006312E8" w:rsidRDefault="006312E8" w:rsidP="006312E8">
      <w:pPr>
        <w:spacing w:after="0" w:line="240" w:lineRule="auto"/>
        <w:contextualSpacing/>
        <w:jc w:val="right"/>
        <w:rPr>
          <w:rFonts w:ascii="Arial" w:eastAsia="Calibri" w:hAnsi="Arial" w:cs="Arial"/>
          <w:b/>
          <w:lang w:val="es-ES"/>
        </w:rPr>
      </w:pPr>
      <w:r w:rsidRPr="006312E8">
        <w:rPr>
          <w:rFonts w:ascii="Arial" w:eastAsia="Calibri" w:hAnsi="Arial" w:cs="Arial"/>
          <w:b/>
          <w:lang w:val="es-ES"/>
        </w:rPr>
        <w:t>Fecha de publicación</w:t>
      </w:r>
      <w:r w:rsidR="0082444B">
        <w:rPr>
          <w:rFonts w:ascii="Arial" w:eastAsia="Calibri" w:hAnsi="Arial" w:cs="Arial"/>
          <w:b/>
          <w:lang w:val="es-ES"/>
        </w:rPr>
        <w:t>:</w:t>
      </w:r>
      <w:r w:rsidRPr="006312E8">
        <w:rPr>
          <w:rFonts w:ascii="Arial" w:eastAsia="Calibri" w:hAnsi="Arial" w:cs="Arial"/>
          <w:b/>
          <w:lang w:val="es-ES"/>
        </w:rPr>
        <w:t xml:space="preserve"> </w:t>
      </w:r>
      <w:r w:rsidR="0082444B">
        <w:rPr>
          <w:rFonts w:ascii="Arial" w:eastAsia="Calibri" w:hAnsi="Arial" w:cs="Arial"/>
          <w:b/>
          <w:lang w:val="es-ES"/>
        </w:rPr>
        <w:t>06</w:t>
      </w:r>
      <w:r w:rsidRPr="006312E8">
        <w:rPr>
          <w:rFonts w:ascii="Arial" w:eastAsia="Calibri" w:hAnsi="Arial" w:cs="Arial"/>
          <w:b/>
          <w:lang w:val="es-ES"/>
        </w:rPr>
        <w:t>-0</w:t>
      </w:r>
      <w:r w:rsidR="0082444B">
        <w:rPr>
          <w:rFonts w:ascii="Arial" w:eastAsia="Calibri" w:hAnsi="Arial" w:cs="Arial"/>
          <w:b/>
          <w:lang w:val="es-ES"/>
        </w:rPr>
        <w:t>7</w:t>
      </w:r>
      <w:r w:rsidRPr="006312E8">
        <w:rPr>
          <w:rFonts w:ascii="Arial" w:eastAsia="Calibri" w:hAnsi="Arial" w:cs="Arial"/>
          <w:b/>
          <w:lang w:val="es-ES"/>
        </w:rPr>
        <w:t>-201</w:t>
      </w:r>
      <w:r w:rsidR="0082444B">
        <w:rPr>
          <w:rFonts w:ascii="Arial" w:eastAsia="Calibri" w:hAnsi="Arial" w:cs="Arial"/>
          <w:b/>
          <w:lang w:val="es-ES"/>
        </w:rPr>
        <w:t>6</w:t>
      </w:r>
    </w:p>
    <w:p w:rsidR="006312E8" w:rsidRPr="006312E8" w:rsidRDefault="006312E8" w:rsidP="006312E8">
      <w:pPr>
        <w:spacing w:after="0" w:line="240" w:lineRule="auto"/>
        <w:contextualSpacing/>
        <w:jc w:val="both"/>
        <w:rPr>
          <w:rFonts w:ascii="Arial" w:eastAsia="Calibri" w:hAnsi="Arial" w:cs="Arial"/>
          <w:lang w:val="es-ES"/>
        </w:rPr>
      </w:pPr>
    </w:p>
    <w:p w:rsidR="006312E8" w:rsidRPr="0066746D" w:rsidRDefault="0082444B" w:rsidP="006312E8">
      <w:pPr>
        <w:spacing w:after="0" w:line="240" w:lineRule="auto"/>
        <w:contextualSpacing/>
        <w:jc w:val="both"/>
        <w:rPr>
          <w:rFonts w:ascii="Arial" w:eastAsia="Calibri" w:hAnsi="Arial" w:cs="Arial"/>
          <w:lang w:val="es-ES"/>
        </w:rPr>
      </w:pPr>
      <w:r w:rsidRPr="0066746D">
        <w:rPr>
          <w:rFonts w:ascii="Arial" w:eastAsia="Calibri" w:hAnsi="Arial" w:cs="Arial"/>
          <w:lang w:val="es-ES"/>
        </w:rPr>
        <w:t>San Isidro, 30</w:t>
      </w:r>
      <w:r w:rsidR="006312E8" w:rsidRPr="0066746D">
        <w:rPr>
          <w:rFonts w:ascii="Arial" w:eastAsia="Calibri" w:hAnsi="Arial" w:cs="Arial"/>
          <w:lang w:val="es-ES"/>
        </w:rPr>
        <w:t xml:space="preserve"> de </w:t>
      </w:r>
      <w:r w:rsidRPr="0066746D">
        <w:rPr>
          <w:rFonts w:ascii="Arial" w:eastAsia="Calibri" w:hAnsi="Arial" w:cs="Arial"/>
          <w:lang w:val="es-ES"/>
        </w:rPr>
        <w:t>junio</w:t>
      </w:r>
      <w:r w:rsidR="006312E8" w:rsidRPr="0066746D">
        <w:rPr>
          <w:rFonts w:ascii="Arial" w:eastAsia="Calibri" w:hAnsi="Arial" w:cs="Arial"/>
          <w:lang w:val="es-ES"/>
        </w:rPr>
        <w:t xml:space="preserve"> de 201</w:t>
      </w:r>
      <w:r w:rsidRPr="0066746D">
        <w:rPr>
          <w:rFonts w:ascii="Arial" w:eastAsia="Calibri" w:hAnsi="Arial" w:cs="Arial"/>
          <w:lang w:val="es-ES"/>
        </w:rPr>
        <w:t>6</w:t>
      </w:r>
    </w:p>
    <w:p w:rsidR="006312E8" w:rsidRPr="006312E8" w:rsidRDefault="006312E8" w:rsidP="006312E8">
      <w:pPr>
        <w:spacing w:after="0" w:line="240" w:lineRule="auto"/>
        <w:contextualSpacing/>
        <w:jc w:val="both"/>
        <w:rPr>
          <w:rFonts w:ascii="Arial" w:eastAsia="Calibri" w:hAnsi="Arial" w:cs="Arial"/>
          <w:b/>
          <w:lang w:val="es-ES"/>
        </w:rPr>
      </w:pPr>
    </w:p>
    <w:p w:rsidR="0082444B" w:rsidRPr="0082444B" w:rsidRDefault="0082444B" w:rsidP="0082444B">
      <w:pPr>
        <w:spacing w:after="0" w:line="240" w:lineRule="auto"/>
        <w:contextualSpacing/>
        <w:jc w:val="both"/>
        <w:rPr>
          <w:rFonts w:ascii="Arial" w:eastAsia="Calibri" w:hAnsi="Arial" w:cs="Arial"/>
          <w:b/>
          <w:lang w:val="es-ES"/>
        </w:rPr>
      </w:pPr>
      <w:r w:rsidRPr="0082444B">
        <w:rPr>
          <w:rFonts w:ascii="Arial" w:eastAsia="Calibri" w:hAnsi="Arial" w:cs="Arial"/>
          <w:b/>
          <w:lang w:val="es-ES"/>
        </w:rPr>
        <w:t>VISTO:</w:t>
      </w:r>
    </w:p>
    <w:p w:rsidR="0082444B" w:rsidRPr="0082444B" w:rsidRDefault="0082444B" w:rsidP="0082444B">
      <w:pPr>
        <w:spacing w:after="0" w:line="240" w:lineRule="auto"/>
        <w:contextualSpacing/>
        <w:jc w:val="both"/>
        <w:rPr>
          <w:rFonts w:ascii="Arial" w:eastAsia="Calibri" w:hAnsi="Arial" w:cs="Arial"/>
          <w:b/>
          <w:lang w:val="es-ES"/>
        </w:rPr>
      </w:pPr>
    </w:p>
    <w:p w:rsidR="0082444B" w:rsidRPr="0082444B" w:rsidRDefault="0082444B" w:rsidP="0082444B">
      <w:pPr>
        <w:spacing w:after="0" w:line="240" w:lineRule="auto"/>
        <w:contextualSpacing/>
        <w:jc w:val="both"/>
        <w:rPr>
          <w:rFonts w:ascii="Arial" w:eastAsia="Calibri" w:hAnsi="Arial" w:cs="Arial"/>
          <w:lang w:val="es-ES"/>
        </w:rPr>
      </w:pPr>
      <w:r w:rsidRPr="0082444B">
        <w:rPr>
          <w:rFonts w:ascii="Arial" w:eastAsia="Calibri" w:hAnsi="Arial" w:cs="Arial"/>
          <w:lang w:val="es-ES"/>
        </w:rPr>
        <w:t>El</w:t>
      </w:r>
      <w:r w:rsidR="00E473F8">
        <w:rPr>
          <w:rFonts w:ascii="Arial" w:eastAsia="Calibri" w:hAnsi="Arial" w:cs="Arial"/>
          <w:lang w:val="es-ES"/>
        </w:rPr>
        <w:t xml:space="preserve"> Memorando N° 187-2016/SBN-DNR de fecha 23 de junio de 2016, y el </w:t>
      </w:r>
      <w:r w:rsidRPr="0082444B">
        <w:rPr>
          <w:rFonts w:ascii="Arial" w:eastAsia="Calibri" w:hAnsi="Arial" w:cs="Arial"/>
          <w:lang w:val="es-ES"/>
        </w:rPr>
        <w:t xml:space="preserve"> Informe N° 039-2</w:t>
      </w:r>
      <w:r w:rsidR="00E473F8">
        <w:rPr>
          <w:rFonts w:ascii="Arial" w:eastAsia="Calibri" w:hAnsi="Arial" w:cs="Arial"/>
          <w:lang w:val="es-ES"/>
        </w:rPr>
        <w:t xml:space="preserve">016/SBN-DNR-SDNC de fecha 15 de abril de </w:t>
      </w:r>
      <w:r w:rsidRPr="0082444B">
        <w:rPr>
          <w:rFonts w:ascii="Arial" w:eastAsia="Calibri" w:hAnsi="Arial" w:cs="Arial"/>
          <w:lang w:val="es-ES"/>
        </w:rPr>
        <w:t>2016, emitido</w:t>
      </w:r>
      <w:r w:rsidR="00E473F8">
        <w:rPr>
          <w:rFonts w:ascii="Arial" w:eastAsia="Calibri" w:hAnsi="Arial" w:cs="Arial"/>
          <w:lang w:val="es-ES"/>
        </w:rPr>
        <w:t>s</w:t>
      </w:r>
      <w:r w:rsidRPr="0082444B">
        <w:rPr>
          <w:rFonts w:ascii="Arial" w:eastAsia="Calibri" w:hAnsi="Arial" w:cs="Arial"/>
          <w:lang w:val="es-ES"/>
        </w:rPr>
        <w:t xml:space="preserve"> por la Dirección de Normas y Registro</w:t>
      </w:r>
      <w:r w:rsidR="00E473F8">
        <w:rPr>
          <w:rFonts w:ascii="Arial" w:eastAsia="Calibri" w:hAnsi="Arial" w:cs="Arial"/>
          <w:lang w:val="es-ES"/>
        </w:rPr>
        <w:t>, y;</w:t>
      </w:r>
    </w:p>
    <w:p w:rsidR="0082444B" w:rsidRPr="0082444B" w:rsidRDefault="0082444B" w:rsidP="0082444B">
      <w:pPr>
        <w:spacing w:after="0" w:line="240" w:lineRule="auto"/>
        <w:contextualSpacing/>
        <w:jc w:val="both"/>
        <w:rPr>
          <w:rFonts w:ascii="Arial" w:eastAsia="Calibri" w:hAnsi="Arial" w:cs="Arial"/>
          <w:b/>
          <w:lang w:val="es-ES"/>
        </w:rPr>
      </w:pPr>
    </w:p>
    <w:p w:rsidR="0082444B" w:rsidRPr="0082444B" w:rsidRDefault="0082444B" w:rsidP="0082444B">
      <w:pPr>
        <w:spacing w:after="0" w:line="240" w:lineRule="auto"/>
        <w:contextualSpacing/>
        <w:jc w:val="both"/>
        <w:rPr>
          <w:rFonts w:ascii="Arial" w:eastAsia="Calibri" w:hAnsi="Arial" w:cs="Arial"/>
          <w:b/>
          <w:lang w:val="es-ES"/>
        </w:rPr>
      </w:pPr>
      <w:r w:rsidRPr="0082444B">
        <w:rPr>
          <w:rFonts w:ascii="Arial" w:eastAsia="Calibri" w:hAnsi="Arial" w:cs="Arial"/>
          <w:b/>
          <w:lang w:val="es-ES"/>
        </w:rPr>
        <w:t xml:space="preserve"> CONSIDERANDO:</w:t>
      </w:r>
    </w:p>
    <w:p w:rsidR="0082444B" w:rsidRPr="0082444B" w:rsidRDefault="0082444B" w:rsidP="0082444B">
      <w:pPr>
        <w:spacing w:after="0" w:line="240" w:lineRule="auto"/>
        <w:contextualSpacing/>
        <w:jc w:val="both"/>
        <w:rPr>
          <w:rFonts w:ascii="Arial" w:eastAsia="Calibri" w:hAnsi="Arial" w:cs="Arial"/>
          <w:b/>
          <w:lang w:val="es-ES"/>
        </w:rPr>
      </w:pPr>
    </w:p>
    <w:p w:rsidR="0082444B" w:rsidRPr="0082444B" w:rsidRDefault="0082444B" w:rsidP="0082444B">
      <w:pPr>
        <w:spacing w:after="0" w:line="240" w:lineRule="auto"/>
        <w:contextualSpacing/>
        <w:jc w:val="both"/>
        <w:rPr>
          <w:rFonts w:ascii="Arial" w:eastAsia="Calibri" w:hAnsi="Arial" w:cs="Arial"/>
          <w:lang w:val="es-ES"/>
        </w:rPr>
      </w:pPr>
      <w:r w:rsidRPr="0082444B">
        <w:rPr>
          <w:rFonts w:ascii="Arial" w:eastAsia="Calibri" w:hAnsi="Arial" w:cs="Arial"/>
          <w:lang w:val="es-ES"/>
        </w:rPr>
        <w:t>Que, la Superintendencia Nacional de Bienes Estatales (SBN) es un organismo público ejecutor, adscrito al Ministerio de Vivienda, Construcción y Saneamiento, y el Ente Rector del Sistema Nacional de Bienes Estatales (SNBE), responsable de normar los actos de adquisición, disposición, administración y supervisión de los bienes estatales, así como de ejecutar dichos actos respecto de los bienes cuya administración está a su cargo, de acuerdo a la normatividad vigente, gozando de autonomía económica, presupuestal, financiera, técnica y funcional, de conformidad a lo establecido en la Ley Nº 29151, Ley General del Sistema Nacional de Bienes Estatales y su Reglamento, aprobado por el Decreto Supremo Nº 007-2008-VIVIENDA;</w:t>
      </w:r>
    </w:p>
    <w:p w:rsidR="0082444B" w:rsidRPr="0082444B" w:rsidRDefault="0082444B" w:rsidP="0082444B">
      <w:pPr>
        <w:spacing w:after="0" w:line="240" w:lineRule="auto"/>
        <w:contextualSpacing/>
        <w:jc w:val="both"/>
        <w:rPr>
          <w:rFonts w:ascii="Arial" w:eastAsia="Calibri" w:hAnsi="Arial" w:cs="Arial"/>
          <w:lang w:val="es-ES"/>
        </w:rPr>
      </w:pPr>
    </w:p>
    <w:p w:rsidR="0082444B" w:rsidRPr="0082444B" w:rsidRDefault="0082444B" w:rsidP="0082444B">
      <w:pPr>
        <w:spacing w:after="0" w:line="240" w:lineRule="auto"/>
        <w:contextualSpacing/>
        <w:jc w:val="both"/>
        <w:rPr>
          <w:rFonts w:ascii="Arial" w:eastAsia="Calibri" w:hAnsi="Arial" w:cs="Arial"/>
          <w:lang w:val="es-ES"/>
        </w:rPr>
      </w:pPr>
      <w:r w:rsidRPr="0082444B">
        <w:rPr>
          <w:rFonts w:ascii="Arial" w:eastAsia="Calibri" w:hAnsi="Arial" w:cs="Arial"/>
          <w:lang w:val="es-ES"/>
        </w:rPr>
        <w:t>Que, el literal b) del numeral 14.1 del artículo 14º de la citada Ley, concordante con el literal a) del numeral 9.1 del artículo 9° de su Reglamento, aprobado por el Decreto Supremo N° 007-2008-VIVIENDA, señalan que la SBN, en calidad de ente rector del SNBE, tiene la función de expedir directivas o disposiciones legales, entre otros, sobre los actos de disposición de bienes estatales, de cumplimiento obligatorio por parte de las entidades que conforman el SNBE;</w:t>
      </w:r>
    </w:p>
    <w:p w:rsidR="0082444B" w:rsidRPr="0082444B" w:rsidRDefault="0082444B" w:rsidP="0082444B">
      <w:pPr>
        <w:spacing w:after="0" w:line="240" w:lineRule="auto"/>
        <w:contextualSpacing/>
        <w:jc w:val="both"/>
        <w:rPr>
          <w:rFonts w:ascii="Arial" w:eastAsia="Calibri" w:hAnsi="Arial" w:cs="Arial"/>
          <w:lang w:val="es-ES"/>
        </w:rPr>
      </w:pPr>
    </w:p>
    <w:p w:rsidR="00E473F8" w:rsidRDefault="0082444B" w:rsidP="0082444B">
      <w:pPr>
        <w:spacing w:after="0" w:line="240" w:lineRule="auto"/>
        <w:contextualSpacing/>
        <w:jc w:val="both"/>
        <w:rPr>
          <w:rFonts w:ascii="Arial" w:eastAsia="Calibri" w:hAnsi="Arial" w:cs="Arial"/>
          <w:lang w:val="es-ES"/>
        </w:rPr>
      </w:pPr>
      <w:r w:rsidRPr="0082444B">
        <w:rPr>
          <w:rFonts w:ascii="Arial" w:eastAsia="Calibri" w:hAnsi="Arial" w:cs="Arial"/>
          <w:lang w:val="es-ES"/>
        </w:rPr>
        <w:t>Qu</w:t>
      </w:r>
      <w:r w:rsidR="00E473F8">
        <w:rPr>
          <w:rFonts w:ascii="Arial" w:eastAsia="Calibri" w:hAnsi="Arial" w:cs="Arial"/>
          <w:lang w:val="es-ES"/>
        </w:rPr>
        <w:t xml:space="preserve">e, el </w:t>
      </w:r>
      <w:r w:rsidRPr="0082444B">
        <w:rPr>
          <w:rFonts w:ascii="Arial" w:eastAsia="Calibri" w:hAnsi="Arial" w:cs="Arial"/>
          <w:lang w:val="es-ES"/>
        </w:rPr>
        <w:t xml:space="preserve">artículo </w:t>
      </w:r>
      <w:r w:rsidR="00E473F8">
        <w:rPr>
          <w:rFonts w:ascii="Arial" w:eastAsia="Calibri" w:hAnsi="Arial" w:cs="Arial"/>
          <w:lang w:val="es-ES"/>
        </w:rPr>
        <w:t>7</w:t>
      </w:r>
      <w:r w:rsidRPr="0082444B">
        <w:rPr>
          <w:rFonts w:ascii="Arial" w:eastAsia="Calibri" w:hAnsi="Arial" w:cs="Arial"/>
          <w:lang w:val="es-ES"/>
        </w:rPr>
        <w:t xml:space="preserve">7 </w:t>
      </w:r>
      <w:r w:rsidR="00E473F8">
        <w:rPr>
          <w:rFonts w:ascii="Arial" w:eastAsia="Calibri" w:hAnsi="Arial" w:cs="Arial"/>
          <w:lang w:val="es-ES"/>
        </w:rPr>
        <w:t>del Reglamento de la Ley N° 29151, aprobado por Decreto Supremo N° 007-2008-VIVIENDA, establece que la subasta pública será ejecutada por la SBN para lo cual las entidades remitirán la documentación que determine la SBN mediante Directiva;</w:t>
      </w:r>
    </w:p>
    <w:p w:rsidR="0082444B" w:rsidRPr="0082444B" w:rsidRDefault="00E473F8" w:rsidP="0082444B">
      <w:pPr>
        <w:spacing w:after="0" w:line="240" w:lineRule="auto"/>
        <w:contextualSpacing/>
        <w:jc w:val="both"/>
        <w:rPr>
          <w:rFonts w:ascii="Arial" w:eastAsia="Calibri" w:hAnsi="Arial" w:cs="Arial"/>
          <w:lang w:val="es-ES"/>
        </w:rPr>
      </w:pPr>
      <w:r w:rsidRPr="0082444B">
        <w:rPr>
          <w:rFonts w:ascii="Arial" w:eastAsia="Calibri" w:hAnsi="Arial" w:cs="Arial"/>
          <w:lang w:val="es-ES"/>
        </w:rPr>
        <w:t xml:space="preserve"> </w:t>
      </w:r>
    </w:p>
    <w:p w:rsidR="0082444B" w:rsidRDefault="0082444B" w:rsidP="0082444B">
      <w:pPr>
        <w:spacing w:after="0" w:line="240" w:lineRule="auto"/>
        <w:contextualSpacing/>
        <w:jc w:val="both"/>
        <w:rPr>
          <w:rFonts w:ascii="Arial" w:eastAsia="Calibri" w:hAnsi="Arial" w:cs="Arial"/>
          <w:lang w:val="es-ES"/>
        </w:rPr>
      </w:pPr>
      <w:r>
        <w:rPr>
          <w:rFonts w:ascii="Arial" w:eastAsia="Calibri" w:hAnsi="Arial" w:cs="Arial"/>
          <w:lang w:val="es-ES"/>
        </w:rPr>
        <w:t xml:space="preserve">Que, mediante </w:t>
      </w:r>
      <w:r w:rsidRPr="0082444B">
        <w:rPr>
          <w:rFonts w:ascii="Arial" w:eastAsia="Calibri" w:hAnsi="Arial" w:cs="Arial"/>
          <w:lang w:val="es-ES"/>
        </w:rPr>
        <w:t>l</w:t>
      </w:r>
      <w:r>
        <w:rPr>
          <w:rFonts w:ascii="Arial" w:eastAsia="Calibri" w:hAnsi="Arial" w:cs="Arial"/>
          <w:lang w:val="es-ES"/>
        </w:rPr>
        <w:t>os</w:t>
      </w:r>
      <w:r w:rsidRPr="0082444B">
        <w:rPr>
          <w:rFonts w:ascii="Arial" w:eastAsia="Calibri" w:hAnsi="Arial" w:cs="Arial"/>
          <w:lang w:val="es-ES"/>
        </w:rPr>
        <w:t xml:space="preserve"> documento</w:t>
      </w:r>
      <w:r>
        <w:rPr>
          <w:rFonts w:ascii="Arial" w:eastAsia="Calibri" w:hAnsi="Arial" w:cs="Arial"/>
          <w:lang w:val="es-ES"/>
        </w:rPr>
        <w:t>s</w:t>
      </w:r>
      <w:r w:rsidRPr="0082444B">
        <w:rPr>
          <w:rFonts w:ascii="Arial" w:eastAsia="Calibri" w:hAnsi="Arial" w:cs="Arial"/>
          <w:lang w:val="es-ES"/>
        </w:rPr>
        <w:t xml:space="preserve"> de visto</w:t>
      </w:r>
      <w:r>
        <w:rPr>
          <w:rFonts w:ascii="Arial" w:eastAsia="Calibri" w:hAnsi="Arial" w:cs="Arial"/>
          <w:lang w:val="es-ES"/>
        </w:rPr>
        <w:t>s</w:t>
      </w:r>
      <w:r w:rsidRPr="0082444B">
        <w:rPr>
          <w:rFonts w:ascii="Arial" w:eastAsia="Calibri" w:hAnsi="Arial" w:cs="Arial"/>
          <w:lang w:val="es-ES"/>
        </w:rPr>
        <w:t xml:space="preserve">, la Dirección de Normas y Registro </w:t>
      </w:r>
      <w:r w:rsidR="00E473F8">
        <w:rPr>
          <w:rFonts w:ascii="Arial" w:eastAsia="Calibri" w:hAnsi="Arial" w:cs="Arial"/>
          <w:lang w:val="es-ES"/>
        </w:rPr>
        <w:t>ha elaborado</w:t>
      </w:r>
      <w:r w:rsidRPr="0082444B">
        <w:rPr>
          <w:rFonts w:ascii="Arial" w:eastAsia="Calibri" w:hAnsi="Arial" w:cs="Arial"/>
          <w:lang w:val="es-ES"/>
        </w:rPr>
        <w:t xml:space="preserve"> la propuesta de </w:t>
      </w:r>
      <w:r w:rsidR="00E473F8">
        <w:rPr>
          <w:rFonts w:ascii="Arial" w:eastAsia="Calibri" w:hAnsi="Arial" w:cs="Arial"/>
          <w:lang w:val="es-ES"/>
        </w:rPr>
        <w:t>d</w:t>
      </w:r>
      <w:r w:rsidRPr="0082444B">
        <w:rPr>
          <w:rFonts w:ascii="Arial" w:eastAsia="Calibri" w:hAnsi="Arial" w:cs="Arial"/>
          <w:lang w:val="es-ES"/>
        </w:rPr>
        <w:t xml:space="preserve">irectiva denominada: “Procedimientos para la venta mediante subasta pública de predios de dominio privado del Estado de libre disponibilidad”, </w:t>
      </w:r>
      <w:r w:rsidR="00E473F8">
        <w:rPr>
          <w:rFonts w:ascii="Arial" w:eastAsia="Calibri" w:hAnsi="Arial" w:cs="Arial"/>
          <w:lang w:val="es-ES"/>
        </w:rPr>
        <w:t>que tiene por objeto regular los procedimientos para la autorización de venta por subasta pública y la ejecución de la subasta pública de predios de dominio privado del Estado de libre disponibilidad</w:t>
      </w:r>
      <w:r w:rsidRPr="0082444B">
        <w:rPr>
          <w:rFonts w:ascii="Arial" w:eastAsia="Calibri" w:hAnsi="Arial" w:cs="Arial"/>
          <w:lang w:val="es-ES"/>
        </w:rPr>
        <w:t>;</w:t>
      </w:r>
    </w:p>
    <w:p w:rsidR="00E473F8" w:rsidRDefault="00E473F8" w:rsidP="0082444B">
      <w:pPr>
        <w:spacing w:after="0" w:line="240" w:lineRule="auto"/>
        <w:contextualSpacing/>
        <w:jc w:val="both"/>
        <w:rPr>
          <w:rFonts w:ascii="Arial" w:eastAsia="Calibri" w:hAnsi="Arial" w:cs="Arial"/>
          <w:lang w:val="es-ES"/>
        </w:rPr>
      </w:pPr>
    </w:p>
    <w:p w:rsidR="00E473F8" w:rsidRPr="0082444B" w:rsidRDefault="00E473F8" w:rsidP="0082444B">
      <w:pPr>
        <w:spacing w:after="0" w:line="240" w:lineRule="auto"/>
        <w:contextualSpacing/>
        <w:jc w:val="both"/>
        <w:rPr>
          <w:rFonts w:ascii="Arial" w:eastAsia="Calibri" w:hAnsi="Arial" w:cs="Arial"/>
          <w:lang w:val="es-ES"/>
        </w:rPr>
      </w:pPr>
      <w:r>
        <w:rPr>
          <w:rFonts w:ascii="Arial" w:eastAsia="Calibri" w:hAnsi="Arial" w:cs="Arial"/>
          <w:lang w:val="es-ES"/>
        </w:rPr>
        <w:t>Que, la Directiva mencionada en el párrafo precedente recoge las propuestas normativas de los órganos y unidades orgánicas de la SBN involucradas en el procedimiento de subasta pública; así como las recomendaciones formuladas por el Órgano de Control Institucional a través del Informe N° 004-2014-2-4413 – Examen Especial a la SBN</w:t>
      </w:r>
      <w:r w:rsidR="0066746D">
        <w:rPr>
          <w:rFonts w:ascii="Arial" w:eastAsia="Calibri" w:hAnsi="Arial" w:cs="Arial"/>
          <w:lang w:val="es-ES"/>
        </w:rPr>
        <w:t>: Operaciones de Compraventa de Bienes de Dominio Privado del Estado. Período 03 de octubre de 2011 al 30 de junio de 2014”, el Informe de Acción Simultánea N° 003-2015-OC/4413-AS: “Aprobación de la Venta por Subasta Pública, Apertura de Sobres presentados por los postores y al Acto Público de la Subasta Pública 2015” y el Informe de Acción Simultánea N° 011-2015-CG/VIT-AS: “Proceso de venta por Subasta Pública de Predios N° 003-2015/SBN-DGPE-SDDI”;</w:t>
      </w:r>
    </w:p>
    <w:p w:rsidR="0082444B" w:rsidRPr="0082444B" w:rsidRDefault="0082444B" w:rsidP="0082444B">
      <w:pPr>
        <w:spacing w:after="0" w:line="240" w:lineRule="auto"/>
        <w:contextualSpacing/>
        <w:jc w:val="both"/>
        <w:rPr>
          <w:rFonts w:ascii="Arial" w:eastAsia="Calibri" w:hAnsi="Arial" w:cs="Arial"/>
          <w:lang w:val="es-ES"/>
        </w:rPr>
      </w:pPr>
    </w:p>
    <w:p w:rsidR="0082444B" w:rsidRPr="0082444B" w:rsidRDefault="0082444B" w:rsidP="0082444B">
      <w:pPr>
        <w:spacing w:after="0" w:line="240" w:lineRule="auto"/>
        <w:contextualSpacing/>
        <w:jc w:val="both"/>
        <w:rPr>
          <w:rFonts w:ascii="Arial" w:eastAsia="Calibri" w:hAnsi="Arial" w:cs="Arial"/>
          <w:lang w:val="es-ES"/>
        </w:rPr>
      </w:pPr>
      <w:r w:rsidRPr="0082444B">
        <w:rPr>
          <w:rFonts w:ascii="Arial" w:eastAsia="Calibri" w:hAnsi="Arial" w:cs="Arial"/>
          <w:lang w:val="es-ES"/>
        </w:rPr>
        <w:t>Que, en tal sentido, res</w:t>
      </w:r>
      <w:r w:rsidR="0066746D">
        <w:rPr>
          <w:rFonts w:ascii="Arial" w:eastAsia="Calibri" w:hAnsi="Arial" w:cs="Arial"/>
          <w:lang w:val="es-ES"/>
        </w:rPr>
        <w:t>ulta necesario aprobar la</w:t>
      </w:r>
      <w:r w:rsidRPr="0082444B">
        <w:rPr>
          <w:rFonts w:ascii="Arial" w:eastAsia="Calibri" w:hAnsi="Arial" w:cs="Arial"/>
          <w:lang w:val="es-ES"/>
        </w:rPr>
        <w:t xml:space="preserve"> directiva</w:t>
      </w:r>
      <w:r w:rsidR="0066746D">
        <w:rPr>
          <w:rFonts w:ascii="Arial" w:eastAsia="Calibri" w:hAnsi="Arial" w:cs="Arial"/>
          <w:lang w:val="es-ES"/>
        </w:rPr>
        <w:t xml:space="preserve"> que regula los</w:t>
      </w:r>
      <w:r w:rsidR="0066746D" w:rsidRPr="0082444B">
        <w:rPr>
          <w:rFonts w:ascii="Arial" w:eastAsia="Calibri" w:hAnsi="Arial" w:cs="Arial"/>
          <w:lang w:val="es-ES"/>
        </w:rPr>
        <w:t xml:space="preserve"> “Procedimientos para la venta mediante subasta pública de predios de dominio privado del Estado de libre disponibilidad”, </w:t>
      </w:r>
      <w:r w:rsidR="0066746D">
        <w:rPr>
          <w:rFonts w:ascii="Arial" w:eastAsia="Calibri" w:hAnsi="Arial" w:cs="Arial"/>
          <w:lang w:val="es-ES"/>
        </w:rPr>
        <w:t>a fin de</w:t>
      </w:r>
      <w:r w:rsidRPr="0082444B">
        <w:rPr>
          <w:rFonts w:ascii="Arial" w:eastAsia="Calibri" w:hAnsi="Arial" w:cs="Arial"/>
          <w:lang w:val="es-ES"/>
        </w:rPr>
        <w:t xml:space="preserve"> optimizar </w:t>
      </w:r>
      <w:r w:rsidR="0066746D">
        <w:rPr>
          <w:rFonts w:ascii="Arial" w:eastAsia="Calibri" w:hAnsi="Arial" w:cs="Arial"/>
          <w:lang w:val="es-ES"/>
        </w:rPr>
        <w:t>dicho proceso y promover la oportuna inserción de los predios de dominio privado del Estado en el mercado inmobiliario, en el marco de las normas del Sistema Nacional de Bienes Estatales – SNBE;</w:t>
      </w:r>
    </w:p>
    <w:p w:rsidR="0082444B" w:rsidRPr="0082444B" w:rsidRDefault="0082444B" w:rsidP="0082444B">
      <w:pPr>
        <w:spacing w:after="0" w:line="240" w:lineRule="auto"/>
        <w:contextualSpacing/>
        <w:jc w:val="both"/>
        <w:rPr>
          <w:rFonts w:ascii="Arial" w:eastAsia="Calibri" w:hAnsi="Arial" w:cs="Arial"/>
          <w:lang w:val="es-ES"/>
        </w:rPr>
      </w:pPr>
    </w:p>
    <w:p w:rsidR="0082444B" w:rsidRPr="0082444B" w:rsidRDefault="0082444B" w:rsidP="0082444B">
      <w:pPr>
        <w:spacing w:after="0" w:line="240" w:lineRule="auto"/>
        <w:contextualSpacing/>
        <w:jc w:val="both"/>
        <w:rPr>
          <w:rFonts w:ascii="Arial" w:eastAsia="Calibri" w:hAnsi="Arial" w:cs="Arial"/>
          <w:lang w:val="es-ES"/>
        </w:rPr>
      </w:pPr>
      <w:r w:rsidRPr="0082444B">
        <w:rPr>
          <w:rFonts w:ascii="Arial" w:eastAsia="Calibri" w:hAnsi="Arial" w:cs="Arial"/>
          <w:lang w:val="es-ES"/>
        </w:rPr>
        <w:t xml:space="preserve">Con los visados de la Secretaría General, la Oficina de Planeamiento y Presupuesto, la Oficina de Asesoría Jurídica, la Dirección de Normas y Registro, la Dirección de Gestión del Patrimonio Estatal, y la Oficina de Administración y Finanzas; y, </w:t>
      </w:r>
    </w:p>
    <w:p w:rsidR="0082444B" w:rsidRPr="0082444B" w:rsidRDefault="0082444B" w:rsidP="0082444B">
      <w:pPr>
        <w:spacing w:after="0" w:line="240" w:lineRule="auto"/>
        <w:contextualSpacing/>
        <w:jc w:val="both"/>
        <w:rPr>
          <w:rFonts w:ascii="Arial" w:eastAsia="Calibri" w:hAnsi="Arial" w:cs="Arial"/>
          <w:lang w:val="es-ES"/>
        </w:rPr>
      </w:pPr>
    </w:p>
    <w:p w:rsidR="0082444B" w:rsidRPr="0082444B" w:rsidRDefault="0082444B" w:rsidP="0082444B">
      <w:pPr>
        <w:spacing w:after="0" w:line="240" w:lineRule="auto"/>
        <w:contextualSpacing/>
        <w:jc w:val="both"/>
        <w:rPr>
          <w:rFonts w:ascii="Arial" w:eastAsia="Calibri" w:hAnsi="Arial" w:cs="Arial"/>
          <w:b/>
          <w:lang w:val="es-ES"/>
        </w:rPr>
      </w:pPr>
      <w:r w:rsidRPr="0082444B">
        <w:rPr>
          <w:rFonts w:ascii="Arial" w:eastAsia="Calibri" w:hAnsi="Arial" w:cs="Arial"/>
          <w:lang w:val="es-ES"/>
        </w:rPr>
        <w:t>De conformidad con lo establecido en el literal b) del numeral 14.1 del artículo 14 de la Ley N° 29151, Ley General del Sistema Nacional de Bienes Estatales, el literal a) del numeral 9.1 del artículo 9 del Reglamento de la Ley N° 29151, aprobado por el Decreto Supremo N° 007-2008-VIVIENDA, modificado por el Decreto Supremo N° 013-2012-VIVIENDA; y en uso de las atribuciones conferidas en los literales b) y r) del artículo 11 del Reglamento de Organización y Funciones de la Superintendencia Nacional</w:t>
      </w:r>
      <w:r w:rsidRPr="0082444B">
        <w:rPr>
          <w:rFonts w:ascii="Arial" w:eastAsia="Calibri" w:hAnsi="Arial" w:cs="Arial"/>
          <w:b/>
          <w:lang w:val="es-ES"/>
        </w:rPr>
        <w:t xml:space="preserve"> </w:t>
      </w:r>
      <w:r w:rsidRPr="0066746D">
        <w:rPr>
          <w:rFonts w:ascii="Arial" w:eastAsia="Calibri" w:hAnsi="Arial" w:cs="Arial"/>
          <w:lang w:val="es-ES"/>
        </w:rPr>
        <w:t>de Bienes Estatales – SBN, aprobado por el Decreto Supremo N° 016-2010-VIVIENDA;</w:t>
      </w:r>
    </w:p>
    <w:p w:rsidR="0082444B" w:rsidRPr="0082444B" w:rsidRDefault="0082444B" w:rsidP="0082444B">
      <w:pPr>
        <w:spacing w:after="0" w:line="240" w:lineRule="auto"/>
        <w:contextualSpacing/>
        <w:jc w:val="both"/>
        <w:rPr>
          <w:rFonts w:ascii="Arial" w:eastAsia="Calibri" w:hAnsi="Arial" w:cs="Arial"/>
          <w:b/>
          <w:lang w:val="es-ES"/>
        </w:rPr>
      </w:pPr>
    </w:p>
    <w:p w:rsidR="0082444B" w:rsidRPr="0082444B" w:rsidRDefault="0082444B" w:rsidP="0082444B">
      <w:pPr>
        <w:spacing w:after="0" w:line="240" w:lineRule="auto"/>
        <w:contextualSpacing/>
        <w:jc w:val="both"/>
        <w:rPr>
          <w:rFonts w:ascii="Arial" w:eastAsia="Calibri" w:hAnsi="Arial" w:cs="Arial"/>
          <w:b/>
          <w:lang w:val="es-ES"/>
        </w:rPr>
      </w:pPr>
    </w:p>
    <w:p w:rsidR="0082444B" w:rsidRPr="0082444B" w:rsidRDefault="0082444B" w:rsidP="0082444B">
      <w:pPr>
        <w:spacing w:after="0" w:line="240" w:lineRule="auto"/>
        <w:contextualSpacing/>
        <w:jc w:val="both"/>
        <w:rPr>
          <w:rFonts w:ascii="Arial" w:eastAsia="Calibri" w:hAnsi="Arial" w:cs="Arial"/>
          <w:b/>
          <w:lang w:val="es-ES"/>
        </w:rPr>
      </w:pPr>
      <w:r w:rsidRPr="0082444B">
        <w:rPr>
          <w:rFonts w:ascii="Arial" w:eastAsia="Calibri" w:hAnsi="Arial" w:cs="Arial"/>
          <w:b/>
          <w:lang w:val="es-ES"/>
        </w:rPr>
        <w:t>SE RESUELVE:</w:t>
      </w:r>
    </w:p>
    <w:p w:rsidR="0082444B" w:rsidRPr="0082444B" w:rsidRDefault="0082444B" w:rsidP="0082444B">
      <w:pPr>
        <w:spacing w:after="0" w:line="240" w:lineRule="auto"/>
        <w:contextualSpacing/>
        <w:jc w:val="both"/>
        <w:rPr>
          <w:rFonts w:ascii="Arial" w:eastAsia="Calibri" w:hAnsi="Arial" w:cs="Arial"/>
          <w:b/>
          <w:lang w:val="es-ES"/>
        </w:rPr>
      </w:pPr>
    </w:p>
    <w:p w:rsidR="0082444B" w:rsidRPr="0082444B" w:rsidRDefault="0082444B" w:rsidP="0082444B">
      <w:pPr>
        <w:spacing w:after="0" w:line="240" w:lineRule="auto"/>
        <w:contextualSpacing/>
        <w:jc w:val="both"/>
        <w:rPr>
          <w:rFonts w:ascii="Arial" w:eastAsia="Calibri" w:hAnsi="Arial" w:cs="Arial"/>
          <w:b/>
          <w:lang w:val="es-ES"/>
        </w:rPr>
      </w:pPr>
      <w:r w:rsidRPr="0082444B">
        <w:rPr>
          <w:rFonts w:ascii="Arial" w:eastAsia="Calibri" w:hAnsi="Arial" w:cs="Arial"/>
          <w:b/>
          <w:lang w:val="es-ES"/>
        </w:rPr>
        <w:t xml:space="preserve">Artículo 1º.- </w:t>
      </w:r>
      <w:r w:rsidRPr="0082444B">
        <w:rPr>
          <w:rFonts w:ascii="Arial" w:eastAsia="Calibri" w:hAnsi="Arial" w:cs="Arial"/>
          <w:lang w:val="es-ES"/>
        </w:rPr>
        <w:t xml:space="preserve">Aprobar la Directiva Nº </w:t>
      </w:r>
      <w:r w:rsidR="0066746D">
        <w:rPr>
          <w:rFonts w:ascii="Arial" w:eastAsia="Calibri" w:hAnsi="Arial" w:cs="Arial"/>
          <w:lang w:val="es-ES"/>
        </w:rPr>
        <w:t>001</w:t>
      </w:r>
      <w:r w:rsidRPr="0082444B">
        <w:rPr>
          <w:rFonts w:ascii="Arial" w:eastAsia="Calibri" w:hAnsi="Arial" w:cs="Arial"/>
          <w:lang w:val="es-ES"/>
        </w:rPr>
        <w:t>-2016/SBN denominada  “Procedimientos para la venta mediante subasta pública de predios de dominio privado del Estado de libre disponibilidad”.</w:t>
      </w:r>
    </w:p>
    <w:p w:rsidR="0082444B" w:rsidRPr="0082444B" w:rsidRDefault="0082444B" w:rsidP="0082444B">
      <w:pPr>
        <w:spacing w:after="0" w:line="240" w:lineRule="auto"/>
        <w:contextualSpacing/>
        <w:jc w:val="both"/>
        <w:rPr>
          <w:rFonts w:ascii="Arial" w:eastAsia="Calibri" w:hAnsi="Arial" w:cs="Arial"/>
          <w:b/>
          <w:lang w:val="es-ES"/>
        </w:rPr>
      </w:pPr>
    </w:p>
    <w:p w:rsidR="0082444B" w:rsidRPr="0082444B" w:rsidRDefault="0082444B" w:rsidP="0082444B">
      <w:pPr>
        <w:spacing w:after="0" w:line="240" w:lineRule="auto"/>
        <w:contextualSpacing/>
        <w:jc w:val="both"/>
        <w:rPr>
          <w:rFonts w:ascii="Arial" w:eastAsia="Calibri" w:hAnsi="Arial" w:cs="Arial"/>
          <w:lang w:val="es-ES"/>
        </w:rPr>
      </w:pPr>
      <w:r w:rsidRPr="0082444B">
        <w:rPr>
          <w:rFonts w:ascii="Arial" w:eastAsia="Calibri" w:hAnsi="Arial" w:cs="Arial"/>
          <w:b/>
          <w:lang w:val="es-ES"/>
        </w:rPr>
        <w:t xml:space="preserve">Artículo 2º.-  </w:t>
      </w:r>
      <w:r w:rsidRPr="0082444B">
        <w:rPr>
          <w:rFonts w:ascii="Arial" w:eastAsia="Calibri" w:hAnsi="Arial" w:cs="Arial"/>
          <w:lang w:val="es-ES"/>
        </w:rPr>
        <w:t>Derogar la Directiva Nº 004-2013-SBN, denominada “Procedimientos para la venta mediante subasta pública de predios de dominio privado del Estado de libre disponibilidad”, aprobada por la Resolución N° 065-2013-SBN.</w:t>
      </w:r>
    </w:p>
    <w:p w:rsidR="0082444B" w:rsidRPr="0082444B" w:rsidRDefault="0082444B" w:rsidP="0082444B">
      <w:pPr>
        <w:spacing w:after="0" w:line="240" w:lineRule="auto"/>
        <w:contextualSpacing/>
        <w:jc w:val="both"/>
        <w:rPr>
          <w:rFonts w:ascii="Arial" w:eastAsia="Calibri" w:hAnsi="Arial" w:cs="Arial"/>
          <w:b/>
          <w:lang w:val="es-ES"/>
        </w:rPr>
      </w:pPr>
    </w:p>
    <w:p w:rsidR="0082444B" w:rsidRPr="0082444B" w:rsidRDefault="0082444B" w:rsidP="0082444B">
      <w:pPr>
        <w:spacing w:after="0" w:line="240" w:lineRule="auto"/>
        <w:contextualSpacing/>
        <w:jc w:val="both"/>
        <w:rPr>
          <w:rFonts w:ascii="Arial" w:eastAsia="Calibri" w:hAnsi="Arial" w:cs="Arial"/>
          <w:b/>
          <w:lang w:val="es-ES"/>
        </w:rPr>
      </w:pPr>
      <w:r w:rsidRPr="0082444B">
        <w:rPr>
          <w:rFonts w:ascii="Arial" w:eastAsia="Calibri" w:hAnsi="Arial" w:cs="Arial"/>
          <w:b/>
          <w:lang w:val="es-ES"/>
        </w:rPr>
        <w:t>Artículo 3º.-</w:t>
      </w:r>
      <w:r w:rsidRPr="0082444B">
        <w:rPr>
          <w:rFonts w:ascii="Arial" w:eastAsia="Calibri" w:hAnsi="Arial" w:cs="Arial"/>
          <w:lang w:val="es-ES"/>
        </w:rPr>
        <w:t xml:space="preserve"> Las disposiciones de la Directiva N°</w:t>
      </w:r>
      <w:r w:rsidR="0066746D">
        <w:rPr>
          <w:rFonts w:ascii="Arial" w:eastAsia="Calibri" w:hAnsi="Arial" w:cs="Arial"/>
          <w:lang w:val="es-ES"/>
        </w:rPr>
        <w:t xml:space="preserve"> 001</w:t>
      </w:r>
      <w:r w:rsidRPr="0082444B">
        <w:rPr>
          <w:rFonts w:ascii="Arial" w:eastAsia="Calibri" w:hAnsi="Arial" w:cs="Arial"/>
          <w:lang w:val="es-ES"/>
        </w:rPr>
        <w:t xml:space="preserve">-2016/SBN, entrarán en vigencia a partir del día siguiente de la publicación de la presente resolución en el Diario Oficial El Peruano. </w:t>
      </w:r>
    </w:p>
    <w:p w:rsidR="0082444B" w:rsidRPr="0082444B" w:rsidRDefault="0082444B" w:rsidP="0082444B">
      <w:pPr>
        <w:spacing w:after="0" w:line="240" w:lineRule="auto"/>
        <w:contextualSpacing/>
        <w:jc w:val="both"/>
        <w:rPr>
          <w:rFonts w:ascii="Arial" w:eastAsia="Calibri" w:hAnsi="Arial" w:cs="Arial"/>
          <w:b/>
          <w:lang w:val="es-ES"/>
        </w:rPr>
      </w:pPr>
    </w:p>
    <w:p w:rsidR="0082444B" w:rsidRPr="0082444B" w:rsidRDefault="0082444B" w:rsidP="0082444B">
      <w:pPr>
        <w:spacing w:after="0" w:line="240" w:lineRule="auto"/>
        <w:contextualSpacing/>
        <w:jc w:val="both"/>
        <w:rPr>
          <w:rFonts w:ascii="Arial" w:eastAsia="Calibri" w:hAnsi="Arial" w:cs="Arial"/>
          <w:lang w:val="es-ES"/>
        </w:rPr>
      </w:pPr>
      <w:r w:rsidRPr="0082444B">
        <w:rPr>
          <w:rFonts w:ascii="Arial" w:eastAsia="Calibri" w:hAnsi="Arial" w:cs="Arial"/>
          <w:b/>
          <w:lang w:val="es-ES"/>
        </w:rPr>
        <w:t xml:space="preserve">Artículo 4º.- </w:t>
      </w:r>
      <w:r w:rsidRPr="0082444B">
        <w:rPr>
          <w:rFonts w:ascii="Arial" w:eastAsia="Calibri" w:hAnsi="Arial" w:cs="Arial"/>
          <w:lang w:val="es-ES"/>
        </w:rPr>
        <w:t>Encargar a la Oficina de Administración y Finanzas la publicación de la Directiva N°</w:t>
      </w:r>
      <w:r w:rsidR="0066746D">
        <w:rPr>
          <w:rFonts w:ascii="Arial" w:eastAsia="Calibri" w:hAnsi="Arial" w:cs="Arial"/>
          <w:lang w:val="es-ES"/>
        </w:rPr>
        <w:t xml:space="preserve"> 001</w:t>
      </w:r>
      <w:r w:rsidRPr="0082444B">
        <w:rPr>
          <w:rFonts w:ascii="Arial" w:eastAsia="Calibri" w:hAnsi="Arial" w:cs="Arial"/>
          <w:lang w:val="es-ES"/>
        </w:rPr>
        <w:t>-2016/SBN y la presente Resolución en la página web (www.sbn.gob.pe) y en la intranet institucional.</w:t>
      </w:r>
    </w:p>
    <w:p w:rsidR="0082444B" w:rsidRPr="0082444B" w:rsidRDefault="0082444B" w:rsidP="0082444B">
      <w:pPr>
        <w:spacing w:after="0" w:line="240" w:lineRule="auto"/>
        <w:contextualSpacing/>
        <w:jc w:val="both"/>
        <w:rPr>
          <w:rFonts w:ascii="Arial" w:eastAsia="Calibri" w:hAnsi="Arial" w:cs="Arial"/>
          <w:lang w:val="es-ES"/>
        </w:rPr>
      </w:pPr>
    </w:p>
    <w:p w:rsidR="006312E8" w:rsidRPr="0082444B" w:rsidRDefault="0082444B" w:rsidP="0082444B">
      <w:pPr>
        <w:spacing w:after="0" w:line="240" w:lineRule="auto"/>
        <w:contextualSpacing/>
        <w:jc w:val="both"/>
        <w:rPr>
          <w:rFonts w:ascii="Arial" w:eastAsia="Calibri" w:hAnsi="Arial" w:cs="Arial"/>
          <w:lang w:val="es-ES"/>
        </w:rPr>
      </w:pPr>
      <w:r w:rsidRPr="0082444B">
        <w:rPr>
          <w:rFonts w:ascii="Arial" w:eastAsia="Calibri" w:hAnsi="Arial" w:cs="Arial"/>
          <w:lang w:val="es-ES"/>
        </w:rPr>
        <w:t>Regístrese, comuníquese y publíquese.</w:t>
      </w:r>
    </w:p>
    <w:p w:rsidR="0082444B" w:rsidRPr="006312E8" w:rsidRDefault="0082444B" w:rsidP="0082444B">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lang w:val="es-ES"/>
        </w:rPr>
        <w:tab/>
      </w:r>
      <w:r w:rsidR="0082444B">
        <w:rPr>
          <w:rFonts w:ascii="Arial" w:eastAsia="Calibri" w:hAnsi="Arial" w:cs="Arial"/>
          <w:b/>
          <w:lang w:val="es-ES"/>
        </w:rPr>
        <w:t>JOSÉ LUIS PAIRAZAMAN TORRES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b/>
      </w:r>
      <w:r w:rsidRPr="006312E8">
        <w:rPr>
          <w:rFonts w:ascii="Arial" w:eastAsia="Calibri" w:hAnsi="Arial" w:cs="Arial"/>
          <w:lang w:val="es-ES"/>
        </w:rPr>
        <w:t>Superintendente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6746D" w:rsidP="00E104C8">
      <w:pPr>
        <w:pStyle w:val="TITO2"/>
      </w:pPr>
      <w:bookmarkStart w:id="291" w:name="_Toc392856223"/>
      <w:bookmarkStart w:id="292" w:name="_Toc399335498"/>
      <w:bookmarkStart w:id="293" w:name="_Toc421025445"/>
      <w:bookmarkStart w:id="294" w:name="_Toc470855547"/>
      <w:bookmarkStart w:id="295" w:name="D0042013"/>
      <w:r>
        <w:t>DIRECTIVA Nº 001</w:t>
      </w:r>
      <w:r w:rsidR="006312E8" w:rsidRPr="006312E8">
        <w:t>-201</w:t>
      </w:r>
      <w:r>
        <w:t>6/</w:t>
      </w:r>
      <w:r w:rsidR="006312E8" w:rsidRPr="006312E8">
        <w:t>SBN</w:t>
      </w:r>
      <w:bookmarkEnd w:id="291"/>
      <w:bookmarkEnd w:id="292"/>
      <w:bookmarkEnd w:id="293"/>
      <w:bookmarkEnd w:id="294"/>
    </w:p>
    <w:bookmarkEnd w:id="295"/>
    <w:p w:rsidR="006312E8" w:rsidRDefault="006312E8" w:rsidP="000C2661">
      <w:pPr>
        <w:spacing w:after="0" w:line="240" w:lineRule="auto"/>
        <w:contextualSpacing/>
        <w:jc w:val="center"/>
        <w:rPr>
          <w:rFonts w:ascii="Arial" w:eastAsia="Calibri" w:hAnsi="Arial" w:cs="Arial"/>
          <w:b/>
          <w:lang w:val="es-ES"/>
        </w:rPr>
      </w:pPr>
      <w:r w:rsidRPr="006312E8">
        <w:rPr>
          <w:rFonts w:ascii="Arial" w:eastAsia="Calibri" w:hAnsi="Arial" w:cs="Arial"/>
          <w:b/>
          <w:lang w:val="es-ES"/>
        </w:rPr>
        <w:t>PROCEDIMIENTOS PARA LA VENTA MEDIANTE SUBASTA PÚBLICA DE PREDIOS DE DOMINIO PRIVADO DEL</w:t>
      </w:r>
      <w:r w:rsidR="000C2661">
        <w:rPr>
          <w:rFonts w:ascii="Arial" w:eastAsia="Calibri" w:hAnsi="Arial" w:cs="Arial"/>
          <w:b/>
          <w:lang w:val="es-ES"/>
        </w:rPr>
        <w:t xml:space="preserve"> ESTADO DE LIBRE DISPONIBILIDAD</w:t>
      </w:r>
    </w:p>
    <w:p w:rsidR="000C2661" w:rsidRPr="000C2661" w:rsidRDefault="000C2661" w:rsidP="000C2661">
      <w:pPr>
        <w:spacing w:after="0" w:line="240" w:lineRule="auto"/>
        <w:contextualSpacing/>
        <w:jc w:val="center"/>
        <w:rPr>
          <w:rFonts w:ascii="Arial" w:eastAsia="Calibri" w:hAnsi="Arial" w:cs="Arial"/>
          <w:b/>
          <w:lang w:val="es-ES"/>
        </w:rPr>
      </w:pPr>
    </w:p>
    <w:p w:rsidR="000C2661" w:rsidRPr="000C2661" w:rsidRDefault="000C2661" w:rsidP="000C2661">
      <w:pPr>
        <w:spacing w:after="0" w:line="240" w:lineRule="auto"/>
        <w:contextualSpacing/>
        <w:jc w:val="both"/>
        <w:rPr>
          <w:rFonts w:ascii="Arial" w:eastAsia="Calibri" w:hAnsi="Arial" w:cs="Arial"/>
          <w:lang w:val="es-ES"/>
        </w:rPr>
      </w:pPr>
    </w:p>
    <w:p w:rsidR="000C2661" w:rsidRPr="0004185E" w:rsidRDefault="000C2661" w:rsidP="0004185E">
      <w:pPr>
        <w:spacing w:after="0" w:line="240" w:lineRule="auto"/>
        <w:ind w:left="426" w:hanging="426"/>
        <w:contextualSpacing/>
        <w:jc w:val="both"/>
        <w:rPr>
          <w:rFonts w:ascii="Arial" w:eastAsia="Calibri" w:hAnsi="Arial" w:cs="Arial"/>
          <w:b/>
          <w:lang w:val="es-ES"/>
        </w:rPr>
      </w:pPr>
      <w:r w:rsidRPr="0004185E">
        <w:rPr>
          <w:rFonts w:ascii="Arial" w:eastAsia="Calibri" w:hAnsi="Arial" w:cs="Arial"/>
          <w:b/>
          <w:lang w:val="es-ES"/>
        </w:rPr>
        <w:t>I.</w:t>
      </w:r>
      <w:r w:rsidRPr="0004185E">
        <w:rPr>
          <w:rFonts w:ascii="Arial" w:eastAsia="Calibri" w:hAnsi="Arial" w:cs="Arial"/>
          <w:b/>
          <w:lang w:val="es-ES"/>
        </w:rPr>
        <w:tab/>
        <w:t>FINALIDAD</w:t>
      </w:r>
    </w:p>
    <w:p w:rsidR="000C2661" w:rsidRPr="000C2661" w:rsidRDefault="000C2661" w:rsidP="0004185E">
      <w:pPr>
        <w:spacing w:after="0" w:line="240" w:lineRule="auto"/>
        <w:ind w:left="426"/>
        <w:contextualSpacing/>
        <w:jc w:val="both"/>
        <w:rPr>
          <w:rFonts w:ascii="Arial" w:eastAsia="Calibri" w:hAnsi="Arial" w:cs="Arial"/>
          <w:lang w:val="es-ES"/>
        </w:rPr>
      </w:pPr>
      <w:r w:rsidRPr="000C2661">
        <w:rPr>
          <w:rFonts w:ascii="Arial" w:eastAsia="Calibri" w:hAnsi="Arial" w:cs="Arial"/>
          <w:lang w:val="es-ES"/>
        </w:rPr>
        <w:t>Optimizar los procedimientos para la venta por subasta pública, a valor de mercado, de predios de dominio privado del Estado de libre disponibilidad.</w:t>
      </w:r>
    </w:p>
    <w:p w:rsidR="000C2661" w:rsidRPr="000C2661" w:rsidRDefault="000C2661" w:rsidP="000C2661">
      <w:pPr>
        <w:spacing w:after="0" w:line="240" w:lineRule="auto"/>
        <w:contextualSpacing/>
        <w:jc w:val="both"/>
        <w:rPr>
          <w:rFonts w:ascii="Arial" w:eastAsia="Calibri" w:hAnsi="Arial" w:cs="Arial"/>
          <w:lang w:val="es-ES"/>
        </w:rPr>
      </w:pPr>
    </w:p>
    <w:p w:rsidR="000C2661" w:rsidRPr="0004185E" w:rsidRDefault="000C2661" w:rsidP="0004185E">
      <w:pPr>
        <w:spacing w:after="0" w:line="240" w:lineRule="auto"/>
        <w:ind w:left="426" w:hanging="426"/>
        <w:contextualSpacing/>
        <w:jc w:val="both"/>
        <w:rPr>
          <w:rFonts w:ascii="Arial" w:eastAsia="Calibri" w:hAnsi="Arial" w:cs="Arial"/>
          <w:b/>
          <w:lang w:val="es-ES"/>
        </w:rPr>
      </w:pPr>
      <w:r w:rsidRPr="0004185E">
        <w:rPr>
          <w:rFonts w:ascii="Arial" w:eastAsia="Calibri" w:hAnsi="Arial" w:cs="Arial"/>
          <w:b/>
          <w:lang w:val="es-ES"/>
        </w:rPr>
        <w:t>II.</w:t>
      </w:r>
      <w:r w:rsidRPr="0004185E">
        <w:rPr>
          <w:rFonts w:ascii="Arial" w:eastAsia="Calibri" w:hAnsi="Arial" w:cs="Arial"/>
          <w:b/>
          <w:lang w:val="es-ES"/>
        </w:rPr>
        <w:tab/>
        <w:t>OBJETIVO</w:t>
      </w:r>
    </w:p>
    <w:p w:rsidR="000C2661" w:rsidRPr="000C2661" w:rsidRDefault="000C2661" w:rsidP="0004185E">
      <w:pPr>
        <w:spacing w:after="0" w:line="240" w:lineRule="auto"/>
        <w:ind w:left="426"/>
        <w:contextualSpacing/>
        <w:jc w:val="both"/>
        <w:rPr>
          <w:rFonts w:ascii="Arial" w:eastAsia="Calibri" w:hAnsi="Arial" w:cs="Arial"/>
          <w:lang w:val="es-ES"/>
        </w:rPr>
      </w:pPr>
      <w:r w:rsidRPr="000C2661">
        <w:rPr>
          <w:rFonts w:ascii="Arial" w:eastAsia="Calibri" w:hAnsi="Arial" w:cs="Arial"/>
          <w:lang w:val="es-ES"/>
        </w:rPr>
        <w:t>Regular los procedimientos para la autorización de venta por subasta pública y la ejecución de la subasta pública de predios de dominio privado del Estado de libre disponibilidad.</w:t>
      </w:r>
    </w:p>
    <w:p w:rsidR="000C2661" w:rsidRPr="000C2661" w:rsidRDefault="000C2661" w:rsidP="000C2661">
      <w:pPr>
        <w:spacing w:after="0" w:line="240" w:lineRule="auto"/>
        <w:contextualSpacing/>
        <w:jc w:val="both"/>
        <w:rPr>
          <w:rFonts w:ascii="Arial" w:eastAsia="Calibri" w:hAnsi="Arial" w:cs="Arial"/>
          <w:lang w:val="es-ES"/>
        </w:rPr>
      </w:pPr>
    </w:p>
    <w:p w:rsidR="000C2661" w:rsidRPr="0004185E" w:rsidRDefault="000C2661" w:rsidP="0004185E">
      <w:pPr>
        <w:spacing w:after="0" w:line="240" w:lineRule="auto"/>
        <w:ind w:left="426" w:hanging="426"/>
        <w:contextualSpacing/>
        <w:jc w:val="both"/>
        <w:rPr>
          <w:rFonts w:ascii="Arial" w:eastAsia="Calibri" w:hAnsi="Arial" w:cs="Arial"/>
          <w:b/>
          <w:lang w:val="es-ES"/>
        </w:rPr>
      </w:pPr>
      <w:r w:rsidRPr="0004185E">
        <w:rPr>
          <w:rFonts w:ascii="Arial" w:eastAsia="Calibri" w:hAnsi="Arial" w:cs="Arial"/>
          <w:b/>
          <w:lang w:val="es-ES"/>
        </w:rPr>
        <w:t>III.</w:t>
      </w:r>
      <w:r w:rsidRPr="0004185E">
        <w:rPr>
          <w:rFonts w:ascii="Arial" w:eastAsia="Calibri" w:hAnsi="Arial" w:cs="Arial"/>
          <w:b/>
          <w:lang w:val="es-ES"/>
        </w:rPr>
        <w:tab/>
        <w:t>ALCANCE</w:t>
      </w:r>
    </w:p>
    <w:p w:rsidR="000C2661" w:rsidRPr="000C2661" w:rsidRDefault="000C2661" w:rsidP="0004185E">
      <w:pPr>
        <w:spacing w:after="0" w:line="240" w:lineRule="auto"/>
        <w:ind w:left="426"/>
        <w:contextualSpacing/>
        <w:jc w:val="both"/>
        <w:rPr>
          <w:rFonts w:ascii="Arial" w:eastAsia="Calibri" w:hAnsi="Arial" w:cs="Arial"/>
          <w:lang w:val="es-ES"/>
        </w:rPr>
      </w:pPr>
      <w:r w:rsidRPr="000C2661">
        <w:rPr>
          <w:rFonts w:ascii="Arial" w:eastAsia="Calibri" w:hAnsi="Arial" w:cs="Arial"/>
          <w:lang w:val="es-ES"/>
        </w:rPr>
        <w:t>La presente Directiva tiene alcance a nivel nacional y comprende los predios del dominio privado estatal de libre disponibilidad que están bajo competencia directa de:</w:t>
      </w:r>
    </w:p>
    <w:p w:rsidR="000C2661" w:rsidRPr="000C2661" w:rsidRDefault="000C2661" w:rsidP="000C2661">
      <w:pPr>
        <w:spacing w:after="0" w:line="240" w:lineRule="auto"/>
        <w:contextualSpacing/>
        <w:jc w:val="both"/>
        <w:rPr>
          <w:rFonts w:ascii="Arial" w:eastAsia="Calibri" w:hAnsi="Arial" w:cs="Arial"/>
          <w:lang w:val="es-ES"/>
        </w:rPr>
      </w:pPr>
    </w:p>
    <w:p w:rsidR="000C2661" w:rsidRPr="000C2661" w:rsidRDefault="000C2661" w:rsidP="0004185E">
      <w:pPr>
        <w:spacing w:after="0" w:line="240" w:lineRule="auto"/>
        <w:ind w:left="709" w:hanging="283"/>
        <w:contextualSpacing/>
        <w:jc w:val="both"/>
        <w:rPr>
          <w:rFonts w:ascii="Arial" w:eastAsia="Calibri" w:hAnsi="Arial" w:cs="Arial"/>
          <w:lang w:val="es-ES"/>
        </w:rPr>
      </w:pPr>
      <w:r w:rsidRPr="000C2661">
        <w:rPr>
          <w:rFonts w:ascii="Arial" w:eastAsia="Calibri" w:hAnsi="Arial" w:cs="Arial"/>
          <w:lang w:val="es-ES"/>
        </w:rPr>
        <w:t>-</w:t>
      </w:r>
      <w:r w:rsidRPr="000C2661">
        <w:rPr>
          <w:rFonts w:ascii="Arial" w:eastAsia="Calibri" w:hAnsi="Arial" w:cs="Arial"/>
          <w:lang w:val="es-ES"/>
        </w:rPr>
        <w:tab/>
        <w:t>La SBN;</w:t>
      </w:r>
    </w:p>
    <w:p w:rsidR="000C2661" w:rsidRPr="000C2661" w:rsidRDefault="000C2661" w:rsidP="0004185E">
      <w:pPr>
        <w:spacing w:after="0" w:line="240" w:lineRule="auto"/>
        <w:ind w:left="709" w:hanging="283"/>
        <w:contextualSpacing/>
        <w:jc w:val="both"/>
        <w:rPr>
          <w:rFonts w:ascii="Arial" w:eastAsia="Calibri" w:hAnsi="Arial" w:cs="Arial"/>
          <w:lang w:val="es-ES"/>
        </w:rPr>
      </w:pPr>
    </w:p>
    <w:p w:rsidR="000C2661" w:rsidRPr="000C2661" w:rsidRDefault="000C2661" w:rsidP="0004185E">
      <w:pPr>
        <w:spacing w:after="0" w:line="240" w:lineRule="auto"/>
        <w:ind w:left="709" w:hanging="283"/>
        <w:contextualSpacing/>
        <w:jc w:val="both"/>
        <w:rPr>
          <w:rFonts w:ascii="Arial" w:eastAsia="Calibri" w:hAnsi="Arial" w:cs="Arial"/>
          <w:lang w:val="es-ES"/>
        </w:rPr>
      </w:pPr>
      <w:r w:rsidRPr="000C2661">
        <w:rPr>
          <w:rFonts w:ascii="Arial" w:eastAsia="Calibri" w:hAnsi="Arial" w:cs="Arial"/>
          <w:lang w:val="es-ES"/>
        </w:rPr>
        <w:t>-</w:t>
      </w:r>
      <w:r w:rsidRPr="000C2661">
        <w:rPr>
          <w:rFonts w:ascii="Arial" w:eastAsia="Calibri" w:hAnsi="Arial" w:cs="Arial"/>
          <w:lang w:val="es-ES"/>
        </w:rPr>
        <w:tab/>
        <w:t>Los Gobiernos Regionales que hayan asumido competencias en el marco del proceso de descentralización, respecto de las funciones establecidas en el artículo 62° de la Ley Nº 27867, Ley Orgánica de Gobiernos Regionales.</w:t>
      </w:r>
    </w:p>
    <w:p w:rsidR="000C2661" w:rsidRPr="000C2661" w:rsidRDefault="000C2661" w:rsidP="0004185E">
      <w:pPr>
        <w:spacing w:after="0" w:line="240" w:lineRule="auto"/>
        <w:ind w:left="709" w:hanging="283"/>
        <w:contextualSpacing/>
        <w:jc w:val="both"/>
        <w:rPr>
          <w:rFonts w:ascii="Arial" w:eastAsia="Calibri" w:hAnsi="Arial" w:cs="Arial"/>
          <w:lang w:val="es-ES"/>
        </w:rPr>
      </w:pPr>
    </w:p>
    <w:p w:rsidR="000C2661" w:rsidRPr="000C2661" w:rsidRDefault="000C2661" w:rsidP="0004185E">
      <w:pPr>
        <w:spacing w:after="0" w:line="240" w:lineRule="auto"/>
        <w:ind w:left="709" w:hanging="283"/>
        <w:contextualSpacing/>
        <w:jc w:val="both"/>
        <w:rPr>
          <w:rFonts w:ascii="Arial" w:eastAsia="Calibri" w:hAnsi="Arial" w:cs="Arial"/>
          <w:lang w:val="es-ES"/>
        </w:rPr>
      </w:pPr>
      <w:r w:rsidRPr="000C2661">
        <w:rPr>
          <w:rFonts w:ascii="Arial" w:eastAsia="Calibri" w:hAnsi="Arial" w:cs="Arial"/>
          <w:lang w:val="es-ES"/>
        </w:rPr>
        <w:t>-</w:t>
      </w:r>
      <w:r w:rsidRPr="000C2661">
        <w:rPr>
          <w:rFonts w:ascii="Arial" w:eastAsia="Calibri" w:hAnsi="Arial" w:cs="Arial"/>
          <w:lang w:val="es-ES"/>
        </w:rPr>
        <w:tab/>
        <w:t>Las demás entidades que conforman el SNBE, en adelante las entidades públicas.</w:t>
      </w:r>
    </w:p>
    <w:p w:rsidR="000C2661" w:rsidRPr="000C2661" w:rsidRDefault="000C2661" w:rsidP="000C2661">
      <w:pPr>
        <w:spacing w:after="0" w:line="240" w:lineRule="auto"/>
        <w:contextualSpacing/>
        <w:jc w:val="both"/>
        <w:rPr>
          <w:rFonts w:ascii="Arial" w:eastAsia="Calibri" w:hAnsi="Arial" w:cs="Arial"/>
          <w:lang w:val="es-ES"/>
        </w:rPr>
      </w:pPr>
    </w:p>
    <w:p w:rsidR="000C2661" w:rsidRPr="000C2661" w:rsidRDefault="000C2661" w:rsidP="0004185E">
      <w:pPr>
        <w:spacing w:after="0" w:line="240" w:lineRule="auto"/>
        <w:ind w:left="426"/>
        <w:contextualSpacing/>
        <w:jc w:val="both"/>
        <w:rPr>
          <w:rFonts w:ascii="Arial" w:eastAsia="Calibri" w:hAnsi="Arial" w:cs="Arial"/>
          <w:lang w:val="es-ES"/>
        </w:rPr>
      </w:pPr>
      <w:r w:rsidRPr="000C2661">
        <w:rPr>
          <w:rFonts w:ascii="Arial" w:eastAsia="Calibri" w:hAnsi="Arial" w:cs="Arial"/>
          <w:lang w:val="es-ES"/>
        </w:rPr>
        <w:t>No están comprendidos en esta Directiva los predios estatales que son materia de procesos de formalización, privatización o concesión en cumplimiento de disposiciones especiales.</w:t>
      </w:r>
    </w:p>
    <w:p w:rsidR="000C2661" w:rsidRPr="000C2661" w:rsidRDefault="000C2661" w:rsidP="0004185E">
      <w:pPr>
        <w:spacing w:after="0" w:line="240" w:lineRule="auto"/>
        <w:ind w:left="426"/>
        <w:contextualSpacing/>
        <w:jc w:val="both"/>
        <w:rPr>
          <w:rFonts w:ascii="Arial" w:eastAsia="Calibri" w:hAnsi="Arial" w:cs="Arial"/>
          <w:lang w:val="es-ES"/>
        </w:rPr>
      </w:pPr>
    </w:p>
    <w:p w:rsidR="000C2661" w:rsidRPr="000C2661" w:rsidRDefault="000C2661" w:rsidP="0004185E">
      <w:pPr>
        <w:spacing w:after="0" w:line="240" w:lineRule="auto"/>
        <w:ind w:left="426"/>
        <w:contextualSpacing/>
        <w:jc w:val="both"/>
        <w:rPr>
          <w:rFonts w:ascii="Arial" w:eastAsia="Calibri" w:hAnsi="Arial" w:cs="Arial"/>
          <w:lang w:val="es-ES"/>
        </w:rPr>
      </w:pPr>
      <w:r w:rsidRPr="000C2661">
        <w:rPr>
          <w:rFonts w:ascii="Arial" w:eastAsia="Calibri" w:hAnsi="Arial" w:cs="Arial"/>
          <w:lang w:val="es-ES"/>
        </w:rPr>
        <w:t>Los Gobiernos Regionales, los Gobiernos Locales y las entidades públicas, que cuentan con régimen legal propio para disponer de los predios de su propiedad, pueden aplicar la presente directiva de manera supletoria.</w:t>
      </w:r>
    </w:p>
    <w:p w:rsidR="000C2661" w:rsidRPr="000C2661" w:rsidRDefault="000C2661" w:rsidP="000C2661">
      <w:pPr>
        <w:spacing w:after="0" w:line="240" w:lineRule="auto"/>
        <w:contextualSpacing/>
        <w:jc w:val="both"/>
        <w:rPr>
          <w:rFonts w:ascii="Arial" w:eastAsia="Calibri" w:hAnsi="Arial" w:cs="Arial"/>
          <w:lang w:val="es-ES"/>
        </w:rPr>
      </w:pPr>
    </w:p>
    <w:p w:rsidR="000C2661" w:rsidRPr="0004185E" w:rsidRDefault="000C2661" w:rsidP="0004185E">
      <w:pPr>
        <w:spacing w:after="0" w:line="240" w:lineRule="auto"/>
        <w:ind w:left="426" w:hanging="426"/>
        <w:contextualSpacing/>
        <w:jc w:val="both"/>
        <w:rPr>
          <w:rFonts w:ascii="Arial" w:eastAsia="Calibri" w:hAnsi="Arial" w:cs="Arial"/>
          <w:b/>
          <w:lang w:val="es-ES"/>
        </w:rPr>
      </w:pPr>
      <w:r w:rsidRPr="0004185E">
        <w:rPr>
          <w:rFonts w:ascii="Arial" w:eastAsia="Calibri" w:hAnsi="Arial" w:cs="Arial"/>
          <w:b/>
          <w:lang w:val="es-ES"/>
        </w:rPr>
        <w:t>IV.</w:t>
      </w:r>
      <w:r w:rsidRPr="0004185E">
        <w:rPr>
          <w:rFonts w:ascii="Arial" w:eastAsia="Calibri" w:hAnsi="Arial" w:cs="Arial"/>
          <w:b/>
          <w:lang w:val="es-ES"/>
        </w:rPr>
        <w:tab/>
        <w:t>BASE LEGAL</w:t>
      </w:r>
    </w:p>
    <w:p w:rsidR="000C2661" w:rsidRPr="000C2661" w:rsidRDefault="000C2661" w:rsidP="0004185E">
      <w:pPr>
        <w:spacing w:after="0" w:line="240" w:lineRule="auto"/>
        <w:ind w:left="709" w:hanging="283"/>
        <w:contextualSpacing/>
        <w:jc w:val="both"/>
        <w:rPr>
          <w:rFonts w:ascii="Arial" w:eastAsia="Calibri" w:hAnsi="Arial" w:cs="Arial"/>
          <w:lang w:val="es-ES"/>
        </w:rPr>
      </w:pPr>
      <w:r w:rsidRPr="000C2661">
        <w:rPr>
          <w:rFonts w:ascii="Arial" w:eastAsia="Calibri" w:hAnsi="Arial" w:cs="Arial"/>
          <w:lang w:val="es-ES"/>
        </w:rPr>
        <w:t>-</w:t>
      </w:r>
      <w:r w:rsidRPr="000C2661">
        <w:rPr>
          <w:rFonts w:ascii="Arial" w:eastAsia="Calibri" w:hAnsi="Arial" w:cs="Arial"/>
          <w:lang w:val="es-ES"/>
        </w:rPr>
        <w:tab/>
        <w:t xml:space="preserve">Ley N° 30225, Ley de Contrataciones del Estado. </w:t>
      </w:r>
    </w:p>
    <w:p w:rsidR="000C2661" w:rsidRPr="000C2661" w:rsidRDefault="000C2661" w:rsidP="0004185E">
      <w:pPr>
        <w:spacing w:after="0" w:line="240" w:lineRule="auto"/>
        <w:ind w:left="709" w:hanging="283"/>
        <w:contextualSpacing/>
        <w:jc w:val="both"/>
        <w:rPr>
          <w:rFonts w:ascii="Arial" w:eastAsia="Calibri" w:hAnsi="Arial" w:cs="Arial"/>
          <w:lang w:val="es-ES"/>
        </w:rPr>
      </w:pPr>
    </w:p>
    <w:p w:rsidR="000C2661" w:rsidRPr="000C2661" w:rsidRDefault="000C2661" w:rsidP="0004185E">
      <w:pPr>
        <w:spacing w:after="0" w:line="240" w:lineRule="auto"/>
        <w:ind w:left="709" w:hanging="283"/>
        <w:contextualSpacing/>
        <w:jc w:val="both"/>
        <w:rPr>
          <w:rFonts w:ascii="Arial" w:eastAsia="Calibri" w:hAnsi="Arial" w:cs="Arial"/>
          <w:lang w:val="es-ES"/>
        </w:rPr>
      </w:pPr>
      <w:r w:rsidRPr="000C2661">
        <w:rPr>
          <w:rFonts w:ascii="Arial" w:eastAsia="Calibri" w:hAnsi="Arial" w:cs="Arial"/>
          <w:lang w:val="es-ES"/>
        </w:rPr>
        <w:t>-</w:t>
      </w:r>
      <w:r w:rsidRPr="000C2661">
        <w:rPr>
          <w:rFonts w:ascii="Arial" w:eastAsia="Calibri" w:hAnsi="Arial" w:cs="Arial"/>
          <w:lang w:val="es-ES"/>
        </w:rPr>
        <w:tab/>
        <w:t>Ley Nº 29151, Ley General del Sistema Nacional de Bienes Estatales, en adelante la Ley.</w:t>
      </w:r>
    </w:p>
    <w:p w:rsidR="000C2661" w:rsidRPr="000C2661" w:rsidRDefault="000C2661" w:rsidP="0004185E">
      <w:pPr>
        <w:spacing w:after="0" w:line="240" w:lineRule="auto"/>
        <w:ind w:left="709" w:hanging="283"/>
        <w:contextualSpacing/>
        <w:jc w:val="both"/>
        <w:rPr>
          <w:rFonts w:ascii="Arial" w:eastAsia="Calibri" w:hAnsi="Arial" w:cs="Arial"/>
          <w:lang w:val="es-ES"/>
        </w:rPr>
      </w:pPr>
    </w:p>
    <w:p w:rsidR="000C2661" w:rsidRPr="000C2661" w:rsidRDefault="000C2661" w:rsidP="0004185E">
      <w:pPr>
        <w:spacing w:after="0" w:line="240" w:lineRule="auto"/>
        <w:ind w:left="709" w:hanging="283"/>
        <w:contextualSpacing/>
        <w:jc w:val="both"/>
        <w:rPr>
          <w:rFonts w:ascii="Arial" w:eastAsia="Calibri" w:hAnsi="Arial" w:cs="Arial"/>
          <w:lang w:val="es-ES"/>
        </w:rPr>
      </w:pPr>
      <w:r w:rsidRPr="000C2661">
        <w:rPr>
          <w:rFonts w:ascii="Arial" w:eastAsia="Calibri" w:hAnsi="Arial" w:cs="Arial"/>
          <w:lang w:val="es-ES"/>
        </w:rPr>
        <w:t>-</w:t>
      </w:r>
      <w:r w:rsidRPr="000C2661">
        <w:rPr>
          <w:rFonts w:ascii="Arial" w:eastAsia="Calibri" w:hAnsi="Arial" w:cs="Arial"/>
          <w:lang w:val="es-ES"/>
        </w:rPr>
        <w:tab/>
        <w:t>Ley Nº 26856, Ley que declara que las playas del litoral son bienes de uso público, inalienables e imprescriptibles y establecen zona de dominio restringido.</w:t>
      </w:r>
    </w:p>
    <w:p w:rsidR="000C2661" w:rsidRPr="000C2661" w:rsidRDefault="000C2661" w:rsidP="0004185E">
      <w:pPr>
        <w:spacing w:after="0" w:line="240" w:lineRule="auto"/>
        <w:ind w:left="709" w:hanging="283"/>
        <w:contextualSpacing/>
        <w:jc w:val="both"/>
        <w:rPr>
          <w:rFonts w:ascii="Arial" w:eastAsia="Calibri" w:hAnsi="Arial" w:cs="Arial"/>
          <w:lang w:val="es-ES"/>
        </w:rPr>
      </w:pPr>
    </w:p>
    <w:p w:rsidR="000C2661" w:rsidRPr="000C2661" w:rsidRDefault="000C2661" w:rsidP="0004185E">
      <w:pPr>
        <w:spacing w:after="0" w:line="240" w:lineRule="auto"/>
        <w:ind w:left="709" w:hanging="283"/>
        <w:contextualSpacing/>
        <w:jc w:val="both"/>
        <w:rPr>
          <w:rFonts w:ascii="Arial" w:eastAsia="Calibri" w:hAnsi="Arial" w:cs="Arial"/>
          <w:lang w:val="es-ES"/>
        </w:rPr>
      </w:pPr>
      <w:r w:rsidRPr="000C2661">
        <w:rPr>
          <w:rFonts w:ascii="Arial" w:eastAsia="Calibri" w:hAnsi="Arial" w:cs="Arial"/>
          <w:lang w:val="es-ES"/>
        </w:rPr>
        <w:t>-</w:t>
      </w:r>
      <w:r w:rsidRPr="000C2661">
        <w:rPr>
          <w:rFonts w:ascii="Arial" w:eastAsia="Calibri" w:hAnsi="Arial" w:cs="Arial"/>
          <w:lang w:val="es-ES"/>
        </w:rPr>
        <w:tab/>
        <w:t>Ley Nº 27867, Ley Orgánica de Gobiernos Regionales.</w:t>
      </w:r>
    </w:p>
    <w:p w:rsidR="000C2661" w:rsidRPr="000C2661" w:rsidRDefault="000C2661" w:rsidP="0004185E">
      <w:pPr>
        <w:spacing w:after="0" w:line="240" w:lineRule="auto"/>
        <w:ind w:left="709" w:hanging="283"/>
        <w:contextualSpacing/>
        <w:jc w:val="both"/>
        <w:rPr>
          <w:rFonts w:ascii="Arial" w:eastAsia="Calibri" w:hAnsi="Arial" w:cs="Arial"/>
          <w:lang w:val="es-ES"/>
        </w:rPr>
      </w:pPr>
    </w:p>
    <w:p w:rsidR="000C2661" w:rsidRPr="000C2661" w:rsidRDefault="000C2661" w:rsidP="0004185E">
      <w:pPr>
        <w:spacing w:after="0" w:line="240" w:lineRule="auto"/>
        <w:ind w:left="709" w:hanging="283"/>
        <w:contextualSpacing/>
        <w:jc w:val="both"/>
        <w:rPr>
          <w:rFonts w:ascii="Arial" w:eastAsia="Calibri" w:hAnsi="Arial" w:cs="Arial"/>
          <w:lang w:val="es-ES"/>
        </w:rPr>
      </w:pPr>
      <w:r w:rsidRPr="000C2661">
        <w:rPr>
          <w:rFonts w:ascii="Arial" w:eastAsia="Calibri" w:hAnsi="Arial" w:cs="Arial"/>
          <w:lang w:val="es-ES"/>
        </w:rPr>
        <w:t>-</w:t>
      </w:r>
      <w:r w:rsidRPr="000C2661">
        <w:rPr>
          <w:rFonts w:ascii="Arial" w:eastAsia="Calibri" w:hAnsi="Arial" w:cs="Arial"/>
          <w:lang w:val="es-ES"/>
        </w:rPr>
        <w:tab/>
        <w:t>Decreto Supremo Nº 007-2008-VIVIENDA, Reglamento de la Ley Nº 29151, Ley General del Sistema Nacional de Bienes Estatales, en adelante el Reglamento.</w:t>
      </w:r>
    </w:p>
    <w:p w:rsidR="000C2661" w:rsidRPr="000C2661" w:rsidRDefault="000C2661" w:rsidP="0004185E">
      <w:pPr>
        <w:spacing w:after="0" w:line="240" w:lineRule="auto"/>
        <w:ind w:left="709" w:hanging="283"/>
        <w:contextualSpacing/>
        <w:jc w:val="both"/>
        <w:rPr>
          <w:rFonts w:ascii="Arial" w:eastAsia="Calibri" w:hAnsi="Arial" w:cs="Arial"/>
          <w:lang w:val="es-ES"/>
        </w:rPr>
      </w:pPr>
    </w:p>
    <w:p w:rsidR="000C2661" w:rsidRPr="000C2661" w:rsidRDefault="000C2661" w:rsidP="0004185E">
      <w:pPr>
        <w:spacing w:after="0" w:line="240" w:lineRule="auto"/>
        <w:ind w:left="709" w:hanging="283"/>
        <w:contextualSpacing/>
        <w:jc w:val="both"/>
        <w:rPr>
          <w:rFonts w:ascii="Arial" w:eastAsia="Calibri" w:hAnsi="Arial" w:cs="Arial"/>
          <w:lang w:val="es-ES"/>
        </w:rPr>
      </w:pPr>
      <w:r w:rsidRPr="000C2661">
        <w:rPr>
          <w:rFonts w:ascii="Arial" w:eastAsia="Calibri" w:hAnsi="Arial" w:cs="Arial"/>
          <w:lang w:val="es-ES"/>
        </w:rPr>
        <w:t>-</w:t>
      </w:r>
      <w:r w:rsidRPr="000C2661">
        <w:rPr>
          <w:rFonts w:ascii="Arial" w:eastAsia="Calibri" w:hAnsi="Arial" w:cs="Arial"/>
          <w:lang w:val="es-ES"/>
        </w:rPr>
        <w:tab/>
        <w:t>Decreto Supremo Nº 016-2010-VIVIENDA, que aprueba el Reglamento de Organización y Funciones de la Superintendencia Nacional de Bienes Estatales - SBN.</w:t>
      </w:r>
    </w:p>
    <w:p w:rsidR="000C2661" w:rsidRPr="000C2661" w:rsidRDefault="000C2661" w:rsidP="0004185E">
      <w:pPr>
        <w:spacing w:after="0" w:line="240" w:lineRule="auto"/>
        <w:ind w:left="709" w:hanging="283"/>
        <w:contextualSpacing/>
        <w:jc w:val="both"/>
        <w:rPr>
          <w:rFonts w:ascii="Arial" w:eastAsia="Calibri" w:hAnsi="Arial" w:cs="Arial"/>
          <w:lang w:val="es-ES"/>
        </w:rPr>
      </w:pPr>
    </w:p>
    <w:p w:rsidR="000C2661" w:rsidRPr="000C2661" w:rsidRDefault="000C2661" w:rsidP="0004185E">
      <w:pPr>
        <w:spacing w:after="0" w:line="240" w:lineRule="auto"/>
        <w:ind w:left="709" w:hanging="283"/>
        <w:contextualSpacing/>
        <w:jc w:val="both"/>
        <w:rPr>
          <w:rFonts w:ascii="Arial" w:eastAsia="Calibri" w:hAnsi="Arial" w:cs="Arial"/>
          <w:lang w:val="es-ES"/>
        </w:rPr>
      </w:pPr>
      <w:r w:rsidRPr="000C2661">
        <w:rPr>
          <w:rFonts w:ascii="Arial" w:eastAsia="Calibri" w:hAnsi="Arial" w:cs="Arial"/>
          <w:lang w:val="es-ES"/>
        </w:rPr>
        <w:t>-</w:t>
      </w:r>
      <w:r w:rsidRPr="000C2661">
        <w:rPr>
          <w:rFonts w:ascii="Arial" w:eastAsia="Calibri" w:hAnsi="Arial" w:cs="Arial"/>
          <w:lang w:val="es-ES"/>
        </w:rPr>
        <w:tab/>
        <w:t>Decreto Supremo Nº 050-2006-EF, Reglamento de la Ley Nº 26856, Ley que declara que las playas del litoral son bienes de uso público, inalienables e imprescriptibles y establecen zona de dominio restringido.</w:t>
      </w:r>
    </w:p>
    <w:p w:rsidR="000C2661" w:rsidRPr="000C2661" w:rsidRDefault="000C2661" w:rsidP="0004185E">
      <w:pPr>
        <w:spacing w:after="0" w:line="240" w:lineRule="auto"/>
        <w:ind w:left="709" w:hanging="283"/>
        <w:contextualSpacing/>
        <w:jc w:val="both"/>
        <w:rPr>
          <w:rFonts w:ascii="Arial" w:eastAsia="Calibri" w:hAnsi="Arial" w:cs="Arial"/>
          <w:lang w:val="es-ES"/>
        </w:rPr>
      </w:pPr>
    </w:p>
    <w:p w:rsidR="000C2661" w:rsidRPr="000C2661" w:rsidRDefault="000C2661" w:rsidP="0004185E">
      <w:pPr>
        <w:spacing w:after="0" w:line="240" w:lineRule="auto"/>
        <w:ind w:left="709" w:hanging="283"/>
        <w:contextualSpacing/>
        <w:jc w:val="both"/>
        <w:rPr>
          <w:rFonts w:ascii="Arial" w:eastAsia="Calibri" w:hAnsi="Arial" w:cs="Arial"/>
          <w:lang w:val="es-ES"/>
        </w:rPr>
      </w:pPr>
      <w:r w:rsidRPr="000C2661">
        <w:rPr>
          <w:rFonts w:ascii="Arial" w:eastAsia="Calibri" w:hAnsi="Arial" w:cs="Arial"/>
          <w:lang w:val="es-ES"/>
        </w:rPr>
        <w:t>-</w:t>
      </w:r>
      <w:r w:rsidRPr="000C2661">
        <w:rPr>
          <w:rFonts w:ascii="Arial" w:eastAsia="Calibri" w:hAnsi="Arial" w:cs="Arial"/>
          <w:lang w:val="es-ES"/>
        </w:rPr>
        <w:tab/>
        <w:t>Decreto de Urgencia Nº 071-2001, que declara de interés nacional el saneamiento técnico, legal y contable de los inmuebles de propiedad de las entidades públicas.</w:t>
      </w:r>
    </w:p>
    <w:p w:rsidR="000C2661" w:rsidRPr="000C2661" w:rsidRDefault="000C2661" w:rsidP="0004185E">
      <w:pPr>
        <w:spacing w:after="0" w:line="240" w:lineRule="auto"/>
        <w:ind w:left="709" w:hanging="283"/>
        <w:contextualSpacing/>
        <w:jc w:val="both"/>
        <w:rPr>
          <w:rFonts w:ascii="Arial" w:eastAsia="Calibri" w:hAnsi="Arial" w:cs="Arial"/>
          <w:lang w:val="es-ES"/>
        </w:rPr>
      </w:pPr>
    </w:p>
    <w:p w:rsidR="000C2661" w:rsidRPr="000C2661" w:rsidRDefault="000C2661" w:rsidP="0004185E">
      <w:pPr>
        <w:spacing w:after="0" w:line="240" w:lineRule="auto"/>
        <w:ind w:left="709" w:hanging="283"/>
        <w:contextualSpacing/>
        <w:jc w:val="both"/>
        <w:rPr>
          <w:rFonts w:ascii="Arial" w:eastAsia="Calibri" w:hAnsi="Arial" w:cs="Arial"/>
          <w:lang w:val="es-ES"/>
        </w:rPr>
      </w:pPr>
      <w:r w:rsidRPr="000C2661">
        <w:rPr>
          <w:rFonts w:ascii="Arial" w:eastAsia="Calibri" w:hAnsi="Arial" w:cs="Arial"/>
          <w:lang w:val="es-ES"/>
        </w:rPr>
        <w:t>-</w:t>
      </w:r>
      <w:r w:rsidRPr="000C2661">
        <w:rPr>
          <w:rFonts w:ascii="Arial" w:eastAsia="Calibri" w:hAnsi="Arial" w:cs="Arial"/>
          <w:lang w:val="es-ES"/>
        </w:rPr>
        <w:tab/>
        <w:t>Resolución Ministerial Nº 126-2007-VIVIENDA, que aprueba el Reglamento Nacional de Tasaciones del Perú.</w:t>
      </w:r>
    </w:p>
    <w:p w:rsidR="000C2661" w:rsidRPr="000C2661" w:rsidRDefault="000C2661" w:rsidP="000C2661">
      <w:pPr>
        <w:spacing w:after="0" w:line="240" w:lineRule="auto"/>
        <w:contextualSpacing/>
        <w:jc w:val="both"/>
        <w:rPr>
          <w:rFonts w:ascii="Arial" w:eastAsia="Calibri" w:hAnsi="Arial" w:cs="Arial"/>
          <w:lang w:val="es-ES"/>
        </w:rPr>
      </w:pPr>
    </w:p>
    <w:p w:rsidR="000C2661" w:rsidRPr="000C2661" w:rsidRDefault="000C2661" w:rsidP="0004185E">
      <w:pPr>
        <w:spacing w:after="0" w:line="240" w:lineRule="auto"/>
        <w:ind w:left="426"/>
        <w:contextualSpacing/>
        <w:jc w:val="both"/>
        <w:rPr>
          <w:rFonts w:ascii="Arial" w:eastAsia="Calibri" w:hAnsi="Arial" w:cs="Arial"/>
          <w:lang w:val="es-ES"/>
        </w:rPr>
      </w:pPr>
      <w:r w:rsidRPr="000C2661">
        <w:rPr>
          <w:rFonts w:ascii="Arial" w:eastAsia="Calibri" w:hAnsi="Arial" w:cs="Arial"/>
          <w:lang w:val="es-ES"/>
        </w:rPr>
        <w:t>Las referidas normas incluyen sus respectivas modificaciones, de ser el caso.</w:t>
      </w:r>
    </w:p>
    <w:p w:rsidR="000C2661" w:rsidRPr="000C2661" w:rsidRDefault="000C2661" w:rsidP="000C2661">
      <w:pPr>
        <w:spacing w:after="0" w:line="240" w:lineRule="auto"/>
        <w:contextualSpacing/>
        <w:jc w:val="both"/>
        <w:rPr>
          <w:rFonts w:ascii="Arial" w:eastAsia="Calibri" w:hAnsi="Arial" w:cs="Arial"/>
          <w:lang w:val="es-ES"/>
        </w:rPr>
      </w:pPr>
    </w:p>
    <w:p w:rsidR="000C2661" w:rsidRPr="0004185E" w:rsidRDefault="000C2661" w:rsidP="0004185E">
      <w:pPr>
        <w:spacing w:after="0" w:line="240" w:lineRule="auto"/>
        <w:ind w:left="426" w:hanging="426"/>
        <w:contextualSpacing/>
        <w:jc w:val="both"/>
        <w:rPr>
          <w:rFonts w:ascii="Arial" w:eastAsia="Calibri" w:hAnsi="Arial" w:cs="Arial"/>
          <w:b/>
          <w:lang w:val="es-ES"/>
        </w:rPr>
      </w:pPr>
      <w:r w:rsidRPr="0004185E">
        <w:rPr>
          <w:rFonts w:ascii="Arial" w:eastAsia="Calibri" w:hAnsi="Arial" w:cs="Arial"/>
          <w:b/>
          <w:lang w:val="es-ES"/>
        </w:rPr>
        <w:t>V.</w:t>
      </w:r>
      <w:r w:rsidRPr="0004185E">
        <w:rPr>
          <w:rFonts w:ascii="Arial" w:eastAsia="Calibri" w:hAnsi="Arial" w:cs="Arial"/>
          <w:b/>
          <w:lang w:val="es-ES"/>
        </w:rPr>
        <w:tab/>
        <w:t>DISPOSICIONES GENERALES</w:t>
      </w:r>
    </w:p>
    <w:p w:rsidR="000C2661" w:rsidRPr="000C2661" w:rsidRDefault="000C2661" w:rsidP="000C2661">
      <w:pPr>
        <w:spacing w:after="0" w:line="240" w:lineRule="auto"/>
        <w:contextualSpacing/>
        <w:jc w:val="both"/>
        <w:rPr>
          <w:rFonts w:ascii="Arial" w:eastAsia="Calibri" w:hAnsi="Arial" w:cs="Arial"/>
          <w:lang w:val="es-ES"/>
        </w:rPr>
      </w:pPr>
      <w:r w:rsidRPr="000C2661">
        <w:rPr>
          <w:rFonts w:ascii="Arial" w:eastAsia="Calibri" w:hAnsi="Arial" w:cs="Arial"/>
          <w:lang w:val="es-ES"/>
        </w:rPr>
        <w:tab/>
      </w:r>
    </w:p>
    <w:p w:rsidR="000C2661" w:rsidRPr="000C2661" w:rsidRDefault="000C2661" w:rsidP="0004185E">
      <w:pPr>
        <w:spacing w:after="0" w:line="240" w:lineRule="auto"/>
        <w:ind w:left="851" w:hanging="425"/>
        <w:contextualSpacing/>
        <w:jc w:val="both"/>
        <w:rPr>
          <w:rFonts w:ascii="Arial" w:eastAsia="Calibri" w:hAnsi="Arial" w:cs="Arial"/>
          <w:lang w:val="es-ES"/>
        </w:rPr>
      </w:pPr>
      <w:r w:rsidRPr="000C2661">
        <w:rPr>
          <w:rFonts w:ascii="Arial" w:eastAsia="Calibri" w:hAnsi="Arial" w:cs="Arial"/>
          <w:lang w:val="es-ES"/>
        </w:rPr>
        <w:t xml:space="preserve">5.1 </w:t>
      </w:r>
      <w:r w:rsidRPr="000C2661">
        <w:rPr>
          <w:rFonts w:ascii="Arial" w:eastAsia="Calibri" w:hAnsi="Arial" w:cs="Arial"/>
          <w:lang w:val="es-ES"/>
        </w:rPr>
        <w:tab/>
        <w:t>La potestad de impulsar y sustentar el trámite para la aprobación de la venta mediante subasta pública de un predio estatal, corresponde a la entidad propietaria o, cuando el bien es de propiedad del Estado, a la SBN o al Gobierno Regional que haya asumido competencia en el marco del proceso de descentralización.</w:t>
      </w:r>
    </w:p>
    <w:p w:rsidR="000C2661" w:rsidRPr="000C2661" w:rsidRDefault="000C2661" w:rsidP="000C2661">
      <w:pPr>
        <w:spacing w:after="0" w:line="240" w:lineRule="auto"/>
        <w:contextualSpacing/>
        <w:jc w:val="both"/>
        <w:rPr>
          <w:rFonts w:ascii="Arial" w:eastAsia="Calibri" w:hAnsi="Arial" w:cs="Arial"/>
          <w:lang w:val="es-ES"/>
        </w:rPr>
      </w:pPr>
    </w:p>
    <w:p w:rsidR="000C2661" w:rsidRPr="000C2661" w:rsidRDefault="000C2661" w:rsidP="0004185E">
      <w:pPr>
        <w:spacing w:after="0" w:line="240" w:lineRule="auto"/>
        <w:ind w:left="851"/>
        <w:contextualSpacing/>
        <w:jc w:val="both"/>
        <w:rPr>
          <w:rFonts w:ascii="Arial" w:eastAsia="Calibri" w:hAnsi="Arial" w:cs="Arial"/>
          <w:lang w:val="es-ES"/>
        </w:rPr>
      </w:pPr>
      <w:r w:rsidRPr="000C2661">
        <w:rPr>
          <w:rFonts w:ascii="Arial" w:eastAsia="Calibri" w:hAnsi="Arial" w:cs="Arial"/>
          <w:lang w:val="es-ES"/>
        </w:rPr>
        <w:t>La entidad pública que sustenta la autorización de venta debe agrupar inmuebles, para efectos de disminuir los costos administrativos y operativos.</w:t>
      </w:r>
    </w:p>
    <w:p w:rsidR="000C2661" w:rsidRPr="000C2661" w:rsidRDefault="000C2661" w:rsidP="000C2661">
      <w:pPr>
        <w:spacing w:after="0" w:line="240" w:lineRule="auto"/>
        <w:contextualSpacing/>
        <w:jc w:val="both"/>
        <w:rPr>
          <w:rFonts w:ascii="Arial" w:eastAsia="Calibri" w:hAnsi="Arial" w:cs="Arial"/>
          <w:lang w:val="es-ES"/>
        </w:rPr>
      </w:pPr>
    </w:p>
    <w:p w:rsidR="000C2661" w:rsidRPr="000C2661" w:rsidRDefault="000C2661" w:rsidP="0004185E">
      <w:pPr>
        <w:spacing w:after="0" w:line="240" w:lineRule="auto"/>
        <w:ind w:left="851" w:hanging="425"/>
        <w:contextualSpacing/>
        <w:jc w:val="both"/>
        <w:rPr>
          <w:rFonts w:ascii="Arial" w:eastAsia="Calibri" w:hAnsi="Arial" w:cs="Arial"/>
          <w:lang w:val="es-ES"/>
        </w:rPr>
      </w:pPr>
      <w:r w:rsidRPr="000C2661">
        <w:rPr>
          <w:rFonts w:ascii="Arial" w:eastAsia="Calibri" w:hAnsi="Arial" w:cs="Arial"/>
          <w:lang w:val="es-ES"/>
        </w:rPr>
        <w:t xml:space="preserve">5.2 </w:t>
      </w:r>
      <w:r w:rsidRPr="000C2661">
        <w:rPr>
          <w:rFonts w:ascii="Arial" w:eastAsia="Calibri" w:hAnsi="Arial" w:cs="Arial"/>
          <w:lang w:val="es-ES"/>
        </w:rPr>
        <w:tab/>
        <w:t>La petición de terceros interesados en la compra de predios estatales mediante la venta por subasta pública, no obliga a la entidad pública a iniciar dicho procedimiento.</w:t>
      </w:r>
    </w:p>
    <w:p w:rsidR="000C2661" w:rsidRPr="000C2661" w:rsidRDefault="000C2661" w:rsidP="0004185E">
      <w:pPr>
        <w:spacing w:after="0" w:line="240" w:lineRule="auto"/>
        <w:ind w:left="851" w:hanging="425"/>
        <w:contextualSpacing/>
        <w:jc w:val="both"/>
        <w:rPr>
          <w:rFonts w:ascii="Arial" w:eastAsia="Calibri" w:hAnsi="Arial" w:cs="Arial"/>
          <w:lang w:val="es-ES"/>
        </w:rPr>
      </w:pPr>
    </w:p>
    <w:p w:rsidR="000C2661" w:rsidRPr="000C2661" w:rsidRDefault="000C2661" w:rsidP="0004185E">
      <w:pPr>
        <w:spacing w:after="0" w:line="240" w:lineRule="auto"/>
        <w:ind w:left="851" w:hanging="425"/>
        <w:contextualSpacing/>
        <w:jc w:val="both"/>
        <w:rPr>
          <w:rFonts w:ascii="Arial" w:eastAsia="Calibri" w:hAnsi="Arial" w:cs="Arial"/>
          <w:lang w:val="es-ES"/>
        </w:rPr>
      </w:pPr>
      <w:r w:rsidRPr="000C2661">
        <w:rPr>
          <w:rFonts w:ascii="Arial" w:eastAsia="Calibri" w:hAnsi="Arial" w:cs="Arial"/>
          <w:lang w:val="es-ES"/>
        </w:rPr>
        <w:t xml:space="preserve">5.3 </w:t>
      </w:r>
      <w:r w:rsidRPr="000C2661">
        <w:rPr>
          <w:rFonts w:ascii="Arial" w:eastAsia="Calibri" w:hAnsi="Arial" w:cs="Arial"/>
          <w:lang w:val="es-ES"/>
        </w:rPr>
        <w:tab/>
        <w:t>El organismo encargado de efectuar la tasación del predio a valor comercial es la persona jurídica con acreditada experiencia en el rubro de valorizaciones comerciales mayor de dos (02) años y que cuenta además con profesionales especializados.</w:t>
      </w:r>
    </w:p>
    <w:p w:rsidR="000C2661" w:rsidRPr="000C2661" w:rsidRDefault="000C2661" w:rsidP="0004185E">
      <w:pPr>
        <w:spacing w:after="0" w:line="240" w:lineRule="auto"/>
        <w:ind w:left="851" w:hanging="425"/>
        <w:contextualSpacing/>
        <w:jc w:val="both"/>
        <w:rPr>
          <w:rFonts w:ascii="Arial" w:eastAsia="Calibri" w:hAnsi="Arial" w:cs="Arial"/>
          <w:lang w:val="es-ES"/>
        </w:rPr>
      </w:pPr>
      <w:r w:rsidRPr="000C2661">
        <w:rPr>
          <w:rFonts w:ascii="Arial" w:eastAsia="Calibri" w:hAnsi="Arial" w:cs="Arial"/>
          <w:lang w:val="es-ES"/>
        </w:rPr>
        <w:t xml:space="preserve"> </w:t>
      </w:r>
    </w:p>
    <w:p w:rsidR="000C2661" w:rsidRPr="000C2661" w:rsidRDefault="000C2661" w:rsidP="0004185E">
      <w:pPr>
        <w:spacing w:after="0" w:line="240" w:lineRule="auto"/>
        <w:ind w:left="851" w:hanging="425"/>
        <w:contextualSpacing/>
        <w:jc w:val="both"/>
        <w:rPr>
          <w:rFonts w:ascii="Arial" w:eastAsia="Calibri" w:hAnsi="Arial" w:cs="Arial"/>
          <w:lang w:val="es-ES"/>
        </w:rPr>
      </w:pPr>
      <w:r w:rsidRPr="000C2661">
        <w:rPr>
          <w:rFonts w:ascii="Arial" w:eastAsia="Calibri" w:hAnsi="Arial" w:cs="Arial"/>
          <w:lang w:val="es-ES"/>
        </w:rPr>
        <w:t xml:space="preserve">5.4 </w:t>
      </w:r>
      <w:r w:rsidRPr="000C2661">
        <w:rPr>
          <w:rFonts w:ascii="Arial" w:eastAsia="Calibri" w:hAnsi="Arial" w:cs="Arial"/>
          <w:lang w:val="es-ES"/>
        </w:rPr>
        <w:tab/>
        <w:t>El perito tasador es aquel profesional debidamente habilitado por su colegio profesional, acreditado con registro de perito vigente ante alguna entidad o cuerpo especializado en valuaciones, y con experiencia mayor a dos (2) años.</w:t>
      </w:r>
    </w:p>
    <w:p w:rsidR="000C2661" w:rsidRPr="000C2661" w:rsidRDefault="000C2661" w:rsidP="0004185E">
      <w:pPr>
        <w:spacing w:after="0" w:line="240" w:lineRule="auto"/>
        <w:ind w:left="851" w:hanging="425"/>
        <w:contextualSpacing/>
        <w:jc w:val="both"/>
        <w:rPr>
          <w:rFonts w:ascii="Arial" w:eastAsia="Calibri" w:hAnsi="Arial" w:cs="Arial"/>
          <w:lang w:val="es-ES"/>
        </w:rPr>
      </w:pPr>
    </w:p>
    <w:p w:rsidR="000C2661" w:rsidRPr="000C2661" w:rsidRDefault="000C2661" w:rsidP="0004185E">
      <w:pPr>
        <w:spacing w:after="0" w:line="240" w:lineRule="auto"/>
        <w:ind w:left="851" w:hanging="425"/>
        <w:contextualSpacing/>
        <w:jc w:val="both"/>
        <w:rPr>
          <w:rFonts w:ascii="Arial" w:eastAsia="Calibri" w:hAnsi="Arial" w:cs="Arial"/>
          <w:lang w:val="es-ES"/>
        </w:rPr>
      </w:pPr>
      <w:r w:rsidRPr="000C2661">
        <w:rPr>
          <w:rFonts w:ascii="Arial" w:eastAsia="Calibri" w:hAnsi="Arial" w:cs="Arial"/>
          <w:lang w:val="es-ES"/>
        </w:rPr>
        <w:t xml:space="preserve">5.5 </w:t>
      </w:r>
      <w:r w:rsidRPr="000C2661">
        <w:rPr>
          <w:rFonts w:ascii="Arial" w:eastAsia="Calibri" w:hAnsi="Arial" w:cs="Arial"/>
          <w:lang w:val="es-ES"/>
        </w:rPr>
        <w:tab/>
        <w:t>La venta de predios estatales se realiza una vez que se haya inscrito el derecho de propiedad del Estado o de la entidad que pretenda enajenarlos.</w:t>
      </w:r>
    </w:p>
    <w:p w:rsidR="000C2661" w:rsidRPr="000C2661" w:rsidRDefault="000C2661" w:rsidP="0004185E">
      <w:pPr>
        <w:spacing w:after="0" w:line="240" w:lineRule="auto"/>
        <w:ind w:left="851" w:hanging="425"/>
        <w:contextualSpacing/>
        <w:jc w:val="both"/>
        <w:rPr>
          <w:rFonts w:ascii="Arial" w:eastAsia="Calibri" w:hAnsi="Arial" w:cs="Arial"/>
          <w:lang w:val="es-ES"/>
        </w:rPr>
      </w:pPr>
    </w:p>
    <w:p w:rsidR="000C2661" w:rsidRPr="000C2661" w:rsidRDefault="000C2661" w:rsidP="0004185E">
      <w:pPr>
        <w:spacing w:after="0" w:line="240" w:lineRule="auto"/>
        <w:ind w:left="851" w:hanging="425"/>
        <w:contextualSpacing/>
        <w:jc w:val="both"/>
        <w:rPr>
          <w:rFonts w:ascii="Arial" w:eastAsia="Calibri" w:hAnsi="Arial" w:cs="Arial"/>
          <w:lang w:val="es-ES"/>
        </w:rPr>
      </w:pPr>
      <w:r w:rsidRPr="000C2661">
        <w:rPr>
          <w:rFonts w:ascii="Arial" w:eastAsia="Calibri" w:hAnsi="Arial" w:cs="Arial"/>
          <w:lang w:val="es-ES"/>
        </w:rPr>
        <w:tab/>
        <w:t>La existencia de cargas, gravámenes y procesos judiciales, administrativos o registrales que afecten al predio estatal, así como la posesión que pueda existir sobre el mismo, no limita su libre disposición, siempre que tales circunstancias sean debidamente consignadas en la resolución que aprueba la venta y en las bases de la subasta, así como en los avisos de convocatoria y en los contratos respectivos, bajo sanción de nulidad.</w:t>
      </w:r>
    </w:p>
    <w:p w:rsidR="000C2661" w:rsidRPr="000C2661" w:rsidRDefault="000C2661" w:rsidP="0004185E">
      <w:pPr>
        <w:spacing w:after="0" w:line="240" w:lineRule="auto"/>
        <w:ind w:left="851" w:hanging="425"/>
        <w:contextualSpacing/>
        <w:jc w:val="both"/>
        <w:rPr>
          <w:rFonts w:ascii="Arial" w:eastAsia="Calibri" w:hAnsi="Arial" w:cs="Arial"/>
          <w:lang w:val="es-ES"/>
        </w:rPr>
      </w:pPr>
    </w:p>
    <w:p w:rsidR="000C2661" w:rsidRPr="000C2661" w:rsidRDefault="000C2661" w:rsidP="0004185E">
      <w:pPr>
        <w:spacing w:after="0" w:line="240" w:lineRule="auto"/>
        <w:ind w:left="851" w:hanging="425"/>
        <w:contextualSpacing/>
        <w:jc w:val="both"/>
        <w:rPr>
          <w:rFonts w:ascii="Arial" w:eastAsia="Calibri" w:hAnsi="Arial" w:cs="Arial"/>
          <w:lang w:val="es-ES"/>
        </w:rPr>
      </w:pPr>
      <w:r w:rsidRPr="000C2661">
        <w:rPr>
          <w:rFonts w:ascii="Arial" w:eastAsia="Calibri" w:hAnsi="Arial" w:cs="Arial"/>
          <w:lang w:val="es-ES"/>
        </w:rPr>
        <w:tab/>
        <w:t>En los casos indicados en el párrafo precedente, el adjudicatario de la buena pro asume el riesgo por la pérdida o deterioro del bien, así como de sus frutos o productos. No pudiendo bajo ninguna circunstancia exigir al vendedor la devolución del precio, indemnización o compensación alguna.</w:t>
      </w:r>
    </w:p>
    <w:p w:rsidR="000C2661" w:rsidRPr="000C2661" w:rsidRDefault="000C2661" w:rsidP="0004185E">
      <w:pPr>
        <w:spacing w:after="0" w:line="240" w:lineRule="auto"/>
        <w:ind w:left="851" w:hanging="425"/>
        <w:contextualSpacing/>
        <w:jc w:val="both"/>
        <w:rPr>
          <w:rFonts w:ascii="Arial" w:eastAsia="Calibri" w:hAnsi="Arial" w:cs="Arial"/>
          <w:lang w:val="es-ES"/>
        </w:rPr>
      </w:pPr>
    </w:p>
    <w:p w:rsidR="000C2661" w:rsidRPr="000C2661" w:rsidRDefault="000C2661" w:rsidP="0004185E">
      <w:pPr>
        <w:spacing w:after="0" w:line="240" w:lineRule="auto"/>
        <w:ind w:left="851" w:hanging="425"/>
        <w:contextualSpacing/>
        <w:jc w:val="both"/>
        <w:rPr>
          <w:rFonts w:ascii="Arial" w:eastAsia="Calibri" w:hAnsi="Arial" w:cs="Arial"/>
          <w:lang w:val="es-ES"/>
        </w:rPr>
      </w:pPr>
      <w:r w:rsidRPr="000C2661">
        <w:rPr>
          <w:rFonts w:ascii="Arial" w:eastAsia="Calibri" w:hAnsi="Arial" w:cs="Arial"/>
          <w:lang w:val="es-ES"/>
        </w:rPr>
        <w:t xml:space="preserve">5.6 </w:t>
      </w:r>
      <w:r w:rsidRPr="000C2661">
        <w:rPr>
          <w:rFonts w:ascii="Arial" w:eastAsia="Calibri" w:hAnsi="Arial" w:cs="Arial"/>
          <w:lang w:val="es-ES"/>
        </w:rPr>
        <w:tab/>
        <w:t>Los bienes de dominio público que hubieren perdido la naturaleza o condición apropiada para seguir siendo destinados al uso o servicios públicos pueden ser, excepcionalmente, desafectados y dispuestos vía subasta pública, para lo cual previamente debe culminarse con el procedimiento de desafectación administrativa respectiva.</w:t>
      </w:r>
    </w:p>
    <w:p w:rsidR="000C2661" w:rsidRPr="000C2661" w:rsidRDefault="000C2661" w:rsidP="0004185E">
      <w:pPr>
        <w:spacing w:after="0" w:line="240" w:lineRule="auto"/>
        <w:ind w:left="851" w:hanging="425"/>
        <w:contextualSpacing/>
        <w:jc w:val="both"/>
        <w:rPr>
          <w:rFonts w:ascii="Arial" w:eastAsia="Calibri" w:hAnsi="Arial" w:cs="Arial"/>
          <w:lang w:val="es-ES"/>
        </w:rPr>
      </w:pPr>
    </w:p>
    <w:p w:rsidR="000C2661" w:rsidRPr="000C2661" w:rsidRDefault="000C2661" w:rsidP="0004185E">
      <w:pPr>
        <w:spacing w:after="0" w:line="240" w:lineRule="auto"/>
        <w:ind w:left="851" w:hanging="425"/>
        <w:contextualSpacing/>
        <w:jc w:val="both"/>
        <w:rPr>
          <w:rFonts w:ascii="Arial" w:eastAsia="Calibri" w:hAnsi="Arial" w:cs="Arial"/>
          <w:lang w:val="es-ES"/>
        </w:rPr>
      </w:pPr>
      <w:r w:rsidRPr="000C2661">
        <w:rPr>
          <w:rFonts w:ascii="Arial" w:eastAsia="Calibri" w:hAnsi="Arial" w:cs="Arial"/>
          <w:lang w:val="es-ES"/>
        </w:rPr>
        <w:tab/>
        <w:t>Solo en los casos de venta de predios ubicados en la Zona de Dominio Restringido, la desafectación puede aprobarse en la misma resolución que aprueba la venta por subasta pública.</w:t>
      </w:r>
    </w:p>
    <w:p w:rsidR="000C2661" w:rsidRPr="000C2661" w:rsidRDefault="000C2661" w:rsidP="0004185E">
      <w:pPr>
        <w:spacing w:after="0" w:line="240" w:lineRule="auto"/>
        <w:ind w:left="851" w:hanging="425"/>
        <w:contextualSpacing/>
        <w:jc w:val="both"/>
        <w:rPr>
          <w:rFonts w:ascii="Arial" w:eastAsia="Calibri" w:hAnsi="Arial" w:cs="Arial"/>
          <w:lang w:val="es-ES"/>
        </w:rPr>
      </w:pPr>
    </w:p>
    <w:p w:rsidR="000C2661" w:rsidRPr="000C2661" w:rsidRDefault="000C2661" w:rsidP="0004185E">
      <w:pPr>
        <w:spacing w:after="0" w:line="240" w:lineRule="auto"/>
        <w:ind w:left="851" w:hanging="425"/>
        <w:contextualSpacing/>
        <w:jc w:val="both"/>
        <w:rPr>
          <w:rFonts w:ascii="Arial" w:eastAsia="Calibri" w:hAnsi="Arial" w:cs="Arial"/>
          <w:lang w:val="es-ES"/>
        </w:rPr>
      </w:pPr>
      <w:r w:rsidRPr="000C2661">
        <w:rPr>
          <w:rFonts w:ascii="Arial" w:eastAsia="Calibri" w:hAnsi="Arial" w:cs="Arial"/>
          <w:lang w:val="es-ES"/>
        </w:rPr>
        <w:t xml:space="preserve">5.7 </w:t>
      </w:r>
      <w:r w:rsidRPr="000C2661">
        <w:rPr>
          <w:rFonts w:ascii="Arial" w:eastAsia="Calibri" w:hAnsi="Arial" w:cs="Arial"/>
          <w:lang w:val="es-ES"/>
        </w:rPr>
        <w:tab/>
        <w:t>El precio base será el del valor comercial determinado en la tasación efectuada conforme al Reglamento Nacional de Tasaciones del Perú. Dicho precio puede ser fijado en Soles o en Dólares Americanos, según lo que resulte más favorable a los intereses del Estado.</w:t>
      </w:r>
    </w:p>
    <w:p w:rsidR="000C2661" w:rsidRPr="000C2661" w:rsidRDefault="000C2661" w:rsidP="0004185E">
      <w:pPr>
        <w:spacing w:after="0" w:line="240" w:lineRule="auto"/>
        <w:ind w:left="851" w:hanging="425"/>
        <w:contextualSpacing/>
        <w:jc w:val="both"/>
        <w:rPr>
          <w:rFonts w:ascii="Arial" w:eastAsia="Calibri" w:hAnsi="Arial" w:cs="Arial"/>
          <w:lang w:val="es-ES"/>
        </w:rPr>
      </w:pPr>
    </w:p>
    <w:p w:rsidR="000C2661" w:rsidRPr="000C2661" w:rsidRDefault="000C2661" w:rsidP="0004185E">
      <w:pPr>
        <w:spacing w:after="0" w:line="240" w:lineRule="auto"/>
        <w:ind w:left="851" w:hanging="425"/>
        <w:contextualSpacing/>
        <w:jc w:val="both"/>
        <w:rPr>
          <w:rFonts w:ascii="Arial" w:eastAsia="Calibri" w:hAnsi="Arial" w:cs="Arial"/>
          <w:lang w:val="es-ES"/>
        </w:rPr>
      </w:pPr>
      <w:r w:rsidRPr="000C2661">
        <w:rPr>
          <w:rFonts w:ascii="Arial" w:eastAsia="Calibri" w:hAnsi="Arial" w:cs="Arial"/>
          <w:lang w:val="es-ES"/>
        </w:rPr>
        <w:t>5.8  La venta de los inmuebles se realiza ad-corpus. En tal sentido, no son admisibles ajustes de valor por causa de desconocimiento de información o estado de los inmuebles, ni por otra circunstancia.</w:t>
      </w:r>
    </w:p>
    <w:p w:rsidR="000C2661" w:rsidRPr="000C2661" w:rsidRDefault="000C2661" w:rsidP="0004185E">
      <w:pPr>
        <w:spacing w:after="0" w:line="240" w:lineRule="auto"/>
        <w:ind w:left="851" w:hanging="425"/>
        <w:contextualSpacing/>
        <w:jc w:val="both"/>
        <w:rPr>
          <w:rFonts w:ascii="Arial" w:eastAsia="Calibri" w:hAnsi="Arial" w:cs="Arial"/>
          <w:lang w:val="es-ES"/>
        </w:rPr>
      </w:pPr>
    </w:p>
    <w:p w:rsidR="000C2661" w:rsidRPr="000C2661" w:rsidRDefault="000C2661" w:rsidP="0004185E">
      <w:pPr>
        <w:spacing w:after="0" w:line="240" w:lineRule="auto"/>
        <w:ind w:left="851" w:hanging="425"/>
        <w:contextualSpacing/>
        <w:jc w:val="both"/>
        <w:rPr>
          <w:rFonts w:ascii="Arial" w:eastAsia="Calibri" w:hAnsi="Arial" w:cs="Arial"/>
          <w:lang w:val="es-ES"/>
        </w:rPr>
      </w:pPr>
      <w:r w:rsidRPr="000C2661">
        <w:rPr>
          <w:rFonts w:ascii="Arial" w:eastAsia="Calibri" w:hAnsi="Arial" w:cs="Arial"/>
          <w:lang w:val="es-ES"/>
        </w:rPr>
        <w:t xml:space="preserve">5.9 </w:t>
      </w:r>
      <w:r w:rsidRPr="000C2661">
        <w:rPr>
          <w:rFonts w:ascii="Arial" w:eastAsia="Calibri" w:hAnsi="Arial" w:cs="Arial"/>
          <w:lang w:val="es-ES"/>
        </w:rPr>
        <w:tab/>
        <w:t xml:space="preserve">En el caso de lotes cuya subasta haya quedado desierta, se rebajará el 5% del precio base en segunda y tercera convocatoria. Los lotes declarados en abandono no sufrirán rebaja alguna. </w:t>
      </w:r>
    </w:p>
    <w:p w:rsidR="000C2661" w:rsidRPr="000C2661" w:rsidRDefault="000C2661" w:rsidP="0004185E">
      <w:pPr>
        <w:spacing w:after="0" w:line="240" w:lineRule="auto"/>
        <w:ind w:left="851" w:hanging="425"/>
        <w:contextualSpacing/>
        <w:jc w:val="both"/>
        <w:rPr>
          <w:rFonts w:ascii="Arial" w:eastAsia="Calibri" w:hAnsi="Arial" w:cs="Arial"/>
          <w:lang w:val="es-ES"/>
        </w:rPr>
      </w:pPr>
    </w:p>
    <w:p w:rsidR="000C2661" w:rsidRPr="000C2661" w:rsidRDefault="000C2661" w:rsidP="001F4F7F">
      <w:pPr>
        <w:spacing w:after="0" w:line="240" w:lineRule="auto"/>
        <w:ind w:left="851" w:hanging="567"/>
        <w:contextualSpacing/>
        <w:jc w:val="both"/>
        <w:rPr>
          <w:rFonts w:ascii="Arial" w:eastAsia="Calibri" w:hAnsi="Arial" w:cs="Arial"/>
          <w:lang w:val="es-ES"/>
        </w:rPr>
      </w:pPr>
      <w:r w:rsidRPr="000C2661">
        <w:rPr>
          <w:rFonts w:ascii="Arial" w:eastAsia="Calibri" w:hAnsi="Arial" w:cs="Arial"/>
          <w:lang w:val="es-ES"/>
        </w:rPr>
        <w:t xml:space="preserve">5.10 </w:t>
      </w:r>
      <w:r w:rsidRPr="000C2661">
        <w:rPr>
          <w:rFonts w:ascii="Arial" w:eastAsia="Calibri" w:hAnsi="Arial" w:cs="Arial"/>
          <w:lang w:val="es-ES"/>
        </w:rPr>
        <w:tab/>
        <w:t>El postor puede ser notificado de los actos derivados de la subasta pública vía correo electrónico, siempre que se cuente con su autorización expresa, sin perjuicio de la notificación personal que se efectúe en el domicilio que señale, el cual debe ser fijado en la ciudad donde se efectuará el acto público de subasta.</w:t>
      </w:r>
    </w:p>
    <w:p w:rsidR="000C2661" w:rsidRPr="000C2661" w:rsidRDefault="000C2661" w:rsidP="001F4F7F">
      <w:pPr>
        <w:spacing w:after="0" w:line="240" w:lineRule="auto"/>
        <w:ind w:left="851" w:hanging="567"/>
        <w:contextualSpacing/>
        <w:jc w:val="both"/>
        <w:rPr>
          <w:rFonts w:ascii="Arial" w:eastAsia="Calibri" w:hAnsi="Arial" w:cs="Arial"/>
          <w:lang w:val="es-ES"/>
        </w:rPr>
      </w:pPr>
      <w:r w:rsidRPr="000C2661">
        <w:rPr>
          <w:rFonts w:ascii="Arial" w:eastAsia="Calibri" w:hAnsi="Arial" w:cs="Arial"/>
          <w:lang w:val="es-ES"/>
        </w:rPr>
        <w:t xml:space="preserve">                     </w:t>
      </w:r>
    </w:p>
    <w:p w:rsidR="000C2661" w:rsidRPr="000C2661" w:rsidRDefault="000C2661" w:rsidP="001F4F7F">
      <w:pPr>
        <w:spacing w:after="0" w:line="240" w:lineRule="auto"/>
        <w:ind w:left="851" w:hanging="567"/>
        <w:contextualSpacing/>
        <w:jc w:val="both"/>
        <w:rPr>
          <w:rFonts w:ascii="Arial" w:eastAsia="Calibri" w:hAnsi="Arial" w:cs="Arial"/>
          <w:lang w:val="es-ES"/>
        </w:rPr>
      </w:pPr>
      <w:r w:rsidRPr="000C2661">
        <w:rPr>
          <w:rFonts w:ascii="Arial" w:eastAsia="Calibri" w:hAnsi="Arial" w:cs="Arial"/>
          <w:lang w:val="es-ES"/>
        </w:rPr>
        <w:t>5.11  La unidad orgánica competente de la ejecución del proceso de subasta, a efectos de optimizar el resultado del proceso de subasta, puede solicitar la ampliación del horario de atención al público a la Unidad de Trámite Documentario en la fecha de vencimiento del plazo y/o días previos para la venta de Bases Administrativas y entrega de sobres de postores.</w:t>
      </w:r>
    </w:p>
    <w:p w:rsidR="000C2661" w:rsidRPr="000C2661" w:rsidRDefault="000C2661" w:rsidP="000C2661">
      <w:pPr>
        <w:spacing w:after="0" w:line="240" w:lineRule="auto"/>
        <w:contextualSpacing/>
        <w:jc w:val="both"/>
        <w:rPr>
          <w:rFonts w:ascii="Arial" w:eastAsia="Calibri" w:hAnsi="Arial" w:cs="Arial"/>
          <w:lang w:val="es-ES"/>
        </w:rPr>
      </w:pPr>
    </w:p>
    <w:p w:rsidR="000C2661" w:rsidRPr="001F4F7F" w:rsidRDefault="000C2661" w:rsidP="001F4F7F">
      <w:pPr>
        <w:spacing w:after="0" w:line="240" w:lineRule="auto"/>
        <w:ind w:left="426" w:hanging="426"/>
        <w:contextualSpacing/>
        <w:jc w:val="both"/>
        <w:rPr>
          <w:rFonts w:ascii="Arial" w:eastAsia="Calibri" w:hAnsi="Arial" w:cs="Arial"/>
          <w:b/>
          <w:lang w:val="es-ES"/>
        </w:rPr>
      </w:pPr>
      <w:r w:rsidRPr="001F4F7F">
        <w:rPr>
          <w:rFonts w:ascii="Arial" w:eastAsia="Calibri" w:hAnsi="Arial" w:cs="Arial"/>
          <w:b/>
          <w:lang w:val="es-ES"/>
        </w:rPr>
        <w:t xml:space="preserve">VI. </w:t>
      </w:r>
      <w:r w:rsidR="001F4F7F">
        <w:rPr>
          <w:rFonts w:ascii="Arial" w:eastAsia="Calibri" w:hAnsi="Arial" w:cs="Arial"/>
          <w:b/>
          <w:lang w:val="es-ES"/>
        </w:rPr>
        <w:t xml:space="preserve">  </w:t>
      </w:r>
      <w:r w:rsidRPr="001F4F7F">
        <w:rPr>
          <w:rFonts w:ascii="Arial" w:eastAsia="Calibri" w:hAnsi="Arial" w:cs="Arial"/>
          <w:b/>
          <w:lang w:val="es-ES"/>
        </w:rPr>
        <w:t>DISPOSICIONES ESPECÍFICAS</w:t>
      </w:r>
    </w:p>
    <w:p w:rsidR="000C2661" w:rsidRPr="000C2661" w:rsidRDefault="000C2661" w:rsidP="000C2661">
      <w:pPr>
        <w:spacing w:after="0" w:line="240" w:lineRule="auto"/>
        <w:contextualSpacing/>
        <w:jc w:val="both"/>
        <w:rPr>
          <w:rFonts w:ascii="Arial" w:eastAsia="Calibri" w:hAnsi="Arial" w:cs="Arial"/>
          <w:lang w:val="es-ES"/>
        </w:rPr>
      </w:pPr>
    </w:p>
    <w:p w:rsidR="000C2661" w:rsidRPr="001F4F7F" w:rsidRDefault="000C2661" w:rsidP="001F4F7F">
      <w:pPr>
        <w:spacing w:after="0" w:line="240" w:lineRule="auto"/>
        <w:ind w:left="851" w:hanging="425"/>
        <w:contextualSpacing/>
        <w:jc w:val="both"/>
        <w:rPr>
          <w:rFonts w:ascii="Arial" w:eastAsia="Calibri" w:hAnsi="Arial" w:cs="Arial"/>
          <w:b/>
          <w:lang w:val="es-ES"/>
        </w:rPr>
      </w:pPr>
      <w:r w:rsidRPr="001F4F7F">
        <w:rPr>
          <w:rFonts w:ascii="Arial" w:eastAsia="Calibri" w:hAnsi="Arial" w:cs="Arial"/>
          <w:b/>
          <w:lang w:val="es-ES"/>
        </w:rPr>
        <w:t xml:space="preserve">6.1 </w:t>
      </w:r>
      <w:r w:rsidRPr="001F4F7F">
        <w:rPr>
          <w:rFonts w:ascii="Arial" w:eastAsia="Calibri" w:hAnsi="Arial" w:cs="Arial"/>
          <w:b/>
          <w:lang w:val="es-ES"/>
        </w:rPr>
        <w:tab/>
        <w:t>De la aprobación de la venta por subasta pública</w:t>
      </w:r>
    </w:p>
    <w:p w:rsidR="000C2661" w:rsidRPr="001F4F7F" w:rsidRDefault="000C2661" w:rsidP="000C2661">
      <w:pPr>
        <w:spacing w:after="0" w:line="240" w:lineRule="auto"/>
        <w:contextualSpacing/>
        <w:jc w:val="both"/>
        <w:rPr>
          <w:rFonts w:ascii="Arial" w:eastAsia="Calibri" w:hAnsi="Arial" w:cs="Arial"/>
          <w:b/>
          <w:lang w:val="es-ES"/>
        </w:rPr>
      </w:pPr>
    </w:p>
    <w:p w:rsidR="000C2661" w:rsidRPr="001F4F7F" w:rsidRDefault="000C2661" w:rsidP="001F4F7F">
      <w:pPr>
        <w:spacing w:after="0" w:line="240" w:lineRule="auto"/>
        <w:ind w:left="1276" w:hanging="283"/>
        <w:contextualSpacing/>
        <w:jc w:val="both"/>
        <w:rPr>
          <w:rFonts w:ascii="Arial" w:eastAsia="Calibri" w:hAnsi="Arial" w:cs="Arial"/>
          <w:b/>
          <w:lang w:val="es-ES"/>
        </w:rPr>
      </w:pPr>
      <w:r w:rsidRPr="001F4F7F">
        <w:rPr>
          <w:rFonts w:ascii="Arial" w:eastAsia="Calibri" w:hAnsi="Arial" w:cs="Arial"/>
          <w:b/>
          <w:lang w:val="es-ES"/>
        </w:rPr>
        <w:t xml:space="preserve">6.1.1 </w:t>
      </w:r>
      <w:r w:rsidR="001F4F7F" w:rsidRPr="001F4F7F">
        <w:rPr>
          <w:rFonts w:ascii="Arial" w:eastAsia="Calibri" w:hAnsi="Arial" w:cs="Arial"/>
          <w:b/>
          <w:lang w:val="es-ES"/>
        </w:rPr>
        <w:t xml:space="preserve"> </w:t>
      </w:r>
      <w:r w:rsidRPr="001F4F7F">
        <w:rPr>
          <w:rFonts w:ascii="Arial" w:eastAsia="Calibri" w:hAnsi="Arial" w:cs="Arial"/>
          <w:b/>
          <w:lang w:val="es-ES"/>
        </w:rPr>
        <w:t>Identificación y evaluación de predios de libre disponibilidad</w:t>
      </w:r>
    </w:p>
    <w:p w:rsidR="000C2661" w:rsidRPr="000C2661" w:rsidRDefault="000C2661" w:rsidP="001F4F7F">
      <w:pPr>
        <w:spacing w:after="0" w:line="240" w:lineRule="auto"/>
        <w:ind w:left="1560"/>
        <w:contextualSpacing/>
        <w:jc w:val="both"/>
        <w:rPr>
          <w:rFonts w:ascii="Arial" w:eastAsia="Calibri" w:hAnsi="Arial" w:cs="Arial"/>
          <w:lang w:val="es-ES"/>
        </w:rPr>
      </w:pPr>
      <w:r w:rsidRPr="000C2661">
        <w:rPr>
          <w:rFonts w:ascii="Arial" w:eastAsia="Calibri" w:hAnsi="Arial" w:cs="Arial"/>
          <w:lang w:val="es-ES"/>
        </w:rPr>
        <w:t>El área competente de la entidad debe identificar los predios de libre disponibilidad que no le son útiles para el cumplimiento de sus fines institucionales, y organizar la documentación sustentatoria correspondiente, la cual debe incluir cuando menos: a) Ficha Técnica; b) Partida Registral; c) Plano Perimétrico y Memoria Descriptiva; d) Certificado de parámetros urbanísticos (en caso de existir); y, e) Documento de valor referencial; asimismo, elabora un informe, en el que se incluye el análisis costo-beneficio conforme al Anexo N° 3, suscrito por los profesionales responsables del trámite y el Jefe de la unidad orgánica competente.</w:t>
      </w:r>
    </w:p>
    <w:p w:rsidR="000C2661" w:rsidRPr="000C2661" w:rsidRDefault="000C2661" w:rsidP="001F4F7F">
      <w:pPr>
        <w:spacing w:after="0" w:line="240" w:lineRule="auto"/>
        <w:ind w:left="1560"/>
        <w:contextualSpacing/>
        <w:jc w:val="both"/>
        <w:rPr>
          <w:rFonts w:ascii="Arial" w:eastAsia="Calibri" w:hAnsi="Arial" w:cs="Arial"/>
          <w:lang w:val="es-ES"/>
        </w:rPr>
      </w:pPr>
    </w:p>
    <w:p w:rsidR="000C2661" w:rsidRPr="000C2661" w:rsidRDefault="000C2661" w:rsidP="001F4F7F">
      <w:pPr>
        <w:spacing w:after="0" w:line="240" w:lineRule="auto"/>
        <w:ind w:left="1560"/>
        <w:contextualSpacing/>
        <w:jc w:val="both"/>
        <w:rPr>
          <w:rFonts w:ascii="Arial" w:eastAsia="Calibri" w:hAnsi="Arial" w:cs="Arial"/>
          <w:lang w:val="es-ES"/>
        </w:rPr>
      </w:pPr>
      <w:r w:rsidRPr="000C2661">
        <w:rPr>
          <w:rFonts w:ascii="Arial" w:eastAsia="Calibri" w:hAnsi="Arial" w:cs="Arial"/>
          <w:lang w:val="es-ES"/>
        </w:rPr>
        <w:t>En los procedimientos a cargo de la SBN, la SDDI es la unidad competente para efectuar dichas actividades, teniendo en cuenta las políticas de Estado sobre la gestión del territorio.</w:t>
      </w:r>
    </w:p>
    <w:p w:rsidR="000C2661" w:rsidRPr="000C2661" w:rsidRDefault="000C2661" w:rsidP="001F4F7F">
      <w:pPr>
        <w:spacing w:after="0" w:line="240" w:lineRule="auto"/>
        <w:ind w:left="1560"/>
        <w:contextualSpacing/>
        <w:jc w:val="both"/>
        <w:rPr>
          <w:rFonts w:ascii="Arial" w:eastAsia="Calibri" w:hAnsi="Arial" w:cs="Arial"/>
          <w:lang w:val="es-ES"/>
        </w:rPr>
      </w:pPr>
    </w:p>
    <w:p w:rsidR="000C2661" w:rsidRPr="000C2661" w:rsidRDefault="000C2661" w:rsidP="001F4F7F">
      <w:pPr>
        <w:spacing w:after="0" w:line="240" w:lineRule="auto"/>
        <w:ind w:left="1560"/>
        <w:contextualSpacing/>
        <w:jc w:val="both"/>
        <w:rPr>
          <w:rFonts w:ascii="Arial" w:eastAsia="Calibri" w:hAnsi="Arial" w:cs="Arial"/>
          <w:lang w:val="es-ES"/>
        </w:rPr>
      </w:pPr>
      <w:r w:rsidRPr="000C2661">
        <w:rPr>
          <w:rFonts w:ascii="Arial" w:eastAsia="Calibri" w:hAnsi="Arial" w:cs="Arial"/>
          <w:lang w:val="es-ES"/>
        </w:rPr>
        <w:t xml:space="preserve"> Si durante la inspección de campo se advierte que sobre el predio o en parte de él, existen posesionarios con obras civiles, la entidad procede a notificar a quien o quienes se encuentren en el predio, con el objeto que, en el plazo de quince (15) días hábiles, presenten su solicitud a efectos de regularizar su situación jurídica, conforme a los procedimientos que contemplan las normas del SNBE.</w:t>
      </w:r>
    </w:p>
    <w:p w:rsidR="000C2661" w:rsidRPr="000C2661" w:rsidRDefault="000C2661" w:rsidP="001F4F7F">
      <w:pPr>
        <w:spacing w:after="0" w:line="240" w:lineRule="auto"/>
        <w:ind w:left="1560"/>
        <w:contextualSpacing/>
        <w:jc w:val="both"/>
        <w:rPr>
          <w:rFonts w:ascii="Arial" w:eastAsia="Calibri" w:hAnsi="Arial" w:cs="Arial"/>
          <w:lang w:val="es-ES"/>
        </w:rPr>
      </w:pPr>
    </w:p>
    <w:p w:rsidR="000C2661" w:rsidRPr="000C2661" w:rsidRDefault="000C2661" w:rsidP="001F4F7F">
      <w:pPr>
        <w:spacing w:after="0" w:line="240" w:lineRule="auto"/>
        <w:ind w:left="1560"/>
        <w:contextualSpacing/>
        <w:jc w:val="both"/>
        <w:rPr>
          <w:rFonts w:ascii="Arial" w:eastAsia="Calibri" w:hAnsi="Arial" w:cs="Arial"/>
          <w:lang w:val="es-ES"/>
        </w:rPr>
      </w:pPr>
      <w:r w:rsidRPr="000C2661">
        <w:rPr>
          <w:rFonts w:ascii="Arial" w:eastAsia="Calibri" w:hAnsi="Arial" w:cs="Arial"/>
          <w:lang w:val="es-ES"/>
        </w:rPr>
        <w:t>De presentarse situaciones que imposibiliten la notificación personal, la entidad procederá a efectuar una publicación en el Diario Oficial El Peruano y otro de mayor circulación, conforme a lo establecido en el numeral 20.1.3 de la Ley N° 27444.</w:t>
      </w:r>
    </w:p>
    <w:p w:rsidR="000C2661" w:rsidRPr="000C2661" w:rsidRDefault="000C2661" w:rsidP="001F4F7F">
      <w:pPr>
        <w:spacing w:after="0" w:line="240" w:lineRule="auto"/>
        <w:ind w:left="1560"/>
        <w:contextualSpacing/>
        <w:jc w:val="both"/>
        <w:rPr>
          <w:rFonts w:ascii="Arial" w:eastAsia="Calibri" w:hAnsi="Arial" w:cs="Arial"/>
          <w:lang w:val="es-ES"/>
        </w:rPr>
      </w:pPr>
      <w:r w:rsidRPr="000C2661">
        <w:rPr>
          <w:rFonts w:ascii="Arial" w:eastAsia="Calibri" w:hAnsi="Arial" w:cs="Arial"/>
          <w:lang w:val="es-ES"/>
        </w:rPr>
        <w:t xml:space="preserve">  </w:t>
      </w:r>
    </w:p>
    <w:p w:rsidR="000C2661" w:rsidRPr="000C2661" w:rsidRDefault="000C2661" w:rsidP="001F4F7F">
      <w:pPr>
        <w:spacing w:after="0" w:line="240" w:lineRule="auto"/>
        <w:ind w:left="1560"/>
        <w:contextualSpacing/>
        <w:jc w:val="both"/>
        <w:rPr>
          <w:rFonts w:ascii="Arial" w:eastAsia="Calibri" w:hAnsi="Arial" w:cs="Arial"/>
          <w:lang w:val="es-ES"/>
        </w:rPr>
      </w:pPr>
      <w:r w:rsidRPr="000C2661">
        <w:rPr>
          <w:rFonts w:ascii="Arial" w:eastAsia="Calibri" w:hAnsi="Arial" w:cs="Arial"/>
          <w:lang w:val="es-ES"/>
        </w:rPr>
        <w:t>La solicitud de regularización será dirigida a la entidad que sustenta la subasta pública y debe contener los requisitos exigidos para el tipo de procedimiento que se solicite. La solicitud presentada en el plazo establecido genera la suspensión de las acciones administrativas que se venían efectuando sobre el predio hasta que concluya el procedimiento administrativo solicitado.</w:t>
      </w:r>
    </w:p>
    <w:p w:rsidR="000C2661" w:rsidRPr="000C2661" w:rsidRDefault="000C2661" w:rsidP="001F4F7F">
      <w:pPr>
        <w:spacing w:after="0" w:line="240" w:lineRule="auto"/>
        <w:ind w:left="1560"/>
        <w:contextualSpacing/>
        <w:jc w:val="both"/>
        <w:rPr>
          <w:rFonts w:ascii="Arial" w:eastAsia="Calibri" w:hAnsi="Arial" w:cs="Arial"/>
          <w:lang w:val="es-ES"/>
        </w:rPr>
      </w:pPr>
      <w:r w:rsidRPr="000C2661">
        <w:rPr>
          <w:rFonts w:ascii="Arial" w:eastAsia="Calibri" w:hAnsi="Arial" w:cs="Arial"/>
          <w:lang w:val="es-ES"/>
        </w:rPr>
        <w:tab/>
      </w:r>
    </w:p>
    <w:p w:rsidR="000C2661" w:rsidRPr="000C2661" w:rsidRDefault="000C2661" w:rsidP="001F4F7F">
      <w:pPr>
        <w:spacing w:after="0" w:line="240" w:lineRule="auto"/>
        <w:ind w:left="1560"/>
        <w:contextualSpacing/>
        <w:jc w:val="both"/>
        <w:rPr>
          <w:rFonts w:ascii="Arial" w:eastAsia="Calibri" w:hAnsi="Arial" w:cs="Arial"/>
          <w:lang w:val="es-ES"/>
        </w:rPr>
      </w:pPr>
      <w:r w:rsidRPr="000C2661">
        <w:rPr>
          <w:rFonts w:ascii="Arial" w:eastAsia="Calibri" w:hAnsi="Arial" w:cs="Arial"/>
          <w:lang w:val="es-ES"/>
        </w:rPr>
        <w:t>Si no se presenta la solicitud en el plazo establecido o, habiéndose presentado, se deniega su petitorio, el área encargada de la sustentación del expediente de venta procede a remitir copia de la documentación pertinente a la Procuraduría Pública, para los fines de su competencia, prosiguiendo con el procedimiento de venta del predio, mediante el mecanismo de la subasta pública. En el caso de la SBN, corresponde a la SDDI remitir dicha documentación, comunicando, además, a la SDS para que complemente las acciones que fueran necesarias.</w:t>
      </w:r>
    </w:p>
    <w:p w:rsidR="000C2661" w:rsidRPr="000C2661" w:rsidRDefault="000C2661" w:rsidP="001F4F7F">
      <w:pPr>
        <w:spacing w:after="0" w:line="240" w:lineRule="auto"/>
        <w:ind w:left="1276" w:hanging="283"/>
        <w:contextualSpacing/>
        <w:jc w:val="both"/>
        <w:rPr>
          <w:rFonts w:ascii="Arial" w:eastAsia="Calibri" w:hAnsi="Arial" w:cs="Arial"/>
          <w:lang w:val="es-ES"/>
        </w:rPr>
      </w:pPr>
    </w:p>
    <w:p w:rsidR="000C2661" w:rsidRPr="001F4F7F" w:rsidRDefault="000C2661" w:rsidP="001F4F7F">
      <w:pPr>
        <w:spacing w:after="0" w:line="240" w:lineRule="auto"/>
        <w:ind w:left="1560" w:hanging="567"/>
        <w:contextualSpacing/>
        <w:jc w:val="both"/>
        <w:rPr>
          <w:rFonts w:ascii="Arial" w:eastAsia="Calibri" w:hAnsi="Arial" w:cs="Arial"/>
          <w:b/>
          <w:lang w:val="es-ES"/>
        </w:rPr>
      </w:pPr>
      <w:r w:rsidRPr="001F4F7F">
        <w:rPr>
          <w:rFonts w:ascii="Arial" w:eastAsia="Calibri" w:hAnsi="Arial" w:cs="Arial"/>
          <w:b/>
          <w:lang w:val="es-ES"/>
        </w:rPr>
        <w:t xml:space="preserve">6.1.2 </w:t>
      </w:r>
      <w:r w:rsidRPr="001F4F7F">
        <w:rPr>
          <w:rFonts w:ascii="Arial" w:eastAsia="Calibri" w:hAnsi="Arial" w:cs="Arial"/>
          <w:b/>
          <w:lang w:val="es-ES"/>
        </w:rPr>
        <w:tab/>
        <w:t>Conformidad de la venta por el Titular del Pliego</w:t>
      </w:r>
    </w:p>
    <w:p w:rsidR="000C2661" w:rsidRPr="000C2661" w:rsidRDefault="000C2661" w:rsidP="001F4F7F">
      <w:pPr>
        <w:spacing w:after="0" w:line="240" w:lineRule="auto"/>
        <w:ind w:left="1560"/>
        <w:contextualSpacing/>
        <w:jc w:val="both"/>
        <w:rPr>
          <w:rFonts w:ascii="Arial" w:eastAsia="Calibri" w:hAnsi="Arial" w:cs="Arial"/>
          <w:lang w:val="es-ES"/>
        </w:rPr>
      </w:pPr>
      <w:r w:rsidRPr="000C2661">
        <w:rPr>
          <w:rFonts w:ascii="Arial" w:eastAsia="Calibri" w:hAnsi="Arial" w:cs="Arial"/>
          <w:lang w:val="es-ES"/>
        </w:rPr>
        <w:t>El área competente de la entidad eleva la documentación señalada en el numeral 6.1.1 de la presente Directiva, a fin que el titular priorice el procedimiento para la venta y se continúe el trámite del mismo.</w:t>
      </w:r>
    </w:p>
    <w:p w:rsidR="000C2661" w:rsidRPr="000C2661" w:rsidRDefault="000C2661" w:rsidP="001F4F7F">
      <w:pPr>
        <w:spacing w:after="0" w:line="240" w:lineRule="auto"/>
        <w:ind w:left="1560"/>
        <w:contextualSpacing/>
        <w:jc w:val="both"/>
        <w:rPr>
          <w:rFonts w:ascii="Arial" w:eastAsia="Calibri" w:hAnsi="Arial" w:cs="Arial"/>
          <w:lang w:val="es-ES"/>
        </w:rPr>
      </w:pPr>
    </w:p>
    <w:p w:rsidR="000C2661" w:rsidRPr="000C2661" w:rsidRDefault="000C2661" w:rsidP="001F4F7F">
      <w:pPr>
        <w:spacing w:after="0" w:line="240" w:lineRule="auto"/>
        <w:ind w:left="1560"/>
        <w:contextualSpacing/>
        <w:jc w:val="both"/>
        <w:rPr>
          <w:rFonts w:ascii="Arial" w:eastAsia="Calibri" w:hAnsi="Arial" w:cs="Arial"/>
          <w:lang w:val="es-ES"/>
        </w:rPr>
      </w:pPr>
      <w:r w:rsidRPr="000C2661">
        <w:rPr>
          <w:rFonts w:ascii="Arial" w:eastAsia="Calibri" w:hAnsi="Arial" w:cs="Arial"/>
          <w:lang w:val="es-ES"/>
        </w:rPr>
        <w:t>En los procedimientos a cargo de la SBN, la SDDI eleva la  documentación antes indicada al Superintendente para la conformidad de la venta del predio vía subasta pública.</w:t>
      </w:r>
    </w:p>
    <w:p w:rsidR="000C2661" w:rsidRPr="000C2661" w:rsidRDefault="000C2661" w:rsidP="001F4F7F">
      <w:pPr>
        <w:spacing w:after="0" w:line="240" w:lineRule="auto"/>
        <w:ind w:left="1560"/>
        <w:contextualSpacing/>
        <w:jc w:val="both"/>
        <w:rPr>
          <w:rFonts w:ascii="Arial" w:eastAsia="Calibri" w:hAnsi="Arial" w:cs="Arial"/>
          <w:lang w:val="es-ES"/>
        </w:rPr>
      </w:pPr>
    </w:p>
    <w:p w:rsidR="000C2661" w:rsidRPr="000C2661" w:rsidRDefault="000C2661" w:rsidP="001F4F7F">
      <w:pPr>
        <w:spacing w:after="0" w:line="240" w:lineRule="auto"/>
        <w:ind w:left="1560"/>
        <w:contextualSpacing/>
        <w:jc w:val="both"/>
        <w:rPr>
          <w:rFonts w:ascii="Arial" w:eastAsia="Calibri" w:hAnsi="Arial" w:cs="Arial"/>
          <w:lang w:val="es-ES"/>
        </w:rPr>
      </w:pPr>
      <w:r w:rsidRPr="000C2661">
        <w:rPr>
          <w:rFonts w:ascii="Arial" w:eastAsia="Calibri" w:hAnsi="Arial" w:cs="Arial"/>
          <w:lang w:val="es-ES"/>
        </w:rPr>
        <w:t>El Superintendente procede a evaluar los predios propuestos para su venta en subasta pública y, de ser el caso, dará la conformidad para dicha venta, teniendo en cuenta las políticas del Estado sobre gestión del territorio, conforme a la atribución conferida en el ROF de la SBN, la que será comunicada a la SDDI.</w:t>
      </w:r>
    </w:p>
    <w:p w:rsidR="000C2661" w:rsidRPr="000C2661" w:rsidRDefault="000C2661" w:rsidP="001F4F7F">
      <w:pPr>
        <w:spacing w:after="0" w:line="240" w:lineRule="auto"/>
        <w:ind w:left="1560"/>
        <w:contextualSpacing/>
        <w:jc w:val="both"/>
        <w:rPr>
          <w:rFonts w:ascii="Arial" w:eastAsia="Calibri" w:hAnsi="Arial" w:cs="Arial"/>
          <w:lang w:val="es-ES"/>
        </w:rPr>
      </w:pPr>
    </w:p>
    <w:p w:rsidR="000C2661" w:rsidRPr="000C2661" w:rsidRDefault="000C2661" w:rsidP="001F4F7F">
      <w:pPr>
        <w:spacing w:after="0" w:line="240" w:lineRule="auto"/>
        <w:ind w:left="1560"/>
        <w:contextualSpacing/>
        <w:jc w:val="both"/>
        <w:rPr>
          <w:rFonts w:ascii="Arial" w:eastAsia="Calibri" w:hAnsi="Arial" w:cs="Arial"/>
          <w:lang w:val="es-ES"/>
        </w:rPr>
      </w:pPr>
      <w:r w:rsidRPr="000C2661">
        <w:rPr>
          <w:rFonts w:ascii="Arial" w:eastAsia="Calibri" w:hAnsi="Arial" w:cs="Arial"/>
          <w:lang w:val="es-ES"/>
        </w:rPr>
        <w:t>Cuando sea necesario la desafectación del dominio público o el levantamiento de alguna medida que impida o limite la libre disposición del predio, la conformidad que otorgue el Superintendente tendrá efecto a partir de que se concluya previamente con el procedimiento de desafectación o levantamiento de la carga.</w:t>
      </w:r>
    </w:p>
    <w:p w:rsidR="000C2661" w:rsidRPr="000C2661" w:rsidRDefault="000C2661" w:rsidP="001F4F7F">
      <w:pPr>
        <w:spacing w:after="0" w:line="240" w:lineRule="auto"/>
        <w:ind w:left="1276" w:hanging="283"/>
        <w:contextualSpacing/>
        <w:jc w:val="both"/>
        <w:rPr>
          <w:rFonts w:ascii="Arial" w:eastAsia="Calibri" w:hAnsi="Arial" w:cs="Arial"/>
          <w:lang w:val="es-ES"/>
        </w:rPr>
      </w:pPr>
    </w:p>
    <w:p w:rsidR="000C2661" w:rsidRPr="001F4F7F" w:rsidRDefault="000C2661" w:rsidP="001F4F7F">
      <w:pPr>
        <w:spacing w:after="0" w:line="240" w:lineRule="auto"/>
        <w:ind w:left="1560" w:hanging="567"/>
        <w:contextualSpacing/>
        <w:jc w:val="both"/>
        <w:rPr>
          <w:rFonts w:ascii="Arial" w:eastAsia="Calibri" w:hAnsi="Arial" w:cs="Arial"/>
          <w:b/>
          <w:lang w:val="es-ES"/>
        </w:rPr>
      </w:pPr>
      <w:r w:rsidRPr="001F4F7F">
        <w:rPr>
          <w:rFonts w:ascii="Arial" w:eastAsia="Calibri" w:hAnsi="Arial" w:cs="Arial"/>
          <w:b/>
          <w:lang w:val="es-ES"/>
        </w:rPr>
        <w:t xml:space="preserve">6.1.3 </w:t>
      </w:r>
      <w:r w:rsidRPr="001F4F7F">
        <w:rPr>
          <w:rFonts w:ascii="Arial" w:eastAsia="Calibri" w:hAnsi="Arial" w:cs="Arial"/>
          <w:b/>
          <w:lang w:val="es-ES"/>
        </w:rPr>
        <w:tab/>
        <w:t>Conclusión de la etapa de identificación del predio</w:t>
      </w:r>
    </w:p>
    <w:p w:rsidR="000C2661" w:rsidRPr="000C2661" w:rsidRDefault="000C2661" w:rsidP="001F4F7F">
      <w:pPr>
        <w:spacing w:after="0" w:line="240" w:lineRule="auto"/>
        <w:ind w:left="1560" w:hanging="283"/>
        <w:contextualSpacing/>
        <w:jc w:val="both"/>
        <w:rPr>
          <w:rFonts w:ascii="Arial" w:eastAsia="Calibri" w:hAnsi="Arial" w:cs="Arial"/>
          <w:lang w:val="es-ES"/>
        </w:rPr>
      </w:pPr>
      <w:r w:rsidRPr="000C2661">
        <w:rPr>
          <w:rFonts w:ascii="Arial" w:eastAsia="Calibri" w:hAnsi="Arial" w:cs="Arial"/>
          <w:lang w:val="es-ES"/>
        </w:rPr>
        <w:tab/>
        <w:t>Si no se otorga la conformidad para la venta del predio, la SDDI dará por concluida la etapa de identificación para la venta y dispondrá su archivamiento. En caso que la venta hubiese sido peticionada por un tercero, se le notifica la decisión, sin lugar a impugnación o reclamo alguno, por cuanto la disposición de un predio estatal vía subasta pública es un procedimiento de oficio.</w:t>
      </w:r>
    </w:p>
    <w:p w:rsidR="000C2661" w:rsidRPr="000C2661" w:rsidRDefault="000C2661" w:rsidP="001F4F7F">
      <w:pPr>
        <w:spacing w:after="0" w:line="240" w:lineRule="auto"/>
        <w:ind w:left="1276" w:hanging="283"/>
        <w:contextualSpacing/>
        <w:jc w:val="both"/>
        <w:rPr>
          <w:rFonts w:ascii="Arial" w:eastAsia="Calibri" w:hAnsi="Arial" w:cs="Arial"/>
          <w:lang w:val="es-ES"/>
        </w:rPr>
      </w:pPr>
    </w:p>
    <w:p w:rsidR="000C2661" w:rsidRPr="001F4F7F" w:rsidRDefault="000C2661" w:rsidP="001F4F7F">
      <w:pPr>
        <w:spacing w:after="0" w:line="240" w:lineRule="auto"/>
        <w:ind w:left="1560" w:hanging="567"/>
        <w:contextualSpacing/>
        <w:jc w:val="both"/>
        <w:rPr>
          <w:rFonts w:ascii="Arial" w:eastAsia="Calibri" w:hAnsi="Arial" w:cs="Arial"/>
          <w:b/>
          <w:lang w:val="es-ES"/>
        </w:rPr>
      </w:pPr>
      <w:r w:rsidRPr="001F4F7F">
        <w:rPr>
          <w:rFonts w:ascii="Arial" w:eastAsia="Calibri" w:hAnsi="Arial" w:cs="Arial"/>
          <w:b/>
          <w:lang w:val="es-ES"/>
        </w:rPr>
        <w:t xml:space="preserve">6.1.4 </w:t>
      </w:r>
      <w:r w:rsidRPr="001F4F7F">
        <w:rPr>
          <w:rFonts w:ascii="Arial" w:eastAsia="Calibri" w:hAnsi="Arial" w:cs="Arial"/>
          <w:b/>
          <w:lang w:val="es-ES"/>
        </w:rPr>
        <w:tab/>
        <w:t>Apertura de expediente y acciones de saneamiento previo</w:t>
      </w:r>
    </w:p>
    <w:p w:rsidR="000C2661" w:rsidRPr="000C2661" w:rsidRDefault="000C2661" w:rsidP="001F4F7F">
      <w:pPr>
        <w:spacing w:after="0" w:line="240" w:lineRule="auto"/>
        <w:ind w:left="1560"/>
        <w:contextualSpacing/>
        <w:jc w:val="both"/>
        <w:rPr>
          <w:rFonts w:ascii="Arial" w:eastAsia="Calibri" w:hAnsi="Arial" w:cs="Arial"/>
          <w:lang w:val="es-ES"/>
        </w:rPr>
      </w:pPr>
      <w:r w:rsidRPr="000C2661">
        <w:rPr>
          <w:rFonts w:ascii="Arial" w:eastAsia="Calibri" w:hAnsi="Arial" w:cs="Arial"/>
          <w:lang w:val="es-ES"/>
        </w:rPr>
        <w:t>Con el memorando de conformidad para la venta, en los procedimientos a cargo de la SBN, o con el memorando de priorización de actividades, para el caso de los procedimientos a cargo de las demás entidades públicas, el área competente procede a abrir el expediente administrativo.</w:t>
      </w:r>
    </w:p>
    <w:p w:rsidR="000C2661" w:rsidRPr="000C2661" w:rsidRDefault="000C2661" w:rsidP="001F4F7F">
      <w:pPr>
        <w:spacing w:after="0" w:line="240" w:lineRule="auto"/>
        <w:ind w:left="1560"/>
        <w:contextualSpacing/>
        <w:jc w:val="both"/>
        <w:rPr>
          <w:rFonts w:ascii="Arial" w:eastAsia="Calibri" w:hAnsi="Arial" w:cs="Arial"/>
          <w:lang w:val="es-ES"/>
        </w:rPr>
      </w:pPr>
    </w:p>
    <w:p w:rsidR="000C2661" w:rsidRPr="000C2661" w:rsidRDefault="000C2661" w:rsidP="001F4F7F">
      <w:pPr>
        <w:spacing w:after="0" w:line="240" w:lineRule="auto"/>
        <w:ind w:left="1560"/>
        <w:contextualSpacing/>
        <w:jc w:val="both"/>
        <w:rPr>
          <w:rFonts w:ascii="Arial" w:eastAsia="Calibri" w:hAnsi="Arial" w:cs="Arial"/>
          <w:lang w:val="es-ES"/>
        </w:rPr>
      </w:pPr>
      <w:r w:rsidRPr="000C2661">
        <w:rPr>
          <w:rFonts w:ascii="Arial" w:eastAsia="Calibri" w:hAnsi="Arial" w:cs="Arial"/>
          <w:lang w:val="es-ES"/>
        </w:rPr>
        <w:t>Si el predio propuesto para la venta requiere de alguna acción de independización, rectificación de área u otra similar, ésta debe ser efectuada preferentemente antes que se contrate el servicio de tasación. En el caso que el área que se independice no coincida con el área valuada, esta última debe ser reajustada por el tasador.</w:t>
      </w:r>
    </w:p>
    <w:p w:rsidR="000C2661" w:rsidRPr="000C2661" w:rsidRDefault="000C2661" w:rsidP="001F4F7F">
      <w:pPr>
        <w:spacing w:after="0" w:line="240" w:lineRule="auto"/>
        <w:ind w:left="1276" w:hanging="283"/>
        <w:contextualSpacing/>
        <w:jc w:val="both"/>
        <w:rPr>
          <w:rFonts w:ascii="Arial" w:eastAsia="Calibri" w:hAnsi="Arial" w:cs="Arial"/>
          <w:lang w:val="es-ES"/>
        </w:rPr>
      </w:pPr>
    </w:p>
    <w:p w:rsidR="000C2661" w:rsidRPr="001F4F7F" w:rsidRDefault="000C2661" w:rsidP="001F4F7F">
      <w:pPr>
        <w:spacing w:after="0" w:line="240" w:lineRule="auto"/>
        <w:ind w:left="1560" w:hanging="567"/>
        <w:contextualSpacing/>
        <w:jc w:val="both"/>
        <w:rPr>
          <w:rFonts w:ascii="Arial" w:eastAsia="Calibri" w:hAnsi="Arial" w:cs="Arial"/>
          <w:b/>
          <w:lang w:val="es-ES"/>
        </w:rPr>
      </w:pPr>
      <w:r w:rsidRPr="001F4F7F">
        <w:rPr>
          <w:rFonts w:ascii="Arial" w:eastAsia="Calibri" w:hAnsi="Arial" w:cs="Arial"/>
          <w:b/>
          <w:lang w:val="es-ES"/>
        </w:rPr>
        <w:t xml:space="preserve">6.1.5 </w:t>
      </w:r>
      <w:r w:rsidRPr="001F4F7F">
        <w:rPr>
          <w:rFonts w:ascii="Arial" w:eastAsia="Calibri" w:hAnsi="Arial" w:cs="Arial"/>
          <w:b/>
          <w:lang w:val="es-ES"/>
        </w:rPr>
        <w:tab/>
        <w:t>Alcances de la valorización del predio</w:t>
      </w:r>
    </w:p>
    <w:p w:rsidR="000C2661" w:rsidRPr="000C2661" w:rsidRDefault="000C2661" w:rsidP="001F4F7F">
      <w:pPr>
        <w:spacing w:after="0" w:line="240" w:lineRule="auto"/>
        <w:ind w:left="1560" w:hanging="283"/>
        <w:contextualSpacing/>
        <w:jc w:val="both"/>
        <w:rPr>
          <w:rFonts w:ascii="Arial" w:eastAsia="Calibri" w:hAnsi="Arial" w:cs="Arial"/>
          <w:lang w:val="es-ES"/>
        </w:rPr>
      </w:pPr>
      <w:r w:rsidRPr="000C2661">
        <w:rPr>
          <w:rFonts w:ascii="Arial" w:eastAsia="Calibri" w:hAnsi="Arial" w:cs="Arial"/>
          <w:lang w:val="es-ES"/>
        </w:rPr>
        <w:tab/>
        <w:t>La valorización debe efectuarse tanto del terreno como de la edificación existente, salvo que el poseedor del predio demuestre que la edificación ha sido efectuada por él o sus predecesores. No opera dicha excepción cuando existe sentencia, laudo arbitral o resolución administrativa firme en contra del ocupante o sus predecesores, respecto a la recuperación del predio en su integridad a favor del Estado.</w:t>
      </w:r>
    </w:p>
    <w:p w:rsidR="000C2661" w:rsidRPr="000C2661" w:rsidRDefault="000C2661" w:rsidP="001F4F7F">
      <w:pPr>
        <w:spacing w:after="0" w:line="240" w:lineRule="auto"/>
        <w:ind w:left="1560" w:hanging="283"/>
        <w:contextualSpacing/>
        <w:jc w:val="both"/>
        <w:rPr>
          <w:rFonts w:ascii="Arial" w:eastAsia="Calibri" w:hAnsi="Arial" w:cs="Arial"/>
          <w:lang w:val="es-ES"/>
        </w:rPr>
      </w:pPr>
    </w:p>
    <w:p w:rsidR="000C2661" w:rsidRPr="000C2661" w:rsidRDefault="000C2661" w:rsidP="001F4F7F">
      <w:pPr>
        <w:spacing w:after="0" w:line="240" w:lineRule="auto"/>
        <w:ind w:left="1560" w:hanging="283"/>
        <w:contextualSpacing/>
        <w:jc w:val="both"/>
        <w:rPr>
          <w:rFonts w:ascii="Arial" w:eastAsia="Calibri" w:hAnsi="Arial" w:cs="Arial"/>
          <w:lang w:val="es-ES"/>
        </w:rPr>
      </w:pPr>
      <w:r w:rsidRPr="000C2661">
        <w:rPr>
          <w:rFonts w:ascii="Arial" w:eastAsia="Calibri" w:hAnsi="Arial" w:cs="Arial"/>
          <w:lang w:val="es-ES"/>
        </w:rPr>
        <w:tab/>
        <w:t>La titularidad de las construcciones puede ser acreditada por el tercero con el contrato de obra, declaración jurada con firma certificada ante Notario Público o cualquier documento público o privado que permita concluir que la edificación ha sido efectuada por el poseedor o sus predecesores y no por el Estado.</w:t>
      </w:r>
    </w:p>
    <w:p w:rsidR="000C2661" w:rsidRPr="000C2661" w:rsidRDefault="000C2661" w:rsidP="001F4F7F">
      <w:pPr>
        <w:spacing w:after="0" w:line="240" w:lineRule="auto"/>
        <w:ind w:left="1276" w:hanging="283"/>
        <w:contextualSpacing/>
        <w:jc w:val="both"/>
        <w:rPr>
          <w:rFonts w:ascii="Arial" w:eastAsia="Calibri" w:hAnsi="Arial" w:cs="Arial"/>
          <w:lang w:val="es-ES"/>
        </w:rPr>
      </w:pPr>
    </w:p>
    <w:p w:rsidR="000C2661" w:rsidRPr="001F4F7F" w:rsidRDefault="000C2661" w:rsidP="001F4F7F">
      <w:pPr>
        <w:spacing w:after="0" w:line="240" w:lineRule="auto"/>
        <w:ind w:left="1701" w:hanging="708"/>
        <w:contextualSpacing/>
        <w:jc w:val="both"/>
        <w:rPr>
          <w:rFonts w:ascii="Arial" w:eastAsia="Calibri" w:hAnsi="Arial" w:cs="Arial"/>
          <w:b/>
          <w:lang w:val="es-ES"/>
        </w:rPr>
      </w:pPr>
      <w:r w:rsidRPr="001F4F7F">
        <w:rPr>
          <w:rFonts w:ascii="Arial" w:eastAsia="Calibri" w:hAnsi="Arial" w:cs="Arial"/>
          <w:b/>
          <w:lang w:val="es-ES"/>
        </w:rPr>
        <w:t xml:space="preserve">6.1.6 </w:t>
      </w:r>
      <w:r w:rsidRPr="001F4F7F">
        <w:rPr>
          <w:rFonts w:ascii="Arial" w:eastAsia="Calibri" w:hAnsi="Arial" w:cs="Arial"/>
          <w:b/>
          <w:lang w:val="es-ES"/>
        </w:rPr>
        <w:tab/>
        <w:t>Determinación del valor comercial del predio</w:t>
      </w:r>
    </w:p>
    <w:p w:rsidR="000C2661" w:rsidRPr="000C2661" w:rsidRDefault="000C2661" w:rsidP="001F4F7F">
      <w:pPr>
        <w:spacing w:after="0" w:line="240" w:lineRule="auto"/>
        <w:ind w:left="1560" w:hanging="283"/>
        <w:contextualSpacing/>
        <w:jc w:val="both"/>
        <w:rPr>
          <w:rFonts w:ascii="Arial" w:eastAsia="Calibri" w:hAnsi="Arial" w:cs="Arial"/>
          <w:lang w:val="es-ES"/>
        </w:rPr>
      </w:pPr>
      <w:r w:rsidRPr="000C2661">
        <w:rPr>
          <w:rFonts w:ascii="Arial" w:eastAsia="Calibri" w:hAnsi="Arial" w:cs="Arial"/>
          <w:lang w:val="es-ES"/>
        </w:rPr>
        <w:tab/>
        <w:t>La entidad pública propietaria del bien solicita la valorización comercial del predio a un organismo especializado en la materia o, excepcionalmente y con la autorización expresa del Jefe del área responsable de la sustentación del procedimiento de venta, a un perito tasador acreditado, según sea el caso, ambos de reconocida y acreditada experiencia.</w:t>
      </w:r>
    </w:p>
    <w:p w:rsidR="000C2661" w:rsidRPr="000C2661" w:rsidRDefault="000C2661" w:rsidP="001F4F7F">
      <w:pPr>
        <w:spacing w:after="0" w:line="240" w:lineRule="auto"/>
        <w:ind w:left="1560" w:hanging="283"/>
        <w:contextualSpacing/>
        <w:jc w:val="both"/>
        <w:rPr>
          <w:rFonts w:ascii="Arial" w:eastAsia="Calibri" w:hAnsi="Arial" w:cs="Arial"/>
          <w:lang w:val="es-ES"/>
        </w:rPr>
      </w:pPr>
    </w:p>
    <w:p w:rsidR="000C2661" w:rsidRPr="000C2661" w:rsidRDefault="000C2661" w:rsidP="001F4F7F">
      <w:pPr>
        <w:spacing w:after="0" w:line="240" w:lineRule="auto"/>
        <w:ind w:left="1560"/>
        <w:contextualSpacing/>
        <w:jc w:val="both"/>
        <w:rPr>
          <w:rFonts w:ascii="Arial" w:eastAsia="Calibri" w:hAnsi="Arial" w:cs="Arial"/>
          <w:lang w:val="es-ES"/>
        </w:rPr>
      </w:pPr>
      <w:r w:rsidRPr="000C2661">
        <w:rPr>
          <w:rFonts w:ascii="Arial" w:eastAsia="Calibri" w:hAnsi="Arial" w:cs="Arial"/>
          <w:lang w:val="es-ES"/>
        </w:rPr>
        <w:t>La contratación del servicio de tasación comercial se efectuará conforme a los procedimientos regulados en la Ley de Contrataciones del Estado y demás normas reglamentarias y complementarias. Cuando el servicio de tasación sea  menor o igual a ocho (08) Unidades Impositivas Tributarias (UIT) se regirá por los lineamientos internos con que cuente cada entidad o por los términos de referencia específicos que se elaboren, los cuales comprenden las reglas de cumplimiento del servicio y penalidades.</w:t>
      </w:r>
    </w:p>
    <w:p w:rsidR="000C2661" w:rsidRPr="000C2661" w:rsidRDefault="000C2661" w:rsidP="001F4F7F">
      <w:pPr>
        <w:spacing w:after="0" w:line="240" w:lineRule="auto"/>
        <w:ind w:left="1560" w:hanging="283"/>
        <w:contextualSpacing/>
        <w:jc w:val="both"/>
        <w:rPr>
          <w:rFonts w:ascii="Arial" w:eastAsia="Calibri" w:hAnsi="Arial" w:cs="Arial"/>
          <w:lang w:val="es-ES"/>
        </w:rPr>
      </w:pPr>
    </w:p>
    <w:p w:rsidR="000C2661" w:rsidRPr="000C2661" w:rsidRDefault="000C2661" w:rsidP="001F4F7F">
      <w:pPr>
        <w:spacing w:after="0" w:line="240" w:lineRule="auto"/>
        <w:ind w:left="1560" w:hanging="283"/>
        <w:contextualSpacing/>
        <w:jc w:val="both"/>
        <w:rPr>
          <w:rFonts w:ascii="Arial" w:eastAsia="Calibri" w:hAnsi="Arial" w:cs="Arial"/>
          <w:lang w:val="es-ES"/>
        </w:rPr>
      </w:pPr>
      <w:r w:rsidRPr="000C2661">
        <w:rPr>
          <w:rFonts w:ascii="Arial" w:eastAsia="Calibri" w:hAnsi="Arial" w:cs="Arial"/>
          <w:lang w:val="es-ES"/>
        </w:rPr>
        <w:tab/>
        <w:t>El tasador debe presentar a la entidad pública un informe de valuación comercial y el estudio de mercado, con la debida fundamentación de su utilización en la valorización efectuada.</w:t>
      </w:r>
    </w:p>
    <w:p w:rsidR="000C2661" w:rsidRPr="000C2661" w:rsidRDefault="000C2661" w:rsidP="001F4F7F">
      <w:pPr>
        <w:spacing w:after="0" w:line="240" w:lineRule="auto"/>
        <w:ind w:left="1560" w:hanging="283"/>
        <w:contextualSpacing/>
        <w:jc w:val="both"/>
        <w:rPr>
          <w:rFonts w:ascii="Arial" w:eastAsia="Calibri" w:hAnsi="Arial" w:cs="Arial"/>
          <w:lang w:val="es-ES"/>
        </w:rPr>
      </w:pPr>
    </w:p>
    <w:p w:rsidR="000C2661" w:rsidRPr="000C2661" w:rsidRDefault="000C2661" w:rsidP="001F4F7F">
      <w:pPr>
        <w:spacing w:after="0" w:line="240" w:lineRule="auto"/>
        <w:ind w:left="1560" w:hanging="283"/>
        <w:contextualSpacing/>
        <w:jc w:val="both"/>
        <w:rPr>
          <w:rFonts w:ascii="Arial" w:eastAsia="Calibri" w:hAnsi="Arial" w:cs="Arial"/>
          <w:lang w:val="es-ES"/>
        </w:rPr>
      </w:pPr>
      <w:r w:rsidRPr="000C2661">
        <w:rPr>
          <w:rFonts w:ascii="Arial" w:eastAsia="Calibri" w:hAnsi="Arial" w:cs="Arial"/>
          <w:lang w:val="es-ES"/>
        </w:rPr>
        <w:tab/>
        <w:t xml:space="preserve">Recibida la tasación del predio, el área orgánica que sustenta el trámite de venta debe dar conformidad al procedimiento utilizado en la tasación, previa aclaración o rectificación que efectúe el perito, en caso de ser necesario. Dicha conformidad debe ser firmada por el profesional (ingeniero o arquitecto) que interviene en la sustentación del procedimiento y visada por el Jefe del Área, conforme a los formatos que se aprueba como Anexos 4, 5 y 6 de la presente Directiva. </w:t>
      </w:r>
    </w:p>
    <w:p w:rsidR="000C2661" w:rsidRPr="000C2661" w:rsidRDefault="000C2661" w:rsidP="001F4F7F">
      <w:pPr>
        <w:spacing w:after="0" w:line="240" w:lineRule="auto"/>
        <w:ind w:left="1560" w:hanging="283"/>
        <w:contextualSpacing/>
        <w:jc w:val="both"/>
        <w:rPr>
          <w:rFonts w:ascii="Arial" w:eastAsia="Calibri" w:hAnsi="Arial" w:cs="Arial"/>
          <w:lang w:val="es-ES"/>
        </w:rPr>
      </w:pPr>
    </w:p>
    <w:p w:rsidR="000C2661" w:rsidRPr="000C2661" w:rsidRDefault="000C2661" w:rsidP="001F4F7F">
      <w:pPr>
        <w:spacing w:after="0" w:line="240" w:lineRule="auto"/>
        <w:ind w:left="1560"/>
        <w:contextualSpacing/>
        <w:jc w:val="both"/>
        <w:rPr>
          <w:rFonts w:ascii="Arial" w:eastAsia="Calibri" w:hAnsi="Arial" w:cs="Arial"/>
          <w:lang w:val="es-ES"/>
        </w:rPr>
      </w:pPr>
      <w:r w:rsidRPr="000C2661">
        <w:rPr>
          <w:rFonts w:ascii="Arial" w:eastAsia="Calibri" w:hAnsi="Arial" w:cs="Arial"/>
          <w:lang w:val="es-ES"/>
        </w:rPr>
        <w:t>Si el tasador mantiene su criterio y no logra subsanar o levantar las observaciones efectuadas por el profesional de la entidad, el área responsable del trámite requiere la contratación de otro perito tasador u organismo especializado en la materia para que realice una nueva tasación.</w:t>
      </w:r>
    </w:p>
    <w:p w:rsidR="000C2661" w:rsidRPr="000C2661" w:rsidRDefault="000C2661" w:rsidP="001F4F7F">
      <w:pPr>
        <w:spacing w:after="0" w:line="240" w:lineRule="auto"/>
        <w:ind w:left="1276" w:hanging="283"/>
        <w:contextualSpacing/>
        <w:jc w:val="both"/>
        <w:rPr>
          <w:rFonts w:ascii="Arial" w:eastAsia="Calibri" w:hAnsi="Arial" w:cs="Arial"/>
          <w:lang w:val="es-ES"/>
        </w:rPr>
      </w:pPr>
    </w:p>
    <w:p w:rsidR="000C2661" w:rsidRPr="001F4F7F" w:rsidRDefault="000C2661" w:rsidP="001F4F7F">
      <w:pPr>
        <w:spacing w:after="0" w:line="240" w:lineRule="auto"/>
        <w:ind w:left="1701" w:hanging="708"/>
        <w:contextualSpacing/>
        <w:jc w:val="both"/>
        <w:rPr>
          <w:rFonts w:ascii="Arial" w:eastAsia="Calibri" w:hAnsi="Arial" w:cs="Arial"/>
          <w:b/>
          <w:lang w:val="es-ES"/>
        </w:rPr>
      </w:pPr>
      <w:r w:rsidRPr="001F4F7F">
        <w:rPr>
          <w:rFonts w:ascii="Arial" w:eastAsia="Calibri" w:hAnsi="Arial" w:cs="Arial"/>
          <w:b/>
          <w:lang w:val="es-ES"/>
        </w:rPr>
        <w:t xml:space="preserve">6.1.7 </w:t>
      </w:r>
      <w:r w:rsidRPr="001F4F7F">
        <w:rPr>
          <w:rFonts w:ascii="Arial" w:eastAsia="Calibri" w:hAnsi="Arial" w:cs="Arial"/>
          <w:b/>
          <w:lang w:val="es-ES"/>
        </w:rPr>
        <w:tab/>
        <w:t>Vigencia de la valorización y su actualización</w:t>
      </w:r>
    </w:p>
    <w:p w:rsidR="000C2661" w:rsidRPr="000C2661" w:rsidRDefault="000C2661" w:rsidP="001F4F7F">
      <w:pPr>
        <w:spacing w:after="0" w:line="240" w:lineRule="auto"/>
        <w:ind w:left="1560"/>
        <w:contextualSpacing/>
        <w:jc w:val="both"/>
        <w:rPr>
          <w:rFonts w:ascii="Arial" w:eastAsia="Calibri" w:hAnsi="Arial" w:cs="Arial"/>
          <w:lang w:val="es-ES"/>
        </w:rPr>
      </w:pPr>
      <w:r w:rsidRPr="000C2661">
        <w:rPr>
          <w:rFonts w:ascii="Arial" w:eastAsia="Calibri" w:hAnsi="Arial" w:cs="Arial"/>
          <w:lang w:val="es-ES"/>
        </w:rPr>
        <w:t>Transcurrido el plazo máximo de ocho (08) meses de vigencia de la valorización antes de la emisión de la resolución de aprobación de la venta, se deberá proceder a su actualización, la misma que tendrá igual plazo de vigencia. A criterio de la entidad propietaria, puede disponerse la actualización de la tasación antes del vencimiento del plazo indicado.</w:t>
      </w:r>
    </w:p>
    <w:p w:rsidR="000C2661" w:rsidRPr="000C2661" w:rsidRDefault="000C2661" w:rsidP="001F4F7F">
      <w:pPr>
        <w:spacing w:after="0" w:line="240" w:lineRule="auto"/>
        <w:ind w:left="1276" w:hanging="283"/>
        <w:contextualSpacing/>
        <w:jc w:val="both"/>
        <w:rPr>
          <w:rFonts w:ascii="Arial" w:eastAsia="Calibri" w:hAnsi="Arial" w:cs="Arial"/>
          <w:lang w:val="es-ES"/>
        </w:rPr>
      </w:pPr>
    </w:p>
    <w:p w:rsidR="000C2661" w:rsidRPr="001F4F7F" w:rsidRDefault="000C2661" w:rsidP="001F4F7F">
      <w:pPr>
        <w:spacing w:after="0" w:line="240" w:lineRule="auto"/>
        <w:ind w:left="1701" w:hanging="708"/>
        <w:contextualSpacing/>
        <w:jc w:val="both"/>
        <w:rPr>
          <w:rFonts w:ascii="Arial" w:eastAsia="Calibri" w:hAnsi="Arial" w:cs="Arial"/>
          <w:b/>
          <w:lang w:val="es-ES"/>
        </w:rPr>
      </w:pPr>
      <w:r w:rsidRPr="001F4F7F">
        <w:rPr>
          <w:rFonts w:ascii="Arial" w:eastAsia="Calibri" w:hAnsi="Arial" w:cs="Arial"/>
          <w:b/>
          <w:lang w:val="es-ES"/>
        </w:rPr>
        <w:t xml:space="preserve">6.1.8 </w:t>
      </w:r>
      <w:r w:rsidRPr="001F4F7F">
        <w:rPr>
          <w:rFonts w:ascii="Arial" w:eastAsia="Calibri" w:hAnsi="Arial" w:cs="Arial"/>
          <w:b/>
          <w:lang w:val="es-ES"/>
        </w:rPr>
        <w:tab/>
        <w:t>Informe Técnico Legal</w:t>
      </w:r>
    </w:p>
    <w:p w:rsidR="000C2661" w:rsidRPr="000C2661" w:rsidRDefault="000C2661" w:rsidP="001F4F7F">
      <w:pPr>
        <w:spacing w:after="0" w:line="240" w:lineRule="auto"/>
        <w:ind w:left="1560"/>
        <w:contextualSpacing/>
        <w:jc w:val="both"/>
        <w:rPr>
          <w:rFonts w:ascii="Arial" w:eastAsia="Calibri" w:hAnsi="Arial" w:cs="Arial"/>
          <w:lang w:val="es-ES"/>
        </w:rPr>
      </w:pPr>
      <w:r w:rsidRPr="000C2661">
        <w:rPr>
          <w:rFonts w:ascii="Arial" w:eastAsia="Calibri" w:hAnsi="Arial" w:cs="Arial"/>
          <w:lang w:val="es-ES"/>
        </w:rPr>
        <w:t xml:space="preserve">El informe técnico legal que sustenta el trámite de venta por subasta contiene la fundamentación de la decisión de venta, como parte de la gestión eficiente del portafolio inmobiliario del Estado. Dicho informe debe ser suscrito por los profesionales responsables del trámite y el Jefe del Área competente. </w:t>
      </w:r>
    </w:p>
    <w:p w:rsidR="000C2661" w:rsidRPr="000C2661" w:rsidRDefault="000C2661" w:rsidP="001F4F7F">
      <w:pPr>
        <w:spacing w:after="0" w:line="240" w:lineRule="auto"/>
        <w:ind w:left="1560"/>
        <w:contextualSpacing/>
        <w:jc w:val="both"/>
        <w:rPr>
          <w:rFonts w:ascii="Arial" w:eastAsia="Calibri" w:hAnsi="Arial" w:cs="Arial"/>
          <w:lang w:val="es-ES"/>
        </w:rPr>
      </w:pPr>
    </w:p>
    <w:p w:rsidR="000C2661" w:rsidRPr="000C2661" w:rsidRDefault="000C2661" w:rsidP="001F4F7F">
      <w:pPr>
        <w:spacing w:after="0" w:line="240" w:lineRule="auto"/>
        <w:ind w:left="1560"/>
        <w:contextualSpacing/>
        <w:jc w:val="both"/>
        <w:rPr>
          <w:rFonts w:ascii="Arial" w:eastAsia="Calibri" w:hAnsi="Arial" w:cs="Arial"/>
          <w:lang w:val="es-ES"/>
        </w:rPr>
      </w:pPr>
      <w:r w:rsidRPr="000C2661">
        <w:rPr>
          <w:rFonts w:ascii="Arial" w:eastAsia="Calibri" w:hAnsi="Arial" w:cs="Arial"/>
          <w:lang w:val="es-ES"/>
        </w:rPr>
        <w:t>En los procedimientos a cargo de la SBN, el informe técnico legal debe ser elaborado por la SDDI.</w:t>
      </w:r>
    </w:p>
    <w:p w:rsidR="000C2661" w:rsidRPr="000C2661" w:rsidRDefault="000C2661" w:rsidP="001F4F7F">
      <w:pPr>
        <w:spacing w:after="0" w:line="240" w:lineRule="auto"/>
        <w:ind w:left="1560"/>
        <w:contextualSpacing/>
        <w:jc w:val="both"/>
        <w:rPr>
          <w:rFonts w:ascii="Arial" w:eastAsia="Calibri" w:hAnsi="Arial" w:cs="Arial"/>
          <w:lang w:val="es-ES"/>
        </w:rPr>
      </w:pPr>
    </w:p>
    <w:p w:rsidR="000C2661" w:rsidRPr="000C2661" w:rsidRDefault="000C2661" w:rsidP="001F4F7F">
      <w:pPr>
        <w:spacing w:after="0" w:line="240" w:lineRule="auto"/>
        <w:ind w:left="1560"/>
        <w:contextualSpacing/>
        <w:jc w:val="both"/>
        <w:rPr>
          <w:rFonts w:ascii="Arial" w:eastAsia="Calibri" w:hAnsi="Arial" w:cs="Arial"/>
          <w:lang w:val="es-ES"/>
        </w:rPr>
      </w:pPr>
      <w:r w:rsidRPr="000C2661">
        <w:rPr>
          <w:rFonts w:ascii="Arial" w:eastAsia="Calibri" w:hAnsi="Arial" w:cs="Arial"/>
          <w:lang w:val="es-ES"/>
        </w:rPr>
        <w:t>En caso que con posterioridad a la conformidad de venta por el Titular del Pliego, se tome conocimiento de la existencia de algún impedimiento u otra restricción que impida la venta, se suspende el trámite hasta que se levante el impedimento o restricción o se concluye el trámite, atendiendo a la circunstancias y criterio del Jefe del Área competente, debiendo comunicar su decisión al Superintendente o al Titular del Pliego.</w:t>
      </w:r>
    </w:p>
    <w:p w:rsidR="000C2661" w:rsidRPr="000C2661" w:rsidRDefault="000C2661" w:rsidP="001F4F7F">
      <w:pPr>
        <w:spacing w:after="0" w:line="240" w:lineRule="auto"/>
        <w:ind w:left="1276" w:hanging="283"/>
        <w:contextualSpacing/>
        <w:jc w:val="both"/>
        <w:rPr>
          <w:rFonts w:ascii="Arial" w:eastAsia="Calibri" w:hAnsi="Arial" w:cs="Arial"/>
          <w:lang w:val="es-ES"/>
        </w:rPr>
      </w:pPr>
    </w:p>
    <w:p w:rsidR="000C2661" w:rsidRPr="001F4F7F" w:rsidRDefault="000C2661" w:rsidP="001F4F7F">
      <w:pPr>
        <w:spacing w:after="0" w:line="240" w:lineRule="auto"/>
        <w:ind w:left="1701" w:hanging="708"/>
        <w:contextualSpacing/>
        <w:jc w:val="both"/>
        <w:rPr>
          <w:rFonts w:ascii="Arial" w:eastAsia="Calibri" w:hAnsi="Arial" w:cs="Arial"/>
          <w:b/>
          <w:lang w:val="es-ES"/>
        </w:rPr>
      </w:pPr>
      <w:r w:rsidRPr="001F4F7F">
        <w:rPr>
          <w:rFonts w:ascii="Arial" w:eastAsia="Calibri" w:hAnsi="Arial" w:cs="Arial"/>
          <w:b/>
          <w:lang w:val="es-ES"/>
        </w:rPr>
        <w:t xml:space="preserve">6.1.9 </w:t>
      </w:r>
      <w:r w:rsidRPr="001F4F7F">
        <w:rPr>
          <w:rFonts w:ascii="Arial" w:eastAsia="Calibri" w:hAnsi="Arial" w:cs="Arial"/>
          <w:b/>
          <w:lang w:val="es-ES"/>
        </w:rPr>
        <w:tab/>
        <w:t>Del contenido del expediente sustentatorio</w:t>
      </w:r>
    </w:p>
    <w:p w:rsidR="000C2661" w:rsidRPr="000C2661" w:rsidRDefault="000C2661" w:rsidP="001F4F7F">
      <w:pPr>
        <w:spacing w:after="0" w:line="240" w:lineRule="auto"/>
        <w:ind w:left="1560"/>
        <w:contextualSpacing/>
        <w:jc w:val="both"/>
        <w:rPr>
          <w:rFonts w:ascii="Arial" w:eastAsia="Calibri" w:hAnsi="Arial" w:cs="Arial"/>
          <w:lang w:val="es-ES"/>
        </w:rPr>
      </w:pPr>
      <w:r w:rsidRPr="000C2661">
        <w:rPr>
          <w:rFonts w:ascii="Arial" w:eastAsia="Calibri" w:hAnsi="Arial" w:cs="Arial"/>
          <w:lang w:val="es-ES"/>
        </w:rPr>
        <w:t>El expediente administrativo debe contener principalmente los siguientes documentos:</w:t>
      </w:r>
    </w:p>
    <w:p w:rsidR="000C2661" w:rsidRPr="000C2661" w:rsidRDefault="000C2661" w:rsidP="001F4F7F">
      <w:pPr>
        <w:spacing w:after="0" w:line="240" w:lineRule="auto"/>
        <w:ind w:left="1276" w:hanging="283"/>
        <w:contextualSpacing/>
        <w:jc w:val="both"/>
        <w:rPr>
          <w:rFonts w:ascii="Arial" w:eastAsia="Calibri" w:hAnsi="Arial" w:cs="Arial"/>
          <w:lang w:val="es-ES"/>
        </w:rPr>
      </w:pPr>
    </w:p>
    <w:p w:rsidR="000C2661" w:rsidRPr="000C2661" w:rsidRDefault="000C2661" w:rsidP="001F4F7F">
      <w:pPr>
        <w:spacing w:after="0" w:line="240" w:lineRule="auto"/>
        <w:ind w:left="1843" w:hanging="283"/>
        <w:contextualSpacing/>
        <w:jc w:val="both"/>
        <w:rPr>
          <w:rFonts w:ascii="Arial" w:eastAsia="Calibri" w:hAnsi="Arial" w:cs="Arial"/>
          <w:lang w:val="es-ES"/>
        </w:rPr>
      </w:pPr>
      <w:r w:rsidRPr="000C2661">
        <w:rPr>
          <w:rFonts w:ascii="Arial" w:eastAsia="Calibri" w:hAnsi="Arial" w:cs="Arial"/>
          <w:lang w:val="es-ES"/>
        </w:rPr>
        <w:t>a)</w:t>
      </w:r>
      <w:r w:rsidRPr="000C2661">
        <w:rPr>
          <w:rFonts w:ascii="Arial" w:eastAsia="Calibri" w:hAnsi="Arial" w:cs="Arial"/>
          <w:lang w:val="es-ES"/>
        </w:rPr>
        <w:tab/>
        <w:t>Ficha Técnica</w:t>
      </w:r>
    </w:p>
    <w:p w:rsidR="000C2661" w:rsidRPr="000C2661" w:rsidRDefault="000C2661" w:rsidP="001F4F7F">
      <w:pPr>
        <w:spacing w:after="0" w:line="240" w:lineRule="auto"/>
        <w:ind w:left="1843" w:hanging="283"/>
        <w:contextualSpacing/>
        <w:jc w:val="both"/>
        <w:rPr>
          <w:rFonts w:ascii="Arial" w:eastAsia="Calibri" w:hAnsi="Arial" w:cs="Arial"/>
          <w:lang w:val="es-ES"/>
        </w:rPr>
      </w:pPr>
    </w:p>
    <w:p w:rsidR="000C2661" w:rsidRPr="000C2661" w:rsidRDefault="000C2661" w:rsidP="001F4F7F">
      <w:pPr>
        <w:spacing w:after="0" w:line="240" w:lineRule="auto"/>
        <w:ind w:left="1843" w:hanging="283"/>
        <w:contextualSpacing/>
        <w:jc w:val="both"/>
        <w:rPr>
          <w:rFonts w:ascii="Arial" w:eastAsia="Calibri" w:hAnsi="Arial" w:cs="Arial"/>
          <w:lang w:val="es-ES"/>
        </w:rPr>
      </w:pPr>
      <w:r w:rsidRPr="000C2661">
        <w:rPr>
          <w:rFonts w:ascii="Arial" w:eastAsia="Calibri" w:hAnsi="Arial" w:cs="Arial"/>
          <w:lang w:val="es-ES"/>
        </w:rPr>
        <w:t>b)</w:t>
      </w:r>
      <w:r w:rsidRPr="000C2661">
        <w:rPr>
          <w:rFonts w:ascii="Arial" w:eastAsia="Calibri" w:hAnsi="Arial" w:cs="Arial"/>
          <w:lang w:val="es-ES"/>
        </w:rPr>
        <w:tab/>
        <w:t>La partida registral del predio materia de venta.</w:t>
      </w:r>
    </w:p>
    <w:p w:rsidR="000C2661" w:rsidRPr="000C2661" w:rsidRDefault="000C2661" w:rsidP="001F4F7F">
      <w:pPr>
        <w:spacing w:after="0" w:line="240" w:lineRule="auto"/>
        <w:ind w:left="1843" w:hanging="283"/>
        <w:contextualSpacing/>
        <w:jc w:val="both"/>
        <w:rPr>
          <w:rFonts w:ascii="Arial" w:eastAsia="Calibri" w:hAnsi="Arial" w:cs="Arial"/>
          <w:lang w:val="es-ES"/>
        </w:rPr>
      </w:pPr>
    </w:p>
    <w:p w:rsidR="000C2661" w:rsidRPr="000C2661" w:rsidRDefault="000C2661" w:rsidP="001F4F7F">
      <w:pPr>
        <w:spacing w:after="0" w:line="240" w:lineRule="auto"/>
        <w:ind w:left="1843" w:hanging="283"/>
        <w:contextualSpacing/>
        <w:jc w:val="both"/>
        <w:rPr>
          <w:rFonts w:ascii="Arial" w:eastAsia="Calibri" w:hAnsi="Arial" w:cs="Arial"/>
          <w:lang w:val="es-ES"/>
        </w:rPr>
      </w:pPr>
      <w:r w:rsidRPr="000C2661">
        <w:rPr>
          <w:rFonts w:ascii="Arial" w:eastAsia="Calibri" w:hAnsi="Arial" w:cs="Arial"/>
          <w:lang w:val="es-ES"/>
        </w:rPr>
        <w:t>c)</w:t>
      </w:r>
      <w:r w:rsidRPr="000C2661">
        <w:rPr>
          <w:rFonts w:ascii="Arial" w:eastAsia="Calibri" w:hAnsi="Arial" w:cs="Arial"/>
          <w:lang w:val="es-ES"/>
        </w:rPr>
        <w:tab/>
        <w:t>Plano perimétrico - ubicación del terreno en coordenadas UTM a escala apropiada, con la indicación del área, linderos, ángulos y medidas perimétricas correspondientes.</w:t>
      </w:r>
    </w:p>
    <w:p w:rsidR="000C2661" w:rsidRPr="000C2661" w:rsidRDefault="000C2661" w:rsidP="001F4F7F">
      <w:pPr>
        <w:spacing w:after="0" w:line="240" w:lineRule="auto"/>
        <w:ind w:left="1843" w:hanging="283"/>
        <w:contextualSpacing/>
        <w:jc w:val="both"/>
        <w:rPr>
          <w:rFonts w:ascii="Arial" w:eastAsia="Calibri" w:hAnsi="Arial" w:cs="Arial"/>
          <w:lang w:val="es-ES"/>
        </w:rPr>
      </w:pPr>
    </w:p>
    <w:p w:rsidR="000C2661" w:rsidRPr="000C2661" w:rsidRDefault="000C2661" w:rsidP="001F4F7F">
      <w:pPr>
        <w:spacing w:after="0" w:line="240" w:lineRule="auto"/>
        <w:ind w:left="1843" w:hanging="283"/>
        <w:contextualSpacing/>
        <w:jc w:val="both"/>
        <w:rPr>
          <w:rFonts w:ascii="Arial" w:eastAsia="Calibri" w:hAnsi="Arial" w:cs="Arial"/>
          <w:lang w:val="es-ES"/>
        </w:rPr>
      </w:pPr>
      <w:r w:rsidRPr="000C2661">
        <w:rPr>
          <w:rFonts w:ascii="Arial" w:eastAsia="Calibri" w:hAnsi="Arial" w:cs="Arial"/>
          <w:lang w:val="es-ES"/>
        </w:rPr>
        <w:t>d)</w:t>
      </w:r>
      <w:r w:rsidRPr="000C2661">
        <w:rPr>
          <w:rFonts w:ascii="Arial" w:eastAsia="Calibri" w:hAnsi="Arial" w:cs="Arial"/>
          <w:lang w:val="es-ES"/>
        </w:rPr>
        <w:tab/>
        <w:t>Memoria descriptiva del terreno indicando la ubicación, el área, los linderos, las medidas perimétricas, la zonificación y las observaciones que se consideren pertinentes.</w:t>
      </w:r>
    </w:p>
    <w:p w:rsidR="000C2661" w:rsidRPr="000C2661" w:rsidRDefault="000C2661" w:rsidP="001F4F7F">
      <w:pPr>
        <w:spacing w:after="0" w:line="240" w:lineRule="auto"/>
        <w:ind w:left="1843" w:hanging="283"/>
        <w:contextualSpacing/>
        <w:jc w:val="both"/>
        <w:rPr>
          <w:rFonts w:ascii="Arial" w:eastAsia="Calibri" w:hAnsi="Arial" w:cs="Arial"/>
          <w:lang w:val="es-ES"/>
        </w:rPr>
      </w:pPr>
    </w:p>
    <w:p w:rsidR="000C2661" w:rsidRPr="000C2661" w:rsidRDefault="000C2661" w:rsidP="001F4F7F">
      <w:pPr>
        <w:spacing w:after="0" w:line="240" w:lineRule="auto"/>
        <w:ind w:left="1843" w:hanging="283"/>
        <w:contextualSpacing/>
        <w:jc w:val="both"/>
        <w:rPr>
          <w:rFonts w:ascii="Arial" w:eastAsia="Calibri" w:hAnsi="Arial" w:cs="Arial"/>
          <w:lang w:val="es-ES"/>
        </w:rPr>
      </w:pPr>
      <w:r w:rsidRPr="000C2661">
        <w:rPr>
          <w:rFonts w:ascii="Arial" w:eastAsia="Calibri" w:hAnsi="Arial" w:cs="Arial"/>
          <w:lang w:val="es-ES"/>
        </w:rPr>
        <w:t>e)</w:t>
      </w:r>
      <w:r w:rsidRPr="000C2661">
        <w:rPr>
          <w:rFonts w:ascii="Arial" w:eastAsia="Calibri" w:hAnsi="Arial" w:cs="Arial"/>
          <w:lang w:val="es-ES"/>
        </w:rPr>
        <w:tab/>
        <w:t>Documento de valor referencial.</w:t>
      </w:r>
    </w:p>
    <w:p w:rsidR="000C2661" w:rsidRPr="000C2661" w:rsidRDefault="000C2661" w:rsidP="001F4F7F">
      <w:pPr>
        <w:spacing w:after="0" w:line="240" w:lineRule="auto"/>
        <w:ind w:left="1843" w:hanging="283"/>
        <w:contextualSpacing/>
        <w:jc w:val="both"/>
        <w:rPr>
          <w:rFonts w:ascii="Arial" w:eastAsia="Calibri" w:hAnsi="Arial" w:cs="Arial"/>
          <w:lang w:val="es-ES"/>
        </w:rPr>
      </w:pPr>
    </w:p>
    <w:p w:rsidR="000C2661" w:rsidRPr="000C2661" w:rsidRDefault="000C2661" w:rsidP="001F4F7F">
      <w:pPr>
        <w:spacing w:after="0" w:line="240" w:lineRule="auto"/>
        <w:ind w:left="1843" w:hanging="283"/>
        <w:contextualSpacing/>
        <w:jc w:val="both"/>
        <w:rPr>
          <w:rFonts w:ascii="Arial" w:eastAsia="Calibri" w:hAnsi="Arial" w:cs="Arial"/>
          <w:lang w:val="es-ES"/>
        </w:rPr>
      </w:pPr>
      <w:r w:rsidRPr="000C2661">
        <w:rPr>
          <w:rFonts w:ascii="Arial" w:eastAsia="Calibri" w:hAnsi="Arial" w:cs="Arial"/>
          <w:lang w:val="es-ES"/>
        </w:rPr>
        <w:t>f)</w:t>
      </w:r>
      <w:r w:rsidRPr="000C2661">
        <w:rPr>
          <w:rFonts w:ascii="Arial" w:eastAsia="Calibri" w:hAnsi="Arial" w:cs="Arial"/>
          <w:lang w:val="es-ES"/>
        </w:rPr>
        <w:tab/>
        <w:t>Fotografías del predio.</w:t>
      </w:r>
    </w:p>
    <w:p w:rsidR="000C2661" w:rsidRPr="000C2661" w:rsidRDefault="000C2661" w:rsidP="001F4F7F">
      <w:pPr>
        <w:spacing w:after="0" w:line="240" w:lineRule="auto"/>
        <w:ind w:left="1843" w:hanging="283"/>
        <w:contextualSpacing/>
        <w:jc w:val="both"/>
        <w:rPr>
          <w:rFonts w:ascii="Arial" w:eastAsia="Calibri" w:hAnsi="Arial" w:cs="Arial"/>
          <w:lang w:val="es-ES"/>
        </w:rPr>
      </w:pPr>
    </w:p>
    <w:p w:rsidR="000C2661" w:rsidRPr="000C2661" w:rsidRDefault="000C2661" w:rsidP="001F4F7F">
      <w:pPr>
        <w:spacing w:after="0" w:line="240" w:lineRule="auto"/>
        <w:ind w:left="1843" w:hanging="283"/>
        <w:contextualSpacing/>
        <w:jc w:val="both"/>
        <w:rPr>
          <w:rFonts w:ascii="Arial" w:eastAsia="Calibri" w:hAnsi="Arial" w:cs="Arial"/>
          <w:lang w:val="es-ES"/>
        </w:rPr>
      </w:pPr>
      <w:r w:rsidRPr="000C2661">
        <w:rPr>
          <w:rFonts w:ascii="Arial" w:eastAsia="Calibri" w:hAnsi="Arial" w:cs="Arial"/>
          <w:lang w:val="es-ES"/>
        </w:rPr>
        <w:t>g)</w:t>
      </w:r>
      <w:r w:rsidRPr="000C2661">
        <w:rPr>
          <w:rFonts w:ascii="Arial" w:eastAsia="Calibri" w:hAnsi="Arial" w:cs="Arial"/>
          <w:lang w:val="es-ES"/>
        </w:rPr>
        <w:tab/>
        <w:t>En el caso que el predio se encuentre comprendido en algún proceso judicial, debe incluirse el memorando u otro documento de la Procuraduría Pública sobre la situación del mismo, adjuntándose copia de las principales piezas procesales.</w:t>
      </w:r>
    </w:p>
    <w:p w:rsidR="000C2661" w:rsidRPr="000C2661" w:rsidRDefault="000C2661" w:rsidP="001F4F7F">
      <w:pPr>
        <w:spacing w:after="0" w:line="240" w:lineRule="auto"/>
        <w:ind w:left="1843" w:hanging="283"/>
        <w:contextualSpacing/>
        <w:jc w:val="both"/>
        <w:rPr>
          <w:rFonts w:ascii="Arial" w:eastAsia="Calibri" w:hAnsi="Arial" w:cs="Arial"/>
          <w:lang w:val="es-ES"/>
        </w:rPr>
      </w:pPr>
    </w:p>
    <w:p w:rsidR="000C2661" w:rsidRPr="000C2661" w:rsidRDefault="000C2661" w:rsidP="001F4F7F">
      <w:pPr>
        <w:spacing w:after="0" w:line="240" w:lineRule="auto"/>
        <w:ind w:left="1843" w:hanging="283"/>
        <w:contextualSpacing/>
        <w:jc w:val="both"/>
        <w:rPr>
          <w:rFonts w:ascii="Arial" w:eastAsia="Calibri" w:hAnsi="Arial" w:cs="Arial"/>
          <w:lang w:val="es-ES"/>
        </w:rPr>
      </w:pPr>
      <w:r w:rsidRPr="000C2661">
        <w:rPr>
          <w:rFonts w:ascii="Arial" w:eastAsia="Calibri" w:hAnsi="Arial" w:cs="Arial"/>
          <w:lang w:val="es-ES"/>
        </w:rPr>
        <w:t>h)</w:t>
      </w:r>
      <w:r w:rsidRPr="000C2661">
        <w:rPr>
          <w:rFonts w:ascii="Arial" w:eastAsia="Calibri" w:hAnsi="Arial" w:cs="Arial"/>
          <w:lang w:val="es-ES"/>
        </w:rPr>
        <w:tab/>
        <w:t>El memorando u otro documento de conformidad para la venta, emitido por el Superintendente en los procedimientos a cargo de la SBN, o el memorando u otro documento de priorización del procedimiento de venta  emitido por el Titular de la entidad propietaria, en los procedimientos sustentados por aquella.</w:t>
      </w:r>
    </w:p>
    <w:p w:rsidR="000C2661" w:rsidRPr="000C2661" w:rsidRDefault="000C2661" w:rsidP="001F4F7F">
      <w:pPr>
        <w:spacing w:after="0" w:line="240" w:lineRule="auto"/>
        <w:ind w:left="1843" w:hanging="283"/>
        <w:contextualSpacing/>
        <w:jc w:val="both"/>
        <w:rPr>
          <w:rFonts w:ascii="Arial" w:eastAsia="Calibri" w:hAnsi="Arial" w:cs="Arial"/>
          <w:lang w:val="es-ES"/>
        </w:rPr>
      </w:pPr>
    </w:p>
    <w:p w:rsidR="000C2661" w:rsidRPr="000C2661" w:rsidRDefault="000C2661" w:rsidP="001F4F7F">
      <w:pPr>
        <w:spacing w:after="0" w:line="240" w:lineRule="auto"/>
        <w:ind w:left="1843" w:hanging="283"/>
        <w:contextualSpacing/>
        <w:jc w:val="both"/>
        <w:rPr>
          <w:rFonts w:ascii="Arial" w:eastAsia="Calibri" w:hAnsi="Arial" w:cs="Arial"/>
          <w:lang w:val="es-ES"/>
        </w:rPr>
      </w:pPr>
      <w:r w:rsidRPr="000C2661">
        <w:rPr>
          <w:rFonts w:ascii="Arial" w:eastAsia="Calibri" w:hAnsi="Arial" w:cs="Arial"/>
          <w:lang w:val="es-ES"/>
        </w:rPr>
        <w:t>i)</w:t>
      </w:r>
      <w:r w:rsidRPr="000C2661">
        <w:rPr>
          <w:rFonts w:ascii="Arial" w:eastAsia="Calibri" w:hAnsi="Arial" w:cs="Arial"/>
          <w:lang w:val="es-ES"/>
        </w:rPr>
        <w:tab/>
        <w:t>Tasación del predio elaborada de conformidad con el Reglamento Nacional de Tasaciones del Perú.</w:t>
      </w:r>
    </w:p>
    <w:p w:rsidR="000C2661" w:rsidRPr="000C2661" w:rsidRDefault="000C2661" w:rsidP="001F4F7F">
      <w:pPr>
        <w:spacing w:after="0" w:line="240" w:lineRule="auto"/>
        <w:ind w:left="1843" w:hanging="283"/>
        <w:contextualSpacing/>
        <w:jc w:val="both"/>
        <w:rPr>
          <w:rFonts w:ascii="Arial" w:eastAsia="Calibri" w:hAnsi="Arial" w:cs="Arial"/>
          <w:lang w:val="es-ES"/>
        </w:rPr>
      </w:pPr>
    </w:p>
    <w:p w:rsidR="000C2661" w:rsidRPr="000C2661" w:rsidRDefault="000C2661" w:rsidP="001F4F7F">
      <w:pPr>
        <w:spacing w:after="0" w:line="240" w:lineRule="auto"/>
        <w:ind w:left="1843" w:hanging="283"/>
        <w:contextualSpacing/>
        <w:jc w:val="both"/>
        <w:rPr>
          <w:rFonts w:ascii="Arial" w:eastAsia="Calibri" w:hAnsi="Arial" w:cs="Arial"/>
          <w:lang w:val="es-ES"/>
        </w:rPr>
      </w:pPr>
      <w:r w:rsidRPr="000C2661">
        <w:rPr>
          <w:rFonts w:ascii="Arial" w:eastAsia="Calibri" w:hAnsi="Arial" w:cs="Arial"/>
          <w:lang w:val="es-ES"/>
        </w:rPr>
        <w:t>j)</w:t>
      </w:r>
      <w:r w:rsidRPr="000C2661">
        <w:rPr>
          <w:rFonts w:ascii="Arial" w:eastAsia="Calibri" w:hAnsi="Arial" w:cs="Arial"/>
          <w:lang w:val="es-ES"/>
        </w:rPr>
        <w:tab/>
        <w:t>Informe Técnico-Legal de la SDDI, en los procedimientos a cargo de la SBN, o del área competente de la entidad propietaria, en los procedimientos sustentados por aquella.</w:t>
      </w:r>
    </w:p>
    <w:p w:rsidR="000C2661" w:rsidRPr="000C2661" w:rsidRDefault="000C2661" w:rsidP="001F4F7F">
      <w:pPr>
        <w:spacing w:after="0" w:line="240" w:lineRule="auto"/>
        <w:ind w:left="1843" w:hanging="283"/>
        <w:contextualSpacing/>
        <w:jc w:val="both"/>
        <w:rPr>
          <w:rFonts w:ascii="Arial" w:eastAsia="Calibri" w:hAnsi="Arial" w:cs="Arial"/>
          <w:lang w:val="es-ES"/>
        </w:rPr>
      </w:pPr>
    </w:p>
    <w:p w:rsidR="000C2661" w:rsidRPr="000C2661" w:rsidRDefault="000C2661" w:rsidP="001F4F7F">
      <w:pPr>
        <w:spacing w:after="0" w:line="240" w:lineRule="auto"/>
        <w:ind w:left="1843" w:hanging="283"/>
        <w:contextualSpacing/>
        <w:jc w:val="both"/>
        <w:rPr>
          <w:rFonts w:ascii="Arial" w:eastAsia="Calibri" w:hAnsi="Arial" w:cs="Arial"/>
          <w:lang w:val="es-ES"/>
        </w:rPr>
      </w:pPr>
      <w:r w:rsidRPr="000C2661">
        <w:rPr>
          <w:rFonts w:ascii="Arial" w:eastAsia="Calibri" w:hAnsi="Arial" w:cs="Arial"/>
          <w:lang w:val="es-ES"/>
        </w:rPr>
        <w:t>k)</w:t>
      </w:r>
      <w:r w:rsidRPr="000C2661">
        <w:rPr>
          <w:rFonts w:ascii="Arial" w:eastAsia="Calibri" w:hAnsi="Arial" w:cs="Arial"/>
          <w:lang w:val="es-ES"/>
        </w:rPr>
        <w:tab/>
        <w:t>Certificado de Zonificación y Vías o Certificado de Parámetros Urbanísticos, en caso que el predio se encuentre en zona urbana.</w:t>
      </w:r>
    </w:p>
    <w:p w:rsidR="000C2661" w:rsidRPr="000C2661" w:rsidRDefault="000C2661" w:rsidP="001F4F7F">
      <w:pPr>
        <w:spacing w:after="0" w:line="240" w:lineRule="auto"/>
        <w:ind w:left="1843" w:hanging="283"/>
        <w:contextualSpacing/>
        <w:jc w:val="both"/>
        <w:rPr>
          <w:rFonts w:ascii="Arial" w:eastAsia="Calibri" w:hAnsi="Arial" w:cs="Arial"/>
          <w:lang w:val="es-ES"/>
        </w:rPr>
      </w:pPr>
    </w:p>
    <w:p w:rsidR="000C2661" w:rsidRPr="000C2661" w:rsidRDefault="000C2661" w:rsidP="001F4F7F">
      <w:pPr>
        <w:spacing w:after="0" w:line="240" w:lineRule="auto"/>
        <w:ind w:left="1843" w:hanging="283"/>
        <w:contextualSpacing/>
        <w:jc w:val="both"/>
        <w:rPr>
          <w:rFonts w:ascii="Arial" w:eastAsia="Calibri" w:hAnsi="Arial" w:cs="Arial"/>
          <w:lang w:val="es-ES"/>
        </w:rPr>
      </w:pPr>
      <w:r w:rsidRPr="000C2661">
        <w:rPr>
          <w:rFonts w:ascii="Arial" w:eastAsia="Calibri" w:hAnsi="Arial" w:cs="Arial"/>
          <w:lang w:val="es-ES"/>
        </w:rPr>
        <w:t>l)</w:t>
      </w:r>
      <w:r w:rsidRPr="000C2661">
        <w:rPr>
          <w:rFonts w:ascii="Arial" w:eastAsia="Calibri" w:hAnsi="Arial" w:cs="Arial"/>
          <w:lang w:val="es-ES"/>
        </w:rPr>
        <w:tab/>
        <w:t>Otros documentos que sustenten la decisión de venta del predio.</w:t>
      </w:r>
    </w:p>
    <w:p w:rsidR="000C2661" w:rsidRPr="000C2661" w:rsidRDefault="000C2661" w:rsidP="001F4F7F">
      <w:pPr>
        <w:spacing w:after="0" w:line="240" w:lineRule="auto"/>
        <w:ind w:left="1276" w:hanging="283"/>
        <w:contextualSpacing/>
        <w:jc w:val="both"/>
        <w:rPr>
          <w:rFonts w:ascii="Arial" w:eastAsia="Calibri" w:hAnsi="Arial" w:cs="Arial"/>
          <w:lang w:val="es-ES"/>
        </w:rPr>
      </w:pPr>
    </w:p>
    <w:p w:rsidR="000C2661" w:rsidRPr="001F4F7F" w:rsidRDefault="000C2661" w:rsidP="001F4F7F">
      <w:pPr>
        <w:spacing w:after="0" w:line="240" w:lineRule="auto"/>
        <w:ind w:left="1701" w:hanging="708"/>
        <w:contextualSpacing/>
        <w:jc w:val="both"/>
        <w:rPr>
          <w:rFonts w:ascii="Arial" w:eastAsia="Calibri" w:hAnsi="Arial" w:cs="Arial"/>
          <w:b/>
          <w:lang w:val="es-ES"/>
        </w:rPr>
      </w:pPr>
      <w:r w:rsidRPr="001F4F7F">
        <w:rPr>
          <w:rFonts w:ascii="Arial" w:eastAsia="Calibri" w:hAnsi="Arial" w:cs="Arial"/>
          <w:b/>
          <w:lang w:val="es-ES"/>
        </w:rPr>
        <w:t xml:space="preserve">6.1.10 </w:t>
      </w:r>
      <w:r w:rsidRPr="001F4F7F">
        <w:rPr>
          <w:rFonts w:ascii="Arial" w:eastAsia="Calibri" w:hAnsi="Arial" w:cs="Arial"/>
          <w:b/>
          <w:lang w:val="es-ES"/>
        </w:rPr>
        <w:tab/>
        <w:t>De la sustentación por encargo</w:t>
      </w:r>
    </w:p>
    <w:p w:rsidR="000C2661" w:rsidRPr="000C2661" w:rsidRDefault="000C2661" w:rsidP="001F4F7F">
      <w:pPr>
        <w:spacing w:after="0" w:line="240" w:lineRule="auto"/>
        <w:ind w:left="1701" w:hanging="283"/>
        <w:contextualSpacing/>
        <w:jc w:val="both"/>
        <w:rPr>
          <w:rFonts w:ascii="Arial" w:eastAsia="Calibri" w:hAnsi="Arial" w:cs="Arial"/>
          <w:lang w:val="es-ES"/>
        </w:rPr>
      </w:pPr>
      <w:r w:rsidRPr="000C2661">
        <w:rPr>
          <w:rFonts w:ascii="Arial" w:eastAsia="Calibri" w:hAnsi="Arial" w:cs="Arial"/>
          <w:lang w:val="es-ES"/>
        </w:rPr>
        <w:tab/>
        <w:t>Las entidades que conforman el SNBE pueden encargar, vía Convenio, a la SBN la sustentación del expediente para la aprobación de la venta por subasta pública de sus predios.</w:t>
      </w:r>
    </w:p>
    <w:p w:rsidR="000C2661" w:rsidRPr="000C2661" w:rsidRDefault="000C2661" w:rsidP="001F4F7F">
      <w:pPr>
        <w:spacing w:after="0" w:line="240" w:lineRule="auto"/>
        <w:ind w:left="1701" w:hanging="283"/>
        <w:contextualSpacing/>
        <w:jc w:val="both"/>
        <w:rPr>
          <w:rFonts w:ascii="Arial" w:eastAsia="Calibri" w:hAnsi="Arial" w:cs="Arial"/>
          <w:lang w:val="es-ES"/>
        </w:rPr>
      </w:pPr>
    </w:p>
    <w:p w:rsidR="000C2661" w:rsidRPr="000C2661" w:rsidRDefault="000C2661" w:rsidP="001F4F7F">
      <w:pPr>
        <w:spacing w:after="0" w:line="240" w:lineRule="auto"/>
        <w:ind w:left="1701" w:hanging="283"/>
        <w:contextualSpacing/>
        <w:jc w:val="both"/>
        <w:rPr>
          <w:rFonts w:ascii="Arial" w:eastAsia="Calibri" w:hAnsi="Arial" w:cs="Arial"/>
          <w:lang w:val="es-ES"/>
        </w:rPr>
      </w:pPr>
      <w:r w:rsidRPr="000C2661">
        <w:rPr>
          <w:rFonts w:ascii="Arial" w:eastAsia="Calibri" w:hAnsi="Arial" w:cs="Arial"/>
          <w:lang w:val="es-ES"/>
        </w:rPr>
        <w:tab/>
        <w:t>El encargo termina cuando la SBN remite el expediente a la entidad, adjuntando un informe en el que, de ser el caso, se otorga la opinión técnica favorable respectiva. La aprobación de la venta por subasta del predio corresponde efectuarla a la propia entidad titular del bien.</w:t>
      </w:r>
    </w:p>
    <w:p w:rsidR="000C2661" w:rsidRPr="000C2661" w:rsidRDefault="000C2661" w:rsidP="001F4F7F">
      <w:pPr>
        <w:spacing w:after="0" w:line="240" w:lineRule="auto"/>
        <w:ind w:left="1276" w:hanging="283"/>
        <w:contextualSpacing/>
        <w:jc w:val="both"/>
        <w:rPr>
          <w:rFonts w:ascii="Arial" w:eastAsia="Calibri" w:hAnsi="Arial" w:cs="Arial"/>
          <w:lang w:val="es-ES"/>
        </w:rPr>
      </w:pPr>
    </w:p>
    <w:p w:rsidR="000C2661" w:rsidRPr="001F4F7F" w:rsidRDefault="000C2661" w:rsidP="001F4F7F">
      <w:pPr>
        <w:spacing w:after="0" w:line="240" w:lineRule="auto"/>
        <w:ind w:left="1701" w:hanging="708"/>
        <w:contextualSpacing/>
        <w:jc w:val="both"/>
        <w:rPr>
          <w:rFonts w:ascii="Arial" w:eastAsia="Calibri" w:hAnsi="Arial" w:cs="Arial"/>
          <w:b/>
          <w:lang w:val="es-ES"/>
        </w:rPr>
      </w:pPr>
      <w:r w:rsidRPr="001F4F7F">
        <w:rPr>
          <w:rFonts w:ascii="Arial" w:eastAsia="Calibri" w:hAnsi="Arial" w:cs="Arial"/>
          <w:b/>
          <w:lang w:val="es-ES"/>
        </w:rPr>
        <w:t xml:space="preserve">6.1.11 </w:t>
      </w:r>
      <w:r w:rsidRPr="001F4F7F">
        <w:rPr>
          <w:rFonts w:ascii="Arial" w:eastAsia="Calibri" w:hAnsi="Arial" w:cs="Arial"/>
          <w:b/>
          <w:lang w:val="es-ES"/>
        </w:rPr>
        <w:tab/>
        <w:t>Opinión técnica de la SBN en la venta por subasta pública tramitada por las demás entidades del Sistema</w:t>
      </w:r>
    </w:p>
    <w:p w:rsidR="000C2661" w:rsidRPr="000C2661" w:rsidRDefault="000C2661" w:rsidP="001F4F7F">
      <w:pPr>
        <w:spacing w:after="0" w:line="240" w:lineRule="auto"/>
        <w:ind w:left="1701" w:hanging="283"/>
        <w:contextualSpacing/>
        <w:jc w:val="both"/>
        <w:rPr>
          <w:rFonts w:ascii="Arial" w:eastAsia="Calibri" w:hAnsi="Arial" w:cs="Arial"/>
          <w:lang w:val="es-ES"/>
        </w:rPr>
      </w:pPr>
      <w:r w:rsidRPr="000C2661">
        <w:rPr>
          <w:rFonts w:ascii="Arial" w:eastAsia="Calibri" w:hAnsi="Arial" w:cs="Arial"/>
          <w:lang w:val="es-ES"/>
        </w:rPr>
        <w:tab/>
        <w:t>Para la opinión técnica de la SBN que corresponda efectuarse en el procedimiento de venta por subasta pública, conforme a los artículos 33° y 75° del Reglamento, las entidades públicas deben remitir copia certificada de los documentos indicados en el numeral 6.1.9 de la presente Directiva.</w:t>
      </w:r>
    </w:p>
    <w:p w:rsidR="000C2661" w:rsidRPr="000C2661" w:rsidRDefault="000C2661" w:rsidP="001F4F7F">
      <w:pPr>
        <w:spacing w:after="0" w:line="240" w:lineRule="auto"/>
        <w:ind w:left="1701" w:hanging="283"/>
        <w:contextualSpacing/>
        <w:jc w:val="both"/>
        <w:rPr>
          <w:rFonts w:ascii="Arial" w:eastAsia="Calibri" w:hAnsi="Arial" w:cs="Arial"/>
          <w:lang w:val="es-ES"/>
        </w:rPr>
      </w:pPr>
    </w:p>
    <w:p w:rsidR="000C2661" w:rsidRPr="000C2661" w:rsidRDefault="000C2661" w:rsidP="001F4F7F">
      <w:pPr>
        <w:spacing w:after="0" w:line="240" w:lineRule="auto"/>
        <w:ind w:left="1701" w:hanging="283"/>
        <w:contextualSpacing/>
        <w:jc w:val="both"/>
        <w:rPr>
          <w:rFonts w:ascii="Arial" w:eastAsia="Calibri" w:hAnsi="Arial" w:cs="Arial"/>
          <w:lang w:val="es-ES"/>
        </w:rPr>
      </w:pPr>
      <w:r w:rsidRPr="000C2661">
        <w:rPr>
          <w:rFonts w:ascii="Arial" w:eastAsia="Calibri" w:hAnsi="Arial" w:cs="Arial"/>
          <w:lang w:val="es-ES"/>
        </w:rPr>
        <w:tab/>
        <w:t>Recibida la solicitud, la SDDI procede a verificar la documentación presentada, pudiendo requerir a la entidad, vía oficio o correo electrónico, los documentos complementarios o la aclaración que estime necesaria.</w:t>
      </w:r>
    </w:p>
    <w:p w:rsidR="000C2661" w:rsidRPr="000C2661" w:rsidRDefault="000C2661" w:rsidP="001F4F7F">
      <w:pPr>
        <w:spacing w:after="0" w:line="240" w:lineRule="auto"/>
        <w:ind w:left="1701" w:hanging="283"/>
        <w:contextualSpacing/>
        <w:jc w:val="both"/>
        <w:rPr>
          <w:rFonts w:ascii="Arial" w:eastAsia="Calibri" w:hAnsi="Arial" w:cs="Arial"/>
          <w:lang w:val="es-ES"/>
        </w:rPr>
      </w:pPr>
    </w:p>
    <w:p w:rsidR="000C2661" w:rsidRPr="000C2661" w:rsidRDefault="000C2661" w:rsidP="001F4F7F">
      <w:pPr>
        <w:spacing w:after="0" w:line="240" w:lineRule="auto"/>
        <w:ind w:left="1701" w:hanging="283"/>
        <w:contextualSpacing/>
        <w:jc w:val="both"/>
        <w:rPr>
          <w:rFonts w:ascii="Arial" w:eastAsia="Calibri" w:hAnsi="Arial" w:cs="Arial"/>
          <w:lang w:val="es-ES"/>
        </w:rPr>
      </w:pPr>
      <w:r w:rsidRPr="000C2661">
        <w:rPr>
          <w:rFonts w:ascii="Arial" w:eastAsia="Calibri" w:hAnsi="Arial" w:cs="Arial"/>
          <w:lang w:val="es-ES"/>
        </w:rPr>
        <w:tab/>
        <w:t>El pronunciamiento de la SBN está referido al cumplimiento de los requisitos que exige el procedimiento de venta por subasta pública, siendo de exclusiva responsabilidad de la entidad pública que propone la venta, la veracidad de la documentación remitida, así como la aprobación de la valorización del predio.</w:t>
      </w:r>
    </w:p>
    <w:p w:rsidR="000C2661" w:rsidRPr="000C2661" w:rsidRDefault="000C2661" w:rsidP="001F4F7F">
      <w:pPr>
        <w:spacing w:after="0" w:line="240" w:lineRule="auto"/>
        <w:ind w:left="1701" w:hanging="283"/>
        <w:contextualSpacing/>
        <w:jc w:val="both"/>
        <w:rPr>
          <w:rFonts w:ascii="Arial" w:eastAsia="Calibri" w:hAnsi="Arial" w:cs="Arial"/>
          <w:lang w:val="es-ES"/>
        </w:rPr>
      </w:pPr>
    </w:p>
    <w:p w:rsidR="000C2661" w:rsidRPr="000C2661" w:rsidRDefault="000C2661" w:rsidP="001F4F7F">
      <w:pPr>
        <w:spacing w:after="0" w:line="240" w:lineRule="auto"/>
        <w:ind w:left="1701" w:hanging="283"/>
        <w:contextualSpacing/>
        <w:jc w:val="both"/>
        <w:rPr>
          <w:rFonts w:ascii="Arial" w:eastAsia="Calibri" w:hAnsi="Arial" w:cs="Arial"/>
          <w:lang w:val="es-ES"/>
        </w:rPr>
      </w:pPr>
      <w:r w:rsidRPr="000C2661">
        <w:rPr>
          <w:rFonts w:ascii="Arial" w:eastAsia="Calibri" w:hAnsi="Arial" w:cs="Arial"/>
          <w:lang w:val="es-ES"/>
        </w:rPr>
        <w:tab/>
        <w:t>La opinión técnica debe ser emitida en un plazo no mayor de treinta (30) días hábiles de recibida la solicitud o efectuada la subsanación de la misma.</w:t>
      </w:r>
    </w:p>
    <w:p w:rsidR="000C2661" w:rsidRPr="000C2661" w:rsidRDefault="000C2661" w:rsidP="001F4F7F">
      <w:pPr>
        <w:spacing w:after="0" w:line="240" w:lineRule="auto"/>
        <w:ind w:left="1276" w:hanging="283"/>
        <w:contextualSpacing/>
        <w:jc w:val="both"/>
        <w:rPr>
          <w:rFonts w:ascii="Arial" w:eastAsia="Calibri" w:hAnsi="Arial" w:cs="Arial"/>
          <w:lang w:val="es-ES"/>
        </w:rPr>
      </w:pPr>
    </w:p>
    <w:p w:rsidR="000C2661" w:rsidRPr="001F4F7F" w:rsidRDefault="000C2661" w:rsidP="001F4F7F">
      <w:pPr>
        <w:spacing w:after="0" w:line="240" w:lineRule="auto"/>
        <w:ind w:left="1701" w:hanging="708"/>
        <w:contextualSpacing/>
        <w:jc w:val="both"/>
        <w:rPr>
          <w:rFonts w:ascii="Arial" w:eastAsia="Calibri" w:hAnsi="Arial" w:cs="Arial"/>
          <w:b/>
          <w:lang w:val="es-ES"/>
        </w:rPr>
      </w:pPr>
      <w:r w:rsidRPr="001F4F7F">
        <w:rPr>
          <w:rFonts w:ascii="Arial" w:eastAsia="Calibri" w:hAnsi="Arial" w:cs="Arial"/>
          <w:b/>
          <w:lang w:val="es-ES"/>
        </w:rPr>
        <w:t xml:space="preserve">6.1.12 </w:t>
      </w:r>
      <w:r w:rsidRPr="001F4F7F">
        <w:rPr>
          <w:rFonts w:ascii="Arial" w:eastAsia="Calibri" w:hAnsi="Arial" w:cs="Arial"/>
          <w:b/>
          <w:lang w:val="es-ES"/>
        </w:rPr>
        <w:tab/>
        <w:t>De la autorización a las entidades para la ejecución de subastas</w:t>
      </w:r>
    </w:p>
    <w:p w:rsidR="000C2661" w:rsidRPr="000C2661" w:rsidRDefault="000C2661" w:rsidP="001F4F7F">
      <w:pPr>
        <w:spacing w:after="0" w:line="240" w:lineRule="auto"/>
        <w:ind w:left="1701" w:hanging="283"/>
        <w:contextualSpacing/>
        <w:jc w:val="both"/>
        <w:rPr>
          <w:rFonts w:ascii="Arial" w:eastAsia="Calibri" w:hAnsi="Arial" w:cs="Arial"/>
          <w:lang w:val="es-ES"/>
        </w:rPr>
      </w:pPr>
      <w:r w:rsidRPr="000C2661">
        <w:rPr>
          <w:rFonts w:ascii="Arial" w:eastAsia="Calibri" w:hAnsi="Arial" w:cs="Arial"/>
          <w:lang w:val="es-ES"/>
        </w:rPr>
        <w:tab/>
        <w:t>Al emitir la opinión técnica, la SBN puede autorizar, excepcionalmente, que la subasta pública sea ejecutada por la entidad propietaria del predio, Para este efecto debe tenerse en cuenta la experiencia y capacitación del personal profesional que se encargará de ejecutar dicha subasta.</w:t>
      </w:r>
    </w:p>
    <w:p w:rsidR="000C2661" w:rsidRPr="000C2661" w:rsidRDefault="000C2661" w:rsidP="001F4F7F">
      <w:pPr>
        <w:spacing w:after="0" w:line="240" w:lineRule="auto"/>
        <w:ind w:left="1276" w:hanging="283"/>
        <w:contextualSpacing/>
        <w:jc w:val="both"/>
        <w:rPr>
          <w:rFonts w:ascii="Arial" w:eastAsia="Calibri" w:hAnsi="Arial" w:cs="Arial"/>
          <w:lang w:val="es-ES"/>
        </w:rPr>
      </w:pPr>
    </w:p>
    <w:p w:rsidR="000C2661" w:rsidRPr="001F4F7F" w:rsidRDefault="000C2661" w:rsidP="001F4F7F">
      <w:pPr>
        <w:spacing w:after="0" w:line="240" w:lineRule="auto"/>
        <w:ind w:left="1701" w:hanging="708"/>
        <w:contextualSpacing/>
        <w:jc w:val="both"/>
        <w:rPr>
          <w:rFonts w:ascii="Arial" w:eastAsia="Calibri" w:hAnsi="Arial" w:cs="Arial"/>
          <w:b/>
          <w:lang w:val="es-ES"/>
        </w:rPr>
      </w:pPr>
      <w:r w:rsidRPr="001F4F7F">
        <w:rPr>
          <w:rFonts w:ascii="Arial" w:eastAsia="Calibri" w:hAnsi="Arial" w:cs="Arial"/>
          <w:b/>
          <w:lang w:val="es-ES"/>
        </w:rPr>
        <w:t xml:space="preserve">6.1.13 </w:t>
      </w:r>
      <w:r w:rsidRPr="001F4F7F">
        <w:rPr>
          <w:rFonts w:ascii="Arial" w:eastAsia="Calibri" w:hAnsi="Arial" w:cs="Arial"/>
          <w:b/>
          <w:lang w:val="es-ES"/>
        </w:rPr>
        <w:tab/>
        <w:t>Expedición de la Resolución</w:t>
      </w:r>
    </w:p>
    <w:p w:rsidR="000C2661" w:rsidRPr="000C2661" w:rsidRDefault="000C2661" w:rsidP="001F4F7F">
      <w:pPr>
        <w:spacing w:after="0" w:line="240" w:lineRule="auto"/>
        <w:ind w:left="1701" w:hanging="283"/>
        <w:contextualSpacing/>
        <w:jc w:val="both"/>
        <w:rPr>
          <w:rFonts w:ascii="Arial" w:eastAsia="Calibri" w:hAnsi="Arial" w:cs="Arial"/>
          <w:lang w:val="es-ES"/>
        </w:rPr>
      </w:pPr>
      <w:r w:rsidRPr="000C2661">
        <w:rPr>
          <w:rFonts w:ascii="Arial" w:eastAsia="Calibri" w:hAnsi="Arial" w:cs="Arial"/>
          <w:lang w:val="es-ES"/>
        </w:rPr>
        <w:tab/>
        <w:t>La venta de predios de propiedad de las entidades públicas es aprobada por resolución del Titular del Pliego de la propia entidad, conforme al numeral 75.1 del artículo 75° del Reglamento, previa opinión técnica de la SBN.</w:t>
      </w:r>
    </w:p>
    <w:p w:rsidR="000C2661" w:rsidRPr="000C2661" w:rsidRDefault="000C2661" w:rsidP="001F4F7F">
      <w:pPr>
        <w:spacing w:after="0" w:line="240" w:lineRule="auto"/>
        <w:ind w:left="1701" w:hanging="283"/>
        <w:contextualSpacing/>
        <w:jc w:val="both"/>
        <w:rPr>
          <w:rFonts w:ascii="Arial" w:eastAsia="Calibri" w:hAnsi="Arial" w:cs="Arial"/>
          <w:lang w:val="es-ES"/>
        </w:rPr>
      </w:pPr>
    </w:p>
    <w:p w:rsidR="000C2661" w:rsidRPr="000C2661" w:rsidRDefault="000C2661" w:rsidP="001F4F7F">
      <w:pPr>
        <w:spacing w:after="0" w:line="240" w:lineRule="auto"/>
        <w:ind w:left="1701" w:hanging="283"/>
        <w:contextualSpacing/>
        <w:jc w:val="both"/>
        <w:rPr>
          <w:rFonts w:ascii="Arial" w:eastAsia="Calibri" w:hAnsi="Arial" w:cs="Arial"/>
          <w:lang w:val="es-ES"/>
        </w:rPr>
      </w:pPr>
      <w:r w:rsidRPr="000C2661">
        <w:rPr>
          <w:rFonts w:ascii="Arial" w:eastAsia="Calibri" w:hAnsi="Arial" w:cs="Arial"/>
          <w:lang w:val="es-ES"/>
        </w:rPr>
        <w:tab/>
        <w:t>La venta de predios de propiedad del Estado que se encuentran bajo competencia de los Gobiernos Regionales, por la transferencia de funciones a que se refiere el artículo 62° de la Ley Nº 27867, Ley Orgánica de Gobiernos Regionales, es aprobada por resolución del Titular del Pliego del respectivo Gobierno Regional, conforme al numeral 75.1 del artículo 75° del Reglamento, previa opinión técnica de la SBN.</w:t>
      </w:r>
    </w:p>
    <w:p w:rsidR="000C2661" w:rsidRPr="000C2661" w:rsidRDefault="000C2661" w:rsidP="001F4F7F">
      <w:pPr>
        <w:spacing w:after="0" w:line="240" w:lineRule="auto"/>
        <w:ind w:left="1701" w:hanging="283"/>
        <w:contextualSpacing/>
        <w:jc w:val="both"/>
        <w:rPr>
          <w:rFonts w:ascii="Arial" w:eastAsia="Calibri" w:hAnsi="Arial" w:cs="Arial"/>
          <w:lang w:val="es-ES"/>
        </w:rPr>
      </w:pPr>
    </w:p>
    <w:p w:rsidR="000C2661" w:rsidRPr="000C2661" w:rsidRDefault="000C2661" w:rsidP="001F4F7F">
      <w:pPr>
        <w:spacing w:after="0" w:line="240" w:lineRule="auto"/>
        <w:ind w:left="1701" w:hanging="283"/>
        <w:contextualSpacing/>
        <w:jc w:val="both"/>
        <w:rPr>
          <w:rFonts w:ascii="Arial" w:eastAsia="Calibri" w:hAnsi="Arial" w:cs="Arial"/>
          <w:lang w:val="es-ES"/>
        </w:rPr>
      </w:pPr>
      <w:r w:rsidRPr="000C2661">
        <w:rPr>
          <w:rFonts w:ascii="Arial" w:eastAsia="Calibri" w:hAnsi="Arial" w:cs="Arial"/>
          <w:lang w:val="es-ES"/>
        </w:rPr>
        <w:tab/>
        <w:t>La venta por subasta pública de los predios del Estado, tramitada y sustentada por la SBN, es aprobada por resolución de la SDDI, debiendo contar con la conformidad del Superintendente respecto a la decisión de vender el predio, conforme a lo establecido en el numeral 6.1.2 de la presente Directiva. Dicha resolución no requiere publicación.</w:t>
      </w:r>
    </w:p>
    <w:p w:rsidR="000C2661" w:rsidRPr="000C2661" w:rsidRDefault="000C2661" w:rsidP="001F4F7F">
      <w:pPr>
        <w:spacing w:after="0" w:line="240" w:lineRule="auto"/>
        <w:ind w:left="1276" w:hanging="283"/>
        <w:contextualSpacing/>
        <w:jc w:val="both"/>
        <w:rPr>
          <w:rFonts w:ascii="Arial" w:eastAsia="Calibri" w:hAnsi="Arial" w:cs="Arial"/>
          <w:lang w:val="es-ES"/>
        </w:rPr>
      </w:pPr>
    </w:p>
    <w:p w:rsidR="000C2661" w:rsidRPr="001F4F7F" w:rsidRDefault="000C2661" w:rsidP="001F4F7F">
      <w:pPr>
        <w:spacing w:after="0" w:line="240" w:lineRule="auto"/>
        <w:ind w:left="1701" w:hanging="708"/>
        <w:contextualSpacing/>
        <w:jc w:val="both"/>
        <w:rPr>
          <w:rFonts w:ascii="Arial" w:eastAsia="Calibri" w:hAnsi="Arial" w:cs="Arial"/>
          <w:b/>
          <w:lang w:val="es-ES"/>
        </w:rPr>
      </w:pPr>
      <w:r w:rsidRPr="001F4F7F">
        <w:rPr>
          <w:rFonts w:ascii="Arial" w:eastAsia="Calibri" w:hAnsi="Arial" w:cs="Arial"/>
          <w:b/>
          <w:lang w:val="es-ES"/>
        </w:rPr>
        <w:t xml:space="preserve">6.1.14 </w:t>
      </w:r>
      <w:r w:rsidRPr="001F4F7F">
        <w:rPr>
          <w:rFonts w:ascii="Arial" w:eastAsia="Calibri" w:hAnsi="Arial" w:cs="Arial"/>
          <w:b/>
          <w:lang w:val="es-ES"/>
        </w:rPr>
        <w:tab/>
        <w:t>De la autorización de venta por la SBN de predios ubicados en zona de dominio restringido</w:t>
      </w:r>
    </w:p>
    <w:p w:rsidR="000C2661" w:rsidRPr="000C2661" w:rsidRDefault="000C2661" w:rsidP="001F4F7F">
      <w:pPr>
        <w:spacing w:after="0" w:line="240" w:lineRule="auto"/>
        <w:ind w:left="1701" w:hanging="283"/>
        <w:contextualSpacing/>
        <w:jc w:val="both"/>
        <w:rPr>
          <w:rFonts w:ascii="Arial" w:eastAsia="Calibri" w:hAnsi="Arial" w:cs="Arial"/>
          <w:lang w:val="es-ES"/>
        </w:rPr>
      </w:pPr>
      <w:r w:rsidRPr="000C2661">
        <w:rPr>
          <w:rFonts w:ascii="Arial" w:eastAsia="Calibri" w:hAnsi="Arial" w:cs="Arial"/>
          <w:lang w:val="es-ES"/>
        </w:rPr>
        <w:tab/>
        <w:t>Si el predio se ubica en zona de dominio restringido, y de la documentación evaluada se desprende que su disposición no afectará planes viales y otros aspectos que regula la Ley Nº 26856 y su Reglamento, aprobado por el Decreto Supremo Nº 050-2006-EF, la desafectación administrativa que se proponga para su venta por subasta pública será únicamente para los fines que establece el artículo 18° del citado Reglamento.</w:t>
      </w:r>
    </w:p>
    <w:p w:rsidR="000C2661" w:rsidRPr="000C2661" w:rsidRDefault="000C2661" w:rsidP="001F4F7F">
      <w:pPr>
        <w:spacing w:after="0" w:line="240" w:lineRule="auto"/>
        <w:ind w:left="1701" w:hanging="283"/>
        <w:contextualSpacing/>
        <w:jc w:val="both"/>
        <w:rPr>
          <w:rFonts w:ascii="Arial" w:eastAsia="Calibri" w:hAnsi="Arial" w:cs="Arial"/>
          <w:lang w:val="es-ES"/>
        </w:rPr>
      </w:pPr>
    </w:p>
    <w:p w:rsidR="000C2661" w:rsidRPr="000C2661" w:rsidRDefault="000C2661" w:rsidP="001F4F7F">
      <w:pPr>
        <w:spacing w:after="0" w:line="240" w:lineRule="auto"/>
        <w:ind w:left="1701" w:hanging="283"/>
        <w:contextualSpacing/>
        <w:jc w:val="both"/>
        <w:rPr>
          <w:rFonts w:ascii="Arial" w:eastAsia="Calibri" w:hAnsi="Arial" w:cs="Arial"/>
          <w:lang w:val="es-ES"/>
        </w:rPr>
      </w:pPr>
      <w:r w:rsidRPr="000C2661">
        <w:rPr>
          <w:rFonts w:ascii="Arial" w:eastAsia="Calibri" w:hAnsi="Arial" w:cs="Arial"/>
          <w:lang w:val="es-ES"/>
        </w:rPr>
        <w:tab/>
        <w:t>La misma Resolución de la SDDI que aprueba la desafectación y autoriza la venta, debe prever la sanción de reversión al dominio del Estado y su reincorporación a la zona de dominio restringido, en caso que no se concrete la venta o, si luego de vendido el bien, el comprador varíe o incumpla con la finalidad para la cual se transfirió dicho predio, conforme al artículo 18° del Reglamento de la Ley Nº 26856, aprobado por el Decreto Supremo Nº 050-2006-EF, sin obligación de reembolso alguno a favor del adjudicatario por alguna mejora o pago que hubiere efectuado.</w:t>
      </w:r>
    </w:p>
    <w:p w:rsidR="000C2661" w:rsidRPr="000C2661" w:rsidRDefault="000C2661" w:rsidP="001F4F7F">
      <w:pPr>
        <w:spacing w:after="0" w:line="240" w:lineRule="auto"/>
        <w:ind w:left="1701" w:hanging="283"/>
        <w:contextualSpacing/>
        <w:jc w:val="both"/>
        <w:rPr>
          <w:rFonts w:ascii="Arial" w:eastAsia="Calibri" w:hAnsi="Arial" w:cs="Arial"/>
          <w:lang w:val="es-ES"/>
        </w:rPr>
      </w:pPr>
    </w:p>
    <w:p w:rsidR="000C2661" w:rsidRPr="000C2661" w:rsidRDefault="000C2661" w:rsidP="001F4F7F">
      <w:pPr>
        <w:spacing w:after="0" w:line="240" w:lineRule="auto"/>
        <w:ind w:left="1701" w:hanging="283"/>
        <w:contextualSpacing/>
        <w:jc w:val="both"/>
        <w:rPr>
          <w:rFonts w:ascii="Arial" w:eastAsia="Calibri" w:hAnsi="Arial" w:cs="Arial"/>
          <w:lang w:val="es-ES"/>
        </w:rPr>
      </w:pPr>
      <w:r w:rsidRPr="000C2661">
        <w:rPr>
          <w:rFonts w:ascii="Arial" w:eastAsia="Calibri" w:hAnsi="Arial" w:cs="Arial"/>
          <w:lang w:val="es-ES"/>
        </w:rPr>
        <w:tab/>
        <w:t>La resolución que aprueba la desafectación del área ubicada en la Zona de Dominio Restringido y la aprobación de su venta vía subasta pública, debe ser publicada en el Diario Oficial “El Peruano”.</w:t>
      </w:r>
    </w:p>
    <w:p w:rsidR="000C2661" w:rsidRPr="000C2661" w:rsidRDefault="000C2661" w:rsidP="001F4F7F">
      <w:pPr>
        <w:spacing w:after="0" w:line="240" w:lineRule="auto"/>
        <w:ind w:left="1276" w:hanging="283"/>
        <w:contextualSpacing/>
        <w:jc w:val="both"/>
        <w:rPr>
          <w:rFonts w:ascii="Arial" w:eastAsia="Calibri" w:hAnsi="Arial" w:cs="Arial"/>
          <w:lang w:val="es-ES"/>
        </w:rPr>
      </w:pPr>
    </w:p>
    <w:p w:rsidR="000C2661" w:rsidRPr="001F4F7F" w:rsidRDefault="000C2661" w:rsidP="001F4F7F">
      <w:pPr>
        <w:spacing w:after="0" w:line="240" w:lineRule="auto"/>
        <w:ind w:left="1701" w:hanging="708"/>
        <w:contextualSpacing/>
        <w:jc w:val="both"/>
        <w:rPr>
          <w:rFonts w:ascii="Arial" w:eastAsia="Calibri" w:hAnsi="Arial" w:cs="Arial"/>
          <w:b/>
          <w:lang w:val="es-ES"/>
        </w:rPr>
      </w:pPr>
      <w:r w:rsidRPr="001F4F7F">
        <w:rPr>
          <w:rFonts w:ascii="Arial" w:eastAsia="Calibri" w:hAnsi="Arial" w:cs="Arial"/>
          <w:b/>
          <w:lang w:val="es-ES"/>
        </w:rPr>
        <w:t xml:space="preserve">6.1.15 </w:t>
      </w:r>
      <w:r w:rsidRPr="001F4F7F">
        <w:rPr>
          <w:rFonts w:ascii="Arial" w:eastAsia="Calibri" w:hAnsi="Arial" w:cs="Arial"/>
          <w:b/>
          <w:lang w:val="es-ES"/>
        </w:rPr>
        <w:tab/>
        <w:t>De la actualización en el SINABIP</w:t>
      </w:r>
    </w:p>
    <w:p w:rsidR="000C2661" w:rsidRPr="000C2661" w:rsidRDefault="000C2661" w:rsidP="001F4F7F">
      <w:pPr>
        <w:spacing w:after="0" w:line="240" w:lineRule="auto"/>
        <w:ind w:left="1701" w:hanging="283"/>
        <w:contextualSpacing/>
        <w:jc w:val="both"/>
        <w:rPr>
          <w:rFonts w:ascii="Arial" w:eastAsia="Calibri" w:hAnsi="Arial" w:cs="Arial"/>
          <w:lang w:val="es-ES"/>
        </w:rPr>
      </w:pPr>
      <w:r w:rsidRPr="000C2661">
        <w:rPr>
          <w:rFonts w:ascii="Arial" w:eastAsia="Calibri" w:hAnsi="Arial" w:cs="Arial"/>
          <w:lang w:val="es-ES"/>
        </w:rPr>
        <w:tab/>
        <w:t>La Resolución que aprueba la venta por subasta pública es anotada en el SINABIP, luego de lo cual se prosigue con la ejecución de la subasta pública.</w:t>
      </w:r>
    </w:p>
    <w:p w:rsidR="000C2661" w:rsidRPr="000C2661" w:rsidRDefault="000C2661" w:rsidP="001F4F7F">
      <w:pPr>
        <w:spacing w:after="0" w:line="240" w:lineRule="auto"/>
        <w:ind w:left="1276" w:hanging="283"/>
        <w:contextualSpacing/>
        <w:jc w:val="both"/>
        <w:rPr>
          <w:rFonts w:ascii="Arial" w:eastAsia="Calibri" w:hAnsi="Arial" w:cs="Arial"/>
          <w:lang w:val="es-ES"/>
        </w:rPr>
      </w:pPr>
    </w:p>
    <w:p w:rsidR="000C2661" w:rsidRPr="001F4F7F" w:rsidRDefault="000C2661" w:rsidP="001F4F7F">
      <w:pPr>
        <w:spacing w:after="0" w:line="240" w:lineRule="auto"/>
        <w:ind w:left="1701" w:hanging="708"/>
        <w:contextualSpacing/>
        <w:jc w:val="both"/>
        <w:rPr>
          <w:rFonts w:ascii="Arial" w:eastAsia="Calibri" w:hAnsi="Arial" w:cs="Arial"/>
          <w:b/>
          <w:lang w:val="es-ES"/>
        </w:rPr>
      </w:pPr>
      <w:r w:rsidRPr="001F4F7F">
        <w:rPr>
          <w:rFonts w:ascii="Arial" w:eastAsia="Calibri" w:hAnsi="Arial" w:cs="Arial"/>
          <w:b/>
          <w:lang w:val="es-ES"/>
        </w:rPr>
        <w:t xml:space="preserve">6.1.16 </w:t>
      </w:r>
      <w:r w:rsidRPr="001F4F7F">
        <w:rPr>
          <w:rFonts w:ascii="Arial" w:eastAsia="Calibri" w:hAnsi="Arial" w:cs="Arial"/>
          <w:b/>
          <w:lang w:val="es-ES"/>
        </w:rPr>
        <w:tab/>
        <w:t>De la remisión de la resolución de venta emitida por las entidades públicas</w:t>
      </w:r>
    </w:p>
    <w:p w:rsidR="000C2661" w:rsidRPr="000C2661" w:rsidRDefault="000C2661" w:rsidP="001F4F7F">
      <w:pPr>
        <w:spacing w:after="0" w:line="240" w:lineRule="auto"/>
        <w:ind w:left="1701" w:hanging="283"/>
        <w:contextualSpacing/>
        <w:jc w:val="both"/>
        <w:rPr>
          <w:rFonts w:ascii="Arial" w:eastAsia="Calibri" w:hAnsi="Arial" w:cs="Arial"/>
          <w:lang w:val="es-ES"/>
        </w:rPr>
      </w:pPr>
      <w:r w:rsidRPr="000C2661">
        <w:rPr>
          <w:rFonts w:ascii="Arial" w:eastAsia="Calibri" w:hAnsi="Arial" w:cs="Arial"/>
          <w:lang w:val="es-ES"/>
        </w:rPr>
        <w:t>Las entidades públicas que no tengan competencia para ejecutar la subasta pública de sus predios, una vez emitida la resolución aprobando la venta, deben comunicar a la SBN para que proceda ejecutar la subasta, conforme al artículo 76° del Reglamento.</w:t>
      </w:r>
    </w:p>
    <w:p w:rsidR="000C2661" w:rsidRPr="000C2661" w:rsidRDefault="000C2661" w:rsidP="001F4F7F">
      <w:pPr>
        <w:spacing w:after="0" w:line="240" w:lineRule="auto"/>
        <w:ind w:left="1701" w:hanging="283"/>
        <w:contextualSpacing/>
        <w:jc w:val="both"/>
        <w:rPr>
          <w:rFonts w:ascii="Arial" w:eastAsia="Calibri" w:hAnsi="Arial" w:cs="Arial"/>
          <w:lang w:val="es-ES"/>
        </w:rPr>
      </w:pPr>
    </w:p>
    <w:p w:rsidR="000C2661" w:rsidRPr="000C2661" w:rsidRDefault="000C2661" w:rsidP="001F4F7F">
      <w:pPr>
        <w:spacing w:after="0" w:line="240" w:lineRule="auto"/>
        <w:ind w:left="1701" w:hanging="283"/>
        <w:contextualSpacing/>
        <w:jc w:val="both"/>
        <w:rPr>
          <w:rFonts w:ascii="Arial" w:eastAsia="Calibri" w:hAnsi="Arial" w:cs="Arial"/>
          <w:lang w:val="es-ES"/>
        </w:rPr>
      </w:pPr>
      <w:r w:rsidRPr="000C2661">
        <w:rPr>
          <w:rFonts w:ascii="Arial" w:eastAsia="Calibri" w:hAnsi="Arial" w:cs="Arial"/>
          <w:lang w:val="es-ES"/>
        </w:rPr>
        <w:tab/>
        <w:t>En caso que, luego de emitida la opinión favorable por la SBN, en el curso del mismo procedimiento, se hubiese actualizado la tasación del predio o hubiere variado la situación del proceso judicial que afecte al predio, debe remitirse también dicha documentación a la SBN.</w:t>
      </w:r>
    </w:p>
    <w:p w:rsidR="000C2661" w:rsidRPr="000C2661" w:rsidRDefault="000C2661" w:rsidP="001F4F7F">
      <w:pPr>
        <w:spacing w:after="0" w:line="240" w:lineRule="auto"/>
        <w:ind w:left="1701" w:hanging="283"/>
        <w:contextualSpacing/>
        <w:jc w:val="both"/>
        <w:rPr>
          <w:rFonts w:ascii="Arial" w:eastAsia="Calibri" w:hAnsi="Arial" w:cs="Arial"/>
          <w:lang w:val="es-ES"/>
        </w:rPr>
      </w:pPr>
    </w:p>
    <w:p w:rsidR="000C2661" w:rsidRPr="000C2661" w:rsidRDefault="000C2661" w:rsidP="001F4F7F">
      <w:pPr>
        <w:spacing w:after="0" w:line="240" w:lineRule="auto"/>
        <w:ind w:left="1701" w:hanging="283"/>
        <w:contextualSpacing/>
        <w:jc w:val="both"/>
        <w:rPr>
          <w:rFonts w:ascii="Arial" w:eastAsia="Calibri" w:hAnsi="Arial" w:cs="Arial"/>
          <w:lang w:val="es-ES"/>
        </w:rPr>
      </w:pPr>
      <w:r w:rsidRPr="000C2661">
        <w:rPr>
          <w:rFonts w:ascii="Arial" w:eastAsia="Calibri" w:hAnsi="Arial" w:cs="Arial"/>
          <w:lang w:val="es-ES"/>
        </w:rPr>
        <w:tab/>
        <w:t>Asimismo, debe adjuntarse una liquidación de los gastos operativos y administrativos en los que haya incurrido la entidad hasta ese momento.</w:t>
      </w:r>
    </w:p>
    <w:p w:rsidR="000C2661" w:rsidRPr="000C2661" w:rsidRDefault="000C2661" w:rsidP="000C2661">
      <w:pPr>
        <w:spacing w:after="0" w:line="240" w:lineRule="auto"/>
        <w:contextualSpacing/>
        <w:jc w:val="both"/>
        <w:rPr>
          <w:rFonts w:ascii="Arial" w:eastAsia="Calibri" w:hAnsi="Arial" w:cs="Arial"/>
          <w:lang w:val="es-ES"/>
        </w:rPr>
      </w:pPr>
    </w:p>
    <w:p w:rsidR="000C2661" w:rsidRPr="001F4F7F" w:rsidRDefault="000C2661" w:rsidP="001F4F7F">
      <w:pPr>
        <w:spacing w:after="0" w:line="240" w:lineRule="auto"/>
        <w:ind w:left="851" w:hanging="425"/>
        <w:contextualSpacing/>
        <w:jc w:val="both"/>
        <w:rPr>
          <w:rFonts w:ascii="Arial" w:eastAsia="Calibri" w:hAnsi="Arial" w:cs="Arial"/>
          <w:b/>
          <w:lang w:val="es-ES"/>
        </w:rPr>
      </w:pPr>
      <w:r w:rsidRPr="001F4F7F">
        <w:rPr>
          <w:rFonts w:ascii="Arial" w:eastAsia="Calibri" w:hAnsi="Arial" w:cs="Arial"/>
          <w:b/>
          <w:lang w:val="es-ES"/>
        </w:rPr>
        <w:t xml:space="preserve">6.2 </w:t>
      </w:r>
      <w:r w:rsidRPr="001F4F7F">
        <w:rPr>
          <w:rFonts w:ascii="Arial" w:eastAsia="Calibri" w:hAnsi="Arial" w:cs="Arial"/>
          <w:b/>
          <w:lang w:val="es-ES"/>
        </w:rPr>
        <w:tab/>
        <w:t>Ejecución de la Subasta Pública</w:t>
      </w:r>
    </w:p>
    <w:p w:rsidR="000C2661" w:rsidRPr="000C2661" w:rsidRDefault="000C2661" w:rsidP="000C2661">
      <w:pPr>
        <w:spacing w:after="0" w:line="240" w:lineRule="auto"/>
        <w:contextualSpacing/>
        <w:jc w:val="both"/>
        <w:rPr>
          <w:rFonts w:ascii="Arial" w:eastAsia="Calibri" w:hAnsi="Arial" w:cs="Arial"/>
          <w:lang w:val="es-ES"/>
        </w:rPr>
      </w:pPr>
    </w:p>
    <w:p w:rsidR="000C2661" w:rsidRPr="001F4F7F" w:rsidRDefault="000C2661" w:rsidP="001F4F7F">
      <w:pPr>
        <w:spacing w:after="0" w:line="240" w:lineRule="auto"/>
        <w:ind w:left="1418" w:hanging="567"/>
        <w:contextualSpacing/>
        <w:jc w:val="both"/>
        <w:rPr>
          <w:rFonts w:ascii="Arial" w:eastAsia="Calibri" w:hAnsi="Arial" w:cs="Arial"/>
          <w:b/>
          <w:lang w:val="es-ES"/>
        </w:rPr>
      </w:pPr>
      <w:r w:rsidRPr="001F4F7F">
        <w:rPr>
          <w:rFonts w:ascii="Arial" w:eastAsia="Calibri" w:hAnsi="Arial" w:cs="Arial"/>
          <w:b/>
          <w:lang w:val="es-ES"/>
        </w:rPr>
        <w:t xml:space="preserve">6.2.1 </w:t>
      </w:r>
      <w:r w:rsidRPr="001F4F7F">
        <w:rPr>
          <w:rFonts w:ascii="Arial" w:eastAsia="Calibri" w:hAnsi="Arial" w:cs="Arial"/>
          <w:b/>
          <w:lang w:val="es-ES"/>
        </w:rPr>
        <w:tab/>
        <w:t>De la organización del expediente de subasta pública</w:t>
      </w:r>
    </w:p>
    <w:p w:rsidR="000C2661" w:rsidRPr="000C2661" w:rsidRDefault="000C2661" w:rsidP="001F4F7F">
      <w:pPr>
        <w:spacing w:after="0" w:line="240" w:lineRule="auto"/>
        <w:ind w:left="1985" w:hanging="567"/>
        <w:contextualSpacing/>
        <w:jc w:val="both"/>
        <w:rPr>
          <w:rFonts w:ascii="Arial" w:eastAsia="Calibri" w:hAnsi="Arial" w:cs="Arial"/>
          <w:lang w:val="es-ES"/>
        </w:rPr>
      </w:pPr>
      <w:r w:rsidRPr="000C2661">
        <w:rPr>
          <w:rFonts w:ascii="Arial" w:eastAsia="Calibri" w:hAnsi="Arial" w:cs="Arial"/>
          <w:lang w:val="es-ES"/>
        </w:rPr>
        <w:t>a.</w:t>
      </w:r>
      <w:r w:rsidRPr="000C2661">
        <w:rPr>
          <w:rFonts w:ascii="Arial" w:eastAsia="Calibri" w:hAnsi="Arial" w:cs="Arial"/>
          <w:lang w:val="es-ES"/>
        </w:rPr>
        <w:tab/>
        <w:t>La venta por subasta pública de predios estatales será ejecutada por la SBN, a través de la SDDI, la cual ejerce sus funciones de acuerdo a lo establecido en la Ley Nº 29151, su Reglamento, el ROF de la SBN y la presente Directiva, así como conforme a las Bases Administrativas que se aprueban para cada caso.</w:t>
      </w:r>
    </w:p>
    <w:p w:rsidR="000C2661" w:rsidRPr="000C2661" w:rsidRDefault="000C2661" w:rsidP="001F4F7F">
      <w:pPr>
        <w:spacing w:after="0" w:line="240" w:lineRule="auto"/>
        <w:ind w:left="1985" w:hanging="567"/>
        <w:contextualSpacing/>
        <w:jc w:val="both"/>
        <w:rPr>
          <w:rFonts w:ascii="Arial" w:eastAsia="Calibri" w:hAnsi="Arial" w:cs="Arial"/>
          <w:lang w:val="es-ES"/>
        </w:rPr>
      </w:pPr>
    </w:p>
    <w:p w:rsidR="000C2661" w:rsidRPr="000C2661" w:rsidRDefault="000C2661" w:rsidP="001F4F7F">
      <w:pPr>
        <w:spacing w:after="0" w:line="240" w:lineRule="auto"/>
        <w:ind w:left="1985"/>
        <w:contextualSpacing/>
        <w:jc w:val="both"/>
        <w:rPr>
          <w:rFonts w:ascii="Arial" w:eastAsia="Calibri" w:hAnsi="Arial" w:cs="Arial"/>
          <w:lang w:val="es-ES"/>
        </w:rPr>
      </w:pPr>
      <w:r w:rsidRPr="000C2661">
        <w:rPr>
          <w:rFonts w:ascii="Arial" w:eastAsia="Calibri" w:hAnsi="Arial" w:cs="Arial"/>
          <w:lang w:val="es-ES"/>
        </w:rPr>
        <w:t>Para tal efecto, el Subdirector de la SDDI designa, mediante memorando, el grupo de trabajo encargado de colaborar en los actos preparatorios de la venta y en la ejecución de la subasta.</w:t>
      </w:r>
    </w:p>
    <w:p w:rsidR="000C2661" w:rsidRPr="000C2661" w:rsidRDefault="000C2661" w:rsidP="001F4F7F">
      <w:pPr>
        <w:spacing w:after="0" w:line="240" w:lineRule="auto"/>
        <w:ind w:left="1985" w:hanging="567"/>
        <w:contextualSpacing/>
        <w:jc w:val="both"/>
        <w:rPr>
          <w:rFonts w:ascii="Arial" w:eastAsia="Calibri" w:hAnsi="Arial" w:cs="Arial"/>
          <w:lang w:val="es-ES"/>
        </w:rPr>
      </w:pPr>
    </w:p>
    <w:p w:rsidR="000C2661" w:rsidRPr="000C2661" w:rsidRDefault="000C2661" w:rsidP="001F4F7F">
      <w:pPr>
        <w:spacing w:after="0" w:line="240" w:lineRule="auto"/>
        <w:ind w:left="1985" w:hanging="567"/>
        <w:contextualSpacing/>
        <w:jc w:val="both"/>
        <w:rPr>
          <w:rFonts w:ascii="Arial" w:eastAsia="Calibri" w:hAnsi="Arial" w:cs="Arial"/>
          <w:lang w:val="es-ES"/>
        </w:rPr>
      </w:pPr>
      <w:r w:rsidRPr="000C2661">
        <w:rPr>
          <w:rFonts w:ascii="Arial" w:eastAsia="Calibri" w:hAnsi="Arial" w:cs="Arial"/>
          <w:lang w:val="es-ES"/>
        </w:rPr>
        <w:t>b.</w:t>
      </w:r>
      <w:r w:rsidRPr="000C2661">
        <w:rPr>
          <w:rFonts w:ascii="Arial" w:eastAsia="Calibri" w:hAnsi="Arial" w:cs="Arial"/>
          <w:lang w:val="es-ES"/>
        </w:rPr>
        <w:tab/>
        <w:t>Con la resolución mediante la cual se autoriza la venta del predio, la SDDI procede a abrir el expediente de subasta pública y disponer el inicio de ejecución de la subasta pública. La custodia y conservación de dicho expediente está a cargo de la citada unidad orgánica.</w:t>
      </w:r>
    </w:p>
    <w:p w:rsidR="000C2661" w:rsidRPr="000C2661" w:rsidRDefault="000C2661" w:rsidP="001F4F7F">
      <w:pPr>
        <w:spacing w:after="0" w:line="240" w:lineRule="auto"/>
        <w:ind w:left="1985" w:hanging="567"/>
        <w:contextualSpacing/>
        <w:jc w:val="both"/>
        <w:rPr>
          <w:rFonts w:ascii="Arial" w:eastAsia="Calibri" w:hAnsi="Arial" w:cs="Arial"/>
          <w:lang w:val="es-ES"/>
        </w:rPr>
      </w:pPr>
    </w:p>
    <w:p w:rsidR="000C2661" w:rsidRPr="000C2661" w:rsidRDefault="000C2661" w:rsidP="001F4F7F">
      <w:pPr>
        <w:spacing w:after="0" w:line="240" w:lineRule="auto"/>
        <w:ind w:left="1985" w:hanging="567"/>
        <w:contextualSpacing/>
        <w:jc w:val="both"/>
        <w:rPr>
          <w:rFonts w:ascii="Arial" w:eastAsia="Calibri" w:hAnsi="Arial" w:cs="Arial"/>
          <w:lang w:val="es-ES"/>
        </w:rPr>
      </w:pPr>
      <w:r w:rsidRPr="000C2661">
        <w:rPr>
          <w:rFonts w:ascii="Arial" w:eastAsia="Calibri" w:hAnsi="Arial" w:cs="Arial"/>
          <w:lang w:val="es-ES"/>
        </w:rPr>
        <w:t>c.</w:t>
      </w:r>
      <w:r w:rsidRPr="000C2661">
        <w:rPr>
          <w:rFonts w:ascii="Arial" w:eastAsia="Calibri" w:hAnsi="Arial" w:cs="Arial"/>
          <w:lang w:val="es-ES"/>
        </w:rPr>
        <w:tab/>
        <w:t>La apertura de sobres, el acto de subasta pública y cualquier otra decisión que el Subdirector de la SDDI considere trascendente, debe constar en un Acta, el cual es anexado al expediente de subasta.</w:t>
      </w:r>
    </w:p>
    <w:p w:rsidR="000C2661" w:rsidRPr="000C2661" w:rsidRDefault="000C2661" w:rsidP="000C2661">
      <w:pPr>
        <w:spacing w:after="0" w:line="240" w:lineRule="auto"/>
        <w:contextualSpacing/>
        <w:jc w:val="both"/>
        <w:rPr>
          <w:rFonts w:ascii="Arial" w:eastAsia="Calibri" w:hAnsi="Arial" w:cs="Arial"/>
          <w:lang w:val="es-ES"/>
        </w:rPr>
      </w:pPr>
    </w:p>
    <w:p w:rsidR="000C2661" w:rsidRPr="001F4F7F" w:rsidRDefault="000C2661" w:rsidP="001F4F7F">
      <w:pPr>
        <w:spacing w:after="0" w:line="240" w:lineRule="auto"/>
        <w:ind w:left="1418" w:hanging="567"/>
        <w:contextualSpacing/>
        <w:jc w:val="both"/>
        <w:rPr>
          <w:rFonts w:ascii="Arial" w:eastAsia="Calibri" w:hAnsi="Arial" w:cs="Arial"/>
          <w:b/>
          <w:lang w:val="es-ES"/>
        </w:rPr>
      </w:pPr>
      <w:r w:rsidRPr="001F4F7F">
        <w:rPr>
          <w:rFonts w:ascii="Arial" w:eastAsia="Calibri" w:hAnsi="Arial" w:cs="Arial"/>
          <w:b/>
          <w:lang w:val="es-ES"/>
        </w:rPr>
        <w:t>6.2.2 De las Bases Administrativas y Convocatoria</w:t>
      </w:r>
    </w:p>
    <w:p w:rsidR="000C2661" w:rsidRPr="000C2661" w:rsidRDefault="000C2661" w:rsidP="000C2661">
      <w:pPr>
        <w:spacing w:after="0" w:line="240" w:lineRule="auto"/>
        <w:contextualSpacing/>
        <w:jc w:val="both"/>
        <w:rPr>
          <w:rFonts w:ascii="Arial" w:eastAsia="Calibri" w:hAnsi="Arial" w:cs="Arial"/>
          <w:lang w:val="es-ES"/>
        </w:rPr>
      </w:pPr>
    </w:p>
    <w:p w:rsidR="000C2661" w:rsidRPr="000C2661" w:rsidRDefault="000C2661" w:rsidP="001F4F7F">
      <w:pPr>
        <w:spacing w:after="0" w:line="240" w:lineRule="auto"/>
        <w:ind w:left="1985" w:hanging="567"/>
        <w:contextualSpacing/>
        <w:jc w:val="both"/>
        <w:rPr>
          <w:rFonts w:ascii="Arial" w:eastAsia="Calibri" w:hAnsi="Arial" w:cs="Arial"/>
          <w:lang w:val="es-ES"/>
        </w:rPr>
      </w:pPr>
      <w:r w:rsidRPr="000C2661">
        <w:rPr>
          <w:rFonts w:ascii="Arial" w:eastAsia="Calibri" w:hAnsi="Arial" w:cs="Arial"/>
          <w:lang w:val="es-ES"/>
        </w:rPr>
        <w:t>a.</w:t>
      </w:r>
      <w:r w:rsidRPr="000C2661">
        <w:rPr>
          <w:rFonts w:ascii="Arial" w:eastAsia="Calibri" w:hAnsi="Arial" w:cs="Arial"/>
          <w:lang w:val="es-ES"/>
        </w:rPr>
        <w:tab/>
        <w:t>La SDDI define la fecha en que se efectuará la subasta y elabora y aprueba las Bases Administrativas de conformidad con el Modelo de Bases aprobado en el Anexo 7 de la presente Directiva.</w:t>
      </w:r>
    </w:p>
    <w:p w:rsidR="000C2661" w:rsidRPr="000C2661" w:rsidRDefault="000C2661" w:rsidP="001F4F7F">
      <w:pPr>
        <w:spacing w:after="0" w:line="240" w:lineRule="auto"/>
        <w:ind w:left="1985" w:hanging="567"/>
        <w:contextualSpacing/>
        <w:jc w:val="both"/>
        <w:rPr>
          <w:rFonts w:ascii="Arial" w:eastAsia="Calibri" w:hAnsi="Arial" w:cs="Arial"/>
          <w:lang w:val="es-ES"/>
        </w:rPr>
      </w:pPr>
    </w:p>
    <w:p w:rsidR="000C2661" w:rsidRPr="000C2661" w:rsidRDefault="000C2661" w:rsidP="001F4F7F">
      <w:pPr>
        <w:spacing w:after="0" w:line="240" w:lineRule="auto"/>
        <w:ind w:left="1985" w:hanging="567"/>
        <w:contextualSpacing/>
        <w:jc w:val="both"/>
        <w:rPr>
          <w:rFonts w:ascii="Arial" w:eastAsia="Calibri" w:hAnsi="Arial" w:cs="Arial"/>
          <w:lang w:val="es-ES"/>
        </w:rPr>
      </w:pPr>
      <w:r w:rsidRPr="000C2661">
        <w:rPr>
          <w:rFonts w:ascii="Arial" w:eastAsia="Calibri" w:hAnsi="Arial" w:cs="Arial"/>
          <w:lang w:val="es-ES"/>
        </w:rPr>
        <w:t>b.</w:t>
      </w:r>
      <w:r w:rsidRPr="000C2661">
        <w:rPr>
          <w:rFonts w:ascii="Arial" w:eastAsia="Calibri" w:hAnsi="Arial" w:cs="Arial"/>
          <w:lang w:val="es-ES"/>
        </w:rPr>
        <w:tab/>
        <w:t>Dichas Bases deben contener datos del propietario del predio, de la entidad que ejecuta la venta y los dispositivos legales en los que se sustenta la venta y el anexo incluyendo las características del predio, precio base, plazos y modalidad de subasta.</w:t>
      </w:r>
    </w:p>
    <w:p w:rsidR="000C2661" w:rsidRPr="000C2661" w:rsidRDefault="000C2661" w:rsidP="001F4F7F">
      <w:pPr>
        <w:spacing w:after="0" w:line="240" w:lineRule="auto"/>
        <w:ind w:left="1985" w:hanging="567"/>
        <w:contextualSpacing/>
        <w:jc w:val="both"/>
        <w:rPr>
          <w:rFonts w:ascii="Arial" w:eastAsia="Calibri" w:hAnsi="Arial" w:cs="Arial"/>
          <w:lang w:val="es-ES"/>
        </w:rPr>
      </w:pPr>
    </w:p>
    <w:p w:rsidR="000C2661" w:rsidRPr="000C2661" w:rsidRDefault="000C2661" w:rsidP="001F4F7F">
      <w:pPr>
        <w:spacing w:after="0" w:line="240" w:lineRule="auto"/>
        <w:ind w:left="1985" w:hanging="567"/>
        <w:contextualSpacing/>
        <w:jc w:val="both"/>
        <w:rPr>
          <w:rFonts w:ascii="Arial" w:eastAsia="Calibri" w:hAnsi="Arial" w:cs="Arial"/>
          <w:lang w:val="es-ES"/>
        </w:rPr>
      </w:pPr>
      <w:r w:rsidRPr="000C2661">
        <w:rPr>
          <w:rFonts w:ascii="Arial" w:eastAsia="Calibri" w:hAnsi="Arial" w:cs="Arial"/>
          <w:lang w:val="es-ES"/>
        </w:rPr>
        <w:t>c.</w:t>
      </w:r>
      <w:r w:rsidRPr="000C2661">
        <w:rPr>
          <w:rFonts w:ascii="Arial" w:eastAsia="Calibri" w:hAnsi="Arial" w:cs="Arial"/>
          <w:lang w:val="es-ES"/>
        </w:rPr>
        <w:tab/>
        <w:t xml:space="preserve">La SDDI dispone la publicación de los avisos de convocatoria por una sola vez en el Diario Oficial “El Peruano” y otro diario de mayor circulación de la región en la que se ubica el predio; tratándose de Lima y Callao, la publicación se realiza en un diario de difusión nacional. Adicionalmente, el aviso es publicado en la página Web de la SBN. </w:t>
      </w:r>
    </w:p>
    <w:p w:rsidR="000C2661" w:rsidRPr="000C2661" w:rsidRDefault="000C2661" w:rsidP="001F4F7F">
      <w:pPr>
        <w:spacing w:after="0" w:line="240" w:lineRule="auto"/>
        <w:ind w:left="1985" w:hanging="567"/>
        <w:contextualSpacing/>
        <w:jc w:val="both"/>
        <w:rPr>
          <w:rFonts w:ascii="Arial" w:eastAsia="Calibri" w:hAnsi="Arial" w:cs="Arial"/>
          <w:lang w:val="es-ES"/>
        </w:rPr>
      </w:pPr>
    </w:p>
    <w:p w:rsidR="000C2661" w:rsidRPr="000C2661" w:rsidRDefault="000C2661" w:rsidP="001F4F7F">
      <w:pPr>
        <w:spacing w:after="0" w:line="240" w:lineRule="auto"/>
        <w:ind w:left="1985"/>
        <w:contextualSpacing/>
        <w:jc w:val="both"/>
        <w:rPr>
          <w:rFonts w:ascii="Arial" w:eastAsia="Calibri" w:hAnsi="Arial" w:cs="Arial"/>
          <w:lang w:val="es-ES"/>
        </w:rPr>
      </w:pPr>
      <w:r w:rsidRPr="000C2661">
        <w:rPr>
          <w:rFonts w:ascii="Arial" w:eastAsia="Calibri" w:hAnsi="Arial" w:cs="Arial"/>
          <w:lang w:val="es-ES"/>
        </w:rPr>
        <w:t>Adicionalmente a las publicaciones obligatorias expresamente reguladas, la SDDI puede utilizar todos los medios de comunicación disponibles para publicitar el proceso de subasta, como solicitar la publicación de la convocatoria en el mural de la municipalidad distrital o provincial en la que se ubica el predio.</w:t>
      </w:r>
    </w:p>
    <w:p w:rsidR="000C2661" w:rsidRPr="000C2661" w:rsidRDefault="000C2661" w:rsidP="001F4F7F">
      <w:pPr>
        <w:spacing w:after="0" w:line="240" w:lineRule="auto"/>
        <w:ind w:left="1985" w:hanging="567"/>
        <w:contextualSpacing/>
        <w:jc w:val="both"/>
        <w:rPr>
          <w:rFonts w:ascii="Arial" w:eastAsia="Calibri" w:hAnsi="Arial" w:cs="Arial"/>
          <w:lang w:val="es-ES"/>
        </w:rPr>
      </w:pPr>
    </w:p>
    <w:p w:rsidR="000C2661" w:rsidRPr="000C2661" w:rsidRDefault="000C2661" w:rsidP="001F4F7F">
      <w:pPr>
        <w:spacing w:after="0" w:line="240" w:lineRule="auto"/>
        <w:ind w:left="1985"/>
        <w:contextualSpacing/>
        <w:jc w:val="both"/>
        <w:rPr>
          <w:rFonts w:ascii="Arial" w:eastAsia="Calibri" w:hAnsi="Arial" w:cs="Arial"/>
          <w:lang w:val="es-ES"/>
        </w:rPr>
      </w:pPr>
      <w:r w:rsidRPr="000C2661">
        <w:rPr>
          <w:rFonts w:ascii="Arial" w:eastAsia="Calibri" w:hAnsi="Arial" w:cs="Arial"/>
          <w:lang w:val="es-ES"/>
        </w:rPr>
        <w:t>Dichos avisos deben contener las características, área, ubicación y otros datos relevantes del predio, así como el lugar, día y hora de la subasta, precio base y la indicación del lugar donde se pueden adquirir las bases respectivas.</w:t>
      </w:r>
    </w:p>
    <w:p w:rsidR="000C2661" w:rsidRPr="000C2661" w:rsidRDefault="000C2661" w:rsidP="001F4F7F">
      <w:pPr>
        <w:spacing w:after="0" w:line="240" w:lineRule="auto"/>
        <w:ind w:left="1985" w:hanging="567"/>
        <w:contextualSpacing/>
        <w:jc w:val="both"/>
        <w:rPr>
          <w:rFonts w:ascii="Arial" w:eastAsia="Calibri" w:hAnsi="Arial" w:cs="Arial"/>
          <w:lang w:val="es-ES"/>
        </w:rPr>
      </w:pPr>
    </w:p>
    <w:p w:rsidR="000C2661" w:rsidRPr="000C2661" w:rsidRDefault="000C2661" w:rsidP="001F4F7F">
      <w:pPr>
        <w:spacing w:after="0" w:line="240" w:lineRule="auto"/>
        <w:ind w:left="1985" w:hanging="567"/>
        <w:contextualSpacing/>
        <w:jc w:val="both"/>
        <w:rPr>
          <w:rFonts w:ascii="Arial" w:eastAsia="Calibri" w:hAnsi="Arial" w:cs="Arial"/>
          <w:lang w:val="es-ES"/>
        </w:rPr>
      </w:pPr>
      <w:r w:rsidRPr="000C2661">
        <w:rPr>
          <w:rFonts w:ascii="Arial" w:eastAsia="Calibri" w:hAnsi="Arial" w:cs="Arial"/>
          <w:lang w:val="es-ES"/>
        </w:rPr>
        <w:t>d.</w:t>
      </w:r>
      <w:r w:rsidRPr="000C2661">
        <w:rPr>
          <w:rFonts w:ascii="Arial" w:eastAsia="Calibri" w:hAnsi="Arial" w:cs="Arial"/>
          <w:lang w:val="es-ES"/>
        </w:rPr>
        <w:tab/>
        <w:t>La convocatoria debe efectuarse con veinte (20) días hábiles de anticipación, como mínimo, a la fecha de celebración del acto de subasta pública.</w:t>
      </w:r>
    </w:p>
    <w:p w:rsidR="000C2661" w:rsidRPr="000C2661" w:rsidRDefault="000C2661" w:rsidP="001F4F7F">
      <w:pPr>
        <w:spacing w:after="0" w:line="240" w:lineRule="auto"/>
        <w:ind w:left="1985" w:hanging="567"/>
        <w:contextualSpacing/>
        <w:jc w:val="both"/>
        <w:rPr>
          <w:rFonts w:ascii="Arial" w:eastAsia="Calibri" w:hAnsi="Arial" w:cs="Arial"/>
          <w:lang w:val="es-ES"/>
        </w:rPr>
      </w:pPr>
    </w:p>
    <w:p w:rsidR="000C2661" w:rsidRPr="000C2661" w:rsidRDefault="000C2661" w:rsidP="001F4F7F">
      <w:pPr>
        <w:spacing w:after="0" w:line="240" w:lineRule="auto"/>
        <w:ind w:left="1985" w:hanging="567"/>
        <w:contextualSpacing/>
        <w:jc w:val="both"/>
        <w:rPr>
          <w:rFonts w:ascii="Arial" w:eastAsia="Calibri" w:hAnsi="Arial" w:cs="Arial"/>
          <w:lang w:val="es-ES"/>
        </w:rPr>
      </w:pPr>
      <w:r w:rsidRPr="000C2661">
        <w:rPr>
          <w:rFonts w:ascii="Arial" w:eastAsia="Calibri" w:hAnsi="Arial" w:cs="Arial"/>
          <w:lang w:val="es-ES"/>
        </w:rPr>
        <w:t>e.</w:t>
      </w:r>
      <w:r w:rsidRPr="000C2661">
        <w:rPr>
          <w:rFonts w:ascii="Arial" w:eastAsia="Calibri" w:hAnsi="Arial" w:cs="Arial"/>
          <w:lang w:val="es-ES"/>
        </w:rPr>
        <w:tab/>
        <w:t xml:space="preserve">Luego de la convocatoria de los lotes a ser subastados, los terceros que se consideren  afectados en algún derecho real que tuvieran sobre el predio materia de venta, pueden presentar ante la SDDI, su solicitud de oposición debidamente sustentada, dentro del plazo de cinco (05) días hábiles contados a partir del día siguiente del acto de publicación efectuado en el Diario Oficial “El Peruano”. </w:t>
      </w:r>
    </w:p>
    <w:p w:rsidR="000C2661" w:rsidRPr="000C2661" w:rsidRDefault="000C2661" w:rsidP="001F4F7F">
      <w:pPr>
        <w:spacing w:after="0" w:line="240" w:lineRule="auto"/>
        <w:ind w:left="1985" w:hanging="567"/>
        <w:contextualSpacing/>
        <w:jc w:val="both"/>
        <w:rPr>
          <w:rFonts w:ascii="Arial" w:eastAsia="Calibri" w:hAnsi="Arial" w:cs="Arial"/>
          <w:lang w:val="es-ES"/>
        </w:rPr>
      </w:pPr>
    </w:p>
    <w:p w:rsidR="000C2661" w:rsidRPr="000C2661" w:rsidRDefault="000C2661" w:rsidP="001F4F7F">
      <w:pPr>
        <w:spacing w:after="0" w:line="240" w:lineRule="auto"/>
        <w:ind w:left="1985"/>
        <w:contextualSpacing/>
        <w:jc w:val="both"/>
        <w:rPr>
          <w:rFonts w:ascii="Arial" w:eastAsia="Calibri" w:hAnsi="Arial" w:cs="Arial"/>
          <w:lang w:val="es-ES"/>
        </w:rPr>
      </w:pPr>
      <w:r w:rsidRPr="000C2661">
        <w:rPr>
          <w:rFonts w:ascii="Arial" w:eastAsia="Calibri" w:hAnsi="Arial" w:cs="Arial"/>
          <w:lang w:val="es-ES"/>
        </w:rPr>
        <w:t>La SDDI resuelve la oposición formulada en el plazo de dos (02) días hábiles. Contra lo resuelto por la SDDI, el administrado puede interponer recurso impugnatorio en el plazo de tres (03) días hábiles, contados a partir de la notificación del acto que recurre.</w:t>
      </w:r>
    </w:p>
    <w:p w:rsidR="000C2661" w:rsidRPr="000C2661" w:rsidRDefault="000C2661" w:rsidP="001F4F7F">
      <w:pPr>
        <w:spacing w:after="0" w:line="240" w:lineRule="auto"/>
        <w:ind w:left="1985" w:hanging="567"/>
        <w:contextualSpacing/>
        <w:jc w:val="both"/>
        <w:rPr>
          <w:rFonts w:ascii="Arial" w:eastAsia="Calibri" w:hAnsi="Arial" w:cs="Arial"/>
          <w:lang w:val="es-ES"/>
        </w:rPr>
      </w:pPr>
    </w:p>
    <w:p w:rsidR="000C2661" w:rsidRPr="000C2661" w:rsidRDefault="000C2661" w:rsidP="001F4F7F">
      <w:pPr>
        <w:spacing w:after="0" w:line="240" w:lineRule="auto"/>
        <w:ind w:left="1985"/>
        <w:contextualSpacing/>
        <w:jc w:val="both"/>
        <w:rPr>
          <w:rFonts w:ascii="Arial" w:eastAsia="Calibri" w:hAnsi="Arial" w:cs="Arial"/>
          <w:lang w:val="es-ES"/>
        </w:rPr>
      </w:pPr>
      <w:r w:rsidRPr="000C2661">
        <w:rPr>
          <w:rFonts w:ascii="Arial" w:eastAsia="Calibri" w:hAnsi="Arial" w:cs="Arial"/>
          <w:lang w:val="es-ES"/>
        </w:rPr>
        <w:t>La DGPE resuelve el recurso impugnatorio dentro del plazo máximo de dos (02) días hábiles, con lo cual se da por agotada la vía administrativa.</w:t>
      </w:r>
    </w:p>
    <w:p w:rsidR="000C2661" w:rsidRPr="000C2661" w:rsidRDefault="000C2661" w:rsidP="001F4F7F">
      <w:pPr>
        <w:spacing w:after="0" w:line="240" w:lineRule="auto"/>
        <w:ind w:left="1985" w:hanging="567"/>
        <w:contextualSpacing/>
        <w:jc w:val="both"/>
        <w:rPr>
          <w:rFonts w:ascii="Arial" w:eastAsia="Calibri" w:hAnsi="Arial" w:cs="Arial"/>
          <w:lang w:val="es-ES"/>
        </w:rPr>
      </w:pPr>
    </w:p>
    <w:p w:rsidR="000C2661" w:rsidRPr="000C2661" w:rsidRDefault="000C2661" w:rsidP="001F4F7F">
      <w:pPr>
        <w:spacing w:after="0" w:line="240" w:lineRule="auto"/>
        <w:ind w:left="1985" w:hanging="567"/>
        <w:contextualSpacing/>
        <w:jc w:val="both"/>
        <w:rPr>
          <w:rFonts w:ascii="Arial" w:eastAsia="Calibri" w:hAnsi="Arial" w:cs="Arial"/>
          <w:lang w:val="es-ES"/>
        </w:rPr>
      </w:pPr>
      <w:r w:rsidRPr="000C2661">
        <w:rPr>
          <w:rFonts w:ascii="Arial" w:eastAsia="Calibri" w:hAnsi="Arial" w:cs="Arial"/>
          <w:lang w:val="es-ES"/>
        </w:rPr>
        <w:t>f.</w:t>
      </w:r>
      <w:r w:rsidRPr="000C2661">
        <w:rPr>
          <w:rFonts w:ascii="Arial" w:eastAsia="Calibri" w:hAnsi="Arial" w:cs="Arial"/>
          <w:lang w:val="es-ES"/>
        </w:rPr>
        <w:tab/>
        <w:t>Para participar en la subasta pública, el postor debe entregar en garantía un cheque de gerencia equivalente al 20% del precio base. En caso concurra el supuesto establecido en el literal l) del numeral 6.2.4 de la presente Directiva, el postor entregará un cheque de gerencia equivalente al 30% del precio base.</w:t>
      </w:r>
    </w:p>
    <w:p w:rsidR="000C2661" w:rsidRPr="000C2661" w:rsidRDefault="000C2661" w:rsidP="001F4F7F">
      <w:pPr>
        <w:spacing w:after="0" w:line="240" w:lineRule="auto"/>
        <w:ind w:left="1985" w:hanging="567"/>
        <w:contextualSpacing/>
        <w:jc w:val="both"/>
        <w:rPr>
          <w:rFonts w:ascii="Arial" w:eastAsia="Calibri" w:hAnsi="Arial" w:cs="Arial"/>
          <w:lang w:val="es-ES"/>
        </w:rPr>
      </w:pPr>
      <w:r w:rsidRPr="000C2661">
        <w:rPr>
          <w:rFonts w:ascii="Arial" w:eastAsia="Calibri" w:hAnsi="Arial" w:cs="Arial"/>
          <w:lang w:val="es-ES"/>
        </w:rPr>
        <w:t xml:space="preserve">                     </w:t>
      </w:r>
    </w:p>
    <w:p w:rsidR="000C2661" w:rsidRPr="000C2661" w:rsidRDefault="000C2661" w:rsidP="001F4F7F">
      <w:pPr>
        <w:spacing w:after="0" w:line="240" w:lineRule="auto"/>
        <w:ind w:left="1985" w:hanging="567"/>
        <w:contextualSpacing/>
        <w:jc w:val="both"/>
        <w:rPr>
          <w:rFonts w:ascii="Arial" w:eastAsia="Calibri" w:hAnsi="Arial" w:cs="Arial"/>
          <w:lang w:val="es-ES"/>
        </w:rPr>
      </w:pPr>
      <w:r w:rsidRPr="000C2661">
        <w:rPr>
          <w:rFonts w:ascii="Arial" w:eastAsia="Calibri" w:hAnsi="Arial" w:cs="Arial"/>
          <w:lang w:val="es-ES"/>
        </w:rPr>
        <w:t>g.</w:t>
      </w:r>
      <w:r w:rsidRPr="000C2661">
        <w:rPr>
          <w:rFonts w:ascii="Arial" w:eastAsia="Calibri" w:hAnsi="Arial" w:cs="Arial"/>
          <w:lang w:val="es-ES"/>
        </w:rPr>
        <w:tab/>
        <w:t>La SDDI puede interpretar, modificar, rectificar o aclarar las Bases Administrativas, el acto de convocatoria y demás actos del proceso de subasta, siempre orientado a una mayor transparencia y eficiencia en la disposición de los predios estatales. Las decisiones que incidan en las Bases Administrativas son integradas a ellas, dándose aviso a los adquirientes de las mismas mediante oficio, fax, correo electrónico o publicación en la página Web de la SBN, según sea el caso.</w:t>
      </w:r>
    </w:p>
    <w:p w:rsidR="000C2661" w:rsidRPr="000C2661" w:rsidRDefault="000C2661" w:rsidP="001F4F7F">
      <w:pPr>
        <w:spacing w:after="0" w:line="240" w:lineRule="auto"/>
        <w:ind w:left="1985" w:hanging="567"/>
        <w:contextualSpacing/>
        <w:jc w:val="both"/>
        <w:rPr>
          <w:rFonts w:ascii="Arial" w:eastAsia="Calibri" w:hAnsi="Arial" w:cs="Arial"/>
          <w:lang w:val="es-ES"/>
        </w:rPr>
      </w:pPr>
    </w:p>
    <w:p w:rsidR="000C2661" w:rsidRPr="000C2661" w:rsidRDefault="000C2661" w:rsidP="001F4F7F">
      <w:pPr>
        <w:spacing w:after="0" w:line="240" w:lineRule="auto"/>
        <w:ind w:left="1985"/>
        <w:contextualSpacing/>
        <w:jc w:val="both"/>
        <w:rPr>
          <w:rFonts w:ascii="Arial" w:eastAsia="Calibri" w:hAnsi="Arial" w:cs="Arial"/>
          <w:lang w:val="es-ES"/>
        </w:rPr>
      </w:pPr>
      <w:r w:rsidRPr="000C2661">
        <w:rPr>
          <w:rFonts w:ascii="Arial" w:eastAsia="Calibri" w:hAnsi="Arial" w:cs="Arial"/>
          <w:lang w:val="es-ES"/>
        </w:rPr>
        <w:t>Por razones debidamente justificadas y a solicitud de la DGPE o de la entidad pública que autorizó la venta, mediante resolución, la SDDI puede retirar uno u más lotes del proceso de subasta.</w:t>
      </w:r>
    </w:p>
    <w:p w:rsidR="000C2661" w:rsidRPr="000C2661" w:rsidRDefault="000C2661" w:rsidP="001F4F7F">
      <w:pPr>
        <w:spacing w:after="0" w:line="240" w:lineRule="auto"/>
        <w:ind w:left="1985" w:hanging="567"/>
        <w:contextualSpacing/>
        <w:jc w:val="both"/>
        <w:rPr>
          <w:rFonts w:ascii="Arial" w:eastAsia="Calibri" w:hAnsi="Arial" w:cs="Arial"/>
          <w:lang w:val="es-ES"/>
        </w:rPr>
      </w:pPr>
    </w:p>
    <w:p w:rsidR="000C2661" w:rsidRPr="000C2661" w:rsidRDefault="000C2661" w:rsidP="001F4F7F">
      <w:pPr>
        <w:spacing w:after="0" w:line="240" w:lineRule="auto"/>
        <w:ind w:left="1985" w:hanging="567"/>
        <w:contextualSpacing/>
        <w:jc w:val="both"/>
        <w:rPr>
          <w:rFonts w:ascii="Arial" w:eastAsia="Calibri" w:hAnsi="Arial" w:cs="Arial"/>
          <w:lang w:val="es-ES"/>
        </w:rPr>
      </w:pPr>
      <w:r w:rsidRPr="000C2661">
        <w:rPr>
          <w:rFonts w:ascii="Arial" w:eastAsia="Calibri" w:hAnsi="Arial" w:cs="Arial"/>
          <w:lang w:val="es-ES"/>
        </w:rPr>
        <w:t>h.</w:t>
      </w:r>
      <w:r w:rsidRPr="000C2661">
        <w:rPr>
          <w:rFonts w:ascii="Arial" w:eastAsia="Calibri" w:hAnsi="Arial" w:cs="Arial"/>
          <w:lang w:val="es-ES"/>
        </w:rPr>
        <w:tab/>
        <w:t>Ante cualquier información que se ponga en conocimiento de la SDDI, mandato judicial que así lo disponga o la posible ocurrencia de un hecho eventual y temporal que pudiera entorpecer el normal desenvolvimiento del proceso de subasta, la SDDI puede también, a su sola decisión y discreción, reprogramar los plazos de la subasta o suspender la ejecución del acto de subasta, de uno o más lotes.</w:t>
      </w:r>
    </w:p>
    <w:p w:rsidR="000C2661" w:rsidRPr="000C2661" w:rsidRDefault="000C2661" w:rsidP="000C2661">
      <w:pPr>
        <w:spacing w:after="0" w:line="240" w:lineRule="auto"/>
        <w:contextualSpacing/>
        <w:jc w:val="both"/>
        <w:rPr>
          <w:rFonts w:ascii="Arial" w:eastAsia="Calibri" w:hAnsi="Arial" w:cs="Arial"/>
          <w:lang w:val="es-ES"/>
        </w:rPr>
      </w:pPr>
    </w:p>
    <w:p w:rsidR="000C2661" w:rsidRPr="002E688A" w:rsidRDefault="000C2661" w:rsidP="002E688A">
      <w:pPr>
        <w:spacing w:after="0" w:line="240" w:lineRule="auto"/>
        <w:ind w:left="1418" w:hanging="709"/>
        <w:contextualSpacing/>
        <w:jc w:val="both"/>
        <w:rPr>
          <w:rFonts w:ascii="Arial" w:eastAsia="Calibri" w:hAnsi="Arial" w:cs="Arial"/>
          <w:b/>
          <w:lang w:val="es-ES"/>
        </w:rPr>
      </w:pPr>
      <w:r w:rsidRPr="002E688A">
        <w:rPr>
          <w:rFonts w:ascii="Arial" w:eastAsia="Calibri" w:hAnsi="Arial" w:cs="Arial"/>
          <w:b/>
          <w:lang w:val="es-ES"/>
        </w:rPr>
        <w:t xml:space="preserve">6.2.3 </w:t>
      </w:r>
      <w:r w:rsidRPr="002E688A">
        <w:rPr>
          <w:rFonts w:ascii="Arial" w:eastAsia="Calibri" w:hAnsi="Arial" w:cs="Arial"/>
          <w:b/>
          <w:lang w:val="es-ES"/>
        </w:rPr>
        <w:tab/>
        <w:t>De la calificación de postor hábil</w:t>
      </w:r>
    </w:p>
    <w:p w:rsidR="000C2661" w:rsidRPr="000C2661" w:rsidRDefault="000C2661" w:rsidP="002E688A">
      <w:pPr>
        <w:spacing w:after="0" w:line="240" w:lineRule="auto"/>
        <w:ind w:left="1418"/>
        <w:contextualSpacing/>
        <w:jc w:val="both"/>
        <w:rPr>
          <w:rFonts w:ascii="Arial" w:eastAsia="Calibri" w:hAnsi="Arial" w:cs="Arial"/>
          <w:lang w:val="es-ES"/>
        </w:rPr>
      </w:pPr>
      <w:r w:rsidRPr="000C2661">
        <w:rPr>
          <w:rFonts w:ascii="Arial" w:eastAsia="Calibri" w:hAnsi="Arial" w:cs="Arial"/>
          <w:lang w:val="es-ES"/>
        </w:rPr>
        <w:t xml:space="preserve">La evaluación de la documentación que presenten los postores está a cargo de la SDDI, la cual tiene la facultad de requerir al postor para que complemente o subsane alguna información. El requerimiento puede efectuarse vía correo electrónico, siempre que el postor haya dado su autorización expresa, sin perjuicio de la notificación personal que se efectúa en el domicilio señalado por el postor en la Carta de Presentación (Anexo N° 2 de las Bases Administrativas). </w:t>
      </w:r>
    </w:p>
    <w:p w:rsidR="000C2661" w:rsidRPr="000C2661" w:rsidRDefault="000C2661" w:rsidP="002E688A">
      <w:pPr>
        <w:spacing w:after="0" w:line="240" w:lineRule="auto"/>
        <w:ind w:left="1418"/>
        <w:contextualSpacing/>
        <w:jc w:val="both"/>
        <w:rPr>
          <w:rFonts w:ascii="Arial" w:eastAsia="Calibri" w:hAnsi="Arial" w:cs="Arial"/>
          <w:lang w:val="es-ES"/>
        </w:rPr>
      </w:pPr>
    </w:p>
    <w:p w:rsidR="000C2661" w:rsidRPr="000C2661" w:rsidRDefault="000C2661" w:rsidP="002E688A">
      <w:pPr>
        <w:spacing w:after="0" w:line="240" w:lineRule="auto"/>
        <w:ind w:left="1418"/>
        <w:contextualSpacing/>
        <w:jc w:val="both"/>
        <w:rPr>
          <w:rFonts w:ascii="Arial" w:eastAsia="Calibri" w:hAnsi="Arial" w:cs="Arial"/>
          <w:lang w:val="es-ES"/>
        </w:rPr>
      </w:pPr>
      <w:r w:rsidRPr="000C2661">
        <w:rPr>
          <w:rFonts w:ascii="Arial" w:eastAsia="Calibri" w:hAnsi="Arial" w:cs="Arial"/>
          <w:lang w:val="es-ES"/>
        </w:rPr>
        <w:t>El postor tiene la opción de subsanar la información requerida hasta el plazo señalado en las Bases Administrativas. En caso que la observación no sea subsanada en el plazo previsto, el postor es descalificado para participar en el proceso de subasta, lo cual es comunicado mediante oficio.</w:t>
      </w:r>
    </w:p>
    <w:p w:rsidR="000C2661" w:rsidRPr="000C2661" w:rsidRDefault="000C2661" w:rsidP="002E688A">
      <w:pPr>
        <w:spacing w:after="0" w:line="240" w:lineRule="auto"/>
        <w:ind w:left="1418"/>
        <w:contextualSpacing/>
        <w:jc w:val="both"/>
        <w:rPr>
          <w:rFonts w:ascii="Arial" w:eastAsia="Calibri" w:hAnsi="Arial" w:cs="Arial"/>
          <w:lang w:val="es-ES"/>
        </w:rPr>
      </w:pPr>
    </w:p>
    <w:p w:rsidR="000C2661" w:rsidRPr="000C2661" w:rsidRDefault="000C2661" w:rsidP="002E688A">
      <w:pPr>
        <w:spacing w:after="0" w:line="240" w:lineRule="auto"/>
        <w:ind w:left="1418"/>
        <w:contextualSpacing/>
        <w:jc w:val="both"/>
        <w:rPr>
          <w:rFonts w:ascii="Arial" w:eastAsia="Calibri" w:hAnsi="Arial" w:cs="Arial"/>
          <w:lang w:val="es-ES"/>
        </w:rPr>
      </w:pPr>
      <w:r w:rsidRPr="000C2661">
        <w:rPr>
          <w:rFonts w:ascii="Arial" w:eastAsia="Calibri" w:hAnsi="Arial" w:cs="Arial"/>
          <w:lang w:val="es-ES"/>
        </w:rPr>
        <w:t>El postor descalificado puede impugnar ante la DGPE, dentro del plazo de dos (02) días hábiles, contados a partir de la notificación del oficio correspondiente.</w:t>
      </w:r>
    </w:p>
    <w:p w:rsidR="000C2661" w:rsidRPr="000C2661" w:rsidRDefault="000C2661" w:rsidP="002E688A">
      <w:pPr>
        <w:spacing w:after="0" w:line="240" w:lineRule="auto"/>
        <w:ind w:left="1418"/>
        <w:contextualSpacing/>
        <w:jc w:val="both"/>
        <w:rPr>
          <w:rFonts w:ascii="Arial" w:eastAsia="Calibri" w:hAnsi="Arial" w:cs="Arial"/>
          <w:lang w:val="es-ES"/>
        </w:rPr>
      </w:pPr>
    </w:p>
    <w:p w:rsidR="000C2661" w:rsidRPr="000C2661" w:rsidRDefault="000C2661" w:rsidP="002E688A">
      <w:pPr>
        <w:spacing w:after="0" w:line="240" w:lineRule="auto"/>
        <w:ind w:left="1418"/>
        <w:contextualSpacing/>
        <w:jc w:val="both"/>
        <w:rPr>
          <w:rFonts w:ascii="Arial" w:eastAsia="Calibri" w:hAnsi="Arial" w:cs="Arial"/>
          <w:lang w:val="es-ES"/>
        </w:rPr>
      </w:pPr>
      <w:r w:rsidRPr="000C2661">
        <w:rPr>
          <w:rFonts w:ascii="Arial" w:eastAsia="Calibri" w:hAnsi="Arial" w:cs="Arial"/>
          <w:lang w:val="es-ES"/>
        </w:rPr>
        <w:t>La impugnación que presente el postor debe ser resuelta por la DGPE, hasta un (01) día hábil anterior a la realización del acto público de subasta, con lo cual se da por agotada la vía administrativa</w:t>
      </w:r>
    </w:p>
    <w:p w:rsidR="000C2661" w:rsidRPr="000C2661" w:rsidRDefault="000C2661" w:rsidP="000C2661">
      <w:pPr>
        <w:spacing w:after="0" w:line="240" w:lineRule="auto"/>
        <w:contextualSpacing/>
        <w:jc w:val="both"/>
        <w:rPr>
          <w:rFonts w:ascii="Arial" w:eastAsia="Calibri" w:hAnsi="Arial" w:cs="Arial"/>
          <w:lang w:val="es-ES"/>
        </w:rPr>
      </w:pPr>
    </w:p>
    <w:p w:rsidR="000C2661" w:rsidRPr="002E688A" w:rsidRDefault="000C2661" w:rsidP="002E688A">
      <w:pPr>
        <w:spacing w:after="0" w:line="240" w:lineRule="auto"/>
        <w:ind w:left="1418" w:hanging="709"/>
        <w:contextualSpacing/>
        <w:jc w:val="both"/>
        <w:rPr>
          <w:rFonts w:ascii="Arial" w:eastAsia="Calibri" w:hAnsi="Arial" w:cs="Arial"/>
          <w:b/>
          <w:lang w:val="es-ES"/>
        </w:rPr>
      </w:pPr>
      <w:r w:rsidRPr="002E688A">
        <w:rPr>
          <w:rFonts w:ascii="Arial" w:eastAsia="Calibri" w:hAnsi="Arial" w:cs="Arial"/>
          <w:b/>
          <w:lang w:val="es-ES"/>
        </w:rPr>
        <w:t>6.2.4</w:t>
      </w:r>
      <w:r w:rsidRPr="002E688A">
        <w:rPr>
          <w:rFonts w:ascii="Arial" w:eastAsia="Calibri" w:hAnsi="Arial" w:cs="Arial"/>
          <w:b/>
          <w:lang w:val="es-ES"/>
        </w:rPr>
        <w:tab/>
        <w:t>Del acto de subasta pública y adjudicación de la Buena Pro</w:t>
      </w:r>
    </w:p>
    <w:p w:rsidR="000C2661" w:rsidRPr="000C2661" w:rsidRDefault="000C2661" w:rsidP="000C2661">
      <w:pPr>
        <w:spacing w:after="0" w:line="240" w:lineRule="auto"/>
        <w:contextualSpacing/>
        <w:jc w:val="both"/>
        <w:rPr>
          <w:rFonts w:ascii="Arial" w:eastAsia="Calibri" w:hAnsi="Arial" w:cs="Arial"/>
          <w:lang w:val="es-ES"/>
        </w:rPr>
      </w:pPr>
    </w:p>
    <w:p w:rsidR="000C2661" w:rsidRPr="000C2661" w:rsidRDefault="000C2661" w:rsidP="002E688A">
      <w:pPr>
        <w:spacing w:after="0" w:line="240" w:lineRule="auto"/>
        <w:ind w:left="1985" w:hanging="567"/>
        <w:contextualSpacing/>
        <w:jc w:val="both"/>
        <w:rPr>
          <w:rFonts w:ascii="Arial" w:eastAsia="Calibri" w:hAnsi="Arial" w:cs="Arial"/>
          <w:lang w:val="es-ES"/>
        </w:rPr>
      </w:pPr>
      <w:r w:rsidRPr="000C2661">
        <w:rPr>
          <w:rFonts w:ascii="Arial" w:eastAsia="Calibri" w:hAnsi="Arial" w:cs="Arial"/>
          <w:lang w:val="es-ES"/>
        </w:rPr>
        <w:t>a.</w:t>
      </w:r>
      <w:r w:rsidRPr="000C2661">
        <w:rPr>
          <w:rFonts w:ascii="Arial" w:eastAsia="Calibri" w:hAnsi="Arial" w:cs="Arial"/>
          <w:lang w:val="es-ES"/>
        </w:rPr>
        <w:tab/>
        <w:t>El acto de Subasta Pública es dirigido por el Subdirector de la SDDI,  en presencia de Notario Público.</w:t>
      </w:r>
    </w:p>
    <w:p w:rsidR="000C2661" w:rsidRPr="000C2661" w:rsidRDefault="000C2661" w:rsidP="002E688A">
      <w:pPr>
        <w:spacing w:after="0" w:line="240" w:lineRule="auto"/>
        <w:ind w:left="1985" w:hanging="567"/>
        <w:contextualSpacing/>
        <w:jc w:val="both"/>
        <w:rPr>
          <w:rFonts w:ascii="Arial" w:eastAsia="Calibri" w:hAnsi="Arial" w:cs="Arial"/>
          <w:lang w:val="es-ES"/>
        </w:rPr>
      </w:pPr>
    </w:p>
    <w:p w:rsidR="000C2661" w:rsidRPr="000C2661" w:rsidRDefault="000C2661" w:rsidP="002E688A">
      <w:pPr>
        <w:spacing w:after="0" w:line="240" w:lineRule="auto"/>
        <w:ind w:left="1985"/>
        <w:contextualSpacing/>
        <w:jc w:val="both"/>
        <w:rPr>
          <w:rFonts w:ascii="Arial" w:eastAsia="Calibri" w:hAnsi="Arial" w:cs="Arial"/>
          <w:lang w:val="es-ES"/>
        </w:rPr>
      </w:pPr>
      <w:r w:rsidRPr="000C2661">
        <w:rPr>
          <w:rFonts w:ascii="Arial" w:eastAsia="Calibri" w:hAnsi="Arial" w:cs="Arial"/>
          <w:lang w:val="es-ES"/>
        </w:rPr>
        <w:t>Es potestad del Subdirector de la SDDI suspender o reprogramar el acto público de subasta cuando, previo a resolver hechos, acciones o actos de naturaleza compleja que se presenten en el procedimiento,  deba solicitar asesoría, informes u opiniones a las unidades orgánicas correspondientes al tema discutido, las cuales deben cumplir con remitir lo solicitado en el plazo máximo de dos (02) días hábiles.</w:t>
      </w:r>
    </w:p>
    <w:p w:rsidR="000C2661" w:rsidRPr="000C2661" w:rsidRDefault="000C2661" w:rsidP="002E688A">
      <w:pPr>
        <w:spacing w:after="0" w:line="240" w:lineRule="auto"/>
        <w:ind w:left="1985" w:hanging="567"/>
        <w:contextualSpacing/>
        <w:jc w:val="both"/>
        <w:rPr>
          <w:rFonts w:ascii="Arial" w:eastAsia="Calibri" w:hAnsi="Arial" w:cs="Arial"/>
          <w:lang w:val="es-ES"/>
        </w:rPr>
      </w:pPr>
    </w:p>
    <w:p w:rsidR="000C2661" w:rsidRPr="000C2661" w:rsidRDefault="000C2661" w:rsidP="002E688A">
      <w:pPr>
        <w:spacing w:after="0" w:line="240" w:lineRule="auto"/>
        <w:ind w:left="1985" w:hanging="567"/>
        <w:contextualSpacing/>
        <w:jc w:val="both"/>
        <w:rPr>
          <w:rFonts w:ascii="Arial" w:eastAsia="Calibri" w:hAnsi="Arial" w:cs="Arial"/>
          <w:lang w:val="es-ES"/>
        </w:rPr>
      </w:pPr>
      <w:r w:rsidRPr="000C2661">
        <w:rPr>
          <w:rFonts w:ascii="Arial" w:eastAsia="Calibri" w:hAnsi="Arial" w:cs="Arial"/>
          <w:lang w:val="es-ES"/>
        </w:rPr>
        <w:t>b.</w:t>
      </w:r>
      <w:r w:rsidRPr="000C2661">
        <w:rPr>
          <w:rFonts w:ascii="Arial" w:eastAsia="Calibri" w:hAnsi="Arial" w:cs="Arial"/>
          <w:lang w:val="es-ES"/>
        </w:rPr>
        <w:tab/>
        <w:t xml:space="preserve">La modalidad de subasta  es a viva voz. </w:t>
      </w:r>
    </w:p>
    <w:p w:rsidR="000C2661" w:rsidRPr="000C2661" w:rsidRDefault="000C2661" w:rsidP="002E688A">
      <w:pPr>
        <w:spacing w:after="0" w:line="240" w:lineRule="auto"/>
        <w:ind w:left="1985" w:hanging="567"/>
        <w:contextualSpacing/>
        <w:jc w:val="both"/>
        <w:rPr>
          <w:rFonts w:ascii="Arial" w:eastAsia="Calibri" w:hAnsi="Arial" w:cs="Arial"/>
          <w:lang w:val="es-ES"/>
        </w:rPr>
      </w:pPr>
      <w:r w:rsidRPr="000C2661">
        <w:rPr>
          <w:rFonts w:ascii="Arial" w:eastAsia="Calibri" w:hAnsi="Arial" w:cs="Arial"/>
          <w:lang w:val="es-ES"/>
        </w:rPr>
        <w:t>c.</w:t>
      </w:r>
      <w:r w:rsidRPr="000C2661">
        <w:rPr>
          <w:rFonts w:ascii="Arial" w:eastAsia="Calibri" w:hAnsi="Arial" w:cs="Arial"/>
          <w:lang w:val="es-ES"/>
        </w:rPr>
        <w:tab/>
        <w:t>La adjudicación de la buena pro se efectúa después de anunciada la última puja por tres veces consecutivas y sin que se haya emitido una nueva propuesta, otorgándose al postor que haya formulado la oferta más alta. Las adjudicaciones de la buena pro solo son otorgadas dentro del acto público de la subasta. Otorgada la buena pro no procede la reapertura del mismo proceso de subasta, salvo que no se haya elevado la garantía o se haya incumplido el pago del precio, escenarios en los cuales se procede conforme a lo establecido en cada supuesto.</w:t>
      </w:r>
    </w:p>
    <w:p w:rsidR="000C2661" w:rsidRPr="000C2661" w:rsidRDefault="000C2661" w:rsidP="002E688A">
      <w:pPr>
        <w:spacing w:after="0" w:line="240" w:lineRule="auto"/>
        <w:ind w:left="1985" w:hanging="567"/>
        <w:contextualSpacing/>
        <w:jc w:val="both"/>
        <w:rPr>
          <w:rFonts w:ascii="Arial" w:eastAsia="Calibri" w:hAnsi="Arial" w:cs="Arial"/>
          <w:lang w:val="es-ES"/>
        </w:rPr>
      </w:pPr>
    </w:p>
    <w:p w:rsidR="000C2661" w:rsidRPr="000C2661" w:rsidRDefault="000C2661" w:rsidP="002E688A">
      <w:pPr>
        <w:spacing w:after="0" w:line="240" w:lineRule="auto"/>
        <w:ind w:left="1985" w:hanging="567"/>
        <w:contextualSpacing/>
        <w:jc w:val="both"/>
        <w:rPr>
          <w:rFonts w:ascii="Arial" w:eastAsia="Calibri" w:hAnsi="Arial" w:cs="Arial"/>
          <w:lang w:val="es-ES"/>
        </w:rPr>
      </w:pPr>
      <w:r w:rsidRPr="000C2661">
        <w:rPr>
          <w:rFonts w:ascii="Arial" w:eastAsia="Calibri" w:hAnsi="Arial" w:cs="Arial"/>
          <w:lang w:val="es-ES"/>
        </w:rPr>
        <w:t>d.</w:t>
      </w:r>
      <w:r w:rsidRPr="000C2661">
        <w:rPr>
          <w:rFonts w:ascii="Arial" w:eastAsia="Calibri" w:hAnsi="Arial" w:cs="Arial"/>
          <w:lang w:val="es-ES"/>
        </w:rPr>
        <w:tab/>
        <w:t>Si existe solo un postor hábil por lote, se adjudica la Buena Pro a dicho postor, se encuentre o no presente en el acto público y al precio base establecido para el lote.</w:t>
      </w:r>
    </w:p>
    <w:p w:rsidR="000C2661" w:rsidRPr="000C2661" w:rsidRDefault="000C2661" w:rsidP="002E688A">
      <w:pPr>
        <w:spacing w:after="0" w:line="240" w:lineRule="auto"/>
        <w:ind w:left="1985" w:hanging="567"/>
        <w:contextualSpacing/>
        <w:jc w:val="both"/>
        <w:rPr>
          <w:rFonts w:ascii="Arial" w:eastAsia="Calibri" w:hAnsi="Arial" w:cs="Arial"/>
          <w:lang w:val="es-ES"/>
        </w:rPr>
      </w:pPr>
    </w:p>
    <w:p w:rsidR="000C2661" w:rsidRPr="000C2661" w:rsidRDefault="000C2661" w:rsidP="002E688A">
      <w:pPr>
        <w:spacing w:after="0" w:line="240" w:lineRule="auto"/>
        <w:ind w:left="1985"/>
        <w:contextualSpacing/>
        <w:jc w:val="both"/>
        <w:rPr>
          <w:rFonts w:ascii="Arial" w:eastAsia="Calibri" w:hAnsi="Arial" w:cs="Arial"/>
          <w:lang w:val="es-ES"/>
        </w:rPr>
      </w:pPr>
      <w:r w:rsidRPr="000C2661">
        <w:rPr>
          <w:rFonts w:ascii="Arial" w:eastAsia="Calibri" w:hAnsi="Arial" w:cs="Arial"/>
          <w:lang w:val="es-ES"/>
        </w:rPr>
        <w:t xml:space="preserve">En caso exista más de un postor hábil por lote, pero ninguno se presenta al acto público, se adjudica la Buena Pro al primero que presentó su solicitud como postor  y al precio base establecido para el lote.       </w:t>
      </w:r>
    </w:p>
    <w:p w:rsidR="000C2661" w:rsidRPr="000C2661" w:rsidRDefault="000C2661" w:rsidP="002E688A">
      <w:pPr>
        <w:spacing w:after="0" w:line="240" w:lineRule="auto"/>
        <w:ind w:left="1985" w:hanging="567"/>
        <w:contextualSpacing/>
        <w:jc w:val="both"/>
        <w:rPr>
          <w:rFonts w:ascii="Arial" w:eastAsia="Calibri" w:hAnsi="Arial" w:cs="Arial"/>
          <w:lang w:val="es-ES"/>
        </w:rPr>
      </w:pPr>
    </w:p>
    <w:p w:rsidR="000C2661" w:rsidRPr="000C2661" w:rsidRDefault="000C2661" w:rsidP="002E688A">
      <w:pPr>
        <w:spacing w:after="0" w:line="240" w:lineRule="auto"/>
        <w:ind w:left="1985"/>
        <w:contextualSpacing/>
        <w:jc w:val="both"/>
        <w:rPr>
          <w:rFonts w:ascii="Arial" w:eastAsia="Calibri" w:hAnsi="Arial" w:cs="Arial"/>
          <w:lang w:val="es-ES"/>
        </w:rPr>
      </w:pPr>
      <w:r w:rsidRPr="000C2661">
        <w:rPr>
          <w:rFonts w:ascii="Arial" w:eastAsia="Calibri" w:hAnsi="Arial" w:cs="Arial"/>
          <w:lang w:val="es-ES"/>
        </w:rPr>
        <w:t>Si no hubiera postor hábil se declara desierta la subasta del respectivo lote.</w:t>
      </w:r>
    </w:p>
    <w:p w:rsidR="000C2661" w:rsidRPr="000C2661" w:rsidRDefault="000C2661" w:rsidP="002E688A">
      <w:pPr>
        <w:spacing w:after="0" w:line="240" w:lineRule="auto"/>
        <w:ind w:left="1985" w:hanging="567"/>
        <w:contextualSpacing/>
        <w:jc w:val="both"/>
        <w:rPr>
          <w:rFonts w:ascii="Arial" w:eastAsia="Calibri" w:hAnsi="Arial" w:cs="Arial"/>
          <w:lang w:val="es-ES"/>
        </w:rPr>
      </w:pPr>
    </w:p>
    <w:p w:rsidR="000C2661" w:rsidRPr="000C2661" w:rsidRDefault="000C2661" w:rsidP="002E688A">
      <w:pPr>
        <w:spacing w:after="0" w:line="240" w:lineRule="auto"/>
        <w:ind w:left="1985" w:hanging="567"/>
        <w:contextualSpacing/>
        <w:jc w:val="both"/>
        <w:rPr>
          <w:rFonts w:ascii="Arial" w:eastAsia="Calibri" w:hAnsi="Arial" w:cs="Arial"/>
          <w:lang w:val="es-ES"/>
        </w:rPr>
      </w:pPr>
      <w:r w:rsidRPr="000C2661">
        <w:rPr>
          <w:rFonts w:ascii="Arial" w:eastAsia="Calibri" w:hAnsi="Arial" w:cs="Arial"/>
          <w:lang w:val="es-ES"/>
        </w:rPr>
        <w:t>e.</w:t>
      </w:r>
      <w:r w:rsidRPr="000C2661">
        <w:rPr>
          <w:rFonts w:ascii="Arial" w:eastAsia="Calibri" w:hAnsi="Arial" w:cs="Arial"/>
          <w:lang w:val="es-ES"/>
        </w:rPr>
        <w:tab/>
        <w:t>Si durante la realización de la subasta, en la  puja se llega al 500% del precio base del lote, se suspende la subasta, debiendo todos los postores interesados en continuar con la puja elevar su garantía al 20% de sus respectivas ofertas.</w:t>
      </w:r>
    </w:p>
    <w:p w:rsidR="000C2661" w:rsidRPr="000C2661" w:rsidRDefault="000C2661" w:rsidP="002E688A">
      <w:pPr>
        <w:spacing w:after="0" w:line="240" w:lineRule="auto"/>
        <w:ind w:left="1985" w:hanging="567"/>
        <w:contextualSpacing/>
        <w:jc w:val="both"/>
        <w:rPr>
          <w:rFonts w:ascii="Arial" w:eastAsia="Calibri" w:hAnsi="Arial" w:cs="Arial"/>
          <w:lang w:val="es-ES"/>
        </w:rPr>
      </w:pPr>
    </w:p>
    <w:p w:rsidR="000C2661" w:rsidRPr="000C2661" w:rsidRDefault="000C2661" w:rsidP="002E688A">
      <w:pPr>
        <w:spacing w:after="0" w:line="240" w:lineRule="auto"/>
        <w:ind w:left="1985"/>
        <w:contextualSpacing/>
        <w:jc w:val="both"/>
        <w:rPr>
          <w:rFonts w:ascii="Arial" w:eastAsia="Calibri" w:hAnsi="Arial" w:cs="Arial"/>
          <w:lang w:val="es-ES"/>
        </w:rPr>
      </w:pPr>
      <w:r w:rsidRPr="000C2661">
        <w:rPr>
          <w:rFonts w:ascii="Arial" w:eastAsia="Calibri" w:hAnsi="Arial" w:cs="Arial"/>
          <w:lang w:val="es-ES"/>
        </w:rPr>
        <w:t>El plazo para elevar la garantía es de tres (03) días hábiles contados a partir de la realización del acto público, reanudándose el mismo al día siguiente de vencido dicho plazo.</w:t>
      </w:r>
    </w:p>
    <w:p w:rsidR="000C2661" w:rsidRPr="000C2661" w:rsidRDefault="000C2661" w:rsidP="002E688A">
      <w:pPr>
        <w:spacing w:after="0" w:line="240" w:lineRule="auto"/>
        <w:ind w:left="1985" w:hanging="567"/>
        <w:contextualSpacing/>
        <w:jc w:val="both"/>
        <w:rPr>
          <w:rFonts w:ascii="Arial" w:eastAsia="Calibri" w:hAnsi="Arial" w:cs="Arial"/>
          <w:lang w:val="es-ES"/>
        </w:rPr>
      </w:pPr>
    </w:p>
    <w:p w:rsidR="000C2661" w:rsidRPr="000C2661" w:rsidRDefault="000C2661" w:rsidP="002E688A">
      <w:pPr>
        <w:spacing w:after="0" w:line="240" w:lineRule="auto"/>
        <w:ind w:left="1985"/>
        <w:contextualSpacing/>
        <w:jc w:val="both"/>
        <w:rPr>
          <w:rFonts w:ascii="Arial" w:eastAsia="Calibri" w:hAnsi="Arial" w:cs="Arial"/>
          <w:lang w:val="es-ES"/>
        </w:rPr>
      </w:pPr>
      <w:r w:rsidRPr="000C2661">
        <w:rPr>
          <w:rFonts w:ascii="Arial" w:eastAsia="Calibri" w:hAnsi="Arial" w:cs="Arial"/>
          <w:lang w:val="es-ES"/>
        </w:rPr>
        <w:t>Si solo un postor cumple con elevar su garantía, se le adjudica a éste la buena pro del lote. Si ningún postor eleva su garantía, el lote es adjudicado a quien presentó la mayor oferta. En ambos casos, la adjudicación se efectúa aun cuando los postores no se encuentren presentes en el acto público.</w:t>
      </w:r>
    </w:p>
    <w:p w:rsidR="000C2661" w:rsidRPr="000C2661" w:rsidRDefault="000C2661" w:rsidP="002E688A">
      <w:pPr>
        <w:spacing w:after="0" w:line="240" w:lineRule="auto"/>
        <w:ind w:left="1985" w:hanging="567"/>
        <w:contextualSpacing/>
        <w:jc w:val="both"/>
        <w:rPr>
          <w:rFonts w:ascii="Arial" w:eastAsia="Calibri" w:hAnsi="Arial" w:cs="Arial"/>
          <w:lang w:val="es-ES"/>
        </w:rPr>
      </w:pPr>
    </w:p>
    <w:p w:rsidR="000C2661" w:rsidRPr="000C2661" w:rsidRDefault="000C2661" w:rsidP="002E688A">
      <w:pPr>
        <w:spacing w:after="0" w:line="240" w:lineRule="auto"/>
        <w:ind w:left="1985" w:hanging="567"/>
        <w:contextualSpacing/>
        <w:jc w:val="both"/>
        <w:rPr>
          <w:rFonts w:ascii="Arial" w:eastAsia="Calibri" w:hAnsi="Arial" w:cs="Arial"/>
          <w:lang w:val="es-ES"/>
        </w:rPr>
      </w:pPr>
      <w:r w:rsidRPr="000C2661">
        <w:rPr>
          <w:rFonts w:ascii="Arial" w:eastAsia="Calibri" w:hAnsi="Arial" w:cs="Arial"/>
          <w:lang w:val="es-ES"/>
        </w:rPr>
        <w:t>f.</w:t>
      </w:r>
      <w:r w:rsidRPr="000C2661">
        <w:rPr>
          <w:rFonts w:ascii="Arial" w:eastAsia="Calibri" w:hAnsi="Arial" w:cs="Arial"/>
          <w:lang w:val="es-ES"/>
        </w:rPr>
        <w:tab/>
        <w:t>Al finalizar el acto de subasta pública se levanta un acta que consigne lo acontecido en el mismo, el cual es firmado por el Subdirector de la SDDI, el Notario Público, los adjudicatarios de la buena pro y los postores participantes que deseen hacerlo. En el acta se consigna además, en estricto orden, las propuestas de los demás postores, que hubieran ofertado respecto a cada lote, de ser el caso.</w:t>
      </w:r>
    </w:p>
    <w:p w:rsidR="000C2661" w:rsidRPr="000C2661" w:rsidRDefault="000C2661" w:rsidP="002E688A">
      <w:pPr>
        <w:spacing w:after="0" w:line="240" w:lineRule="auto"/>
        <w:ind w:left="1985" w:hanging="567"/>
        <w:contextualSpacing/>
        <w:jc w:val="both"/>
        <w:rPr>
          <w:rFonts w:ascii="Arial" w:eastAsia="Calibri" w:hAnsi="Arial" w:cs="Arial"/>
          <w:lang w:val="es-ES"/>
        </w:rPr>
      </w:pPr>
    </w:p>
    <w:p w:rsidR="000C2661" w:rsidRPr="000C2661" w:rsidRDefault="000C2661" w:rsidP="002E688A">
      <w:pPr>
        <w:spacing w:after="0" w:line="240" w:lineRule="auto"/>
        <w:ind w:left="1985" w:hanging="567"/>
        <w:contextualSpacing/>
        <w:jc w:val="both"/>
        <w:rPr>
          <w:rFonts w:ascii="Arial" w:eastAsia="Calibri" w:hAnsi="Arial" w:cs="Arial"/>
          <w:lang w:val="es-ES"/>
        </w:rPr>
      </w:pPr>
      <w:r w:rsidRPr="000C2661">
        <w:rPr>
          <w:rFonts w:ascii="Arial" w:eastAsia="Calibri" w:hAnsi="Arial" w:cs="Arial"/>
          <w:lang w:val="es-ES"/>
        </w:rPr>
        <w:t>g.</w:t>
      </w:r>
      <w:r w:rsidRPr="000C2661">
        <w:rPr>
          <w:rFonts w:ascii="Arial" w:eastAsia="Calibri" w:hAnsi="Arial" w:cs="Arial"/>
          <w:lang w:val="es-ES"/>
        </w:rPr>
        <w:tab/>
        <w:t>Concluido el acto público de subasta, el cheque de gerencia entregado como garantía por el postor que resultó adjudicatario de la buena pro queda retenido, como garantía de pago del precio de venta. Asimismo, queda retenida la garantía presentada por el segundo mejor ofertante, para proseguir con el trámite ante el eventual incumplimiento del adjudicatario</w:t>
      </w:r>
    </w:p>
    <w:p w:rsidR="000C2661" w:rsidRPr="000C2661" w:rsidRDefault="000C2661" w:rsidP="002E688A">
      <w:pPr>
        <w:spacing w:after="0" w:line="240" w:lineRule="auto"/>
        <w:ind w:left="1985" w:hanging="567"/>
        <w:contextualSpacing/>
        <w:jc w:val="both"/>
        <w:rPr>
          <w:rFonts w:ascii="Arial" w:eastAsia="Calibri" w:hAnsi="Arial" w:cs="Arial"/>
          <w:lang w:val="es-ES"/>
        </w:rPr>
      </w:pPr>
    </w:p>
    <w:p w:rsidR="000C2661" w:rsidRPr="000C2661" w:rsidRDefault="000C2661" w:rsidP="002E688A">
      <w:pPr>
        <w:spacing w:after="0" w:line="240" w:lineRule="auto"/>
        <w:ind w:left="1985"/>
        <w:contextualSpacing/>
        <w:jc w:val="both"/>
        <w:rPr>
          <w:rFonts w:ascii="Arial" w:eastAsia="Calibri" w:hAnsi="Arial" w:cs="Arial"/>
          <w:lang w:val="es-ES"/>
        </w:rPr>
      </w:pPr>
      <w:r w:rsidRPr="000C2661">
        <w:rPr>
          <w:rFonts w:ascii="Arial" w:eastAsia="Calibri" w:hAnsi="Arial" w:cs="Arial"/>
          <w:lang w:val="es-ES"/>
        </w:rPr>
        <w:t xml:space="preserve">Las garantías del tercero  y demás ofertantes también quedan retenidas a menos que soliciten su devolución (anexo 5 de las Bases Administrativas), en cuyo caso quedan excluídos del proceso. </w:t>
      </w:r>
    </w:p>
    <w:p w:rsidR="000C2661" w:rsidRPr="000C2661" w:rsidRDefault="000C2661" w:rsidP="002E688A">
      <w:pPr>
        <w:spacing w:after="0" w:line="240" w:lineRule="auto"/>
        <w:ind w:left="1985" w:hanging="567"/>
        <w:contextualSpacing/>
        <w:jc w:val="both"/>
        <w:rPr>
          <w:rFonts w:ascii="Arial" w:eastAsia="Calibri" w:hAnsi="Arial" w:cs="Arial"/>
          <w:lang w:val="es-ES"/>
        </w:rPr>
      </w:pPr>
    </w:p>
    <w:p w:rsidR="000C2661" w:rsidRPr="000C2661" w:rsidRDefault="000C2661" w:rsidP="002E688A">
      <w:pPr>
        <w:spacing w:after="0" w:line="240" w:lineRule="auto"/>
        <w:ind w:left="1985" w:hanging="567"/>
        <w:contextualSpacing/>
        <w:jc w:val="both"/>
        <w:rPr>
          <w:rFonts w:ascii="Arial" w:eastAsia="Calibri" w:hAnsi="Arial" w:cs="Arial"/>
          <w:lang w:val="es-ES"/>
        </w:rPr>
      </w:pPr>
      <w:r w:rsidRPr="000C2661">
        <w:rPr>
          <w:rFonts w:ascii="Arial" w:eastAsia="Calibri" w:hAnsi="Arial" w:cs="Arial"/>
          <w:lang w:val="es-ES"/>
        </w:rPr>
        <w:t>h.</w:t>
      </w:r>
      <w:r w:rsidRPr="000C2661">
        <w:rPr>
          <w:rFonts w:ascii="Arial" w:eastAsia="Calibri" w:hAnsi="Arial" w:cs="Arial"/>
          <w:lang w:val="es-ES"/>
        </w:rPr>
        <w:tab/>
        <w:t>En el plazo máximo de tres (3) días hábiles, contados desde el día siguiente del acto público de subasta, el adjudicatario de la buena pro eleva el fondo de garantía hasta el 30% del monto de adjudicación con cheque de gerencia emitido por una entidad financiera  o mediante depósito en la cuenta de la SBN, al tipo de cambio del día fijado por la Superintendencia de Banca y Seguros - SBS, en caso de haberse establecido el pago en moneda extranjera. Elevada la garantía se procede al pago del precio de venta conforme a los plazos establecidos en el literal a) del numeral 6.2.5. de la presente Directiva.</w:t>
      </w:r>
    </w:p>
    <w:p w:rsidR="000C2661" w:rsidRPr="000C2661" w:rsidRDefault="000C2661" w:rsidP="002E688A">
      <w:pPr>
        <w:spacing w:after="0" w:line="240" w:lineRule="auto"/>
        <w:ind w:left="1985" w:hanging="567"/>
        <w:contextualSpacing/>
        <w:jc w:val="both"/>
        <w:rPr>
          <w:rFonts w:ascii="Arial" w:eastAsia="Calibri" w:hAnsi="Arial" w:cs="Arial"/>
          <w:lang w:val="es-ES"/>
        </w:rPr>
      </w:pPr>
    </w:p>
    <w:p w:rsidR="000C2661" w:rsidRPr="000C2661" w:rsidRDefault="000C2661" w:rsidP="002E688A">
      <w:pPr>
        <w:spacing w:after="0" w:line="240" w:lineRule="auto"/>
        <w:ind w:left="1985" w:hanging="567"/>
        <w:contextualSpacing/>
        <w:jc w:val="both"/>
        <w:rPr>
          <w:rFonts w:ascii="Arial" w:eastAsia="Calibri" w:hAnsi="Arial" w:cs="Arial"/>
          <w:lang w:val="es-ES"/>
        </w:rPr>
      </w:pPr>
      <w:r w:rsidRPr="000C2661">
        <w:rPr>
          <w:rFonts w:ascii="Arial" w:eastAsia="Calibri" w:hAnsi="Arial" w:cs="Arial"/>
          <w:lang w:val="es-ES"/>
        </w:rPr>
        <w:t>i.</w:t>
      </w:r>
      <w:r w:rsidRPr="000C2661">
        <w:rPr>
          <w:rFonts w:ascii="Arial" w:eastAsia="Calibri" w:hAnsi="Arial" w:cs="Arial"/>
          <w:lang w:val="es-ES"/>
        </w:rPr>
        <w:tab/>
        <w:t>En caso que el adjudicatario de la buena pro no eleve la garantía al 30% del monto adjudicado dentro del plazo establecido, pierde la opción de pago con financiamiento bancario y la programación establecida en el numeral 6.2.5 de la presente Directiva, debiendo pagar el precio de venta total dentro del plazo de diez (10) días hábiles, contados desde el día siguiente de la adjudicación del lote. En caso de no efectuar el pago del precio de venta en el citado plazo, pierde la condición de adjudicatario de la buena pro y el cheque entregado en garantía queda como indemnización en favor de la SBN o del Gobierno Regional con funciones transferidas.</w:t>
      </w:r>
    </w:p>
    <w:p w:rsidR="000C2661" w:rsidRPr="000C2661" w:rsidRDefault="000C2661" w:rsidP="002E688A">
      <w:pPr>
        <w:spacing w:after="0" w:line="240" w:lineRule="auto"/>
        <w:ind w:left="1985" w:hanging="567"/>
        <w:contextualSpacing/>
        <w:jc w:val="both"/>
        <w:rPr>
          <w:rFonts w:ascii="Arial" w:eastAsia="Calibri" w:hAnsi="Arial" w:cs="Arial"/>
          <w:lang w:val="es-ES"/>
        </w:rPr>
      </w:pPr>
    </w:p>
    <w:p w:rsidR="000C2661" w:rsidRPr="000C2661" w:rsidRDefault="000C2661" w:rsidP="002E688A">
      <w:pPr>
        <w:spacing w:after="0" w:line="240" w:lineRule="auto"/>
        <w:ind w:left="1985" w:hanging="567"/>
        <w:contextualSpacing/>
        <w:jc w:val="both"/>
        <w:rPr>
          <w:rFonts w:ascii="Arial" w:eastAsia="Calibri" w:hAnsi="Arial" w:cs="Arial"/>
          <w:lang w:val="es-ES"/>
        </w:rPr>
      </w:pPr>
      <w:r w:rsidRPr="000C2661">
        <w:rPr>
          <w:rFonts w:ascii="Arial" w:eastAsia="Calibri" w:hAnsi="Arial" w:cs="Arial"/>
          <w:lang w:val="es-ES"/>
        </w:rPr>
        <w:t>j.</w:t>
      </w:r>
      <w:r w:rsidRPr="000C2661">
        <w:rPr>
          <w:rFonts w:ascii="Arial" w:eastAsia="Calibri" w:hAnsi="Arial" w:cs="Arial"/>
          <w:lang w:val="es-ES"/>
        </w:rPr>
        <w:tab/>
        <w:t>A continuación, la SDDI comunica tal situación al postor que haya obtenido la segunda mejor oferta, para que este cumpla con elevar la garantía al 30% del precio ofertado, conforme al nuevo cronograma y plazos que debe indicársele en la misma comunicación; de no cumplir con dicho pago, el cheque entregado en garantía queda como indemnización en favor de la SBN o del Gobierno Regional con funciones transferidas, a cargo de la subasta.</w:t>
      </w:r>
    </w:p>
    <w:p w:rsidR="000C2661" w:rsidRPr="000C2661" w:rsidRDefault="000C2661" w:rsidP="002E688A">
      <w:pPr>
        <w:spacing w:after="0" w:line="240" w:lineRule="auto"/>
        <w:ind w:left="1985" w:hanging="567"/>
        <w:contextualSpacing/>
        <w:jc w:val="both"/>
        <w:rPr>
          <w:rFonts w:ascii="Arial" w:eastAsia="Calibri" w:hAnsi="Arial" w:cs="Arial"/>
          <w:lang w:val="es-ES"/>
        </w:rPr>
      </w:pPr>
    </w:p>
    <w:p w:rsidR="000C2661" w:rsidRPr="000C2661" w:rsidRDefault="000C2661" w:rsidP="002E688A">
      <w:pPr>
        <w:spacing w:after="0" w:line="240" w:lineRule="auto"/>
        <w:ind w:left="1985"/>
        <w:contextualSpacing/>
        <w:jc w:val="both"/>
        <w:rPr>
          <w:rFonts w:ascii="Arial" w:eastAsia="Calibri" w:hAnsi="Arial" w:cs="Arial"/>
          <w:lang w:val="es-ES"/>
        </w:rPr>
      </w:pPr>
      <w:r w:rsidRPr="000C2661">
        <w:rPr>
          <w:rFonts w:ascii="Arial" w:eastAsia="Calibri" w:hAnsi="Arial" w:cs="Arial"/>
          <w:lang w:val="es-ES"/>
        </w:rPr>
        <w:t>En caso que no se logre la venta del lote al segundo ofertante, la SDDI comunica dicha situación a los demás postores  que hubieren ofertado en el acto público y no hayan solicitado la devolución de su garantía, de acuerdo al orden establecido en el acta, salvo que hayan quedado excluídos del proceso, conforme al literal g) del numeral 6.2.4, de la presente Directiva.</w:t>
      </w:r>
    </w:p>
    <w:p w:rsidR="000C2661" w:rsidRPr="000C2661" w:rsidRDefault="000C2661" w:rsidP="002E688A">
      <w:pPr>
        <w:spacing w:after="0" w:line="240" w:lineRule="auto"/>
        <w:ind w:left="1985" w:hanging="567"/>
        <w:contextualSpacing/>
        <w:jc w:val="both"/>
        <w:rPr>
          <w:rFonts w:ascii="Arial" w:eastAsia="Calibri" w:hAnsi="Arial" w:cs="Arial"/>
          <w:lang w:val="es-ES"/>
        </w:rPr>
      </w:pPr>
    </w:p>
    <w:p w:rsidR="000C2661" w:rsidRPr="000C2661" w:rsidRDefault="000C2661" w:rsidP="002E688A">
      <w:pPr>
        <w:spacing w:after="0" w:line="240" w:lineRule="auto"/>
        <w:ind w:left="1985"/>
        <w:contextualSpacing/>
        <w:jc w:val="both"/>
        <w:rPr>
          <w:rFonts w:ascii="Arial" w:eastAsia="Calibri" w:hAnsi="Arial" w:cs="Arial"/>
          <w:lang w:val="es-ES"/>
        </w:rPr>
      </w:pPr>
      <w:r w:rsidRPr="000C2661">
        <w:rPr>
          <w:rFonts w:ascii="Arial" w:eastAsia="Calibri" w:hAnsi="Arial" w:cs="Arial"/>
          <w:lang w:val="es-ES"/>
        </w:rPr>
        <w:t>De no lograrse la venta se declara abandonado el lote en la convocatoria respectiva.</w:t>
      </w:r>
    </w:p>
    <w:p w:rsidR="000C2661" w:rsidRPr="000C2661" w:rsidRDefault="000C2661" w:rsidP="002E688A">
      <w:pPr>
        <w:spacing w:after="0" w:line="240" w:lineRule="auto"/>
        <w:ind w:left="1985" w:hanging="567"/>
        <w:contextualSpacing/>
        <w:jc w:val="both"/>
        <w:rPr>
          <w:rFonts w:ascii="Arial" w:eastAsia="Calibri" w:hAnsi="Arial" w:cs="Arial"/>
          <w:lang w:val="es-ES"/>
        </w:rPr>
      </w:pPr>
    </w:p>
    <w:p w:rsidR="000C2661" w:rsidRPr="000C2661" w:rsidRDefault="000C2661" w:rsidP="002E688A">
      <w:pPr>
        <w:spacing w:after="0" w:line="240" w:lineRule="auto"/>
        <w:ind w:left="1985" w:hanging="567"/>
        <w:contextualSpacing/>
        <w:jc w:val="both"/>
        <w:rPr>
          <w:rFonts w:ascii="Arial" w:eastAsia="Calibri" w:hAnsi="Arial" w:cs="Arial"/>
          <w:lang w:val="es-ES"/>
        </w:rPr>
      </w:pPr>
      <w:r w:rsidRPr="000C2661">
        <w:rPr>
          <w:rFonts w:ascii="Arial" w:eastAsia="Calibri" w:hAnsi="Arial" w:cs="Arial"/>
          <w:lang w:val="es-ES"/>
        </w:rPr>
        <w:t>k.</w:t>
      </w:r>
      <w:r w:rsidRPr="000C2661">
        <w:rPr>
          <w:rFonts w:ascii="Arial" w:eastAsia="Calibri" w:hAnsi="Arial" w:cs="Arial"/>
          <w:lang w:val="es-ES"/>
        </w:rPr>
        <w:tab/>
        <w:t xml:space="preserve">Cuando el lote ha sido adjudicado pero la venta no llega a concretarse por incumplimiento del pago, corresponde declararlo como abandonado, debiendo constar dicha declaración en Acta. </w:t>
      </w:r>
    </w:p>
    <w:p w:rsidR="000C2661" w:rsidRPr="000C2661" w:rsidRDefault="000C2661" w:rsidP="002E688A">
      <w:pPr>
        <w:spacing w:after="0" w:line="240" w:lineRule="auto"/>
        <w:ind w:left="1985" w:hanging="567"/>
        <w:contextualSpacing/>
        <w:jc w:val="both"/>
        <w:rPr>
          <w:rFonts w:ascii="Arial" w:eastAsia="Calibri" w:hAnsi="Arial" w:cs="Arial"/>
          <w:lang w:val="es-ES"/>
        </w:rPr>
      </w:pPr>
    </w:p>
    <w:p w:rsidR="000C2661" w:rsidRPr="000C2661" w:rsidRDefault="000C2661" w:rsidP="002E688A">
      <w:pPr>
        <w:spacing w:after="0" w:line="240" w:lineRule="auto"/>
        <w:ind w:left="1985"/>
        <w:contextualSpacing/>
        <w:jc w:val="both"/>
        <w:rPr>
          <w:rFonts w:ascii="Arial" w:eastAsia="Calibri" w:hAnsi="Arial" w:cs="Arial"/>
          <w:lang w:val="es-ES"/>
        </w:rPr>
      </w:pPr>
      <w:r w:rsidRPr="000C2661">
        <w:rPr>
          <w:rFonts w:ascii="Arial" w:eastAsia="Calibri" w:hAnsi="Arial" w:cs="Arial"/>
          <w:lang w:val="es-ES"/>
        </w:rPr>
        <w:t>Declarado el abandono del lote, la SDDI procede a realizar una nueva convocatoria, salvo que se trate de la tercera convocatoria, en cuyo caso se da por concluido el procedimiento.</w:t>
      </w:r>
    </w:p>
    <w:p w:rsidR="000C2661" w:rsidRPr="000C2661" w:rsidRDefault="000C2661" w:rsidP="002E688A">
      <w:pPr>
        <w:spacing w:after="0" w:line="240" w:lineRule="auto"/>
        <w:ind w:left="1985" w:hanging="567"/>
        <w:contextualSpacing/>
        <w:jc w:val="both"/>
        <w:rPr>
          <w:rFonts w:ascii="Arial" w:eastAsia="Calibri" w:hAnsi="Arial" w:cs="Arial"/>
          <w:lang w:val="es-ES"/>
        </w:rPr>
      </w:pPr>
    </w:p>
    <w:p w:rsidR="000C2661" w:rsidRPr="000C2661" w:rsidRDefault="000C2661" w:rsidP="002E688A">
      <w:pPr>
        <w:spacing w:after="0" w:line="240" w:lineRule="auto"/>
        <w:ind w:left="1985" w:hanging="567"/>
        <w:contextualSpacing/>
        <w:jc w:val="both"/>
        <w:rPr>
          <w:rFonts w:ascii="Arial" w:eastAsia="Calibri" w:hAnsi="Arial" w:cs="Arial"/>
          <w:lang w:val="es-ES"/>
        </w:rPr>
      </w:pPr>
      <w:r w:rsidRPr="000C2661">
        <w:rPr>
          <w:rFonts w:ascii="Arial" w:eastAsia="Calibri" w:hAnsi="Arial" w:cs="Arial"/>
          <w:lang w:val="es-ES"/>
        </w:rPr>
        <w:t>l.</w:t>
      </w:r>
      <w:r w:rsidRPr="000C2661">
        <w:rPr>
          <w:rFonts w:ascii="Arial" w:eastAsia="Calibri" w:hAnsi="Arial" w:cs="Arial"/>
          <w:lang w:val="es-ES"/>
        </w:rPr>
        <w:tab/>
        <w:t>En caso que el lote objeto de una nueva convocatoria haya sido declarado en abandono y por el cual se realizaron ofertas hasta el 500% de su precio base en la última puja, el monto de la garantía que deben entregar los postores es el equivalente al 30% del precio base.</w:t>
      </w:r>
    </w:p>
    <w:p w:rsidR="000C2661" w:rsidRPr="000C2661" w:rsidRDefault="000C2661" w:rsidP="002E688A">
      <w:pPr>
        <w:spacing w:after="0" w:line="240" w:lineRule="auto"/>
        <w:ind w:left="1985" w:hanging="567"/>
        <w:contextualSpacing/>
        <w:jc w:val="both"/>
        <w:rPr>
          <w:rFonts w:ascii="Arial" w:eastAsia="Calibri" w:hAnsi="Arial" w:cs="Arial"/>
          <w:lang w:val="es-ES"/>
        </w:rPr>
      </w:pPr>
    </w:p>
    <w:p w:rsidR="000C2661" w:rsidRPr="000C2661" w:rsidRDefault="000C2661" w:rsidP="002E688A">
      <w:pPr>
        <w:spacing w:after="0" w:line="240" w:lineRule="auto"/>
        <w:ind w:left="1985" w:hanging="567"/>
        <w:contextualSpacing/>
        <w:jc w:val="both"/>
        <w:rPr>
          <w:rFonts w:ascii="Arial" w:eastAsia="Calibri" w:hAnsi="Arial" w:cs="Arial"/>
          <w:lang w:val="es-ES"/>
        </w:rPr>
      </w:pPr>
      <w:r w:rsidRPr="000C2661">
        <w:rPr>
          <w:rFonts w:ascii="Arial" w:eastAsia="Calibri" w:hAnsi="Arial" w:cs="Arial"/>
          <w:lang w:val="es-ES"/>
        </w:rPr>
        <w:t>m.</w:t>
      </w:r>
      <w:r w:rsidRPr="000C2661">
        <w:rPr>
          <w:rFonts w:ascii="Arial" w:eastAsia="Calibri" w:hAnsi="Arial" w:cs="Arial"/>
          <w:lang w:val="es-ES"/>
        </w:rPr>
        <w:tab/>
        <w:t>La venta por subasta pública puede tener hasta una tercera convocatoria, luego de la cual, en caso que no se hubiere vendido el predio, la SDDI dará por concluido el procedimiento, pudiendo iniciarse posteriormente un nuevo trámite de venta. Si no se efectúa una segunda o tercera convocatoria, según sea el caso, dentro de los 08 meses de haber quedado desierta la venta, también se da por concluido el procedimiento.</w:t>
      </w:r>
    </w:p>
    <w:p w:rsidR="000C2661" w:rsidRPr="000C2661" w:rsidRDefault="000C2661" w:rsidP="002E688A">
      <w:pPr>
        <w:spacing w:after="0" w:line="240" w:lineRule="auto"/>
        <w:ind w:left="1985" w:hanging="567"/>
        <w:contextualSpacing/>
        <w:jc w:val="both"/>
        <w:rPr>
          <w:rFonts w:ascii="Arial" w:eastAsia="Calibri" w:hAnsi="Arial" w:cs="Arial"/>
          <w:lang w:val="es-ES"/>
        </w:rPr>
      </w:pPr>
    </w:p>
    <w:p w:rsidR="000C2661" w:rsidRPr="000C2661" w:rsidRDefault="000C2661" w:rsidP="002E688A">
      <w:pPr>
        <w:spacing w:after="0" w:line="240" w:lineRule="auto"/>
        <w:ind w:left="1985"/>
        <w:contextualSpacing/>
        <w:jc w:val="both"/>
        <w:rPr>
          <w:rFonts w:ascii="Arial" w:eastAsia="Calibri" w:hAnsi="Arial" w:cs="Arial"/>
          <w:lang w:val="es-ES"/>
        </w:rPr>
      </w:pPr>
      <w:r w:rsidRPr="000C2661">
        <w:rPr>
          <w:rFonts w:ascii="Arial" w:eastAsia="Calibri" w:hAnsi="Arial" w:cs="Arial"/>
          <w:lang w:val="es-ES"/>
        </w:rPr>
        <w:t>Si no se hubiere efectuado la primera convocatoria durante la vigencia de la valorización o habiéndose convocado y adjudicado la buena pro, el lote hubiese quedado en abandono, la SDDI puede gestionar la actualización de la valorización en el mismo expediente en que se sustentó la autorización de venta, debiendo emitirse una nueva resolución mediante la cual se aprueba el nuevo precio base.</w:t>
      </w:r>
    </w:p>
    <w:p w:rsidR="000C2661" w:rsidRPr="000C2661" w:rsidRDefault="000C2661" w:rsidP="002E688A">
      <w:pPr>
        <w:spacing w:after="0" w:line="240" w:lineRule="auto"/>
        <w:ind w:left="1985" w:hanging="567"/>
        <w:contextualSpacing/>
        <w:jc w:val="both"/>
        <w:rPr>
          <w:rFonts w:ascii="Arial" w:eastAsia="Calibri" w:hAnsi="Arial" w:cs="Arial"/>
          <w:lang w:val="es-ES"/>
        </w:rPr>
      </w:pPr>
    </w:p>
    <w:p w:rsidR="000C2661" w:rsidRPr="000C2661" w:rsidRDefault="000C2661" w:rsidP="002E688A">
      <w:pPr>
        <w:spacing w:after="0" w:line="240" w:lineRule="auto"/>
        <w:ind w:left="1985" w:hanging="567"/>
        <w:contextualSpacing/>
        <w:jc w:val="both"/>
        <w:rPr>
          <w:rFonts w:ascii="Arial" w:eastAsia="Calibri" w:hAnsi="Arial" w:cs="Arial"/>
          <w:lang w:val="es-ES"/>
        </w:rPr>
      </w:pPr>
      <w:r w:rsidRPr="000C2661">
        <w:rPr>
          <w:rFonts w:ascii="Arial" w:eastAsia="Calibri" w:hAnsi="Arial" w:cs="Arial"/>
          <w:lang w:val="es-ES"/>
        </w:rPr>
        <w:t>n.</w:t>
      </w:r>
      <w:r w:rsidRPr="000C2661">
        <w:rPr>
          <w:rFonts w:ascii="Arial" w:eastAsia="Calibri" w:hAnsi="Arial" w:cs="Arial"/>
          <w:lang w:val="es-ES"/>
        </w:rPr>
        <w:tab/>
        <w:t>En caso de declararse concluido el procedimiento de subasta pública por encargo, sin haberse efectuado la venta, la SDDI comunica a la OAF para que requiera a la entidad propietaria del predio en venta, el reembolso de los gastos operativos y administrativos en los que incurrió la SBN, a menos que dichos gastos hayan sido deducidos de la venta de otros lotes de dicha entidad en el mismo proceso de subasta.</w:t>
      </w:r>
    </w:p>
    <w:p w:rsidR="000C2661" w:rsidRPr="000C2661" w:rsidRDefault="000C2661" w:rsidP="000C2661">
      <w:pPr>
        <w:spacing w:after="0" w:line="240" w:lineRule="auto"/>
        <w:contextualSpacing/>
        <w:jc w:val="both"/>
        <w:rPr>
          <w:rFonts w:ascii="Arial" w:eastAsia="Calibri" w:hAnsi="Arial" w:cs="Arial"/>
          <w:lang w:val="es-ES"/>
        </w:rPr>
      </w:pPr>
    </w:p>
    <w:p w:rsidR="000C2661" w:rsidRPr="002E688A" w:rsidRDefault="000C2661" w:rsidP="002E688A">
      <w:pPr>
        <w:spacing w:after="0" w:line="240" w:lineRule="auto"/>
        <w:ind w:left="1418" w:hanging="709"/>
        <w:contextualSpacing/>
        <w:jc w:val="both"/>
        <w:rPr>
          <w:rFonts w:ascii="Arial" w:eastAsia="Calibri" w:hAnsi="Arial" w:cs="Arial"/>
          <w:b/>
          <w:lang w:val="es-ES"/>
        </w:rPr>
      </w:pPr>
      <w:r w:rsidRPr="002E688A">
        <w:rPr>
          <w:rFonts w:ascii="Arial" w:eastAsia="Calibri" w:hAnsi="Arial" w:cs="Arial"/>
          <w:b/>
          <w:lang w:val="es-ES"/>
        </w:rPr>
        <w:t xml:space="preserve">6.2.5 </w:t>
      </w:r>
      <w:r w:rsidRPr="002E688A">
        <w:rPr>
          <w:rFonts w:ascii="Arial" w:eastAsia="Calibri" w:hAnsi="Arial" w:cs="Arial"/>
          <w:b/>
          <w:lang w:val="es-ES"/>
        </w:rPr>
        <w:tab/>
        <w:t>Del pago del precio de venta</w:t>
      </w:r>
    </w:p>
    <w:p w:rsidR="000C2661" w:rsidRPr="000C2661" w:rsidRDefault="000C2661" w:rsidP="000C2661">
      <w:pPr>
        <w:spacing w:after="0" w:line="240" w:lineRule="auto"/>
        <w:contextualSpacing/>
        <w:jc w:val="both"/>
        <w:rPr>
          <w:rFonts w:ascii="Arial" w:eastAsia="Calibri" w:hAnsi="Arial" w:cs="Arial"/>
          <w:lang w:val="es-ES"/>
        </w:rPr>
      </w:pPr>
    </w:p>
    <w:p w:rsidR="000C2661" w:rsidRPr="000C2661" w:rsidRDefault="000C2661" w:rsidP="002E688A">
      <w:pPr>
        <w:spacing w:after="0" w:line="240" w:lineRule="auto"/>
        <w:ind w:left="1843" w:hanging="425"/>
        <w:contextualSpacing/>
        <w:jc w:val="both"/>
        <w:rPr>
          <w:rFonts w:ascii="Arial" w:eastAsia="Calibri" w:hAnsi="Arial" w:cs="Arial"/>
          <w:lang w:val="es-ES"/>
        </w:rPr>
      </w:pPr>
      <w:r w:rsidRPr="000C2661">
        <w:rPr>
          <w:rFonts w:ascii="Arial" w:eastAsia="Calibri" w:hAnsi="Arial" w:cs="Arial"/>
          <w:lang w:val="es-ES"/>
        </w:rPr>
        <w:t xml:space="preserve">a. </w:t>
      </w:r>
      <w:r w:rsidRPr="000C2661">
        <w:rPr>
          <w:rFonts w:ascii="Arial" w:eastAsia="Calibri" w:hAnsi="Arial" w:cs="Arial"/>
          <w:lang w:val="es-ES"/>
        </w:rPr>
        <w:tab/>
        <w:t>El adjudicatario de la buena pro debe cancelar el precio de venta de acuerdo a los plazos que se indican a continuación, contados desde el día siguiente del acto público de subasta:</w:t>
      </w:r>
    </w:p>
    <w:p w:rsidR="000C2661" w:rsidRPr="000C2661" w:rsidRDefault="000C2661" w:rsidP="002E688A">
      <w:pPr>
        <w:spacing w:after="0" w:line="240" w:lineRule="auto"/>
        <w:ind w:left="1843" w:hanging="425"/>
        <w:contextualSpacing/>
        <w:jc w:val="both"/>
        <w:rPr>
          <w:rFonts w:ascii="Arial" w:eastAsia="Calibri" w:hAnsi="Arial" w:cs="Arial"/>
          <w:lang w:val="es-ES"/>
        </w:rPr>
      </w:pPr>
    </w:p>
    <w:p w:rsidR="000C2661" w:rsidRPr="000C2661" w:rsidRDefault="000C2661" w:rsidP="002E688A">
      <w:pPr>
        <w:spacing w:after="0" w:line="240" w:lineRule="auto"/>
        <w:ind w:left="2268" w:hanging="425"/>
        <w:contextualSpacing/>
        <w:jc w:val="both"/>
        <w:rPr>
          <w:rFonts w:ascii="Arial" w:eastAsia="Calibri" w:hAnsi="Arial" w:cs="Arial"/>
          <w:lang w:val="es-ES"/>
        </w:rPr>
      </w:pPr>
      <w:r w:rsidRPr="000C2661">
        <w:rPr>
          <w:rFonts w:ascii="Arial" w:eastAsia="Calibri" w:hAnsi="Arial" w:cs="Arial"/>
          <w:lang w:val="es-ES"/>
        </w:rPr>
        <w:t>-</w:t>
      </w:r>
      <w:r w:rsidRPr="000C2661">
        <w:rPr>
          <w:rFonts w:ascii="Arial" w:eastAsia="Calibri" w:hAnsi="Arial" w:cs="Arial"/>
          <w:lang w:val="es-ES"/>
        </w:rPr>
        <w:tab/>
        <w:t>Quince (15) días hábiles para las adjudicaciones hasta 500 UIT.</w:t>
      </w:r>
    </w:p>
    <w:p w:rsidR="000C2661" w:rsidRPr="000C2661" w:rsidRDefault="000C2661" w:rsidP="002E688A">
      <w:pPr>
        <w:spacing w:after="0" w:line="240" w:lineRule="auto"/>
        <w:ind w:left="2268" w:hanging="425"/>
        <w:contextualSpacing/>
        <w:jc w:val="both"/>
        <w:rPr>
          <w:rFonts w:ascii="Arial" w:eastAsia="Calibri" w:hAnsi="Arial" w:cs="Arial"/>
          <w:lang w:val="es-ES"/>
        </w:rPr>
      </w:pPr>
    </w:p>
    <w:p w:rsidR="000C2661" w:rsidRPr="000C2661" w:rsidRDefault="000C2661" w:rsidP="002E688A">
      <w:pPr>
        <w:spacing w:after="0" w:line="240" w:lineRule="auto"/>
        <w:ind w:left="2268" w:hanging="425"/>
        <w:contextualSpacing/>
        <w:jc w:val="both"/>
        <w:rPr>
          <w:rFonts w:ascii="Arial" w:eastAsia="Calibri" w:hAnsi="Arial" w:cs="Arial"/>
          <w:lang w:val="es-ES"/>
        </w:rPr>
      </w:pPr>
      <w:r w:rsidRPr="000C2661">
        <w:rPr>
          <w:rFonts w:ascii="Arial" w:eastAsia="Calibri" w:hAnsi="Arial" w:cs="Arial"/>
          <w:lang w:val="es-ES"/>
        </w:rPr>
        <w:t>-</w:t>
      </w:r>
      <w:r w:rsidRPr="000C2661">
        <w:rPr>
          <w:rFonts w:ascii="Arial" w:eastAsia="Calibri" w:hAnsi="Arial" w:cs="Arial"/>
          <w:lang w:val="es-ES"/>
        </w:rPr>
        <w:tab/>
        <w:t>Veinte (20) días hábiles para las adjudicaciones mayores a 500 UIT y hasta 1000 UIT.</w:t>
      </w:r>
    </w:p>
    <w:p w:rsidR="000C2661" w:rsidRPr="000C2661" w:rsidRDefault="000C2661" w:rsidP="002E688A">
      <w:pPr>
        <w:spacing w:after="0" w:line="240" w:lineRule="auto"/>
        <w:ind w:left="2268" w:hanging="425"/>
        <w:contextualSpacing/>
        <w:jc w:val="both"/>
        <w:rPr>
          <w:rFonts w:ascii="Arial" w:eastAsia="Calibri" w:hAnsi="Arial" w:cs="Arial"/>
          <w:lang w:val="es-ES"/>
        </w:rPr>
      </w:pPr>
    </w:p>
    <w:p w:rsidR="000C2661" w:rsidRPr="000C2661" w:rsidRDefault="000C2661" w:rsidP="002E688A">
      <w:pPr>
        <w:spacing w:after="0" w:line="240" w:lineRule="auto"/>
        <w:ind w:left="2268" w:hanging="425"/>
        <w:contextualSpacing/>
        <w:jc w:val="both"/>
        <w:rPr>
          <w:rFonts w:ascii="Arial" w:eastAsia="Calibri" w:hAnsi="Arial" w:cs="Arial"/>
          <w:lang w:val="es-ES"/>
        </w:rPr>
      </w:pPr>
      <w:r w:rsidRPr="000C2661">
        <w:rPr>
          <w:rFonts w:ascii="Arial" w:eastAsia="Calibri" w:hAnsi="Arial" w:cs="Arial"/>
          <w:lang w:val="es-ES"/>
        </w:rPr>
        <w:t>-</w:t>
      </w:r>
      <w:r w:rsidRPr="000C2661">
        <w:rPr>
          <w:rFonts w:ascii="Arial" w:eastAsia="Calibri" w:hAnsi="Arial" w:cs="Arial"/>
          <w:lang w:val="es-ES"/>
        </w:rPr>
        <w:tab/>
        <w:t>Treinta (30) días hábiles para las adjudicaciones superiores a 1000 UIT.</w:t>
      </w:r>
    </w:p>
    <w:p w:rsidR="000C2661" w:rsidRPr="000C2661" w:rsidRDefault="000C2661" w:rsidP="002E688A">
      <w:pPr>
        <w:spacing w:after="0" w:line="240" w:lineRule="auto"/>
        <w:ind w:left="1843" w:hanging="425"/>
        <w:contextualSpacing/>
        <w:jc w:val="both"/>
        <w:rPr>
          <w:rFonts w:ascii="Arial" w:eastAsia="Calibri" w:hAnsi="Arial" w:cs="Arial"/>
          <w:lang w:val="es-ES"/>
        </w:rPr>
      </w:pPr>
    </w:p>
    <w:p w:rsidR="000C2661" w:rsidRPr="000C2661" w:rsidRDefault="000C2661" w:rsidP="002E688A">
      <w:pPr>
        <w:spacing w:after="0" w:line="240" w:lineRule="auto"/>
        <w:ind w:left="1843" w:hanging="425"/>
        <w:contextualSpacing/>
        <w:jc w:val="both"/>
        <w:rPr>
          <w:rFonts w:ascii="Arial" w:eastAsia="Calibri" w:hAnsi="Arial" w:cs="Arial"/>
          <w:lang w:val="es-ES"/>
        </w:rPr>
      </w:pPr>
      <w:r w:rsidRPr="000C2661">
        <w:rPr>
          <w:rFonts w:ascii="Arial" w:eastAsia="Calibri" w:hAnsi="Arial" w:cs="Arial"/>
          <w:lang w:val="es-ES"/>
        </w:rPr>
        <w:t>b.</w:t>
      </w:r>
      <w:r w:rsidRPr="000C2661">
        <w:rPr>
          <w:rFonts w:ascii="Arial" w:eastAsia="Calibri" w:hAnsi="Arial" w:cs="Arial"/>
          <w:lang w:val="es-ES"/>
        </w:rPr>
        <w:tab/>
        <w:t>La SDDI puede postergar o suspender el cronograma de pago del precio de venta de los lotes adjudicados, por razones debidamente justificadas y previa autorización de la DGPE.</w:t>
      </w:r>
    </w:p>
    <w:p w:rsidR="000C2661" w:rsidRPr="000C2661" w:rsidRDefault="000C2661" w:rsidP="002E688A">
      <w:pPr>
        <w:spacing w:after="0" w:line="240" w:lineRule="auto"/>
        <w:ind w:left="1843" w:hanging="425"/>
        <w:contextualSpacing/>
        <w:jc w:val="both"/>
        <w:rPr>
          <w:rFonts w:ascii="Arial" w:eastAsia="Calibri" w:hAnsi="Arial" w:cs="Arial"/>
          <w:lang w:val="es-ES"/>
        </w:rPr>
      </w:pPr>
    </w:p>
    <w:p w:rsidR="000C2661" w:rsidRPr="000C2661" w:rsidRDefault="000C2661" w:rsidP="002E688A">
      <w:pPr>
        <w:spacing w:after="0" w:line="240" w:lineRule="auto"/>
        <w:ind w:left="1843" w:hanging="425"/>
        <w:contextualSpacing/>
        <w:jc w:val="both"/>
        <w:rPr>
          <w:rFonts w:ascii="Arial" w:eastAsia="Calibri" w:hAnsi="Arial" w:cs="Arial"/>
          <w:lang w:val="es-ES"/>
        </w:rPr>
      </w:pPr>
      <w:r w:rsidRPr="000C2661">
        <w:rPr>
          <w:rFonts w:ascii="Arial" w:eastAsia="Calibri" w:hAnsi="Arial" w:cs="Arial"/>
          <w:lang w:val="es-ES"/>
        </w:rPr>
        <w:t>c.</w:t>
      </w:r>
      <w:r w:rsidRPr="000C2661">
        <w:rPr>
          <w:rFonts w:ascii="Arial" w:eastAsia="Calibri" w:hAnsi="Arial" w:cs="Arial"/>
          <w:lang w:val="es-ES"/>
        </w:rPr>
        <w:tab/>
        <w:t>En caso que el adjudicatario de la Buena Pro solicite el pago del precio de venta con financiamiento bancario, este debe adjuntar, dentro del plazo indicado en el literal a) del numeral 6.2.5 de la presente Directiva, una carta emitida por una entidad financiera o bancaria que indique la factibilidad de financiar el pago por la compra del predio.</w:t>
      </w:r>
    </w:p>
    <w:p w:rsidR="000C2661" w:rsidRPr="000C2661" w:rsidRDefault="000C2661" w:rsidP="002E688A">
      <w:pPr>
        <w:spacing w:after="0" w:line="240" w:lineRule="auto"/>
        <w:ind w:left="1843" w:hanging="425"/>
        <w:contextualSpacing/>
        <w:jc w:val="both"/>
        <w:rPr>
          <w:rFonts w:ascii="Arial" w:eastAsia="Calibri" w:hAnsi="Arial" w:cs="Arial"/>
          <w:lang w:val="es-ES"/>
        </w:rPr>
      </w:pPr>
    </w:p>
    <w:p w:rsidR="000C2661" w:rsidRPr="000C2661" w:rsidRDefault="000C2661" w:rsidP="002E688A">
      <w:pPr>
        <w:spacing w:after="0" w:line="240" w:lineRule="auto"/>
        <w:ind w:left="1843" w:hanging="425"/>
        <w:contextualSpacing/>
        <w:jc w:val="both"/>
        <w:rPr>
          <w:rFonts w:ascii="Arial" w:eastAsia="Calibri" w:hAnsi="Arial" w:cs="Arial"/>
          <w:lang w:val="es-ES"/>
        </w:rPr>
      </w:pPr>
      <w:r w:rsidRPr="000C2661">
        <w:rPr>
          <w:rFonts w:ascii="Arial" w:eastAsia="Calibri" w:hAnsi="Arial" w:cs="Arial"/>
          <w:lang w:val="es-ES"/>
        </w:rPr>
        <w:tab/>
        <w:t>Para este efecto, el monto entregado en garantía, que no debe ser menor al 30% del valor de adjudicación, será imputado como parte del pago del precio de venta y el saldo deberá ser cancelado con Cheque de Gerencia No Negociable emitido directamente a favor de la SBN, dentro de los veinte (20) días hábiles de entregada la Minuta de Compraventa.</w:t>
      </w:r>
    </w:p>
    <w:p w:rsidR="000C2661" w:rsidRPr="000C2661" w:rsidRDefault="000C2661" w:rsidP="002E688A">
      <w:pPr>
        <w:spacing w:after="0" w:line="240" w:lineRule="auto"/>
        <w:ind w:left="1843" w:hanging="425"/>
        <w:contextualSpacing/>
        <w:jc w:val="both"/>
        <w:rPr>
          <w:rFonts w:ascii="Arial" w:eastAsia="Calibri" w:hAnsi="Arial" w:cs="Arial"/>
          <w:lang w:val="es-ES"/>
        </w:rPr>
      </w:pPr>
    </w:p>
    <w:p w:rsidR="000C2661" w:rsidRPr="000C2661" w:rsidRDefault="000C2661" w:rsidP="002E688A">
      <w:pPr>
        <w:spacing w:after="0" w:line="240" w:lineRule="auto"/>
        <w:ind w:left="1843" w:hanging="425"/>
        <w:contextualSpacing/>
        <w:jc w:val="both"/>
        <w:rPr>
          <w:rFonts w:ascii="Arial" w:eastAsia="Calibri" w:hAnsi="Arial" w:cs="Arial"/>
          <w:lang w:val="es-ES"/>
        </w:rPr>
      </w:pPr>
      <w:r w:rsidRPr="000C2661">
        <w:rPr>
          <w:rFonts w:ascii="Arial" w:eastAsia="Calibri" w:hAnsi="Arial" w:cs="Arial"/>
          <w:lang w:val="es-ES"/>
        </w:rPr>
        <w:t>d.</w:t>
      </w:r>
      <w:r w:rsidRPr="000C2661">
        <w:rPr>
          <w:rFonts w:ascii="Arial" w:eastAsia="Calibri" w:hAnsi="Arial" w:cs="Arial"/>
          <w:lang w:val="es-ES"/>
        </w:rPr>
        <w:tab/>
        <w:t>Cancelado el total del precio de venta por el adjudicatario u otorgada la Minuta de Compraventa, se procede a devolver el cheque entregado en garantía por el segundo mejor ofertante, así como a los demás postores que no hayan solicitado la devolución de su garantía, conforme a lo regulado en el literal g) del numeral 6.2.4 de la presente Directiva.</w:t>
      </w:r>
    </w:p>
    <w:p w:rsidR="000C2661" w:rsidRPr="000C2661" w:rsidRDefault="000C2661" w:rsidP="002E688A">
      <w:pPr>
        <w:spacing w:after="0" w:line="240" w:lineRule="auto"/>
        <w:ind w:left="1843" w:hanging="425"/>
        <w:contextualSpacing/>
        <w:jc w:val="both"/>
        <w:rPr>
          <w:rFonts w:ascii="Arial" w:eastAsia="Calibri" w:hAnsi="Arial" w:cs="Arial"/>
          <w:lang w:val="es-ES"/>
        </w:rPr>
      </w:pPr>
    </w:p>
    <w:p w:rsidR="000C2661" w:rsidRPr="000C2661" w:rsidRDefault="000C2661" w:rsidP="002E688A">
      <w:pPr>
        <w:spacing w:after="0" w:line="240" w:lineRule="auto"/>
        <w:ind w:left="1843" w:hanging="425"/>
        <w:contextualSpacing/>
        <w:jc w:val="both"/>
        <w:rPr>
          <w:rFonts w:ascii="Arial" w:eastAsia="Calibri" w:hAnsi="Arial" w:cs="Arial"/>
          <w:lang w:val="es-ES"/>
        </w:rPr>
      </w:pPr>
      <w:r w:rsidRPr="000C2661">
        <w:rPr>
          <w:rFonts w:ascii="Arial" w:eastAsia="Calibri" w:hAnsi="Arial" w:cs="Arial"/>
          <w:lang w:val="es-ES"/>
        </w:rPr>
        <w:t>e.</w:t>
      </w:r>
      <w:r w:rsidRPr="000C2661">
        <w:rPr>
          <w:rFonts w:ascii="Arial" w:eastAsia="Calibri" w:hAnsi="Arial" w:cs="Arial"/>
          <w:lang w:val="es-ES"/>
        </w:rPr>
        <w:tab/>
        <w:t>Excluido al primer ganador de la buena pro por no cancelar el precio de venta, pierde la condición de adjudicatario y el cheque entregado en garantía, queda como indemnización a favor de la SBN o del Gobierno Regional con funciones transferidas, debiendo la SDDI proceder conforme al inciso k) del numeral 6.2.4 de la presente Directiva.</w:t>
      </w:r>
    </w:p>
    <w:p w:rsidR="000C2661" w:rsidRPr="000C2661" w:rsidRDefault="000C2661" w:rsidP="000C2661">
      <w:pPr>
        <w:spacing w:after="0" w:line="240" w:lineRule="auto"/>
        <w:contextualSpacing/>
        <w:jc w:val="both"/>
        <w:rPr>
          <w:rFonts w:ascii="Arial" w:eastAsia="Calibri" w:hAnsi="Arial" w:cs="Arial"/>
          <w:lang w:val="es-ES"/>
        </w:rPr>
      </w:pPr>
    </w:p>
    <w:p w:rsidR="000C2661" w:rsidRPr="002E688A" w:rsidRDefault="000C2661" w:rsidP="002E688A">
      <w:pPr>
        <w:spacing w:after="0" w:line="240" w:lineRule="auto"/>
        <w:ind w:left="1418" w:hanging="567"/>
        <w:contextualSpacing/>
        <w:jc w:val="both"/>
        <w:rPr>
          <w:rFonts w:ascii="Arial" w:eastAsia="Calibri" w:hAnsi="Arial" w:cs="Arial"/>
          <w:b/>
          <w:lang w:val="es-ES"/>
        </w:rPr>
      </w:pPr>
      <w:r w:rsidRPr="002E688A">
        <w:rPr>
          <w:rFonts w:ascii="Arial" w:eastAsia="Calibri" w:hAnsi="Arial" w:cs="Arial"/>
          <w:b/>
          <w:lang w:val="es-ES"/>
        </w:rPr>
        <w:t xml:space="preserve">6.2.6 </w:t>
      </w:r>
      <w:r w:rsidRPr="002E688A">
        <w:rPr>
          <w:rFonts w:ascii="Arial" w:eastAsia="Calibri" w:hAnsi="Arial" w:cs="Arial"/>
          <w:b/>
          <w:lang w:val="es-ES"/>
        </w:rPr>
        <w:tab/>
        <w:t>Impugnación del acto de subasta pública</w:t>
      </w:r>
    </w:p>
    <w:p w:rsidR="000C2661" w:rsidRPr="000C2661" w:rsidRDefault="000C2661" w:rsidP="000C2661">
      <w:pPr>
        <w:spacing w:after="0" w:line="240" w:lineRule="auto"/>
        <w:contextualSpacing/>
        <w:jc w:val="both"/>
        <w:rPr>
          <w:rFonts w:ascii="Arial" w:eastAsia="Calibri" w:hAnsi="Arial" w:cs="Arial"/>
          <w:lang w:val="es-ES"/>
        </w:rPr>
      </w:pPr>
    </w:p>
    <w:p w:rsidR="000C2661" w:rsidRPr="000C2661" w:rsidRDefault="000C2661" w:rsidP="002E688A">
      <w:pPr>
        <w:spacing w:after="0" w:line="240" w:lineRule="auto"/>
        <w:ind w:left="1843" w:hanging="425"/>
        <w:contextualSpacing/>
        <w:jc w:val="both"/>
        <w:rPr>
          <w:rFonts w:ascii="Arial" w:eastAsia="Calibri" w:hAnsi="Arial" w:cs="Arial"/>
          <w:lang w:val="es-ES"/>
        </w:rPr>
      </w:pPr>
      <w:r w:rsidRPr="000C2661">
        <w:rPr>
          <w:rFonts w:ascii="Arial" w:eastAsia="Calibri" w:hAnsi="Arial" w:cs="Arial"/>
          <w:lang w:val="es-ES"/>
        </w:rPr>
        <w:t>a.</w:t>
      </w:r>
      <w:r w:rsidRPr="000C2661">
        <w:rPr>
          <w:rFonts w:ascii="Arial" w:eastAsia="Calibri" w:hAnsi="Arial" w:cs="Arial"/>
          <w:lang w:val="es-ES"/>
        </w:rPr>
        <w:tab/>
        <w:t>Los postores que deseen presentar alguna impugnación al resultado de la subasta lo harán en el mismo acto de otorgamiento de la buena pro, la cual debe ser consignada en el Acta, debiendo ser suscrita por el impugnante, sin cuyo requisito no será considerada.</w:t>
      </w:r>
    </w:p>
    <w:p w:rsidR="000C2661" w:rsidRPr="000C2661" w:rsidRDefault="000C2661" w:rsidP="002E688A">
      <w:pPr>
        <w:spacing w:after="0" w:line="240" w:lineRule="auto"/>
        <w:ind w:left="1843" w:hanging="425"/>
        <w:contextualSpacing/>
        <w:jc w:val="both"/>
        <w:rPr>
          <w:rFonts w:ascii="Arial" w:eastAsia="Calibri" w:hAnsi="Arial" w:cs="Arial"/>
          <w:lang w:val="es-ES"/>
        </w:rPr>
      </w:pPr>
    </w:p>
    <w:p w:rsidR="000C2661" w:rsidRPr="000C2661" w:rsidRDefault="000C2661" w:rsidP="002E688A">
      <w:pPr>
        <w:spacing w:after="0" w:line="240" w:lineRule="auto"/>
        <w:ind w:left="1843" w:hanging="425"/>
        <w:contextualSpacing/>
        <w:jc w:val="both"/>
        <w:rPr>
          <w:rFonts w:ascii="Arial" w:eastAsia="Calibri" w:hAnsi="Arial" w:cs="Arial"/>
          <w:lang w:val="es-ES"/>
        </w:rPr>
      </w:pPr>
      <w:r w:rsidRPr="000C2661">
        <w:rPr>
          <w:rFonts w:ascii="Arial" w:eastAsia="Calibri" w:hAnsi="Arial" w:cs="Arial"/>
          <w:lang w:val="es-ES"/>
        </w:rPr>
        <w:t>b.</w:t>
      </w:r>
      <w:r w:rsidRPr="000C2661">
        <w:rPr>
          <w:rFonts w:ascii="Arial" w:eastAsia="Calibri" w:hAnsi="Arial" w:cs="Arial"/>
          <w:lang w:val="es-ES"/>
        </w:rPr>
        <w:tab/>
        <w:t>Dentro de los dos (2) días hábiles siguientes al acto de subasta, el postor impugnante debe presentar por escrito el sustento de su impugnación, conjuntamente con un cheque de gerencia a la orden de la SBN, por el monto equivalente al 20% del precio base del inmueble cuya subasta se impugna, en garantía de la impugnación planteada, caso contrario se tendrá por no presentada la impugnación.</w:t>
      </w:r>
    </w:p>
    <w:p w:rsidR="000C2661" w:rsidRPr="000C2661" w:rsidRDefault="000C2661" w:rsidP="002E688A">
      <w:pPr>
        <w:spacing w:after="0" w:line="240" w:lineRule="auto"/>
        <w:ind w:left="1843" w:hanging="425"/>
        <w:contextualSpacing/>
        <w:jc w:val="both"/>
        <w:rPr>
          <w:rFonts w:ascii="Arial" w:eastAsia="Calibri" w:hAnsi="Arial" w:cs="Arial"/>
          <w:lang w:val="es-ES"/>
        </w:rPr>
      </w:pPr>
    </w:p>
    <w:p w:rsidR="000C2661" w:rsidRPr="000C2661" w:rsidRDefault="000C2661" w:rsidP="002E688A">
      <w:pPr>
        <w:spacing w:after="0" w:line="240" w:lineRule="auto"/>
        <w:ind w:left="1843" w:hanging="425"/>
        <w:contextualSpacing/>
        <w:jc w:val="both"/>
        <w:rPr>
          <w:rFonts w:ascii="Arial" w:eastAsia="Calibri" w:hAnsi="Arial" w:cs="Arial"/>
          <w:lang w:val="es-ES"/>
        </w:rPr>
      </w:pPr>
      <w:r w:rsidRPr="000C2661">
        <w:rPr>
          <w:rFonts w:ascii="Arial" w:eastAsia="Calibri" w:hAnsi="Arial" w:cs="Arial"/>
          <w:lang w:val="es-ES"/>
        </w:rPr>
        <w:t>c.</w:t>
      </w:r>
      <w:r w:rsidRPr="000C2661">
        <w:rPr>
          <w:rFonts w:ascii="Arial" w:eastAsia="Calibri" w:hAnsi="Arial" w:cs="Arial"/>
          <w:lang w:val="es-ES"/>
        </w:rPr>
        <w:tab/>
        <w:t>La SDDI debe resolver en primera instancia la impugnación presentada, siendo la DGPE la segunda instancia administrativa.</w:t>
      </w:r>
    </w:p>
    <w:p w:rsidR="000C2661" w:rsidRPr="000C2661" w:rsidRDefault="000C2661" w:rsidP="002E688A">
      <w:pPr>
        <w:spacing w:after="0" w:line="240" w:lineRule="auto"/>
        <w:ind w:left="1843" w:hanging="425"/>
        <w:contextualSpacing/>
        <w:jc w:val="both"/>
        <w:rPr>
          <w:rFonts w:ascii="Arial" w:eastAsia="Calibri" w:hAnsi="Arial" w:cs="Arial"/>
          <w:lang w:val="es-ES"/>
        </w:rPr>
      </w:pPr>
    </w:p>
    <w:p w:rsidR="000C2661" w:rsidRPr="000C2661" w:rsidRDefault="000C2661" w:rsidP="002E688A">
      <w:pPr>
        <w:spacing w:after="0" w:line="240" w:lineRule="auto"/>
        <w:ind w:left="1843" w:hanging="425"/>
        <w:contextualSpacing/>
        <w:jc w:val="both"/>
        <w:rPr>
          <w:rFonts w:ascii="Arial" w:eastAsia="Calibri" w:hAnsi="Arial" w:cs="Arial"/>
          <w:lang w:val="es-ES"/>
        </w:rPr>
      </w:pPr>
      <w:r w:rsidRPr="000C2661">
        <w:rPr>
          <w:rFonts w:ascii="Arial" w:eastAsia="Calibri" w:hAnsi="Arial" w:cs="Arial"/>
          <w:lang w:val="es-ES"/>
        </w:rPr>
        <w:t>d.</w:t>
      </w:r>
      <w:r w:rsidRPr="000C2661">
        <w:rPr>
          <w:rFonts w:ascii="Arial" w:eastAsia="Calibri" w:hAnsi="Arial" w:cs="Arial"/>
          <w:lang w:val="es-ES"/>
        </w:rPr>
        <w:tab/>
        <w:t>En el supuesto que la impugnación fuese declarada fundada, se retira la adjudicación de la buena pro, procediendo la SBN a devolverle dentro del plazo de cinco (5) días hábiles el dinero entregado, sin intereses ni compensación alguna, con lo cual el procedimiento de venta por subasta pública concluye; pudiendo posteriormente la SDDI iniciar un nuevo procedimiento. Dentro del plazo de cinco (5) días hábiles debe devolverse la garantía indicada en el inciso b) del presente numeral al postor impugnante.</w:t>
      </w:r>
    </w:p>
    <w:p w:rsidR="000C2661" w:rsidRPr="000C2661" w:rsidRDefault="000C2661" w:rsidP="002E688A">
      <w:pPr>
        <w:spacing w:after="0" w:line="240" w:lineRule="auto"/>
        <w:ind w:left="1843" w:hanging="425"/>
        <w:contextualSpacing/>
        <w:jc w:val="both"/>
        <w:rPr>
          <w:rFonts w:ascii="Arial" w:eastAsia="Calibri" w:hAnsi="Arial" w:cs="Arial"/>
          <w:lang w:val="es-ES"/>
        </w:rPr>
      </w:pPr>
    </w:p>
    <w:p w:rsidR="000C2661" w:rsidRPr="000C2661" w:rsidRDefault="000C2661" w:rsidP="002E688A">
      <w:pPr>
        <w:spacing w:after="0" w:line="240" w:lineRule="auto"/>
        <w:ind w:left="1843" w:hanging="425"/>
        <w:contextualSpacing/>
        <w:jc w:val="both"/>
        <w:rPr>
          <w:rFonts w:ascii="Arial" w:eastAsia="Calibri" w:hAnsi="Arial" w:cs="Arial"/>
          <w:lang w:val="es-ES"/>
        </w:rPr>
      </w:pPr>
      <w:r w:rsidRPr="000C2661">
        <w:rPr>
          <w:rFonts w:ascii="Arial" w:eastAsia="Calibri" w:hAnsi="Arial" w:cs="Arial"/>
          <w:lang w:val="es-ES"/>
        </w:rPr>
        <w:t>e.</w:t>
      </w:r>
      <w:r w:rsidRPr="000C2661">
        <w:rPr>
          <w:rFonts w:ascii="Arial" w:eastAsia="Calibri" w:hAnsi="Arial" w:cs="Arial"/>
          <w:lang w:val="es-ES"/>
        </w:rPr>
        <w:tab/>
        <w:t>De declararse infundada la impugnación, el cheque de gerencia que acompañe el impugnante a la fundamentación de su recurso será cobrado por la SBN por concepto de indemnización.</w:t>
      </w:r>
    </w:p>
    <w:p w:rsidR="000C2661" w:rsidRPr="000C2661" w:rsidRDefault="000C2661" w:rsidP="002E688A">
      <w:pPr>
        <w:spacing w:after="0" w:line="240" w:lineRule="auto"/>
        <w:ind w:left="1843" w:hanging="425"/>
        <w:contextualSpacing/>
        <w:jc w:val="both"/>
        <w:rPr>
          <w:rFonts w:ascii="Arial" w:eastAsia="Calibri" w:hAnsi="Arial" w:cs="Arial"/>
          <w:lang w:val="es-ES"/>
        </w:rPr>
      </w:pPr>
    </w:p>
    <w:p w:rsidR="000C2661" w:rsidRPr="000C2661" w:rsidRDefault="000C2661" w:rsidP="002E688A">
      <w:pPr>
        <w:spacing w:after="0" w:line="240" w:lineRule="auto"/>
        <w:ind w:left="1843" w:hanging="425"/>
        <w:contextualSpacing/>
        <w:jc w:val="both"/>
        <w:rPr>
          <w:rFonts w:ascii="Arial" w:eastAsia="Calibri" w:hAnsi="Arial" w:cs="Arial"/>
          <w:lang w:val="es-ES"/>
        </w:rPr>
      </w:pPr>
      <w:r w:rsidRPr="000C2661">
        <w:rPr>
          <w:rFonts w:ascii="Arial" w:eastAsia="Calibri" w:hAnsi="Arial" w:cs="Arial"/>
          <w:lang w:val="es-ES"/>
        </w:rPr>
        <w:t>f.</w:t>
      </w:r>
      <w:r w:rsidRPr="000C2661">
        <w:rPr>
          <w:rFonts w:ascii="Arial" w:eastAsia="Calibri" w:hAnsi="Arial" w:cs="Arial"/>
          <w:lang w:val="es-ES"/>
        </w:rPr>
        <w:tab/>
        <w:t>Los demás detalles del procedimiento impugnatorio serán regulados en las Bases Administrativas</w:t>
      </w:r>
    </w:p>
    <w:p w:rsidR="000C2661" w:rsidRPr="000C2661" w:rsidRDefault="000C2661" w:rsidP="000C2661">
      <w:pPr>
        <w:spacing w:after="0" w:line="240" w:lineRule="auto"/>
        <w:contextualSpacing/>
        <w:jc w:val="both"/>
        <w:rPr>
          <w:rFonts w:ascii="Arial" w:eastAsia="Calibri" w:hAnsi="Arial" w:cs="Arial"/>
          <w:lang w:val="es-ES"/>
        </w:rPr>
      </w:pPr>
    </w:p>
    <w:p w:rsidR="000C2661" w:rsidRPr="002E688A" w:rsidRDefault="000C2661" w:rsidP="002E688A">
      <w:pPr>
        <w:spacing w:after="0" w:line="240" w:lineRule="auto"/>
        <w:ind w:left="1418" w:hanging="709"/>
        <w:contextualSpacing/>
        <w:jc w:val="both"/>
        <w:rPr>
          <w:rFonts w:ascii="Arial" w:eastAsia="Calibri" w:hAnsi="Arial" w:cs="Arial"/>
          <w:b/>
          <w:lang w:val="es-ES"/>
        </w:rPr>
      </w:pPr>
      <w:r w:rsidRPr="002E688A">
        <w:rPr>
          <w:rFonts w:ascii="Arial" w:eastAsia="Calibri" w:hAnsi="Arial" w:cs="Arial"/>
          <w:b/>
          <w:lang w:val="es-ES"/>
        </w:rPr>
        <w:t xml:space="preserve">6.2.7 </w:t>
      </w:r>
      <w:r w:rsidRPr="002E688A">
        <w:rPr>
          <w:rFonts w:ascii="Arial" w:eastAsia="Calibri" w:hAnsi="Arial" w:cs="Arial"/>
          <w:b/>
          <w:lang w:val="es-ES"/>
        </w:rPr>
        <w:tab/>
        <w:t>De la firma del contrato</w:t>
      </w:r>
    </w:p>
    <w:p w:rsidR="000C2661" w:rsidRPr="000C2661" w:rsidRDefault="000C2661" w:rsidP="000C2661">
      <w:pPr>
        <w:spacing w:after="0" w:line="240" w:lineRule="auto"/>
        <w:contextualSpacing/>
        <w:jc w:val="both"/>
        <w:rPr>
          <w:rFonts w:ascii="Arial" w:eastAsia="Calibri" w:hAnsi="Arial" w:cs="Arial"/>
          <w:lang w:val="es-ES"/>
        </w:rPr>
      </w:pPr>
    </w:p>
    <w:p w:rsidR="000C2661" w:rsidRPr="000C2661" w:rsidRDefault="000C2661" w:rsidP="002E688A">
      <w:pPr>
        <w:spacing w:after="0" w:line="240" w:lineRule="auto"/>
        <w:ind w:left="1843" w:hanging="425"/>
        <w:contextualSpacing/>
        <w:jc w:val="both"/>
        <w:rPr>
          <w:rFonts w:ascii="Arial" w:eastAsia="Calibri" w:hAnsi="Arial" w:cs="Arial"/>
          <w:lang w:val="es-ES"/>
        </w:rPr>
      </w:pPr>
      <w:r w:rsidRPr="000C2661">
        <w:rPr>
          <w:rFonts w:ascii="Arial" w:eastAsia="Calibri" w:hAnsi="Arial" w:cs="Arial"/>
          <w:lang w:val="es-ES"/>
        </w:rPr>
        <w:t xml:space="preserve">a. </w:t>
      </w:r>
      <w:r w:rsidRPr="000C2661">
        <w:rPr>
          <w:rFonts w:ascii="Arial" w:eastAsia="Calibri" w:hAnsi="Arial" w:cs="Arial"/>
          <w:lang w:val="es-ES"/>
        </w:rPr>
        <w:tab/>
        <w:t>Una vez cancelado el total del precio de venta, en un plazo máximo de diez (10) días hábiles, contados a partir de la comunicación del SAT sobre la realización del pago del precio de venta a la SDDI, la DGPE suscribe, previa conformidad de la OAJ, la correspondiente minuta a favor del adjudicatario, respecto de los predios de competencia de la SBN.</w:t>
      </w:r>
    </w:p>
    <w:p w:rsidR="000C2661" w:rsidRPr="000C2661" w:rsidRDefault="000C2661" w:rsidP="002E688A">
      <w:pPr>
        <w:spacing w:after="0" w:line="240" w:lineRule="auto"/>
        <w:ind w:left="1843" w:hanging="425"/>
        <w:contextualSpacing/>
        <w:jc w:val="both"/>
        <w:rPr>
          <w:rFonts w:ascii="Arial" w:eastAsia="Calibri" w:hAnsi="Arial" w:cs="Arial"/>
          <w:lang w:val="es-ES"/>
        </w:rPr>
      </w:pPr>
      <w:r w:rsidRPr="000C2661">
        <w:rPr>
          <w:rFonts w:ascii="Arial" w:eastAsia="Calibri" w:hAnsi="Arial" w:cs="Arial"/>
          <w:lang w:val="es-ES"/>
        </w:rPr>
        <w:tab/>
      </w:r>
    </w:p>
    <w:p w:rsidR="000C2661" w:rsidRPr="000C2661" w:rsidRDefault="000C2661" w:rsidP="002E688A">
      <w:pPr>
        <w:spacing w:after="0" w:line="240" w:lineRule="auto"/>
        <w:ind w:left="1843" w:hanging="425"/>
        <w:contextualSpacing/>
        <w:jc w:val="both"/>
        <w:rPr>
          <w:rFonts w:ascii="Arial" w:eastAsia="Calibri" w:hAnsi="Arial" w:cs="Arial"/>
          <w:lang w:val="es-ES"/>
        </w:rPr>
      </w:pPr>
      <w:r w:rsidRPr="000C2661">
        <w:rPr>
          <w:rFonts w:ascii="Arial" w:eastAsia="Calibri" w:hAnsi="Arial" w:cs="Arial"/>
          <w:lang w:val="es-ES"/>
        </w:rPr>
        <w:t xml:space="preserve">       Tratándose de la venta de casas, departamentos u otros bienes en los que la entidad vendedora cuenta con las llaves de ingreso al bien, su entrega se efectúa una vez cancelado el precio de venta.</w:t>
      </w:r>
    </w:p>
    <w:p w:rsidR="000C2661" w:rsidRPr="000C2661" w:rsidRDefault="000C2661" w:rsidP="002E688A">
      <w:pPr>
        <w:spacing w:after="0" w:line="240" w:lineRule="auto"/>
        <w:ind w:left="1843" w:hanging="425"/>
        <w:contextualSpacing/>
        <w:jc w:val="both"/>
        <w:rPr>
          <w:rFonts w:ascii="Arial" w:eastAsia="Calibri" w:hAnsi="Arial" w:cs="Arial"/>
          <w:lang w:val="es-ES"/>
        </w:rPr>
      </w:pPr>
    </w:p>
    <w:p w:rsidR="000C2661" w:rsidRPr="000C2661" w:rsidRDefault="000C2661" w:rsidP="002E688A">
      <w:pPr>
        <w:spacing w:after="0" w:line="240" w:lineRule="auto"/>
        <w:ind w:left="1843" w:hanging="425"/>
        <w:contextualSpacing/>
        <w:jc w:val="both"/>
        <w:rPr>
          <w:rFonts w:ascii="Arial" w:eastAsia="Calibri" w:hAnsi="Arial" w:cs="Arial"/>
          <w:lang w:val="es-ES"/>
        </w:rPr>
      </w:pPr>
      <w:r w:rsidRPr="000C2661">
        <w:rPr>
          <w:rFonts w:ascii="Arial" w:eastAsia="Calibri" w:hAnsi="Arial" w:cs="Arial"/>
          <w:lang w:val="es-ES"/>
        </w:rPr>
        <w:t xml:space="preserve">b </w:t>
      </w:r>
      <w:r w:rsidRPr="000C2661">
        <w:rPr>
          <w:rFonts w:ascii="Arial" w:eastAsia="Calibri" w:hAnsi="Arial" w:cs="Arial"/>
          <w:lang w:val="es-ES"/>
        </w:rPr>
        <w:tab/>
        <w:t>Si los predios son de propiedad de otras entidades públicas, cuya venta por subasta pública haya sido efectuada por la SBN, será el titular de dicha entidad o el que tenga facultades conforme a su ROF, el responsable de suscribir la Minuta de transferencia y la Escritura Pública a favor del adjudicatario, previa comunicación de la SDDI de la SBN, indicando los resultados del procedimiento y que el precio ha sido debidamente cancelado.</w:t>
      </w:r>
    </w:p>
    <w:p w:rsidR="000C2661" w:rsidRPr="000C2661" w:rsidRDefault="000C2661" w:rsidP="002E688A">
      <w:pPr>
        <w:spacing w:after="0" w:line="240" w:lineRule="auto"/>
        <w:ind w:left="1843" w:hanging="425"/>
        <w:contextualSpacing/>
        <w:jc w:val="both"/>
        <w:rPr>
          <w:rFonts w:ascii="Arial" w:eastAsia="Calibri" w:hAnsi="Arial" w:cs="Arial"/>
          <w:lang w:val="es-ES"/>
        </w:rPr>
      </w:pPr>
    </w:p>
    <w:p w:rsidR="000C2661" w:rsidRPr="000C2661" w:rsidRDefault="000C2661" w:rsidP="002E688A">
      <w:pPr>
        <w:spacing w:after="0" w:line="240" w:lineRule="auto"/>
        <w:ind w:left="1843" w:hanging="425"/>
        <w:contextualSpacing/>
        <w:jc w:val="both"/>
        <w:rPr>
          <w:rFonts w:ascii="Arial" w:eastAsia="Calibri" w:hAnsi="Arial" w:cs="Arial"/>
          <w:lang w:val="es-ES"/>
        </w:rPr>
      </w:pPr>
      <w:r w:rsidRPr="000C2661">
        <w:rPr>
          <w:rFonts w:ascii="Arial" w:eastAsia="Calibri" w:hAnsi="Arial" w:cs="Arial"/>
          <w:lang w:val="es-ES"/>
        </w:rPr>
        <w:t xml:space="preserve">c. </w:t>
      </w:r>
      <w:r w:rsidRPr="000C2661">
        <w:rPr>
          <w:rFonts w:ascii="Arial" w:eastAsia="Calibri" w:hAnsi="Arial" w:cs="Arial"/>
          <w:lang w:val="es-ES"/>
        </w:rPr>
        <w:tab/>
        <w:t>Para el caso de pago del precio con préstamo hipotecario o cualquier otra situación que amerite la necesidad de formalizar la transferencia de propiedad en forma previa, puede firmarse la Minuta de Compra Venta cuando el adjudicatario de la Buena Pro haya pagado como adelanto por lo menos el 30% del precio de venta, dejando establecido que el saldo del precio será pagado dentro del plazo de veinte (20) días hábiles, contados desde la suscripción de dicha Minuta. De no pagarse el precio de venta dentro del plazo establecido, el contrato de compraventa quedará resuelto de pleno derecho, con la sola remisión de una comunicación escrita, conforme al artículo 1430 del Código Civil, quedando como indemnización, a favor de la SBN o del Gobierno Regional con funciones transferidas, el 20% del precio de venta. La diferencia de valor existente será devuelta al ex comprador en soles o al tipo de cambio en que se hizo efectivo, de ser el caso</w:t>
      </w:r>
    </w:p>
    <w:p w:rsidR="000C2661" w:rsidRPr="000C2661" w:rsidRDefault="000C2661" w:rsidP="002E688A">
      <w:pPr>
        <w:spacing w:after="0" w:line="240" w:lineRule="auto"/>
        <w:ind w:left="1843" w:hanging="425"/>
        <w:contextualSpacing/>
        <w:jc w:val="both"/>
        <w:rPr>
          <w:rFonts w:ascii="Arial" w:eastAsia="Calibri" w:hAnsi="Arial" w:cs="Arial"/>
          <w:lang w:val="es-ES"/>
        </w:rPr>
      </w:pPr>
    </w:p>
    <w:p w:rsidR="000C2661" w:rsidRPr="000C2661" w:rsidRDefault="000C2661" w:rsidP="002E688A">
      <w:pPr>
        <w:spacing w:after="0" w:line="240" w:lineRule="auto"/>
        <w:ind w:left="1843" w:hanging="425"/>
        <w:contextualSpacing/>
        <w:jc w:val="both"/>
        <w:rPr>
          <w:rFonts w:ascii="Arial" w:eastAsia="Calibri" w:hAnsi="Arial" w:cs="Arial"/>
          <w:lang w:val="es-ES"/>
        </w:rPr>
      </w:pPr>
      <w:r w:rsidRPr="000C2661">
        <w:rPr>
          <w:rFonts w:ascii="Arial" w:eastAsia="Calibri" w:hAnsi="Arial" w:cs="Arial"/>
          <w:lang w:val="es-ES"/>
        </w:rPr>
        <w:tab/>
        <w:t>La firma de la Escritura Pública se hará luego de que se pague íntegramente el precio de venta, dentro del plazo estipulado, para cada caso, en los literales a) y c) del numeral 6.2.5 de la presente Directiva.</w:t>
      </w:r>
    </w:p>
    <w:p w:rsidR="000C2661" w:rsidRPr="000C2661" w:rsidRDefault="000C2661" w:rsidP="002E688A">
      <w:pPr>
        <w:spacing w:after="0" w:line="240" w:lineRule="auto"/>
        <w:ind w:left="1843" w:hanging="425"/>
        <w:contextualSpacing/>
        <w:jc w:val="both"/>
        <w:rPr>
          <w:rFonts w:ascii="Arial" w:eastAsia="Calibri" w:hAnsi="Arial" w:cs="Arial"/>
          <w:lang w:val="es-ES"/>
        </w:rPr>
      </w:pPr>
    </w:p>
    <w:p w:rsidR="000C2661" w:rsidRPr="000C2661" w:rsidRDefault="000C2661" w:rsidP="002E688A">
      <w:pPr>
        <w:spacing w:after="0" w:line="240" w:lineRule="auto"/>
        <w:ind w:left="1843" w:hanging="425"/>
        <w:contextualSpacing/>
        <w:jc w:val="both"/>
        <w:rPr>
          <w:rFonts w:ascii="Arial" w:eastAsia="Calibri" w:hAnsi="Arial" w:cs="Arial"/>
          <w:lang w:val="es-ES"/>
        </w:rPr>
      </w:pPr>
      <w:r w:rsidRPr="000C2661">
        <w:rPr>
          <w:rFonts w:ascii="Arial" w:eastAsia="Calibri" w:hAnsi="Arial" w:cs="Arial"/>
          <w:lang w:val="es-ES"/>
        </w:rPr>
        <w:t>d.</w:t>
      </w:r>
      <w:r w:rsidRPr="000C2661">
        <w:rPr>
          <w:rFonts w:ascii="Arial" w:eastAsia="Calibri" w:hAnsi="Arial" w:cs="Arial"/>
          <w:lang w:val="es-ES"/>
        </w:rPr>
        <w:tab/>
        <w:t>Los gastos notariales y registrales, en todos los casos son de cargo del adjudicatario.</w:t>
      </w:r>
    </w:p>
    <w:p w:rsidR="000C2661" w:rsidRPr="000C2661" w:rsidRDefault="000C2661" w:rsidP="002E688A">
      <w:pPr>
        <w:spacing w:after="0" w:line="240" w:lineRule="auto"/>
        <w:ind w:left="1843" w:hanging="425"/>
        <w:contextualSpacing/>
        <w:jc w:val="both"/>
        <w:rPr>
          <w:rFonts w:ascii="Arial" w:eastAsia="Calibri" w:hAnsi="Arial" w:cs="Arial"/>
          <w:lang w:val="es-ES"/>
        </w:rPr>
      </w:pPr>
    </w:p>
    <w:p w:rsidR="000C2661" w:rsidRPr="000C2661" w:rsidRDefault="000C2661" w:rsidP="002E688A">
      <w:pPr>
        <w:spacing w:after="0" w:line="240" w:lineRule="auto"/>
        <w:ind w:left="1843" w:hanging="425"/>
        <w:contextualSpacing/>
        <w:jc w:val="both"/>
        <w:rPr>
          <w:rFonts w:ascii="Arial" w:eastAsia="Calibri" w:hAnsi="Arial" w:cs="Arial"/>
          <w:lang w:val="es-ES"/>
        </w:rPr>
      </w:pPr>
      <w:r w:rsidRPr="000C2661">
        <w:rPr>
          <w:rFonts w:ascii="Arial" w:eastAsia="Calibri" w:hAnsi="Arial" w:cs="Arial"/>
          <w:lang w:val="es-ES"/>
        </w:rPr>
        <w:t xml:space="preserve">e. </w:t>
      </w:r>
      <w:r w:rsidRPr="000C2661">
        <w:rPr>
          <w:rFonts w:ascii="Arial" w:eastAsia="Calibri" w:hAnsi="Arial" w:cs="Arial"/>
          <w:lang w:val="es-ES"/>
        </w:rPr>
        <w:tab/>
        <w:t>Una vez cancelado el precio de venta, con la Minuta de Compraventa, la entidad vendedora debe efectuar la declaración jurada de baja del predio ante Municipalidad del sector que corresponda.</w:t>
      </w:r>
    </w:p>
    <w:p w:rsidR="000C2661" w:rsidRPr="000C2661" w:rsidRDefault="000C2661" w:rsidP="000C2661">
      <w:pPr>
        <w:spacing w:after="0" w:line="240" w:lineRule="auto"/>
        <w:contextualSpacing/>
        <w:jc w:val="both"/>
        <w:rPr>
          <w:rFonts w:ascii="Arial" w:eastAsia="Calibri" w:hAnsi="Arial" w:cs="Arial"/>
          <w:lang w:val="es-ES"/>
        </w:rPr>
      </w:pPr>
    </w:p>
    <w:p w:rsidR="000C2661" w:rsidRPr="002E688A" w:rsidRDefault="000C2661" w:rsidP="002E688A">
      <w:pPr>
        <w:spacing w:after="0" w:line="240" w:lineRule="auto"/>
        <w:ind w:left="1418" w:hanging="709"/>
        <w:contextualSpacing/>
        <w:jc w:val="both"/>
        <w:rPr>
          <w:rFonts w:ascii="Arial" w:eastAsia="Calibri" w:hAnsi="Arial" w:cs="Arial"/>
          <w:b/>
          <w:lang w:val="es-ES"/>
        </w:rPr>
      </w:pPr>
      <w:r w:rsidRPr="002E688A">
        <w:rPr>
          <w:rFonts w:ascii="Arial" w:eastAsia="Calibri" w:hAnsi="Arial" w:cs="Arial"/>
          <w:b/>
          <w:lang w:val="es-ES"/>
        </w:rPr>
        <w:t>6.2.8  Liquidación y distribución de los ingresos obtenidos con la venta</w:t>
      </w:r>
    </w:p>
    <w:p w:rsidR="000C2661" w:rsidRPr="000C2661" w:rsidRDefault="000C2661" w:rsidP="002E688A">
      <w:pPr>
        <w:spacing w:after="0" w:line="240" w:lineRule="auto"/>
        <w:ind w:left="1276"/>
        <w:contextualSpacing/>
        <w:jc w:val="both"/>
        <w:rPr>
          <w:rFonts w:ascii="Arial" w:eastAsia="Calibri" w:hAnsi="Arial" w:cs="Arial"/>
          <w:lang w:val="es-ES"/>
        </w:rPr>
      </w:pPr>
      <w:r w:rsidRPr="000C2661">
        <w:rPr>
          <w:rFonts w:ascii="Arial" w:eastAsia="Calibri" w:hAnsi="Arial" w:cs="Arial"/>
          <w:lang w:val="es-ES"/>
        </w:rPr>
        <w:t>La liquidación de los gastos (operativos y administrativos) y de la venta vinculados al inmueble o inherentes al proceso de venta, es efectuada por la OAF de la SBN o la que haga sus veces en las entidades que ejecuten por si mismas la subasta.</w:t>
      </w:r>
    </w:p>
    <w:p w:rsidR="000C2661" w:rsidRPr="000C2661" w:rsidRDefault="000C2661" w:rsidP="002E688A">
      <w:pPr>
        <w:spacing w:after="0" w:line="240" w:lineRule="auto"/>
        <w:ind w:left="1276"/>
        <w:contextualSpacing/>
        <w:jc w:val="both"/>
        <w:rPr>
          <w:rFonts w:ascii="Arial" w:eastAsia="Calibri" w:hAnsi="Arial" w:cs="Arial"/>
          <w:lang w:val="es-ES"/>
        </w:rPr>
      </w:pPr>
    </w:p>
    <w:p w:rsidR="000C2661" w:rsidRPr="000C2661" w:rsidRDefault="000C2661" w:rsidP="002E688A">
      <w:pPr>
        <w:spacing w:after="0" w:line="240" w:lineRule="auto"/>
        <w:ind w:left="1276"/>
        <w:contextualSpacing/>
        <w:jc w:val="both"/>
        <w:rPr>
          <w:rFonts w:ascii="Arial" w:eastAsia="Calibri" w:hAnsi="Arial" w:cs="Arial"/>
          <w:lang w:val="es-ES"/>
        </w:rPr>
      </w:pPr>
      <w:r w:rsidRPr="000C2661">
        <w:rPr>
          <w:rFonts w:ascii="Arial" w:eastAsia="Calibri" w:hAnsi="Arial" w:cs="Arial"/>
          <w:lang w:val="es-ES"/>
        </w:rPr>
        <w:t>Para tal efecto, dentro del plazo de diez (10) días hábiles de recibida la comunicación del SAT respecto del pago del precio de venta, la SDDI o la unidad orgánica correspondiente que sustentó la venta debe remitir a la OAF o la que haga sus veces en la entidad que realizó la subasta, copia de los comprobantes de los gastos efectuados con una antigüedad no mayor a un año, proporcionados por las áreas administrativas de la entidad, así como la base legal de los porcentajes de distribución del precio de venta.</w:t>
      </w:r>
    </w:p>
    <w:p w:rsidR="000C2661" w:rsidRPr="000C2661" w:rsidRDefault="000C2661" w:rsidP="002E688A">
      <w:pPr>
        <w:spacing w:after="0" w:line="240" w:lineRule="auto"/>
        <w:ind w:left="1276"/>
        <w:contextualSpacing/>
        <w:jc w:val="both"/>
        <w:rPr>
          <w:rFonts w:ascii="Arial" w:eastAsia="Calibri" w:hAnsi="Arial" w:cs="Arial"/>
          <w:lang w:val="es-ES"/>
        </w:rPr>
      </w:pPr>
    </w:p>
    <w:p w:rsidR="000C2661" w:rsidRPr="000C2661" w:rsidRDefault="000C2661" w:rsidP="002E688A">
      <w:pPr>
        <w:spacing w:after="0" w:line="240" w:lineRule="auto"/>
        <w:ind w:left="1276"/>
        <w:contextualSpacing/>
        <w:jc w:val="both"/>
        <w:rPr>
          <w:rFonts w:ascii="Arial" w:eastAsia="Calibri" w:hAnsi="Arial" w:cs="Arial"/>
          <w:lang w:val="es-ES"/>
        </w:rPr>
      </w:pPr>
      <w:r w:rsidRPr="000C2661">
        <w:rPr>
          <w:rFonts w:ascii="Arial" w:eastAsia="Calibri" w:hAnsi="Arial" w:cs="Arial"/>
          <w:lang w:val="es-ES"/>
        </w:rPr>
        <w:t>Los gastos operativos vinculados a la ejecución del procedimiento de subasta, tales como pago de publicaciones, honorarios del notario público, honorarios profesionales del personal, folletos, filmaciones, entre otros, se deducen del monto global de las ventas efectuadas.</w:t>
      </w:r>
    </w:p>
    <w:p w:rsidR="000C2661" w:rsidRPr="000C2661" w:rsidRDefault="000C2661" w:rsidP="002E688A">
      <w:pPr>
        <w:spacing w:after="0" w:line="240" w:lineRule="auto"/>
        <w:ind w:left="1276"/>
        <w:contextualSpacing/>
        <w:jc w:val="both"/>
        <w:rPr>
          <w:rFonts w:ascii="Arial" w:eastAsia="Calibri" w:hAnsi="Arial" w:cs="Arial"/>
          <w:lang w:val="es-ES"/>
        </w:rPr>
      </w:pPr>
    </w:p>
    <w:p w:rsidR="000C2661" w:rsidRPr="000C2661" w:rsidRDefault="000C2661" w:rsidP="002E688A">
      <w:pPr>
        <w:spacing w:after="0" w:line="240" w:lineRule="auto"/>
        <w:ind w:left="1276"/>
        <w:contextualSpacing/>
        <w:jc w:val="both"/>
        <w:rPr>
          <w:rFonts w:ascii="Arial" w:eastAsia="Calibri" w:hAnsi="Arial" w:cs="Arial"/>
          <w:lang w:val="es-ES"/>
        </w:rPr>
      </w:pPr>
      <w:r w:rsidRPr="000C2661">
        <w:rPr>
          <w:rFonts w:ascii="Arial" w:eastAsia="Calibri" w:hAnsi="Arial" w:cs="Arial"/>
          <w:lang w:val="es-ES"/>
        </w:rPr>
        <w:t xml:space="preserve">La deducción por gastos administrativos, por todo concepto, será de dos (2) UIT por cada inmueble. </w:t>
      </w:r>
    </w:p>
    <w:p w:rsidR="000C2661" w:rsidRPr="000C2661" w:rsidRDefault="000C2661" w:rsidP="002E688A">
      <w:pPr>
        <w:spacing w:after="0" w:line="240" w:lineRule="auto"/>
        <w:ind w:left="1276"/>
        <w:contextualSpacing/>
        <w:jc w:val="both"/>
        <w:rPr>
          <w:rFonts w:ascii="Arial" w:eastAsia="Calibri" w:hAnsi="Arial" w:cs="Arial"/>
          <w:lang w:val="es-ES"/>
        </w:rPr>
      </w:pPr>
    </w:p>
    <w:p w:rsidR="000C2661" w:rsidRPr="000C2661" w:rsidRDefault="000C2661" w:rsidP="002E688A">
      <w:pPr>
        <w:spacing w:after="0" w:line="240" w:lineRule="auto"/>
        <w:ind w:left="1276"/>
        <w:contextualSpacing/>
        <w:jc w:val="both"/>
        <w:rPr>
          <w:rFonts w:ascii="Arial" w:eastAsia="Calibri" w:hAnsi="Arial" w:cs="Arial"/>
          <w:lang w:val="es-ES"/>
        </w:rPr>
      </w:pPr>
      <w:r w:rsidRPr="000C2661">
        <w:rPr>
          <w:rFonts w:ascii="Arial" w:eastAsia="Calibri" w:hAnsi="Arial" w:cs="Arial"/>
          <w:lang w:val="es-ES"/>
        </w:rPr>
        <w:t>Dentro del plazo de diez (10) días hábiles la OAF, a través de sus sistemas administrativos, valida la información recibida y deriva al SAT para la liquidación de la venta, la misma que efectuará en el plazo de cinco (05) días hábiles.</w:t>
      </w:r>
    </w:p>
    <w:p w:rsidR="000C2661" w:rsidRPr="000C2661" w:rsidRDefault="000C2661" w:rsidP="002E688A">
      <w:pPr>
        <w:spacing w:after="0" w:line="240" w:lineRule="auto"/>
        <w:ind w:left="1276"/>
        <w:contextualSpacing/>
        <w:jc w:val="both"/>
        <w:rPr>
          <w:rFonts w:ascii="Arial" w:eastAsia="Calibri" w:hAnsi="Arial" w:cs="Arial"/>
          <w:lang w:val="es-ES"/>
        </w:rPr>
      </w:pPr>
      <w:r w:rsidRPr="000C2661">
        <w:rPr>
          <w:rFonts w:ascii="Arial" w:eastAsia="Calibri" w:hAnsi="Arial" w:cs="Arial"/>
          <w:lang w:val="es-ES"/>
        </w:rPr>
        <w:t xml:space="preserve">          </w:t>
      </w:r>
    </w:p>
    <w:p w:rsidR="000C2661" w:rsidRPr="000C2661" w:rsidRDefault="000C2661" w:rsidP="002E688A">
      <w:pPr>
        <w:spacing w:after="0" w:line="240" w:lineRule="auto"/>
        <w:ind w:left="1276"/>
        <w:contextualSpacing/>
        <w:jc w:val="both"/>
        <w:rPr>
          <w:rFonts w:ascii="Arial" w:eastAsia="Calibri" w:hAnsi="Arial" w:cs="Arial"/>
          <w:lang w:val="es-ES"/>
        </w:rPr>
      </w:pPr>
      <w:r w:rsidRPr="000C2661">
        <w:rPr>
          <w:rFonts w:ascii="Arial" w:eastAsia="Calibri" w:hAnsi="Arial" w:cs="Arial"/>
          <w:lang w:val="es-ES"/>
        </w:rPr>
        <w:t>De existir lotes con dificultades para concluir su venta, la SDDI comunica a la OAF que se está efectuando la liquidación parcial del proceso de subasta. Si con posterioridad a la liquidación parcial se concluye la venta siguiendo el mismo proceso de subasta, solo se liquidarán los gastos vinculados al predio en sí.</w:t>
      </w:r>
    </w:p>
    <w:p w:rsidR="000C2661" w:rsidRPr="000C2661" w:rsidRDefault="000C2661" w:rsidP="002E688A">
      <w:pPr>
        <w:spacing w:after="0" w:line="240" w:lineRule="auto"/>
        <w:ind w:left="1276"/>
        <w:contextualSpacing/>
        <w:jc w:val="both"/>
        <w:rPr>
          <w:rFonts w:ascii="Arial" w:eastAsia="Calibri" w:hAnsi="Arial" w:cs="Arial"/>
          <w:lang w:val="es-ES"/>
        </w:rPr>
      </w:pPr>
    </w:p>
    <w:p w:rsidR="000C2661" w:rsidRPr="000C2661" w:rsidRDefault="000C2661" w:rsidP="002E688A">
      <w:pPr>
        <w:spacing w:after="0" w:line="240" w:lineRule="auto"/>
        <w:ind w:left="1276"/>
        <w:contextualSpacing/>
        <w:jc w:val="both"/>
        <w:rPr>
          <w:rFonts w:ascii="Arial" w:eastAsia="Calibri" w:hAnsi="Arial" w:cs="Arial"/>
          <w:lang w:val="es-ES"/>
        </w:rPr>
      </w:pPr>
      <w:r w:rsidRPr="000C2661">
        <w:rPr>
          <w:rFonts w:ascii="Arial" w:eastAsia="Calibri" w:hAnsi="Arial" w:cs="Arial"/>
          <w:lang w:val="es-ES"/>
        </w:rPr>
        <w:t>La transferencia de fondos del precio de venta en las cuentas públicas que correspondan es efectuada por la OAF de la SBN o la que haga sus veces en las entidades que ejecuten por si mismas la subasta, conforme a la liquidación de venta, dentro del plazo de cinco (05) días hábiles de comunicada dicha liquidación.</w:t>
      </w:r>
    </w:p>
    <w:p w:rsidR="000C2661" w:rsidRPr="000C2661" w:rsidRDefault="000C2661" w:rsidP="002E688A">
      <w:pPr>
        <w:spacing w:after="0" w:line="240" w:lineRule="auto"/>
        <w:ind w:left="1276"/>
        <w:contextualSpacing/>
        <w:jc w:val="both"/>
        <w:rPr>
          <w:rFonts w:ascii="Arial" w:eastAsia="Calibri" w:hAnsi="Arial" w:cs="Arial"/>
          <w:lang w:val="es-ES"/>
        </w:rPr>
      </w:pPr>
    </w:p>
    <w:p w:rsidR="000C2661" w:rsidRPr="000C2661" w:rsidRDefault="000C2661" w:rsidP="002E688A">
      <w:pPr>
        <w:spacing w:after="0" w:line="240" w:lineRule="auto"/>
        <w:ind w:left="1276"/>
        <w:contextualSpacing/>
        <w:jc w:val="both"/>
        <w:rPr>
          <w:rFonts w:ascii="Arial" w:eastAsia="Calibri" w:hAnsi="Arial" w:cs="Arial"/>
          <w:lang w:val="es-ES"/>
        </w:rPr>
      </w:pPr>
      <w:r w:rsidRPr="000C2661">
        <w:rPr>
          <w:rFonts w:ascii="Arial" w:eastAsia="Calibri" w:hAnsi="Arial" w:cs="Arial"/>
          <w:lang w:val="es-ES"/>
        </w:rPr>
        <w:t>Los gastos que irrogue el procedimiento de venta por subasta pública de predios, efectuada por encargo de las entidades que tienen facultad para ejecutar por si mismas la subasta, son recuperados y/o descontados conforme a lo que se haya establecido en el respectivo Convenio.</w:t>
      </w:r>
    </w:p>
    <w:p w:rsidR="000C2661" w:rsidRPr="000C2661" w:rsidRDefault="000C2661" w:rsidP="002E688A">
      <w:pPr>
        <w:spacing w:after="0" w:line="240" w:lineRule="auto"/>
        <w:ind w:left="1276"/>
        <w:contextualSpacing/>
        <w:jc w:val="both"/>
        <w:rPr>
          <w:rFonts w:ascii="Arial" w:eastAsia="Calibri" w:hAnsi="Arial" w:cs="Arial"/>
          <w:lang w:val="es-ES"/>
        </w:rPr>
      </w:pPr>
    </w:p>
    <w:p w:rsidR="000C2661" w:rsidRPr="000C2661" w:rsidRDefault="000C2661" w:rsidP="002E688A">
      <w:pPr>
        <w:spacing w:after="0" w:line="240" w:lineRule="auto"/>
        <w:ind w:left="1276"/>
        <w:contextualSpacing/>
        <w:jc w:val="both"/>
        <w:rPr>
          <w:rFonts w:ascii="Arial" w:eastAsia="Calibri" w:hAnsi="Arial" w:cs="Arial"/>
          <w:lang w:val="es-ES"/>
        </w:rPr>
      </w:pPr>
      <w:r w:rsidRPr="000C2661">
        <w:rPr>
          <w:rFonts w:ascii="Arial" w:eastAsia="Calibri" w:hAnsi="Arial" w:cs="Arial"/>
          <w:lang w:val="es-ES"/>
        </w:rPr>
        <w:t xml:space="preserve">         En el caso que, por alguna norma especial, se autorice el pago del precio de venta a plazos, la deducción de los gastos operativos y administrativos, así como la entrega del porcentaje que corresponde a la SBN, son imputados a la primera cuota que pague el comprador y, en caso resultase insuficiente, se aplica a las siguientes cuotas hasta completar el monto que corresponda.</w:t>
      </w:r>
    </w:p>
    <w:p w:rsidR="000C2661" w:rsidRPr="000C2661" w:rsidRDefault="000C2661" w:rsidP="000C2661">
      <w:pPr>
        <w:spacing w:after="0" w:line="240" w:lineRule="auto"/>
        <w:contextualSpacing/>
        <w:jc w:val="both"/>
        <w:rPr>
          <w:rFonts w:ascii="Arial" w:eastAsia="Calibri" w:hAnsi="Arial" w:cs="Arial"/>
          <w:lang w:val="es-ES"/>
        </w:rPr>
      </w:pPr>
    </w:p>
    <w:p w:rsidR="000C2661" w:rsidRPr="002E688A" w:rsidRDefault="000C2661" w:rsidP="002E688A">
      <w:pPr>
        <w:spacing w:after="0" w:line="240" w:lineRule="auto"/>
        <w:ind w:left="1276" w:hanging="567"/>
        <w:contextualSpacing/>
        <w:jc w:val="both"/>
        <w:rPr>
          <w:rFonts w:ascii="Arial" w:eastAsia="Calibri" w:hAnsi="Arial" w:cs="Arial"/>
          <w:b/>
          <w:lang w:val="es-ES"/>
        </w:rPr>
      </w:pPr>
      <w:r w:rsidRPr="002E688A">
        <w:rPr>
          <w:rFonts w:ascii="Arial" w:eastAsia="Calibri" w:hAnsi="Arial" w:cs="Arial"/>
          <w:b/>
          <w:lang w:val="es-ES"/>
        </w:rPr>
        <w:t xml:space="preserve">6.2.9 </w:t>
      </w:r>
      <w:r w:rsidRPr="002E688A">
        <w:rPr>
          <w:rFonts w:ascii="Arial" w:eastAsia="Calibri" w:hAnsi="Arial" w:cs="Arial"/>
          <w:b/>
          <w:lang w:val="es-ES"/>
        </w:rPr>
        <w:tab/>
        <w:t>De la actualización del SINABIP</w:t>
      </w:r>
    </w:p>
    <w:p w:rsidR="000C2661" w:rsidRPr="000C2661" w:rsidRDefault="000C2661" w:rsidP="002E688A">
      <w:pPr>
        <w:spacing w:after="0" w:line="240" w:lineRule="auto"/>
        <w:ind w:left="1276"/>
        <w:contextualSpacing/>
        <w:jc w:val="both"/>
        <w:rPr>
          <w:rFonts w:ascii="Arial" w:eastAsia="Calibri" w:hAnsi="Arial" w:cs="Arial"/>
          <w:lang w:val="es-ES"/>
        </w:rPr>
      </w:pPr>
      <w:r w:rsidRPr="000C2661">
        <w:rPr>
          <w:rFonts w:ascii="Arial" w:eastAsia="Calibri" w:hAnsi="Arial" w:cs="Arial"/>
          <w:lang w:val="es-ES"/>
        </w:rPr>
        <w:t>Con la copia simple del contrato de compra venta y el documento que acredita el pago del saldo de precio, para el caso de la venta con préstamo hipotecario, y/o el asiento registral de inscripción de la transferencia de dominio del predio; el área responsable del trámite de venta dispondrá la actualización del SINABIP y el archivo definitivo del expediente administrativo. Asimismo, comunica al área correspondiente para que proceda a realizar el descargo correspondiente en los registros contables de la entidad ex propietaria del predio.</w:t>
      </w:r>
    </w:p>
    <w:p w:rsidR="000C2661" w:rsidRPr="000C2661" w:rsidRDefault="000C2661" w:rsidP="000C2661">
      <w:pPr>
        <w:spacing w:after="0" w:line="240" w:lineRule="auto"/>
        <w:contextualSpacing/>
        <w:jc w:val="both"/>
        <w:rPr>
          <w:rFonts w:ascii="Arial" w:eastAsia="Calibri" w:hAnsi="Arial" w:cs="Arial"/>
          <w:lang w:val="es-ES"/>
        </w:rPr>
      </w:pPr>
    </w:p>
    <w:p w:rsidR="000C2661" w:rsidRPr="002E688A" w:rsidRDefault="000C2661" w:rsidP="002E688A">
      <w:pPr>
        <w:spacing w:after="0" w:line="240" w:lineRule="auto"/>
        <w:ind w:left="1276" w:hanging="709"/>
        <w:contextualSpacing/>
        <w:jc w:val="both"/>
        <w:rPr>
          <w:rFonts w:ascii="Arial" w:eastAsia="Calibri" w:hAnsi="Arial" w:cs="Arial"/>
          <w:b/>
          <w:lang w:val="es-ES"/>
        </w:rPr>
      </w:pPr>
      <w:r w:rsidRPr="002E688A">
        <w:rPr>
          <w:rFonts w:ascii="Arial" w:eastAsia="Calibri" w:hAnsi="Arial" w:cs="Arial"/>
          <w:b/>
          <w:lang w:val="es-ES"/>
        </w:rPr>
        <w:t xml:space="preserve">6.2.10 </w:t>
      </w:r>
      <w:r w:rsidRPr="002E688A">
        <w:rPr>
          <w:rFonts w:ascii="Arial" w:eastAsia="Calibri" w:hAnsi="Arial" w:cs="Arial"/>
          <w:b/>
          <w:lang w:val="es-ES"/>
        </w:rPr>
        <w:tab/>
        <w:t xml:space="preserve">Del Informe Final y cierre del expediente </w:t>
      </w:r>
    </w:p>
    <w:p w:rsidR="000C2661" w:rsidRPr="000C2661" w:rsidRDefault="000C2661" w:rsidP="002E688A">
      <w:pPr>
        <w:spacing w:after="0" w:line="240" w:lineRule="auto"/>
        <w:ind w:left="1276"/>
        <w:contextualSpacing/>
        <w:jc w:val="both"/>
        <w:rPr>
          <w:rFonts w:ascii="Arial" w:eastAsia="Calibri" w:hAnsi="Arial" w:cs="Arial"/>
          <w:lang w:val="es-ES"/>
        </w:rPr>
      </w:pPr>
      <w:r w:rsidRPr="000C2661">
        <w:rPr>
          <w:rFonts w:ascii="Arial" w:eastAsia="Calibri" w:hAnsi="Arial" w:cs="Arial"/>
          <w:lang w:val="es-ES"/>
        </w:rPr>
        <w:t>Concluido el procedimiento de venta por subasta pública, la SDDI debe elevar un informe final a la Alta Dirección de la SBN, con copia a la DGPE, detallando los aspectos más relevantes del procedimiento.</w:t>
      </w:r>
    </w:p>
    <w:p w:rsidR="000C2661" w:rsidRPr="000C2661" w:rsidRDefault="000C2661" w:rsidP="002E688A">
      <w:pPr>
        <w:spacing w:after="0" w:line="240" w:lineRule="auto"/>
        <w:ind w:left="1276"/>
        <w:contextualSpacing/>
        <w:jc w:val="both"/>
        <w:rPr>
          <w:rFonts w:ascii="Arial" w:eastAsia="Calibri" w:hAnsi="Arial" w:cs="Arial"/>
          <w:lang w:val="es-ES"/>
        </w:rPr>
      </w:pPr>
    </w:p>
    <w:p w:rsidR="000C2661" w:rsidRPr="000C2661" w:rsidRDefault="000C2661" w:rsidP="002E688A">
      <w:pPr>
        <w:spacing w:after="0" w:line="240" w:lineRule="auto"/>
        <w:ind w:left="1276"/>
        <w:contextualSpacing/>
        <w:jc w:val="both"/>
        <w:rPr>
          <w:rFonts w:ascii="Arial" w:eastAsia="Calibri" w:hAnsi="Arial" w:cs="Arial"/>
          <w:lang w:val="es-ES"/>
        </w:rPr>
      </w:pPr>
      <w:r w:rsidRPr="000C2661">
        <w:rPr>
          <w:rFonts w:ascii="Arial" w:eastAsia="Calibri" w:hAnsi="Arial" w:cs="Arial"/>
          <w:lang w:val="es-ES"/>
        </w:rPr>
        <w:t>Con el informe final se da por cerrado el expediente, quedando en custodia de la SDDI hasta su transferencia a la Unidad de Trámite Documentario, conforme al programa de control de documentos que haya emitido la entidad.</w:t>
      </w:r>
    </w:p>
    <w:p w:rsidR="000C2661" w:rsidRPr="002E688A" w:rsidRDefault="000C2661" w:rsidP="002E688A">
      <w:pPr>
        <w:spacing w:after="0" w:line="240" w:lineRule="auto"/>
        <w:ind w:left="1276" w:hanging="709"/>
        <w:contextualSpacing/>
        <w:jc w:val="both"/>
        <w:rPr>
          <w:rFonts w:ascii="Arial" w:eastAsia="Calibri" w:hAnsi="Arial" w:cs="Arial"/>
          <w:b/>
          <w:lang w:val="es-ES"/>
        </w:rPr>
      </w:pPr>
    </w:p>
    <w:p w:rsidR="000C2661" w:rsidRPr="000C2661" w:rsidRDefault="000C2661" w:rsidP="002E688A">
      <w:pPr>
        <w:spacing w:after="0" w:line="240" w:lineRule="auto"/>
        <w:ind w:left="1276" w:hanging="709"/>
        <w:contextualSpacing/>
        <w:jc w:val="both"/>
        <w:rPr>
          <w:rFonts w:ascii="Arial" w:eastAsia="Calibri" w:hAnsi="Arial" w:cs="Arial"/>
          <w:lang w:val="es-ES"/>
        </w:rPr>
      </w:pPr>
      <w:r w:rsidRPr="002E688A">
        <w:rPr>
          <w:rFonts w:ascii="Arial" w:eastAsia="Calibri" w:hAnsi="Arial" w:cs="Arial"/>
          <w:b/>
          <w:lang w:val="es-ES"/>
        </w:rPr>
        <w:t xml:space="preserve">6.2.11 </w:t>
      </w:r>
      <w:r w:rsidRPr="002E688A">
        <w:rPr>
          <w:rFonts w:ascii="Arial" w:eastAsia="Calibri" w:hAnsi="Arial" w:cs="Arial"/>
          <w:b/>
          <w:lang w:val="es-ES"/>
        </w:rPr>
        <w:tab/>
        <w:t>Del encargo para la ejecución de subastas</w:t>
      </w:r>
    </w:p>
    <w:p w:rsidR="000C2661" w:rsidRPr="000C2661" w:rsidRDefault="000C2661" w:rsidP="002E688A">
      <w:pPr>
        <w:spacing w:after="0" w:line="240" w:lineRule="auto"/>
        <w:ind w:left="1276"/>
        <w:contextualSpacing/>
        <w:jc w:val="both"/>
        <w:rPr>
          <w:rFonts w:ascii="Arial" w:eastAsia="Calibri" w:hAnsi="Arial" w:cs="Arial"/>
          <w:lang w:val="es-ES"/>
        </w:rPr>
      </w:pPr>
      <w:r w:rsidRPr="000C2661">
        <w:rPr>
          <w:rFonts w:ascii="Arial" w:eastAsia="Calibri" w:hAnsi="Arial" w:cs="Arial"/>
          <w:lang w:val="es-ES"/>
        </w:rPr>
        <w:t>Cuando una entidad pública, que tiene competencia para ejecutar por sí misma la subasta de sus predios, decida encargar dicha actividad a la SBN, debe suscribir con esta un Convenio, en el que se fijará la forma como deben reembolsarse los gastos administrativos y operativos; asimismo, se establecerá el monto que debe pagarse por concepto de comisión a la SBN, salvo que le correspondiera un porcentaje del precio de venta por la distribución de ingresos que establece la normatividad vigente.</w:t>
      </w:r>
    </w:p>
    <w:p w:rsidR="000C2661" w:rsidRPr="000C2661" w:rsidRDefault="000C2661" w:rsidP="000C2661">
      <w:pPr>
        <w:spacing w:after="0" w:line="240" w:lineRule="auto"/>
        <w:contextualSpacing/>
        <w:jc w:val="both"/>
        <w:rPr>
          <w:rFonts w:ascii="Arial" w:eastAsia="Calibri" w:hAnsi="Arial" w:cs="Arial"/>
          <w:lang w:val="es-ES"/>
        </w:rPr>
      </w:pPr>
    </w:p>
    <w:p w:rsidR="000C2661" w:rsidRPr="002E688A" w:rsidRDefault="000C2661" w:rsidP="002E688A">
      <w:pPr>
        <w:spacing w:after="0" w:line="240" w:lineRule="auto"/>
        <w:ind w:left="1276" w:hanging="709"/>
        <w:contextualSpacing/>
        <w:jc w:val="both"/>
        <w:rPr>
          <w:rFonts w:ascii="Arial" w:eastAsia="Calibri" w:hAnsi="Arial" w:cs="Arial"/>
          <w:b/>
          <w:lang w:val="es-ES"/>
        </w:rPr>
      </w:pPr>
      <w:r w:rsidRPr="002E688A">
        <w:rPr>
          <w:rFonts w:ascii="Arial" w:eastAsia="Calibri" w:hAnsi="Arial" w:cs="Arial"/>
          <w:b/>
          <w:lang w:val="es-ES"/>
        </w:rPr>
        <w:t xml:space="preserve">6.2.12 </w:t>
      </w:r>
      <w:r w:rsidRPr="002E688A">
        <w:rPr>
          <w:rFonts w:ascii="Arial" w:eastAsia="Calibri" w:hAnsi="Arial" w:cs="Arial"/>
          <w:b/>
          <w:lang w:val="es-ES"/>
        </w:rPr>
        <w:tab/>
        <w:t>De la ejecución de la subasta por los Gobiernos Regionales y las entidades autorizadas por las SBN</w:t>
      </w:r>
    </w:p>
    <w:p w:rsidR="000C2661" w:rsidRPr="000C2661" w:rsidRDefault="000C2661" w:rsidP="002E688A">
      <w:pPr>
        <w:spacing w:after="0" w:line="240" w:lineRule="auto"/>
        <w:ind w:left="1276"/>
        <w:contextualSpacing/>
        <w:jc w:val="both"/>
        <w:rPr>
          <w:rFonts w:ascii="Arial" w:eastAsia="Calibri" w:hAnsi="Arial" w:cs="Arial"/>
          <w:lang w:val="es-ES"/>
        </w:rPr>
      </w:pPr>
      <w:r w:rsidRPr="000C2661">
        <w:rPr>
          <w:rFonts w:ascii="Arial" w:eastAsia="Calibri" w:hAnsi="Arial" w:cs="Arial"/>
          <w:lang w:val="es-ES"/>
        </w:rPr>
        <w:t>La subasta de los predios de propiedad del Estado que se encuentran bajo competencia de los Gobiernos Regionales por la transferencia de funciones a que se refiere el artículo 62 de la Ley Nº 27867, Ley Orgánica de Gobiernos Regionales, debe ser aprobada por el Gobernador Regional y efectuada conforme a lo establecido en la presente Directiva.</w:t>
      </w:r>
    </w:p>
    <w:p w:rsidR="000C2661" w:rsidRPr="000C2661" w:rsidRDefault="000C2661" w:rsidP="002E688A">
      <w:pPr>
        <w:spacing w:after="0" w:line="240" w:lineRule="auto"/>
        <w:ind w:left="1276"/>
        <w:contextualSpacing/>
        <w:jc w:val="both"/>
        <w:rPr>
          <w:rFonts w:ascii="Arial" w:eastAsia="Calibri" w:hAnsi="Arial" w:cs="Arial"/>
          <w:lang w:val="es-ES"/>
        </w:rPr>
      </w:pPr>
    </w:p>
    <w:p w:rsidR="000C2661" w:rsidRPr="000C2661" w:rsidRDefault="000C2661" w:rsidP="002E688A">
      <w:pPr>
        <w:spacing w:after="0" w:line="240" w:lineRule="auto"/>
        <w:ind w:left="1276"/>
        <w:contextualSpacing/>
        <w:jc w:val="both"/>
        <w:rPr>
          <w:rFonts w:ascii="Arial" w:eastAsia="Calibri" w:hAnsi="Arial" w:cs="Arial"/>
          <w:lang w:val="es-ES"/>
        </w:rPr>
      </w:pPr>
      <w:r w:rsidRPr="000C2661">
        <w:rPr>
          <w:rFonts w:ascii="Arial" w:eastAsia="Calibri" w:hAnsi="Arial" w:cs="Arial"/>
          <w:lang w:val="es-ES"/>
        </w:rPr>
        <w:t>En el caso de subasta pública de inmuebles de propiedad de los Gobiernos Regionales debe ser aprobada por Acuerdo de Consejo Regional y puede ser efectuada aplicando la presente Directiva, de manera supletoria.</w:t>
      </w:r>
    </w:p>
    <w:p w:rsidR="000C2661" w:rsidRPr="000C2661" w:rsidRDefault="000C2661" w:rsidP="002E688A">
      <w:pPr>
        <w:spacing w:after="0" w:line="240" w:lineRule="auto"/>
        <w:ind w:left="1276"/>
        <w:contextualSpacing/>
        <w:jc w:val="both"/>
        <w:rPr>
          <w:rFonts w:ascii="Arial" w:eastAsia="Calibri" w:hAnsi="Arial" w:cs="Arial"/>
          <w:lang w:val="es-ES"/>
        </w:rPr>
      </w:pPr>
    </w:p>
    <w:p w:rsidR="000C2661" w:rsidRPr="000C2661" w:rsidRDefault="000C2661" w:rsidP="002E688A">
      <w:pPr>
        <w:spacing w:after="0" w:line="240" w:lineRule="auto"/>
        <w:ind w:left="1276"/>
        <w:contextualSpacing/>
        <w:jc w:val="both"/>
        <w:rPr>
          <w:rFonts w:ascii="Arial" w:eastAsia="Calibri" w:hAnsi="Arial" w:cs="Arial"/>
          <w:lang w:val="es-ES"/>
        </w:rPr>
      </w:pPr>
      <w:r w:rsidRPr="000C2661">
        <w:rPr>
          <w:rFonts w:ascii="Arial" w:eastAsia="Calibri" w:hAnsi="Arial" w:cs="Arial"/>
          <w:lang w:val="es-ES"/>
        </w:rPr>
        <w:t>Asimismo, las entidades que han sido autorizadas de manera expresa por la SBN para ejecutar la venta de los predios de su propiedad, procederán a efectuarlo aplicando la presente Directiva.</w:t>
      </w:r>
    </w:p>
    <w:p w:rsidR="000C2661" w:rsidRPr="000C2661" w:rsidRDefault="000C2661" w:rsidP="000C2661">
      <w:pPr>
        <w:spacing w:after="0" w:line="240" w:lineRule="auto"/>
        <w:contextualSpacing/>
        <w:jc w:val="both"/>
        <w:rPr>
          <w:rFonts w:ascii="Arial" w:eastAsia="Calibri" w:hAnsi="Arial" w:cs="Arial"/>
          <w:lang w:val="es-ES"/>
        </w:rPr>
      </w:pPr>
    </w:p>
    <w:p w:rsidR="000C2661" w:rsidRPr="002E688A" w:rsidRDefault="000C2661" w:rsidP="002E688A">
      <w:pPr>
        <w:spacing w:after="0" w:line="240" w:lineRule="auto"/>
        <w:ind w:left="851" w:hanging="851"/>
        <w:contextualSpacing/>
        <w:jc w:val="both"/>
        <w:rPr>
          <w:rFonts w:ascii="Arial" w:eastAsia="Calibri" w:hAnsi="Arial" w:cs="Arial"/>
          <w:b/>
          <w:lang w:val="es-ES"/>
        </w:rPr>
      </w:pPr>
      <w:r w:rsidRPr="002E688A">
        <w:rPr>
          <w:rFonts w:ascii="Arial" w:eastAsia="Calibri" w:hAnsi="Arial" w:cs="Arial"/>
          <w:b/>
          <w:lang w:val="es-ES"/>
        </w:rPr>
        <w:t>VII. DISPOSICIONES COMPLEMENTARIAS</w:t>
      </w:r>
    </w:p>
    <w:p w:rsidR="000C2661" w:rsidRPr="000C2661" w:rsidRDefault="000C2661" w:rsidP="000C2661">
      <w:pPr>
        <w:spacing w:after="0" w:line="240" w:lineRule="auto"/>
        <w:contextualSpacing/>
        <w:jc w:val="both"/>
        <w:rPr>
          <w:rFonts w:ascii="Arial" w:eastAsia="Calibri" w:hAnsi="Arial" w:cs="Arial"/>
          <w:lang w:val="es-ES"/>
        </w:rPr>
      </w:pPr>
    </w:p>
    <w:p w:rsidR="000C2661" w:rsidRPr="002E688A" w:rsidRDefault="000C2661" w:rsidP="002E688A">
      <w:pPr>
        <w:spacing w:after="0" w:line="240" w:lineRule="auto"/>
        <w:ind w:left="426"/>
        <w:contextualSpacing/>
        <w:jc w:val="both"/>
        <w:rPr>
          <w:rFonts w:ascii="Arial" w:eastAsia="Calibri" w:hAnsi="Arial" w:cs="Arial"/>
          <w:b/>
          <w:lang w:val="es-ES"/>
        </w:rPr>
      </w:pPr>
      <w:r w:rsidRPr="002E688A">
        <w:rPr>
          <w:rFonts w:ascii="Arial" w:eastAsia="Calibri" w:hAnsi="Arial" w:cs="Arial"/>
          <w:b/>
          <w:lang w:val="es-ES"/>
        </w:rPr>
        <w:t>Primera.- De la venta de derechos sobre inmuebles.</w:t>
      </w:r>
    </w:p>
    <w:p w:rsidR="000C2661" w:rsidRPr="000C2661" w:rsidRDefault="000C2661" w:rsidP="002E688A">
      <w:pPr>
        <w:spacing w:after="0" w:line="240" w:lineRule="auto"/>
        <w:ind w:left="426"/>
        <w:contextualSpacing/>
        <w:jc w:val="both"/>
        <w:rPr>
          <w:rFonts w:ascii="Arial" w:eastAsia="Calibri" w:hAnsi="Arial" w:cs="Arial"/>
          <w:lang w:val="es-ES"/>
        </w:rPr>
      </w:pPr>
      <w:r w:rsidRPr="000C2661">
        <w:rPr>
          <w:rFonts w:ascii="Arial" w:eastAsia="Calibri" w:hAnsi="Arial" w:cs="Arial"/>
          <w:lang w:val="es-ES"/>
        </w:rPr>
        <w:t>La venta de derechos y acciones de titularidad del Estado que recaen sobre inmuebles, se rigen por la presente Directiva en lo que le fuere aplicable.</w:t>
      </w:r>
    </w:p>
    <w:p w:rsidR="000C2661" w:rsidRPr="000C2661" w:rsidRDefault="000C2661" w:rsidP="002E688A">
      <w:pPr>
        <w:spacing w:after="0" w:line="240" w:lineRule="auto"/>
        <w:ind w:left="426"/>
        <w:contextualSpacing/>
        <w:jc w:val="both"/>
        <w:rPr>
          <w:rFonts w:ascii="Arial" w:eastAsia="Calibri" w:hAnsi="Arial" w:cs="Arial"/>
          <w:lang w:val="es-ES"/>
        </w:rPr>
      </w:pPr>
    </w:p>
    <w:p w:rsidR="000C2661" w:rsidRPr="002E688A" w:rsidRDefault="000C2661" w:rsidP="002E688A">
      <w:pPr>
        <w:spacing w:after="0" w:line="240" w:lineRule="auto"/>
        <w:ind w:left="426"/>
        <w:contextualSpacing/>
        <w:jc w:val="both"/>
        <w:rPr>
          <w:rFonts w:ascii="Arial" w:eastAsia="Calibri" w:hAnsi="Arial" w:cs="Arial"/>
          <w:b/>
          <w:lang w:val="es-ES"/>
        </w:rPr>
      </w:pPr>
      <w:r w:rsidRPr="002E688A">
        <w:rPr>
          <w:rFonts w:ascii="Arial" w:eastAsia="Calibri" w:hAnsi="Arial" w:cs="Arial"/>
          <w:b/>
          <w:lang w:val="es-ES"/>
        </w:rPr>
        <w:t xml:space="preserve">Segunda.- Del cumplimiento de las disposiciones contenidas en la presente Directiva </w:t>
      </w:r>
    </w:p>
    <w:p w:rsidR="000C2661" w:rsidRPr="000C2661" w:rsidRDefault="000C2661" w:rsidP="002E688A">
      <w:pPr>
        <w:spacing w:after="0" w:line="240" w:lineRule="auto"/>
        <w:ind w:left="426"/>
        <w:contextualSpacing/>
        <w:jc w:val="both"/>
        <w:rPr>
          <w:rFonts w:ascii="Arial" w:eastAsia="Calibri" w:hAnsi="Arial" w:cs="Arial"/>
          <w:lang w:val="es-ES"/>
        </w:rPr>
      </w:pPr>
      <w:r w:rsidRPr="000C2661">
        <w:rPr>
          <w:rFonts w:ascii="Arial" w:eastAsia="Calibri" w:hAnsi="Arial" w:cs="Arial"/>
          <w:lang w:val="es-ES"/>
        </w:rPr>
        <w:t>La DGPE, conjuntamente con la SDDI, son responsables de velar por el cumplimiento de las disposiciones contenidas en la presente Directiva, respecto de los predios de propiedad del Estado que se encuentran bajo la administración de la SBN.</w:t>
      </w:r>
    </w:p>
    <w:p w:rsidR="000C2661" w:rsidRPr="000C2661" w:rsidRDefault="000C2661" w:rsidP="002E688A">
      <w:pPr>
        <w:spacing w:after="0" w:line="240" w:lineRule="auto"/>
        <w:ind w:left="426"/>
        <w:contextualSpacing/>
        <w:jc w:val="both"/>
        <w:rPr>
          <w:rFonts w:ascii="Arial" w:eastAsia="Calibri" w:hAnsi="Arial" w:cs="Arial"/>
          <w:lang w:val="es-ES"/>
        </w:rPr>
      </w:pPr>
    </w:p>
    <w:p w:rsidR="000C2661" w:rsidRPr="000C2661" w:rsidRDefault="000C2661" w:rsidP="002E688A">
      <w:pPr>
        <w:spacing w:after="0" w:line="240" w:lineRule="auto"/>
        <w:ind w:left="426"/>
        <w:contextualSpacing/>
        <w:jc w:val="both"/>
        <w:rPr>
          <w:rFonts w:ascii="Arial" w:eastAsia="Calibri" w:hAnsi="Arial" w:cs="Arial"/>
          <w:lang w:val="es-ES"/>
        </w:rPr>
      </w:pPr>
      <w:r w:rsidRPr="000C2661">
        <w:rPr>
          <w:rFonts w:ascii="Arial" w:eastAsia="Calibri" w:hAnsi="Arial" w:cs="Arial"/>
          <w:lang w:val="es-ES"/>
        </w:rPr>
        <w:t>Corresponde a cada órgano o área de las entidades que conforman el SNBE, designada para tal fin, velar por el cumplimiento de las disposiciones contenidas en la presente Directiva, de acuerdo a sus documentos internos de gestión.</w:t>
      </w:r>
    </w:p>
    <w:p w:rsidR="000C2661" w:rsidRPr="000C2661" w:rsidRDefault="000C2661" w:rsidP="000C2661">
      <w:pPr>
        <w:spacing w:after="0" w:line="240" w:lineRule="auto"/>
        <w:contextualSpacing/>
        <w:jc w:val="both"/>
        <w:rPr>
          <w:rFonts w:ascii="Arial" w:eastAsia="Calibri" w:hAnsi="Arial" w:cs="Arial"/>
          <w:lang w:val="es-ES"/>
        </w:rPr>
      </w:pPr>
    </w:p>
    <w:p w:rsidR="000C2661" w:rsidRPr="000C2661" w:rsidRDefault="000C2661" w:rsidP="000C2661">
      <w:pPr>
        <w:spacing w:after="0" w:line="240" w:lineRule="auto"/>
        <w:contextualSpacing/>
        <w:jc w:val="both"/>
        <w:rPr>
          <w:rFonts w:ascii="Arial" w:eastAsia="Calibri" w:hAnsi="Arial" w:cs="Arial"/>
          <w:lang w:val="es-ES"/>
        </w:rPr>
      </w:pPr>
    </w:p>
    <w:p w:rsidR="000C2661" w:rsidRPr="002E688A" w:rsidRDefault="000C2661" w:rsidP="002E688A">
      <w:pPr>
        <w:spacing w:after="0" w:line="240" w:lineRule="auto"/>
        <w:ind w:left="426" w:hanging="426"/>
        <w:contextualSpacing/>
        <w:jc w:val="both"/>
        <w:rPr>
          <w:rFonts w:ascii="Arial" w:eastAsia="Calibri" w:hAnsi="Arial" w:cs="Arial"/>
          <w:b/>
          <w:lang w:val="es-ES"/>
        </w:rPr>
      </w:pPr>
      <w:r w:rsidRPr="002E688A">
        <w:rPr>
          <w:rFonts w:ascii="Arial" w:eastAsia="Calibri" w:hAnsi="Arial" w:cs="Arial"/>
          <w:b/>
          <w:lang w:val="es-ES"/>
        </w:rPr>
        <w:t>VIII. DISPOSICIÓN TRANSITORIA</w:t>
      </w:r>
    </w:p>
    <w:p w:rsidR="000C2661" w:rsidRPr="000C2661" w:rsidRDefault="000C2661" w:rsidP="000C2661">
      <w:pPr>
        <w:spacing w:after="0" w:line="240" w:lineRule="auto"/>
        <w:contextualSpacing/>
        <w:jc w:val="both"/>
        <w:rPr>
          <w:rFonts w:ascii="Arial" w:eastAsia="Calibri" w:hAnsi="Arial" w:cs="Arial"/>
          <w:lang w:val="es-ES"/>
        </w:rPr>
      </w:pPr>
      <w:r w:rsidRPr="002E688A">
        <w:rPr>
          <w:rFonts w:ascii="Arial" w:eastAsia="Calibri" w:hAnsi="Arial" w:cs="Arial"/>
          <w:b/>
          <w:lang w:val="es-ES"/>
        </w:rPr>
        <w:t>Única Disposición.-</w:t>
      </w:r>
      <w:r w:rsidRPr="000C2661">
        <w:rPr>
          <w:rFonts w:ascii="Arial" w:eastAsia="Calibri" w:hAnsi="Arial" w:cs="Arial"/>
          <w:lang w:val="es-ES"/>
        </w:rPr>
        <w:t xml:space="preserve"> De los procedimientos iniciados antes de la entrada en vigencia de la presente Directiva.</w:t>
      </w:r>
    </w:p>
    <w:p w:rsidR="000C2661" w:rsidRPr="000C2661" w:rsidRDefault="000C2661" w:rsidP="000C2661">
      <w:pPr>
        <w:spacing w:after="0" w:line="240" w:lineRule="auto"/>
        <w:contextualSpacing/>
        <w:jc w:val="both"/>
        <w:rPr>
          <w:rFonts w:ascii="Arial" w:eastAsia="Calibri" w:hAnsi="Arial" w:cs="Arial"/>
          <w:lang w:val="es-ES"/>
        </w:rPr>
      </w:pPr>
      <w:r w:rsidRPr="000C2661">
        <w:rPr>
          <w:rFonts w:ascii="Arial" w:eastAsia="Calibri" w:hAnsi="Arial" w:cs="Arial"/>
          <w:lang w:val="es-ES"/>
        </w:rPr>
        <w:t>Los procedimientos de venta por subasta pública que se encuentren en trámite y se hayan iniciado con el Reglamento de la Ley Nº 29151, se regirán por la presente Directiva.</w:t>
      </w:r>
    </w:p>
    <w:p w:rsidR="000C2661" w:rsidRPr="000C2661" w:rsidRDefault="000C2661" w:rsidP="000C2661">
      <w:pPr>
        <w:spacing w:after="0" w:line="240" w:lineRule="auto"/>
        <w:contextualSpacing/>
        <w:jc w:val="both"/>
        <w:rPr>
          <w:rFonts w:ascii="Arial" w:eastAsia="Calibri" w:hAnsi="Arial" w:cs="Arial"/>
          <w:lang w:val="es-ES"/>
        </w:rPr>
      </w:pPr>
    </w:p>
    <w:p w:rsidR="000C2661" w:rsidRPr="002E688A" w:rsidRDefault="000C2661" w:rsidP="000C2661">
      <w:pPr>
        <w:spacing w:after="0" w:line="240" w:lineRule="auto"/>
        <w:contextualSpacing/>
        <w:jc w:val="both"/>
        <w:rPr>
          <w:rFonts w:ascii="Arial" w:eastAsia="Calibri" w:hAnsi="Arial" w:cs="Arial"/>
          <w:b/>
          <w:lang w:val="es-ES"/>
        </w:rPr>
      </w:pPr>
      <w:r w:rsidRPr="002E688A">
        <w:rPr>
          <w:rFonts w:ascii="Arial" w:eastAsia="Calibri" w:hAnsi="Arial" w:cs="Arial"/>
          <w:b/>
          <w:lang w:val="es-ES"/>
        </w:rPr>
        <w:t>IX. ANEXOS</w:t>
      </w:r>
    </w:p>
    <w:p w:rsidR="000C2661" w:rsidRPr="000C2661" w:rsidRDefault="000C2661" w:rsidP="002E688A">
      <w:pPr>
        <w:spacing w:after="0" w:line="240" w:lineRule="auto"/>
        <w:ind w:left="426"/>
        <w:contextualSpacing/>
        <w:jc w:val="both"/>
        <w:rPr>
          <w:rFonts w:ascii="Arial" w:eastAsia="Calibri" w:hAnsi="Arial" w:cs="Arial"/>
          <w:lang w:val="es-ES"/>
        </w:rPr>
      </w:pPr>
      <w:r w:rsidRPr="000C2661">
        <w:rPr>
          <w:rFonts w:ascii="Arial" w:eastAsia="Calibri" w:hAnsi="Arial" w:cs="Arial"/>
          <w:lang w:val="es-ES"/>
        </w:rPr>
        <w:t>Forman parte de la presente Directiva los anexos que a continuación se indican:</w:t>
      </w:r>
    </w:p>
    <w:p w:rsidR="000C2661" w:rsidRPr="000C2661" w:rsidRDefault="000C2661" w:rsidP="000C2661">
      <w:pPr>
        <w:spacing w:after="0" w:line="240" w:lineRule="auto"/>
        <w:contextualSpacing/>
        <w:jc w:val="both"/>
        <w:rPr>
          <w:rFonts w:ascii="Arial" w:eastAsia="Calibri" w:hAnsi="Arial" w:cs="Arial"/>
          <w:lang w:val="es-ES"/>
        </w:rPr>
      </w:pPr>
      <w:r w:rsidRPr="000C2661">
        <w:rPr>
          <w:rFonts w:ascii="Arial" w:eastAsia="Calibri" w:hAnsi="Arial" w:cs="Arial"/>
          <w:lang w:val="es-ES"/>
        </w:rPr>
        <w:t xml:space="preserve"> </w:t>
      </w:r>
    </w:p>
    <w:p w:rsidR="000C2661" w:rsidRDefault="000C2661" w:rsidP="000C2661">
      <w:pPr>
        <w:spacing w:after="0" w:line="240" w:lineRule="auto"/>
        <w:contextualSpacing/>
        <w:jc w:val="both"/>
        <w:rPr>
          <w:rFonts w:ascii="Arial" w:eastAsia="Calibri" w:hAnsi="Arial" w:cs="Arial"/>
          <w:lang w:val="es-ES"/>
        </w:rPr>
      </w:pPr>
    </w:p>
    <w:p w:rsidR="007216B0" w:rsidRPr="000C2661" w:rsidRDefault="007216B0" w:rsidP="000C2661">
      <w:pPr>
        <w:spacing w:after="0" w:line="240" w:lineRule="auto"/>
        <w:contextualSpacing/>
        <w:jc w:val="both"/>
        <w:rPr>
          <w:rFonts w:ascii="Arial" w:eastAsia="Calibri" w:hAnsi="Arial" w:cs="Arial"/>
          <w:lang w:val="es-ES"/>
        </w:rPr>
      </w:pPr>
    </w:p>
    <w:p w:rsidR="000C2661" w:rsidRPr="002E688A" w:rsidRDefault="000C2661" w:rsidP="002E688A">
      <w:pPr>
        <w:spacing w:after="0" w:line="240" w:lineRule="auto"/>
        <w:contextualSpacing/>
        <w:jc w:val="center"/>
        <w:rPr>
          <w:rFonts w:ascii="Arial" w:eastAsia="Calibri" w:hAnsi="Arial" w:cs="Arial"/>
          <w:b/>
          <w:lang w:val="es-ES"/>
        </w:rPr>
      </w:pPr>
      <w:r w:rsidRPr="002E688A">
        <w:rPr>
          <w:rFonts w:ascii="Arial" w:eastAsia="Calibri" w:hAnsi="Arial" w:cs="Arial"/>
          <w:b/>
          <w:lang w:val="es-ES"/>
        </w:rPr>
        <w:t>ANEXO N° 1:</w:t>
      </w:r>
    </w:p>
    <w:p w:rsidR="000C2661" w:rsidRPr="002E688A" w:rsidRDefault="000C2661" w:rsidP="002E688A">
      <w:pPr>
        <w:spacing w:after="0" w:line="240" w:lineRule="auto"/>
        <w:contextualSpacing/>
        <w:jc w:val="center"/>
        <w:rPr>
          <w:rFonts w:ascii="Arial" w:eastAsia="Calibri" w:hAnsi="Arial" w:cs="Arial"/>
          <w:b/>
          <w:lang w:val="es-ES"/>
        </w:rPr>
      </w:pPr>
      <w:r w:rsidRPr="002E688A">
        <w:rPr>
          <w:rFonts w:ascii="Arial" w:eastAsia="Calibri" w:hAnsi="Arial" w:cs="Arial"/>
          <w:b/>
          <w:lang w:val="es-ES"/>
        </w:rPr>
        <w:t>ABREVIATURAS</w:t>
      </w:r>
    </w:p>
    <w:p w:rsidR="000C2661" w:rsidRPr="000C2661" w:rsidRDefault="000C2661" w:rsidP="000C2661">
      <w:pPr>
        <w:spacing w:after="0" w:line="240" w:lineRule="auto"/>
        <w:contextualSpacing/>
        <w:jc w:val="both"/>
        <w:rPr>
          <w:rFonts w:ascii="Arial" w:eastAsia="Calibri" w:hAnsi="Arial" w:cs="Arial"/>
          <w:lang w:val="es-ES"/>
        </w:rPr>
      </w:pPr>
    </w:p>
    <w:p w:rsidR="000C2661" w:rsidRPr="000C2661" w:rsidRDefault="000C2661" w:rsidP="000C2661">
      <w:pPr>
        <w:spacing w:after="0" w:line="240" w:lineRule="auto"/>
        <w:contextualSpacing/>
        <w:jc w:val="both"/>
        <w:rPr>
          <w:rFonts w:ascii="Arial" w:eastAsia="Calibri" w:hAnsi="Arial" w:cs="Arial"/>
          <w:lang w:val="es-ES"/>
        </w:rPr>
      </w:pPr>
      <w:r w:rsidRPr="007679F6">
        <w:rPr>
          <w:rFonts w:ascii="Arial" w:eastAsia="Calibri" w:hAnsi="Arial" w:cs="Arial"/>
          <w:b/>
          <w:lang w:val="es-ES"/>
        </w:rPr>
        <w:t>DGPE:</w:t>
      </w:r>
      <w:r w:rsidRPr="000C2661">
        <w:rPr>
          <w:rFonts w:ascii="Arial" w:eastAsia="Calibri" w:hAnsi="Arial" w:cs="Arial"/>
          <w:lang w:val="es-ES"/>
        </w:rPr>
        <w:t xml:space="preserve"> Dirección de Gestión del Patrimonio Estatal de la SBN.</w:t>
      </w:r>
    </w:p>
    <w:p w:rsidR="000C2661" w:rsidRPr="000C2661" w:rsidRDefault="000C2661" w:rsidP="000C2661">
      <w:pPr>
        <w:spacing w:after="0" w:line="240" w:lineRule="auto"/>
        <w:contextualSpacing/>
        <w:jc w:val="both"/>
        <w:rPr>
          <w:rFonts w:ascii="Arial" w:eastAsia="Calibri" w:hAnsi="Arial" w:cs="Arial"/>
          <w:lang w:val="es-ES"/>
        </w:rPr>
      </w:pPr>
      <w:r w:rsidRPr="007679F6">
        <w:rPr>
          <w:rFonts w:ascii="Arial" w:eastAsia="Calibri" w:hAnsi="Arial" w:cs="Arial"/>
          <w:b/>
          <w:lang w:val="es-ES"/>
        </w:rPr>
        <w:t>OAF:</w:t>
      </w:r>
      <w:r w:rsidRPr="000C2661">
        <w:rPr>
          <w:rFonts w:ascii="Arial" w:eastAsia="Calibri" w:hAnsi="Arial" w:cs="Arial"/>
          <w:lang w:val="es-ES"/>
        </w:rPr>
        <w:t xml:space="preserve"> Oficina de Administración y Finanzas de la SBN.</w:t>
      </w:r>
    </w:p>
    <w:p w:rsidR="000C2661" w:rsidRPr="000C2661" w:rsidRDefault="000C2661" w:rsidP="000C2661">
      <w:pPr>
        <w:spacing w:after="0" w:line="240" w:lineRule="auto"/>
        <w:contextualSpacing/>
        <w:jc w:val="both"/>
        <w:rPr>
          <w:rFonts w:ascii="Arial" w:eastAsia="Calibri" w:hAnsi="Arial" w:cs="Arial"/>
          <w:lang w:val="es-ES"/>
        </w:rPr>
      </w:pPr>
      <w:r w:rsidRPr="007679F6">
        <w:rPr>
          <w:rFonts w:ascii="Arial" w:eastAsia="Calibri" w:hAnsi="Arial" w:cs="Arial"/>
          <w:b/>
          <w:lang w:val="es-ES"/>
        </w:rPr>
        <w:t>OAJ:</w:t>
      </w:r>
      <w:r w:rsidRPr="000C2661">
        <w:rPr>
          <w:rFonts w:ascii="Arial" w:eastAsia="Calibri" w:hAnsi="Arial" w:cs="Arial"/>
          <w:lang w:val="es-ES"/>
        </w:rPr>
        <w:t xml:space="preserve"> Oficina de Asesoría Jurídica de la SBN.</w:t>
      </w:r>
    </w:p>
    <w:p w:rsidR="000C2661" w:rsidRPr="000C2661" w:rsidRDefault="000C2661" w:rsidP="000C2661">
      <w:pPr>
        <w:spacing w:after="0" w:line="240" w:lineRule="auto"/>
        <w:contextualSpacing/>
        <w:jc w:val="both"/>
        <w:rPr>
          <w:rFonts w:ascii="Arial" w:eastAsia="Calibri" w:hAnsi="Arial" w:cs="Arial"/>
          <w:lang w:val="es-ES"/>
        </w:rPr>
      </w:pPr>
      <w:r w:rsidRPr="007679F6">
        <w:rPr>
          <w:rFonts w:ascii="Arial" w:eastAsia="Calibri" w:hAnsi="Arial" w:cs="Arial"/>
          <w:b/>
          <w:lang w:val="es-ES"/>
        </w:rPr>
        <w:t>ROF:</w:t>
      </w:r>
      <w:r w:rsidRPr="000C2661">
        <w:rPr>
          <w:rFonts w:ascii="Arial" w:eastAsia="Calibri" w:hAnsi="Arial" w:cs="Arial"/>
          <w:lang w:val="es-ES"/>
        </w:rPr>
        <w:t xml:space="preserve"> Reglamento de Organización y Funciones de la SBN.</w:t>
      </w:r>
    </w:p>
    <w:p w:rsidR="002E688A" w:rsidRDefault="000C2661" w:rsidP="000C2661">
      <w:pPr>
        <w:spacing w:after="0" w:line="240" w:lineRule="auto"/>
        <w:contextualSpacing/>
        <w:jc w:val="both"/>
        <w:rPr>
          <w:rFonts w:ascii="Arial" w:eastAsia="Calibri" w:hAnsi="Arial" w:cs="Arial"/>
          <w:lang w:val="es-ES"/>
        </w:rPr>
      </w:pPr>
      <w:r w:rsidRPr="007679F6">
        <w:rPr>
          <w:rFonts w:ascii="Arial" w:eastAsia="Calibri" w:hAnsi="Arial" w:cs="Arial"/>
          <w:b/>
          <w:lang w:val="es-ES"/>
        </w:rPr>
        <w:t>SAT:</w:t>
      </w:r>
      <w:r w:rsidRPr="000C2661">
        <w:rPr>
          <w:rFonts w:ascii="Arial" w:eastAsia="Calibri" w:hAnsi="Arial" w:cs="Arial"/>
          <w:lang w:val="es-ES"/>
        </w:rPr>
        <w:t xml:space="preserve"> Siste</w:t>
      </w:r>
      <w:r w:rsidR="002E688A">
        <w:rPr>
          <w:rFonts w:ascii="Arial" w:eastAsia="Calibri" w:hAnsi="Arial" w:cs="Arial"/>
          <w:lang w:val="es-ES"/>
        </w:rPr>
        <w:t>ma Administrativo de Tesorería.</w:t>
      </w:r>
    </w:p>
    <w:p w:rsidR="000C2661" w:rsidRPr="000C2661" w:rsidRDefault="000C2661" w:rsidP="000C2661">
      <w:pPr>
        <w:spacing w:after="0" w:line="240" w:lineRule="auto"/>
        <w:contextualSpacing/>
        <w:jc w:val="both"/>
        <w:rPr>
          <w:rFonts w:ascii="Arial" w:eastAsia="Calibri" w:hAnsi="Arial" w:cs="Arial"/>
          <w:lang w:val="es-ES"/>
        </w:rPr>
      </w:pPr>
      <w:r w:rsidRPr="007679F6">
        <w:rPr>
          <w:rFonts w:ascii="Arial" w:eastAsia="Calibri" w:hAnsi="Arial" w:cs="Arial"/>
          <w:b/>
          <w:lang w:val="es-ES"/>
        </w:rPr>
        <w:t>SBN:</w:t>
      </w:r>
      <w:r w:rsidRPr="000C2661">
        <w:rPr>
          <w:rFonts w:ascii="Arial" w:eastAsia="Calibri" w:hAnsi="Arial" w:cs="Arial"/>
          <w:lang w:val="es-ES"/>
        </w:rPr>
        <w:t xml:space="preserve"> Superintendencia Nacional de Bienes Estatales.</w:t>
      </w:r>
    </w:p>
    <w:p w:rsidR="000C2661" w:rsidRPr="000C2661" w:rsidRDefault="000C2661" w:rsidP="000C2661">
      <w:pPr>
        <w:spacing w:after="0" w:line="240" w:lineRule="auto"/>
        <w:contextualSpacing/>
        <w:jc w:val="both"/>
        <w:rPr>
          <w:rFonts w:ascii="Arial" w:eastAsia="Calibri" w:hAnsi="Arial" w:cs="Arial"/>
          <w:lang w:val="es-ES"/>
        </w:rPr>
      </w:pPr>
      <w:r w:rsidRPr="007679F6">
        <w:rPr>
          <w:rFonts w:ascii="Arial" w:eastAsia="Calibri" w:hAnsi="Arial" w:cs="Arial"/>
          <w:b/>
          <w:lang w:val="es-ES"/>
        </w:rPr>
        <w:t>SDDI:</w:t>
      </w:r>
      <w:r w:rsidRPr="000C2661">
        <w:rPr>
          <w:rFonts w:ascii="Arial" w:eastAsia="Calibri" w:hAnsi="Arial" w:cs="Arial"/>
          <w:lang w:val="es-ES"/>
        </w:rPr>
        <w:t xml:space="preserve"> Subdirección de Desarrollo Inmobiliario de la SBN.</w:t>
      </w:r>
    </w:p>
    <w:p w:rsidR="000C2661" w:rsidRPr="000C2661" w:rsidRDefault="000C2661" w:rsidP="000C2661">
      <w:pPr>
        <w:spacing w:after="0" w:line="240" w:lineRule="auto"/>
        <w:contextualSpacing/>
        <w:jc w:val="both"/>
        <w:rPr>
          <w:rFonts w:ascii="Arial" w:eastAsia="Calibri" w:hAnsi="Arial" w:cs="Arial"/>
          <w:lang w:val="es-ES"/>
        </w:rPr>
      </w:pPr>
      <w:r w:rsidRPr="007679F6">
        <w:rPr>
          <w:rFonts w:ascii="Arial" w:eastAsia="Calibri" w:hAnsi="Arial" w:cs="Arial"/>
          <w:b/>
          <w:lang w:val="es-ES"/>
        </w:rPr>
        <w:t>SINABIP:</w:t>
      </w:r>
      <w:r w:rsidRPr="000C2661">
        <w:rPr>
          <w:rFonts w:ascii="Arial" w:eastAsia="Calibri" w:hAnsi="Arial" w:cs="Arial"/>
          <w:lang w:val="es-ES"/>
        </w:rPr>
        <w:t xml:space="preserve"> Sistema de Información Nacional de Bienes Estatales.</w:t>
      </w:r>
    </w:p>
    <w:p w:rsidR="000C2661" w:rsidRPr="000C2661" w:rsidRDefault="000C2661" w:rsidP="000C2661">
      <w:pPr>
        <w:spacing w:after="0" w:line="240" w:lineRule="auto"/>
        <w:contextualSpacing/>
        <w:jc w:val="both"/>
        <w:rPr>
          <w:rFonts w:ascii="Arial" w:eastAsia="Calibri" w:hAnsi="Arial" w:cs="Arial"/>
          <w:lang w:val="es-ES"/>
        </w:rPr>
      </w:pPr>
      <w:r w:rsidRPr="007679F6">
        <w:rPr>
          <w:rFonts w:ascii="Arial" w:eastAsia="Calibri" w:hAnsi="Arial" w:cs="Arial"/>
          <w:b/>
          <w:lang w:val="es-ES"/>
        </w:rPr>
        <w:t>SNBE:</w:t>
      </w:r>
      <w:r w:rsidRPr="000C2661">
        <w:rPr>
          <w:rFonts w:ascii="Arial" w:eastAsia="Calibri" w:hAnsi="Arial" w:cs="Arial"/>
          <w:lang w:val="es-ES"/>
        </w:rPr>
        <w:t xml:space="preserve"> Sistema Nacional de Bienes Estatales</w:t>
      </w:r>
    </w:p>
    <w:p w:rsidR="000C2661" w:rsidRPr="000C2661" w:rsidRDefault="000C2661" w:rsidP="000C2661">
      <w:pPr>
        <w:spacing w:after="0" w:line="240" w:lineRule="auto"/>
        <w:contextualSpacing/>
        <w:jc w:val="both"/>
        <w:rPr>
          <w:rFonts w:ascii="Arial" w:eastAsia="Calibri" w:hAnsi="Arial" w:cs="Arial"/>
          <w:lang w:val="es-ES"/>
        </w:rPr>
      </w:pPr>
      <w:r w:rsidRPr="007679F6">
        <w:rPr>
          <w:rFonts w:ascii="Arial" w:eastAsia="Calibri" w:hAnsi="Arial" w:cs="Arial"/>
          <w:b/>
          <w:lang w:val="es-ES"/>
        </w:rPr>
        <w:t>SUPERINTENDENTE:</w:t>
      </w:r>
      <w:r w:rsidRPr="000C2661">
        <w:rPr>
          <w:rFonts w:ascii="Arial" w:eastAsia="Calibri" w:hAnsi="Arial" w:cs="Arial"/>
          <w:lang w:val="es-ES"/>
        </w:rPr>
        <w:t xml:space="preserve"> Superintendente Nacional de Bienes Estatales.</w:t>
      </w:r>
    </w:p>
    <w:p w:rsidR="000C2661" w:rsidRPr="000C2661" w:rsidRDefault="000C2661" w:rsidP="000C2661">
      <w:pPr>
        <w:spacing w:after="0" w:line="240" w:lineRule="auto"/>
        <w:contextualSpacing/>
        <w:jc w:val="both"/>
        <w:rPr>
          <w:rFonts w:ascii="Arial" w:eastAsia="Calibri" w:hAnsi="Arial" w:cs="Arial"/>
          <w:lang w:val="es-ES"/>
        </w:rPr>
      </w:pPr>
    </w:p>
    <w:p w:rsidR="000C2661" w:rsidRPr="007679F6" w:rsidRDefault="000C2661" w:rsidP="007679F6">
      <w:pPr>
        <w:spacing w:after="0" w:line="240" w:lineRule="auto"/>
        <w:contextualSpacing/>
        <w:jc w:val="center"/>
        <w:rPr>
          <w:rFonts w:ascii="Arial" w:eastAsia="Calibri" w:hAnsi="Arial" w:cs="Arial"/>
          <w:b/>
          <w:lang w:val="es-ES"/>
        </w:rPr>
      </w:pPr>
      <w:r w:rsidRPr="007679F6">
        <w:rPr>
          <w:rFonts w:ascii="Arial" w:eastAsia="Calibri" w:hAnsi="Arial" w:cs="Arial"/>
          <w:b/>
          <w:lang w:val="es-ES"/>
        </w:rPr>
        <w:t>ANEXO N° 2:</w:t>
      </w:r>
    </w:p>
    <w:p w:rsidR="000C2661" w:rsidRPr="007679F6" w:rsidRDefault="000C2661" w:rsidP="007679F6">
      <w:pPr>
        <w:spacing w:after="0" w:line="240" w:lineRule="auto"/>
        <w:contextualSpacing/>
        <w:jc w:val="center"/>
        <w:rPr>
          <w:rFonts w:ascii="Arial" w:eastAsia="Calibri" w:hAnsi="Arial" w:cs="Arial"/>
          <w:b/>
          <w:lang w:val="es-ES"/>
        </w:rPr>
      </w:pPr>
      <w:r w:rsidRPr="007679F6">
        <w:rPr>
          <w:rFonts w:ascii="Arial" w:eastAsia="Calibri" w:hAnsi="Arial" w:cs="Arial"/>
          <w:b/>
          <w:lang w:val="es-ES"/>
        </w:rPr>
        <w:t>GLOSARIO DE TÉRMINOS</w:t>
      </w:r>
    </w:p>
    <w:p w:rsidR="000C2661" w:rsidRPr="000C2661" w:rsidRDefault="000C2661" w:rsidP="000C2661">
      <w:pPr>
        <w:spacing w:after="0" w:line="240" w:lineRule="auto"/>
        <w:contextualSpacing/>
        <w:jc w:val="both"/>
        <w:rPr>
          <w:rFonts w:ascii="Arial" w:eastAsia="Calibri" w:hAnsi="Arial" w:cs="Arial"/>
          <w:lang w:val="es-ES"/>
        </w:rPr>
      </w:pPr>
    </w:p>
    <w:p w:rsidR="000C2661" w:rsidRPr="000C2661" w:rsidRDefault="000C2661" w:rsidP="000C2661">
      <w:pPr>
        <w:spacing w:after="0" w:line="240" w:lineRule="auto"/>
        <w:contextualSpacing/>
        <w:jc w:val="both"/>
        <w:rPr>
          <w:rFonts w:ascii="Arial" w:eastAsia="Calibri" w:hAnsi="Arial" w:cs="Arial"/>
          <w:lang w:val="es-ES"/>
        </w:rPr>
      </w:pPr>
      <w:r w:rsidRPr="007679F6">
        <w:rPr>
          <w:rFonts w:ascii="Arial" w:eastAsia="Calibri" w:hAnsi="Arial" w:cs="Arial"/>
          <w:b/>
          <w:lang w:val="es-ES"/>
        </w:rPr>
        <w:t>Documento de valor referencial:</w:t>
      </w:r>
      <w:r w:rsidRPr="000C2661">
        <w:rPr>
          <w:rFonts w:ascii="Arial" w:eastAsia="Calibri" w:hAnsi="Arial" w:cs="Arial"/>
          <w:lang w:val="es-ES"/>
        </w:rPr>
        <w:t xml:space="preserve"> Documento elaborado por el profesional técnico que participa en la sustentación de la documentación para la evaluación de predios a ser considerados en el procedimiento de venta por subasta pública, en el cual se indica el valor referencial del predio estatal con la finalidad de ser utilizado para el análisis de costo-beneficio.</w:t>
      </w:r>
    </w:p>
    <w:p w:rsidR="000C2661" w:rsidRPr="007679F6" w:rsidRDefault="000C2661" w:rsidP="000C2661">
      <w:pPr>
        <w:spacing w:after="0" w:line="240" w:lineRule="auto"/>
        <w:contextualSpacing/>
        <w:jc w:val="both"/>
        <w:rPr>
          <w:rFonts w:ascii="Arial" w:eastAsia="Calibri" w:hAnsi="Arial" w:cs="Arial"/>
          <w:b/>
          <w:lang w:val="es-ES"/>
        </w:rPr>
      </w:pPr>
    </w:p>
    <w:p w:rsidR="000C2661" w:rsidRPr="000C2661" w:rsidRDefault="000C2661" w:rsidP="000C2661">
      <w:pPr>
        <w:spacing w:after="0" w:line="240" w:lineRule="auto"/>
        <w:contextualSpacing/>
        <w:jc w:val="both"/>
        <w:rPr>
          <w:rFonts w:ascii="Arial" w:eastAsia="Calibri" w:hAnsi="Arial" w:cs="Arial"/>
          <w:lang w:val="es-ES"/>
        </w:rPr>
      </w:pPr>
      <w:r w:rsidRPr="007679F6">
        <w:rPr>
          <w:rFonts w:ascii="Arial" w:eastAsia="Calibri" w:hAnsi="Arial" w:cs="Arial"/>
          <w:b/>
          <w:lang w:val="es-ES"/>
        </w:rPr>
        <w:t>Entidad pública:</w:t>
      </w:r>
      <w:r w:rsidRPr="000C2661">
        <w:rPr>
          <w:rFonts w:ascii="Arial" w:eastAsia="Calibri" w:hAnsi="Arial" w:cs="Arial"/>
          <w:lang w:val="es-ES"/>
        </w:rPr>
        <w:t xml:space="preserve"> Las entidades a las que se refiere el artículo 8 de la Ley Nº 29151, Ley General del Sistema Nacional de Bienes Estatales.</w:t>
      </w:r>
    </w:p>
    <w:p w:rsidR="000C2661" w:rsidRPr="000C2661" w:rsidRDefault="000C2661" w:rsidP="000C2661">
      <w:pPr>
        <w:spacing w:after="0" w:line="240" w:lineRule="auto"/>
        <w:contextualSpacing/>
        <w:jc w:val="both"/>
        <w:rPr>
          <w:rFonts w:ascii="Arial" w:eastAsia="Calibri" w:hAnsi="Arial" w:cs="Arial"/>
          <w:lang w:val="es-ES"/>
        </w:rPr>
      </w:pPr>
    </w:p>
    <w:p w:rsidR="000C2661" w:rsidRPr="000C2661" w:rsidRDefault="000C2661" w:rsidP="000C2661">
      <w:pPr>
        <w:spacing w:after="0" w:line="240" w:lineRule="auto"/>
        <w:contextualSpacing/>
        <w:jc w:val="both"/>
        <w:rPr>
          <w:rFonts w:ascii="Arial" w:eastAsia="Calibri" w:hAnsi="Arial" w:cs="Arial"/>
          <w:lang w:val="es-ES"/>
        </w:rPr>
      </w:pPr>
      <w:r w:rsidRPr="007679F6">
        <w:rPr>
          <w:rFonts w:ascii="Arial" w:eastAsia="Calibri" w:hAnsi="Arial" w:cs="Arial"/>
          <w:b/>
          <w:lang w:val="es-ES"/>
        </w:rPr>
        <w:t>Gastos Administrativos:</w:t>
      </w:r>
      <w:r w:rsidRPr="000C2661">
        <w:rPr>
          <w:rFonts w:ascii="Arial" w:eastAsia="Calibri" w:hAnsi="Arial" w:cs="Arial"/>
          <w:lang w:val="es-ES"/>
        </w:rPr>
        <w:t xml:space="preserve"> Aquellos gastos indirectos que sirven de soporte al proceso de venta, tales como impresiones de planos y otros documentos; pagos de luz, agua, teléfono y otros de la sede administrativa de la entidad, entre otros.</w:t>
      </w:r>
    </w:p>
    <w:p w:rsidR="000C2661" w:rsidRPr="000C2661" w:rsidRDefault="000C2661" w:rsidP="000C2661">
      <w:pPr>
        <w:spacing w:after="0" w:line="240" w:lineRule="auto"/>
        <w:contextualSpacing/>
        <w:jc w:val="both"/>
        <w:rPr>
          <w:rFonts w:ascii="Arial" w:eastAsia="Calibri" w:hAnsi="Arial" w:cs="Arial"/>
          <w:lang w:val="es-ES"/>
        </w:rPr>
      </w:pPr>
    </w:p>
    <w:p w:rsidR="000C2661" w:rsidRPr="000C2661" w:rsidRDefault="000C2661" w:rsidP="000C2661">
      <w:pPr>
        <w:spacing w:after="0" w:line="240" w:lineRule="auto"/>
        <w:contextualSpacing/>
        <w:jc w:val="both"/>
        <w:rPr>
          <w:rFonts w:ascii="Arial" w:eastAsia="Calibri" w:hAnsi="Arial" w:cs="Arial"/>
          <w:lang w:val="es-ES"/>
        </w:rPr>
      </w:pPr>
      <w:r w:rsidRPr="007679F6">
        <w:rPr>
          <w:rFonts w:ascii="Arial" w:eastAsia="Calibri" w:hAnsi="Arial" w:cs="Arial"/>
          <w:b/>
          <w:lang w:val="es-ES"/>
        </w:rPr>
        <w:t>Gastos operativos:</w:t>
      </w:r>
      <w:r w:rsidRPr="000C2661">
        <w:rPr>
          <w:rFonts w:ascii="Arial" w:eastAsia="Calibri" w:hAnsi="Arial" w:cs="Arial"/>
          <w:lang w:val="es-ES"/>
        </w:rPr>
        <w:t xml:space="preserve"> Aquellos gastos que realiza la entidad que están directamente vinculados al procedimiento o a los predios materia de venta por subasta pública, tales como: pago de los tributos municipales y de servicios públicos; seguridad y vigilancia; viáticos de los profesionales; tasaciones; publicaciones; gastos notariales; tasas registrales, honorarios de los profesionales contratados de manera exclusiva para dicho procedimiento; entre otros.</w:t>
      </w:r>
    </w:p>
    <w:p w:rsidR="000C2661" w:rsidRPr="000C2661" w:rsidRDefault="000C2661" w:rsidP="000C2661">
      <w:pPr>
        <w:spacing w:after="0" w:line="240" w:lineRule="auto"/>
        <w:contextualSpacing/>
        <w:jc w:val="both"/>
        <w:rPr>
          <w:rFonts w:ascii="Arial" w:eastAsia="Calibri" w:hAnsi="Arial" w:cs="Arial"/>
          <w:lang w:val="es-ES"/>
        </w:rPr>
      </w:pPr>
    </w:p>
    <w:p w:rsidR="000C2661" w:rsidRPr="000C2661" w:rsidRDefault="000C2661" w:rsidP="000C2661">
      <w:pPr>
        <w:spacing w:after="0" w:line="240" w:lineRule="auto"/>
        <w:contextualSpacing/>
        <w:jc w:val="both"/>
        <w:rPr>
          <w:rFonts w:ascii="Arial" w:eastAsia="Calibri" w:hAnsi="Arial" w:cs="Arial"/>
          <w:lang w:val="es-ES"/>
        </w:rPr>
      </w:pPr>
      <w:r w:rsidRPr="007679F6">
        <w:rPr>
          <w:rFonts w:ascii="Arial" w:eastAsia="Calibri" w:hAnsi="Arial" w:cs="Arial"/>
          <w:b/>
          <w:lang w:val="es-ES"/>
        </w:rPr>
        <w:t>Predio estatal:</w:t>
      </w:r>
      <w:r w:rsidRPr="000C2661">
        <w:rPr>
          <w:rFonts w:ascii="Arial" w:eastAsia="Calibri" w:hAnsi="Arial" w:cs="Arial"/>
          <w:lang w:val="es-ES"/>
        </w:rPr>
        <w:t xml:space="preserve"> Predio de dominio privado del Estado o de cualquier entidad pública de libre disponibilidad.</w:t>
      </w:r>
    </w:p>
    <w:p w:rsidR="000C2661" w:rsidRPr="000C2661" w:rsidRDefault="000C2661" w:rsidP="000C2661">
      <w:pPr>
        <w:spacing w:after="0" w:line="240" w:lineRule="auto"/>
        <w:contextualSpacing/>
        <w:jc w:val="both"/>
        <w:rPr>
          <w:rFonts w:ascii="Arial" w:eastAsia="Calibri" w:hAnsi="Arial" w:cs="Arial"/>
          <w:lang w:val="es-ES"/>
        </w:rPr>
      </w:pPr>
    </w:p>
    <w:p w:rsidR="000C2661" w:rsidRPr="000C2661" w:rsidRDefault="000C2661" w:rsidP="000C2661">
      <w:pPr>
        <w:spacing w:after="0" w:line="240" w:lineRule="auto"/>
        <w:contextualSpacing/>
        <w:jc w:val="both"/>
        <w:rPr>
          <w:rFonts w:ascii="Arial" w:eastAsia="Calibri" w:hAnsi="Arial" w:cs="Arial"/>
          <w:lang w:val="es-ES"/>
        </w:rPr>
      </w:pPr>
      <w:r w:rsidRPr="007679F6">
        <w:rPr>
          <w:rFonts w:ascii="Arial" w:eastAsia="Calibri" w:hAnsi="Arial" w:cs="Arial"/>
          <w:b/>
          <w:lang w:val="es-ES"/>
        </w:rPr>
        <w:t>Predio de dominio privado del Estado:</w:t>
      </w:r>
      <w:r w:rsidRPr="000C2661">
        <w:rPr>
          <w:rFonts w:ascii="Arial" w:eastAsia="Calibri" w:hAnsi="Arial" w:cs="Arial"/>
          <w:lang w:val="es-ES"/>
        </w:rPr>
        <w:t xml:space="preserve"> Aquel predio que siendo de propiedad del Estado o de alguna entidad pública, no está destinado al uso público ni afectado a algún servicio público, y respecto del cual su titular ejerce el derecho de propiedad con todos sus atributos.</w:t>
      </w:r>
    </w:p>
    <w:p w:rsidR="000C2661" w:rsidRPr="000C2661" w:rsidRDefault="000C2661" w:rsidP="000C2661">
      <w:pPr>
        <w:spacing w:after="0" w:line="240" w:lineRule="auto"/>
        <w:contextualSpacing/>
        <w:jc w:val="both"/>
        <w:rPr>
          <w:rFonts w:ascii="Arial" w:eastAsia="Calibri" w:hAnsi="Arial" w:cs="Arial"/>
          <w:lang w:val="es-ES"/>
        </w:rPr>
      </w:pPr>
    </w:p>
    <w:p w:rsidR="000C2661" w:rsidRPr="000C2661" w:rsidRDefault="000C2661" w:rsidP="000C2661">
      <w:pPr>
        <w:spacing w:after="0" w:line="240" w:lineRule="auto"/>
        <w:contextualSpacing/>
        <w:jc w:val="both"/>
        <w:rPr>
          <w:rFonts w:ascii="Arial" w:eastAsia="Calibri" w:hAnsi="Arial" w:cs="Arial"/>
          <w:lang w:val="es-ES"/>
        </w:rPr>
      </w:pPr>
      <w:r w:rsidRPr="007679F6">
        <w:rPr>
          <w:rFonts w:ascii="Arial" w:eastAsia="Calibri" w:hAnsi="Arial" w:cs="Arial"/>
          <w:b/>
          <w:lang w:val="es-ES"/>
        </w:rPr>
        <w:t>Subasta pública:</w:t>
      </w:r>
      <w:r w:rsidRPr="000C2661">
        <w:rPr>
          <w:rFonts w:ascii="Arial" w:eastAsia="Calibri" w:hAnsi="Arial" w:cs="Arial"/>
          <w:lang w:val="es-ES"/>
        </w:rPr>
        <w:t xml:space="preserve"> Venta pública de bienes que se hace al mejor postor.</w:t>
      </w:r>
    </w:p>
    <w:p w:rsidR="000C2661" w:rsidRPr="000C2661" w:rsidRDefault="000C2661" w:rsidP="000C2661">
      <w:pPr>
        <w:spacing w:after="0" w:line="240" w:lineRule="auto"/>
        <w:contextualSpacing/>
        <w:jc w:val="both"/>
        <w:rPr>
          <w:rFonts w:ascii="Arial" w:eastAsia="Calibri" w:hAnsi="Arial" w:cs="Arial"/>
          <w:lang w:val="es-ES"/>
        </w:rPr>
      </w:pPr>
    </w:p>
    <w:p w:rsidR="000C2661" w:rsidRPr="000C2661" w:rsidRDefault="000C2661" w:rsidP="000C2661">
      <w:pPr>
        <w:spacing w:after="0" w:line="240" w:lineRule="auto"/>
        <w:contextualSpacing/>
        <w:jc w:val="both"/>
        <w:rPr>
          <w:rFonts w:ascii="Arial" w:eastAsia="Calibri" w:hAnsi="Arial" w:cs="Arial"/>
          <w:lang w:val="es-ES"/>
        </w:rPr>
      </w:pPr>
      <w:r w:rsidRPr="007679F6">
        <w:rPr>
          <w:rFonts w:ascii="Arial" w:eastAsia="Calibri" w:hAnsi="Arial" w:cs="Arial"/>
          <w:b/>
          <w:lang w:val="es-ES"/>
        </w:rPr>
        <w:t>Valor comercial:</w:t>
      </w:r>
      <w:r w:rsidRPr="000C2661">
        <w:rPr>
          <w:rFonts w:ascii="Arial" w:eastAsia="Calibri" w:hAnsi="Arial" w:cs="Arial"/>
          <w:lang w:val="es-ES"/>
        </w:rPr>
        <w:t xml:space="preserve"> Valor de mercado determinado siguiendo los procedimientos del Reglamento Nacional de Tasaciones del Perú.</w:t>
      </w:r>
    </w:p>
    <w:p w:rsidR="000C2661" w:rsidRPr="000C2661" w:rsidRDefault="000C2661" w:rsidP="000C2661">
      <w:pPr>
        <w:spacing w:after="0" w:line="240" w:lineRule="auto"/>
        <w:contextualSpacing/>
        <w:jc w:val="both"/>
        <w:rPr>
          <w:rFonts w:ascii="Arial" w:eastAsia="Calibri" w:hAnsi="Arial" w:cs="Arial"/>
          <w:lang w:val="es-ES"/>
        </w:rPr>
      </w:pPr>
    </w:p>
    <w:p w:rsidR="000C2661" w:rsidRPr="000C2661" w:rsidRDefault="000C2661" w:rsidP="000C2661">
      <w:pPr>
        <w:spacing w:after="0" w:line="240" w:lineRule="auto"/>
        <w:contextualSpacing/>
        <w:jc w:val="both"/>
        <w:rPr>
          <w:rFonts w:ascii="Arial" w:eastAsia="Calibri" w:hAnsi="Arial" w:cs="Arial"/>
          <w:lang w:val="es-ES"/>
        </w:rPr>
      </w:pPr>
      <w:r w:rsidRPr="007679F6">
        <w:rPr>
          <w:rFonts w:ascii="Arial" w:eastAsia="Calibri" w:hAnsi="Arial" w:cs="Arial"/>
          <w:b/>
          <w:lang w:val="es-ES"/>
        </w:rPr>
        <w:t>Zona de dominio restringido:</w:t>
      </w:r>
      <w:r w:rsidRPr="000C2661">
        <w:rPr>
          <w:rFonts w:ascii="Arial" w:eastAsia="Calibri" w:hAnsi="Arial" w:cs="Arial"/>
          <w:lang w:val="es-ES"/>
        </w:rPr>
        <w:t xml:space="preserve"> Se considera así a la franja de 200  metros ubicada a continuación de la franja de hasta 50 metros de ancho paralela a la línea de alta marea, siempre que exista continuidad geográfica en toda esa área y no existan terrenos de propiedad privada excluidos de su ámbito.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Default="006312E8" w:rsidP="006312E8">
      <w:pPr>
        <w:spacing w:after="0" w:line="240" w:lineRule="auto"/>
        <w:contextualSpacing/>
        <w:jc w:val="both"/>
        <w:rPr>
          <w:rFonts w:ascii="Arial" w:eastAsia="Calibri" w:hAnsi="Arial" w:cs="Arial"/>
          <w:lang w:val="es-ES"/>
        </w:rPr>
      </w:pPr>
    </w:p>
    <w:p w:rsidR="00F91866" w:rsidRDefault="00F91866" w:rsidP="006312E8">
      <w:pPr>
        <w:spacing w:after="0" w:line="240" w:lineRule="auto"/>
        <w:contextualSpacing/>
        <w:jc w:val="both"/>
        <w:rPr>
          <w:rFonts w:ascii="Arial" w:eastAsia="Calibri" w:hAnsi="Arial" w:cs="Arial"/>
          <w:lang w:val="es-ES"/>
        </w:rPr>
      </w:pPr>
    </w:p>
    <w:p w:rsidR="00F91866" w:rsidRDefault="00F91866"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sz w:val="28"/>
          <w:szCs w:val="28"/>
          <w:lang w:val="es-ES"/>
        </w:rPr>
      </w:pPr>
      <w:r w:rsidRPr="006312E8">
        <w:rPr>
          <w:rFonts w:ascii="Arial" w:eastAsia="Calibri" w:hAnsi="Arial" w:cs="Arial"/>
          <w:b/>
          <w:sz w:val="28"/>
          <w:szCs w:val="28"/>
          <w:lang w:val="es-ES"/>
        </w:rPr>
        <w:t>RESOLUCION Nº 067-2013-SBN</w:t>
      </w:r>
    </w:p>
    <w:p w:rsidR="006312E8" w:rsidRPr="006312E8" w:rsidRDefault="006312E8" w:rsidP="006312E8">
      <w:pPr>
        <w:spacing w:after="0" w:line="240" w:lineRule="auto"/>
        <w:contextualSpacing/>
        <w:jc w:val="center"/>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Aprueban Directiva “Procedimientos para la aprobación de la transferencia interestatal de predios del Estado”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right"/>
        <w:rPr>
          <w:rFonts w:ascii="Arial" w:eastAsia="Calibri" w:hAnsi="Arial" w:cs="Arial"/>
          <w:b/>
          <w:lang w:val="es-ES"/>
        </w:rPr>
      </w:pPr>
      <w:r w:rsidRPr="006312E8">
        <w:rPr>
          <w:rFonts w:ascii="Arial" w:eastAsia="Calibri" w:hAnsi="Arial" w:cs="Arial"/>
          <w:b/>
          <w:lang w:val="es-ES"/>
        </w:rPr>
        <w:t>Fecha de publicación: 27-09-2013</w:t>
      </w: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San Isidro, 19 de setiembre de 2013</w:t>
      </w: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CONSIDERANDO: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la Superintendencia Nacional de Bienes Estatales-SBN es un Organismo Público Ejecutor, adscrito al Ministerio de Vivienda, Construcción y Saneamiento, y el Ente Rector del Sistema Nacional de Bienes Estatales, responsable de normar los actos de adquisición, disposición, administración y supervisión de los bienes estatales, así como de ejecutar dichos actos respecto de los bienes cuya administración está a su cargo, de acuerdo a la normatividad vigente, gozando de autonomía económica, presupuestal, financiera, técnica y funcional, de conformidad a lo establecido en la Ley Nº 29151, Ley General del Sistema Nacional de Bienes Estatales y su Reglamento, aprobado por Decreto Supremo Nº 007-2008-VIVIENDA;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los literales b), c) y d) del numeral 14.1 del artículo 14 de la acotada Ley, señalan como funciones y atribuciones exclusivas de la SBN, dictar las Directivas aplicables para la administración, adquisición y disposición de los bienes de propiedad estatal, procurar una eficiente gestión del portafolio inmobiliario de los bienes estatales optimizando su uso y valor, así como supervisar los bienes estatales, el cumplimiento del debido procedimiento y de los actos que ejecutan las entidades pertenecientes al Sistema Nacional de Bienes Estatales;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los artículos 62 al 68 del Reglamento de la Ley Nº 29151, Ley General del Sistema Nacional de Bienes Estatales, aprobado por el Decreto Supremo Nº 007-2008-VIVIENDA, modificados por el Decreto Supremo Nº 009-2013-VIVIENDA, establecen disposiciones para la transferencia de dominio de predios estatales, a título gratuito u oneroso, que se realiza entre las entidades conformantes del Sistema Nacional de Bienes Estatales. Asimismo, los artículos 69 al 71 del citado Reglamento, modificado por el Decreto Supremo Nº 013-2012-VIVIENDA, establecen disposiciones que regulan el procedimiento de reversión de dominio al Estado de predios transferidos a título gratuito y, excepcionalmente, de los transferidos a título oneroso;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en ese sentido, es necesario aprobar una Directiva que regule los procedimientos de transferencia interestatal, la emisión de la opinión técnica de la Superintendencia Nacional de Bienes Estatales - SBN en las transferencias efectuadas por las entidades conformantes del Sistema Nacional de Bienes Estatales y el procedimiento de reversión al dominio del Estado, acorde al marco legal vigente, y que establezca las instancias administrativas a cargo de los citados procedimientos de acuerdo al Reglamento de Organización y Funciones de la Superintendencia Nacional de Bienes Estatales - SBN, aprobado por el Decreto Supremo Nº 016-2010-VIVIENDA, a fin de optimizar la gestión del portafolio inmobiliario y fomentar el uso eficiente del mismo;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Con el visado de la Secretaría General, la Dirección de Normas y Registro, la Dirección de Gestión del Patrimonio Estatal, la Oficina de Planeamiento y Presupuesto y la Oficina de Asesoría Jurídica;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De conformidad a lo establecido en la Ley Nº 29151, Ley General del Sistema Nacional de Bienes Estatales, y su Reglamento, aprobado por el Decreto Supremo Nº 007-2008-VIVIENDA, modificado por los Decretos Supremos Nº 013-2012-VIVIENDA y Nº 009-2013-VIVIENDA; y en uso de la atribución conferida por el inciso b) del artículo 11 del Reglamento de Organización y Funciones de la SBN, aprobado por el Decreto Supremo Nº 016-2010-VIVIENDA;</w:t>
      </w:r>
    </w:p>
    <w:p w:rsidR="006312E8" w:rsidRDefault="006312E8" w:rsidP="006312E8">
      <w:pPr>
        <w:spacing w:after="0" w:line="240" w:lineRule="auto"/>
        <w:contextualSpacing/>
        <w:jc w:val="both"/>
        <w:rPr>
          <w:rFonts w:ascii="Arial" w:eastAsia="Calibri" w:hAnsi="Arial" w:cs="Arial"/>
          <w:b/>
          <w:lang w:val="es-ES"/>
        </w:rPr>
      </w:pPr>
    </w:p>
    <w:p w:rsidR="00C61CE9" w:rsidRPr="006312E8" w:rsidRDefault="00C61CE9"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SE RESUELVE:</w:t>
      </w: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1.-</w:t>
      </w:r>
      <w:r w:rsidRPr="006312E8">
        <w:rPr>
          <w:rFonts w:ascii="Arial" w:eastAsia="Calibri" w:hAnsi="Arial" w:cs="Arial"/>
          <w:lang w:val="es-ES"/>
        </w:rPr>
        <w:t xml:space="preserve"> Aprobar la Directiva Nº 005-2013-SBN denominada “Procedimientos para la aprobación de la transferencia interestatal de predios del Estado”, la misma que forma parte de la presente Resolución.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2.-</w:t>
      </w:r>
      <w:r w:rsidRPr="006312E8">
        <w:rPr>
          <w:rFonts w:ascii="Arial" w:eastAsia="Calibri" w:hAnsi="Arial" w:cs="Arial"/>
          <w:lang w:val="es-ES"/>
        </w:rPr>
        <w:t xml:space="preserve"> Disponer la publicación de la Directiva Nº 005-2013-SBN, aprobada por el artículo 1 de la presente Resolución, en el Portal Institucional de la SBN (www.sbn.gob.pe) y la presente Resolución en el Diario Oficial El Peruano, la misma que entrará en vigencia al día siguiente de su publicación.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Regístrese, comuníquese y publíquese.</w:t>
      </w: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b/>
        <w:t>SONIA MARIA CORDERO VASQUEZ</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Superintendente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E104C8">
      <w:pPr>
        <w:pStyle w:val="TITO2"/>
      </w:pPr>
      <w:bookmarkStart w:id="296" w:name="_Toc392856224"/>
      <w:bookmarkStart w:id="297" w:name="_Toc399335499"/>
      <w:bookmarkStart w:id="298" w:name="_Toc421025446"/>
      <w:bookmarkStart w:id="299" w:name="_Toc470855548"/>
      <w:bookmarkStart w:id="300" w:name="D0052013"/>
      <w:r w:rsidRPr="006312E8">
        <w:t>DIRECTIVA Nº 005-2013-SBN</w:t>
      </w:r>
      <w:bookmarkEnd w:id="296"/>
      <w:bookmarkEnd w:id="297"/>
      <w:bookmarkEnd w:id="298"/>
      <w:bookmarkEnd w:id="299"/>
    </w:p>
    <w:bookmarkEnd w:id="300"/>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PROCEDIMIENTOS PARA LA APROBACIÓN DE LA TRANSFERENCIA INTERESTATAL DE PREDIOS DEL ESTADO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Lima, 19 de setiembre de 2013</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22"/>
        </w:numPr>
        <w:spacing w:after="0" w:line="240" w:lineRule="auto"/>
        <w:ind w:left="284" w:hanging="284"/>
        <w:contextualSpacing/>
        <w:jc w:val="both"/>
        <w:rPr>
          <w:rFonts w:ascii="Arial" w:eastAsia="Calibri" w:hAnsi="Arial" w:cs="Arial"/>
          <w:b/>
          <w:lang w:val="es-ES"/>
        </w:rPr>
      </w:pPr>
      <w:r w:rsidRPr="006312E8">
        <w:rPr>
          <w:rFonts w:ascii="Arial" w:eastAsia="Calibri" w:hAnsi="Arial" w:cs="Arial"/>
          <w:b/>
          <w:lang w:val="es-ES"/>
        </w:rPr>
        <w:t>FINALIDAD</w:t>
      </w:r>
    </w:p>
    <w:p w:rsidR="006312E8" w:rsidRPr="006312E8" w:rsidRDefault="006312E8" w:rsidP="006312E8">
      <w:pPr>
        <w:spacing w:after="0" w:line="240" w:lineRule="auto"/>
        <w:ind w:left="1080"/>
        <w:contextualSpacing/>
        <w:jc w:val="both"/>
        <w:rPr>
          <w:rFonts w:ascii="Arial" w:eastAsia="Calibri" w:hAnsi="Arial" w:cs="Arial"/>
          <w:b/>
          <w:lang w:val="es-ES"/>
        </w:rPr>
      </w:pPr>
    </w:p>
    <w:p w:rsidR="006312E8" w:rsidRPr="006312E8" w:rsidRDefault="006312E8" w:rsidP="006312E8">
      <w:pPr>
        <w:spacing w:after="0" w:line="240" w:lineRule="auto"/>
        <w:ind w:left="284"/>
        <w:contextualSpacing/>
        <w:jc w:val="both"/>
        <w:rPr>
          <w:rFonts w:ascii="Arial" w:eastAsia="Calibri" w:hAnsi="Arial" w:cs="Arial"/>
          <w:lang w:val="es-ES"/>
        </w:rPr>
      </w:pPr>
      <w:r w:rsidRPr="006312E8">
        <w:rPr>
          <w:rFonts w:ascii="Arial" w:eastAsia="Calibri" w:hAnsi="Arial" w:cs="Arial"/>
          <w:lang w:val="es-ES"/>
        </w:rPr>
        <w:t>Optimizar los procedimientos de transferencia entre entidades del Estado de predios del Estado y de reversión de dominio.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22"/>
        </w:numPr>
        <w:spacing w:after="0" w:line="240" w:lineRule="auto"/>
        <w:ind w:left="284" w:hanging="284"/>
        <w:contextualSpacing/>
        <w:jc w:val="both"/>
        <w:rPr>
          <w:rFonts w:ascii="Arial" w:eastAsia="Calibri" w:hAnsi="Arial" w:cs="Arial"/>
          <w:b/>
          <w:lang w:val="es-ES"/>
        </w:rPr>
      </w:pPr>
      <w:r w:rsidRPr="006312E8">
        <w:rPr>
          <w:rFonts w:ascii="Arial" w:eastAsia="Calibri" w:hAnsi="Arial" w:cs="Arial"/>
          <w:b/>
          <w:lang w:val="es-ES"/>
        </w:rPr>
        <w:t>OBJETIVO</w:t>
      </w:r>
    </w:p>
    <w:p w:rsidR="006312E8" w:rsidRPr="006312E8" w:rsidRDefault="006312E8" w:rsidP="006312E8">
      <w:pPr>
        <w:spacing w:after="0" w:line="240" w:lineRule="auto"/>
        <w:ind w:left="1080"/>
        <w:contextualSpacing/>
        <w:jc w:val="both"/>
        <w:rPr>
          <w:rFonts w:ascii="Arial" w:eastAsia="Calibri" w:hAnsi="Arial" w:cs="Arial"/>
          <w:lang w:val="es-ES"/>
        </w:rPr>
      </w:pPr>
    </w:p>
    <w:p w:rsidR="006312E8" w:rsidRPr="006312E8" w:rsidRDefault="006312E8" w:rsidP="006312E8">
      <w:pPr>
        <w:spacing w:after="0" w:line="240" w:lineRule="auto"/>
        <w:ind w:left="284"/>
        <w:contextualSpacing/>
        <w:jc w:val="both"/>
        <w:rPr>
          <w:rFonts w:ascii="Arial" w:eastAsia="Calibri" w:hAnsi="Arial" w:cs="Arial"/>
          <w:lang w:val="es-ES"/>
        </w:rPr>
      </w:pPr>
      <w:r w:rsidRPr="006312E8">
        <w:rPr>
          <w:rFonts w:ascii="Arial" w:eastAsia="Calibri" w:hAnsi="Arial" w:cs="Arial"/>
          <w:lang w:val="es-ES"/>
        </w:rPr>
        <w:t>Regular los procedimientos para la sustentación y aprobación de la transferencia de dominio de predios estatales, así como la reversión de dominio en caso de incumplimiento de la finalidad asignada.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22"/>
        </w:numPr>
        <w:spacing w:after="0" w:line="240" w:lineRule="auto"/>
        <w:ind w:left="284" w:hanging="284"/>
        <w:contextualSpacing/>
        <w:jc w:val="both"/>
        <w:rPr>
          <w:rFonts w:ascii="Arial" w:eastAsia="Calibri" w:hAnsi="Arial" w:cs="Arial"/>
          <w:b/>
          <w:lang w:val="es-ES"/>
        </w:rPr>
      </w:pPr>
      <w:r w:rsidRPr="006312E8">
        <w:rPr>
          <w:rFonts w:ascii="Arial" w:eastAsia="Calibri" w:hAnsi="Arial" w:cs="Arial"/>
          <w:b/>
          <w:lang w:val="es-ES"/>
        </w:rPr>
        <w:t>ALCANCE</w:t>
      </w:r>
    </w:p>
    <w:p w:rsidR="006312E8" w:rsidRPr="006312E8" w:rsidRDefault="006312E8" w:rsidP="006312E8">
      <w:pPr>
        <w:spacing w:after="0" w:line="240" w:lineRule="auto"/>
        <w:ind w:left="1080"/>
        <w:contextualSpacing/>
        <w:jc w:val="both"/>
        <w:rPr>
          <w:rFonts w:ascii="Arial" w:eastAsia="Calibri" w:hAnsi="Arial" w:cs="Arial"/>
          <w:lang w:val="es-ES"/>
        </w:rPr>
      </w:pPr>
    </w:p>
    <w:p w:rsidR="00FF56F2" w:rsidRPr="00FF56F2" w:rsidRDefault="00FF56F2" w:rsidP="00FF56F2">
      <w:pPr>
        <w:spacing w:after="0" w:line="240" w:lineRule="auto"/>
        <w:ind w:left="284"/>
        <w:contextualSpacing/>
        <w:jc w:val="both"/>
        <w:rPr>
          <w:rFonts w:ascii="Arial" w:eastAsia="Calibri" w:hAnsi="Arial" w:cs="Arial"/>
          <w:lang w:val="es-ES"/>
        </w:rPr>
      </w:pPr>
      <w:r w:rsidRPr="00FF56F2">
        <w:rPr>
          <w:rFonts w:ascii="Arial" w:eastAsia="Calibri" w:hAnsi="Arial" w:cs="Arial"/>
          <w:lang w:val="es-ES"/>
        </w:rPr>
        <w:t>La presente Directiva tiene alcance nacional y comprende los predios del dominio privado estatal de libre disponibilidad que están bajo competencia de:</w:t>
      </w:r>
    </w:p>
    <w:p w:rsidR="00FF56F2" w:rsidRPr="00FF56F2" w:rsidRDefault="00FF56F2" w:rsidP="00FF56F2">
      <w:pPr>
        <w:spacing w:after="0" w:line="240" w:lineRule="auto"/>
        <w:ind w:left="851" w:hanging="567"/>
        <w:contextualSpacing/>
        <w:jc w:val="both"/>
        <w:rPr>
          <w:rFonts w:ascii="Arial" w:eastAsia="Calibri" w:hAnsi="Arial" w:cs="Arial"/>
          <w:lang w:val="es-ES"/>
        </w:rPr>
      </w:pPr>
    </w:p>
    <w:p w:rsidR="00FF56F2" w:rsidRPr="00FF56F2" w:rsidRDefault="00FF56F2" w:rsidP="00FF56F2">
      <w:pPr>
        <w:spacing w:after="0" w:line="240" w:lineRule="auto"/>
        <w:ind w:left="851" w:hanging="567"/>
        <w:contextualSpacing/>
        <w:jc w:val="both"/>
        <w:rPr>
          <w:rFonts w:ascii="Arial" w:eastAsia="Calibri" w:hAnsi="Arial" w:cs="Arial"/>
          <w:lang w:val="es-ES"/>
        </w:rPr>
      </w:pPr>
      <w:r w:rsidRPr="00FF56F2">
        <w:rPr>
          <w:rFonts w:ascii="Arial" w:eastAsia="Calibri" w:hAnsi="Arial" w:cs="Arial"/>
          <w:lang w:val="es-ES"/>
        </w:rPr>
        <w:t xml:space="preserve">(i) </w:t>
      </w:r>
      <w:r>
        <w:rPr>
          <w:rFonts w:ascii="Arial" w:eastAsia="Calibri" w:hAnsi="Arial" w:cs="Arial"/>
          <w:lang w:val="es-ES"/>
        </w:rPr>
        <w:tab/>
      </w:r>
      <w:r w:rsidRPr="00FF56F2">
        <w:rPr>
          <w:rFonts w:ascii="Arial" w:eastAsia="Calibri" w:hAnsi="Arial" w:cs="Arial"/>
          <w:lang w:val="es-ES"/>
        </w:rPr>
        <w:t>La Superintendencia Nacional de Bienes Estatales - SBN.</w:t>
      </w:r>
    </w:p>
    <w:p w:rsidR="00FF56F2" w:rsidRPr="00FF56F2" w:rsidRDefault="00FF56F2" w:rsidP="00FF56F2">
      <w:pPr>
        <w:spacing w:after="0" w:line="240" w:lineRule="auto"/>
        <w:ind w:left="851" w:hanging="567"/>
        <w:contextualSpacing/>
        <w:jc w:val="both"/>
        <w:rPr>
          <w:rFonts w:ascii="Arial" w:eastAsia="Calibri" w:hAnsi="Arial" w:cs="Arial"/>
          <w:lang w:val="es-ES"/>
        </w:rPr>
      </w:pPr>
    </w:p>
    <w:p w:rsidR="00FF56F2" w:rsidRPr="00FF56F2" w:rsidRDefault="00FF56F2" w:rsidP="00FF56F2">
      <w:pPr>
        <w:spacing w:after="0" w:line="240" w:lineRule="auto"/>
        <w:ind w:left="851" w:hanging="567"/>
        <w:contextualSpacing/>
        <w:jc w:val="both"/>
        <w:rPr>
          <w:rFonts w:ascii="Arial" w:eastAsia="Calibri" w:hAnsi="Arial" w:cs="Arial"/>
          <w:lang w:val="es-ES"/>
        </w:rPr>
      </w:pPr>
      <w:r w:rsidRPr="00FF56F2">
        <w:rPr>
          <w:rFonts w:ascii="Arial" w:eastAsia="Calibri" w:hAnsi="Arial" w:cs="Arial"/>
          <w:lang w:val="es-ES"/>
        </w:rPr>
        <w:t xml:space="preserve">(ii) </w:t>
      </w:r>
      <w:r>
        <w:rPr>
          <w:rFonts w:ascii="Arial" w:eastAsia="Calibri" w:hAnsi="Arial" w:cs="Arial"/>
          <w:lang w:val="es-ES"/>
        </w:rPr>
        <w:tab/>
      </w:r>
      <w:r w:rsidRPr="00FF56F2">
        <w:rPr>
          <w:rFonts w:ascii="Arial" w:eastAsia="Calibri" w:hAnsi="Arial" w:cs="Arial"/>
          <w:lang w:val="es-ES"/>
        </w:rPr>
        <w:t>Los Gobiernos Regionales que hayan asumido competencias en el marco del proceso de descentralización, respecto de las funciones del artículo 62 de la Ley Nº 27867, Ley Orgánica de Gobiernos Regionales; y,</w:t>
      </w:r>
    </w:p>
    <w:p w:rsidR="00FF56F2" w:rsidRPr="00FF56F2" w:rsidRDefault="00FF56F2" w:rsidP="00FF56F2">
      <w:pPr>
        <w:spacing w:after="0" w:line="240" w:lineRule="auto"/>
        <w:ind w:left="851" w:hanging="567"/>
        <w:contextualSpacing/>
        <w:jc w:val="both"/>
        <w:rPr>
          <w:rFonts w:ascii="Arial" w:eastAsia="Calibri" w:hAnsi="Arial" w:cs="Arial"/>
          <w:lang w:val="es-ES"/>
        </w:rPr>
      </w:pPr>
    </w:p>
    <w:p w:rsidR="00FF56F2" w:rsidRPr="00FF56F2" w:rsidRDefault="00FF56F2" w:rsidP="00FF56F2">
      <w:pPr>
        <w:spacing w:after="0" w:line="240" w:lineRule="auto"/>
        <w:ind w:left="851" w:hanging="567"/>
        <w:contextualSpacing/>
        <w:jc w:val="both"/>
        <w:rPr>
          <w:rFonts w:ascii="Arial" w:eastAsia="Calibri" w:hAnsi="Arial" w:cs="Arial"/>
          <w:lang w:val="es-ES"/>
        </w:rPr>
      </w:pPr>
      <w:r w:rsidRPr="00FF56F2">
        <w:rPr>
          <w:rFonts w:ascii="Arial" w:eastAsia="Calibri" w:hAnsi="Arial" w:cs="Arial"/>
          <w:lang w:val="es-ES"/>
        </w:rPr>
        <w:t xml:space="preserve">(iii) </w:t>
      </w:r>
      <w:r>
        <w:rPr>
          <w:rFonts w:ascii="Arial" w:eastAsia="Calibri" w:hAnsi="Arial" w:cs="Arial"/>
          <w:lang w:val="es-ES"/>
        </w:rPr>
        <w:tab/>
      </w:r>
      <w:r w:rsidRPr="00FF56F2">
        <w:rPr>
          <w:rFonts w:ascii="Arial" w:eastAsia="Calibri" w:hAnsi="Arial" w:cs="Arial"/>
          <w:lang w:val="es-ES"/>
        </w:rPr>
        <w:t>Las demás entidades que conforman el Sistema.</w:t>
      </w:r>
    </w:p>
    <w:p w:rsidR="00FF56F2" w:rsidRPr="00FF56F2" w:rsidRDefault="00FF56F2" w:rsidP="00FF56F2">
      <w:pPr>
        <w:spacing w:after="0" w:line="240" w:lineRule="auto"/>
        <w:contextualSpacing/>
        <w:jc w:val="both"/>
        <w:rPr>
          <w:rFonts w:ascii="Arial" w:eastAsia="Calibri" w:hAnsi="Arial" w:cs="Arial"/>
          <w:lang w:val="es-ES"/>
        </w:rPr>
      </w:pPr>
    </w:p>
    <w:p w:rsidR="00FF56F2" w:rsidRPr="00FF56F2" w:rsidRDefault="00FF56F2" w:rsidP="00FF56F2">
      <w:pPr>
        <w:spacing w:after="0" w:line="240" w:lineRule="auto"/>
        <w:ind w:left="284"/>
        <w:contextualSpacing/>
        <w:jc w:val="both"/>
        <w:rPr>
          <w:rFonts w:ascii="Arial" w:eastAsia="Calibri" w:hAnsi="Arial" w:cs="Arial"/>
          <w:lang w:val="es-ES"/>
        </w:rPr>
      </w:pPr>
      <w:r w:rsidRPr="00FF56F2">
        <w:rPr>
          <w:rFonts w:ascii="Arial" w:eastAsia="Calibri" w:hAnsi="Arial" w:cs="Arial"/>
          <w:lang w:val="es-ES"/>
        </w:rPr>
        <w:t>Los Gobiernos Regionales, los Gobiernos Locales y las entidades públicas, que cuentan con régimen legal propio para disponer los predios de su propiedad, pueden aplicar la presente directiva de manera supletoria.</w:t>
      </w:r>
    </w:p>
    <w:p w:rsidR="00FF56F2" w:rsidRPr="00FF56F2" w:rsidRDefault="00FF56F2" w:rsidP="00FF56F2">
      <w:pPr>
        <w:spacing w:after="0" w:line="240" w:lineRule="auto"/>
        <w:ind w:left="284"/>
        <w:contextualSpacing/>
        <w:jc w:val="both"/>
        <w:rPr>
          <w:rFonts w:ascii="Arial" w:eastAsia="Calibri" w:hAnsi="Arial" w:cs="Arial"/>
          <w:lang w:val="es-ES"/>
        </w:rPr>
      </w:pPr>
    </w:p>
    <w:p w:rsidR="006312E8" w:rsidRDefault="00FF56F2" w:rsidP="00FF56F2">
      <w:pPr>
        <w:spacing w:after="0" w:line="240" w:lineRule="auto"/>
        <w:ind w:left="284"/>
        <w:contextualSpacing/>
        <w:jc w:val="both"/>
        <w:rPr>
          <w:rFonts w:ascii="Arial" w:eastAsia="Calibri" w:hAnsi="Arial" w:cs="Arial"/>
          <w:lang w:val="es-ES"/>
        </w:rPr>
      </w:pPr>
      <w:r w:rsidRPr="00FF56F2">
        <w:rPr>
          <w:rFonts w:ascii="Arial" w:eastAsia="Calibri" w:hAnsi="Arial" w:cs="Arial"/>
          <w:lang w:val="es-ES"/>
        </w:rPr>
        <w:t>Adicionalmente, comprende los bienes de dominio público a los que se refiere la Tercera Disposición Complementaria Transitoria del Reglamento de la Ley Nº 29151 y en la presente Directiva</w:t>
      </w:r>
      <w:r>
        <w:rPr>
          <w:rFonts w:ascii="Arial" w:eastAsia="Calibri" w:hAnsi="Arial" w:cs="Arial"/>
          <w:lang w:val="es-ES"/>
        </w:rPr>
        <w:t>. (*)</w:t>
      </w:r>
    </w:p>
    <w:p w:rsidR="0017755E" w:rsidRPr="006312E8" w:rsidRDefault="0017755E" w:rsidP="0017755E">
      <w:pPr>
        <w:spacing w:after="0" w:line="240" w:lineRule="auto"/>
        <w:ind w:left="709"/>
        <w:contextualSpacing/>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xml:space="preserve">(*) </w:t>
      </w:r>
      <w:r>
        <w:rPr>
          <w:rFonts w:ascii="Arial" w:eastAsia="Calibri" w:hAnsi="Arial" w:cs="Arial"/>
          <w:b/>
          <w:color w:val="FF0000"/>
          <w:sz w:val="16"/>
          <w:szCs w:val="16"/>
          <w:lang w:val="es-ES"/>
        </w:rPr>
        <w:t xml:space="preserve">Artículo modificado por la Resolución N° 086-2016/SBN, publicada el 17-11-2016. </w:t>
      </w:r>
      <w:r w:rsidRPr="006312E8">
        <w:rPr>
          <w:rFonts w:ascii="Arial" w:eastAsia="Calibri" w:hAnsi="Arial" w:cs="Arial"/>
          <w:b/>
          <w:color w:val="FF0000"/>
          <w:sz w:val="16"/>
          <w:szCs w:val="16"/>
          <w:lang w:val="es-ES"/>
        </w:rPr>
        <w:t xml:space="preserve"> </w:t>
      </w:r>
    </w:p>
    <w:p w:rsidR="0017755E" w:rsidRDefault="0017755E" w:rsidP="00FF56F2">
      <w:pPr>
        <w:spacing w:after="0" w:line="240" w:lineRule="auto"/>
        <w:ind w:left="284"/>
        <w:contextualSpacing/>
        <w:jc w:val="both"/>
        <w:rPr>
          <w:rFonts w:ascii="Arial" w:eastAsia="Calibri" w:hAnsi="Arial" w:cs="Arial"/>
          <w:lang w:val="es-ES"/>
        </w:rPr>
      </w:pPr>
    </w:p>
    <w:p w:rsidR="0017755E" w:rsidRDefault="0017755E" w:rsidP="00FF56F2">
      <w:pPr>
        <w:spacing w:after="0" w:line="240" w:lineRule="auto"/>
        <w:ind w:left="284"/>
        <w:contextualSpacing/>
        <w:jc w:val="both"/>
        <w:rPr>
          <w:rFonts w:ascii="Arial" w:eastAsia="Calibri" w:hAnsi="Arial" w:cs="Arial"/>
          <w:lang w:val="es-ES"/>
        </w:rPr>
      </w:pPr>
    </w:p>
    <w:p w:rsidR="0017755E" w:rsidRDefault="0017755E" w:rsidP="00FF56F2">
      <w:pPr>
        <w:spacing w:after="0" w:line="240" w:lineRule="auto"/>
        <w:ind w:left="284"/>
        <w:contextualSpacing/>
        <w:jc w:val="both"/>
        <w:rPr>
          <w:rFonts w:ascii="Arial" w:eastAsia="Calibri" w:hAnsi="Arial" w:cs="Arial"/>
          <w:lang w:val="es-ES"/>
        </w:rPr>
      </w:pPr>
    </w:p>
    <w:p w:rsidR="006312E8" w:rsidRPr="006312E8" w:rsidRDefault="006312E8" w:rsidP="0092471C">
      <w:pPr>
        <w:numPr>
          <w:ilvl w:val="0"/>
          <w:numId w:val="122"/>
        </w:numPr>
        <w:spacing w:after="0" w:line="240" w:lineRule="auto"/>
        <w:ind w:left="284" w:hanging="284"/>
        <w:contextualSpacing/>
        <w:jc w:val="both"/>
        <w:rPr>
          <w:rFonts w:ascii="Arial" w:eastAsia="Calibri" w:hAnsi="Arial" w:cs="Arial"/>
          <w:b/>
          <w:lang w:val="es-ES"/>
        </w:rPr>
      </w:pPr>
      <w:r w:rsidRPr="006312E8">
        <w:rPr>
          <w:rFonts w:ascii="Arial" w:eastAsia="Calibri" w:hAnsi="Arial" w:cs="Arial"/>
          <w:b/>
          <w:lang w:val="es-ES"/>
        </w:rPr>
        <w:t>BASE LEGAL</w:t>
      </w:r>
    </w:p>
    <w:p w:rsidR="006312E8" w:rsidRPr="006312E8" w:rsidRDefault="006312E8" w:rsidP="006312E8">
      <w:pPr>
        <w:spacing w:after="0" w:line="240" w:lineRule="auto"/>
        <w:ind w:left="1080"/>
        <w:contextualSpacing/>
        <w:jc w:val="both"/>
        <w:rPr>
          <w:rFonts w:ascii="Arial" w:eastAsia="Calibri" w:hAnsi="Arial" w:cs="Arial"/>
          <w:b/>
          <w:lang w:val="es-ES"/>
        </w:rPr>
      </w:pPr>
    </w:p>
    <w:p w:rsidR="00FF56F2" w:rsidRPr="00FF56F2" w:rsidRDefault="00FF56F2" w:rsidP="0092471C">
      <w:pPr>
        <w:numPr>
          <w:ilvl w:val="0"/>
          <w:numId w:val="123"/>
        </w:numPr>
        <w:spacing w:after="0" w:line="240" w:lineRule="auto"/>
        <w:contextualSpacing/>
        <w:jc w:val="both"/>
        <w:rPr>
          <w:rFonts w:ascii="Arial" w:eastAsia="Calibri" w:hAnsi="Arial" w:cs="Arial"/>
          <w:lang w:val="es-ES"/>
        </w:rPr>
      </w:pPr>
      <w:r w:rsidRPr="00FF56F2">
        <w:rPr>
          <w:rFonts w:ascii="Arial" w:eastAsia="Calibri" w:hAnsi="Arial" w:cs="Arial"/>
          <w:lang w:val="es-ES"/>
        </w:rPr>
        <w:t>Ley Nº 29151, Ley General del Sistema Nacional de Bienes Estatales, en adelante “la Ley”.</w:t>
      </w:r>
    </w:p>
    <w:p w:rsidR="00FF56F2" w:rsidRPr="00FF56F2" w:rsidRDefault="00FF56F2" w:rsidP="00FF56F2">
      <w:pPr>
        <w:spacing w:after="0" w:line="240" w:lineRule="auto"/>
        <w:ind w:left="720"/>
        <w:contextualSpacing/>
        <w:jc w:val="both"/>
        <w:rPr>
          <w:rFonts w:ascii="Arial" w:eastAsia="Calibri" w:hAnsi="Arial" w:cs="Arial"/>
          <w:lang w:val="es-ES"/>
        </w:rPr>
      </w:pPr>
    </w:p>
    <w:p w:rsidR="00FF56F2" w:rsidRPr="00FF56F2" w:rsidRDefault="00FF56F2" w:rsidP="0092471C">
      <w:pPr>
        <w:numPr>
          <w:ilvl w:val="0"/>
          <w:numId w:val="123"/>
        </w:numPr>
        <w:spacing w:after="0" w:line="240" w:lineRule="auto"/>
        <w:contextualSpacing/>
        <w:jc w:val="both"/>
        <w:rPr>
          <w:rFonts w:ascii="Arial" w:eastAsia="Calibri" w:hAnsi="Arial" w:cs="Arial"/>
          <w:lang w:val="es-ES"/>
        </w:rPr>
      </w:pPr>
      <w:r w:rsidRPr="00FF56F2">
        <w:rPr>
          <w:rFonts w:ascii="Arial" w:eastAsia="Calibri" w:hAnsi="Arial" w:cs="Arial"/>
          <w:lang w:val="es-ES"/>
        </w:rPr>
        <w:t>Decreto Supremo Nº 007-2008-VIVIENDA, Reglamento de la Ley Nº 29151, Ley General del Sistema Nacional de Bienes Estatales y sus modificatorias, aprobadas con los Decretos Supremos Nº 002-2009-VIVIENDA, Nº 016-2009-VIVIENDA, Nº 017-2009-VIVIENDA, Nº 002-2010-VIVIENDA, Nº 013-2012-VIVIENDA y Nº 009-2013-VIVIENDA, en adelante “el Reglamento”.</w:t>
      </w:r>
    </w:p>
    <w:p w:rsidR="00FF56F2" w:rsidRPr="00FF56F2" w:rsidRDefault="00FF56F2" w:rsidP="00FF56F2">
      <w:pPr>
        <w:spacing w:after="0" w:line="240" w:lineRule="auto"/>
        <w:ind w:left="720"/>
        <w:contextualSpacing/>
        <w:jc w:val="both"/>
        <w:rPr>
          <w:rFonts w:ascii="Arial" w:eastAsia="Calibri" w:hAnsi="Arial" w:cs="Arial"/>
          <w:lang w:val="es-ES"/>
        </w:rPr>
      </w:pPr>
    </w:p>
    <w:p w:rsidR="00FF56F2" w:rsidRPr="00FF56F2" w:rsidRDefault="00FF56F2" w:rsidP="0092471C">
      <w:pPr>
        <w:numPr>
          <w:ilvl w:val="0"/>
          <w:numId w:val="123"/>
        </w:numPr>
        <w:spacing w:after="0" w:line="240" w:lineRule="auto"/>
        <w:contextualSpacing/>
        <w:jc w:val="both"/>
        <w:rPr>
          <w:rFonts w:ascii="Arial" w:eastAsia="Calibri" w:hAnsi="Arial" w:cs="Arial"/>
          <w:lang w:val="es-ES"/>
        </w:rPr>
      </w:pPr>
      <w:r w:rsidRPr="00FF56F2">
        <w:rPr>
          <w:rFonts w:ascii="Arial" w:eastAsia="Calibri" w:hAnsi="Arial" w:cs="Arial"/>
          <w:lang w:val="es-ES"/>
        </w:rPr>
        <w:t>Ley Nº 26856, Ley que declara que las playas del litoral son bienes de uso público, inalienables e imprescriptibles y establecen la zona de dominio restringido.</w:t>
      </w:r>
    </w:p>
    <w:p w:rsidR="00FF56F2" w:rsidRPr="00FF56F2" w:rsidRDefault="00FF56F2" w:rsidP="00FF56F2">
      <w:pPr>
        <w:spacing w:after="0" w:line="240" w:lineRule="auto"/>
        <w:ind w:left="720"/>
        <w:contextualSpacing/>
        <w:jc w:val="both"/>
        <w:rPr>
          <w:rFonts w:ascii="Arial" w:eastAsia="Calibri" w:hAnsi="Arial" w:cs="Arial"/>
          <w:lang w:val="es-ES"/>
        </w:rPr>
      </w:pPr>
    </w:p>
    <w:p w:rsidR="00FF56F2" w:rsidRPr="00FF56F2" w:rsidRDefault="00FF56F2" w:rsidP="0092471C">
      <w:pPr>
        <w:numPr>
          <w:ilvl w:val="0"/>
          <w:numId w:val="123"/>
        </w:numPr>
        <w:spacing w:after="0" w:line="240" w:lineRule="auto"/>
        <w:contextualSpacing/>
        <w:jc w:val="both"/>
        <w:rPr>
          <w:rFonts w:ascii="Arial" w:eastAsia="Calibri" w:hAnsi="Arial" w:cs="Arial"/>
          <w:lang w:val="es-ES"/>
        </w:rPr>
      </w:pPr>
      <w:r w:rsidRPr="00FF56F2">
        <w:rPr>
          <w:rFonts w:ascii="Arial" w:eastAsia="Calibri" w:hAnsi="Arial" w:cs="Arial"/>
          <w:lang w:val="es-ES"/>
        </w:rPr>
        <w:t>Decreto Supremo Nº 050-2006-EF, Reglamento de la Ley Nº 26856, Ley que declara que las playas del litoral son bienes de uso público, inalienables e imprescriptibles y establecen la zona de dominio restringido.</w:t>
      </w:r>
    </w:p>
    <w:p w:rsidR="00FF56F2" w:rsidRPr="00FF56F2" w:rsidRDefault="00FF56F2" w:rsidP="00FF56F2">
      <w:pPr>
        <w:spacing w:after="0" w:line="240" w:lineRule="auto"/>
        <w:ind w:left="720"/>
        <w:contextualSpacing/>
        <w:jc w:val="both"/>
        <w:rPr>
          <w:rFonts w:ascii="Arial" w:eastAsia="Calibri" w:hAnsi="Arial" w:cs="Arial"/>
          <w:lang w:val="es-ES"/>
        </w:rPr>
      </w:pPr>
    </w:p>
    <w:p w:rsidR="00FF56F2" w:rsidRPr="00FF56F2" w:rsidRDefault="00FF56F2" w:rsidP="0092471C">
      <w:pPr>
        <w:numPr>
          <w:ilvl w:val="0"/>
          <w:numId w:val="123"/>
        </w:numPr>
        <w:spacing w:after="0" w:line="240" w:lineRule="auto"/>
        <w:contextualSpacing/>
        <w:jc w:val="both"/>
        <w:rPr>
          <w:rFonts w:ascii="Arial" w:eastAsia="Calibri" w:hAnsi="Arial" w:cs="Arial"/>
          <w:lang w:val="es-ES"/>
        </w:rPr>
      </w:pPr>
      <w:r w:rsidRPr="00FF56F2">
        <w:rPr>
          <w:rFonts w:ascii="Arial" w:eastAsia="Calibri" w:hAnsi="Arial" w:cs="Arial"/>
          <w:lang w:val="es-ES"/>
        </w:rPr>
        <w:t>El artículo 2 del Decreto de Urgencia Nº 071-2001, que declara de interés nacional el saneamiento técnico, legal y contable de los inmuebles de propiedad de las entidades públicas.</w:t>
      </w:r>
    </w:p>
    <w:p w:rsidR="00FF56F2" w:rsidRPr="00FF56F2" w:rsidRDefault="00FF56F2" w:rsidP="00FF56F2">
      <w:pPr>
        <w:spacing w:after="0" w:line="240" w:lineRule="auto"/>
        <w:ind w:left="720"/>
        <w:contextualSpacing/>
        <w:jc w:val="both"/>
        <w:rPr>
          <w:rFonts w:ascii="Arial" w:eastAsia="Calibri" w:hAnsi="Arial" w:cs="Arial"/>
          <w:lang w:val="es-ES"/>
        </w:rPr>
      </w:pPr>
    </w:p>
    <w:p w:rsidR="00FF56F2" w:rsidRPr="00FF56F2" w:rsidRDefault="00FF56F2" w:rsidP="0092471C">
      <w:pPr>
        <w:numPr>
          <w:ilvl w:val="0"/>
          <w:numId w:val="123"/>
        </w:numPr>
        <w:spacing w:after="0" w:line="240" w:lineRule="auto"/>
        <w:contextualSpacing/>
        <w:jc w:val="both"/>
        <w:rPr>
          <w:rFonts w:ascii="Arial" w:eastAsia="Calibri" w:hAnsi="Arial" w:cs="Arial"/>
          <w:lang w:val="es-ES"/>
        </w:rPr>
      </w:pPr>
      <w:r w:rsidRPr="00FF56F2">
        <w:rPr>
          <w:rFonts w:ascii="Arial" w:eastAsia="Calibri" w:hAnsi="Arial" w:cs="Arial"/>
          <w:lang w:val="es-ES"/>
        </w:rPr>
        <w:t>El artículo 62 de la Ley Nº 27867, Ley Orgánica de Gobiernos Regionales.</w:t>
      </w:r>
    </w:p>
    <w:p w:rsidR="00FF56F2" w:rsidRPr="00FF56F2" w:rsidRDefault="00FF56F2" w:rsidP="00FF56F2">
      <w:pPr>
        <w:spacing w:after="0" w:line="240" w:lineRule="auto"/>
        <w:ind w:left="720"/>
        <w:contextualSpacing/>
        <w:jc w:val="both"/>
        <w:rPr>
          <w:rFonts w:ascii="Arial" w:eastAsia="Calibri" w:hAnsi="Arial" w:cs="Arial"/>
          <w:lang w:val="es-ES"/>
        </w:rPr>
      </w:pPr>
    </w:p>
    <w:p w:rsidR="00FF56F2" w:rsidRPr="00FF56F2" w:rsidRDefault="00FF56F2" w:rsidP="0092471C">
      <w:pPr>
        <w:numPr>
          <w:ilvl w:val="0"/>
          <w:numId w:val="123"/>
        </w:numPr>
        <w:spacing w:after="0" w:line="240" w:lineRule="auto"/>
        <w:contextualSpacing/>
        <w:jc w:val="both"/>
        <w:rPr>
          <w:rFonts w:ascii="Arial" w:eastAsia="Calibri" w:hAnsi="Arial" w:cs="Arial"/>
          <w:lang w:val="es-ES"/>
        </w:rPr>
      </w:pPr>
      <w:r w:rsidRPr="00FF56F2">
        <w:rPr>
          <w:rFonts w:ascii="Arial" w:eastAsia="Calibri" w:hAnsi="Arial" w:cs="Arial"/>
          <w:lang w:val="es-ES"/>
        </w:rPr>
        <w:t>Los artículos 60 y 61 de la Ley Nº 27972, Ley Orgánica de Municipalidades.</w:t>
      </w:r>
    </w:p>
    <w:p w:rsidR="00FF56F2" w:rsidRPr="00FF56F2" w:rsidRDefault="00FF56F2" w:rsidP="00FF56F2">
      <w:pPr>
        <w:spacing w:after="0" w:line="240" w:lineRule="auto"/>
        <w:ind w:left="720"/>
        <w:contextualSpacing/>
        <w:jc w:val="both"/>
        <w:rPr>
          <w:rFonts w:ascii="Arial" w:eastAsia="Calibri" w:hAnsi="Arial" w:cs="Arial"/>
          <w:lang w:val="es-ES"/>
        </w:rPr>
      </w:pPr>
    </w:p>
    <w:p w:rsidR="00FF56F2" w:rsidRPr="00FF56F2" w:rsidRDefault="00FF56F2" w:rsidP="0092471C">
      <w:pPr>
        <w:numPr>
          <w:ilvl w:val="0"/>
          <w:numId w:val="123"/>
        </w:numPr>
        <w:spacing w:after="0" w:line="240" w:lineRule="auto"/>
        <w:contextualSpacing/>
        <w:jc w:val="both"/>
        <w:rPr>
          <w:rFonts w:ascii="Arial" w:eastAsia="Calibri" w:hAnsi="Arial" w:cs="Arial"/>
          <w:lang w:val="es-ES"/>
        </w:rPr>
      </w:pPr>
      <w:r w:rsidRPr="00FF56F2">
        <w:rPr>
          <w:rFonts w:ascii="Arial" w:eastAsia="Calibri" w:hAnsi="Arial" w:cs="Arial"/>
          <w:lang w:val="es-ES"/>
        </w:rPr>
        <w:t>Ley Nº 29006, Ley que autoriza la disposición de inmuebles del Sector Defensa</w:t>
      </w:r>
    </w:p>
    <w:p w:rsidR="00FF56F2" w:rsidRPr="00FF56F2" w:rsidRDefault="00FF56F2" w:rsidP="00FF56F2">
      <w:pPr>
        <w:spacing w:after="0" w:line="240" w:lineRule="auto"/>
        <w:ind w:left="720"/>
        <w:contextualSpacing/>
        <w:jc w:val="both"/>
        <w:rPr>
          <w:rFonts w:ascii="Arial" w:eastAsia="Calibri" w:hAnsi="Arial" w:cs="Arial"/>
          <w:lang w:val="es-ES"/>
        </w:rPr>
      </w:pPr>
    </w:p>
    <w:p w:rsidR="00FF56F2" w:rsidRPr="00FF56F2" w:rsidRDefault="00FF56F2" w:rsidP="0092471C">
      <w:pPr>
        <w:numPr>
          <w:ilvl w:val="0"/>
          <w:numId w:val="123"/>
        </w:numPr>
        <w:spacing w:after="0" w:line="240" w:lineRule="auto"/>
        <w:contextualSpacing/>
        <w:jc w:val="both"/>
        <w:rPr>
          <w:rFonts w:ascii="Arial" w:eastAsia="Calibri" w:hAnsi="Arial" w:cs="Arial"/>
          <w:lang w:val="es-ES"/>
        </w:rPr>
      </w:pPr>
      <w:r w:rsidRPr="00FF56F2">
        <w:rPr>
          <w:rFonts w:ascii="Arial" w:eastAsia="Calibri" w:hAnsi="Arial" w:cs="Arial"/>
          <w:lang w:val="es-ES"/>
        </w:rPr>
        <w:t>Decreto Supremo Nº 021-2007-DE-SG, que aprueba el Reglamento de la Ley Nº 29006. Ley que autoriza la disposición de inmuebles del Sector Defensa y dictan disposiciones complementarias.</w:t>
      </w:r>
    </w:p>
    <w:p w:rsidR="00FF56F2" w:rsidRPr="00FF56F2" w:rsidRDefault="00FF56F2" w:rsidP="00FF56F2">
      <w:pPr>
        <w:spacing w:after="0" w:line="240" w:lineRule="auto"/>
        <w:ind w:left="720"/>
        <w:contextualSpacing/>
        <w:jc w:val="both"/>
        <w:rPr>
          <w:rFonts w:ascii="Arial" w:eastAsia="Calibri" w:hAnsi="Arial" w:cs="Arial"/>
          <w:lang w:val="es-ES"/>
        </w:rPr>
      </w:pPr>
    </w:p>
    <w:p w:rsidR="00FF56F2" w:rsidRPr="00FF56F2" w:rsidRDefault="00FF56F2" w:rsidP="0092471C">
      <w:pPr>
        <w:numPr>
          <w:ilvl w:val="0"/>
          <w:numId w:val="123"/>
        </w:numPr>
        <w:spacing w:after="0" w:line="240" w:lineRule="auto"/>
        <w:contextualSpacing/>
        <w:jc w:val="both"/>
        <w:rPr>
          <w:rFonts w:ascii="Arial" w:eastAsia="Calibri" w:hAnsi="Arial" w:cs="Arial"/>
          <w:lang w:val="es-ES"/>
        </w:rPr>
      </w:pPr>
      <w:r w:rsidRPr="00FF56F2">
        <w:rPr>
          <w:rFonts w:ascii="Arial" w:eastAsia="Calibri" w:hAnsi="Arial" w:cs="Arial"/>
          <w:lang w:val="es-ES"/>
        </w:rPr>
        <w:t>Decreto Supremo Nº 016-2010-VIVIENDA, que aprueba el Reglamento de Organización y Funciones de la Superintendencia Nacional de Bienes Estatales - SBN, en adelante “ROF de la SBN.”</w:t>
      </w:r>
    </w:p>
    <w:p w:rsidR="00FF56F2" w:rsidRPr="00FF56F2" w:rsidRDefault="00FF56F2" w:rsidP="00FF56F2">
      <w:pPr>
        <w:spacing w:after="0" w:line="240" w:lineRule="auto"/>
        <w:ind w:left="720"/>
        <w:contextualSpacing/>
        <w:jc w:val="both"/>
        <w:rPr>
          <w:rFonts w:ascii="Arial" w:eastAsia="Calibri" w:hAnsi="Arial" w:cs="Arial"/>
          <w:lang w:val="es-ES"/>
        </w:rPr>
      </w:pPr>
    </w:p>
    <w:p w:rsidR="006312E8" w:rsidRDefault="00FF56F2" w:rsidP="0092471C">
      <w:pPr>
        <w:numPr>
          <w:ilvl w:val="0"/>
          <w:numId w:val="123"/>
        </w:numPr>
        <w:spacing w:after="0" w:line="240" w:lineRule="auto"/>
        <w:contextualSpacing/>
        <w:jc w:val="both"/>
        <w:rPr>
          <w:rFonts w:ascii="Arial" w:eastAsia="Calibri" w:hAnsi="Arial" w:cs="Arial"/>
          <w:lang w:val="es-ES"/>
        </w:rPr>
      </w:pPr>
      <w:r w:rsidRPr="00FF56F2">
        <w:rPr>
          <w:rFonts w:ascii="Arial" w:eastAsia="Calibri" w:hAnsi="Arial" w:cs="Arial"/>
          <w:lang w:val="es-ES"/>
        </w:rPr>
        <w:t>Resolución Ministerial Nº 172-2016-VIVIENDA, que aprueba el Reglamento Nacional de Tasaciones.</w:t>
      </w:r>
      <w:r w:rsidR="006312E8" w:rsidRPr="006312E8">
        <w:rPr>
          <w:rFonts w:ascii="Arial" w:eastAsia="Calibri" w:hAnsi="Arial" w:cs="Arial"/>
          <w:lang w:val="es-ES"/>
        </w:rPr>
        <w:t>de la Superintendencia Nacional de Bienes Estatales - SB</w:t>
      </w:r>
      <w:r>
        <w:rPr>
          <w:rFonts w:ascii="Arial" w:eastAsia="Calibri" w:hAnsi="Arial" w:cs="Arial"/>
          <w:lang w:val="es-ES"/>
        </w:rPr>
        <w:t>N, en adelante “ROF de la SBN</w:t>
      </w:r>
      <w:r w:rsidR="006312E8" w:rsidRPr="006312E8">
        <w:rPr>
          <w:rFonts w:ascii="Arial" w:eastAsia="Calibri" w:hAnsi="Arial" w:cs="Arial"/>
          <w:lang w:val="es-ES"/>
        </w:rPr>
        <w:t>.</w:t>
      </w:r>
      <w:r>
        <w:rPr>
          <w:rFonts w:ascii="Arial" w:eastAsia="Calibri" w:hAnsi="Arial" w:cs="Arial"/>
          <w:lang w:val="es-ES"/>
        </w:rPr>
        <w:t xml:space="preserve"> (*)</w:t>
      </w:r>
    </w:p>
    <w:p w:rsidR="0017755E" w:rsidRPr="0017755E" w:rsidRDefault="0017755E" w:rsidP="0017755E">
      <w:pPr>
        <w:pStyle w:val="Prrafodelista"/>
        <w:spacing w:after="0" w:line="240" w:lineRule="auto"/>
        <w:jc w:val="both"/>
        <w:rPr>
          <w:rFonts w:ascii="Arial" w:eastAsia="Calibri" w:hAnsi="Arial" w:cs="Arial"/>
          <w:b/>
          <w:color w:val="FF0000"/>
          <w:sz w:val="16"/>
          <w:szCs w:val="16"/>
          <w:lang w:val="es-ES"/>
        </w:rPr>
      </w:pPr>
      <w:r w:rsidRPr="0017755E">
        <w:rPr>
          <w:rFonts w:ascii="Arial" w:eastAsia="Calibri" w:hAnsi="Arial" w:cs="Arial"/>
          <w:b/>
          <w:color w:val="FF0000"/>
          <w:sz w:val="16"/>
          <w:szCs w:val="16"/>
          <w:lang w:val="es-ES"/>
        </w:rPr>
        <w:t xml:space="preserve">(*) Artículo modificado por la Resolución N° 086-2016/SBN, publicada el 17-11-2016.  </w:t>
      </w:r>
    </w:p>
    <w:p w:rsidR="0017755E" w:rsidRDefault="0017755E" w:rsidP="0017755E">
      <w:pPr>
        <w:pStyle w:val="Prrafodelista"/>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V. DISPOSICIONES GENERALES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firstLine="284"/>
        <w:contextualSpacing/>
        <w:jc w:val="both"/>
        <w:rPr>
          <w:rFonts w:ascii="Arial" w:eastAsia="Calibri" w:hAnsi="Arial" w:cs="Arial"/>
          <w:b/>
          <w:lang w:val="es-ES"/>
        </w:rPr>
      </w:pPr>
      <w:r w:rsidRPr="006312E8">
        <w:rPr>
          <w:rFonts w:ascii="Arial" w:eastAsia="Calibri" w:hAnsi="Arial" w:cs="Arial"/>
          <w:b/>
          <w:lang w:val="es-ES"/>
        </w:rPr>
        <w:t xml:space="preserve">5.1 </w:t>
      </w:r>
      <w:r w:rsidRPr="006312E8">
        <w:rPr>
          <w:rFonts w:ascii="Arial" w:eastAsia="Calibri" w:hAnsi="Arial" w:cs="Arial"/>
          <w:b/>
          <w:lang w:val="es-ES"/>
        </w:rPr>
        <w:tab/>
        <w:t>Abreviaturas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En adelante y para efectos de la presente Directiva se entenderá por:</w:t>
      </w:r>
    </w:p>
    <w:p w:rsidR="006312E8" w:rsidRPr="006312E8" w:rsidRDefault="006312E8" w:rsidP="006312E8">
      <w:pPr>
        <w:spacing w:after="0" w:line="240" w:lineRule="auto"/>
        <w:contextualSpacing/>
        <w:jc w:val="both"/>
        <w:rPr>
          <w:rFonts w:ascii="Arial" w:eastAsia="Calibri" w:hAnsi="Arial" w:cs="Arial"/>
          <w:lang w:val="es-ES"/>
        </w:rPr>
      </w:pPr>
    </w:p>
    <w:p w:rsidR="00FF56F2" w:rsidRPr="00FF56F2" w:rsidRDefault="006312E8" w:rsidP="00FF56F2">
      <w:pPr>
        <w:spacing w:after="0" w:line="240" w:lineRule="auto"/>
        <w:contextualSpacing/>
        <w:jc w:val="both"/>
        <w:rPr>
          <w:rFonts w:ascii="Arial" w:eastAsia="Calibri" w:hAnsi="Arial" w:cs="Arial"/>
          <w:b/>
          <w:lang w:val="es-ES"/>
        </w:rPr>
      </w:pPr>
      <w:r w:rsidRPr="006312E8">
        <w:rPr>
          <w:rFonts w:ascii="Arial" w:eastAsia="Calibri" w:hAnsi="Arial" w:cs="Arial"/>
          <w:lang w:val="es-ES"/>
        </w:rPr>
        <w:tab/>
      </w:r>
      <w:r w:rsidR="00FF56F2" w:rsidRPr="00FF56F2">
        <w:rPr>
          <w:rFonts w:ascii="Arial" w:eastAsia="Calibri" w:hAnsi="Arial" w:cs="Arial"/>
          <w:b/>
          <w:lang w:val="es-ES"/>
        </w:rPr>
        <w:t xml:space="preserve">FONAFE: </w:t>
      </w:r>
      <w:r w:rsidR="00FF56F2" w:rsidRPr="00FF56F2">
        <w:rPr>
          <w:rFonts w:ascii="Arial" w:eastAsia="Calibri" w:hAnsi="Arial" w:cs="Arial"/>
          <w:lang w:val="es-ES"/>
        </w:rPr>
        <w:t>Fondo Nacional de Financiamiento de la Actividad Empresarial del Estado</w:t>
      </w:r>
    </w:p>
    <w:p w:rsidR="00FF56F2" w:rsidRPr="00FF56F2" w:rsidRDefault="00FF56F2" w:rsidP="00FF56F2">
      <w:pPr>
        <w:spacing w:after="0" w:line="240" w:lineRule="auto"/>
        <w:contextualSpacing/>
        <w:jc w:val="both"/>
        <w:rPr>
          <w:rFonts w:ascii="Arial" w:eastAsia="Calibri" w:hAnsi="Arial" w:cs="Arial"/>
          <w:b/>
          <w:lang w:val="es-ES"/>
        </w:rPr>
      </w:pPr>
      <w:r w:rsidRPr="00FF56F2">
        <w:rPr>
          <w:rFonts w:ascii="Arial" w:eastAsia="Calibri" w:hAnsi="Arial" w:cs="Arial"/>
          <w:b/>
          <w:lang w:val="es-ES"/>
        </w:rPr>
        <w:tab/>
        <w:t xml:space="preserve">SBN: </w:t>
      </w:r>
      <w:r w:rsidRPr="00FF56F2">
        <w:rPr>
          <w:rFonts w:ascii="Arial" w:eastAsia="Calibri" w:hAnsi="Arial" w:cs="Arial"/>
          <w:lang w:val="es-ES"/>
        </w:rPr>
        <w:t>Superintendencia Nacional de Bienes Estatales</w:t>
      </w:r>
    </w:p>
    <w:p w:rsidR="00FF56F2" w:rsidRPr="00FF56F2" w:rsidRDefault="00FF56F2" w:rsidP="00FF56F2">
      <w:pPr>
        <w:spacing w:after="0" w:line="240" w:lineRule="auto"/>
        <w:contextualSpacing/>
        <w:jc w:val="both"/>
        <w:rPr>
          <w:rFonts w:ascii="Arial" w:eastAsia="Calibri" w:hAnsi="Arial" w:cs="Arial"/>
          <w:b/>
          <w:lang w:val="es-ES"/>
        </w:rPr>
      </w:pPr>
      <w:r w:rsidRPr="00FF56F2">
        <w:rPr>
          <w:rFonts w:ascii="Arial" w:eastAsia="Calibri" w:hAnsi="Arial" w:cs="Arial"/>
          <w:b/>
          <w:lang w:val="es-ES"/>
        </w:rPr>
        <w:tab/>
        <w:t xml:space="preserve">SDDI: </w:t>
      </w:r>
      <w:r w:rsidRPr="00FF56F2">
        <w:rPr>
          <w:rFonts w:ascii="Arial" w:eastAsia="Calibri" w:hAnsi="Arial" w:cs="Arial"/>
          <w:lang w:val="es-ES"/>
        </w:rPr>
        <w:t>Subdirección de Desarrollo Inmobiliario de la SBN.</w:t>
      </w:r>
    </w:p>
    <w:p w:rsidR="00FF56F2" w:rsidRPr="00FF56F2" w:rsidRDefault="00FF56F2" w:rsidP="00FF56F2">
      <w:pPr>
        <w:spacing w:after="0" w:line="240" w:lineRule="auto"/>
        <w:contextualSpacing/>
        <w:jc w:val="both"/>
        <w:rPr>
          <w:rFonts w:ascii="Arial" w:eastAsia="Calibri" w:hAnsi="Arial" w:cs="Arial"/>
          <w:b/>
          <w:lang w:val="es-ES"/>
        </w:rPr>
      </w:pPr>
      <w:r w:rsidRPr="00FF56F2">
        <w:rPr>
          <w:rFonts w:ascii="Arial" w:eastAsia="Calibri" w:hAnsi="Arial" w:cs="Arial"/>
          <w:b/>
          <w:lang w:val="es-ES"/>
        </w:rPr>
        <w:tab/>
        <w:t xml:space="preserve">SDS: </w:t>
      </w:r>
      <w:r w:rsidRPr="00FF56F2">
        <w:rPr>
          <w:rFonts w:ascii="Arial" w:eastAsia="Calibri" w:hAnsi="Arial" w:cs="Arial"/>
          <w:lang w:val="es-ES"/>
        </w:rPr>
        <w:t>Subdirección de Supervisión de la SBN.</w:t>
      </w:r>
    </w:p>
    <w:p w:rsidR="00FF56F2" w:rsidRPr="00FF56F2" w:rsidRDefault="00FF56F2" w:rsidP="00FF56F2">
      <w:pPr>
        <w:spacing w:after="0" w:line="240" w:lineRule="auto"/>
        <w:contextualSpacing/>
        <w:jc w:val="both"/>
        <w:rPr>
          <w:rFonts w:ascii="Arial" w:eastAsia="Calibri" w:hAnsi="Arial" w:cs="Arial"/>
          <w:b/>
          <w:lang w:val="es-ES"/>
        </w:rPr>
      </w:pPr>
      <w:r w:rsidRPr="00FF56F2">
        <w:rPr>
          <w:rFonts w:ascii="Arial" w:eastAsia="Calibri" w:hAnsi="Arial" w:cs="Arial"/>
          <w:b/>
          <w:lang w:val="es-ES"/>
        </w:rPr>
        <w:tab/>
        <w:t xml:space="preserve">SDAPE: </w:t>
      </w:r>
      <w:r w:rsidRPr="00FF56F2">
        <w:rPr>
          <w:rFonts w:ascii="Arial" w:eastAsia="Calibri" w:hAnsi="Arial" w:cs="Arial"/>
          <w:lang w:val="es-ES"/>
        </w:rPr>
        <w:t>Subdirección de Administración del Patrimonio Estatal de la SBN.</w:t>
      </w:r>
    </w:p>
    <w:p w:rsidR="00FF56F2" w:rsidRPr="00FF56F2" w:rsidRDefault="00FF56F2" w:rsidP="00FF56F2">
      <w:pPr>
        <w:spacing w:after="0" w:line="240" w:lineRule="auto"/>
        <w:contextualSpacing/>
        <w:jc w:val="both"/>
        <w:rPr>
          <w:rFonts w:ascii="Arial" w:eastAsia="Calibri" w:hAnsi="Arial" w:cs="Arial"/>
          <w:lang w:val="es-ES"/>
        </w:rPr>
      </w:pPr>
      <w:r w:rsidRPr="00FF56F2">
        <w:rPr>
          <w:rFonts w:ascii="Arial" w:eastAsia="Calibri" w:hAnsi="Arial" w:cs="Arial"/>
          <w:b/>
          <w:lang w:val="es-ES"/>
        </w:rPr>
        <w:tab/>
        <w:t xml:space="preserve">SDRC: </w:t>
      </w:r>
      <w:r w:rsidRPr="00FF56F2">
        <w:rPr>
          <w:rFonts w:ascii="Arial" w:eastAsia="Calibri" w:hAnsi="Arial" w:cs="Arial"/>
          <w:lang w:val="es-ES"/>
        </w:rPr>
        <w:t>Subdirección de Registro y Catastro de la SBN.</w:t>
      </w:r>
    </w:p>
    <w:p w:rsidR="00FF56F2" w:rsidRPr="00FF56F2" w:rsidRDefault="00FF56F2" w:rsidP="00FF56F2">
      <w:pPr>
        <w:spacing w:after="0" w:line="240" w:lineRule="auto"/>
        <w:contextualSpacing/>
        <w:jc w:val="both"/>
        <w:rPr>
          <w:rFonts w:ascii="Arial" w:eastAsia="Calibri" w:hAnsi="Arial" w:cs="Arial"/>
          <w:b/>
          <w:lang w:val="es-ES"/>
        </w:rPr>
      </w:pPr>
      <w:r w:rsidRPr="00FF56F2">
        <w:rPr>
          <w:rFonts w:ascii="Arial" w:eastAsia="Calibri" w:hAnsi="Arial" w:cs="Arial"/>
          <w:b/>
          <w:lang w:val="es-ES"/>
        </w:rPr>
        <w:tab/>
        <w:t xml:space="preserve">SINABIP: </w:t>
      </w:r>
      <w:r w:rsidRPr="00FF56F2">
        <w:rPr>
          <w:rFonts w:ascii="Arial" w:eastAsia="Calibri" w:hAnsi="Arial" w:cs="Arial"/>
          <w:lang w:val="es-ES"/>
        </w:rPr>
        <w:t>Sistema de Información Nacional de Bienes Estatales.</w:t>
      </w:r>
    </w:p>
    <w:p w:rsidR="00FF56F2" w:rsidRPr="00FF56F2" w:rsidRDefault="00FF56F2" w:rsidP="00FF56F2">
      <w:pPr>
        <w:spacing w:after="0" w:line="240" w:lineRule="auto"/>
        <w:contextualSpacing/>
        <w:jc w:val="both"/>
        <w:rPr>
          <w:rFonts w:ascii="Arial" w:eastAsia="Calibri" w:hAnsi="Arial" w:cs="Arial"/>
          <w:b/>
          <w:lang w:val="es-ES"/>
        </w:rPr>
      </w:pPr>
      <w:r w:rsidRPr="00FF56F2">
        <w:rPr>
          <w:rFonts w:ascii="Arial" w:eastAsia="Calibri" w:hAnsi="Arial" w:cs="Arial"/>
          <w:b/>
          <w:lang w:val="es-ES"/>
        </w:rPr>
        <w:tab/>
        <w:t xml:space="preserve">SISTEMA: </w:t>
      </w:r>
      <w:r w:rsidRPr="00FF56F2">
        <w:rPr>
          <w:rFonts w:ascii="Arial" w:eastAsia="Calibri" w:hAnsi="Arial" w:cs="Arial"/>
          <w:lang w:val="es-ES"/>
        </w:rPr>
        <w:t>Sistema Nacional de Bienes Estatales.</w:t>
      </w:r>
    </w:p>
    <w:p w:rsidR="006312E8" w:rsidRDefault="00FF56F2" w:rsidP="00FF56F2">
      <w:pPr>
        <w:spacing w:after="0" w:line="240" w:lineRule="auto"/>
        <w:contextualSpacing/>
        <w:jc w:val="both"/>
        <w:rPr>
          <w:rFonts w:ascii="Arial" w:eastAsia="Calibri" w:hAnsi="Arial" w:cs="Arial"/>
          <w:lang w:val="es-ES"/>
        </w:rPr>
      </w:pPr>
      <w:r w:rsidRPr="00FF56F2">
        <w:rPr>
          <w:rFonts w:ascii="Arial" w:eastAsia="Calibri" w:hAnsi="Arial" w:cs="Arial"/>
          <w:b/>
          <w:lang w:val="es-ES"/>
        </w:rPr>
        <w:tab/>
        <w:t xml:space="preserve">SUNARP: </w:t>
      </w:r>
      <w:r w:rsidRPr="00FF56F2">
        <w:rPr>
          <w:rFonts w:ascii="Arial" w:eastAsia="Calibri" w:hAnsi="Arial" w:cs="Arial"/>
          <w:lang w:val="es-ES"/>
        </w:rPr>
        <w:t>Superintendencia Nacional de Registros Públicos</w:t>
      </w:r>
      <w:r>
        <w:rPr>
          <w:rFonts w:ascii="Arial" w:eastAsia="Calibri" w:hAnsi="Arial" w:cs="Arial"/>
          <w:lang w:val="es-ES"/>
        </w:rPr>
        <w:t xml:space="preserve"> (*)</w:t>
      </w:r>
    </w:p>
    <w:p w:rsidR="0017755E" w:rsidRPr="006312E8" w:rsidRDefault="0017755E" w:rsidP="0017755E">
      <w:pPr>
        <w:spacing w:after="0" w:line="240" w:lineRule="auto"/>
        <w:ind w:left="709"/>
        <w:contextualSpacing/>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xml:space="preserve">(*) </w:t>
      </w:r>
      <w:r>
        <w:rPr>
          <w:rFonts w:ascii="Arial" w:eastAsia="Calibri" w:hAnsi="Arial" w:cs="Arial"/>
          <w:b/>
          <w:color w:val="FF0000"/>
          <w:sz w:val="16"/>
          <w:szCs w:val="16"/>
          <w:lang w:val="es-ES"/>
        </w:rPr>
        <w:t xml:space="preserve">Artículo modificado por la Resolución N° 086-2016/SBN, publicada el 17-11-2016. </w:t>
      </w:r>
      <w:r w:rsidRPr="006312E8">
        <w:rPr>
          <w:rFonts w:ascii="Arial" w:eastAsia="Calibri" w:hAnsi="Arial" w:cs="Arial"/>
          <w:b/>
          <w:color w:val="FF0000"/>
          <w:sz w:val="16"/>
          <w:szCs w:val="16"/>
          <w:lang w:val="es-ES"/>
        </w:rPr>
        <w:t xml:space="preserve"> </w:t>
      </w:r>
    </w:p>
    <w:p w:rsidR="0017755E" w:rsidRDefault="0017755E" w:rsidP="00FF56F2">
      <w:pPr>
        <w:spacing w:after="0" w:line="240" w:lineRule="auto"/>
        <w:contextualSpacing/>
        <w:jc w:val="both"/>
        <w:rPr>
          <w:rFonts w:ascii="Arial" w:eastAsia="Calibri" w:hAnsi="Arial" w:cs="Arial"/>
          <w:b/>
          <w:lang w:val="es-ES"/>
        </w:rPr>
      </w:pPr>
    </w:p>
    <w:p w:rsidR="00FF56F2" w:rsidRDefault="00FF56F2" w:rsidP="00FF56F2">
      <w:pPr>
        <w:spacing w:after="0" w:line="240" w:lineRule="auto"/>
        <w:contextualSpacing/>
        <w:jc w:val="both"/>
        <w:rPr>
          <w:rFonts w:ascii="Arial" w:eastAsia="Calibri" w:hAnsi="Arial" w:cs="Arial"/>
          <w:lang w:val="es-ES"/>
        </w:rPr>
      </w:pPr>
    </w:p>
    <w:p w:rsidR="0017755E" w:rsidRPr="006312E8" w:rsidRDefault="0017755E" w:rsidP="00FF56F2">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284"/>
        <w:contextualSpacing/>
        <w:jc w:val="both"/>
        <w:rPr>
          <w:rFonts w:ascii="Arial" w:eastAsia="Calibri" w:hAnsi="Arial" w:cs="Arial"/>
          <w:b/>
          <w:lang w:val="es-ES"/>
        </w:rPr>
      </w:pPr>
      <w:r w:rsidRPr="006312E8">
        <w:rPr>
          <w:rFonts w:ascii="Arial" w:eastAsia="Calibri" w:hAnsi="Arial" w:cs="Arial"/>
          <w:b/>
          <w:lang w:val="es-ES"/>
        </w:rPr>
        <w:t xml:space="preserve">5.2 </w:t>
      </w:r>
      <w:r w:rsidRPr="006312E8">
        <w:rPr>
          <w:rFonts w:ascii="Arial" w:eastAsia="Calibri" w:hAnsi="Arial" w:cs="Arial"/>
          <w:b/>
          <w:lang w:val="es-ES"/>
        </w:rPr>
        <w:tab/>
        <w:t>Definiciones</w:t>
      </w:r>
    </w:p>
    <w:p w:rsidR="006312E8" w:rsidRPr="006312E8" w:rsidRDefault="006312E8" w:rsidP="006312E8">
      <w:p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Para efectos de la presente Directiva será de aplicación las siguientes definiciones:</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spacing w:after="0" w:line="240" w:lineRule="auto"/>
        <w:ind w:left="709"/>
        <w:contextualSpacing/>
        <w:jc w:val="both"/>
        <w:rPr>
          <w:rFonts w:ascii="Arial" w:eastAsia="Calibri" w:hAnsi="Arial" w:cs="Arial"/>
          <w:lang w:val="es-ES"/>
        </w:rPr>
      </w:pPr>
      <w:r w:rsidRPr="006312E8">
        <w:rPr>
          <w:rFonts w:ascii="Arial" w:eastAsia="Calibri" w:hAnsi="Arial" w:cs="Arial"/>
          <w:b/>
          <w:lang w:val="es-ES"/>
        </w:rPr>
        <w:t>Predios de dominio privado del Estado:</w:t>
      </w:r>
      <w:r w:rsidRPr="006312E8">
        <w:rPr>
          <w:rFonts w:ascii="Arial" w:eastAsia="Calibri" w:hAnsi="Arial" w:cs="Arial"/>
          <w:lang w:val="es-ES"/>
        </w:rPr>
        <w:t xml:space="preserve"> Aquellos que siendo de propiedad del Estado o de alguna entidad pública, no están destinados al uso público ni afectados a algún servicio público, y respecto de los cuales sus titulares ejercen el derecho de propiedad con todos sus atributos.</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Default="006312E8" w:rsidP="006312E8">
      <w:pPr>
        <w:spacing w:after="0" w:line="240" w:lineRule="auto"/>
        <w:ind w:left="709"/>
        <w:contextualSpacing/>
        <w:jc w:val="both"/>
        <w:rPr>
          <w:rFonts w:ascii="Arial" w:eastAsia="Calibri" w:hAnsi="Arial" w:cs="Arial"/>
          <w:lang w:val="es-ES"/>
        </w:rPr>
      </w:pPr>
      <w:r w:rsidRPr="006312E8">
        <w:rPr>
          <w:rFonts w:ascii="Arial" w:eastAsia="Calibri" w:hAnsi="Arial" w:cs="Arial"/>
          <w:b/>
          <w:lang w:val="es-ES"/>
        </w:rPr>
        <w:t>Predios de dominio público:</w:t>
      </w:r>
      <w:r w:rsidRPr="006312E8">
        <w:rPr>
          <w:rFonts w:ascii="Arial" w:eastAsia="Calibri" w:hAnsi="Arial" w:cs="Arial"/>
          <w:lang w:val="es-ES"/>
        </w:rPr>
        <w:t xml:space="preserve"> </w:t>
      </w:r>
      <w:r w:rsidR="00FF56F2" w:rsidRPr="00FF56F2">
        <w:rPr>
          <w:rFonts w:ascii="Arial" w:eastAsia="Calibri" w:hAnsi="Arial" w:cs="Arial"/>
          <w:lang w:val="es-ES"/>
        </w:rPr>
        <w:t>Aquellos predios destinados al uso público corno playas, parques, infraestructura vial y otros, cuya administración, conservación y mantenimiento corresponde a una entidad: asimismo, aquellos que sirven de soporte para la prestación de cualquier servicio público como sedes gubernativas e institucionales, escuelas, hospitales, estadios, aportes reglamentarios, áreas de equipamiento urbano, establecimientos penitenciarios, museos, cementerios, puertos y otros destinados al cumplimiento de los fines de responsabilidad estatal, o cuya concesión compete al Estado</w:t>
      </w:r>
      <w:r w:rsidRPr="006312E8">
        <w:rPr>
          <w:rFonts w:ascii="Arial" w:eastAsia="Calibri" w:hAnsi="Arial" w:cs="Arial"/>
          <w:lang w:val="es-ES"/>
        </w:rPr>
        <w:t>.</w:t>
      </w:r>
      <w:r w:rsidR="00FF56F2">
        <w:rPr>
          <w:rFonts w:ascii="Arial" w:eastAsia="Calibri" w:hAnsi="Arial" w:cs="Arial"/>
          <w:lang w:val="es-ES"/>
        </w:rPr>
        <w:t xml:space="preserve"> (*)</w:t>
      </w:r>
    </w:p>
    <w:p w:rsidR="0017755E" w:rsidRPr="006312E8" w:rsidRDefault="0017755E" w:rsidP="0017755E">
      <w:pPr>
        <w:spacing w:after="0" w:line="240" w:lineRule="auto"/>
        <w:ind w:left="709"/>
        <w:contextualSpacing/>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xml:space="preserve">(*) </w:t>
      </w:r>
      <w:r>
        <w:rPr>
          <w:rFonts w:ascii="Arial" w:eastAsia="Calibri" w:hAnsi="Arial" w:cs="Arial"/>
          <w:b/>
          <w:color w:val="FF0000"/>
          <w:sz w:val="16"/>
          <w:szCs w:val="16"/>
          <w:lang w:val="es-ES"/>
        </w:rPr>
        <w:t xml:space="preserve">Modificado por la Resolución N° 086-2016/SBN, publicada el 17-11-2016. </w:t>
      </w:r>
      <w:r w:rsidRPr="006312E8">
        <w:rPr>
          <w:rFonts w:ascii="Arial" w:eastAsia="Calibri" w:hAnsi="Arial" w:cs="Arial"/>
          <w:b/>
          <w:color w:val="FF0000"/>
          <w:sz w:val="16"/>
          <w:szCs w:val="16"/>
          <w:lang w:val="es-ES"/>
        </w:rPr>
        <w:t xml:space="preserve"> </w:t>
      </w:r>
    </w:p>
    <w:p w:rsidR="0017755E" w:rsidRPr="006312E8" w:rsidRDefault="0017755E" w:rsidP="006312E8">
      <w:pPr>
        <w:spacing w:after="0" w:line="240" w:lineRule="auto"/>
        <w:ind w:left="709"/>
        <w:contextualSpacing/>
        <w:jc w:val="both"/>
        <w:rPr>
          <w:rFonts w:ascii="Arial" w:eastAsia="Calibri" w:hAnsi="Arial" w:cs="Arial"/>
          <w:lang w:val="es-ES"/>
        </w:rPr>
      </w:pPr>
    </w:p>
    <w:p w:rsidR="006312E8" w:rsidRPr="006312E8" w:rsidRDefault="006312E8" w:rsidP="006312E8">
      <w:pPr>
        <w:spacing w:after="0" w:line="240" w:lineRule="auto"/>
        <w:ind w:left="709"/>
        <w:contextualSpacing/>
        <w:jc w:val="both"/>
        <w:rPr>
          <w:rFonts w:ascii="Arial" w:eastAsia="Calibri" w:hAnsi="Arial" w:cs="Arial"/>
          <w:lang w:val="es-ES"/>
        </w:rPr>
      </w:pPr>
      <w:r w:rsidRPr="006312E8">
        <w:rPr>
          <w:rFonts w:ascii="Arial" w:eastAsia="Calibri" w:hAnsi="Arial" w:cs="Arial"/>
          <w:b/>
          <w:lang w:val="es-ES"/>
        </w:rPr>
        <w:t>Entidad pública:</w:t>
      </w:r>
      <w:r w:rsidRPr="006312E8">
        <w:rPr>
          <w:rFonts w:ascii="Arial" w:eastAsia="Calibri" w:hAnsi="Arial" w:cs="Arial"/>
          <w:lang w:val="es-ES"/>
        </w:rPr>
        <w:t xml:space="preserve"> Las entidades a las que se refiere el artículo 8 de la Ley Nº 29151, Ley General del Sistema Nacional de Bienes Estatales, incluyendo las que se refiere el artículo 66 del Reglamento.</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spacing w:after="0" w:line="240" w:lineRule="auto"/>
        <w:ind w:left="709"/>
        <w:contextualSpacing/>
        <w:jc w:val="both"/>
        <w:rPr>
          <w:rFonts w:ascii="Arial" w:eastAsia="Calibri" w:hAnsi="Arial" w:cs="Arial"/>
          <w:lang w:val="es-ES"/>
        </w:rPr>
      </w:pPr>
      <w:r w:rsidRPr="006312E8">
        <w:rPr>
          <w:rFonts w:ascii="Arial" w:eastAsia="Calibri" w:hAnsi="Arial" w:cs="Arial"/>
          <w:b/>
          <w:lang w:val="es-ES"/>
        </w:rPr>
        <w:t>Transferencia interestatal:</w:t>
      </w:r>
      <w:r w:rsidRPr="006312E8">
        <w:rPr>
          <w:rFonts w:ascii="Arial" w:eastAsia="Calibri" w:hAnsi="Arial" w:cs="Arial"/>
          <w:lang w:val="es-ES"/>
        </w:rPr>
        <w:t xml:space="preserve"> Es la traslación de dominio, a título gratuito u oneroso, de predios del dominio privado estatal de libre disponibilidad, que se realiza entre las entidades públicas.</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spacing w:after="0" w:line="240" w:lineRule="auto"/>
        <w:ind w:left="709"/>
        <w:contextualSpacing/>
        <w:jc w:val="both"/>
        <w:rPr>
          <w:rFonts w:ascii="Arial" w:eastAsia="Calibri" w:hAnsi="Arial" w:cs="Arial"/>
          <w:lang w:val="es-ES"/>
        </w:rPr>
      </w:pPr>
      <w:r w:rsidRPr="006312E8">
        <w:rPr>
          <w:rFonts w:ascii="Arial" w:eastAsia="Calibri" w:hAnsi="Arial" w:cs="Arial"/>
          <w:b/>
          <w:lang w:val="es-ES"/>
        </w:rPr>
        <w:t>Reversión:</w:t>
      </w:r>
      <w:r w:rsidRPr="006312E8">
        <w:rPr>
          <w:rFonts w:ascii="Arial" w:eastAsia="Calibri" w:hAnsi="Arial" w:cs="Arial"/>
          <w:lang w:val="es-ES"/>
        </w:rPr>
        <w:t xml:space="preserve"> Es la acción por la cual un bien estatal que fue transferido a título gratuito u oneroso a una entidad regresa al dominio de su transferente.</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spacing w:after="0" w:line="240" w:lineRule="auto"/>
        <w:ind w:left="709"/>
        <w:contextualSpacing/>
        <w:jc w:val="both"/>
        <w:rPr>
          <w:rFonts w:ascii="Arial" w:eastAsia="Calibri" w:hAnsi="Arial" w:cs="Arial"/>
          <w:lang w:val="es-ES"/>
        </w:rPr>
      </w:pPr>
      <w:r w:rsidRPr="006312E8">
        <w:rPr>
          <w:rFonts w:ascii="Arial" w:eastAsia="Calibri" w:hAnsi="Arial" w:cs="Arial"/>
          <w:b/>
          <w:lang w:val="es-ES"/>
        </w:rPr>
        <w:t>Zona de dominio restringido:</w:t>
      </w:r>
      <w:r w:rsidRPr="006312E8">
        <w:rPr>
          <w:rFonts w:ascii="Arial" w:eastAsia="Calibri" w:hAnsi="Arial" w:cs="Arial"/>
          <w:lang w:val="es-ES"/>
        </w:rPr>
        <w:t xml:space="preserve"> Se define a la franja de 200 metros ubicada a continuación de la franja de hasta 50 metros paralela a la línea de alta marea, siempre que exista continuidad geográfica en toda esa área y no existan terrenos de propiedad privada excluidos de su ámbito.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b/>
          <w:lang w:val="es-ES"/>
        </w:rPr>
      </w:pPr>
      <w:r w:rsidRPr="006312E8">
        <w:rPr>
          <w:rFonts w:ascii="Arial" w:eastAsia="Calibri" w:hAnsi="Arial" w:cs="Arial"/>
          <w:b/>
          <w:lang w:val="es-ES"/>
        </w:rPr>
        <w:t>5.3</w:t>
      </w:r>
      <w:r w:rsidRPr="006312E8">
        <w:rPr>
          <w:rFonts w:ascii="Arial" w:eastAsia="Calibri" w:hAnsi="Arial" w:cs="Arial"/>
          <w:b/>
          <w:lang w:val="es-ES"/>
        </w:rPr>
        <w:tab/>
        <w:t>Disposiciones generales de los procedimientos de aprobación de transferencia interestatal</w:t>
      </w: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ind w:left="1418" w:hanging="709"/>
        <w:contextualSpacing/>
        <w:jc w:val="both"/>
        <w:rPr>
          <w:rFonts w:ascii="Arial" w:eastAsia="Calibri" w:hAnsi="Arial" w:cs="Arial"/>
          <w:lang w:val="es-ES"/>
        </w:rPr>
      </w:pPr>
      <w:r w:rsidRPr="006312E8">
        <w:rPr>
          <w:rFonts w:ascii="Arial" w:eastAsia="Calibri" w:hAnsi="Arial" w:cs="Arial"/>
          <w:lang w:val="es-ES"/>
        </w:rPr>
        <w:t xml:space="preserve">5.3.1 </w:t>
      </w:r>
      <w:r w:rsidRPr="006312E8">
        <w:rPr>
          <w:rFonts w:ascii="Arial" w:eastAsia="Calibri" w:hAnsi="Arial" w:cs="Arial"/>
          <w:lang w:val="es-ES"/>
        </w:rPr>
        <w:tab/>
        <w:t>El procedimiento de aprobación de transferencia interestatal de predios de dominio privado de libre disponibilidad del Estado se inicia a solicitud de la entidad requirente ante la entidad propietaria del bien o cuando el bien es de propiedad del Estado, ante la SBN, a través de la SDDI o ante el Gobierno Regional, que haya asumido competencias.</w:t>
      </w:r>
    </w:p>
    <w:p w:rsidR="006312E8" w:rsidRPr="006312E8" w:rsidRDefault="006312E8" w:rsidP="006312E8">
      <w:pPr>
        <w:spacing w:after="0" w:line="240" w:lineRule="auto"/>
        <w:ind w:left="1418" w:hanging="709"/>
        <w:contextualSpacing/>
        <w:jc w:val="both"/>
        <w:rPr>
          <w:rFonts w:ascii="Arial" w:eastAsia="Calibri" w:hAnsi="Arial" w:cs="Arial"/>
          <w:lang w:val="es-ES"/>
        </w:rPr>
      </w:pPr>
    </w:p>
    <w:p w:rsidR="006312E8" w:rsidRPr="006312E8" w:rsidRDefault="006312E8" w:rsidP="006312E8">
      <w:pPr>
        <w:spacing w:after="0" w:line="240" w:lineRule="auto"/>
        <w:ind w:left="1418" w:hanging="709"/>
        <w:contextualSpacing/>
        <w:jc w:val="both"/>
        <w:rPr>
          <w:rFonts w:ascii="Arial" w:eastAsia="Calibri" w:hAnsi="Arial" w:cs="Arial"/>
          <w:lang w:val="es-ES"/>
        </w:rPr>
      </w:pPr>
      <w:r w:rsidRPr="006312E8">
        <w:rPr>
          <w:rFonts w:ascii="Arial" w:eastAsia="Calibri" w:hAnsi="Arial" w:cs="Arial"/>
          <w:lang w:val="es-ES"/>
        </w:rPr>
        <w:t xml:space="preserve">5.3.2 </w:t>
      </w:r>
      <w:r w:rsidRPr="006312E8">
        <w:rPr>
          <w:rFonts w:ascii="Arial" w:eastAsia="Calibri" w:hAnsi="Arial" w:cs="Arial"/>
          <w:lang w:val="es-ES"/>
        </w:rPr>
        <w:tab/>
        <w:t>La transferencia de predios puede efectuarse en los siguientes casos:</w:t>
      </w:r>
    </w:p>
    <w:p w:rsidR="006312E8" w:rsidRPr="006312E8" w:rsidRDefault="006312E8" w:rsidP="006312E8">
      <w:pPr>
        <w:spacing w:after="0" w:line="240" w:lineRule="auto"/>
        <w:contextualSpacing/>
        <w:jc w:val="both"/>
        <w:rPr>
          <w:rFonts w:ascii="Arial" w:eastAsia="Calibri" w:hAnsi="Arial" w:cs="Arial"/>
          <w:lang w:val="es-ES"/>
        </w:rPr>
      </w:pPr>
    </w:p>
    <w:p w:rsidR="006312E8" w:rsidRDefault="006312E8" w:rsidP="006312E8">
      <w:pPr>
        <w:spacing w:after="0" w:line="240" w:lineRule="auto"/>
        <w:ind w:left="1701" w:hanging="283"/>
        <w:contextualSpacing/>
        <w:jc w:val="both"/>
        <w:rPr>
          <w:rFonts w:ascii="Arial" w:eastAsia="Calibri" w:hAnsi="Arial" w:cs="Arial"/>
          <w:lang w:val="es-ES"/>
        </w:rPr>
      </w:pPr>
      <w:r w:rsidRPr="006312E8">
        <w:rPr>
          <w:rFonts w:ascii="Arial" w:eastAsia="Calibri" w:hAnsi="Arial" w:cs="Arial"/>
          <w:lang w:val="es-ES"/>
        </w:rPr>
        <w:t xml:space="preserve">* </w:t>
      </w:r>
      <w:r w:rsidRPr="006312E8">
        <w:rPr>
          <w:rFonts w:ascii="Arial" w:eastAsia="Calibri" w:hAnsi="Arial" w:cs="Arial"/>
          <w:lang w:val="es-ES"/>
        </w:rPr>
        <w:tab/>
      </w:r>
      <w:r w:rsidR="00FF56F2" w:rsidRPr="00FF56F2">
        <w:rPr>
          <w:rFonts w:ascii="Arial" w:eastAsia="Calibri" w:hAnsi="Arial" w:cs="Arial"/>
          <w:lang w:val="es-ES"/>
        </w:rPr>
        <w:t>Entre entidades públicas: a título oneroso o a título gratuito. La transferencia a título gratuito requiere que el bien sea destinado a programas o proyectos de desarrollo o inversión de conformidad con sus respectivas competencias, señalándose en la resolución aprobatoria dicha finalidad y el plazo para la ejecución de la misma, bajo sanción de reversión en caso de incumplimiento. Si excepcionalmente y por motivos debidamente justificados la entidad vende a terceros el predio que le fue transferido a título gratuito por el Estado, del producto de la venta corresponde el 30% para la SBN y el 70% para la entidad</w:t>
      </w:r>
      <w:r w:rsidRPr="006312E8">
        <w:rPr>
          <w:rFonts w:ascii="Arial" w:eastAsia="Calibri" w:hAnsi="Arial" w:cs="Arial"/>
          <w:lang w:val="es-ES"/>
        </w:rPr>
        <w:t>.</w:t>
      </w:r>
      <w:r w:rsidR="00FF56F2">
        <w:rPr>
          <w:rFonts w:ascii="Arial" w:eastAsia="Calibri" w:hAnsi="Arial" w:cs="Arial"/>
          <w:lang w:val="es-ES"/>
        </w:rPr>
        <w:t xml:space="preserve"> (*)</w:t>
      </w:r>
    </w:p>
    <w:p w:rsidR="002E2D5C" w:rsidRPr="006312E8" w:rsidRDefault="002E2D5C" w:rsidP="002E2D5C">
      <w:pPr>
        <w:spacing w:after="0" w:line="240" w:lineRule="auto"/>
        <w:ind w:left="1701"/>
        <w:contextualSpacing/>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xml:space="preserve">(*) </w:t>
      </w:r>
      <w:r>
        <w:rPr>
          <w:rFonts w:ascii="Arial" w:eastAsia="Calibri" w:hAnsi="Arial" w:cs="Arial"/>
          <w:b/>
          <w:color w:val="FF0000"/>
          <w:sz w:val="16"/>
          <w:szCs w:val="16"/>
          <w:lang w:val="es-ES"/>
        </w:rPr>
        <w:t xml:space="preserve">Numeral modificado por la Resolución N° 086-2016/SBN, publicada el 17-11-2016. </w:t>
      </w:r>
      <w:r w:rsidRPr="006312E8">
        <w:rPr>
          <w:rFonts w:ascii="Arial" w:eastAsia="Calibri" w:hAnsi="Arial" w:cs="Arial"/>
          <w:b/>
          <w:color w:val="FF0000"/>
          <w:sz w:val="16"/>
          <w:szCs w:val="16"/>
          <w:lang w:val="es-ES"/>
        </w:rPr>
        <w:t xml:space="preserve"> </w:t>
      </w:r>
    </w:p>
    <w:p w:rsidR="002E2D5C" w:rsidRPr="006312E8" w:rsidRDefault="002E2D5C" w:rsidP="002E2D5C">
      <w:pPr>
        <w:spacing w:after="0" w:line="240" w:lineRule="auto"/>
        <w:ind w:left="1701"/>
        <w:contextualSpacing/>
        <w:jc w:val="both"/>
        <w:rPr>
          <w:rFonts w:ascii="Arial" w:eastAsia="Calibri" w:hAnsi="Arial" w:cs="Arial"/>
          <w:lang w:val="es-ES"/>
        </w:rPr>
      </w:pPr>
    </w:p>
    <w:p w:rsidR="006312E8" w:rsidRPr="006312E8" w:rsidRDefault="006312E8" w:rsidP="006312E8">
      <w:pPr>
        <w:spacing w:after="0" w:line="240" w:lineRule="auto"/>
        <w:ind w:left="1701" w:hanging="283"/>
        <w:contextualSpacing/>
        <w:jc w:val="both"/>
        <w:rPr>
          <w:rFonts w:ascii="Arial" w:eastAsia="Calibri" w:hAnsi="Arial" w:cs="Arial"/>
          <w:lang w:val="es-ES"/>
        </w:rPr>
      </w:pPr>
      <w:r w:rsidRPr="006312E8">
        <w:rPr>
          <w:rFonts w:ascii="Arial" w:eastAsia="Calibri" w:hAnsi="Arial" w:cs="Arial"/>
          <w:lang w:val="es-ES"/>
        </w:rPr>
        <w:t xml:space="preserve">* </w:t>
      </w:r>
      <w:r w:rsidRPr="006312E8">
        <w:rPr>
          <w:rFonts w:ascii="Arial" w:eastAsia="Calibri" w:hAnsi="Arial" w:cs="Arial"/>
          <w:lang w:val="es-ES"/>
        </w:rPr>
        <w:tab/>
        <w:t>A favor de Gobiernos Regionales y/o Gobiernos Locales, la transferencia será a título gratuito, a menos que dichas entidades obtengan un beneficio económico con el producto de la transferencia que, a su vez, realicen, en cuyo caso deberá entregar el 50% del valor del predio a favor del Estado, quedando el 50% restante a favor de los citados gobiernos.</w:t>
      </w:r>
    </w:p>
    <w:p w:rsidR="006312E8" w:rsidRPr="006312E8" w:rsidRDefault="006312E8" w:rsidP="006312E8">
      <w:pPr>
        <w:spacing w:after="0" w:line="240" w:lineRule="auto"/>
        <w:ind w:left="1701" w:hanging="283"/>
        <w:contextualSpacing/>
        <w:jc w:val="both"/>
        <w:rPr>
          <w:rFonts w:ascii="Arial" w:eastAsia="Calibri" w:hAnsi="Arial" w:cs="Arial"/>
          <w:lang w:val="es-ES"/>
        </w:rPr>
      </w:pPr>
    </w:p>
    <w:p w:rsidR="006312E8" w:rsidRPr="006312E8" w:rsidRDefault="006312E8" w:rsidP="006312E8">
      <w:pPr>
        <w:spacing w:after="0" w:line="240" w:lineRule="auto"/>
        <w:ind w:left="1701" w:hanging="283"/>
        <w:contextualSpacing/>
        <w:jc w:val="both"/>
        <w:rPr>
          <w:rFonts w:ascii="Arial" w:eastAsia="Calibri" w:hAnsi="Arial" w:cs="Arial"/>
          <w:lang w:val="es-ES"/>
        </w:rPr>
      </w:pPr>
      <w:r w:rsidRPr="006312E8">
        <w:rPr>
          <w:rFonts w:ascii="Arial" w:eastAsia="Calibri" w:hAnsi="Arial" w:cs="Arial"/>
          <w:lang w:val="es-ES"/>
        </w:rPr>
        <w:t xml:space="preserve">* </w:t>
      </w:r>
      <w:r w:rsidRPr="006312E8">
        <w:rPr>
          <w:rFonts w:ascii="Arial" w:eastAsia="Calibri" w:hAnsi="Arial" w:cs="Arial"/>
          <w:lang w:val="es-ES"/>
        </w:rPr>
        <w:tab/>
        <w:t>A favor de empresas del Estado que se encuentran bajo el ámbito del Fondo Nacional de Financiamiento de la Actividad Empresarial del Estado -FONAFE, las cuales pueden solicitar directamente o a través del FONAFE a la SBN o al Gobierno Regional dentro de sus respectivas competencias, para destinarlos al desarrollo de sus actividades comerciales, industriales o de servicios. Podrá ser a título gratuito cuando el bien se destine al interés general o social debidamente acreditado, en cumplimiento de fines legales y/o estatutarios.</w:t>
      </w:r>
    </w:p>
    <w:p w:rsidR="006312E8" w:rsidRPr="006312E8" w:rsidRDefault="006312E8" w:rsidP="006312E8">
      <w:pPr>
        <w:spacing w:after="0" w:line="240" w:lineRule="auto"/>
        <w:ind w:left="1701" w:hanging="283"/>
        <w:contextualSpacing/>
        <w:jc w:val="both"/>
        <w:rPr>
          <w:rFonts w:ascii="Arial" w:eastAsia="Calibri" w:hAnsi="Arial" w:cs="Arial"/>
          <w:lang w:val="es-ES"/>
        </w:rPr>
      </w:pPr>
    </w:p>
    <w:p w:rsidR="006312E8" w:rsidRPr="006312E8" w:rsidRDefault="006312E8" w:rsidP="006312E8">
      <w:pPr>
        <w:spacing w:after="0" w:line="240" w:lineRule="auto"/>
        <w:ind w:left="1701" w:hanging="283"/>
        <w:contextualSpacing/>
        <w:jc w:val="both"/>
        <w:rPr>
          <w:rFonts w:ascii="Arial" w:eastAsia="Calibri" w:hAnsi="Arial" w:cs="Arial"/>
          <w:lang w:val="es-ES"/>
        </w:rPr>
      </w:pPr>
      <w:r w:rsidRPr="006312E8">
        <w:rPr>
          <w:rFonts w:ascii="Arial" w:eastAsia="Calibri" w:hAnsi="Arial" w:cs="Arial"/>
          <w:lang w:val="es-ES"/>
        </w:rPr>
        <w:t xml:space="preserve">* </w:t>
      </w:r>
      <w:r w:rsidRPr="006312E8">
        <w:rPr>
          <w:rFonts w:ascii="Arial" w:eastAsia="Calibri" w:hAnsi="Arial" w:cs="Arial"/>
          <w:lang w:val="es-ES"/>
        </w:rPr>
        <w:tab/>
        <w:t>Como aporte de capital del Estado, a favor de la empresa de derecho público o privado, la cual deberá efectuar su pedido a través del FONAFE a la SBN o al Gobierno regional, dentro de sus respectivas competencias.</w:t>
      </w:r>
    </w:p>
    <w:p w:rsidR="006312E8" w:rsidRPr="006312E8" w:rsidRDefault="006312E8" w:rsidP="006312E8">
      <w:pPr>
        <w:spacing w:after="0" w:line="240" w:lineRule="auto"/>
        <w:ind w:left="1701" w:hanging="283"/>
        <w:contextualSpacing/>
        <w:jc w:val="both"/>
        <w:rPr>
          <w:rFonts w:ascii="Arial" w:eastAsia="Calibri" w:hAnsi="Arial" w:cs="Arial"/>
          <w:lang w:val="es-ES"/>
        </w:rPr>
      </w:pPr>
    </w:p>
    <w:p w:rsidR="006312E8" w:rsidRPr="006312E8" w:rsidRDefault="006312E8" w:rsidP="006312E8">
      <w:pPr>
        <w:spacing w:after="0" w:line="240" w:lineRule="auto"/>
        <w:ind w:left="1701" w:hanging="283"/>
        <w:contextualSpacing/>
        <w:jc w:val="both"/>
        <w:rPr>
          <w:rFonts w:ascii="Arial" w:eastAsia="Calibri" w:hAnsi="Arial" w:cs="Arial"/>
          <w:lang w:val="es-ES"/>
        </w:rPr>
      </w:pPr>
      <w:r w:rsidRPr="006312E8">
        <w:rPr>
          <w:rFonts w:ascii="Arial" w:eastAsia="Calibri" w:hAnsi="Arial" w:cs="Arial"/>
          <w:lang w:val="es-ES"/>
        </w:rPr>
        <w:t xml:space="preserve">* </w:t>
      </w:r>
      <w:r w:rsidRPr="006312E8">
        <w:rPr>
          <w:rFonts w:ascii="Arial" w:eastAsia="Calibri" w:hAnsi="Arial" w:cs="Arial"/>
          <w:lang w:val="es-ES"/>
        </w:rPr>
        <w:tab/>
        <w:t>A favor del Ministerio de Defensa, en aplicación del artículo 20 de la Ley Nº 29006, Ley que autoriza la disposición de inmuebles del Sector Defensa.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1418" w:hanging="709"/>
        <w:contextualSpacing/>
        <w:jc w:val="both"/>
        <w:rPr>
          <w:rFonts w:ascii="Arial" w:eastAsia="Calibri" w:hAnsi="Arial" w:cs="Arial"/>
          <w:lang w:val="es-ES"/>
        </w:rPr>
      </w:pPr>
      <w:r w:rsidRPr="006312E8">
        <w:rPr>
          <w:rFonts w:ascii="Arial" w:eastAsia="Calibri" w:hAnsi="Arial" w:cs="Arial"/>
          <w:lang w:val="es-ES"/>
        </w:rPr>
        <w:t xml:space="preserve">5.3.3. </w:t>
      </w:r>
      <w:r w:rsidRPr="006312E8">
        <w:rPr>
          <w:rFonts w:ascii="Arial" w:eastAsia="Calibri" w:hAnsi="Arial" w:cs="Arial"/>
          <w:lang w:val="es-ES"/>
        </w:rPr>
        <w:tab/>
        <w:t>La distribución de los ingresos producto de las transferencias a título oneroso se rigen por las reglas de la compra venta.</w:t>
      </w:r>
    </w:p>
    <w:p w:rsidR="006312E8" w:rsidRPr="006312E8" w:rsidRDefault="006312E8" w:rsidP="006312E8">
      <w:pPr>
        <w:spacing w:after="0" w:line="240" w:lineRule="auto"/>
        <w:ind w:left="1418" w:hanging="709"/>
        <w:contextualSpacing/>
        <w:jc w:val="both"/>
        <w:rPr>
          <w:rFonts w:ascii="Arial" w:eastAsia="Calibri" w:hAnsi="Arial" w:cs="Arial"/>
          <w:lang w:val="es-ES"/>
        </w:rPr>
      </w:pPr>
    </w:p>
    <w:p w:rsidR="006312E8" w:rsidRPr="006312E8" w:rsidRDefault="006312E8" w:rsidP="006312E8">
      <w:pPr>
        <w:spacing w:after="0" w:line="240" w:lineRule="auto"/>
        <w:ind w:left="1418" w:hanging="709"/>
        <w:contextualSpacing/>
        <w:jc w:val="both"/>
        <w:rPr>
          <w:rFonts w:ascii="Arial" w:eastAsia="Calibri" w:hAnsi="Arial" w:cs="Arial"/>
          <w:lang w:val="es-ES"/>
        </w:rPr>
      </w:pPr>
      <w:r w:rsidRPr="006312E8">
        <w:rPr>
          <w:rFonts w:ascii="Arial" w:eastAsia="Calibri" w:hAnsi="Arial" w:cs="Arial"/>
          <w:lang w:val="es-ES"/>
        </w:rPr>
        <w:t xml:space="preserve">5.3.4. </w:t>
      </w:r>
      <w:r w:rsidRPr="006312E8">
        <w:rPr>
          <w:rFonts w:ascii="Arial" w:eastAsia="Calibri" w:hAnsi="Arial" w:cs="Arial"/>
          <w:lang w:val="es-ES"/>
        </w:rPr>
        <w:tab/>
        <w:t>La transferencia de predios estatales se realiza una vez que se haya inscrito el derecho del Estado o de la entidad que pretenda enajenarlos, salvo que la entidad transferente, bajo responsabilidad, acredite el derecho de propiedad que le asiste, y el adquirente asuma la obligación de efectuar el saneamiento registral respectivo.</w:t>
      </w:r>
    </w:p>
    <w:p w:rsidR="006312E8" w:rsidRPr="006312E8" w:rsidRDefault="006312E8" w:rsidP="006312E8">
      <w:pPr>
        <w:spacing w:after="0" w:line="240" w:lineRule="auto"/>
        <w:ind w:left="1418" w:hanging="709"/>
        <w:contextualSpacing/>
        <w:jc w:val="both"/>
        <w:rPr>
          <w:rFonts w:ascii="Arial" w:eastAsia="Calibri" w:hAnsi="Arial" w:cs="Arial"/>
          <w:lang w:val="es-ES"/>
        </w:rPr>
      </w:pPr>
    </w:p>
    <w:p w:rsidR="006312E8" w:rsidRPr="006312E8" w:rsidRDefault="006312E8" w:rsidP="006312E8">
      <w:pPr>
        <w:spacing w:after="0" w:line="240" w:lineRule="auto"/>
        <w:ind w:left="1418" w:hanging="709"/>
        <w:contextualSpacing/>
        <w:jc w:val="both"/>
        <w:rPr>
          <w:rFonts w:ascii="Arial" w:eastAsia="Calibri" w:hAnsi="Arial" w:cs="Arial"/>
          <w:lang w:val="es-ES"/>
        </w:rPr>
      </w:pPr>
      <w:r w:rsidRPr="006312E8">
        <w:rPr>
          <w:rFonts w:ascii="Arial" w:eastAsia="Calibri" w:hAnsi="Arial" w:cs="Arial"/>
          <w:lang w:val="es-ES"/>
        </w:rPr>
        <w:t xml:space="preserve">5.3.5. </w:t>
      </w:r>
      <w:r w:rsidRPr="006312E8">
        <w:rPr>
          <w:rFonts w:ascii="Arial" w:eastAsia="Calibri" w:hAnsi="Arial" w:cs="Arial"/>
          <w:lang w:val="es-ES"/>
        </w:rPr>
        <w:tab/>
        <w:t>Cuando se solicite un área parcial respecto de un predio de mayor extensión, se podrá efectuar la transferencia paralelamente a la independización; sin embargo, será de responsabilidad del adquirente culminar la respectiva inscripción registral, debiendo informar sobre dicho saneamiento a la Subdirección de Registro y Catastro - SDRC de la SBN para su inscripción en el SINABIP dentro de los 10 días contados desde la inscripción registral.</w:t>
      </w:r>
    </w:p>
    <w:p w:rsidR="006312E8" w:rsidRPr="006312E8" w:rsidRDefault="006312E8" w:rsidP="006312E8">
      <w:pPr>
        <w:spacing w:after="0" w:line="240" w:lineRule="auto"/>
        <w:ind w:left="1418" w:hanging="709"/>
        <w:contextualSpacing/>
        <w:jc w:val="both"/>
        <w:rPr>
          <w:rFonts w:ascii="Arial" w:eastAsia="Calibri" w:hAnsi="Arial" w:cs="Arial"/>
          <w:lang w:val="es-ES"/>
        </w:rPr>
      </w:pPr>
    </w:p>
    <w:p w:rsidR="006312E8" w:rsidRPr="006312E8" w:rsidRDefault="006312E8" w:rsidP="006312E8">
      <w:pPr>
        <w:spacing w:after="0" w:line="240" w:lineRule="auto"/>
        <w:ind w:left="1418" w:hanging="709"/>
        <w:contextualSpacing/>
        <w:jc w:val="both"/>
        <w:rPr>
          <w:rFonts w:ascii="Arial" w:eastAsia="Calibri" w:hAnsi="Arial" w:cs="Arial"/>
          <w:lang w:val="es-ES"/>
        </w:rPr>
      </w:pPr>
      <w:r w:rsidRPr="006312E8">
        <w:rPr>
          <w:rFonts w:ascii="Arial" w:eastAsia="Calibri" w:hAnsi="Arial" w:cs="Arial"/>
          <w:lang w:val="es-ES"/>
        </w:rPr>
        <w:t xml:space="preserve">5.3.6. </w:t>
      </w:r>
      <w:r w:rsidRPr="006312E8">
        <w:rPr>
          <w:rFonts w:ascii="Arial" w:eastAsia="Calibri" w:hAnsi="Arial" w:cs="Arial"/>
          <w:lang w:val="es-ES"/>
        </w:rPr>
        <w:tab/>
        <w:t>La existencia de ocupaciones. cargas, gravámenes y procesos judiciales que afecten a los bienes estatales, no limita su libre disposición, siempre que dichas circunstancias sean puestas en conocimiento del eventual adquirente del predio, al momento de aprobarse el acto de disposición, lo cual constará en la Resolución que aprueba dicho acto y en los contratos respectivos, bajo sanción de nulidad.</w:t>
      </w:r>
    </w:p>
    <w:p w:rsidR="006312E8" w:rsidRPr="006312E8" w:rsidRDefault="006312E8" w:rsidP="006312E8">
      <w:pPr>
        <w:spacing w:after="0" w:line="240" w:lineRule="auto"/>
        <w:ind w:left="1418" w:hanging="709"/>
        <w:contextualSpacing/>
        <w:jc w:val="both"/>
        <w:rPr>
          <w:rFonts w:ascii="Arial" w:eastAsia="Calibri" w:hAnsi="Arial" w:cs="Arial"/>
          <w:lang w:val="es-ES"/>
        </w:rPr>
      </w:pPr>
    </w:p>
    <w:p w:rsidR="006312E8" w:rsidRPr="006312E8" w:rsidRDefault="006312E8" w:rsidP="006312E8">
      <w:pPr>
        <w:spacing w:after="0" w:line="240" w:lineRule="auto"/>
        <w:ind w:left="1418" w:hanging="709"/>
        <w:contextualSpacing/>
        <w:jc w:val="both"/>
        <w:rPr>
          <w:rFonts w:ascii="Arial" w:eastAsia="Calibri" w:hAnsi="Arial" w:cs="Arial"/>
          <w:lang w:val="es-ES"/>
        </w:rPr>
      </w:pPr>
      <w:r w:rsidRPr="006312E8">
        <w:rPr>
          <w:rFonts w:ascii="Arial" w:eastAsia="Calibri" w:hAnsi="Arial" w:cs="Arial"/>
          <w:lang w:val="es-ES"/>
        </w:rPr>
        <w:t xml:space="preserve">5.3.7. </w:t>
      </w:r>
      <w:r w:rsidRPr="006312E8">
        <w:rPr>
          <w:rFonts w:ascii="Arial" w:eastAsia="Calibri" w:hAnsi="Arial" w:cs="Arial"/>
          <w:lang w:val="es-ES"/>
        </w:rPr>
        <w:tab/>
        <w:t>En los casos indicados en el párrafo precedente, el adquirente del predio asume el riesgo por la pérdida o deterioro del bien, así como de sus frutos o productos, no pudiendo bajo ninguna circunstancia exigir al transferente la devolución del precio, ni tampoco requerir indemnización o compensación alguna, tanto en las transferencias a título oneroso como gratuito.</w:t>
      </w:r>
    </w:p>
    <w:p w:rsidR="006312E8" w:rsidRPr="006312E8" w:rsidRDefault="006312E8" w:rsidP="006312E8">
      <w:pPr>
        <w:spacing w:after="0" w:line="240" w:lineRule="auto"/>
        <w:ind w:left="1418" w:hanging="709"/>
        <w:contextualSpacing/>
        <w:jc w:val="both"/>
        <w:rPr>
          <w:rFonts w:ascii="Arial" w:eastAsia="Calibri" w:hAnsi="Arial" w:cs="Arial"/>
          <w:lang w:val="es-ES"/>
        </w:rPr>
      </w:pPr>
    </w:p>
    <w:p w:rsidR="006312E8" w:rsidRPr="006312E8" w:rsidRDefault="006312E8" w:rsidP="006312E8">
      <w:pPr>
        <w:spacing w:after="0" w:line="240" w:lineRule="auto"/>
        <w:ind w:left="1418" w:hanging="709"/>
        <w:contextualSpacing/>
        <w:jc w:val="both"/>
        <w:rPr>
          <w:rFonts w:ascii="Arial" w:eastAsia="Calibri" w:hAnsi="Arial" w:cs="Arial"/>
          <w:lang w:val="es-ES"/>
        </w:rPr>
      </w:pPr>
      <w:r w:rsidRPr="006312E8">
        <w:rPr>
          <w:rFonts w:ascii="Arial" w:eastAsia="Calibri" w:hAnsi="Arial" w:cs="Arial"/>
          <w:lang w:val="es-ES"/>
        </w:rPr>
        <w:t xml:space="preserve">5.3.8. </w:t>
      </w:r>
      <w:r w:rsidRPr="006312E8">
        <w:rPr>
          <w:rFonts w:ascii="Arial" w:eastAsia="Calibri" w:hAnsi="Arial" w:cs="Arial"/>
          <w:lang w:val="es-ES"/>
        </w:rPr>
        <w:tab/>
        <w:t>Cuando los predios transferidos a título gratuito no sean destinados a la finalidad para la que fueron otorgados, el dominio del bien revertirá a favor del Estado o a la entidad transferente, según sea el caso. En las transferencias a título oneroso, procederá la reversión de dominio, siempre que la resolución o contrato de transferencia así lo disponga. En ningún caso procede reembolso al afectado con la reversión.</w:t>
      </w:r>
    </w:p>
    <w:p w:rsidR="006312E8" w:rsidRPr="006312E8" w:rsidRDefault="006312E8" w:rsidP="006312E8">
      <w:pPr>
        <w:spacing w:after="0" w:line="240" w:lineRule="auto"/>
        <w:ind w:left="1418" w:hanging="709"/>
        <w:contextualSpacing/>
        <w:jc w:val="both"/>
        <w:rPr>
          <w:rFonts w:ascii="Arial" w:eastAsia="Calibri" w:hAnsi="Arial" w:cs="Arial"/>
          <w:lang w:val="es-ES"/>
        </w:rPr>
      </w:pPr>
    </w:p>
    <w:p w:rsidR="006312E8" w:rsidRPr="006312E8" w:rsidRDefault="006312E8" w:rsidP="006312E8">
      <w:pPr>
        <w:spacing w:after="0" w:line="240" w:lineRule="auto"/>
        <w:ind w:left="1418" w:hanging="709"/>
        <w:contextualSpacing/>
        <w:jc w:val="both"/>
        <w:rPr>
          <w:rFonts w:ascii="Arial" w:eastAsia="Calibri" w:hAnsi="Arial" w:cs="Arial"/>
          <w:lang w:val="es-ES"/>
        </w:rPr>
      </w:pPr>
      <w:r w:rsidRPr="006312E8">
        <w:rPr>
          <w:rFonts w:ascii="Arial" w:eastAsia="Calibri" w:hAnsi="Arial" w:cs="Arial"/>
          <w:lang w:val="es-ES"/>
        </w:rPr>
        <w:t xml:space="preserve">5.3.9. </w:t>
      </w:r>
      <w:r w:rsidRPr="006312E8">
        <w:rPr>
          <w:rFonts w:ascii="Arial" w:eastAsia="Calibri" w:hAnsi="Arial" w:cs="Arial"/>
          <w:lang w:val="es-ES"/>
        </w:rPr>
        <w:tab/>
        <w:t>En caso que no se haya establecido plazo para el cumplimiento de la finalidad, este será de dos (02) años.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1418" w:hanging="851"/>
        <w:contextualSpacing/>
        <w:jc w:val="both"/>
        <w:rPr>
          <w:rFonts w:ascii="Arial" w:eastAsia="Calibri" w:hAnsi="Arial" w:cs="Arial"/>
          <w:lang w:val="es-ES"/>
        </w:rPr>
      </w:pPr>
      <w:r w:rsidRPr="006312E8">
        <w:rPr>
          <w:rFonts w:ascii="Arial" w:eastAsia="Calibri" w:hAnsi="Arial" w:cs="Arial"/>
          <w:lang w:val="es-ES"/>
        </w:rPr>
        <w:t xml:space="preserve">5.3.10. </w:t>
      </w:r>
      <w:r w:rsidRPr="006312E8">
        <w:rPr>
          <w:rFonts w:ascii="Arial" w:eastAsia="Calibri" w:hAnsi="Arial" w:cs="Arial"/>
          <w:lang w:val="es-ES"/>
        </w:rPr>
        <w:tab/>
        <w:t>Las resoluciones que se emitan deben ser notificadas a la entidad adquirente dentro del plazo de cinco (5) días computados a partir de su expedición.</w:t>
      </w:r>
    </w:p>
    <w:p w:rsidR="006312E8" w:rsidRDefault="006312E8" w:rsidP="006312E8">
      <w:pPr>
        <w:spacing w:after="0" w:line="240" w:lineRule="auto"/>
        <w:contextualSpacing/>
        <w:jc w:val="both"/>
        <w:rPr>
          <w:rFonts w:ascii="Arial" w:eastAsia="Calibri" w:hAnsi="Arial" w:cs="Arial"/>
          <w:lang w:val="es-ES"/>
        </w:rPr>
      </w:pPr>
    </w:p>
    <w:p w:rsidR="002E2D5C" w:rsidRPr="006312E8" w:rsidRDefault="002E2D5C"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284" w:hanging="284"/>
        <w:contextualSpacing/>
        <w:jc w:val="both"/>
        <w:rPr>
          <w:rFonts w:ascii="Arial" w:eastAsia="Calibri" w:hAnsi="Arial" w:cs="Arial"/>
          <w:b/>
          <w:lang w:val="es-ES"/>
        </w:rPr>
      </w:pPr>
      <w:r w:rsidRPr="006312E8">
        <w:rPr>
          <w:rFonts w:ascii="Arial" w:eastAsia="Calibri" w:hAnsi="Arial" w:cs="Arial"/>
          <w:b/>
          <w:lang w:val="es-ES"/>
        </w:rPr>
        <w:t>VI. DE LOS PREDIOS DE DOMINIO PÚBLICO</w:t>
      </w:r>
    </w:p>
    <w:p w:rsidR="006312E8" w:rsidRPr="006312E8" w:rsidRDefault="006312E8" w:rsidP="006312E8">
      <w:pPr>
        <w:spacing w:after="0" w:line="240" w:lineRule="auto"/>
        <w:contextualSpacing/>
        <w:jc w:val="both"/>
        <w:rPr>
          <w:rFonts w:ascii="Arial" w:eastAsia="Calibri" w:hAnsi="Arial" w:cs="Arial"/>
          <w:lang w:val="es-ES"/>
        </w:rPr>
      </w:pPr>
    </w:p>
    <w:p w:rsidR="00FF56F2" w:rsidRPr="00FF56F2" w:rsidRDefault="006312E8" w:rsidP="00FF56F2">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6.1</w:t>
      </w:r>
      <w:r w:rsidRPr="006312E8">
        <w:rPr>
          <w:rFonts w:ascii="Arial" w:eastAsia="Calibri" w:hAnsi="Arial" w:cs="Arial"/>
          <w:lang w:val="es-ES"/>
        </w:rPr>
        <w:tab/>
      </w:r>
      <w:r w:rsidR="00FF56F2" w:rsidRPr="00FF56F2">
        <w:rPr>
          <w:rFonts w:ascii="Arial" w:eastAsia="Calibri" w:hAnsi="Arial" w:cs="Arial"/>
          <w:lang w:val="es-ES"/>
        </w:rPr>
        <w:t>En mérito a lo dispuesto por la Tercera Disposición Complementaria Transitoria del Reglamento, excepcionalmente, la entidad titular, o la SBN, cuando el bien es de titularidad del Estado, pueden aprobar la transferencia a título gratuito u oneroso de predios que originalmente fueron del dominio privado estatal y actualmente están siendo destinados a uso público o sirven de soporte para la prestación de un servicio público, a favor de la entidad responsable de la administración del bien o de la prestación del servicio público, para cuyo efecto la entidad solicitante debe efectuar el sustento respectivo.</w:t>
      </w:r>
    </w:p>
    <w:p w:rsidR="00FF56F2" w:rsidRPr="00FF56F2" w:rsidRDefault="00FF56F2" w:rsidP="00FF56F2">
      <w:pPr>
        <w:spacing w:after="0" w:line="240" w:lineRule="auto"/>
        <w:ind w:left="709" w:hanging="425"/>
        <w:contextualSpacing/>
        <w:jc w:val="both"/>
        <w:rPr>
          <w:rFonts w:ascii="Arial" w:eastAsia="Calibri" w:hAnsi="Arial" w:cs="Arial"/>
          <w:lang w:val="es-ES"/>
        </w:rPr>
      </w:pPr>
    </w:p>
    <w:p w:rsidR="00FF56F2" w:rsidRPr="00FF56F2" w:rsidRDefault="00FF56F2" w:rsidP="00FF56F2">
      <w:pPr>
        <w:spacing w:after="0" w:line="240" w:lineRule="auto"/>
        <w:ind w:left="709" w:hanging="425"/>
        <w:contextualSpacing/>
        <w:jc w:val="both"/>
        <w:rPr>
          <w:rFonts w:ascii="Arial" w:eastAsia="Calibri" w:hAnsi="Arial" w:cs="Arial"/>
          <w:lang w:val="es-ES"/>
        </w:rPr>
      </w:pPr>
      <w:r w:rsidRPr="00FF56F2">
        <w:rPr>
          <w:rFonts w:ascii="Arial" w:eastAsia="Calibri" w:hAnsi="Arial" w:cs="Arial"/>
          <w:lang w:val="es-ES"/>
        </w:rPr>
        <w:tab/>
        <w:t>La transferencia de predios estatales en el marco de la Tercera Disposición Complementaria Transitoria del Reglamento, tiene el carácter de excepcional, no siendo procedente cuando resulten aplicables otras figuras como la afectación en uso en vía de regularización, la asignación o la reasignación. Si en la solicitud no se acredita la pertinencia de transferir el predio en mérito a la Tercera Disposición Complementaria, la entidad podrá optar por encausar el procedimiento al otorgamiento del derecho pertinente o declarar improcedente la solicitud.</w:t>
      </w:r>
    </w:p>
    <w:p w:rsidR="00FF56F2" w:rsidRPr="00FF56F2" w:rsidRDefault="00FF56F2" w:rsidP="00FF56F2">
      <w:pPr>
        <w:spacing w:after="0" w:line="240" w:lineRule="auto"/>
        <w:ind w:left="709" w:hanging="425"/>
        <w:contextualSpacing/>
        <w:jc w:val="both"/>
        <w:rPr>
          <w:rFonts w:ascii="Arial" w:eastAsia="Calibri" w:hAnsi="Arial" w:cs="Arial"/>
          <w:lang w:val="es-ES"/>
        </w:rPr>
      </w:pPr>
    </w:p>
    <w:p w:rsidR="00FF56F2" w:rsidRPr="00FF56F2" w:rsidRDefault="00FF56F2" w:rsidP="00FF56F2">
      <w:pPr>
        <w:spacing w:after="0" w:line="240" w:lineRule="auto"/>
        <w:ind w:left="709" w:hanging="425"/>
        <w:contextualSpacing/>
        <w:jc w:val="both"/>
        <w:rPr>
          <w:rFonts w:ascii="Arial" w:eastAsia="Calibri" w:hAnsi="Arial" w:cs="Arial"/>
          <w:lang w:val="es-ES"/>
        </w:rPr>
      </w:pPr>
      <w:r w:rsidRPr="00FF56F2">
        <w:rPr>
          <w:rFonts w:ascii="Arial" w:eastAsia="Calibri" w:hAnsi="Arial" w:cs="Arial"/>
          <w:lang w:val="es-ES"/>
        </w:rPr>
        <w:tab/>
        <w:t>La Resolución que aprueba la transferencia de dominio al amparo de la Tercera Disposición Complementaria Transitoria del Reglamento, debe establecer la finalidad a la cual se destina el bien, bajo sanción de reversión en caso de incumplimiento, a fin que no se desnaturalice el uso público o la prestación del servicio público sobre el predio.</w:t>
      </w:r>
    </w:p>
    <w:p w:rsidR="00FF56F2" w:rsidRPr="00FF56F2" w:rsidRDefault="00FF56F2" w:rsidP="00FF56F2">
      <w:pPr>
        <w:spacing w:after="0" w:line="240" w:lineRule="auto"/>
        <w:ind w:left="709" w:hanging="425"/>
        <w:contextualSpacing/>
        <w:jc w:val="both"/>
        <w:rPr>
          <w:rFonts w:ascii="Arial" w:eastAsia="Calibri" w:hAnsi="Arial" w:cs="Arial"/>
          <w:lang w:val="es-ES"/>
        </w:rPr>
      </w:pPr>
    </w:p>
    <w:p w:rsidR="00FF56F2" w:rsidRPr="00FF56F2" w:rsidRDefault="00FF56F2" w:rsidP="00FF56F2">
      <w:pPr>
        <w:spacing w:after="0" w:line="240" w:lineRule="auto"/>
        <w:ind w:left="709" w:hanging="425"/>
        <w:contextualSpacing/>
        <w:jc w:val="both"/>
        <w:rPr>
          <w:rFonts w:ascii="Arial" w:eastAsia="Calibri" w:hAnsi="Arial" w:cs="Arial"/>
          <w:lang w:val="es-ES"/>
        </w:rPr>
      </w:pPr>
      <w:r w:rsidRPr="00FF56F2">
        <w:rPr>
          <w:rFonts w:ascii="Arial" w:eastAsia="Calibri" w:hAnsi="Arial" w:cs="Arial"/>
          <w:lang w:val="es-ES"/>
        </w:rPr>
        <w:tab/>
        <w:t>En el caso que el solicitante sea el afectatario del predio estatal, debe acreditar que cumplió con la finalidad para la cual le fue afectado el predio.</w:t>
      </w:r>
    </w:p>
    <w:p w:rsidR="00FF56F2" w:rsidRPr="00FF56F2" w:rsidRDefault="00FF56F2" w:rsidP="00FF56F2">
      <w:pPr>
        <w:spacing w:after="0" w:line="240" w:lineRule="auto"/>
        <w:ind w:left="709" w:hanging="425"/>
        <w:contextualSpacing/>
        <w:jc w:val="both"/>
        <w:rPr>
          <w:rFonts w:ascii="Arial" w:eastAsia="Calibri" w:hAnsi="Arial" w:cs="Arial"/>
          <w:lang w:val="es-ES"/>
        </w:rPr>
      </w:pPr>
    </w:p>
    <w:p w:rsidR="006312E8" w:rsidRDefault="00FF56F2" w:rsidP="00FF56F2">
      <w:pPr>
        <w:spacing w:after="0" w:line="240" w:lineRule="auto"/>
        <w:ind w:left="709" w:hanging="425"/>
        <w:contextualSpacing/>
        <w:jc w:val="both"/>
        <w:rPr>
          <w:rFonts w:ascii="Arial" w:eastAsia="Calibri" w:hAnsi="Arial" w:cs="Arial"/>
          <w:lang w:val="es-ES"/>
        </w:rPr>
      </w:pPr>
      <w:r w:rsidRPr="00FF56F2">
        <w:rPr>
          <w:rFonts w:ascii="Arial" w:eastAsia="Calibri" w:hAnsi="Arial" w:cs="Arial"/>
          <w:lang w:val="es-ES"/>
        </w:rPr>
        <w:tab/>
        <w:t>La entidad titular o la SBN si el bien es de titularidad del Estado, a fin de evaluar la procedencia de lo solicitado, podrán exigir los requisitos que a su criterio resulten pertinentes y que se señalan en el numeral 7.1</w:t>
      </w:r>
      <w:r>
        <w:rPr>
          <w:rFonts w:ascii="Arial" w:eastAsia="Calibri" w:hAnsi="Arial" w:cs="Arial"/>
          <w:lang w:val="es-ES"/>
        </w:rPr>
        <w:t>. (*)</w:t>
      </w:r>
    </w:p>
    <w:p w:rsidR="002E2D5C" w:rsidRPr="006312E8" w:rsidRDefault="002E2D5C" w:rsidP="002E2D5C">
      <w:pPr>
        <w:spacing w:after="0" w:line="240" w:lineRule="auto"/>
        <w:ind w:left="709"/>
        <w:contextualSpacing/>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xml:space="preserve">(*) </w:t>
      </w:r>
      <w:r>
        <w:rPr>
          <w:rFonts w:ascii="Arial" w:eastAsia="Calibri" w:hAnsi="Arial" w:cs="Arial"/>
          <w:b/>
          <w:color w:val="FF0000"/>
          <w:sz w:val="16"/>
          <w:szCs w:val="16"/>
          <w:lang w:val="es-ES"/>
        </w:rPr>
        <w:t xml:space="preserve">Artículo modificado por la Resolución N° 086-2016/SBN, publicada el 17-11-2016. </w:t>
      </w:r>
      <w:r w:rsidRPr="006312E8">
        <w:rPr>
          <w:rFonts w:ascii="Arial" w:eastAsia="Calibri" w:hAnsi="Arial" w:cs="Arial"/>
          <w:b/>
          <w:color w:val="FF0000"/>
          <w:sz w:val="16"/>
          <w:szCs w:val="16"/>
          <w:lang w:val="es-ES"/>
        </w:rPr>
        <w:t xml:space="preserve"> </w:t>
      </w:r>
    </w:p>
    <w:p w:rsidR="002E2D5C" w:rsidRPr="006312E8" w:rsidRDefault="002E2D5C" w:rsidP="00FF56F2">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 xml:space="preserve">6.2 </w:t>
      </w:r>
      <w:r w:rsidRPr="006312E8">
        <w:rPr>
          <w:rFonts w:ascii="Arial" w:eastAsia="Calibri" w:hAnsi="Arial" w:cs="Arial"/>
          <w:lang w:val="es-ES"/>
        </w:rPr>
        <w:tab/>
        <w:t>Los servicios públicos que se estén brindando sobre áreas de aporte reglamentario que no concuerden con la finalidad para la cual fueron destinados, podrá regularizarse su condición mediante la reasignación de uso, conforme al artículo 41 del Reglamento.</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 xml:space="preserve">6.3 </w:t>
      </w:r>
      <w:r w:rsidRPr="006312E8">
        <w:rPr>
          <w:rFonts w:ascii="Arial" w:eastAsia="Calibri" w:hAnsi="Arial" w:cs="Arial"/>
          <w:lang w:val="es-ES"/>
        </w:rPr>
        <w:tab/>
        <w:t>En el caso de que el predio solicitado haya sido formalmente declarado como bien de dominio público pero se advierta que ha perdido su naturaleza o condición apropiada para su uso público o para ser destinado a la prestación de servicios públicos, se derivarán los actuados a la unidad o entidad competente para que evalúe y tramite la desafectación administrativa.</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ab/>
        <w:t>En el caso que el pedido haya sido tramitado ante la SBN, la SDDI, luego de la evaluación respectiva, podrá disponer la desafectación administrativa del predio y su transferencia a favor de la entidad solicitante en la misma resolución.</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6.4</w:t>
      </w:r>
      <w:r w:rsidRPr="006312E8">
        <w:rPr>
          <w:rFonts w:ascii="Arial" w:eastAsia="Calibri" w:hAnsi="Arial" w:cs="Arial"/>
          <w:lang w:val="es-ES"/>
        </w:rPr>
        <w:tab/>
        <w:t>Se precisa que los bienes de dominio privado estatal que hayan sido utilizados como sedes institucionales o se le haya dado otros usos públicos, una vez que hayan cesado dichos usos, no se requerirá de una declaración formal de desafectación para ser objeto de transferencia.</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6.5</w:t>
      </w:r>
      <w:r w:rsidRPr="006312E8">
        <w:rPr>
          <w:rFonts w:ascii="Arial" w:eastAsia="Calibri" w:hAnsi="Arial" w:cs="Arial"/>
          <w:lang w:val="es-ES"/>
        </w:rPr>
        <w:tab/>
        <w:t>Cuando el predio se ubica en la denominada zona de dominio restringido y de la documentación presentada se desprende que cumple con los requisitos establecidos para la procedencia de la transferencia, de acuerdo a lo prescrito por la Ley Nº 26856, su Reglamento, aprobado por el Decreto Supremo Nº 050-2006-EF y la presente Directiva, se proseguirá con el trámite respectivo a efectos de su desafectación, cuando la naturaleza del proyecto así lo requiera.</w:t>
      </w:r>
    </w:p>
    <w:p w:rsidR="006312E8" w:rsidRDefault="006312E8" w:rsidP="006312E8">
      <w:pPr>
        <w:spacing w:after="0" w:line="240" w:lineRule="auto"/>
        <w:contextualSpacing/>
        <w:jc w:val="both"/>
        <w:rPr>
          <w:rFonts w:ascii="Arial" w:eastAsia="Calibri" w:hAnsi="Arial" w:cs="Arial"/>
          <w:lang w:val="es-ES"/>
        </w:rPr>
      </w:pPr>
    </w:p>
    <w:p w:rsidR="002E2D5C" w:rsidRDefault="002E2D5C" w:rsidP="006312E8">
      <w:pPr>
        <w:spacing w:after="0" w:line="240" w:lineRule="auto"/>
        <w:contextualSpacing/>
        <w:jc w:val="both"/>
        <w:rPr>
          <w:rFonts w:ascii="Arial" w:eastAsia="Calibri" w:hAnsi="Arial" w:cs="Arial"/>
          <w:lang w:val="es-ES"/>
        </w:rPr>
      </w:pPr>
    </w:p>
    <w:p w:rsidR="002E2D5C" w:rsidRPr="006312E8" w:rsidRDefault="002E2D5C"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VII. DISPOSICIONES ESPECÍFICAS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b/>
          <w:lang w:val="es-ES"/>
        </w:rPr>
      </w:pPr>
      <w:r w:rsidRPr="006312E8">
        <w:rPr>
          <w:rFonts w:ascii="Arial" w:eastAsia="Calibri" w:hAnsi="Arial" w:cs="Arial"/>
          <w:b/>
          <w:lang w:val="es-ES"/>
        </w:rPr>
        <w:t>7.1 Inicio del procedimiento de transferencia interestatal</w:t>
      </w:r>
    </w:p>
    <w:p w:rsidR="006312E8" w:rsidRPr="006312E8" w:rsidRDefault="006312E8" w:rsidP="006312E8">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ab/>
        <w:t>Para el inicio del procedimiento de transferencia el administrado deberá presentar una solicitud escrita, la cual contendrá lo siguiente: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24"/>
        </w:numPr>
        <w:spacing w:after="0" w:line="240" w:lineRule="auto"/>
        <w:contextualSpacing/>
        <w:jc w:val="both"/>
        <w:rPr>
          <w:rFonts w:ascii="Arial" w:eastAsia="Calibri" w:hAnsi="Arial" w:cs="Arial"/>
          <w:lang w:val="es-ES"/>
        </w:rPr>
      </w:pPr>
      <w:r w:rsidRPr="006312E8">
        <w:rPr>
          <w:rFonts w:ascii="Arial" w:eastAsia="Calibri" w:hAnsi="Arial" w:cs="Arial"/>
          <w:lang w:val="es-ES"/>
        </w:rPr>
        <w:t>La indicación de la entidad pública a la cual se dirige.</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92471C">
      <w:pPr>
        <w:numPr>
          <w:ilvl w:val="0"/>
          <w:numId w:val="124"/>
        </w:numPr>
        <w:spacing w:after="0" w:line="240" w:lineRule="auto"/>
        <w:contextualSpacing/>
        <w:jc w:val="both"/>
        <w:rPr>
          <w:rFonts w:ascii="Arial" w:eastAsia="Calibri" w:hAnsi="Arial" w:cs="Arial"/>
          <w:lang w:val="es-ES"/>
        </w:rPr>
      </w:pPr>
      <w:r w:rsidRPr="006312E8">
        <w:rPr>
          <w:rFonts w:ascii="Arial" w:eastAsia="Calibri" w:hAnsi="Arial" w:cs="Arial"/>
          <w:lang w:val="es-ES"/>
        </w:rPr>
        <w:t>La indicación de la entidad pública solicitante, con los nombres y apellidos completos, domicilio y número de Documento Nacional de Identidad de su representante legal.</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0"/>
          <w:numId w:val="124"/>
        </w:numPr>
        <w:spacing w:after="0" w:line="240" w:lineRule="auto"/>
        <w:contextualSpacing/>
        <w:jc w:val="both"/>
        <w:rPr>
          <w:rFonts w:ascii="Arial" w:eastAsia="Calibri" w:hAnsi="Arial" w:cs="Arial"/>
          <w:lang w:val="es-ES"/>
        </w:rPr>
      </w:pPr>
      <w:r w:rsidRPr="006312E8">
        <w:rPr>
          <w:rFonts w:ascii="Arial" w:eastAsia="Calibri" w:hAnsi="Arial" w:cs="Arial"/>
          <w:lang w:val="es-ES"/>
        </w:rPr>
        <w:t>La expresión concreta de lo pedido, indicando el área, ubicación del predio y el uso o finalidad que se otorgará al predio.</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0"/>
          <w:numId w:val="124"/>
        </w:numPr>
        <w:spacing w:after="0" w:line="240" w:lineRule="auto"/>
        <w:contextualSpacing/>
        <w:jc w:val="both"/>
        <w:rPr>
          <w:rFonts w:ascii="Arial" w:eastAsia="Calibri" w:hAnsi="Arial" w:cs="Arial"/>
          <w:lang w:val="es-ES"/>
        </w:rPr>
      </w:pPr>
      <w:r w:rsidRPr="006312E8">
        <w:rPr>
          <w:rFonts w:ascii="Arial" w:eastAsia="Calibri" w:hAnsi="Arial" w:cs="Arial"/>
          <w:lang w:val="es-ES"/>
        </w:rPr>
        <w:t>Lugar, fecha, firma.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0"/>
          <w:numId w:val="124"/>
        </w:numPr>
        <w:spacing w:after="0" w:line="240" w:lineRule="auto"/>
        <w:contextualSpacing/>
        <w:jc w:val="both"/>
        <w:rPr>
          <w:rFonts w:ascii="Arial" w:eastAsia="Calibri" w:hAnsi="Arial" w:cs="Arial"/>
          <w:lang w:val="es-ES"/>
        </w:rPr>
      </w:pPr>
      <w:r w:rsidRPr="006312E8">
        <w:rPr>
          <w:rFonts w:ascii="Arial" w:eastAsia="Calibri" w:hAnsi="Arial" w:cs="Arial"/>
          <w:lang w:val="es-ES"/>
        </w:rPr>
        <w:t>Certificado de Parámetros Urbanísticos y Edificatorios del predio expedido por la municipalidad en donde se encuentra el predio vigente.</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FF56F2" w:rsidP="0092471C">
      <w:pPr>
        <w:numPr>
          <w:ilvl w:val="0"/>
          <w:numId w:val="124"/>
        </w:numPr>
        <w:spacing w:after="0" w:line="240" w:lineRule="auto"/>
        <w:contextualSpacing/>
        <w:jc w:val="both"/>
        <w:rPr>
          <w:rFonts w:ascii="Arial" w:eastAsia="Calibri" w:hAnsi="Arial" w:cs="Arial"/>
          <w:lang w:val="es-ES"/>
        </w:rPr>
      </w:pPr>
      <w:r w:rsidRPr="00FF56F2">
        <w:rPr>
          <w:rFonts w:ascii="Arial" w:eastAsia="Calibri" w:hAnsi="Arial" w:cs="Arial"/>
          <w:lang w:val="es-ES"/>
        </w:rPr>
        <w:t xml:space="preserve">Indicar el número de Partida Registral del Predio cuya transferencia se solicita o adjuntar el Certificado Negativo de Búsqueda Catastral expedido por la SUNARP, en caso el predio no se encuentre inscrito el cual no podrá tener una antigüedad mayor a 15 días contados </w:t>
      </w:r>
      <w:r>
        <w:rPr>
          <w:rFonts w:ascii="Arial" w:eastAsia="Calibri" w:hAnsi="Arial" w:cs="Arial"/>
          <w:lang w:val="es-ES"/>
        </w:rPr>
        <w:t>desde la fecha de su expedición</w:t>
      </w:r>
      <w:r w:rsidR="006312E8" w:rsidRPr="006312E8">
        <w:rPr>
          <w:rFonts w:ascii="Arial" w:eastAsia="Calibri" w:hAnsi="Arial" w:cs="Arial"/>
          <w:lang w:val="es-ES"/>
        </w:rPr>
        <w:t>.</w:t>
      </w:r>
      <w:r>
        <w:rPr>
          <w:rFonts w:ascii="Arial" w:eastAsia="Calibri" w:hAnsi="Arial" w:cs="Arial"/>
          <w:lang w:val="es-ES"/>
        </w:rPr>
        <w:t xml:space="preserve"> (*)</w:t>
      </w:r>
    </w:p>
    <w:p w:rsidR="002E2D5C" w:rsidRPr="002E2D5C" w:rsidRDefault="002E2D5C" w:rsidP="002E2D5C">
      <w:pPr>
        <w:pStyle w:val="Prrafodelista"/>
        <w:spacing w:after="0" w:line="240" w:lineRule="auto"/>
        <w:ind w:left="1065"/>
        <w:jc w:val="both"/>
        <w:rPr>
          <w:rFonts w:ascii="Arial" w:eastAsia="Calibri" w:hAnsi="Arial" w:cs="Arial"/>
          <w:b/>
          <w:color w:val="FF0000"/>
          <w:sz w:val="16"/>
          <w:szCs w:val="16"/>
          <w:lang w:val="es-ES"/>
        </w:rPr>
      </w:pPr>
      <w:r w:rsidRPr="002E2D5C">
        <w:rPr>
          <w:rFonts w:ascii="Arial" w:eastAsia="Calibri" w:hAnsi="Arial" w:cs="Arial"/>
          <w:b/>
          <w:color w:val="FF0000"/>
          <w:sz w:val="16"/>
          <w:szCs w:val="16"/>
          <w:lang w:val="es-ES"/>
        </w:rPr>
        <w:t xml:space="preserve">(*) </w:t>
      </w:r>
      <w:r>
        <w:rPr>
          <w:rFonts w:ascii="Arial" w:eastAsia="Calibri" w:hAnsi="Arial" w:cs="Arial"/>
          <w:b/>
          <w:color w:val="FF0000"/>
          <w:sz w:val="16"/>
          <w:szCs w:val="16"/>
          <w:lang w:val="es-ES"/>
        </w:rPr>
        <w:t xml:space="preserve">Inciso </w:t>
      </w:r>
      <w:r w:rsidRPr="002E2D5C">
        <w:rPr>
          <w:rFonts w:ascii="Arial" w:eastAsia="Calibri" w:hAnsi="Arial" w:cs="Arial"/>
          <w:b/>
          <w:color w:val="FF0000"/>
          <w:sz w:val="16"/>
          <w:szCs w:val="16"/>
          <w:lang w:val="es-ES"/>
        </w:rPr>
        <w:t xml:space="preserve">modificado por la Resolución N° 086-2016/SBN, publicada el 17-11-2016.  </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 xml:space="preserve">En el caso que el área solicitada no guarde identidad con la inscrita en el Registro de Predios o cuando no se encuentre inscrita, el administrado además </w:t>
      </w:r>
      <w:r w:rsidR="00FF56F2">
        <w:rPr>
          <w:rFonts w:ascii="Arial" w:eastAsia="Calibri" w:hAnsi="Arial" w:cs="Arial"/>
          <w:lang w:val="es-ES"/>
        </w:rPr>
        <w:t xml:space="preserve">debe </w:t>
      </w:r>
      <w:r w:rsidRPr="006312E8">
        <w:rPr>
          <w:rFonts w:ascii="Arial" w:eastAsia="Calibri" w:hAnsi="Arial" w:cs="Arial"/>
          <w:lang w:val="es-ES"/>
        </w:rPr>
        <w:t>presentar:</w:t>
      </w:r>
    </w:p>
    <w:p w:rsidR="00FF56F2" w:rsidRDefault="00FF56F2" w:rsidP="00FF56F2">
      <w:pPr>
        <w:pStyle w:val="Prrafodelista"/>
        <w:spacing w:after="0" w:line="240" w:lineRule="auto"/>
        <w:ind w:left="1065"/>
        <w:jc w:val="both"/>
        <w:rPr>
          <w:rFonts w:ascii="Arial" w:eastAsia="Calibri" w:hAnsi="Arial" w:cs="Arial"/>
          <w:lang w:val="es-ES"/>
        </w:rPr>
      </w:pPr>
    </w:p>
    <w:p w:rsidR="006312E8" w:rsidRPr="00FF56F2" w:rsidRDefault="00FF56F2" w:rsidP="0092471C">
      <w:pPr>
        <w:pStyle w:val="Prrafodelista"/>
        <w:numPr>
          <w:ilvl w:val="0"/>
          <w:numId w:val="124"/>
        </w:numPr>
        <w:spacing w:after="0" w:line="240" w:lineRule="auto"/>
        <w:jc w:val="both"/>
        <w:rPr>
          <w:rFonts w:ascii="Arial" w:eastAsia="Calibri" w:hAnsi="Arial" w:cs="Arial"/>
          <w:lang w:val="es-ES"/>
        </w:rPr>
      </w:pPr>
      <w:r w:rsidRPr="00FF56F2">
        <w:rPr>
          <w:rFonts w:ascii="Arial" w:eastAsia="Calibri" w:hAnsi="Arial" w:cs="Arial"/>
          <w:lang w:val="es-ES"/>
        </w:rPr>
        <w:t>Plano perimétrico - ubicación georreferenciado a la Red Geodésica Oficial, en coordenadas UTM, a escala apropiada, indicando su zona geográfica y en Datum WGS84, autorizado por ingeniero o arquitecto colegiado</w:t>
      </w:r>
      <w:r>
        <w:rPr>
          <w:rFonts w:ascii="Arial" w:eastAsia="Calibri" w:hAnsi="Arial" w:cs="Arial"/>
          <w:lang w:val="es-ES"/>
        </w:rPr>
        <w:t>. (*)</w:t>
      </w:r>
    </w:p>
    <w:p w:rsidR="002E2D5C" w:rsidRPr="002E2D5C" w:rsidRDefault="002E2D5C" w:rsidP="002E2D5C">
      <w:pPr>
        <w:pStyle w:val="Prrafodelista"/>
        <w:spacing w:after="0" w:line="240" w:lineRule="auto"/>
        <w:ind w:left="1065"/>
        <w:jc w:val="both"/>
        <w:rPr>
          <w:rFonts w:ascii="Arial" w:eastAsia="Calibri" w:hAnsi="Arial" w:cs="Arial"/>
          <w:b/>
          <w:color w:val="FF0000"/>
          <w:sz w:val="16"/>
          <w:szCs w:val="16"/>
          <w:lang w:val="es-ES"/>
        </w:rPr>
      </w:pPr>
      <w:r w:rsidRPr="002E2D5C">
        <w:rPr>
          <w:rFonts w:ascii="Arial" w:eastAsia="Calibri" w:hAnsi="Arial" w:cs="Arial"/>
          <w:b/>
          <w:color w:val="FF0000"/>
          <w:sz w:val="16"/>
          <w:szCs w:val="16"/>
          <w:lang w:val="es-ES"/>
        </w:rPr>
        <w:t xml:space="preserve">(*) </w:t>
      </w:r>
      <w:r>
        <w:rPr>
          <w:rFonts w:ascii="Arial" w:eastAsia="Calibri" w:hAnsi="Arial" w:cs="Arial"/>
          <w:b/>
          <w:color w:val="FF0000"/>
          <w:sz w:val="16"/>
          <w:szCs w:val="16"/>
          <w:lang w:val="es-ES"/>
        </w:rPr>
        <w:t>Inciso</w:t>
      </w:r>
      <w:r w:rsidRPr="002E2D5C">
        <w:rPr>
          <w:rFonts w:ascii="Arial" w:eastAsia="Calibri" w:hAnsi="Arial" w:cs="Arial"/>
          <w:b/>
          <w:color w:val="FF0000"/>
          <w:sz w:val="16"/>
          <w:szCs w:val="16"/>
          <w:lang w:val="es-ES"/>
        </w:rPr>
        <w:t xml:space="preserve"> modificado por la Resolución N° 086-2016/SBN, publicada el 17-11-2016.  </w:t>
      </w:r>
    </w:p>
    <w:p w:rsidR="00FF56F2" w:rsidRDefault="00FF56F2" w:rsidP="00FF56F2">
      <w:pPr>
        <w:spacing w:after="0" w:line="240" w:lineRule="auto"/>
        <w:ind w:left="1065"/>
        <w:contextualSpacing/>
        <w:jc w:val="both"/>
        <w:rPr>
          <w:rFonts w:ascii="Arial" w:eastAsia="Calibri" w:hAnsi="Arial" w:cs="Arial"/>
          <w:lang w:val="es-ES"/>
        </w:rPr>
      </w:pPr>
    </w:p>
    <w:p w:rsidR="006312E8" w:rsidRPr="006312E8" w:rsidRDefault="006312E8" w:rsidP="0092471C">
      <w:pPr>
        <w:numPr>
          <w:ilvl w:val="0"/>
          <w:numId w:val="124"/>
        </w:numPr>
        <w:spacing w:after="0" w:line="240" w:lineRule="auto"/>
        <w:contextualSpacing/>
        <w:jc w:val="both"/>
        <w:rPr>
          <w:rFonts w:ascii="Arial" w:eastAsia="Calibri" w:hAnsi="Arial" w:cs="Arial"/>
          <w:lang w:val="es-ES"/>
        </w:rPr>
      </w:pPr>
      <w:r w:rsidRPr="006312E8">
        <w:rPr>
          <w:rFonts w:ascii="Arial" w:eastAsia="Calibri" w:hAnsi="Arial" w:cs="Arial"/>
          <w:lang w:val="es-ES"/>
        </w:rPr>
        <w:t>Plano de ubicación del predio.</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0"/>
          <w:numId w:val="124"/>
        </w:numPr>
        <w:spacing w:after="0" w:line="240" w:lineRule="auto"/>
        <w:contextualSpacing/>
        <w:jc w:val="both"/>
        <w:rPr>
          <w:rFonts w:ascii="Arial" w:eastAsia="Calibri" w:hAnsi="Arial" w:cs="Arial"/>
          <w:lang w:val="es-ES"/>
        </w:rPr>
      </w:pPr>
      <w:r w:rsidRPr="006312E8">
        <w:rPr>
          <w:rFonts w:ascii="Arial" w:eastAsia="Calibri" w:hAnsi="Arial" w:cs="Arial"/>
          <w:lang w:val="es-ES"/>
        </w:rPr>
        <w:t>Memoria descriptiva indicando la ubicación, el área, los linderos, las medidas perimétricas y la zonificación (con los nombres de los colindantes, si los hubiere) autorizado por ingeniero o arquitecto colegiado.</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6312E8">
      <w:p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Asimismo, dependiendo del tipo de transferencia solicitada se deberá acompañar adicionalmente, los documentos siguientes:</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92471C">
      <w:pPr>
        <w:numPr>
          <w:ilvl w:val="0"/>
          <w:numId w:val="124"/>
        </w:numPr>
        <w:spacing w:after="0" w:line="240" w:lineRule="auto"/>
        <w:contextualSpacing/>
        <w:jc w:val="both"/>
        <w:rPr>
          <w:rFonts w:ascii="Arial" w:eastAsia="Calibri" w:hAnsi="Arial" w:cs="Arial"/>
          <w:lang w:val="es-ES"/>
        </w:rPr>
      </w:pPr>
      <w:r w:rsidRPr="006312E8">
        <w:rPr>
          <w:rFonts w:ascii="Arial" w:eastAsia="Calibri" w:hAnsi="Arial" w:cs="Arial"/>
          <w:lang w:val="es-ES"/>
        </w:rPr>
        <w:t>Para la transferencia a título gratuito entre entidades estatales:</w:t>
      </w:r>
    </w:p>
    <w:p w:rsidR="006312E8" w:rsidRPr="006312E8" w:rsidRDefault="006312E8" w:rsidP="006312E8">
      <w:pPr>
        <w:spacing w:after="0" w:line="240" w:lineRule="auto"/>
        <w:ind w:left="1701" w:hanging="567"/>
        <w:contextualSpacing/>
        <w:jc w:val="both"/>
        <w:rPr>
          <w:rFonts w:ascii="Arial" w:eastAsia="Calibri" w:hAnsi="Arial" w:cs="Arial"/>
          <w:lang w:val="es-ES"/>
        </w:rPr>
      </w:pPr>
      <w:r w:rsidRPr="006312E8">
        <w:rPr>
          <w:rFonts w:ascii="Arial" w:eastAsia="Calibri" w:hAnsi="Arial" w:cs="Arial"/>
          <w:lang w:val="es-ES"/>
        </w:rPr>
        <w:t xml:space="preserve">(1) </w:t>
      </w:r>
      <w:r w:rsidRPr="006312E8">
        <w:rPr>
          <w:rFonts w:ascii="Arial" w:eastAsia="Calibri" w:hAnsi="Arial" w:cs="Arial"/>
          <w:lang w:val="es-ES"/>
        </w:rPr>
        <w:tab/>
        <w:t>El programa o proyecto de desarrollo o inversión con los respectivos planes y estudios técnico-legales para su ejecución, establecidos de conformidad con sus respectivas competencias, que contenga: denominación, descripción, finalidad, objetivo, alcances del programa o proyecto, indicación del financiamiento, así como cronograma de la ejecución de la obra, estableciendo el plazo para su conclusión. El financiamiento deberá ser acreditado con documento expedido por el órgano competente; o,</w:t>
      </w:r>
    </w:p>
    <w:p w:rsidR="006312E8" w:rsidRPr="006312E8" w:rsidRDefault="006312E8" w:rsidP="006312E8">
      <w:pPr>
        <w:spacing w:after="0" w:line="240" w:lineRule="auto"/>
        <w:ind w:left="1701" w:hanging="567"/>
        <w:contextualSpacing/>
        <w:jc w:val="both"/>
        <w:rPr>
          <w:rFonts w:ascii="Arial" w:eastAsia="Calibri" w:hAnsi="Arial" w:cs="Arial"/>
          <w:lang w:val="es-ES"/>
        </w:rPr>
      </w:pPr>
    </w:p>
    <w:p w:rsidR="006312E8" w:rsidRPr="006312E8" w:rsidRDefault="006312E8" w:rsidP="006312E8">
      <w:pPr>
        <w:spacing w:after="0" w:line="240" w:lineRule="auto"/>
        <w:ind w:left="1701" w:hanging="567"/>
        <w:contextualSpacing/>
        <w:jc w:val="both"/>
        <w:rPr>
          <w:rFonts w:ascii="Arial" w:eastAsia="Calibri" w:hAnsi="Arial" w:cs="Arial"/>
          <w:lang w:val="es-ES"/>
        </w:rPr>
      </w:pPr>
      <w:r w:rsidRPr="006312E8">
        <w:rPr>
          <w:rFonts w:ascii="Arial" w:eastAsia="Calibri" w:hAnsi="Arial" w:cs="Arial"/>
          <w:lang w:val="es-ES"/>
        </w:rPr>
        <w:tab/>
        <w:t>El plan conceptual o idea de proyecto conteniendo: alcance, cronograma preliminar, presupuesto estimado y número aproximado de beneficiarios, debidamente visado o aprobado por el área competente de la entidad solicitante.</w:t>
      </w:r>
    </w:p>
    <w:p w:rsidR="006312E8" w:rsidRPr="006312E8" w:rsidRDefault="006312E8" w:rsidP="006312E8">
      <w:pPr>
        <w:spacing w:after="0" w:line="240" w:lineRule="auto"/>
        <w:ind w:left="1701" w:hanging="567"/>
        <w:contextualSpacing/>
        <w:jc w:val="both"/>
        <w:rPr>
          <w:rFonts w:ascii="Arial" w:eastAsia="Calibri" w:hAnsi="Arial" w:cs="Arial"/>
          <w:lang w:val="es-ES"/>
        </w:rPr>
      </w:pPr>
    </w:p>
    <w:p w:rsidR="006312E8" w:rsidRPr="006312E8" w:rsidRDefault="006312E8" w:rsidP="006312E8">
      <w:pPr>
        <w:spacing w:after="0" w:line="240" w:lineRule="auto"/>
        <w:ind w:left="1701" w:hanging="567"/>
        <w:contextualSpacing/>
        <w:jc w:val="both"/>
        <w:rPr>
          <w:rFonts w:ascii="Arial" w:eastAsia="Calibri" w:hAnsi="Arial" w:cs="Arial"/>
          <w:lang w:val="es-ES"/>
        </w:rPr>
      </w:pPr>
      <w:r w:rsidRPr="006312E8">
        <w:rPr>
          <w:rFonts w:ascii="Arial" w:eastAsia="Calibri" w:hAnsi="Arial" w:cs="Arial"/>
          <w:lang w:val="es-ES"/>
        </w:rPr>
        <w:t xml:space="preserve">(2) </w:t>
      </w:r>
      <w:r w:rsidRPr="006312E8">
        <w:rPr>
          <w:rFonts w:ascii="Arial" w:eastAsia="Calibri" w:hAnsi="Arial" w:cs="Arial"/>
          <w:lang w:val="es-ES"/>
        </w:rPr>
        <w:tab/>
        <w:t>La indicación si la ejecución del programa o proyecto de desarrollo o inversión será por cuenta propia o de terceros.</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92471C">
      <w:pPr>
        <w:numPr>
          <w:ilvl w:val="0"/>
          <w:numId w:val="124"/>
        </w:numPr>
        <w:spacing w:after="0" w:line="240" w:lineRule="auto"/>
        <w:contextualSpacing/>
        <w:jc w:val="both"/>
        <w:rPr>
          <w:rFonts w:ascii="Arial" w:eastAsia="Calibri" w:hAnsi="Arial" w:cs="Arial"/>
          <w:lang w:val="es-ES"/>
        </w:rPr>
      </w:pPr>
      <w:r w:rsidRPr="006312E8">
        <w:rPr>
          <w:rFonts w:ascii="Arial" w:eastAsia="Calibri" w:hAnsi="Arial" w:cs="Arial"/>
          <w:lang w:val="es-ES"/>
        </w:rPr>
        <w:t>En caso de transferencias a título oneroso entre entidades estatales:</w:t>
      </w:r>
    </w:p>
    <w:p w:rsidR="006312E8" w:rsidRPr="006312E8" w:rsidRDefault="006312E8" w:rsidP="006312E8">
      <w:pPr>
        <w:spacing w:after="0" w:line="240" w:lineRule="auto"/>
        <w:ind w:left="1065"/>
        <w:contextualSpacing/>
        <w:jc w:val="both"/>
        <w:rPr>
          <w:rFonts w:ascii="Arial" w:eastAsia="Calibri" w:hAnsi="Arial" w:cs="Arial"/>
          <w:lang w:val="es-ES"/>
        </w:rPr>
      </w:pPr>
    </w:p>
    <w:p w:rsidR="00FF56F2" w:rsidRDefault="00FF56F2" w:rsidP="00FF56F2">
      <w:pPr>
        <w:spacing w:after="0" w:line="240" w:lineRule="auto"/>
        <w:ind w:left="1560" w:hanging="426"/>
        <w:contextualSpacing/>
        <w:jc w:val="both"/>
        <w:rPr>
          <w:rFonts w:ascii="Arial" w:eastAsia="Calibri" w:hAnsi="Arial" w:cs="Arial"/>
          <w:lang w:val="es-ES"/>
        </w:rPr>
      </w:pPr>
      <w:r w:rsidRPr="00FF56F2">
        <w:rPr>
          <w:rFonts w:ascii="Arial" w:eastAsia="Calibri" w:hAnsi="Arial" w:cs="Arial"/>
          <w:lang w:val="es-ES"/>
        </w:rPr>
        <w:t xml:space="preserve">(1) </w:t>
      </w:r>
      <w:r>
        <w:rPr>
          <w:rFonts w:ascii="Arial" w:eastAsia="Calibri" w:hAnsi="Arial" w:cs="Arial"/>
          <w:lang w:val="es-ES"/>
        </w:rPr>
        <w:tab/>
      </w:r>
      <w:r w:rsidRPr="00FF56F2">
        <w:rPr>
          <w:rFonts w:ascii="Arial" w:eastAsia="Calibri" w:hAnsi="Arial" w:cs="Arial"/>
          <w:lang w:val="es-ES"/>
        </w:rPr>
        <w:t>La tasación del predio, elaborada conforme al Reglamento Nacional de Tasaciones del Perú.</w:t>
      </w:r>
    </w:p>
    <w:p w:rsidR="00FF56F2" w:rsidRPr="00FF56F2" w:rsidRDefault="00FF56F2" w:rsidP="00FF56F2">
      <w:pPr>
        <w:spacing w:after="0" w:line="240" w:lineRule="auto"/>
        <w:ind w:left="1560" w:hanging="426"/>
        <w:contextualSpacing/>
        <w:jc w:val="both"/>
        <w:rPr>
          <w:rFonts w:ascii="Arial" w:eastAsia="Calibri" w:hAnsi="Arial" w:cs="Arial"/>
          <w:lang w:val="es-ES"/>
        </w:rPr>
      </w:pPr>
    </w:p>
    <w:p w:rsidR="00FF56F2" w:rsidRPr="00FF56F2" w:rsidRDefault="00FF56F2" w:rsidP="00FF56F2">
      <w:pPr>
        <w:spacing w:after="0" w:line="240" w:lineRule="auto"/>
        <w:ind w:left="1560" w:hanging="426"/>
        <w:contextualSpacing/>
        <w:jc w:val="both"/>
        <w:rPr>
          <w:rFonts w:ascii="Arial" w:eastAsia="Calibri" w:hAnsi="Arial" w:cs="Arial"/>
          <w:lang w:val="es-ES"/>
        </w:rPr>
      </w:pPr>
      <w:r w:rsidRPr="00FF56F2">
        <w:rPr>
          <w:rFonts w:ascii="Arial" w:eastAsia="Calibri" w:hAnsi="Arial" w:cs="Arial"/>
          <w:lang w:val="es-ES"/>
        </w:rPr>
        <w:t>(2) La conformidad del procedimiento y estudio de mercado de la tasación, debidamente visada por la entidad solicitante.</w:t>
      </w:r>
    </w:p>
    <w:p w:rsidR="00FF56F2" w:rsidRPr="00FF56F2" w:rsidRDefault="00FF56F2" w:rsidP="00FF56F2">
      <w:pPr>
        <w:spacing w:after="0" w:line="240" w:lineRule="auto"/>
        <w:ind w:left="1560" w:hanging="426"/>
        <w:contextualSpacing/>
        <w:jc w:val="both"/>
        <w:rPr>
          <w:rFonts w:ascii="Arial" w:eastAsia="Calibri" w:hAnsi="Arial" w:cs="Arial"/>
          <w:lang w:val="es-ES"/>
        </w:rPr>
      </w:pPr>
    </w:p>
    <w:p w:rsidR="006312E8" w:rsidRPr="006312E8" w:rsidRDefault="00FF56F2" w:rsidP="00FF56F2">
      <w:pPr>
        <w:spacing w:after="0" w:line="240" w:lineRule="auto"/>
        <w:ind w:left="1560" w:hanging="426"/>
        <w:contextualSpacing/>
        <w:jc w:val="both"/>
        <w:rPr>
          <w:rFonts w:ascii="Arial" w:eastAsia="Calibri" w:hAnsi="Arial" w:cs="Arial"/>
          <w:lang w:val="es-ES"/>
        </w:rPr>
      </w:pPr>
      <w:r w:rsidRPr="00FF56F2">
        <w:rPr>
          <w:rFonts w:ascii="Arial" w:eastAsia="Calibri" w:hAnsi="Arial" w:cs="Arial"/>
          <w:lang w:val="es-ES"/>
        </w:rPr>
        <w:t xml:space="preserve">(3) </w:t>
      </w:r>
      <w:r>
        <w:rPr>
          <w:rFonts w:ascii="Arial" w:eastAsia="Calibri" w:hAnsi="Arial" w:cs="Arial"/>
          <w:lang w:val="es-ES"/>
        </w:rPr>
        <w:tab/>
      </w:r>
      <w:r w:rsidRPr="00FF56F2">
        <w:rPr>
          <w:rFonts w:ascii="Arial" w:eastAsia="Calibri" w:hAnsi="Arial" w:cs="Arial"/>
          <w:lang w:val="es-ES"/>
        </w:rPr>
        <w:t>De ser el caso y la transferencia se requiera para el cumplimiento de una finalidad, se adjuntarán además los requisitos contemplados en el literal j).</w:t>
      </w:r>
      <w:r>
        <w:rPr>
          <w:rFonts w:ascii="Arial" w:eastAsia="Calibri" w:hAnsi="Arial" w:cs="Arial"/>
          <w:lang w:val="es-ES"/>
        </w:rPr>
        <w:t xml:space="preserve"> (*)</w:t>
      </w:r>
    </w:p>
    <w:p w:rsidR="002E2D5C" w:rsidRPr="006312E8" w:rsidRDefault="002E2D5C" w:rsidP="002E2D5C">
      <w:pPr>
        <w:spacing w:after="0" w:line="240" w:lineRule="auto"/>
        <w:ind w:left="709"/>
        <w:contextualSpacing/>
        <w:jc w:val="both"/>
        <w:rPr>
          <w:rFonts w:ascii="Arial" w:eastAsia="Calibri" w:hAnsi="Arial" w:cs="Arial"/>
          <w:b/>
          <w:color w:val="FF0000"/>
          <w:sz w:val="16"/>
          <w:szCs w:val="16"/>
          <w:lang w:val="es-ES"/>
        </w:rPr>
      </w:pPr>
      <w:r>
        <w:rPr>
          <w:rFonts w:ascii="Arial" w:eastAsia="Calibri" w:hAnsi="Arial" w:cs="Arial"/>
          <w:b/>
          <w:color w:val="FF0000"/>
          <w:sz w:val="16"/>
          <w:szCs w:val="16"/>
          <w:lang w:val="es-ES"/>
        </w:rPr>
        <w:t xml:space="preserve">                   (*) Inciso modificado por la Resolución N° 086-2016/SBN, publicada el 17-11-2016. </w:t>
      </w:r>
      <w:r w:rsidRPr="006312E8">
        <w:rPr>
          <w:rFonts w:ascii="Arial" w:eastAsia="Calibri" w:hAnsi="Arial" w:cs="Arial"/>
          <w:b/>
          <w:color w:val="FF0000"/>
          <w:sz w:val="16"/>
          <w:szCs w:val="16"/>
          <w:lang w:val="es-ES"/>
        </w:rPr>
        <w:t xml:space="preserve"> </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92471C">
      <w:pPr>
        <w:numPr>
          <w:ilvl w:val="0"/>
          <w:numId w:val="124"/>
        </w:numPr>
        <w:spacing w:after="0" w:line="240" w:lineRule="auto"/>
        <w:contextualSpacing/>
        <w:jc w:val="both"/>
        <w:rPr>
          <w:rFonts w:ascii="Arial" w:eastAsia="Calibri" w:hAnsi="Arial" w:cs="Arial"/>
          <w:lang w:val="es-ES"/>
        </w:rPr>
      </w:pPr>
      <w:r w:rsidRPr="006312E8">
        <w:rPr>
          <w:rFonts w:ascii="Arial" w:eastAsia="Calibri" w:hAnsi="Arial" w:cs="Arial"/>
          <w:lang w:val="es-ES"/>
        </w:rPr>
        <w:t>Para la transferencia a favor de los Gobiernos Regionales y/o Gobiernos Locales:</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6312E8">
      <w:pPr>
        <w:spacing w:after="0" w:line="240" w:lineRule="auto"/>
        <w:ind w:left="1701" w:hanging="567"/>
        <w:contextualSpacing/>
        <w:jc w:val="both"/>
        <w:rPr>
          <w:rFonts w:ascii="Arial" w:eastAsia="Calibri" w:hAnsi="Arial" w:cs="Arial"/>
          <w:lang w:val="es-ES"/>
        </w:rPr>
      </w:pPr>
      <w:r w:rsidRPr="006312E8">
        <w:rPr>
          <w:rFonts w:ascii="Arial" w:eastAsia="Calibri" w:hAnsi="Arial" w:cs="Arial"/>
          <w:lang w:val="es-ES"/>
        </w:rPr>
        <w:t xml:space="preserve">(1) </w:t>
      </w:r>
      <w:r w:rsidRPr="006312E8">
        <w:rPr>
          <w:rFonts w:ascii="Arial" w:eastAsia="Calibri" w:hAnsi="Arial" w:cs="Arial"/>
          <w:lang w:val="es-ES"/>
        </w:rPr>
        <w:tab/>
        <w:t>El Acuerdo de Concejo aprobando el pedido de transferencia del predio.</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92471C">
      <w:pPr>
        <w:numPr>
          <w:ilvl w:val="0"/>
          <w:numId w:val="124"/>
        </w:numPr>
        <w:spacing w:after="0" w:line="240" w:lineRule="auto"/>
        <w:contextualSpacing/>
        <w:jc w:val="both"/>
        <w:rPr>
          <w:rFonts w:ascii="Arial" w:eastAsia="Calibri" w:hAnsi="Arial" w:cs="Arial"/>
          <w:lang w:val="es-ES"/>
        </w:rPr>
      </w:pPr>
      <w:r w:rsidRPr="006312E8">
        <w:rPr>
          <w:rFonts w:ascii="Arial" w:eastAsia="Calibri" w:hAnsi="Arial" w:cs="Arial"/>
          <w:lang w:val="es-ES"/>
        </w:rPr>
        <w:t>Para la transferencia a favor de las Empresas que se encuentran bajo el ámbito del FONAFE:</w:t>
      </w:r>
    </w:p>
    <w:p w:rsidR="006312E8" w:rsidRPr="006312E8" w:rsidRDefault="006312E8" w:rsidP="006312E8">
      <w:pPr>
        <w:spacing w:after="0" w:line="240" w:lineRule="auto"/>
        <w:ind w:left="1065"/>
        <w:contextualSpacing/>
        <w:jc w:val="both"/>
        <w:rPr>
          <w:rFonts w:ascii="Arial" w:eastAsia="Calibri" w:hAnsi="Arial" w:cs="Arial"/>
          <w:lang w:val="es-ES"/>
        </w:rPr>
      </w:pPr>
    </w:p>
    <w:p w:rsidR="00FF56F2" w:rsidRPr="00FF56F2" w:rsidRDefault="00FF56F2" w:rsidP="00FF56F2">
      <w:pPr>
        <w:spacing w:after="0" w:line="240" w:lineRule="auto"/>
        <w:ind w:left="1701" w:hanging="567"/>
        <w:contextualSpacing/>
        <w:jc w:val="both"/>
        <w:rPr>
          <w:rFonts w:ascii="Arial" w:eastAsia="Calibri" w:hAnsi="Arial" w:cs="Arial"/>
          <w:lang w:val="es-ES"/>
        </w:rPr>
      </w:pPr>
      <w:r w:rsidRPr="00FF56F2">
        <w:rPr>
          <w:rFonts w:ascii="Arial" w:eastAsia="Calibri" w:hAnsi="Arial" w:cs="Arial"/>
          <w:lang w:val="es-ES"/>
        </w:rPr>
        <w:t xml:space="preserve">(1) </w:t>
      </w:r>
      <w:r>
        <w:rPr>
          <w:rFonts w:ascii="Arial" w:eastAsia="Calibri" w:hAnsi="Arial" w:cs="Arial"/>
          <w:lang w:val="es-ES"/>
        </w:rPr>
        <w:tab/>
      </w:r>
      <w:r w:rsidRPr="00FF56F2">
        <w:rPr>
          <w:rFonts w:ascii="Arial" w:eastAsia="Calibri" w:hAnsi="Arial" w:cs="Arial"/>
          <w:lang w:val="es-ES"/>
        </w:rPr>
        <w:t>El Acuerdo de Directorio de la empresa solicitante, aprobando el pedido de transferencia del predio.</w:t>
      </w:r>
    </w:p>
    <w:p w:rsidR="00FF56F2" w:rsidRPr="00FF56F2" w:rsidRDefault="00FF56F2" w:rsidP="00FF56F2">
      <w:pPr>
        <w:spacing w:after="0" w:line="240" w:lineRule="auto"/>
        <w:ind w:left="1701" w:hanging="567"/>
        <w:contextualSpacing/>
        <w:jc w:val="both"/>
        <w:rPr>
          <w:rFonts w:ascii="Arial" w:eastAsia="Calibri" w:hAnsi="Arial" w:cs="Arial"/>
          <w:lang w:val="es-ES"/>
        </w:rPr>
      </w:pPr>
    </w:p>
    <w:p w:rsidR="00FF56F2" w:rsidRPr="00FF56F2" w:rsidRDefault="00FF56F2" w:rsidP="00FF56F2">
      <w:pPr>
        <w:spacing w:after="0" w:line="240" w:lineRule="auto"/>
        <w:ind w:left="1701" w:hanging="567"/>
        <w:contextualSpacing/>
        <w:jc w:val="both"/>
        <w:rPr>
          <w:rFonts w:ascii="Arial" w:eastAsia="Calibri" w:hAnsi="Arial" w:cs="Arial"/>
          <w:lang w:val="es-ES"/>
        </w:rPr>
      </w:pPr>
      <w:r w:rsidRPr="00FF56F2">
        <w:rPr>
          <w:rFonts w:ascii="Arial" w:eastAsia="Calibri" w:hAnsi="Arial" w:cs="Arial"/>
          <w:lang w:val="es-ES"/>
        </w:rPr>
        <w:t xml:space="preserve">(2) </w:t>
      </w:r>
      <w:r>
        <w:rPr>
          <w:rFonts w:ascii="Arial" w:eastAsia="Calibri" w:hAnsi="Arial" w:cs="Arial"/>
          <w:lang w:val="es-ES"/>
        </w:rPr>
        <w:tab/>
      </w:r>
      <w:r w:rsidRPr="00FF56F2">
        <w:rPr>
          <w:rFonts w:ascii="Arial" w:eastAsia="Calibri" w:hAnsi="Arial" w:cs="Arial"/>
          <w:lang w:val="es-ES"/>
        </w:rPr>
        <w:t>El Acuerdo de Directorio del FONAFE aprobando el pedido de transferencia del predio, si la solicitud de transferencia es como aporte de capital.</w:t>
      </w:r>
    </w:p>
    <w:p w:rsidR="00FF56F2" w:rsidRPr="00FF56F2" w:rsidRDefault="00FF56F2" w:rsidP="00FF56F2">
      <w:pPr>
        <w:spacing w:after="0" w:line="240" w:lineRule="auto"/>
        <w:ind w:left="1701" w:hanging="567"/>
        <w:contextualSpacing/>
        <w:jc w:val="both"/>
        <w:rPr>
          <w:rFonts w:ascii="Arial" w:eastAsia="Calibri" w:hAnsi="Arial" w:cs="Arial"/>
          <w:lang w:val="es-ES"/>
        </w:rPr>
      </w:pPr>
    </w:p>
    <w:p w:rsidR="00FF56F2" w:rsidRPr="00FF56F2" w:rsidRDefault="00FF56F2" w:rsidP="00FF56F2">
      <w:pPr>
        <w:spacing w:after="0" w:line="240" w:lineRule="auto"/>
        <w:ind w:left="1701" w:hanging="567"/>
        <w:contextualSpacing/>
        <w:jc w:val="both"/>
        <w:rPr>
          <w:rFonts w:ascii="Arial" w:eastAsia="Calibri" w:hAnsi="Arial" w:cs="Arial"/>
          <w:lang w:val="es-ES"/>
        </w:rPr>
      </w:pPr>
      <w:r w:rsidRPr="00FF56F2">
        <w:rPr>
          <w:rFonts w:ascii="Arial" w:eastAsia="Calibri" w:hAnsi="Arial" w:cs="Arial"/>
          <w:lang w:val="es-ES"/>
        </w:rPr>
        <w:t xml:space="preserve">(3) </w:t>
      </w:r>
      <w:r>
        <w:rPr>
          <w:rFonts w:ascii="Arial" w:eastAsia="Calibri" w:hAnsi="Arial" w:cs="Arial"/>
          <w:lang w:val="es-ES"/>
        </w:rPr>
        <w:tab/>
      </w:r>
      <w:r w:rsidRPr="00FF56F2">
        <w:rPr>
          <w:rFonts w:ascii="Arial" w:eastAsia="Calibri" w:hAnsi="Arial" w:cs="Arial"/>
          <w:lang w:val="es-ES"/>
        </w:rPr>
        <w:t>El informe y los documentos que sustenten que la finalidad a la cual será destinado el predio es de interés general o social, en caso que el pedido de transferencia sea a título gratuito.</w:t>
      </w:r>
    </w:p>
    <w:p w:rsidR="00FF56F2" w:rsidRPr="00FF56F2" w:rsidRDefault="00FF56F2" w:rsidP="00FF56F2">
      <w:pPr>
        <w:spacing w:after="0" w:line="240" w:lineRule="auto"/>
        <w:ind w:left="1065"/>
        <w:contextualSpacing/>
        <w:jc w:val="both"/>
        <w:rPr>
          <w:rFonts w:ascii="Arial" w:eastAsia="Calibri" w:hAnsi="Arial" w:cs="Arial"/>
          <w:lang w:val="es-ES"/>
        </w:rPr>
      </w:pPr>
    </w:p>
    <w:p w:rsidR="006312E8" w:rsidRDefault="00FF56F2" w:rsidP="0017755E">
      <w:pPr>
        <w:spacing w:after="0" w:line="240" w:lineRule="auto"/>
        <w:ind w:left="1701" w:hanging="567"/>
        <w:contextualSpacing/>
        <w:jc w:val="both"/>
        <w:rPr>
          <w:rFonts w:ascii="Arial" w:eastAsia="Calibri" w:hAnsi="Arial" w:cs="Arial"/>
          <w:lang w:val="es-ES"/>
        </w:rPr>
      </w:pPr>
      <w:r w:rsidRPr="00FF56F2">
        <w:rPr>
          <w:rFonts w:ascii="Arial" w:eastAsia="Calibri" w:hAnsi="Arial" w:cs="Arial"/>
          <w:lang w:val="es-ES"/>
        </w:rPr>
        <w:t xml:space="preserve">(4) </w:t>
      </w:r>
      <w:r w:rsidR="0017755E">
        <w:rPr>
          <w:rFonts w:ascii="Arial" w:eastAsia="Calibri" w:hAnsi="Arial" w:cs="Arial"/>
          <w:lang w:val="es-ES"/>
        </w:rPr>
        <w:tab/>
      </w:r>
      <w:r w:rsidRPr="00FF56F2">
        <w:rPr>
          <w:rFonts w:ascii="Arial" w:eastAsia="Calibri" w:hAnsi="Arial" w:cs="Arial"/>
          <w:lang w:val="es-ES"/>
        </w:rPr>
        <w:t>Si la transferencia de dominio se requiere para el cumplimiento de una finalidad, se adjuntarán además los requisitos contemplados en el literal j).</w:t>
      </w:r>
      <w:r w:rsidR="0017755E">
        <w:rPr>
          <w:rFonts w:ascii="Arial" w:eastAsia="Calibri" w:hAnsi="Arial" w:cs="Arial"/>
          <w:lang w:val="es-ES"/>
        </w:rPr>
        <w:t xml:space="preserve"> (*)</w:t>
      </w:r>
    </w:p>
    <w:p w:rsidR="002E2D5C" w:rsidRPr="006312E8" w:rsidRDefault="002E2D5C" w:rsidP="002E2D5C">
      <w:pPr>
        <w:spacing w:after="0" w:line="240" w:lineRule="auto"/>
        <w:ind w:left="709"/>
        <w:contextualSpacing/>
        <w:jc w:val="both"/>
        <w:rPr>
          <w:rFonts w:ascii="Arial" w:eastAsia="Calibri" w:hAnsi="Arial" w:cs="Arial"/>
          <w:b/>
          <w:color w:val="FF0000"/>
          <w:sz w:val="16"/>
          <w:szCs w:val="16"/>
          <w:lang w:val="es-ES"/>
        </w:rPr>
      </w:pPr>
      <w:r>
        <w:rPr>
          <w:rFonts w:ascii="Arial" w:eastAsia="Calibri" w:hAnsi="Arial" w:cs="Arial"/>
          <w:b/>
          <w:color w:val="FF0000"/>
          <w:sz w:val="16"/>
          <w:szCs w:val="16"/>
          <w:lang w:val="es-ES"/>
        </w:rPr>
        <w:t xml:space="preserve">                      </w:t>
      </w:r>
      <w:r w:rsidRPr="006312E8">
        <w:rPr>
          <w:rFonts w:ascii="Arial" w:eastAsia="Calibri" w:hAnsi="Arial" w:cs="Arial"/>
          <w:b/>
          <w:color w:val="FF0000"/>
          <w:sz w:val="16"/>
          <w:szCs w:val="16"/>
          <w:lang w:val="es-ES"/>
        </w:rPr>
        <w:t xml:space="preserve">(*) </w:t>
      </w:r>
      <w:r>
        <w:rPr>
          <w:rFonts w:ascii="Arial" w:eastAsia="Calibri" w:hAnsi="Arial" w:cs="Arial"/>
          <w:b/>
          <w:color w:val="FF0000"/>
          <w:sz w:val="16"/>
          <w:szCs w:val="16"/>
          <w:lang w:val="es-ES"/>
        </w:rPr>
        <w:t xml:space="preserve">Inciso modificado por la Resolución N° 086-2016/SBN, publicada el 17-11-2016. </w:t>
      </w:r>
      <w:r w:rsidRPr="006312E8">
        <w:rPr>
          <w:rFonts w:ascii="Arial" w:eastAsia="Calibri" w:hAnsi="Arial" w:cs="Arial"/>
          <w:b/>
          <w:color w:val="FF0000"/>
          <w:sz w:val="16"/>
          <w:szCs w:val="16"/>
          <w:lang w:val="es-ES"/>
        </w:rPr>
        <w:t xml:space="preserve"> </w:t>
      </w:r>
    </w:p>
    <w:p w:rsidR="0017755E" w:rsidRPr="006312E8" w:rsidRDefault="0017755E" w:rsidP="00FF56F2">
      <w:pPr>
        <w:spacing w:after="0" w:line="240" w:lineRule="auto"/>
        <w:ind w:left="1065"/>
        <w:contextualSpacing/>
        <w:jc w:val="both"/>
        <w:rPr>
          <w:rFonts w:ascii="Arial" w:eastAsia="Calibri" w:hAnsi="Arial" w:cs="Arial"/>
          <w:lang w:val="es-ES"/>
        </w:rPr>
      </w:pPr>
    </w:p>
    <w:p w:rsidR="006312E8" w:rsidRPr="006312E8" w:rsidRDefault="006312E8" w:rsidP="0092471C">
      <w:pPr>
        <w:numPr>
          <w:ilvl w:val="0"/>
          <w:numId w:val="124"/>
        </w:numPr>
        <w:spacing w:after="0" w:line="240" w:lineRule="auto"/>
        <w:contextualSpacing/>
        <w:jc w:val="both"/>
        <w:rPr>
          <w:rFonts w:ascii="Arial" w:eastAsia="Calibri" w:hAnsi="Arial" w:cs="Arial"/>
          <w:lang w:val="es-ES"/>
        </w:rPr>
      </w:pPr>
      <w:r w:rsidRPr="006312E8">
        <w:rPr>
          <w:rFonts w:ascii="Arial" w:eastAsia="Calibri" w:hAnsi="Arial" w:cs="Arial"/>
          <w:lang w:val="es-ES"/>
        </w:rPr>
        <w:t>Para la transferencia a favor del Ministerio de Defensa, en aplicación del artículo 3 de la Ley Nº 29006, Ley que autoriza la disposición de inmuebles del Sector Defensa, deberá adjuntarse un informe técnico que justifique la disposición del inmueble, aprobado por el Ministro o por el Comandante General respectivo, según corresponda.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b/>
          <w:lang w:val="es-ES"/>
        </w:rPr>
      </w:pPr>
      <w:r w:rsidRPr="006312E8">
        <w:rPr>
          <w:rFonts w:ascii="Arial" w:eastAsia="Calibri" w:hAnsi="Arial" w:cs="Arial"/>
          <w:b/>
          <w:lang w:val="es-ES"/>
        </w:rPr>
        <w:t xml:space="preserve">7.2 </w:t>
      </w:r>
      <w:r w:rsidRPr="006312E8">
        <w:rPr>
          <w:rFonts w:ascii="Arial" w:eastAsia="Calibri" w:hAnsi="Arial" w:cs="Arial"/>
          <w:b/>
          <w:lang w:val="es-ES"/>
        </w:rPr>
        <w:tab/>
        <w:t>Evaluación de la libre disponibilidad del predio y saneamiento</w:t>
      </w:r>
    </w:p>
    <w:p w:rsidR="006312E8" w:rsidRPr="006312E8" w:rsidRDefault="006312E8" w:rsidP="006312E8">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ab/>
        <w:t>Con la información proporcionada por el administrado, previa inspección técnica, de ser necesaria, la SDDI o quien haga sus veces procederá a verificar que el terreno solicitado sea efectivamente de libre disponibilidad, debiendo tener en cuenta para tal efecto la condición jurídica del predio y su no inclusión dentro de un régimen legal especial para la administración o disposición del mismo.</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ab/>
        <w:t>Asimismo, si se encuentra pendiente la inscripción registral el dominio del Estado o es necesario realizar algún acto registral, previamente debe efectuarse el saneamiento respectivo, salvo que la entidad transferente, bajo responsabilidad, acredite el derecho de propiedad que le asiste y el adquirente asuma la obligación de efectuar el saneamiento registral respectivo.</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ab/>
        <w:t>Si el predio no es de libre disponibilidad o si la entidad, en uso de su discrecionalidad o libre apreciación, considera no acceder a la petición de transferencia, dará por concluido el trámite, notificando su decisión al administrado,</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b/>
          <w:lang w:val="es-ES"/>
        </w:rPr>
      </w:pPr>
      <w:r w:rsidRPr="006312E8">
        <w:rPr>
          <w:rFonts w:ascii="Arial" w:eastAsia="Calibri" w:hAnsi="Arial" w:cs="Arial"/>
          <w:b/>
          <w:lang w:val="es-ES"/>
        </w:rPr>
        <w:t xml:space="preserve">7.3 </w:t>
      </w:r>
      <w:r w:rsidRPr="006312E8">
        <w:rPr>
          <w:rFonts w:ascii="Arial" w:eastAsia="Calibri" w:hAnsi="Arial" w:cs="Arial"/>
          <w:b/>
          <w:lang w:val="es-ES"/>
        </w:rPr>
        <w:tab/>
        <w:t>Verificación de documentos y plazo de subsanación.</w:t>
      </w:r>
    </w:p>
    <w:p w:rsidR="0017755E" w:rsidRPr="0017755E" w:rsidRDefault="006312E8" w:rsidP="0017755E">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ab/>
      </w:r>
      <w:r w:rsidR="0017755E" w:rsidRPr="0017755E">
        <w:rPr>
          <w:rFonts w:ascii="Arial" w:eastAsia="Calibri" w:hAnsi="Arial" w:cs="Arial"/>
          <w:lang w:val="es-ES"/>
        </w:rPr>
        <w:t>La SDDI, en el caso de la SBN, o la entidad pública, a través de la unidad operativa correspondiente verifica la documentación presentada y, de ser necesario, requerirá al administrado para que dentro del término de diez (10) días hábiles, computados a partir del día siguiente de su notificación, proceda a aclarar, precisar o reformular su pedido o a presentar los documentos complementarios a los adjuntados, suspendiéndose el procedimiento hasta la subsanación respectiva. Excepcionalmente y por razones justificadas, antes del vencimiento del plazo señalado, el administrado puede solicitar su ampliación hasta por igual término para el cumplimiento de lo que se hubiere requerido. En caso que el administrado no subsane las observaciones efectuadas dentro del plazo otorgado o ampliado, se da por concluido el trámite, notificándose dicha decisión al administrado.</w:t>
      </w:r>
    </w:p>
    <w:p w:rsidR="0017755E" w:rsidRPr="0017755E" w:rsidRDefault="0017755E" w:rsidP="0017755E">
      <w:pPr>
        <w:spacing w:after="0" w:line="240" w:lineRule="auto"/>
        <w:ind w:left="709" w:hanging="425"/>
        <w:contextualSpacing/>
        <w:jc w:val="both"/>
        <w:rPr>
          <w:rFonts w:ascii="Arial" w:eastAsia="Calibri" w:hAnsi="Arial" w:cs="Arial"/>
          <w:lang w:val="es-ES"/>
        </w:rPr>
      </w:pPr>
    </w:p>
    <w:p w:rsidR="0017755E" w:rsidRPr="0017755E" w:rsidRDefault="0017755E" w:rsidP="0017755E">
      <w:pPr>
        <w:spacing w:after="0" w:line="240" w:lineRule="auto"/>
        <w:ind w:left="709" w:hanging="425"/>
        <w:contextualSpacing/>
        <w:jc w:val="both"/>
        <w:rPr>
          <w:rFonts w:ascii="Arial" w:eastAsia="Calibri" w:hAnsi="Arial" w:cs="Arial"/>
          <w:lang w:val="es-ES"/>
        </w:rPr>
      </w:pPr>
      <w:r w:rsidRPr="0017755E">
        <w:rPr>
          <w:rFonts w:ascii="Arial" w:eastAsia="Calibri" w:hAnsi="Arial" w:cs="Arial"/>
          <w:lang w:val="es-ES"/>
        </w:rPr>
        <w:tab/>
        <w:t>En el caso de las transferencias a título oneroso, si la entidad transferente no se encuentra conforme con la tasación presentada por la entidad solicitante, podrá realizar una nueva tasación de acuerdo al artículo 36 del Reglamento.</w:t>
      </w:r>
    </w:p>
    <w:p w:rsidR="0017755E" w:rsidRPr="0017755E" w:rsidRDefault="0017755E" w:rsidP="0017755E">
      <w:pPr>
        <w:spacing w:after="0" w:line="240" w:lineRule="auto"/>
        <w:ind w:left="709" w:hanging="425"/>
        <w:contextualSpacing/>
        <w:jc w:val="both"/>
        <w:rPr>
          <w:rFonts w:ascii="Arial" w:eastAsia="Calibri" w:hAnsi="Arial" w:cs="Arial"/>
          <w:lang w:val="es-ES"/>
        </w:rPr>
      </w:pPr>
    </w:p>
    <w:p w:rsidR="006312E8" w:rsidRDefault="0017755E" w:rsidP="0017755E">
      <w:pPr>
        <w:spacing w:after="0" w:line="240" w:lineRule="auto"/>
        <w:ind w:left="709" w:hanging="425"/>
        <w:contextualSpacing/>
        <w:jc w:val="both"/>
        <w:rPr>
          <w:rFonts w:ascii="Arial" w:eastAsia="Calibri" w:hAnsi="Arial" w:cs="Arial"/>
          <w:lang w:val="es-ES"/>
        </w:rPr>
      </w:pPr>
      <w:r w:rsidRPr="0017755E">
        <w:rPr>
          <w:rFonts w:ascii="Arial" w:eastAsia="Calibri" w:hAnsi="Arial" w:cs="Arial"/>
          <w:lang w:val="es-ES"/>
        </w:rPr>
        <w:tab/>
        <w:t>Si se verifica que el Certificado de Parámetros Urbanísticos que se adjunta señala una zonificación que no es compatible con la finalidad para la cual se solicita la transferencia, excepcionalmente se podrá efectuar la transferencia con cargo a que la entidad beneficiaria de la misma, en un plazo no mayor de dos (02) años, gestione y obtenga el cambio de zonificación ante el Gobierno Local respectivo, bajo apercibimiento de reversión de dominio del predio de pleno derecho, mediante la emisión de la resolución correspondiente.</w:t>
      </w:r>
      <w:r>
        <w:rPr>
          <w:rFonts w:ascii="Arial" w:eastAsia="Calibri" w:hAnsi="Arial" w:cs="Arial"/>
          <w:lang w:val="es-ES"/>
        </w:rPr>
        <w:t xml:space="preserve"> (*)</w:t>
      </w:r>
    </w:p>
    <w:p w:rsidR="002E2D5C" w:rsidRPr="006312E8" w:rsidRDefault="002E2D5C" w:rsidP="002E2D5C">
      <w:pPr>
        <w:spacing w:after="0" w:line="240" w:lineRule="auto"/>
        <w:ind w:left="709"/>
        <w:contextualSpacing/>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xml:space="preserve">(*) </w:t>
      </w:r>
      <w:r>
        <w:rPr>
          <w:rFonts w:ascii="Arial" w:eastAsia="Calibri" w:hAnsi="Arial" w:cs="Arial"/>
          <w:b/>
          <w:color w:val="FF0000"/>
          <w:sz w:val="16"/>
          <w:szCs w:val="16"/>
          <w:lang w:val="es-ES"/>
        </w:rPr>
        <w:t xml:space="preserve">Artículo modificado por la Resolución N° 086-2016/SBN, publicada el 17-11-2016. </w:t>
      </w:r>
      <w:r w:rsidRPr="006312E8">
        <w:rPr>
          <w:rFonts w:ascii="Arial" w:eastAsia="Calibri" w:hAnsi="Arial" w:cs="Arial"/>
          <w:b/>
          <w:color w:val="FF0000"/>
          <w:sz w:val="16"/>
          <w:szCs w:val="16"/>
          <w:lang w:val="es-ES"/>
        </w:rPr>
        <w:t xml:space="preserve"> </w:t>
      </w:r>
    </w:p>
    <w:p w:rsidR="002E2D5C" w:rsidRDefault="002E2D5C" w:rsidP="0017755E">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b/>
          <w:lang w:val="es-ES"/>
        </w:rPr>
      </w:pPr>
      <w:r w:rsidRPr="006312E8">
        <w:rPr>
          <w:rFonts w:ascii="Arial" w:eastAsia="Calibri" w:hAnsi="Arial" w:cs="Arial"/>
          <w:b/>
          <w:lang w:val="es-ES"/>
        </w:rPr>
        <w:t xml:space="preserve">7.4 </w:t>
      </w:r>
      <w:r w:rsidRPr="006312E8">
        <w:rPr>
          <w:rFonts w:ascii="Arial" w:eastAsia="Calibri" w:hAnsi="Arial" w:cs="Arial"/>
          <w:b/>
          <w:lang w:val="es-ES"/>
        </w:rPr>
        <w:tab/>
        <w:t>Informe Técnico Legal</w:t>
      </w:r>
    </w:p>
    <w:p w:rsidR="006312E8" w:rsidRPr="006312E8" w:rsidRDefault="006312E8" w:rsidP="006312E8">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ab/>
        <w:t>La transferencia interestatal será sustentada en un Informe Técnico-Legal elaborado por el (los) responsable(s) del trámite de transferencia de la entidad transferente. El citado informe debe contener el análisis y la fundamentación de la decisión de transferir, conforme a lo establecido por el artículo 34 del Reglamento, adjuntando el proyecto de Resolución que aprueba el otorgamiento de la transferencia, suscrito por el jefe de la unidad orgánica competente. En los procedimientos a cargo de la SBN, el informe deberá ser elaborado por la SDDI.</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b/>
          <w:lang w:val="es-ES"/>
        </w:rPr>
      </w:pPr>
      <w:r w:rsidRPr="006312E8">
        <w:rPr>
          <w:rFonts w:ascii="Arial" w:eastAsia="Calibri" w:hAnsi="Arial" w:cs="Arial"/>
          <w:b/>
          <w:lang w:val="es-ES"/>
        </w:rPr>
        <w:t xml:space="preserve">7.5 </w:t>
      </w:r>
      <w:r w:rsidRPr="006312E8">
        <w:rPr>
          <w:rFonts w:ascii="Arial" w:eastAsia="Calibri" w:hAnsi="Arial" w:cs="Arial"/>
          <w:b/>
          <w:lang w:val="es-ES"/>
        </w:rPr>
        <w:tab/>
        <w:t>Aprobación de la transferencia y contenido de la resolución</w:t>
      </w:r>
    </w:p>
    <w:p w:rsidR="0017755E" w:rsidRPr="0017755E" w:rsidRDefault="006312E8" w:rsidP="0017755E">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ab/>
      </w:r>
      <w:r w:rsidR="0017755E" w:rsidRPr="0017755E">
        <w:rPr>
          <w:rFonts w:ascii="Arial" w:eastAsia="Calibri" w:hAnsi="Arial" w:cs="Arial"/>
          <w:lang w:val="es-ES"/>
        </w:rPr>
        <w:t>La transferencia tramitada y sustentada por la SBN es aprobada por resolución de la SDDI. En el caso de predios de propiedad de las entidades del Sistema, se aprobará a través de la unidad orgánica correspondiente conforme a sus respectivas competencias y previa opinión técnica de la SBN.</w:t>
      </w:r>
    </w:p>
    <w:p w:rsidR="0017755E" w:rsidRPr="0017755E" w:rsidRDefault="0017755E" w:rsidP="0017755E">
      <w:pPr>
        <w:spacing w:after="0" w:line="240" w:lineRule="auto"/>
        <w:ind w:left="709" w:hanging="425"/>
        <w:contextualSpacing/>
        <w:jc w:val="both"/>
        <w:rPr>
          <w:rFonts w:ascii="Arial" w:eastAsia="Calibri" w:hAnsi="Arial" w:cs="Arial"/>
          <w:lang w:val="es-ES"/>
        </w:rPr>
      </w:pPr>
    </w:p>
    <w:p w:rsidR="0017755E" w:rsidRPr="0017755E" w:rsidRDefault="0017755E" w:rsidP="0017755E">
      <w:pPr>
        <w:spacing w:after="0" w:line="240" w:lineRule="auto"/>
        <w:ind w:left="709" w:hanging="425"/>
        <w:contextualSpacing/>
        <w:jc w:val="both"/>
        <w:rPr>
          <w:rFonts w:ascii="Arial" w:eastAsia="Calibri" w:hAnsi="Arial" w:cs="Arial"/>
          <w:lang w:val="es-ES"/>
        </w:rPr>
      </w:pPr>
      <w:r w:rsidRPr="0017755E">
        <w:rPr>
          <w:rFonts w:ascii="Arial" w:eastAsia="Calibri" w:hAnsi="Arial" w:cs="Arial"/>
          <w:lang w:val="es-ES"/>
        </w:rPr>
        <w:tab/>
        <w:t>La resolución deberá contener necesariamente las condiciones específicas de la transferencia, de acuerdo al tipo de transferencia a efectuarse, la finalidad para la cual es otorgado el predio, así corno el plazo de ejecución del proyecto, bajo sanción de reversión en caso de incumplimiento.</w:t>
      </w:r>
    </w:p>
    <w:p w:rsidR="0017755E" w:rsidRPr="0017755E" w:rsidRDefault="0017755E" w:rsidP="0017755E">
      <w:pPr>
        <w:spacing w:after="0" w:line="240" w:lineRule="auto"/>
        <w:ind w:left="709" w:hanging="425"/>
        <w:contextualSpacing/>
        <w:jc w:val="both"/>
        <w:rPr>
          <w:rFonts w:ascii="Arial" w:eastAsia="Calibri" w:hAnsi="Arial" w:cs="Arial"/>
          <w:lang w:val="es-ES"/>
        </w:rPr>
      </w:pPr>
    </w:p>
    <w:p w:rsidR="0017755E" w:rsidRPr="0017755E" w:rsidRDefault="0017755E" w:rsidP="0017755E">
      <w:pPr>
        <w:spacing w:after="0" w:line="240" w:lineRule="auto"/>
        <w:ind w:left="709" w:hanging="425"/>
        <w:contextualSpacing/>
        <w:jc w:val="both"/>
        <w:rPr>
          <w:rFonts w:ascii="Arial" w:eastAsia="Calibri" w:hAnsi="Arial" w:cs="Arial"/>
          <w:lang w:val="es-ES"/>
        </w:rPr>
      </w:pPr>
      <w:r w:rsidRPr="0017755E">
        <w:rPr>
          <w:rFonts w:ascii="Arial" w:eastAsia="Calibri" w:hAnsi="Arial" w:cs="Arial"/>
          <w:lang w:val="es-ES"/>
        </w:rPr>
        <w:tab/>
        <w:t>En caso que la entidad hubiese presentado el plan conceptual o idea de proyecto de acuerdo a lo previsto en el inciso 1) del literal j) del numeral 7.1 de la presente Directiva, la resolución de transferencia deberá establecer como obligación que la entidad adquirente presente, dentro del plazo máximo de dos (2) años contados desde la notificación de la resolución, el respectivo programa o proyecto de desarrollo o inversión con los respectivos planes y estudios técnico-legales para su ejecución, de conformidad con la normas antes citada, y el documento expedido por el órgano competente donde se garantice el financiamiento, bajo apercibimiento de reversión, en caso de incumplimiento.</w:t>
      </w:r>
    </w:p>
    <w:p w:rsidR="0017755E" w:rsidRPr="0017755E" w:rsidRDefault="0017755E" w:rsidP="0017755E">
      <w:pPr>
        <w:spacing w:after="0" w:line="240" w:lineRule="auto"/>
        <w:ind w:left="709" w:hanging="425"/>
        <w:contextualSpacing/>
        <w:jc w:val="both"/>
        <w:rPr>
          <w:rFonts w:ascii="Arial" w:eastAsia="Calibri" w:hAnsi="Arial" w:cs="Arial"/>
          <w:lang w:val="es-ES"/>
        </w:rPr>
      </w:pPr>
    </w:p>
    <w:p w:rsidR="0017755E" w:rsidRPr="0017755E" w:rsidRDefault="0017755E" w:rsidP="0017755E">
      <w:pPr>
        <w:spacing w:after="0" w:line="240" w:lineRule="auto"/>
        <w:ind w:left="709" w:hanging="425"/>
        <w:contextualSpacing/>
        <w:jc w:val="both"/>
        <w:rPr>
          <w:rFonts w:ascii="Arial" w:eastAsia="Calibri" w:hAnsi="Arial" w:cs="Arial"/>
          <w:lang w:val="es-ES"/>
        </w:rPr>
      </w:pPr>
      <w:r w:rsidRPr="0017755E">
        <w:rPr>
          <w:rFonts w:ascii="Arial" w:eastAsia="Calibri" w:hAnsi="Arial" w:cs="Arial"/>
          <w:lang w:val="es-ES"/>
        </w:rPr>
        <w:tab/>
        <w:t>La presentación del plan conceptual o idea de proyecto dentro del plazo establecido vincula a la entidad adquiriente en los términos y condiciones previstos en dicho documento. La SDDI deriva el plan conceptual o idea de proyecto a la SDS para la supervisión del cumplimiento de la finalidad.</w:t>
      </w:r>
    </w:p>
    <w:p w:rsidR="0017755E" w:rsidRPr="0017755E" w:rsidRDefault="0017755E" w:rsidP="0017755E">
      <w:pPr>
        <w:spacing w:after="0" w:line="240" w:lineRule="auto"/>
        <w:ind w:left="709" w:hanging="425"/>
        <w:contextualSpacing/>
        <w:jc w:val="both"/>
        <w:rPr>
          <w:rFonts w:ascii="Arial" w:eastAsia="Calibri" w:hAnsi="Arial" w:cs="Arial"/>
          <w:lang w:val="es-ES"/>
        </w:rPr>
      </w:pPr>
    </w:p>
    <w:p w:rsidR="0017755E" w:rsidRPr="0017755E" w:rsidRDefault="0017755E" w:rsidP="0017755E">
      <w:pPr>
        <w:spacing w:after="0" w:line="240" w:lineRule="auto"/>
        <w:ind w:left="709" w:hanging="425"/>
        <w:contextualSpacing/>
        <w:jc w:val="both"/>
        <w:rPr>
          <w:rFonts w:ascii="Arial" w:eastAsia="Calibri" w:hAnsi="Arial" w:cs="Arial"/>
          <w:lang w:val="es-ES"/>
        </w:rPr>
      </w:pPr>
      <w:r w:rsidRPr="0017755E">
        <w:rPr>
          <w:rFonts w:ascii="Arial" w:eastAsia="Calibri" w:hAnsi="Arial" w:cs="Arial"/>
          <w:lang w:val="es-ES"/>
        </w:rPr>
        <w:tab/>
        <w:t>Si el programa o proyecto de desarrollo o inversión está previsto para ser ejecutado por terceros, en la resolución de transferencia deberá establecerse como obligación de la entidad adquirente presentar, en el plazo máximo de dos (2) años contados desde la notificación de la resolución, el contrato de adjudicación o concesión, debidamente inscrito en la partida registral respectiva. El contrato deberá contener como mínimo las obligaciones concordantes con la finalidad para la cual fue transferido el predio, así como las cláusulas de garantía para dicho cumplimiento, las causales de resolución, las penalidades y la entidad responsable de verificar el cumplimiento.</w:t>
      </w:r>
    </w:p>
    <w:p w:rsidR="0017755E" w:rsidRPr="0017755E" w:rsidRDefault="0017755E" w:rsidP="0017755E">
      <w:pPr>
        <w:spacing w:after="0" w:line="240" w:lineRule="auto"/>
        <w:ind w:left="709" w:hanging="425"/>
        <w:contextualSpacing/>
        <w:jc w:val="both"/>
        <w:rPr>
          <w:rFonts w:ascii="Arial" w:eastAsia="Calibri" w:hAnsi="Arial" w:cs="Arial"/>
          <w:lang w:val="es-ES"/>
        </w:rPr>
      </w:pPr>
    </w:p>
    <w:p w:rsidR="0017755E" w:rsidRPr="0017755E" w:rsidRDefault="0017755E" w:rsidP="0017755E">
      <w:pPr>
        <w:spacing w:after="0" w:line="240" w:lineRule="auto"/>
        <w:ind w:left="709" w:hanging="425"/>
        <w:contextualSpacing/>
        <w:jc w:val="both"/>
        <w:rPr>
          <w:rFonts w:ascii="Arial" w:eastAsia="Calibri" w:hAnsi="Arial" w:cs="Arial"/>
          <w:lang w:val="es-ES"/>
        </w:rPr>
      </w:pPr>
      <w:r w:rsidRPr="0017755E">
        <w:rPr>
          <w:rFonts w:ascii="Arial" w:eastAsia="Calibri" w:hAnsi="Arial" w:cs="Arial"/>
          <w:lang w:val="es-ES"/>
        </w:rPr>
        <w:tab/>
        <w:t>La documentación que se presente en cumplimiento de lo establecido en los párrafos precedentes, tiene carácter vinculante para la entidad adquirente y el tercero responsable de la ejecución del proyecto, para los fines de las acciones de supervisión que competa a la SBN y, de ser el caso, para la reversión en caso de incumplimiento.</w:t>
      </w:r>
    </w:p>
    <w:p w:rsidR="0017755E" w:rsidRPr="0017755E" w:rsidRDefault="0017755E" w:rsidP="0017755E">
      <w:pPr>
        <w:spacing w:after="0" w:line="240" w:lineRule="auto"/>
        <w:ind w:left="709" w:hanging="425"/>
        <w:contextualSpacing/>
        <w:jc w:val="both"/>
        <w:rPr>
          <w:rFonts w:ascii="Arial" w:eastAsia="Calibri" w:hAnsi="Arial" w:cs="Arial"/>
          <w:lang w:val="es-ES"/>
        </w:rPr>
      </w:pPr>
    </w:p>
    <w:p w:rsidR="006312E8" w:rsidRDefault="0017755E" w:rsidP="0017755E">
      <w:pPr>
        <w:spacing w:after="0" w:line="240" w:lineRule="auto"/>
        <w:ind w:left="709" w:hanging="425"/>
        <w:contextualSpacing/>
        <w:jc w:val="both"/>
        <w:rPr>
          <w:rFonts w:ascii="Arial" w:eastAsia="Calibri" w:hAnsi="Arial" w:cs="Arial"/>
          <w:lang w:val="es-ES"/>
        </w:rPr>
      </w:pPr>
      <w:r w:rsidRPr="0017755E">
        <w:rPr>
          <w:rFonts w:ascii="Arial" w:eastAsia="Calibri" w:hAnsi="Arial" w:cs="Arial"/>
          <w:lang w:val="es-ES"/>
        </w:rPr>
        <w:tab/>
        <w:t>Si la solicitud de transferencia de dominio es denegada y se advierte indicios de ocupación del predio del Estado solicitado, la SDDI debe poner en conocimiento de la SDS dicha situación, adjuntando ficha técnica de inspección de ser el caso</w:t>
      </w:r>
      <w:r>
        <w:rPr>
          <w:rFonts w:ascii="Arial" w:eastAsia="Calibri" w:hAnsi="Arial" w:cs="Arial"/>
          <w:lang w:val="es-ES"/>
        </w:rPr>
        <w:t>. (*)</w:t>
      </w:r>
    </w:p>
    <w:p w:rsidR="002E2D5C" w:rsidRPr="006312E8" w:rsidRDefault="002E2D5C" w:rsidP="002E2D5C">
      <w:pPr>
        <w:spacing w:after="0" w:line="240" w:lineRule="auto"/>
        <w:ind w:left="709"/>
        <w:contextualSpacing/>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xml:space="preserve">(*) </w:t>
      </w:r>
      <w:r>
        <w:rPr>
          <w:rFonts w:ascii="Arial" w:eastAsia="Calibri" w:hAnsi="Arial" w:cs="Arial"/>
          <w:b/>
          <w:color w:val="FF0000"/>
          <w:sz w:val="16"/>
          <w:szCs w:val="16"/>
          <w:lang w:val="es-ES"/>
        </w:rPr>
        <w:t xml:space="preserve">Artículo modificado por la Resolución N° 086-2016/SBN, publicada el 17-11-2016. </w:t>
      </w:r>
      <w:r w:rsidRPr="006312E8">
        <w:rPr>
          <w:rFonts w:ascii="Arial" w:eastAsia="Calibri" w:hAnsi="Arial" w:cs="Arial"/>
          <w:b/>
          <w:color w:val="FF0000"/>
          <w:sz w:val="16"/>
          <w:szCs w:val="16"/>
          <w:lang w:val="es-ES"/>
        </w:rPr>
        <w:t xml:space="preserve"> </w:t>
      </w:r>
    </w:p>
    <w:p w:rsidR="0017755E" w:rsidRPr="006312E8" w:rsidRDefault="0017755E" w:rsidP="0017755E">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b/>
          <w:lang w:val="es-ES"/>
        </w:rPr>
      </w:pPr>
      <w:r w:rsidRPr="006312E8">
        <w:rPr>
          <w:rFonts w:ascii="Arial" w:eastAsia="Calibri" w:hAnsi="Arial" w:cs="Arial"/>
          <w:b/>
          <w:lang w:val="es-ES"/>
        </w:rPr>
        <w:t xml:space="preserve">7.6 </w:t>
      </w:r>
      <w:r w:rsidRPr="006312E8">
        <w:rPr>
          <w:rFonts w:ascii="Arial" w:eastAsia="Calibri" w:hAnsi="Arial" w:cs="Arial"/>
          <w:b/>
          <w:lang w:val="es-ES"/>
        </w:rPr>
        <w:tab/>
        <w:t>Pago del precio y firma del contrato en el caso de transferencias efectuadas a título oneroso.</w:t>
      </w:r>
    </w:p>
    <w:p w:rsidR="006312E8" w:rsidRPr="006312E8" w:rsidRDefault="006312E8" w:rsidP="006312E8">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ab/>
        <w:t>Cuando la transferencia sea a título oneroso, el precio del predio materia de transferencia debe ser pagado por la entidad solicitante, dentro del plazo y condiciones establecidas en la respectiva resolución y contrato, bajo causal de resolución del contrato en caso de incumplimiento, en cuyo caso quedará sin efecto la resolución que aprueba dicha transferencia.</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ab/>
        <w:t>La forma de pago deberá efectuarse mediante cheque de gerencia no negociable o depósito en la cuenta corriente de la entidad transferente, al tipo de cambio del día de pago fijado por la Superintendencia de Banca, Seguros y AFP - SBS, en el caso de haberse fijado el precio en moneda extranjera.</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ab/>
        <w:t>Dentro de los diez (10) días hábiles de cancelado el precio total del predio se procederá a suscribir la Minuta de transferencia, la cual deberá ser formalizada mediante Escritura Pública.</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ab/>
        <w:t>Los gastos notariales y registrales estarán a cargo de la entidad solicitante, la cual deberá remitir a la SBN una copia de la Escritura Pública.</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b/>
          <w:lang w:val="es-ES"/>
        </w:rPr>
      </w:pPr>
      <w:r w:rsidRPr="006312E8">
        <w:rPr>
          <w:rFonts w:ascii="Arial" w:eastAsia="Calibri" w:hAnsi="Arial" w:cs="Arial"/>
          <w:b/>
          <w:lang w:val="es-ES"/>
        </w:rPr>
        <w:t xml:space="preserve">7.7 </w:t>
      </w:r>
      <w:r w:rsidRPr="006312E8">
        <w:rPr>
          <w:rFonts w:ascii="Arial" w:eastAsia="Calibri" w:hAnsi="Arial" w:cs="Arial"/>
          <w:b/>
          <w:lang w:val="es-ES"/>
        </w:rPr>
        <w:tab/>
        <w:t>Acta de entrega - Recepción del predio transferido</w:t>
      </w:r>
    </w:p>
    <w:p w:rsidR="006312E8" w:rsidRPr="006312E8" w:rsidRDefault="006312E8" w:rsidP="006312E8">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ab/>
        <w:t>Una vez consentida la resolución que aprueba la transferencia interestatal, la entidad propietaria procederá a efectuar la entrega del predio transferido, debiendo para tal efecto suscribir el acta de entrega recepción correspondiente. Esta acta no resultará necesaria en los casos de regularización de transferencias.</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b/>
          <w:lang w:val="es-ES"/>
        </w:rPr>
      </w:pPr>
      <w:r w:rsidRPr="006312E8">
        <w:rPr>
          <w:rFonts w:ascii="Arial" w:eastAsia="Calibri" w:hAnsi="Arial" w:cs="Arial"/>
          <w:b/>
          <w:lang w:val="es-ES"/>
        </w:rPr>
        <w:t xml:space="preserve">7.8 </w:t>
      </w:r>
      <w:r w:rsidRPr="006312E8">
        <w:rPr>
          <w:rFonts w:ascii="Arial" w:eastAsia="Calibri" w:hAnsi="Arial" w:cs="Arial"/>
          <w:b/>
          <w:lang w:val="es-ES"/>
        </w:rPr>
        <w:tab/>
        <w:t>Entrega provisional</w:t>
      </w:r>
    </w:p>
    <w:p w:rsidR="0017755E" w:rsidRPr="0017755E" w:rsidRDefault="006312E8" w:rsidP="0017755E">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ab/>
      </w:r>
      <w:r w:rsidR="0017755E" w:rsidRPr="0017755E">
        <w:rPr>
          <w:rFonts w:ascii="Arial" w:eastAsia="Calibri" w:hAnsi="Arial" w:cs="Arial"/>
          <w:lang w:val="es-ES"/>
        </w:rPr>
        <w:t>Puede hacerse la entrega provisional del predio que se solicita en transferencia de dominio interestatal, en los casos que peligre la seguridad del mismo, o existan razones debidamente justificadas, debiendo para tal efecto la entidad propietaria o administradora entregar la posesión mediante el Acta de Entrega Recepción respectiva. Puede entenderse esta situación ante la inminencia de que el predio pueda ser invadido o cuando exista la necesidad de realizar acciones previas sobre el predio, como es el caso del estudio de suelos, colocación de hitos, mantenimiento y refacción del predio, entre otras acciones, sin que ello signifique la aprobación previa de la solicitud. Puede efectuarse la entrega provisional de predios donde exista ocupación. Los gastos que demande la conservación del predio, así como las obras que se ejecuten en el período de entrega provisional, no son reembolsables.</w:t>
      </w:r>
    </w:p>
    <w:p w:rsidR="0017755E" w:rsidRPr="0017755E" w:rsidRDefault="0017755E" w:rsidP="0017755E">
      <w:pPr>
        <w:spacing w:after="0" w:line="240" w:lineRule="auto"/>
        <w:ind w:left="709" w:hanging="425"/>
        <w:contextualSpacing/>
        <w:jc w:val="both"/>
        <w:rPr>
          <w:rFonts w:ascii="Arial" w:eastAsia="Calibri" w:hAnsi="Arial" w:cs="Arial"/>
          <w:lang w:val="es-ES"/>
        </w:rPr>
      </w:pPr>
    </w:p>
    <w:p w:rsidR="006312E8" w:rsidRPr="006312E8" w:rsidRDefault="0017755E" w:rsidP="0017755E">
      <w:pPr>
        <w:spacing w:after="0" w:line="240" w:lineRule="auto"/>
        <w:ind w:left="709" w:hanging="425"/>
        <w:contextualSpacing/>
        <w:jc w:val="both"/>
        <w:rPr>
          <w:rFonts w:ascii="Arial" w:eastAsia="Calibri" w:hAnsi="Arial" w:cs="Arial"/>
          <w:lang w:val="es-ES"/>
        </w:rPr>
      </w:pPr>
      <w:r w:rsidRPr="0017755E">
        <w:rPr>
          <w:rFonts w:ascii="Arial" w:eastAsia="Calibri" w:hAnsi="Arial" w:cs="Arial"/>
          <w:lang w:val="es-ES"/>
        </w:rPr>
        <w:tab/>
        <w:t>Dicha Acta adquiere la condición de definitiva, una vez que quede firme la resolución que aprueba la transferencia de dominio interestatal, salvo que hubiera variación del área materia de entrega provisional, en cuyo caso se debe suscribir una nueva acta.</w:t>
      </w:r>
      <w:r>
        <w:rPr>
          <w:rFonts w:ascii="Arial" w:eastAsia="Calibri" w:hAnsi="Arial" w:cs="Arial"/>
          <w:lang w:val="es-ES"/>
        </w:rPr>
        <w:t xml:space="preserve"> (*)</w:t>
      </w:r>
    </w:p>
    <w:p w:rsidR="002E2D5C" w:rsidRPr="006312E8" w:rsidRDefault="002E2D5C" w:rsidP="002E2D5C">
      <w:pPr>
        <w:spacing w:after="0" w:line="240" w:lineRule="auto"/>
        <w:ind w:left="709"/>
        <w:contextualSpacing/>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xml:space="preserve">(*) </w:t>
      </w:r>
      <w:r>
        <w:rPr>
          <w:rFonts w:ascii="Arial" w:eastAsia="Calibri" w:hAnsi="Arial" w:cs="Arial"/>
          <w:b/>
          <w:color w:val="FF0000"/>
          <w:sz w:val="16"/>
          <w:szCs w:val="16"/>
          <w:lang w:val="es-ES"/>
        </w:rPr>
        <w:t xml:space="preserve">Artículo modificado por la Resolución N° 086-2016/SBN, publicada el 17-11-2016. </w:t>
      </w:r>
      <w:r w:rsidRPr="006312E8">
        <w:rPr>
          <w:rFonts w:ascii="Arial" w:eastAsia="Calibri" w:hAnsi="Arial" w:cs="Arial"/>
          <w:b/>
          <w:color w:val="FF0000"/>
          <w:sz w:val="16"/>
          <w:szCs w:val="16"/>
          <w:lang w:val="es-ES"/>
        </w:rPr>
        <w:t xml:space="preserve"> </w:t>
      </w:r>
    </w:p>
    <w:p w:rsid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b/>
          <w:lang w:val="es-ES"/>
        </w:rPr>
      </w:pPr>
      <w:r w:rsidRPr="006312E8">
        <w:rPr>
          <w:rFonts w:ascii="Arial" w:eastAsia="Calibri" w:hAnsi="Arial" w:cs="Arial"/>
          <w:b/>
          <w:lang w:val="es-ES"/>
        </w:rPr>
        <w:t xml:space="preserve">7.9 </w:t>
      </w:r>
      <w:r w:rsidRPr="006312E8">
        <w:rPr>
          <w:rFonts w:ascii="Arial" w:eastAsia="Calibri" w:hAnsi="Arial" w:cs="Arial"/>
          <w:b/>
          <w:lang w:val="es-ES"/>
        </w:rPr>
        <w:tab/>
        <w:t>Inscripción de la transferencia</w:t>
      </w:r>
    </w:p>
    <w:p w:rsidR="006312E8" w:rsidRPr="006312E8" w:rsidRDefault="006312E8" w:rsidP="006312E8">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ab/>
        <w:t>En las transferencias a título gratuito, consentida que sea la Resolución que aprueba la transferencia, será remitida al Registro de Predios para su respectiva inscripción. La transferencia a título oneroso, cuyo pago sea efectuado en armadas, se inscribirá con hipoteca legal por el saldo precio, la cual será levantada con la constancia de cancelación emitida por la entidad transferente.</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ab/>
        <w:t>En el caso que se haya realizado la transferencia con actos pendientes de inscripción registral, de conformidad con lo dispuesto por el primer párrafo del artículo 48 del Reglamento, el saneamiento que deberán efectuar las entidades adquirentes comprende también la inscripción de la transferencia en el Registro de Predios.</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567"/>
        <w:contextualSpacing/>
        <w:jc w:val="both"/>
        <w:rPr>
          <w:rFonts w:ascii="Arial" w:eastAsia="Calibri" w:hAnsi="Arial" w:cs="Arial"/>
          <w:b/>
          <w:lang w:val="es-ES"/>
        </w:rPr>
      </w:pPr>
      <w:r w:rsidRPr="006312E8">
        <w:rPr>
          <w:rFonts w:ascii="Arial" w:eastAsia="Calibri" w:hAnsi="Arial" w:cs="Arial"/>
          <w:b/>
          <w:lang w:val="es-ES"/>
        </w:rPr>
        <w:t xml:space="preserve">7.10 </w:t>
      </w:r>
      <w:r w:rsidRPr="006312E8">
        <w:rPr>
          <w:rFonts w:ascii="Arial" w:eastAsia="Calibri" w:hAnsi="Arial" w:cs="Arial"/>
          <w:b/>
          <w:lang w:val="es-ES"/>
        </w:rPr>
        <w:tab/>
        <w:t>Actualización del SINABIP</w:t>
      </w:r>
    </w:p>
    <w:p w:rsidR="006312E8" w:rsidRPr="006312E8" w:rsidRDefault="006312E8" w:rsidP="006312E8">
      <w:pPr>
        <w:spacing w:after="0" w:line="240" w:lineRule="auto"/>
        <w:ind w:left="709" w:hanging="567"/>
        <w:contextualSpacing/>
        <w:jc w:val="both"/>
        <w:rPr>
          <w:rFonts w:ascii="Arial" w:eastAsia="Calibri" w:hAnsi="Arial" w:cs="Arial"/>
          <w:lang w:val="es-ES"/>
        </w:rPr>
      </w:pPr>
      <w:r w:rsidRPr="006312E8">
        <w:rPr>
          <w:rFonts w:ascii="Arial" w:eastAsia="Calibri" w:hAnsi="Arial" w:cs="Arial"/>
          <w:lang w:val="es-ES"/>
        </w:rPr>
        <w:tab/>
        <w:t>Cuando la transferencia sea efectuada por la SBN, la SDDI deberá remitir a la SDRC la Resolución consentida que aprueba la transferencia interestatal para su inscripción en el SINABIP.</w:t>
      </w:r>
    </w:p>
    <w:p w:rsidR="006312E8" w:rsidRPr="006312E8" w:rsidRDefault="006312E8" w:rsidP="006312E8">
      <w:pPr>
        <w:spacing w:after="0" w:line="240" w:lineRule="auto"/>
        <w:ind w:left="709" w:hanging="567"/>
        <w:contextualSpacing/>
        <w:jc w:val="both"/>
        <w:rPr>
          <w:rFonts w:ascii="Arial" w:eastAsia="Calibri" w:hAnsi="Arial" w:cs="Arial"/>
          <w:lang w:val="es-ES"/>
        </w:rPr>
      </w:pPr>
    </w:p>
    <w:p w:rsidR="006312E8" w:rsidRPr="006312E8" w:rsidRDefault="006312E8" w:rsidP="006312E8">
      <w:pPr>
        <w:spacing w:after="0" w:line="240" w:lineRule="auto"/>
        <w:ind w:left="709" w:hanging="567"/>
        <w:contextualSpacing/>
        <w:jc w:val="both"/>
        <w:rPr>
          <w:rFonts w:ascii="Arial" w:eastAsia="Calibri" w:hAnsi="Arial" w:cs="Arial"/>
          <w:lang w:val="es-ES"/>
        </w:rPr>
      </w:pPr>
      <w:r w:rsidRPr="006312E8">
        <w:rPr>
          <w:rFonts w:ascii="Arial" w:eastAsia="Calibri" w:hAnsi="Arial" w:cs="Arial"/>
          <w:lang w:val="es-ES"/>
        </w:rPr>
        <w:tab/>
        <w:t>En el caso de transferencias con actos pendientes de inscripción registral, las entidades, bajo responsabilidad del titular del pliego, deberán tramitar su inscripción en el SINABIP, en un plazo máximo de 10 días hábiles, contados desde la fecha de expedición de la resolución que aprueba el acto de disposición.</w:t>
      </w:r>
    </w:p>
    <w:p w:rsidR="006312E8" w:rsidRPr="006312E8" w:rsidRDefault="006312E8" w:rsidP="006312E8">
      <w:pPr>
        <w:spacing w:after="0" w:line="240" w:lineRule="auto"/>
        <w:ind w:left="709" w:hanging="567"/>
        <w:contextualSpacing/>
        <w:jc w:val="both"/>
        <w:rPr>
          <w:rFonts w:ascii="Arial" w:eastAsia="Calibri" w:hAnsi="Arial" w:cs="Arial"/>
          <w:lang w:val="es-ES"/>
        </w:rPr>
      </w:pPr>
    </w:p>
    <w:p w:rsidR="006312E8" w:rsidRPr="006312E8" w:rsidRDefault="006312E8" w:rsidP="006312E8">
      <w:pPr>
        <w:spacing w:after="0" w:line="240" w:lineRule="auto"/>
        <w:ind w:left="709" w:hanging="567"/>
        <w:contextualSpacing/>
        <w:jc w:val="both"/>
        <w:rPr>
          <w:rFonts w:ascii="Arial" w:eastAsia="Calibri" w:hAnsi="Arial" w:cs="Arial"/>
          <w:lang w:val="es-ES"/>
        </w:rPr>
      </w:pPr>
      <w:r w:rsidRPr="006312E8">
        <w:rPr>
          <w:rFonts w:ascii="Arial" w:eastAsia="Calibri" w:hAnsi="Arial" w:cs="Arial"/>
          <w:lang w:val="es-ES"/>
        </w:rPr>
        <w:tab/>
        <w:t>Asimismo, en todos los casos, una vez inscrita la transferencia en el Registro de Predios, las entidades, bajo responsabilidad del titular del pliego, deberán remitir a la SDRC la documentación sustentatoria pertinente para la actualización del SINABIP, en el plazo de 10 días hábiles contados a partir de la inscripción registral.</w:t>
      </w:r>
    </w:p>
    <w:p w:rsidR="006312E8" w:rsidRDefault="006312E8" w:rsidP="006312E8">
      <w:pPr>
        <w:spacing w:after="0" w:line="240" w:lineRule="auto"/>
        <w:ind w:left="709" w:hanging="567"/>
        <w:contextualSpacing/>
        <w:jc w:val="both"/>
        <w:rPr>
          <w:rFonts w:ascii="Arial" w:eastAsia="Calibri" w:hAnsi="Arial" w:cs="Arial"/>
          <w:lang w:val="es-ES"/>
        </w:rPr>
      </w:pPr>
    </w:p>
    <w:p w:rsidR="006312E8" w:rsidRPr="006312E8" w:rsidRDefault="006312E8" w:rsidP="006312E8">
      <w:pPr>
        <w:spacing w:after="0" w:line="240" w:lineRule="auto"/>
        <w:ind w:left="709" w:hanging="567"/>
        <w:contextualSpacing/>
        <w:jc w:val="both"/>
        <w:rPr>
          <w:rFonts w:ascii="Arial" w:eastAsia="Calibri" w:hAnsi="Arial" w:cs="Arial"/>
          <w:b/>
          <w:lang w:val="es-ES"/>
        </w:rPr>
      </w:pPr>
      <w:r w:rsidRPr="006312E8">
        <w:rPr>
          <w:rFonts w:ascii="Arial" w:eastAsia="Calibri" w:hAnsi="Arial" w:cs="Arial"/>
          <w:b/>
          <w:lang w:val="es-ES"/>
        </w:rPr>
        <w:t xml:space="preserve">7.11 </w:t>
      </w:r>
      <w:r w:rsidRPr="006312E8">
        <w:rPr>
          <w:rFonts w:ascii="Arial" w:eastAsia="Calibri" w:hAnsi="Arial" w:cs="Arial"/>
          <w:b/>
          <w:lang w:val="es-ES"/>
        </w:rPr>
        <w:tab/>
        <w:t>Descargo en la Municipalidad</w:t>
      </w:r>
    </w:p>
    <w:p w:rsidR="006312E8" w:rsidRPr="006312E8" w:rsidRDefault="006312E8" w:rsidP="006312E8">
      <w:pPr>
        <w:spacing w:after="0" w:line="240" w:lineRule="auto"/>
        <w:ind w:left="709" w:hanging="567"/>
        <w:contextualSpacing/>
        <w:jc w:val="both"/>
        <w:rPr>
          <w:rFonts w:ascii="Arial" w:eastAsia="Calibri" w:hAnsi="Arial" w:cs="Arial"/>
          <w:lang w:val="es-ES"/>
        </w:rPr>
      </w:pPr>
      <w:r w:rsidRPr="006312E8">
        <w:rPr>
          <w:rFonts w:ascii="Arial" w:eastAsia="Calibri" w:hAnsi="Arial" w:cs="Arial"/>
          <w:lang w:val="es-ES"/>
        </w:rPr>
        <w:tab/>
        <w:t>Dentro del plazo treinta (30) días hábiles de consentida que sea la resolución que aprueba la transferencia, deberá efectuarse el descargo del predio transferido en los registros de la municipalidad correspondiente.</w:t>
      </w:r>
    </w:p>
    <w:p w:rsidR="006312E8" w:rsidRPr="006312E8" w:rsidRDefault="006312E8" w:rsidP="006312E8">
      <w:pPr>
        <w:spacing w:after="0" w:line="240" w:lineRule="auto"/>
        <w:ind w:left="709" w:hanging="567"/>
        <w:contextualSpacing/>
        <w:jc w:val="both"/>
        <w:rPr>
          <w:rFonts w:ascii="Arial" w:eastAsia="Calibri" w:hAnsi="Arial" w:cs="Arial"/>
          <w:lang w:val="es-ES"/>
        </w:rPr>
      </w:pPr>
    </w:p>
    <w:p w:rsidR="006312E8" w:rsidRPr="006312E8" w:rsidRDefault="006312E8" w:rsidP="006312E8">
      <w:pPr>
        <w:spacing w:after="0" w:line="240" w:lineRule="auto"/>
        <w:ind w:left="709" w:hanging="567"/>
        <w:contextualSpacing/>
        <w:jc w:val="both"/>
        <w:rPr>
          <w:rFonts w:ascii="Arial" w:eastAsia="Calibri" w:hAnsi="Arial" w:cs="Arial"/>
          <w:b/>
          <w:lang w:val="es-ES"/>
        </w:rPr>
      </w:pPr>
      <w:r w:rsidRPr="006312E8">
        <w:rPr>
          <w:rFonts w:ascii="Arial" w:eastAsia="Calibri" w:hAnsi="Arial" w:cs="Arial"/>
          <w:b/>
          <w:lang w:val="es-ES"/>
        </w:rPr>
        <w:t xml:space="preserve">7.12 </w:t>
      </w:r>
      <w:r w:rsidRPr="006312E8">
        <w:rPr>
          <w:rFonts w:ascii="Arial" w:eastAsia="Calibri" w:hAnsi="Arial" w:cs="Arial"/>
          <w:b/>
          <w:lang w:val="es-ES"/>
        </w:rPr>
        <w:tab/>
        <w:t>Archivo del Expediente</w:t>
      </w:r>
    </w:p>
    <w:p w:rsidR="006312E8" w:rsidRPr="006312E8" w:rsidRDefault="006312E8" w:rsidP="006312E8">
      <w:pPr>
        <w:spacing w:after="0" w:line="240" w:lineRule="auto"/>
        <w:ind w:left="709" w:hanging="567"/>
        <w:contextualSpacing/>
        <w:jc w:val="both"/>
        <w:rPr>
          <w:rFonts w:ascii="Arial" w:eastAsia="Calibri" w:hAnsi="Arial" w:cs="Arial"/>
          <w:lang w:val="es-ES"/>
        </w:rPr>
      </w:pPr>
      <w:r w:rsidRPr="006312E8">
        <w:rPr>
          <w:rFonts w:ascii="Arial" w:eastAsia="Calibri" w:hAnsi="Arial" w:cs="Arial"/>
          <w:lang w:val="es-ES"/>
        </w:rPr>
        <w:tab/>
        <w:t>Una vez ejecutadas las acciones tendientes a la inscripción de la transferencia en el Registro de Predios y en el SINABIP, la SDDI o la respectiva unidad operativa de la entidad transferente, dispondrá el archivo definitivo del expediente.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567" w:hanging="567"/>
        <w:contextualSpacing/>
        <w:jc w:val="both"/>
        <w:rPr>
          <w:rFonts w:ascii="Arial" w:eastAsia="Calibri" w:hAnsi="Arial" w:cs="Arial"/>
          <w:b/>
          <w:lang w:val="es-ES"/>
        </w:rPr>
      </w:pPr>
      <w:r w:rsidRPr="006312E8">
        <w:rPr>
          <w:rFonts w:ascii="Arial" w:eastAsia="Calibri" w:hAnsi="Arial" w:cs="Arial"/>
          <w:b/>
          <w:lang w:val="es-ES"/>
        </w:rPr>
        <w:t xml:space="preserve">VIII. </w:t>
      </w:r>
      <w:r w:rsidRPr="006312E8">
        <w:rPr>
          <w:rFonts w:ascii="Arial" w:eastAsia="Calibri" w:hAnsi="Arial" w:cs="Arial"/>
          <w:b/>
          <w:lang w:val="es-ES"/>
        </w:rPr>
        <w:tab/>
        <w:t>DE LA OPINIÓN TÉCNICA DE LA SBN EN LAS TRANSFERENCIAS TRAMITADAS POR LAS ENTIDADES DEL SISTEMA.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b/>
          <w:lang w:val="es-ES"/>
        </w:rPr>
      </w:pPr>
      <w:r w:rsidRPr="006312E8">
        <w:rPr>
          <w:rFonts w:ascii="Arial" w:eastAsia="Calibri" w:hAnsi="Arial" w:cs="Arial"/>
          <w:b/>
          <w:lang w:val="es-ES"/>
        </w:rPr>
        <w:t xml:space="preserve">8.1 </w:t>
      </w:r>
      <w:r w:rsidRPr="006312E8">
        <w:rPr>
          <w:rFonts w:ascii="Arial" w:eastAsia="Calibri" w:hAnsi="Arial" w:cs="Arial"/>
          <w:b/>
          <w:lang w:val="es-ES"/>
        </w:rPr>
        <w:tab/>
        <w:t>Documentos requeridos</w:t>
      </w:r>
    </w:p>
    <w:p w:rsidR="0017755E" w:rsidRPr="0017755E" w:rsidRDefault="006312E8" w:rsidP="0017755E">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ab/>
      </w:r>
      <w:r w:rsidR="0017755E" w:rsidRPr="0017755E">
        <w:rPr>
          <w:rFonts w:ascii="Arial" w:eastAsia="Calibri" w:hAnsi="Arial" w:cs="Arial"/>
          <w:lang w:val="es-ES"/>
        </w:rPr>
        <w:t>Para la opinión técnica que la SBN debe emitir en el trámite de transferencia efectuada por otras entidades del Sistema, se deberá remitir copia de los siguientes documentos:</w:t>
      </w:r>
    </w:p>
    <w:p w:rsidR="0017755E" w:rsidRPr="0017755E" w:rsidRDefault="0017755E" w:rsidP="0017755E">
      <w:pPr>
        <w:spacing w:after="0" w:line="240" w:lineRule="auto"/>
        <w:ind w:left="709" w:hanging="425"/>
        <w:contextualSpacing/>
        <w:jc w:val="both"/>
        <w:rPr>
          <w:rFonts w:ascii="Arial" w:eastAsia="Calibri" w:hAnsi="Arial" w:cs="Arial"/>
          <w:lang w:val="es-ES"/>
        </w:rPr>
      </w:pPr>
    </w:p>
    <w:p w:rsidR="0017755E" w:rsidRPr="0017755E" w:rsidRDefault="0017755E" w:rsidP="0017755E">
      <w:pPr>
        <w:spacing w:after="0" w:line="240" w:lineRule="auto"/>
        <w:ind w:left="1134" w:hanging="425"/>
        <w:contextualSpacing/>
        <w:jc w:val="both"/>
        <w:rPr>
          <w:rFonts w:ascii="Arial" w:eastAsia="Calibri" w:hAnsi="Arial" w:cs="Arial"/>
          <w:lang w:val="es-ES"/>
        </w:rPr>
      </w:pPr>
      <w:r w:rsidRPr="0017755E">
        <w:rPr>
          <w:rFonts w:ascii="Arial" w:eastAsia="Calibri" w:hAnsi="Arial" w:cs="Arial"/>
          <w:lang w:val="es-ES"/>
        </w:rPr>
        <w:t xml:space="preserve">a) </w:t>
      </w:r>
      <w:r>
        <w:rPr>
          <w:rFonts w:ascii="Arial" w:eastAsia="Calibri" w:hAnsi="Arial" w:cs="Arial"/>
          <w:lang w:val="es-ES"/>
        </w:rPr>
        <w:tab/>
      </w:r>
      <w:r w:rsidRPr="0017755E">
        <w:rPr>
          <w:rFonts w:ascii="Arial" w:eastAsia="Calibri" w:hAnsi="Arial" w:cs="Arial"/>
          <w:lang w:val="es-ES"/>
        </w:rPr>
        <w:t>Solicitud de transferencia presentada y los anexos que sustentan el pedido.</w:t>
      </w:r>
    </w:p>
    <w:p w:rsidR="0017755E" w:rsidRPr="0017755E" w:rsidRDefault="0017755E" w:rsidP="0017755E">
      <w:pPr>
        <w:spacing w:after="0" w:line="240" w:lineRule="auto"/>
        <w:ind w:left="1134" w:hanging="425"/>
        <w:contextualSpacing/>
        <w:jc w:val="both"/>
        <w:rPr>
          <w:rFonts w:ascii="Arial" w:eastAsia="Calibri" w:hAnsi="Arial" w:cs="Arial"/>
          <w:lang w:val="es-ES"/>
        </w:rPr>
      </w:pPr>
    </w:p>
    <w:p w:rsidR="0017755E" w:rsidRPr="0017755E" w:rsidRDefault="0017755E" w:rsidP="0017755E">
      <w:pPr>
        <w:spacing w:after="0" w:line="240" w:lineRule="auto"/>
        <w:ind w:left="1134" w:hanging="425"/>
        <w:contextualSpacing/>
        <w:jc w:val="both"/>
        <w:rPr>
          <w:rFonts w:ascii="Arial" w:eastAsia="Calibri" w:hAnsi="Arial" w:cs="Arial"/>
          <w:lang w:val="es-ES"/>
        </w:rPr>
      </w:pPr>
      <w:r w:rsidRPr="0017755E">
        <w:rPr>
          <w:rFonts w:ascii="Arial" w:eastAsia="Calibri" w:hAnsi="Arial" w:cs="Arial"/>
          <w:lang w:val="es-ES"/>
        </w:rPr>
        <w:t xml:space="preserve">b) </w:t>
      </w:r>
      <w:r>
        <w:rPr>
          <w:rFonts w:ascii="Arial" w:eastAsia="Calibri" w:hAnsi="Arial" w:cs="Arial"/>
          <w:lang w:val="es-ES"/>
        </w:rPr>
        <w:tab/>
      </w:r>
      <w:r w:rsidRPr="0017755E">
        <w:rPr>
          <w:rFonts w:ascii="Arial" w:eastAsia="Calibri" w:hAnsi="Arial" w:cs="Arial"/>
          <w:lang w:val="es-ES"/>
        </w:rPr>
        <w:t>Informe técnico-legal de la entidad propietaria conteniendo el sustento y la opinión para la transferencia.</w:t>
      </w:r>
    </w:p>
    <w:p w:rsidR="0017755E" w:rsidRPr="0017755E" w:rsidRDefault="0017755E" w:rsidP="0017755E">
      <w:pPr>
        <w:spacing w:after="0" w:line="240" w:lineRule="auto"/>
        <w:ind w:left="709" w:hanging="425"/>
        <w:contextualSpacing/>
        <w:jc w:val="both"/>
        <w:rPr>
          <w:rFonts w:ascii="Arial" w:eastAsia="Calibri" w:hAnsi="Arial" w:cs="Arial"/>
          <w:lang w:val="es-ES"/>
        </w:rPr>
      </w:pPr>
    </w:p>
    <w:p w:rsidR="006312E8" w:rsidRPr="0017755E" w:rsidRDefault="0017755E" w:rsidP="0017755E">
      <w:pPr>
        <w:pStyle w:val="Prrafodelista"/>
        <w:numPr>
          <w:ilvl w:val="0"/>
          <w:numId w:val="24"/>
        </w:numPr>
        <w:spacing w:after="0" w:line="240" w:lineRule="auto"/>
        <w:jc w:val="both"/>
        <w:rPr>
          <w:rFonts w:ascii="Arial" w:eastAsia="Calibri" w:hAnsi="Arial" w:cs="Arial"/>
          <w:lang w:val="es-ES"/>
        </w:rPr>
      </w:pPr>
      <w:r w:rsidRPr="0017755E">
        <w:rPr>
          <w:rFonts w:ascii="Arial" w:eastAsia="Calibri" w:hAnsi="Arial" w:cs="Arial"/>
          <w:lang w:val="es-ES"/>
        </w:rPr>
        <w:t>Adicionalmente a lo anterior y de acuerdo al tipo de transferencia solicitada, se debe acompañar la documentación detallada en el numeral 7.1 de la presente Directiva.</w:t>
      </w:r>
      <w:r>
        <w:rPr>
          <w:rFonts w:ascii="Arial" w:eastAsia="Calibri" w:hAnsi="Arial" w:cs="Arial"/>
          <w:lang w:val="es-ES"/>
        </w:rPr>
        <w:t xml:space="preserve"> </w:t>
      </w:r>
      <w:r w:rsidRPr="0017755E">
        <w:rPr>
          <w:rFonts w:ascii="Arial" w:eastAsia="Calibri" w:hAnsi="Arial" w:cs="Arial"/>
          <w:lang w:val="es-ES"/>
        </w:rPr>
        <w:t>(*)</w:t>
      </w:r>
    </w:p>
    <w:p w:rsidR="002E2D5C" w:rsidRPr="002E2D5C" w:rsidRDefault="002E2D5C" w:rsidP="002E2D5C">
      <w:pPr>
        <w:pStyle w:val="Prrafodelista"/>
        <w:spacing w:after="0" w:line="240" w:lineRule="auto"/>
        <w:ind w:left="1065"/>
        <w:jc w:val="both"/>
        <w:rPr>
          <w:rFonts w:ascii="Arial" w:eastAsia="Calibri" w:hAnsi="Arial" w:cs="Arial"/>
          <w:b/>
          <w:color w:val="FF0000"/>
          <w:sz w:val="16"/>
          <w:szCs w:val="16"/>
          <w:lang w:val="es-ES"/>
        </w:rPr>
      </w:pPr>
      <w:r w:rsidRPr="002E2D5C">
        <w:rPr>
          <w:rFonts w:ascii="Arial" w:eastAsia="Calibri" w:hAnsi="Arial" w:cs="Arial"/>
          <w:b/>
          <w:color w:val="FF0000"/>
          <w:sz w:val="16"/>
          <w:szCs w:val="16"/>
          <w:lang w:val="es-ES"/>
        </w:rPr>
        <w:t xml:space="preserve">(*) </w:t>
      </w:r>
      <w:r>
        <w:rPr>
          <w:rFonts w:ascii="Arial" w:eastAsia="Calibri" w:hAnsi="Arial" w:cs="Arial"/>
          <w:b/>
          <w:color w:val="FF0000"/>
          <w:sz w:val="16"/>
          <w:szCs w:val="16"/>
          <w:lang w:val="es-ES"/>
        </w:rPr>
        <w:t>Numeral</w:t>
      </w:r>
      <w:r w:rsidRPr="002E2D5C">
        <w:rPr>
          <w:rFonts w:ascii="Arial" w:eastAsia="Calibri" w:hAnsi="Arial" w:cs="Arial"/>
          <w:b/>
          <w:color w:val="FF0000"/>
          <w:sz w:val="16"/>
          <w:szCs w:val="16"/>
          <w:lang w:val="es-ES"/>
        </w:rPr>
        <w:t xml:space="preserve"> modificado por la Resolución N° 086-2016/SBN, publicada el 17-11-2016.  </w:t>
      </w:r>
    </w:p>
    <w:p w:rsidR="0017755E" w:rsidRPr="0017755E" w:rsidRDefault="0017755E" w:rsidP="0017755E">
      <w:pPr>
        <w:pStyle w:val="Prrafodelista"/>
        <w:spacing w:after="0" w:line="240" w:lineRule="auto"/>
        <w:ind w:left="1065"/>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b/>
          <w:lang w:val="es-ES"/>
        </w:rPr>
      </w:pPr>
      <w:r w:rsidRPr="006312E8">
        <w:rPr>
          <w:rFonts w:ascii="Arial" w:eastAsia="Calibri" w:hAnsi="Arial" w:cs="Arial"/>
          <w:b/>
          <w:lang w:val="es-ES"/>
        </w:rPr>
        <w:t xml:space="preserve">8.2 </w:t>
      </w:r>
      <w:r w:rsidRPr="006312E8">
        <w:rPr>
          <w:rFonts w:ascii="Arial" w:eastAsia="Calibri" w:hAnsi="Arial" w:cs="Arial"/>
          <w:b/>
          <w:lang w:val="es-ES"/>
        </w:rPr>
        <w:tab/>
        <w:t>Procedimiento para la opinión técnica</w:t>
      </w:r>
    </w:p>
    <w:p w:rsidR="006312E8" w:rsidRPr="006312E8" w:rsidRDefault="006312E8" w:rsidP="006312E8">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ab/>
        <w:t>Recibida la solicitud, la SDDI procederá a verificar la documentación presentada y de ser necesario, requerirá a la entidad, vía oficio o correo electrónico, los documentos complementarios o la aclaración que estime necesarios, para que dentro del término de diez (10) días hábiles, computados a partir del día siguiente de su notificación, proceda a la presentación de la documentación, bajo apercibimiento de tenerse por no presentada su solicitud. En el caso de que la documentación presentada se encuentre conforme o se hayan remitido los documentos complementarios y/o la aclaración, se procederá a abrir el respectivo expediente.</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b/>
          <w:lang w:val="es-ES"/>
        </w:rPr>
      </w:pPr>
      <w:r w:rsidRPr="006312E8">
        <w:rPr>
          <w:rFonts w:ascii="Arial" w:eastAsia="Calibri" w:hAnsi="Arial" w:cs="Arial"/>
          <w:b/>
          <w:lang w:val="es-ES"/>
        </w:rPr>
        <w:t xml:space="preserve">8.3 </w:t>
      </w:r>
      <w:r w:rsidRPr="006312E8">
        <w:rPr>
          <w:rFonts w:ascii="Arial" w:eastAsia="Calibri" w:hAnsi="Arial" w:cs="Arial"/>
          <w:b/>
          <w:lang w:val="es-ES"/>
        </w:rPr>
        <w:tab/>
        <w:t>Pronunciamiento de la SBN</w:t>
      </w:r>
    </w:p>
    <w:p w:rsidR="006312E8" w:rsidRPr="006312E8" w:rsidRDefault="006312E8" w:rsidP="006312E8">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ab/>
        <w:t>La opinión técnica de la SBN debe ser emitida en un plazo no mayor de treinta (30) días hábiles de recibida la solicitud o efectuada la subsanación de la misma. El pronunciamiento de la SBN está referido al cumplimiento de los requisitos que exige el procedimiento de transferencia, siendo de exclusiva responsabilidad de la entidad pública que propone la transferencia, la veracidad de la documentación remitida, así como de la aprobación de la valorización del predio, pudiendo la SBN realizar observaciones respecto a la valorización, en concordancia con el Reglamento Nacional de Tasaciones del Perú.</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b/>
          <w:lang w:val="es-ES"/>
        </w:rPr>
      </w:pPr>
      <w:r w:rsidRPr="006312E8">
        <w:rPr>
          <w:rFonts w:ascii="Arial" w:eastAsia="Calibri" w:hAnsi="Arial" w:cs="Arial"/>
          <w:b/>
          <w:lang w:val="es-ES"/>
        </w:rPr>
        <w:t>8.4 Trámite para la opinión técnica de las transferencias promovidas en el marco de la Ley Nº 29006 para el Sector Defensa</w:t>
      </w:r>
    </w:p>
    <w:p w:rsidR="006312E8" w:rsidRPr="006312E8" w:rsidRDefault="006312E8" w:rsidP="006312E8">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ab/>
        <w:t>En el caso de opinión favorable de la SBN para las transferencias promovidas en el marco de la Ley N</w:t>
      </w:r>
      <w:r w:rsidR="00F66C6C">
        <w:rPr>
          <w:rFonts w:ascii="Arial" w:eastAsia="Calibri" w:hAnsi="Arial" w:cs="Arial"/>
          <w:lang w:val="es-ES"/>
        </w:rPr>
        <w:t>°</w:t>
      </w:r>
      <w:r w:rsidRPr="006312E8">
        <w:rPr>
          <w:rFonts w:ascii="Arial" w:eastAsia="Calibri" w:hAnsi="Arial" w:cs="Arial"/>
          <w:lang w:val="es-ES"/>
        </w:rPr>
        <w:t xml:space="preserve"> 29006, Ley que autoriza la disposición de inmuebles del Sector Defensa, el trámite interno será el dispuesto en el Instructivo Nº 03 “Instructivo para atender el requerimiento de informe favorable de la SBN de conformidad para la desafectación y transferencia a favor del Sector Defensa.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567" w:hanging="567"/>
        <w:contextualSpacing/>
        <w:jc w:val="both"/>
        <w:rPr>
          <w:rFonts w:ascii="Arial" w:eastAsia="Calibri" w:hAnsi="Arial" w:cs="Arial"/>
          <w:b/>
          <w:lang w:val="es-ES"/>
        </w:rPr>
      </w:pPr>
      <w:r w:rsidRPr="006312E8">
        <w:rPr>
          <w:rFonts w:ascii="Arial" w:eastAsia="Calibri" w:hAnsi="Arial" w:cs="Arial"/>
          <w:b/>
          <w:lang w:val="es-ES"/>
        </w:rPr>
        <w:t xml:space="preserve">IX. </w:t>
      </w:r>
      <w:r w:rsidRPr="006312E8">
        <w:rPr>
          <w:rFonts w:ascii="Arial" w:eastAsia="Calibri" w:hAnsi="Arial" w:cs="Arial"/>
          <w:b/>
          <w:lang w:val="es-ES"/>
        </w:rPr>
        <w:tab/>
        <w:t>SEGUIMIENTO DE LOS ACTOS DE TRANSFERENCIA INTERESTATAL Y PROCEDIMIENTO DE REVERSIÓN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b/>
          <w:lang w:val="es-ES"/>
        </w:rPr>
      </w:pPr>
      <w:r w:rsidRPr="006312E8">
        <w:rPr>
          <w:rFonts w:ascii="Arial" w:eastAsia="Calibri" w:hAnsi="Arial" w:cs="Arial"/>
          <w:b/>
          <w:lang w:val="es-ES"/>
        </w:rPr>
        <w:t xml:space="preserve">9.1 </w:t>
      </w:r>
      <w:r w:rsidRPr="006312E8">
        <w:rPr>
          <w:rFonts w:ascii="Arial" w:eastAsia="Calibri" w:hAnsi="Arial" w:cs="Arial"/>
          <w:b/>
          <w:lang w:val="es-ES"/>
        </w:rPr>
        <w:tab/>
        <w:t>Cómputo del plazo para el cumplimiento de la finalidad</w:t>
      </w:r>
    </w:p>
    <w:p w:rsidR="006312E8" w:rsidRPr="006312E8" w:rsidRDefault="006312E8" w:rsidP="006312E8">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ab/>
        <w:t>El plazo para el cumplimiento de la finalidad para la cual es transferido un predio estatal será computado desde la fecha en que es consentida la resolución que aprueba dicha transferencia.</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ab/>
        <w:t>En el caso que el predio se haya transferido ocupado por terceros, el plazo se computará desde que la entidad adquirente haya tomado posesión efectiva del predio, siempre que acredite haber seguido las acciones legales correspondientes una vez que le fue transferido el predio a su favor.</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b/>
          <w:lang w:val="es-ES"/>
        </w:rPr>
      </w:pPr>
      <w:r w:rsidRPr="006312E8">
        <w:rPr>
          <w:rFonts w:ascii="Arial" w:eastAsia="Calibri" w:hAnsi="Arial" w:cs="Arial"/>
          <w:b/>
          <w:lang w:val="es-ES"/>
        </w:rPr>
        <w:t xml:space="preserve">9.2 </w:t>
      </w:r>
      <w:r w:rsidRPr="006312E8">
        <w:rPr>
          <w:rFonts w:ascii="Arial" w:eastAsia="Calibri" w:hAnsi="Arial" w:cs="Arial"/>
          <w:b/>
          <w:lang w:val="es-ES"/>
        </w:rPr>
        <w:tab/>
        <w:t>Ampliación del plazo otorgado para el cumplimiento de la finalidad para la cual fue transferido el predio estatal</w:t>
      </w:r>
    </w:p>
    <w:p w:rsidR="0017755E" w:rsidRPr="0017755E" w:rsidRDefault="006312E8" w:rsidP="0017755E">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ab/>
      </w:r>
      <w:r w:rsidR="0017755E" w:rsidRPr="0017755E">
        <w:rPr>
          <w:rFonts w:ascii="Arial" w:eastAsia="Calibri" w:hAnsi="Arial" w:cs="Arial"/>
          <w:lang w:val="es-ES"/>
        </w:rPr>
        <w:t>La entidad adquirente puede de manera excepcional solicitar la prórroga del plazo para el cumplimiento de la finalidad para la cual le fue transferido un predio estatal antes de su vencimiento, ante la respectiva entidad transferente. Para la procedencia de la solicitud se debe acreditar un avance de por lo menos un 60% en la ejecución de las obras o en la satisfacción de la prestación de un servicio. En el caso de la SBN, la solicitud será presentada ante la SDDI, la misma que deberá realizar la inspección técnica respectiva.</w:t>
      </w:r>
    </w:p>
    <w:p w:rsidR="0017755E" w:rsidRPr="0017755E" w:rsidRDefault="0017755E" w:rsidP="0017755E">
      <w:pPr>
        <w:spacing w:after="0" w:line="240" w:lineRule="auto"/>
        <w:ind w:left="709" w:hanging="425"/>
        <w:contextualSpacing/>
        <w:jc w:val="both"/>
        <w:rPr>
          <w:rFonts w:ascii="Arial" w:eastAsia="Calibri" w:hAnsi="Arial" w:cs="Arial"/>
          <w:lang w:val="es-ES"/>
        </w:rPr>
      </w:pPr>
    </w:p>
    <w:p w:rsidR="0017755E" w:rsidRPr="0017755E" w:rsidRDefault="0017755E" w:rsidP="0017755E">
      <w:pPr>
        <w:spacing w:after="0" w:line="240" w:lineRule="auto"/>
        <w:ind w:left="709" w:hanging="425"/>
        <w:contextualSpacing/>
        <w:jc w:val="both"/>
        <w:rPr>
          <w:rFonts w:ascii="Arial" w:eastAsia="Calibri" w:hAnsi="Arial" w:cs="Arial"/>
          <w:lang w:val="es-ES"/>
        </w:rPr>
      </w:pPr>
      <w:r w:rsidRPr="0017755E">
        <w:rPr>
          <w:rFonts w:ascii="Arial" w:eastAsia="Calibri" w:hAnsi="Arial" w:cs="Arial"/>
          <w:lang w:val="es-ES"/>
        </w:rPr>
        <w:tab/>
        <w:t>En ningún caso, la aprobación del pedido de prórroga será automático, de aceptarse la solicitud de prórroga, el plazo otorgado para el cumplimiento de la finalidad se ampliará por un (01) año adicional.</w:t>
      </w:r>
    </w:p>
    <w:p w:rsidR="0017755E" w:rsidRPr="0017755E" w:rsidRDefault="0017755E" w:rsidP="0017755E">
      <w:pPr>
        <w:spacing w:after="0" w:line="240" w:lineRule="auto"/>
        <w:ind w:left="709" w:hanging="425"/>
        <w:contextualSpacing/>
        <w:jc w:val="both"/>
        <w:rPr>
          <w:rFonts w:ascii="Arial" w:eastAsia="Calibri" w:hAnsi="Arial" w:cs="Arial"/>
          <w:lang w:val="es-ES"/>
        </w:rPr>
      </w:pPr>
    </w:p>
    <w:p w:rsidR="0017755E" w:rsidRPr="0017755E" w:rsidRDefault="0017755E" w:rsidP="0017755E">
      <w:pPr>
        <w:spacing w:after="0" w:line="240" w:lineRule="auto"/>
        <w:ind w:left="709" w:hanging="425"/>
        <w:contextualSpacing/>
        <w:jc w:val="both"/>
        <w:rPr>
          <w:rFonts w:ascii="Arial" w:eastAsia="Calibri" w:hAnsi="Arial" w:cs="Arial"/>
          <w:lang w:val="es-ES"/>
        </w:rPr>
      </w:pPr>
      <w:r w:rsidRPr="0017755E">
        <w:rPr>
          <w:rFonts w:ascii="Arial" w:eastAsia="Calibri" w:hAnsi="Arial" w:cs="Arial"/>
          <w:lang w:val="es-ES"/>
        </w:rPr>
        <w:tab/>
        <w:t>Respecto a las transferencias realizadas antes de la vigencia de la Ley, y de conformidad con lo establecido por la Sétima Disposición Complementaria Final del Reglamento, el adquirente podrá solicitar la prórroga del plazo, siempre y cuando el pedido se encuentre debidamente sustentado y será concedido en función de la envergadura del proyecto.</w:t>
      </w:r>
    </w:p>
    <w:p w:rsidR="0017755E" w:rsidRPr="0017755E" w:rsidRDefault="0017755E" w:rsidP="0017755E">
      <w:pPr>
        <w:spacing w:after="0" w:line="240" w:lineRule="auto"/>
        <w:ind w:left="709" w:hanging="425"/>
        <w:contextualSpacing/>
        <w:jc w:val="both"/>
        <w:rPr>
          <w:rFonts w:ascii="Arial" w:eastAsia="Calibri" w:hAnsi="Arial" w:cs="Arial"/>
          <w:lang w:val="es-ES"/>
        </w:rPr>
      </w:pPr>
    </w:p>
    <w:p w:rsidR="006312E8" w:rsidRDefault="0017755E" w:rsidP="0017755E">
      <w:pPr>
        <w:spacing w:after="0" w:line="240" w:lineRule="auto"/>
        <w:ind w:left="709" w:hanging="425"/>
        <w:contextualSpacing/>
        <w:jc w:val="both"/>
        <w:rPr>
          <w:rFonts w:ascii="Arial" w:eastAsia="Calibri" w:hAnsi="Arial" w:cs="Arial"/>
          <w:lang w:val="es-ES"/>
        </w:rPr>
      </w:pPr>
      <w:r w:rsidRPr="0017755E">
        <w:rPr>
          <w:rFonts w:ascii="Arial" w:eastAsia="Calibri" w:hAnsi="Arial" w:cs="Arial"/>
          <w:lang w:val="es-ES"/>
        </w:rPr>
        <w:tab/>
        <w:t>En todos los casos en que se haya otorgado la ampliación del plazo, la SDDI informará a la SDS, la cual deberá disponer la realización de inspecciones técnicas de manera periódica.</w:t>
      </w:r>
      <w:r>
        <w:rPr>
          <w:rFonts w:ascii="Arial" w:eastAsia="Calibri" w:hAnsi="Arial" w:cs="Arial"/>
          <w:lang w:val="es-ES"/>
        </w:rPr>
        <w:t>(*)</w:t>
      </w:r>
    </w:p>
    <w:p w:rsidR="0017755E" w:rsidRPr="006312E8" w:rsidRDefault="0017755E" w:rsidP="0017755E">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b/>
          <w:lang w:val="es-ES"/>
        </w:rPr>
      </w:pPr>
      <w:r w:rsidRPr="006312E8">
        <w:rPr>
          <w:rFonts w:ascii="Arial" w:eastAsia="Calibri" w:hAnsi="Arial" w:cs="Arial"/>
          <w:b/>
          <w:lang w:val="es-ES"/>
        </w:rPr>
        <w:t xml:space="preserve">9.3 </w:t>
      </w:r>
      <w:r w:rsidRPr="006312E8">
        <w:rPr>
          <w:rFonts w:ascii="Arial" w:eastAsia="Calibri" w:hAnsi="Arial" w:cs="Arial"/>
          <w:b/>
          <w:lang w:val="es-ES"/>
        </w:rPr>
        <w:tab/>
        <w:t>Acciones de supervisión sobre los predios transferidos</w:t>
      </w:r>
    </w:p>
    <w:p w:rsidR="006312E8" w:rsidRPr="006312E8" w:rsidRDefault="006312E8" w:rsidP="006312E8">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ab/>
        <w:t>Las entidades transferentes a través de sus unidades operativas deberán diseñar un programa o plan periódico que les permita realizar el seguimiento y supervisión de los actos de transferencias realizados, a fin de verificar el cumplimiento de la finalidad para la cual han sido otorgados los predios estatales dentro del plazo establecido para dicho efecto. En el caso de la SBN, la SDS aprobará un Plan de Supervisión Anual, para lo cual la SDDI comunicará mensualmente a la SDS sobre las transferencias consentidas, remitiéndole copia de las respectivas resoluciones. Las acciones de supervisión incluyen la revisión de los antecedentes documentales de la transferencia y del predio, así como la respectiva inspección técnica donde se verificará la condición física y legal del predio materia de transferencia, así como otros aspectos que se consideren relevantes o necesarios,</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b/>
          <w:lang w:val="es-ES"/>
        </w:rPr>
      </w:pPr>
      <w:r w:rsidRPr="006312E8">
        <w:rPr>
          <w:rFonts w:ascii="Arial" w:eastAsia="Calibri" w:hAnsi="Arial" w:cs="Arial"/>
          <w:b/>
          <w:lang w:val="es-ES"/>
        </w:rPr>
        <w:t xml:space="preserve">9.4 </w:t>
      </w:r>
      <w:r w:rsidRPr="006312E8">
        <w:rPr>
          <w:rFonts w:ascii="Arial" w:eastAsia="Calibri" w:hAnsi="Arial" w:cs="Arial"/>
          <w:b/>
          <w:lang w:val="es-ES"/>
        </w:rPr>
        <w:tab/>
        <w:t>Supervisión de los predios transferidos por entidades extintas</w:t>
      </w:r>
    </w:p>
    <w:p w:rsidR="006312E8" w:rsidRPr="006312E8" w:rsidRDefault="006312E8" w:rsidP="006312E8">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ab/>
        <w:t>En el caso de predios que fueron transferidos por entidades estatales que a la fecha se encuentran extinguidas, inexistentes o que no hayan sido transformadas, fusionadas o absorbidas por otras entidades estatales que puedan ser identificadas, corresponderá a la SBN, en representación del Estado, o al Gobierno Regional que haya asumido competencias, efectuar el acto de supervisión de dichos bienes estatales, y seguir el procedimiento de reversión que corresponda, en cuyo caso operará la reversión de dominio al Estado.</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b/>
          <w:lang w:val="es-ES"/>
        </w:rPr>
      </w:pPr>
      <w:r w:rsidRPr="006312E8">
        <w:rPr>
          <w:rFonts w:ascii="Arial" w:eastAsia="Calibri" w:hAnsi="Arial" w:cs="Arial"/>
          <w:b/>
          <w:lang w:val="es-ES"/>
        </w:rPr>
        <w:t xml:space="preserve">9.5 </w:t>
      </w:r>
      <w:r w:rsidRPr="006312E8">
        <w:rPr>
          <w:rFonts w:ascii="Arial" w:eastAsia="Calibri" w:hAnsi="Arial" w:cs="Arial"/>
          <w:b/>
          <w:lang w:val="es-ES"/>
        </w:rPr>
        <w:tab/>
        <w:t>Procedimiento de reversión</w:t>
      </w:r>
    </w:p>
    <w:p w:rsidR="0017755E" w:rsidRPr="0017755E" w:rsidRDefault="006312E8" w:rsidP="0017755E">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ab/>
      </w:r>
      <w:r w:rsidR="0017755E" w:rsidRPr="0017755E">
        <w:rPr>
          <w:rFonts w:ascii="Arial" w:eastAsia="Calibri" w:hAnsi="Arial" w:cs="Arial"/>
          <w:lang w:val="es-ES"/>
        </w:rPr>
        <w:t>El procedimiento de reversión se inicia luego de efectuada la inspección técnica a los predios estatales transferidos, cuando los profesionales de la SDS, tratándose de la SBN, o de la respectiva unidad operativa de la entidad transferente, adviertan que no se ha cumplido con la finalidad para la cual fueron transferidos los predios dentro del plazo establecido en la resolución o en el contrato de transferencia.</w:t>
      </w:r>
    </w:p>
    <w:p w:rsidR="0017755E" w:rsidRPr="0017755E" w:rsidRDefault="0017755E" w:rsidP="0017755E">
      <w:pPr>
        <w:spacing w:after="0" w:line="240" w:lineRule="auto"/>
        <w:ind w:left="709" w:hanging="425"/>
        <w:contextualSpacing/>
        <w:jc w:val="both"/>
        <w:rPr>
          <w:rFonts w:ascii="Arial" w:eastAsia="Calibri" w:hAnsi="Arial" w:cs="Arial"/>
          <w:lang w:val="es-ES"/>
        </w:rPr>
      </w:pPr>
    </w:p>
    <w:p w:rsidR="0017755E" w:rsidRPr="0017755E" w:rsidRDefault="0017755E" w:rsidP="0017755E">
      <w:pPr>
        <w:spacing w:after="0" w:line="240" w:lineRule="auto"/>
        <w:ind w:left="709" w:hanging="425"/>
        <w:contextualSpacing/>
        <w:jc w:val="both"/>
        <w:rPr>
          <w:rFonts w:ascii="Arial" w:eastAsia="Calibri" w:hAnsi="Arial" w:cs="Arial"/>
          <w:lang w:val="es-ES"/>
        </w:rPr>
      </w:pPr>
      <w:r w:rsidRPr="0017755E">
        <w:rPr>
          <w:rFonts w:ascii="Arial" w:eastAsia="Calibri" w:hAnsi="Arial" w:cs="Arial"/>
          <w:lang w:val="es-ES"/>
        </w:rPr>
        <w:tab/>
        <w:t>En ese sentido, el procedimiento de reversión se considera iniciado con la emisión del Informe Preliminar emitido por la SDS, en el cual se plasme la evaluación técnico legal realizada y se concluya que se ha incumplido con la finalidad para la cual fue transferido el predio estatal, en cuyo caso, se procederá a notificar a la entidad adquirente a efectos que en el plazo de quince (15) días hábiles presente sus descargos.</w:t>
      </w:r>
    </w:p>
    <w:p w:rsidR="0017755E" w:rsidRPr="0017755E" w:rsidRDefault="0017755E" w:rsidP="0017755E">
      <w:pPr>
        <w:spacing w:after="0" w:line="240" w:lineRule="auto"/>
        <w:ind w:left="709" w:hanging="425"/>
        <w:contextualSpacing/>
        <w:jc w:val="both"/>
        <w:rPr>
          <w:rFonts w:ascii="Arial" w:eastAsia="Calibri" w:hAnsi="Arial" w:cs="Arial"/>
          <w:lang w:val="es-ES"/>
        </w:rPr>
      </w:pPr>
    </w:p>
    <w:p w:rsidR="006312E8" w:rsidRPr="006312E8" w:rsidRDefault="0017755E" w:rsidP="0017755E">
      <w:pPr>
        <w:spacing w:after="0" w:line="240" w:lineRule="auto"/>
        <w:ind w:left="709" w:hanging="425"/>
        <w:contextualSpacing/>
        <w:jc w:val="both"/>
        <w:rPr>
          <w:rFonts w:ascii="Arial" w:eastAsia="Calibri" w:hAnsi="Arial" w:cs="Arial"/>
          <w:lang w:val="es-ES"/>
        </w:rPr>
      </w:pPr>
      <w:r w:rsidRPr="0017755E">
        <w:rPr>
          <w:rFonts w:ascii="Arial" w:eastAsia="Calibri" w:hAnsi="Arial" w:cs="Arial"/>
          <w:lang w:val="es-ES"/>
        </w:rPr>
        <w:tab/>
        <w:t>Si se advierte que el predio se encuentra ocupado por terceros no autorizados, la SDS, además, requerirá a la entidad adquiriente que adopte las acciones de recuperación del bien, sin perjuicio de continuar con el procedimiento de reversión.</w:t>
      </w:r>
      <w:r>
        <w:rPr>
          <w:rFonts w:ascii="Arial" w:eastAsia="Calibri" w:hAnsi="Arial" w:cs="Arial"/>
          <w:lang w:val="es-ES"/>
        </w:rPr>
        <w:t xml:space="preserve"> (*)</w:t>
      </w:r>
    </w:p>
    <w:p w:rsidR="002E2D5C" w:rsidRPr="006312E8" w:rsidRDefault="002E2D5C" w:rsidP="002E2D5C">
      <w:pPr>
        <w:spacing w:after="0" w:line="240" w:lineRule="auto"/>
        <w:ind w:left="709"/>
        <w:contextualSpacing/>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xml:space="preserve">(*) </w:t>
      </w:r>
      <w:r>
        <w:rPr>
          <w:rFonts w:ascii="Arial" w:eastAsia="Calibri" w:hAnsi="Arial" w:cs="Arial"/>
          <w:b/>
          <w:color w:val="FF0000"/>
          <w:sz w:val="16"/>
          <w:szCs w:val="16"/>
          <w:lang w:val="es-ES"/>
        </w:rPr>
        <w:t xml:space="preserve">Artículo modificado por la Resolución N° 086-2016/SBN, publicada el 17-11-2016. </w:t>
      </w:r>
      <w:r w:rsidRPr="006312E8">
        <w:rPr>
          <w:rFonts w:ascii="Arial" w:eastAsia="Calibri" w:hAnsi="Arial" w:cs="Arial"/>
          <w:b/>
          <w:color w:val="FF0000"/>
          <w:sz w:val="16"/>
          <w:szCs w:val="16"/>
          <w:lang w:val="es-ES"/>
        </w:rPr>
        <w:t xml:space="preserve"> </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b/>
          <w:lang w:val="es-ES"/>
        </w:rPr>
      </w:pPr>
      <w:r w:rsidRPr="006312E8">
        <w:rPr>
          <w:rFonts w:ascii="Arial" w:eastAsia="Calibri" w:hAnsi="Arial" w:cs="Arial"/>
          <w:b/>
          <w:lang w:val="es-ES"/>
        </w:rPr>
        <w:t xml:space="preserve">9.6 </w:t>
      </w:r>
      <w:r w:rsidRPr="006312E8">
        <w:rPr>
          <w:rFonts w:ascii="Arial" w:eastAsia="Calibri" w:hAnsi="Arial" w:cs="Arial"/>
          <w:b/>
          <w:lang w:val="es-ES"/>
        </w:rPr>
        <w:tab/>
        <w:t>Emisión de la resolución que dispone la reversión</w:t>
      </w:r>
    </w:p>
    <w:p w:rsidR="0017755E" w:rsidRPr="0017755E" w:rsidRDefault="006312E8" w:rsidP="0017755E">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ab/>
      </w:r>
      <w:r w:rsidR="0017755E" w:rsidRPr="0017755E">
        <w:rPr>
          <w:rFonts w:ascii="Arial" w:eastAsia="Calibri" w:hAnsi="Arial" w:cs="Arial"/>
          <w:lang w:val="es-ES"/>
        </w:rPr>
        <w:t>En caso que los descargos no sean suficientes o se presenten fuera de plazo, la SDS o quien haga sus veces procederá a elaborar el Informe final respectivo, el cual debe contener el análisis y fundamentación de la decisión de reversión, siendo este informe concluyente. Cuando los descargos se presenten de manera extemporánea, serán considerados como no presentados.</w:t>
      </w:r>
    </w:p>
    <w:p w:rsidR="0017755E" w:rsidRPr="0017755E" w:rsidRDefault="0017755E" w:rsidP="0017755E">
      <w:pPr>
        <w:spacing w:after="0" w:line="240" w:lineRule="auto"/>
        <w:ind w:left="709" w:hanging="425"/>
        <w:contextualSpacing/>
        <w:jc w:val="both"/>
        <w:rPr>
          <w:rFonts w:ascii="Arial" w:eastAsia="Calibri" w:hAnsi="Arial" w:cs="Arial"/>
          <w:lang w:val="es-ES"/>
        </w:rPr>
      </w:pPr>
    </w:p>
    <w:p w:rsidR="0017755E" w:rsidRPr="0017755E" w:rsidRDefault="0017755E" w:rsidP="0017755E">
      <w:pPr>
        <w:spacing w:after="0" w:line="240" w:lineRule="auto"/>
        <w:ind w:left="709" w:hanging="425"/>
        <w:contextualSpacing/>
        <w:jc w:val="both"/>
        <w:rPr>
          <w:rFonts w:ascii="Arial" w:eastAsia="Calibri" w:hAnsi="Arial" w:cs="Arial"/>
          <w:lang w:val="es-ES"/>
        </w:rPr>
      </w:pPr>
      <w:r w:rsidRPr="0017755E">
        <w:rPr>
          <w:rFonts w:ascii="Arial" w:eastAsia="Calibri" w:hAnsi="Arial" w:cs="Arial"/>
          <w:lang w:val="es-ES"/>
        </w:rPr>
        <w:tab/>
        <w:t>Con el Informe final, la SDS o el área correspondiente remitirá toda la información actuada a la SDAPE, o área respectiva, a fin que sobre la base de lo informado emita la resolución que disponga la reversión de dominio del bien al Estado o a la entidad, según corresponda.</w:t>
      </w:r>
    </w:p>
    <w:p w:rsidR="0017755E" w:rsidRPr="0017755E" w:rsidRDefault="0017755E" w:rsidP="0017755E">
      <w:pPr>
        <w:spacing w:after="0" w:line="240" w:lineRule="auto"/>
        <w:ind w:left="709" w:hanging="425"/>
        <w:contextualSpacing/>
        <w:jc w:val="both"/>
        <w:rPr>
          <w:rFonts w:ascii="Arial" w:eastAsia="Calibri" w:hAnsi="Arial" w:cs="Arial"/>
          <w:lang w:val="es-ES"/>
        </w:rPr>
      </w:pPr>
    </w:p>
    <w:p w:rsidR="006312E8" w:rsidRPr="006312E8" w:rsidRDefault="0017755E" w:rsidP="0017755E">
      <w:pPr>
        <w:spacing w:after="0" w:line="240" w:lineRule="auto"/>
        <w:ind w:left="709" w:hanging="425"/>
        <w:contextualSpacing/>
        <w:jc w:val="both"/>
        <w:rPr>
          <w:rFonts w:ascii="Arial" w:eastAsia="Calibri" w:hAnsi="Arial" w:cs="Arial"/>
          <w:lang w:val="es-ES"/>
        </w:rPr>
      </w:pPr>
      <w:r w:rsidRPr="0017755E">
        <w:rPr>
          <w:rFonts w:ascii="Arial" w:eastAsia="Calibri" w:hAnsi="Arial" w:cs="Arial"/>
          <w:lang w:val="es-ES"/>
        </w:rPr>
        <w:tab/>
        <w:t>La Resolución que dispone la reversión constituye título suficiente para su inscripción en el Registro de Predios</w:t>
      </w:r>
      <w:r w:rsidR="006312E8" w:rsidRPr="006312E8">
        <w:rPr>
          <w:rFonts w:ascii="Arial" w:eastAsia="Calibri" w:hAnsi="Arial" w:cs="Arial"/>
          <w:lang w:val="es-ES"/>
        </w:rPr>
        <w:t>.</w:t>
      </w:r>
      <w:r>
        <w:rPr>
          <w:rFonts w:ascii="Arial" w:eastAsia="Calibri" w:hAnsi="Arial" w:cs="Arial"/>
          <w:lang w:val="es-ES"/>
        </w:rPr>
        <w:t xml:space="preserve"> (*)</w:t>
      </w:r>
    </w:p>
    <w:p w:rsidR="002E2D5C" w:rsidRPr="006312E8" w:rsidRDefault="002E2D5C" w:rsidP="002E2D5C">
      <w:pPr>
        <w:spacing w:after="0" w:line="240" w:lineRule="auto"/>
        <w:ind w:left="709"/>
        <w:contextualSpacing/>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xml:space="preserve">(*) </w:t>
      </w:r>
      <w:r>
        <w:rPr>
          <w:rFonts w:ascii="Arial" w:eastAsia="Calibri" w:hAnsi="Arial" w:cs="Arial"/>
          <w:b/>
          <w:color w:val="FF0000"/>
          <w:sz w:val="16"/>
          <w:szCs w:val="16"/>
          <w:lang w:val="es-ES"/>
        </w:rPr>
        <w:t xml:space="preserve">Artículo modificado por la Resolución N° 086-2016/SBN, publicada el 17-11-2016. </w:t>
      </w:r>
      <w:r w:rsidRPr="006312E8">
        <w:rPr>
          <w:rFonts w:ascii="Arial" w:eastAsia="Calibri" w:hAnsi="Arial" w:cs="Arial"/>
          <w:b/>
          <w:color w:val="FF0000"/>
          <w:sz w:val="16"/>
          <w:szCs w:val="16"/>
          <w:lang w:val="es-ES"/>
        </w:rPr>
        <w:t xml:space="preserve"> </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b/>
          <w:lang w:val="es-ES"/>
        </w:rPr>
      </w:pPr>
      <w:r w:rsidRPr="006312E8">
        <w:rPr>
          <w:rFonts w:ascii="Arial" w:eastAsia="Calibri" w:hAnsi="Arial" w:cs="Arial"/>
          <w:b/>
          <w:lang w:val="es-ES"/>
        </w:rPr>
        <w:t xml:space="preserve">9.7 </w:t>
      </w:r>
      <w:r w:rsidRPr="006312E8">
        <w:rPr>
          <w:rFonts w:ascii="Arial" w:eastAsia="Calibri" w:hAnsi="Arial" w:cs="Arial"/>
          <w:b/>
          <w:lang w:val="es-ES"/>
        </w:rPr>
        <w:tab/>
        <w:t>Reversión de transferencias a título oneroso</w:t>
      </w:r>
    </w:p>
    <w:p w:rsidR="006312E8" w:rsidRPr="006312E8" w:rsidRDefault="006312E8" w:rsidP="006312E8">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ab/>
        <w:t>Para la reversión de un predio que haya sido trasferido a título oneroso, debe verificarse que dicha sanción haya sido prevista en la respectiva resolución o título de adjudicación. En ningún caso procede reembolso al afectado con la reversión.</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b/>
          <w:lang w:val="es-ES"/>
        </w:rPr>
      </w:pPr>
      <w:r w:rsidRPr="006312E8">
        <w:rPr>
          <w:rFonts w:ascii="Arial" w:eastAsia="Calibri" w:hAnsi="Arial" w:cs="Arial"/>
          <w:b/>
          <w:lang w:val="es-ES"/>
        </w:rPr>
        <w:t xml:space="preserve">9.8 </w:t>
      </w:r>
      <w:r w:rsidRPr="006312E8">
        <w:rPr>
          <w:rFonts w:ascii="Arial" w:eastAsia="Calibri" w:hAnsi="Arial" w:cs="Arial"/>
          <w:b/>
          <w:lang w:val="es-ES"/>
        </w:rPr>
        <w:tab/>
        <w:t>Inscripción en el Registro de Predios, de la actualización del SINABIP y del archivo del Expediente.</w:t>
      </w:r>
    </w:p>
    <w:p w:rsidR="006312E8" w:rsidRPr="006312E8" w:rsidRDefault="006312E8" w:rsidP="006312E8">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ab/>
        <w:t>Consentida la resolución que dispuso la reversión, ésta será remitida al Registro de Predios para su inscripción, luego de lo cual se remitirá dicha resolución y la documentación sustentatoria pertinente a la SDRC para que proceda a su inscripción, en el asiento correspondiente del SINABIP, bajo responsabilidad del titular del pliego de la entidad transferente. Finalmente, se dispondrá el archivo definitivo del Expediente.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284" w:hanging="284"/>
        <w:contextualSpacing/>
        <w:jc w:val="both"/>
        <w:rPr>
          <w:rFonts w:ascii="Arial" w:eastAsia="Calibri" w:hAnsi="Arial" w:cs="Arial"/>
          <w:b/>
          <w:lang w:val="es-ES"/>
        </w:rPr>
      </w:pPr>
      <w:r w:rsidRPr="006312E8">
        <w:rPr>
          <w:rFonts w:ascii="Arial" w:eastAsia="Calibri" w:hAnsi="Arial" w:cs="Arial"/>
          <w:b/>
          <w:lang w:val="es-ES"/>
        </w:rPr>
        <w:t>X. DISPOSICIÓN COMPLEMENTARIA TRANSITORIA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Única.- De los procedimientos iniciados vigencia de la presente Directiva.</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 presente Directiva será de aplicación a las consecuencias de las resoluciones de aprobación y los contratos de transferencia suscritos antes de su vigencia.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Asimismo, los procedimientos de transferencia que se encuentren en trámite y se hayan iniciado con el Reglamento, se regirán por la presente Directiva</w:t>
      </w:r>
    </w:p>
    <w:p w:rsidR="006312E8" w:rsidRDefault="006312E8" w:rsidP="006312E8">
      <w:pPr>
        <w:spacing w:after="0" w:line="240" w:lineRule="auto"/>
        <w:contextualSpacing/>
        <w:jc w:val="both"/>
        <w:rPr>
          <w:rFonts w:ascii="Arial" w:eastAsia="Calibri" w:hAnsi="Arial" w:cs="Arial"/>
          <w:lang w:val="es-ES"/>
        </w:rPr>
      </w:pPr>
    </w:p>
    <w:p w:rsidR="0017755E" w:rsidRDefault="0017755E" w:rsidP="0092471C">
      <w:pPr>
        <w:pStyle w:val="Prrafodelista"/>
        <w:numPr>
          <w:ilvl w:val="0"/>
          <w:numId w:val="158"/>
        </w:numPr>
        <w:spacing w:after="0" w:line="240" w:lineRule="auto"/>
        <w:ind w:left="426" w:hanging="425"/>
        <w:jc w:val="both"/>
        <w:rPr>
          <w:rFonts w:ascii="Arial" w:eastAsia="Calibri" w:hAnsi="Arial" w:cs="Arial"/>
          <w:b/>
          <w:lang w:val="es-ES"/>
        </w:rPr>
      </w:pPr>
      <w:r>
        <w:rPr>
          <w:rFonts w:ascii="Arial" w:eastAsia="Calibri" w:hAnsi="Arial" w:cs="Arial"/>
          <w:b/>
          <w:lang w:val="es-ES"/>
        </w:rPr>
        <w:t>DISPOSICION FINAL</w:t>
      </w:r>
    </w:p>
    <w:p w:rsidR="0017755E" w:rsidRDefault="0017755E" w:rsidP="0017755E">
      <w:pPr>
        <w:spacing w:after="0" w:line="240" w:lineRule="auto"/>
        <w:jc w:val="both"/>
        <w:rPr>
          <w:rFonts w:ascii="Arial" w:eastAsia="Calibri" w:hAnsi="Arial" w:cs="Arial"/>
          <w:b/>
          <w:lang w:val="es-ES"/>
        </w:rPr>
      </w:pPr>
    </w:p>
    <w:p w:rsidR="0017755E" w:rsidRPr="0017755E" w:rsidRDefault="0017755E" w:rsidP="0017755E">
      <w:pPr>
        <w:spacing w:after="0" w:line="240" w:lineRule="auto"/>
        <w:jc w:val="both"/>
        <w:rPr>
          <w:rFonts w:ascii="Arial" w:eastAsia="Calibri" w:hAnsi="Arial" w:cs="Arial"/>
          <w:b/>
          <w:lang w:val="es-ES"/>
        </w:rPr>
      </w:pPr>
      <w:r w:rsidRPr="0017755E">
        <w:rPr>
          <w:rFonts w:ascii="Arial" w:eastAsia="Calibri" w:hAnsi="Arial" w:cs="Arial"/>
          <w:b/>
          <w:lang w:val="es-ES"/>
        </w:rPr>
        <w:t>Única.- Del cumplimiento de las disposiciones contenidas en la presente Directiva</w:t>
      </w:r>
    </w:p>
    <w:p w:rsidR="0017755E" w:rsidRPr="0017755E" w:rsidRDefault="0017755E" w:rsidP="0017755E">
      <w:pPr>
        <w:spacing w:after="0" w:line="240" w:lineRule="auto"/>
        <w:jc w:val="both"/>
        <w:rPr>
          <w:rFonts w:ascii="Arial" w:eastAsia="Calibri" w:hAnsi="Arial" w:cs="Arial"/>
          <w:lang w:val="es-ES"/>
        </w:rPr>
      </w:pPr>
      <w:r w:rsidRPr="0017755E">
        <w:rPr>
          <w:rFonts w:ascii="Arial" w:eastAsia="Calibri" w:hAnsi="Arial" w:cs="Arial"/>
          <w:lang w:val="es-ES"/>
        </w:rPr>
        <w:t>La DGPE conjuntamente con la SDDI, son responsables de velar por el cumplimiento de las disposiciones contenidas en la presente Directiva, respecto de los predios de propiedad del Estado que se encuentran bajo administración de la SBN.</w:t>
      </w:r>
    </w:p>
    <w:p w:rsidR="0017755E" w:rsidRPr="0017755E" w:rsidRDefault="0017755E" w:rsidP="0017755E">
      <w:pPr>
        <w:spacing w:after="0" w:line="240" w:lineRule="auto"/>
        <w:jc w:val="both"/>
        <w:rPr>
          <w:rFonts w:ascii="Arial" w:eastAsia="Calibri" w:hAnsi="Arial" w:cs="Arial"/>
          <w:lang w:val="es-ES"/>
        </w:rPr>
      </w:pPr>
    </w:p>
    <w:p w:rsidR="0017755E" w:rsidRDefault="0017755E" w:rsidP="0017755E">
      <w:pPr>
        <w:spacing w:after="0" w:line="240" w:lineRule="auto"/>
        <w:jc w:val="both"/>
        <w:rPr>
          <w:rFonts w:ascii="Arial" w:eastAsia="Calibri" w:hAnsi="Arial" w:cs="Arial"/>
          <w:lang w:val="es-ES"/>
        </w:rPr>
      </w:pPr>
      <w:r w:rsidRPr="0017755E">
        <w:rPr>
          <w:rFonts w:ascii="Arial" w:eastAsia="Calibri" w:hAnsi="Arial" w:cs="Arial"/>
          <w:lang w:val="es-ES"/>
        </w:rPr>
        <w:t>Corresponde a cada órgano o área de las entidades que conforman el SNBE, designada para tal fin, velar por el cumplimiento de las disposiciones contenidas en la presente Directiva, de acuerdo a sus documentos internos de gestión.</w:t>
      </w:r>
      <w:r w:rsidR="002E2D5C">
        <w:rPr>
          <w:rFonts w:ascii="Arial" w:eastAsia="Calibri" w:hAnsi="Arial" w:cs="Arial"/>
          <w:lang w:val="es-ES"/>
        </w:rPr>
        <w:t xml:space="preserve"> (*)</w:t>
      </w:r>
    </w:p>
    <w:p w:rsidR="002E2D5C" w:rsidRPr="006312E8" w:rsidRDefault="002E2D5C" w:rsidP="002E2D5C">
      <w:pPr>
        <w:spacing w:after="0" w:line="240" w:lineRule="auto"/>
        <w:contextualSpacing/>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xml:space="preserve">(*) </w:t>
      </w:r>
      <w:r>
        <w:rPr>
          <w:rFonts w:ascii="Arial" w:eastAsia="Calibri" w:hAnsi="Arial" w:cs="Arial"/>
          <w:b/>
          <w:color w:val="FF0000"/>
          <w:sz w:val="16"/>
          <w:szCs w:val="16"/>
          <w:lang w:val="es-ES"/>
        </w:rPr>
        <w:t xml:space="preserve">Disposición Final incorporada por la Resolución N° 086-2016/SBN, publicada el 17-11-2016. </w:t>
      </w:r>
      <w:r w:rsidRPr="006312E8">
        <w:rPr>
          <w:rFonts w:ascii="Arial" w:eastAsia="Calibri" w:hAnsi="Arial" w:cs="Arial"/>
          <w:b/>
          <w:color w:val="FF0000"/>
          <w:sz w:val="16"/>
          <w:szCs w:val="16"/>
          <w:lang w:val="es-ES"/>
        </w:rPr>
        <w:t xml:space="preserve"> </w:t>
      </w:r>
    </w:p>
    <w:p w:rsidR="002E2D5C" w:rsidRPr="0017755E" w:rsidRDefault="002E2D5C" w:rsidP="0017755E">
      <w:pPr>
        <w:spacing w:after="0" w:line="240" w:lineRule="auto"/>
        <w:jc w:val="both"/>
        <w:rPr>
          <w:rFonts w:ascii="Arial" w:eastAsia="Calibri" w:hAnsi="Arial" w:cs="Arial"/>
          <w:lang w:val="es-ES"/>
        </w:rPr>
      </w:pPr>
    </w:p>
    <w:p w:rsidR="00E104C8" w:rsidRDefault="00E104C8" w:rsidP="006312E8">
      <w:pPr>
        <w:spacing w:after="0" w:line="240" w:lineRule="auto"/>
        <w:contextualSpacing/>
        <w:jc w:val="center"/>
        <w:rPr>
          <w:rFonts w:ascii="Arial" w:eastAsia="Calibri" w:hAnsi="Arial" w:cs="Arial"/>
          <w:b/>
          <w:sz w:val="28"/>
          <w:szCs w:val="28"/>
          <w:lang w:val="es-ES"/>
        </w:rPr>
      </w:pPr>
    </w:p>
    <w:p w:rsidR="00E104C8" w:rsidRDefault="00E104C8" w:rsidP="006312E8">
      <w:pPr>
        <w:spacing w:after="0" w:line="240" w:lineRule="auto"/>
        <w:contextualSpacing/>
        <w:jc w:val="center"/>
        <w:rPr>
          <w:rFonts w:ascii="Arial" w:eastAsia="Calibri" w:hAnsi="Arial" w:cs="Arial"/>
          <w:b/>
          <w:sz w:val="28"/>
          <w:szCs w:val="28"/>
          <w:lang w:val="es-ES"/>
        </w:rPr>
      </w:pPr>
    </w:p>
    <w:p w:rsidR="00E104C8" w:rsidRDefault="00E104C8" w:rsidP="006312E8">
      <w:pPr>
        <w:spacing w:after="0" w:line="240" w:lineRule="auto"/>
        <w:contextualSpacing/>
        <w:jc w:val="center"/>
        <w:rPr>
          <w:rFonts w:ascii="Arial" w:eastAsia="Calibri" w:hAnsi="Arial" w:cs="Arial"/>
          <w:b/>
          <w:sz w:val="28"/>
          <w:szCs w:val="28"/>
          <w:lang w:val="es-ES"/>
        </w:rPr>
      </w:pPr>
    </w:p>
    <w:p w:rsidR="00C61CE9" w:rsidRDefault="00C61CE9" w:rsidP="006312E8">
      <w:pPr>
        <w:spacing w:after="0" w:line="240" w:lineRule="auto"/>
        <w:contextualSpacing/>
        <w:jc w:val="center"/>
        <w:rPr>
          <w:rFonts w:ascii="Arial" w:eastAsia="Calibri" w:hAnsi="Arial" w:cs="Arial"/>
          <w:b/>
          <w:sz w:val="28"/>
          <w:szCs w:val="28"/>
          <w:lang w:val="es-ES"/>
        </w:rPr>
      </w:pPr>
    </w:p>
    <w:p w:rsidR="00C61CE9" w:rsidRDefault="00C61CE9" w:rsidP="006312E8">
      <w:pPr>
        <w:spacing w:after="0" w:line="240" w:lineRule="auto"/>
        <w:contextualSpacing/>
        <w:jc w:val="center"/>
        <w:rPr>
          <w:rFonts w:ascii="Arial" w:eastAsia="Calibri" w:hAnsi="Arial" w:cs="Arial"/>
          <w:b/>
          <w:sz w:val="28"/>
          <w:szCs w:val="28"/>
          <w:lang w:val="es-ES"/>
        </w:rPr>
      </w:pPr>
    </w:p>
    <w:p w:rsidR="00C61CE9" w:rsidRDefault="00C61CE9" w:rsidP="006312E8">
      <w:pPr>
        <w:spacing w:after="0" w:line="240" w:lineRule="auto"/>
        <w:contextualSpacing/>
        <w:jc w:val="center"/>
        <w:rPr>
          <w:rFonts w:ascii="Arial" w:eastAsia="Calibri" w:hAnsi="Arial" w:cs="Arial"/>
          <w:b/>
          <w:sz w:val="28"/>
          <w:szCs w:val="28"/>
          <w:lang w:val="es-ES"/>
        </w:rPr>
      </w:pPr>
    </w:p>
    <w:p w:rsidR="00C61CE9" w:rsidRDefault="00C61CE9" w:rsidP="006312E8">
      <w:pPr>
        <w:spacing w:after="0" w:line="240" w:lineRule="auto"/>
        <w:contextualSpacing/>
        <w:jc w:val="center"/>
        <w:rPr>
          <w:rFonts w:ascii="Arial" w:eastAsia="Calibri" w:hAnsi="Arial" w:cs="Arial"/>
          <w:b/>
          <w:sz w:val="28"/>
          <w:szCs w:val="28"/>
          <w:lang w:val="es-ES"/>
        </w:rPr>
      </w:pPr>
    </w:p>
    <w:p w:rsidR="00C61CE9" w:rsidRDefault="00C61CE9" w:rsidP="006312E8">
      <w:pPr>
        <w:spacing w:after="0" w:line="240" w:lineRule="auto"/>
        <w:contextualSpacing/>
        <w:jc w:val="center"/>
        <w:rPr>
          <w:rFonts w:ascii="Arial" w:eastAsia="Calibri" w:hAnsi="Arial" w:cs="Arial"/>
          <w:b/>
          <w:sz w:val="28"/>
          <w:szCs w:val="28"/>
          <w:lang w:val="es-ES"/>
        </w:rPr>
      </w:pPr>
    </w:p>
    <w:p w:rsidR="00C61CE9" w:rsidRDefault="00C61CE9" w:rsidP="006312E8">
      <w:pPr>
        <w:spacing w:after="0" w:line="240" w:lineRule="auto"/>
        <w:contextualSpacing/>
        <w:jc w:val="center"/>
        <w:rPr>
          <w:rFonts w:ascii="Arial" w:eastAsia="Calibri" w:hAnsi="Arial" w:cs="Arial"/>
          <w:b/>
          <w:sz w:val="28"/>
          <w:szCs w:val="28"/>
          <w:lang w:val="es-ES"/>
        </w:rPr>
      </w:pPr>
    </w:p>
    <w:p w:rsidR="00C61CE9" w:rsidRDefault="00C61CE9" w:rsidP="006312E8">
      <w:pPr>
        <w:spacing w:after="0" w:line="240" w:lineRule="auto"/>
        <w:contextualSpacing/>
        <w:jc w:val="center"/>
        <w:rPr>
          <w:rFonts w:ascii="Arial" w:eastAsia="Calibri" w:hAnsi="Arial" w:cs="Arial"/>
          <w:b/>
          <w:sz w:val="28"/>
          <w:szCs w:val="28"/>
          <w:lang w:val="es-ES"/>
        </w:rPr>
      </w:pPr>
    </w:p>
    <w:p w:rsidR="00C61CE9" w:rsidRDefault="00C61CE9" w:rsidP="006312E8">
      <w:pPr>
        <w:spacing w:after="0" w:line="240" w:lineRule="auto"/>
        <w:contextualSpacing/>
        <w:jc w:val="center"/>
        <w:rPr>
          <w:rFonts w:ascii="Arial" w:eastAsia="Calibri" w:hAnsi="Arial" w:cs="Arial"/>
          <w:b/>
          <w:sz w:val="28"/>
          <w:szCs w:val="28"/>
          <w:lang w:val="es-ES"/>
        </w:rPr>
      </w:pPr>
    </w:p>
    <w:p w:rsidR="00C61CE9" w:rsidRDefault="00C61CE9" w:rsidP="006312E8">
      <w:pPr>
        <w:spacing w:after="0" w:line="240" w:lineRule="auto"/>
        <w:contextualSpacing/>
        <w:jc w:val="center"/>
        <w:rPr>
          <w:rFonts w:ascii="Arial" w:eastAsia="Calibri" w:hAnsi="Arial" w:cs="Arial"/>
          <w:b/>
          <w:sz w:val="28"/>
          <w:szCs w:val="28"/>
          <w:lang w:val="es-ES"/>
        </w:rPr>
      </w:pPr>
    </w:p>
    <w:p w:rsidR="00C61CE9" w:rsidRDefault="00C61CE9" w:rsidP="006312E8">
      <w:pPr>
        <w:spacing w:after="0" w:line="240" w:lineRule="auto"/>
        <w:contextualSpacing/>
        <w:jc w:val="center"/>
        <w:rPr>
          <w:rFonts w:ascii="Arial" w:eastAsia="Calibri" w:hAnsi="Arial" w:cs="Arial"/>
          <w:b/>
          <w:sz w:val="28"/>
          <w:szCs w:val="28"/>
          <w:lang w:val="es-ES"/>
        </w:rPr>
      </w:pPr>
    </w:p>
    <w:p w:rsidR="00C61CE9" w:rsidRDefault="00C61CE9" w:rsidP="006312E8">
      <w:pPr>
        <w:spacing w:after="0" w:line="240" w:lineRule="auto"/>
        <w:contextualSpacing/>
        <w:jc w:val="center"/>
        <w:rPr>
          <w:rFonts w:ascii="Arial" w:eastAsia="Calibri" w:hAnsi="Arial" w:cs="Arial"/>
          <w:b/>
          <w:sz w:val="28"/>
          <w:szCs w:val="28"/>
          <w:lang w:val="es-ES"/>
        </w:rPr>
      </w:pPr>
    </w:p>
    <w:p w:rsidR="00C61CE9" w:rsidRDefault="00C61CE9" w:rsidP="006312E8">
      <w:pPr>
        <w:spacing w:after="0" w:line="240" w:lineRule="auto"/>
        <w:contextualSpacing/>
        <w:jc w:val="center"/>
        <w:rPr>
          <w:rFonts w:ascii="Arial" w:eastAsia="Calibri" w:hAnsi="Arial" w:cs="Arial"/>
          <w:b/>
          <w:sz w:val="28"/>
          <w:szCs w:val="28"/>
          <w:lang w:val="es-ES"/>
        </w:rPr>
      </w:pPr>
    </w:p>
    <w:p w:rsidR="00C61CE9" w:rsidRDefault="00C61CE9" w:rsidP="006312E8">
      <w:pPr>
        <w:spacing w:after="0" w:line="240" w:lineRule="auto"/>
        <w:contextualSpacing/>
        <w:jc w:val="center"/>
        <w:rPr>
          <w:rFonts w:ascii="Arial" w:eastAsia="Calibri" w:hAnsi="Arial" w:cs="Arial"/>
          <w:b/>
          <w:sz w:val="28"/>
          <w:szCs w:val="28"/>
          <w:lang w:val="es-ES"/>
        </w:rPr>
      </w:pPr>
    </w:p>
    <w:p w:rsidR="00FD044D" w:rsidRPr="006312E8" w:rsidRDefault="00FD044D" w:rsidP="00FD044D">
      <w:pPr>
        <w:pStyle w:val="TITO2"/>
      </w:pPr>
      <w:bookmarkStart w:id="301" w:name="_Toc470855549"/>
      <w:r w:rsidRPr="00DF401E">
        <w:rPr>
          <w:highlight w:val="lightGray"/>
        </w:rPr>
        <w:t>ACTOS DE SUPERVISION</w:t>
      </w:r>
      <w:bookmarkEnd w:id="301"/>
    </w:p>
    <w:p w:rsidR="00FD044D" w:rsidRPr="006312E8" w:rsidRDefault="00FD044D" w:rsidP="00FD044D">
      <w:pPr>
        <w:spacing w:after="0" w:line="240" w:lineRule="auto"/>
        <w:jc w:val="both"/>
        <w:rPr>
          <w:rFonts w:ascii="Arial" w:eastAsia="Calibri" w:hAnsi="Arial" w:cs="Arial"/>
          <w:lang w:val="es-ES"/>
        </w:rPr>
      </w:pPr>
    </w:p>
    <w:p w:rsidR="00FD044D" w:rsidRPr="006312E8" w:rsidRDefault="007216B0" w:rsidP="00FD044D">
      <w:pPr>
        <w:spacing w:after="0" w:line="240" w:lineRule="auto"/>
        <w:jc w:val="center"/>
        <w:rPr>
          <w:rFonts w:ascii="Arial" w:eastAsia="Calibri" w:hAnsi="Arial" w:cs="Arial"/>
          <w:b/>
          <w:sz w:val="28"/>
          <w:szCs w:val="28"/>
          <w:lang w:val="es-ES"/>
        </w:rPr>
      </w:pPr>
      <w:r>
        <w:rPr>
          <w:rFonts w:ascii="Arial" w:eastAsia="Calibri" w:hAnsi="Arial" w:cs="Arial"/>
          <w:b/>
          <w:sz w:val="28"/>
          <w:szCs w:val="28"/>
          <w:lang w:val="es-ES"/>
        </w:rPr>
        <w:t>RESOLUCION Nº 058</w:t>
      </w:r>
      <w:r w:rsidR="00FD044D">
        <w:rPr>
          <w:rFonts w:ascii="Arial" w:eastAsia="Calibri" w:hAnsi="Arial" w:cs="Arial"/>
          <w:b/>
          <w:sz w:val="28"/>
          <w:szCs w:val="28"/>
          <w:lang w:val="es-ES"/>
        </w:rPr>
        <w:t>-20</w:t>
      </w:r>
      <w:r>
        <w:rPr>
          <w:rFonts w:ascii="Arial" w:eastAsia="Calibri" w:hAnsi="Arial" w:cs="Arial"/>
          <w:b/>
          <w:sz w:val="28"/>
          <w:szCs w:val="28"/>
          <w:lang w:val="es-ES"/>
        </w:rPr>
        <w:t>16/</w:t>
      </w:r>
      <w:r w:rsidR="00FD044D" w:rsidRPr="006312E8">
        <w:rPr>
          <w:rFonts w:ascii="Arial" w:eastAsia="Calibri" w:hAnsi="Arial" w:cs="Arial"/>
          <w:b/>
          <w:sz w:val="28"/>
          <w:szCs w:val="28"/>
          <w:lang w:val="es-ES"/>
        </w:rPr>
        <w:t>SBN</w:t>
      </w:r>
    </w:p>
    <w:p w:rsidR="00FD044D" w:rsidRPr="006312E8" w:rsidRDefault="00FD044D" w:rsidP="00FD044D">
      <w:pPr>
        <w:spacing w:after="0" w:line="240" w:lineRule="auto"/>
        <w:jc w:val="both"/>
        <w:rPr>
          <w:rFonts w:ascii="Arial" w:eastAsia="Calibri" w:hAnsi="Arial" w:cs="Arial"/>
          <w:lang w:val="es-ES"/>
        </w:rPr>
      </w:pPr>
    </w:p>
    <w:p w:rsidR="006312E8" w:rsidRDefault="0080295E" w:rsidP="0080295E">
      <w:pPr>
        <w:spacing w:after="0" w:line="240" w:lineRule="auto"/>
        <w:contextualSpacing/>
        <w:jc w:val="center"/>
        <w:rPr>
          <w:rFonts w:ascii="Arial" w:eastAsia="Calibri" w:hAnsi="Arial" w:cs="Arial"/>
          <w:lang w:val="es-ES"/>
        </w:rPr>
      </w:pPr>
      <w:r w:rsidRPr="0080295E">
        <w:rPr>
          <w:rFonts w:ascii="Arial" w:eastAsia="Calibri" w:hAnsi="Arial" w:cs="Arial"/>
          <w:b/>
          <w:lang w:val="es-ES"/>
        </w:rPr>
        <w:t>Aprueban Directiva Nº 003-2016/SBN denominada “Lineamiento</w:t>
      </w:r>
      <w:r>
        <w:rPr>
          <w:rFonts w:ascii="Arial" w:eastAsia="Calibri" w:hAnsi="Arial" w:cs="Arial"/>
          <w:b/>
          <w:lang w:val="es-ES"/>
        </w:rPr>
        <w:t>s</w:t>
      </w:r>
      <w:r w:rsidRPr="0080295E">
        <w:rPr>
          <w:rFonts w:ascii="Arial" w:eastAsia="Calibri" w:hAnsi="Arial" w:cs="Arial"/>
          <w:b/>
          <w:lang w:val="es-ES"/>
        </w:rPr>
        <w:t xml:space="preserve"> para la Supervisión de Bienes Inmuebles Estatales</w:t>
      </w:r>
    </w:p>
    <w:p w:rsidR="00DB1DCC" w:rsidRDefault="00DB1DCC" w:rsidP="006312E8">
      <w:pPr>
        <w:spacing w:after="0" w:line="240" w:lineRule="auto"/>
        <w:contextualSpacing/>
        <w:jc w:val="both"/>
        <w:rPr>
          <w:rFonts w:ascii="Arial" w:eastAsia="Calibri" w:hAnsi="Arial" w:cs="Arial"/>
          <w:lang w:val="es-ES"/>
        </w:rPr>
      </w:pPr>
    </w:p>
    <w:p w:rsidR="00DB1DCC" w:rsidRDefault="0080295E" w:rsidP="0080295E">
      <w:pPr>
        <w:spacing w:after="0" w:line="240" w:lineRule="auto"/>
        <w:contextualSpacing/>
        <w:jc w:val="right"/>
        <w:rPr>
          <w:rFonts w:ascii="Arial" w:eastAsia="Calibri" w:hAnsi="Arial" w:cs="Arial"/>
          <w:b/>
          <w:lang w:val="es-ES"/>
        </w:rPr>
      </w:pPr>
      <w:r>
        <w:rPr>
          <w:rFonts w:ascii="Arial" w:eastAsia="Calibri" w:hAnsi="Arial" w:cs="Arial"/>
          <w:b/>
          <w:lang w:val="es-ES"/>
        </w:rPr>
        <w:t>Fecha de publicación: 17-08-2016</w:t>
      </w:r>
    </w:p>
    <w:p w:rsidR="0080295E" w:rsidRDefault="0080295E" w:rsidP="0080295E">
      <w:pPr>
        <w:spacing w:after="0" w:line="240" w:lineRule="auto"/>
        <w:contextualSpacing/>
        <w:jc w:val="right"/>
        <w:rPr>
          <w:rFonts w:ascii="Arial" w:eastAsia="Calibri" w:hAnsi="Arial" w:cs="Arial"/>
          <w:b/>
          <w:lang w:val="es-ES"/>
        </w:rPr>
      </w:pPr>
    </w:p>
    <w:p w:rsidR="00735F86" w:rsidRPr="0066746D" w:rsidRDefault="00735F86" w:rsidP="00735F86">
      <w:pPr>
        <w:spacing w:after="0" w:line="240" w:lineRule="auto"/>
        <w:contextualSpacing/>
        <w:jc w:val="both"/>
        <w:rPr>
          <w:rFonts w:ascii="Arial" w:eastAsia="Calibri" w:hAnsi="Arial" w:cs="Arial"/>
          <w:lang w:val="es-ES"/>
        </w:rPr>
      </w:pPr>
      <w:r>
        <w:rPr>
          <w:rFonts w:ascii="Arial" w:eastAsia="Calibri" w:hAnsi="Arial" w:cs="Arial"/>
          <w:lang w:val="es-ES"/>
        </w:rPr>
        <w:t>San Isidro, 15</w:t>
      </w:r>
      <w:r w:rsidRPr="0066746D">
        <w:rPr>
          <w:rFonts w:ascii="Arial" w:eastAsia="Calibri" w:hAnsi="Arial" w:cs="Arial"/>
          <w:lang w:val="es-ES"/>
        </w:rPr>
        <w:t xml:space="preserve"> de </w:t>
      </w:r>
      <w:r>
        <w:rPr>
          <w:rFonts w:ascii="Arial" w:eastAsia="Calibri" w:hAnsi="Arial" w:cs="Arial"/>
          <w:lang w:val="es-ES"/>
        </w:rPr>
        <w:t>agost</w:t>
      </w:r>
      <w:r w:rsidRPr="0066746D">
        <w:rPr>
          <w:rFonts w:ascii="Arial" w:eastAsia="Calibri" w:hAnsi="Arial" w:cs="Arial"/>
          <w:lang w:val="es-ES"/>
        </w:rPr>
        <w:t>o de 2016</w:t>
      </w:r>
    </w:p>
    <w:p w:rsidR="00735F86" w:rsidRPr="006312E8" w:rsidRDefault="00735F86" w:rsidP="00735F86">
      <w:pPr>
        <w:spacing w:after="0" w:line="240" w:lineRule="auto"/>
        <w:contextualSpacing/>
        <w:jc w:val="both"/>
        <w:rPr>
          <w:rFonts w:ascii="Arial" w:eastAsia="Calibri" w:hAnsi="Arial" w:cs="Arial"/>
          <w:b/>
          <w:lang w:val="es-ES"/>
        </w:rPr>
      </w:pPr>
    </w:p>
    <w:p w:rsidR="00735F86" w:rsidRPr="0082444B" w:rsidRDefault="00735F86" w:rsidP="00735F86">
      <w:pPr>
        <w:spacing w:after="0" w:line="240" w:lineRule="auto"/>
        <w:contextualSpacing/>
        <w:jc w:val="both"/>
        <w:rPr>
          <w:rFonts w:ascii="Arial" w:eastAsia="Calibri" w:hAnsi="Arial" w:cs="Arial"/>
          <w:b/>
          <w:lang w:val="es-ES"/>
        </w:rPr>
      </w:pPr>
      <w:r w:rsidRPr="0082444B">
        <w:rPr>
          <w:rFonts w:ascii="Arial" w:eastAsia="Calibri" w:hAnsi="Arial" w:cs="Arial"/>
          <w:b/>
          <w:lang w:val="es-ES"/>
        </w:rPr>
        <w:t>VISTO:</w:t>
      </w:r>
    </w:p>
    <w:p w:rsidR="00735F86" w:rsidRPr="0082444B" w:rsidRDefault="00735F86" w:rsidP="00735F86">
      <w:pPr>
        <w:spacing w:after="0" w:line="240" w:lineRule="auto"/>
        <w:contextualSpacing/>
        <w:jc w:val="both"/>
        <w:rPr>
          <w:rFonts w:ascii="Arial" w:eastAsia="Calibri" w:hAnsi="Arial" w:cs="Arial"/>
          <w:b/>
          <w:lang w:val="es-ES"/>
        </w:rPr>
      </w:pPr>
    </w:p>
    <w:p w:rsidR="00735F86" w:rsidRPr="0082444B" w:rsidRDefault="00735F86" w:rsidP="00735F86">
      <w:pPr>
        <w:spacing w:after="0" w:line="240" w:lineRule="auto"/>
        <w:contextualSpacing/>
        <w:jc w:val="both"/>
        <w:rPr>
          <w:rFonts w:ascii="Arial" w:eastAsia="Calibri" w:hAnsi="Arial" w:cs="Arial"/>
          <w:lang w:val="es-ES"/>
        </w:rPr>
      </w:pPr>
      <w:r w:rsidRPr="0082444B">
        <w:rPr>
          <w:rFonts w:ascii="Arial" w:eastAsia="Calibri" w:hAnsi="Arial" w:cs="Arial"/>
          <w:lang w:val="es-ES"/>
        </w:rPr>
        <w:t>El</w:t>
      </w:r>
      <w:r>
        <w:rPr>
          <w:rFonts w:ascii="Arial" w:eastAsia="Calibri" w:hAnsi="Arial" w:cs="Arial"/>
          <w:lang w:val="es-ES"/>
        </w:rPr>
        <w:t xml:space="preserve"> </w:t>
      </w:r>
      <w:r w:rsidRPr="0082444B">
        <w:rPr>
          <w:rFonts w:ascii="Arial" w:eastAsia="Calibri" w:hAnsi="Arial" w:cs="Arial"/>
          <w:lang w:val="es-ES"/>
        </w:rPr>
        <w:t xml:space="preserve">Informe N° </w:t>
      </w:r>
      <w:r>
        <w:rPr>
          <w:rFonts w:ascii="Arial" w:eastAsia="Calibri" w:hAnsi="Arial" w:cs="Arial"/>
          <w:lang w:val="es-ES"/>
        </w:rPr>
        <w:t>108</w:t>
      </w:r>
      <w:r w:rsidRPr="0082444B">
        <w:rPr>
          <w:rFonts w:ascii="Arial" w:eastAsia="Calibri" w:hAnsi="Arial" w:cs="Arial"/>
          <w:lang w:val="es-ES"/>
        </w:rPr>
        <w:t>-2</w:t>
      </w:r>
      <w:r>
        <w:rPr>
          <w:rFonts w:ascii="Arial" w:eastAsia="Calibri" w:hAnsi="Arial" w:cs="Arial"/>
          <w:lang w:val="es-ES"/>
        </w:rPr>
        <w:t xml:space="preserve">016/SBN-DNR-SDNC de fecha 11 de agosto de </w:t>
      </w:r>
      <w:r w:rsidRPr="0082444B">
        <w:rPr>
          <w:rFonts w:ascii="Arial" w:eastAsia="Calibri" w:hAnsi="Arial" w:cs="Arial"/>
          <w:lang w:val="es-ES"/>
        </w:rPr>
        <w:t>2016, emitido</w:t>
      </w:r>
      <w:r>
        <w:rPr>
          <w:rFonts w:ascii="Arial" w:eastAsia="Calibri" w:hAnsi="Arial" w:cs="Arial"/>
          <w:lang w:val="es-ES"/>
        </w:rPr>
        <w:t>s</w:t>
      </w:r>
      <w:r w:rsidRPr="0082444B">
        <w:rPr>
          <w:rFonts w:ascii="Arial" w:eastAsia="Calibri" w:hAnsi="Arial" w:cs="Arial"/>
          <w:lang w:val="es-ES"/>
        </w:rPr>
        <w:t xml:space="preserve"> por la Dirección de Normas y Registro</w:t>
      </w:r>
      <w:r>
        <w:rPr>
          <w:rFonts w:ascii="Arial" w:eastAsia="Calibri" w:hAnsi="Arial" w:cs="Arial"/>
          <w:lang w:val="es-ES"/>
        </w:rPr>
        <w:t>, y;</w:t>
      </w:r>
    </w:p>
    <w:p w:rsidR="00735F86" w:rsidRPr="0082444B" w:rsidRDefault="00735F86" w:rsidP="00735F86">
      <w:pPr>
        <w:spacing w:after="0" w:line="240" w:lineRule="auto"/>
        <w:contextualSpacing/>
        <w:jc w:val="both"/>
        <w:rPr>
          <w:rFonts w:ascii="Arial" w:eastAsia="Calibri" w:hAnsi="Arial" w:cs="Arial"/>
          <w:b/>
          <w:lang w:val="es-ES"/>
        </w:rPr>
      </w:pPr>
    </w:p>
    <w:p w:rsidR="00735F86" w:rsidRPr="0082444B" w:rsidRDefault="00735F86" w:rsidP="00735F86">
      <w:pPr>
        <w:spacing w:after="0" w:line="240" w:lineRule="auto"/>
        <w:contextualSpacing/>
        <w:jc w:val="both"/>
        <w:rPr>
          <w:rFonts w:ascii="Arial" w:eastAsia="Calibri" w:hAnsi="Arial" w:cs="Arial"/>
          <w:b/>
          <w:lang w:val="es-ES"/>
        </w:rPr>
      </w:pPr>
      <w:r w:rsidRPr="0082444B">
        <w:rPr>
          <w:rFonts w:ascii="Arial" w:eastAsia="Calibri" w:hAnsi="Arial" w:cs="Arial"/>
          <w:b/>
          <w:lang w:val="es-ES"/>
        </w:rPr>
        <w:t xml:space="preserve"> CONSIDERANDO:</w:t>
      </w:r>
    </w:p>
    <w:p w:rsidR="00735F86" w:rsidRPr="0082444B" w:rsidRDefault="00735F86" w:rsidP="00735F86">
      <w:pPr>
        <w:spacing w:after="0" w:line="240" w:lineRule="auto"/>
        <w:contextualSpacing/>
        <w:jc w:val="both"/>
        <w:rPr>
          <w:rFonts w:ascii="Arial" w:eastAsia="Calibri" w:hAnsi="Arial" w:cs="Arial"/>
          <w:b/>
          <w:lang w:val="es-ES"/>
        </w:rPr>
      </w:pPr>
    </w:p>
    <w:p w:rsidR="00735F86" w:rsidRPr="0082444B" w:rsidRDefault="00735F86" w:rsidP="00735F86">
      <w:pPr>
        <w:spacing w:after="0" w:line="240" w:lineRule="auto"/>
        <w:contextualSpacing/>
        <w:jc w:val="both"/>
        <w:rPr>
          <w:rFonts w:ascii="Arial" w:eastAsia="Calibri" w:hAnsi="Arial" w:cs="Arial"/>
          <w:lang w:val="es-ES"/>
        </w:rPr>
      </w:pPr>
      <w:r w:rsidRPr="0082444B">
        <w:rPr>
          <w:rFonts w:ascii="Arial" w:eastAsia="Calibri" w:hAnsi="Arial" w:cs="Arial"/>
          <w:lang w:val="es-ES"/>
        </w:rPr>
        <w:t>Que, la Superintendencia Nacional de Bienes Estatales (SBN) es un organismo público ejecutor, adscrito al Ministerio de Vivienda, Construcción y Saneamiento, y el Ente Rector del Sistema Nacional de Bienes Estatales (SNBE), responsable de normar los actos de adquisición, disposición, administración y supervisión de los bienes estatales, así como de ejecutar dichos actos respecto de los bienes cuya administración está a su cargo, de acuerdo a la normatividad vigente, gozando de autonomía económica, presupuestal, financiera, técnica y funcional, de conformidad a lo establecido en la Ley Nº 29151, Ley General del Sistema Nacional de Bienes Estatales y su Reglamento, aprobado por el Decreto Supremo Nº 007-2008-VIVIENDA;</w:t>
      </w:r>
    </w:p>
    <w:p w:rsidR="00735F86" w:rsidRPr="0082444B" w:rsidRDefault="00735F86" w:rsidP="00735F86">
      <w:pPr>
        <w:spacing w:after="0" w:line="240" w:lineRule="auto"/>
        <w:contextualSpacing/>
        <w:jc w:val="both"/>
        <w:rPr>
          <w:rFonts w:ascii="Arial" w:eastAsia="Calibri" w:hAnsi="Arial" w:cs="Arial"/>
          <w:lang w:val="es-ES"/>
        </w:rPr>
      </w:pPr>
    </w:p>
    <w:p w:rsidR="00735F86" w:rsidRPr="0082444B" w:rsidRDefault="00735F86" w:rsidP="00735F86">
      <w:pPr>
        <w:spacing w:after="0" w:line="240" w:lineRule="auto"/>
        <w:contextualSpacing/>
        <w:jc w:val="both"/>
        <w:rPr>
          <w:rFonts w:ascii="Arial" w:eastAsia="Calibri" w:hAnsi="Arial" w:cs="Arial"/>
          <w:lang w:val="es-ES"/>
        </w:rPr>
      </w:pPr>
      <w:r w:rsidRPr="0082444B">
        <w:rPr>
          <w:rFonts w:ascii="Arial" w:eastAsia="Calibri" w:hAnsi="Arial" w:cs="Arial"/>
          <w:lang w:val="es-ES"/>
        </w:rPr>
        <w:t>Que, el literal b) del numeral 14.1 del artículo 14º de la citada Ley, concordante con el literal a) del numeral 9.1 del artículo 9° de su Reglamento, aprobado por el Decreto Supremo N° 007-2008-VIVIENDA, señalan que la</w:t>
      </w:r>
      <w:r>
        <w:rPr>
          <w:rFonts w:ascii="Arial" w:eastAsia="Calibri" w:hAnsi="Arial" w:cs="Arial"/>
          <w:lang w:val="es-ES"/>
        </w:rPr>
        <w:t xml:space="preserve"> Superintendencia Nacional de Bienes Estatales -</w:t>
      </w:r>
      <w:r w:rsidRPr="0082444B">
        <w:rPr>
          <w:rFonts w:ascii="Arial" w:eastAsia="Calibri" w:hAnsi="Arial" w:cs="Arial"/>
          <w:lang w:val="es-ES"/>
        </w:rPr>
        <w:t xml:space="preserve"> SBN, en calidad de ente rector del S</w:t>
      </w:r>
      <w:r>
        <w:rPr>
          <w:rFonts w:ascii="Arial" w:eastAsia="Calibri" w:hAnsi="Arial" w:cs="Arial"/>
          <w:lang w:val="es-ES"/>
        </w:rPr>
        <w:t xml:space="preserve">istema </w:t>
      </w:r>
      <w:r w:rsidRPr="0082444B">
        <w:rPr>
          <w:rFonts w:ascii="Arial" w:eastAsia="Calibri" w:hAnsi="Arial" w:cs="Arial"/>
          <w:lang w:val="es-ES"/>
        </w:rPr>
        <w:t>N</w:t>
      </w:r>
      <w:r>
        <w:rPr>
          <w:rFonts w:ascii="Arial" w:eastAsia="Calibri" w:hAnsi="Arial" w:cs="Arial"/>
          <w:lang w:val="es-ES"/>
        </w:rPr>
        <w:t xml:space="preserve">acional de </w:t>
      </w:r>
      <w:r w:rsidRPr="0082444B">
        <w:rPr>
          <w:rFonts w:ascii="Arial" w:eastAsia="Calibri" w:hAnsi="Arial" w:cs="Arial"/>
          <w:lang w:val="es-ES"/>
        </w:rPr>
        <w:t>B</w:t>
      </w:r>
      <w:r>
        <w:rPr>
          <w:rFonts w:ascii="Arial" w:eastAsia="Calibri" w:hAnsi="Arial" w:cs="Arial"/>
          <w:lang w:val="es-ES"/>
        </w:rPr>
        <w:t xml:space="preserve">ienes </w:t>
      </w:r>
      <w:r w:rsidRPr="0082444B">
        <w:rPr>
          <w:rFonts w:ascii="Arial" w:eastAsia="Calibri" w:hAnsi="Arial" w:cs="Arial"/>
          <w:lang w:val="es-ES"/>
        </w:rPr>
        <w:t>E</w:t>
      </w:r>
      <w:r>
        <w:rPr>
          <w:rFonts w:ascii="Arial" w:eastAsia="Calibri" w:hAnsi="Arial" w:cs="Arial"/>
          <w:lang w:val="es-ES"/>
        </w:rPr>
        <w:t>statales</w:t>
      </w:r>
      <w:r w:rsidRPr="0082444B">
        <w:rPr>
          <w:rFonts w:ascii="Arial" w:eastAsia="Calibri" w:hAnsi="Arial" w:cs="Arial"/>
          <w:lang w:val="es-ES"/>
        </w:rPr>
        <w:t>, tiene la función de expedir directivas o disposiciones legales, entre otros, sobre los actos de disposición de bienes estatales, de cumplimiento obligatorio por parte de la</w:t>
      </w:r>
      <w:r>
        <w:rPr>
          <w:rFonts w:ascii="Arial" w:eastAsia="Calibri" w:hAnsi="Arial" w:cs="Arial"/>
          <w:lang w:val="es-ES"/>
        </w:rPr>
        <w:t>s entidades que conforman el Sistema</w:t>
      </w:r>
      <w:r w:rsidRPr="0082444B">
        <w:rPr>
          <w:rFonts w:ascii="Arial" w:eastAsia="Calibri" w:hAnsi="Arial" w:cs="Arial"/>
          <w:lang w:val="es-ES"/>
        </w:rPr>
        <w:t>;</w:t>
      </w:r>
    </w:p>
    <w:p w:rsidR="00735F86" w:rsidRPr="0082444B" w:rsidRDefault="00735F86" w:rsidP="00735F86">
      <w:pPr>
        <w:spacing w:after="0" w:line="240" w:lineRule="auto"/>
        <w:contextualSpacing/>
        <w:jc w:val="both"/>
        <w:rPr>
          <w:rFonts w:ascii="Arial" w:eastAsia="Calibri" w:hAnsi="Arial" w:cs="Arial"/>
          <w:lang w:val="es-ES"/>
        </w:rPr>
      </w:pPr>
    </w:p>
    <w:p w:rsidR="00735F86" w:rsidRDefault="00735F86" w:rsidP="00735F86">
      <w:pPr>
        <w:spacing w:after="0" w:line="240" w:lineRule="auto"/>
        <w:contextualSpacing/>
        <w:jc w:val="both"/>
        <w:rPr>
          <w:rFonts w:ascii="Arial" w:eastAsia="Calibri" w:hAnsi="Arial" w:cs="Arial"/>
          <w:lang w:val="es-ES"/>
        </w:rPr>
      </w:pPr>
      <w:r w:rsidRPr="0082444B">
        <w:rPr>
          <w:rFonts w:ascii="Arial" w:eastAsia="Calibri" w:hAnsi="Arial" w:cs="Arial"/>
          <w:lang w:val="es-ES"/>
        </w:rPr>
        <w:t>Qu</w:t>
      </w:r>
      <w:r>
        <w:rPr>
          <w:rFonts w:ascii="Arial" w:eastAsia="Calibri" w:hAnsi="Arial" w:cs="Arial"/>
          <w:lang w:val="es-ES"/>
        </w:rPr>
        <w:t>e, el literal f) del artículo 4 de la Ley N° 29151, define el acto de supervisión como el que desarrolla el ente rector sobre los bienes estatales y sobre los actos que recaen sobre los éstos; asimismo, respecto del cumplimiento del debido procedimiento que ejecuten las entidades públicas que conforman el Sistema Nacional de Bienes Estatales;</w:t>
      </w:r>
    </w:p>
    <w:p w:rsidR="00735F86" w:rsidRPr="0082444B" w:rsidRDefault="00735F86" w:rsidP="00735F86">
      <w:pPr>
        <w:spacing w:after="0" w:line="240" w:lineRule="auto"/>
        <w:contextualSpacing/>
        <w:jc w:val="both"/>
        <w:rPr>
          <w:rFonts w:ascii="Arial" w:eastAsia="Calibri" w:hAnsi="Arial" w:cs="Arial"/>
          <w:lang w:val="es-ES"/>
        </w:rPr>
      </w:pPr>
      <w:r w:rsidRPr="0082444B">
        <w:rPr>
          <w:rFonts w:ascii="Arial" w:eastAsia="Calibri" w:hAnsi="Arial" w:cs="Arial"/>
          <w:lang w:val="es-ES"/>
        </w:rPr>
        <w:t xml:space="preserve"> </w:t>
      </w:r>
    </w:p>
    <w:p w:rsidR="00735F86" w:rsidRDefault="00735F86" w:rsidP="00735F86">
      <w:pPr>
        <w:spacing w:after="0" w:line="240" w:lineRule="auto"/>
        <w:contextualSpacing/>
        <w:jc w:val="both"/>
        <w:rPr>
          <w:rFonts w:ascii="Arial" w:eastAsia="Calibri" w:hAnsi="Arial" w:cs="Arial"/>
          <w:lang w:val="es-ES"/>
        </w:rPr>
      </w:pPr>
      <w:r>
        <w:rPr>
          <w:rFonts w:ascii="Arial" w:eastAsia="Calibri" w:hAnsi="Arial" w:cs="Arial"/>
          <w:lang w:val="es-ES"/>
        </w:rPr>
        <w:t xml:space="preserve">Que, mediante </w:t>
      </w:r>
      <w:r w:rsidRPr="0082444B">
        <w:rPr>
          <w:rFonts w:ascii="Arial" w:eastAsia="Calibri" w:hAnsi="Arial" w:cs="Arial"/>
          <w:lang w:val="es-ES"/>
        </w:rPr>
        <w:t>l</w:t>
      </w:r>
      <w:r>
        <w:rPr>
          <w:rFonts w:ascii="Arial" w:eastAsia="Calibri" w:hAnsi="Arial" w:cs="Arial"/>
          <w:lang w:val="es-ES"/>
        </w:rPr>
        <w:t>os</w:t>
      </w:r>
      <w:r w:rsidRPr="0082444B">
        <w:rPr>
          <w:rFonts w:ascii="Arial" w:eastAsia="Calibri" w:hAnsi="Arial" w:cs="Arial"/>
          <w:lang w:val="es-ES"/>
        </w:rPr>
        <w:t xml:space="preserve"> documento</w:t>
      </w:r>
      <w:r>
        <w:rPr>
          <w:rFonts w:ascii="Arial" w:eastAsia="Calibri" w:hAnsi="Arial" w:cs="Arial"/>
          <w:lang w:val="es-ES"/>
        </w:rPr>
        <w:t>s</w:t>
      </w:r>
      <w:r w:rsidRPr="0082444B">
        <w:rPr>
          <w:rFonts w:ascii="Arial" w:eastAsia="Calibri" w:hAnsi="Arial" w:cs="Arial"/>
          <w:lang w:val="es-ES"/>
        </w:rPr>
        <w:t xml:space="preserve"> de visto</w:t>
      </w:r>
      <w:r>
        <w:rPr>
          <w:rFonts w:ascii="Arial" w:eastAsia="Calibri" w:hAnsi="Arial" w:cs="Arial"/>
          <w:lang w:val="es-ES"/>
        </w:rPr>
        <w:t>s</w:t>
      </w:r>
      <w:r w:rsidRPr="0082444B">
        <w:rPr>
          <w:rFonts w:ascii="Arial" w:eastAsia="Calibri" w:hAnsi="Arial" w:cs="Arial"/>
          <w:lang w:val="es-ES"/>
        </w:rPr>
        <w:t xml:space="preserve">, la Dirección de Normas y Registro </w:t>
      </w:r>
      <w:r>
        <w:rPr>
          <w:rFonts w:ascii="Arial" w:eastAsia="Calibri" w:hAnsi="Arial" w:cs="Arial"/>
          <w:lang w:val="es-ES"/>
        </w:rPr>
        <w:t>ha elaborado</w:t>
      </w:r>
      <w:r w:rsidRPr="0082444B">
        <w:rPr>
          <w:rFonts w:ascii="Arial" w:eastAsia="Calibri" w:hAnsi="Arial" w:cs="Arial"/>
          <w:lang w:val="es-ES"/>
        </w:rPr>
        <w:t xml:space="preserve"> la propuesta de </w:t>
      </w:r>
      <w:r>
        <w:rPr>
          <w:rFonts w:ascii="Arial" w:eastAsia="Calibri" w:hAnsi="Arial" w:cs="Arial"/>
          <w:lang w:val="es-ES"/>
        </w:rPr>
        <w:t>d</w:t>
      </w:r>
      <w:r w:rsidRPr="0082444B">
        <w:rPr>
          <w:rFonts w:ascii="Arial" w:eastAsia="Calibri" w:hAnsi="Arial" w:cs="Arial"/>
          <w:lang w:val="es-ES"/>
        </w:rPr>
        <w:t xml:space="preserve">irectiva denominada: “Procedimientos para la venta mediante subasta pública de predios de dominio privado del Estado de libre disponibilidad”, </w:t>
      </w:r>
      <w:r>
        <w:rPr>
          <w:rFonts w:ascii="Arial" w:eastAsia="Calibri" w:hAnsi="Arial" w:cs="Arial"/>
          <w:lang w:val="es-ES"/>
        </w:rPr>
        <w:t>que tiene por objeto regular los procedimientos para la autorización de venta por subasta pública y la ejecución de la subasta pública de predios de dominio privado del Estado de libre disponibilidad</w:t>
      </w:r>
      <w:r w:rsidRPr="0082444B">
        <w:rPr>
          <w:rFonts w:ascii="Arial" w:eastAsia="Calibri" w:hAnsi="Arial" w:cs="Arial"/>
          <w:lang w:val="es-ES"/>
        </w:rPr>
        <w:t>;</w:t>
      </w:r>
    </w:p>
    <w:p w:rsidR="00735F86" w:rsidRDefault="00735F86" w:rsidP="00735F86">
      <w:pPr>
        <w:spacing w:after="0" w:line="240" w:lineRule="auto"/>
        <w:contextualSpacing/>
        <w:jc w:val="both"/>
        <w:rPr>
          <w:rFonts w:ascii="Arial" w:eastAsia="Calibri" w:hAnsi="Arial" w:cs="Arial"/>
          <w:lang w:val="es-ES"/>
        </w:rPr>
      </w:pPr>
    </w:p>
    <w:p w:rsidR="00735F86" w:rsidRDefault="00735F86" w:rsidP="00735F86">
      <w:pPr>
        <w:spacing w:after="0" w:line="240" w:lineRule="auto"/>
        <w:contextualSpacing/>
        <w:jc w:val="both"/>
        <w:rPr>
          <w:rFonts w:ascii="Arial" w:eastAsia="Calibri" w:hAnsi="Arial" w:cs="Arial"/>
          <w:lang w:val="es-ES"/>
        </w:rPr>
      </w:pPr>
      <w:r>
        <w:rPr>
          <w:rFonts w:ascii="Arial" w:eastAsia="Calibri" w:hAnsi="Arial" w:cs="Arial"/>
          <w:lang w:val="es-ES"/>
        </w:rPr>
        <w:t xml:space="preserve">Que, el literal d) del numeral 14.1 del artículo 14 de la Ley N° 29151, en concordancia con el numeral 9.2 del artículo 9 de su Reglamento, señalan que es función exclusiva de la Superintendencia Nacional de Bienes Estatales </w:t>
      </w:r>
      <w:r w:rsidR="00B57902">
        <w:rPr>
          <w:rFonts w:ascii="Arial" w:eastAsia="Calibri" w:hAnsi="Arial" w:cs="Arial"/>
          <w:lang w:val="es-ES"/>
        </w:rPr>
        <w:t>–</w:t>
      </w:r>
      <w:r>
        <w:rPr>
          <w:rFonts w:ascii="Arial" w:eastAsia="Calibri" w:hAnsi="Arial" w:cs="Arial"/>
          <w:lang w:val="es-ES"/>
        </w:rPr>
        <w:t xml:space="preserve"> SBN</w:t>
      </w:r>
      <w:r w:rsidR="00B57902">
        <w:rPr>
          <w:rFonts w:ascii="Arial" w:eastAsia="Calibri" w:hAnsi="Arial" w:cs="Arial"/>
          <w:lang w:val="es-ES"/>
        </w:rPr>
        <w:t>, el supervisor los bienes estatales, así como el cumplimiento del debido procedimiento y de los actos que ejecuten las entidades pertenecientes al Sistema Nacional de Bienes  Estatales. En caso que la Superintendencia Nacional de Bienes Estatales – SBN determine las infracciones a la normatividad, pondrá las mismas en conocimiento de la entidad pública correspondiente y de la Contraloría General de la República, para las acciones correctivas y sanciones respectivas, bajo responsabilidad del Titular de la entidad pública.</w:t>
      </w:r>
    </w:p>
    <w:p w:rsidR="00B57902" w:rsidRDefault="00B57902" w:rsidP="00735F86">
      <w:pPr>
        <w:spacing w:after="0" w:line="240" w:lineRule="auto"/>
        <w:contextualSpacing/>
        <w:jc w:val="both"/>
        <w:rPr>
          <w:rFonts w:ascii="Arial" w:eastAsia="Calibri" w:hAnsi="Arial" w:cs="Arial"/>
          <w:lang w:val="es-ES"/>
        </w:rPr>
      </w:pPr>
    </w:p>
    <w:p w:rsidR="00B365A4" w:rsidRDefault="00B57902" w:rsidP="00735F86">
      <w:pPr>
        <w:spacing w:after="0" w:line="240" w:lineRule="auto"/>
        <w:contextualSpacing/>
        <w:jc w:val="both"/>
        <w:rPr>
          <w:rFonts w:ascii="Arial" w:eastAsia="Calibri" w:hAnsi="Arial" w:cs="Arial"/>
          <w:lang w:val="es-ES"/>
        </w:rPr>
      </w:pPr>
      <w:r>
        <w:rPr>
          <w:rFonts w:ascii="Arial" w:eastAsia="Calibri" w:hAnsi="Arial" w:cs="Arial"/>
          <w:lang w:val="es-ES"/>
        </w:rPr>
        <w:t>Que, el literal c) del artículo  7 de la Ley N° 29151, en concordancia con el artículo 31 de su Reglamento, dispone como una garantía del Sistema Nacional de Bienes Estatales, la supervisión permanente, a cargo del Ente Rector</w:t>
      </w:r>
      <w:r w:rsidR="00D77D8F">
        <w:rPr>
          <w:rFonts w:ascii="Arial" w:eastAsia="Calibri" w:hAnsi="Arial" w:cs="Arial"/>
          <w:lang w:val="es-ES"/>
        </w:rPr>
        <w:t>, de los actos de adquisición</w:t>
      </w:r>
      <w:r w:rsidR="00B365A4">
        <w:rPr>
          <w:rFonts w:ascii="Arial" w:eastAsia="Calibri" w:hAnsi="Arial" w:cs="Arial"/>
          <w:lang w:val="es-ES"/>
        </w:rPr>
        <w:t>, administración y disposición ejecutados por los organismos que conforman el Sistema Nacional de Bienes Estatales;</w:t>
      </w:r>
    </w:p>
    <w:p w:rsidR="00B365A4" w:rsidRDefault="00B365A4" w:rsidP="00735F86">
      <w:pPr>
        <w:spacing w:after="0" w:line="240" w:lineRule="auto"/>
        <w:contextualSpacing/>
        <w:jc w:val="both"/>
        <w:rPr>
          <w:rFonts w:ascii="Arial" w:eastAsia="Calibri" w:hAnsi="Arial" w:cs="Arial"/>
          <w:lang w:val="es-ES"/>
        </w:rPr>
      </w:pPr>
    </w:p>
    <w:p w:rsidR="00B365A4" w:rsidRDefault="00B365A4" w:rsidP="00735F86">
      <w:pPr>
        <w:spacing w:after="0" w:line="240" w:lineRule="auto"/>
        <w:contextualSpacing/>
        <w:jc w:val="both"/>
        <w:rPr>
          <w:rFonts w:ascii="Arial" w:eastAsia="Calibri" w:hAnsi="Arial" w:cs="Arial"/>
          <w:lang w:val="es-ES"/>
        </w:rPr>
      </w:pPr>
      <w:r>
        <w:rPr>
          <w:rFonts w:ascii="Arial" w:eastAsia="Calibri" w:hAnsi="Arial" w:cs="Arial"/>
          <w:lang w:val="es-ES"/>
        </w:rPr>
        <w:t>Que, de otro lado, el artículo 11 de la Ley N° 29151, dispone que las entidades que conforman el Sistema Nacional de Bienes Estatales, realizaran los actos de adquisición, administración, disposición, registro y supervisión de los bienes estatales, de acuerdo con lo dispuesto por la mencionada Ley y su Reglamento.</w:t>
      </w:r>
    </w:p>
    <w:p w:rsidR="00B365A4" w:rsidRDefault="00B365A4" w:rsidP="00735F86">
      <w:pPr>
        <w:spacing w:after="0" w:line="240" w:lineRule="auto"/>
        <w:contextualSpacing/>
        <w:jc w:val="both"/>
        <w:rPr>
          <w:rFonts w:ascii="Arial" w:eastAsia="Calibri" w:hAnsi="Arial" w:cs="Arial"/>
          <w:lang w:val="es-ES"/>
        </w:rPr>
      </w:pPr>
    </w:p>
    <w:p w:rsidR="00B365A4" w:rsidRDefault="00B365A4" w:rsidP="00735F86">
      <w:pPr>
        <w:spacing w:after="0" w:line="240" w:lineRule="auto"/>
        <w:contextualSpacing/>
        <w:jc w:val="both"/>
        <w:rPr>
          <w:rFonts w:ascii="Arial" w:eastAsia="Calibri" w:hAnsi="Arial" w:cs="Arial"/>
          <w:lang w:val="es-ES"/>
        </w:rPr>
      </w:pPr>
      <w:r>
        <w:rPr>
          <w:rFonts w:ascii="Arial" w:eastAsia="Calibri" w:hAnsi="Arial" w:cs="Arial"/>
          <w:lang w:val="es-ES"/>
        </w:rPr>
        <w:t>Que, asimismo, el literal b) del artículo 10 del Reglamento de la Ley N° 29151, precisa que las entidades realizan inspecciones técnicas de sus bienes y de los que se encuentran bajo su administración para verificar el uso y destino, a fin de lograr una eficiente gestión de los mismos;</w:t>
      </w:r>
    </w:p>
    <w:p w:rsidR="00B365A4" w:rsidRDefault="00B365A4" w:rsidP="00735F86">
      <w:pPr>
        <w:spacing w:after="0" w:line="240" w:lineRule="auto"/>
        <w:contextualSpacing/>
        <w:jc w:val="both"/>
        <w:rPr>
          <w:rFonts w:ascii="Arial" w:eastAsia="Calibri" w:hAnsi="Arial" w:cs="Arial"/>
          <w:lang w:val="es-ES"/>
        </w:rPr>
      </w:pPr>
    </w:p>
    <w:p w:rsidR="00B57902" w:rsidRDefault="00B365A4" w:rsidP="00735F86">
      <w:pPr>
        <w:spacing w:after="0" w:line="240" w:lineRule="auto"/>
        <w:contextualSpacing/>
        <w:jc w:val="both"/>
        <w:rPr>
          <w:rFonts w:ascii="Arial" w:eastAsia="Calibri" w:hAnsi="Arial" w:cs="Arial"/>
          <w:lang w:val="es-ES"/>
        </w:rPr>
      </w:pPr>
      <w:r>
        <w:rPr>
          <w:rFonts w:ascii="Arial" w:eastAsia="Calibri" w:hAnsi="Arial" w:cs="Arial"/>
          <w:lang w:val="es-ES"/>
        </w:rPr>
        <w:t>Que, el artículo 41-A del Reglamento de la Ley N° 29151, dispone que la supervisión de la Superintendencia Nacional de Bienes Estatales – SBN sobre los bienes de dominio público comprende también las acciones que en conjunto pueda promover con las entidades responsables de la administración, conservación y tutela de los bienes de dominio público tendientes al ejercicio efectivo del uso o servicio público;</w:t>
      </w:r>
    </w:p>
    <w:p w:rsidR="00B365A4" w:rsidRDefault="00B365A4" w:rsidP="00735F86">
      <w:pPr>
        <w:spacing w:after="0" w:line="240" w:lineRule="auto"/>
        <w:contextualSpacing/>
        <w:jc w:val="both"/>
        <w:rPr>
          <w:rFonts w:ascii="Arial" w:eastAsia="Calibri" w:hAnsi="Arial" w:cs="Arial"/>
          <w:lang w:val="es-ES"/>
        </w:rPr>
      </w:pPr>
    </w:p>
    <w:p w:rsidR="00B365A4" w:rsidRDefault="00B365A4" w:rsidP="00735F86">
      <w:pPr>
        <w:spacing w:after="0" w:line="240" w:lineRule="auto"/>
        <w:contextualSpacing/>
        <w:jc w:val="both"/>
        <w:rPr>
          <w:rFonts w:ascii="Arial" w:eastAsia="Calibri" w:hAnsi="Arial" w:cs="Arial"/>
          <w:lang w:val="es-ES"/>
        </w:rPr>
      </w:pPr>
      <w:r>
        <w:rPr>
          <w:rFonts w:ascii="Arial" w:eastAsia="Calibri" w:hAnsi="Arial" w:cs="Arial"/>
          <w:lang w:val="es-ES"/>
        </w:rPr>
        <w:t>Que, mediante documento de visto, la Dirección de Normas y Registro, propone la aprobación de la Directiva denominada “Lineamientos para la Supervisión de Bienes Inmuebles Estatales”, para regular las actuaciones de supervisión de los bienes inmuebles del Estado, así como también, de los actos que recaen sobre estos y del cumplimiento del debido procedimiento que ejecutan las entidades del Sistema Nacional de Bienes Estatales;</w:t>
      </w:r>
    </w:p>
    <w:p w:rsidR="00B365A4" w:rsidRDefault="00B365A4" w:rsidP="00735F86">
      <w:pPr>
        <w:spacing w:after="0" w:line="240" w:lineRule="auto"/>
        <w:contextualSpacing/>
        <w:jc w:val="both"/>
        <w:rPr>
          <w:rFonts w:ascii="Arial" w:eastAsia="Calibri" w:hAnsi="Arial" w:cs="Arial"/>
          <w:lang w:val="es-ES"/>
        </w:rPr>
      </w:pPr>
    </w:p>
    <w:p w:rsidR="00B365A4" w:rsidRDefault="00B365A4" w:rsidP="00735F86">
      <w:pPr>
        <w:spacing w:after="0" w:line="240" w:lineRule="auto"/>
        <w:contextualSpacing/>
        <w:jc w:val="both"/>
        <w:rPr>
          <w:rFonts w:ascii="Arial" w:eastAsia="Calibri" w:hAnsi="Arial" w:cs="Arial"/>
          <w:lang w:val="es-ES"/>
        </w:rPr>
      </w:pPr>
      <w:r>
        <w:rPr>
          <w:rFonts w:ascii="Arial" w:eastAsia="Calibri" w:hAnsi="Arial" w:cs="Arial"/>
          <w:lang w:val="es-ES"/>
        </w:rPr>
        <w:t>Que, la Directiva mencionada en el párrafo precedente, recoge las propuestas normativas de los órganos y unidades  orgánicas de la Superintendencia Nacional de Bienes Estatales – SBN involucradas en las actuaciones de supervisión; así como, las Recomendaciones formuladas por la Contraloría General de la República mediante el Informe de Auditoria N° 028-2016-CG/VIT-AC sobre “Evaluación de las acciones de supervisión, inmatriculación y recuperación de predios ocupados en zona de playa protegida en los departamentos de Piura y Tumbes” a través del cual recomienda se elaboren los instrumentos normativos que regulen el proceso de supervisión en la zona de playa protegida;</w:t>
      </w:r>
    </w:p>
    <w:p w:rsidR="00B365A4" w:rsidRDefault="00B365A4" w:rsidP="00735F86">
      <w:pPr>
        <w:spacing w:after="0" w:line="240" w:lineRule="auto"/>
        <w:contextualSpacing/>
        <w:jc w:val="both"/>
        <w:rPr>
          <w:rFonts w:ascii="Arial" w:eastAsia="Calibri" w:hAnsi="Arial" w:cs="Arial"/>
          <w:lang w:val="es-ES"/>
        </w:rPr>
      </w:pPr>
    </w:p>
    <w:p w:rsidR="00B365A4" w:rsidRPr="0082444B" w:rsidRDefault="00B365A4" w:rsidP="00735F86">
      <w:pPr>
        <w:spacing w:after="0" w:line="240" w:lineRule="auto"/>
        <w:contextualSpacing/>
        <w:jc w:val="both"/>
        <w:rPr>
          <w:rFonts w:ascii="Arial" w:eastAsia="Calibri" w:hAnsi="Arial" w:cs="Arial"/>
          <w:lang w:val="es-ES"/>
        </w:rPr>
      </w:pPr>
      <w:r>
        <w:rPr>
          <w:rFonts w:ascii="Arial" w:eastAsia="Calibri" w:hAnsi="Arial" w:cs="Arial"/>
          <w:lang w:val="es-ES"/>
        </w:rPr>
        <w:t>Que, en tal sentido, resulta necesario aprobar la directiva que regule los “Lineamientos para la Supervisión</w:t>
      </w:r>
      <w:r w:rsidR="007F13DC">
        <w:rPr>
          <w:rFonts w:ascii="Arial" w:eastAsia="Calibri" w:hAnsi="Arial" w:cs="Arial"/>
          <w:lang w:val="es-ES"/>
        </w:rPr>
        <w:t xml:space="preserve"> de Bienes Inmuebles Estatales”, a fin de garantizar el uso y la correcta aplicación de la normativa legal aplicable en los actos de adquisición, administración, disposición y registro por parte de las entidades del Sistema Nacional de Bienes Estatales;</w:t>
      </w:r>
    </w:p>
    <w:p w:rsidR="00735F86" w:rsidRPr="0082444B" w:rsidRDefault="00735F86" w:rsidP="00735F86">
      <w:pPr>
        <w:spacing w:after="0" w:line="240" w:lineRule="auto"/>
        <w:contextualSpacing/>
        <w:jc w:val="both"/>
        <w:rPr>
          <w:rFonts w:ascii="Arial" w:eastAsia="Calibri" w:hAnsi="Arial" w:cs="Arial"/>
          <w:lang w:val="es-ES"/>
        </w:rPr>
      </w:pPr>
    </w:p>
    <w:p w:rsidR="00735F86" w:rsidRPr="0082444B" w:rsidRDefault="00735F86" w:rsidP="00735F86">
      <w:pPr>
        <w:spacing w:after="0" w:line="240" w:lineRule="auto"/>
        <w:contextualSpacing/>
        <w:jc w:val="both"/>
        <w:rPr>
          <w:rFonts w:ascii="Arial" w:eastAsia="Calibri" w:hAnsi="Arial" w:cs="Arial"/>
          <w:lang w:val="es-ES"/>
        </w:rPr>
      </w:pPr>
      <w:r w:rsidRPr="0082444B">
        <w:rPr>
          <w:rFonts w:ascii="Arial" w:eastAsia="Calibri" w:hAnsi="Arial" w:cs="Arial"/>
          <w:lang w:val="es-ES"/>
        </w:rPr>
        <w:t>Con los visados de la Secretaría General, la Oficina de Planeamiento y Presupuesto, la Oficina de Asesoría Jurídica, la Dirección de Normas y Registro, la Dirección de</w:t>
      </w:r>
      <w:r w:rsidR="007F13DC">
        <w:rPr>
          <w:rFonts w:ascii="Arial" w:eastAsia="Calibri" w:hAnsi="Arial" w:cs="Arial"/>
          <w:lang w:val="es-ES"/>
        </w:rPr>
        <w:t xml:space="preserve"> Gestión del Patrimonio Estatal</w:t>
      </w:r>
      <w:r w:rsidRPr="0082444B">
        <w:rPr>
          <w:rFonts w:ascii="Arial" w:eastAsia="Calibri" w:hAnsi="Arial" w:cs="Arial"/>
          <w:lang w:val="es-ES"/>
        </w:rPr>
        <w:t xml:space="preserve">; y, </w:t>
      </w:r>
    </w:p>
    <w:p w:rsidR="00735F86" w:rsidRPr="0082444B" w:rsidRDefault="00735F86" w:rsidP="00735F86">
      <w:pPr>
        <w:spacing w:after="0" w:line="240" w:lineRule="auto"/>
        <w:contextualSpacing/>
        <w:jc w:val="both"/>
        <w:rPr>
          <w:rFonts w:ascii="Arial" w:eastAsia="Calibri" w:hAnsi="Arial" w:cs="Arial"/>
          <w:lang w:val="es-ES"/>
        </w:rPr>
      </w:pPr>
    </w:p>
    <w:p w:rsidR="00735F86" w:rsidRPr="0082444B" w:rsidRDefault="00735F86" w:rsidP="00735F86">
      <w:pPr>
        <w:spacing w:after="0" w:line="240" w:lineRule="auto"/>
        <w:contextualSpacing/>
        <w:jc w:val="both"/>
        <w:rPr>
          <w:rFonts w:ascii="Arial" w:eastAsia="Calibri" w:hAnsi="Arial" w:cs="Arial"/>
          <w:b/>
          <w:lang w:val="es-ES"/>
        </w:rPr>
      </w:pPr>
      <w:r w:rsidRPr="0082444B">
        <w:rPr>
          <w:rFonts w:ascii="Arial" w:eastAsia="Calibri" w:hAnsi="Arial" w:cs="Arial"/>
          <w:lang w:val="es-ES"/>
        </w:rPr>
        <w:t>De conformidad con lo establecido en el literal b) del numeral 14.1 del artículo 14 de la Ley N° 29151, Ley General del Sistema Nacional de Bienes Estatales, el literal a) del numeral 9.1 del artículo 9 del Reglamento de la Ley N° 29151, aprobado por el Decreto Supremo N° 007-2008-VIVIENDA, modificado por el Decreto Supremo N° 013-2012-VIVIENDA; y en uso de las atribuciones conferidas en los literales b) y r) del artículo 11 del Reglamento de Organización y Funciones de la Superintendencia Nacional</w:t>
      </w:r>
      <w:r w:rsidRPr="0082444B">
        <w:rPr>
          <w:rFonts w:ascii="Arial" w:eastAsia="Calibri" w:hAnsi="Arial" w:cs="Arial"/>
          <w:b/>
          <w:lang w:val="es-ES"/>
        </w:rPr>
        <w:t xml:space="preserve"> </w:t>
      </w:r>
      <w:r w:rsidRPr="0066746D">
        <w:rPr>
          <w:rFonts w:ascii="Arial" w:eastAsia="Calibri" w:hAnsi="Arial" w:cs="Arial"/>
          <w:lang w:val="es-ES"/>
        </w:rPr>
        <w:t>de Bienes Estatales – SBN, aprobado por el Decreto Supremo N° 016-2010-VIVIENDA;</w:t>
      </w:r>
    </w:p>
    <w:p w:rsidR="00735F86" w:rsidRPr="0082444B" w:rsidRDefault="00735F86" w:rsidP="00735F86">
      <w:pPr>
        <w:spacing w:after="0" w:line="240" w:lineRule="auto"/>
        <w:contextualSpacing/>
        <w:jc w:val="both"/>
        <w:rPr>
          <w:rFonts w:ascii="Arial" w:eastAsia="Calibri" w:hAnsi="Arial" w:cs="Arial"/>
          <w:b/>
          <w:lang w:val="es-ES"/>
        </w:rPr>
      </w:pPr>
    </w:p>
    <w:p w:rsidR="00735F86" w:rsidRPr="0082444B" w:rsidRDefault="00735F86" w:rsidP="00735F86">
      <w:pPr>
        <w:spacing w:after="0" w:line="240" w:lineRule="auto"/>
        <w:contextualSpacing/>
        <w:jc w:val="both"/>
        <w:rPr>
          <w:rFonts w:ascii="Arial" w:eastAsia="Calibri" w:hAnsi="Arial" w:cs="Arial"/>
          <w:b/>
          <w:lang w:val="es-ES"/>
        </w:rPr>
      </w:pPr>
      <w:r w:rsidRPr="0082444B">
        <w:rPr>
          <w:rFonts w:ascii="Arial" w:eastAsia="Calibri" w:hAnsi="Arial" w:cs="Arial"/>
          <w:b/>
          <w:lang w:val="es-ES"/>
        </w:rPr>
        <w:t>SE RESUELVE:</w:t>
      </w:r>
    </w:p>
    <w:p w:rsidR="00735F86" w:rsidRPr="0082444B" w:rsidRDefault="00735F86" w:rsidP="00735F86">
      <w:pPr>
        <w:spacing w:after="0" w:line="240" w:lineRule="auto"/>
        <w:contextualSpacing/>
        <w:jc w:val="both"/>
        <w:rPr>
          <w:rFonts w:ascii="Arial" w:eastAsia="Calibri" w:hAnsi="Arial" w:cs="Arial"/>
          <w:b/>
          <w:lang w:val="es-ES"/>
        </w:rPr>
      </w:pPr>
    </w:p>
    <w:p w:rsidR="00735F86" w:rsidRPr="0082444B" w:rsidRDefault="00735F86" w:rsidP="00735F86">
      <w:pPr>
        <w:spacing w:after="0" w:line="240" w:lineRule="auto"/>
        <w:contextualSpacing/>
        <w:jc w:val="both"/>
        <w:rPr>
          <w:rFonts w:ascii="Arial" w:eastAsia="Calibri" w:hAnsi="Arial" w:cs="Arial"/>
          <w:b/>
          <w:lang w:val="es-ES"/>
        </w:rPr>
      </w:pPr>
      <w:r w:rsidRPr="0082444B">
        <w:rPr>
          <w:rFonts w:ascii="Arial" w:eastAsia="Calibri" w:hAnsi="Arial" w:cs="Arial"/>
          <w:b/>
          <w:lang w:val="es-ES"/>
        </w:rPr>
        <w:t xml:space="preserve">Artículo 1º.- </w:t>
      </w:r>
      <w:r w:rsidRPr="0082444B">
        <w:rPr>
          <w:rFonts w:ascii="Arial" w:eastAsia="Calibri" w:hAnsi="Arial" w:cs="Arial"/>
          <w:lang w:val="es-ES"/>
        </w:rPr>
        <w:t xml:space="preserve">Aprobar la Directiva Nº </w:t>
      </w:r>
      <w:r w:rsidR="007F13DC">
        <w:rPr>
          <w:rFonts w:ascii="Arial" w:eastAsia="Calibri" w:hAnsi="Arial" w:cs="Arial"/>
          <w:lang w:val="es-ES"/>
        </w:rPr>
        <w:t>003</w:t>
      </w:r>
      <w:r w:rsidRPr="0082444B">
        <w:rPr>
          <w:rFonts w:ascii="Arial" w:eastAsia="Calibri" w:hAnsi="Arial" w:cs="Arial"/>
          <w:lang w:val="es-ES"/>
        </w:rPr>
        <w:t>-2016/SBN denominada  “</w:t>
      </w:r>
      <w:r w:rsidR="007F13DC">
        <w:rPr>
          <w:rFonts w:ascii="Arial" w:eastAsia="Calibri" w:hAnsi="Arial" w:cs="Arial"/>
          <w:lang w:val="es-ES"/>
        </w:rPr>
        <w:t>Lineamientos para la Supervisión de Bienes Inmuebles Estatales</w:t>
      </w:r>
      <w:r w:rsidRPr="0082444B">
        <w:rPr>
          <w:rFonts w:ascii="Arial" w:eastAsia="Calibri" w:hAnsi="Arial" w:cs="Arial"/>
          <w:lang w:val="es-ES"/>
        </w:rPr>
        <w:t>”.</w:t>
      </w:r>
    </w:p>
    <w:p w:rsidR="00735F86" w:rsidRPr="0082444B" w:rsidRDefault="00735F86" w:rsidP="00735F86">
      <w:pPr>
        <w:spacing w:after="0" w:line="240" w:lineRule="auto"/>
        <w:contextualSpacing/>
        <w:jc w:val="both"/>
        <w:rPr>
          <w:rFonts w:ascii="Arial" w:eastAsia="Calibri" w:hAnsi="Arial" w:cs="Arial"/>
          <w:b/>
          <w:lang w:val="es-ES"/>
        </w:rPr>
      </w:pPr>
    </w:p>
    <w:p w:rsidR="00735F86" w:rsidRPr="0082444B" w:rsidRDefault="00735F86" w:rsidP="00735F86">
      <w:pPr>
        <w:spacing w:after="0" w:line="240" w:lineRule="auto"/>
        <w:contextualSpacing/>
        <w:jc w:val="both"/>
        <w:rPr>
          <w:rFonts w:ascii="Arial" w:eastAsia="Calibri" w:hAnsi="Arial" w:cs="Arial"/>
          <w:lang w:val="es-ES"/>
        </w:rPr>
      </w:pPr>
      <w:r w:rsidRPr="0082444B">
        <w:rPr>
          <w:rFonts w:ascii="Arial" w:eastAsia="Calibri" w:hAnsi="Arial" w:cs="Arial"/>
          <w:b/>
          <w:lang w:val="es-ES"/>
        </w:rPr>
        <w:t xml:space="preserve">Artículo 2º.- </w:t>
      </w:r>
      <w:r w:rsidR="007F13DC" w:rsidRPr="0082444B">
        <w:rPr>
          <w:rFonts w:ascii="Arial" w:eastAsia="Calibri" w:hAnsi="Arial" w:cs="Arial"/>
          <w:lang w:val="es-ES"/>
        </w:rPr>
        <w:t>Las disposiciones de la Directiva N°</w:t>
      </w:r>
      <w:r w:rsidR="007F13DC">
        <w:rPr>
          <w:rFonts w:ascii="Arial" w:eastAsia="Calibri" w:hAnsi="Arial" w:cs="Arial"/>
          <w:lang w:val="es-ES"/>
        </w:rPr>
        <w:t xml:space="preserve"> 003</w:t>
      </w:r>
      <w:r w:rsidR="007F13DC" w:rsidRPr="0082444B">
        <w:rPr>
          <w:rFonts w:ascii="Arial" w:eastAsia="Calibri" w:hAnsi="Arial" w:cs="Arial"/>
          <w:lang w:val="es-ES"/>
        </w:rPr>
        <w:t>-2016/SBN, entrarán en vigencia a partir del día siguiente de la publicación de la presente resolución en el Diario Oficial El Peruano.</w:t>
      </w:r>
    </w:p>
    <w:p w:rsidR="00735F86" w:rsidRPr="0082444B" w:rsidRDefault="00735F86" w:rsidP="00735F86">
      <w:pPr>
        <w:spacing w:after="0" w:line="240" w:lineRule="auto"/>
        <w:contextualSpacing/>
        <w:jc w:val="both"/>
        <w:rPr>
          <w:rFonts w:ascii="Arial" w:eastAsia="Calibri" w:hAnsi="Arial" w:cs="Arial"/>
          <w:b/>
          <w:lang w:val="es-ES"/>
        </w:rPr>
      </w:pPr>
    </w:p>
    <w:p w:rsidR="00735F86" w:rsidRPr="0082444B" w:rsidRDefault="00735F86" w:rsidP="00735F86">
      <w:pPr>
        <w:spacing w:after="0" w:line="240" w:lineRule="auto"/>
        <w:contextualSpacing/>
        <w:jc w:val="both"/>
        <w:rPr>
          <w:rFonts w:ascii="Arial" w:eastAsia="Calibri" w:hAnsi="Arial" w:cs="Arial"/>
          <w:lang w:val="es-ES"/>
        </w:rPr>
      </w:pPr>
      <w:r w:rsidRPr="0082444B">
        <w:rPr>
          <w:rFonts w:ascii="Arial" w:eastAsia="Calibri" w:hAnsi="Arial" w:cs="Arial"/>
          <w:b/>
          <w:lang w:val="es-ES"/>
        </w:rPr>
        <w:t>Artículo 3º.-</w:t>
      </w:r>
      <w:r w:rsidRPr="0082444B">
        <w:rPr>
          <w:rFonts w:ascii="Arial" w:eastAsia="Calibri" w:hAnsi="Arial" w:cs="Arial"/>
          <w:lang w:val="es-ES"/>
        </w:rPr>
        <w:t xml:space="preserve"> Encargar a la Oficina de Administración y Finanzas la publicación de la Directiva N°</w:t>
      </w:r>
      <w:r>
        <w:rPr>
          <w:rFonts w:ascii="Arial" w:eastAsia="Calibri" w:hAnsi="Arial" w:cs="Arial"/>
          <w:lang w:val="es-ES"/>
        </w:rPr>
        <w:t xml:space="preserve"> 00</w:t>
      </w:r>
      <w:r w:rsidR="007F13DC">
        <w:rPr>
          <w:rFonts w:ascii="Arial" w:eastAsia="Calibri" w:hAnsi="Arial" w:cs="Arial"/>
          <w:lang w:val="es-ES"/>
        </w:rPr>
        <w:t>3</w:t>
      </w:r>
      <w:r w:rsidRPr="0082444B">
        <w:rPr>
          <w:rFonts w:ascii="Arial" w:eastAsia="Calibri" w:hAnsi="Arial" w:cs="Arial"/>
          <w:lang w:val="es-ES"/>
        </w:rPr>
        <w:t>-2016/SBN y la presente Resolución en la página web (www.sbn.gob.pe) y en la intranet institucional.</w:t>
      </w:r>
    </w:p>
    <w:p w:rsidR="00735F86" w:rsidRPr="0082444B" w:rsidRDefault="00735F86" w:rsidP="00735F86">
      <w:pPr>
        <w:spacing w:after="0" w:line="240" w:lineRule="auto"/>
        <w:contextualSpacing/>
        <w:jc w:val="both"/>
        <w:rPr>
          <w:rFonts w:ascii="Arial" w:eastAsia="Calibri" w:hAnsi="Arial" w:cs="Arial"/>
          <w:lang w:val="es-ES"/>
        </w:rPr>
      </w:pPr>
    </w:p>
    <w:p w:rsidR="00735F86" w:rsidRPr="0082444B" w:rsidRDefault="00735F86" w:rsidP="00735F86">
      <w:pPr>
        <w:spacing w:after="0" w:line="240" w:lineRule="auto"/>
        <w:contextualSpacing/>
        <w:jc w:val="both"/>
        <w:rPr>
          <w:rFonts w:ascii="Arial" w:eastAsia="Calibri" w:hAnsi="Arial" w:cs="Arial"/>
          <w:lang w:val="es-ES"/>
        </w:rPr>
      </w:pPr>
      <w:r w:rsidRPr="0082444B">
        <w:rPr>
          <w:rFonts w:ascii="Arial" w:eastAsia="Calibri" w:hAnsi="Arial" w:cs="Arial"/>
          <w:lang w:val="es-ES"/>
        </w:rPr>
        <w:t>Regístrese, comuníquese y publíquese.</w:t>
      </w:r>
    </w:p>
    <w:p w:rsidR="00735F86" w:rsidRPr="006312E8" w:rsidRDefault="00735F86" w:rsidP="00735F86">
      <w:pPr>
        <w:spacing w:after="0" w:line="240" w:lineRule="auto"/>
        <w:contextualSpacing/>
        <w:jc w:val="both"/>
        <w:rPr>
          <w:rFonts w:ascii="Arial" w:eastAsia="Calibri" w:hAnsi="Arial" w:cs="Arial"/>
          <w:lang w:val="es-ES"/>
        </w:rPr>
      </w:pPr>
    </w:p>
    <w:p w:rsidR="00735F86" w:rsidRPr="006312E8" w:rsidRDefault="00735F86" w:rsidP="00735F86">
      <w:pPr>
        <w:spacing w:after="0" w:line="240" w:lineRule="auto"/>
        <w:contextualSpacing/>
        <w:jc w:val="both"/>
        <w:rPr>
          <w:rFonts w:ascii="Arial" w:eastAsia="Calibri" w:hAnsi="Arial" w:cs="Arial"/>
          <w:b/>
          <w:lang w:val="es-ES"/>
        </w:rPr>
      </w:pPr>
      <w:r w:rsidRPr="006312E8">
        <w:rPr>
          <w:rFonts w:ascii="Arial" w:eastAsia="Calibri" w:hAnsi="Arial" w:cs="Arial"/>
          <w:lang w:val="es-ES"/>
        </w:rPr>
        <w:tab/>
      </w:r>
      <w:r>
        <w:rPr>
          <w:rFonts w:ascii="Arial" w:eastAsia="Calibri" w:hAnsi="Arial" w:cs="Arial"/>
          <w:b/>
          <w:lang w:val="es-ES"/>
        </w:rPr>
        <w:t>JOSÉ LUIS PAIRAZAMAN TORRES</w:t>
      </w:r>
    </w:p>
    <w:p w:rsidR="00735F86" w:rsidRPr="006312E8" w:rsidRDefault="00735F86" w:rsidP="00735F86">
      <w:pPr>
        <w:spacing w:after="0" w:line="240" w:lineRule="auto"/>
        <w:contextualSpacing/>
        <w:jc w:val="both"/>
        <w:rPr>
          <w:rFonts w:ascii="Arial" w:eastAsia="Calibri" w:hAnsi="Arial" w:cs="Arial"/>
          <w:lang w:val="es-ES"/>
        </w:rPr>
      </w:pPr>
      <w:r w:rsidRPr="006312E8">
        <w:rPr>
          <w:rFonts w:ascii="Arial" w:eastAsia="Calibri" w:hAnsi="Arial" w:cs="Arial"/>
          <w:b/>
          <w:lang w:val="es-ES"/>
        </w:rPr>
        <w:tab/>
      </w:r>
      <w:r w:rsidRPr="006312E8">
        <w:rPr>
          <w:rFonts w:ascii="Arial" w:eastAsia="Calibri" w:hAnsi="Arial" w:cs="Arial"/>
          <w:lang w:val="es-ES"/>
        </w:rPr>
        <w:t>Superintendente</w:t>
      </w:r>
    </w:p>
    <w:p w:rsidR="00DB1DCC" w:rsidRDefault="00DB1DCC" w:rsidP="006312E8">
      <w:pPr>
        <w:spacing w:after="0" w:line="240" w:lineRule="auto"/>
        <w:contextualSpacing/>
        <w:jc w:val="both"/>
        <w:rPr>
          <w:rFonts w:ascii="Arial" w:eastAsia="Calibri" w:hAnsi="Arial" w:cs="Arial"/>
          <w:lang w:val="es-ES"/>
        </w:rPr>
      </w:pPr>
    </w:p>
    <w:p w:rsidR="00DB1DCC" w:rsidRDefault="00DB1DCC" w:rsidP="006312E8">
      <w:pPr>
        <w:spacing w:after="0" w:line="240" w:lineRule="auto"/>
        <w:contextualSpacing/>
        <w:jc w:val="both"/>
        <w:rPr>
          <w:rFonts w:ascii="Arial" w:eastAsia="Calibri" w:hAnsi="Arial" w:cs="Arial"/>
          <w:lang w:val="es-ES"/>
        </w:rPr>
      </w:pPr>
    </w:p>
    <w:p w:rsidR="0080295E" w:rsidRDefault="0080295E" w:rsidP="006312E8">
      <w:pPr>
        <w:spacing w:after="0" w:line="240" w:lineRule="auto"/>
        <w:contextualSpacing/>
        <w:jc w:val="both"/>
        <w:rPr>
          <w:rFonts w:ascii="Arial" w:eastAsia="Calibri" w:hAnsi="Arial" w:cs="Arial"/>
          <w:lang w:val="es-ES"/>
        </w:rPr>
      </w:pPr>
    </w:p>
    <w:p w:rsidR="0080295E" w:rsidRPr="006312E8" w:rsidRDefault="007F13DC" w:rsidP="0080295E">
      <w:pPr>
        <w:pStyle w:val="TITO2"/>
      </w:pPr>
      <w:bookmarkStart w:id="302" w:name="_Toc470855550"/>
      <w:r>
        <w:t>DIRECTIVA Nº 003</w:t>
      </w:r>
      <w:r w:rsidR="0080295E" w:rsidRPr="006312E8">
        <w:t>-201</w:t>
      </w:r>
      <w:r>
        <w:t>6/</w:t>
      </w:r>
      <w:r w:rsidR="0080295E" w:rsidRPr="006312E8">
        <w:t>SBN</w:t>
      </w:r>
      <w:bookmarkEnd w:id="302"/>
    </w:p>
    <w:p w:rsidR="0080295E" w:rsidRPr="0080295E" w:rsidRDefault="0080295E" w:rsidP="0080295E">
      <w:pPr>
        <w:spacing w:after="0" w:line="240" w:lineRule="auto"/>
        <w:contextualSpacing/>
        <w:jc w:val="center"/>
        <w:rPr>
          <w:rFonts w:ascii="Arial" w:eastAsia="Calibri" w:hAnsi="Arial" w:cs="Arial"/>
          <w:b/>
          <w:caps/>
          <w:sz w:val="28"/>
          <w:szCs w:val="28"/>
          <w:lang w:val="es-ES"/>
        </w:rPr>
      </w:pPr>
      <w:r w:rsidRPr="0080295E">
        <w:rPr>
          <w:rFonts w:ascii="Arial" w:hAnsi="Arial" w:cs="Arial"/>
          <w:b/>
          <w:caps/>
          <w:sz w:val="28"/>
          <w:szCs w:val="28"/>
        </w:rPr>
        <w:t>Lineamientos para la Supervisión de Bienes Inmuebles Estatales</w:t>
      </w:r>
    </w:p>
    <w:p w:rsidR="0080295E" w:rsidRDefault="0080295E" w:rsidP="0080295E">
      <w:pPr>
        <w:spacing w:after="0" w:line="240" w:lineRule="auto"/>
        <w:contextualSpacing/>
        <w:jc w:val="both"/>
        <w:rPr>
          <w:rFonts w:ascii="Arial" w:eastAsia="Calibri" w:hAnsi="Arial" w:cs="Arial"/>
        </w:rPr>
      </w:pPr>
    </w:p>
    <w:p w:rsidR="0080295E" w:rsidRPr="0080295E" w:rsidRDefault="0080295E" w:rsidP="0080295E">
      <w:pPr>
        <w:spacing w:after="0" w:line="240" w:lineRule="auto"/>
        <w:contextualSpacing/>
        <w:jc w:val="both"/>
        <w:rPr>
          <w:rFonts w:ascii="Arial" w:eastAsia="Calibri" w:hAnsi="Arial" w:cs="Arial"/>
        </w:rPr>
      </w:pPr>
    </w:p>
    <w:p w:rsidR="0080295E" w:rsidRPr="0080295E" w:rsidRDefault="0080295E" w:rsidP="0092471C">
      <w:pPr>
        <w:numPr>
          <w:ilvl w:val="0"/>
          <w:numId w:val="283"/>
        </w:numPr>
        <w:spacing w:after="0" w:line="240" w:lineRule="auto"/>
        <w:ind w:left="426" w:hanging="425"/>
        <w:contextualSpacing/>
        <w:jc w:val="both"/>
        <w:rPr>
          <w:rFonts w:ascii="Arial" w:eastAsia="Calibri" w:hAnsi="Arial" w:cs="Arial"/>
          <w:b/>
        </w:rPr>
      </w:pPr>
      <w:r w:rsidRPr="0080295E">
        <w:rPr>
          <w:rFonts w:ascii="Arial" w:eastAsia="Calibri" w:hAnsi="Arial" w:cs="Arial"/>
          <w:b/>
        </w:rPr>
        <w:t>FINALIDAD</w:t>
      </w:r>
    </w:p>
    <w:p w:rsidR="0080295E" w:rsidRPr="0080295E" w:rsidRDefault="0080295E" w:rsidP="007F13DC">
      <w:pPr>
        <w:spacing w:after="0" w:line="240" w:lineRule="auto"/>
        <w:ind w:left="426"/>
        <w:contextualSpacing/>
        <w:jc w:val="both"/>
        <w:rPr>
          <w:rFonts w:ascii="Arial" w:eastAsia="Calibri" w:hAnsi="Arial" w:cs="Arial"/>
        </w:rPr>
      </w:pPr>
      <w:r w:rsidRPr="0080295E">
        <w:rPr>
          <w:rFonts w:ascii="Arial" w:eastAsia="Calibri" w:hAnsi="Arial" w:cs="Arial"/>
        </w:rPr>
        <w:t xml:space="preserve">Garantizar el uso y aprovechamiento eficiente de los bienes inmuebles estatales y la correcta aplicación de la normativa legal aplicable en los actos de adquisición, administración, disposición y registro por parte de las entidades del SNBE. </w:t>
      </w:r>
    </w:p>
    <w:p w:rsidR="0080295E" w:rsidRPr="0080295E" w:rsidRDefault="0080295E" w:rsidP="0080295E">
      <w:pPr>
        <w:spacing w:after="0" w:line="240" w:lineRule="auto"/>
        <w:contextualSpacing/>
        <w:jc w:val="both"/>
        <w:rPr>
          <w:rFonts w:ascii="Arial" w:eastAsia="Calibri" w:hAnsi="Arial" w:cs="Arial"/>
          <w:b/>
        </w:rPr>
      </w:pPr>
    </w:p>
    <w:p w:rsidR="0080295E" w:rsidRPr="0080295E" w:rsidRDefault="0080295E" w:rsidP="0092471C">
      <w:pPr>
        <w:numPr>
          <w:ilvl w:val="0"/>
          <w:numId w:val="283"/>
        </w:numPr>
        <w:spacing w:after="0" w:line="240" w:lineRule="auto"/>
        <w:ind w:left="426" w:hanging="426"/>
        <w:contextualSpacing/>
        <w:jc w:val="both"/>
        <w:rPr>
          <w:rFonts w:ascii="Arial" w:eastAsia="Calibri" w:hAnsi="Arial" w:cs="Arial"/>
        </w:rPr>
      </w:pPr>
      <w:r w:rsidRPr="0080295E">
        <w:rPr>
          <w:rFonts w:ascii="Arial" w:eastAsia="Calibri" w:hAnsi="Arial" w:cs="Arial"/>
          <w:b/>
        </w:rPr>
        <w:t>OBJETIVO</w:t>
      </w:r>
    </w:p>
    <w:p w:rsidR="0080295E" w:rsidRPr="0080295E" w:rsidRDefault="0080295E" w:rsidP="007F13DC">
      <w:pPr>
        <w:spacing w:after="0" w:line="240" w:lineRule="auto"/>
        <w:ind w:left="426"/>
        <w:contextualSpacing/>
        <w:jc w:val="both"/>
        <w:rPr>
          <w:rFonts w:ascii="Arial" w:eastAsia="Calibri" w:hAnsi="Arial" w:cs="Arial"/>
        </w:rPr>
      </w:pPr>
      <w:r w:rsidRPr="0080295E">
        <w:rPr>
          <w:rFonts w:ascii="Arial" w:eastAsia="Calibri" w:hAnsi="Arial" w:cs="Arial"/>
        </w:rPr>
        <w:t>Regular las actuaciones para la supervisión de los bienes inmuebles del Estado, así como también, de los actos que recaen sobre éstos y del cumplimiento del debido procedimiento que ejecutan las entidades del SNBE.</w:t>
      </w:r>
    </w:p>
    <w:p w:rsidR="0080295E" w:rsidRPr="0080295E" w:rsidRDefault="0080295E" w:rsidP="0080295E">
      <w:pPr>
        <w:spacing w:after="0" w:line="240" w:lineRule="auto"/>
        <w:contextualSpacing/>
        <w:jc w:val="both"/>
        <w:rPr>
          <w:rFonts w:ascii="Arial" w:eastAsia="Calibri" w:hAnsi="Arial" w:cs="Arial"/>
        </w:rPr>
      </w:pPr>
    </w:p>
    <w:p w:rsidR="0080295E" w:rsidRPr="0080295E" w:rsidRDefault="0080295E" w:rsidP="0092471C">
      <w:pPr>
        <w:numPr>
          <w:ilvl w:val="0"/>
          <w:numId w:val="283"/>
        </w:numPr>
        <w:spacing w:after="0" w:line="240" w:lineRule="auto"/>
        <w:ind w:left="426" w:hanging="426"/>
        <w:contextualSpacing/>
        <w:jc w:val="both"/>
        <w:rPr>
          <w:rFonts w:ascii="Arial" w:eastAsia="Calibri" w:hAnsi="Arial" w:cs="Arial"/>
        </w:rPr>
      </w:pPr>
      <w:r w:rsidRPr="0080295E">
        <w:rPr>
          <w:rFonts w:ascii="Arial" w:eastAsia="Calibri" w:hAnsi="Arial" w:cs="Arial"/>
          <w:b/>
        </w:rPr>
        <w:t>ALCANCE</w:t>
      </w:r>
    </w:p>
    <w:p w:rsidR="0080295E" w:rsidRPr="0080295E" w:rsidRDefault="0080295E" w:rsidP="007F13DC">
      <w:pPr>
        <w:spacing w:after="0" w:line="240" w:lineRule="auto"/>
        <w:ind w:left="426"/>
        <w:contextualSpacing/>
        <w:jc w:val="both"/>
        <w:rPr>
          <w:rFonts w:ascii="Arial" w:eastAsia="Calibri" w:hAnsi="Arial" w:cs="Arial"/>
        </w:rPr>
      </w:pPr>
      <w:r w:rsidRPr="0080295E">
        <w:rPr>
          <w:rFonts w:ascii="Arial" w:eastAsia="Calibri" w:hAnsi="Arial" w:cs="Arial"/>
        </w:rPr>
        <w:t>La presente Directiva tiene</w:t>
      </w:r>
      <w:r w:rsidRPr="0080295E">
        <w:rPr>
          <w:rFonts w:ascii="Arial" w:eastAsia="Calibri" w:hAnsi="Arial" w:cs="Arial"/>
          <w:lang w:val="es-ES"/>
        </w:rPr>
        <w:t xml:space="preserve"> alcance nacional y </w:t>
      </w:r>
      <w:r w:rsidRPr="0080295E">
        <w:rPr>
          <w:rFonts w:ascii="Arial" w:eastAsia="Calibri" w:hAnsi="Arial" w:cs="Arial"/>
        </w:rPr>
        <w:t>es de cumplimiento obligatorio para todas las unidades orgánicas de la SBN y las entidades del SNBE.</w:t>
      </w:r>
    </w:p>
    <w:p w:rsidR="0080295E" w:rsidRPr="0080295E" w:rsidRDefault="0080295E" w:rsidP="0080295E">
      <w:pPr>
        <w:spacing w:after="0" w:line="240" w:lineRule="auto"/>
        <w:contextualSpacing/>
        <w:jc w:val="both"/>
        <w:rPr>
          <w:rFonts w:ascii="Arial" w:eastAsia="Calibri" w:hAnsi="Arial" w:cs="Arial"/>
        </w:rPr>
      </w:pPr>
    </w:p>
    <w:p w:rsidR="0080295E" w:rsidRPr="0080295E" w:rsidRDefault="0080295E" w:rsidP="0092471C">
      <w:pPr>
        <w:numPr>
          <w:ilvl w:val="0"/>
          <w:numId w:val="283"/>
        </w:numPr>
        <w:spacing w:after="0" w:line="240" w:lineRule="auto"/>
        <w:ind w:left="426" w:hanging="426"/>
        <w:contextualSpacing/>
        <w:jc w:val="both"/>
        <w:rPr>
          <w:rFonts w:ascii="Arial" w:eastAsia="Calibri" w:hAnsi="Arial" w:cs="Arial"/>
        </w:rPr>
      </w:pPr>
      <w:r w:rsidRPr="0080295E">
        <w:rPr>
          <w:rFonts w:ascii="Arial" w:eastAsia="Calibri" w:hAnsi="Arial" w:cs="Arial"/>
          <w:b/>
        </w:rPr>
        <w:t>BASE LEGAL</w:t>
      </w:r>
    </w:p>
    <w:p w:rsidR="0080295E" w:rsidRPr="0080295E" w:rsidRDefault="0080295E" w:rsidP="0080295E">
      <w:pPr>
        <w:spacing w:after="0" w:line="240" w:lineRule="auto"/>
        <w:contextualSpacing/>
        <w:jc w:val="both"/>
        <w:rPr>
          <w:rFonts w:ascii="Arial" w:eastAsia="Calibri" w:hAnsi="Arial" w:cs="Arial"/>
          <w:b/>
        </w:rPr>
      </w:pPr>
    </w:p>
    <w:p w:rsidR="0080295E" w:rsidRPr="0080295E" w:rsidRDefault="0080295E" w:rsidP="0092471C">
      <w:pPr>
        <w:numPr>
          <w:ilvl w:val="0"/>
          <w:numId w:val="300"/>
        </w:numPr>
        <w:spacing w:after="0" w:line="240" w:lineRule="auto"/>
        <w:ind w:left="851"/>
        <w:contextualSpacing/>
        <w:jc w:val="both"/>
        <w:rPr>
          <w:rFonts w:ascii="Arial" w:eastAsia="Calibri" w:hAnsi="Arial" w:cs="Arial"/>
        </w:rPr>
      </w:pPr>
      <w:r w:rsidRPr="0080295E">
        <w:rPr>
          <w:rFonts w:ascii="Arial" w:eastAsia="Calibri" w:hAnsi="Arial" w:cs="Arial"/>
        </w:rPr>
        <w:t>Ley Nº 29151, Ley General del Sistema Nacional de Bienes Estatales, y sus modificatorias.</w:t>
      </w:r>
    </w:p>
    <w:p w:rsidR="0080295E" w:rsidRPr="0080295E" w:rsidRDefault="0080295E" w:rsidP="007F13DC">
      <w:pPr>
        <w:spacing w:after="0" w:line="240" w:lineRule="auto"/>
        <w:ind w:left="851"/>
        <w:contextualSpacing/>
        <w:jc w:val="both"/>
        <w:rPr>
          <w:rFonts w:ascii="Arial" w:eastAsia="Calibri" w:hAnsi="Arial" w:cs="Arial"/>
        </w:rPr>
      </w:pPr>
    </w:p>
    <w:p w:rsidR="0080295E" w:rsidRPr="0080295E" w:rsidRDefault="0080295E" w:rsidP="0092471C">
      <w:pPr>
        <w:numPr>
          <w:ilvl w:val="0"/>
          <w:numId w:val="300"/>
        </w:numPr>
        <w:spacing w:after="0" w:line="240" w:lineRule="auto"/>
        <w:ind w:left="851"/>
        <w:contextualSpacing/>
        <w:jc w:val="both"/>
        <w:rPr>
          <w:rFonts w:ascii="Arial" w:eastAsia="Calibri" w:hAnsi="Arial" w:cs="Arial"/>
        </w:rPr>
      </w:pPr>
      <w:r w:rsidRPr="0080295E">
        <w:rPr>
          <w:rFonts w:ascii="Arial" w:eastAsia="Calibri" w:hAnsi="Arial" w:cs="Arial"/>
        </w:rPr>
        <w:t>Ley Nº 26856, Ley que declara que las playas del litoral son bienes de uso público, inalienables e imprescriptibles y establece zona de dominio restringido.</w:t>
      </w:r>
    </w:p>
    <w:p w:rsidR="0080295E" w:rsidRPr="0080295E" w:rsidRDefault="0080295E" w:rsidP="007F13DC">
      <w:pPr>
        <w:spacing w:after="0" w:line="240" w:lineRule="auto"/>
        <w:ind w:left="851"/>
        <w:contextualSpacing/>
        <w:jc w:val="both"/>
        <w:rPr>
          <w:rFonts w:ascii="Arial" w:eastAsia="Calibri" w:hAnsi="Arial" w:cs="Arial"/>
        </w:rPr>
      </w:pPr>
    </w:p>
    <w:p w:rsidR="0080295E" w:rsidRPr="0080295E" w:rsidRDefault="0080295E" w:rsidP="0092471C">
      <w:pPr>
        <w:numPr>
          <w:ilvl w:val="0"/>
          <w:numId w:val="300"/>
        </w:numPr>
        <w:spacing w:after="0" w:line="240" w:lineRule="auto"/>
        <w:ind w:left="851"/>
        <w:contextualSpacing/>
        <w:jc w:val="both"/>
        <w:rPr>
          <w:rFonts w:ascii="Arial" w:eastAsia="Calibri" w:hAnsi="Arial" w:cs="Arial"/>
        </w:rPr>
      </w:pPr>
      <w:r w:rsidRPr="0080295E">
        <w:rPr>
          <w:rFonts w:ascii="Arial" w:eastAsia="Calibri" w:hAnsi="Arial" w:cs="Arial"/>
        </w:rPr>
        <w:t>Ley Nº 29618, Ley que establece la presunción de que el Estado es poseedor de los inmuebles de su propiedad y declara imprescriptibles los bienes inmuebles de dominio privado estatal.</w:t>
      </w:r>
    </w:p>
    <w:p w:rsidR="0080295E" w:rsidRPr="0080295E" w:rsidRDefault="0080295E" w:rsidP="007F13DC">
      <w:pPr>
        <w:spacing w:after="0" w:line="240" w:lineRule="auto"/>
        <w:ind w:left="851"/>
        <w:contextualSpacing/>
        <w:jc w:val="both"/>
        <w:rPr>
          <w:rFonts w:ascii="Arial" w:eastAsia="Calibri" w:hAnsi="Arial" w:cs="Arial"/>
        </w:rPr>
      </w:pPr>
    </w:p>
    <w:p w:rsidR="0080295E" w:rsidRPr="0080295E" w:rsidRDefault="0080295E" w:rsidP="0092471C">
      <w:pPr>
        <w:numPr>
          <w:ilvl w:val="0"/>
          <w:numId w:val="300"/>
        </w:numPr>
        <w:spacing w:after="0" w:line="240" w:lineRule="auto"/>
        <w:ind w:left="851"/>
        <w:contextualSpacing/>
        <w:jc w:val="both"/>
        <w:rPr>
          <w:rFonts w:ascii="Arial" w:eastAsia="Calibri" w:hAnsi="Arial" w:cs="Arial"/>
        </w:rPr>
      </w:pPr>
      <w:r w:rsidRPr="0080295E">
        <w:rPr>
          <w:rFonts w:ascii="Arial" w:eastAsia="Calibri" w:hAnsi="Arial" w:cs="Arial"/>
        </w:rPr>
        <w:t>Ley N° 30230, Ley que establece medidas tributarias, simplificación de procedimientos y permisos para la promoción y dinamización de la inversión en el país.</w:t>
      </w:r>
    </w:p>
    <w:p w:rsidR="0080295E" w:rsidRPr="0080295E" w:rsidRDefault="0080295E" w:rsidP="007F13DC">
      <w:pPr>
        <w:spacing w:after="0" w:line="240" w:lineRule="auto"/>
        <w:ind w:left="851"/>
        <w:contextualSpacing/>
        <w:jc w:val="both"/>
        <w:rPr>
          <w:rFonts w:ascii="Arial" w:eastAsia="Calibri" w:hAnsi="Arial" w:cs="Arial"/>
        </w:rPr>
      </w:pPr>
    </w:p>
    <w:p w:rsidR="0080295E" w:rsidRPr="0080295E" w:rsidRDefault="0080295E" w:rsidP="0092471C">
      <w:pPr>
        <w:numPr>
          <w:ilvl w:val="0"/>
          <w:numId w:val="300"/>
        </w:numPr>
        <w:spacing w:after="0" w:line="240" w:lineRule="auto"/>
        <w:ind w:left="851"/>
        <w:contextualSpacing/>
        <w:jc w:val="both"/>
        <w:rPr>
          <w:rFonts w:ascii="Arial" w:eastAsia="Calibri" w:hAnsi="Arial" w:cs="Arial"/>
        </w:rPr>
      </w:pPr>
      <w:r w:rsidRPr="0080295E">
        <w:rPr>
          <w:rFonts w:ascii="Arial" w:eastAsia="Calibri" w:hAnsi="Arial" w:cs="Arial"/>
        </w:rPr>
        <w:t>Ley Nº 27444, Ley del Procedimiento Administrativo General.</w:t>
      </w:r>
    </w:p>
    <w:p w:rsidR="0080295E" w:rsidRPr="0080295E" w:rsidRDefault="0080295E" w:rsidP="007F13DC">
      <w:pPr>
        <w:spacing w:after="0" w:line="240" w:lineRule="auto"/>
        <w:ind w:left="851"/>
        <w:contextualSpacing/>
        <w:jc w:val="both"/>
        <w:rPr>
          <w:rFonts w:ascii="Arial" w:eastAsia="Calibri" w:hAnsi="Arial" w:cs="Arial"/>
        </w:rPr>
      </w:pPr>
    </w:p>
    <w:p w:rsidR="0080295E" w:rsidRPr="0080295E" w:rsidRDefault="0080295E" w:rsidP="0092471C">
      <w:pPr>
        <w:numPr>
          <w:ilvl w:val="0"/>
          <w:numId w:val="300"/>
        </w:numPr>
        <w:spacing w:after="0" w:line="240" w:lineRule="auto"/>
        <w:ind w:left="851"/>
        <w:contextualSpacing/>
        <w:jc w:val="both"/>
        <w:rPr>
          <w:rFonts w:ascii="Arial" w:eastAsia="Calibri" w:hAnsi="Arial" w:cs="Arial"/>
        </w:rPr>
      </w:pPr>
      <w:r w:rsidRPr="0080295E">
        <w:rPr>
          <w:rFonts w:ascii="Arial" w:eastAsia="Calibri" w:hAnsi="Arial" w:cs="Arial"/>
        </w:rPr>
        <w:t>Artículo 62° de Ley N° 27867, Ley Orgánica de Gobiernos Regionales.</w:t>
      </w:r>
    </w:p>
    <w:p w:rsidR="0080295E" w:rsidRPr="0080295E" w:rsidRDefault="0080295E" w:rsidP="007F13DC">
      <w:pPr>
        <w:spacing w:after="0" w:line="240" w:lineRule="auto"/>
        <w:ind w:left="851"/>
        <w:contextualSpacing/>
        <w:jc w:val="both"/>
        <w:rPr>
          <w:rFonts w:ascii="Arial" w:eastAsia="Calibri" w:hAnsi="Arial" w:cs="Arial"/>
        </w:rPr>
      </w:pPr>
    </w:p>
    <w:p w:rsidR="0080295E" w:rsidRPr="0080295E" w:rsidRDefault="0080295E" w:rsidP="0092471C">
      <w:pPr>
        <w:numPr>
          <w:ilvl w:val="0"/>
          <w:numId w:val="301"/>
        </w:numPr>
        <w:spacing w:after="0" w:line="240" w:lineRule="auto"/>
        <w:ind w:left="851"/>
        <w:contextualSpacing/>
        <w:jc w:val="both"/>
        <w:rPr>
          <w:rFonts w:ascii="Arial" w:eastAsia="Calibri" w:hAnsi="Arial" w:cs="Arial"/>
        </w:rPr>
      </w:pPr>
      <w:r w:rsidRPr="0080295E">
        <w:rPr>
          <w:rFonts w:ascii="Arial" w:eastAsia="Calibri" w:hAnsi="Arial" w:cs="Arial"/>
        </w:rPr>
        <w:t>Artículo 56° de Ley N° 27972, Ley Orgánica de Municipalidades.</w:t>
      </w:r>
    </w:p>
    <w:p w:rsidR="0080295E" w:rsidRPr="0080295E" w:rsidRDefault="0080295E" w:rsidP="007F13DC">
      <w:pPr>
        <w:spacing w:after="0" w:line="240" w:lineRule="auto"/>
        <w:ind w:left="851"/>
        <w:contextualSpacing/>
        <w:jc w:val="both"/>
        <w:rPr>
          <w:rFonts w:ascii="Arial" w:eastAsia="Calibri" w:hAnsi="Arial" w:cs="Arial"/>
        </w:rPr>
      </w:pPr>
    </w:p>
    <w:p w:rsidR="0080295E" w:rsidRPr="0080295E" w:rsidRDefault="0080295E" w:rsidP="0092471C">
      <w:pPr>
        <w:numPr>
          <w:ilvl w:val="0"/>
          <w:numId w:val="301"/>
        </w:numPr>
        <w:spacing w:after="0" w:line="240" w:lineRule="auto"/>
        <w:ind w:left="851"/>
        <w:contextualSpacing/>
        <w:jc w:val="both"/>
        <w:rPr>
          <w:rFonts w:ascii="Arial" w:eastAsia="Calibri" w:hAnsi="Arial" w:cs="Arial"/>
        </w:rPr>
      </w:pPr>
      <w:r w:rsidRPr="0080295E">
        <w:rPr>
          <w:rFonts w:ascii="Arial" w:eastAsia="Calibri" w:hAnsi="Arial" w:cs="Arial"/>
        </w:rPr>
        <w:t xml:space="preserve">Artículo 4° del Texto Único Ordenado de la Ley Orgánica del Poder Judicial, aprobado por Decreto Supremo Nº 017-93-JUS. </w:t>
      </w:r>
    </w:p>
    <w:p w:rsidR="0080295E" w:rsidRPr="0080295E" w:rsidRDefault="0080295E" w:rsidP="007F13DC">
      <w:pPr>
        <w:spacing w:after="0" w:line="240" w:lineRule="auto"/>
        <w:ind w:left="851"/>
        <w:contextualSpacing/>
        <w:jc w:val="both"/>
        <w:rPr>
          <w:rFonts w:ascii="Arial" w:eastAsia="Calibri" w:hAnsi="Arial" w:cs="Arial"/>
        </w:rPr>
      </w:pPr>
    </w:p>
    <w:p w:rsidR="0080295E" w:rsidRPr="0080295E" w:rsidRDefault="0080295E" w:rsidP="0092471C">
      <w:pPr>
        <w:numPr>
          <w:ilvl w:val="0"/>
          <w:numId w:val="301"/>
        </w:numPr>
        <w:spacing w:after="0" w:line="240" w:lineRule="auto"/>
        <w:ind w:left="851"/>
        <w:contextualSpacing/>
        <w:jc w:val="both"/>
        <w:rPr>
          <w:rFonts w:ascii="Arial" w:eastAsia="Calibri" w:hAnsi="Arial" w:cs="Arial"/>
        </w:rPr>
      </w:pPr>
      <w:r w:rsidRPr="0080295E">
        <w:rPr>
          <w:rFonts w:ascii="Arial" w:eastAsia="Calibri" w:hAnsi="Arial" w:cs="Arial"/>
        </w:rPr>
        <w:t xml:space="preserve">Decreto Supremo Nº 050-2006-EF, que aprueba el Reglamento de la Ley Nº 26856, que declara que las playas son bienes de uso público, inalienables e imprescriptibles y establece la zona de dominio restringido. </w:t>
      </w:r>
    </w:p>
    <w:p w:rsidR="0080295E" w:rsidRPr="0080295E" w:rsidRDefault="0080295E" w:rsidP="007F13DC">
      <w:pPr>
        <w:spacing w:after="0" w:line="240" w:lineRule="auto"/>
        <w:ind w:left="851"/>
        <w:contextualSpacing/>
        <w:jc w:val="both"/>
        <w:rPr>
          <w:rFonts w:ascii="Arial" w:eastAsia="Calibri" w:hAnsi="Arial" w:cs="Arial"/>
        </w:rPr>
      </w:pPr>
    </w:p>
    <w:p w:rsidR="0080295E" w:rsidRPr="0080295E" w:rsidRDefault="0080295E" w:rsidP="0092471C">
      <w:pPr>
        <w:numPr>
          <w:ilvl w:val="0"/>
          <w:numId w:val="301"/>
        </w:numPr>
        <w:spacing w:after="0" w:line="240" w:lineRule="auto"/>
        <w:ind w:left="851"/>
        <w:contextualSpacing/>
        <w:jc w:val="both"/>
        <w:rPr>
          <w:rFonts w:ascii="Arial" w:eastAsia="Calibri" w:hAnsi="Arial" w:cs="Arial"/>
        </w:rPr>
      </w:pPr>
      <w:r w:rsidRPr="0080295E">
        <w:rPr>
          <w:rFonts w:ascii="Arial" w:eastAsia="Calibri" w:hAnsi="Arial" w:cs="Arial"/>
        </w:rPr>
        <w:t>Decreto Supremo Nº 007-2008-VIVIENDA, que aprueba el Reglamento de la Ley Nº 29151, Ley General del Sistema Nacional de Bienes Estatales, y sus modificatorias.</w:t>
      </w:r>
    </w:p>
    <w:p w:rsidR="0080295E" w:rsidRPr="0080295E" w:rsidRDefault="0080295E" w:rsidP="007F13DC">
      <w:pPr>
        <w:spacing w:after="0" w:line="240" w:lineRule="auto"/>
        <w:ind w:left="851"/>
        <w:contextualSpacing/>
        <w:jc w:val="both"/>
        <w:rPr>
          <w:rFonts w:ascii="Arial" w:eastAsia="Calibri" w:hAnsi="Arial" w:cs="Arial"/>
        </w:rPr>
      </w:pPr>
    </w:p>
    <w:p w:rsidR="0080295E" w:rsidRPr="0080295E" w:rsidRDefault="0080295E" w:rsidP="0092471C">
      <w:pPr>
        <w:numPr>
          <w:ilvl w:val="0"/>
          <w:numId w:val="301"/>
        </w:numPr>
        <w:spacing w:after="0" w:line="240" w:lineRule="auto"/>
        <w:ind w:left="851"/>
        <w:contextualSpacing/>
        <w:jc w:val="both"/>
        <w:rPr>
          <w:rFonts w:ascii="Arial" w:eastAsia="Calibri" w:hAnsi="Arial" w:cs="Arial"/>
        </w:rPr>
      </w:pPr>
      <w:r w:rsidRPr="0080295E">
        <w:rPr>
          <w:rFonts w:ascii="Arial" w:eastAsia="Calibri" w:hAnsi="Arial" w:cs="Arial"/>
        </w:rPr>
        <w:t>Decreto Supremo Nº 010-2008-VIVIENDA, que dicta medidas para la supervisión de la Zona de Playa Protegida y Zona de Dominio Restringido a cargo de la Superintendencia Nacional de Bienes Estatales y su inmatriculación en el Registro de Predios.</w:t>
      </w:r>
    </w:p>
    <w:p w:rsidR="0080295E" w:rsidRPr="0080295E" w:rsidRDefault="0080295E" w:rsidP="007F13DC">
      <w:pPr>
        <w:spacing w:after="0" w:line="240" w:lineRule="auto"/>
        <w:ind w:left="851"/>
        <w:contextualSpacing/>
        <w:jc w:val="both"/>
        <w:rPr>
          <w:rFonts w:ascii="Arial" w:eastAsia="Calibri" w:hAnsi="Arial" w:cs="Arial"/>
        </w:rPr>
      </w:pPr>
    </w:p>
    <w:p w:rsidR="0080295E" w:rsidRPr="0080295E" w:rsidRDefault="0080295E" w:rsidP="0092471C">
      <w:pPr>
        <w:numPr>
          <w:ilvl w:val="0"/>
          <w:numId w:val="301"/>
        </w:numPr>
        <w:spacing w:after="0" w:line="240" w:lineRule="auto"/>
        <w:ind w:left="851"/>
        <w:contextualSpacing/>
        <w:jc w:val="both"/>
        <w:rPr>
          <w:rFonts w:ascii="Arial" w:eastAsia="Calibri" w:hAnsi="Arial" w:cs="Arial"/>
        </w:rPr>
      </w:pPr>
      <w:r w:rsidRPr="0080295E">
        <w:rPr>
          <w:rFonts w:ascii="Arial" w:eastAsia="Calibri" w:hAnsi="Arial" w:cs="Arial"/>
        </w:rPr>
        <w:t>Decreto Supremo Nº 016-2010-VIVIENDA, que aprueba el Reglamento de Organización y Funciones de la Superintendencia Nacional de Bienes Estatales.</w:t>
      </w:r>
    </w:p>
    <w:p w:rsidR="0080295E" w:rsidRPr="0080295E" w:rsidRDefault="0080295E" w:rsidP="007F13DC">
      <w:pPr>
        <w:spacing w:after="0" w:line="240" w:lineRule="auto"/>
        <w:ind w:left="851"/>
        <w:contextualSpacing/>
        <w:jc w:val="both"/>
        <w:rPr>
          <w:rFonts w:ascii="Arial" w:eastAsia="Calibri" w:hAnsi="Arial" w:cs="Arial"/>
        </w:rPr>
      </w:pPr>
    </w:p>
    <w:p w:rsidR="0080295E" w:rsidRPr="0080295E" w:rsidRDefault="0080295E" w:rsidP="0092471C">
      <w:pPr>
        <w:numPr>
          <w:ilvl w:val="0"/>
          <w:numId w:val="301"/>
        </w:numPr>
        <w:spacing w:after="0" w:line="240" w:lineRule="auto"/>
        <w:ind w:left="851"/>
        <w:contextualSpacing/>
        <w:jc w:val="both"/>
        <w:rPr>
          <w:rFonts w:ascii="Arial" w:eastAsia="Calibri" w:hAnsi="Arial" w:cs="Arial"/>
        </w:rPr>
      </w:pPr>
      <w:r w:rsidRPr="0080295E">
        <w:rPr>
          <w:rFonts w:ascii="Arial" w:eastAsia="Calibri" w:hAnsi="Arial" w:cs="Arial"/>
        </w:rPr>
        <w:t>Resolución N° 001-2014/SBN, que aprueba la Directiva N° 001-2014/SBN – Procedimientos para la formulación y aprobación de Directivas en la SBN.</w:t>
      </w:r>
    </w:p>
    <w:p w:rsidR="0080295E" w:rsidRPr="0080295E" w:rsidRDefault="0080295E" w:rsidP="0080295E">
      <w:pPr>
        <w:spacing w:after="0" w:line="240" w:lineRule="auto"/>
        <w:contextualSpacing/>
        <w:jc w:val="both"/>
        <w:rPr>
          <w:rFonts w:ascii="Arial" w:eastAsia="Calibri" w:hAnsi="Arial" w:cs="Arial"/>
        </w:rPr>
      </w:pPr>
    </w:p>
    <w:p w:rsidR="0080295E" w:rsidRPr="0080295E" w:rsidRDefault="0080295E" w:rsidP="0092471C">
      <w:pPr>
        <w:numPr>
          <w:ilvl w:val="0"/>
          <w:numId w:val="283"/>
        </w:numPr>
        <w:spacing w:after="0" w:line="240" w:lineRule="auto"/>
        <w:ind w:left="567" w:hanging="567"/>
        <w:contextualSpacing/>
        <w:jc w:val="both"/>
        <w:rPr>
          <w:rFonts w:ascii="Arial" w:eastAsia="Calibri" w:hAnsi="Arial" w:cs="Arial"/>
        </w:rPr>
      </w:pPr>
      <w:r w:rsidRPr="0080295E">
        <w:rPr>
          <w:rFonts w:ascii="Arial" w:eastAsia="Calibri" w:hAnsi="Arial" w:cs="Arial"/>
          <w:b/>
        </w:rPr>
        <w:t>DISPOSICIONES GENERALES</w:t>
      </w:r>
    </w:p>
    <w:p w:rsidR="0080295E" w:rsidRPr="0080295E" w:rsidRDefault="0080295E" w:rsidP="0080295E">
      <w:pPr>
        <w:spacing w:after="0" w:line="240" w:lineRule="auto"/>
        <w:contextualSpacing/>
        <w:jc w:val="both"/>
        <w:rPr>
          <w:rFonts w:ascii="Arial" w:eastAsia="Calibri" w:hAnsi="Arial" w:cs="Arial"/>
        </w:rPr>
      </w:pPr>
    </w:p>
    <w:p w:rsidR="0080295E" w:rsidRPr="0080295E" w:rsidRDefault="0080295E" w:rsidP="0092471C">
      <w:pPr>
        <w:numPr>
          <w:ilvl w:val="1"/>
          <w:numId w:val="283"/>
        </w:numPr>
        <w:spacing w:after="0" w:line="240" w:lineRule="auto"/>
        <w:ind w:left="993"/>
        <w:contextualSpacing/>
        <w:jc w:val="both"/>
        <w:rPr>
          <w:rFonts w:ascii="Arial" w:eastAsia="Calibri" w:hAnsi="Arial" w:cs="Arial"/>
          <w:b/>
        </w:rPr>
      </w:pPr>
      <w:r w:rsidRPr="0080295E">
        <w:rPr>
          <w:rFonts w:ascii="Arial" w:eastAsia="Calibri" w:hAnsi="Arial" w:cs="Arial"/>
          <w:b/>
        </w:rPr>
        <w:t>De la competencia</w:t>
      </w:r>
    </w:p>
    <w:p w:rsidR="0080295E" w:rsidRPr="0080295E" w:rsidRDefault="0080295E" w:rsidP="007F13DC">
      <w:pPr>
        <w:spacing w:after="0" w:line="240" w:lineRule="auto"/>
        <w:ind w:left="993"/>
        <w:contextualSpacing/>
        <w:jc w:val="both"/>
        <w:rPr>
          <w:rFonts w:ascii="Arial" w:eastAsia="Calibri" w:hAnsi="Arial" w:cs="Arial"/>
          <w:lang w:val="es-ES"/>
        </w:rPr>
      </w:pPr>
      <w:r w:rsidRPr="0080295E">
        <w:rPr>
          <w:rFonts w:ascii="Arial" w:eastAsia="Calibri" w:hAnsi="Arial" w:cs="Arial"/>
          <w:lang w:val="es-ES"/>
        </w:rPr>
        <w:t>La SBN ejecuta las actuaciones de supervisión rectora a través de la SDS o la unidad orgánica que haga sus veces, mediante la brigada asignada.</w:t>
      </w:r>
    </w:p>
    <w:p w:rsidR="0080295E" w:rsidRPr="0080295E" w:rsidRDefault="0080295E" w:rsidP="007F13DC">
      <w:pPr>
        <w:spacing w:after="0" w:line="240" w:lineRule="auto"/>
        <w:ind w:left="993"/>
        <w:contextualSpacing/>
        <w:jc w:val="both"/>
        <w:rPr>
          <w:rFonts w:ascii="Arial" w:eastAsia="Calibri" w:hAnsi="Arial" w:cs="Arial"/>
          <w:lang w:val="es-ES"/>
        </w:rPr>
      </w:pPr>
    </w:p>
    <w:p w:rsidR="0080295E" w:rsidRPr="0080295E" w:rsidRDefault="0080295E" w:rsidP="007F13DC">
      <w:pPr>
        <w:spacing w:after="0" w:line="240" w:lineRule="auto"/>
        <w:ind w:left="993"/>
        <w:contextualSpacing/>
        <w:jc w:val="both"/>
        <w:rPr>
          <w:rFonts w:ascii="Arial" w:eastAsia="Calibri" w:hAnsi="Arial" w:cs="Arial"/>
          <w:lang w:val="es-ES"/>
        </w:rPr>
      </w:pPr>
      <w:r w:rsidRPr="0080295E">
        <w:rPr>
          <w:rFonts w:ascii="Arial" w:eastAsia="Calibri" w:hAnsi="Arial" w:cs="Arial"/>
          <w:lang w:val="es-ES"/>
        </w:rPr>
        <w:t>Las demás entidades integrantes del SNBE ejecutan las acciones de supervisión (control) a través de sus unidades orgánicas competentes, según sus respectivos instrumentos de gestión.</w:t>
      </w:r>
    </w:p>
    <w:p w:rsidR="0080295E" w:rsidRPr="0080295E" w:rsidRDefault="0080295E" w:rsidP="0080295E">
      <w:pPr>
        <w:spacing w:after="0" w:line="240" w:lineRule="auto"/>
        <w:contextualSpacing/>
        <w:jc w:val="both"/>
        <w:rPr>
          <w:rFonts w:ascii="Arial" w:eastAsia="Calibri" w:hAnsi="Arial" w:cs="Arial"/>
        </w:rPr>
      </w:pPr>
    </w:p>
    <w:p w:rsidR="0080295E" w:rsidRPr="0080295E" w:rsidRDefault="0080295E" w:rsidP="0092471C">
      <w:pPr>
        <w:numPr>
          <w:ilvl w:val="1"/>
          <w:numId w:val="283"/>
        </w:numPr>
        <w:spacing w:after="0" w:line="240" w:lineRule="auto"/>
        <w:ind w:left="993"/>
        <w:contextualSpacing/>
        <w:jc w:val="both"/>
        <w:rPr>
          <w:rFonts w:ascii="Arial" w:eastAsia="Calibri" w:hAnsi="Arial" w:cs="Arial"/>
          <w:b/>
        </w:rPr>
      </w:pPr>
      <w:r w:rsidRPr="0080295E">
        <w:rPr>
          <w:rFonts w:ascii="Arial" w:eastAsia="Calibri" w:hAnsi="Arial" w:cs="Arial"/>
          <w:b/>
        </w:rPr>
        <w:t>De las clases de actuaciones de supervisión</w:t>
      </w:r>
    </w:p>
    <w:p w:rsidR="0080295E" w:rsidRPr="0080295E" w:rsidRDefault="0080295E" w:rsidP="007F13DC">
      <w:pPr>
        <w:spacing w:after="0" w:line="240" w:lineRule="auto"/>
        <w:ind w:left="993"/>
        <w:contextualSpacing/>
        <w:jc w:val="both"/>
        <w:rPr>
          <w:rFonts w:ascii="Arial" w:eastAsia="Calibri" w:hAnsi="Arial" w:cs="Arial"/>
        </w:rPr>
      </w:pPr>
      <w:r w:rsidRPr="0080295E">
        <w:rPr>
          <w:rFonts w:ascii="Arial" w:eastAsia="Calibri" w:hAnsi="Arial" w:cs="Arial"/>
        </w:rPr>
        <w:t>Las actuaciones de supervisión son las siguientes:</w:t>
      </w:r>
    </w:p>
    <w:p w:rsidR="0080295E" w:rsidRPr="0080295E" w:rsidRDefault="0080295E" w:rsidP="0080295E">
      <w:pPr>
        <w:spacing w:after="0" w:line="240" w:lineRule="auto"/>
        <w:contextualSpacing/>
        <w:jc w:val="both"/>
        <w:rPr>
          <w:rFonts w:ascii="Arial" w:eastAsia="Calibri" w:hAnsi="Arial" w:cs="Arial"/>
        </w:rPr>
      </w:pPr>
    </w:p>
    <w:p w:rsidR="0080295E" w:rsidRPr="0080295E" w:rsidRDefault="0080295E" w:rsidP="0092471C">
      <w:pPr>
        <w:numPr>
          <w:ilvl w:val="2"/>
          <w:numId w:val="286"/>
        </w:numPr>
        <w:tabs>
          <w:tab w:val="clear" w:pos="2880"/>
          <w:tab w:val="num" w:pos="1701"/>
        </w:tabs>
        <w:spacing w:after="0" w:line="240" w:lineRule="auto"/>
        <w:ind w:left="1418"/>
        <w:contextualSpacing/>
        <w:jc w:val="both"/>
        <w:rPr>
          <w:rFonts w:ascii="Arial" w:eastAsia="Calibri" w:hAnsi="Arial" w:cs="Arial"/>
        </w:rPr>
      </w:pPr>
      <w:r w:rsidRPr="0080295E">
        <w:rPr>
          <w:rFonts w:ascii="Arial" w:eastAsia="Calibri" w:hAnsi="Arial" w:cs="Arial"/>
        </w:rPr>
        <w:t xml:space="preserve">De los bienes inmuebles estatales </w:t>
      </w:r>
    </w:p>
    <w:p w:rsidR="0080295E" w:rsidRPr="0080295E" w:rsidRDefault="0080295E" w:rsidP="0092471C">
      <w:pPr>
        <w:numPr>
          <w:ilvl w:val="2"/>
          <w:numId w:val="286"/>
        </w:numPr>
        <w:tabs>
          <w:tab w:val="clear" w:pos="2880"/>
          <w:tab w:val="num" w:pos="993"/>
          <w:tab w:val="num" w:pos="1701"/>
        </w:tabs>
        <w:spacing w:after="0" w:line="240" w:lineRule="auto"/>
        <w:ind w:left="1418"/>
        <w:contextualSpacing/>
        <w:jc w:val="both"/>
        <w:rPr>
          <w:rFonts w:ascii="Arial" w:eastAsia="Calibri" w:hAnsi="Arial" w:cs="Arial"/>
        </w:rPr>
      </w:pPr>
      <w:r w:rsidRPr="0080295E">
        <w:rPr>
          <w:rFonts w:ascii="Arial" w:eastAsia="Calibri" w:hAnsi="Arial" w:cs="Arial"/>
        </w:rPr>
        <w:t>De los actos que emiten las entidades del SNBE, y</w:t>
      </w:r>
    </w:p>
    <w:p w:rsidR="0080295E" w:rsidRPr="0080295E" w:rsidRDefault="0080295E" w:rsidP="0092471C">
      <w:pPr>
        <w:numPr>
          <w:ilvl w:val="2"/>
          <w:numId w:val="286"/>
        </w:numPr>
        <w:tabs>
          <w:tab w:val="clear" w:pos="2880"/>
          <w:tab w:val="num" w:pos="1701"/>
        </w:tabs>
        <w:spacing w:after="0" w:line="240" w:lineRule="auto"/>
        <w:ind w:left="1418"/>
        <w:contextualSpacing/>
        <w:jc w:val="both"/>
        <w:rPr>
          <w:rFonts w:ascii="Arial" w:eastAsia="Calibri" w:hAnsi="Arial" w:cs="Arial"/>
        </w:rPr>
      </w:pPr>
      <w:r w:rsidRPr="0080295E">
        <w:rPr>
          <w:rFonts w:ascii="Arial" w:eastAsia="Calibri" w:hAnsi="Arial" w:cs="Arial"/>
        </w:rPr>
        <w:t>De los procedimientos que ejecutan las entidades del SNBE.</w:t>
      </w:r>
    </w:p>
    <w:p w:rsidR="0080295E" w:rsidRPr="0080295E" w:rsidRDefault="0080295E" w:rsidP="0080295E">
      <w:pPr>
        <w:spacing w:after="0" w:line="240" w:lineRule="auto"/>
        <w:contextualSpacing/>
        <w:jc w:val="both"/>
        <w:rPr>
          <w:rFonts w:ascii="Arial" w:eastAsia="Calibri" w:hAnsi="Arial" w:cs="Arial"/>
        </w:rPr>
      </w:pPr>
    </w:p>
    <w:p w:rsidR="0080295E" w:rsidRPr="0080295E" w:rsidRDefault="0080295E" w:rsidP="0092471C">
      <w:pPr>
        <w:numPr>
          <w:ilvl w:val="1"/>
          <w:numId w:val="283"/>
        </w:numPr>
        <w:spacing w:after="0" w:line="240" w:lineRule="auto"/>
        <w:ind w:left="993"/>
        <w:contextualSpacing/>
        <w:jc w:val="both"/>
        <w:rPr>
          <w:rFonts w:ascii="Arial" w:eastAsia="Calibri" w:hAnsi="Arial" w:cs="Arial"/>
        </w:rPr>
      </w:pPr>
      <w:r w:rsidRPr="0080295E">
        <w:rPr>
          <w:rFonts w:ascii="Arial" w:eastAsia="Calibri" w:hAnsi="Arial" w:cs="Arial"/>
          <w:b/>
        </w:rPr>
        <w:t>Del</w:t>
      </w:r>
      <w:r w:rsidRPr="0080295E">
        <w:rPr>
          <w:rFonts w:ascii="Arial" w:eastAsia="Calibri" w:hAnsi="Arial" w:cs="Arial"/>
          <w:lang w:val="es-ES"/>
        </w:rPr>
        <w:t xml:space="preserve"> </w:t>
      </w:r>
      <w:r w:rsidRPr="0080295E">
        <w:rPr>
          <w:rFonts w:ascii="Arial" w:eastAsia="Calibri" w:hAnsi="Arial" w:cs="Arial"/>
          <w:b/>
          <w:lang w:val="es-ES"/>
        </w:rPr>
        <w:t>objeto de las clases de actuaciones de supervisión</w:t>
      </w:r>
    </w:p>
    <w:p w:rsidR="0080295E" w:rsidRPr="0080295E" w:rsidRDefault="0080295E" w:rsidP="007F13DC">
      <w:pPr>
        <w:spacing w:after="0" w:line="240" w:lineRule="auto"/>
        <w:ind w:left="1134"/>
        <w:contextualSpacing/>
        <w:jc w:val="both"/>
        <w:rPr>
          <w:rFonts w:ascii="Arial" w:eastAsia="Calibri" w:hAnsi="Arial" w:cs="Arial"/>
        </w:rPr>
      </w:pPr>
      <w:r w:rsidRPr="0080295E">
        <w:rPr>
          <w:rFonts w:ascii="Arial" w:eastAsia="Calibri" w:hAnsi="Arial" w:cs="Arial"/>
        </w:rPr>
        <w:t>El objeto de cada una de las clases de supervisión, es:</w:t>
      </w:r>
    </w:p>
    <w:p w:rsidR="0080295E" w:rsidRPr="0080295E" w:rsidRDefault="0080295E" w:rsidP="0080295E">
      <w:pPr>
        <w:spacing w:after="0" w:line="240" w:lineRule="auto"/>
        <w:contextualSpacing/>
        <w:jc w:val="both"/>
        <w:rPr>
          <w:rFonts w:ascii="Arial" w:eastAsia="Calibri" w:hAnsi="Arial" w:cs="Arial"/>
        </w:rPr>
      </w:pPr>
    </w:p>
    <w:p w:rsidR="0080295E" w:rsidRPr="0080295E" w:rsidRDefault="0080295E" w:rsidP="0092471C">
      <w:pPr>
        <w:numPr>
          <w:ilvl w:val="2"/>
          <w:numId w:val="283"/>
        </w:numPr>
        <w:spacing w:after="0" w:line="240" w:lineRule="auto"/>
        <w:ind w:left="1843"/>
        <w:contextualSpacing/>
        <w:jc w:val="both"/>
        <w:rPr>
          <w:rFonts w:ascii="Arial" w:eastAsia="Calibri" w:hAnsi="Arial" w:cs="Arial"/>
          <w:b/>
        </w:rPr>
      </w:pPr>
      <w:r w:rsidRPr="0080295E">
        <w:rPr>
          <w:rFonts w:ascii="Arial" w:eastAsia="Calibri" w:hAnsi="Arial" w:cs="Arial"/>
          <w:b/>
        </w:rPr>
        <w:t xml:space="preserve">De los bienes inmuebles estatales </w:t>
      </w:r>
    </w:p>
    <w:p w:rsidR="0080295E" w:rsidRPr="0080295E" w:rsidRDefault="0080295E" w:rsidP="007F13DC">
      <w:pPr>
        <w:spacing w:after="0" w:line="240" w:lineRule="auto"/>
        <w:ind w:left="1843"/>
        <w:contextualSpacing/>
        <w:jc w:val="both"/>
        <w:rPr>
          <w:rFonts w:ascii="Arial" w:eastAsia="Calibri" w:hAnsi="Arial" w:cs="Arial"/>
          <w:bCs/>
          <w:lang w:val="es-ES"/>
        </w:rPr>
      </w:pPr>
      <w:r w:rsidRPr="0080295E">
        <w:rPr>
          <w:rFonts w:ascii="Arial" w:eastAsia="Calibri" w:hAnsi="Arial" w:cs="Arial"/>
          <w:bCs/>
          <w:lang w:val="es-ES"/>
        </w:rPr>
        <w:t xml:space="preserve">La </w:t>
      </w:r>
      <w:r w:rsidRPr="0080295E">
        <w:rPr>
          <w:rFonts w:ascii="Arial" w:eastAsia="Calibri" w:hAnsi="Arial" w:cs="Arial"/>
        </w:rPr>
        <w:t>supervisión</w:t>
      </w:r>
      <w:r w:rsidRPr="0080295E">
        <w:rPr>
          <w:rFonts w:ascii="Arial" w:eastAsia="Calibri" w:hAnsi="Arial" w:cs="Arial"/>
          <w:bCs/>
          <w:lang w:val="es-ES"/>
        </w:rPr>
        <w:t xml:space="preserve"> de los bienes inmuebles estatales tiene como objeto constatar el fin lícito y uso adecuado de los bienes inmuebles estatales. </w:t>
      </w:r>
    </w:p>
    <w:p w:rsidR="0080295E" w:rsidRPr="0080295E" w:rsidRDefault="0080295E" w:rsidP="007F13DC">
      <w:pPr>
        <w:spacing w:after="0" w:line="240" w:lineRule="auto"/>
        <w:ind w:left="1843"/>
        <w:contextualSpacing/>
        <w:jc w:val="both"/>
        <w:rPr>
          <w:rFonts w:ascii="Arial" w:eastAsia="Calibri" w:hAnsi="Arial" w:cs="Arial"/>
          <w:bCs/>
          <w:lang w:val="es-ES"/>
        </w:rPr>
      </w:pPr>
    </w:p>
    <w:p w:rsidR="0080295E" w:rsidRPr="0080295E" w:rsidRDefault="0080295E" w:rsidP="007F13DC">
      <w:pPr>
        <w:spacing w:after="0" w:line="240" w:lineRule="auto"/>
        <w:ind w:left="1843"/>
        <w:contextualSpacing/>
        <w:jc w:val="both"/>
        <w:rPr>
          <w:rFonts w:ascii="Arial" w:eastAsia="Calibri" w:hAnsi="Arial" w:cs="Arial"/>
          <w:bCs/>
          <w:lang w:val="es-ES"/>
        </w:rPr>
      </w:pPr>
      <w:r w:rsidRPr="0080295E">
        <w:rPr>
          <w:rFonts w:ascii="Arial" w:eastAsia="Calibri" w:hAnsi="Arial" w:cs="Arial"/>
          <w:bCs/>
          <w:lang w:val="es-ES"/>
        </w:rPr>
        <w:t xml:space="preserve">Se </w:t>
      </w:r>
      <w:r w:rsidRPr="0080295E">
        <w:rPr>
          <w:rFonts w:ascii="Arial" w:eastAsia="Calibri" w:hAnsi="Arial" w:cs="Arial"/>
        </w:rPr>
        <w:t>comprende</w:t>
      </w:r>
      <w:r w:rsidRPr="0080295E">
        <w:rPr>
          <w:rFonts w:ascii="Arial" w:eastAsia="Calibri" w:hAnsi="Arial" w:cs="Arial"/>
          <w:bCs/>
          <w:lang w:val="es-ES"/>
        </w:rPr>
        <w:t xml:space="preserve"> dentro de esta actuación a los inmuebles estatales de dominio público, como de dominio privado. </w:t>
      </w:r>
    </w:p>
    <w:p w:rsidR="0080295E" w:rsidRPr="0080295E" w:rsidRDefault="0080295E" w:rsidP="007F13DC">
      <w:pPr>
        <w:spacing w:after="0" w:line="240" w:lineRule="auto"/>
        <w:ind w:left="1843"/>
        <w:contextualSpacing/>
        <w:jc w:val="both"/>
        <w:rPr>
          <w:rFonts w:ascii="Arial" w:eastAsia="Calibri" w:hAnsi="Arial" w:cs="Arial"/>
          <w:bCs/>
          <w:lang w:val="es-ES"/>
        </w:rPr>
      </w:pPr>
    </w:p>
    <w:p w:rsidR="0080295E" w:rsidRPr="0080295E" w:rsidRDefault="0080295E" w:rsidP="007F13DC">
      <w:pPr>
        <w:spacing w:after="0" w:line="240" w:lineRule="auto"/>
        <w:ind w:left="1843"/>
        <w:contextualSpacing/>
        <w:jc w:val="both"/>
        <w:rPr>
          <w:rFonts w:ascii="Arial" w:eastAsia="Calibri" w:hAnsi="Arial" w:cs="Arial"/>
          <w:bCs/>
          <w:lang w:val="es-ES"/>
        </w:rPr>
      </w:pPr>
      <w:r w:rsidRPr="0080295E">
        <w:rPr>
          <w:rFonts w:ascii="Arial" w:eastAsia="Calibri" w:hAnsi="Arial" w:cs="Arial"/>
          <w:bCs/>
          <w:lang w:val="es-ES"/>
        </w:rPr>
        <w:t xml:space="preserve">Esta actuación </w:t>
      </w:r>
      <w:r w:rsidRPr="0080295E">
        <w:rPr>
          <w:rFonts w:ascii="Arial" w:eastAsia="Calibri" w:hAnsi="Arial" w:cs="Arial"/>
        </w:rPr>
        <w:t>versa</w:t>
      </w:r>
      <w:r w:rsidRPr="0080295E">
        <w:rPr>
          <w:rFonts w:ascii="Arial" w:eastAsia="Calibri" w:hAnsi="Arial" w:cs="Arial"/>
          <w:bCs/>
          <w:lang w:val="es-ES"/>
        </w:rPr>
        <w:t xml:space="preserve"> únicamente respecto de los inmuebles estatales</w:t>
      </w:r>
      <w:r w:rsidRPr="0080295E">
        <w:rPr>
          <w:rFonts w:ascii="Arial" w:eastAsia="Calibri" w:hAnsi="Arial" w:cs="Arial"/>
          <w:lang w:val="es-ES"/>
        </w:rPr>
        <w:t xml:space="preserve"> sobre los que no recae acto administrativo o jurídico emitido u otorgado por alguna entidad del SNBE.</w:t>
      </w:r>
    </w:p>
    <w:p w:rsidR="0080295E" w:rsidRPr="0080295E" w:rsidRDefault="0080295E" w:rsidP="007F13DC">
      <w:pPr>
        <w:spacing w:after="0" w:line="240" w:lineRule="auto"/>
        <w:ind w:left="1843"/>
        <w:contextualSpacing/>
        <w:jc w:val="both"/>
        <w:rPr>
          <w:rFonts w:ascii="Arial" w:eastAsia="Calibri" w:hAnsi="Arial" w:cs="Arial"/>
          <w:bCs/>
          <w:lang w:val="es-ES"/>
        </w:rPr>
      </w:pPr>
    </w:p>
    <w:p w:rsidR="0080295E" w:rsidRPr="0080295E" w:rsidRDefault="0080295E" w:rsidP="0092471C">
      <w:pPr>
        <w:numPr>
          <w:ilvl w:val="2"/>
          <w:numId w:val="283"/>
        </w:numPr>
        <w:spacing w:after="0" w:line="240" w:lineRule="auto"/>
        <w:ind w:left="1843"/>
        <w:contextualSpacing/>
        <w:jc w:val="both"/>
        <w:rPr>
          <w:rFonts w:ascii="Arial" w:eastAsia="Calibri" w:hAnsi="Arial" w:cs="Arial"/>
          <w:b/>
        </w:rPr>
      </w:pPr>
      <w:r w:rsidRPr="0080295E">
        <w:rPr>
          <w:rFonts w:ascii="Arial" w:eastAsia="Calibri" w:hAnsi="Arial" w:cs="Arial"/>
          <w:b/>
        </w:rPr>
        <w:t>De los actos que emiten las entidades del SNBE</w:t>
      </w:r>
    </w:p>
    <w:p w:rsidR="0080295E" w:rsidRPr="0080295E" w:rsidRDefault="0080295E" w:rsidP="007F13DC">
      <w:pPr>
        <w:spacing w:after="0" w:line="240" w:lineRule="auto"/>
        <w:ind w:left="1843"/>
        <w:contextualSpacing/>
        <w:jc w:val="both"/>
        <w:rPr>
          <w:rFonts w:ascii="Arial" w:eastAsia="Calibri" w:hAnsi="Arial" w:cs="Arial"/>
        </w:rPr>
      </w:pPr>
    </w:p>
    <w:p w:rsidR="0080295E" w:rsidRPr="0080295E" w:rsidRDefault="0080295E" w:rsidP="007F13DC">
      <w:pPr>
        <w:spacing w:after="0" w:line="240" w:lineRule="auto"/>
        <w:ind w:left="1843"/>
        <w:contextualSpacing/>
        <w:jc w:val="both"/>
        <w:rPr>
          <w:rFonts w:ascii="Arial" w:eastAsia="Calibri" w:hAnsi="Arial" w:cs="Arial"/>
        </w:rPr>
      </w:pPr>
      <w:r w:rsidRPr="0080295E">
        <w:rPr>
          <w:rFonts w:ascii="Arial" w:eastAsia="Calibri" w:hAnsi="Arial" w:cs="Arial"/>
        </w:rPr>
        <w:t xml:space="preserve">La supervisión de los actos emitidos por las entidades del SNBE que recaen sobre bienes inmuebles estatales de su propiedad o bajo su administración, tiene como objeto </w:t>
      </w:r>
      <w:r w:rsidRPr="0080295E">
        <w:rPr>
          <w:rFonts w:ascii="Arial" w:eastAsia="Calibri" w:hAnsi="Arial" w:cs="Arial"/>
          <w:bCs/>
          <w:lang w:val="es-ES"/>
        </w:rPr>
        <w:t>verificar</w:t>
      </w:r>
      <w:r w:rsidRPr="0080295E">
        <w:rPr>
          <w:rFonts w:ascii="Arial" w:eastAsia="Calibri" w:hAnsi="Arial" w:cs="Arial"/>
        </w:rPr>
        <w:t xml:space="preserve"> el cumplimiento de la finalidad o destino asignado al inmueble y de las obligaciones estipuladas por un acto administrativo, acto jurídico o norma legal.</w:t>
      </w:r>
    </w:p>
    <w:p w:rsidR="0080295E" w:rsidRPr="0080295E" w:rsidRDefault="0080295E" w:rsidP="007F13DC">
      <w:pPr>
        <w:spacing w:after="0" w:line="240" w:lineRule="auto"/>
        <w:ind w:left="1843"/>
        <w:contextualSpacing/>
        <w:jc w:val="both"/>
        <w:rPr>
          <w:rFonts w:ascii="Arial" w:eastAsia="Calibri" w:hAnsi="Arial" w:cs="Arial"/>
        </w:rPr>
      </w:pPr>
    </w:p>
    <w:p w:rsidR="0080295E" w:rsidRPr="0080295E" w:rsidRDefault="0080295E" w:rsidP="007F13DC">
      <w:pPr>
        <w:spacing w:after="0" w:line="240" w:lineRule="auto"/>
        <w:ind w:left="1843"/>
        <w:contextualSpacing/>
        <w:jc w:val="both"/>
        <w:rPr>
          <w:rFonts w:ascii="Arial" w:eastAsia="Calibri" w:hAnsi="Arial" w:cs="Arial"/>
        </w:rPr>
      </w:pPr>
      <w:r w:rsidRPr="0080295E">
        <w:rPr>
          <w:rFonts w:ascii="Arial" w:eastAsia="Calibri" w:hAnsi="Arial" w:cs="Arial"/>
        </w:rPr>
        <w:t xml:space="preserve">Esta supervisión comprende a los actos emitidos y también a </w:t>
      </w:r>
      <w:r w:rsidRPr="0080295E">
        <w:rPr>
          <w:rFonts w:ascii="Arial" w:eastAsia="Calibri" w:hAnsi="Arial" w:cs="Arial"/>
          <w:bCs/>
          <w:lang w:val="es-ES"/>
        </w:rPr>
        <w:t>los</w:t>
      </w:r>
      <w:r w:rsidRPr="0080295E">
        <w:rPr>
          <w:rFonts w:ascii="Arial" w:eastAsia="Calibri" w:hAnsi="Arial" w:cs="Arial"/>
        </w:rPr>
        <w:t xml:space="preserve"> contratos otorgados por dichas entidades respecto de inmuebles de su propiedad o bajo su administración.</w:t>
      </w:r>
    </w:p>
    <w:p w:rsidR="0080295E" w:rsidRPr="0080295E" w:rsidRDefault="0080295E" w:rsidP="007F13DC">
      <w:pPr>
        <w:spacing w:after="0" w:line="240" w:lineRule="auto"/>
        <w:ind w:left="1843"/>
        <w:contextualSpacing/>
        <w:jc w:val="both"/>
        <w:rPr>
          <w:rFonts w:ascii="Arial" w:eastAsia="Calibri" w:hAnsi="Arial" w:cs="Arial"/>
        </w:rPr>
      </w:pPr>
    </w:p>
    <w:p w:rsidR="0080295E" w:rsidRPr="0080295E" w:rsidRDefault="0080295E" w:rsidP="0092471C">
      <w:pPr>
        <w:numPr>
          <w:ilvl w:val="2"/>
          <w:numId w:val="283"/>
        </w:numPr>
        <w:spacing w:after="0" w:line="240" w:lineRule="auto"/>
        <w:ind w:left="1843"/>
        <w:contextualSpacing/>
        <w:jc w:val="both"/>
        <w:rPr>
          <w:rFonts w:ascii="Arial" w:eastAsia="Calibri" w:hAnsi="Arial" w:cs="Arial"/>
          <w:b/>
        </w:rPr>
      </w:pPr>
      <w:r w:rsidRPr="0080295E">
        <w:rPr>
          <w:rFonts w:ascii="Arial" w:eastAsia="Calibri" w:hAnsi="Arial" w:cs="Arial"/>
          <w:b/>
        </w:rPr>
        <w:t>De los procedimientos que ejecutan las entidades del SNBE</w:t>
      </w:r>
    </w:p>
    <w:p w:rsidR="0080295E" w:rsidRPr="0080295E" w:rsidRDefault="0080295E" w:rsidP="007F13DC">
      <w:pPr>
        <w:spacing w:after="0" w:line="240" w:lineRule="auto"/>
        <w:ind w:left="1843"/>
        <w:contextualSpacing/>
        <w:jc w:val="both"/>
        <w:rPr>
          <w:rFonts w:ascii="Arial" w:eastAsia="Calibri" w:hAnsi="Arial" w:cs="Arial"/>
        </w:rPr>
      </w:pPr>
    </w:p>
    <w:p w:rsidR="0080295E" w:rsidRPr="0080295E" w:rsidRDefault="0080295E" w:rsidP="007F13DC">
      <w:pPr>
        <w:spacing w:after="0" w:line="240" w:lineRule="auto"/>
        <w:ind w:left="1843"/>
        <w:contextualSpacing/>
        <w:jc w:val="both"/>
        <w:rPr>
          <w:rFonts w:ascii="Arial" w:eastAsia="Calibri" w:hAnsi="Arial" w:cs="Arial"/>
        </w:rPr>
      </w:pPr>
      <w:r w:rsidRPr="0080295E">
        <w:rPr>
          <w:rFonts w:ascii="Arial" w:eastAsia="Calibri" w:hAnsi="Arial" w:cs="Arial"/>
        </w:rPr>
        <w:t xml:space="preserve">La supervisión de los procedimientos que ejecutan las entidades del SNBE respecto de bienes inmuebles estatales a su cargo, tiene como objeto verificar el cumplimiento del debido procedimiento a efectos de cautelar la observancia de </w:t>
      </w:r>
      <w:r w:rsidRPr="0080295E">
        <w:rPr>
          <w:rFonts w:ascii="Arial" w:eastAsia="Calibri" w:hAnsi="Arial" w:cs="Arial"/>
          <w:lang w:val="es-ES"/>
        </w:rPr>
        <w:t>un</w:t>
      </w:r>
      <w:r w:rsidRPr="0080295E">
        <w:rPr>
          <w:rFonts w:ascii="Arial" w:eastAsia="Calibri" w:hAnsi="Arial" w:cs="Arial"/>
        </w:rPr>
        <w:t xml:space="preserve"> adecuado cumplimiento de las garantías, requisitos y procedimientos contenidos en la normativa legal aplicable, conforme a la naturaleza de los bienes, así como, determinar la ocurrencia de infracciones a dicha normatividad.</w:t>
      </w:r>
    </w:p>
    <w:p w:rsidR="0080295E" w:rsidRPr="0080295E" w:rsidRDefault="0080295E" w:rsidP="007F13DC">
      <w:pPr>
        <w:spacing w:after="0" w:line="240" w:lineRule="auto"/>
        <w:ind w:left="1843"/>
        <w:contextualSpacing/>
        <w:jc w:val="both"/>
        <w:rPr>
          <w:rFonts w:ascii="Arial" w:eastAsia="Calibri" w:hAnsi="Arial" w:cs="Arial"/>
        </w:rPr>
      </w:pPr>
    </w:p>
    <w:p w:rsidR="0080295E" w:rsidRPr="0080295E" w:rsidRDefault="0080295E" w:rsidP="007F13DC">
      <w:pPr>
        <w:spacing w:after="0" w:line="240" w:lineRule="auto"/>
        <w:ind w:left="1843"/>
        <w:contextualSpacing/>
        <w:jc w:val="both"/>
        <w:rPr>
          <w:rFonts w:ascii="Arial" w:eastAsia="Calibri" w:hAnsi="Arial" w:cs="Arial"/>
        </w:rPr>
      </w:pPr>
      <w:r w:rsidRPr="0080295E">
        <w:rPr>
          <w:rFonts w:ascii="Arial" w:eastAsia="Calibri" w:hAnsi="Arial" w:cs="Arial"/>
        </w:rPr>
        <w:t xml:space="preserve">La supervisión que realiza la SBN, en su calidad de ente rector del SNBE, versa sobre los procedimientos de adquisición, administración y disposición que ejecutan las demás entidades del SNBE. </w:t>
      </w:r>
    </w:p>
    <w:p w:rsidR="0080295E" w:rsidRPr="0080295E" w:rsidRDefault="0080295E" w:rsidP="007F13DC">
      <w:pPr>
        <w:spacing w:after="0" w:line="240" w:lineRule="auto"/>
        <w:ind w:left="1843"/>
        <w:contextualSpacing/>
        <w:jc w:val="both"/>
        <w:rPr>
          <w:rFonts w:ascii="Arial" w:eastAsia="Calibri" w:hAnsi="Arial" w:cs="Arial"/>
        </w:rPr>
      </w:pPr>
    </w:p>
    <w:p w:rsidR="0080295E" w:rsidRPr="0080295E" w:rsidRDefault="0080295E" w:rsidP="007F13DC">
      <w:pPr>
        <w:spacing w:after="0" w:line="240" w:lineRule="auto"/>
        <w:ind w:left="1843"/>
        <w:contextualSpacing/>
        <w:jc w:val="both"/>
        <w:rPr>
          <w:rFonts w:ascii="Arial" w:eastAsia="Calibri" w:hAnsi="Arial" w:cs="Arial"/>
        </w:rPr>
      </w:pPr>
      <w:r w:rsidRPr="0080295E">
        <w:rPr>
          <w:rFonts w:ascii="Arial" w:eastAsia="Calibri" w:hAnsi="Arial" w:cs="Arial"/>
        </w:rPr>
        <w:t>La supervisión que efectúa la SBN también se realiza como acción preventiva, a través de las opiniones técnicas que emite en los procedimientos que establece el Reglamento.</w:t>
      </w:r>
    </w:p>
    <w:p w:rsidR="0080295E" w:rsidRPr="0080295E" w:rsidRDefault="0080295E" w:rsidP="0080295E">
      <w:pPr>
        <w:spacing w:after="0" w:line="240" w:lineRule="auto"/>
        <w:contextualSpacing/>
        <w:jc w:val="both"/>
        <w:rPr>
          <w:rFonts w:ascii="Arial" w:eastAsia="Calibri" w:hAnsi="Arial" w:cs="Arial"/>
        </w:rPr>
      </w:pPr>
    </w:p>
    <w:p w:rsidR="0080295E" w:rsidRPr="0080295E" w:rsidRDefault="0080295E" w:rsidP="0092471C">
      <w:pPr>
        <w:numPr>
          <w:ilvl w:val="1"/>
          <w:numId w:val="283"/>
        </w:numPr>
        <w:spacing w:after="0" w:line="240" w:lineRule="auto"/>
        <w:ind w:left="993" w:hanging="426"/>
        <w:contextualSpacing/>
        <w:jc w:val="both"/>
        <w:rPr>
          <w:rFonts w:ascii="Arial" w:eastAsia="Calibri" w:hAnsi="Arial" w:cs="Arial"/>
        </w:rPr>
      </w:pPr>
      <w:r w:rsidRPr="0080295E">
        <w:rPr>
          <w:rFonts w:ascii="Arial" w:eastAsia="Calibri" w:hAnsi="Arial" w:cs="Arial"/>
          <w:b/>
        </w:rPr>
        <w:t>Del inicio de la actuación de supervisión</w:t>
      </w:r>
      <w:r w:rsidRPr="0080295E">
        <w:rPr>
          <w:rFonts w:ascii="Arial" w:eastAsia="Calibri" w:hAnsi="Arial" w:cs="Arial"/>
        </w:rPr>
        <w:t xml:space="preserve"> </w:t>
      </w:r>
    </w:p>
    <w:p w:rsidR="0080295E" w:rsidRPr="0080295E" w:rsidRDefault="0080295E" w:rsidP="007F13DC">
      <w:pPr>
        <w:spacing w:after="0" w:line="240" w:lineRule="auto"/>
        <w:ind w:left="993" w:hanging="426"/>
        <w:contextualSpacing/>
        <w:jc w:val="both"/>
        <w:rPr>
          <w:rFonts w:ascii="Arial" w:eastAsia="Calibri" w:hAnsi="Arial" w:cs="Arial"/>
        </w:rPr>
      </w:pPr>
    </w:p>
    <w:p w:rsidR="0080295E" w:rsidRPr="0080295E" w:rsidRDefault="0080295E" w:rsidP="007F13DC">
      <w:pPr>
        <w:spacing w:after="0" w:line="240" w:lineRule="auto"/>
        <w:ind w:left="993"/>
        <w:contextualSpacing/>
        <w:jc w:val="both"/>
        <w:rPr>
          <w:rFonts w:ascii="Arial" w:eastAsia="Calibri" w:hAnsi="Arial" w:cs="Arial"/>
        </w:rPr>
      </w:pPr>
      <w:r w:rsidRPr="0080295E">
        <w:rPr>
          <w:rFonts w:ascii="Arial" w:eastAsia="Calibri" w:hAnsi="Arial" w:cs="Arial"/>
        </w:rPr>
        <w:t>Las actuaciones de supervisión se inician de oficio, conforme al Plan de Supervisión que para el efecto se aprueba anualmente, o cuando responda a otras circunstancias que lo ameriten.</w:t>
      </w:r>
    </w:p>
    <w:p w:rsidR="0080295E" w:rsidRPr="0080295E" w:rsidRDefault="0080295E" w:rsidP="007F13DC">
      <w:pPr>
        <w:spacing w:after="0" w:line="240" w:lineRule="auto"/>
        <w:ind w:left="993" w:hanging="426"/>
        <w:contextualSpacing/>
        <w:jc w:val="both"/>
        <w:rPr>
          <w:rFonts w:ascii="Arial" w:eastAsia="Calibri" w:hAnsi="Arial" w:cs="Arial"/>
        </w:rPr>
      </w:pPr>
    </w:p>
    <w:p w:rsidR="0080295E" w:rsidRPr="0080295E" w:rsidRDefault="0080295E" w:rsidP="0092471C">
      <w:pPr>
        <w:numPr>
          <w:ilvl w:val="1"/>
          <w:numId w:val="283"/>
        </w:numPr>
        <w:spacing w:after="0" w:line="240" w:lineRule="auto"/>
        <w:ind w:left="993" w:hanging="426"/>
        <w:contextualSpacing/>
        <w:jc w:val="both"/>
        <w:rPr>
          <w:rFonts w:ascii="Arial" w:eastAsia="Calibri" w:hAnsi="Arial" w:cs="Arial"/>
          <w:b/>
          <w:lang w:val="es-ES"/>
        </w:rPr>
      </w:pPr>
      <w:r w:rsidRPr="0080295E">
        <w:rPr>
          <w:rFonts w:ascii="Arial" w:eastAsia="Calibri" w:hAnsi="Arial" w:cs="Arial"/>
          <w:b/>
        </w:rPr>
        <w:t>De</w:t>
      </w:r>
      <w:r w:rsidRPr="0080295E">
        <w:rPr>
          <w:rFonts w:ascii="Arial" w:eastAsia="Calibri" w:hAnsi="Arial" w:cs="Arial"/>
          <w:b/>
          <w:lang w:val="es-ES"/>
        </w:rPr>
        <w:t xml:space="preserve"> la denuncia</w:t>
      </w:r>
    </w:p>
    <w:p w:rsidR="0080295E" w:rsidRPr="0080295E" w:rsidRDefault="0080295E" w:rsidP="007F13DC">
      <w:pPr>
        <w:spacing w:after="0" w:line="240" w:lineRule="auto"/>
        <w:ind w:left="993" w:hanging="426"/>
        <w:contextualSpacing/>
        <w:jc w:val="both"/>
        <w:rPr>
          <w:rFonts w:ascii="Arial" w:eastAsia="Calibri" w:hAnsi="Arial" w:cs="Arial"/>
          <w:b/>
          <w:lang w:val="es-ES"/>
        </w:rPr>
      </w:pPr>
    </w:p>
    <w:p w:rsidR="0080295E" w:rsidRPr="0080295E" w:rsidRDefault="0080295E" w:rsidP="007F13DC">
      <w:pPr>
        <w:spacing w:after="0" w:line="240" w:lineRule="auto"/>
        <w:ind w:left="993"/>
        <w:contextualSpacing/>
        <w:jc w:val="both"/>
        <w:rPr>
          <w:rFonts w:ascii="Arial" w:eastAsia="Calibri" w:hAnsi="Arial" w:cs="Arial"/>
        </w:rPr>
      </w:pPr>
      <w:r w:rsidRPr="0080295E">
        <w:rPr>
          <w:rFonts w:ascii="Arial" w:eastAsia="Calibri" w:hAnsi="Arial" w:cs="Arial"/>
        </w:rPr>
        <w:t>La denuncia, formulada por particulares, en ejercicio de la facultad de fiscalización ciudadana, así como, por las demás entidades del SNBE, no obliga al inicio de la actuación de supervisión, toda vez que es sometida a evaluación. De constatarse su verosimilitud, puede dar mérito a iniciar de oficio la supervisión.</w:t>
      </w:r>
    </w:p>
    <w:p w:rsidR="0080295E" w:rsidRPr="0080295E" w:rsidRDefault="0080295E" w:rsidP="007F13DC">
      <w:pPr>
        <w:spacing w:after="0" w:line="240" w:lineRule="auto"/>
        <w:ind w:left="993" w:hanging="426"/>
        <w:contextualSpacing/>
        <w:jc w:val="both"/>
        <w:rPr>
          <w:rFonts w:ascii="Arial" w:eastAsia="Calibri" w:hAnsi="Arial" w:cs="Arial"/>
        </w:rPr>
      </w:pPr>
    </w:p>
    <w:p w:rsidR="0080295E" w:rsidRPr="0080295E" w:rsidRDefault="0080295E" w:rsidP="007F13DC">
      <w:pPr>
        <w:spacing w:after="0" w:line="240" w:lineRule="auto"/>
        <w:ind w:left="993"/>
        <w:contextualSpacing/>
        <w:jc w:val="both"/>
        <w:rPr>
          <w:rFonts w:ascii="Arial" w:eastAsia="Calibri" w:hAnsi="Arial" w:cs="Arial"/>
        </w:rPr>
      </w:pPr>
      <w:r w:rsidRPr="0080295E">
        <w:rPr>
          <w:rFonts w:ascii="Arial" w:eastAsia="Calibri" w:hAnsi="Arial" w:cs="Arial"/>
        </w:rPr>
        <w:t>El denunciante no se constituye en sujeto de la actuación de supervisión.</w:t>
      </w:r>
    </w:p>
    <w:p w:rsidR="0080295E" w:rsidRPr="0080295E" w:rsidRDefault="0080295E" w:rsidP="007F13DC">
      <w:pPr>
        <w:spacing w:after="0" w:line="240" w:lineRule="auto"/>
        <w:ind w:left="993" w:hanging="426"/>
        <w:contextualSpacing/>
        <w:jc w:val="both"/>
        <w:rPr>
          <w:rFonts w:ascii="Arial" w:eastAsia="Calibri" w:hAnsi="Arial" w:cs="Arial"/>
        </w:rPr>
      </w:pPr>
    </w:p>
    <w:p w:rsidR="0080295E" w:rsidRPr="0080295E" w:rsidRDefault="0080295E" w:rsidP="007F13DC">
      <w:pPr>
        <w:spacing w:after="0" w:line="240" w:lineRule="auto"/>
        <w:ind w:left="993"/>
        <w:contextualSpacing/>
        <w:jc w:val="both"/>
        <w:rPr>
          <w:rFonts w:ascii="Arial" w:eastAsia="Calibri" w:hAnsi="Arial" w:cs="Arial"/>
          <w:bCs/>
          <w:lang w:val="es-ES"/>
        </w:rPr>
      </w:pPr>
      <w:r w:rsidRPr="0080295E">
        <w:rPr>
          <w:rFonts w:ascii="Arial" w:eastAsia="Calibri" w:hAnsi="Arial" w:cs="Arial"/>
          <w:bCs/>
          <w:lang w:val="es-ES"/>
        </w:rPr>
        <w:t xml:space="preserve">La </w:t>
      </w:r>
      <w:r w:rsidRPr="0080295E">
        <w:rPr>
          <w:rFonts w:ascii="Arial" w:eastAsia="Calibri" w:hAnsi="Arial" w:cs="Arial"/>
        </w:rPr>
        <w:t>denuncia</w:t>
      </w:r>
      <w:r w:rsidRPr="0080295E">
        <w:rPr>
          <w:rFonts w:ascii="Arial" w:eastAsia="Calibri" w:hAnsi="Arial" w:cs="Arial"/>
          <w:bCs/>
          <w:lang w:val="es-ES"/>
        </w:rPr>
        <w:t xml:space="preserve"> se presenta por escrito ante la mesa de partes, por correo electrónico o a través de línea telefónica y debe contener:</w:t>
      </w:r>
    </w:p>
    <w:p w:rsidR="0080295E" w:rsidRPr="0080295E" w:rsidRDefault="0080295E" w:rsidP="007F13DC">
      <w:pPr>
        <w:spacing w:after="0" w:line="240" w:lineRule="auto"/>
        <w:ind w:left="993" w:hanging="426"/>
        <w:contextualSpacing/>
        <w:jc w:val="both"/>
        <w:rPr>
          <w:rFonts w:ascii="Arial" w:eastAsia="Calibri" w:hAnsi="Arial" w:cs="Arial"/>
          <w:bCs/>
          <w:lang w:val="es-ES"/>
        </w:rPr>
      </w:pPr>
    </w:p>
    <w:p w:rsidR="0080295E" w:rsidRPr="0080295E" w:rsidRDefault="0080295E" w:rsidP="0092471C">
      <w:pPr>
        <w:numPr>
          <w:ilvl w:val="0"/>
          <w:numId w:val="302"/>
        </w:numPr>
        <w:spacing w:after="0" w:line="240" w:lineRule="auto"/>
        <w:ind w:left="1418" w:hanging="426"/>
        <w:contextualSpacing/>
        <w:jc w:val="both"/>
        <w:rPr>
          <w:rFonts w:ascii="Arial" w:eastAsia="Calibri" w:hAnsi="Arial" w:cs="Arial"/>
          <w:lang w:val="es-ES"/>
        </w:rPr>
      </w:pPr>
      <w:r w:rsidRPr="0080295E">
        <w:rPr>
          <w:rFonts w:ascii="Arial" w:eastAsia="Calibri" w:hAnsi="Arial" w:cs="Arial"/>
          <w:lang w:val="es-ES"/>
        </w:rPr>
        <w:t>Datos de identificación del denunciante (nombres y apellidos completos, dirección, teléfono y correo electrónico). Solo por seguridad del denunciante, se puede obviar este dato.</w:t>
      </w:r>
    </w:p>
    <w:p w:rsidR="0080295E" w:rsidRPr="0080295E" w:rsidRDefault="0080295E" w:rsidP="0092471C">
      <w:pPr>
        <w:numPr>
          <w:ilvl w:val="0"/>
          <w:numId w:val="302"/>
        </w:numPr>
        <w:spacing w:after="0" w:line="240" w:lineRule="auto"/>
        <w:ind w:left="1418" w:hanging="426"/>
        <w:contextualSpacing/>
        <w:jc w:val="both"/>
        <w:rPr>
          <w:rFonts w:ascii="Arial" w:eastAsia="Calibri" w:hAnsi="Arial" w:cs="Arial"/>
          <w:lang w:val="es-ES"/>
        </w:rPr>
      </w:pPr>
      <w:r w:rsidRPr="0080295E">
        <w:rPr>
          <w:rFonts w:ascii="Arial" w:eastAsia="Calibri" w:hAnsi="Arial" w:cs="Arial"/>
          <w:lang w:val="es-ES"/>
        </w:rPr>
        <w:t xml:space="preserve">Copia del Documento Nacional de Identidad o Carné de Extranjería del denunciante. </w:t>
      </w:r>
    </w:p>
    <w:p w:rsidR="0080295E" w:rsidRPr="0080295E" w:rsidRDefault="0080295E" w:rsidP="0092471C">
      <w:pPr>
        <w:numPr>
          <w:ilvl w:val="0"/>
          <w:numId w:val="302"/>
        </w:numPr>
        <w:spacing w:after="0" w:line="240" w:lineRule="auto"/>
        <w:ind w:left="1418" w:hanging="426"/>
        <w:contextualSpacing/>
        <w:jc w:val="both"/>
        <w:rPr>
          <w:rFonts w:ascii="Arial" w:eastAsia="Calibri" w:hAnsi="Arial" w:cs="Arial"/>
          <w:lang w:val="es-ES"/>
        </w:rPr>
      </w:pPr>
      <w:r w:rsidRPr="0080295E">
        <w:rPr>
          <w:rFonts w:ascii="Arial" w:eastAsia="Calibri" w:hAnsi="Arial" w:cs="Arial"/>
          <w:lang w:val="es-ES"/>
        </w:rPr>
        <w:t>Descripción de los hechos materia de denuncia.</w:t>
      </w:r>
    </w:p>
    <w:p w:rsidR="0080295E" w:rsidRPr="0080295E" w:rsidRDefault="0080295E" w:rsidP="0092471C">
      <w:pPr>
        <w:numPr>
          <w:ilvl w:val="0"/>
          <w:numId w:val="302"/>
        </w:numPr>
        <w:spacing w:after="0" w:line="240" w:lineRule="auto"/>
        <w:ind w:left="1418" w:hanging="426"/>
        <w:contextualSpacing/>
        <w:jc w:val="both"/>
        <w:rPr>
          <w:rFonts w:ascii="Arial" w:eastAsia="Calibri" w:hAnsi="Arial" w:cs="Arial"/>
          <w:lang w:val="es-ES"/>
        </w:rPr>
      </w:pPr>
      <w:r w:rsidRPr="0080295E">
        <w:rPr>
          <w:rFonts w:ascii="Arial" w:eastAsia="Calibri" w:hAnsi="Arial" w:cs="Arial"/>
          <w:lang w:val="es-ES"/>
        </w:rPr>
        <w:t xml:space="preserve">Identificación del bien inmueble, acto o procedimiento materia de la denuncia, debiéndose adjuntar documentos e información que facilite su identificación. En caso de inmuebles y de ser posible, se debe adjuntar fotografías que permitan determinar su ubicación. </w:t>
      </w:r>
    </w:p>
    <w:p w:rsidR="0080295E" w:rsidRPr="0080295E" w:rsidRDefault="0080295E" w:rsidP="0092471C">
      <w:pPr>
        <w:numPr>
          <w:ilvl w:val="0"/>
          <w:numId w:val="302"/>
        </w:numPr>
        <w:spacing w:after="0" w:line="240" w:lineRule="auto"/>
        <w:ind w:left="1418" w:hanging="426"/>
        <w:contextualSpacing/>
        <w:jc w:val="both"/>
        <w:rPr>
          <w:rFonts w:ascii="Arial" w:eastAsia="Calibri" w:hAnsi="Arial" w:cs="Arial"/>
          <w:lang w:val="es-ES"/>
        </w:rPr>
      </w:pPr>
      <w:r w:rsidRPr="0080295E">
        <w:rPr>
          <w:rFonts w:ascii="Arial" w:eastAsia="Calibri" w:hAnsi="Arial" w:cs="Arial"/>
          <w:lang w:val="es-ES"/>
        </w:rPr>
        <w:t>Identificación del o los denunciados (de tener conocimiento).</w:t>
      </w:r>
    </w:p>
    <w:p w:rsidR="0080295E" w:rsidRPr="0080295E" w:rsidRDefault="0080295E" w:rsidP="007F13DC">
      <w:pPr>
        <w:spacing w:after="0" w:line="240" w:lineRule="auto"/>
        <w:ind w:left="993" w:hanging="426"/>
        <w:contextualSpacing/>
        <w:jc w:val="both"/>
        <w:rPr>
          <w:rFonts w:ascii="Arial" w:eastAsia="Calibri" w:hAnsi="Arial" w:cs="Arial"/>
          <w:b/>
          <w:lang w:val="es-ES"/>
        </w:rPr>
      </w:pPr>
    </w:p>
    <w:p w:rsidR="0080295E" w:rsidRPr="0080295E" w:rsidRDefault="0080295E" w:rsidP="0092471C">
      <w:pPr>
        <w:numPr>
          <w:ilvl w:val="1"/>
          <w:numId w:val="283"/>
        </w:numPr>
        <w:spacing w:after="0" w:line="240" w:lineRule="auto"/>
        <w:ind w:left="993" w:hanging="426"/>
        <w:contextualSpacing/>
        <w:jc w:val="both"/>
        <w:rPr>
          <w:rFonts w:ascii="Arial" w:eastAsia="Calibri" w:hAnsi="Arial" w:cs="Arial"/>
          <w:b/>
        </w:rPr>
      </w:pPr>
      <w:r w:rsidRPr="0080295E">
        <w:rPr>
          <w:rFonts w:ascii="Arial" w:eastAsia="Calibri" w:hAnsi="Arial" w:cs="Arial"/>
          <w:b/>
        </w:rPr>
        <w:t>Del plan de supervisión</w:t>
      </w:r>
    </w:p>
    <w:p w:rsidR="0080295E" w:rsidRPr="0080295E" w:rsidRDefault="0080295E" w:rsidP="007F13DC">
      <w:pPr>
        <w:spacing w:after="0" w:line="240" w:lineRule="auto"/>
        <w:ind w:left="993" w:hanging="426"/>
        <w:contextualSpacing/>
        <w:jc w:val="both"/>
        <w:rPr>
          <w:rFonts w:ascii="Arial" w:eastAsia="Calibri" w:hAnsi="Arial" w:cs="Arial"/>
          <w:b/>
        </w:rPr>
      </w:pPr>
    </w:p>
    <w:p w:rsidR="0080295E" w:rsidRPr="0080295E" w:rsidRDefault="0080295E" w:rsidP="007F13DC">
      <w:pPr>
        <w:spacing w:after="0" w:line="240" w:lineRule="auto"/>
        <w:ind w:left="993"/>
        <w:contextualSpacing/>
        <w:jc w:val="both"/>
        <w:rPr>
          <w:rFonts w:ascii="Arial" w:eastAsia="Calibri" w:hAnsi="Arial" w:cs="Arial"/>
          <w:lang w:val="es-ES"/>
        </w:rPr>
      </w:pPr>
      <w:r w:rsidRPr="0080295E">
        <w:rPr>
          <w:rFonts w:ascii="Arial" w:eastAsia="Calibri" w:hAnsi="Arial" w:cs="Arial"/>
          <w:lang w:val="es-ES"/>
        </w:rPr>
        <w:t>Las actuaciones de supervisión se ejecutan de acuerdo a un Plan de Supervisión que se aprueba anualmente, el cual contiene la programación de los bienes inmuebles, actos y procedimientos que serán materia de supervisión en el transcurso del año. Comprende una muestra aleatoria del total de las actuaciones pendientes de ejecución, teniendo en consideración los recursos humanos y logísticos asignados.</w:t>
      </w:r>
    </w:p>
    <w:p w:rsidR="0080295E" w:rsidRPr="0080295E" w:rsidRDefault="0080295E" w:rsidP="007F13DC">
      <w:pPr>
        <w:spacing w:after="0" w:line="240" w:lineRule="auto"/>
        <w:ind w:left="993" w:hanging="426"/>
        <w:contextualSpacing/>
        <w:jc w:val="both"/>
        <w:rPr>
          <w:rFonts w:ascii="Arial" w:eastAsia="Calibri" w:hAnsi="Arial" w:cs="Arial"/>
          <w:lang w:val="es-ES"/>
        </w:rPr>
      </w:pPr>
    </w:p>
    <w:p w:rsidR="0080295E" w:rsidRPr="0080295E" w:rsidRDefault="0080295E" w:rsidP="007F13DC">
      <w:pPr>
        <w:spacing w:after="0" w:line="240" w:lineRule="auto"/>
        <w:ind w:left="993"/>
        <w:contextualSpacing/>
        <w:jc w:val="both"/>
        <w:rPr>
          <w:rFonts w:ascii="Arial" w:eastAsia="Calibri" w:hAnsi="Arial" w:cs="Arial"/>
          <w:b/>
        </w:rPr>
      </w:pPr>
      <w:r w:rsidRPr="0080295E">
        <w:rPr>
          <w:rFonts w:ascii="Arial" w:eastAsia="Calibri" w:hAnsi="Arial" w:cs="Arial"/>
          <w:lang w:val="es-ES"/>
        </w:rPr>
        <w:t>En la ejecución del Plan de Supervisión se podrá incluir otros casos que se justifiquen por necesidad o las circunstancias que se presenten.</w:t>
      </w:r>
    </w:p>
    <w:p w:rsidR="0080295E" w:rsidRPr="0080295E" w:rsidRDefault="0080295E" w:rsidP="007F13DC">
      <w:pPr>
        <w:spacing w:after="0" w:line="240" w:lineRule="auto"/>
        <w:ind w:left="993" w:hanging="426"/>
        <w:contextualSpacing/>
        <w:jc w:val="both"/>
        <w:rPr>
          <w:rFonts w:ascii="Arial" w:eastAsia="Calibri" w:hAnsi="Arial" w:cs="Arial"/>
          <w:b/>
        </w:rPr>
      </w:pPr>
    </w:p>
    <w:p w:rsidR="0080295E" w:rsidRPr="0080295E" w:rsidRDefault="0080295E" w:rsidP="0092471C">
      <w:pPr>
        <w:numPr>
          <w:ilvl w:val="1"/>
          <w:numId w:val="283"/>
        </w:numPr>
        <w:spacing w:after="0" w:line="240" w:lineRule="auto"/>
        <w:ind w:left="993" w:hanging="426"/>
        <w:contextualSpacing/>
        <w:jc w:val="both"/>
        <w:rPr>
          <w:rFonts w:ascii="Arial" w:eastAsia="Calibri" w:hAnsi="Arial" w:cs="Arial"/>
          <w:b/>
        </w:rPr>
      </w:pPr>
      <w:r w:rsidRPr="0080295E">
        <w:rPr>
          <w:rFonts w:ascii="Arial" w:eastAsia="Calibri" w:hAnsi="Arial" w:cs="Arial"/>
          <w:b/>
        </w:rPr>
        <w:t>De las etapas de la actuación de supervisión</w:t>
      </w:r>
    </w:p>
    <w:p w:rsidR="0080295E" w:rsidRPr="0080295E" w:rsidRDefault="0080295E" w:rsidP="007F13DC">
      <w:pPr>
        <w:spacing w:after="0" w:line="240" w:lineRule="auto"/>
        <w:ind w:left="993" w:hanging="426"/>
        <w:contextualSpacing/>
        <w:jc w:val="both"/>
        <w:rPr>
          <w:rFonts w:ascii="Arial" w:eastAsia="Calibri" w:hAnsi="Arial" w:cs="Arial"/>
        </w:rPr>
      </w:pPr>
    </w:p>
    <w:p w:rsidR="0080295E" w:rsidRPr="0080295E" w:rsidRDefault="0080295E" w:rsidP="007F13DC">
      <w:pPr>
        <w:spacing w:after="0" w:line="240" w:lineRule="auto"/>
        <w:ind w:left="993"/>
        <w:contextualSpacing/>
        <w:jc w:val="both"/>
        <w:rPr>
          <w:rFonts w:ascii="Arial" w:eastAsia="Calibri" w:hAnsi="Arial" w:cs="Arial"/>
        </w:rPr>
      </w:pPr>
      <w:r w:rsidRPr="0080295E">
        <w:rPr>
          <w:rFonts w:ascii="Arial" w:eastAsia="Calibri" w:hAnsi="Arial" w:cs="Arial"/>
        </w:rPr>
        <w:t>Las etapas de las actuaciones de supervisión son las siguientes:</w:t>
      </w:r>
    </w:p>
    <w:p w:rsidR="0080295E" w:rsidRPr="0080295E" w:rsidRDefault="0080295E" w:rsidP="007F13DC">
      <w:pPr>
        <w:spacing w:after="0" w:line="240" w:lineRule="auto"/>
        <w:ind w:left="993" w:hanging="426"/>
        <w:contextualSpacing/>
        <w:jc w:val="both"/>
        <w:rPr>
          <w:rFonts w:ascii="Arial" w:eastAsia="Calibri" w:hAnsi="Arial" w:cs="Arial"/>
        </w:rPr>
      </w:pPr>
    </w:p>
    <w:p w:rsidR="0080295E" w:rsidRPr="0080295E" w:rsidRDefault="0080295E" w:rsidP="0092471C">
      <w:pPr>
        <w:numPr>
          <w:ilvl w:val="0"/>
          <w:numId w:val="287"/>
        </w:numPr>
        <w:spacing w:after="0" w:line="240" w:lineRule="auto"/>
        <w:ind w:left="1418" w:hanging="426"/>
        <w:contextualSpacing/>
        <w:jc w:val="both"/>
        <w:rPr>
          <w:rFonts w:ascii="Arial" w:eastAsia="Calibri" w:hAnsi="Arial" w:cs="Arial"/>
        </w:rPr>
      </w:pPr>
      <w:r w:rsidRPr="0080295E">
        <w:rPr>
          <w:rFonts w:ascii="Arial" w:eastAsia="Calibri" w:hAnsi="Arial" w:cs="Arial"/>
        </w:rPr>
        <w:t>Identificación del inmueble, acto y procedimiento materia de supervisión</w:t>
      </w:r>
    </w:p>
    <w:p w:rsidR="0080295E" w:rsidRPr="0080295E" w:rsidRDefault="0080295E" w:rsidP="0092471C">
      <w:pPr>
        <w:numPr>
          <w:ilvl w:val="0"/>
          <w:numId w:val="287"/>
        </w:numPr>
        <w:spacing w:after="0" w:line="240" w:lineRule="auto"/>
        <w:ind w:left="1418" w:hanging="426"/>
        <w:contextualSpacing/>
        <w:jc w:val="both"/>
        <w:rPr>
          <w:rFonts w:ascii="Arial" w:eastAsia="Calibri" w:hAnsi="Arial" w:cs="Arial"/>
        </w:rPr>
      </w:pPr>
      <w:r w:rsidRPr="0080295E">
        <w:rPr>
          <w:rFonts w:ascii="Arial" w:eastAsia="Calibri" w:hAnsi="Arial" w:cs="Arial"/>
        </w:rPr>
        <w:t>Investigación técnico legal</w:t>
      </w:r>
    </w:p>
    <w:p w:rsidR="0080295E" w:rsidRPr="0080295E" w:rsidRDefault="0080295E" w:rsidP="0092471C">
      <w:pPr>
        <w:numPr>
          <w:ilvl w:val="0"/>
          <w:numId w:val="287"/>
        </w:numPr>
        <w:spacing w:after="0" w:line="240" w:lineRule="auto"/>
        <w:ind w:left="1418" w:hanging="426"/>
        <w:contextualSpacing/>
        <w:jc w:val="both"/>
        <w:rPr>
          <w:rFonts w:ascii="Arial" w:eastAsia="Calibri" w:hAnsi="Arial" w:cs="Arial"/>
        </w:rPr>
      </w:pPr>
      <w:r w:rsidRPr="0080295E">
        <w:rPr>
          <w:rFonts w:ascii="Arial" w:eastAsia="Calibri" w:hAnsi="Arial" w:cs="Arial"/>
        </w:rPr>
        <w:t>Apertura de expediente</w:t>
      </w:r>
    </w:p>
    <w:p w:rsidR="0080295E" w:rsidRPr="0080295E" w:rsidRDefault="0080295E" w:rsidP="0092471C">
      <w:pPr>
        <w:numPr>
          <w:ilvl w:val="0"/>
          <w:numId w:val="287"/>
        </w:numPr>
        <w:spacing w:after="0" w:line="240" w:lineRule="auto"/>
        <w:ind w:left="1418" w:hanging="426"/>
        <w:contextualSpacing/>
        <w:jc w:val="both"/>
        <w:rPr>
          <w:rFonts w:ascii="Arial" w:eastAsia="Calibri" w:hAnsi="Arial" w:cs="Arial"/>
        </w:rPr>
      </w:pPr>
      <w:r w:rsidRPr="0080295E">
        <w:rPr>
          <w:rFonts w:ascii="Arial" w:eastAsia="Calibri" w:hAnsi="Arial" w:cs="Arial"/>
        </w:rPr>
        <w:t>Inspección</w:t>
      </w:r>
    </w:p>
    <w:p w:rsidR="0080295E" w:rsidRPr="0080295E" w:rsidRDefault="0080295E" w:rsidP="0092471C">
      <w:pPr>
        <w:numPr>
          <w:ilvl w:val="0"/>
          <w:numId w:val="287"/>
        </w:numPr>
        <w:spacing w:after="0" w:line="240" w:lineRule="auto"/>
        <w:ind w:left="1418" w:hanging="426"/>
        <w:contextualSpacing/>
        <w:jc w:val="both"/>
        <w:rPr>
          <w:rFonts w:ascii="Arial" w:eastAsia="Calibri" w:hAnsi="Arial" w:cs="Arial"/>
        </w:rPr>
      </w:pPr>
      <w:r w:rsidRPr="0080295E">
        <w:rPr>
          <w:rFonts w:ascii="Arial" w:eastAsia="Calibri" w:hAnsi="Arial" w:cs="Arial"/>
        </w:rPr>
        <w:t xml:space="preserve">Informe </w:t>
      </w:r>
    </w:p>
    <w:p w:rsidR="0080295E" w:rsidRPr="0080295E" w:rsidRDefault="0080295E" w:rsidP="0092471C">
      <w:pPr>
        <w:numPr>
          <w:ilvl w:val="0"/>
          <w:numId w:val="287"/>
        </w:numPr>
        <w:spacing w:after="0" w:line="240" w:lineRule="auto"/>
        <w:ind w:left="1418" w:hanging="426"/>
        <w:contextualSpacing/>
        <w:jc w:val="both"/>
        <w:rPr>
          <w:rFonts w:ascii="Arial" w:eastAsia="Calibri" w:hAnsi="Arial" w:cs="Arial"/>
        </w:rPr>
      </w:pPr>
      <w:r w:rsidRPr="0080295E">
        <w:rPr>
          <w:rFonts w:ascii="Arial" w:eastAsia="Calibri" w:hAnsi="Arial" w:cs="Arial"/>
        </w:rPr>
        <w:t>Acciones complementarias</w:t>
      </w:r>
    </w:p>
    <w:p w:rsidR="0080295E" w:rsidRPr="0080295E" w:rsidRDefault="0080295E" w:rsidP="007F13DC">
      <w:pPr>
        <w:spacing w:after="0" w:line="240" w:lineRule="auto"/>
        <w:ind w:left="993" w:hanging="426"/>
        <w:contextualSpacing/>
        <w:jc w:val="both"/>
        <w:rPr>
          <w:rFonts w:ascii="Arial" w:eastAsia="Calibri" w:hAnsi="Arial" w:cs="Arial"/>
        </w:rPr>
      </w:pPr>
    </w:p>
    <w:p w:rsidR="0080295E" w:rsidRPr="0080295E" w:rsidRDefault="0080295E" w:rsidP="0092471C">
      <w:pPr>
        <w:numPr>
          <w:ilvl w:val="1"/>
          <w:numId w:val="283"/>
        </w:numPr>
        <w:spacing w:after="0" w:line="240" w:lineRule="auto"/>
        <w:ind w:left="993" w:hanging="426"/>
        <w:contextualSpacing/>
        <w:jc w:val="both"/>
        <w:rPr>
          <w:rFonts w:ascii="Arial" w:eastAsia="Calibri" w:hAnsi="Arial" w:cs="Arial"/>
          <w:b/>
        </w:rPr>
      </w:pPr>
      <w:r w:rsidRPr="0080295E">
        <w:rPr>
          <w:rFonts w:ascii="Arial" w:eastAsia="Calibri" w:hAnsi="Arial" w:cs="Arial"/>
          <w:b/>
        </w:rPr>
        <w:t>De la obligación de proporcionar información</w:t>
      </w:r>
    </w:p>
    <w:p w:rsidR="0080295E" w:rsidRPr="0080295E" w:rsidRDefault="0080295E" w:rsidP="007F13DC">
      <w:pPr>
        <w:spacing w:after="0" w:line="240" w:lineRule="auto"/>
        <w:ind w:left="993" w:hanging="426"/>
        <w:contextualSpacing/>
        <w:jc w:val="both"/>
        <w:rPr>
          <w:rFonts w:ascii="Arial" w:eastAsia="Calibri" w:hAnsi="Arial" w:cs="Arial"/>
        </w:rPr>
      </w:pPr>
    </w:p>
    <w:p w:rsidR="0080295E" w:rsidRPr="0080295E" w:rsidRDefault="0080295E" w:rsidP="007F13DC">
      <w:pPr>
        <w:spacing w:after="0" w:line="240" w:lineRule="auto"/>
        <w:ind w:left="993"/>
        <w:contextualSpacing/>
        <w:jc w:val="both"/>
        <w:rPr>
          <w:rFonts w:ascii="Arial" w:eastAsia="Calibri" w:hAnsi="Arial" w:cs="Arial"/>
        </w:rPr>
      </w:pPr>
      <w:r w:rsidRPr="0080295E">
        <w:rPr>
          <w:rFonts w:ascii="Arial" w:eastAsia="Calibri" w:hAnsi="Arial" w:cs="Arial"/>
        </w:rPr>
        <w:t>Para efectos de las actuaciones de supervisión, se requiere información a las entidades conformantes del SNBE, así como, a los particulares que ejerzan o hayan ejercido algún derecho sobre el bien inmueble supervisado, debiendo cumplir con lo solicitado en el plazo de diez (10) días, según lo dispuesto por el artículo 132°, inciso 4 de LPAG. En caso de información cartográfica y catastral, dichas entidades cumplen con lo requerido en el plazo de siete (07) días, según el numeral 56.2 del artículo 56° de la Ley N° 30230.</w:t>
      </w:r>
    </w:p>
    <w:p w:rsidR="0080295E" w:rsidRPr="0080295E" w:rsidRDefault="0080295E" w:rsidP="007F13DC">
      <w:pPr>
        <w:spacing w:after="0" w:line="240" w:lineRule="auto"/>
        <w:ind w:left="993" w:hanging="426"/>
        <w:contextualSpacing/>
        <w:jc w:val="both"/>
        <w:rPr>
          <w:rFonts w:ascii="Arial" w:eastAsia="Calibri" w:hAnsi="Arial" w:cs="Arial"/>
        </w:rPr>
      </w:pPr>
    </w:p>
    <w:p w:rsidR="0080295E" w:rsidRPr="0080295E" w:rsidRDefault="0080295E" w:rsidP="0092471C">
      <w:pPr>
        <w:numPr>
          <w:ilvl w:val="1"/>
          <w:numId w:val="283"/>
        </w:numPr>
        <w:spacing w:after="0" w:line="240" w:lineRule="auto"/>
        <w:ind w:left="993" w:hanging="426"/>
        <w:contextualSpacing/>
        <w:jc w:val="both"/>
        <w:rPr>
          <w:rFonts w:ascii="Arial" w:eastAsia="Calibri" w:hAnsi="Arial" w:cs="Arial"/>
          <w:b/>
        </w:rPr>
      </w:pPr>
      <w:r w:rsidRPr="0080295E">
        <w:rPr>
          <w:rFonts w:ascii="Arial" w:eastAsia="Calibri" w:hAnsi="Arial" w:cs="Arial"/>
          <w:b/>
        </w:rPr>
        <w:t xml:space="preserve">De la obtención de información técnica </w:t>
      </w:r>
    </w:p>
    <w:p w:rsidR="0080295E" w:rsidRPr="0080295E" w:rsidRDefault="0080295E" w:rsidP="007F13DC">
      <w:pPr>
        <w:spacing w:after="0" w:line="240" w:lineRule="auto"/>
        <w:ind w:left="993" w:hanging="426"/>
        <w:contextualSpacing/>
        <w:jc w:val="both"/>
        <w:rPr>
          <w:rFonts w:ascii="Arial" w:eastAsia="Calibri" w:hAnsi="Arial" w:cs="Arial"/>
        </w:rPr>
      </w:pPr>
    </w:p>
    <w:p w:rsidR="0080295E" w:rsidRPr="0080295E" w:rsidRDefault="0080295E" w:rsidP="007F13DC">
      <w:pPr>
        <w:spacing w:after="0" w:line="240" w:lineRule="auto"/>
        <w:ind w:left="993"/>
        <w:contextualSpacing/>
        <w:jc w:val="both"/>
        <w:rPr>
          <w:rFonts w:ascii="Arial" w:eastAsia="Calibri" w:hAnsi="Arial" w:cs="Arial"/>
        </w:rPr>
      </w:pPr>
      <w:r w:rsidRPr="0080295E">
        <w:rPr>
          <w:rFonts w:ascii="Arial" w:eastAsia="Calibri" w:hAnsi="Arial" w:cs="Arial"/>
        </w:rPr>
        <w:t>En casos que se requiera, se podrá solicitar información, asesoría o pronunciamiento en temas o materias técnicos a las entidades competentes o profesionales especializados para la verificación del cumplimiento de la finalidad asignada u obligación estipulada por el acto emitido por alguna entidad del SNBE, así como, de cualquier otro aspecto de la supervisión.</w:t>
      </w:r>
    </w:p>
    <w:p w:rsidR="0080295E" w:rsidRPr="0080295E" w:rsidRDefault="0080295E" w:rsidP="007F13DC">
      <w:pPr>
        <w:spacing w:after="0" w:line="240" w:lineRule="auto"/>
        <w:ind w:left="993" w:hanging="426"/>
        <w:contextualSpacing/>
        <w:jc w:val="both"/>
        <w:rPr>
          <w:rFonts w:ascii="Arial" w:eastAsia="Calibri" w:hAnsi="Arial" w:cs="Arial"/>
        </w:rPr>
      </w:pPr>
    </w:p>
    <w:p w:rsidR="0080295E" w:rsidRPr="0080295E" w:rsidRDefault="0080295E" w:rsidP="0092471C">
      <w:pPr>
        <w:numPr>
          <w:ilvl w:val="1"/>
          <w:numId w:val="283"/>
        </w:numPr>
        <w:spacing w:after="0" w:line="240" w:lineRule="auto"/>
        <w:ind w:left="993" w:hanging="567"/>
        <w:contextualSpacing/>
        <w:jc w:val="both"/>
        <w:rPr>
          <w:rFonts w:ascii="Arial" w:eastAsia="Calibri" w:hAnsi="Arial" w:cs="Arial"/>
          <w:b/>
        </w:rPr>
      </w:pPr>
      <w:r w:rsidRPr="0080295E">
        <w:rPr>
          <w:rFonts w:ascii="Arial" w:eastAsia="Calibri" w:hAnsi="Arial" w:cs="Arial"/>
          <w:b/>
        </w:rPr>
        <w:t>De la verificación de infracciones</w:t>
      </w:r>
    </w:p>
    <w:p w:rsidR="0080295E" w:rsidRPr="0080295E" w:rsidRDefault="0080295E" w:rsidP="007F13DC">
      <w:pPr>
        <w:spacing w:after="0" w:line="240" w:lineRule="auto"/>
        <w:ind w:left="993" w:hanging="426"/>
        <w:contextualSpacing/>
        <w:jc w:val="both"/>
        <w:rPr>
          <w:rFonts w:ascii="Arial" w:eastAsia="Calibri" w:hAnsi="Arial" w:cs="Arial"/>
        </w:rPr>
      </w:pPr>
    </w:p>
    <w:p w:rsidR="0080295E" w:rsidRPr="0080295E" w:rsidRDefault="0080295E" w:rsidP="007F13DC">
      <w:pPr>
        <w:spacing w:after="0" w:line="240" w:lineRule="auto"/>
        <w:ind w:left="993"/>
        <w:contextualSpacing/>
        <w:jc w:val="both"/>
        <w:rPr>
          <w:rFonts w:ascii="Arial" w:eastAsia="Calibri" w:hAnsi="Arial" w:cs="Arial"/>
        </w:rPr>
      </w:pPr>
      <w:r w:rsidRPr="0080295E">
        <w:rPr>
          <w:rFonts w:ascii="Arial" w:eastAsia="Calibri" w:hAnsi="Arial" w:cs="Arial"/>
        </w:rPr>
        <w:t>En el supuesto que, como consecuencia de la supervisión efectuada, se determinen infracciones a la Ley, el Reglamento u otra norma aplicable, incurridas en el procedimiento y/o ejecución de los actos de administración, adquisición, disposición y registro de los bienes inmuebles estatales, se pone en conocimiento del Titular de la entidad correspondiente y de la Contraloría General de la República, a fin de que se adopten las acciones correctivas y sancionatorias respectivas, bajo responsabilidad del Titular de la citada entidad, conforme lo previsto por el literal d) del numeral 14.1 del artículo 14° de la Ley.</w:t>
      </w:r>
    </w:p>
    <w:p w:rsidR="0080295E" w:rsidRPr="0080295E" w:rsidRDefault="0080295E" w:rsidP="007F13DC">
      <w:pPr>
        <w:spacing w:after="0" w:line="240" w:lineRule="auto"/>
        <w:ind w:left="993" w:hanging="426"/>
        <w:contextualSpacing/>
        <w:jc w:val="both"/>
        <w:rPr>
          <w:rFonts w:ascii="Arial" w:eastAsia="Calibri" w:hAnsi="Arial" w:cs="Arial"/>
        </w:rPr>
      </w:pPr>
    </w:p>
    <w:p w:rsidR="0080295E" w:rsidRPr="0080295E" w:rsidRDefault="0080295E" w:rsidP="007F13DC">
      <w:pPr>
        <w:spacing w:after="0" w:line="240" w:lineRule="auto"/>
        <w:ind w:left="993"/>
        <w:contextualSpacing/>
        <w:jc w:val="both"/>
        <w:rPr>
          <w:rFonts w:ascii="Arial" w:eastAsia="Calibri" w:hAnsi="Arial" w:cs="Arial"/>
        </w:rPr>
      </w:pPr>
      <w:r w:rsidRPr="0080295E">
        <w:rPr>
          <w:rFonts w:ascii="Arial" w:eastAsia="Calibri" w:hAnsi="Arial" w:cs="Arial"/>
        </w:rPr>
        <w:t>En caso se detecten conductas infractoras cometidas por particulares sobre bienes inmuebles estatales de propiedad o administración de las entidades del SNBE, previstas por el artículo 19°-A de la Ley u otra norma legal, se procede a iniciar el respectivo procedimiento sancionador para imponer las sanciones y medidas correctivas que correspondan.</w:t>
      </w:r>
    </w:p>
    <w:p w:rsidR="0080295E" w:rsidRPr="0080295E" w:rsidRDefault="0080295E" w:rsidP="007F13DC">
      <w:pPr>
        <w:spacing w:after="0" w:line="240" w:lineRule="auto"/>
        <w:ind w:left="993" w:hanging="426"/>
        <w:contextualSpacing/>
        <w:jc w:val="both"/>
        <w:rPr>
          <w:rFonts w:ascii="Arial" w:eastAsia="Calibri" w:hAnsi="Arial" w:cs="Arial"/>
        </w:rPr>
      </w:pPr>
    </w:p>
    <w:p w:rsidR="0080295E" w:rsidRPr="0080295E" w:rsidRDefault="0080295E" w:rsidP="0092471C">
      <w:pPr>
        <w:numPr>
          <w:ilvl w:val="1"/>
          <w:numId w:val="283"/>
        </w:numPr>
        <w:spacing w:after="0" w:line="240" w:lineRule="auto"/>
        <w:ind w:left="993" w:hanging="567"/>
        <w:contextualSpacing/>
        <w:jc w:val="both"/>
        <w:rPr>
          <w:rFonts w:ascii="Arial" w:eastAsia="Calibri" w:hAnsi="Arial" w:cs="Arial"/>
          <w:b/>
        </w:rPr>
      </w:pPr>
      <w:r w:rsidRPr="0080295E">
        <w:rPr>
          <w:rFonts w:ascii="Arial" w:eastAsia="Calibri" w:hAnsi="Arial" w:cs="Arial"/>
          <w:b/>
        </w:rPr>
        <w:t>Del cómputo y transcurso de los plazos</w:t>
      </w:r>
    </w:p>
    <w:p w:rsidR="0080295E" w:rsidRPr="0080295E" w:rsidRDefault="0080295E" w:rsidP="007F13DC">
      <w:pPr>
        <w:spacing w:after="0" w:line="240" w:lineRule="auto"/>
        <w:ind w:left="993" w:hanging="426"/>
        <w:contextualSpacing/>
        <w:jc w:val="both"/>
        <w:rPr>
          <w:rFonts w:ascii="Arial" w:eastAsia="Calibri" w:hAnsi="Arial" w:cs="Arial"/>
        </w:rPr>
      </w:pPr>
    </w:p>
    <w:p w:rsidR="0080295E" w:rsidRPr="0080295E" w:rsidRDefault="0080295E" w:rsidP="007F13DC">
      <w:pPr>
        <w:spacing w:after="0" w:line="240" w:lineRule="auto"/>
        <w:ind w:left="993"/>
        <w:contextualSpacing/>
        <w:jc w:val="both"/>
        <w:rPr>
          <w:rFonts w:ascii="Arial" w:eastAsia="Calibri" w:hAnsi="Arial" w:cs="Arial"/>
        </w:rPr>
      </w:pPr>
      <w:r w:rsidRPr="0080295E">
        <w:rPr>
          <w:rFonts w:ascii="Arial" w:eastAsia="Calibri" w:hAnsi="Arial" w:cs="Arial"/>
        </w:rPr>
        <w:t>Los plazos establecidos en la presente Directiva son de obligatorio cumplimiento para las entidades del SNBE y los particulares, se computan en días hábiles y de acuerdo a las demás reglas previstas por la LPAG. Al cómputo se agrega el término de la distancia de acuerdo al Cuadro General de Términos de Distancia aprobado por el Poder Judicial.</w:t>
      </w:r>
    </w:p>
    <w:p w:rsidR="0080295E" w:rsidRPr="0080295E" w:rsidRDefault="0080295E" w:rsidP="0080295E">
      <w:pPr>
        <w:spacing w:after="0" w:line="240" w:lineRule="auto"/>
        <w:contextualSpacing/>
        <w:jc w:val="both"/>
        <w:rPr>
          <w:rFonts w:ascii="Arial" w:eastAsia="Calibri" w:hAnsi="Arial" w:cs="Arial"/>
        </w:rPr>
      </w:pPr>
    </w:p>
    <w:p w:rsidR="0080295E" w:rsidRPr="0080295E" w:rsidRDefault="0080295E" w:rsidP="0092471C">
      <w:pPr>
        <w:numPr>
          <w:ilvl w:val="0"/>
          <w:numId w:val="283"/>
        </w:numPr>
        <w:spacing w:after="0" w:line="240" w:lineRule="auto"/>
        <w:ind w:left="567" w:hanging="567"/>
        <w:contextualSpacing/>
        <w:jc w:val="both"/>
        <w:rPr>
          <w:rFonts w:ascii="Arial" w:eastAsia="Calibri" w:hAnsi="Arial" w:cs="Arial"/>
          <w:b/>
        </w:rPr>
      </w:pPr>
      <w:r w:rsidRPr="0080295E">
        <w:rPr>
          <w:rFonts w:ascii="Arial" w:eastAsia="Calibri" w:hAnsi="Arial" w:cs="Arial"/>
          <w:b/>
        </w:rPr>
        <w:t>DISPOSICIONES ESPECÍFICAS</w:t>
      </w:r>
    </w:p>
    <w:p w:rsidR="0080295E" w:rsidRPr="0080295E" w:rsidRDefault="0080295E" w:rsidP="0080295E">
      <w:pPr>
        <w:spacing w:after="0" w:line="240" w:lineRule="auto"/>
        <w:contextualSpacing/>
        <w:jc w:val="both"/>
        <w:rPr>
          <w:rFonts w:ascii="Arial" w:eastAsia="Calibri" w:hAnsi="Arial" w:cs="Arial"/>
          <w:b/>
        </w:rPr>
      </w:pPr>
    </w:p>
    <w:p w:rsidR="0080295E" w:rsidRPr="0080295E" w:rsidRDefault="0080295E" w:rsidP="0092471C">
      <w:pPr>
        <w:numPr>
          <w:ilvl w:val="1"/>
          <w:numId w:val="284"/>
        </w:numPr>
        <w:spacing w:after="0" w:line="240" w:lineRule="auto"/>
        <w:ind w:left="1134"/>
        <w:contextualSpacing/>
        <w:jc w:val="both"/>
        <w:rPr>
          <w:rFonts w:ascii="Arial" w:eastAsia="Calibri" w:hAnsi="Arial" w:cs="Arial"/>
          <w:b/>
          <w:lang w:val="es-ES"/>
        </w:rPr>
      </w:pPr>
      <w:r w:rsidRPr="0080295E">
        <w:rPr>
          <w:rFonts w:ascii="Arial" w:eastAsia="Calibri" w:hAnsi="Arial" w:cs="Arial"/>
          <w:b/>
          <w:lang w:val="es-ES"/>
        </w:rPr>
        <w:t xml:space="preserve">ACTUACION DE SUPERVISIÓN DE LOS BIENES INMUEBLES ESTATALES </w:t>
      </w:r>
    </w:p>
    <w:p w:rsidR="0080295E" w:rsidRPr="0080295E" w:rsidRDefault="0080295E" w:rsidP="0080295E">
      <w:pPr>
        <w:spacing w:after="0" w:line="240" w:lineRule="auto"/>
        <w:contextualSpacing/>
        <w:jc w:val="both"/>
        <w:rPr>
          <w:rFonts w:ascii="Arial" w:eastAsia="Calibri" w:hAnsi="Arial" w:cs="Arial"/>
          <w:lang w:val="es-ES"/>
        </w:rPr>
      </w:pPr>
    </w:p>
    <w:p w:rsidR="0080295E" w:rsidRPr="0080295E" w:rsidRDefault="0080295E" w:rsidP="0092471C">
      <w:pPr>
        <w:numPr>
          <w:ilvl w:val="2"/>
          <w:numId w:val="284"/>
        </w:numPr>
        <w:spacing w:after="0" w:line="240" w:lineRule="auto"/>
        <w:ind w:left="1985"/>
        <w:contextualSpacing/>
        <w:jc w:val="both"/>
        <w:rPr>
          <w:rFonts w:ascii="Arial" w:eastAsia="Calibri" w:hAnsi="Arial" w:cs="Arial"/>
          <w:b/>
          <w:lang w:val="es-ES"/>
        </w:rPr>
      </w:pPr>
      <w:r w:rsidRPr="0080295E">
        <w:rPr>
          <w:rFonts w:ascii="Arial" w:eastAsia="Calibri" w:hAnsi="Arial" w:cs="Arial"/>
          <w:b/>
          <w:lang w:val="es-ES"/>
        </w:rPr>
        <w:t>De la identificación del bien</w:t>
      </w:r>
    </w:p>
    <w:p w:rsidR="0080295E" w:rsidRPr="0080295E" w:rsidRDefault="0080295E" w:rsidP="0080295E">
      <w:pPr>
        <w:spacing w:after="0" w:line="240" w:lineRule="auto"/>
        <w:contextualSpacing/>
        <w:jc w:val="both"/>
        <w:rPr>
          <w:rFonts w:ascii="Arial" w:eastAsia="Calibri" w:hAnsi="Arial" w:cs="Arial"/>
          <w:lang w:val="es-ES"/>
        </w:rPr>
      </w:pPr>
    </w:p>
    <w:p w:rsidR="0080295E" w:rsidRPr="0080295E" w:rsidRDefault="0080295E" w:rsidP="007F13DC">
      <w:pPr>
        <w:spacing w:after="0" w:line="240" w:lineRule="auto"/>
        <w:ind w:left="1985"/>
        <w:contextualSpacing/>
        <w:jc w:val="both"/>
        <w:rPr>
          <w:rFonts w:ascii="Arial" w:eastAsia="Calibri" w:hAnsi="Arial" w:cs="Arial"/>
          <w:lang w:val="es-ES"/>
        </w:rPr>
      </w:pPr>
      <w:r w:rsidRPr="0080295E">
        <w:rPr>
          <w:rFonts w:ascii="Arial" w:eastAsia="Calibri" w:hAnsi="Arial" w:cs="Arial"/>
          <w:lang w:val="es-ES"/>
        </w:rPr>
        <w:t>La identificación del inmueble materia de supervisión se realiza en base a la información que consta registrada en el SINABIP u otra fuente que permita presumir que el bien es de propiedad estatal.</w:t>
      </w:r>
    </w:p>
    <w:p w:rsidR="0080295E" w:rsidRPr="0080295E" w:rsidRDefault="0080295E" w:rsidP="007F13DC">
      <w:pPr>
        <w:spacing w:after="0" w:line="240" w:lineRule="auto"/>
        <w:ind w:left="1985" w:hanging="709"/>
        <w:contextualSpacing/>
        <w:jc w:val="both"/>
        <w:rPr>
          <w:rFonts w:ascii="Arial" w:eastAsia="Calibri" w:hAnsi="Arial" w:cs="Arial"/>
          <w:lang w:val="es-ES"/>
        </w:rPr>
      </w:pPr>
    </w:p>
    <w:p w:rsidR="0080295E" w:rsidRPr="0080295E" w:rsidRDefault="0080295E" w:rsidP="007F13DC">
      <w:pPr>
        <w:spacing w:after="0" w:line="240" w:lineRule="auto"/>
        <w:ind w:left="1985"/>
        <w:contextualSpacing/>
        <w:jc w:val="both"/>
        <w:rPr>
          <w:rFonts w:ascii="Arial" w:eastAsia="Calibri" w:hAnsi="Arial" w:cs="Arial"/>
        </w:rPr>
      </w:pPr>
      <w:r w:rsidRPr="0080295E">
        <w:rPr>
          <w:rFonts w:ascii="Arial" w:eastAsia="Calibri" w:hAnsi="Arial" w:cs="Arial"/>
          <w:lang w:val="es-ES"/>
        </w:rPr>
        <w:t>Para</w:t>
      </w:r>
      <w:r w:rsidRPr="0080295E">
        <w:rPr>
          <w:rFonts w:ascii="Arial" w:eastAsia="Calibri" w:hAnsi="Arial" w:cs="Arial"/>
        </w:rPr>
        <w:t xml:space="preserve"> </w:t>
      </w:r>
      <w:r w:rsidRPr="0080295E">
        <w:rPr>
          <w:rFonts w:ascii="Arial" w:eastAsia="Calibri" w:hAnsi="Arial" w:cs="Arial"/>
          <w:lang w:val="es-ES"/>
        </w:rPr>
        <w:t>supervisar</w:t>
      </w:r>
      <w:r w:rsidRPr="0080295E">
        <w:rPr>
          <w:rFonts w:ascii="Arial" w:eastAsia="Calibri" w:hAnsi="Arial" w:cs="Arial"/>
        </w:rPr>
        <w:t xml:space="preserve"> los bienes inmuebles estatales, se toma en consideración los criterios del Plan de Supervisión, priorizándose aquellos que se ubican en las zonas más vulnerables de ser invadidas y donde haya ocurrido el mayor número de incidencias.</w:t>
      </w:r>
    </w:p>
    <w:p w:rsidR="0080295E" w:rsidRPr="0080295E" w:rsidRDefault="0080295E" w:rsidP="007F13DC">
      <w:pPr>
        <w:spacing w:after="0" w:line="240" w:lineRule="auto"/>
        <w:ind w:left="1985" w:hanging="709"/>
        <w:contextualSpacing/>
        <w:jc w:val="both"/>
        <w:rPr>
          <w:rFonts w:ascii="Arial" w:eastAsia="Calibri" w:hAnsi="Arial" w:cs="Arial"/>
        </w:rPr>
      </w:pPr>
    </w:p>
    <w:p w:rsidR="0080295E" w:rsidRPr="0080295E" w:rsidRDefault="0080295E" w:rsidP="0092471C">
      <w:pPr>
        <w:numPr>
          <w:ilvl w:val="2"/>
          <w:numId w:val="284"/>
        </w:numPr>
        <w:spacing w:after="0" w:line="240" w:lineRule="auto"/>
        <w:ind w:left="1985" w:hanging="709"/>
        <w:contextualSpacing/>
        <w:jc w:val="both"/>
        <w:rPr>
          <w:rFonts w:ascii="Arial" w:eastAsia="Calibri" w:hAnsi="Arial" w:cs="Arial"/>
          <w:b/>
          <w:lang w:val="es-ES"/>
        </w:rPr>
      </w:pPr>
      <w:r w:rsidRPr="0080295E">
        <w:rPr>
          <w:rFonts w:ascii="Arial" w:eastAsia="Calibri" w:hAnsi="Arial" w:cs="Arial"/>
          <w:b/>
          <w:lang w:val="es-ES"/>
        </w:rPr>
        <w:t>Del encauzamiento de la denuncia</w:t>
      </w:r>
    </w:p>
    <w:p w:rsidR="0080295E" w:rsidRPr="0080295E" w:rsidRDefault="0080295E" w:rsidP="007F13DC">
      <w:pPr>
        <w:spacing w:after="0" w:line="240" w:lineRule="auto"/>
        <w:ind w:left="1985" w:hanging="709"/>
        <w:contextualSpacing/>
        <w:jc w:val="both"/>
        <w:rPr>
          <w:rFonts w:ascii="Arial" w:eastAsia="Calibri" w:hAnsi="Arial" w:cs="Arial"/>
          <w:lang w:val="es-ES"/>
        </w:rPr>
      </w:pPr>
    </w:p>
    <w:p w:rsidR="0080295E" w:rsidRPr="0080295E" w:rsidRDefault="0080295E" w:rsidP="007F13DC">
      <w:pPr>
        <w:spacing w:after="0" w:line="240" w:lineRule="auto"/>
        <w:ind w:left="1985"/>
        <w:contextualSpacing/>
        <w:jc w:val="both"/>
        <w:rPr>
          <w:rFonts w:ascii="Arial" w:eastAsia="Calibri" w:hAnsi="Arial" w:cs="Arial"/>
          <w:lang w:val="es-ES"/>
        </w:rPr>
      </w:pPr>
      <w:r w:rsidRPr="0080295E">
        <w:rPr>
          <w:rFonts w:ascii="Arial" w:eastAsia="Calibri" w:hAnsi="Arial" w:cs="Arial"/>
        </w:rPr>
        <w:t>En el caso de</w:t>
      </w:r>
      <w:r w:rsidRPr="0080295E">
        <w:rPr>
          <w:rFonts w:ascii="Arial" w:eastAsia="Calibri" w:hAnsi="Arial" w:cs="Arial"/>
          <w:lang w:val="es-ES"/>
        </w:rPr>
        <w:t xml:space="preserve"> denuncia, se procede a su </w:t>
      </w:r>
      <w:r w:rsidRPr="0080295E">
        <w:rPr>
          <w:rFonts w:ascii="Arial" w:eastAsia="Calibri" w:hAnsi="Arial" w:cs="Arial"/>
        </w:rPr>
        <w:t xml:space="preserve">evaluación </w:t>
      </w:r>
      <w:r w:rsidRPr="0080295E">
        <w:rPr>
          <w:rFonts w:ascii="Arial" w:eastAsia="Calibri" w:hAnsi="Arial" w:cs="Arial"/>
          <w:lang w:val="es-ES"/>
        </w:rPr>
        <w:t xml:space="preserve">verificando que cumpla con los requisitos indicados en el numeral 5.5 y la existencia de indicios de uso indebido o aprovechamiento ilegal del inmueble por parte de terceros (invasión). </w:t>
      </w:r>
    </w:p>
    <w:p w:rsidR="0080295E" w:rsidRPr="0080295E" w:rsidRDefault="0080295E" w:rsidP="007F13DC">
      <w:pPr>
        <w:spacing w:after="0" w:line="240" w:lineRule="auto"/>
        <w:ind w:left="1985" w:hanging="709"/>
        <w:contextualSpacing/>
        <w:jc w:val="both"/>
        <w:rPr>
          <w:rFonts w:ascii="Arial" w:eastAsia="Calibri" w:hAnsi="Arial" w:cs="Arial"/>
          <w:lang w:val="es-ES"/>
        </w:rPr>
      </w:pPr>
    </w:p>
    <w:p w:rsidR="0080295E" w:rsidRPr="0080295E" w:rsidRDefault="0080295E" w:rsidP="007F13DC">
      <w:pPr>
        <w:spacing w:after="0" w:line="240" w:lineRule="auto"/>
        <w:ind w:left="1985"/>
        <w:contextualSpacing/>
        <w:jc w:val="both"/>
        <w:rPr>
          <w:rFonts w:ascii="Arial" w:eastAsia="Calibri" w:hAnsi="Arial" w:cs="Arial"/>
          <w:lang w:val="es-ES"/>
        </w:rPr>
      </w:pPr>
      <w:r w:rsidRPr="0080295E">
        <w:rPr>
          <w:rFonts w:ascii="Arial" w:eastAsia="Calibri" w:hAnsi="Arial" w:cs="Arial"/>
          <w:lang w:val="es-ES"/>
        </w:rPr>
        <w:t>En caso que la denuncia acredite verosimilitud respecto a los hechos denunciados, será tramitada de oficio, programándose su atención según el Plan de Supervisión.</w:t>
      </w:r>
    </w:p>
    <w:p w:rsidR="0080295E" w:rsidRPr="0080295E" w:rsidRDefault="0080295E" w:rsidP="007F13DC">
      <w:pPr>
        <w:spacing w:after="0" w:line="240" w:lineRule="auto"/>
        <w:ind w:left="1985" w:hanging="709"/>
        <w:contextualSpacing/>
        <w:jc w:val="both"/>
        <w:rPr>
          <w:rFonts w:ascii="Arial" w:eastAsia="Calibri" w:hAnsi="Arial" w:cs="Arial"/>
          <w:lang w:val="es-ES"/>
        </w:rPr>
      </w:pPr>
    </w:p>
    <w:p w:rsidR="0080295E" w:rsidRPr="0080295E" w:rsidRDefault="0080295E" w:rsidP="0092471C">
      <w:pPr>
        <w:numPr>
          <w:ilvl w:val="2"/>
          <w:numId w:val="284"/>
        </w:numPr>
        <w:spacing w:after="0" w:line="240" w:lineRule="auto"/>
        <w:ind w:left="1985" w:hanging="709"/>
        <w:contextualSpacing/>
        <w:jc w:val="both"/>
        <w:rPr>
          <w:rFonts w:ascii="Arial" w:eastAsia="Calibri" w:hAnsi="Arial" w:cs="Arial"/>
          <w:b/>
          <w:lang w:val="es-ES"/>
        </w:rPr>
      </w:pPr>
      <w:r w:rsidRPr="0080295E">
        <w:rPr>
          <w:rFonts w:ascii="Arial" w:eastAsia="Calibri" w:hAnsi="Arial" w:cs="Arial"/>
          <w:b/>
          <w:lang w:val="es-ES"/>
        </w:rPr>
        <w:t>De la respuesta al denunciante</w:t>
      </w:r>
    </w:p>
    <w:p w:rsidR="0080295E" w:rsidRPr="0080295E" w:rsidRDefault="0080295E" w:rsidP="007F13DC">
      <w:pPr>
        <w:spacing w:after="0" w:line="240" w:lineRule="auto"/>
        <w:ind w:left="1985" w:hanging="709"/>
        <w:contextualSpacing/>
        <w:jc w:val="both"/>
        <w:rPr>
          <w:rFonts w:ascii="Arial" w:eastAsia="Calibri" w:hAnsi="Arial" w:cs="Arial"/>
          <w:lang w:val="es-ES"/>
        </w:rPr>
      </w:pPr>
    </w:p>
    <w:p w:rsidR="0080295E" w:rsidRPr="0080295E" w:rsidRDefault="0080295E" w:rsidP="007F13DC">
      <w:pPr>
        <w:spacing w:after="0" w:line="240" w:lineRule="auto"/>
        <w:ind w:left="1985"/>
        <w:contextualSpacing/>
        <w:jc w:val="both"/>
        <w:rPr>
          <w:rFonts w:ascii="Arial" w:eastAsia="Calibri" w:hAnsi="Arial" w:cs="Arial"/>
          <w:lang w:val="es-ES"/>
        </w:rPr>
      </w:pPr>
      <w:r w:rsidRPr="0080295E">
        <w:rPr>
          <w:rFonts w:ascii="Arial" w:eastAsia="Calibri" w:hAnsi="Arial" w:cs="Arial"/>
          <w:lang w:val="es-ES"/>
        </w:rPr>
        <w:t>En un plazo no mayor de veinte (20) días de presentada la denuncia, se da respuesta al denunciante, mediante oficio, comunicando lo indicado en el numeral precedente.</w:t>
      </w:r>
    </w:p>
    <w:p w:rsidR="0080295E" w:rsidRPr="0080295E" w:rsidRDefault="0080295E" w:rsidP="007F13DC">
      <w:pPr>
        <w:spacing w:after="0" w:line="240" w:lineRule="auto"/>
        <w:ind w:left="1985" w:hanging="709"/>
        <w:contextualSpacing/>
        <w:jc w:val="both"/>
        <w:rPr>
          <w:rFonts w:ascii="Arial" w:eastAsia="Calibri" w:hAnsi="Arial" w:cs="Arial"/>
          <w:lang w:val="es-ES"/>
        </w:rPr>
      </w:pPr>
    </w:p>
    <w:p w:rsidR="0080295E" w:rsidRPr="0080295E" w:rsidRDefault="0080295E" w:rsidP="007F13DC">
      <w:pPr>
        <w:spacing w:after="0" w:line="240" w:lineRule="auto"/>
        <w:ind w:left="1985"/>
        <w:contextualSpacing/>
        <w:jc w:val="both"/>
        <w:rPr>
          <w:rFonts w:ascii="Arial" w:eastAsia="Calibri" w:hAnsi="Arial" w:cs="Arial"/>
          <w:lang w:val="es-ES"/>
        </w:rPr>
      </w:pPr>
      <w:r w:rsidRPr="0080295E">
        <w:rPr>
          <w:rFonts w:ascii="Arial" w:eastAsia="Calibri" w:hAnsi="Arial" w:cs="Arial"/>
          <w:lang w:val="es-ES"/>
        </w:rPr>
        <w:t xml:space="preserve">En caso que de la información proporcionada por el denunciante y con la que cuente la SBN, no sea posible identificar al inmueble, se solicita a éste, en el oficio de respuesta, que efectúe las precisiones respectivas.  </w:t>
      </w:r>
    </w:p>
    <w:p w:rsidR="0080295E" w:rsidRPr="0080295E" w:rsidRDefault="0080295E" w:rsidP="007F13DC">
      <w:pPr>
        <w:spacing w:after="0" w:line="240" w:lineRule="auto"/>
        <w:ind w:left="1985" w:hanging="709"/>
        <w:contextualSpacing/>
        <w:jc w:val="both"/>
        <w:rPr>
          <w:rFonts w:ascii="Arial" w:eastAsia="Calibri" w:hAnsi="Arial" w:cs="Arial"/>
          <w:lang w:val="es-ES"/>
        </w:rPr>
      </w:pPr>
    </w:p>
    <w:p w:rsidR="0080295E" w:rsidRPr="0080295E" w:rsidRDefault="0080295E" w:rsidP="0092471C">
      <w:pPr>
        <w:numPr>
          <w:ilvl w:val="2"/>
          <w:numId w:val="284"/>
        </w:numPr>
        <w:spacing w:after="0" w:line="240" w:lineRule="auto"/>
        <w:ind w:left="1985" w:hanging="709"/>
        <w:contextualSpacing/>
        <w:jc w:val="both"/>
        <w:rPr>
          <w:rFonts w:ascii="Arial" w:eastAsia="Calibri" w:hAnsi="Arial" w:cs="Arial"/>
          <w:b/>
          <w:lang w:val="es-ES"/>
        </w:rPr>
      </w:pPr>
      <w:r w:rsidRPr="0080295E">
        <w:rPr>
          <w:rFonts w:ascii="Arial" w:eastAsia="Calibri" w:hAnsi="Arial" w:cs="Arial"/>
          <w:b/>
          <w:lang w:val="es-ES"/>
        </w:rPr>
        <w:t xml:space="preserve">De la investigación técnico-legal </w:t>
      </w:r>
    </w:p>
    <w:p w:rsidR="0080295E" w:rsidRPr="0080295E" w:rsidRDefault="0080295E" w:rsidP="007F13DC">
      <w:pPr>
        <w:spacing w:after="0" w:line="240" w:lineRule="auto"/>
        <w:ind w:left="1985" w:hanging="709"/>
        <w:contextualSpacing/>
        <w:jc w:val="both"/>
        <w:rPr>
          <w:rFonts w:ascii="Arial" w:eastAsia="Calibri" w:hAnsi="Arial" w:cs="Arial"/>
          <w:b/>
          <w:lang w:val="es-ES"/>
        </w:rPr>
      </w:pPr>
    </w:p>
    <w:p w:rsidR="0080295E" w:rsidRPr="0080295E" w:rsidRDefault="0080295E" w:rsidP="007F13DC">
      <w:pPr>
        <w:spacing w:after="0" w:line="240" w:lineRule="auto"/>
        <w:ind w:left="1985"/>
        <w:contextualSpacing/>
        <w:jc w:val="both"/>
        <w:rPr>
          <w:rFonts w:ascii="Arial" w:eastAsia="Calibri" w:hAnsi="Arial" w:cs="Arial"/>
          <w:bCs/>
          <w:lang w:val="es-ES"/>
        </w:rPr>
      </w:pPr>
      <w:r w:rsidRPr="0080295E">
        <w:rPr>
          <w:rFonts w:ascii="Arial" w:eastAsia="Calibri" w:hAnsi="Arial" w:cs="Arial"/>
          <w:lang w:val="es-ES"/>
        </w:rPr>
        <w:t>Luego</w:t>
      </w:r>
      <w:r w:rsidRPr="0080295E">
        <w:rPr>
          <w:rFonts w:ascii="Arial" w:eastAsia="Calibri" w:hAnsi="Arial" w:cs="Arial"/>
          <w:bCs/>
          <w:lang w:val="es-ES"/>
        </w:rPr>
        <w:t xml:space="preserve"> de identificado el inmueble, la brigada encargada efectúa una investigación en gabinete, con la finalidad de:</w:t>
      </w:r>
    </w:p>
    <w:p w:rsidR="0080295E" w:rsidRPr="0080295E" w:rsidRDefault="0080295E" w:rsidP="007F13DC">
      <w:pPr>
        <w:spacing w:after="0" w:line="240" w:lineRule="auto"/>
        <w:ind w:left="1985" w:hanging="709"/>
        <w:contextualSpacing/>
        <w:jc w:val="both"/>
        <w:rPr>
          <w:rFonts w:ascii="Arial" w:eastAsia="Calibri" w:hAnsi="Arial" w:cs="Arial"/>
          <w:bCs/>
          <w:lang w:val="es-ES"/>
        </w:rPr>
      </w:pPr>
    </w:p>
    <w:p w:rsidR="0080295E" w:rsidRPr="0080295E" w:rsidRDefault="0080295E" w:rsidP="0092471C">
      <w:pPr>
        <w:numPr>
          <w:ilvl w:val="0"/>
          <w:numId w:val="290"/>
        </w:numPr>
        <w:spacing w:after="0" w:line="240" w:lineRule="auto"/>
        <w:ind w:left="2694" w:hanging="709"/>
        <w:contextualSpacing/>
        <w:jc w:val="both"/>
        <w:rPr>
          <w:rFonts w:ascii="Arial" w:eastAsia="Calibri" w:hAnsi="Arial" w:cs="Arial"/>
          <w:bCs/>
          <w:lang w:val="es-ES"/>
        </w:rPr>
      </w:pPr>
      <w:r w:rsidRPr="0080295E">
        <w:rPr>
          <w:rFonts w:ascii="Arial" w:eastAsia="Calibri" w:hAnsi="Arial" w:cs="Arial"/>
          <w:bCs/>
          <w:lang w:val="es-ES"/>
        </w:rPr>
        <w:t>Obtener información y documentación referida al inmueble materia de supervisión</w:t>
      </w:r>
    </w:p>
    <w:p w:rsidR="0080295E" w:rsidRPr="0080295E" w:rsidRDefault="0080295E" w:rsidP="0092471C">
      <w:pPr>
        <w:numPr>
          <w:ilvl w:val="0"/>
          <w:numId w:val="290"/>
        </w:numPr>
        <w:spacing w:after="0" w:line="240" w:lineRule="auto"/>
        <w:ind w:left="2694" w:hanging="709"/>
        <w:contextualSpacing/>
        <w:jc w:val="both"/>
        <w:rPr>
          <w:rFonts w:ascii="Arial" w:eastAsia="Calibri" w:hAnsi="Arial" w:cs="Arial"/>
          <w:bCs/>
          <w:lang w:val="es-ES"/>
        </w:rPr>
      </w:pPr>
      <w:r w:rsidRPr="0080295E">
        <w:rPr>
          <w:rFonts w:ascii="Arial" w:eastAsia="Calibri" w:hAnsi="Arial" w:cs="Arial"/>
          <w:bCs/>
          <w:lang w:val="es-ES"/>
        </w:rPr>
        <w:t>Verificar la existencia de algún proceso judicial en trámite que obligue a la suspensión o conclusión de la supervisión</w:t>
      </w:r>
    </w:p>
    <w:p w:rsidR="0080295E" w:rsidRPr="0080295E" w:rsidRDefault="0080295E" w:rsidP="0092471C">
      <w:pPr>
        <w:numPr>
          <w:ilvl w:val="0"/>
          <w:numId w:val="290"/>
        </w:numPr>
        <w:spacing w:after="0" w:line="240" w:lineRule="auto"/>
        <w:ind w:left="2694" w:hanging="709"/>
        <w:contextualSpacing/>
        <w:jc w:val="both"/>
        <w:rPr>
          <w:rFonts w:ascii="Arial" w:eastAsia="Calibri" w:hAnsi="Arial" w:cs="Arial"/>
          <w:bCs/>
          <w:lang w:val="es-ES"/>
        </w:rPr>
      </w:pPr>
      <w:r w:rsidRPr="0080295E">
        <w:rPr>
          <w:rFonts w:ascii="Arial" w:eastAsia="Calibri" w:hAnsi="Arial" w:cs="Arial"/>
          <w:bCs/>
          <w:lang w:val="es-ES"/>
        </w:rPr>
        <w:t>Efectuar el análisis de la información y documentación obtenida respecto del inmueble.</w:t>
      </w:r>
    </w:p>
    <w:p w:rsidR="0080295E" w:rsidRPr="0080295E" w:rsidRDefault="0080295E" w:rsidP="007F13DC">
      <w:pPr>
        <w:spacing w:after="0" w:line="240" w:lineRule="auto"/>
        <w:ind w:left="1985" w:hanging="709"/>
        <w:contextualSpacing/>
        <w:jc w:val="both"/>
        <w:rPr>
          <w:rFonts w:ascii="Arial" w:eastAsia="Calibri" w:hAnsi="Arial" w:cs="Arial"/>
          <w:bCs/>
          <w:lang w:val="es-ES"/>
        </w:rPr>
      </w:pPr>
    </w:p>
    <w:p w:rsidR="0080295E" w:rsidRPr="0080295E" w:rsidRDefault="0080295E" w:rsidP="007F13DC">
      <w:pPr>
        <w:spacing w:after="0" w:line="240" w:lineRule="auto"/>
        <w:ind w:left="1985"/>
        <w:contextualSpacing/>
        <w:jc w:val="both"/>
        <w:rPr>
          <w:rFonts w:ascii="Arial" w:eastAsia="Calibri" w:hAnsi="Arial" w:cs="Arial"/>
          <w:bCs/>
          <w:lang w:val="es-ES"/>
        </w:rPr>
      </w:pPr>
      <w:r w:rsidRPr="0080295E">
        <w:rPr>
          <w:rFonts w:ascii="Arial" w:eastAsia="Calibri" w:hAnsi="Arial" w:cs="Arial"/>
          <w:bCs/>
          <w:lang w:val="es-ES"/>
        </w:rPr>
        <w:t>Para tal efecto, se realizan las siguientes acciones:</w:t>
      </w:r>
    </w:p>
    <w:p w:rsidR="0080295E" w:rsidRPr="0080295E" w:rsidRDefault="0080295E" w:rsidP="007F13DC">
      <w:pPr>
        <w:spacing w:after="0" w:line="240" w:lineRule="auto"/>
        <w:ind w:left="1985" w:hanging="709"/>
        <w:contextualSpacing/>
        <w:jc w:val="both"/>
        <w:rPr>
          <w:rFonts w:ascii="Arial" w:eastAsia="Calibri" w:hAnsi="Arial" w:cs="Arial"/>
          <w:b/>
          <w:lang w:val="es-ES"/>
        </w:rPr>
      </w:pPr>
    </w:p>
    <w:p w:rsidR="0080295E" w:rsidRPr="0080295E" w:rsidRDefault="0080295E" w:rsidP="0092471C">
      <w:pPr>
        <w:numPr>
          <w:ilvl w:val="0"/>
          <w:numId w:val="291"/>
        </w:numPr>
        <w:spacing w:after="0" w:line="240" w:lineRule="auto"/>
        <w:ind w:left="2694" w:hanging="709"/>
        <w:contextualSpacing/>
        <w:jc w:val="both"/>
        <w:rPr>
          <w:rFonts w:ascii="Arial" w:eastAsia="Calibri" w:hAnsi="Arial" w:cs="Arial"/>
        </w:rPr>
      </w:pPr>
      <w:r w:rsidRPr="0080295E">
        <w:rPr>
          <w:rFonts w:ascii="Arial" w:eastAsia="Calibri" w:hAnsi="Arial" w:cs="Arial"/>
        </w:rPr>
        <w:t>Se revisa los antecedentes administrativos del inmueble.</w:t>
      </w:r>
    </w:p>
    <w:p w:rsidR="0080295E" w:rsidRPr="0080295E" w:rsidRDefault="0080295E" w:rsidP="0092471C">
      <w:pPr>
        <w:numPr>
          <w:ilvl w:val="0"/>
          <w:numId w:val="291"/>
        </w:numPr>
        <w:spacing w:after="0" w:line="240" w:lineRule="auto"/>
        <w:ind w:left="2694" w:hanging="709"/>
        <w:contextualSpacing/>
        <w:jc w:val="both"/>
        <w:rPr>
          <w:rFonts w:ascii="Arial" w:eastAsia="Calibri" w:hAnsi="Arial" w:cs="Arial"/>
        </w:rPr>
      </w:pPr>
      <w:r w:rsidRPr="0080295E">
        <w:rPr>
          <w:rFonts w:ascii="Arial" w:eastAsia="Calibri" w:hAnsi="Arial" w:cs="Arial"/>
        </w:rPr>
        <w:t>Se recaba la información del registro SINABIP y su legajo.</w:t>
      </w:r>
    </w:p>
    <w:p w:rsidR="0080295E" w:rsidRPr="0080295E" w:rsidRDefault="0080295E" w:rsidP="0092471C">
      <w:pPr>
        <w:numPr>
          <w:ilvl w:val="0"/>
          <w:numId w:val="291"/>
        </w:numPr>
        <w:spacing w:after="0" w:line="240" w:lineRule="auto"/>
        <w:ind w:left="2694" w:hanging="709"/>
        <w:contextualSpacing/>
        <w:jc w:val="both"/>
        <w:rPr>
          <w:rFonts w:ascii="Arial" w:eastAsia="Calibri" w:hAnsi="Arial" w:cs="Arial"/>
        </w:rPr>
      </w:pPr>
      <w:r w:rsidRPr="0080295E">
        <w:rPr>
          <w:rFonts w:ascii="Arial" w:eastAsia="Calibri" w:hAnsi="Arial" w:cs="Arial"/>
        </w:rPr>
        <w:t>Se consulta el SID, las Bases Gráficas, y otras fuentes disponibles en la SBN.</w:t>
      </w:r>
    </w:p>
    <w:p w:rsidR="0080295E" w:rsidRPr="0080295E" w:rsidRDefault="0080295E" w:rsidP="0092471C">
      <w:pPr>
        <w:numPr>
          <w:ilvl w:val="0"/>
          <w:numId w:val="291"/>
        </w:numPr>
        <w:spacing w:after="0" w:line="240" w:lineRule="auto"/>
        <w:ind w:left="2694" w:hanging="709"/>
        <w:contextualSpacing/>
        <w:jc w:val="both"/>
        <w:rPr>
          <w:rFonts w:ascii="Arial" w:eastAsia="Calibri" w:hAnsi="Arial" w:cs="Arial"/>
        </w:rPr>
      </w:pPr>
      <w:r w:rsidRPr="0080295E">
        <w:rPr>
          <w:rFonts w:ascii="Arial" w:eastAsia="Calibri" w:hAnsi="Arial" w:cs="Arial"/>
          <w:bCs/>
          <w:lang w:val="es-ES"/>
        </w:rPr>
        <w:t>Se obtiene información actualizada del RP respecto de la partida registral del inmueble y de otros que tengan relación o conexión.</w:t>
      </w:r>
    </w:p>
    <w:p w:rsidR="0080295E" w:rsidRPr="0080295E" w:rsidRDefault="0080295E" w:rsidP="0092471C">
      <w:pPr>
        <w:numPr>
          <w:ilvl w:val="0"/>
          <w:numId w:val="291"/>
        </w:numPr>
        <w:spacing w:after="0" w:line="240" w:lineRule="auto"/>
        <w:ind w:left="2694" w:hanging="709"/>
        <w:contextualSpacing/>
        <w:jc w:val="both"/>
        <w:rPr>
          <w:rFonts w:ascii="Arial" w:eastAsia="Calibri" w:hAnsi="Arial" w:cs="Arial"/>
        </w:rPr>
      </w:pPr>
      <w:r w:rsidRPr="0080295E">
        <w:rPr>
          <w:rFonts w:ascii="Arial" w:eastAsia="Calibri" w:hAnsi="Arial" w:cs="Arial"/>
        </w:rPr>
        <w:t xml:space="preserve">Se revisa el aplicativo de procesos </w:t>
      </w:r>
      <w:r w:rsidRPr="0080295E">
        <w:rPr>
          <w:rFonts w:ascii="Arial" w:eastAsia="Calibri" w:hAnsi="Arial" w:cs="Arial"/>
          <w:lang w:val="es-ES"/>
        </w:rPr>
        <w:t>judiciales.</w:t>
      </w:r>
    </w:p>
    <w:p w:rsidR="0080295E" w:rsidRPr="0080295E" w:rsidRDefault="0080295E" w:rsidP="007F13DC">
      <w:pPr>
        <w:spacing w:after="0" w:line="240" w:lineRule="auto"/>
        <w:ind w:left="1985" w:hanging="709"/>
        <w:contextualSpacing/>
        <w:jc w:val="both"/>
        <w:rPr>
          <w:rFonts w:ascii="Arial" w:eastAsia="Calibri" w:hAnsi="Arial" w:cs="Arial"/>
        </w:rPr>
      </w:pPr>
    </w:p>
    <w:p w:rsidR="0080295E" w:rsidRPr="0080295E" w:rsidRDefault="0080295E" w:rsidP="0092471C">
      <w:pPr>
        <w:numPr>
          <w:ilvl w:val="2"/>
          <w:numId w:val="284"/>
        </w:numPr>
        <w:spacing w:after="0" w:line="240" w:lineRule="auto"/>
        <w:ind w:left="1985" w:hanging="709"/>
        <w:contextualSpacing/>
        <w:jc w:val="both"/>
        <w:rPr>
          <w:rFonts w:ascii="Arial" w:eastAsia="Calibri" w:hAnsi="Arial" w:cs="Arial"/>
          <w:b/>
        </w:rPr>
      </w:pPr>
      <w:r w:rsidRPr="0080295E">
        <w:rPr>
          <w:rFonts w:ascii="Arial" w:eastAsia="Calibri" w:hAnsi="Arial" w:cs="Arial"/>
          <w:b/>
          <w:lang w:val="es-ES"/>
        </w:rPr>
        <w:t>De los resultados</w:t>
      </w:r>
      <w:r w:rsidRPr="0080295E">
        <w:rPr>
          <w:rFonts w:ascii="Arial" w:eastAsia="Calibri" w:hAnsi="Arial" w:cs="Arial"/>
          <w:b/>
        </w:rPr>
        <w:t xml:space="preserve"> de la</w:t>
      </w:r>
      <w:r w:rsidRPr="0080295E">
        <w:rPr>
          <w:rFonts w:ascii="Arial" w:eastAsia="Calibri" w:hAnsi="Arial" w:cs="Arial"/>
          <w:b/>
          <w:lang w:val="es-ES"/>
        </w:rPr>
        <w:t xml:space="preserve"> investigación</w:t>
      </w:r>
      <w:r w:rsidRPr="0080295E">
        <w:rPr>
          <w:rFonts w:ascii="Arial" w:eastAsia="Calibri" w:hAnsi="Arial" w:cs="Arial"/>
          <w:b/>
        </w:rPr>
        <w:t xml:space="preserve"> técnico-legal</w:t>
      </w:r>
    </w:p>
    <w:p w:rsidR="0080295E" w:rsidRPr="0080295E" w:rsidRDefault="0080295E" w:rsidP="007F13DC">
      <w:pPr>
        <w:spacing w:after="0" w:line="240" w:lineRule="auto"/>
        <w:ind w:left="1985" w:hanging="709"/>
        <w:contextualSpacing/>
        <w:jc w:val="both"/>
        <w:rPr>
          <w:rFonts w:ascii="Arial" w:eastAsia="Calibri" w:hAnsi="Arial" w:cs="Arial"/>
          <w:b/>
        </w:rPr>
      </w:pPr>
    </w:p>
    <w:p w:rsidR="0080295E" w:rsidRPr="0080295E" w:rsidRDefault="0080295E" w:rsidP="007F13DC">
      <w:pPr>
        <w:spacing w:after="0" w:line="240" w:lineRule="auto"/>
        <w:ind w:left="1985"/>
        <w:contextualSpacing/>
        <w:jc w:val="both"/>
        <w:rPr>
          <w:rFonts w:ascii="Arial" w:eastAsia="Calibri" w:hAnsi="Arial" w:cs="Arial"/>
        </w:rPr>
      </w:pPr>
      <w:r w:rsidRPr="0080295E">
        <w:rPr>
          <w:rFonts w:ascii="Arial" w:eastAsia="Calibri" w:hAnsi="Arial" w:cs="Arial"/>
        </w:rPr>
        <w:t xml:space="preserve">La </w:t>
      </w:r>
      <w:r w:rsidRPr="0080295E">
        <w:rPr>
          <w:rFonts w:ascii="Arial" w:eastAsia="Calibri" w:hAnsi="Arial" w:cs="Arial"/>
          <w:lang w:val="es-ES"/>
        </w:rPr>
        <w:t>investigación</w:t>
      </w:r>
      <w:r w:rsidRPr="0080295E">
        <w:rPr>
          <w:rFonts w:ascii="Arial" w:eastAsia="Calibri" w:hAnsi="Arial" w:cs="Arial"/>
        </w:rPr>
        <w:t xml:space="preserve"> técnico-legal da lugar a alguno de los siguientes resultados:</w:t>
      </w:r>
    </w:p>
    <w:p w:rsidR="0080295E" w:rsidRPr="0080295E" w:rsidRDefault="0080295E" w:rsidP="007F13DC">
      <w:pPr>
        <w:spacing w:after="0" w:line="240" w:lineRule="auto"/>
        <w:ind w:left="1985" w:hanging="709"/>
        <w:contextualSpacing/>
        <w:jc w:val="both"/>
        <w:rPr>
          <w:rFonts w:ascii="Arial" w:eastAsia="Calibri" w:hAnsi="Arial" w:cs="Arial"/>
        </w:rPr>
      </w:pPr>
    </w:p>
    <w:p w:rsidR="0080295E" w:rsidRPr="0080295E" w:rsidRDefault="0080295E" w:rsidP="0092471C">
      <w:pPr>
        <w:numPr>
          <w:ilvl w:val="0"/>
          <w:numId w:val="289"/>
        </w:numPr>
        <w:spacing w:after="0" w:line="240" w:lineRule="auto"/>
        <w:ind w:left="2694" w:hanging="709"/>
        <w:contextualSpacing/>
        <w:jc w:val="both"/>
        <w:rPr>
          <w:rFonts w:ascii="Arial" w:eastAsia="Calibri" w:hAnsi="Arial" w:cs="Arial"/>
        </w:rPr>
      </w:pPr>
      <w:r w:rsidRPr="0080295E">
        <w:rPr>
          <w:rFonts w:ascii="Arial" w:eastAsia="Calibri" w:hAnsi="Arial" w:cs="Arial"/>
        </w:rPr>
        <w:t>Si se verifica que el inmueble es de propiedad privada: se concluye la supervisión.</w:t>
      </w:r>
    </w:p>
    <w:p w:rsidR="0080295E" w:rsidRPr="0080295E" w:rsidRDefault="0080295E" w:rsidP="0092471C">
      <w:pPr>
        <w:numPr>
          <w:ilvl w:val="0"/>
          <w:numId w:val="289"/>
        </w:numPr>
        <w:spacing w:after="0" w:line="240" w:lineRule="auto"/>
        <w:ind w:left="2694" w:hanging="709"/>
        <w:contextualSpacing/>
        <w:jc w:val="both"/>
        <w:rPr>
          <w:rFonts w:ascii="Arial" w:eastAsia="Calibri" w:hAnsi="Arial" w:cs="Arial"/>
        </w:rPr>
      </w:pPr>
      <w:r w:rsidRPr="0080295E">
        <w:rPr>
          <w:rFonts w:ascii="Arial" w:eastAsia="Calibri" w:hAnsi="Arial" w:cs="Arial"/>
        </w:rPr>
        <w:t>Si se verifica la existencia de alguna otra causal de incompetencia de la SBN: se concluye la supervisión.</w:t>
      </w:r>
    </w:p>
    <w:p w:rsidR="0080295E" w:rsidRPr="0080295E" w:rsidRDefault="0080295E" w:rsidP="0092471C">
      <w:pPr>
        <w:numPr>
          <w:ilvl w:val="0"/>
          <w:numId w:val="289"/>
        </w:numPr>
        <w:spacing w:after="0" w:line="240" w:lineRule="auto"/>
        <w:ind w:left="2694" w:hanging="709"/>
        <w:contextualSpacing/>
        <w:jc w:val="both"/>
        <w:rPr>
          <w:rFonts w:ascii="Arial" w:eastAsia="Calibri" w:hAnsi="Arial" w:cs="Arial"/>
        </w:rPr>
      </w:pPr>
      <w:r w:rsidRPr="0080295E">
        <w:rPr>
          <w:rFonts w:ascii="Arial" w:eastAsia="Calibri" w:hAnsi="Arial" w:cs="Arial"/>
        </w:rPr>
        <w:t>Si se verifica que el inmueble es de propiedad estatal y se encuentra inscrito en el RP: se continúa con la supervisión.</w:t>
      </w:r>
    </w:p>
    <w:p w:rsidR="0080295E" w:rsidRPr="0080295E" w:rsidRDefault="0080295E" w:rsidP="0092471C">
      <w:pPr>
        <w:numPr>
          <w:ilvl w:val="0"/>
          <w:numId w:val="289"/>
        </w:numPr>
        <w:spacing w:after="0" w:line="240" w:lineRule="auto"/>
        <w:ind w:left="2694" w:hanging="709"/>
        <w:contextualSpacing/>
        <w:jc w:val="both"/>
        <w:rPr>
          <w:rFonts w:ascii="Arial" w:eastAsia="Calibri" w:hAnsi="Arial" w:cs="Arial"/>
        </w:rPr>
      </w:pPr>
      <w:r w:rsidRPr="0080295E">
        <w:rPr>
          <w:rFonts w:ascii="Arial" w:eastAsia="Calibri" w:hAnsi="Arial" w:cs="Arial"/>
        </w:rPr>
        <w:t>Si se verifica que el inmueble es de propiedad estatal y no se encuentra inscrito en el RP: se continúa con la supervisión y paralelamente, se solicita a SDAPE que efectúe la primera inscripción de dominio.</w:t>
      </w:r>
    </w:p>
    <w:p w:rsidR="0080295E" w:rsidRPr="0080295E" w:rsidRDefault="0080295E" w:rsidP="0092471C">
      <w:pPr>
        <w:numPr>
          <w:ilvl w:val="0"/>
          <w:numId w:val="289"/>
        </w:numPr>
        <w:spacing w:after="0" w:line="240" w:lineRule="auto"/>
        <w:ind w:left="2694" w:hanging="709"/>
        <w:contextualSpacing/>
        <w:jc w:val="both"/>
        <w:rPr>
          <w:rFonts w:ascii="Arial" w:eastAsia="Calibri" w:hAnsi="Arial" w:cs="Arial"/>
        </w:rPr>
      </w:pPr>
      <w:r w:rsidRPr="0080295E">
        <w:rPr>
          <w:rFonts w:ascii="Arial" w:eastAsia="Calibri" w:hAnsi="Arial" w:cs="Arial"/>
        </w:rPr>
        <w:t xml:space="preserve">Si se verifica que sobre el inmueble recae algún </w:t>
      </w:r>
      <w:r w:rsidRPr="0080295E">
        <w:rPr>
          <w:rFonts w:ascii="Arial" w:eastAsia="Calibri" w:hAnsi="Arial" w:cs="Arial"/>
          <w:lang w:val="es-ES"/>
        </w:rPr>
        <w:t xml:space="preserve">acto administrativo o jurídico emitido u otorgado por alguna entidad del SNBE: </w:t>
      </w:r>
      <w:r w:rsidRPr="0080295E">
        <w:rPr>
          <w:rFonts w:ascii="Arial" w:eastAsia="Calibri" w:hAnsi="Arial" w:cs="Arial"/>
        </w:rPr>
        <w:t>se tramita como supervisión de actos emitidos por entidades del SNBE, previsto por el numeral 6.2.</w:t>
      </w:r>
    </w:p>
    <w:p w:rsidR="0080295E" w:rsidRPr="0080295E" w:rsidRDefault="0080295E" w:rsidP="0092471C">
      <w:pPr>
        <w:numPr>
          <w:ilvl w:val="0"/>
          <w:numId w:val="289"/>
        </w:numPr>
        <w:spacing w:after="0" w:line="240" w:lineRule="auto"/>
        <w:ind w:left="2694" w:hanging="709"/>
        <w:contextualSpacing/>
        <w:jc w:val="both"/>
        <w:rPr>
          <w:rFonts w:ascii="Arial" w:eastAsia="Calibri" w:hAnsi="Arial" w:cs="Arial"/>
        </w:rPr>
      </w:pPr>
      <w:r w:rsidRPr="0080295E">
        <w:rPr>
          <w:rFonts w:ascii="Arial" w:eastAsia="Calibri" w:hAnsi="Arial" w:cs="Arial"/>
        </w:rPr>
        <w:t>Si se determina que existe en trámite algún proceso judicial que verse sobre la propiedad y/o posesión del inmueble y se considera que se pudiera interferir con la función jurisdiccional: se suspende o concluye la supervisión, en cumplimiento de lo dispuesto por el artículo 4° del TUO de la Ley Orgánica del Poder Judicial, aprobado por DS N° 017-93-JUS.</w:t>
      </w:r>
    </w:p>
    <w:p w:rsidR="0080295E" w:rsidRPr="0080295E" w:rsidRDefault="0080295E" w:rsidP="007F13DC">
      <w:pPr>
        <w:spacing w:after="0" w:line="240" w:lineRule="auto"/>
        <w:ind w:left="1985" w:hanging="709"/>
        <w:contextualSpacing/>
        <w:jc w:val="both"/>
        <w:rPr>
          <w:rFonts w:ascii="Arial" w:eastAsia="Calibri" w:hAnsi="Arial" w:cs="Arial"/>
        </w:rPr>
      </w:pPr>
    </w:p>
    <w:p w:rsidR="0080295E" w:rsidRPr="0080295E" w:rsidRDefault="0080295E" w:rsidP="0092471C">
      <w:pPr>
        <w:numPr>
          <w:ilvl w:val="2"/>
          <w:numId w:val="284"/>
        </w:numPr>
        <w:spacing w:after="0" w:line="240" w:lineRule="auto"/>
        <w:ind w:left="1985" w:hanging="709"/>
        <w:contextualSpacing/>
        <w:jc w:val="both"/>
        <w:rPr>
          <w:rFonts w:ascii="Arial" w:eastAsia="Calibri" w:hAnsi="Arial" w:cs="Arial"/>
          <w:b/>
        </w:rPr>
      </w:pPr>
      <w:r w:rsidRPr="0080295E">
        <w:rPr>
          <w:rFonts w:ascii="Arial" w:eastAsia="Calibri" w:hAnsi="Arial" w:cs="Arial"/>
          <w:b/>
          <w:lang w:val="es-ES"/>
        </w:rPr>
        <w:t>De</w:t>
      </w:r>
      <w:r w:rsidRPr="0080295E">
        <w:rPr>
          <w:rFonts w:ascii="Arial" w:eastAsia="Calibri" w:hAnsi="Arial" w:cs="Arial"/>
          <w:b/>
        </w:rPr>
        <w:t xml:space="preserve"> la apertura del expediente</w:t>
      </w:r>
    </w:p>
    <w:p w:rsidR="0080295E" w:rsidRPr="0080295E" w:rsidRDefault="0080295E" w:rsidP="007F13DC">
      <w:pPr>
        <w:spacing w:after="0" w:line="240" w:lineRule="auto"/>
        <w:ind w:left="1985" w:hanging="709"/>
        <w:contextualSpacing/>
        <w:jc w:val="both"/>
        <w:rPr>
          <w:rFonts w:ascii="Arial" w:eastAsia="Calibri" w:hAnsi="Arial" w:cs="Arial"/>
        </w:rPr>
      </w:pPr>
    </w:p>
    <w:p w:rsidR="0080295E" w:rsidRPr="0080295E" w:rsidRDefault="0080295E" w:rsidP="007F13DC">
      <w:pPr>
        <w:spacing w:after="0" w:line="240" w:lineRule="auto"/>
        <w:ind w:left="1985"/>
        <w:contextualSpacing/>
        <w:jc w:val="both"/>
        <w:rPr>
          <w:rFonts w:ascii="Arial" w:eastAsia="Calibri" w:hAnsi="Arial" w:cs="Arial"/>
        </w:rPr>
      </w:pPr>
      <w:r w:rsidRPr="0080295E">
        <w:rPr>
          <w:rFonts w:ascii="Arial" w:eastAsia="Calibri" w:hAnsi="Arial" w:cs="Arial"/>
        </w:rPr>
        <w:t xml:space="preserve">Una vez efectuada la investigación técnico legal, la brigada </w:t>
      </w:r>
      <w:r w:rsidRPr="0080295E">
        <w:rPr>
          <w:rFonts w:ascii="Arial" w:eastAsia="Calibri" w:hAnsi="Arial" w:cs="Arial"/>
          <w:bCs/>
          <w:lang w:val="es-ES"/>
        </w:rPr>
        <w:t xml:space="preserve">encargada </w:t>
      </w:r>
      <w:r w:rsidRPr="0080295E">
        <w:rPr>
          <w:rFonts w:ascii="Arial" w:eastAsia="Calibri" w:hAnsi="Arial" w:cs="Arial"/>
        </w:rPr>
        <w:t>genera el expediente, asignándole un número correlativo y anexando la documentación obtenida, la cual debe estar ordenada en forma cronológica y foliada.</w:t>
      </w:r>
    </w:p>
    <w:p w:rsidR="0080295E" w:rsidRPr="0080295E" w:rsidRDefault="0080295E" w:rsidP="007F13DC">
      <w:pPr>
        <w:spacing w:after="0" w:line="240" w:lineRule="auto"/>
        <w:ind w:left="1985" w:hanging="709"/>
        <w:contextualSpacing/>
        <w:jc w:val="both"/>
        <w:rPr>
          <w:rFonts w:ascii="Arial" w:eastAsia="Calibri" w:hAnsi="Arial" w:cs="Arial"/>
        </w:rPr>
      </w:pPr>
    </w:p>
    <w:p w:rsidR="0080295E" w:rsidRPr="0080295E" w:rsidRDefault="0080295E" w:rsidP="007F13DC">
      <w:pPr>
        <w:spacing w:after="0" w:line="240" w:lineRule="auto"/>
        <w:ind w:left="1985"/>
        <w:contextualSpacing/>
        <w:jc w:val="both"/>
        <w:rPr>
          <w:rFonts w:ascii="Arial" w:eastAsia="Calibri" w:hAnsi="Arial" w:cs="Arial"/>
        </w:rPr>
      </w:pPr>
      <w:r w:rsidRPr="0080295E">
        <w:rPr>
          <w:rFonts w:ascii="Arial" w:eastAsia="Calibri" w:hAnsi="Arial" w:cs="Arial"/>
        </w:rPr>
        <w:t>El expediente contiene, por lo menos y según corresponda, la siguiente documentación:</w:t>
      </w:r>
    </w:p>
    <w:p w:rsidR="0080295E" w:rsidRPr="0080295E" w:rsidRDefault="0080295E" w:rsidP="007F13DC">
      <w:pPr>
        <w:spacing w:after="0" w:line="240" w:lineRule="auto"/>
        <w:ind w:left="1985" w:hanging="709"/>
        <w:contextualSpacing/>
        <w:jc w:val="both"/>
        <w:rPr>
          <w:rFonts w:ascii="Arial" w:eastAsia="Calibri" w:hAnsi="Arial" w:cs="Arial"/>
        </w:rPr>
      </w:pPr>
    </w:p>
    <w:p w:rsidR="0080295E" w:rsidRPr="0080295E" w:rsidRDefault="0080295E" w:rsidP="0092471C">
      <w:pPr>
        <w:numPr>
          <w:ilvl w:val="0"/>
          <w:numId w:val="303"/>
        </w:numPr>
        <w:spacing w:after="0" w:line="240" w:lineRule="auto"/>
        <w:ind w:left="2694" w:hanging="709"/>
        <w:contextualSpacing/>
        <w:jc w:val="both"/>
        <w:rPr>
          <w:rFonts w:ascii="Arial" w:eastAsia="Calibri" w:hAnsi="Arial" w:cs="Arial"/>
        </w:rPr>
      </w:pPr>
      <w:r w:rsidRPr="0080295E">
        <w:rPr>
          <w:rFonts w:ascii="Arial" w:eastAsia="Calibri" w:hAnsi="Arial" w:cs="Arial"/>
        </w:rPr>
        <w:t>Copia informativa de la partida registral del inmueble, certificado de búsqueda catastral o instrumento que determine que el inmueble es de propiedad estatal</w:t>
      </w:r>
    </w:p>
    <w:p w:rsidR="0080295E" w:rsidRPr="0080295E" w:rsidRDefault="0080295E" w:rsidP="0092471C">
      <w:pPr>
        <w:numPr>
          <w:ilvl w:val="0"/>
          <w:numId w:val="303"/>
        </w:numPr>
        <w:spacing w:after="0" w:line="240" w:lineRule="auto"/>
        <w:ind w:left="2694" w:hanging="709"/>
        <w:contextualSpacing/>
        <w:jc w:val="both"/>
        <w:rPr>
          <w:rFonts w:ascii="Arial" w:eastAsia="Calibri" w:hAnsi="Arial" w:cs="Arial"/>
        </w:rPr>
      </w:pPr>
      <w:r w:rsidRPr="0080295E">
        <w:rPr>
          <w:rFonts w:ascii="Arial" w:eastAsia="Calibri" w:hAnsi="Arial" w:cs="Arial"/>
        </w:rPr>
        <w:t>Ficha técnica de inspección</w:t>
      </w:r>
    </w:p>
    <w:p w:rsidR="0080295E" w:rsidRPr="0080295E" w:rsidRDefault="0080295E" w:rsidP="0092471C">
      <w:pPr>
        <w:numPr>
          <w:ilvl w:val="0"/>
          <w:numId w:val="303"/>
        </w:numPr>
        <w:spacing w:after="0" w:line="240" w:lineRule="auto"/>
        <w:ind w:left="2694" w:hanging="709"/>
        <w:contextualSpacing/>
        <w:jc w:val="both"/>
        <w:rPr>
          <w:rFonts w:ascii="Arial" w:eastAsia="Calibri" w:hAnsi="Arial" w:cs="Arial"/>
        </w:rPr>
      </w:pPr>
      <w:r w:rsidRPr="0080295E">
        <w:rPr>
          <w:rFonts w:ascii="Arial" w:eastAsia="Calibri" w:hAnsi="Arial" w:cs="Arial"/>
        </w:rPr>
        <w:t>Panel fotográfico</w:t>
      </w:r>
    </w:p>
    <w:p w:rsidR="0080295E" w:rsidRPr="0080295E" w:rsidRDefault="0080295E" w:rsidP="0092471C">
      <w:pPr>
        <w:numPr>
          <w:ilvl w:val="0"/>
          <w:numId w:val="303"/>
        </w:numPr>
        <w:spacing w:after="0" w:line="240" w:lineRule="auto"/>
        <w:ind w:left="2694" w:hanging="709"/>
        <w:contextualSpacing/>
        <w:jc w:val="both"/>
        <w:rPr>
          <w:rFonts w:ascii="Arial" w:eastAsia="Calibri" w:hAnsi="Arial" w:cs="Arial"/>
        </w:rPr>
      </w:pPr>
      <w:r w:rsidRPr="0080295E">
        <w:rPr>
          <w:rFonts w:ascii="Arial" w:eastAsia="Calibri" w:hAnsi="Arial" w:cs="Arial"/>
        </w:rPr>
        <w:t>Plano perimétrico o de diagnóstico, según sea el caso</w:t>
      </w:r>
    </w:p>
    <w:p w:rsidR="0080295E" w:rsidRPr="0080295E" w:rsidRDefault="0080295E" w:rsidP="0092471C">
      <w:pPr>
        <w:numPr>
          <w:ilvl w:val="0"/>
          <w:numId w:val="303"/>
        </w:numPr>
        <w:spacing w:after="0" w:line="240" w:lineRule="auto"/>
        <w:ind w:left="2694" w:hanging="709"/>
        <w:contextualSpacing/>
        <w:jc w:val="both"/>
        <w:rPr>
          <w:rFonts w:ascii="Arial" w:eastAsia="Calibri" w:hAnsi="Arial" w:cs="Arial"/>
        </w:rPr>
      </w:pPr>
      <w:r w:rsidRPr="0080295E">
        <w:rPr>
          <w:rFonts w:ascii="Arial" w:eastAsia="Calibri" w:hAnsi="Arial" w:cs="Arial"/>
        </w:rPr>
        <w:t>Memoria descriptiva</w:t>
      </w:r>
    </w:p>
    <w:p w:rsidR="0080295E" w:rsidRPr="0080295E" w:rsidRDefault="0080295E" w:rsidP="0092471C">
      <w:pPr>
        <w:numPr>
          <w:ilvl w:val="0"/>
          <w:numId w:val="303"/>
        </w:numPr>
        <w:spacing w:after="0" w:line="240" w:lineRule="auto"/>
        <w:ind w:left="2694" w:hanging="709"/>
        <w:contextualSpacing/>
        <w:jc w:val="both"/>
        <w:rPr>
          <w:rFonts w:ascii="Arial" w:eastAsia="Calibri" w:hAnsi="Arial" w:cs="Arial"/>
        </w:rPr>
      </w:pPr>
      <w:r w:rsidRPr="0080295E">
        <w:rPr>
          <w:rFonts w:ascii="Arial" w:eastAsia="Calibri" w:hAnsi="Arial" w:cs="Arial"/>
        </w:rPr>
        <w:t>Constatación policial</w:t>
      </w:r>
    </w:p>
    <w:p w:rsidR="0080295E" w:rsidRPr="0080295E" w:rsidRDefault="0080295E" w:rsidP="0092471C">
      <w:pPr>
        <w:numPr>
          <w:ilvl w:val="0"/>
          <w:numId w:val="303"/>
        </w:numPr>
        <w:spacing w:after="0" w:line="240" w:lineRule="auto"/>
        <w:ind w:left="2694" w:hanging="709"/>
        <w:contextualSpacing/>
        <w:jc w:val="both"/>
        <w:rPr>
          <w:rFonts w:ascii="Arial" w:eastAsia="Calibri" w:hAnsi="Arial" w:cs="Arial"/>
        </w:rPr>
      </w:pPr>
      <w:r w:rsidRPr="0080295E">
        <w:rPr>
          <w:rFonts w:ascii="Arial" w:eastAsia="Calibri" w:hAnsi="Arial" w:cs="Arial"/>
        </w:rPr>
        <w:t>Oficios de notificación al poseedor</w:t>
      </w:r>
    </w:p>
    <w:p w:rsidR="0080295E" w:rsidRPr="0080295E" w:rsidRDefault="0080295E" w:rsidP="0092471C">
      <w:pPr>
        <w:numPr>
          <w:ilvl w:val="0"/>
          <w:numId w:val="303"/>
        </w:numPr>
        <w:spacing w:after="0" w:line="240" w:lineRule="auto"/>
        <w:ind w:left="2694" w:hanging="709"/>
        <w:contextualSpacing/>
        <w:jc w:val="both"/>
        <w:rPr>
          <w:rFonts w:ascii="Arial" w:eastAsia="Calibri" w:hAnsi="Arial" w:cs="Arial"/>
        </w:rPr>
      </w:pPr>
      <w:r w:rsidRPr="0080295E">
        <w:rPr>
          <w:rFonts w:ascii="Arial" w:eastAsia="Calibri" w:hAnsi="Arial" w:cs="Arial"/>
        </w:rPr>
        <w:t>Documentación presentada por el poseedor</w:t>
      </w:r>
    </w:p>
    <w:p w:rsidR="0080295E" w:rsidRPr="0080295E" w:rsidRDefault="0080295E" w:rsidP="0092471C">
      <w:pPr>
        <w:numPr>
          <w:ilvl w:val="0"/>
          <w:numId w:val="303"/>
        </w:numPr>
        <w:spacing w:after="0" w:line="240" w:lineRule="auto"/>
        <w:ind w:left="2694" w:hanging="709"/>
        <w:contextualSpacing/>
        <w:jc w:val="both"/>
        <w:rPr>
          <w:rFonts w:ascii="Arial" w:eastAsia="Calibri" w:hAnsi="Arial" w:cs="Arial"/>
        </w:rPr>
      </w:pPr>
      <w:r w:rsidRPr="0080295E">
        <w:rPr>
          <w:rFonts w:ascii="Arial" w:eastAsia="Calibri" w:hAnsi="Arial" w:cs="Arial"/>
        </w:rPr>
        <w:t>Informe de supervisión</w:t>
      </w:r>
    </w:p>
    <w:p w:rsidR="0080295E" w:rsidRPr="0080295E" w:rsidRDefault="0080295E" w:rsidP="0092471C">
      <w:pPr>
        <w:numPr>
          <w:ilvl w:val="0"/>
          <w:numId w:val="303"/>
        </w:numPr>
        <w:spacing w:after="0" w:line="240" w:lineRule="auto"/>
        <w:ind w:left="2694" w:hanging="709"/>
        <w:contextualSpacing/>
        <w:jc w:val="both"/>
        <w:rPr>
          <w:rFonts w:ascii="Arial" w:eastAsia="Calibri" w:hAnsi="Arial" w:cs="Arial"/>
        </w:rPr>
      </w:pPr>
      <w:r w:rsidRPr="0080295E">
        <w:rPr>
          <w:rFonts w:ascii="Arial" w:eastAsia="Calibri" w:hAnsi="Arial" w:cs="Arial"/>
        </w:rPr>
        <w:t>Oficios dirigidos a entidades</w:t>
      </w:r>
    </w:p>
    <w:p w:rsidR="0080295E" w:rsidRPr="0080295E" w:rsidRDefault="0080295E" w:rsidP="0092471C">
      <w:pPr>
        <w:numPr>
          <w:ilvl w:val="0"/>
          <w:numId w:val="303"/>
        </w:numPr>
        <w:spacing w:after="0" w:line="240" w:lineRule="auto"/>
        <w:ind w:left="2694" w:hanging="709"/>
        <w:contextualSpacing/>
        <w:jc w:val="both"/>
        <w:rPr>
          <w:rFonts w:ascii="Arial" w:eastAsia="Calibri" w:hAnsi="Arial" w:cs="Arial"/>
        </w:rPr>
      </w:pPr>
      <w:r w:rsidRPr="0080295E">
        <w:rPr>
          <w:rFonts w:ascii="Arial" w:eastAsia="Calibri" w:hAnsi="Arial" w:cs="Arial"/>
        </w:rPr>
        <w:t>Memorandos u otros documentos dirigidos a las unidades orgánicas</w:t>
      </w:r>
    </w:p>
    <w:p w:rsidR="0080295E" w:rsidRPr="0080295E" w:rsidRDefault="0080295E" w:rsidP="007F13DC">
      <w:pPr>
        <w:spacing w:after="0" w:line="240" w:lineRule="auto"/>
        <w:ind w:left="1985" w:hanging="709"/>
        <w:contextualSpacing/>
        <w:jc w:val="both"/>
        <w:rPr>
          <w:rFonts w:ascii="Arial" w:eastAsia="Calibri" w:hAnsi="Arial" w:cs="Arial"/>
        </w:rPr>
      </w:pPr>
    </w:p>
    <w:p w:rsidR="0080295E" w:rsidRPr="0080295E" w:rsidRDefault="0080295E" w:rsidP="0092471C">
      <w:pPr>
        <w:numPr>
          <w:ilvl w:val="2"/>
          <w:numId w:val="284"/>
        </w:numPr>
        <w:spacing w:after="0" w:line="240" w:lineRule="auto"/>
        <w:ind w:left="1985" w:hanging="709"/>
        <w:contextualSpacing/>
        <w:jc w:val="both"/>
        <w:rPr>
          <w:rFonts w:ascii="Arial" w:eastAsia="Calibri" w:hAnsi="Arial" w:cs="Arial"/>
          <w:b/>
        </w:rPr>
      </w:pPr>
      <w:r w:rsidRPr="0080295E">
        <w:rPr>
          <w:rFonts w:ascii="Arial" w:eastAsia="Calibri" w:hAnsi="Arial" w:cs="Arial"/>
          <w:b/>
          <w:lang w:val="es-ES"/>
        </w:rPr>
        <w:t>De</w:t>
      </w:r>
      <w:r w:rsidRPr="0080295E">
        <w:rPr>
          <w:rFonts w:ascii="Arial" w:eastAsia="Calibri" w:hAnsi="Arial" w:cs="Arial"/>
          <w:b/>
        </w:rPr>
        <w:t xml:space="preserve"> la </w:t>
      </w:r>
      <w:r w:rsidRPr="0080295E">
        <w:rPr>
          <w:rFonts w:ascii="Arial" w:eastAsia="Calibri" w:hAnsi="Arial" w:cs="Arial"/>
          <w:b/>
          <w:lang w:val="es-ES"/>
        </w:rPr>
        <w:t>inspección</w:t>
      </w:r>
    </w:p>
    <w:p w:rsidR="0080295E" w:rsidRPr="0080295E" w:rsidRDefault="0080295E" w:rsidP="007F13DC">
      <w:pPr>
        <w:spacing w:after="0" w:line="240" w:lineRule="auto"/>
        <w:ind w:left="1985" w:hanging="709"/>
        <w:contextualSpacing/>
        <w:jc w:val="both"/>
        <w:rPr>
          <w:rFonts w:ascii="Arial" w:eastAsia="Calibri" w:hAnsi="Arial" w:cs="Arial"/>
        </w:rPr>
      </w:pPr>
    </w:p>
    <w:p w:rsidR="0080295E" w:rsidRPr="0080295E" w:rsidRDefault="0080295E" w:rsidP="007F13DC">
      <w:pPr>
        <w:spacing w:after="0" w:line="240" w:lineRule="auto"/>
        <w:ind w:left="1985"/>
        <w:contextualSpacing/>
        <w:jc w:val="both"/>
        <w:rPr>
          <w:rFonts w:ascii="Arial" w:eastAsia="Calibri" w:hAnsi="Arial" w:cs="Arial"/>
        </w:rPr>
      </w:pPr>
      <w:r w:rsidRPr="0080295E">
        <w:rPr>
          <w:rFonts w:ascii="Arial" w:eastAsia="Calibri" w:hAnsi="Arial" w:cs="Arial"/>
          <w:bCs/>
          <w:lang w:val="es-ES"/>
        </w:rPr>
        <w:t xml:space="preserve">La inspección la efectúa la brigada encargada y se realiza para recabar la información sobre la situación física y uso actual del inmueble, </w:t>
      </w:r>
      <w:r w:rsidRPr="0080295E">
        <w:rPr>
          <w:rFonts w:ascii="Arial" w:eastAsia="Calibri" w:hAnsi="Arial" w:cs="Arial"/>
        </w:rPr>
        <w:t>constatándose</w:t>
      </w:r>
      <w:r w:rsidRPr="0080295E">
        <w:rPr>
          <w:rFonts w:ascii="Arial" w:eastAsia="Calibri" w:hAnsi="Arial" w:cs="Arial"/>
          <w:bCs/>
          <w:lang w:val="es-ES"/>
        </w:rPr>
        <w:t xml:space="preserve"> la </w:t>
      </w:r>
      <w:r w:rsidRPr="0080295E">
        <w:rPr>
          <w:rFonts w:ascii="Arial" w:eastAsia="Calibri" w:hAnsi="Arial" w:cs="Arial"/>
        </w:rPr>
        <w:t>existencia</w:t>
      </w:r>
      <w:r w:rsidRPr="0080295E">
        <w:rPr>
          <w:rFonts w:ascii="Arial" w:eastAsia="Calibri" w:hAnsi="Arial" w:cs="Arial"/>
          <w:bCs/>
          <w:lang w:val="es-ES"/>
        </w:rPr>
        <w:t xml:space="preserve"> de edificaciones, ocupantes, área ocupada y cualquier otra circunstancia relevante.</w:t>
      </w:r>
    </w:p>
    <w:p w:rsidR="0080295E" w:rsidRPr="0080295E" w:rsidRDefault="0080295E" w:rsidP="007F13DC">
      <w:pPr>
        <w:spacing w:after="0" w:line="240" w:lineRule="auto"/>
        <w:ind w:left="1985" w:hanging="709"/>
        <w:contextualSpacing/>
        <w:jc w:val="both"/>
        <w:rPr>
          <w:rFonts w:ascii="Arial" w:eastAsia="Calibri" w:hAnsi="Arial" w:cs="Arial"/>
        </w:rPr>
      </w:pPr>
    </w:p>
    <w:p w:rsidR="0080295E" w:rsidRPr="0080295E" w:rsidRDefault="0080295E" w:rsidP="007F13DC">
      <w:pPr>
        <w:spacing w:after="0" w:line="240" w:lineRule="auto"/>
        <w:ind w:left="1985"/>
        <w:contextualSpacing/>
        <w:jc w:val="both"/>
        <w:rPr>
          <w:rFonts w:ascii="Arial" w:eastAsia="Calibri" w:hAnsi="Arial" w:cs="Arial"/>
          <w:bCs/>
          <w:lang w:val="es-ES"/>
        </w:rPr>
      </w:pPr>
      <w:r w:rsidRPr="0080295E">
        <w:rPr>
          <w:rFonts w:ascii="Arial" w:eastAsia="Calibri" w:hAnsi="Arial" w:cs="Arial"/>
          <w:bCs/>
          <w:lang w:val="es-ES"/>
        </w:rPr>
        <w:t>En el caso de inmuebles ocupados por terceros con edificaciones o estructuras de carácter permanente, la inspección se efectúa con presencia de personal policial para efectos de la constatación de la ocupación.</w:t>
      </w:r>
    </w:p>
    <w:p w:rsidR="0080295E" w:rsidRPr="0080295E" w:rsidRDefault="0080295E" w:rsidP="007F13DC">
      <w:pPr>
        <w:spacing w:after="0" w:line="240" w:lineRule="auto"/>
        <w:ind w:left="1985" w:hanging="709"/>
        <w:contextualSpacing/>
        <w:jc w:val="both"/>
        <w:rPr>
          <w:rFonts w:ascii="Arial" w:eastAsia="Calibri" w:hAnsi="Arial" w:cs="Arial"/>
          <w:lang w:val="es-ES"/>
        </w:rPr>
      </w:pPr>
    </w:p>
    <w:p w:rsidR="0080295E" w:rsidRPr="0080295E" w:rsidRDefault="0080295E" w:rsidP="007F13DC">
      <w:pPr>
        <w:spacing w:after="0" w:line="240" w:lineRule="auto"/>
        <w:ind w:left="1985"/>
        <w:contextualSpacing/>
        <w:jc w:val="both"/>
        <w:rPr>
          <w:rFonts w:ascii="Arial" w:eastAsia="Calibri" w:hAnsi="Arial" w:cs="Arial"/>
          <w:bCs/>
          <w:lang w:val="es-ES"/>
        </w:rPr>
      </w:pPr>
      <w:r w:rsidRPr="0080295E">
        <w:rPr>
          <w:rFonts w:ascii="Arial" w:eastAsia="Calibri" w:hAnsi="Arial" w:cs="Arial"/>
          <w:bCs/>
          <w:lang w:val="es-ES"/>
        </w:rPr>
        <w:t>La inspección también se realiza con apoyo policial en los casos en que se considere pertinente por razón de seguridad u otra causa justificada.</w:t>
      </w:r>
    </w:p>
    <w:p w:rsidR="0080295E" w:rsidRPr="0080295E" w:rsidRDefault="0080295E" w:rsidP="007F13DC">
      <w:pPr>
        <w:spacing w:after="0" w:line="240" w:lineRule="auto"/>
        <w:ind w:left="1985" w:hanging="709"/>
        <w:contextualSpacing/>
        <w:jc w:val="both"/>
        <w:rPr>
          <w:rFonts w:ascii="Arial" w:eastAsia="Calibri" w:hAnsi="Arial" w:cs="Arial"/>
          <w:bCs/>
          <w:lang w:val="es-ES"/>
        </w:rPr>
      </w:pPr>
    </w:p>
    <w:p w:rsidR="0080295E" w:rsidRPr="0080295E" w:rsidRDefault="0080295E" w:rsidP="007F13DC">
      <w:pPr>
        <w:spacing w:after="0" w:line="240" w:lineRule="auto"/>
        <w:ind w:left="1985"/>
        <w:contextualSpacing/>
        <w:jc w:val="both"/>
        <w:rPr>
          <w:rFonts w:ascii="Arial" w:eastAsia="Calibri" w:hAnsi="Arial" w:cs="Arial"/>
        </w:rPr>
      </w:pPr>
      <w:r w:rsidRPr="0080295E">
        <w:rPr>
          <w:rFonts w:ascii="Arial" w:eastAsia="Calibri" w:hAnsi="Arial" w:cs="Arial"/>
          <w:bCs/>
          <w:lang w:val="es-ES"/>
        </w:rPr>
        <w:t xml:space="preserve">Si en la inspección se advierte que el inmueble tiene una ubicación distinta a la descrita en el registro SINABIP, se toman las coordenadas UTM respectivas para determinar su exacta ubicación. </w:t>
      </w:r>
    </w:p>
    <w:p w:rsidR="0080295E" w:rsidRPr="0080295E" w:rsidRDefault="0080295E" w:rsidP="007F13DC">
      <w:pPr>
        <w:spacing w:after="0" w:line="240" w:lineRule="auto"/>
        <w:ind w:left="1985" w:hanging="709"/>
        <w:contextualSpacing/>
        <w:jc w:val="both"/>
        <w:rPr>
          <w:rFonts w:ascii="Arial" w:eastAsia="Calibri" w:hAnsi="Arial" w:cs="Arial"/>
          <w:lang w:val="es-ES"/>
        </w:rPr>
      </w:pPr>
    </w:p>
    <w:p w:rsidR="0080295E" w:rsidRPr="0080295E" w:rsidRDefault="0080295E" w:rsidP="0092471C">
      <w:pPr>
        <w:numPr>
          <w:ilvl w:val="2"/>
          <w:numId w:val="284"/>
        </w:numPr>
        <w:spacing w:after="0" w:line="240" w:lineRule="auto"/>
        <w:ind w:left="1985" w:hanging="709"/>
        <w:contextualSpacing/>
        <w:jc w:val="both"/>
        <w:rPr>
          <w:rFonts w:ascii="Arial" w:eastAsia="Calibri" w:hAnsi="Arial" w:cs="Arial"/>
          <w:b/>
          <w:bCs/>
          <w:lang w:val="es-ES"/>
        </w:rPr>
      </w:pPr>
      <w:r w:rsidRPr="0080295E">
        <w:rPr>
          <w:rFonts w:ascii="Arial" w:eastAsia="Calibri" w:hAnsi="Arial" w:cs="Arial"/>
          <w:b/>
          <w:lang w:val="es-ES"/>
        </w:rPr>
        <w:t>De</w:t>
      </w:r>
      <w:r w:rsidRPr="0080295E">
        <w:rPr>
          <w:rFonts w:ascii="Arial" w:eastAsia="Calibri" w:hAnsi="Arial" w:cs="Arial"/>
          <w:b/>
          <w:bCs/>
          <w:lang w:val="es-ES"/>
        </w:rPr>
        <w:t xml:space="preserve"> la </w:t>
      </w:r>
      <w:r w:rsidRPr="0080295E">
        <w:rPr>
          <w:rFonts w:ascii="Arial" w:eastAsia="Calibri" w:hAnsi="Arial" w:cs="Arial"/>
          <w:b/>
          <w:lang w:val="es-ES"/>
        </w:rPr>
        <w:t>identificación</w:t>
      </w:r>
      <w:r w:rsidRPr="0080295E">
        <w:rPr>
          <w:rFonts w:ascii="Arial" w:eastAsia="Calibri" w:hAnsi="Arial" w:cs="Arial"/>
          <w:b/>
          <w:bCs/>
          <w:lang w:val="es-ES"/>
        </w:rPr>
        <w:t xml:space="preserve"> de poseedores</w:t>
      </w:r>
    </w:p>
    <w:p w:rsidR="0080295E" w:rsidRPr="0080295E" w:rsidRDefault="0080295E" w:rsidP="007F13DC">
      <w:pPr>
        <w:spacing w:after="0" w:line="240" w:lineRule="auto"/>
        <w:ind w:left="1985" w:hanging="709"/>
        <w:contextualSpacing/>
        <w:jc w:val="both"/>
        <w:rPr>
          <w:rFonts w:ascii="Arial" w:eastAsia="Calibri" w:hAnsi="Arial" w:cs="Arial"/>
          <w:bCs/>
          <w:lang w:val="es-ES"/>
        </w:rPr>
      </w:pPr>
    </w:p>
    <w:p w:rsidR="0080295E" w:rsidRPr="0080295E" w:rsidRDefault="0080295E" w:rsidP="007F13DC">
      <w:pPr>
        <w:spacing w:after="0" w:line="240" w:lineRule="auto"/>
        <w:ind w:left="1985"/>
        <w:contextualSpacing/>
        <w:jc w:val="both"/>
        <w:rPr>
          <w:rFonts w:ascii="Arial" w:eastAsia="Calibri" w:hAnsi="Arial" w:cs="Arial"/>
          <w:bCs/>
          <w:lang w:val="es-ES"/>
        </w:rPr>
      </w:pPr>
      <w:r w:rsidRPr="0080295E">
        <w:rPr>
          <w:rFonts w:ascii="Arial" w:eastAsia="Calibri" w:hAnsi="Arial" w:cs="Arial"/>
          <w:lang w:val="es-ES"/>
        </w:rPr>
        <w:t xml:space="preserve">En caso de </w:t>
      </w:r>
      <w:r w:rsidRPr="0080295E">
        <w:rPr>
          <w:rFonts w:ascii="Arial" w:eastAsia="Calibri" w:hAnsi="Arial" w:cs="Arial"/>
        </w:rPr>
        <w:t>advertirse</w:t>
      </w:r>
      <w:r w:rsidRPr="0080295E">
        <w:rPr>
          <w:rFonts w:ascii="Arial" w:eastAsia="Calibri" w:hAnsi="Arial" w:cs="Arial"/>
          <w:lang w:val="es-ES"/>
        </w:rPr>
        <w:t xml:space="preserve"> posesión del inmueble por parte de terceros</w:t>
      </w:r>
      <w:r w:rsidRPr="0080295E">
        <w:rPr>
          <w:rFonts w:ascii="Arial" w:eastAsia="Calibri" w:hAnsi="Arial" w:cs="Arial"/>
          <w:bCs/>
          <w:lang w:val="es-ES"/>
        </w:rPr>
        <w:t xml:space="preserve"> se procede a su identificación</w:t>
      </w:r>
      <w:r w:rsidRPr="0080295E">
        <w:rPr>
          <w:rFonts w:ascii="Arial" w:eastAsia="Calibri" w:hAnsi="Arial" w:cs="Arial"/>
          <w:lang w:val="es-ES"/>
        </w:rPr>
        <w:t xml:space="preserve"> y a solicitarles verbalmente la entrega de la documentación que sustente su posesión.</w:t>
      </w:r>
    </w:p>
    <w:p w:rsidR="0080295E" w:rsidRPr="0080295E" w:rsidRDefault="0080295E" w:rsidP="007F13DC">
      <w:pPr>
        <w:spacing w:after="0" w:line="240" w:lineRule="auto"/>
        <w:ind w:left="1985" w:hanging="709"/>
        <w:contextualSpacing/>
        <w:jc w:val="both"/>
        <w:rPr>
          <w:rFonts w:ascii="Arial" w:eastAsia="Calibri" w:hAnsi="Arial" w:cs="Arial"/>
          <w:lang w:val="es-ES"/>
        </w:rPr>
      </w:pPr>
    </w:p>
    <w:p w:rsidR="0080295E" w:rsidRPr="0080295E" w:rsidRDefault="0080295E" w:rsidP="007F13DC">
      <w:pPr>
        <w:spacing w:after="0" w:line="240" w:lineRule="auto"/>
        <w:ind w:left="1985"/>
        <w:contextualSpacing/>
        <w:jc w:val="both"/>
        <w:rPr>
          <w:rFonts w:ascii="Arial" w:eastAsia="Calibri" w:hAnsi="Arial" w:cs="Arial"/>
          <w:lang w:val="es-ES"/>
        </w:rPr>
      </w:pPr>
      <w:r w:rsidRPr="0080295E">
        <w:rPr>
          <w:rFonts w:ascii="Arial" w:eastAsia="Calibri" w:hAnsi="Arial" w:cs="Arial"/>
          <w:lang w:val="es-ES"/>
        </w:rPr>
        <w:t>De ser necesario, la identificación de los terceros poseedores se realiza con apoyo policial.</w:t>
      </w:r>
    </w:p>
    <w:p w:rsidR="0080295E" w:rsidRPr="0080295E" w:rsidRDefault="0080295E" w:rsidP="007F13DC">
      <w:pPr>
        <w:spacing w:after="0" w:line="240" w:lineRule="auto"/>
        <w:ind w:left="1985" w:hanging="709"/>
        <w:contextualSpacing/>
        <w:jc w:val="both"/>
        <w:rPr>
          <w:rFonts w:ascii="Arial" w:eastAsia="Calibri" w:hAnsi="Arial" w:cs="Arial"/>
          <w:lang w:val="es-ES"/>
        </w:rPr>
      </w:pPr>
    </w:p>
    <w:p w:rsidR="0080295E" w:rsidRPr="0080295E" w:rsidRDefault="0080295E" w:rsidP="007F13DC">
      <w:pPr>
        <w:spacing w:after="0" w:line="240" w:lineRule="auto"/>
        <w:ind w:left="1985"/>
        <w:contextualSpacing/>
        <w:jc w:val="both"/>
        <w:rPr>
          <w:rFonts w:ascii="Arial" w:eastAsia="Calibri" w:hAnsi="Arial" w:cs="Arial"/>
          <w:lang w:val="es-ES"/>
        </w:rPr>
      </w:pPr>
      <w:r w:rsidRPr="0080295E">
        <w:rPr>
          <w:rFonts w:ascii="Arial" w:eastAsia="Calibri" w:hAnsi="Arial" w:cs="Arial"/>
          <w:lang w:val="es-ES"/>
        </w:rPr>
        <w:t>Para identificar a los terceros poseedores, también se solicita información a las municipalidades, respecto del padrón de contribuyentes o base de datos catastral, y a las empresas prestadoras de servicios, respecto del padrón de usuarios.</w:t>
      </w:r>
    </w:p>
    <w:p w:rsidR="0080295E" w:rsidRPr="0080295E" w:rsidRDefault="0080295E" w:rsidP="007F13DC">
      <w:pPr>
        <w:spacing w:after="0" w:line="240" w:lineRule="auto"/>
        <w:ind w:left="1985" w:hanging="709"/>
        <w:contextualSpacing/>
        <w:jc w:val="both"/>
        <w:rPr>
          <w:rFonts w:ascii="Arial" w:eastAsia="Calibri" w:hAnsi="Arial" w:cs="Arial"/>
          <w:lang w:val="es-ES"/>
        </w:rPr>
      </w:pPr>
    </w:p>
    <w:p w:rsidR="0080295E" w:rsidRPr="0080295E" w:rsidRDefault="0080295E" w:rsidP="007F13DC">
      <w:pPr>
        <w:spacing w:after="0" w:line="240" w:lineRule="auto"/>
        <w:ind w:left="1985"/>
        <w:contextualSpacing/>
        <w:jc w:val="both"/>
        <w:rPr>
          <w:rFonts w:ascii="Arial" w:eastAsia="Calibri" w:hAnsi="Arial" w:cs="Arial"/>
          <w:lang w:val="es-ES"/>
        </w:rPr>
      </w:pPr>
      <w:r w:rsidRPr="0080295E">
        <w:rPr>
          <w:rFonts w:ascii="Arial" w:eastAsia="Calibri" w:hAnsi="Arial" w:cs="Arial"/>
          <w:lang w:val="es-ES"/>
        </w:rPr>
        <w:t>De no haberse podido identificar a los terceros poseedores del inmueble, se programa una fecha para una nueva inspección.</w:t>
      </w:r>
    </w:p>
    <w:p w:rsidR="0080295E" w:rsidRPr="0080295E" w:rsidRDefault="0080295E" w:rsidP="007F13DC">
      <w:pPr>
        <w:spacing w:after="0" w:line="240" w:lineRule="auto"/>
        <w:ind w:left="1985" w:hanging="709"/>
        <w:contextualSpacing/>
        <w:jc w:val="both"/>
        <w:rPr>
          <w:rFonts w:ascii="Arial" w:eastAsia="Calibri" w:hAnsi="Arial" w:cs="Arial"/>
          <w:lang w:val="es-ES"/>
        </w:rPr>
      </w:pPr>
    </w:p>
    <w:p w:rsidR="0080295E" w:rsidRPr="0080295E" w:rsidRDefault="0080295E" w:rsidP="007F13DC">
      <w:pPr>
        <w:spacing w:after="0" w:line="240" w:lineRule="auto"/>
        <w:ind w:left="1985"/>
        <w:contextualSpacing/>
        <w:jc w:val="both"/>
        <w:rPr>
          <w:rFonts w:ascii="Arial" w:eastAsia="Calibri" w:hAnsi="Arial" w:cs="Arial"/>
          <w:lang w:val="es-ES"/>
        </w:rPr>
      </w:pPr>
      <w:r w:rsidRPr="0080295E">
        <w:rPr>
          <w:rFonts w:ascii="Arial" w:eastAsia="Calibri" w:hAnsi="Arial" w:cs="Arial"/>
          <w:lang w:val="es-ES"/>
        </w:rPr>
        <w:t>En caso de existir un gran número de terceros poseedores que no sea posible de identificar, se deja constancia de dicha circunstancia y se verifica la existencia de algún representante.</w:t>
      </w:r>
    </w:p>
    <w:p w:rsidR="0080295E" w:rsidRPr="0080295E" w:rsidRDefault="0080295E" w:rsidP="007F13DC">
      <w:pPr>
        <w:spacing w:after="0" w:line="240" w:lineRule="auto"/>
        <w:ind w:left="1985" w:hanging="709"/>
        <w:contextualSpacing/>
        <w:jc w:val="both"/>
        <w:rPr>
          <w:rFonts w:ascii="Arial" w:eastAsia="Calibri" w:hAnsi="Arial" w:cs="Arial"/>
          <w:bCs/>
          <w:lang w:val="es-ES"/>
        </w:rPr>
      </w:pPr>
    </w:p>
    <w:p w:rsidR="0080295E" w:rsidRPr="0080295E" w:rsidRDefault="0080295E" w:rsidP="0092471C">
      <w:pPr>
        <w:numPr>
          <w:ilvl w:val="2"/>
          <w:numId w:val="284"/>
        </w:numPr>
        <w:spacing w:after="0" w:line="240" w:lineRule="auto"/>
        <w:ind w:left="1985" w:hanging="709"/>
        <w:contextualSpacing/>
        <w:jc w:val="both"/>
        <w:rPr>
          <w:rFonts w:ascii="Arial" w:eastAsia="Calibri" w:hAnsi="Arial" w:cs="Arial"/>
          <w:bCs/>
          <w:lang w:val="es-ES"/>
        </w:rPr>
      </w:pPr>
      <w:r w:rsidRPr="0080295E">
        <w:rPr>
          <w:rFonts w:ascii="Arial" w:eastAsia="Calibri" w:hAnsi="Arial" w:cs="Arial"/>
          <w:b/>
          <w:lang w:val="es-ES"/>
        </w:rPr>
        <w:t>De</w:t>
      </w:r>
      <w:r w:rsidRPr="0080295E">
        <w:rPr>
          <w:rFonts w:ascii="Arial" w:eastAsia="Calibri" w:hAnsi="Arial" w:cs="Arial"/>
          <w:bCs/>
          <w:lang w:val="es-ES"/>
        </w:rPr>
        <w:t xml:space="preserve"> </w:t>
      </w:r>
      <w:r w:rsidRPr="0080295E">
        <w:rPr>
          <w:rFonts w:ascii="Arial" w:eastAsia="Calibri" w:hAnsi="Arial" w:cs="Arial"/>
          <w:b/>
          <w:bCs/>
          <w:lang w:val="es-ES"/>
        </w:rPr>
        <w:t xml:space="preserve">la </w:t>
      </w:r>
      <w:r w:rsidRPr="0080295E">
        <w:rPr>
          <w:rFonts w:ascii="Arial" w:eastAsia="Calibri" w:hAnsi="Arial" w:cs="Arial"/>
          <w:b/>
          <w:lang w:val="es-ES"/>
        </w:rPr>
        <w:t>formulación</w:t>
      </w:r>
      <w:r w:rsidRPr="0080295E">
        <w:rPr>
          <w:rFonts w:ascii="Arial" w:eastAsia="Calibri" w:hAnsi="Arial" w:cs="Arial"/>
          <w:b/>
          <w:bCs/>
          <w:lang w:val="es-ES"/>
        </w:rPr>
        <w:t xml:space="preserve"> y notificación de observaciones y descargos</w:t>
      </w:r>
    </w:p>
    <w:p w:rsidR="0080295E" w:rsidRPr="0080295E" w:rsidRDefault="0080295E" w:rsidP="007F13DC">
      <w:pPr>
        <w:spacing w:after="0" w:line="240" w:lineRule="auto"/>
        <w:ind w:left="1985" w:hanging="709"/>
        <w:contextualSpacing/>
        <w:jc w:val="both"/>
        <w:rPr>
          <w:rFonts w:ascii="Arial" w:eastAsia="Calibri" w:hAnsi="Arial" w:cs="Arial"/>
          <w:lang w:val="es-ES"/>
        </w:rPr>
      </w:pPr>
    </w:p>
    <w:p w:rsidR="0080295E" w:rsidRPr="0080295E" w:rsidRDefault="0080295E" w:rsidP="007F13DC">
      <w:pPr>
        <w:spacing w:after="0" w:line="240" w:lineRule="auto"/>
        <w:ind w:left="1985"/>
        <w:contextualSpacing/>
        <w:jc w:val="both"/>
        <w:rPr>
          <w:rFonts w:ascii="Arial" w:eastAsia="Calibri" w:hAnsi="Arial" w:cs="Arial"/>
          <w:lang w:val="es-ES"/>
        </w:rPr>
      </w:pPr>
      <w:r w:rsidRPr="0080295E">
        <w:rPr>
          <w:rFonts w:ascii="Arial" w:eastAsia="Calibri" w:hAnsi="Arial" w:cs="Arial"/>
          <w:lang w:val="es-ES"/>
        </w:rPr>
        <w:t xml:space="preserve">De no entregar la documentación que sustente su posesión, en un plazo de cinco (05) días contados desde la fecha de inspección, se procede a notificar en forma personal a los terceros poseedores del inmueble, para que presenten dicha documentación en un </w:t>
      </w:r>
      <w:r w:rsidRPr="0080295E">
        <w:rPr>
          <w:rFonts w:ascii="Arial" w:eastAsia="Calibri" w:hAnsi="Arial" w:cs="Arial"/>
        </w:rPr>
        <w:t xml:space="preserve">plazo de diez (10) días, </w:t>
      </w:r>
      <w:r w:rsidRPr="0080295E">
        <w:rPr>
          <w:rFonts w:ascii="Arial" w:eastAsia="Calibri" w:hAnsi="Arial" w:cs="Arial"/>
          <w:lang w:val="es-ES"/>
        </w:rPr>
        <w:t>bajo apercibimiento de iniciar las acciones legales correspondientes, para obtener la desocupación del inmueble y aplicar la sanción al poseedor, según corresponda.</w:t>
      </w:r>
    </w:p>
    <w:p w:rsidR="0080295E" w:rsidRPr="0080295E" w:rsidRDefault="0080295E" w:rsidP="007F13DC">
      <w:pPr>
        <w:spacing w:after="0" w:line="240" w:lineRule="auto"/>
        <w:ind w:left="1985" w:hanging="709"/>
        <w:contextualSpacing/>
        <w:jc w:val="both"/>
        <w:rPr>
          <w:rFonts w:ascii="Arial" w:eastAsia="Calibri" w:hAnsi="Arial" w:cs="Arial"/>
          <w:lang w:val="es-ES"/>
        </w:rPr>
      </w:pPr>
    </w:p>
    <w:p w:rsidR="0080295E" w:rsidRPr="0080295E" w:rsidRDefault="0080295E" w:rsidP="007F13DC">
      <w:pPr>
        <w:spacing w:after="0" w:line="240" w:lineRule="auto"/>
        <w:ind w:left="1985"/>
        <w:contextualSpacing/>
        <w:jc w:val="both"/>
        <w:rPr>
          <w:rFonts w:ascii="Arial" w:eastAsia="Calibri" w:hAnsi="Arial" w:cs="Arial"/>
          <w:lang w:val="es-ES"/>
        </w:rPr>
      </w:pPr>
      <w:r w:rsidRPr="0080295E">
        <w:rPr>
          <w:rFonts w:ascii="Arial" w:eastAsia="Calibri" w:hAnsi="Arial" w:cs="Arial"/>
          <w:lang w:val="es-ES"/>
        </w:rPr>
        <w:t>La notificación personal se efectúa de acuerdo a las reglas sobre negativa, ausencia y otras circunstancias previstas por la LPAG.</w:t>
      </w:r>
    </w:p>
    <w:p w:rsidR="0080295E" w:rsidRPr="0080295E" w:rsidRDefault="0080295E" w:rsidP="007F13DC">
      <w:pPr>
        <w:spacing w:after="0" w:line="240" w:lineRule="auto"/>
        <w:ind w:left="1985" w:hanging="709"/>
        <w:contextualSpacing/>
        <w:jc w:val="both"/>
        <w:rPr>
          <w:rFonts w:ascii="Arial" w:eastAsia="Calibri" w:hAnsi="Arial" w:cs="Arial"/>
          <w:lang w:val="es-ES"/>
        </w:rPr>
      </w:pPr>
    </w:p>
    <w:p w:rsidR="0080295E" w:rsidRPr="0080295E" w:rsidRDefault="0080295E" w:rsidP="007F13DC">
      <w:pPr>
        <w:spacing w:after="0" w:line="240" w:lineRule="auto"/>
        <w:ind w:left="1985"/>
        <w:contextualSpacing/>
        <w:jc w:val="both"/>
        <w:rPr>
          <w:rFonts w:ascii="Arial" w:eastAsia="Calibri" w:hAnsi="Arial" w:cs="Arial"/>
          <w:lang w:val="es-ES"/>
        </w:rPr>
      </w:pPr>
      <w:r w:rsidRPr="0080295E">
        <w:rPr>
          <w:rFonts w:ascii="Arial" w:eastAsia="Calibri" w:hAnsi="Arial" w:cs="Arial"/>
          <w:lang w:val="es-ES"/>
        </w:rPr>
        <w:t>En caso de existir un grupo numeroso de poseedores que no han podido ser identificados, se procede a su notificación para que sustenten su derecho a través de su representante o, en su defecto, mediante carteles que se colocan en el mismo inmueble.</w:t>
      </w:r>
    </w:p>
    <w:p w:rsidR="0080295E" w:rsidRPr="0080295E" w:rsidRDefault="0080295E" w:rsidP="007F13DC">
      <w:pPr>
        <w:spacing w:after="0" w:line="240" w:lineRule="auto"/>
        <w:ind w:left="1985" w:hanging="709"/>
        <w:contextualSpacing/>
        <w:jc w:val="both"/>
        <w:rPr>
          <w:rFonts w:ascii="Arial" w:eastAsia="Calibri" w:hAnsi="Arial" w:cs="Arial"/>
          <w:lang w:val="es-ES"/>
        </w:rPr>
      </w:pPr>
    </w:p>
    <w:p w:rsidR="0080295E" w:rsidRPr="0080295E" w:rsidRDefault="0080295E" w:rsidP="007F13DC">
      <w:pPr>
        <w:spacing w:after="0" w:line="240" w:lineRule="auto"/>
        <w:ind w:left="1985"/>
        <w:contextualSpacing/>
        <w:jc w:val="both"/>
        <w:rPr>
          <w:rFonts w:ascii="Arial" w:eastAsia="Calibri" w:hAnsi="Arial" w:cs="Arial"/>
          <w:bCs/>
          <w:lang w:val="es-ES"/>
        </w:rPr>
      </w:pPr>
      <w:r w:rsidRPr="0080295E">
        <w:rPr>
          <w:rFonts w:ascii="Arial" w:eastAsia="Calibri" w:hAnsi="Arial" w:cs="Arial"/>
          <w:lang w:val="es-ES"/>
        </w:rPr>
        <w:t>Posteriormente, en caso de</w:t>
      </w:r>
      <w:r w:rsidRPr="0080295E">
        <w:rPr>
          <w:rFonts w:ascii="Arial" w:eastAsia="Calibri" w:hAnsi="Arial" w:cs="Arial"/>
        </w:rPr>
        <w:t xml:space="preserve"> responder a la notificación, </w:t>
      </w:r>
      <w:r w:rsidRPr="0080295E">
        <w:rPr>
          <w:rFonts w:ascii="Arial" w:eastAsia="Calibri" w:hAnsi="Arial" w:cs="Arial"/>
          <w:lang w:val="es-ES"/>
        </w:rPr>
        <w:t xml:space="preserve">se revisa </w:t>
      </w:r>
      <w:r w:rsidRPr="0080295E">
        <w:rPr>
          <w:rFonts w:ascii="Arial" w:eastAsia="Calibri" w:hAnsi="Arial" w:cs="Arial"/>
        </w:rPr>
        <w:t xml:space="preserve">la </w:t>
      </w:r>
      <w:r w:rsidRPr="0080295E">
        <w:rPr>
          <w:rFonts w:ascii="Arial" w:eastAsia="Calibri" w:hAnsi="Arial" w:cs="Arial"/>
          <w:lang w:val="es-ES"/>
        </w:rPr>
        <w:t>documentación</w:t>
      </w:r>
      <w:r w:rsidRPr="0080295E">
        <w:rPr>
          <w:rFonts w:ascii="Arial" w:eastAsia="Calibri" w:hAnsi="Arial" w:cs="Arial"/>
        </w:rPr>
        <w:t xml:space="preserve"> presentada</w:t>
      </w:r>
      <w:r w:rsidRPr="0080295E">
        <w:rPr>
          <w:rFonts w:ascii="Arial" w:eastAsia="Calibri" w:hAnsi="Arial" w:cs="Arial"/>
          <w:lang w:val="es-ES"/>
        </w:rPr>
        <w:t xml:space="preserve"> por los terceros poseedores</w:t>
      </w:r>
      <w:r w:rsidRPr="0080295E">
        <w:rPr>
          <w:rFonts w:ascii="Arial" w:eastAsia="Calibri" w:hAnsi="Arial" w:cs="Arial"/>
        </w:rPr>
        <w:t>.</w:t>
      </w:r>
    </w:p>
    <w:p w:rsidR="0080295E" w:rsidRPr="0080295E" w:rsidRDefault="0080295E" w:rsidP="007F13DC">
      <w:pPr>
        <w:spacing w:after="0" w:line="240" w:lineRule="auto"/>
        <w:ind w:left="1985" w:hanging="709"/>
        <w:contextualSpacing/>
        <w:jc w:val="both"/>
        <w:rPr>
          <w:rFonts w:ascii="Arial" w:eastAsia="Calibri" w:hAnsi="Arial" w:cs="Arial"/>
          <w:lang w:val="es-ES"/>
        </w:rPr>
      </w:pPr>
    </w:p>
    <w:p w:rsidR="0080295E" w:rsidRPr="0080295E" w:rsidRDefault="0080295E" w:rsidP="0092471C">
      <w:pPr>
        <w:numPr>
          <w:ilvl w:val="2"/>
          <w:numId w:val="284"/>
        </w:numPr>
        <w:spacing w:after="0" w:line="240" w:lineRule="auto"/>
        <w:ind w:left="1985" w:hanging="709"/>
        <w:contextualSpacing/>
        <w:jc w:val="both"/>
        <w:rPr>
          <w:rFonts w:ascii="Arial" w:eastAsia="Calibri" w:hAnsi="Arial" w:cs="Arial"/>
          <w:b/>
          <w:bCs/>
          <w:lang w:val="es-ES"/>
        </w:rPr>
      </w:pPr>
      <w:r w:rsidRPr="0080295E">
        <w:rPr>
          <w:rFonts w:ascii="Arial" w:eastAsia="Calibri" w:hAnsi="Arial" w:cs="Arial"/>
          <w:b/>
          <w:bCs/>
          <w:lang w:val="es-ES"/>
        </w:rPr>
        <w:t>De los documentos técnicos</w:t>
      </w:r>
    </w:p>
    <w:p w:rsidR="0080295E" w:rsidRPr="0080295E" w:rsidRDefault="0080295E" w:rsidP="007F13DC">
      <w:pPr>
        <w:spacing w:after="0" w:line="240" w:lineRule="auto"/>
        <w:ind w:left="1985" w:hanging="709"/>
        <w:contextualSpacing/>
        <w:jc w:val="both"/>
        <w:rPr>
          <w:rFonts w:ascii="Arial" w:eastAsia="Calibri" w:hAnsi="Arial" w:cs="Arial"/>
          <w:b/>
          <w:lang w:val="es-ES"/>
        </w:rPr>
      </w:pPr>
    </w:p>
    <w:p w:rsidR="0080295E" w:rsidRPr="0080295E" w:rsidRDefault="0080295E" w:rsidP="007F13DC">
      <w:pPr>
        <w:spacing w:after="0" w:line="240" w:lineRule="auto"/>
        <w:ind w:left="1985"/>
        <w:contextualSpacing/>
        <w:jc w:val="both"/>
        <w:rPr>
          <w:rFonts w:ascii="Arial" w:eastAsia="Calibri" w:hAnsi="Arial" w:cs="Arial"/>
        </w:rPr>
      </w:pPr>
      <w:r w:rsidRPr="0080295E">
        <w:rPr>
          <w:rFonts w:ascii="Arial" w:eastAsia="Calibri" w:hAnsi="Arial" w:cs="Arial"/>
          <w:lang w:val="es-ES"/>
        </w:rPr>
        <w:t xml:space="preserve">En un plazo de diez (10) días de efectuada la inspección, </w:t>
      </w:r>
      <w:r w:rsidRPr="0080295E">
        <w:rPr>
          <w:rFonts w:ascii="Arial" w:eastAsia="Calibri" w:hAnsi="Arial" w:cs="Arial"/>
          <w:bCs/>
          <w:lang w:val="es-ES"/>
        </w:rPr>
        <w:t>el profesional técnico</w:t>
      </w:r>
      <w:r w:rsidRPr="0080295E">
        <w:rPr>
          <w:rFonts w:ascii="Arial" w:eastAsia="Calibri" w:hAnsi="Arial" w:cs="Arial"/>
          <w:lang w:val="es-ES"/>
        </w:rPr>
        <w:t xml:space="preserve"> de la brigada </w:t>
      </w:r>
      <w:r w:rsidRPr="0080295E">
        <w:rPr>
          <w:rFonts w:ascii="Arial" w:eastAsia="Calibri" w:hAnsi="Arial" w:cs="Arial"/>
          <w:bCs/>
          <w:lang w:val="es-ES"/>
        </w:rPr>
        <w:t xml:space="preserve">encargada </w:t>
      </w:r>
      <w:r w:rsidRPr="0080295E">
        <w:rPr>
          <w:rFonts w:ascii="Arial" w:eastAsia="Calibri" w:hAnsi="Arial" w:cs="Arial"/>
          <w:lang w:val="es-ES"/>
        </w:rPr>
        <w:t xml:space="preserve">elabora </w:t>
      </w:r>
      <w:r w:rsidRPr="0080295E">
        <w:rPr>
          <w:rFonts w:ascii="Arial" w:eastAsia="Calibri" w:hAnsi="Arial" w:cs="Arial"/>
        </w:rPr>
        <w:t xml:space="preserve">la Ficha Técnica </w:t>
      </w:r>
      <w:r w:rsidRPr="0080295E">
        <w:rPr>
          <w:rFonts w:ascii="Arial" w:eastAsia="Calibri" w:hAnsi="Arial" w:cs="Arial"/>
          <w:bCs/>
          <w:lang w:val="es-ES"/>
        </w:rPr>
        <w:t>correspondiente –en el formato aprobado-, el panel fotográfico, el plano</w:t>
      </w:r>
      <w:r w:rsidRPr="0080295E">
        <w:rPr>
          <w:rFonts w:ascii="Arial" w:eastAsia="Calibri" w:hAnsi="Arial" w:cs="Arial"/>
        </w:rPr>
        <w:t xml:space="preserve"> perimétrico y, en caso corresponda, la memoria descriptiva. Solo en caso de constatarse posesión de terceros, elabora el plano de diagnóstico, que refleja la situación física encontrada. </w:t>
      </w:r>
    </w:p>
    <w:p w:rsidR="0080295E" w:rsidRPr="0080295E" w:rsidRDefault="0080295E" w:rsidP="007F13DC">
      <w:pPr>
        <w:spacing w:after="0" w:line="240" w:lineRule="auto"/>
        <w:ind w:left="1985" w:hanging="709"/>
        <w:contextualSpacing/>
        <w:jc w:val="both"/>
        <w:rPr>
          <w:rFonts w:ascii="Arial" w:eastAsia="Calibri" w:hAnsi="Arial" w:cs="Arial"/>
          <w:bCs/>
          <w:lang w:val="es-ES"/>
        </w:rPr>
      </w:pPr>
    </w:p>
    <w:p w:rsidR="0080295E" w:rsidRPr="0080295E" w:rsidRDefault="0080295E" w:rsidP="0092471C">
      <w:pPr>
        <w:numPr>
          <w:ilvl w:val="2"/>
          <w:numId w:val="284"/>
        </w:numPr>
        <w:spacing w:after="0" w:line="240" w:lineRule="auto"/>
        <w:ind w:left="1985" w:hanging="709"/>
        <w:contextualSpacing/>
        <w:jc w:val="both"/>
        <w:rPr>
          <w:rFonts w:ascii="Arial" w:eastAsia="Calibri" w:hAnsi="Arial" w:cs="Arial"/>
          <w:lang w:val="es-ES"/>
        </w:rPr>
      </w:pPr>
      <w:r w:rsidRPr="0080295E">
        <w:rPr>
          <w:rFonts w:ascii="Arial" w:eastAsia="Calibri" w:hAnsi="Arial" w:cs="Arial"/>
          <w:b/>
          <w:bCs/>
          <w:lang w:val="es-ES"/>
        </w:rPr>
        <w:t xml:space="preserve">Del </w:t>
      </w:r>
      <w:r w:rsidRPr="0080295E">
        <w:rPr>
          <w:rFonts w:ascii="Arial" w:eastAsia="Calibri" w:hAnsi="Arial" w:cs="Arial"/>
          <w:b/>
          <w:lang w:val="es-ES"/>
        </w:rPr>
        <w:t>informe de supervisión</w:t>
      </w:r>
    </w:p>
    <w:p w:rsidR="0080295E" w:rsidRPr="0080295E" w:rsidRDefault="0080295E" w:rsidP="007F13DC">
      <w:pPr>
        <w:spacing w:after="0" w:line="240" w:lineRule="auto"/>
        <w:ind w:left="1985" w:hanging="709"/>
        <w:contextualSpacing/>
        <w:jc w:val="both"/>
        <w:rPr>
          <w:rFonts w:ascii="Arial" w:eastAsia="Calibri" w:hAnsi="Arial" w:cs="Arial"/>
          <w:lang w:val="es-ES"/>
        </w:rPr>
      </w:pPr>
    </w:p>
    <w:p w:rsidR="0080295E" w:rsidRPr="0080295E" w:rsidRDefault="0080295E" w:rsidP="007F13DC">
      <w:pPr>
        <w:spacing w:after="0" w:line="240" w:lineRule="auto"/>
        <w:ind w:left="1985"/>
        <w:contextualSpacing/>
        <w:jc w:val="both"/>
        <w:rPr>
          <w:rFonts w:ascii="Arial" w:eastAsia="Calibri" w:hAnsi="Arial" w:cs="Arial"/>
          <w:lang w:val="es-ES"/>
        </w:rPr>
      </w:pPr>
      <w:r w:rsidRPr="0080295E">
        <w:rPr>
          <w:rFonts w:ascii="Arial" w:eastAsia="Calibri" w:hAnsi="Arial" w:cs="Arial"/>
        </w:rPr>
        <w:t>Con o sin la documentación que hubiera presentado el poseedor del inmueble y luego de efectuadas las acciones descritas en los numerales anteriores,</w:t>
      </w:r>
      <w:r w:rsidRPr="0080295E">
        <w:rPr>
          <w:rFonts w:ascii="Arial" w:eastAsia="Calibri" w:hAnsi="Arial" w:cs="Arial"/>
          <w:lang w:val="es-ES"/>
        </w:rPr>
        <w:t xml:space="preserve"> la brigada</w:t>
      </w:r>
      <w:r w:rsidRPr="0080295E">
        <w:rPr>
          <w:rFonts w:ascii="Arial" w:eastAsia="Calibri" w:hAnsi="Arial" w:cs="Arial"/>
          <w:bCs/>
          <w:lang w:val="es-ES"/>
        </w:rPr>
        <w:t xml:space="preserve"> encargada </w:t>
      </w:r>
      <w:r w:rsidRPr="0080295E">
        <w:rPr>
          <w:rFonts w:ascii="Arial" w:eastAsia="Calibri" w:hAnsi="Arial" w:cs="Arial"/>
          <w:lang w:val="es-ES"/>
        </w:rPr>
        <w:t>elabora el informe de s</w:t>
      </w:r>
      <w:r w:rsidRPr="0080295E">
        <w:rPr>
          <w:rFonts w:ascii="Arial" w:eastAsia="Calibri" w:hAnsi="Arial" w:cs="Arial"/>
          <w:bCs/>
          <w:lang w:val="es-ES"/>
        </w:rPr>
        <w:t>upervisión</w:t>
      </w:r>
      <w:r w:rsidRPr="0080295E">
        <w:rPr>
          <w:rFonts w:ascii="Arial" w:eastAsia="Calibri" w:hAnsi="Arial" w:cs="Arial"/>
        </w:rPr>
        <w:t>, en un plazo no mayor de quince (15) días contados desde la inspección,</w:t>
      </w:r>
      <w:r w:rsidRPr="0080295E">
        <w:rPr>
          <w:rFonts w:ascii="Arial" w:eastAsia="Calibri" w:hAnsi="Arial" w:cs="Arial"/>
          <w:lang w:val="es-ES"/>
        </w:rPr>
        <w:t xml:space="preserve"> el cual se presenta al Subdirector de la SDS para su conformidad.</w:t>
      </w:r>
    </w:p>
    <w:p w:rsidR="0080295E" w:rsidRPr="0080295E" w:rsidRDefault="0080295E" w:rsidP="007F13DC">
      <w:pPr>
        <w:spacing w:after="0" w:line="240" w:lineRule="auto"/>
        <w:ind w:left="1985" w:hanging="709"/>
        <w:contextualSpacing/>
        <w:jc w:val="both"/>
        <w:rPr>
          <w:rFonts w:ascii="Arial" w:eastAsia="Calibri" w:hAnsi="Arial" w:cs="Arial"/>
          <w:lang w:val="es-ES"/>
        </w:rPr>
      </w:pPr>
    </w:p>
    <w:p w:rsidR="0080295E" w:rsidRPr="0080295E" w:rsidRDefault="0080295E" w:rsidP="007F13DC">
      <w:pPr>
        <w:spacing w:after="0" w:line="240" w:lineRule="auto"/>
        <w:ind w:left="1985"/>
        <w:contextualSpacing/>
        <w:jc w:val="both"/>
        <w:rPr>
          <w:rFonts w:ascii="Arial" w:eastAsia="Calibri" w:hAnsi="Arial" w:cs="Arial"/>
          <w:lang w:val="es-ES"/>
        </w:rPr>
      </w:pPr>
      <w:r w:rsidRPr="0080295E">
        <w:rPr>
          <w:rFonts w:ascii="Arial" w:eastAsia="Calibri" w:hAnsi="Arial" w:cs="Arial"/>
          <w:lang w:val="es-ES"/>
        </w:rPr>
        <w:t xml:space="preserve">El informe de supervisión contiene el análisis de la titularidad del inmueble, de la situación física </w:t>
      </w:r>
      <w:r w:rsidRPr="0080295E">
        <w:rPr>
          <w:rFonts w:ascii="Arial" w:eastAsia="Calibri" w:hAnsi="Arial" w:cs="Arial"/>
        </w:rPr>
        <w:t xml:space="preserve">encontrada, del descargo y documentación presentada por el tercer poseedor, las consecuencias legales que se hubieran generado, así como, </w:t>
      </w:r>
      <w:r w:rsidRPr="0080295E">
        <w:rPr>
          <w:rFonts w:ascii="Arial" w:eastAsia="Calibri" w:hAnsi="Arial" w:cs="Arial"/>
          <w:lang w:val="es-ES"/>
        </w:rPr>
        <w:t xml:space="preserve">las conclusiones y recomendaciones del caso, debiéndose adjuntar los proyectos de documentos que fueran necesarios para su implementación y derivación a las unidades orgánicas que correspondan. </w:t>
      </w:r>
    </w:p>
    <w:p w:rsidR="0080295E" w:rsidRPr="0080295E" w:rsidRDefault="0080295E" w:rsidP="007F13DC">
      <w:pPr>
        <w:spacing w:after="0" w:line="240" w:lineRule="auto"/>
        <w:ind w:left="1985" w:hanging="709"/>
        <w:contextualSpacing/>
        <w:jc w:val="both"/>
        <w:rPr>
          <w:rFonts w:ascii="Arial" w:eastAsia="Calibri" w:hAnsi="Arial" w:cs="Arial"/>
          <w:lang w:val="es-ES"/>
        </w:rPr>
      </w:pPr>
    </w:p>
    <w:p w:rsidR="0080295E" w:rsidRPr="0080295E" w:rsidRDefault="0080295E" w:rsidP="007F13DC">
      <w:pPr>
        <w:spacing w:after="0" w:line="240" w:lineRule="auto"/>
        <w:ind w:left="1985"/>
        <w:contextualSpacing/>
        <w:jc w:val="both"/>
        <w:rPr>
          <w:rFonts w:ascii="Arial" w:eastAsia="Calibri" w:hAnsi="Arial" w:cs="Arial"/>
        </w:rPr>
      </w:pPr>
      <w:r w:rsidRPr="0080295E">
        <w:rPr>
          <w:rFonts w:ascii="Arial" w:eastAsia="Calibri" w:hAnsi="Arial" w:cs="Arial"/>
        </w:rPr>
        <w:t>El informe debe pronunciarse, entre otros, sobre los siguientes aspectos:</w:t>
      </w:r>
    </w:p>
    <w:p w:rsidR="0080295E" w:rsidRPr="0080295E" w:rsidRDefault="0080295E" w:rsidP="007F13DC">
      <w:pPr>
        <w:spacing w:after="0" w:line="240" w:lineRule="auto"/>
        <w:ind w:left="1985" w:hanging="709"/>
        <w:contextualSpacing/>
        <w:jc w:val="both"/>
        <w:rPr>
          <w:rFonts w:ascii="Arial" w:eastAsia="Calibri" w:hAnsi="Arial" w:cs="Arial"/>
        </w:rPr>
      </w:pPr>
    </w:p>
    <w:p w:rsidR="0080295E" w:rsidRPr="0080295E" w:rsidRDefault="0080295E" w:rsidP="0092471C">
      <w:pPr>
        <w:numPr>
          <w:ilvl w:val="0"/>
          <w:numId w:val="298"/>
        </w:numPr>
        <w:spacing w:after="0" w:line="240" w:lineRule="auto"/>
        <w:ind w:left="2694" w:hanging="709"/>
        <w:contextualSpacing/>
        <w:jc w:val="both"/>
        <w:rPr>
          <w:rFonts w:ascii="Arial" w:eastAsia="Calibri" w:hAnsi="Arial" w:cs="Arial"/>
        </w:rPr>
      </w:pPr>
      <w:r w:rsidRPr="0080295E">
        <w:rPr>
          <w:rFonts w:ascii="Arial" w:eastAsia="Calibri" w:hAnsi="Arial" w:cs="Arial"/>
        </w:rPr>
        <w:t xml:space="preserve">Evaluación de la situación registral del inmueble, verificándose si se encuentra debidamente inscrito en el RP y si existe superposición registral con inmuebles de otras entidades públicas o de particulares. </w:t>
      </w:r>
    </w:p>
    <w:p w:rsidR="0080295E" w:rsidRPr="0080295E" w:rsidRDefault="0080295E" w:rsidP="0092471C">
      <w:pPr>
        <w:numPr>
          <w:ilvl w:val="0"/>
          <w:numId w:val="298"/>
        </w:numPr>
        <w:spacing w:after="0" w:line="240" w:lineRule="auto"/>
        <w:ind w:left="2694" w:hanging="709"/>
        <w:contextualSpacing/>
        <w:jc w:val="both"/>
        <w:rPr>
          <w:rFonts w:ascii="Arial" w:eastAsia="Calibri" w:hAnsi="Arial" w:cs="Arial"/>
        </w:rPr>
      </w:pPr>
      <w:r w:rsidRPr="0080295E">
        <w:rPr>
          <w:rFonts w:ascii="Arial" w:eastAsia="Calibri" w:hAnsi="Arial" w:cs="Arial"/>
        </w:rPr>
        <w:t>Evaluación del dominio u otro derecho del Estado o de alguna entidad estatal sobre el inmueble.</w:t>
      </w:r>
    </w:p>
    <w:p w:rsidR="0080295E" w:rsidRPr="0080295E" w:rsidRDefault="0080295E" w:rsidP="0092471C">
      <w:pPr>
        <w:numPr>
          <w:ilvl w:val="0"/>
          <w:numId w:val="298"/>
        </w:numPr>
        <w:spacing w:after="0" w:line="240" w:lineRule="auto"/>
        <w:ind w:left="2694" w:hanging="709"/>
        <w:contextualSpacing/>
        <w:jc w:val="both"/>
        <w:rPr>
          <w:rFonts w:ascii="Arial" w:eastAsia="Calibri" w:hAnsi="Arial" w:cs="Arial"/>
        </w:rPr>
      </w:pPr>
      <w:r w:rsidRPr="0080295E">
        <w:rPr>
          <w:rFonts w:ascii="Arial" w:eastAsia="Calibri" w:hAnsi="Arial" w:cs="Arial"/>
        </w:rPr>
        <w:t>Evaluación del derecho de posesión y/o propiedad que pudiera invocar el tercer poseedor sobre el inmueble supervisado, y la eventual recuperación judicial o extrajudicial que corresponda.</w:t>
      </w:r>
    </w:p>
    <w:p w:rsidR="0080295E" w:rsidRPr="0080295E" w:rsidRDefault="0080295E" w:rsidP="007F13DC">
      <w:pPr>
        <w:spacing w:after="0" w:line="240" w:lineRule="auto"/>
        <w:ind w:left="1985" w:hanging="709"/>
        <w:contextualSpacing/>
        <w:jc w:val="both"/>
        <w:rPr>
          <w:rFonts w:ascii="Arial" w:eastAsia="Calibri" w:hAnsi="Arial" w:cs="Arial"/>
        </w:rPr>
      </w:pPr>
    </w:p>
    <w:p w:rsidR="0080295E" w:rsidRPr="0080295E" w:rsidRDefault="0080295E" w:rsidP="0092471C">
      <w:pPr>
        <w:numPr>
          <w:ilvl w:val="2"/>
          <w:numId w:val="284"/>
        </w:numPr>
        <w:spacing w:after="0" w:line="240" w:lineRule="auto"/>
        <w:ind w:left="1985" w:hanging="709"/>
        <w:contextualSpacing/>
        <w:jc w:val="both"/>
        <w:rPr>
          <w:rFonts w:ascii="Arial" w:eastAsia="Calibri" w:hAnsi="Arial" w:cs="Arial"/>
          <w:b/>
          <w:lang w:val="es-ES"/>
        </w:rPr>
      </w:pPr>
      <w:r w:rsidRPr="0080295E">
        <w:rPr>
          <w:rFonts w:ascii="Arial" w:eastAsia="Calibri" w:hAnsi="Arial" w:cs="Arial"/>
          <w:b/>
          <w:lang w:val="es-ES"/>
        </w:rPr>
        <w:t>De las acciones complementarias</w:t>
      </w:r>
    </w:p>
    <w:p w:rsidR="0080295E" w:rsidRPr="0080295E" w:rsidRDefault="0080295E" w:rsidP="007F13DC">
      <w:pPr>
        <w:spacing w:after="0" w:line="240" w:lineRule="auto"/>
        <w:ind w:left="1985" w:hanging="709"/>
        <w:contextualSpacing/>
        <w:jc w:val="both"/>
        <w:rPr>
          <w:rFonts w:ascii="Arial" w:eastAsia="Calibri" w:hAnsi="Arial" w:cs="Arial"/>
          <w:lang w:val="es-ES"/>
        </w:rPr>
      </w:pPr>
    </w:p>
    <w:p w:rsidR="0080295E" w:rsidRPr="0080295E" w:rsidRDefault="0080295E" w:rsidP="007F13DC">
      <w:pPr>
        <w:spacing w:after="0" w:line="240" w:lineRule="auto"/>
        <w:ind w:left="1985"/>
        <w:contextualSpacing/>
        <w:jc w:val="both"/>
        <w:rPr>
          <w:rFonts w:ascii="Arial" w:eastAsia="Calibri" w:hAnsi="Arial" w:cs="Arial"/>
          <w:lang w:val="es-ES"/>
        </w:rPr>
      </w:pPr>
      <w:r w:rsidRPr="0080295E">
        <w:rPr>
          <w:rFonts w:ascii="Arial" w:eastAsia="Calibri" w:hAnsi="Arial" w:cs="Arial"/>
          <w:lang w:val="es-ES"/>
        </w:rPr>
        <w:t>Luego de emitido el informe legal, la brigada</w:t>
      </w:r>
      <w:r w:rsidRPr="0080295E">
        <w:rPr>
          <w:rFonts w:ascii="Arial" w:eastAsia="Calibri" w:hAnsi="Arial" w:cs="Arial"/>
          <w:bCs/>
          <w:lang w:val="es-ES"/>
        </w:rPr>
        <w:t xml:space="preserve"> encargada implemen</w:t>
      </w:r>
      <w:r w:rsidRPr="0080295E">
        <w:rPr>
          <w:rFonts w:ascii="Arial" w:eastAsia="Calibri" w:hAnsi="Arial" w:cs="Arial"/>
          <w:lang w:val="es-ES"/>
        </w:rPr>
        <w:t>ta las recomendaciones y demás acciones complementarias formuladas:</w:t>
      </w:r>
    </w:p>
    <w:p w:rsidR="0080295E" w:rsidRPr="0080295E" w:rsidRDefault="0080295E" w:rsidP="007F13DC">
      <w:pPr>
        <w:spacing w:after="0" w:line="240" w:lineRule="auto"/>
        <w:ind w:left="1985" w:hanging="709"/>
        <w:contextualSpacing/>
        <w:jc w:val="both"/>
        <w:rPr>
          <w:rFonts w:ascii="Arial" w:eastAsia="Calibri" w:hAnsi="Arial" w:cs="Arial"/>
          <w:lang w:val="es-ES"/>
        </w:rPr>
      </w:pPr>
    </w:p>
    <w:p w:rsidR="0080295E" w:rsidRPr="0080295E" w:rsidRDefault="0080295E" w:rsidP="0092471C">
      <w:pPr>
        <w:numPr>
          <w:ilvl w:val="0"/>
          <w:numId w:val="292"/>
        </w:numPr>
        <w:spacing w:after="0" w:line="240" w:lineRule="auto"/>
        <w:ind w:left="2694" w:hanging="709"/>
        <w:contextualSpacing/>
        <w:jc w:val="both"/>
        <w:rPr>
          <w:rFonts w:ascii="Arial" w:eastAsia="Calibri" w:hAnsi="Arial" w:cs="Arial"/>
          <w:lang w:val="es-ES"/>
        </w:rPr>
      </w:pPr>
      <w:r w:rsidRPr="0080295E">
        <w:rPr>
          <w:rFonts w:ascii="Arial" w:eastAsia="Calibri" w:hAnsi="Arial" w:cs="Arial"/>
          <w:lang w:val="es-ES"/>
        </w:rPr>
        <w:t>Se actualiza el SINABIP, remitiendo a la SDRC los documentos técnicos generados en la inspección (Ficha Técnica, panel fotográfico, plano perimétrico o diagnóstico y memoria descriptiva).</w:t>
      </w:r>
    </w:p>
    <w:p w:rsidR="0080295E" w:rsidRPr="0080295E" w:rsidRDefault="0080295E" w:rsidP="0092471C">
      <w:pPr>
        <w:numPr>
          <w:ilvl w:val="0"/>
          <w:numId w:val="292"/>
        </w:numPr>
        <w:spacing w:after="0" w:line="240" w:lineRule="auto"/>
        <w:ind w:left="2694" w:hanging="709"/>
        <w:contextualSpacing/>
        <w:jc w:val="both"/>
        <w:rPr>
          <w:rFonts w:ascii="Arial" w:eastAsia="Calibri" w:hAnsi="Arial" w:cs="Arial"/>
          <w:lang w:val="es-ES"/>
        </w:rPr>
      </w:pPr>
      <w:r w:rsidRPr="0080295E">
        <w:rPr>
          <w:rFonts w:ascii="Arial" w:eastAsia="Calibri" w:hAnsi="Arial" w:cs="Arial"/>
          <w:lang w:val="es-ES"/>
        </w:rPr>
        <w:t>Se solicita a la SDAPE que efectúe los actos de administración y saneamiento del inmueble que correspondan.</w:t>
      </w:r>
    </w:p>
    <w:p w:rsidR="0080295E" w:rsidRPr="0080295E" w:rsidRDefault="0080295E" w:rsidP="0092471C">
      <w:pPr>
        <w:numPr>
          <w:ilvl w:val="0"/>
          <w:numId w:val="292"/>
        </w:numPr>
        <w:spacing w:after="0" w:line="240" w:lineRule="auto"/>
        <w:ind w:left="2694" w:hanging="709"/>
        <w:contextualSpacing/>
        <w:jc w:val="both"/>
        <w:rPr>
          <w:rFonts w:ascii="Arial" w:eastAsia="Calibri" w:hAnsi="Arial" w:cs="Arial"/>
          <w:lang w:val="es-ES"/>
        </w:rPr>
      </w:pPr>
      <w:r w:rsidRPr="0080295E">
        <w:rPr>
          <w:rFonts w:ascii="Arial" w:eastAsia="Calibri" w:hAnsi="Arial" w:cs="Arial"/>
          <w:lang w:val="es-ES"/>
        </w:rPr>
        <w:t xml:space="preserve">Se solicita a la SDDI que efectúe los actos de disposición del inmueble que correspondan. </w:t>
      </w:r>
    </w:p>
    <w:p w:rsidR="0080295E" w:rsidRPr="0080295E" w:rsidRDefault="0080295E" w:rsidP="0092471C">
      <w:pPr>
        <w:numPr>
          <w:ilvl w:val="0"/>
          <w:numId w:val="292"/>
        </w:numPr>
        <w:spacing w:after="0" w:line="240" w:lineRule="auto"/>
        <w:ind w:left="2694" w:hanging="709"/>
        <w:contextualSpacing/>
        <w:jc w:val="both"/>
        <w:rPr>
          <w:rFonts w:ascii="Arial" w:eastAsia="Calibri" w:hAnsi="Arial" w:cs="Arial"/>
          <w:lang w:val="es-ES"/>
        </w:rPr>
      </w:pPr>
      <w:r w:rsidRPr="0080295E">
        <w:rPr>
          <w:rFonts w:ascii="Arial" w:eastAsia="Calibri" w:hAnsi="Arial" w:cs="Arial"/>
          <w:lang w:val="es-ES"/>
        </w:rPr>
        <w:t xml:space="preserve">Se comunica, dentro de un plazo de diez (10) días contados desde la emisión del informe, </w:t>
      </w:r>
      <w:r w:rsidRPr="0080295E">
        <w:rPr>
          <w:rFonts w:ascii="Arial" w:eastAsia="Calibri" w:hAnsi="Arial" w:cs="Arial"/>
        </w:rPr>
        <w:t xml:space="preserve">a las entidades del SNBE para </w:t>
      </w:r>
      <w:r w:rsidRPr="0080295E">
        <w:rPr>
          <w:rFonts w:ascii="Arial" w:eastAsia="Calibri" w:hAnsi="Arial" w:cs="Arial"/>
          <w:lang w:val="es-ES"/>
        </w:rPr>
        <w:t>que</w:t>
      </w:r>
      <w:r w:rsidRPr="0080295E">
        <w:rPr>
          <w:rFonts w:ascii="Arial" w:eastAsia="Calibri" w:hAnsi="Arial" w:cs="Arial"/>
        </w:rPr>
        <w:t xml:space="preserve"> efectúen las acciones que les corresponda, de ser el caso y según sus competencias.</w:t>
      </w:r>
      <w:r w:rsidRPr="0080295E">
        <w:rPr>
          <w:rFonts w:ascii="Arial" w:eastAsia="Calibri" w:hAnsi="Arial" w:cs="Arial"/>
          <w:lang w:val="es-ES"/>
        </w:rPr>
        <w:t xml:space="preserve"> </w:t>
      </w:r>
    </w:p>
    <w:p w:rsidR="0080295E" w:rsidRPr="0080295E" w:rsidRDefault="0080295E" w:rsidP="007F13DC">
      <w:pPr>
        <w:spacing w:after="0" w:line="240" w:lineRule="auto"/>
        <w:ind w:left="1985" w:hanging="709"/>
        <w:contextualSpacing/>
        <w:jc w:val="both"/>
        <w:rPr>
          <w:rFonts w:ascii="Arial" w:eastAsia="Calibri" w:hAnsi="Arial" w:cs="Arial"/>
          <w:lang w:val="es-ES"/>
        </w:rPr>
      </w:pPr>
    </w:p>
    <w:p w:rsidR="0080295E" w:rsidRPr="0080295E" w:rsidRDefault="0080295E" w:rsidP="007F13DC">
      <w:pPr>
        <w:spacing w:after="0" w:line="240" w:lineRule="auto"/>
        <w:ind w:left="1985"/>
        <w:contextualSpacing/>
        <w:jc w:val="both"/>
        <w:rPr>
          <w:rFonts w:ascii="Arial" w:eastAsia="Calibri" w:hAnsi="Arial" w:cs="Arial"/>
          <w:lang w:val="es-ES"/>
        </w:rPr>
      </w:pPr>
      <w:r w:rsidRPr="0080295E">
        <w:rPr>
          <w:rFonts w:ascii="Arial" w:eastAsia="Calibri" w:hAnsi="Arial" w:cs="Arial"/>
          <w:lang w:val="es-ES"/>
        </w:rPr>
        <w:t xml:space="preserve">En el caso </w:t>
      </w:r>
      <w:r w:rsidRPr="0080295E">
        <w:rPr>
          <w:rFonts w:ascii="Arial" w:eastAsia="Calibri" w:hAnsi="Arial" w:cs="Arial"/>
          <w:bCs/>
          <w:lang w:val="es-ES"/>
        </w:rPr>
        <w:t>de</w:t>
      </w:r>
      <w:r w:rsidRPr="0080295E">
        <w:rPr>
          <w:rFonts w:ascii="Arial" w:eastAsia="Calibri" w:hAnsi="Arial" w:cs="Arial"/>
          <w:lang w:val="es-ES"/>
        </w:rPr>
        <w:t xml:space="preserve"> que el inmueble se encuentre ocupado, con poseedores y/o edificaciones, dentro de un plazo de diez (10) días contados desde la emisión del informe, se efectúan las siguientes acciones adicionales:</w:t>
      </w:r>
    </w:p>
    <w:p w:rsidR="0080295E" w:rsidRPr="0080295E" w:rsidRDefault="0080295E" w:rsidP="007F13DC">
      <w:pPr>
        <w:spacing w:after="0" w:line="240" w:lineRule="auto"/>
        <w:ind w:left="1985" w:hanging="709"/>
        <w:contextualSpacing/>
        <w:jc w:val="both"/>
        <w:rPr>
          <w:rFonts w:ascii="Arial" w:eastAsia="Calibri" w:hAnsi="Arial" w:cs="Arial"/>
          <w:lang w:val="es-ES"/>
        </w:rPr>
      </w:pPr>
    </w:p>
    <w:p w:rsidR="0080295E" w:rsidRPr="0080295E" w:rsidRDefault="0080295E" w:rsidP="0092471C">
      <w:pPr>
        <w:numPr>
          <w:ilvl w:val="0"/>
          <w:numId w:val="292"/>
        </w:numPr>
        <w:spacing w:after="0" w:line="240" w:lineRule="auto"/>
        <w:ind w:left="2694" w:hanging="709"/>
        <w:contextualSpacing/>
        <w:jc w:val="both"/>
        <w:rPr>
          <w:rFonts w:ascii="Arial" w:eastAsia="Calibri" w:hAnsi="Arial" w:cs="Arial"/>
          <w:lang w:val="es-ES"/>
        </w:rPr>
      </w:pPr>
      <w:r w:rsidRPr="0080295E">
        <w:rPr>
          <w:rFonts w:ascii="Arial" w:eastAsia="Calibri" w:hAnsi="Arial" w:cs="Arial"/>
          <w:lang w:val="es-ES"/>
        </w:rPr>
        <w:t>Si el poseedor no presentó documentación o la que presentó no sustenta su posesión, la SDS solicita a la entidad del SNBE que es propietaria o administradora del inmueble, para que efectúe las acciones de recuperación extrajudicial, otorgándole un plazo de cinco (05) días para que cumpla, de acuerdo a lo previsto por el artículo 65° de la Ley N° 30230.</w:t>
      </w:r>
    </w:p>
    <w:p w:rsidR="0080295E" w:rsidRPr="0080295E" w:rsidRDefault="0080295E" w:rsidP="0092471C">
      <w:pPr>
        <w:numPr>
          <w:ilvl w:val="0"/>
          <w:numId w:val="292"/>
        </w:numPr>
        <w:spacing w:after="0" w:line="240" w:lineRule="auto"/>
        <w:ind w:left="2694" w:hanging="709"/>
        <w:contextualSpacing/>
        <w:jc w:val="both"/>
        <w:rPr>
          <w:rFonts w:ascii="Arial" w:eastAsia="Calibri" w:hAnsi="Arial" w:cs="Arial"/>
          <w:lang w:val="es-ES"/>
        </w:rPr>
      </w:pPr>
      <w:r w:rsidRPr="0080295E">
        <w:rPr>
          <w:rFonts w:ascii="Arial" w:eastAsia="Calibri" w:hAnsi="Arial" w:cs="Arial"/>
          <w:lang w:val="es-ES"/>
        </w:rPr>
        <w:t>Se solicita al RP la expedición del Certificado de Búsqueda Catastral, cuando corresponda.</w:t>
      </w:r>
    </w:p>
    <w:p w:rsidR="0080295E" w:rsidRPr="0080295E" w:rsidRDefault="0080295E" w:rsidP="0092471C">
      <w:pPr>
        <w:numPr>
          <w:ilvl w:val="0"/>
          <w:numId w:val="292"/>
        </w:numPr>
        <w:spacing w:after="0" w:line="240" w:lineRule="auto"/>
        <w:ind w:left="2694" w:hanging="709"/>
        <w:contextualSpacing/>
        <w:jc w:val="both"/>
        <w:rPr>
          <w:rFonts w:ascii="Arial" w:eastAsia="Calibri" w:hAnsi="Arial" w:cs="Arial"/>
          <w:lang w:val="es-ES"/>
        </w:rPr>
      </w:pPr>
      <w:r w:rsidRPr="0080295E">
        <w:rPr>
          <w:rFonts w:ascii="Arial" w:eastAsia="Calibri" w:hAnsi="Arial" w:cs="Arial"/>
          <w:lang w:val="es-ES"/>
        </w:rPr>
        <w:t xml:space="preserve">Se solicita a la unidad orgánica competente el inicio del procedimiento administrativo sancionador contra los terceros que han cometido </w:t>
      </w:r>
      <w:r w:rsidRPr="0080295E">
        <w:rPr>
          <w:rFonts w:ascii="Arial" w:eastAsia="Calibri" w:hAnsi="Arial" w:cs="Arial"/>
        </w:rPr>
        <w:t>conductas infractoras sobre el inmueble, previstas por el artículo 19°-A de la Ley u otra norma legal.</w:t>
      </w:r>
    </w:p>
    <w:p w:rsidR="0080295E" w:rsidRPr="0080295E" w:rsidRDefault="0080295E" w:rsidP="007F13DC">
      <w:pPr>
        <w:spacing w:after="0" w:line="240" w:lineRule="auto"/>
        <w:ind w:left="1985" w:hanging="709"/>
        <w:contextualSpacing/>
        <w:jc w:val="both"/>
        <w:rPr>
          <w:rFonts w:ascii="Arial" w:eastAsia="Calibri" w:hAnsi="Arial" w:cs="Arial"/>
          <w:lang w:val="es-ES"/>
        </w:rPr>
      </w:pPr>
    </w:p>
    <w:p w:rsidR="0080295E" w:rsidRPr="0080295E" w:rsidRDefault="0080295E" w:rsidP="007F13DC">
      <w:pPr>
        <w:spacing w:after="0" w:line="240" w:lineRule="auto"/>
        <w:ind w:left="1985"/>
        <w:contextualSpacing/>
        <w:jc w:val="both"/>
        <w:rPr>
          <w:rFonts w:ascii="Arial" w:eastAsia="Calibri" w:hAnsi="Arial" w:cs="Arial"/>
          <w:lang w:val="es-ES"/>
        </w:rPr>
      </w:pPr>
      <w:r w:rsidRPr="0080295E">
        <w:rPr>
          <w:rFonts w:ascii="Arial" w:eastAsia="Calibri" w:hAnsi="Arial" w:cs="Arial"/>
          <w:lang w:val="es-ES"/>
        </w:rPr>
        <w:t>De existir incumplimiento u omisión para la recuperación extrajudicial por parte de la entidad propietaria o administradora del inmueble, la SDS, dentro de un plazo de diez (10) días siguientes del vencimiento del plazo de cinco (05) días referido en el literal e), solicita a la Procuraduría Pública de la SBN para que inicie las acciones de recuperación judicial o extrajudicial, según corresponda, adjuntando, de ser el caso, la Constatación Policial respectiva, el certificado de búsqueda catastral y los demás documentos necesarios para su actuación.</w:t>
      </w:r>
    </w:p>
    <w:p w:rsidR="0080295E" w:rsidRPr="0080295E" w:rsidRDefault="0080295E" w:rsidP="007F13DC">
      <w:pPr>
        <w:spacing w:after="0" w:line="240" w:lineRule="auto"/>
        <w:ind w:left="1985" w:hanging="709"/>
        <w:contextualSpacing/>
        <w:jc w:val="both"/>
        <w:rPr>
          <w:rFonts w:ascii="Arial" w:eastAsia="Calibri" w:hAnsi="Arial" w:cs="Arial"/>
          <w:lang w:val="es-ES"/>
        </w:rPr>
      </w:pPr>
    </w:p>
    <w:p w:rsidR="0080295E" w:rsidRPr="0080295E" w:rsidRDefault="0080295E" w:rsidP="0092471C">
      <w:pPr>
        <w:numPr>
          <w:ilvl w:val="2"/>
          <w:numId w:val="284"/>
        </w:numPr>
        <w:spacing w:after="0" w:line="240" w:lineRule="auto"/>
        <w:ind w:left="1985" w:hanging="709"/>
        <w:contextualSpacing/>
        <w:jc w:val="both"/>
        <w:rPr>
          <w:rFonts w:ascii="Arial" w:eastAsia="Calibri" w:hAnsi="Arial" w:cs="Arial"/>
          <w:lang w:val="es-ES"/>
        </w:rPr>
      </w:pPr>
      <w:r w:rsidRPr="0080295E">
        <w:rPr>
          <w:rFonts w:ascii="Arial" w:eastAsia="Calibri" w:hAnsi="Arial" w:cs="Arial"/>
          <w:b/>
          <w:lang w:val="es-ES"/>
        </w:rPr>
        <w:t>De la inmediatez de las acciones complementarias para la recuperación extrajudicial</w:t>
      </w:r>
    </w:p>
    <w:p w:rsidR="0080295E" w:rsidRPr="0080295E" w:rsidRDefault="0080295E" w:rsidP="007F13DC">
      <w:pPr>
        <w:spacing w:after="0" w:line="240" w:lineRule="auto"/>
        <w:ind w:left="1985" w:hanging="709"/>
        <w:contextualSpacing/>
        <w:jc w:val="both"/>
        <w:rPr>
          <w:rFonts w:ascii="Arial" w:eastAsia="Calibri" w:hAnsi="Arial" w:cs="Arial"/>
          <w:lang w:val="es-ES"/>
        </w:rPr>
      </w:pPr>
    </w:p>
    <w:p w:rsidR="0080295E" w:rsidRPr="0080295E" w:rsidRDefault="0080295E" w:rsidP="007F13DC">
      <w:pPr>
        <w:spacing w:after="0" w:line="240" w:lineRule="auto"/>
        <w:ind w:left="1985"/>
        <w:contextualSpacing/>
        <w:jc w:val="both"/>
        <w:rPr>
          <w:rFonts w:ascii="Arial" w:eastAsia="Calibri" w:hAnsi="Arial" w:cs="Arial"/>
          <w:lang w:val="es-ES"/>
        </w:rPr>
      </w:pPr>
      <w:r w:rsidRPr="0080295E">
        <w:rPr>
          <w:rFonts w:ascii="Arial" w:eastAsia="Calibri" w:hAnsi="Arial" w:cs="Arial"/>
          <w:lang w:val="es-ES"/>
        </w:rPr>
        <w:t>Las acciones descritas en los literales e) y f) y en el último párrafo del numeral precedente, referidas a la recuperación extrajudicial del inmueble, pueden efectuarse con anterioridad a la emisión del informe.</w:t>
      </w:r>
    </w:p>
    <w:p w:rsidR="0080295E" w:rsidRPr="0080295E" w:rsidRDefault="0080295E" w:rsidP="0080295E">
      <w:pPr>
        <w:spacing w:after="0" w:line="240" w:lineRule="auto"/>
        <w:contextualSpacing/>
        <w:jc w:val="both"/>
        <w:rPr>
          <w:rFonts w:ascii="Arial" w:eastAsia="Calibri" w:hAnsi="Arial" w:cs="Arial"/>
          <w:lang w:val="es-ES"/>
        </w:rPr>
      </w:pPr>
    </w:p>
    <w:p w:rsidR="0080295E" w:rsidRPr="0080295E" w:rsidRDefault="0080295E" w:rsidP="0092471C">
      <w:pPr>
        <w:numPr>
          <w:ilvl w:val="1"/>
          <w:numId w:val="284"/>
        </w:numPr>
        <w:spacing w:after="0" w:line="240" w:lineRule="auto"/>
        <w:ind w:left="1134" w:hanging="425"/>
        <w:contextualSpacing/>
        <w:jc w:val="both"/>
        <w:rPr>
          <w:rFonts w:ascii="Arial" w:eastAsia="Calibri" w:hAnsi="Arial" w:cs="Arial"/>
          <w:b/>
        </w:rPr>
      </w:pPr>
      <w:r w:rsidRPr="0080295E">
        <w:rPr>
          <w:rFonts w:ascii="Arial" w:eastAsia="Calibri" w:hAnsi="Arial" w:cs="Arial"/>
          <w:b/>
          <w:lang w:val="es-ES"/>
        </w:rPr>
        <w:t xml:space="preserve">ACTUACION </w:t>
      </w:r>
      <w:r w:rsidRPr="0080295E">
        <w:rPr>
          <w:rFonts w:ascii="Arial" w:eastAsia="Calibri" w:hAnsi="Arial" w:cs="Arial"/>
          <w:b/>
        </w:rPr>
        <w:t xml:space="preserve">DE SUPERVISIÓN DE LOS ACTOS EMITIDOS POR LAS ENTIDADES DEL SNBE </w:t>
      </w:r>
    </w:p>
    <w:p w:rsidR="0080295E" w:rsidRPr="0080295E" w:rsidRDefault="0080295E" w:rsidP="0080295E">
      <w:pPr>
        <w:spacing w:after="0" w:line="240" w:lineRule="auto"/>
        <w:contextualSpacing/>
        <w:jc w:val="both"/>
        <w:rPr>
          <w:rFonts w:ascii="Arial" w:eastAsia="Calibri" w:hAnsi="Arial" w:cs="Arial"/>
          <w:b/>
        </w:rPr>
      </w:pPr>
    </w:p>
    <w:p w:rsidR="0080295E" w:rsidRPr="0080295E" w:rsidRDefault="0080295E" w:rsidP="0092471C">
      <w:pPr>
        <w:numPr>
          <w:ilvl w:val="2"/>
          <w:numId w:val="284"/>
        </w:numPr>
        <w:spacing w:after="0" w:line="240" w:lineRule="auto"/>
        <w:ind w:left="1985"/>
        <w:contextualSpacing/>
        <w:jc w:val="both"/>
        <w:rPr>
          <w:rFonts w:ascii="Arial" w:eastAsia="Calibri" w:hAnsi="Arial" w:cs="Arial"/>
          <w:b/>
        </w:rPr>
      </w:pPr>
      <w:r w:rsidRPr="0080295E">
        <w:rPr>
          <w:rFonts w:ascii="Arial" w:eastAsia="Calibri" w:hAnsi="Arial" w:cs="Arial"/>
          <w:b/>
        </w:rPr>
        <w:t>De la identificación del acto</w:t>
      </w:r>
    </w:p>
    <w:p w:rsidR="0080295E" w:rsidRPr="0080295E" w:rsidRDefault="0080295E" w:rsidP="007605EA">
      <w:pPr>
        <w:spacing w:after="0" w:line="240" w:lineRule="auto"/>
        <w:ind w:left="1985"/>
        <w:contextualSpacing/>
        <w:jc w:val="both"/>
        <w:rPr>
          <w:rFonts w:ascii="Arial" w:eastAsia="Calibri" w:hAnsi="Arial" w:cs="Arial"/>
        </w:rPr>
      </w:pPr>
    </w:p>
    <w:p w:rsidR="0080295E" w:rsidRPr="0080295E" w:rsidRDefault="0080295E" w:rsidP="007605EA">
      <w:pPr>
        <w:spacing w:after="0" w:line="240" w:lineRule="auto"/>
        <w:ind w:left="1985"/>
        <w:contextualSpacing/>
        <w:jc w:val="both"/>
        <w:rPr>
          <w:rFonts w:ascii="Arial" w:eastAsia="Calibri" w:hAnsi="Arial" w:cs="Arial"/>
        </w:rPr>
      </w:pPr>
      <w:r w:rsidRPr="0080295E">
        <w:rPr>
          <w:rFonts w:ascii="Arial" w:eastAsia="Calibri" w:hAnsi="Arial" w:cs="Arial"/>
          <w:bCs/>
          <w:lang w:val="es-ES"/>
        </w:rPr>
        <w:t>Para</w:t>
      </w:r>
      <w:r w:rsidRPr="0080295E">
        <w:rPr>
          <w:rFonts w:ascii="Arial" w:eastAsia="Calibri" w:hAnsi="Arial" w:cs="Arial"/>
          <w:lang w:val="es-ES"/>
        </w:rPr>
        <w:t xml:space="preserve"> la </w:t>
      </w:r>
      <w:r w:rsidRPr="0080295E">
        <w:rPr>
          <w:rFonts w:ascii="Arial" w:eastAsia="Calibri" w:hAnsi="Arial" w:cs="Arial"/>
        </w:rPr>
        <w:t>identificación</w:t>
      </w:r>
      <w:r w:rsidRPr="0080295E">
        <w:rPr>
          <w:rFonts w:ascii="Arial" w:eastAsia="Calibri" w:hAnsi="Arial" w:cs="Arial"/>
          <w:lang w:val="es-ES"/>
        </w:rPr>
        <w:t xml:space="preserve"> del acto materia de supervisión se toma en consideración </w:t>
      </w:r>
      <w:r w:rsidRPr="0080295E">
        <w:rPr>
          <w:rFonts w:ascii="Arial" w:eastAsia="Calibri" w:hAnsi="Arial" w:cs="Arial"/>
        </w:rPr>
        <w:t>la fecha de vencimiento del plazo establecido para el cumplimiento de la finalidad u obligación, según corresponda, u otro criterio que se establezca en el Plan de Supervisión.</w:t>
      </w:r>
    </w:p>
    <w:p w:rsidR="0080295E" w:rsidRPr="0080295E" w:rsidRDefault="0080295E" w:rsidP="007605EA">
      <w:pPr>
        <w:spacing w:after="0" w:line="240" w:lineRule="auto"/>
        <w:ind w:left="1985"/>
        <w:contextualSpacing/>
        <w:jc w:val="both"/>
        <w:rPr>
          <w:rFonts w:ascii="Arial" w:eastAsia="Calibri" w:hAnsi="Arial" w:cs="Arial"/>
        </w:rPr>
      </w:pPr>
    </w:p>
    <w:p w:rsidR="0080295E" w:rsidRPr="0080295E" w:rsidRDefault="0080295E" w:rsidP="0092471C">
      <w:pPr>
        <w:numPr>
          <w:ilvl w:val="2"/>
          <w:numId w:val="284"/>
        </w:numPr>
        <w:spacing w:after="0" w:line="240" w:lineRule="auto"/>
        <w:ind w:left="1985"/>
        <w:contextualSpacing/>
        <w:jc w:val="both"/>
        <w:rPr>
          <w:rFonts w:ascii="Arial" w:eastAsia="Calibri" w:hAnsi="Arial" w:cs="Arial"/>
          <w:b/>
          <w:lang w:val="es-ES"/>
        </w:rPr>
      </w:pPr>
      <w:r w:rsidRPr="0080295E">
        <w:rPr>
          <w:rFonts w:ascii="Arial" w:eastAsia="Calibri" w:hAnsi="Arial" w:cs="Arial"/>
          <w:b/>
          <w:lang w:val="es-ES"/>
        </w:rPr>
        <w:t>Del encauzamiento de la denuncia</w:t>
      </w:r>
    </w:p>
    <w:p w:rsidR="0080295E" w:rsidRPr="0080295E" w:rsidRDefault="0080295E" w:rsidP="007605EA">
      <w:pPr>
        <w:spacing w:after="0" w:line="240" w:lineRule="auto"/>
        <w:ind w:left="1985"/>
        <w:contextualSpacing/>
        <w:jc w:val="both"/>
        <w:rPr>
          <w:rFonts w:ascii="Arial" w:eastAsia="Calibri" w:hAnsi="Arial" w:cs="Arial"/>
          <w:lang w:val="es-ES"/>
        </w:rPr>
      </w:pPr>
    </w:p>
    <w:p w:rsidR="0080295E" w:rsidRPr="0080295E" w:rsidRDefault="0080295E" w:rsidP="007605EA">
      <w:pPr>
        <w:spacing w:after="0" w:line="240" w:lineRule="auto"/>
        <w:ind w:left="1985"/>
        <w:contextualSpacing/>
        <w:jc w:val="both"/>
        <w:rPr>
          <w:rFonts w:ascii="Arial" w:eastAsia="Calibri" w:hAnsi="Arial" w:cs="Arial"/>
          <w:lang w:val="es-ES"/>
        </w:rPr>
      </w:pPr>
      <w:r w:rsidRPr="0080295E">
        <w:rPr>
          <w:rFonts w:ascii="Arial" w:eastAsia="Calibri" w:hAnsi="Arial" w:cs="Arial"/>
          <w:lang w:val="es-ES"/>
        </w:rPr>
        <w:t xml:space="preserve">En caso </w:t>
      </w:r>
      <w:r w:rsidRPr="0080295E">
        <w:rPr>
          <w:rFonts w:ascii="Arial" w:eastAsia="Calibri" w:hAnsi="Arial" w:cs="Arial"/>
        </w:rPr>
        <w:t>de</w:t>
      </w:r>
      <w:r w:rsidRPr="0080295E">
        <w:rPr>
          <w:rFonts w:ascii="Arial" w:eastAsia="Calibri" w:hAnsi="Arial" w:cs="Arial"/>
          <w:lang w:val="es-ES"/>
        </w:rPr>
        <w:t xml:space="preserve"> denuncia se procede a su </w:t>
      </w:r>
      <w:r w:rsidRPr="0080295E">
        <w:rPr>
          <w:rFonts w:ascii="Arial" w:eastAsia="Calibri" w:hAnsi="Arial" w:cs="Arial"/>
        </w:rPr>
        <w:t xml:space="preserve">evaluación, </w:t>
      </w:r>
      <w:r w:rsidRPr="0080295E">
        <w:rPr>
          <w:rFonts w:ascii="Arial" w:eastAsia="Calibri" w:hAnsi="Arial" w:cs="Arial"/>
          <w:lang w:val="es-ES"/>
        </w:rPr>
        <w:t xml:space="preserve">verificando que cumpla con los requisitos indicados en el numeral 5.5 y si comporta indicios de incumplimiento de la finalidad u obligación originada en un acto o contrato otorgado por una entidad del SNBE. </w:t>
      </w:r>
    </w:p>
    <w:p w:rsidR="0080295E" w:rsidRPr="0080295E" w:rsidRDefault="0080295E" w:rsidP="007605EA">
      <w:pPr>
        <w:spacing w:after="0" w:line="240" w:lineRule="auto"/>
        <w:ind w:left="1985"/>
        <w:contextualSpacing/>
        <w:jc w:val="both"/>
        <w:rPr>
          <w:rFonts w:ascii="Arial" w:eastAsia="Calibri" w:hAnsi="Arial" w:cs="Arial"/>
          <w:lang w:val="es-ES"/>
        </w:rPr>
      </w:pPr>
    </w:p>
    <w:p w:rsidR="0080295E" w:rsidRPr="0080295E" w:rsidRDefault="0080295E" w:rsidP="007605EA">
      <w:pPr>
        <w:spacing w:after="0" w:line="240" w:lineRule="auto"/>
        <w:ind w:left="1985"/>
        <w:contextualSpacing/>
        <w:jc w:val="both"/>
        <w:rPr>
          <w:rFonts w:ascii="Arial" w:eastAsia="Calibri" w:hAnsi="Arial" w:cs="Arial"/>
          <w:lang w:val="es-ES"/>
        </w:rPr>
      </w:pPr>
      <w:r w:rsidRPr="0080295E">
        <w:rPr>
          <w:rFonts w:ascii="Arial" w:eastAsia="Calibri" w:hAnsi="Arial" w:cs="Arial"/>
          <w:lang w:val="es-ES"/>
        </w:rPr>
        <w:t>En caso que la denuncia acredite verosimilitud respecto a los hechos denunciados, será tramitada de oficio, programándose su atención según el Plan de Supervisión.</w:t>
      </w:r>
    </w:p>
    <w:p w:rsidR="0080295E" w:rsidRPr="0080295E" w:rsidRDefault="0080295E" w:rsidP="007605EA">
      <w:pPr>
        <w:spacing w:after="0" w:line="240" w:lineRule="auto"/>
        <w:ind w:left="1985"/>
        <w:contextualSpacing/>
        <w:jc w:val="both"/>
        <w:rPr>
          <w:rFonts w:ascii="Arial" w:eastAsia="Calibri" w:hAnsi="Arial" w:cs="Arial"/>
          <w:lang w:val="es-ES"/>
        </w:rPr>
      </w:pPr>
    </w:p>
    <w:p w:rsidR="0080295E" w:rsidRPr="0080295E" w:rsidRDefault="0080295E" w:rsidP="0092471C">
      <w:pPr>
        <w:numPr>
          <w:ilvl w:val="2"/>
          <w:numId w:val="284"/>
        </w:numPr>
        <w:spacing w:after="0" w:line="240" w:lineRule="auto"/>
        <w:ind w:left="1985"/>
        <w:contextualSpacing/>
        <w:jc w:val="both"/>
        <w:rPr>
          <w:rFonts w:ascii="Arial" w:eastAsia="Calibri" w:hAnsi="Arial" w:cs="Arial"/>
          <w:b/>
          <w:lang w:val="es-ES"/>
        </w:rPr>
      </w:pPr>
      <w:r w:rsidRPr="0080295E">
        <w:rPr>
          <w:rFonts w:ascii="Arial" w:eastAsia="Calibri" w:hAnsi="Arial" w:cs="Arial"/>
          <w:b/>
          <w:lang w:val="es-ES"/>
        </w:rPr>
        <w:t>De la respuesta al denunciante</w:t>
      </w:r>
    </w:p>
    <w:p w:rsidR="0080295E" w:rsidRPr="0080295E" w:rsidRDefault="0080295E" w:rsidP="007605EA">
      <w:pPr>
        <w:spacing w:after="0" w:line="240" w:lineRule="auto"/>
        <w:ind w:left="1985"/>
        <w:contextualSpacing/>
        <w:jc w:val="both"/>
        <w:rPr>
          <w:rFonts w:ascii="Arial" w:eastAsia="Calibri" w:hAnsi="Arial" w:cs="Arial"/>
          <w:lang w:val="es-ES"/>
        </w:rPr>
      </w:pPr>
    </w:p>
    <w:p w:rsidR="0080295E" w:rsidRPr="0080295E" w:rsidRDefault="0080295E" w:rsidP="007605EA">
      <w:pPr>
        <w:spacing w:after="0" w:line="240" w:lineRule="auto"/>
        <w:ind w:left="1985"/>
        <w:contextualSpacing/>
        <w:jc w:val="both"/>
        <w:rPr>
          <w:rFonts w:ascii="Arial" w:eastAsia="Calibri" w:hAnsi="Arial" w:cs="Arial"/>
          <w:lang w:val="es-ES"/>
        </w:rPr>
      </w:pPr>
      <w:r w:rsidRPr="0080295E">
        <w:rPr>
          <w:rFonts w:ascii="Arial" w:eastAsia="Calibri" w:hAnsi="Arial" w:cs="Arial"/>
          <w:lang w:val="es-ES"/>
        </w:rPr>
        <w:t>En un plazo no mayor de veinte (20) días de presentada la denuncia, se da respuesta al denunciante, mediante oficio, comunicando lo indicado en el numeral precedente.</w:t>
      </w:r>
    </w:p>
    <w:p w:rsidR="0080295E" w:rsidRPr="0080295E" w:rsidRDefault="0080295E" w:rsidP="007605EA">
      <w:pPr>
        <w:spacing w:after="0" w:line="240" w:lineRule="auto"/>
        <w:ind w:left="1985"/>
        <w:contextualSpacing/>
        <w:jc w:val="both"/>
        <w:rPr>
          <w:rFonts w:ascii="Arial" w:eastAsia="Calibri" w:hAnsi="Arial" w:cs="Arial"/>
          <w:lang w:val="es-ES"/>
        </w:rPr>
      </w:pPr>
    </w:p>
    <w:p w:rsidR="0080295E" w:rsidRPr="0080295E" w:rsidRDefault="0080295E" w:rsidP="007605EA">
      <w:pPr>
        <w:spacing w:after="0" w:line="240" w:lineRule="auto"/>
        <w:ind w:left="1985"/>
        <w:contextualSpacing/>
        <w:jc w:val="both"/>
        <w:rPr>
          <w:rFonts w:ascii="Arial" w:eastAsia="Calibri" w:hAnsi="Arial" w:cs="Arial"/>
          <w:lang w:val="es-ES"/>
        </w:rPr>
      </w:pPr>
      <w:r w:rsidRPr="0080295E">
        <w:rPr>
          <w:rFonts w:ascii="Arial" w:eastAsia="Calibri" w:hAnsi="Arial" w:cs="Arial"/>
          <w:lang w:val="es-ES"/>
        </w:rPr>
        <w:t xml:space="preserve">En caso que de la información proporcionada por el denunciante y con la que cuente la SBN, no sea posible identificar al acto, se solicita a éste, en el oficio de respuesta, que efectúe las precisiones respectivas.  </w:t>
      </w:r>
    </w:p>
    <w:p w:rsidR="0080295E" w:rsidRPr="0080295E" w:rsidRDefault="0080295E" w:rsidP="007605EA">
      <w:pPr>
        <w:spacing w:after="0" w:line="240" w:lineRule="auto"/>
        <w:ind w:left="1985"/>
        <w:contextualSpacing/>
        <w:jc w:val="both"/>
        <w:rPr>
          <w:rFonts w:ascii="Arial" w:eastAsia="Calibri" w:hAnsi="Arial" w:cs="Arial"/>
          <w:lang w:val="es-ES"/>
        </w:rPr>
      </w:pPr>
    </w:p>
    <w:p w:rsidR="0080295E" w:rsidRPr="0080295E" w:rsidRDefault="0080295E" w:rsidP="0092471C">
      <w:pPr>
        <w:numPr>
          <w:ilvl w:val="2"/>
          <w:numId w:val="284"/>
        </w:numPr>
        <w:spacing w:after="0" w:line="240" w:lineRule="auto"/>
        <w:ind w:left="1985"/>
        <w:contextualSpacing/>
        <w:jc w:val="both"/>
        <w:rPr>
          <w:rFonts w:ascii="Arial" w:eastAsia="Calibri" w:hAnsi="Arial" w:cs="Arial"/>
        </w:rPr>
      </w:pPr>
      <w:r w:rsidRPr="0080295E">
        <w:rPr>
          <w:rFonts w:ascii="Arial" w:eastAsia="Calibri" w:hAnsi="Arial" w:cs="Arial"/>
          <w:b/>
        </w:rPr>
        <w:t>De la investigación técnico – legal</w:t>
      </w:r>
      <w:r w:rsidRPr="0080295E">
        <w:rPr>
          <w:rFonts w:ascii="Arial" w:eastAsia="Calibri" w:hAnsi="Arial" w:cs="Arial"/>
        </w:rPr>
        <w:t xml:space="preserve"> </w:t>
      </w:r>
    </w:p>
    <w:p w:rsidR="0080295E" w:rsidRPr="0080295E" w:rsidRDefault="0080295E" w:rsidP="007605EA">
      <w:pPr>
        <w:spacing w:after="0" w:line="240" w:lineRule="auto"/>
        <w:ind w:left="1985"/>
        <w:contextualSpacing/>
        <w:jc w:val="both"/>
        <w:rPr>
          <w:rFonts w:ascii="Arial" w:eastAsia="Calibri" w:hAnsi="Arial" w:cs="Arial"/>
        </w:rPr>
      </w:pPr>
    </w:p>
    <w:p w:rsidR="0080295E" w:rsidRPr="0080295E" w:rsidRDefault="0080295E" w:rsidP="007605EA">
      <w:pPr>
        <w:spacing w:after="0" w:line="240" w:lineRule="auto"/>
        <w:ind w:left="1985"/>
        <w:contextualSpacing/>
        <w:jc w:val="both"/>
        <w:rPr>
          <w:rFonts w:ascii="Arial" w:eastAsia="Calibri" w:hAnsi="Arial" w:cs="Arial"/>
          <w:bCs/>
          <w:lang w:val="es-ES"/>
        </w:rPr>
      </w:pPr>
      <w:r w:rsidRPr="0080295E">
        <w:rPr>
          <w:rFonts w:ascii="Arial" w:eastAsia="Calibri" w:hAnsi="Arial" w:cs="Arial"/>
          <w:lang w:val="es-ES"/>
        </w:rPr>
        <w:t>Luego</w:t>
      </w:r>
      <w:r w:rsidRPr="0080295E">
        <w:rPr>
          <w:rFonts w:ascii="Arial" w:eastAsia="Calibri" w:hAnsi="Arial" w:cs="Arial"/>
          <w:bCs/>
          <w:lang w:val="es-ES"/>
        </w:rPr>
        <w:t xml:space="preserve"> de </w:t>
      </w:r>
      <w:r w:rsidRPr="0080295E">
        <w:rPr>
          <w:rFonts w:ascii="Arial" w:eastAsia="Calibri" w:hAnsi="Arial" w:cs="Arial"/>
        </w:rPr>
        <w:t>identificado plenamente el acto materia de supervisión, la brigada</w:t>
      </w:r>
      <w:r w:rsidRPr="0080295E">
        <w:rPr>
          <w:rFonts w:ascii="Arial" w:eastAsia="Calibri" w:hAnsi="Arial" w:cs="Arial"/>
          <w:bCs/>
          <w:lang w:val="es-ES"/>
        </w:rPr>
        <w:t xml:space="preserve"> encargada efectúa una investigación en gabinete, con la finalidad de:</w:t>
      </w:r>
    </w:p>
    <w:p w:rsidR="0080295E" w:rsidRPr="0080295E" w:rsidRDefault="0080295E" w:rsidP="007605EA">
      <w:pPr>
        <w:spacing w:after="0" w:line="240" w:lineRule="auto"/>
        <w:ind w:left="1985"/>
        <w:contextualSpacing/>
        <w:jc w:val="both"/>
        <w:rPr>
          <w:rFonts w:ascii="Arial" w:eastAsia="Calibri" w:hAnsi="Arial" w:cs="Arial"/>
          <w:bCs/>
          <w:lang w:val="es-ES"/>
        </w:rPr>
      </w:pPr>
    </w:p>
    <w:p w:rsidR="0080295E" w:rsidRPr="0080295E" w:rsidRDefault="0080295E" w:rsidP="0092471C">
      <w:pPr>
        <w:numPr>
          <w:ilvl w:val="0"/>
          <w:numId w:val="290"/>
        </w:numPr>
        <w:spacing w:after="0" w:line="240" w:lineRule="auto"/>
        <w:ind w:left="2410"/>
        <w:contextualSpacing/>
        <w:jc w:val="both"/>
        <w:rPr>
          <w:rFonts w:ascii="Arial" w:eastAsia="Calibri" w:hAnsi="Arial" w:cs="Arial"/>
          <w:bCs/>
          <w:lang w:val="es-ES"/>
        </w:rPr>
      </w:pPr>
      <w:r w:rsidRPr="0080295E">
        <w:rPr>
          <w:rFonts w:ascii="Arial" w:eastAsia="Calibri" w:hAnsi="Arial" w:cs="Arial"/>
          <w:bCs/>
          <w:lang w:val="es-ES"/>
        </w:rPr>
        <w:t>Obtener información y documentación referida al acto materia de supervisión.</w:t>
      </w:r>
    </w:p>
    <w:p w:rsidR="0080295E" w:rsidRPr="0080295E" w:rsidRDefault="0080295E" w:rsidP="0092471C">
      <w:pPr>
        <w:numPr>
          <w:ilvl w:val="0"/>
          <w:numId w:val="290"/>
        </w:numPr>
        <w:spacing w:after="0" w:line="240" w:lineRule="auto"/>
        <w:ind w:left="2410"/>
        <w:contextualSpacing/>
        <w:jc w:val="both"/>
        <w:rPr>
          <w:rFonts w:ascii="Arial" w:eastAsia="Calibri" w:hAnsi="Arial" w:cs="Arial"/>
          <w:bCs/>
          <w:lang w:val="es-ES"/>
        </w:rPr>
      </w:pPr>
      <w:r w:rsidRPr="0080295E">
        <w:rPr>
          <w:rFonts w:ascii="Arial" w:eastAsia="Calibri" w:hAnsi="Arial" w:cs="Arial"/>
          <w:bCs/>
          <w:lang w:val="es-ES"/>
        </w:rPr>
        <w:t>Verificar la existencia de algún proceso judicial en trámite que obligue a la suspensión o conclusión de la supervisión.</w:t>
      </w:r>
    </w:p>
    <w:p w:rsidR="0080295E" w:rsidRPr="0080295E" w:rsidRDefault="0080295E" w:rsidP="0092471C">
      <w:pPr>
        <w:numPr>
          <w:ilvl w:val="0"/>
          <w:numId w:val="290"/>
        </w:numPr>
        <w:spacing w:after="0" w:line="240" w:lineRule="auto"/>
        <w:ind w:left="2410"/>
        <w:contextualSpacing/>
        <w:jc w:val="both"/>
        <w:rPr>
          <w:rFonts w:ascii="Arial" w:eastAsia="Calibri" w:hAnsi="Arial" w:cs="Arial"/>
          <w:bCs/>
          <w:lang w:val="es-ES"/>
        </w:rPr>
      </w:pPr>
      <w:r w:rsidRPr="0080295E">
        <w:rPr>
          <w:rFonts w:ascii="Arial" w:eastAsia="Calibri" w:hAnsi="Arial" w:cs="Arial"/>
          <w:bCs/>
          <w:lang w:val="es-ES"/>
        </w:rPr>
        <w:t>Efectuar el análisis de la información y documentación obtenida respecto del acto supervisado.</w:t>
      </w:r>
    </w:p>
    <w:p w:rsidR="0080295E" w:rsidRPr="0080295E" w:rsidRDefault="0080295E" w:rsidP="007605EA">
      <w:pPr>
        <w:spacing w:after="0" w:line="240" w:lineRule="auto"/>
        <w:ind w:left="1985"/>
        <w:contextualSpacing/>
        <w:jc w:val="both"/>
        <w:rPr>
          <w:rFonts w:ascii="Arial" w:eastAsia="Calibri" w:hAnsi="Arial" w:cs="Arial"/>
          <w:bCs/>
          <w:lang w:val="es-ES"/>
        </w:rPr>
      </w:pPr>
    </w:p>
    <w:p w:rsidR="0080295E" w:rsidRPr="0080295E" w:rsidRDefault="0080295E" w:rsidP="007605EA">
      <w:pPr>
        <w:spacing w:after="0" w:line="240" w:lineRule="auto"/>
        <w:ind w:left="1985"/>
        <w:contextualSpacing/>
        <w:jc w:val="both"/>
        <w:rPr>
          <w:rFonts w:ascii="Arial" w:eastAsia="Calibri" w:hAnsi="Arial" w:cs="Arial"/>
          <w:bCs/>
          <w:lang w:val="es-ES"/>
        </w:rPr>
      </w:pPr>
      <w:r w:rsidRPr="0080295E">
        <w:rPr>
          <w:rFonts w:ascii="Arial" w:eastAsia="Calibri" w:hAnsi="Arial" w:cs="Arial"/>
          <w:bCs/>
          <w:lang w:val="es-ES"/>
        </w:rPr>
        <w:t>Para tal efecto, se realizan las siguientes acciones:</w:t>
      </w:r>
    </w:p>
    <w:p w:rsidR="0080295E" w:rsidRPr="0080295E" w:rsidRDefault="0080295E" w:rsidP="007605EA">
      <w:pPr>
        <w:spacing w:after="0" w:line="240" w:lineRule="auto"/>
        <w:ind w:left="1985"/>
        <w:contextualSpacing/>
        <w:jc w:val="both"/>
        <w:rPr>
          <w:rFonts w:ascii="Arial" w:eastAsia="Calibri" w:hAnsi="Arial" w:cs="Arial"/>
        </w:rPr>
      </w:pPr>
    </w:p>
    <w:p w:rsidR="0080295E" w:rsidRPr="0080295E" w:rsidRDefault="0080295E" w:rsidP="0092471C">
      <w:pPr>
        <w:numPr>
          <w:ilvl w:val="0"/>
          <w:numId w:val="293"/>
        </w:numPr>
        <w:spacing w:after="0" w:line="240" w:lineRule="auto"/>
        <w:ind w:left="2410"/>
        <w:contextualSpacing/>
        <w:jc w:val="both"/>
        <w:rPr>
          <w:rFonts w:ascii="Arial" w:eastAsia="Calibri" w:hAnsi="Arial" w:cs="Arial"/>
        </w:rPr>
      </w:pPr>
      <w:r w:rsidRPr="0080295E">
        <w:rPr>
          <w:rFonts w:ascii="Arial" w:eastAsia="Calibri" w:hAnsi="Arial" w:cs="Arial"/>
        </w:rPr>
        <w:t>Se solicita al Archivo Central de la SBN o a la entidad del SNBE, el expediente del procedimiento administrativo que dio mérito al acto materia de supervisión.</w:t>
      </w:r>
    </w:p>
    <w:p w:rsidR="0080295E" w:rsidRPr="0080295E" w:rsidRDefault="0080295E" w:rsidP="0092471C">
      <w:pPr>
        <w:numPr>
          <w:ilvl w:val="0"/>
          <w:numId w:val="293"/>
        </w:numPr>
        <w:spacing w:after="0" w:line="240" w:lineRule="auto"/>
        <w:ind w:left="2410"/>
        <w:contextualSpacing/>
        <w:jc w:val="both"/>
        <w:rPr>
          <w:rFonts w:ascii="Arial" w:eastAsia="Calibri" w:hAnsi="Arial" w:cs="Arial"/>
        </w:rPr>
      </w:pPr>
      <w:r w:rsidRPr="0080295E">
        <w:rPr>
          <w:rFonts w:ascii="Arial" w:eastAsia="Calibri" w:hAnsi="Arial" w:cs="Arial"/>
        </w:rPr>
        <w:t xml:space="preserve">Se revisa el expediente administrativo referido en el literal anterior y se fotocopian los folios que se requieran para anexarse al expediente de supervisión. </w:t>
      </w:r>
    </w:p>
    <w:p w:rsidR="0080295E" w:rsidRPr="0080295E" w:rsidRDefault="0080295E" w:rsidP="0092471C">
      <w:pPr>
        <w:numPr>
          <w:ilvl w:val="0"/>
          <w:numId w:val="293"/>
        </w:numPr>
        <w:spacing w:after="0" w:line="240" w:lineRule="auto"/>
        <w:ind w:left="2410"/>
        <w:contextualSpacing/>
        <w:jc w:val="both"/>
        <w:rPr>
          <w:rFonts w:ascii="Arial" w:eastAsia="Calibri" w:hAnsi="Arial" w:cs="Arial"/>
        </w:rPr>
      </w:pPr>
      <w:r w:rsidRPr="0080295E">
        <w:rPr>
          <w:rFonts w:ascii="Arial" w:eastAsia="Calibri" w:hAnsi="Arial" w:cs="Arial"/>
        </w:rPr>
        <w:t>Se recaba la información del SINABIP y el legajo del inmueble.</w:t>
      </w:r>
    </w:p>
    <w:p w:rsidR="0080295E" w:rsidRPr="0080295E" w:rsidRDefault="0080295E" w:rsidP="0092471C">
      <w:pPr>
        <w:numPr>
          <w:ilvl w:val="0"/>
          <w:numId w:val="293"/>
        </w:numPr>
        <w:spacing w:after="0" w:line="240" w:lineRule="auto"/>
        <w:ind w:left="2410"/>
        <w:contextualSpacing/>
        <w:jc w:val="both"/>
        <w:rPr>
          <w:rFonts w:ascii="Arial" w:eastAsia="Calibri" w:hAnsi="Arial" w:cs="Arial"/>
        </w:rPr>
      </w:pPr>
      <w:r w:rsidRPr="0080295E">
        <w:rPr>
          <w:rFonts w:ascii="Arial" w:eastAsia="Calibri" w:hAnsi="Arial" w:cs="Arial"/>
        </w:rPr>
        <w:t>Se obtiene del RP copia de la partida registral actualizada del inmueble sobre el que recae el acto y de otros que tengan conexión o relación.</w:t>
      </w:r>
    </w:p>
    <w:p w:rsidR="0080295E" w:rsidRPr="0080295E" w:rsidRDefault="0080295E" w:rsidP="0092471C">
      <w:pPr>
        <w:numPr>
          <w:ilvl w:val="0"/>
          <w:numId w:val="293"/>
        </w:numPr>
        <w:spacing w:after="0" w:line="240" w:lineRule="auto"/>
        <w:ind w:left="2410"/>
        <w:contextualSpacing/>
        <w:jc w:val="both"/>
        <w:rPr>
          <w:rFonts w:ascii="Arial" w:eastAsia="Calibri" w:hAnsi="Arial" w:cs="Arial"/>
        </w:rPr>
      </w:pPr>
      <w:r w:rsidRPr="0080295E">
        <w:rPr>
          <w:rFonts w:ascii="Arial" w:eastAsia="Calibri" w:hAnsi="Arial" w:cs="Arial"/>
        </w:rPr>
        <w:t>Se obtiene del RP copia de la partida registral donde consta inscrita la beneficiaria, en caso de persona jurídica.</w:t>
      </w:r>
    </w:p>
    <w:p w:rsidR="0080295E" w:rsidRPr="0080295E" w:rsidRDefault="0080295E" w:rsidP="0092471C">
      <w:pPr>
        <w:numPr>
          <w:ilvl w:val="0"/>
          <w:numId w:val="293"/>
        </w:numPr>
        <w:spacing w:after="0" w:line="240" w:lineRule="auto"/>
        <w:ind w:left="2410"/>
        <w:contextualSpacing/>
        <w:jc w:val="both"/>
        <w:rPr>
          <w:rFonts w:ascii="Arial" w:eastAsia="Calibri" w:hAnsi="Arial" w:cs="Arial"/>
        </w:rPr>
      </w:pPr>
      <w:r w:rsidRPr="0080295E">
        <w:rPr>
          <w:rFonts w:ascii="Arial" w:eastAsia="Calibri" w:hAnsi="Arial" w:cs="Arial"/>
        </w:rPr>
        <w:t>Se consultan el SID, las Bases Gráficas y otras fuentes de información disponibles.</w:t>
      </w:r>
    </w:p>
    <w:p w:rsidR="0080295E" w:rsidRPr="0080295E" w:rsidRDefault="0080295E" w:rsidP="0092471C">
      <w:pPr>
        <w:numPr>
          <w:ilvl w:val="0"/>
          <w:numId w:val="293"/>
        </w:numPr>
        <w:spacing w:after="0" w:line="240" w:lineRule="auto"/>
        <w:ind w:left="2410"/>
        <w:contextualSpacing/>
        <w:jc w:val="both"/>
        <w:rPr>
          <w:rFonts w:ascii="Arial" w:eastAsia="Calibri" w:hAnsi="Arial" w:cs="Arial"/>
        </w:rPr>
      </w:pPr>
      <w:r w:rsidRPr="0080295E">
        <w:rPr>
          <w:rFonts w:ascii="Arial" w:eastAsia="Calibri" w:hAnsi="Arial" w:cs="Arial"/>
        </w:rPr>
        <w:t xml:space="preserve">Se revisa el aplicativo de procesos </w:t>
      </w:r>
      <w:r w:rsidRPr="0080295E">
        <w:rPr>
          <w:rFonts w:ascii="Arial" w:eastAsia="Calibri" w:hAnsi="Arial" w:cs="Arial"/>
          <w:lang w:val="es-ES"/>
        </w:rPr>
        <w:t>judiciales.</w:t>
      </w:r>
    </w:p>
    <w:p w:rsidR="0080295E" w:rsidRPr="0080295E" w:rsidRDefault="0080295E" w:rsidP="007605EA">
      <w:pPr>
        <w:spacing w:after="0" w:line="240" w:lineRule="auto"/>
        <w:ind w:left="1985"/>
        <w:contextualSpacing/>
        <w:jc w:val="both"/>
        <w:rPr>
          <w:rFonts w:ascii="Arial" w:eastAsia="Calibri" w:hAnsi="Arial" w:cs="Arial"/>
        </w:rPr>
      </w:pPr>
    </w:p>
    <w:p w:rsidR="0080295E" w:rsidRPr="0080295E" w:rsidRDefault="0080295E" w:rsidP="0092471C">
      <w:pPr>
        <w:numPr>
          <w:ilvl w:val="2"/>
          <w:numId w:val="284"/>
        </w:numPr>
        <w:spacing w:after="0" w:line="240" w:lineRule="auto"/>
        <w:ind w:left="1985"/>
        <w:contextualSpacing/>
        <w:jc w:val="both"/>
        <w:rPr>
          <w:rFonts w:ascii="Arial" w:eastAsia="Calibri" w:hAnsi="Arial" w:cs="Arial"/>
          <w:b/>
        </w:rPr>
      </w:pPr>
      <w:r w:rsidRPr="0080295E">
        <w:rPr>
          <w:rFonts w:ascii="Arial" w:eastAsia="Calibri" w:hAnsi="Arial" w:cs="Arial"/>
          <w:b/>
          <w:lang w:val="es-ES"/>
        </w:rPr>
        <w:t>De los resultados</w:t>
      </w:r>
      <w:r w:rsidRPr="0080295E">
        <w:rPr>
          <w:rFonts w:ascii="Arial" w:eastAsia="Calibri" w:hAnsi="Arial" w:cs="Arial"/>
          <w:b/>
        </w:rPr>
        <w:t xml:space="preserve"> de la</w:t>
      </w:r>
      <w:r w:rsidRPr="0080295E">
        <w:rPr>
          <w:rFonts w:ascii="Arial" w:eastAsia="Calibri" w:hAnsi="Arial" w:cs="Arial"/>
          <w:b/>
          <w:lang w:val="es-ES"/>
        </w:rPr>
        <w:t xml:space="preserve"> investigación</w:t>
      </w:r>
      <w:r w:rsidRPr="0080295E">
        <w:rPr>
          <w:rFonts w:ascii="Arial" w:eastAsia="Calibri" w:hAnsi="Arial" w:cs="Arial"/>
          <w:b/>
        </w:rPr>
        <w:t xml:space="preserve"> técnico-legal</w:t>
      </w:r>
    </w:p>
    <w:p w:rsidR="0080295E" w:rsidRPr="0080295E" w:rsidRDefault="0080295E" w:rsidP="007605EA">
      <w:pPr>
        <w:spacing w:after="0" w:line="240" w:lineRule="auto"/>
        <w:ind w:left="1985"/>
        <w:contextualSpacing/>
        <w:jc w:val="both"/>
        <w:rPr>
          <w:rFonts w:ascii="Arial" w:eastAsia="Calibri" w:hAnsi="Arial" w:cs="Arial"/>
          <w:b/>
        </w:rPr>
      </w:pPr>
    </w:p>
    <w:p w:rsidR="0080295E" w:rsidRPr="0080295E" w:rsidRDefault="0080295E" w:rsidP="007605EA">
      <w:pPr>
        <w:spacing w:after="0" w:line="240" w:lineRule="auto"/>
        <w:ind w:left="1985"/>
        <w:contextualSpacing/>
        <w:jc w:val="both"/>
        <w:rPr>
          <w:rFonts w:ascii="Arial" w:eastAsia="Calibri" w:hAnsi="Arial" w:cs="Arial"/>
        </w:rPr>
      </w:pPr>
      <w:r w:rsidRPr="0080295E">
        <w:rPr>
          <w:rFonts w:ascii="Arial" w:eastAsia="Calibri" w:hAnsi="Arial" w:cs="Arial"/>
        </w:rPr>
        <w:t xml:space="preserve">La </w:t>
      </w:r>
      <w:r w:rsidRPr="0080295E">
        <w:rPr>
          <w:rFonts w:ascii="Arial" w:eastAsia="Calibri" w:hAnsi="Arial" w:cs="Arial"/>
          <w:lang w:val="es-ES"/>
        </w:rPr>
        <w:t>investigación</w:t>
      </w:r>
      <w:r w:rsidRPr="0080295E">
        <w:rPr>
          <w:rFonts w:ascii="Arial" w:eastAsia="Calibri" w:hAnsi="Arial" w:cs="Arial"/>
        </w:rPr>
        <w:t xml:space="preserve"> técnico-legal da lugar a alguno de los siguientes resultados:</w:t>
      </w:r>
    </w:p>
    <w:p w:rsidR="0080295E" w:rsidRPr="0080295E" w:rsidRDefault="0080295E" w:rsidP="007605EA">
      <w:pPr>
        <w:spacing w:after="0" w:line="240" w:lineRule="auto"/>
        <w:ind w:left="1985"/>
        <w:contextualSpacing/>
        <w:jc w:val="both"/>
        <w:rPr>
          <w:rFonts w:ascii="Arial" w:eastAsia="Calibri" w:hAnsi="Arial" w:cs="Arial"/>
        </w:rPr>
      </w:pPr>
    </w:p>
    <w:p w:rsidR="0080295E" w:rsidRPr="0080295E" w:rsidRDefault="0080295E" w:rsidP="0092471C">
      <w:pPr>
        <w:numPr>
          <w:ilvl w:val="0"/>
          <w:numId w:val="294"/>
        </w:numPr>
        <w:spacing w:after="0" w:line="240" w:lineRule="auto"/>
        <w:ind w:left="2410"/>
        <w:contextualSpacing/>
        <w:jc w:val="both"/>
        <w:rPr>
          <w:rFonts w:ascii="Arial" w:eastAsia="Calibri" w:hAnsi="Arial" w:cs="Arial"/>
        </w:rPr>
      </w:pPr>
      <w:r w:rsidRPr="0080295E">
        <w:rPr>
          <w:rFonts w:ascii="Arial" w:eastAsia="Calibri" w:hAnsi="Arial" w:cs="Arial"/>
        </w:rPr>
        <w:t>Si se verifica que el inmueble es de propiedad privada: se concluye la supervisión.</w:t>
      </w:r>
    </w:p>
    <w:p w:rsidR="0080295E" w:rsidRPr="0080295E" w:rsidRDefault="0080295E" w:rsidP="0092471C">
      <w:pPr>
        <w:numPr>
          <w:ilvl w:val="0"/>
          <w:numId w:val="294"/>
        </w:numPr>
        <w:spacing w:after="0" w:line="240" w:lineRule="auto"/>
        <w:ind w:left="2410"/>
        <w:contextualSpacing/>
        <w:jc w:val="both"/>
        <w:rPr>
          <w:rFonts w:ascii="Arial" w:eastAsia="Calibri" w:hAnsi="Arial" w:cs="Arial"/>
        </w:rPr>
      </w:pPr>
      <w:r w:rsidRPr="0080295E">
        <w:rPr>
          <w:rFonts w:ascii="Arial" w:eastAsia="Calibri" w:hAnsi="Arial" w:cs="Arial"/>
        </w:rPr>
        <w:t>Si se determina que existe en trámite algún proceso judicial que verse sobre la validez o ejecutoriedad del acto, o la propiedad y/o posesión del inmueble sobre el que recae el acto y se considera que se pudiera interferir con la función jurisdiccional: se suspende o concluye la supervisión, en cumplimiento de lo dispuesto por el artículo 4° del TUO de la Ley Orgánica del Poder Judicial, aprobado por DS N° 017-93-JUS.</w:t>
      </w:r>
    </w:p>
    <w:p w:rsidR="0080295E" w:rsidRPr="0080295E" w:rsidRDefault="0080295E" w:rsidP="007605EA">
      <w:pPr>
        <w:spacing w:after="0" w:line="240" w:lineRule="auto"/>
        <w:ind w:left="1985"/>
        <w:contextualSpacing/>
        <w:jc w:val="both"/>
        <w:rPr>
          <w:rFonts w:ascii="Arial" w:eastAsia="Calibri" w:hAnsi="Arial" w:cs="Arial"/>
        </w:rPr>
      </w:pPr>
    </w:p>
    <w:p w:rsidR="0080295E" w:rsidRPr="0080295E" w:rsidRDefault="0080295E" w:rsidP="0092471C">
      <w:pPr>
        <w:numPr>
          <w:ilvl w:val="2"/>
          <w:numId w:val="284"/>
        </w:numPr>
        <w:spacing w:after="0" w:line="240" w:lineRule="auto"/>
        <w:ind w:left="1985"/>
        <w:contextualSpacing/>
        <w:jc w:val="both"/>
        <w:rPr>
          <w:rFonts w:ascii="Arial" w:eastAsia="Calibri" w:hAnsi="Arial" w:cs="Arial"/>
        </w:rPr>
      </w:pPr>
      <w:r w:rsidRPr="0080295E">
        <w:rPr>
          <w:rFonts w:ascii="Arial" w:eastAsia="Calibri" w:hAnsi="Arial" w:cs="Arial"/>
          <w:b/>
        </w:rPr>
        <w:t xml:space="preserve">De la apertura del expediente </w:t>
      </w:r>
    </w:p>
    <w:p w:rsidR="0080295E" w:rsidRPr="0080295E" w:rsidRDefault="0080295E" w:rsidP="007605EA">
      <w:pPr>
        <w:spacing w:after="0" w:line="240" w:lineRule="auto"/>
        <w:ind w:left="1985"/>
        <w:contextualSpacing/>
        <w:jc w:val="both"/>
        <w:rPr>
          <w:rFonts w:ascii="Arial" w:eastAsia="Calibri" w:hAnsi="Arial" w:cs="Arial"/>
        </w:rPr>
      </w:pPr>
    </w:p>
    <w:p w:rsidR="0080295E" w:rsidRPr="0080295E" w:rsidRDefault="0080295E" w:rsidP="007605EA">
      <w:pPr>
        <w:spacing w:after="0" w:line="240" w:lineRule="auto"/>
        <w:ind w:left="1985"/>
        <w:contextualSpacing/>
        <w:jc w:val="both"/>
        <w:rPr>
          <w:rFonts w:ascii="Arial" w:eastAsia="Calibri" w:hAnsi="Arial" w:cs="Arial"/>
        </w:rPr>
      </w:pPr>
      <w:r w:rsidRPr="0080295E">
        <w:rPr>
          <w:rFonts w:ascii="Arial" w:eastAsia="Calibri" w:hAnsi="Arial" w:cs="Arial"/>
        </w:rPr>
        <w:t>Luego que se haya efectuado la investigación técnico legal, la brigada</w:t>
      </w:r>
      <w:r w:rsidRPr="0080295E">
        <w:rPr>
          <w:rFonts w:ascii="Arial" w:eastAsia="Calibri" w:hAnsi="Arial" w:cs="Arial"/>
          <w:bCs/>
          <w:lang w:val="es-ES"/>
        </w:rPr>
        <w:t xml:space="preserve"> encargada </w:t>
      </w:r>
      <w:r w:rsidRPr="0080295E">
        <w:rPr>
          <w:rFonts w:ascii="Arial" w:eastAsia="Calibri" w:hAnsi="Arial" w:cs="Arial"/>
        </w:rPr>
        <w:t>genera el respectivo expediente administrativo, asignándole un número correlativo y anexando la documentación obtenida, la cual debe estar ordenada en forma cronológica y foliada.</w:t>
      </w:r>
    </w:p>
    <w:p w:rsidR="0080295E" w:rsidRPr="0080295E" w:rsidRDefault="0080295E" w:rsidP="007605EA">
      <w:pPr>
        <w:spacing w:after="0" w:line="240" w:lineRule="auto"/>
        <w:ind w:left="1985"/>
        <w:contextualSpacing/>
        <w:jc w:val="both"/>
        <w:rPr>
          <w:rFonts w:ascii="Arial" w:eastAsia="Calibri" w:hAnsi="Arial" w:cs="Arial"/>
        </w:rPr>
      </w:pPr>
    </w:p>
    <w:p w:rsidR="0080295E" w:rsidRPr="0080295E" w:rsidRDefault="0080295E" w:rsidP="007605EA">
      <w:pPr>
        <w:spacing w:after="0" w:line="240" w:lineRule="auto"/>
        <w:ind w:left="1985"/>
        <w:contextualSpacing/>
        <w:jc w:val="both"/>
        <w:rPr>
          <w:rFonts w:ascii="Arial" w:eastAsia="Calibri" w:hAnsi="Arial" w:cs="Arial"/>
        </w:rPr>
      </w:pPr>
      <w:r w:rsidRPr="0080295E">
        <w:rPr>
          <w:rFonts w:ascii="Arial" w:eastAsia="Calibri" w:hAnsi="Arial" w:cs="Arial"/>
        </w:rPr>
        <w:t>El expediente contiene, por lo menos y según corresponda, la siguiente documentación:</w:t>
      </w:r>
    </w:p>
    <w:p w:rsidR="0080295E" w:rsidRPr="0080295E" w:rsidRDefault="0080295E" w:rsidP="007605EA">
      <w:pPr>
        <w:spacing w:after="0" w:line="240" w:lineRule="auto"/>
        <w:ind w:left="1985"/>
        <w:contextualSpacing/>
        <w:jc w:val="both"/>
        <w:rPr>
          <w:rFonts w:ascii="Arial" w:eastAsia="Calibri" w:hAnsi="Arial" w:cs="Arial"/>
        </w:rPr>
      </w:pPr>
    </w:p>
    <w:p w:rsidR="0080295E" w:rsidRPr="0080295E" w:rsidRDefault="0080295E" w:rsidP="0092471C">
      <w:pPr>
        <w:numPr>
          <w:ilvl w:val="0"/>
          <w:numId w:val="304"/>
        </w:numPr>
        <w:spacing w:after="0" w:line="240" w:lineRule="auto"/>
        <w:ind w:left="2410"/>
        <w:contextualSpacing/>
        <w:jc w:val="both"/>
        <w:rPr>
          <w:rFonts w:ascii="Arial" w:eastAsia="Calibri" w:hAnsi="Arial" w:cs="Arial"/>
        </w:rPr>
      </w:pPr>
      <w:r w:rsidRPr="0080295E">
        <w:rPr>
          <w:rFonts w:ascii="Arial" w:eastAsia="Calibri" w:hAnsi="Arial" w:cs="Arial"/>
        </w:rPr>
        <w:t>Copia informativa de la partida registral del inmueble</w:t>
      </w:r>
    </w:p>
    <w:p w:rsidR="0080295E" w:rsidRPr="0080295E" w:rsidRDefault="0080295E" w:rsidP="0092471C">
      <w:pPr>
        <w:numPr>
          <w:ilvl w:val="0"/>
          <w:numId w:val="304"/>
        </w:numPr>
        <w:spacing w:after="0" w:line="240" w:lineRule="auto"/>
        <w:ind w:left="2410"/>
        <w:contextualSpacing/>
        <w:jc w:val="both"/>
        <w:rPr>
          <w:rFonts w:ascii="Arial" w:eastAsia="Calibri" w:hAnsi="Arial" w:cs="Arial"/>
        </w:rPr>
      </w:pPr>
      <w:r w:rsidRPr="0080295E">
        <w:rPr>
          <w:rFonts w:ascii="Arial" w:eastAsia="Calibri" w:hAnsi="Arial" w:cs="Arial"/>
        </w:rPr>
        <w:t>Ficha técnica de inspección</w:t>
      </w:r>
    </w:p>
    <w:p w:rsidR="0080295E" w:rsidRPr="0080295E" w:rsidRDefault="0080295E" w:rsidP="0092471C">
      <w:pPr>
        <w:numPr>
          <w:ilvl w:val="0"/>
          <w:numId w:val="304"/>
        </w:numPr>
        <w:spacing w:after="0" w:line="240" w:lineRule="auto"/>
        <w:ind w:left="2410"/>
        <w:contextualSpacing/>
        <w:jc w:val="both"/>
        <w:rPr>
          <w:rFonts w:ascii="Arial" w:eastAsia="Calibri" w:hAnsi="Arial" w:cs="Arial"/>
        </w:rPr>
      </w:pPr>
      <w:r w:rsidRPr="0080295E">
        <w:rPr>
          <w:rFonts w:ascii="Arial" w:eastAsia="Calibri" w:hAnsi="Arial" w:cs="Arial"/>
        </w:rPr>
        <w:t>Panel fotográfico</w:t>
      </w:r>
    </w:p>
    <w:p w:rsidR="0080295E" w:rsidRPr="0080295E" w:rsidRDefault="0080295E" w:rsidP="0092471C">
      <w:pPr>
        <w:numPr>
          <w:ilvl w:val="0"/>
          <w:numId w:val="304"/>
        </w:numPr>
        <w:spacing w:after="0" w:line="240" w:lineRule="auto"/>
        <w:ind w:left="2410"/>
        <w:contextualSpacing/>
        <w:jc w:val="both"/>
        <w:rPr>
          <w:rFonts w:ascii="Arial" w:eastAsia="Calibri" w:hAnsi="Arial" w:cs="Arial"/>
        </w:rPr>
      </w:pPr>
      <w:r w:rsidRPr="0080295E">
        <w:rPr>
          <w:rFonts w:ascii="Arial" w:eastAsia="Calibri" w:hAnsi="Arial" w:cs="Arial"/>
        </w:rPr>
        <w:t>Plano de diagnóstico, según sea el caso.</w:t>
      </w:r>
    </w:p>
    <w:p w:rsidR="0080295E" w:rsidRPr="0080295E" w:rsidRDefault="0080295E" w:rsidP="0092471C">
      <w:pPr>
        <w:numPr>
          <w:ilvl w:val="0"/>
          <w:numId w:val="304"/>
        </w:numPr>
        <w:spacing w:after="0" w:line="240" w:lineRule="auto"/>
        <w:ind w:left="2410"/>
        <w:contextualSpacing/>
        <w:jc w:val="both"/>
        <w:rPr>
          <w:rFonts w:ascii="Arial" w:eastAsia="Calibri" w:hAnsi="Arial" w:cs="Arial"/>
        </w:rPr>
      </w:pPr>
      <w:r w:rsidRPr="0080295E">
        <w:rPr>
          <w:rFonts w:ascii="Arial" w:eastAsia="Calibri" w:hAnsi="Arial" w:cs="Arial"/>
        </w:rPr>
        <w:t>Oficios de notificación al beneficiario y/o poseedor</w:t>
      </w:r>
    </w:p>
    <w:p w:rsidR="0080295E" w:rsidRPr="0080295E" w:rsidRDefault="0080295E" w:rsidP="0092471C">
      <w:pPr>
        <w:numPr>
          <w:ilvl w:val="0"/>
          <w:numId w:val="304"/>
        </w:numPr>
        <w:spacing w:after="0" w:line="240" w:lineRule="auto"/>
        <w:ind w:left="2410"/>
        <w:contextualSpacing/>
        <w:jc w:val="both"/>
        <w:rPr>
          <w:rFonts w:ascii="Arial" w:eastAsia="Calibri" w:hAnsi="Arial" w:cs="Arial"/>
        </w:rPr>
      </w:pPr>
      <w:r w:rsidRPr="0080295E">
        <w:rPr>
          <w:rFonts w:ascii="Arial" w:eastAsia="Calibri" w:hAnsi="Arial" w:cs="Arial"/>
        </w:rPr>
        <w:t>Documentación presentada por el beneficiario y/o poseedor</w:t>
      </w:r>
    </w:p>
    <w:p w:rsidR="0080295E" w:rsidRPr="0080295E" w:rsidRDefault="0080295E" w:rsidP="0092471C">
      <w:pPr>
        <w:numPr>
          <w:ilvl w:val="0"/>
          <w:numId w:val="304"/>
        </w:numPr>
        <w:spacing w:after="0" w:line="240" w:lineRule="auto"/>
        <w:ind w:left="2410"/>
        <w:contextualSpacing/>
        <w:jc w:val="both"/>
        <w:rPr>
          <w:rFonts w:ascii="Arial" w:eastAsia="Calibri" w:hAnsi="Arial" w:cs="Arial"/>
        </w:rPr>
      </w:pPr>
      <w:r w:rsidRPr="0080295E">
        <w:rPr>
          <w:rFonts w:ascii="Arial" w:eastAsia="Calibri" w:hAnsi="Arial" w:cs="Arial"/>
        </w:rPr>
        <w:t>Informe de supervisión</w:t>
      </w:r>
    </w:p>
    <w:p w:rsidR="0080295E" w:rsidRPr="0080295E" w:rsidRDefault="0080295E" w:rsidP="0092471C">
      <w:pPr>
        <w:numPr>
          <w:ilvl w:val="0"/>
          <w:numId w:val="304"/>
        </w:numPr>
        <w:spacing w:after="0" w:line="240" w:lineRule="auto"/>
        <w:ind w:left="2410"/>
        <w:contextualSpacing/>
        <w:jc w:val="both"/>
        <w:rPr>
          <w:rFonts w:ascii="Arial" w:eastAsia="Calibri" w:hAnsi="Arial" w:cs="Arial"/>
        </w:rPr>
      </w:pPr>
      <w:r w:rsidRPr="0080295E">
        <w:rPr>
          <w:rFonts w:ascii="Arial" w:eastAsia="Calibri" w:hAnsi="Arial" w:cs="Arial"/>
        </w:rPr>
        <w:t>Oficios dirigidos a entidades</w:t>
      </w:r>
    </w:p>
    <w:p w:rsidR="0080295E" w:rsidRPr="0080295E" w:rsidRDefault="0080295E" w:rsidP="0092471C">
      <w:pPr>
        <w:numPr>
          <w:ilvl w:val="0"/>
          <w:numId w:val="304"/>
        </w:numPr>
        <w:spacing w:after="0" w:line="240" w:lineRule="auto"/>
        <w:ind w:left="2410"/>
        <w:contextualSpacing/>
        <w:jc w:val="both"/>
        <w:rPr>
          <w:rFonts w:ascii="Arial" w:eastAsia="Calibri" w:hAnsi="Arial" w:cs="Arial"/>
        </w:rPr>
      </w:pPr>
      <w:r w:rsidRPr="0080295E">
        <w:rPr>
          <w:rFonts w:ascii="Arial" w:eastAsia="Calibri" w:hAnsi="Arial" w:cs="Arial"/>
        </w:rPr>
        <w:t>Memorandos u otros documentos dirigidos a las unidades orgánicas</w:t>
      </w:r>
    </w:p>
    <w:p w:rsidR="0080295E" w:rsidRPr="0080295E" w:rsidRDefault="0080295E" w:rsidP="007605EA">
      <w:pPr>
        <w:spacing w:after="0" w:line="240" w:lineRule="auto"/>
        <w:ind w:left="1985"/>
        <w:contextualSpacing/>
        <w:jc w:val="both"/>
        <w:rPr>
          <w:rFonts w:ascii="Arial" w:eastAsia="Calibri" w:hAnsi="Arial" w:cs="Arial"/>
        </w:rPr>
      </w:pPr>
    </w:p>
    <w:p w:rsidR="0080295E" w:rsidRPr="0080295E" w:rsidRDefault="0080295E" w:rsidP="0092471C">
      <w:pPr>
        <w:numPr>
          <w:ilvl w:val="2"/>
          <w:numId w:val="284"/>
        </w:numPr>
        <w:spacing w:after="0" w:line="240" w:lineRule="auto"/>
        <w:ind w:left="1985"/>
        <w:contextualSpacing/>
        <w:jc w:val="both"/>
        <w:rPr>
          <w:rFonts w:ascii="Arial" w:eastAsia="Calibri" w:hAnsi="Arial" w:cs="Arial"/>
        </w:rPr>
      </w:pPr>
      <w:r w:rsidRPr="0080295E">
        <w:rPr>
          <w:rFonts w:ascii="Arial" w:eastAsia="Calibri" w:hAnsi="Arial" w:cs="Arial"/>
          <w:b/>
        </w:rPr>
        <w:t>De la inspección</w:t>
      </w:r>
    </w:p>
    <w:p w:rsidR="0080295E" w:rsidRPr="0080295E" w:rsidRDefault="0080295E" w:rsidP="007605EA">
      <w:pPr>
        <w:spacing w:after="0" w:line="240" w:lineRule="auto"/>
        <w:ind w:left="1985"/>
        <w:contextualSpacing/>
        <w:jc w:val="both"/>
        <w:rPr>
          <w:rFonts w:ascii="Arial" w:eastAsia="Calibri" w:hAnsi="Arial" w:cs="Arial"/>
          <w:b/>
        </w:rPr>
      </w:pPr>
    </w:p>
    <w:p w:rsidR="0080295E" w:rsidRPr="0080295E" w:rsidRDefault="0080295E" w:rsidP="007605EA">
      <w:pPr>
        <w:spacing w:after="0" w:line="240" w:lineRule="auto"/>
        <w:ind w:left="1985"/>
        <w:contextualSpacing/>
        <w:jc w:val="both"/>
        <w:rPr>
          <w:rFonts w:ascii="Arial" w:eastAsia="Calibri" w:hAnsi="Arial" w:cs="Arial"/>
        </w:rPr>
      </w:pPr>
      <w:r w:rsidRPr="0080295E">
        <w:rPr>
          <w:rFonts w:ascii="Arial" w:eastAsia="Calibri" w:hAnsi="Arial" w:cs="Arial"/>
        </w:rPr>
        <w:t>La inspección la efectúa la brigada</w:t>
      </w:r>
      <w:r w:rsidRPr="0080295E">
        <w:rPr>
          <w:rFonts w:ascii="Arial" w:eastAsia="Calibri" w:hAnsi="Arial" w:cs="Arial"/>
          <w:bCs/>
          <w:lang w:val="es-ES"/>
        </w:rPr>
        <w:t xml:space="preserve"> encargada </w:t>
      </w:r>
      <w:r w:rsidRPr="0080295E">
        <w:rPr>
          <w:rFonts w:ascii="Arial" w:eastAsia="Calibri" w:hAnsi="Arial" w:cs="Arial"/>
        </w:rPr>
        <w:t>y se realiza a fin de constatar la exacta situación física del inmueble sobre el que recae el acto y el cumplimiento del destino asignado o la obligación impuesta, verificándose el uso actual, el poseedor, las edificaciones existentes y cualquier otra característica relevante.</w:t>
      </w:r>
    </w:p>
    <w:p w:rsidR="0080295E" w:rsidRPr="0080295E" w:rsidRDefault="0080295E" w:rsidP="007605EA">
      <w:pPr>
        <w:spacing w:after="0" w:line="240" w:lineRule="auto"/>
        <w:ind w:left="1985"/>
        <w:contextualSpacing/>
        <w:jc w:val="both"/>
        <w:rPr>
          <w:rFonts w:ascii="Arial" w:eastAsia="Calibri" w:hAnsi="Arial" w:cs="Arial"/>
        </w:rPr>
      </w:pPr>
    </w:p>
    <w:p w:rsidR="0080295E" w:rsidRPr="0080295E" w:rsidRDefault="0080295E" w:rsidP="007605EA">
      <w:pPr>
        <w:spacing w:after="0" w:line="240" w:lineRule="auto"/>
        <w:ind w:left="1985"/>
        <w:contextualSpacing/>
        <w:jc w:val="both"/>
        <w:rPr>
          <w:rFonts w:ascii="Arial" w:eastAsia="Calibri" w:hAnsi="Arial" w:cs="Arial"/>
        </w:rPr>
      </w:pPr>
      <w:r w:rsidRPr="0080295E">
        <w:rPr>
          <w:rFonts w:ascii="Arial" w:eastAsia="Calibri" w:hAnsi="Arial" w:cs="Arial"/>
        </w:rPr>
        <w:t xml:space="preserve">Tratándose de inmuebles afectados en uso, se verifica que no hayan perdido su naturaleza o condición apropiada para el uso o servicio público asignado; asimismo se verifica que el afectatario se encuentre cumpliendo diligentemente con su conservación, asumiendo los gastos correspondientes. </w:t>
      </w:r>
    </w:p>
    <w:p w:rsidR="0080295E" w:rsidRPr="0080295E" w:rsidRDefault="0080295E" w:rsidP="007605EA">
      <w:pPr>
        <w:spacing w:after="0" w:line="240" w:lineRule="auto"/>
        <w:ind w:left="1985"/>
        <w:contextualSpacing/>
        <w:jc w:val="both"/>
        <w:rPr>
          <w:rFonts w:ascii="Arial" w:eastAsia="Calibri" w:hAnsi="Arial" w:cs="Arial"/>
        </w:rPr>
      </w:pPr>
    </w:p>
    <w:p w:rsidR="0080295E" w:rsidRPr="0080295E" w:rsidRDefault="0080295E" w:rsidP="007605EA">
      <w:pPr>
        <w:spacing w:after="0" w:line="240" w:lineRule="auto"/>
        <w:ind w:left="1985"/>
        <w:contextualSpacing/>
        <w:jc w:val="both"/>
        <w:rPr>
          <w:rFonts w:ascii="Arial" w:eastAsia="Calibri" w:hAnsi="Arial" w:cs="Arial"/>
        </w:rPr>
      </w:pPr>
      <w:r w:rsidRPr="0080295E">
        <w:rPr>
          <w:rFonts w:ascii="Arial" w:eastAsia="Calibri" w:hAnsi="Arial" w:cs="Arial"/>
        </w:rPr>
        <w:t>También se verifica la existencia de cualquier otra circunstancia o situación que comporte una probable extinción del derecho del beneficiario.</w:t>
      </w:r>
    </w:p>
    <w:p w:rsidR="0080295E" w:rsidRPr="0080295E" w:rsidRDefault="0080295E" w:rsidP="007605EA">
      <w:pPr>
        <w:spacing w:after="0" w:line="240" w:lineRule="auto"/>
        <w:ind w:left="1985"/>
        <w:contextualSpacing/>
        <w:jc w:val="both"/>
        <w:rPr>
          <w:rFonts w:ascii="Arial" w:eastAsia="Calibri" w:hAnsi="Arial" w:cs="Arial"/>
        </w:rPr>
      </w:pPr>
    </w:p>
    <w:p w:rsidR="0080295E" w:rsidRPr="0080295E" w:rsidRDefault="0080295E" w:rsidP="007605EA">
      <w:pPr>
        <w:spacing w:after="0" w:line="240" w:lineRule="auto"/>
        <w:ind w:left="1985"/>
        <w:contextualSpacing/>
        <w:jc w:val="both"/>
        <w:rPr>
          <w:rFonts w:ascii="Arial" w:eastAsia="Calibri" w:hAnsi="Arial" w:cs="Arial"/>
        </w:rPr>
      </w:pPr>
      <w:r w:rsidRPr="0080295E">
        <w:rPr>
          <w:rFonts w:ascii="Arial" w:eastAsia="Calibri" w:hAnsi="Arial" w:cs="Arial"/>
        </w:rPr>
        <w:t xml:space="preserve">Tratándose de transferencias interestatales otorgadas bajo condición, se verifica el cumplimiento del programa o proyecto de desarrollo o inversión para el cual fue transferido el inmueble o cualquier otra obligación impuesta, así como, su ejecución en el plazo fijado en el acto, contrato o previsto en la norma supletoriamente aplicable. </w:t>
      </w:r>
    </w:p>
    <w:p w:rsidR="0080295E" w:rsidRPr="0080295E" w:rsidRDefault="0080295E" w:rsidP="007605EA">
      <w:pPr>
        <w:spacing w:after="0" w:line="240" w:lineRule="auto"/>
        <w:ind w:left="1985"/>
        <w:contextualSpacing/>
        <w:jc w:val="both"/>
        <w:rPr>
          <w:rFonts w:ascii="Arial" w:eastAsia="Calibri" w:hAnsi="Arial" w:cs="Arial"/>
          <w:bCs/>
          <w:lang w:val="es-ES"/>
        </w:rPr>
      </w:pPr>
    </w:p>
    <w:p w:rsidR="0080295E" w:rsidRPr="0080295E" w:rsidRDefault="0080295E" w:rsidP="007605EA">
      <w:pPr>
        <w:spacing w:after="0" w:line="240" w:lineRule="auto"/>
        <w:ind w:left="1985"/>
        <w:contextualSpacing/>
        <w:jc w:val="both"/>
        <w:rPr>
          <w:rFonts w:ascii="Arial" w:eastAsia="Calibri" w:hAnsi="Arial" w:cs="Arial"/>
        </w:rPr>
      </w:pPr>
      <w:r w:rsidRPr="0080295E">
        <w:rPr>
          <w:rFonts w:ascii="Arial" w:eastAsia="Calibri" w:hAnsi="Arial" w:cs="Arial"/>
        </w:rPr>
        <w:t xml:space="preserve">Tratándose de adjudicaciones otorgadas a particulares bajo condición, se verifica el cumplimiento de la finalidad para el que fue transferido el inmueble o cualquier otra obligación impuesta, así como, su ejecución en el plazo fijado en el acto, contrato o previsto en la norma supletoriamente aplicable. </w:t>
      </w:r>
    </w:p>
    <w:p w:rsidR="0080295E" w:rsidRPr="0080295E" w:rsidRDefault="0080295E" w:rsidP="007605EA">
      <w:pPr>
        <w:spacing w:after="0" w:line="240" w:lineRule="auto"/>
        <w:ind w:left="1985"/>
        <w:contextualSpacing/>
        <w:jc w:val="both"/>
        <w:rPr>
          <w:rFonts w:ascii="Arial" w:eastAsia="Calibri" w:hAnsi="Arial" w:cs="Arial"/>
          <w:bCs/>
        </w:rPr>
      </w:pPr>
    </w:p>
    <w:p w:rsidR="0080295E" w:rsidRPr="0080295E" w:rsidRDefault="0080295E" w:rsidP="007605EA">
      <w:pPr>
        <w:spacing w:after="0" w:line="240" w:lineRule="auto"/>
        <w:ind w:left="1985"/>
        <w:contextualSpacing/>
        <w:jc w:val="both"/>
        <w:rPr>
          <w:rFonts w:ascii="Arial" w:eastAsia="Calibri" w:hAnsi="Arial" w:cs="Arial"/>
          <w:bCs/>
          <w:lang w:val="es-ES"/>
        </w:rPr>
      </w:pPr>
      <w:r w:rsidRPr="0080295E">
        <w:rPr>
          <w:rFonts w:ascii="Arial" w:eastAsia="Calibri" w:hAnsi="Arial" w:cs="Arial"/>
          <w:bCs/>
          <w:lang w:val="es-ES"/>
        </w:rPr>
        <w:t xml:space="preserve">Si en la inspección se advierte que el inmueble tiene una </w:t>
      </w:r>
      <w:r w:rsidRPr="0080295E">
        <w:rPr>
          <w:rFonts w:ascii="Arial" w:eastAsia="Calibri" w:hAnsi="Arial" w:cs="Arial"/>
        </w:rPr>
        <w:t>ubicación</w:t>
      </w:r>
      <w:r w:rsidRPr="0080295E">
        <w:rPr>
          <w:rFonts w:ascii="Arial" w:eastAsia="Calibri" w:hAnsi="Arial" w:cs="Arial"/>
          <w:bCs/>
          <w:lang w:val="es-ES"/>
        </w:rPr>
        <w:t xml:space="preserve"> distinta a la descrita en el registro SINABIP, se toman las coordenadas UTM respectivas para determinar su exacta ubicación. </w:t>
      </w:r>
    </w:p>
    <w:p w:rsidR="0080295E" w:rsidRPr="0080295E" w:rsidRDefault="0080295E" w:rsidP="007605EA">
      <w:pPr>
        <w:spacing w:after="0" w:line="240" w:lineRule="auto"/>
        <w:ind w:left="1985"/>
        <w:contextualSpacing/>
        <w:jc w:val="both"/>
        <w:rPr>
          <w:rFonts w:ascii="Arial" w:eastAsia="Calibri" w:hAnsi="Arial" w:cs="Arial"/>
          <w:lang w:val="es-ES"/>
        </w:rPr>
      </w:pPr>
    </w:p>
    <w:p w:rsidR="0080295E" w:rsidRPr="0080295E" w:rsidRDefault="0080295E" w:rsidP="0092471C">
      <w:pPr>
        <w:numPr>
          <w:ilvl w:val="2"/>
          <w:numId w:val="284"/>
        </w:numPr>
        <w:spacing w:after="0" w:line="240" w:lineRule="auto"/>
        <w:ind w:left="1985"/>
        <w:contextualSpacing/>
        <w:jc w:val="both"/>
        <w:rPr>
          <w:rFonts w:ascii="Arial" w:eastAsia="Calibri" w:hAnsi="Arial" w:cs="Arial"/>
          <w:b/>
        </w:rPr>
      </w:pPr>
      <w:r w:rsidRPr="0080295E">
        <w:rPr>
          <w:rFonts w:ascii="Arial" w:eastAsia="Calibri" w:hAnsi="Arial" w:cs="Arial"/>
          <w:b/>
        </w:rPr>
        <w:t>De la identificación de terceros poseedores</w:t>
      </w:r>
    </w:p>
    <w:p w:rsidR="0080295E" w:rsidRPr="0080295E" w:rsidRDefault="0080295E" w:rsidP="007605EA">
      <w:pPr>
        <w:spacing w:after="0" w:line="240" w:lineRule="auto"/>
        <w:ind w:left="1985"/>
        <w:contextualSpacing/>
        <w:jc w:val="both"/>
        <w:rPr>
          <w:rFonts w:ascii="Arial" w:eastAsia="Calibri" w:hAnsi="Arial" w:cs="Arial"/>
        </w:rPr>
      </w:pPr>
    </w:p>
    <w:p w:rsidR="0080295E" w:rsidRPr="0080295E" w:rsidRDefault="0080295E" w:rsidP="007605EA">
      <w:pPr>
        <w:spacing w:after="0" w:line="240" w:lineRule="auto"/>
        <w:ind w:left="1985"/>
        <w:contextualSpacing/>
        <w:jc w:val="both"/>
        <w:rPr>
          <w:rFonts w:ascii="Arial" w:eastAsia="Calibri" w:hAnsi="Arial" w:cs="Arial"/>
        </w:rPr>
      </w:pPr>
      <w:r w:rsidRPr="0080295E">
        <w:rPr>
          <w:rFonts w:ascii="Arial" w:eastAsia="Calibri" w:hAnsi="Arial" w:cs="Arial"/>
        </w:rPr>
        <w:t>En caso de verificarse la posesión por parte de terceros diferentes al beneficiario y/o la existencia de edificaciones en el inmueble estatal que no son de propiedad de este último, se procede a su identificación y a solicitarles verbalmente la entrega de la documentación que sustenta su posesión.</w:t>
      </w:r>
    </w:p>
    <w:p w:rsidR="0080295E" w:rsidRPr="0080295E" w:rsidRDefault="0080295E" w:rsidP="007605EA">
      <w:pPr>
        <w:spacing w:after="0" w:line="240" w:lineRule="auto"/>
        <w:ind w:left="1985"/>
        <w:contextualSpacing/>
        <w:jc w:val="both"/>
        <w:rPr>
          <w:rFonts w:ascii="Arial" w:eastAsia="Calibri" w:hAnsi="Arial" w:cs="Arial"/>
        </w:rPr>
      </w:pPr>
    </w:p>
    <w:p w:rsidR="0080295E" w:rsidRPr="0080295E" w:rsidRDefault="0080295E" w:rsidP="007605EA">
      <w:pPr>
        <w:spacing w:after="0" w:line="240" w:lineRule="auto"/>
        <w:ind w:left="1985"/>
        <w:contextualSpacing/>
        <w:jc w:val="both"/>
        <w:rPr>
          <w:rFonts w:ascii="Arial" w:eastAsia="Calibri" w:hAnsi="Arial" w:cs="Arial"/>
        </w:rPr>
      </w:pPr>
      <w:r w:rsidRPr="0080295E">
        <w:rPr>
          <w:rFonts w:ascii="Arial" w:eastAsia="Calibri" w:hAnsi="Arial" w:cs="Arial"/>
        </w:rPr>
        <w:t>De ser necesario, la identificación de los terceros poseedores se efectúa con apoyo policial.</w:t>
      </w:r>
    </w:p>
    <w:p w:rsidR="0080295E" w:rsidRPr="0080295E" w:rsidRDefault="0080295E" w:rsidP="007605EA">
      <w:pPr>
        <w:spacing w:after="0" w:line="240" w:lineRule="auto"/>
        <w:ind w:left="1985"/>
        <w:contextualSpacing/>
        <w:jc w:val="both"/>
        <w:rPr>
          <w:rFonts w:ascii="Arial" w:eastAsia="Calibri" w:hAnsi="Arial" w:cs="Arial"/>
          <w:lang w:val="es-ES"/>
        </w:rPr>
      </w:pPr>
    </w:p>
    <w:p w:rsidR="0080295E" w:rsidRPr="0080295E" w:rsidRDefault="0080295E" w:rsidP="007605EA">
      <w:pPr>
        <w:spacing w:after="0" w:line="240" w:lineRule="auto"/>
        <w:ind w:left="1985"/>
        <w:contextualSpacing/>
        <w:jc w:val="both"/>
        <w:rPr>
          <w:rFonts w:ascii="Arial" w:eastAsia="Calibri" w:hAnsi="Arial" w:cs="Arial"/>
          <w:lang w:val="es-ES"/>
        </w:rPr>
      </w:pPr>
      <w:r w:rsidRPr="0080295E">
        <w:rPr>
          <w:rFonts w:ascii="Arial" w:eastAsia="Calibri" w:hAnsi="Arial" w:cs="Arial"/>
          <w:lang w:val="es-ES"/>
        </w:rPr>
        <w:t>Para identificar a los terceros poseedores, también se solicita información a las municipalidades, respecto del padrón de contribuyentes o base de datos catastral, y a las empresas prestadoras de servicios, respecto del padrón de usuarios.</w:t>
      </w:r>
    </w:p>
    <w:p w:rsidR="0080295E" w:rsidRPr="0080295E" w:rsidRDefault="0080295E" w:rsidP="007605EA">
      <w:pPr>
        <w:spacing w:after="0" w:line="240" w:lineRule="auto"/>
        <w:ind w:left="1985"/>
        <w:contextualSpacing/>
        <w:jc w:val="both"/>
        <w:rPr>
          <w:rFonts w:ascii="Arial" w:eastAsia="Calibri" w:hAnsi="Arial" w:cs="Arial"/>
          <w:lang w:val="es-ES"/>
        </w:rPr>
      </w:pPr>
    </w:p>
    <w:p w:rsidR="0080295E" w:rsidRPr="0080295E" w:rsidRDefault="0080295E" w:rsidP="007605EA">
      <w:pPr>
        <w:spacing w:after="0" w:line="240" w:lineRule="auto"/>
        <w:ind w:left="1985"/>
        <w:contextualSpacing/>
        <w:jc w:val="both"/>
        <w:rPr>
          <w:rFonts w:ascii="Arial" w:eastAsia="Calibri" w:hAnsi="Arial" w:cs="Arial"/>
          <w:lang w:val="es-ES"/>
        </w:rPr>
      </w:pPr>
      <w:r w:rsidRPr="0080295E">
        <w:rPr>
          <w:rFonts w:ascii="Arial" w:eastAsia="Calibri" w:hAnsi="Arial" w:cs="Arial"/>
          <w:lang w:val="es-ES"/>
        </w:rPr>
        <w:t>En caso de existir un gran número de terceros poseedores que no sea posible de identificar, se deja constancia de dicha circunstancia y se verifica la existencia de algún representante.</w:t>
      </w:r>
    </w:p>
    <w:p w:rsidR="0080295E" w:rsidRPr="0080295E" w:rsidRDefault="0080295E" w:rsidP="007605EA">
      <w:pPr>
        <w:spacing w:after="0" w:line="240" w:lineRule="auto"/>
        <w:ind w:left="1985"/>
        <w:contextualSpacing/>
        <w:jc w:val="both"/>
        <w:rPr>
          <w:rFonts w:ascii="Arial" w:eastAsia="Calibri" w:hAnsi="Arial" w:cs="Arial"/>
        </w:rPr>
      </w:pPr>
    </w:p>
    <w:p w:rsidR="0080295E" w:rsidRPr="0080295E" w:rsidRDefault="0080295E" w:rsidP="0092471C">
      <w:pPr>
        <w:numPr>
          <w:ilvl w:val="2"/>
          <w:numId w:val="284"/>
        </w:numPr>
        <w:spacing w:after="0" w:line="240" w:lineRule="auto"/>
        <w:ind w:left="1985"/>
        <w:contextualSpacing/>
        <w:jc w:val="both"/>
        <w:rPr>
          <w:rFonts w:ascii="Arial" w:eastAsia="Calibri" w:hAnsi="Arial" w:cs="Arial"/>
          <w:b/>
        </w:rPr>
      </w:pPr>
      <w:r w:rsidRPr="0080295E">
        <w:rPr>
          <w:rFonts w:ascii="Arial" w:eastAsia="Calibri" w:hAnsi="Arial" w:cs="Arial"/>
          <w:b/>
        </w:rPr>
        <w:t>De la formulación y notificación de observaciones y descargos</w:t>
      </w:r>
    </w:p>
    <w:p w:rsidR="0080295E" w:rsidRPr="0080295E" w:rsidRDefault="0080295E" w:rsidP="007605EA">
      <w:pPr>
        <w:spacing w:after="0" w:line="240" w:lineRule="auto"/>
        <w:ind w:left="1985"/>
        <w:contextualSpacing/>
        <w:jc w:val="both"/>
        <w:rPr>
          <w:rFonts w:ascii="Arial" w:eastAsia="Calibri" w:hAnsi="Arial" w:cs="Arial"/>
        </w:rPr>
      </w:pPr>
    </w:p>
    <w:p w:rsidR="0080295E" w:rsidRPr="0080295E" w:rsidRDefault="0080295E" w:rsidP="007605EA">
      <w:pPr>
        <w:spacing w:after="0" w:line="240" w:lineRule="auto"/>
        <w:ind w:left="1985"/>
        <w:contextualSpacing/>
        <w:jc w:val="both"/>
        <w:rPr>
          <w:rFonts w:ascii="Arial" w:eastAsia="Calibri" w:hAnsi="Arial" w:cs="Arial"/>
        </w:rPr>
      </w:pPr>
      <w:r w:rsidRPr="0080295E">
        <w:rPr>
          <w:rFonts w:ascii="Arial" w:eastAsia="Calibri" w:hAnsi="Arial" w:cs="Arial"/>
        </w:rPr>
        <w:t>Si se advierte incumplimiento de las obligaciones asumidas por el beneficiario del acto emitido, en un plazo de cinco (05) días contados desde la inspección, se formulan las observaciones correspondientes y se le solicita la presentación de sus descargos, dentro del plazo legal que corresponda o, en su defecto, en un plazo no mayor de diez (10) días.</w:t>
      </w:r>
    </w:p>
    <w:p w:rsidR="0080295E" w:rsidRPr="0080295E" w:rsidRDefault="0080295E" w:rsidP="007605EA">
      <w:pPr>
        <w:spacing w:after="0" w:line="240" w:lineRule="auto"/>
        <w:ind w:left="1985"/>
        <w:contextualSpacing/>
        <w:jc w:val="both"/>
        <w:rPr>
          <w:rFonts w:ascii="Arial" w:eastAsia="Calibri" w:hAnsi="Arial" w:cs="Arial"/>
        </w:rPr>
      </w:pPr>
    </w:p>
    <w:p w:rsidR="0080295E" w:rsidRPr="0080295E" w:rsidRDefault="0080295E" w:rsidP="007605EA">
      <w:pPr>
        <w:spacing w:after="0" w:line="240" w:lineRule="auto"/>
        <w:ind w:left="1985"/>
        <w:contextualSpacing/>
        <w:jc w:val="both"/>
        <w:rPr>
          <w:rFonts w:ascii="Arial" w:eastAsia="Calibri" w:hAnsi="Arial" w:cs="Arial"/>
        </w:rPr>
      </w:pPr>
      <w:r w:rsidRPr="0080295E">
        <w:rPr>
          <w:rFonts w:ascii="Arial" w:eastAsia="Calibri" w:hAnsi="Arial" w:cs="Arial"/>
        </w:rPr>
        <w:t>Para tal efecto, se notifica al beneficiario mediante oficio al domicilio que se haya podido obtener en la inspección o, en su defecto, al señalado en el procedimiento que dio mérito al acto emitido.</w:t>
      </w:r>
    </w:p>
    <w:p w:rsidR="0080295E" w:rsidRPr="0080295E" w:rsidRDefault="0080295E" w:rsidP="007605EA">
      <w:pPr>
        <w:spacing w:after="0" w:line="240" w:lineRule="auto"/>
        <w:ind w:left="1985"/>
        <w:contextualSpacing/>
        <w:jc w:val="both"/>
        <w:rPr>
          <w:rFonts w:ascii="Arial" w:eastAsia="Calibri" w:hAnsi="Arial" w:cs="Arial"/>
        </w:rPr>
      </w:pPr>
    </w:p>
    <w:p w:rsidR="0080295E" w:rsidRPr="0080295E" w:rsidRDefault="0080295E" w:rsidP="007605EA">
      <w:pPr>
        <w:spacing w:after="0" w:line="240" w:lineRule="auto"/>
        <w:ind w:left="1985"/>
        <w:contextualSpacing/>
        <w:jc w:val="both"/>
        <w:rPr>
          <w:rFonts w:ascii="Arial" w:eastAsia="Calibri" w:hAnsi="Arial" w:cs="Arial"/>
          <w:lang w:val="es-ES"/>
        </w:rPr>
      </w:pPr>
      <w:r w:rsidRPr="0080295E">
        <w:rPr>
          <w:rFonts w:ascii="Arial" w:eastAsia="Calibri" w:hAnsi="Arial" w:cs="Arial"/>
          <w:lang w:val="es-ES"/>
        </w:rPr>
        <w:t>Adicionalmente, se notifica al tercer poseedor -diferente del beneficiario-, para que presente los documentos que acreditan su derecho. En caso de existir un grupo numeroso de estos terceros poseedores que no hayan podido ser identificados, se notifica a su representante o, en su defecto, mediante carteles que se colocan en el mismo inmueble.</w:t>
      </w:r>
    </w:p>
    <w:p w:rsidR="0080295E" w:rsidRPr="0080295E" w:rsidRDefault="0080295E" w:rsidP="007605EA">
      <w:pPr>
        <w:spacing w:after="0" w:line="240" w:lineRule="auto"/>
        <w:ind w:left="1985"/>
        <w:contextualSpacing/>
        <w:jc w:val="both"/>
        <w:rPr>
          <w:rFonts w:ascii="Arial" w:eastAsia="Calibri" w:hAnsi="Arial" w:cs="Arial"/>
          <w:lang w:val="es-ES"/>
        </w:rPr>
      </w:pPr>
    </w:p>
    <w:p w:rsidR="0080295E" w:rsidRPr="0080295E" w:rsidRDefault="0080295E" w:rsidP="007605EA">
      <w:pPr>
        <w:spacing w:after="0" w:line="240" w:lineRule="auto"/>
        <w:ind w:left="1985"/>
        <w:contextualSpacing/>
        <w:jc w:val="both"/>
        <w:rPr>
          <w:rFonts w:ascii="Arial" w:eastAsia="Calibri" w:hAnsi="Arial" w:cs="Arial"/>
        </w:rPr>
      </w:pPr>
      <w:r w:rsidRPr="0080295E">
        <w:rPr>
          <w:rFonts w:ascii="Arial" w:eastAsia="Calibri" w:hAnsi="Arial" w:cs="Arial"/>
          <w:lang w:val="es-ES"/>
        </w:rPr>
        <w:t>La notificación personal al beneficiario y tercer poseedor, cuando corresponda, se efectúa de acuerdo a las reglas previstas por la LPAG.</w:t>
      </w:r>
    </w:p>
    <w:p w:rsidR="0080295E" w:rsidRPr="0080295E" w:rsidRDefault="0080295E" w:rsidP="007605EA">
      <w:pPr>
        <w:spacing w:after="0" w:line="240" w:lineRule="auto"/>
        <w:ind w:left="1985"/>
        <w:contextualSpacing/>
        <w:jc w:val="both"/>
        <w:rPr>
          <w:rFonts w:ascii="Arial" w:eastAsia="Calibri" w:hAnsi="Arial" w:cs="Arial"/>
        </w:rPr>
      </w:pPr>
    </w:p>
    <w:p w:rsidR="0080295E" w:rsidRPr="0080295E" w:rsidRDefault="0080295E" w:rsidP="007605EA">
      <w:pPr>
        <w:spacing w:after="0" w:line="240" w:lineRule="auto"/>
        <w:ind w:left="1985"/>
        <w:contextualSpacing/>
        <w:jc w:val="both"/>
        <w:rPr>
          <w:rFonts w:ascii="Arial" w:eastAsia="Calibri" w:hAnsi="Arial" w:cs="Arial"/>
        </w:rPr>
      </w:pPr>
      <w:r w:rsidRPr="0080295E">
        <w:rPr>
          <w:rFonts w:ascii="Arial" w:eastAsia="Calibri" w:hAnsi="Arial" w:cs="Arial"/>
        </w:rPr>
        <w:t>De ser presentado el descargo por el beneficiario y/o el tercer poseedor, se procede a su revisión.</w:t>
      </w:r>
    </w:p>
    <w:p w:rsidR="0080295E" w:rsidRPr="0080295E" w:rsidRDefault="0080295E" w:rsidP="007605EA">
      <w:pPr>
        <w:spacing w:after="0" w:line="240" w:lineRule="auto"/>
        <w:ind w:left="1985"/>
        <w:contextualSpacing/>
        <w:jc w:val="both"/>
        <w:rPr>
          <w:rFonts w:ascii="Arial" w:eastAsia="Calibri" w:hAnsi="Arial" w:cs="Arial"/>
        </w:rPr>
      </w:pPr>
    </w:p>
    <w:p w:rsidR="0080295E" w:rsidRPr="0080295E" w:rsidRDefault="0080295E" w:rsidP="0092471C">
      <w:pPr>
        <w:numPr>
          <w:ilvl w:val="2"/>
          <w:numId w:val="284"/>
        </w:numPr>
        <w:spacing w:after="0" w:line="240" w:lineRule="auto"/>
        <w:ind w:left="1985"/>
        <w:contextualSpacing/>
        <w:jc w:val="both"/>
        <w:rPr>
          <w:rFonts w:ascii="Arial" w:eastAsia="Calibri" w:hAnsi="Arial" w:cs="Arial"/>
          <w:b/>
        </w:rPr>
      </w:pPr>
      <w:r w:rsidRPr="0080295E">
        <w:rPr>
          <w:rFonts w:ascii="Arial" w:eastAsia="Calibri" w:hAnsi="Arial" w:cs="Arial"/>
          <w:b/>
        </w:rPr>
        <w:t>De los documentos técnicos</w:t>
      </w:r>
    </w:p>
    <w:p w:rsidR="0080295E" w:rsidRPr="0080295E" w:rsidRDefault="0080295E" w:rsidP="007605EA">
      <w:pPr>
        <w:spacing w:after="0" w:line="240" w:lineRule="auto"/>
        <w:ind w:left="1985"/>
        <w:contextualSpacing/>
        <w:jc w:val="both"/>
        <w:rPr>
          <w:rFonts w:ascii="Arial" w:eastAsia="Calibri" w:hAnsi="Arial" w:cs="Arial"/>
        </w:rPr>
      </w:pPr>
    </w:p>
    <w:p w:rsidR="0080295E" w:rsidRPr="0080295E" w:rsidRDefault="0080295E" w:rsidP="007605EA">
      <w:pPr>
        <w:spacing w:after="0" w:line="240" w:lineRule="auto"/>
        <w:ind w:left="1985"/>
        <w:contextualSpacing/>
        <w:jc w:val="both"/>
        <w:rPr>
          <w:rFonts w:ascii="Arial" w:eastAsia="Calibri" w:hAnsi="Arial" w:cs="Arial"/>
          <w:b/>
        </w:rPr>
      </w:pPr>
      <w:r w:rsidRPr="0080295E">
        <w:rPr>
          <w:rFonts w:ascii="Arial" w:eastAsia="Calibri" w:hAnsi="Arial" w:cs="Arial"/>
        </w:rPr>
        <w:t xml:space="preserve">En un plazo de diez (10) días de efectuada la inspección, </w:t>
      </w:r>
      <w:r w:rsidRPr="0080295E">
        <w:rPr>
          <w:rFonts w:ascii="Arial" w:eastAsia="Calibri" w:hAnsi="Arial" w:cs="Arial"/>
          <w:bCs/>
          <w:lang w:val="es-ES"/>
        </w:rPr>
        <w:t>el profesional técnico</w:t>
      </w:r>
      <w:r w:rsidRPr="0080295E">
        <w:rPr>
          <w:rFonts w:ascii="Arial" w:eastAsia="Calibri" w:hAnsi="Arial" w:cs="Arial"/>
        </w:rPr>
        <w:t xml:space="preserve"> de la brigada</w:t>
      </w:r>
      <w:r w:rsidRPr="0080295E">
        <w:rPr>
          <w:rFonts w:ascii="Arial" w:eastAsia="Calibri" w:hAnsi="Arial" w:cs="Arial"/>
          <w:bCs/>
          <w:lang w:val="es-ES"/>
        </w:rPr>
        <w:t xml:space="preserve"> encargada </w:t>
      </w:r>
      <w:r w:rsidRPr="0080295E">
        <w:rPr>
          <w:rFonts w:ascii="Arial" w:eastAsia="Calibri" w:hAnsi="Arial" w:cs="Arial"/>
        </w:rPr>
        <w:t>elabora la Ficha Técnica -en el formato aprobado</w:t>
      </w:r>
      <w:r w:rsidRPr="0080295E">
        <w:rPr>
          <w:rFonts w:ascii="Arial" w:eastAsia="Calibri" w:hAnsi="Arial" w:cs="Arial"/>
          <w:bCs/>
          <w:lang w:val="es-ES"/>
        </w:rPr>
        <w:t>-</w:t>
      </w:r>
      <w:r w:rsidRPr="0080295E">
        <w:rPr>
          <w:rFonts w:ascii="Arial" w:eastAsia="Calibri" w:hAnsi="Arial" w:cs="Arial"/>
        </w:rPr>
        <w:t>, y el panel fotográfico. Solo en el caso de constatarse un cumplimiento parcial de la finalidad del acto o de la obligación estipulada en el contrato, se elabora un plano de diagnóstico, que refleje la situación física encontrada.</w:t>
      </w:r>
    </w:p>
    <w:p w:rsidR="0080295E" w:rsidRPr="0080295E" w:rsidRDefault="0080295E" w:rsidP="007605EA">
      <w:pPr>
        <w:spacing w:after="0" w:line="240" w:lineRule="auto"/>
        <w:ind w:left="1985"/>
        <w:contextualSpacing/>
        <w:jc w:val="both"/>
        <w:rPr>
          <w:rFonts w:ascii="Arial" w:eastAsia="Calibri" w:hAnsi="Arial" w:cs="Arial"/>
          <w:b/>
        </w:rPr>
      </w:pPr>
    </w:p>
    <w:p w:rsidR="0080295E" w:rsidRPr="0080295E" w:rsidRDefault="0080295E" w:rsidP="0092471C">
      <w:pPr>
        <w:numPr>
          <w:ilvl w:val="2"/>
          <w:numId w:val="284"/>
        </w:numPr>
        <w:spacing w:after="0" w:line="240" w:lineRule="auto"/>
        <w:ind w:left="1985"/>
        <w:contextualSpacing/>
        <w:jc w:val="both"/>
        <w:rPr>
          <w:rFonts w:ascii="Arial" w:eastAsia="Calibri" w:hAnsi="Arial" w:cs="Arial"/>
        </w:rPr>
      </w:pPr>
      <w:r w:rsidRPr="0080295E">
        <w:rPr>
          <w:rFonts w:ascii="Arial" w:eastAsia="Calibri" w:hAnsi="Arial" w:cs="Arial"/>
          <w:b/>
        </w:rPr>
        <w:t>Del informe de supervisión</w:t>
      </w:r>
      <w:r w:rsidRPr="0080295E">
        <w:rPr>
          <w:rFonts w:ascii="Arial" w:eastAsia="Calibri" w:hAnsi="Arial" w:cs="Arial"/>
        </w:rPr>
        <w:t xml:space="preserve"> </w:t>
      </w:r>
    </w:p>
    <w:p w:rsidR="0080295E" w:rsidRPr="0080295E" w:rsidRDefault="0080295E" w:rsidP="007605EA">
      <w:pPr>
        <w:spacing w:after="0" w:line="240" w:lineRule="auto"/>
        <w:ind w:left="1985"/>
        <w:contextualSpacing/>
        <w:jc w:val="both"/>
        <w:rPr>
          <w:rFonts w:ascii="Arial" w:eastAsia="Calibri" w:hAnsi="Arial" w:cs="Arial"/>
        </w:rPr>
      </w:pPr>
    </w:p>
    <w:p w:rsidR="0080295E" w:rsidRPr="0080295E" w:rsidRDefault="0080295E" w:rsidP="007605EA">
      <w:pPr>
        <w:spacing w:after="0" w:line="240" w:lineRule="auto"/>
        <w:ind w:left="1985"/>
        <w:contextualSpacing/>
        <w:jc w:val="both"/>
        <w:rPr>
          <w:rFonts w:ascii="Arial" w:eastAsia="Calibri" w:hAnsi="Arial" w:cs="Arial"/>
        </w:rPr>
      </w:pPr>
      <w:r w:rsidRPr="0080295E">
        <w:rPr>
          <w:rFonts w:ascii="Arial" w:eastAsia="Calibri" w:hAnsi="Arial" w:cs="Arial"/>
        </w:rPr>
        <w:t>Con la presentación del descargo del beneficiario o transcurrido el termino otorgado para su presentación sin haber cumplido, la brigada</w:t>
      </w:r>
      <w:r w:rsidRPr="0080295E">
        <w:rPr>
          <w:rFonts w:ascii="Arial" w:eastAsia="Calibri" w:hAnsi="Arial" w:cs="Arial"/>
          <w:bCs/>
          <w:lang w:val="es-ES"/>
        </w:rPr>
        <w:t xml:space="preserve"> encargada </w:t>
      </w:r>
      <w:r w:rsidRPr="0080295E">
        <w:rPr>
          <w:rFonts w:ascii="Arial" w:eastAsia="Calibri" w:hAnsi="Arial" w:cs="Arial"/>
        </w:rPr>
        <w:t xml:space="preserve">elabora el informe de supervisión, en un plazo no mayor de quince (15) días, contados desde la inspección, el cual es presentado al Subdirector de la SDS para su conformidad. </w:t>
      </w:r>
    </w:p>
    <w:p w:rsidR="0080295E" w:rsidRPr="0080295E" w:rsidRDefault="0080295E" w:rsidP="007605EA">
      <w:pPr>
        <w:spacing w:after="0" w:line="240" w:lineRule="auto"/>
        <w:ind w:left="1985"/>
        <w:contextualSpacing/>
        <w:jc w:val="both"/>
        <w:rPr>
          <w:rFonts w:ascii="Arial" w:eastAsia="Calibri" w:hAnsi="Arial" w:cs="Arial"/>
        </w:rPr>
      </w:pPr>
    </w:p>
    <w:p w:rsidR="0080295E" w:rsidRPr="0080295E" w:rsidRDefault="0080295E" w:rsidP="007605EA">
      <w:pPr>
        <w:spacing w:after="0" w:line="240" w:lineRule="auto"/>
        <w:ind w:left="1985"/>
        <w:contextualSpacing/>
        <w:jc w:val="both"/>
        <w:rPr>
          <w:rFonts w:ascii="Arial" w:eastAsia="Calibri" w:hAnsi="Arial" w:cs="Arial"/>
        </w:rPr>
      </w:pPr>
      <w:r w:rsidRPr="0080295E">
        <w:rPr>
          <w:rFonts w:ascii="Arial" w:eastAsia="Calibri" w:hAnsi="Arial" w:cs="Arial"/>
          <w:lang w:val="es-ES"/>
        </w:rPr>
        <w:t xml:space="preserve">El informe de supervisión </w:t>
      </w:r>
      <w:r w:rsidRPr="0080295E">
        <w:rPr>
          <w:rFonts w:ascii="Arial" w:eastAsia="Calibri" w:hAnsi="Arial" w:cs="Arial"/>
        </w:rPr>
        <w:t xml:space="preserve">contiene el análisis de la legalidad, validez y eficacia del acto emitido, la situación física del inmueble sobre el que recae el acto emitido, el descargo y documentación presentada por el beneficiario, la documentación presentada por el tercer poseedor, las consecuencias legales que se hubieran generado, así como, </w:t>
      </w:r>
      <w:r w:rsidRPr="0080295E">
        <w:rPr>
          <w:rFonts w:ascii="Arial" w:eastAsia="Calibri" w:hAnsi="Arial" w:cs="Arial"/>
          <w:lang w:val="es-ES"/>
        </w:rPr>
        <w:t xml:space="preserve">las conclusiones y </w:t>
      </w:r>
      <w:r w:rsidRPr="0080295E">
        <w:rPr>
          <w:rFonts w:ascii="Arial" w:eastAsia="Calibri" w:hAnsi="Arial" w:cs="Arial"/>
        </w:rPr>
        <w:t>las recomendaciones del caso, debiéndose adjuntar los proyectos de documentos que fueran necesarios para su implementación</w:t>
      </w:r>
      <w:r w:rsidRPr="0080295E">
        <w:rPr>
          <w:rFonts w:ascii="Arial" w:eastAsia="Calibri" w:hAnsi="Arial" w:cs="Arial"/>
          <w:lang w:val="es-ES"/>
        </w:rPr>
        <w:t xml:space="preserve"> y derivación a las unidades orgánicas que correspondan</w:t>
      </w:r>
      <w:r w:rsidRPr="0080295E">
        <w:rPr>
          <w:rFonts w:ascii="Arial" w:eastAsia="Calibri" w:hAnsi="Arial" w:cs="Arial"/>
        </w:rPr>
        <w:t xml:space="preserve">. </w:t>
      </w:r>
    </w:p>
    <w:p w:rsidR="0080295E" w:rsidRPr="0080295E" w:rsidRDefault="0080295E" w:rsidP="007605EA">
      <w:pPr>
        <w:spacing w:after="0" w:line="240" w:lineRule="auto"/>
        <w:ind w:left="1985"/>
        <w:contextualSpacing/>
        <w:jc w:val="both"/>
        <w:rPr>
          <w:rFonts w:ascii="Arial" w:eastAsia="Calibri" w:hAnsi="Arial" w:cs="Arial"/>
        </w:rPr>
      </w:pPr>
    </w:p>
    <w:p w:rsidR="0080295E" w:rsidRPr="0080295E" w:rsidRDefault="0080295E" w:rsidP="007605EA">
      <w:pPr>
        <w:spacing w:after="0" w:line="240" w:lineRule="auto"/>
        <w:ind w:left="1985"/>
        <w:contextualSpacing/>
        <w:jc w:val="both"/>
        <w:rPr>
          <w:rFonts w:ascii="Arial" w:eastAsia="Calibri" w:hAnsi="Arial" w:cs="Arial"/>
        </w:rPr>
      </w:pPr>
      <w:r w:rsidRPr="0080295E">
        <w:rPr>
          <w:rFonts w:ascii="Arial" w:eastAsia="Calibri" w:hAnsi="Arial" w:cs="Arial"/>
        </w:rPr>
        <w:t>El informe debe pronunciarse, entre otros, sobre los siguientes aspectos:</w:t>
      </w:r>
    </w:p>
    <w:p w:rsidR="0080295E" w:rsidRPr="0080295E" w:rsidRDefault="0080295E" w:rsidP="007605EA">
      <w:pPr>
        <w:spacing w:after="0" w:line="240" w:lineRule="auto"/>
        <w:ind w:left="1985"/>
        <w:contextualSpacing/>
        <w:jc w:val="both"/>
        <w:rPr>
          <w:rFonts w:ascii="Arial" w:eastAsia="Calibri" w:hAnsi="Arial" w:cs="Arial"/>
        </w:rPr>
      </w:pPr>
    </w:p>
    <w:p w:rsidR="0080295E" w:rsidRPr="0080295E" w:rsidRDefault="0080295E" w:rsidP="0092471C">
      <w:pPr>
        <w:numPr>
          <w:ilvl w:val="0"/>
          <w:numId w:val="297"/>
        </w:numPr>
        <w:spacing w:after="0" w:line="240" w:lineRule="auto"/>
        <w:ind w:left="2268"/>
        <w:contextualSpacing/>
        <w:jc w:val="both"/>
        <w:rPr>
          <w:rFonts w:ascii="Arial" w:eastAsia="Calibri" w:hAnsi="Arial" w:cs="Arial"/>
        </w:rPr>
      </w:pPr>
      <w:r w:rsidRPr="0080295E">
        <w:rPr>
          <w:rFonts w:ascii="Arial" w:eastAsia="Calibri" w:hAnsi="Arial" w:cs="Arial"/>
        </w:rPr>
        <w:t>Evaluación de la situación registral del inmueble, verificándose si se encuentra debidamente inscrito en el RP a favor del Estado o alguna entidad estatal y si existe superposición registral con inmuebles de otras entidades públicas o de particulares.</w:t>
      </w:r>
    </w:p>
    <w:p w:rsidR="0080295E" w:rsidRPr="0080295E" w:rsidRDefault="0080295E" w:rsidP="0092471C">
      <w:pPr>
        <w:numPr>
          <w:ilvl w:val="0"/>
          <w:numId w:val="297"/>
        </w:numPr>
        <w:spacing w:after="0" w:line="240" w:lineRule="auto"/>
        <w:ind w:left="2268"/>
        <w:contextualSpacing/>
        <w:jc w:val="both"/>
        <w:rPr>
          <w:rFonts w:ascii="Arial" w:eastAsia="Calibri" w:hAnsi="Arial" w:cs="Arial"/>
        </w:rPr>
      </w:pPr>
      <w:r w:rsidRPr="0080295E">
        <w:rPr>
          <w:rFonts w:ascii="Arial" w:eastAsia="Calibri" w:hAnsi="Arial" w:cs="Arial"/>
        </w:rPr>
        <w:t>Verificación de la inscripción en el RP del acto emitido y de la carga correspondiente, de ser el caso.</w:t>
      </w:r>
    </w:p>
    <w:p w:rsidR="0080295E" w:rsidRPr="0080295E" w:rsidRDefault="0080295E" w:rsidP="0092471C">
      <w:pPr>
        <w:numPr>
          <w:ilvl w:val="0"/>
          <w:numId w:val="297"/>
        </w:numPr>
        <w:spacing w:after="0" w:line="240" w:lineRule="auto"/>
        <w:ind w:left="2268"/>
        <w:contextualSpacing/>
        <w:jc w:val="both"/>
        <w:rPr>
          <w:rFonts w:ascii="Arial" w:eastAsia="Calibri" w:hAnsi="Arial" w:cs="Arial"/>
        </w:rPr>
      </w:pPr>
      <w:r w:rsidRPr="0080295E">
        <w:rPr>
          <w:rFonts w:ascii="Arial" w:eastAsia="Calibri" w:hAnsi="Arial" w:cs="Arial"/>
        </w:rPr>
        <w:t xml:space="preserve">Verificación de la inscripción registral de la declaratoria de fábrica, en caso de constatarse la existencia de edificaciones en el inmueble. </w:t>
      </w:r>
    </w:p>
    <w:p w:rsidR="0080295E" w:rsidRPr="0080295E" w:rsidRDefault="0080295E" w:rsidP="0092471C">
      <w:pPr>
        <w:numPr>
          <w:ilvl w:val="0"/>
          <w:numId w:val="297"/>
        </w:numPr>
        <w:spacing w:after="0" w:line="240" w:lineRule="auto"/>
        <w:ind w:left="2268"/>
        <w:contextualSpacing/>
        <w:jc w:val="both"/>
        <w:rPr>
          <w:rFonts w:ascii="Arial" w:eastAsia="Calibri" w:hAnsi="Arial" w:cs="Arial"/>
        </w:rPr>
      </w:pPr>
      <w:r w:rsidRPr="0080295E">
        <w:rPr>
          <w:rFonts w:ascii="Arial" w:eastAsia="Calibri" w:hAnsi="Arial" w:cs="Arial"/>
        </w:rPr>
        <w:t xml:space="preserve">Indicación de las acciones de saneamiento del inmueble que correspondan ejecutar. </w:t>
      </w:r>
    </w:p>
    <w:p w:rsidR="0080295E" w:rsidRPr="0080295E" w:rsidRDefault="0080295E" w:rsidP="0092471C">
      <w:pPr>
        <w:numPr>
          <w:ilvl w:val="0"/>
          <w:numId w:val="297"/>
        </w:numPr>
        <w:spacing w:after="0" w:line="240" w:lineRule="auto"/>
        <w:ind w:left="2268"/>
        <w:contextualSpacing/>
        <w:jc w:val="both"/>
        <w:rPr>
          <w:rFonts w:ascii="Arial" w:eastAsia="Calibri" w:hAnsi="Arial" w:cs="Arial"/>
        </w:rPr>
      </w:pPr>
      <w:r w:rsidRPr="0080295E">
        <w:rPr>
          <w:rFonts w:ascii="Arial" w:eastAsia="Calibri" w:hAnsi="Arial" w:cs="Arial"/>
        </w:rPr>
        <w:t>Evaluación de la situación legal del beneficiario, verificándose la vigencia de la personería jurídica, en caso de persona jurídica o la condición legal, en caso de entidad pública.</w:t>
      </w:r>
    </w:p>
    <w:p w:rsidR="0080295E" w:rsidRPr="0080295E" w:rsidRDefault="0080295E" w:rsidP="0092471C">
      <w:pPr>
        <w:numPr>
          <w:ilvl w:val="0"/>
          <w:numId w:val="297"/>
        </w:numPr>
        <w:spacing w:after="0" w:line="240" w:lineRule="auto"/>
        <w:ind w:left="2268"/>
        <w:contextualSpacing/>
        <w:jc w:val="both"/>
        <w:rPr>
          <w:rFonts w:ascii="Arial" w:eastAsia="Calibri" w:hAnsi="Arial" w:cs="Arial"/>
        </w:rPr>
      </w:pPr>
      <w:r w:rsidRPr="0080295E">
        <w:rPr>
          <w:rFonts w:ascii="Arial" w:eastAsia="Calibri" w:hAnsi="Arial" w:cs="Arial"/>
        </w:rPr>
        <w:t>Evaluación del cumplimiento de la finalidad u obligación estipulada, de la eventual nulidad del acto o la extinción, rescisión o resolución del contrato y de la reversión del inmueble.</w:t>
      </w:r>
    </w:p>
    <w:p w:rsidR="0080295E" w:rsidRPr="0080295E" w:rsidRDefault="0080295E" w:rsidP="0092471C">
      <w:pPr>
        <w:numPr>
          <w:ilvl w:val="0"/>
          <w:numId w:val="297"/>
        </w:numPr>
        <w:spacing w:after="0" w:line="240" w:lineRule="auto"/>
        <w:ind w:left="2268"/>
        <w:contextualSpacing/>
        <w:jc w:val="both"/>
        <w:rPr>
          <w:rFonts w:ascii="Arial" w:eastAsia="Calibri" w:hAnsi="Arial" w:cs="Arial"/>
        </w:rPr>
      </w:pPr>
      <w:r w:rsidRPr="0080295E">
        <w:rPr>
          <w:rFonts w:ascii="Arial" w:eastAsia="Calibri" w:hAnsi="Arial" w:cs="Arial"/>
        </w:rPr>
        <w:t>Evaluación del derecho que invoca el poseedor del inmueble, distinto del beneficiario, de ser el caso, y de la eventual recuperación judicial o extrajudicial del inmueble, según corresponda.</w:t>
      </w:r>
    </w:p>
    <w:p w:rsidR="0080295E" w:rsidRDefault="0080295E" w:rsidP="007605EA">
      <w:pPr>
        <w:spacing w:after="0" w:line="240" w:lineRule="auto"/>
        <w:ind w:left="1985"/>
        <w:contextualSpacing/>
        <w:jc w:val="both"/>
        <w:rPr>
          <w:rFonts w:ascii="Arial" w:eastAsia="Calibri" w:hAnsi="Arial" w:cs="Arial"/>
        </w:rPr>
      </w:pPr>
    </w:p>
    <w:p w:rsidR="007605EA" w:rsidRPr="0080295E" w:rsidRDefault="007605EA" w:rsidP="007605EA">
      <w:pPr>
        <w:spacing w:after="0" w:line="240" w:lineRule="auto"/>
        <w:ind w:left="1985"/>
        <w:contextualSpacing/>
        <w:jc w:val="both"/>
        <w:rPr>
          <w:rFonts w:ascii="Arial" w:eastAsia="Calibri" w:hAnsi="Arial" w:cs="Arial"/>
        </w:rPr>
      </w:pPr>
    </w:p>
    <w:p w:rsidR="0080295E" w:rsidRPr="0080295E" w:rsidRDefault="0080295E" w:rsidP="0092471C">
      <w:pPr>
        <w:numPr>
          <w:ilvl w:val="2"/>
          <w:numId w:val="284"/>
        </w:numPr>
        <w:spacing w:after="0" w:line="240" w:lineRule="auto"/>
        <w:ind w:left="1985"/>
        <w:contextualSpacing/>
        <w:jc w:val="both"/>
        <w:rPr>
          <w:rFonts w:ascii="Arial" w:eastAsia="Calibri" w:hAnsi="Arial" w:cs="Arial"/>
        </w:rPr>
      </w:pPr>
      <w:r w:rsidRPr="0080295E">
        <w:rPr>
          <w:rFonts w:ascii="Arial" w:eastAsia="Calibri" w:hAnsi="Arial" w:cs="Arial"/>
          <w:b/>
        </w:rPr>
        <w:t>De la ejecución de acciones complementarias</w:t>
      </w:r>
    </w:p>
    <w:p w:rsidR="0080295E" w:rsidRPr="0080295E" w:rsidRDefault="0080295E" w:rsidP="007605EA">
      <w:pPr>
        <w:spacing w:after="0" w:line="240" w:lineRule="auto"/>
        <w:ind w:left="1985"/>
        <w:contextualSpacing/>
        <w:jc w:val="both"/>
        <w:rPr>
          <w:rFonts w:ascii="Arial" w:eastAsia="Calibri" w:hAnsi="Arial" w:cs="Arial"/>
        </w:rPr>
      </w:pPr>
    </w:p>
    <w:p w:rsidR="0080295E" w:rsidRPr="0080295E" w:rsidRDefault="0080295E" w:rsidP="007605EA">
      <w:pPr>
        <w:spacing w:after="0" w:line="240" w:lineRule="auto"/>
        <w:ind w:left="1985"/>
        <w:contextualSpacing/>
        <w:jc w:val="both"/>
        <w:rPr>
          <w:rFonts w:ascii="Arial" w:eastAsia="Calibri" w:hAnsi="Arial" w:cs="Arial"/>
          <w:lang w:val="es-ES"/>
        </w:rPr>
      </w:pPr>
      <w:r w:rsidRPr="0080295E">
        <w:rPr>
          <w:rFonts w:ascii="Arial" w:eastAsia="Calibri" w:hAnsi="Arial" w:cs="Arial"/>
          <w:lang w:val="es-ES"/>
        </w:rPr>
        <w:t xml:space="preserve">Luego de emitido el informe legal, la brigada encargada </w:t>
      </w:r>
      <w:r w:rsidRPr="0080295E">
        <w:rPr>
          <w:rFonts w:ascii="Arial" w:eastAsia="Calibri" w:hAnsi="Arial" w:cs="Arial"/>
          <w:bCs/>
          <w:lang w:val="es-ES"/>
        </w:rPr>
        <w:t>implemen</w:t>
      </w:r>
      <w:r w:rsidRPr="0080295E">
        <w:rPr>
          <w:rFonts w:ascii="Arial" w:eastAsia="Calibri" w:hAnsi="Arial" w:cs="Arial"/>
          <w:lang w:val="es-ES"/>
        </w:rPr>
        <w:t>ta las recomendaciones y demás acciones complementarias formuladas:</w:t>
      </w:r>
    </w:p>
    <w:p w:rsidR="0080295E" w:rsidRPr="0080295E" w:rsidRDefault="0080295E" w:rsidP="007605EA">
      <w:pPr>
        <w:spacing w:after="0" w:line="240" w:lineRule="auto"/>
        <w:ind w:left="1985"/>
        <w:contextualSpacing/>
        <w:jc w:val="both"/>
        <w:rPr>
          <w:rFonts w:ascii="Arial" w:eastAsia="Calibri" w:hAnsi="Arial" w:cs="Arial"/>
          <w:lang w:val="es-ES"/>
        </w:rPr>
      </w:pPr>
    </w:p>
    <w:p w:rsidR="0080295E" w:rsidRPr="0080295E" w:rsidRDefault="0080295E" w:rsidP="0092471C">
      <w:pPr>
        <w:numPr>
          <w:ilvl w:val="0"/>
          <w:numId w:val="288"/>
        </w:numPr>
        <w:spacing w:after="0" w:line="240" w:lineRule="auto"/>
        <w:ind w:left="2268"/>
        <w:contextualSpacing/>
        <w:jc w:val="both"/>
        <w:rPr>
          <w:rFonts w:ascii="Arial" w:eastAsia="Calibri" w:hAnsi="Arial" w:cs="Arial"/>
        </w:rPr>
      </w:pPr>
      <w:r w:rsidRPr="0080295E">
        <w:rPr>
          <w:rFonts w:ascii="Arial" w:eastAsia="Calibri" w:hAnsi="Arial" w:cs="Arial"/>
        </w:rPr>
        <w:t>Se actualiza el SINABIP, remitiéndose a la SDRC los documentos técnicos pertinentes (Ficha Técnica, panel fotográfico y plano, según corresponda).</w:t>
      </w:r>
    </w:p>
    <w:p w:rsidR="0080295E" w:rsidRPr="0080295E" w:rsidRDefault="0080295E" w:rsidP="0092471C">
      <w:pPr>
        <w:numPr>
          <w:ilvl w:val="0"/>
          <w:numId w:val="288"/>
        </w:numPr>
        <w:spacing w:after="0" w:line="240" w:lineRule="auto"/>
        <w:ind w:left="2268"/>
        <w:contextualSpacing/>
        <w:jc w:val="both"/>
        <w:rPr>
          <w:rFonts w:ascii="Arial" w:eastAsia="Calibri" w:hAnsi="Arial" w:cs="Arial"/>
        </w:rPr>
      </w:pPr>
      <w:r w:rsidRPr="0080295E">
        <w:rPr>
          <w:rFonts w:ascii="Arial" w:eastAsia="Calibri" w:hAnsi="Arial" w:cs="Arial"/>
        </w:rPr>
        <w:t>Se deriva a la UTD el informe y los documentos técnicos, para su archivo y custodia.</w:t>
      </w:r>
    </w:p>
    <w:p w:rsidR="0080295E" w:rsidRPr="0080295E" w:rsidRDefault="0080295E" w:rsidP="0092471C">
      <w:pPr>
        <w:numPr>
          <w:ilvl w:val="0"/>
          <w:numId w:val="288"/>
        </w:numPr>
        <w:spacing w:after="0" w:line="240" w:lineRule="auto"/>
        <w:ind w:left="2268"/>
        <w:contextualSpacing/>
        <w:jc w:val="both"/>
        <w:rPr>
          <w:rFonts w:ascii="Arial" w:eastAsia="Calibri" w:hAnsi="Arial" w:cs="Arial"/>
        </w:rPr>
      </w:pPr>
      <w:r w:rsidRPr="0080295E">
        <w:rPr>
          <w:rFonts w:ascii="Arial" w:eastAsia="Calibri" w:hAnsi="Arial" w:cs="Arial"/>
        </w:rPr>
        <w:t>Se solicita a la SDAPE la asunción de titularidad de la SBN sobre el inmueble, en caso corresponda.</w:t>
      </w:r>
    </w:p>
    <w:p w:rsidR="0080295E" w:rsidRPr="0080295E" w:rsidRDefault="0080295E" w:rsidP="0092471C">
      <w:pPr>
        <w:numPr>
          <w:ilvl w:val="0"/>
          <w:numId w:val="288"/>
        </w:numPr>
        <w:spacing w:after="0" w:line="240" w:lineRule="auto"/>
        <w:ind w:left="2268"/>
        <w:contextualSpacing/>
        <w:jc w:val="both"/>
        <w:rPr>
          <w:rFonts w:ascii="Arial" w:eastAsia="Calibri" w:hAnsi="Arial" w:cs="Arial"/>
        </w:rPr>
      </w:pPr>
      <w:r w:rsidRPr="0080295E">
        <w:rPr>
          <w:rFonts w:ascii="Arial" w:eastAsia="Calibri" w:hAnsi="Arial" w:cs="Arial"/>
        </w:rPr>
        <w:t>Se solicita al beneficiario del acto que otorgue la declaratoria de fábrica de la edificación y proceda a su inscripción en el RP, en caso corresponda.</w:t>
      </w:r>
    </w:p>
    <w:p w:rsidR="0080295E" w:rsidRPr="0080295E" w:rsidRDefault="0080295E" w:rsidP="007605EA">
      <w:pPr>
        <w:spacing w:after="0" w:line="240" w:lineRule="auto"/>
        <w:ind w:left="2268"/>
        <w:contextualSpacing/>
        <w:jc w:val="both"/>
        <w:rPr>
          <w:rFonts w:ascii="Arial" w:eastAsia="Calibri" w:hAnsi="Arial" w:cs="Arial"/>
        </w:rPr>
      </w:pPr>
    </w:p>
    <w:p w:rsidR="0080295E" w:rsidRPr="0080295E" w:rsidRDefault="0080295E" w:rsidP="007605EA">
      <w:pPr>
        <w:spacing w:after="0" w:line="240" w:lineRule="auto"/>
        <w:ind w:left="2268"/>
        <w:contextualSpacing/>
        <w:jc w:val="both"/>
        <w:rPr>
          <w:rFonts w:ascii="Arial" w:eastAsia="Calibri" w:hAnsi="Arial" w:cs="Arial"/>
          <w:lang w:val="es-ES"/>
        </w:rPr>
      </w:pPr>
      <w:r w:rsidRPr="0080295E">
        <w:rPr>
          <w:rFonts w:ascii="Arial" w:eastAsia="Calibri" w:hAnsi="Arial" w:cs="Arial"/>
          <w:lang w:val="es-ES"/>
        </w:rPr>
        <w:t xml:space="preserve">En el caso </w:t>
      </w:r>
      <w:r w:rsidRPr="0080295E">
        <w:rPr>
          <w:rFonts w:ascii="Arial" w:eastAsia="Calibri" w:hAnsi="Arial" w:cs="Arial"/>
          <w:bCs/>
          <w:lang w:val="es-ES"/>
        </w:rPr>
        <w:t>de</w:t>
      </w:r>
      <w:r w:rsidRPr="0080295E">
        <w:rPr>
          <w:rFonts w:ascii="Arial" w:eastAsia="Calibri" w:hAnsi="Arial" w:cs="Arial"/>
          <w:lang w:val="es-ES"/>
        </w:rPr>
        <w:t xml:space="preserve"> </w:t>
      </w:r>
      <w:r w:rsidRPr="0080295E">
        <w:rPr>
          <w:rFonts w:ascii="Arial" w:eastAsia="Calibri" w:hAnsi="Arial" w:cs="Arial"/>
        </w:rPr>
        <w:t>incumplimiento de la finalidad u obligación del acto</w:t>
      </w:r>
      <w:r w:rsidRPr="0080295E">
        <w:rPr>
          <w:rFonts w:ascii="Arial" w:eastAsia="Calibri" w:hAnsi="Arial" w:cs="Arial"/>
          <w:lang w:val="es-ES"/>
        </w:rPr>
        <w:t>, dentro de un plazo de diez (10) días contados desde la emisión del informe,</w:t>
      </w:r>
      <w:r w:rsidRPr="0080295E">
        <w:rPr>
          <w:rFonts w:ascii="Arial" w:eastAsia="Calibri" w:hAnsi="Arial" w:cs="Arial"/>
        </w:rPr>
        <w:t xml:space="preserve"> </w:t>
      </w:r>
      <w:r w:rsidRPr="0080295E">
        <w:rPr>
          <w:rFonts w:ascii="Arial" w:eastAsia="Calibri" w:hAnsi="Arial" w:cs="Arial"/>
          <w:lang w:val="es-ES"/>
        </w:rPr>
        <w:t>se efectúan las siguientes acciones adicionales:</w:t>
      </w:r>
    </w:p>
    <w:p w:rsidR="0080295E" w:rsidRPr="0080295E" w:rsidRDefault="0080295E" w:rsidP="007605EA">
      <w:pPr>
        <w:spacing w:after="0" w:line="240" w:lineRule="auto"/>
        <w:ind w:left="2268"/>
        <w:contextualSpacing/>
        <w:jc w:val="both"/>
        <w:rPr>
          <w:rFonts w:ascii="Arial" w:eastAsia="Calibri" w:hAnsi="Arial" w:cs="Arial"/>
          <w:lang w:val="es-ES"/>
        </w:rPr>
      </w:pPr>
    </w:p>
    <w:p w:rsidR="0080295E" w:rsidRPr="0080295E" w:rsidRDefault="0080295E" w:rsidP="0092471C">
      <w:pPr>
        <w:numPr>
          <w:ilvl w:val="0"/>
          <w:numId w:val="288"/>
        </w:numPr>
        <w:spacing w:after="0" w:line="240" w:lineRule="auto"/>
        <w:ind w:left="2268"/>
        <w:contextualSpacing/>
        <w:jc w:val="both"/>
        <w:rPr>
          <w:rFonts w:ascii="Arial" w:eastAsia="Calibri" w:hAnsi="Arial" w:cs="Arial"/>
        </w:rPr>
      </w:pPr>
      <w:r w:rsidRPr="0080295E">
        <w:rPr>
          <w:rFonts w:ascii="Arial" w:eastAsia="Calibri" w:hAnsi="Arial" w:cs="Arial"/>
        </w:rPr>
        <w:t>Se solicita a la SDAPE</w:t>
      </w:r>
      <w:r w:rsidRPr="0080295E">
        <w:rPr>
          <w:rFonts w:ascii="Arial" w:eastAsia="Calibri" w:hAnsi="Arial" w:cs="Arial"/>
          <w:lang w:val="es-ES"/>
        </w:rPr>
        <w:t xml:space="preserve"> </w:t>
      </w:r>
      <w:r w:rsidRPr="0080295E">
        <w:rPr>
          <w:rFonts w:ascii="Arial" w:eastAsia="Calibri" w:hAnsi="Arial" w:cs="Arial"/>
        </w:rPr>
        <w:t xml:space="preserve">la evaluación de la nulidad del acto emitido; o la extinción, rescisión o resolución del contrato, y consecuente reversión del dominio del inmueble, según corresponda, así como, para que ejecute los actos de administración y saneamiento del inmueble que correspondan. </w:t>
      </w:r>
    </w:p>
    <w:p w:rsidR="0080295E" w:rsidRPr="0080295E" w:rsidRDefault="0080295E" w:rsidP="0092471C">
      <w:pPr>
        <w:numPr>
          <w:ilvl w:val="0"/>
          <w:numId w:val="292"/>
        </w:numPr>
        <w:spacing w:after="0" w:line="240" w:lineRule="auto"/>
        <w:ind w:left="2268"/>
        <w:contextualSpacing/>
        <w:jc w:val="both"/>
        <w:rPr>
          <w:rFonts w:ascii="Arial" w:eastAsia="Calibri" w:hAnsi="Arial" w:cs="Arial"/>
          <w:lang w:val="es-ES"/>
        </w:rPr>
      </w:pPr>
      <w:r w:rsidRPr="0080295E">
        <w:rPr>
          <w:rFonts w:ascii="Arial" w:eastAsia="Calibri" w:hAnsi="Arial" w:cs="Arial"/>
        </w:rPr>
        <w:t>Se solicita a la entidad beneficiaria</w:t>
      </w:r>
      <w:r w:rsidRPr="0080295E">
        <w:rPr>
          <w:rFonts w:ascii="Arial" w:eastAsia="Calibri" w:hAnsi="Arial" w:cs="Arial"/>
          <w:lang w:val="es-ES"/>
        </w:rPr>
        <w:t xml:space="preserve"> </w:t>
      </w:r>
      <w:r w:rsidRPr="0080295E">
        <w:rPr>
          <w:rFonts w:ascii="Arial" w:eastAsia="Calibri" w:hAnsi="Arial" w:cs="Arial"/>
        </w:rPr>
        <w:t xml:space="preserve">para que efectúe las acciones de recuperación extrajudicial, en caso que el inmueble se encuentre ocupado por un tercero, otorgándosele un plazo de cinco (05) días para que cumpla, </w:t>
      </w:r>
      <w:r w:rsidRPr="0080295E">
        <w:rPr>
          <w:rFonts w:ascii="Arial" w:eastAsia="Calibri" w:hAnsi="Arial" w:cs="Arial"/>
          <w:lang w:val="es-ES"/>
        </w:rPr>
        <w:t>según lo previsto por el artículo 65° de la Ley N° 30230.</w:t>
      </w:r>
    </w:p>
    <w:p w:rsidR="0080295E" w:rsidRPr="0080295E" w:rsidRDefault="0080295E" w:rsidP="007605EA">
      <w:pPr>
        <w:spacing w:after="0" w:line="240" w:lineRule="auto"/>
        <w:ind w:left="2268"/>
        <w:contextualSpacing/>
        <w:jc w:val="both"/>
        <w:rPr>
          <w:rFonts w:ascii="Arial" w:eastAsia="Calibri" w:hAnsi="Arial" w:cs="Arial"/>
          <w:lang w:val="es-ES"/>
        </w:rPr>
      </w:pPr>
    </w:p>
    <w:p w:rsidR="0080295E" w:rsidRPr="0080295E" w:rsidRDefault="0080295E" w:rsidP="007605EA">
      <w:pPr>
        <w:spacing w:after="0" w:line="240" w:lineRule="auto"/>
        <w:ind w:left="2268"/>
        <w:contextualSpacing/>
        <w:jc w:val="both"/>
        <w:rPr>
          <w:rFonts w:ascii="Arial" w:eastAsia="Calibri" w:hAnsi="Arial" w:cs="Arial"/>
        </w:rPr>
      </w:pPr>
      <w:r w:rsidRPr="0080295E">
        <w:rPr>
          <w:rFonts w:ascii="Arial" w:eastAsia="Calibri" w:hAnsi="Arial" w:cs="Arial"/>
          <w:lang w:val="es-ES"/>
        </w:rPr>
        <w:t>De existir incumplimiento u omisión para la recuperación extrajudicial por parte de la entidad beneficiaria, dentro de un plazo de diez (10) días siguientes al vencimiento del plazo de cinco (05) días referido en el literal precedente, se solicita a la Procuraduría Pública de la SBN para que inicie las acciones de recuperación judicial o extrajudicial, según corresponda</w:t>
      </w:r>
      <w:r w:rsidRPr="0080295E">
        <w:rPr>
          <w:rFonts w:ascii="Arial" w:eastAsia="Calibri" w:hAnsi="Arial" w:cs="Arial"/>
        </w:rPr>
        <w:t>.</w:t>
      </w:r>
    </w:p>
    <w:p w:rsidR="0080295E" w:rsidRPr="0080295E" w:rsidRDefault="0080295E" w:rsidP="0080295E">
      <w:pPr>
        <w:spacing w:after="0" w:line="240" w:lineRule="auto"/>
        <w:contextualSpacing/>
        <w:jc w:val="both"/>
        <w:rPr>
          <w:rFonts w:ascii="Arial" w:eastAsia="Calibri" w:hAnsi="Arial" w:cs="Arial"/>
          <w:b/>
        </w:rPr>
      </w:pPr>
    </w:p>
    <w:p w:rsidR="0080295E" w:rsidRPr="0080295E" w:rsidRDefault="0080295E" w:rsidP="0092471C">
      <w:pPr>
        <w:numPr>
          <w:ilvl w:val="1"/>
          <w:numId w:val="284"/>
        </w:numPr>
        <w:spacing w:after="0" w:line="240" w:lineRule="auto"/>
        <w:ind w:left="1276" w:hanging="567"/>
        <w:contextualSpacing/>
        <w:jc w:val="both"/>
        <w:rPr>
          <w:rFonts w:ascii="Arial" w:eastAsia="Calibri" w:hAnsi="Arial" w:cs="Arial"/>
          <w:vanish/>
        </w:rPr>
      </w:pPr>
      <w:r w:rsidRPr="0080295E">
        <w:rPr>
          <w:rFonts w:ascii="Arial" w:eastAsia="Calibri" w:hAnsi="Arial" w:cs="Arial"/>
          <w:b/>
          <w:lang w:val="es-ES"/>
        </w:rPr>
        <w:t xml:space="preserve">ACTUACION </w:t>
      </w:r>
      <w:r w:rsidRPr="0080295E">
        <w:rPr>
          <w:rFonts w:ascii="Arial" w:eastAsia="Calibri" w:hAnsi="Arial" w:cs="Arial"/>
          <w:b/>
        </w:rPr>
        <w:t xml:space="preserve">DE  SUPERVISIÓN DE LOS PROCEDIMIENTOS QUE EJECUTAN LAS ENTIDADES DEL SNBE </w:t>
      </w:r>
    </w:p>
    <w:p w:rsidR="0080295E" w:rsidRDefault="0080295E" w:rsidP="0080295E">
      <w:pPr>
        <w:spacing w:after="0" w:line="240" w:lineRule="auto"/>
        <w:contextualSpacing/>
        <w:jc w:val="both"/>
        <w:rPr>
          <w:rFonts w:ascii="Arial" w:eastAsia="Calibri" w:hAnsi="Arial" w:cs="Arial"/>
        </w:rPr>
      </w:pPr>
    </w:p>
    <w:p w:rsidR="007605EA" w:rsidRPr="0080295E" w:rsidRDefault="007605EA" w:rsidP="0080295E">
      <w:pPr>
        <w:spacing w:after="0" w:line="240" w:lineRule="auto"/>
        <w:contextualSpacing/>
        <w:jc w:val="both"/>
        <w:rPr>
          <w:rFonts w:ascii="Arial" w:eastAsia="Calibri" w:hAnsi="Arial" w:cs="Arial"/>
        </w:rPr>
      </w:pPr>
    </w:p>
    <w:p w:rsidR="0080295E" w:rsidRPr="0080295E" w:rsidRDefault="0080295E" w:rsidP="0092471C">
      <w:pPr>
        <w:numPr>
          <w:ilvl w:val="2"/>
          <w:numId w:val="284"/>
        </w:numPr>
        <w:spacing w:after="0" w:line="240" w:lineRule="auto"/>
        <w:ind w:left="1985"/>
        <w:contextualSpacing/>
        <w:jc w:val="both"/>
        <w:rPr>
          <w:rFonts w:ascii="Arial" w:eastAsia="Calibri" w:hAnsi="Arial" w:cs="Arial"/>
          <w:b/>
          <w:lang w:val="es-ES"/>
        </w:rPr>
      </w:pPr>
      <w:r w:rsidRPr="0080295E">
        <w:rPr>
          <w:rFonts w:ascii="Arial" w:eastAsia="Calibri" w:hAnsi="Arial" w:cs="Arial"/>
          <w:b/>
          <w:lang w:val="es-ES"/>
        </w:rPr>
        <w:t>De la identificación del procedimiento</w:t>
      </w:r>
    </w:p>
    <w:p w:rsidR="0080295E" w:rsidRPr="0080295E" w:rsidRDefault="0080295E" w:rsidP="0080295E">
      <w:pPr>
        <w:spacing w:after="0" w:line="240" w:lineRule="auto"/>
        <w:contextualSpacing/>
        <w:jc w:val="both"/>
        <w:rPr>
          <w:rFonts w:ascii="Arial" w:eastAsia="Calibri" w:hAnsi="Arial" w:cs="Arial"/>
          <w:lang w:val="es-ES"/>
        </w:rPr>
      </w:pPr>
    </w:p>
    <w:p w:rsidR="0080295E" w:rsidRPr="0080295E" w:rsidRDefault="0080295E" w:rsidP="007605EA">
      <w:pPr>
        <w:spacing w:after="0" w:line="240" w:lineRule="auto"/>
        <w:ind w:left="1985"/>
        <w:contextualSpacing/>
        <w:jc w:val="both"/>
        <w:rPr>
          <w:rFonts w:ascii="Arial" w:eastAsia="Calibri" w:hAnsi="Arial" w:cs="Arial"/>
          <w:lang w:val="es-ES"/>
        </w:rPr>
      </w:pPr>
      <w:r w:rsidRPr="0080295E">
        <w:rPr>
          <w:rFonts w:ascii="Arial" w:eastAsia="Calibri" w:hAnsi="Arial" w:cs="Arial"/>
          <w:bCs/>
          <w:lang w:val="es-ES"/>
        </w:rPr>
        <w:t>Para</w:t>
      </w:r>
      <w:r w:rsidRPr="0080295E">
        <w:rPr>
          <w:rFonts w:ascii="Arial" w:eastAsia="Calibri" w:hAnsi="Arial" w:cs="Arial"/>
          <w:lang w:val="es-ES"/>
        </w:rPr>
        <w:t xml:space="preserve"> la identificación del procedimiento materia de </w:t>
      </w:r>
      <w:r w:rsidRPr="0080295E">
        <w:rPr>
          <w:rFonts w:ascii="Arial" w:eastAsia="Calibri" w:hAnsi="Arial" w:cs="Arial"/>
        </w:rPr>
        <w:t>supervisión</w:t>
      </w:r>
      <w:r w:rsidRPr="0080295E">
        <w:rPr>
          <w:rFonts w:ascii="Arial" w:eastAsia="Calibri" w:hAnsi="Arial" w:cs="Arial"/>
          <w:lang w:val="es-ES"/>
        </w:rPr>
        <w:t xml:space="preserve"> se toma en consideración la información que consta registrada en el SINABIP.</w:t>
      </w:r>
    </w:p>
    <w:p w:rsidR="0080295E" w:rsidRPr="0080295E" w:rsidRDefault="0080295E" w:rsidP="007605EA">
      <w:pPr>
        <w:spacing w:after="0" w:line="240" w:lineRule="auto"/>
        <w:ind w:left="1985" w:hanging="709"/>
        <w:contextualSpacing/>
        <w:jc w:val="both"/>
        <w:rPr>
          <w:rFonts w:ascii="Arial" w:eastAsia="Calibri" w:hAnsi="Arial" w:cs="Arial"/>
          <w:lang w:val="es-ES"/>
        </w:rPr>
      </w:pPr>
    </w:p>
    <w:p w:rsidR="0080295E" w:rsidRPr="0080295E" w:rsidRDefault="0080295E" w:rsidP="0092471C">
      <w:pPr>
        <w:numPr>
          <w:ilvl w:val="2"/>
          <w:numId w:val="284"/>
        </w:numPr>
        <w:spacing w:after="0" w:line="240" w:lineRule="auto"/>
        <w:ind w:left="1985" w:hanging="709"/>
        <w:contextualSpacing/>
        <w:jc w:val="both"/>
        <w:rPr>
          <w:rFonts w:ascii="Arial" w:eastAsia="Calibri" w:hAnsi="Arial" w:cs="Arial"/>
          <w:b/>
          <w:lang w:val="es-ES"/>
        </w:rPr>
      </w:pPr>
      <w:r w:rsidRPr="0080295E">
        <w:rPr>
          <w:rFonts w:ascii="Arial" w:eastAsia="Calibri" w:hAnsi="Arial" w:cs="Arial"/>
          <w:b/>
          <w:lang w:val="es-ES"/>
        </w:rPr>
        <w:t>Del encauzamiento de la denuncia</w:t>
      </w:r>
    </w:p>
    <w:p w:rsidR="0080295E" w:rsidRPr="0080295E" w:rsidRDefault="0080295E" w:rsidP="007605EA">
      <w:pPr>
        <w:spacing w:after="0" w:line="240" w:lineRule="auto"/>
        <w:ind w:left="1985" w:hanging="709"/>
        <w:contextualSpacing/>
        <w:jc w:val="both"/>
        <w:rPr>
          <w:rFonts w:ascii="Arial" w:eastAsia="Calibri" w:hAnsi="Arial" w:cs="Arial"/>
          <w:lang w:val="es-ES"/>
        </w:rPr>
      </w:pPr>
    </w:p>
    <w:p w:rsidR="0080295E" w:rsidRPr="0080295E" w:rsidRDefault="0080295E" w:rsidP="007605EA">
      <w:pPr>
        <w:spacing w:after="0" w:line="240" w:lineRule="auto"/>
        <w:ind w:left="1985"/>
        <w:contextualSpacing/>
        <w:jc w:val="both"/>
        <w:rPr>
          <w:rFonts w:ascii="Arial" w:eastAsia="Calibri" w:hAnsi="Arial" w:cs="Arial"/>
          <w:lang w:val="es-ES"/>
        </w:rPr>
      </w:pPr>
      <w:r w:rsidRPr="0080295E">
        <w:rPr>
          <w:rFonts w:ascii="Arial" w:eastAsia="Calibri" w:hAnsi="Arial" w:cs="Arial"/>
          <w:lang w:val="es-ES"/>
        </w:rPr>
        <w:t xml:space="preserve">En caso </w:t>
      </w:r>
      <w:r w:rsidRPr="0080295E">
        <w:rPr>
          <w:rFonts w:ascii="Arial" w:eastAsia="Calibri" w:hAnsi="Arial" w:cs="Arial"/>
        </w:rPr>
        <w:t>de</w:t>
      </w:r>
      <w:r w:rsidRPr="0080295E">
        <w:rPr>
          <w:rFonts w:ascii="Arial" w:eastAsia="Calibri" w:hAnsi="Arial" w:cs="Arial"/>
          <w:lang w:val="es-ES"/>
        </w:rPr>
        <w:t xml:space="preserve"> denuncia se procede a su </w:t>
      </w:r>
      <w:r w:rsidRPr="0080295E">
        <w:rPr>
          <w:rFonts w:ascii="Arial" w:eastAsia="Calibri" w:hAnsi="Arial" w:cs="Arial"/>
        </w:rPr>
        <w:t xml:space="preserve">evaluación, </w:t>
      </w:r>
      <w:r w:rsidRPr="0080295E">
        <w:rPr>
          <w:rFonts w:ascii="Arial" w:eastAsia="Calibri" w:hAnsi="Arial" w:cs="Arial"/>
          <w:lang w:val="es-ES"/>
        </w:rPr>
        <w:t xml:space="preserve">verificando que cumpla con los requisitos indicados en el numeral 5.5 y si comporta indicios de incumplimiento del debido procedimiento o infracción a la normatividad aplicable, por parte de una entidad del SNBE. </w:t>
      </w:r>
    </w:p>
    <w:p w:rsidR="0080295E" w:rsidRPr="0080295E" w:rsidRDefault="0080295E" w:rsidP="007605EA">
      <w:pPr>
        <w:spacing w:after="0" w:line="240" w:lineRule="auto"/>
        <w:ind w:left="1985" w:hanging="709"/>
        <w:contextualSpacing/>
        <w:jc w:val="both"/>
        <w:rPr>
          <w:rFonts w:ascii="Arial" w:eastAsia="Calibri" w:hAnsi="Arial" w:cs="Arial"/>
          <w:lang w:val="es-ES"/>
        </w:rPr>
      </w:pPr>
    </w:p>
    <w:p w:rsidR="0080295E" w:rsidRPr="0080295E" w:rsidRDefault="0080295E" w:rsidP="007605EA">
      <w:pPr>
        <w:spacing w:after="0" w:line="240" w:lineRule="auto"/>
        <w:ind w:left="1985"/>
        <w:contextualSpacing/>
        <w:jc w:val="both"/>
        <w:rPr>
          <w:rFonts w:ascii="Arial" w:eastAsia="Calibri" w:hAnsi="Arial" w:cs="Arial"/>
          <w:lang w:val="es-ES"/>
        </w:rPr>
      </w:pPr>
      <w:r w:rsidRPr="0080295E">
        <w:rPr>
          <w:rFonts w:ascii="Arial" w:eastAsia="Calibri" w:hAnsi="Arial" w:cs="Arial"/>
          <w:lang w:val="es-ES"/>
        </w:rPr>
        <w:t>En caso que la denuncia acredite verosimilitud respecto a los hechos denunciados, será tramitada de oficio, programándose su atención según el Plan de Supervisión.</w:t>
      </w:r>
    </w:p>
    <w:p w:rsidR="0080295E" w:rsidRPr="0080295E" w:rsidRDefault="0080295E" w:rsidP="007605EA">
      <w:pPr>
        <w:spacing w:after="0" w:line="240" w:lineRule="auto"/>
        <w:ind w:left="1985" w:hanging="709"/>
        <w:contextualSpacing/>
        <w:jc w:val="both"/>
        <w:rPr>
          <w:rFonts w:ascii="Arial" w:eastAsia="Calibri" w:hAnsi="Arial" w:cs="Arial"/>
          <w:lang w:val="es-ES"/>
        </w:rPr>
      </w:pPr>
    </w:p>
    <w:p w:rsidR="0080295E" w:rsidRPr="0080295E" w:rsidRDefault="0080295E" w:rsidP="0092471C">
      <w:pPr>
        <w:numPr>
          <w:ilvl w:val="2"/>
          <w:numId w:val="284"/>
        </w:numPr>
        <w:spacing w:after="0" w:line="240" w:lineRule="auto"/>
        <w:ind w:left="1985" w:hanging="709"/>
        <w:contextualSpacing/>
        <w:jc w:val="both"/>
        <w:rPr>
          <w:rFonts w:ascii="Arial" w:eastAsia="Calibri" w:hAnsi="Arial" w:cs="Arial"/>
          <w:b/>
          <w:lang w:val="es-ES"/>
        </w:rPr>
      </w:pPr>
      <w:r w:rsidRPr="0080295E">
        <w:rPr>
          <w:rFonts w:ascii="Arial" w:eastAsia="Calibri" w:hAnsi="Arial" w:cs="Arial"/>
          <w:b/>
          <w:lang w:val="es-ES"/>
        </w:rPr>
        <w:t>De la respuesta al denunciante</w:t>
      </w:r>
    </w:p>
    <w:p w:rsidR="0080295E" w:rsidRPr="0080295E" w:rsidRDefault="0080295E" w:rsidP="007605EA">
      <w:pPr>
        <w:spacing w:after="0" w:line="240" w:lineRule="auto"/>
        <w:ind w:left="1985" w:hanging="709"/>
        <w:contextualSpacing/>
        <w:jc w:val="both"/>
        <w:rPr>
          <w:rFonts w:ascii="Arial" w:eastAsia="Calibri" w:hAnsi="Arial" w:cs="Arial"/>
          <w:lang w:val="es-ES"/>
        </w:rPr>
      </w:pPr>
    </w:p>
    <w:p w:rsidR="0080295E" w:rsidRPr="0080295E" w:rsidRDefault="0080295E" w:rsidP="007605EA">
      <w:pPr>
        <w:spacing w:after="0" w:line="240" w:lineRule="auto"/>
        <w:ind w:left="1985"/>
        <w:contextualSpacing/>
        <w:jc w:val="both"/>
        <w:rPr>
          <w:rFonts w:ascii="Arial" w:eastAsia="Calibri" w:hAnsi="Arial" w:cs="Arial"/>
          <w:lang w:val="es-ES"/>
        </w:rPr>
      </w:pPr>
      <w:r w:rsidRPr="0080295E">
        <w:rPr>
          <w:rFonts w:ascii="Arial" w:eastAsia="Calibri" w:hAnsi="Arial" w:cs="Arial"/>
          <w:lang w:val="es-ES"/>
        </w:rPr>
        <w:t>En un plazo no mayor de veinte (20) días de presentada la denuncia, se da respuesta al denunciante, mediante oficio, comunicando lo indicado en el numeral precedente.</w:t>
      </w:r>
    </w:p>
    <w:p w:rsidR="0080295E" w:rsidRPr="0080295E" w:rsidRDefault="0080295E" w:rsidP="007605EA">
      <w:pPr>
        <w:spacing w:after="0" w:line="240" w:lineRule="auto"/>
        <w:ind w:left="1985" w:hanging="709"/>
        <w:contextualSpacing/>
        <w:jc w:val="both"/>
        <w:rPr>
          <w:rFonts w:ascii="Arial" w:eastAsia="Calibri" w:hAnsi="Arial" w:cs="Arial"/>
          <w:lang w:val="es-ES"/>
        </w:rPr>
      </w:pPr>
    </w:p>
    <w:p w:rsidR="0080295E" w:rsidRPr="0080295E" w:rsidRDefault="0080295E" w:rsidP="007605EA">
      <w:pPr>
        <w:spacing w:after="0" w:line="240" w:lineRule="auto"/>
        <w:ind w:left="1985"/>
        <w:contextualSpacing/>
        <w:jc w:val="both"/>
        <w:rPr>
          <w:rFonts w:ascii="Arial" w:eastAsia="Calibri" w:hAnsi="Arial" w:cs="Arial"/>
          <w:lang w:val="es-ES"/>
        </w:rPr>
      </w:pPr>
      <w:r w:rsidRPr="0080295E">
        <w:rPr>
          <w:rFonts w:ascii="Arial" w:eastAsia="Calibri" w:hAnsi="Arial" w:cs="Arial"/>
          <w:lang w:val="es-ES"/>
        </w:rPr>
        <w:t xml:space="preserve">En caso que, de la información proporcionada por el denunciante y con la que cuente la SBN, no sea posible identificar al procedimiento, se solicita a aquél, en el oficio de respuesta, que efectúe las precisiones respectivas.  </w:t>
      </w:r>
    </w:p>
    <w:p w:rsidR="0080295E" w:rsidRPr="0080295E" w:rsidRDefault="0080295E" w:rsidP="007605EA">
      <w:pPr>
        <w:spacing w:after="0" w:line="240" w:lineRule="auto"/>
        <w:ind w:left="1985" w:hanging="709"/>
        <w:contextualSpacing/>
        <w:jc w:val="both"/>
        <w:rPr>
          <w:rFonts w:ascii="Arial" w:eastAsia="Calibri" w:hAnsi="Arial" w:cs="Arial"/>
          <w:lang w:val="es-ES"/>
        </w:rPr>
      </w:pPr>
    </w:p>
    <w:p w:rsidR="0080295E" w:rsidRPr="0080295E" w:rsidRDefault="0080295E" w:rsidP="0092471C">
      <w:pPr>
        <w:numPr>
          <w:ilvl w:val="2"/>
          <w:numId w:val="284"/>
        </w:numPr>
        <w:spacing w:after="0" w:line="240" w:lineRule="auto"/>
        <w:ind w:left="1985" w:hanging="709"/>
        <w:contextualSpacing/>
        <w:jc w:val="both"/>
        <w:rPr>
          <w:rFonts w:ascii="Arial" w:eastAsia="Calibri" w:hAnsi="Arial" w:cs="Arial"/>
        </w:rPr>
      </w:pPr>
      <w:r w:rsidRPr="0080295E">
        <w:rPr>
          <w:rFonts w:ascii="Arial" w:eastAsia="Calibri" w:hAnsi="Arial" w:cs="Arial"/>
          <w:b/>
          <w:lang w:val="es-ES"/>
        </w:rPr>
        <w:t xml:space="preserve">Del requerimiento de información a la entidad </w:t>
      </w:r>
    </w:p>
    <w:p w:rsidR="0080295E" w:rsidRPr="0080295E" w:rsidRDefault="0080295E" w:rsidP="007605EA">
      <w:pPr>
        <w:spacing w:after="0" w:line="240" w:lineRule="auto"/>
        <w:ind w:left="1985" w:hanging="709"/>
        <w:contextualSpacing/>
        <w:jc w:val="both"/>
        <w:rPr>
          <w:rFonts w:ascii="Arial" w:eastAsia="Calibri" w:hAnsi="Arial" w:cs="Arial"/>
        </w:rPr>
      </w:pPr>
    </w:p>
    <w:p w:rsidR="0080295E" w:rsidRPr="0080295E" w:rsidRDefault="0080295E" w:rsidP="007605EA">
      <w:pPr>
        <w:spacing w:after="0" w:line="240" w:lineRule="auto"/>
        <w:ind w:left="1985"/>
        <w:contextualSpacing/>
        <w:jc w:val="both"/>
        <w:rPr>
          <w:rFonts w:ascii="Arial" w:eastAsia="Calibri" w:hAnsi="Arial" w:cs="Arial"/>
          <w:lang w:val="es-ES"/>
        </w:rPr>
      </w:pPr>
      <w:r w:rsidRPr="0080295E">
        <w:rPr>
          <w:rFonts w:ascii="Arial" w:eastAsia="Calibri" w:hAnsi="Arial" w:cs="Arial"/>
          <w:lang w:val="es-ES"/>
        </w:rPr>
        <w:t>Una vez que se haya identificado plenamente al procedimiento materia de supervisión, la brigada</w:t>
      </w:r>
      <w:r w:rsidRPr="0080295E">
        <w:rPr>
          <w:rFonts w:ascii="Arial" w:eastAsia="Calibri" w:hAnsi="Arial" w:cs="Arial"/>
          <w:bCs/>
          <w:lang w:val="es-ES"/>
        </w:rPr>
        <w:t xml:space="preserve"> encargada </w:t>
      </w:r>
      <w:r w:rsidRPr="0080295E">
        <w:rPr>
          <w:rFonts w:ascii="Arial" w:eastAsia="Calibri" w:hAnsi="Arial" w:cs="Arial"/>
          <w:lang w:val="es-ES"/>
        </w:rPr>
        <w:t>solicita a la entidad que ejecutó dicho procedimiento para que remita el expediente correspondiente y cualquier otra información y/o documentación que sea necesaria, en original o copia certificada o fedateada, en un plazo no mayor de diez (10) días, bajo responsabilidad del funcionario responsable y del titular de la entidad.</w:t>
      </w:r>
    </w:p>
    <w:p w:rsidR="0080295E" w:rsidRPr="0080295E" w:rsidRDefault="0080295E" w:rsidP="007605EA">
      <w:pPr>
        <w:spacing w:after="0" w:line="240" w:lineRule="auto"/>
        <w:ind w:left="1985" w:hanging="709"/>
        <w:contextualSpacing/>
        <w:jc w:val="both"/>
        <w:rPr>
          <w:rFonts w:ascii="Arial" w:eastAsia="Calibri" w:hAnsi="Arial" w:cs="Arial"/>
          <w:lang w:val="es-ES"/>
        </w:rPr>
      </w:pPr>
    </w:p>
    <w:p w:rsidR="0080295E" w:rsidRPr="0080295E" w:rsidRDefault="0080295E" w:rsidP="007605EA">
      <w:pPr>
        <w:spacing w:after="0" w:line="240" w:lineRule="auto"/>
        <w:ind w:left="1985"/>
        <w:contextualSpacing/>
        <w:jc w:val="both"/>
        <w:rPr>
          <w:rFonts w:ascii="Arial" w:eastAsia="Calibri" w:hAnsi="Arial" w:cs="Arial"/>
        </w:rPr>
      </w:pPr>
      <w:r w:rsidRPr="0080295E">
        <w:rPr>
          <w:rFonts w:ascii="Arial" w:eastAsia="Calibri" w:hAnsi="Arial" w:cs="Arial"/>
        </w:rPr>
        <w:t>Vencido el plazo indicado en el párrafo precedente sin que la entidad haya cumplido con remitir la información o documentación solicitada, se reitera el requerimiento, otorgándosele un último plazo de cinco (05) días.</w:t>
      </w:r>
    </w:p>
    <w:p w:rsidR="0080295E" w:rsidRPr="0080295E" w:rsidRDefault="0080295E" w:rsidP="007605EA">
      <w:pPr>
        <w:spacing w:after="0" w:line="240" w:lineRule="auto"/>
        <w:ind w:left="1985" w:hanging="709"/>
        <w:contextualSpacing/>
        <w:jc w:val="both"/>
        <w:rPr>
          <w:rFonts w:ascii="Arial" w:eastAsia="Calibri" w:hAnsi="Arial" w:cs="Arial"/>
        </w:rPr>
      </w:pPr>
    </w:p>
    <w:p w:rsidR="0080295E" w:rsidRPr="0080295E" w:rsidRDefault="0080295E" w:rsidP="007605EA">
      <w:pPr>
        <w:spacing w:after="0" w:line="240" w:lineRule="auto"/>
        <w:ind w:left="1985"/>
        <w:contextualSpacing/>
        <w:jc w:val="both"/>
        <w:rPr>
          <w:rFonts w:ascii="Arial" w:eastAsia="Calibri" w:hAnsi="Arial" w:cs="Arial"/>
          <w:lang w:val="es-ES"/>
        </w:rPr>
      </w:pPr>
      <w:r w:rsidRPr="0080295E">
        <w:rPr>
          <w:rFonts w:ascii="Arial" w:eastAsia="Calibri" w:hAnsi="Arial" w:cs="Arial"/>
        </w:rPr>
        <w:t>De haberse vencido el nuevo plazo otorgado sin que la entidad haya cumplido con remitir lo solicitado, se oficia al ÓCI de la entidad, dentro del plazo de cinco (05) días siguientes al vencimiento del plazo referido en el párrafo precedente, para que gestione la remisión de lo requerido y, en todo caso, proceda a la determinación de responsabilidades, según sus atribuciones.</w:t>
      </w:r>
    </w:p>
    <w:p w:rsidR="0080295E" w:rsidRPr="0080295E" w:rsidRDefault="0080295E" w:rsidP="007605EA">
      <w:pPr>
        <w:spacing w:after="0" w:line="240" w:lineRule="auto"/>
        <w:ind w:left="1985" w:hanging="709"/>
        <w:contextualSpacing/>
        <w:jc w:val="both"/>
        <w:rPr>
          <w:rFonts w:ascii="Arial" w:eastAsia="Calibri" w:hAnsi="Arial" w:cs="Arial"/>
          <w:lang w:val="es-ES"/>
        </w:rPr>
      </w:pPr>
    </w:p>
    <w:p w:rsidR="0080295E" w:rsidRPr="0080295E" w:rsidRDefault="0080295E" w:rsidP="0092471C">
      <w:pPr>
        <w:numPr>
          <w:ilvl w:val="2"/>
          <w:numId w:val="284"/>
        </w:numPr>
        <w:spacing w:after="0" w:line="240" w:lineRule="auto"/>
        <w:ind w:left="1985" w:hanging="709"/>
        <w:contextualSpacing/>
        <w:jc w:val="both"/>
        <w:rPr>
          <w:rFonts w:ascii="Arial" w:eastAsia="Calibri" w:hAnsi="Arial" w:cs="Arial"/>
        </w:rPr>
      </w:pPr>
      <w:r w:rsidRPr="0080295E">
        <w:rPr>
          <w:rFonts w:ascii="Arial" w:eastAsia="Calibri" w:hAnsi="Arial" w:cs="Arial"/>
          <w:b/>
        </w:rPr>
        <w:t xml:space="preserve">De la apertura del expediente </w:t>
      </w:r>
    </w:p>
    <w:p w:rsidR="0080295E" w:rsidRPr="0080295E" w:rsidRDefault="0080295E" w:rsidP="007605EA">
      <w:pPr>
        <w:spacing w:after="0" w:line="240" w:lineRule="auto"/>
        <w:ind w:left="1985" w:hanging="709"/>
        <w:contextualSpacing/>
        <w:jc w:val="both"/>
        <w:rPr>
          <w:rFonts w:ascii="Arial" w:eastAsia="Calibri" w:hAnsi="Arial" w:cs="Arial"/>
        </w:rPr>
      </w:pPr>
    </w:p>
    <w:p w:rsidR="0080295E" w:rsidRPr="0080295E" w:rsidRDefault="0080295E" w:rsidP="007605EA">
      <w:pPr>
        <w:spacing w:after="0" w:line="240" w:lineRule="auto"/>
        <w:ind w:left="1985"/>
        <w:contextualSpacing/>
        <w:jc w:val="both"/>
        <w:rPr>
          <w:rFonts w:ascii="Arial" w:eastAsia="Calibri" w:hAnsi="Arial" w:cs="Arial"/>
        </w:rPr>
      </w:pPr>
      <w:r w:rsidRPr="0080295E">
        <w:rPr>
          <w:rFonts w:ascii="Arial" w:eastAsia="Calibri" w:hAnsi="Arial" w:cs="Arial"/>
        </w:rPr>
        <w:t xml:space="preserve">Luego que la entidad haya cumplido con remitir la información y/o documentación solicitada, </w:t>
      </w:r>
      <w:r w:rsidRPr="0080295E">
        <w:rPr>
          <w:rFonts w:ascii="Arial" w:eastAsia="Calibri" w:hAnsi="Arial" w:cs="Arial"/>
          <w:lang w:val="es-ES"/>
        </w:rPr>
        <w:t>la brigada</w:t>
      </w:r>
      <w:r w:rsidRPr="0080295E">
        <w:rPr>
          <w:rFonts w:ascii="Arial" w:eastAsia="Calibri" w:hAnsi="Arial" w:cs="Arial"/>
          <w:bCs/>
          <w:lang w:val="es-ES"/>
        </w:rPr>
        <w:t xml:space="preserve"> encargada </w:t>
      </w:r>
      <w:r w:rsidRPr="0080295E">
        <w:rPr>
          <w:rFonts w:ascii="Arial" w:eastAsia="Calibri" w:hAnsi="Arial" w:cs="Arial"/>
        </w:rPr>
        <w:t>genera el respectivo expediente administrativo, asignándole un número correlativo y anexando la documentación obtenida, la cual debe estar ordenada en forma cronológica y foliada.</w:t>
      </w:r>
    </w:p>
    <w:p w:rsidR="0080295E" w:rsidRPr="0080295E" w:rsidRDefault="0080295E" w:rsidP="007605EA">
      <w:pPr>
        <w:spacing w:after="0" w:line="240" w:lineRule="auto"/>
        <w:ind w:left="1985" w:hanging="709"/>
        <w:contextualSpacing/>
        <w:jc w:val="both"/>
        <w:rPr>
          <w:rFonts w:ascii="Arial" w:eastAsia="Calibri" w:hAnsi="Arial" w:cs="Arial"/>
        </w:rPr>
      </w:pPr>
    </w:p>
    <w:p w:rsidR="0080295E" w:rsidRPr="0080295E" w:rsidRDefault="0080295E" w:rsidP="007605EA">
      <w:pPr>
        <w:spacing w:after="0" w:line="240" w:lineRule="auto"/>
        <w:ind w:left="1985"/>
        <w:contextualSpacing/>
        <w:jc w:val="both"/>
        <w:rPr>
          <w:rFonts w:ascii="Arial" w:eastAsia="Calibri" w:hAnsi="Arial" w:cs="Arial"/>
        </w:rPr>
      </w:pPr>
      <w:r w:rsidRPr="0080295E">
        <w:rPr>
          <w:rFonts w:ascii="Arial" w:eastAsia="Calibri" w:hAnsi="Arial" w:cs="Arial"/>
        </w:rPr>
        <w:t>El expediente contiene, por lo menos y según corresponda, la siguiente documentación:</w:t>
      </w:r>
    </w:p>
    <w:p w:rsidR="0080295E" w:rsidRPr="0080295E" w:rsidRDefault="0080295E" w:rsidP="007605EA">
      <w:pPr>
        <w:spacing w:after="0" w:line="240" w:lineRule="auto"/>
        <w:ind w:left="1985" w:hanging="709"/>
        <w:contextualSpacing/>
        <w:jc w:val="both"/>
        <w:rPr>
          <w:rFonts w:ascii="Arial" w:eastAsia="Calibri" w:hAnsi="Arial" w:cs="Arial"/>
        </w:rPr>
      </w:pPr>
    </w:p>
    <w:p w:rsidR="0080295E" w:rsidRPr="0080295E" w:rsidRDefault="0080295E" w:rsidP="0092471C">
      <w:pPr>
        <w:numPr>
          <w:ilvl w:val="0"/>
          <w:numId w:val="305"/>
        </w:numPr>
        <w:spacing w:after="0" w:line="240" w:lineRule="auto"/>
        <w:ind w:left="2694" w:hanging="709"/>
        <w:contextualSpacing/>
        <w:jc w:val="both"/>
        <w:rPr>
          <w:rFonts w:ascii="Arial" w:eastAsia="Calibri" w:hAnsi="Arial" w:cs="Arial"/>
        </w:rPr>
      </w:pPr>
      <w:r w:rsidRPr="0080295E">
        <w:rPr>
          <w:rFonts w:ascii="Arial" w:eastAsia="Calibri" w:hAnsi="Arial" w:cs="Arial"/>
        </w:rPr>
        <w:t>Copia informativa de la partida registral del inmueble</w:t>
      </w:r>
    </w:p>
    <w:p w:rsidR="0080295E" w:rsidRPr="0080295E" w:rsidRDefault="0080295E" w:rsidP="0092471C">
      <w:pPr>
        <w:numPr>
          <w:ilvl w:val="0"/>
          <w:numId w:val="305"/>
        </w:numPr>
        <w:spacing w:after="0" w:line="240" w:lineRule="auto"/>
        <w:ind w:left="2694" w:hanging="709"/>
        <w:contextualSpacing/>
        <w:jc w:val="both"/>
        <w:rPr>
          <w:rFonts w:ascii="Arial" w:eastAsia="Calibri" w:hAnsi="Arial" w:cs="Arial"/>
        </w:rPr>
      </w:pPr>
      <w:r w:rsidRPr="0080295E">
        <w:rPr>
          <w:rFonts w:ascii="Arial" w:eastAsia="Calibri" w:hAnsi="Arial" w:cs="Arial"/>
        </w:rPr>
        <w:t>Copia de folios del expediente correspondiente al procedimiento supervisado</w:t>
      </w:r>
    </w:p>
    <w:p w:rsidR="0080295E" w:rsidRPr="0080295E" w:rsidRDefault="0080295E" w:rsidP="0092471C">
      <w:pPr>
        <w:numPr>
          <w:ilvl w:val="0"/>
          <w:numId w:val="305"/>
        </w:numPr>
        <w:spacing w:after="0" w:line="240" w:lineRule="auto"/>
        <w:ind w:left="2694" w:hanging="709"/>
        <w:contextualSpacing/>
        <w:jc w:val="both"/>
        <w:rPr>
          <w:rFonts w:ascii="Arial" w:eastAsia="Calibri" w:hAnsi="Arial" w:cs="Arial"/>
        </w:rPr>
      </w:pPr>
      <w:r w:rsidRPr="0080295E">
        <w:rPr>
          <w:rFonts w:ascii="Arial" w:eastAsia="Calibri" w:hAnsi="Arial" w:cs="Arial"/>
        </w:rPr>
        <w:t xml:space="preserve">Oficio de notificación al funcionario </w:t>
      </w:r>
    </w:p>
    <w:p w:rsidR="0080295E" w:rsidRPr="0080295E" w:rsidRDefault="0080295E" w:rsidP="0092471C">
      <w:pPr>
        <w:numPr>
          <w:ilvl w:val="0"/>
          <w:numId w:val="305"/>
        </w:numPr>
        <w:spacing w:after="0" w:line="240" w:lineRule="auto"/>
        <w:ind w:left="2694" w:hanging="709"/>
        <w:contextualSpacing/>
        <w:jc w:val="both"/>
        <w:rPr>
          <w:rFonts w:ascii="Arial" w:eastAsia="Calibri" w:hAnsi="Arial" w:cs="Arial"/>
        </w:rPr>
      </w:pPr>
      <w:r w:rsidRPr="0080295E">
        <w:rPr>
          <w:rFonts w:ascii="Arial" w:eastAsia="Calibri" w:hAnsi="Arial" w:cs="Arial"/>
        </w:rPr>
        <w:t xml:space="preserve">Documentación presentada por el funcionario de la entidad </w:t>
      </w:r>
    </w:p>
    <w:p w:rsidR="0080295E" w:rsidRPr="0080295E" w:rsidRDefault="0080295E" w:rsidP="0092471C">
      <w:pPr>
        <w:numPr>
          <w:ilvl w:val="0"/>
          <w:numId w:val="305"/>
        </w:numPr>
        <w:spacing w:after="0" w:line="240" w:lineRule="auto"/>
        <w:ind w:left="2694" w:hanging="709"/>
        <w:contextualSpacing/>
        <w:jc w:val="both"/>
        <w:rPr>
          <w:rFonts w:ascii="Arial" w:eastAsia="Calibri" w:hAnsi="Arial" w:cs="Arial"/>
        </w:rPr>
      </w:pPr>
      <w:r w:rsidRPr="0080295E">
        <w:rPr>
          <w:rFonts w:ascii="Arial" w:eastAsia="Calibri" w:hAnsi="Arial" w:cs="Arial"/>
        </w:rPr>
        <w:t>Ficha técnica de inspección</w:t>
      </w:r>
    </w:p>
    <w:p w:rsidR="0080295E" w:rsidRPr="0080295E" w:rsidRDefault="0080295E" w:rsidP="0092471C">
      <w:pPr>
        <w:numPr>
          <w:ilvl w:val="0"/>
          <w:numId w:val="305"/>
        </w:numPr>
        <w:spacing w:after="0" w:line="240" w:lineRule="auto"/>
        <w:ind w:left="2694" w:hanging="709"/>
        <w:contextualSpacing/>
        <w:jc w:val="both"/>
        <w:rPr>
          <w:rFonts w:ascii="Arial" w:eastAsia="Calibri" w:hAnsi="Arial" w:cs="Arial"/>
        </w:rPr>
      </w:pPr>
      <w:r w:rsidRPr="0080295E">
        <w:rPr>
          <w:rFonts w:ascii="Arial" w:eastAsia="Calibri" w:hAnsi="Arial" w:cs="Arial"/>
        </w:rPr>
        <w:t>Panel fotográfico</w:t>
      </w:r>
    </w:p>
    <w:p w:rsidR="0080295E" w:rsidRPr="0080295E" w:rsidRDefault="0080295E" w:rsidP="0092471C">
      <w:pPr>
        <w:numPr>
          <w:ilvl w:val="0"/>
          <w:numId w:val="305"/>
        </w:numPr>
        <w:spacing w:after="0" w:line="240" w:lineRule="auto"/>
        <w:ind w:left="2694" w:hanging="709"/>
        <w:contextualSpacing/>
        <w:jc w:val="both"/>
        <w:rPr>
          <w:rFonts w:ascii="Arial" w:eastAsia="Calibri" w:hAnsi="Arial" w:cs="Arial"/>
        </w:rPr>
      </w:pPr>
      <w:r w:rsidRPr="0080295E">
        <w:rPr>
          <w:rFonts w:ascii="Arial" w:eastAsia="Calibri" w:hAnsi="Arial" w:cs="Arial"/>
        </w:rPr>
        <w:t>Plano perimétrico.</w:t>
      </w:r>
    </w:p>
    <w:p w:rsidR="0080295E" w:rsidRPr="0080295E" w:rsidRDefault="0080295E" w:rsidP="0092471C">
      <w:pPr>
        <w:numPr>
          <w:ilvl w:val="0"/>
          <w:numId w:val="305"/>
        </w:numPr>
        <w:spacing w:after="0" w:line="240" w:lineRule="auto"/>
        <w:ind w:left="2694" w:hanging="709"/>
        <w:contextualSpacing/>
        <w:jc w:val="both"/>
        <w:rPr>
          <w:rFonts w:ascii="Arial" w:eastAsia="Calibri" w:hAnsi="Arial" w:cs="Arial"/>
        </w:rPr>
      </w:pPr>
      <w:r w:rsidRPr="0080295E">
        <w:rPr>
          <w:rFonts w:ascii="Arial" w:eastAsia="Calibri" w:hAnsi="Arial" w:cs="Arial"/>
        </w:rPr>
        <w:t>Informe de supervisión</w:t>
      </w:r>
    </w:p>
    <w:p w:rsidR="0080295E" w:rsidRPr="0080295E" w:rsidRDefault="0080295E" w:rsidP="0092471C">
      <w:pPr>
        <w:numPr>
          <w:ilvl w:val="0"/>
          <w:numId w:val="305"/>
        </w:numPr>
        <w:spacing w:after="0" w:line="240" w:lineRule="auto"/>
        <w:ind w:left="2694" w:hanging="709"/>
        <w:contextualSpacing/>
        <w:jc w:val="both"/>
        <w:rPr>
          <w:rFonts w:ascii="Arial" w:eastAsia="Calibri" w:hAnsi="Arial" w:cs="Arial"/>
        </w:rPr>
      </w:pPr>
      <w:r w:rsidRPr="0080295E">
        <w:rPr>
          <w:rFonts w:ascii="Arial" w:eastAsia="Calibri" w:hAnsi="Arial" w:cs="Arial"/>
        </w:rPr>
        <w:t>Oficios dirigidos a entidades</w:t>
      </w:r>
    </w:p>
    <w:p w:rsidR="0080295E" w:rsidRPr="0080295E" w:rsidRDefault="0080295E" w:rsidP="0092471C">
      <w:pPr>
        <w:numPr>
          <w:ilvl w:val="0"/>
          <w:numId w:val="305"/>
        </w:numPr>
        <w:spacing w:after="0" w:line="240" w:lineRule="auto"/>
        <w:ind w:left="2694" w:hanging="709"/>
        <w:contextualSpacing/>
        <w:jc w:val="both"/>
        <w:rPr>
          <w:rFonts w:ascii="Arial" w:eastAsia="Calibri" w:hAnsi="Arial" w:cs="Arial"/>
        </w:rPr>
      </w:pPr>
      <w:r w:rsidRPr="0080295E">
        <w:rPr>
          <w:rFonts w:ascii="Arial" w:eastAsia="Calibri" w:hAnsi="Arial" w:cs="Arial"/>
        </w:rPr>
        <w:t>Memorandos u otros documentos dirigidos a las unidades orgánicas</w:t>
      </w:r>
    </w:p>
    <w:p w:rsidR="0080295E" w:rsidRPr="0080295E" w:rsidRDefault="0080295E" w:rsidP="007605EA">
      <w:pPr>
        <w:spacing w:after="0" w:line="240" w:lineRule="auto"/>
        <w:ind w:left="1985" w:hanging="709"/>
        <w:contextualSpacing/>
        <w:jc w:val="both"/>
        <w:rPr>
          <w:rFonts w:ascii="Arial" w:eastAsia="Calibri" w:hAnsi="Arial" w:cs="Arial"/>
        </w:rPr>
      </w:pPr>
    </w:p>
    <w:p w:rsidR="0080295E" w:rsidRPr="0080295E" w:rsidRDefault="0080295E" w:rsidP="0092471C">
      <w:pPr>
        <w:numPr>
          <w:ilvl w:val="2"/>
          <w:numId w:val="284"/>
        </w:numPr>
        <w:spacing w:after="0" w:line="240" w:lineRule="auto"/>
        <w:ind w:left="1985" w:hanging="709"/>
        <w:contextualSpacing/>
        <w:jc w:val="both"/>
        <w:rPr>
          <w:rFonts w:ascii="Arial" w:eastAsia="Calibri" w:hAnsi="Arial" w:cs="Arial"/>
        </w:rPr>
      </w:pPr>
      <w:r w:rsidRPr="0080295E">
        <w:rPr>
          <w:rFonts w:ascii="Arial" w:eastAsia="Calibri" w:hAnsi="Arial" w:cs="Arial"/>
          <w:b/>
        </w:rPr>
        <w:t>De la investigación técnico – legal</w:t>
      </w:r>
      <w:r w:rsidRPr="0080295E">
        <w:rPr>
          <w:rFonts w:ascii="Arial" w:eastAsia="Calibri" w:hAnsi="Arial" w:cs="Arial"/>
        </w:rPr>
        <w:t xml:space="preserve"> </w:t>
      </w:r>
    </w:p>
    <w:p w:rsidR="0080295E" w:rsidRPr="0080295E" w:rsidRDefault="0080295E" w:rsidP="007605EA">
      <w:pPr>
        <w:spacing w:after="0" w:line="240" w:lineRule="auto"/>
        <w:ind w:left="1985" w:hanging="709"/>
        <w:contextualSpacing/>
        <w:jc w:val="both"/>
        <w:rPr>
          <w:rFonts w:ascii="Arial" w:eastAsia="Calibri" w:hAnsi="Arial" w:cs="Arial"/>
        </w:rPr>
      </w:pPr>
    </w:p>
    <w:p w:rsidR="0080295E" w:rsidRPr="0080295E" w:rsidRDefault="0080295E" w:rsidP="007605EA">
      <w:pPr>
        <w:spacing w:after="0" w:line="240" w:lineRule="auto"/>
        <w:ind w:left="1985"/>
        <w:contextualSpacing/>
        <w:jc w:val="both"/>
        <w:rPr>
          <w:rFonts w:ascii="Arial" w:eastAsia="Calibri" w:hAnsi="Arial" w:cs="Arial"/>
          <w:bCs/>
          <w:lang w:val="es-ES"/>
        </w:rPr>
      </w:pPr>
      <w:r w:rsidRPr="0080295E">
        <w:rPr>
          <w:rFonts w:ascii="Arial" w:eastAsia="Calibri" w:hAnsi="Arial" w:cs="Arial"/>
          <w:lang w:val="es-ES"/>
        </w:rPr>
        <w:t>Luego</w:t>
      </w:r>
      <w:r w:rsidRPr="0080295E">
        <w:rPr>
          <w:rFonts w:ascii="Arial" w:eastAsia="Calibri" w:hAnsi="Arial" w:cs="Arial"/>
          <w:bCs/>
          <w:lang w:val="es-ES"/>
        </w:rPr>
        <w:t xml:space="preserve"> de </w:t>
      </w:r>
      <w:r w:rsidRPr="0080295E">
        <w:rPr>
          <w:rFonts w:ascii="Arial" w:eastAsia="Calibri" w:hAnsi="Arial" w:cs="Arial"/>
        </w:rPr>
        <w:t xml:space="preserve">identificado plenamente el procedimiento materia de supervisión, </w:t>
      </w:r>
      <w:r w:rsidRPr="0080295E">
        <w:rPr>
          <w:rFonts w:ascii="Arial" w:eastAsia="Calibri" w:hAnsi="Arial" w:cs="Arial"/>
          <w:lang w:val="es-ES"/>
        </w:rPr>
        <w:t>la brigada</w:t>
      </w:r>
      <w:r w:rsidRPr="0080295E">
        <w:rPr>
          <w:rFonts w:ascii="Arial" w:eastAsia="Calibri" w:hAnsi="Arial" w:cs="Arial"/>
          <w:bCs/>
          <w:lang w:val="es-ES"/>
        </w:rPr>
        <w:t xml:space="preserve"> encargada efectúa una investigación en gabinete, con la finalidad de:</w:t>
      </w:r>
    </w:p>
    <w:p w:rsidR="0080295E" w:rsidRPr="0080295E" w:rsidRDefault="0080295E" w:rsidP="007605EA">
      <w:pPr>
        <w:spacing w:after="0" w:line="240" w:lineRule="auto"/>
        <w:ind w:left="1985" w:hanging="709"/>
        <w:contextualSpacing/>
        <w:jc w:val="both"/>
        <w:rPr>
          <w:rFonts w:ascii="Arial" w:eastAsia="Calibri" w:hAnsi="Arial" w:cs="Arial"/>
          <w:bCs/>
          <w:lang w:val="es-ES"/>
        </w:rPr>
      </w:pPr>
    </w:p>
    <w:p w:rsidR="0080295E" w:rsidRPr="0080295E" w:rsidRDefault="0080295E" w:rsidP="0092471C">
      <w:pPr>
        <w:numPr>
          <w:ilvl w:val="0"/>
          <w:numId w:val="290"/>
        </w:numPr>
        <w:spacing w:after="0" w:line="240" w:lineRule="auto"/>
        <w:ind w:left="2694" w:hanging="709"/>
        <w:contextualSpacing/>
        <w:jc w:val="both"/>
        <w:rPr>
          <w:rFonts w:ascii="Arial" w:eastAsia="Calibri" w:hAnsi="Arial" w:cs="Arial"/>
          <w:bCs/>
          <w:lang w:val="es-ES"/>
        </w:rPr>
      </w:pPr>
      <w:r w:rsidRPr="0080295E">
        <w:rPr>
          <w:rFonts w:ascii="Arial" w:eastAsia="Calibri" w:hAnsi="Arial" w:cs="Arial"/>
          <w:bCs/>
          <w:lang w:val="es-ES"/>
        </w:rPr>
        <w:t>Obtener información y documentación referida al procedimiento materia de supervisión</w:t>
      </w:r>
    </w:p>
    <w:p w:rsidR="0080295E" w:rsidRPr="0080295E" w:rsidRDefault="0080295E" w:rsidP="0092471C">
      <w:pPr>
        <w:numPr>
          <w:ilvl w:val="0"/>
          <w:numId w:val="290"/>
        </w:numPr>
        <w:spacing w:after="0" w:line="240" w:lineRule="auto"/>
        <w:ind w:left="2694" w:hanging="709"/>
        <w:contextualSpacing/>
        <w:jc w:val="both"/>
        <w:rPr>
          <w:rFonts w:ascii="Arial" w:eastAsia="Calibri" w:hAnsi="Arial" w:cs="Arial"/>
          <w:bCs/>
          <w:lang w:val="es-ES"/>
        </w:rPr>
      </w:pPr>
      <w:r w:rsidRPr="0080295E">
        <w:rPr>
          <w:rFonts w:ascii="Arial" w:eastAsia="Calibri" w:hAnsi="Arial" w:cs="Arial"/>
          <w:bCs/>
          <w:lang w:val="es-ES"/>
        </w:rPr>
        <w:t>Verificar la existencia de algún proceso judicial en trámite que obligue a la suspensión o conclusión de la supervisión</w:t>
      </w:r>
    </w:p>
    <w:p w:rsidR="0080295E" w:rsidRPr="0080295E" w:rsidRDefault="0080295E" w:rsidP="0092471C">
      <w:pPr>
        <w:numPr>
          <w:ilvl w:val="0"/>
          <w:numId w:val="290"/>
        </w:numPr>
        <w:spacing w:after="0" w:line="240" w:lineRule="auto"/>
        <w:ind w:left="2694" w:hanging="709"/>
        <w:contextualSpacing/>
        <w:jc w:val="both"/>
        <w:rPr>
          <w:rFonts w:ascii="Arial" w:eastAsia="Calibri" w:hAnsi="Arial" w:cs="Arial"/>
          <w:bCs/>
          <w:lang w:val="es-ES"/>
        </w:rPr>
      </w:pPr>
      <w:r w:rsidRPr="0080295E">
        <w:rPr>
          <w:rFonts w:ascii="Arial" w:eastAsia="Calibri" w:hAnsi="Arial" w:cs="Arial"/>
          <w:bCs/>
          <w:lang w:val="es-ES"/>
        </w:rPr>
        <w:t>Efectuar el análisis de la información y documentación obtenida respecto del procedimiento supervisado.</w:t>
      </w:r>
    </w:p>
    <w:p w:rsidR="0080295E" w:rsidRPr="0080295E" w:rsidRDefault="0080295E" w:rsidP="007605EA">
      <w:pPr>
        <w:spacing w:after="0" w:line="240" w:lineRule="auto"/>
        <w:ind w:left="1985" w:hanging="709"/>
        <w:contextualSpacing/>
        <w:jc w:val="both"/>
        <w:rPr>
          <w:rFonts w:ascii="Arial" w:eastAsia="Calibri" w:hAnsi="Arial" w:cs="Arial"/>
          <w:bCs/>
          <w:lang w:val="es-ES"/>
        </w:rPr>
      </w:pPr>
    </w:p>
    <w:p w:rsidR="0080295E" w:rsidRPr="0080295E" w:rsidRDefault="0080295E" w:rsidP="007605EA">
      <w:pPr>
        <w:spacing w:after="0" w:line="240" w:lineRule="auto"/>
        <w:ind w:left="1985"/>
        <w:contextualSpacing/>
        <w:jc w:val="both"/>
        <w:rPr>
          <w:rFonts w:ascii="Arial" w:eastAsia="Calibri" w:hAnsi="Arial" w:cs="Arial"/>
          <w:bCs/>
          <w:lang w:val="es-ES"/>
        </w:rPr>
      </w:pPr>
      <w:r w:rsidRPr="0080295E">
        <w:rPr>
          <w:rFonts w:ascii="Arial" w:eastAsia="Calibri" w:hAnsi="Arial" w:cs="Arial"/>
          <w:bCs/>
          <w:lang w:val="es-ES"/>
        </w:rPr>
        <w:t>Para tal efecto, se realizan las siguientes acciones:</w:t>
      </w:r>
    </w:p>
    <w:p w:rsidR="0080295E" w:rsidRPr="0080295E" w:rsidRDefault="0080295E" w:rsidP="007605EA">
      <w:pPr>
        <w:spacing w:after="0" w:line="240" w:lineRule="auto"/>
        <w:ind w:left="1985" w:hanging="709"/>
        <w:contextualSpacing/>
        <w:jc w:val="both"/>
        <w:rPr>
          <w:rFonts w:ascii="Arial" w:eastAsia="Calibri" w:hAnsi="Arial" w:cs="Arial"/>
          <w:lang w:val="es-ES"/>
        </w:rPr>
      </w:pPr>
    </w:p>
    <w:p w:rsidR="0080295E" w:rsidRPr="0080295E" w:rsidRDefault="0080295E" w:rsidP="0092471C">
      <w:pPr>
        <w:numPr>
          <w:ilvl w:val="0"/>
          <w:numId w:val="295"/>
        </w:numPr>
        <w:spacing w:after="0" w:line="240" w:lineRule="auto"/>
        <w:ind w:left="2694" w:hanging="709"/>
        <w:contextualSpacing/>
        <w:jc w:val="both"/>
        <w:rPr>
          <w:rFonts w:ascii="Arial" w:eastAsia="Calibri" w:hAnsi="Arial" w:cs="Arial"/>
        </w:rPr>
      </w:pPr>
      <w:r w:rsidRPr="0080295E">
        <w:rPr>
          <w:rFonts w:ascii="Arial" w:eastAsia="Calibri" w:hAnsi="Arial" w:cs="Arial"/>
        </w:rPr>
        <w:t>Se revisa el expediente administrativo remitido por la entidad y se fotocopian los folios que se requieran para anexarse al expediente de supervisión. De ser necesario, se puede incorporar copia del íntegro del expediente administrativo a este último.</w:t>
      </w:r>
    </w:p>
    <w:p w:rsidR="0080295E" w:rsidRPr="0080295E" w:rsidRDefault="0080295E" w:rsidP="0092471C">
      <w:pPr>
        <w:numPr>
          <w:ilvl w:val="0"/>
          <w:numId w:val="295"/>
        </w:numPr>
        <w:spacing w:after="0" w:line="240" w:lineRule="auto"/>
        <w:ind w:left="2694" w:hanging="709"/>
        <w:contextualSpacing/>
        <w:jc w:val="both"/>
        <w:rPr>
          <w:rFonts w:ascii="Arial" w:eastAsia="Calibri" w:hAnsi="Arial" w:cs="Arial"/>
        </w:rPr>
      </w:pPr>
      <w:r w:rsidRPr="0080295E">
        <w:rPr>
          <w:rFonts w:ascii="Arial" w:eastAsia="Calibri" w:hAnsi="Arial" w:cs="Arial"/>
        </w:rPr>
        <w:t>Se recaba la información del SINABIP y el legajo del inmueble.</w:t>
      </w:r>
    </w:p>
    <w:p w:rsidR="0080295E" w:rsidRPr="0080295E" w:rsidRDefault="0080295E" w:rsidP="0092471C">
      <w:pPr>
        <w:numPr>
          <w:ilvl w:val="0"/>
          <w:numId w:val="295"/>
        </w:numPr>
        <w:spacing w:after="0" w:line="240" w:lineRule="auto"/>
        <w:ind w:left="2694" w:hanging="709"/>
        <w:contextualSpacing/>
        <w:jc w:val="both"/>
        <w:rPr>
          <w:rFonts w:ascii="Arial" w:eastAsia="Calibri" w:hAnsi="Arial" w:cs="Arial"/>
        </w:rPr>
      </w:pPr>
      <w:r w:rsidRPr="0080295E">
        <w:rPr>
          <w:rFonts w:ascii="Arial" w:eastAsia="Calibri" w:hAnsi="Arial" w:cs="Arial"/>
        </w:rPr>
        <w:t>Se consultan el SID, las Bases Gráficas y otras fuentes de información disponibles.</w:t>
      </w:r>
    </w:p>
    <w:p w:rsidR="0080295E" w:rsidRPr="0080295E" w:rsidRDefault="0080295E" w:rsidP="0092471C">
      <w:pPr>
        <w:numPr>
          <w:ilvl w:val="0"/>
          <w:numId w:val="295"/>
        </w:numPr>
        <w:spacing w:after="0" w:line="240" w:lineRule="auto"/>
        <w:ind w:left="2694" w:hanging="709"/>
        <w:contextualSpacing/>
        <w:jc w:val="both"/>
        <w:rPr>
          <w:rFonts w:ascii="Arial" w:eastAsia="Calibri" w:hAnsi="Arial" w:cs="Arial"/>
        </w:rPr>
      </w:pPr>
      <w:r w:rsidRPr="0080295E">
        <w:rPr>
          <w:rFonts w:ascii="Arial" w:eastAsia="Calibri" w:hAnsi="Arial" w:cs="Arial"/>
        </w:rPr>
        <w:t>Se obtiene del RP copia de la partida registral actualizada del inmueble materia del procedimiento.</w:t>
      </w:r>
    </w:p>
    <w:p w:rsidR="0080295E" w:rsidRPr="0080295E" w:rsidRDefault="0080295E" w:rsidP="0092471C">
      <w:pPr>
        <w:numPr>
          <w:ilvl w:val="0"/>
          <w:numId w:val="295"/>
        </w:numPr>
        <w:spacing w:after="0" w:line="240" w:lineRule="auto"/>
        <w:ind w:left="2694" w:hanging="709"/>
        <w:contextualSpacing/>
        <w:jc w:val="both"/>
        <w:rPr>
          <w:rFonts w:ascii="Arial" w:eastAsia="Calibri" w:hAnsi="Arial" w:cs="Arial"/>
        </w:rPr>
      </w:pPr>
      <w:r w:rsidRPr="0080295E">
        <w:rPr>
          <w:rFonts w:ascii="Arial" w:eastAsia="Calibri" w:hAnsi="Arial" w:cs="Arial"/>
        </w:rPr>
        <w:t xml:space="preserve">Se revisa el aplicativo de procesos </w:t>
      </w:r>
      <w:r w:rsidRPr="0080295E">
        <w:rPr>
          <w:rFonts w:ascii="Arial" w:eastAsia="Calibri" w:hAnsi="Arial" w:cs="Arial"/>
          <w:lang w:val="es-ES"/>
        </w:rPr>
        <w:t>judiciales</w:t>
      </w:r>
    </w:p>
    <w:p w:rsidR="0080295E" w:rsidRPr="0080295E" w:rsidRDefault="0080295E" w:rsidP="007605EA">
      <w:pPr>
        <w:spacing w:after="0" w:line="240" w:lineRule="auto"/>
        <w:ind w:left="1985" w:hanging="709"/>
        <w:contextualSpacing/>
        <w:jc w:val="both"/>
        <w:rPr>
          <w:rFonts w:ascii="Arial" w:eastAsia="Calibri" w:hAnsi="Arial" w:cs="Arial"/>
        </w:rPr>
      </w:pPr>
    </w:p>
    <w:p w:rsidR="0080295E" w:rsidRPr="0080295E" w:rsidRDefault="0080295E" w:rsidP="0092471C">
      <w:pPr>
        <w:numPr>
          <w:ilvl w:val="2"/>
          <w:numId w:val="284"/>
        </w:numPr>
        <w:spacing w:after="0" w:line="240" w:lineRule="auto"/>
        <w:ind w:left="1985" w:hanging="709"/>
        <w:contextualSpacing/>
        <w:jc w:val="both"/>
        <w:rPr>
          <w:rFonts w:ascii="Arial" w:eastAsia="Calibri" w:hAnsi="Arial" w:cs="Arial"/>
          <w:b/>
        </w:rPr>
      </w:pPr>
      <w:r w:rsidRPr="0080295E">
        <w:rPr>
          <w:rFonts w:ascii="Arial" w:eastAsia="Calibri" w:hAnsi="Arial" w:cs="Arial"/>
          <w:b/>
          <w:lang w:val="es-ES"/>
        </w:rPr>
        <w:t>De la conclusión anticipada de la supervisión</w:t>
      </w:r>
    </w:p>
    <w:p w:rsidR="0080295E" w:rsidRPr="0080295E" w:rsidRDefault="0080295E" w:rsidP="007605EA">
      <w:pPr>
        <w:spacing w:after="0" w:line="240" w:lineRule="auto"/>
        <w:ind w:left="1985" w:hanging="709"/>
        <w:contextualSpacing/>
        <w:jc w:val="both"/>
        <w:rPr>
          <w:rFonts w:ascii="Arial" w:eastAsia="Calibri" w:hAnsi="Arial" w:cs="Arial"/>
          <w:b/>
        </w:rPr>
      </w:pPr>
    </w:p>
    <w:p w:rsidR="0080295E" w:rsidRPr="0080295E" w:rsidRDefault="0080295E" w:rsidP="007605EA">
      <w:pPr>
        <w:spacing w:after="0" w:line="240" w:lineRule="auto"/>
        <w:ind w:left="1985"/>
        <w:contextualSpacing/>
        <w:jc w:val="both"/>
        <w:rPr>
          <w:rFonts w:ascii="Arial" w:eastAsia="Calibri" w:hAnsi="Arial" w:cs="Arial"/>
        </w:rPr>
      </w:pPr>
      <w:r w:rsidRPr="0080295E">
        <w:rPr>
          <w:rFonts w:ascii="Arial" w:eastAsia="Calibri" w:hAnsi="Arial" w:cs="Arial"/>
        </w:rPr>
        <w:t>Si se determina que existe en trámite algún proceso judicial que verse sobre la nulidad, validez o ejecutoriedad del acto emitido en el procedimiento supervisado o sobre la propiedad y/o posesión del inmueble sobre el que versa el procedimiento y se considera que se pudiera interferir con la función jurisdiccional, se suspende o concluye la supervisión, en cumplimiento de lo dispuesto por el artículo 4° del TUO de la Ley Orgánica del Poder Judicial, aprobado por DS N° 017-93-JUS.</w:t>
      </w:r>
    </w:p>
    <w:p w:rsidR="0080295E" w:rsidRPr="0080295E" w:rsidRDefault="0080295E" w:rsidP="007605EA">
      <w:pPr>
        <w:spacing w:after="0" w:line="240" w:lineRule="auto"/>
        <w:ind w:left="1985" w:hanging="709"/>
        <w:contextualSpacing/>
        <w:jc w:val="both"/>
        <w:rPr>
          <w:rFonts w:ascii="Arial" w:eastAsia="Calibri" w:hAnsi="Arial" w:cs="Arial"/>
        </w:rPr>
      </w:pPr>
    </w:p>
    <w:p w:rsidR="0080295E" w:rsidRPr="0080295E" w:rsidRDefault="0080295E" w:rsidP="0092471C">
      <w:pPr>
        <w:numPr>
          <w:ilvl w:val="2"/>
          <w:numId w:val="284"/>
        </w:numPr>
        <w:spacing w:after="0" w:line="240" w:lineRule="auto"/>
        <w:ind w:left="1985" w:hanging="709"/>
        <w:contextualSpacing/>
        <w:jc w:val="both"/>
        <w:rPr>
          <w:rFonts w:ascii="Arial" w:eastAsia="Calibri" w:hAnsi="Arial" w:cs="Arial"/>
        </w:rPr>
      </w:pPr>
      <w:r w:rsidRPr="0080295E">
        <w:rPr>
          <w:rFonts w:ascii="Arial" w:eastAsia="Calibri" w:hAnsi="Arial" w:cs="Arial"/>
          <w:b/>
        </w:rPr>
        <w:t xml:space="preserve">De la identificación de infracciones </w:t>
      </w:r>
    </w:p>
    <w:p w:rsidR="0080295E" w:rsidRPr="0080295E" w:rsidRDefault="0080295E" w:rsidP="007605EA">
      <w:pPr>
        <w:spacing w:after="0" w:line="240" w:lineRule="auto"/>
        <w:ind w:left="1985" w:hanging="709"/>
        <w:contextualSpacing/>
        <w:jc w:val="both"/>
        <w:rPr>
          <w:rFonts w:ascii="Arial" w:eastAsia="Calibri" w:hAnsi="Arial" w:cs="Arial"/>
        </w:rPr>
      </w:pPr>
    </w:p>
    <w:p w:rsidR="0080295E" w:rsidRPr="0080295E" w:rsidRDefault="0080295E" w:rsidP="007605EA">
      <w:pPr>
        <w:spacing w:after="0" w:line="240" w:lineRule="auto"/>
        <w:ind w:left="1985"/>
        <w:contextualSpacing/>
        <w:jc w:val="both"/>
        <w:rPr>
          <w:rFonts w:ascii="Arial" w:eastAsia="Calibri" w:hAnsi="Arial" w:cs="Arial"/>
          <w:lang w:val="es-ES"/>
        </w:rPr>
      </w:pPr>
      <w:r w:rsidRPr="0080295E">
        <w:rPr>
          <w:rFonts w:ascii="Arial" w:eastAsia="Calibri" w:hAnsi="Arial" w:cs="Arial"/>
          <w:lang w:val="es-ES"/>
        </w:rPr>
        <w:t xml:space="preserve">En la investigación técnico-legal se verifica que los procedimientos que ejecutan las entidades, hayan cumplido con lo establecido en la Ley, Reglamento y demás normas que los regulan; así como, se verifica que hayan aplicado de manera efectiva las normas del debido procedimiento.  </w:t>
      </w:r>
    </w:p>
    <w:p w:rsidR="0080295E" w:rsidRPr="0080295E" w:rsidRDefault="0080295E" w:rsidP="007605EA">
      <w:pPr>
        <w:spacing w:after="0" w:line="240" w:lineRule="auto"/>
        <w:ind w:left="1985" w:hanging="709"/>
        <w:contextualSpacing/>
        <w:jc w:val="both"/>
        <w:rPr>
          <w:rFonts w:ascii="Arial" w:eastAsia="Calibri" w:hAnsi="Arial" w:cs="Arial"/>
          <w:lang w:val="es-ES"/>
        </w:rPr>
      </w:pPr>
    </w:p>
    <w:p w:rsidR="0080295E" w:rsidRPr="0080295E" w:rsidRDefault="0080295E" w:rsidP="0092471C">
      <w:pPr>
        <w:numPr>
          <w:ilvl w:val="2"/>
          <w:numId w:val="284"/>
        </w:numPr>
        <w:spacing w:after="0" w:line="240" w:lineRule="auto"/>
        <w:ind w:left="1985" w:hanging="709"/>
        <w:contextualSpacing/>
        <w:jc w:val="both"/>
        <w:rPr>
          <w:rFonts w:ascii="Arial" w:eastAsia="Calibri" w:hAnsi="Arial" w:cs="Arial"/>
          <w:b/>
        </w:rPr>
      </w:pPr>
      <w:r w:rsidRPr="0080295E">
        <w:rPr>
          <w:rFonts w:ascii="Arial" w:eastAsia="Calibri" w:hAnsi="Arial" w:cs="Arial"/>
          <w:b/>
        </w:rPr>
        <w:t xml:space="preserve">De la formulación y notificación </w:t>
      </w:r>
      <w:r w:rsidRPr="0080295E">
        <w:rPr>
          <w:rFonts w:ascii="Arial" w:eastAsia="Calibri" w:hAnsi="Arial" w:cs="Arial"/>
          <w:b/>
          <w:lang w:val="es-ES"/>
        </w:rPr>
        <w:t>de</w:t>
      </w:r>
      <w:r w:rsidRPr="0080295E">
        <w:rPr>
          <w:rFonts w:ascii="Arial" w:eastAsia="Calibri" w:hAnsi="Arial" w:cs="Arial"/>
          <w:b/>
        </w:rPr>
        <w:t xml:space="preserve"> observaciones y descargos</w:t>
      </w:r>
    </w:p>
    <w:p w:rsidR="0080295E" w:rsidRPr="0080295E" w:rsidRDefault="0080295E" w:rsidP="007605EA">
      <w:pPr>
        <w:spacing w:after="0" w:line="240" w:lineRule="auto"/>
        <w:ind w:left="1985" w:hanging="709"/>
        <w:contextualSpacing/>
        <w:jc w:val="both"/>
        <w:rPr>
          <w:rFonts w:ascii="Arial" w:eastAsia="Calibri" w:hAnsi="Arial" w:cs="Arial"/>
        </w:rPr>
      </w:pPr>
    </w:p>
    <w:p w:rsidR="0080295E" w:rsidRPr="0080295E" w:rsidRDefault="0080295E" w:rsidP="007605EA">
      <w:pPr>
        <w:spacing w:after="0" w:line="240" w:lineRule="auto"/>
        <w:ind w:left="1985"/>
        <w:contextualSpacing/>
        <w:jc w:val="both"/>
        <w:rPr>
          <w:rFonts w:ascii="Arial" w:eastAsia="Calibri" w:hAnsi="Arial" w:cs="Arial"/>
        </w:rPr>
      </w:pPr>
      <w:r w:rsidRPr="0080295E">
        <w:rPr>
          <w:rFonts w:ascii="Arial" w:eastAsia="Calibri" w:hAnsi="Arial" w:cs="Arial"/>
        </w:rPr>
        <w:t>Si se advierte infracción a la normatividad aplicable a</w:t>
      </w:r>
      <w:r w:rsidRPr="0080295E">
        <w:rPr>
          <w:rFonts w:ascii="Arial" w:eastAsia="Calibri" w:hAnsi="Arial" w:cs="Arial"/>
          <w:lang w:val="es-ES"/>
        </w:rPr>
        <w:t>l procedimiento ejecutado por la entidad</w:t>
      </w:r>
      <w:r w:rsidRPr="0080295E">
        <w:rPr>
          <w:rFonts w:ascii="Arial" w:eastAsia="Calibri" w:hAnsi="Arial" w:cs="Arial"/>
        </w:rPr>
        <w:t xml:space="preserve">, </w:t>
      </w:r>
      <w:r w:rsidRPr="0080295E">
        <w:rPr>
          <w:rFonts w:ascii="Arial" w:eastAsia="Calibri" w:hAnsi="Arial" w:cs="Arial"/>
          <w:lang w:val="es-ES"/>
        </w:rPr>
        <w:t xml:space="preserve">se debe identificar al funcionario responsable, a quien </w:t>
      </w:r>
      <w:r w:rsidRPr="0080295E">
        <w:rPr>
          <w:rFonts w:ascii="Arial" w:eastAsia="Calibri" w:hAnsi="Arial" w:cs="Arial"/>
        </w:rPr>
        <w:t>se notifica formulándosele las observaciones y solicitándole el descargo correspondiente, dentro del plazo establecido en cada procedimiento, o en su defecto, en un plazo no mayor de diez (10) días.</w:t>
      </w:r>
    </w:p>
    <w:p w:rsidR="0080295E" w:rsidRPr="0080295E" w:rsidRDefault="0080295E" w:rsidP="007605EA">
      <w:pPr>
        <w:spacing w:after="0" w:line="240" w:lineRule="auto"/>
        <w:ind w:left="1985" w:hanging="709"/>
        <w:contextualSpacing/>
        <w:jc w:val="both"/>
        <w:rPr>
          <w:rFonts w:ascii="Arial" w:eastAsia="Calibri" w:hAnsi="Arial" w:cs="Arial"/>
        </w:rPr>
      </w:pPr>
    </w:p>
    <w:p w:rsidR="0080295E" w:rsidRPr="0080295E" w:rsidRDefault="0080295E" w:rsidP="007605EA">
      <w:pPr>
        <w:spacing w:after="0" w:line="240" w:lineRule="auto"/>
        <w:ind w:left="1985"/>
        <w:contextualSpacing/>
        <w:jc w:val="both"/>
        <w:rPr>
          <w:rFonts w:ascii="Arial" w:eastAsia="Calibri" w:hAnsi="Arial" w:cs="Arial"/>
        </w:rPr>
      </w:pPr>
      <w:r w:rsidRPr="0080295E">
        <w:rPr>
          <w:rFonts w:ascii="Arial" w:eastAsia="Calibri" w:hAnsi="Arial" w:cs="Arial"/>
        </w:rPr>
        <w:t>Luego de presentado el descargo por el funcionario responsable de la entidad, se procede a su revisión.</w:t>
      </w:r>
    </w:p>
    <w:p w:rsidR="0080295E" w:rsidRPr="0080295E" w:rsidRDefault="0080295E" w:rsidP="007605EA">
      <w:pPr>
        <w:spacing w:after="0" w:line="240" w:lineRule="auto"/>
        <w:ind w:left="1985" w:hanging="709"/>
        <w:contextualSpacing/>
        <w:jc w:val="both"/>
        <w:rPr>
          <w:rFonts w:ascii="Arial" w:eastAsia="Calibri" w:hAnsi="Arial" w:cs="Arial"/>
          <w:b/>
        </w:rPr>
      </w:pPr>
    </w:p>
    <w:p w:rsidR="0080295E" w:rsidRPr="0080295E" w:rsidRDefault="0080295E" w:rsidP="0092471C">
      <w:pPr>
        <w:numPr>
          <w:ilvl w:val="2"/>
          <w:numId w:val="284"/>
        </w:numPr>
        <w:spacing w:after="0" w:line="240" w:lineRule="auto"/>
        <w:ind w:left="1985" w:hanging="709"/>
        <w:contextualSpacing/>
        <w:jc w:val="both"/>
        <w:rPr>
          <w:rFonts w:ascii="Arial" w:eastAsia="Calibri" w:hAnsi="Arial" w:cs="Arial"/>
        </w:rPr>
      </w:pPr>
      <w:r w:rsidRPr="0080295E">
        <w:rPr>
          <w:rFonts w:ascii="Arial" w:eastAsia="Calibri" w:hAnsi="Arial" w:cs="Arial"/>
          <w:b/>
        </w:rPr>
        <w:t>De la inspección</w:t>
      </w:r>
    </w:p>
    <w:p w:rsidR="0080295E" w:rsidRPr="0080295E" w:rsidRDefault="0080295E" w:rsidP="007605EA">
      <w:pPr>
        <w:spacing w:after="0" w:line="240" w:lineRule="auto"/>
        <w:ind w:left="1985" w:hanging="709"/>
        <w:contextualSpacing/>
        <w:jc w:val="both"/>
        <w:rPr>
          <w:rFonts w:ascii="Arial" w:eastAsia="Calibri" w:hAnsi="Arial" w:cs="Arial"/>
          <w:b/>
        </w:rPr>
      </w:pPr>
    </w:p>
    <w:p w:rsidR="0080295E" w:rsidRPr="0080295E" w:rsidRDefault="0080295E" w:rsidP="007605EA">
      <w:pPr>
        <w:spacing w:after="0" w:line="240" w:lineRule="auto"/>
        <w:ind w:left="1985"/>
        <w:contextualSpacing/>
        <w:jc w:val="both"/>
        <w:rPr>
          <w:rFonts w:ascii="Arial" w:eastAsia="Calibri" w:hAnsi="Arial" w:cs="Arial"/>
        </w:rPr>
      </w:pPr>
      <w:r w:rsidRPr="0080295E">
        <w:rPr>
          <w:rFonts w:ascii="Arial" w:eastAsia="Calibri" w:hAnsi="Arial" w:cs="Arial"/>
        </w:rPr>
        <w:t xml:space="preserve">La inspección la efectúa </w:t>
      </w:r>
      <w:r w:rsidRPr="0080295E">
        <w:rPr>
          <w:rFonts w:ascii="Arial" w:eastAsia="Calibri" w:hAnsi="Arial" w:cs="Arial"/>
          <w:lang w:val="es-ES"/>
        </w:rPr>
        <w:t>la brigada</w:t>
      </w:r>
      <w:r w:rsidRPr="0080295E">
        <w:rPr>
          <w:rFonts w:ascii="Arial" w:eastAsia="Calibri" w:hAnsi="Arial" w:cs="Arial"/>
          <w:bCs/>
          <w:lang w:val="es-ES"/>
        </w:rPr>
        <w:t xml:space="preserve"> encargada </w:t>
      </w:r>
      <w:r w:rsidRPr="0080295E">
        <w:rPr>
          <w:rFonts w:ascii="Arial" w:eastAsia="Calibri" w:hAnsi="Arial" w:cs="Arial"/>
        </w:rPr>
        <w:t xml:space="preserve">únicamente en los casos que necesariamente se requiera. </w:t>
      </w:r>
    </w:p>
    <w:p w:rsidR="0080295E" w:rsidRPr="0080295E" w:rsidRDefault="0080295E" w:rsidP="007605EA">
      <w:pPr>
        <w:spacing w:after="0" w:line="240" w:lineRule="auto"/>
        <w:ind w:left="1985" w:hanging="709"/>
        <w:contextualSpacing/>
        <w:jc w:val="both"/>
        <w:rPr>
          <w:rFonts w:ascii="Arial" w:eastAsia="Calibri" w:hAnsi="Arial" w:cs="Arial"/>
        </w:rPr>
      </w:pPr>
    </w:p>
    <w:p w:rsidR="0080295E" w:rsidRPr="0080295E" w:rsidRDefault="0080295E" w:rsidP="007605EA">
      <w:pPr>
        <w:spacing w:after="0" w:line="240" w:lineRule="auto"/>
        <w:ind w:left="1985"/>
        <w:contextualSpacing/>
        <w:jc w:val="both"/>
        <w:rPr>
          <w:rFonts w:ascii="Arial" w:eastAsia="Calibri" w:hAnsi="Arial" w:cs="Arial"/>
        </w:rPr>
      </w:pPr>
      <w:r w:rsidRPr="0080295E">
        <w:rPr>
          <w:rFonts w:ascii="Arial" w:eastAsia="Calibri" w:hAnsi="Arial" w:cs="Arial"/>
        </w:rPr>
        <w:t>En tales casos, la inspección busca constatar la exacta situación física del inmueble, el uso actual, el poseedor, las edificaciones existentes y toda otra característica relevante, así como, verificar la correspondencia de la realidad física con lo resuelto en el procedimiento ejecutado por la entidad.</w:t>
      </w:r>
    </w:p>
    <w:p w:rsidR="0080295E" w:rsidRDefault="0080295E" w:rsidP="007605EA">
      <w:pPr>
        <w:spacing w:after="0" w:line="240" w:lineRule="auto"/>
        <w:ind w:left="1985" w:hanging="709"/>
        <w:contextualSpacing/>
        <w:jc w:val="both"/>
        <w:rPr>
          <w:rFonts w:ascii="Arial" w:eastAsia="Calibri" w:hAnsi="Arial" w:cs="Arial"/>
        </w:rPr>
      </w:pPr>
    </w:p>
    <w:p w:rsidR="007605EA" w:rsidRDefault="007605EA" w:rsidP="007605EA">
      <w:pPr>
        <w:spacing w:after="0" w:line="240" w:lineRule="auto"/>
        <w:ind w:left="1985" w:hanging="709"/>
        <w:contextualSpacing/>
        <w:jc w:val="both"/>
        <w:rPr>
          <w:rFonts w:ascii="Arial" w:eastAsia="Calibri" w:hAnsi="Arial" w:cs="Arial"/>
        </w:rPr>
      </w:pPr>
    </w:p>
    <w:p w:rsidR="007605EA" w:rsidRPr="0080295E" w:rsidRDefault="007605EA" w:rsidP="007605EA">
      <w:pPr>
        <w:spacing w:after="0" w:line="240" w:lineRule="auto"/>
        <w:ind w:left="1985" w:hanging="709"/>
        <w:contextualSpacing/>
        <w:jc w:val="both"/>
        <w:rPr>
          <w:rFonts w:ascii="Arial" w:eastAsia="Calibri" w:hAnsi="Arial" w:cs="Arial"/>
        </w:rPr>
      </w:pPr>
    </w:p>
    <w:p w:rsidR="0080295E" w:rsidRPr="0080295E" w:rsidRDefault="0080295E" w:rsidP="0092471C">
      <w:pPr>
        <w:numPr>
          <w:ilvl w:val="2"/>
          <w:numId w:val="284"/>
        </w:numPr>
        <w:spacing w:after="0" w:line="240" w:lineRule="auto"/>
        <w:ind w:left="1985" w:hanging="709"/>
        <w:contextualSpacing/>
        <w:jc w:val="both"/>
        <w:rPr>
          <w:rFonts w:ascii="Arial" w:eastAsia="Calibri" w:hAnsi="Arial" w:cs="Arial"/>
          <w:b/>
        </w:rPr>
      </w:pPr>
      <w:r w:rsidRPr="0080295E">
        <w:rPr>
          <w:rFonts w:ascii="Arial" w:eastAsia="Calibri" w:hAnsi="Arial" w:cs="Arial"/>
          <w:b/>
        </w:rPr>
        <w:t>De la formulación y notificación de observaciones y descargos</w:t>
      </w:r>
    </w:p>
    <w:p w:rsidR="0080295E" w:rsidRPr="0080295E" w:rsidRDefault="0080295E" w:rsidP="007605EA">
      <w:pPr>
        <w:spacing w:after="0" w:line="240" w:lineRule="auto"/>
        <w:ind w:left="1985" w:hanging="709"/>
        <w:contextualSpacing/>
        <w:jc w:val="both"/>
        <w:rPr>
          <w:rFonts w:ascii="Arial" w:eastAsia="Calibri" w:hAnsi="Arial" w:cs="Arial"/>
          <w:b/>
        </w:rPr>
      </w:pPr>
    </w:p>
    <w:p w:rsidR="0080295E" w:rsidRPr="0080295E" w:rsidRDefault="0080295E" w:rsidP="007605EA">
      <w:pPr>
        <w:spacing w:after="0" w:line="240" w:lineRule="auto"/>
        <w:ind w:left="1985"/>
        <w:contextualSpacing/>
        <w:jc w:val="both"/>
        <w:rPr>
          <w:rFonts w:ascii="Arial" w:eastAsia="Calibri" w:hAnsi="Arial" w:cs="Arial"/>
          <w:b/>
        </w:rPr>
      </w:pPr>
      <w:r w:rsidRPr="0080295E">
        <w:rPr>
          <w:rFonts w:ascii="Arial" w:eastAsia="Calibri" w:hAnsi="Arial" w:cs="Arial"/>
        </w:rPr>
        <w:t>Si en la inspección se advierte la comisión de alguna otra infracción a la normativa aplicable a</w:t>
      </w:r>
      <w:r w:rsidRPr="0080295E">
        <w:rPr>
          <w:rFonts w:ascii="Arial" w:eastAsia="Calibri" w:hAnsi="Arial" w:cs="Arial"/>
          <w:lang w:val="es-ES"/>
        </w:rPr>
        <w:t>l procedimiento ejecutado por la entidad</w:t>
      </w:r>
      <w:r w:rsidRPr="0080295E">
        <w:rPr>
          <w:rFonts w:ascii="Arial" w:eastAsia="Calibri" w:hAnsi="Arial" w:cs="Arial"/>
        </w:rPr>
        <w:t>, se identifica al funcionario responsable y, en un plazo de cinco (05) días contados desde la inspección, se le notifica la observación y se solicita el descargo correspondiente, dentro del plazo establecido en cada procedimiento, o en su defecto, en un plazo no mayor de diez (10) días.</w:t>
      </w:r>
    </w:p>
    <w:p w:rsidR="0080295E" w:rsidRPr="0080295E" w:rsidRDefault="0080295E" w:rsidP="007605EA">
      <w:pPr>
        <w:spacing w:after="0" w:line="240" w:lineRule="auto"/>
        <w:ind w:left="1985" w:hanging="709"/>
        <w:contextualSpacing/>
        <w:jc w:val="both"/>
        <w:rPr>
          <w:rFonts w:ascii="Arial" w:eastAsia="Calibri" w:hAnsi="Arial" w:cs="Arial"/>
        </w:rPr>
      </w:pPr>
    </w:p>
    <w:p w:rsidR="0080295E" w:rsidRPr="0080295E" w:rsidRDefault="0080295E" w:rsidP="007605EA">
      <w:pPr>
        <w:spacing w:after="0" w:line="240" w:lineRule="auto"/>
        <w:ind w:left="1985"/>
        <w:contextualSpacing/>
        <w:jc w:val="both"/>
        <w:rPr>
          <w:rFonts w:ascii="Arial" w:eastAsia="Calibri" w:hAnsi="Arial" w:cs="Arial"/>
        </w:rPr>
      </w:pPr>
      <w:r w:rsidRPr="0080295E">
        <w:rPr>
          <w:rFonts w:ascii="Arial" w:eastAsia="Calibri" w:hAnsi="Arial" w:cs="Arial"/>
        </w:rPr>
        <w:t>La notificación personal al funcionario responsable se efectúa según las reglas previstas por la LPAG.</w:t>
      </w:r>
    </w:p>
    <w:p w:rsidR="0080295E" w:rsidRPr="0080295E" w:rsidRDefault="0080295E" w:rsidP="007605EA">
      <w:pPr>
        <w:spacing w:after="0" w:line="240" w:lineRule="auto"/>
        <w:ind w:left="1985" w:hanging="709"/>
        <w:contextualSpacing/>
        <w:jc w:val="both"/>
        <w:rPr>
          <w:rFonts w:ascii="Arial" w:eastAsia="Calibri" w:hAnsi="Arial" w:cs="Arial"/>
        </w:rPr>
      </w:pPr>
    </w:p>
    <w:p w:rsidR="0080295E" w:rsidRPr="0080295E" w:rsidRDefault="0080295E" w:rsidP="007605EA">
      <w:pPr>
        <w:spacing w:after="0" w:line="240" w:lineRule="auto"/>
        <w:ind w:left="1985"/>
        <w:contextualSpacing/>
        <w:jc w:val="both"/>
        <w:rPr>
          <w:rFonts w:ascii="Arial" w:eastAsia="Calibri" w:hAnsi="Arial" w:cs="Arial"/>
        </w:rPr>
      </w:pPr>
      <w:r w:rsidRPr="0080295E">
        <w:rPr>
          <w:rFonts w:ascii="Arial" w:eastAsia="Calibri" w:hAnsi="Arial" w:cs="Arial"/>
        </w:rPr>
        <w:t>Luego que se presente el descargo del funcionario responsable de la entidad, se procede a su revisión.</w:t>
      </w:r>
    </w:p>
    <w:p w:rsidR="0080295E" w:rsidRPr="0080295E" w:rsidRDefault="0080295E" w:rsidP="007605EA">
      <w:pPr>
        <w:spacing w:after="0" w:line="240" w:lineRule="auto"/>
        <w:ind w:left="1985" w:hanging="709"/>
        <w:contextualSpacing/>
        <w:jc w:val="both"/>
        <w:rPr>
          <w:rFonts w:ascii="Arial" w:eastAsia="Calibri" w:hAnsi="Arial" w:cs="Arial"/>
        </w:rPr>
      </w:pPr>
    </w:p>
    <w:p w:rsidR="0080295E" w:rsidRPr="0080295E" w:rsidRDefault="0080295E" w:rsidP="0092471C">
      <w:pPr>
        <w:numPr>
          <w:ilvl w:val="2"/>
          <w:numId w:val="284"/>
        </w:numPr>
        <w:spacing w:after="0" w:line="240" w:lineRule="auto"/>
        <w:ind w:left="1985" w:hanging="709"/>
        <w:contextualSpacing/>
        <w:jc w:val="both"/>
        <w:rPr>
          <w:rFonts w:ascii="Arial" w:eastAsia="Calibri" w:hAnsi="Arial" w:cs="Arial"/>
          <w:b/>
        </w:rPr>
      </w:pPr>
      <w:r w:rsidRPr="0080295E">
        <w:rPr>
          <w:rFonts w:ascii="Arial" w:eastAsia="Calibri" w:hAnsi="Arial" w:cs="Arial"/>
          <w:b/>
        </w:rPr>
        <w:t>De los documentos técnicos</w:t>
      </w:r>
    </w:p>
    <w:p w:rsidR="0080295E" w:rsidRPr="0080295E" w:rsidRDefault="0080295E" w:rsidP="007605EA">
      <w:pPr>
        <w:spacing w:after="0" w:line="240" w:lineRule="auto"/>
        <w:ind w:left="1985" w:hanging="709"/>
        <w:contextualSpacing/>
        <w:jc w:val="both"/>
        <w:rPr>
          <w:rFonts w:ascii="Arial" w:eastAsia="Calibri" w:hAnsi="Arial" w:cs="Arial"/>
        </w:rPr>
      </w:pPr>
    </w:p>
    <w:p w:rsidR="0080295E" w:rsidRPr="0080295E" w:rsidRDefault="0080295E" w:rsidP="007605EA">
      <w:pPr>
        <w:spacing w:after="0" w:line="240" w:lineRule="auto"/>
        <w:ind w:left="1985"/>
        <w:contextualSpacing/>
        <w:jc w:val="both"/>
        <w:rPr>
          <w:rFonts w:ascii="Arial" w:eastAsia="Calibri" w:hAnsi="Arial" w:cs="Arial"/>
          <w:b/>
        </w:rPr>
      </w:pPr>
      <w:r w:rsidRPr="0080295E">
        <w:rPr>
          <w:rFonts w:ascii="Arial" w:eastAsia="Calibri" w:hAnsi="Arial" w:cs="Arial"/>
        </w:rPr>
        <w:t>En un plazo de diez (10) días de efectuada la inspección,</w:t>
      </w:r>
      <w:r w:rsidRPr="0080295E">
        <w:rPr>
          <w:rFonts w:ascii="Arial" w:eastAsia="Calibri" w:hAnsi="Arial" w:cs="Arial"/>
          <w:bCs/>
          <w:lang w:val="es-ES"/>
        </w:rPr>
        <w:t xml:space="preserve"> el profesional técnico de la brigada encargada </w:t>
      </w:r>
      <w:r w:rsidRPr="0080295E">
        <w:rPr>
          <w:rFonts w:ascii="Arial" w:eastAsia="Calibri" w:hAnsi="Arial" w:cs="Arial"/>
        </w:rPr>
        <w:t>elabora la Ficha Técnica -en el formato aprobado</w:t>
      </w:r>
      <w:r w:rsidRPr="0080295E">
        <w:rPr>
          <w:rFonts w:ascii="Arial" w:eastAsia="Calibri" w:hAnsi="Arial" w:cs="Arial"/>
          <w:bCs/>
          <w:lang w:val="es-ES"/>
        </w:rPr>
        <w:t>-</w:t>
      </w:r>
      <w:r w:rsidRPr="0080295E">
        <w:rPr>
          <w:rFonts w:ascii="Arial" w:eastAsia="Calibri" w:hAnsi="Arial" w:cs="Arial"/>
        </w:rPr>
        <w:t>, el panel fotográfico y el plano perimétrico, de ser el caso.</w:t>
      </w:r>
    </w:p>
    <w:p w:rsidR="0080295E" w:rsidRPr="0080295E" w:rsidRDefault="0080295E" w:rsidP="007605EA">
      <w:pPr>
        <w:spacing w:after="0" w:line="240" w:lineRule="auto"/>
        <w:ind w:left="1985" w:hanging="709"/>
        <w:contextualSpacing/>
        <w:jc w:val="both"/>
        <w:rPr>
          <w:rFonts w:ascii="Arial" w:eastAsia="Calibri" w:hAnsi="Arial" w:cs="Arial"/>
          <w:b/>
        </w:rPr>
      </w:pPr>
    </w:p>
    <w:p w:rsidR="0080295E" w:rsidRPr="0080295E" w:rsidRDefault="0080295E" w:rsidP="0092471C">
      <w:pPr>
        <w:numPr>
          <w:ilvl w:val="2"/>
          <w:numId w:val="284"/>
        </w:numPr>
        <w:spacing w:after="0" w:line="240" w:lineRule="auto"/>
        <w:ind w:left="1985" w:hanging="709"/>
        <w:contextualSpacing/>
        <w:jc w:val="both"/>
        <w:rPr>
          <w:rFonts w:ascii="Arial" w:eastAsia="Calibri" w:hAnsi="Arial" w:cs="Arial"/>
        </w:rPr>
      </w:pPr>
      <w:r w:rsidRPr="0080295E">
        <w:rPr>
          <w:rFonts w:ascii="Arial" w:eastAsia="Calibri" w:hAnsi="Arial" w:cs="Arial"/>
          <w:b/>
          <w:lang w:val="es-ES"/>
        </w:rPr>
        <w:t xml:space="preserve">Del </w:t>
      </w:r>
      <w:r w:rsidRPr="0080295E">
        <w:rPr>
          <w:rFonts w:ascii="Arial" w:eastAsia="Calibri" w:hAnsi="Arial" w:cs="Arial"/>
          <w:b/>
        </w:rPr>
        <w:t>Informe</w:t>
      </w:r>
      <w:r w:rsidRPr="0080295E">
        <w:rPr>
          <w:rFonts w:ascii="Arial" w:eastAsia="Calibri" w:hAnsi="Arial" w:cs="Arial"/>
          <w:b/>
          <w:lang w:val="es-ES"/>
        </w:rPr>
        <w:t xml:space="preserve"> de supervisión</w:t>
      </w:r>
      <w:r w:rsidRPr="0080295E">
        <w:rPr>
          <w:rFonts w:ascii="Arial" w:eastAsia="Calibri" w:hAnsi="Arial" w:cs="Arial"/>
        </w:rPr>
        <w:t xml:space="preserve"> </w:t>
      </w:r>
    </w:p>
    <w:p w:rsidR="0080295E" w:rsidRPr="0080295E" w:rsidRDefault="0080295E" w:rsidP="007605EA">
      <w:pPr>
        <w:spacing w:after="0" w:line="240" w:lineRule="auto"/>
        <w:ind w:left="1985" w:hanging="709"/>
        <w:contextualSpacing/>
        <w:jc w:val="both"/>
        <w:rPr>
          <w:rFonts w:ascii="Arial" w:eastAsia="Calibri" w:hAnsi="Arial" w:cs="Arial"/>
          <w:lang w:val="es-ES"/>
        </w:rPr>
      </w:pPr>
    </w:p>
    <w:p w:rsidR="0080295E" w:rsidRPr="0080295E" w:rsidRDefault="0080295E" w:rsidP="007605EA">
      <w:pPr>
        <w:spacing w:after="0" w:line="240" w:lineRule="auto"/>
        <w:ind w:left="1985"/>
        <w:contextualSpacing/>
        <w:jc w:val="both"/>
        <w:rPr>
          <w:rFonts w:ascii="Arial" w:eastAsia="Calibri" w:hAnsi="Arial" w:cs="Arial"/>
        </w:rPr>
      </w:pPr>
      <w:r w:rsidRPr="0080295E">
        <w:rPr>
          <w:rFonts w:ascii="Arial" w:eastAsia="Calibri" w:hAnsi="Arial" w:cs="Arial"/>
        </w:rPr>
        <w:t xml:space="preserve">Efectuada la inspección, cuando corresponda, y presentado el descargo del funcionario responsable de la entidad o transcurrido el plazo otorgado sin que presente su descargo, </w:t>
      </w:r>
      <w:r w:rsidRPr="0080295E">
        <w:rPr>
          <w:rFonts w:ascii="Arial" w:eastAsia="Calibri" w:hAnsi="Arial" w:cs="Arial"/>
          <w:lang w:val="es-ES"/>
        </w:rPr>
        <w:t>la brigada</w:t>
      </w:r>
      <w:r w:rsidRPr="0080295E">
        <w:rPr>
          <w:rFonts w:ascii="Arial" w:eastAsia="Calibri" w:hAnsi="Arial" w:cs="Arial"/>
          <w:bCs/>
          <w:lang w:val="es-ES"/>
        </w:rPr>
        <w:t xml:space="preserve"> encargada </w:t>
      </w:r>
      <w:r w:rsidRPr="0080295E">
        <w:rPr>
          <w:rFonts w:ascii="Arial" w:eastAsia="Calibri" w:hAnsi="Arial" w:cs="Arial"/>
        </w:rPr>
        <w:t>elabora el informe de supervisión, en un plazo no mayor de quince (15) días contados desde la inspección, el cual es presentado al Subdirector de la SDS para su conformidad.</w:t>
      </w:r>
    </w:p>
    <w:p w:rsidR="0080295E" w:rsidRPr="0080295E" w:rsidRDefault="0080295E" w:rsidP="007605EA">
      <w:pPr>
        <w:spacing w:after="0" w:line="240" w:lineRule="auto"/>
        <w:ind w:left="1985" w:hanging="709"/>
        <w:contextualSpacing/>
        <w:jc w:val="both"/>
        <w:rPr>
          <w:rFonts w:ascii="Arial" w:eastAsia="Calibri" w:hAnsi="Arial" w:cs="Arial"/>
        </w:rPr>
      </w:pPr>
    </w:p>
    <w:p w:rsidR="0080295E" w:rsidRPr="0080295E" w:rsidRDefault="0080295E" w:rsidP="007605EA">
      <w:pPr>
        <w:spacing w:after="0" w:line="240" w:lineRule="auto"/>
        <w:ind w:left="1985"/>
        <w:contextualSpacing/>
        <w:jc w:val="both"/>
        <w:rPr>
          <w:rFonts w:ascii="Arial" w:eastAsia="Calibri" w:hAnsi="Arial" w:cs="Arial"/>
          <w:lang w:val="es-ES"/>
        </w:rPr>
      </w:pPr>
      <w:r w:rsidRPr="0080295E">
        <w:rPr>
          <w:rFonts w:ascii="Arial" w:eastAsia="Calibri" w:hAnsi="Arial" w:cs="Arial"/>
          <w:lang w:val="es-ES"/>
        </w:rPr>
        <w:t xml:space="preserve">El informe de supervisión contiene el análisis del cumplimiento por la entidad de los requisitos y procedimientos establecidos por la normatividad, la determinación de las infracciones cometidas, la identificación del funcionario responsable, </w:t>
      </w:r>
      <w:r w:rsidRPr="0080295E">
        <w:rPr>
          <w:rFonts w:ascii="Arial" w:eastAsia="Calibri" w:hAnsi="Arial" w:cs="Arial"/>
        </w:rPr>
        <w:t xml:space="preserve"> el descargo y documentación presentada por el </w:t>
      </w:r>
      <w:r w:rsidRPr="0080295E">
        <w:rPr>
          <w:rFonts w:ascii="Arial" w:eastAsia="Calibri" w:hAnsi="Arial" w:cs="Arial"/>
          <w:lang w:val="es-ES"/>
        </w:rPr>
        <w:t>funcionario responsable</w:t>
      </w:r>
      <w:r w:rsidRPr="0080295E">
        <w:rPr>
          <w:rFonts w:ascii="Arial" w:eastAsia="Calibri" w:hAnsi="Arial" w:cs="Arial"/>
        </w:rPr>
        <w:t xml:space="preserve">, las consecuencias legales que se hubieran generado, </w:t>
      </w:r>
      <w:r w:rsidRPr="0080295E">
        <w:rPr>
          <w:rFonts w:ascii="Arial" w:eastAsia="Calibri" w:hAnsi="Arial" w:cs="Arial"/>
          <w:lang w:val="es-ES"/>
        </w:rPr>
        <w:t>así como, las conclusiones y recomendaciones que el caso amerite</w:t>
      </w:r>
      <w:r w:rsidRPr="0080295E">
        <w:rPr>
          <w:rFonts w:ascii="Arial" w:eastAsia="Calibri" w:hAnsi="Arial" w:cs="Arial"/>
        </w:rPr>
        <w:t>, debiéndose adjuntar los proyectos de documentos que fueran necesarios para su implementación</w:t>
      </w:r>
      <w:r w:rsidRPr="0080295E">
        <w:rPr>
          <w:rFonts w:ascii="Arial" w:eastAsia="Calibri" w:hAnsi="Arial" w:cs="Arial"/>
          <w:lang w:val="es-ES"/>
        </w:rPr>
        <w:t xml:space="preserve"> y derivación a las unidades orgánicas que correspondan</w:t>
      </w:r>
      <w:r w:rsidRPr="0080295E">
        <w:rPr>
          <w:rFonts w:ascii="Arial" w:eastAsia="Calibri" w:hAnsi="Arial" w:cs="Arial"/>
        </w:rPr>
        <w:t xml:space="preserve">. </w:t>
      </w:r>
    </w:p>
    <w:p w:rsidR="0080295E" w:rsidRPr="0080295E" w:rsidRDefault="0080295E" w:rsidP="007605EA">
      <w:pPr>
        <w:spacing w:after="0" w:line="240" w:lineRule="auto"/>
        <w:ind w:left="1985" w:hanging="709"/>
        <w:contextualSpacing/>
        <w:jc w:val="both"/>
        <w:rPr>
          <w:rFonts w:ascii="Arial" w:eastAsia="Calibri" w:hAnsi="Arial" w:cs="Arial"/>
        </w:rPr>
      </w:pPr>
    </w:p>
    <w:p w:rsidR="0080295E" w:rsidRPr="0080295E" w:rsidRDefault="0080295E" w:rsidP="007605EA">
      <w:pPr>
        <w:spacing w:after="0" w:line="240" w:lineRule="auto"/>
        <w:ind w:left="1985"/>
        <w:contextualSpacing/>
        <w:jc w:val="both"/>
        <w:rPr>
          <w:rFonts w:ascii="Arial" w:eastAsia="Calibri" w:hAnsi="Arial" w:cs="Arial"/>
        </w:rPr>
      </w:pPr>
      <w:r w:rsidRPr="0080295E">
        <w:rPr>
          <w:rFonts w:ascii="Arial" w:eastAsia="Calibri" w:hAnsi="Arial" w:cs="Arial"/>
        </w:rPr>
        <w:t>El informe debe pronunciarse, entre otros, sobre los siguientes aspectos:</w:t>
      </w:r>
    </w:p>
    <w:p w:rsidR="0080295E" w:rsidRPr="0080295E" w:rsidRDefault="0080295E" w:rsidP="007605EA">
      <w:pPr>
        <w:spacing w:after="0" w:line="240" w:lineRule="auto"/>
        <w:ind w:left="1985" w:hanging="709"/>
        <w:contextualSpacing/>
        <w:jc w:val="both"/>
        <w:rPr>
          <w:rFonts w:ascii="Arial" w:eastAsia="Calibri" w:hAnsi="Arial" w:cs="Arial"/>
        </w:rPr>
      </w:pPr>
    </w:p>
    <w:p w:rsidR="0080295E" w:rsidRPr="0080295E" w:rsidRDefault="0080295E" w:rsidP="0092471C">
      <w:pPr>
        <w:numPr>
          <w:ilvl w:val="0"/>
          <w:numId w:val="299"/>
        </w:numPr>
        <w:spacing w:after="0" w:line="240" w:lineRule="auto"/>
        <w:ind w:left="2694" w:hanging="709"/>
        <w:contextualSpacing/>
        <w:jc w:val="both"/>
        <w:rPr>
          <w:rFonts w:ascii="Arial" w:eastAsia="Calibri" w:hAnsi="Arial" w:cs="Arial"/>
        </w:rPr>
      </w:pPr>
      <w:r w:rsidRPr="0080295E">
        <w:rPr>
          <w:rFonts w:ascii="Arial" w:eastAsia="Calibri" w:hAnsi="Arial" w:cs="Arial"/>
        </w:rPr>
        <w:t>Evaluación de la situación registral del inmueble, verificándose si se encuentra debidamente inscrito en el RP a favor del Estado o alguna entidad estatal y si existe superposición registral con inmuebles de otras entidades públicas o de particulares.</w:t>
      </w:r>
    </w:p>
    <w:p w:rsidR="0080295E" w:rsidRPr="0080295E" w:rsidRDefault="0080295E" w:rsidP="0092471C">
      <w:pPr>
        <w:numPr>
          <w:ilvl w:val="0"/>
          <w:numId w:val="299"/>
        </w:numPr>
        <w:spacing w:after="0" w:line="240" w:lineRule="auto"/>
        <w:ind w:left="2694" w:hanging="709"/>
        <w:contextualSpacing/>
        <w:jc w:val="both"/>
        <w:rPr>
          <w:rFonts w:ascii="Arial" w:eastAsia="Calibri" w:hAnsi="Arial" w:cs="Arial"/>
        </w:rPr>
      </w:pPr>
      <w:r w:rsidRPr="0080295E">
        <w:rPr>
          <w:rFonts w:ascii="Arial" w:eastAsia="Calibri" w:hAnsi="Arial" w:cs="Arial"/>
        </w:rPr>
        <w:t xml:space="preserve">Identificación de las acciones de saneamiento del inmueble que correspondan ejecutar. </w:t>
      </w:r>
    </w:p>
    <w:p w:rsidR="0080295E" w:rsidRPr="0080295E" w:rsidRDefault="0080295E" w:rsidP="0092471C">
      <w:pPr>
        <w:numPr>
          <w:ilvl w:val="0"/>
          <w:numId w:val="299"/>
        </w:numPr>
        <w:spacing w:after="0" w:line="240" w:lineRule="auto"/>
        <w:ind w:left="2694" w:hanging="709"/>
        <w:contextualSpacing/>
        <w:jc w:val="both"/>
        <w:rPr>
          <w:rFonts w:ascii="Arial" w:eastAsia="Calibri" w:hAnsi="Arial" w:cs="Arial"/>
          <w:lang w:val="es-ES"/>
        </w:rPr>
      </w:pPr>
      <w:r w:rsidRPr="0080295E">
        <w:rPr>
          <w:rFonts w:ascii="Arial" w:eastAsia="Calibri" w:hAnsi="Arial" w:cs="Arial"/>
        </w:rPr>
        <w:t xml:space="preserve">Evaluación de la validez legal del procedimiento, del cumplimiento del debido procedimiento y </w:t>
      </w:r>
      <w:r w:rsidRPr="0080295E">
        <w:rPr>
          <w:rFonts w:ascii="Arial" w:eastAsia="Calibri" w:hAnsi="Arial" w:cs="Arial"/>
          <w:lang w:val="es-ES"/>
        </w:rPr>
        <w:t>la normatividad legal aplicable,</w:t>
      </w:r>
      <w:r w:rsidRPr="0080295E">
        <w:rPr>
          <w:rFonts w:ascii="Arial" w:eastAsia="Calibri" w:hAnsi="Arial" w:cs="Arial"/>
        </w:rPr>
        <w:t xml:space="preserve"> así</w:t>
      </w:r>
      <w:r w:rsidRPr="0080295E">
        <w:rPr>
          <w:rFonts w:ascii="Arial" w:eastAsia="Calibri" w:hAnsi="Arial" w:cs="Arial"/>
          <w:lang w:val="es-ES"/>
        </w:rPr>
        <w:t xml:space="preserve"> como, la eventual </w:t>
      </w:r>
      <w:r w:rsidRPr="0080295E">
        <w:rPr>
          <w:rFonts w:ascii="Arial" w:eastAsia="Calibri" w:hAnsi="Arial" w:cs="Arial"/>
        </w:rPr>
        <w:t>nulidad del acto emitido en el procedimiento o la extinción, rescisión o resolución del contrato otorgado.</w:t>
      </w:r>
    </w:p>
    <w:p w:rsidR="0080295E" w:rsidRPr="0080295E" w:rsidRDefault="0080295E" w:rsidP="007605EA">
      <w:pPr>
        <w:spacing w:after="0" w:line="240" w:lineRule="auto"/>
        <w:ind w:left="1985" w:hanging="709"/>
        <w:contextualSpacing/>
        <w:jc w:val="both"/>
        <w:rPr>
          <w:rFonts w:ascii="Arial" w:eastAsia="Calibri" w:hAnsi="Arial" w:cs="Arial"/>
          <w:lang w:val="es-ES"/>
        </w:rPr>
      </w:pPr>
    </w:p>
    <w:p w:rsidR="0080295E" w:rsidRPr="0080295E" w:rsidRDefault="0080295E" w:rsidP="0092471C">
      <w:pPr>
        <w:numPr>
          <w:ilvl w:val="2"/>
          <w:numId w:val="284"/>
        </w:numPr>
        <w:spacing w:after="0" w:line="240" w:lineRule="auto"/>
        <w:ind w:left="1985" w:hanging="709"/>
        <w:contextualSpacing/>
        <w:jc w:val="both"/>
        <w:rPr>
          <w:rFonts w:ascii="Arial" w:eastAsia="Calibri" w:hAnsi="Arial" w:cs="Arial"/>
        </w:rPr>
      </w:pPr>
      <w:r w:rsidRPr="0080295E">
        <w:rPr>
          <w:rFonts w:ascii="Arial" w:eastAsia="Calibri" w:hAnsi="Arial" w:cs="Arial"/>
          <w:b/>
        </w:rPr>
        <w:t>De la ejecución de acciones complementarias</w:t>
      </w:r>
    </w:p>
    <w:p w:rsidR="0080295E" w:rsidRPr="0080295E" w:rsidRDefault="0080295E" w:rsidP="007605EA">
      <w:pPr>
        <w:spacing w:after="0" w:line="240" w:lineRule="auto"/>
        <w:ind w:left="1985" w:hanging="709"/>
        <w:contextualSpacing/>
        <w:jc w:val="both"/>
        <w:rPr>
          <w:rFonts w:ascii="Arial" w:eastAsia="Calibri" w:hAnsi="Arial" w:cs="Arial"/>
        </w:rPr>
      </w:pPr>
    </w:p>
    <w:p w:rsidR="0080295E" w:rsidRPr="0080295E" w:rsidRDefault="0080295E" w:rsidP="007605EA">
      <w:pPr>
        <w:spacing w:after="0" w:line="240" w:lineRule="auto"/>
        <w:ind w:left="1985"/>
        <w:contextualSpacing/>
        <w:jc w:val="both"/>
        <w:rPr>
          <w:rFonts w:ascii="Arial" w:eastAsia="Calibri" w:hAnsi="Arial" w:cs="Arial"/>
          <w:lang w:val="es-ES"/>
        </w:rPr>
      </w:pPr>
      <w:r w:rsidRPr="0080295E">
        <w:rPr>
          <w:rFonts w:ascii="Arial" w:eastAsia="Calibri" w:hAnsi="Arial" w:cs="Arial"/>
          <w:lang w:val="es-ES"/>
        </w:rPr>
        <w:t>Luego de emitido el informe legal,  la brigada</w:t>
      </w:r>
      <w:r w:rsidRPr="0080295E">
        <w:rPr>
          <w:rFonts w:ascii="Arial" w:eastAsia="Calibri" w:hAnsi="Arial" w:cs="Arial"/>
          <w:bCs/>
          <w:lang w:val="es-ES"/>
        </w:rPr>
        <w:t xml:space="preserve"> encargada implemen</w:t>
      </w:r>
      <w:r w:rsidRPr="0080295E">
        <w:rPr>
          <w:rFonts w:ascii="Arial" w:eastAsia="Calibri" w:hAnsi="Arial" w:cs="Arial"/>
          <w:lang w:val="es-ES"/>
        </w:rPr>
        <w:t>ta las recomendaciones y demás acciones complementarias formuladas:</w:t>
      </w:r>
    </w:p>
    <w:p w:rsidR="0080295E" w:rsidRPr="0080295E" w:rsidRDefault="0080295E" w:rsidP="007605EA">
      <w:pPr>
        <w:spacing w:after="0" w:line="240" w:lineRule="auto"/>
        <w:ind w:left="1985" w:hanging="709"/>
        <w:contextualSpacing/>
        <w:jc w:val="both"/>
        <w:rPr>
          <w:rFonts w:ascii="Arial" w:eastAsia="Calibri" w:hAnsi="Arial" w:cs="Arial"/>
          <w:lang w:val="es-ES"/>
        </w:rPr>
      </w:pPr>
    </w:p>
    <w:p w:rsidR="0080295E" w:rsidRPr="0080295E" w:rsidRDefault="0080295E" w:rsidP="0092471C">
      <w:pPr>
        <w:numPr>
          <w:ilvl w:val="0"/>
          <w:numId w:val="296"/>
        </w:numPr>
        <w:spacing w:after="0" w:line="240" w:lineRule="auto"/>
        <w:ind w:left="2835" w:hanging="709"/>
        <w:contextualSpacing/>
        <w:jc w:val="both"/>
        <w:rPr>
          <w:rFonts w:ascii="Arial" w:eastAsia="Calibri" w:hAnsi="Arial" w:cs="Arial"/>
        </w:rPr>
      </w:pPr>
      <w:r w:rsidRPr="0080295E">
        <w:rPr>
          <w:rFonts w:ascii="Arial" w:eastAsia="Calibri" w:hAnsi="Arial" w:cs="Arial"/>
        </w:rPr>
        <w:t xml:space="preserve">Se actualiza el SINABIP, remitiéndose a la SDRC los documentos técnicos pertinentes (Ficha Técnica, panel fotográfico y plano, de ser el caso). </w:t>
      </w:r>
    </w:p>
    <w:p w:rsidR="0080295E" w:rsidRPr="0080295E" w:rsidRDefault="0080295E" w:rsidP="0092471C">
      <w:pPr>
        <w:numPr>
          <w:ilvl w:val="0"/>
          <w:numId w:val="296"/>
        </w:numPr>
        <w:spacing w:after="0" w:line="240" w:lineRule="auto"/>
        <w:ind w:left="2835" w:hanging="709"/>
        <w:contextualSpacing/>
        <w:jc w:val="both"/>
        <w:rPr>
          <w:rFonts w:ascii="Arial" w:eastAsia="Calibri" w:hAnsi="Arial" w:cs="Arial"/>
        </w:rPr>
      </w:pPr>
      <w:r w:rsidRPr="0080295E">
        <w:rPr>
          <w:rFonts w:ascii="Arial" w:eastAsia="Calibri" w:hAnsi="Arial" w:cs="Arial"/>
        </w:rPr>
        <w:t>Se devuelve a la entidad el expediente original del procedimiento supervisado seguido por ésta, de ser el caso, para su archivo y custodia</w:t>
      </w:r>
    </w:p>
    <w:p w:rsidR="0080295E" w:rsidRPr="0080295E" w:rsidRDefault="0080295E" w:rsidP="007605EA">
      <w:pPr>
        <w:spacing w:after="0" w:line="240" w:lineRule="auto"/>
        <w:ind w:left="1985" w:hanging="709"/>
        <w:contextualSpacing/>
        <w:jc w:val="both"/>
        <w:rPr>
          <w:rFonts w:ascii="Arial" w:eastAsia="Calibri" w:hAnsi="Arial" w:cs="Arial"/>
          <w:lang w:val="es-ES"/>
        </w:rPr>
      </w:pPr>
    </w:p>
    <w:p w:rsidR="0080295E" w:rsidRPr="0080295E" w:rsidRDefault="0080295E" w:rsidP="007605EA">
      <w:pPr>
        <w:spacing w:after="0" w:line="240" w:lineRule="auto"/>
        <w:ind w:left="1985"/>
        <w:contextualSpacing/>
        <w:jc w:val="both"/>
        <w:rPr>
          <w:rFonts w:ascii="Arial" w:eastAsia="Calibri" w:hAnsi="Arial" w:cs="Arial"/>
          <w:lang w:val="es-ES"/>
        </w:rPr>
      </w:pPr>
      <w:r w:rsidRPr="0080295E">
        <w:rPr>
          <w:rFonts w:ascii="Arial" w:eastAsia="Calibri" w:hAnsi="Arial" w:cs="Arial"/>
          <w:lang w:val="es-ES"/>
        </w:rPr>
        <w:t xml:space="preserve">En el caso </w:t>
      </w:r>
      <w:r w:rsidRPr="0080295E">
        <w:rPr>
          <w:rFonts w:ascii="Arial" w:eastAsia="Calibri" w:hAnsi="Arial" w:cs="Arial"/>
          <w:bCs/>
          <w:lang w:val="es-ES"/>
        </w:rPr>
        <w:t>de</w:t>
      </w:r>
      <w:r w:rsidRPr="0080295E">
        <w:rPr>
          <w:rFonts w:ascii="Arial" w:eastAsia="Calibri" w:hAnsi="Arial" w:cs="Arial"/>
          <w:lang w:val="es-ES"/>
        </w:rPr>
        <w:t xml:space="preserve"> </w:t>
      </w:r>
      <w:r w:rsidRPr="0080295E">
        <w:rPr>
          <w:rFonts w:ascii="Arial" w:eastAsia="Calibri" w:hAnsi="Arial" w:cs="Arial"/>
        </w:rPr>
        <w:t>incumplimiento del debido procedimiento por parte de la entidad</w:t>
      </w:r>
      <w:r w:rsidRPr="0080295E">
        <w:rPr>
          <w:rFonts w:ascii="Arial" w:eastAsia="Calibri" w:hAnsi="Arial" w:cs="Arial"/>
          <w:lang w:val="es-ES"/>
        </w:rPr>
        <w:t xml:space="preserve">, </w:t>
      </w:r>
      <w:r w:rsidRPr="0080295E">
        <w:rPr>
          <w:rFonts w:ascii="Arial" w:eastAsia="Calibri" w:hAnsi="Arial" w:cs="Arial"/>
        </w:rPr>
        <w:t xml:space="preserve">dentro de un plazo de diez (10) días contados desde la emisión del informe, </w:t>
      </w:r>
      <w:r w:rsidRPr="0080295E">
        <w:rPr>
          <w:rFonts w:ascii="Arial" w:eastAsia="Calibri" w:hAnsi="Arial" w:cs="Arial"/>
          <w:lang w:val="es-ES"/>
        </w:rPr>
        <w:t>se efectúan las siguientes acciones adicionales:</w:t>
      </w:r>
    </w:p>
    <w:p w:rsidR="0080295E" w:rsidRPr="0080295E" w:rsidRDefault="0080295E" w:rsidP="007605EA">
      <w:pPr>
        <w:spacing w:after="0" w:line="240" w:lineRule="auto"/>
        <w:ind w:left="1985" w:hanging="709"/>
        <w:contextualSpacing/>
        <w:jc w:val="both"/>
        <w:rPr>
          <w:rFonts w:ascii="Arial" w:eastAsia="Calibri" w:hAnsi="Arial" w:cs="Arial"/>
        </w:rPr>
      </w:pPr>
    </w:p>
    <w:p w:rsidR="0080295E" w:rsidRPr="0080295E" w:rsidRDefault="0080295E" w:rsidP="0092471C">
      <w:pPr>
        <w:numPr>
          <w:ilvl w:val="0"/>
          <w:numId w:val="296"/>
        </w:numPr>
        <w:spacing w:after="0" w:line="240" w:lineRule="auto"/>
        <w:ind w:left="2835" w:hanging="709"/>
        <w:contextualSpacing/>
        <w:jc w:val="both"/>
        <w:rPr>
          <w:rFonts w:ascii="Arial" w:eastAsia="Calibri" w:hAnsi="Arial" w:cs="Arial"/>
        </w:rPr>
      </w:pPr>
      <w:r w:rsidRPr="0080295E">
        <w:rPr>
          <w:rFonts w:ascii="Arial" w:eastAsia="Calibri" w:hAnsi="Arial" w:cs="Arial"/>
        </w:rPr>
        <w:t>Se solicita a la entidad para que anule el acto emitido o extinga, rescinda o resuelva el contrato otorgado en el procedimiento materia de supervisión.</w:t>
      </w:r>
    </w:p>
    <w:p w:rsidR="0080295E" w:rsidRPr="0080295E" w:rsidRDefault="0080295E" w:rsidP="0092471C">
      <w:pPr>
        <w:numPr>
          <w:ilvl w:val="0"/>
          <w:numId w:val="296"/>
        </w:numPr>
        <w:spacing w:after="0" w:line="240" w:lineRule="auto"/>
        <w:ind w:left="2835" w:hanging="709"/>
        <w:contextualSpacing/>
        <w:jc w:val="both"/>
        <w:rPr>
          <w:rFonts w:ascii="Arial" w:eastAsia="Calibri" w:hAnsi="Arial" w:cs="Arial"/>
        </w:rPr>
      </w:pPr>
      <w:r w:rsidRPr="0080295E">
        <w:rPr>
          <w:rFonts w:ascii="Arial" w:eastAsia="Calibri" w:hAnsi="Arial" w:cs="Arial"/>
        </w:rPr>
        <w:t xml:space="preserve">Se oficia </w:t>
      </w:r>
      <w:r w:rsidRPr="0080295E">
        <w:rPr>
          <w:rFonts w:ascii="Arial" w:eastAsia="Calibri" w:hAnsi="Arial" w:cs="Arial"/>
          <w:lang w:val="es-ES"/>
        </w:rPr>
        <w:t>al Titular de</w:t>
      </w:r>
      <w:r w:rsidRPr="0080295E">
        <w:rPr>
          <w:rFonts w:ascii="Arial" w:eastAsia="Calibri" w:hAnsi="Arial" w:cs="Arial"/>
        </w:rPr>
        <w:t xml:space="preserve"> la entidad y </w:t>
      </w:r>
      <w:r w:rsidRPr="0080295E">
        <w:rPr>
          <w:rFonts w:ascii="Arial" w:eastAsia="Calibri" w:hAnsi="Arial" w:cs="Arial"/>
          <w:lang w:val="es-ES"/>
        </w:rPr>
        <w:t xml:space="preserve">la CGR, </w:t>
      </w:r>
      <w:r w:rsidRPr="0080295E">
        <w:rPr>
          <w:rFonts w:ascii="Arial" w:eastAsia="Calibri" w:hAnsi="Arial" w:cs="Arial"/>
        </w:rPr>
        <w:t>comunicando</w:t>
      </w:r>
      <w:r w:rsidRPr="0080295E">
        <w:rPr>
          <w:rFonts w:ascii="Arial" w:eastAsia="Calibri" w:hAnsi="Arial" w:cs="Arial"/>
          <w:lang w:val="es-ES"/>
        </w:rPr>
        <w:t xml:space="preserve"> la existencia de las infracciones a la normatividad, solicitando la implementación de las acciones correctivas y sanciones respectivas, bajo responsabilidad del citado Titular, de conformidad con el literal d) del numeral 14.1 del artículo 14° de la Ley. </w:t>
      </w:r>
    </w:p>
    <w:p w:rsidR="0080295E" w:rsidRPr="0080295E" w:rsidRDefault="0080295E" w:rsidP="0080295E">
      <w:pPr>
        <w:spacing w:after="0" w:line="240" w:lineRule="auto"/>
        <w:contextualSpacing/>
        <w:jc w:val="both"/>
        <w:rPr>
          <w:rFonts w:ascii="Arial" w:eastAsia="Calibri" w:hAnsi="Arial" w:cs="Arial"/>
        </w:rPr>
      </w:pPr>
    </w:p>
    <w:p w:rsidR="0080295E" w:rsidRPr="0080295E" w:rsidRDefault="0080295E" w:rsidP="0092471C">
      <w:pPr>
        <w:numPr>
          <w:ilvl w:val="0"/>
          <w:numId w:val="283"/>
        </w:numPr>
        <w:spacing w:after="0" w:line="240" w:lineRule="auto"/>
        <w:ind w:left="567" w:hanging="567"/>
        <w:contextualSpacing/>
        <w:jc w:val="both"/>
        <w:rPr>
          <w:rFonts w:ascii="Arial" w:eastAsia="Calibri" w:hAnsi="Arial" w:cs="Arial"/>
          <w:b/>
        </w:rPr>
      </w:pPr>
      <w:r w:rsidRPr="0080295E">
        <w:rPr>
          <w:rFonts w:ascii="Arial" w:eastAsia="Calibri" w:hAnsi="Arial" w:cs="Arial"/>
          <w:b/>
        </w:rPr>
        <w:t>DISPOSICIONES COMPLEMENTARIAS FINALES</w:t>
      </w:r>
    </w:p>
    <w:p w:rsidR="0080295E" w:rsidRPr="0080295E" w:rsidRDefault="0080295E" w:rsidP="0080295E">
      <w:pPr>
        <w:spacing w:after="0" w:line="240" w:lineRule="auto"/>
        <w:contextualSpacing/>
        <w:jc w:val="both"/>
        <w:rPr>
          <w:rFonts w:ascii="Arial" w:eastAsia="Calibri" w:hAnsi="Arial" w:cs="Arial"/>
          <w:b/>
        </w:rPr>
      </w:pPr>
    </w:p>
    <w:p w:rsidR="0080295E" w:rsidRPr="0080295E" w:rsidRDefault="0080295E" w:rsidP="007605EA">
      <w:pPr>
        <w:spacing w:after="0" w:line="240" w:lineRule="auto"/>
        <w:ind w:left="567"/>
        <w:contextualSpacing/>
        <w:jc w:val="both"/>
        <w:rPr>
          <w:rFonts w:ascii="Arial" w:eastAsia="Calibri" w:hAnsi="Arial" w:cs="Arial"/>
        </w:rPr>
      </w:pPr>
      <w:r w:rsidRPr="0080295E">
        <w:rPr>
          <w:rFonts w:ascii="Arial" w:eastAsia="Calibri" w:hAnsi="Arial" w:cs="Arial"/>
          <w:b/>
        </w:rPr>
        <w:t xml:space="preserve">Primera.- </w:t>
      </w:r>
      <w:r w:rsidRPr="0080295E">
        <w:rPr>
          <w:rFonts w:ascii="Arial" w:eastAsia="Calibri" w:hAnsi="Arial" w:cs="Arial"/>
        </w:rPr>
        <w:t>La SBN, a través de la SDS o la unidad orgánica que haga sus veces, es responsable de ejecutar las actuaciones de supervisión reguladas en la presente Directiva.</w:t>
      </w:r>
    </w:p>
    <w:p w:rsidR="0080295E" w:rsidRPr="0080295E" w:rsidRDefault="0080295E" w:rsidP="007605EA">
      <w:pPr>
        <w:spacing w:after="0" w:line="240" w:lineRule="auto"/>
        <w:ind w:left="567"/>
        <w:contextualSpacing/>
        <w:jc w:val="both"/>
        <w:rPr>
          <w:rFonts w:ascii="Arial" w:eastAsia="Calibri" w:hAnsi="Arial" w:cs="Arial"/>
        </w:rPr>
      </w:pPr>
    </w:p>
    <w:p w:rsidR="0080295E" w:rsidRPr="0080295E" w:rsidRDefault="0080295E" w:rsidP="007605EA">
      <w:pPr>
        <w:spacing w:after="0" w:line="240" w:lineRule="auto"/>
        <w:ind w:left="567"/>
        <w:contextualSpacing/>
        <w:jc w:val="both"/>
        <w:rPr>
          <w:rFonts w:ascii="Arial" w:eastAsia="Calibri" w:hAnsi="Arial" w:cs="Arial"/>
        </w:rPr>
      </w:pPr>
      <w:r w:rsidRPr="0080295E">
        <w:rPr>
          <w:rFonts w:ascii="Arial" w:eastAsia="Calibri" w:hAnsi="Arial" w:cs="Arial"/>
        </w:rPr>
        <w:t>La DGPE es responsable de velar por el cumplimiento de las disposiciones contenidas en la presente Directiva, respecto de la ejecución de las actuaciones de supervisión.</w:t>
      </w:r>
    </w:p>
    <w:p w:rsidR="0080295E" w:rsidRPr="0080295E" w:rsidRDefault="0080295E" w:rsidP="007605EA">
      <w:pPr>
        <w:spacing w:after="0" w:line="240" w:lineRule="auto"/>
        <w:ind w:left="567"/>
        <w:contextualSpacing/>
        <w:jc w:val="both"/>
        <w:rPr>
          <w:rFonts w:ascii="Arial" w:eastAsia="Calibri" w:hAnsi="Arial" w:cs="Arial"/>
        </w:rPr>
      </w:pPr>
    </w:p>
    <w:p w:rsidR="0080295E" w:rsidRPr="0080295E" w:rsidRDefault="0080295E" w:rsidP="007605EA">
      <w:pPr>
        <w:spacing w:after="0" w:line="240" w:lineRule="auto"/>
        <w:ind w:left="567"/>
        <w:contextualSpacing/>
        <w:jc w:val="both"/>
        <w:rPr>
          <w:rFonts w:ascii="Arial" w:eastAsia="Calibri" w:hAnsi="Arial" w:cs="Arial"/>
        </w:rPr>
      </w:pPr>
      <w:r w:rsidRPr="0080295E">
        <w:rPr>
          <w:rFonts w:ascii="Arial" w:eastAsia="Calibri" w:hAnsi="Arial" w:cs="Arial"/>
        </w:rPr>
        <w:t>Corresponde a las unidades orgánicas de las entidades que conforman el SNBE, con competencia de acuerdo a sus documentos internos de gestión, velar por el cumplimiento de las disposiciones contenidas en la presente Directiva.</w:t>
      </w:r>
    </w:p>
    <w:p w:rsidR="0080295E" w:rsidRPr="0080295E" w:rsidRDefault="0080295E" w:rsidP="007605EA">
      <w:pPr>
        <w:spacing w:after="0" w:line="240" w:lineRule="auto"/>
        <w:ind w:left="567"/>
        <w:contextualSpacing/>
        <w:jc w:val="both"/>
        <w:rPr>
          <w:rFonts w:ascii="Arial" w:eastAsia="Calibri" w:hAnsi="Arial" w:cs="Arial"/>
        </w:rPr>
      </w:pPr>
    </w:p>
    <w:p w:rsidR="0080295E" w:rsidRPr="0080295E" w:rsidRDefault="0080295E" w:rsidP="007605EA">
      <w:pPr>
        <w:spacing w:after="0" w:line="240" w:lineRule="auto"/>
        <w:ind w:left="567"/>
        <w:contextualSpacing/>
        <w:jc w:val="both"/>
        <w:rPr>
          <w:rFonts w:ascii="Arial" w:eastAsia="Calibri" w:hAnsi="Arial" w:cs="Arial"/>
        </w:rPr>
      </w:pPr>
      <w:r w:rsidRPr="0080295E">
        <w:rPr>
          <w:rFonts w:ascii="Arial" w:eastAsia="Calibri" w:hAnsi="Arial" w:cs="Arial"/>
          <w:b/>
        </w:rPr>
        <w:t>Segunda.-</w:t>
      </w:r>
      <w:r w:rsidRPr="0080295E">
        <w:rPr>
          <w:rFonts w:ascii="Arial" w:eastAsia="Calibri" w:hAnsi="Arial" w:cs="Arial"/>
        </w:rPr>
        <w:t xml:space="preserve"> Las actuaciones de supervisión previstas en la Directiva N° 004-2011/SBN, que regula los “Procedimientos para la constitución del derecho de usufructo oneroso”, aprobada por Resolución N° 044-2011-SBN; Directiva N° 005-2011/SBN, que aprueba los “Procedimientos para la afectación en uso de predios estatales”, aprobada por Resolución N° 050-2011-SBN; y Directiva N° 005-2013/SBN, denominada “Procedimientos para la aprobación de transferencias interestatales de predios del Estado”, aprobada por Resolución N° 067-2013-SBN; permanecen vigentes, siendo la presente Directiva, de aplicación supletoria en todo lo no regulado.</w:t>
      </w:r>
    </w:p>
    <w:p w:rsidR="0080295E" w:rsidRPr="0080295E" w:rsidRDefault="0080295E" w:rsidP="0080295E">
      <w:pPr>
        <w:spacing w:after="0" w:line="240" w:lineRule="auto"/>
        <w:contextualSpacing/>
        <w:jc w:val="both"/>
        <w:rPr>
          <w:rFonts w:ascii="Arial" w:eastAsia="Calibri" w:hAnsi="Arial" w:cs="Arial"/>
          <w:b/>
        </w:rPr>
      </w:pPr>
    </w:p>
    <w:p w:rsidR="0080295E" w:rsidRPr="0080295E" w:rsidRDefault="0080295E" w:rsidP="0092471C">
      <w:pPr>
        <w:numPr>
          <w:ilvl w:val="0"/>
          <w:numId w:val="283"/>
        </w:numPr>
        <w:spacing w:after="0" w:line="240" w:lineRule="auto"/>
        <w:ind w:left="567" w:hanging="567"/>
        <w:contextualSpacing/>
        <w:jc w:val="both"/>
        <w:rPr>
          <w:rFonts w:ascii="Arial" w:eastAsia="Calibri" w:hAnsi="Arial" w:cs="Arial"/>
          <w:b/>
        </w:rPr>
      </w:pPr>
      <w:r w:rsidRPr="0080295E">
        <w:rPr>
          <w:rFonts w:ascii="Arial" w:eastAsia="Calibri" w:hAnsi="Arial" w:cs="Arial"/>
          <w:b/>
        </w:rPr>
        <w:t>DISPOSICIONES COMPLEMENTARIAS TRANSITORIAS</w:t>
      </w:r>
    </w:p>
    <w:p w:rsidR="0080295E" w:rsidRPr="0080295E" w:rsidRDefault="0080295E" w:rsidP="0080295E">
      <w:pPr>
        <w:spacing w:after="0" w:line="240" w:lineRule="auto"/>
        <w:contextualSpacing/>
        <w:jc w:val="both"/>
        <w:rPr>
          <w:rFonts w:ascii="Arial" w:eastAsia="Calibri" w:hAnsi="Arial" w:cs="Arial"/>
          <w:b/>
        </w:rPr>
      </w:pPr>
    </w:p>
    <w:p w:rsidR="0080295E" w:rsidRPr="0080295E" w:rsidRDefault="0080295E" w:rsidP="007605EA">
      <w:pPr>
        <w:spacing w:after="0" w:line="240" w:lineRule="auto"/>
        <w:ind w:left="567"/>
        <w:contextualSpacing/>
        <w:jc w:val="both"/>
        <w:rPr>
          <w:rFonts w:ascii="Arial" w:eastAsia="Calibri" w:hAnsi="Arial" w:cs="Arial"/>
          <w:lang w:val="es-ES"/>
        </w:rPr>
      </w:pPr>
      <w:r w:rsidRPr="0080295E">
        <w:rPr>
          <w:rFonts w:ascii="Arial" w:eastAsia="Calibri" w:hAnsi="Arial" w:cs="Arial"/>
          <w:b/>
        </w:rPr>
        <w:t>Primera.-</w:t>
      </w:r>
      <w:r w:rsidRPr="0080295E">
        <w:rPr>
          <w:rFonts w:ascii="Arial" w:eastAsia="Calibri" w:hAnsi="Arial" w:cs="Arial"/>
          <w:lang w:val="es-ES"/>
        </w:rPr>
        <w:t xml:space="preserve"> Las actuaciones de supervisión iniciadas antes de la entrada en vigencia de la presente Directiva y que se encuentren en trámite, se adecuan a lo </w:t>
      </w:r>
      <w:r w:rsidRPr="0080295E">
        <w:rPr>
          <w:rFonts w:ascii="Arial" w:eastAsia="Calibri" w:hAnsi="Arial" w:cs="Arial"/>
        </w:rPr>
        <w:t>dispuesto</w:t>
      </w:r>
      <w:r w:rsidRPr="0080295E">
        <w:rPr>
          <w:rFonts w:ascii="Arial" w:eastAsia="Calibri" w:hAnsi="Arial" w:cs="Arial"/>
          <w:lang w:val="es-ES"/>
        </w:rPr>
        <w:t xml:space="preserve"> en esta norma, en el estado que se encuentren.</w:t>
      </w:r>
    </w:p>
    <w:p w:rsidR="0080295E" w:rsidRPr="0080295E" w:rsidRDefault="0080295E" w:rsidP="007605EA">
      <w:pPr>
        <w:spacing w:after="0" w:line="240" w:lineRule="auto"/>
        <w:ind w:left="567"/>
        <w:contextualSpacing/>
        <w:jc w:val="both"/>
        <w:rPr>
          <w:rFonts w:ascii="Arial" w:eastAsia="Calibri" w:hAnsi="Arial" w:cs="Arial"/>
          <w:lang w:val="es-ES"/>
        </w:rPr>
      </w:pPr>
    </w:p>
    <w:p w:rsidR="0080295E" w:rsidRPr="0080295E" w:rsidRDefault="0080295E" w:rsidP="007605EA">
      <w:pPr>
        <w:spacing w:after="0" w:line="240" w:lineRule="auto"/>
        <w:ind w:left="567"/>
        <w:contextualSpacing/>
        <w:jc w:val="both"/>
        <w:rPr>
          <w:rFonts w:ascii="Arial" w:eastAsia="Calibri" w:hAnsi="Arial" w:cs="Arial"/>
        </w:rPr>
      </w:pPr>
      <w:r w:rsidRPr="0080295E">
        <w:rPr>
          <w:rFonts w:ascii="Arial" w:eastAsia="Calibri" w:hAnsi="Arial" w:cs="Arial"/>
          <w:b/>
        </w:rPr>
        <w:t xml:space="preserve">Segunda.- </w:t>
      </w:r>
      <w:r w:rsidRPr="0080295E">
        <w:rPr>
          <w:rFonts w:ascii="Arial" w:eastAsia="Calibri" w:hAnsi="Arial" w:cs="Arial"/>
        </w:rPr>
        <w:t>El procedimiento administrativo sancionador por las conductas infractoras cometidas por particulares sobre inmuebles de propiedad estatal, previsto en el segundo párrafo del artículo 5.9 y el literal h) del numeral 6.1.12 de la presente Directiva, se aplica una vez que entre en vigencia el Reglamento correspondiente.</w:t>
      </w:r>
    </w:p>
    <w:p w:rsidR="0080295E" w:rsidRPr="0080295E" w:rsidRDefault="0080295E" w:rsidP="0080295E">
      <w:pPr>
        <w:spacing w:after="0" w:line="240" w:lineRule="auto"/>
        <w:contextualSpacing/>
        <w:jc w:val="both"/>
        <w:rPr>
          <w:rFonts w:ascii="Arial" w:eastAsia="Calibri" w:hAnsi="Arial" w:cs="Arial"/>
          <w:b/>
        </w:rPr>
      </w:pPr>
    </w:p>
    <w:p w:rsidR="0080295E" w:rsidRPr="0080295E" w:rsidRDefault="0080295E" w:rsidP="0092471C">
      <w:pPr>
        <w:numPr>
          <w:ilvl w:val="0"/>
          <w:numId w:val="283"/>
        </w:numPr>
        <w:spacing w:after="0" w:line="240" w:lineRule="auto"/>
        <w:ind w:left="567" w:hanging="567"/>
        <w:contextualSpacing/>
        <w:jc w:val="both"/>
        <w:rPr>
          <w:rFonts w:ascii="Arial" w:eastAsia="Calibri" w:hAnsi="Arial" w:cs="Arial"/>
          <w:b/>
        </w:rPr>
      </w:pPr>
      <w:r w:rsidRPr="0080295E">
        <w:rPr>
          <w:rFonts w:ascii="Arial" w:eastAsia="Calibri" w:hAnsi="Arial" w:cs="Arial"/>
          <w:b/>
        </w:rPr>
        <w:t>ANEXOS</w:t>
      </w:r>
    </w:p>
    <w:p w:rsidR="0080295E" w:rsidRPr="0080295E" w:rsidRDefault="0080295E" w:rsidP="0080295E">
      <w:pPr>
        <w:spacing w:after="0" w:line="240" w:lineRule="auto"/>
        <w:contextualSpacing/>
        <w:jc w:val="both"/>
        <w:rPr>
          <w:rFonts w:ascii="Arial" w:eastAsia="Calibri" w:hAnsi="Arial" w:cs="Arial"/>
          <w:b/>
        </w:rPr>
      </w:pPr>
    </w:p>
    <w:p w:rsidR="0080295E" w:rsidRPr="0080295E" w:rsidRDefault="0080295E" w:rsidP="007605EA">
      <w:pPr>
        <w:spacing w:after="0" w:line="240" w:lineRule="auto"/>
        <w:ind w:left="567"/>
        <w:contextualSpacing/>
        <w:jc w:val="both"/>
        <w:rPr>
          <w:rFonts w:ascii="Arial" w:eastAsia="Calibri" w:hAnsi="Arial" w:cs="Arial"/>
          <w:lang w:val="es-ES"/>
        </w:rPr>
      </w:pPr>
      <w:r w:rsidRPr="0080295E">
        <w:rPr>
          <w:rFonts w:ascii="Arial" w:eastAsia="Calibri" w:hAnsi="Arial" w:cs="Arial"/>
          <w:lang w:val="es-ES"/>
        </w:rPr>
        <w:t xml:space="preserve">Forman </w:t>
      </w:r>
      <w:r w:rsidRPr="0080295E">
        <w:rPr>
          <w:rFonts w:ascii="Arial" w:eastAsia="Calibri" w:hAnsi="Arial" w:cs="Arial"/>
        </w:rPr>
        <w:t>parte</w:t>
      </w:r>
      <w:r w:rsidRPr="0080295E">
        <w:rPr>
          <w:rFonts w:ascii="Arial" w:eastAsia="Calibri" w:hAnsi="Arial" w:cs="Arial"/>
          <w:lang w:val="es-ES"/>
        </w:rPr>
        <w:t xml:space="preserve"> de la presente Directiva los anexos que a continuación se indican:</w:t>
      </w:r>
    </w:p>
    <w:p w:rsidR="0080295E" w:rsidRPr="0080295E" w:rsidRDefault="0080295E" w:rsidP="007605EA">
      <w:pPr>
        <w:spacing w:after="0" w:line="240" w:lineRule="auto"/>
        <w:ind w:left="567"/>
        <w:contextualSpacing/>
        <w:jc w:val="both"/>
        <w:rPr>
          <w:rFonts w:ascii="Arial" w:eastAsia="Calibri" w:hAnsi="Arial" w:cs="Arial"/>
          <w:b/>
          <w:lang w:val="es-ES"/>
        </w:rPr>
      </w:pPr>
    </w:p>
    <w:p w:rsidR="0080295E" w:rsidRPr="0080295E" w:rsidRDefault="0080295E" w:rsidP="007605EA">
      <w:pPr>
        <w:spacing w:after="0" w:line="240" w:lineRule="auto"/>
        <w:ind w:left="567"/>
        <w:contextualSpacing/>
        <w:jc w:val="both"/>
        <w:rPr>
          <w:rFonts w:ascii="Arial" w:eastAsia="Calibri" w:hAnsi="Arial" w:cs="Arial"/>
        </w:rPr>
      </w:pPr>
      <w:r w:rsidRPr="0080295E">
        <w:rPr>
          <w:rFonts w:ascii="Arial" w:eastAsia="Calibri" w:hAnsi="Arial" w:cs="Arial"/>
          <w:b/>
        </w:rPr>
        <w:t>Anexo N° 01</w:t>
      </w:r>
      <w:r w:rsidRPr="0080295E">
        <w:rPr>
          <w:rFonts w:ascii="Arial" w:eastAsia="Calibri" w:hAnsi="Arial" w:cs="Arial"/>
        </w:rPr>
        <w:t>: Glosario de términos.</w:t>
      </w:r>
    </w:p>
    <w:p w:rsidR="0080295E" w:rsidRPr="0080295E" w:rsidRDefault="0080295E" w:rsidP="007605EA">
      <w:pPr>
        <w:spacing w:after="0" w:line="240" w:lineRule="auto"/>
        <w:ind w:left="567"/>
        <w:contextualSpacing/>
        <w:jc w:val="both"/>
        <w:rPr>
          <w:rFonts w:ascii="Arial" w:eastAsia="Calibri" w:hAnsi="Arial" w:cs="Arial"/>
        </w:rPr>
      </w:pPr>
      <w:r w:rsidRPr="0080295E">
        <w:rPr>
          <w:rFonts w:ascii="Arial" w:eastAsia="Calibri" w:hAnsi="Arial" w:cs="Arial"/>
          <w:b/>
        </w:rPr>
        <w:t>Anexo N° 02</w:t>
      </w:r>
      <w:r w:rsidRPr="0080295E">
        <w:rPr>
          <w:rFonts w:ascii="Arial" w:eastAsia="Calibri" w:hAnsi="Arial" w:cs="Arial"/>
        </w:rPr>
        <w:t xml:space="preserve">: Abreviaturas y nomenclaturas. </w:t>
      </w:r>
    </w:p>
    <w:p w:rsidR="0080295E" w:rsidRPr="0080295E" w:rsidRDefault="0080295E" w:rsidP="0080295E">
      <w:pPr>
        <w:spacing w:after="0" w:line="240" w:lineRule="auto"/>
        <w:contextualSpacing/>
        <w:jc w:val="both"/>
        <w:rPr>
          <w:rFonts w:ascii="Arial" w:eastAsia="Calibri" w:hAnsi="Arial" w:cs="Arial"/>
        </w:rPr>
      </w:pPr>
    </w:p>
    <w:p w:rsidR="0080295E" w:rsidRPr="0080295E" w:rsidRDefault="0080295E" w:rsidP="007605EA">
      <w:pPr>
        <w:spacing w:after="0" w:line="240" w:lineRule="auto"/>
        <w:contextualSpacing/>
        <w:jc w:val="center"/>
        <w:rPr>
          <w:rFonts w:ascii="Arial" w:eastAsia="Calibri" w:hAnsi="Arial" w:cs="Arial"/>
          <w:b/>
        </w:rPr>
      </w:pPr>
      <w:r w:rsidRPr="0080295E">
        <w:rPr>
          <w:rFonts w:ascii="Arial" w:eastAsia="Calibri" w:hAnsi="Arial" w:cs="Arial"/>
          <w:b/>
        </w:rPr>
        <w:t>ANEXO N° 1</w:t>
      </w:r>
    </w:p>
    <w:p w:rsidR="0080295E" w:rsidRPr="0080295E" w:rsidRDefault="0080295E" w:rsidP="007605EA">
      <w:pPr>
        <w:spacing w:after="0" w:line="240" w:lineRule="auto"/>
        <w:contextualSpacing/>
        <w:jc w:val="center"/>
        <w:rPr>
          <w:rFonts w:ascii="Arial" w:eastAsia="Calibri" w:hAnsi="Arial" w:cs="Arial"/>
          <w:b/>
        </w:rPr>
      </w:pPr>
      <w:r w:rsidRPr="0080295E">
        <w:rPr>
          <w:rFonts w:ascii="Arial" w:eastAsia="Calibri" w:hAnsi="Arial" w:cs="Arial"/>
          <w:b/>
        </w:rPr>
        <w:t>GLOSARIO DE TERMINOS</w:t>
      </w:r>
    </w:p>
    <w:p w:rsidR="0080295E" w:rsidRPr="0080295E" w:rsidRDefault="0080295E" w:rsidP="0080295E">
      <w:pPr>
        <w:spacing w:after="0" w:line="240" w:lineRule="auto"/>
        <w:contextualSpacing/>
        <w:jc w:val="both"/>
        <w:rPr>
          <w:rFonts w:ascii="Arial" w:eastAsia="Calibri" w:hAnsi="Arial" w:cs="Arial"/>
          <w:b/>
        </w:rPr>
      </w:pPr>
    </w:p>
    <w:p w:rsidR="0080295E" w:rsidRPr="0080295E" w:rsidRDefault="0080295E" w:rsidP="0092471C">
      <w:pPr>
        <w:numPr>
          <w:ilvl w:val="0"/>
          <w:numId w:val="285"/>
        </w:numPr>
        <w:spacing w:after="0" w:line="240" w:lineRule="auto"/>
        <w:contextualSpacing/>
        <w:jc w:val="both"/>
        <w:rPr>
          <w:rFonts w:ascii="Arial" w:eastAsia="Calibri" w:hAnsi="Arial" w:cs="Arial"/>
          <w:b/>
        </w:rPr>
      </w:pPr>
      <w:r w:rsidRPr="0080295E">
        <w:rPr>
          <w:rFonts w:ascii="Arial" w:eastAsia="Calibri" w:hAnsi="Arial" w:cs="Arial"/>
          <w:b/>
        </w:rPr>
        <w:t xml:space="preserve">Bienes estatales: </w:t>
      </w:r>
      <w:r w:rsidRPr="0080295E">
        <w:rPr>
          <w:rFonts w:ascii="Arial" w:eastAsia="Calibri" w:hAnsi="Arial" w:cs="Arial"/>
        </w:rPr>
        <w:t>Son aquellos bienes definidos por el artículo 3° de la Ley.</w:t>
      </w:r>
    </w:p>
    <w:p w:rsidR="0080295E" w:rsidRPr="0080295E" w:rsidRDefault="0080295E" w:rsidP="0080295E">
      <w:pPr>
        <w:spacing w:after="0" w:line="240" w:lineRule="auto"/>
        <w:contextualSpacing/>
        <w:jc w:val="both"/>
        <w:rPr>
          <w:rFonts w:ascii="Arial" w:eastAsia="Calibri" w:hAnsi="Arial" w:cs="Arial"/>
          <w:b/>
        </w:rPr>
      </w:pPr>
    </w:p>
    <w:p w:rsidR="0080295E" w:rsidRPr="0080295E" w:rsidRDefault="0080295E" w:rsidP="0092471C">
      <w:pPr>
        <w:numPr>
          <w:ilvl w:val="0"/>
          <w:numId w:val="285"/>
        </w:numPr>
        <w:spacing w:after="0" w:line="240" w:lineRule="auto"/>
        <w:contextualSpacing/>
        <w:jc w:val="both"/>
        <w:rPr>
          <w:rFonts w:ascii="Arial" w:eastAsia="Calibri" w:hAnsi="Arial" w:cs="Arial"/>
          <w:b/>
        </w:rPr>
      </w:pPr>
      <w:r w:rsidRPr="0080295E">
        <w:rPr>
          <w:rFonts w:ascii="Arial" w:eastAsia="Calibri" w:hAnsi="Arial" w:cs="Arial"/>
          <w:b/>
        </w:rPr>
        <w:t xml:space="preserve">Bienes de dominio público: </w:t>
      </w:r>
      <w:r w:rsidRPr="0080295E">
        <w:rPr>
          <w:rFonts w:ascii="Arial" w:eastAsia="Calibri" w:hAnsi="Arial" w:cs="Arial"/>
        </w:rPr>
        <w:t>Son aquellos bienes, como playas, parques, sedes gubernativas, escuelas y demás que son definidos por el literal a) del numeral 2.2 del artículo 2° del Reglamento. Para efectos de las acciones de supervisión se excluyen aquellos inmuebles que tienen un supervisor especial, previsto por alguna norma legal, como los arqueológicos o monumentales, áreas naturales protegidas, de defensa nacional, etc.</w:t>
      </w:r>
    </w:p>
    <w:p w:rsidR="0080295E" w:rsidRPr="0080295E" w:rsidRDefault="0080295E" w:rsidP="0080295E">
      <w:pPr>
        <w:spacing w:after="0" w:line="240" w:lineRule="auto"/>
        <w:contextualSpacing/>
        <w:jc w:val="both"/>
        <w:rPr>
          <w:rFonts w:ascii="Arial" w:eastAsia="Calibri" w:hAnsi="Arial" w:cs="Arial"/>
          <w:b/>
        </w:rPr>
      </w:pPr>
    </w:p>
    <w:p w:rsidR="0080295E" w:rsidRPr="0080295E" w:rsidRDefault="0080295E" w:rsidP="0092471C">
      <w:pPr>
        <w:numPr>
          <w:ilvl w:val="0"/>
          <w:numId w:val="285"/>
        </w:numPr>
        <w:spacing w:after="0" w:line="240" w:lineRule="auto"/>
        <w:contextualSpacing/>
        <w:jc w:val="both"/>
        <w:rPr>
          <w:rFonts w:ascii="Arial" w:eastAsia="Calibri" w:hAnsi="Arial" w:cs="Arial"/>
          <w:b/>
        </w:rPr>
      </w:pPr>
      <w:r w:rsidRPr="0080295E">
        <w:rPr>
          <w:rFonts w:ascii="Arial" w:eastAsia="Calibri" w:hAnsi="Arial" w:cs="Arial"/>
          <w:b/>
        </w:rPr>
        <w:t xml:space="preserve">Bienes de dominio privado: </w:t>
      </w:r>
      <w:r w:rsidRPr="0080295E">
        <w:rPr>
          <w:rFonts w:ascii="Arial" w:eastAsia="Calibri" w:hAnsi="Arial" w:cs="Arial"/>
        </w:rPr>
        <w:t>Son aquellos bienes definidos por el literal b) del numeral 2.2 del artículo 2° del Reglamento.</w:t>
      </w:r>
    </w:p>
    <w:p w:rsidR="0080295E" w:rsidRPr="0080295E" w:rsidRDefault="0080295E" w:rsidP="0080295E">
      <w:pPr>
        <w:spacing w:after="0" w:line="240" w:lineRule="auto"/>
        <w:contextualSpacing/>
        <w:jc w:val="both"/>
        <w:rPr>
          <w:rFonts w:ascii="Arial" w:eastAsia="Calibri" w:hAnsi="Arial" w:cs="Arial"/>
          <w:b/>
        </w:rPr>
      </w:pPr>
    </w:p>
    <w:p w:rsidR="0080295E" w:rsidRPr="0080295E" w:rsidRDefault="0080295E" w:rsidP="0092471C">
      <w:pPr>
        <w:numPr>
          <w:ilvl w:val="0"/>
          <w:numId w:val="285"/>
        </w:numPr>
        <w:spacing w:after="0" w:line="240" w:lineRule="auto"/>
        <w:contextualSpacing/>
        <w:jc w:val="both"/>
        <w:rPr>
          <w:rFonts w:ascii="Arial" w:eastAsia="Calibri" w:hAnsi="Arial" w:cs="Arial"/>
          <w:b/>
        </w:rPr>
      </w:pPr>
      <w:r w:rsidRPr="0080295E">
        <w:rPr>
          <w:rFonts w:ascii="Arial" w:eastAsia="Calibri" w:hAnsi="Arial" w:cs="Arial"/>
          <w:b/>
        </w:rPr>
        <w:t xml:space="preserve">Brigada: </w:t>
      </w:r>
      <w:r w:rsidRPr="0080295E">
        <w:rPr>
          <w:rFonts w:ascii="Arial" w:eastAsia="Calibri" w:hAnsi="Arial" w:cs="Arial"/>
        </w:rPr>
        <w:t>Equipo a cargo de las actuaciones de supervisión,</w:t>
      </w:r>
      <w:r w:rsidRPr="0080295E">
        <w:rPr>
          <w:rFonts w:ascii="Arial" w:eastAsia="Calibri" w:hAnsi="Arial" w:cs="Arial"/>
          <w:lang w:val="es-ES"/>
        </w:rPr>
        <w:t xml:space="preserve"> conformada por un profesional técnico (ingeniero o arquitecto) y un abogado.</w:t>
      </w:r>
    </w:p>
    <w:p w:rsidR="0080295E" w:rsidRPr="0080295E" w:rsidRDefault="0080295E" w:rsidP="0080295E">
      <w:pPr>
        <w:spacing w:after="0" w:line="240" w:lineRule="auto"/>
        <w:contextualSpacing/>
        <w:jc w:val="both"/>
        <w:rPr>
          <w:rFonts w:ascii="Arial" w:eastAsia="Calibri" w:hAnsi="Arial" w:cs="Arial"/>
          <w:b/>
        </w:rPr>
      </w:pPr>
    </w:p>
    <w:p w:rsidR="0080295E" w:rsidRPr="0080295E" w:rsidRDefault="0080295E" w:rsidP="0092471C">
      <w:pPr>
        <w:numPr>
          <w:ilvl w:val="0"/>
          <w:numId w:val="285"/>
        </w:numPr>
        <w:spacing w:after="0" w:line="240" w:lineRule="auto"/>
        <w:contextualSpacing/>
        <w:jc w:val="both"/>
        <w:rPr>
          <w:rFonts w:ascii="Arial" w:eastAsia="Calibri" w:hAnsi="Arial" w:cs="Arial"/>
        </w:rPr>
      </w:pPr>
      <w:r w:rsidRPr="0080295E">
        <w:rPr>
          <w:rFonts w:ascii="Arial" w:eastAsia="Calibri" w:hAnsi="Arial" w:cs="Arial"/>
          <w:b/>
        </w:rPr>
        <w:t xml:space="preserve">Supervisión rectora: </w:t>
      </w:r>
      <w:r w:rsidRPr="0080295E">
        <w:rPr>
          <w:rFonts w:ascii="Arial" w:eastAsia="Calibri" w:hAnsi="Arial" w:cs="Arial"/>
          <w:bCs/>
        </w:rPr>
        <w:t xml:space="preserve">Es aquella labor efectuada por la SBN, en su calidad de ente rector del SNBE, que se desarrolla en forma </w:t>
      </w:r>
      <w:r w:rsidRPr="0080295E">
        <w:rPr>
          <w:rFonts w:ascii="Arial" w:eastAsia="Calibri" w:hAnsi="Arial" w:cs="Arial"/>
          <w:b/>
          <w:bCs/>
        </w:rPr>
        <w:t xml:space="preserve"> </w:t>
      </w:r>
      <w:r w:rsidRPr="0080295E">
        <w:rPr>
          <w:rFonts w:ascii="Arial" w:eastAsia="Calibri" w:hAnsi="Arial" w:cs="Arial"/>
          <w:bCs/>
        </w:rPr>
        <w:t xml:space="preserve">permanente y periódica, mediante un conjunto de acciones de control sujetos a la naturaleza del bien o tipo de acto, que recaen sobre bienes, actos y procedimientos </w:t>
      </w:r>
      <w:r w:rsidRPr="0080295E">
        <w:rPr>
          <w:rFonts w:ascii="Arial" w:eastAsia="Calibri" w:hAnsi="Arial" w:cs="Arial"/>
        </w:rPr>
        <w:t>representativos, empleando métodos probabilísticos, estadísticos o aleatorios acordes con la realidad de la labor de supervisión o sobre la base de muestras definidas en intervenciones programadas, conforme lo previsto por el literal c) del artículo 7°, literal d) del numeral 14.1 del artículo 14° y artículo 18° de la Ley.</w:t>
      </w:r>
    </w:p>
    <w:p w:rsidR="0080295E" w:rsidRPr="0080295E" w:rsidRDefault="0080295E" w:rsidP="0080295E">
      <w:pPr>
        <w:spacing w:after="0" w:line="240" w:lineRule="auto"/>
        <w:contextualSpacing/>
        <w:jc w:val="both"/>
        <w:rPr>
          <w:rFonts w:ascii="Arial" w:eastAsia="Calibri" w:hAnsi="Arial" w:cs="Arial"/>
        </w:rPr>
      </w:pPr>
    </w:p>
    <w:p w:rsidR="0080295E" w:rsidRPr="0080295E" w:rsidRDefault="0080295E" w:rsidP="0092471C">
      <w:pPr>
        <w:numPr>
          <w:ilvl w:val="0"/>
          <w:numId w:val="285"/>
        </w:numPr>
        <w:spacing w:after="0" w:line="240" w:lineRule="auto"/>
        <w:contextualSpacing/>
        <w:jc w:val="both"/>
        <w:rPr>
          <w:rFonts w:ascii="Arial" w:eastAsia="Calibri" w:hAnsi="Arial" w:cs="Arial"/>
        </w:rPr>
      </w:pPr>
      <w:r w:rsidRPr="0080295E">
        <w:rPr>
          <w:rFonts w:ascii="Arial" w:eastAsia="Calibri" w:hAnsi="Arial" w:cs="Arial"/>
          <w:b/>
        </w:rPr>
        <w:t xml:space="preserve">Supervisión de las entidades: </w:t>
      </w:r>
      <w:r w:rsidRPr="0080295E">
        <w:rPr>
          <w:rFonts w:ascii="Arial" w:eastAsia="Calibri" w:hAnsi="Arial" w:cs="Arial"/>
        </w:rPr>
        <w:t>Es el control que efectúan las entidades integrantes del SNBE sobre los bienes inmuebles de su propiedad y los que se encuentran bajo su administración,</w:t>
      </w:r>
      <w:r w:rsidRPr="0080295E">
        <w:rPr>
          <w:rFonts w:ascii="Arial" w:eastAsia="Calibri" w:hAnsi="Arial" w:cs="Arial"/>
          <w:lang w:val="es-ES"/>
        </w:rPr>
        <w:t xml:space="preserve"> conforme a lo dispuesto por el artículo 11°, los </w:t>
      </w:r>
      <w:r w:rsidRPr="0080295E">
        <w:rPr>
          <w:rFonts w:ascii="Arial" w:eastAsia="Calibri" w:hAnsi="Arial" w:cs="Arial"/>
        </w:rPr>
        <w:t>literales</w:t>
      </w:r>
      <w:r w:rsidRPr="0080295E">
        <w:rPr>
          <w:rFonts w:ascii="Arial" w:eastAsia="Calibri" w:hAnsi="Arial" w:cs="Arial"/>
          <w:lang w:val="es-ES"/>
        </w:rPr>
        <w:t xml:space="preserve"> c) y d) del numeral 14.2 del artículo 14° y el artículo 18° de la Ley, así como, los artículos 10°, inc. b) y 41-A° del Reglamento</w:t>
      </w:r>
      <w:r w:rsidRPr="0080295E">
        <w:rPr>
          <w:rFonts w:ascii="Arial" w:eastAsia="Calibri" w:hAnsi="Arial" w:cs="Arial"/>
        </w:rPr>
        <w:t>.</w:t>
      </w:r>
    </w:p>
    <w:p w:rsidR="0080295E" w:rsidRPr="0080295E" w:rsidRDefault="0080295E" w:rsidP="0080295E">
      <w:pPr>
        <w:spacing w:after="0" w:line="240" w:lineRule="auto"/>
        <w:contextualSpacing/>
        <w:jc w:val="both"/>
        <w:rPr>
          <w:rFonts w:ascii="Arial" w:eastAsia="Calibri" w:hAnsi="Arial" w:cs="Arial"/>
        </w:rPr>
      </w:pPr>
    </w:p>
    <w:p w:rsidR="0080295E" w:rsidRPr="0080295E" w:rsidRDefault="0080295E" w:rsidP="007605EA">
      <w:pPr>
        <w:spacing w:after="0" w:line="240" w:lineRule="auto"/>
        <w:contextualSpacing/>
        <w:jc w:val="center"/>
        <w:rPr>
          <w:rFonts w:ascii="Arial" w:eastAsia="Calibri" w:hAnsi="Arial" w:cs="Arial"/>
          <w:b/>
        </w:rPr>
      </w:pPr>
    </w:p>
    <w:p w:rsidR="0080295E" w:rsidRPr="0080295E" w:rsidRDefault="0080295E" w:rsidP="007605EA">
      <w:pPr>
        <w:spacing w:after="0" w:line="240" w:lineRule="auto"/>
        <w:contextualSpacing/>
        <w:jc w:val="center"/>
        <w:rPr>
          <w:rFonts w:ascii="Arial" w:eastAsia="Calibri" w:hAnsi="Arial" w:cs="Arial"/>
          <w:b/>
        </w:rPr>
      </w:pPr>
      <w:r w:rsidRPr="0080295E">
        <w:rPr>
          <w:rFonts w:ascii="Arial" w:eastAsia="Calibri" w:hAnsi="Arial" w:cs="Arial"/>
          <w:b/>
        </w:rPr>
        <w:t>ANEXO N° 2</w:t>
      </w:r>
    </w:p>
    <w:p w:rsidR="0080295E" w:rsidRPr="0080295E" w:rsidRDefault="0080295E" w:rsidP="007605EA">
      <w:pPr>
        <w:spacing w:after="0" w:line="240" w:lineRule="auto"/>
        <w:contextualSpacing/>
        <w:jc w:val="center"/>
        <w:rPr>
          <w:rFonts w:ascii="Arial" w:eastAsia="Calibri" w:hAnsi="Arial" w:cs="Arial"/>
        </w:rPr>
      </w:pPr>
      <w:r w:rsidRPr="0080295E">
        <w:rPr>
          <w:rFonts w:ascii="Arial" w:eastAsia="Calibri" w:hAnsi="Arial" w:cs="Arial"/>
          <w:b/>
        </w:rPr>
        <w:t>ABREVIATURAS Y NOMENCLATURAS</w:t>
      </w:r>
    </w:p>
    <w:p w:rsidR="0080295E" w:rsidRPr="0080295E" w:rsidRDefault="0080295E" w:rsidP="0080295E">
      <w:pPr>
        <w:spacing w:after="0" w:line="240" w:lineRule="auto"/>
        <w:contextualSpacing/>
        <w:jc w:val="both"/>
        <w:rPr>
          <w:rFonts w:ascii="Arial" w:eastAsia="Calibri" w:hAnsi="Arial" w:cs="Arial"/>
        </w:rPr>
      </w:pPr>
    </w:p>
    <w:p w:rsidR="0080295E" w:rsidRPr="0080295E" w:rsidRDefault="0080295E" w:rsidP="0092471C">
      <w:pPr>
        <w:numPr>
          <w:ilvl w:val="0"/>
          <w:numId w:val="285"/>
        </w:numPr>
        <w:spacing w:after="0" w:line="240" w:lineRule="auto"/>
        <w:contextualSpacing/>
        <w:jc w:val="both"/>
        <w:rPr>
          <w:rFonts w:ascii="Arial" w:eastAsia="Calibri" w:hAnsi="Arial" w:cs="Arial"/>
        </w:rPr>
      </w:pPr>
      <w:r w:rsidRPr="0080295E">
        <w:rPr>
          <w:rFonts w:ascii="Arial" w:eastAsia="Calibri" w:hAnsi="Arial" w:cs="Arial"/>
          <w:b/>
        </w:rPr>
        <w:t>CGR</w:t>
      </w:r>
      <w:r w:rsidRPr="0080295E">
        <w:rPr>
          <w:rFonts w:ascii="Arial" w:eastAsia="Calibri" w:hAnsi="Arial" w:cs="Arial"/>
        </w:rPr>
        <w:t>: Contraloría General de la Republica.</w:t>
      </w:r>
    </w:p>
    <w:p w:rsidR="0080295E" w:rsidRPr="0080295E" w:rsidRDefault="0080295E" w:rsidP="0092471C">
      <w:pPr>
        <w:numPr>
          <w:ilvl w:val="0"/>
          <w:numId w:val="285"/>
        </w:numPr>
        <w:spacing w:after="0" w:line="240" w:lineRule="auto"/>
        <w:contextualSpacing/>
        <w:jc w:val="both"/>
        <w:rPr>
          <w:rFonts w:ascii="Arial" w:eastAsia="Calibri" w:hAnsi="Arial" w:cs="Arial"/>
        </w:rPr>
      </w:pPr>
      <w:r w:rsidRPr="0080295E">
        <w:rPr>
          <w:rFonts w:ascii="Arial" w:eastAsia="Calibri" w:hAnsi="Arial" w:cs="Arial"/>
          <w:b/>
        </w:rPr>
        <w:t>DGPE</w:t>
      </w:r>
      <w:r w:rsidRPr="0080295E">
        <w:rPr>
          <w:rFonts w:ascii="Arial" w:eastAsia="Calibri" w:hAnsi="Arial" w:cs="Arial"/>
        </w:rPr>
        <w:t>: Dirección de Gestión del Patrimonio Estatal.</w:t>
      </w:r>
    </w:p>
    <w:p w:rsidR="0080295E" w:rsidRPr="0080295E" w:rsidRDefault="0080295E" w:rsidP="0092471C">
      <w:pPr>
        <w:numPr>
          <w:ilvl w:val="0"/>
          <w:numId w:val="285"/>
        </w:numPr>
        <w:spacing w:after="0" w:line="240" w:lineRule="auto"/>
        <w:contextualSpacing/>
        <w:jc w:val="both"/>
        <w:rPr>
          <w:rFonts w:ascii="Arial" w:eastAsia="Calibri" w:hAnsi="Arial" w:cs="Arial"/>
        </w:rPr>
      </w:pPr>
      <w:r w:rsidRPr="0080295E">
        <w:rPr>
          <w:rFonts w:ascii="Arial" w:eastAsia="Calibri" w:hAnsi="Arial" w:cs="Arial"/>
          <w:b/>
        </w:rPr>
        <w:t>DNR</w:t>
      </w:r>
      <w:r w:rsidRPr="0080295E">
        <w:rPr>
          <w:rFonts w:ascii="Arial" w:eastAsia="Calibri" w:hAnsi="Arial" w:cs="Arial"/>
        </w:rPr>
        <w:t>: Dirección de Normas y Registro.</w:t>
      </w:r>
    </w:p>
    <w:p w:rsidR="0080295E" w:rsidRPr="0080295E" w:rsidRDefault="0080295E" w:rsidP="0092471C">
      <w:pPr>
        <w:numPr>
          <w:ilvl w:val="0"/>
          <w:numId w:val="285"/>
        </w:numPr>
        <w:spacing w:after="0" w:line="240" w:lineRule="auto"/>
        <w:contextualSpacing/>
        <w:jc w:val="both"/>
        <w:rPr>
          <w:rFonts w:ascii="Arial" w:eastAsia="Calibri" w:hAnsi="Arial" w:cs="Arial"/>
        </w:rPr>
      </w:pPr>
      <w:r w:rsidRPr="0080295E">
        <w:rPr>
          <w:rFonts w:ascii="Arial" w:eastAsia="Calibri" w:hAnsi="Arial" w:cs="Arial"/>
          <w:b/>
        </w:rPr>
        <w:t>Ley</w:t>
      </w:r>
      <w:r w:rsidRPr="0080295E">
        <w:rPr>
          <w:rFonts w:ascii="Arial" w:eastAsia="Calibri" w:hAnsi="Arial" w:cs="Arial"/>
        </w:rPr>
        <w:t>: la Ley Nº 29151, Ley General del Sistema Nacional de Bienes Estatales.</w:t>
      </w:r>
    </w:p>
    <w:p w:rsidR="0080295E" w:rsidRPr="0080295E" w:rsidRDefault="0080295E" w:rsidP="0092471C">
      <w:pPr>
        <w:numPr>
          <w:ilvl w:val="0"/>
          <w:numId w:val="285"/>
        </w:numPr>
        <w:spacing w:after="0" w:line="240" w:lineRule="auto"/>
        <w:contextualSpacing/>
        <w:jc w:val="both"/>
        <w:rPr>
          <w:rFonts w:ascii="Arial" w:eastAsia="Calibri" w:hAnsi="Arial" w:cs="Arial"/>
        </w:rPr>
      </w:pPr>
      <w:r w:rsidRPr="0080295E">
        <w:rPr>
          <w:rFonts w:ascii="Arial" w:eastAsia="Calibri" w:hAnsi="Arial" w:cs="Arial"/>
          <w:b/>
        </w:rPr>
        <w:t>LPAG</w:t>
      </w:r>
      <w:r w:rsidRPr="0080295E">
        <w:rPr>
          <w:rFonts w:ascii="Arial" w:eastAsia="Calibri" w:hAnsi="Arial" w:cs="Arial"/>
        </w:rPr>
        <w:t>: Ley 27444, Ley del Procedimiento Administrativo General.</w:t>
      </w:r>
    </w:p>
    <w:p w:rsidR="0080295E" w:rsidRPr="0080295E" w:rsidRDefault="0080295E" w:rsidP="0092471C">
      <w:pPr>
        <w:numPr>
          <w:ilvl w:val="0"/>
          <w:numId w:val="285"/>
        </w:numPr>
        <w:spacing w:after="0" w:line="240" w:lineRule="auto"/>
        <w:contextualSpacing/>
        <w:jc w:val="both"/>
        <w:rPr>
          <w:rFonts w:ascii="Arial" w:eastAsia="Calibri" w:hAnsi="Arial" w:cs="Arial"/>
        </w:rPr>
      </w:pPr>
      <w:r w:rsidRPr="0080295E">
        <w:rPr>
          <w:rFonts w:ascii="Arial" w:eastAsia="Calibri" w:hAnsi="Arial" w:cs="Arial"/>
          <w:b/>
        </w:rPr>
        <w:t>OCI</w:t>
      </w:r>
      <w:r w:rsidRPr="0080295E">
        <w:rPr>
          <w:rFonts w:ascii="Arial" w:eastAsia="Calibri" w:hAnsi="Arial" w:cs="Arial"/>
        </w:rPr>
        <w:t>: Órgano de Control Institucional.</w:t>
      </w:r>
    </w:p>
    <w:p w:rsidR="0080295E" w:rsidRPr="0080295E" w:rsidRDefault="0080295E" w:rsidP="0092471C">
      <w:pPr>
        <w:numPr>
          <w:ilvl w:val="0"/>
          <w:numId w:val="285"/>
        </w:numPr>
        <w:spacing w:after="0" w:line="240" w:lineRule="auto"/>
        <w:contextualSpacing/>
        <w:jc w:val="both"/>
        <w:rPr>
          <w:rFonts w:ascii="Arial" w:eastAsia="Calibri" w:hAnsi="Arial" w:cs="Arial"/>
        </w:rPr>
      </w:pPr>
      <w:r w:rsidRPr="0080295E">
        <w:rPr>
          <w:rFonts w:ascii="Arial" w:eastAsia="Calibri" w:hAnsi="Arial" w:cs="Arial"/>
          <w:b/>
        </w:rPr>
        <w:t>PP</w:t>
      </w:r>
      <w:r w:rsidRPr="0080295E">
        <w:rPr>
          <w:rFonts w:ascii="Arial" w:eastAsia="Calibri" w:hAnsi="Arial" w:cs="Arial"/>
        </w:rPr>
        <w:t>: Procuraduría Pública.</w:t>
      </w:r>
    </w:p>
    <w:p w:rsidR="0080295E" w:rsidRPr="0080295E" w:rsidRDefault="0080295E" w:rsidP="0092471C">
      <w:pPr>
        <w:numPr>
          <w:ilvl w:val="0"/>
          <w:numId w:val="285"/>
        </w:numPr>
        <w:spacing w:after="0" w:line="240" w:lineRule="auto"/>
        <w:contextualSpacing/>
        <w:jc w:val="both"/>
        <w:rPr>
          <w:rFonts w:ascii="Arial" w:eastAsia="Calibri" w:hAnsi="Arial" w:cs="Arial"/>
        </w:rPr>
      </w:pPr>
      <w:r w:rsidRPr="0080295E">
        <w:rPr>
          <w:rFonts w:ascii="Arial" w:eastAsia="Calibri" w:hAnsi="Arial" w:cs="Arial"/>
          <w:b/>
        </w:rPr>
        <w:t>Reglamento</w:t>
      </w:r>
      <w:r w:rsidRPr="0080295E">
        <w:rPr>
          <w:rFonts w:ascii="Arial" w:eastAsia="Calibri" w:hAnsi="Arial" w:cs="Arial"/>
        </w:rPr>
        <w:t>: el Reglamento de la Ley Nº 29151, Ley General del Sistema Nacional de Bienes Estatales, aprobado por Decreto Supremo Nº 007-2008-VIVIENDA.</w:t>
      </w:r>
    </w:p>
    <w:p w:rsidR="0080295E" w:rsidRPr="0080295E" w:rsidRDefault="0080295E" w:rsidP="0092471C">
      <w:pPr>
        <w:numPr>
          <w:ilvl w:val="0"/>
          <w:numId w:val="285"/>
        </w:numPr>
        <w:spacing w:after="0" w:line="240" w:lineRule="auto"/>
        <w:contextualSpacing/>
        <w:jc w:val="both"/>
        <w:rPr>
          <w:rFonts w:ascii="Arial" w:eastAsia="Calibri" w:hAnsi="Arial" w:cs="Arial"/>
        </w:rPr>
      </w:pPr>
      <w:r w:rsidRPr="0080295E">
        <w:rPr>
          <w:rFonts w:ascii="Arial" w:eastAsia="Calibri" w:hAnsi="Arial" w:cs="Arial"/>
          <w:b/>
        </w:rPr>
        <w:t>ROF</w:t>
      </w:r>
      <w:r w:rsidRPr="0080295E">
        <w:rPr>
          <w:rFonts w:ascii="Arial" w:eastAsia="Calibri" w:hAnsi="Arial" w:cs="Arial"/>
        </w:rPr>
        <w:t>: Reglamento de Organización y Funciones.</w:t>
      </w:r>
    </w:p>
    <w:p w:rsidR="0080295E" w:rsidRPr="0080295E" w:rsidRDefault="0080295E" w:rsidP="0092471C">
      <w:pPr>
        <w:numPr>
          <w:ilvl w:val="0"/>
          <w:numId w:val="285"/>
        </w:numPr>
        <w:spacing w:after="0" w:line="240" w:lineRule="auto"/>
        <w:contextualSpacing/>
        <w:jc w:val="both"/>
        <w:rPr>
          <w:rFonts w:ascii="Arial" w:eastAsia="Calibri" w:hAnsi="Arial" w:cs="Arial"/>
        </w:rPr>
      </w:pPr>
      <w:r w:rsidRPr="0080295E">
        <w:rPr>
          <w:rFonts w:ascii="Arial" w:eastAsia="Calibri" w:hAnsi="Arial" w:cs="Arial"/>
          <w:b/>
        </w:rPr>
        <w:t>RP</w:t>
      </w:r>
      <w:r w:rsidRPr="0080295E">
        <w:rPr>
          <w:rFonts w:ascii="Arial" w:eastAsia="Calibri" w:hAnsi="Arial" w:cs="Arial"/>
        </w:rPr>
        <w:t>: Registro de Predios.</w:t>
      </w:r>
    </w:p>
    <w:p w:rsidR="0080295E" w:rsidRPr="0080295E" w:rsidRDefault="0080295E" w:rsidP="0092471C">
      <w:pPr>
        <w:numPr>
          <w:ilvl w:val="0"/>
          <w:numId w:val="285"/>
        </w:numPr>
        <w:spacing w:after="0" w:line="240" w:lineRule="auto"/>
        <w:contextualSpacing/>
        <w:jc w:val="both"/>
        <w:rPr>
          <w:rFonts w:ascii="Arial" w:eastAsia="Calibri" w:hAnsi="Arial" w:cs="Arial"/>
        </w:rPr>
      </w:pPr>
      <w:r w:rsidRPr="0080295E">
        <w:rPr>
          <w:rFonts w:ascii="Arial" w:eastAsia="Calibri" w:hAnsi="Arial" w:cs="Arial"/>
          <w:b/>
        </w:rPr>
        <w:t>SBN</w:t>
      </w:r>
      <w:r w:rsidRPr="0080295E">
        <w:rPr>
          <w:rFonts w:ascii="Arial" w:eastAsia="Calibri" w:hAnsi="Arial" w:cs="Arial"/>
        </w:rPr>
        <w:t>: Superintendencia Nacional de Bienes Estatales.</w:t>
      </w:r>
    </w:p>
    <w:p w:rsidR="0080295E" w:rsidRPr="0080295E" w:rsidRDefault="0080295E" w:rsidP="0092471C">
      <w:pPr>
        <w:numPr>
          <w:ilvl w:val="0"/>
          <w:numId w:val="285"/>
        </w:numPr>
        <w:spacing w:after="0" w:line="240" w:lineRule="auto"/>
        <w:contextualSpacing/>
        <w:jc w:val="both"/>
        <w:rPr>
          <w:rFonts w:ascii="Arial" w:eastAsia="Calibri" w:hAnsi="Arial" w:cs="Arial"/>
        </w:rPr>
      </w:pPr>
      <w:r w:rsidRPr="0080295E">
        <w:rPr>
          <w:rFonts w:ascii="Arial" w:eastAsia="Calibri" w:hAnsi="Arial" w:cs="Arial"/>
          <w:b/>
        </w:rPr>
        <w:t>SDAPE</w:t>
      </w:r>
      <w:r w:rsidRPr="0080295E">
        <w:rPr>
          <w:rFonts w:ascii="Arial" w:eastAsia="Calibri" w:hAnsi="Arial" w:cs="Arial"/>
        </w:rPr>
        <w:t>: Subdirección de Administración del Patrimonio Estatal.</w:t>
      </w:r>
    </w:p>
    <w:p w:rsidR="0080295E" w:rsidRPr="0080295E" w:rsidRDefault="0080295E" w:rsidP="0092471C">
      <w:pPr>
        <w:numPr>
          <w:ilvl w:val="0"/>
          <w:numId w:val="285"/>
        </w:numPr>
        <w:spacing w:after="0" w:line="240" w:lineRule="auto"/>
        <w:contextualSpacing/>
        <w:jc w:val="both"/>
        <w:rPr>
          <w:rFonts w:ascii="Arial" w:eastAsia="Calibri" w:hAnsi="Arial" w:cs="Arial"/>
        </w:rPr>
      </w:pPr>
      <w:r w:rsidRPr="0080295E">
        <w:rPr>
          <w:rFonts w:ascii="Arial" w:eastAsia="Calibri" w:hAnsi="Arial" w:cs="Arial"/>
          <w:b/>
        </w:rPr>
        <w:t>SDDI</w:t>
      </w:r>
      <w:r w:rsidRPr="0080295E">
        <w:rPr>
          <w:rFonts w:ascii="Arial" w:eastAsia="Calibri" w:hAnsi="Arial" w:cs="Arial"/>
        </w:rPr>
        <w:t>: Subdirección de Desarrollo Inmobiliario.</w:t>
      </w:r>
    </w:p>
    <w:p w:rsidR="0080295E" w:rsidRPr="0080295E" w:rsidRDefault="0080295E" w:rsidP="0092471C">
      <w:pPr>
        <w:numPr>
          <w:ilvl w:val="0"/>
          <w:numId w:val="285"/>
        </w:numPr>
        <w:spacing w:after="0" w:line="240" w:lineRule="auto"/>
        <w:contextualSpacing/>
        <w:jc w:val="both"/>
        <w:rPr>
          <w:rFonts w:ascii="Arial" w:eastAsia="Calibri" w:hAnsi="Arial" w:cs="Arial"/>
        </w:rPr>
      </w:pPr>
      <w:r w:rsidRPr="0080295E">
        <w:rPr>
          <w:rFonts w:ascii="Arial" w:eastAsia="Calibri" w:hAnsi="Arial" w:cs="Arial"/>
          <w:b/>
        </w:rPr>
        <w:t>SDNC</w:t>
      </w:r>
      <w:r w:rsidRPr="0080295E">
        <w:rPr>
          <w:rFonts w:ascii="Arial" w:eastAsia="Calibri" w:hAnsi="Arial" w:cs="Arial"/>
        </w:rPr>
        <w:t>: Subdirección de Normas y Capacitación.</w:t>
      </w:r>
    </w:p>
    <w:p w:rsidR="0080295E" w:rsidRPr="0080295E" w:rsidRDefault="0080295E" w:rsidP="0092471C">
      <w:pPr>
        <w:numPr>
          <w:ilvl w:val="0"/>
          <w:numId w:val="285"/>
        </w:numPr>
        <w:spacing w:after="0" w:line="240" w:lineRule="auto"/>
        <w:contextualSpacing/>
        <w:jc w:val="both"/>
        <w:rPr>
          <w:rFonts w:ascii="Arial" w:eastAsia="Calibri" w:hAnsi="Arial" w:cs="Arial"/>
        </w:rPr>
      </w:pPr>
      <w:r w:rsidRPr="0080295E">
        <w:rPr>
          <w:rFonts w:ascii="Arial" w:eastAsia="Calibri" w:hAnsi="Arial" w:cs="Arial"/>
          <w:b/>
        </w:rPr>
        <w:t>SDRC</w:t>
      </w:r>
      <w:r w:rsidRPr="0080295E">
        <w:rPr>
          <w:rFonts w:ascii="Arial" w:eastAsia="Calibri" w:hAnsi="Arial" w:cs="Arial"/>
        </w:rPr>
        <w:t>: Subdirección de Registro y Catastro.</w:t>
      </w:r>
    </w:p>
    <w:p w:rsidR="0080295E" w:rsidRPr="0080295E" w:rsidRDefault="0080295E" w:rsidP="0092471C">
      <w:pPr>
        <w:numPr>
          <w:ilvl w:val="0"/>
          <w:numId w:val="285"/>
        </w:numPr>
        <w:spacing w:after="0" w:line="240" w:lineRule="auto"/>
        <w:contextualSpacing/>
        <w:jc w:val="both"/>
        <w:rPr>
          <w:rFonts w:ascii="Arial" w:eastAsia="Calibri" w:hAnsi="Arial" w:cs="Arial"/>
        </w:rPr>
      </w:pPr>
      <w:r w:rsidRPr="0080295E">
        <w:rPr>
          <w:rFonts w:ascii="Arial" w:eastAsia="Calibri" w:hAnsi="Arial" w:cs="Arial"/>
          <w:b/>
        </w:rPr>
        <w:t>SDS</w:t>
      </w:r>
      <w:r w:rsidRPr="0080295E">
        <w:rPr>
          <w:rFonts w:ascii="Arial" w:eastAsia="Calibri" w:hAnsi="Arial" w:cs="Arial"/>
        </w:rPr>
        <w:t>: Subdirección de Supervisión.</w:t>
      </w:r>
    </w:p>
    <w:p w:rsidR="0080295E" w:rsidRPr="0080295E" w:rsidRDefault="0080295E" w:rsidP="0092471C">
      <w:pPr>
        <w:numPr>
          <w:ilvl w:val="0"/>
          <w:numId w:val="285"/>
        </w:numPr>
        <w:spacing w:after="0" w:line="240" w:lineRule="auto"/>
        <w:contextualSpacing/>
        <w:jc w:val="both"/>
        <w:rPr>
          <w:rFonts w:ascii="Arial" w:eastAsia="Calibri" w:hAnsi="Arial" w:cs="Arial"/>
        </w:rPr>
      </w:pPr>
      <w:r w:rsidRPr="0080295E">
        <w:rPr>
          <w:rFonts w:ascii="Arial" w:eastAsia="Calibri" w:hAnsi="Arial" w:cs="Arial"/>
          <w:b/>
        </w:rPr>
        <w:t>SID</w:t>
      </w:r>
      <w:r w:rsidRPr="0080295E">
        <w:rPr>
          <w:rFonts w:ascii="Arial" w:eastAsia="Calibri" w:hAnsi="Arial" w:cs="Arial"/>
        </w:rPr>
        <w:t>: Sistema Integrado Documentario.</w:t>
      </w:r>
    </w:p>
    <w:p w:rsidR="0080295E" w:rsidRPr="0080295E" w:rsidRDefault="0080295E" w:rsidP="0092471C">
      <w:pPr>
        <w:numPr>
          <w:ilvl w:val="0"/>
          <w:numId w:val="285"/>
        </w:numPr>
        <w:spacing w:after="0" w:line="240" w:lineRule="auto"/>
        <w:contextualSpacing/>
        <w:jc w:val="both"/>
        <w:rPr>
          <w:rFonts w:ascii="Arial" w:eastAsia="Calibri" w:hAnsi="Arial" w:cs="Arial"/>
        </w:rPr>
      </w:pPr>
      <w:r w:rsidRPr="0080295E">
        <w:rPr>
          <w:rFonts w:ascii="Arial" w:eastAsia="Calibri" w:hAnsi="Arial" w:cs="Arial"/>
          <w:b/>
        </w:rPr>
        <w:t>SINABIP</w:t>
      </w:r>
      <w:r w:rsidRPr="0080295E">
        <w:rPr>
          <w:rFonts w:ascii="Arial" w:eastAsia="Calibri" w:hAnsi="Arial" w:cs="Arial"/>
        </w:rPr>
        <w:t>: Sistema de Información Nacional de Bienes Estatales.</w:t>
      </w:r>
    </w:p>
    <w:p w:rsidR="0080295E" w:rsidRPr="0080295E" w:rsidRDefault="0080295E" w:rsidP="0092471C">
      <w:pPr>
        <w:numPr>
          <w:ilvl w:val="0"/>
          <w:numId w:val="285"/>
        </w:numPr>
        <w:spacing w:after="0" w:line="240" w:lineRule="auto"/>
        <w:contextualSpacing/>
        <w:jc w:val="both"/>
        <w:rPr>
          <w:rFonts w:ascii="Arial" w:eastAsia="Calibri" w:hAnsi="Arial" w:cs="Arial"/>
        </w:rPr>
      </w:pPr>
      <w:r w:rsidRPr="0080295E">
        <w:rPr>
          <w:rFonts w:ascii="Arial" w:eastAsia="Calibri" w:hAnsi="Arial" w:cs="Arial"/>
          <w:b/>
        </w:rPr>
        <w:t>SNBE</w:t>
      </w:r>
      <w:r w:rsidRPr="0080295E">
        <w:rPr>
          <w:rFonts w:ascii="Arial" w:eastAsia="Calibri" w:hAnsi="Arial" w:cs="Arial"/>
        </w:rPr>
        <w:t>: Sistema Nacional de Bienes Estatales.</w:t>
      </w:r>
    </w:p>
    <w:p w:rsidR="0080295E" w:rsidRPr="0080295E" w:rsidRDefault="0080295E" w:rsidP="0092471C">
      <w:pPr>
        <w:numPr>
          <w:ilvl w:val="0"/>
          <w:numId w:val="285"/>
        </w:numPr>
        <w:spacing w:after="0" w:line="240" w:lineRule="auto"/>
        <w:contextualSpacing/>
        <w:jc w:val="both"/>
        <w:rPr>
          <w:rFonts w:ascii="Arial" w:eastAsia="Calibri" w:hAnsi="Arial" w:cs="Arial"/>
        </w:rPr>
      </w:pPr>
      <w:r w:rsidRPr="0080295E">
        <w:rPr>
          <w:rFonts w:ascii="Arial" w:eastAsia="Calibri" w:hAnsi="Arial" w:cs="Arial"/>
          <w:b/>
        </w:rPr>
        <w:t>SUNARP</w:t>
      </w:r>
      <w:r w:rsidRPr="0080295E">
        <w:rPr>
          <w:rFonts w:ascii="Arial" w:eastAsia="Calibri" w:hAnsi="Arial" w:cs="Arial"/>
        </w:rPr>
        <w:t>: Superintendencia Nacional de los Registros Públicos.</w:t>
      </w:r>
    </w:p>
    <w:p w:rsidR="0080295E" w:rsidRPr="0080295E" w:rsidRDefault="0080295E" w:rsidP="0092471C">
      <w:pPr>
        <w:numPr>
          <w:ilvl w:val="0"/>
          <w:numId w:val="285"/>
        </w:numPr>
        <w:spacing w:after="0" w:line="240" w:lineRule="auto"/>
        <w:contextualSpacing/>
        <w:jc w:val="both"/>
        <w:rPr>
          <w:rFonts w:ascii="Arial" w:eastAsia="Calibri" w:hAnsi="Arial" w:cs="Arial"/>
        </w:rPr>
      </w:pPr>
      <w:r w:rsidRPr="0080295E">
        <w:rPr>
          <w:rFonts w:ascii="Arial" w:eastAsia="Calibri" w:hAnsi="Arial" w:cs="Arial"/>
          <w:b/>
        </w:rPr>
        <w:t>TUO</w:t>
      </w:r>
      <w:r w:rsidRPr="0080295E">
        <w:rPr>
          <w:rFonts w:ascii="Arial" w:eastAsia="Calibri" w:hAnsi="Arial" w:cs="Arial"/>
        </w:rPr>
        <w:t>: Texto Único Ordenado.</w:t>
      </w:r>
    </w:p>
    <w:p w:rsidR="0080295E" w:rsidRPr="0080295E" w:rsidRDefault="0080295E" w:rsidP="0092471C">
      <w:pPr>
        <w:numPr>
          <w:ilvl w:val="0"/>
          <w:numId w:val="285"/>
        </w:numPr>
        <w:spacing w:after="0" w:line="240" w:lineRule="auto"/>
        <w:contextualSpacing/>
        <w:jc w:val="both"/>
        <w:rPr>
          <w:rFonts w:ascii="Arial" w:eastAsia="Calibri" w:hAnsi="Arial" w:cs="Arial"/>
        </w:rPr>
      </w:pPr>
      <w:r w:rsidRPr="0080295E">
        <w:rPr>
          <w:rFonts w:ascii="Arial" w:eastAsia="Calibri" w:hAnsi="Arial" w:cs="Arial"/>
          <w:b/>
        </w:rPr>
        <w:t>UTD</w:t>
      </w:r>
      <w:r w:rsidRPr="0080295E">
        <w:rPr>
          <w:rFonts w:ascii="Arial" w:eastAsia="Calibri" w:hAnsi="Arial" w:cs="Arial"/>
        </w:rPr>
        <w:t>: Unidad de Trámite Documentario.</w:t>
      </w:r>
    </w:p>
    <w:p w:rsidR="0080295E" w:rsidRDefault="0080295E" w:rsidP="0092471C">
      <w:pPr>
        <w:numPr>
          <w:ilvl w:val="0"/>
          <w:numId w:val="285"/>
        </w:numPr>
        <w:spacing w:after="0" w:line="240" w:lineRule="auto"/>
        <w:contextualSpacing/>
        <w:jc w:val="both"/>
        <w:rPr>
          <w:rFonts w:ascii="Arial" w:eastAsia="Calibri" w:hAnsi="Arial" w:cs="Arial"/>
        </w:rPr>
      </w:pPr>
      <w:r w:rsidRPr="0080295E">
        <w:rPr>
          <w:rFonts w:ascii="Arial" w:eastAsia="Calibri" w:hAnsi="Arial" w:cs="Arial"/>
          <w:b/>
        </w:rPr>
        <w:t>UTM</w:t>
      </w:r>
      <w:r w:rsidRPr="0080295E">
        <w:rPr>
          <w:rFonts w:ascii="Arial" w:eastAsia="Calibri" w:hAnsi="Arial" w:cs="Arial"/>
        </w:rPr>
        <w:t>: Universal Transversal Mercator (Sistema Universal de Coordenadas).</w:t>
      </w:r>
    </w:p>
    <w:p w:rsidR="00DB1DCC" w:rsidRPr="007605EA" w:rsidRDefault="0080295E" w:rsidP="0092471C">
      <w:pPr>
        <w:numPr>
          <w:ilvl w:val="0"/>
          <w:numId w:val="285"/>
        </w:numPr>
        <w:spacing w:after="0" w:line="240" w:lineRule="auto"/>
        <w:contextualSpacing/>
        <w:jc w:val="both"/>
        <w:rPr>
          <w:rFonts w:ascii="Arial" w:eastAsia="Calibri" w:hAnsi="Arial" w:cs="Arial"/>
        </w:rPr>
      </w:pPr>
      <w:r w:rsidRPr="007605EA">
        <w:rPr>
          <w:rFonts w:ascii="Arial" w:eastAsia="Calibri" w:hAnsi="Arial" w:cs="Arial"/>
          <w:b/>
        </w:rPr>
        <w:t>ZPP</w:t>
      </w:r>
      <w:r w:rsidRPr="007605EA">
        <w:rPr>
          <w:rFonts w:ascii="Arial" w:eastAsia="Calibri" w:hAnsi="Arial" w:cs="Arial"/>
        </w:rPr>
        <w:t>: Zona de Playa Protegida.</w:t>
      </w:r>
    </w:p>
    <w:p w:rsidR="00DB1DCC" w:rsidRDefault="00DB1DCC" w:rsidP="006312E8">
      <w:pPr>
        <w:spacing w:after="0" w:line="240" w:lineRule="auto"/>
        <w:contextualSpacing/>
        <w:jc w:val="both"/>
        <w:rPr>
          <w:rFonts w:ascii="Arial" w:eastAsia="Calibri" w:hAnsi="Arial" w:cs="Arial"/>
          <w:lang w:val="es-ES"/>
        </w:rPr>
      </w:pPr>
    </w:p>
    <w:p w:rsidR="00DB1DCC" w:rsidRDefault="00DB1DCC" w:rsidP="006312E8">
      <w:pPr>
        <w:spacing w:after="0" w:line="240" w:lineRule="auto"/>
        <w:contextualSpacing/>
        <w:jc w:val="both"/>
        <w:rPr>
          <w:rFonts w:ascii="Arial" w:eastAsia="Calibri" w:hAnsi="Arial" w:cs="Arial"/>
          <w:lang w:val="es-ES"/>
        </w:rPr>
      </w:pPr>
    </w:p>
    <w:p w:rsidR="00DB1DCC" w:rsidRDefault="00DB1DCC" w:rsidP="006312E8">
      <w:pPr>
        <w:spacing w:after="0" w:line="240" w:lineRule="auto"/>
        <w:contextualSpacing/>
        <w:jc w:val="both"/>
        <w:rPr>
          <w:rFonts w:ascii="Arial" w:eastAsia="Calibri" w:hAnsi="Arial" w:cs="Arial"/>
          <w:lang w:val="es-ES"/>
        </w:rPr>
      </w:pPr>
    </w:p>
    <w:p w:rsidR="00DB1DCC" w:rsidRDefault="00DB1DCC" w:rsidP="006312E8">
      <w:pPr>
        <w:spacing w:after="0" w:line="240" w:lineRule="auto"/>
        <w:contextualSpacing/>
        <w:jc w:val="both"/>
        <w:rPr>
          <w:rFonts w:ascii="Arial" w:eastAsia="Calibri" w:hAnsi="Arial" w:cs="Arial"/>
          <w:lang w:val="es-ES"/>
        </w:rPr>
      </w:pPr>
    </w:p>
    <w:p w:rsidR="00DB1DCC" w:rsidRDefault="00DB1DCC" w:rsidP="006312E8">
      <w:pPr>
        <w:spacing w:after="0" w:line="240" w:lineRule="auto"/>
        <w:contextualSpacing/>
        <w:jc w:val="both"/>
        <w:rPr>
          <w:rFonts w:ascii="Arial" w:eastAsia="Calibri" w:hAnsi="Arial" w:cs="Arial"/>
          <w:lang w:val="es-ES"/>
        </w:rPr>
      </w:pPr>
    </w:p>
    <w:p w:rsidR="00DB1DCC" w:rsidRDefault="00DB1DCC" w:rsidP="006312E8">
      <w:pPr>
        <w:spacing w:after="0" w:line="240" w:lineRule="auto"/>
        <w:contextualSpacing/>
        <w:jc w:val="both"/>
        <w:rPr>
          <w:rFonts w:ascii="Arial" w:eastAsia="Calibri" w:hAnsi="Arial" w:cs="Arial"/>
          <w:lang w:val="es-ES"/>
        </w:rPr>
      </w:pPr>
    </w:p>
    <w:p w:rsidR="00DB1DCC" w:rsidRDefault="00DB1DCC" w:rsidP="006312E8">
      <w:pPr>
        <w:spacing w:after="0" w:line="240" w:lineRule="auto"/>
        <w:contextualSpacing/>
        <w:jc w:val="both"/>
        <w:rPr>
          <w:rFonts w:ascii="Arial" w:eastAsia="Calibri" w:hAnsi="Arial" w:cs="Arial"/>
          <w:lang w:val="es-ES"/>
        </w:rPr>
      </w:pPr>
    </w:p>
    <w:p w:rsidR="00DB1DCC" w:rsidRDefault="00DB1DCC" w:rsidP="006312E8">
      <w:pPr>
        <w:spacing w:after="0" w:line="240" w:lineRule="auto"/>
        <w:contextualSpacing/>
        <w:jc w:val="both"/>
        <w:rPr>
          <w:rFonts w:ascii="Arial" w:eastAsia="Calibri" w:hAnsi="Arial" w:cs="Arial"/>
          <w:lang w:val="es-ES"/>
        </w:rPr>
      </w:pPr>
    </w:p>
    <w:p w:rsidR="00DB1DCC" w:rsidRDefault="00DB1DCC" w:rsidP="006312E8">
      <w:pPr>
        <w:spacing w:after="0" w:line="240" w:lineRule="auto"/>
        <w:contextualSpacing/>
        <w:jc w:val="both"/>
        <w:rPr>
          <w:rFonts w:ascii="Arial" w:eastAsia="Calibri" w:hAnsi="Arial" w:cs="Arial"/>
          <w:lang w:val="es-ES"/>
        </w:rPr>
      </w:pPr>
    </w:p>
    <w:p w:rsidR="00DB1DCC" w:rsidRDefault="00DB1DCC" w:rsidP="006312E8">
      <w:pPr>
        <w:spacing w:after="0" w:line="240" w:lineRule="auto"/>
        <w:contextualSpacing/>
        <w:jc w:val="both"/>
        <w:rPr>
          <w:rFonts w:ascii="Arial" w:eastAsia="Calibri" w:hAnsi="Arial" w:cs="Arial"/>
          <w:lang w:val="es-ES"/>
        </w:rPr>
      </w:pPr>
    </w:p>
    <w:p w:rsidR="00DB1DCC" w:rsidRDefault="00DB1DCC" w:rsidP="006312E8">
      <w:pPr>
        <w:spacing w:after="0" w:line="240" w:lineRule="auto"/>
        <w:contextualSpacing/>
        <w:jc w:val="both"/>
        <w:rPr>
          <w:rFonts w:ascii="Arial" w:eastAsia="Calibri" w:hAnsi="Arial" w:cs="Arial"/>
          <w:lang w:val="es-ES"/>
        </w:rPr>
      </w:pPr>
    </w:p>
    <w:p w:rsidR="00DB1DCC" w:rsidRDefault="00DB1DCC" w:rsidP="006312E8">
      <w:pPr>
        <w:spacing w:after="0" w:line="240" w:lineRule="auto"/>
        <w:contextualSpacing/>
        <w:jc w:val="both"/>
        <w:rPr>
          <w:rFonts w:ascii="Arial" w:eastAsia="Calibri" w:hAnsi="Arial" w:cs="Arial"/>
          <w:lang w:val="es-ES"/>
        </w:rPr>
      </w:pPr>
    </w:p>
    <w:p w:rsidR="00DB1DCC" w:rsidRDefault="00DB1DCC" w:rsidP="006312E8">
      <w:pPr>
        <w:spacing w:after="0" w:line="240" w:lineRule="auto"/>
        <w:contextualSpacing/>
        <w:jc w:val="both"/>
        <w:rPr>
          <w:rFonts w:ascii="Arial" w:eastAsia="Calibri" w:hAnsi="Arial" w:cs="Arial"/>
          <w:lang w:val="es-ES"/>
        </w:rPr>
      </w:pPr>
    </w:p>
    <w:p w:rsidR="007605EA" w:rsidRDefault="007605EA" w:rsidP="006312E8">
      <w:pPr>
        <w:spacing w:after="0" w:line="240" w:lineRule="auto"/>
        <w:contextualSpacing/>
        <w:jc w:val="both"/>
        <w:rPr>
          <w:rFonts w:ascii="Arial" w:eastAsia="Calibri" w:hAnsi="Arial" w:cs="Arial"/>
          <w:lang w:val="es-ES"/>
        </w:rPr>
      </w:pPr>
    </w:p>
    <w:p w:rsidR="007605EA" w:rsidRDefault="007605EA" w:rsidP="006312E8">
      <w:pPr>
        <w:spacing w:after="0" w:line="240" w:lineRule="auto"/>
        <w:contextualSpacing/>
        <w:jc w:val="both"/>
        <w:rPr>
          <w:rFonts w:ascii="Arial" w:eastAsia="Calibri" w:hAnsi="Arial" w:cs="Arial"/>
          <w:lang w:val="es-ES"/>
        </w:rPr>
      </w:pPr>
    </w:p>
    <w:p w:rsidR="007605EA" w:rsidRDefault="007605EA" w:rsidP="006312E8">
      <w:pPr>
        <w:spacing w:after="0" w:line="240" w:lineRule="auto"/>
        <w:contextualSpacing/>
        <w:jc w:val="both"/>
        <w:rPr>
          <w:rFonts w:ascii="Arial" w:eastAsia="Calibri" w:hAnsi="Arial" w:cs="Arial"/>
          <w:lang w:val="es-ES"/>
        </w:rPr>
      </w:pPr>
    </w:p>
    <w:p w:rsidR="007605EA" w:rsidRDefault="007605EA" w:rsidP="006312E8">
      <w:pPr>
        <w:spacing w:after="0" w:line="240" w:lineRule="auto"/>
        <w:contextualSpacing/>
        <w:jc w:val="both"/>
        <w:rPr>
          <w:rFonts w:ascii="Arial" w:eastAsia="Calibri" w:hAnsi="Arial" w:cs="Arial"/>
          <w:lang w:val="es-ES"/>
        </w:rPr>
      </w:pPr>
    </w:p>
    <w:p w:rsidR="007605EA" w:rsidRDefault="007605EA" w:rsidP="006312E8">
      <w:pPr>
        <w:spacing w:after="0" w:line="240" w:lineRule="auto"/>
        <w:contextualSpacing/>
        <w:jc w:val="both"/>
        <w:rPr>
          <w:rFonts w:ascii="Arial" w:eastAsia="Calibri" w:hAnsi="Arial" w:cs="Arial"/>
          <w:lang w:val="es-ES"/>
        </w:rPr>
      </w:pPr>
    </w:p>
    <w:p w:rsidR="007605EA" w:rsidRDefault="007605EA" w:rsidP="006312E8">
      <w:pPr>
        <w:spacing w:after="0" w:line="240" w:lineRule="auto"/>
        <w:contextualSpacing/>
        <w:jc w:val="both"/>
        <w:rPr>
          <w:rFonts w:ascii="Arial" w:eastAsia="Calibri" w:hAnsi="Arial" w:cs="Arial"/>
          <w:lang w:val="es-ES"/>
        </w:rPr>
      </w:pPr>
    </w:p>
    <w:p w:rsidR="007605EA" w:rsidRDefault="007605EA" w:rsidP="006312E8">
      <w:pPr>
        <w:spacing w:after="0" w:line="240" w:lineRule="auto"/>
        <w:contextualSpacing/>
        <w:jc w:val="both"/>
        <w:rPr>
          <w:rFonts w:ascii="Arial" w:eastAsia="Calibri" w:hAnsi="Arial" w:cs="Arial"/>
          <w:lang w:val="es-ES"/>
        </w:rPr>
      </w:pPr>
    </w:p>
    <w:p w:rsidR="007605EA" w:rsidRDefault="007605EA" w:rsidP="006312E8">
      <w:pPr>
        <w:spacing w:after="0" w:line="240" w:lineRule="auto"/>
        <w:contextualSpacing/>
        <w:jc w:val="both"/>
        <w:rPr>
          <w:rFonts w:ascii="Arial" w:eastAsia="Calibri" w:hAnsi="Arial" w:cs="Arial"/>
          <w:lang w:val="es-ES"/>
        </w:rPr>
      </w:pPr>
    </w:p>
    <w:p w:rsidR="007605EA" w:rsidRDefault="007605EA" w:rsidP="006312E8">
      <w:pPr>
        <w:spacing w:after="0" w:line="240" w:lineRule="auto"/>
        <w:contextualSpacing/>
        <w:jc w:val="both"/>
        <w:rPr>
          <w:rFonts w:ascii="Arial" w:eastAsia="Calibri" w:hAnsi="Arial" w:cs="Arial"/>
          <w:lang w:val="es-ES"/>
        </w:rPr>
      </w:pPr>
    </w:p>
    <w:p w:rsidR="007605EA" w:rsidRDefault="007605EA" w:rsidP="006312E8">
      <w:pPr>
        <w:spacing w:after="0" w:line="240" w:lineRule="auto"/>
        <w:contextualSpacing/>
        <w:jc w:val="both"/>
        <w:rPr>
          <w:rFonts w:ascii="Arial" w:eastAsia="Calibri" w:hAnsi="Arial" w:cs="Arial"/>
          <w:lang w:val="es-ES"/>
        </w:rPr>
      </w:pPr>
    </w:p>
    <w:p w:rsidR="007605EA" w:rsidRDefault="007605EA" w:rsidP="006312E8">
      <w:pPr>
        <w:spacing w:after="0" w:line="240" w:lineRule="auto"/>
        <w:contextualSpacing/>
        <w:jc w:val="both"/>
        <w:rPr>
          <w:rFonts w:ascii="Arial" w:eastAsia="Calibri" w:hAnsi="Arial" w:cs="Arial"/>
          <w:lang w:val="es-ES"/>
        </w:rPr>
      </w:pPr>
    </w:p>
    <w:p w:rsidR="007605EA" w:rsidRDefault="007605EA" w:rsidP="006312E8">
      <w:pPr>
        <w:spacing w:after="0" w:line="240" w:lineRule="auto"/>
        <w:contextualSpacing/>
        <w:jc w:val="both"/>
        <w:rPr>
          <w:rFonts w:ascii="Arial" w:eastAsia="Calibri" w:hAnsi="Arial" w:cs="Arial"/>
          <w:lang w:val="es-ES"/>
        </w:rPr>
      </w:pPr>
    </w:p>
    <w:p w:rsidR="007605EA" w:rsidRDefault="007605EA" w:rsidP="006312E8">
      <w:pPr>
        <w:spacing w:after="0" w:line="240" w:lineRule="auto"/>
        <w:contextualSpacing/>
        <w:jc w:val="both"/>
        <w:rPr>
          <w:rFonts w:ascii="Arial" w:eastAsia="Calibri" w:hAnsi="Arial" w:cs="Arial"/>
          <w:lang w:val="es-ES"/>
        </w:rPr>
      </w:pPr>
    </w:p>
    <w:p w:rsidR="007605EA" w:rsidRDefault="007605EA" w:rsidP="006312E8">
      <w:pPr>
        <w:spacing w:after="0" w:line="240" w:lineRule="auto"/>
        <w:contextualSpacing/>
        <w:jc w:val="both"/>
        <w:rPr>
          <w:rFonts w:ascii="Arial" w:eastAsia="Calibri" w:hAnsi="Arial" w:cs="Arial"/>
          <w:lang w:val="es-ES"/>
        </w:rPr>
      </w:pPr>
    </w:p>
    <w:p w:rsidR="007605EA" w:rsidRDefault="007605EA" w:rsidP="006312E8">
      <w:pPr>
        <w:spacing w:after="0" w:line="240" w:lineRule="auto"/>
        <w:contextualSpacing/>
        <w:jc w:val="both"/>
        <w:rPr>
          <w:rFonts w:ascii="Arial" w:eastAsia="Calibri" w:hAnsi="Arial" w:cs="Arial"/>
          <w:lang w:val="es-ES"/>
        </w:rPr>
      </w:pPr>
    </w:p>
    <w:p w:rsidR="007605EA" w:rsidRDefault="007605EA" w:rsidP="006312E8">
      <w:pPr>
        <w:spacing w:after="0" w:line="240" w:lineRule="auto"/>
        <w:contextualSpacing/>
        <w:jc w:val="both"/>
        <w:rPr>
          <w:rFonts w:ascii="Arial" w:eastAsia="Calibri" w:hAnsi="Arial" w:cs="Arial"/>
          <w:lang w:val="es-ES"/>
        </w:rPr>
      </w:pPr>
    </w:p>
    <w:p w:rsidR="007605EA" w:rsidRDefault="007605EA" w:rsidP="006312E8">
      <w:pPr>
        <w:spacing w:after="0" w:line="240" w:lineRule="auto"/>
        <w:contextualSpacing/>
        <w:jc w:val="both"/>
        <w:rPr>
          <w:rFonts w:ascii="Arial" w:eastAsia="Calibri" w:hAnsi="Arial" w:cs="Arial"/>
          <w:lang w:val="es-ES"/>
        </w:rPr>
      </w:pPr>
    </w:p>
    <w:p w:rsidR="007605EA" w:rsidRDefault="007605EA" w:rsidP="006312E8">
      <w:pPr>
        <w:spacing w:after="0" w:line="240" w:lineRule="auto"/>
        <w:contextualSpacing/>
        <w:jc w:val="both"/>
        <w:rPr>
          <w:rFonts w:ascii="Arial" w:eastAsia="Calibri" w:hAnsi="Arial" w:cs="Arial"/>
          <w:lang w:val="es-ES"/>
        </w:rPr>
      </w:pPr>
    </w:p>
    <w:p w:rsidR="007605EA" w:rsidRDefault="007605EA" w:rsidP="006312E8">
      <w:pPr>
        <w:spacing w:after="0" w:line="240" w:lineRule="auto"/>
        <w:contextualSpacing/>
        <w:jc w:val="both"/>
        <w:rPr>
          <w:rFonts w:ascii="Arial" w:eastAsia="Calibri" w:hAnsi="Arial" w:cs="Arial"/>
          <w:lang w:val="es-ES"/>
        </w:rPr>
      </w:pPr>
    </w:p>
    <w:p w:rsidR="007605EA" w:rsidRDefault="007605EA" w:rsidP="006312E8">
      <w:pPr>
        <w:spacing w:after="0" w:line="240" w:lineRule="auto"/>
        <w:contextualSpacing/>
        <w:jc w:val="both"/>
        <w:rPr>
          <w:rFonts w:ascii="Arial" w:eastAsia="Calibri" w:hAnsi="Arial" w:cs="Arial"/>
          <w:lang w:val="es-ES"/>
        </w:rPr>
      </w:pPr>
    </w:p>
    <w:p w:rsidR="007605EA" w:rsidRDefault="007605EA" w:rsidP="006312E8">
      <w:pPr>
        <w:spacing w:after="0" w:line="240" w:lineRule="auto"/>
        <w:contextualSpacing/>
        <w:jc w:val="both"/>
        <w:rPr>
          <w:rFonts w:ascii="Arial" w:eastAsia="Calibri" w:hAnsi="Arial" w:cs="Arial"/>
          <w:lang w:val="es-ES"/>
        </w:rPr>
      </w:pPr>
    </w:p>
    <w:p w:rsidR="007605EA" w:rsidRDefault="007605EA" w:rsidP="006312E8">
      <w:pPr>
        <w:spacing w:after="0" w:line="240" w:lineRule="auto"/>
        <w:contextualSpacing/>
        <w:jc w:val="both"/>
        <w:rPr>
          <w:rFonts w:ascii="Arial" w:eastAsia="Calibri" w:hAnsi="Arial" w:cs="Arial"/>
          <w:lang w:val="es-ES"/>
        </w:rPr>
      </w:pPr>
    </w:p>
    <w:p w:rsidR="007605EA" w:rsidRDefault="007605EA" w:rsidP="006312E8">
      <w:pPr>
        <w:spacing w:after="0" w:line="240" w:lineRule="auto"/>
        <w:contextualSpacing/>
        <w:jc w:val="both"/>
        <w:rPr>
          <w:rFonts w:ascii="Arial" w:eastAsia="Calibri" w:hAnsi="Arial" w:cs="Arial"/>
          <w:lang w:val="es-ES"/>
        </w:rPr>
      </w:pPr>
    </w:p>
    <w:p w:rsidR="007605EA" w:rsidRDefault="007605EA" w:rsidP="006312E8">
      <w:pPr>
        <w:spacing w:after="0" w:line="240" w:lineRule="auto"/>
        <w:contextualSpacing/>
        <w:jc w:val="both"/>
        <w:rPr>
          <w:rFonts w:ascii="Arial" w:eastAsia="Calibri" w:hAnsi="Arial" w:cs="Arial"/>
          <w:lang w:val="es-ES"/>
        </w:rPr>
      </w:pPr>
    </w:p>
    <w:p w:rsidR="007605EA" w:rsidRDefault="007605EA" w:rsidP="006312E8">
      <w:pPr>
        <w:spacing w:after="0" w:line="240" w:lineRule="auto"/>
        <w:contextualSpacing/>
        <w:jc w:val="both"/>
        <w:rPr>
          <w:rFonts w:ascii="Arial" w:eastAsia="Calibri" w:hAnsi="Arial" w:cs="Arial"/>
          <w:lang w:val="es-ES"/>
        </w:rPr>
      </w:pPr>
    </w:p>
    <w:p w:rsidR="007605EA" w:rsidRDefault="007605EA" w:rsidP="006312E8">
      <w:pPr>
        <w:spacing w:after="0" w:line="240" w:lineRule="auto"/>
        <w:contextualSpacing/>
        <w:jc w:val="both"/>
        <w:rPr>
          <w:rFonts w:ascii="Arial" w:eastAsia="Calibri" w:hAnsi="Arial" w:cs="Arial"/>
          <w:lang w:val="es-ES"/>
        </w:rPr>
      </w:pPr>
    </w:p>
    <w:p w:rsidR="007605EA" w:rsidRDefault="007605EA" w:rsidP="006312E8">
      <w:pPr>
        <w:spacing w:after="0" w:line="240" w:lineRule="auto"/>
        <w:contextualSpacing/>
        <w:jc w:val="both"/>
        <w:rPr>
          <w:rFonts w:ascii="Arial" w:eastAsia="Calibri" w:hAnsi="Arial" w:cs="Arial"/>
          <w:lang w:val="es-ES"/>
        </w:rPr>
      </w:pPr>
    </w:p>
    <w:p w:rsidR="007605EA" w:rsidRDefault="007605EA" w:rsidP="006312E8">
      <w:pPr>
        <w:spacing w:after="0" w:line="240" w:lineRule="auto"/>
        <w:contextualSpacing/>
        <w:jc w:val="both"/>
        <w:rPr>
          <w:rFonts w:ascii="Arial" w:eastAsia="Calibri" w:hAnsi="Arial" w:cs="Arial"/>
          <w:lang w:val="es-ES"/>
        </w:rPr>
      </w:pPr>
    </w:p>
    <w:p w:rsidR="007605EA" w:rsidRDefault="007605EA" w:rsidP="006312E8">
      <w:pPr>
        <w:spacing w:after="0" w:line="240" w:lineRule="auto"/>
        <w:contextualSpacing/>
        <w:jc w:val="both"/>
        <w:rPr>
          <w:rFonts w:ascii="Arial" w:eastAsia="Calibri" w:hAnsi="Arial" w:cs="Arial"/>
          <w:lang w:val="es-ES"/>
        </w:rPr>
      </w:pPr>
    </w:p>
    <w:p w:rsidR="007605EA" w:rsidRDefault="007605EA" w:rsidP="006312E8">
      <w:pPr>
        <w:spacing w:after="0" w:line="240" w:lineRule="auto"/>
        <w:contextualSpacing/>
        <w:jc w:val="both"/>
        <w:rPr>
          <w:rFonts w:ascii="Arial" w:eastAsia="Calibri" w:hAnsi="Arial" w:cs="Arial"/>
          <w:lang w:val="es-ES"/>
        </w:rPr>
      </w:pPr>
    </w:p>
    <w:p w:rsidR="007605EA" w:rsidRDefault="007605EA" w:rsidP="006312E8">
      <w:pPr>
        <w:spacing w:after="0" w:line="240" w:lineRule="auto"/>
        <w:contextualSpacing/>
        <w:jc w:val="both"/>
        <w:rPr>
          <w:rFonts w:ascii="Arial" w:eastAsia="Calibri" w:hAnsi="Arial" w:cs="Arial"/>
          <w:lang w:val="es-ES"/>
        </w:rPr>
      </w:pPr>
    </w:p>
    <w:p w:rsidR="007605EA" w:rsidRDefault="007605EA" w:rsidP="006312E8">
      <w:pPr>
        <w:spacing w:after="0" w:line="240" w:lineRule="auto"/>
        <w:contextualSpacing/>
        <w:jc w:val="both"/>
        <w:rPr>
          <w:rFonts w:ascii="Arial" w:eastAsia="Calibri" w:hAnsi="Arial" w:cs="Arial"/>
          <w:lang w:val="es-ES"/>
        </w:rPr>
      </w:pPr>
    </w:p>
    <w:p w:rsidR="007605EA" w:rsidRDefault="007605EA" w:rsidP="006312E8">
      <w:pPr>
        <w:spacing w:after="0" w:line="240" w:lineRule="auto"/>
        <w:contextualSpacing/>
        <w:jc w:val="both"/>
        <w:rPr>
          <w:rFonts w:ascii="Arial" w:eastAsia="Calibri" w:hAnsi="Arial" w:cs="Arial"/>
          <w:lang w:val="es-ES"/>
        </w:rPr>
      </w:pPr>
    </w:p>
    <w:p w:rsidR="007605EA" w:rsidRDefault="007605EA" w:rsidP="006312E8">
      <w:pPr>
        <w:spacing w:after="0" w:line="240" w:lineRule="auto"/>
        <w:contextualSpacing/>
        <w:jc w:val="both"/>
        <w:rPr>
          <w:rFonts w:ascii="Arial" w:eastAsia="Calibri" w:hAnsi="Arial" w:cs="Arial"/>
          <w:lang w:val="es-ES"/>
        </w:rPr>
      </w:pPr>
    </w:p>
    <w:p w:rsidR="007605EA" w:rsidRDefault="007605EA" w:rsidP="006312E8">
      <w:pPr>
        <w:spacing w:after="0" w:line="240" w:lineRule="auto"/>
        <w:contextualSpacing/>
        <w:jc w:val="both"/>
        <w:rPr>
          <w:rFonts w:ascii="Arial" w:eastAsia="Calibri" w:hAnsi="Arial" w:cs="Arial"/>
          <w:lang w:val="es-ES"/>
        </w:rPr>
      </w:pPr>
    </w:p>
    <w:p w:rsidR="007605EA" w:rsidRDefault="007605EA" w:rsidP="006312E8">
      <w:pPr>
        <w:spacing w:after="0" w:line="240" w:lineRule="auto"/>
        <w:contextualSpacing/>
        <w:jc w:val="both"/>
        <w:rPr>
          <w:rFonts w:ascii="Arial" w:eastAsia="Calibri" w:hAnsi="Arial" w:cs="Arial"/>
          <w:lang w:val="es-ES"/>
        </w:rPr>
      </w:pPr>
    </w:p>
    <w:p w:rsidR="007605EA" w:rsidRDefault="007605EA" w:rsidP="006312E8">
      <w:pPr>
        <w:spacing w:after="0" w:line="240" w:lineRule="auto"/>
        <w:contextualSpacing/>
        <w:jc w:val="both"/>
        <w:rPr>
          <w:rFonts w:ascii="Arial" w:eastAsia="Calibri" w:hAnsi="Arial" w:cs="Arial"/>
          <w:lang w:val="es-ES"/>
        </w:rPr>
      </w:pPr>
    </w:p>
    <w:p w:rsidR="007605EA" w:rsidRDefault="007605EA" w:rsidP="006312E8">
      <w:pPr>
        <w:spacing w:after="0" w:line="240" w:lineRule="auto"/>
        <w:contextualSpacing/>
        <w:jc w:val="both"/>
        <w:rPr>
          <w:rFonts w:ascii="Arial" w:eastAsia="Calibri" w:hAnsi="Arial" w:cs="Arial"/>
          <w:lang w:val="es-ES"/>
        </w:rPr>
      </w:pPr>
    </w:p>
    <w:p w:rsidR="007605EA" w:rsidRDefault="007605EA" w:rsidP="006312E8">
      <w:pPr>
        <w:spacing w:after="0" w:line="240" w:lineRule="auto"/>
        <w:contextualSpacing/>
        <w:jc w:val="both"/>
        <w:rPr>
          <w:rFonts w:ascii="Arial" w:eastAsia="Calibri" w:hAnsi="Arial" w:cs="Arial"/>
          <w:lang w:val="es-ES"/>
        </w:rPr>
      </w:pPr>
    </w:p>
    <w:p w:rsidR="007605EA" w:rsidRDefault="007605EA" w:rsidP="006312E8">
      <w:pPr>
        <w:spacing w:after="0" w:line="240" w:lineRule="auto"/>
        <w:contextualSpacing/>
        <w:jc w:val="both"/>
        <w:rPr>
          <w:rFonts w:ascii="Arial" w:eastAsia="Calibri" w:hAnsi="Arial" w:cs="Arial"/>
          <w:lang w:val="es-ES"/>
        </w:rPr>
      </w:pPr>
    </w:p>
    <w:p w:rsidR="007605EA" w:rsidRDefault="007605EA" w:rsidP="006312E8">
      <w:pPr>
        <w:spacing w:after="0" w:line="240" w:lineRule="auto"/>
        <w:contextualSpacing/>
        <w:jc w:val="both"/>
        <w:rPr>
          <w:rFonts w:ascii="Arial" w:eastAsia="Calibri" w:hAnsi="Arial" w:cs="Arial"/>
          <w:lang w:val="es-ES"/>
        </w:rPr>
      </w:pPr>
    </w:p>
    <w:p w:rsidR="007605EA" w:rsidRDefault="007605EA" w:rsidP="006312E8">
      <w:pPr>
        <w:spacing w:after="0" w:line="240" w:lineRule="auto"/>
        <w:contextualSpacing/>
        <w:jc w:val="both"/>
        <w:rPr>
          <w:rFonts w:ascii="Arial" w:eastAsia="Calibri" w:hAnsi="Arial" w:cs="Arial"/>
          <w:lang w:val="es-ES"/>
        </w:rPr>
      </w:pPr>
    </w:p>
    <w:p w:rsidR="007605EA" w:rsidRDefault="007605EA" w:rsidP="006312E8">
      <w:pPr>
        <w:spacing w:after="0" w:line="240" w:lineRule="auto"/>
        <w:contextualSpacing/>
        <w:jc w:val="both"/>
        <w:rPr>
          <w:rFonts w:ascii="Arial" w:eastAsia="Calibri" w:hAnsi="Arial" w:cs="Arial"/>
          <w:lang w:val="es-ES"/>
        </w:rPr>
      </w:pPr>
    </w:p>
    <w:p w:rsidR="007605EA" w:rsidRDefault="007605EA" w:rsidP="006312E8">
      <w:pPr>
        <w:spacing w:after="0" w:line="240" w:lineRule="auto"/>
        <w:contextualSpacing/>
        <w:jc w:val="both"/>
        <w:rPr>
          <w:rFonts w:ascii="Arial" w:eastAsia="Calibri" w:hAnsi="Arial" w:cs="Arial"/>
          <w:lang w:val="es-ES"/>
        </w:rPr>
      </w:pPr>
    </w:p>
    <w:p w:rsidR="007605EA" w:rsidRDefault="007605EA" w:rsidP="006312E8">
      <w:pPr>
        <w:spacing w:after="0" w:line="240" w:lineRule="auto"/>
        <w:contextualSpacing/>
        <w:jc w:val="both"/>
        <w:rPr>
          <w:rFonts w:ascii="Arial" w:eastAsia="Calibri" w:hAnsi="Arial" w:cs="Arial"/>
          <w:lang w:val="es-ES"/>
        </w:rPr>
      </w:pPr>
    </w:p>
    <w:p w:rsidR="007605EA" w:rsidRDefault="007605EA" w:rsidP="006312E8">
      <w:pPr>
        <w:spacing w:after="0" w:line="240" w:lineRule="auto"/>
        <w:contextualSpacing/>
        <w:jc w:val="both"/>
        <w:rPr>
          <w:rFonts w:ascii="Arial" w:eastAsia="Calibri" w:hAnsi="Arial" w:cs="Arial"/>
          <w:lang w:val="es-ES"/>
        </w:rPr>
      </w:pPr>
    </w:p>
    <w:p w:rsidR="007605EA" w:rsidRDefault="007605EA" w:rsidP="006312E8">
      <w:pPr>
        <w:spacing w:after="0" w:line="240" w:lineRule="auto"/>
        <w:contextualSpacing/>
        <w:jc w:val="both"/>
        <w:rPr>
          <w:rFonts w:ascii="Arial" w:eastAsia="Calibri" w:hAnsi="Arial" w:cs="Arial"/>
          <w:lang w:val="es-ES"/>
        </w:rPr>
      </w:pPr>
    </w:p>
    <w:p w:rsidR="007605EA" w:rsidRDefault="007605EA" w:rsidP="006312E8">
      <w:pPr>
        <w:spacing w:after="0" w:line="240" w:lineRule="auto"/>
        <w:contextualSpacing/>
        <w:jc w:val="both"/>
        <w:rPr>
          <w:rFonts w:ascii="Arial" w:eastAsia="Calibri" w:hAnsi="Arial" w:cs="Arial"/>
          <w:lang w:val="es-ES"/>
        </w:rPr>
      </w:pPr>
    </w:p>
    <w:p w:rsidR="007605EA" w:rsidRDefault="007605EA" w:rsidP="006312E8">
      <w:pPr>
        <w:spacing w:after="0" w:line="240" w:lineRule="auto"/>
        <w:contextualSpacing/>
        <w:jc w:val="both"/>
        <w:rPr>
          <w:rFonts w:ascii="Arial" w:eastAsia="Calibri" w:hAnsi="Arial" w:cs="Arial"/>
          <w:lang w:val="es-ES"/>
        </w:rPr>
      </w:pPr>
    </w:p>
    <w:p w:rsidR="007605EA" w:rsidRDefault="007605EA" w:rsidP="006312E8">
      <w:pPr>
        <w:spacing w:after="0" w:line="240" w:lineRule="auto"/>
        <w:contextualSpacing/>
        <w:jc w:val="both"/>
        <w:rPr>
          <w:rFonts w:ascii="Arial" w:eastAsia="Calibri" w:hAnsi="Arial" w:cs="Arial"/>
          <w:lang w:val="es-ES"/>
        </w:rPr>
      </w:pPr>
    </w:p>
    <w:p w:rsidR="007605EA" w:rsidRDefault="007605EA" w:rsidP="006312E8">
      <w:pPr>
        <w:spacing w:after="0" w:line="240" w:lineRule="auto"/>
        <w:contextualSpacing/>
        <w:jc w:val="both"/>
        <w:rPr>
          <w:rFonts w:ascii="Arial" w:eastAsia="Calibri" w:hAnsi="Arial" w:cs="Arial"/>
          <w:lang w:val="es-ES"/>
        </w:rPr>
      </w:pPr>
    </w:p>
    <w:p w:rsidR="007605EA" w:rsidRDefault="007605EA" w:rsidP="006312E8">
      <w:pPr>
        <w:spacing w:after="0" w:line="240" w:lineRule="auto"/>
        <w:contextualSpacing/>
        <w:jc w:val="both"/>
        <w:rPr>
          <w:rFonts w:ascii="Arial" w:eastAsia="Calibri" w:hAnsi="Arial" w:cs="Arial"/>
          <w:lang w:val="es-ES"/>
        </w:rPr>
      </w:pPr>
    </w:p>
    <w:p w:rsidR="007605EA" w:rsidRDefault="007605EA" w:rsidP="006312E8">
      <w:pPr>
        <w:spacing w:after="0" w:line="240" w:lineRule="auto"/>
        <w:contextualSpacing/>
        <w:jc w:val="both"/>
        <w:rPr>
          <w:rFonts w:ascii="Arial" w:eastAsia="Calibri" w:hAnsi="Arial" w:cs="Arial"/>
          <w:lang w:val="es-ES"/>
        </w:rPr>
      </w:pPr>
    </w:p>
    <w:p w:rsidR="00DB1DCC" w:rsidRPr="006312E8" w:rsidRDefault="00DB1DCC"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E104C8">
      <w:pPr>
        <w:pStyle w:val="TITO10"/>
      </w:pPr>
      <w:bookmarkStart w:id="303" w:name="_Toc392856226"/>
      <w:bookmarkStart w:id="304" w:name="_Toc399335501"/>
      <w:bookmarkStart w:id="305" w:name="_Toc421025448"/>
      <w:bookmarkStart w:id="306" w:name="_Toc470855551"/>
      <w:r w:rsidRPr="006312E8">
        <w:t>NORMAS ESPECIALES PARA EL SANEAMIENTO DE INMUEBLES</w:t>
      </w:r>
      <w:bookmarkEnd w:id="303"/>
      <w:bookmarkEnd w:id="304"/>
      <w:bookmarkEnd w:id="305"/>
      <w:r w:rsidR="00831889">
        <w:t xml:space="preserve"> ESTATALES</w:t>
      </w:r>
      <w:bookmarkEnd w:id="306"/>
    </w:p>
    <w:p w:rsidR="006312E8" w:rsidRPr="006312E8" w:rsidRDefault="006312E8" w:rsidP="006312E8">
      <w:pPr>
        <w:spacing w:after="0" w:line="240" w:lineRule="auto"/>
        <w:contextualSpacing/>
        <w:jc w:val="center"/>
        <w:rPr>
          <w:rFonts w:ascii="Arial" w:eastAsia="Calibri" w:hAnsi="Arial" w:cs="Arial"/>
          <w:lang w:val="es-ES"/>
        </w:rPr>
      </w:pPr>
    </w:p>
    <w:bookmarkStart w:id="307" w:name="_Toc392856227"/>
    <w:p w:rsidR="006312E8" w:rsidRPr="006312E8" w:rsidRDefault="006312E8" w:rsidP="006312E8">
      <w:pPr>
        <w:spacing w:after="0" w:line="240" w:lineRule="auto"/>
        <w:jc w:val="center"/>
        <w:rPr>
          <w:rFonts w:ascii="Arial" w:eastAsia="Calibri" w:hAnsi="Arial" w:cs="Arial"/>
          <w:b/>
          <w:sz w:val="48"/>
          <w:szCs w:val="48"/>
          <w:lang w:val="es-ES"/>
        </w:rPr>
      </w:pPr>
      <w:r w:rsidRPr="006312E8">
        <w:rPr>
          <w:rFonts w:ascii="Arial" w:eastAsia="Calibri" w:hAnsi="Arial" w:cs="Arial"/>
          <w:b/>
          <w:noProof/>
          <w:sz w:val="48"/>
          <w:szCs w:val="48"/>
          <w:lang w:val="es-MX" w:eastAsia="es-MX"/>
        </w:rPr>
        <mc:AlternateContent>
          <mc:Choice Requires="wps">
            <w:drawing>
              <wp:anchor distT="0" distB="0" distL="114300" distR="114300" simplePos="0" relativeHeight="251684864" behindDoc="0" locked="0" layoutInCell="1" allowOverlap="1" wp14:anchorId="283AED16" wp14:editId="77A62A99">
                <wp:simplePos x="0" y="0"/>
                <wp:positionH relativeFrom="column">
                  <wp:posOffset>894715</wp:posOffset>
                </wp:positionH>
                <wp:positionV relativeFrom="paragraph">
                  <wp:posOffset>96520</wp:posOffset>
                </wp:positionV>
                <wp:extent cx="4524375" cy="635"/>
                <wp:effectExtent l="38100" t="38735" r="38100" b="36830"/>
                <wp:wrapNone/>
                <wp:docPr id="75" name="Conector recto de flecha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4375" cy="635"/>
                        </a:xfrm>
                        <a:prstGeom prst="straightConnector1">
                          <a:avLst/>
                        </a:prstGeom>
                        <a:noFill/>
                        <a:ln w="635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C374E3D" id="Conector recto de flecha 75" o:spid="_x0000_s1026" type="#_x0000_t32" style="position:absolute;margin-left:70.45pt;margin-top:7.6pt;width:356.25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" strokeweight="5pt">
                <v:shadow color="#7f7f7f" opacity=".5" offset="1pt"/>
              </v:shape>
            </w:pict>
          </mc:Fallback>
        </mc:AlternateContent>
      </w:r>
      <w:bookmarkEnd w:id="307"/>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Default="006312E8" w:rsidP="006312E8">
      <w:pPr>
        <w:spacing w:after="0" w:line="240" w:lineRule="auto"/>
        <w:contextualSpacing/>
        <w:jc w:val="both"/>
        <w:rPr>
          <w:rFonts w:ascii="Arial" w:eastAsia="Calibri" w:hAnsi="Arial" w:cs="Arial"/>
          <w:lang w:val="es-ES"/>
        </w:rPr>
      </w:pPr>
    </w:p>
    <w:p w:rsidR="005A1FEF" w:rsidRDefault="005A1FEF" w:rsidP="006312E8">
      <w:pPr>
        <w:spacing w:after="0" w:line="240" w:lineRule="auto"/>
        <w:contextualSpacing/>
        <w:jc w:val="both"/>
        <w:rPr>
          <w:rFonts w:ascii="Arial" w:eastAsia="Calibri" w:hAnsi="Arial" w:cs="Arial"/>
          <w:lang w:val="es-ES"/>
        </w:rPr>
      </w:pPr>
    </w:p>
    <w:p w:rsidR="005A1FEF" w:rsidRPr="006312E8" w:rsidRDefault="005A1FEF"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E104C8">
      <w:pPr>
        <w:pStyle w:val="TITO2"/>
      </w:pPr>
      <w:bookmarkStart w:id="308" w:name="_Toc392856228"/>
      <w:bookmarkStart w:id="309" w:name="_Toc399335502"/>
      <w:bookmarkStart w:id="310" w:name="_Toc421025449"/>
      <w:bookmarkStart w:id="311" w:name="_Toc470855552"/>
      <w:bookmarkStart w:id="312" w:name="LEY26512"/>
      <w:r w:rsidRPr="006312E8">
        <w:t>LEY Nº 26512</w:t>
      </w:r>
      <w:bookmarkEnd w:id="308"/>
      <w:bookmarkEnd w:id="309"/>
      <w:bookmarkEnd w:id="310"/>
      <w:bookmarkEnd w:id="311"/>
    </w:p>
    <w:bookmarkEnd w:id="312"/>
    <w:p w:rsidR="006312E8" w:rsidRPr="006312E8" w:rsidRDefault="006312E8" w:rsidP="006312E8">
      <w:pPr>
        <w:spacing w:after="0" w:line="240" w:lineRule="auto"/>
        <w:contextualSpacing/>
        <w:jc w:val="center"/>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Declaran de necesidad y utilidad pública el saneamiento legal de los inmuebles de propiedad de los Sectores Educación y Transportes, Comunicaciones, Vivienda y Construcción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5664"/>
        <w:contextualSpacing/>
        <w:jc w:val="right"/>
        <w:rPr>
          <w:rFonts w:ascii="Arial" w:eastAsia="Calibri" w:hAnsi="Arial" w:cs="Arial"/>
          <w:b/>
          <w:lang w:val="es-ES"/>
        </w:rPr>
      </w:pPr>
      <w:r w:rsidRPr="006312E8">
        <w:rPr>
          <w:rFonts w:ascii="Arial" w:eastAsia="Calibri" w:hAnsi="Arial" w:cs="Arial"/>
          <w:b/>
          <w:lang w:val="es-ES"/>
        </w:rPr>
        <w:t>Fecha de publicación: 28-07-1995</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color w:val="4F6228"/>
          <w:sz w:val="16"/>
          <w:szCs w:val="16"/>
          <w:lang w:val="es-ES"/>
        </w:rPr>
      </w:pPr>
      <w:r w:rsidRPr="006312E8">
        <w:rPr>
          <w:rFonts w:ascii="Arial" w:eastAsia="Calibri" w:hAnsi="Arial" w:cs="Arial"/>
          <w:b/>
          <w:color w:val="4F6228"/>
          <w:sz w:val="16"/>
          <w:szCs w:val="16"/>
          <w:lang w:val="es-ES"/>
        </w:rPr>
        <w:t>NOTA: de conformidad con el Artículo Único de la Ley Nº 27493, publicada el 02-07-2001, se hace extensiva esta norma a todos los organismos e instituciones del sector público.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EL PRESIDENTE DE LA REPUBLICA</w:t>
      </w: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POR CUANTO: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Congreso Constituyente Democrático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Ha dado la Ley siguiente: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EL CONGRESO CONSTITUYENTE DEMOCRÁTICO;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Ha dado la ley siguiente: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1.-</w:t>
      </w:r>
      <w:r w:rsidRPr="006312E8">
        <w:rPr>
          <w:rFonts w:ascii="Arial" w:eastAsia="Calibri" w:hAnsi="Arial" w:cs="Arial"/>
          <w:lang w:val="es-ES"/>
        </w:rPr>
        <w:t xml:space="preserve"> Declárese de necesidad y utilidad pública el saneamiento legal de los bienes inmuebles de propiedad del Sector Educación y del Sector Transportes, Comunicaciones, Vivienda y Construcción.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2.-</w:t>
      </w:r>
      <w:r w:rsidRPr="006312E8">
        <w:rPr>
          <w:rFonts w:ascii="Arial" w:eastAsia="Calibri" w:hAnsi="Arial" w:cs="Arial"/>
          <w:lang w:val="es-ES"/>
        </w:rPr>
        <w:t xml:space="preserve"> Autorízase a los Ministerios de Educación y de Transportes, Comunicaciones, Vivienda y Construcción para que procedan al saneamiento legal de los bienes inmuebles de propiedad del Estado asignados a dichos Ministerios y demás inmuebles de ambos sectores, adquiridos, donados, construidos, ampliados y/o rehabilitados por instituciones públicas y/o privadas, de acuerdo a lo dispuesto por la presente Ley.</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3.-</w:t>
      </w:r>
      <w:r w:rsidRPr="006312E8">
        <w:rPr>
          <w:rFonts w:ascii="Arial" w:eastAsia="Calibri" w:hAnsi="Arial" w:cs="Arial"/>
          <w:lang w:val="es-ES"/>
        </w:rPr>
        <w:t xml:space="preserve"> Las Oficinas Registrales Desconcentradas de la Superintendencia Nacional de los Registros Públicos procederán a inscribir en los Registros de la Propiedad Inmueble, los terrenos, edificaciones, construcciones e inmuebles en general de propiedad del Estado asignados y/o donados a los Ministerios de Educación y de Transportes, Comunicaciones, Vivienda y Construcción, en el plazo máximo de diez días hábiles de presentada la solicitud, bajo responsabilidad.</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Tal regularización podrá comprender, entre otras, la inscripción de dominio, declaratorias o constataciones de fábrica y demás actos inscribibles.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6312E8">
      <w:pPr>
        <w:numPr>
          <w:ilvl w:val="0"/>
          <w:numId w:val="8"/>
        </w:numPr>
        <w:spacing w:after="0" w:line="240" w:lineRule="auto"/>
        <w:ind w:left="426" w:hanging="284"/>
        <w:contextualSpacing/>
        <w:jc w:val="both"/>
        <w:rPr>
          <w:rFonts w:ascii="Arial" w:eastAsia="Calibri" w:hAnsi="Arial" w:cs="Arial"/>
          <w:b/>
          <w:color w:val="4F6228"/>
          <w:sz w:val="16"/>
          <w:szCs w:val="16"/>
        </w:rPr>
      </w:pPr>
      <w:hyperlink w:anchor="REGLAMENTO29151" w:history="1">
        <w:r w:rsidR="006312E8" w:rsidRPr="006312E8">
          <w:rPr>
            <w:rFonts w:ascii="Arial" w:eastAsia="Calibri" w:hAnsi="Arial" w:cs="Arial"/>
            <w:b/>
            <w:color w:val="4F6228"/>
            <w:sz w:val="16"/>
            <w:szCs w:val="16"/>
          </w:rPr>
          <w:t>Decreto Supremo Nº 14-95-MTC</w:t>
        </w:r>
      </w:hyperlink>
      <w:r w:rsidR="006312E8" w:rsidRPr="006312E8">
        <w:rPr>
          <w:rFonts w:ascii="Arial" w:eastAsia="Calibri" w:hAnsi="Arial" w:cs="Arial"/>
          <w:b/>
          <w:color w:val="4F6228"/>
          <w:sz w:val="16"/>
          <w:szCs w:val="16"/>
        </w:rPr>
        <w:t xml:space="preserve"> (art. 2)</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4.-</w:t>
      </w:r>
      <w:r w:rsidRPr="006312E8">
        <w:rPr>
          <w:rFonts w:ascii="Arial" w:eastAsia="Calibri" w:hAnsi="Arial" w:cs="Arial"/>
          <w:lang w:val="es-ES"/>
        </w:rPr>
        <w:t xml:space="preserve"> Para llevar a efecto las inscripciones referidas en el Artículo 3, incluyendo la primera inscripción de dominio, deberán presentarse una Memoria Descriptiva, Plano de Ubicación y Declaración Jurada mediante la cual, los Ministerios de Educación y de Transportes, Comunicaciones, Vivienda y Construcción declaren que los inmuebles que pretenden registrar en los Registros de la Propiedad Inmueble no son materia de procedimientos judiciales.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Específicamente en los siguientes casos se adjuntará:</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25"/>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Para la inscripción de declaratoria o constatación de fábrica una memoria descriptiva del terreno y de las construcciones indicándose el material de construcción utilizado y la distribución de la fábrica, a la que se acompañarán los planos de arquitectura suscritos por un profesional autorizado para tal efecto.</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92471C">
      <w:pPr>
        <w:numPr>
          <w:ilvl w:val="0"/>
          <w:numId w:val="125"/>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En el caso de terrenos y/o locales donados por terceros afectados o entregados como aporte reglamentario por las urbanizaciones deberá adjuntarse, además de los documentos señalados en el inciso precedente, el documento en el que conste la donación y afectación o entrega como aporte del inmueble a favor del Estado y la aceptación por parte de éste.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Una copia de la memoria descriptiva y del plano de ubicación será presentada a la Municipalidad correspondiente para ser incorporado a su plano catastral.</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6312E8">
      <w:p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No será exigible el tracto sucesivo, además de los casos de inmatriculaciones siempre que los terrenos sean de propiedad fiscal, estatal o municipal.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6312E8">
      <w:pPr>
        <w:spacing w:after="0" w:line="240" w:lineRule="auto"/>
        <w:contextualSpacing/>
        <w:jc w:val="both"/>
        <w:rPr>
          <w:rFonts w:ascii="Arial" w:eastAsia="Calibri" w:hAnsi="Arial" w:cs="Arial"/>
          <w:lang w:val="es-ES"/>
        </w:rPr>
      </w:pPr>
      <w:hyperlink w:anchor="REGLAMENTO29151" w:history="1">
        <w:r w:rsidR="006312E8" w:rsidRPr="006312E8">
          <w:rPr>
            <w:rFonts w:ascii="Arial" w:eastAsia="Calibri" w:hAnsi="Arial" w:cs="Arial"/>
            <w:b/>
            <w:color w:val="4F6228"/>
            <w:sz w:val="16"/>
            <w:szCs w:val="16"/>
          </w:rPr>
          <w:t>Decreto Supremo Nº 14-95-MTC</w:t>
        </w:r>
      </w:hyperlink>
      <w:r w:rsidR="006312E8" w:rsidRPr="006312E8">
        <w:rPr>
          <w:rFonts w:ascii="Arial" w:eastAsia="Calibri" w:hAnsi="Arial" w:cs="Arial"/>
          <w:b/>
          <w:color w:val="4F6228"/>
          <w:sz w:val="16"/>
          <w:szCs w:val="16"/>
        </w:rPr>
        <w:t xml:space="preserve"> (art. 2)</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5.-</w:t>
      </w:r>
      <w:r w:rsidRPr="006312E8">
        <w:rPr>
          <w:rFonts w:ascii="Arial" w:eastAsia="Calibri" w:hAnsi="Arial" w:cs="Arial"/>
          <w:lang w:val="es-ES"/>
        </w:rPr>
        <w:t xml:space="preserve"> La inscripción a que se refiere la presente Ley procederá sólo respecto de aquellos inmuebles sobre los que no exista litigio judicial. Se considerará que existe litigio judicial en aquellos casos en que la demanda haya sido notificada al demandado hasta un día antes de la publicación de la presente ley y que se encuentre pendiente de resolución definitiva.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6.-</w:t>
      </w:r>
      <w:r w:rsidRPr="006312E8">
        <w:rPr>
          <w:rFonts w:ascii="Arial" w:eastAsia="Calibri" w:hAnsi="Arial" w:cs="Arial"/>
          <w:lang w:val="es-ES"/>
        </w:rPr>
        <w:t xml:space="preserve"> La inscripción a que se refiere el Artículo 3 será realizada de manera provisional por el plazo improrrogable de 30 días calendario contados a partir de a fecha de publicación del aviso a que se refiere el Artículo 8.</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7.-</w:t>
      </w:r>
      <w:r w:rsidRPr="006312E8">
        <w:rPr>
          <w:rFonts w:ascii="Arial" w:eastAsia="Calibri" w:hAnsi="Arial" w:cs="Arial"/>
          <w:lang w:val="es-ES"/>
        </w:rPr>
        <w:t xml:space="preserve"> La inscripción registral anteriormente mencionada, a solicitud de los Ministerios, se convertirá en definitiva una vez transcurrido el plazo indicado, sin que haya mediado oposición judicial de tercera persona.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Efectuada la inscripción definitiva, las Oficinas Registrales Desconcentradas de la Superintendencia Nacional de los Registros Públicos correspondientes, oficiarán a la Superintendencia de Bienes Nacionales para que los bienes inmuebles saneados, sean debidamente inscritos en el Margesí de Bienes Nacionales.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8.-</w:t>
      </w:r>
      <w:r w:rsidRPr="006312E8">
        <w:rPr>
          <w:rFonts w:ascii="Arial" w:eastAsia="Calibri" w:hAnsi="Arial" w:cs="Arial"/>
          <w:lang w:val="es-ES"/>
        </w:rPr>
        <w:t xml:space="preserve"> Con el objeto de que terceros tomen conocimiento de los bienes inmuebles que serán materia de saneamiento legal, los Ministerios de Educación y de Transportes, Comunicaciones, Vivienda y Construcción, deberán publicar en el Diario Oficial El Peruano y en un diario de circulación nacional, la relación detallada de dichos bienes.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9.-</w:t>
      </w:r>
      <w:r w:rsidRPr="006312E8">
        <w:rPr>
          <w:rFonts w:ascii="Arial" w:eastAsia="Calibri" w:hAnsi="Arial" w:cs="Arial"/>
          <w:lang w:val="es-ES"/>
        </w:rPr>
        <w:t xml:space="preserve"> Los actos y derechos que se inscriban en las Oficinas Registrales Desconcentradas de la Superintendencia Nacional de los Registros Públicos, de acuerdo a lo dispuesto en la presente Ley, estarán exonerados de cualquier pago por derecho de inscripción u otros correspondientes. Igualmente la regularización queda dispensada de toda previa formalidad municipal; inclusive respecto a procedimientos de habilitación urbana y al pago de los derechos correspondientes.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10.-</w:t>
      </w:r>
      <w:r w:rsidRPr="006312E8">
        <w:rPr>
          <w:rFonts w:ascii="Arial" w:eastAsia="Calibri" w:hAnsi="Arial" w:cs="Arial"/>
          <w:lang w:val="es-ES"/>
        </w:rPr>
        <w:t xml:space="preserve"> Los Ministerios de Educación y de Transportes, Comunicaciones, Vivienda y Construcción quedan facultados para dictar las medidas complementarias que sean necesarias para el mejor cumplimiento de la presente ley. Todas las instituciones públicas sin excepción están obligadas a prestar el apoyo que les sea requerido con este fin.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11.-</w:t>
      </w:r>
      <w:r w:rsidRPr="006312E8">
        <w:rPr>
          <w:rFonts w:ascii="Arial" w:eastAsia="Calibri" w:hAnsi="Arial" w:cs="Arial"/>
          <w:lang w:val="es-ES"/>
        </w:rPr>
        <w:t xml:space="preserve"> El Ministerio de Economía y Finanzas proveerá los recursos necesarios para el cumplimiento de la presente Ley, quedando autorizado a efectuar las modificaciones presupuestales o transferencias de recursos que se requieran para tal efecto.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Comuníquese al señor Presidente de la República para su promulgación.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En Lima, a los veintiún días del mes de julio de mil novecientos noventa y cinco.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JAIME YOSHIYAMA</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b/>
      </w:r>
      <w:r w:rsidRPr="006312E8">
        <w:rPr>
          <w:rFonts w:ascii="Arial" w:eastAsia="Calibri" w:hAnsi="Arial" w:cs="Arial"/>
          <w:lang w:val="es-ES"/>
        </w:rPr>
        <w:t>Presidente del Congreso Constituyente</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Democrático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CARLOS TORRES Y TORRES LARA</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b/>
      </w:r>
      <w:r w:rsidRPr="006312E8">
        <w:rPr>
          <w:rFonts w:ascii="Arial" w:eastAsia="Calibri" w:hAnsi="Arial" w:cs="Arial"/>
          <w:lang w:val="es-ES"/>
        </w:rPr>
        <w:t>Primer Vicepresidente del Congreso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Constituyente Democrático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AL SEÑOR PRESIDENTE CONSTITUCIONAL DE LA REPUBLICA</w:t>
      </w: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b/>
        <w:t>POR TANTO:</w:t>
      </w: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Mando se publique y cumpla.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Dado en la Casa de Gobierno en Lima, a los veintisiete días del mes de julio de mil novecientos noventa y cinco.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ALBERTO FUJIMORI FUJIMORI</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b/>
      </w:r>
      <w:r w:rsidRPr="006312E8">
        <w:rPr>
          <w:rFonts w:ascii="Arial" w:eastAsia="Calibri" w:hAnsi="Arial" w:cs="Arial"/>
          <w:lang w:val="es-ES"/>
        </w:rPr>
        <w:t>Presidente Constitucional de la República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DANTE CORDOVA BLANCO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b/>
      </w:r>
      <w:r w:rsidRPr="006312E8">
        <w:rPr>
          <w:rFonts w:ascii="Arial" w:eastAsia="Calibri" w:hAnsi="Arial" w:cs="Arial"/>
          <w:lang w:val="es-ES"/>
        </w:rPr>
        <w:t>Ministro de Educación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JUAN CASTILLA MEZA</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b/>
      </w:r>
      <w:r w:rsidRPr="006312E8">
        <w:rPr>
          <w:rFonts w:ascii="Arial" w:eastAsia="Calibri" w:hAnsi="Arial" w:cs="Arial"/>
          <w:lang w:val="es-ES"/>
        </w:rPr>
        <w:t>Ministro de Transportes, Comunicaciones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Vivienda y Construcción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Default="006312E8" w:rsidP="006312E8">
      <w:pPr>
        <w:spacing w:after="0" w:line="240" w:lineRule="auto"/>
        <w:contextualSpacing/>
        <w:jc w:val="both"/>
        <w:rPr>
          <w:rFonts w:ascii="Arial" w:eastAsia="Calibri" w:hAnsi="Arial" w:cs="Arial"/>
          <w:lang w:val="es-ES"/>
        </w:rPr>
      </w:pPr>
    </w:p>
    <w:p w:rsidR="00747E3E" w:rsidRDefault="00747E3E" w:rsidP="006312E8">
      <w:pPr>
        <w:spacing w:after="0" w:line="240" w:lineRule="auto"/>
        <w:contextualSpacing/>
        <w:jc w:val="both"/>
        <w:rPr>
          <w:rFonts w:ascii="Arial" w:eastAsia="Calibri" w:hAnsi="Arial" w:cs="Arial"/>
          <w:lang w:val="es-ES"/>
        </w:rPr>
      </w:pPr>
    </w:p>
    <w:p w:rsidR="00747E3E" w:rsidRDefault="00747E3E" w:rsidP="006312E8">
      <w:pPr>
        <w:spacing w:after="0" w:line="240" w:lineRule="auto"/>
        <w:contextualSpacing/>
        <w:jc w:val="both"/>
        <w:rPr>
          <w:rFonts w:ascii="Arial" w:eastAsia="Calibri" w:hAnsi="Arial" w:cs="Arial"/>
          <w:lang w:val="es-ES"/>
        </w:rPr>
      </w:pPr>
    </w:p>
    <w:p w:rsidR="00747E3E" w:rsidRPr="006312E8" w:rsidRDefault="00747E3E"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C61CE9" w:rsidP="00E104C8">
      <w:pPr>
        <w:pStyle w:val="TITO2"/>
      </w:pPr>
      <w:bookmarkStart w:id="313" w:name="_Toc392856229"/>
      <w:bookmarkStart w:id="314" w:name="_Toc399335503"/>
      <w:bookmarkStart w:id="315" w:name="_Toc421025450"/>
      <w:bookmarkStart w:id="316" w:name="_Toc470855553"/>
      <w:bookmarkStart w:id="317" w:name="LEY27493"/>
      <w:r>
        <w:t>LEY</w:t>
      </w:r>
      <w:r w:rsidR="006312E8" w:rsidRPr="006312E8">
        <w:t xml:space="preserve"> Nº 27493</w:t>
      </w:r>
      <w:bookmarkEnd w:id="313"/>
      <w:bookmarkEnd w:id="314"/>
      <w:bookmarkEnd w:id="315"/>
      <w:bookmarkEnd w:id="316"/>
    </w:p>
    <w:bookmarkEnd w:id="317"/>
    <w:p w:rsidR="006312E8" w:rsidRPr="006312E8" w:rsidRDefault="006312E8" w:rsidP="006312E8">
      <w:pPr>
        <w:spacing w:after="0" w:line="240" w:lineRule="auto"/>
        <w:contextualSpacing/>
        <w:jc w:val="center"/>
        <w:rPr>
          <w:rFonts w:ascii="Arial" w:eastAsia="Calibri" w:hAnsi="Arial" w:cs="Arial"/>
          <w:lang w:val="es-ES"/>
        </w:rPr>
      </w:pPr>
    </w:p>
    <w:p w:rsidR="006312E8" w:rsidRPr="006312E8" w:rsidRDefault="006312E8" w:rsidP="006312E8">
      <w:pPr>
        <w:spacing w:after="0" w:line="240" w:lineRule="auto"/>
        <w:contextualSpacing/>
        <w:jc w:val="right"/>
        <w:rPr>
          <w:rFonts w:ascii="Arial" w:eastAsia="Calibri" w:hAnsi="Arial" w:cs="Arial"/>
          <w:b/>
          <w:lang w:val="es-ES"/>
        </w:rPr>
      </w:pPr>
      <w:r w:rsidRPr="006312E8">
        <w:rPr>
          <w:rFonts w:ascii="Arial" w:eastAsia="Calibri" w:hAnsi="Arial" w:cs="Arial"/>
          <w:b/>
          <w:lang w:val="es-ES"/>
        </w:rPr>
        <w:t>Fecha de publicación: 02-07-2001</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EL PRESIDENTE DE LA REPÚBLICA</w:t>
      </w: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POR CUANTO: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Congreso de la República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Ha dado la Ley siguiente: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EL CONGRESO DE LA REPÚBLICA;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Ha dado la Ley siguiente: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LEY DE SANEAMIENTO FÍSICO-LEGAL DE BIENES INMUEBLES DE LAS ENTIDADES DEL SECTOR PÚBLICO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Único.- Objeto de la ley</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Hácese extensiva la Ley Nº 26512 a todos los organismos e instituciones del sector público.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Comuníquese al señor Presidente de la República para su promulgación.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En Lima, a los once días del mes de junio de dos mil uno.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CARLOS FERRERO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b/>
      </w:r>
      <w:r w:rsidRPr="006312E8">
        <w:rPr>
          <w:rFonts w:ascii="Arial" w:eastAsia="Calibri" w:hAnsi="Arial" w:cs="Arial"/>
          <w:lang w:val="es-ES"/>
        </w:rPr>
        <w:t>Presidente a.i. del Congreso de la República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HENRY PEASE GARCÍA</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b/>
      </w:r>
      <w:r w:rsidRPr="006312E8">
        <w:rPr>
          <w:rFonts w:ascii="Arial" w:eastAsia="Calibri" w:hAnsi="Arial" w:cs="Arial"/>
          <w:lang w:val="es-ES"/>
        </w:rPr>
        <w:t>Segundo Vicepresidente del Congreso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de la República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AL SEÑOR PRESIDENTE CONSTITUCIONAL DE LA REPÚBLICA</w:t>
      </w: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b/>
        <w:t>POR TANTO:</w:t>
      </w: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Mando se publique y cumpla.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705"/>
        <w:contextualSpacing/>
        <w:jc w:val="both"/>
        <w:rPr>
          <w:rFonts w:ascii="Arial" w:eastAsia="Calibri" w:hAnsi="Arial" w:cs="Arial"/>
          <w:lang w:val="es-ES"/>
        </w:rPr>
      </w:pPr>
      <w:r w:rsidRPr="006312E8">
        <w:rPr>
          <w:rFonts w:ascii="Arial" w:eastAsia="Calibri" w:hAnsi="Arial" w:cs="Arial"/>
          <w:lang w:val="es-ES"/>
        </w:rPr>
        <w:t>Dado en la Casa de Gobierno, en Lima, a los veintinueve días del mes de junio del año dos mil uno.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VALENTIN PANIAGUA CORAZAO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b/>
      </w:r>
      <w:r w:rsidRPr="006312E8">
        <w:rPr>
          <w:rFonts w:ascii="Arial" w:eastAsia="Calibri" w:hAnsi="Arial" w:cs="Arial"/>
          <w:lang w:val="es-ES"/>
        </w:rPr>
        <w:t>Presidente Constitucional de la República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JAVIER PÉREZ DE CUÉLLAR</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b/>
      </w:r>
      <w:r w:rsidRPr="006312E8">
        <w:rPr>
          <w:rFonts w:ascii="Arial" w:eastAsia="Calibri" w:hAnsi="Arial" w:cs="Arial"/>
          <w:lang w:val="es-ES"/>
        </w:rPr>
        <w:t>Presidente del Consejo de Ministros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DIEGO GARCIA-SAYAN LARRABURE</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b/>
      </w:r>
      <w:r w:rsidRPr="006312E8">
        <w:rPr>
          <w:rFonts w:ascii="Arial" w:eastAsia="Calibri" w:hAnsi="Arial" w:cs="Arial"/>
          <w:lang w:val="es-ES"/>
        </w:rPr>
        <w:t>Ministro de Justicia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E104C8">
      <w:pPr>
        <w:pStyle w:val="TITO2"/>
      </w:pPr>
      <w:bookmarkStart w:id="318" w:name="_Toc392856230"/>
      <w:bookmarkStart w:id="319" w:name="_Toc399335504"/>
      <w:bookmarkStart w:id="320" w:name="_Toc421025451"/>
      <w:bookmarkStart w:id="321" w:name="_Toc470855554"/>
      <w:bookmarkStart w:id="322" w:name="DS1495"/>
      <w:r w:rsidRPr="006312E8">
        <w:t>DECRETO SUPREMO Nº 14-95-MTC</w:t>
      </w:r>
      <w:bookmarkEnd w:id="318"/>
      <w:bookmarkEnd w:id="319"/>
      <w:bookmarkEnd w:id="320"/>
      <w:bookmarkEnd w:id="321"/>
    </w:p>
    <w:bookmarkEnd w:id="322"/>
    <w:p w:rsidR="006312E8" w:rsidRPr="006312E8" w:rsidRDefault="006312E8" w:rsidP="006312E8">
      <w:pPr>
        <w:spacing w:after="0" w:line="240" w:lineRule="auto"/>
        <w:contextualSpacing/>
        <w:jc w:val="center"/>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Dictan disposiciones referidas al saneamiento legal de los bienes inmuebles del Sector Transportes, Comunicaciones, Vivienda y Construcción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right"/>
        <w:rPr>
          <w:rFonts w:ascii="Arial" w:eastAsia="Calibri" w:hAnsi="Arial" w:cs="Arial"/>
          <w:b/>
          <w:lang w:val="es-ES"/>
        </w:rPr>
      </w:pPr>
      <w:r w:rsidRPr="006312E8">
        <w:rPr>
          <w:rFonts w:ascii="Arial" w:eastAsia="Calibri" w:hAnsi="Arial" w:cs="Arial"/>
          <w:b/>
          <w:lang w:val="es-ES"/>
        </w:rPr>
        <w:t xml:space="preserve">Fecha de publicación: 26-08-1995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EL PRESIDENTE DE LA REPUBLICA</w:t>
      </w: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CONSIDERANDO: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por Ley N° 26512 se declaró de necesidad y utilidad pública el saneamiento legal de los bienes inmuebles de propiedad del Sector Educación y del Sector Transportes, Comunicaciones, Vivienda y Construcción, estableciendo un procedimiento especial para la inscripción registral de dichos bienes;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acorde con el Artículo 3 del Decreto Ley N° 25862, el ámbito del Sector Transportes, Comunicaciones, Vivienda y Construcción, comprende al Ministerio del Sector, las Empresas del Estado y los Organismos e Instituciones Públicas Descentralizadas bajo su jurisdicción;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en aplicación del Artículo 10 de la Ley N° 26512, resulta necesario dictar medidas complementarias para el saneamiento legal de los bienes inmuebles del Sector Transportes, Comunicaciones, Vivienda y Construcción;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De conformidad con el Decreto Ley N° 25862 y la Ley N° 26512;</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DECRETA:</w:t>
      </w: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1.-</w:t>
      </w:r>
      <w:r w:rsidRPr="006312E8">
        <w:rPr>
          <w:rFonts w:ascii="Arial" w:eastAsia="Calibri" w:hAnsi="Arial" w:cs="Arial"/>
          <w:lang w:val="es-ES"/>
        </w:rPr>
        <w:t xml:space="preserve"> La Declaración Jurada a que se refiere el Artículo 4 de la Ley N° 26512, será suscrita por los siguientes funcionarios: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26"/>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El Secretario General del Ministerio de Transportes, Comunicaciones, Vivienda y Construcción, en el caso de bienes inmuebles de propiedad de dicho Ministerio.</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92471C">
      <w:pPr>
        <w:numPr>
          <w:ilvl w:val="0"/>
          <w:numId w:val="126"/>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El Titular del Pliego de las Empresas del Estado y los Organismos e Instituciones Públicas integrantes del Sector Transportes, Comunicaciones, Vivienda y Construcción, para los bienes correspondientes a la respectiva Empresa, Organismo o Institución. Dicha atribución podrá ser delegada.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2.-</w:t>
      </w:r>
      <w:r w:rsidRPr="006312E8">
        <w:rPr>
          <w:rFonts w:ascii="Arial" w:eastAsia="Calibri" w:hAnsi="Arial" w:cs="Arial"/>
          <w:lang w:val="es-ES"/>
        </w:rPr>
        <w:t xml:space="preserve"> Las Empresas del Estado y los Organismos e Instituciones integrantes del Sector Transportes, Comunicaciones, Vivienda y Construcción, presentarán directamente ante las Oficinas Registrales Desconcentradas de la Superintendencia Nacional de los Registros Públicos, las solicitudes de inscripción de sus respectivos bienes inmuebles a que se refieren los Artículos 3 y 4 de la Ley N° 26512. Asimismo, formularán las solicitudes y efectuarán las publicaciones establecidas en los Artículos 7 y 8 de dicha Ley.</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Una vez efectuada la inscripción definitiva de dichos bienes, la Empresa, Organismo o Institución dará cuenta de lo actuado a la Oficina General de Administración del Ministerio de Transportes, Comunicaciones, Vivienda y Construcción, a los efectos de elaborar el Margesí de Bienes saneados al amparo de la Ley N° 26512.</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3.-</w:t>
      </w:r>
      <w:r w:rsidRPr="006312E8">
        <w:rPr>
          <w:rFonts w:ascii="Arial" w:eastAsia="Calibri" w:hAnsi="Arial" w:cs="Arial"/>
          <w:lang w:val="es-ES"/>
        </w:rPr>
        <w:t xml:space="preserve"> Las Empresas del Estado integrantes del Sector Transportes, Comunicaciones, Vivienda y Construcción, que vengan efectuando el saneamiento legal de los bienes inmuebles de su propiedad en mérito de disposiciones legales específicas, podrán concluir su saneamiento con arreglo a dichas disposiciones o acogerse al procedimiento establecido por la Ley N° 26512.</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4.-</w:t>
      </w:r>
      <w:r w:rsidRPr="006312E8">
        <w:rPr>
          <w:rFonts w:ascii="Arial" w:eastAsia="Calibri" w:hAnsi="Arial" w:cs="Arial"/>
          <w:lang w:val="es-ES"/>
        </w:rPr>
        <w:t xml:space="preserve"> El presente Decreto Supremo será refrendado por el Ministro de Transportes, Comunicaciones, Vivienda y Construcción.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Dado en la Casa de Gobierno, en Lima, a los veinticinco días del mes de agosto de mil novecientos noventa y cinco.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b/>
        <w:t>ALBERTO FUJIMORI FUJIMORI</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Presidente Constitucional de la República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b/>
        <w:t>JUAN CASTILLA MEZA</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 xml:space="preserve">Ministro de Transportes, Comunicaciones,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Vivienda y Construcción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E104C8">
      <w:pPr>
        <w:pStyle w:val="TITO2"/>
      </w:pPr>
      <w:bookmarkStart w:id="323" w:name="_Toc392856231"/>
      <w:bookmarkStart w:id="324" w:name="_Toc399335505"/>
      <w:bookmarkStart w:id="325" w:name="_Toc421025452"/>
      <w:bookmarkStart w:id="326" w:name="_Toc470855555"/>
      <w:bookmarkStart w:id="327" w:name="DS1302001"/>
      <w:r w:rsidRPr="006312E8">
        <w:t>DECRETO SUPREMO Nº 130-2001-EF</w:t>
      </w:r>
      <w:bookmarkEnd w:id="323"/>
      <w:bookmarkEnd w:id="324"/>
      <w:bookmarkEnd w:id="325"/>
      <w:bookmarkEnd w:id="326"/>
    </w:p>
    <w:bookmarkEnd w:id="327"/>
    <w:p w:rsidR="006312E8" w:rsidRPr="006312E8" w:rsidRDefault="006312E8" w:rsidP="006312E8">
      <w:pPr>
        <w:spacing w:after="0" w:line="240" w:lineRule="auto"/>
        <w:contextualSpacing/>
        <w:jc w:val="center"/>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Dictan medidas reglamentarias para que cualquier entidad pública pueda realizar acciones de saneamiento técnico, legal y contable de inmuebles de propiedad estatal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right"/>
        <w:rPr>
          <w:rFonts w:ascii="Arial" w:eastAsia="Calibri" w:hAnsi="Arial" w:cs="Arial"/>
          <w:b/>
          <w:lang w:val="es-ES"/>
        </w:rPr>
      </w:pPr>
      <w:r w:rsidRPr="006312E8">
        <w:rPr>
          <w:rFonts w:ascii="Arial" w:eastAsia="Calibri" w:hAnsi="Arial" w:cs="Arial"/>
          <w:b/>
          <w:lang w:val="es-ES"/>
        </w:rPr>
        <w:t>Fecha de publicación: 04-07-2001</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color w:val="4F6228"/>
          <w:sz w:val="16"/>
          <w:szCs w:val="16"/>
          <w:lang w:val="es-ES"/>
        </w:rPr>
      </w:pPr>
      <w:r w:rsidRPr="006312E8">
        <w:rPr>
          <w:rFonts w:ascii="Arial" w:eastAsia="Calibri" w:hAnsi="Arial" w:cs="Arial"/>
          <w:b/>
          <w:color w:val="4F6228"/>
          <w:sz w:val="16"/>
          <w:szCs w:val="16"/>
          <w:lang w:val="es-ES"/>
        </w:rPr>
        <w:t xml:space="preserve">NOTA: de conformidad con el Artículo 1 del Decreto Supremo Nº 136-2001-EF, publicado el 10-07-2001, se hace extensivo este reglamento a todos los organismos e instituciones del sector público a que se refiere la Ley Nº 27493.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6312E8" w:rsidP="006312E8">
      <w:pPr>
        <w:numPr>
          <w:ilvl w:val="0"/>
          <w:numId w:val="8"/>
        </w:numPr>
        <w:spacing w:after="0" w:line="240" w:lineRule="auto"/>
        <w:ind w:left="426" w:hanging="284"/>
        <w:contextualSpacing/>
        <w:jc w:val="both"/>
        <w:rPr>
          <w:rFonts w:ascii="Arial" w:eastAsia="Calibri" w:hAnsi="Arial" w:cs="Arial"/>
          <w:b/>
          <w:color w:val="4F6228"/>
          <w:sz w:val="16"/>
          <w:szCs w:val="16"/>
        </w:rPr>
      </w:pPr>
      <w:r w:rsidRPr="006312E8">
        <w:rPr>
          <w:rFonts w:ascii="Arial" w:eastAsia="Calibri" w:hAnsi="Arial" w:cs="Arial"/>
          <w:b/>
          <w:color w:val="4F6228"/>
          <w:sz w:val="16"/>
          <w:szCs w:val="16"/>
        </w:rPr>
        <w:t>Ley Nº 28687 (numeral 14.1, art. 14)</w:t>
      </w:r>
    </w:p>
    <w:p w:rsidR="006312E8" w:rsidRPr="006312E8" w:rsidRDefault="006312E8" w:rsidP="006312E8">
      <w:pPr>
        <w:numPr>
          <w:ilvl w:val="0"/>
          <w:numId w:val="8"/>
        </w:numPr>
        <w:spacing w:after="0" w:line="240" w:lineRule="auto"/>
        <w:ind w:left="426" w:hanging="284"/>
        <w:contextualSpacing/>
        <w:jc w:val="both"/>
        <w:rPr>
          <w:rFonts w:ascii="Arial" w:eastAsia="Calibri" w:hAnsi="Arial" w:cs="Arial"/>
          <w:b/>
          <w:color w:val="4F6228"/>
          <w:sz w:val="16"/>
          <w:szCs w:val="16"/>
        </w:rPr>
      </w:pPr>
      <w:r w:rsidRPr="006312E8">
        <w:rPr>
          <w:rFonts w:ascii="Arial" w:eastAsia="Calibri" w:hAnsi="Arial" w:cs="Arial"/>
          <w:b/>
          <w:color w:val="4F6228"/>
          <w:sz w:val="16"/>
          <w:szCs w:val="16"/>
        </w:rPr>
        <w:t>Decreto Supremo Nº 006-2006-VIVIENDA (art. 7)</w:t>
      </w:r>
    </w:p>
    <w:p w:rsidR="006312E8" w:rsidRPr="006312E8" w:rsidRDefault="006312E8" w:rsidP="006312E8">
      <w:pPr>
        <w:numPr>
          <w:ilvl w:val="0"/>
          <w:numId w:val="8"/>
        </w:numPr>
        <w:spacing w:after="0" w:line="240" w:lineRule="auto"/>
        <w:ind w:left="426" w:hanging="284"/>
        <w:contextualSpacing/>
        <w:jc w:val="both"/>
        <w:rPr>
          <w:rFonts w:ascii="Arial" w:eastAsia="Calibri" w:hAnsi="Arial" w:cs="Arial"/>
          <w:b/>
          <w:color w:val="4F6228"/>
          <w:sz w:val="16"/>
          <w:szCs w:val="16"/>
        </w:rPr>
      </w:pPr>
      <w:r w:rsidRPr="006312E8">
        <w:rPr>
          <w:rFonts w:ascii="Arial" w:eastAsia="Calibri" w:hAnsi="Arial" w:cs="Arial"/>
          <w:b/>
          <w:color w:val="4F6228"/>
          <w:sz w:val="16"/>
          <w:szCs w:val="16"/>
        </w:rPr>
        <w:t>Decreto Supremo Nº 007-2008-VIVIENDA ( art. 26, Octava Disposición Complementaria y Final)</w:t>
      </w:r>
      <w:hyperlink w:anchor="REGLAMENTO29151" w:history="1"/>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EL PRESIDENTE DE LA REPUBLICA</w:t>
      </w: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CONSIDERANDO: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mediante el Decreto de Urgencia Nº 071-2001 se estableció la autonomía económica, presupuestal, financiera, técnica y funcional necesaria para la ejecución de los actos de adquisición, disposición, administración y control de los bienes de propiedad estatal a su cargo; y, se declaró de interés nacional el saneamiento técnico, legal y contable de los inmuebles de propiedad de las entidades públicas en general;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el mencionado Decreto de Urgencia estableció que el mismo sería reglamentado por Decreto Supremo refrendado por el Ministro de Economía y Finanzas en un plazo no mayor de 45 días calendario a partir de su publicación;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en consecuencia, es necesario dictar las medidas reglamentarias para que cualquier entidad pública, sin discriminación alguna, pueda realizar acciones de saneamiento técnico, legal y contable de los inmuebles de propiedad estatal por su propia cuenta;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De conformidad con lo dispuesto en el inciso 8) del Artículo 118 de la Constitución Política del Perú, la Ley Nº 27395 y el Decreto de Urgencia Nº 071-2001;</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DECRETA:</w:t>
      </w: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1.-</w:t>
      </w:r>
      <w:r w:rsidRPr="006312E8">
        <w:rPr>
          <w:rFonts w:ascii="Arial" w:eastAsia="Calibri" w:hAnsi="Arial" w:cs="Arial"/>
          <w:lang w:val="es-ES"/>
        </w:rPr>
        <w:t xml:space="preserve"> Las entidades públicas mencionadas en el siguiente artículo deberán, por su propia cuenta, efectuar el saneamiento técnico, legal y contable de los inmuebles de propiedad estatal a cargo de la Superintendencia de Bienes Nacionales (SBN), cuyas características se describen en el Artículo 3 del presente Decreto Supremo.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saneamiento comprenderá todas las acciones destinadas a lograr que en los Registros Públicos figure inscrita la realidad jurídica actual de los inmuebles de las entidades públicas, en relación a los derechos reales que sobre los mismos ejercitan las respectivas entidades; y, a registrar contablemente en la Cuenta 33, los bienes de propiedad de dichas entidades, y, en la Cuenta de Orden los bienes afectados en uso a las mismas, así como aquéllos sobre los que ejerzan cualquier derecho de administración.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2.-</w:t>
      </w:r>
      <w:r w:rsidRPr="006312E8">
        <w:rPr>
          <w:rFonts w:ascii="Arial" w:eastAsia="Calibri" w:hAnsi="Arial" w:cs="Arial"/>
          <w:lang w:val="es-ES"/>
        </w:rPr>
        <w:t xml:space="preserve"> Están obligadas a realizar el saneamiento descrito en el presente Decreto Supremo, las siguientes entidades de la Administración Pública: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27"/>
        </w:numPr>
        <w:spacing w:after="0" w:line="240" w:lineRule="auto"/>
        <w:contextualSpacing/>
        <w:jc w:val="both"/>
        <w:rPr>
          <w:rFonts w:ascii="Arial" w:eastAsia="Calibri" w:hAnsi="Arial" w:cs="Arial"/>
          <w:lang w:val="es-ES"/>
        </w:rPr>
      </w:pPr>
      <w:r w:rsidRPr="006312E8">
        <w:rPr>
          <w:rFonts w:ascii="Arial" w:eastAsia="Calibri" w:hAnsi="Arial" w:cs="Arial"/>
          <w:lang w:val="es-ES"/>
        </w:rPr>
        <w:t>El Poder Ejecutivo, incluyendo Ministerios y Organismos Públicos Descentralizados;</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92471C">
      <w:pPr>
        <w:numPr>
          <w:ilvl w:val="0"/>
          <w:numId w:val="127"/>
        </w:numPr>
        <w:spacing w:after="0" w:line="240" w:lineRule="auto"/>
        <w:contextualSpacing/>
        <w:jc w:val="both"/>
        <w:rPr>
          <w:rFonts w:ascii="Arial" w:eastAsia="Calibri" w:hAnsi="Arial" w:cs="Arial"/>
          <w:lang w:val="es-ES"/>
        </w:rPr>
      </w:pPr>
      <w:r w:rsidRPr="006312E8">
        <w:rPr>
          <w:rFonts w:ascii="Arial" w:eastAsia="Calibri" w:hAnsi="Arial" w:cs="Arial"/>
          <w:lang w:val="es-ES"/>
        </w:rPr>
        <w:t>El Poder Legislativo;</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0"/>
          <w:numId w:val="127"/>
        </w:numPr>
        <w:spacing w:after="0" w:line="240" w:lineRule="auto"/>
        <w:contextualSpacing/>
        <w:jc w:val="both"/>
        <w:rPr>
          <w:rFonts w:ascii="Arial" w:eastAsia="Calibri" w:hAnsi="Arial" w:cs="Arial"/>
          <w:lang w:val="es-ES"/>
        </w:rPr>
      </w:pPr>
      <w:r w:rsidRPr="006312E8">
        <w:rPr>
          <w:rFonts w:ascii="Arial" w:eastAsia="Calibri" w:hAnsi="Arial" w:cs="Arial"/>
          <w:lang w:val="es-ES"/>
        </w:rPr>
        <w:t>El Poder Judicial;</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0"/>
          <w:numId w:val="127"/>
        </w:numPr>
        <w:spacing w:after="0" w:line="240" w:lineRule="auto"/>
        <w:contextualSpacing/>
        <w:jc w:val="both"/>
        <w:rPr>
          <w:rFonts w:ascii="Arial" w:eastAsia="Calibri" w:hAnsi="Arial" w:cs="Arial"/>
          <w:lang w:val="es-ES"/>
        </w:rPr>
      </w:pPr>
      <w:r w:rsidRPr="006312E8">
        <w:rPr>
          <w:rFonts w:ascii="Arial" w:eastAsia="Calibri" w:hAnsi="Arial" w:cs="Arial"/>
          <w:lang w:val="es-ES"/>
        </w:rPr>
        <w:t>Los Gobiernos Regionales;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0"/>
          <w:numId w:val="127"/>
        </w:numPr>
        <w:spacing w:after="0" w:line="240" w:lineRule="auto"/>
        <w:contextualSpacing/>
        <w:jc w:val="both"/>
        <w:rPr>
          <w:rFonts w:ascii="Arial" w:eastAsia="Calibri" w:hAnsi="Arial" w:cs="Arial"/>
          <w:lang w:val="es-ES"/>
        </w:rPr>
      </w:pPr>
      <w:r w:rsidRPr="006312E8">
        <w:rPr>
          <w:rFonts w:ascii="Arial" w:eastAsia="Calibri" w:hAnsi="Arial" w:cs="Arial"/>
          <w:lang w:val="es-ES"/>
        </w:rPr>
        <w:t>Los organismos públicos a los que la Constitución Política del Perú y las leyes confieren autonomía;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0"/>
          <w:numId w:val="127"/>
        </w:numPr>
        <w:spacing w:after="0" w:line="240" w:lineRule="auto"/>
        <w:contextualSpacing/>
        <w:jc w:val="both"/>
        <w:rPr>
          <w:rFonts w:ascii="Arial" w:eastAsia="Calibri" w:hAnsi="Arial" w:cs="Arial"/>
          <w:lang w:val="es-ES"/>
        </w:rPr>
      </w:pPr>
      <w:r w:rsidRPr="006312E8">
        <w:rPr>
          <w:rFonts w:ascii="Arial" w:eastAsia="Calibri" w:hAnsi="Arial" w:cs="Arial"/>
          <w:lang w:val="es-ES"/>
        </w:rPr>
        <w:t>Las demás entidades y organismos, proyectos y programas del Estado, cuyas actividades se realizan en virtud de potestades administrativas;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3.-</w:t>
      </w:r>
      <w:r w:rsidRPr="006312E8">
        <w:rPr>
          <w:rFonts w:ascii="Arial" w:eastAsia="Calibri" w:hAnsi="Arial" w:cs="Arial"/>
          <w:lang w:val="es-ES"/>
        </w:rPr>
        <w:t xml:space="preserve"> De acuerdo con lo dispuesto en el Artículo 1 del Decreto de Urgencia Nº 071-2001, los bienes de propiedad estatal cuya administración está a cargo de la Superintendencia de Bienes Nacionales, son los siguientes: i) Aquéllos respecto de los cuales la SBN, la ex Dirección General de Bienes Nacionales u otra entidad pública con la competencia correspondiente, hubiera otorgado a alguna de las entidades de la administración pública señaladas en el artículo anterior, la propiedad o cualquier otro derecho real sobre un bien de propiedad estatal; ii) Los que dichas entidades hubieran adquirido directamente; y, iii) Los bienes de propiedad estatal que en virtud de concesión, delegación o autorización del Estado, han sido otorgados a las personas jurídicas de régimen privado que prestan servicios públicos, para que ejerciten algún derecho real sobre los mismos.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4.-</w:t>
      </w:r>
      <w:r w:rsidRPr="006312E8">
        <w:rPr>
          <w:rFonts w:ascii="Arial" w:eastAsia="Calibri" w:hAnsi="Arial" w:cs="Arial"/>
          <w:lang w:val="es-ES"/>
        </w:rPr>
        <w:t xml:space="preserve"> Para efectos de lo dispuesto en la parte final del Artículo 1 del Decreto de Urgencia Nº 071-2001, concordado con el Artículo 85 de la Ley Nº 23853, Ley Orgánica de Municipalidades, son bienes de las Municipalidades: i) Los inmuebles y muebles destinados a servicios públicos locales, edificios municipales y sus instalaciones y, en general, todos los adquiridos, construidos y sostenidos por la Municipalidad; ii) Los que posean a título privado y que no estén destinados a un servicio público; (iii) Los terrenos eriazos o ribereños, ubicados en las áreas de expansión urbana, que les transfiere el Estado; y, iv) Los legados y donaciones que se hagan a su favor.</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5.-</w:t>
      </w:r>
      <w:r w:rsidRPr="006312E8">
        <w:rPr>
          <w:rFonts w:ascii="Arial" w:eastAsia="Calibri" w:hAnsi="Arial" w:cs="Arial"/>
          <w:lang w:val="es-ES"/>
        </w:rPr>
        <w:t xml:space="preserve"> La Superintendencia de Bienes Nacionales podrá realizar el saneamiento legal de los bienes inmuebles que se encuentran bajo su administración, así como de los aportes reglamentarios de propiedad estatal en general, de acuerdo con sus fines institucionales, los que previa calificación registral deberán inscribirse en los Registros Públicos a nombre del Estado representado por la SBN. El saneamiento se efectuará de acuerdo con las normas contenidas en este Decreto Supremo y las Directivas que la SBN emitirá oportunamente.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6.-</w:t>
      </w:r>
      <w:r w:rsidRPr="006312E8">
        <w:rPr>
          <w:rFonts w:ascii="Arial" w:eastAsia="Calibri" w:hAnsi="Arial" w:cs="Arial"/>
          <w:lang w:val="es-ES"/>
        </w:rPr>
        <w:t xml:space="preserve"> Las Oficinas Registrales de la Superintendencia Nacional de los Registros Públicos a nivel nacional y las Oficinas del Registro Predial Urbano, procederán conforme corresponda, a inscribir en el Registro de la Propiedad Inmueble respectivo, la propiedad de los terrenos, edificaciones, construcciones, modificaciones y derechos de diversa índole sobre los mismos de los que sean titulares las entidades públicas señaladas en el Artículo 2 del presente Decreto Supremo.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7.-</w:t>
      </w:r>
      <w:r w:rsidRPr="006312E8">
        <w:rPr>
          <w:rFonts w:ascii="Arial" w:eastAsia="Calibri" w:hAnsi="Arial" w:cs="Arial"/>
          <w:lang w:val="es-ES"/>
        </w:rPr>
        <w:t xml:space="preserve"> Las inscripciones a ser realizadas al amparo del presente Decreto Supremo, comprenden los siguientes actos: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28"/>
        </w:numPr>
        <w:spacing w:after="0" w:line="240" w:lineRule="auto"/>
        <w:contextualSpacing/>
        <w:jc w:val="both"/>
        <w:rPr>
          <w:rFonts w:ascii="Arial" w:eastAsia="Calibri" w:hAnsi="Arial" w:cs="Arial"/>
          <w:lang w:val="es-ES"/>
        </w:rPr>
      </w:pPr>
      <w:r w:rsidRPr="006312E8">
        <w:rPr>
          <w:rFonts w:ascii="Arial" w:eastAsia="Calibri" w:hAnsi="Arial" w:cs="Arial"/>
          <w:lang w:val="es-ES"/>
        </w:rPr>
        <w:t>Inmatriculación.</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92471C">
      <w:pPr>
        <w:numPr>
          <w:ilvl w:val="0"/>
          <w:numId w:val="128"/>
        </w:numPr>
        <w:spacing w:after="0" w:line="240" w:lineRule="auto"/>
        <w:contextualSpacing/>
        <w:jc w:val="both"/>
        <w:rPr>
          <w:rFonts w:ascii="Arial" w:eastAsia="Calibri" w:hAnsi="Arial" w:cs="Arial"/>
          <w:lang w:val="es-ES"/>
        </w:rPr>
      </w:pPr>
      <w:r w:rsidRPr="006312E8">
        <w:rPr>
          <w:rFonts w:ascii="Arial" w:eastAsia="Calibri" w:hAnsi="Arial" w:cs="Arial"/>
          <w:lang w:val="es-ES"/>
        </w:rPr>
        <w:t>Inscripción del dominio.</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0"/>
          <w:numId w:val="128"/>
        </w:numPr>
        <w:spacing w:after="0" w:line="240" w:lineRule="auto"/>
        <w:contextualSpacing/>
        <w:jc w:val="both"/>
        <w:rPr>
          <w:rFonts w:ascii="Arial" w:eastAsia="Calibri" w:hAnsi="Arial" w:cs="Arial"/>
          <w:lang w:val="es-ES"/>
        </w:rPr>
      </w:pPr>
      <w:r w:rsidRPr="006312E8">
        <w:rPr>
          <w:rFonts w:ascii="Arial" w:eastAsia="Calibri" w:hAnsi="Arial" w:cs="Arial"/>
          <w:lang w:val="es-ES"/>
        </w:rPr>
        <w:t>Aclaraciones y rectificaciones de los asientos registrales que lo ameriten, bien sea por inmatriculación o demás inscripciones efectuadas.</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92471C">
      <w:pPr>
        <w:numPr>
          <w:ilvl w:val="0"/>
          <w:numId w:val="128"/>
        </w:numPr>
        <w:spacing w:after="0" w:line="240" w:lineRule="auto"/>
        <w:contextualSpacing/>
        <w:jc w:val="both"/>
        <w:rPr>
          <w:rFonts w:ascii="Arial" w:eastAsia="Calibri" w:hAnsi="Arial" w:cs="Arial"/>
          <w:lang w:val="es-ES"/>
        </w:rPr>
      </w:pPr>
      <w:r w:rsidRPr="006312E8">
        <w:rPr>
          <w:rFonts w:ascii="Arial" w:eastAsia="Calibri" w:hAnsi="Arial" w:cs="Arial"/>
          <w:lang w:val="es-ES"/>
        </w:rPr>
        <w:t>Declaratorias o constataciones de fábrica, así como ampliaciones o aclaraciones de la descripción de fábrica, demolición. (*)</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6312E8">
      <w:pPr>
        <w:spacing w:after="0" w:line="240" w:lineRule="auto"/>
        <w:ind w:left="1065"/>
        <w:contextualSpacing/>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Inciso modificado por la Única Disposición Complementaria Modificatoria del Decreto Supremo Nº 007-2008-VIVIENDA, publicado el 15 marzo 2008</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0"/>
          <w:numId w:val="128"/>
        </w:numPr>
        <w:spacing w:after="0" w:line="240" w:lineRule="auto"/>
        <w:contextualSpacing/>
        <w:jc w:val="both"/>
        <w:rPr>
          <w:rFonts w:ascii="Arial" w:eastAsia="Calibri" w:hAnsi="Arial" w:cs="Arial"/>
          <w:lang w:val="es-ES"/>
        </w:rPr>
      </w:pPr>
      <w:r w:rsidRPr="006312E8">
        <w:rPr>
          <w:rFonts w:ascii="Arial" w:eastAsia="Calibri" w:hAnsi="Arial" w:cs="Arial"/>
          <w:lang w:val="es-ES"/>
        </w:rPr>
        <w:t>Inscripción, aclaración o rectificación de áreas, linderos y/o medidas perimétricas.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0"/>
          <w:numId w:val="128"/>
        </w:numPr>
        <w:spacing w:after="0" w:line="240" w:lineRule="auto"/>
        <w:contextualSpacing/>
        <w:jc w:val="both"/>
        <w:rPr>
          <w:rFonts w:ascii="Arial" w:eastAsia="Calibri" w:hAnsi="Arial" w:cs="Arial"/>
          <w:lang w:val="es-ES"/>
        </w:rPr>
      </w:pPr>
      <w:r w:rsidRPr="006312E8">
        <w:rPr>
          <w:rFonts w:ascii="Arial" w:eastAsia="Calibri" w:hAnsi="Arial" w:cs="Arial"/>
          <w:lang w:val="es-ES"/>
        </w:rPr>
        <w:t>Inscripción o modificación de la lotización.</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0"/>
          <w:numId w:val="128"/>
        </w:numPr>
        <w:spacing w:after="0" w:line="240" w:lineRule="auto"/>
        <w:contextualSpacing/>
        <w:jc w:val="both"/>
        <w:rPr>
          <w:rFonts w:ascii="Arial" w:eastAsia="Calibri" w:hAnsi="Arial" w:cs="Arial"/>
          <w:lang w:val="es-ES"/>
        </w:rPr>
      </w:pPr>
      <w:r w:rsidRPr="006312E8">
        <w:rPr>
          <w:rFonts w:ascii="Arial" w:eastAsia="Calibri" w:hAnsi="Arial" w:cs="Arial"/>
          <w:lang w:val="es-ES"/>
        </w:rPr>
        <w:t>Independizaciones, acumulaciones, desmembraciones y fraccionamientos.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0"/>
          <w:numId w:val="128"/>
        </w:numPr>
        <w:spacing w:after="0" w:line="240" w:lineRule="auto"/>
        <w:contextualSpacing/>
        <w:jc w:val="both"/>
        <w:rPr>
          <w:rFonts w:ascii="Arial" w:eastAsia="Calibri" w:hAnsi="Arial" w:cs="Arial"/>
          <w:lang w:val="es-ES"/>
        </w:rPr>
      </w:pPr>
      <w:r w:rsidRPr="006312E8">
        <w:rPr>
          <w:rFonts w:ascii="Arial" w:eastAsia="Calibri" w:hAnsi="Arial" w:cs="Arial"/>
          <w:lang w:val="es-ES"/>
        </w:rPr>
        <w:t>Numeración.</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0"/>
          <w:numId w:val="128"/>
        </w:numPr>
        <w:spacing w:after="0" w:line="240" w:lineRule="auto"/>
        <w:contextualSpacing/>
        <w:jc w:val="both"/>
        <w:rPr>
          <w:rFonts w:ascii="Arial" w:eastAsia="Calibri" w:hAnsi="Arial" w:cs="Arial"/>
          <w:lang w:val="es-ES"/>
        </w:rPr>
      </w:pPr>
      <w:r w:rsidRPr="006312E8">
        <w:rPr>
          <w:rFonts w:ascii="Arial" w:eastAsia="Calibri" w:hAnsi="Arial" w:cs="Arial"/>
          <w:lang w:val="es-ES"/>
        </w:rPr>
        <w:t>Cancelación de inscripciones o anotaciones relacionadas a derechos personales o reales, incluyendo los de garantía que conforme a ley se encuentren extinguidos.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0"/>
          <w:numId w:val="128"/>
        </w:numPr>
        <w:spacing w:after="0" w:line="240" w:lineRule="auto"/>
        <w:contextualSpacing/>
        <w:jc w:val="both"/>
        <w:rPr>
          <w:rFonts w:ascii="Arial" w:eastAsia="Calibri" w:hAnsi="Arial" w:cs="Arial"/>
          <w:lang w:val="es-ES"/>
        </w:rPr>
      </w:pPr>
      <w:r w:rsidRPr="006312E8">
        <w:rPr>
          <w:rFonts w:ascii="Arial" w:eastAsia="Calibri" w:hAnsi="Arial" w:cs="Arial"/>
          <w:lang w:val="es-ES"/>
        </w:rPr>
        <w:t>Cancelación de cargas, gravámenes, limitaciones u otras restricciones al uso de la posesión y/o propiedad que conforme a ley se encuentran extinguidas y que afecten el libre uso y disponibilidad de los inmuebles.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0"/>
          <w:numId w:val="128"/>
        </w:numPr>
        <w:spacing w:after="0" w:line="240" w:lineRule="auto"/>
        <w:contextualSpacing/>
        <w:jc w:val="both"/>
        <w:rPr>
          <w:rFonts w:ascii="Arial" w:eastAsia="Calibri" w:hAnsi="Arial" w:cs="Arial"/>
          <w:lang w:val="es-ES"/>
        </w:rPr>
      </w:pPr>
      <w:r w:rsidRPr="006312E8">
        <w:rPr>
          <w:rFonts w:ascii="Arial" w:eastAsia="Calibri" w:hAnsi="Arial" w:cs="Arial"/>
          <w:lang w:val="es-ES"/>
        </w:rPr>
        <w:t>Constitución de servidumbres activas y pasivas.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0"/>
          <w:numId w:val="128"/>
        </w:numPr>
        <w:spacing w:after="0" w:line="240" w:lineRule="auto"/>
        <w:contextualSpacing/>
        <w:jc w:val="both"/>
        <w:rPr>
          <w:rFonts w:ascii="Arial" w:eastAsia="Calibri" w:hAnsi="Arial" w:cs="Arial"/>
          <w:lang w:val="es-ES"/>
        </w:rPr>
      </w:pPr>
      <w:r w:rsidRPr="006312E8">
        <w:rPr>
          <w:rFonts w:ascii="Arial" w:eastAsia="Calibri" w:hAnsi="Arial" w:cs="Arial"/>
          <w:lang w:val="es-ES"/>
        </w:rPr>
        <w:t>Cualquier derecho real cuya titularidad corresponda al Estado o a las entidades públicas.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0"/>
          <w:numId w:val="128"/>
        </w:numPr>
        <w:spacing w:after="0" w:line="240" w:lineRule="auto"/>
        <w:contextualSpacing/>
        <w:jc w:val="both"/>
        <w:rPr>
          <w:rFonts w:ascii="Arial" w:eastAsia="Calibri" w:hAnsi="Arial" w:cs="Arial"/>
          <w:lang w:val="es-ES"/>
        </w:rPr>
      </w:pPr>
      <w:r w:rsidRPr="006312E8">
        <w:rPr>
          <w:rFonts w:ascii="Arial" w:eastAsia="Calibri" w:hAnsi="Arial" w:cs="Arial"/>
          <w:lang w:val="es-ES"/>
        </w:rPr>
        <w:t>Actualización del destino de los aportes reglamentarios.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0"/>
          <w:numId w:val="128"/>
        </w:numPr>
        <w:spacing w:after="0" w:line="240" w:lineRule="auto"/>
        <w:contextualSpacing/>
        <w:jc w:val="both"/>
        <w:rPr>
          <w:rFonts w:ascii="Arial" w:eastAsia="Calibri" w:hAnsi="Arial" w:cs="Arial"/>
          <w:lang w:val="es-ES"/>
        </w:rPr>
      </w:pPr>
      <w:r w:rsidRPr="006312E8">
        <w:rPr>
          <w:rFonts w:ascii="Arial" w:eastAsia="Calibri" w:hAnsi="Arial" w:cs="Arial"/>
          <w:lang w:val="es-ES"/>
        </w:rPr>
        <w:t>Cualquier otro acto cuya inscripción sea necesaria para el saneamiento legal de los inmuebles de propiedad estatal.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Artículo modificado por la Única Disposición Complementaria Modificatoria del Decreto Supremo Nº 007-2008-VIVIENDA, publicado el 15 marzo 2008</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8.-</w:t>
      </w:r>
      <w:r w:rsidRPr="006312E8">
        <w:rPr>
          <w:rFonts w:ascii="Arial" w:eastAsia="Calibri" w:hAnsi="Arial" w:cs="Arial"/>
          <w:lang w:val="es-ES"/>
        </w:rPr>
        <w:t xml:space="preserve"> Las entidades públicas deberán publicar por una (01) vez en el Diario Oficial “El Peruano” y en otro de circulación regional, así como en la Página Web institucional, la relación de bienes y actos materia de saneamiento.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Los terceros que se sientan afectados en algún derecho podrán oponerse judicialmente a la inscripción definitiva.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El ejercicio del derecho de oposición suspende el proceso de inscripción registral definitiva, quedando vigente la inscripción provisional hasta que se resuelva la oposición judicial.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Cuando la afectada sea una entidad estatal, ésta podrá solicitar ante la SBN la oposición del trámite del saneamiento promovido. Esta solicitud suspenderá el proceso de inscripción registral definitiva hasta su resolución por ésta, la que deberá pronunciarse en un plazo no mayor de treinta (30) días hábiles.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La Resolución de la SBN tiene mérito suficiente para su inscripción registral definitiva a favor de la entidad estatal que señale.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Transcurrido el plazo antes indicado sin pronunciamiento de la SBN, el Registrador, a solicitud de la entidad interesada y por el solo mérito de la verificación del transcurso del plazo, procederá a la inscripción definitiva del acto registral.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En caso de que la SBN resulte ser la entidad afectada por el trámite de saneamiento a cargo de otra entidad, corresponde al Órgano de Revisión de la SBN resolver la oposición formulada por aquélla."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Artículo modificado por la Única Disposición Complementaria Modificatoria del Decreto Supremo Nº 007-2008-VIVIENDA, publicado el 15 marzo 2008</w:t>
      </w:r>
    </w:p>
    <w:p w:rsidR="006312E8" w:rsidRPr="006312E8" w:rsidRDefault="006312E8" w:rsidP="006312E8">
      <w:pPr>
        <w:spacing w:after="0" w:line="240" w:lineRule="auto"/>
        <w:contextualSpacing/>
        <w:jc w:val="both"/>
        <w:rPr>
          <w:rFonts w:ascii="Arial" w:eastAsia="Calibri" w:hAnsi="Arial" w:cs="Arial"/>
          <w:sz w:val="16"/>
          <w:szCs w:val="16"/>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Artículo 9.- Efectuada la publicación referida en el artículo precedente y dentro de un plazo no mayor a sesenta (60) días calendarios, las entidades públicas deberán presentar ante el Registro de Predios la solicitud de anotación preventiva adjuntando los siguientes documentos: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23"/>
        </w:num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Declaración Jurada mencionando el documento en el que sustenta su derecho y manifestando que los inmuebles y derechos materia de los actos que se pretenden inscribir, rectificar o aclarar en el Registro, no son materia de procedimiento judicial alguno en el que se cuestione la titularidad del bien.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23"/>
        </w:num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La memoria descriptiva correspondiente a la realidad actual del área, linderos y medidas perimétricas del terreno, así como de las construcciones existentes con independencia de las fechas en que pudieran haberse efectuado, las que se regularizarán con este único documento.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23"/>
        </w:num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Los planos de ubicación, perimétrico y de distribución.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23"/>
        </w:num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Declaración jurada del verificador responsable, dando fe de todos los datos técnicos necesarios para la inscripción, así como de los planos presentados.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23"/>
        </w:num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Copia de la publicación.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23"/>
        </w:num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Cualquier documento que, adicionalmente, permita el saneamiento legal de los inmuebles de propiedad estatal.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Los planos, memorias descriptivas y demás documentos técnicos será necesario presentarlos siempre y cuando se modifique la situación técnica del inmueble.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Artículo modificado por la Única Disposición Complementaria Modificatoria del Decreto Supremo Nº 007-2008-VIVIENDA, publicado el 15 marzo 2008</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10.-</w:t>
      </w:r>
      <w:r w:rsidRPr="006312E8">
        <w:rPr>
          <w:rFonts w:ascii="Arial" w:eastAsia="Calibri" w:hAnsi="Arial" w:cs="Arial"/>
          <w:lang w:val="es-ES"/>
        </w:rPr>
        <w:t xml:space="preserve"> En el caso que la entidad cuente con títulos comprobatorios de dominio que por sí solos no son suficientes para su inscripción registral, el dominio se inscribirá a favor del Estado representado por dicha entidad.</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Cuando la entidad se encuentre ejerciendo actos posesorios sin contar con títulos comprobatorios de dominio, la inscripción de dominio del predio se efectuará a favor del Estado, inscribiéndose en el rubro correspondiente las cargas y gravámenes que hubieren.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Las inscripciones que no se efectúen según lo dispuesto en este artículo, deberán ser rectificadas a solicitud de la entidad que efectuó el saneamiento o, en su defecto, a solicitud del Gobierno Regional o de la SBN.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Posteriormente el Texto del Artículo 10 de la Única Disposición Complementaria Modificatoria del Decreto Supremo N° 007-2008-VIVIENDA, fue modificado por el Artículo 1 del Decreto Supremo Nº 017-2009-VIVIENDA, publicado el 24 octubre 2009</w:t>
      </w:r>
    </w:p>
    <w:p w:rsidR="006312E8" w:rsidRPr="006312E8" w:rsidRDefault="006312E8" w:rsidP="006312E8">
      <w:pPr>
        <w:spacing w:after="0" w:line="240" w:lineRule="auto"/>
        <w:contextualSpacing/>
        <w:jc w:val="both"/>
        <w:rPr>
          <w:rFonts w:ascii="Arial" w:eastAsia="Calibri" w:hAnsi="Arial" w:cs="Arial"/>
          <w:b/>
          <w:sz w:val="16"/>
          <w:szCs w:val="16"/>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11.-</w:t>
      </w:r>
      <w:r w:rsidRPr="006312E8">
        <w:rPr>
          <w:rFonts w:ascii="Arial" w:eastAsia="Calibri" w:hAnsi="Arial" w:cs="Arial"/>
          <w:lang w:val="es-ES"/>
        </w:rPr>
        <w:t xml:space="preserve"> Las inscripciones registrales a que se refiere el Artículo 7 del presente Decreto Supremo, serán realizadas de manera provisional. Transcurrido el plazo de treinta (30) días calendario de efectuada la inscripción provisional sin que haya mediado oposición de una entidad estatal ante la SBN o judicial de terceras personas, procederá la conversión en inscripción definitiva a solicitud de las citadas entidades públicas.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Artículo modificado por la Única Disposición Complementaria Modificatoria del Decreto Supremo N° 007-2008-VIVIENDA, publicado el 15 marzo 2008</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12.-</w:t>
      </w:r>
      <w:r w:rsidRPr="006312E8">
        <w:rPr>
          <w:rFonts w:ascii="Arial" w:eastAsia="Calibri" w:hAnsi="Arial" w:cs="Arial"/>
          <w:lang w:val="es-ES"/>
        </w:rPr>
        <w:t xml:space="preserve"> Una vez realizada la inscripción en los Registros Públicos de los bienes de propiedad estatal de las entidades públicas, así como las de los bienes de su propiedad, éstas procederán a su respectivo registro contable. Dicha información, así como la constancia de la inscripción registral correspondiente, deberá remitirse a la Superintendencia de Bienes Nacionales para su respectivo registro, en el lapso de 15 días calendario contados a partir de la inscripción registral, bajo responsabilidad de la Oficina de Administración y Finanzas o su similar de la entidad estatal respectiva.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Las entidades públicas que tuvieran inscritos todos o algunos de los bienes de su propiedad, o de los encargados a su administración, deberán proceder a su registro contable de acuerdo con las normas generales de Contabilidad Gubernamental y, complementariamente, con lo establecido en la Directiva Nº 001-98/SBN-OAJ, Directiva para el registro y control contable de los bienes de propiedad del Estado, aprobada por Resolución Nº 216-98/SBN. La información contable deberá ser remitida a la SBN en el lapso de 15 días calendario contados a partir de la publicación del presente Decreto Supremo.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13.-</w:t>
      </w:r>
      <w:r w:rsidRPr="006312E8">
        <w:rPr>
          <w:rFonts w:ascii="Arial" w:eastAsia="Calibri" w:hAnsi="Arial" w:cs="Arial"/>
          <w:lang w:val="es-ES"/>
        </w:rPr>
        <w:t xml:space="preserve"> El presente Decreto Supremo será refrendado por el Ministro de Economía y Finanzas.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DISPOSICIONES COMPLEMENTARIAS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Primera.-</w:t>
      </w:r>
      <w:r w:rsidRPr="006312E8">
        <w:rPr>
          <w:rFonts w:ascii="Arial" w:eastAsia="Calibri" w:hAnsi="Arial" w:cs="Arial"/>
          <w:lang w:val="es-ES"/>
        </w:rPr>
        <w:t xml:space="preserve"> El saneamiento técnico, legal y contable de los bienes de propiedad estatal no autoriza a las entidades estatales a disponer libremente de los bienes saneados.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Segunda.-</w:t>
      </w:r>
      <w:r w:rsidRPr="006312E8">
        <w:rPr>
          <w:rFonts w:ascii="Arial" w:eastAsia="Calibri" w:hAnsi="Arial" w:cs="Arial"/>
          <w:lang w:val="es-ES"/>
        </w:rPr>
        <w:t xml:space="preserve"> Las entidades públicas que gozan de competencia y autonomía patrimonial establecida expresamente por ley aplicarán los procedimientos establecidos en el presente Decreto Supremo, respecto de los bienes de su propiedad y que sean administrados directamente por ellas, en cumplimiento de las normas legales vigentes.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Tercera.-</w:t>
      </w:r>
      <w:r w:rsidRPr="006312E8">
        <w:rPr>
          <w:rFonts w:ascii="Arial" w:eastAsia="Calibri" w:hAnsi="Arial" w:cs="Arial"/>
          <w:lang w:val="es-ES"/>
        </w:rPr>
        <w:t xml:space="preserve"> Las entidades públicas mencionadas en el Artículo 2 del presente Decreto Supremo deberán remitir a la SBN, en un plazo de 60 días calendario contados a partir de la vigencia del presente Decreto Supremo, una relación detallada de los bienes a su cargo indicando la situación legal en la que se encuentran, utilizando el formato que aprobará la SBN mediante Directiva.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 SBN, en un plazo de 30 días calendario contados a partir de la presentación del formato señalado en el párrafo anterior, establecerá mediante Resolución el cronograma de saneamiento de los bienes de la entidad correspondiente.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Cuarta.-</w:t>
      </w:r>
      <w:r w:rsidRPr="006312E8">
        <w:rPr>
          <w:rFonts w:ascii="Arial" w:eastAsia="Calibri" w:hAnsi="Arial" w:cs="Arial"/>
          <w:lang w:val="es-ES"/>
        </w:rPr>
        <w:t xml:space="preserve"> La SBN se encargará de realizar los programas de capacitación necesarios para que las entidades públicas puedan realizar el saneamiento de sus inmuebles; y, de prestar la asesoría técnica que requieran las mismas para dicho fin.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Quinta.-</w:t>
      </w:r>
      <w:r w:rsidRPr="006312E8">
        <w:rPr>
          <w:rFonts w:ascii="Arial" w:eastAsia="Calibri" w:hAnsi="Arial" w:cs="Arial"/>
          <w:lang w:val="es-ES"/>
        </w:rPr>
        <w:t xml:space="preserve"> Establézcase que los Organismos Públicos e Instituciones Públicas descentralizadas, integran el Gobierno Central, por lo que sus bienes son de propiedad estatal.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Sexta.-</w:t>
      </w:r>
      <w:r w:rsidRPr="006312E8">
        <w:rPr>
          <w:rFonts w:ascii="Arial" w:eastAsia="Calibri" w:hAnsi="Arial" w:cs="Arial"/>
          <w:lang w:val="es-ES"/>
        </w:rPr>
        <w:t xml:space="preserve"> La SBN queda facultada para dictar las normas reglamentarias y las directivas necesarias para la aplicación del presente Decreto Supremo.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Dado en la Casa de Gobierno, en la ciudad de Lima a los dos días del mes de julio del año dos mil uno.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b/>
        <w:t>VALENTIN PANIAGUA CORAZAO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Presidente Constitucional de la República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b/>
        <w:t>JAVIER SILVA RUETE</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Ministro de Economía y Finanzas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E104C8">
      <w:pPr>
        <w:pStyle w:val="TITO2"/>
      </w:pPr>
      <w:bookmarkStart w:id="328" w:name="_Toc392856232"/>
      <w:bookmarkStart w:id="329" w:name="_Toc399335506"/>
      <w:bookmarkStart w:id="330" w:name="_Toc421025453"/>
      <w:bookmarkStart w:id="331" w:name="_Toc470855556"/>
      <w:bookmarkStart w:id="332" w:name="DS1362001"/>
      <w:r w:rsidRPr="006312E8">
        <w:t>DECRETO SUPREMO Nº 136-2001-EF</w:t>
      </w:r>
      <w:bookmarkEnd w:id="328"/>
      <w:bookmarkEnd w:id="329"/>
      <w:bookmarkEnd w:id="330"/>
      <w:bookmarkEnd w:id="331"/>
    </w:p>
    <w:bookmarkEnd w:id="332"/>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Amplían alcances de Reglamento del Saneamiento Técnico, Legal y Contable de los inmuebles de propiedad de las entidades públicas a todos los organismos e instituciones a que se refiere la Ley Nº 27493</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right"/>
        <w:rPr>
          <w:rFonts w:ascii="Arial" w:eastAsia="Calibri" w:hAnsi="Arial" w:cs="Arial"/>
          <w:b/>
          <w:lang w:val="es-ES"/>
        </w:rPr>
      </w:pPr>
      <w:r w:rsidRPr="006312E8">
        <w:rPr>
          <w:rFonts w:ascii="Arial" w:eastAsia="Calibri" w:hAnsi="Arial" w:cs="Arial"/>
          <w:b/>
          <w:lang w:val="es-ES"/>
        </w:rPr>
        <w:t>Fecha de publicación: 10-07-2001</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EL PRESIDENTE DE LA REPÚBLICA</w:t>
      </w: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CONSIDERANDO: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mediante Decreto de Urgencia Nº 071-2001 se declaró de interés nacional el saneamiento técnico, legal y contable de los inmuebles de propiedad de las entidades públicas;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mediante Ley Nº 27493, se declara extensiva la Ley Nº 26512, Ley de Saneamiento de los Inmuebles del Sector Educación y Sector Transportes, Comunicaciones, Vivienda y Construcción a todos los organismos e instituciones del sector público;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mediante Decreto Supremo Nº 130-2001/EF se aprobó el Reglamento a que se refiere el Artículo 5 del Decreto de Urgencia Nº 071-2001 relativo al saneamiento técnico, legal y contable de los inmuebles de propiedad de las entidades públicas;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es necesario que el citado Reglamento sea de aplicación para todas las entidades públicas en general, uniformizando así los criterios reglamentarios;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De conformidad con lo dispuesto por el Artículo 118 de la Constitución Política del Perú;</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DECRETA:</w:t>
      </w: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1.-</w:t>
      </w:r>
      <w:r w:rsidRPr="006312E8">
        <w:rPr>
          <w:rFonts w:ascii="Arial" w:eastAsia="Calibri" w:hAnsi="Arial" w:cs="Arial"/>
          <w:lang w:val="es-ES"/>
        </w:rPr>
        <w:t xml:space="preserve"> Declárese extensivo el Decreto Supremo Nº 130-2001-EF, Reglamento del Saneamiento Técnico, Legal y Contable de los inmuebles de propiedad de las entidades públicas a todos los organismos e instituciones del sector público a que se refiere la Ley Nº 27493.</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2.-</w:t>
      </w:r>
      <w:r w:rsidRPr="006312E8">
        <w:rPr>
          <w:rFonts w:ascii="Arial" w:eastAsia="Calibri" w:hAnsi="Arial" w:cs="Arial"/>
          <w:lang w:val="es-ES"/>
        </w:rPr>
        <w:t xml:space="preserve"> El presente Decreto Supremo será refrendado por el Presidente del Consejo de Ministros y el Ministro de Economía y Finanzas.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Dado en la Casa de Gobierno, a los nueve días del mes de julio del año dos mil uno.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VALENTIN PANIAGUA CORAZAO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b/>
      </w:r>
      <w:r w:rsidRPr="006312E8">
        <w:rPr>
          <w:rFonts w:ascii="Arial" w:eastAsia="Calibri" w:hAnsi="Arial" w:cs="Arial"/>
          <w:lang w:val="es-ES"/>
        </w:rPr>
        <w:t>Presidente Constitucional de la República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JAVIER PÉREZ DE CUÉLLAR</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b/>
      </w:r>
      <w:r w:rsidRPr="006312E8">
        <w:rPr>
          <w:rFonts w:ascii="Arial" w:eastAsia="Calibri" w:hAnsi="Arial" w:cs="Arial"/>
          <w:lang w:val="es-ES"/>
        </w:rPr>
        <w:t>Presidente del Consejo de Ministros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JAVIER SILVA RUETE</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b/>
      </w:r>
      <w:r w:rsidRPr="006312E8">
        <w:rPr>
          <w:rFonts w:ascii="Arial" w:eastAsia="Calibri" w:hAnsi="Arial" w:cs="Arial"/>
          <w:lang w:val="es-ES"/>
        </w:rPr>
        <w:t>Ministro de Economía y Finanzas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E104C8">
      <w:pPr>
        <w:pStyle w:val="TITO2"/>
      </w:pPr>
      <w:bookmarkStart w:id="333" w:name="_Toc392856234"/>
      <w:bookmarkStart w:id="334" w:name="_Toc399335508"/>
      <w:bookmarkStart w:id="335" w:name="_Toc421025454"/>
      <w:bookmarkStart w:id="336" w:name="_Toc470855557"/>
      <w:bookmarkStart w:id="337" w:name="DU0712001"/>
      <w:r w:rsidRPr="006312E8">
        <w:t>DECRETO DE URGENCIA Nº 071-2001</w:t>
      </w:r>
      <w:bookmarkEnd w:id="333"/>
      <w:bookmarkEnd w:id="334"/>
      <w:bookmarkEnd w:id="335"/>
      <w:bookmarkEnd w:id="336"/>
    </w:p>
    <w:bookmarkEnd w:id="337"/>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Declaran de interés nacional el saneamiento técnico, legal y contable de los inmuebles de propiedad de las entidades públicas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right"/>
        <w:rPr>
          <w:rFonts w:ascii="Arial" w:eastAsia="Calibri" w:hAnsi="Arial" w:cs="Arial"/>
          <w:b/>
          <w:lang w:val="es-ES"/>
        </w:rPr>
      </w:pPr>
      <w:r w:rsidRPr="006312E8">
        <w:rPr>
          <w:rFonts w:ascii="Arial" w:eastAsia="Calibri" w:hAnsi="Arial" w:cs="Arial"/>
          <w:b/>
          <w:lang w:val="es-ES"/>
        </w:rPr>
        <w:t>Fecha de publicación: 19-06-2001</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6312E8" w:rsidP="006312E8">
      <w:pPr>
        <w:numPr>
          <w:ilvl w:val="0"/>
          <w:numId w:val="8"/>
        </w:numPr>
        <w:spacing w:after="0" w:line="240" w:lineRule="auto"/>
        <w:ind w:left="426" w:hanging="284"/>
        <w:contextualSpacing/>
        <w:jc w:val="both"/>
        <w:rPr>
          <w:rFonts w:ascii="Arial" w:eastAsia="Calibri" w:hAnsi="Arial" w:cs="Arial"/>
          <w:b/>
          <w:color w:val="4F6228"/>
          <w:sz w:val="16"/>
          <w:szCs w:val="16"/>
        </w:rPr>
      </w:pPr>
      <w:r w:rsidRPr="006312E8">
        <w:rPr>
          <w:rFonts w:ascii="Arial" w:eastAsia="Calibri" w:hAnsi="Arial" w:cs="Arial"/>
          <w:b/>
          <w:color w:val="4F6228"/>
          <w:sz w:val="16"/>
          <w:szCs w:val="16"/>
        </w:rPr>
        <w:t>Decreto Supremo Nº 130-2001-EF</w:t>
      </w:r>
    </w:p>
    <w:p w:rsidR="006312E8" w:rsidRPr="006312E8" w:rsidRDefault="006312E8" w:rsidP="006312E8">
      <w:pPr>
        <w:numPr>
          <w:ilvl w:val="0"/>
          <w:numId w:val="8"/>
        </w:numPr>
        <w:spacing w:after="0" w:line="240" w:lineRule="auto"/>
        <w:ind w:left="426" w:hanging="284"/>
        <w:contextualSpacing/>
        <w:jc w:val="both"/>
        <w:rPr>
          <w:rFonts w:ascii="Arial" w:eastAsia="Calibri" w:hAnsi="Arial" w:cs="Arial"/>
          <w:b/>
          <w:color w:val="4F6228"/>
          <w:sz w:val="16"/>
          <w:szCs w:val="16"/>
        </w:rPr>
      </w:pPr>
      <w:r w:rsidRPr="006312E8">
        <w:rPr>
          <w:rFonts w:ascii="Arial" w:eastAsia="Calibri" w:hAnsi="Arial" w:cs="Arial"/>
          <w:b/>
          <w:color w:val="4F6228"/>
          <w:sz w:val="16"/>
          <w:szCs w:val="16"/>
        </w:rPr>
        <w:t>Decreto Supremo Nº 136-2001-EF</w:t>
      </w:r>
    </w:p>
    <w:p w:rsidR="006312E8" w:rsidRPr="006312E8" w:rsidRDefault="006312E8" w:rsidP="006312E8">
      <w:pPr>
        <w:numPr>
          <w:ilvl w:val="0"/>
          <w:numId w:val="8"/>
        </w:numPr>
        <w:spacing w:after="0" w:line="240" w:lineRule="auto"/>
        <w:ind w:left="426" w:hanging="284"/>
        <w:contextualSpacing/>
        <w:jc w:val="both"/>
        <w:rPr>
          <w:rFonts w:ascii="Arial" w:eastAsia="Calibri" w:hAnsi="Arial" w:cs="Arial"/>
          <w:b/>
          <w:color w:val="4F6228"/>
          <w:sz w:val="16"/>
          <w:szCs w:val="16"/>
        </w:rPr>
      </w:pPr>
      <w:r w:rsidRPr="006312E8">
        <w:rPr>
          <w:rFonts w:ascii="Arial" w:eastAsia="Calibri" w:hAnsi="Arial" w:cs="Arial"/>
          <w:b/>
          <w:color w:val="4F6228"/>
          <w:sz w:val="16"/>
          <w:szCs w:val="16"/>
        </w:rPr>
        <w:t>Decreto Supremo Nº 007-2008-VIVIENDA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EL PRESIDENTE DE LA REPÚBLICA</w:t>
      </w: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CONSIDERANDO: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la Cuarta Disposición Final del Decreto Ley Nº 25738, Ley Orgánica del Ministerio de la Presidencia, modificada por Decreto Ley Nº 2538, creó la Superintendencia de Bienes Nacionales (SBN), como un organismo público descentralizado del Ministerio de la Presidencia, con la finalidad de llevar el registro, control y administración de los bienes inmuebles y muebles que comprenden el patrimonio estatal;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la Ley Nº 27395 adscribió la Superintendencia de Bienes Nacionales (SBN) al Ministerio de Economía y Finanzas a partir del 1 de enero del 2001;</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para el adecuado desarrollo de sus funciones es necesario que la Superintendencia de Bienes Nacionales (SBN) tenga la autonomía económica, presupuestal, financiera, técnica y funcional que permita la ejecución de los actos de administración, control y disposición de los bienes de propiedad estatal cuya administración está a su cargo, con excepción de los bienes de propiedad municipal y aquellos que sean materia de procesos de formalización;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es urgente contar con las facilidades institucionales para resolver el alto número de expedientes en trámite de legalización, que permita ordenar y establecer en forma precisa el patrimonio del Estado que se encuentra bajo la administración de la Superintendencia de Bienes Nacionales;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es necesario dictar medidas urgentes a fin de dar transparencia en el manejo administrativo, uso y enajenación de los bienes de propiedad fiscal; así como una adecuada rentabilidad y óptima utilización de los recursos y patrimonio del Estado por parte de las entidades que conforman la estructura administrativa del mismo;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adicionalmente, es necesario aclarar el Decreto de Urgencia Nº 023-2001, por el que se estableció que parte de los ingresos obtenidos por la venta de inmuebles de empresas del Estado constituyen recursos del Fondo Consolidado de Reservas Previsionales (FCR) y del Fondo de Estabilización Fiscal;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debe aclararse de interés nacional el saneamiento técnico, legal y contable de los inmuebles de propiedad de las entidades públicas en general;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De conformidad con lo establecido por el inciso 19) del Artículo 118 de la Constitución Política del Perú;</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Con el voto aprobatorio del Consejo de Ministros; y,</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Con cargo de dar cuenta al Congreso de la República;</w:t>
      </w:r>
    </w:p>
    <w:p w:rsidR="006312E8" w:rsidRPr="006312E8" w:rsidRDefault="006312E8" w:rsidP="006312E8">
      <w:pPr>
        <w:spacing w:after="0" w:line="240" w:lineRule="auto"/>
        <w:contextualSpacing/>
        <w:jc w:val="both"/>
        <w:rPr>
          <w:rFonts w:ascii="Arial" w:eastAsia="Calibri" w:hAnsi="Arial" w:cs="Arial"/>
          <w:lang w:val="es-ES"/>
        </w:rPr>
      </w:pPr>
    </w:p>
    <w:p w:rsidR="006312E8" w:rsidRDefault="006312E8" w:rsidP="006312E8">
      <w:pPr>
        <w:spacing w:after="0" w:line="240" w:lineRule="auto"/>
        <w:contextualSpacing/>
        <w:jc w:val="both"/>
        <w:rPr>
          <w:rFonts w:ascii="Arial" w:eastAsia="Calibri" w:hAnsi="Arial" w:cs="Arial"/>
          <w:b/>
          <w:lang w:val="es-ES"/>
        </w:rPr>
      </w:pPr>
    </w:p>
    <w:p w:rsidR="00747E3E" w:rsidRPr="006312E8" w:rsidRDefault="00747E3E"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DECRETA: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i/>
          <w:lang w:val="es-ES"/>
        </w:rPr>
        <w:t xml:space="preserve">Artículo 1.- Objeto de la norma </w:t>
      </w:r>
      <w:r w:rsidRPr="006312E8">
        <w:rPr>
          <w:rFonts w:ascii="Arial" w:eastAsia="Calibri" w:hAnsi="Arial" w:cs="Arial"/>
          <w:b/>
          <w:lang w:val="es-ES"/>
        </w:rPr>
        <w:t>(derogado) (*)</w:t>
      </w:r>
    </w:p>
    <w:p w:rsidR="006312E8" w:rsidRPr="006312E8" w:rsidRDefault="006312E8" w:rsidP="006312E8">
      <w:pPr>
        <w:spacing w:after="0" w:line="240" w:lineRule="auto"/>
        <w:contextualSpacing/>
        <w:jc w:val="both"/>
        <w:rPr>
          <w:rFonts w:ascii="Arial" w:eastAsia="Calibri" w:hAnsi="Arial" w:cs="Arial"/>
          <w:b/>
          <w:sz w:val="16"/>
          <w:szCs w:val="16"/>
          <w:lang w:val="es-ES"/>
        </w:rPr>
      </w:pPr>
    </w:p>
    <w:p w:rsidR="006312E8" w:rsidRPr="006312E8" w:rsidRDefault="006312E8" w:rsidP="006312E8">
      <w:pPr>
        <w:spacing w:after="0" w:line="240" w:lineRule="auto"/>
        <w:contextualSpacing/>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Artículo derogado por la Única Disposición Derogatoria de la Ley N° 29151, publicada el 14 diciembre 2007, la misma que de conformidad con su Única Disposición Final entrará en vigencia a partir de la fecha de publicación de su reglamento.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2.- Recursos para el Tesoro Público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Del producto de la venta de los bienes de propiedad estatal a cargo de la administración de la Superintendencia de Bienes Nacionales (SBN) le corresponderá el 3% a esta entidad y el 97% restante será destinado al Tesoro Público.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xml:space="preserve">(*) Confrontar con la Ley Nº 29151, publicada el 20 de julio de 2010 y el Decreto Supremo N° 007-2008-VIVIENDA, publicado el 15 marzo 2008 (art. 79)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3.- Modificatorias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29"/>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Modifíquese el Artículo 4 del Decreto Ley Nº 18806, el que quedará redactado en los siguientes términos:</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w:t>
      </w:r>
      <w:r w:rsidRPr="006312E8">
        <w:rPr>
          <w:rFonts w:ascii="Arial" w:eastAsia="Calibri" w:hAnsi="Arial" w:cs="Arial"/>
          <w:b/>
          <w:lang w:val="es-ES"/>
        </w:rPr>
        <w:t>Artículo 4.-</w:t>
      </w:r>
      <w:r w:rsidRPr="006312E8">
        <w:rPr>
          <w:rFonts w:ascii="Arial" w:eastAsia="Calibri" w:hAnsi="Arial" w:cs="Arial"/>
          <w:lang w:val="es-ES"/>
        </w:rPr>
        <w:t xml:space="preserve"> Todas las operaciones a que se refiere el presente Decreto Ley serán aprobadas por Resolución de la Superintendencia de Bienes Nacionales (SBN)”.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29"/>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Modifíquese el Artículo 1 del Decreto Ley Nº 25554, el que quedará redactado en los siguientes términos:</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spacing w:after="0" w:line="240" w:lineRule="auto"/>
        <w:ind w:left="709"/>
        <w:contextualSpacing/>
        <w:jc w:val="both"/>
        <w:rPr>
          <w:rFonts w:ascii="Arial" w:eastAsia="Calibri" w:hAnsi="Arial" w:cs="Arial"/>
          <w:lang w:val="es-ES"/>
        </w:rPr>
      </w:pPr>
      <w:r w:rsidRPr="006312E8">
        <w:rPr>
          <w:rFonts w:ascii="Arial" w:eastAsia="Calibri" w:hAnsi="Arial" w:cs="Arial"/>
          <w:b/>
          <w:lang w:val="es-ES"/>
        </w:rPr>
        <w:t>“Artículo 1.-</w:t>
      </w:r>
      <w:r w:rsidRPr="006312E8">
        <w:rPr>
          <w:rFonts w:ascii="Arial" w:eastAsia="Calibri" w:hAnsi="Arial" w:cs="Arial"/>
          <w:lang w:val="es-ES"/>
        </w:rPr>
        <w:t xml:space="preserve"> A partir de la fecha, las acciones referidas a las primeras inscripciones de dominio, afectaciones en uso, así como las relativas a los demás actos de administración, adquisición y disposición de propiedad estatal a su cargo, serán aprobadas mediante Resolución de la Superintendencia de Bienes Nacionales (SBN), salvo en lo referente a las ventas directas de inmuebles de propiedad estatal que serán aprobadas mediante Resolución Suprema, con informe favorable de la Superintendencia de Bienes Nacionales (SBN).</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Toda venta de bienes inmuebles de propiedad estatal a cargo de la Superintendencia de Bienes Nacionales (SBN) deberá realizarse a valor comercial y de acuerdo a las normas legales y administrativas vigentes.</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En los procesos de titulación de la propiedad informal se aplicarán las normas vigentes para los mismos.” (*)</w:t>
      </w:r>
    </w:p>
    <w:p w:rsidR="006312E8" w:rsidRPr="006312E8" w:rsidRDefault="006312E8" w:rsidP="006312E8">
      <w:pPr>
        <w:spacing w:after="0" w:line="240" w:lineRule="auto"/>
        <w:ind w:left="709"/>
        <w:contextualSpacing/>
        <w:jc w:val="both"/>
        <w:rPr>
          <w:rFonts w:ascii="Arial" w:eastAsia="Calibri" w:hAnsi="Arial" w:cs="Arial"/>
          <w:color w:val="FF0000"/>
          <w:sz w:val="16"/>
          <w:szCs w:val="16"/>
          <w:lang w:val="es-ES"/>
        </w:rPr>
      </w:pPr>
    </w:p>
    <w:p w:rsidR="006312E8" w:rsidRPr="006312E8" w:rsidRDefault="006312E8" w:rsidP="006312E8">
      <w:pPr>
        <w:spacing w:after="0" w:line="240" w:lineRule="auto"/>
        <w:ind w:left="709"/>
        <w:contextualSpacing/>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xml:space="preserve">(*) Confrontar con la Ley N° 29151, publicada el 20 julio 2002; y su reglamento aprobado por el Decreto Supremo N° 007-2008-VIVIENDA, publicado el 15 marzo 2008. (*)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92471C">
      <w:pPr>
        <w:numPr>
          <w:ilvl w:val="0"/>
          <w:numId w:val="129"/>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Modifíquese el Artículo 1 del Decreto de Urgencia Nº 023-2001, el que quedará redactado en los siguientes términos: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w:t>
      </w:r>
      <w:r w:rsidRPr="006312E8">
        <w:rPr>
          <w:rFonts w:ascii="Arial" w:eastAsia="Calibri" w:hAnsi="Arial" w:cs="Arial"/>
          <w:b/>
          <w:lang w:val="es-ES"/>
        </w:rPr>
        <w:t>Artículo 1.-</w:t>
      </w:r>
      <w:r w:rsidRPr="006312E8">
        <w:rPr>
          <w:rFonts w:ascii="Arial" w:eastAsia="Calibri" w:hAnsi="Arial" w:cs="Arial"/>
          <w:lang w:val="es-ES"/>
        </w:rPr>
        <w:t xml:space="preserve"> Los ingresos líquidos obtenidos en el proceso de promoción de la inversión privada a que se refiere el Decreto Legislativo Nº 674, por la venta de los inmuebles a cargo del Comité Especial de Inmueble CEPRI Inmuebles, constituirán recursos de acuerdo a lo siguiente:</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ab/>
        <w:t>- El 75% del Fondo de Estabilización Fiscal.</w:t>
      </w:r>
    </w:p>
    <w:p w:rsidR="006312E8" w:rsidRPr="006312E8" w:rsidRDefault="006312E8" w:rsidP="006312E8">
      <w:p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ab/>
        <w:t>- El 20% del Fondo Consolidado de Reservas Previsionales (FCR).</w:t>
      </w:r>
    </w:p>
    <w:p w:rsidR="006312E8" w:rsidRPr="006312E8" w:rsidRDefault="006312E8" w:rsidP="006312E8">
      <w:p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ab/>
        <w:t>- El 3% de la Superintendencia de Bienes Nacionales.</w:t>
      </w:r>
    </w:p>
    <w:p w:rsidR="006312E8" w:rsidRPr="006312E8" w:rsidRDefault="006312E8" w:rsidP="006312E8">
      <w:p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ab/>
        <w:t>- El 2% del Fondo de Promoción de la Inversión Privada (FOPRI).”  (*)</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spacing w:after="0" w:line="240" w:lineRule="auto"/>
        <w:ind w:left="709"/>
        <w:contextualSpacing/>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xml:space="preserve">(*) Confrontar con la Tercera Disposición Complementaria de la Ley N° 27783, publicada el 20 julio 2002. </w:t>
      </w: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4.- Saneamiento inmobiliario de entidades públicas.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Declárese de interés nacional el saneamiento técnico, legal y contable de los inmuebles de propiedad de las entidades públicas en general.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Las Oficinas Registrales de la Superintendencia Nacional de los Registros Públicos a nivel nacional y las Oficinas del Registro Predial Urbano, procederán a efectuar las inscripciones correspondientes de acuerdo con las condiciones que se establezcan por Decreto Supremo.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5.- Reglamentación</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presente Decreto de Urgencia será reglamentado por Decreto Supremo refrendado por el Ministro de Economía y Finanzas en un plazo no mayor a 45 días calendario a partir de su publicación.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6.- Suspensión de normas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Déjese en suspenso las disposiciones legales que se opongan al presente Decreto de Urgencia.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7.- Refrendo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presente Decreto de Urgencia será refrendado por el Presidente del Consejo de Ministros y por el Ministro de Economía y Finanzas.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Dado en la Casa de Gobierno, en Lima, a los dieciocho días del mes de junio del año dos mil uno.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b/>
        <w:t>VALENTIN PANIAGUA CORAZAO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Presidente Constitucional de la República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b/>
        <w:t>JAVIER PÉREZ DE CUÉLLAR</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Presidente del Consejo de Ministros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b/>
        <w:t>JAVIER SILVA RUETE</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Ministro de Economía y Finanzas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E104C8">
      <w:pPr>
        <w:pStyle w:val="TITO10"/>
      </w:pPr>
      <w:bookmarkStart w:id="338" w:name="_Toc392856235"/>
      <w:bookmarkStart w:id="339" w:name="_Toc399335509"/>
      <w:bookmarkStart w:id="340" w:name="_Toc421025455"/>
      <w:bookmarkStart w:id="341" w:name="_Toc470855558"/>
      <w:r w:rsidRPr="006312E8">
        <w:t>NORMAS SOBRE GOBIERNOS REGIONALES Y LOCALES</w:t>
      </w:r>
      <w:bookmarkEnd w:id="338"/>
      <w:bookmarkEnd w:id="339"/>
      <w:bookmarkEnd w:id="340"/>
      <w:bookmarkEnd w:id="341"/>
    </w:p>
    <w:bookmarkStart w:id="342" w:name="_Toc392856236"/>
    <w:p w:rsidR="006312E8" w:rsidRPr="006312E8" w:rsidRDefault="006312E8" w:rsidP="006312E8">
      <w:pPr>
        <w:spacing w:after="0" w:line="240" w:lineRule="auto"/>
        <w:jc w:val="center"/>
        <w:rPr>
          <w:rFonts w:ascii="Arial" w:eastAsia="Calibri" w:hAnsi="Arial" w:cs="Arial"/>
          <w:b/>
          <w:sz w:val="48"/>
          <w:szCs w:val="48"/>
          <w:lang w:val="es-ES"/>
        </w:rPr>
      </w:pPr>
      <w:r w:rsidRPr="006312E8">
        <w:rPr>
          <w:rFonts w:ascii="Arial" w:eastAsia="Calibri" w:hAnsi="Arial" w:cs="Arial"/>
          <w:b/>
          <w:noProof/>
          <w:sz w:val="48"/>
          <w:szCs w:val="48"/>
          <w:lang w:val="es-MX" w:eastAsia="es-MX"/>
        </w:rPr>
        <mc:AlternateContent>
          <mc:Choice Requires="wps">
            <w:drawing>
              <wp:anchor distT="0" distB="0" distL="114300" distR="114300" simplePos="0" relativeHeight="251673600" behindDoc="0" locked="0" layoutInCell="1" allowOverlap="1" wp14:anchorId="3CBD25F8" wp14:editId="3F6674A2">
                <wp:simplePos x="0" y="0"/>
                <wp:positionH relativeFrom="column">
                  <wp:posOffset>1228090</wp:posOffset>
                </wp:positionH>
                <wp:positionV relativeFrom="paragraph">
                  <wp:posOffset>85725</wp:posOffset>
                </wp:positionV>
                <wp:extent cx="3781425" cy="0"/>
                <wp:effectExtent l="38100" t="36195" r="38100" b="40005"/>
                <wp:wrapNone/>
                <wp:docPr id="76" name="Conector recto de flecha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81425" cy="0"/>
                        </a:xfrm>
                        <a:prstGeom prst="straightConnector1">
                          <a:avLst/>
                        </a:prstGeom>
                        <a:noFill/>
                        <a:ln w="635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73D5AE1" id="Conector recto de flecha 76" o:spid="_x0000_s1026" type="#_x0000_t32" style="position:absolute;margin-left:96.7pt;margin-top:6.75pt;width:297.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" strokeweight="5pt">
                <v:shadow color="#7f7f7f" opacity=".5" offset="1pt"/>
              </v:shape>
            </w:pict>
          </mc:Fallback>
        </mc:AlternateContent>
      </w:r>
      <w:bookmarkEnd w:id="342"/>
    </w:p>
    <w:p w:rsidR="006312E8" w:rsidRPr="006312E8" w:rsidRDefault="006312E8" w:rsidP="006312E8">
      <w:pPr>
        <w:spacing w:after="200" w:line="276" w:lineRule="auto"/>
        <w:jc w:val="center"/>
        <w:rPr>
          <w:rFonts w:ascii="Arial" w:eastAsia="Calibri" w:hAnsi="Arial" w:cs="Arial"/>
          <w:b/>
          <w:sz w:val="28"/>
          <w:szCs w:val="28"/>
        </w:rPr>
      </w:pPr>
      <w:r w:rsidRPr="006312E8">
        <w:rPr>
          <w:rFonts w:ascii="Arial" w:eastAsia="Calibri" w:hAnsi="Arial" w:cs="Arial"/>
          <w:b/>
          <w:sz w:val="28"/>
          <w:szCs w:val="28"/>
        </w:rPr>
        <w:t>(EXTRACTO</w:t>
      </w:r>
      <w:r w:rsidR="00E104C8">
        <w:rPr>
          <w:rFonts w:ascii="Arial" w:eastAsia="Calibri" w:hAnsi="Arial" w:cs="Arial"/>
          <w:b/>
          <w:sz w:val="28"/>
          <w:szCs w:val="28"/>
        </w:rPr>
        <w:t>S</w:t>
      </w:r>
      <w:r w:rsidRPr="006312E8">
        <w:rPr>
          <w:rFonts w:ascii="Arial" w:eastAsia="Calibri" w:hAnsi="Arial" w:cs="Arial"/>
          <w:b/>
          <w:sz w:val="28"/>
          <w:szCs w:val="28"/>
        </w:rPr>
        <w:t>)</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E104C8">
      <w:pPr>
        <w:pStyle w:val="TITO2"/>
      </w:pPr>
      <w:bookmarkStart w:id="343" w:name="_Toc392856237"/>
      <w:bookmarkStart w:id="344" w:name="_Toc399335510"/>
      <w:bookmarkStart w:id="345" w:name="_Toc421025456"/>
      <w:bookmarkStart w:id="346" w:name="_Toc470855559"/>
      <w:bookmarkStart w:id="347" w:name="LEY27783"/>
      <w:r w:rsidRPr="006312E8">
        <w:t>LEY Nº 27783</w:t>
      </w:r>
      <w:bookmarkEnd w:id="343"/>
      <w:bookmarkEnd w:id="344"/>
      <w:bookmarkEnd w:id="345"/>
      <w:bookmarkEnd w:id="346"/>
    </w:p>
    <w:bookmarkEnd w:id="347"/>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(Extracto)</w:t>
      </w:r>
    </w:p>
    <w:p w:rsidR="006312E8" w:rsidRPr="006312E8" w:rsidRDefault="006312E8" w:rsidP="006312E8">
      <w:pPr>
        <w:spacing w:after="0" w:line="240" w:lineRule="auto"/>
        <w:contextualSpacing/>
        <w:jc w:val="center"/>
        <w:rPr>
          <w:rFonts w:ascii="Arial" w:eastAsia="Calibri" w:hAnsi="Arial" w:cs="Arial"/>
          <w:b/>
          <w:lang w:val="es-ES"/>
        </w:rPr>
      </w:pPr>
    </w:p>
    <w:p w:rsidR="006312E8" w:rsidRPr="006312E8" w:rsidRDefault="006312E8" w:rsidP="006312E8">
      <w:pPr>
        <w:spacing w:after="0" w:line="240" w:lineRule="auto"/>
        <w:contextualSpacing/>
        <w:jc w:val="right"/>
        <w:rPr>
          <w:rFonts w:ascii="Arial" w:eastAsia="Calibri" w:hAnsi="Arial" w:cs="Arial"/>
          <w:b/>
          <w:lang w:val="es-ES"/>
        </w:rPr>
      </w:pPr>
      <w:r w:rsidRPr="006312E8">
        <w:rPr>
          <w:rFonts w:ascii="Arial" w:eastAsia="Calibri" w:hAnsi="Arial" w:cs="Arial"/>
          <w:b/>
          <w:lang w:val="es-ES"/>
        </w:rPr>
        <w:t>Fecha de publicación: 20-07-2002</w:t>
      </w:r>
    </w:p>
    <w:p w:rsidR="006312E8" w:rsidRPr="006312E8" w:rsidRDefault="006312E8" w:rsidP="006312E8">
      <w:pPr>
        <w:spacing w:after="200" w:line="276" w:lineRule="auto"/>
        <w:jc w:val="both"/>
        <w:rPr>
          <w:rFonts w:ascii="Arial" w:eastAsia="Calibri" w:hAnsi="Arial" w:cs="Arial"/>
          <w:color w:val="FF0000"/>
        </w:rPr>
      </w:pPr>
    </w:p>
    <w:p w:rsidR="006312E8" w:rsidRPr="006312E8" w:rsidRDefault="006312E8" w:rsidP="006312E8">
      <w:pPr>
        <w:spacing w:after="200" w:line="276"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 xml:space="preserve">NOTA: De conformidad con la Primera Disposición complementaria transitoria del Decreto Supremo N° 007-2008-VIVIENDA, en tanto no concluya el proceso de transferencia de funciones a los Gobiernos Regionales para la administración y disposición de los predios estatales conforme a la Ley Nº 27783 - Ley de Bases de la Descentralización, la SBN continuará ejerciendo dichas funciones conforme a la normatividad vigente. </w:t>
      </w:r>
    </w:p>
    <w:p w:rsidR="006312E8" w:rsidRPr="006312E8" w:rsidRDefault="006312E8" w:rsidP="006312E8">
      <w:pPr>
        <w:spacing w:after="200" w:line="276" w:lineRule="auto"/>
        <w:jc w:val="center"/>
        <w:rPr>
          <w:rFonts w:ascii="Arial" w:eastAsia="Calibri" w:hAnsi="Arial" w:cs="Arial"/>
          <w:b/>
        </w:rPr>
      </w:pPr>
      <w:r w:rsidRPr="006312E8">
        <w:rPr>
          <w:rFonts w:ascii="Arial" w:eastAsia="Calibri" w:hAnsi="Arial" w:cs="Arial"/>
          <w:b/>
        </w:rPr>
        <w:t>LEY DE BASES DE LA DESCENTRALIZACIÓN</w:t>
      </w:r>
    </w:p>
    <w:p w:rsidR="006312E8" w:rsidRPr="006312E8" w:rsidRDefault="006312E8" w:rsidP="006312E8">
      <w:pPr>
        <w:spacing w:after="0" w:line="240" w:lineRule="auto"/>
        <w:jc w:val="center"/>
        <w:rPr>
          <w:rFonts w:ascii="Arial" w:eastAsia="Calibri" w:hAnsi="Arial" w:cs="Arial"/>
          <w:b/>
        </w:rPr>
      </w:pPr>
      <w:r w:rsidRPr="006312E8">
        <w:rPr>
          <w:rFonts w:ascii="Arial" w:eastAsia="Calibri" w:hAnsi="Arial" w:cs="Arial"/>
          <w:b/>
        </w:rPr>
        <w:t>TÍTULO I</w:t>
      </w:r>
    </w:p>
    <w:p w:rsidR="006312E8" w:rsidRPr="006312E8" w:rsidRDefault="006312E8" w:rsidP="006312E8">
      <w:pPr>
        <w:spacing w:after="0" w:line="240" w:lineRule="auto"/>
        <w:jc w:val="center"/>
        <w:rPr>
          <w:rFonts w:ascii="Arial" w:eastAsia="Calibri" w:hAnsi="Arial" w:cs="Arial"/>
          <w:b/>
        </w:rPr>
      </w:pPr>
      <w:r w:rsidRPr="006312E8">
        <w:rPr>
          <w:rFonts w:ascii="Arial" w:eastAsia="Calibri" w:hAnsi="Arial" w:cs="Arial"/>
          <w:b/>
        </w:rPr>
        <w:t>OBJETO Y CONTENIDO DE LA LEY</w:t>
      </w:r>
    </w:p>
    <w:p w:rsidR="006312E8" w:rsidRPr="006312E8" w:rsidRDefault="006312E8" w:rsidP="006312E8">
      <w:pPr>
        <w:spacing w:after="200" w:line="276" w:lineRule="auto"/>
        <w:jc w:val="both"/>
        <w:rPr>
          <w:rFonts w:ascii="Arial" w:eastAsia="Calibri" w:hAnsi="Arial" w:cs="Arial"/>
          <w:b/>
        </w:rPr>
      </w:pPr>
      <w:r w:rsidRPr="006312E8">
        <w:rPr>
          <w:rFonts w:ascii="Arial" w:eastAsia="Calibri" w:hAnsi="Arial" w:cs="Arial"/>
          <w:b/>
        </w:rPr>
        <w:t>Artículo 1.- Objeto</w:t>
      </w: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rPr>
        <w:t>La presente Ley orgánica desarrolla el Capítulo de la Constitución Política sobre Descentralización, que regula la estructura y organización del Estado en forma democrática, descentralizada y desconcentrada, correspondiente al Gobierno Nacional, Gobiernos Regionales y Gobiernos Locales. Asimismo define las normas que regulan la descentralización administrativa, económica, productiva, financiera, tributaria y fiscal.</w:t>
      </w:r>
    </w:p>
    <w:p w:rsidR="006312E8" w:rsidRPr="006312E8" w:rsidRDefault="006312E8" w:rsidP="006312E8">
      <w:pPr>
        <w:spacing w:after="200" w:line="276" w:lineRule="auto"/>
        <w:jc w:val="both"/>
        <w:rPr>
          <w:rFonts w:ascii="Arial" w:eastAsia="Calibri" w:hAnsi="Arial" w:cs="Arial"/>
          <w:b/>
        </w:rPr>
      </w:pPr>
      <w:r w:rsidRPr="006312E8">
        <w:rPr>
          <w:rFonts w:ascii="Arial" w:eastAsia="Calibri" w:hAnsi="Arial" w:cs="Arial"/>
          <w:b/>
        </w:rPr>
        <w:t>Artículo 2.- Contenido</w:t>
      </w: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rPr>
        <w:t>La presente Ley establece la finalidad, principios, objetivos y criterios generales del proceso de descentralización; regula la conformación de las regiones y municipalidades; fija las competencias de los tres niveles de gobierno y determina los bienes y recursos de los gobiernos regionales y locales; y, regula las relaciones de gobierno en sus distintos niveles.</w:t>
      </w:r>
    </w:p>
    <w:p w:rsidR="006312E8" w:rsidRPr="006312E8" w:rsidRDefault="006312E8" w:rsidP="006312E8">
      <w:pPr>
        <w:spacing w:after="0" w:line="240" w:lineRule="auto"/>
        <w:jc w:val="center"/>
        <w:rPr>
          <w:rFonts w:ascii="Arial" w:eastAsia="Calibri" w:hAnsi="Arial" w:cs="Arial"/>
          <w:b/>
        </w:rPr>
      </w:pPr>
      <w:r w:rsidRPr="006312E8">
        <w:rPr>
          <w:rFonts w:ascii="Arial" w:eastAsia="Calibri" w:hAnsi="Arial" w:cs="Arial"/>
          <w:b/>
        </w:rPr>
        <w:t>TÍTULO II</w:t>
      </w:r>
    </w:p>
    <w:p w:rsidR="006312E8" w:rsidRPr="006312E8" w:rsidRDefault="006312E8" w:rsidP="006312E8">
      <w:pPr>
        <w:spacing w:after="0" w:line="240" w:lineRule="auto"/>
        <w:jc w:val="center"/>
        <w:rPr>
          <w:rFonts w:ascii="Arial" w:eastAsia="Calibri" w:hAnsi="Arial" w:cs="Arial"/>
          <w:b/>
        </w:rPr>
      </w:pPr>
      <w:r w:rsidRPr="006312E8">
        <w:rPr>
          <w:rFonts w:ascii="Arial" w:eastAsia="Calibri" w:hAnsi="Arial" w:cs="Arial"/>
          <w:b/>
        </w:rPr>
        <w:t>FINALIDAD, PRINCIPIOS Y OBJETIVOS DE LA DESCENTRALIZACIÓN</w:t>
      </w:r>
    </w:p>
    <w:p w:rsidR="006312E8" w:rsidRPr="006312E8" w:rsidRDefault="006312E8" w:rsidP="006312E8">
      <w:pPr>
        <w:spacing w:after="0" w:line="240" w:lineRule="auto"/>
        <w:jc w:val="center"/>
        <w:rPr>
          <w:rFonts w:ascii="Arial" w:eastAsia="Calibri" w:hAnsi="Arial" w:cs="Arial"/>
          <w:b/>
        </w:rPr>
      </w:pPr>
    </w:p>
    <w:p w:rsidR="006312E8" w:rsidRPr="006312E8" w:rsidRDefault="006312E8" w:rsidP="006312E8">
      <w:pPr>
        <w:spacing w:after="0" w:line="240" w:lineRule="auto"/>
        <w:jc w:val="center"/>
        <w:rPr>
          <w:rFonts w:ascii="Arial" w:eastAsia="Calibri" w:hAnsi="Arial" w:cs="Arial"/>
          <w:b/>
        </w:rPr>
      </w:pPr>
      <w:r w:rsidRPr="006312E8">
        <w:rPr>
          <w:rFonts w:ascii="Arial" w:eastAsia="Calibri" w:hAnsi="Arial" w:cs="Arial"/>
          <w:b/>
        </w:rPr>
        <w:t>CAPÍTULO I</w:t>
      </w:r>
    </w:p>
    <w:p w:rsidR="006312E8" w:rsidRPr="006312E8" w:rsidRDefault="006312E8" w:rsidP="006312E8">
      <w:pPr>
        <w:spacing w:after="0" w:line="240" w:lineRule="auto"/>
        <w:jc w:val="center"/>
        <w:rPr>
          <w:rFonts w:ascii="Arial" w:eastAsia="Calibri" w:hAnsi="Arial" w:cs="Arial"/>
          <w:b/>
        </w:rPr>
      </w:pPr>
      <w:r w:rsidRPr="006312E8">
        <w:rPr>
          <w:rFonts w:ascii="Arial" w:eastAsia="Calibri" w:hAnsi="Arial" w:cs="Arial"/>
          <w:b/>
        </w:rPr>
        <w:t>FINALIDAD</w:t>
      </w:r>
    </w:p>
    <w:p w:rsidR="006312E8" w:rsidRPr="006312E8" w:rsidRDefault="006312E8" w:rsidP="006312E8">
      <w:pPr>
        <w:spacing w:after="200" w:line="276" w:lineRule="auto"/>
        <w:jc w:val="both"/>
        <w:rPr>
          <w:rFonts w:ascii="Arial" w:eastAsia="Calibri" w:hAnsi="Arial" w:cs="Arial"/>
          <w:b/>
        </w:rPr>
      </w:pPr>
      <w:r w:rsidRPr="006312E8">
        <w:rPr>
          <w:rFonts w:ascii="Arial" w:eastAsia="Calibri" w:hAnsi="Arial" w:cs="Arial"/>
          <w:b/>
        </w:rPr>
        <w:t>Artículo 3.- Finalidad</w:t>
      </w: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rPr>
        <w:t>La descentralización tiene como finalidad el desarrollo integral, armónico y sostenible del país, mediante la separación de competencias y funciones, y el equilibrado ejercicio del poder por los tres niveles de gobierno, en beneficio de la población.</w:t>
      </w:r>
    </w:p>
    <w:p w:rsidR="006312E8" w:rsidRPr="006312E8" w:rsidRDefault="006312E8" w:rsidP="006312E8">
      <w:pPr>
        <w:spacing w:after="200" w:line="276" w:lineRule="auto"/>
        <w:jc w:val="both"/>
        <w:rPr>
          <w:rFonts w:ascii="Arial" w:eastAsia="Calibri" w:hAnsi="Arial" w:cs="Arial"/>
          <w:b/>
        </w:rPr>
      </w:pPr>
      <w:r w:rsidRPr="006312E8">
        <w:rPr>
          <w:rFonts w:ascii="Arial" w:eastAsia="Calibri" w:hAnsi="Arial" w:cs="Arial"/>
          <w:b/>
        </w:rPr>
        <w:t>COMPETENCIAS DE LOS GOBIERNOS REGIONALES</w:t>
      </w:r>
    </w:p>
    <w:p w:rsidR="006312E8" w:rsidRPr="006312E8" w:rsidRDefault="006312E8" w:rsidP="006312E8">
      <w:pPr>
        <w:spacing w:after="200" w:line="276" w:lineRule="auto"/>
        <w:jc w:val="both"/>
        <w:rPr>
          <w:rFonts w:ascii="Arial" w:eastAsia="Calibri" w:hAnsi="Arial" w:cs="Arial"/>
          <w:b/>
        </w:rPr>
      </w:pPr>
      <w:r w:rsidRPr="006312E8">
        <w:rPr>
          <w:rFonts w:ascii="Arial" w:eastAsia="Calibri" w:hAnsi="Arial" w:cs="Arial"/>
          <w:b/>
        </w:rPr>
        <w:t>Artículo 35.- Competencias exclusivas</w:t>
      </w:r>
    </w:p>
    <w:p w:rsidR="006312E8" w:rsidRPr="006312E8" w:rsidRDefault="006312E8" w:rsidP="006312E8">
      <w:pPr>
        <w:numPr>
          <w:ilvl w:val="2"/>
          <w:numId w:val="48"/>
        </w:numPr>
        <w:tabs>
          <w:tab w:val="num" w:pos="709"/>
        </w:tabs>
        <w:spacing w:after="200" w:line="276" w:lineRule="auto"/>
        <w:ind w:left="709"/>
        <w:jc w:val="both"/>
        <w:rPr>
          <w:rFonts w:ascii="Arial" w:eastAsia="Calibri" w:hAnsi="Arial" w:cs="Arial"/>
        </w:rPr>
      </w:pPr>
      <w:r w:rsidRPr="006312E8">
        <w:rPr>
          <w:rFonts w:ascii="Arial" w:eastAsia="Calibri" w:hAnsi="Arial" w:cs="Arial"/>
        </w:rPr>
        <w:t>Planificar el desarrollo integral de su región y ejecutar los programas socioeconómicos correspondientes.</w:t>
      </w:r>
    </w:p>
    <w:p w:rsidR="006312E8" w:rsidRPr="006312E8" w:rsidRDefault="006312E8" w:rsidP="006312E8">
      <w:pPr>
        <w:numPr>
          <w:ilvl w:val="2"/>
          <w:numId w:val="48"/>
        </w:numPr>
        <w:tabs>
          <w:tab w:val="num" w:pos="709"/>
        </w:tabs>
        <w:spacing w:after="200" w:line="276" w:lineRule="auto"/>
        <w:ind w:left="709"/>
        <w:jc w:val="both"/>
        <w:rPr>
          <w:rFonts w:ascii="Arial" w:eastAsia="Calibri" w:hAnsi="Arial" w:cs="Arial"/>
        </w:rPr>
      </w:pPr>
      <w:r w:rsidRPr="006312E8">
        <w:rPr>
          <w:rFonts w:ascii="Arial" w:eastAsia="Calibri" w:hAnsi="Arial" w:cs="Arial"/>
        </w:rPr>
        <w:t>Formular y aprobar el plan de desarrollo regional concertado con las municipalidades y la sociedad civil de su región.</w:t>
      </w:r>
    </w:p>
    <w:p w:rsidR="006312E8" w:rsidRPr="006312E8" w:rsidRDefault="006312E8" w:rsidP="006312E8">
      <w:pPr>
        <w:numPr>
          <w:ilvl w:val="2"/>
          <w:numId w:val="48"/>
        </w:numPr>
        <w:tabs>
          <w:tab w:val="num" w:pos="709"/>
        </w:tabs>
        <w:spacing w:after="200" w:line="276" w:lineRule="auto"/>
        <w:ind w:left="709"/>
        <w:jc w:val="both"/>
        <w:rPr>
          <w:rFonts w:ascii="Arial" w:eastAsia="Calibri" w:hAnsi="Arial" w:cs="Arial"/>
        </w:rPr>
      </w:pPr>
      <w:r w:rsidRPr="006312E8">
        <w:rPr>
          <w:rFonts w:ascii="Arial" w:eastAsia="Calibri" w:hAnsi="Arial" w:cs="Arial"/>
        </w:rPr>
        <w:t>Aprobar su organización interna y su presupuesto institucional conforme a la Ley de Gestión Presupuestaria del Estado y las Leyes anuales de Presupuesto.</w:t>
      </w:r>
    </w:p>
    <w:p w:rsidR="006312E8" w:rsidRPr="006312E8" w:rsidRDefault="006312E8" w:rsidP="006312E8">
      <w:pPr>
        <w:numPr>
          <w:ilvl w:val="2"/>
          <w:numId w:val="48"/>
        </w:numPr>
        <w:tabs>
          <w:tab w:val="num" w:pos="709"/>
        </w:tabs>
        <w:spacing w:after="200" w:line="276" w:lineRule="auto"/>
        <w:ind w:left="709"/>
        <w:jc w:val="both"/>
        <w:rPr>
          <w:rFonts w:ascii="Arial" w:eastAsia="Calibri" w:hAnsi="Arial" w:cs="Arial"/>
        </w:rPr>
      </w:pPr>
      <w:r w:rsidRPr="006312E8">
        <w:rPr>
          <w:rFonts w:ascii="Arial" w:eastAsia="Calibri" w:hAnsi="Arial" w:cs="Arial"/>
        </w:rPr>
        <w:t>Promover y ejecutar las inversiones públicas de ámbito regional en proyectos de infraestructura vial, energética, de comunicaciones y de servicios básicos de ámbito regional, con estrategias de sostenibilidad, competitividad, oportunidades de inversión privada, dinamizar mercados y rentabilizar actividades.</w:t>
      </w:r>
    </w:p>
    <w:p w:rsidR="006312E8" w:rsidRPr="006312E8" w:rsidRDefault="006312E8" w:rsidP="006312E8">
      <w:pPr>
        <w:numPr>
          <w:ilvl w:val="2"/>
          <w:numId w:val="48"/>
        </w:numPr>
        <w:tabs>
          <w:tab w:val="num" w:pos="709"/>
        </w:tabs>
        <w:spacing w:after="200" w:line="276" w:lineRule="auto"/>
        <w:ind w:left="709"/>
        <w:jc w:val="both"/>
        <w:rPr>
          <w:rFonts w:ascii="Arial" w:eastAsia="Calibri" w:hAnsi="Arial" w:cs="Arial"/>
        </w:rPr>
      </w:pPr>
      <w:r w:rsidRPr="006312E8">
        <w:rPr>
          <w:rFonts w:ascii="Arial" w:eastAsia="Calibri" w:hAnsi="Arial" w:cs="Arial"/>
        </w:rPr>
        <w:t>Diseñar y ejecutar programas regionales de cuencas, corredores económicos y de ciudades intermedias.</w:t>
      </w:r>
    </w:p>
    <w:p w:rsidR="006312E8" w:rsidRPr="006312E8" w:rsidRDefault="006312E8" w:rsidP="006312E8">
      <w:pPr>
        <w:numPr>
          <w:ilvl w:val="2"/>
          <w:numId w:val="48"/>
        </w:numPr>
        <w:tabs>
          <w:tab w:val="num" w:pos="709"/>
        </w:tabs>
        <w:spacing w:after="200" w:line="276" w:lineRule="auto"/>
        <w:ind w:left="709"/>
        <w:jc w:val="both"/>
        <w:rPr>
          <w:rFonts w:ascii="Arial" w:eastAsia="Calibri" w:hAnsi="Arial" w:cs="Arial"/>
        </w:rPr>
      </w:pPr>
      <w:r w:rsidRPr="006312E8">
        <w:rPr>
          <w:rFonts w:ascii="Arial" w:eastAsia="Calibri" w:hAnsi="Arial" w:cs="Arial"/>
        </w:rPr>
        <w:t>Promover la formación de empresas y unidades económicas regionales para concertar sistemas productivos y de servicios.</w:t>
      </w:r>
    </w:p>
    <w:p w:rsidR="006312E8" w:rsidRPr="006312E8" w:rsidRDefault="006312E8" w:rsidP="006312E8">
      <w:pPr>
        <w:numPr>
          <w:ilvl w:val="2"/>
          <w:numId w:val="48"/>
        </w:numPr>
        <w:tabs>
          <w:tab w:val="num" w:pos="709"/>
        </w:tabs>
        <w:spacing w:after="200" w:line="276" w:lineRule="auto"/>
        <w:ind w:left="709"/>
        <w:jc w:val="both"/>
        <w:rPr>
          <w:rFonts w:ascii="Arial" w:eastAsia="Calibri" w:hAnsi="Arial" w:cs="Arial"/>
        </w:rPr>
      </w:pPr>
      <w:r w:rsidRPr="006312E8">
        <w:rPr>
          <w:rFonts w:ascii="Arial" w:eastAsia="Calibri" w:hAnsi="Arial" w:cs="Arial"/>
        </w:rPr>
        <w:t>Facilitar los procesos orientados a los mercados internacionales para la agricultura, la agroindustria, la artesanía, la actividad forestal y otros sectores productivos, de acuerdo a sus potencialidades.</w:t>
      </w:r>
    </w:p>
    <w:p w:rsidR="006312E8" w:rsidRPr="006312E8" w:rsidRDefault="006312E8" w:rsidP="006312E8">
      <w:pPr>
        <w:numPr>
          <w:ilvl w:val="2"/>
          <w:numId w:val="48"/>
        </w:numPr>
        <w:tabs>
          <w:tab w:val="num" w:pos="709"/>
        </w:tabs>
        <w:spacing w:after="200" w:line="276" w:lineRule="auto"/>
        <w:ind w:left="709"/>
        <w:jc w:val="both"/>
        <w:rPr>
          <w:rFonts w:ascii="Arial" w:eastAsia="Calibri" w:hAnsi="Arial" w:cs="Arial"/>
        </w:rPr>
      </w:pPr>
      <w:r w:rsidRPr="006312E8">
        <w:rPr>
          <w:rFonts w:ascii="Arial" w:eastAsia="Calibri" w:hAnsi="Arial" w:cs="Arial"/>
        </w:rPr>
        <w:t>Desarrollar circuitos turísticos que puedan convertirse en ejes de desarrollo.</w:t>
      </w:r>
    </w:p>
    <w:p w:rsidR="006312E8" w:rsidRPr="006312E8" w:rsidRDefault="006312E8" w:rsidP="006312E8">
      <w:pPr>
        <w:numPr>
          <w:ilvl w:val="2"/>
          <w:numId w:val="48"/>
        </w:numPr>
        <w:tabs>
          <w:tab w:val="num" w:pos="709"/>
        </w:tabs>
        <w:spacing w:after="200" w:line="276" w:lineRule="auto"/>
        <w:ind w:left="709"/>
        <w:jc w:val="both"/>
        <w:rPr>
          <w:rFonts w:ascii="Arial" w:eastAsia="Calibri" w:hAnsi="Arial" w:cs="Arial"/>
        </w:rPr>
      </w:pPr>
      <w:r w:rsidRPr="006312E8">
        <w:rPr>
          <w:rFonts w:ascii="Arial" w:eastAsia="Calibri" w:hAnsi="Arial" w:cs="Arial"/>
        </w:rPr>
        <w:t>Concretar alianzas y acuerdos con otras regiones para el fomento del desarrollo económico, social y ambiental.</w:t>
      </w:r>
    </w:p>
    <w:p w:rsidR="006312E8" w:rsidRPr="006312E8" w:rsidRDefault="006312E8" w:rsidP="006312E8">
      <w:pPr>
        <w:spacing w:after="0" w:line="240" w:lineRule="auto"/>
        <w:ind w:left="709"/>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6312E8" w:rsidP="006312E8">
      <w:pPr>
        <w:numPr>
          <w:ilvl w:val="0"/>
          <w:numId w:val="8"/>
        </w:numPr>
        <w:spacing w:after="0" w:line="240" w:lineRule="auto"/>
        <w:ind w:left="993" w:hanging="284"/>
        <w:contextualSpacing/>
        <w:jc w:val="both"/>
        <w:rPr>
          <w:rFonts w:ascii="Arial" w:eastAsia="Calibri" w:hAnsi="Arial" w:cs="Arial"/>
          <w:b/>
          <w:color w:val="4F6228"/>
          <w:sz w:val="16"/>
          <w:szCs w:val="16"/>
        </w:rPr>
      </w:pPr>
      <w:r w:rsidRPr="006312E8">
        <w:rPr>
          <w:rFonts w:ascii="Arial" w:eastAsia="Calibri" w:hAnsi="Arial" w:cs="Arial"/>
          <w:b/>
          <w:color w:val="4F6228"/>
          <w:sz w:val="16"/>
          <w:szCs w:val="16"/>
        </w:rPr>
        <w:t>Decreto Legislativo Nº 1013 (art. 12, inciso j)</w:t>
      </w:r>
    </w:p>
    <w:p w:rsidR="006312E8" w:rsidRPr="006312E8" w:rsidRDefault="006312E8" w:rsidP="006312E8">
      <w:pPr>
        <w:spacing w:after="0" w:line="240" w:lineRule="auto"/>
        <w:ind w:left="993"/>
        <w:contextualSpacing/>
        <w:jc w:val="both"/>
        <w:rPr>
          <w:rFonts w:ascii="Arial" w:eastAsia="Calibri" w:hAnsi="Arial" w:cs="Arial"/>
          <w:b/>
          <w:color w:val="4F6228"/>
          <w:sz w:val="16"/>
          <w:szCs w:val="16"/>
        </w:rPr>
      </w:pPr>
    </w:p>
    <w:p w:rsidR="006312E8" w:rsidRPr="006312E8" w:rsidRDefault="006312E8" w:rsidP="006312E8">
      <w:pPr>
        <w:spacing w:after="200" w:line="276" w:lineRule="auto"/>
        <w:ind w:left="709" w:hanging="425"/>
        <w:jc w:val="both"/>
        <w:rPr>
          <w:rFonts w:ascii="Arial" w:eastAsia="Calibri" w:hAnsi="Arial" w:cs="Arial"/>
          <w:b/>
        </w:rPr>
      </w:pPr>
      <w:r w:rsidRPr="006312E8">
        <w:rPr>
          <w:rFonts w:ascii="Arial" w:eastAsia="Calibri" w:hAnsi="Arial" w:cs="Arial"/>
        </w:rPr>
        <w:t xml:space="preserve">j) </w:t>
      </w:r>
      <w:r w:rsidRPr="006312E8">
        <w:rPr>
          <w:rFonts w:ascii="Arial" w:eastAsia="Calibri" w:hAnsi="Arial" w:cs="Arial"/>
        </w:rPr>
        <w:tab/>
        <w:t>Administrar y adjudicar los terrenos urbanos y eriazos de propiedad del Estado en su jurisdicción, con excepción de los terrenos de propiedad municipal.</w:t>
      </w:r>
    </w:p>
    <w:p w:rsidR="006312E8" w:rsidRPr="006312E8" w:rsidRDefault="006312E8" w:rsidP="006312E8">
      <w:pPr>
        <w:spacing w:after="0" w:line="240" w:lineRule="auto"/>
        <w:ind w:left="709"/>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6312E8" w:rsidP="006312E8">
      <w:pPr>
        <w:numPr>
          <w:ilvl w:val="0"/>
          <w:numId w:val="8"/>
        </w:numPr>
        <w:spacing w:after="0" w:line="240" w:lineRule="auto"/>
        <w:ind w:left="993" w:hanging="284"/>
        <w:contextualSpacing/>
        <w:jc w:val="both"/>
        <w:rPr>
          <w:rFonts w:ascii="Arial" w:eastAsia="Calibri" w:hAnsi="Arial" w:cs="Arial"/>
          <w:b/>
          <w:color w:val="4F6228"/>
          <w:sz w:val="16"/>
          <w:szCs w:val="16"/>
        </w:rPr>
      </w:pPr>
      <w:r w:rsidRPr="006312E8">
        <w:rPr>
          <w:rFonts w:ascii="Arial" w:eastAsia="Calibri" w:hAnsi="Arial" w:cs="Arial"/>
          <w:b/>
          <w:color w:val="4F6228"/>
          <w:sz w:val="16"/>
          <w:szCs w:val="16"/>
        </w:rPr>
        <w:t>Ley Nº 29151 (arts. 9, Primera Disposición Complementaria )</w:t>
      </w:r>
    </w:p>
    <w:p w:rsidR="006312E8" w:rsidRPr="006312E8" w:rsidRDefault="006312E8" w:rsidP="006312E8">
      <w:pPr>
        <w:spacing w:after="0" w:line="240" w:lineRule="auto"/>
        <w:ind w:left="993"/>
        <w:contextualSpacing/>
        <w:jc w:val="both"/>
        <w:rPr>
          <w:rFonts w:ascii="Arial" w:eastAsia="Calibri" w:hAnsi="Arial" w:cs="Arial"/>
          <w:b/>
          <w:color w:val="4F6228"/>
          <w:sz w:val="16"/>
          <w:szCs w:val="16"/>
        </w:rPr>
      </w:pPr>
    </w:p>
    <w:p w:rsidR="006312E8" w:rsidRPr="006312E8" w:rsidRDefault="006312E8" w:rsidP="006312E8">
      <w:pPr>
        <w:tabs>
          <w:tab w:val="left" w:pos="709"/>
        </w:tabs>
        <w:spacing w:after="200" w:line="276" w:lineRule="auto"/>
        <w:ind w:left="709" w:hanging="425"/>
        <w:jc w:val="both"/>
        <w:rPr>
          <w:rFonts w:ascii="Arial" w:eastAsia="Calibri" w:hAnsi="Arial" w:cs="Arial"/>
        </w:rPr>
      </w:pPr>
      <w:r w:rsidRPr="006312E8">
        <w:rPr>
          <w:rFonts w:ascii="Arial" w:eastAsia="Calibri" w:hAnsi="Arial" w:cs="Arial"/>
        </w:rPr>
        <w:t xml:space="preserve">k) </w:t>
      </w:r>
      <w:r w:rsidRPr="006312E8">
        <w:rPr>
          <w:rFonts w:ascii="Arial" w:eastAsia="Calibri" w:hAnsi="Arial" w:cs="Arial"/>
        </w:rPr>
        <w:tab/>
        <w:t>Organizar y aprobar los expedientes técnicos sobre acciones de demarcación territorial en su jurisdicción, conforme a la ley de la materia.</w:t>
      </w:r>
    </w:p>
    <w:p w:rsidR="006312E8" w:rsidRPr="006312E8" w:rsidRDefault="006312E8" w:rsidP="006312E8">
      <w:pPr>
        <w:tabs>
          <w:tab w:val="left" w:pos="709"/>
        </w:tabs>
        <w:spacing w:after="200" w:line="276" w:lineRule="auto"/>
        <w:ind w:left="709" w:hanging="425"/>
        <w:jc w:val="both"/>
        <w:rPr>
          <w:rFonts w:ascii="Arial" w:eastAsia="Calibri" w:hAnsi="Arial" w:cs="Arial"/>
        </w:rPr>
      </w:pPr>
      <w:r w:rsidRPr="006312E8">
        <w:rPr>
          <w:rFonts w:ascii="Arial" w:eastAsia="Calibri" w:hAnsi="Arial" w:cs="Arial"/>
        </w:rPr>
        <w:t xml:space="preserve">I) </w:t>
      </w:r>
      <w:r w:rsidRPr="006312E8">
        <w:rPr>
          <w:rFonts w:ascii="Arial" w:eastAsia="Calibri" w:hAnsi="Arial" w:cs="Arial"/>
        </w:rPr>
        <w:tab/>
        <w:t>Promover la modernización de la pequeña y mediana empresa regional, articuladas con las tareas de educación, empleo y a la actualización e innovación tecnológica.</w:t>
      </w:r>
    </w:p>
    <w:p w:rsidR="006312E8" w:rsidRPr="006312E8" w:rsidRDefault="006312E8" w:rsidP="006312E8">
      <w:pPr>
        <w:tabs>
          <w:tab w:val="left" w:pos="709"/>
        </w:tabs>
        <w:spacing w:after="200" w:line="276" w:lineRule="auto"/>
        <w:ind w:left="709" w:hanging="425"/>
        <w:jc w:val="both"/>
        <w:rPr>
          <w:rFonts w:ascii="Arial" w:eastAsia="Calibri" w:hAnsi="Arial" w:cs="Arial"/>
        </w:rPr>
      </w:pPr>
      <w:r w:rsidRPr="006312E8">
        <w:rPr>
          <w:rFonts w:ascii="Arial" w:eastAsia="Calibri" w:hAnsi="Arial" w:cs="Arial"/>
        </w:rPr>
        <w:t xml:space="preserve">m) </w:t>
      </w:r>
      <w:r w:rsidRPr="006312E8">
        <w:rPr>
          <w:rFonts w:ascii="Arial" w:eastAsia="Calibri" w:hAnsi="Arial" w:cs="Arial"/>
        </w:rPr>
        <w:tab/>
        <w:t>Dictar las normas sobre los asuntos y materias de su responsabilidad, y proponer las iniciativas legislativas correspondientes.</w:t>
      </w:r>
    </w:p>
    <w:p w:rsidR="006312E8" w:rsidRPr="006312E8" w:rsidRDefault="006312E8" w:rsidP="006312E8">
      <w:pPr>
        <w:tabs>
          <w:tab w:val="left" w:pos="709"/>
        </w:tabs>
        <w:spacing w:after="200" w:line="276" w:lineRule="auto"/>
        <w:ind w:left="709" w:hanging="425"/>
        <w:jc w:val="both"/>
        <w:rPr>
          <w:rFonts w:ascii="Arial" w:eastAsia="Calibri" w:hAnsi="Arial" w:cs="Arial"/>
        </w:rPr>
      </w:pPr>
      <w:r w:rsidRPr="006312E8">
        <w:rPr>
          <w:rFonts w:ascii="Arial" w:eastAsia="Calibri" w:hAnsi="Arial" w:cs="Arial"/>
        </w:rPr>
        <w:t xml:space="preserve">n) </w:t>
      </w:r>
      <w:r w:rsidRPr="006312E8">
        <w:rPr>
          <w:rFonts w:ascii="Arial" w:eastAsia="Calibri" w:hAnsi="Arial" w:cs="Arial"/>
        </w:rPr>
        <w:tab/>
        <w:t>Promover el uso sostenible de los recursos forestales y de biodiversidad.</w:t>
      </w:r>
    </w:p>
    <w:p w:rsidR="006312E8" w:rsidRPr="006312E8" w:rsidRDefault="006312E8" w:rsidP="006312E8">
      <w:pPr>
        <w:tabs>
          <w:tab w:val="left" w:pos="709"/>
        </w:tabs>
        <w:spacing w:after="200" w:line="276" w:lineRule="auto"/>
        <w:ind w:left="709" w:hanging="425"/>
        <w:jc w:val="both"/>
        <w:rPr>
          <w:rFonts w:ascii="Arial" w:eastAsia="Calibri" w:hAnsi="Arial" w:cs="Arial"/>
        </w:rPr>
      </w:pPr>
      <w:r w:rsidRPr="006312E8">
        <w:rPr>
          <w:rFonts w:ascii="Arial" w:eastAsia="Calibri" w:hAnsi="Arial" w:cs="Arial"/>
        </w:rPr>
        <w:t xml:space="preserve">o) </w:t>
      </w:r>
      <w:r w:rsidRPr="006312E8">
        <w:rPr>
          <w:rFonts w:ascii="Arial" w:eastAsia="Calibri" w:hAnsi="Arial" w:cs="Arial"/>
        </w:rPr>
        <w:tab/>
        <w:t>Otras que se le señale por ley expresa.</w:t>
      </w:r>
    </w:p>
    <w:p w:rsidR="006312E8" w:rsidRPr="006312E8" w:rsidRDefault="006312E8" w:rsidP="006312E8">
      <w:pPr>
        <w:spacing w:after="200" w:line="276" w:lineRule="auto"/>
        <w:rPr>
          <w:rFonts w:ascii="Arial" w:eastAsia="Calibri" w:hAnsi="Arial" w:cs="Arial"/>
        </w:rPr>
      </w:pPr>
      <w:r w:rsidRPr="006312E8">
        <w:rPr>
          <w:rFonts w:ascii="Arial" w:eastAsia="Calibri" w:hAnsi="Arial" w:cs="Arial"/>
        </w:rPr>
        <w:br w:type="page"/>
      </w:r>
    </w:p>
    <w:p w:rsidR="006312E8" w:rsidRPr="006312E8" w:rsidRDefault="006312E8" w:rsidP="00E104C8">
      <w:pPr>
        <w:pStyle w:val="TITO2"/>
      </w:pPr>
      <w:bookmarkStart w:id="348" w:name="_Toc392856238"/>
      <w:bookmarkStart w:id="349" w:name="_Toc399335511"/>
      <w:bookmarkStart w:id="350" w:name="_Toc421025457"/>
      <w:bookmarkStart w:id="351" w:name="_Toc470855560"/>
      <w:bookmarkStart w:id="352" w:name="LEY27867"/>
      <w:r w:rsidRPr="006312E8">
        <w:t>LEY Nº 27867</w:t>
      </w:r>
      <w:bookmarkEnd w:id="348"/>
      <w:bookmarkEnd w:id="349"/>
      <w:bookmarkEnd w:id="350"/>
      <w:bookmarkEnd w:id="351"/>
    </w:p>
    <w:bookmarkEnd w:id="352"/>
    <w:p w:rsidR="006312E8" w:rsidRPr="006312E8" w:rsidRDefault="006312E8" w:rsidP="006312E8">
      <w:pPr>
        <w:spacing w:after="0" w:line="240" w:lineRule="auto"/>
        <w:jc w:val="center"/>
        <w:rPr>
          <w:rFonts w:ascii="Arial" w:eastAsia="Calibri" w:hAnsi="Arial" w:cs="Arial"/>
          <w:b/>
        </w:rPr>
      </w:pPr>
      <w:r w:rsidRPr="006312E8">
        <w:rPr>
          <w:rFonts w:ascii="Arial" w:eastAsia="Calibri" w:hAnsi="Arial" w:cs="Arial"/>
          <w:b/>
        </w:rPr>
        <w:t>Ley Orgánica de los Gobiernos Regionales</w:t>
      </w:r>
    </w:p>
    <w:p w:rsidR="006312E8" w:rsidRPr="006312E8" w:rsidRDefault="006312E8" w:rsidP="006312E8">
      <w:pPr>
        <w:spacing w:after="200" w:line="276" w:lineRule="auto"/>
        <w:jc w:val="center"/>
        <w:rPr>
          <w:rFonts w:ascii="Arial" w:eastAsia="Calibri" w:hAnsi="Arial" w:cs="Arial"/>
          <w:b/>
        </w:rPr>
      </w:pPr>
      <w:r w:rsidRPr="006312E8">
        <w:rPr>
          <w:rFonts w:ascii="Arial" w:eastAsia="Calibri" w:hAnsi="Arial" w:cs="Arial"/>
          <w:b/>
        </w:rPr>
        <w:t>(Extracto)</w:t>
      </w:r>
    </w:p>
    <w:p w:rsidR="006312E8" w:rsidRPr="006312E8" w:rsidRDefault="006312E8" w:rsidP="006312E8">
      <w:pPr>
        <w:spacing w:after="200" w:line="276" w:lineRule="auto"/>
        <w:jc w:val="right"/>
        <w:rPr>
          <w:rFonts w:ascii="Arial" w:eastAsia="Calibri" w:hAnsi="Arial" w:cs="Arial"/>
          <w:b/>
        </w:rPr>
      </w:pPr>
    </w:p>
    <w:p w:rsidR="006312E8" w:rsidRPr="006312E8" w:rsidRDefault="006312E8" w:rsidP="006312E8">
      <w:pPr>
        <w:spacing w:after="200" w:line="276" w:lineRule="auto"/>
        <w:jc w:val="right"/>
        <w:rPr>
          <w:rFonts w:ascii="Arial" w:eastAsia="Calibri" w:hAnsi="Arial" w:cs="Arial"/>
          <w:b/>
        </w:rPr>
      </w:pPr>
      <w:r w:rsidRPr="006312E8">
        <w:rPr>
          <w:rFonts w:ascii="Arial" w:eastAsia="Calibri" w:hAnsi="Arial" w:cs="Arial"/>
          <w:b/>
        </w:rPr>
        <w:t>Fecha de publicación: 18-11-2002</w:t>
      </w: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rPr>
        <w:tab/>
      </w:r>
      <w:r w:rsidRPr="006312E8">
        <w:rPr>
          <w:rFonts w:ascii="Arial" w:eastAsia="Calibri" w:hAnsi="Arial" w:cs="Arial"/>
        </w:rPr>
        <w:tab/>
      </w:r>
      <w:r w:rsidRPr="006312E8">
        <w:rPr>
          <w:rFonts w:ascii="Arial" w:eastAsia="Calibri" w:hAnsi="Arial" w:cs="Arial"/>
        </w:rPr>
        <w:tab/>
      </w: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Artículo 62.- Funciones en materia de administración y adjudicación de terrenos de propiedad del Estado.</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241D1D">
      <w:pPr>
        <w:numPr>
          <w:ilvl w:val="1"/>
          <w:numId w:val="62"/>
        </w:numPr>
        <w:tabs>
          <w:tab w:val="num" w:pos="567"/>
        </w:tabs>
        <w:spacing w:after="0" w:line="240" w:lineRule="auto"/>
        <w:ind w:left="567" w:hanging="425"/>
        <w:jc w:val="both"/>
        <w:rPr>
          <w:rFonts w:ascii="Arial" w:eastAsia="Calibri" w:hAnsi="Arial" w:cs="Arial"/>
        </w:rPr>
      </w:pPr>
      <w:r w:rsidRPr="006312E8">
        <w:rPr>
          <w:rFonts w:ascii="Arial" w:eastAsia="Calibri" w:hAnsi="Arial" w:cs="Arial"/>
        </w:rPr>
        <w:t>Formular, aprobar, ejecutar, evaluar, dirigir, controlar y administrar las políticas en materia de administración y adjudicación de terrenos de propiedad del Estado, de conformidad con la legislación vigente y el sistema de bienes nacionales.</w:t>
      </w:r>
    </w:p>
    <w:p w:rsidR="006312E8" w:rsidRPr="006312E8" w:rsidRDefault="006312E8" w:rsidP="006312E8">
      <w:pPr>
        <w:tabs>
          <w:tab w:val="num" w:pos="567"/>
        </w:tabs>
        <w:spacing w:after="0" w:line="240" w:lineRule="auto"/>
        <w:ind w:left="567" w:hanging="425"/>
        <w:jc w:val="both"/>
        <w:rPr>
          <w:rFonts w:ascii="Arial" w:eastAsia="Calibri" w:hAnsi="Arial" w:cs="Arial"/>
        </w:rPr>
      </w:pPr>
    </w:p>
    <w:p w:rsidR="006312E8" w:rsidRPr="006312E8" w:rsidRDefault="006312E8" w:rsidP="00241D1D">
      <w:pPr>
        <w:numPr>
          <w:ilvl w:val="1"/>
          <w:numId w:val="62"/>
        </w:numPr>
        <w:tabs>
          <w:tab w:val="num" w:pos="567"/>
        </w:tabs>
        <w:spacing w:after="0" w:line="240" w:lineRule="auto"/>
        <w:ind w:left="567" w:hanging="425"/>
        <w:jc w:val="both"/>
        <w:rPr>
          <w:rFonts w:ascii="Arial" w:eastAsia="Calibri" w:hAnsi="Arial" w:cs="Arial"/>
        </w:rPr>
      </w:pPr>
      <w:r w:rsidRPr="006312E8">
        <w:rPr>
          <w:rFonts w:ascii="Arial" w:eastAsia="Calibri" w:hAnsi="Arial" w:cs="Arial"/>
        </w:rPr>
        <w:t>Realizar los actos de inmatriculación saneamiento, adquisición, enajenación, administración y adjudicación de los terrenos urbanos y eriazos de propiedad del Estado en su jurisdicción, con excepción de los terrenos de propiedad municipal.</w:t>
      </w:r>
    </w:p>
    <w:p w:rsidR="006312E8" w:rsidRPr="006312E8" w:rsidRDefault="006312E8" w:rsidP="006312E8">
      <w:pPr>
        <w:tabs>
          <w:tab w:val="num" w:pos="567"/>
        </w:tabs>
        <w:spacing w:after="0" w:line="240" w:lineRule="auto"/>
        <w:ind w:left="567" w:hanging="425"/>
        <w:jc w:val="both"/>
        <w:rPr>
          <w:rFonts w:ascii="Arial" w:eastAsia="Calibri" w:hAnsi="Arial" w:cs="Arial"/>
        </w:rPr>
      </w:pPr>
    </w:p>
    <w:p w:rsidR="006312E8" w:rsidRPr="006312E8" w:rsidRDefault="006312E8" w:rsidP="00241D1D">
      <w:pPr>
        <w:numPr>
          <w:ilvl w:val="1"/>
          <w:numId w:val="62"/>
        </w:numPr>
        <w:tabs>
          <w:tab w:val="num" w:pos="567"/>
        </w:tabs>
        <w:spacing w:after="0" w:line="240" w:lineRule="auto"/>
        <w:ind w:left="567" w:hanging="425"/>
        <w:jc w:val="both"/>
        <w:rPr>
          <w:rFonts w:ascii="Arial" w:eastAsia="Calibri" w:hAnsi="Arial" w:cs="Arial"/>
        </w:rPr>
      </w:pPr>
      <w:r w:rsidRPr="006312E8">
        <w:rPr>
          <w:rFonts w:ascii="Arial" w:eastAsia="Calibri" w:hAnsi="Arial" w:cs="Arial"/>
        </w:rPr>
        <w:t>Establecer los mecanismos aplicables al registro, inscripción y fiscalización de los bienes de propiedad estatal, con excepción de los de propiedad de los gobiernos locales y del Gobierno Nacional, de acuerdo con la normatividad vigente.</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ind w:left="709"/>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6312E8" w:rsidP="006312E8">
      <w:pPr>
        <w:numPr>
          <w:ilvl w:val="0"/>
          <w:numId w:val="8"/>
        </w:numPr>
        <w:spacing w:after="0" w:line="240" w:lineRule="auto"/>
        <w:ind w:left="993" w:hanging="284"/>
        <w:contextualSpacing/>
        <w:jc w:val="both"/>
        <w:rPr>
          <w:rFonts w:ascii="Arial" w:eastAsia="Calibri" w:hAnsi="Arial" w:cs="Arial"/>
          <w:b/>
          <w:color w:val="4F6228"/>
          <w:sz w:val="16"/>
          <w:szCs w:val="16"/>
        </w:rPr>
      </w:pPr>
      <w:r w:rsidRPr="006312E8">
        <w:rPr>
          <w:rFonts w:ascii="Arial" w:eastAsia="Calibri" w:hAnsi="Arial" w:cs="Arial"/>
          <w:b/>
          <w:color w:val="4F6228"/>
          <w:sz w:val="16"/>
          <w:szCs w:val="16"/>
        </w:rPr>
        <w:t>Ley Nº 29151 (art. 9)</w:t>
      </w:r>
    </w:p>
    <w:p w:rsidR="006312E8" w:rsidRPr="006312E8" w:rsidRDefault="006312E8" w:rsidP="006312E8">
      <w:pPr>
        <w:numPr>
          <w:ilvl w:val="0"/>
          <w:numId w:val="8"/>
        </w:numPr>
        <w:spacing w:after="0" w:line="240" w:lineRule="auto"/>
        <w:ind w:left="993" w:hanging="284"/>
        <w:contextualSpacing/>
        <w:jc w:val="both"/>
        <w:rPr>
          <w:rFonts w:ascii="Arial" w:eastAsia="Calibri" w:hAnsi="Arial" w:cs="Arial"/>
          <w:b/>
          <w:color w:val="4F6228"/>
          <w:sz w:val="16"/>
          <w:szCs w:val="16"/>
        </w:rPr>
      </w:pPr>
      <w:r w:rsidRPr="006312E8">
        <w:rPr>
          <w:rFonts w:ascii="Arial" w:eastAsia="Calibri" w:hAnsi="Arial" w:cs="Arial"/>
          <w:b/>
          <w:color w:val="4F6228"/>
          <w:sz w:val="16"/>
          <w:szCs w:val="16"/>
        </w:rPr>
        <w:t>Decreto Supremo Nº 007-2008-VIVIENDA (art. 18)</w:t>
      </w:r>
    </w:p>
    <w:p w:rsidR="006312E8" w:rsidRPr="006312E8" w:rsidRDefault="006312E8" w:rsidP="006312E8">
      <w:pPr>
        <w:numPr>
          <w:ilvl w:val="0"/>
          <w:numId w:val="8"/>
        </w:numPr>
        <w:spacing w:after="0" w:line="240" w:lineRule="auto"/>
        <w:ind w:left="993" w:hanging="284"/>
        <w:contextualSpacing/>
        <w:jc w:val="both"/>
        <w:rPr>
          <w:rFonts w:ascii="Arial" w:eastAsia="Calibri" w:hAnsi="Arial" w:cs="Arial"/>
          <w:b/>
          <w:color w:val="4F6228"/>
          <w:sz w:val="16"/>
          <w:szCs w:val="16"/>
        </w:rPr>
      </w:pPr>
      <w:r w:rsidRPr="006312E8">
        <w:rPr>
          <w:rFonts w:ascii="Arial" w:eastAsia="Calibri" w:hAnsi="Arial" w:cs="Arial"/>
          <w:b/>
          <w:color w:val="4F6228"/>
          <w:sz w:val="16"/>
          <w:szCs w:val="16"/>
        </w:rPr>
        <w:t>Decreto Supremo Nº 025-2008-PCM (art. 1)</w:t>
      </w:r>
    </w:p>
    <w:p w:rsidR="006312E8" w:rsidRPr="006312E8" w:rsidRDefault="006312E8" w:rsidP="006312E8">
      <w:pPr>
        <w:numPr>
          <w:ilvl w:val="0"/>
          <w:numId w:val="8"/>
        </w:numPr>
        <w:spacing w:after="0" w:line="240" w:lineRule="auto"/>
        <w:ind w:left="993" w:hanging="284"/>
        <w:contextualSpacing/>
        <w:jc w:val="both"/>
        <w:rPr>
          <w:rFonts w:ascii="Arial" w:eastAsia="Calibri" w:hAnsi="Arial" w:cs="Arial"/>
          <w:b/>
          <w:color w:val="4F6228"/>
          <w:sz w:val="16"/>
          <w:szCs w:val="16"/>
        </w:rPr>
      </w:pPr>
      <w:r w:rsidRPr="006312E8">
        <w:rPr>
          <w:rFonts w:ascii="Arial" w:eastAsia="Calibri" w:hAnsi="Arial" w:cs="Arial"/>
          <w:b/>
          <w:color w:val="4F6228"/>
          <w:sz w:val="16"/>
          <w:szCs w:val="16"/>
        </w:rPr>
        <w:t>Decreto Supremo Nº 049-2008-PCM</w:t>
      </w:r>
    </w:p>
    <w:p w:rsidR="006312E8" w:rsidRPr="006312E8" w:rsidRDefault="006312E8" w:rsidP="006312E8">
      <w:pPr>
        <w:numPr>
          <w:ilvl w:val="0"/>
          <w:numId w:val="8"/>
        </w:numPr>
        <w:spacing w:after="0" w:line="240" w:lineRule="auto"/>
        <w:ind w:left="993" w:hanging="284"/>
        <w:contextualSpacing/>
        <w:jc w:val="both"/>
        <w:rPr>
          <w:rFonts w:ascii="Arial" w:eastAsia="Calibri" w:hAnsi="Arial" w:cs="Arial"/>
          <w:b/>
          <w:color w:val="4F6228"/>
          <w:sz w:val="16"/>
          <w:szCs w:val="16"/>
        </w:rPr>
      </w:pPr>
      <w:r w:rsidRPr="006312E8">
        <w:rPr>
          <w:rFonts w:ascii="Arial" w:eastAsia="Calibri" w:hAnsi="Arial" w:cs="Arial"/>
          <w:b/>
          <w:color w:val="4F6228"/>
          <w:sz w:val="16"/>
          <w:szCs w:val="16"/>
        </w:rPr>
        <w:t>Decreto Supremo Nº 047-2009-PCM (art. 11)</w:t>
      </w:r>
    </w:p>
    <w:p w:rsidR="006312E8" w:rsidRPr="006312E8" w:rsidRDefault="006312E8" w:rsidP="006312E8">
      <w:pPr>
        <w:spacing w:after="0" w:line="240" w:lineRule="auto"/>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color w:val="4F6228"/>
          <w:sz w:val="16"/>
          <w:szCs w:val="16"/>
        </w:rPr>
      </w:pPr>
    </w:p>
    <w:p w:rsidR="006312E8" w:rsidRPr="006312E8" w:rsidRDefault="006312E8" w:rsidP="00E104C8">
      <w:pPr>
        <w:pStyle w:val="TITO2"/>
      </w:pPr>
      <w:bookmarkStart w:id="353" w:name="_Toc392856239"/>
      <w:bookmarkStart w:id="354" w:name="_Toc399335512"/>
      <w:bookmarkStart w:id="355" w:name="_Toc421025458"/>
      <w:bookmarkStart w:id="356" w:name="_Toc470855561"/>
      <w:bookmarkStart w:id="357" w:name="LEY27972"/>
      <w:r w:rsidRPr="006312E8">
        <w:t>LEY Nº 27972</w:t>
      </w:r>
      <w:bookmarkEnd w:id="353"/>
      <w:bookmarkEnd w:id="354"/>
      <w:bookmarkEnd w:id="355"/>
      <w:bookmarkEnd w:id="356"/>
    </w:p>
    <w:bookmarkEnd w:id="357"/>
    <w:p w:rsidR="006312E8" w:rsidRPr="006312E8" w:rsidRDefault="006312E8" w:rsidP="006312E8">
      <w:pPr>
        <w:spacing w:after="0" w:line="240" w:lineRule="auto"/>
        <w:jc w:val="center"/>
        <w:rPr>
          <w:rFonts w:ascii="Arial" w:eastAsia="Calibri" w:hAnsi="Arial" w:cs="Arial"/>
          <w:b/>
        </w:rPr>
      </w:pPr>
    </w:p>
    <w:p w:rsidR="006312E8" w:rsidRPr="006312E8" w:rsidRDefault="006312E8" w:rsidP="006312E8">
      <w:pPr>
        <w:spacing w:after="0" w:line="240" w:lineRule="auto"/>
        <w:jc w:val="center"/>
        <w:rPr>
          <w:rFonts w:ascii="Arial" w:eastAsia="Calibri" w:hAnsi="Arial" w:cs="Arial"/>
          <w:b/>
        </w:rPr>
      </w:pPr>
      <w:r w:rsidRPr="006312E8">
        <w:rPr>
          <w:rFonts w:ascii="Arial" w:eastAsia="Calibri" w:hAnsi="Arial" w:cs="Arial"/>
          <w:b/>
        </w:rPr>
        <w:t>Ley Orgánica de Municipalidades</w:t>
      </w:r>
    </w:p>
    <w:p w:rsidR="006312E8" w:rsidRPr="006312E8" w:rsidRDefault="006312E8" w:rsidP="006312E8">
      <w:pPr>
        <w:spacing w:after="0" w:line="240" w:lineRule="auto"/>
        <w:jc w:val="center"/>
        <w:rPr>
          <w:rFonts w:ascii="Arial" w:eastAsia="Calibri" w:hAnsi="Arial" w:cs="Arial"/>
          <w:b/>
        </w:rPr>
      </w:pPr>
      <w:r w:rsidRPr="006312E8">
        <w:rPr>
          <w:rFonts w:ascii="Arial" w:eastAsia="Calibri" w:hAnsi="Arial" w:cs="Arial"/>
          <w:b/>
        </w:rPr>
        <w:t>(Extracto)</w:t>
      </w:r>
    </w:p>
    <w:p w:rsidR="006312E8" w:rsidRPr="006312E8" w:rsidRDefault="006312E8" w:rsidP="006312E8">
      <w:pPr>
        <w:spacing w:after="0" w:line="240" w:lineRule="auto"/>
        <w:jc w:val="right"/>
        <w:rPr>
          <w:rFonts w:ascii="Arial" w:eastAsia="Calibri" w:hAnsi="Arial" w:cs="Arial"/>
          <w:b/>
          <w:color w:val="4F6228"/>
        </w:rPr>
      </w:pPr>
    </w:p>
    <w:p w:rsidR="006312E8" w:rsidRPr="006312E8" w:rsidRDefault="006312E8" w:rsidP="006312E8">
      <w:pPr>
        <w:spacing w:after="0" w:line="240" w:lineRule="auto"/>
        <w:jc w:val="right"/>
        <w:rPr>
          <w:rFonts w:ascii="Arial" w:eastAsia="Calibri" w:hAnsi="Arial" w:cs="Arial"/>
          <w:b/>
        </w:rPr>
      </w:pPr>
      <w:r w:rsidRPr="006312E8">
        <w:rPr>
          <w:rFonts w:ascii="Arial" w:eastAsia="Calibri" w:hAnsi="Arial" w:cs="Arial"/>
          <w:b/>
        </w:rPr>
        <w:t>Fecha de publicación: 27-05-2003</w:t>
      </w:r>
    </w:p>
    <w:p w:rsidR="006312E8" w:rsidRPr="006312E8" w:rsidRDefault="006312E8" w:rsidP="006312E8">
      <w:pPr>
        <w:spacing w:after="0" w:line="240" w:lineRule="auto"/>
        <w:jc w:val="both"/>
        <w:rPr>
          <w:rFonts w:ascii="Arial" w:eastAsia="Calibri" w:hAnsi="Arial" w:cs="Arial"/>
          <w:b/>
          <w:color w:val="4F6228"/>
          <w:sz w:val="16"/>
          <w:szCs w:val="16"/>
        </w:rPr>
      </w:pPr>
    </w:p>
    <w:p w:rsidR="006312E8" w:rsidRPr="006312E8" w:rsidRDefault="006312E8" w:rsidP="006312E8">
      <w:pPr>
        <w:spacing w:after="0" w:line="240" w:lineRule="auto"/>
        <w:jc w:val="both"/>
        <w:rPr>
          <w:rFonts w:ascii="Arial" w:eastAsia="Calibri" w:hAnsi="Arial" w:cs="Arial"/>
          <w:b/>
          <w:color w:val="7F9E40"/>
          <w:sz w:val="18"/>
          <w:szCs w:val="18"/>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ARTÍCULO 55.- PATRIMONIO MUNICIPAL</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ab/>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Los bienes, rentas y derechos de cada municipalidad constituyen su patrimonio.</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El patrimonio municipal se administra por cada municipalidad en forma autónoma, con las garantías y responsabilidades de ley.</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Los bienes de dominio público de las municipalidades son inalienables e imprescriptibles.</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Todo acto de disposición o de garantía sobre el patrimonio municipal debe ser de conocimiento público.</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ARTÍCULO 56.- BIENES DE PROPIEDAD MUNICIPAL</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ab/>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Son bienes de las municipalidades:</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241D1D">
      <w:pPr>
        <w:numPr>
          <w:ilvl w:val="1"/>
          <w:numId w:val="61"/>
        </w:numPr>
        <w:spacing w:after="0" w:line="240" w:lineRule="auto"/>
        <w:ind w:left="426"/>
        <w:jc w:val="both"/>
        <w:rPr>
          <w:rFonts w:ascii="Arial" w:eastAsia="Calibri" w:hAnsi="Arial" w:cs="Arial"/>
        </w:rPr>
      </w:pPr>
      <w:r w:rsidRPr="006312E8">
        <w:rPr>
          <w:rFonts w:ascii="Arial" w:eastAsia="Calibri" w:hAnsi="Arial" w:cs="Arial"/>
        </w:rPr>
        <w:t>Los bienes inmuebles y muebles de uso público destinados a servicios públicos locales.</w:t>
      </w:r>
    </w:p>
    <w:p w:rsidR="006312E8" w:rsidRPr="006312E8" w:rsidRDefault="006312E8" w:rsidP="006312E8">
      <w:pPr>
        <w:spacing w:after="0" w:line="240" w:lineRule="auto"/>
        <w:ind w:left="426"/>
        <w:jc w:val="both"/>
        <w:rPr>
          <w:rFonts w:ascii="Arial" w:eastAsia="Calibri" w:hAnsi="Arial" w:cs="Arial"/>
        </w:rPr>
      </w:pPr>
    </w:p>
    <w:p w:rsidR="006312E8" w:rsidRPr="006312E8" w:rsidRDefault="006312E8" w:rsidP="00241D1D">
      <w:pPr>
        <w:numPr>
          <w:ilvl w:val="1"/>
          <w:numId w:val="61"/>
        </w:numPr>
        <w:spacing w:after="0" w:line="240" w:lineRule="auto"/>
        <w:ind w:left="426"/>
        <w:jc w:val="both"/>
        <w:rPr>
          <w:rFonts w:ascii="Arial" w:eastAsia="Calibri" w:hAnsi="Arial" w:cs="Arial"/>
        </w:rPr>
      </w:pPr>
      <w:r w:rsidRPr="006312E8">
        <w:rPr>
          <w:rFonts w:ascii="Arial" w:eastAsia="Calibri" w:hAnsi="Arial" w:cs="Arial"/>
        </w:rPr>
        <w:t>Los edificios municipales y sus instalaciones y, en general, todos los bienes adquiridos, construidos y/o sostenidos por la municipalidad.</w:t>
      </w:r>
    </w:p>
    <w:p w:rsidR="006312E8" w:rsidRPr="006312E8" w:rsidRDefault="006312E8" w:rsidP="006312E8">
      <w:pPr>
        <w:spacing w:after="0" w:line="240" w:lineRule="auto"/>
        <w:ind w:left="426"/>
        <w:jc w:val="both"/>
        <w:rPr>
          <w:rFonts w:ascii="Arial" w:eastAsia="Calibri" w:hAnsi="Arial" w:cs="Arial"/>
        </w:rPr>
      </w:pPr>
    </w:p>
    <w:p w:rsidR="006312E8" w:rsidRPr="006312E8" w:rsidRDefault="006312E8" w:rsidP="00241D1D">
      <w:pPr>
        <w:numPr>
          <w:ilvl w:val="1"/>
          <w:numId w:val="61"/>
        </w:numPr>
        <w:spacing w:after="0" w:line="240" w:lineRule="auto"/>
        <w:ind w:left="426"/>
        <w:jc w:val="both"/>
        <w:rPr>
          <w:rFonts w:ascii="Arial" w:eastAsia="Calibri" w:hAnsi="Arial" w:cs="Arial"/>
        </w:rPr>
      </w:pPr>
      <w:r w:rsidRPr="006312E8">
        <w:rPr>
          <w:rFonts w:ascii="Arial" w:eastAsia="Calibri" w:hAnsi="Arial" w:cs="Arial"/>
        </w:rPr>
        <w:t>Las acciones y participaciones de las empresas municipales.</w:t>
      </w:r>
    </w:p>
    <w:p w:rsidR="006312E8" w:rsidRPr="006312E8" w:rsidRDefault="006312E8" w:rsidP="006312E8">
      <w:pPr>
        <w:spacing w:after="0" w:line="240" w:lineRule="auto"/>
        <w:ind w:left="426"/>
        <w:jc w:val="both"/>
        <w:rPr>
          <w:rFonts w:ascii="Arial" w:eastAsia="Calibri" w:hAnsi="Arial" w:cs="Arial"/>
        </w:rPr>
      </w:pPr>
    </w:p>
    <w:p w:rsidR="006312E8" w:rsidRPr="006312E8" w:rsidRDefault="006312E8" w:rsidP="00241D1D">
      <w:pPr>
        <w:numPr>
          <w:ilvl w:val="1"/>
          <w:numId w:val="61"/>
        </w:numPr>
        <w:spacing w:after="0" w:line="240" w:lineRule="auto"/>
        <w:ind w:left="426"/>
        <w:jc w:val="both"/>
        <w:rPr>
          <w:rFonts w:ascii="Arial" w:eastAsia="Calibri" w:hAnsi="Arial" w:cs="Arial"/>
        </w:rPr>
      </w:pPr>
      <w:r w:rsidRPr="006312E8">
        <w:rPr>
          <w:rFonts w:ascii="Arial" w:eastAsia="Calibri" w:hAnsi="Arial" w:cs="Arial"/>
        </w:rPr>
        <w:t>Los caudales, acciones, bonos, participaciones sociales, derechos o cualquier otro bien que represente valores cuantificables económicamente.</w:t>
      </w:r>
    </w:p>
    <w:p w:rsidR="006312E8" w:rsidRPr="006312E8" w:rsidRDefault="006312E8" w:rsidP="006312E8">
      <w:pPr>
        <w:spacing w:after="0" w:line="240" w:lineRule="auto"/>
        <w:ind w:left="426"/>
        <w:jc w:val="both"/>
        <w:rPr>
          <w:rFonts w:ascii="Arial" w:eastAsia="Calibri" w:hAnsi="Arial" w:cs="Arial"/>
        </w:rPr>
      </w:pPr>
    </w:p>
    <w:p w:rsidR="006312E8" w:rsidRPr="006312E8" w:rsidRDefault="006312E8" w:rsidP="00241D1D">
      <w:pPr>
        <w:numPr>
          <w:ilvl w:val="1"/>
          <w:numId w:val="61"/>
        </w:numPr>
        <w:spacing w:after="0" w:line="240" w:lineRule="auto"/>
        <w:ind w:left="426"/>
        <w:jc w:val="both"/>
        <w:rPr>
          <w:rFonts w:ascii="Arial" w:eastAsia="Calibri" w:hAnsi="Arial" w:cs="Arial"/>
        </w:rPr>
      </w:pPr>
      <w:r w:rsidRPr="006312E8">
        <w:rPr>
          <w:rFonts w:ascii="Arial" w:eastAsia="Calibri" w:hAnsi="Arial" w:cs="Arial"/>
        </w:rPr>
        <w:t>Los terrenos eriazos, abandonados y ribereños que le transfiera el Gobierno Nacional.</w:t>
      </w:r>
    </w:p>
    <w:p w:rsidR="006312E8" w:rsidRPr="006312E8" w:rsidRDefault="006312E8" w:rsidP="006312E8">
      <w:pPr>
        <w:spacing w:after="0" w:line="240" w:lineRule="auto"/>
        <w:ind w:left="426"/>
        <w:jc w:val="both"/>
        <w:rPr>
          <w:rFonts w:ascii="Arial" w:eastAsia="Calibri" w:hAnsi="Arial" w:cs="Arial"/>
        </w:rPr>
      </w:pPr>
    </w:p>
    <w:p w:rsidR="006312E8" w:rsidRPr="006312E8" w:rsidRDefault="006312E8" w:rsidP="00241D1D">
      <w:pPr>
        <w:numPr>
          <w:ilvl w:val="1"/>
          <w:numId w:val="61"/>
        </w:numPr>
        <w:spacing w:after="0" w:line="240" w:lineRule="auto"/>
        <w:ind w:left="426"/>
        <w:jc w:val="both"/>
        <w:rPr>
          <w:rFonts w:ascii="Arial" w:eastAsia="Calibri" w:hAnsi="Arial" w:cs="Arial"/>
        </w:rPr>
      </w:pPr>
      <w:r w:rsidRPr="006312E8">
        <w:rPr>
          <w:rFonts w:ascii="Arial" w:eastAsia="Calibri" w:hAnsi="Arial" w:cs="Arial"/>
        </w:rPr>
        <w:t xml:space="preserve">Los aportes provenientes de habilitaciones urbanas. </w:t>
      </w:r>
    </w:p>
    <w:p w:rsidR="006312E8" w:rsidRPr="006312E8" w:rsidRDefault="006312E8" w:rsidP="006312E8">
      <w:pPr>
        <w:spacing w:after="0" w:line="240" w:lineRule="auto"/>
        <w:ind w:left="426"/>
        <w:jc w:val="both"/>
        <w:rPr>
          <w:rFonts w:ascii="Arial" w:eastAsia="Calibri" w:hAnsi="Arial" w:cs="Arial"/>
        </w:rPr>
      </w:pPr>
    </w:p>
    <w:p w:rsidR="006312E8" w:rsidRPr="006312E8" w:rsidRDefault="006312E8" w:rsidP="00241D1D">
      <w:pPr>
        <w:numPr>
          <w:ilvl w:val="1"/>
          <w:numId w:val="61"/>
        </w:numPr>
        <w:spacing w:after="0" w:line="240" w:lineRule="auto"/>
        <w:ind w:left="426"/>
        <w:jc w:val="both"/>
        <w:rPr>
          <w:rFonts w:ascii="Arial" w:eastAsia="Calibri" w:hAnsi="Arial" w:cs="Arial"/>
        </w:rPr>
      </w:pPr>
      <w:r w:rsidRPr="006312E8">
        <w:rPr>
          <w:rFonts w:ascii="Arial" w:eastAsia="Calibri" w:hAnsi="Arial" w:cs="Arial"/>
        </w:rPr>
        <w:t>Los legados o donaciones que se instituyan en su favor.</w:t>
      </w:r>
    </w:p>
    <w:p w:rsidR="006312E8" w:rsidRPr="006312E8" w:rsidRDefault="006312E8" w:rsidP="006312E8">
      <w:pPr>
        <w:spacing w:after="0" w:line="240" w:lineRule="auto"/>
        <w:ind w:left="426"/>
        <w:jc w:val="both"/>
        <w:rPr>
          <w:rFonts w:ascii="Arial" w:eastAsia="Calibri" w:hAnsi="Arial" w:cs="Arial"/>
        </w:rPr>
      </w:pPr>
    </w:p>
    <w:p w:rsidR="006312E8" w:rsidRPr="006312E8" w:rsidRDefault="006312E8" w:rsidP="00241D1D">
      <w:pPr>
        <w:numPr>
          <w:ilvl w:val="1"/>
          <w:numId w:val="61"/>
        </w:numPr>
        <w:spacing w:after="0" w:line="240" w:lineRule="auto"/>
        <w:ind w:left="426"/>
        <w:jc w:val="both"/>
        <w:rPr>
          <w:rFonts w:ascii="Arial" w:eastAsia="Calibri" w:hAnsi="Arial" w:cs="Arial"/>
        </w:rPr>
      </w:pPr>
      <w:r w:rsidRPr="006312E8">
        <w:rPr>
          <w:rFonts w:ascii="Arial" w:eastAsia="Calibri" w:hAnsi="Arial" w:cs="Arial"/>
        </w:rPr>
        <w:t>Todos los demás que adquiera cada municipio.</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Las vías y áreas públicas, con subsuelo y aires son bienes de dominio y uso público.</w:t>
      </w:r>
    </w:p>
    <w:p w:rsidR="006312E8" w:rsidRPr="006312E8" w:rsidRDefault="006312E8" w:rsidP="006312E8">
      <w:pPr>
        <w:spacing w:after="0" w:line="240" w:lineRule="auto"/>
        <w:ind w:firstLine="705"/>
        <w:rPr>
          <w:rFonts w:ascii="Arial" w:eastAsia="Calibri" w:hAnsi="Arial" w:cs="Arial"/>
          <w:b/>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ARTÍCULO 59.- DISPOSICIÓN DE BIENES MUNICIPALES</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Los bienes municipales pueden ser transferidos, concesionados en uso o explotación, arrendados o modificado su estado de posesión o propiedad mediante cualquier otra modalidad, por acuerdo del concejo municipal.</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Cualquier transferencia de propiedad o concesión sobre bienes municipales se hace a través de subasta pública, conforme a ley.</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Estos acuerdos deben ser puestos en conocimiento de la Contraloría General de la República en un plazo no mayor de 7 (siete) días, bajo responsabilidad.</w:t>
      </w:r>
    </w:p>
    <w:p w:rsidR="006312E8" w:rsidRDefault="006312E8" w:rsidP="006312E8">
      <w:pPr>
        <w:spacing w:after="0" w:line="240" w:lineRule="auto"/>
        <w:jc w:val="both"/>
        <w:rPr>
          <w:rFonts w:ascii="Arial" w:eastAsia="Calibri" w:hAnsi="Arial" w:cs="Arial"/>
        </w:rPr>
      </w:pPr>
    </w:p>
    <w:p w:rsidR="00C61CE9" w:rsidRPr="006312E8" w:rsidRDefault="00C61CE9"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ARTÍCULO 60.- TRANSFERENCIA DE TIERRAS PÚBLICAS</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El gobierno nacional, a petición de las municipalidades, puede transferir las tierras eriazas, abandonadas y ribereñas que se encuentren en el territorio de su jurisdicción y que requiera para sus planes de desarrollo.</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ARTÍCULO 61.- PETICIÓN DE ADJUDICACIÓN DE TIERRAS AL ESTADO</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La petición de adjudicación de tierras al Estado se aprueba por el concejo municipal, para sí o para la municipalidad de centro poblado que lo requiera, con el voto conforme de las dos terceras partes del número legal de regidores y teniendo a la vista el proyecto completo de uso de los bienes solicitados y las evaluaciones del impacto ambiental que puede generarse.</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ARTÍCULO 62.- CONDICIÓN DE BIENES PÚBLICOS</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Las playas, ríos, manantiales, corrientes de agua, así como los lagos, son bienes de uso público. Solamente por razones de seguridad nacional pueden ser objeto de concesión para otros usos.</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ARTÍCULO 64.- DONACIÓN DE BIENES MUNICIPALES</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Las municipalidades, por excepción, pueden donar, o permutar, bienes de su propiedad a los Poderes del Estado o a otros organismos del Sector Público.</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Las donaciones de bienes a favor de una municipalidad están exoneradas de todo impuesto, conforme a la ley de la materia, así como del pago de los derechos regístrales y derechos arancelarios cuando los bienes provienen del extranjero.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E104C8">
      <w:pPr>
        <w:pStyle w:val="TITO2"/>
      </w:pPr>
      <w:bookmarkStart w:id="358" w:name="_Toc392856240"/>
      <w:bookmarkStart w:id="359" w:name="_Toc399335513"/>
      <w:bookmarkStart w:id="360" w:name="_Toc421025459"/>
      <w:bookmarkStart w:id="361" w:name="_Toc470855562"/>
      <w:r w:rsidRPr="006312E8">
        <w:t>DECRETO SUPREMO Nº 023-2004-PCM</w:t>
      </w:r>
      <w:bookmarkEnd w:id="358"/>
      <w:bookmarkEnd w:id="359"/>
      <w:bookmarkEnd w:id="360"/>
      <w:bookmarkEnd w:id="361"/>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Jerarquización de los Bienes del Estado por su Alcance Nacional, Regional y Local, en el Marco del Proceso de la Descentralización</w:t>
      </w:r>
    </w:p>
    <w:p w:rsidR="006312E8" w:rsidRPr="006312E8" w:rsidRDefault="006312E8" w:rsidP="006312E8">
      <w:pPr>
        <w:spacing w:after="0" w:line="240" w:lineRule="auto"/>
        <w:contextualSpacing/>
        <w:jc w:val="center"/>
        <w:rPr>
          <w:rFonts w:ascii="Arial" w:eastAsia="Calibri" w:hAnsi="Arial" w:cs="Arial"/>
          <w:b/>
          <w:lang w:val="es-ES"/>
        </w:rPr>
      </w:pPr>
    </w:p>
    <w:p w:rsidR="006312E8" w:rsidRPr="006312E8" w:rsidRDefault="006312E8" w:rsidP="006312E8">
      <w:pPr>
        <w:spacing w:after="0" w:line="240" w:lineRule="auto"/>
        <w:contextualSpacing/>
        <w:jc w:val="right"/>
        <w:rPr>
          <w:rFonts w:ascii="Arial" w:eastAsia="Calibri" w:hAnsi="Arial" w:cs="Arial"/>
          <w:b/>
          <w:lang w:val="es-ES"/>
        </w:rPr>
      </w:pPr>
      <w:r w:rsidRPr="006312E8">
        <w:rPr>
          <w:rFonts w:ascii="Arial" w:eastAsia="Calibri" w:hAnsi="Arial" w:cs="Arial"/>
          <w:b/>
          <w:lang w:val="es-ES"/>
        </w:rPr>
        <w:t>Fecha de publicación 24-03-2004</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EL PRESIDENTE DE LA REPÚBLICA</w:t>
      </w: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CONSIDERANDO: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el Estado Peruano es propietario de los bienes muebles e inmuebles ubicados en el territorio de la República y en el extranjero que le corresponden por ley y ejerce su dominio administrativamente, a través del Gobierno Nacional, los Gobiernos Regionales y los Gobiernos Locales;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el Estado Peruano ha formalizado su dominio sobre un conjunto de bienes, ejerciendo acciones de formalización respecto de otros, cuya titulación se encuentra en proceso de saneamiento técnico, legal y contable;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los activos del Estado, como un conjunto de bienes, valores y derechos, sea por su alcance nacional, regional o local, deben reflejarse en los correspondientes registros jurídicos, administrativos, contables y financieros de las entidades públicas a cargo de ellos, a efectos de verificar e implementar los mecanismos para su respectiva custodia física y seguridad jurídica;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los bienes de propiedad estatal están, destinados a una determinada finalidad de servicio público, gestión administrativa o administración especial, según las competencias conferidas por ley a las distintas entidades públicas con atribuciones legales y estatutariamente establecidas, para el cumplimiento de sus fines y objetivos institucionales;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el Estado Peruano asume el dominio de aquellos terrenos eriazos ubicados en el territorio nacional, excepto aquellos de propiedad privada inscrita en los Registros Públicos, ejerciendo los atributos conforme a las leyes de la materia y normas reglamentarias pertinentes;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el artículo 25 de la Ley Nº 27783, Ley de Bases de la Descentralización, establece que el Gobierno Nacional es ejercido por el Poder Ejecutivo, de acuerdo a la Constitución Política, su Ley Orgánica y la referida ley, estableciéndose en el numeral 26.1 de la misma norma legal sus competencias exclusivas, entre las que figuran la regulación y gestión de la infraestructura pública de carácter y alcance nacional y otras que señale la ley, conforme a la Constitución Política del Estado;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el artículo 37 de la Ley acotada, señala que son bienes regionales los muebles e inmuebles de su propiedad, incluyendo aquella que corresponden a los activos y pasivos de los Consejos Transitorios de Administración Regional;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el artículo 56 de la Ley Nº 27972, Ley Orgánica de Municipalidades, precisa que son bienes de las municipalidades, i) los bienes inmuebles de uso público destinados a servicios públicos municipales, ii) Los edificios municipales y sus instalaciones y en general, todos los predios adquiridos, construidos y sostenidos por la municipalidad, iii) los terrenos eriazos abandonados y ribereños que le transfiera el Gobierno Nacional, iv) los bienes que les transfiera el Gobierno Nacional o Regional, para el cumplimiento de sus fines institucionales, v) los legados o donaciones que se instituyan en su favor y vi) los bienes que adquiera, conforme a ley;</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el actual ordenamiento legal y reglamentario de la propiedad estatal, establece el régimen jurídico vigente relativo a los actos de disposición y administración de los bienes de dominio privado del Estado, a cuya regulación deberán someterse los activos de alcance nacional, regional y local, en todo lo que le fuera aplicable, conforme a las competencias correspondientes;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el literal a) del artículo 45 de la Ley Nº 27867, Ley Orgánica de Gobiernos Regionales, modificado por el artículo 4 de la Ley Nº 27902, establece que corresponde al Gobierno Nacional determinar la jerarquización de los activos, empresas y proyectos por su alcance nacional, regional o local la que se aprobará mediante Decreto Supremo con el voto aprobatorio del Consejo de Ministros, previa opinión técnica del Consejo Nacional de Descentralización;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la Cuarta Disposición Transitoria, Complementaria y Final de la Ley Orgánica de Gobiernos Regionales, en concordancia con la Tercera Etapa a que se refiere la Segunda Disposición Transitoria de la Ley de Bases de la Descentralización, establece que el 1 de enero de 2004 se inicia la transferencia de funciones sectoriales del Gobierno Nacional hacia los Gobiernos Regionales a través de los Planes Anuales de Transferencia de Competencias Sectoriales, teniendo en cuenta la capacidad de gestión efectiva de dichos Gobiernos, que será determinada mediante un Sistema de Acreditación con base en criterios técnicos y objetivos;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los Sectores del Gobierno Nacional al aprobar sus indicados planes anuales de transferencia de competencias sectoriales, deberán incluir la descripción de los activos del Estado correspondientes a las funciones que transferirán, debiendo el sistema de acreditación establecer los criterios que harán viable la entrega efectiva de dichos activos y empresas, conforme al mandato de la Quinta Disposición Transitoria de la Ley de Bases de Descentralización;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resulta necesario establecer cuáles son los bienes del Estado de alcance nacional, regional y local, respectivamente;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las empresas estatales deberán ser jerarquizadas mediante norma legal específica, por la especialidad de su tratamiento y criterios técnicos de alcance regional y nacional de cada una de ellas;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De acuerdo con lo opinado por el Consejo Nacional de Descentralización;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Con el voto aprobatorio del Consejo de Ministros;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DECRETA: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 Objeto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En atención a que la jerarquización de los activos del Estado constituye uno de los instrumentos del proceso de la descentralización, el presente Decreto Supremo tiene por objeto determinar la definición de los bienes del Estado por su alcance nacional, regional o local, que serán considerados, según corresponda, en las etapas del proceso de la descentralización, en los Planes Anuales de Transferencia de Competencias Sectoriales y en el Sistema Nacional de Acreditación de los Gobiernos Regionales y Locales, establecidos por la Ley de Bases de la Descentralización, la Ley Nº 27783 y sus normas modificatorias, la Ley Orgánica de Gobiernos Regionales, Ley Nº 27867 y sus normas modificatorias, y la Ley Orgánica de Municipalidades, Ley Nº 27972; así como en las demás disposiciones que en materia de descentralización dicte el Congreso de la República y que norme el Consejo Nacional de Descentralización de acuerdo a la responsabilidad que le asigna el artículo 81 de la acotada Ley Nº 27867.</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2.- La jerarquización de los bienes del Estado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Determinar la jerarquización de los bienes del Estado, según los siguientes lineamientos: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numPr>
          <w:ilvl w:val="3"/>
          <w:numId w:val="48"/>
        </w:numPr>
        <w:spacing w:after="0" w:line="240" w:lineRule="auto"/>
        <w:ind w:left="567"/>
        <w:contextualSpacing/>
        <w:jc w:val="both"/>
        <w:rPr>
          <w:rFonts w:ascii="Arial" w:eastAsia="Calibri" w:hAnsi="Arial" w:cs="Arial"/>
          <w:b/>
          <w:lang w:val="es-ES"/>
        </w:rPr>
      </w:pPr>
      <w:r w:rsidRPr="006312E8">
        <w:rPr>
          <w:rFonts w:ascii="Arial" w:eastAsia="Calibri" w:hAnsi="Arial" w:cs="Arial"/>
          <w:b/>
          <w:lang w:val="es-ES"/>
        </w:rPr>
        <w:t>De alcance local:</w:t>
      </w:r>
    </w:p>
    <w:p w:rsidR="006312E8" w:rsidRPr="006312E8" w:rsidRDefault="006312E8" w:rsidP="006312E8">
      <w:pPr>
        <w:spacing w:after="0" w:line="240" w:lineRule="auto"/>
        <w:ind w:left="567"/>
        <w:contextualSpacing/>
        <w:jc w:val="both"/>
        <w:rPr>
          <w:rFonts w:ascii="Arial" w:eastAsia="Calibri" w:hAnsi="Arial" w:cs="Arial"/>
          <w:b/>
          <w:lang w:val="es-ES"/>
        </w:rPr>
      </w:pPr>
    </w:p>
    <w:p w:rsidR="006312E8" w:rsidRPr="006312E8" w:rsidRDefault="006312E8" w:rsidP="0092471C">
      <w:pPr>
        <w:numPr>
          <w:ilvl w:val="0"/>
          <w:numId w:val="130"/>
        </w:numPr>
        <w:spacing w:after="0" w:line="240" w:lineRule="auto"/>
        <w:contextualSpacing/>
        <w:jc w:val="both"/>
        <w:rPr>
          <w:rFonts w:ascii="Arial" w:eastAsia="Calibri" w:hAnsi="Arial" w:cs="Arial"/>
          <w:lang w:val="es-ES"/>
        </w:rPr>
      </w:pPr>
      <w:r w:rsidRPr="006312E8">
        <w:rPr>
          <w:rFonts w:ascii="Arial" w:eastAsia="Calibri" w:hAnsi="Arial" w:cs="Arial"/>
          <w:lang w:val="es-ES"/>
        </w:rPr>
        <w:t>Los bienes muebles e inmuebles de uso público destinados a servicios públicos municipales.</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92471C">
      <w:pPr>
        <w:numPr>
          <w:ilvl w:val="0"/>
          <w:numId w:val="130"/>
        </w:numPr>
        <w:spacing w:after="0" w:line="240" w:lineRule="auto"/>
        <w:contextualSpacing/>
        <w:jc w:val="both"/>
        <w:rPr>
          <w:rFonts w:ascii="Arial" w:eastAsia="Calibri" w:hAnsi="Arial" w:cs="Arial"/>
          <w:lang w:val="es-ES"/>
        </w:rPr>
      </w:pPr>
      <w:r w:rsidRPr="006312E8">
        <w:rPr>
          <w:rFonts w:ascii="Arial" w:eastAsia="Calibri" w:hAnsi="Arial" w:cs="Arial"/>
          <w:lang w:val="es-ES"/>
        </w:rPr>
        <w:t>Los edificios municipales y sus instalaciones y en general, todos los bienes adquiridos, construidos y sostenidos por la municipalidad;</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0"/>
          <w:numId w:val="130"/>
        </w:numPr>
        <w:spacing w:after="0" w:line="240" w:lineRule="auto"/>
        <w:contextualSpacing/>
        <w:jc w:val="both"/>
        <w:rPr>
          <w:rFonts w:ascii="Arial" w:eastAsia="Calibri" w:hAnsi="Arial" w:cs="Arial"/>
          <w:lang w:val="es-ES"/>
        </w:rPr>
      </w:pPr>
      <w:r w:rsidRPr="006312E8">
        <w:rPr>
          <w:rFonts w:ascii="Arial" w:eastAsia="Calibri" w:hAnsi="Arial" w:cs="Arial"/>
          <w:lang w:val="es-ES"/>
        </w:rPr>
        <w:t>Los terrenos eriazos, abandonados y ribereños que le transfiera el Gobierno Nacional;</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0"/>
          <w:numId w:val="130"/>
        </w:numPr>
        <w:spacing w:after="0" w:line="240" w:lineRule="auto"/>
        <w:contextualSpacing/>
        <w:jc w:val="both"/>
        <w:rPr>
          <w:rFonts w:ascii="Arial" w:eastAsia="Calibri" w:hAnsi="Arial" w:cs="Arial"/>
          <w:lang w:val="es-ES"/>
        </w:rPr>
      </w:pPr>
      <w:r w:rsidRPr="006312E8">
        <w:rPr>
          <w:rFonts w:ascii="Arial" w:eastAsia="Calibri" w:hAnsi="Arial" w:cs="Arial"/>
          <w:lang w:val="es-ES"/>
        </w:rPr>
        <w:t>Los bienes muebles e inmuebles que les transfieran los Sectores del Gobierno Nacional o los Gobiernos Regionales, para el cumplimiento de sus fines institucionales, conforme a los Planes Anuales de Transferencia de Competencias Sectoriales;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0"/>
          <w:numId w:val="130"/>
        </w:numPr>
        <w:spacing w:after="0" w:line="240" w:lineRule="auto"/>
        <w:contextualSpacing/>
        <w:jc w:val="both"/>
        <w:rPr>
          <w:rFonts w:ascii="Arial" w:eastAsia="Calibri" w:hAnsi="Arial" w:cs="Arial"/>
          <w:lang w:val="es-ES"/>
        </w:rPr>
      </w:pPr>
      <w:r w:rsidRPr="006312E8">
        <w:rPr>
          <w:rFonts w:ascii="Arial" w:eastAsia="Calibri" w:hAnsi="Arial" w:cs="Arial"/>
          <w:lang w:val="es-ES"/>
        </w:rPr>
        <w:t>Los legados o donaciones que se instituyan en su favor;</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0"/>
          <w:numId w:val="130"/>
        </w:numPr>
        <w:spacing w:after="0" w:line="240" w:lineRule="auto"/>
        <w:contextualSpacing/>
        <w:jc w:val="both"/>
        <w:rPr>
          <w:rFonts w:ascii="Arial" w:eastAsia="Calibri" w:hAnsi="Arial" w:cs="Arial"/>
          <w:lang w:val="es-ES"/>
        </w:rPr>
      </w:pPr>
      <w:r w:rsidRPr="006312E8">
        <w:rPr>
          <w:rFonts w:ascii="Arial" w:eastAsia="Calibri" w:hAnsi="Arial" w:cs="Arial"/>
          <w:lang w:val="es-ES"/>
        </w:rPr>
        <w:t>Los bienes que adquiera, conforme a ley.</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6312E8">
      <w:pPr>
        <w:numPr>
          <w:ilvl w:val="3"/>
          <w:numId w:val="48"/>
        </w:numPr>
        <w:spacing w:after="0" w:line="240" w:lineRule="auto"/>
        <w:ind w:left="567"/>
        <w:contextualSpacing/>
        <w:jc w:val="both"/>
        <w:rPr>
          <w:rFonts w:ascii="Arial" w:eastAsia="Calibri" w:hAnsi="Arial" w:cs="Arial"/>
          <w:b/>
          <w:lang w:val="es-ES"/>
        </w:rPr>
      </w:pPr>
      <w:r w:rsidRPr="006312E8">
        <w:rPr>
          <w:rFonts w:ascii="Arial" w:eastAsia="Calibri" w:hAnsi="Arial" w:cs="Arial"/>
          <w:b/>
          <w:lang w:val="es-ES"/>
        </w:rPr>
        <w:t>De alcance regional:</w:t>
      </w:r>
    </w:p>
    <w:p w:rsidR="006312E8" w:rsidRPr="006312E8" w:rsidRDefault="006312E8" w:rsidP="006312E8">
      <w:pPr>
        <w:spacing w:after="0" w:line="240" w:lineRule="auto"/>
        <w:ind w:left="567"/>
        <w:contextualSpacing/>
        <w:jc w:val="both"/>
        <w:rPr>
          <w:rFonts w:ascii="Arial" w:eastAsia="Calibri" w:hAnsi="Arial" w:cs="Arial"/>
          <w:b/>
          <w:lang w:val="es-ES"/>
        </w:rPr>
      </w:pPr>
    </w:p>
    <w:p w:rsidR="006312E8" w:rsidRPr="006312E8" w:rsidRDefault="006312E8" w:rsidP="0092471C">
      <w:pPr>
        <w:numPr>
          <w:ilvl w:val="1"/>
          <w:numId w:val="122"/>
        </w:numPr>
        <w:spacing w:after="0" w:line="240" w:lineRule="auto"/>
        <w:ind w:left="1134"/>
        <w:contextualSpacing/>
        <w:jc w:val="both"/>
        <w:rPr>
          <w:rFonts w:ascii="Arial" w:eastAsia="Calibri" w:hAnsi="Arial" w:cs="Arial"/>
          <w:lang w:val="es-ES"/>
        </w:rPr>
      </w:pPr>
      <w:r w:rsidRPr="006312E8">
        <w:rPr>
          <w:rFonts w:ascii="Arial" w:eastAsia="Calibri" w:hAnsi="Arial" w:cs="Arial"/>
          <w:lang w:val="es-ES"/>
        </w:rPr>
        <w:t>Los bienes muebles e inmuebles que les fueron transferidos por los Consejos Transitorios de Administración Regional, en el marco del proceso de la descentralización;</w:t>
      </w:r>
    </w:p>
    <w:p w:rsidR="006312E8" w:rsidRPr="006312E8" w:rsidRDefault="006312E8" w:rsidP="006312E8">
      <w:pPr>
        <w:spacing w:after="0" w:line="240" w:lineRule="auto"/>
        <w:ind w:left="1134"/>
        <w:contextualSpacing/>
        <w:jc w:val="both"/>
        <w:rPr>
          <w:rFonts w:ascii="Arial" w:eastAsia="Calibri" w:hAnsi="Arial" w:cs="Arial"/>
          <w:lang w:val="es-ES"/>
        </w:rPr>
      </w:pPr>
    </w:p>
    <w:p w:rsidR="006312E8" w:rsidRPr="006312E8" w:rsidRDefault="006312E8" w:rsidP="0092471C">
      <w:pPr>
        <w:numPr>
          <w:ilvl w:val="1"/>
          <w:numId w:val="122"/>
        </w:numPr>
        <w:spacing w:after="0" w:line="240" w:lineRule="auto"/>
        <w:ind w:left="1134"/>
        <w:contextualSpacing/>
        <w:jc w:val="both"/>
        <w:rPr>
          <w:rFonts w:ascii="Arial" w:eastAsia="Calibri" w:hAnsi="Arial" w:cs="Arial"/>
          <w:lang w:val="es-ES"/>
        </w:rPr>
      </w:pPr>
      <w:r w:rsidRPr="006312E8">
        <w:rPr>
          <w:rFonts w:ascii="Arial" w:eastAsia="Calibri" w:hAnsi="Arial" w:cs="Arial"/>
          <w:lang w:val="es-ES"/>
        </w:rPr>
        <w:t>Los bienes muebles e inmuebles de que les fueron transferidos por los Consejos Transitorios de Administración Regional, en el marco del proceso de la descentralización, y que a la fecha son materia de ordenamiento y saneamiento, conforme a Ley;</w:t>
      </w:r>
    </w:p>
    <w:p w:rsidR="006312E8" w:rsidRPr="006312E8" w:rsidRDefault="006312E8" w:rsidP="006312E8">
      <w:pPr>
        <w:spacing w:after="0" w:line="240" w:lineRule="auto"/>
        <w:ind w:left="1134"/>
        <w:contextualSpacing/>
        <w:jc w:val="both"/>
        <w:rPr>
          <w:rFonts w:ascii="Arial" w:eastAsia="Calibri" w:hAnsi="Arial" w:cs="Arial"/>
          <w:lang w:val="es-ES"/>
        </w:rPr>
      </w:pPr>
    </w:p>
    <w:p w:rsidR="006312E8" w:rsidRPr="006312E8" w:rsidRDefault="006312E8" w:rsidP="0092471C">
      <w:pPr>
        <w:numPr>
          <w:ilvl w:val="1"/>
          <w:numId w:val="122"/>
        </w:numPr>
        <w:spacing w:after="0" w:line="240" w:lineRule="auto"/>
        <w:ind w:left="1134"/>
        <w:contextualSpacing/>
        <w:jc w:val="both"/>
        <w:rPr>
          <w:rFonts w:ascii="Arial" w:eastAsia="Calibri" w:hAnsi="Arial" w:cs="Arial"/>
          <w:lang w:val="es-ES"/>
        </w:rPr>
      </w:pPr>
      <w:r w:rsidRPr="006312E8">
        <w:rPr>
          <w:rFonts w:ascii="Arial" w:eastAsia="Calibri" w:hAnsi="Arial" w:cs="Arial"/>
          <w:lang w:val="es-ES"/>
        </w:rPr>
        <w:t>Los bienes muebles e inmuebles que les transfieran los Sectores del Gobierno Nacional, para el cumplimiento de sus fines institucionales, conforme a los Planes Anuales de Transferencia de Competencias Sectoriales;</w:t>
      </w:r>
    </w:p>
    <w:p w:rsidR="006312E8" w:rsidRPr="006312E8" w:rsidRDefault="006312E8" w:rsidP="006312E8">
      <w:pPr>
        <w:spacing w:after="0" w:line="240" w:lineRule="auto"/>
        <w:ind w:left="1134"/>
        <w:contextualSpacing/>
        <w:jc w:val="both"/>
        <w:rPr>
          <w:rFonts w:ascii="Arial" w:eastAsia="Calibri" w:hAnsi="Arial" w:cs="Arial"/>
          <w:lang w:val="es-ES"/>
        </w:rPr>
      </w:pPr>
    </w:p>
    <w:p w:rsidR="006312E8" w:rsidRPr="006312E8" w:rsidRDefault="006312E8" w:rsidP="0092471C">
      <w:pPr>
        <w:numPr>
          <w:ilvl w:val="1"/>
          <w:numId w:val="122"/>
        </w:numPr>
        <w:spacing w:after="0" w:line="240" w:lineRule="auto"/>
        <w:ind w:left="1134"/>
        <w:contextualSpacing/>
        <w:jc w:val="both"/>
        <w:rPr>
          <w:rFonts w:ascii="Arial" w:eastAsia="Calibri" w:hAnsi="Arial" w:cs="Arial"/>
          <w:lang w:val="es-ES"/>
        </w:rPr>
      </w:pPr>
      <w:r w:rsidRPr="006312E8">
        <w:rPr>
          <w:rFonts w:ascii="Arial" w:eastAsia="Calibri" w:hAnsi="Arial" w:cs="Arial"/>
          <w:lang w:val="es-ES"/>
        </w:rPr>
        <w:t>Los bienes que adquiera, conforme a ley.</w:t>
      </w:r>
    </w:p>
    <w:p w:rsidR="006312E8" w:rsidRPr="006312E8" w:rsidRDefault="006312E8" w:rsidP="006312E8">
      <w:pPr>
        <w:spacing w:after="0" w:line="240" w:lineRule="auto"/>
        <w:ind w:left="567"/>
        <w:contextualSpacing/>
        <w:jc w:val="both"/>
        <w:rPr>
          <w:rFonts w:ascii="Arial" w:eastAsia="Calibri" w:hAnsi="Arial" w:cs="Arial"/>
          <w:b/>
          <w:lang w:val="es-ES"/>
        </w:rPr>
      </w:pPr>
    </w:p>
    <w:p w:rsidR="006312E8" w:rsidRPr="006312E8" w:rsidRDefault="006312E8" w:rsidP="006312E8">
      <w:pPr>
        <w:numPr>
          <w:ilvl w:val="3"/>
          <w:numId w:val="48"/>
        </w:numPr>
        <w:spacing w:after="0" w:line="240" w:lineRule="auto"/>
        <w:ind w:left="567"/>
        <w:contextualSpacing/>
        <w:jc w:val="both"/>
        <w:rPr>
          <w:rFonts w:ascii="Arial" w:eastAsia="Calibri" w:hAnsi="Arial" w:cs="Arial"/>
          <w:b/>
          <w:lang w:val="es-ES"/>
        </w:rPr>
      </w:pPr>
      <w:r w:rsidRPr="006312E8">
        <w:rPr>
          <w:rFonts w:ascii="Arial" w:eastAsia="Calibri" w:hAnsi="Arial" w:cs="Arial"/>
          <w:b/>
          <w:lang w:val="es-ES"/>
        </w:rPr>
        <w:t>De alcance nacional: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121"/>
        </w:numPr>
        <w:spacing w:after="0" w:line="240" w:lineRule="auto"/>
        <w:ind w:left="1134" w:hanging="283"/>
        <w:contextualSpacing/>
        <w:jc w:val="both"/>
        <w:rPr>
          <w:rFonts w:ascii="Arial" w:eastAsia="Calibri" w:hAnsi="Arial" w:cs="Arial"/>
          <w:lang w:val="es-ES"/>
        </w:rPr>
      </w:pPr>
      <w:r w:rsidRPr="006312E8">
        <w:rPr>
          <w:rFonts w:ascii="Arial" w:eastAsia="Calibri" w:hAnsi="Arial" w:cs="Arial"/>
          <w:lang w:val="es-ES"/>
        </w:rPr>
        <w:t>Los terrenos urbanos y eriazos de propiedad del Estado inscritos en los Registros Públicos a favor del Estado o de una entidad pública conformante del Gobierno Nacional;</w:t>
      </w:r>
    </w:p>
    <w:p w:rsidR="006312E8" w:rsidRPr="006312E8" w:rsidRDefault="006312E8" w:rsidP="006312E8">
      <w:pPr>
        <w:spacing w:after="0" w:line="240" w:lineRule="auto"/>
        <w:ind w:left="1134" w:hanging="283"/>
        <w:contextualSpacing/>
        <w:jc w:val="both"/>
        <w:rPr>
          <w:rFonts w:ascii="Arial" w:eastAsia="Calibri" w:hAnsi="Arial" w:cs="Arial"/>
          <w:lang w:val="es-ES"/>
        </w:rPr>
      </w:pPr>
    </w:p>
    <w:p w:rsidR="006312E8" w:rsidRPr="006312E8" w:rsidRDefault="006312E8" w:rsidP="0092471C">
      <w:pPr>
        <w:numPr>
          <w:ilvl w:val="1"/>
          <w:numId w:val="121"/>
        </w:numPr>
        <w:spacing w:after="0" w:line="240" w:lineRule="auto"/>
        <w:ind w:left="1134" w:hanging="283"/>
        <w:contextualSpacing/>
        <w:jc w:val="both"/>
        <w:rPr>
          <w:rFonts w:ascii="Arial" w:eastAsia="Calibri" w:hAnsi="Arial" w:cs="Arial"/>
          <w:lang w:val="es-ES"/>
        </w:rPr>
      </w:pPr>
      <w:r w:rsidRPr="006312E8">
        <w:rPr>
          <w:rFonts w:ascii="Arial" w:eastAsia="Calibri" w:hAnsi="Arial" w:cs="Arial"/>
          <w:lang w:val="es-ES"/>
        </w:rPr>
        <w:t>Los terrenos urbanos y eriazos de propiedad del Estado no inscritos en los Registros Públicos como propiedad privada, ni en el Sistema de Información Nacional de Bienes de Propiedad Estatal;</w:t>
      </w:r>
    </w:p>
    <w:p w:rsidR="006312E8" w:rsidRPr="006312E8" w:rsidRDefault="006312E8" w:rsidP="006312E8">
      <w:pPr>
        <w:spacing w:after="0" w:line="240" w:lineRule="auto"/>
        <w:ind w:left="1134" w:hanging="283"/>
        <w:contextualSpacing/>
        <w:jc w:val="both"/>
        <w:rPr>
          <w:rFonts w:ascii="Arial" w:eastAsia="Calibri" w:hAnsi="Arial" w:cs="Arial"/>
          <w:lang w:val="es-ES"/>
        </w:rPr>
      </w:pPr>
    </w:p>
    <w:p w:rsidR="006312E8" w:rsidRPr="006312E8" w:rsidRDefault="006312E8" w:rsidP="0092471C">
      <w:pPr>
        <w:numPr>
          <w:ilvl w:val="1"/>
          <w:numId w:val="121"/>
        </w:numPr>
        <w:spacing w:after="0" w:line="240" w:lineRule="auto"/>
        <w:ind w:left="1134" w:hanging="283"/>
        <w:contextualSpacing/>
        <w:jc w:val="both"/>
        <w:rPr>
          <w:rFonts w:ascii="Arial" w:eastAsia="Calibri" w:hAnsi="Arial" w:cs="Arial"/>
          <w:lang w:val="es-ES"/>
        </w:rPr>
      </w:pPr>
      <w:r w:rsidRPr="006312E8">
        <w:rPr>
          <w:rFonts w:ascii="Arial" w:eastAsia="Calibri" w:hAnsi="Arial" w:cs="Arial"/>
          <w:lang w:val="es-ES"/>
        </w:rPr>
        <w:t>Los bienes muebles e inmuebles del Estado no registrados como activos de los Gobiernos Regionales, ni de los Gobiernos Locales, excepto los considerados en el punto 2.b del presente artículo;</w:t>
      </w:r>
    </w:p>
    <w:p w:rsidR="006312E8" w:rsidRPr="006312E8" w:rsidRDefault="006312E8" w:rsidP="006312E8">
      <w:pPr>
        <w:spacing w:after="0" w:line="240" w:lineRule="auto"/>
        <w:ind w:left="1134" w:hanging="283"/>
        <w:contextualSpacing/>
        <w:jc w:val="both"/>
        <w:rPr>
          <w:rFonts w:ascii="Arial" w:eastAsia="Calibri" w:hAnsi="Arial" w:cs="Arial"/>
          <w:lang w:val="es-ES"/>
        </w:rPr>
      </w:pPr>
    </w:p>
    <w:p w:rsidR="006312E8" w:rsidRPr="006312E8" w:rsidRDefault="006312E8" w:rsidP="0092471C">
      <w:pPr>
        <w:numPr>
          <w:ilvl w:val="1"/>
          <w:numId w:val="121"/>
        </w:numPr>
        <w:spacing w:after="0" w:line="240" w:lineRule="auto"/>
        <w:ind w:left="1134" w:hanging="283"/>
        <w:contextualSpacing/>
        <w:jc w:val="both"/>
        <w:rPr>
          <w:rFonts w:ascii="Arial" w:eastAsia="Calibri" w:hAnsi="Arial" w:cs="Arial"/>
          <w:lang w:val="es-ES"/>
        </w:rPr>
      </w:pPr>
      <w:r w:rsidRPr="006312E8">
        <w:rPr>
          <w:rFonts w:ascii="Arial" w:eastAsia="Calibri" w:hAnsi="Arial" w:cs="Arial"/>
          <w:lang w:val="es-ES"/>
        </w:rPr>
        <w:t>La infraestructura pública a cargo de la administración de Entidades públicas conformantes del Gobierno Nacional, excepto las Empresas Estatales que deberán ser jerarquizadas mediante norma específica;</w:t>
      </w:r>
    </w:p>
    <w:p w:rsidR="006312E8" w:rsidRPr="006312E8" w:rsidRDefault="006312E8" w:rsidP="006312E8">
      <w:pPr>
        <w:spacing w:after="0" w:line="240" w:lineRule="auto"/>
        <w:ind w:left="1134" w:hanging="283"/>
        <w:contextualSpacing/>
        <w:jc w:val="both"/>
        <w:rPr>
          <w:rFonts w:ascii="Arial" w:eastAsia="Calibri" w:hAnsi="Arial" w:cs="Arial"/>
          <w:lang w:val="es-ES"/>
        </w:rPr>
      </w:pPr>
    </w:p>
    <w:p w:rsidR="006312E8" w:rsidRPr="006312E8" w:rsidRDefault="006312E8" w:rsidP="0092471C">
      <w:pPr>
        <w:numPr>
          <w:ilvl w:val="1"/>
          <w:numId w:val="121"/>
        </w:numPr>
        <w:spacing w:after="0" w:line="240" w:lineRule="auto"/>
        <w:ind w:left="1134" w:hanging="283"/>
        <w:contextualSpacing/>
        <w:jc w:val="both"/>
        <w:rPr>
          <w:rFonts w:ascii="Arial" w:eastAsia="Calibri" w:hAnsi="Arial" w:cs="Arial"/>
          <w:lang w:val="es-ES"/>
        </w:rPr>
      </w:pPr>
      <w:r w:rsidRPr="006312E8">
        <w:rPr>
          <w:rFonts w:ascii="Arial" w:eastAsia="Calibri" w:hAnsi="Arial" w:cs="Arial"/>
          <w:lang w:val="es-ES"/>
        </w:rPr>
        <w:t>La infraestructura y equipos de la Defensa y Seguridad Nacional, Orden Interno, Fuerzas Armadas y de la Policía Nacional;</w:t>
      </w:r>
    </w:p>
    <w:p w:rsidR="006312E8" w:rsidRPr="006312E8" w:rsidRDefault="006312E8" w:rsidP="006312E8">
      <w:pPr>
        <w:spacing w:after="0" w:line="240" w:lineRule="auto"/>
        <w:ind w:left="1134" w:hanging="283"/>
        <w:contextualSpacing/>
        <w:jc w:val="both"/>
        <w:rPr>
          <w:rFonts w:ascii="Arial" w:eastAsia="Calibri" w:hAnsi="Arial" w:cs="Arial"/>
          <w:lang w:val="es-ES"/>
        </w:rPr>
      </w:pPr>
    </w:p>
    <w:p w:rsidR="006312E8" w:rsidRPr="006312E8" w:rsidRDefault="006312E8" w:rsidP="0092471C">
      <w:pPr>
        <w:numPr>
          <w:ilvl w:val="1"/>
          <w:numId w:val="121"/>
        </w:numPr>
        <w:spacing w:after="0" w:line="240" w:lineRule="auto"/>
        <w:ind w:left="1134" w:hanging="283"/>
        <w:contextualSpacing/>
        <w:jc w:val="both"/>
        <w:rPr>
          <w:rFonts w:ascii="Arial" w:eastAsia="Calibri" w:hAnsi="Arial" w:cs="Arial"/>
          <w:lang w:val="es-ES"/>
        </w:rPr>
      </w:pPr>
      <w:r w:rsidRPr="006312E8">
        <w:rPr>
          <w:rFonts w:ascii="Arial" w:eastAsia="Calibri" w:hAnsi="Arial" w:cs="Arial"/>
          <w:lang w:val="es-ES"/>
        </w:rPr>
        <w:t>Los bienes muebles e inmuebles reservados para la administración de una entidad pública, conforme a norma legal expresa;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92471C">
      <w:pPr>
        <w:numPr>
          <w:ilvl w:val="1"/>
          <w:numId w:val="121"/>
        </w:numPr>
        <w:spacing w:after="0" w:line="240" w:lineRule="auto"/>
        <w:ind w:left="1134" w:hanging="283"/>
        <w:contextualSpacing/>
        <w:jc w:val="both"/>
        <w:rPr>
          <w:rFonts w:ascii="Arial" w:eastAsia="Calibri" w:hAnsi="Arial" w:cs="Arial"/>
          <w:lang w:val="es-ES"/>
        </w:rPr>
      </w:pPr>
      <w:r w:rsidRPr="006312E8">
        <w:rPr>
          <w:rFonts w:ascii="Arial" w:eastAsia="Calibri" w:hAnsi="Arial" w:cs="Arial"/>
          <w:lang w:val="es-ES"/>
        </w:rPr>
        <w:t>Los bienes muebles e inmuebles del Gobierno Nacional ubicados en el extranjero, en calidad de sedes diplomáticas, militares, policiales, incluyendo aquellos reconocidos como tales por las leyes y tratados internacionales;</w:t>
      </w:r>
    </w:p>
    <w:p w:rsidR="006312E8" w:rsidRPr="006312E8" w:rsidRDefault="006312E8" w:rsidP="006312E8">
      <w:pPr>
        <w:spacing w:after="0" w:line="240" w:lineRule="auto"/>
        <w:ind w:left="1134" w:hanging="283"/>
        <w:contextualSpacing/>
        <w:jc w:val="both"/>
        <w:rPr>
          <w:rFonts w:ascii="Arial" w:eastAsia="Calibri" w:hAnsi="Arial" w:cs="Arial"/>
          <w:lang w:val="es-ES"/>
        </w:rPr>
      </w:pPr>
    </w:p>
    <w:p w:rsidR="006312E8" w:rsidRPr="006312E8" w:rsidRDefault="006312E8" w:rsidP="0092471C">
      <w:pPr>
        <w:numPr>
          <w:ilvl w:val="1"/>
          <w:numId w:val="121"/>
        </w:numPr>
        <w:spacing w:after="0" w:line="240" w:lineRule="auto"/>
        <w:ind w:left="1134" w:hanging="283"/>
        <w:contextualSpacing/>
        <w:jc w:val="both"/>
        <w:rPr>
          <w:rFonts w:ascii="Arial" w:eastAsia="Calibri" w:hAnsi="Arial" w:cs="Arial"/>
          <w:lang w:val="es-ES"/>
        </w:rPr>
      </w:pPr>
      <w:r w:rsidRPr="006312E8">
        <w:rPr>
          <w:rFonts w:ascii="Arial" w:eastAsia="Calibri" w:hAnsi="Arial" w:cs="Arial"/>
          <w:lang w:val="es-ES"/>
        </w:rPr>
        <w:t>Los bienes que adquiera conforme a ley.</w:t>
      </w:r>
    </w:p>
    <w:p w:rsidR="006312E8" w:rsidRPr="006312E8" w:rsidRDefault="006312E8" w:rsidP="006312E8">
      <w:pPr>
        <w:spacing w:after="0" w:line="240" w:lineRule="auto"/>
        <w:ind w:left="1134" w:hanging="283"/>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3.- Registro de los bienes de propiedad del Estado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Todos los bienes de propiedad del Estado a cargo del Gobierno Nacional, Gobierno Regional y Gobierno Local, se someten al régimen del registro jurídico, administrativo y contable, conforme a las normas legales de la materia y aquellas que integran el Sistema de Bienes Nacionales.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Los bienes del Gobierno Nacional, Gobierno Regional y Gobierno Local que no se encuentren comprendidos en los registros contables y financieros correspondientes, se incorporarán progresivamente a éstos, conforme se realice el saneamiento técnico, legal y contable necesario.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4.- Titularidad de los bienes de propiedad del Estado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Conforme a la progresividad y orden del proceso de la descentralización dispuesto por el artículo 188 de la Constitución Política del Perú y a lo establecido por la Segunda y la Quinta Disposiciones Transitorias de la Ley Nº 27783, Ley de Bases de la Descentralización, y la Cuarta Disposición Transitoria, Complementaria y Final de la Ley Nº 27867, Ley Orgánica de Gobiernos Regionales, los Sectores del Gobierno Nacional inician la transferencia de funciones a los Gobiernos Regionales y Locales, que comprende la titularidad y dominio de los bienes directamente vinculados a éstas, mediante Planes Anuales de Transferencia de Competencias Sectoriales.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No será materia de transferencia la titularidad de los terrenos de propiedad del Estado a que se refiere el artículo 62 de la Ley Nº 27867, Ley Orgánica de Gobiernos Regionales, en cuya virtud, el Gobierno Nacional, en representación del Estado Peruano, ejerce la titularidad de los bienes de propiedad estatal, que no sean de alcance regional o local, de acuerdo a lo dispuesto por el artículo 2 del presente Decreto Supremo.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5.- Reglamentación de los bienes de propiedad del Estado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Las acciones de adquisición, disposición, administración y gestión que realicen los Gobiernos Regionales, respecto de los bienes del Estado que se encuentren bajo su administración, se regularán por el Reglamento General de Procedimientos Administrativos de los Bienes de Propiedad Estatal, aprobado por Decreto Supremo Nº 154-2001-EF, normas modificatorias, normas complementarias y conexas, en todo lo que sean aplicables.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6.- Refrendo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presente Decreto Supremo será refrendado por el Presidente del Consejo de Ministros.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Dado en la Casa de Gobierno, en Lima, a los veintitrés días del mes de marzo del año dos mil cuatro.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ALEJANDRO TOLEDO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Presidente Constitucional de la República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CARLOS FERRERO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Presidente del Consejo de Ministros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E104C8">
      <w:pPr>
        <w:pStyle w:val="TITO2"/>
      </w:pPr>
      <w:bookmarkStart w:id="362" w:name="_Toc392856241"/>
      <w:bookmarkStart w:id="363" w:name="_Toc399335514"/>
      <w:bookmarkStart w:id="364" w:name="_Toc421025460"/>
      <w:bookmarkStart w:id="365" w:name="_Toc470855563"/>
      <w:r w:rsidRPr="006312E8">
        <w:t>RESOLUCION MINISTERIAL Nº 429-2006-EF-10</w:t>
      </w:r>
      <w:bookmarkEnd w:id="362"/>
      <w:bookmarkEnd w:id="363"/>
      <w:bookmarkEnd w:id="364"/>
      <w:bookmarkEnd w:id="365"/>
    </w:p>
    <w:p w:rsidR="006312E8" w:rsidRPr="006312E8" w:rsidRDefault="006312E8" w:rsidP="006312E8">
      <w:pPr>
        <w:spacing w:after="0" w:line="240" w:lineRule="auto"/>
        <w:contextualSpacing/>
        <w:jc w:val="center"/>
        <w:rPr>
          <w:rFonts w:ascii="Arial" w:eastAsia="Calibri" w:hAnsi="Arial" w:cs="Arial"/>
          <w:b/>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Comunican fechas de suscripción de Actas de Entrega y Recepción con Presidentes de</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los Gobiernos Regionales de Tacna y Lambayeque, sobre transferencia de competencia</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para administrar y adjudicar terrenos de propiedad del Estado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Lima, 24 de julio de 2006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Visto: el Oficio Nº 144-2006-CND/P del Presidente del Consejo Nacional de Descentralización mediante el cual solicita al Ministerio de Economía y Finanzas que expida una Resolución Ministerial con la finalidad de dar a conocer a la ciudadanía en general sobre la transferencia de funciones en materia de administración y adjudicación de terrenos de propiedad del Estado efectuada a favor de los Gobiernos Regionales de Tacna y Lambayeque.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w:t>
      </w: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 xml:space="preserve">CONSIDERANDO: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Que, el artículo 1 del Decreto Ley Nº 25554, modificado por el Decreto de Urgencia Nº 071-2001, dispone que las acciones referidas a las primeras inscripciones de dominio, afectaciones en uso, así como las relativas a los demás actos de administración, adquisición y disposición de propiedad estatal a su cargo, serán aprobadas mediante Resolución de la Superintendencia de Bienes Nacionales (SBN), salvo en lo referente a las ventas directas de inmuebles de propiedad estatal que serán aprobadas mediante Resolución Suprema, con informe favorable de la Superintendencia de Bienes Nacionales (SBN);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Que, la Ley Nº 27395 adscribió a la Superintendencia de Bienes Nacionales (SBN) al Ministerio de Economía y Finanzas, a partir del 1 de enero del año 2001;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Que, el inciso j) del artículo 35 de la Ley Nº 27783, Ley de Bases de la Descentralización, el inciso j) del numeral 1) del artículo 10 y el artículo 62 de la Ley Nº 27867, Ley Orgánica de Gobiernos Regionales, establecen que es competencia de los Gobiernos Regionales administrar y adjudicar los terrenos urbanos y eriazos de propiedad del Estado en su jurisdicción, con excepción de los terrenos de propiedad municipal;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Que, mediante Decreto Supremo Nº 038-2004-PCM se aprobó el “Plan Anual de Transferencia de Competencias Sectoriales a los Gobiernos Regionales y Locales del año 2004” el cual contempla la transferencia a los Gobiernos Regionales de las funciones específicas que permitan el ejercicio de las competencias exclusivas indicadas en los incisos g), h) y j) del artículo 35 de la Ley de Bases de la Descentralización y en el artículo 10 de la Ley Orgánica de Gobiernos Regionales, una vez cumplidas las disposiciones que establezca la Ley del Sistema Nacional de Acreditación;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Que, el Consejo Nacional de Descentralización mediante Resolución Presidencial Nº 015-CND-P-2005 aprobó los requisitos específicos, indicadores y procedimientos de verificación de requisitos generales aplicables dentro del ciclo del proceso de acreditación del año 2004;   Que, mediante Resoluciones Gerenciales Nºs. 019-CND-GTA-2005 y 026-CND-GTA-2005 expedidas por la Gerencia de Transferencia y Acreditación del Consejo Nacional de Descentralización se acreditó a los Gobiernos Regionales de Tacna y Lambayeque, respectivamente, para la transferencia de funciones sectoriales en materia de administración y adjudicación de terrenos de propiedad del Estado;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Que, el Consejo Nacional de Descentralización mediante Resolución Presidencial Nº 033-CND-P-2005 aprobó la Directiva “Procedimiento para Efectivizar la Transferencia de Funciones Específicas de los Sectores del Gobierno Nacional a los Gobiernos Regionales, incluidas en el Plan Anual de Transferencia de Competencias Sectoriales a los Gobiernos Regionales y Locales del año 2004”;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Que, el numeral 6.5 de la Directiva citada en el considerando anterior dispone que los Sectores y los Gobiernos Regionales, a través de sus respectivas Comisiones de Transferencia, son responsables de elaborar las Actas de Entrega y Recepción de las funciones sectoriales y de los recursos vinculados a éstas, a través de las cuales se efectivizará y dará por concluido el proceso de transferencia;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Que, mediante Acta de Entrega y Recepción de fecha 3 de noviembre de 2005 suscrita por el Ministro de Economía y Finanzas y el Presidente del Gobierno Regional de Tacna se transfirió a dicho gobierno regional la competencia para administrar y adjudicar los terrenos urbanos y eriazos de propiedad del Estado en su jurisdicción, con excepción de los terrenos de propiedad municipal;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Que, asimismo mediante Acta de Entrega y Recepción de fecha 6 de marzo de 2006 suscrita por el Ministro de Economía y Finanzas y el Presidente del Gobierno Regional de Lambayeque se transfirió a dicho gobierno regional la competencia para administrar y adjudicar los terrenos urbanos y eriazos de propiedad del Estado en su jurisdicción, con excepción de los terrenos de propiedad municipal;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Que, además los representantes de las Comisiones de Transferencia del Ministerio de Economía y Finanzas y de los Gobiernos Regionales de Tacna y Lambayeque suscribieron el Informe Final, el Acta Sustentatoria y los demás documentos que establece la Directiva “Procedimiento para Efectivizar la Transferencia de Funciones Específicas de los Sectores del Gobierno Nacional a los Gobiernos Regionales, incluidas en el Plan Anual de Transferencia de Competencias Sectoriales a los Gobiernos Regionales y Locales del año 2004”;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De conformidad con lo establecido en el Decreto Legislativo Nº 560, Ley del Poder Ejecutivo;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w:t>
      </w: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 xml:space="preserve"> SE RESUELVE: </w:t>
      </w: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 xml:space="preserve">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Único.-</w:t>
      </w:r>
      <w:r w:rsidRPr="006312E8">
        <w:rPr>
          <w:rFonts w:ascii="Arial" w:eastAsia="Calibri" w:hAnsi="Arial" w:cs="Arial"/>
          <w:lang w:val="es-ES"/>
        </w:rPr>
        <w:t xml:space="preserve"> Comuníquese que con fechas 3 de noviembre de 2005 y 6 de marzo de 2006 se suscribieron las Actas de Entrega y Recepción con los Presidentes de los Gobiernos Regionales de Tacna y Lambayeque, respectivamente, mediante las cuales se formalizó la transferencia de la competencia para administrar y adjudicar los terrenos urbanos y eriazos de propiedad del Estado ubicados en la jurisdicción de dichos gobiernos regionales, con excepción de los terrenos de propiedad municipal.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Regístrese, comuníquese y publíquese.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w:t>
      </w: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lang w:val="es-ES"/>
        </w:rPr>
        <w:t xml:space="preserve"> </w:t>
      </w:r>
      <w:r w:rsidRPr="006312E8">
        <w:rPr>
          <w:rFonts w:ascii="Arial" w:eastAsia="Calibri" w:hAnsi="Arial" w:cs="Arial"/>
          <w:b/>
          <w:lang w:val="es-ES"/>
        </w:rPr>
        <w:t xml:space="preserve">FERNANDO ZAVALA LOMBARDI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Ministro de Economía y Finanzas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E104C8">
      <w:pPr>
        <w:pStyle w:val="TITO2"/>
      </w:pPr>
      <w:bookmarkStart w:id="366" w:name="_Toc392856242"/>
      <w:bookmarkStart w:id="367" w:name="_Toc399335515"/>
      <w:bookmarkStart w:id="368" w:name="_Toc421025461"/>
      <w:bookmarkStart w:id="369" w:name="_Toc470855564"/>
      <w:r w:rsidRPr="006312E8">
        <w:t>RESOLUCION MINISTERIAL Nº 656-2006-EF-10</w:t>
      </w:r>
      <w:bookmarkEnd w:id="366"/>
      <w:bookmarkEnd w:id="367"/>
      <w:bookmarkEnd w:id="368"/>
      <w:bookmarkEnd w:id="369"/>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Comunican que mediante Actas de Entrega y Recepción del 26 de mayo de 2006, se transfirió a los Gobiernos Regionales de San Martín, Amazonas, Arequipa y Tumbes la competencia para administrar y adjudicar terrenos urbanos y eriazos de propiedad del Estado</w:t>
      </w:r>
    </w:p>
    <w:p w:rsidR="006312E8" w:rsidRPr="006312E8" w:rsidRDefault="006312E8" w:rsidP="006312E8">
      <w:pPr>
        <w:spacing w:after="0" w:line="240" w:lineRule="auto"/>
        <w:contextualSpacing/>
        <w:jc w:val="center"/>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 xml:space="preserve"> Lima, 30 de noviembre de 2006 </w:t>
      </w: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 xml:space="preserve"> </w:t>
      </w: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 xml:space="preserve"> </w:t>
      </w: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 xml:space="preserve"> CONSIDERANDO: </w:t>
      </w: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 xml:space="preserve">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Que, el artículo 1 del Decreto Ley Nº 25554, modificado por el Decreto de Urgencia Nº 071-2001, dispone que las acciones referidas a las primeras inscripciones de dominio, afectaciones en uso, así como las relativas a los demás actos de administración, adquisición y disposición de propiedad estatal a su cargo, serán aprobadas mediante Resolución de la Superintendencia de Bienes Nacionales (SBN), salvo en lo referente a las ventas directas de inmuebles de propiedad estatal que serán aprobadas mediante Resolución Suprema, con informe favorable de la Superintendencia de Bienes Nacionales (SBN);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Que, la Ley Nº 27395 adscribió la Superintendencia de Bienes Nacionales (SBN) al Ministerio de Economía y Finanzas, a partir del 1 de enero del año 2001;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Que, el inciso j) del artículo 35 de la Ley Nº 27783, Ley de Bases de la Descentralización, el inciso j) del numeral 1) del artículo 10 y el artículo 62 de la Ley Nº 27867, Ley Orgánica de Gobiernos Regionales, establecen que es competencia de los Gobiernos Regionales administrar y adjudicar los terrenos urbanos y eriazos de propiedad del Estado en su jurisdicción, con excepción de los terrenos de propiedad municipal;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Que, mediante Decreto Supremo Nº 038-2004-PCM se aprobó el “Plan Anual de Transferencia de Competencias Sectoriales a los Gobiernos Regionales y Locales del año 2004” el cual contempla la transferencia a los Gobiernos Regionales de las funciones específicas que permitan el ejercicio de las competencias exclusivas indicadas en los incisos g), h) y j) del artículo 35 de la Ley de Bases de la Descentralización y en el artículo 10 de la Ley Orgánica de Gobiernos Regionales, una vez cumplidas las disposiciones que establezca la Ley del Sistema Nacional de Acreditación;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Que, el Consejo Nacional de Descentralización mediante Resolución Presidencial Nº 015-CND-P-2005 aprobó los requisitos específicos, indicadores y procedimientos de verificación de requisitos generales aplicables dentro del ciclo del proceso de acreditación del año 2004;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Que, mediante Resoluciones Gerenciales Nºs. 024, 036, 045 y 063-2006-CND/GTA expedidas por la Gerencia de Transferencia y Acreditación del Consejo Nacional de Descentralización se acreditaron a los Gobiernos Regionales de los departamentos de San Martín, Amazonas, Arequipa y Tumbes, respectivamente, para la transferencia de funciones sectoriales en materia de administración y adjudicación de terrenos de propiedad del Estado;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Que, el Consejo Nacional de Descentralización mediante Resolución Presidencial Nº 033-CND-P-2005 aprobó la Directiva “Procedimiento para Efectivizar la Transferencia de Funciones Específicas de los Sectores del Gobierno Nacional a los Gobiernos Regionales, incluidas en el Plan Anual de Transferencia de Competencias Sectoriales a los Gobiernos Regionales y Locales del año 2004”;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Que, el numeral 6.5 de la Directiva citada en el considerando anterior dispone que los Sectores y los Gobiernos Regionales, a través de sus respectivas Comisiones de Transferencia, son responsables de elaborar las Actas de Entrega y Recepción de las funciones sectoriales y de los recursos vinculados a éstas, a través de las cuales se efectivizará y dará por concluido el proceso de transferencia;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Que, mediante Actas de Entrega y Recepción del 26 de mayo de 2006, suscritas por el Ministro de Economía y Finanzas y los Presidentes de los Gobiernos Regionales de los departamentos de San Martín, Amazonas, Arequipa y Tumbes, respectivamente, se transfirió a dichos gobiernos regionales la competencia para administrar y adjudicar los terrenos urbanos y eriazos de propiedad del Estado en su jurisdicción, con excepción de los terrenos de propiedad municipal;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Que, además, los representantes de las Comisiones de Transferencia del Ministerio de Economía y Finanzas y de los mencionados gobiernos regionales suscribieron el Informe Final, el Acta Sustentatoria y los demás documentos que establece la Directiva “Procedimiento para Efectivizar la Transferencia de Funciones Específicas de los Sectores del Gobierno Nacional a los Gobiernos Regionales, incluidas en el Plan Anual de Transferencia de Competencias Sectoriales a los Gobiernos Regionales y Locales del año 2004”;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De conformidad con lo establecido en el Decreto Legislativo Nº 560, Ley del Poder Ejecutivo;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w:t>
      </w: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lang w:val="es-ES"/>
        </w:rPr>
        <w:t xml:space="preserve"> </w:t>
      </w:r>
      <w:r w:rsidRPr="006312E8">
        <w:rPr>
          <w:rFonts w:ascii="Arial" w:eastAsia="Calibri" w:hAnsi="Arial" w:cs="Arial"/>
          <w:b/>
          <w:lang w:val="es-ES"/>
        </w:rPr>
        <w:t xml:space="preserve">SE RESUELVE: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 xml:space="preserve">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Único.-</w:t>
      </w:r>
      <w:r w:rsidRPr="006312E8">
        <w:rPr>
          <w:rFonts w:ascii="Arial" w:eastAsia="Calibri" w:hAnsi="Arial" w:cs="Arial"/>
          <w:lang w:val="es-ES"/>
        </w:rPr>
        <w:t xml:space="preserve"> Comuníquese que mediante Actas de Entrega y Recepción del 26 de mayo de 2006, suscritas por el Ministro de Economía y Finanzas y los Presidentes de los Gobiernos Regionales de los departamentos de San Martín, Amazonas, Arequipa y Tumbes, respectivamente, se transfirió a dichos gobiernos regionales la competencia para administrar y adjudicar los terrenos urbanos y eriazos de propiedad del Estado en su jurisdicción, con excepción de los terrenos de propiedad municipal.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Regístrese, comuníquese y publíquese.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w:t>
      </w: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lang w:val="es-ES"/>
        </w:rPr>
        <w:t xml:space="preserve"> </w:t>
      </w:r>
      <w:r w:rsidRPr="006312E8">
        <w:rPr>
          <w:rFonts w:ascii="Arial" w:eastAsia="Calibri" w:hAnsi="Arial" w:cs="Arial"/>
          <w:b/>
          <w:lang w:val="es-ES"/>
        </w:rPr>
        <w:t xml:space="preserve">LUIS CARRANZA UGARTE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Ministro de Economía y Finanzas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Default="006312E8" w:rsidP="006312E8">
      <w:pPr>
        <w:spacing w:after="0" w:line="240" w:lineRule="auto"/>
        <w:contextualSpacing/>
        <w:jc w:val="both"/>
        <w:rPr>
          <w:rFonts w:ascii="Arial" w:eastAsia="Calibri" w:hAnsi="Arial" w:cs="Arial"/>
          <w:lang w:val="es-ES"/>
        </w:rPr>
      </w:pPr>
    </w:p>
    <w:p w:rsidR="002514D7" w:rsidRDefault="002514D7" w:rsidP="006312E8">
      <w:pPr>
        <w:spacing w:after="0" w:line="240" w:lineRule="auto"/>
        <w:contextualSpacing/>
        <w:jc w:val="both"/>
        <w:rPr>
          <w:rFonts w:ascii="Arial" w:eastAsia="Calibri" w:hAnsi="Arial" w:cs="Arial"/>
          <w:lang w:val="es-ES"/>
        </w:rPr>
      </w:pPr>
    </w:p>
    <w:p w:rsidR="002514D7" w:rsidRPr="006312E8" w:rsidRDefault="002514D7" w:rsidP="002514D7">
      <w:pPr>
        <w:pStyle w:val="TITO2"/>
      </w:pPr>
      <w:r>
        <w:t>RESOLUCION MINISTERIAL Nº 398</w:t>
      </w:r>
      <w:r w:rsidRPr="006312E8">
        <w:t>-20</w:t>
      </w:r>
      <w:r>
        <w:t>1</w:t>
      </w:r>
      <w:r w:rsidRPr="006312E8">
        <w:t>6-</w:t>
      </w:r>
      <w:r>
        <w:t>VIVIENDA</w:t>
      </w:r>
    </w:p>
    <w:p w:rsidR="002514D7" w:rsidRPr="006312E8" w:rsidRDefault="002514D7" w:rsidP="006312E8">
      <w:pPr>
        <w:spacing w:after="0" w:line="240" w:lineRule="auto"/>
        <w:contextualSpacing/>
        <w:jc w:val="both"/>
        <w:rPr>
          <w:rFonts w:ascii="Arial" w:eastAsia="Calibri" w:hAnsi="Arial" w:cs="Arial"/>
          <w:lang w:val="es-ES"/>
        </w:rPr>
      </w:pPr>
    </w:p>
    <w:p w:rsidR="002514D7" w:rsidRPr="002514D7" w:rsidRDefault="002514D7" w:rsidP="002514D7">
      <w:pPr>
        <w:spacing w:after="0" w:line="240" w:lineRule="auto"/>
        <w:contextualSpacing/>
        <w:jc w:val="center"/>
        <w:rPr>
          <w:rFonts w:ascii="Arial" w:eastAsia="Calibri" w:hAnsi="Arial" w:cs="Arial"/>
          <w:b/>
          <w:lang w:val="es-ES"/>
        </w:rPr>
      </w:pPr>
      <w:r>
        <w:rPr>
          <w:rFonts w:ascii="Arial" w:eastAsia="Calibri" w:hAnsi="Arial" w:cs="Arial"/>
          <w:b/>
          <w:lang w:val="es-ES"/>
        </w:rPr>
        <w:t>D</w:t>
      </w:r>
      <w:r w:rsidRPr="002514D7">
        <w:rPr>
          <w:rFonts w:ascii="Arial" w:eastAsia="Calibri" w:hAnsi="Arial" w:cs="Arial"/>
          <w:b/>
          <w:lang w:val="es-ES"/>
        </w:rPr>
        <w:t>an por concluido proceso de efectivización de transferencia de determinadas funciones específicas al Gobierno Regional del Callao, contenidas en el Art. 62 de la Ley Orgánica de Gobiernos Regionales</w:t>
      </w:r>
    </w:p>
    <w:p w:rsidR="002514D7" w:rsidRPr="002514D7" w:rsidRDefault="002514D7" w:rsidP="002514D7">
      <w:pPr>
        <w:spacing w:after="0" w:line="240" w:lineRule="auto"/>
        <w:contextualSpacing/>
        <w:jc w:val="both"/>
        <w:rPr>
          <w:rFonts w:ascii="Arial" w:eastAsia="Calibri" w:hAnsi="Arial" w:cs="Arial"/>
          <w:lang w:val="es-ES"/>
        </w:rPr>
      </w:pPr>
    </w:p>
    <w:p w:rsidR="002514D7" w:rsidRPr="002514D7" w:rsidRDefault="002514D7" w:rsidP="002514D7">
      <w:pPr>
        <w:spacing w:after="0" w:line="240" w:lineRule="auto"/>
        <w:contextualSpacing/>
        <w:jc w:val="both"/>
        <w:rPr>
          <w:rFonts w:ascii="Arial" w:eastAsia="Calibri" w:hAnsi="Arial" w:cs="Arial"/>
          <w:lang w:val="es-ES"/>
        </w:rPr>
      </w:pPr>
      <w:r w:rsidRPr="002514D7">
        <w:rPr>
          <w:rFonts w:ascii="Arial" w:eastAsia="Calibri" w:hAnsi="Arial" w:cs="Arial"/>
          <w:lang w:val="es-ES"/>
        </w:rPr>
        <w:t>Lima, 2 de diciembre de 2016</w:t>
      </w:r>
    </w:p>
    <w:p w:rsidR="002514D7" w:rsidRPr="002514D7" w:rsidRDefault="002514D7" w:rsidP="002514D7">
      <w:pPr>
        <w:spacing w:after="0" w:line="240" w:lineRule="auto"/>
        <w:contextualSpacing/>
        <w:jc w:val="both"/>
        <w:rPr>
          <w:rFonts w:ascii="Arial" w:eastAsia="Calibri" w:hAnsi="Arial" w:cs="Arial"/>
          <w:lang w:val="es-ES"/>
        </w:rPr>
      </w:pPr>
    </w:p>
    <w:p w:rsidR="002514D7" w:rsidRPr="002514D7" w:rsidRDefault="002514D7" w:rsidP="002514D7">
      <w:pPr>
        <w:spacing w:after="0" w:line="240" w:lineRule="auto"/>
        <w:contextualSpacing/>
        <w:jc w:val="both"/>
        <w:rPr>
          <w:rFonts w:ascii="Arial" w:eastAsia="Calibri" w:hAnsi="Arial" w:cs="Arial"/>
          <w:lang w:val="es-ES"/>
        </w:rPr>
      </w:pPr>
      <w:r w:rsidRPr="002514D7">
        <w:rPr>
          <w:rFonts w:ascii="Arial" w:eastAsia="Calibri" w:hAnsi="Arial" w:cs="Arial"/>
          <w:lang w:val="es-ES"/>
        </w:rPr>
        <w:t>Vistos; el Memorando N° 021-2016-VIVIENDA-OGPP-ST-CSTCF de la Oficina General de Planeamiento y Presupuesto como Secretaría Técnica de la Comisión del Sector Vivienda responsable del proceso de transferencia de competencias, funciones, atribuciones y recursos asociados, a favor de los Gobiernos Regionales y Gobiernos Locales, y el Informe N° 1007-2016-VIVIENDA-OGAJ de la Oficina General de Asesoría Jurídica; y,</w:t>
      </w:r>
    </w:p>
    <w:p w:rsidR="002514D7" w:rsidRPr="002514D7" w:rsidRDefault="002514D7" w:rsidP="002514D7">
      <w:pPr>
        <w:spacing w:after="0" w:line="240" w:lineRule="auto"/>
        <w:contextualSpacing/>
        <w:jc w:val="both"/>
        <w:rPr>
          <w:rFonts w:ascii="Arial" w:eastAsia="Calibri" w:hAnsi="Arial" w:cs="Arial"/>
          <w:lang w:val="es-ES"/>
        </w:rPr>
      </w:pPr>
    </w:p>
    <w:p w:rsidR="002514D7" w:rsidRPr="002514D7" w:rsidRDefault="002514D7" w:rsidP="002514D7">
      <w:pPr>
        <w:spacing w:after="0" w:line="240" w:lineRule="auto"/>
        <w:contextualSpacing/>
        <w:jc w:val="both"/>
        <w:rPr>
          <w:rFonts w:ascii="Arial" w:eastAsia="Calibri" w:hAnsi="Arial" w:cs="Arial"/>
          <w:b/>
          <w:lang w:val="es-ES"/>
        </w:rPr>
      </w:pPr>
      <w:r w:rsidRPr="002514D7">
        <w:rPr>
          <w:rFonts w:ascii="Arial" w:eastAsia="Calibri" w:hAnsi="Arial" w:cs="Arial"/>
          <w:b/>
          <w:lang w:val="es-ES"/>
        </w:rPr>
        <w:t>CONSIDERANDO:</w:t>
      </w:r>
    </w:p>
    <w:p w:rsidR="002514D7" w:rsidRPr="002514D7" w:rsidRDefault="002514D7" w:rsidP="002514D7">
      <w:pPr>
        <w:spacing w:after="0" w:line="240" w:lineRule="auto"/>
        <w:contextualSpacing/>
        <w:jc w:val="both"/>
        <w:rPr>
          <w:rFonts w:ascii="Arial" w:eastAsia="Calibri" w:hAnsi="Arial" w:cs="Arial"/>
          <w:lang w:val="es-ES"/>
        </w:rPr>
      </w:pPr>
    </w:p>
    <w:p w:rsidR="002514D7" w:rsidRPr="002514D7" w:rsidRDefault="002514D7" w:rsidP="002514D7">
      <w:pPr>
        <w:spacing w:after="0" w:line="240" w:lineRule="auto"/>
        <w:contextualSpacing/>
        <w:jc w:val="both"/>
        <w:rPr>
          <w:rFonts w:ascii="Arial" w:eastAsia="Calibri" w:hAnsi="Arial" w:cs="Arial"/>
          <w:lang w:val="es-ES"/>
        </w:rPr>
      </w:pPr>
      <w:r w:rsidRPr="002514D7">
        <w:rPr>
          <w:rFonts w:ascii="Arial" w:eastAsia="Calibri" w:hAnsi="Arial" w:cs="Arial"/>
          <w:lang w:val="es-ES"/>
        </w:rPr>
        <w:t>Que, el artículo 188 de la Constitución Política del Perú, establece que la descentralización es una forma de organización democrática y constituye una política permanente de Estado, de carácter obligatorio, que tiene como objetivo fundamental el desarrollo integral del país, proceso que se realiza por etapas, en forma progresiva y ordenada conforme a criterios que permitan una adecuada asignación de competencias y transferencias de recursos del gobierno nacional hacia los gobiernos regionales y locales;</w:t>
      </w:r>
    </w:p>
    <w:p w:rsidR="002514D7" w:rsidRPr="002514D7" w:rsidRDefault="002514D7" w:rsidP="002514D7">
      <w:pPr>
        <w:spacing w:after="0" w:line="240" w:lineRule="auto"/>
        <w:contextualSpacing/>
        <w:jc w:val="both"/>
        <w:rPr>
          <w:rFonts w:ascii="Arial" w:eastAsia="Calibri" w:hAnsi="Arial" w:cs="Arial"/>
          <w:lang w:val="es-ES"/>
        </w:rPr>
      </w:pPr>
    </w:p>
    <w:p w:rsidR="002514D7" w:rsidRPr="002514D7" w:rsidRDefault="002514D7" w:rsidP="002514D7">
      <w:pPr>
        <w:spacing w:after="0" w:line="240" w:lineRule="auto"/>
        <w:contextualSpacing/>
        <w:jc w:val="both"/>
        <w:rPr>
          <w:rFonts w:ascii="Arial" w:eastAsia="Calibri" w:hAnsi="Arial" w:cs="Arial"/>
          <w:lang w:val="es-ES"/>
        </w:rPr>
      </w:pPr>
      <w:r w:rsidRPr="002514D7">
        <w:rPr>
          <w:rFonts w:ascii="Arial" w:eastAsia="Calibri" w:hAnsi="Arial" w:cs="Arial"/>
          <w:lang w:val="es-ES"/>
        </w:rPr>
        <w:t>Que, la Ley N° 27783, Ley de Bases de la Descentralización y la Ley Nº 27867, Ley Orgánica de Gobiernos Regionales, entre otras disposiciones, establecen la transferencia progresiva y ordenada de las funciones y servicios, así como sus respectivos recursos presupuestales, personal, acervo documentario y bienes del gobierno nacional a los gobiernos regionales, a partir del año 2004;</w:t>
      </w:r>
    </w:p>
    <w:p w:rsidR="002514D7" w:rsidRPr="002514D7" w:rsidRDefault="002514D7" w:rsidP="002514D7">
      <w:pPr>
        <w:spacing w:after="0" w:line="240" w:lineRule="auto"/>
        <w:contextualSpacing/>
        <w:jc w:val="both"/>
        <w:rPr>
          <w:rFonts w:ascii="Arial" w:eastAsia="Calibri" w:hAnsi="Arial" w:cs="Arial"/>
          <w:lang w:val="es-ES"/>
        </w:rPr>
      </w:pPr>
    </w:p>
    <w:p w:rsidR="002514D7" w:rsidRPr="002514D7" w:rsidRDefault="002514D7" w:rsidP="002514D7">
      <w:pPr>
        <w:spacing w:after="0" w:line="240" w:lineRule="auto"/>
        <w:contextualSpacing/>
        <w:jc w:val="both"/>
        <w:rPr>
          <w:rFonts w:ascii="Arial" w:eastAsia="Calibri" w:hAnsi="Arial" w:cs="Arial"/>
          <w:lang w:val="es-ES"/>
        </w:rPr>
      </w:pPr>
      <w:r w:rsidRPr="002514D7">
        <w:rPr>
          <w:rFonts w:ascii="Arial" w:eastAsia="Calibri" w:hAnsi="Arial" w:cs="Arial"/>
          <w:lang w:val="es-ES"/>
        </w:rPr>
        <w:t>Que, el artículo 62 de la Ley N° 27867, Ley Orgánica de Gobiernos Regionales, establece las funciones en materia de administración y adjudicación de terrenos de propiedad del Estado que ejercen los Gobiernos Regionales en base a las políticas regionales, las cuales se formulan en concordancia con las políticas nacionales de dicha materia;</w:t>
      </w:r>
    </w:p>
    <w:p w:rsidR="002514D7" w:rsidRPr="002514D7" w:rsidRDefault="002514D7" w:rsidP="002514D7">
      <w:pPr>
        <w:spacing w:after="0" w:line="240" w:lineRule="auto"/>
        <w:contextualSpacing/>
        <w:jc w:val="both"/>
        <w:rPr>
          <w:rFonts w:ascii="Arial" w:eastAsia="Calibri" w:hAnsi="Arial" w:cs="Arial"/>
          <w:lang w:val="es-ES"/>
        </w:rPr>
      </w:pPr>
    </w:p>
    <w:p w:rsidR="002514D7" w:rsidRPr="002514D7" w:rsidRDefault="002514D7" w:rsidP="002514D7">
      <w:pPr>
        <w:spacing w:after="0" w:line="240" w:lineRule="auto"/>
        <w:contextualSpacing/>
        <w:jc w:val="both"/>
        <w:rPr>
          <w:rFonts w:ascii="Arial" w:eastAsia="Calibri" w:hAnsi="Arial" w:cs="Arial"/>
          <w:lang w:val="es-ES"/>
        </w:rPr>
      </w:pPr>
      <w:r w:rsidRPr="002514D7">
        <w:rPr>
          <w:rFonts w:ascii="Arial" w:eastAsia="Calibri" w:hAnsi="Arial" w:cs="Arial"/>
          <w:lang w:val="es-ES"/>
        </w:rPr>
        <w:t>Que, con Decreto Supremo N° 049-2008-PCM, se aprueba el “Plan Anual de Transferencia de Competencias Sectoriales a los Gobiernos Regionales y Locales del año 2008”, el cual comprende la transferencia de las funciones contenidas en los literales a), b) y c) del artículo 62 de la Ley N° 27867, Ley Orgánica de Gobiernos Regionales;</w:t>
      </w:r>
    </w:p>
    <w:p w:rsidR="002514D7" w:rsidRPr="002514D7" w:rsidRDefault="002514D7" w:rsidP="002514D7">
      <w:pPr>
        <w:spacing w:after="0" w:line="240" w:lineRule="auto"/>
        <w:contextualSpacing/>
        <w:jc w:val="both"/>
        <w:rPr>
          <w:rFonts w:ascii="Arial" w:eastAsia="Calibri" w:hAnsi="Arial" w:cs="Arial"/>
          <w:lang w:val="es-ES"/>
        </w:rPr>
      </w:pPr>
    </w:p>
    <w:p w:rsidR="002514D7" w:rsidRPr="002514D7" w:rsidRDefault="002514D7" w:rsidP="002514D7">
      <w:pPr>
        <w:spacing w:after="0" w:line="240" w:lineRule="auto"/>
        <w:contextualSpacing/>
        <w:jc w:val="both"/>
        <w:rPr>
          <w:rFonts w:ascii="Arial" w:eastAsia="Calibri" w:hAnsi="Arial" w:cs="Arial"/>
          <w:lang w:val="es-ES"/>
        </w:rPr>
      </w:pPr>
      <w:r w:rsidRPr="002514D7">
        <w:rPr>
          <w:rFonts w:ascii="Arial" w:eastAsia="Calibri" w:hAnsi="Arial" w:cs="Arial"/>
          <w:lang w:val="es-ES"/>
        </w:rPr>
        <w:t>Que, la Resolución de Secretaría de Descentralización N° 020-2008-PCM-SD certifica, entre otros, que el Gobierno Regional del Callao ha cumplido los requisitos específicos mínimos para la transferencia de las funciones sectoriales, en materia de Administración y Adjudicación de Terrenos de propiedad del Estado, establecidos por el Sector, según el Informe de Concordancia Nº 023-2008-PCM/SD-OTME, acreditándolo para la transferencia de la funciones sectoriales dispuestas en los literales a), b) y c) del artículo 62 de la Ley N° 27867, Ley Orgánica de Gobiernos Regionales;</w:t>
      </w:r>
    </w:p>
    <w:p w:rsidR="002514D7" w:rsidRPr="002514D7" w:rsidRDefault="002514D7" w:rsidP="002514D7">
      <w:pPr>
        <w:spacing w:after="0" w:line="240" w:lineRule="auto"/>
        <w:contextualSpacing/>
        <w:jc w:val="both"/>
        <w:rPr>
          <w:rFonts w:ascii="Arial" w:eastAsia="Calibri" w:hAnsi="Arial" w:cs="Arial"/>
          <w:lang w:val="es-ES"/>
        </w:rPr>
      </w:pPr>
      <w:r w:rsidRPr="002514D7">
        <w:rPr>
          <w:rFonts w:ascii="Arial" w:eastAsia="Calibri" w:hAnsi="Arial" w:cs="Arial"/>
          <w:lang w:val="es-ES"/>
        </w:rPr>
        <w:t>Que, por Resolución de Secretaría de Descentralización Nº 044-2008-PCM-SD, se aprueba la Directiva Nº 003-2008-PCM/SD, Directiva para la Culminación e Implementación de la Transferencia de Funciones Sectoriales a los Gobiernos Regionales, estableciendo pautas para la suscripción de las actas de entrega y recepción, actas sustentatorias e informes finales, que se elaboran en la etapa de efectivización del proceso de transferencia de funciones sectoriales a los Gobiernos Regionales;</w:t>
      </w:r>
    </w:p>
    <w:p w:rsidR="002514D7" w:rsidRPr="002514D7" w:rsidRDefault="002514D7" w:rsidP="002514D7">
      <w:pPr>
        <w:spacing w:after="0" w:line="240" w:lineRule="auto"/>
        <w:contextualSpacing/>
        <w:jc w:val="both"/>
        <w:rPr>
          <w:rFonts w:ascii="Arial" w:eastAsia="Calibri" w:hAnsi="Arial" w:cs="Arial"/>
          <w:lang w:val="es-ES"/>
        </w:rPr>
      </w:pPr>
    </w:p>
    <w:p w:rsidR="002514D7" w:rsidRPr="002514D7" w:rsidRDefault="002514D7" w:rsidP="002514D7">
      <w:pPr>
        <w:spacing w:after="0" w:line="240" w:lineRule="auto"/>
        <w:contextualSpacing/>
        <w:jc w:val="both"/>
        <w:rPr>
          <w:rFonts w:ascii="Arial" w:eastAsia="Calibri" w:hAnsi="Arial" w:cs="Arial"/>
          <w:lang w:val="es-ES"/>
        </w:rPr>
      </w:pPr>
      <w:r w:rsidRPr="002514D7">
        <w:rPr>
          <w:rFonts w:ascii="Arial" w:eastAsia="Calibri" w:hAnsi="Arial" w:cs="Arial"/>
          <w:lang w:val="es-ES"/>
        </w:rPr>
        <w:t>Que, por Decreto Supremo N° 103-2011-PCM, se han establecido medidas para culminar las transferencias programadas en los Planes Anuales de Transferencia de los años 2007 al 2010, entre las cuales se encuentran comprendidas las funciones establecidas en los literales a), b) y c) del artículo 62 de la Ley N° 27867, Ley Orgánica de Gobiernos Regionales;</w:t>
      </w:r>
    </w:p>
    <w:p w:rsidR="002514D7" w:rsidRPr="002514D7" w:rsidRDefault="002514D7" w:rsidP="002514D7">
      <w:pPr>
        <w:spacing w:after="0" w:line="240" w:lineRule="auto"/>
        <w:contextualSpacing/>
        <w:jc w:val="both"/>
        <w:rPr>
          <w:rFonts w:ascii="Arial" w:eastAsia="Calibri" w:hAnsi="Arial" w:cs="Arial"/>
          <w:lang w:val="es-ES"/>
        </w:rPr>
      </w:pPr>
    </w:p>
    <w:p w:rsidR="002514D7" w:rsidRPr="002514D7" w:rsidRDefault="002514D7" w:rsidP="002514D7">
      <w:pPr>
        <w:spacing w:after="0" w:line="240" w:lineRule="auto"/>
        <w:contextualSpacing/>
        <w:jc w:val="both"/>
        <w:rPr>
          <w:rFonts w:ascii="Arial" w:eastAsia="Calibri" w:hAnsi="Arial" w:cs="Arial"/>
          <w:lang w:val="es-ES"/>
        </w:rPr>
      </w:pPr>
      <w:r w:rsidRPr="002514D7">
        <w:rPr>
          <w:rFonts w:ascii="Arial" w:eastAsia="Calibri" w:hAnsi="Arial" w:cs="Arial"/>
          <w:lang w:val="es-ES"/>
        </w:rPr>
        <w:t>Que, mediante Resolución Ministerial N° 385-2014-VIVIENDA, se adecúa y reconforma la Comisión del Sector Vivienda responsable del proceso de transferencia de competencias, funciones, atribuciones y recursos asociados, a favor de los Gobiernos Regionales y Gobiernos Locales, constituida por Resolución Ministerial N° 295-2007-VIVIENDA;</w:t>
      </w:r>
    </w:p>
    <w:p w:rsidR="002514D7" w:rsidRPr="002514D7" w:rsidRDefault="002514D7" w:rsidP="002514D7">
      <w:pPr>
        <w:spacing w:after="0" w:line="240" w:lineRule="auto"/>
        <w:contextualSpacing/>
        <w:jc w:val="both"/>
        <w:rPr>
          <w:rFonts w:ascii="Arial" w:eastAsia="Calibri" w:hAnsi="Arial" w:cs="Arial"/>
          <w:lang w:val="es-ES"/>
        </w:rPr>
      </w:pPr>
    </w:p>
    <w:p w:rsidR="002514D7" w:rsidRPr="002514D7" w:rsidRDefault="002514D7" w:rsidP="002514D7">
      <w:pPr>
        <w:spacing w:after="0" w:line="240" w:lineRule="auto"/>
        <w:contextualSpacing/>
        <w:jc w:val="both"/>
        <w:rPr>
          <w:rFonts w:ascii="Arial" w:eastAsia="Calibri" w:hAnsi="Arial" w:cs="Arial"/>
          <w:lang w:val="es-ES"/>
        </w:rPr>
      </w:pPr>
      <w:r w:rsidRPr="002514D7">
        <w:rPr>
          <w:rFonts w:ascii="Arial" w:eastAsia="Calibri" w:hAnsi="Arial" w:cs="Arial"/>
          <w:lang w:val="es-ES"/>
        </w:rPr>
        <w:t>Que, mediante Resolución Ministerial N° 041-2016-VIVIENDA, se aprueba el Plan Anual de Transferencia de Competencias Sectoriales a los Gobiernos Regionales y Locales del año 2016 del Ministerio de Vivienda, Construcción y Saneamiento, el cual contiene entre otros aspectos, el cronograma de actividades vinculadas al proceso de Transferencia de Funciones, así como de la Gestión Descentralizada;</w:t>
      </w:r>
    </w:p>
    <w:p w:rsidR="002514D7" w:rsidRPr="002514D7" w:rsidRDefault="002514D7" w:rsidP="002514D7">
      <w:pPr>
        <w:spacing w:after="0" w:line="240" w:lineRule="auto"/>
        <w:contextualSpacing/>
        <w:jc w:val="both"/>
        <w:rPr>
          <w:rFonts w:ascii="Arial" w:eastAsia="Calibri" w:hAnsi="Arial" w:cs="Arial"/>
          <w:lang w:val="es-ES"/>
        </w:rPr>
      </w:pPr>
      <w:r w:rsidRPr="002514D7">
        <w:rPr>
          <w:rFonts w:ascii="Arial" w:eastAsia="Calibri" w:hAnsi="Arial" w:cs="Arial"/>
          <w:lang w:val="es-ES"/>
        </w:rPr>
        <w:t>Que, mediante Acta de Entrega y Recepción suscrita por el Ministro de Vivienda, Construcción y Saneamiento y por el Gobernador Regional del Callao, así como el Informe Final suscrito por el Presidente de la Comisión de Transferencia Sectorial del Ministerio de Vivienda, Construcción y Saneamiento y del Gobierno Regional del Callao, se ha efectivizado la transferencia de las funciones contenidas en los literales a), b) y c) del artículo 62 de la Ley N° 27867, Ley Orgánica de Gobiernos Regionales, a favor del Gobierno Regional del Callao;</w:t>
      </w:r>
    </w:p>
    <w:p w:rsidR="002514D7" w:rsidRPr="002514D7" w:rsidRDefault="002514D7" w:rsidP="002514D7">
      <w:pPr>
        <w:spacing w:after="0" w:line="240" w:lineRule="auto"/>
        <w:contextualSpacing/>
        <w:jc w:val="both"/>
        <w:rPr>
          <w:rFonts w:ascii="Arial" w:eastAsia="Calibri" w:hAnsi="Arial" w:cs="Arial"/>
          <w:lang w:val="es-ES"/>
        </w:rPr>
      </w:pPr>
    </w:p>
    <w:p w:rsidR="002514D7" w:rsidRPr="002514D7" w:rsidRDefault="002514D7" w:rsidP="002514D7">
      <w:pPr>
        <w:spacing w:after="0" w:line="240" w:lineRule="auto"/>
        <w:contextualSpacing/>
        <w:jc w:val="both"/>
        <w:rPr>
          <w:rFonts w:ascii="Arial" w:eastAsia="Calibri" w:hAnsi="Arial" w:cs="Arial"/>
          <w:lang w:val="es-ES"/>
        </w:rPr>
      </w:pPr>
      <w:r w:rsidRPr="002514D7">
        <w:rPr>
          <w:rFonts w:ascii="Arial" w:eastAsia="Calibri" w:hAnsi="Arial" w:cs="Arial"/>
          <w:lang w:val="es-ES"/>
        </w:rPr>
        <w:t>Que, en consecuencia, es necesario dar por concluido el proceso de transferencia de las funciones específicas consideradas en los literales a), b) y c) del artículo 62 de la Ley N° 27867, Ley Orgánica de Gobiernos Regionales;</w:t>
      </w:r>
    </w:p>
    <w:p w:rsidR="002514D7" w:rsidRPr="002514D7" w:rsidRDefault="002514D7" w:rsidP="002514D7">
      <w:pPr>
        <w:spacing w:after="0" w:line="240" w:lineRule="auto"/>
        <w:contextualSpacing/>
        <w:jc w:val="both"/>
        <w:rPr>
          <w:rFonts w:ascii="Arial" w:eastAsia="Calibri" w:hAnsi="Arial" w:cs="Arial"/>
          <w:lang w:val="es-ES"/>
        </w:rPr>
      </w:pPr>
    </w:p>
    <w:p w:rsidR="002514D7" w:rsidRPr="002514D7" w:rsidRDefault="002514D7" w:rsidP="002514D7">
      <w:pPr>
        <w:spacing w:after="0" w:line="240" w:lineRule="auto"/>
        <w:contextualSpacing/>
        <w:jc w:val="both"/>
        <w:rPr>
          <w:rFonts w:ascii="Arial" w:eastAsia="Calibri" w:hAnsi="Arial" w:cs="Arial"/>
          <w:lang w:val="es-ES"/>
        </w:rPr>
      </w:pPr>
      <w:r w:rsidRPr="002514D7">
        <w:rPr>
          <w:rFonts w:ascii="Arial" w:eastAsia="Calibri" w:hAnsi="Arial" w:cs="Arial"/>
          <w:lang w:val="es-ES"/>
        </w:rPr>
        <w:t>De conformidad con lo dispuesto en la Ley N° 27783, Ley de Bases de la Descentralización; la Ley N° 27867, Ley Orgánica de Gobiernos Regionales; la Ley N° 30156, Ley de Organización y Funciones del Ministerio de Vivienda, Construcción y Saneamiento; y la Resolución Ministerial N° 041-2016-VIVIENDA, que aprueba el Plan Anual de Transferencia de Competencias Sectoriales a los Gobiernos Regionales y Locales del año 2016 del Ministerio de Vivienda, Construcción y Saneamiento;</w:t>
      </w:r>
    </w:p>
    <w:p w:rsidR="002514D7" w:rsidRPr="002514D7" w:rsidRDefault="002514D7" w:rsidP="002514D7">
      <w:pPr>
        <w:spacing w:after="0" w:line="240" w:lineRule="auto"/>
        <w:contextualSpacing/>
        <w:jc w:val="both"/>
        <w:rPr>
          <w:rFonts w:ascii="Arial" w:eastAsia="Calibri" w:hAnsi="Arial" w:cs="Arial"/>
          <w:lang w:val="es-ES"/>
        </w:rPr>
      </w:pPr>
    </w:p>
    <w:p w:rsidR="002514D7" w:rsidRPr="002514D7" w:rsidRDefault="002514D7" w:rsidP="002514D7">
      <w:pPr>
        <w:spacing w:after="0" w:line="240" w:lineRule="auto"/>
        <w:contextualSpacing/>
        <w:jc w:val="both"/>
        <w:rPr>
          <w:rFonts w:ascii="Arial" w:eastAsia="Calibri" w:hAnsi="Arial" w:cs="Arial"/>
          <w:b/>
          <w:lang w:val="es-ES"/>
        </w:rPr>
      </w:pPr>
      <w:r w:rsidRPr="002514D7">
        <w:rPr>
          <w:rFonts w:ascii="Arial" w:eastAsia="Calibri" w:hAnsi="Arial" w:cs="Arial"/>
          <w:b/>
          <w:lang w:val="es-ES"/>
        </w:rPr>
        <w:t>SE RESUELVE:</w:t>
      </w:r>
    </w:p>
    <w:p w:rsidR="002514D7" w:rsidRDefault="002514D7" w:rsidP="002514D7">
      <w:pPr>
        <w:spacing w:after="0" w:line="240" w:lineRule="auto"/>
        <w:contextualSpacing/>
        <w:jc w:val="both"/>
        <w:rPr>
          <w:rFonts w:ascii="Arial" w:eastAsia="Calibri" w:hAnsi="Arial" w:cs="Arial"/>
          <w:b/>
          <w:lang w:val="es-ES"/>
        </w:rPr>
      </w:pPr>
    </w:p>
    <w:p w:rsidR="002514D7" w:rsidRPr="002514D7" w:rsidRDefault="002514D7" w:rsidP="002514D7">
      <w:pPr>
        <w:spacing w:after="0" w:line="240" w:lineRule="auto"/>
        <w:contextualSpacing/>
        <w:jc w:val="both"/>
        <w:rPr>
          <w:rFonts w:ascii="Arial" w:eastAsia="Calibri" w:hAnsi="Arial" w:cs="Arial"/>
          <w:lang w:val="es-ES"/>
        </w:rPr>
      </w:pPr>
      <w:r w:rsidRPr="002514D7">
        <w:rPr>
          <w:rFonts w:ascii="Arial" w:eastAsia="Calibri" w:hAnsi="Arial" w:cs="Arial"/>
          <w:b/>
          <w:lang w:val="es-ES"/>
        </w:rPr>
        <w:t>Artículo 1.-</w:t>
      </w:r>
      <w:r w:rsidRPr="002514D7">
        <w:rPr>
          <w:rFonts w:ascii="Arial" w:eastAsia="Calibri" w:hAnsi="Arial" w:cs="Arial"/>
          <w:lang w:val="es-ES"/>
        </w:rPr>
        <w:t xml:space="preserve"> Declarar concluido el proceso de efectivización de transferencia de funciones específicas al Gobierno Regional del Callao, contenidas en los literales a), b) y c) del artículo 62 de la Ley N° 27867, Ley Orgánica de Gobiernos Regionales, consideradas en el “Plan Anual de Transferencia de Competencias Sectoriales a los Gobiernos Regionales y Locales del año 2008”, aprobado mediante Decreto Supremo N° 049-2008-PCM y modificado por los Decretos Supremos N°s. 018-2009-PCM y 115-2010-PCM.</w:t>
      </w:r>
    </w:p>
    <w:p w:rsidR="002514D7" w:rsidRDefault="002514D7" w:rsidP="002514D7">
      <w:pPr>
        <w:spacing w:after="0" w:line="240" w:lineRule="auto"/>
        <w:contextualSpacing/>
        <w:jc w:val="both"/>
        <w:rPr>
          <w:rFonts w:ascii="Arial" w:eastAsia="Calibri" w:hAnsi="Arial" w:cs="Arial"/>
          <w:b/>
          <w:lang w:val="es-ES"/>
        </w:rPr>
      </w:pPr>
    </w:p>
    <w:p w:rsidR="002514D7" w:rsidRPr="002514D7" w:rsidRDefault="002514D7" w:rsidP="002514D7">
      <w:pPr>
        <w:spacing w:after="0" w:line="240" w:lineRule="auto"/>
        <w:contextualSpacing/>
        <w:jc w:val="both"/>
        <w:rPr>
          <w:rFonts w:ascii="Arial" w:eastAsia="Calibri" w:hAnsi="Arial" w:cs="Arial"/>
          <w:lang w:val="es-ES"/>
        </w:rPr>
      </w:pPr>
      <w:r w:rsidRPr="002514D7">
        <w:rPr>
          <w:rFonts w:ascii="Arial" w:eastAsia="Calibri" w:hAnsi="Arial" w:cs="Arial"/>
          <w:b/>
          <w:lang w:val="es-ES"/>
        </w:rPr>
        <w:t>Artículo 2.-</w:t>
      </w:r>
      <w:r w:rsidRPr="002514D7">
        <w:rPr>
          <w:rFonts w:ascii="Arial" w:eastAsia="Calibri" w:hAnsi="Arial" w:cs="Arial"/>
          <w:lang w:val="es-ES"/>
        </w:rPr>
        <w:t xml:space="preserve"> Establecer que a partir de la fecha, el Gobierno Regional del Callao es competente para el ejercicio de las funciones específicas a que se refiere el artículo precedente.</w:t>
      </w:r>
    </w:p>
    <w:p w:rsidR="002514D7" w:rsidRPr="002514D7" w:rsidRDefault="002514D7" w:rsidP="002514D7">
      <w:pPr>
        <w:spacing w:after="0" w:line="240" w:lineRule="auto"/>
        <w:contextualSpacing/>
        <w:jc w:val="both"/>
        <w:rPr>
          <w:rFonts w:ascii="Arial" w:eastAsia="Calibri" w:hAnsi="Arial" w:cs="Arial"/>
          <w:lang w:val="es-ES"/>
        </w:rPr>
      </w:pPr>
      <w:r w:rsidRPr="002514D7">
        <w:rPr>
          <w:rFonts w:ascii="Arial" w:eastAsia="Calibri" w:hAnsi="Arial" w:cs="Arial"/>
          <w:lang w:val="es-ES"/>
        </w:rPr>
        <w:t>Regístrese, comuníquese y publíquese.</w:t>
      </w:r>
    </w:p>
    <w:p w:rsidR="002514D7" w:rsidRPr="002514D7" w:rsidRDefault="002514D7" w:rsidP="002514D7">
      <w:pPr>
        <w:spacing w:after="0" w:line="240" w:lineRule="auto"/>
        <w:contextualSpacing/>
        <w:jc w:val="both"/>
        <w:rPr>
          <w:rFonts w:ascii="Arial" w:eastAsia="Calibri" w:hAnsi="Arial" w:cs="Arial"/>
          <w:lang w:val="es-ES"/>
        </w:rPr>
      </w:pPr>
    </w:p>
    <w:p w:rsidR="002514D7" w:rsidRPr="002514D7" w:rsidRDefault="002514D7" w:rsidP="002514D7">
      <w:pPr>
        <w:spacing w:after="0" w:line="240" w:lineRule="auto"/>
        <w:contextualSpacing/>
        <w:jc w:val="both"/>
        <w:rPr>
          <w:rFonts w:ascii="Arial" w:eastAsia="Calibri" w:hAnsi="Arial" w:cs="Arial"/>
          <w:b/>
          <w:lang w:val="es-ES"/>
        </w:rPr>
      </w:pPr>
      <w:r w:rsidRPr="002514D7">
        <w:rPr>
          <w:rFonts w:ascii="Arial" w:eastAsia="Calibri" w:hAnsi="Arial" w:cs="Arial"/>
          <w:b/>
          <w:lang w:val="es-ES"/>
        </w:rPr>
        <w:t>EDMER TRUJILLO MORI</w:t>
      </w:r>
    </w:p>
    <w:p w:rsidR="006312E8" w:rsidRPr="006312E8" w:rsidRDefault="002514D7" w:rsidP="002514D7">
      <w:pPr>
        <w:spacing w:after="0" w:line="240" w:lineRule="auto"/>
        <w:contextualSpacing/>
        <w:jc w:val="both"/>
        <w:rPr>
          <w:rFonts w:ascii="Arial" w:eastAsia="Calibri" w:hAnsi="Arial" w:cs="Arial"/>
          <w:lang w:val="es-ES"/>
        </w:rPr>
      </w:pPr>
      <w:r w:rsidRPr="002514D7">
        <w:rPr>
          <w:rFonts w:ascii="Arial" w:eastAsia="Calibri" w:hAnsi="Arial" w:cs="Arial"/>
          <w:lang w:val="es-ES"/>
        </w:rPr>
        <w:t>Ministro de Vivienda, Construcción y Saneamiento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Default="006312E8" w:rsidP="006312E8">
      <w:pPr>
        <w:spacing w:after="0" w:line="240" w:lineRule="auto"/>
        <w:contextualSpacing/>
        <w:jc w:val="both"/>
        <w:rPr>
          <w:rFonts w:ascii="Arial" w:eastAsia="Calibri" w:hAnsi="Arial" w:cs="Arial"/>
          <w:lang w:val="es-ES"/>
        </w:rPr>
      </w:pPr>
    </w:p>
    <w:p w:rsidR="00DF401E" w:rsidRDefault="00DF401E" w:rsidP="006312E8">
      <w:pPr>
        <w:spacing w:after="0" w:line="240" w:lineRule="auto"/>
        <w:contextualSpacing/>
        <w:jc w:val="both"/>
        <w:rPr>
          <w:rFonts w:ascii="Arial" w:eastAsia="Calibri" w:hAnsi="Arial" w:cs="Arial"/>
          <w:lang w:val="es-ES"/>
        </w:rPr>
      </w:pPr>
    </w:p>
    <w:p w:rsidR="00DF401E" w:rsidRDefault="00DF401E" w:rsidP="006312E8">
      <w:pPr>
        <w:spacing w:after="0" w:line="240" w:lineRule="auto"/>
        <w:contextualSpacing/>
        <w:jc w:val="both"/>
        <w:rPr>
          <w:rFonts w:ascii="Arial" w:eastAsia="Calibri" w:hAnsi="Arial" w:cs="Arial"/>
          <w:lang w:val="es-ES"/>
        </w:rPr>
      </w:pPr>
    </w:p>
    <w:p w:rsidR="00DF401E" w:rsidRDefault="00DF401E" w:rsidP="006312E8">
      <w:pPr>
        <w:spacing w:after="0" w:line="240" w:lineRule="auto"/>
        <w:contextualSpacing/>
        <w:jc w:val="both"/>
        <w:rPr>
          <w:rFonts w:ascii="Arial" w:eastAsia="Calibri" w:hAnsi="Arial" w:cs="Arial"/>
          <w:lang w:val="es-ES"/>
        </w:rPr>
      </w:pPr>
    </w:p>
    <w:p w:rsidR="00DF401E" w:rsidRDefault="00DF401E" w:rsidP="006312E8">
      <w:pPr>
        <w:spacing w:after="0" w:line="240" w:lineRule="auto"/>
        <w:contextualSpacing/>
        <w:jc w:val="both"/>
        <w:rPr>
          <w:rFonts w:ascii="Arial" w:eastAsia="Calibri" w:hAnsi="Arial" w:cs="Arial"/>
          <w:lang w:val="es-ES"/>
        </w:rPr>
      </w:pPr>
    </w:p>
    <w:p w:rsidR="00DF401E" w:rsidRDefault="00DF401E" w:rsidP="006312E8">
      <w:pPr>
        <w:spacing w:after="0" w:line="240" w:lineRule="auto"/>
        <w:contextualSpacing/>
        <w:jc w:val="both"/>
        <w:rPr>
          <w:rFonts w:ascii="Arial" w:eastAsia="Calibri" w:hAnsi="Arial" w:cs="Arial"/>
          <w:lang w:val="es-ES"/>
        </w:rPr>
      </w:pPr>
    </w:p>
    <w:p w:rsidR="00DF401E" w:rsidRDefault="00DF401E" w:rsidP="006312E8">
      <w:pPr>
        <w:spacing w:after="0" w:line="240" w:lineRule="auto"/>
        <w:contextualSpacing/>
        <w:jc w:val="both"/>
        <w:rPr>
          <w:rFonts w:ascii="Arial" w:eastAsia="Calibri" w:hAnsi="Arial" w:cs="Arial"/>
          <w:lang w:val="es-ES"/>
        </w:rPr>
      </w:pPr>
    </w:p>
    <w:p w:rsidR="00DF401E" w:rsidRDefault="00DF401E" w:rsidP="006312E8">
      <w:pPr>
        <w:spacing w:after="0" w:line="240" w:lineRule="auto"/>
        <w:contextualSpacing/>
        <w:jc w:val="both"/>
        <w:rPr>
          <w:rFonts w:ascii="Arial" w:eastAsia="Calibri" w:hAnsi="Arial" w:cs="Arial"/>
          <w:lang w:val="es-ES"/>
        </w:rPr>
      </w:pPr>
    </w:p>
    <w:p w:rsidR="00DF401E" w:rsidRDefault="00DF401E" w:rsidP="006312E8">
      <w:pPr>
        <w:spacing w:after="0" w:line="240" w:lineRule="auto"/>
        <w:contextualSpacing/>
        <w:jc w:val="both"/>
        <w:rPr>
          <w:rFonts w:ascii="Arial" w:eastAsia="Calibri" w:hAnsi="Arial" w:cs="Arial"/>
          <w:lang w:val="es-ES"/>
        </w:rPr>
      </w:pPr>
    </w:p>
    <w:p w:rsidR="00DF401E" w:rsidRDefault="00DF401E" w:rsidP="006312E8">
      <w:pPr>
        <w:spacing w:after="0" w:line="240" w:lineRule="auto"/>
        <w:contextualSpacing/>
        <w:jc w:val="both"/>
        <w:rPr>
          <w:rFonts w:ascii="Arial" w:eastAsia="Calibri" w:hAnsi="Arial" w:cs="Arial"/>
          <w:lang w:val="es-ES"/>
        </w:rPr>
      </w:pPr>
    </w:p>
    <w:p w:rsidR="00DF401E" w:rsidRDefault="00DF401E" w:rsidP="006312E8">
      <w:pPr>
        <w:spacing w:after="0" w:line="240" w:lineRule="auto"/>
        <w:contextualSpacing/>
        <w:jc w:val="both"/>
        <w:rPr>
          <w:rFonts w:ascii="Arial" w:eastAsia="Calibri" w:hAnsi="Arial" w:cs="Arial"/>
          <w:lang w:val="es-ES"/>
        </w:rPr>
      </w:pPr>
    </w:p>
    <w:p w:rsidR="00DF401E" w:rsidRDefault="00DF401E" w:rsidP="006312E8">
      <w:pPr>
        <w:spacing w:after="0" w:line="240" w:lineRule="auto"/>
        <w:contextualSpacing/>
        <w:jc w:val="both"/>
        <w:rPr>
          <w:rFonts w:ascii="Arial" w:eastAsia="Calibri" w:hAnsi="Arial" w:cs="Arial"/>
          <w:lang w:val="es-ES"/>
        </w:rPr>
      </w:pPr>
    </w:p>
    <w:p w:rsidR="00DF401E" w:rsidRDefault="00DF401E" w:rsidP="006312E8">
      <w:pPr>
        <w:spacing w:after="0" w:line="240" w:lineRule="auto"/>
        <w:contextualSpacing/>
        <w:jc w:val="both"/>
        <w:rPr>
          <w:rFonts w:ascii="Arial" w:eastAsia="Calibri" w:hAnsi="Arial" w:cs="Arial"/>
          <w:lang w:val="es-ES"/>
        </w:rPr>
      </w:pPr>
    </w:p>
    <w:p w:rsidR="00DF401E" w:rsidRDefault="00DF401E" w:rsidP="006312E8">
      <w:pPr>
        <w:spacing w:after="0" w:line="240" w:lineRule="auto"/>
        <w:contextualSpacing/>
        <w:jc w:val="both"/>
        <w:rPr>
          <w:rFonts w:ascii="Arial" w:eastAsia="Calibri" w:hAnsi="Arial" w:cs="Arial"/>
          <w:lang w:val="es-ES"/>
        </w:rPr>
      </w:pPr>
    </w:p>
    <w:p w:rsidR="00DF401E" w:rsidRPr="006312E8" w:rsidRDefault="00DF401E" w:rsidP="006312E8">
      <w:pPr>
        <w:spacing w:after="0" w:line="240" w:lineRule="auto"/>
        <w:contextualSpacing/>
        <w:jc w:val="both"/>
        <w:rPr>
          <w:rFonts w:ascii="Arial" w:eastAsia="Calibri" w:hAnsi="Arial" w:cs="Arial"/>
          <w:lang w:val="es-ES"/>
        </w:rPr>
      </w:pPr>
    </w:p>
    <w:p w:rsidR="006312E8" w:rsidRDefault="006312E8" w:rsidP="006312E8">
      <w:pPr>
        <w:spacing w:after="0" w:line="240" w:lineRule="auto"/>
        <w:contextualSpacing/>
        <w:jc w:val="both"/>
        <w:rPr>
          <w:rFonts w:ascii="Arial" w:eastAsia="Calibri" w:hAnsi="Arial" w:cs="Arial"/>
          <w:lang w:val="es-ES"/>
        </w:rPr>
      </w:pPr>
    </w:p>
    <w:p w:rsidR="0041742A" w:rsidRPr="006312E8" w:rsidRDefault="0041742A"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E104C8">
      <w:pPr>
        <w:pStyle w:val="TITO10"/>
      </w:pPr>
      <w:bookmarkStart w:id="370" w:name="_Toc392856243"/>
      <w:bookmarkStart w:id="371" w:name="_Toc399335516"/>
      <w:bookmarkStart w:id="372" w:name="_Toc421025462"/>
      <w:bookmarkStart w:id="373" w:name="_Toc470855565"/>
      <w:r w:rsidRPr="006312E8">
        <w:t>NORMAS SOBRE PLAYAS</w:t>
      </w:r>
      <w:bookmarkEnd w:id="370"/>
      <w:bookmarkEnd w:id="371"/>
      <w:bookmarkEnd w:id="372"/>
      <w:bookmarkEnd w:id="373"/>
    </w:p>
    <w:bookmarkStart w:id="374" w:name="_Toc392856244"/>
    <w:p w:rsidR="006312E8" w:rsidRPr="006312E8" w:rsidRDefault="006312E8" w:rsidP="006312E8">
      <w:pPr>
        <w:spacing w:after="0" w:line="240" w:lineRule="auto"/>
        <w:jc w:val="center"/>
        <w:rPr>
          <w:rFonts w:ascii="Arial" w:eastAsia="Calibri" w:hAnsi="Arial" w:cs="Arial"/>
          <w:b/>
          <w:sz w:val="48"/>
          <w:szCs w:val="48"/>
          <w:lang w:val="es-ES"/>
        </w:rPr>
      </w:pPr>
      <w:r w:rsidRPr="006312E8">
        <w:rPr>
          <w:rFonts w:ascii="Arial" w:eastAsia="Calibri" w:hAnsi="Arial" w:cs="Arial"/>
          <w:b/>
          <w:noProof/>
          <w:sz w:val="48"/>
          <w:szCs w:val="48"/>
          <w:lang w:val="es-MX" w:eastAsia="es-MX"/>
        </w:rPr>
        <mc:AlternateContent>
          <mc:Choice Requires="wps">
            <w:drawing>
              <wp:anchor distT="0" distB="0" distL="114300" distR="114300" simplePos="0" relativeHeight="251675648" behindDoc="0" locked="0" layoutInCell="1" allowOverlap="1" wp14:anchorId="58954703" wp14:editId="71D227F6">
                <wp:simplePos x="0" y="0"/>
                <wp:positionH relativeFrom="column">
                  <wp:posOffset>1409065</wp:posOffset>
                </wp:positionH>
                <wp:positionV relativeFrom="paragraph">
                  <wp:posOffset>95250</wp:posOffset>
                </wp:positionV>
                <wp:extent cx="3743325" cy="0"/>
                <wp:effectExtent l="38100" t="38100" r="38100" b="38100"/>
                <wp:wrapNone/>
                <wp:docPr id="9" name="Conector recto de flech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3325" cy="0"/>
                        </a:xfrm>
                        <a:prstGeom prst="straightConnector1">
                          <a:avLst/>
                        </a:prstGeom>
                        <a:noFill/>
                        <a:ln w="635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B42BBB5" id="_x0000_t32" coordsize="21600,21600" o:spt="32" o:oned="t" path="m,l21600,21600e" filled="f">
                <v:path arrowok="t" fillok="f" o:connecttype="none"/>
                <o:lock v:ext="edit" shapetype="t"/>
              </v:shapetype>
              <v:shape id="Conector recto de flecha 9" o:spid="_x0000_s1026" type="#_x0000_t32" style="position:absolute;margin-left:110.95pt;margin-top:7.5pt;width:294.7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" strokeweight="5pt">
                <v:shadow color="#7f7f7f" opacity=".5" offset="1pt"/>
              </v:shape>
            </w:pict>
          </mc:Fallback>
        </mc:AlternateContent>
      </w:r>
      <w:bookmarkEnd w:id="374"/>
    </w:p>
    <w:p w:rsidR="006312E8" w:rsidRPr="006312E8" w:rsidRDefault="006312E8" w:rsidP="006312E8">
      <w:pPr>
        <w:spacing w:after="0" w:line="240" w:lineRule="auto"/>
        <w:contextualSpacing/>
        <w:jc w:val="both"/>
        <w:rPr>
          <w:rFonts w:ascii="Arial" w:eastAsia="Calibri" w:hAnsi="Arial" w:cs="Arial"/>
          <w:lang w:val="es-ES"/>
        </w:rPr>
      </w:pPr>
    </w:p>
    <w:p w:rsidR="006312E8" w:rsidRDefault="006312E8" w:rsidP="006312E8">
      <w:pPr>
        <w:spacing w:after="0" w:line="240" w:lineRule="auto"/>
        <w:contextualSpacing/>
        <w:jc w:val="both"/>
        <w:rPr>
          <w:rFonts w:ascii="Arial" w:eastAsia="Calibri" w:hAnsi="Arial" w:cs="Arial"/>
          <w:lang w:val="es-ES"/>
        </w:rPr>
      </w:pPr>
    </w:p>
    <w:p w:rsidR="0041742A" w:rsidRDefault="0041742A" w:rsidP="006312E8">
      <w:pPr>
        <w:spacing w:after="0" w:line="240" w:lineRule="auto"/>
        <w:contextualSpacing/>
        <w:jc w:val="both"/>
        <w:rPr>
          <w:rFonts w:ascii="Arial" w:eastAsia="Calibri" w:hAnsi="Arial" w:cs="Arial"/>
          <w:lang w:val="es-ES"/>
        </w:rPr>
      </w:pPr>
    </w:p>
    <w:p w:rsidR="0041742A" w:rsidRPr="006312E8" w:rsidRDefault="0041742A"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E104C8">
      <w:pPr>
        <w:pStyle w:val="TITO2"/>
      </w:pPr>
      <w:bookmarkStart w:id="375" w:name="_Toc392856245"/>
      <w:bookmarkStart w:id="376" w:name="_Toc399335517"/>
      <w:bookmarkStart w:id="377" w:name="_Toc421025463"/>
      <w:bookmarkStart w:id="378" w:name="_Toc470855566"/>
      <w:bookmarkStart w:id="379" w:name="LEY26856"/>
      <w:r w:rsidRPr="006312E8">
        <w:t>LEY Nº 26856</w:t>
      </w:r>
      <w:bookmarkEnd w:id="375"/>
      <w:bookmarkEnd w:id="376"/>
      <w:bookmarkEnd w:id="377"/>
      <w:bookmarkEnd w:id="378"/>
    </w:p>
    <w:bookmarkEnd w:id="379"/>
    <w:p w:rsidR="006312E8" w:rsidRPr="006312E8" w:rsidRDefault="006312E8" w:rsidP="006312E8">
      <w:pPr>
        <w:spacing w:after="0" w:line="240" w:lineRule="auto"/>
        <w:contextualSpacing/>
        <w:jc w:val="right"/>
        <w:rPr>
          <w:rFonts w:ascii="Arial" w:eastAsia="Calibri" w:hAnsi="Arial" w:cs="Arial"/>
          <w:b/>
          <w:lang w:val="es-ES"/>
        </w:rPr>
      </w:pPr>
      <w:r w:rsidRPr="006312E8">
        <w:rPr>
          <w:rFonts w:ascii="Arial" w:eastAsia="Calibri" w:hAnsi="Arial" w:cs="Arial"/>
          <w:b/>
          <w:lang w:val="es-ES"/>
        </w:rPr>
        <w:t>Fecha de publicación: 08-09-1997</w:t>
      </w:r>
    </w:p>
    <w:p w:rsidR="00246CE9" w:rsidRDefault="00246CE9" w:rsidP="00246CE9">
      <w:pPr>
        <w:spacing w:after="0" w:line="240" w:lineRule="auto"/>
        <w:contextualSpacing/>
        <w:jc w:val="center"/>
        <w:rPr>
          <w:rFonts w:ascii="Arial" w:eastAsia="Calibri" w:hAnsi="Arial" w:cs="Arial"/>
          <w:b/>
          <w:lang w:val="es-ES"/>
        </w:rPr>
      </w:pPr>
    </w:p>
    <w:p w:rsidR="00246CE9" w:rsidRPr="006312E8" w:rsidRDefault="00246CE9" w:rsidP="00246CE9">
      <w:pPr>
        <w:spacing w:after="0" w:line="240" w:lineRule="auto"/>
        <w:contextualSpacing/>
        <w:jc w:val="center"/>
        <w:rPr>
          <w:rFonts w:ascii="Arial" w:eastAsia="Calibri" w:hAnsi="Arial" w:cs="Arial"/>
          <w:b/>
          <w:lang w:val="es-ES"/>
        </w:rPr>
      </w:pPr>
      <w:r w:rsidRPr="006312E8">
        <w:rPr>
          <w:rFonts w:ascii="Arial" w:eastAsia="Calibri" w:hAnsi="Arial" w:cs="Arial"/>
          <w:b/>
          <w:lang w:val="es-ES"/>
        </w:rPr>
        <w:t>Declaran que las playas del litoral son bienes de uso público, inalienables e imprescriptibles y establecen zona de dominio restringido</w:t>
      </w:r>
    </w:p>
    <w:p w:rsidR="006312E8" w:rsidRPr="006312E8" w:rsidRDefault="006312E8" w:rsidP="00246CE9">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right"/>
        <w:rPr>
          <w:rFonts w:ascii="Arial" w:eastAsia="Calibri" w:hAnsi="Arial" w:cs="Arial"/>
          <w:b/>
          <w:lang w:val="es-ES"/>
        </w:rPr>
      </w:pPr>
    </w:p>
    <w:p w:rsidR="006312E8" w:rsidRPr="006312E8" w:rsidRDefault="006312E8" w:rsidP="006312E8">
      <w:pPr>
        <w:spacing w:after="0" w:line="240" w:lineRule="auto"/>
        <w:ind w:left="284" w:hanging="283"/>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6312E8" w:rsidP="006312E8">
      <w:pPr>
        <w:numPr>
          <w:ilvl w:val="0"/>
          <w:numId w:val="8"/>
        </w:numPr>
        <w:spacing w:after="0" w:line="240" w:lineRule="auto"/>
        <w:ind w:left="567" w:hanging="283"/>
        <w:contextualSpacing/>
        <w:jc w:val="both"/>
        <w:rPr>
          <w:rFonts w:ascii="Arial" w:eastAsia="Calibri" w:hAnsi="Arial" w:cs="Arial"/>
          <w:b/>
          <w:color w:val="4F6228"/>
          <w:sz w:val="16"/>
          <w:szCs w:val="16"/>
        </w:rPr>
      </w:pPr>
      <w:r w:rsidRPr="006312E8">
        <w:rPr>
          <w:rFonts w:ascii="Arial" w:eastAsia="Calibri" w:hAnsi="Arial" w:cs="Arial"/>
          <w:b/>
          <w:color w:val="4F6228"/>
          <w:sz w:val="16"/>
          <w:szCs w:val="16"/>
        </w:rPr>
        <w:t>Decreto Supremo Nº 050-2006-EF</w:t>
      </w:r>
    </w:p>
    <w:p w:rsidR="006312E8" w:rsidRPr="006312E8" w:rsidRDefault="006312E8" w:rsidP="006312E8">
      <w:pPr>
        <w:numPr>
          <w:ilvl w:val="0"/>
          <w:numId w:val="8"/>
        </w:numPr>
        <w:spacing w:after="0" w:line="240" w:lineRule="auto"/>
        <w:ind w:left="567" w:hanging="283"/>
        <w:contextualSpacing/>
        <w:jc w:val="both"/>
        <w:rPr>
          <w:rFonts w:ascii="Arial" w:eastAsia="Calibri" w:hAnsi="Arial" w:cs="Arial"/>
          <w:b/>
          <w:color w:val="4F6228"/>
          <w:sz w:val="16"/>
          <w:szCs w:val="16"/>
        </w:rPr>
      </w:pPr>
      <w:r w:rsidRPr="006312E8">
        <w:rPr>
          <w:rFonts w:ascii="Arial" w:eastAsia="Calibri" w:hAnsi="Arial" w:cs="Arial"/>
          <w:b/>
          <w:color w:val="4F6228"/>
          <w:sz w:val="16"/>
          <w:szCs w:val="16"/>
        </w:rPr>
        <w:t>Decreto Supremo Nº 007-2008-VIVIENDA (art. 44)</w:t>
      </w:r>
    </w:p>
    <w:p w:rsidR="006312E8" w:rsidRPr="006312E8" w:rsidRDefault="006312E8" w:rsidP="006312E8">
      <w:pPr>
        <w:numPr>
          <w:ilvl w:val="0"/>
          <w:numId w:val="8"/>
        </w:numPr>
        <w:spacing w:after="0" w:line="240" w:lineRule="auto"/>
        <w:ind w:left="567" w:hanging="283"/>
        <w:contextualSpacing/>
        <w:jc w:val="both"/>
        <w:rPr>
          <w:rFonts w:ascii="Arial" w:eastAsia="Calibri" w:hAnsi="Arial" w:cs="Arial"/>
          <w:b/>
          <w:color w:val="4F6228"/>
          <w:sz w:val="16"/>
          <w:szCs w:val="16"/>
        </w:rPr>
      </w:pPr>
      <w:r w:rsidRPr="006312E8">
        <w:rPr>
          <w:rFonts w:ascii="Arial" w:eastAsia="Calibri" w:hAnsi="Arial" w:cs="Arial"/>
          <w:b/>
          <w:color w:val="4F6228"/>
          <w:sz w:val="16"/>
          <w:szCs w:val="16"/>
        </w:rPr>
        <w:t>Decreto Legislativo Nº 1007 (Segunda Disposición Complementaria y Final)</w:t>
      </w:r>
    </w:p>
    <w:p w:rsidR="006312E8" w:rsidRPr="006312E8" w:rsidRDefault="006312E8" w:rsidP="006312E8">
      <w:pPr>
        <w:numPr>
          <w:ilvl w:val="0"/>
          <w:numId w:val="8"/>
        </w:numPr>
        <w:spacing w:after="0" w:line="240" w:lineRule="auto"/>
        <w:ind w:left="567" w:hanging="283"/>
        <w:contextualSpacing/>
        <w:jc w:val="both"/>
        <w:rPr>
          <w:rFonts w:ascii="Arial" w:eastAsia="Calibri" w:hAnsi="Arial" w:cs="Arial"/>
          <w:b/>
          <w:color w:val="4F6228"/>
          <w:sz w:val="16"/>
          <w:szCs w:val="16"/>
        </w:rPr>
      </w:pPr>
      <w:r w:rsidRPr="006312E8">
        <w:rPr>
          <w:rFonts w:ascii="Arial" w:eastAsia="Calibri" w:hAnsi="Arial" w:cs="Arial"/>
          <w:b/>
          <w:color w:val="4F6228"/>
          <w:sz w:val="16"/>
          <w:szCs w:val="16"/>
        </w:rPr>
        <w:t>Resolución Ministerial Nº 171-2011-MINCETUR-DM</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CARLOS TORRES Y TORRES Y LARA</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Presidente del Congreso de la República;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POR CUANTO: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Congreso de la República ha dado la ley siguiente;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EL CONGRESO DE LA REPUBLICA;</w:t>
      </w: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HA DADO LA LEY SIGUIENTE: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1.-</w:t>
      </w:r>
      <w:r w:rsidRPr="006312E8">
        <w:rPr>
          <w:rFonts w:ascii="Arial" w:eastAsia="Calibri" w:hAnsi="Arial" w:cs="Arial"/>
          <w:lang w:val="es-ES"/>
        </w:rPr>
        <w:t xml:space="preserve"> Las playas del litoral de la República son bienes de uso Público, inalienable e imprescriptible. Se entiende como playa el área donde la costa se presenta como plana descubierta con declive suave hacia el mar y formada de arena o piedra, canto rodado o arena entremezclada con fango más una franja no menor de 50 metros de ancho paralela a la línea de alta marea.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ingreso y uso de las playas es libre, salvo en los casos señalados expresamente en la presente Ley.</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6312E8" w:rsidP="006312E8">
      <w:pPr>
        <w:numPr>
          <w:ilvl w:val="0"/>
          <w:numId w:val="8"/>
        </w:numPr>
        <w:spacing w:after="0" w:line="240" w:lineRule="auto"/>
        <w:ind w:left="284" w:hanging="284"/>
        <w:contextualSpacing/>
        <w:jc w:val="both"/>
        <w:rPr>
          <w:rFonts w:ascii="Arial" w:eastAsia="Calibri" w:hAnsi="Arial" w:cs="Arial"/>
          <w:b/>
          <w:color w:val="4F6228"/>
          <w:sz w:val="16"/>
          <w:szCs w:val="16"/>
        </w:rPr>
      </w:pPr>
      <w:r w:rsidRPr="006312E8">
        <w:rPr>
          <w:rFonts w:ascii="Arial" w:eastAsia="Calibri" w:hAnsi="Arial" w:cs="Arial"/>
          <w:b/>
          <w:color w:val="4F6228"/>
          <w:sz w:val="16"/>
          <w:szCs w:val="16"/>
        </w:rPr>
        <w:t>Anexo del Decreto Supremo Nº 050-2006-EF (art. 3)</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2.-</w:t>
      </w:r>
      <w:r w:rsidRPr="006312E8">
        <w:rPr>
          <w:rFonts w:ascii="Arial" w:eastAsia="Calibri" w:hAnsi="Arial" w:cs="Arial"/>
          <w:lang w:val="es-ES"/>
        </w:rPr>
        <w:t xml:space="preserve"> Se considera zona de dominio restringido la franja de 200 metros ubicada a continuación de la franja de 50 metros descrita en el artículo anterior, siempre que exista continuidad geográfica en toda esa área.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En consecuencia no se entenderán comprendidos dentro de la zona de dominio restringido los terrenos ubicados más allá de acantilados, lagos, montañas, lomas, carreteras y otras situaciones similares que rompan con la continuidad geográfica de la playa.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Tampoco están comprendidos dentro de la zona de dominio restringido los terrenos de propiedad privada adquiridos legalmente a la fecha de entrada en vigencia de la presente Ley, que se encuentren dentro de los 200 metros señalados en el párrafo anterior.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(*)NOTA:  De conformidad con el Artículo 1 del Decreto Supremo Nº 021-2000-MTC, publicado el 10-05-2000, se desafectan las zonas de dominio restringido que se encuentren ocupadas por Posesiones Informales donde COFOPRI haya asumido competencia y/o que sean incluidas dentro del Programa de Formalización de la Propiedad que ejecuta COFOPRI.</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6312E8" w:rsidP="006312E8">
      <w:pPr>
        <w:numPr>
          <w:ilvl w:val="0"/>
          <w:numId w:val="8"/>
        </w:numPr>
        <w:spacing w:after="0" w:line="240" w:lineRule="auto"/>
        <w:ind w:left="284" w:hanging="284"/>
        <w:contextualSpacing/>
        <w:jc w:val="both"/>
        <w:rPr>
          <w:rFonts w:ascii="Arial" w:eastAsia="Calibri" w:hAnsi="Arial" w:cs="Arial"/>
          <w:b/>
          <w:color w:val="4F6228"/>
          <w:sz w:val="16"/>
          <w:szCs w:val="16"/>
        </w:rPr>
      </w:pPr>
      <w:r w:rsidRPr="006312E8">
        <w:rPr>
          <w:rFonts w:ascii="Arial" w:eastAsia="Calibri" w:hAnsi="Arial" w:cs="Arial"/>
          <w:b/>
          <w:color w:val="4F6228"/>
          <w:sz w:val="16"/>
          <w:szCs w:val="16"/>
        </w:rPr>
        <w:t>Anexo del Decreto Supremo Nº 050-2006-EF (art. 4)</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3.-</w:t>
      </w:r>
      <w:r w:rsidRPr="006312E8">
        <w:rPr>
          <w:rFonts w:ascii="Arial" w:eastAsia="Calibri" w:hAnsi="Arial" w:cs="Arial"/>
          <w:lang w:val="es-ES"/>
        </w:rPr>
        <w:t xml:space="preserve"> Las zonas de dominio restringido serán dedicadas a playas públicas para el uso de la población. La adjudicación y/o construcción de inmuebles dentro de la zona de dominio restringido queda prohibida a partir de la entrada en vigencia de la presente Ley. Sólo por Decreto Supremo refrendado por el Ministro de Transportes, Comunicaciones, Vivienda y Construcción y por el Ministro de Defensa se podrá desafectar áreas de la zona de dominio restringido o establecer las causales, condiciones y procedimientos de desafectación. Ninguna autoridad podrá, bajo responsabilidad, adjudicar terrenos o autorizar habilitaciones en la zona de dominio restringido que no hayan sido desafectadas.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6312E8" w:rsidP="006312E8">
      <w:pPr>
        <w:numPr>
          <w:ilvl w:val="0"/>
          <w:numId w:val="8"/>
        </w:numPr>
        <w:spacing w:after="0" w:line="240" w:lineRule="auto"/>
        <w:ind w:left="284" w:hanging="284"/>
        <w:contextualSpacing/>
        <w:jc w:val="both"/>
        <w:rPr>
          <w:rFonts w:ascii="Arial" w:eastAsia="Calibri" w:hAnsi="Arial" w:cs="Arial"/>
          <w:b/>
          <w:color w:val="4F6228"/>
          <w:sz w:val="16"/>
          <w:szCs w:val="16"/>
        </w:rPr>
      </w:pPr>
      <w:r w:rsidRPr="006312E8">
        <w:rPr>
          <w:rFonts w:ascii="Arial" w:eastAsia="Calibri" w:hAnsi="Arial" w:cs="Arial"/>
          <w:b/>
          <w:color w:val="4F6228"/>
          <w:sz w:val="16"/>
          <w:szCs w:val="16"/>
        </w:rPr>
        <w:t>Anexo del Decreto Supremo Nº 050-2006-EF (art. 15)</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4.-</w:t>
      </w:r>
      <w:r w:rsidRPr="006312E8">
        <w:rPr>
          <w:rFonts w:ascii="Arial" w:eastAsia="Calibri" w:hAnsi="Arial" w:cs="Arial"/>
          <w:lang w:val="es-ES"/>
        </w:rPr>
        <w:t xml:space="preserve"> Sin perjuicio de lo establecido en los artículos anteriores, en todos los balnearios y urbanizaciones colindantes a la playa, terrenos ribereños y similares bajo propiedad pública o privada debe existir por lo menos cada mil metros, una vía de acceso que permita el libre ingreso a las playas. En tal sentido el acceso deberá permitir la entrada de vehículos motorizados hasta por lo menos 250 metros de la línea de alta marea. A partir de dicho punto deberá existir al menos un acceso peatonal hasta la playa.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En el caso de proyectos de habilitación urbana, de construcción de balnearios, urbanizaciones y asociaciones colindantes a la playa en los que al momento de aprobarse y ejecutarse ocupen menos de 1,000 metros lineales de frente al mar, deberá necesariamente reservarse un acceso en cada uno de sus dos extremos con las características señaladas en el párrafo anterior. En caso que una habilitación urbana, balneario, urbanización u asociación colindante con la nueva habilitación urbana, balneario, urbanización o asociación ya haya establecido un acceso en el extremo en el que colindan, la última quedará exonerada de la obligación de establecer un acceso en dicho extremo.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También deberá establecerse un acceso en aquellos casos en que no obstante que la habilitación o construcción de los predios, individualmente o en conjunto no ocupen una franja de mil metros, las características geográficas de la zona no permitan un acceso libre y seguro a las playas por un lugar distinto al que ocupan los predios de propiedad pública o privada.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6312E8" w:rsidP="006312E8">
      <w:pPr>
        <w:numPr>
          <w:ilvl w:val="0"/>
          <w:numId w:val="8"/>
        </w:numPr>
        <w:spacing w:after="0" w:line="240" w:lineRule="auto"/>
        <w:ind w:left="284" w:hanging="284"/>
        <w:contextualSpacing/>
        <w:jc w:val="both"/>
        <w:rPr>
          <w:rFonts w:ascii="Arial" w:eastAsia="Calibri" w:hAnsi="Arial" w:cs="Arial"/>
          <w:b/>
          <w:color w:val="4F6228"/>
          <w:sz w:val="16"/>
          <w:szCs w:val="16"/>
        </w:rPr>
      </w:pPr>
      <w:r w:rsidRPr="006312E8">
        <w:rPr>
          <w:rFonts w:ascii="Arial" w:eastAsia="Calibri" w:hAnsi="Arial" w:cs="Arial"/>
          <w:b/>
          <w:color w:val="4F6228"/>
          <w:sz w:val="16"/>
          <w:szCs w:val="16"/>
        </w:rPr>
        <w:t>Anexo del Decreto Supremo Nº 050-2006-EF (arts. 18, 23, 25 y 28)</w:t>
      </w:r>
    </w:p>
    <w:p w:rsidR="006312E8" w:rsidRPr="006312E8" w:rsidRDefault="006312E8" w:rsidP="006312E8">
      <w:pPr>
        <w:numPr>
          <w:ilvl w:val="0"/>
          <w:numId w:val="8"/>
        </w:numPr>
        <w:spacing w:after="0" w:line="240" w:lineRule="auto"/>
        <w:ind w:left="284" w:hanging="284"/>
        <w:contextualSpacing/>
        <w:jc w:val="both"/>
        <w:rPr>
          <w:rFonts w:ascii="Arial" w:eastAsia="Calibri" w:hAnsi="Arial" w:cs="Arial"/>
          <w:b/>
          <w:color w:val="4F6228"/>
          <w:sz w:val="16"/>
          <w:szCs w:val="16"/>
        </w:rPr>
      </w:pPr>
      <w:r w:rsidRPr="006312E8">
        <w:rPr>
          <w:rFonts w:ascii="Arial" w:eastAsia="Calibri" w:hAnsi="Arial" w:cs="Arial"/>
          <w:b/>
          <w:color w:val="4F6228"/>
          <w:sz w:val="16"/>
          <w:szCs w:val="16"/>
        </w:rPr>
        <w:t>Decreto Supremo Nº 010-2008-VIVIENDA (art. 3)</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5.-</w:t>
      </w:r>
      <w:r w:rsidRPr="006312E8">
        <w:rPr>
          <w:rFonts w:ascii="Arial" w:eastAsia="Calibri" w:hAnsi="Arial" w:cs="Arial"/>
          <w:lang w:val="es-ES"/>
        </w:rPr>
        <w:t xml:space="preserve"> Ninguna Municipalidad o autoridad competente admitirá o autorizará proyectos de habilitación urbana, de construcción de balnearios, urbanizaciones o asociaciones colindantes a la playa o en terrenos ribereños y similares bajo el régimen de propiedad privada o pública, que se realicen en zona de dominio restringido o sin que en los mismos se contemple la vía de libre acceso establecida en los términos señalados en el Artículo 4 de la presente Ley. El funcionario que incumpla lo señalado en el párrafo anterior o que supervigile el cumplimiento de la habilitación del acceso, estará sujeto a las responsabilidades administrativas, civiles y penales que dispone la Ley.</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6312E8" w:rsidP="006312E8">
      <w:pPr>
        <w:numPr>
          <w:ilvl w:val="0"/>
          <w:numId w:val="8"/>
        </w:numPr>
        <w:spacing w:after="0" w:line="240" w:lineRule="auto"/>
        <w:ind w:left="284" w:hanging="284"/>
        <w:contextualSpacing/>
        <w:jc w:val="both"/>
        <w:rPr>
          <w:rFonts w:ascii="Arial" w:eastAsia="Calibri" w:hAnsi="Arial" w:cs="Arial"/>
          <w:b/>
          <w:color w:val="4F6228"/>
          <w:sz w:val="16"/>
          <w:szCs w:val="16"/>
        </w:rPr>
      </w:pPr>
      <w:r w:rsidRPr="006312E8">
        <w:rPr>
          <w:rFonts w:ascii="Arial" w:eastAsia="Calibri" w:hAnsi="Arial" w:cs="Arial"/>
          <w:b/>
          <w:color w:val="4F6228"/>
          <w:sz w:val="16"/>
          <w:szCs w:val="16"/>
        </w:rPr>
        <w:t>Anexo del Decreto Supremo Nº 050-2006-EF (art. 28)</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6.-</w:t>
      </w:r>
      <w:r w:rsidRPr="006312E8">
        <w:rPr>
          <w:rFonts w:ascii="Arial" w:eastAsia="Calibri" w:hAnsi="Arial" w:cs="Arial"/>
          <w:lang w:val="es-ES"/>
        </w:rPr>
        <w:t xml:space="preserve"> A fin de garantizar el libre acceso a las playas en los casos señalados en el artículo anterior, queda constituida de pleno derecho una carga legal que afectará a todos aquellos predios que, luego de producida la habilitación o construcción correspondiente, individualmente o en conjunto, ocupen mil metros de manera paralela al mar sin haber respetado lo establecido en la presente Ley. No requiere su inscripción en el Registro correspondiente para su oponibilidad a terceros.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También se constituirá la carga legal referida, en aquellos casos en que no obstante que la habilitación o construcción de los predios, individualmente o en conjunto, no ocupen una franja de mil metros, las características geográficas de la zona no permitieran un acceso libre y seguro a las playas por un lugar distinto al que ocupan los predios de propiedad pública o privada.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7.-</w:t>
      </w:r>
      <w:r w:rsidRPr="006312E8">
        <w:rPr>
          <w:rFonts w:ascii="Arial" w:eastAsia="Calibri" w:hAnsi="Arial" w:cs="Arial"/>
          <w:lang w:val="es-ES"/>
        </w:rPr>
        <w:t xml:space="preserve"> La carga legal a que se refiere el artículo anterior, autoriza a la Municipalidad o autoridad competente a abrir, sin pago alguno al propietario o propietarios correspondientes, el acceso a la playa afectando a aquellos predios que sean necesarios para tal fin. El acceso antes mencionado, será un bien de uso público.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Los costos en que incurra la Municipalidad o la autoridad competente para construir el acceso a la playa, serán pagados proporcionalmente al área de sus predios por los propietarios que se encuentren a quinientos metros a la derecha y quinientos metros a la izquierda del acceso que se haya abierto. Sólo para la determinación del monto a pagar por los propietarios y la forma de cobro, serán de aplicación en lo que fuera pertinente los mecanismos establecidos en las normas sobre contribución de mejoras. La Municipalidad o autoridad competente podrá proceder al cobro coactivo de los montos adeudados.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6312E8" w:rsidP="006312E8">
      <w:pPr>
        <w:numPr>
          <w:ilvl w:val="0"/>
          <w:numId w:val="8"/>
        </w:numPr>
        <w:spacing w:after="0" w:line="240" w:lineRule="auto"/>
        <w:ind w:left="284" w:hanging="284"/>
        <w:contextualSpacing/>
        <w:jc w:val="both"/>
        <w:rPr>
          <w:rFonts w:ascii="Arial" w:eastAsia="Calibri" w:hAnsi="Arial" w:cs="Arial"/>
          <w:b/>
          <w:color w:val="4F6228"/>
          <w:sz w:val="16"/>
          <w:szCs w:val="16"/>
        </w:rPr>
      </w:pPr>
      <w:r w:rsidRPr="006312E8">
        <w:rPr>
          <w:rFonts w:ascii="Arial" w:eastAsia="Calibri" w:hAnsi="Arial" w:cs="Arial"/>
          <w:b/>
          <w:color w:val="4F6228"/>
          <w:sz w:val="16"/>
          <w:szCs w:val="16"/>
        </w:rPr>
        <w:t>Anexo del Decreto Supremo Nº 050-2006-EF (art. 28)</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8.-</w:t>
      </w:r>
      <w:r w:rsidRPr="006312E8">
        <w:rPr>
          <w:rFonts w:ascii="Arial" w:eastAsia="Calibri" w:hAnsi="Arial" w:cs="Arial"/>
          <w:lang w:val="es-ES"/>
        </w:rPr>
        <w:t xml:space="preserve"> Los propietarios afectados por la apertura del acceso podrán reclamar indemnización por los daños y perjuicios sufridos al habilitador o urbanizador y al funcionario o funcionarios que autorizaron la urbanización o habilitación sin cumplir los requisitos previstos en esta Ley. La responsabilidad es solidaria.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También podrán reclamar indemnización a todos los propietarios de los predios que se encuentren a quinientos metros a la izquierda y quinientos metros a la derecha del acceso que haya abierto la Municipalidad en proporción al área de sus respectivos predios. En este último caso los propietarios que hubieran pagado indemnizaciones podrán a su vez repetir contra los urbanizadores o habilitadores o contra los funcionarios responsables. La responsabilidad entre los urbanizadores, habilitadores y los funcionarios es solidaria.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9.-</w:t>
      </w:r>
      <w:r w:rsidRPr="006312E8">
        <w:rPr>
          <w:rFonts w:ascii="Arial" w:eastAsia="Calibri" w:hAnsi="Arial" w:cs="Arial"/>
          <w:lang w:val="es-ES"/>
        </w:rPr>
        <w:t xml:space="preserve"> Para determinar el lugar por el que la Municipalidad o autoridad competente abrirá el acceso, deberá examinar técnicamente la ubicación más adecuada tomando en cuenta tanto la necesidad de habilitar un acceso idóneo y seguro, como el lograr una afectación lo menos gravosa a los propietarios existentes.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10.-</w:t>
      </w:r>
      <w:r w:rsidRPr="006312E8">
        <w:rPr>
          <w:rFonts w:ascii="Arial" w:eastAsia="Calibri" w:hAnsi="Arial" w:cs="Arial"/>
          <w:lang w:val="es-ES"/>
        </w:rPr>
        <w:t xml:space="preserve"> En el caso de habilitaciones recepcionadas de balnearios, urbanizaciones colindantes a la playa, terrenos ribereños y similares bajo propiedad privada o pública que a la entrada en vigencia de la presente Ley no cuenten con acceso libre a la playa desde los caminos públicos en los términos señalados en los artículos anteriores y tal como lo exigían las normas vigentes, se constituirá una servidumbre legal de paso que garantice tal acceso. Dicha servidumbre se constituirá de manera gratuita y será de aplicación, en lo que fuera pertinente, lo establecido en el Título VI de la Sección Tercera del Libro V del Código Civil, especialmente el Artículo 1051.</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Tratándose de habilitaciones no recepcionadas de balnearios, urbanizaciones colindantes a la playa, terrenos ribereños y similares bajo propiedad privada o pública, serán de aplicación los Artículos del 5 al 9 de la presente Ley.</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6312E8" w:rsidP="006312E8">
      <w:pPr>
        <w:numPr>
          <w:ilvl w:val="0"/>
          <w:numId w:val="8"/>
        </w:numPr>
        <w:spacing w:after="0" w:line="240" w:lineRule="auto"/>
        <w:ind w:left="284" w:hanging="284"/>
        <w:contextualSpacing/>
        <w:jc w:val="both"/>
        <w:rPr>
          <w:rFonts w:ascii="Arial" w:eastAsia="Calibri" w:hAnsi="Arial" w:cs="Arial"/>
          <w:b/>
          <w:color w:val="4F6228"/>
          <w:sz w:val="16"/>
          <w:szCs w:val="16"/>
        </w:rPr>
      </w:pPr>
      <w:r w:rsidRPr="006312E8">
        <w:rPr>
          <w:rFonts w:ascii="Arial" w:eastAsia="Calibri" w:hAnsi="Arial" w:cs="Arial"/>
          <w:b/>
          <w:color w:val="4F6228"/>
          <w:sz w:val="16"/>
          <w:szCs w:val="16"/>
        </w:rPr>
        <w:t>Anexo del Decreto Supremo Nº 050-2006-EF (art. 30)</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11.-</w:t>
      </w:r>
      <w:r w:rsidRPr="006312E8">
        <w:rPr>
          <w:rFonts w:ascii="Arial" w:eastAsia="Calibri" w:hAnsi="Arial" w:cs="Arial"/>
          <w:lang w:val="es-ES"/>
        </w:rPr>
        <w:t xml:space="preserve"> La Municipalidad o autoridad competente establecerá el lugar por el que se materializará la servidumbre de paso y realizará las obras necesarias para permitir su uso por los ciudadanos. Para realizar tal determinación serán de aplicación los criterios establecidos en el Artículo 9 de la presente ley.</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6312E8" w:rsidP="006312E8">
      <w:pPr>
        <w:numPr>
          <w:ilvl w:val="0"/>
          <w:numId w:val="8"/>
        </w:numPr>
        <w:spacing w:after="0" w:line="240" w:lineRule="auto"/>
        <w:ind w:left="284" w:hanging="284"/>
        <w:contextualSpacing/>
        <w:jc w:val="both"/>
        <w:rPr>
          <w:rFonts w:ascii="Arial" w:eastAsia="Calibri" w:hAnsi="Arial" w:cs="Arial"/>
          <w:b/>
          <w:color w:val="4F6228"/>
          <w:sz w:val="16"/>
          <w:szCs w:val="16"/>
        </w:rPr>
      </w:pPr>
      <w:r w:rsidRPr="006312E8">
        <w:rPr>
          <w:rFonts w:ascii="Arial" w:eastAsia="Calibri" w:hAnsi="Arial" w:cs="Arial"/>
          <w:b/>
          <w:color w:val="4F6228"/>
          <w:sz w:val="16"/>
          <w:szCs w:val="16"/>
        </w:rPr>
        <w:t>Anexo del Decreto Supremo Nº 050-2006-EF (art. 30)</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12.-</w:t>
      </w:r>
      <w:r w:rsidRPr="006312E8">
        <w:rPr>
          <w:rFonts w:ascii="Arial" w:eastAsia="Calibri" w:hAnsi="Arial" w:cs="Arial"/>
          <w:lang w:val="es-ES"/>
        </w:rPr>
        <w:t xml:space="preserve"> En caso de no existir una vía de acceso adecuada, los costos que implique la habilitación de obras para el uso de la servidumbre legal de paso, serán asumidos por la Municipalidad o la autoridad competente.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En caso de existir una vía de acceso, la Municipalidad o la autoridad competente podrá utilizarla previa delimitación por Acuerdo de Consejo o Resolución Administrativa.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En ningún caso podrá invocarse la presente Ley para efectar infraestructura diferente o ajena a la vía de acceso que garantice la servidumbre legal de paso a las playas.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6312E8" w:rsidP="006312E8">
      <w:pPr>
        <w:numPr>
          <w:ilvl w:val="0"/>
          <w:numId w:val="8"/>
        </w:numPr>
        <w:spacing w:after="0" w:line="240" w:lineRule="auto"/>
        <w:ind w:left="284" w:hanging="284"/>
        <w:contextualSpacing/>
        <w:jc w:val="both"/>
        <w:rPr>
          <w:rFonts w:ascii="Arial" w:eastAsia="Calibri" w:hAnsi="Arial" w:cs="Arial"/>
          <w:b/>
          <w:color w:val="4F6228"/>
          <w:sz w:val="16"/>
          <w:szCs w:val="16"/>
        </w:rPr>
      </w:pPr>
      <w:r w:rsidRPr="006312E8">
        <w:rPr>
          <w:rFonts w:ascii="Arial" w:eastAsia="Calibri" w:hAnsi="Arial" w:cs="Arial"/>
          <w:b/>
          <w:color w:val="4F6228"/>
          <w:sz w:val="16"/>
          <w:szCs w:val="16"/>
        </w:rPr>
        <w:t>Anexo del Decreto Supremo Nº 050-2006-EF (art. 30)</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13.-  DEROGADO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Artículo derogado por el artículo único de la Ley N° 26879, publicada el 27-11-97</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14.-  DEROGADO (*)</w:t>
      </w:r>
    </w:p>
    <w:p w:rsidR="006312E8" w:rsidRPr="006312E8" w:rsidRDefault="006312E8" w:rsidP="006312E8">
      <w:pPr>
        <w:spacing w:after="0" w:line="240" w:lineRule="auto"/>
        <w:contextualSpacing/>
        <w:jc w:val="both"/>
        <w:rPr>
          <w:rFonts w:ascii="Arial" w:eastAsia="Calibri" w:hAnsi="Arial" w:cs="Arial"/>
          <w:b/>
          <w:sz w:val="16"/>
          <w:szCs w:val="16"/>
          <w:lang w:val="es-ES"/>
        </w:rPr>
      </w:pPr>
    </w:p>
    <w:p w:rsidR="006312E8" w:rsidRPr="006312E8" w:rsidRDefault="006312E8" w:rsidP="006312E8">
      <w:pPr>
        <w:spacing w:after="0" w:line="240" w:lineRule="auto"/>
        <w:contextualSpacing/>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Artículo derogado por el artículo único de la Ley N° 26879, publicada el 27-11-97</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15.-</w:t>
      </w:r>
      <w:r w:rsidRPr="006312E8">
        <w:rPr>
          <w:rFonts w:ascii="Arial" w:eastAsia="Calibri" w:hAnsi="Arial" w:cs="Arial"/>
          <w:lang w:val="es-ES"/>
        </w:rPr>
        <w:t xml:space="preserve"> Se exceptúan de lo dispuesto en el Artículo 10 y siguientes, aquellas playas que a la fecha de entrada en vigencia de la presente norma, hayan sido logradas y ganadas al mar mediante técnicas, esfuerzo y costo de particulares.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En este sentido, los interesados deberán obtener una constancia expedida por la Capitanía del Puerto correspondiente en la que, previa verificación y en conformidad con las normas sobre la materia, se consignen el cumplimiento de las características y fecha de la construcción referidas en el párrafo anterior.</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16.-</w:t>
      </w:r>
      <w:r w:rsidRPr="006312E8">
        <w:rPr>
          <w:rFonts w:ascii="Arial" w:eastAsia="Calibri" w:hAnsi="Arial" w:cs="Arial"/>
          <w:lang w:val="es-ES"/>
        </w:rPr>
        <w:t xml:space="preserve"> La Comisión de Promoción de Concesiones Privadas -PROMCEPRI-podrá otorgar concesiones sobre las playas, de conformidad con el Decreto Legislativo N° 839 y demás leyes de la materia, incluso en áreas de uso público o de dominio restringido de acuerdo a lo establecido en el Artículo 73 de la Constitución. En tales supuestos no será de aplicación lo establecido en los Artículos 1, 2 y 3. Excepcionalmente la concesión podría exonerar al concesionario de lo dispuesto en los Artículos 5 y siguientes.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17.-</w:t>
      </w:r>
      <w:r w:rsidRPr="006312E8">
        <w:rPr>
          <w:rFonts w:ascii="Arial" w:eastAsia="Calibri" w:hAnsi="Arial" w:cs="Arial"/>
          <w:lang w:val="es-ES"/>
        </w:rPr>
        <w:t xml:space="preserve"> En el caso del corredor ribereño denominado Costa Verde, comprendido dentro de los alcances de lo dispuesto en la Ley N° 26306, sólo serán de aplicación los Artículos 1, 4, 5, 6, 7, 8, 9 y 15 de la presente Ley.</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18.-</w:t>
      </w:r>
      <w:r w:rsidRPr="006312E8">
        <w:rPr>
          <w:rFonts w:ascii="Arial" w:eastAsia="Calibri" w:hAnsi="Arial" w:cs="Arial"/>
          <w:lang w:val="es-ES"/>
        </w:rPr>
        <w:t xml:space="preserve"> Derógase las normas que se opongan a la presente Ley.</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DISPOSICIONES FINALES</w:t>
      </w: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Primera.-</w:t>
      </w:r>
      <w:r w:rsidRPr="006312E8">
        <w:rPr>
          <w:rFonts w:ascii="Arial" w:eastAsia="Calibri" w:hAnsi="Arial" w:cs="Arial"/>
          <w:lang w:val="es-ES"/>
        </w:rPr>
        <w:t xml:space="preserve"> En el plazo de un año calendario, contado a partir de la fecha de publicación de la presente Ley, el Poder Ejecutivo deberá levantar un Catastro de Terrenos Ribereños y aprobar el Plan de Desarrollo Urbano de Zonas de Playa en todo el territorio nacional, el mismo que deberá garantizar la existencia de zonas de dominio restringido para el uso de la población.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Segunda.- El Poder Ejecutivo reglamentará la presente Ley en el plazo de 60 días calendario contados a partir de la fecha de publicación de la misma.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DISP0SICION TRANSITORIA</w:t>
      </w: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Única.- DEROGADA (*)</w:t>
      </w:r>
    </w:p>
    <w:p w:rsidR="006312E8" w:rsidRPr="006312E8" w:rsidRDefault="006312E8" w:rsidP="006312E8">
      <w:pPr>
        <w:spacing w:after="0" w:line="240" w:lineRule="auto"/>
        <w:contextualSpacing/>
        <w:jc w:val="both"/>
        <w:rPr>
          <w:rFonts w:ascii="Arial" w:eastAsia="Calibri" w:hAnsi="Arial" w:cs="Arial"/>
          <w:b/>
          <w:sz w:val="16"/>
          <w:szCs w:val="16"/>
          <w:lang w:val="es-ES"/>
        </w:rPr>
      </w:pPr>
    </w:p>
    <w:p w:rsidR="006312E8" w:rsidRPr="006312E8" w:rsidRDefault="006312E8" w:rsidP="006312E8">
      <w:pPr>
        <w:spacing w:after="0" w:line="240" w:lineRule="auto"/>
        <w:contextualSpacing/>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Disposición derogada por el artículo único de la Ley N° 26879, publicada el 27-11-97</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Comuníquese al señor Presidente de la República para su promulgación.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firstLine="708"/>
        <w:contextualSpacing/>
        <w:jc w:val="both"/>
        <w:rPr>
          <w:rFonts w:ascii="Arial" w:eastAsia="Calibri" w:hAnsi="Arial" w:cs="Arial"/>
          <w:lang w:val="es-ES"/>
        </w:rPr>
      </w:pPr>
      <w:r w:rsidRPr="006312E8">
        <w:rPr>
          <w:rFonts w:ascii="Arial" w:eastAsia="Calibri" w:hAnsi="Arial" w:cs="Arial"/>
          <w:lang w:val="es-ES"/>
        </w:rPr>
        <w:t>En Lima, a los veinticinco días del mes de junio de mil novecientos noventa y siete.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b/>
        <w:t>VICTOR JOY WAY ROJAS,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Presidente del Congreso de la República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b/>
        <w:t>CARLOS TORRES Y TORRE LARA,</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Primer Vicepresidente del Congreso de la República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b/>
        <w:t>AL SEÑOR PRESIDENTE CONSTITUCIONAL DE LA REPUBLICA</w:t>
      </w: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b/>
        <w:t>POR TANTO: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No habiendo sido promulgado oportunamente por el señor Presidente de la República, en observancia de lo dispuesto por el Artículo 108 de la Constitución Política del Perú, mando se comunique al Ministerio de Transportes, Comunicaciones, Vivienda y Construcción para su publicación y cumplimiento.</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En Lima, a los veintisiete días del mes de agosto de mil novecientos noventa y siete.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b/>
        <w:t>CARLOS TORRES Y TORRES LARA</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Presidente del Congreso de la República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b/>
        <w:t>EDITH MELLADO CESPEDES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Primera Vicepresidenta del Congreso de la República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Lima, 5 de setiembre de 1997</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Cúmplase, comuníquese, regístrese, publíquese y archívase.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b/>
        <w:t>ELSA CARRERA DE ESCALANTE</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Ministra de Transportes, Comunicaciones,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Vivienda y Construcción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F47618">
      <w:pPr>
        <w:pStyle w:val="TITO2"/>
      </w:pPr>
      <w:bookmarkStart w:id="380" w:name="_Toc392856246"/>
      <w:bookmarkStart w:id="381" w:name="_Toc399335518"/>
      <w:bookmarkStart w:id="382" w:name="_Toc421025464"/>
      <w:bookmarkStart w:id="383" w:name="_Toc470855567"/>
      <w:bookmarkStart w:id="384" w:name="DS0502006"/>
      <w:r w:rsidRPr="006312E8">
        <w:t>DECRETO SUPREMO Nº 050-2006-EF</w:t>
      </w:r>
      <w:bookmarkEnd w:id="380"/>
      <w:bookmarkEnd w:id="381"/>
      <w:bookmarkEnd w:id="382"/>
      <w:bookmarkEnd w:id="383"/>
    </w:p>
    <w:bookmarkEnd w:id="384"/>
    <w:p w:rsidR="006312E8" w:rsidRPr="006312E8" w:rsidRDefault="006312E8" w:rsidP="006312E8">
      <w:pPr>
        <w:spacing w:after="0" w:line="240" w:lineRule="auto"/>
        <w:contextualSpacing/>
        <w:jc w:val="center"/>
        <w:rPr>
          <w:rFonts w:ascii="Arial" w:eastAsia="Calibri" w:hAnsi="Arial" w:cs="Arial"/>
          <w:b/>
          <w:sz w:val="28"/>
          <w:szCs w:val="28"/>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Aprueban Reglamento de la Ley Nº 26856, que declara que las playas son bienes de uso público, inalienables e imprescriptibles y establece la zona de dominio restringido</w:t>
      </w:r>
    </w:p>
    <w:p w:rsidR="006312E8" w:rsidRPr="006312E8" w:rsidRDefault="006312E8" w:rsidP="006312E8">
      <w:pPr>
        <w:spacing w:after="0" w:line="240" w:lineRule="auto"/>
        <w:contextualSpacing/>
        <w:jc w:val="center"/>
        <w:rPr>
          <w:rFonts w:ascii="Arial" w:eastAsia="Calibri" w:hAnsi="Arial" w:cs="Arial"/>
          <w:b/>
          <w:lang w:val="es-ES"/>
        </w:rPr>
      </w:pPr>
    </w:p>
    <w:p w:rsidR="006312E8" w:rsidRPr="006312E8" w:rsidRDefault="006312E8" w:rsidP="006312E8">
      <w:pPr>
        <w:spacing w:after="0" w:line="240" w:lineRule="auto"/>
        <w:contextualSpacing/>
        <w:jc w:val="right"/>
        <w:rPr>
          <w:rFonts w:ascii="Arial" w:eastAsia="Calibri" w:hAnsi="Arial" w:cs="Arial"/>
          <w:b/>
          <w:lang w:val="es-ES"/>
        </w:rPr>
      </w:pPr>
      <w:r w:rsidRPr="006312E8">
        <w:rPr>
          <w:rFonts w:ascii="Arial" w:eastAsia="Calibri" w:hAnsi="Arial" w:cs="Arial"/>
          <w:b/>
          <w:lang w:val="es-ES"/>
        </w:rPr>
        <w:t>Fecha de publicación: 25-04-2006</w:t>
      </w:r>
    </w:p>
    <w:p w:rsidR="006312E8" w:rsidRPr="006312E8" w:rsidRDefault="006312E8" w:rsidP="006312E8">
      <w:pPr>
        <w:spacing w:after="0" w:line="240" w:lineRule="auto"/>
        <w:contextualSpacing/>
        <w:jc w:val="right"/>
        <w:rPr>
          <w:rFonts w:ascii="Arial" w:eastAsia="Calibri" w:hAnsi="Arial" w:cs="Arial"/>
          <w:b/>
          <w:lang w:val="es-ES"/>
        </w:rPr>
      </w:pPr>
      <w:r w:rsidRPr="006312E8">
        <w:rPr>
          <w:rFonts w:ascii="Arial" w:eastAsia="Calibri" w:hAnsi="Arial" w:cs="Arial"/>
          <w:b/>
          <w:lang w:val="es-ES"/>
        </w:rPr>
        <w:t>Fecha de publicación del Anexo: 26-04-2006</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EL PRESIDENTE DE LA REPÚBLICA</w:t>
      </w:r>
    </w:p>
    <w:p w:rsidR="006312E8" w:rsidRPr="006312E8" w:rsidRDefault="006312E8" w:rsidP="006312E8">
      <w:pPr>
        <w:spacing w:after="0" w:line="240" w:lineRule="auto"/>
        <w:jc w:val="both"/>
        <w:rPr>
          <w:rFonts w:ascii="Arial" w:eastAsia="Calibri" w:hAnsi="Arial" w:cs="Arial"/>
          <w:b/>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CONSIDERANDO:</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 xml:space="preserve">Que, la Ley Nº 26856 dispone que las playas del litoral de la República son bienes de uso público, inalienables e imprescriptibles, y señala que se considera zona de dominio restringido a la franja de </w:t>
      </w:r>
      <w:smartTag w:uri="urn:schemas-microsoft-com:office:smarttags" w:element="metricconverter">
        <w:smartTagPr>
          <w:attr w:name="ProductID" w:val="200 metros"/>
        </w:smartTagPr>
        <w:r w:rsidRPr="006312E8">
          <w:rPr>
            <w:rFonts w:ascii="Arial" w:eastAsia="Calibri" w:hAnsi="Arial" w:cs="Arial"/>
          </w:rPr>
          <w:t>200 metros</w:t>
        </w:r>
      </w:smartTag>
      <w:r w:rsidRPr="006312E8">
        <w:rPr>
          <w:rFonts w:ascii="Arial" w:eastAsia="Calibri" w:hAnsi="Arial" w:cs="Arial"/>
        </w:rPr>
        <w:t xml:space="preserve"> ubicada a continuación de la franja de </w:t>
      </w:r>
      <w:smartTag w:uri="urn:schemas-microsoft-com:office:smarttags" w:element="metricconverter">
        <w:smartTagPr>
          <w:attr w:name="ProductID" w:val="50 metros"/>
        </w:smartTagPr>
        <w:r w:rsidRPr="006312E8">
          <w:rPr>
            <w:rFonts w:ascii="Arial" w:eastAsia="Calibri" w:hAnsi="Arial" w:cs="Arial"/>
          </w:rPr>
          <w:t>50 metros</w:t>
        </w:r>
      </w:smartTag>
      <w:r w:rsidRPr="006312E8">
        <w:rPr>
          <w:rFonts w:ascii="Arial" w:eastAsia="Calibri" w:hAnsi="Arial" w:cs="Arial"/>
        </w:rPr>
        <w:t xml:space="preserve"> que conforma el área de playa, la cual será dedicada a playas públicas para el uso de la población;</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Que, asimismo la mencionada norma establece que sólo por Decreto Supremo refrendado por el Ministerio de Transportes, Comunicaciones, Vivienda y Construcción y por el Ministerio de Defensa se podrá desafectar áreas de la zona de dominio restringido o establecer las causales, condiciones y procedimientos de desafectación;</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Que, mediante Ley Nº 27779 se modifica la organización y funciones de los Ministerios que conforman el Poder Ejecutivo, creando el Ministerio de Vivienda, Construcción y Saneamiento y el Ministerio de Transportes y Comunicaciones;</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Que, la Ley Nº 27792 señala que corresponde al Ministerio de Vivienda, Construcción y Saneamiento diseñar, normar y ejecutar la política nacional y acciones del sector en materia de vivienda, urbanismo, construcción y saneamiento;</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Que, la Superintendencia de Bienes Nacionales, la cual se encuentra adscrita al Ministerio de Economía y Finanzas, tiene como principal objetivo promover el establecimiento de un eficiente sistema de administración de los bienes de propiedad estatal e incentivar su aprovechamiento económico en armonía con el interés social;</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 xml:space="preserve">Que, resulta conveniente reglamentar las disposiciones de la Ley Nº </w:t>
      </w:r>
      <w:smartTag w:uri="urn:schemas-microsoft-com:office:smarttags" w:element="metricconverter">
        <w:smartTagPr>
          <w:attr w:name="ProductID" w:val="26856 a"/>
        </w:smartTagPr>
        <w:r w:rsidRPr="006312E8">
          <w:rPr>
            <w:rFonts w:ascii="Arial" w:eastAsia="Calibri" w:hAnsi="Arial" w:cs="Arial"/>
          </w:rPr>
          <w:t>26856 a</w:t>
        </w:r>
      </w:smartTag>
      <w:r w:rsidRPr="006312E8">
        <w:rPr>
          <w:rFonts w:ascii="Arial" w:eastAsia="Calibri" w:hAnsi="Arial" w:cs="Arial"/>
        </w:rPr>
        <w:t xml:space="preserve"> fin de garantizar el libre acceso de la población a las playas del litoral de la República, así como establecer las causales, condiciones y procedimientos para la desafectación de las áreas ubicadas en la zona de dominio restringido;</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De conformidad con lo dispuesto en el numeral 8) del Artículo 118 de la Constitución Política del Perú, el Decreto Legislativo Nº 560, Ley del Poder Ejecutivo, la Ley Nº 26856, y la Ley Nº 27395;</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DECRETA:</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b/>
        </w:rPr>
        <w:t>Artículo 1.-</w:t>
      </w:r>
      <w:r w:rsidRPr="006312E8">
        <w:rPr>
          <w:rFonts w:ascii="Arial" w:eastAsia="Calibri" w:hAnsi="Arial" w:cs="Arial"/>
        </w:rPr>
        <w:t xml:space="preserve"> Apruébase el Reglamento de la Ley Nº 26856, que declara que las playas son bienes de uso público, inalienables e imprescriptibles y establece la zona de dominio restringido, el cual consta de seis (6) capítulos, treinta y siete (37) artículos y una (1) disposición final.</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b/>
        </w:rPr>
        <w:t>Artículo 2.-</w:t>
      </w:r>
      <w:r w:rsidRPr="006312E8">
        <w:rPr>
          <w:rFonts w:ascii="Arial" w:eastAsia="Calibri" w:hAnsi="Arial" w:cs="Arial"/>
        </w:rPr>
        <w:t xml:space="preserve"> El presente Decreto Supremo será refrendado por el Ministro de Economía y Finanzas, el Ministro de Defensa y el Ministro de Vivienda, Construcción y Saneamiento.</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Dado en la Casa de Gobierno, en Lima, a los veinticuatro días del mes de abril del año 2006.</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rPr>
        <w:tab/>
      </w:r>
      <w:r w:rsidRPr="006312E8">
        <w:rPr>
          <w:rFonts w:ascii="Arial" w:eastAsia="Calibri" w:hAnsi="Arial" w:cs="Arial"/>
          <w:b/>
        </w:rPr>
        <w:t>ALEJANDRO TOLEDO</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ab/>
        <w:t>Presidente Constitucional de la República</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rPr>
        <w:tab/>
      </w:r>
      <w:r w:rsidRPr="006312E8">
        <w:rPr>
          <w:rFonts w:ascii="Arial" w:eastAsia="Calibri" w:hAnsi="Arial" w:cs="Arial"/>
          <w:b/>
        </w:rPr>
        <w:t>FERNANDO ZAVALA LOMBARDI</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ab/>
        <w:t>Ministro de Economía y Finanzas</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rPr>
        <w:tab/>
      </w:r>
      <w:r w:rsidRPr="006312E8">
        <w:rPr>
          <w:rFonts w:ascii="Arial" w:eastAsia="Calibri" w:hAnsi="Arial" w:cs="Arial"/>
          <w:b/>
        </w:rPr>
        <w:t>MARCIANO RENGIFO RUIZ</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ab/>
        <w:t>Ministro de Defensa</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rPr>
        <w:tab/>
      </w:r>
      <w:r w:rsidRPr="006312E8">
        <w:rPr>
          <w:rFonts w:ascii="Arial" w:eastAsia="Calibri" w:hAnsi="Arial" w:cs="Arial"/>
          <w:b/>
        </w:rPr>
        <w:t>RUDECINDO VEGA CARREAZO</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ab/>
        <w:t>Ministro de Vivienda, Construcción y Saneamiento</w:t>
      </w:r>
      <w:r w:rsidRPr="006312E8">
        <w:rPr>
          <w:rFonts w:ascii="Arial" w:eastAsia="Calibri" w:hAnsi="Arial" w:cs="Arial"/>
        </w:rPr>
        <w:tab/>
      </w:r>
    </w:p>
    <w:p w:rsidR="006312E8" w:rsidRPr="006312E8" w:rsidRDefault="006312E8" w:rsidP="006312E8">
      <w:pPr>
        <w:spacing w:after="0" w:line="240" w:lineRule="auto"/>
        <w:ind w:firstLine="708"/>
        <w:jc w:val="both"/>
        <w:rPr>
          <w:rFonts w:ascii="Arial" w:eastAsia="Calibri" w:hAnsi="Arial" w:cs="Arial"/>
          <w:b/>
        </w:rPr>
      </w:pPr>
    </w:p>
    <w:p w:rsidR="006312E8" w:rsidRPr="006312E8" w:rsidRDefault="006312E8" w:rsidP="006312E8">
      <w:pPr>
        <w:spacing w:after="0" w:line="240" w:lineRule="auto"/>
        <w:ind w:firstLine="708"/>
        <w:jc w:val="both"/>
        <w:rPr>
          <w:rFonts w:ascii="Arial" w:eastAsia="Calibri" w:hAnsi="Arial" w:cs="Arial"/>
          <w:b/>
        </w:rPr>
      </w:pPr>
      <w:r w:rsidRPr="006312E8">
        <w:rPr>
          <w:rFonts w:ascii="Arial" w:eastAsia="Calibri" w:hAnsi="Arial" w:cs="Arial"/>
          <w:b/>
        </w:rPr>
        <w:t>CARLOS TORRES Y TORRES LARA</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ab/>
        <w:t>Presidente del Congreso de la República</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ab/>
      </w:r>
    </w:p>
    <w:p w:rsidR="006312E8" w:rsidRPr="006312E8" w:rsidRDefault="006312E8" w:rsidP="006312E8">
      <w:pPr>
        <w:spacing w:after="0" w:line="240" w:lineRule="auto"/>
        <w:ind w:firstLine="708"/>
        <w:jc w:val="both"/>
        <w:rPr>
          <w:rFonts w:ascii="Arial" w:eastAsia="Calibri" w:hAnsi="Arial" w:cs="Arial"/>
          <w:b/>
        </w:rPr>
      </w:pPr>
      <w:r w:rsidRPr="006312E8">
        <w:rPr>
          <w:rFonts w:ascii="Arial" w:eastAsia="Calibri" w:hAnsi="Arial" w:cs="Arial"/>
          <w:b/>
        </w:rPr>
        <w:t>EDITH MELLADO CESPEDES</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ab/>
        <w:t>Primera Vicepresidenta del Congreso de la República</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ab/>
        <w:t>Lima, 5 de setiembre de 1997</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ab/>
        <w:t>Cúmplase, comuníquese, regístrese, publíquese y archívase.</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rPr>
        <w:tab/>
      </w:r>
      <w:r w:rsidRPr="006312E8">
        <w:rPr>
          <w:rFonts w:ascii="Arial" w:eastAsia="Calibri" w:hAnsi="Arial" w:cs="Arial"/>
          <w:b/>
        </w:rPr>
        <w:t>ELSA CARRERA DE ESCALANTE</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ab/>
        <w:t>Ministra de Transportes, Comunicaciones,</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ab/>
        <w:t>Vivienda y Construcción</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center"/>
        <w:rPr>
          <w:rFonts w:ascii="Arial" w:eastAsia="Calibri" w:hAnsi="Arial" w:cs="Arial"/>
          <w:b/>
          <w:sz w:val="24"/>
          <w:szCs w:val="24"/>
        </w:rPr>
      </w:pPr>
      <w:r w:rsidRPr="006312E8">
        <w:rPr>
          <w:rFonts w:ascii="Arial" w:eastAsia="Calibri" w:hAnsi="Arial" w:cs="Arial"/>
          <w:b/>
          <w:sz w:val="24"/>
          <w:szCs w:val="24"/>
        </w:rPr>
        <w:t>ANEXO - DECRETO SUPREMO Nº 050-2006-EF</w:t>
      </w:r>
    </w:p>
    <w:p w:rsidR="006312E8" w:rsidRPr="006312E8" w:rsidRDefault="006312E8" w:rsidP="006312E8">
      <w:pPr>
        <w:spacing w:after="0" w:line="240" w:lineRule="auto"/>
        <w:jc w:val="center"/>
        <w:rPr>
          <w:rFonts w:ascii="Arial" w:eastAsia="Calibri" w:hAnsi="Arial" w:cs="Arial"/>
          <w:b/>
          <w:sz w:val="24"/>
          <w:szCs w:val="24"/>
        </w:rPr>
      </w:pPr>
    </w:p>
    <w:p w:rsidR="006312E8" w:rsidRPr="006312E8" w:rsidRDefault="006312E8" w:rsidP="006312E8">
      <w:pPr>
        <w:spacing w:after="0" w:line="240" w:lineRule="auto"/>
        <w:jc w:val="center"/>
        <w:rPr>
          <w:rFonts w:ascii="Arial" w:eastAsia="Calibri" w:hAnsi="Arial" w:cs="Arial"/>
          <w:b/>
          <w:sz w:val="24"/>
          <w:szCs w:val="24"/>
        </w:rPr>
      </w:pPr>
      <w:r w:rsidRPr="006312E8">
        <w:rPr>
          <w:rFonts w:ascii="Arial" w:eastAsia="Calibri" w:hAnsi="Arial" w:cs="Arial"/>
          <w:b/>
          <w:sz w:val="24"/>
          <w:szCs w:val="24"/>
        </w:rPr>
        <w:t>REGLAMENTO DE LA LEY Nº 26856, QUE DECLARA QUE LAS PLAYAS SON BIENES DE USO PÚBLICO, INALIENABLES E IMPRESCRIPTIBLES Y ESTABLECE LA ZONA DE DOMINIO RESTRINGIDO</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center"/>
        <w:rPr>
          <w:rFonts w:ascii="Arial" w:eastAsia="Calibri" w:hAnsi="Arial" w:cs="Arial"/>
          <w:b/>
        </w:rPr>
      </w:pPr>
      <w:r w:rsidRPr="006312E8">
        <w:rPr>
          <w:rFonts w:ascii="Arial" w:eastAsia="Calibri" w:hAnsi="Arial" w:cs="Arial"/>
          <w:b/>
        </w:rPr>
        <w:t>CAPÍTULO I</w:t>
      </w:r>
    </w:p>
    <w:p w:rsidR="006312E8" w:rsidRPr="006312E8" w:rsidRDefault="006312E8" w:rsidP="006312E8">
      <w:pPr>
        <w:spacing w:after="0" w:line="240" w:lineRule="auto"/>
        <w:jc w:val="center"/>
        <w:rPr>
          <w:rFonts w:ascii="Arial" w:eastAsia="Calibri" w:hAnsi="Arial" w:cs="Arial"/>
          <w:b/>
        </w:rPr>
      </w:pPr>
      <w:r w:rsidRPr="006312E8">
        <w:rPr>
          <w:rFonts w:ascii="Arial" w:eastAsia="Calibri" w:hAnsi="Arial" w:cs="Arial"/>
          <w:b/>
        </w:rPr>
        <w:t>DISPOSICIONES GENERALES</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Artículo 1.- Finalidad</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El presente Reglamento tiene los siguientes fines:</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241D1D">
      <w:pPr>
        <w:numPr>
          <w:ilvl w:val="2"/>
          <w:numId w:val="63"/>
        </w:numPr>
        <w:spacing w:after="0" w:line="240" w:lineRule="auto"/>
        <w:ind w:left="426"/>
        <w:jc w:val="both"/>
        <w:rPr>
          <w:rFonts w:ascii="Arial" w:eastAsia="Calibri" w:hAnsi="Arial" w:cs="Arial"/>
        </w:rPr>
      </w:pPr>
      <w:r w:rsidRPr="006312E8">
        <w:rPr>
          <w:rFonts w:ascii="Arial" w:eastAsia="Calibri" w:hAnsi="Arial" w:cs="Arial"/>
        </w:rPr>
        <w:t>Garantizar el uso público de las playas del litoral de la República, estableciendo los lineamientos para el libre acceso de la población.</w:t>
      </w:r>
    </w:p>
    <w:p w:rsidR="006312E8" w:rsidRPr="006312E8" w:rsidRDefault="006312E8" w:rsidP="006312E8">
      <w:pPr>
        <w:spacing w:after="0" w:line="240" w:lineRule="auto"/>
        <w:ind w:left="426"/>
        <w:jc w:val="both"/>
        <w:rPr>
          <w:rFonts w:ascii="Arial" w:eastAsia="Calibri" w:hAnsi="Arial" w:cs="Arial"/>
        </w:rPr>
      </w:pPr>
    </w:p>
    <w:p w:rsidR="006312E8" w:rsidRPr="006312E8" w:rsidRDefault="006312E8" w:rsidP="00241D1D">
      <w:pPr>
        <w:numPr>
          <w:ilvl w:val="2"/>
          <w:numId w:val="63"/>
        </w:numPr>
        <w:spacing w:after="0" w:line="240" w:lineRule="auto"/>
        <w:ind w:left="426"/>
        <w:jc w:val="both"/>
        <w:rPr>
          <w:rFonts w:ascii="Arial" w:eastAsia="Calibri" w:hAnsi="Arial" w:cs="Arial"/>
        </w:rPr>
      </w:pPr>
      <w:r w:rsidRPr="006312E8">
        <w:rPr>
          <w:rFonts w:ascii="Arial" w:eastAsia="Calibri" w:hAnsi="Arial" w:cs="Arial"/>
        </w:rPr>
        <w:t>Establecer las causales y procedimientos para la desafectación y adjudicación de las áreas ubicadas en la zona de dominio restringido.</w:t>
      </w:r>
    </w:p>
    <w:p w:rsidR="006312E8" w:rsidRPr="006312E8" w:rsidRDefault="006312E8" w:rsidP="006312E8">
      <w:pPr>
        <w:spacing w:after="0" w:line="240" w:lineRule="auto"/>
        <w:ind w:left="426"/>
        <w:jc w:val="both"/>
        <w:rPr>
          <w:rFonts w:ascii="Arial" w:eastAsia="Calibri" w:hAnsi="Arial" w:cs="Arial"/>
        </w:rPr>
      </w:pPr>
    </w:p>
    <w:p w:rsidR="006312E8" w:rsidRPr="006312E8" w:rsidRDefault="006312E8" w:rsidP="00241D1D">
      <w:pPr>
        <w:numPr>
          <w:ilvl w:val="2"/>
          <w:numId w:val="63"/>
        </w:numPr>
        <w:spacing w:after="0" w:line="240" w:lineRule="auto"/>
        <w:ind w:left="426"/>
        <w:jc w:val="both"/>
        <w:rPr>
          <w:rFonts w:ascii="Arial" w:eastAsia="Calibri" w:hAnsi="Arial" w:cs="Arial"/>
        </w:rPr>
      </w:pPr>
      <w:r w:rsidRPr="006312E8">
        <w:rPr>
          <w:rFonts w:ascii="Arial" w:eastAsia="Calibri" w:hAnsi="Arial" w:cs="Arial"/>
        </w:rPr>
        <w:t>Definir las obligaciones de las entidades públicas competentes.</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Para efecto del presente Reglamento se entenderá por Ley, a la Ley Nº 26856.</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Artículo 2.- Ámbito de Aplicación</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El presente Reglamento es de aplicación obligatoria en las playas del litoral de la República y en la zona de dominio restringido colindante a ellas, así como en los terrenos adyacentes a dichas áreas.</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Artículo 3.- Área de playa</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 xml:space="preserve">Las playas del litoral de la República, de conformidad con el artículo 1 de la Ley, son bienes de dominio público, y comprenden el área donde la costa presenta una topografía plana y con un declive suave hacia el mar, más una franja de hasta </w:t>
      </w:r>
      <w:smartTag w:uri="urn:schemas-microsoft-com:office:smarttags" w:element="metricconverter">
        <w:smartTagPr>
          <w:attr w:name="ProductID" w:val="50 metros"/>
        </w:smartTagPr>
        <w:r w:rsidRPr="006312E8">
          <w:rPr>
            <w:rFonts w:ascii="Arial" w:eastAsia="Calibri" w:hAnsi="Arial" w:cs="Arial"/>
          </w:rPr>
          <w:t>50 metros</w:t>
        </w:r>
      </w:smartTag>
      <w:r w:rsidRPr="006312E8">
        <w:rPr>
          <w:rFonts w:ascii="Arial" w:eastAsia="Calibri" w:hAnsi="Arial" w:cs="Arial"/>
        </w:rPr>
        <w:t xml:space="preserve"> de ancho paralela a la línea de alta marea.</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El ingreso y uso de las playas es libre, salvo en los casos expresamente señalados en la Ley.</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 xml:space="preserve">La determinación de la franja de hasta </w:t>
      </w:r>
      <w:smartTag w:uri="urn:schemas-microsoft-com:office:smarttags" w:element="metricconverter">
        <w:smartTagPr>
          <w:attr w:name="ProductID" w:val="50 metros"/>
        </w:smartTagPr>
        <w:r w:rsidRPr="006312E8">
          <w:rPr>
            <w:rFonts w:ascii="Arial" w:eastAsia="Calibri" w:hAnsi="Arial" w:cs="Arial"/>
          </w:rPr>
          <w:t>50 metros</w:t>
        </w:r>
      </w:smartTag>
      <w:r w:rsidRPr="006312E8">
        <w:rPr>
          <w:rFonts w:ascii="Arial" w:eastAsia="Calibri" w:hAnsi="Arial" w:cs="Arial"/>
        </w:rPr>
        <w:t xml:space="preserve"> de ancho paralela a la línea de alta marea, estará a cargo de la Dirección General de Capitanías y Guardacostas.</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Artículo 4.- Zona de Dominio Restringido</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 xml:space="preserve">Se define como zona de dominio restringido, la franja de </w:t>
      </w:r>
      <w:smartTag w:uri="urn:schemas-microsoft-com:office:smarttags" w:element="metricconverter">
        <w:smartTagPr>
          <w:attr w:name="ProductID" w:val="200 metros"/>
        </w:smartTagPr>
        <w:r w:rsidRPr="006312E8">
          <w:rPr>
            <w:rFonts w:ascii="Arial" w:eastAsia="Calibri" w:hAnsi="Arial" w:cs="Arial"/>
          </w:rPr>
          <w:t>200 metros</w:t>
        </w:r>
      </w:smartTag>
      <w:r w:rsidRPr="006312E8">
        <w:rPr>
          <w:rFonts w:ascii="Arial" w:eastAsia="Calibri" w:hAnsi="Arial" w:cs="Arial"/>
        </w:rPr>
        <w:t xml:space="preserve"> ubicada a continuación de la franja de hasta </w:t>
      </w:r>
      <w:smartTag w:uri="urn:schemas-microsoft-com:office:smarttags" w:element="metricconverter">
        <w:smartTagPr>
          <w:attr w:name="ProductID" w:val="50 metros"/>
        </w:smartTagPr>
        <w:r w:rsidRPr="006312E8">
          <w:rPr>
            <w:rFonts w:ascii="Arial" w:eastAsia="Calibri" w:hAnsi="Arial" w:cs="Arial"/>
          </w:rPr>
          <w:t>50 metros</w:t>
        </w:r>
      </w:smartTag>
      <w:r w:rsidRPr="006312E8">
        <w:rPr>
          <w:rFonts w:ascii="Arial" w:eastAsia="Calibri" w:hAnsi="Arial" w:cs="Arial"/>
        </w:rPr>
        <w:t xml:space="preserve"> paralela a la línea de alta marea, siempre que exista continuidad geográfica en toda esa área y no existan terrenos de propiedad privada excluidos de su ámbito, según lo previsto por el artículo 2 de la Ley.</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Las zonas de dominio restringido se destinarán a playas públicas para el uso de la población, salvo que se haya procedido a su desafectación, de conformidad con lo dispuesto por el artículo 3 de la Ley y el Capítulo III del presente Reglamento.</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Artículo 5.- Determinación de la Zona de Dominio Restringido</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 xml:space="preserve">Para determinar la zona de dominio restringido se tomará como punto de partida de la medición, el límite posterior de la franja de hasta </w:t>
      </w:r>
      <w:smartTag w:uri="urn:schemas-microsoft-com:office:smarttags" w:element="metricconverter">
        <w:smartTagPr>
          <w:attr w:name="ProductID" w:val="50 metros"/>
        </w:smartTagPr>
        <w:r w:rsidRPr="006312E8">
          <w:rPr>
            <w:rFonts w:ascii="Arial" w:eastAsia="Calibri" w:hAnsi="Arial" w:cs="Arial"/>
          </w:rPr>
          <w:t>50 metros</w:t>
        </w:r>
      </w:smartTag>
      <w:r w:rsidRPr="006312E8">
        <w:rPr>
          <w:rFonts w:ascii="Arial" w:eastAsia="Calibri" w:hAnsi="Arial" w:cs="Arial"/>
        </w:rPr>
        <w:t xml:space="preserve"> de ancho paralela a la línea de alta marea, proyectando desde dicho punto un trazo de </w:t>
      </w:r>
      <w:smartTag w:uri="urn:schemas-microsoft-com:office:smarttags" w:element="metricconverter">
        <w:smartTagPr>
          <w:attr w:name="ProductID" w:val="200 metros"/>
        </w:smartTagPr>
        <w:r w:rsidRPr="006312E8">
          <w:rPr>
            <w:rFonts w:ascii="Arial" w:eastAsia="Calibri" w:hAnsi="Arial" w:cs="Arial"/>
          </w:rPr>
          <w:t>200 metros</w:t>
        </w:r>
      </w:smartTag>
      <w:r w:rsidRPr="006312E8">
        <w:rPr>
          <w:rFonts w:ascii="Arial" w:eastAsia="Calibri" w:hAnsi="Arial" w:cs="Arial"/>
        </w:rPr>
        <w:t xml:space="preserve"> perpendicular a ese límite posterior.</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Artículo 6.- Continuidad de la Zona de Dominio Restringido</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 xml:space="preserve">Se entenderá que existe continuidad geográfica cuando dentro de la proyección perpendicular de </w:t>
      </w:r>
      <w:smartTag w:uri="urn:schemas-microsoft-com:office:smarttags" w:element="metricconverter">
        <w:smartTagPr>
          <w:attr w:name="ProductID" w:val="200 metros"/>
        </w:smartTagPr>
        <w:r w:rsidRPr="006312E8">
          <w:rPr>
            <w:rFonts w:ascii="Arial" w:eastAsia="Calibri" w:hAnsi="Arial" w:cs="Arial"/>
          </w:rPr>
          <w:t>200 metros</w:t>
        </w:r>
      </w:smartTag>
      <w:r w:rsidRPr="006312E8">
        <w:rPr>
          <w:rFonts w:ascii="Arial" w:eastAsia="Calibri" w:hAnsi="Arial" w:cs="Arial"/>
        </w:rPr>
        <w:t xml:space="preserve"> a que se hace referencia en el artículo anterior, no existan accidentes geográficos tales como acantilados, lagos, montañas, lomas u obras de infraestructura ejecutadas con anterioridad a la vigencia de la Ley, tales como carreteras, terminales pesqueros o marítimos u otras obras de infraestructura pública que por su extensión o dimensiones, den lugar a considerar que los terrenos ubicados más allá de dichos accidentes geográficos u obras de infraestructura no forman parte de la zona de playa protegida, aun cuando se encuentren dentro de los referidos </w:t>
      </w:r>
      <w:smartTag w:uri="urn:schemas-microsoft-com:office:smarttags" w:element="metricconverter">
        <w:smartTagPr>
          <w:attr w:name="ProductID" w:val="200 metros"/>
        </w:smartTagPr>
        <w:r w:rsidRPr="006312E8">
          <w:rPr>
            <w:rFonts w:ascii="Arial" w:eastAsia="Calibri" w:hAnsi="Arial" w:cs="Arial"/>
          </w:rPr>
          <w:t>200 metros</w:t>
        </w:r>
      </w:smartTag>
      <w:r w:rsidRPr="006312E8">
        <w:rPr>
          <w:rFonts w:ascii="Arial" w:eastAsia="Calibri" w:hAnsi="Arial" w:cs="Arial"/>
        </w:rPr>
        <w:t>.</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Artículo 7.- Discontinuidad de la Zona de Dominio Restringido</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 xml:space="preserve">Si al momento de efectuar la medición de los </w:t>
      </w:r>
      <w:smartTag w:uri="urn:schemas-microsoft-com:office:smarttags" w:element="metricconverter">
        <w:smartTagPr>
          <w:attr w:name="ProductID" w:val="200 metros"/>
        </w:smartTagPr>
        <w:r w:rsidRPr="006312E8">
          <w:rPr>
            <w:rFonts w:ascii="Arial" w:eastAsia="Calibri" w:hAnsi="Arial" w:cs="Arial"/>
          </w:rPr>
          <w:t>200 metros</w:t>
        </w:r>
      </w:smartTag>
      <w:r w:rsidRPr="006312E8">
        <w:rPr>
          <w:rFonts w:ascii="Arial" w:eastAsia="Calibri" w:hAnsi="Arial" w:cs="Arial"/>
        </w:rPr>
        <w:t xml:space="preserve"> para fijar la zona de dominio restringido se presenta alguna de las situaciones a que se hace referencia en el artículo anterior, la zona de dominio restringido quedará conformada únicamente por la extensión longitudinal comprendida entre el límite posterior de la franja de hasta </w:t>
      </w:r>
      <w:smartTag w:uri="urn:schemas-microsoft-com:office:smarttags" w:element="metricconverter">
        <w:smartTagPr>
          <w:attr w:name="ProductID" w:val="50 metros"/>
        </w:smartTagPr>
        <w:r w:rsidRPr="006312E8">
          <w:rPr>
            <w:rFonts w:ascii="Arial" w:eastAsia="Calibri" w:hAnsi="Arial" w:cs="Arial"/>
          </w:rPr>
          <w:t>50 metros</w:t>
        </w:r>
      </w:smartTag>
      <w:r w:rsidRPr="006312E8">
        <w:rPr>
          <w:rFonts w:ascii="Arial" w:eastAsia="Calibri" w:hAnsi="Arial" w:cs="Arial"/>
        </w:rPr>
        <w:t xml:space="preserve"> de ancho paralela a la línea de alta marea y la línea que configura el contorno del accidente geográfico u obra de infraestructura que rompe la continuidad geográfica de la playa.</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Artículo 8.- Zona de Playa Protegida</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Para efectos del presente Reglamento se entenderá por “zona de playa protegida” a la extensión superficial que comprende tanto el área de playa definida en el artículo 2 del presente Reglamento como a la zona de dominio restringido definida en el artículo 4 del mismo.</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Artículo 9.- Competencia de PROINVERSIÓN</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Conforme a lo establecido por el artículo 16 de la Ley, la Agencia de Promoción de la Inversión Privada - PROINVERSIÓN, es el órgano competente para el otorgamiento del derecho de concesión sobre terrenos ubicados en la zona de playa protegida que tengan por finalidad la ejecución y explotación de obras públicas de infraestructura y servicios públicos. PROINVERSIÓN ejercerá dicha competencia de conformidad con lo establecido por el Decreto Legislativo Nº 839, el Decreto Supremo Nº 059-96-PCM, el Decreto Supremo Nº 060-96-PCM y las demás normas complementarias y conexas conforme a sus competencias.</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Artículo 10.- Competencia de la Dirección General de Capitanías y Guardacostas</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 xml:space="preserve">La competencia que, según lo establecido por la Ley Nº 26620, Ley de Control y Vigilancia de las Actividades Marítimas, Fluviales y Lacustres, y su Reglamento, aprobado por el Decreto Supremo Nº 028-DE/MGP, corresponde a la Dirección General de Capitanías y Guardacostas para el otorgamiento del derecho de uso sobre la franja de hasta </w:t>
      </w:r>
      <w:smartTag w:uri="urn:schemas-microsoft-com:office:smarttags" w:element="metricconverter">
        <w:smartTagPr>
          <w:attr w:name="ProductID" w:val="50 metros"/>
        </w:smartTagPr>
        <w:r w:rsidRPr="006312E8">
          <w:rPr>
            <w:rFonts w:ascii="Arial" w:eastAsia="Calibri" w:hAnsi="Arial" w:cs="Arial"/>
          </w:rPr>
          <w:t>50 metros</w:t>
        </w:r>
      </w:smartTag>
      <w:r w:rsidRPr="006312E8">
        <w:rPr>
          <w:rFonts w:ascii="Arial" w:eastAsia="Calibri" w:hAnsi="Arial" w:cs="Arial"/>
        </w:rPr>
        <w:t xml:space="preserve"> de ancho paralela a la línea de alta marea, se ejercerá sin afectar la competencia de PROINVERSIÓN para otorgar los derechos de concesión a que se refiere el artículo anterior.</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En todos los casos, quienes obtengan un derecho de concesión de PROINVERSIÓN o quienes obtengan un derecho de uso de parte de la Dirección General de Capitanías y Guardacostas quedarán sujetos, en el desarrollo de sus proyectos y en el ejercicio de sus actividades, a las acciones de vigilancia y control que corresponden a esta última respecto del área de playa.</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Artículo 11.- Ejercicio de competencia de las municipalidades y otras entidades en la Zona de Playa Protegida.</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Los funcionarios de las municipalidades y otras entidades que en ejercicio de sus funciones les corresponda otorgar licencias de funcionamiento, autorizaciones para la colocación de avisos publicitarios, autorización para la realización de actividades de carácter permanente y otras actividades o acciones similares que impliquen la ocupación temporal o indefinida de terrenos ubicados en la zona de playa protegida, deberán exigir, bajo responsabilidad, que el interesado acredite la titularidad del derecho en virtud del cual se le confiera la facultad de hacer uso del terreno comprendido en dicha zona, el cual deberá haber sido otorgado por la Dirección General de Capitanías y Guardacostas, cuando se trate de terrenos ubicados en el área de playa, o por la Superintendencia de Bienes Nacionales - SBN, cuando se trate de terrenos ubicados en la zona de dominio restringido.</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Las obras públicas de infraestructura y servicios públicos que ejecuten las municipalidades y otras entidades que en ejercicio de sus funciones les corresponda, sobre terrenos comprendidos en la zona de playa protegida, deberán contar con el previo otorgamiento del correspondiente derecho de uso por parte de las entidades mencionadas en el párrafo anterior, sin perjuicio de las coordinaciones que se efectúen con PROINVERSIÓN para determinar la existencia de proyectos en la referida zona.</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center"/>
        <w:rPr>
          <w:rFonts w:ascii="Arial" w:eastAsia="Calibri" w:hAnsi="Arial" w:cs="Arial"/>
          <w:b/>
        </w:rPr>
      </w:pPr>
      <w:r w:rsidRPr="006312E8">
        <w:rPr>
          <w:rFonts w:ascii="Arial" w:eastAsia="Calibri" w:hAnsi="Arial" w:cs="Arial"/>
          <w:b/>
        </w:rPr>
        <w:t>CAPÍTULO II</w:t>
      </w:r>
    </w:p>
    <w:p w:rsidR="006312E8" w:rsidRPr="006312E8" w:rsidRDefault="006312E8" w:rsidP="006312E8">
      <w:pPr>
        <w:spacing w:after="0" w:line="240" w:lineRule="auto"/>
        <w:jc w:val="center"/>
        <w:rPr>
          <w:rFonts w:ascii="Arial" w:eastAsia="Calibri" w:hAnsi="Arial" w:cs="Arial"/>
          <w:b/>
        </w:rPr>
      </w:pPr>
      <w:r w:rsidRPr="006312E8">
        <w:rPr>
          <w:rFonts w:ascii="Arial" w:eastAsia="Calibri" w:hAnsi="Arial" w:cs="Arial"/>
          <w:b/>
        </w:rPr>
        <w:t>TERRENOS DE PROPIEDAD PRIVADA EXCLUIDOS DE LA ZONA DE DOMINIO RESTRINGIDO</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Artículo 12.- Terrenos de propiedad privada</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 xml:space="preserve">No están comprendidos en la zona de dominio restringido los terrenos ubicados dentro de la franja de </w:t>
      </w:r>
      <w:smartTag w:uri="urn:schemas-microsoft-com:office:smarttags" w:element="metricconverter">
        <w:smartTagPr>
          <w:attr w:name="ProductID" w:val="200 metros"/>
        </w:smartTagPr>
        <w:r w:rsidRPr="006312E8">
          <w:rPr>
            <w:rFonts w:ascii="Arial" w:eastAsia="Calibri" w:hAnsi="Arial" w:cs="Arial"/>
          </w:rPr>
          <w:t>200 metros</w:t>
        </w:r>
      </w:smartTag>
      <w:r w:rsidRPr="006312E8">
        <w:rPr>
          <w:rFonts w:ascii="Arial" w:eastAsia="Calibri" w:hAnsi="Arial" w:cs="Arial"/>
        </w:rPr>
        <w:t xml:space="preserve"> a que se refiere el artículo 4 de este Reglamento, siempre que dichos terrenos se hubieren encontrado legalmente incorporados al dominio privado de una entidad estatal o de particulares con anterioridad al 9 de septiembre de 1997, fecha de entrada en vigencia de la Ley.</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También están excluidos los predios que a la fecha antes indicada hubieran sido transferidos a entidades públicas para el desarrollo de proyectos de infraestructura pública, salvo que a esa fecha se hubiere incurrido en causal de caducidad y consiguiente reversión al dominio estatal.</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 xml:space="preserve">Los terrenos comprendidos dentro de la franja de </w:t>
      </w:r>
      <w:smartTag w:uri="urn:schemas-microsoft-com:office:smarttags" w:element="metricconverter">
        <w:smartTagPr>
          <w:attr w:name="ProductID" w:val="200 metros"/>
        </w:smartTagPr>
        <w:r w:rsidRPr="006312E8">
          <w:rPr>
            <w:rFonts w:ascii="Arial" w:eastAsia="Calibri" w:hAnsi="Arial" w:cs="Arial"/>
          </w:rPr>
          <w:t>200 metros</w:t>
        </w:r>
      </w:smartTag>
      <w:r w:rsidRPr="006312E8">
        <w:rPr>
          <w:rFonts w:ascii="Arial" w:eastAsia="Calibri" w:hAnsi="Arial" w:cs="Arial"/>
        </w:rPr>
        <w:t xml:space="preserve"> a que se refiere el artículo 4 de este Reglamento, revertidos al dominio estatal a partir del 9 de septiembre de 1997, quedan incorporados a la zona de dominio restringido.</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Artículo 13.- Extensión del derecho de propiedad privada</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En los casos a los que se refiere el artículo anterior, la propiedad sobre dichos terrenos se extenderá hasta el límite que se señale en la descripción perimetral del terreno que indique el título respectivo.</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 xml:space="preserve">En ningún caso se considerará como dominio privado la descripción perimetral en los títulos respectivos que incluyan la franja de hasta </w:t>
      </w:r>
      <w:smartTag w:uri="urn:schemas-microsoft-com:office:smarttags" w:element="metricconverter">
        <w:smartTagPr>
          <w:attr w:name="ProductID" w:val="50 metros"/>
        </w:smartTagPr>
        <w:r w:rsidRPr="006312E8">
          <w:rPr>
            <w:rFonts w:ascii="Arial" w:eastAsia="Calibri" w:hAnsi="Arial" w:cs="Arial"/>
          </w:rPr>
          <w:t>50 metros</w:t>
        </w:r>
      </w:smartTag>
      <w:r w:rsidRPr="006312E8">
        <w:rPr>
          <w:rFonts w:ascii="Arial" w:eastAsia="Calibri" w:hAnsi="Arial" w:cs="Arial"/>
        </w:rPr>
        <w:t xml:space="preserve"> de ancho paralela a la línea de alta marea referida en el artículo 2 de este Reglamento.</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Artículo 14.- Zona de Dominio Restringido con relación a predios de propiedad privada</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 xml:space="preserve">Si de la descripción perimetral del terreno que se señale en el título resulta que la extensión superficial del mismo no es inmediatamente contigua a la franja de hasta </w:t>
      </w:r>
      <w:smartTag w:uri="urn:schemas-microsoft-com:office:smarttags" w:element="metricconverter">
        <w:smartTagPr>
          <w:attr w:name="ProductID" w:val="50 metros"/>
        </w:smartTagPr>
        <w:r w:rsidRPr="006312E8">
          <w:rPr>
            <w:rFonts w:ascii="Arial" w:eastAsia="Calibri" w:hAnsi="Arial" w:cs="Arial"/>
          </w:rPr>
          <w:t>50 metros</w:t>
        </w:r>
      </w:smartTag>
      <w:r w:rsidRPr="006312E8">
        <w:rPr>
          <w:rFonts w:ascii="Arial" w:eastAsia="Calibri" w:hAnsi="Arial" w:cs="Arial"/>
        </w:rPr>
        <w:t xml:space="preserve"> paralela a la línea de alta marea, existirá zona de dominio restringido, la cual comprenderá el espacio que se extiende desde el límite posterior de la mencionada franja hasta la línea que configura el contorno del terreno de propiedad privada que colinda con dicho espacio.</w:t>
      </w:r>
    </w:p>
    <w:p w:rsidR="006312E8" w:rsidRPr="006312E8" w:rsidRDefault="006312E8" w:rsidP="006312E8">
      <w:pPr>
        <w:spacing w:after="0" w:line="240" w:lineRule="auto"/>
        <w:jc w:val="center"/>
        <w:rPr>
          <w:rFonts w:ascii="Arial" w:eastAsia="Calibri" w:hAnsi="Arial" w:cs="Arial"/>
          <w:b/>
        </w:rPr>
      </w:pPr>
    </w:p>
    <w:p w:rsidR="006312E8" w:rsidRPr="006312E8" w:rsidRDefault="006312E8" w:rsidP="006312E8">
      <w:pPr>
        <w:spacing w:after="0" w:line="240" w:lineRule="auto"/>
        <w:jc w:val="center"/>
        <w:rPr>
          <w:rFonts w:ascii="Arial" w:eastAsia="Calibri" w:hAnsi="Arial" w:cs="Arial"/>
          <w:b/>
        </w:rPr>
      </w:pPr>
      <w:r w:rsidRPr="006312E8">
        <w:rPr>
          <w:rFonts w:ascii="Arial" w:eastAsia="Calibri" w:hAnsi="Arial" w:cs="Arial"/>
          <w:b/>
        </w:rPr>
        <w:t>CAPÍTULO III</w:t>
      </w:r>
    </w:p>
    <w:p w:rsidR="006312E8" w:rsidRPr="006312E8" w:rsidRDefault="006312E8" w:rsidP="006312E8">
      <w:pPr>
        <w:spacing w:after="0" w:line="240" w:lineRule="auto"/>
        <w:jc w:val="center"/>
        <w:rPr>
          <w:rFonts w:ascii="Arial" w:eastAsia="Calibri" w:hAnsi="Arial" w:cs="Arial"/>
          <w:b/>
        </w:rPr>
      </w:pPr>
      <w:r w:rsidRPr="006312E8">
        <w:rPr>
          <w:rFonts w:ascii="Arial" w:eastAsia="Calibri" w:hAnsi="Arial" w:cs="Arial"/>
          <w:b/>
        </w:rPr>
        <w:t>DE LA DESAFECTACIÓN DE LA ZONA DE DOMINIO RESTRINGIDO</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Artículo 15.- Desafectación de la Zona de Dominio Restringido</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La desafectación de terrenos comprendidos dentro de la zona de dominio restringido a que se refiere el artículo 3 de la Ley, es el acto administrativo por medio del cual dichos terrenos se incorporan al dominio privado del Estado para ser adjudicados en propiedad o para el otorgamiento de otros derechos a favor de una entidad pública o de particulares.</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Artículo 16.- Entidad competente para la desafectación</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La Superintendencia de Bienes Nacionales - SBN, es el órgano competente para declarar la desafectación de terrenos comprendidos dentro de la zona de dominio restringido.</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Artículo 17.- Regulación del acto de desafectación</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El acto de desafectación forma parte del procedimiento de adjudicación en propiedad o de otorgamiento de otros derechos previstos en el Reglamento General de Procedimiento Administrativo de los Bienes de Propiedad Estatal, aprobado por el Decreto Supremo Nº 154-2001-EF. Los trámites necesarios para efectos de la desafectación serán los que se establezcan mediante Resolución de la Superintendencia de Bienes Nacionales - SBN.</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Artículo 18.- Causales de desafectación y adjudicación</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La adjudicación en propiedad o el otorgamiento de otros derechos que impliquen la ocupación y uso exclusivo de terrenos comprendidos dentro de la zona de dominio restringido, previa desafectación de los mismos, sólo procederá cuando la adjudicación del terreno sea solicitada para alguno de los siguientes fines:</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241D1D">
      <w:pPr>
        <w:numPr>
          <w:ilvl w:val="2"/>
          <w:numId w:val="69"/>
        </w:numPr>
        <w:spacing w:after="0" w:line="240" w:lineRule="auto"/>
        <w:ind w:left="426"/>
        <w:jc w:val="both"/>
        <w:rPr>
          <w:rFonts w:ascii="Arial" w:eastAsia="Calibri" w:hAnsi="Arial" w:cs="Arial"/>
        </w:rPr>
      </w:pPr>
      <w:r w:rsidRPr="006312E8">
        <w:rPr>
          <w:rFonts w:ascii="Arial" w:eastAsia="Calibri" w:hAnsi="Arial" w:cs="Arial"/>
        </w:rPr>
        <w:t>La ejecución de proyectos para fines turísticos y recreacionales, así como para el desarrollo de proyectos de habilitación urbana de carácter residencial, recreacional con vivienda tipo club o vivienda temporal o vacacional de playa.</w:t>
      </w:r>
    </w:p>
    <w:p w:rsidR="006312E8" w:rsidRPr="006312E8" w:rsidRDefault="006312E8" w:rsidP="006312E8">
      <w:pPr>
        <w:spacing w:after="0" w:line="240" w:lineRule="auto"/>
        <w:ind w:left="426"/>
        <w:jc w:val="both"/>
        <w:rPr>
          <w:rFonts w:ascii="Arial" w:eastAsia="Calibri" w:hAnsi="Arial" w:cs="Arial"/>
        </w:rPr>
      </w:pPr>
    </w:p>
    <w:p w:rsidR="006312E8" w:rsidRPr="006312E8" w:rsidRDefault="006312E8" w:rsidP="00241D1D">
      <w:pPr>
        <w:numPr>
          <w:ilvl w:val="2"/>
          <w:numId w:val="69"/>
        </w:numPr>
        <w:spacing w:after="0" w:line="240" w:lineRule="auto"/>
        <w:ind w:left="426"/>
        <w:jc w:val="both"/>
        <w:rPr>
          <w:rFonts w:ascii="Arial" w:eastAsia="Calibri" w:hAnsi="Arial" w:cs="Arial"/>
        </w:rPr>
      </w:pPr>
      <w:r w:rsidRPr="006312E8">
        <w:rPr>
          <w:rFonts w:ascii="Arial" w:eastAsia="Calibri" w:hAnsi="Arial" w:cs="Arial"/>
        </w:rPr>
        <w:t>La ejecución de obras de infraestructura pública o privada llevadas a cabo por particulares que permitan brindar servicios vinculados con el uso de la zona de playa protegida o con las actividades económicas derivadas o complementarias de aquellas que son propias del litoral.</w:t>
      </w:r>
    </w:p>
    <w:p w:rsidR="006312E8" w:rsidRPr="006312E8" w:rsidRDefault="006312E8" w:rsidP="006312E8">
      <w:pPr>
        <w:spacing w:after="0" w:line="240" w:lineRule="auto"/>
        <w:ind w:left="426"/>
        <w:jc w:val="both"/>
        <w:rPr>
          <w:rFonts w:ascii="Arial" w:eastAsia="Calibri" w:hAnsi="Arial" w:cs="Arial"/>
        </w:rPr>
      </w:pPr>
    </w:p>
    <w:p w:rsidR="006312E8" w:rsidRPr="006312E8" w:rsidRDefault="006312E8" w:rsidP="006312E8">
      <w:pPr>
        <w:spacing w:after="0" w:line="240" w:lineRule="auto"/>
        <w:ind w:left="426"/>
        <w:jc w:val="both"/>
        <w:rPr>
          <w:rFonts w:ascii="Arial" w:eastAsia="Calibri" w:hAnsi="Arial" w:cs="Arial"/>
        </w:rPr>
      </w:pPr>
      <w:r w:rsidRPr="006312E8">
        <w:rPr>
          <w:rFonts w:ascii="Arial" w:eastAsia="Calibri" w:hAnsi="Arial" w:cs="Arial"/>
        </w:rPr>
        <w:t>Cuando la adjudicación, previa desafectación, sea solicitada por un particular se deberá contar con el pronunciamiento previo de la Municipalidad Provincial y Distrital del lugar con respecto a las previsiones contenidas en sus Planes de Acondicionamiento Territorial y de Desarrollo Urbano, según corresponda, respecto de las vías de acceso a la playa que, en su oportunidad, deberán ejecutarse de acuerdo con lo dispuesto por el artículo 4 de la Ley y las disposiciones del presente Reglamento.</w:t>
      </w:r>
    </w:p>
    <w:p w:rsidR="006312E8" w:rsidRPr="006312E8" w:rsidRDefault="006312E8" w:rsidP="006312E8">
      <w:pPr>
        <w:spacing w:after="0" w:line="240" w:lineRule="auto"/>
        <w:jc w:val="both"/>
        <w:rPr>
          <w:rFonts w:ascii="Arial" w:eastAsia="Calibri" w:hAnsi="Arial" w:cs="Arial"/>
        </w:rPr>
      </w:pPr>
    </w:p>
    <w:p w:rsidR="00246CE9" w:rsidRDefault="00246CE9" w:rsidP="006312E8">
      <w:pPr>
        <w:spacing w:after="0" w:line="240" w:lineRule="auto"/>
        <w:jc w:val="center"/>
        <w:rPr>
          <w:rFonts w:ascii="Arial" w:eastAsia="Calibri" w:hAnsi="Arial" w:cs="Arial"/>
          <w:b/>
        </w:rPr>
      </w:pPr>
    </w:p>
    <w:p w:rsidR="00246CE9" w:rsidRDefault="00246CE9" w:rsidP="006312E8">
      <w:pPr>
        <w:spacing w:after="0" w:line="240" w:lineRule="auto"/>
        <w:jc w:val="center"/>
        <w:rPr>
          <w:rFonts w:ascii="Arial" w:eastAsia="Calibri" w:hAnsi="Arial" w:cs="Arial"/>
          <w:b/>
        </w:rPr>
      </w:pPr>
    </w:p>
    <w:p w:rsidR="00246CE9" w:rsidRDefault="00246CE9" w:rsidP="006312E8">
      <w:pPr>
        <w:spacing w:after="0" w:line="240" w:lineRule="auto"/>
        <w:jc w:val="center"/>
        <w:rPr>
          <w:rFonts w:ascii="Arial" w:eastAsia="Calibri" w:hAnsi="Arial" w:cs="Arial"/>
          <w:b/>
        </w:rPr>
      </w:pPr>
    </w:p>
    <w:p w:rsidR="00246CE9" w:rsidRDefault="00246CE9" w:rsidP="006312E8">
      <w:pPr>
        <w:spacing w:after="0" w:line="240" w:lineRule="auto"/>
        <w:jc w:val="center"/>
        <w:rPr>
          <w:rFonts w:ascii="Arial" w:eastAsia="Calibri" w:hAnsi="Arial" w:cs="Arial"/>
          <w:b/>
        </w:rPr>
      </w:pPr>
    </w:p>
    <w:p w:rsidR="006312E8" w:rsidRPr="006312E8" w:rsidRDefault="006312E8" w:rsidP="006312E8">
      <w:pPr>
        <w:spacing w:after="0" w:line="240" w:lineRule="auto"/>
        <w:jc w:val="center"/>
        <w:rPr>
          <w:rFonts w:ascii="Arial" w:eastAsia="Calibri" w:hAnsi="Arial" w:cs="Arial"/>
          <w:b/>
        </w:rPr>
      </w:pPr>
      <w:r w:rsidRPr="006312E8">
        <w:rPr>
          <w:rFonts w:ascii="Arial" w:eastAsia="Calibri" w:hAnsi="Arial" w:cs="Arial"/>
          <w:b/>
        </w:rPr>
        <w:t>CAPÍTULO IV</w:t>
      </w:r>
    </w:p>
    <w:p w:rsidR="006312E8" w:rsidRPr="006312E8" w:rsidRDefault="006312E8" w:rsidP="006312E8">
      <w:pPr>
        <w:spacing w:after="0" w:line="240" w:lineRule="auto"/>
        <w:jc w:val="center"/>
        <w:rPr>
          <w:rFonts w:ascii="Arial" w:eastAsia="Calibri" w:hAnsi="Arial" w:cs="Arial"/>
          <w:b/>
        </w:rPr>
      </w:pPr>
      <w:r w:rsidRPr="006312E8">
        <w:rPr>
          <w:rFonts w:ascii="Arial" w:eastAsia="Calibri" w:hAnsi="Arial" w:cs="Arial"/>
          <w:b/>
        </w:rPr>
        <w:t>DE LAS VÍAS DE ACCESO A LAS PLAYAS</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Artículo 19.- Ámbito de aplicación</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Las disposiciones contenidas en el presente capítulo son de aplicación para aquellas habilitaciones urbanas o preurbanas que se proyecten y ejecuten con posterioridad a la entrada en vigencia de la Ley sobre cualquiera de los terrenos siguientes:</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241D1D">
      <w:pPr>
        <w:numPr>
          <w:ilvl w:val="1"/>
          <w:numId w:val="68"/>
        </w:numPr>
        <w:spacing w:after="0" w:line="240" w:lineRule="auto"/>
        <w:ind w:left="426"/>
        <w:jc w:val="both"/>
        <w:rPr>
          <w:rFonts w:ascii="Arial" w:eastAsia="Calibri" w:hAnsi="Arial" w:cs="Arial"/>
        </w:rPr>
      </w:pPr>
      <w:r w:rsidRPr="006312E8">
        <w:rPr>
          <w:rFonts w:ascii="Arial" w:eastAsia="Calibri" w:hAnsi="Arial" w:cs="Arial"/>
        </w:rPr>
        <w:t xml:space="preserve">Terrenos colindantes con la zona de playa protegida, entendiéndose por tales los que limiten por alguno de sus linderos con la franja de hasta </w:t>
      </w:r>
      <w:smartTag w:uri="urn:schemas-microsoft-com:office:smarttags" w:element="metricconverter">
        <w:smartTagPr>
          <w:attr w:name="ProductID" w:val="50 metros"/>
        </w:smartTagPr>
        <w:r w:rsidRPr="006312E8">
          <w:rPr>
            <w:rFonts w:ascii="Arial" w:eastAsia="Calibri" w:hAnsi="Arial" w:cs="Arial"/>
          </w:rPr>
          <w:t>50 metros</w:t>
        </w:r>
      </w:smartTag>
      <w:r w:rsidRPr="006312E8">
        <w:rPr>
          <w:rFonts w:ascii="Arial" w:eastAsia="Calibri" w:hAnsi="Arial" w:cs="Arial"/>
        </w:rPr>
        <w:t xml:space="preserve"> paralela a la línea de alta marea o con la zona de dominio restringido, según sea el caso.</w:t>
      </w:r>
    </w:p>
    <w:p w:rsidR="006312E8" w:rsidRPr="006312E8" w:rsidRDefault="006312E8" w:rsidP="006312E8">
      <w:pPr>
        <w:spacing w:after="0" w:line="240" w:lineRule="auto"/>
        <w:ind w:left="426"/>
        <w:jc w:val="both"/>
        <w:rPr>
          <w:rFonts w:ascii="Arial" w:eastAsia="Calibri" w:hAnsi="Arial" w:cs="Arial"/>
        </w:rPr>
      </w:pPr>
    </w:p>
    <w:p w:rsidR="006312E8" w:rsidRPr="006312E8" w:rsidRDefault="006312E8" w:rsidP="00241D1D">
      <w:pPr>
        <w:numPr>
          <w:ilvl w:val="1"/>
          <w:numId w:val="68"/>
        </w:numPr>
        <w:spacing w:after="0" w:line="240" w:lineRule="auto"/>
        <w:ind w:left="426"/>
        <w:jc w:val="both"/>
        <w:rPr>
          <w:rFonts w:ascii="Arial" w:eastAsia="Calibri" w:hAnsi="Arial" w:cs="Arial"/>
        </w:rPr>
      </w:pPr>
      <w:r w:rsidRPr="006312E8">
        <w:rPr>
          <w:rFonts w:ascii="Arial" w:eastAsia="Calibri" w:hAnsi="Arial" w:cs="Arial"/>
        </w:rPr>
        <w:t xml:space="preserve">Terrenos no colindantes a la zona de playa protegida pero comprendidos dentro de una zona ribereña al mar, entendiéndose por tal a la franja de </w:t>
      </w:r>
      <w:smartTag w:uri="urn:schemas-microsoft-com:office:smarttags" w:element="metricconverter">
        <w:smartTagPr>
          <w:attr w:name="ProductID" w:val="1,000 metros"/>
        </w:smartTagPr>
        <w:r w:rsidRPr="006312E8">
          <w:rPr>
            <w:rFonts w:ascii="Arial" w:eastAsia="Calibri" w:hAnsi="Arial" w:cs="Arial"/>
          </w:rPr>
          <w:t>1,000 metros</w:t>
        </w:r>
      </w:smartTag>
      <w:r w:rsidRPr="006312E8">
        <w:rPr>
          <w:rFonts w:ascii="Arial" w:eastAsia="Calibri" w:hAnsi="Arial" w:cs="Arial"/>
        </w:rPr>
        <w:t xml:space="preserve"> de ancho que se extiende en paralelo a la línea de alta marea con dirección opuesta al mar.</w:t>
      </w:r>
    </w:p>
    <w:p w:rsidR="006312E8" w:rsidRPr="006312E8" w:rsidRDefault="006312E8" w:rsidP="006312E8">
      <w:pPr>
        <w:spacing w:after="0" w:line="240" w:lineRule="auto"/>
        <w:ind w:left="426"/>
        <w:jc w:val="both"/>
        <w:rPr>
          <w:rFonts w:ascii="Arial" w:eastAsia="Calibri" w:hAnsi="Arial" w:cs="Arial"/>
        </w:rPr>
      </w:pPr>
    </w:p>
    <w:p w:rsidR="006312E8" w:rsidRPr="006312E8" w:rsidRDefault="006312E8" w:rsidP="00241D1D">
      <w:pPr>
        <w:numPr>
          <w:ilvl w:val="1"/>
          <w:numId w:val="68"/>
        </w:numPr>
        <w:spacing w:after="0" w:line="240" w:lineRule="auto"/>
        <w:ind w:left="426"/>
        <w:jc w:val="both"/>
        <w:rPr>
          <w:rFonts w:ascii="Arial" w:eastAsia="Calibri" w:hAnsi="Arial" w:cs="Arial"/>
        </w:rPr>
      </w:pPr>
      <w:r w:rsidRPr="006312E8">
        <w:rPr>
          <w:rFonts w:ascii="Arial" w:eastAsia="Calibri" w:hAnsi="Arial" w:cs="Arial"/>
        </w:rPr>
        <w:t xml:space="preserve">Terrenos no colindantes a la zona de playa protegida o ubicados más allá de la franja de </w:t>
      </w:r>
      <w:smartTag w:uri="urn:schemas-microsoft-com:office:smarttags" w:element="metricconverter">
        <w:smartTagPr>
          <w:attr w:name="ProductID" w:val="1,000 metros"/>
        </w:smartTagPr>
        <w:r w:rsidRPr="006312E8">
          <w:rPr>
            <w:rFonts w:ascii="Arial" w:eastAsia="Calibri" w:hAnsi="Arial" w:cs="Arial"/>
          </w:rPr>
          <w:t>1,000 metros</w:t>
        </w:r>
      </w:smartTag>
      <w:r w:rsidRPr="006312E8">
        <w:rPr>
          <w:rFonts w:ascii="Arial" w:eastAsia="Calibri" w:hAnsi="Arial" w:cs="Arial"/>
        </w:rPr>
        <w:t xml:space="preserve"> de ancho que se extienda en paralelo a la línea de alta marea con dirección opuesta al mar, pero que se encuentran comprendidos dentro de un balneario, entendiéndose por tal al centro poblado integrado por una o más urbanizaciones u otras zonas consideradas urbanas que se encuentran identificadas por su vinculación con una determinada zona de playa protegida.</w:t>
      </w:r>
    </w:p>
    <w:p w:rsidR="006312E8" w:rsidRPr="006312E8" w:rsidRDefault="006312E8" w:rsidP="006312E8">
      <w:pPr>
        <w:spacing w:after="0" w:line="240" w:lineRule="auto"/>
        <w:ind w:left="426"/>
        <w:jc w:val="both"/>
        <w:rPr>
          <w:rFonts w:ascii="Arial" w:eastAsia="Calibri" w:hAnsi="Arial" w:cs="Arial"/>
        </w:rPr>
      </w:pPr>
    </w:p>
    <w:p w:rsidR="006312E8" w:rsidRPr="006312E8" w:rsidRDefault="006312E8" w:rsidP="006312E8">
      <w:pPr>
        <w:spacing w:after="0" w:line="240" w:lineRule="auto"/>
        <w:ind w:left="426"/>
        <w:jc w:val="both"/>
        <w:rPr>
          <w:rFonts w:ascii="Arial" w:eastAsia="Calibri" w:hAnsi="Arial" w:cs="Arial"/>
        </w:rPr>
      </w:pPr>
      <w:r w:rsidRPr="006312E8">
        <w:rPr>
          <w:rFonts w:ascii="Arial" w:eastAsia="Calibri" w:hAnsi="Arial" w:cs="Arial"/>
        </w:rPr>
        <w:t>Las entidades públicas o privadas que proyecten o ejecuten alguna habilitación urbana o preurbana en los terrenos descritos en los numerales anteriores, están sujetas a la obligación de abrir vías de acceso de conformidad con lo establecido en los artículos 4 al 9 de la Ley y cumpliendo con la normatividad urbanística vigente.</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 xml:space="preserve">Artículo 20.- Lineamientos para la constitución de vías de acceso en terrenos colindantes a la zona de playa protegida con más de </w:t>
      </w:r>
      <w:smartTag w:uri="urn:schemas-microsoft-com:office:smarttags" w:element="metricconverter">
        <w:smartTagPr>
          <w:attr w:name="ProductID" w:val="1,000 metros"/>
        </w:smartTagPr>
        <w:r w:rsidRPr="006312E8">
          <w:rPr>
            <w:rFonts w:ascii="Arial" w:eastAsia="Calibri" w:hAnsi="Arial" w:cs="Arial"/>
            <w:b/>
          </w:rPr>
          <w:t>1,000 metros</w:t>
        </w:r>
      </w:smartTag>
      <w:r w:rsidRPr="006312E8">
        <w:rPr>
          <w:rFonts w:ascii="Arial" w:eastAsia="Calibri" w:hAnsi="Arial" w:cs="Arial"/>
          <w:b/>
        </w:rPr>
        <w:t xml:space="preserve"> de frente al mar</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 xml:space="preserve">En las habilitaciones urbanas que se proyecten sobre los terrenos descritos en el inciso a) del artículo anterior, que tengan más de </w:t>
      </w:r>
      <w:smartTag w:uri="urn:schemas-microsoft-com:office:smarttags" w:element="metricconverter">
        <w:smartTagPr>
          <w:attr w:name="ProductID" w:val="1,000 metros"/>
        </w:smartTagPr>
        <w:r w:rsidRPr="006312E8">
          <w:rPr>
            <w:rFonts w:ascii="Arial" w:eastAsia="Calibri" w:hAnsi="Arial" w:cs="Arial"/>
          </w:rPr>
          <w:t>1,000 metros</w:t>
        </w:r>
      </w:smartTag>
      <w:r w:rsidRPr="006312E8">
        <w:rPr>
          <w:rFonts w:ascii="Arial" w:eastAsia="Calibri" w:hAnsi="Arial" w:cs="Arial"/>
        </w:rPr>
        <w:t xml:space="preserve"> de frente al mar, las vías de acceso a la playa reguladas por el artículo 4 de la Ley serán trazadas desde un punto ubicado en la línea posterior de la franja de hasta </w:t>
      </w:r>
      <w:smartTag w:uri="urn:schemas-microsoft-com:office:smarttags" w:element="metricconverter">
        <w:smartTagPr>
          <w:attr w:name="ProductID" w:val="50 metros"/>
        </w:smartTagPr>
        <w:r w:rsidRPr="006312E8">
          <w:rPr>
            <w:rFonts w:ascii="Arial" w:eastAsia="Calibri" w:hAnsi="Arial" w:cs="Arial"/>
          </w:rPr>
          <w:t>50 metros</w:t>
        </w:r>
      </w:smartTag>
      <w:r w:rsidRPr="006312E8">
        <w:rPr>
          <w:rFonts w:ascii="Arial" w:eastAsia="Calibri" w:hAnsi="Arial" w:cs="Arial"/>
        </w:rPr>
        <w:t xml:space="preserve"> de ancho paralela a la línea de alta marea hasta un punto de intersección con la vía pública existente más cercana que permita, a su vez, la interconexión con la red vial nacional y deberán habilitarse observando los siguientes lineamientos:</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241D1D">
      <w:pPr>
        <w:numPr>
          <w:ilvl w:val="1"/>
          <w:numId w:val="67"/>
        </w:numPr>
        <w:spacing w:after="0" w:line="240" w:lineRule="auto"/>
        <w:ind w:left="426"/>
        <w:jc w:val="both"/>
        <w:rPr>
          <w:rFonts w:ascii="Arial" w:eastAsia="Calibri" w:hAnsi="Arial" w:cs="Arial"/>
        </w:rPr>
      </w:pPr>
      <w:r w:rsidRPr="006312E8">
        <w:rPr>
          <w:rFonts w:ascii="Arial" w:eastAsia="Calibri" w:hAnsi="Arial" w:cs="Arial"/>
        </w:rPr>
        <w:t xml:space="preserve">El tramo comprendido entre la intersección con la vía pública existente más cercana y el punto de dicha vía que se encuentra ubicado, por lo menos, a una distancia de </w:t>
      </w:r>
      <w:smartTag w:uri="urn:schemas-microsoft-com:office:smarttags" w:element="metricconverter">
        <w:smartTagPr>
          <w:attr w:name="ProductID" w:val="250 metros"/>
        </w:smartTagPr>
        <w:r w:rsidRPr="006312E8">
          <w:rPr>
            <w:rFonts w:ascii="Arial" w:eastAsia="Calibri" w:hAnsi="Arial" w:cs="Arial"/>
          </w:rPr>
          <w:t>250 metros</w:t>
        </w:r>
      </w:smartTag>
      <w:r w:rsidRPr="006312E8">
        <w:rPr>
          <w:rFonts w:ascii="Arial" w:eastAsia="Calibri" w:hAnsi="Arial" w:cs="Arial"/>
        </w:rPr>
        <w:t xml:space="preserve"> lineales respecto de la línea de alta marea, deberá tener el ancho suficiente como para permitir el tránsito en doble sentido de vehículos motorizados, salvo que por razones topográficas, ciertos tramos de la misma deban tener un ancho menor al que permita el tránsito fluido en doble sentido. La distancia respecto de la línea de alta marea deberá ser menor a la antes indicada cuando existan predios de propiedad privada excluidos de la zona de dominio restringido, caso en el cual la vía vehicular mencionada deberá prolongarse hasta la línea de propiedad más cercana a la línea correspondiente a la franja de hasta </w:t>
      </w:r>
      <w:smartTag w:uri="urn:schemas-microsoft-com:office:smarttags" w:element="metricconverter">
        <w:smartTagPr>
          <w:attr w:name="ProductID" w:val="50 metros"/>
        </w:smartTagPr>
        <w:r w:rsidRPr="006312E8">
          <w:rPr>
            <w:rFonts w:ascii="Arial" w:eastAsia="Calibri" w:hAnsi="Arial" w:cs="Arial"/>
          </w:rPr>
          <w:t>50 metros</w:t>
        </w:r>
      </w:smartTag>
      <w:r w:rsidRPr="006312E8">
        <w:rPr>
          <w:rFonts w:ascii="Arial" w:eastAsia="Calibri" w:hAnsi="Arial" w:cs="Arial"/>
        </w:rPr>
        <w:t xml:space="preserve"> lineales de ancho paralela a la línea de alta marea.</w:t>
      </w:r>
    </w:p>
    <w:p w:rsidR="006312E8" w:rsidRPr="006312E8" w:rsidRDefault="006312E8" w:rsidP="006312E8">
      <w:pPr>
        <w:spacing w:after="0" w:line="240" w:lineRule="auto"/>
        <w:ind w:left="426"/>
        <w:jc w:val="both"/>
        <w:rPr>
          <w:rFonts w:ascii="Arial" w:eastAsia="Calibri" w:hAnsi="Arial" w:cs="Arial"/>
        </w:rPr>
      </w:pPr>
    </w:p>
    <w:p w:rsidR="006312E8" w:rsidRPr="006312E8" w:rsidRDefault="006312E8" w:rsidP="00241D1D">
      <w:pPr>
        <w:numPr>
          <w:ilvl w:val="1"/>
          <w:numId w:val="67"/>
        </w:numPr>
        <w:spacing w:after="0" w:line="240" w:lineRule="auto"/>
        <w:ind w:left="426"/>
        <w:jc w:val="both"/>
        <w:rPr>
          <w:rFonts w:ascii="Arial" w:eastAsia="Calibri" w:hAnsi="Arial" w:cs="Arial"/>
        </w:rPr>
      </w:pPr>
      <w:r w:rsidRPr="006312E8">
        <w:rPr>
          <w:rFonts w:ascii="Arial" w:eastAsia="Calibri" w:hAnsi="Arial" w:cs="Arial"/>
        </w:rPr>
        <w:t xml:space="preserve">A partir del punto en que la vía de acceso libre a la playa se encuentra a una distancia no mayor de </w:t>
      </w:r>
      <w:smartTag w:uri="urn:schemas-microsoft-com:office:smarttags" w:element="metricconverter">
        <w:smartTagPr>
          <w:attr w:name="ProductID" w:val="250 metros"/>
        </w:smartTagPr>
        <w:r w:rsidRPr="006312E8">
          <w:rPr>
            <w:rFonts w:ascii="Arial" w:eastAsia="Calibri" w:hAnsi="Arial" w:cs="Arial"/>
          </w:rPr>
          <w:t>250 metros</w:t>
        </w:r>
      </w:smartTag>
      <w:r w:rsidRPr="006312E8">
        <w:rPr>
          <w:rFonts w:ascii="Arial" w:eastAsia="Calibri" w:hAnsi="Arial" w:cs="Arial"/>
        </w:rPr>
        <w:t xml:space="preserve"> lineales respecto de la línea de alta marea, la misma deberá convertirse en una vía de acceso peatonal hasta el punto en que se intercepta con la línea posterior de la franja de hasta </w:t>
      </w:r>
      <w:smartTag w:uri="urn:schemas-microsoft-com:office:smarttags" w:element="metricconverter">
        <w:smartTagPr>
          <w:attr w:name="ProductID" w:val="50 metros"/>
        </w:smartTagPr>
        <w:r w:rsidRPr="006312E8">
          <w:rPr>
            <w:rFonts w:ascii="Arial" w:eastAsia="Calibri" w:hAnsi="Arial" w:cs="Arial"/>
          </w:rPr>
          <w:t>50 metros</w:t>
        </w:r>
      </w:smartTag>
      <w:r w:rsidRPr="006312E8">
        <w:rPr>
          <w:rFonts w:ascii="Arial" w:eastAsia="Calibri" w:hAnsi="Arial" w:cs="Arial"/>
        </w:rPr>
        <w:t xml:space="preserve"> lineales correspondiente a la playa.</w:t>
      </w:r>
    </w:p>
    <w:p w:rsidR="006312E8" w:rsidRPr="006312E8" w:rsidRDefault="006312E8" w:rsidP="006312E8">
      <w:pPr>
        <w:spacing w:after="0" w:line="240" w:lineRule="auto"/>
        <w:ind w:left="426"/>
        <w:jc w:val="both"/>
        <w:rPr>
          <w:rFonts w:ascii="Arial" w:eastAsia="Calibri" w:hAnsi="Arial" w:cs="Arial"/>
        </w:rPr>
      </w:pPr>
    </w:p>
    <w:p w:rsidR="006312E8" w:rsidRPr="006312E8" w:rsidRDefault="006312E8" w:rsidP="00241D1D">
      <w:pPr>
        <w:numPr>
          <w:ilvl w:val="1"/>
          <w:numId w:val="67"/>
        </w:numPr>
        <w:spacing w:after="0" w:line="240" w:lineRule="auto"/>
        <w:ind w:left="426"/>
        <w:jc w:val="both"/>
        <w:rPr>
          <w:rFonts w:ascii="Arial" w:eastAsia="Calibri" w:hAnsi="Arial" w:cs="Arial"/>
        </w:rPr>
      </w:pPr>
      <w:r w:rsidRPr="006312E8">
        <w:rPr>
          <w:rFonts w:ascii="Arial" w:eastAsia="Calibri" w:hAnsi="Arial" w:cs="Arial"/>
        </w:rPr>
        <w:t>Si el predio a habilitar no fuera colindante con una vía pública existente, el habilitador, por lo menos, deberá considerar como vía de acceso libre a las playas, la misma vía que será utilizada por los futuros propietarios y residentes de la habilitación urbana a desarrollarse. A partir del punto en que la vía de acceso ingresa al predio a habilitarse podrá considerarse la bifurcación de la misma a efectos que una de ellas sea considerada como vía de acceso privado para los propietarios y residentes de la habilitación proyectada y otra como la vía de acceso libre a la playa.</w:t>
      </w:r>
    </w:p>
    <w:p w:rsidR="006312E8" w:rsidRPr="006312E8" w:rsidRDefault="006312E8" w:rsidP="006312E8">
      <w:pPr>
        <w:spacing w:after="0" w:line="240" w:lineRule="auto"/>
        <w:ind w:left="426"/>
        <w:jc w:val="both"/>
        <w:rPr>
          <w:rFonts w:ascii="Arial" w:eastAsia="Calibri" w:hAnsi="Arial" w:cs="Arial"/>
        </w:rPr>
      </w:pPr>
    </w:p>
    <w:p w:rsidR="006312E8" w:rsidRPr="006312E8" w:rsidRDefault="006312E8" w:rsidP="00241D1D">
      <w:pPr>
        <w:numPr>
          <w:ilvl w:val="1"/>
          <w:numId w:val="67"/>
        </w:numPr>
        <w:spacing w:after="0" w:line="240" w:lineRule="auto"/>
        <w:ind w:left="426"/>
        <w:jc w:val="both"/>
        <w:rPr>
          <w:rFonts w:ascii="Arial" w:eastAsia="Calibri" w:hAnsi="Arial" w:cs="Arial"/>
        </w:rPr>
      </w:pPr>
      <w:r w:rsidRPr="006312E8">
        <w:rPr>
          <w:rFonts w:ascii="Arial" w:eastAsia="Calibri" w:hAnsi="Arial" w:cs="Arial"/>
        </w:rPr>
        <w:t>En todos los casos, la vía de acceso libre a la playa deberá ser trazada considerando las previsiones que sobre el particular pudieran contener los planes de desarrollo urbano correspondientes al lugar y, en su defecto, la menor distancia que pudiera existir entre la vía pública existente y la playa.</w:t>
      </w:r>
    </w:p>
    <w:p w:rsidR="006312E8" w:rsidRPr="006312E8" w:rsidRDefault="006312E8" w:rsidP="006312E8">
      <w:pPr>
        <w:spacing w:after="0" w:line="240" w:lineRule="auto"/>
        <w:ind w:left="426"/>
        <w:jc w:val="both"/>
        <w:rPr>
          <w:rFonts w:ascii="Arial" w:eastAsia="Calibri" w:hAnsi="Arial" w:cs="Arial"/>
        </w:rPr>
      </w:pPr>
    </w:p>
    <w:p w:rsidR="006312E8" w:rsidRPr="006312E8" w:rsidRDefault="006312E8" w:rsidP="00241D1D">
      <w:pPr>
        <w:numPr>
          <w:ilvl w:val="1"/>
          <w:numId w:val="67"/>
        </w:numPr>
        <w:spacing w:after="0" w:line="240" w:lineRule="auto"/>
        <w:ind w:left="426"/>
        <w:jc w:val="both"/>
        <w:rPr>
          <w:rFonts w:ascii="Arial" w:eastAsia="Calibri" w:hAnsi="Arial" w:cs="Arial"/>
        </w:rPr>
      </w:pPr>
      <w:r w:rsidRPr="006312E8">
        <w:rPr>
          <w:rFonts w:ascii="Arial" w:eastAsia="Calibri" w:hAnsi="Arial" w:cs="Arial"/>
        </w:rPr>
        <w:t xml:space="preserve">En los casos en que el predio a habilitarse no comprenda la totalidad del terreno que se extiende desde la línea posterior de la franja de hasta </w:t>
      </w:r>
      <w:smartTag w:uri="urn:schemas-microsoft-com:office:smarttags" w:element="metricconverter">
        <w:smartTagPr>
          <w:attr w:name="ProductID" w:val="50 metros"/>
        </w:smartTagPr>
        <w:r w:rsidRPr="006312E8">
          <w:rPr>
            <w:rFonts w:ascii="Arial" w:eastAsia="Calibri" w:hAnsi="Arial" w:cs="Arial"/>
          </w:rPr>
          <w:t>50 metros</w:t>
        </w:r>
      </w:smartTag>
      <w:r w:rsidRPr="006312E8">
        <w:rPr>
          <w:rFonts w:ascii="Arial" w:eastAsia="Calibri" w:hAnsi="Arial" w:cs="Arial"/>
        </w:rPr>
        <w:t xml:space="preserve"> que corresponde a la playa y la vía pública existente más cercana, si el habilitador ofrece implementar dicha vía por un lugar distinto al señalado en el inciso c) del presente artículo, deberá acreditar que las áreas privadas ocupadas por las vías de acceso proyectada fuera del ámbito correspondiente al predio a habilitarse, son de su propiedad o que, por lo menos, ha adquirido sobre las mismas un derecho de servidumbre que otorgue a perpetuidad, la posibilidad de usar los mismos como vía de acceso libre e ininterrumpido.</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 xml:space="preserve">Artículo 21.- Lineamientos para la constitución de vías de acceso en terrenos ribereños o balnearios que tienen más de </w:t>
      </w:r>
      <w:smartTag w:uri="urn:schemas-microsoft-com:office:smarttags" w:element="metricconverter">
        <w:smartTagPr>
          <w:attr w:name="ProductID" w:val="1,000 metros"/>
        </w:smartTagPr>
        <w:r w:rsidRPr="006312E8">
          <w:rPr>
            <w:rFonts w:ascii="Arial" w:eastAsia="Calibri" w:hAnsi="Arial" w:cs="Arial"/>
            <w:b/>
          </w:rPr>
          <w:t>1,000 metros</w:t>
        </w:r>
      </w:smartTag>
      <w:r w:rsidRPr="006312E8">
        <w:rPr>
          <w:rFonts w:ascii="Arial" w:eastAsia="Calibri" w:hAnsi="Arial" w:cs="Arial"/>
          <w:b/>
        </w:rPr>
        <w:t xml:space="preserve"> de frente al mar</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 xml:space="preserve">En las habilitaciones que se proyecten sobre los terrenos referidos en los incisos b) y c) del artículo 19 del presente Reglamento y que tengan más de </w:t>
      </w:r>
      <w:smartTag w:uri="urn:schemas-microsoft-com:office:smarttags" w:element="metricconverter">
        <w:smartTagPr>
          <w:attr w:name="ProductID" w:val="1,000 metros"/>
        </w:smartTagPr>
        <w:r w:rsidRPr="006312E8">
          <w:rPr>
            <w:rFonts w:ascii="Arial" w:eastAsia="Calibri" w:hAnsi="Arial" w:cs="Arial"/>
          </w:rPr>
          <w:t>1,000 metros</w:t>
        </w:r>
      </w:smartTag>
      <w:r w:rsidRPr="006312E8">
        <w:rPr>
          <w:rFonts w:ascii="Arial" w:eastAsia="Calibri" w:hAnsi="Arial" w:cs="Arial"/>
        </w:rPr>
        <w:t xml:space="preserve"> de frente con respecto al mar, la constitución de vías de acceso se sujetará a las siguientes disposiciones:</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241D1D">
      <w:pPr>
        <w:numPr>
          <w:ilvl w:val="2"/>
          <w:numId w:val="66"/>
        </w:numPr>
        <w:tabs>
          <w:tab w:val="left" w:pos="426"/>
        </w:tabs>
        <w:spacing w:after="0" w:line="240" w:lineRule="auto"/>
        <w:ind w:left="426"/>
        <w:jc w:val="both"/>
        <w:rPr>
          <w:rFonts w:ascii="Arial" w:eastAsia="Calibri" w:hAnsi="Arial" w:cs="Arial"/>
        </w:rPr>
      </w:pPr>
      <w:r w:rsidRPr="006312E8">
        <w:rPr>
          <w:rFonts w:ascii="Arial" w:eastAsia="Calibri" w:hAnsi="Arial" w:cs="Arial"/>
        </w:rPr>
        <w:t>Serán ejecutadas únicamente dentro del predio sobre el cual se desarrollará la habilitación.</w:t>
      </w:r>
    </w:p>
    <w:p w:rsidR="006312E8" w:rsidRPr="006312E8" w:rsidRDefault="006312E8" w:rsidP="006312E8">
      <w:pPr>
        <w:tabs>
          <w:tab w:val="left" w:pos="426"/>
        </w:tabs>
        <w:spacing w:after="0" w:line="240" w:lineRule="auto"/>
        <w:ind w:left="426"/>
        <w:jc w:val="both"/>
        <w:rPr>
          <w:rFonts w:ascii="Arial" w:eastAsia="Calibri" w:hAnsi="Arial" w:cs="Arial"/>
        </w:rPr>
      </w:pPr>
    </w:p>
    <w:p w:rsidR="006312E8" w:rsidRPr="006312E8" w:rsidRDefault="006312E8" w:rsidP="00241D1D">
      <w:pPr>
        <w:numPr>
          <w:ilvl w:val="2"/>
          <w:numId w:val="66"/>
        </w:numPr>
        <w:tabs>
          <w:tab w:val="left" w:pos="426"/>
        </w:tabs>
        <w:spacing w:after="0" w:line="240" w:lineRule="auto"/>
        <w:ind w:left="426"/>
        <w:jc w:val="both"/>
        <w:rPr>
          <w:rFonts w:ascii="Arial" w:eastAsia="Calibri" w:hAnsi="Arial" w:cs="Arial"/>
        </w:rPr>
      </w:pPr>
      <w:r w:rsidRPr="006312E8">
        <w:rPr>
          <w:rFonts w:ascii="Arial" w:eastAsia="Calibri" w:hAnsi="Arial" w:cs="Arial"/>
        </w:rPr>
        <w:t>Deberán permitir el tránsito vehicular en doble sentido, así como el desplazamiento peatonal.</w:t>
      </w:r>
    </w:p>
    <w:p w:rsidR="006312E8" w:rsidRPr="006312E8" w:rsidRDefault="006312E8" w:rsidP="006312E8">
      <w:pPr>
        <w:tabs>
          <w:tab w:val="left" w:pos="426"/>
        </w:tabs>
        <w:spacing w:after="0" w:line="240" w:lineRule="auto"/>
        <w:ind w:left="426"/>
        <w:jc w:val="both"/>
        <w:rPr>
          <w:rFonts w:ascii="Arial" w:eastAsia="Calibri" w:hAnsi="Arial" w:cs="Arial"/>
        </w:rPr>
      </w:pPr>
    </w:p>
    <w:p w:rsidR="006312E8" w:rsidRPr="006312E8" w:rsidRDefault="006312E8" w:rsidP="00241D1D">
      <w:pPr>
        <w:numPr>
          <w:ilvl w:val="2"/>
          <w:numId w:val="66"/>
        </w:numPr>
        <w:tabs>
          <w:tab w:val="left" w:pos="426"/>
        </w:tabs>
        <w:spacing w:after="0" w:line="240" w:lineRule="auto"/>
        <w:ind w:left="426"/>
        <w:jc w:val="both"/>
        <w:rPr>
          <w:rFonts w:ascii="Arial" w:eastAsia="Calibri" w:hAnsi="Arial" w:cs="Arial"/>
        </w:rPr>
      </w:pPr>
      <w:r w:rsidRPr="006312E8">
        <w:rPr>
          <w:rFonts w:ascii="Arial" w:eastAsia="Calibri" w:hAnsi="Arial" w:cs="Arial"/>
        </w:rPr>
        <w:t>Deberán interconectarse o proyectarse con relación a las vías públicas o las vías de acceso correspondientes a la habilitación más próxima con dirección al mar observándose, en su caso, las previsiones que contengan los planes de desarrollo urbano del lugar.</w:t>
      </w:r>
    </w:p>
    <w:p w:rsidR="006312E8" w:rsidRPr="006312E8" w:rsidRDefault="006312E8" w:rsidP="006312E8">
      <w:pPr>
        <w:tabs>
          <w:tab w:val="left" w:pos="426"/>
        </w:tabs>
        <w:spacing w:after="0" w:line="240" w:lineRule="auto"/>
        <w:ind w:left="426"/>
        <w:jc w:val="both"/>
        <w:rPr>
          <w:rFonts w:ascii="Arial" w:eastAsia="Calibri" w:hAnsi="Arial" w:cs="Arial"/>
        </w:rPr>
      </w:pPr>
    </w:p>
    <w:p w:rsidR="006312E8" w:rsidRPr="006312E8" w:rsidRDefault="006312E8" w:rsidP="00241D1D">
      <w:pPr>
        <w:numPr>
          <w:ilvl w:val="2"/>
          <w:numId w:val="66"/>
        </w:numPr>
        <w:tabs>
          <w:tab w:val="left" w:pos="426"/>
        </w:tabs>
        <w:spacing w:after="0" w:line="240" w:lineRule="auto"/>
        <w:ind w:left="426"/>
        <w:jc w:val="both"/>
        <w:rPr>
          <w:rFonts w:ascii="Arial" w:eastAsia="Calibri" w:hAnsi="Arial" w:cs="Arial"/>
        </w:rPr>
      </w:pPr>
      <w:r w:rsidRPr="006312E8">
        <w:rPr>
          <w:rFonts w:ascii="Arial" w:eastAsia="Calibri" w:hAnsi="Arial" w:cs="Arial"/>
        </w:rPr>
        <w:t>Por el lindero de la habilitación opuesto al mar, la vía de acceso deberá interconectarse por lo menos con una vía pública, la cual deberá estar intercomunicada con el núcleo urbano del que formará parte, observándose, en su caso, las previsiones que contengan los planes de desarrollo urbano del lugar.</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 xml:space="preserve">Artículo 22.- Lineamientos para la constitución de vías de acceso en terrenos con menos de </w:t>
      </w:r>
      <w:smartTag w:uri="urn:schemas-microsoft-com:office:smarttags" w:element="metricconverter">
        <w:smartTagPr>
          <w:attr w:name="ProductID" w:val="1,000 metros"/>
        </w:smartTagPr>
        <w:r w:rsidRPr="006312E8">
          <w:rPr>
            <w:rFonts w:ascii="Arial" w:eastAsia="Calibri" w:hAnsi="Arial" w:cs="Arial"/>
            <w:b/>
          </w:rPr>
          <w:t>1,000 metros</w:t>
        </w:r>
      </w:smartTag>
      <w:r w:rsidRPr="006312E8">
        <w:rPr>
          <w:rFonts w:ascii="Arial" w:eastAsia="Calibri" w:hAnsi="Arial" w:cs="Arial"/>
          <w:b/>
        </w:rPr>
        <w:t xml:space="preserve"> de frente al mar colindantes, ribereños o de balnearios</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 xml:space="preserve">En las habilitaciones que se proyecten sobre los terrenos descritos en el inciso a) del artículo 19 del presente Reglamento, que tengan menos de </w:t>
      </w:r>
      <w:smartTag w:uri="urn:schemas-microsoft-com:office:smarttags" w:element="metricconverter">
        <w:smartTagPr>
          <w:attr w:name="ProductID" w:val="1,000 metros"/>
        </w:smartTagPr>
        <w:r w:rsidRPr="006312E8">
          <w:rPr>
            <w:rFonts w:ascii="Arial" w:eastAsia="Calibri" w:hAnsi="Arial" w:cs="Arial"/>
          </w:rPr>
          <w:t>1,000 metros</w:t>
        </w:r>
      </w:smartTag>
      <w:r w:rsidRPr="006312E8">
        <w:rPr>
          <w:rFonts w:ascii="Arial" w:eastAsia="Calibri" w:hAnsi="Arial" w:cs="Arial"/>
        </w:rPr>
        <w:t xml:space="preserve"> de frente al mar y que, a su vez, colinden por sus costados con habilitaciones anteriores, las vías de acceso deberán proyectarse en lo que respecta al predio a habilitarse, sobre los extremos colindantes con las otras habilitaciones, observándose las disposiciones establecidas en el artículo anterior.</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Si por uno de sus extremos la habilitación proyectada colindara con una habilitación anterior en la que exista una vía de acceso libre a la playa en el extremo por el que ambas colindan, la nueva habilitación no estará obligada a establecer un acceso por dicho extremo.</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La exoneración prevista en el párrafo anterior será igualmente aplicable en el caso que por alguno de sus extremos el predio a habilitarse colindara con caminos públicos que no formen parte de una habilitación anterior pero que permitan el libre acceso a la playa.</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Para el caso de las habilitaciones que se proyecten sobre los terrenos descritos en los incisos b) y c) del artículo 19 del presente Reglamento, serán de aplicación las disposiciones contenidas en el segundo y tercer párrafos de este artículo, así como las contenidas en los artículos 20 y 21 del presente Reglamento.</w:t>
      </w:r>
    </w:p>
    <w:p w:rsidR="006312E8" w:rsidRDefault="006312E8" w:rsidP="006312E8">
      <w:pPr>
        <w:spacing w:after="0" w:line="240" w:lineRule="auto"/>
        <w:jc w:val="both"/>
        <w:rPr>
          <w:rFonts w:ascii="Arial" w:eastAsia="Calibri" w:hAnsi="Arial" w:cs="Arial"/>
        </w:rPr>
      </w:pPr>
    </w:p>
    <w:p w:rsidR="00246CE9" w:rsidRPr="006312E8" w:rsidRDefault="00246CE9"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 xml:space="preserve">Artículo 23.- Constitución de accesos en terrenos de menos de </w:t>
      </w:r>
      <w:smartTag w:uri="urn:schemas-microsoft-com:office:smarttags" w:element="metricconverter">
        <w:smartTagPr>
          <w:attr w:name="ProductID" w:val="1,000 metros"/>
        </w:smartTagPr>
        <w:r w:rsidRPr="006312E8">
          <w:rPr>
            <w:rFonts w:ascii="Arial" w:eastAsia="Calibri" w:hAnsi="Arial" w:cs="Arial"/>
            <w:b/>
          </w:rPr>
          <w:t>1,000 metros</w:t>
        </w:r>
      </w:smartTag>
      <w:r w:rsidRPr="006312E8">
        <w:rPr>
          <w:rFonts w:ascii="Arial" w:eastAsia="Calibri" w:hAnsi="Arial" w:cs="Arial"/>
          <w:b/>
        </w:rPr>
        <w:t xml:space="preserve"> de frente al mar que presenten accidentes geográficos.</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 xml:space="preserve">En caso que una habilitación urbana haya sido proyectada sobre un terreno de menos de </w:t>
      </w:r>
      <w:smartTag w:uri="urn:schemas-microsoft-com:office:smarttags" w:element="metricconverter">
        <w:smartTagPr>
          <w:attr w:name="ProductID" w:val="1,000 metros"/>
        </w:smartTagPr>
        <w:r w:rsidRPr="006312E8">
          <w:rPr>
            <w:rFonts w:ascii="Arial" w:eastAsia="Calibri" w:hAnsi="Arial" w:cs="Arial"/>
          </w:rPr>
          <w:t>1,000 metros</w:t>
        </w:r>
      </w:smartTag>
      <w:r w:rsidRPr="006312E8">
        <w:rPr>
          <w:rFonts w:ascii="Arial" w:eastAsia="Calibri" w:hAnsi="Arial" w:cs="Arial"/>
        </w:rPr>
        <w:t xml:space="preserve"> de frente al mar, en el que existan accidentes geográficos que impidan ejecutar en ambos extremos las vías de acceso, para efectos de la aplicación del último párrafo del artículo 4 de la Ley, el habilitador propondrá la ubicación de la vía de acceso libre a la playa y la Municipalidad Distrital respectiva determinará el lugar más apropiado para la constitución de la vía de acceso, aplicándose el artículo 20 ó 21 del presente Reglamento, según corresponda.</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Artículo 24.- Constitución de accesos peatonales en terrenos habilitados sobre acantilados.</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En las habilitaciones que se proyecten respecto de terrenos que se extiendan sobre la cima de un acantilado o barranco con frente al mar que cuenten con playa natural y se haya proyectado un acceso peatonal a dicha playa, sin perjuicio de lo dispuesto en cada caso por los artículos anteriores, se deberá considerar la habilitación de un acceso peatonal público que permita el ingreso a la playa desde el límite que forma la cima del acantilado o barranco. Dicho ingreso deberá tener un ancho suficiente que permita el tránsito de por lo menos dos personas.</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Artículo 25.- Constitución de accesos en terrenos desafectados</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Las vías de acceso en habilitaciones proyectadas sobre terrenos que conforme a las disposiciones contenidas en el Capítulo III del presente Reglamento hayan sido desafectados, deberán habilitarse de conformidad con los lineamientos establecidos en el artículo 4 de la Ley y en los artículos 19 al 23 del presente Reglamento, según corresponda.</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Artículo 26.- Referencia a las vías de acceso en la Resolución Municipal que aprueba la habilitación urbana y anotación registral de la carga legal</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La resolución municipal que aprueba la habilitación urbana sobre los terrenos descritos en los artículos anteriores de este Capítulo, deberá indicar de manera expresa los lugares ocupados por las vías de acceso a la playa. Asimismo, se deberá expresar la causal por la cual se exonera al habilitador de la obligación de constituir alguna de las vías de acceso correspondientes.</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En caso la resolución municipal a que se refiere el párrafo anterior se expida sin contemplar la indicación expresa de las áreas del terreno que serán destinadas a vías de acceso a la playa o sin establecer la correspondiente exoneración, el registrador, al inscribir la misma, dejará expresa constancia de dicha circunstancia y, por consiguiente, extenderá tanto en la partida matriz como en las partidas independizadas, el asiento correspondiente a la existencia de una carga legal.</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El incumplimiento, por parte del Registrador del deber contemplado en el párrafo anterior no afecta a la vigencia y oponibilidad de la carga contemplada en el artículo 6 de la Ley en atención al carácter legal de la misma, pero aquél quedará sujeto a la responsabilidad administrativa, civil y penal que corresponda.</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Sólo mediante resolución municipal que modifica la resolución aprobatoria de la habilitación urbana se podrá dejar constancia de las áreas en las que se ubicarán las vías de acceso a la playa o de la respectiva exoneración. El Registrador extenderá el asiento modificatorio correspondiente en la partida del predio matriz y levantará la carga en las partidas independizadas de los lotes que conforman la habilitación.</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Si el habilitador solicitara la inscripción de la resolución municipal de recepción de obras de la habilitación sin antes haber presentado para la inscripción la resolución de aprobación de la habilitación y aquella no contemplara, de manera suficiente, los datos que permitan establecer la ubicación de las vías de acceso o la existencia de la respectiva exoneración, el registrador podrá solicitar, para efectos de la calificación e inscripción de la recepción de obras, la presentación de la resolución de aprobación de la habilitación y el plano correspondiente. Presentados estos documentos, el Registrador procederá conforme a lo establecido en los párrafos anteriores de este artículo.</w:t>
      </w:r>
    </w:p>
    <w:p w:rsidR="006312E8" w:rsidRDefault="006312E8" w:rsidP="006312E8">
      <w:pPr>
        <w:spacing w:after="0" w:line="240" w:lineRule="auto"/>
        <w:jc w:val="both"/>
        <w:rPr>
          <w:rFonts w:ascii="Arial" w:eastAsia="Calibri" w:hAnsi="Arial" w:cs="Arial"/>
        </w:rPr>
      </w:pPr>
    </w:p>
    <w:p w:rsidR="00246CE9" w:rsidRDefault="00246CE9" w:rsidP="006312E8">
      <w:pPr>
        <w:spacing w:after="0" w:line="240" w:lineRule="auto"/>
        <w:jc w:val="both"/>
        <w:rPr>
          <w:rFonts w:ascii="Arial" w:eastAsia="Calibri" w:hAnsi="Arial" w:cs="Arial"/>
        </w:rPr>
      </w:pPr>
    </w:p>
    <w:p w:rsidR="00246CE9" w:rsidRPr="006312E8" w:rsidRDefault="00246CE9"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Artículo 27.- Señalización de las vías de acceso</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Concluidas las obras de habilitación urbana a que se refiere el presente Capítulo, y con el fin de diferenciar los accesos públicos de los privados, la Municipalidad Distrital a cuya jurisdicción pertenezca el área habilitada o la Provincial, cuando corresponda, deberá señalizar, en forma adecuada, las vías que constituyen los accesos públicos a la zona de playa protegida.</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Las Municipalidades Distritales y, en su caso, las Provinciales, tendrán la obligación de garantizar a la población el ingreso y uso libre de las zonas de playa que pertenezcan a su respectiva jurisdicción.</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Artículo 28.- Apertura de accesos por parte de la Municipalidad en caso de incumplimiento</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En los casos en que se hubiera incumplido con lo dispuesto en el artículo 5 de la Ley, la Municipalidad respectiva bajo responsabilidad, conforme al artículo 7 de la Ley, debe abrir las vías de acceso correspondientes y si las obras de habilitación aún no hubieran concluido, podrá ordenar la paralización de las mismas.</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La ejecución de los accesos en las habilitaciones a que se refiere el párrafo anterior, deberá efectuarse de conformidad con lo dispuesto por el artículo 4 de la Ley y las disposiciones que a continuación se indican:</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241D1D">
      <w:pPr>
        <w:numPr>
          <w:ilvl w:val="2"/>
          <w:numId w:val="65"/>
        </w:numPr>
        <w:spacing w:after="0" w:line="240" w:lineRule="auto"/>
        <w:ind w:left="426"/>
        <w:jc w:val="both"/>
        <w:rPr>
          <w:rFonts w:ascii="Arial" w:eastAsia="Calibri" w:hAnsi="Arial" w:cs="Arial"/>
        </w:rPr>
      </w:pPr>
      <w:r w:rsidRPr="006312E8">
        <w:rPr>
          <w:rFonts w:ascii="Arial" w:eastAsia="Calibri" w:hAnsi="Arial" w:cs="Arial"/>
        </w:rPr>
        <w:t>Como regla general y siempre que sea posible se deberán observar los lineamientos establecidos en los artículos 19 al 24 del presente Reglamento, según corresponda.</w:t>
      </w:r>
    </w:p>
    <w:p w:rsidR="006312E8" w:rsidRPr="006312E8" w:rsidRDefault="006312E8" w:rsidP="006312E8">
      <w:pPr>
        <w:spacing w:after="0" w:line="240" w:lineRule="auto"/>
        <w:ind w:left="426"/>
        <w:jc w:val="both"/>
        <w:rPr>
          <w:rFonts w:ascii="Arial" w:eastAsia="Calibri" w:hAnsi="Arial" w:cs="Arial"/>
        </w:rPr>
      </w:pPr>
    </w:p>
    <w:p w:rsidR="006312E8" w:rsidRPr="006312E8" w:rsidRDefault="006312E8" w:rsidP="00241D1D">
      <w:pPr>
        <w:numPr>
          <w:ilvl w:val="2"/>
          <w:numId w:val="65"/>
        </w:numPr>
        <w:spacing w:after="0" w:line="240" w:lineRule="auto"/>
        <w:ind w:left="426"/>
        <w:jc w:val="both"/>
        <w:rPr>
          <w:rFonts w:ascii="Arial" w:eastAsia="Calibri" w:hAnsi="Arial" w:cs="Arial"/>
        </w:rPr>
      </w:pPr>
      <w:r w:rsidRPr="006312E8">
        <w:rPr>
          <w:rFonts w:ascii="Arial" w:eastAsia="Calibri" w:hAnsi="Arial" w:cs="Arial"/>
        </w:rPr>
        <w:t>Cuando conforme al avance de las obras de habilitación o de edificación no sea posible abrir vías de acceso conforme a lo establecido por el inciso anterior, la Municipalidad correspondiente deberá trazarlas procurando que la apertura de tales vías dentro del predio materia de la habilitación, tengan lugar por la parte que resulte más cercana a la vía pública con la que ellas se van a conectar.</w:t>
      </w:r>
    </w:p>
    <w:p w:rsidR="006312E8" w:rsidRPr="006312E8" w:rsidRDefault="006312E8" w:rsidP="006312E8">
      <w:pPr>
        <w:spacing w:after="0" w:line="240" w:lineRule="auto"/>
        <w:ind w:left="426"/>
        <w:jc w:val="both"/>
        <w:rPr>
          <w:rFonts w:ascii="Arial" w:eastAsia="Calibri" w:hAnsi="Arial" w:cs="Arial"/>
        </w:rPr>
      </w:pPr>
    </w:p>
    <w:p w:rsidR="006312E8" w:rsidRPr="006312E8" w:rsidRDefault="006312E8" w:rsidP="00241D1D">
      <w:pPr>
        <w:numPr>
          <w:ilvl w:val="2"/>
          <w:numId w:val="65"/>
        </w:numPr>
        <w:spacing w:after="0" w:line="240" w:lineRule="auto"/>
        <w:ind w:left="426"/>
        <w:jc w:val="both"/>
        <w:rPr>
          <w:rFonts w:ascii="Arial" w:eastAsia="Calibri" w:hAnsi="Arial" w:cs="Arial"/>
        </w:rPr>
      </w:pPr>
      <w:r w:rsidRPr="006312E8">
        <w:rPr>
          <w:rFonts w:ascii="Arial" w:eastAsia="Calibri" w:hAnsi="Arial" w:cs="Arial"/>
        </w:rPr>
        <w:t>Si debido al avance de las obras no fuera posible aplicar lo establecido en el inciso anterior, se deberá procurar afectar el menor número de unidades inmobiliarias de propiedad exclusiva, prefiriéndose las zonas en las que las edificaciones tengan el menor avance de obra.</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Artículo 29.- Procedimiento de denuncia.</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Cualquier persona, natural o jurídica, podrá interponer ante la Municipalidad Distrital o, en su caso, Provincial, a cuya jurisdicción pertenezca la zona de playa protegida, denuncia por la contravención de lo establecido en la Ley y en el presente Capítulo respecto de las vías de acceso a las playas, tanto en los casos en que se hubiere omitido considerar en los proyectos la ejecución de dichas vías como cuando se hubiere incumplido con lo que resulte del proyecto aprobado. Para la tramitación de dichas denuncias serán las Municipalidades Provinciales o Distritales las encargadas de regular dicho procedimiento.</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Previa comprobación del hecho denunciado, la municipalidad deberá ordenar la paralización de las obras, si ello aún fuera factible y, en todo caso, aplicar lo dispuesto en el artículo anterior, bajo responsabilidad.</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center"/>
        <w:rPr>
          <w:rFonts w:ascii="Arial" w:eastAsia="Calibri" w:hAnsi="Arial" w:cs="Arial"/>
          <w:b/>
        </w:rPr>
      </w:pPr>
      <w:r w:rsidRPr="006312E8">
        <w:rPr>
          <w:rFonts w:ascii="Arial" w:eastAsia="Calibri" w:hAnsi="Arial" w:cs="Arial"/>
          <w:b/>
        </w:rPr>
        <w:t>CAPÍTULO V</w:t>
      </w:r>
    </w:p>
    <w:p w:rsidR="006312E8" w:rsidRPr="006312E8" w:rsidRDefault="006312E8" w:rsidP="006312E8">
      <w:pPr>
        <w:spacing w:after="0" w:line="240" w:lineRule="auto"/>
        <w:jc w:val="center"/>
        <w:rPr>
          <w:rFonts w:ascii="Arial" w:eastAsia="Calibri" w:hAnsi="Arial" w:cs="Arial"/>
          <w:b/>
        </w:rPr>
      </w:pPr>
      <w:r w:rsidRPr="006312E8">
        <w:rPr>
          <w:rFonts w:ascii="Arial" w:eastAsia="Calibri" w:hAnsi="Arial" w:cs="Arial"/>
          <w:b/>
        </w:rPr>
        <w:t>DE LA CONSTITUCIÓN DE SERVIDUMBRES DE PASO</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Artículo 30.- Ámbito de aplicación</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Las disposiciones contempladas en el presente Capítulo son aplicables para aquellas habilitaciones desarrolladas sobre los terrenos descritos en el artículo 19 del presente Reglamento que, a la fecha de entrada en vigencia de la Ley, se encontraban recibidas sin contar con los accesos que permitan el libre ingreso a la playa en los términos establecidos por las disposiciones legales entonces vigentes, para efectos de la constitución de la servidumbre legal de paso a que se refieren los artículos 10, 11 y 12 de la Ley.</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Las disposiciones del presente Capítulo se hacen extensivas a todas aquellas habilitaciones que, a la fecha de entrada en vigencia de la Ley, se encontraban ejecutadas con aprobación de proyectos y autorización de ejecución de obras, así como a las lotizaciones informales desarrolladas sobre predios de propiedad privada. En este último caso, las disposiciones del presente Capítulo resultan aplicables aún cuando los propietarios no hayan iniciado el trámite de regularización o no se haya seguido respecto de las mismas algún procedimiento de saneamiento físico - legal.</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Para determinar si una habilitación se encontraba ejecutada a la fecha de entrada en vigencia de la Ley se tomarán en cuenta los criterios que fueron establecidos por la Resolución Ministerial Nº 179-99-MTC/15.04 de fecha 29 de abril de 1999.</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Artículo 31.- Iniciativa de los propietarios para la constitución de las servidumbres de paso</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Las propuestas de los lugares por los que habrán de constituirse las servidumbres de paso que hubieran sido formuladas, mientras estuvo vigente el artículo 14 de la Ley, por las organizaciones representativas de los propietarios de los inmuebles ubicados en las habilitaciones mencionadas en el artículo anterior, que a la fecha no hubieran sido aún resueltas por la Municipalidad a cuya jurisdicción pertenezca la habilitación, deberán ser evaluadas y aprobadas con sujeción a las disposiciones contenidas en el artículo 4 de Ley y en el presente Reglamento.</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Artículo 32.- Criterios para la constitución de las servidumbres de paso</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Las servidumbres de paso, deberán proyectarse y ejecutarse en función a las vías públicas existentes en la habilitación, observando los lineamientos establecidos en el artículo 28 del presente Reglamento.</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La constitución de las servidumbres de paso debe resultar lo menos gravosa para los propietarios que se vean inmediatamente afectados por su constitución por lo que, de existir dos o más alternativas técnicas viables, la Municipalidad deberá preferir aquélla que haya sido propuesta por los interesados.</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Artículo 33.- Inspección ocular y dictamen Municipal</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Sea que los interesados hayan formulado o no la iniciativa a que se refiere el artículo 31 del presente Reglamento, la Municipalidad correspondiente, para determinar el lugar por el que se abrirá el acceso, deberá examinar técnicamente la ubicación más adecuada tomando en cuenta tanto la necesidad de habilitar un acceso idóneo y seguro, como el lograr una afectación lo menos gravosa a los propietarios existentes según las características y condiciones de la habilitación y las áreas circundantes a la misma.</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La resolución municipal que apruebe el proyecto para la constitución de la servidumbre de paso, deberá indicar de manera detallada los predios que resulten afectados por la misma, las partidas registrales en las que corren inscritos así como, también, su extensión superficial y longitudinal, con sus respectivos linderos y medidas perimétricas. El plano correspondiente deberá reunir las características técnicas establecidas por las normas registrales vigentes.</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Una vez establecida y ejecutada la servidumbre de paso, las municipalidades respectivas deberán cumplir con la obligación consignada en el artículo 27 del presente Reglamento.</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Artículo 34.- Procedimiento de denuncia</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Cualquier persona, natural o jurídica, podrá interponer ante la Municipalidad Distrital o, en su caso, Provincial, denuncia por la contravención de lo establecido en la Ley y en el presente Capítulo respecto a la constitución de servidumbre de paso. En ese caso, la Municipalidad bajo responsabilidad aplicará el procedimiento contemplado en el artículo anterior.</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Artículo 35.- Intangibilidad de las áreas de aporte reglamentario</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En ningún caso la servidumbre de paso a aprobarse, ya sea que corresponda a la propuesta formulada por los interesados o que deba ser dispuesta de oficio por la Municipalidad, podrá afectar áreas del predio matriz que constituyan aportes reglamentarios en favor de alguna entidad estatal.</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La ejecución de las obras estará a cargo de la Municipalidad correspondiente.</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Artículo 36.- De la inscripción registral de las servidumbres de paso</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La resolución municipal que apruebe la constitución de la servidumbre legal de paso deberá ser inscrita en la partida registral en que corra inscrita la habilitación o, en su caso, en la partida matriz del terreno en el que se ha desarrollado la lotización informal con derecho de propiedad inscrito. Asimismo, la antedicha resolución, cuando corresponda, deberá ser inscrita en las partidas registrales independizadas de cada uno de los predios que resulten afectados por la constitución de la servidumbre de paso.</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center"/>
        <w:rPr>
          <w:rFonts w:ascii="Arial" w:eastAsia="Calibri" w:hAnsi="Arial" w:cs="Arial"/>
          <w:b/>
        </w:rPr>
      </w:pPr>
      <w:r w:rsidRPr="006312E8">
        <w:rPr>
          <w:rFonts w:ascii="Arial" w:eastAsia="Calibri" w:hAnsi="Arial" w:cs="Arial"/>
          <w:b/>
        </w:rPr>
        <w:t>CAPÍTULO VI</w:t>
      </w:r>
    </w:p>
    <w:p w:rsidR="006312E8" w:rsidRPr="006312E8" w:rsidRDefault="006312E8" w:rsidP="006312E8">
      <w:pPr>
        <w:spacing w:after="0" w:line="240" w:lineRule="auto"/>
        <w:jc w:val="center"/>
        <w:rPr>
          <w:rFonts w:ascii="Arial" w:eastAsia="Calibri" w:hAnsi="Arial" w:cs="Arial"/>
          <w:b/>
        </w:rPr>
      </w:pPr>
      <w:r w:rsidRPr="006312E8">
        <w:rPr>
          <w:rFonts w:ascii="Arial" w:eastAsia="Calibri" w:hAnsi="Arial" w:cs="Arial"/>
          <w:b/>
        </w:rPr>
        <w:t>DE LAS PLAYAS GANADAS AL MAR</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Artículo 37.- De los requisitos para obtener la constancia</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Para efecto de lo dispuesto en el artículo 15 de la Ley, las personas o entidades públicas o privadas que hubieran efectuado la ampliación de la costa sobre terrenos ocupados por el mar con anterioridad a la entrada en vigencia de la Ley, solicitarán a la Dirección General de Capitanías y Guardacostas la expedición de la constancia a que se refiere el segundo párrafo de dicho artículo.</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Para este efecto, los interesados deberán cumplir con presentar la documentación e información siguiente:</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241D1D">
      <w:pPr>
        <w:numPr>
          <w:ilvl w:val="2"/>
          <w:numId w:val="64"/>
        </w:numPr>
        <w:spacing w:after="0" w:line="240" w:lineRule="auto"/>
        <w:ind w:left="426"/>
        <w:jc w:val="both"/>
        <w:rPr>
          <w:rFonts w:ascii="Arial" w:eastAsia="Calibri" w:hAnsi="Arial" w:cs="Arial"/>
        </w:rPr>
      </w:pPr>
      <w:r w:rsidRPr="006312E8">
        <w:rPr>
          <w:rFonts w:ascii="Arial" w:eastAsia="Calibri" w:hAnsi="Arial" w:cs="Arial"/>
        </w:rPr>
        <w:t xml:space="preserve">Memoria descriptiva y plana de ubicación y perimétrica en coordenadas U.T.M. en los que se establezca la extensión superficial y longitudinal del terreno que ha sido ganado al mar, con indicación de los nuevos límites de la franja de hasta </w:t>
      </w:r>
      <w:smartTag w:uri="urn:schemas-microsoft-com:office:smarttags" w:element="metricconverter">
        <w:smartTagPr>
          <w:attr w:name="ProductID" w:val="50 metros"/>
        </w:smartTagPr>
        <w:r w:rsidRPr="006312E8">
          <w:rPr>
            <w:rFonts w:ascii="Arial" w:eastAsia="Calibri" w:hAnsi="Arial" w:cs="Arial"/>
          </w:rPr>
          <w:t>50 metros</w:t>
        </w:r>
      </w:smartTag>
      <w:r w:rsidRPr="006312E8">
        <w:rPr>
          <w:rFonts w:ascii="Arial" w:eastAsia="Calibri" w:hAnsi="Arial" w:cs="Arial"/>
        </w:rPr>
        <w:t xml:space="preserve"> paralela a la línea de alta marea.</w:t>
      </w:r>
    </w:p>
    <w:p w:rsidR="006312E8" w:rsidRPr="006312E8" w:rsidRDefault="006312E8" w:rsidP="006312E8">
      <w:pPr>
        <w:spacing w:after="0" w:line="240" w:lineRule="auto"/>
        <w:ind w:left="426"/>
        <w:jc w:val="both"/>
        <w:rPr>
          <w:rFonts w:ascii="Arial" w:eastAsia="Calibri" w:hAnsi="Arial" w:cs="Arial"/>
        </w:rPr>
      </w:pPr>
    </w:p>
    <w:p w:rsidR="006312E8" w:rsidRPr="006312E8" w:rsidRDefault="006312E8" w:rsidP="00241D1D">
      <w:pPr>
        <w:numPr>
          <w:ilvl w:val="2"/>
          <w:numId w:val="64"/>
        </w:numPr>
        <w:spacing w:after="0" w:line="240" w:lineRule="auto"/>
        <w:ind w:left="426"/>
        <w:jc w:val="both"/>
        <w:rPr>
          <w:rFonts w:ascii="Arial" w:eastAsia="Calibri" w:hAnsi="Arial" w:cs="Arial"/>
        </w:rPr>
      </w:pPr>
      <w:r w:rsidRPr="006312E8">
        <w:rPr>
          <w:rFonts w:ascii="Arial" w:eastAsia="Calibri" w:hAnsi="Arial" w:cs="Arial"/>
        </w:rPr>
        <w:t>Descripción del procedimiento técnico que se empleó para la ampliación de la playa sobre terrenos ocupados por el mar, con la indicación de la fecha en que se iniciaron y concluyeron las obras efectuadas para la ampliación de la playa.</w:t>
      </w:r>
    </w:p>
    <w:p w:rsidR="006312E8" w:rsidRPr="006312E8" w:rsidRDefault="006312E8" w:rsidP="006312E8">
      <w:pPr>
        <w:spacing w:after="0" w:line="240" w:lineRule="auto"/>
        <w:ind w:left="426"/>
        <w:jc w:val="both"/>
        <w:rPr>
          <w:rFonts w:ascii="Arial" w:eastAsia="Calibri" w:hAnsi="Arial" w:cs="Arial"/>
        </w:rPr>
      </w:pPr>
    </w:p>
    <w:p w:rsidR="006312E8" w:rsidRPr="006312E8" w:rsidRDefault="006312E8" w:rsidP="006312E8">
      <w:pPr>
        <w:spacing w:after="0" w:line="240" w:lineRule="auto"/>
        <w:ind w:left="426"/>
        <w:jc w:val="both"/>
        <w:rPr>
          <w:rFonts w:ascii="Arial" w:eastAsia="Calibri" w:hAnsi="Arial" w:cs="Arial"/>
        </w:rPr>
      </w:pPr>
      <w:r w:rsidRPr="006312E8">
        <w:rPr>
          <w:rFonts w:ascii="Arial" w:eastAsia="Calibri" w:hAnsi="Arial" w:cs="Arial"/>
        </w:rPr>
        <w:t>Bajo responsabilidad de la autoridad competente, la constancia que se emita a favor de la persona o entidad solicitante deberá indicar, de manera expresa, que la ampliación de la costa sobre terrenos ocupados inicialmente por el mar se ha efectuado en observancia de la normatividad vigente a la fecha en que se produjo la misma. La constancia deberá emitirse en un plazo no mayor de treinta (30) días hábiles contados a partir de la fecha de presentación de la solicitud.</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DISPOSICIÓN FINAL</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Apruébase como Anexo del presente Reglamento el Formato que los interesados podrán reproducir para efectos de las denuncias a que se refieren los artículos 29 y 34 de este Reglamento.</w:t>
      </w:r>
    </w:p>
    <w:p w:rsidR="006312E8" w:rsidRPr="006312E8" w:rsidRDefault="006312E8" w:rsidP="006312E8">
      <w:pPr>
        <w:spacing w:after="0" w:line="240" w:lineRule="auto"/>
        <w:contextualSpacing/>
        <w:jc w:val="both"/>
        <w:rPr>
          <w:rFonts w:ascii="Arial" w:eastAsia="Calibri" w:hAnsi="Arial" w:cs="Arial"/>
          <w:lang w:val="es-ES"/>
        </w:rPr>
      </w:pPr>
    </w:p>
    <w:p w:rsidR="00246CE9" w:rsidRDefault="00246CE9" w:rsidP="00F47618">
      <w:pPr>
        <w:pStyle w:val="TITO2"/>
      </w:pPr>
      <w:bookmarkStart w:id="385" w:name="DS0102008"/>
      <w:bookmarkStart w:id="386" w:name="_Toc392856247"/>
      <w:bookmarkStart w:id="387" w:name="_Toc399335519"/>
      <w:bookmarkStart w:id="388" w:name="_Toc421025465"/>
    </w:p>
    <w:p w:rsidR="00246CE9" w:rsidRDefault="00246CE9" w:rsidP="00F47618">
      <w:pPr>
        <w:pStyle w:val="TITO2"/>
      </w:pPr>
    </w:p>
    <w:p w:rsidR="00246CE9" w:rsidRDefault="00246CE9" w:rsidP="00F47618">
      <w:pPr>
        <w:pStyle w:val="TITO2"/>
      </w:pPr>
    </w:p>
    <w:p w:rsidR="00246CE9" w:rsidRDefault="00246CE9" w:rsidP="00F47618">
      <w:pPr>
        <w:pStyle w:val="TITO2"/>
      </w:pPr>
    </w:p>
    <w:p w:rsidR="00246CE9" w:rsidRDefault="00246CE9" w:rsidP="00F47618">
      <w:pPr>
        <w:pStyle w:val="TITO2"/>
      </w:pPr>
    </w:p>
    <w:p w:rsidR="00246CE9" w:rsidRDefault="00246CE9" w:rsidP="00F47618">
      <w:pPr>
        <w:pStyle w:val="TITO2"/>
      </w:pPr>
    </w:p>
    <w:p w:rsidR="00246CE9" w:rsidRDefault="00246CE9" w:rsidP="00F47618">
      <w:pPr>
        <w:pStyle w:val="TITO2"/>
      </w:pPr>
    </w:p>
    <w:p w:rsidR="00246CE9" w:rsidRDefault="00246CE9" w:rsidP="00F47618">
      <w:pPr>
        <w:pStyle w:val="TITO2"/>
      </w:pPr>
    </w:p>
    <w:p w:rsidR="00246CE9" w:rsidRDefault="00246CE9" w:rsidP="00F47618">
      <w:pPr>
        <w:pStyle w:val="TITO2"/>
      </w:pPr>
    </w:p>
    <w:p w:rsidR="00246CE9" w:rsidRDefault="00246CE9" w:rsidP="00F47618">
      <w:pPr>
        <w:pStyle w:val="TITO2"/>
      </w:pPr>
    </w:p>
    <w:p w:rsidR="00246CE9" w:rsidRDefault="00246CE9" w:rsidP="00F47618">
      <w:pPr>
        <w:pStyle w:val="TITO2"/>
      </w:pPr>
    </w:p>
    <w:p w:rsidR="00246CE9" w:rsidRDefault="00246CE9" w:rsidP="00F47618">
      <w:pPr>
        <w:pStyle w:val="TITO2"/>
      </w:pPr>
    </w:p>
    <w:p w:rsidR="00246CE9" w:rsidRDefault="00246CE9" w:rsidP="00F47618">
      <w:pPr>
        <w:pStyle w:val="TITO2"/>
      </w:pPr>
    </w:p>
    <w:p w:rsidR="006312E8" w:rsidRPr="006312E8" w:rsidRDefault="006312E8" w:rsidP="00F47618">
      <w:pPr>
        <w:pStyle w:val="TITO2"/>
      </w:pPr>
      <w:bookmarkStart w:id="389" w:name="_Toc470855568"/>
      <w:r w:rsidRPr="006312E8">
        <w:t>DECRETO SUPREMO Nº 010-2008-VIVIENDA</w:t>
      </w:r>
      <w:bookmarkEnd w:id="385"/>
      <w:bookmarkEnd w:id="386"/>
      <w:bookmarkEnd w:id="387"/>
      <w:bookmarkEnd w:id="388"/>
      <w:bookmarkEnd w:id="389"/>
    </w:p>
    <w:p w:rsidR="006312E8" w:rsidRPr="006312E8" w:rsidRDefault="006312E8" w:rsidP="006312E8">
      <w:pPr>
        <w:spacing w:after="0" w:line="240" w:lineRule="auto"/>
        <w:contextualSpacing/>
        <w:jc w:val="center"/>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Dictan medidas para la supervisión de la Zona de Playa Protegida y de la Zona de Dominio Restringido a cargo de la Superintendencia Nacional de Bienes Estatales y su inmatriculación en el Registro de Predios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right"/>
        <w:rPr>
          <w:rFonts w:ascii="Arial" w:eastAsia="Calibri" w:hAnsi="Arial" w:cs="Arial"/>
          <w:b/>
          <w:lang w:val="es-ES"/>
        </w:rPr>
      </w:pPr>
      <w:r w:rsidRPr="006312E8">
        <w:rPr>
          <w:rFonts w:ascii="Arial" w:eastAsia="Calibri" w:hAnsi="Arial" w:cs="Arial"/>
          <w:b/>
          <w:lang w:val="es-ES"/>
        </w:rPr>
        <w:t>Fecha de publicación: 15-04-2008</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EL PRESIDENTE DE LA REPÚBLICA</w:t>
      </w: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 xml:space="preserve">CONSIDERANDO: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Que, la Ley Nº 29151 establece que la Superintendencia Nacional de Bienes Estatales, en adelante SBN, es el órgano rector responsable de normar la ejecución de los actos de disposición, administración y control de los bienes de propiedad estatal a nivel nacional;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Que, de acuerdo con lo establecido en la Ley Nº 26620, Ley de Control y Vigilancia de las Actividades Marítimas, Fluviales y Lacustres, y su Reglamento aprobado por Decreto Supremo Nº 028-DE-MGP, corresponde a la Dirección General de Capitanías y Guardacostas otorgar el derecho de uso sobre la franja de terreno de hasta cincuenta (50) metros paralela a la línea de más alta marea;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Que, el artículo 17 del Reglamento de la Ley Nº 26856, Ley que Declara que las Playas del Litoral son Bienes de Uso Público, Inalienables e imprescriptibles y establece Zona de Dominio Restringido, aprobado con Decreto Supremo Nº 050-2006-EF, señala que la desafectación y el procedimiento para la adjudicación en propiedad o de otorgamiento de otros derechos de los terrenos del Estado, ubicados en la Zona de Dominio Restringido, se aprueban por Resolución de la SBN;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Que, asimismo, en el artículo 4 de la citada Ley Nº 26856 y en los artículos 19 y siguientes de su Reglamento antes citado, se dispone que en todos los balnearios y urbanizaciones colindantes a la playa, terrenos ribereños y similares bajo propiedad pública o privada, debe existir por lo menos cada un mil (1,000) metros, una vía de acceso que permita el libre ingreso a las playas;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Que, a fin de proceder con el saneamiento de la propiedad estatal en la Zona de Playa Protegida y en la Zona de Dominio Restringido, de modo que se incentive la inversión pública y privada en dichas zonas, es necesario precisar que la SBN es competente para supervisar el uso público y el carácter inalienable e imprescriptible de la Zona de Playa Protegida, efectuar la inmatriculación en el Registro de Predios de la misma y de los terrenos de propiedad estatal ubicados en la Zona de Dominio Restringido.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Que, existen posesiones irregulares a lo largo del litoral peruano, tanto en la Zona de Playa Protegida como en la zona de Dominio Restringido, que no cuentan con títulos de uso, concesión u otro derecho otorgado por las entidades competentes, siendo necesario adoptar las medidas que correspondan para su erradicación;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De conformidad con lo dispuesto en el numeral 24) del artículo 118 de la Constitución Política del Perú, y en el numeral 3 del artículo 11 de la Ley Nº 29158, Ley Orgánica del Poder Ejecutivo;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 xml:space="preserve">DECRETA: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1418" w:hanging="1418"/>
        <w:contextualSpacing/>
        <w:jc w:val="both"/>
        <w:rPr>
          <w:rFonts w:ascii="Arial" w:eastAsia="Calibri" w:hAnsi="Arial" w:cs="Arial"/>
          <w:b/>
          <w:lang w:val="es-ES"/>
        </w:rPr>
      </w:pPr>
      <w:r w:rsidRPr="006312E8">
        <w:rPr>
          <w:rFonts w:ascii="Arial" w:eastAsia="Calibri" w:hAnsi="Arial" w:cs="Arial"/>
          <w:b/>
          <w:lang w:val="es-ES"/>
        </w:rPr>
        <w:t xml:space="preserve">Artículo 1.- </w:t>
      </w:r>
      <w:r w:rsidRPr="006312E8">
        <w:rPr>
          <w:rFonts w:ascii="Arial" w:eastAsia="Calibri" w:hAnsi="Arial" w:cs="Arial"/>
          <w:b/>
          <w:lang w:val="es-ES"/>
        </w:rPr>
        <w:tab/>
        <w:t xml:space="preserve">De la supervisión de la Zona de Playa Protegida y de la Zona de Dominio Restringido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La supervisión del carácter inalienable e imprescriptible de las Zona de Playa Protegida está a cargo de la Superintendencia Nacional de Bienes Estatales - SBN, sin perjuicio de las funciones de control y vigilancia a cargo de la Dirección General de Capitanías y Guardacostas. La SBN también ejerce la función de supervisión de la Zona de Dominio Restringido.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Si como consecuencia de las acciones de supervisión en mención se identifican áreas ocupadas sin contar con derecho de uso o concesión legalmente establecida, la SBN y la Dirección General de Capitanías y Guardacostas, deberán promover conjuntamente las acciones tendientes a la erradicación de los precarios ubicados en dicha zona.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 xml:space="preserve">Artículo 2.- De la inmatriculación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La inmatriculación de la Zona de Playa Protegida y de los terrenos de propiedad estatal ubicados en la Zona de Dominio Restringido en el Registro de Predios, se efectuará mediante Resolución de la SBN que llevará anexa la Memoria Descriptiva y Plano Perimétrico y de Ubicación respectivos; la citada Resolución con sus anexos constituyen título suficiente para su inscripción en el Registro de Predios.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 xml:space="preserve">Artículo 3.- De las vías de acceso a las playas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En caso se detecte el incumplimiento de habilitar vías de acceso que permitan el libre ingreso a las playas, conforme a lo indicado en el artículo 4 de la Ley Nº 26856, la SBN comunicará a la Municipalidad de la jurisdicción para que inicie las acciones administrativas y legales que correspondan.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 xml:space="preserve">Artículo 4.- De la remisión de información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La Dirección General de Capitanías y Guardacostas deberá remitir a la SBN para su registro en el Sistema de Información Nacional de Bienes de Propiedad Estatal - SINABIP, la información sobre la cesión de derechos de uso efectuada respecto de terrenos ubicados en la Zona de Playa Protegida.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 xml:space="preserve">Artículo 5.- Refrendo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El presente Decreto Supremo será refrendado por el Ministro de Vivienda, Construcción y Saneamiento, y por el Ministro de Defensa.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Dado en la Casa de Gobierno, en Lima, a los catorce días del mes de marzo del año dos mil ocho.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b/>
        <w:t xml:space="preserve">ALAN GARCÍA PÉREZ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 xml:space="preserve">Presidente Constitucional de la República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b/>
        <w:t xml:space="preserve">ENRIQUE CORNEJO RAMÍREZ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 xml:space="preserve">Ministro de Vivienda, Construcción y Saneamiento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b/>
        <w:t xml:space="preserve">ANTERO FLORES-ARÁOZ ESPARZA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 xml:space="preserve">Ministro de Defensa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F47618">
      <w:pPr>
        <w:pStyle w:val="TITO2"/>
      </w:pPr>
      <w:bookmarkStart w:id="390" w:name="_Toc392856248"/>
      <w:bookmarkStart w:id="391" w:name="_Toc399335520"/>
      <w:bookmarkStart w:id="392" w:name="_Toc421025466"/>
      <w:bookmarkStart w:id="393" w:name="_Toc470855569"/>
      <w:bookmarkStart w:id="394" w:name="DL1147"/>
      <w:r w:rsidRPr="006312E8">
        <w:t>DECRETO LEGISLATIVO Nº 1147</w:t>
      </w:r>
      <w:bookmarkEnd w:id="390"/>
      <w:bookmarkEnd w:id="391"/>
      <w:bookmarkEnd w:id="392"/>
      <w:bookmarkEnd w:id="393"/>
    </w:p>
    <w:bookmarkEnd w:id="394"/>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Decreto Legislativo que regula el fortalecimiento de las Fuerzas Armadas en las competencias de la Autoridad Marítima Nacional - Dirección General de Capitanías y Guardacostas</w:t>
      </w:r>
    </w:p>
    <w:p w:rsidR="006312E8" w:rsidRPr="006312E8" w:rsidRDefault="006312E8" w:rsidP="006312E8">
      <w:pPr>
        <w:spacing w:after="0" w:line="240" w:lineRule="auto"/>
        <w:contextualSpacing/>
        <w:jc w:val="center"/>
        <w:rPr>
          <w:rFonts w:ascii="Arial" w:eastAsia="Calibri" w:hAnsi="Arial" w:cs="Arial"/>
          <w:b/>
          <w:lang w:val="es-ES"/>
        </w:rPr>
      </w:pPr>
    </w:p>
    <w:p w:rsidR="006312E8" w:rsidRPr="006312E8" w:rsidRDefault="006312E8" w:rsidP="006312E8">
      <w:pPr>
        <w:spacing w:after="0" w:line="240" w:lineRule="auto"/>
        <w:contextualSpacing/>
        <w:jc w:val="right"/>
        <w:rPr>
          <w:rFonts w:ascii="Arial" w:eastAsia="Calibri" w:hAnsi="Arial" w:cs="Arial"/>
          <w:b/>
          <w:lang w:val="es-ES"/>
        </w:rPr>
      </w:pPr>
      <w:r w:rsidRPr="006312E8">
        <w:rPr>
          <w:rFonts w:ascii="Arial" w:eastAsia="Calibri" w:hAnsi="Arial" w:cs="Arial"/>
          <w:b/>
          <w:lang w:val="es-ES"/>
        </w:rPr>
        <w:t>Fecha de publicación: 11-12-2012</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EL PRESIDENTE DE LA REPÚBLICA</w:t>
      </w: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POR CUANTO: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Congreso de la República por Ley 29915, ha delegado en el Poder Ejecutivo la facultad de legislar, entre otras materias, sobre la Reforma del Sistema de Seguridad y Defensa Nacional con el objeto de fortalecer su constitución y funcionamiento, así como sobre la Reforma de la legislación orientada al fortalecimiento institucional del Sector Defensa, de las Fuerzas Armadas, la carrera militar y el servicio militar, conforme a lo señalado en el numeral 4 del artículo 2 de la citada norma;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En el marco del fortalecimiento de las Fuerzas Armadas, la Dirección General de Capitanías y Guardacostas de la Marina de Guerra del Perú en su condición de Autoridad Marítima Nacional, mantiene competencias sobre las áreas acuáticas, las actividades que se desarrollan en el medio acuático, las naves, artefactos navales, instalaciones acuáticas, y embarcaciones en general, con la finalidad de velar por la seguridad de la vida humana en el mar, ríos y lagos navegables, proteger el medio ambiente acuático, y reprimir las actividades ilícitas en el ámbito de su jurisdicción, las cuales requieren ser fortalecidas para hacer frente al contexto actual de las amenazas que se presentan en el medio acuático, con la finalidad de garantizar condiciones de seguridad y protección adecuadas para el desarrollo de las actividades que se realizan en el medio acuático, conforme a las normas nacionales e instrumentos internacionales de los que el Perú es parte;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De conformidad con lo establecido en el artículo 104 de la Constitución Política del Perú;</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Con el voto aprobatorio del Consejo de Ministros;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Con cargo a dar cuenta al Congreso de la República;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Ha dado el Decreto Legislativo siguiente: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DECRETO LEGISLATIVO QUE REGULA EL FORTALECIMIENTO DE LAS FUERZAS ARMADAS EN LAS COMPETENCIAS DE LA AUTORIDAD MARÍTIMA NACIONAL - DIRECCIÓN GENERAL DE CAPITANÍAS Y GUARDACOSTAS</w:t>
      </w:r>
    </w:p>
    <w:p w:rsidR="006312E8" w:rsidRPr="006312E8" w:rsidRDefault="006312E8" w:rsidP="006312E8">
      <w:pPr>
        <w:spacing w:after="0" w:line="240" w:lineRule="auto"/>
        <w:contextualSpacing/>
        <w:jc w:val="center"/>
        <w:rPr>
          <w:rFonts w:ascii="Arial" w:eastAsia="Calibri" w:hAnsi="Arial" w:cs="Arial"/>
          <w:b/>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TÍTULO I</w:t>
      </w:r>
    </w:p>
    <w:p w:rsidR="006312E8" w:rsidRPr="006312E8" w:rsidRDefault="006312E8" w:rsidP="006312E8">
      <w:pPr>
        <w:spacing w:after="0" w:line="240" w:lineRule="auto"/>
        <w:contextualSpacing/>
        <w:jc w:val="center"/>
        <w:rPr>
          <w:rFonts w:ascii="Arial" w:eastAsia="Calibri" w:hAnsi="Arial" w:cs="Arial"/>
          <w:lang w:val="es-ES"/>
        </w:rPr>
      </w:pPr>
      <w:r w:rsidRPr="006312E8">
        <w:rPr>
          <w:rFonts w:ascii="Arial" w:eastAsia="Calibri" w:hAnsi="Arial" w:cs="Arial"/>
          <w:b/>
          <w:lang w:val="es-ES"/>
        </w:rPr>
        <w:t>DISPOSICIONES GENERALES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 Objeto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presente Decreto Legislativo tiene por objeto el fortalecimiento de las Fuerzas Armadas en las competencias de la Autoridad Marítima Nacional - Dirección General de Capitanías y Guardacostas, sobre la administración de áreas acuáticas, las actividades que se realizan en el medio acuático, las naves, artefactos navales, instalaciones acuáticas, y embarcaciones en general, las operaciones que éstas realizan y los servicios que prestan o reciben, con el fin de velar por la seguridad de la vida humana en el mar, ríos y lagos navegables, la protección del medio ambiente acuático, y reprimir las actividades ilícitas en el ámbito de su jurisdicción, en cumplimiento de las normas nacionales e instrumentos internacionales de los que el Perú es parte.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2.- Ámbito de aplicación</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ámbito de aplicación del objeto del presente Decreto Legislativo 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numPr>
          <w:ilvl w:val="4"/>
          <w:numId w:val="48"/>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El medio acuático comprendido por el dominio marítimo y las aguas interiores, así como los ríos y los lagos navegables, y las zonas insulares, incluidas las islas ubicadas en el medio acuático del Perú.</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4"/>
          <w:numId w:val="48"/>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Los terrenos ribereños hasta los cincuenta (50) metros medidos a partir de la línea de más alta marea del mar y las riberas hasta la línea de más alta crecida ordinaria en las márgenes de los ríos y lagos navegables.</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4"/>
          <w:numId w:val="48"/>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Las naves y embarcaciones que se encuentren en aguas jurisdiccionales peruanas y las de bandera nacional que se encuentren en alta mar o en aguas jurisdiccionales de otros países, de acuerdo con los tratados de los que el Perú es parte y otras normas de derecho internacional sobre la materia aplicables al Estado peruano.</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4"/>
          <w:numId w:val="48"/>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Los artefactos navales e instalaciones acuáticas en el medio acuático.</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4"/>
          <w:numId w:val="48"/>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Las personas naturales y jurídicas, cuyas actividades se desarrollen o tengan alcance en el medio acuático, sin perjuicio de las atribuciones de los sectores y organismos autónomos competentes.</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4"/>
          <w:numId w:val="48"/>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El tráfico acuático.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3.- Responsabilidad de aplicación</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Corresponde a la Autoridad Marítima Nacional aplicar y hacer cumplir el presente Decreto Legislativo, las normas reglamentarias y complementarias, las regulaciones de los sectores y organismos competentes y los tratados o Convenios en que el Perú es parte, en el ámbito de su competencia.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TÍTULO II</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DE LA AUTORIDAD MARÍTIMA NACIONAL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4.- Ejercicio de la Autoridad Marítima Nacional</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 Autoridad Marítima Nacional se ejerce por medio de: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2"/>
          <w:numId w:val="122"/>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La Dirección General de Capitanías y Guardacostas ejerce la Autoridad Marítima Nacional a través de:</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92471C">
      <w:pPr>
        <w:numPr>
          <w:ilvl w:val="1"/>
          <w:numId w:val="131"/>
        </w:numPr>
        <w:spacing w:after="0" w:line="240" w:lineRule="auto"/>
        <w:ind w:left="1276" w:hanging="567"/>
        <w:contextualSpacing/>
        <w:jc w:val="both"/>
        <w:rPr>
          <w:rFonts w:ascii="Arial" w:eastAsia="Calibri" w:hAnsi="Arial" w:cs="Arial"/>
          <w:lang w:val="es-ES"/>
        </w:rPr>
      </w:pPr>
      <w:r w:rsidRPr="006312E8">
        <w:rPr>
          <w:rFonts w:ascii="Arial" w:eastAsia="Calibri" w:hAnsi="Arial" w:cs="Arial"/>
          <w:lang w:val="es-ES"/>
        </w:rPr>
        <w:t>El Director General de Capitanías y Guardacostas a nivel nacional.</w:t>
      </w:r>
    </w:p>
    <w:p w:rsidR="006312E8" w:rsidRPr="006312E8" w:rsidRDefault="006312E8" w:rsidP="006312E8">
      <w:pPr>
        <w:spacing w:after="0" w:line="240" w:lineRule="auto"/>
        <w:ind w:left="1276" w:hanging="567"/>
        <w:contextualSpacing/>
        <w:jc w:val="both"/>
        <w:rPr>
          <w:rFonts w:ascii="Arial" w:eastAsia="Calibri" w:hAnsi="Arial" w:cs="Arial"/>
          <w:lang w:val="es-ES"/>
        </w:rPr>
      </w:pPr>
    </w:p>
    <w:p w:rsidR="006312E8" w:rsidRPr="006312E8" w:rsidRDefault="006312E8" w:rsidP="0092471C">
      <w:pPr>
        <w:numPr>
          <w:ilvl w:val="1"/>
          <w:numId w:val="131"/>
        </w:numPr>
        <w:spacing w:after="0" w:line="240" w:lineRule="auto"/>
        <w:ind w:left="1276" w:hanging="567"/>
        <w:contextualSpacing/>
        <w:jc w:val="both"/>
        <w:rPr>
          <w:rFonts w:ascii="Arial" w:eastAsia="Calibri" w:hAnsi="Arial" w:cs="Arial"/>
          <w:lang w:val="es-ES"/>
        </w:rPr>
      </w:pPr>
      <w:r w:rsidRPr="006312E8">
        <w:rPr>
          <w:rFonts w:ascii="Arial" w:eastAsia="Calibri" w:hAnsi="Arial" w:cs="Arial"/>
          <w:lang w:val="es-ES"/>
        </w:rPr>
        <w:t>Los Jefes de Distrito de Capitanía a nivel regional.</w:t>
      </w:r>
    </w:p>
    <w:p w:rsidR="006312E8" w:rsidRPr="006312E8" w:rsidRDefault="006312E8" w:rsidP="006312E8">
      <w:pPr>
        <w:spacing w:after="0" w:line="240" w:lineRule="auto"/>
        <w:ind w:left="1276" w:hanging="567"/>
        <w:contextualSpacing/>
        <w:jc w:val="both"/>
        <w:rPr>
          <w:rFonts w:ascii="Arial" w:eastAsia="Calibri" w:hAnsi="Arial" w:cs="Arial"/>
          <w:lang w:val="es-ES"/>
        </w:rPr>
      </w:pPr>
    </w:p>
    <w:p w:rsidR="006312E8" w:rsidRPr="006312E8" w:rsidRDefault="006312E8" w:rsidP="0092471C">
      <w:pPr>
        <w:numPr>
          <w:ilvl w:val="1"/>
          <w:numId w:val="131"/>
        </w:numPr>
        <w:spacing w:after="0" w:line="240" w:lineRule="auto"/>
        <w:ind w:left="1276" w:hanging="567"/>
        <w:contextualSpacing/>
        <w:jc w:val="both"/>
        <w:rPr>
          <w:rFonts w:ascii="Arial" w:eastAsia="Calibri" w:hAnsi="Arial" w:cs="Arial"/>
          <w:lang w:val="es-ES"/>
        </w:rPr>
      </w:pPr>
      <w:r w:rsidRPr="006312E8">
        <w:rPr>
          <w:rFonts w:ascii="Arial" w:eastAsia="Calibri" w:hAnsi="Arial" w:cs="Arial"/>
          <w:lang w:val="es-ES"/>
        </w:rPr>
        <w:t>Los Capitanes de Puerto de la Dirección General de Capitanías y Guardacostas en el ámbito de su jurisdicción.</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92471C">
      <w:pPr>
        <w:numPr>
          <w:ilvl w:val="2"/>
          <w:numId w:val="122"/>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Los Cónsules ejercen funciones como autoridad marítima, en los casos que la ley así lo determine.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5.- Funciones de la Autoridad Marítima Nacional</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Las funciones que realiza la Autoridad Marítima Nacional dentro del ámbito de su competencia se efectuarán con eficiencia y transparencia coadyuvando al desarrollo competitivo de las actividades de transporte, comerciales, turísticas y de otros sectores que se realizan en el medio acuático.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Son funciones de la Autoridad Marítima Nacional: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130"/>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Velar por la seguridad y protección de la vida humana en el medio acuático, de acuerdo con la normativa nacional aplicable y los instrumentos internacionales de los que el Perú es parte.</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92471C">
      <w:pPr>
        <w:numPr>
          <w:ilvl w:val="1"/>
          <w:numId w:val="130"/>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Prevenir y combatir la contaminación, y la protección del medio ambiente acuático, evaluando y aprobando los instrumentos de gestión ambiental en el ámbito de su competencia, de acuerdo con lo regulado en la normativa ambiental nacional, el Sistema Nacional de Evaluación de Impacto Ambiental, SEIA, y lo dispuesto por el Ministerio del Ambiente, en su condición de organismo rector ambiental nacional; así como emitir opinión técnica sobre todo instrumento de gestión ambiental en el ámbito acuático de su competencia.</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92471C">
      <w:pPr>
        <w:numPr>
          <w:ilvl w:val="1"/>
          <w:numId w:val="130"/>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Reprimir las actividades ilícitas en el medio acuático, ejerciendo la Policía Marítima, Fluvial y Lacustre, de acuerdo con la normativa nacional e instrumentos internacionales de los que el Perú es parte.</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92471C">
      <w:pPr>
        <w:numPr>
          <w:ilvl w:val="1"/>
          <w:numId w:val="130"/>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Otorgar permisos de navegación a naves y artefactos navales de bandera extranjera para operar en aguas jurisdiccionales.</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92471C">
      <w:pPr>
        <w:numPr>
          <w:ilvl w:val="1"/>
          <w:numId w:val="130"/>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Planear, normar, coordinar, dirigir y controlar dentro del ámbito de su competencia, las actividades que se desarrollan en el medio acuático, sin perjuicio de las atribuciones de otros sectores competentes.</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92471C">
      <w:pPr>
        <w:numPr>
          <w:ilvl w:val="1"/>
          <w:numId w:val="130"/>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Ejercer el ruteo, el control y la vigilancia del tráfico de las naves, embarcaciones, artefactos navales e instalaciones acuáticas propulsadas y remolques en general en el medio acuático, incluyendo el canal de acceso y las áreas de fondeo en los puertos.</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92471C">
      <w:pPr>
        <w:numPr>
          <w:ilvl w:val="1"/>
          <w:numId w:val="130"/>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Investigar los sucesos, siniestros y accidentes ocurridos en el medio acuático, para determinar sus causas y responsabilidades, con la finalidad de velar por la seguridad de la vida humana en el medio acuático y la protección del medio ambiente acuático.</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92471C">
      <w:pPr>
        <w:numPr>
          <w:ilvl w:val="1"/>
          <w:numId w:val="130"/>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Disponer la suspensión temporal, en forma total o parcial, de las actividades en el medio acuático por razones de riesgo para la vida humana y el medio ambiente acuático, incluyendo la apertura y cierre de puertos para instalaciones portuarias. Para el caso de las naves mercantes en tráfico comercial que se encuentren en las instalaciones portuarias, esta medida se aplicará en coordinación con la Autoridad Portuaria Nacional.</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92471C">
      <w:pPr>
        <w:numPr>
          <w:ilvl w:val="1"/>
          <w:numId w:val="130"/>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Evaluar y aprobar los estudios de maniobra para las instalaciones en el medio acuático, para velar por la seguridad de la vida humana y la protección del medio ambiente acuático.</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92471C">
      <w:pPr>
        <w:numPr>
          <w:ilvl w:val="1"/>
          <w:numId w:val="130"/>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Aprobar los estudios hidro-oceanográficos de toda actividad, infraestructura e instalación que por su naturaleza se realice en el medio acuático o en accesos a instalaciones en la franja ribereña, con la finalidad de velar por la seguridad de la vida humana y la protección del medio ambiente acuático.</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92471C">
      <w:pPr>
        <w:numPr>
          <w:ilvl w:val="1"/>
          <w:numId w:val="130"/>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Otorgar a las personas naturales o jurídicas derechos de uso de área acuática, previa opinión favorable de la Superintendencia de Bienes Estatales, y en coordinación con los sectores involucrados, a través de autorizaciones temporales hasta por treinta (30) años, plazo que podrá ser renovado; efectuando la desafectación de dichas áreas por razones de interés nacional determinadas por norma específica del sector competente; asimismo, administrar el catastro único de dichas áreas acuáticas, sin perjuicio de las competencias de otros sectores.</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92471C">
      <w:pPr>
        <w:numPr>
          <w:ilvl w:val="1"/>
          <w:numId w:val="130"/>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Establecer las áreas de fondeo, los canales de acceso, las zonas marinas especialmente sensibles, y las áreas de maniobra restringida en el medio acuático.</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92471C">
      <w:pPr>
        <w:numPr>
          <w:ilvl w:val="1"/>
          <w:numId w:val="130"/>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Participar en el proceso de recepción y despacho de naves, así como del zarpe y arribo de embarcaciones, artefactos navales e instalaciones acuáticas propulsadas y remolques en general que ingresen o salgan de los puertos e instalaciones acuáticas, de acuerdo con la normativa nacional e instrumentos internacionales de los que el Perú es parte.</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92471C">
      <w:pPr>
        <w:numPr>
          <w:ilvl w:val="1"/>
          <w:numId w:val="130"/>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Autorizar el zarpe y arribo de naves pesqueras, náutica deportiva, tráfico de bahía, artefactos navales, instalaciones acuáticas propulsadas, aprovisionamiento de instalaciones costa afuera, y remolcadores en general.</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92471C">
      <w:pPr>
        <w:numPr>
          <w:ilvl w:val="1"/>
          <w:numId w:val="130"/>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Normar, supervisar y certificar la formación, capacitación y titulación por competencias de las personas naturales que desempeñan labores en el medio acuático, dentro del ámbito de competencia, de acuerdo con la normativa nacional e instrumentos internacionales de los que el Perú es parte.</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92471C">
      <w:pPr>
        <w:numPr>
          <w:ilvl w:val="1"/>
          <w:numId w:val="130"/>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Evaluar y aprobar las licencias de práctico y piloto de acuerdo con la normativa nacional e instrumentos internacionales de los que el Perú es parte.</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92471C">
      <w:pPr>
        <w:numPr>
          <w:ilvl w:val="1"/>
          <w:numId w:val="130"/>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Normar y certificar las naves de bandera nacional, de acuerdo con la normativa nacional e instrumentos internacionales de los que el Perú es parte.</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92471C">
      <w:pPr>
        <w:numPr>
          <w:ilvl w:val="1"/>
          <w:numId w:val="130"/>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Sancionar las infracciones que se cometan dentro del ámbito de su competencia.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TÍTULO III</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DE LAS ACTIVIDADES MARÍTIMAS, FLUVIALES Y LACUSTRES</w:t>
      </w:r>
    </w:p>
    <w:p w:rsidR="006312E8" w:rsidRPr="006312E8" w:rsidRDefault="006312E8" w:rsidP="006312E8">
      <w:pPr>
        <w:spacing w:after="0" w:line="240" w:lineRule="auto"/>
        <w:contextualSpacing/>
        <w:jc w:val="center"/>
        <w:rPr>
          <w:rFonts w:ascii="Arial" w:eastAsia="Calibri" w:hAnsi="Arial" w:cs="Arial"/>
          <w:b/>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CAPÍTULO I</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DE LA PROTECCIÓN Y SEGURIDAD DE LA VIDA HUMANA EN EL MEDIO ACUÁTICO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6.- Inspecciones de control</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 Autoridad Marítima Nacional está facultada para llevar a cabo inspecciones y reconocimientos, en forma periódica y aleatoria, sobre las naves, artefactos navales, instalaciones acuáticas y embarcaciones en general; las operaciones que éstos realizan y los servicios que prestan o reciben, incluyendo el transporte y manipuleo de mercancías peligrosas, con la finalidad de verificar el cumplimiento de las normas de protección y seguridad de la vida humana en el ámbito de su competencia. En todos estos casos, se actuará de conformidad con los tratados de los que el Perú es parte y la normativa nacional.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7.- Construcción y modificación de naves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 construcción o modificación de naves, artefactos navales e instalaciones acuáticas, destinadas a operar bajo bandera peruana o a ser instaladas dentro del ámbito del presente Decreto Legislativo, sea que se realice en el país o en el extranjero, se encuentra sujeta a la fiscalización técnica de la Autoridad Marítima Nacional, para fines de seguridad de la vida humana en el medio acuático.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8.- De la imposibilidad para navegar, la inmovilización, subasta y desguace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241D1D">
      <w:pPr>
        <w:numPr>
          <w:ilvl w:val="2"/>
          <w:numId w:val="62"/>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La imposibilidad para navegar de las embarcaciones por disposición de la Autoridad Marítima Nacional se efectuará en los siguientes casos:</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92471C">
      <w:pPr>
        <w:numPr>
          <w:ilvl w:val="1"/>
          <w:numId w:val="132"/>
        </w:numPr>
        <w:spacing w:after="0" w:line="240" w:lineRule="auto"/>
        <w:ind w:left="1276" w:hanging="567"/>
        <w:contextualSpacing/>
        <w:jc w:val="both"/>
        <w:rPr>
          <w:rFonts w:ascii="Arial" w:eastAsia="Calibri" w:hAnsi="Arial" w:cs="Arial"/>
          <w:lang w:val="es-ES"/>
        </w:rPr>
      </w:pPr>
      <w:r w:rsidRPr="006312E8">
        <w:rPr>
          <w:rFonts w:ascii="Arial" w:eastAsia="Calibri" w:hAnsi="Arial" w:cs="Arial"/>
          <w:lang w:val="es-ES"/>
        </w:rPr>
        <w:t>Las naves, artefactos navales, instalaciones acuáticas y embarcaciones en general que carezcan de la matrícula o permiso correspondiente, de acuerdo a sus características, tipo o categoría, para realizar actividades u operar en el medio acuático, están prohibidas para navegar u operar en el medio acuático.</w:t>
      </w:r>
    </w:p>
    <w:p w:rsidR="006312E8" w:rsidRPr="006312E8" w:rsidRDefault="006312E8" w:rsidP="006312E8">
      <w:pPr>
        <w:spacing w:after="0" w:line="240" w:lineRule="auto"/>
        <w:ind w:left="1276" w:hanging="567"/>
        <w:contextualSpacing/>
        <w:jc w:val="both"/>
        <w:rPr>
          <w:rFonts w:ascii="Arial" w:eastAsia="Calibri" w:hAnsi="Arial" w:cs="Arial"/>
          <w:lang w:val="es-ES"/>
        </w:rPr>
      </w:pPr>
    </w:p>
    <w:p w:rsidR="006312E8" w:rsidRPr="006312E8" w:rsidRDefault="006312E8" w:rsidP="0092471C">
      <w:pPr>
        <w:numPr>
          <w:ilvl w:val="1"/>
          <w:numId w:val="132"/>
        </w:numPr>
        <w:spacing w:after="0" w:line="240" w:lineRule="auto"/>
        <w:ind w:left="1276" w:hanging="567"/>
        <w:contextualSpacing/>
        <w:jc w:val="both"/>
        <w:rPr>
          <w:rFonts w:ascii="Arial" w:eastAsia="Calibri" w:hAnsi="Arial" w:cs="Arial"/>
          <w:lang w:val="es-ES"/>
        </w:rPr>
      </w:pPr>
      <w:r w:rsidRPr="006312E8">
        <w:rPr>
          <w:rFonts w:ascii="Arial" w:eastAsia="Calibri" w:hAnsi="Arial" w:cs="Arial"/>
          <w:lang w:val="es-ES"/>
        </w:rPr>
        <w:t>En estos casos, la Autoridad Marítima Nacional está facultada para disponer la inmovilización en un fondeadero o varadero asignado, siendo por costo, cuenta y riesgo del propietario el traslado al área designada, así como la custodia de la embarcación y de sus bienes a bordo.</w:t>
      </w:r>
    </w:p>
    <w:p w:rsidR="006312E8" w:rsidRPr="006312E8" w:rsidRDefault="006312E8" w:rsidP="006312E8">
      <w:pPr>
        <w:spacing w:after="0" w:line="240" w:lineRule="auto"/>
        <w:ind w:left="1276" w:hanging="567"/>
        <w:contextualSpacing/>
        <w:jc w:val="both"/>
        <w:rPr>
          <w:rFonts w:ascii="Arial" w:eastAsia="Calibri" w:hAnsi="Arial" w:cs="Arial"/>
          <w:lang w:val="es-ES"/>
        </w:rPr>
      </w:pPr>
    </w:p>
    <w:p w:rsidR="006312E8" w:rsidRPr="006312E8" w:rsidRDefault="006312E8" w:rsidP="0092471C">
      <w:pPr>
        <w:numPr>
          <w:ilvl w:val="1"/>
          <w:numId w:val="132"/>
        </w:numPr>
        <w:spacing w:after="0" w:line="240" w:lineRule="auto"/>
        <w:ind w:left="1276" w:hanging="567"/>
        <w:contextualSpacing/>
        <w:jc w:val="both"/>
        <w:rPr>
          <w:rFonts w:ascii="Arial" w:eastAsia="Calibri" w:hAnsi="Arial" w:cs="Arial"/>
          <w:lang w:val="es-ES"/>
        </w:rPr>
      </w:pPr>
      <w:r w:rsidRPr="006312E8">
        <w:rPr>
          <w:rFonts w:ascii="Arial" w:eastAsia="Calibri" w:hAnsi="Arial" w:cs="Arial"/>
          <w:lang w:val="es-ES"/>
        </w:rPr>
        <w:t>El incumplimiento de la inmovilización acarreará el varado o traslado a tierra, siendo dicho traslado por cuenta, costo y riesgo del propietario de la embarcación, sin perjuicio de las acciones legales correspondientes.</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241D1D">
      <w:pPr>
        <w:numPr>
          <w:ilvl w:val="2"/>
          <w:numId w:val="62"/>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Subasta para fines de desguace.-</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241D1D">
      <w:pPr>
        <w:numPr>
          <w:ilvl w:val="2"/>
          <w:numId w:val="62"/>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En mérito a la declaración firme de imposibilidad absoluta para navegar dictada por la Autoridad Marítima Nacional, por las causales indicadas en el numeral 8.1 1), se procederá a efectuar la subasta para fines de desguace, según el procedimiento que se determinará en el Reglamento, de cuyo monto resultante se hará pago en primer lugar de los costos y gastos del proceso sumario y otros incurridos por la Autoridad Marítima Nacional desde la inmovilización y hasta la conclusión firme del proceso.</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241D1D">
      <w:pPr>
        <w:numPr>
          <w:ilvl w:val="2"/>
          <w:numId w:val="62"/>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El monto remanente, luego de cubiertos los gastos del proceso administrativo, será entregado al propietario.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9.- Desguace a solicitud del propietario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desguace de embarcaciones, artefactos navales e instalaciones acuáticas, a iniciativa del propietario, deberá tener permiso de la Autoridad Marítima Nacional. Los desguaces antes mencionados, sólo podrán efectuarse en lugares autorizados.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CAPÍTULO II</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DE LA PREVENCIÓN Y PROTECCIÓN DEL MEDIO ACUÁTICO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10.- Responsabilidad objetiva por derrame</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propietario o armador de la nave, artefacto naval, instalación acuática o embarcación en general, es responsable objetivo de todos los daños que por derrame o vertimiento de sustancias contaminantes produzcan dichos bienes, con excepción de los casos expresamente establecidos en el reglamento del presente Decreto Legislativo.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CAPÍTULO III</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DE LA NAVEGACIÓN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11.- Arribo y zarpe</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Toda nave, embarcación, artefacto naval e instalación acuática propulsada y, remolque en general, debe arribar o zarpar de un puerto, instalación o zona habilitada para tal fin. La Autoridad Marítima Nacional está facultada a inspeccionarlos en el ámbito de su competencia.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12.- Cumplimiento de la normativa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DF0797">
      <w:pPr>
        <w:numPr>
          <w:ilvl w:val="1"/>
          <w:numId w:val="110"/>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Toda nave, embarcación o artefacto naval e instalación acuática propulsada y remolque en general que se encuentre en el medio acuático debe cumplir con las normas nacionales y con los tratados de los que el Perú es parte.</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DF0797">
      <w:pPr>
        <w:numPr>
          <w:ilvl w:val="1"/>
          <w:numId w:val="110"/>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El Estado peruano mantiene jurisdicción sobre toda nave de bandera nacional que se encuentre fuera de sus aguas jurisdiccionales, salvo en los casos previstos en los tratados de los que el Perú es parte y en otras normas de Derecho Internacional sobre la materia aplicables al Estado peruano.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13.- Arribo de buques de guerra extranjeros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 autorización de arribo a puertos nacionales debe ser comunicada a la Autoridad Marítima Nacional por la autoridad competente. En tales casos se procede conforme a lo previsto en la normativa nacional.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14.- Cartas y publicaciones náuticas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Toda actividad u operación que se realice en el medio acuático, debe tener como referencia obligatoria las cartas y publicaciones náuticas oficiales emitidas por la Dirección de Hidrografía y Navegación de la Marina de Guerra del Perú.</w:t>
      </w:r>
    </w:p>
    <w:p w:rsidR="006312E8" w:rsidRDefault="006312E8" w:rsidP="006312E8">
      <w:pPr>
        <w:spacing w:after="0" w:line="240" w:lineRule="auto"/>
        <w:contextualSpacing/>
        <w:jc w:val="both"/>
        <w:rPr>
          <w:rFonts w:ascii="Arial" w:eastAsia="Calibri" w:hAnsi="Arial" w:cs="Arial"/>
          <w:lang w:val="es-ES"/>
        </w:rPr>
      </w:pPr>
    </w:p>
    <w:p w:rsidR="00246CE9" w:rsidRPr="006312E8" w:rsidRDefault="00246CE9"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CAPÍTULO IV</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DE LA COMPETENCIA DE LA AUTORIDAD MARÍTIMA NACIONAL SOBRE LAS NAVES, ARTEFACTOS NAVALES Y EMBARCACIONES EN GENERAL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15.- Cancelación de Matrículas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241D1D">
      <w:pPr>
        <w:numPr>
          <w:ilvl w:val="1"/>
          <w:numId w:val="72"/>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La Dirección General de Capitanías y Guardacostas está facultada para cancelar la Matrícula de las naves nacionales por las causales que serán establecidas en el Reglamento.</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241D1D">
      <w:pPr>
        <w:numPr>
          <w:ilvl w:val="1"/>
          <w:numId w:val="72"/>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La incapacidad del propietario o armador de presentar la nave o el artefacto naval ante la Autoridad Marítima Nacional para su reconocimiento e inspección dará lugar a la cancelación de la matrícula, en los términos establecidos en el Reglamento.</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241D1D">
      <w:pPr>
        <w:numPr>
          <w:ilvl w:val="1"/>
          <w:numId w:val="72"/>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La Autoridad Marítima Nacional mediante Resolución Directoral podrá suspender, de manera temporal y extraordinaria, el cambio de dicho registro o matrícula por razones de seguridad nacional.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CAPÍTULO V</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DE OTRAS ACTIVIDADES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16.- Salvamento de bienes en el medio acuático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numPr>
          <w:ilvl w:val="1"/>
          <w:numId w:val="39"/>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La existencia de salvamento de bienes en el medio acuático es determinada, a través de la investigación sumaria correspondiente, con indicación de las circunstancias de peligro actual y concreto, del resultado útil y la participación de los intervinientes.</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1"/>
          <w:numId w:val="39"/>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Cuando una unidad o personal de la Autoridad Marítima Nacional participe en las operaciones de salvamento de bienes en el medio acuático, podrá ser sujeto de compensación de acuerdo con los instrumentos internacionales aplicables sobre la materia.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17.- Hallazgos y remoción de restos hundidos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numPr>
          <w:ilvl w:val="1"/>
          <w:numId w:val="27"/>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Toda persona natural o jurídica está obligada a informar por el medio más rápido a la Autoridad Marítima Nacional, el hallazgo o información recibida sobre cualquier bien, objeto o resto hundido en el medio acuático, incluyendo bienes, objetos y restos históricos o culturales. El incumplimiento de esta disposición acarrea las responsabilidades que establece la normativa nacional sobre la materia.</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1"/>
          <w:numId w:val="27"/>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El Estado es propietario de cualquier bien, objeto o resto hundido en el medio acuático, conforme a la normativa nacional sobre la materia.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TÍTULO IV</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EJERCICIO DE LA POLICÍA MARÍTIMA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18.- La Autoridad Marítima Nacional</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 Dirección General de Capitanías y Guardacostas, en su condición de Autoridad Marítima Nacional y órgano de la Marina de Guerra del Perú, está facultada para ejercer la Policía Marítima, Fluvial y Lacustre, con el fin de aplicar y hacer cumplir la normativa nacional e instrumentos internacionales de los que el Perú es parte, para velar por la protección y seguridad de la vida humana en el medio acuático, la protección del medio ambiente acuático y sus recursos, y reprimir las actividades ilícitas en el ámbito de su jurisdicción.</w:t>
      </w:r>
    </w:p>
    <w:p w:rsidR="006312E8" w:rsidRDefault="006312E8"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Pr="006312E8" w:rsidRDefault="00246CE9"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TÍTULO V</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INFRACCIONES Y SANCIONES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19.- Infracciones y sanciones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numPr>
          <w:ilvl w:val="1"/>
          <w:numId w:val="26"/>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La Autoridad Marítima Nacional ejerce la potestad sancionadora por la comisión de infracciones al presente Decreto Legislativo, su reglamento y normas complementarias que se cometan por acción u omisión que afecte: i) la protección y seguridad de la vida humana en el ámbito acuático; ii) la prevención y protección del ambiente acuático; iii) el control y vigilancia del tráfico acuático y la seguridad y protección de la navegación en el ámbito acuático.</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1"/>
          <w:numId w:val="26"/>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La comisión de infracciones al presente Decreto Legislativo, su Reglamento y/o normas complementarias, serán sancionadas de acuerdo a los siguientes tipos de sanción, según el grado de responsabilidad del infractor: Amonestación, Multa, Suspensión o Cancelación de Matrícula, Título, Licencia, o Derecho de Uso de Área Acuática, respectivamente.</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1"/>
          <w:numId w:val="26"/>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El reglamento especifica las conductas infractoras y sus respectivas sanciones con relación con los bienes jurídicos protegidos que se han considerado en el numeral 1) del presente artículo, conforme a su gravedad, circunstancia, reincidencia y reiterancia, y concurrencia con otras infracciones.</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1"/>
          <w:numId w:val="26"/>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La responsabilidad administrativa es independiente de las responsabilidades penales y civiles y otras administrativas de competencia ajena a la autoridad marítima nacional, en tanto a la diferencia en su fundamento y bien jurídico protegido.</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1"/>
          <w:numId w:val="26"/>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El reglamento del presente Decreto Legislativo establece el procedimiento administrativo sancionador y el procedimiento de ejecución coactiva, conforme a la normativa nacional aplicable sobre la materia.</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1"/>
          <w:numId w:val="26"/>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La Dirección General de Capitanías y Guardacostas, en su condición de Autoridad Marítima Nacional, está facultada para exigir coactivamente el pago de toda deuda administrativa, originada por el incumplimiento de obligaciones económicas y financieras incurridas por el administrado.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DISPOSICIONES COMPLEMENTARIAS FINALES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PRIMERA: Simplificación Administrativa</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 Autoridad Marítima Nacional promueve la eliminación de cualquier regulación, trámite, costo o requisito de tipo administrativo, económico, técnico, operativo o de cualquier naturaleza, así como de los obstáculos burocráticos o criterios de calificación que no resulten razonables para la autorización del ejercicio de las actividades dentro del ámbito de su competencia.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Todo acto jurídico, administrativo o contractual, que se exija o se derive de este Decreto Legislativo, Reglamento o normas complementarias, puede ser realizado y notificado por medios electrónicos. En ese sentido, los mensajes electrónicos de datos, los documentos electrónicos, así como la firma electrónica gozan de total validez jurídica en el ámbito de competencia de la Autoridad Marítima Nacional.</w:t>
      </w:r>
    </w:p>
    <w:p w:rsidR="006312E8" w:rsidRPr="006312E8" w:rsidRDefault="006312E8" w:rsidP="006312E8">
      <w:pPr>
        <w:spacing w:after="0" w:line="240" w:lineRule="auto"/>
        <w:ind w:left="1418" w:hanging="1418"/>
        <w:contextualSpacing/>
        <w:jc w:val="both"/>
        <w:rPr>
          <w:rFonts w:ascii="Arial" w:eastAsia="Calibri" w:hAnsi="Arial" w:cs="Arial"/>
          <w:lang w:val="es-ES"/>
        </w:rPr>
      </w:pPr>
    </w:p>
    <w:p w:rsidR="006312E8" w:rsidRPr="006312E8" w:rsidRDefault="006312E8" w:rsidP="006312E8">
      <w:pPr>
        <w:spacing w:after="0" w:line="240" w:lineRule="auto"/>
        <w:ind w:left="1418" w:hanging="1418"/>
        <w:contextualSpacing/>
        <w:jc w:val="both"/>
        <w:rPr>
          <w:rFonts w:ascii="Arial" w:eastAsia="Calibri" w:hAnsi="Arial" w:cs="Arial"/>
          <w:b/>
          <w:lang w:val="es-ES"/>
        </w:rPr>
      </w:pPr>
      <w:r w:rsidRPr="006312E8">
        <w:rPr>
          <w:rFonts w:ascii="Arial" w:eastAsia="Calibri" w:hAnsi="Arial" w:cs="Arial"/>
          <w:b/>
          <w:lang w:val="es-ES"/>
        </w:rPr>
        <w:t xml:space="preserve">SEGUNDA: </w:t>
      </w:r>
      <w:r w:rsidRPr="006312E8">
        <w:rPr>
          <w:rFonts w:ascii="Arial" w:eastAsia="Calibri" w:hAnsi="Arial" w:cs="Arial"/>
          <w:b/>
          <w:lang w:val="es-ES"/>
        </w:rPr>
        <w:tab/>
        <w:t>Creación de la Oficina de Inspecciones y Auditorías de la Autoridad Marítima Nacional</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Créase la Oficina de Inspecciones y Auditorías de la Autoridad Marítima Nacional para que, en calidad de servicios prestados en exclusividad, pueda emitir a pedido de los interesados, reportes de Inspección y Auditoría, así como constancias sobre las inspecciones, auditorías y reconocimientos de los estándares de protección, seguridad, y prevención de la contaminación, respecto de las naves, embarcaciones, artefactos navales e instalaciones acuáticas, así como de las personas naturales y jurídicas que desarrollen actividades vinculadas al medio acuático.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Esta Oficina formará parte de la estructura orgánica de la Autoridad Marítima Nacional y tendrá autonomía técnica en el ejercicio de sus actividades.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Para efectos de la determinación del importe de la retribución por la prestación de los servicios brindados en exclusividad por parte de la Oficina de Inspecciones y Auditorías de la Autoridad Marítima Nacional respecto de las actividades acuáticas tales como auditoría, inspección, supervisión, certificación, titulación, licencias, y otras que se definan en el reglamento, se aplicará como unidad de medida de referencia el Arqueo Bruto (AB); y para el caso de las áreas acuáticas se aplicará como unidad de medida el Metro Cuadrado (m2).</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Todo procedimiento seguido ante la Autoridad Marítima Nacional dará lugar al cobro de las correspondientes tasas, cuyos montos son fijados en el correspondiente Texto Único de Procedimientos Administrativos.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TERCERA: Financiamiento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presupuesto de la Dirección General de Capitanías y Guardacostas - Autoridad Marítima Nacional, será financiado con cargo al presupuesto institucional del Ministerio de Defensa - Marina de Guerra del Perú, sin demandar recursos adicionales al Tesoro Público.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Asimismo, forman parte de dicho financiamiento los Recursos Directamente Recaudados (RDR) por la Autoridad Marítima Nacional, por concepto de las tasas, multas y la retribución por servicios prestados en exclusividad, conforme al presente Decreto Legislativo.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CUARTA: Vigencia</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presente Decreto Legislativo entrará en vigencia al día siguiente de su publicación en el Diario Oficial El Peruano.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DISPOSICIONES COMPLEMENTARIAS TRANSITORIAS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PRIMERA: Vigencia de disposiciones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Hasta la publicación del Reglamento correspondiente, se aplicarán las disposiciones reglamentarias vigentes, en lo que no lo contradigan. Los expedientes admitidos a trámite, antes de la entrada en vigor de la presente norma, serán concluidos en el plazo establecido en el Texto Único de Procedimientos Administrativos aplicable al momento de su admisión, no debiendo exceder el plazo de noventa (90) días calendarios.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En los proyectos de asociación público privada que a la fecha de entrada en vigencia de la presente norma hayan sido incorporados al proceso de promoción de la inversión privada, seguirán sujetas a las normas y disposiciones vigentes al momento de su incorporación, hasta su adjudicación. Esta disposición es aplicable exclusivamente a los procedimientos a que se refiere la presente norma.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SEGUNDA: Elaboración del Reglamento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reglamento del presente Decreto Legislativo será elaborado en un plazo de ciento ochenta (180) días calendario, contados a partir de su publicación y aprobado mediante Decreto Supremo con el voto aprobatorio del Consejo de Ministros.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DISPOSICIONES COMPLEMENTARIAS DEROGATORIAS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PRIMERA: Norma derogatoria</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Queda derogada la Ley 26620, así como, todas las normas con rango de Ley o inferior en cuanto se contrapongan a lo dispuesto en el presente Decreto Legislativo.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POR TANTO: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Mando se publique y cumpla, dando cuenta al Congreso de la República.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Dado en la Casa de Gobierno, en Lima, a los diez días del mes de diciembre del año dos mil doce.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OLLANTA HUMALA TASSO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b/>
      </w:r>
      <w:r w:rsidRPr="006312E8">
        <w:rPr>
          <w:rFonts w:ascii="Arial" w:eastAsia="Calibri" w:hAnsi="Arial" w:cs="Arial"/>
          <w:lang w:val="es-ES"/>
        </w:rPr>
        <w:t>Presidente Constitucional de la República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JUAN F. JIMÉNEZ MAYOR</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b/>
      </w:r>
      <w:r w:rsidRPr="006312E8">
        <w:rPr>
          <w:rFonts w:ascii="Arial" w:eastAsia="Calibri" w:hAnsi="Arial" w:cs="Arial"/>
          <w:lang w:val="es-ES"/>
        </w:rPr>
        <w:t>Presidente del Consejo de Ministros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PEDRO CATERIANO BELLIDO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b/>
      </w:r>
      <w:r w:rsidRPr="006312E8">
        <w:rPr>
          <w:rFonts w:ascii="Arial" w:eastAsia="Calibri" w:hAnsi="Arial" w:cs="Arial"/>
          <w:lang w:val="es-ES"/>
        </w:rPr>
        <w:t>Ministro de Defensa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Default="006312E8"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Pr="006312E8" w:rsidRDefault="00246CE9"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F47618">
      <w:pPr>
        <w:pStyle w:val="TITO10"/>
      </w:pPr>
      <w:bookmarkStart w:id="395" w:name="_Toc392856249"/>
      <w:bookmarkStart w:id="396" w:name="_Toc399335521"/>
      <w:bookmarkStart w:id="397" w:name="_Toc421025467"/>
      <w:bookmarkStart w:id="398" w:name="_Toc470855570"/>
      <w:r w:rsidRPr="006312E8">
        <w:t>NORMAS PARA LA DISPOSICION DE INMUEBLES EN EL SECTOR DEFENSA</w:t>
      </w:r>
      <w:bookmarkEnd w:id="395"/>
      <w:bookmarkEnd w:id="396"/>
      <w:bookmarkEnd w:id="397"/>
      <w:bookmarkEnd w:id="398"/>
    </w:p>
    <w:bookmarkStart w:id="399" w:name="_Toc392856250"/>
    <w:p w:rsidR="006312E8" w:rsidRPr="006312E8" w:rsidRDefault="006312E8" w:rsidP="006312E8">
      <w:pPr>
        <w:spacing w:after="0" w:line="240" w:lineRule="auto"/>
        <w:jc w:val="center"/>
        <w:rPr>
          <w:rFonts w:ascii="Arial" w:eastAsia="Calibri" w:hAnsi="Arial" w:cs="Arial"/>
          <w:b/>
          <w:sz w:val="48"/>
          <w:szCs w:val="48"/>
          <w:lang w:val="es-ES"/>
        </w:rPr>
      </w:pPr>
      <w:r w:rsidRPr="006312E8">
        <w:rPr>
          <w:rFonts w:ascii="Arial" w:eastAsia="Calibri" w:hAnsi="Arial" w:cs="Arial"/>
          <w:b/>
          <w:noProof/>
          <w:sz w:val="48"/>
          <w:szCs w:val="48"/>
          <w:lang w:val="es-MX" w:eastAsia="es-MX"/>
        </w:rPr>
        <mc:AlternateContent>
          <mc:Choice Requires="wps">
            <w:drawing>
              <wp:anchor distT="0" distB="0" distL="114300" distR="114300" simplePos="0" relativeHeight="251677696" behindDoc="0" locked="0" layoutInCell="1" allowOverlap="1" wp14:anchorId="2653FB75" wp14:editId="7EE29157">
                <wp:simplePos x="0" y="0"/>
                <wp:positionH relativeFrom="column">
                  <wp:posOffset>342265</wp:posOffset>
                </wp:positionH>
                <wp:positionV relativeFrom="paragraph">
                  <wp:posOffset>84455</wp:posOffset>
                </wp:positionV>
                <wp:extent cx="5581650" cy="0"/>
                <wp:effectExtent l="38100" t="37465" r="38100" b="38735"/>
                <wp:wrapNone/>
                <wp:docPr id="77" name="Conector recto de flecha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1650" cy="0"/>
                        </a:xfrm>
                        <a:prstGeom prst="straightConnector1">
                          <a:avLst/>
                        </a:prstGeom>
                        <a:noFill/>
                        <a:ln w="635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02D1B7E" id="Conector recto de flecha 77" o:spid="_x0000_s1026" type="#_x0000_t32" style="position:absolute;margin-left:26.95pt;margin-top:6.65pt;width:439.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" strokeweight="5pt">
                <v:shadow color="#7f7f7f" opacity=".5" offset="1pt"/>
              </v:shape>
            </w:pict>
          </mc:Fallback>
        </mc:AlternateContent>
      </w:r>
      <w:bookmarkEnd w:id="399"/>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F47618">
      <w:pPr>
        <w:pStyle w:val="TITO2"/>
      </w:pPr>
      <w:bookmarkStart w:id="400" w:name="_Toc392856251"/>
      <w:bookmarkStart w:id="401" w:name="_Toc399335522"/>
      <w:bookmarkStart w:id="402" w:name="_Toc421025468"/>
      <w:bookmarkStart w:id="403" w:name="_Toc470855571"/>
      <w:bookmarkStart w:id="404" w:name="LEY29006"/>
      <w:r w:rsidRPr="006312E8">
        <w:t>LEY Nº 29006</w:t>
      </w:r>
      <w:bookmarkEnd w:id="400"/>
      <w:bookmarkEnd w:id="401"/>
      <w:bookmarkEnd w:id="402"/>
      <w:bookmarkEnd w:id="403"/>
    </w:p>
    <w:bookmarkEnd w:id="404"/>
    <w:p w:rsidR="006312E8" w:rsidRPr="006312E8" w:rsidRDefault="006312E8" w:rsidP="006312E8">
      <w:pPr>
        <w:spacing w:after="0" w:line="240" w:lineRule="auto"/>
        <w:contextualSpacing/>
        <w:jc w:val="center"/>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Ley que autoriza la disposición de inmuebles del sector Defensa</w:t>
      </w:r>
    </w:p>
    <w:p w:rsidR="006312E8" w:rsidRPr="006312E8" w:rsidRDefault="006312E8" w:rsidP="006312E8">
      <w:pPr>
        <w:spacing w:after="0" w:line="240" w:lineRule="auto"/>
        <w:contextualSpacing/>
        <w:jc w:val="center"/>
        <w:rPr>
          <w:rFonts w:ascii="Arial" w:eastAsia="Calibri" w:hAnsi="Arial" w:cs="Arial"/>
          <w:b/>
          <w:lang w:val="es-ES"/>
        </w:rPr>
      </w:pPr>
    </w:p>
    <w:p w:rsidR="006312E8" w:rsidRPr="006312E8" w:rsidRDefault="006312E8" w:rsidP="006312E8">
      <w:pPr>
        <w:spacing w:after="0" w:line="240" w:lineRule="auto"/>
        <w:contextualSpacing/>
        <w:jc w:val="right"/>
        <w:rPr>
          <w:rFonts w:ascii="Arial" w:eastAsia="Calibri" w:hAnsi="Arial" w:cs="Arial"/>
          <w:b/>
          <w:lang w:val="es-ES"/>
        </w:rPr>
      </w:pPr>
      <w:r w:rsidRPr="006312E8">
        <w:rPr>
          <w:rFonts w:ascii="Arial" w:eastAsia="Calibri" w:hAnsi="Arial" w:cs="Arial"/>
          <w:b/>
          <w:lang w:val="es-ES"/>
        </w:rPr>
        <w:t>Fecha de publicación: 20-04-2007</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EL PRESIDENTE DE LA REPÚBLICA</w:t>
      </w: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POR CUANTO: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Congreso de la República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Ha dado la Ley siguiente: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EL CONGRESO DE LA REPÚBLICA;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Ha dado la Ley siguiente: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LEY QUE AUTORIZA LA DISPOSICIÓN DE INMUEBLES DEL SECTOR DEFENSA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 Autorización de actos de disposición</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Autorízase al Ministerio de Defensa y a sus Órganos de Ejecución (Ejército, Marina de Guerra y Fuerza Aérea) a realizar actos de administración y disposición, a título oneroso, de los inmuebles de su propiedad que no resulten necesarios para el cumplimiento de su finalidad o no se encuentren considerados en sus planes estratégicos, destinando los recursos que se obtengan para los fines a que se refiere la presente Ley.</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2.- Desafectación y transferencia</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Para los efectos a los que se contrae la presente Ley, transfiérense, en propiedad, al Ministerio de Defensa o a sus Órganos de Ejecución, según corresponda, los inmuebles de dominio privado del Estado que se encuentren afectados en uso o reservados para fines de defensa nacional a dicho Ministerio o a sus Órganos de Ejecución al 31 de diciembre de 2006, sin costo ni carga algunos.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Los inmuebles afectados en uso al Ministerio de Defensa o alguno de sus Órganos de Ejecución, por otra entidad pública, sólo podrán ser transferidos sí dicha entidad pública manifiesta su conformidad mediante resolución de su máxima autoridad.</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Están excluidos de lo dispuesto en el presente artículo, los inmuebles que hubieren sido entregados al Estado peruano en calidad de donación, con finalidad específica distinta de los fines a los que se refiere la presente Ley.</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 Superintendencia de Bienes Nacionales debe efectuar las acciones que sean necesarias para la aplicación y ejecución de lo dispuesto en la presente Ley.</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3.- Informe Técnico y autorización</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Ministerio de Defensa o sus Órganos de Ejecución, según sea el caso, formularán un Informe Técnico que justifique la disposición del inmueble, incluyendo el acto de disposición o administración comercial más beneficioso e idóneo, con la finalidad de obtener el máximo provecho económico, el mismo que será aprobado por el Ministro o por el Comandante General respectivo, según corresponda.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4.- Norma aplicable para actos de disposición de los inmuebles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 disposición de los bienes inmuebles transferidos en propiedad al Ministerio de Defensa o a sus Órganos de Ejecución, según sea el caso, se realiza conforme a lo establecido en el Decreto Supremo Nº 032-2001-DE/SG, Reglamento de Administración de la Propiedad Inmobiliaria del Sector Defensa y sus modificatorias.</w:t>
      </w:r>
    </w:p>
    <w:p w:rsidR="006312E8" w:rsidRPr="006312E8" w:rsidRDefault="006312E8" w:rsidP="006312E8">
      <w:pPr>
        <w:spacing w:after="0" w:line="240" w:lineRule="auto"/>
        <w:contextualSpacing/>
        <w:jc w:val="both"/>
        <w:rPr>
          <w:rFonts w:ascii="Arial" w:eastAsia="Calibri" w:hAnsi="Arial" w:cs="Arial"/>
          <w:lang w:val="es-ES"/>
        </w:rPr>
      </w:pPr>
    </w:p>
    <w:p w:rsidR="006312E8" w:rsidRPr="00F47618" w:rsidRDefault="006312E8" w:rsidP="006312E8">
      <w:pPr>
        <w:spacing w:after="0" w:line="240" w:lineRule="auto"/>
        <w:contextualSpacing/>
        <w:jc w:val="both"/>
        <w:rPr>
          <w:rFonts w:ascii="Arial" w:eastAsia="Calibri" w:hAnsi="Arial" w:cs="Arial"/>
          <w:b/>
          <w:lang w:val="es-ES"/>
        </w:rPr>
      </w:pPr>
      <w:r w:rsidRPr="00F47618">
        <w:rPr>
          <w:rFonts w:ascii="Arial" w:eastAsia="Calibri" w:hAnsi="Arial" w:cs="Arial"/>
          <w:b/>
          <w:lang w:val="es-ES"/>
        </w:rPr>
        <w:t>Artículo 5.- De los fondos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Ministerio de Defensa o sus Órganos de Ejecución, percibirán los recursos que se obtengan por la disposición de los bienes inmuebles conforme al artículo 1.</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Los recursos que se obtengan son administrados por el Ministerio de Defensa o por cada Órgano de Ejecución, según corresponda, a efectos exclusivamente de las siguientes finalidades: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241D1D">
      <w:pPr>
        <w:numPr>
          <w:ilvl w:val="1"/>
          <w:numId w:val="109"/>
        </w:num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Promover el financiamiento para la adquisición de viviendas del personal militar y civil;</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241D1D">
      <w:pPr>
        <w:numPr>
          <w:ilvl w:val="1"/>
          <w:numId w:val="109"/>
        </w:num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reconstruir y habilitar la infraestructura y equipamiento de los centros educativos de las Fuerzas Armadas;</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241D1D">
      <w:pPr>
        <w:numPr>
          <w:ilvl w:val="1"/>
          <w:numId w:val="109"/>
        </w:num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reconstruir y habilitar la infraestructura y equipamiento de los establecimientos de salud de las Fuerzas Armadas; y,</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241D1D">
      <w:pPr>
        <w:numPr>
          <w:ilvl w:val="1"/>
          <w:numId w:val="109"/>
        </w:num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reconstruir y habilitar la infraestructura de las viviendas de servicio del personal militar.</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Ministerio de Defensa o los Órganos de Ejecución podrán celebrar contratos de fideicomiso para la ejecución de lo dispuesto en la presente Ley.</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 aplicación de la presente Ley es supervisada por la Contraloría General de la República y los órganos de control institucional del Ministerio de Defensa o de los Órganos de Ejecución, según corresponda.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6.- Informe al Congreso de la República</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Ministerio de Defensa deberá informar trimestralmente, bajo responsabilidad, a las Comisiones de Presupuesto y Cuenta General de la República; y de Defensa Nacional, Orden Interno, Desarrollo Alternativo y Lucha contra las Drogas del Congreso de la República, sobre la aplicación de la presente Ley.</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DISPOSICIONES COMPLEMENTARIAS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PRIMERA.-</w:t>
      </w:r>
      <w:r w:rsidRPr="006312E8">
        <w:rPr>
          <w:rFonts w:ascii="Arial" w:eastAsia="Calibri" w:hAnsi="Arial" w:cs="Arial"/>
          <w:lang w:val="es-ES"/>
        </w:rPr>
        <w:t xml:space="preserve"> Excepcionalmente, serán objeto de actos de disposición los inmuebles necesarios para fines de defensa nacional, especialmente los ubicados en áreas urbanas que almacenen materiales que representen un riesgo para la población, siempre que sean reemplazados por otros, o los recursos que se obtengan se inviertan en inmuebles destinados a los mismos fines, debiendo seguirse el procedimiento previsto en el artículo 3.</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SEGUNDA.-</w:t>
      </w:r>
      <w:r w:rsidRPr="006312E8">
        <w:rPr>
          <w:rFonts w:ascii="Arial" w:eastAsia="Calibri" w:hAnsi="Arial" w:cs="Arial"/>
          <w:lang w:val="es-ES"/>
        </w:rPr>
        <w:t xml:space="preserve"> No están comprendidos dentro de la aplicación de la presente Ley, los inmuebles que se encuentran en proceso judicial, hasta su culminación.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Tampoco se encuentran comprendidos los inmuebles que hayan sido transferidos en propiedad al Ministerio de Defensa o sus órganos de ejecución por otra modalidad distinta a la establecida en el artículo 2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Párrafo adicionado por el Artículo 1 de la Ley Nº 29651, publicada el 13 enero 2011</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 xml:space="preserve">TERCERA.- </w:t>
      </w:r>
      <w:r w:rsidRPr="006312E8">
        <w:rPr>
          <w:rFonts w:ascii="Arial" w:eastAsia="Calibri" w:hAnsi="Arial" w:cs="Arial"/>
          <w:lang w:val="es-ES"/>
        </w:rPr>
        <w:t>A fin de posibilitar los contratos de fideicomiso que celebren el Ministerio de Defensa o sus órganos de ejecución para financiar exclusivamente los fines establecidos en los literales a), b), c) y d) del artículo 5, se dispone que los recursos que se obtengan por los actos de administración y disposición establecidos en el artículo 1 pueden destinarse al servicio de la deuda que derive de las operaciones de endeudamiento público que el Gobierno Nacional acuerde para financiar dichas finalidades.”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Disposición complementaria incorporada por el Artículo 2 de la Ley Nº 29651, publicada el 13 enero 2011.</w:t>
      </w:r>
    </w:p>
    <w:p w:rsidR="006312E8" w:rsidRPr="006312E8" w:rsidRDefault="006312E8" w:rsidP="006312E8">
      <w:pPr>
        <w:spacing w:after="0" w:line="240" w:lineRule="auto"/>
        <w:contextualSpacing/>
        <w:jc w:val="center"/>
        <w:rPr>
          <w:rFonts w:ascii="Arial" w:eastAsia="Calibri" w:hAnsi="Arial" w:cs="Arial"/>
          <w:b/>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DISPOSICIÓN TRANSITORIA</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 xml:space="preserve">ÚNICA.- </w:t>
      </w:r>
      <w:r w:rsidRPr="006312E8">
        <w:rPr>
          <w:rFonts w:ascii="Arial" w:eastAsia="Calibri" w:hAnsi="Arial" w:cs="Arial"/>
          <w:lang w:val="es-ES"/>
        </w:rPr>
        <w:t>Por decreto supremo, refrendado por el Ministro de Defensa, se aprobarán las normas reglamentarias y complementarias que se requieran para la aplicación de lo dispuesto en la presente Ley.</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Comuníquese al señor Presidente de la República para su promulgación.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En Lima, a los cuatro días del mes de abril de dos mil siete.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b/>
        <w:t>MERCEDES CABANILLAS BUSTAMANTE</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Presidenta del Congreso de la República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b/>
        <w:t>JOSÉ VEGA ANTONIO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Primer Vicepresidente del Congreso de la República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b/>
        <w:t>AL SEÑOR PRESIDENTE CONSTITUCIONAL DE LA REPÚBLICA</w:t>
      </w: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b/>
        <w:t>POR TANTO: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Mando se publique y cumpla.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Dado en la Casa de Gobierno, en Lima, a los diecinueve días del mes de abril del año dos mil siete.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b/>
        <w:t>ALAN GARCÍA PÉREZ</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Presidente Constitucional de la República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b/>
        <w:t>JORGE DEL CASTILLO GÁLVEZ</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Presidente del Consejo de Ministros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sz w:val="28"/>
          <w:szCs w:val="28"/>
          <w:lang w:val="es-ES"/>
        </w:rPr>
      </w:pPr>
      <w:bookmarkStart w:id="405" w:name="DS024DE"/>
      <w:bookmarkStart w:id="406" w:name="_Toc399335523"/>
      <w:bookmarkStart w:id="407" w:name="_Toc421025469"/>
      <w:bookmarkStart w:id="408" w:name="_Toc470855572"/>
      <w:bookmarkStart w:id="409" w:name="_Toc392856252"/>
      <w:r w:rsidRPr="00F47618">
        <w:rPr>
          <w:rStyle w:val="TITO2Car"/>
        </w:rPr>
        <w:t>DECRETO SUPREMO Nº 024-DE-SG</w:t>
      </w:r>
      <w:bookmarkEnd w:id="405"/>
      <w:bookmarkEnd w:id="406"/>
      <w:bookmarkEnd w:id="407"/>
      <w:bookmarkEnd w:id="408"/>
      <w:r w:rsidRPr="006312E8">
        <w:rPr>
          <w:rFonts w:ascii="Arial" w:eastAsia="Calibri" w:hAnsi="Arial" w:cs="Arial"/>
          <w:sz w:val="28"/>
          <w:szCs w:val="28"/>
          <w:vertAlign w:val="superscript"/>
          <w:lang w:val="es-ES"/>
        </w:rPr>
        <w:footnoteReference w:id="1"/>
      </w:r>
      <w:bookmarkEnd w:id="409"/>
    </w:p>
    <w:p w:rsidR="006312E8" w:rsidRPr="006312E8" w:rsidRDefault="006312E8" w:rsidP="006312E8">
      <w:pPr>
        <w:spacing w:after="0" w:line="240" w:lineRule="auto"/>
        <w:contextualSpacing/>
        <w:jc w:val="center"/>
        <w:rPr>
          <w:rFonts w:ascii="Arial" w:eastAsia="Calibri" w:hAnsi="Arial" w:cs="Arial"/>
          <w:b/>
          <w:sz w:val="28"/>
          <w:szCs w:val="28"/>
          <w:lang w:val="es-ES"/>
        </w:rPr>
      </w:pPr>
    </w:p>
    <w:p w:rsidR="006312E8" w:rsidRPr="006312E8" w:rsidRDefault="006312E8" w:rsidP="006312E8">
      <w:pPr>
        <w:spacing w:after="200" w:line="240" w:lineRule="auto"/>
        <w:jc w:val="center"/>
        <w:rPr>
          <w:rFonts w:ascii="Arial" w:eastAsia="Calibri" w:hAnsi="Arial" w:cs="Arial"/>
          <w:b/>
        </w:rPr>
      </w:pPr>
      <w:bookmarkStart w:id="410" w:name="_Toc380564998"/>
      <w:r w:rsidRPr="006312E8">
        <w:rPr>
          <w:rFonts w:ascii="Arial" w:eastAsia="Calibri" w:hAnsi="Arial" w:cs="Arial"/>
          <w:b/>
        </w:rPr>
        <w:t>Dictan normas para considerar en forma clara e imperativa que los bienes inmuebles afectados o entregados en propiedad a las fuerzas armadas, son intangibles, inalienables e imprescriptibles y tienen el carácter de reservado</w:t>
      </w:r>
      <w:bookmarkEnd w:id="410"/>
    </w:p>
    <w:p w:rsidR="006312E8" w:rsidRPr="006312E8" w:rsidRDefault="006312E8" w:rsidP="006312E8">
      <w:pPr>
        <w:spacing w:after="200" w:line="240" w:lineRule="auto"/>
        <w:jc w:val="right"/>
        <w:rPr>
          <w:rFonts w:ascii="Arial" w:eastAsia="Calibri" w:hAnsi="Arial" w:cs="Arial"/>
          <w:b/>
        </w:rPr>
      </w:pPr>
      <w:r w:rsidRPr="006312E8">
        <w:rPr>
          <w:rFonts w:ascii="Arial" w:eastAsia="Calibri" w:hAnsi="Arial" w:cs="Arial"/>
          <w:b/>
        </w:rPr>
        <w:t>Fecha de publicación: 14-07-1990</w:t>
      </w:r>
    </w:p>
    <w:p w:rsidR="006312E8" w:rsidRPr="006312E8" w:rsidRDefault="006312E8" w:rsidP="006312E8">
      <w:pPr>
        <w:spacing w:after="0" w:line="240" w:lineRule="auto"/>
        <w:rPr>
          <w:rFonts w:ascii="Arial" w:eastAsia="Times New Roman" w:hAnsi="Arial" w:cs="Arial"/>
          <w:b/>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EL PRESIDENTE DE LA REPÚBLICA</w:t>
      </w: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CONSIDERANDO:</w:t>
      </w:r>
    </w:p>
    <w:p w:rsidR="006312E8" w:rsidRPr="006312E8" w:rsidRDefault="006312E8" w:rsidP="006312E8">
      <w:pPr>
        <w:spacing w:after="0" w:line="240" w:lineRule="auto"/>
        <w:jc w:val="both"/>
        <w:rPr>
          <w:rFonts w:ascii="Arial" w:eastAsia="Calibri" w:hAnsi="Arial" w:cs="Arial"/>
          <w:b/>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Que, la Constitución Política del Perú en el Título III, Capítulo III norma los principios básicos referentes al derecho de propiedad indicando que mediante la Ley se establecen las garantías del derecho de propiedad, que ella es inalienable y que por razones de interés nacional se pueden establecer restricciones y prohibiciones especiales de determinados bienes en razón de su naturaleza, condición o ubicación;</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Que, con la finalidad de que la Fuerza Armada cuente con la infraestructura patrimonial necesaria que le permita cumplir con la misión que le señala el artículo 275º de la Constitución Política del Perú, el Estado adjudicó al Ministerio de Defensa a través de los Ministerios de Agricultura y de Vivienda, inmuebles de su propiedad, los cuales vienen siendo objeto de invasiones y denuncios, utilizando para ello procedimientos administrativos ante los Ministerios de Agricultura –Regiones Agrarias- y de Vivienda, así como ante los Gobiernos Regionales y Municipales;</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Que, el Decreto Ley Nº 18218 del 14 de abril de 1970, recoge en forma parcial e indirecta la característica de intangibilidad de los inmuebles afectados en uso a las Fuerzas Armadas, restringiendo posibles pretensiones de terceros sobre estos inmuebles;</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Que, en tal sentido se hace necesario expedir una norma que considere en forma clara e imperativa que los bienes inmuebles afectados o entregados en propiedad a las Fuerzas Armadas son intangibles, inalienables, imprescriptibles y tienen el carácter de Reservado;</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En uso de las atribuciones establecidas en el artículo 211 inciso 11) de la Constitución Política del Perú;</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Con el voto aprobatorio del Consejo de Ministros:</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DECRETA:</w:t>
      </w:r>
    </w:p>
    <w:p w:rsidR="006312E8" w:rsidRPr="006312E8" w:rsidRDefault="006312E8" w:rsidP="006312E8">
      <w:pPr>
        <w:spacing w:after="0" w:line="240" w:lineRule="auto"/>
        <w:jc w:val="both"/>
        <w:rPr>
          <w:rFonts w:ascii="Arial" w:eastAsia="Calibri" w:hAnsi="Arial" w:cs="Arial"/>
          <w:b/>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b/>
        </w:rPr>
        <w:t>Artículo 1º.-</w:t>
      </w:r>
      <w:r w:rsidRPr="006312E8">
        <w:rPr>
          <w:rFonts w:ascii="Arial" w:eastAsia="Calibri" w:hAnsi="Arial" w:cs="Arial"/>
        </w:rPr>
        <w:t xml:space="preserve"> Los inmuebles de propiedad del Estado afectados a los institutos de las Fuerzas Armadas o específicamente a sus servicios, así como a los demás Organismos competentes de la estructura orgánica del Ministerio de Defensa, sólo serán utilizados para el fin materia de su afectación y/o cesión, salvo lo dispuesto en el artículo 2º del Decreto Ley Nº 18218.</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b/>
        </w:rPr>
        <w:t>Artículo 2º.-</w:t>
      </w:r>
      <w:r w:rsidRPr="006312E8">
        <w:rPr>
          <w:rFonts w:ascii="Arial" w:eastAsia="Calibri" w:hAnsi="Arial" w:cs="Arial"/>
        </w:rPr>
        <w:t xml:space="preserve"> Declárase intangible los inmuebles afectados a los institutos de las Fuerzas Armadas y demás Organismos componentes de la estructura orgánica del Ministerio de Defensa en todo el territorio nacional, con la finalidad de garantizar su propiedad y posesión directa, evitando con ello pretensiones de terceros.</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b/>
        </w:rPr>
        <w:t>Artículo 3º.-</w:t>
      </w:r>
      <w:r w:rsidRPr="006312E8">
        <w:rPr>
          <w:rFonts w:ascii="Arial" w:eastAsia="Calibri" w:hAnsi="Arial" w:cs="Arial"/>
        </w:rPr>
        <w:t xml:space="preserve"> Los Ministerios, Reparticiones del Estado, Gobiernos Regionales, Gobiernos Locales y demás Organismos Descentralizados ante pedidos de denuncios agrícolas, mineros y de desafectación de predios rústicos y urbanos afectados al Ministerio de Defensa, se abstendrán de tramitar los expedientes si no cuentan con la opinión favorable del Ministerio de Defensa.</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b/>
        </w:rPr>
        <w:t>Artículo 4º.-</w:t>
      </w:r>
      <w:r w:rsidRPr="006312E8">
        <w:rPr>
          <w:rFonts w:ascii="Arial" w:eastAsia="Calibri" w:hAnsi="Arial" w:cs="Arial"/>
        </w:rPr>
        <w:t xml:space="preserve"> Por la razón de interés público, declárase la nulidad de todas las Resoluciones y procedimientos administrativos que afectan los derechos de propiedad o posesión de los inmuebles destinados a las Fuerzas Armadas.</w:t>
      </w:r>
    </w:p>
    <w:p w:rsidR="006312E8" w:rsidRPr="006312E8" w:rsidRDefault="006312E8" w:rsidP="006312E8">
      <w:pPr>
        <w:spacing w:after="0" w:line="240" w:lineRule="auto"/>
        <w:jc w:val="both"/>
        <w:rPr>
          <w:rFonts w:ascii="Arial" w:eastAsia="Calibri" w:hAnsi="Arial" w:cs="Arial"/>
          <w:b/>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b/>
        </w:rPr>
        <w:t xml:space="preserve">Artículo 5º.- </w:t>
      </w:r>
      <w:r w:rsidRPr="006312E8">
        <w:rPr>
          <w:rFonts w:ascii="Arial" w:eastAsia="Calibri" w:hAnsi="Arial" w:cs="Arial"/>
        </w:rPr>
        <w:t>El presente Decreto Supremo será refrendado por el Ministerio de Defensa, Ministros de Vivienda y Construcción, Ministro de Agricultura y Ministro de Energía y Minas.</w:t>
      </w:r>
    </w:p>
    <w:p w:rsidR="006312E8" w:rsidRPr="006312E8" w:rsidRDefault="006312E8" w:rsidP="006312E8">
      <w:pPr>
        <w:spacing w:after="0" w:line="240" w:lineRule="auto"/>
        <w:jc w:val="both"/>
        <w:rPr>
          <w:rFonts w:ascii="Arial" w:eastAsia="Calibri" w:hAnsi="Arial" w:cs="Arial"/>
          <w:b/>
        </w:rPr>
      </w:pPr>
    </w:p>
    <w:p w:rsidR="006312E8" w:rsidRPr="006312E8" w:rsidRDefault="006312E8" w:rsidP="006312E8">
      <w:pPr>
        <w:spacing w:after="200" w:line="276" w:lineRule="auto"/>
        <w:jc w:val="both"/>
        <w:rPr>
          <w:rFonts w:ascii="Calibri" w:eastAsia="Calibri" w:hAnsi="Calibri" w:cs="Arial"/>
          <w:b/>
        </w:rPr>
      </w:pPr>
    </w:p>
    <w:p w:rsidR="006312E8" w:rsidRPr="006312E8" w:rsidRDefault="006312E8" w:rsidP="006312E8">
      <w:pPr>
        <w:spacing w:after="200" w:line="276" w:lineRule="auto"/>
        <w:jc w:val="both"/>
        <w:rPr>
          <w:rFonts w:ascii="Calibri" w:eastAsia="Calibri" w:hAnsi="Calibri" w:cs="Arial"/>
          <w:b/>
        </w:rPr>
      </w:pPr>
    </w:p>
    <w:p w:rsidR="006312E8" w:rsidRPr="006312E8" w:rsidRDefault="006312E8" w:rsidP="006312E8">
      <w:pPr>
        <w:spacing w:after="200" w:line="276" w:lineRule="auto"/>
        <w:jc w:val="both"/>
        <w:rPr>
          <w:rFonts w:ascii="Calibri" w:eastAsia="Calibri" w:hAnsi="Calibri" w:cs="Arial"/>
          <w:b/>
        </w:rPr>
      </w:pPr>
    </w:p>
    <w:p w:rsidR="006312E8" w:rsidRPr="006312E8" w:rsidRDefault="006312E8" w:rsidP="006312E8">
      <w:pPr>
        <w:spacing w:after="200" w:line="276" w:lineRule="auto"/>
        <w:jc w:val="both"/>
        <w:rPr>
          <w:rFonts w:ascii="Calibri" w:eastAsia="Calibri" w:hAnsi="Calibri" w:cs="Arial"/>
          <w:b/>
        </w:rPr>
      </w:pPr>
    </w:p>
    <w:p w:rsidR="006312E8" w:rsidRPr="006312E8" w:rsidRDefault="006312E8" w:rsidP="006312E8">
      <w:pPr>
        <w:spacing w:after="200" w:line="276" w:lineRule="auto"/>
        <w:jc w:val="both"/>
        <w:rPr>
          <w:rFonts w:ascii="Calibri" w:eastAsia="Calibri" w:hAnsi="Calibri" w:cs="Arial"/>
          <w:b/>
        </w:rPr>
      </w:pPr>
    </w:p>
    <w:p w:rsidR="006312E8" w:rsidRPr="006312E8" w:rsidRDefault="006312E8" w:rsidP="006312E8">
      <w:pPr>
        <w:spacing w:after="200" w:line="276" w:lineRule="auto"/>
        <w:jc w:val="both"/>
        <w:rPr>
          <w:rFonts w:ascii="Calibri" w:eastAsia="Calibri" w:hAnsi="Calibri" w:cs="Arial"/>
          <w:b/>
        </w:rPr>
      </w:pPr>
    </w:p>
    <w:p w:rsidR="006312E8" w:rsidRPr="006312E8" w:rsidRDefault="006312E8" w:rsidP="006312E8">
      <w:pPr>
        <w:spacing w:after="200" w:line="276" w:lineRule="auto"/>
        <w:jc w:val="both"/>
        <w:rPr>
          <w:rFonts w:ascii="Calibri" w:eastAsia="Calibri" w:hAnsi="Calibri" w:cs="Arial"/>
          <w:b/>
        </w:rPr>
      </w:pPr>
    </w:p>
    <w:p w:rsidR="006312E8" w:rsidRPr="006312E8" w:rsidRDefault="006312E8" w:rsidP="006312E8">
      <w:pPr>
        <w:spacing w:after="200" w:line="276" w:lineRule="auto"/>
        <w:jc w:val="both"/>
        <w:rPr>
          <w:rFonts w:ascii="Calibri" w:eastAsia="Calibri" w:hAnsi="Calibri" w:cs="Arial"/>
          <w:b/>
        </w:rPr>
      </w:pPr>
    </w:p>
    <w:p w:rsidR="006312E8" w:rsidRPr="006312E8" w:rsidRDefault="006312E8" w:rsidP="006312E8">
      <w:pPr>
        <w:spacing w:after="200" w:line="276" w:lineRule="auto"/>
        <w:jc w:val="both"/>
        <w:rPr>
          <w:rFonts w:ascii="Calibri" w:eastAsia="Calibri" w:hAnsi="Calibri" w:cs="Arial"/>
          <w:b/>
        </w:rPr>
      </w:pPr>
    </w:p>
    <w:p w:rsidR="006312E8" w:rsidRPr="006312E8" w:rsidRDefault="006312E8" w:rsidP="006312E8">
      <w:pPr>
        <w:spacing w:after="200" w:line="276" w:lineRule="auto"/>
        <w:jc w:val="both"/>
        <w:rPr>
          <w:rFonts w:ascii="Calibri" w:eastAsia="Calibri" w:hAnsi="Calibri" w:cs="Arial"/>
          <w:b/>
        </w:rPr>
      </w:pPr>
    </w:p>
    <w:p w:rsidR="006312E8" w:rsidRPr="006312E8" w:rsidRDefault="006312E8" w:rsidP="006312E8">
      <w:pPr>
        <w:spacing w:after="200" w:line="276" w:lineRule="auto"/>
        <w:jc w:val="both"/>
        <w:rPr>
          <w:rFonts w:ascii="Calibri" w:eastAsia="Calibri" w:hAnsi="Calibri" w:cs="Arial"/>
          <w:b/>
        </w:rPr>
      </w:pPr>
    </w:p>
    <w:p w:rsidR="006312E8" w:rsidRPr="006312E8" w:rsidRDefault="006312E8" w:rsidP="006312E8">
      <w:pPr>
        <w:spacing w:after="200" w:line="276" w:lineRule="auto"/>
        <w:jc w:val="both"/>
        <w:rPr>
          <w:rFonts w:ascii="Calibri" w:eastAsia="Calibri" w:hAnsi="Calibri" w:cs="Arial"/>
          <w:b/>
        </w:rPr>
      </w:pPr>
    </w:p>
    <w:p w:rsidR="006312E8" w:rsidRPr="006312E8" w:rsidRDefault="006312E8" w:rsidP="006312E8">
      <w:pPr>
        <w:spacing w:after="200" w:line="276" w:lineRule="auto"/>
        <w:jc w:val="both"/>
        <w:rPr>
          <w:rFonts w:ascii="Calibri" w:eastAsia="Calibri" w:hAnsi="Calibri" w:cs="Arial"/>
          <w:b/>
        </w:rPr>
      </w:pPr>
    </w:p>
    <w:p w:rsidR="006312E8" w:rsidRPr="006312E8" w:rsidRDefault="006312E8" w:rsidP="006312E8">
      <w:pPr>
        <w:spacing w:after="200" w:line="276" w:lineRule="auto"/>
        <w:jc w:val="both"/>
        <w:rPr>
          <w:rFonts w:ascii="Calibri" w:eastAsia="Calibri" w:hAnsi="Calibri" w:cs="Arial"/>
          <w:b/>
        </w:rPr>
      </w:pPr>
    </w:p>
    <w:p w:rsidR="006312E8" w:rsidRPr="006312E8" w:rsidRDefault="006312E8" w:rsidP="006312E8">
      <w:pPr>
        <w:spacing w:after="200" w:line="276" w:lineRule="auto"/>
        <w:jc w:val="both"/>
        <w:rPr>
          <w:rFonts w:ascii="Calibri" w:eastAsia="Calibri" w:hAnsi="Calibri" w:cs="Arial"/>
          <w:b/>
        </w:rPr>
      </w:pPr>
    </w:p>
    <w:p w:rsidR="006312E8" w:rsidRPr="006312E8" w:rsidRDefault="006312E8" w:rsidP="006312E8">
      <w:pPr>
        <w:spacing w:after="200" w:line="276" w:lineRule="auto"/>
        <w:jc w:val="both"/>
        <w:rPr>
          <w:rFonts w:ascii="Calibri" w:eastAsia="Calibri" w:hAnsi="Calibri" w:cs="Arial"/>
          <w:b/>
        </w:rPr>
      </w:pPr>
    </w:p>
    <w:p w:rsidR="006312E8" w:rsidRPr="006312E8" w:rsidRDefault="006312E8" w:rsidP="006312E8">
      <w:pPr>
        <w:spacing w:after="200" w:line="276" w:lineRule="auto"/>
        <w:jc w:val="both"/>
        <w:rPr>
          <w:rFonts w:ascii="Calibri" w:eastAsia="Calibri" w:hAnsi="Calibri" w:cs="Arial"/>
          <w:b/>
        </w:rPr>
      </w:pPr>
    </w:p>
    <w:p w:rsidR="006312E8" w:rsidRPr="006312E8" w:rsidRDefault="006312E8" w:rsidP="006312E8">
      <w:pPr>
        <w:spacing w:after="200" w:line="276" w:lineRule="auto"/>
        <w:jc w:val="both"/>
        <w:rPr>
          <w:rFonts w:ascii="Calibri" w:eastAsia="Calibri" w:hAnsi="Calibri" w:cs="Arial"/>
          <w:b/>
        </w:rPr>
      </w:pPr>
    </w:p>
    <w:p w:rsidR="006312E8" w:rsidRPr="006312E8" w:rsidRDefault="006312E8" w:rsidP="006312E8">
      <w:pPr>
        <w:spacing w:after="200" w:line="276" w:lineRule="auto"/>
        <w:jc w:val="both"/>
        <w:rPr>
          <w:rFonts w:ascii="Calibri" w:eastAsia="Calibri" w:hAnsi="Calibri" w:cs="Arial"/>
          <w:b/>
        </w:rPr>
      </w:pPr>
    </w:p>
    <w:p w:rsidR="006312E8" w:rsidRPr="006312E8" w:rsidRDefault="006312E8" w:rsidP="006312E8">
      <w:pPr>
        <w:spacing w:after="0" w:line="240" w:lineRule="auto"/>
        <w:jc w:val="both"/>
        <w:rPr>
          <w:rFonts w:ascii="Arial" w:eastAsia="Calibri" w:hAnsi="Arial" w:cs="Arial"/>
          <w:b/>
        </w:rPr>
      </w:pPr>
    </w:p>
    <w:p w:rsidR="006312E8" w:rsidRPr="006312E8" w:rsidRDefault="006312E8" w:rsidP="006312E8">
      <w:pPr>
        <w:spacing w:after="0" w:line="240" w:lineRule="auto"/>
        <w:jc w:val="both"/>
        <w:rPr>
          <w:rFonts w:ascii="Arial" w:eastAsia="Calibri" w:hAnsi="Arial" w:cs="Arial"/>
          <w:b/>
        </w:rPr>
      </w:pPr>
    </w:p>
    <w:p w:rsidR="006312E8" w:rsidRPr="006312E8" w:rsidRDefault="006312E8" w:rsidP="006312E8">
      <w:pPr>
        <w:spacing w:after="0" w:line="240" w:lineRule="auto"/>
        <w:jc w:val="both"/>
        <w:rPr>
          <w:rFonts w:ascii="Arial" w:eastAsia="Calibri" w:hAnsi="Arial" w:cs="Arial"/>
          <w:b/>
        </w:rPr>
      </w:pPr>
    </w:p>
    <w:p w:rsidR="006312E8" w:rsidRPr="006312E8" w:rsidRDefault="006312E8" w:rsidP="006312E8">
      <w:pPr>
        <w:spacing w:after="0" w:line="240" w:lineRule="auto"/>
        <w:jc w:val="both"/>
        <w:rPr>
          <w:rFonts w:ascii="Arial" w:eastAsia="Calibri" w:hAnsi="Arial" w:cs="Arial"/>
          <w:b/>
        </w:rPr>
      </w:pPr>
    </w:p>
    <w:p w:rsidR="006312E8" w:rsidRPr="006312E8" w:rsidRDefault="006312E8" w:rsidP="006312E8">
      <w:pPr>
        <w:spacing w:after="0" w:line="240" w:lineRule="auto"/>
        <w:jc w:val="both"/>
        <w:rPr>
          <w:rFonts w:ascii="Arial" w:eastAsia="Calibri" w:hAnsi="Arial" w:cs="Arial"/>
          <w:b/>
        </w:rPr>
      </w:pPr>
    </w:p>
    <w:p w:rsidR="006312E8" w:rsidRPr="006312E8" w:rsidRDefault="006312E8" w:rsidP="006312E8">
      <w:pPr>
        <w:spacing w:after="0" w:line="240" w:lineRule="auto"/>
        <w:jc w:val="both"/>
        <w:rPr>
          <w:rFonts w:ascii="Arial" w:eastAsia="Calibri" w:hAnsi="Arial" w:cs="Arial"/>
          <w:b/>
        </w:rPr>
      </w:pPr>
    </w:p>
    <w:p w:rsidR="006312E8" w:rsidRPr="006312E8" w:rsidRDefault="006312E8" w:rsidP="006312E8">
      <w:pPr>
        <w:spacing w:after="0" w:line="240" w:lineRule="auto"/>
        <w:jc w:val="both"/>
        <w:rPr>
          <w:rFonts w:ascii="Arial" w:eastAsia="Calibri" w:hAnsi="Arial" w:cs="Arial"/>
          <w:b/>
        </w:rPr>
      </w:pPr>
    </w:p>
    <w:p w:rsidR="006312E8" w:rsidRPr="006312E8" w:rsidRDefault="006312E8" w:rsidP="00F47618">
      <w:pPr>
        <w:pStyle w:val="TITO2"/>
      </w:pPr>
      <w:bookmarkStart w:id="411" w:name="_Toc392856253"/>
      <w:bookmarkStart w:id="412" w:name="_Toc399335524"/>
      <w:bookmarkStart w:id="413" w:name="_Toc421025470"/>
      <w:bookmarkStart w:id="414" w:name="_Toc470855573"/>
      <w:bookmarkStart w:id="415" w:name="DS032DE"/>
      <w:r w:rsidRPr="006312E8">
        <w:t>DECRETO SUPREMO Nº 032-DE-SG</w:t>
      </w:r>
      <w:bookmarkEnd w:id="411"/>
      <w:bookmarkEnd w:id="412"/>
      <w:bookmarkEnd w:id="413"/>
      <w:bookmarkEnd w:id="414"/>
    </w:p>
    <w:bookmarkEnd w:id="415"/>
    <w:p w:rsidR="006312E8" w:rsidRPr="006312E8" w:rsidRDefault="006312E8" w:rsidP="006312E8">
      <w:pPr>
        <w:spacing w:after="0" w:line="240" w:lineRule="auto"/>
        <w:jc w:val="both"/>
        <w:rPr>
          <w:rFonts w:ascii="Arial" w:eastAsia="Calibri" w:hAnsi="Arial" w:cs="Arial"/>
          <w:b/>
        </w:rPr>
      </w:pPr>
    </w:p>
    <w:p w:rsidR="006312E8" w:rsidRPr="006312E8" w:rsidRDefault="006312E8" w:rsidP="006312E8">
      <w:pPr>
        <w:spacing w:after="200" w:line="240" w:lineRule="auto"/>
        <w:jc w:val="center"/>
        <w:rPr>
          <w:rFonts w:ascii="Arial" w:eastAsia="Calibri" w:hAnsi="Arial" w:cs="Arial"/>
          <w:b/>
        </w:rPr>
      </w:pPr>
      <w:bookmarkStart w:id="416" w:name="_Toc380564999"/>
      <w:r w:rsidRPr="006312E8">
        <w:rPr>
          <w:rFonts w:ascii="Arial" w:eastAsia="Calibri" w:hAnsi="Arial" w:cs="Arial"/>
          <w:b/>
        </w:rPr>
        <w:t>Aprueban el Reglamento de Administración de la Propiedad Inmobiliaria del Sector Defensa</w:t>
      </w:r>
      <w:bookmarkEnd w:id="416"/>
    </w:p>
    <w:p w:rsidR="006312E8" w:rsidRPr="006312E8" w:rsidRDefault="006312E8" w:rsidP="006312E8">
      <w:pPr>
        <w:spacing w:after="200" w:line="240" w:lineRule="auto"/>
        <w:jc w:val="right"/>
        <w:rPr>
          <w:rFonts w:ascii="Arial" w:eastAsia="Calibri" w:hAnsi="Arial" w:cs="Arial"/>
          <w:b/>
        </w:rPr>
      </w:pPr>
      <w:r w:rsidRPr="006312E8">
        <w:rPr>
          <w:rFonts w:ascii="Arial" w:eastAsia="Calibri" w:hAnsi="Arial" w:cs="Arial"/>
          <w:b/>
        </w:rPr>
        <w:t>Fecha de publicación: 24-06-2001</w:t>
      </w:r>
    </w:p>
    <w:p w:rsidR="006312E8" w:rsidRPr="006312E8" w:rsidRDefault="006312E8" w:rsidP="006312E8">
      <w:pPr>
        <w:spacing w:after="0" w:line="240" w:lineRule="auto"/>
        <w:rPr>
          <w:rFonts w:ascii="Arial" w:eastAsia="Times New Roman" w:hAnsi="Arial" w:cs="Arial"/>
          <w:b/>
        </w:rPr>
      </w:pPr>
    </w:p>
    <w:p w:rsidR="006312E8" w:rsidRPr="006312E8" w:rsidRDefault="006312E8" w:rsidP="006312E8">
      <w:pPr>
        <w:spacing w:after="0" w:line="240" w:lineRule="auto"/>
        <w:rPr>
          <w:rFonts w:ascii="Arial" w:eastAsia="Calibri" w:hAnsi="Arial" w:cs="Arial"/>
          <w:b/>
        </w:rPr>
      </w:pPr>
      <w:r w:rsidRPr="006312E8">
        <w:rPr>
          <w:rFonts w:ascii="Arial" w:eastAsia="Calibri" w:hAnsi="Arial" w:cs="Arial"/>
          <w:b/>
        </w:rPr>
        <w:t>EL PRESIDENTE DE LA REPÚBLICA</w:t>
      </w:r>
    </w:p>
    <w:p w:rsidR="006312E8" w:rsidRPr="006312E8" w:rsidRDefault="006312E8" w:rsidP="006312E8">
      <w:pPr>
        <w:spacing w:after="0" w:line="240" w:lineRule="auto"/>
        <w:rPr>
          <w:rFonts w:ascii="Arial" w:eastAsia="Calibri" w:hAnsi="Arial" w:cs="Arial"/>
          <w:b/>
        </w:rPr>
      </w:pPr>
      <w:r w:rsidRPr="006312E8">
        <w:rPr>
          <w:rFonts w:ascii="Arial" w:eastAsia="Calibri" w:hAnsi="Arial" w:cs="Arial"/>
          <w:b/>
        </w:rPr>
        <w:t>CONSIDERANDO:</w:t>
      </w:r>
    </w:p>
    <w:p w:rsidR="006312E8" w:rsidRPr="006312E8" w:rsidRDefault="006312E8" w:rsidP="006312E8">
      <w:pPr>
        <w:spacing w:after="0" w:line="276" w:lineRule="auto"/>
        <w:jc w:val="both"/>
        <w:rPr>
          <w:rFonts w:ascii="Arial" w:eastAsia="Calibri" w:hAnsi="Arial" w:cs="Arial"/>
        </w:rPr>
      </w:pPr>
    </w:p>
    <w:p w:rsidR="006312E8" w:rsidRPr="006312E8" w:rsidRDefault="006312E8" w:rsidP="006312E8">
      <w:pPr>
        <w:spacing w:after="0" w:line="276" w:lineRule="auto"/>
        <w:jc w:val="both"/>
        <w:rPr>
          <w:rFonts w:ascii="Arial" w:eastAsia="Calibri" w:hAnsi="Arial" w:cs="Arial"/>
        </w:rPr>
      </w:pPr>
      <w:r w:rsidRPr="006312E8">
        <w:rPr>
          <w:rFonts w:ascii="Arial" w:eastAsia="Calibri" w:hAnsi="Arial" w:cs="Arial"/>
        </w:rPr>
        <w:t>Que, la Constitución Política del Estado en sus Artículos 165 y 171 establecen que las Fuerzas Armadas están constituidas por el Ejército, la Marina de Guerra y la Fuerza Aérea, las que tienen como finalidad primordial garantizar la independencia, la soberanía y la integridad territorial de la República, así como participan en el desarrollo económico y social del país;</w:t>
      </w:r>
    </w:p>
    <w:p w:rsidR="006312E8" w:rsidRPr="006312E8" w:rsidRDefault="006312E8" w:rsidP="006312E8">
      <w:pPr>
        <w:spacing w:after="0" w:line="276" w:lineRule="auto"/>
        <w:jc w:val="both"/>
        <w:rPr>
          <w:rFonts w:ascii="Arial" w:eastAsia="Calibri" w:hAnsi="Arial" w:cs="Arial"/>
        </w:rPr>
      </w:pPr>
    </w:p>
    <w:p w:rsidR="006312E8" w:rsidRPr="006312E8" w:rsidRDefault="006312E8" w:rsidP="006312E8">
      <w:pPr>
        <w:spacing w:after="0" w:line="276" w:lineRule="auto"/>
        <w:jc w:val="both"/>
        <w:rPr>
          <w:rFonts w:ascii="Arial" w:eastAsia="Calibri" w:hAnsi="Arial" w:cs="Arial"/>
        </w:rPr>
      </w:pPr>
      <w:r w:rsidRPr="006312E8">
        <w:rPr>
          <w:rFonts w:ascii="Arial" w:eastAsia="Calibri" w:hAnsi="Arial" w:cs="Arial"/>
        </w:rPr>
        <w:t>Que, el Artículo 168 de la Carta Magna prescribe las leyes y reglamentos respectivos determinan la organización, las funciones, las especialidades, la preparación y el empleo y norman la disciplina de las Fuerzas Armadas y de la Policía Nacional;</w:t>
      </w:r>
    </w:p>
    <w:p w:rsidR="006312E8" w:rsidRPr="006312E8" w:rsidRDefault="006312E8" w:rsidP="006312E8">
      <w:pPr>
        <w:spacing w:after="0" w:line="276" w:lineRule="auto"/>
        <w:jc w:val="both"/>
        <w:rPr>
          <w:rFonts w:ascii="Arial" w:eastAsia="Calibri" w:hAnsi="Arial" w:cs="Arial"/>
        </w:rPr>
      </w:pPr>
    </w:p>
    <w:p w:rsidR="006312E8" w:rsidRPr="006312E8" w:rsidRDefault="006312E8" w:rsidP="006312E8">
      <w:pPr>
        <w:spacing w:after="0" w:line="276" w:lineRule="auto"/>
        <w:jc w:val="both"/>
        <w:rPr>
          <w:rFonts w:ascii="Arial" w:eastAsia="Calibri" w:hAnsi="Arial" w:cs="Arial"/>
        </w:rPr>
      </w:pPr>
      <w:r w:rsidRPr="006312E8">
        <w:rPr>
          <w:rFonts w:ascii="Arial" w:eastAsia="Calibri" w:hAnsi="Arial" w:cs="Arial"/>
        </w:rPr>
        <w:t>Que, el Decreto Supremo Nº 025-78-VC de fecha 11 mayo 1978 que aprobó el Reglamento de Administración de la Propiedad Fiscal, en su primer considerando excluyó de su ámbito expresamente la cautela, registro y control de administración al patrimonio mobiliario e inmobiliario de la Defensa Nacional;</w:t>
      </w:r>
    </w:p>
    <w:p w:rsidR="006312E8" w:rsidRPr="006312E8" w:rsidRDefault="006312E8" w:rsidP="006312E8">
      <w:pPr>
        <w:spacing w:after="0" w:line="276" w:lineRule="auto"/>
        <w:jc w:val="both"/>
        <w:rPr>
          <w:rFonts w:ascii="Arial" w:eastAsia="Calibri" w:hAnsi="Arial" w:cs="Arial"/>
        </w:rPr>
      </w:pPr>
    </w:p>
    <w:p w:rsidR="006312E8" w:rsidRPr="006312E8" w:rsidRDefault="006312E8" w:rsidP="006312E8">
      <w:pPr>
        <w:spacing w:after="0" w:line="276" w:lineRule="auto"/>
        <w:jc w:val="both"/>
        <w:rPr>
          <w:rFonts w:ascii="Arial" w:eastAsia="Calibri" w:hAnsi="Arial" w:cs="Arial"/>
        </w:rPr>
      </w:pPr>
      <w:r w:rsidRPr="006312E8">
        <w:rPr>
          <w:rFonts w:ascii="Arial" w:eastAsia="Calibri" w:hAnsi="Arial" w:cs="Arial"/>
        </w:rPr>
        <w:t>Que, el Decreto Ley Nº 25556 de fecha 11 junio 1992, Ley Orgánica del Ministerio de la Presidencia, modificado por el Decreto Ley Nº 25738 de fecha 21 setiembre 1992 que transfiere al Ministerio de la Presidencia diversos Organismos Públicos y su Reglamento aprobado por Decreto Supremo Nº 005-93-PRES de fecha 18 marzo 1993, igualmente excluyen expresamente de su normatividad la cautela, registro y administración del Patrimonio de la Defensa Nacional;</w:t>
      </w:r>
    </w:p>
    <w:p w:rsidR="006312E8" w:rsidRPr="006312E8" w:rsidRDefault="006312E8" w:rsidP="006312E8">
      <w:pPr>
        <w:spacing w:after="0" w:line="276" w:lineRule="auto"/>
        <w:jc w:val="both"/>
        <w:rPr>
          <w:rFonts w:ascii="Arial" w:eastAsia="Calibri" w:hAnsi="Arial" w:cs="Arial"/>
        </w:rPr>
      </w:pPr>
    </w:p>
    <w:p w:rsidR="006312E8" w:rsidRPr="006312E8" w:rsidRDefault="006312E8" w:rsidP="006312E8">
      <w:pPr>
        <w:spacing w:after="0" w:line="276" w:lineRule="auto"/>
        <w:jc w:val="both"/>
        <w:rPr>
          <w:rFonts w:ascii="Arial" w:eastAsia="Calibri" w:hAnsi="Arial" w:cs="Arial"/>
        </w:rPr>
      </w:pPr>
      <w:r w:rsidRPr="006312E8">
        <w:rPr>
          <w:rFonts w:ascii="Arial" w:eastAsia="Calibri" w:hAnsi="Arial" w:cs="Arial"/>
        </w:rPr>
        <w:t>Que, de conformidad con el Decreto Ley Nº 18218 de fecha 14 abril 1970, los inmuebles de propiedad del Estado afectados en uso a las Fuerzas Armadas, sólo serán utilizados para el fin materia de afectación;</w:t>
      </w:r>
    </w:p>
    <w:p w:rsidR="006312E8" w:rsidRPr="006312E8" w:rsidRDefault="006312E8" w:rsidP="006312E8">
      <w:pPr>
        <w:spacing w:after="0" w:line="276" w:lineRule="auto"/>
        <w:jc w:val="both"/>
        <w:rPr>
          <w:rFonts w:ascii="Arial" w:eastAsia="Calibri" w:hAnsi="Arial" w:cs="Arial"/>
        </w:rPr>
      </w:pPr>
    </w:p>
    <w:p w:rsidR="006312E8" w:rsidRPr="006312E8" w:rsidRDefault="006312E8" w:rsidP="006312E8">
      <w:pPr>
        <w:spacing w:after="0" w:line="276" w:lineRule="auto"/>
        <w:jc w:val="both"/>
        <w:rPr>
          <w:rFonts w:ascii="Arial" w:eastAsia="Calibri" w:hAnsi="Arial" w:cs="Arial"/>
        </w:rPr>
      </w:pPr>
      <w:r w:rsidRPr="006312E8">
        <w:rPr>
          <w:rFonts w:ascii="Arial" w:eastAsia="Calibri" w:hAnsi="Arial" w:cs="Arial"/>
        </w:rPr>
        <w:t>Que, por Decreto Supremo Nº 024-DE/SG de fecha 26 junio 1990, se declara intangible los bienes inmuebles afectados a las Fuerzas Armadas, a fin de garantizar que la propiedad y posesión directa por el Estado y los Institutos Armados no sean objeto de pretensiones de terceros, ratificándose la posibilidad de aplicar el Decreto Ley Nº 18218;</w:t>
      </w:r>
    </w:p>
    <w:p w:rsidR="006312E8" w:rsidRPr="006312E8" w:rsidRDefault="006312E8" w:rsidP="006312E8">
      <w:pPr>
        <w:spacing w:after="0" w:line="276" w:lineRule="auto"/>
        <w:jc w:val="both"/>
        <w:rPr>
          <w:rFonts w:ascii="Arial" w:eastAsia="Calibri" w:hAnsi="Arial" w:cs="Arial"/>
        </w:rPr>
      </w:pPr>
    </w:p>
    <w:p w:rsidR="006312E8" w:rsidRPr="006312E8" w:rsidRDefault="006312E8" w:rsidP="006312E8">
      <w:pPr>
        <w:spacing w:after="0" w:line="276" w:lineRule="auto"/>
        <w:jc w:val="both"/>
        <w:rPr>
          <w:rFonts w:ascii="Arial" w:eastAsia="Calibri" w:hAnsi="Arial" w:cs="Arial"/>
        </w:rPr>
      </w:pPr>
      <w:r w:rsidRPr="006312E8">
        <w:rPr>
          <w:rFonts w:ascii="Arial" w:eastAsia="Calibri" w:hAnsi="Arial" w:cs="Arial"/>
        </w:rPr>
        <w:t xml:space="preserve">Que, por Decreto Ley Nº 17752 de fecha 24 julio 1969, Decreto Supremo Nº 022-84-MA de fecha 20 noviembre 1984 y Artículo 1 del Decreto Supremo Nº 41 GE/A de fecha 22 julio 1941, establece una zona declarada de influencia militar, dentro de una extensión de </w:t>
      </w:r>
      <w:smartTag w:uri="urn:schemas-microsoft-com:office:smarttags" w:element="metricconverter">
        <w:smartTagPr>
          <w:attr w:name="ProductID" w:val="200 metros"/>
        </w:smartTagPr>
        <w:r w:rsidRPr="006312E8">
          <w:rPr>
            <w:rFonts w:ascii="Arial" w:eastAsia="Calibri" w:hAnsi="Arial" w:cs="Arial"/>
          </w:rPr>
          <w:t>200 metros</w:t>
        </w:r>
      </w:smartTag>
      <w:r w:rsidRPr="006312E8">
        <w:rPr>
          <w:rFonts w:ascii="Arial" w:eastAsia="Calibri" w:hAnsi="Arial" w:cs="Arial"/>
        </w:rPr>
        <w:t xml:space="preserve"> en las zonas suburbanas y no urbanas;</w:t>
      </w:r>
    </w:p>
    <w:p w:rsidR="006312E8" w:rsidRPr="006312E8" w:rsidRDefault="006312E8" w:rsidP="006312E8">
      <w:pPr>
        <w:spacing w:after="0" w:line="276" w:lineRule="auto"/>
        <w:jc w:val="both"/>
        <w:rPr>
          <w:rFonts w:ascii="Arial" w:eastAsia="Calibri" w:hAnsi="Arial" w:cs="Arial"/>
        </w:rPr>
      </w:pPr>
    </w:p>
    <w:p w:rsidR="006312E8" w:rsidRPr="006312E8" w:rsidRDefault="006312E8" w:rsidP="006312E8">
      <w:pPr>
        <w:spacing w:after="0" w:line="276" w:lineRule="auto"/>
        <w:jc w:val="both"/>
        <w:rPr>
          <w:rFonts w:ascii="Arial" w:eastAsia="Calibri" w:hAnsi="Arial" w:cs="Arial"/>
        </w:rPr>
      </w:pPr>
      <w:r w:rsidRPr="006312E8">
        <w:rPr>
          <w:rFonts w:ascii="Arial" w:eastAsia="Calibri" w:hAnsi="Arial" w:cs="Arial"/>
        </w:rPr>
        <w:t>Que, en consecuencia es necesario normar reglamentariamente la administración inmobiliaria del Sector Defensa salvaguardando a la Seguridad y la Defensa Nacional;</w:t>
      </w:r>
    </w:p>
    <w:p w:rsidR="006312E8" w:rsidRPr="006312E8" w:rsidRDefault="006312E8" w:rsidP="006312E8">
      <w:pPr>
        <w:spacing w:after="0" w:line="276" w:lineRule="auto"/>
        <w:jc w:val="both"/>
        <w:rPr>
          <w:rFonts w:ascii="Arial" w:eastAsia="Calibri" w:hAnsi="Arial" w:cs="Arial"/>
        </w:rPr>
      </w:pPr>
      <w:r w:rsidRPr="006312E8">
        <w:rPr>
          <w:rFonts w:ascii="Arial" w:eastAsia="Calibri" w:hAnsi="Arial" w:cs="Arial"/>
        </w:rPr>
        <w:t>Estando a lo opinado por la Oficina de Asesoría Jurídica del Ministerio de Defensa, a lo recomendado por la Secretaria General del Ministerio de Defensa y a lo acordado por el Ministro de Defensa.</w:t>
      </w:r>
    </w:p>
    <w:p w:rsidR="006312E8" w:rsidRPr="006312E8" w:rsidRDefault="006312E8" w:rsidP="006312E8">
      <w:pPr>
        <w:spacing w:after="0" w:line="276" w:lineRule="auto"/>
        <w:jc w:val="both"/>
        <w:rPr>
          <w:rFonts w:ascii="Arial" w:eastAsia="Calibri" w:hAnsi="Arial" w:cs="Arial"/>
          <w:b/>
        </w:rPr>
      </w:pPr>
    </w:p>
    <w:p w:rsidR="00246CE9" w:rsidRDefault="00246CE9" w:rsidP="006312E8">
      <w:pPr>
        <w:spacing w:after="0" w:line="276" w:lineRule="auto"/>
        <w:jc w:val="both"/>
        <w:rPr>
          <w:rFonts w:ascii="Arial" w:eastAsia="Calibri" w:hAnsi="Arial" w:cs="Arial"/>
          <w:b/>
        </w:rPr>
      </w:pPr>
    </w:p>
    <w:p w:rsidR="006312E8" w:rsidRPr="006312E8" w:rsidRDefault="006312E8" w:rsidP="006312E8">
      <w:pPr>
        <w:spacing w:after="0" w:line="276" w:lineRule="auto"/>
        <w:jc w:val="both"/>
        <w:rPr>
          <w:rFonts w:ascii="Arial" w:eastAsia="Calibri" w:hAnsi="Arial" w:cs="Arial"/>
          <w:b/>
        </w:rPr>
      </w:pPr>
      <w:r w:rsidRPr="006312E8">
        <w:rPr>
          <w:rFonts w:ascii="Arial" w:eastAsia="Calibri" w:hAnsi="Arial" w:cs="Arial"/>
          <w:b/>
        </w:rPr>
        <w:t>DECRETA:</w:t>
      </w:r>
    </w:p>
    <w:p w:rsidR="006312E8" w:rsidRPr="006312E8" w:rsidRDefault="006312E8" w:rsidP="006312E8">
      <w:pPr>
        <w:spacing w:after="0" w:line="276" w:lineRule="auto"/>
        <w:jc w:val="both"/>
        <w:rPr>
          <w:rFonts w:ascii="Arial" w:eastAsia="Calibri" w:hAnsi="Arial" w:cs="Arial"/>
        </w:rPr>
      </w:pPr>
      <w:r w:rsidRPr="006312E8">
        <w:rPr>
          <w:rFonts w:ascii="Arial" w:eastAsia="Calibri" w:hAnsi="Arial" w:cs="Arial"/>
          <w:b/>
        </w:rPr>
        <w:t>Artículo 1.-</w:t>
      </w:r>
      <w:r w:rsidRPr="006312E8">
        <w:rPr>
          <w:rFonts w:ascii="Arial" w:eastAsia="Calibri" w:hAnsi="Arial" w:cs="Arial"/>
        </w:rPr>
        <w:t xml:space="preserve"> Apruébase el Reglamento de Administración de la Propiedad Inmobiliaria del Sector Defensa, el que consta de IV Capítulos, 08 Secciones, 38 Artículos y Cuatro Disposiciones Complementarias y Finales.</w:t>
      </w:r>
    </w:p>
    <w:p w:rsidR="006312E8" w:rsidRPr="006312E8" w:rsidRDefault="006312E8" w:rsidP="006312E8">
      <w:pPr>
        <w:spacing w:after="0" w:line="276" w:lineRule="auto"/>
        <w:jc w:val="both"/>
        <w:rPr>
          <w:rFonts w:ascii="Arial" w:eastAsia="Calibri" w:hAnsi="Arial" w:cs="Arial"/>
        </w:rPr>
      </w:pPr>
      <w:r w:rsidRPr="006312E8">
        <w:rPr>
          <w:rFonts w:ascii="Arial" w:eastAsia="Calibri" w:hAnsi="Arial" w:cs="Arial"/>
          <w:b/>
        </w:rPr>
        <w:t>Artículo 2.-</w:t>
      </w:r>
      <w:r w:rsidRPr="006312E8">
        <w:rPr>
          <w:rFonts w:ascii="Arial" w:eastAsia="Calibri" w:hAnsi="Arial" w:cs="Arial"/>
        </w:rPr>
        <w:t xml:space="preserve"> El presente Decreto Supremo será refrendado por el Ministro de Defensa.</w:t>
      </w:r>
    </w:p>
    <w:p w:rsidR="006312E8" w:rsidRPr="006312E8" w:rsidRDefault="006312E8" w:rsidP="006312E8">
      <w:pPr>
        <w:spacing w:after="0" w:line="276" w:lineRule="auto"/>
        <w:jc w:val="both"/>
        <w:rPr>
          <w:rFonts w:ascii="Arial" w:eastAsia="Calibri" w:hAnsi="Arial" w:cs="Arial"/>
        </w:rPr>
      </w:pPr>
      <w:r w:rsidRPr="006312E8">
        <w:rPr>
          <w:rFonts w:ascii="Arial" w:eastAsia="Calibri" w:hAnsi="Arial" w:cs="Arial"/>
        </w:rPr>
        <w:t>Dado en la Casa de Gobierno, en Lima, a los trece días del mes de junio del dos mil uno.</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Regístrese y comuníquese como Documento Oficial Público (D.O.P.).</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ind w:left="993"/>
        <w:jc w:val="both"/>
        <w:rPr>
          <w:rFonts w:ascii="Arial" w:eastAsia="Calibri" w:hAnsi="Arial" w:cs="Arial"/>
          <w:b/>
        </w:rPr>
      </w:pPr>
      <w:r w:rsidRPr="006312E8">
        <w:rPr>
          <w:rFonts w:ascii="Arial" w:eastAsia="Calibri" w:hAnsi="Arial" w:cs="Arial"/>
          <w:b/>
        </w:rPr>
        <w:t>VALENTIN PANIAGUA CORAZAO</w:t>
      </w:r>
    </w:p>
    <w:p w:rsidR="006312E8" w:rsidRPr="006312E8" w:rsidRDefault="006312E8" w:rsidP="006312E8">
      <w:pPr>
        <w:spacing w:after="0" w:line="240" w:lineRule="auto"/>
        <w:ind w:left="993"/>
        <w:jc w:val="both"/>
        <w:rPr>
          <w:rFonts w:ascii="Arial" w:eastAsia="Calibri" w:hAnsi="Arial" w:cs="Arial"/>
        </w:rPr>
      </w:pPr>
      <w:r w:rsidRPr="006312E8">
        <w:rPr>
          <w:rFonts w:ascii="Arial" w:eastAsia="Calibri" w:hAnsi="Arial" w:cs="Arial"/>
        </w:rPr>
        <w:t>Presidente Constitucional de la República</w:t>
      </w:r>
    </w:p>
    <w:p w:rsidR="006312E8" w:rsidRPr="006312E8" w:rsidRDefault="006312E8" w:rsidP="006312E8">
      <w:pPr>
        <w:spacing w:after="0" w:line="240" w:lineRule="auto"/>
        <w:ind w:left="993"/>
        <w:jc w:val="both"/>
        <w:rPr>
          <w:rFonts w:ascii="Arial" w:eastAsia="Calibri" w:hAnsi="Arial" w:cs="Arial"/>
        </w:rPr>
      </w:pPr>
    </w:p>
    <w:p w:rsidR="006312E8" w:rsidRPr="006312E8" w:rsidRDefault="006312E8" w:rsidP="006312E8">
      <w:pPr>
        <w:spacing w:after="0" w:line="240" w:lineRule="auto"/>
        <w:ind w:left="993"/>
        <w:jc w:val="both"/>
        <w:rPr>
          <w:rFonts w:ascii="Arial" w:eastAsia="Calibri" w:hAnsi="Arial" w:cs="Arial"/>
          <w:b/>
        </w:rPr>
      </w:pPr>
      <w:r w:rsidRPr="006312E8">
        <w:rPr>
          <w:rFonts w:ascii="Arial" w:eastAsia="Calibri" w:hAnsi="Arial" w:cs="Arial"/>
          <w:b/>
        </w:rPr>
        <w:t>WALTER LEDESMA REBAZA</w:t>
      </w:r>
    </w:p>
    <w:p w:rsidR="006312E8" w:rsidRPr="006312E8" w:rsidRDefault="006312E8" w:rsidP="006312E8">
      <w:pPr>
        <w:spacing w:after="0" w:line="240" w:lineRule="auto"/>
        <w:ind w:left="993"/>
        <w:jc w:val="both"/>
        <w:rPr>
          <w:rFonts w:ascii="Arial" w:eastAsia="Calibri" w:hAnsi="Arial" w:cs="Arial"/>
        </w:rPr>
      </w:pPr>
      <w:r w:rsidRPr="006312E8">
        <w:rPr>
          <w:rFonts w:ascii="Arial" w:eastAsia="Calibri" w:hAnsi="Arial" w:cs="Arial"/>
        </w:rPr>
        <w:t>Ministro de Defensa</w:t>
      </w:r>
    </w:p>
    <w:p w:rsidR="006312E8" w:rsidRPr="006312E8" w:rsidRDefault="006312E8" w:rsidP="006312E8">
      <w:pPr>
        <w:spacing w:after="200" w:line="276" w:lineRule="auto"/>
        <w:jc w:val="both"/>
        <w:rPr>
          <w:rFonts w:ascii="Arial" w:eastAsia="Calibri" w:hAnsi="Arial" w:cs="Arial"/>
        </w:rPr>
      </w:pPr>
    </w:p>
    <w:p w:rsidR="006312E8" w:rsidRPr="006312E8" w:rsidRDefault="006312E8" w:rsidP="006312E8">
      <w:pPr>
        <w:spacing w:after="200" w:line="276" w:lineRule="auto"/>
        <w:jc w:val="center"/>
        <w:rPr>
          <w:rFonts w:ascii="Arial" w:eastAsia="Calibri" w:hAnsi="Arial" w:cs="Arial"/>
          <w:b/>
        </w:rPr>
      </w:pPr>
      <w:r w:rsidRPr="006312E8">
        <w:rPr>
          <w:rFonts w:ascii="Arial" w:eastAsia="Calibri" w:hAnsi="Arial" w:cs="Arial"/>
          <w:b/>
        </w:rPr>
        <w:t>REGLAMENTO DE ADMINISTRACION DEL PATRIMONIO INMOBILIARIO DEL SECTOR DEFENSA</w:t>
      </w:r>
    </w:p>
    <w:p w:rsidR="006312E8" w:rsidRPr="006312E8" w:rsidRDefault="006312E8" w:rsidP="006312E8">
      <w:pPr>
        <w:spacing w:after="0" w:line="240" w:lineRule="auto"/>
        <w:jc w:val="center"/>
        <w:rPr>
          <w:rFonts w:ascii="Arial" w:eastAsia="Calibri" w:hAnsi="Arial" w:cs="Arial"/>
          <w:b/>
        </w:rPr>
      </w:pPr>
      <w:r w:rsidRPr="006312E8">
        <w:rPr>
          <w:rFonts w:ascii="Arial" w:eastAsia="Calibri" w:hAnsi="Arial" w:cs="Arial"/>
          <w:b/>
        </w:rPr>
        <w:t>CAPITULO I</w:t>
      </w:r>
    </w:p>
    <w:p w:rsidR="006312E8" w:rsidRPr="006312E8" w:rsidRDefault="006312E8" w:rsidP="006312E8">
      <w:pPr>
        <w:spacing w:after="0" w:line="240" w:lineRule="auto"/>
        <w:jc w:val="center"/>
        <w:rPr>
          <w:rFonts w:ascii="Arial" w:eastAsia="Calibri" w:hAnsi="Arial" w:cs="Arial"/>
          <w:b/>
        </w:rPr>
      </w:pPr>
      <w:r w:rsidRPr="006312E8">
        <w:rPr>
          <w:rFonts w:ascii="Arial" w:eastAsia="Calibri" w:hAnsi="Arial" w:cs="Arial"/>
          <w:b/>
        </w:rPr>
        <w:t>PATRIMONIO INMOBILIARIO DEL SECTOR DEFENSA</w:t>
      </w:r>
    </w:p>
    <w:p w:rsidR="006312E8" w:rsidRPr="006312E8" w:rsidRDefault="006312E8" w:rsidP="006312E8">
      <w:pPr>
        <w:spacing w:after="0" w:line="240" w:lineRule="auto"/>
        <w:jc w:val="center"/>
        <w:rPr>
          <w:rFonts w:ascii="Arial" w:eastAsia="Calibri" w:hAnsi="Arial" w:cs="Arial"/>
          <w:b/>
        </w:rPr>
      </w:pPr>
    </w:p>
    <w:p w:rsidR="006312E8" w:rsidRPr="006312E8" w:rsidRDefault="006312E8" w:rsidP="006312E8">
      <w:pPr>
        <w:spacing w:after="0" w:line="240" w:lineRule="auto"/>
        <w:jc w:val="center"/>
        <w:rPr>
          <w:rFonts w:ascii="Arial" w:eastAsia="Calibri" w:hAnsi="Arial" w:cs="Arial"/>
          <w:b/>
        </w:rPr>
      </w:pPr>
      <w:r w:rsidRPr="006312E8">
        <w:rPr>
          <w:rFonts w:ascii="Arial" w:eastAsia="Calibri" w:hAnsi="Arial" w:cs="Arial"/>
          <w:b/>
        </w:rPr>
        <w:t>SECCION I</w:t>
      </w:r>
    </w:p>
    <w:p w:rsidR="006312E8" w:rsidRPr="006312E8" w:rsidRDefault="006312E8" w:rsidP="006312E8">
      <w:pPr>
        <w:spacing w:after="0" w:line="240" w:lineRule="auto"/>
        <w:jc w:val="center"/>
        <w:rPr>
          <w:rFonts w:ascii="Arial" w:eastAsia="Calibri" w:hAnsi="Arial" w:cs="Arial"/>
          <w:b/>
        </w:rPr>
      </w:pPr>
      <w:r w:rsidRPr="006312E8">
        <w:rPr>
          <w:rFonts w:ascii="Arial" w:eastAsia="Calibri" w:hAnsi="Arial" w:cs="Arial"/>
          <w:b/>
        </w:rPr>
        <w:t>DISPOSICIONES GENERALES</w:t>
      </w:r>
    </w:p>
    <w:p w:rsidR="006312E8" w:rsidRPr="006312E8" w:rsidRDefault="006312E8" w:rsidP="006312E8">
      <w:pPr>
        <w:spacing w:after="0" w:line="240" w:lineRule="auto"/>
        <w:jc w:val="center"/>
        <w:rPr>
          <w:rFonts w:ascii="Arial" w:eastAsia="Calibri" w:hAnsi="Arial" w:cs="Arial"/>
        </w:rPr>
      </w:pP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b/>
        </w:rPr>
        <w:t>Artículo 1.-</w:t>
      </w:r>
      <w:r w:rsidRPr="006312E8">
        <w:rPr>
          <w:rFonts w:ascii="Arial" w:eastAsia="Calibri" w:hAnsi="Arial" w:cs="Arial"/>
        </w:rPr>
        <w:t xml:space="preserve"> El presente Reglamento regula la propiedad inmueble, su posesión, registro, control y administración y los derechos ejercidos sobre ella, de los órganos de ejecución del Ministerio de Defensa que a continuación se indican:</w:t>
      </w: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rPr>
        <w:tab/>
        <w:t>a) Comando Conjunto de las Fuerzas Armadas</w:t>
      </w: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rPr>
        <w:tab/>
        <w:t>b) Ejército del Perú</w:t>
      </w: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rPr>
        <w:tab/>
        <w:t>c) Marina de Guerra del Perú</w:t>
      </w: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rPr>
        <w:tab/>
        <w:t>d) Fuerza Aérea del Perú (*)</w:t>
      </w:r>
    </w:p>
    <w:p w:rsidR="006312E8" w:rsidRPr="006312E8" w:rsidRDefault="006312E8" w:rsidP="006312E8">
      <w:pPr>
        <w:spacing w:after="200" w:line="276" w:lineRule="auto"/>
        <w:jc w:val="both"/>
        <w:rPr>
          <w:rFonts w:ascii="Arial" w:eastAsia="Calibri" w:hAnsi="Arial" w:cs="Arial"/>
          <w:b/>
          <w:color w:val="FF0000"/>
          <w:sz w:val="16"/>
          <w:szCs w:val="16"/>
        </w:rPr>
      </w:pPr>
      <w:r w:rsidRPr="006312E8">
        <w:rPr>
          <w:rFonts w:ascii="Arial" w:eastAsia="Calibri" w:hAnsi="Arial" w:cs="Arial"/>
          <w:b/>
          <w:color w:val="FF0000"/>
          <w:sz w:val="16"/>
          <w:szCs w:val="16"/>
        </w:rPr>
        <w:t xml:space="preserve">(*) De conformidad con el Artículo 1 de la Resolución Ministerial Nº 1294-2007-DE-SG, publicada el 15 diciembre 2007, se establece que para efectos regístrales que toda mención efectuada a los extinguidos Ministerios de Guerra, Marina y Aeronáutica deberán entenderse, respectivamente, como al Ministerio de Defensa- Ejército del Perú, Ministerio de Defensa - Marina de Guerra del Perú y Ministerio de Defensa - Fuerza Aérea del Perú”. </w:t>
      </w: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b/>
        </w:rPr>
        <w:t>Artículo 2.-</w:t>
      </w:r>
      <w:r w:rsidRPr="006312E8">
        <w:rPr>
          <w:rFonts w:ascii="Arial" w:eastAsia="Calibri" w:hAnsi="Arial" w:cs="Arial"/>
        </w:rPr>
        <w:t xml:space="preserve"> Para los aspectos del presente Reglamento, la División de Información Patrimonial del Ministerio de Defensa adscrita a la Oficina General de Administración del Ministerio de Defensa llevará el registro global del Patrimonio Inmobiliario de los Institutos Armados.</w:t>
      </w: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b/>
        </w:rPr>
        <w:t xml:space="preserve">Artículo 3.- </w:t>
      </w:r>
      <w:r w:rsidRPr="006312E8">
        <w:rPr>
          <w:rFonts w:ascii="Arial" w:eastAsia="Calibri" w:hAnsi="Arial" w:cs="Arial"/>
        </w:rPr>
        <w:t>La Dirección General o Comando que desarrolla las actividades logísticas de cada Instituto conformante de las Fuerzas Armadas y del Comando Conjunto de las Fuerzas Armadas, es la encargada de registrar, administrar y cautelar el patrimonio inmobiliario de cada uno de ellos realizando las actividades siguientes:</w:t>
      </w:r>
    </w:p>
    <w:p w:rsidR="006312E8" w:rsidRPr="006312E8" w:rsidRDefault="006312E8" w:rsidP="00241D1D">
      <w:pPr>
        <w:numPr>
          <w:ilvl w:val="0"/>
          <w:numId w:val="70"/>
        </w:numPr>
        <w:spacing w:after="200" w:line="276" w:lineRule="auto"/>
        <w:ind w:left="426"/>
        <w:jc w:val="both"/>
        <w:rPr>
          <w:rFonts w:ascii="Arial" w:eastAsia="Calibri" w:hAnsi="Arial" w:cs="Arial"/>
        </w:rPr>
      </w:pPr>
      <w:r w:rsidRPr="006312E8">
        <w:rPr>
          <w:rFonts w:ascii="Arial" w:eastAsia="Calibri" w:hAnsi="Arial" w:cs="Arial"/>
        </w:rPr>
        <w:t xml:space="preserve">Llevar el Margesí de bienes inmuebles del Instituto, anotándolos separadamente según su naturaleza de bienes propios, afectados o reservados. </w:t>
      </w:r>
    </w:p>
    <w:p w:rsidR="006312E8" w:rsidRPr="006312E8" w:rsidRDefault="006312E8" w:rsidP="00241D1D">
      <w:pPr>
        <w:numPr>
          <w:ilvl w:val="0"/>
          <w:numId w:val="70"/>
        </w:numPr>
        <w:spacing w:after="200" w:line="276" w:lineRule="auto"/>
        <w:ind w:left="426"/>
        <w:jc w:val="both"/>
        <w:rPr>
          <w:rFonts w:ascii="Arial" w:eastAsia="Calibri" w:hAnsi="Arial" w:cs="Arial"/>
        </w:rPr>
      </w:pPr>
      <w:r w:rsidRPr="006312E8">
        <w:rPr>
          <w:rFonts w:ascii="Arial" w:eastAsia="Calibri" w:hAnsi="Arial" w:cs="Arial"/>
        </w:rPr>
        <w:t>Llevar el registro de los bienes inmuebles en los que el Instituto tenga la condición de arrendatario o de arrendador.</w:t>
      </w:r>
    </w:p>
    <w:p w:rsidR="006312E8" w:rsidRPr="006312E8" w:rsidRDefault="006312E8" w:rsidP="00241D1D">
      <w:pPr>
        <w:numPr>
          <w:ilvl w:val="0"/>
          <w:numId w:val="70"/>
        </w:numPr>
        <w:spacing w:after="200" w:line="276" w:lineRule="auto"/>
        <w:ind w:left="426"/>
        <w:jc w:val="both"/>
        <w:rPr>
          <w:rFonts w:ascii="Arial" w:eastAsia="Calibri" w:hAnsi="Arial" w:cs="Arial"/>
        </w:rPr>
      </w:pPr>
      <w:r w:rsidRPr="006312E8">
        <w:rPr>
          <w:rFonts w:ascii="Arial" w:eastAsia="Calibri" w:hAnsi="Arial" w:cs="Arial"/>
        </w:rPr>
        <w:t xml:space="preserve">Efectuar la visación de los contratos u otros documentos que conlleven a la adquisición y enajenación de inmuebles en los que el Instituto sea parte. </w:t>
      </w:r>
    </w:p>
    <w:p w:rsidR="006312E8" w:rsidRPr="006312E8" w:rsidRDefault="006312E8" w:rsidP="00241D1D">
      <w:pPr>
        <w:numPr>
          <w:ilvl w:val="0"/>
          <w:numId w:val="70"/>
        </w:numPr>
        <w:spacing w:after="200" w:line="276" w:lineRule="auto"/>
        <w:ind w:left="426"/>
        <w:jc w:val="both"/>
        <w:rPr>
          <w:rFonts w:ascii="Arial" w:eastAsia="Calibri" w:hAnsi="Arial" w:cs="Arial"/>
        </w:rPr>
      </w:pPr>
      <w:r w:rsidRPr="006312E8">
        <w:rPr>
          <w:rFonts w:ascii="Arial" w:eastAsia="Calibri" w:hAnsi="Arial" w:cs="Arial"/>
        </w:rPr>
        <w:t>Conocer, tramitar y proponer a la Comandancia General la acción a seguir con relación a la adquisición y enajenación de bienes inmuebles.</w:t>
      </w:r>
    </w:p>
    <w:p w:rsidR="006312E8" w:rsidRPr="006312E8" w:rsidRDefault="006312E8" w:rsidP="00241D1D">
      <w:pPr>
        <w:numPr>
          <w:ilvl w:val="0"/>
          <w:numId w:val="70"/>
        </w:numPr>
        <w:spacing w:after="200" w:line="276" w:lineRule="auto"/>
        <w:ind w:left="426"/>
        <w:jc w:val="both"/>
        <w:rPr>
          <w:rFonts w:ascii="Arial" w:eastAsia="Calibri" w:hAnsi="Arial" w:cs="Arial"/>
        </w:rPr>
      </w:pPr>
      <w:r w:rsidRPr="006312E8">
        <w:rPr>
          <w:rFonts w:ascii="Arial" w:eastAsia="Calibri" w:hAnsi="Arial" w:cs="Arial"/>
        </w:rPr>
        <w:t>Accionar ante el organismo del Estado que proponga alguna transferencia o permuta de algún bien inmueble del Instituto.</w:t>
      </w:r>
    </w:p>
    <w:p w:rsidR="006312E8" w:rsidRPr="006312E8" w:rsidRDefault="006312E8" w:rsidP="00241D1D">
      <w:pPr>
        <w:numPr>
          <w:ilvl w:val="0"/>
          <w:numId w:val="70"/>
        </w:numPr>
        <w:spacing w:after="200" w:line="276" w:lineRule="auto"/>
        <w:ind w:left="426"/>
        <w:jc w:val="both"/>
        <w:rPr>
          <w:rFonts w:ascii="Arial" w:eastAsia="Calibri" w:hAnsi="Arial" w:cs="Arial"/>
        </w:rPr>
      </w:pPr>
      <w:r w:rsidRPr="006312E8">
        <w:rPr>
          <w:rFonts w:ascii="Arial" w:eastAsia="Calibri" w:hAnsi="Arial" w:cs="Arial"/>
        </w:rPr>
        <w:t>Conocer y proponer ante el Sector correspondiente toda afectación y/o desafectación patrimonial del Instituto.</w:t>
      </w:r>
    </w:p>
    <w:p w:rsidR="006312E8" w:rsidRPr="006312E8" w:rsidRDefault="006312E8" w:rsidP="00241D1D">
      <w:pPr>
        <w:numPr>
          <w:ilvl w:val="0"/>
          <w:numId w:val="70"/>
        </w:numPr>
        <w:spacing w:after="200" w:line="276" w:lineRule="auto"/>
        <w:ind w:left="426"/>
        <w:jc w:val="both"/>
        <w:rPr>
          <w:rFonts w:ascii="Arial" w:eastAsia="Calibri" w:hAnsi="Arial" w:cs="Arial"/>
        </w:rPr>
      </w:pPr>
      <w:r w:rsidRPr="006312E8">
        <w:rPr>
          <w:rFonts w:ascii="Arial" w:eastAsia="Calibri" w:hAnsi="Arial" w:cs="Arial"/>
        </w:rPr>
        <w:t>Intervenir en el arrendamiento de los bienes inmuebles del Instituto o en su otorgamiento en uso o usufructo o superficie, presentando la debida sustentación.</w:t>
      </w:r>
    </w:p>
    <w:p w:rsidR="006312E8" w:rsidRPr="006312E8" w:rsidRDefault="006312E8" w:rsidP="00241D1D">
      <w:pPr>
        <w:numPr>
          <w:ilvl w:val="0"/>
          <w:numId w:val="70"/>
        </w:numPr>
        <w:spacing w:after="200" w:line="276" w:lineRule="auto"/>
        <w:ind w:left="426"/>
        <w:jc w:val="both"/>
        <w:rPr>
          <w:rFonts w:ascii="Arial" w:eastAsia="Calibri" w:hAnsi="Arial" w:cs="Arial"/>
        </w:rPr>
      </w:pPr>
      <w:r w:rsidRPr="006312E8">
        <w:rPr>
          <w:rFonts w:ascii="Arial" w:eastAsia="Calibri" w:hAnsi="Arial" w:cs="Arial"/>
        </w:rPr>
        <w:t>Coordinar con quien corresponda las denuncias contra los que incurran en responsabilidad al disponer indebidamente de la propiedad inmobiliaria del Instituto.</w:t>
      </w:r>
    </w:p>
    <w:p w:rsidR="006312E8" w:rsidRPr="006312E8" w:rsidRDefault="006312E8" w:rsidP="00241D1D">
      <w:pPr>
        <w:numPr>
          <w:ilvl w:val="0"/>
          <w:numId w:val="70"/>
        </w:numPr>
        <w:spacing w:after="200" w:line="276" w:lineRule="auto"/>
        <w:ind w:left="426"/>
        <w:jc w:val="both"/>
        <w:rPr>
          <w:rFonts w:ascii="Arial" w:eastAsia="Calibri" w:hAnsi="Arial" w:cs="Arial"/>
        </w:rPr>
      </w:pPr>
      <w:r w:rsidRPr="006312E8">
        <w:rPr>
          <w:rFonts w:ascii="Arial" w:eastAsia="Calibri" w:hAnsi="Arial" w:cs="Arial"/>
        </w:rPr>
        <w:t>Actuar administrativamente en los casos de saneamiento de la Propiedad Inmobiliaria.</w:t>
      </w:r>
    </w:p>
    <w:p w:rsidR="006312E8" w:rsidRPr="006312E8" w:rsidRDefault="006312E8" w:rsidP="00241D1D">
      <w:pPr>
        <w:numPr>
          <w:ilvl w:val="0"/>
          <w:numId w:val="70"/>
        </w:numPr>
        <w:spacing w:after="200" w:line="276" w:lineRule="auto"/>
        <w:ind w:left="426"/>
        <w:jc w:val="both"/>
        <w:rPr>
          <w:rFonts w:ascii="Arial" w:eastAsia="Calibri" w:hAnsi="Arial" w:cs="Arial"/>
        </w:rPr>
      </w:pPr>
      <w:r w:rsidRPr="006312E8">
        <w:rPr>
          <w:rFonts w:ascii="Arial" w:eastAsia="Calibri" w:hAnsi="Arial" w:cs="Arial"/>
        </w:rPr>
        <w:t>Conocer y proponer toda transferencia patrimonial intersectorial o con particulares.</w:t>
      </w:r>
    </w:p>
    <w:p w:rsidR="006312E8" w:rsidRPr="006312E8" w:rsidRDefault="006312E8" w:rsidP="00241D1D">
      <w:pPr>
        <w:numPr>
          <w:ilvl w:val="0"/>
          <w:numId w:val="70"/>
        </w:numPr>
        <w:spacing w:after="200" w:line="276" w:lineRule="auto"/>
        <w:ind w:left="426"/>
        <w:jc w:val="both"/>
        <w:rPr>
          <w:rFonts w:ascii="Arial" w:eastAsia="Calibri" w:hAnsi="Arial" w:cs="Arial"/>
        </w:rPr>
      </w:pPr>
      <w:r w:rsidRPr="006312E8">
        <w:rPr>
          <w:rFonts w:ascii="Arial" w:eastAsia="Calibri" w:hAnsi="Arial" w:cs="Arial"/>
        </w:rPr>
        <w:t>Solicitar al Sector Público Nacional la información que sea necesaria relativa al patrimonio inmobiliario del Instituto.</w:t>
      </w:r>
    </w:p>
    <w:p w:rsidR="006312E8" w:rsidRPr="006312E8" w:rsidRDefault="006312E8" w:rsidP="00241D1D">
      <w:pPr>
        <w:numPr>
          <w:ilvl w:val="0"/>
          <w:numId w:val="70"/>
        </w:numPr>
        <w:spacing w:after="200" w:line="276" w:lineRule="auto"/>
        <w:ind w:left="426"/>
        <w:jc w:val="both"/>
        <w:rPr>
          <w:rFonts w:ascii="Arial" w:eastAsia="Calibri" w:hAnsi="Arial" w:cs="Arial"/>
        </w:rPr>
      </w:pPr>
      <w:r w:rsidRPr="006312E8">
        <w:rPr>
          <w:rFonts w:ascii="Arial" w:eastAsia="Calibri" w:hAnsi="Arial" w:cs="Arial"/>
        </w:rPr>
        <w:t>Realizar las acciones administrativas vinculadas con los procedimientos expropiatorio incluyendo los actos periciales de tasación</w:t>
      </w:r>
    </w:p>
    <w:p w:rsidR="006312E8" w:rsidRPr="006312E8" w:rsidRDefault="006312E8" w:rsidP="006312E8">
      <w:pPr>
        <w:spacing w:after="0" w:line="240" w:lineRule="auto"/>
        <w:jc w:val="center"/>
        <w:rPr>
          <w:rFonts w:ascii="Arial" w:eastAsia="Calibri" w:hAnsi="Arial" w:cs="Arial"/>
          <w:b/>
        </w:rPr>
      </w:pPr>
      <w:r w:rsidRPr="006312E8">
        <w:rPr>
          <w:rFonts w:ascii="Arial" w:eastAsia="Calibri" w:hAnsi="Arial" w:cs="Arial"/>
          <w:b/>
        </w:rPr>
        <w:t>SECCION II</w:t>
      </w:r>
    </w:p>
    <w:p w:rsidR="006312E8" w:rsidRPr="006312E8" w:rsidRDefault="006312E8" w:rsidP="006312E8">
      <w:pPr>
        <w:spacing w:after="0" w:line="240" w:lineRule="auto"/>
        <w:jc w:val="center"/>
        <w:rPr>
          <w:rFonts w:ascii="Arial" w:eastAsia="Calibri" w:hAnsi="Arial" w:cs="Arial"/>
          <w:b/>
        </w:rPr>
      </w:pPr>
      <w:r w:rsidRPr="006312E8">
        <w:rPr>
          <w:rFonts w:ascii="Arial" w:eastAsia="Calibri" w:hAnsi="Arial" w:cs="Arial"/>
          <w:b/>
        </w:rPr>
        <w:t>DEL REGISTRO PATRIMONIAL INMOBILIARIO DE LOS INSTITUTOS DEL SECTOR DEFENSA</w:t>
      </w:r>
    </w:p>
    <w:p w:rsidR="006312E8" w:rsidRPr="006312E8" w:rsidRDefault="006312E8" w:rsidP="006312E8">
      <w:pPr>
        <w:spacing w:after="0" w:line="240" w:lineRule="auto"/>
        <w:jc w:val="both"/>
        <w:rPr>
          <w:rFonts w:ascii="Arial" w:eastAsia="Calibri" w:hAnsi="Arial" w:cs="Arial"/>
          <w:b/>
        </w:rPr>
      </w:pP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b/>
        </w:rPr>
        <w:t>Artículo 4.-</w:t>
      </w:r>
      <w:r w:rsidRPr="006312E8">
        <w:rPr>
          <w:rFonts w:ascii="Arial" w:eastAsia="Calibri" w:hAnsi="Arial" w:cs="Arial"/>
        </w:rPr>
        <w:t xml:space="preserve"> El Comando Conjunto de las Fuerzas Armadas y los Institutos del Sector Defensa por medio de la Dirección General o Comando correspondiente designado por cada Comandancia General, deberán llevar el Registro Patrimonial de sus Bienes Inmobiliarios individualizándolos y diferenciándolos conforme a su naturaleza, estableciéndose su inscripción en fichas que se extenderán, con anotación sus características, valores y referencias relativas a su ingreso patrimonial.</w:t>
      </w: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b/>
        </w:rPr>
        <w:t>Artículo 5.-</w:t>
      </w:r>
      <w:r w:rsidRPr="006312E8">
        <w:rPr>
          <w:rFonts w:ascii="Arial" w:eastAsia="Calibri" w:hAnsi="Arial" w:cs="Arial"/>
        </w:rPr>
        <w:t xml:space="preserve"> Las Direcciones Generales o Comandos referidos en el artículo anterior, bajo responsabilidad, remitirán a la Dirección de Registro Patrimonial del Ministerio de Defensa copias de las titulaciones de los Bienes Inmuebles que posean y proporcionarán todos los datos que por ella le sean solicitados.</w:t>
      </w:r>
    </w:p>
    <w:p w:rsidR="006312E8" w:rsidRPr="006312E8" w:rsidRDefault="006312E8" w:rsidP="006312E8">
      <w:pPr>
        <w:spacing w:after="0" w:line="240" w:lineRule="auto"/>
        <w:jc w:val="center"/>
        <w:rPr>
          <w:rFonts w:ascii="Arial" w:eastAsia="Calibri" w:hAnsi="Arial" w:cs="Arial"/>
          <w:b/>
        </w:rPr>
      </w:pPr>
      <w:r w:rsidRPr="006312E8">
        <w:rPr>
          <w:rFonts w:ascii="Arial" w:eastAsia="Calibri" w:hAnsi="Arial" w:cs="Arial"/>
          <w:b/>
        </w:rPr>
        <w:t>SECCION III</w:t>
      </w:r>
    </w:p>
    <w:p w:rsidR="006312E8" w:rsidRPr="006312E8" w:rsidRDefault="006312E8" w:rsidP="006312E8">
      <w:pPr>
        <w:spacing w:after="0" w:line="240" w:lineRule="auto"/>
        <w:jc w:val="center"/>
        <w:rPr>
          <w:rFonts w:ascii="Arial" w:eastAsia="Calibri" w:hAnsi="Arial" w:cs="Arial"/>
          <w:b/>
        </w:rPr>
      </w:pPr>
      <w:r w:rsidRPr="006312E8">
        <w:rPr>
          <w:rFonts w:ascii="Arial" w:eastAsia="Calibri" w:hAnsi="Arial" w:cs="Arial"/>
          <w:b/>
        </w:rPr>
        <w:t>FORMAS DE ADQUISICION Y ACTOS DE DISPOSICION DEL PATRIMONIO INMOBILIARIO</w:t>
      </w:r>
    </w:p>
    <w:p w:rsidR="006312E8" w:rsidRPr="006312E8" w:rsidRDefault="006312E8" w:rsidP="006312E8">
      <w:pPr>
        <w:spacing w:after="0" w:line="240" w:lineRule="auto"/>
        <w:jc w:val="both"/>
        <w:rPr>
          <w:rFonts w:ascii="Arial" w:eastAsia="Calibri" w:hAnsi="Arial" w:cs="Arial"/>
          <w:b/>
        </w:rPr>
      </w:pP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b/>
        </w:rPr>
        <w:t>Artículo 6.-</w:t>
      </w:r>
      <w:r w:rsidRPr="006312E8">
        <w:rPr>
          <w:rFonts w:ascii="Arial" w:eastAsia="Calibri" w:hAnsi="Arial" w:cs="Arial"/>
        </w:rPr>
        <w:t xml:space="preserve"> Son formas de adquisición del patrimonio inmobiliario la compraventa, la donación, la permuta y la afectación en uso, la expropiación, la transferencia patrimonial intersectorial e interinstitucional.</w:t>
      </w:r>
    </w:p>
    <w:p w:rsidR="006312E8" w:rsidRPr="006312E8" w:rsidRDefault="006312E8" w:rsidP="006312E8">
      <w:pPr>
        <w:spacing w:after="0" w:line="240" w:lineRule="auto"/>
        <w:jc w:val="center"/>
        <w:rPr>
          <w:rFonts w:ascii="Arial" w:eastAsia="Calibri" w:hAnsi="Arial" w:cs="Arial"/>
          <w:b/>
        </w:rPr>
      </w:pPr>
      <w:r w:rsidRPr="006312E8">
        <w:rPr>
          <w:rFonts w:ascii="Arial" w:eastAsia="Calibri" w:hAnsi="Arial" w:cs="Arial"/>
          <w:b/>
        </w:rPr>
        <w:t>CAPITULO II</w:t>
      </w:r>
    </w:p>
    <w:p w:rsidR="006312E8" w:rsidRPr="006312E8" w:rsidRDefault="006312E8" w:rsidP="006312E8">
      <w:pPr>
        <w:spacing w:after="0" w:line="240" w:lineRule="auto"/>
        <w:jc w:val="center"/>
        <w:rPr>
          <w:rFonts w:ascii="Arial" w:eastAsia="Calibri" w:hAnsi="Arial" w:cs="Arial"/>
          <w:b/>
        </w:rPr>
      </w:pPr>
      <w:r w:rsidRPr="006312E8">
        <w:rPr>
          <w:rFonts w:ascii="Arial" w:eastAsia="Calibri" w:hAnsi="Arial" w:cs="Arial"/>
          <w:b/>
        </w:rPr>
        <w:t>DE LA PROPIEDAD INMUEBLE</w:t>
      </w:r>
    </w:p>
    <w:p w:rsidR="006312E8" w:rsidRPr="006312E8" w:rsidRDefault="006312E8" w:rsidP="006312E8">
      <w:pPr>
        <w:spacing w:after="0" w:line="240" w:lineRule="auto"/>
        <w:jc w:val="center"/>
        <w:rPr>
          <w:rFonts w:ascii="Arial" w:eastAsia="Calibri" w:hAnsi="Arial" w:cs="Arial"/>
          <w:b/>
        </w:rPr>
      </w:pPr>
    </w:p>
    <w:p w:rsidR="006312E8" w:rsidRPr="006312E8" w:rsidRDefault="006312E8" w:rsidP="006312E8">
      <w:pPr>
        <w:spacing w:after="0" w:line="240" w:lineRule="auto"/>
        <w:jc w:val="center"/>
        <w:rPr>
          <w:rFonts w:ascii="Arial" w:eastAsia="Calibri" w:hAnsi="Arial" w:cs="Arial"/>
          <w:b/>
        </w:rPr>
      </w:pPr>
      <w:r w:rsidRPr="006312E8">
        <w:rPr>
          <w:rFonts w:ascii="Arial" w:eastAsia="Calibri" w:hAnsi="Arial" w:cs="Arial"/>
          <w:b/>
        </w:rPr>
        <w:t>SECCION I</w:t>
      </w:r>
    </w:p>
    <w:p w:rsidR="006312E8" w:rsidRPr="006312E8" w:rsidRDefault="006312E8" w:rsidP="006312E8">
      <w:pPr>
        <w:spacing w:after="0" w:line="240" w:lineRule="auto"/>
        <w:jc w:val="center"/>
        <w:rPr>
          <w:rFonts w:ascii="Arial" w:eastAsia="Calibri" w:hAnsi="Arial" w:cs="Arial"/>
          <w:b/>
        </w:rPr>
      </w:pPr>
      <w:r w:rsidRPr="006312E8">
        <w:rPr>
          <w:rFonts w:ascii="Arial" w:eastAsia="Calibri" w:hAnsi="Arial" w:cs="Arial"/>
          <w:b/>
        </w:rPr>
        <w:t>DE LA VENTA DE LA PROPIEDAD INMUEBLE</w:t>
      </w:r>
    </w:p>
    <w:p w:rsidR="006312E8" w:rsidRPr="006312E8" w:rsidRDefault="006312E8" w:rsidP="006312E8">
      <w:pPr>
        <w:spacing w:after="200" w:line="276" w:lineRule="auto"/>
        <w:jc w:val="both"/>
        <w:rPr>
          <w:rFonts w:ascii="Arial" w:eastAsia="Calibri" w:hAnsi="Arial" w:cs="Arial"/>
        </w:rPr>
      </w:pP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b/>
        </w:rPr>
        <w:t>Artículo 7.-</w:t>
      </w:r>
      <w:r w:rsidRPr="006312E8">
        <w:rPr>
          <w:rFonts w:ascii="Arial" w:eastAsia="Calibri" w:hAnsi="Arial" w:cs="Arial"/>
        </w:rPr>
        <w:t xml:space="preserve"> La venta de una propiedad inmueble perteneciente a los Institutos de las Fuerzas Armadas o a un Instituto Armado se aprobará por Resolución Ministerial y se realizará por el procedimiento de subasta pública.</w:t>
      </w: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rPr>
        <w:t>Cuando en caso excepcional sea necesario realizar la venta directa a un particular se requerirá de autorización previa otorgada por Decreto Supremo, con el voto aprobatorio del Consejo de Ministros y refrendado por el Ministro de la Presidencia. (*)</w:t>
      </w:r>
    </w:p>
    <w:p w:rsidR="006312E8" w:rsidRPr="006312E8" w:rsidRDefault="006312E8" w:rsidP="006312E8">
      <w:pPr>
        <w:spacing w:after="200" w:line="276" w:lineRule="auto"/>
        <w:jc w:val="both"/>
        <w:rPr>
          <w:rFonts w:ascii="Arial" w:eastAsia="Calibri" w:hAnsi="Arial" w:cs="Arial"/>
          <w:b/>
          <w:color w:val="FF0000"/>
          <w:sz w:val="16"/>
          <w:szCs w:val="16"/>
        </w:rPr>
      </w:pPr>
      <w:r w:rsidRPr="006312E8">
        <w:rPr>
          <w:rFonts w:ascii="Arial" w:eastAsia="Calibri" w:hAnsi="Arial" w:cs="Arial"/>
          <w:b/>
          <w:color w:val="FF0000"/>
          <w:sz w:val="16"/>
          <w:szCs w:val="16"/>
        </w:rPr>
        <w:t>(*) Dejado sin efecto por el Artículo 1 del Decreto Supremo N° 003-DE-SG, publicado el 26-05-2002, respecto al refrendo por parte del Ministro de la Presidencia de los Decretos Supremos Autoritativos para la venta directa de una propiedad inmueble perteneciente a los Institutos de las Fuerzas Armadas o a un Instituto Armado.</w:t>
      </w: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rPr>
        <w:t>En los casos de subasta pública y venta antes referidos se requiere la sustentación tanto de la Dirección General o Comando del respectivo Instituto o del Comando Conjunto de las Fuerzas Armadas como de la Dirección de Control Patrimonial del Ministerio de Defensa.</w:t>
      </w: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rPr>
        <w:t>Los bienes inmuebles que fueron Afectados en Uso u otros de los Institutos Armados podrán ser transferidos a título oneroso al Fondo de Vivienda respectivo con el valor vigente que figura en el margesí de bienes de cada Instituto Militar.</w:t>
      </w: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rPr>
        <w:t xml:space="preserve">Para este efecto será requerido indispensable la opinión favorable del Instituto y la aceptación del Ministerio de Defensa, con la Resolución que expida se perfeccionará la traslación de dominio respectivo. </w:t>
      </w: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rPr>
        <w:t xml:space="preserve">En el caso de actos de disposición de inmuebles con el objeto de promover la construcción de viviendas en el marco de convenios de cooperación interinstitucional con el Ministerio de Vivienda, Construcción y Saneamiento, preferentemente en beneficio del personal del Instituto Armado y del Sector Defensa, el Ministerio de Defensa o los Institutos Armados quedan facultados a efectuar dichos actos a título oneroso a valor no menor de S/. 1.00 (Un y 00/100 Nuevo Sol) el metro cuadrado, con la finalidad de obtener el máximo provecho económico en la reducción del costo de la vivienda. (*) </w:t>
      </w:r>
    </w:p>
    <w:p w:rsidR="006312E8" w:rsidRPr="006312E8" w:rsidRDefault="006312E8" w:rsidP="006312E8">
      <w:pPr>
        <w:spacing w:after="200" w:line="276" w:lineRule="auto"/>
        <w:jc w:val="both"/>
        <w:rPr>
          <w:rFonts w:ascii="Arial" w:eastAsia="Calibri" w:hAnsi="Arial" w:cs="Arial"/>
          <w:b/>
          <w:color w:val="FF0000"/>
          <w:sz w:val="18"/>
          <w:szCs w:val="18"/>
        </w:rPr>
      </w:pPr>
      <w:r w:rsidRPr="006312E8">
        <w:rPr>
          <w:rFonts w:ascii="Arial" w:eastAsia="Calibri" w:hAnsi="Arial" w:cs="Arial"/>
          <w:b/>
          <w:color w:val="FF0000"/>
          <w:sz w:val="16"/>
          <w:szCs w:val="16"/>
        </w:rPr>
        <w:t>(*) Párrafo incorporado por el Artículo 2 del Decreto Supremo N° 021-2007-DE-SG, publicado el 22 septiembre</w:t>
      </w:r>
      <w:r w:rsidRPr="006312E8">
        <w:rPr>
          <w:rFonts w:ascii="Arial" w:eastAsia="Calibri" w:hAnsi="Arial" w:cs="Arial"/>
          <w:b/>
          <w:color w:val="FF0000"/>
          <w:sz w:val="18"/>
          <w:szCs w:val="18"/>
        </w:rPr>
        <w:t xml:space="preserve"> 2007.</w:t>
      </w: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b/>
        </w:rPr>
        <w:t>Artículo 8.-</w:t>
      </w:r>
      <w:r w:rsidRPr="006312E8">
        <w:rPr>
          <w:rFonts w:ascii="Arial" w:eastAsia="Calibri" w:hAnsi="Arial" w:cs="Arial"/>
        </w:rPr>
        <w:t xml:space="preserve"> La venta de inmuebles en subasta pública se efectuará por una Comisión de Enajenación de cada Instituto nombrada para el efecto, teniendo como precio base para la primera convocatoria el valor total de la tasación practicada al efecto. En las demás convocatorias que sea necesario realizar, se rebajará en 10% la base de la convocatoria anterior.</w:t>
      </w: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b/>
        </w:rPr>
        <w:t>Artículo 9.-</w:t>
      </w:r>
      <w:r w:rsidRPr="006312E8">
        <w:rPr>
          <w:rFonts w:ascii="Arial" w:eastAsia="Calibri" w:hAnsi="Arial" w:cs="Arial"/>
        </w:rPr>
        <w:t xml:space="preserve"> La Comisión de Enajenación será presidida por un Oficial General o Almirante e integrada por el personal militar y/o civil necesario, designado en ambos casos por la Comandancia General respectiva.</w:t>
      </w: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b/>
        </w:rPr>
        <w:t>Artículo 10.-</w:t>
      </w:r>
      <w:r w:rsidRPr="006312E8">
        <w:rPr>
          <w:rFonts w:ascii="Arial" w:eastAsia="Calibri" w:hAnsi="Arial" w:cs="Arial"/>
        </w:rPr>
        <w:t xml:space="preserve"> Recibida la transcripción de la Resolución Ministerial del Sector Defensa que autorice la Subasta Pública, el Presidente de la Comisión de Enajenación convocará a la Comisión para dar cuenta del encargo y procederá a designar a los peritos que efectúen la tasación del inmueble, en caso de no haberla. Asimismo se dispondrá la elaboración de las Bases.</w:t>
      </w: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b/>
        </w:rPr>
        <w:t>Artículo 11.-</w:t>
      </w:r>
      <w:r w:rsidRPr="006312E8">
        <w:rPr>
          <w:rFonts w:ascii="Arial" w:eastAsia="Calibri" w:hAnsi="Arial" w:cs="Arial"/>
        </w:rPr>
        <w:t xml:space="preserve"> Cuando el bien esté ubicado en lugar diferente a aquel en que se efectúe la Subasta, ésta se anunciará también en publicaciones que se efectuarán en el diario de mayor circulación de la correspondiente localidad, por el término de diez (10) días consecutivos, así como por carteles que se colocarán en el inmueble que se enajena, en cuyo caso se dejará constancia en el expediente de dicho cumplimiento.</w:t>
      </w: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b/>
        </w:rPr>
        <w:t>Artículo 12.-</w:t>
      </w:r>
      <w:r w:rsidRPr="006312E8">
        <w:rPr>
          <w:rFonts w:ascii="Arial" w:eastAsia="Calibri" w:hAnsi="Arial" w:cs="Arial"/>
        </w:rPr>
        <w:t xml:space="preserve"> En las publicaciones y en los carteles se indicará, según el caso, las características, ubicación, área y otros de interés del inmueble, así como el lugar, día y hora de la Subasta, precio base de la misma y la indicación de la Oficina donde los interesados puedan conocer las Bases respectivas.</w:t>
      </w: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b/>
        </w:rPr>
        <w:t>Artículo 13.-</w:t>
      </w:r>
      <w:r w:rsidRPr="006312E8">
        <w:rPr>
          <w:rFonts w:ascii="Arial" w:eastAsia="Calibri" w:hAnsi="Arial" w:cs="Arial"/>
        </w:rPr>
        <w:t xml:space="preserve"> La segunda y demás convocatorias serán dadas a conocer en publicaciones y carteles que se establecerán conforme a lo señalado en los artículos anteriores pero ellas serán efectuadas sólo por el término de tres (3) días para cada una de dichas convocatorias.</w:t>
      </w: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b/>
        </w:rPr>
        <w:t>Artículo 14.-</w:t>
      </w:r>
      <w:r w:rsidRPr="006312E8">
        <w:rPr>
          <w:rFonts w:ascii="Arial" w:eastAsia="Calibri" w:hAnsi="Arial" w:cs="Arial"/>
        </w:rPr>
        <w:t xml:space="preserve"> En las Bases de la Subasta se fijará el monto mínimo de las pujas, estableciéndose el valor del bien a subastarse.</w:t>
      </w: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b/>
        </w:rPr>
        <w:t>Artículo 15.-</w:t>
      </w:r>
      <w:r w:rsidRPr="006312E8">
        <w:rPr>
          <w:rFonts w:ascii="Arial" w:eastAsia="Calibri" w:hAnsi="Arial" w:cs="Arial"/>
        </w:rPr>
        <w:t xml:space="preserve"> Para ser postor se requiere tener capacidad para contratar y depositar el 10% del precio base de la subasta ante la Dirección General de Economía de cada Instituto y el órgano equivalente del Comando Conjunto de las Fuerzas Armadas, ya sea en efectivo o en Cheque de Gerencia Certificado pudiendo hacer el depósito en cualquier momento de la subasta pero antes que el postor presente su primera postura.</w:t>
      </w: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b/>
        </w:rPr>
        <w:t xml:space="preserve">Artículo 16.- </w:t>
      </w:r>
      <w:r w:rsidRPr="006312E8">
        <w:rPr>
          <w:rFonts w:ascii="Arial" w:eastAsia="Calibri" w:hAnsi="Arial" w:cs="Arial"/>
        </w:rPr>
        <w:t>El depósito será devuelto inmediatamente de terminada la subasta, quedando retenido sólo el 10% consignado por el que obtuvo la buena pro en garantía del pago del precio.</w:t>
      </w: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b/>
        </w:rPr>
        <w:t>Artículo 17.-</w:t>
      </w:r>
      <w:r w:rsidRPr="006312E8">
        <w:rPr>
          <w:rFonts w:ascii="Arial" w:eastAsia="Calibri" w:hAnsi="Arial" w:cs="Arial"/>
        </w:rPr>
        <w:t xml:space="preserve"> El día y hora señalado, efectuadas las inscripciones de los postores e iniciada la Subasta ésta no podrá darse por terminada mientras se produzcan nuevas pujas pero, anunciada por tercera vez la última propuesta, sin que sea superada, se otorgará la buena pro. Una vez otorgada la buena pro no procede la reapertura de la Subasta.</w:t>
      </w: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rPr>
        <w:t>En caso de presentarse sobres cerrados, la Comisión hará presente la existencia de los mismos, los cuales sólo podrán ser recibidos hasta antes de iniciarse las pujas a viva voz. Los sobres serán abiertos terminadas las pujas a viva voz y se adjudicará a la buena pro sólo y únicamente a la propuesta más alta, sin aceptarse mejoras.</w:t>
      </w: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rPr>
        <w:t>El otorgamiento de la buena pro sólo podrá ser realizada dentro del acto público de enajenación.</w:t>
      </w: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b/>
        </w:rPr>
        <w:t xml:space="preserve">Artículo 18.- </w:t>
      </w:r>
      <w:r w:rsidRPr="006312E8">
        <w:rPr>
          <w:rFonts w:ascii="Arial" w:eastAsia="Calibri" w:hAnsi="Arial" w:cs="Arial"/>
        </w:rPr>
        <w:t>Aprobada la Subasta y dentro del término de quince (15) días calendario de otorgada la Buena Pro, se cancelará el precio de la compra, salvo que en las Bases se hubiere establecido la condición de pago a plazos. El incumplimiento del pago o de los pagos a plazos, motivará la penalidad de la pérdida del depósito de garantía a favor del Instituto.</w:t>
      </w:r>
    </w:p>
    <w:p w:rsidR="006312E8" w:rsidRPr="006312E8" w:rsidRDefault="006312E8" w:rsidP="006312E8">
      <w:pPr>
        <w:spacing w:after="0" w:line="240" w:lineRule="auto"/>
        <w:jc w:val="center"/>
        <w:rPr>
          <w:rFonts w:ascii="Arial" w:eastAsia="Calibri" w:hAnsi="Arial" w:cs="Arial"/>
          <w:b/>
        </w:rPr>
      </w:pPr>
      <w:r w:rsidRPr="006312E8">
        <w:rPr>
          <w:rFonts w:ascii="Arial" w:eastAsia="Calibri" w:hAnsi="Arial" w:cs="Arial"/>
          <w:b/>
        </w:rPr>
        <w:t>SECCION II</w:t>
      </w:r>
    </w:p>
    <w:p w:rsidR="006312E8" w:rsidRPr="006312E8" w:rsidRDefault="006312E8" w:rsidP="006312E8">
      <w:pPr>
        <w:spacing w:after="0" w:line="240" w:lineRule="auto"/>
        <w:jc w:val="center"/>
        <w:rPr>
          <w:rFonts w:ascii="Arial" w:eastAsia="Calibri" w:hAnsi="Arial" w:cs="Arial"/>
          <w:b/>
        </w:rPr>
      </w:pPr>
      <w:r w:rsidRPr="006312E8">
        <w:rPr>
          <w:rFonts w:ascii="Arial" w:eastAsia="Calibri" w:hAnsi="Arial" w:cs="Arial"/>
          <w:b/>
        </w:rPr>
        <w:t>DE LA DONACION DE BIENES</w:t>
      </w:r>
    </w:p>
    <w:p w:rsidR="006312E8" w:rsidRPr="006312E8" w:rsidRDefault="006312E8" w:rsidP="006312E8">
      <w:pPr>
        <w:spacing w:after="200" w:line="276" w:lineRule="auto"/>
        <w:jc w:val="both"/>
        <w:rPr>
          <w:rFonts w:ascii="Arial" w:eastAsia="Calibri" w:hAnsi="Arial" w:cs="Arial"/>
          <w:b/>
        </w:rPr>
      </w:pP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b/>
        </w:rPr>
        <w:t>Artículo 19.-</w:t>
      </w:r>
      <w:r w:rsidRPr="006312E8">
        <w:rPr>
          <w:rFonts w:ascii="Arial" w:eastAsia="Calibri" w:hAnsi="Arial" w:cs="Arial"/>
        </w:rPr>
        <w:t xml:space="preserve"> La donación de bienes inmuebles realizada por los Institutos Armados o el Comando Conjunto de las Fuerzas Armadas a favor de instituciones públicas de asistencia social de entidades de la misma índole, vinculadas a los Institutos Armados, será autorizada por Decreto Supremo con el voto aprobatorio del Consejo de Ministros, previa sustentación de la División de Información Patrimonial Inmobiliario del Sector Defensa y de la Dirección General o Comando respectivo.</w:t>
      </w: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b/>
        </w:rPr>
        <w:t>Artículo 20.-</w:t>
      </w:r>
      <w:r w:rsidRPr="006312E8">
        <w:rPr>
          <w:rFonts w:ascii="Arial" w:eastAsia="Calibri" w:hAnsi="Arial" w:cs="Arial"/>
        </w:rPr>
        <w:t xml:space="preserve"> La aceptación de donación de bienes inmuebles que se efectúe a favor de los Institutos Armados será aprobada por Resolución Ministerial del Sector Defensa, debiendo constar la donación en escritura pública bajo sanción de nulidad, de conformidad con lo dispuesto por el Artículo 1625 del Código Civil.</w:t>
      </w:r>
    </w:p>
    <w:p w:rsidR="006312E8" w:rsidRPr="006312E8" w:rsidRDefault="006312E8" w:rsidP="006312E8">
      <w:pPr>
        <w:spacing w:after="0" w:line="240" w:lineRule="auto"/>
        <w:jc w:val="center"/>
        <w:rPr>
          <w:rFonts w:ascii="Arial" w:eastAsia="Calibri" w:hAnsi="Arial" w:cs="Arial"/>
          <w:b/>
        </w:rPr>
      </w:pPr>
      <w:r w:rsidRPr="006312E8">
        <w:rPr>
          <w:rFonts w:ascii="Arial" w:eastAsia="Calibri" w:hAnsi="Arial" w:cs="Arial"/>
          <w:b/>
        </w:rPr>
        <w:t>SECCION III</w:t>
      </w:r>
    </w:p>
    <w:p w:rsidR="006312E8" w:rsidRPr="006312E8" w:rsidRDefault="006312E8" w:rsidP="006312E8">
      <w:pPr>
        <w:spacing w:after="0" w:line="240" w:lineRule="auto"/>
        <w:jc w:val="center"/>
        <w:rPr>
          <w:rFonts w:ascii="Arial" w:eastAsia="Calibri" w:hAnsi="Arial" w:cs="Arial"/>
          <w:b/>
        </w:rPr>
      </w:pPr>
      <w:r w:rsidRPr="006312E8">
        <w:rPr>
          <w:rFonts w:ascii="Arial" w:eastAsia="Calibri" w:hAnsi="Arial" w:cs="Arial"/>
          <w:b/>
        </w:rPr>
        <w:t>DE LA PERMUTA DE BIENES</w:t>
      </w:r>
    </w:p>
    <w:p w:rsidR="006312E8" w:rsidRPr="006312E8" w:rsidRDefault="006312E8" w:rsidP="006312E8">
      <w:pPr>
        <w:spacing w:after="200" w:line="276" w:lineRule="auto"/>
        <w:jc w:val="both"/>
        <w:rPr>
          <w:rFonts w:ascii="Arial" w:eastAsia="Calibri" w:hAnsi="Arial" w:cs="Arial"/>
        </w:rPr>
      </w:pP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b/>
        </w:rPr>
        <w:t>Artículo 21.-</w:t>
      </w:r>
      <w:r w:rsidRPr="006312E8">
        <w:rPr>
          <w:rFonts w:ascii="Arial" w:eastAsia="Calibri" w:hAnsi="Arial" w:cs="Arial"/>
        </w:rPr>
        <w:t xml:space="preserve"> La permuta de bienes inmuebles entre los Institutos Armados y/o Comando Conjunto de las Fuerzas Armadas debe ser aprobada por Resolución Ministerial.</w:t>
      </w: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b/>
        </w:rPr>
        <w:t>Artículo 22.-</w:t>
      </w:r>
      <w:r w:rsidRPr="006312E8">
        <w:rPr>
          <w:rFonts w:ascii="Arial" w:eastAsia="Calibri" w:hAnsi="Arial" w:cs="Arial"/>
        </w:rPr>
        <w:t xml:space="preserve"> La permuta de bienes inmuebles entre los Institutos Armados y/o Comando Conjunto de las Fuerzas Armadas y otro Sector del Estado se aprueba por Resolución Suprema, refrendada por el Ministro de Defensa y del referido Sector.</w:t>
      </w: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b/>
        </w:rPr>
        <w:t>Artículo 23.-</w:t>
      </w:r>
      <w:r w:rsidRPr="006312E8">
        <w:rPr>
          <w:rFonts w:ascii="Arial" w:eastAsia="Calibri" w:hAnsi="Arial" w:cs="Arial"/>
        </w:rPr>
        <w:t xml:space="preserve"> La permuta de bienes inmuebles de un Instituto Armado o del Comando Conjunto de las Fuerzas Armadas con bienes inmuebles de particulares se aprueba por Resolución Suprema, refrendada por el Ministro de Defensa.</w:t>
      </w: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b/>
        </w:rPr>
        <w:t>Artículo 24.-</w:t>
      </w:r>
      <w:r w:rsidRPr="006312E8">
        <w:rPr>
          <w:rFonts w:ascii="Arial" w:eastAsia="Calibri" w:hAnsi="Arial" w:cs="Arial"/>
        </w:rPr>
        <w:t xml:space="preserve"> En las permutas a que se refieren los Artículos 22 y 23 se tomará como base la tasación practicada por el Cuerpo Técnico de Tasaciones (CONATA) sobre ambos bienes.</w:t>
      </w:r>
    </w:p>
    <w:p w:rsidR="006312E8" w:rsidRPr="006312E8" w:rsidRDefault="006312E8" w:rsidP="006312E8">
      <w:pPr>
        <w:spacing w:after="0" w:line="240" w:lineRule="auto"/>
        <w:jc w:val="center"/>
        <w:rPr>
          <w:rFonts w:ascii="Arial" w:eastAsia="Calibri" w:hAnsi="Arial" w:cs="Arial"/>
          <w:b/>
        </w:rPr>
      </w:pPr>
      <w:r w:rsidRPr="006312E8">
        <w:rPr>
          <w:rFonts w:ascii="Arial" w:eastAsia="Calibri" w:hAnsi="Arial" w:cs="Arial"/>
          <w:b/>
        </w:rPr>
        <w:t>SECCION IV</w:t>
      </w:r>
    </w:p>
    <w:p w:rsidR="006312E8" w:rsidRPr="006312E8" w:rsidRDefault="006312E8" w:rsidP="006312E8">
      <w:pPr>
        <w:spacing w:after="0" w:line="240" w:lineRule="auto"/>
        <w:jc w:val="center"/>
        <w:rPr>
          <w:rFonts w:ascii="Arial" w:eastAsia="Calibri" w:hAnsi="Arial" w:cs="Arial"/>
          <w:b/>
        </w:rPr>
      </w:pPr>
      <w:r w:rsidRPr="006312E8">
        <w:rPr>
          <w:rFonts w:ascii="Arial" w:eastAsia="Calibri" w:hAnsi="Arial" w:cs="Arial"/>
          <w:b/>
        </w:rPr>
        <w:t>DE LA AFECTACION EN USO Y BIENES RESERVADOS</w:t>
      </w:r>
    </w:p>
    <w:p w:rsidR="006312E8" w:rsidRPr="006312E8" w:rsidRDefault="006312E8" w:rsidP="006312E8">
      <w:pPr>
        <w:spacing w:after="200" w:line="276" w:lineRule="auto"/>
        <w:jc w:val="both"/>
        <w:rPr>
          <w:rFonts w:ascii="Arial" w:eastAsia="Calibri" w:hAnsi="Arial" w:cs="Arial"/>
        </w:rPr>
      </w:pP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b/>
        </w:rPr>
        <w:t>Artículo 25.-</w:t>
      </w:r>
      <w:r w:rsidRPr="006312E8">
        <w:rPr>
          <w:rFonts w:ascii="Arial" w:eastAsia="Calibri" w:hAnsi="Arial" w:cs="Arial"/>
        </w:rPr>
        <w:t xml:space="preserve"> Los inmuebles afectados en uso a favor de algún Instituto Armado o del Comando Conjunto de las Fuerzas Armadas deberán dedicarse al fin para el que se otorgó la afectación, salvo casos debidamente justificados por el titular de la afectación, cuyo acto será aprobado por Resolución Ministerial.</w:t>
      </w: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b/>
        </w:rPr>
        <w:t>Artículo 26.-</w:t>
      </w:r>
      <w:r w:rsidRPr="006312E8">
        <w:rPr>
          <w:rFonts w:ascii="Arial" w:eastAsia="Calibri" w:hAnsi="Arial" w:cs="Arial"/>
        </w:rPr>
        <w:t xml:space="preserve"> Los bienes inmuebles reservados para los Institutos Armados o para el Comando Conjunto de las Fuerzas Armadas con fines de seguridad y Defensa Nacional son intangibles, inalienables e imprescriptibles por su carácter estratégico.</w:t>
      </w: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b/>
        </w:rPr>
        <w:t>Artículo 27.-</w:t>
      </w:r>
      <w:r w:rsidRPr="006312E8">
        <w:rPr>
          <w:rFonts w:ascii="Arial" w:eastAsia="Calibri" w:hAnsi="Arial" w:cs="Arial"/>
        </w:rPr>
        <w:t xml:space="preserve"> Los terrenos reservados para fines de Defensa Nacional podrán ser otorgados temporalmente a favor de particulares en usufructo u otra modalidad, mediante Resolución Suprema refrendada por el Ministro de Defensa cuando sean requeridos para Proyectos que contribuyan al desarrollo nacional.</w:t>
      </w:r>
    </w:p>
    <w:p w:rsidR="006312E8" w:rsidRPr="006312E8" w:rsidRDefault="006312E8" w:rsidP="006312E8">
      <w:pPr>
        <w:spacing w:after="0" w:line="240" w:lineRule="auto"/>
        <w:jc w:val="center"/>
        <w:rPr>
          <w:rFonts w:ascii="Arial" w:eastAsia="Calibri" w:hAnsi="Arial" w:cs="Arial"/>
          <w:b/>
        </w:rPr>
      </w:pPr>
      <w:r w:rsidRPr="006312E8">
        <w:rPr>
          <w:rFonts w:ascii="Arial" w:eastAsia="Calibri" w:hAnsi="Arial" w:cs="Arial"/>
          <w:b/>
        </w:rPr>
        <w:t>SECCION V</w:t>
      </w:r>
    </w:p>
    <w:p w:rsidR="006312E8" w:rsidRPr="006312E8" w:rsidRDefault="006312E8" w:rsidP="006312E8">
      <w:pPr>
        <w:spacing w:after="0" w:line="240" w:lineRule="auto"/>
        <w:jc w:val="center"/>
        <w:rPr>
          <w:rFonts w:ascii="Arial" w:eastAsia="Calibri" w:hAnsi="Arial" w:cs="Arial"/>
          <w:b/>
        </w:rPr>
      </w:pPr>
      <w:r w:rsidRPr="006312E8">
        <w:rPr>
          <w:rFonts w:ascii="Arial" w:eastAsia="Calibri" w:hAnsi="Arial" w:cs="Arial"/>
          <w:b/>
        </w:rPr>
        <w:t>DEL ARRENDAMIENTO</w:t>
      </w:r>
    </w:p>
    <w:p w:rsidR="006312E8" w:rsidRPr="006312E8" w:rsidRDefault="006312E8" w:rsidP="006312E8">
      <w:pPr>
        <w:spacing w:after="200" w:line="276" w:lineRule="auto"/>
        <w:jc w:val="both"/>
        <w:rPr>
          <w:rFonts w:ascii="Arial" w:eastAsia="Calibri" w:hAnsi="Arial" w:cs="Arial"/>
        </w:rPr>
      </w:pP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b/>
        </w:rPr>
        <w:t>Artículo 28.-</w:t>
      </w:r>
      <w:r w:rsidRPr="006312E8">
        <w:rPr>
          <w:rFonts w:ascii="Arial" w:eastAsia="Calibri" w:hAnsi="Arial" w:cs="Arial"/>
        </w:rPr>
        <w:t xml:space="preserve"> Cuando el valor base del arrendamiento anual de la propiedad inmueble de un Instituto sea superior a 50 Unidades Impositivas Tributarias, el contrato se celebrará previa la realización del procedimiento de la Pública Subasta, con intervención de una Comisión Especial designada por la Comandancia General respectiva, en cuyo caso dichos actos se adecuarán a los principios generales establecidos para la venta de inmuebles, pero se fijará en las bases los depósitos o garantías que respalden suficientemente la correspondiente anualidad, semestre o mensualidad, así como el mantenimiento y la preservación del bien arrendado.</w:t>
      </w: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b/>
        </w:rPr>
        <w:t>Artículo 29.-</w:t>
      </w:r>
      <w:r w:rsidRPr="006312E8">
        <w:rPr>
          <w:rFonts w:ascii="Arial" w:eastAsia="Calibri" w:hAnsi="Arial" w:cs="Arial"/>
        </w:rPr>
        <w:t xml:space="preserve"> El plazo de arrendamiento no puede ser mayor de seis (6) años según lo prescribe el Artículo 1688 del Código Civil, pudiendo ser renovado hasta por un período más de la misma duración.</w:t>
      </w: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b/>
        </w:rPr>
        <w:t>Artículo 30.-</w:t>
      </w:r>
      <w:r w:rsidRPr="006312E8">
        <w:rPr>
          <w:rFonts w:ascii="Arial" w:eastAsia="Calibri" w:hAnsi="Arial" w:cs="Arial"/>
        </w:rPr>
        <w:t xml:space="preserve"> En ningún caso podrá el arrendatario subarrendar el inmueble en todo o parte, sin conocimiento y autorización expresa del Instituto correspondiente o del Comando Conjunto de las Fuerzas Armadas, bajo sanción de resolución automática del Contrato.</w:t>
      </w: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b/>
        </w:rPr>
        <w:t>Artículo 31.-</w:t>
      </w:r>
      <w:r w:rsidRPr="006312E8">
        <w:rPr>
          <w:rFonts w:ascii="Arial" w:eastAsia="Calibri" w:hAnsi="Arial" w:cs="Arial"/>
        </w:rPr>
        <w:t xml:space="preserve"> El arrendamiento de bienes inmuebles de propiedad, afectados en uso o reservados a favor de los Institutos Armados o del Comando Conjunto de las Fuerzas Armadas será aprobado por Resolución de la respectiva Comandancia General.</w:t>
      </w:r>
    </w:p>
    <w:p w:rsidR="006312E8" w:rsidRPr="006312E8" w:rsidRDefault="006312E8" w:rsidP="006312E8">
      <w:pPr>
        <w:spacing w:after="0" w:line="240" w:lineRule="auto"/>
        <w:jc w:val="center"/>
        <w:rPr>
          <w:rFonts w:ascii="Arial" w:eastAsia="Calibri" w:hAnsi="Arial" w:cs="Arial"/>
          <w:b/>
        </w:rPr>
      </w:pPr>
      <w:r w:rsidRPr="006312E8">
        <w:rPr>
          <w:rFonts w:ascii="Arial" w:eastAsia="Calibri" w:hAnsi="Arial" w:cs="Arial"/>
          <w:b/>
        </w:rPr>
        <w:t>CAPITULO III</w:t>
      </w:r>
    </w:p>
    <w:p w:rsidR="006312E8" w:rsidRPr="006312E8" w:rsidRDefault="006312E8" w:rsidP="006312E8">
      <w:pPr>
        <w:spacing w:after="0" w:line="240" w:lineRule="auto"/>
        <w:jc w:val="center"/>
        <w:rPr>
          <w:rFonts w:ascii="Arial" w:eastAsia="Calibri" w:hAnsi="Arial" w:cs="Arial"/>
          <w:b/>
        </w:rPr>
      </w:pPr>
      <w:r w:rsidRPr="006312E8">
        <w:rPr>
          <w:rFonts w:ascii="Arial" w:eastAsia="Calibri" w:hAnsi="Arial" w:cs="Arial"/>
          <w:b/>
        </w:rPr>
        <w:t>DE LOS DERECHOS REALES SOBRE LA PROPIEDAD INMUEBLE</w:t>
      </w:r>
    </w:p>
    <w:p w:rsidR="006312E8" w:rsidRPr="006312E8" w:rsidRDefault="006312E8" w:rsidP="006312E8">
      <w:pPr>
        <w:spacing w:after="200" w:line="276" w:lineRule="auto"/>
        <w:jc w:val="both"/>
        <w:rPr>
          <w:rFonts w:ascii="Arial" w:eastAsia="Calibri" w:hAnsi="Arial" w:cs="Arial"/>
        </w:rPr>
      </w:pP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b/>
        </w:rPr>
        <w:t>Artículo 32.-</w:t>
      </w:r>
      <w:r w:rsidRPr="006312E8">
        <w:rPr>
          <w:rFonts w:ascii="Arial" w:eastAsia="Calibri" w:hAnsi="Arial" w:cs="Arial"/>
        </w:rPr>
        <w:t xml:space="preserve"> Son derechos reales sobre la propiedad inmueble los derechos de Usufructo, Uso, Superficie o Servidumbre.</w:t>
      </w: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b/>
        </w:rPr>
        <w:t xml:space="preserve">Artículo 33.- </w:t>
      </w:r>
      <w:r w:rsidRPr="006312E8">
        <w:rPr>
          <w:rFonts w:ascii="Arial" w:eastAsia="Calibri" w:hAnsi="Arial" w:cs="Arial"/>
        </w:rPr>
        <w:t>La Dirección General o Comando se encargará de tramitar y otorgar mediante Resolución de la Comandancia General del Instituto correspondiente o del Comando Conjunto de las Fuerzas Armadas, los derechos de Usufructo, Uso, Superficie o Servidumbre a favor de terceros sobre los bienes inmuebles que, por cualquier circunstancia, no puedan o no requieran utilizarse temporalmente por el Instituto o por el Comando Conjunto de las Fuerzas Armadas.</w:t>
      </w: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b/>
        </w:rPr>
        <w:t>Artículo 34.-</w:t>
      </w:r>
      <w:r w:rsidRPr="006312E8">
        <w:rPr>
          <w:rFonts w:ascii="Arial" w:eastAsia="Calibri" w:hAnsi="Arial" w:cs="Arial"/>
        </w:rPr>
        <w:t xml:space="preserve"> Los derechos reales referidos en el artículo anterior pueden otorgarse por iniciativa del Instituto respectivo o del Comando Conjunto de las Fuerzas Armadas o a petición de particulares.</w:t>
      </w: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rPr>
        <w:t>En el primer caso la Dirección General o Comando organizará una Licitación Selectiva mediante Bases aprobadas por la Comandancia General, con el objeto de otorgar el correspondiente derecho real, a título oneroso, al postor que presente la mejor oferta en lo que se refiere al derecho económico o canon que debe percibir el Instituto, las obras que a su costo debe ejecutar y las garantías respectivas; todo lo cual debe materializarse en el Acto Constitutivo en el que se consignará la utilización que se dará al bien y el derecho de cada Instituto o del Comando Conjunto de las Fuerzas Armadas para que en los casos que los bienes se requieran total o parcialmente por defensa nacional, éstos puedan ser utilizados total o parcialmente.</w:t>
      </w: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rPr>
        <w:t>En el segundo caso, la solicitud del interesado debe ser evaluada y calificada por la Dirección General o Comando y, de encontrarla pertinente por cumplir con todos los requerimientos previstos en el párrafo anterior, la Dirección o Comando antes mencionado con autorización de la Comandancia General del Instituto correspondiente o del Comando Conjunto de las Fuerzas Armadas, suscribirá el respectivo Acto Constitutivo.</w:t>
      </w: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b/>
        </w:rPr>
        <w:t>Artículo 35.-</w:t>
      </w:r>
      <w:r w:rsidRPr="006312E8">
        <w:rPr>
          <w:rFonts w:ascii="Arial" w:eastAsia="Calibri" w:hAnsi="Arial" w:cs="Arial"/>
        </w:rPr>
        <w:t xml:space="preserve"> El derecho real que otorga la Dirección General o Comando no puede ser cedido total o parcialmente, sin autorización expresa del mismo, bajo sanción de resolución automática del contrato.</w:t>
      </w: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b/>
        </w:rPr>
        <w:t xml:space="preserve">Artículo 36.- </w:t>
      </w:r>
      <w:r w:rsidRPr="006312E8">
        <w:rPr>
          <w:rFonts w:ascii="Arial" w:eastAsia="Calibri" w:hAnsi="Arial" w:cs="Arial"/>
        </w:rPr>
        <w:t>Excepcionalmente el derecho de servidumbre puede ser gratuito cuando se trata de la atención de servicios públicos o de actividades de interés social, expresamente reconocidos por el Instituto o el Comando Conjunto de las Fuerzas Armadas en el correspondiente acto constitutivo.</w:t>
      </w:r>
    </w:p>
    <w:p w:rsidR="00246CE9" w:rsidRDefault="00246CE9" w:rsidP="006312E8">
      <w:pPr>
        <w:spacing w:after="0" w:line="240" w:lineRule="auto"/>
        <w:jc w:val="center"/>
        <w:rPr>
          <w:rFonts w:ascii="Arial" w:eastAsia="Calibri" w:hAnsi="Arial" w:cs="Arial"/>
          <w:b/>
        </w:rPr>
      </w:pPr>
    </w:p>
    <w:p w:rsidR="00246CE9" w:rsidRDefault="00246CE9" w:rsidP="006312E8">
      <w:pPr>
        <w:spacing w:after="0" w:line="240" w:lineRule="auto"/>
        <w:jc w:val="center"/>
        <w:rPr>
          <w:rFonts w:ascii="Arial" w:eastAsia="Calibri" w:hAnsi="Arial" w:cs="Arial"/>
          <w:b/>
        </w:rPr>
      </w:pPr>
    </w:p>
    <w:p w:rsidR="00246CE9" w:rsidRDefault="00246CE9" w:rsidP="006312E8">
      <w:pPr>
        <w:spacing w:after="0" w:line="240" w:lineRule="auto"/>
        <w:jc w:val="center"/>
        <w:rPr>
          <w:rFonts w:ascii="Arial" w:eastAsia="Calibri" w:hAnsi="Arial" w:cs="Arial"/>
          <w:b/>
        </w:rPr>
      </w:pPr>
    </w:p>
    <w:p w:rsidR="00246CE9" w:rsidRDefault="00246CE9" w:rsidP="006312E8">
      <w:pPr>
        <w:spacing w:after="0" w:line="240" w:lineRule="auto"/>
        <w:jc w:val="center"/>
        <w:rPr>
          <w:rFonts w:ascii="Arial" w:eastAsia="Calibri" w:hAnsi="Arial" w:cs="Arial"/>
          <w:b/>
        </w:rPr>
      </w:pPr>
    </w:p>
    <w:p w:rsidR="00246CE9" w:rsidRDefault="00246CE9" w:rsidP="006312E8">
      <w:pPr>
        <w:spacing w:after="0" w:line="240" w:lineRule="auto"/>
        <w:jc w:val="center"/>
        <w:rPr>
          <w:rFonts w:ascii="Arial" w:eastAsia="Calibri" w:hAnsi="Arial" w:cs="Arial"/>
          <w:b/>
        </w:rPr>
      </w:pPr>
    </w:p>
    <w:p w:rsidR="00246CE9" w:rsidRDefault="00246CE9" w:rsidP="006312E8">
      <w:pPr>
        <w:spacing w:after="0" w:line="240" w:lineRule="auto"/>
        <w:jc w:val="center"/>
        <w:rPr>
          <w:rFonts w:ascii="Arial" w:eastAsia="Calibri" w:hAnsi="Arial" w:cs="Arial"/>
          <w:b/>
        </w:rPr>
      </w:pPr>
    </w:p>
    <w:p w:rsidR="006312E8" w:rsidRPr="006312E8" w:rsidRDefault="006312E8" w:rsidP="006312E8">
      <w:pPr>
        <w:spacing w:after="0" w:line="240" w:lineRule="auto"/>
        <w:jc w:val="center"/>
        <w:rPr>
          <w:rFonts w:ascii="Arial" w:eastAsia="Calibri" w:hAnsi="Arial" w:cs="Arial"/>
          <w:b/>
        </w:rPr>
      </w:pPr>
      <w:r w:rsidRPr="006312E8">
        <w:rPr>
          <w:rFonts w:ascii="Arial" w:eastAsia="Calibri" w:hAnsi="Arial" w:cs="Arial"/>
          <w:b/>
        </w:rPr>
        <w:t>CAPITULO IV</w:t>
      </w:r>
    </w:p>
    <w:p w:rsidR="006312E8" w:rsidRPr="006312E8" w:rsidRDefault="006312E8" w:rsidP="006312E8">
      <w:pPr>
        <w:spacing w:after="0" w:line="240" w:lineRule="auto"/>
        <w:jc w:val="center"/>
        <w:rPr>
          <w:rFonts w:ascii="Arial" w:eastAsia="Calibri" w:hAnsi="Arial" w:cs="Arial"/>
          <w:b/>
        </w:rPr>
      </w:pPr>
      <w:r w:rsidRPr="006312E8">
        <w:rPr>
          <w:rFonts w:ascii="Arial" w:eastAsia="Calibri" w:hAnsi="Arial" w:cs="Arial"/>
          <w:b/>
        </w:rPr>
        <w:t>DE LA INSCRIPCION DE INMUEBLES DEL SECTOR DEFENSA EN EL REGISTRO DE LA PROPIEDAD INMUEBLE</w:t>
      </w:r>
    </w:p>
    <w:p w:rsidR="006312E8" w:rsidRPr="006312E8" w:rsidRDefault="006312E8" w:rsidP="006312E8">
      <w:pPr>
        <w:spacing w:after="200" w:line="276" w:lineRule="auto"/>
        <w:jc w:val="both"/>
        <w:rPr>
          <w:rFonts w:ascii="Arial" w:eastAsia="Calibri" w:hAnsi="Arial" w:cs="Arial"/>
        </w:rPr>
      </w:pP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b/>
        </w:rPr>
        <w:t>Artículo 37.-</w:t>
      </w:r>
      <w:r w:rsidRPr="006312E8">
        <w:rPr>
          <w:rFonts w:ascii="Arial" w:eastAsia="Calibri" w:hAnsi="Arial" w:cs="Arial"/>
        </w:rPr>
        <w:t xml:space="preserve"> Cuando el Instituto respectivo o el Comando Conjunto de las Fuerzas Armadas no cuente con títulos comprobatorios de dominio sobre los inmuebles que pretende inscribir, tal inscripción se hará por el mérito del expediente administrativo que deberá seguirse por ante el Sector Defensa. En dicho expediente debe constar:</w:t>
      </w:r>
    </w:p>
    <w:p w:rsidR="006312E8" w:rsidRPr="006312E8" w:rsidRDefault="006312E8" w:rsidP="00241D1D">
      <w:pPr>
        <w:numPr>
          <w:ilvl w:val="1"/>
          <w:numId w:val="71"/>
        </w:numPr>
        <w:tabs>
          <w:tab w:val="num" w:pos="709"/>
        </w:tabs>
        <w:spacing w:after="200" w:line="276" w:lineRule="auto"/>
        <w:ind w:left="709" w:hanging="426"/>
        <w:jc w:val="both"/>
        <w:rPr>
          <w:rFonts w:ascii="Arial" w:eastAsia="Calibri" w:hAnsi="Arial" w:cs="Arial"/>
        </w:rPr>
      </w:pPr>
      <w:r w:rsidRPr="006312E8">
        <w:rPr>
          <w:rFonts w:ascii="Arial" w:eastAsia="Calibri" w:hAnsi="Arial" w:cs="Arial"/>
        </w:rPr>
        <w:t>Naturaleza, situación, medida superficial, linderos, denominación, gravámenes o derechos que se trate de inscribir.</w:t>
      </w:r>
    </w:p>
    <w:p w:rsidR="006312E8" w:rsidRPr="006312E8" w:rsidRDefault="006312E8" w:rsidP="00241D1D">
      <w:pPr>
        <w:numPr>
          <w:ilvl w:val="1"/>
          <w:numId w:val="71"/>
        </w:numPr>
        <w:tabs>
          <w:tab w:val="num" w:pos="709"/>
        </w:tabs>
        <w:spacing w:after="200" w:line="276" w:lineRule="auto"/>
        <w:ind w:left="709" w:hanging="426"/>
        <w:jc w:val="both"/>
        <w:rPr>
          <w:rFonts w:ascii="Arial" w:eastAsia="Calibri" w:hAnsi="Arial" w:cs="Arial"/>
        </w:rPr>
      </w:pPr>
      <w:r w:rsidRPr="006312E8">
        <w:rPr>
          <w:rFonts w:ascii="Arial" w:eastAsia="Calibri" w:hAnsi="Arial" w:cs="Arial"/>
        </w:rPr>
        <w:t>El nombre de la persona natural o jurídica de quien se hubiere adquirido el inmueble o derecho, cuando constaran.</w:t>
      </w:r>
    </w:p>
    <w:p w:rsidR="006312E8" w:rsidRPr="006312E8" w:rsidRDefault="006312E8" w:rsidP="00241D1D">
      <w:pPr>
        <w:numPr>
          <w:ilvl w:val="1"/>
          <w:numId w:val="71"/>
        </w:numPr>
        <w:tabs>
          <w:tab w:val="num" w:pos="709"/>
        </w:tabs>
        <w:spacing w:after="200" w:line="276" w:lineRule="auto"/>
        <w:ind w:left="709" w:hanging="426"/>
        <w:jc w:val="both"/>
        <w:rPr>
          <w:rFonts w:ascii="Arial" w:eastAsia="Calibri" w:hAnsi="Arial" w:cs="Arial"/>
        </w:rPr>
      </w:pPr>
      <w:r w:rsidRPr="006312E8">
        <w:rPr>
          <w:rFonts w:ascii="Arial" w:eastAsia="Calibri" w:hAnsi="Arial" w:cs="Arial"/>
        </w:rPr>
        <w:t>El tiempo que lleve de posesión el Instituto, provincia, pueblo o departamento.</w:t>
      </w:r>
    </w:p>
    <w:p w:rsidR="006312E8" w:rsidRPr="006312E8" w:rsidRDefault="006312E8" w:rsidP="00241D1D">
      <w:pPr>
        <w:numPr>
          <w:ilvl w:val="1"/>
          <w:numId w:val="71"/>
        </w:numPr>
        <w:tabs>
          <w:tab w:val="num" w:pos="709"/>
        </w:tabs>
        <w:spacing w:after="200" w:line="276" w:lineRule="auto"/>
        <w:ind w:left="709" w:hanging="426"/>
        <w:jc w:val="both"/>
        <w:rPr>
          <w:rFonts w:ascii="Arial" w:eastAsia="Calibri" w:hAnsi="Arial" w:cs="Arial"/>
        </w:rPr>
      </w:pPr>
      <w:r w:rsidRPr="006312E8">
        <w:rPr>
          <w:rFonts w:ascii="Arial" w:eastAsia="Calibri" w:hAnsi="Arial" w:cs="Arial"/>
        </w:rPr>
        <w:t>El servicio u objeto a que estuviese destinado.</w:t>
      </w: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b/>
        </w:rPr>
        <w:t>Artículo 38.-</w:t>
      </w:r>
      <w:r w:rsidRPr="006312E8">
        <w:rPr>
          <w:rFonts w:ascii="Arial" w:eastAsia="Calibri" w:hAnsi="Arial" w:cs="Arial"/>
        </w:rPr>
        <w:t xml:space="preserve"> Emitidos los informes técnicos legales que se estimen necesarios y de estimarse procedente la inscripción, se pondrá término al trámite administrativo con la expedición de la Resolución Suprema que, refrendada por el Ministro de Defensa, dispondrá la inscripción del bien respectivo en el Registro de la Propiedad Inmueble.</w:t>
      </w:r>
    </w:p>
    <w:p w:rsidR="006312E8" w:rsidRPr="006312E8" w:rsidRDefault="006312E8" w:rsidP="006312E8">
      <w:pPr>
        <w:spacing w:after="200" w:line="276" w:lineRule="auto"/>
        <w:jc w:val="center"/>
        <w:rPr>
          <w:rFonts w:ascii="Arial" w:eastAsia="Calibri" w:hAnsi="Arial" w:cs="Arial"/>
          <w:b/>
        </w:rPr>
      </w:pPr>
      <w:r w:rsidRPr="006312E8">
        <w:rPr>
          <w:rFonts w:ascii="Arial" w:eastAsia="Calibri" w:hAnsi="Arial" w:cs="Arial"/>
          <w:b/>
        </w:rPr>
        <w:t>DISPOSICIONES COMPLEMENTARIAS Y FINAL</w:t>
      </w: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b/>
        </w:rPr>
        <w:t>Primera.-</w:t>
      </w:r>
      <w:r w:rsidRPr="006312E8">
        <w:rPr>
          <w:rFonts w:ascii="Arial" w:eastAsia="Calibri" w:hAnsi="Arial" w:cs="Arial"/>
        </w:rPr>
        <w:t xml:space="preserve"> Todos aquellos que intervengan en las distintas modalidades de acceso al patrimonio inmobiliario de las Fuerzas Armadas, así como en los actos de administración y disposición de los mismos, son responsables administrativa, civil y penalmente por los perjuicios que pudieran causar por acción u omisión.</w:t>
      </w: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b/>
        </w:rPr>
        <w:t>Segunda.-</w:t>
      </w:r>
      <w:r w:rsidRPr="006312E8">
        <w:rPr>
          <w:rFonts w:ascii="Arial" w:eastAsia="Calibri" w:hAnsi="Arial" w:cs="Arial"/>
        </w:rPr>
        <w:t xml:space="preserve"> La División de Información Patrimonial del sector Defensa y cada Dirección General o Comando mantienen relaciones de coordinación con la Superintendencia de Bienes Nacionales y con las Oficinas de Registros Públicos de la República en todo lo referente al saneamiento del patrimonio inmobiliario de los Institutos de las Fuerzas Armadas y del Comando Conjunto de las Fuerzas Armadas.</w:t>
      </w: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b/>
        </w:rPr>
        <w:t>Tercera.-</w:t>
      </w:r>
      <w:r w:rsidRPr="006312E8">
        <w:rPr>
          <w:rFonts w:ascii="Arial" w:eastAsia="Calibri" w:hAnsi="Arial" w:cs="Arial"/>
        </w:rPr>
        <w:t xml:space="preserve"> El Ministerio de Defensa queda facultado para dictar las normas complementarias para la mejor aplicación del presente Reglamento</w:t>
      </w: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b/>
        </w:rPr>
        <w:t>Cuarta.-</w:t>
      </w:r>
      <w:r w:rsidRPr="006312E8">
        <w:rPr>
          <w:rFonts w:ascii="Arial" w:eastAsia="Calibri" w:hAnsi="Arial" w:cs="Arial"/>
        </w:rPr>
        <w:t xml:space="preserve"> Quedan derogadas las disposiciones legales que se opongan a lo establecido en el presente Decreto Supremo.</w:t>
      </w:r>
    </w:p>
    <w:p w:rsidR="006312E8" w:rsidRPr="006312E8" w:rsidRDefault="006312E8" w:rsidP="006312E8">
      <w:pPr>
        <w:spacing w:after="200" w:line="276" w:lineRule="auto"/>
        <w:jc w:val="both"/>
        <w:rPr>
          <w:rFonts w:ascii="Arial" w:eastAsia="Calibri" w:hAnsi="Arial" w:cs="Arial"/>
          <w:b/>
        </w:rPr>
      </w:pPr>
      <w:r w:rsidRPr="006312E8">
        <w:rPr>
          <w:rFonts w:ascii="Arial" w:eastAsia="Calibri" w:hAnsi="Arial" w:cs="Arial"/>
          <w:b/>
        </w:rPr>
        <w:t xml:space="preserve">Quinta.- </w:t>
      </w:r>
      <w:r w:rsidRPr="006312E8">
        <w:rPr>
          <w:rFonts w:ascii="Arial" w:eastAsia="Calibri" w:hAnsi="Arial" w:cs="Arial"/>
        </w:rPr>
        <w:t xml:space="preserve">De los encargos </w:t>
      </w: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rPr>
        <w:t xml:space="preserve">El Ministerio de Defensa podrá encargar a la Agencia de Promoción de la Inversión Privada - PROINVERSIÓN o al FONDO MIVIVIENDA la ejecución del procedimiento de selección que corresponda para los efectos de los actos de administración y/o disposición de los bienes inmuebles a los que se refiere el artículo 1 de la Ley Nº 29006, los mismos que incluyen, sin más limitación que la impuesta por la normatividad vigente, al arrendamiento, constitución de usufructo, constitución de derecho de superficie y concesión; así como, la venta directa, subasta pública y permuta, y cualquier otra modalidad de administración y/o disposición a título oneroso de los referidos inmuebles. </w:t>
      </w: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rPr>
        <w:t xml:space="preserve">PROINVERSIÓN llevará a cabo el referido encargo de conformidad con el Decreto Legislativo Nº 674 o el Texto Único Ordenado aprobado mediante Decreto Supremo Nº 059-96-PCM, sus normas reglamentarias y complementarias, según fuera el caso, en todo lo que no se oponga a lo dispuesto en la Ley Nº 29006 y en el marco de convenios de cooperación que, para tales efectos, deberán suscribir el Ministerio de Defensa y la Agencia de Promoción de la Inversión Privada - PROINVERSIÓN. Por su parte el FONDO MIVIVIENDA se regirá por la normativa que le resulte aplicable en el marco de los convenios de cooperación correspondientes.(*) </w:t>
      </w:r>
    </w:p>
    <w:p w:rsidR="006312E8" w:rsidRPr="006312E8" w:rsidRDefault="006312E8" w:rsidP="006312E8">
      <w:pPr>
        <w:spacing w:after="200" w:line="276" w:lineRule="auto"/>
        <w:jc w:val="both"/>
        <w:rPr>
          <w:rFonts w:ascii="Arial" w:eastAsia="Calibri" w:hAnsi="Arial" w:cs="Arial"/>
          <w:b/>
          <w:color w:val="FF0000"/>
          <w:sz w:val="16"/>
          <w:szCs w:val="16"/>
        </w:rPr>
      </w:pPr>
      <w:r w:rsidRPr="006312E8">
        <w:rPr>
          <w:rFonts w:ascii="Arial" w:eastAsia="Calibri" w:hAnsi="Arial" w:cs="Arial"/>
          <w:b/>
          <w:color w:val="FF0000"/>
          <w:sz w:val="16"/>
          <w:szCs w:val="16"/>
        </w:rPr>
        <w:t>(*) Disposición incorporada por el Artículo 3 del Decreto Supremo N° 021-2007-DE-SG, publicado el 22 septiembre 2007.</w:t>
      </w: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b/>
        </w:rPr>
        <w:t>Sexta.-</w:t>
      </w:r>
      <w:r w:rsidRPr="006312E8">
        <w:rPr>
          <w:rFonts w:ascii="Arial" w:eastAsia="Calibri" w:hAnsi="Arial" w:cs="Arial"/>
        </w:rPr>
        <w:t xml:space="preserve"> De las iniciativas privadas </w:t>
      </w:r>
    </w:p>
    <w:p w:rsidR="006312E8" w:rsidRPr="006312E8" w:rsidRDefault="006312E8" w:rsidP="006312E8">
      <w:pPr>
        <w:spacing w:after="200" w:line="276" w:lineRule="auto"/>
        <w:jc w:val="both"/>
        <w:rPr>
          <w:rFonts w:ascii="Arial" w:eastAsia="Calibri" w:hAnsi="Arial" w:cs="Arial"/>
        </w:rPr>
      </w:pPr>
      <w:r w:rsidRPr="006312E8">
        <w:rPr>
          <w:rFonts w:ascii="Arial" w:eastAsia="Calibri" w:hAnsi="Arial" w:cs="Arial"/>
        </w:rPr>
        <w:t xml:space="preserve">En el caso de presentarse iniciativas privadas respecto a uno o más inmuebles a los que se refiere el artículo 1 de la Ley 29006, serán de aplicación las disposiciones contenidas en la Ley de Promoción de Inversiones Descentralizadas, Ley Nº 28059 y su reglamento, en todo lo que no se oponga a lo dispuesto en la Ley Nº 29006. </w:t>
      </w:r>
    </w:p>
    <w:p w:rsidR="006312E8" w:rsidRPr="006312E8" w:rsidRDefault="006312E8" w:rsidP="006312E8">
      <w:pPr>
        <w:spacing w:after="200" w:line="276" w:lineRule="auto"/>
        <w:jc w:val="both"/>
        <w:rPr>
          <w:rFonts w:ascii="Arial" w:eastAsia="Calibri" w:hAnsi="Arial" w:cs="Arial"/>
          <w:sz w:val="16"/>
          <w:szCs w:val="16"/>
        </w:rPr>
      </w:pPr>
      <w:r w:rsidRPr="006312E8">
        <w:rPr>
          <w:rFonts w:ascii="Arial" w:eastAsia="Calibri" w:hAnsi="Arial" w:cs="Arial"/>
        </w:rPr>
        <w:t>El Ministerio de Defensa o sus Órganos de Ejecución, según sea el caso, formularán el Informe Técnico al que se refiere el artículo 3 de la Ley Nº 29006 el mismo que deberá contener el análisis de la iniciativa o iniciativas privadas remitidas por el Organismo Promotor de la Inversión Privada. Dicho informe deberá ser tomado en cuenta para efectos de la declaración de interés.(*)</w:t>
      </w:r>
      <w:r w:rsidRPr="006312E8">
        <w:rPr>
          <w:rFonts w:ascii="Arial" w:eastAsia="Calibri" w:hAnsi="Arial" w:cs="Arial"/>
          <w:sz w:val="16"/>
          <w:szCs w:val="16"/>
        </w:rPr>
        <w:t xml:space="preserve"> </w:t>
      </w:r>
    </w:p>
    <w:p w:rsidR="006312E8" w:rsidRPr="006312E8" w:rsidRDefault="006312E8" w:rsidP="006312E8">
      <w:pPr>
        <w:spacing w:after="200" w:line="276" w:lineRule="auto"/>
        <w:jc w:val="both"/>
        <w:rPr>
          <w:rFonts w:ascii="Arial" w:eastAsia="Calibri" w:hAnsi="Arial" w:cs="Arial"/>
          <w:b/>
          <w:color w:val="FF0000"/>
          <w:sz w:val="16"/>
          <w:szCs w:val="16"/>
        </w:rPr>
      </w:pPr>
      <w:r w:rsidRPr="006312E8">
        <w:rPr>
          <w:rFonts w:ascii="Arial" w:eastAsia="Calibri" w:hAnsi="Arial" w:cs="Arial"/>
          <w:b/>
          <w:color w:val="FF0000"/>
          <w:sz w:val="16"/>
          <w:szCs w:val="16"/>
        </w:rPr>
        <w:t>(*) Disposición incorporada por el Artículo 3 del Decreto Supremo N° 021-2007-DE-SG, publicado el 22 septiembre 2007.</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Default="006312E8"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Pr="006312E8" w:rsidRDefault="00246CE9"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F47618">
      <w:pPr>
        <w:pStyle w:val="TITO2"/>
      </w:pPr>
      <w:bookmarkStart w:id="417" w:name="_Toc392856254"/>
      <w:bookmarkStart w:id="418" w:name="_Toc399335525"/>
      <w:bookmarkStart w:id="419" w:name="_Toc421025471"/>
      <w:bookmarkStart w:id="420" w:name="_Toc470855574"/>
      <w:bookmarkStart w:id="421" w:name="DS0212007"/>
      <w:r w:rsidRPr="006312E8">
        <w:t>DECRETO SUPREMO Nº 021-2007-DE-SG</w:t>
      </w:r>
      <w:bookmarkEnd w:id="417"/>
      <w:bookmarkEnd w:id="418"/>
      <w:bookmarkEnd w:id="419"/>
      <w:bookmarkEnd w:id="420"/>
    </w:p>
    <w:bookmarkEnd w:id="421"/>
    <w:p w:rsidR="006312E8" w:rsidRPr="006312E8" w:rsidRDefault="006312E8" w:rsidP="006312E8">
      <w:pPr>
        <w:spacing w:after="0" w:line="240" w:lineRule="auto"/>
        <w:contextualSpacing/>
        <w:jc w:val="center"/>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Aprueban Reglamento de la Ley Nº 29006, Ley que autoriza la disposición de inmuebles del Sector Defensa y dictan disposiciones complementarias</w:t>
      </w:r>
    </w:p>
    <w:p w:rsidR="006312E8" w:rsidRPr="006312E8" w:rsidRDefault="006312E8" w:rsidP="006312E8">
      <w:pPr>
        <w:spacing w:after="0" w:line="240" w:lineRule="auto"/>
        <w:contextualSpacing/>
        <w:jc w:val="center"/>
        <w:rPr>
          <w:rFonts w:ascii="Arial" w:eastAsia="Calibri" w:hAnsi="Arial" w:cs="Arial"/>
          <w:b/>
          <w:lang w:val="es-ES"/>
        </w:rPr>
      </w:pPr>
    </w:p>
    <w:p w:rsidR="006312E8" w:rsidRPr="006312E8" w:rsidRDefault="006312E8" w:rsidP="006312E8">
      <w:pPr>
        <w:spacing w:after="0" w:line="240" w:lineRule="auto"/>
        <w:contextualSpacing/>
        <w:jc w:val="right"/>
        <w:rPr>
          <w:rFonts w:ascii="Arial" w:eastAsia="Calibri" w:hAnsi="Arial" w:cs="Arial"/>
          <w:b/>
          <w:lang w:val="es-ES"/>
        </w:rPr>
      </w:pPr>
      <w:r w:rsidRPr="006312E8">
        <w:rPr>
          <w:rFonts w:ascii="Arial" w:eastAsia="Calibri" w:hAnsi="Arial" w:cs="Arial"/>
          <w:b/>
          <w:lang w:val="es-ES"/>
        </w:rPr>
        <w:t>Fecha de publicación 22-09-2007</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 xml:space="preserve">EL PRESIDENTE DE LA REPÚBLICA </w:t>
      </w: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 xml:space="preserve">CONSIDERANDO: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Que, de conformidad con el artículo 165 de la Constitución Política del Perú, las Fuerzas Armadas están constituidas por el Ejército, la Marina de Guerra y la Fuerza Aérea. Tienen como finalidad primordial garantizar la independencia, la soberanía y la integridad territorial de la República. Asumen el control del orden interno de conformidad con el artículo 137 de la Constitución;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Que, de acuerdo con la Ley Nº 27860, Ley del Ministerio de Defensa, el Ejército del Perú, la Marina de Guerra del Perú y la Fuerza Aérea del Perú son Órganos de Ejecución del Ministerio de Defensa;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Que, la Vigésimo Quinta Política de Estado del Acuerdo Nacional recoge el compromiso del Estado de proveer los elementos materiales necesarios para el cumplimiento de la misión constitucional de las Fuerzas Armadas y el papel asignado por el Estado;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Que, mediante Decreto Supremo Nº 032-DE/SG se aprobó el Reglamento de Administración de la Propiedad Inmobiliaria del Sector Defensa;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Que, la Ley Nº 29006, Ley que autoriza la disposición de inmuebles del Sector Defensa, se facultó al Ministerio de Defensa y a sus Órganos de Ejecución (Ejército, Marina de Guerra y Fuerza Aérea) a realizar actos de administración y disposición, a título oneroso, de los inmuebles de su propiedad que no resulten necesarios para el cumplimiento de su finalidad o no se encuentren considerados en sus planes estratégicos, destinando los recursos que se obtengan para fines de bienestar de su personal, considerando asimismo, por excepción la disposición de bienes necesarios para fines de Defensa Nacional, especialmente los ubicados en áreas urbanas que almacenen materiales que representen un riesgo para la población, siempre que sean reemplazados por otros o los recursos que se obtengan se inviertan en inmuebles destinados a los mismos fines;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Que, la Superintendencia de Bienes Nacionales es el órgano rector responsable de normar la ejecución de los actos de disposición, administración y control de los bienes de propiedad estatal a nivel nacional, por lo que en todo acto relativo a la propiedad estatal se debe contar, sin excepción, con su opinión favorable;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Que, la Disposición Transitoria Única de la Ley Nº 29006, estableció que por decreto supremo, refrendado por el Ministro de Defensa, se aprobarán las normas reglamentarias y complementarias que se requieran para la aplicación de lo dispuesto en dicha Ley;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Que, por tanto, se requiere aprobar el Reglamento de la Ley antes citada;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De conformidad con el artículo 118 inciso 8) de la Constitución Política del Perú; el Decreto Legislativo Nº 560, Ley del Poder Ejecutivo; la Ley Nº 27860, Ley del Ministerio de Defensa; y, la Ley Nº 29006, Ley que autoriza la disposición de inmuebles del sector Defensa; </w:t>
      </w:r>
    </w:p>
    <w:p w:rsidR="006312E8" w:rsidRDefault="006312E8" w:rsidP="006312E8">
      <w:pPr>
        <w:spacing w:after="0" w:line="240" w:lineRule="auto"/>
        <w:contextualSpacing/>
        <w:jc w:val="both"/>
        <w:rPr>
          <w:rFonts w:ascii="Arial" w:eastAsia="Calibri" w:hAnsi="Arial" w:cs="Arial"/>
          <w:lang w:val="es-ES"/>
        </w:rPr>
      </w:pPr>
    </w:p>
    <w:p w:rsidR="00246CE9" w:rsidRPr="006312E8" w:rsidRDefault="00246CE9"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 xml:space="preserve">DECRETA: </w:t>
      </w: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 xml:space="preserve">Artículo 1.- Aprobación de Reglamento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Apruébase el Reglamento de la Ley Nº 29006, Ley que autoriza la disposición de inmuebles del Sector Defensa, el mismo que consta de cinco capítulos, dieciséis artículos y una disposición complementaria y final que en anexo forma parte integrante del presente decreto supremo.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1276" w:hanging="1276"/>
        <w:contextualSpacing/>
        <w:jc w:val="both"/>
        <w:rPr>
          <w:rFonts w:ascii="Arial" w:eastAsia="Calibri" w:hAnsi="Arial" w:cs="Arial"/>
          <w:b/>
          <w:lang w:val="es-ES"/>
        </w:rPr>
      </w:pPr>
      <w:r w:rsidRPr="006312E8">
        <w:rPr>
          <w:rFonts w:ascii="Arial" w:eastAsia="Calibri" w:hAnsi="Arial" w:cs="Arial"/>
          <w:b/>
          <w:lang w:val="es-ES"/>
        </w:rPr>
        <w:t xml:space="preserve">Artículo 2.- Modificación del Artículo 7 del Reglamento de Administración de la Propiedad Inmobiliaria del Sector Defensa aprobado por Decreto Supremo Nº 032-DE/SG.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Incorpórase un último párrafo en el artículo 7 del Reglamento de Administración de la Propiedad Inmobiliaria del Sector Defensa aprobado por Decreto Supremo Nº 032-DE/SG, con el siguiente texto: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En el caso de actos de disposición de inmuebles con el objeto de promover la construcción de viviendas en el marco de convenios de cooperación interinstitucional con el Ministerio de Vivienda, Construcción y Saneamiento, preferentemente en beneficio del personal del Instituto Armado y del Sector Defensa, el Ministerio de Defensa o los Institutos Armados quedan facultados a efectuar dichos actos a título oneroso a valor no menor de S/. 1.00 (Un y 00/100 Nuevo Sol) el metro cuadrado, con la finalidad de obtener el máximo provecho económico en la reducción del costo de la vivienda.”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1418" w:hanging="1418"/>
        <w:contextualSpacing/>
        <w:jc w:val="both"/>
        <w:rPr>
          <w:rFonts w:ascii="Arial" w:eastAsia="Calibri" w:hAnsi="Arial" w:cs="Arial"/>
          <w:b/>
          <w:lang w:val="es-ES"/>
        </w:rPr>
      </w:pPr>
      <w:r w:rsidRPr="006312E8">
        <w:rPr>
          <w:rFonts w:ascii="Arial" w:eastAsia="Calibri" w:hAnsi="Arial" w:cs="Arial"/>
          <w:b/>
          <w:lang w:val="es-ES"/>
        </w:rPr>
        <w:t xml:space="preserve">Artículo 3.- </w:t>
      </w:r>
      <w:r w:rsidRPr="006312E8">
        <w:rPr>
          <w:rFonts w:ascii="Arial" w:eastAsia="Calibri" w:hAnsi="Arial" w:cs="Arial"/>
          <w:b/>
          <w:lang w:val="es-ES"/>
        </w:rPr>
        <w:tab/>
        <w:t xml:space="preserve">Incorporación de Disposiciones Complementarias y Finales en el Reglamento de Administración de la Propiedad Inmobiliaria del Sector Defensa, aprobado por Decreto Supremo Nº 032-DE-SG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Incorpórense la Quinta y Sexta Disposiciones Complementarias y Finales en el Reglamento de Administración de la Propiedad Inmobiliaria del Sector Defensa aprobado por Decreto Supremo Nº 032-DE-SG, con el siguiente tenor: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 xml:space="preserve">“Quinta.- De los encargos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El Ministerio de Defensa podrá encargar a la Agencia de Promoción de la Inversión Privada - PROINVERSIÓN o al FONDO MIVIVIENDA la ejecución del procedimiento de selección que corresponda para los efectos de los actos de administración y/o disposición de los bienes inmuebles a los que se refiere el artículo 1 de la Ley Nº 29006, los mismos que incluyen, sin más limitación que la impuesta por la normatividad vigente, al arrendamiento, constitución de usufructo, constitución de derecho de superficie y concesión; así como, la venta directa, subasta pública y permuta, y cualquier otra modalidad de administración y/o disposición a título oneroso de los referidos inmuebles.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PROINVERSIÓN llevará a cabo el referido encargo de conformidad con el Decreto Legislativo Nº 674 o el Texto Único Ordenado aprobado mediante Decreto Supremo Nº 059-96-PCM, sus normas reglamentarias y complementarias, según fuera el caso, en todo lo que no se oponga a lo dispuesto en la Ley Nº 29006 y en el marco de convenios de cooperación que, para tales efectos, deberán suscribir el Ministerio de Defensa y la Agencia de Promoción de la Inversión Privada - PROINVERSIÓN. Por su parte el FONDO MIVIVIENDA se regirá por la normativa que le resulte aplicable en el marco de los convenios de cooperación correspondientes”.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 xml:space="preserve">“Sexta.- De las iniciativas privadas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En el caso de presentarse iniciativas privadas respecto a uno o más inmuebles a los que se refiere el artículo 1 de la Ley 29006, serán de aplicación las disposiciones contenidas en la Ley de Promoción de Inversiones Descentralizadas, Ley Nº 28059 y su reglamento, en todo lo que no se oponga a lo dispuesto en la Ley Nº 29006.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El Ministerio de Defensa o sus Órganos de Ejecución, según sea el caso, formularán el Informe Técnico al que se refiere el artículo 3 de la Ley Nº 29006 el mismo que deberá contener el análisis de la iniciativa o iniciativas privadas remitidas por el Organismo Promotor de la Inversión Privada. Dicho informe deberá ser tomado en cuenta para efectos de la declaración de interés”.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 xml:space="preserve">Artículo 4.- Normas complementarias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Mediante Resolución Ministerial del Ministerio de Defensa se dictarán, en el ámbito de su competencia, las normas complementarias que sean necesarias para la aplicación del presente decreto supremo.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 xml:space="preserve">Artículo 5.- Refrendo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El presente decreto supremo es refrendado por el Ministro de Defensa.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Dado en la casa de Gobierno, a los veintiún días del mes de setiembre del dos mil siete.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b/>
        <w:t>ALAN GARCÍA PÉREZ</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 xml:space="preserve">Presidente Constitucional de la República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b/>
        <w:t>ALLAN WAGNER TIZON</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 xml:space="preserve">Ministro de Defensa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REGLAMENTO DE LA LEY Nº 29006, LEY QUE AUTORIZA LA DISPOSICION DE INMUEBLES DEL SECTOR DEFENSA</w:t>
      </w:r>
    </w:p>
    <w:p w:rsidR="006312E8" w:rsidRPr="006312E8" w:rsidRDefault="006312E8" w:rsidP="006312E8">
      <w:pPr>
        <w:spacing w:after="0" w:line="240" w:lineRule="auto"/>
        <w:contextualSpacing/>
        <w:jc w:val="center"/>
        <w:rPr>
          <w:rFonts w:ascii="Arial" w:eastAsia="Calibri" w:hAnsi="Arial" w:cs="Arial"/>
          <w:b/>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CAPÍTULO I</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DESAFECTACIÓN Y TRANSFERENCIA DE BIENES AFECTADOS EN USO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 xml:space="preserve">Artículo 1.- Desafectación y transferencia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A solicitud del Ministerio de Defensa, por su propio derecho o por encargo de sus Órganos de Ejecución, según corresponda, la Superintendencia de Bienes Nacionales previo informe favorable sustentatorio que se refiera a la situación técnico legal de los bienes, dará la conformidad para la desafectación y transferencia en propiedad a dicho Ministerio o a sus Órganos de Ejecución de los inmuebles que le fueron afectados en uso.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informe favorable de la Superintendencia de Bienes Nacionales a que se refiere el párrafo anterior deberá ser emitido y notificado dentro del plazo de treinta (30) días hábiles contados desde la presentación de la solicitud. Al vencimiento del plazo, operará el silencio administrativo positivo.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 transferencia a que se refiere el presente artículo se efectuará sin costo, carga ni condición alguna distinta de los fines a que se refiere la Ley Nº 29006, Ley que autoriza la disposición de inmuebles del sector Defensa (en adelante, la Ley).</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 desafectación y transferencia de los inmuebles que tengan un área de extensión mayor a diez (10) hectáreas, serán aprobados por Resolución Suprema refrendada por el Presidente del Consejo de Ministros, el Ministro de Defensa y el Ministro de Vivienda, Construcción y Saneamiento.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 xml:space="preserve">Artículo 2.- Titular del bien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Para los efectos de la aplicación del artículo 2 de la Ley y lo dispuesto en el presente Reglamento, entiéndase que la transferencia será efectuada a favor del Ministerio de Defensa, o del Ministerio de Defensa-Órgano de Ejecución, según sea el caso.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CAPÍTULO II</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LEVANTAMIENTO DE RESERVA Y TRANSFERENCIA DE BIENES RESERVADOS PARA DEFENSA NACIONAL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 xml:space="preserve">Artículo 3.- Levantamiento de reserva y transferencia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 solicitud del Ministerio de Defensa, por su propio derecho o por encargo de sus Órganos de Ejecución, según corresponda, la Superintendencia de Bienes Nacionales, previo informe favorable sustentatorio que se refiera a la situación técnico-legal de los bienes, dará la conformidad para el levantamiento de reserva y ulterior transferencia en propiedad a dicho Ministerio o a sus Órganos de Ejecución respecto a los inmuebles del Estado que fueron reservados para fines de Defensa Nacional.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informe favorable de la Superintendencia de Bienes Nacionales a que se refiere el párrafo anterior deberá ser emitido y notificado dentro del plazo de treinta (30) días hábiles contados desde la presentación de la solicitud. Al vencimiento del plazo, operará el silencio administrativo positivo.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levantamiento de reserva y la transferencia se efectuará mediante resolución suprema refrendada por el Presidente del Consejo de Ministros, el Ministro de Defensa y el Ministro de Vivienda, Construcción y Saneamiento.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 transferencia a que se refiere el presente artículo se efectuará sin costo, carga ni condición alguna distinta de los fines a que se refiere la Ley.</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 xml:space="preserve">Artículo 4.- Titular del bien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Para los efectos de la aplicación del artículo 2 de la Ley y lo dispuesto en el presente reglamento, entiéndase que la transferencia será efectuada a favor del Ministerio de Defensa, o del Ministerio de Defensa-Órgano de Ejecución, según sea el caso.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CAPÍTULO III</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ADMINISTRACIÓN Y/O DISPOSICIÓN DE INMUEBLES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 xml:space="preserve">Artículo 5.- Actos de administración y/o disposición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Los actos de administración y/o disposición a que se refiere el artículo 1 de la Ley, respecto a los inmuebles de propiedad del Ministerio de Defensa o de sus Órganos de Ejecución son los siguientes: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241D1D">
      <w:pPr>
        <w:numPr>
          <w:ilvl w:val="1"/>
          <w:numId w:val="108"/>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 xml:space="preserve">De administración: arrendamiento, constitución de usufructo, servidumbre y cesión en uso; y, </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241D1D">
      <w:pPr>
        <w:numPr>
          <w:ilvl w:val="1"/>
          <w:numId w:val="108"/>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De disposición: constitución de derecho de superficie, concesión, fideicomiso de inmuebles, así como venta directa, subasta pública y permuta.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Para efectos de la ejecución de los actos de disposición señalados en el presente artículo, será requisito contar con la opinión favorable de la Superintendencia de Bienes Nacionales que se refiera a la situación técnico- legal de los bienes, con excepción de los predios comprendidos en procesos a cargo de PROINVERSION.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 opinión favorable de la Superintendencia de Bienes Nacionales a que se refiere el párrafo anterior deberá ser expedida y notificada dentro del plazo de treinta (30) días hábiles contados desde la presentación de la solicitud. Al vencimiento del plazo, operará el silencio administrativo positivo.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 xml:space="preserve">Artículo 6.- Título oneroso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Para los efectos de la aplicación de la Ley, se entiende por actos de administración y disposición a título oneroso a aquellos realizados al amparo de la Ley y el presente Reglamento indicados en el artículo anterior, en los cuales existe una compensación económica.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 xml:space="preserve">Artículo 7.- Determinación de los Inmuebles materia de administración y/o disposición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Ministerio de Defensa o los Órganos de Ejecución, según corresponda, determinarán mediante Resolución Ministerial o del Comandante General de cada Órgano de Ejecución, según sea el caso, los inmuebles que no resulten necesarios para el cumplimiento de su finalidad o no se encuentren considerados en los planes estratégicos del Ministerio de Defensa o del Órgano de Ejecución, respectivamente, y que pueden ser objeto de administración y/o disposición en el marco de lo dispuesto en la Ley.</w:t>
      </w:r>
    </w:p>
    <w:p w:rsidR="006312E8" w:rsidRDefault="006312E8"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Pr="006312E8" w:rsidRDefault="00246CE9"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 xml:space="preserve">Artículo 8.- Informe Técnico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Para la elaboración del Informe Técnico a que se refiere el artículo 3 de la Ley, se deberá observar lo siguiente: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705" w:hanging="563"/>
        <w:jc w:val="both"/>
        <w:rPr>
          <w:rFonts w:ascii="Arial" w:eastAsia="Calibri" w:hAnsi="Arial" w:cs="Arial"/>
          <w:lang w:val="es-ES"/>
        </w:rPr>
      </w:pPr>
      <w:r w:rsidRPr="006312E8">
        <w:rPr>
          <w:rFonts w:ascii="Arial" w:eastAsia="Calibri" w:hAnsi="Arial" w:cs="Arial"/>
          <w:lang w:val="es-ES"/>
        </w:rPr>
        <w:t xml:space="preserve">8.1 </w:t>
      </w:r>
      <w:r w:rsidRPr="006312E8">
        <w:rPr>
          <w:rFonts w:ascii="Arial" w:eastAsia="Calibri" w:hAnsi="Arial" w:cs="Arial"/>
          <w:lang w:val="es-ES"/>
        </w:rPr>
        <w:tab/>
        <w:t>En el caso de disposición de inmuebles orientados a promover la adquisición de viviendas del personal militar y civil del Ministerio de Defensa o de sus Órganos de Ejecución, el máximo provecho económico a que se refiere el artículo 3 de la Ley, podrá ser considerado tanto en beneficio del Ministerio de Defensa o de sus Órganos de Ejecución como en beneficio del mencionado personal. En este último caso, el cálculo del provecho económico estará relacionado con la posibilidad de facilitar el acceso del personal militar y civil a viviendas de menor costo, en concordancia con la finalidad establecida en el inciso a) del artículo 5 de la Ley.</w:t>
      </w:r>
    </w:p>
    <w:p w:rsidR="006312E8" w:rsidRPr="006312E8" w:rsidRDefault="006312E8" w:rsidP="006312E8">
      <w:pPr>
        <w:spacing w:after="0" w:line="240" w:lineRule="auto"/>
        <w:ind w:left="705" w:hanging="563"/>
        <w:jc w:val="both"/>
        <w:rPr>
          <w:rFonts w:ascii="Arial" w:eastAsia="Calibri" w:hAnsi="Arial" w:cs="Arial"/>
          <w:lang w:val="es-ES"/>
        </w:rPr>
      </w:pPr>
    </w:p>
    <w:p w:rsidR="006312E8" w:rsidRPr="006312E8" w:rsidRDefault="006312E8" w:rsidP="006312E8">
      <w:pPr>
        <w:spacing w:after="0" w:line="240" w:lineRule="auto"/>
        <w:ind w:left="705" w:hanging="563"/>
        <w:jc w:val="both"/>
        <w:rPr>
          <w:rFonts w:ascii="Arial" w:eastAsia="Calibri" w:hAnsi="Arial" w:cs="Arial"/>
          <w:lang w:val="es-ES"/>
        </w:rPr>
      </w:pPr>
      <w:r w:rsidRPr="006312E8">
        <w:rPr>
          <w:rFonts w:ascii="Arial" w:eastAsia="Calibri" w:hAnsi="Arial" w:cs="Arial"/>
          <w:lang w:val="es-ES"/>
        </w:rPr>
        <w:t xml:space="preserve">8.2 </w:t>
      </w:r>
      <w:r w:rsidRPr="006312E8">
        <w:rPr>
          <w:rFonts w:ascii="Arial" w:eastAsia="Calibri" w:hAnsi="Arial" w:cs="Arial"/>
          <w:lang w:val="es-ES"/>
        </w:rPr>
        <w:tab/>
        <w:t>La determinación del acto de disposición o administración comercial más beneficioso e idóneo, podrá ser encargada a PROINVERSION o al FONDO MIVIVIENDA.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 xml:space="preserve">Artículo 9.- De los Fondos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De acuerdo con la Ley, el Ministerio de Defensa o sus Órganos de Ejecución podrán celebrar contratos de fideicomiso, previo proceso de selección, para la administración de los recursos que se generen por la administración y/o disposición de los inmuebles en aplicación de lo dispuesto en la Ley.</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Para estos efectos, en el Ministerio de Defensa y en sus Órganos de Ejecución se constituirán comités especiales encargados de decidir la celebración de contratos de fideicomiso, autorizar su celebración e instruir al fiduciario para la aplicación de los recursos a las finalidades establecidas en el artículo 5 de la Ley. Los comités estarán conformados en el caso del Ministerio de Defensa por tres (3) miembros, uno de los cuales será el Director Técnico de Administración, quien lo presidirá; y, en el caso de los Órganos de Ejecución por cinco (5) miembros, uno de los cuales será el Comandante General de la Institución Armada respectiva, quien lo presidirá.</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 Dirección Técnica de Economía del Ministerio de Defensa ejercerá la supervisión sobre los fondos que se generen por los actos de administración y/o disposición indicados en el artículo 5 del presente Reglamento, estableciendo las directivas necesarias para que los mismos sean destinados por el Ministerio de Defensa o por los Órganos de Ejecución, según corresponda, exclusivamente a cumplir con las finalidades establecidas en el artículo 5 de la Ley.</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CAPÍTULO IV</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DISPOSICIÓN DE INMUEBLES NECESARIOS PARA FINES DE DEFENSA NACIONAL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 xml:space="preserve">Artículo 10.- Actos de Disposición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Para efectos de la Primera Disposición Complementaria de la Ley, se entienden por actos de disposición: la venta directa y por subasta pública, la permuta, constitución de derecho de superficie, fideicomiso de inmuebles y la concesión.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Los actos antes mencionados realizados al amparo de la Ley y el presente Reglamento serán necesariamente a título oneroso.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Para efectos de la ejecución de los actos de disposición señalados en el presente artículo, será requisito contar con la opinión favorable de la Superintendencia de Bienes Nacionales que se refiera a la situación técnico- legal de los bienes, con excepción de los predios comprendidos en procesos a cargo de PROINVERSION.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 opinión favorable de la Superintendencia de Bienes Nacionales a que se refiere el párrafo anterior deberá ser expedida y notificada dentro del plazo de treinta (30) días hábiles contados a partir de la presentación de la solicitud respectiva. Al vencimiento del plazo, operará el silencio administrativo positivo.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 xml:space="preserve">Artículo 11.- Reemplazo de inmuebles necesarios para fines de Defensa Nacional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De acuerdo a la Primera Disposición Complementaria de la Ley, por reemplazo se entiende el cambio de un inmueble necesario para fines de Defensa Nacional por otro inmueble, lo que comprende, entre otros, la desinstalación y traslado, así como los gastos que ello genere. En este caso, el inmueble de reemplazo tendrá también fines de Defensa Nacional.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inmueble de reemplazo será transferido en propiedad a favor del Ministerio de Defensa o del Ministerio de Defensa-Órgano de Ejecución según corresponda, sin costo, carga ni condición alguna distinta de los fines de Defensa Nacional. En caso que la transferencia en propiedad no sea posible, el bien de reemplazo deberá ser afectado en uso para fines de Defensa Nacional.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1418" w:hanging="1418"/>
        <w:contextualSpacing/>
        <w:jc w:val="both"/>
        <w:rPr>
          <w:rFonts w:ascii="Arial" w:eastAsia="Calibri" w:hAnsi="Arial" w:cs="Arial"/>
          <w:b/>
          <w:lang w:val="es-ES"/>
        </w:rPr>
      </w:pPr>
      <w:r w:rsidRPr="006312E8">
        <w:rPr>
          <w:rFonts w:ascii="Arial" w:eastAsia="Calibri" w:hAnsi="Arial" w:cs="Arial"/>
          <w:b/>
          <w:lang w:val="es-ES"/>
        </w:rPr>
        <w:t xml:space="preserve">Artículo 12.- </w:t>
      </w:r>
      <w:r w:rsidRPr="006312E8">
        <w:rPr>
          <w:rFonts w:ascii="Arial" w:eastAsia="Calibri" w:hAnsi="Arial" w:cs="Arial"/>
          <w:b/>
          <w:lang w:val="es-ES"/>
        </w:rPr>
        <w:tab/>
        <w:t xml:space="preserve">Desafectación, levantamiento de reserva y transferencia al Ministerio de Defensa o a sus Órganos de Ejecución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Para efectos de lo referido en el presente capítulo, la desafectación o levantamiento de reserva y la transferencia al Ministerio de Defensa o a sus Órganos de Ejecución, según sea el caso, se realizará de conformidad con lo establecido en los artículos 1 y 3 del presente Reglamento, respectivamente.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 xml:space="preserve">Artículo 13.- Determinación de los Inmuebles materia de disposición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Mediante Resolución Ministerial o del Comandante General del Órgano de Ejecución respectivo, el Ministerio de Defensa o los Órganos de Ejecución, según corresponda, determinarán los inmuebles que son necesarios para el cumplimiento de su finalidad o se encuentren considerados en sus planes estratégicos, pero que pueden ser objeto de disposición en el marco de lo establecido en la Primera Disposición Complementaria de la Ley. En dicha evaluación se considerarán, especialmente, los inmuebles ubicados en áreas urbanas que almacenen materiales que representen un riesgo para la población.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 xml:space="preserve">Artículo 14.- Informe Técnico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Para la elaboración del Informe Técnico a que se refiere la Primera Disposición Complementaria de la Ley, se deberá observar lo siguiente: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705" w:hanging="563"/>
        <w:jc w:val="both"/>
        <w:rPr>
          <w:rFonts w:ascii="Arial" w:eastAsia="Calibri" w:hAnsi="Arial" w:cs="Arial"/>
          <w:lang w:val="es-ES"/>
        </w:rPr>
      </w:pPr>
      <w:r w:rsidRPr="006312E8">
        <w:rPr>
          <w:rFonts w:ascii="Arial" w:eastAsia="Calibri" w:hAnsi="Arial" w:cs="Arial"/>
          <w:lang w:val="es-ES"/>
        </w:rPr>
        <w:t xml:space="preserve">14.1 </w:t>
      </w:r>
      <w:r w:rsidRPr="006312E8">
        <w:rPr>
          <w:rFonts w:ascii="Arial" w:eastAsia="Calibri" w:hAnsi="Arial" w:cs="Arial"/>
          <w:lang w:val="es-ES"/>
        </w:rPr>
        <w:tab/>
        <w:t>Si el Ministerio de Defensa o el Órgano de Ejecución que corresponda, cuenta con un inmueble cuyas características procuren que se seguirá cumpliendo con el mismo fin del inmueble que va a ser materia de reemplazo, o si dentro del Sector Defensa existe un Órgano que posea un inmueble que cumpla con dichas características. En este último caso, el informe deberá incluir la conformidad de dicho órgano.</w:t>
      </w:r>
    </w:p>
    <w:p w:rsidR="006312E8" w:rsidRPr="006312E8" w:rsidRDefault="006312E8" w:rsidP="006312E8">
      <w:pPr>
        <w:spacing w:after="0" w:line="240" w:lineRule="auto"/>
        <w:ind w:hanging="563"/>
        <w:contextualSpacing/>
        <w:jc w:val="both"/>
        <w:rPr>
          <w:rFonts w:ascii="Arial" w:eastAsia="Calibri" w:hAnsi="Arial" w:cs="Arial"/>
          <w:lang w:val="es-ES"/>
        </w:rPr>
      </w:pPr>
    </w:p>
    <w:p w:rsidR="006312E8" w:rsidRPr="006312E8" w:rsidRDefault="006312E8" w:rsidP="006312E8">
      <w:pPr>
        <w:spacing w:after="0" w:line="240" w:lineRule="auto"/>
        <w:ind w:left="705" w:hanging="563"/>
        <w:jc w:val="both"/>
        <w:rPr>
          <w:rFonts w:ascii="Arial" w:eastAsia="Calibri" w:hAnsi="Arial" w:cs="Arial"/>
          <w:lang w:val="es-ES"/>
        </w:rPr>
      </w:pPr>
      <w:r w:rsidRPr="006312E8">
        <w:rPr>
          <w:rFonts w:ascii="Arial" w:eastAsia="Calibri" w:hAnsi="Arial" w:cs="Arial"/>
          <w:lang w:val="es-ES"/>
        </w:rPr>
        <w:t xml:space="preserve">14.2 </w:t>
      </w:r>
      <w:r w:rsidRPr="006312E8">
        <w:rPr>
          <w:rFonts w:ascii="Arial" w:eastAsia="Calibri" w:hAnsi="Arial" w:cs="Arial"/>
          <w:lang w:val="es-ES"/>
        </w:rPr>
        <w:tab/>
        <w:t>La determinación del acto de disposición o administración comercial más beneficioso e idóneo, podrá ser encargada a PROINVERSION o al FONDO MIVIVIENDA.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 xml:space="preserve">Artículo 15.- De los Fondos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Los fondos que se generen por los actos de disposición indicados en el artículo 10 del presente Reglamento serán invertidos en inmuebles del Ministerio de Defensa o de sus Órganos de Ejecución, según corresponda, destinados para fines de Defensa Nacional.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De acuerdo con la Ley, el Ministerio de Defensa o sus Órganos de Ejecución podrán celebrar contratos de fideicomiso, previo proceso de selección, para la administración de los recursos que se generen por la disposición de los inmuebles transferidos en propiedad al amparo de lo dispuesto en la Ley.</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Para estos efectos, en el Ministerio de Defensa y en sus Órganos de Ejecución se constituirán comités especiales encargados de decidir la celebración de contratos de fideicomiso, autorizar su celebración e instruir al fiduciario para la aplicación de los recursos a las finalidades establecidas en la Primera Disposición Complementaria de la Ley. Los comités estarán conformados en el caso del Ministerio de Defensa por tres (3) miembros, uno de los cuales será el Director Técnico de Administración, quien lo presidirá; y, en el caso de los Órganos de Ejecución, por cinco (5) miembros, uno de los cuales será el Comandante General de la Institución Armada respectiva, quien lo presidirá.</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 Dirección Técnica de Economía del Ministerio de Defensa ejercerá la supervisión y control sobre dichos fondos, previendo que sean destinados por el Ministerio de Defensa o por los Órganos de Ejecución, según corresponda, de conformidad con lo establecido en el presente artículo.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CAPÍTULO V</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INFORMES AL CONGRESO DE LA REPÚBLICA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 xml:space="preserve">Artículo 16.- Informes de los Órganos de Ejecución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Los Órganos de Ejecución informarán diez (10) días hábiles antes del vencimiento de cada trimestre a la Dirección Técnica de Administración del Ministerio de Defensa sobre la aplicación de la Ley, a efectos que ésta consolide dicha información para su respectiva presentación a las Comisiones de Presupuesto y Cuenta General de la República; y, de Defensa Nacional, Orden Interno, Desarrollo Alternativo y Lucha contra las Drogas del Congreso de la República.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DISPOSICIÓN COMPLEMENTARIA Y FINAL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Única.-</w:t>
      </w:r>
      <w:r w:rsidRPr="006312E8">
        <w:rPr>
          <w:rFonts w:ascii="Arial" w:eastAsia="Calibri" w:hAnsi="Arial" w:cs="Arial"/>
          <w:lang w:val="es-ES"/>
        </w:rPr>
        <w:t xml:space="preserve"> Para los efectos de la aplicación de la Ley y el presente Reglamento, entiéndase por Ministerio de Defensa a su Administración General; y, por Órganos de Ejecución al Ejército del Perú, la Marina de Guerra del Perú y la Fuerza Aérea del Perú.</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Default="006312E8"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Pr="006312E8" w:rsidRDefault="00246CE9"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jc w:val="center"/>
        <w:rPr>
          <w:rFonts w:ascii="Arial" w:hAnsi="Arial" w:cs="Arial"/>
          <w:b/>
          <w:sz w:val="28"/>
          <w:szCs w:val="28"/>
          <w:lang w:val="es-ES"/>
        </w:rPr>
      </w:pPr>
    </w:p>
    <w:p w:rsidR="006312E8" w:rsidRPr="006312E8" w:rsidRDefault="006312E8" w:rsidP="00F47618">
      <w:pPr>
        <w:pStyle w:val="TITO10"/>
      </w:pPr>
      <w:bookmarkStart w:id="422" w:name="_Toc392856255"/>
      <w:bookmarkStart w:id="423" w:name="_Toc399335526"/>
      <w:bookmarkStart w:id="424" w:name="_Toc421025472"/>
      <w:bookmarkStart w:id="425" w:name="_Toc470855575"/>
      <w:r w:rsidRPr="006312E8">
        <w:t>NORMAS SECTORIALES VINCULADAS A PREDIOS DEL ESTADO</w:t>
      </w:r>
      <w:bookmarkEnd w:id="422"/>
      <w:bookmarkEnd w:id="423"/>
      <w:bookmarkEnd w:id="424"/>
      <w:bookmarkEnd w:id="425"/>
    </w:p>
    <w:bookmarkStart w:id="426" w:name="_Toc392856256"/>
    <w:p w:rsidR="006312E8" w:rsidRPr="006312E8" w:rsidRDefault="006312E8" w:rsidP="006312E8">
      <w:pPr>
        <w:spacing w:after="0" w:line="240" w:lineRule="auto"/>
        <w:jc w:val="center"/>
        <w:rPr>
          <w:rFonts w:ascii="Arial" w:eastAsia="Calibri" w:hAnsi="Arial" w:cs="Arial"/>
          <w:b/>
          <w:sz w:val="48"/>
          <w:szCs w:val="48"/>
          <w:lang w:val="es-ES"/>
        </w:rPr>
      </w:pPr>
      <w:r w:rsidRPr="006312E8">
        <w:rPr>
          <w:rFonts w:ascii="Arial" w:eastAsia="Calibri" w:hAnsi="Arial" w:cs="Arial"/>
          <w:b/>
          <w:noProof/>
          <w:sz w:val="48"/>
          <w:szCs w:val="48"/>
          <w:lang w:val="es-MX" w:eastAsia="es-MX"/>
        </w:rPr>
        <mc:AlternateContent>
          <mc:Choice Requires="wps">
            <w:drawing>
              <wp:anchor distT="0" distB="0" distL="114300" distR="114300" simplePos="0" relativeHeight="251678720" behindDoc="0" locked="0" layoutInCell="1" allowOverlap="1" wp14:anchorId="54EEAEA4" wp14:editId="63AEA31E">
                <wp:simplePos x="0" y="0"/>
                <wp:positionH relativeFrom="column">
                  <wp:posOffset>1485265</wp:posOffset>
                </wp:positionH>
                <wp:positionV relativeFrom="paragraph">
                  <wp:posOffset>201930</wp:posOffset>
                </wp:positionV>
                <wp:extent cx="3286125" cy="0"/>
                <wp:effectExtent l="38100" t="38100" r="38100" b="38100"/>
                <wp:wrapNone/>
                <wp:docPr id="78" name="Conector recto de flecha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6125" cy="0"/>
                        </a:xfrm>
                        <a:prstGeom prst="straightConnector1">
                          <a:avLst/>
                        </a:prstGeom>
                        <a:noFill/>
                        <a:ln w="635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D2EB4C3" id="Conector recto de flecha 78" o:spid="_x0000_s1026" type="#_x0000_t32" style="position:absolute;margin-left:116.95pt;margin-top:15.9pt;width:258.7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" strokeweight="5pt">
                <v:shadow color="#7f7f7f" opacity=".5" offset="1pt"/>
              </v:shape>
            </w:pict>
          </mc:Fallback>
        </mc:AlternateContent>
      </w:r>
      <w:bookmarkEnd w:id="426"/>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F47618">
      <w:pPr>
        <w:pStyle w:val="TITO2"/>
      </w:pPr>
      <w:bookmarkStart w:id="427" w:name="_Toc392856257"/>
      <w:bookmarkStart w:id="428" w:name="_Toc399335527"/>
      <w:bookmarkStart w:id="429" w:name="_Toc421025473"/>
      <w:bookmarkStart w:id="430" w:name="_Toc470855576"/>
      <w:bookmarkStart w:id="431" w:name="LEY26834"/>
      <w:r w:rsidRPr="006312E8">
        <w:t>LEY N° 26834</w:t>
      </w:r>
      <w:bookmarkEnd w:id="427"/>
      <w:bookmarkEnd w:id="428"/>
      <w:bookmarkEnd w:id="429"/>
      <w:bookmarkEnd w:id="430"/>
    </w:p>
    <w:bookmarkEnd w:id="431"/>
    <w:p w:rsidR="006312E8" w:rsidRPr="006312E8" w:rsidRDefault="006312E8" w:rsidP="006312E8">
      <w:pPr>
        <w:spacing w:after="0" w:line="240" w:lineRule="auto"/>
        <w:contextualSpacing/>
        <w:jc w:val="center"/>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Ley de Áreas Naturales Protegidas</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(Extracto)</w:t>
      </w:r>
    </w:p>
    <w:p w:rsidR="006312E8" w:rsidRPr="006312E8" w:rsidRDefault="006312E8" w:rsidP="006312E8">
      <w:pPr>
        <w:spacing w:after="0" w:line="240" w:lineRule="auto"/>
        <w:contextualSpacing/>
        <w:jc w:val="center"/>
        <w:rPr>
          <w:rFonts w:ascii="Arial" w:eastAsia="Calibri" w:hAnsi="Arial" w:cs="Arial"/>
          <w:b/>
          <w:lang w:val="es-ES"/>
        </w:rPr>
      </w:pPr>
    </w:p>
    <w:p w:rsidR="006312E8" w:rsidRPr="006312E8" w:rsidRDefault="006312E8" w:rsidP="006312E8">
      <w:pPr>
        <w:spacing w:after="0" w:line="240" w:lineRule="auto"/>
        <w:contextualSpacing/>
        <w:jc w:val="right"/>
        <w:rPr>
          <w:rFonts w:ascii="Arial" w:eastAsia="Calibri" w:hAnsi="Arial" w:cs="Arial"/>
          <w:b/>
          <w:lang w:val="es-ES"/>
        </w:rPr>
      </w:pPr>
      <w:r w:rsidRPr="006312E8">
        <w:rPr>
          <w:rFonts w:ascii="Arial" w:eastAsia="Calibri" w:hAnsi="Arial" w:cs="Arial"/>
          <w:b/>
          <w:lang w:val="es-ES"/>
        </w:rPr>
        <w:t>Fecha de publicación: 04-07-1990</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EL PRESIDENTE DE LA REPUBLICA</w:t>
      </w: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POR CUANTO: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Congreso de la República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Ha dado la Ley siguiente: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EL CONGRESO DE LA REPUBLICA</w:t>
      </w: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HA DADO LA LEY SIGUIENTE:</w:t>
      </w:r>
    </w:p>
    <w:p w:rsidR="006312E8" w:rsidRPr="006312E8" w:rsidRDefault="006312E8" w:rsidP="006312E8">
      <w:pPr>
        <w:spacing w:after="0" w:line="240" w:lineRule="auto"/>
        <w:contextualSpacing/>
        <w:jc w:val="both"/>
        <w:rPr>
          <w:rFonts w:ascii="Arial" w:eastAsia="Calibri" w:hAnsi="Arial" w:cs="Arial"/>
          <w:b/>
          <w:sz w:val="28"/>
          <w:szCs w:val="28"/>
          <w:lang w:val="es-ES"/>
        </w:rPr>
      </w:pPr>
    </w:p>
    <w:p w:rsidR="006312E8" w:rsidRPr="006312E8" w:rsidRDefault="006312E8" w:rsidP="006312E8">
      <w:pPr>
        <w:spacing w:after="0" w:line="240" w:lineRule="auto"/>
        <w:contextualSpacing/>
        <w:jc w:val="center"/>
        <w:rPr>
          <w:rFonts w:ascii="Arial" w:eastAsia="Calibri" w:hAnsi="Arial" w:cs="Arial"/>
          <w:b/>
          <w:sz w:val="28"/>
          <w:szCs w:val="28"/>
          <w:lang w:val="es-ES"/>
        </w:rPr>
      </w:pPr>
      <w:r w:rsidRPr="006312E8">
        <w:rPr>
          <w:rFonts w:ascii="Arial" w:eastAsia="Calibri" w:hAnsi="Arial" w:cs="Arial"/>
          <w:b/>
          <w:sz w:val="28"/>
          <w:szCs w:val="28"/>
          <w:lang w:val="es-ES"/>
        </w:rPr>
        <w:t>LEY DE AREAS NATURALES PROTEGIDAS</w:t>
      </w:r>
    </w:p>
    <w:p w:rsidR="006312E8" w:rsidRPr="006312E8" w:rsidRDefault="006312E8" w:rsidP="006312E8">
      <w:pPr>
        <w:spacing w:after="0" w:line="240" w:lineRule="auto"/>
        <w:contextualSpacing/>
        <w:jc w:val="center"/>
        <w:rPr>
          <w:rFonts w:ascii="Arial" w:eastAsia="Calibri" w:hAnsi="Arial" w:cs="Arial"/>
          <w:b/>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TITULO I</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DISPOSICIONES GENERALES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4.-</w:t>
      </w:r>
      <w:r w:rsidRPr="006312E8">
        <w:rPr>
          <w:rFonts w:ascii="Arial" w:eastAsia="Calibri" w:hAnsi="Arial" w:cs="Arial"/>
          <w:lang w:val="es-ES"/>
        </w:rPr>
        <w:t xml:space="preserve"> Las Áreas Naturales Protegidas, con excepción de las Áreas de Conservación Privadas, son de dominio público y no podrán ser adjudicadas en propiedad a los particulares. Cuando se declaren Áreas Naturales Protegidas que incluyan predios de propiedad privada, se podrá determinar las restricciones al uso de la propiedad del predio, y en su caso, se establecerán las medidas compensatorias correspondientes. La administración del Área Natural Protegida promoverá la suscripción de acuerdos con los titulares de derechos en las áreas, para asegurar que el ejercicio de sus derechos sea compatible con los objetivos del área.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5.-</w:t>
      </w:r>
      <w:r w:rsidRPr="006312E8">
        <w:rPr>
          <w:rFonts w:ascii="Arial" w:eastAsia="Calibri" w:hAnsi="Arial" w:cs="Arial"/>
          <w:lang w:val="es-ES"/>
        </w:rPr>
        <w:t xml:space="preserve"> El ejercicio de la propiedad y de los demás derechos reales adquiridos con anterioridad al establecimiento de un Área Natural Protegida, debe hacerse en armonía con los objetivos y fines para los cuales éstas fueron creadas. El Estado evaluará en cada caso la necesidad de imponer otras limitaciones al ejercicio de dichos derechos. Cualquier transferencia de derechos a terceros por parte de un poblador de un Área Natural Protegida, deberá ser previamente notificada a la Jefatura del Área. En caso de transferencia del derecho de propiedad, el Estado podrá ejercer el derecho de retracto conforme al Código Civil.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F47618">
      <w:pPr>
        <w:pStyle w:val="TITO2"/>
      </w:pPr>
      <w:bookmarkStart w:id="432" w:name="_Toc421025474"/>
      <w:bookmarkStart w:id="433" w:name="_Toc470855577"/>
      <w:r w:rsidRPr="006312E8">
        <w:t>LEY Nº 28296</w:t>
      </w:r>
      <w:bookmarkEnd w:id="432"/>
      <w:bookmarkEnd w:id="433"/>
    </w:p>
    <w:p w:rsidR="006312E8" w:rsidRPr="006312E8" w:rsidRDefault="006312E8" w:rsidP="006312E8">
      <w:pPr>
        <w:spacing w:after="0" w:line="240" w:lineRule="auto"/>
        <w:contextualSpacing/>
        <w:jc w:val="center"/>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Ley General del Patrimonio Cultural de la Nación</w:t>
      </w:r>
    </w:p>
    <w:p w:rsidR="006312E8" w:rsidRPr="006312E8" w:rsidRDefault="006312E8" w:rsidP="006312E8">
      <w:pPr>
        <w:spacing w:after="0" w:line="240" w:lineRule="auto"/>
        <w:contextualSpacing/>
        <w:jc w:val="center"/>
        <w:rPr>
          <w:rFonts w:ascii="Arial" w:eastAsia="Calibri" w:hAnsi="Arial" w:cs="Arial"/>
          <w:b/>
          <w:lang w:val="es-ES"/>
        </w:rPr>
      </w:pPr>
    </w:p>
    <w:p w:rsidR="006312E8" w:rsidRPr="006312E8" w:rsidRDefault="006312E8" w:rsidP="006312E8">
      <w:pPr>
        <w:spacing w:after="0" w:line="240" w:lineRule="auto"/>
        <w:contextualSpacing/>
        <w:jc w:val="right"/>
        <w:rPr>
          <w:rFonts w:ascii="Arial" w:eastAsia="Calibri" w:hAnsi="Arial" w:cs="Arial"/>
          <w:b/>
          <w:lang w:val="es-ES"/>
        </w:rPr>
      </w:pPr>
      <w:r w:rsidRPr="006312E8">
        <w:rPr>
          <w:rFonts w:ascii="Arial" w:eastAsia="Calibri" w:hAnsi="Arial" w:cs="Arial"/>
          <w:b/>
          <w:lang w:val="es-ES"/>
        </w:rPr>
        <w:t>Publicada: 22-07-2004</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EL PRESIDENTE DEL CONGRESO DE LA REPÚBLICA</w:t>
      </w: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POR CUANTO:</w:t>
      </w: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LA COMISIÓN PERMANENTE DEL CONGRESO DE LA REPÚBLICA;</w:t>
      </w: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Ha dado la Ley siguiente: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LEY GENERAL DEL PATRIMONIO CULTURAL DE LA NACIÓN</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TÍTULO PRELIMINAR</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I.- Objeto de la Ley</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 presente Ley establece políticas nacionales de defensa, protección, promoción, propiedad y régimen legal y el destino de los bienes que constituyen el Patrimonio Cultural de la Nación.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II.- Definición</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Se entiende por bien integrante del Patrimonio Cultural de la Nación toda manifestación del quehacer humano -material o inmaterial- que por su importancia, valor y significado paleontológico, arqueológico, arquitectónico, histórico, artístico, militar, social, antropológico, tradicional, religioso, etnológico, científico, tecnológico o intelectual, sea expresamente declarado como tal o sobre el que exista la presunción legal de serlo. Dichos bienes tienen la condición de propiedad pública o privada con las limitaciones que establece la presente Ley.</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III.- Presunción legal</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Se presume que tienen la condición de bienes integrantes del Patrimonio Cultural de la Nación, los bienes materiales o inmateriales, de la época prehispánica, virreinal y republicana, independientemente de su condición de propiedad pública o privada, que tengan la importancia, el valor y significado referidos en el artículo precedente y/o que se encuentren comprendidos en los tratados y convenciones sobre la materia de los que el Perú sea parte.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 presunción legal queda sin efecto por declaración expresa de la autoridad competente, de oficio o a solicitud de parte.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IV.- Declaración de interés social y necesidad pública</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Declárase de interés social y de necesidad pública la identificación, registro, inventario, declaración, protección, restauración, investigación, conservación, puesta en valor y difusión del Patrimonio Cultural de la Nación y su restitución en los casos pertinentes.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V.- Protección</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Los bienes integrantes del Patrimonio Cultural de la Nación, independientemente de su condición privada o pública, están protegidos por el Estado y sujetos al régimen específico regulado en la presente Ley.</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Estado, los titulares de derechos sobre bienes integrantes del Patrimonio Cultural de la Nación y la ciudadanía en general tienen la responsabilidad común de cumplir y vigilar el debido cumplimiento del régimen legal establecido en la presente Ley.</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Estado promoverá la participación activa del sector privado en la conservación, restauración, exhibición y difusión de los bienes integrantes del Patrimonio Cultural de la Nación y su restitución en los casos de exportación ilegal o cuando se haya vencido el plazo de permanencia fuera del país otorgado por el Estado.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VI.- Imprescriptibilidad de derechos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Los derechos de la Nación sobre los bienes declarados Patrimonio Cultural de la Nación, son imprescriptibles.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VII.- Organismos competentes del Estado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Instituto Nacional de Cultura, la Biblioteca Nacional y el Archivo General de la Nación, están encargados de registrar, declarar y proteger el Patrimonio Cultural de la Nación dentro de los ámbitos de su competencia.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TÍTULO I</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BIENES INTEGRANTES DEL PATRIMONIO CULTURAL DE LA NACIÓN</w:t>
      </w:r>
    </w:p>
    <w:p w:rsidR="006312E8" w:rsidRPr="006312E8" w:rsidRDefault="006312E8" w:rsidP="006312E8">
      <w:pPr>
        <w:spacing w:after="0" w:line="240" w:lineRule="auto"/>
        <w:contextualSpacing/>
        <w:jc w:val="center"/>
        <w:rPr>
          <w:rFonts w:ascii="Arial" w:eastAsia="Calibri" w:hAnsi="Arial" w:cs="Arial"/>
          <w:b/>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CAPÍTULO I</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DISPOSICIONES GENERALES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 Clasificación</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Los bienes integrantes del Patrimonio Cultural de la Nación se clasifican en: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1. BIENES MATERIALES</w:t>
      </w: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1.1 INMUEBLES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Comprende de manera no limitativa, los edificios, obras de infraestructura, ambientes y conjuntos monumentales, centros históricos y demás construcciones, o evidencias materiales resultantes de la vida y actividad humana urbanos y/o rurales, aunque estén constituidos por bienes de diversa antigüedad o destino y tengan valor arqueológico, arquitectónico, histórico, religioso, etnológico, artístico, antropológico, paleontológico, tradicional, científico o tecnológico, su entorno paisajístico y los sumergidos en espacios acuáticos del territorio nacional.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 protección de los bienes inmuebles integrantes del Patrimonio Cultural de la Nación, comprende el suelo y subsuelo en el que se encuentran o asientan, los aires y el marco circundante, en la extensión técnicamente necesaria para cada caso.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1.2 MUEBLES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Comprende de manera enunciativa no limitativa, 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96"/>
        </w:numPr>
        <w:spacing w:after="0" w:line="240" w:lineRule="auto"/>
        <w:contextualSpacing/>
        <w:jc w:val="both"/>
        <w:rPr>
          <w:rFonts w:ascii="Arial" w:eastAsia="Calibri" w:hAnsi="Arial" w:cs="Arial"/>
          <w:lang w:val="es-ES"/>
        </w:rPr>
      </w:pPr>
      <w:r w:rsidRPr="006312E8">
        <w:rPr>
          <w:rFonts w:ascii="Arial" w:eastAsia="Calibri" w:hAnsi="Arial" w:cs="Arial"/>
          <w:lang w:val="es-ES"/>
        </w:rPr>
        <w:t>Colecciones y ejemplares singulares de zoología, botánica, mineralogía y los especímenes de interés paleontológico.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96"/>
        </w:numPr>
        <w:spacing w:after="0" w:line="240" w:lineRule="auto"/>
        <w:contextualSpacing/>
        <w:jc w:val="both"/>
        <w:rPr>
          <w:rFonts w:ascii="Arial" w:eastAsia="Calibri" w:hAnsi="Arial" w:cs="Arial"/>
          <w:lang w:val="es-ES"/>
        </w:rPr>
      </w:pPr>
      <w:r w:rsidRPr="006312E8">
        <w:rPr>
          <w:rFonts w:ascii="Arial" w:eastAsia="Calibri" w:hAnsi="Arial" w:cs="Arial"/>
          <w:lang w:val="es-ES"/>
        </w:rPr>
        <w:t>Los bienes relacionados con la historia, en el ámbito científico, técnico, militar, social y biográfico, así como con la vida de los dirigentes, pensadores, sabios y artistas y con los acontecimientos de importancia nacional.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96"/>
        </w:numPr>
        <w:spacing w:after="0" w:line="240" w:lineRule="auto"/>
        <w:contextualSpacing/>
        <w:jc w:val="both"/>
        <w:rPr>
          <w:rFonts w:ascii="Arial" w:eastAsia="Calibri" w:hAnsi="Arial" w:cs="Arial"/>
          <w:lang w:val="es-ES"/>
        </w:rPr>
      </w:pPr>
      <w:r w:rsidRPr="006312E8">
        <w:rPr>
          <w:rFonts w:ascii="Arial" w:eastAsia="Calibri" w:hAnsi="Arial" w:cs="Arial"/>
          <w:lang w:val="es-ES"/>
        </w:rPr>
        <w:t>El producto de las excavaciones y descubrimientos arqueológicos, sea cual fuere su origen y procedencia.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96"/>
        </w:numPr>
        <w:spacing w:after="0" w:line="240" w:lineRule="auto"/>
        <w:contextualSpacing/>
        <w:jc w:val="both"/>
        <w:rPr>
          <w:rFonts w:ascii="Arial" w:eastAsia="Calibri" w:hAnsi="Arial" w:cs="Arial"/>
          <w:lang w:val="es-ES"/>
        </w:rPr>
      </w:pPr>
      <w:r w:rsidRPr="006312E8">
        <w:rPr>
          <w:rFonts w:ascii="Arial" w:eastAsia="Calibri" w:hAnsi="Arial" w:cs="Arial"/>
          <w:lang w:val="es-ES"/>
        </w:rPr>
        <w:t>Los elementos procedentes de la desmembración de monumentos artísticos o históricos y de lugares de interés arqueológico.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96"/>
        </w:numPr>
        <w:spacing w:after="0" w:line="240" w:lineRule="auto"/>
        <w:contextualSpacing/>
        <w:jc w:val="both"/>
        <w:rPr>
          <w:rFonts w:ascii="Arial" w:eastAsia="Calibri" w:hAnsi="Arial" w:cs="Arial"/>
          <w:lang w:val="es-ES"/>
        </w:rPr>
      </w:pPr>
      <w:r w:rsidRPr="006312E8">
        <w:rPr>
          <w:rFonts w:ascii="Arial" w:eastAsia="Calibri" w:hAnsi="Arial" w:cs="Arial"/>
          <w:lang w:val="es-ES"/>
        </w:rPr>
        <w:t>Las inscripciones, medallas conmemorativas, monedas, billetes, sellos, grabados, artefactos, herramientas, armas e instrumentos musicales antiguos de valor histórico o artístico.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96"/>
        </w:numPr>
        <w:spacing w:after="0" w:line="240" w:lineRule="auto"/>
        <w:contextualSpacing/>
        <w:jc w:val="both"/>
        <w:rPr>
          <w:rFonts w:ascii="Arial" w:eastAsia="Calibri" w:hAnsi="Arial" w:cs="Arial"/>
          <w:lang w:val="es-ES"/>
        </w:rPr>
      </w:pPr>
      <w:r w:rsidRPr="006312E8">
        <w:rPr>
          <w:rFonts w:ascii="Arial" w:eastAsia="Calibri" w:hAnsi="Arial" w:cs="Arial"/>
          <w:lang w:val="es-ES"/>
        </w:rPr>
        <w:t>El material etnológico.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96"/>
        </w:numPr>
        <w:spacing w:after="0" w:line="240" w:lineRule="auto"/>
        <w:contextualSpacing/>
        <w:jc w:val="both"/>
        <w:rPr>
          <w:rFonts w:ascii="Arial" w:eastAsia="Calibri" w:hAnsi="Arial" w:cs="Arial"/>
          <w:lang w:val="es-ES"/>
        </w:rPr>
      </w:pPr>
      <w:r w:rsidRPr="006312E8">
        <w:rPr>
          <w:rFonts w:ascii="Arial" w:eastAsia="Calibri" w:hAnsi="Arial" w:cs="Arial"/>
          <w:lang w:val="es-ES"/>
        </w:rPr>
        <w:t>Los bienes de interés artístico como cuadros, lienzos, pinturas, esculturas y dibujos, composiciones musicales y poéticas hechos sobre cualquier soporte y en cualquier material.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96"/>
        </w:numPr>
        <w:spacing w:after="0" w:line="240" w:lineRule="auto"/>
        <w:contextualSpacing/>
        <w:jc w:val="both"/>
        <w:rPr>
          <w:rFonts w:ascii="Arial" w:eastAsia="Calibri" w:hAnsi="Arial" w:cs="Arial"/>
          <w:lang w:val="es-ES"/>
        </w:rPr>
      </w:pPr>
      <w:r w:rsidRPr="006312E8">
        <w:rPr>
          <w:rFonts w:ascii="Arial" w:eastAsia="Calibri" w:hAnsi="Arial" w:cs="Arial"/>
          <w:lang w:val="es-ES"/>
        </w:rPr>
        <w:t>Manuscritos raros, incunables, libros, documentos, fotos, negativos, daguerrotipos y publicaciones antiguas de interés especial por su valor histórico, artístico, científico o literario.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96"/>
        </w:numPr>
        <w:spacing w:after="0" w:line="240" w:lineRule="auto"/>
        <w:contextualSpacing/>
        <w:jc w:val="both"/>
        <w:rPr>
          <w:rFonts w:ascii="Arial" w:eastAsia="Calibri" w:hAnsi="Arial" w:cs="Arial"/>
          <w:lang w:val="es-ES"/>
        </w:rPr>
      </w:pPr>
      <w:r w:rsidRPr="006312E8">
        <w:rPr>
          <w:rFonts w:ascii="Arial" w:eastAsia="Calibri" w:hAnsi="Arial" w:cs="Arial"/>
          <w:lang w:val="es-ES"/>
        </w:rPr>
        <w:t>Sellos de correo de interés filatélico, sellos fiscales y análogos, sueltos o en colecciones.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96"/>
        </w:numPr>
        <w:spacing w:after="0" w:line="240" w:lineRule="auto"/>
        <w:contextualSpacing/>
        <w:jc w:val="both"/>
        <w:rPr>
          <w:rFonts w:ascii="Arial" w:eastAsia="Calibri" w:hAnsi="Arial" w:cs="Arial"/>
          <w:lang w:val="es-ES"/>
        </w:rPr>
      </w:pPr>
      <w:r w:rsidRPr="006312E8">
        <w:rPr>
          <w:rFonts w:ascii="Arial" w:eastAsia="Calibri" w:hAnsi="Arial" w:cs="Arial"/>
          <w:lang w:val="es-ES"/>
        </w:rPr>
        <w:t>Documentos manuscritos, fonográficos, cinematográficos, videográficos, digitales, planotecas, hemerotecas y otros que sirvan de fuente de información para la investigación en los aspectos científico, histórico, social, político, artístico, etnológico y económico.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96"/>
        </w:numPr>
        <w:spacing w:after="0" w:line="240" w:lineRule="auto"/>
        <w:contextualSpacing/>
        <w:jc w:val="both"/>
        <w:rPr>
          <w:rFonts w:ascii="Arial" w:eastAsia="Calibri" w:hAnsi="Arial" w:cs="Arial"/>
          <w:lang w:val="es-ES"/>
        </w:rPr>
      </w:pPr>
      <w:r w:rsidRPr="006312E8">
        <w:rPr>
          <w:rFonts w:ascii="Arial" w:eastAsia="Calibri" w:hAnsi="Arial" w:cs="Arial"/>
          <w:lang w:val="es-ES"/>
        </w:rPr>
        <w:t>Objetos y ornamentos de uso litúrgico, tales como cálices, patenas, custodias, copones, candelabros, estandartes, incensarios, vestuarios y otros, de interés histórico y/o artístico.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96"/>
        </w:numPr>
        <w:spacing w:after="0" w:line="240" w:lineRule="auto"/>
        <w:contextualSpacing/>
        <w:jc w:val="both"/>
        <w:rPr>
          <w:rFonts w:ascii="Arial" w:eastAsia="Calibri" w:hAnsi="Arial" w:cs="Arial"/>
          <w:lang w:val="es-ES"/>
        </w:rPr>
      </w:pPr>
      <w:r w:rsidRPr="006312E8">
        <w:rPr>
          <w:rFonts w:ascii="Arial" w:eastAsia="Calibri" w:hAnsi="Arial" w:cs="Arial"/>
          <w:lang w:val="es-ES"/>
        </w:rPr>
        <w:t>Los objetos anteriormente descritos que se encuentren sumergidos en espacios acuáticos del territorio nacional.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96"/>
        </w:numPr>
        <w:spacing w:after="0" w:line="240" w:lineRule="auto"/>
        <w:contextualSpacing/>
        <w:jc w:val="both"/>
        <w:rPr>
          <w:rFonts w:ascii="Arial" w:eastAsia="Calibri" w:hAnsi="Arial" w:cs="Arial"/>
          <w:lang w:val="es-ES"/>
        </w:rPr>
      </w:pPr>
      <w:r w:rsidRPr="006312E8">
        <w:rPr>
          <w:rFonts w:ascii="Arial" w:eastAsia="Calibri" w:hAnsi="Arial" w:cs="Arial"/>
          <w:lang w:val="es-ES"/>
        </w:rPr>
        <w:t>Otros objetos que sean declarados como tales o sobre los que exista la presunción legal de serlos.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2. BIENES INMATERIALES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Integran el Patrimonio Inmaterial de la Nación las creaciones de una comunidad cultural fundadas en las tradiciones, expresadas por individuos de manera unitaria o grupal, y que reconocidamente responden a las expectativas de la comunidad, como expresión de la identidad cultural y social, además de los valores transmitidos oralmente, tales como los idiomas, lenguas y dialectos autóctonos, el saber y conocimiento tradicional, ya sean artísticos, gastronómicos, medicinales, tecnológicos, folclóricos o religiosos, los conocimientos colectivos de los pueblos y otras expresiones o manifestaciones culturales que en conjunto conforman nuestra diversidad cultural.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2.- Propiedad de los bienes inmateriales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Los bienes culturales inmateriales integrantes del Patrimonio Cultural de la Nación, por su naturaleza, pertenecen a la Nación; ninguna persona natural o jurídica puede arrogarse la propiedad de algún bien cultural inmaterial, siendo nula toda declaración en tal sentido, haya sido o no declarado como tal por la autoridad competente. Las comunidades que mantienen y conservan bienes culturales inmateriales pertenecientes al Patrimonio Cultural Inmaterial, son los poseedores directos de dicho Patrimonio.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Estado y la sociedad tienen el deber de proteger dicho Patrimonio.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CAPÍTULO II</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RÉGIMEN DE LOS BIENES INTEGRANTES DEL PATRIMONIO CULTURAL DE LA NACIÓN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3.- Sujeción de bienes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Los bienes del Patrimonio Cultural de la Nación, sean de propiedad pública o privada, están sujetos a las medidas y limitaciones que establezcan las leyes especiales para su efectiva y adecuada conservación y protección. El ejercicio del derecho de propiedad de estos bienes está sujeto a las limitaciones establecidas en las medidas administrativas que dispongan los organismos competentes, siempre y cuando no contravengan la Ley y el interés público.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4.- Propiedad privada de bienes materiales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 presente Ley regula la propiedad privada de bienes culturales muebles e inmuebles integrantes del Patrimonio Cultural de la Nación, y establece las restricciones, limitaciones y obligaciones que dicha propiedad implica, en razón del interés público y de la conservación adecuada del bien.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5.- Bienes culturales no descubiertos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Los bienes culturales integrantes del Patrimonio Cultural de la Nación, muebles o inmuebles no descubiertos, son de exclusiva propiedad del Estado. Aquellos que se encuentren en propiedad privada, conservan tal condición, sujetándose a las limitaciones y medidas señaladas en la presente Ley.</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Los bienes arqueológicos descubiertos o conocidos que a la promulgación de la presente Ley no son de propiedad privada, mantienen la condición de bienes públicos. Son bienes intangibles e imprescriptibles.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 extracción, remoción no autorizada, comercialización, transferencia u ocultamiento de estos bienes, constituyen ilícitos penales.</w:t>
      </w:r>
    </w:p>
    <w:p w:rsidR="006312E8" w:rsidRPr="006312E8" w:rsidRDefault="006312E8" w:rsidP="006312E8">
      <w:pPr>
        <w:spacing w:after="0" w:line="240" w:lineRule="auto"/>
        <w:contextualSpacing/>
        <w:jc w:val="both"/>
        <w:rPr>
          <w:rFonts w:ascii="Arial" w:eastAsia="Calibri" w:hAnsi="Arial" w:cs="Arial"/>
          <w:lang w:val="es-ES"/>
        </w:rPr>
      </w:pPr>
    </w:p>
    <w:p w:rsidR="000F52F7" w:rsidRPr="000F52F7" w:rsidRDefault="000F52F7" w:rsidP="000F52F7">
      <w:pPr>
        <w:spacing w:after="0" w:line="240" w:lineRule="auto"/>
        <w:contextualSpacing/>
        <w:jc w:val="both"/>
        <w:rPr>
          <w:rFonts w:ascii="Arial" w:eastAsia="Calibri" w:hAnsi="Arial" w:cs="Arial"/>
          <w:b/>
          <w:lang w:val="es-ES"/>
        </w:rPr>
      </w:pPr>
      <w:r w:rsidRPr="000F52F7">
        <w:rPr>
          <w:rFonts w:ascii="Arial" w:eastAsia="Calibri" w:hAnsi="Arial" w:cs="Arial"/>
          <w:b/>
          <w:lang w:val="es-ES"/>
        </w:rPr>
        <w:t>Artículo 6.- Propiedad de bien cultural inmueble integrante del Patrimonio Cultural de la Nación</w:t>
      </w:r>
    </w:p>
    <w:p w:rsidR="000F52F7" w:rsidRPr="000F52F7" w:rsidRDefault="000F52F7" w:rsidP="000F52F7">
      <w:pPr>
        <w:spacing w:after="0" w:line="240" w:lineRule="auto"/>
        <w:ind w:left="567"/>
        <w:contextualSpacing/>
        <w:jc w:val="both"/>
        <w:rPr>
          <w:rFonts w:ascii="Arial" w:eastAsia="Calibri" w:hAnsi="Arial" w:cs="Arial"/>
          <w:b/>
          <w:lang w:val="es-ES"/>
        </w:rPr>
      </w:pPr>
    </w:p>
    <w:p w:rsidR="000F52F7" w:rsidRPr="006312E8" w:rsidRDefault="000F52F7" w:rsidP="00B91CE2">
      <w:pPr>
        <w:spacing w:after="0" w:line="240" w:lineRule="auto"/>
        <w:ind w:left="567" w:hanging="567"/>
        <w:contextualSpacing/>
        <w:jc w:val="both"/>
        <w:rPr>
          <w:rFonts w:ascii="Arial" w:eastAsia="Calibri" w:hAnsi="Arial" w:cs="Arial"/>
          <w:lang w:val="es-ES"/>
        </w:rPr>
      </w:pPr>
      <w:r w:rsidRPr="000F52F7">
        <w:rPr>
          <w:rFonts w:ascii="Arial" w:eastAsia="Calibri" w:hAnsi="Arial" w:cs="Arial"/>
          <w:lang w:val="es-ES"/>
        </w:rPr>
        <w:t xml:space="preserve">6.1 </w:t>
      </w:r>
      <w:r>
        <w:rPr>
          <w:rFonts w:ascii="Arial" w:eastAsia="Calibri" w:hAnsi="Arial" w:cs="Arial"/>
          <w:lang w:val="es-ES"/>
        </w:rPr>
        <w:tab/>
      </w:r>
      <w:r w:rsidR="00B91CE2" w:rsidRPr="00B91CE2">
        <w:rPr>
          <w:rFonts w:ascii="Arial" w:eastAsia="Calibri" w:hAnsi="Arial" w:cs="Arial"/>
          <w:lang w:val="es-ES"/>
        </w:rPr>
        <w:t>Todo bien inmueble integrante del Patrimonio Cultural de la Nación de carácter prehispánico es de propiedad del Estado, así como sus partes integrantes y/o accesorias y sus componentes descubiertos o por descubrir, independientemente de que se encuentre ubicado en predio de propiedad pública o privada. Dicho bien inmueble integrante del Patrimonio Cultural de la Nación tiene la condición de intangible, inalienable e imprescriptible, siendo administrado únicamente por el Estado</w:t>
      </w:r>
      <w:r w:rsidRPr="000F52F7">
        <w:rPr>
          <w:rFonts w:ascii="Arial" w:eastAsia="Calibri" w:hAnsi="Arial" w:cs="Arial"/>
          <w:lang w:val="es-ES"/>
        </w:rPr>
        <w:t>.</w:t>
      </w:r>
      <w:r>
        <w:rPr>
          <w:rFonts w:ascii="Arial" w:eastAsia="Calibri" w:hAnsi="Arial" w:cs="Arial"/>
          <w:lang w:val="es-ES"/>
        </w:rPr>
        <w:t xml:space="preserve"> </w:t>
      </w:r>
      <w:r w:rsidRPr="006312E8">
        <w:rPr>
          <w:rFonts w:ascii="Arial" w:eastAsia="Calibri" w:hAnsi="Arial" w:cs="Arial"/>
          <w:lang w:val="es-ES"/>
        </w:rPr>
        <w:t>(*)</w:t>
      </w:r>
    </w:p>
    <w:p w:rsidR="000F52F7" w:rsidRPr="006312E8" w:rsidRDefault="000F52F7" w:rsidP="000F52F7">
      <w:pPr>
        <w:spacing w:after="0" w:line="240" w:lineRule="auto"/>
        <w:ind w:firstLine="705"/>
        <w:jc w:val="both"/>
        <w:rPr>
          <w:rFonts w:ascii="Arial" w:eastAsia="Calibri" w:hAnsi="Arial" w:cs="Arial"/>
          <w:b/>
          <w:color w:val="FF0000"/>
          <w:sz w:val="16"/>
          <w:szCs w:val="16"/>
          <w:lang w:val="es-ES"/>
        </w:rPr>
      </w:pPr>
    </w:p>
    <w:p w:rsidR="006312E8" w:rsidRPr="000F52F7" w:rsidRDefault="000F52F7" w:rsidP="000F52F7">
      <w:pPr>
        <w:spacing w:after="0" w:line="240" w:lineRule="auto"/>
        <w:ind w:left="567"/>
        <w:contextualSpacing/>
        <w:jc w:val="both"/>
        <w:rPr>
          <w:rFonts w:ascii="Arial" w:eastAsia="Calibri" w:hAnsi="Arial" w:cs="Arial"/>
          <w:lang w:val="es-ES"/>
        </w:rPr>
      </w:pPr>
      <w:r w:rsidRPr="006312E8">
        <w:rPr>
          <w:rFonts w:ascii="Arial" w:eastAsia="Calibri" w:hAnsi="Arial" w:cs="Arial"/>
          <w:b/>
          <w:color w:val="FF0000"/>
          <w:sz w:val="16"/>
          <w:szCs w:val="16"/>
          <w:lang w:val="es-ES"/>
        </w:rPr>
        <w:t>(*)</w:t>
      </w:r>
      <w:r w:rsidRPr="006312E8">
        <w:rPr>
          <w:rFonts w:ascii="Arial" w:eastAsia="Calibri" w:hAnsi="Arial" w:cs="Arial"/>
          <w:sz w:val="16"/>
          <w:szCs w:val="16"/>
          <w:lang w:val="es-ES"/>
        </w:rPr>
        <w:t xml:space="preserve"> </w:t>
      </w:r>
      <w:r w:rsidR="00B91CE2">
        <w:rPr>
          <w:rFonts w:ascii="Arial" w:eastAsia="Calibri" w:hAnsi="Arial" w:cs="Arial"/>
          <w:b/>
          <w:color w:val="FF0000"/>
          <w:sz w:val="16"/>
          <w:szCs w:val="16"/>
          <w:lang w:val="es-ES"/>
        </w:rPr>
        <w:t>Mediante Ley N° 30395 se restituyó la vigencia de la redacción original del presente numeral, asimismo, se determinó  la derogación del Decreto Legislativo N° 1198, que dispuso su modificación</w:t>
      </w:r>
    </w:p>
    <w:p w:rsidR="000F52F7" w:rsidRPr="006312E8" w:rsidRDefault="000F52F7" w:rsidP="000F52F7">
      <w:pPr>
        <w:spacing w:after="0" w:line="240" w:lineRule="auto"/>
        <w:ind w:left="567"/>
        <w:contextualSpacing/>
        <w:jc w:val="both"/>
        <w:rPr>
          <w:rFonts w:ascii="Arial" w:eastAsia="Calibri" w:hAnsi="Arial" w:cs="Arial"/>
          <w:lang w:val="es-ES"/>
        </w:rPr>
      </w:pPr>
    </w:p>
    <w:p w:rsidR="006312E8" w:rsidRPr="000F52F7" w:rsidRDefault="006312E8" w:rsidP="0092471C">
      <w:pPr>
        <w:pStyle w:val="Prrafodelista"/>
        <w:numPr>
          <w:ilvl w:val="1"/>
          <w:numId w:val="251"/>
        </w:numPr>
        <w:spacing w:after="0" w:line="240" w:lineRule="auto"/>
        <w:ind w:left="567" w:hanging="567"/>
        <w:jc w:val="both"/>
        <w:rPr>
          <w:rFonts w:ascii="Arial" w:eastAsia="Calibri" w:hAnsi="Arial" w:cs="Arial"/>
          <w:lang w:val="es-ES"/>
        </w:rPr>
      </w:pPr>
      <w:r w:rsidRPr="000F52F7">
        <w:rPr>
          <w:rFonts w:ascii="Arial" w:eastAsia="Calibri" w:hAnsi="Arial" w:cs="Arial"/>
          <w:lang w:val="es-ES"/>
        </w:rPr>
        <w:t>Toda construcción edificada sobre restos prehispánicos conforman una sola unidad inmobiliaria, sin perjuicio del derecho de expropiación por el Estado, de ser el caso, si fuera conveniente para su conservación o restauración. El ejercicio del derecho de propiedad sobre los inmuebles a que se refiere el presente inciso se encuentra sujeto a las condiciones y límites previstos en la presente Ley.</w:t>
      </w:r>
    </w:p>
    <w:p w:rsidR="006312E8" w:rsidRPr="006312E8" w:rsidRDefault="006312E8" w:rsidP="000F52F7">
      <w:pPr>
        <w:spacing w:after="200" w:line="276" w:lineRule="auto"/>
        <w:ind w:left="567" w:hanging="567"/>
        <w:contextualSpacing/>
        <w:rPr>
          <w:rFonts w:ascii="Arial" w:eastAsia="Calibri" w:hAnsi="Arial" w:cs="Arial"/>
          <w:lang w:val="es-ES"/>
        </w:rPr>
      </w:pPr>
    </w:p>
    <w:p w:rsidR="006312E8" w:rsidRPr="000F52F7" w:rsidRDefault="006312E8" w:rsidP="0092471C">
      <w:pPr>
        <w:pStyle w:val="Prrafodelista"/>
        <w:numPr>
          <w:ilvl w:val="1"/>
          <w:numId w:val="251"/>
        </w:numPr>
        <w:spacing w:after="0" w:line="240" w:lineRule="auto"/>
        <w:ind w:left="567" w:hanging="567"/>
        <w:jc w:val="both"/>
        <w:rPr>
          <w:rFonts w:ascii="Arial" w:eastAsia="Calibri" w:hAnsi="Arial" w:cs="Arial"/>
          <w:lang w:val="es-ES"/>
        </w:rPr>
      </w:pPr>
      <w:r w:rsidRPr="000F52F7">
        <w:rPr>
          <w:rFonts w:ascii="Arial" w:eastAsia="Calibri" w:hAnsi="Arial" w:cs="Arial"/>
          <w:lang w:val="es-ES"/>
        </w:rPr>
        <w:t>El propietario del predio donde exista un bien inmueble integrante del Patrimonio Cultural de la Nación de carácter prehispánico está obligado a registrar dicho bien, protegerlo y conservarlo, evitando su abandono, depredación y/o destrucción, conforme a las disposiciones que dicte el Instituto Nacional de Cultura, en las que precisa las responsabilidades comunes del Estado y del propietario del bien. Cualquier acto que perturbe la intangibilidad de tales bienes deberá ser inmediatamente puesto en conocimiento del Instituto Nacional de Cultura. El incumplimiento de estos deberes por negligencia o dolo acarrea responsabilidad administrativa, civil y penal, según corresponda.</w:t>
      </w:r>
    </w:p>
    <w:p w:rsidR="006312E8" w:rsidRPr="006312E8" w:rsidRDefault="006312E8" w:rsidP="000F52F7">
      <w:pPr>
        <w:spacing w:after="200" w:line="276" w:lineRule="auto"/>
        <w:ind w:left="567" w:hanging="567"/>
        <w:contextualSpacing/>
        <w:rPr>
          <w:rFonts w:ascii="Arial" w:eastAsia="Calibri" w:hAnsi="Arial" w:cs="Arial"/>
          <w:lang w:val="es-ES"/>
        </w:rPr>
      </w:pPr>
    </w:p>
    <w:p w:rsidR="006312E8" w:rsidRPr="006312E8" w:rsidRDefault="006312E8" w:rsidP="0092471C">
      <w:pPr>
        <w:numPr>
          <w:ilvl w:val="1"/>
          <w:numId w:val="251"/>
        </w:numPr>
        <w:spacing w:after="0" w:line="240" w:lineRule="auto"/>
        <w:ind w:left="567" w:hanging="567"/>
        <w:contextualSpacing/>
        <w:jc w:val="both"/>
        <w:rPr>
          <w:rFonts w:ascii="Arial" w:eastAsia="Calibri" w:hAnsi="Arial" w:cs="Arial"/>
          <w:lang w:val="es-ES"/>
        </w:rPr>
      </w:pPr>
      <w:r w:rsidRPr="006312E8">
        <w:rPr>
          <w:rFonts w:ascii="Arial" w:eastAsia="Calibri" w:hAnsi="Arial" w:cs="Arial"/>
          <w:lang w:val="es-ES"/>
        </w:rPr>
        <w:t>El bien inmueble integrante del Patrimonio Cultural de la Nación que pertenezca al período posterior al prehispánico, de propiedad privada, conserva la condición de particular. Su propietario está sujeto a las obligaciones y límites establecidos en la presente Ley.</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7.- Propiedad de los bienes muebles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197"/>
        </w:numPr>
        <w:spacing w:after="0" w:line="240" w:lineRule="auto"/>
        <w:ind w:left="567" w:hanging="425"/>
        <w:contextualSpacing/>
        <w:jc w:val="both"/>
        <w:rPr>
          <w:rFonts w:ascii="Arial" w:eastAsia="Calibri" w:hAnsi="Arial" w:cs="Arial"/>
          <w:lang w:val="es-ES"/>
        </w:rPr>
      </w:pPr>
      <w:r w:rsidRPr="006312E8">
        <w:rPr>
          <w:rFonts w:ascii="Arial" w:eastAsia="Calibri" w:hAnsi="Arial" w:cs="Arial"/>
          <w:lang w:val="es-ES"/>
        </w:rPr>
        <w:t>El bien mueble integrante del Patrimonio Cultural de la Nación de propiedad privada, conserva su condición de particular</w:t>
      </w:r>
    </w:p>
    <w:p w:rsidR="006312E8" w:rsidRPr="006312E8" w:rsidRDefault="006312E8" w:rsidP="006312E8">
      <w:p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w:t>
      </w:r>
    </w:p>
    <w:p w:rsidR="006312E8" w:rsidRPr="006312E8" w:rsidRDefault="006312E8" w:rsidP="0092471C">
      <w:pPr>
        <w:numPr>
          <w:ilvl w:val="1"/>
          <w:numId w:val="197"/>
        </w:numPr>
        <w:spacing w:after="0" w:line="240" w:lineRule="auto"/>
        <w:ind w:left="567" w:hanging="425"/>
        <w:contextualSpacing/>
        <w:jc w:val="both"/>
        <w:rPr>
          <w:rFonts w:ascii="Arial" w:eastAsia="Calibri" w:hAnsi="Arial" w:cs="Arial"/>
          <w:lang w:val="es-ES"/>
        </w:rPr>
      </w:pPr>
      <w:r w:rsidRPr="006312E8">
        <w:rPr>
          <w:rFonts w:ascii="Arial" w:eastAsia="Calibri" w:hAnsi="Arial" w:cs="Arial"/>
          <w:lang w:val="es-ES"/>
        </w:rPr>
        <w:t>El propietario está obligado a registrarlo, protegerlo y conservarlo adecuadamente, evitando su abandono, depredación, deterioro y/o debiendo poner en conocimiento del organismo competente estos casos.</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92471C">
      <w:pPr>
        <w:numPr>
          <w:ilvl w:val="1"/>
          <w:numId w:val="197"/>
        </w:numPr>
        <w:spacing w:after="0" w:line="240" w:lineRule="auto"/>
        <w:ind w:left="567" w:hanging="425"/>
        <w:contextualSpacing/>
        <w:jc w:val="both"/>
        <w:rPr>
          <w:rFonts w:ascii="Arial" w:eastAsia="Calibri" w:hAnsi="Arial" w:cs="Arial"/>
          <w:lang w:val="es-ES"/>
        </w:rPr>
      </w:pPr>
      <w:r w:rsidRPr="006312E8">
        <w:rPr>
          <w:rFonts w:ascii="Arial" w:eastAsia="Calibri" w:hAnsi="Arial" w:cs="Arial"/>
          <w:lang w:val="es-ES"/>
        </w:rPr>
        <w:t>Toda acción orientada a la restauración o conservación del bien debe ser puesta en conocimiento del organismo competente.</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1"/>
          <w:numId w:val="197"/>
        </w:numPr>
        <w:spacing w:after="0" w:line="240" w:lineRule="auto"/>
        <w:ind w:left="567" w:hanging="425"/>
        <w:contextualSpacing/>
        <w:jc w:val="both"/>
        <w:rPr>
          <w:rFonts w:ascii="Arial" w:eastAsia="Calibri" w:hAnsi="Arial" w:cs="Arial"/>
          <w:lang w:val="es-ES"/>
        </w:rPr>
      </w:pPr>
      <w:r w:rsidRPr="006312E8">
        <w:rPr>
          <w:rFonts w:ascii="Arial" w:eastAsia="Calibri" w:hAnsi="Arial" w:cs="Arial"/>
          <w:lang w:val="es-ES"/>
        </w:rPr>
        <w:t>El incumplimiento de las obligaciones señaladas en los incisos 7.2 y 7.3 por actitud negligente o dolosa, acarrea responsabilidad administrativa, civil y penal, según corresponda.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8.- Bienes de propiedad de la Iglesia</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bien integrante del Patrimonio Cultural de la Nación de propiedad de la Iglesia Católica, de las congregaciones religiosas o de otras confesiones, tiene la condición de particular y obliga al propietario a su conservación y registro con arreglo a lo dispuesto en la presente Ley.</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9.- Transferencia de bienes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198"/>
        </w:numPr>
        <w:spacing w:after="0" w:line="240" w:lineRule="auto"/>
        <w:ind w:left="567" w:hanging="493"/>
        <w:contextualSpacing/>
        <w:jc w:val="both"/>
        <w:rPr>
          <w:rFonts w:ascii="Arial" w:eastAsia="Calibri" w:hAnsi="Arial" w:cs="Arial"/>
          <w:lang w:val="es-ES"/>
        </w:rPr>
      </w:pPr>
      <w:r w:rsidRPr="006312E8">
        <w:rPr>
          <w:rFonts w:ascii="Arial" w:eastAsia="Calibri" w:hAnsi="Arial" w:cs="Arial"/>
          <w:lang w:val="es-ES"/>
        </w:rPr>
        <w:t>Dentro del territorio nacional, el bien integrante del Patrimonio Cultural de la Nación puede ser transferido libremente bajo cualquier título, con observancia de los requisitos y límites que la presente Ley establece</w:t>
      </w:r>
    </w:p>
    <w:p w:rsidR="006312E8" w:rsidRPr="006312E8" w:rsidRDefault="006312E8" w:rsidP="006312E8">
      <w:p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w:t>
      </w:r>
    </w:p>
    <w:p w:rsidR="006312E8" w:rsidRPr="006312E8" w:rsidRDefault="006312E8" w:rsidP="0092471C">
      <w:pPr>
        <w:numPr>
          <w:ilvl w:val="1"/>
          <w:numId w:val="198"/>
        </w:numPr>
        <w:spacing w:after="0" w:line="240" w:lineRule="auto"/>
        <w:ind w:left="567" w:hanging="493"/>
        <w:contextualSpacing/>
        <w:jc w:val="both"/>
        <w:rPr>
          <w:rFonts w:ascii="Arial" w:eastAsia="Calibri" w:hAnsi="Arial" w:cs="Arial"/>
          <w:lang w:val="es-ES"/>
        </w:rPr>
      </w:pPr>
      <w:r w:rsidRPr="006312E8">
        <w:rPr>
          <w:rFonts w:ascii="Arial" w:eastAsia="Calibri" w:hAnsi="Arial" w:cs="Arial"/>
          <w:lang w:val="es-ES"/>
        </w:rPr>
        <w:t>La transferencia de dominio entre particulares de un bien integrante del Patrimonio Cultural de la Nación obligatoriamente debe ser puesta en conocimiento previo de los organismos competentes, bajo sanción de nulidad.</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92471C">
      <w:pPr>
        <w:numPr>
          <w:ilvl w:val="1"/>
          <w:numId w:val="198"/>
        </w:numPr>
        <w:spacing w:after="0" w:line="240" w:lineRule="auto"/>
        <w:ind w:left="567" w:hanging="493"/>
        <w:contextualSpacing/>
        <w:jc w:val="both"/>
        <w:rPr>
          <w:rFonts w:ascii="Arial" w:eastAsia="Calibri" w:hAnsi="Arial" w:cs="Arial"/>
          <w:lang w:val="es-ES"/>
        </w:rPr>
      </w:pPr>
      <w:r w:rsidRPr="006312E8">
        <w:rPr>
          <w:rFonts w:ascii="Arial" w:eastAsia="Calibri" w:hAnsi="Arial" w:cs="Arial"/>
          <w:lang w:val="es-ES"/>
        </w:rPr>
        <w:t>Queda prohibida la transferencia de un bien integrante del Patrimonio Cultural de la Nación a la persona condenada durante el tiempo de la condena, por los delitos comprendidos en el Título VIII del Libro Segundo del Código Penal. Es nula la transferencia efectuada en contravención a esta disposición.</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1"/>
          <w:numId w:val="198"/>
        </w:numPr>
        <w:spacing w:after="0" w:line="240" w:lineRule="auto"/>
        <w:ind w:left="567" w:hanging="493"/>
        <w:contextualSpacing/>
        <w:jc w:val="both"/>
        <w:rPr>
          <w:rFonts w:ascii="Arial" w:eastAsia="Calibri" w:hAnsi="Arial" w:cs="Arial"/>
          <w:lang w:val="es-ES"/>
        </w:rPr>
      </w:pPr>
      <w:r w:rsidRPr="006312E8">
        <w:rPr>
          <w:rFonts w:ascii="Arial" w:eastAsia="Calibri" w:hAnsi="Arial" w:cs="Arial"/>
          <w:lang w:val="es-ES"/>
        </w:rPr>
        <w:t>El Estado tiene preferencia en la transferencia onerosa de bienes integrantes del Patrimonio Cultural de la Nación, bajo sanción de nulidad.</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1"/>
          <w:numId w:val="198"/>
        </w:numPr>
        <w:spacing w:after="0" w:line="240" w:lineRule="auto"/>
        <w:ind w:left="567" w:hanging="493"/>
        <w:contextualSpacing/>
        <w:jc w:val="both"/>
        <w:rPr>
          <w:rFonts w:ascii="Arial" w:eastAsia="Calibri" w:hAnsi="Arial" w:cs="Arial"/>
          <w:lang w:val="es-ES"/>
        </w:rPr>
      </w:pPr>
      <w:r w:rsidRPr="006312E8">
        <w:rPr>
          <w:rFonts w:ascii="Arial" w:eastAsia="Calibri" w:hAnsi="Arial" w:cs="Arial"/>
          <w:lang w:val="es-ES"/>
        </w:rPr>
        <w:t>No podrán transferirse separadamente los bienes integrantes de una colección o conjunto de bienes que tengan vinculación entre sí, salvo autorización expresa de la entidad competente.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10.- Exportación ilícita</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Se pierde automáticamente a favor del Estado la propiedad de los bienes muebles del Patrimonio Cultural de la Nación que sean materia de exportación ilícita, o de intento de tal, sin perjuicio de las responsabilidades administrativas, civil y penal, que corresponda.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Se exceptúa de lo dispuesto en el párrafo precedente los casos de bienes culturales robados o hurtados a propietarios que acrediten fehacientemente su titularidad, procediendo a su devolución.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11.- Expropiación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199"/>
        </w:numPr>
        <w:spacing w:after="0" w:line="240" w:lineRule="auto"/>
        <w:ind w:left="993" w:hanging="567"/>
        <w:contextualSpacing/>
        <w:jc w:val="both"/>
        <w:rPr>
          <w:rFonts w:ascii="Arial" w:eastAsia="Calibri" w:hAnsi="Arial" w:cs="Arial"/>
          <w:lang w:val="es-ES"/>
        </w:rPr>
      </w:pPr>
      <w:r w:rsidRPr="006312E8">
        <w:rPr>
          <w:rFonts w:ascii="Arial" w:eastAsia="Calibri" w:hAnsi="Arial" w:cs="Arial"/>
          <w:lang w:val="es-ES"/>
        </w:rPr>
        <w:t>Declárase de necesidad pública la expropiación de los bienes inmuebles integrantes del Patrimonio Cultural de la Nación de propiedad privada, siempre que se encuentren en peligro de perderse por abandono, negligencia o grave riesgo de destrucción o deterioro sustancial declarado por el Instituto Nacional de Cultura.</w:t>
      </w:r>
    </w:p>
    <w:p w:rsidR="006312E8" w:rsidRPr="006312E8" w:rsidRDefault="006312E8" w:rsidP="006312E8">
      <w:pPr>
        <w:spacing w:after="0" w:line="240" w:lineRule="auto"/>
        <w:ind w:left="993"/>
        <w:contextualSpacing/>
        <w:jc w:val="both"/>
        <w:rPr>
          <w:rFonts w:ascii="Arial" w:eastAsia="Calibri" w:hAnsi="Arial" w:cs="Arial"/>
          <w:lang w:val="es-ES"/>
        </w:rPr>
      </w:pPr>
    </w:p>
    <w:p w:rsidR="006312E8" w:rsidRPr="006312E8" w:rsidRDefault="006312E8" w:rsidP="0092471C">
      <w:pPr>
        <w:numPr>
          <w:ilvl w:val="1"/>
          <w:numId w:val="199"/>
        </w:numPr>
        <w:spacing w:after="0" w:line="240" w:lineRule="auto"/>
        <w:ind w:left="993" w:hanging="567"/>
        <w:contextualSpacing/>
        <w:jc w:val="both"/>
        <w:rPr>
          <w:rFonts w:ascii="Arial" w:eastAsia="Calibri" w:hAnsi="Arial" w:cs="Arial"/>
          <w:lang w:val="es-ES"/>
        </w:rPr>
      </w:pPr>
      <w:r w:rsidRPr="006312E8">
        <w:rPr>
          <w:rFonts w:ascii="Arial" w:eastAsia="Calibri" w:hAnsi="Arial" w:cs="Arial"/>
          <w:lang w:val="es-ES"/>
        </w:rPr>
        <w:t>Declárase de necesidad pública la expropiación del área técnicamente necesaria del predio de propiedad privada donde se encuentre un bien inmueble integrante del Patrimonio Cultural de la Nación, con los fines de consolidar la unidad inmobiliaria, conservación y puesta en valor.</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1"/>
          <w:numId w:val="199"/>
        </w:numPr>
        <w:spacing w:after="0" w:line="240" w:lineRule="auto"/>
        <w:ind w:left="993" w:hanging="567"/>
        <w:contextualSpacing/>
        <w:jc w:val="both"/>
        <w:rPr>
          <w:rFonts w:ascii="Arial" w:eastAsia="Calibri" w:hAnsi="Arial" w:cs="Arial"/>
          <w:lang w:val="es-ES"/>
        </w:rPr>
      </w:pPr>
      <w:r w:rsidRPr="006312E8">
        <w:rPr>
          <w:rFonts w:ascii="Arial" w:eastAsia="Calibri" w:hAnsi="Arial" w:cs="Arial"/>
          <w:lang w:val="es-ES"/>
        </w:rPr>
        <w:t>El inicio del procedimiento de expropiación podrá ser suspendido si ante la declaración que emita el Instituto Nacional de Cultura a que se refiere el inciso 11.1 del presente artículo, el propietario del bien, dentro del plazo que establezca el reglamento de esta Ley, inicia la ejecución de las obras necesarias que permitan conservarlo, restaurarlo o ponerlo en valor, debiendo observarse obligatoriamente las disposiciones que sobre el particular establezca el Instituto Nacional de Cultura.</w:t>
      </w:r>
    </w:p>
    <w:p w:rsidR="006312E8" w:rsidRDefault="006312E8" w:rsidP="006312E8">
      <w:pPr>
        <w:spacing w:after="0" w:line="240" w:lineRule="auto"/>
        <w:contextualSpacing/>
        <w:jc w:val="both"/>
        <w:rPr>
          <w:rFonts w:ascii="Arial" w:eastAsia="Calibri" w:hAnsi="Arial" w:cs="Arial"/>
          <w:lang w:val="es-ES"/>
        </w:rPr>
      </w:pPr>
    </w:p>
    <w:p w:rsidR="006312E8" w:rsidRPr="00246CE9" w:rsidRDefault="006312E8" w:rsidP="006312E8">
      <w:pPr>
        <w:spacing w:after="0" w:line="240" w:lineRule="auto"/>
        <w:contextualSpacing/>
        <w:jc w:val="both"/>
        <w:rPr>
          <w:rFonts w:ascii="Arial" w:eastAsia="Calibri" w:hAnsi="Arial" w:cs="Arial"/>
          <w:b/>
          <w:lang w:val="es-ES"/>
        </w:rPr>
      </w:pPr>
      <w:r w:rsidRPr="00246CE9">
        <w:rPr>
          <w:rFonts w:ascii="Arial" w:eastAsia="Calibri" w:hAnsi="Arial" w:cs="Arial"/>
          <w:b/>
          <w:lang w:val="es-ES"/>
        </w:rPr>
        <w:t>Artículo 12.- Recuperación de bien inmueble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200"/>
        </w:numPr>
        <w:spacing w:after="0" w:line="240" w:lineRule="auto"/>
        <w:ind w:left="993" w:hanging="567"/>
        <w:contextualSpacing/>
        <w:jc w:val="both"/>
        <w:rPr>
          <w:rFonts w:ascii="Arial" w:eastAsia="Calibri" w:hAnsi="Arial" w:cs="Arial"/>
          <w:lang w:val="es-ES"/>
        </w:rPr>
      </w:pPr>
      <w:r w:rsidRPr="006312E8">
        <w:rPr>
          <w:rFonts w:ascii="Arial" w:eastAsia="Calibri" w:hAnsi="Arial" w:cs="Arial"/>
          <w:lang w:val="es-ES"/>
        </w:rPr>
        <w:t>El propietario de un bien inmueble integrante del Patrimonio Cultural de la Nación podrá promover la demanda de desalojo correspondiente, con la finalidad de restaurarlo dentro del plazo establecido en el proyecto de restauración aprobado por el Instituto Nacional de Cultura.</w:t>
      </w:r>
    </w:p>
    <w:p w:rsidR="006312E8" w:rsidRPr="006312E8" w:rsidRDefault="006312E8" w:rsidP="006312E8">
      <w:pPr>
        <w:spacing w:after="0" w:line="240" w:lineRule="auto"/>
        <w:ind w:left="993"/>
        <w:contextualSpacing/>
        <w:jc w:val="both"/>
        <w:rPr>
          <w:rFonts w:ascii="Arial" w:eastAsia="Calibri" w:hAnsi="Arial" w:cs="Arial"/>
          <w:lang w:val="es-ES"/>
        </w:rPr>
      </w:pPr>
    </w:p>
    <w:p w:rsidR="006312E8" w:rsidRPr="006312E8" w:rsidRDefault="006312E8" w:rsidP="0092471C">
      <w:pPr>
        <w:numPr>
          <w:ilvl w:val="1"/>
          <w:numId w:val="200"/>
        </w:numPr>
        <w:spacing w:after="0" w:line="240" w:lineRule="auto"/>
        <w:ind w:left="993" w:hanging="567"/>
        <w:contextualSpacing/>
        <w:jc w:val="both"/>
        <w:rPr>
          <w:rFonts w:ascii="Arial" w:eastAsia="Calibri" w:hAnsi="Arial" w:cs="Arial"/>
          <w:lang w:val="es-ES"/>
        </w:rPr>
      </w:pPr>
      <w:r w:rsidRPr="006312E8">
        <w:rPr>
          <w:rFonts w:ascii="Arial" w:eastAsia="Calibri" w:hAnsi="Arial" w:cs="Arial"/>
          <w:lang w:val="es-ES"/>
        </w:rPr>
        <w:t>El incumplimiento de la obligación de restauración por parte del propietario en el plazo señalado da lugar a una multa, constituyendo recurso propio del Instituto Nacional de Cultura (INC), sin perjuicio de la obligación del propietario de restaurar el bien. Para efectos de los bienes culturales de propiedad del Estado coordinará con la Superintendencia de Bienes Nacionales. El monto de la multa la establece el reglamento de la presente Ley.</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13.- Inscripción de bien inmueble</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Instituto Nacional de Cultura es el titular para solicitar la inscripción del bien inmueble integrante del Patrimonio Cultural de la Nación ante la oficina registral en cuya jurisdicción se encuentre el bien.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CAPÍTULO III</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REGISTRO DE BIENES DEL PATRIMONIO CULTURAL DE LA NACIÓN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14.- Inventario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201"/>
        </w:numPr>
        <w:spacing w:after="0" w:line="240" w:lineRule="auto"/>
        <w:ind w:left="993" w:hanging="567"/>
        <w:contextualSpacing/>
        <w:jc w:val="both"/>
        <w:rPr>
          <w:rFonts w:ascii="Arial" w:eastAsia="Calibri" w:hAnsi="Arial" w:cs="Arial"/>
          <w:lang w:val="es-ES"/>
        </w:rPr>
      </w:pPr>
      <w:r w:rsidRPr="006312E8">
        <w:rPr>
          <w:rFonts w:ascii="Arial" w:eastAsia="Calibri" w:hAnsi="Arial" w:cs="Arial"/>
          <w:lang w:val="es-ES"/>
        </w:rPr>
        <w:t>El Instituto Nacional de Cultura es responsable de elaborar y mantener actualizado el inventario de los bienes muebles e inmuebles integrantes del Patrimonio Cultural de la Nación.</w:t>
      </w:r>
    </w:p>
    <w:p w:rsidR="006312E8" w:rsidRPr="006312E8" w:rsidRDefault="006312E8" w:rsidP="006312E8">
      <w:pPr>
        <w:spacing w:after="0" w:line="240" w:lineRule="auto"/>
        <w:ind w:left="993"/>
        <w:contextualSpacing/>
        <w:jc w:val="both"/>
        <w:rPr>
          <w:rFonts w:ascii="Arial" w:eastAsia="Calibri" w:hAnsi="Arial" w:cs="Arial"/>
          <w:lang w:val="es-ES"/>
        </w:rPr>
      </w:pPr>
    </w:p>
    <w:p w:rsidR="006312E8" w:rsidRPr="006312E8" w:rsidRDefault="006312E8" w:rsidP="0092471C">
      <w:pPr>
        <w:numPr>
          <w:ilvl w:val="1"/>
          <w:numId w:val="201"/>
        </w:numPr>
        <w:spacing w:after="0" w:line="240" w:lineRule="auto"/>
        <w:ind w:left="993" w:hanging="567"/>
        <w:contextualSpacing/>
        <w:jc w:val="both"/>
        <w:rPr>
          <w:rFonts w:ascii="Arial" w:eastAsia="Calibri" w:hAnsi="Arial" w:cs="Arial"/>
          <w:lang w:val="es-ES"/>
        </w:rPr>
      </w:pPr>
      <w:r w:rsidRPr="006312E8">
        <w:rPr>
          <w:rFonts w:ascii="Arial" w:eastAsia="Calibri" w:hAnsi="Arial" w:cs="Arial"/>
          <w:lang w:val="es-ES"/>
        </w:rPr>
        <w:t>La Biblioteca Nacional del Perú y el Archivo General de la Nación son responsables de hacer lo propio en cuanto al material bibliográfico, documental y archivístico respectivamente, integrante del Patrimonio Cultural de la Nación.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15.- Registro Nacional de Bienes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202"/>
        </w:numPr>
        <w:spacing w:after="0" w:line="240" w:lineRule="auto"/>
        <w:ind w:left="993" w:hanging="567"/>
        <w:contextualSpacing/>
        <w:jc w:val="both"/>
        <w:rPr>
          <w:rFonts w:ascii="Arial" w:eastAsia="Calibri" w:hAnsi="Arial" w:cs="Arial"/>
          <w:lang w:val="es-ES"/>
        </w:rPr>
      </w:pPr>
      <w:r w:rsidRPr="006312E8">
        <w:rPr>
          <w:rFonts w:ascii="Arial" w:eastAsia="Calibri" w:hAnsi="Arial" w:cs="Arial"/>
          <w:lang w:val="es-ES"/>
        </w:rPr>
        <w:t>Créase el Registro Nacional Patrimonial Informatizado de Bienes Integrantes del Patrimonio Cultural de la Nación a cargo del Instituto Nacional de Cultura que tiene por objeto la centralización del ordenamiento de datos de los bienes culturales de la Nación, en el marco de un sistema de protección colectiva de su patrimonio a partir de la identificación y registro del bien</w:t>
      </w:r>
    </w:p>
    <w:p w:rsidR="006312E8" w:rsidRPr="006312E8" w:rsidRDefault="006312E8" w:rsidP="006312E8">
      <w:pPr>
        <w:spacing w:after="0" w:line="240" w:lineRule="auto"/>
        <w:ind w:left="993"/>
        <w:contextualSpacing/>
        <w:jc w:val="both"/>
        <w:rPr>
          <w:rFonts w:ascii="Arial" w:eastAsia="Calibri" w:hAnsi="Arial" w:cs="Arial"/>
          <w:lang w:val="es-ES"/>
        </w:rPr>
      </w:pPr>
      <w:r w:rsidRPr="006312E8">
        <w:rPr>
          <w:rFonts w:ascii="Arial" w:eastAsia="Calibri" w:hAnsi="Arial" w:cs="Arial"/>
          <w:lang w:val="es-ES"/>
        </w:rPr>
        <w:t>.</w:t>
      </w:r>
    </w:p>
    <w:p w:rsidR="006312E8" w:rsidRPr="006312E8" w:rsidRDefault="006312E8" w:rsidP="0092471C">
      <w:pPr>
        <w:numPr>
          <w:ilvl w:val="1"/>
          <w:numId w:val="202"/>
        </w:numPr>
        <w:spacing w:after="0" w:line="240" w:lineRule="auto"/>
        <w:ind w:left="993" w:hanging="567"/>
        <w:contextualSpacing/>
        <w:jc w:val="both"/>
        <w:rPr>
          <w:rFonts w:ascii="Arial" w:eastAsia="Calibri" w:hAnsi="Arial" w:cs="Arial"/>
          <w:lang w:val="es-ES"/>
        </w:rPr>
      </w:pPr>
      <w:r w:rsidRPr="006312E8">
        <w:rPr>
          <w:rFonts w:ascii="Arial" w:eastAsia="Calibri" w:hAnsi="Arial" w:cs="Arial"/>
          <w:lang w:val="es-ES"/>
        </w:rPr>
        <w:t>Todo bien que se declare integrante del Patrimonio Cultural de la Nación será inscrito de oficio en el Registro Nacional de Bienes Integrantes del Patrimonio Cultural de la Nación, generándose una Ficha Técnica en la que constará la descripción pormenorizada y el reconocimiento técnico del bien, y un Certificado de Registro del organismo competente que otorga a su titular los beneficios establecidos en la presente Ley. Tratándose de bienes de propiedad del Estado integrantes del Patrimonio Cultural de la Nación deben ser registrados en el SINABIP (Sistema de Información de Bienes de Propiedad Estatal).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16.- Conformación del Registro Nacional</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Registro Nacional de Bienes Integrantes del Patrimonio Cultural de la Nación está conformado por:</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203"/>
        </w:numPr>
        <w:spacing w:after="0" w:line="240" w:lineRule="auto"/>
        <w:contextualSpacing/>
        <w:jc w:val="both"/>
        <w:rPr>
          <w:rFonts w:ascii="Arial" w:eastAsia="Calibri" w:hAnsi="Arial" w:cs="Arial"/>
          <w:lang w:val="es-ES"/>
        </w:rPr>
      </w:pPr>
      <w:r w:rsidRPr="006312E8">
        <w:rPr>
          <w:rFonts w:ascii="Arial" w:eastAsia="Calibri" w:hAnsi="Arial" w:cs="Arial"/>
          <w:lang w:val="es-ES"/>
        </w:rPr>
        <w:t>El Registro Nacional de Bienes Inmuebles Integrantes del Patrimonio Cultural de la Nación, donde se registran todos los bienes inmuebles integrantes del Patrimonio Cultural de la Nación, de propiedad del Estado o de particulares.</w:t>
      </w:r>
    </w:p>
    <w:p w:rsidR="006312E8" w:rsidRPr="006312E8" w:rsidRDefault="006312E8" w:rsidP="006312E8">
      <w:pPr>
        <w:spacing w:after="0" w:line="240" w:lineRule="auto"/>
        <w:ind w:left="720"/>
        <w:contextualSpacing/>
        <w:jc w:val="both"/>
        <w:rPr>
          <w:rFonts w:ascii="Arial" w:eastAsia="Calibri" w:hAnsi="Arial" w:cs="Arial"/>
          <w:lang w:val="es-ES"/>
        </w:rPr>
      </w:pPr>
    </w:p>
    <w:p w:rsidR="006312E8" w:rsidRPr="006312E8" w:rsidRDefault="006312E8" w:rsidP="0092471C">
      <w:pPr>
        <w:numPr>
          <w:ilvl w:val="0"/>
          <w:numId w:val="203"/>
        </w:numPr>
        <w:spacing w:after="0" w:line="240" w:lineRule="auto"/>
        <w:contextualSpacing/>
        <w:jc w:val="both"/>
        <w:rPr>
          <w:rFonts w:ascii="Arial" w:eastAsia="Calibri" w:hAnsi="Arial" w:cs="Arial"/>
          <w:lang w:val="es-ES"/>
        </w:rPr>
      </w:pPr>
      <w:r w:rsidRPr="006312E8">
        <w:rPr>
          <w:rFonts w:ascii="Arial" w:eastAsia="Calibri" w:hAnsi="Arial" w:cs="Arial"/>
          <w:lang w:val="es-ES"/>
        </w:rPr>
        <w:t>El Registro Nacional de Bienes Muebles Integrantes del Patrimonio Cultural de la Nación, donde se registran todos los bienes muebles materiales integrantes del Patrimonio Cultural de la Nación, distintos a los pertenecientes al patrimonio bibliográfico, documental y archivístico, de propiedad del Estado o de particulares.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0"/>
          <w:numId w:val="203"/>
        </w:numPr>
        <w:spacing w:after="0" w:line="240" w:lineRule="auto"/>
        <w:contextualSpacing/>
        <w:jc w:val="both"/>
        <w:rPr>
          <w:rFonts w:ascii="Arial" w:eastAsia="Calibri" w:hAnsi="Arial" w:cs="Arial"/>
          <w:lang w:val="es-ES"/>
        </w:rPr>
      </w:pPr>
      <w:r w:rsidRPr="006312E8">
        <w:rPr>
          <w:rFonts w:ascii="Arial" w:eastAsia="Calibri" w:hAnsi="Arial" w:cs="Arial"/>
          <w:lang w:val="es-ES"/>
        </w:rPr>
        <w:t>El Registro Nacional de Material Bibliográfico.</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0"/>
          <w:numId w:val="203"/>
        </w:numPr>
        <w:spacing w:after="0" w:line="240" w:lineRule="auto"/>
        <w:contextualSpacing/>
        <w:jc w:val="both"/>
        <w:rPr>
          <w:rFonts w:ascii="Arial" w:eastAsia="Calibri" w:hAnsi="Arial" w:cs="Arial"/>
          <w:lang w:val="es-ES"/>
        </w:rPr>
      </w:pPr>
      <w:r w:rsidRPr="006312E8">
        <w:rPr>
          <w:rFonts w:ascii="Arial" w:eastAsia="Calibri" w:hAnsi="Arial" w:cs="Arial"/>
          <w:lang w:val="es-ES"/>
        </w:rPr>
        <w:t>El Registro Nacional de Colecciones Documentales y Archivos Históricos Públicos o de Particulares.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0"/>
          <w:numId w:val="203"/>
        </w:numPr>
        <w:spacing w:after="0" w:line="240" w:lineRule="auto"/>
        <w:contextualSpacing/>
        <w:jc w:val="both"/>
        <w:rPr>
          <w:rFonts w:ascii="Arial" w:eastAsia="Calibri" w:hAnsi="Arial" w:cs="Arial"/>
          <w:lang w:val="es-ES"/>
        </w:rPr>
      </w:pPr>
      <w:r w:rsidRPr="006312E8">
        <w:rPr>
          <w:rFonts w:ascii="Arial" w:eastAsia="Calibri" w:hAnsi="Arial" w:cs="Arial"/>
          <w:lang w:val="es-ES"/>
        </w:rPr>
        <w:t>El Registro Nacional de Museos Públicos y Privados, donde se registran todos los museos públicos y privados que exhiban bienes integrantes del Patrimonio Cultural de la Nación.</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0"/>
          <w:numId w:val="203"/>
        </w:numPr>
        <w:spacing w:after="0" w:line="240" w:lineRule="auto"/>
        <w:contextualSpacing/>
        <w:jc w:val="both"/>
        <w:rPr>
          <w:rFonts w:ascii="Arial" w:eastAsia="Calibri" w:hAnsi="Arial" w:cs="Arial"/>
          <w:lang w:val="es-ES"/>
        </w:rPr>
      </w:pPr>
      <w:r w:rsidRPr="006312E8">
        <w:rPr>
          <w:rFonts w:ascii="Arial" w:eastAsia="Calibri" w:hAnsi="Arial" w:cs="Arial"/>
          <w:lang w:val="es-ES"/>
        </w:rPr>
        <w:t>El Registro Nacional de Folclore y Cultura Popular, donde se registran todos los bienes materiales o inmateriales pertenecientes al folclore y la cultura popular integrantes del Patrimonio Cultural de la Nación.</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0"/>
          <w:numId w:val="203"/>
        </w:numPr>
        <w:spacing w:after="0" w:line="240" w:lineRule="auto"/>
        <w:contextualSpacing/>
        <w:jc w:val="both"/>
        <w:rPr>
          <w:rFonts w:ascii="Arial" w:eastAsia="Calibri" w:hAnsi="Arial" w:cs="Arial"/>
          <w:lang w:val="es-ES"/>
        </w:rPr>
      </w:pPr>
      <w:r w:rsidRPr="006312E8">
        <w:rPr>
          <w:rFonts w:ascii="Arial" w:eastAsia="Calibri" w:hAnsi="Arial" w:cs="Arial"/>
          <w:lang w:val="es-ES"/>
        </w:rPr>
        <w:t>El Registro Nacional de Personas Naturales o Jurídicas dedicadas al comercio de Bienes Integrantes del Patrimonio Cultural de la Nación.</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0"/>
          <w:numId w:val="203"/>
        </w:numPr>
        <w:spacing w:after="0" w:line="240" w:lineRule="auto"/>
        <w:contextualSpacing/>
        <w:jc w:val="both"/>
        <w:rPr>
          <w:rFonts w:ascii="Arial" w:eastAsia="Calibri" w:hAnsi="Arial" w:cs="Arial"/>
          <w:lang w:val="es-ES"/>
        </w:rPr>
      </w:pPr>
      <w:r w:rsidRPr="006312E8">
        <w:rPr>
          <w:rFonts w:ascii="Arial" w:eastAsia="Calibri" w:hAnsi="Arial" w:cs="Arial"/>
          <w:lang w:val="es-ES"/>
        </w:rPr>
        <w:t>Otros que los organismos competentes consideren necesarios.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17.- Obligatoriedad del Registro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propietario de un bien que es integrante del Patrimonio Cultural de la Nación está obligado a solicitar ante el organismo competente el registro de los mismos.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18.- Adquisición de bienes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 partir de la promulgación de la presente Ley, toda persona que adquiera bienes integrantes del Patrimonio Cultural de la Nación, está obligada a cumplir los trámites establecidos y acreditar la validez de su adquisición. En caso que no cumpla con los requisitos, se presume la adquisición ilícita del bien, siendo nula la transferencia de propiedad o traslación de posesión, revirtiéndolo a favor del Estado, salvo derecho aprobado en la vía judicial.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TÍTULO II</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PROTECCIÓN DEL PATRIMONIO CULTURAL DE LA NACIÓN</w:t>
      </w:r>
    </w:p>
    <w:p w:rsidR="006312E8" w:rsidRPr="006312E8" w:rsidRDefault="006312E8" w:rsidP="006312E8">
      <w:pPr>
        <w:spacing w:after="0" w:line="240" w:lineRule="auto"/>
        <w:contextualSpacing/>
        <w:jc w:val="center"/>
        <w:rPr>
          <w:rFonts w:ascii="Arial" w:eastAsia="Calibri" w:hAnsi="Arial" w:cs="Arial"/>
          <w:b/>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CAPÍTULO I</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MEDIDAS GENERALES DE PROTECCIÓN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19.- Organismos competentes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Instituto Nacional de Cultura, la Biblioteca Nacional y el Archivo General de la Nación, están encargados de la identificación, inventario, inscripción, registro, investigación, protección, conservación, difusión y promoción de los bienes integrantes del Patrimonio Cultural de la Nación de su competencia.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20.- Restricciones a la propiedad</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Son restricciones básicas al ejercicio de la propiedad de bienes muebles e inmuebles integrantes del Patrimonio Cultural de la Nación: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204"/>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Desmembrar partes integrantes de un bien mueble o inmueble integrante del Patrimonio Cultural de la Nación.</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92471C">
      <w:pPr>
        <w:numPr>
          <w:ilvl w:val="1"/>
          <w:numId w:val="204"/>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Alterar, reconstruir, modificar o restaurar total o parcialmente el bien mueble o inmueble, sin autorización previa del Instituto Nacional de Cultura en cuya jurisdicción se ubique.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21.- Obligaciones de los propietarios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Los propietarios particulares de bienes muebles e inmuebles integrantes del Patrimonio Cultural de la Nación tienen la obligación de: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162"/>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Facilitar el acceso a los inspectores del Instituto Nacional de Cultura, previo aviso; o en cualquier momento cuando las condiciones de urgencia así lo ameriten a juicio de dicha institución. En estos casos, el Instituto Nacional de Cultura respeta el principio de la intimidad personal y familiar, bajo responsabilidad por cualquier exceso que pudiere cometer.</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92471C">
      <w:pPr>
        <w:numPr>
          <w:ilvl w:val="1"/>
          <w:numId w:val="162"/>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Permitir el acceso a los investigadores debidamente acreditados, con las mismas salvedades establecidas en el inciso precedente.</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92471C">
      <w:pPr>
        <w:numPr>
          <w:ilvl w:val="1"/>
          <w:numId w:val="162"/>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Proporcionar la documentación histórica, titulación y demás documentos que puedan requerirse en razón de investigaciones científicas; respetando el principio de la intimidad personal y familiar, bajo responsabilidad del funcionario a cargo.</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92471C">
      <w:pPr>
        <w:numPr>
          <w:ilvl w:val="1"/>
          <w:numId w:val="162"/>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Consentir la ejecución de obras de restauración, reconstrucción o revalorización del bien mueble o inmueble, por parte del Instituto Nacional de Cultura, cuando fueren indispensables para garantizar la preservación óptima del mismo.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22.- Protección de bienes inmuebles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205"/>
        </w:numPr>
        <w:spacing w:after="0" w:line="240" w:lineRule="auto"/>
        <w:ind w:left="993" w:hanging="709"/>
        <w:contextualSpacing/>
        <w:jc w:val="both"/>
        <w:rPr>
          <w:rFonts w:ascii="Arial" w:eastAsia="Calibri" w:hAnsi="Arial" w:cs="Arial"/>
          <w:lang w:val="es-ES"/>
        </w:rPr>
      </w:pPr>
      <w:r w:rsidRPr="006312E8">
        <w:rPr>
          <w:rFonts w:ascii="Arial" w:eastAsia="Calibri" w:hAnsi="Arial" w:cs="Arial"/>
          <w:lang w:val="es-ES"/>
        </w:rPr>
        <w:t>Toda obra pública o privada de edificación nueva, remodelación, restauración, ampliación, refacción, acondicionamiento, demolición, puesta en valor o cualquier otra que involucre un bien inmueble integrante del Patrimonio Cultural de la Nación, requiere para su ejecución de la autorización del Ministerio de Cultura.</w:t>
      </w:r>
    </w:p>
    <w:p w:rsidR="006312E8" w:rsidRPr="006312E8" w:rsidRDefault="006312E8" w:rsidP="006312E8">
      <w:pPr>
        <w:spacing w:after="0" w:line="240" w:lineRule="auto"/>
        <w:ind w:left="993"/>
        <w:contextualSpacing/>
        <w:jc w:val="both"/>
        <w:rPr>
          <w:rFonts w:ascii="Arial" w:eastAsia="Calibri" w:hAnsi="Arial" w:cs="Arial"/>
          <w:lang w:val="es-ES"/>
        </w:rPr>
      </w:pPr>
    </w:p>
    <w:p w:rsidR="006312E8" w:rsidRPr="006312E8" w:rsidRDefault="006312E8" w:rsidP="0092471C">
      <w:pPr>
        <w:numPr>
          <w:ilvl w:val="1"/>
          <w:numId w:val="205"/>
        </w:numPr>
        <w:spacing w:after="0" w:line="240" w:lineRule="auto"/>
        <w:ind w:left="993" w:hanging="709"/>
        <w:contextualSpacing/>
        <w:jc w:val="both"/>
        <w:rPr>
          <w:rFonts w:ascii="Arial" w:eastAsia="Calibri" w:hAnsi="Arial" w:cs="Arial"/>
          <w:lang w:val="es-ES"/>
        </w:rPr>
      </w:pPr>
      <w:r w:rsidRPr="006312E8">
        <w:rPr>
          <w:rFonts w:ascii="Arial" w:eastAsia="Calibri" w:hAnsi="Arial" w:cs="Arial"/>
          <w:lang w:val="es-ES"/>
        </w:rPr>
        <w:t>Para dichos efectos, el Ministerio de Cultura designará los delegados ad hoc que estime necesarios de conformidad con lo establecido en la Ley 29090, Ley de Regulación de Habilitaciones Urbanas y de Edificaciones.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1"/>
          <w:numId w:val="205"/>
        </w:numPr>
        <w:spacing w:after="0" w:line="240" w:lineRule="auto"/>
        <w:ind w:left="993" w:hanging="709"/>
        <w:contextualSpacing/>
        <w:jc w:val="both"/>
        <w:rPr>
          <w:rFonts w:ascii="Arial" w:eastAsia="Calibri" w:hAnsi="Arial" w:cs="Arial"/>
          <w:lang w:val="es-ES"/>
        </w:rPr>
      </w:pPr>
      <w:r w:rsidRPr="006312E8">
        <w:rPr>
          <w:rFonts w:ascii="Arial" w:eastAsia="Calibri" w:hAnsi="Arial" w:cs="Arial"/>
          <w:lang w:val="es-ES"/>
        </w:rPr>
        <w:t>El Instituto Nacional de Cultura queda facultado para disponer la paralización y/o demolición de la obra no autorizada, de la que se ejecute contraviniendo, cambiando o desconociendo las especificaciones técnicas y de las que afecten de manera directa o indirecta la estructura o armonía de bienes inmuebles vinculados al Patrimonio Cultural de la Nación, solicitando el auxilio de la fuerza pública, en caso de ser necesario.</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1"/>
          <w:numId w:val="205"/>
        </w:numPr>
        <w:spacing w:after="0" w:line="240" w:lineRule="auto"/>
        <w:ind w:left="993" w:hanging="709"/>
        <w:contextualSpacing/>
        <w:jc w:val="both"/>
        <w:rPr>
          <w:rFonts w:ascii="Arial" w:eastAsia="Calibri" w:hAnsi="Arial" w:cs="Arial"/>
          <w:lang w:val="es-ES"/>
        </w:rPr>
      </w:pPr>
      <w:r w:rsidRPr="006312E8">
        <w:rPr>
          <w:rFonts w:ascii="Arial" w:eastAsia="Calibri" w:hAnsi="Arial" w:cs="Arial"/>
          <w:lang w:val="es-ES"/>
        </w:rPr>
        <w:t>Las paralizaciones de obra y las demoliciones que ordene el Instituto Nacional de Cultura, se ejecutarán por la vía coactiva y todo gasto que se irrogue será asumido por los infractores. La orden de paralización de obra o de demolición a que se refiere esta Ley, conlleva la obligación de los infractores de devolverla al estado anterior a la agresión, salvo el caso de imposibilidad material demostrada, correspondiendo a dicha entidad ejercer las acciones legales necesarias.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1"/>
          <w:numId w:val="205"/>
        </w:numPr>
        <w:spacing w:after="0" w:line="240" w:lineRule="auto"/>
        <w:ind w:left="993" w:hanging="709"/>
        <w:contextualSpacing/>
        <w:jc w:val="both"/>
        <w:rPr>
          <w:rFonts w:ascii="Arial" w:eastAsia="Calibri" w:hAnsi="Arial" w:cs="Arial"/>
          <w:lang w:val="es-ES"/>
        </w:rPr>
      </w:pPr>
      <w:r w:rsidRPr="006312E8">
        <w:rPr>
          <w:rFonts w:ascii="Arial" w:eastAsia="Calibri" w:hAnsi="Arial" w:cs="Arial"/>
          <w:lang w:val="es-ES"/>
        </w:rPr>
        <w:t>En los casos en que se compruebe la destrucción o alteración de un inmueble sometido al régimen que prevé esta Ley, los organismos competentes darán cuenta al Ministerio Público para que inicie la acción penal correspondiente.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23.- Protección de bienes muebles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 protección de los bienes culturales muebles integrantes del Patrimonio Cultural de la Nación comprende su identificación, registro, investigación, conservación, restauración, preservación, puesta en valor, promoción y difusión; asimismo, la restitución y repatriación cuando se encuentren de manera ilegal fuera del país.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24.- Protección de bienes inmateriales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 protección de los bienes inmateriales del Patrimonio Cultural de la Nación comprende su identificación, documentación, registro, investigación, preservación, promoción, valorización, transmisión y revitalización.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25.- Cooperación internacional</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Poder Ejecutivo propicia la celebración de convenios internacionales para la ejecución de proyectos de conservación, restauración y difusión de bienes integrantes del Patrimonio Cultural de la Nación a través de la cooperación internacional no reembolsable. También impulsa la suscripción de acuerdos internacionales para reforzar la lucha contra el tráfico ilícito de dichos bienes y, en su caso, lograr su repatriación.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26.- Conflicto armado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Estado peruano, a través del Instituto Nacional de Cultura, la Biblioteca Nacional y el Archivo General de la Nación, se obliga a adoptar las medidas necesarias destinadas a proteger y conservar los bienes integrantes del Patrimonio Cultural de la Nación en caso de conflicto armado, en concordancia con las normas de Derecho Internacional y Derecho Internacional Humanitario.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27.- Ocupaciones ilegales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En los casos de ocupaciones ilegales de bienes inmuebles integrantes del Patrimonio Cultural de la Nación de carácter prehispánico, el Instituto Nacional de Cultura, en coordinación con otras entidades del Estado, propenderá a la reubicación de los ocupantes ilegales de dichos bienes, sin perjuicio del ejercicio de las acciones legales conducentes a su intangibilidad.</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CAPÍTULO II</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PARTICIPACIÓN DE ENTIDADES ESTATALES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28.- Gobiernos Regionales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En concordancia de las funciones y atribuciones establecidas en la Ley Orgánica de Gobiernos Regionales, éstos prestarán asistencia y cooperación a los organismos pertinentes para la ejecución de proyectos de investigación, restauración, conservación y difusión de los bienes integrantes del Patrimonio Cultural de la Nación ubicados en su jurisdicción. Los organismos a que se refiere el artículo 19 de la presente Ley estarán encargados de la aprobación y supervisión de los proyectos que se ejecuten con tal fin.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29.- Municipalidades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206"/>
        </w:numPr>
        <w:spacing w:after="0" w:line="240" w:lineRule="auto"/>
        <w:ind w:left="709" w:hanging="633"/>
        <w:contextualSpacing/>
        <w:jc w:val="both"/>
        <w:rPr>
          <w:rFonts w:ascii="Arial" w:eastAsia="Calibri" w:hAnsi="Arial" w:cs="Arial"/>
          <w:lang w:val="es-ES"/>
        </w:rPr>
      </w:pPr>
      <w:r w:rsidRPr="006312E8">
        <w:rPr>
          <w:rFonts w:ascii="Arial" w:eastAsia="Calibri" w:hAnsi="Arial" w:cs="Arial"/>
          <w:lang w:val="es-ES"/>
        </w:rPr>
        <w:t>En concordancia con las competencias y funciones establecidas en la Ley Orgánica de Municipalidades, corresponde a las municipalidades en sus respectivas jurisdicciones: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207"/>
        </w:numPr>
        <w:spacing w:after="0" w:line="240" w:lineRule="auto"/>
        <w:ind w:left="1134"/>
        <w:contextualSpacing/>
        <w:jc w:val="both"/>
        <w:rPr>
          <w:rFonts w:ascii="Arial" w:eastAsia="Calibri" w:hAnsi="Arial" w:cs="Arial"/>
          <w:lang w:val="es-ES"/>
        </w:rPr>
      </w:pPr>
      <w:r w:rsidRPr="006312E8">
        <w:rPr>
          <w:rFonts w:ascii="Arial" w:eastAsia="Calibri" w:hAnsi="Arial" w:cs="Arial"/>
          <w:lang w:val="es-ES"/>
        </w:rPr>
        <w:t>Cooperar con el Instituto Nacional de Cultura, la Biblioteca Nacional y el Archivo General de la Nación en la identificación, inventario, registro, investigación, protección, conservación, difusión y promoción de los bienes muebles e inmuebles integrantes del Patrimonio Cultural de la Nación.</w:t>
      </w:r>
    </w:p>
    <w:p w:rsidR="006312E8" w:rsidRPr="006312E8" w:rsidRDefault="006312E8" w:rsidP="006312E8">
      <w:pPr>
        <w:spacing w:after="0" w:line="240" w:lineRule="auto"/>
        <w:ind w:left="1134"/>
        <w:contextualSpacing/>
        <w:jc w:val="both"/>
        <w:rPr>
          <w:rFonts w:ascii="Arial" w:eastAsia="Calibri" w:hAnsi="Arial" w:cs="Arial"/>
          <w:lang w:val="es-ES"/>
        </w:rPr>
      </w:pPr>
    </w:p>
    <w:p w:rsidR="006312E8" w:rsidRPr="006312E8" w:rsidRDefault="006312E8" w:rsidP="0092471C">
      <w:pPr>
        <w:numPr>
          <w:ilvl w:val="1"/>
          <w:numId w:val="207"/>
        </w:numPr>
        <w:spacing w:after="0" w:line="240" w:lineRule="auto"/>
        <w:ind w:left="1134"/>
        <w:contextualSpacing/>
        <w:jc w:val="both"/>
        <w:rPr>
          <w:rFonts w:ascii="Arial" w:eastAsia="Calibri" w:hAnsi="Arial" w:cs="Arial"/>
          <w:lang w:val="es-ES"/>
        </w:rPr>
      </w:pPr>
      <w:r w:rsidRPr="006312E8">
        <w:rPr>
          <w:rFonts w:ascii="Arial" w:eastAsia="Calibri" w:hAnsi="Arial" w:cs="Arial"/>
          <w:lang w:val="es-ES"/>
        </w:rPr>
        <w:t>Dictar las medidas administrativas necesarias para la protección, conservación y difusión de los bienes integrantes del Patrimonio Cultural de la Nación de su localidad, en concordancia con la legislación sobre la materia y las disposiciones que dicten los organismos a que se refiere el artículo 19 de esta Ley.</w:t>
      </w:r>
    </w:p>
    <w:p w:rsidR="006312E8" w:rsidRPr="006312E8" w:rsidRDefault="006312E8" w:rsidP="006312E8">
      <w:pPr>
        <w:spacing w:after="0" w:line="240" w:lineRule="auto"/>
        <w:ind w:left="1134"/>
        <w:contextualSpacing/>
        <w:jc w:val="both"/>
        <w:rPr>
          <w:rFonts w:ascii="Arial" w:eastAsia="Calibri" w:hAnsi="Arial" w:cs="Arial"/>
          <w:lang w:val="es-ES"/>
        </w:rPr>
      </w:pPr>
    </w:p>
    <w:p w:rsidR="006312E8" w:rsidRPr="006312E8" w:rsidRDefault="006312E8" w:rsidP="0092471C">
      <w:pPr>
        <w:numPr>
          <w:ilvl w:val="1"/>
          <w:numId w:val="207"/>
        </w:numPr>
        <w:spacing w:after="0" w:line="240" w:lineRule="auto"/>
        <w:ind w:left="1134"/>
        <w:contextualSpacing/>
        <w:jc w:val="both"/>
        <w:rPr>
          <w:rFonts w:ascii="Arial" w:eastAsia="Calibri" w:hAnsi="Arial" w:cs="Arial"/>
          <w:lang w:val="es-ES"/>
        </w:rPr>
      </w:pPr>
      <w:r w:rsidRPr="006312E8">
        <w:rPr>
          <w:rFonts w:ascii="Arial" w:eastAsia="Calibri" w:hAnsi="Arial" w:cs="Arial"/>
          <w:lang w:val="es-ES"/>
        </w:rPr>
        <w:t>Elaborar planes y programas orientados a la protección, conservación y difusión de los bienes integrantes del Patrimonio Cultural de la Nación de su localidad, en coordinación con los organismos a que se refiere el artículo 19 de la presente Ley.</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206"/>
        </w:numPr>
        <w:spacing w:after="0" w:line="240" w:lineRule="auto"/>
        <w:ind w:left="709" w:hanging="567"/>
        <w:contextualSpacing/>
        <w:jc w:val="both"/>
        <w:rPr>
          <w:rFonts w:ascii="Arial" w:eastAsia="Calibri" w:hAnsi="Arial" w:cs="Arial"/>
          <w:lang w:val="es-ES"/>
        </w:rPr>
      </w:pPr>
      <w:r w:rsidRPr="006312E8">
        <w:rPr>
          <w:rFonts w:ascii="Arial" w:eastAsia="Calibri" w:hAnsi="Arial" w:cs="Arial"/>
          <w:lang w:val="es-ES"/>
        </w:rPr>
        <w:t>Las ordenanzas, resoluciones, acuerdos y reglamentos emitidos por las municipalidades que se refieran a bienes integrantes del Patrimonio Cultural de la Nación requieren opinión previa del organismo competente, en caso contrario serán nulas de pleno derecho.</w:t>
      </w:r>
    </w:p>
    <w:p w:rsidR="00246CE9" w:rsidRPr="006312E8" w:rsidRDefault="00246CE9"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 xml:space="preserve">Artículo 30.- Concesiones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La ejecución de las obras correspondientes a las concesiones de obras públicas de infraestructura y de servicios públicos a otorgarse por el Gobierno Nacional, Gobiernos Regionales o Gobiernos Locales que afecten terrenos o áreas acuáticas en las que existan bienes integrantes del Patrimonio Cultural de la Nación, deberán contar con la autorización del Instituto Nacional de Cultura, sin perjuicio de las competencias propias de cada uno de los sectores involucrados.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El Concesionario o el Concedente, según sea indicado en el contrato de concesión, una vez otorgada la concesión deberá gestionar la aprobación del Instituto Nacional de Cultura mediante la ejecución del Proyecto de Evaluación Arqueológica respecto del área o terreno donde se ejecutará la obra que es materia de la concesión.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En caso que durante la construcción de la obra ocurra el hallazgo fortuito de algún bien integrante del Patrimonio Cultural de la Nación, el concesionario se encuentra obligado a suspender sus actividades en dicho lugar y de comunicar dicho hallazgo al Instituto Nacional de Cultura, a fin de que dicte las medidas de protección aplicables.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La autorización del Instituto Nacional de Cultura a que se hace referencia en el primer párrafo del presente artículo, así como en el artículo 22, no será exigible en caso de concesiones u obras públicas destinadas a la ampliación, mejoramiento, rehabilitación, operación o mantenimiento de infraestructura preexistente, excepto cuando se trate de extensión del trazo.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31.- Funcionarios públicos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Todo funcionario público tiene la obligación de adoptar las medidas necesarias para impedir la alteración, deterioro o destrucción de los bienes integrantes del Patrimonio Cultural de la Nación que se encuentren bajo su administración o custodia; el incumplimiento de la presente obligación acarreará responsabilidad administrativa, sin perjuicio de las acciones civiles y/o penales a que hubiera lugar.</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TÍTULO III</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TRASLADO DE BIENES MUEBLES INTEGRANTES DEL PATRIMONIO CULTURAL DE LA NACIÓN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CAPÍTULO I</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TRASLADO, PROHIBICIONES Y RESTRICCIONES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32.- Traslado dentro del territorio nacional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208"/>
        </w:numPr>
        <w:spacing w:after="0" w:line="240" w:lineRule="auto"/>
        <w:ind w:left="851" w:hanging="709"/>
        <w:contextualSpacing/>
        <w:jc w:val="both"/>
        <w:rPr>
          <w:rFonts w:ascii="Arial" w:eastAsia="Calibri" w:hAnsi="Arial" w:cs="Arial"/>
          <w:lang w:val="es-ES"/>
        </w:rPr>
      </w:pPr>
      <w:r w:rsidRPr="006312E8">
        <w:rPr>
          <w:rFonts w:ascii="Arial" w:eastAsia="Calibri" w:hAnsi="Arial" w:cs="Arial"/>
          <w:lang w:val="es-ES"/>
        </w:rPr>
        <w:t>Está permitido el traslado dentro del territorio nacional de bienes muebles integrantes del Patrimonio Cultural de la Nación.</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92471C">
      <w:pPr>
        <w:numPr>
          <w:ilvl w:val="1"/>
          <w:numId w:val="208"/>
        </w:numPr>
        <w:spacing w:after="0" w:line="240" w:lineRule="auto"/>
        <w:ind w:left="851" w:hanging="709"/>
        <w:contextualSpacing/>
        <w:jc w:val="both"/>
        <w:rPr>
          <w:rFonts w:ascii="Arial" w:eastAsia="Calibri" w:hAnsi="Arial" w:cs="Arial"/>
          <w:lang w:val="es-ES"/>
        </w:rPr>
      </w:pPr>
      <w:r w:rsidRPr="006312E8">
        <w:rPr>
          <w:rFonts w:ascii="Arial" w:eastAsia="Calibri" w:hAnsi="Arial" w:cs="Arial"/>
          <w:lang w:val="es-ES"/>
        </w:rPr>
        <w:t>El propietario o poseedor está obligado a adoptar las medidas necesarias para salvaguardar la integridad del bien mueble integrante del Patrimonio Cultural de la Nación, y comunicar previamente el traslado y el lugar de destino al organismo competente, bajo responsabilidad.</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33.- Prohibición de salida</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Está prohibida la salida del país de todo bien mueble integrante del Patrimonio Cultural de la Nación, salvo las excepciones establecidas en la presente Ley.</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34.- Excepciones de salida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209"/>
        </w:numPr>
        <w:spacing w:after="0" w:line="240" w:lineRule="auto"/>
        <w:ind w:left="851" w:hanging="709"/>
        <w:contextualSpacing/>
        <w:jc w:val="both"/>
        <w:rPr>
          <w:rFonts w:ascii="Arial" w:eastAsia="Calibri" w:hAnsi="Arial" w:cs="Arial"/>
          <w:lang w:val="es-ES"/>
        </w:rPr>
      </w:pPr>
      <w:r w:rsidRPr="006312E8">
        <w:rPr>
          <w:rFonts w:ascii="Arial" w:eastAsia="Calibri" w:hAnsi="Arial" w:cs="Arial"/>
          <w:lang w:val="es-ES"/>
        </w:rPr>
        <w:t>En caso excepcional se puede autorizar la salida de los bienes muebles integrantes del Patrimonio Cultural de la Nación mediante resolución suprema, la que procede en los siguientes casos: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210"/>
        </w:numPr>
        <w:spacing w:after="0" w:line="240" w:lineRule="auto"/>
        <w:contextualSpacing/>
        <w:jc w:val="both"/>
        <w:rPr>
          <w:rFonts w:ascii="Arial" w:eastAsia="Calibri" w:hAnsi="Arial" w:cs="Arial"/>
          <w:lang w:val="es-ES"/>
        </w:rPr>
      </w:pPr>
      <w:r w:rsidRPr="006312E8">
        <w:rPr>
          <w:rFonts w:ascii="Arial" w:eastAsia="Calibri" w:hAnsi="Arial" w:cs="Arial"/>
          <w:lang w:val="es-ES"/>
        </w:rPr>
        <w:t>Por motivos de exhibición con fines científicos, artísticos y culturales.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210"/>
        </w:numPr>
        <w:spacing w:after="0" w:line="240" w:lineRule="auto"/>
        <w:contextualSpacing/>
        <w:jc w:val="both"/>
        <w:rPr>
          <w:rFonts w:ascii="Arial" w:eastAsia="Calibri" w:hAnsi="Arial" w:cs="Arial"/>
          <w:lang w:val="es-ES"/>
        </w:rPr>
      </w:pPr>
      <w:r w:rsidRPr="006312E8">
        <w:rPr>
          <w:rFonts w:ascii="Arial" w:eastAsia="Calibri" w:hAnsi="Arial" w:cs="Arial"/>
          <w:lang w:val="es-ES"/>
        </w:rPr>
        <w:t>Estudios especializados que no puedan ser realizados en el país.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210"/>
        </w:numPr>
        <w:spacing w:after="0" w:line="240" w:lineRule="auto"/>
        <w:contextualSpacing/>
        <w:jc w:val="both"/>
        <w:rPr>
          <w:rFonts w:ascii="Arial" w:eastAsia="Calibri" w:hAnsi="Arial" w:cs="Arial"/>
          <w:lang w:val="es-ES"/>
        </w:rPr>
      </w:pPr>
      <w:r w:rsidRPr="006312E8">
        <w:rPr>
          <w:rFonts w:ascii="Arial" w:eastAsia="Calibri" w:hAnsi="Arial" w:cs="Arial"/>
          <w:lang w:val="es-ES"/>
        </w:rPr>
        <w:t>Restauración que no pueda realizarse en el país.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210"/>
        </w:numPr>
        <w:spacing w:after="0" w:line="240" w:lineRule="auto"/>
        <w:contextualSpacing/>
        <w:jc w:val="both"/>
        <w:rPr>
          <w:rFonts w:ascii="Arial" w:eastAsia="Calibri" w:hAnsi="Arial" w:cs="Arial"/>
          <w:lang w:val="es-ES"/>
        </w:rPr>
      </w:pPr>
      <w:r w:rsidRPr="006312E8">
        <w:rPr>
          <w:rFonts w:ascii="Arial" w:eastAsia="Calibri" w:hAnsi="Arial" w:cs="Arial"/>
          <w:lang w:val="es-ES"/>
        </w:rPr>
        <w:t>Por viajes de Jefes de Misión, Cónsules o Diplomáticos acreditados, por el plazo que dure su permanencia en el exterior.</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209"/>
        </w:numPr>
        <w:spacing w:after="0" w:line="240" w:lineRule="auto"/>
        <w:ind w:left="851" w:hanging="709"/>
        <w:contextualSpacing/>
        <w:jc w:val="both"/>
        <w:rPr>
          <w:rFonts w:ascii="Arial" w:eastAsia="Calibri" w:hAnsi="Arial" w:cs="Arial"/>
          <w:lang w:val="es-ES"/>
        </w:rPr>
      </w:pPr>
      <w:r w:rsidRPr="006312E8">
        <w:rPr>
          <w:rFonts w:ascii="Arial" w:eastAsia="Calibri" w:hAnsi="Arial" w:cs="Arial"/>
          <w:lang w:val="es-ES"/>
        </w:rPr>
        <w:t>La salida de los bienes muebles integrantes del Patrimonio Cultural de la Nación será por un término no mayor de un año, prorrogable por igual período por una sola vez.</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92471C">
      <w:pPr>
        <w:numPr>
          <w:ilvl w:val="1"/>
          <w:numId w:val="209"/>
        </w:numPr>
        <w:spacing w:after="0" w:line="240" w:lineRule="auto"/>
        <w:ind w:left="851" w:hanging="709"/>
        <w:contextualSpacing/>
        <w:jc w:val="both"/>
        <w:rPr>
          <w:rFonts w:ascii="Arial" w:eastAsia="Calibri" w:hAnsi="Arial" w:cs="Arial"/>
          <w:lang w:val="es-ES"/>
        </w:rPr>
      </w:pPr>
      <w:r w:rsidRPr="006312E8">
        <w:rPr>
          <w:rFonts w:ascii="Arial" w:eastAsia="Calibri" w:hAnsi="Arial" w:cs="Arial"/>
          <w:lang w:val="es-ES"/>
        </w:rPr>
        <w:t>La autorización requiere obligatoriamente de opinión previa del organismo competente y la contratación como mínimo de una póliza de seguro “Clavo a clavo” contra todo riesgo a favor del propietario del bien, quien deberá realizar la valorización respectiva.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CAPÍTULO II</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RESTITUCIÓN DE LOS BIENES INTEGRANTES DEL PATRIMONIO CULTURAL DE LA NACIÓN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35.- Restitución del bien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211"/>
        </w:numPr>
        <w:spacing w:after="0" w:line="240" w:lineRule="auto"/>
        <w:ind w:left="851" w:hanging="709"/>
        <w:contextualSpacing/>
        <w:jc w:val="both"/>
        <w:rPr>
          <w:rFonts w:ascii="Arial" w:eastAsia="Calibri" w:hAnsi="Arial" w:cs="Arial"/>
          <w:lang w:val="es-ES"/>
        </w:rPr>
      </w:pPr>
      <w:r w:rsidRPr="006312E8">
        <w:rPr>
          <w:rFonts w:ascii="Arial" w:eastAsia="Calibri" w:hAnsi="Arial" w:cs="Arial"/>
          <w:lang w:val="es-ES"/>
        </w:rPr>
        <w:t>El Ministerio de Relaciones Exteriores es el encargado de la restitución del bien integrante del Patrimonio Cultural de la Nación en los casos en que ilegalmente se haya exportado o permanezca fuera del país.</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92471C">
      <w:pPr>
        <w:numPr>
          <w:ilvl w:val="1"/>
          <w:numId w:val="211"/>
        </w:numPr>
        <w:spacing w:after="0" w:line="240" w:lineRule="auto"/>
        <w:ind w:left="851" w:hanging="709"/>
        <w:contextualSpacing/>
        <w:jc w:val="both"/>
        <w:rPr>
          <w:rFonts w:ascii="Arial" w:eastAsia="Calibri" w:hAnsi="Arial" w:cs="Arial"/>
          <w:lang w:val="es-ES"/>
        </w:rPr>
      </w:pPr>
      <w:r w:rsidRPr="006312E8">
        <w:rPr>
          <w:rFonts w:ascii="Arial" w:eastAsia="Calibri" w:hAnsi="Arial" w:cs="Arial"/>
          <w:lang w:val="es-ES"/>
        </w:rPr>
        <w:t>Las embajadas, consulados y representaciones permanentes del Perú en el exterior están obligadas a informar al Ministerio Público y al organismo competente la existencia o exhibición no autorizada y la comercialización en el extranjero de bienes integrantes del Patrimonio Cultural de la Nación, bajo responsabilidad.</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1"/>
          <w:numId w:val="211"/>
        </w:numPr>
        <w:spacing w:after="0" w:line="240" w:lineRule="auto"/>
        <w:ind w:left="851" w:hanging="709"/>
        <w:contextualSpacing/>
        <w:jc w:val="both"/>
        <w:rPr>
          <w:rFonts w:ascii="Arial" w:eastAsia="Calibri" w:hAnsi="Arial" w:cs="Arial"/>
          <w:lang w:val="es-ES"/>
        </w:rPr>
      </w:pPr>
      <w:r w:rsidRPr="006312E8">
        <w:rPr>
          <w:rFonts w:ascii="Arial" w:eastAsia="Calibri" w:hAnsi="Arial" w:cs="Arial"/>
          <w:lang w:val="es-ES"/>
        </w:rPr>
        <w:t>El órgano competente comunicará al Ministerio Público los casos de exportación ilegal de bienes integrantes del Patrimonio Cultural de la Nación, bajo responsabilidad.</w:t>
      </w:r>
    </w:p>
    <w:p w:rsidR="00F47618" w:rsidRDefault="00F47618" w:rsidP="006312E8">
      <w:pPr>
        <w:spacing w:after="0" w:line="240" w:lineRule="auto"/>
        <w:contextualSpacing/>
        <w:jc w:val="center"/>
        <w:rPr>
          <w:rFonts w:ascii="Arial" w:eastAsia="Calibri" w:hAnsi="Arial" w:cs="Arial"/>
          <w:b/>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CAPÍTULO III</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EXHIBICIONES DE BIENES INTEGRANTES DEL PATRIMONIO CULTURAL DE LA NACIÓN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36.- Exhibición</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Los bienes muebles integrantes del Patrimonio Cultural de la Nación pueden ser exhibidos dentro del país y excepcionalmente en el extranjero de acuerdo a los requisitos establecidos por el organismo competente.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37.- Comisario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Comisario es el profesional y/o especialista en materia de los bienes integrantes del Patrimonio Cultural de la Nación objeto de la exhibición, designado por resolución suprema a propuesta del organismo competente.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38.- Funciones y obligaciones del Comisario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212"/>
        </w:numPr>
        <w:spacing w:after="0" w:line="240" w:lineRule="auto"/>
        <w:ind w:left="851" w:hanging="567"/>
        <w:contextualSpacing/>
        <w:jc w:val="both"/>
        <w:rPr>
          <w:rFonts w:ascii="Arial" w:eastAsia="Calibri" w:hAnsi="Arial" w:cs="Arial"/>
          <w:lang w:val="es-ES"/>
        </w:rPr>
      </w:pPr>
      <w:r w:rsidRPr="006312E8">
        <w:rPr>
          <w:rFonts w:ascii="Arial" w:eastAsia="Calibri" w:hAnsi="Arial" w:cs="Arial"/>
          <w:lang w:val="es-ES"/>
        </w:rPr>
        <w:t>Es función del Comisario velar por la protección y conservación de los bienes integrantes del Patrimonio Cultural de la Nación que formen parte de una exhibición nacional o internacional. Asimismo, está obligado a supervisar el desarrollo de las exhibiciones desde los actos preparativos hasta su conclusión, velar por que se ciñan al catálogo aprobado por el organismo competente y que los bienes no sufran alteraciones.</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92471C">
      <w:pPr>
        <w:numPr>
          <w:ilvl w:val="1"/>
          <w:numId w:val="212"/>
        </w:numPr>
        <w:spacing w:after="0" w:line="240" w:lineRule="auto"/>
        <w:ind w:left="851" w:hanging="567"/>
        <w:contextualSpacing/>
        <w:jc w:val="both"/>
        <w:rPr>
          <w:rFonts w:ascii="Arial" w:eastAsia="Calibri" w:hAnsi="Arial" w:cs="Arial"/>
          <w:lang w:val="es-ES"/>
        </w:rPr>
      </w:pPr>
      <w:r w:rsidRPr="006312E8">
        <w:rPr>
          <w:rFonts w:ascii="Arial" w:eastAsia="Calibri" w:hAnsi="Arial" w:cs="Arial"/>
          <w:lang w:val="es-ES"/>
        </w:rPr>
        <w:t>Al finalizar su labor, el Comisario debe presentar un informe detallado y documentado.</w:t>
      </w:r>
    </w:p>
    <w:p w:rsidR="006312E8" w:rsidRPr="006312E8" w:rsidRDefault="006312E8"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39.- Responsabilidades del Comisario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213"/>
        </w:numPr>
        <w:spacing w:after="0" w:line="240" w:lineRule="auto"/>
        <w:ind w:left="851" w:hanging="567"/>
        <w:contextualSpacing/>
        <w:jc w:val="both"/>
        <w:rPr>
          <w:rFonts w:ascii="Arial" w:eastAsia="Calibri" w:hAnsi="Arial" w:cs="Arial"/>
          <w:lang w:val="es-ES"/>
        </w:rPr>
      </w:pPr>
      <w:r w:rsidRPr="006312E8">
        <w:rPr>
          <w:rFonts w:ascii="Arial" w:eastAsia="Calibri" w:hAnsi="Arial" w:cs="Arial"/>
          <w:lang w:val="es-ES"/>
        </w:rPr>
        <w:t>El Comisario responde administrativamente en caso de negligencia en el cumplimiento de sus funciones, sin perjuicio de las responsabilidades civiles y penales que correspondan.</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92471C">
      <w:pPr>
        <w:numPr>
          <w:ilvl w:val="1"/>
          <w:numId w:val="213"/>
        </w:numPr>
        <w:spacing w:after="0" w:line="240" w:lineRule="auto"/>
        <w:ind w:left="851" w:hanging="567"/>
        <w:contextualSpacing/>
        <w:jc w:val="both"/>
        <w:rPr>
          <w:rFonts w:ascii="Arial" w:eastAsia="Calibri" w:hAnsi="Arial" w:cs="Arial"/>
          <w:lang w:val="es-ES"/>
        </w:rPr>
      </w:pPr>
      <w:r w:rsidRPr="006312E8">
        <w:rPr>
          <w:rFonts w:ascii="Arial" w:eastAsia="Calibri" w:hAnsi="Arial" w:cs="Arial"/>
          <w:lang w:val="es-ES"/>
        </w:rPr>
        <w:t>El reglamento de la presente Ley establecerá los demás aspectos referidos a las funciones, obligaciones y responsabilidades del Comisario.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TÍTULO IV</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COLECCIONES Y MUSEOS PRIVADOS</w:t>
      </w:r>
    </w:p>
    <w:p w:rsidR="006312E8" w:rsidRPr="006312E8" w:rsidRDefault="006312E8" w:rsidP="006312E8">
      <w:pPr>
        <w:spacing w:after="0" w:line="240" w:lineRule="auto"/>
        <w:contextualSpacing/>
        <w:jc w:val="center"/>
        <w:rPr>
          <w:rFonts w:ascii="Arial" w:eastAsia="Calibri" w:hAnsi="Arial" w:cs="Arial"/>
          <w:b/>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CAPÍTULO I</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COLECCIONES PRIVADAS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Artículo 40.- Conformación de colecciones privadas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214"/>
        </w:numPr>
        <w:spacing w:after="0" w:line="240" w:lineRule="auto"/>
        <w:ind w:left="851" w:hanging="633"/>
        <w:contextualSpacing/>
        <w:jc w:val="both"/>
        <w:rPr>
          <w:rFonts w:ascii="Arial" w:eastAsia="Calibri" w:hAnsi="Arial" w:cs="Arial"/>
          <w:lang w:val="es-ES"/>
        </w:rPr>
      </w:pPr>
      <w:r w:rsidRPr="006312E8">
        <w:rPr>
          <w:rFonts w:ascii="Arial" w:eastAsia="Calibri" w:hAnsi="Arial" w:cs="Arial"/>
          <w:lang w:val="es-ES"/>
        </w:rPr>
        <w:t>El propietario particular de bienes muebles integrantes del Patrimonio Cultural de la Nación podrá conformar colecciones privadas, siempre que los bienes guarden vinculación entre sí, con el fin de que permanezcan como una unidad indivisible. El carácter de colección privada lo determina el organismo competente a solicitud de parte.</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92471C">
      <w:pPr>
        <w:numPr>
          <w:ilvl w:val="1"/>
          <w:numId w:val="214"/>
        </w:numPr>
        <w:spacing w:after="0" w:line="240" w:lineRule="auto"/>
        <w:ind w:left="851" w:hanging="633"/>
        <w:contextualSpacing/>
        <w:jc w:val="both"/>
        <w:rPr>
          <w:rFonts w:ascii="Arial" w:eastAsia="Calibri" w:hAnsi="Arial" w:cs="Arial"/>
          <w:lang w:val="es-ES"/>
        </w:rPr>
      </w:pPr>
      <w:r w:rsidRPr="006312E8">
        <w:rPr>
          <w:rFonts w:ascii="Arial" w:eastAsia="Calibri" w:hAnsi="Arial" w:cs="Arial"/>
          <w:lang w:val="es-ES"/>
        </w:rPr>
        <w:t>La colección se identifica con el nombre del coleccionista y se inscribe en el Registro correspondiente.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41.- Obligación del coleccionista</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titular de una colección está obligado a llevar un inventario que debe contener un catálogo descriptivo y fotográfico de cada una de las piezas que la integran, y a su conservación como tal, siendo responsable administrativa, civil y penalmente por el deterioro o daños que sufran como consecuencia de actos de negligencia o dolo.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42.- Transferencia de derechos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215"/>
        </w:numPr>
        <w:spacing w:after="0" w:line="240" w:lineRule="auto"/>
        <w:ind w:left="851" w:hanging="567"/>
        <w:contextualSpacing/>
        <w:jc w:val="both"/>
        <w:rPr>
          <w:rFonts w:ascii="Arial" w:eastAsia="Calibri" w:hAnsi="Arial" w:cs="Arial"/>
          <w:lang w:val="es-ES"/>
        </w:rPr>
      </w:pPr>
      <w:r w:rsidRPr="006312E8">
        <w:rPr>
          <w:rFonts w:ascii="Arial" w:eastAsia="Calibri" w:hAnsi="Arial" w:cs="Arial"/>
          <w:lang w:val="es-ES"/>
        </w:rPr>
        <w:t>El titular de una colección puede transferir libremente sus derechos de propiedad o copropiedad sobre su colección, dentro del país. El Estado tiene derecho de preferencia en la transferencia que se efectúe a título oneroso. La transferencia debe registrarse ante el organismo competente.</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92471C">
      <w:pPr>
        <w:numPr>
          <w:ilvl w:val="1"/>
          <w:numId w:val="215"/>
        </w:numPr>
        <w:spacing w:after="0" w:line="240" w:lineRule="auto"/>
        <w:ind w:left="851" w:hanging="567"/>
        <w:contextualSpacing/>
        <w:jc w:val="both"/>
        <w:rPr>
          <w:rFonts w:ascii="Arial" w:eastAsia="Calibri" w:hAnsi="Arial" w:cs="Arial"/>
          <w:lang w:val="es-ES"/>
        </w:rPr>
      </w:pPr>
      <w:r w:rsidRPr="006312E8">
        <w:rPr>
          <w:rFonts w:ascii="Arial" w:eastAsia="Calibri" w:hAnsi="Arial" w:cs="Arial"/>
          <w:lang w:val="es-ES"/>
        </w:rPr>
        <w:t>La transferencia comprende la integridad de las piezas que conforman la colección con la finalidad de mantener su unidad. La transferencia individual de alguna de las piezas requiere para su validez de autorización previa del organismo competente. La transferencia se registra ante dicho organismo.</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1"/>
          <w:numId w:val="215"/>
        </w:numPr>
        <w:spacing w:after="0" w:line="240" w:lineRule="auto"/>
        <w:ind w:left="851" w:hanging="567"/>
        <w:contextualSpacing/>
        <w:jc w:val="both"/>
        <w:rPr>
          <w:rFonts w:ascii="Arial" w:eastAsia="Calibri" w:hAnsi="Arial" w:cs="Arial"/>
          <w:lang w:val="es-ES"/>
        </w:rPr>
      </w:pPr>
      <w:r w:rsidRPr="006312E8">
        <w:rPr>
          <w:rFonts w:ascii="Arial" w:eastAsia="Calibri" w:hAnsi="Arial" w:cs="Arial"/>
          <w:lang w:val="es-ES"/>
        </w:rPr>
        <w:t>Es aplicable a la transferencia de bienes integrantes de una colección, la prohibición establecida en el artículo 9 de la presente Ley.</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CAPÍTULO II</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MUSEOS PRIVADOS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Artículo 43.- Constitución de museos privados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216"/>
        </w:numPr>
        <w:spacing w:after="0" w:line="240" w:lineRule="auto"/>
        <w:ind w:left="851" w:hanging="567"/>
        <w:contextualSpacing/>
        <w:jc w:val="both"/>
        <w:rPr>
          <w:rFonts w:ascii="Arial" w:eastAsia="Calibri" w:hAnsi="Arial" w:cs="Arial"/>
          <w:lang w:val="es-ES"/>
        </w:rPr>
      </w:pPr>
      <w:r w:rsidRPr="006312E8">
        <w:rPr>
          <w:rFonts w:ascii="Arial" w:eastAsia="Calibri" w:hAnsi="Arial" w:cs="Arial"/>
          <w:lang w:val="es-ES"/>
        </w:rPr>
        <w:t>El propietario de bienes integrantes del Patrimonio Cultural de la Nación que cuente con la infraestructura adecuada para realizar investigación, conservación, exhibición y difusión de ellos y que además cumpla los requisitos técnicos y científicos que señale la autoridad competente, podrá constituir un museo. La condición de museo la determina exclusivamente el Instituto Nacional de Cultura.</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92471C">
      <w:pPr>
        <w:numPr>
          <w:ilvl w:val="1"/>
          <w:numId w:val="216"/>
        </w:numPr>
        <w:spacing w:after="0" w:line="240" w:lineRule="auto"/>
        <w:ind w:left="851" w:hanging="567"/>
        <w:contextualSpacing/>
        <w:jc w:val="both"/>
        <w:rPr>
          <w:rFonts w:ascii="Arial" w:eastAsia="Calibri" w:hAnsi="Arial" w:cs="Arial"/>
          <w:lang w:val="es-ES"/>
        </w:rPr>
      </w:pPr>
      <w:r w:rsidRPr="006312E8">
        <w:rPr>
          <w:rFonts w:ascii="Arial" w:eastAsia="Calibri" w:hAnsi="Arial" w:cs="Arial"/>
          <w:lang w:val="es-ES"/>
        </w:rPr>
        <w:t>El museo será inscrito en el Registro Nacional de Museos Públicos y Privados a solicitud de parte, la cual es requisito indispensable para su funcionamiento como tal.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44.- Obligación de registro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propietario de un museo está obligado a solicitar el registro y catalogación de los bienes integrantes del Patrimonio Cultural de la Nación a su cargo ante el organismo competente. Es responsable administrativa, civil y penalmente por el deterioro o daños que sufran dichos bienes como consecuencia de actos de negligencia o dolo.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TÍTULO V</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RECURSOS ECONÓMICOS E INCENTIVOS TRIBUTARIOS</w:t>
      </w:r>
    </w:p>
    <w:p w:rsidR="006312E8" w:rsidRPr="006312E8" w:rsidRDefault="006312E8" w:rsidP="006312E8">
      <w:pPr>
        <w:spacing w:after="0" w:line="240" w:lineRule="auto"/>
        <w:contextualSpacing/>
        <w:jc w:val="center"/>
        <w:rPr>
          <w:rFonts w:ascii="Arial" w:eastAsia="Calibri" w:hAnsi="Arial" w:cs="Arial"/>
          <w:b/>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CAPÍTULO I</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RECURSOS ECONÓMICOS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45.- Recursos económicos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Son recursos para la protección del Patrimonio Cultural de la Nación: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217"/>
        </w:numPr>
        <w:spacing w:after="0" w:line="240" w:lineRule="auto"/>
        <w:contextualSpacing/>
        <w:jc w:val="both"/>
        <w:rPr>
          <w:rFonts w:ascii="Arial" w:eastAsia="Calibri" w:hAnsi="Arial" w:cs="Arial"/>
          <w:lang w:val="es-ES"/>
        </w:rPr>
      </w:pPr>
      <w:r w:rsidRPr="006312E8">
        <w:rPr>
          <w:rFonts w:ascii="Arial" w:eastAsia="Calibri" w:hAnsi="Arial" w:cs="Arial"/>
          <w:lang w:val="es-ES"/>
        </w:rPr>
        <w:t>Las asignaciones del Tesoro Público.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217"/>
        </w:numPr>
        <w:spacing w:after="0" w:line="240" w:lineRule="auto"/>
        <w:contextualSpacing/>
        <w:jc w:val="both"/>
        <w:rPr>
          <w:rFonts w:ascii="Arial" w:eastAsia="Calibri" w:hAnsi="Arial" w:cs="Arial"/>
          <w:lang w:val="es-ES"/>
        </w:rPr>
      </w:pPr>
      <w:r w:rsidRPr="006312E8">
        <w:rPr>
          <w:rFonts w:ascii="Arial" w:eastAsia="Calibri" w:hAnsi="Arial" w:cs="Arial"/>
          <w:lang w:val="es-ES"/>
        </w:rPr>
        <w:t>Los recursos directamente recaudados por los organismos competentes.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217"/>
        </w:numPr>
        <w:spacing w:after="0" w:line="240" w:lineRule="auto"/>
        <w:contextualSpacing/>
        <w:jc w:val="both"/>
        <w:rPr>
          <w:rFonts w:ascii="Arial" w:eastAsia="Calibri" w:hAnsi="Arial" w:cs="Arial"/>
          <w:lang w:val="es-ES"/>
        </w:rPr>
      </w:pPr>
      <w:r w:rsidRPr="006312E8">
        <w:rPr>
          <w:rFonts w:ascii="Arial" w:eastAsia="Calibri" w:hAnsi="Arial" w:cs="Arial"/>
          <w:lang w:val="es-ES"/>
        </w:rPr>
        <w:t>Las donaciones y legados.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217"/>
        </w:numPr>
        <w:spacing w:after="0" w:line="240" w:lineRule="auto"/>
        <w:contextualSpacing/>
        <w:jc w:val="both"/>
        <w:rPr>
          <w:rFonts w:ascii="Arial" w:eastAsia="Calibri" w:hAnsi="Arial" w:cs="Arial"/>
          <w:lang w:val="es-ES"/>
        </w:rPr>
      </w:pPr>
      <w:r w:rsidRPr="006312E8">
        <w:rPr>
          <w:rFonts w:ascii="Arial" w:eastAsia="Calibri" w:hAnsi="Arial" w:cs="Arial"/>
          <w:lang w:val="es-ES"/>
        </w:rPr>
        <w:t>Los provenientes de la Cooperación Internacional.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217"/>
        </w:numPr>
        <w:spacing w:after="0" w:line="240" w:lineRule="auto"/>
        <w:contextualSpacing/>
        <w:jc w:val="both"/>
        <w:rPr>
          <w:rFonts w:ascii="Arial" w:eastAsia="Calibri" w:hAnsi="Arial" w:cs="Arial"/>
          <w:lang w:val="es-ES"/>
        </w:rPr>
      </w:pPr>
      <w:r w:rsidRPr="006312E8">
        <w:rPr>
          <w:rFonts w:ascii="Arial" w:eastAsia="Calibri" w:hAnsi="Arial" w:cs="Arial"/>
          <w:lang w:val="es-ES"/>
        </w:rPr>
        <w:t>El porcentaje que determine el reglamento de la presente Ley, en base a la valorización asignada a cada bien integrante del Patrimonio Cultural de la Nación en la póliza de seguro a la que se refiere el artículo 34 de esta Ley, en los casos de exhibiciones realizadas en el extranjero.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CAPÍTULO II</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INCENTIVOS TRIBUTARIOS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46.- Impuestos municipales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Las personas naturales o jurídicas que sean propietarias de bienes culturales muebles e Inmuebles gozan de los siguientes beneficios tributarios: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2"/>
          <w:numId w:val="162"/>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No están gravados con el Impuesto Predial los predios declarados monumentos integrantes del Patrimonio Cultural de la Nación por el Instituto Nacional de Cultura de conformidad con lo dispuesto en el segundo párrafo del inciso I) del artículo 17 de la Ley de Tributación Municipal aprobada por el Decreto Legislativo Nº 776 y normas modificatorias.</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92471C">
      <w:pPr>
        <w:numPr>
          <w:ilvl w:val="2"/>
          <w:numId w:val="162"/>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No están gravadas con el Impuesto de Alcabala las transferencias a título gratuito u oneroso de bienes inmuebles integrantes del Patrimonio Cultural de la Nación que efectúe el Gobierno Central, Regional y las Municipalidades, de conformidad con la presente Ley a favor del Instituto Nacional de Cultura, Biblioteca Nacional y Archivo General de la Nación.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47.- Deducción por donaciones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Las donaciones que efectúen las personas naturales o jurídicas, para conservar, restaurar y valorizar los bienes culturales a favor del Sector Público Nacional y entidades sin fines de lucro serán deducibles como gasto de conformidad con lo dispuesto en el inciso x) del artículo 37 e inciso b) del artículo 49 del Texto Único Ordenado de la Ley del Impuesto a la Renta aprobado por Decreto Supremo Nº 054-99-EF y normas modificatorias.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48.- Internamiento de bienes culturales en el país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No están gravados con el Impuesto General a las Ventas y los derechos arancelarios, la importación de los bienes integrantes del Patrimonio Cultural de la Nación con la certificación correspondiente expedida por el Instituto Nacional de Cultura.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TÍTULO VI</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SANCIONES ADMINISTRATIVAS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49.- Multas, incautaciones y decomisos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218"/>
        </w:numPr>
        <w:spacing w:after="0" w:line="240" w:lineRule="auto"/>
        <w:ind w:left="1134" w:hanging="708"/>
        <w:contextualSpacing/>
        <w:jc w:val="both"/>
        <w:rPr>
          <w:rFonts w:ascii="Arial" w:eastAsia="Calibri" w:hAnsi="Arial" w:cs="Arial"/>
          <w:lang w:val="es-ES"/>
        </w:rPr>
      </w:pPr>
      <w:r w:rsidRPr="006312E8">
        <w:rPr>
          <w:rFonts w:ascii="Arial" w:eastAsia="Calibri" w:hAnsi="Arial" w:cs="Arial"/>
          <w:lang w:val="es-ES"/>
        </w:rPr>
        <w:t>Sin perjuicio de las penas que imponga el Código Penal por delitos cometidos contra el Patrimonio Cultural de la Nación y en concordancia con las leyes de la materia, el Instituto Nacional de Cultura, la Biblioteca Nacional y el Archivo General de la Nación, según corresponda, quedan facultados para imponer las siguientes sanciones administrativas: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219"/>
        </w:numPr>
        <w:spacing w:after="0" w:line="240" w:lineRule="auto"/>
        <w:contextualSpacing/>
        <w:jc w:val="both"/>
        <w:rPr>
          <w:rFonts w:ascii="Arial" w:eastAsia="Calibri" w:hAnsi="Arial" w:cs="Arial"/>
          <w:lang w:val="es-ES"/>
        </w:rPr>
      </w:pPr>
      <w:r w:rsidRPr="006312E8">
        <w:rPr>
          <w:rFonts w:ascii="Arial" w:eastAsia="Calibri" w:hAnsi="Arial" w:cs="Arial"/>
          <w:lang w:val="es-ES"/>
        </w:rPr>
        <w:t>Multa al tenedor y/o al propietario de un bien integrante del Patrimonio Cultural de la Nación que no haya solicitado el registro del bien ante el organismo competente.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219"/>
        </w:numPr>
        <w:spacing w:after="0" w:line="240" w:lineRule="auto"/>
        <w:contextualSpacing/>
        <w:jc w:val="both"/>
        <w:rPr>
          <w:rFonts w:ascii="Arial" w:eastAsia="Calibri" w:hAnsi="Arial" w:cs="Arial"/>
          <w:lang w:val="es-ES"/>
        </w:rPr>
      </w:pPr>
      <w:r w:rsidRPr="006312E8">
        <w:rPr>
          <w:rFonts w:ascii="Arial" w:eastAsia="Calibri" w:hAnsi="Arial" w:cs="Arial"/>
          <w:lang w:val="es-ES"/>
        </w:rPr>
        <w:t>Multa, incautación o decomiso, cuando corresponda, al tenedor y/o al propietario de un bien integrante del Patrimonio Cultural de la Nación en caso de dolo o negligencia, declarada por el organismo competente, en caso de daño al mismo.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219"/>
        </w:numPr>
        <w:spacing w:after="0" w:line="240" w:lineRule="auto"/>
        <w:contextualSpacing/>
        <w:jc w:val="both"/>
        <w:rPr>
          <w:rFonts w:ascii="Arial" w:eastAsia="Calibri" w:hAnsi="Arial" w:cs="Arial"/>
          <w:lang w:val="es-ES"/>
        </w:rPr>
      </w:pPr>
      <w:r w:rsidRPr="006312E8">
        <w:rPr>
          <w:rFonts w:ascii="Arial" w:eastAsia="Calibri" w:hAnsi="Arial" w:cs="Arial"/>
          <w:lang w:val="es-ES"/>
        </w:rPr>
        <w:t>Multa, incautación o decomiso, cuando corresponda, al tenedor y/o al propietario de un bien integrante del Patrimonio Cultural de la Nación cuya salida se intente sin autorización o certificación que descarte su condición de tal.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219"/>
        </w:numPr>
        <w:spacing w:after="0" w:line="240" w:lineRule="auto"/>
        <w:contextualSpacing/>
        <w:jc w:val="both"/>
        <w:rPr>
          <w:rFonts w:ascii="Arial" w:eastAsia="Calibri" w:hAnsi="Arial" w:cs="Arial"/>
          <w:lang w:val="es-ES"/>
        </w:rPr>
      </w:pPr>
      <w:r w:rsidRPr="006312E8">
        <w:rPr>
          <w:rFonts w:ascii="Arial" w:eastAsia="Calibri" w:hAnsi="Arial" w:cs="Arial"/>
          <w:lang w:val="es-ES"/>
        </w:rPr>
        <w:t>Multa, incautación o decomiso, cuando corresponda, al tenedor de un bien cultural de otro país que intente introducirlo en el Perú sin la certificación que autorice su salida del país de origen.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219"/>
        </w:numPr>
        <w:spacing w:after="0" w:line="240" w:lineRule="auto"/>
        <w:contextualSpacing/>
        <w:jc w:val="both"/>
        <w:rPr>
          <w:rFonts w:ascii="Arial" w:eastAsia="Calibri" w:hAnsi="Arial" w:cs="Arial"/>
          <w:lang w:val="es-ES"/>
        </w:rPr>
      </w:pPr>
      <w:r w:rsidRPr="006312E8">
        <w:rPr>
          <w:rFonts w:ascii="Arial" w:eastAsia="Calibri" w:hAnsi="Arial" w:cs="Arial"/>
          <w:lang w:val="es-ES"/>
        </w:rPr>
        <w:t>Multa a quien promueva y realice excavaciones en sitios arqueológicos o cementerios, o altere bienes inmuebles integrantes del Patrimonio Cultural de la Nación sin tener la autorización correspondiente del Instituto Nacional de Cultura o la certificación que descarte la condición de bien cultural, sin perjuicio del decomiso de los instrumentos, medios de carga y transporte utilizados.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219"/>
        </w:numPr>
        <w:spacing w:after="0" w:line="240" w:lineRule="auto"/>
        <w:contextualSpacing/>
        <w:jc w:val="both"/>
        <w:rPr>
          <w:rFonts w:ascii="Arial" w:eastAsia="Calibri" w:hAnsi="Arial" w:cs="Arial"/>
          <w:lang w:val="es-ES"/>
        </w:rPr>
      </w:pPr>
      <w:r w:rsidRPr="006312E8">
        <w:rPr>
          <w:rFonts w:ascii="Arial" w:eastAsia="Calibri" w:hAnsi="Arial" w:cs="Arial"/>
          <w:lang w:val="es-ES"/>
        </w:rPr>
        <w:t>Paralización y/o demolición de obra pública o privada ejecutada en inmueble integrante o vinculado al Patrimonio Cultural de la Nación cuando se realiza sin contar con la autorización previa o cuando contando con tal autorización se comprueba que la obra se ejecuta incumpliéndose las especificaciones técnicas aprobadas por el Instituto Nacional de Cultura.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219"/>
        </w:numPr>
        <w:spacing w:after="0" w:line="240" w:lineRule="auto"/>
        <w:contextualSpacing/>
        <w:jc w:val="both"/>
        <w:rPr>
          <w:rFonts w:ascii="Arial" w:eastAsia="Calibri" w:hAnsi="Arial" w:cs="Arial"/>
          <w:lang w:val="es-ES"/>
        </w:rPr>
      </w:pPr>
      <w:r w:rsidRPr="006312E8">
        <w:rPr>
          <w:rFonts w:ascii="Arial" w:eastAsia="Calibri" w:hAnsi="Arial" w:cs="Arial"/>
          <w:lang w:val="es-ES"/>
        </w:rPr>
        <w:t>Multa por incumplimiento de las demás obligaciones previstas en la presente Ley y las que se establezcan en el reglamento.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218"/>
        </w:numPr>
        <w:spacing w:after="0" w:line="240" w:lineRule="auto"/>
        <w:ind w:left="1134" w:hanging="567"/>
        <w:contextualSpacing/>
        <w:jc w:val="both"/>
        <w:rPr>
          <w:rFonts w:ascii="Arial" w:eastAsia="Calibri" w:hAnsi="Arial" w:cs="Arial"/>
          <w:lang w:val="es-ES"/>
        </w:rPr>
      </w:pPr>
      <w:r w:rsidRPr="006312E8">
        <w:rPr>
          <w:rFonts w:ascii="Arial" w:eastAsia="Calibri" w:hAnsi="Arial" w:cs="Arial"/>
          <w:lang w:val="es-ES"/>
        </w:rPr>
        <w:t>Todo bien incautado será remitido al organismo competente para la evaluación correspondiente y efectuar el posterior decomiso o devolución, según corresponda.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50.- Criterios para la imposición de la multa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1276" w:hanging="709"/>
        <w:contextualSpacing/>
        <w:jc w:val="both"/>
        <w:rPr>
          <w:rFonts w:ascii="Arial" w:eastAsia="Calibri" w:hAnsi="Arial" w:cs="Arial"/>
          <w:lang w:val="es-ES"/>
        </w:rPr>
      </w:pPr>
      <w:r w:rsidRPr="006312E8">
        <w:rPr>
          <w:rFonts w:ascii="Arial" w:eastAsia="Calibri" w:hAnsi="Arial" w:cs="Arial"/>
          <w:lang w:val="es-ES"/>
        </w:rPr>
        <w:t xml:space="preserve">50.1 </w:t>
      </w:r>
      <w:r w:rsidRPr="006312E8">
        <w:rPr>
          <w:rFonts w:ascii="Arial" w:eastAsia="Calibri" w:hAnsi="Arial" w:cs="Arial"/>
          <w:lang w:val="es-ES"/>
        </w:rPr>
        <w:tab/>
        <w:t>Los criterios y procedimientos para la imposición de la multa a que se refiere el artículo precedente, son normados por el organismo competente, teniendo en consideración el valor del bien y la evaluación del daño causado, previa tasación y peritaje, según corresponda.</w:t>
      </w:r>
    </w:p>
    <w:p w:rsidR="006312E8" w:rsidRPr="006312E8" w:rsidRDefault="006312E8" w:rsidP="006312E8">
      <w:pPr>
        <w:spacing w:after="0" w:line="240" w:lineRule="auto"/>
        <w:ind w:left="1276" w:hanging="709"/>
        <w:contextualSpacing/>
        <w:jc w:val="both"/>
        <w:rPr>
          <w:rFonts w:ascii="Arial" w:eastAsia="Calibri" w:hAnsi="Arial" w:cs="Arial"/>
          <w:lang w:val="es-ES"/>
        </w:rPr>
      </w:pPr>
    </w:p>
    <w:p w:rsidR="006312E8" w:rsidRPr="006312E8" w:rsidRDefault="006312E8" w:rsidP="006312E8">
      <w:pPr>
        <w:spacing w:after="0" w:line="240" w:lineRule="auto"/>
        <w:ind w:left="1276" w:hanging="709"/>
        <w:contextualSpacing/>
        <w:jc w:val="both"/>
        <w:rPr>
          <w:rFonts w:ascii="Arial" w:eastAsia="Calibri" w:hAnsi="Arial" w:cs="Arial"/>
          <w:lang w:val="es-ES"/>
        </w:rPr>
      </w:pPr>
      <w:r w:rsidRPr="006312E8">
        <w:rPr>
          <w:rFonts w:ascii="Arial" w:eastAsia="Calibri" w:hAnsi="Arial" w:cs="Arial"/>
          <w:lang w:val="es-ES"/>
        </w:rPr>
        <w:t xml:space="preserve">50.2 </w:t>
      </w:r>
      <w:r w:rsidRPr="006312E8">
        <w:rPr>
          <w:rFonts w:ascii="Arial" w:eastAsia="Calibri" w:hAnsi="Arial" w:cs="Arial"/>
          <w:lang w:val="es-ES"/>
        </w:rPr>
        <w:tab/>
        <w:t>La multa a imponerse no podrá ser menor de 0.25 de la UIT ni mayor de 1000 UIT.</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TÍTULO VII</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EDUCACIÓN, DIFUSIÓN Y PROMOCIÓN CULTURAL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51.- Educación y difusión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851" w:hanging="709"/>
        <w:contextualSpacing/>
        <w:jc w:val="both"/>
        <w:rPr>
          <w:rFonts w:ascii="Arial" w:eastAsia="Calibri" w:hAnsi="Arial" w:cs="Arial"/>
          <w:lang w:val="es-ES"/>
        </w:rPr>
      </w:pPr>
      <w:r w:rsidRPr="006312E8">
        <w:rPr>
          <w:rFonts w:ascii="Arial" w:eastAsia="Calibri" w:hAnsi="Arial" w:cs="Arial"/>
          <w:lang w:val="es-ES"/>
        </w:rPr>
        <w:t xml:space="preserve">51.1 </w:t>
      </w:r>
      <w:r w:rsidRPr="006312E8">
        <w:rPr>
          <w:rFonts w:ascii="Arial" w:eastAsia="Calibri" w:hAnsi="Arial" w:cs="Arial"/>
          <w:lang w:val="es-ES"/>
        </w:rPr>
        <w:tab/>
        <w:t>El Instituto Nacional de Cultura, la Biblioteca Nacional y el Archivo General de la Nación y demás organismos vinculados a la Cultura velarán para que se promueva y difunda en la ciudadanía la importancia y significado del Patrimonio Cultural de la Nación como fundamento y expresión de nuestra identidad nacional.</w:t>
      </w:r>
    </w:p>
    <w:p w:rsidR="006312E8" w:rsidRPr="006312E8" w:rsidRDefault="006312E8" w:rsidP="006312E8">
      <w:pPr>
        <w:spacing w:after="0" w:line="240" w:lineRule="auto"/>
        <w:ind w:left="851" w:hanging="709"/>
        <w:contextualSpacing/>
        <w:jc w:val="both"/>
        <w:rPr>
          <w:rFonts w:ascii="Arial" w:eastAsia="Calibri" w:hAnsi="Arial" w:cs="Arial"/>
          <w:lang w:val="es-ES"/>
        </w:rPr>
      </w:pP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Los medios de comunicación estatal están obligados a difundir el Patrimonio Cultural de la Nación en sus diferentes expresiones.</w:t>
      </w:r>
    </w:p>
    <w:p w:rsidR="006312E8" w:rsidRPr="006312E8" w:rsidRDefault="006312E8" w:rsidP="006312E8">
      <w:pPr>
        <w:spacing w:after="0" w:line="240" w:lineRule="auto"/>
        <w:ind w:left="851" w:hanging="709"/>
        <w:contextualSpacing/>
        <w:jc w:val="both"/>
        <w:rPr>
          <w:rFonts w:ascii="Arial" w:eastAsia="Calibri" w:hAnsi="Arial" w:cs="Arial"/>
          <w:lang w:val="es-ES"/>
        </w:rPr>
      </w:pPr>
    </w:p>
    <w:p w:rsidR="006312E8" w:rsidRPr="006312E8" w:rsidRDefault="006312E8" w:rsidP="006312E8">
      <w:pPr>
        <w:spacing w:after="0" w:line="240" w:lineRule="auto"/>
        <w:ind w:left="851" w:hanging="709"/>
        <w:contextualSpacing/>
        <w:jc w:val="both"/>
        <w:rPr>
          <w:rFonts w:ascii="Arial" w:eastAsia="Calibri" w:hAnsi="Arial" w:cs="Arial"/>
          <w:lang w:val="es-ES"/>
        </w:rPr>
      </w:pPr>
      <w:r w:rsidRPr="006312E8">
        <w:rPr>
          <w:rFonts w:ascii="Arial" w:eastAsia="Calibri" w:hAnsi="Arial" w:cs="Arial"/>
          <w:lang w:val="es-ES"/>
        </w:rPr>
        <w:t xml:space="preserve">51.2 </w:t>
      </w:r>
      <w:r w:rsidRPr="006312E8">
        <w:rPr>
          <w:rFonts w:ascii="Arial" w:eastAsia="Calibri" w:hAnsi="Arial" w:cs="Arial"/>
          <w:lang w:val="es-ES"/>
        </w:rPr>
        <w:tab/>
        <w:t>Los organismos competentes promueven y coordinan con los medios de comunicación y demás entidades públicas y privadas para estimular y difundir el respeto y la valoración del Patrimonio Cultural de la Nación.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52.- Contenidos curriculares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Es obligación del Instituto Nacional de Cultura, la Biblioteca Nacional y el Archivo General de la Nación, según corresponda, proponer al Ministerio de Educación los contenidos curriculares sobre la materia, para ser incluidos en el plan de estudios de todos los niveles de la educación nacional.</w:t>
      </w:r>
    </w:p>
    <w:p w:rsidR="006312E8" w:rsidRPr="006312E8" w:rsidRDefault="006312E8" w:rsidP="006312E8">
      <w:pPr>
        <w:spacing w:after="0" w:line="240" w:lineRule="auto"/>
        <w:contextualSpacing/>
        <w:jc w:val="center"/>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DISPOSICIONES TRANSITORIAS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PRIMERA.-</w:t>
      </w:r>
      <w:r w:rsidRPr="006312E8">
        <w:rPr>
          <w:rFonts w:ascii="Arial" w:eastAsia="Calibri" w:hAnsi="Arial" w:cs="Arial"/>
          <w:lang w:val="es-ES"/>
        </w:rPr>
        <w:t xml:space="preserve"> El propietario de un bien mueble integrante del Patrimonio Cultural de la Nación que no se encuentre debidamente registrado, debe presentar su solicitud ante el organismo competente en el plazo de tres años de publicado el reglamento de la presente Ley.</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SEGUNDA.-</w:t>
      </w:r>
      <w:r w:rsidRPr="006312E8">
        <w:rPr>
          <w:rFonts w:ascii="Arial" w:eastAsia="Calibri" w:hAnsi="Arial" w:cs="Arial"/>
          <w:lang w:val="es-ES"/>
        </w:rPr>
        <w:t xml:space="preserve"> En tanto no se expida el reglamento, los organismos competentes podrán emitir las disposiciones que permitan el cumplimiento de lo dispuesto en la presente Ley.</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DISPOSICIONES FINALES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PRIMERA.-</w:t>
      </w:r>
      <w:r w:rsidRPr="006312E8">
        <w:rPr>
          <w:rFonts w:ascii="Arial" w:eastAsia="Calibri" w:hAnsi="Arial" w:cs="Arial"/>
          <w:lang w:val="es-ES"/>
        </w:rPr>
        <w:t xml:space="preserve"> Los gastos que se generen por la aplicación de lo dispuesto en la presente Ley, serán atendidos únicamente con cargo a los recursos establecidos en el artículo 45 sin que ello implique demandas adicionales al Tesoro Público.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SEGUNDA.-</w:t>
      </w:r>
      <w:r w:rsidRPr="006312E8">
        <w:rPr>
          <w:rFonts w:ascii="Arial" w:eastAsia="Calibri" w:hAnsi="Arial" w:cs="Arial"/>
          <w:lang w:val="es-ES"/>
        </w:rPr>
        <w:t xml:space="preserve"> Tratándose de la protección de los conocimientos colectivos de los pueblos indígenas vinculados a la diversidad biológica, es de aplicación la Ley Nº 27811, Ley que establece el Régimen de Protección de los Conocimientos Colectivos de los pueblos indígenas vinculados a los recursos biológicos.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TERCERA.-</w:t>
      </w:r>
      <w:r w:rsidRPr="006312E8">
        <w:rPr>
          <w:rFonts w:ascii="Arial" w:eastAsia="Calibri" w:hAnsi="Arial" w:cs="Arial"/>
          <w:lang w:val="es-ES"/>
        </w:rPr>
        <w:t xml:space="preserve"> A partir de la vigencia de la presente Ley, los bienes integrantes del Patrimonio Cultural de la Nación, de propiedad de la Iglesia Católica, de las congregaciones religiosas o de otras confesiones, mantienen tal condición en el estado en que se encuentren.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CUARTA.-</w:t>
      </w:r>
      <w:r w:rsidRPr="006312E8">
        <w:rPr>
          <w:rFonts w:ascii="Arial" w:eastAsia="Calibri" w:hAnsi="Arial" w:cs="Arial"/>
          <w:lang w:val="es-ES"/>
        </w:rPr>
        <w:t xml:space="preserve"> El Poder Ejecutivo reglamentará la presente Ley en el término de noventa (90) días naturales contados a partir de su vigencia.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QUINTA.-</w:t>
      </w:r>
      <w:r w:rsidRPr="006312E8">
        <w:rPr>
          <w:rFonts w:ascii="Arial" w:eastAsia="Calibri" w:hAnsi="Arial" w:cs="Arial"/>
          <w:lang w:val="es-ES"/>
        </w:rPr>
        <w:t xml:space="preserve"> Deróganse la Ley Nº 24047, Ley Nº 27173 y demás normas que se opongan a la presente Ley.</w:t>
      </w:r>
    </w:p>
    <w:p w:rsidR="00246CE9" w:rsidRDefault="00246CE9"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POR TANTO: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Habiendo sido reconsiderada la Ley por el Congreso de la República, aceptándose la observación formulada por el señor Presidente de la República, de conformidad con lo dispuesto por el artículo 108 de la Constitución Política del Estado, ordeno que se publique y cumpla.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En Lima, a los veintiún días del mes de julio de dos mil cuatro.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HENRY PEASE GARCÍA</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Presidente del Congreso de la República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MARCIANO RENGIFO RUIZ</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Primer Vicepresidente del Congreso de la República</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Default="006312E8" w:rsidP="006312E8">
      <w:pPr>
        <w:spacing w:after="0" w:line="240" w:lineRule="auto"/>
        <w:contextualSpacing/>
        <w:jc w:val="both"/>
        <w:rPr>
          <w:rFonts w:ascii="Arial" w:eastAsia="Calibri" w:hAnsi="Arial" w:cs="Arial"/>
          <w:lang w:val="es-ES"/>
        </w:rPr>
      </w:pPr>
    </w:p>
    <w:p w:rsidR="006F4A2A" w:rsidRDefault="006F4A2A" w:rsidP="006312E8">
      <w:pPr>
        <w:spacing w:after="0" w:line="240" w:lineRule="auto"/>
        <w:contextualSpacing/>
        <w:jc w:val="both"/>
        <w:rPr>
          <w:rFonts w:ascii="Arial" w:eastAsia="Calibri" w:hAnsi="Arial" w:cs="Arial"/>
          <w:lang w:val="es-ES"/>
        </w:rPr>
      </w:pPr>
    </w:p>
    <w:p w:rsidR="006F4A2A" w:rsidRDefault="006F4A2A" w:rsidP="006312E8">
      <w:pPr>
        <w:spacing w:after="0" w:line="240" w:lineRule="auto"/>
        <w:contextualSpacing/>
        <w:jc w:val="both"/>
        <w:rPr>
          <w:rFonts w:ascii="Arial" w:eastAsia="Calibri" w:hAnsi="Arial" w:cs="Arial"/>
          <w:lang w:val="es-ES"/>
        </w:rPr>
      </w:pPr>
    </w:p>
    <w:p w:rsidR="006F4A2A" w:rsidRDefault="006F4A2A" w:rsidP="006312E8">
      <w:pPr>
        <w:spacing w:after="0" w:line="240" w:lineRule="auto"/>
        <w:contextualSpacing/>
        <w:jc w:val="both"/>
        <w:rPr>
          <w:rFonts w:ascii="Arial" w:eastAsia="Calibri" w:hAnsi="Arial" w:cs="Arial"/>
          <w:lang w:val="es-ES"/>
        </w:rPr>
      </w:pPr>
    </w:p>
    <w:p w:rsidR="006F4A2A" w:rsidRDefault="006F4A2A" w:rsidP="006312E8">
      <w:pPr>
        <w:spacing w:after="0" w:line="240" w:lineRule="auto"/>
        <w:contextualSpacing/>
        <w:jc w:val="both"/>
        <w:rPr>
          <w:rFonts w:ascii="Arial" w:eastAsia="Calibri" w:hAnsi="Arial" w:cs="Arial"/>
          <w:lang w:val="es-ES"/>
        </w:rPr>
      </w:pPr>
    </w:p>
    <w:p w:rsidR="006F4A2A" w:rsidRDefault="006F4A2A" w:rsidP="006312E8">
      <w:pPr>
        <w:spacing w:after="0" w:line="240" w:lineRule="auto"/>
        <w:contextualSpacing/>
        <w:jc w:val="both"/>
        <w:rPr>
          <w:rFonts w:ascii="Arial" w:eastAsia="Calibri" w:hAnsi="Arial" w:cs="Arial"/>
          <w:lang w:val="es-ES"/>
        </w:rPr>
      </w:pPr>
    </w:p>
    <w:p w:rsidR="006F4A2A" w:rsidRDefault="006F4A2A" w:rsidP="006312E8">
      <w:pPr>
        <w:spacing w:after="0" w:line="240" w:lineRule="auto"/>
        <w:contextualSpacing/>
        <w:jc w:val="both"/>
        <w:rPr>
          <w:rFonts w:ascii="Arial" w:eastAsia="Calibri" w:hAnsi="Arial" w:cs="Arial"/>
          <w:lang w:val="es-ES"/>
        </w:rPr>
      </w:pPr>
    </w:p>
    <w:p w:rsidR="006F4A2A" w:rsidRDefault="006F4A2A" w:rsidP="006312E8">
      <w:pPr>
        <w:spacing w:after="0" w:line="240" w:lineRule="auto"/>
        <w:contextualSpacing/>
        <w:jc w:val="both"/>
        <w:rPr>
          <w:rFonts w:ascii="Arial" w:eastAsia="Calibri" w:hAnsi="Arial" w:cs="Arial"/>
          <w:lang w:val="es-ES"/>
        </w:rPr>
      </w:pPr>
    </w:p>
    <w:p w:rsidR="006F4A2A" w:rsidRDefault="006F4A2A" w:rsidP="006312E8">
      <w:pPr>
        <w:spacing w:after="0" w:line="240" w:lineRule="auto"/>
        <w:contextualSpacing/>
        <w:jc w:val="both"/>
        <w:rPr>
          <w:rFonts w:ascii="Arial" w:eastAsia="Calibri" w:hAnsi="Arial" w:cs="Arial"/>
          <w:lang w:val="es-ES"/>
        </w:rPr>
      </w:pPr>
    </w:p>
    <w:p w:rsidR="006F4A2A" w:rsidRDefault="006F4A2A" w:rsidP="006312E8">
      <w:pPr>
        <w:spacing w:after="0" w:line="240" w:lineRule="auto"/>
        <w:contextualSpacing/>
        <w:jc w:val="both"/>
        <w:rPr>
          <w:rFonts w:ascii="Arial" w:eastAsia="Calibri" w:hAnsi="Arial" w:cs="Arial"/>
          <w:lang w:val="es-ES"/>
        </w:rPr>
      </w:pPr>
    </w:p>
    <w:p w:rsidR="006F4A2A" w:rsidRDefault="006F4A2A" w:rsidP="006312E8">
      <w:pPr>
        <w:spacing w:after="0" w:line="240" w:lineRule="auto"/>
        <w:contextualSpacing/>
        <w:jc w:val="both"/>
        <w:rPr>
          <w:rFonts w:ascii="Arial" w:eastAsia="Calibri" w:hAnsi="Arial" w:cs="Arial"/>
          <w:lang w:val="es-ES"/>
        </w:rPr>
      </w:pPr>
    </w:p>
    <w:p w:rsidR="006F4A2A" w:rsidRPr="006312E8" w:rsidRDefault="006F4A2A"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Default="006312E8" w:rsidP="006312E8">
      <w:pPr>
        <w:spacing w:after="0" w:line="240" w:lineRule="auto"/>
        <w:contextualSpacing/>
        <w:jc w:val="both"/>
        <w:rPr>
          <w:rFonts w:ascii="Arial" w:eastAsia="Calibri" w:hAnsi="Arial" w:cs="Arial"/>
          <w:lang w:val="es-ES"/>
        </w:rPr>
      </w:pPr>
    </w:p>
    <w:p w:rsidR="00F47618" w:rsidRDefault="00F47618" w:rsidP="006312E8">
      <w:pPr>
        <w:spacing w:after="0" w:line="240" w:lineRule="auto"/>
        <w:contextualSpacing/>
        <w:jc w:val="both"/>
        <w:rPr>
          <w:rFonts w:ascii="Arial" w:eastAsia="Calibri" w:hAnsi="Arial" w:cs="Arial"/>
          <w:lang w:val="es-ES"/>
        </w:rPr>
      </w:pPr>
    </w:p>
    <w:p w:rsidR="006312E8" w:rsidRPr="006312E8" w:rsidRDefault="006312E8" w:rsidP="00F47618">
      <w:pPr>
        <w:pStyle w:val="TITO2"/>
      </w:pPr>
      <w:bookmarkStart w:id="434" w:name="_Toc392856258"/>
      <w:bookmarkStart w:id="435" w:name="_Toc399335528"/>
      <w:bookmarkStart w:id="436" w:name="_Toc421025475"/>
      <w:bookmarkStart w:id="437" w:name="_Toc470855578"/>
      <w:bookmarkStart w:id="438" w:name="LEY29869"/>
      <w:r w:rsidRPr="006312E8">
        <w:t>LEY Nº 29869</w:t>
      </w:r>
      <w:bookmarkEnd w:id="434"/>
      <w:bookmarkEnd w:id="435"/>
      <w:bookmarkEnd w:id="436"/>
      <w:bookmarkEnd w:id="437"/>
    </w:p>
    <w:bookmarkEnd w:id="438"/>
    <w:p w:rsidR="006312E8" w:rsidRPr="006312E8" w:rsidRDefault="006312E8" w:rsidP="006312E8">
      <w:pPr>
        <w:spacing w:after="0" w:line="240" w:lineRule="auto"/>
        <w:contextualSpacing/>
        <w:jc w:val="center"/>
        <w:rPr>
          <w:rFonts w:ascii="Arial" w:eastAsia="Calibri" w:hAnsi="Arial" w:cs="Arial"/>
          <w:b/>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Ley de reasentamiento poblacional para zonas de muy alto riesgo no mitigable</w:t>
      </w:r>
    </w:p>
    <w:p w:rsidR="006312E8" w:rsidRPr="006312E8" w:rsidRDefault="006312E8" w:rsidP="006312E8">
      <w:pPr>
        <w:spacing w:after="0" w:line="240" w:lineRule="auto"/>
        <w:contextualSpacing/>
        <w:jc w:val="center"/>
        <w:rPr>
          <w:rFonts w:ascii="Arial" w:eastAsia="Calibri" w:hAnsi="Arial" w:cs="Arial"/>
          <w:b/>
          <w:lang w:val="es-ES"/>
        </w:rPr>
      </w:pPr>
    </w:p>
    <w:p w:rsidR="006312E8" w:rsidRPr="006312E8" w:rsidRDefault="006312E8" w:rsidP="006312E8">
      <w:pPr>
        <w:spacing w:after="0" w:line="240" w:lineRule="auto"/>
        <w:contextualSpacing/>
        <w:jc w:val="right"/>
        <w:rPr>
          <w:rFonts w:ascii="Arial" w:eastAsia="Calibri" w:hAnsi="Arial" w:cs="Arial"/>
          <w:b/>
          <w:lang w:val="es-ES"/>
        </w:rPr>
      </w:pPr>
      <w:r w:rsidRPr="006312E8">
        <w:rPr>
          <w:rFonts w:ascii="Arial" w:eastAsia="Calibri" w:hAnsi="Arial" w:cs="Arial"/>
          <w:b/>
          <w:lang w:val="es-ES"/>
        </w:rPr>
        <w:t>Fecha de publicación: 20-05-2012</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EL PRESIDENTE DE LA REPÚBLICA</w:t>
      </w: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POR CUANTO: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EL CONGRESO DE LA REPÚBLICA;</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Ha dado la Ley siguiente: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LEY DE REASENTAMIENTO POBLACIONAL PARA ZONAS DE MUY ALTO RIESGO NO MITIGABLE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 Objeto de la Ley</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Declárase de necesidad pública e interés nacional el reasentamiento poblacional de las personas ubicadas en zonas de muy alto riesgo no mitigable dentro del territorio nacional.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2. Fines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 Ley tiene los siguientes fines: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2"/>
          <w:numId w:val="218"/>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Proteger la vida y el bienestar público.</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92471C">
      <w:pPr>
        <w:numPr>
          <w:ilvl w:val="2"/>
          <w:numId w:val="218"/>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Garantizar los derechos e intereses de la población de las zonas declaradas de muy alto riesgo no mitigable.</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92471C">
      <w:pPr>
        <w:numPr>
          <w:ilvl w:val="2"/>
          <w:numId w:val="218"/>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Proteger la inversión en equipamiento y servicios dirigida a los centros poblados y población dispersa.</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92471C">
      <w:pPr>
        <w:numPr>
          <w:ilvl w:val="2"/>
          <w:numId w:val="218"/>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Proteger el patrimonio privado de la población.</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92471C">
      <w:pPr>
        <w:numPr>
          <w:ilvl w:val="2"/>
          <w:numId w:val="218"/>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Contribuir a la sostenibilidad de la inversión pública en infraestructura social y económica.</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92471C">
      <w:pPr>
        <w:numPr>
          <w:ilvl w:val="2"/>
          <w:numId w:val="218"/>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Contribuir a prevenir y disminuir los riesgos de desastre.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3. Ámbito de aplicación</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 Ley, así como sus normas complementarias y reglamentarias, se aplica a los procesos de reasentamiento poblacional de zonas de muy alto riesgo no mitigable y son de obligatorio cumplimiento por las entidades del Estado, personas naturales o jurídicas, públicas o privadas, que se encuentran dentro del territorio de la República y que participan en un reasentamiento poblacional.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No están comprendidos los procesos de reasentamiento particular que son dirigidos por entidades del sector privado en coordinación con los gobiernos locales, correspondiendo a estas asumir la responsabilidad por dichos procesos.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4. Definiciones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numPr>
          <w:ilvl w:val="1"/>
          <w:numId w:val="25"/>
        </w:numPr>
        <w:spacing w:after="0" w:line="240" w:lineRule="auto"/>
        <w:ind w:left="567"/>
        <w:contextualSpacing/>
        <w:jc w:val="both"/>
        <w:rPr>
          <w:rFonts w:ascii="Arial" w:eastAsia="Calibri" w:hAnsi="Arial" w:cs="Arial"/>
          <w:b/>
          <w:lang w:val="es-ES"/>
        </w:rPr>
      </w:pPr>
      <w:r w:rsidRPr="006312E8">
        <w:rPr>
          <w:rFonts w:ascii="Arial" w:eastAsia="Calibri" w:hAnsi="Arial" w:cs="Arial"/>
          <w:b/>
          <w:lang w:val="es-ES"/>
        </w:rPr>
        <w:t>Zona de peligro.</w:t>
      </w:r>
    </w:p>
    <w:p w:rsidR="006312E8" w:rsidRPr="006312E8" w:rsidRDefault="006312E8" w:rsidP="006312E8">
      <w:p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Aquella expuesta a un evento de origen natural, socionatural o a causas humanas que, por su magnitud y características, pueden causar daño. El nivel del peligro depende de la intensidad, localización, área de impacto, duración y período de recurrencia.</w:t>
      </w:r>
    </w:p>
    <w:p w:rsidR="006312E8" w:rsidRDefault="006312E8" w:rsidP="006312E8">
      <w:pPr>
        <w:spacing w:after="0" w:line="240" w:lineRule="auto"/>
        <w:ind w:left="567"/>
        <w:contextualSpacing/>
        <w:jc w:val="both"/>
        <w:rPr>
          <w:rFonts w:ascii="Arial" w:eastAsia="Calibri" w:hAnsi="Arial" w:cs="Arial"/>
          <w:b/>
          <w:lang w:val="es-ES"/>
        </w:rPr>
      </w:pPr>
    </w:p>
    <w:p w:rsidR="00246CE9" w:rsidRDefault="00246CE9" w:rsidP="006312E8">
      <w:pPr>
        <w:spacing w:after="0" w:line="240" w:lineRule="auto"/>
        <w:ind w:left="567"/>
        <w:contextualSpacing/>
        <w:jc w:val="both"/>
        <w:rPr>
          <w:rFonts w:ascii="Arial" w:eastAsia="Calibri" w:hAnsi="Arial" w:cs="Arial"/>
          <w:b/>
          <w:lang w:val="es-ES"/>
        </w:rPr>
      </w:pPr>
    </w:p>
    <w:p w:rsidR="00246CE9" w:rsidRPr="006312E8" w:rsidRDefault="00246CE9" w:rsidP="006312E8">
      <w:pPr>
        <w:spacing w:after="0" w:line="240" w:lineRule="auto"/>
        <w:ind w:left="567"/>
        <w:contextualSpacing/>
        <w:jc w:val="both"/>
        <w:rPr>
          <w:rFonts w:ascii="Arial" w:eastAsia="Calibri" w:hAnsi="Arial" w:cs="Arial"/>
          <w:b/>
          <w:lang w:val="es-ES"/>
        </w:rPr>
      </w:pPr>
    </w:p>
    <w:p w:rsidR="006312E8" w:rsidRPr="006312E8" w:rsidRDefault="006312E8" w:rsidP="006312E8">
      <w:pPr>
        <w:numPr>
          <w:ilvl w:val="1"/>
          <w:numId w:val="25"/>
        </w:numPr>
        <w:spacing w:after="0" w:line="240" w:lineRule="auto"/>
        <w:ind w:left="567"/>
        <w:contextualSpacing/>
        <w:jc w:val="both"/>
        <w:rPr>
          <w:rFonts w:ascii="Arial" w:eastAsia="Calibri" w:hAnsi="Arial" w:cs="Arial"/>
          <w:b/>
          <w:lang w:val="es-ES"/>
        </w:rPr>
      </w:pPr>
      <w:r w:rsidRPr="006312E8">
        <w:rPr>
          <w:rFonts w:ascii="Arial" w:eastAsia="Calibri" w:hAnsi="Arial" w:cs="Arial"/>
          <w:b/>
          <w:lang w:val="es-ES"/>
        </w:rPr>
        <w:t>Zona de riesgo.</w:t>
      </w:r>
    </w:p>
    <w:p w:rsidR="006312E8" w:rsidRPr="006312E8" w:rsidRDefault="006312E8" w:rsidP="006312E8">
      <w:p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Aquella donde existe la probabilidad de que la población o sus medios de vida sufran daños a consecuencia del impacto de un peligro. El riesgo se evalúa en función del peligro y la vulnerabilidad.</w:t>
      </w:r>
    </w:p>
    <w:p w:rsidR="006312E8" w:rsidRPr="006312E8" w:rsidRDefault="006312E8" w:rsidP="006312E8">
      <w:pPr>
        <w:spacing w:after="0" w:line="240" w:lineRule="auto"/>
        <w:ind w:left="567"/>
        <w:contextualSpacing/>
        <w:jc w:val="both"/>
        <w:rPr>
          <w:rFonts w:ascii="Arial" w:eastAsia="Calibri" w:hAnsi="Arial" w:cs="Arial"/>
          <w:b/>
          <w:lang w:val="es-ES"/>
        </w:rPr>
      </w:pPr>
    </w:p>
    <w:p w:rsidR="006312E8" w:rsidRPr="006312E8" w:rsidRDefault="006312E8" w:rsidP="006312E8">
      <w:pPr>
        <w:numPr>
          <w:ilvl w:val="1"/>
          <w:numId w:val="25"/>
        </w:numPr>
        <w:spacing w:after="0" w:line="240" w:lineRule="auto"/>
        <w:ind w:left="567"/>
        <w:contextualSpacing/>
        <w:jc w:val="both"/>
        <w:rPr>
          <w:rFonts w:ascii="Arial" w:eastAsia="Calibri" w:hAnsi="Arial" w:cs="Arial"/>
          <w:b/>
          <w:lang w:val="es-ES"/>
        </w:rPr>
      </w:pPr>
      <w:r w:rsidRPr="006312E8">
        <w:rPr>
          <w:rFonts w:ascii="Arial" w:eastAsia="Calibri" w:hAnsi="Arial" w:cs="Arial"/>
          <w:b/>
          <w:lang w:val="es-ES"/>
        </w:rPr>
        <w:t>Zona desocupada.</w:t>
      </w:r>
    </w:p>
    <w:p w:rsidR="006312E8" w:rsidRPr="006312E8" w:rsidRDefault="006312E8" w:rsidP="006312E8">
      <w:p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Aquella que resulta luego de la ejecución del plan de reasentamiento, cuya administración está a cargo de la municipalidad distrital correspondiente.</w:t>
      </w:r>
    </w:p>
    <w:p w:rsidR="006312E8" w:rsidRPr="006312E8" w:rsidRDefault="006312E8" w:rsidP="006312E8">
      <w:pPr>
        <w:spacing w:after="0" w:line="240" w:lineRule="auto"/>
        <w:ind w:left="567"/>
        <w:contextualSpacing/>
        <w:jc w:val="both"/>
        <w:rPr>
          <w:rFonts w:ascii="Arial" w:eastAsia="Calibri" w:hAnsi="Arial" w:cs="Arial"/>
          <w:b/>
          <w:lang w:val="es-ES"/>
        </w:rPr>
      </w:pPr>
    </w:p>
    <w:p w:rsidR="006312E8" w:rsidRPr="006312E8" w:rsidRDefault="006312E8" w:rsidP="006312E8">
      <w:pPr>
        <w:numPr>
          <w:ilvl w:val="1"/>
          <w:numId w:val="25"/>
        </w:numPr>
        <w:spacing w:after="0" w:line="240" w:lineRule="auto"/>
        <w:ind w:left="567"/>
        <w:contextualSpacing/>
        <w:jc w:val="both"/>
        <w:rPr>
          <w:rFonts w:ascii="Arial" w:eastAsia="Calibri" w:hAnsi="Arial" w:cs="Arial"/>
          <w:b/>
          <w:lang w:val="es-ES"/>
        </w:rPr>
      </w:pPr>
      <w:r w:rsidRPr="006312E8">
        <w:rPr>
          <w:rFonts w:ascii="Arial" w:eastAsia="Calibri" w:hAnsi="Arial" w:cs="Arial"/>
          <w:b/>
          <w:lang w:val="es-ES"/>
        </w:rPr>
        <w:t>Zona de muy alto riesgo no mitigable.</w:t>
      </w:r>
    </w:p>
    <w:p w:rsidR="006312E8" w:rsidRPr="006312E8" w:rsidRDefault="006312E8" w:rsidP="006312E8">
      <w:p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Aquella donde existe la probabilidad de que la población o sus medios de vida sufran daños o pérdidas a consecuencia del impacto de un peligro, y que la implementación de medidas de mitigación resultan de mayor costo y complejidad que llevar a cabo la reubicación de las viviendas y equipamiento urbano respectivo.</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6312E8">
      <w:pPr>
        <w:numPr>
          <w:ilvl w:val="1"/>
          <w:numId w:val="25"/>
        </w:numPr>
        <w:spacing w:after="0" w:line="240" w:lineRule="auto"/>
        <w:ind w:left="567"/>
        <w:contextualSpacing/>
        <w:jc w:val="both"/>
        <w:rPr>
          <w:rFonts w:ascii="Arial" w:eastAsia="Calibri" w:hAnsi="Arial" w:cs="Arial"/>
          <w:b/>
          <w:lang w:val="es-ES"/>
        </w:rPr>
      </w:pPr>
      <w:r w:rsidRPr="006312E8">
        <w:rPr>
          <w:rFonts w:ascii="Arial" w:eastAsia="Calibri" w:hAnsi="Arial" w:cs="Arial"/>
          <w:b/>
          <w:lang w:val="es-ES"/>
        </w:rPr>
        <w:t>Zona de acogida.</w:t>
      </w:r>
    </w:p>
    <w:p w:rsidR="006312E8" w:rsidRPr="006312E8" w:rsidRDefault="006312E8" w:rsidP="006312E8">
      <w:p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Aquella que, como resultado del estudio técnico y dadas sus mejores condiciones de seguridad frente al riesgo de desastre, es adecuada para la recepción de población en el marco de procesos de reasentamiento.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numPr>
          <w:ilvl w:val="1"/>
          <w:numId w:val="25"/>
        </w:numPr>
        <w:spacing w:after="0" w:line="240" w:lineRule="auto"/>
        <w:ind w:left="567"/>
        <w:contextualSpacing/>
        <w:jc w:val="both"/>
        <w:rPr>
          <w:rFonts w:ascii="Arial" w:eastAsia="Calibri" w:hAnsi="Arial" w:cs="Arial"/>
          <w:b/>
          <w:lang w:val="es-ES"/>
        </w:rPr>
      </w:pPr>
      <w:r w:rsidRPr="006312E8">
        <w:rPr>
          <w:rFonts w:ascii="Arial" w:eastAsia="Calibri" w:hAnsi="Arial" w:cs="Arial"/>
          <w:b/>
          <w:lang w:val="es-ES"/>
        </w:rPr>
        <w:t>Población en riesgo.</w:t>
      </w:r>
    </w:p>
    <w:p w:rsidR="006312E8" w:rsidRPr="006312E8" w:rsidRDefault="006312E8" w:rsidP="006312E8">
      <w:pPr>
        <w:spacing w:after="0" w:line="240" w:lineRule="auto"/>
        <w:ind w:left="567"/>
        <w:jc w:val="both"/>
        <w:rPr>
          <w:rFonts w:ascii="Arial" w:eastAsia="Calibri" w:hAnsi="Arial" w:cs="Arial"/>
          <w:lang w:val="es-ES"/>
        </w:rPr>
      </w:pPr>
      <w:r w:rsidRPr="006312E8">
        <w:rPr>
          <w:rFonts w:ascii="Arial" w:eastAsia="Calibri" w:hAnsi="Arial" w:cs="Arial"/>
          <w:lang w:val="es-ES"/>
        </w:rPr>
        <w:t>Aquella que tiene la probabilidad de sufrir daños o pérdidas a consecuencia del impacto de un peligro y que carece de recursos suficientes para trasladarse a un lugar con mejores condiciones de seguridad.</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2"/>
          <w:numId w:val="218"/>
        </w:numPr>
        <w:spacing w:after="0" w:line="240" w:lineRule="auto"/>
        <w:ind w:left="567"/>
        <w:contextualSpacing/>
        <w:jc w:val="both"/>
        <w:rPr>
          <w:rFonts w:ascii="Arial" w:eastAsia="Calibri" w:hAnsi="Arial" w:cs="Arial"/>
          <w:b/>
          <w:lang w:val="es-ES"/>
        </w:rPr>
      </w:pPr>
      <w:r w:rsidRPr="006312E8">
        <w:rPr>
          <w:rFonts w:ascii="Arial" w:eastAsia="Calibri" w:hAnsi="Arial" w:cs="Arial"/>
          <w:b/>
          <w:lang w:val="es-ES"/>
        </w:rPr>
        <w:t>Reasentamiento Poblacional.</w:t>
      </w:r>
    </w:p>
    <w:p w:rsidR="006312E8" w:rsidRPr="006312E8" w:rsidRDefault="006312E8" w:rsidP="006312E8">
      <w:p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Conjunto de acciones y actividades realizadas por el Estado necesarias para lograr el traslado de pobladores que se encuentran en zonas declaradas de muy alto riesgo no mitigable, a zonas con mejores condiciones de seguridad.</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5. Principios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Son principios del reasentamiento poblacional los siguientes: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567" w:hanging="283"/>
        <w:contextualSpacing/>
        <w:jc w:val="both"/>
        <w:rPr>
          <w:rFonts w:ascii="Arial" w:eastAsia="Calibri" w:hAnsi="Arial" w:cs="Arial"/>
          <w:b/>
          <w:lang w:val="es-ES"/>
        </w:rPr>
      </w:pPr>
      <w:r w:rsidRPr="006312E8">
        <w:rPr>
          <w:rFonts w:ascii="Arial" w:eastAsia="Calibri" w:hAnsi="Arial" w:cs="Arial"/>
          <w:b/>
          <w:lang w:val="es-ES"/>
        </w:rPr>
        <w:t xml:space="preserve">1. </w:t>
      </w:r>
      <w:r w:rsidRPr="006312E8">
        <w:rPr>
          <w:rFonts w:ascii="Arial" w:eastAsia="Calibri" w:hAnsi="Arial" w:cs="Arial"/>
          <w:b/>
          <w:lang w:val="es-ES"/>
        </w:rPr>
        <w:tab/>
        <w:t>Principio de legalidad</w:t>
      </w:r>
    </w:p>
    <w:p w:rsidR="006312E8" w:rsidRPr="006312E8" w:rsidRDefault="006312E8" w:rsidP="006312E8">
      <w:pPr>
        <w:spacing w:after="0" w:line="240" w:lineRule="auto"/>
        <w:ind w:left="567" w:hanging="283"/>
        <w:contextualSpacing/>
        <w:jc w:val="both"/>
        <w:rPr>
          <w:rFonts w:ascii="Arial" w:eastAsia="Calibri" w:hAnsi="Arial" w:cs="Arial"/>
          <w:lang w:val="es-ES"/>
        </w:rPr>
      </w:pPr>
      <w:r w:rsidRPr="006312E8">
        <w:rPr>
          <w:rFonts w:ascii="Arial" w:eastAsia="Calibri" w:hAnsi="Arial" w:cs="Arial"/>
          <w:lang w:val="es-ES"/>
        </w:rPr>
        <w:tab/>
        <w:t>El proceso de reasentamiento poblacional se rige por la Constitución Política del Perú y la ley, solo procede cuando existe una norma expresa que lo autoriza.</w:t>
      </w:r>
    </w:p>
    <w:p w:rsidR="006312E8" w:rsidRPr="006312E8" w:rsidRDefault="006312E8" w:rsidP="006312E8">
      <w:pPr>
        <w:spacing w:after="0" w:line="240" w:lineRule="auto"/>
        <w:ind w:left="567" w:hanging="283"/>
        <w:contextualSpacing/>
        <w:jc w:val="both"/>
        <w:rPr>
          <w:rFonts w:ascii="Arial" w:eastAsia="Calibri" w:hAnsi="Arial" w:cs="Arial"/>
          <w:lang w:val="es-ES"/>
        </w:rPr>
      </w:pPr>
    </w:p>
    <w:p w:rsidR="006312E8" w:rsidRPr="006312E8" w:rsidRDefault="006312E8" w:rsidP="006312E8">
      <w:pPr>
        <w:spacing w:after="0" w:line="240" w:lineRule="auto"/>
        <w:ind w:left="567" w:hanging="283"/>
        <w:contextualSpacing/>
        <w:jc w:val="both"/>
        <w:rPr>
          <w:rFonts w:ascii="Arial" w:eastAsia="Calibri" w:hAnsi="Arial" w:cs="Arial"/>
          <w:b/>
          <w:lang w:val="es-ES"/>
        </w:rPr>
      </w:pPr>
      <w:r w:rsidRPr="006312E8">
        <w:rPr>
          <w:rFonts w:ascii="Arial" w:eastAsia="Calibri" w:hAnsi="Arial" w:cs="Arial"/>
          <w:b/>
          <w:lang w:val="es-ES"/>
        </w:rPr>
        <w:t xml:space="preserve">2. </w:t>
      </w:r>
      <w:r w:rsidRPr="006312E8">
        <w:rPr>
          <w:rFonts w:ascii="Arial" w:eastAsia="Calibri" w:hAnsi="Arial" w:cs="Arial"/>
          <w:b/>
          <w:lang w:val="es-ES"/>
        </w:rPr>
        <w:tab/>
        <w:t>Principio de sostenibilidad</w:t>
      </w:r>
    </w:p>
    <w:p w:rsidR="006312E8" w:rsidRPr="006312E8" w:rsidRDefault="006312E8" w:rsidP="006312E8">
      <w:pPr>
        <w:spacing w:after="0" w:line="240" w:lineRule="auto"/>
        <w:ind w:left="567" w:hanging="283"/>
        <w:contextualSpacing/>
        <w:jc w:val="both"/>
        <w:rPr>
          <w:rFonts w:ascii="Arial" w:eastAsia="Calibri" w:hAnsi="Arial" w:cs="Arial"/>
          <w:lang w:val="es-ES"/>
        </w:rPr>
      </w:pPr>
      <w:r w:rsidRPr="006312E8">
        <w:rPr>
          <w:rFonts w:ascii="Arial" w:eastAsia="Calibri" w:hAnsi="Arial" w:cs="Arial"/>
          <w:lang w:val="es-ES"/>
        </w:rPr>
        <w:tab/>
        <w:t>Garantiza las condiciones previas al traslado, asegurando en lo posible el normal desarrollo de la vida de los pobladores y de sus actividades productivas, considerando los aspectos económicos, sociales, ambientales y proporcionando un nivel aceptable de vivienda y servicios.</w:t>
      </w:r>
    </w:p>
    <w:p w:rsidR="006312E8" w:rsidRPr="006312E8" w:rsidRDefault="006312E8" w:rsidP="006312E8">
      <w:pPr>
        <w:spacing w:after="0" w:line="240" w:lineRule="auto"/>
        <w:ind w:left="567" w:hanging="283"/>
        <w:contextualSpacing/>
        <w:jc w:val="both"/>
        <w:rPr>
          <w:rFonts w:ascii="Arial" w:eastAsia="Calibri" w:hAnsi="Arial" w:cs="Arial"/>
          <w:lang w:val="es-ES"/>
        </w:rPr>
      </w:pPr>
    </w:p>
    <w:p w:rsidR="006312E8" w:rsidRPr="006312E8" w:rsidRDefault="006312E8" w:rsidP="006312E8">
      <w:pPr>
        <w:spacing w:after="0" w:line="240" w:lineRule="auto"/>
        <w:ind w:left="567" w:hanging="283"/>
        <w:contextualSpacing/>
        <w:jc w:val="both"/>
        <w:rPr>
          <w:rFonts w:ascii="Arial" w:eastAsia="Calibri" w:hAnsi="Arial" w:cs="Arial"/>
          <w:b/>
          <w:lang w:val="es-ES"/>
        </w:rPr>
      </w:pPr>
      <w:r w:rsidRPr="006312E8">
        <w:rPr>
          <w:rFonts w:ascii="Arial" w:eastAsia="Calibri" w:hAnsi="Arial" w:cs="Arial"/>
          <w:b/>
          <w:lang w:val="es-ES"/>
        </w:rPr>
        <w:t xml:space="preserve">3. </w:t>
      </w:r>
      <w:r w:rsidRPr="006312E8">
        <w:rPr>
          <w:rFonts w:ascii="Arial" w:eastAsia="Calibri" w:hAnsi="Arial" w:cs="Arial"/>
          <w:b/>
          <w:lang w:val="es-ES"/>
        </w:rPr>
        <w:tab/>
        <w:t>Principio de igualdad</w:t>
      </w:r>
    </w:p>
    <w:p w:rsidR="006312E8" w:rsidRPr="006312E8" w:rsidRDefault="006312E8" w:rsidP="006312E8">
      <w:pPr>
        <w:spacing w:after="0" w:line="240" w:lineRule="auto"/>
        <w:ind w:left="567" w:hanging="283"/>
        <w:contextualSpacing/>
        <w:jc w:val="both"/>
        <w:rPr>
          <w:rFonts w:ascii="Arial" w:eastAsia="Calibri" w:hAnsi="Arial" w:cs="Arial"/>
          <w:lang w:val="es-ES"/>
        </w:rPr>
      </w:pPr>
      <w:r w:rsidRPr="006312E8">
        <w:rPr>
          <w:rFonts w:ascii="Arial" w:eastAsia="Calibri" w:hAnsi="Arial" w:cs="Arial"/>
          <w:lang w:val="es-ES"/>
        </w:rPr>
        <w:tab/>
        <w:t>Los reasentados disfrutan de los mismos derechos y libertades que la ley reconoce sin distinción alguna, promoviendo su inclusión y su participación efectiva, así como el respeto a las costumbres y particularidades propias de la zona donde se desarrolla el reasentamiento poblacional.</w:t>
      </w:r>
    </w:p>
    <w:p w:rsidR="006312E8" w:rsidRPr="006312E8" w:rsidRDefault="006312E8" w:rsidP="006312E8">
      <w:pPr>
        <w:spacing w:after="0" w:line="240" w:lineRule="auto"/>
        <w:ind w:left="567" w:hanging="283"/>
        <w:contextualSpacing/>
        <w:jc w:val="both"/>
        <w:rPr>
          <w:rFonts w:ascii="Arial" w:eastAsia="Calibri" w:hAnsi="Arial" w:cs="Arial"/>
          <w:lang w:val="es-ES"/>
        </w:rPr>
      </w:pPr>
    </w:p>
    <w:p w:rsidR="006312E8" w:rsidRPr="006312E8" w:rsidRDefault="006312E8" w:rsidP="006312E8">
      <w:pPr>
        <w:spacing w:after="0" w:line="240" w:lineRule="auto"/>
        <w:ind w:left="567" w:hanging="283"/>
        <w:contextualSpacing/>
        <w:jc w:val="both"/>
        <w:rPr>
          <w:rFonts w:ascii="Arial" w:eastAsia="Calibri" w:hAnsi="Arial" w:cs="Arial"/>
          <w:b/>
          <w:lang w:val="es-ES"/>
        </w:rPr>
      </w:pPr>
      <w:r w:rsidRPr="006312E8">
        <w:rPr>
          <w:rFonts w:ascii="Arial" w:eastAsia="Calibri" w:hAnsi="Arial" w:cs="Arial"/>
          <w:b/>
          <w:lang w:val="es-ES"/>
        </w:rPr>
        <w:t xml:space="preserve">4. </w:t>
      </w:r>
      <w:r w:rsidRPr="006312E8">
        <w:rPr>
          <w:rFonts w:ascii="Arial" w:eastAsia="Calibri" w:hAnsi="Arial" w:cs="Arial"/>
          <w:b/>
          <w:lang w:val="es-ES"/>
        </w:rPr>
        <w:tab/>
        <w:t>Principio de información</w:t>
      </w:r>
    </w:p>
    <w:p w:rsidR="006312E8" w:rsidRPr="006312E8" w:rsidRDefault="006312E8" w:rsidP="006312E8">
      <w:pPr>
        <w:spacing w:after="0" w:line="240" w:lineRule="auto"/>
        <w:ind w:left="567" w:hanging="283"/>
        <w:contextualSpacing/>
        <w:jc w:val="both"/>
        <w:rPr>
          <w:rFonts w:ascii="Arial" w:eastAsia="Calibri" w:hAnsi="Arial" w:cs="Arial"/>
          <w:lang w:val="es-ES"/>
        </w:rPr>
      </w:pPr>
      <w:r w:rsidRPr="006312E8">
        <w:rPr>
          <w:rFonts w:ascii="Arial" w:eastAsia="Calibri" w:hAnsi="Arial" w:cs="Arial"/>
          <w:lang w:val="es-ES"/>
        </w:rPr>
        <w:tab/>
        <w:t>Los pobladores que son reasentados tienen derecho a solicitar, acceder y recibir información, de manera adecuada y oportuna, sobre el plan de reasentamiento poblacional, su cronograma y las medidas adoptadas para su cumplimiento.</w:t>
      </w:r>
    </w:p>
    <w:p w:rsidR="006312E8" w:rsidRPr="006312E8" w:rsidRDefault="006312E8" w:rsidP="006312E8">
      <w:pPr>
        <w:spacing w:after="0" w:line="240" w:lineRule="auto"/>
        <w:ind w:left="567" w:hanging="283"/>
        <w:contextualSpacing/>
        <w:jc w:val="both"/>
        <w:rPr>
          <w:rFonts w:ascii="Arial" w:eastAsia="Calibri" w:hAnsi="Arial" w:cs="Arial"/>
          <w:lang w:val="es-ES"/>
        </w:rPr>
      </w:pPr>
    </w:p>
    <w:p w:rsidR="006312E8" w:rsidRPr="006312E8" w:rsidRDefault="006312E8" w:rsidP="006312E8">
      <w:pPr>
        <w:spacing w:after="0" w:line="240" w:lineRule="auto"/>
        <w:ind w:left="567" w:hanging="283"/>
        <w:contextualSpacing/>
        <w:jc w:val="both"/>
        <w:rPr>
          <w:rFonts w:ascii="Arial" w:eastAsia="Calibri" w:hAnsi="Arial" w:cs="Arial"/>
          <w:b/>
          <w:lang w:val="es-ES"/>
        </w:rPr>
      </w:pPr>
      <w:r w:rsidRPr="006312E8">
        <w:rPr>
          <w:rFonts w:ascii="Arial" w:eastAsia="Calibri" w:hAnsi="Arial" w:cs="Arial"/>
          <w:b/>
          <w:lang w:val="es-ES"/>
        </w:rPr>
        <w:t xml:space="preserve">5. </w:t>
      </w:r>
      <w:r w:rsidRPr="006312E8">
        <w:rPr>
          <w:rFonts w:ascii="Arial" w:eastAsia="Calibri" w:hAnsi="Arial" w:cs="Arial"/>
          <w:b/>
          <w:lang w:val="es-ES"/>
        </w:rPr>
        <w:tab/>
        <w:t>Principio de subsidiariedad</w:t>
      </w:r>
    </w:p>
    <w:p w:rsidR="006312E8" w:rsidRPr="006312E8" w:rsidRDefault="006312E8" w:rsidP="006312E8">
      <w:pPr>
        <w:spacing w:after="0" w:line="240" w:lineRule="auto"/>
        <w:ind w:left="567" w:hanging="283"/>
        <w:contextualSpacing/>
        <w:jc w:val="both"/>
        <w:rPr>
          <w:rFonts w:ascii="Arial" w:eastAsia="Calibri" w:hAnsi="Arial" w:cs="Arial"/>
          <w:lang w:val="es-ES"/>
        </w:rPr>
      </w:pPr>
      <w:r w:rsidRPr="006312E8">
        <w:rPr>
          <w:rFonts w:ascii="Arial" w:eastAsia="Calibri" w:hAnsi="Arial" w:cs="Arial"/>
          <w:lang w:val="es-ES"/>
        </w:rPr>
        <w:tab/>
        <w:t>Las capacidades del gobierno en sus distintos niveles para atender problemas vinculados al reasentamiento poblacional son distintas y ello depende de las dimensiones y del alcance de la problemática que exige ser resuelta de manera eficiente.</w:t>
      </w:r>
    </w:p>
    <w:p w:rsidR="006312E8" w:rsidRPr="006312E8" w:rsidRDefault="006312E8" w:rsidP="006312E8">
      <w:pPr>
        <w:spacing w:after="0" w:line="240" w:lineRule="auto"/>
        <w:ind w:left="567" w:hanging="283"/>
        <w:contextualSpacing/>
        <w:jc w:val="both"/>
        <w:rPr>
          <w:rFonts w:ascii="Arial" w:eastAsia="Calibri" w:hAnsi="Arial" w:cs="Arial"/>
          <w:lang w:val="es-ES"/>
        </w:rPr>
      </w:pPr>
    </w:p>
    <w:p w:rsidR="006312E8" w:rsidRPr="006312E8" w:rsidRDefault="006312E8" w:rsidP="006312E8">
      <w:pPr>
        <w:spacing w:after="0" w:line="240" w:lineRule="auto"/>
        <w:ind w:left="567" w:hanging="283"/>
        <w:contextualSpacing/>
        <w:jc w:val="both"/>
        <w:rPr>
          <w:rFonts w:ascii="Arial" w:eastAsia="Calibri" w:hAnsi="Arial" w:cs="Arial"/>
          <w:b/>
          <w:lang w:val="es-ES"/>
        </w:rPr>
      </w:pPr>
      <w:r w:rsidRPr="006312E8">
        <w:rPr>
          <w:rFonts w:ascii="Arial" w:eastAsia="Calibri" w:hAnsi="Arial" w:cs="Arial"/>
          <w:b/>
          <w:lang w:val="es-ES"/>
        </w:rPr>
        <w:t xml:space="preserve">6. </w:t>
      </w:r>
      <w:r w:rsidRPr="006312E8">
        <w:rPr>
          <w:rFonts w:ascii="Arial" w:eastAsia="Calibri" w:hAnsi="Arial" w:cs="Arial"/>
          <w:b/>
          <w:lang w:val="es-ES"/>
        </w:rPr>
        <w:tab/>
        <w:t>Principio de gradualidad</w:t>
      </w:r>
    </w:p>
    <w:p w:rsidR="006312E8" w:rsidRPr="006312E8" w:rsidRDefault="006312E8" w:rsidP="006312E8">
      <w:pPr>
        <w:spacing w:after="0" w:line="240" w:lineRule="auto"/>
        <w:ind w:left="567" w:hanging="283"/>
        <w:contextualSpacing/>
        <w:jc w:val="both"/>
        <w:rPr>
          <w:rFonts w:ascii="Arial" w:eastAsia="Calibri" w:hAnsi="Arial" w:cs="Arial"/>
          <w:lang w:val="es-ES"/>
        </w:rPr>
      </w:pPr>
      <w:r w:rsidRPr="006312E8">
        <w:rPr>
          <w:rFonts w:ascii="Arial" w:eastAsia="Calibri" w:hAnsi="Arial" w:cs="Arial"/>
          <w:lang w:val="es-ES"/>
        </w:rPr>
        <w:tab/>
        <w:t>Aun cuando se tengan determinadas las condiciones de muy alto riesgo no mitigable en la población, estas pueden variar en el nivel de urgencia para su reasentamiento con lo cual se requiere establecer prioridades para su atención progresiva.</w:t>
      </w:r>
    </w:p>
    <w:p w:rsidR="00246CE9" w:rsidRDefault="00246CE9"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6. Garantías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Son garantías del proceso de reasentamiento poblacional las siguientes: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numPr>
          <w:ilvl w:val="1"/>
          <w:numId w:val="24"/>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Se inicia luego de que las autoridades competentes hayan estudiado las alternativas viables para evitarlo.</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6312E8">
      <w:pPr>
        <w:numPr>
          <w:ilvl w:val="1"/>
          <w:numId w:val="24"/>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El Estado adopta las medidas necesarias para reducir el número de pobladores a reasentar, así como sus efectos adversos.</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6312E8">
      <w:pPr>
        <w:numPr>
          <w:ilvl w:val="1"/>
          <w:numId w:val="24"/>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Los pobladores participan de manera organizada y conjunta con el Estado en la planificación del reasentamiento, cuando las circunstancias lo permiten, asumiendo compromisos en el proceso a fin de alcanzar resultados apropiados, concertados y sostenibles.</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6312E8">
      <w:pPr>
        <w:numPr>
          <w:ilvl w:val="1"/>
          <w:numId w:val="24"/>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Se ejecuta cuando se emita norma que lo autoriza, sustentada únicamente en las causales establecidas por la Ley.</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6312E8">
      <w:pPr>
        <w:numPr>
          <w:ilvl w:val="1"/>
          <w:numId w:val="24"/>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Los pobladores reciben ayuda del gobierno local competente para el traslado al lugar de reasentamiento, el que presta especial atención a las necesidades de los grupos en condiciones de pobreza. El gobierno regional puede colaborar con el traslado.</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6312E8">
      <w:pPr>
        <w:numPr>
          <w:ilvl w:val="1"/>
          <w:numId w:val="24"/>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En la zona de acogida se elaboran los instrumentos de planificación y control que permitan su ocupación y crecimiento ordenado, respetando los aspectos culturales de los ámbitos rurales y urbanos, según las normas vigentes.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7. Tipos de reasentamiento poblacional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142"/>
        <w:contextualSpacing/>
        <w:jc w:val="both"/>
        <w:rPr>
          <w:rFonts w:ascii="Arial" w:eastAsia="Calibri" w:hAnsi="Arial" w:cs="Arial"/>
          <w:b/>
          <w:lang w:val="es-ES"/>
        </w:rPr>
      </w:pPr>
      <w:r w:rsidRPr="006312E8">
        <w:rPr>
          <w:rFonts w:ascii="Arial" w:eastAsia="Calibri" w:hAnsi="Arial" w:cs="Arial"/>
          <w:b/>
          <w:lang w:val="es-ES"/>
        </w:rPr>
        <w:t>1.  Reasentamiento voluntario.</w:t>
      </w:r>
    </w:p>
    <w:p w:rsidR="006312E8" w:rsidRPr="006312E8" w:rsidRDefault="006312E8" w:rsidP="006312E8">
      <w:p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Cuando la población ubicada en zonas de muy alto riesgo no mitigable acepta ser trasladada a otra ubicación que brinda mayor seguridad.</w:t>
      </w:r>
    </w:p>
    <w:p w:rsidR="006312E8" w:rsidRPr="006312E8" w:rsidRDefault="006312E8" w:rsidP="006312E8">
      <w:pPr>
        <w:spacing w:after="0" w:line="240" w:lineRule="auto"/>
        <w:ind w:left="142"/>
        <w:contextualSpacing/>
        <w:jc w:val="both"/>
        <w:rPr>
          <w:rFonts w:ascii="Arial" w:eastAsia="Calibri" w:hAnsi="Arial" w:cs="Arial"/>
          <w:lang w:val="es-ES"/>
        </w:rPr>
      </w:pPr>
    </w:p>
    <w:p w:rsidR="006312E8" w:rsidRPr="006312E8" w:rsidRDefault="006312E8" w:rsidP="006312E8">
      <w:pPr>
        <w:spacing w:after="0" w:line="240" w:lineRule="auto"/>
        <w:ind w:left="142"/>
        <w:contextualSpacing/>
        <w:jc w:val="both"/>
        <w:rPr>
          <w:rFonts w:ascii="Arial" w:eastAsia="Calibri" w:hAnsi="Arial" w:cs="Arial"/>
          <w:b/>
          <w:lang w:val="es-ES"/>
        </w:rPr>
      </w:pPr>
      <w:r w:rsidRPr="006312E8">
        <w:rPr>
          <w:rFonts w:ascii="Arial" w:eastAsia="Calibri" w:hAnsi="Arial" w:cs="Arial"/>
          <w:b/>
          <w:lang w:val="es-ES"/>
        </w:rPr>
        <w:t>2.  Reasentamiento involuntario.</w:t>
      </w:r>
    </w:p>
    <w:p w:rsidR="006312E8" w:rsidRPr="006312E8" w:rsidRDefault="006312E8" w:rsidP="006312E8">
      <w:p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Cuando la población, a pesar de conocer que se encuentra ubicada en zonas declaradas de muy alto riesgo no mitigable, no acepta ser trasladada a otra ubicación que brinda mayor seguridad.</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8. Causal del reasentamiento poblacional</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Es causal de reasentamiento poblacional la declaración de zona de muy alto riesgo no mitigable asociada a peligros naturales, socionaturales o por causas humanas que ponen en peligro la vida de los pobladores.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 zona de muy alto riesgo no mitigable es declarada por acuerdo de concejo.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9. Plan de reasentamiento poblacional</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plan de reasentamiento poblacional es el documento de gestión que establece las acciones, las entidades intervinientes y sus responsabilidades, el plazo de ejecución y los costos, así como la información relacionada a la zona declarada de muy alto riesgo no mitigable, la evaluación de la población a reasentar de los predios afectados, el saneamiento físico legal de los predios a desocupar, el uso inmediato de las zonas desocupadas, la evaluación de la zona de acogida, los instrumentos disponibles para su ocupación segura, y cualquier otra información adicional que el órgano responsable estime conveniente señalar.</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plan de reasentamiento poblacional debe incluir los programas que puedan apoyar el mejoramiento de las viviendas que se entreguen a los pobladores que serán reasentados.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10. Estudio técnico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Corresponde a la municipalidad provincial o distrital, según corresponda, realizar el estudio técnico para la identificación y declaración de la zona de muy alto riesgo no mitigable, identificar y priorizar al grupo de pobladores que requiere ser reasentado, la identificación de la zona de acogida y la estimación del costo del reasentamiento con apoyo del gobierno regional y las municipalidades distritales involucradas, en concordancia con las normas vigentes sobre acondicionamiento territorial y desarrollo urbano.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11. Solicitud de reasentamiento poblacional</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gobierno local competente presenta la solicitud de reasentamiento poblacional al órgano técnico, luego de haber declarado mediante acuerdo de concejo la zona como de muy alto riesgo no mitigable, indicando los datos del grupo priorizado de pobladores a reasentar, los costos estimados y la identificación de la zona de acogida.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12. Criterios de priorización del reasentamiento poblacional</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Son criterios de priorización del reasentamiento poblacional los siguientes: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numPr>
          <w:ilvl w:val="1"/>
          <w:numId w:val="22"/>
        </w:num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Magnitud de los riesgos identificados.</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numPr>
          <w:ilvl w:val="1"/>
          <w:numId w:val="22"/>
        </w:num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Grado de inminencia de manifestación del peligro.</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numPr>
          <w:ilvl w:val="1"/>
          <w:numId w:val="22"/>
        </w:num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El gobierno local presta atención especial a las necesidades de los grupos en condiciones de pobreza, sobre la base de la evaluación de elegibilidad realizada por el Sistema de Focalización de Hogares (Sisfoh).</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Las acciones priorizadas de reasentamiento poblacional se incluyen en el Plan Operativo Multianual de la entidad competente.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13. Competencia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tabs>
          <w:tab w:val="left" w:pos="851"/>
        </w:tabs>
        <w:spacing w:after="0" w:line="240" w:lineRule="auto"/>
        <w:ind w:left="851" w:hanging="567"/>
        <w:jc w:val="both"/>
        <w:rPr>
          <w:rFonts w:ascii="Arial" w:eastAsia="Calibri" w:hAnsi="Arial" w:cs="Arial"/>
          <w:lang w:val="es-ES"/>
        </w:rPr>
      </w:pPr>
      <w:r w:rsidRPr="006312E8">
        <w:rPr>
          <w:rFonts w:ascii="Arial" w:eastAsia="Calibri" w:hAnsi="Arial" w:cs="Arial"/>
          <w:lang w:val="es-ES"/>
        </w:rPr>
        <w:t xml:space="preserve">13.1 </w:t>
      </w:r>
      <w:r w:rsidRPr="006312E8">
        <w:rPr>
          <w:rFonts w:ascii="Arial" w:eastAsia="Calibri" w:hAnsi="Arial" w:cs="Arial"/>
          <w:lang w:val="es-ES"/>
        </w:rPr>
        <w:tab/>
        <w:t>El Centro Nacional de Estimación, Prevención y Reducción del Riesgo de Desastres (Cenepred) dicta los lineamientos generales para la elaboración del estudio técnico y del plan de reasentamiento poblacional.</w:t>
      </w:r>
    </w:p>
    <w:p w:rsidR="006312E8" w:rsidRPr="006312E8" w:rsidRDefault="006312E8" w:rsidP="006312E8">
      <w:pPr>
        <w:tabs>
          <w:tab w:val="left" w:pos="851"/>
        </w:tabs>
        <w:spacing w:after="0" w:line="240" w:lineRule="auto"/>
        <w:ind w:left="851" w:hanging="567"/>
        <w:contextualSpacing/>
        <w:jc w:val="both"/>
        <w:rPr>
          <w:rFonts w:ascii="Arial" w:eastAsia="Calibri" w:hAnsi="Arial" w:cs="Arial"/>
          <w:lang w:val="es-ES"/>
        </w:rPr>
      </w:pPr>
    </w:p>
    <w:p w:rsidR="006312E8" w:rsidRPr="006312E8" w:rsidRDefault="006312E8" w:rsidP="006312E8">
      <w:pPr>
        <w:tabs>
          <w:tab w:val="left" w:pos="851"/>
        </w:tabs>
        <w:spacing w:after="0" w:line="240" w:lineRule="auto"/>
        <w:ind w:left="851" w:hanging="567"/>
        <w:jc w:val="both"/>
        <w:rPr>
          <w:rFonts w:ascii="Arial" w:eastAsia="Calibri" w:hAnsi="Arial" w:cs="Arial"/>
          <w:lang w:val="es-ES"/>
        </w:rPr>
      </w:pPr>
      <w:r w:rsidRPr="006312E8">
        <w:rPr>
          <w:rFonts w:ascii="Arial" w:eastAsia="Calibri" w:hAnsi="Arial" w:cs="Arial"/>
          <w:lang w:val="es-ES"/>
        </w:rPr>
        <w:t xml:space="preserve">13.2 </w:t>
      </w:r>
      <w:r w:rsidRPr="006312E8">
        <w:rPr>
          <w:rFonts w:ascii="Arial" w:eastAsia="Calibri" w:hAnsi="Arial" w:cs="Arial"/>
          <w:lang w:val="es-ES"/>
        </w:rPr>
        <w:tab/>
        <w:t>El Instituto de Defensa Civil, en los casos de peligro inminente, coordina con los órganos ejecutores del reasentamiento poblacional de conformidad con lo dispuesto por la Ley 29664, Ley que crea el Sistema Nacional de Gestión del Riesgo de Desastres (Sinagerd).</w:t>
      </w:r>
    </w:p>
    <w:p w:rsidR="006312E8" w:rsidRPr="006312E8" w:rsidRDefault="006312E8" w:rsidP="006312E8">
      <w:pPr>
        <w:tabs>
          <w:tab w:val="left" w:pos="851"/>
        </w:tabs>
        <w:spacing w:after="0" w:line="240" w:lineRule="auto"/>
        <w:ind w:left="851" w:hanging="567"/>
        <w:contextualSpacing/>
        <w:jc w:val="both"/>
        <w:rPr>
          <w:rFonts w:ascii="Arial" w:eastAsia="Calibri" w:hAnsi="Arial" w:cs="Arial"/>
          <w:lang w:val="es-ES"/>
        </w:rPr>
      </w:pPr>
    </w:p>
    <w:p w:rsidR="006312E8" w:rsidRPr="006312E8" w:rsidRDefault="006312E8" w:rsidP="006312E8">
      <w:pPr>
        <w:tabs>
          <w:tab w:val="left" w:pos="851"/>
        </w:tabs>
        <w:spacing w:after="0" w:line="240" w:lineRule="auto"/>
        <w:ind w:left="851" w:hanging="567"/>
        <w:jc w:val="both"/>
        <w:rPr>
          <w:rFonts w:ascii="Arial" w:eastAsia="Calibri" w:hAnsi="Arial" w:cs="Arial"/>
          <w:lang w:val="es-ES"/>
        </w:rPr>
      </w:pPr>
      <w:r w:rsidRPr="006312E8">
        <w:rPr>
          <w:rFonts w:ascii="Arial" w:eastAsia="Calibri" w:hAnsi="Arial" w:cs="Arial"/>
          <w:lang w:val="es-ES"/>
        </w:rPr>
        <w:t xml:space="preserve">13.3 </w:t>
      </w:r>
      <w:r w:rsidRPr="006312E8">
        <w:rPr>
          <w:rFonts w:ascii="Arial" w:eastAsia="Calibri" w:hAnsi="Arial" w:cs="Arial"/>
          <w:lang w:val="es-ES"/>
        </w:rPr>
        <w:tab/>
        <w:t>En base al estudio técnico y costos estimados, se determina la entidad competente para la ejecución del reasentamiento, que está a cargo de la municipalidad distrital o provincial respectiva.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14. Entidades de colaboración</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Son entidades de colaboración los gobiernos regionales y el Centro Nacional de Estimación, Prevención y Reducción del Riesgo de Desastres (Cenepred). Proporcionan asistencia técnica para la elaboración del estudio técnico y del plan de reasentamiento poblacional, asimismo asisten en la gestión de iniciativas para lograr el financiamiento.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15. Órgano técnico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Programa Nuestras Ciudades, o el que corresponda, del Ministerio de Vivienda, Construcción y Saneamiento es el órgano técnico que emite opinión sobre la viabilidad de un proceso de reasentamiento poblacional.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Tiene las siguientes funciones: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2"/>
          <w:numId w:val="252"/>
        </w:num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Evaluar el estudio técnico y el plan de reasentamiento poblacional presentado por el gobierno local y, de ser necesario, solicitar información complementaria según los criterios técnicos formulados en el reglamento.</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92471C">
      <w:pPr>
        <w:numPr>
          <w:ilvl w:val="2"/>
          <w:numId w:val="252"/>
        </w:num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Emitir opinión sobre la solicitud de reasentamiento poblacional.</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92471C">
      <w:pPr>
        <w:numPr>
          <w:ilvl w:val="2"/>
          <w:numId w:val="252"/>
        </w:num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Poner en conocimiento del Centro Nacional de Estimación, Prevención y Reducción del Riesgo de Desastres (Cenepred) la viabilidad de la solicitud de reasentamiento poblacional y, en caso de que no recomiende su aprobación, proponer las acciones de mitigación.</w:t>
      </w: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16. Aprobación de la solicitud</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 propuesta del Centro Nacional de Estimación, Prevención y Reducción del Riesgo de Desastres (Cenepred), la Presidencia del Consejo de Ministros, mediante resolución ministerial, aprueba la solicitud de reasentamiento poblacional.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17. Participación ciudadana</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Los pobladores a ser reasentados participan, con la disponibilidad necesaria, en el proceso de reasentamiento poblacional para su correcto cumplimiento.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18. Reserva para la zona de acogida</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Para determinar la zona de acogida se requiere identificar y evaluar las condiciones de seguridad del terreno frente a los riesgos de desastre.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Cuando el terreno es de propiedad del Estado, administrado por la Superintendencia Nacional de Bienes Estatales o por el gobierno regional, realizan las acciones de saneamiento físico legal para su posterior adjudicación a favor de la municipalidad distrital.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En este caso, la municipalidad distrital solicita la reserva a la Superintendencia Nacional de Bienes Estatales o al gobierno regional, la cual tiene prioridad sobre otra presentada por diferente motivo.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Cuando la zona de acogida es de propiedad de la municipalidad distrital o esta la adquiera, se aplica lo dispuesto por la Ley 27972, Ley Orgánica de Municipalidades.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19. Zona desocupada</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gobierno local competente realiza las acciones necesarias a fin de cambiar el uso del suelo del terreno declarado como de muy alto riesgo no mitigable, asignándole un uso distinto al urbano para evitar su repoblamiento con fines de vivienda. En caso fuere de propiedad privada, se incorpora al dominio público a fin de evitar su posterior ocupación o facilitar su desocupación cuando corresponda.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Identificada la zona de muy alto riesgo no mitigable desocupada, se declara de oficio zona inhabitable y de dominio público.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Ministerio Público debe iniciar las acciones penales contra quienes promueven o incentivan ocupaciones ilegales de terrenos en zonas de muy alto riesgo no mitigable, declaradas o no, según las normas de la materia.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20.- Nueva vivienda</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 nueva vivienda cuenta con servicios básicos y mejores condiciones de seguridad frente al riesgo de desastre, de acuerdo a lo previsto en el plan de reasentamiento poblacional.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21. Prohibición de ocupar zonas de muy alto riesgo no mitigable</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Está prohibido ocupar zonas declaradas de muy alto riesgo no mitigable para fines de vivienda o cualquier otro que ponga en riesgo la vida o integridad de las personas. Corresponde a la municipalidad distrital ejecutar las acciones administrativas y legales que correspondan para el cumplimiento de la ley y a la municipalidad provincial brindar el apoyo necesario.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No se puede dotar de servicios públicos a los asentamientos poblacionales que ocupen zonas declaradas de muy alto riesgo no mitigable, bajo responsabilidad.</w:t>
      </w: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22. Cumplimiento del plan de reasentamiento poblacional</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Las entidades competentes en la ejecución del reasentamiento poblacional están obligadas a cumplir estrictamente con el plan de reasentamiento poblacional aprobado por el órgano técnico, bajo responsabilidad funcional.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23. Conservación de la información</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órgano técnico es el responsable de custodiar la información que forma parte del procedimiento de reasentamiento poblacional de conformidad con lo dispuesto por la Ley 27806, Ley de Transparencia y Acceso a la Información Pública.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24. Financiamiento del plan de reasentamiento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851" w:hanging="567"/>
        <w:contextualSpacing/>
        <w:jc w:val="both"/>
        <w:rPr>
          <w:rFonts w:ascii="Arial" w:eastAsia="Calibri" w:hAnsi="Arial" w:cs="Arial"/>
          <w:lang w:val="es-ES"/>
        </w:rPr>
      </w:pPr>
      <w:r w:rsidRPr="006312E8">
        <w:rPr>
          <w:rFonts w:ascii="Arial" w:eastAsia="Calibri" w:hAnsi="Arial" w:cs="Arial"/>
          <w:lang w:val="es-ES"/>
        </w:rPr>
        <w:t xml:space="preserve">24.1 </w:t>
      </w:r>
      <w:r w:rsidRPr="006312E8">
        <w:rPr>
          <w:rFonts w:ascii="Arial" w:eastAsia="Calibri" w:hAnsi="Arial" w:cs="Arial"/>
          <w:lang w:val="es-ES"/>
        </w:rPr>
        <w:tab/>
        <w:t>Los gobiernos locales que ejecutan el plan de reasentamiento poblacional, utilizan los recursos que reciben por concepto de canon y sobrecanon y de regalía minera para financiar la ejecución de dicho plan, en lo que respecta a los proyectos de inversión pública. En caso de que el gobierno local competente según lo dispuesto por el artículo 13, no cuente con los recursos suficientes para dicho fin, el gobierno regional respectivo otorga recursos de las mismas fuentes de financiamiento al gobierno local, para iniciar el procedimiento de reasentamiento poblacional.</w:t>
      </w:r>
    </w:p>
    <w:p w:rsidR="006312E8" w:rsidRPr="006312E8" w:rsidRDefault="006312E8" w:rsidP="006312E8">
      <w:pPr>
        <w:spacing w:after="0" w:line="240" w:lineRule="auto"/>
        <w:ind w:left="851" w:hanging="567"/>
        <w:contextualSpacing/>
        <w:jc w:val="both"/>
        <w:rPr>
          <w:rFonts w:ascii="Arial" w:eastAsia="Calibri" w:hAnsi="Arial" w:cs="Arial"/>
          <w:lang w:val="es-ES"/>
        </w:rPr>
      </w:pPr>
    </w:p>
    <w:p w:rsidR="006312E8" w:rsidRPr="006312E8" w:rsidRDefault="006312E8" w:rsidP="006312E8">
      <w:pPr>
        <w:spacing w:after="0" w:line="240" w:lineRule="auto"/>
        <w:ind w:left="851" w:hanging="567"/>
        <w:contextualSpacing/>
        <w:jc w:val="both"/>
        <w:rPr>
          <w:rFonts w:ascii="Arial" w:eastAsia="Calibri" w:hAnsi="Arial" w:cs="Arial"/>
          <w:lang w:val="es-ES"/>
        </w:rPr>
      </w:pPr>
      <w:r w:rsidRPr="006312E8">
        <w:rPr>
          <w:rFonts w:ascii="Arial" w:eastAsia="Calibri" w:hAnsi="Arial" w:cs="Arial"/>
          <w:lang w:val="es-ES"/>
        </w:rPr>
        <w:tab/>
        <w:t>Se puede hacer uso de recursos del Gobierno Nacional, según la disponibilidad presupuestal del sector a cargo, cuando el costo respectivo sobrepase la capacidad presupuestal del gobierno local y del gobierno regional.</w:t>
      </w:r>
    </w:p>
    <w:p w:rsidR="006312E8" w:rsidRPr="006312E8" w:rsidRDefault="006312E8" w:rsidP="006312E8">
      <w:pPr>
        <w:spacing w:after="0" w:line="240" w:lineRule="auto"/>
        <w:ind w:left="851" w:hanging="567"/>
        <w:contextualSpacing/>
        <w:jc w:val="both"/>
        <w:rPr>
          <w:rFonts w:ascii="Arial" w:eastAsia="Calibri" w:hAnsi="Arial" w:cs="Arial"/>
          <w:lang w:val="es-ES"/>
        </w:rPr>
      </w:pPr>
    </w:p>
    <w:p w:rsidR="006312E8" w:rsidRPr="006312E8" w:rsidRDefault="006312E8" w:rsidP="006312E8">
      <w:pPr>
        <w:spacing w:after="0" w:line="240" w:lineRule="auto"/>
        <w:ind w:left="851" w:hanging="567"/>
        <w:contextualSpacing/>
        <w:jc w:val="both"/>
        <w:rPr>
          <w:rFonts w:ascii="Arial" w:eastAsia="Calibri" w:hAnsi="Arial" w:cs="Arial"/>
          <w:lang w:val="es-ES"/>
        </w:rPr>
      </w:pPr>
      <w:r w:rsidRPr="006312E8">
        <w:rPr>
          <w:rFonts w:ascii="Arial" w:eastAsia="Calibri" w:hAnsi="Arial" w:cs="Arial"/>
          <w:lang w:val="es-ES"/>
        </w:rPr>
        <w:t xml:space="preserve">24.2 </w:t>
      </w:r>
      <w:r w:rsidRPr="006312E8">
        <w:rPr>
          <w:rFonts w:ascii="Arial" w:eastAsia="Calibri" w:hAnsi="Arial" w:cs="Arial"/>
          <w:lang w:val="es-ES"/>
        </w:rPr>
        <w:tab/>
        <w:t>El plan de reasentamiento poblacional debe contemplar la adjudicación de viviendas a través de soluciones habitacionales de interés social, promovidas por cualquiera de los tres niveles de gobierno y de acuerdo a la disponibilidad presupuestal.</w:t>
      </w:r>
    </w:p>
    <w:p w:rsidR="006312E8" w:rsidRPr="006312E8" w:rsidRDefault="006312E8" w:rsidP="006312E8">
      <w:pPr>
        <w:spacing w:after="0" w:line="240" w:lineRule="auto"/>
        <w:ind w:left="851" w:hanging="567"/>
        <w:contextualSpacing/>
        <w:jc w:val="both"/>
        <w:rPr>
          <w:rFonts w:ascii="Arial" w:eastAsia="Calibri" w:hAnsi="Arial" w:cs="Arial"/>
          <w:lang w:val="es-ES"/>
        </w:rPr>
      </w:pPr>
    </w:p>
    <w:p w:rsidR="006312E8" w:rsidRPr="006312E8" w:rsidRDefault="006312E8" w:rsidP="006312E8">
      <w:pPr>
        <w:spacing w:after="0" w:line="240" w:lineRule="auto"/>
        <w:ind w:left="851" w:hanging="567"/>
        <w:contextualSpacing/>
        <w:jc w:val="both"/>
        <w:rPr>
          <w:rFonts w:ascii="Arial" w:eastAsia="Calibri" w:hAnsi="Arial" w:cs="Arial"/>
          <w:lang w:val="es-ES"/>
        </w:rPr>
      </w:pPr>
      <w:r w:rsidRPr="006312E8">
        <w:rPr>
          <w:rFonts w:ascii="Arial" w:eastAsia="Calibri" w:hAnsi="Arial" w:cs="Arial"/>
          <w:lang w:val="es-ES"/>
        </w:rPr>
        <w:t xml:space="preserve">24.3 </w:t>
      </w:r>
      <w:r w:rsidRPr="006312E8">
        <w:rPr>
          <w:rFonts w:ascii="Arial" w:eastAsia="Calibri" w:hAnsi="Arial" w:cs="Arial"/>
          <w:lang w:val="es-ES"/>
        </w:rPr>
        <w:tab/>
        <w:t>En caso de que el terreno de acogida sea de propiedad del Estado, bajo la administración de la Superintendencia Nacional de Bienes Estatales o del gobierno regional, la transferencia se realiza a título gratuito, salvo el porcentaje destinado a dicha entidad, de acuerdo a lo establecido en el artículo 79 del Reglamento de la Ley General de Sistema Nacional de Bienes Estatales.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DISPOSICIONES COMPLEMENTARIAS FINALES</w:t>
      </w: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PRIMERA.- Ejecución prioritaria de actividades de preparación ante desastres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Los gobiernos locales priorizan la ejecución de actividades de preparación ante desastres, en las zonas declaradas de muy alto riesgo no mitigable en su jurisdicción, mientras se logra la reubicación de las poblaciones asentadas en dichas zonas.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SEGUNDA.- Reglamento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Poder Ejecutivo, en un plazo de sesenta días contados a partir de la publicación de la presente Ley, expide el reglamento respectivo.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Comuníquese al señor Presidente Constitucional de la República para su promulgación.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En Lima, a los nueve días del mes de mayo de dos mil doce.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b/>
        <w:t>DANIEL ABUGATTÁS MAJLUF</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Presidente del Congreso de la República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b/>
        <w:t>YEHUDE SIMON MUNARO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 xml:space="preserve">Segundo Vicepresidente del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Congreso de la República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b/>
        <w:t>AL SEÑOR PRESIDENTE CONSTITUCIONAL DE LA REPÚBLICA</w:t>
      </w: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b/>
        <w:t>POR TANTO: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Mando se publique y cumpla.</w:t>
      </w:r>
    </w:p>
    <w:p w:rsidR="006312E8" w:rsidRPr="006312E8" w:rsidRDefault="006312E8" w:rsidP="006312E8">
      <w:pPr>
        <w:spacing w:after="0" w:line="240" w:lineRule="auto"/>
        <w:ind w:left="705"/>
        <w:contextualSpacing/>
        <w:jc w:val="both"/>
        <w:rPr>
          <w:rFonts w:ascii="Arial" w:eastAsia="Calibri" w:hAnsi="Arial" w:cs="Arial"/>
          <w:lang w:val="es-ES"/>
        </w:rPr>
      </w:pPr>
      <w:r w:rsidRPr="006312E8">
        <w:rPr>
          <w:rFonts w:ascii="Arial" w:eastAsia="Calibri" w:hAnsi="Arial" w:cs="Arial"/>
          <w:lang w:val="es-ES"/>
        </w:rPr>
        <w:t>Dado en la Casa de Gobierno, en Lima, a los veintiocho días del mes de mayo del año dos mil doce.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OLLANTA HUMALA TASSO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b/>
      </w:r>
      <w:r w:rsidRPr="006312E8">
        <w:rPr>
          <w:rFonts w:ascii="Arial" w:eastAsia="Calibri" w:hAnsi="Arial" w:cs="Arial"/>
          <w:lang w:val="es-ES"/>
        </w:rPr>
        <w:t>Presidente Constitucional de la República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ÓSCAR VALDÉS DANCUART</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b/>
      </w:r>
      <w:r w:rsidRPr="006312E8">
        <w:rPr>
          <w:rFonts w:ascii="Arial" w:eastAsia="Calibri" w:hAnsi="Arial" w:cs="Arial"/>
          <w:lang w:val="es-ES"/>
        </w:rPr>
        <w:t>Presidente del Consejo de Ministros</w:t>
      </w:r>
    </w:p>
    <w:p w:rsidR="006312E8" w:rsidRPr="006312E8" w:rsidRDefault="006312E8" w:rsidP="006312E8">
      <w:pPr>
        <w:spacing w:after="0" w:line="240" w:lineRule="auto"/>
        <w:jc w:val="center"/>
        <w:rPr>
          <w:rFonts w:ascii="Arial" w:eastAsia="Calibri" w:hAnsi="Arial" w:cs="Arial"/>
          <w:b/>
          <w:sz w:val="28"/>
          <w:szCs w:val="28"/>
          <w:lang w:val="es-ES"/>
        </w:rPr>
      </w:pPr>
      <w:bookmarkStart w:id="439" w:name="_Toc392856259"/>
      <w:bookmarkStart w:id="440" w:name="_Toc399335529"/>
      <w:bookmarkStart w:id="441" w:name="LEY30025"/>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F4A2A" w:rsidRDefault="006F4A2A" w:rsidP="00F47618">
      <w:pPr>
        <w:pStyle w:val="TITO2"/>
      </w:pPr>
      <w:bookmarkStart w:id="442" w:name="_Toc421025476"/>
    </w:p>
    <w:p w:rsidR="006312E8" w:rsidRPr="006312E8" w:rsidRDefault="006312E8" w:rsidP="00F47618">
      <w:pPr>
        <w:pStyle w:val="TITO2"/>
      </w:pPr>
      <w:bookmarkStart w:id="443" w:name="_Toc470855579"/>
      <w:r w:rsidRPr="006312E8">
        <w:t>LEY Nº 30025</w:t>
      </w:r>
      <w:bookmarkEnd w:id="439"/>
      <w:bookmarkEnd w:id="440"/>
      <w:bookmarkEnd w:id="442"/>
      <w:bookmarkEnd w:id="443"/>
    </w:p>
    <w:p w:rsidR="006312E8" w:rsidRPr="006312E8" w:rsidRDefault="006312E8" w:rsidP="006312E8">
      <w:pPr>
        <w:spacing w:after="0" w:line="240" w:lineRule="auto"/>
        <w:jc w:val="center"/>
        <w:rPr>
          <w:rFonts w:ascii="Arial" w:hAnsi="Arial" w:cs="Arial"/>
          <w:b/>
          <w:lang w:val="es-ES"/>
        </w:rPr>
      </w:pPr>
      <w:r w:rsidRPr="006312E8">
        <w:rPr>
          <w:rFonts w:ascii="Arial" w:hAnsi="Arial" w:cs="Arial"/>
          <w:b/>
          <w:lang w:val="es-ES"/>
        </w:rPr>
        <w:t>(parte vigente)</w:t>
      </w:r>
    </w:p>
    <w:bookmarkEnd w:id="441"/>
    <w:p w:rsidR="006312E8" w:rsidRPr="006312E8" w:rsidRDefault="006312E8" w:rsidP="006312E8">
      <w:pPr>
        <w:spacing w:after="0" w:line="240" w:lineRule="auto"/>
        <w:contextualSpacing/>
        <w:jc w:val="center"/>
        <w:rPr>
          <w:rFonts w:ascii="Arial" w:eastAsia="Calibri" w:hAnsi="Arial" w:cs="Arial"/>
          <w:b/>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Ley que facilita la adquisición, expropiación y posesión de bienes inmuebles para obras de infraestructura y declara de necesidad pública la adquisición o expropiación de bienes inmuebles afectados para la ejecución de diversas obras de infraestructura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right"/>
        <w:rPr>
          <w:rFonts w:ascii="Arial" w:eastAsia="Calibri" w:hAnsi="Arial" w:cs="Arial"/>
          <w:b/>
          <w:lang w:val="es-ES"/>
        </w:rPr>
      </w:pPr>
      <w:r w:rsidRPr="006312E8">
        <w:rPr>
          <w:rFonts w:ascii="Arial" w:eastAsia="Calibri" w:hAnsi="Arial" w:cs="Arial"/>
          <w:b/>
          <w:lang w:val="es-ES"/>
        </w:rPr>
        <w:t>Fecha de publicación: 22-05-2013</w:t>
      </w: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EL PRESIDENTE DE LA REPÚBLICA</w:t>
      </w: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POR CUANTO: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EL CONGRESO DE LA REPÚBLICA;</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Ha dado la Ley siguiente: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LEY QUE FACILITA LA ADQUISICIÓN, EXPROPIACIÓN Y POSESIÓN DE BIENES INMUEBLES PARA OBRAS DE INFRAESTRUCTURA Y DECLARA DE NECESIDAD PÚBLICA LA ADQUISICIÓN O EXPROPIACIÓN DE BIENES INMUEBLES AFECTADOS PARA LA EJECUCIÓN DE DIVERSAS OBRAS DE INFRAESTRUCTURA</w:t>
      </w:r>
    </w:p>
    <w:p w:rsidR="006312E8" w:rsidRPr="006312E8" w:rsidRDefault="006312E8" w:rsidP="006312E8">
      <w:pPr>
        <w:spacing w:after="0" w:line="240" w:lineRule="auto"/>
        <w:contextualSpacing/>
        <w:jc w:val="both"/>
        <w:rPr>
          <w:rFonts w:ascii="Arial" w:eastAsia="Calibri" w:hAnsi="Arial" w:cs="Arial"/>
          <w:color w:val="4F6228"/>
          <w:sz w:val="16"/>
          <w:szCs w:val="16"/>
        </w:rPr>
      </w:pPr>
      <w:r w:rsidRPr="006312E8">
        <w:rPr>
          <w:rFonts w:ascii="Arial" w:eastAsia="Calibri" w:hAnsi="Arial" w:cs="Arial"/>
          <w:lang w:val="es-ES"/>
        </w:rPr>
        <w:t>(…)</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DISPOSICIONES COMPLEMENTARIAS FINALES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QUINTA.</w:t>
      </w:r>
      <w:r w:rsidRPr="006312E8">
        <w:rPr>
          <w:rFonts w:ascii="Arial" w:eastAsia="Calibri" w:hAnsi="Arial" w:cs="Arial"/>
          <w:lang w:val="es-ES"/>
        </w:rPr>
        <w:t xml:space="preserve"> Declárase de necesidad pública la ejecución de las obras de infraestructura de interés nacional y de gran envergadura señaladas en la presente disposición y, en consecuencia, autorízase la expropiación de los bienes inmuebles que resulten necesarios para tales fines, debiendo considerarse como sujeto activo a la entidad que resulte competente conforme a lo dispuesto en el artículo 2 de la presente Ley, el cual se identifica de acuerdo a lo señalado en el artículo 5 de la presente norma.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 declaratoria anterior se justifica en la necesidad de reducir la brecha de infraestructura existente en nuestro país, brindar conectividad a las poblaciones alejadas con fines de inclusión social y permitir la mejora económica de las poblaciones que se verán beneficiadas por las obras señaladas en la presente disposición. Asimismo, se busca asegurar el cumplimiento de los compromisos contractuales asumidos por el Estado Peruano en el caso de las obras de infraestructura que actualmente se encuentran concesionadas.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INFRAESTRUCTURA VIAL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Autopista del Sol (Trujillo - Chiclayo - Piura - Sullana).</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Tramos viales del eje multimodal del Amazonas Norte del “Plan de acción para la integración de infraestructura regional sudamericana - IIRSA”.</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Tramo Nº 1 del Corredor Vial Interoceánico Sur, Perú Brasil (San Juan de Marcona - Urcos).</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Tramo Nº 2 del Corredor Vial Interoceánico Sur, Perú Brasil (Urcos - Inambari).</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Tramo Nº 4 del Corredor Vial Interoceánico Sur, Perú Brasil (Inambari - Azángaro).</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Tramo Nº 5 del Corredor Vial Interoceánico Sur, Perú Brasil (Ilo - Puno - Juliaca, Matarani - Juliaca - Azángaro).</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IIRSA Centro Tramo Nº 2 (Puente Ricardo Palma - La Oroya - Huancayo y La Oroya - Desvío Cerro de Pasco).</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Tramo Vial Nuevo Mocupe - Cayaltí - Oyotún - Puente Las Delicias.</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Tramo Vial Óvalo Chancay / Desvío Variante Pasamayo - Huaral - Acos.</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Red Vial Nº 4: Tramo Pativilca - Santa - Trujillo y Puerto Salaverry - Empalme PN1N.</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Red Vial Nº 5: Tramo Ancón - Huacho - Pativilca, de la Carretera Panamericana Norte.</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Red Vial Nº 6: Tramo: Puente Pucusana - Cerro Azul - Ica, de la Carretera Panamericana Sur.</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Carretera longitudinal de la sierra: Chiple - Cutervo - Cochabamba - Chota - Bambamarca - Hualgayoc - Desvío Yanacocha, Cajabamba - Sausacocha, Huamachuco - Shorey - Santiago de Chuco - Pallasca - Cabana - Tauca, Huallanca - Caraz, Huallanca - La Unión - Huánuco, Izcuchaca - Mayocc - Huanta Ayacucho - Andahuaylas - Abancay.</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Carretera Huancavelica - Santa Inés - Castrovirreyna - Pampano y Santa Inés - Rumichaca.</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Carretera Imperial - Pampas - Mayocc.</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Carretera Huancavelica - Lircay.</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Carretera Longitudinal de la Selva “Puente Integración - San Ignacio - Perico, Juanjui - Campanilla - Pizana - Tocache - Von Humboldt - Puerto Bermúdez - Villa Rica - Puente Reither - Satipo - Mazamari - Puerto Ocopa”.</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Carretera Cusco - Quillabamba.</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Carretera Trujillo - Shirán - Shorey.</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Carretera Quinua - San Francisco.</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Carretera Cajamarca - Celendín - Balzas, Soritor - La Calzada.</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Carretera Autopista Pimentel - Chiclayo.</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Carretera Lima - Canta - Huayllay - Vicco - Emp. PE-3N (Shelby).</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Vía de Evitamiento de la ciudad de Chimbote.</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Carretera Chongoyape - Cochabamba.</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Carretera Desvío La Tina - La Tina - Cachaquito.</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Carretera Desvío Quilca - Matarani - Ilo.</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Carretera Cañete - Lunahuaná, Roncha - Chupaca - Puente Pilcomayo.</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Carretera Tarata - Mazocruz - Ilave.</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Carretera Huamachuco - Puente Pallar - Abra Naranjillo.</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Vía de Evitamiento Urcos.</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Carretera Desvío Imata - Oscollo - Negromayo - San Genaro - Descanso - Sicuani y Negro Mayo - Ocoruro - Pallpata - Desvío Yauri.</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Carretera Desvío Las Vegas - Tarma.</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Carretera Río Seco - El Ahorcado - Sayán.</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Carretera Mala - Calango - La Capilla.</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Línea Amarilla.</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Proyecto Vía Expresa Sur.</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Proyecto Vías Nuevas de Lima.</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Autopista Regional Arequipa La Joya - Región Arequipa.</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Construcción de Vía Troncal Interconectora entre los distritos de Miraflores, Alto Selva Alegre, Yanahuara, Cayma y Cerro Colorado de la provincia de Arequipa.</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Sistema Integrado de Transporte SIT - Arequipa.</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Rehabilitación y asfaltado de la Carretera Ruta Nacional Nº PE-18 tramo Oyón - Yanahuanca - Ambo.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INFRAESTRUCTURA AEROPORTUARIA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Aeropuerto “Capitán FAP Pedro Canga Rodríguez”, ubicado en el distrito y provincia de Zarumilla, departamento de Tumbes.</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Aeropuerto “Capitán FAP Guillermo Concha Iberico”, ubicado en el distrito de Castilla, provincia y departamento de Piura.</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Aeropuerto Internacional “Capitán FAP Víctor Montes”, ubicado en el distrito de Pariñas, provincia de Talara, departamento de Piura.</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Aeropuerto “Capitán FAP José Abelardo Quiñones González”, ubicado en el distrito y provincia de Chiclayo, departamento de Lambayeque.</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Aeropuerto “Capitán FAP Carlos Martínez Pinillos”, ubicado en el distrito de Huanchaco, provincia de Trujillo, departamento de La Libertad.</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Aeropuerto “Mayor General FAP Armando Revoredo Iglesias”, ubicado en el distrito de Baños del Inca, provincia y departamento de Cajamarca.</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Aeropuerto “Comandante FAP Germán Arias Graziani”, ubicado en el distrito de Anta, provincia de Carhuaz, departamento de Ancash.</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Aeropuerto Internacional “Coronel FAP Francisco Secada Vignetta”, ubicado en la ciudad de Iquitos, distrito de San Juan, provincia de Maynas, departamento de Loreto.</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Aeropuerto “Cadete FAP Guillermo del Castillo Paredes”, ubicado en el distrito de Tarapoto, provincia y departamento de San Martín.</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Aeropuerto “Capitán FAP David Abensur Rengifo”, ubicado en la ciudad de Pucallpa, distrito de Yarinacocha, provincia de Coronel Portillo, departamento de Ucayali.</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Aeropuerto Internacional de Pisco, ubicado en el distrito de San Andrés, provincia de Pisco, departamento de Ica.</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Aeropuerto Internacional “Inca Manco Cápac”, ubicado en el distrito de Juliaca, provincia de San Román, departamento de Puno.</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Aeropuerto Internacional “Alfredo Rodríguez Ballón” de Arequipa, ubicado en el distrito de Cerro Colorado, provincia de Arequipa, departamento de Arequipa.</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Aeropuerto “Coronel FAP Alfredo Mendivil Duarte”, ubicado en el distrito de Ayacucho, provincia de Huamanga, departamento de Ayacucho.</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Aeropuerto Internacional “Padre Aldamiz” de Puerto Maldonado, provincia de Tambopata, departamento de Madre de Dios.</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Aeropuerto Internacional “Coronel FAP Carlos Ciriani Santa Rosa”, ubicado en la ciudad de Tacna, provincia de Tacna, departamento de Tacna.</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Aeródromo de Puerto Mayo - Pichari.</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INFRAESTRUCTURA FERROVIARIA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Sistema Eléctrico de Transporte Masivo de Lima y Callao, Líneas 1 y 2.</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INFRAESTRUCTURA PORTUARIA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Terminal Portuario de Paita.</w:t>
      </w: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 xml:space="preserve">Terminal Portuario General San Martín.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INFRAESTRUCTURA TURÍSTICA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Sistema de Telecabinas de Kuélap.</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INFRAESTRUCTURA PARA PASOS DE FRONTERA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Reubicación, construcción y equipamiento del paso de frontera Iñapari (Perú-Brasil), ubicado en el distrito de Iñapari, provincia de Tahuamanu, departamento de Madre de Dios.</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Paso de frontera Desaguadero (Perú-Bolivia).</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Construcción y equipamiento del complejo fronterizo en el paso de frontera Tilali-Puerto Acosta.</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Construcción y equipamiento del complejo fronterizo en el paso de frontera El Alamor.</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Construcción y equipamiento del complejo fronterizo en el paso de frontera Saramiriza-Loja.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INFRAESTRUCTURA DIVERSA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Complejo pesquero La Puntilla.</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Vías y Áreas de Acceso para el nuevo Aeropuerto Internacional de Chinchero - Cusco.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709"/>
        <w:contextualSpacing/>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Numeral incorporado por la Septuagésima Octava Disposición Complementaria Final de la Ley N° 30114, publicada el 02 diciembre 2013, que entró en vigencia a partir del 1 de enero de 2014</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Proyecto de Inversión Pública “Mejoramiento de la Avenida Néstor Gambetta - Callao”, que incluye el acceso al Terminal Portuario del Callao.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567"/>
        <w:contextualSpacing/>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Numeral incorporado por la Septuagésima Octava Disposición Complementaria Final de la Ley N° 30114, publicada el 02 diciembre 2013, que entró en vigencia a partir del 1 de enero de 2014.</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numPr>
          <w:ilvl w:val="2"/>
          <w:numId w:val="25"/>
        </w:numPr>
        <w:spacing w:after="0" w:line="240" w:lineRule="auto"/>
        <w:ind w:left="709"/>
        <w:contextualSpacing/>
        <w:jc w:val="both"/>
        <w:rPr>
          <w:rFonts w:ascii="Arial" w:eastAsia="Calibri" w:hAnsi="Arial" w:cs="Arial"/>
          <w:sz w:val="16"/>
          <w:szCs w:val="16"/>
          <w:lang w:val="es-ES"/>
        </w:rPr>
      </w:pPr>
      <w:r w:rsidRPr="006312E8">
        <w:rPr>
          <w:rFonts w:ascii="Arial" w:eastAsia="Calibri" w:hAnsi="Arial" w:cs="Arial"/>
          <w:lang w:val="es-ES"/>
        </w:rPr>
        <w:t>Proyecto de Inversión Pública Acondicionamiento Turístico del Lago Yarinacocha - Región Ucayali</w:t>
      </w:r>
    </w:p>
    <w:p w:rsidR="006312E8" w:rsidRPr="006312E8" w:rsidRDefault="006312E8" w:rsidP="006312E8">
      <w:pPr>
        <w:spacing w:after="0" w:line="240" w:lineRule="auto"/>
        <w:ind w:left="709"/>
        <w:contextualSpacing/>
        <w:jc w:val="both"/>
        <w:rPr>
          <w:rFonts w:ascii="Arial" w:eastAsia="Calibri" w:hAnsi="Arial" w:cs="Arial"/>
          <w:color w:val="FF0000"/>
          <w:sz w:val="16"/>
          <w:szCs w:val="16"/>
          <w:lang w:val="es-ES"/>
        </w:rPr>
      </w:pPr>
      <w:r w:rsidRPr="006312E8">
        <w:rPr>
          <w:rFonts w:ascii="Arial" w:eastAsia="Calibri" w:hAnsi="Arial" w:cs="Arial"/>
          <w:color w:val="FF0000"/>
          <w:sz w:val="16"/>
          <w:szCs w:val="16"/>
          <w:lang w:val="es-ES"/>
        </w:rPr>
        <w:t>(*) Numeral modificado por la Sétima Disposición Complementaria Modificatoria de la Ley N° 30281, publicada el 04 diciembre 2014</w:t>
      </w:r>
    </w:p>
    <w:p w:rsidR="006312E8" w:rsidRPr="006312E8" w:rsidRDefault="006312E8" w:rsidP="006312E8">
      <w:pPr>
        <w:spacing w:after="0" w:line="240" w:lineRule="auto"/>
        <w:ind w:left="268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73) Proyecto de Integración de la Infraestructura Inmobiliaria del Congreso de la República (*)</w:t>
      </w:r>
    </w:p>
    <w:p w:rsidR="006312E8" w:rsidRPr="006312E8" w:rsidRDefault="006312E8" w:rsidP="006312E8">
      <w:pPr>
        <w:spacing w:after="0" w:line="240" w:lineRule="auto"/>
        <w:ind w:left="709" w:hanging="1"/>
        <w:contextualSpacing/>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Numeral modificado por la Sétima Disposición Complementaria Modificatoria de la Ley N° 30281, publicada el 04 diciembre 2014</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74) Proyecto de Inversión Pública: “Instalación del servicio de readaptación social en el nuevo establecimiento penitenciario de Piura, en el distrito de Sechura, provincia de Sechura, departamento de Piura” - SNIP Nº 276865 (*)</w:t>
      </w:r>
    </w:p>
    <w:p w:rsidR="006312E8" w:rsidRPr="006312E8" w:rsidRDefault="006312E8" w:rsidP="006312E8">
      <w:pPr>
        <w:spacing w:after="0" w:line="240" w:lineRule="auto"/>
        <w:ind w:left="709" w:hanging="1"/>
        <w:contextualSpacing/>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Numeral modificado por la Sétima Disposición Complementaria Modificatoria de la Ley N° 30281, publicada el 04 diciembre 2014</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b/>
          <w:lang w:val="es-ES"/>
        </w:rPr>
      </w:pPr>
      <w:r w:rsidRPr="006312E8">
        <w:rPr>
          <w:rFonts w:ascii="Arial" w:eastAsia="Calibri" w:hAnsi="Arial" w:cs="Arial"/>
          <w:b/>
          <w:lang w:val="es-ES"/>
        </w:rPr>
        <w:t>INFRAESTRUCTURA DE AGUA Y SANEAMIENTO</w:t>
      </w:r>
    </w:p>
    <w:p w:rsidR="006312E8" w:rsidRPr="006312E8" w:rsidRDefault="006312E8" w:rsidP="006312E8">
      <w:pPr>
        <w:spacing w:after="0" w:line="240" w:lineRule="auto"/>
        <w:ind w:left="709" w:hanging="425"/>
        <w:contextualSpacing/>
        <w:jc w:val="both"/>
        <w:rPr>
          <w:rFonts w:ascii="Arial" w:eastAsia="Calibri" w:hAnsi="Arial" w:cs="Arial"/>
          <w:b/>
          <w:lang w:val="es-ES"/>
        </w:rPr>
      </w:pPr>
    </w:p>
    <w:p w:rsidR="006312E8" w:rsidRPr="006312E8" w:rsidRDefault="006312E8" w:rsidP="006312E8">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75) Esquema Víctor Raúl Haya de La Torre Ampliación de los Sistemas de Agua Potable y Alcantarillado de los Sectores 253-254-255-258-259 - distritos: Callao, Ventanilla y San Martín de Porres (*)</w:t>
      </w:r>
    </w:p>
    <w:p w:rsidR="006312E8" w:rsidRPr="006312E8" w:rsidRDefault="006312E8" w:rsidP="006312E8">
      <w:pPr>
        <w:spacing w:after="0" w:line="240" w:lineRule="auto"/>
        <w:ind w:left="709" w:hanging="1"/>
        <w:contextualSpacing/>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Numeral modificado por la Sétima Disposición Complementaria Modificatoria de la Ley N° 30281, publicada el 04 diciembre 2014.</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76) Planta de Tratamiento de Aguas Residuales de San Bartolo (*)</w:t>
      </w:r>
    </w:p>
    <w:p w:rsidR="006312E8" w:rsidRPr="006312E8" w:rsidRDefault="006312E8" w:rsidP="006312E8">
      <w:pPr>
        <w:spacing w:after="0" w:line="240" w:lineRule="auto"/>
        <w:ind w:left="709" w:hanging="1"/>
        <w:contextualSpacing/>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Numeral modificado por la Sétima Disposición Complementaria Modificatoria de la Ley N° 30281, publicada el 04 diciembre 2014</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77) Esquema Anexo 22 Pampa Jicamarca de Canto Grande Sectorización y Ampliación del Sistema de Agua Potable y Alcantarillado para el distrito San Antonio - Huarochiri - Lima.</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78) Esquema Carapongo - Ampliación de los Sistemas de Agua Potable y Alcantarillado de los Sectores 136 y 137 del distrito de Lurigancho.</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79) Ampliación de los Sistemas de Agua Potable y Alcantarillado de la Quebrada de Manchay 3ra. Etapa - distrito de Pachacamac.</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80) Ampliación y Mejoramiento de los Sistemas de Agua Potable y Alcantarillado para el Esquema San Juan de Amancaes y Anexos, distrito del Rímac.</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81) Ampliación y Mejoramiento de los Sistemas de Agua Potable y Alcantarillado para el Esquema Prolongación Nicolás de Piérola - Santa Clara Sur y anexos.</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82) Ampliación y Mejoramiento de los Sistemas de Agua Potable y Alcantarillado del Esquema Independencia Unificada y Ermitaño, distrito de Independencia.</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83) Ampliación y Mejoramiento del Sistema de Agua Potable y Alcantarillado para el macro Proyecto Pachacutec.</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84) Ampliación y Mejoramiento del Sistema de Agua Potable y Alcantarillado para el Esquema Cieneguilla - distrito de Cieneguilla.</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85) Ampliación y Mejoramiento de los Sistemas de Agua Potable y Alcantarillado Bayovar Ampliación.</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86) Ampliación y Mejoramiento de los Sistemas de Agua Potable y Alcantarillado para el Esquema Pucusana.</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87) Instalación del Sistema de Agua Potable y Alcantarillado para el A.H. Alto Huampani - distrito de Lurigancho.</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88) Ampliación del Sistema de Agua Potable y Alcantarillado del Proyecto Especial Los Ángeles.</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89) Ampliación y Mejoramiento de los Sistemas de Agua Potable y Alcantarillado para el Esquema Musa 4ta. y 5ta. Etapa - distrito de La Molina.</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90) Obras Remanentes y Adicionales del Esquema Santa María de Huachipa y Obra Colector Alivio Nº 06.</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91) Mejoramiento del Sistema de Agua Potable y Alcantarillado en el A.H. Conde de la Vega.</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92) Instalación de los Sistema de Agua Potable y Alcantarillado para el A.H. Alta Paloma, Asoc. Prop. San Benito Grande, Agrup. Fam. Los Higales de Campoy, Agrup. Fam. 3 de Mayo, A.H. Villa Los Andes de Campoy y Ampliación - distrito de San Juan de Lurigancho.</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93) Ampliación y Mejoramiento de los Sistemas de Agua Potable y Alcantarillado para el Esquema Los Álamos de Monterrico (Sectores 296 y 297), distrito de Santiago de Surco.</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94) Rehabilitación y Mejoramiento de un surtidor para el abastecimiento de agua potable de la Asociación de Porcicultores del Parque Porcino-Callao.</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95) Rehabilitación y Mejoramiento Planta Nº 1 Atarjea - Emp.</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96) Instalación de Redes Secundarias de Agua Potable y Alcantarillado Esquema Huertos de Villa y Anexos, distrito de Chorrillos.</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97) Ampliación y Mejoramiento de los Sistemas de Agua Potable y Alcantarillado para el Esquema José Gálvez - Sector 315, distrito de Villa María del Triunfo.</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98) Ampliación y Mejoramiento de los Sistemas de Agua Potable y Alcantarillado para el Esquema Vallecito Bajo - Sector 309, distrito de Villa María del Triunfo.</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99) Ampliación de Fuentes de Agua para el Abastecimiento de Agua Potable al Sector 98, distrito de Chorrillos.</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567"/>
        <w:contextualSpacing/>
        <w:jc w:val="both"/>
        <w:rPr>
          <w:rFonts w:ascii="Arial" w:eastAsia="Calibri" w:hAnsi="Arial" w:cs="Arial"/>
          <w:lang w:val="es-ES"/>
        </w:rPr>
      </w:pPr>
      <w:r w:rsidRPr="006312E8">
        <w:rPr>
          <w:rFonts w:ascii="Arial" w:eastAsia="Calibri" w:hAnsi="Arial" w:cs="Arial"/>
          <w:lang w:val="es-ES"/>
        </w:rPr>
        <w:t>100) Perforación de Pozo de Reposición P315, distrito de Pachacamac.</w:t>
      </w:r>
    </w:p>
    <w:p w:rsidR="006312E8" w:rsidRPr="006312E8" w:rsidRDefault="006312E8" w:rsidP="006312E8">
      <w:pPr>
        <w:spacing w:after="0" w:line="240" w:lineRule="auto"/>
        <w:ind w:left="709" w:hanging="567"/>
        <w:contextualSpacing/>
        <w:jc w:val="both"/>
        <w:rPr>
          <w:rFonts w:ascii="Arial" w:eastAsia="Calibri" w:hAnsi="Arial" w:cs="Arial"/>
          <w:lang w:val="es-ES"/>
        </w:rPr>
      </w:pPr>
    </w:p>
    <w:p w:rsidR="006312E8" w:rsidRPr="006312E8" w:rsidRDefault="006312E8" w:rsidP="006312E8">
      <w:pPr>
        <w:spacing w:after="0" w:line="240" w:lineRule="auto"/>
        <w:ind w:left="709" w:hanging="567"/>
        <w:contextualSpacing/>
        <w:jc w:val="both"/>
        <w:rPr>
          <w:rFonts w:ascii="Arial" w:eastAsia="Calibri" w:hAnsi="Arial" w:cs="Arial"/>
          <w:lang w:val="es-ES"/>
        </w:rPr>
      </w:pPr>
      <w:r w:rsidRPr="006312E8">
        <w:rPr>
          <w:rFonts w:ascii="Arial" w:eastAsia="Calibri" w:hAnsi="Arial" w:cs="Arial"/>
          <w:lang w:val="es-ES"/>
        </w:rPr>
        <w:t>101) Obras Complementarias del Proyecto “Ampliación y Mejoramiento de los Sistemas de Agua Potable y Alcantarillado para el 7mo, 9no y 10mo Sector de Villa El Salvador”.</w:t>
      </w:r>
    </w:p>
    <w:p w:rsidR="006312E8" w:rsidRPr="006312E8" w:rsidRDefault="006312E8" w:rsidP="006312E8">
      <w:pPr>
        <w:spacing w:after="0" w:line="240" w:lineRule="auto"/>
        <w:ind w:left="709" w:hanging="567"/>
        <w:contextualSpacing/>
        <w:jc w:val="both"/>
        <w:rPr>
          <w:rFonts w:ascii="Arial" w:eastAsia="Calibri" w:hAnsi="Arial" w:cs="Arial"/>
          <w:lang w:val="es-ES"/>
        </w:rPr>
      </w:pPr>
    </w:p>
    <w:p w:rsidR="006312E8" w:rsidRPr="006312E8" w:rsidRDefault="006312E8" w:rsidP="006312E8">
      <w:pPr>
        <w:spacing w:after="0" w:line="240" w:lineRule="auto"/>
        <w:ind w:left="709" w:hanging="567"/>
        <w:contextualSpacing/>
        <w:jc w:val="both"/>
        <w:rPr>
          <w:rFonts w:ascii="Arial" w:eastAsia="Calibri" w:hAnsi="Arial" w:cs="Arial"/>
          <w:lang w:val="es-ES"/>
        </w:rPr>
      </w:pPr>
      <w:r w:rsidRPr="006312E8">
        <w:rPr>
          <w:rFonts w:ascii="Arial" w:eastAsia="Calibri" w:hAnsi="Arial" w:cs="Arial"/>
          <w:lang w:val="es-ES"/>
        </w:rPr>
        <w:t>102) Instalación del Sistema de Agua Potable y Alcantarillado para la Av. Santa Rosa II Etapa, Av. El Bosque, Av. Las Casuarinas, Av. Héroes de San Juan y CV Ciudad de Dios.</w:t>
      </w:r>
    </w:p>
    <w:p w:rsidR="006312E8" w:rsidRPr="006312E8" w:rsidRDefault="006312E8" w:rsidP="006312E8">
      <w:pPr>
        <w:spacing w:after="0" w:line="240" w:lineRule="auto"/>
        <w:ind w:left="709" w:hanging="567"/>
        <w:contextualSpacing/>
        <w:jc w:val="both"/>
        <w:rPr>
          <w:rFonts w:ascii="Arial" w:eastAsia="Calibri" w:hAnsi="Arial" w:cs="Arial"/>
          <w:lang w:val="es-ES"/>
        </w:rPr>
      </w:pPr>
    </w:p>
    <w:p w:rsidR="006312E8" w:rsidRPr="006312E8" w:rsidRDefault="006312E8" w:rsidP="006312E8">
      <w:pPr>
        <w:spacing w:after="0" w:line="240" w:lineRule="auto"/>
        <w:ind w:left="709" w:hanging="567"/>
        <w:contextualSpacing/>
        <w:jc w:val="both"/>
        <w:rPr>
          <w:rFonts w:ascii="Arial" w:eastAsia="Calibri" w:hAnsi="Arial" w:cs="Arial"/>
          <w:lang w:val="es-ES"/>
        </w:rPr>
      </w:pPr>
      <w:r w:rsidRPr="006312E8">
        <w:rPr>
          <w:rFonts w:ascii="Arial" w:eastAsia="Calibri" w:hAnsi="Arial" w:cs="Arial"/>
          <w:lang w:val="es-ES"/>
        </w:rPr>
        <w:t>103) Ampliación y Mejoramiento del Sistema de Agua Potable y Alcantarillado de los Sectores 318 y 323, distrito de Villa El Salvador.</w:t>
      </w:r>
    </w:p>
    <w:p w:rsidR="006312E8" w:rsidRPr="006312E8" w:rsidRDefault="006312E8" w:rsidP="006312E8">
      <w:pPr>
        <w:spacing w:after="0" w:line="240" w:lineRule="auto"/>
        <w:ind w:left="709" w:hanging="567"/>
        <w:contextualSpacing/>
        <w:jc w:val="both"/>
        <w:rPr>
          <w:rFonts w:ascii="Arial" w:eastAsia="Calibri" w:hAnsi="Arial" w:cs="Arial"/>
          <w:lang w:val="es-ES"/>
        </w:rPr>
      </w:pPr>
    </w:p>
    <w:p w:rsidR="006312E8" w:rsidRPr="006312E8" w:rsidRDefault="006312E8" w:rsidP="006312E8">
      <w:pPr>
        <w:spacing w:after="0" w:line="240" w:lineRule="auto"/>
        <w:ind w:left="709" w:hanging="567"/>
        <w:contextualSpacing/>
        <w:jc w:val="both"/>
        <w:rPr>
          <w:rFonts w:ascii="Arial" w:eastAsia="Calibri" w:hAnsi="Arial" w:cs="Arial"/>
          <w:lang w:val="es-ES"/>
        </w:rPr>
      </w:pPr>
      <w:r w:rsidRPr="006312E8">
        <w:rPr>
          <w:rFonts w:ascii="Arial" w:eastAsia="Calibri" w:hAnsi="Arial" w:cs="Arial"/>
          <w:lang w:val="es-ES"/>
        </w:rPr>
        <w:t>104) Sectorización del Sistema de Agua Potable y Alcantarillado de la parte de Chorrillos: Matriz Próceres, distrito de Chorrillos.</w:t>
      </w:r>
    </w:p>
    <w:p w:rsidR="006312E8" w:rsidRPr="006312E8" w:rsidRDefault="006312E8" w:rsidP="006312E8">
      <w:pPr>
        <w:spacing w:after="0" w:line="240" w:lineRule="auto"/>
        <w:ind w:left="709" w:hanging="567"/>
        <w:contextualSpacing/>
        <w:jc w:val="both"/>
        <w:rPr>
          <w:rFonts w:ascii="Arial" w:eastAsia="Calibri" w:hAnsi="Arial" w:cs="Arial"/>
          <w:lang w:val="es-ES"/>
        </w:rPr>
      </w:pPr>
    </w:p>
    <w:p w:rsidR="006312E8" w:rsidRPr="006312E8" w:rsidRDefault="006312E8" w:rsidP="006312E8">
      <w:pPr>
        <w:spacing w:after="0" w:line="240" w:lineRule="auto"/>
        <w:ind w:left="709" w:hanging="567"/>
        <w:contextualSpacing/>
        <w:jc w:val="both"/>
        <w:rPr>
          <w:rFonts w:ascii="Arial" w:eastAsia="Calibri" w:hAnsi="Arial" w:cs="Arial"/>
          <w:lang w:val="es-ES"/>
        </w:rPr>
      </w:pPr>
      <w:r w:rsidRPr="006312E8">
        <w:rPr>
          <w:rFonts w:ascii="Arial" w:eastAsia="Calibri" w:hAnsi="Arial" w:cs="Arial"/>
          <w:lang w:val="es-ES"/>
        </w:rPr>
        <w:t>105) Ampliación de los Sistemas de Agua Potable y Alcantarillado 2da Etapa del Esquema Quebrada de Manchay, distrito de Pachacamac.</w:t>
      </w:r>
    </w:p>
    <w:p w:rsidR="006312E8" w:rsidRPr="006312E8" w:rsidRDefault="006312E8" w:rsidP="006312E8">
      <w:pPr>
        <w:spacing w:after="0" w:line="240" w:lineRule="auto"/>
        <w:ind w:left="709" w:hanging="567"/>
        <w:contextualSpacing/>
        <w:jc w:val="both"/>
        <w:rPr>
          <w:rFonts w:ascii="Arial" w:eastAsia="Calibri" w:hAnsi="Arial" w:cs="Arial"/>
          <w:lang w:val="es-ES"/>
        </w:rPr>
      </w:pPr>
    </w:p>
    <w:p w:rsidR="006312E8" w:rsidRPr="006312E8" w:rsidRDefault="006312E8" w:rsidP="006312E8">
      <w:pPr>
        <w:spacing w:after="0" w:line="240" w:lineRule="auto"/>
        <w:ind w:left="709" w:hanging="567"/>
        <w:contextualSpacing/>
        <w:jc w:val="both"/>
        <w:rPr>
          <w:rFonts w:ascii="Arial" w:eastAsia="Calibri" w:hAnsi="Arial" w:cs="Arial"/>
          <w:lang w:val="es-ES"/>
        </w:rPr>
      </w:pPr>
      <w:r w:rsidRPr="006312E8">
        <w:rPr>
          <w:rFonts w:ascii="Arial" w:eastAsia="Calibri" w:hAnsi="Arial" w:cs="Arial"/>
          <w:lang w:val="es-ES"/>
        </w:rPr>
        <w:t>106) Ampliación y Mejoramiento del Sistema de Agua Potable y Alcantarillado Sectores 311, 313, 330, 310, 312, 314, 300, 307, 319, 324, 301 Nueva Rinconada.</w:t>
      </w:r>
    </w:p>
    <w:p w:rsidR="006312E8" w:rsidRPr="006312E8" w:rsidRDefault="006312E8" w:rsidP="006312E8">
      <w:pPr>
        <w:spacing w:after="0" w:line="240" w:lineRule="auto"/>
        <w:ind w:left="709" w:hanging="567"/>
        <w:contextualSpacing/>
        <w:jc w:val="both"/>
        <w:rPr>
          <w:rFonts w:ascii="Arial" w:eastAsia="Calibri" w:hAnsi="Arial" w:cs="Arial"/>
          <w:lang w:val="es-ES"/>
        </w:rPr>
      </w:pPr>
    </w:p>
    <w:p w:rsidR="006312E8" w:rsidRPr="006312E8" w:rsidRDefault="006312E8" w:rsidP="006312E8">
      <w:pPr>
        <w:spacing w:after="0" w:line="240" w:lineRule="auto"/>
        <w:ind w:left="709" w:hanging="567"/>
        <w:contextualSpacing/>
        <w:jc w:val="both"/>
        <w:rPr>
          <w:rFonts w:ascii="Arial" w:eastAsia="Calibri" w:hAnsi="Arial" w:cs="Arial"/>
          <w:lang w:val="es-ES"/>
        </w:rPr>
      </w:pPr>
      <w:r w:rsidRPr="006312E8">
        <w:rPr>
          <w:rFonts w:ascii="Arial" w:eastAsia="Calibri" w:hAnsi="Arial" w:cs="Arial"/>
          <w:lang w:val="es-ES"/>
        </w:rPr>
        <w:t>107) Ampliación y Mejoramiento de los Sistemas de Agua Potable y Alcantarillado del distrito de Lurín.</w:t>
      </w:r>
    </w:p>
    <w:p w:rsidR="006312E8" w:rsidRPr="006312E8" w:rsidRDefault="006312E8" w:rsidP="006312E8">
      <w:pPr>
        <w:spacing w:after="0" w:line="240" w:lineRule="auto"/>
        <w:ind w:left="709" w:hanging="567"/>
        <w:contextualSpacing/>
        <w:jc w:val="both"/>
        <w:rPr>
          <w:rFonts w:ascii="Arial" w:eastAsia="Calibri" w:hAnsi="Arial" w:cs="Arial"/>
          <w:lang w:val="es-ES"/>
        </w:rPr>
      </w:pPr>
    </w:p>
    <w:p w:rsidR="006312E8" w:rsidRPr="006312E8" w:rsidRDefault="006312E8" w:rsidP="006312E8">
      <w:pPr>
        <w:spacing w:after="0" w:line="240" w:lineRule="auto"/>
        <w:ind w:left="709" w:hanging="567"/>
        <w:contextualSpacing/>
        <w:jc w:val="both"/>
        <w:rPr>
          <w:rFonts w:ascii="Arial" w:eastAsia="Calibri" w:hAnsi="Arial" w:cs="Arial"/>
          <w:lang w:val="es-ES"/>
        </w:rPr>
      </w:pPr>
      <w:r w:rsidRPr="006312E8">
        <w:rPr>
          <w:rFonts w:ascii="Arial" w:eastAsia="Calibri" w:hAnsi="Arial" w:cs="Arial"/>
          <w:lang w:val="es-ES"/>
        </w:rPr>
        <w:t>108) Ampliación y Mejoramiento de los Sistemas de Agua Potable y Alcantarillado del Esquema Cercado, Pueblos Colindantes y Sectores 454, 455, 456, 457, 458, distrito de Pachacamac.</w:t>
      </w:r>
    </w:p>
    <w:p w:rsidR="006312E8" w:rsidRPr="006312E8" w:rsidRDefault="006312E8" w:rsidP="006312E8">
      <w:pPr>
        <w:spacing w:after="0" w:line="240" w:lineRule="auto"/>
        <w:ind w:left="709" w:hanging="567"/>
        <w:contextualSpacing/>
        <w:jc w:val="both"/>
        <w:rPr>
          <w:rFonts w:ascii="Arial" w:eastAsia="Calibri" w:hAnsi="Arial" w:cs="Arial"/>
          <w:lang w:val="es-ES"/>
        </w:rPr>
      </w:pPr>
    </w:p>
    <w:p w:rsidR="006312E8" w:rsidRPr="006312E8" w:rsidRDefault="006312E8" w:rsidP="006312E8">
      <w:pPr>
        <w:spacing w:after="0" w:line="240" w:lineRule="auto"/>
        <w:ind w:left="709" w:hanging="567"/>
        <w:contextualSpacing/>
        <w:jc w:val="both"/>
        <w:rPr>
          <w:rFonts w:ascii="Arial" w:eastAsia="Calibri" w:hAnsi="Arial" w:cs="Arial"/>
          <w:lang w:val="es-ES"/>
        </w:rPr>
      </w:pPr>
      <w:r w:rsidRPr="006312E8">
        <w:rPr>
          <w:rFonts w:ascii="Arial" w:eastAsia="Calibri" w:hAnsi="Arial" w:cs="Arial"/>
          <w:lang w:val="es-ES"/>
        </w:rPr>
        <w:t>109) Ampliación y Mejoramiento de los Sistemas de Agua Potable y Alcantarillado del Esquema Centros Poblados Rurales de la margen derecha e izquierda del Valle y Sectores 432, 433, 434 y 451, distrito de Pachacamac.</w:t>
      </w:r>
    </w:p>
    <w:p w:rsidR="006312E8" w:rsidRPr="006312E8" w:rsidRDefault="006312E8" w:rsidP="006312E8">
      <w:pPr>
        <w:spacing w:after="0" w:line="240" w:lineRule="auto"/>
        <w:ind w:left="709" w:hanging="567"/>
        <w:contextualSpacing/>
        <w:jc w:val="both"/>
        <w:rPr>
          <w:rFonts w:ascii="Arial" w:eastAsia="Calibri" w:hAnsi="Arial" w:cs="Arial"/>
          <w:lang w:val="es-ES"/>
        </w:rPr>
      </w:pPr>
    </w:p>
    <w:p w:rsidR="006312E8" w:rsidRPr="006312E8" w:rsidRDefault="006312E8" w:rsidP="006312E8">
      <w:pPr>
        <w:spacing w:after="0" w:line="240" w:lineRule="auto"/>
        <w:ind w:left="709" w:hanging="567"/>
        <w:contextualSpacing/>
        <w:jc w:val="both"/>
        <w:rPr>
          <w:rFonts w:ascii="Arial" w:eastAsia="Calibri" w:hAnsi="Arial" w:cs="Arial"/>
          <w:lang w:val="es-ES"/>
        </w:rPr>
      </w:pPr>
      <w:r w:rsidRPr="006312E8">
        <w:rPr>
          <w:rFonts w:ascii="Arial" w:eastAsia="Calibri" w:hAnsi="Arial" w:cs="Arial"/>
          <w:lang w:val="es-ES"/>
        </w:rPr>
        <w:t>110) Ampliación y Mejoramiento del Acceso al Agua Potable y Alcantarillado de las poblaciones de Cajamarquilla, Nievería y Cerro Camote; y tratamiento de aguas servidas en el ámbito de atención de SEDAPAL.</w:t>
      </w:r>
    </w:p>
    <w:p w:rsidR="006312E8" w:rsidRPr="006312E8" w:rsidRDefault="006312E8" w:rsidP="006312E8">
      <w:pPr>
        <w:spacing w:after="0" w:line="240" w:lineRule="auto"/>
        <w:ind w:left="709" w:hanging="567"/>
        <w:contextualSpacing/>
        <w:jc w:val="both"/>
        <w:rPr>
          <w:rFonts w:ascii="Arial" w:eastAsia="Calibri" w:hAnsi="Arial" w:cs="Arial"/>
          <w:lang w:val="es-ES"/>
        </w:rPr>
      </w:pPr>
    </w:p>
    <w:p w:rsidR="006312E8" w:rsidRPr="006312E8" w:rsidRDefault="006312E8" w:rsidP="006312E8">
      <w:pPr>
        <w:spacing w:after="0" w:line="240" w:lineRule="auto"/>
        <w:ind w:left="709" w:hanging="567"/>
        <w:contextualSpacing/>
        <w:jc w:val="both"/>
        <w:rPr>
          <w:rFonts w:ascii="Arial" w:eastAsia="Calibri" w:hAnsi="Arial" w:cs="Arial"/>
          <w:lang w:val="es-ES"/>
        </w:rPr>
      </w:pPr>
      <w:r w:rsidRPr="006312E8">
        <w:rPr>
          <w:rFonts w:ascii="Arial" w:eastAsia="Calibri" w:hAnsi="Arial" w:cs="Arial"/>
          <w:lang w:val="es-ES"/>
        </w:rPr>
        <w:t>111) Ampliación de las fuentes de agua para el abastecimiento de agua potable al Sector 60, distrito de Santiago de Surco.</w:t>
      </w:r>
    </w:p>
    <w:p w:rsidR="006312E8" w:rsidRPr="006312E8" w:rsidRDefault="006312E8" w:rsidP="006312E8">
      <w:pPr>
        <w:spacing w:after="0" w:line="240" w:lineRule="auto"/>
        <w:ind w:left="709" w:hanging="567"/>
        <w:contextualSpacing/>
        <w:jc w:val="both"/>
        <w:rPr>
          <w:rFonts w:ascii="Arial" w:eastAsia="Calibri" w:hAnsi="Arial" w:cs="Arial"/>
          <w:lang w:val="es-ES"/>
        </w:rPr>
      </w:pPr>
    </w:p>
    <w:p w:rsidR="006312E8" w:rsidRPr="006312E8" w:rsidRDefault="006312E8" w:rsidP="006312E8">
      <w:pPr>
        <w:spacing w:after="0" w:line="240" w:lineRule="auto"/>
        <w:ind w:left="709" w:hanging="567"/>
        <w:contextualSpacing/>
        <w:jc w:val="both"/>
        <w:rPr>
          <w:rFonts w:ascii="Arial" w:eastAsia="Calibri" w:hAnsi="Arial" w:cs="Arial"/>
          <w:lang w:val="es-ES"/>
        </w:rPr>
      </w:pPr>
      <w:r w:rsidRPr="006312E8">
        <w:rPr>
          <w:rFonts w:ascii="Arial" w:eastAsia="Calibri" w:hAnsi="Arial" w:cs="Arial"/>
          <w:lang w:val="es-ES"/>
        </w:rPr>
        <w:t>112) Provisión de los Servicios de Saneamiento para los distritos del Sur de Lima - PROVISUR.</w:t>
      </w:r>
    </w:p>
    <w:p w:rsidR="006312E8" w:rsidRPr="006312E8" w:rsidRDefault="006312E8" w:rsidP="006312E8">
      <w:pPr>
        <w:spacing w:after="0" w:line="240" w:lineRule="auto"/>
        <w:ind w:left="709" w:hanging="567"/>
        <w:contextualSpacing/>
        <w:jc w:val="both"/>
        <w:rPr>
          <w:rFonts w:ascii="Arial" w:eastAsia="Calibri" w:hAnsi="Arial" w:cs="Arial"/>
          <w:lang w:val="es-ES"/>
        </w:rPr>
      </w:pPr>
    </w:p>
    <w:p w:rsidR="006312E8" w:rsidRPr="006312E8" w:rsidRDefault="006312E8" w:rsidP="006312E8">
      <w:pPr>
        <w:spacing w:after="0" w:line="240" w:lineRule="auto"/>
        <w:ind w:left="709" w:hanging="567"/>
        <w:contextualSpacing/>
        <w:jc w:val="both"/>
        <w:rPr>
          <w:rFonts w:ascii="Arial" w:eastAsia="Calibri" w:hAnsi="Arial" w:cs="Arial"/>
          <w:lang w:val="es-ES"/>
        </w:rPr>
      </w:pPr>
      <w:r w:rsidRPr="006312E8">
        <w:rPr>
          <w:rFonts w:ascii="Arial" w:eastAsia="Calibri" w:hAnsi="Arial" w:cs="Arial"/>
          <w:lang w:val="es-ES"/>
        </w:rPr>
        <w:t>113) Proyecto Obras de Cabecera y Conducción para el Abastecimiento de Agua Potable para Lima.</w:t>
      </w:r>
    </w:p>
    <w:p w:rsidR="006312E8" w:rsidRPr="006312E8" w:rsidRDefault="006312E8" w:rsidP="006312E8">
      <w:pPr>
        <w:spacing w:after="0" w:line="240" w:lineRule="auto"/>
        <w:ind w:left="709" w:hanging="567"/>
        <w:contextualSpacing/>
        <w:jc w:val="both"/>
        <w:rPr>
          <w:rFonts w:ascii="Arial" w:eastAsia="Calibri" w:hAnsi="Arial" w:cs="Arial"/>
          <w:lang w:val="es-ES"/>
        </w:rPr>
      </w:pPr>
    </w:p>
    <w:p w:rsidR="006312E8" w:rsidRPr="006312E8" w:rsidRDefault="006312E8" w:rsidP="006312E8">
      <w:pPr>
        <w:spacing w:after="0" w:line="240" w:lineRule="auto"/>
        <w:ind w:left="709" w:hanging="567"/>
        <w:contextualSpacing/>
        <w:jc w:val="both"/>
        <w:rPr>
          <w:rFonts w:ascii="Arial" w:eastAsia="Calibri" w:hAnsi="Arial" w:cs="Arial"/>
          <w:lang w:val="es-ES"/>
        </w:rPr>
      </w:pPr>
      <w:r w:rsidRPr="006312E8">
        <w:rPr>
          <w:rFonts w:ascii="Arial" w:eastAsia="Calibri" w:hAnsi="Arial" w:cs="Arial"/>
          <w:lang w:val="es-ES"/>
        </w:rPr>
        <w:t>114) Proyecto de Regulación del Río Chillón para Abastecimiento de Agua para Lima.</w:t>
      </w:r>
    </w:p>
    <w:p w:rsidR="006312E8" w:rsidRPr="006312E8" w:rsidRDefault="006312E8" w:rsidP="006312E8">
      <w:pPr>
        <w:spacing w:after="0" w:line="240" w:lineRule="auto"/>
        <w:ind w:left="709" w:hanging="567"/>
        <w:contextualSpacing/>
        <w:jc w:val="both"/>
        <w:rPr>
          <w:rFonts w:ascii="Arial" w:eastAsia="Calibri" w:hAnsi="Arial" w:cs="Arial"/>
          <w:lang w:val="es-ES"/>
        </w:rPr>
      </w:pPr>
    </w:p>
    <w:p w:rsidR="006312E8" w:rsidRPr="006312E8" w:rsidRDefault="006312E8" w:rsidP="006312E8">
      <w:pPr>
        <w:spacing w:after="0" w:line="240" w:lineRule="auto"/>
        <w:ind w:left="709" w:hanging="567"/>
        <w:contextualSpacing/>
        <w:jc w:val="both"/>
        <w:rPr>
          <w:rFonts w:ascii="Arial" w:eastAsia="Calibri" w:hAnsi="Arial" w:cs="Arial"/>
          <w:lang w:val="es-ES"/>
        </w:rPr>
      </w:pPr>
      <w:r w:rsidRPr="006312E8">
        <w:rPr>
          <w:rFonts w:ascii="Arial" w:eastAsia="Calibri" w:hAnsi="Arial" w:cs="Arial"/>
          <w:lang w:val="es-ES"/>
        </w:rPr>
        <w:t>115) Ampliación y mejoramiento del sistema de agua potable de la ciudad de Tumbes.</w:t>
      </w:r>
    </w:p>
    <w:p w:rsidR="006312E8" w:rsidRPr="006312E8" w:rsidRDefault="006312E8" w:rsidP="006312E8">
      <w:pPr>
        <w:spacing w:after="0" w:line="240" w:lineRule="auto"/>
        <w:ind w:left="709" w:hanging="567"/>
        <w:contextualSpacing/>
        <w:jc w:val="both"/>
        <w:rPr>
          <w:rFonts w:ascii="Arial" w:eastAsia="Calibri" w:hAnsi="Arial" w:cs="Arial"/>
          <w:lang w:val="es-ES"/>
        </w:rPr>
      </w:pPr>
    </w:p>
    <w:p w:rsidR="006312E8" w:rsidRPr="006312E8" w:rsidRDefault="006312E8" w:rsidP="006312E8">
      <w:pPr>
        <w:spacing w:after="0" w:line="240" w:lineRule="auto"/>
        <w:ind w:left="709" w:hanging="567"/>
        <w:contextualSpacing/>
        <w:jc w:val="both"/>
        <w:rPr>
          <w:rFonts w:ascii="Arial" w:eastAsia="Calibri" w:hAnsi="Arial" w:cs="Arial"/>
          <w:lang w:val="es-ES"/>
        </w:rPr>
      </w:pPr>
      <w:r w:rsidRPr="006312E8">
        <w:rPr>
          <w:rFonts w:ascii="Arial" w:eastAsia="Calibri" w:hAnsi="Arial" w:cs="Arial"/>
          <w:lang w:val="es-ES"/>
        </w:rPr>
        <w:t>116) Construcción de colectores e interceptores y sistema de tratamiento de aguas residuales de la ciudad de Tumbes.</w:t>
      </w:r>
    </w:p>
    <w:p w:rsidR="006312E8" w:rsidRPr="006312E8" w:rsidRDefault="006312E8" w:rsidP="006312E8">
      <w:pPr>
        <w:spacing w:after="0" w:line="240" w:lineRule="auto"/>
        <w:ind w:left="709" w:hanging="567"/>
        <w:contextualSpacing/>
        <w:jc w:val="both"/>
        <w:rPr>
          <w:rFonts w:ascii="Arial" w:eastAsia="Calibri" w:hAnsi="Arial" w:cs="Arial"/>
          <w:lang w:val="es-ES"/>
        </w:rPr>
      </w:pPr>
    </w:p>
    <w:p w:rsidR="006312E8" w:rsidRPr="006312E8" w:rsidRDefault="006312E8" w:rsidP="006312E8">
      <w:pPr>
        <w:spacing w:after="0" w:line="240" w:lineRule="auto"/>
        <w:ind w:left="709" w:hanging="567"/>
        <w:contextualSpacing/>
        <w:jc w:val="both"/>
        <w:rPr>
          <w:rFonts w:ascii="Arial" w:eastAsia="Calibri" w:hAnsi="Arial" w:cs="Arial"/>
          <w:lang w:val="es-ES"/>
        </w:rPr>
      </w:pPr>
      <w:r w:rsidRPr="006312E8">
        <w:rPr>
          <w:rFonts w:ascii="Arial" w:eastAsia="Calibri" w:hAnsi="Arial" w:cs="Arial"/>
          <w:lang w:val="es-ES"/>
        </w:rPr>
        <w:t>117) Ampliación del sistema de tratamiento de aguas residuales del distrito de Corrales - Tumbes.</w:t>
      </w:r>
    </w:p>
    <w:p w:rsidR="006312E8" w:rsidRPr="006312E8" w:rsidRDefault="006312E8" w:rsidP="006312E8">
      <w:pPr>
        <w:spacing w:after="0" w:line="240" w:lineRule="auto"/>
        <w:ind w:left="709" w:hanging="567"/>
        <w:contextualSpacing/>
        <w:jc w:val="both"/>
        <w:rPr>
          <w:rFonts w:ascii="Arial" w:eastAsia="Calibri" w:hAnsi="Arial" w:cs="Arial"/>
          <w:lang w:val="es-ES"/>
        </w:rPr>
      </w:pPr>
    </w:p>
    <w:p w:rsidR="006312E8" w:rsidRPr="006312E8" w:rsidRDefault="006312E8" w:rsidP="006312E8">
      <w:pPr>
        <w:spacing w:after="0" w:line="240" w:lineRule="auto"/>
        <w:ind w:left="709" w:hanging="567"/>
        <w:contextualSpacing/>
        <w:jc w:val="both"/>
        <w:rPr>
          <w:rFonts w:ascii="Arial" w:eastAsia="Calibri" w:hAnsi="Arial" w:cs="Arial"/>
          <w:lang w:val="es-ES"/>
        </w:rPr>
      </w:pPr>
      <w:r w:rsidRPr="006312E8">
        <w:rPr>
          <w:rFonts w:ascii="Arial" w:eastAsia="Calibri" w:hAnsi="Arial" w:cs="Arial"/>
          <w:lang w:val="es-ES"/>
        </w:rPr>
        <w:t>118) Ampliación y mejoramiento del sistema de agua potable de los distritos de Corrales y San Jacinto - Tumbes.</w:t>
      </w:r>
    </w:p>
    <w:p w:rsidR="006312E8" w:rsidRPr="006312E8" w:rsidRDefault="006312E8" w:rsidP="006312E8">
      <w:pPr>
        <w:spacing w:after="0" w:line="240" w:lineRule="auto"/>
        <w:ind w:left="709" w:hanging="567"/>
        <w:contextualSpacing/>
        <w:jc w:val="both"/>
        <w:rPr>
          <w:rFonts w:ascii="Arial" w:eastAsia="Calibri" w:hAnsi="Arial" w:cs="Arial"/>
          <w:lang w:val="es-ES"/>
        </w:rPr>
      </w:pPr>
    </w:p>
    <w:p w:rsidR="006312E8" w:rsidRPr="006312E8" w:rsidRDefault="006312E8" w:rsidP="006312E8">
      <w:pPr>
        <w:spacing w:after="0" w:line="240" w:lineRule="auto"/>
        <w:ind w:left="709" w:hanging="567"/>
        <w:contextualSpacing/>
        <w:jc w:val="both"/>
        <w:rPr>
          <w:rFonts w:ascii="Arial" w:eastAsia="Calibri" w:hAnsi="Arial" w:cs="Arial"/>
          <w:lang w:val="es-ES"/>
        </w:rPr>
      </w:pPr>
      <w:r w:rsidRPr="006312E8">
        <w:rPr>
          <w:rFonts w:ascii="Arial" w:eastAsia="Calibri" w:hAnsi="Arial" w:cs="Arial"/>
          <w:lang w:val="es-ES"/>
        </w:rPr>
        <w:t>119) Construcción del sistema de tratamiento de aguas residuales del distrito de Zorritos - Tumbes.</w:t>
      </w:r>
    </w:p>
    <w:p w:rsidR="006312E8" w:rsidRPr="006312E8" w:rsidRDefault="006312E8" w:rsidP="006312E8">
      <w:pPr>
        <w:spacing w:after="0" w:line="240" w:lineRule="auto"/>
        <w:ind w:left="709" w:hanging="567"/>
        <w:contextualSpacing/>
        <w:jc w:val="both"/>
        <w:rPr>
          <w:rFonts w:ascii="Arial" w:eastAsia="Calibri" w:hAnsi="Arial" w:cs="Arial"/>
          <w:lang w:val="es-ES"/>
        </w:rPr>
      </w:pPr>
    </w:p>
    <w:p w:rsidR="006312E8" w:rsidRPr="006312E8" w:rsidRDefault="006312E8" w:rsidP="006312E8">
      <w:pPr>
        <w:spacing w:after="0" w:line="240" w:lineRule="auto"/>
        <w:ind w:left="709" w:hanging="567"/>
        <w:contextualSpacing/>
        <w:jc w:val="both"/>
        <w:rPr>
          <w:rFonts w:ascii="Arial" w:eastAsia="Calibri" w:hAnsi="Arial" w:cs="Arial"/>
          <w:lang w:val="es-ES"/>
        </w:rPr>
      </w:pPr>
      <w:r w:rsidRPr="006312E8">
        <w:rPr>
          <w:rFonts w:ascii="Arial" w:eastAsia="Calibri" w:hAnsi="Arial" w:cs="Arial"/>
          <w:lang w:val="es-ES"/>
        </w:rPr>
        <w:t>120) Ampliación del sistema de tratamiento de aguas residuales del distrito de La Cruz - Tumbes.</w:t>
      </w:r>
    </w:p>
    <w:p w:rsidR="006312E8" w:rsidRPr="006312E8" w:rsidRDefault="006312E8" w:rsidP="006312E8">
      <w:pPr>
        <w:spacing w:after="0" w:line="240" w:lineRule="auto"/>
        <w:ind w:left="709" w:hanging="567"/>
        <w:contextualSpacing/>
        <w:jc w:val="both"/>
        <w:rPr>
          <w:rFonts w:ascii="Arial" w:eastAsia="Calibri" w:hAnsi="Arial" w:cs="Arial"/>
          <w:lang w:val="es-ES"/>
        </w:rPr>
      </w:pPr>
    </w:p>
    <w:p w:rsidR="006312E8" w:rsidRPr="006312E8" w:rsidRDefault="006312E8" w:rsidP="006312E8">
      <w:pPr>
        <w:spacing w:after="0" w:line="240" w:lineRule="auto"/>
        <w:ind w:left="709" w:hanging="567"/>
        <w:contextualSpacing/>
        <w:jc w:val="both"/>
        <w:rPr>
          <w:rFonts w:ascii="Arial" w:eastAsia="Calibri" w:hAnsi="Arial" w:cs="Arial"/>
          <w:lang w:val="es-ES"/>
        </w:rPr>
      </w:pPr>
      <w:r w:rsidRPr="006312E8">
        <w:rPr>
          <w:rFonts w:ascii="Arial" w:eastAsia="Calibri" w:hAnsi="Arial" w:cs="Arial"/>
          <w:lang w:val="es-ES"/>
        </w:rPr>
        <w:t>121) Ampliación y mejoramiento del sistema de agua potable del distrito de La Cruz - Tumbes.</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425"/>
        <w:contextualSpacing/>
        <w:jc w:val="both"/>
        <w:rPr>
          <w:rFonts w:ascii="Arial" w:eastAsia="Calibri" w:hAnsi="Arial" w:cs="Arial"/>
          <w:b/>
          <w:lang w:val="es-ES"/>
        </w:rPr>
      </w:pPr>
      <w:r w:rsidRPr="006312E8">
        <w:rPr>
          <w:rFonts w:ascii="Arial" w:eastAsia="Calibri" w:hAnsi="Arial" w:cs="Arial"/>
          <w:b/>
          <w:lang w:val="es-ES"/>
        </w:rPr>
        <w:t>INFRAESTRUCTURA DE DESARROLLO URBANO</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567"/>
        <w:contextualSpacing/>
        <w:jc w:val="both"/>
        <w:rPr>
          <w:rFonts w:ascii="Arial" w:eastAsia="Calibri" w:hAnsi="Arial" w:cs="Arial"/>
          <w:lang w:val="es-ES"/>
        </w:rPr>
      </w:pPr>
      <w:r w:rsidRPr="006312E8">
        <w:rPr>
          <w:rFonts w:ascii="Arial" w:eastAsia="Calibri" w:hAnsi="Arial" w:cs="Arial"/>
          <w:lang w:val="es-ES"/>
        </w:rPr>
        <w:t>122) Proyecto Malecón Belén.</w:t>
      </w:r>
    </w:p>
    <w:p w:rsidR="006312E8" w:rsidRPr="006312E8" w:rsidRDefault="006312E8" w:rsidP="006312E8">
      <w:pPr>
        <w:spacing w:after="0" w:line="240" w:lineRule="auto"/>
        <w:ind w:left="709" w:hanging="567"/>
        <w:contextualSpacing/>
        <w:jc w:val="both"/>
        <w:rPr>
          <w:rFonts w:ascii="Arial" w:eastAsia="Calibri" w:hAnsi="Arial" w:cs="Arial"/>
          <w:lang w:val="es-ES"/>
        </w:rPr>
      </w:pPr>
    </w:p>
    <w:p w:rsidR="006312E8" w:rsidRPr="006312E8" w:rsidRDefault="006312E8" w:rsidP="006312E8">
      <w:pPr>
        <w:spacing w:after="0" w:line="240" w:lineRule="auto"/>
        <w:ind w:left="709" w:hanging="567"/>
        <w:contextualSpacing/>
        <w:jc w:val="both"/>
        <w:rPr>
          <w:rFonts w:ascii="Arial" w:eastAsia="Calibri" w:hAnsi="Arial" w:cs="Arial"/>
          <w:lang w:val="es-ES"/>
        </w:rPr>
      </w:pPr>
      <w:r w:rsidRPr="006312E8">
        <w:rPr>
          <w:rFonts w:ascii="Arial" w:eastAsia="Calibri" w:hAnsi="Arial" w:cs="Arial"/>
          <w:lang w:val="es-ES"/>
        </w:rPr>
        <w:t>123) Proyecto de recuperación y ordenamiento urbano del sector emblemático del mercado antiguo de Belén y entorno.</w:t>
      </w:r>
    </w:p>
    <w:p w:rsidR="006312E8" w:rsidRPr="006312E8" w:rsidRDefault="006312E8" w:rsidP="006312E8">
      <w:pPr>
        <w:spacing w:after="0" w:line="240" w:lineRule="auto"/>
        <w:ind w:left="709" w:hanging="567"/>
        <w:contextualSpacing/>
        <w:jc w:val="both"/>
        <w:rPr>
          <w:rFonts w:ascii="Arial" w:eastAsia="Calibri" w:hAnsi="Arial" w:cs="Arial"/>
          <w:lang w:val="es-ES"/>
        </w:rPr>
      </w:pPr>
    </w:p>
    <w:p w:rsidR="006312E8" w:rsidRPr="006312E8" w:rsidRDefault="006312E8" w:rsidP="006312E8">
      <w:pPr>
        <w:spacing w:after="0" w:line="240" w:lineRule="auto"/>
        <w:ind w:left="709" w:hanging="567"/>
        <w:contextualSpacing/>
        <w:jc w:val="both"/>
        <w:rPr>
          <w:rFonts w:ascii="Arial" w:eastAsia="Calibri" w:hAnsi="Arial" w:cs="Arial"/>
          <w:lang w:val="es-ES"/>
        </w:rPr>
      </w:pPr>
      <w:r w:rsidRPr="006312E8">
        <w:rPr>
          <w:rFonts w:ascii="Arial" w:eastAsia="Calibri" w:hAnsi="Arial" w:cs="Arial"/>
          <w:lang w:val="es-ES"/>
        </w:rPr>
        <w:t>124) Mercado Mayorista de Iquitos-Belén</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246CE9" w:rsidRDefault="00246CE9" w:rsidP="006312E8">
      <w:pPr>
        <w:spacing w:after="0" w:line="240" w:lineRule="auto"/>
        <w:ind w:left="709" w:hanging="425"/>
        <w:contextualSpacing/>
        <w:jc w:val="both"/>
        <w:rPr>
          <w:rFonts w:ascii="Arial" w:eastAsia="Calibri" w:hAnsi="Arial" w:cs="Arial"/>
          <w:b/>
          <w:lang w:val="es-ES"/>
        </w:rPr>
      </w:pPr>
    </w:p>
    <w:p w:rsidR="00246CE9" w:rsidRDefault="00246CE9" w:rsidP="006312E8">
      <w:pPr>
        <w:spacing w:after="0" w:line="240" w:lineRule="auto"/>
        <w:ind w:left="709" w:hanging="425"/>
        <w:contextualSpacing/>
        <w:jc w:val="both"/>
        <w:rPr>
          <w:rFonts w:ascii="Arial" w:eastAsia="Calibri" w:hAnsi="Arial" w:cs="Arial"/>
          <w:b/>
          <w:lang w:val="es-ES"/>
        </w:rPr>
      </w:pPr>
    </w:p>
    <w:p w:rsidR="006312E8" w:rsidRPr="006312E8" w:rsidRDefault="006312E8" w:rsidP="006312E8">
      <w:pPr>
        <w:spacing w:after="0" w:line="240" w:lineRule="auto"/>
        <w:ind w:left="709" w:hanging="425"/>
        <w:contextualSpacing/>
        <w:jc w:val="both"/>
        <w:rPr>
          <w:rFonts w:ascii="Arial" w:eastAsia="Calibri" w:hAnsi="Arial" w:cs="Arial"/>
          <w:b/>
          <w:lang w:val="es-ES"/>
        </w:rPr>
      </w:pPr>
      <w:r w:rsidRPr="006312E8">
        <w:rPr>
          <w:rFonts w:ascii="Arial" w:eastAsia="Calibri" w:hAnsi="Arial" w:cs="Arial"/>
          <w:b/>
          <w:lang w:val="es-ES"/>
        </w:rPr>
        <w:t>INFRAESTRUCTURA DE MOVILIDAD URBANA Y RURAL</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spacing w:after="0" w:line="240" w:lineRule="auto"/>
        <w:ind w:left="709" w:hanging="567"/>
        <w:contextualSpacing/>
        <w:jc w:val="both"/>
        <w:rPr>
          <w:rFonts w:ascii="Arial" w:eastAsia="Calibri" w:hAnsi="Arial" w:cs="Arial"/>
          <w:lang w:val="es-ES"/>
        </w:rPr>
      </w:pPr>
      <w:r w:rsidRPr="006312E8">
        <w:rPr>
          <w:rFonts w:ascii="Arial" w:eastAsia="Calibri" w:hAnsi="Arial" w:cs="Arial"/>
          <w:lang w:val="es-ES"/>
        </w:rPr>
        <w:t>125) Proyecto Teleférico Choquequirao</w:t>
      </w:r>
    </w:p>
    <w:p w:rsidR="006312E8" w:rsidRPr="006312E8" w:rsidRDefault="006312E8" w:rsidP="006312E8">
      <w:pPr>
        <w:spacing w:after="0" w:line="240" w:lineRule="auto"/>
        <w:ind w:left="709" w:hanging="567"/>
        <w:contextualSpacing/>
        <w:jc w:val="both"/>
        <w:rPr>
          <w:rFonts w:ascii="Arial" w:eastAsia="Calibri" w:hAnsi="Arial" w:cs="Arial"/>
          <w:lang w:val="es-ES"/>
        </w:rPr>
      </w:pPr>
      <w:r w:rsidRPr="006312E8">
        <w:rPr>
          <w:rFonts w:ascii="Arial" w:eastAsia="Calibri" w:hAnsi="Arial" w:cs="Arial"/>
          <w:lang w:val="es-ES"/>
        </w:rPr>
        <w:t>126) Proyecto Teleférico El Agustino</w:t>
      </w:r>
    </w:p>
    <w:p w:rsidR="006312E8" w:rsidRPr="006312E8" w:rsidRDefault="006312E8" w:rsidP="006312E8">
      <w:pPr>
        <w:spacing w:after="0" w:line="240" w:lineRule="auto"/>
        <w:ind w:left="709" w:hanging="567"/>
        <w:contextualSpacing/>
        <w:jc w:val="both"/>
        <w:rPr>
          <w:rFonts w:ascii="Arial" w:eastAsia="Calibri" w:hAnsi="Arial" w:cs="Arial"/>
          <w:lang w:val="es-ES"/>
        </w:rPr>
      </w:pPr>
      <w:r w:rsidRPr="006312E8">
        <w:rPr>
          <w:rFonts w:ascii="Arial" w:eastAsia="Calibri" w:hAnsi="Arial" w:cs="Arial"/>
          <w:lang w:val="es-ES"/>
        </w:rPr>
        <w:t>127) Proyecto Teleférico Lima Norte (*)</w:t>
      </w:r>
    </w:p>
    <w:p w:rsidR="006312E8" w:rsidRPr="006312E8" w:rsidRDefault="006312E8" w:rsidP="006312E8">
      <w:pPr>
        <w:spacing w:after="0" w:line="240" w:lineRule="auto"/>
        <w:contextualSpacing/>
        <w:jc w:val="both"/>
        <w:rPr>
          <w:rFonts w:ascii="Arial" w:eastAsia="Calibri" w:hAnsi="Arial" w:cs="Arial"/>
          <w:b/>
          <w:color w:val="FF0000"/>
          <w:sz w:val="16"/>
          <w:szCs w:val="16"/>
          <w:lang w:val="es-ES"/>
        </w:rPr>
      </w:pPr>
    </w:p>
    <w:p w:rsidR="006312E8" w:rsidRPr="006312E8" w:rsidRDefault="006312E8" w:rsidP="006312E8">
      <w:pPr>
        <w:spacing w:after="0" w:line="240" w:lineRule="auto"/>
        <w:ind w:left="284"/>
        <w:contextualSpacing/>
        <w:jc w:val="both"/>
        <w:rPr>
          <w:rFonts w:ascii="Arial" w:eastAsia="Calibri" w:hAnsi="Arial" w:cs="Arial"/>
          <w:b/>
          <w:color w:val="FF0000"/>
          <w:sz w:val="16"/>
          <w:szCs w:val="16"/>
          <w:lang w:val="es-ES"/>
        </w:rPr>
      </w:pPr>
      <w:r w:rsidRPr="006312E8">
        <w:rPr>
          <w:rFonts w:ascii="Arial" w:eastAsia="Calibri" w:hAnsi="Arial" w:cs="Arial"/>
          <w:b/>
          <w:color w:val="FF0000"/>
          <w:sz w:val="16"/>
          <w:szCs w:val="16"/>
          <w:lang w:val="es-ES"/>
        </w:rPr>
        <w:t>(*) Numerales incorporados por la Sétima Disposición Complementaria Modificatoria de la Ley N° 30281, publicada el 04 diciembre 2014</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709" w:hanging="567"/>
        <w:jc w:val="both"/>
        <w:rPr>
          <w:rFonts w:ascii="Arial" w:eastAsia="Calibri" w:hAnsi="Arial" w:cs="Arial"/>
        </w:rPr>
      </w:pPr>
      <w:r w:rsidRPr="006312E8">
        <w:rPr>
          <w:rFonts w:ascii="Arial" w:eastAsia="Calibri" w:hAnsi="Arial" w:cs="Arial"/>
        </w:rPr>
        <w:t xml:space="preserve">128) </w:t>
      </w:r>
      <w:r w:rsidRPr="006312E8">
        <w:rPr>
          <w:rFonts w:ascii="Arial" w:eastAsia="Calibri" w:hAnsi="Arial" w:cs="Arial"/>
        </w:rPr>
        <w:tab/>
        <w:t xml:space="preserve">Majes - Sihuas II Etapa. </w:t>
      </w:r>
    </w:p>
    <w:p w:rsidR="006312E8" w:rsidRPr="006312E8" w:rsidRDefault="006312E8" w:rsidP="006312E8">
      <w:pPr>
        <w:spacing w:after="0" w:line="240" w:lineRule="auto"/>
        <w:ind w:left="709" w:hanging="567"/>
        <w:jc w:val="both"/>
        <w:rPr>
          <w:rFonts w:ascii="Arial" w:eastAsia="Calibri" w:hAnsi="Arial" w:cs="Arial"/>
        </w:rPr>
      </w:pPr>
    </w:p>
    <w:p w:rsidR="006312E8" w:rsidRPr="006312E8" w:rsidRDefault="006312E8" w:rsidP="006312E8">
      <w:pPr>
        <w:spacing w:after="0" w:line="240" w:lineRule="auto"/>
        <w:ind w:left="709" w:hanging="567"/>
        <w:jc w:val="both"/>
        <w:rPr>
          <w:rFonts w:ascii="Arial" w:eastAsia="Calibri" w:hAnsi="Arial" w:cs="Arial"/>
        </w:rPr>
      </w:pPr>
      <w:r w:rsidRPr="006312E8">
        <w:rPr>
          <w:rFonts w:ascii="Arial" w:eastAsia="Calibri" w:hAnsi="Arial" w:cs="Arial"/>
        </w:rPr>
        <w:t xml:space="preserve">129) </w:t>
      </w:r>
      <w:r w:rsidRPr="006312E8">
        <w:rPr>
          <w:rFonts w:ascii="Arial" w:eastAsia="Calibri" w:hAnsi="Arial" w:cs="Arial"/>
        </w:rPr>
        <w:tab/>
        <w:t xml:space="preserve">Chavimochic III Etapa. </w:t>
      </w:r>
    </w:p>
    <w:p w:rsidR="006312E8" w:rsidRPr="006312E8" w:rsidRDefault="006312E8" w:rsidP="006312E8">
      <w:pPr>
        <w:spacing w:after="0" w:line="240" w:lineRule="auto"/>
        <w:ind w:left="709" w:hanging="567"/>
        <w:jc w:val="both"/>
        <w:rPr>
          <w:rFonts w:ascii="Arial" w:eastAsia="Calibri" w:hAnsi="Arial" w:cs="Arial"/>
        </w:rPr>
      </w:pPr>
    </w:p>
    <w:p w:rsidR="006312E8" w:rsidRPr="006312E8" w:rsidRDefault="006312E8" w:rsidP="006312E8">
      <w:pPr>
        <w:spacing w:after="0" w:line="240" w:lineRule="auto"/>
        <w:ind w:left="709" w:hanging="567"/>
        <w:jc w:val="both"/>
        <w:rPr>
          <w:rFonts w:ascii="Arial" w:eastAsia="Calibri" w:hAnsi="Arial" w:cs="Arial"/>
        </w:rPr>
      </w:pPr>
      <w:r w:rsidRPr="006312E8">
        <w:rPr>
          <w:rFonts w:ascii="Arial" w:eastAsia="Calibri" w:hAnsi="Arial" w:cs="Arial"/>
        </w:rPr>
        <w:t xml:space="preserve">130) </w:t>
      </w:r>
      <w:r w:rsidRPr="006312E8">
        <w:rPr>
          <w:rFonts w:ascii="Arial" w:eastAsia="Calibri" w:hAnsi="Arial" w:cs="Arial"/>
        </w:rPr>
        <w:tab/>
        <w:t xml:space="preserve">Carretera Longitudinal de la Sierra: Huancayo- Izcuchaca-Mayocc-Ayacucho/Ayacucho- Andahuaylas-Puente Sahuinto/ Dv. Pisco- Huaytará-Ayacucho. </w:t>
      </w:r>
    </w:p>
    <w:p w:rsidR="006312E8" w:rsidRPr="006312E8" w:rsidRDefault="006312E8" w:rsidP="006312E8">
      <w:pPr>
        <w:spacing w:after="0" w:line="240" w:lineRule="auto"/>
        <w:ind w:left="709" w:hanging="567"/>
        <w:jc w:val="both"/>
        <w:rPr>
          <w:rFonts w:ascii="Arial" w:eastAsia="Calibri" w:hAnsi="Arial" w:cs="Arial"/>
        </w:rPr>
      </w:pPr>
    </w:p>
    <w:p w:rsidR="006312E8" w:rsidRPr="006312E8" w:rsidRDefault="006312E8" w:rsidP="006312E8">
      <w:pPr>
        <w:spacing w:after="0" w:line="240" w:lineRule="auto"/>
        <w:ind w:left="709" w:hanging="567"/>
        <w:jc w:val="both"/>
        <w:rPr>
          <w:rFonts w:ascii="Arial" w:eastAsia="Calibri" w:hAnsi="Arial" w:cs="Arial"/>
        </w:rPr>
      </w:pPr>
      <w:r w:rsidRPr="006312E8">
        <w:rPr>
          <w:rFonts w:ascii="Arial" w:eastAsia="Calibri" w:hAnsi="Arial" w:cs="Arial"/>
        </w:rPr>
        <w:t xml:space="preserve">131) </w:t>
      </w:r>
      <w:r w:rsidRPr="006312E8">
        <w:rPr>
          <w:rFonts w:ascii="Arial" w:eastAsia="Calibri" w:hAnsi="Arial" w:cs="Arial"/>
        </w:rPr>
        <w:tab/>
        <w:t xml:space="preserve">Tramo vial Desvío Quilca-Desvío Arequipa (Repartición)-Desvío Matarani-Desvío Moquegua; Desvío Ilo-Tacna-La Concordia. </w:t>
      </w:r>
    </w:p>
    <w:p w:rsidR="006312E8" w:rsidRPr="006312E8" w:rsidRDefault="006312E8" w:rsidP="006312E8">
      <w:pPr>
        <w:spacing w:after="0" w:line="240" w:lineRule="auto"/>
        <w:ind w:left="709" w:hanging="567"/>
        <w:jc w:val="both"/>
        <w:rPr>
          <w:rFonts w:ascii="Arial" w:eastAsia="Calibri" w:hAnsi="Arial" w:cs="Arial"/>
        </w:rPr>
      </w:pPr>
    </w:p>
    <w:p w:rsidR="006312E8" w:rsidRPr="006312E8" w:rsidRDefault="006312E8" w:rsidP="006312E8">
      <w:pPr>
        <w:spacing w:after="0" w:line="240" w:lineRule="auto"/>
        <w:ind w:left="709" w:hanging="567"/>
        <w:jc w:val="both"/>
        <w:rPr>
          <w:rFonts w:ascii="Arial" w:eastAsia="Calibri" w:hAnsi="Arial" w:cs="Arial"/>
        </w:rPr>
      </w:pPr>
      <w:r w:rsidRPr="006312E8">
        <w:rPr>
          <w:rFonts w:ascii="Arial" w:eastAsia="Calibri" w:hAnsi="Arial" w:cs="Arial"/>
        </w:rPr>
        <w:t xml:space="preserve">132) </w:t>
      </w:r>
      <w:r w:rsidRPr="006312E8">
        <w:rPr>
          <w:rFonts w:ascii="Arial" w:eastAsia="Calibri" w:hAnsi="Arial" w:cs="Arial"/>
        </w:rPr>
        <w:tab/>
        <w:t xml:space="preserve">Reubicación de establecimientos penitenciarios. </w:t>
      </w:r>
    </w:p>
    <w:p w:rsidR="006312E8" w:rsidRPr="006312E8" w:rsidRDefault="006312E8" w:rsidP="006312E8">
      <w:pPr>
        <w:spacing w:after="0" w:line="240" w:lineRule="auto"/>
        <w:ind w:left="709" w:hanging="567"/>
        <w:jc w:val="both"/>
        <w:rPr>
          <w:rFonts w:ascii="Arial" w:eastAsia="Calibri" w:hAnsi="Arial" w:cs="Arial"/>
        </w:rPr>
      </w:pPr>
    </w:p>
    <w:p w:rsidR="006312E8" w:rsidRPr="006312E8" w:rsidRDefault="006312E8" w:rsidP="006312E8">
      <w:pPr>
        <w:spacing w:after="0" w:line="240" w:lineRule="auto"/>
        <w:ind w:left="709" w:hanging="567"/>
        <w:jc w:val="both"/>
        <w:rPr>
          <w:rFonts w:ascii="Arial" w:eastAsia="Calibri" w:hAnsi="Arial" w:cs="Arial"/>
        </w:rPr>
      </w:pPr>
      <w:r w:rsidRPr="006312E8">
        <w:rPr>
          <w:rFonts w:ascii="Arial" w:eastAsia="Calibri" w:hAnsi="Arial" w:cs="Arial"/>
        </w:rPr>
        <w:t xml:space="preserve">133) </w:t>
      </w:r>
      <w:r w:rsidRPr="006312E8">
        <w:rPr>
          <w:rFonts w:ascii="Arial" w:eastAsia="Calibri" w:hAnsi="Arial" w:cs="Arial"/>
        </w:rPr>
        <w:tab/>
        <w:t xml:space="preserve">Mejoras a la seguridad energética del país y desarrollo del Gasoducto Sur Peruano. </w:t>
      </w:r>
    </w:p>
    <w:p w:rsidR="006312E8" w:rsidRPr="006312E8" w:rsidRDefault="006312E8" w:rsidP="006312E8">
      <w:pPr>
        <w:spacing w:after="0" w:line="240" w:lineRule="auto"/>
        <w:ind w:left="709" w:hanging="567"/>
        <w:jc w:val="both"/>
        <w:rPr>
          <w:rFonts w:ascii="Arial" w:eastAsia="Calibri" w:hAnsi="Arial" w:cs="Arial"/>
        </w:rPr>
      </w:pPr>
    </w:p>
    <w:p w:rsidR="006312E8" w:rsidRPr="006312E8" w:rsidRDefault="006312E8" w:rsidP="006312E8">
      <w:pPr>
        <w:spacing w:after="0" w:line="240" w:lineRule="auto"/>
        <w:ind w:left="709" w:hanging="567"/>
        <w:jc w:val="both"/>
        <w:rPr>
          <w:rFonts w:ascii="Arial" w:eastAsia="Calibri" w:hAnsi="Arial" w:cs="Arial"/>
        </w:rPr>
      </w:pPr>
      <w:r w:rsidRPr="006312E8">
        <w:rPr>
          <w:rFonts w:ascii="Arial" w:eastAsia="Calibri" w:hAnsi="Arial" w:cs="Arial"/>
        </w:rPr>
        <w:t xml:space="preserve">134) Aeropuerto de Chachapoyas, ubicado en la ciudad de Chachapoyas-Gobierno Regional de Amazonas. </w:t>
      </w:r>
    </w:p>
    <w:p w:rsidR="006312E8" w:rsidRPr="006312E8" w:rsidRDefault="006312E8" w:rsidP="006312E8">
      <w:pPr>
        <w:spacing w:after="0" w:line="240" w:lineRule="auto"/>
        <w:ind w:left="709" w:hanging="567"/>
        <w:jc w:val="both"/>
        <w:rPr>
          <w:rFonts w:ascii="Arial" w:eastAsia="Calibri" w:hAnsi="Arial" w:cs="Arial"/>
        </w:rPr>
      </w:pPr>
    </w:p>
    <w:p w:rsidR="006312E8" w:rsidRPr="006312E8" w:rsidRDefault="006312E8" w:rsidP="006312E8">
      <w:pPr>
        <w:spacing w:after="0" w:line="240" w:lineRule="auto"/>
        <w:ind w:left="709" w:hanging="567"/>
        <w:jc w:val="both"/>
        <w:rPr>
          <w:rFonts w:ascii="Arial" w:eastAsia="Calibri" w:hAnsi="Arial" w:cs="Arial"/>
        </w:rPr>
      </w:pPr>
      <w:r w:rsidRPr="006312E8">
        <w:rPr>
          <w:rFonts w:ascii="Arial" w:eastAsia="Calibri" w:hAnsi="Arial" w:cs="Arial"/>
        </w:rPr>
        <w:t xml:space="preserve">135) Aeropuerto de Andahuaylas, del distrito de Andahuaylas, provincia de Andahuaylas y departamento de Apurímac. </w:t>
      </w:r>
    </w:p>
    <w:p w:rsidR="006312E8" w:rsidRPr="006312E8" w:rsidRDefault="006312E8" w:rsidP="006312E8">
      <w:pPr>
        <w:spacing w:after="0" w:line="240" w:lineRule="auto"/>
        <w:ind w:left="709" w:hanging="567"/>
        <w:jc w:val="both"/>
        <w:rPr>
          <w:rFonts w:ascii="Arial" w:eastAsia="Calibri" w:hAnsi="Arial" w:cs="Arial"/>
        </w:rPr>
      </w:pPr>
    </w:p>
    <w:p w:rsidR="006312E8" w:rsidRPr="006312E8" w:rsidRDefault="006312E8" w:rsidP="006312E8">
      <w:pPr>
        <w:spacing w:after="0" w:line="240" w:lineRule="auto"/>
        <w:ind w:left="709" w:hanging="567"/>
        <w:jc w:val="both"/>
        <w:rPr>
          <w:rFonts w:ascii="Arial" w:eastAsia="Calibri" w:hAnsi="Arial" w:cs="Arial"/>
        </w:rPr>
      </w:pPr>
      <w:r w:rsidRPr="006312E8">
        <w:rPr>
          <w:rFonts w:ascii="Arial" w:eastAsia="Calibri" w:hAnsi="Arial" w:cs="Arial"/>
        </w:rPr>
        <w:t xml:space="preserve">136) </w:t>
      </w:r>
      <w:r w:rsidRPr="006312E8">
        <w:rPr>
          <w:rFonts w:ascii="Arial" w:eastAsia="Calibri" w:hAnsi="Arial" w:cs="Arial"/>
        </w:rPr>
        <w:tab/>
        <w:t xml:space="preserve">Zonas de Actividades Logísticas y Antepuerto del Puerto del Callao. </w:t>
      </w:r>
    </w:p>
    <w:p w:rsidR="006312E8" w:rsidRPr="006312E8" w:rsidRDefault="006312E8" w:rsidP="006312E8">
      <w:pPr>
        <w:spacing w:after="0" w:line="240" w:lineRule="auto"/>
        <w:ind w:left="709" w:hanging="567"/>
        <w:jc w:val="both"/>
        <w:rPr>
          <w:rFonts w:ascii="Arial" w:eastAsia="Calibri" w:hAnsi="Arial" w:cs="Arial"/>
        </w:rPr>
      </w:pPr>
    </w:p>
    <w:p w:rsidR="006312E8" w:rsidRPr="006312E8" w:rsidRDefault="006312E8" w:rsidP="006312E8">
      <w:pPr>
        <w:spacing w:after="0" w:line="240" w:lineRule="auto"/>
        <w:ind w:left="709" w:hanging="567"/>
        <w:jc w:val="both"/>
        <w:rPr>
          <w:rFonts w:ascii="Arial" w:eastAsia="Calibri" w:hAnsi="Arial" w:cs="Arial"/>
        </w:rPr>
      </w:pPr>
      <w:r w:rsidRPr="006312E8">
        <w:rPr>
          <w:rFonts w:ascii="Arial" w:eastAsia="Calibri" w:hAnsi="Arial" w:cs="Arial"/>
        </w:rPr>
        <w:t xml:space="preserve">137) </w:t>
      </w:r>
      <w:r w:rsidRPr="006312E8">
        <w:rPr>
          <w:rFonts w:ascii="Arial" w:eastAsia="Calibri" w:hAnsi="Arial" w:cs="Arial"/>
        </w:rPr>
        <w:tab/>
        <w:t xml:space="preserve">Carretera San Marcos-Cajabamba-Sausacocha- Tramo: San Marcos-Cajabamba. </w:t>
      </w:r>
    </w:p>
    <w:p w:rsidR="006312E8" w:rsidRPr="006312E8" w:rsidRDefault="006312E8" w:rsidP="006312E8">
      <w:pPr>
        <w:spacing w:after="0" w:line="240" w:lineRule="auto"/>
        <w:ind w:left="709" w:hanging="567"/>
        <w:jc w:val="both"/>
        <w:rPr>
          <w:rFonts w:ascii="Arial" w:eastAsia="Calibri" w:hAnsi="Arial" w:cs="Arial"/>
        </w:rPr>
      </w:pPr>
    </w:p>
    <w:p w:rsidR="006312E8" w:rsidRPr="006312E8" w:rsidRDefault="006312E8" w:rsidP="006312E8">
      <w:pPr>
        <w:spacing w:after="0" w:line="240" w:lineRule="auto"/>
        <w:ind w:left="709" w:hanging="567"/>
        <w:jc w:val="both"/>
        <w:rPr>
          <w:rFonts w:ascii="Arial" w:eastAsia="Calibri" w:hAnsi="Arial" w:cs="Arial"/>
        </w:rPr>
      </w:pPr>
      <w:r w:rsidRPr="006312E8">
        <w:rPr>
          <w:rFonts w:ascii="Arial" w:eastAsia="Calibri" w:hAnsi="Arial" w:cs="Arial"/>
        </w:rPr>
        <w:t xml:space="preserve">138) </w:t>
      </w:r>
      <w:r w:rsidRPr="006312E8">
        <w:rPr>
          <w:rFonts w:ascii="Arial" w:eastAsia="Calibri" w:hAnsi="Arial" w:cs="Arial"/>
        </w:rPr>
        <w:tab/>
        <w:t xml:space="preserve">Carretera Andahuaylas-Pampachiri-Negromayo, Tramo: Andahuaylas-Huancabamba. </w:t>
      </w:r>
    </w:p>
    <w:p w:rsidR="006312E8" w:rsidRPr="006312E8" w:rsidRDefault="006312E8" w:rsidP="006312E8">
      <w:pPr>
        <w:spacing w:after="0" w:line="240" w:lineRule="auto"/>
        <w:ind w:left="709" w:hanging="567"/>
        <w:jc w:val="both"/>
        <w:rPr>
          <w:rFonts w:ascii="Arial" w:eastAsia="Calibri" w:hAnsi="Arial" w:cs="Arial"/>
        </w:rPr>
      </w:pPr>
    </w:p>
    <w:p w:rsidR="006312E8" w:rsidRPr="006312E8" w:rsidRDefault="006312E8" w:rsidP="006312E8">
      <w:pPr>
        <w:spacing w:after="0" w:line="240" w:lineRule="auto"/>
        <w:ind w:left="709" w:hanging="567"/>
        <w:jc w:val="both"/>
        <w:rPr>
          <w:rFonts w:ascii="Arial" w:eastAsia="Calibri" w:hAnsi="Arial" w:cs="Arial"/>
        </w:rPr>
      </w:pPr>
      <w:r w:rsidRPr="006312E8">
        <w:rPr>
          <w:rFonts w:ascii="Arial" w:eastAsia="Calibri" w:hAnsi="Arial" w:cs="Arial"/>
        </w:rPr>
        <w:t xml:space="preserve">139) </w:t>
      </w:r>
      <w:r w:rsidRPr="006312E8">
        <w:rPr>
          <w:rFonts w:ascii="Arial" w:eastAsia="Calibri" w:hAnsi="Arial" w:cs="Arial"/>
        </w:rPr>
        <w:tab/>
        <w:t xml:space="preserve">Carretera Rodríguez de Mendoza-Empalme Ruta N° PE-5N (La Calzada), Tramo: Selva Alegre-Empalme Ruta PE-5N (La Calzada). </w:t>
      </w:r>
    </w:p>
    <w:p w:rsidR="006312E8" w:rsidRPr="006312E8" w:rsidRDefault="006312E8" w:rsidP="006312E8">
      <w:pPr>
        <w:spacing w:after="0" w:line="240" w:lineRule="auto"/>
        <w:ind w:left="709" w:hanging="567"/>
        <w:jc w:val="both"/>
        <w:rPr>
          <w:rFonts w:ascii="Arial" w:eastAsia="Calibri" w:hAnsi="Arial" w:cs="Arial"/>
        </w:rPr>
      </w:pPr>
      <w:r w:rsidRPr="006312E8">
        <w:rPr>
          <w:rFonts w:ascii="Arial" w:eastAsia="Calibri" w:hAnsi="Arial" w:cs="Arial"/>
        </w:rPr>
        <w:t xml:space="preserve">140) </w:t>
      </w:r>
      <w:r w:rsidRPr="006312E8">
        <w:rPr>
          <w:rFonts w:ascii="Arial" w:eastAsia="Calibri" w:hAnsi="Arial" w:cs="Arial"/>
        </w:rPr>
        <w:tab/>
        <w:t xml:space="preserve">Carretera Ica-Los Molinos-T ambillos, Tramo: Puente La Achirana-Huamaní (Km. 19 + 700- Km. 33 + 500), incluido la construcción del Puente Achirana y Accesos. </w:t>
      </w:r>
    </w:p>
    <w:p w:rsidR="006312E8" w:rsidRPr="006312E8" w:rsidRDefault="006312E8" w:rsidP="006312E8">
      <w:pPr>
        <w:spacing w:after="0" w:line="240" w:lineRule="auto"/>
        <w:ind w:left="709" w:hanging="567"/>
        <w:jc w:val="both"/>
        <w:rPr>
          <w:rFonts w:ascii="Arial" w:eastAsia="Calibri" w:hAnsi="Arial" w:cs="Arial"/>
        </w:rPr>
      </w:pPr>
    </w:p>
    <w:p w:rsidR="006312E8" w:rsidRPr="006312E8" w:rsidRDefault="006312E8" w:rsidP="006312E8">
      <w:pPr>
        <w:spacing w:after="0" w:line="240" w:lineRule="auto"/>
        <w:ind w:left="709" w:hanging="567"/>
        <w:jc w:val="both"/>
        <w:rPr>
          <w:rFonts w:ascii="Arial" w:eastAsia="Calibri" w:hAnsi="Arial" w:cs="Arial"/>
        </w:rPr>
      </w:pPr>
      <w:r w:rsidRPr="006312E8">
        <w:rPr>
          <w:rFonts w:ascii="Arial" w:eastAsia="Calibri" w:hAnsi="Arial" w:cs="Arial"/>
        </w:rPr>
        <w:t xml:space="preserve">141) </w:t>
      </w:r>
      <w:r w:rsidRPr="006312E8">
        <w:rPr>
          <w:rFonts w:ascii="Arial" w:eastAsia="Calibri" w:hAnsi="Arial" w:cs="Arial"/>
        </w:rPr>
        <w:tab/>
        <w:t>Carretera Von Humboldt-Neshuya-Pucallpa (*)</w:t>
      </w:r>
    </w:p>
    <w:p w:rsidR="006312E8" w:rsidRPr="006312E8" w:rsidRDefault="006312E8" w:rsidP="006312E8">
      <w:pPr>
        <w:spacing w:after="0" w:line="240" w:lineRule="auto"/>
        <w:ind w:left="709" w:hanging="567"/>
        <w:jc w:val="both"/>
        <w:rPr>
          <w:rFonts w:ascii="Arial" w:eastAsia="Calibri" w:hAnsi="Arial" w:cs="Arial"/>
        </w:rPr>
      </w:pPr>
    </w:p>
    <w:p w:rsidR="006312E8" w:rsidRPr="006312E8" w:rsidRDefault="006312E8" w:rsidP="006312E8">
      <w:pPr>
        <w:spacing w:after="0" w:line="240" w:lineRule="auto"/>
        <w:ind w:left="709" w:hanging="567"/>
        <w:jc w:val="both"/>
      </w:pPr>
      <w:r w:rsidRPr="006312E8">
        <w:rPr>
          <w:rFonts w:ascii="Arial" w:eastAsia="Calibri" w:hAnsi="Arial" w:cs="Arial"/>
          <w:b/>
          <w:color w:val="FF0000"/>
          <w:sz w:val="16"/>
          <w:szCs w:val="16"/>
          <w:lang w:val="es-ES"/>
        </w:rPr>
        <w:t xml:space="preserve">(*)        Numerales incorporados por la Undécima Disposición Complementaria Final de la Ley N° 30327, publicada el 21 mayo de 2015.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Comuníquese al señor Presidente Constitucional de la República para su promulgación.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En Lima, a los quince días del mes de mayo de dos mil trece.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VÍCTOR ISLA ROJAS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b/>
      </w:r>
      <w:r w:rsidRPr="006312E8">
        <w:rPr>
          <w:rFonts w:ascii="Arial" w:eastAsia="Calibri" w:hAnsi="Arial" w:cs="Arial"/>
          <w:lang w:val="es-ES"/>
        </w:rPr>
        <w:t>Presidente del Congreso de la República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MARCO TULIO FALCONÍ PICARDO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b/>
      </w:r>
      <w:r w:rsidRPr="006312E8">
        <w:rPr>
          <w:rFonts w:ascii="Arial" w:eastAsia="Calibri" w:hAnsi="Arial" w:cs="Arial"/>
          <w:lang w:val="es-ES"/>
        </w:rPr>
        <w:t>Primer Vicepresidente del Congreso de la República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AL SEÑOR PRESIDENTE CONSTITUCIONAL DE LA REPÚBLICA</w:t>
      </w: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b/>
        <w:t>POR TANTO: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Mando se publique y cumpla.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705"/>
        <w:contextualSpacing/>
        <w:jc w:val="both"/>
        <w:rPr>
          <w:rFonts w:ascii="Arial" w:eastAsia="Calibri" w:hAnsi="Arial" w:cs="Arial"/>
          <w:lang w:val="es-ES"/>
        </w:rPr>
      </w:pPr>
      <w:r w:rsidRPr="006312E8">
        <w:rPr>
          <w:rFonts w:ascii="Arial" w:eastAsia="Calibri" w:hAnsi="Arial" w:cs="Arial"/>
          <w:lang w:val="es-ES"/>
        </w:rPr>
        <w:t>Dado en la Casa de Gobierno, en Lima, a los veintiún días del mes de mayo del año dos mil trece.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OLLANTA HUMALA TASSO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b/>
      </w:r>
      <w:r w:rsidRPr="006312E8">
        <w:rPr>
          <w:rFonts w:ascii="Arial" w:eastAsia="Calibri" w:hAnsi="Arial" w:cs="Arial"/>
          <w:lang w:val="es-ES"/>
        </w:rPr>
        <w:t>Presidente Constitucional de la República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JUAN F. JIMÉNEZ MAYOR</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b/>
      </w:r>
      <w:r w:rsidRPr="006312E8">
        <w:rPr>
          <w:rFonts w:ascii="Arial" w:eastAsia="Calibri" w:hAnsi="Arial" w:cs="Arial"/>
          <w:lang w:val="es-ES"/>
        </w:rPr>
        <w:t>Presidente del Consejo de Ministros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sz w:val="28"/>
          <w:szCs w:val="28"/>
          <w:lang w:val="es-ES"/>
        </w:rPr>
      </w:pPr>
      <w:bookmarkStart w:id="444" w:name="LEY30078"/>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Default="006312E8" w:rsidP="006312E8">
      <w:pPr>
        <w:spacing w:after="0" w:line="240" w:lineRule="auto"/>
        <w:jc w:val="center"/>
        <w:rPr>
          <w:rFonts w:ascii="Arial" w:eastAsia="Calibri" w:hAnsi="Arial" w:cs="Arial"/>
          <w:b/>
          <w:sz w:val="28"/>
          <w:szCs w:val="28"/>
          <w:lang w:val="es-ES"/>
        </w:rPr>
      </w:pPr>
    </w:p>
    <w:p w:rsidR="00246CE9" w:rsidRDefault="00246CE9" w:rsidP="006312E8">
      <w:pPr>
        <w:spacing w:after="0" w:line="240" w:lineRule="auto"/>
        <w:jc w:val="center"/>
        <w:rPr>
          <w:rFonts w:ascii="Arial" w:eastAsia="Calibri" w:hAnsi="Arial" w:cs="Arial"/>
          <w:b/>
          <w:sz w:val="28"/>
          <w:szCs w:val="28"/>
          <w:lang w:val="es-ES"/>
        </w:rPr>
      </w:pPr>
    </w:p>
    <w:p w:rsidR="00246CE9" w:rsidRDefault="00246CE9" w:rsidP="006312E8">
      <w:pPr>
        <w:spacing w:after="0" w:line="240" w:lineRule="auto"/>
        <w:jc w:val="center"/>
        <w:rPr>
          <w:rFonts w:ascii="Arial" w:eastAsia="Calibri" w:hAnsi="Arial" w:cs="Arial"/>
          <w:b/>
          <w:sz w:val="28"/>
          <w:szCs w:val="28"/>
          <w:lang w:val="es-ES"/>
        </w:rPr>
      </w:pPr>
    </w:p>
    <w:p w:rsidR="00246CE9" w:rsidRDefault="00246CE9" w:rsidP="006312E8">
      <w:pPr>
        <w:spacing w:after="0" w:line="240" w:lineRule="auto"/>
        <w:jc w:val="center"/>
        <w:rPr>
          <w:rFonts w:ascii="Arial" w:eastAsia="Calibri" w:hAnsi="Arial" w:cs="Arial"/>
          <w:b/>
          <w:sz w:val="28"/>
          <w:szCs w:val="28"/>
          <w:lang w:val="es-ES"/>
        </w:rPr>
      </w:pPr>
    </w:p>
    <w:p w:rsidR="00246CE9" w:rsidRDefault="00246CE9" w:rsidP="006312E8">
      <w:pPr>
        <w:spacing w:after="0" w:line="240" w:lineRule="auto"/>
        <w:jc w:val="center"/>
        <w:rPr>
          <w:rFonts w:ascii="Arial" w:eastAsia="Calibri" w:hAnsi="Arial" w:cs="Arial"/>
          <w:b/>
          <w:sz w:val="28"/>
          <w:szCs w:val="28"/>
          <w:lang w:val="es-ES"/>
        </w:rPr>
      </w:pPr>
    </w:p>
    <w:p w:rsidR="00246CE9" w:rsidRDefault="00246CE9" w:rsidP="006312E8">
      <w:pPr>
        <w:spacing w:after="0" w:line="240" w:lineRule="auto"/>
        <w:jc w:val="center"/>
        <w:rPr>
          <w:rFonts w:ascii="Arial" w:eastAsia="Calibri" w:hAnsi="Arial" w:cs="Arial"/>
          <w:b/>
          <w:sz w:val="28"/>
          <w:szCs w:val="28"/>
          <w:lang w:val="es-ES"/>
        </w:rPr>
      </w:pPr>
    </w:p>
    <w:p w:rsidR="00246CE9" w:rsidRDefault="00246CE9" w:rsidP="006312E8">
      <w:pPr>
        <w:spacing w:after="0" w:line="240" w:lineRule="auto"/>
        <w:jc w:val="center"/>
        <w:rPr>
          <w:rFonts w:ascii="Arial" w:eastAsia="Calibri" w:hAnsi="Arial" w:cs="Arial"/>
          <w:b/>
          <w:sz w:val="28"/>
          <w:szCs w:val="28"/>
          <w:lang w:val="es-ES"/>
        </w:rPr>
      </w:pPr>
    </w:p>
    <w:p w:rsidR="00246CE9" w:rsidRDefault="00246CE9" w:rsidP="006312E8">
      <w:pPr>
        <w:spacing w:after="0" w:line="240" w:lineRule="auto"/>
        <w:jc w:val="center"/>
        <w:rPr>
          <w:rFonts w:ascii="Arial" w:eastAsia="Calibri" w:hAnsi="Arial" w:cs="Arial"/>
          <w:b/>
          <w:sz w:val="28"/>
          <w:szCs w:val="28"/>
          <w:lang w:val="es-ES"/>
        </w:rPr>
      </w:pPr>
    </w:p>
    <w:p w:rsidR="00246CE9" w:rsidRDefault="00246CE9" w:rsidP="006312E8">
      <w:pPr>
        <w:spacing w:after="0" w:line="240" w:lineRule="auto"/>
        <w:jc w:val="center"/>
        <w:rPr>
          <w:rFonts w:ascii="Arial" w:eastAsia="Calibri" w:hAnsi="Arial" w:cs="Arial"/>
          <w:b/>
          <w:sz w:val="28"/>
          <w:szCs w:val="28"/>
          <w:lang w:val="es-ES"/>
        </w:rPr>
      </w:pPr>
    </w:p>
    <w:p w:rsidR="00246CE9" w:rsidRDefault="00246CE9" w:rsidP="006312E8">
      <w:pPr>
        <w:spacing w:after="0" w:line="240" w:lineRule="auto"/>
        <w:jc w:val="center"/>
        <w:rPr>
          <w:rFonts w:ascii="Arial" w:eastAsia="Calibri" w:hAnsi="Arial" w:cs="Arial"/>
          <w:b/>
          <w:sz w:val="28"/>
          <w:szCs w:val="28"/>
          <w:lang w:val="es-ES"/>
        </w:rPr>
      </w:pPr>
    </w:p>
    <w:p w:rsidR="00246CE9" w:rsidRDefault="00246CE9" w:rsidP="006312E8">
      <w:pPr>
        <w:spacing w:after="0" w:line="240" w:lineRule="auto"/>
        <w:jc w:val="center"/>
        <w:rPr>
          <w:rFonts w:ascii="Arial" w:eastAsia="Calibri" w:hAnsi="Arial" w:cs="Arial"/>
          <w:b/>
          <w:sz w:val="28"/>
          <w:szCs w:val="28"/>
          <w:lang w:val="es-ES"/>
        </w:rPr>
      </w:pPr>
    </w:p>
    <w:p w:rsidR="00246CE9" w:rsidRDefault="00246CE9" w:rsidP="006312E8">
      <w:pPr>
        <w:spacing w:after="0" w:line="240" w:lineRule="auto"/>
        <w:jc w:val="center"/>
        <w:rPr>
          <w:rFonts w:ascii="Arial" w:eastAsia="Calibri" w:hAnsi="Arial" w:cs="Arial"/>
          <w:b/>
          <w:sz w:val="28"/>
          <w:szCs w:val="28"/>
          <w:lang w:val="es-ES"/>
        </w:rPr>
      </w:pPr>
    </w:p>
    <w:p w:rsidR="00246CE9" w:rsidRDefault="00246CE9" w:rsidP="006312E8">
      <w:pPr>
        <w:spacing w:after="0" w:line="240" w:lineRule="auto"/>
        <w:jc w:val="center"/>
        <w:rPr>
          <w:rFonts w:ascii="Arial" w:eastAsia="Calibri" w:hAnsi="Arial" w:cs="Arial"/>
          <w:b/>
          <w:sz w:val="28"/>
          <w:szCs w:val="28"/>
          <w:lang w:val="es-ES"/>
        </w:rPr>
      </w:pPr>
    </w:p>
    <w:p w:rsidR="00246CE9" w:rsidRDefault="00246CE9" w:rsidP="006312E8">
      <w:pPr>
        <w:spacing w:after="0" w:line="240" w:lineRule="auto"/>
        <w:jc w:val="center"/>
        <w:rPr>
          <w:rFonts w:ascii="Arial" w:eastAsia="Calibri" w:hAnsi="Arial" w:cs="Arial"/>
          <w:b/>
          <w:sz w:val="28"/>
          <w:szCs w:val="28"/>
          <w:lang w:val="es-ES"/>
        </w:rPr>
      </w:pPr>
    </w:p>
    <w:p w:rsidR="00246CE9" w:rsidRDefault="00246CE9" w:rsidP="006312E8">
      <w:pPr>
        <w:spacing w:after="0" w:line="240" w:lineRule="auto"/>
        <w:jc w:val="center"/>
        <w:rPr>
          <w:rFonts w:ascii="Arial" w:eastAsia="Calibri" w:hAnsi="Arial" w:cs="Arial"/>
          <w:b/>
          <w:sz w:val="28"/>
          <w:szCs w:val="28"/>
          <w:lang w:val="es-ES"/>
        </w:rPr>
      </w:pPr>
    </w:p>
    <w:p w:rsidR="00246CE9" w:rsidRDefault="00246CE9" w:rsidP="006312E8">
      <w:pPr>
        <w:spacing w:after="0" w:line="240" w:lineRule="auto"/>
        <w:jc w:val="center"/>
        <w:rPr>
          <w:rFonts w:ascii="Arial" w:eastAsia="Calibri" w:hAnsi="Arial" w:cs="Arial"/>
          <w:b/>
          <w:sz w:val="28"/>
          <w:szCs w:val="28"/>
          <w:lang w:val="es-ES"/>
        </w:rPr>
      </w:pPr>
    </w:p>
    <w:p w:rsidR="00246CE9" w:rsidRDefault="00246CE9" w:rsidP="006312E8">
      <w:pPr>
        <w:spacing w:after="0" w:line="240" w:lineRule="auto"/>
        <w:jc w:val="center"/>
        <w:rPr>
          <w:rFonts w:ascii="Arial" w:eastAsia="Calibri" w:hAnsi="Arial" w:cs="Arial"/>
          <w:b/>
          <w:sz w:val="28"/>
          <w:szCs w:val="28"/>
          <w:lang w:val="es-ES"/>
        </w:rPr>
      </w:pPr>
    </w:p>
    <w:p w:rsidR="00246CE9" w:rsidRDefault="00246CE9" w:rsidP="006312E8">
      <w:pPr>
        <w:spacing w:after="0" w:line="240" w:lineRule="auto"/>
        <w:jc w:val="center"/>
        <w:rPr>
          <w:rFonts w:ascii="Arial" w:eastAsia="Calibri" w:hAnsi="Arial" w:cs="Arial"/>
          <w:b/>
          <w:sz w:val="28"/>
          <w:szCs w:val="28"/>
          <w:lang w:val="es-ES"/>
        </w:rPr>
      </w:pPr>
    </w:p>
    <w:p w:rsidR="00246CE9" w:rsidRDefault="00246CE9" w:rsidP="006312E8">
      <w:pPr>
        <w:spacing w:after="0" w:line="240" w:lineRule="auto"/>
        <w:jc w:val="center"/>
        <w:rPr>
          <w:rFonts w:ascii="Arial" w:eastAsia="Calibri" w:hAnsi="Arial" w:cs="Arial"/>
          <w:b/>
          <w:sz w:val="28"/>
          <w:szCs w:val="28"/>
          <w:lang w:val="es-ES"/>
        </w:rPr>
      </w:pPr>
    </w:p>
    <w:p w:rsidR="00246CE9" w:rsidRDefault="00246CE9" w:rsidP="006312E8">
      <w:pPr>
        <w:spacing w:after="0" w:line="240" w:lineRule="auto"/>
        <w:jc w:val="center"/>
        <w:rPr>
          <w:rFonts w:ascii="Arial" w:eastAsia="Calibri" w:hAnsi="Arial" w:cs="Arial"/>
          <w:b/>
          <w:sz w:val="28"/>
          <w:szCs w:val="28"/>
          <w:lang w:val="es-ES"/>
        </w:rPr>
      </w:pPr>
    </w:p>
    <w:p w:rsidR="00246CE9" w:rsidRDefault="00246CE9" w:rsidP="006312E8">
      <w:pPr>
        <w:spacing w:after="0" w:line="240" w:lineRule="auto"/>
        <w:jc w:val="center"/>
        <w:rPr>
          <w:rFonts w:ascii="Arial" w:eastAsia="Calibri" w:hAnsi="Arial" w:cs="Arial"/>
          <w:b/>
          <w:sz w:val="28"/>
          <w:szCs w:val="28"/>
          <w:lang w:val="es-ES"/>
        </w:rPr>
      </w:pPr>
    </w:p>
    <w:p w:rsidR="00246CE9" w:rsidRPr="006312E8" w:rsidRDefault="00246CE9" w:rsidP="00246CE9">
      <w:pPr>
        <w:spacing w:after="0" w:line="240" w:lineRule="auto"/>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F47618">
      <w:pPr>
        <w:pStyle w:val="TITO2"/>
      </w:pPr>
      <w:bookmarkStart w:id="445" w:name="_Toc392856260"/>
      <w:bookmarkStart w:id="446" w:name="_Toc399335530"/>
      <w:bookmarkStart w:id="447" w:name="_Toc421025477"/>
      <w:bookmarkStart w:id="448" w:name="_Toc470855580"/>
      <w:bookmarkStart w:id="449" w:name="LEY30056"/>
      <w:r w:rsidRPr="006312E8">
        <w:t>LEY Nº 30056</w:t>
      </w:r>
      <w:bookmarkEnd w:id="445"/>
      <w:bookmarkEnd w:id="446"/>
      <w:bookmarkEnd w:id="447"/>
      <w:bookmarkEnd w:id="448"/>
    </w:p>
    <w:bookmarkEnd w:id="449"/>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Ley que modifica diversas leyes para facilitar la inversión, impulsar el desarrollo productivo y el crecimiento empresarial</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(Extracto)</w:t>
      </w:r>
    </w:p>
    <w:p w:rsidR="006312E8" w:rsidRPr="006312E8" w:rsidRDefault="006312E8" w:rsidP="006312E8">
      <w:pPr>
        <w:spacing w:after="0" w:line="240" w:lineRule="auto"/>
        <w:contextualSpacing/>
        <w:jc w:val="center"/>
        <w:rPr>
          <w:rFonts w:ascii="Arial" w:eastAsia="Calibri" w:hAnsi="Arial" w:cs="Arial"/>
          <w:b/>
          <w:lang w:val="es-ES"/>
        </w:rPr>
      </w:pPr>
    </w:p>
    <w:p w:rsidR="006312E8" w:rsidRPr="006312E8" w:rsidRDefault="006312E8" w:rsidP="006312E8">
      <w:pPr>
        <w:spacing w:after="0" w:line="240" w:lineRule="auto"/>
        <w:contextualSpacing/>
        <w:jc w:val="right"/>
        <w:rPr>
          <w:rFonts w:ascii="Arial" w:eastAsia="Calibri" w:hAnsi="Arial" w:cs="Arial"/>
          <w:b/>
          <w:lang w:val="es-ES"/>
        </w:rPr>
      </w:pPr>
      <w:r w:rsidRPr="006312E8">
        <w:rPr>
          <w:rFonts w:ascii="Arial" w:eastAsia="Calibri" w:hAnsi="Arial" w:cs="Arial"/>
          <w:b/>
          <w:lang w:val="es-ES"/>
        </w:rPr>
        <w:t>Fecha de publicación: 02-07-2013</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EL PRESIDENTE DE LA REPÚBLICA</w:t>
      </w: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POR CUANTO: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Congreso de la República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Ha dado la Ley siguiente: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EL CONGRESO DE LA REPÚBLICA;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Ha dado la Ley siguiente: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LEY QUE MODIFICA DIVERSAS LEYES PARA FACILITAR LA INVERSIÓN, IMPULSAR EL DESARROLLO PRODUCTIVO Y EL CRECIMIENTO EMPRESARIAL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TÍTULO I</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MEDIDAS PARA FACILITACIÓN DE LA INVERSIÓN PRIVADA</w:t>
      </w:r>
    </w:p>
    <w:p w:rsidR="006312E8" w:rsidRPr="006312E8" w:rsidRDefault="006312E8" w:rsidP="006312E8">
      <w:pPr>
        <w:spacing w:after="0" w:line="240" w:lineRule="auto"/>
        <w:contextualSpacing/>
        <w:jc w:val="center"/>
        <w:rPr>
          <w:rFonts w:ascii="Arial" w:eastAsia="Calibri" w:hAnsi="Arial" w:cs="Arial"/>
          <w:b/>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CAPÍTULO I</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ELIMINACIÓN DE BARRERAS BUROCRÁTICAS A LA ACTIVIDAD EMPRESARIAL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1.</w:t>
      </w:r>
      <w:r w:rsidRPr="006312E8">
        <w:rPr>
          <w:rFonts w:ascii="Arial" w:eastAsia="Calibri" w:hAnsi="Arial" w:cs="Arial"/>
          <w:lang w:val="es-ES"/>
        </w:rPr>
        <w:t xml:space="preserve"> </w:t>
      </w:r>
      <w:r w:rsidRPr="006312E8">
        <w:rPr>
          <w:rFonts w:ascii="Arial" w:eastAsia="Calibri" w:hAnsi="Arial" w:cs="Arial"/>
          <w:b/>
          <w:lang w:val="es-ES"/>
        </w:rPr>
        <w:t>Modificación del segundo párrafo del artículo 26 BIS del Decreto Ley 25868, Ley de Organización y Funciones del Instituto Nacional de Defensa de la Competencia y de la Protección de la Propiedad Intelectual-INDECOPI</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Modifícase el segundo párrafo del artículo 26 BIS del Decreto Ley 25868, el que queda redactado de la siguiente manera: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 Comisión impondrá sanciones al funcionario, servidor público o a cualquier persona que ejerza funciones administrativas por delegación, bajo cualquier régimen laboral o contractual, que aplique u ordene la aplicación de la barrera burocrática declarada ilegal y/o carente de razonabilidad, en los siguientes supuestos: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36"/>
        </w:num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Cuando se incumpla el mandato de inaplicación o eliminación de la barrera burocrática declarada ilegal y/o carente de razonabilidad.</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92471C">
      <w:pPr>
        <w:numPr>
          <w:ilvl w:val="0"/>
          <w:numId w:val="136"/>
        </w:num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Cuando apliquen restricciones tributarias al libre tránsito, contraviniendo lo establecido en el artículo 61 del Texto Único Ordenado de la Ley de Tributación Municipal, aprobado por Decreto Supremo 156-2004-EF.</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92471C">
      <w:pPr>
        <w:numPr>
          <w:ilvl w:val="0"/>
          <w:numId w:val="136"/>
        </w:num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Cuando en un procedimiento iniciado de parte se denuncie la aplicación de barreras burocráticas previamente declaradas ilegales y/o carentes de razonabilidad en un procedimiento de oficio, consistentes en: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136"/>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Incumplir disposiciones legales en materia de simplificación administrativa.</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92471C">
      <w:pPr>
        <w:numPr>
          <w:ilvl w:val="1"/>
          <w:numId w:val="136"/>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Incumplir disposiciones legales que regulen el otorgamiento de licencias, autorizaciones y permisos para la ejecución de obras y realización de actividades industriales, comerciales o de servicios, públicos o privados.</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92471C">
      <w:pPr>
        <w:numPr>
          <w:ilvl w:val="1"/>
          <w:numId w:val="136"/>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Incumplir disposiciones legales que regulen el despliegue de infraestructura en servicios públicos.</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92471C">
      <w:pPr>
        <w:numPr>
          <w:ilvl w:val="1"/>
          <w:numId w:val="136"/>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Otras disposiciones administrativas declaradas ilegales y/o carentes de razonabilidad previamente por la Comisión.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Para el inicio del procedimiento sancionador de los supuestos previstos en el literal c) del presente artículo, es requisito que la resolución de la Comisión que declara la barrera burocrática ilegal o carente de razonabilidad sea publicada previamente en el diario oficial El Peruano y haya quedado firme o fuera confirmada por el Tribunal del INDECOPI.</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El INDECOPI reglamenta la forma de difusión de las resoluciones para conocimiento de los ciudadanos, agentes económicos y entidades interesadas. El costo de la publicación en el diario oficial será asumido por la entidad denunciada.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36"/>
        </w:num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Cuando en un procedimiento iniciado de parte o de oficio la barrera burocrática es declarada ilegal como consecuencia de cualquiera de los siguientes supuestos: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136"/>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Exigir requisitos adicionales a los máximos establecidos en la Ley 28976, Ley Marco de Licencia de Funcionamiento; y en la Ley 29090, Ley de Regulación de Habilitaciones Urbanas y de Edificaciones, o en aquellas disposiciones legales que las sustituyan o complementen.</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92471C">
      <w:pPr>
        <w:numPr>
          <w:ilvl w:val="1"/>
          <w:numId w:val="136"/>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Exigir derechos de tramitación que superen la Unidad Impositiva Tributaria (UIT) vigente, conforme a lo establecido en el artículo 45 de la Ley 27444, Ley del Procedimiento Administrativo General, o en la norma que lo sustituya.</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92471C">
      <w:pPr>
        <w:numPr>
          <w:ilvl w:val="1"/>
          <w:numId w:val="136"/>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Exigir requisitos no incluidos en el Texto Único de Procedimientos Administrativos de la entidad, conforme a la Ley 27444.</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92471C">
      <w:pPr>
        <w:numPr>
          <w:ilvl w:val="1"/>
          <w:numId w:val="136"/>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Establecer plazos mayores a los señalados en los dispositivos legales que regulan el otorgamiento de licencias, autorizaciones y permisos, así como al despliegue para la ejecución y/o implementación de infraestructura en servicios públicos a que hacen referencia los numerales 2 y 3 del literal c) del presente artículo.</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92471C">
      <w:pPr>
        <w:numPr>
          <w:ilvl w:val="1"/>
          <w:numId w:val="136"/>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Aplicar regímenes de silencio administrativo sin observar lo dispuesto en la Ley 29060, Ley del Silencio Administrativo, o la que la sustituya.</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92471C">
      <w:pPr>
        <w:numPr>
          <w:ilvl w:val="1"/>
          <w:numId w:val="136"/>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Exigir documentación y/o información prohibidas de solicitar conforme a lo establecido en los artículos 40 y 41 de la Ley 27444.</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CAPÍTULO III</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SIMPLIFICACIÓN DE AUTORIZACIONES MUNICIPALES PARA PROPICIAR LA INVERSIÓN EN MATERIA DE SERVICIOS PÚBLICOS Y OBRAS PÚBLICAS DE INFRAESTRUCTURA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1418" w:hanging="1418"/>
        <w:contextualSpacing/>
        <w:jc w:val="both"/>
        <w:rPr>
          <w:rFonts w:ascii="Arial" w:eastAsia="Calibri" w:hAnsi="Arial" w:cs="Arial"/>
          <w:b/>
          <w:lang w:val="es-ES"/>
        </w:rPr>
      </w:pPr>
      <w:r w:rsidRPr="006312E8">
        <w:rPr>
          <w:rFonts w:ascii="Arial" w:eastAsia="Calibri" w:hAnsi="Arial" w:cs="Arial"/>
          <w:b/>
          <w:lang w:val="es-ES"/>
        </w:rPr>
        <w:t>Artículo 5.</w:t>
      </w:r>
      <w:r w:rsidRPr="006312E8">
        <w:rPr>
          <w:rFonts w:ascii="Arial" w:eastAsia="Calibri" w:hAnsi="Arial" w:cs="Arial"/>
          <w:lang w:val="es-ES"/>
        </w:rPr>
        <w:t xml:space="preserve"> </w:t>
      </w:r>
      <w:r w:rsidRPr="006312E8">
        <w:rPr>
          <w:rFonts w:ascii="Arial" w:eastAsia="Calibri" w:hAnsi="Arial" w:cs="Arial"/>
          <w:lang w:val="es-ES"/>
        </w:rPr>
        <w:tab/>
      </w:r>
      <w:r w:rsidRPr="006312E8">
        <w:rPr>
          <w:rFonts w:ascii="Arial" w:eastAsia="Calibri" w:hAnsi="Arial" w:cs="Arial"/>
          <w:b/>
          <w:lang w:val="es-ES"/>
        </w:rPr>
        <w:t>Modificación del artículo 5 y del numeral 6.4 del artículo 6; e incorporación de los numerales 6.5, 6.6 y 6.7 del artículo 6 en el Decreto Legislativo 1014, que establece medidas para propiciar la inversión en materia de servicios públicos y obras públicas de infraestructura</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Modifícanse el artículo 5 y el numeral 6.4 del artículo 6; e incorpóranse los numerales 6.5, 6.6, y 6.7 del artículo 6 en el Decreto Legislativo 1014, que establece medidas para propiciar la inversión en materia de servicios públicos y obras públicas de infraestructura, en los siguientes términos: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567"/>
        <w:contextualSpacing/>
        <w:jc w:val="both"/>
        <w:rPr>
          <w:rFonts w:ascii="Arial" w:eastAsia="Calibri" w:hAnsi="Arial" w:cs="Arial"/>
          <w:b/>
          <w:lang w:val="es-ES"/>
        </w:rPr>
      </w:pPr>
      <w:r w:rsidRPr="006312E8">
        <w:rPr>
          <w:rFonts w:ascii="Arial" w:eastAsia="Calibri" w:hAnsi="Arial" w:cs="Arial"/>
          <w:b/>
          <w:lang w:val="es-ES"/>
        </w:rPr>
        <w:t>“Artículo 5. Silencio administrativo positivo</w:t>
      </w:r>
    </w:p>
    <w:p w:rsidR="006312E8" w:rsidRPr="006312E8" w:rsidRDefault="006312E8" w:rsidP="006312E8">
      <w:p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Las autorizaciones municipales que se requieren para abrir pavimentos, calzadas y aceras de las vías públicas, ocupar las vías o lugares públicos o instalar en propiedad pública la infraestructura necesaria para conexiones domiciliarias, instalación, ampliación o mantenimiento de redes de infraestructura de servicios públicos señalados en el artículo 2 del presente Decreto Legislativo, se sujetan a silencio administrativo positivo, cumplido el plazo de cinco (5) días hábiles, contado desde la presentación de la solicitud respectiva.</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6312E8">
      <w:pPr>
        <w:spacing w:after="0" w:line="240" w:lineRule="auto"/>
        <w:ind w:left="567"/>
        <w:contextualSpacing/>
        <w:jc w:val="both"/>
        <w:rPr>
          <w:rFonts w:ascii="Arial" w:eastAsia="Calibri" w:hAnsi="Arial" w:cs="Arial"/>
          <w:b/>
          <w:lang w:val="es-ES"/>
        </w:rPr>
      </w:pPr>
      <w:r w:rsidRPr="006312E8">
        <w:rPr>
          <w:rFonts w:ascii="Arial" w:eastAsia="Calibri" w:hAnsi="Arial" w:cs="Arial"/>
          <w:b/>
          <w:lang w:val="es-ES"/>
        </w:rPr>
        <w:t>Artículo 6. Requisitos exigibles para la realización de obras de infraestructura</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6312E8">
      <w:p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w:t>
      </w:r>
    </w:p>
    <w:p w:rsidR="006312E8" w:rsidRPr="006312E8" w:rsidRDefault="006312E8" w:rsidP="006312E8">
      <w:pPr>
        <w:spacing w:after="0" w:line="240" w:lineRule="auto"/>
        <w:ind w:left="1134" w:hanging="567"/>
        <w:contextualSpacing/>
        <w:jc w:val="both"/>
        <w:rPr>
          <w:rFonts w:ascii="Arial" w:eastAsia="Calibri" w:hAnsi="Arial" w:cs="Arial"/>
          <w:lang w:val="es-ES"/>
        </w:rPr>
      </w:pPr>
      <w:r w:rsidRPr="006312E8">
        <w:rPr>
          <w:rFonts w:ascii="Arial" w:eastAsia="Calibri" w:hAnsi="Arial" w:cs="Arial"/>
          <w:lang w:val="es-ES"/>
        </w:rPr>
        <w:t xml:space="preserve">6.4 </w:t>
      </w:r>
      <w:r w:rsidRPr="006312E8">
        <w:rPr>
          <w:rFonts w:ascii="Arial" w:eastAsia="Calibri" w:hAnsi="Arial" w:cs="Arial"/>
          <w:lang w:val="es-ES"/>
        </w:rPr>
        <w:tab/>
        <w:t>En los casos en que se requieran implementar desvíos del tránsito vehicular con ocasión de las obras mencionadas en el párrafo precedente, bastará una comunicación por parte de las empresas públicas o privadas o entidades del sector público que prestan los servicios públicos detallados en el artículo 2 del presente Decreto Legislativo, señalando la fecha de la ejecución de la misma y el plan de desvío con la finalidad de que la municipalidad adopte las medidas referidas al tránsito y al transporte en el ámbito de su competencia, sin que sea necesaria la emisión de autorización o resolución alguna.</w:t>
      </w:r>
    </w:p>
    <w:p w:rsidR="006312E8" w:rsidRPr="006312E8" w:rsidRDefault="006312E8" w:rsidP="006312E8">
      <w:pPr>
        <w:spacing w:after="0" w:line="240" w:lineRule="auto"/>
        <w:ind w:left="1134" w:hanging="567"/>
        <w:contextualSpacing/>
        <w:jc w:val="both"/>
        <w:rPr>
          <w:rFonts w:ascii="Arial" w:eastAsia="Calibri" w:hAnsi="Arial" w:cs="Arial"/>
          <w:lang w:val="es-ES"/>
        </w:rPr>
      </w:pPr>
    </w:p>
    <w:p w:rsidR="006312E8" w:rsidRPr="006312E8" w:rsidRDefault="006312E8" w:rsidP="006312E8">
      <w:pPr>
        <w:spacing w:after="0" w:line="240" w:lineRule="auto"/>
        <w:ind w:left="1134" w:hanging="567"/>
        <w:contextualSpacing/>
        <w:jc w:val="both"/>
        <w:rPr>
          <w:rFonts w:ascii="Arial" w:eastAsia="Calibri" w:hAnsi="Arial" w:cs="Arial"/>
          <w:lang w:val="es-ES"/>
        </w:rPr>
      </w:pPr>
      <w:r w:rsidRPr="006312E8">
        <w:rPr>
          <w:rFonts w:ascii="Arial" w:eastAsia="Calibri" w:hAnsi="Arial" w:cs="Arial"/>
          <w:lang w:val="es-ES"/>
        </w:rPr>
        <w:t xml:space="preserve">6.5 </w:t>
      </w:r>
      <w:r w:rsidRPr="006312E8">
        <w:rPr>
          <w:rFonts w:ascii="Arial" w:eastAsia="Calibri" w:hAnsi="Arial" w:cs="Arial"/>
          <w:lang w:val="es-ES"/>
        </w:rPr>
        <w:tab/>
        <w:t>Cuando el plan de desvío involucre una vía bajo jurisdicción provincial, la comunicación será presentada ante la municipalidad provincial competente. En el caso en que el plan involucre una vía local, la comunicación será remitida únicamente a la municipalidad distrital. De ser necesario, las municipalidades intercambiarán información en el marco del Subcapítulo III del Título II de la Ley 27444, Ley del Procedimiento Administrativo General.</w:t>
      </w:r>
    </w:p>
    <w:p w:rsidR="006312E8" w:rsidRPr="006312E8" w:rsidRDefault="006312E8" w:rsidP="006312E8">
      <w:pPr>
        <w:spacing w:after="0" w:line="240" w:lineRule="auto"/>
        <w:ind w:left="1134" w:hanging="567"/>
        <w:contextualSpacing/>
        <w:jc w:val="both"/>
        <w:rPr>
          <w:rFonts w:ascii="Arial" w:eastAsia="Calibri" w:hAnsi="Arial" w:cs="Arial"/>
          <w:lang w:val="es-ES"/>
        </w:rPr>
      </w:pPr>
    </w:p>
    <w:p w:rsidR="006312E8" w:rsidRPr="006312E8" w:rsidRDefault="006312E8" w:rsidP="006312E8">
      <w:pPr>
        <w:spacing w:after="0" w:line="240" w:lineRule="auto"/>
        <w:ind w:left="1134" w:hanging="567"/>
        <w:contextualSpacing/>
        <w:jc w:val="both"/>
        <w:rPr>
          <w:rFonts w:ascii="Arial" w:eastAsia="Calibri" w:hAnsi="Arial" w:cs="Arial"/>
          <w:lang w:val="es-ES"/>
        </w:rPr>
      </w:pPr>
      <w:r w:rsidRPr="006312E8">
        <w:rPr>
          <w:rFonts w:ascii="Arial" w:eastAsia="Calibri" w:hAnsi="Arial" w:cs="Arial"/>
          <w:lang w:val="es-ES"/>
        </w:rPr>
        <w:t xml:space="preserve">6.6 </w:t>
      </w:r>
      <w:r w:rsidRPr="006312E8">
        <w:rPr>
          <w:rFonts w:ascii="Arial" w:eastAsia="Calibri" w:hAnsi="Arial" w:cs="Arial"/>
          <w:lang w:val="es-ES"/>
        </w:rPr>
        <w:tab/>
        <w:t>La comunicación de aviso de ejecución de obras públicas debe ser presentada con siete (7) días hábiles de anticipación. La municipalidad está facultada para requerir una nueva programación a la empresa pública o privada o a las entidades del sector que prestan los servicios públicos detallados en el artículo 2 del presente Decreto Legislativo y que realizan las prestación de los servicios públicos, si ello se justifica por la realización de actividades u obras en la vía pública previamente comunicadas por terceros o establecidas por la municipalidad. Dicho requerimiento debe ser comunicado al solicitante con una anticipación de cinco (5) días hábiles.</w:t>
      </w:r>
    </w:p>
    <w:p w:rsidR="006312E8" w:rsidRPr="006312E8" w:rsidRDefault="006312E8" w:rsidP="006312E8">
      <w:pPr>
        <w:spacing w:after="0" w:line="240" w:lineRule="auto"/>
        <w:ind w:left="1134" w:hanging="567"/>
        <w:contextualSpacing/>
        <w:jc w:val="both"/>
        <w:rPr>
          <w:rFonts w:ascii="Arial" w:eastAsia="Calibri" w:hAnsi="Arial" w:cs="Arial"/>
          <w:lang w:val="es-ES"/>
        </w:rPr>
      </w:pPr>
    </w:p>
    <w:p w:rsidR="006312E8" w:rsidRPr="006312E8" w:rsidRDefault="006312E8" w:rsidP="006312E8">
      <w:pPr>
        <w:spacing w:after="0" w:line="240" w:lineRule="auto"/>
        <w:ind w:left="1134" w:hanging="567"/>
        <w:contextualSpacing/>
        <w:jc w:val="both"/>
        <w:rPr>
          <w:rFonts w:ascii="Arial" w:eastAsia="Calibri" w:hAnsi="Arial" w:cs="Arial"/>
          <w:lang w:val="es-ES"/>
        </w:rPr>
      </w:pPr>
      <w:r w:rsidRPr="006312E8">
        <w:rPr>
          <w:rFonts w:ascii="Arial" w:eastAsia="Calibri" w:hAnsi="Arial" w:cs="Arial"/>
          <w:lang w:val="es-ES"/>
        </w:rPr>
        <w:t xml:space="preserve">6.7 </w:t>
      </w:r>
      <w:r w:rsidRPr="006312E8">
        <w:rPr>
          <w:rFonts w:ascii="Arial" w:eastAsia="Calibri" w:hAnsi="Arial" w:cs="Arial"/>
          <w:lang w:val="es-ES"/>
        </w:rPr>
        <w:tab/>
        <w:t>Las autoridades regionales deben respetar los criterios establecidos en esta norma bajo responsabilidad.”</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CAPÍTULO IV</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MEDIDAS PARA FACILITAR LA CALIFICACIÓN DE PROYECTOS DE HABILITACIÓN URBANA Y DE EDIFICACIÓN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1276" w:hanging="1276"/>
        <w:contextualSpacing/>
        <w:jc w:val="both"/>
        <w:rPr>
          <w:rFonts w:ascii="Arial" w:eastAsia="Calibri" w:hAnsi="Arial" w:cs="Arial"/>
          <w:b/>
          <w:lang w:val="es-ES"/>
        </w:rPr>
      </w:pPr>
      <w:r w:rsidRPr="006312E8">
        <w:rPr>
          <w:rFonts w:ascii="Arial" w:eastAsia="Calibri" w:hAnsi="Arial" w:cs="Arial"/>
          <w:b/>
          <w:lang w:val="es-ES"/>
        </w:rPr>
        <w:t>Artículo 6. Modificación del literal b) del numeral 7 del artículo 4 de la Ley 29090, Ley de Regulación de Habilitaciones Urbanas y de Edificaciones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Modifícase el literal b) del numeral 7 del artículo 4 de la Ley 29090, Ley de Regulación de Habilitaciones Urbanas y de Edificaciones, por el texto siguiente: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567"/>
        <w:contextualSpacing/>
        <w:jc w:val="both"/>
        <w:rPr>
          <w:rFonts w:ascii="Arial" w:eastAsia="Calibri" w:hAnsi="Arial" w:cs="Arial"/>
          <w:b/>
          <w:lang w:val="es-ES"/>
        </w:rPr>
      </w:pPr>
      <w:r w:rsidRPr="006312E8">
        <w:rPr>
          <w:rFonts w:ascii="Arial" w:eastAsia="Calibri" w:hAnsi="Arial" w:cs="Arial"/>
          <w:b/>
          <w:lang w:val="es-ES"/>
        </w:rPr>
        <w:t>“Artículo 4.- Actores y responsabilidades</w:t>
      </w:r>
    </w:p>
    <w:p w:rsidR="006312E8" w:rsidRPr="006312E8" w:rsidRDefault="006312E8" w:rsidP="006312E8">
      <w:p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6312E8">
      <w:p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7. Delegados ad hoc</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6312E8">
      <w:p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w:t>
      </w:r>
    </w:p>
    <w:p w:rsidR="006312E8" w:rsidRPr="006312E8" w:rsidRDefault="006312E8" w:rsidP="006312E8">
      <w:pPr>
        <w:spacing w:after="0" w:line="240" w:lineRule="auto"/>
        <w:ind w:left="993" w:hanging="426"/>
        <w:contextualSpacing/>
        <w:jc w:val="both"/>
        <w:rPr>
          <w:rFonts w:ascii="Arial" w:eastAsia="Calibri" w:hAnsi="Arial" w:cs="Arial"/>
          <w:lang w:val="es-ES"/>
        </w:rPr>
      </w:pPr>
      <w:r w:rsidRPr="006312E8">
        <w:rPr>
          <w:rFonts w:ascii="Arial" w:eastAsia="Calibri" w:hAnsi="Arial" w:cs="Arial"/>
          <w:lang w:val="es-ES"/>
        </w:rPr>
        <w:t xml:space="preserve">b. </w:t>
      </w:r>
      <w:r w:rsidRPr="006312E8">
        <w:rPr>
          <w:rFonts w:ascii="Arial" w:eastAsia="Calibri" w:hAnsi="Arial" w:cs="Arial"/>
          <w:lang w:val="es-ES"/>
        </w:rPr>
        <w:tab/>
        <w:t>Instituto Nacional de Defensa Civil - INDECI, para proyectos de edificación de más de cinco (5) pisos de uso residencial; para las edificaciones establecidas en las modalidades C y D, de uso diferente al residencial y de concurrencia masiva de público; y para aquellas habilitaciones urbanas que se ubican en zonas de riesgo, únicamente si han sido identificadas previamente como tales a través del plan urbano municipal. El INDECI cuenta con la colaboración del Cuerpo General de Bomberos Voluntarios del Perú-CGBVP, en la forma que establezca el reglamento.</w:t>
      </w:r>
    </w:p>
    <w:p w:rsidR="006312E8" w:rsidRPr="006312E8" w:rsidRDefault="006312E8" w:rsidP="006312E8">
      <w:pPr>
        <w:spacing w:after="0" w:line="240" w:lineRule="auto"/>
        <w:ind w:left="993" w:hanging="426"/>
        <w:contextualSpacing/>
        <w:jc w:val="both"/>
        <w:rPr>
          <w:rFonts w:ascii="Arial" w:eastAsia="Calibri" w:hAnsi="Arial" w:cs="Arial"/>
          <w:lang w:val="es-ES"/>
        </w:rPr>
      </w:pPr>
    </w:p>
    <w:p w:rsidR="006312E8" w:rsidRPr="006312E8" w:rsidRDefault="006312E8" w:rsidP="006312E8">
      <w:pPr>
        <w:spacing w:after="0" w:line="240" w:lineRule="auto"/>
        <w:ind w:left="993"/>
        <w:contextualSpacing/>
        <w:jc w:val="both"/>
        <w:rPr>
          <w:rFonts w:ascii="Arial" w:eastAsia="Calibri" w:hAnsi="Arial" w:cs="Arial"/>
          <w:lang w:val="es-ES"/>
        </w:rPr>
      </w:pPr>
      <w:r w:rsidRPr="006312E8">
        <w:rPr>
          <w:rFonts w:ascii="Arial" w:eastAsia="Calibri" w:hAnsi="Arial" w:cs="Arial"/>
          <w:lang w:val="es-ES"/>
        </w:rPr>
        <w:t>No requerirán pronunciamiento del delegado ad hoc del INDECI las edificaciones para uso residencial de más de cinco (5) pisos en las cuales la circulación común llegue solo hasta el quinto piso y el(los) piso(s) superior(es) forme(n) una unidad inmobiliaria.”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1276" w:hanging="1276"/>
        <w:contextualSpacing/>
        <w:jc w:val="both"/>
        <w:rPr>
          <w:rFonts w:ascii="Arial" w:eastAsia="Calibri" w:hAnsi="Arial" w:cs="Arial"/>
          <w:b/>
          <w:lang w:val="es-ES"/>
        </w:rPr>
      </w:pPr>
      <w:r w:rsidRPr="006312E8">
        <w:rPr>
          <w:rFonts w:ascii="Arial" w:eastAsia="Calibri" w:hAnsi="Arial" w:cs="Arial"/>
          <w:b/>
          <w:lang w:val="es-ES"/>
        </w:rPr>
        <w:t>Artículo 7. Incorporación de un tercer párrafo al numeral 1 del artículo 3 y el literal h) al numeral 1 del artículo 10 de la Ley 29090, Ley de Regulación de Habilitaciones Urbanas y de Edificaciones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Incorpóranse un tercer párrafo al numeral 1 del artículo 3 y el literal h) al numeral 1 del artículo 10 de la Ley 29090, Ley de Regulación de Habilitaciones Urbanas y de Edificaciones, en los siguientes términos: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993"/>
        <w:contextualSpacing/>
        <w:jc w:val="both"/>
        <w:rPr>
          <w:rFonts w:ascii="Arial" w:eastAsia="Calibri" w:hAnsi="Arial" w:cs="Arial"/>
          <w:b/>
          <w:lang w:val="es-ES"/>
        </w:rPr>
      </w:pPr>
      <w:r w:rsidRPr="006312E8">
        <w:rPr>
          <w:rFonts w:ascii="Arial" w:eastAsia="Calibri" w:hAnsi="Arial" w:cs="Arial"/>
          <w:b/>
          <w:lang w:val="es-ES"/>
        </w:rPr>
        <w:t>“Artículo 3.- Definiciones</w:t>
      </w:r>
    </w:p>
    <w:p w:rsidR="006312E8" w:rsidRPr="006312E8" w:rsidRDefault="006312E8" w:rsidP="006312E8">
      <w:pPr>
        <w:spacing w:after="0" w:line="240" w:lineRule="auto"/>
        <w:ind w:left="993"/>
        <w:contextualSpacing/>
        <w:jc w:val="both"/>
        <w:rPr>
          <w:rFonts w:ascii="Arial" w:eastAsia="Calibri" w:hAnsi="Arial" w:cs="Arial"/>
          <w:lang w:val="es-ES"/>
        </w:rPr>
      </w:pPr>
      <w:r w:rsidRPr="006312E8">
        <w:rPr>
          <w:rFonts w:ascii="Arial" w:eastAsia="Calibri" w:hAnsi="Arial" w:cs="Arial"/>
          <w:lang w:val="es-ES"/>
        </w:rPr>
        <w:t>Para los fines de la presente Ley, entiéndese por:</w:t>
      </w:r>
    </w:p>
    <w:p w:rsidR="006312E8" w:rsidRPr="006312E8" w:rsidRDefault="006312E8" w:rsidP="006312E8">
      <w:pPr>
        <w:spacing w:after="0" w:line="240" w:lineRule="auto"/>
        <w:ind w:left="993"/>
        <w:contextualSpacing/>
        <w:jc w:val="both"/>
        <w:rPr>
          <w:rFonts w:ascii="Arial" w:eastAsia="Calibri" w:hAnsi="Arial" w:cs="Arial"/>
          <w:lang w:val="es-ES"/>
        </w:rPr>
      </w:pPr>
    </w:p>
    <w:p w:rsidR="006312E8" w:rsidRPr="006312E8" w:rsidRDefault="006312E8" w:rsidP="006312E8">
      <w:pPr>
        <w:spacing w:after="0" w:line="240" w:lineRule="auto"/>
        <w:ind w:left="993"/>
        <w:contextualSpacing/>
        <w:jc w:val="both"/>
        <w:rPr>
          <w:rFonts w:ascii="Arial" w:eastAsia="Calibri" w:hAnsi="Arial" w:cs="Arial"/>
          <w:lang w:val="es-ES"/>
        </w:rPr>
      </w:pPr>
      <w:r w:rsidRPr="006312E8">
        <w:rPr>
          <w:rFonts w:ascii="Arial" w:eastAsia="Calibri" w:hAnsi="Arial" w:cs="Arial"/>
          <w:lang w:val="es-ES"/>
        </w:rPr>
        <w:t>1. Habilitación urbana:</w:t>
      </w:r>
    </w:p>
    <w:p w:rsidR="006312E8" w:rsidRPr="006312E8" w:rsidRDefault="006312E8" w:rsidP="006312E8">
      <w:pPr>
        <w:spacing w:after="0" w:line="240" w:lineRule="auto"/>
        <w:ind w:left="993"/>
        <w:contextualSpacing/>
        <w:jc w:val="both"/>
        <w:rPr>
          <w:rFonts w:ascii="Arial" w:eastAsia="Calibri" w:hAnsi="Arial" w:cs="Arial"/>
          <w:lang w:val="es-ES"/>
        </w:rPr>
      </w:pPr>
    </w:p>
    <w:p w:rsidR="006312E8" w:rsidRPr="006312E8" w:rsidRDefault="006312E8" w:rsidP="006312E8">
      <w:pPr>
        <w:spacing w:after="0" w:line="240" w:lineRule="auto"/>
        <w:ind w:left="993"/>
        <w:contextualSpacing/>
        <w:jc w:val="both"/>
        <w:rPr>
          <w:rFonts w:ascii="Arial" w:eastAsia="Calibri" w:hAnsi="Arial" w:cs="Arial"/>
          <w:lang w:val="es-ES"/>
        </w:rPr>
      </w:pPr>
      <w:r w:rsidRPr="006312E8">
        <w:rPr>
          <w:rFonts w:ascii="Arial" w:eastAsia="Calibri" w:hAnsi="Arial" w:cs="Arial"/>
          <w:lang w:val="es-ES"/>
        </w:rPr>
        <w:t>(...)</w:t>
      </w:r>
    </w:p>
    <w:p w:rsidR="006312E8" w:rsidRPr="006312E8" w:rsidRDefault="006312E8" w:rsidP="006312E8">
      <w:pPr>
        <w:spacing w:after="0" w:line="240" w:lineRule="auto"/>
        <w:ind w:left="993"/>
        <w:contextualSpacing/>
        <w:jc w:val="both"/>
        <w:rPr>
          <w:rFonts w:ascii="Arial" w:eastAsia="Calibri" w:hAnsi="Arial" w:cs="Arial"/>
          <w:lang w:val="es-ES"/>
        </w:rPr>
      </w:pPr>
      <w:r w:rsidRPr="006312E8">
        <w:rPr>
          <w:rFonts w:ascii="Arial" w:eastAsia="Calibri" w:hAnsi="Arial" w:cs="Arial"/>
          <w:lang w:val="es-ES"/>
        </w:rPr>
        <w:t>Están exonerados de realizar aportes reglamentarios los proyectos de inversión pública, de asociación público-privada o de concesión que se realicen para la prestación de servicios públicos esenciales o para la ejecución de infraestructura pública.</w:t>
      </w:r>
    </w:p>
    <w:p w:rsidR="006312E8" w:rsidRPr="006312E8" w:rsidRDefault="006312E8" w:rsidP="006312E8">
      <w:pPr>
        <w:spacing w:after="0" w:line="240" w:lineRule="auto"/>
        <w:ind w:left="993"/>
        <w:contextualSpacing/>
        <w:jc w:val="both"/>
        <w:rPr>
          <w:rFonts w:ascii="Arial" w:eastAsia="Calibri" w:hAnsi="Arial" w:cs="Arial"/>
          <w:lang w:val="es-ES"/>
        </w:rPr>
      </w:pPr>
      <w:r w:rsidRPr="006312E8">
        <w:rPr>
          <w:rFonts w:ascii="Arial" w:eastAsia="Calibri" w:hAnsi="Arial" w:cs="Arial"/>
          <w:lang w:val="es-ES"/>
        </w:rPr>
        <w:t>(...)</w:t>
      </w:r>
    </w:p>
    <w:p w:rsidR="006312E8" w:rsidRPr="006312E8" w:rsidRDefault="006312E8" w:rsidP="006312E8">
      <w:pPr>
        <w:spacing w:after="0" w:line="240" w:lineRule="auto"/>
        <w:ind w:left="993"/>
        <w:contextualSpacing/>
        <w:jc w:val="both"/>
        <w:rPr>
          <w:rFonts w:ascii="Arial" w:eastAsia="Calibri" w:hAnsi="Arial" w:cs="Arial"/>
          <w:lang w:val="es-ES"/>
        </w:rPr>
      </w:pPr>
    </w:p>
    <w:p w:rsidR="006312E8" w:rsidRPr="006312E8" w:rsidRDefault="006312E8" w:rsidP="006312E8">
      <w:pPr>
        <w:spacing w:after="0" w:line="240" w:lineRule="auto"/>
        <w:ind w:left="993"/>
        <w:contextualSpacing/>
        <w:jc w:val="both"/>
        <w:rPr>
          <w:rFonts w:ascii="Arial" w:eastAsia="Calibri" w:hAnsi="Arial" w:cs="Arial"/>
          <w:b/>
          <w:lang w:val="es-ES"/>
        </w:rPr>
      </w:pPr>
      <w:r w:rsidRPr="006312E8">
        <w:rPr>
          <w:rFonts w:ascii="Arial" w:eastAsia="Calibri" w:hAnsi="Arial" w:cs="Arial"/>
          <w:b/>
          <w:lang w:val="es-ES"/>
        </w:rPr>
        <w:t>Artículo 10.- Modalidades de aprobación</w:t>
      </w:r>
    </w:p>
    <w:p w:rsidR="006312E8" w:rsidRPr="006312E8" w:rsidRDefault="006312E8" w:rsidP="006312E8">
      <w:pPr>
        <w:spacing w:after="0" w:line="240" w:lineRule="auto"/>
        <w:ind w:left="993"/>
        <w:contextualSpacing/>
        <w:jc w:val="both"/>
        <w:rPr>
          <w:rFonts w:ascii="Arial" w:eastAsia="Calibri" w:hAnsi="Arial" w:cs="Arial"/>
          <w:lang w:val="es-ES"/>
        </w:rPr>
      </w:pPr>
      <w:r w:rsidRPr="006312E8">
        <w:rPr>
          <w:rFonts w:ascii="Arial" w:eastAsia="Calibri" w:hAnsi="Arial" w:cs="Arial"/>
          <w:lang w:val="es-ES"/>
        </w:rPr>
        <w:t>Para la obtención de las licencias de habilitación o de edificación, existen cuatro (4) modalidades:</w:t>
      </w:r>
    </w:p>
    <w:p w:rsidR="006312E8" w:rsidRPr="006312E8" w:rsidRDefault="006312E8" w:rsidP="006312E8">
      <w:pPr>
        <w:spacing w:after="0" w:line="240" w:lineRule="auto"/>
        <w:ind w:left="993"/>
        <w:contextualSpacing/>
        <w:jc w:val="both"/>
        <w:rPr>
          <w:rFonts w:ascii="Arial" w:eastAsia="Calibri" w:hAnsi="Arial" w:cs="Arial"/>
          <w:lang w:val="es-ES"/>
        </w:rPr>
      </w:pPr>
    </w:p>
    <w:p w:rsidR="006312E8" w:rsidRPr="006312E8" w:rsidRDefault="006312E8" w:rsidP="006312E8">
      <w:pPr>
        <w:spacing w:after="0" w:line="240" w:lineRule="auto"/>
        <w:ind w:left="1418" w:hanging="425"/>
        <w:contextualSpacing/>
        <w:jc w:val="both"/>
        <w:rPr>
          <w:rFonts w:ascii="Arial" w:eastAsia="Calibri" w:hAnsi="Arial" w:cs="Arial"/>
          <w:lang w:val="es-ES"/>
        </w:rPr>
      </w:pPr>
      <w:r w:rsidRPr="006312E8">
        <w:rPr>
          <w:rFonts w:ascii="Arial" w:eastAsia="Calibri" w:hAnsi="Arial" w:cs="Arial"/>
          <w:lang w:val="es-ES"/>
        </w:rPr>
        <w:t xml:space="preserve">1. </w:t>
      </w:r>
      <w:r w:rsidRPr="006312E8">
        <w:rPr>
          <w:rFonts w:ascii="Arial" w:eastAsia="Calibri" w:hAnsi="Arial" w:cs="Arial"/>
          <w:lang w:val="es-ES"/>
        </w:rPr>
        <w:tab/>
        <w:t>Modalidad A: Aprobación automática con firma de profesionales</w:t>
      </w:r>
    </w:p>
    <w:p w:rsidR="006312E8" w:rsidRPr="006312E8" w:rsidRDefault="006312E8" w:rsidP="006312E8">
      <w:pPr>
        <w:spacing w:after="0" w:line="240" w:lineRule="auto"/>
        <w:ind w:left="1418" w:hanging="2"/>
        <w:contextualSpacing/>
        <w:jc w:val="both"/>
        <w:rPr>
          <w:rFonts w:ascii="Arial" w:eastAsia="Calibri" w:hAnsi="Arial" w:cs="Arial"/>
          <w:lang w:val="es-ES"/>
        </w:rPr>
      </w:pPr>
      <w:r w:rsidRPr="006312E8">
        <w:rPr>
          <w:rFonts w:ascii="Arial" w:eastAsia="Calibri" w:hAnsi="Arial" w:cs="Arial"/>
          <w:lang w:val="es-ES"/>
        </w:rPr>
        <w:t>Para obtener las licencias reguladas por la presente Ley mediante esta modalidad, se requiere la presentación ante la municipalidad competente de los requisitos establecidos en la presente Ley y los demás que establezca el Reglamento. El cargo de ingreso constituye la licencia, previo pago de la liquidación respectiva, y a partir de este momento se pueden iniciar las obras.</w:t>
      </w:r>
    </w:p>
    <w:p w:rsidR="006312E8" w:rsidRPr="006312E8" w:rsidRDefault="006312E8" w:rsidP="006312E8">
      <w:pPr>
        <w:spacing w:after="0" w:line="240" w:lineRule="auto"/>
        <w:ind w:left="993"/>
        <w:contextualSpacing/>
        <w:jc w:val="both"/>
        <w:rPr>
          <w:rFonts w:ascii="Arial" w:eastAsia="Calibri" w:hAnsi="Arial" w:cs="Arial"/>
          <w:lang w:val="es-ES"/>
        </w:rPr>
      </w:pPr>
    </w:p>
    <w:p w:rsidR="006312E8" w:rsidRPr="006312E8" w:rsidRDefault="006312E8" w:rsidP="006312E8">
      <w:pPr>
        <w:spacing w:after="0" w:line="240" w:lineRule="auto"/>
        <w:ind w:left="993"/>
        <w:contextualSpacing/>
        <w:jc w:val="both"/>
        <w:rPr>
          <w:rFonts w:ascii="Arial" w:eastAsia="Calibri" w:hAnsi="Arial" w:cs="Arial"/>
          <w:lang w:val="es-ES"/>
        </w:rPr>
      </w:pPr>
      <w:r w:rsidRPr="006312E8">
        <w:rPr>
          <w:rFonts w:ascii="Arial" w:eastAsia="Calibri" w:hAnsi="Arial" w:cs="Arial"/>
          <w:lang w:val="es-ES"/>
        </w:rPr>
        <w:t>Pueden acogerse a esta modalidad:</w:t>
      </w:r>
    </w:p>
    <w:p w:rsidR="006312E8" w:rsidRPr="006312E8" w:rsidRDefault="006312E8" w:rsidP="006312E8">
      <w:pPr>
        <w:spacing w:after="0" w:line="240" w:lineRule="auto"/>
        <w:ind w:left="993"/>
        <w:contextualSpacing/>
        <w:jc w:val="both"/>
        <w:rPr>
          <w:rFonts w:ascii="Arial" w:eastAsia="Calibri" w:hAnsi="Arial" w:cs="Arial"/>
          <w:lang w:val="es-ES"/>
        </w:rPr>
      </w:pPr>
    </w:p>
    <w:p w:rsidR="006312E8" w:rsidRPr="006312E8" w:rsidRDefault="006312E8" w:rsidP="006312E8">
      <w:pPr>
        <w:spacing w:after="0" w:line="240" w:lineRule="auto"/>
        <w:ind w:left="993"/>
        <w:contextualSpacing/>
        <w:jc w:val="both"/>
        <w:rPr>
          <w:rFonts w:ascii="Arial" w:eastAsia="Calibri" w:hAnsi="Arial" w:cs="Arial"/>
          <w:lang w:val="es-ES"/>
        </w:rPr>
      </w:pPr>
      <w:r w:rsidRPr="006312E8">
        <w:rPr>
          <w:rFonts w:ascii="Arial" w:eastAsia="Calibri" w:hAnsi="Arial" w:cs="Arial"/>
          <w:lang w:val="es-ES"/>
        </w:rPr>
        <w:t>(...)</w:t>
      </w:r>
    </w:p>
    <w:p w:rsidR="006312E8" w:rsidRPr="006312E8" w:rsidRDefault="006312E8" w:rsidP="006312E8">
      <w:pPr>
        <w:spacing w:after="0" w:line="240" w:lineRule="auto"/>
        <w:ind w:left="1560" w:hanging="567"/>
        <w:contextualSpacing/>
        <w:jc w:val="both"/>
        <w:rPr>
          <w:rFonts w:ascii="Arial" w:eastAsia="Calibri" w:hAnsi="Arial" w:cs="Arial"/>
          <w:lang w:val="es-ES"/>
        </w:rPr>
      </w:pPr>
      <w:r w:rsidRPr="006312E8">
        <w:rPr>
          <w:rFonts w:ascii="Arial" w:eastAsia="Calibri" w:hAnsi="Arial" w:cs="Arial"/>
          <w:lang w:val="es-ES"/>
        </w:rPr>
        <w:t xml:space="preserve">h) </w:t>
      </w:r>
      <w:r w:rsidRPr="006312E8">
        <w:rPr>
          <w:rFonts w:ascii="Arial" w:eastAsia="Calibri" w:hAnsi="Arial" w:cs="Arial"/>
          <w:lang w:val="es-ES"/>
        </w:rPr>
        <w:tab/>
        <w:t>Las habilitaciones urbanas y las edificaciones necesarias para el desarrollo de proyectos de inversión pública, de asociación público privada o de concesión privada que se realicen, para la prestación de servicios públicos esenciales o para la ejecución de infraestructura pública.”</w:t>
      </w:r>
    </w:p>
    <w:p w:rsidR="006312E8" w:rsidRPr="006312E8" w:rsidRDefault="006312E8" w:rsidP="006312E8">
      <w:pPr>
        <w:spacing w:after="0" w:line="240" w:lineRule="auto"/>
        <w:ind w:left="993"/>
        <w:contextualSpacing/>
        <w:jc w:val="both"/>
        <w:rPr>
          <w:rFonts w:ascii="Arial" w:eastAsia="Calibri" w:hAnsi="Arial" w:cs="Arial"/>
          <w:lang w:val="es-ES"/>
        </w:rPr>
      </w:pPr>
    </w:p>
    <w:p w:rsidR="006312E8" w:rsidRPr="006312E8" w:rsidRDefault="006312E8" w:rsidP="006312E8">
      <w:pPr>
        <w:spacing w:after="0" w:line="240" w:lineRule="auto"/>
        <w:ind w:left="993"/>
        <w:contextualSpacing/>
        <w:jc w:val="both"/>
        <w:rPr>
          <w:rFonts w:ascii="Arial" w:eastAsia="Calibri" w:hAnsi="Arial" w:cs="Arial"/>
          <w:lang w:val="es-ES"/>
        </w:rPr>
      </w:pPr>
      <w:r w:rsidRPr="006312E8">
        <w:rPr>
          <w:rFonts w:ascii="Arial" w:eastAsia="Calibri" w:hAnsi="Arial" w:cs="Arial"/>
          <w:lang w:val="es-ES"/>
        </w:rPr>
        <w:t>(…)</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Comuníquese al señor Presidente Constitucional de la República para su promulgación.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En Lima, al primer día del mes de julio de dos mil trece.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VÍCTOR ISLA ROJAS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Presidente del Congreso de la República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MARCO TULIO FALCONÍ PICARDO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Primer Vicepresidente del Congreso de la República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AL SEÑOR PRESIDENTE CONSTITUCIONAL DE LA REPÚBLICA</w:t>
      </w: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b/>
        <w:t>POR TANTO: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Mando se publique y cumpla.</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Dado en la Casa de Gobierno, en Lima, al primer día del mes de julio del año dos mil trece.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OLLANTA HUMALA TASSO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Presidente Constitucional de la República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JUAN F. JIMÉNEZ MAYOR</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Presidente del Consejo de Ministros</w:t>
      </w:r>
    </w:p>
    <w:p w:rsidR="00246CE9" w:rsidRDefault="00246CE9" w:rsidP="00F47618">
      <w:pPr>
        <w:pStyle w:val="TITO2"/>
      </w:pPr>
      <w:bookmarkStart w:id="450" w:name="_Toc392856261"/>
      <w:bookmarkStart w:id="451" w:name="_Toc399335531"/>
      <w:bookmarkStart w:id="452" w:name="_Toc421025478"/>
    </w:p>
    <w:p w:rsidR="00246CE9" w:rsidRDefault="00246CE9" w:rsidP="00F47618">
      <w:pPr>
        <w:pStyle w:val="TITO2"/>
      </w:pPr>
    </w:p>
    <w:p w:rsidR="00246CE9" w:rsidRDefault="00246CE9" w:rsidP="00F47618">
      <w:pPr>
        <w:pStyle w:val="TITO2"/>
      </w:pPr>
    </w:p>
    <w:p w:rsidR="00246CE9" w:rsidRDefault="00246CE9" w:rsidP="00F47618">
      <w:pPr>
        <w:pStyle w:val="TITO2"/>
      </w:pPr>
    </w:p>
    <w:p w:rsidR="00246CE9" w:rsidRDefault="00246CE9" w:rsidP="00F47618">
      <w:pPr>
        <w:pStyle w:val="TITO2"/>
      </w:pPr>
    </w:p>
    <w:p w:rsidR="00246CE9" w:rsidRDefault="00246CE9" w:rsidP="00F47618">
      <w:pPr>
        <w:pStyle w:val="TITO2"/>
      </w:pPr>
    </w:p>
    <w:p w:rsidR="00246CE9" w:rsidRDefault="00246CE9" w:rsidP="00F47618">
      <w:pPr>
        <w:pStyle w:val="TITO2"/>
      </w:pPr>
    </w:p>
    <w:p w:rsidR="00246CE9" w:rsidRDefault="00246CE9" w:rsidP="00F47618">
      <w:pPr>
        <w:pStyle w:val="TITO2"/>
      </w:pPr>
    </w:p>
    <w:p w:rsidR="00246CE9" w:rsidRDefault="00246CE9" w:rsidP="00F47618">
      <w:pPr>
        <w:pStyle w:val="TITO2"/>
      </w:pPr>
    </w:p>
    <w:p w:rsidR="00246CE9" w:rsidRDefault="00246CE9" w:rsidP="00F47618">
      <w:pPr>
        <w:pStyle w:val="TITO2"/>
      </w:pPr>
    </w:p>
    <w:p w:rsidR="00246CE9" w:rsidRDefault="00246CE9" w:rsidP="00F47618">
      <w:pPr>
        <w:pStyle w:val="TITO2"/>
      </w:pPr>
    </w:p>
    <w:p w:rsidR="00246CE9" w:rsidRDefault="00246CE9" w:rsidP="00F47618">
      <w:pPr>
        <w:pStyle w:val="TITO2"/>
      </w:pPr>
    </w:p>
    <w:p w:rsidR="00246CE9" w:rsidRDefault="00246CE9" w:rsidP="00F47618">
      <w:pPr>
        <w:pStyle w:val="TITO2"/>
      </w:pPr>
    </w:p>
    <w:p w:rsidR="00246CE9" w:rsidRDefault="00246CE9" w:rsidP="00F47618">
      <w:pPr>
        <w:pStyle w:val="TITO2"/>
      </w:pPr>
    </w:p>
    <w:p w:rsidR="00246CE9" w:rsidRDefault="00246CE9" w:rsidP="00F47618">
      <w:pPr>
        <w:pStyle w:val="TITO2"/>
      </w:pPr>
    </w:p>
    <w:p w:rsidR="00246CE9" w:rsidRDefault="00246CE9" w:rsidP="00F47618">
      <w:pPr>
        <w:pStyle w:val="TITO2"/>
      </w:pPr>
    </w:p>
    <w:p w:rsidR="00246CE9" w:rsidRDefault="00246CE9" w:rsidP="00F47618">
      <w:pPr>
        <w:pStyle w:val="TITO2"/>
      </w:pPr>
    </w:p>
    <w:p w:rsidR="00246CE9" w:rsidRDefault="00246CE9" w:rsidP="00F47618">
      <w:pPr>
        <w:pStyle w:val="TITO2"/>
      </w:pPr>
    </w:p>
    <w:p w:rsidR="00246CE9" w:rsidRDefault="00246CE9" w:rsidP="00F47618">
      <w:pPr>
        <w:pStyle w:val="TITO2"/>
      </w:pPr>
    </w:p>
    <w:p w:rsidR="00246CE9" w:rsidRDefault="00246CE9" w:rsidP="00F47618">
      <w:pPr>
        <w:pStyle w:val="TITO2"/>
      </w:pPr>
    </w:p>
    <w:p w:rsidR="00246CE9" w:rsidRDefault="00246CE9" w:rsidP="00F47618">
      <w:pPr>
        <w:pStyle w:val="TITO2"/>
      </w:pPr>
    </w:p>
    <w:p w:rsidR="00246CE9" w:rsidRDefault="00246CE9" w:rsidP="00F47618">
      <w:pPr>
        <w:pStyle w:val="TITO2"/>
      </w:pPr>
    </w:p>
    <w:p w:rsidR="00246CE9" w:rsidRDefault="00246CE9" w:rsidP="00F47618">
      <w:pPr>
        <w:pStyle w:val="TITO2"/>
      </w:pPr>
    </w:p>
    <w:p w:rsidR="00246CE9" w:rsidRDefault="00246CE9" w:rsidP="00F47618">
      <w:pPr>
        <w:pStyle w:val="TITO2"/>
      </w:pPr>
    </w:p>
    <w:p w:rsidR="00246CE9" w:rsidRDefault="00246CE9" w:rsidP="00F47618">
      <w:pPr>
        <w:pStyle w:val="TITO2"/>
      </w:pPr>
    </w:p>
    <w:p w:rsidR="00246CE9" w:rsidRDefault="00246CE9" w:rsidP="00F47618">
      <w:pPr>
        <w:pStyle w:val="TITO2"/>
      </w:pPr>
    </w:p>
    <w:p w:rsidR="00246CE9" w:rsidRDefault="00246CE9" w:rsidP="00F47618">
      <w:pPr>
        <w:pStyle w:val="TITO2"/>
      </w:pPr>
    </w:p>
    <w:p w:rsidR="00246CE9" w:rsidRDefault="00246CE9" w:rsidP="00F47618">
      <w:pPr>
        <w:pStyle w:val="TITO2"/>
      </w:pPr>
    </w:p>
    <w:p w:rsidR="00246CE9" w:rsidRDefault="00246CE9" w:rsidP="00F47618">
      <w:pPr>
        <w:pStyle w:val="TITO2"/>
      </w:pPr>
    </w:p>
    <w:p w:rsidR="00246CE9" w:rsidRDefault="00246CE9" w:rsidP="00F47618">
      <w:pPr>
        <w:pStyle w:val="TITO2"/>
      </w:pPr>
    </w:p>
    <w:p w:rsidR="00246CE9" w:rsidRDefault="00246CE9" w:rsidP="00F47618">
      <w:pPr>
        <w:pStyle w:val="TITO2"/>
      </w:pPr>
    </w:p>
    <w:p w:rsidR="006312E8" w:rsidRPr="006312E8" w:rsidRDefault="006312E8" w:rsidP="00F47618">
      <w:pPr>
        <w:pStyle w:val="TITO2"/>
      </w:pPr>
      <w:bookmarkStart w:id="453" w:name="_Toc470855581"/>
      <w:r w:rsidRPr="006312E8">
        <w:t>LEY Nº 30078</w:t>
      </w:r>
      <w:bookmarkEnd w:id="450"/>
      <w:bookmarkEnd w:id="451"/>
      <w:bookmarkEnd w:id="452"/>
      <w:bookmarkEnd w:id="453"/>
    </w:p>
    <w:bookmarkEnd w:id="444"/>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Ley que Promueve el Desarrollo de Parques Industriales Tecno-Ecológicos</w:t>
      </w:r>
    </w:p>
    <w:p w:rsidR="006312E8" w:rsidRPr="006312E8" w:rsidRDefault="006312E8" w:rsidP="006312E8">
      <w:pPr>
        <w:spacing w:after="0" w:line="240" w:lineRule="auto"/>
        <w:contextualSpacing/>
        <w:jc w:val="center"/>
        <w:rPr>
          <w:rFonts w:ascii="Arial" w:eastAsia="Calibri" w:hAnsi="Arial" w:cs="Arial"/>
          <w:b/>
          <w:lang w:val="es-ES"/>
        </w:rPr>
      </w:pPr>
    </w:p>
    <w:p w:rsidR="006312E8" w:rsidRPr="006312E8" w:rsidRDefault="006312E8" w:rsidP="006312E8">
      <w:pPr>
        <w:spacing w:after="0" w:line="240" w:lineRule="auto"/>
        <w:contextualSpacing/>
        <w:jc w:val="right"/>
        <w:rPr>
          <w:rFonts w:ascii="Arial" w:eastAsia="Calibri" w:hAnsi="Arial" w:cs="Arial"/>
          <w:b/>
          <w:lang w:val="es-ES"/>
        </w:rPr>
      </w:pPr>
      <w:r w:rsidRPr="006312E8">
        <w:rPr>
          <w:rFonts w:ascii="Arial" w:eastAsia="Calibri" w:hAnsi="Arial" w:cs="Arial"/>
          <w:b/>
          <w:lang w:val="es-ES"/>
        </w:rPr>
        <w:t>Fecha de publicación: 21-08-2013</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EL PRESIDENTE DEL CONGRESO DE LA REPÚBLICA</w:t>
      </w: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POR CUANTO:</w:t>
      </w: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EL CONGRESO DE LA REPÚBLICA;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Ha dado la Ley siguiente: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LEY QUE PROMUEVE EL DESARROLLO DE PARQUES INDUSTRIALES TECNO-ECOLÓGICOS</w:t>
      </w:r>
    </w:p>
    <w:p w:rsidR="006312E8" w:rsidRPr="006312E8" w:rsidRDefault="006312E8" w:rsidP="006312E8">
      <w:pPr>
        <w:spacing w:after="0" w:line="240" w:lineRule="auto"/>
        <w:contextualSpacing/>
        <w:jc w:val="center"/>
        <w:rPr>
          <w:rFonts w:ascii="Arial" w:eastAsia="Calibri" w:hAnsi="Arial" w:cs="Arial"/>
          <w:b/>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Título Preliminar</w:t>
      </w:r>
    </w:p>
    <w:p w:rsidR="006312E8" w:rsidRPr="006312E8" w:rsidRDefault="006312E8" w:rsidP="006312E8">
      <w:pPr>
        <w:spacing w:after="0" w:line="240" w:lineRule="auto"/>
        <w:contextualSpacing/>
        <w:jc w:val="center"/>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I. Creación de Parques Industriales Tecno-ecológicos con enfoque de cluster</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 presente Ley promueve y regula la creación de Parques Industriales Tecno-ecológicos mediante propuestas públicas o privadas.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 creación de Parques Industriales Tecno-ecológicos, en adelante PITE, es parte de la estrategia nacional de promoción de la competitividad, asociatividad y rentabilidad de las unidades productivas del sector industrial en general, incluido el agroindustrial, en un contexto de desarrollo económico y social de las regiones y de descentralización de las actividades económicas, acordes con el uso eficiente de los recursos ambientales en todo proceso productivo como medio para lograr el desarrollo sostenible. El carácter tecno-ecológico proviene de la adopción y desarrollo de tecnologías especialmente vinculadas a las cadenas productivas priorizadas dentro del proceso de promoción de cada PITE, en concordancia con las normas nacionales e internacionales de respeto al medio ambiente.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II. Fines de los Parques Industriales Tecnoecológicos con enfoque de cluster</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Son fines de los Parques Industriales Tecno-ecológicos (PITE) garantizar el crecimiento y desarrollo ordenado de las industrias a nivel nacional con enfoque de cluster, en concordancia con el cuidado del medio ambiente, el uso eficiente de la energía, la responsabilidad social y el cuidado del agua, de conformidad con la legislación vigente sobre la materia.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Asimismo, desarrollar emprendimientos productivos agroindustriales con base tecno-ecológica, con la finalidad de incorporar valor agregado a su producción primaria, en las distintas regiones naturales del país.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Las empresas que se desarrollan en el marco de la presente Ley cumplen las normas permisibles del cuidado del medio ambiente, del manejo de residuos industriales y del agua, entre otras; utilizan los sistemas de tratamientos y reciclaje para cada tipo de contaminante típico o propio de los Parques Industriales Tecno-ecológicos.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De los Parques Industriales Tecno-ecológicos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 Objeto de la Ley</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 presente Ley tiene como objeto establecer los lineamientos y mecanismos para la promoción y desarrollo de Parques Industriales Tecno-ecológicos (PITE) con enfoque de cluster en alianza con el sector privado. La participación estatal se da por: i) la provisión de predios públicos para el emplazamiento del PITE; y ii) el financiamiento y cofinanciamiento de la ejecución del PITE.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2. Alineación con la competitividad nacional</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Los Parques Industriales Tecno-ecológicos (PITE) regulados por la presente Ley están alineados en concordancia con el Acuerdo Nacional y la Agenda de Competitividad del Consejo Nacional de la Competitividad.</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3. Ámbito de aplicación de la Ley</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 presente Ley se aplica en el ámbito del territorio nacional. Son el Gobierno Nacional y los gobiernos regionales y gobiernos locales los encargados de la promoción e implementación de los PITE.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 fin de que el desarrollo de los PITE se impulse de manera adecuada, es necesario que los gobiernos regionales identifiquen las potencialidades y prioricen las necesidades de desarrollo productivo en cada región para su implementación, el tipo de parque industrial a implementar y las actividades industriales que deben desarrollarse en dicho lugar.</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Lo anterior debe plasmarse en el Plan Estratégico Regional con la finalidad de promover eficientemente la implementación de los PITE, ya sea con participación pública o privada.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 implementación a cargo de los gobiernos regionales debe estar alineada a las políticas nacionales que expida el Ministerio de la Producción, como ente rector, y el Consejo Nacional de la Competitividad (CNC), dentro de sus competencias.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4. Fomento de estándares internacionales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fomento y la promoción de los PITE con enfoque de cluster están sujetos a los parámetros de las normas nacionales e internacionales vigentes relacionadas con la calidad, el cuidado del medio ambiente, la eficiencia en el uso de las energías, la responsabilidad social, el cuidado del agua y todo lo necesario para la protección del planeta y el equilibrio sostenible.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5. Propuestas privadas para la creación de Parques Industriales Tecno-ecológicos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120"/>
        </w:num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Las propuestas de proyecto de desarrollo de los PITE deben ser presentadas ante la Gerencia de Desarrollo Económico local o regional, o quien haga sus veces, de los gobiernos regionales o locales, a través de contratos asociativos, de conformidad con el artículo 438 de la Ley 26887, Ley General de Sociedades, en concordancia con el último párrafo del artículo 145 del Decreto Supremo 184-2008-EF, Reglamento del Decreto Legislativo 1017, que aprueba la Ley de Contrataciones del Estado, los cuales deben estar suscritos por personas jurídicas nacionales y/o nacionales y extranjeras. El reglamento de la presente Ley contiene el detalle de los procesos correspondientes.</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92471C">
      <w:pPr>
        <w:numPr>
          <w:ilvl w:val="1"/>
          <w:numId w:val="120"/>
        </w:num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Las propuestas privadas tienen el carácter de peticiones de gracia, a que se refiere el artículo 112 de la Ley 27444, Ley del Procedimiento Administrativo General, en lo que sea pertinente, manteniéndose el carácter de reservado del contenido del proyecto hasta que se apruebe la viabilidad y ejecución de este.</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92471C">
      <w:pPr>
        <w:numPr>
          <w:ilvl w:val="1"/>
          <w:numId w:val="120"/>
        </w:num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Las autoridades correspondientes evalúan el otorgamiento de autorización para el desarrollo del proyecto en un plazo máximo de noventa (90) días calendario a partir de su presentación, siempre y cuando se cumpla con los requisitos exigidos en la presente Ley.</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92471C">
      <w:pPr>
        <w:numPr>
          <w:ilvl w:val="1"/>
          <w:numId w:val="120"/>
        </w:num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La Gerencia de Desarrollo Económico local o regional, o quien haga sus veces, debe mantener el carácter confidencial y reservado de las propuestas privadas que se presenten, bajo responsabilidad. Esta obligación se extiende a las entidades públicas y funcionarios públicos que, por su cargo o función, tomen conocimiento de la presentación y contenido de la propuesta privada. El carácter confidencial y reservado se mantendrá hasta su aprobación.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1276" w:hanging="1276"/>
        <w:contextualSpacing/>
        <w:jc w:val="both"/>
        <w:rPr>
          <w:rFonts w:ascii="Arial" w:eastAsia="Calibri" w:hAnsi="Arial" w:cs="Arial"/>
          <w:b/>
          <w:lang w:val="es-ES"/>
        </w:rPr>
      </w:pPr>
      <w:r w:rsidRPr="006312E8">
        <w:rPr>
          <w:rFonts w:ascii="Arial" w:eastAsia="Calibri" w:hAnsi="Arial" w:cs="Arial"/>
          <w:b/>
          <w:lang w:val="es-ES"/>
        </w:rPr>
        <w:t>Artículo 6. Requisitos para la presentación de propuestas privadas para la creación de Parques Industriales Tecno-ecológicos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Los requisitos mínimos exigidos para la presentación de las propuestas son: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33"/>
        </w:num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Nombre o razón social del consorcio proponente con indicación de sus generales de ley, acompañando los correspondientes poderes del representante legal.</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92471C">
      <w:pPr>
        <w:numPr>
          <w:ilvl w:val="0"/>
          <w:numId w:val="133"/>
        </w:num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Perfil del proyecto del PITE.</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92471C">
      <w:pPr>
        <w:numPr>
          <w:ilvl w:val="0"/>
          <w:numId w:val="133"/>
        </w:num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Objeto del PITE.</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92471C">
      <w:pPr>
        <w:numPr>
          <w:ilvl w:val="0"/>
          <w:numId w:val="133"/>
        </w:num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Memoria descriptiva del proyecto del PITE.</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92471C">
      <w:pPr>
        <w:numPr>
          <w:ilvl w:val="0"/>
          <w:numId w:val="133"/>
        </w:num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Plan de manejo de los residuos industriales generados en el PITE, en el marco de la Ley 27446, Ley del Sistema Nacional de Evaluación del Impacto Ambiental, y su reglamento, aprobado por el Decreto Supremo 019-2009-MINAM.</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92471C">
      <w:pPr>
        <w:numPr>
          <w:ilvl w:val="0"/>
          <w:numId w:val="133"/>
        </w:num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Metrado y valorización del proyecto del PITE.</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92471C">
      <w:pPr>
        <w:numPr>
          <w:ilvl w:val="0"/>
          <w:numId w:val="133"/>
        </w:num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Beneficios concretos que la ejecución del proyecto reportará a la localidad donde sea ejecutado.</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92471C">
      <w:pPr>
        <w:numPr>
          <w:ilvl w:val="0"/>
          <w:numId w:val="133"/>
        </w:num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Plan de negocio de sostenibilidad de la administración del PITE.</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92471C">
      <w:pPr>
        <w:numPr>
          <w:ilvl w:val="0"/>
          <w:numId w:val="133"/>
        </w:num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Reglamento interno de operación y conservación para el funcionamiento del PITE.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7. Propuestas públicas para la creación de Parques Industriales Tecno-ecológicos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709" w:hanging="421"/>
        <w:jc w:val="both"/>
        <w:rPr>
          <w:rFonts w:ascii="Arial" w:eastAsia="Calibri" w:hAnsi="Arial" w:cs="Arial"/>
          <w:lang w:val="es-ES"/>
        </w:rPr>
      </w:pPr>
      <w:r w:rsidRPr="006312E8">
        <w:rPr>
          <w:rFonts w:ascii="Arial" w:eastAsia="Calibri" w:hAnsi="Arial" w:cs="Arial"/>
          <w:lang w:val="es-ES"/>
        </w:rPr>
        <w:t>7.1. Las propuestas de proyecto de desarrollo de los PITE pueden ser presentadas por el Estado a través de los gobiernos locales y regionales, acorde con lo establecido en la presente Ley. Las propuestas incluyen la consideración de los requisitos establecidos en el artículo 6 de la presente Ley, a excepción del inciso a).</w:t>
      </w:r>
    </w:p>
    <w:p w:rsidR="006312E8" w:rsidRPr="006312E8" w:rsidRDefault="006312E8" w:rsidP="006312E8">
      <w:pPr>
        <w:spacing w:after="0" w:line="240" w:lineRule="auto"/>
        <w:ind w:left="709" w:hanging="421"/>
        <w:contextualSpacing/>
        <w:jc w:val="both"/>
        <w:rPr>
          <w:rFonts w:ascii="Arial" w:eastAsia="Calibri" w:hAnsi="Arial" w:cs="Arial"/>
          <w:lang w:val="es-ES"/>
        </w:rPr>
      </w:pPr>
    </w:p>
    <w:p w:rsidR="006312E8" w:rsidRPr="006312E8" w:rsidRDefault="006312E8" w:rsidP="006312E8">
      <w:pPr>
        <w:spacing w:after="0" w:line="240" w:lineRule="auto"/>
        <w:ind w:left="709" w:hanging="421"/>
        <w:jc w:val="both"/>
        <w:rPr>
          <w:rFonts w:ascii="Arial" w:eastAsia="Calibri" w:hAnsi="Arial" w:cs="Arial"/>
          <w:lang w:val="es-ES"/>
        </w:rPr>
      </w:pPr>
      <w:r w:rsidRPr="006312E8">
        <w:rPr>
          <w:rFonts w:ascii="Arial" w:eastAsia="Calibri" w:hAnsi="Arial" w:cs="Arial"/>
          <w:lang w:val="es-ES"/>
        </w:rPr>
        <w:t>7.2. El plazo total para la evaluación y aprobación de los proyectos es el establecido en el párrafo tercero del artículo 5 de la presente Ley.</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8. Evaluación y aprobación de los proyectos de desarrollo de Parques Industriales Tecno-ecológicos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 evaluación del estudio corresponde a la Gerencia de Desarrollo Económico local o regional, o a quien haga sus veces. El reglamento de la presente Ley contendrá el detalle del proceso de evaluación y aprobación.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9. Localización de los Parques Industriales Tecno-ecológicos en predios públicos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705" w:hanging="421"/>
        <w:jc w:val="both"/>
        <w:rPr>
          <w:rFonts w:ascii="Arial" w:eastAsia="Calibri" w:hAnsi="Arial" w:cs="Arial"/>
          <w:lang w:val="es-ES"/>
        </w:rPr>
      </w:pPr>
      <w:r w:rsidRPr="006312E8">
        <w:rPr>
          <w:rFonts w:ascii="Arial" w:eastAsia="Calibri" w:hAnsi="Arial" w:cs="Arial"/>
          <w:lang w:val="es-ES"/>
        </w:rPr>
        <w:t>9.1.</w:t>
      </w:r>
      <w:r w:rsidRPr="006312E8">
        <w:rPr>
          <w:rFonts w:ascii="Arial" w:eastAsia="Calibri" w:hAnsi="Arial" w:cs="Arial"/>
          <w:lang w:val="es-ES"/>
        </w:rPr>
        <w:tab/>
        <w:t>La identificación de los predios donde se implementarán los PITE es aquella que resulte de la aprobación del proyecto de desarrollo del parque.</w:t>
      </w:r>
    </w:p>
    <w:p w:rsidR="006312E8" w:rsidRPr="006312E8" w:rsidRDefault="006312E8" w:rsidP="006312E8">
      <w:pPr>
        <w:spacing w:after="0" w:line="240" w:lineRule="auto"/>
        <w:ind w:hanging="421"/>
        <w:contextualSpacing/>
        <w:jc w:val="both"/>
        <w:rPr>
          <w:rFonts w:ascii="Arial" w:eastAsia="Calibri" w:hAnsi="Arial" w:cs="Arial"/>
          <w:lang w:val="es-ES"/>
        </w:rPr>
      </w:pPr>
    </w:p>
    <w:p w:rsidR="006312E8" w:rsidRPr="006312E8" w:rsidRDefault="006312E8" w:rsidP="006312E8">
      <w:pPr>
        <w:spacing w:after="0" w:line="240" w:lineRule="auto"/>
        <w:ind w:left="705" w:hanging="421"/>
        <w:jc w:val="both"/>
        <w:rPr>
          <w:rFonts w:ascii="Arial" w:eastAsia="Calibri" w:hAnsi="Arial" w:cs="Arial"/>
          <w:lang w:val="es-ES"/>
        </w:rPr>
      </w:pPr>
      <w:r w:rsidRPr="006312E8">
        <w:rPr>
          <w:rFonts w:ascii="Arial" w:eastAsia="Calibri" w:hAnsi="Arial" w:cs="Arial"/>
          <w:lang w:val="es-ES"/>
        </w:rPr>
        <w:t>9.2.</w:t>
      </w:r>
      <w:r w:rsidRPr="006312E8">
        <w:rPr>
          <w:rFonts w:ascii="Arial" w:eastAsia="Calibri" w:hAnsi="Arial" w:cs="Arial"/>
          <w:lang w:val="es-ES"/>
        </w:rPr>
        <w:tab/>
        <w:t>Es responsabilidad de los gobiernos regionales y locales el saneamiento físico-legal de los predios identificados como parte del proceso de promoción de los PITE, previamente a la aprobación de cada iniciativa. Asimismo, estos predios deben ser compatibles con los instrumentos de planificación territorial y uso del suelo (zonificación, catastro, entre otros), los que deben considerar una zona de amortiguamiento, bajo responsabilidad del titular del pliego; además, deben adoptar los lineamientos que se especificarán en el reglamento de la presente Ley.</w:t>
      </w:r>
    </w:p>
    <w:p w:rsidR="006312E8" w:rsidRPr="006312E8" w:rsidRDefault="006312E8" w:rsidP="006312E8">
      <w:pPr>
        <w:spacing w:after="0" w:line="240" w:lineRule="auto"/>
        <w:ind w:hanging="421"/>
        <w:contextualSpacing/>
        <w:jc w:val="both"/>
        <w:rPr>
          <w:rFonts w:ascii="Arial" w:eastAsia="Calibri" w:hAnsi="Arial" w:cs="Arial"/>
          <w:lang w:val="es-ES"/>
        </w:rPr>
      </w:pPr>
    </w:p>
    <w:p w:rsidR="006312E8" w:rsidRPr="006312E8" w:rsidRDefault="006312E8" w:rsidP="006312E8">
      <w:pPr>
        <w:spacing w:after="0" w:line="240" w:lineRule="auto"/>
        <w:ind w:left="705" w:hanging="421"/>
        <w:jc w:val="both"/>
        <w:rPr>
          <w:rFonts w:ascii="Arial" w:eastAsia="Calibri" w:hAnsi="Arial" w:cs="Arial"/>
          <w:lang w:val="es-ES"/>
        </w:rPr>
      </w:pPr>
      <w:r w:rsidRPr="006312E8">
        <w:rPr>
          <w:rFonts w:ascii="Arial" w:eastAsia="Calibri" w:hAnsi="Arial" w:cs="Arial"/>
          <w:lang w:val="es-ES"/>
        </w:rPr>
        <w:t>9.3.</w:t>
      </w:r>
      <w:r w:rsidRPr="006312E8">
        <w:rPr>
          <w:rFonts w:ascii="Arial" w:eastAsia="Calibri" w:hAnsi="Arial" w:cs="Arial"/>
          <w:lang w:val="es-ES"/>
        </w:rPr>
        <w:tab/>
        <w:t>Los gobiernos regionales y los gobiernos locales pueden solicitar a la Superintendencia Nacional de Bienes Estatales (SBN) la reserva y adquisición de terrenos del Estado para el desarrollo de proyectos de PITE.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10. Administración de los Parques Industriales Tecno-ecológicos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705" w:hanging="563"/>
        <w:jc w:val="both"/>
        <w:rPr>
          <w:rFonts w:ascii="Arial" w:eastAsia="Calibri" w:hAnsi="Arial" w:cs="Arial"/>
          <w:lang w:val="es-ES"/>
        </w:rPr>
      </w:pPr>
      <w:r w:rsidRPr="006312E8">
        <w:rPr>
          <w:rFonts w:ascii="Arial" w:eastAsia="Calibri" w:hAnsi="Arial" w:cs="Arial"/>
          <w:lang w:val="es-ES"/>
        </w:rPr>
        <w:t>10.1. En el caso de propuestas privadas, la administración de los PITE se realiza a través de un contrato de fideicomiso firmado con el consorcio.</w:t>
      </w:r>
    </w:p>
    <w:p w:rsidR="006312E8" w:rsidRPr="006312E8" w:rsidRDefault="006312E8" w:rsidP="006312E8">
      <w:pPr>
        <w:spacing w:after="0" w:line="240" w:lineRule="auto"/>
        <w:ind w:hanging="563"/>
        <w:contextualSpacing/>
        <w:jc w:val="both"/>
        <w:rPr>
          <w:rFonts w:ascii="Arial" w:eastAsia="Calibri" w:hAnsi="Arial" w:cs="Arial"/>
          <w:lang w:val="es-ES"/>
        </w:rPr>
      </w:pPr>
    </w:p>
    <w:p w:rsidR="006312E8" w:rsidRPr="006312E8" w:rsidRDefault="006312E8" w:rsidP="006312E8">
      <w:pPr>
        <w:spacing w:after="0" w:line="240" w:lineRule="auto"/>
        <w:ind w:left="705" w:hanging="563"/>
        <w:jc w:val="both"/>
        <w:rPr>
          <w:rFonts w:ascii="Arial" w:eastAsia="Calibri" w:hAnsi="Arial" w:cs="Arial"/>
          <w:lang w:val="es-ES"/>
        </w:rPr>
      </w:pPr>
      <w:r w:rsidRPr="006312E8">
        <w:rPr>
          <w:rFonts w:ascii="Arial" w:eastAsia="Calibri" w:hAnsi="Arial" w:cs="Arial"/>
          <w:lang w:val="es-ES"/>
        </w:rPr>
        <w:t>10.2. En el caso de propuestas públicas, la administración de los PITE está a cargo de un directorio conformado por un (1) representante del consorcio que representa a las empresas instaladas en el PITE, un (1) representante del gobierno local y un (1) representante del gobierno regional, según sea el caso.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11. Criterios para el establecimiento de los Parques Industriales Tecno-ecológicos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Para el desarrollo de lo establecido en los artículos 6 y 7 de la presente Ley, se tienen en cuenta los siguientes criterios: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numPr>
          <w:ilvl w:val="1"/>
          <w:numId w:val="3"/>
        </w:num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Las disposiciones legales relativas al ordenamiento territorial y del medio ambiente vigentes, tanto a nivel nacional como regional y local.</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numPr>
          <w:ilvl w:val="1"/>
          <w:numId w:val="3"/>
        </w:num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La identificación de una demanda potencial de los bienes a producirse en los PITE como resultado del estudio de mercado correspondiente, de acuerdo con el plan de negocios de sostenibilidad de la administración de los PITE.</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numPr>
          <w:ilvl w:val="1"/>
          <w:numId w:val="3"/>
        </w:num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La generación de empleo, ocupando prioritariamente a residentes de la zona.</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numPr>
          <w:ilvl w:val="1"/>
          <w:numId w:val="3"/>
        </w:num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La productividad y rentabilidad de las actividades industriales a desarrollarse.</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numPr>
          <w:ilvl w:val="1"/>
          <w:numId w:val="3"/>
        </w:num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La contribución al desarrollo económico y social de la región, en concordancia con lo establecido en los incisos b) y g) del artículo 6 de la presente Ley.</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numPr>
          <w:ilvl w:val="1"/>
          <w:numId w:val="3"/>
        </w:num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La generación o ampliación del mercado externo para las industrias instaladas en los PITE.</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numPr>
          <w:ilvl w:val="1"/>
          <w:numId w:val="3"/>
        </w:num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La accesibilidad a un centro urbano cercano, teniendo en cuenta lo establecido en el artículo 4, artículo 9, párrafo 9.2; artículo 14, párrafo 14.2, e inciso g) del artículo 6 de la presente Ley.</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6312E8">
      <w:pPr>
        <w:numPr>
          <w:ilvl w:val="1"/>
          <w:numId w:val="3"/>
        </w:num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La vinculación directa o indirecta entre las empresas instaladas y la transferencia de tecnología a la región o zona de influencia.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12. Transferencia de predios públicos destinados al emplazamiento de los Parques Industriales Tecno-ecológicos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705" w:hanging="563"/>
        <w:jc w:val="both"/>
        <w:rPr>
          <w:rFonts w:ascii="Arial" w:eastAsia="Calibri" w:hAnsi="Arial" w:cs="Arial"/>
          <w:lang w:val="es-ES"/>
        </w:rPr>
      </w:pPr>
      <w:r w:rsidRPr="006312E8">
        <w:rPr>
          <w:rFonts w:ascii="Arial" w:eastAsia="Calibri" w:hAnsi="Arial" w:cs="Arial"/>
          <w:lang w:val="es-ES"/>
        </w:rPr>
        <w:t>12.1.</w:t>
      </w:r>
      <w:r w:rsidRPr="006312E8">
        <w:rPr>
          <w:rFonts w:ascii="Arial" w:eastAsia="Calibri" w:hAnsi="Arial" w:cs="Arial"/>
          <w:lang w:val="es-ES"/>
        </w:rPr>
        <w:tab/>
        <w:t>El Gobierno Nacional, los gobiernos regionales y los gobiernos locales, conforme a las disposiciones del Sistema Nacional de Bienes Estatales y a la normatividad vigente, facilitan las modalidades contractuales de transferencia de terrenos para la edificación de los PITE a que se refiere la presente Ley.</w:t>
      </w:r>
    </w:p>
    <w:p w:rsidR="006312E8" w:rsidRPr="006312E8" w:rsidRDefault="006312E8" w:rsidP="006312E8">
      <w:pPr>
        <w:spacing w:after="0" w:line="240" w:lineRule="auto"/>
        <w:ind w:hanging="563"/>
        <w:contextualSpacing/>
        <w:jc w:val="both"/>
        <w:rPr>
          <w:rFonts w:ascii="Arial" w:eastAsia="Calibri" w:hAnsi="Arial" w:cs="Arial"/>
          <w:lang w:val="es-ES"/>
        </w:rPr>
      </w:pPr>
    </w:p>
    <w:p w:rsidR="006312E8" w:rsidRPr="006312E8" w:rsidRDefault="006312E8" w:rsidP="006312E8">
      <w:pPr>
        <w:spacing w:after="0" w:line="240" w:lineRule="auto"/>
        <w:ind w:left="705" w:hanging="563"/>
        <w:jc w:val="both"/>
        <w:rPr>
          <w:rFonts w:ascii="Arial" w:eastAsia="Calibri" w:hAnsi="Arial" w:cs="Arial"/>
          <w:lang w:val="es-ES"/>
        </w:rPr>
      </w:pPr>
      <w:r w:rsidRPr="006312E8">
        <w:rPr>
          <w:rFonts w:ascii="Arial" w:eastAsia="Calibri" w:hAnsi="Arial" w:cs="Arial"/>
          <w:lang w:val="es-ES"/>
        </w:rPr>
        <w:t>12.2.</w:t>
      </w:r>
      <w:r w:rsidRPr="006312E8">
        <w:rPr>
          <w:rFonts w:ascii="Arial" w:eastAsia="Calibri" w:hAnsi="Arial" w:cs="Arial"/>
          <w:lang w:val="es-ES"/>
        </w:rPr>
        <w:tab/>
        <w:t>Con la aprobación del proyecto correspondiente, el titular del predio puede transferir el terreno, conforme a los alcances de la Ley 29151, Ley General del Sistema Nacional de Bienes Estatales, y a lo establecido en el reglamento de la presente Ley, con planes y compromisos de inversión.</w:t>
      </w:r>
    </w:p>
    <w:p w:rsidR="006312E8" w:rsidRPr="006312E8" w:rsidRDefault="006312E8" w:rsidP="006312E8">
      <w:pPr>
        <w:spacing w:after="0" w:line="240" w:lineRule="auto"/>
        <w:ind w:hanging="563"/>
        <w:contextualSpacing/>
        <w:jc w:val="both"/>
        <w:rPr>
          <w:rFonts w:ascii="Arial" w:eastAsia="Calibri" w:hAnsi="Arial" w:cs="Arial"/>
          <w:lang w:val="es-ES"/>
        </w:rPr>
      </w:pPr>
    </w:p>
    <w:p w:rsidR="006312E8" w:rsidRPr="006312E8" w:rsidRDefault="006312E8" w:rsidP="006312E8">
      <w:pPr>
        <w:spacing w:after="0" w:line="240" w:lineRule="auto"/>
        <w:ind w:left="705" w:hanging="563"/>
        <w:jc w:val="both"/>
        <w:rPr>
          <w:rFonts w:ascii="Arial" w:eastAsia="Calibri" w:hAnsi="Arial" w:cs="Arial"/>
          <w:lang w:val="es-ES"/>
        </w:rPr>
      </w:pPr>
      <w:r w:rsidRPr="006312E8">
        <w:rPr>
          <w:rFonts w:ascii="Arial" w:eastAsia="Calibri" w:hAnsi="Arial" w:cs="Arial"/>
          <w:lang w:val="es-ES"/>
        </w:rPr>
        <w:t>12.3.</w:t>
      </w:r>
      <w:r w:rsidRPr="006312E8">
        <w:rPr>
          <w:rFonts w:ascii="Arial" w:eastAsia="Calibri" w:hAnsi="Arial" w:cs="Arial"/>
          <w:lang w:val="es-ES"/>
        </w:rPr>
        <w:tab/>
        <w:t>El precio o valor del terreno donde se ejecutan los proyectos de los PITE es determinado por el Ministerio de Vivienda, Construcción y Saneamiento, mediante tasación a través del órgano correspondiente. El valor determinado forma parte del costo del proyecto, el que no podrá ser modificado.</w:t>
      </w:r>
    </w:p>
    <w:p w:rsidR="006312E8" w:rsidRPr="006312E8" w:rsidRDefault="006312E8" w:rsidP="006312E8">
      <w:pPr>
        <w:spacing w:after="0" w:line="240" w:lineRule="auto"/>
        <w:ind w:hanging="563"/>
        <w:contextualSpacing/>
        <w:jc w:val="both"/>
        <w:rPr>
          <w:rFonts w:ascii="Arial" w:eastAsia="Calibri" w:hAnsi="Arial" w:cs="Arial"/>
          <w:lang w:val="es-ES"/>
        </w:rPr>
      </w:pPr>
    </w:p>
    <w:p w:rsidR="006312E8" w:rsidRPr="006312E8" w:rsidRDefault="006312E8" w:rsidP="006312E8">
      <w:pPr>
        <w:spacing w:after="0" w:line="240" w:lineRule="auto"/>
        <w:ind w:left="705" w:hanging="563"/>
        <w:jc w:val="both"/>
        <w:rPr>
          <w:rFonts w:ascii="Arial" w:eastAsia="Calibri" w:hAnsi="Arial" w:cs="Arial"/>
          <w:lang w:val="es-ES"/>
        </w:rPr>
      </w:pPr>
      <w:r w:rsidRPr="006312E8">
        <w:rPr>
          <w:rFonts w:ascii="Arial" w:eastAsia="Calibri" w:hAnsi="Arial" w:cs="Arial"/>
          <w:lang w:val="es-ES"/>
        </w:rPr>
        <w:t xml:space="preserve">12.4. </w:t>
      </w:r>
      <w:r w:rsidRPr="006312E8">
        <w:rPr>
          <w:rFonts w:ascii="Arial" w:eastAsia="Calibri" w:hAnsi="Arial" w:cs="Arial"/>
          <w:lang w:val="es-ES"/>
        </w:rPr>
        <w:tab/>
        <w:t>Cuando los PITE no entren en operación en el plazo establecido en el proyecto y no se haya solicitado la prórroga correspondiente de dicho plazo, los terrenos transferidos para el desarrollo de estos revierten de pleno derecho al titular del predio. Los terrenos también revierten si se desnaturaliza el fin para el cual se otorgó.</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13. Obligaciones y derechos de las empresas instaladas en los Parques Industriales Tecno-ecológicos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Las empresas instaladas en los PITE se obligan 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numPr>
          <w:ilvl w:val="1"/>
          <w:numId w:val="2"/>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Respetar el reglamento interno de operación y conservación para el funcionamiento del PITE.</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1"/>
          <w:numId w:val="2"/>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Participar activamente en el desarrollo de la ciencia y la tecnología.</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1"/>
          <w:numId w:val="2"/>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Establecer convenios con entidades de educación superior e instituciones de investigación nacional e internacional.</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1"/>
          <w:numId w:val="2"/>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Fomentar capacitaciones para el desarrollo de capacidades del potencial humano, en las especialidades componentes del PITE.</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1"/>
          <w:numId w:val="2"/>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No cambiar la arquitectura ni la actividad productiva para la que fue adjudicado.</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1"/>
          <w:numId w:val="2"/>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Dar acceso a los servicios comunes; participar en los convenios técnicos, científicos, económicos y productivos que logre concertar la administración; participar en los eventos de capacitación y otros programas de desarrollo de las capacidades.</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1"/>
          <w:numId w:val="2"/>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Fomentar la implementación de laboratorios de acuerdo con las actividades productivas del PITE.</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6312E8">
      <w:pPr>
        <w:numPr>
          <w:ilvl w:val="1"/>
          <w:numId w:val="2"/>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Fomentar el centro de innovación y transferencias tecnológicas del PITE.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1418" w:hanging="1418"/>
        <w:contextualSpacing/>
        <w:jc w:val="both"/>
        <w:rPr>
          <w:rFonts w:ascii="Arial" w:eastAsia="Calibri" w:hAnsi="Arial" w:cs="Arial"/>
          <w:b/>
          <w:lang w:val="es-ES"/>
        </w:rPr>
      </w:pPr>
      <w:r w:rsidRPr="006312E8">
        <w:rPr>
          <w:rFonts w:ascii="Arial" w:eastAsia="Calibri" w:hAnsi="Arial" w:cs="Arial"/>
          <w:b/>
          <w:lang w:val="es-ES"/>
        </w:rPr>
        <w:t>Artículo 14. Destino de los predios conformantes de los Parques Industriales Tecno-ecológicos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709" w:hanging="567"/>
        <w:contextualSpacing/>
        <w:jc w:val="both"/>
        <w:rPr>
          <w:rFonts w:ascii="Arial" w:eastAsia="Calibri" w:hAnsi="Arial" w:cs="Arial"/>
          <w:lang w:val="es-ES"/>
        </w:rPr>
      </w:pPr>
      <w:r w:rsidRPr="006312E8">
        <w:rPr>
          <w:rFonts w:ascii="Arial" w:eastAsia="Calibri" w:hAnsi="Arial" w:cs="Arial"/>
          <w:lang w:val="es-ES"/>
        </w:rPr>
        <w:t>14.1. Las construcciones existentes dentro de cada PITE no pueden ser destinadas a casa-habitación.</w:t>
      </w:r>
    </w:p>
    <w:p w:rsidR="006312E8" w:rsidRPr="006312E8" w:rsidRDefault="006312E8" w:rsidP="006312E8">
      <w:pPr>
        <w:spacing w:after="0" w:line="240" w:lineRule="auto"/>
        <w:ind w:left="709" w:hanging="567"/>
        <w:contextualSpacing/>
        <w:jc w:val="both"/>
        <w:rPr>
          <w:rFonts w:ascii="Arial" w:eastAsia="Calibri" w:hAnsi="Arial" w:cs="Arial"/>
          <w:lang w:val="es-ES"/>
        </w:rPr>
      </w:pPr>
    </w:p>
    <w:p w:rsidR="006312E8" w:rsidRPr="006312E8" w:rsidRDefault="006312E8" w:rsidP="006312E8">
      <w:pPr>
        <w:spacing w:after="0" w:line="240" w:lineRule="auto"/>
        <w:ind w:left="709" w:hanging="567"/>
        <w:contextualSpacing/>
        <w:jc w:val="both"/>
        <w:rPr>
          <w:rFonts w:ascii="Arial" w:eastAsia="Calibri" w:hAnsi="Arial" w:cs="Arial"/>
          <w:lang w:val="es-ES"/>
        </w:rPr>
      </w:pPr>
      <w:r w:rsidRPr="006312E8">
        <w:rPr>
          <w:rFonts w:ascii="Arial" w:eastAsia="Calibri" w:hAnsi="Arial" w:cs="Arial"/>
          <w:lang w:val="es-ES"/>
        </w:rPr>
        <w:t>14.2. En los PITE se destinará un área con infraestructura suficiente para brindar capacitación laboral, asistencia técnica y apoyo empresarial.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15. Promoción</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Ministerio de la Producción, como ente rector especializado, facilita a las empresas y consumidores en general información sobre la ubicación de los PITE; se encarga de la promoción de los productos y servicios que brindan los PITE, en tanto estos sean destinados al mercado nacional.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Cuando los productos y servicios sean destinados al mercado exterior, el Ministerio de Comercio Exterior y Turismo (MINCETUR), de acuerdo a sus funciones, es el encargado de facilitar la información y promoción de la oferta exportable de productos y servicios que ofrezcan los PITE a través de la oficina correspondiente.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 xml:space="preserve">Artículo 16. Financiamiento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Lo dispuesto en la presente norma se financia con cargo a los presupuestos institucionales de las diferentes entidades involucradas.</w:t>
      </w:r>
    </w:p>
    <w:p w:rsidR="006312E8" w:rsidRPr="006312E8" w:rsidRDefault="006312E8"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center"/>
        <w:rPr>
          <w:rFonts w:ascii="Arial" w:eastAsia="Calibri" w:hAnsi="Arial" w:cs="Arial"/>
          <w:b/>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DISPOSICIONES COMPLEMENTARIAS FINALES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PRIMERA. Vigencia</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 presente Ley entra en vigencia a los noventa (90) días de su publicación.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SEGUNDA. Reglamento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Encárgase al Ministerio de la Producción, al Ministerio de Comercio Exterior y Turismo y al Ministerio del Ambiente la elaboración del reglamento en un plazo no mayor a los noventa (90) días de su publicación.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TERCERA. Disposiciones municipales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Los PITE que se desarrollen e instalen en aplicación de lo dispuesto en la presente Ley deben cumplir las disposiciones municipales de zonificación y compatibilidad de uso, y demás normas sobre la materia.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CUARTA. Sistemas administrativos del Estado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Las propuestas e implementación de los parques a que se refiere la presente Ley se rigen por lo dispuesto en los sistemas administrativos del Estado y la normatividad vigente, en lo que corresponda.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QUINTA. Glosario general</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En el Anexo 1 se encuentra el Glosario General, que contiene la definición de conceptos técnicos, el cual forma parte de la presente Ley.</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SEXTA. Implementación</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Autorízase a los órganos competentes de la provincia de Jaén, en el departamento de Cajamarca; provincia de Mariscal Nieto, en el departamento de Moquegua; provincia de Lucanas, en el departamento de Ayacucho; provincia de Huancayo, en el departamento de Junín; provincia de Piura, en el departamento de Piura; provincia de Tumbes, en el departamento de Tumbes; del Parque Industrial y de Servicios Pachacútec, en el distrito de Ventanilla, y distrito de Ancón, en la provincia y departamento de Lima, la implementación de los Parques Industriales Tecno-ecológicos, acorde con la presente Ley.</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SÉTIMA. Adecuación</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Los parques industriales creados al amparo de la Ley 28183, Ley Marco de Desarrollo de Parques Industriales, se adecúan a lo dispuesto por el reglamento de la presente Ley.</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ANEXO 1</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GLOSARIO GENERAL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34"/>
        </w:numPr>
        <w:spacing w:after="0" w:line="240" w:lineRule="auto"/>
        <w:ind w:left="426"/>
        <w:contextualSpacing/>
        <w:jc w:val="both"/>
        <w:rPr>
          <w:rFonts w:ascii="Arial" w:eastAsia="Calibri" w:hAnsi="Arial" w:cs="Arial"/>
          <w:lang w:val="es-ES"/>
        </w:rPr>
      </w:pPr>
      <w:r w:rsidRPr="006312E8">
        <w:rPr>
          <w:rFonts w:ascii="Arial" w:eastAsia="Calibri" w:hAnsi="Arial" w:cs="Arial"/>
          <w:b/>
          <w:lang w:val="es-ES"/>
        </w:rPr>
        <w:t>Cluster:</w:t>
      </w:r>
      <w:r w:rsidRPr="006312E8">
        <w:rPr>
          <w:rFonts w:ascii="Arial" w:eastAsia="Calibri" w:hAnsi="Arial" w:cs="Arial"/>
          <w:lang w:val="es-ES"/>
        </w:rPr>
        <w:t xml:space="preserve"> Concentración geográfica de empresas e instituciones conexas, pertenecientes a un campo concreto, unidas por rasgos comunes y complementarias entre sí, que se extienden y se vinculan vertical y transversalmente en cadenas de valor, incluyendo a proveedores e industrias auxiliares, tecnología y sectores relacionados. Se puede incluir a instituciones públicas, educativas, parques tecnológicos, servicios de información, reciclaje y apoyo técnico. Contribuye a la mejora de la ventaja competitiva de las empresas que la componen y del lugar en la que se sitúa.</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92471C">
      <w:pPr>
        <w:numPr>
          <w:ilvl w:val="0"/>
          <w:numId w:val="134"/>
        </w:numPr>
        <w:spacing w:after="0" w:line="240" w:lineRule="auto"/>
        <w:ind w:left="426"/>
        <w:contextualSpacing/>
        <w:jc w:val="both"/>
        <w:rPr>
          <w:rFonts w:ascii="Arial" w:eastAsia="Calibri" w:hAnsi="Arial" w:cs="Arial"/>
          <w:lang w:val="es-ES"/>
        </w:rPr>
      </w:pPr>
      <w:r w:rsidRPr="006312E8">
        <w:rPr>
          <w:rFonts w:ascii="Arial" w:eastAsia="Calibri" w:hAnsi="Arial" w:cs="Arial"/>
          <w:b/>
          <w:lang w:val="es-ES"/>
        </w:rPr>
        <w:t>Contratos asociativos:</w:t>
      </w:r>
      <w:r w:rsidRPr="006312E8">
        <w:rPr>
          <w:rFonts w:ascii="Arial" w:eastAsia="Calibri" w:hAnsi="Arial" w:cs="Arial"/>
          <w:lang w:val="es-ES"/>
        </w:rPr>
        <w:t xml:space="preserve"> Contrato que crea y regula relaciones de participación e integración en negocios o empresas determinadas, en interés común de los intervinientes. El contrato asociativo no genera una persona jurídica, debe constar por escrito y no está sujeto a inscripción en el Registro</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92471C">
      <w:pPr>
        <w:numPr>
          <w:ilvl w:val="0"/>
          <w:numId w:val="134"/>
        </w:numPr>
        <w:spacing w:after="0" w:line="240" w:lineRule="auto"/>
        <w:ind w:left="426"/>
        <w:contextualSpacing/>
        <w:jc w:val="both"/>
        <w:rPr>
          <w:rFonts w:ascii="Arial" w:eastAsia="Calibri" w:hAnsi="Arial" w:cs="Arial"/>
          <w:lang w:val="es-ES"/>
        </w:rPr>
      </w:pPr>
      <w:r w:rsidRPr="006312E8">
        <w:rPr>
          <w:rFonts w:ascii="Arial" w:eastAsia="Calibri" w:hAnsi="Arial" w:cs="Arial"/>
          <w:b/>
          <w:lang w:val="es-ES"/>
        </w:rPr>
        <w:t>Ecológico:</w:t>
      </w:r>
      <w:r w:rsidRPr="006312E8">
        <w:rPr>
          <w:rFonts w:ascii="Arial" w:eastAsia="Calibri" w:hAnsi="Arial" w:cs="Arial"/>
          <w:lang w:val="es-ES"/>
        </w:rPr>
        <w:t xml:space="preserve"> Conjunto sistémico de relaciones e interacciones existentes entre los seres humanos y los demás seres vivos con su ambiente en determinadas condiciones.</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92471C">
      <w:pPr>
        <w:numPr>
          <w:ilvl w:val="0"/>
          <w:numId w:val="134"/>
        </w:numPr>
        <w:spacing w:after="0" w:line="240" w:lineRule="auto"/>
        <w:ind w:left="426"/>
        <w:contextualSpacing/>
        <w:jc w:val="both"/>
        <w:rPr>
          <w:rFonts w:ascii="Arial" w:eastAsia="Calibri" w:hAnsi="Arial" w:cs="Arial"/>
          <w:lang w:val="es-ES"/>
        </w:rPr>
      </w:pPr>
      <w:r w:rsidRPr="006312E8">
        <w:rPr>
          <w:rFonts w:ascii="Arial" w:eastAsia="Calibri" w:hAnsi="Arial" w:cs="Arial"/>
          <w:b/>
          <w:lang w:val="es-ES"/>
        </w:rPr>
        <w:t>Industria:</w:t>
      </w:r>
      <w:r w:rsidRPr="006312E8">
        <w:rPr>
          <w:rFonts w:ascii="Arial" w:eastAsia="Calibri" w:hAnsi="Arial" w:cs="Arial"/>
          <w:lang w:val="es-ES"/>
        </w:rPr>
        <w:t xml:space="preserve"> Todas aquellas actividades que conllevan a transformar, elaborar o explotar productos naturales o artificiales mediante procedimientos mecánicos, físicos, químicos, biológicos, robótica y otros que requieren de instalaciones adecuadas para sus necesidades de producción.</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92471C">
      <w:pPr>
        <w:numPr>
          <w:ilvl w:val="0"/>
          <w:numId w:val="134"/>
        </w:numPr>
        <w:spacing w:after="0" w:line="240" w:lineRule="auto"/>
        <w:ind w:left="426"/>
        <w:contextualSpacing/>
        <w:jc w:val="both"/>
        <w:rPr>
          <w:rFonts w:ascii="Arial" w:eastAsia="Calibri" w:hAnsi="Arial" w:cs="Arial"/>
          <w:lang w:val="es-ES"/>
        </w:rPr>
      </w:pPr>
      <w:r w:rsidRPr="006312E8">
        <w:rPr>
          <w:rFonts w:ascii="Arial" w:eastAsia="Calibri" w:hAnsi="Arial" w:cs="Arial"/>
          <w:b/>
          <w:lang w:val="es-ES"/>
        </w:rPr>
        <w:t>ISO:</w:t>
      </w:r>
      <w:r w:rsidRPr="006312E8">
        <w:rPr>
          <w:rFonts w:ascii="Arial" w:eastAsia="Calibri" w:hAnsi="Arial" w:cs="Arial"/>
          <w:lang w:val="es-ES"/>
        </w:rPr>
        <w:t xml:space="preserve"> International Standarization Organization (Organización Internacional de Normalización).</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92471C">
      <w:pPr>
        <w:numPr>
          <w:ilvl w:val="0"/>
          <w:numId w:val="134"/>
        </w:numPr>
        <w:spacing w:after="0" w:line="240" w:lineRule="auto"/>
        <w:ind w:left="426"/>
        <w:contextualSpacing/>
        <w:jc w:val="both"/>
        <w:rPr>
          <w:rFonts w:ascii="Arial" w:eastAsia="Calibri" w:hAnsi="Arial" w:cs="Arial"/>
          <w:lang w:val="es-ES"/>
        </w:rPr>
      </w:pPr>
      <w:r w:rsidRPr="006312E8">
        <w:rPr>
          <w:rFonts w:ascii="Arial" w:eastAsia="Calibri" w:hAnsi="Arial" w:cs="Arial"/>
          <w:b/>
          <w:lang w:val="es-ES"/>
        </w:rPr>
        <w:t>ISO 9001:</w:t>
      </w:r>
      <w:r w:rsidRPr="006312E8">
        <w:rPr>
          <w:rFonts w:ascii="Arial" w:eastAsia="Calibri" w:hAnsi="Arial" w:cs="Arial"/>
          <w:lang w:val="es-ES"/>
        </w:rPr>
        <w:t xml:space="preserve"> Norma internacional que se aplica a los Sistemas de Gestión de Calidad (SGC) y se centra en todos los elementos de administración de calidad con los que una empresa debe contar para tener un sistema efectivo que le permita administrar y mejorar la calidad de sus productos o servicios. Es adecuado para cualquier organización que busque mejorar el modo de funcionamiento y gestión, independientemente del tamaño o sector, y que aspire a ser competitiva.</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92471C">
      <w:pPr>
        <w:numPr>
          <w:ilvl w:val="0"/>
          <w:numId w:val="134"/>
        </w:numPr>
        <w:spacing w:after="0" w:line="240" w:lineRule="auto"/>
        <w:ind w:left="426"/>
        <w:contextualSpacing/>
        <w:jc w:val="both"/>
        <w:rPr>
          <w:rFonts w:ascii="Arial" w:eastAsia="Calibri" w:hAnsi="Arial" w:cs="Arial"/>
          <w:lang w:val="es-ES"/>
        </w:rPr>
      </w:pPr>
      <w:r w:rsidRPr="006312E8">
        <w:rPr>
          <w:rFonts w:ascii="Arial" w:eastAsia="Calibri" w:hAnsi="Arial" w:cs="Arial"/>
          <w:b/>
          <w:lang w:val="es-ES"/>
        </w:rPr>
        <w:t>ISO 14000:</w:t>
      </w:r>
      <w:r w:rsidRPr="006312E8">
        <w:rPr>
          <w:rFonts w:ascii="Arial" w:eastAsia="Calibri" w:hAnsi="Arial" w:cs="Arial"/>
          <w:lang w:val="es-ES"/>
        </w:rPr>
        <w:t xml:space="preserve"> Norma internacional que expresa cómo establecer un Sistema de Gestión Ambiental (SGA) efectivo. Está diseñada para conseguir un equilibrio entre el mantenimiento de la rentabilidad y la reducción de los impactos en el medio ambiente, con el apoyo de organizaciones. Va enfocada a cualquier organización, de cualquier tamaño o sector, que esté buscando reducir los impactos en el ambiente y cumplir con la legislación en materia ambiental. Establece herramientas y sistemas enfocados a los procesos de producción al interior de una empresa u organización y a los efectos o externalidades que estos derivan al medio ambiente.</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92471C">
      <w:pPr>
        <w:numPr>
          <w:ilvl w:val="0"/>
          <w:numId w:val="134"/>
        </w:numPr>
        <w:spacing w:after="0" w:line="240" w:lineRule="auto"/>
        <w:ind w:left="426"/>
        <w:contextualSpacing/>
        <w:jc w:val="both"/>
        <w:rPr>
          <w:rFonts w:ascii="Arial" w:eastAsia="Calibri" w:hAnsi="Arial" w:cs="Arial"/>
          <w:lang w:val="es-ES"/>
        </w:rPr>
      </w:pPr>
      <w:r w:rsidRPr="006312E8">
        <w:rPr>
          <w:rFonts w:ascii="Arial" w:eastAsia="Calibri" w:hAnsi="Arial" w:cs="Arial"/>
          <w:b/>
          <w:lang w:val="es-ES"/>
        </w:rPr>
        <w:t>ISO 26000:</w:t>
      </w:r>
      <w:r w:rsidRPr="006312E8">
        <w:rPr>
          <w:rFonts w:ascii="Arial" w:eastAsia="Calibri" w:hAnsi="Arial" w:cs="Arial"/>
          <w:lang w:val="es-ES"/>
        </w:rPr>
        <w:t xml:space="preserve"> Guía de Gestión de Responsabilidad Social (GRS) corporativa empresarial. Se alinea con las normativas internacionales en sistema de gestión ambiental ISO 14001 y calidad ISO 9001. Aplica a cualquier entidad social constituida legalmente, incluso del sector de la industria.</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92471C">
      <w:pPr>
        <w:numPr>
          <w:ilvl w:val="0"/>
          <w:numId w:val="134"/>
        </w:numPr>
        <w:spacing w:after="0" w:line="240" w:lineRule="auto"/>
        <w:ind w:left="426"/>
        <w:contextualSpacing/>
        <w:jc w:val="both"/>
        <w:rPr>
          <w:rFonts w:ascii="Arial" w:eastAsia="Calibri" w:hAnsi="Arial" w:cs="Arial"/>
          <w:lang w:val="es-ES"/>
        </w:rPr>
      </w:pPr>
      <w:r w:rsidRPr="006312E8">
        <w:rPr>
          <w:rFonts w:ascii="Arial" w:eastAsia="Calibri" w:hAnsi="Arial" w:cs="Arial"/>
          <w:b/>
          <w:lang w:val="es-ES"/>
        </w:rPr>
        <w:t>ISO 50001:</w:t>
      </w:r>
      <w:r w:rsidRPr="006312E8">
        <w:rPr>
          <w:rFonts w:ascii="Arial" w:eastAsia="Calibri" w:hAnsi="Arial" w:cs="Arial"/>
          <w:lang w:val="es-ES"/>
        </w:rPr>
        <w:t xml:space="preserve"> Norma referida al Sistema de Gestión de la Energía (SGE). Tiene por objeto proporcionar a las organizaciones un marco reconocido para la integración de la eficiencia energética en su práctica de gestión. Es aplicable a organizaciones grandes y pequeñas, tanto en el sector público como privado, en la fabricación y el servicio, en todas las regiones del mundo. Establece un marco para las instalaciones industriales, comerciales, institucionales y gubernamentales, y para la totalidad de las organizaciones para administrar la energía.</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92471C">
      <w:pPr>
        <w:numPr>
          <w:ilvl w:val="0"/>
          <w:numId w:val="134"/>
        </w:numPr>
        <w:spacing w:after="0" w:line="240" w:lineRule="auto"/>
        <w:ind w:left="426"/>
        <w:contextualSpacing/>
        <w:jc w:val="both"/>
        <w:rPr>
          <w:rFonts w:ascii="Arial" w:eastAsia="Calibri" w:hAnsi="Arial" w:cs="Arial"/>
          <w:lang w:val="es-ES"/>
        </w:rPr>
      </w:pPr>
      <w:r w:rsidRPr="006312E8">
        <w:rPr>
          <w:rFonts w:ascii="Arial" w:eastAsia="Calibri" w:hAnsi="Arial" w:cs="Arial"/>
          <w:b/>
          <w:lang w:val="es-ES"/>
        </w:rPr>
        <w:t>PITE:</w:t>
      </w:r>
      <w:r w:rsidRPr="006312E8">
        <w:rPr>
          <w:rFonts w:ascii="Arial" w:eastAsia="Calibri" w:hAnsi="Arial" w:cs="Arial"/>
          <w:lang w:val="es-ES"/>
        </w:rPr>
        <w:t xml:space="preserve"> Parque Industrial Tecno-ecológico.</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92471C">
      <w:pPr>
        <w:numPr>
          <w:ilvl w:val="0"/>
          <w:numId w:val="134"/>
        </w:numPr>
        <w:spacing w:after="0" w:line="240" w:lineRule="auto"/>
        <w:ind w:left="426"/>
        <w:contextualSpacing/>
        <w:jc w:val="both"/>
        <w:rPr>
          <w:rFonts w:ascii="Arial" w:eastAsia="Calibri" w:hAnsi="Arial" w:cs="Arial"/>
          <w:lang w:val="es-ES"/>
        </w:rPr>
      </w:pPr>
      <w:r w:rsidRPr="006312E8">
        <w:rPr>
          <w:rFonts w:ascii="Arial" w:eastAsia="Calibri" w:hAnsi="Arial" w:cs="Arial"/>
          <w:b/>
          <w:lang w:val="es-ES"/>
        </w:rPr>
        <w:t>Parque Industrial Tecno-ecológico con enfoque de cluster:</w:t>
      </w:r>
      <w:r w:rsidRPr="006312E8">
        <w:rPr>
          <w:rFonts w:ascii="Arial" w:eastAsia="Calibri" w:hAnsi="Arial" w:cs="Arial"/>
          <w:lang w:val="es-ES"/>
        </w:rPr>
        <w:t xml:space="preserve"> Espacio especializado en el cual las empresas industriales cooperan entre ellas para compartir recursos y utilizarlos de forma más eficiente. Comparten desde terrenos, materiales, transportes y energía hasta conocimientos, formando cadenas de valor que contribuyen a su productividad y competitividad. Su naturaleza tecno-ecológica proviene de la aplicación y desarrollo de tecnología especializada para la realización de una actividad de transformación, el cuidado del medio ambiente y la utilización de las denominadas “energías verdes”, en concordancia con las normas nacionales e internacionales de calidad y respeto al medio ambiente.</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92471C">
      <w:pPr>
        <w:numPr>
          <w:ilvl w:val="0"/>
          <w:numId w:val="134"/>
        </w:numPr>
        <w:spacing w:after="0" w:line="240" w:lineRule="auto"/>
        <w:ind w:left="426"/>
        <w:contextualSpacing/>
        <w:jc w:val="both"/>
        <w:rPr>
          <w:rFonts w:ascii="Arial" w:eastAsia="Calibri" w:hAnsi="Arial" w:cs="Arial"/>
          <w:lang w:val="es-ES"/>
        </w:rPr>
      </w:pPr>
      <w:r w:rsidRPr="006312E8">
        <w:rPr>
          <w:rFonts w:ascii="Arial" w:eastAsia="Calibri" w:hAnsi="Arial" w:cs="Arial"/>
          <w:b/>
          <w:lang w:val="es-ES"/>
        </w:rPr>
        <w:t>Responsabilidad social:</w:t>
      </w:r>
      <w:r w:rsidRPr="006312E8">
        <w:rPr>
          <w:rFonts w:ascii="Arial" w:eastAsia="Calibri" w:hAnsi="Arial" w:cs="Arial"/>
          <w:lang w:val="es-ES"/>
        </w:rPr>
        <w:t xml:space="preserve"> Forma de gestión que se define por la relación ética de la empresa y por el establecimiento de metas empresariales compatibles con el desarrollo sostenible de la sociedad. Es la contribución activa y voluntaria al mejoramiento social, económico y ambiental por parte de las empresas, generalmente con el objetivo de mejorar su situación competitiva y valorativa y su valor añadido.</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92471C">
      <w:pPr>
        <w:numPr>
          <w:ilvl w:val="0"/>
          <w:numId w:val="134"/>
        </w:numPr>
        <w:spacing w:after="0" w:line="240" w:lineRule="auto"/>
        <w:ind w:left="426"/>
        <w:contextualSpacing/>
        <w:jc w:val="both"/>
        <w:rPr>
          <w:rFonts w:ascii="Arial" w:eastAsia="Calibri" w:hAnsi="Arial" w:cs="Arial"/>
          <w:lang w:val="es-ES"/>
        </w:rPr>
      </w:pPr>
      <w:r w:rsidRPr="006312E8">
        <w:rPr>
          <w:rFonts w:ascii="Arial" w:eastAsia="Calibri" w:hAnsi="Arial" w:cs="Arial"/>
          <w:b/>
          <w:lang w:val="es-ES"/>
        </w:rPr>
        <w:t>Tipos de industrias.</w:t>
      </w:r>
      <w:r w:rsidRPr="006312E8">
        <w:rPr>
          <w:rFonts w:ascii="Arial" w:eastAsia="Calibri" w:hAnsi="Arial" w:cs="Arial"/>
          <w:lang w:val="es-ES"/>
        </w:rPr>
        <w:t xml:space="preserve"> Las industrias pueden ser:</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252"/>
        </w:numPr>
        <w:spacing w:after="0" w:line="240" w:lineRule="auto"/>
        <w:ind w:left="993"/>
        <w:contextualSpacing/>
        <w:jc w:val="both"/>
        <w:rPr>
          <w:rFonts w:ascii="Arial" w:eastAsia="Calibri" w:hAnsi="Arial" w:cs="Arial"/>
          <w:lang w:val="es-ES"/>
        </w:rPr>
      </w:pPr>
      <w:r w:rsidRPr="006312E8">
        <w:rPr>
          <w:rFonts w:ascii="Arial" w:eastAsia="Calibri" w:hAnsi="Arial" w:cs="Arial"/>
          <w:lang w:val="es-ES"/>
        </w:rPr>
        <w:t>Industria no contaminante: Aquella que, por sus instalaciones o los materiales que transforma o almacena, no representa ningún riesgo, molestia ni insalubridad para el personal, los inmuebles vecinos e instalaciones perimetrales.</w:t>
      </w:r>
    </w:p>
    <w:p w:rsidR="006312E8" w:rsidRPr="006312E8" w:rsidRDefault="006312E8" w:rsidP="006312E8">
      <w:pPr>
        <w:spacing w:after="0" w:line="240" w:lineRule="auto"/>
        <w:ind w:left="993"/>
        <w:contextualSpacing/>
        <w:jc w:val="both"/>
        <w:rPr>
          <w:rFonts w:ascii="Arial" w:eastAsia="Calibri" w:hAnsi="Arial" w:cs="Arial"/>
          <w:lang w:val="es-ES"/>
        </w:rPr>
      </w:pPr>
    </w:p>
    <w:p w:rsidR="006312E8" w:rsidRPr="006312E8" w:rsidRDefault="006312E8" w:rsidP="0092471C">
      <w:pPr>
        <w:numPr>
          <w:ilvl w:val="1"/>
          <w:numId w:val="252"/>
        </w:numPr>
        <w:spacing w:after="0" w:line="240" w:lineRule="auto"/>
        <w:ind w:left="993"/>
        <w:contextualSpacing/>
        <w:jc w:val="both"/>
        <w:rPr>
          <w:rFonts w:ascii="Arial" w:eastAsia="Calibri" w:hAnsi="Arial" w:cs="Arial"/>
          <w:lang w:val="es-ES"/>
        </w:rPr>
      </w:pPr>
      <w:r w:rsidRPr="006312E8">
        <w:rPr>
          <w:rFonts w:ascii="Arial" w:eastAsia="Calibri" w:hAnsi="Arial" w:cs="Arial"/>
          <w:lang w:val="es-ES"/>
        </w:rPr>
        <w:t>Industria contaminante: Aquella que, por sus instalaciones y los materiales que maneja, transforma y almacena, produce toda clase de molestia, humos, ruidos, vibraciones, olores, emanaciones tóxicas o insalubres, polvos, etc., cuya presencia resulta molesta para los usuarios de los predios vecinos y provoca contaminaciones directas.</w:t>
      </w:r>
    </w:p>
    <w:p w:rsidR="006312E8" w:rsidRPr="006312E8" w:rsidRDefault="006312E8" w:rsidP="006312E8">
      <w:pPr>
        <w:spacing w:after="0" w:line="240" w:lineRule="auto"/>
        <w:ind w:left="993"/>
        <w:contextualSpacing/>
        <w:jc w:val="both"/>
        <w:rPr>
          <w:rFonts w:ascii="Arial" w:eastAsia="Calibri" w:hAnsi="Arial" w:cs="Arial"/>
          <w:lang w:val="es-ES"/>
        </w:rPr>
      </w:pPr>
    </w:p>
    <w:p w:rsidR="006312E8" w:rsidRPr="006312E8" w:rsidRDefault="006312E8" w:rsidP="0092471C">
      <w:pPr>
        <w:numPr>
          <w:ilvl w:val="1"/>
          <w:numId w:val="252"/>
        </w:numPr>
        <w:spacing w:after="0" w:line="240" w:lineRule="auto"/>
        <w:ind w:left="993"/>
        <w:contextualSpacing/>
        <w:jc w:val="both"/>
        <w:rPr>
          <w:rFonts w:ascii="Arial" w:eastAsia="Calibri" w:hAnsi="Arial" w:cs="Arial"/>
          <w:lang w:val="es-ES"/>
        </w:rPr>
      </w:pPr>
      <w:r w:rsidRPr="006312E8">
        <w:rPr>
          <w:rFonts w:ascii="Arial" w:eastAsia="Calibri" w:hAnsi="Arial" w:cs="Arial"/>
          <w:lang w:val="es-ES"/>
        </w:rPr>
        <w:t>Industria peligrosa: Aquella que transforma, manipula, almacena materiales o sustancias peligrosas que pueden fácilmente originar accidentes o siniestros y son altamente riesgosas para el personal, los inmuebles, los vecinos y las instalaciones perimetrales. Incluye las prácticas empresariales ilícitas que contaminan la moral, tales como el contrabando, la piratería, el narcotráfico, entre otras.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34"/>
        </w:numPr>
        <w:spacing w:after="0" w:line="240" w:lineRule="auto"/>
        <w:ind w:left="426"/>
        <w:contextualSpacing/>
        <w:jc w:val="both"/>
        <w:rPr>
          <w:rFonts w:ascii="Arial" w:eastAsia="Calibri" w:hAnsi="Arial" w:cs="Arial"/>
          <w:lang w:val="es-ES"/>
        </w:rPr>
      </w:pPr>
      <w:r w:rsidRPr="006312E8">
        <w:rPr>
          <w:rFonts w:ascii="Arial" w:eastAsia="Calibri" w:hAnsi="Arial" w:cs="Arial"/>
          <w:b/>
          <w:lang w:val="es-ES"/>
        </w:rPr>
        <w:t>Zona de amortiguamiento:</w:t>
      </w:r>
      <w:r w:rsidRPr="006312E8">
        <w:rPr>
          <w:rFonts w:ascii="Arial" w:eastAsia="Calibri" w:hAnsi="Arial" w:cs="Arial"/>
          <w:lang w:val="es-ES"/>
        </w:rPr>
        <w:t xml:space="preserve"> Franja externa que rodea a la totalidad del Parque Industrial Tecno-ecológico, con un ratio de frontera determinado por el gobierno regional y/o local, con la finalidad de mitigar los impactos ambientales; estimada para un horizonte de tiempo no menor de cuarenta años, donde no puede desarrollarse ninguna actividad económica ni permitirse vivienda alguna.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POR TANTO: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Habiendo sido reconsiderada la Ley por el Congreso de la República, aceptándose las observaciones formuladas por el señor Presidente de la República, de conformidad con lo dispuesto por el artículo 108 de la Constitución Política del Perú, ordeno que se publique y cumpla.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En Lima, a los seis días del mes de junio de dos mil trece.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b/>
        <w:t>VÍCTOR ISLA ROJAS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Presidente del Congreso de la República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b/>
        <w:t>MARCO TULIO FALCONÍ PICARDO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Primer Vicepresidente del Congreso de la República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F47618">
      <w:pPr>
        <w:pStyle w:val="TITO2"/>
      </w:pPr>
      <w:bookmarkStart w:id="454" w:name="_Toc421025479"/>
      <w:bookmarkStart w:id="455" w:name="_Toc470855582"/>
      <w:r w:rsidRPr="006312E8">
        <w:t>LEY Nº 30327</w:t>
      </w:r>
      <w:bookmarkEnd w:id="454"/>
      <w:bookmarkEnd w:id="455"/>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LEY DE PROMOCIÓN DE LAS INVERSIONES PARA EL CRECIMIENTO ECONÓMICO Y EL DESARROLLO SOSTENIBLE</w:t>
      </w:r>
    </w:p>
    <w:p w:rsidR="006312E8" w:rsidRPr="006312E8" w:rsidRDefault="006312E8" w:rsidP="006312E8">
      <w:pPr>
        <w:spacing w:after="0" w:line="240" w:lineRule="auto"/>
        <w:contextualSpacing/>
        <w:jc w:val="center"/>
        <w:rPr>
          <w:rFonts w:ascii="Arial" w:eastAsia="Calibri" w:hAnsi="Arial" w:cs="Arial"/>
          <w:b/>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(Extracto)</w:t>
      </w:r>
    </w:p>
    <w:p w:rsidR="006312E8" w:rsidRPr="006312E8" w:rsidRDefault="006312E8" w:rsidP="006312E8">
      <w:pPr>
        <w:spacing w:after="0" w:line="240" w:lineRule="auto"/>
        <w:contextualSpacing/>
        <w:jc w:val="center"/>
        <w:rPr>
          <w:rFonts w:ascii="Arial" w:eastAsia="Calibri" w:hAnsi="Arial" w:cs="Arial"/>
          <w:b/>
          <w:lang w:val="es-ES"/>
        </w:rPr>
      </w:pPr>
    </w:p>
    <w:p w:rsidR="006312E8" w:rsidRPr="006312E8" w:rsidRDefault="006312E8" w:rsidP="006312E8">
      <w:pPr>
        <w:spacing w:after="0" w:line="240" w:lineRule="auto"/>
        <w:contextualSpacing/>
        <w:jc w:val="right"/>
        <w:rPr>
          <w:rFonts w:ascii="Arial" w:eastAsia="Calibri" w:hAnsi="Arial" w:cs="Arial"/>
          <w:b/>
          <w:lang w:val="es-ES"/>
        </w:rPr>
      </w:pPr>
      <w:r w:rsidRPr="006312E8">
        <w:rPr>
          <w:rFonts w:ascii="Arial" w:eastAsia="Calibri" w:hAnsi="Arial" w:cs="Arial"/>
          <w:b/>
          <w:lang w:val="es-ES"/>
        </w:rPr>
        <w:t>Publicación: 21-05-2015</w:t>
      </w:r>
    </w:p>
    <w:p w:rsidR="006312E8" w:rsidRPr="006312E8" w:rsidRDefault="006312E8" w:rsidP="006312E8">
      <w:pPr>
        <w:spacing w:after="0" w:line="240" w:lineRule="auto"/>
        <w:contextualSpacing/>
        <w:jc w:val="center"/>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EL PRESIDENTE DE LA REPÚBLICA</w:t>
      </w: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 xml:space="preserve"> </w:t>
      </w: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 xml:space="preserve">POR CUANTO: </w:t>
      </w: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 xml:space="preserve">EL CONGRESO DE LA REPÚBLICA;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Ha dado la Ley siguiente: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LEY DE PROMOCIÓN DE LAS INVERSIONES PARA EL CRECIMIENTO ECONÓMICO Y EL DESARROLLO SOSTENIBLE</w:t>
      </w:r>
    </w:p>
    <w:p w:rsidR="006312E8" w:rsidRPr="006312E8" w:rsidRDefault="006312E8" w:rsidP="006312E8">
      <w:pPr>
        <w:spacing w:after="0" w:line="240" w:lineRule="auto"/>
        <w:contextualSpacing/>
        <w:jc w:val="center"/>
        <w:rPr>
          <w:rFonts w:ascii="Arial" w:eastAsia="Calibri" w:hAnsi="Arial" w:cs="Arial"/>
          <w:b/>
          <w:lang w:val="es-ES"/>
        </w:rPr>
      </w:pPr>
    </w:p>
    <w:p w:rsidR="006312E8" w:rsidRPr="006312E8" w:rsidRDefault="006312E8" w:rsidP="006312E8">
      <w:pPr>
        <w:spacing w:after="0" w:line="240" w:lineRule="auto"/>
        <w:contextualSpacing/>
        <w:jc w:val="center"/>
        <w:rPr>
          <w:rFonts w:ascii="Arial" w:eastAsia="Calibri" w:hAnsi="Arial" w:cs="Arial"/>
          <w:b/>
          <w:u w:val="single"/>
          <w:lang w:val="es-ES"/>
        </w:rPr>
      </w:pPr>
      <w:r w:rsidRPr="006312E8">
        <w:rPr>
          <w:rFonts w:ascii="Arial" w:eastAsia="Calibri" w:hAnsi="Arial" w:cs="Arial"/>
          <w:b/>
          <w:u w:val="single"/>
          <w:lang w:val="es-ES"/>
        </w:rPr>
        <w:t xml:space="preserve">TÍTULO I </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DISPOSICIONES GENERALES</w:t>
      </w:r>
    </w:p>
    <w:p w:rsidR="006312E8" w:rsidRPr="006312E8" w:rsidRDefault="006312E8" w:rsidP="006312E8">
      <w:pPr>
        <w:spacing w:after="0" w:line="240" w:lineRule="auto"/>
        <w:contextualSpacing/>
        <w:jc w:val="both"/>
        <w:rPr>
          <w:rFonts w:ascii="Arial" w:eastAsia="Calibri" w:hAnsi="Arial" w:cs="Arial"/>
          <w:u w:val="single"/>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u w:val="single"/>
          <w:lang w:val="es-ES"/>
        </w:rPr>
        <w:t>Artículo 1</w:t>
      </w:r>
      <w:r w:rsidRPr="006312E8">
        <w:rPr>
          <w:rFonts w:ascii="Arial" w:eastAsia="Calibri" w:hAnsi="Arial" w:cs="Arial"/>
          <w:b/>
          <w:lang w:val="es-ES"/>
        </w:rPr>
        <w:t xml:space="preserve">. Objeto de la Ley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 presente Ley tiene por objeto promocionar las inversiones para el crecimiento económico y el desarrollo sostenible, estableciendo la simplificación e integración de permisos y procedimientos, así como medidas de promoción de la inversión.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u w:val="single"/>
          <w:lang w:val="es-ES"/>
        </w:rPr>
        <w:t>Artículo 2</w:t>
      </w:r>
      <w:r w:rsidRPr="006312E8">
        <w:rPr>
          <w:rFonts w:ascii="Arial" w:eastAsia="Calibri" w:hAnsi="Arial" w:cs="Arial"/>
          <w:b/>
          <w:lang w:val="es-ES"/>
        </w:rPr>
        <w:t xml:space="preserve">. Ámbito de aplicación </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Están comprendidas en la presente Ley las entidades públicas relacionadas al otorgamiento de licencias, permisos, autorizaciones y similares, así como las entidades vinculadas a las actividades de certificación ambiental, recaudación tributaria, promoción de la inversión, aprobación de servidumbres, valuación de terrenos, protección de áreas de seguridad y obtención de terrenos para obras de infraestructura de gran envergadura. El alcance de esta norma es aplicable a los proyectos de inversión pública, privada, público-privada o de capital mixto.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u w:val="single"/>
          <w:lang w:val="es-ES"/>
        </w:rPr>
      </w:pPr>
      <w:r w:rsidRPr="006312E8">
        <w:rPr>
          <w:rFonts w:ascii="Arial" w:eastAsia="Calibri" w:hAnsi="Arial" w:cs="Arial"/>
          <w:b/>
          <w:u w:val="single"/>
          <w:lang w:val="es-ES"/>
        </w:rPr>
        <w:t>TÍTULO III</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MEDIDAS DE SIMPLIFICACIÓN ADMINISTRATIVA Y PROMOCIÓN DE LA INVERSIÓN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u w:val="single"/>
          <w:lang w:val="es-ES"/>
        </w:rPr>
        <w:t>Artículo 16</w:t>
      </w:r>
      <w:r w:rsidRPr="006312E8">
        <w:rPr>
          <w:rFonts w:ascii="Arial" w:eastAsia="Calibri" w:hAnsi="Arial" w:cs="Arial"/>
          <w:b/>
          <w:lang w:val="es-ES"/>
        </w:rPr>
        <w:t xml:space="preserve">. Inspección de campo para la emisión del Certificado de Inexistencia de Restos </w:t>
      </w: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 xml:space="preserve">Arqueológicos (CIRA)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851" w:hanging="709"/>
        <w:contextualSpacing/>
        <w:jc w:val="both"/>
        <w:rPr>
          <w:rFonts w:ascii="Arial" w:eastAsia="Calibri" w:hAnsi="Arial" w:cs="Arial"/>
          <w:lang w:val="es-ES"/>
        </w:rPr>
      </w:pPr>
      <w:r w:rsidRPr="006312E8">
        <w:rPr>
          <w:rFonts w:ascii="Arial" w:eastAsia="Calibri" w:hAnsi="Arial" w:cs="Arial"/>
          <w:lang w:val="es-ES"/>
        </w:rPr>
        <w:t xml:space="preserve">16.1 </w:t>
      </w:r>
      <w:r w:rsidRPr="006312E8">
        <w:rPr>
          <w:rFonts w:ascii="Arial" w:eastAsia="Calibri" w:hAnsi="Arial" w:cs="Arial"/>
          <w:lang w:val="es-ES"/>
        </w:rPr>
        <w:tab/>
        <w:t xml:space="preserve">Las inspecciones oculares efectuadas en el marco de las solicitudes presentadas por los administrados ante el Ministerio de Cultura para la emisión del Certificado de Inexistencia de Restos Arqueológicos (CIRA), son realizadas por dicha entidad o por las personas naturales y/o jurídicas que se contraten para el efecto. </w:t>
      </w:r>
    </w:p>
    <w:p w:rsidR="006312E8" w:rsidRPr="006312E8" w:rsidRDefault="006312E8" w:rsidP="006312E8">
      <w:pPr>
        <w:spacing w:after="0" w:line="240" w:lineRule="auto"/>
        <w:ind w:left="851" w:hanging="709"/>
        <w:contextualSpacing/>
        <w:jc w:val="both"/>
        <w:rPr>
          <w:rFonts w:ascii="Arial" w:eastAsia="Calibri" w:hAnsi="Arial" w:cs="Arial"/>
          <w:lang w:val="es-ES"/>
        </w:rPr>
      </w:pPr>
    </w:p>
    <w:p w:rsidR="006312E8" w:rsidRPr="006312E8" w:rsidRDefault="006312E8" w:rsidP="006312E8">
      <w:pPr>
        <w:spacing w:after="0" w:line="240" w:lineRule="auto"/>
        <w:ind w:left="851" w:hanging="709"/>
        <w:contextualSpacing/>
        <w:jc w:val="both"/>
        <w:rPr>
          <w:rFonts w:ascii="Arial" w:eastAsia="Calibri" w:hAnsi="Arial" w:cs="Arial"/>
          <w:lang w:val="es-ES"/>
        </w:rPr>
      </w:pPr>
      <w:r w:rsidRPr="006312E8">
        <w:rPr>
          <w:rFonts w:ascii="Arial" w:eastAsia="Calibri" w:hAnsi="Arial" w:cs="Arial"/>
          <w:lang w:val="es-ES"/>
        </w:rPr>
        <w:t xml:space="preserve">16.2 </w:t>
      </w:r>
      <w:r w:rsidRPr="006312E8">
        <w:rPr>
          <w:rFonts w:ascii="Arial" w:eastAsia="Calibri" w:hAnsi="Arial" w:cs="Arial"/>
          <w:lang w:val="es-ES"/>
        </w:rPr>
        <w:tab/>
        <w:t>Los inspectores de campo en los informes técnicos se pronuncian únicamente sobre el área solicitada a certificar, bajo responsabilidad, conforme con lo dispuesto en el artículo 39 de la presente Ley, teniendo en consideración los lineamientos técnicos que establezca el Ministerio de Cultura para la inspección de campo.</w:t>
      </w:r>
    </w:p>
    <w:p w:rsidR="006312E8" w:rsidRPr="006312E8" w:rsidRDefault="006312E8" w:rsidP="006312E8">
      <w:pPr>
        <w:spacing w:after="0" w:line="240" w:lineRule="auto"/>
        <w:rPr>
          <w:rFonts w:ascii="Arial" w:eastAsia="Calibri" w:hAnsi="Arial" w:cs="Arial"/>
          <w:b/>
          <w:sz w:val="28"/>
          <w:szCs w:val="28"/>
          <w:lang w:val="es-ES"/>
        </w:rPr>
      </w:pPr>
      <w:bookmarkStart w:id="456" w:name="_Toc399335532"/>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w:t>
      </w: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u w:val="single"/>
          <w:lang w:val="es-ES"/>
        </w:rPr>
      </w:pPr>
      <w:r w:rsidRPr="006312E8">
        <w:rPr>
          <w:rFonts w:ascii="Arial" w:eastAsia="Calibri" w:hAnsi="Arial" w:cs="Arial"/>
          <w:b/>
          <w:u w:val="single"/>
          <w:lang w:val="es-ES"/>
        </w:rPr>
        <w:t>TÍTULO IV</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SIMPLIFICACIÓN DE PROCEDIMIENTOS PARA IMPONER SERVIDUMBRES Y PROTECCIÓN DE DERECHOS DE VÍA Y LOCALIZACIÓN DE ÁREA</w:t>
      </w:r>
    </w:p>
    <w:p w:rsidR="006312E8" w:rsidRPr="006312E8" w:rsidRDefault="006312E8" w:rsidP="006312E8">
      <w:pPr>
        <w:spacing w:after="0" w:line="240" w:lineRule="auto"/>
        <w:jc w:val="center"/>
        <w:rPr>
          <w:rFonts w:ascii="Arial" w:eastAsia="Calibri" w:hAnsi="Arial" w:cs="Arial"/>
          <w:b/>
          <w:lang w:val="es-ES"/>
        </w:rPr>
      </w:pPr>
    </w:p>
    <w:p w:rsidR="006312E8" w:rsidRPr="006312E8" w:rsidRDefault="006312E8" w:rsidP="006312E8">
      <w:pPr>
        <w:spacing w:after="0" w:line="240" w:lineRule="auto"/>
        <w:jc w:val="center"/>
        <w:rPr>
          <w:rFonts w:ascii="Arial" w:eastAsia="Calibri" w:hAnsi="Arial" w:cs="Arial"/>
          <w:b/>
          <w:u w:val="single"/>
          <w:lang w:val="es-ES"/>
        </w:rPr>
      </w:pPr>
      <w:r w:rsidRPr="006312E8">
        <w:rPr>
          <w:rFonts w:ascii="Arial" w:eastAsia="Calibri" w:hAnsi="Arial" w:cs="Arial"/>
          <w:b/>
          <w:u w:val="single"/>
          <w:lang w:val="es-ES"/>
        </w:rPr>
        <w:t>CAPÍTULO I</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SERVIDUMBRE SOBRE TERRENOS ERIAZOS DE PROPIEDAD ESTATAL PARA PROYECTOS DE INVERSIÓN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u w:val="single"/>
          <w:lang w:val="es-ES"/>
        </w:rPr>
        <w:t>Artículo 18</w:t>
      </w:r>
      <w:r w:rsidRPr="006312E8">
        <w:rPr>
          <w:rFonts w:ascii="Arial" w:eastAsia="Calibri" w:hAnsi="Arial" w:cs="Arial"/>
          <w:b/>
          <w:lang w:val="es-ES"/>
        </w:rPr>
        <w:t xml:space="preserve">. Servidumbre sobre terrenos eriazos de propiedad estatal para proyectos de inversión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709" w:hanging="709"/>
        <w:jc w:val="both"/>
        <w:rPr>
          <w:rFonts w:ascii="Arial" w:eastAsia="Calibri" w:hAnsi="Arial" w:cs="Arial"/>
          <w:lang w:val="es-ES"/>
        </w:rPr>
      </w:pPr>
      <w:r w:rsidRPr="006312E8">
        <w:rPr>
          <w:rFonts w:ascii="Arial" w:eastAsia="Calibri" w:hAnsi="Arial" w:cs="Arial"/>
          <w:lang w:val="es-ES"/>
        </w:rPr>
        <w:t xml:space="preserve">18.1 </w:t>
      </w:r>
      <w:r w:rsidRPr="006312E8">
        <w:rPr>
          <w:rFonts w:ascii="Arial" w:eastAsia="Calibri" w:hAnsi="Arial" w:cs="Arial"/>
          <w:lang w:val="es-ES"/>
        </w:rPr>
        <w:tab/>
        <w:t>El titular de un proyecto de inversión solicita a la autoridad sectorial competente la servidumbre sobre los terrenos eriazos de propiedad estatal que sean necesarios para el desarrollo del proyecto de inversión. Para tal efecto debe adjuntar lo siguiente: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92471C">
      <w:pPr>
        <w:numPr>
          <w:ilvl w:val="3"/>
          <w:numId w:val="229"/>
        </w:numPr>
        <w:spacing w:after="0" w:line="240" w:lineRule="auto"/>
        <w:ind w:left="993"/>
        <w:contextualSpacing/>
        <w:jc w:val="both"/>
        <w:rPr>
          <w:rFonts w:ascii="Arial" w:eastAsia="Calibri" w:hAnsi="Arial" w:cs="Arial"/>
          <w:lang w:val="es-ES"/>
        </w:rPr>
      </w:pPr>
      <w:r w:rsidRPr="006312E8">
        <w:rPr>
          <w:rFonts w:ascii="Arial" w:eastAsia="Calibri" w:hAnsi="Arial" w:cs="Arial"/>
          <w:lang w:val="es-ES"/>
        </w:rPr>
        <w:t xml:space="preserve">Solicitud que contenga la identificación precisa del terreno eriazo de propiedad estatal. </w:t>
      </w:r>
    </w:p>
    <w:p w:rsidR="006312E8" w:rsidRPr="006312E8" w:rsidRDefault="006312E8" w:rsidP="0092471C">
      <w:pPr>
        <w:numPr>
          <w:ilvl w:val="3"/>
          <w:numId w:val="229"/>
        </w:numPr>
        <w:spacing w:after="0" w:line="240" w:lineRule="auto"/>
        <w:ind w:left="993"/>
        <w:contextualSpacing/>
        <w:jc w:val="both"/>
        <w:rPr>
          <w:rFonts w:ascii="Arial" w:eastAsia="Calibri" w:hAnsi="Arial" w:cs="Arial"/>
          <w:lang w:val="es-ES"/>
        </w:rPr>
      </w:pPr>
      <w:r w:rsidRPr="006312E8">
        <w:rPr>
          <w:rFonts w:ascii="Arial" w:eastAsia="Calibri" w:hAnsi="Arial" w:cs="Arial"/>
          <w:lang w:val="es-ES"/>
        </w:rPr>
        <w:t xml:space="preserve">Plano perimétrico en el que se precise los linderos, medidas perimétricas y el área solicitada, el cual debe estar georreferenciado a la Red Geodésica Oficial en sistema de coordenadas UTM, y su correspondiente memoria descriptiva. </w:t>
      </w:r>
    </w:p>
    <w:p w:rsidR="006312E8" w:rsidRPr="006312E8" w:rsidRDefault="006312E8" w:rsidP="0092471C">
      <w:pPr>
        <w:numPr>
          <w:ilvl w:val="3"/>
          <w:numId w:val="229"/>
        </w:numPr>
        <w:spacing w:after="0" w:line="240" w:lineRule="auto"/>
        <w:ind w:left="993"/>
        <w:contextualSpacing/>
        <w:jc w:val="both"/>
        <w:rPr>
          <w:rFonts w:ascii="Arial" w:eastAsia="Calibri" w:hAnsi="Arial" w:cs="Arial"/>
          <w:lang w:val="es-ES"/>
        </w:rPr>
      </w:pPr>
      <w:r w:rsidRPr="006312E8">
        <w:rPr>
          <w:rFonts w:ascii="Arial" w:eastAsia="Calibri" w:hAnsi="Arial" w:cs="Arial"/>
          <w:lang w:val="es-ES"/>
        </w:rPr>
        <w:t xml:space="preserve">Declaración jurada indicando que el terreno que solicita no se encuentra ocupado por las comunidades nativas y campesinas. </w:t>
      </w:r>
    </w:p>
    <w:p w:rsidR="006312E8" w:rsidRPr="006312E8" w:rsidRDefault="006312E8" w:rsidP="0092471C">
      <w:pPr>
        <w:numPr>
          <w:ilvl w:val="3"/>
          <w:numId w:val="229"/>
        </w:numPr>
        <w:spacing w:after="0" w:line="240" w:lineRule="auto"/>
        <w:ind w:left="993"/>
        <w:contextualSpacing/>
        <w:jc w:val="both"/>
        <w:rPr>
          <w:rFonts w:ascii="Arial" w:eastAsia="Calibri" w:hAnsi="Arial" w:cs="Arial"/>
          <w:lang w:val="es-ES"/>
        </w:rPr>
      </w:pPr>
      <w:r w:rsidRPr="006312E8">
        <w:rPr>
          <w:rFonts w:ascii="Arial" w:eastAsia="Calibri" w:hAnsi="Arial" w:cs="Arial"/>
          <w:lang w:val="es-ES"/>
        </w:rPr>
        <w:t xml:space="preserve">Certificado de Búsqueda Catastral emitido por la Superintendencia Nacional de los Registros Públicos (SUNARP), con una antigüedad no mayor de sesenta (60) días. </w:t>
      </w:r>
    </w:p>
    <w:p w:rsidR="006312E8" w:rsidRPr="006312E8" w:rsidRDefault="006312E8" w:rsidP="0092471C">
      <w:pPr>
        <w:numPr>
          <w:ilvl w:val="3"/>
          <w:numId w:val="229"/>
        </w:numPr>
        <w:spacing w:after="0" w:line="240" w:lineRule="auto"/>
        <w:ind w:left="993"/>
        <w:contextualSpacing/>
        <w:jc w:val="both"/>
        <w:rPr>
          <w:rFonts w:ascii="Arial" w:eastAsia="Calibri" w:hAnsi="Arial" w:cs="Arial"/>
          <w:lang w:val="es-ES"/>
        </w:rPr>
      </w:pPr>
      <w:r w:rsidRPr="006312E8">
        <w:rPr>
          <w:rFonts w:ascii="Arial" w:eastAsia="Calibri" w:hAnsi="Arial" w:cs="Arial"/>
          <w:lang w:val="es-ES"/>
        </w:rPr>
        <w:t xml:space="preserve">Descripción detallada del proyecto de inversión.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567" w:hanging="567"/>
        <w:jc w:val="both"/>
        <w:rPr>
          <w:rFonts w:ascii="Arial" w:eastAsia="Calibri" w:hAnsi="Arial" w:cs="Arial"/>
          <w:lang w:val="es-ES"/>
        </w:rPr>
      </w:pPr>
      <w:r w:rsidRPr="006312E8">
        <w:rPr>
          <w:rFonts w:ascii="Arial" w:eastAsia="Calibri" w:hAnsi="Arial" w:cs="Arial"/>
          <w:lang w:val="es-ES"/>
        </w:rPr>
        <w:t xml:space="preserve">18.2 </w:t>
      </w:r>
      <w:r w:rsidRPr="006312E8">
        <w:rPr>
          <w:rFonts w:ascii="Arial" w:eastAsia="Calibri" w:hAnsi="Arial" w:cs="Arial"/>
          <w:lang w:val="es-ES"/>
        </w:rPr>
        <w:tab/>
        <w:t xml:space="preserve">La autoridad sectorial competente, bajo responsabilidad, conforme lo establece el artículo 39 de la presente Ley , en un plazo no mayor de diez (10) días hábiles contados desde la presentación de la solicitud, remite a la Superintendencia Nacional de Bienes Estatales (SBN), un informe en el que se pronuncie sobre i) si el proyecto califica como uno de inversión, ii) el tiempo que requiere para su ejecución y iii) el área de terreno necesaria. </w:t>
      </w:r>
    </w:p>
    <w:p w:rsidR="006312E8" w:rsidRPr="006312E8" w:rsidRDefault="006312E8" w:rsidP="006312E8">
      <w:pPr>
        <w:spacing w:after="0" w:line="240" w:lineRule="auto"/>
        <w:ind w:left="567" w:hanging="567"/>
        <w:jc w:val="both"/>
        <w:rPr>
          <w:rFonts w:ascii="Arial" w:eastAsia="Calibri" w:hAnsi="Arial" w:cs="Arial"/>
          <w:lang w:val="es-ES"/>
        </w:rPr>
      </w:pPr>
    </w:p>
    <w:p w:rsidR="006312E8" w:rsidRPr="006312E8" w:rsidRDefault="006312E8" w:rsidP="006312E8">
      <w:pPr>
        <w:spacing w:after="0" w:line="240" w:lineRule="auto"/>
        <w:ind w:left="567" w:hanging="567"/>
        <w:jc w:val="both"/>
        <w:rPr>
          <w:rFonts w:ascii="Arial" w:eastAsia="Calibri" w:hAnsi="Arial" w:cs="Arial"/>
          <w:lang w:val="es-ES"/>
        </w:rPr>
      </w:pPr>
      <w:r w:rsidRPr="006312E8">
        <w:rPr>
          <w:rFonts w:ascii="Arial" w:eastAsia="Calibri" w:hAnsi="Arial" w:cs="Arial"/>
          <w:lang w:val="es-ES"/>
        </w:rPr>
        <w:t xml:space="preserve">18.3 </w:t>
      </w:r>
      <w:r w:rsidRPr="006312E8">
        <w:rPr>
          <w:rFonts w:ascii="Arial" w:eastAsia="Calibri" w:hAnsi="Arial" w:cs="Arial"/>
          <w:lang w:val="es-ES"/>
        </w:rPr>
        <w:tab/>
        <w:t xml:space="preserve">En caso de existir indicios de la existencia de comunidades campesinas o nativas en la zona donde se solicita el derecho de servidumbre, el sector competente deberá efectuar la constatación y verificación de la no existencia de dichas comunidades, remitiendo el acta de constatación correspondiente a la SBN. Si la SBN verifica la existencia de una servidumbre preexistente a la solicitada o de otras solicitudes en trámite sobre el mismo predio, deberá solicitar a la autoridad o autoridades sectoriales competentes opinión técnica favorable respecto de la viabilidad de que se otorgue más de una servidumbre u otros derechos sobre el mismo terreno. Dicha opinión debe ser emitida dentro del plazo de cinco (5) días hábiles de recibido el requerimiento. En caso de ser competencia de más de un sector y no existir coincidencia respecto a la viabilidad de la superposición de las servidumbres, la Presidencia del Consejo de Ministros dirime la viabilidad de dicha superposición, dentro del plazo de quince (15) días hábiles de recibida la solicitud de la SBN.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u w:val="single"/>
          <w:lang w:val="es-ES"/>
        </w:rPr>
        <w:t>Artículo 19</w:t>
      </w:r>
      <w:r w:rsidRPr="006312E8">
        <w:rPr>
          <w:rFonts w:ascii="Arial" w:eastAsia="Calibri" w:hAnsi="Arial" w:cs="Arial"/>
          <w:b/>
          <w:lang w:val="es-ES"/>
        </w:rPr>
        <w:t xml:space="preserve">. La entrega provisional de la servidumbre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567" w:hanging="567"/>
        <w:jc w:val="both"/>
        <w:rPr>
          <w:rFonts w:ascii="Arial" w:eastAsia="Calibri" w:hAnsi="Arial" w:cs="Arial"/>
          <w:lang w:val="es-ES"/>
        </w:rPr>
      </w:pPr>
      <w:r w:rsidRPr="006312E8">
        <w:rPr>
          <w:rFonts w:ascii="Arial" w:eastAsia="Calibri" w:hAnsi="Arial" w:cs="Arial"/>
          <w:lang w:val="es-ES"/>
        </w:rPr>
        <w:t xml:space="preserve">19.1 </w:t>
      </w:r>
      <w:r w:rsidRPr="006312E8">
        <w:rPr>
          <w:rFonts w:ascii="Arial" w:eastAsia="Calibri" w:hAnsi="Arial" w:cs="Arial"/>
          <w:lang w:val="es-ES"/>
        </w:rPr>
        <w:tab/>
        <w:t xml:space="preserve">La SBN, en un plazo no mayor de quince (15) días hábiles, sujeto a silencio administrativo positivo, de recibido el informe con la opinión técnica favorable de la autoridad sectorial competente y teniendo en cuenta lo señalado en dicho informe, efectúa el correspondiente diagnóstico técnico-legal respecto de la titularidad del terreno eriazo solicitado y realiza la entrega provisional de este, mientras continúa el procedimiento de otorgamiento de servidumbre definitiva. En caso de que en el diagnóstico técnico-legal la SBN determine que el predio es de propiedad privada, informará de este hecho a la autoridad sectorial competente, la que debe comunicar dicha situación al titular del proyecto de inversión. </w:t>
      </w:r>
    </w:p>
    <w:p w:rsidR="006312E8" w:rsidRPr="006312E8" w:rsidRDefault="006312E8" w:rsidP="006312E8">
      <w:pPr>
        <w:spacing w:after="0" w:line="240" w:lineRule="auto"/>
        <w:ind w:left="567" w:hanging="567"/>
        <w:jc w:val="both"/>
        <w:rPr>
          <w:rFonts w:ascii="Arial" w:eastAsia="Calibri" w:hAnsi="Arial" w:cs="Arial"/>
          <w:lang w:val="es-ES"/>
        </w:rPr>
      </w:pPr>
    </w:p>
    <w:p w:rsidR="006312E8" w:rsidRPr="006312E8" w:rsidRDefault="006312E8" w:rsidP="006312E8">
      <w:pPr>
        <w:spacing w:after="0" w:line="240" w:lineRule="auto"/>
        <w:ind w:left="567" w:hanging="567"/>
        <w:jc w:val="both"/>
        <w:rPr>
          <w:rFonts w:ascii="Arial" w:eastAsia="Calibri" w:hAnsi="Arial" w:cs="Arial"/>
          <w:lang w:val="es-ES"/>
        </w:rPr>
      </w:pPr>
      <w:r w:rsidRPr="006312E8">
        <w:rPr>
          <w:rFonts w:ascii="Arial" w:eastAsia="Calibri" w:hAnsi="Arial" w:cs="Arial"/>
          <w:lang w:val="es-ES"/>
        </w:rPr>
        <w:t xml:space="preserve">19.2 </w:t>
      </w:r>
      <w:r w:rsidRPr="006312E8">
        <w:rPr>
          <w:rFonts w:ascii="Arial" w:eastAsia="Calibri" w:hAnsi="Arial" w:cs="Arial"/>
          <w:lang w:val="es-ES"/>
        </w:rPr>
        <w:tab/>
        <w:t xml:space="preserve">La entrega provisional a cargo de la SBN procede respecto del terreno eriazo de propiedad estatal, inscrito o no, que se encuentre bajo la administración de la SBN o no. </w:t>
      </w:r>
    </w:p>
    <w:p w:rsidR="006312E8" w:rsidRPr="006312E8" w:rsidRDefault="006312E8" w:rsidP="006312E8">
      <w:pPr>
        <w:spacing w:after="0" w:line="240" w:lineRule="auto"/>
        <w:ind w:left="567" w:hanging="567"/>
        <w:jc w:val="both"/>
        <w:rPr>
          <w:rFonts w:ascii="Arial" w:eastAsia="Calibri" w:hAnsi="Arial" w:cs="Arial"/>
          <w:lang w:val="es-ES"/>
        </w:rPr>
      </w:pPr>
    </w:p>
    <w:p w:rsidR="006312E8" w:rsidRPr="006312E8" w:rsidRDefault="006312E8" w:rsidP="006312E8">
      <w:pPr>
        <w:spacing w:after="0" w:line="240" w:lineRule="auto"/>
        <w:ind w:left="567" w:hanging="567"/>
        <w:jc w:val="both"/>
        <w:rPr>
          <w:rFonts w:ascii="Arial" w:eastAsia="Calibri" w:hAnsi="Arial" w:cs="Arial"/>
          <w:lang w:val="es-ES"/>
        </w:rPr>
      </w:pPr>
      <w:r w:rsidRPr="006312E8">
        <w:rPr>
          <w:rFonts w:ascii="Arial" w:eastAsia="Calibri" w:hAnsi="Arial" w:cs="Arial"/>
          <w:lang w:val="es-ES"/>
        </w:rPr>
        <w:t xml:space="preserve">19.3 </w:t>
      </w:r>
      <w:r w:rsidRPr="006312E8">
        <w:rPr>
          <w:rFonts w:ascii="Arial" w:eastAsia="Calibri" w:hAnsi="Arial" w:cs="Arial"/>
          <w:lang w:val="es-ES"/>
        </w:rPr>
        <w:tab/>
        <w:t>La entrega provisional debe ser comunicada por la SBN al titular del terreno o al que lo administre. En caso de que se produzca el silencio administrativo positivo, el titular del proyecto comunica al titular del terreno o al que lo administre que ejerce la servidumbre provisional, conforme al requerimiento señalado en su solicitud.</w:t>
      </w:r>
    </w:p>
    <w:p w:rsidR="006312E8" w:rsidRPr="006312E8" w:rsidRDefault="006312E8" w:rsidP="006312E8">
      <w:pPr>
        <w:spacing w:after="0" w:line="240" w:lineRule="auto"/>
        <w:ind w:left="567" w:hanging="567"/>
        <w:jc w:val="both"/>
        <w:rPr>
          <w:rFonts w:ascii="Arial" w:eastAsia="Calibri" w:hAnsi="Arial" w:cs="Arial"/>
          <w:lang w:val="es-ES"/>
        </w:rPr>
      </w:pPr>
    </w:p>
    <w:p w:rsidR="006312E8" w:rsidRPr="006312E8" w:rsidRDefault="006312E8" w:rsidP="006312E8">
      <w:pPr>
        <w:spacing w:after="0" w:line="240" w:lineRule="auto"/>
        <w:ind w:left="567" w:hanging="567"/>
        <w:jc w:val="both"/>
        <w:rPr>
          <w:rFonts w:ascii="Arial" w:eastAsia="Calibri" w:hAnsi="Arial" w:cs="Arial"/>
          <w:b/>
          <w:lang w:val="es-ES"/>
        </w:rPr>
      </w:pPr>
      <w:r w:rsidRPr="006312E8">
        <w:rPr>
          <w:rFonts w:ascii="Arial" w:eastAsia="Calibri" w:hAnsi="Arial" w:cs="Arial"/>
          <w:b/>
          <w:u w:val="single"/>
          <w:lang w:val="es-ES"/>
        </w:rPr>
        <w:t>Artículo 20</w:t>
      </w:r>
      <w:r w:rsidRPr="006312E8">
        <w:rPr>
          <w:rFonts w:ascii="Arial" w:eastAsia="Calibri" w:hAnsi="Arial" w:cs="Arial"/>
          <w:b/>
          <w:lang w:val="es-ES"/>
        </w:rPr>
        <w:t xml:space="preserve">. Valuación del predio materia de servidumbre </w:t>
      </w:r>
    </w:p>
    <w:p w:rsidR="006312E8" w:rsidRPr="006312E8" w:rsidRDefault="006312E8" w:rsidP="006312E8">
      <w:pPr>
        <w:spacing w:after="0" w:line="240" w:lineRule="auto"/>
        <w:ind w:left="567" w:hanging="567"/>
        <w:jc w:val="both"/>
        <w:rPr>
          <w:rFonts w:ascii="Arial" w:eastAsia="Calibri" w:hAnsi="Arial" w:cs="Arial"/>
          <w:lang w:val="es-ES"/>
        </w:rPr>
      </w:pPr>
      <w:r w:rsidRPr="006312E8">
        <w:rPr>
          <w:rFonts w:ascii="Arial" w:eastAsia="Calibri" w:hAnsi="Arial" w:cs="Arial"/>
          <w:lang w:val="es-ES"/>
        </w:rPr>
        <w:t xml:space="preserve">Posteriormente a la entrega provisional, la SBN dispondrá la realización de la valuación comercial del predio para fines de la servidumbre, que será efectuada a costo del titular del proyecto de inversión, por un organismo o empresa con acreditada experiencia, de acuerdo con la normativa vigente, valuación que será utilizada para el cálculo de la servidumbre a partir de la entrega provisional. </w:t>
      </w:r>
    </w:p>
    <w:p w:rsidR="006312E8" w:rsidRPr="006312E8" w:rsidRDefault="006312E8" w:rsidP="006312E8">
      <w:pPr>
        <w:spacing w:after="0" w:line="240" w:lineRule="auto"/>
        <w:ind w:left="567" w:hanging="567"/>
        <w:jc w:val="both"/>
        <w:rPr>
          <w:rFonts w:ascii="Arial" w:eastAsia="Calibri" w:hAnsi="Arial" w:cs="Arial"/>
          <w:lang w:val="es-ES"/>
        </w:rPr>
      </w:pPr>
    </w:p>
    <w:p w:rsidR="006312E8" w:rsidRPr="006312E8" w:rsidRDefault="006312E8" w:rsidP="006312E8">
      <w:pPr>
        <w:spacing w:after="0" w:line="240" w:lineRule="auto"/>
        <w:ind w:left="567" w:hanging="567"/>
        <w:jc w:val="both"/>
        <w:rPr>
          <w:rFonts w:ascii="Arial" w:eastAsia="Calibri" w:hAnsi="Arial" w:cs="Arial"/>
          <w:b/>
          <w:lang w:val="es-ES"/>
        </w:rPr>
      </w:pPr>
      <w:r w:rsidRPr="006312E8">
        <w:rPr>
          <w:rFonts w:ascii="Arial" w:eastAsia="Calibri" w:hAnsi="Arial" w:cs="Arial"/>
          <w:b/>
          <w:u w:val="single"/>
          <w:lang w:val="es-ES"/>
        </w:rPr>
        <w:t>Artículo 21</w:t>
      </w:r>
      <w:r w:rsidRPr="006312E8">
        <w:rPr>
          <w:rFonts w:ascii="Arial" w:eastAsia="Calibri" w:hAnsi="Arial" w:cs="Arial"/>
          <w:b/>
          <w:lang w:val="es-ES"/>
        </w:rPr>
        <w:t xml:space="preserve">. Aceptación de la valuación comercial </w:t>
      </w:r>
    </w:p>
    <w:p w:rsidR="006312E8" w:rsidRPr="006312E8" w:rsidRDefault="006312E8" w:rsidP="006312E8">
      <w:pPr>
        <w:spacing w:after="0" w:line="240" w:lineRule="auto"/>
        <w:ind w:left="567" w:hanging="567"/>
        <w:jc w:val="both"/>
        <w:rPr>
          <w:rFonts w:ascii="Arial" w:eastAsia="Calibri" w:hAnsi="Arial" w:cs="Arial"/>
          <w:b/>
          <w:lang w:val="es-ES"/>
        </w:rPr>
      </w:pPr>
    </w:p>
    <w:p w:rsidR="006312E8" w:rsidRPr="006312E8" w:rsidRDefault="006312E8" w:rsidP="006312E8">
      <w:pPr>
        <w:spacing w:after="0" w:line="240" w:lineRule="auto"/>
        <w:ind w:left="709" w:hanging="709"/>
        <w:jc w:val="both"/>
        <w:rPr>
          <w:rFonts w:ascii="Arial" w:eastAsia="Calibri" w:hAnsi="Arial" w:cs="Arial"/>
          <w:lang w:val="es-ES"/>
        </w:rPr>
      </w:pPr>
      <w:r w:rsidRPr="006312E8">
        <w:rPr>
          <w:rFonts w:ascii="Arial" w:eastAsia="Calibri" w:hAnsi="Arial" w:cs="Arial"/>
          <w:lang w:val="es-ES"/>
        </w:rPr>
        <w:t xml:space="preserve">21.1 </w:t>
      </w:r>
      <w:r w:rsidRPr="006312E8">
        <w:rPr>
          <w:rFonts w:ascii="Arial" w:eastAsia="Calibri" w:hAnsi="Arial" w:cs="Arial"/>
          <w:lang w:val="es-ES"/>
        </w:rPr>
        <w:tab/>
        <w:t xml:space="preserve">Una vez realizada la valuación comercial, la SBN corre traslado de esta al titular del proyecto otorgándole un plazo de cinco (5) días hábiles para su aceptación, contado desde el día siguiente de recibida la comunicación. </w:t>
      </w:r>
    </w:p>
    <w:p w:rsidR="006312E8" w:rsidRPr="006312E8" w:rsidRDefault="006312E8" w:rsidP="006312E8">
      <w:pPr>
        <w:spacing w:after="0" w:line="240" w:lineRule="auto"/>
        <w:ind w:left="709" w:hanging="709"/>
        <w:jc w:val="both"/>
        <w:rPr>
          <w:rFonts w:ascii="Arial" w:eastAsia="Calibri" w:hAnsi="Arial" w:cs="Arial"/>
          <w:lang w:val="es-ES"/>
        </w:rPr>
      </w:pPr>
    </w:p>
    <w:p w:rsidR="006312E8" w:rsidRPr="006312E8" w:rsidRDefault="006312E8" w:rsidP="006312E8">
      <w:pPr>
        <w:spacing w:after="0" w:line="240" w:lineRule="auto"/>
        <w:ind w:left="709" w:hanging="709"/>
        <w:jc w:val="both"/>
        <w:rPr>
          <w:rFonts w:ascii="Arial" w:eastAsia="Calibri" w:hAnsi="Arial" w:cs="Arial"/>
          <w:lang w:val="es-ES"/>
        </w:rPr>
      </w:pPr>
      <w:r w:rsidRPr="006312E8">
        <w:rPr>
          <w:rFonts w:ascii="Arial" w:eastAsia="Calibri" w:hAnsi="Arial" w:cs="Arial"/>
          <w:lang w:val="es-ES"/>
        </w:rPr>
        <w:t xml:space="preserve">21.2 </w:t>
      </w:r>
      <w:r w:rsidRPr="006312E8">
        <w:rPr>
          <w:rFonts w:ascii="Arial" w:eastAsia="Calibri" w:hAnsi="Arial" w:cs="Arial"/>
          <w:lang w:val="es-ES"/>
        </w:rPr>
        <w:tab/>
        <w:t xml:space="preserve">En caso de que se acepte la valuación comercial, el titular del terreno aprueba la constitución del derecho de servidumbre y la forma de pago mediante resolución del titular para la disposición del terreno, la cual se inscribe por su sola notificación en el Registro de Predios de la SUNARP, y su anotación en el Sistema de Información Nacional de Bienes Estatales (SINABIP). </w:t>
      </w:r>
    </w:p>
    <w:p w:rsidR="006312E8" w:rsidRPr="006312E8" w:rsidRDefault="006312E8" w:rsidP="006312E8">
      <w:pPr>
        <w:spacing w:after="0" w:line="240" w:lineRule="auto"/>
        <w:ind w:left="567" w:hanging="567"/>
        <w:jc w:val="both"/>
        <w:rPr>
          <w:rFonts w:ascii="Arial" w:eastAsia="Calibri" w:hAnsi="Arial" w:cs="Arial"/>
          <w:lang w:val="es-ES"/>
        </w:rPr>
      </w:pPr>
    </w:p>
    <w:p w:rsidR="006312E8" w:rsidRPr="006312E8" w:rsidRDefault="006312E8" w:rsidP="006312E8">
      <w:pPr>
        <w:spacing w:after="0" w:line="240" w:lineRule="auto"/>
        <w:ind w:left="567" w:hanging="567"/>
        <w:jc w:val="both"/>
        <w:rPr>
          <w:rFonts w:ascii="Arial" w:eastAsia="Calibri" w:hAnsi="Arial" w:cs="Arial"/>
          <w:b/>
          <w:lang w:val="es-ES"/>
        </w:rPr>
      </w:pPr>
      <w:r w:rsidRPr="006312E8">
        <w:rPr>
          <w:rFonts w:ascii="Arial" w:eastAsia="Calibri" w:hAnsi="Arial" w:cs="Arial"/>
          <w:b/>
          <w:u w:val="single"/>
          <w:lang w:val="es-ES"/>
        </w:rPr>
        <w:t>Artículo 22</w:t>
      </w:r>
      <w:r w:rsidRPr="006312E8">
        <w:rPr>
          <w:rFonts w:ascii="Arial" w:eastAsia="Calibri" w:hAnsi="Arial" w:cs="Arial"/>
          <w:b/>
          <w:lang w:val="es-ES"/>
        </w:rPr>
        <w:t xml:space="preserve">. Abandono del procedimiento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Transcurrido el plazo para la aceptación de la valuación comercial sin que esta se hubiera producido, el titular del terreno o el que lo administra declara mediante resolución motivada el abandono del procedimiento y requiere la devolución del predio. </w:t>
      </w:r>
    </w:p>
    <w:p w:rsidR="006312E8" w:rsidRPr="006312E8" w:rsidRDefault="006312E8" w:rsidP="006312E8">
      <w:pPr>
        <w:spacing w:after="0" w:line="240" w:lineRule="auto"/>
        <w:ind w:left="567" w:hanging="567"/>
        <w:jc w:val="both"/>
        <w:rPr>
          <w:rFonts w:ascii="Arial" w:eastAsia="Calibri" w:hAnsi="Arial" w:cs="Arial"/>
          <w:lang w:val="es-ES"/>
        </w:rPr>
      </w:pPr>
    </w:p>
    <w:p w:rsidR="006312E8" w:rsidRPr="006312E8" w:rsidRDefault="006312E8" w:rsidP="006312E8">
      <w:pPr>
        <w:spacing w:after="0" w:line="240" w:lineRule="auto"/>
        <w:ind w:left="567" w:hanging="567"/>
        <w:jc w:val="both"/>
        <w:rPr>
          <w:rFonts w:ascii="Arial" w:eastAsia="Calibri" w:hAnsi="Arial" w:cs="Arial"/>
          <w:b/>
          <w:lang w:val="es-ES"/>
        </w:rPr>
      </w:pPr>
      <w:r w:rsidRPr="006312E8">
        <w:rPr>
          <w:rFonts w:ascii="Arial" w:eastAsia="Calibri" w:hAnsi="Arial" w:cs="Arial"/>
          <w:b/>
          <w:u w:val="single"/>
          <w:lang w:val="es-ES"/>
        </w:rPr>
        <w:t>Artículo 23</w:t>
      </w:r>
      <w:r w:rsidRPr="006312E8">
        <w:rPr>
          <w:rFonts w:ascii="Arial" w:eastAsia="Calibri" w:hAnsi="Arial" w:cs="Arial"/>
          <w:b/>
          <w:lang w:val="es-ES"/>
        </w:rPr>
        <w:t xml:space="preserve">. Efectos de la entrega provisional o definitiva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La entrega provisional o definitiva del terreno eriazo no implica el otorgamiento de autorizaciones para la realización de actividades que requieran autorización de la entidad competente. </w:t>
      </w:r>
    </w:p>
    <w:p w:rsidR="006312E8" w:rsidRPr="006312E8" w:rsidRDefault="006312E8" w:rsidP="006312E8">
      <w:pPr>
        <w:spacing w:after="0" w:line="240" w:lineRule="auto"/>
        <w:ind w:left="567" w:hanging="567"/>
        <w:jc w:val="both"/>
        <w:rPr>
          <w:rFonts w:ascii="Arial" w:eastAsia="Calibri" w:hAnsi="Arial" w:cs="Arial"/>
          <w:lang w:val="es-ES"/>
        </w:rPr>
      </w:pPr>
    </w:p>
    <w:p w:rsidR="006312E8" w:rsidRPr="006312E8" w:rsidRDefault="006312E8" w:rsidP="006312E8">
      <w:pPr>
        <w:spacing w:after="0" w:line="240" w:lineRule="auto"/>
        <w:ind w:left="567" w:hanging="567"/>
        <w:jc w:val="both"/>
        <w:rPr>
          <w:rFonts w:ascii="Arial" w:eastAsia="Calibri" w:hAnsi="Arial" w:cs="Arial"/>
          <w:b/>
          <w:lang w:val="es-ES"/>
        </w:rPr>
      </w:pPr>
      <w:r w:rsidRPr="006312E8">
        <w:rPr>
          <w:rFonts w:ascii="Arial" w:eastAsia="Calibri" w:hAnsi="Arial" w:cs="Arial"/>
          <w:b/>
          <w:u w:val="single"/>
          <w:lang w:val="es-ES"/>
        </w:rPr>
        <w:t>Artículo 24</w:t>
      </w:r>
      <w:r w:rsidRPr="006312E8">
        <w:rPr>
          <w:rFonts w:ascii="Arial" w:eastAsia="Calibri" w:hAnsi="Arial" w:cs="Arial"/>
          <w:b/>
          <w:lang w:val="es-ES"/>
        </w:rPr>
        <w:t xml:space="preserve">. Incumplimiento de la finalidad del proyecto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Si la entidad competente detecta el incumplimiento de la finalidad del proyecto para la cual se constituyó la servidumbre, comunicará tal situación a la SBN o entidad titular del terreno, a f n de que se extinga la servidumbre y consecuentemente se devuelva el predio, sin lugar al reembolso de las mejoras. </w:t>
      </w:r>
    </w:p>
    <w:p w:rsidR="006312E8" w:rsidRPr="006312E8" w:rsidRDefault="006312E8" w:rsidP="006312E8">
      <w:pPr>
        <w:spacing w:after="0" w:line="240" w:lineRule="auto"/>
        <w:ind w:left="567" w:hanging="567"/>
        <w:jc w:val="both"/>
        <w:rPr>
          <w:rFonts w:ascii="Arial" w:eastAsia="Calibri" w:hAnsi="Arial" w:cs="Arial"/>
          <w:lang w:val="es-ES"/>
        </w:rPr>
      </w:pPr>
    </w:p>
    <w:p w:rsidR="006312E8" w:rsidRPr="006312E8" w:rsidRDefault="006312E8" w:rsidP="006312E8">
      <w:pPr>
        <w:spacing w:after="0" w:line="240" w:lineRule="auto"/>
        <w:ind w:left="567" w:hanging="567"/>
        <w:jc w:val="both"/>
        <w:rPr>
          <w:rFonts w:ascii="Arial" w:eastAsia="Calibri" w:hAnsi="Arial" w:cs="Arial"/>
          <w:b/>
          <w:lang w:val="es-ES"/>
        </w:rPr>
      </w:pPr>
      <w:r w:rsidRPr="006312E8">
        <w:rPr>
          <w:rFonts w:ascii="Arial" w:eastAsia="Calibri" w:hAnsi="Arial" w:cs="Arial"/>
          <w:b/>
          <w:u w:val="single"/>
          <w:lang w:val="es-ES"/>
        </w:rPr>
        <w:t>Artículo 25</w:t>
      </w:r>
      <w:r w:rsidRPr="006312E8">
        <w:rPr>
          <w:rFonts w:ascii="Arial" w:eastAsia="Calibri" w:hAnsi="Arial" w:cs="Arial"/>
          <w:b/>
          <w:lang w:val="es-ES"/>
        </w:rPr>
        <w:t xml:space="preserve">. Comunicación a la autoridad sectorial competente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La SBN o el titular del terreno que otorgue servidumbres en terrenos eriazos deben comunicar a la autoridad sectorial competente en un plazo de cinco (5) días hábiles de efectuada la entrega provisional o definitiva del terreno eriazo, según corresponda. </w:t>
      </w:r>
    </w:p>
    <w:p w:rsidR="006312E8" w:rsidRPr="006312E8" w:rsidRDefault="006312E8" w:rsidP="006312E8">
      <w:pPr>
        <w:spacing w:after="0" w:line="240" w:lineRule="auto"/>
        <w:ind w:left="567" w:hanging="567"/>
        <w:jc w:val="both"/>
        <w:rPr>
          <w:rFonts w:ascii="Arial" w:eastAsia="Calibri" w:hAnsi="Arial" w:cs="Arial"/>
          <w:lang w:val="es-ES"/>
        </w:rPr>
      </w:pPr>
    </w:p>
    <w:p w:rsidR="006312E8" w:rsidRPr="006312E8" w:rsidRDefault="006312E8" w:rsidP="006312E8">
      <w:pPr>
        <w:spacing w:after="0" w:line="240" w:lineRule="auto"/>
        <w:ind w:left="567" w:hanging="567"/>
        <w:jc w:val="both"/>
        <w:rPr>
          <w:rFonts w:ascii="Arial" w:eastAsia="Calibri" w:hAnsi="Arial" w:cs="Arial"/>
          <w:b/>
          <w:lang w:val="es-ES"/>
        </w:rPr>
      </w:pPr>
      <w:r w:rsidRPr="006312E8">
        <w:rPr>
          <w:rFonts w:ascii="Arial" w:eastAsia="Calibri" w:hAnsi="Arial" w:cs="Arial"/>
          <w:b/>
          <w:u w:val="single"/>
          <w:lang w:val="es-ES"/>
        </w:rPr>
        <w:t>Artículo 26</w:t>
      </w:r>
      <w:r w:rsidRPr="006312E8">
        <w:rPr>
          <w:rFonts w:ascii="Arial" w:eastAsia="Calibri" w:hAnsi="Arial" w:cs="Arial"/>
          <w:b/>
          <w:lang w:val="es-ES"/>
        </w:rPr>
        <w:t xml:space="preserve">. Registro de servidumbres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 xml:space="preserve">Las autoridades sectoriales deben llevar un registro actualizado de las servidumbres otorgadas a favor de los titulares de proyectos que desarrollen actividades en el ámbito de su competencia. </w:t>
      </w:r>
    </w:p>
    <w:p w:rsidR="006312E8" w:rsidRPr="006312E8" w:rsidRDefault="006312E8" w:rsidP="006312E8">
      <w:pPr>
        <w:spacing w:after="0" w:line="240" w:lineRule="auto"/>
        <w:ind w:left="567" w:hanging="567"/>
        <w:jc w:val="both"/>
        <w:rPr>
          <w:rFonts w:ascii="Arial" w:eastAsia="Calibri" w:hAnsi="Arial" w:cs="Arial"/>
          <w:lang w:val="es-ES"/>
        </w:rPr>
      </w:pPr>
    </w:p>
    <w:p w:rsidR="006312E8" w:rsidRPr="006312E8" w:rsidRDefault="006312E8" w:rsidP="006312E8">
      <w:pPr>
        <w:spacing w:after="0" w:line="240" w:lineRule="auto"/>
        <w:ind w:left="567" w:hanging="567"/>
        <w:jc w:val="both"/>
        <w:rPr>
          <w:rFonts w:ascii="Arial" w:eastAsia="Calibri" w:hAnsi="Arial" w:cs="Arial"/>
          <w:b/>
          <w:lang w:val="es-ES"/>
        </w:rPr>
      </w:pPr>
      <w:r w:rsidRPr="006312E8">
        <w:rPr>
          <w:rFonts w:ascii="Arial" w:eastAsia="Calibri" w:hAnsi="Arial" w:cs="Arial"/>
          <w:b/>
          <w:u w:val="single"/>
          <w:lang w:val="es-ES"/>
        </w:rPr>
        <w:t>Artículo 27</w:t>
      </w:r>
      <w:r w:rsidRPr="006312E8">
        <w:rPr>
          <w:rFonts w:ascii="Arial" w:eastAsia="Calibri" w:hAnsi="Arial" w:cs="Arial"/>
          <w:b/>
          <w:lang w:val="es-ES"/>
        </w:rPr>
        <w:t xml:space="preserve">. Excepción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Las disposiciones contenidas en el presente capítulo no son aplicables para la zona de la selva, con excepción de los proyectos de inversión en generación, transmisión y distribución de energía eléctrica.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u w:val="single"/>
          <w:lang w:val="es-ES"/>
        </w:rPr>
      </w:pPr>
      <w:r w:rsidRPr="006312E8">
        <w:rPr>
          <w:rFonts w:ascii="Arial" w:eastAsia="Calibri" w:hAnsi="Arial" w:cs="Arial"/>
          <w:b/>
          <w:u w:val="single"/>
          <w:lang w:val="es-ES"/>
        </w:rPr>
        <w:t>CAPÍTULO II</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PROTECCIÓN DE DERECHOS DE VÍA Y LOCALIZACIÓN DE ÁREA</w:t>
      </w:r>
    </w:p>
    <w:p w:rsidR="006312E8" w:rsidRPr="006312E8" w:rsidRDefault="006312E8" w:rsidP="006312E8">
      <w:pPr>
        <w:spacing w:after="0" w:line="240" w:lineRule="auto"/>
        <w:jc w:val="center"/>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u w:val="single"/>
          <w:lang w:val="es-ES"/>
        </w:rPr>
        <w:t>Artículo 28</w:t>
      </w:r>
      <w:r w:rsidRPr="006312E8">
        <w:rPr>
          <w:rFonts w:ascii="Arial" w:eastAsia="Calibri" w:hAnsi="Arial" w:cs="Arial"/>
          <w:b/>
          <w:lang w:val="es-ES"/>
        </w:rPr>
        <w:t>. Protección de derechos de vía y localización de área</w:t>
      </w:r>
    </w:p>
    <w:p w:rsidR="006312E8" w:rsidRPr="006312E8" w:rsidRDefault="006312E8" w:rsidP="006312E8">
      <w:pPr>
        <w:spacing w:after="0" w:line="240" w:lineRule="auto"/>
        <w:ind w:left="993" w:hanging="709"/>
        <w:jc w:val="both"/>
        <w:rPr>
          <w:rFonts w:ascii="Arial" w:eastAsia="Calibri" w:hAnsi="Arial" w:cs="Arial"/>
          <w:lang w:val="es-ES"/>
        </w:rPr>
      </w:pPr>
      <w:r w:rsidRPr="006312E8">
        <w:rPr>
          <w:rFonts w:ascii="Arial" w:eastAsia="Calibri" w:hAnsi="Arial" w:cs="Arial"/>
          <w:lang w:val="es-ES"/>
        </w:rPr>
        <w:t xml:space="preserve">28.1 </w:t>
      </w:r>
      <w:r w:rsidRPr="006312E8">
        <w:rPr>
          <w:rFonts w:ascii="Arial" w:eastAsia="Calibri" w:hAnsi="Arial" w:cs="Arial"/>
          <w:lang w:val="es-ES"/>
        </w:rPr>
        <w:tab/>
        <w:t>Declárase de interés nacional la protección de los derechos de vía y localización de área otorgados para proyectos de inversión, siendo obligación del Estado asistir al concesionario en mantener las condiciones adecuadas de dichas áreas.</w:t>
      </w:r>
    </w:p>
    <w:p w:rsidR="006312E8" w:rsidRPr="006312E8" w:rsidRDefault="006312E8" w:rsidP="006312E8">
      <w:pPr>
        <w:spacing w:after="0" w:line="240" w:lineRule="auto"/>
        <w:ind w:left="993" w:hanging="709"/>
        <w:jc w:val="both"/>
        <w:rPr>
          <w:rFonts w:ascii="Arial" w:eastAsia="Calibri" w:hAnsi="Arial" w:cs="Arial"/>
          <w:lang w:val="es-ES"/>
        </w:rPr>
      </w:pPr>
    </w:p>
    <w:p w:rsidR="006312E8" w:rsidRPr="006312E8" w:rsidRDefault="006312E8" w:rsidP="006312E8">
      <w:pPr>
        <w:spacing w:after="0" w:line="240" w:lineRule="auto"/>
        <w:ind w:left="993" w:hanging="709"/>
        <w:jc w:val="both"/>
        <w:rPr>
          <w:rFonts w:ascii="Arial" w:eastAsia="Calibri" w:hAnsi="Arial" w:cs="Arial"/>
          <w:lang w:val="es-ES"/>
        </w:rPr>
      </w:pPr>
      <w:r w:rsidRPr="006312E8">
        <w:rPr>
          <w:rFonts w:ascii="Arial" w:eastAsia="Calibri" w:hAnsi="Arial" w:cs="Arial"/>
          <w:lang w:val="es-ES"/>
        </w:rPr>
        <w:t xml:space="preserve">28.2 </w:t>
      </w:r>
      <w:r w:rsidRPr="006312E8">
        <w:rPr>
          <w:rFonts w:ascii="Arial" w:eastAsia="Calibri" w:hAnsi="Arial" w:cs="Arial"/>
          <w:lang w:val="es-ES"/>
        </w:rPr>
        <w:tab/>
        <w:t xml:space="preserve">En caso de que las personas naturales o jurídicas que mediante cualquier acto, uso o disposición de las áreas impidan a los concesionarios el ejercicio del derecho de vía otorgado por el sector correspondiente o invadan la localización de área, será de aplicación lo dispuesto en el artículo 920 del Código Civil. </w:t>
      </w:r>
    </w:p>
    <w:p w:rsidR="006312E8" w:rsidRPr="006312E8" w:rsidRDefault="006312E8" w:rsidP="006312E8">
      <w:pPr>
        <w:spacing w:after="0" w:line="240" w:lineRule="auto"/>
        <w:ind w:left="993" w:hanging="709"/>
        <w:jc w:val="both"/>
        <w:rPr>
          <w:rFonts w:ascii="Arial" w:eastAsia="Calibri" w:hAnsi="Arial" w:cs="Arial"/>
          <w:lang w:val="es-ES"/>
        </w:rPr>
      </w:pPr>
    </w:p>
    <w:p w:rsidR="006312E8" w:rsidRPr="006312E8" w:rsidRDefault="006312E8" w:rsidP="006312E8">
      <w:pPr>
        <w:spacing w:after="0" w:line="240" w:lineRule="auto"/>
        <w:ind w:left="993" w:hanging="709"/>
        <w:jc w:val="both"/>
        <w:rPr>
          <w:rFonts w:ascii="Arial" w:eastAsia="Calibri" w:hAnsi="Arial" w:cs="Arial"/>
          <w:lang w:val="es-ES"/>
        </w:rPr>
      </w:pPr>
      <w:r w:rsidRPr="006312E8">
        <w:rPr>
          <w:rFonts w:ascii="Arial" w:eastAsia="Calibri" w:hAnsi="Arial" w:cs="Arial"/>
          <w:lang w:val="es-ES"/>
        </w:rPr>
        <w:t xml:space="preserve">28.3 </w:t>
      </w:r>
      <w:r w:rsidRPr="006312E8">
        <w:rPr>
          <w:rFonts w:ascii="Arial" w:eastAsia="Calibri" w:hAnsi="Arial" w:cs="Arial"/>
          <w:lang w:val="es-ES"/>
        </w:rPr>
        <w:tab/>
        <w:t xml:space="preserve">Sobre los terrenos destinados a derechos de vía no puede otorgarse ningún título de propiedad ni emitir autorizaciones de ocupación, construcción, ni de reconocimiento de nuevos derechos, distintos al uso de los derechos de vía para la instalación de la infraestructura necesaria para la ejecución de proyectos de inversión. La autoridad municipal, a través del ejecutor coactivo, debe ordenar la demolición de obras inmobiliarias que contravengan lo dispuesto en la presente norma. </w:t>
      </w:r>
    </w:p>
    <w:p w:rsidR="006312E8" w:rsidRPr="006312E8" w:rsidRDefault="006312E8" w:rsidP="006312E8">
      <w:pPr>
        <w:spacing w:after="0" w:line="240" w:lineRule="auto"/>
        <w:ind w:left="993" w:hanging="709"/>
        <w:jc w:val="both"/>
        <w:rPr>
          <w:rFonts w:ascii="Arial" w:eastAsia="Calibri" w:hAnsi="Arial" w:cs="Arial"/>
          <w:lang w:val="es-ES"/>
        </w:rPr>
      </w:pPr>
    </w:p>
    <w:p w:rsidR="006312E8" w:rsidRPr="006312E8" w:rsidRDefault="006312E8" w:rsidP="006312E8">
      <w:pPr>
        <w:spacing w:after="0" w:line="240" w:lineRule="auto"/>
        <w:ind w:left="993" w:hanging="709"/>
        <w:jc w:val="both"/>
        <w:rPr>
          <w:rFonts w:ascii="Arial" w:eastAsia="Calibri" w:hAnsi="Arial" w:cs="Arial"/>
          <w:lang w:val="es-ES"/>
        </w:rPr>
      </w:pPr>
      <w:r w:rsidRPr="006312E8">
        <w:rPr>
          <w:rFonts w:ascii="Arial" w:eastAsia="Calibri" w:hAnsi="Arial" w:cs="Arial"/>
          <w:lang w:val="es-ES"/>
        </w:rPr>
        <w:t xml:space="preserve">28.4 </w:t>
      </w:r>
      <w:r w:rsidRPr="006312E8">
        <w:rPr>
          <w:rFonts w:ascii="Arial" w:eastAsia="Calibri" w:hAnsi="Arial" w:cs="Arial"/>
          <w:lang w:val="es-ES"/>
        </w:rPr>
        <w:tab/>
        <w:t xml:space="preserve">La autoridad sectorial competente y el titular del proyecto de inversión deben comunicar a las municipalidades y gobiernos regionales el derecho de servidumbre otorgado, con el objeto de no otorgar derechos de propiedad ni emitir autorizaciones de ocupación, construcción, ni de reconocimiento de nuevos derechos sobre las áreas sobre las que se ha constituido servidumbre. </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u w:val="single"/>
          <w:lang w:val="es-ES"/>
        </w:rPr>
      </w:pPr>
      <w:r w:rsidRPr="006312E8">
        <w:rPr>
          <w:rFonts w:ascii="Arial" w:eastAsia="Calibri" w:hAnsi="Arial" w:cs="Arial"/>
          <w:b/>
          <w:u w:val="single"/>
          <w:lang w:val="es-ES"/>
        </w:rPr>
        <w:t>TÍTULO VII</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DISPOSICIÓN COMÚN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39. Responsabilidad del funcionario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El hecho de que el funcionario responsable no cumpla con algunas de las obligaciones impuestas en la presente Ley o en la Ley 30230, Ley que establece medidas tributarias, simplificación de procedimientos y permisos para la promoción y dinamización de la inversión en el país, en el plazo establecido, constituye un incumplimiento de sus obligaciones, incurriendo en falta grave aplicable al régimen laboral al que pertenece. En dicho supuesto, se inicia el procedimiento sancionador correspondiente contra el funcionario responsable, bajo responsabilidad del titular de la entidad.</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rPr>
      </w:pPr>
      <w:r w:rsidRPr="006312E8">
        <w:rPr>
          <w:rFonts w:ascii="Arial" w:eastAsia="Calibri" w:hAnsi="Arial" w:cs="Arial"/>
          <w:b/>
        </w:rPr>
        <w:t>DISPOSICIONES COMPLEMENTARIAS FINALES</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w:t>
      </w: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SEGUNDA. Adecuación del texto único de procedimientos administrativos</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 xml:space="preserve"> Las entidades señaladas en la presente Ley deben adecuar su respectivo texto único de procedimientos administrativos (TUPA) a las disposiciones de la presente Ley, en el plazo de treinta (30) días hábiles contados a partir de la entrada en vigencia del reglamento de la presente Ley. Asimismo, dictarán las disposiciones complementarias que resulten necesarias para la aplicación de la presente Ley.</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 xml:space="preserve">QUINTA. Procedimientos sectoriales de otorgamiento de servidumbres </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 xml:space="preserve">Lo establecido en el capítulo I del título IV de la presente Ley, no afecta lo dispuesto en las normas sectoriales que regulan procedimientos específicos para el otorgamiento de servidumbres. </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b/>
        </w:rPr>
        <w:t>SEXTA. Aprobación de servidumbre en el sector energía y minas</w:t>
      </w:r>
      <w:r w:rsidRPr="006312E8">
        <w:rPr>
          <w:rFonts w:ascii="Arial" w:eastAsia="Calibri" w:hAnsi="Arial" w:cs="Arial"/>
        </w:rPr>
        <w:t xml:space="preserve"> </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 xml:space="preserve">La constitución de servidumbres para proyectos de inversión mineros e hidrocarburíferos, así como a las que se refieren los artículos 28, 29 y 37 del Decreto Ley 25844, Ley de Concesiones Eléctricas, se realizan mediante resolución ministerial, salvo aquellos casos que se encuentren comprendidos en el artículo 7 de la Ley 26505, Ley de la inversión privada en el desarrollo de las actividades económicas en las tierras del territorio nacional y de las comunidades campesinas y nativas, modificado por el artículo 1 de la Ley 26570. La presente disposición es aplicable a aquellos procedimientos que se encuentren en trámite. </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 xml:space="preserve">(…) </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 xml:space="preserve">UNDÉCIMA. Incorporación de obras de infraestructura en la quinta disposición complementaria final de la Ley 30025 </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 xml:space="preserve">Incorpóranse en la quinta disposición complementaria final de la Ley 30025, Ley que facilita la adquisición, expropiación y posesión de bienes inmuebles para obras de infraestructura, y declara de necesidad pública la adquisición o expropiación de bienes inmuebles afectados para la ejecución de diversas obras de infraestructura, a partir de la entrada en vigencia de la presente Ley , los siguientes proyectos: </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ind w:left="567" w:hanging="567"/>
        <w:jc w:val="both"/>
        <w:rPr>
          <w:rFonts w:ascii="Arial" w:eastAsia="Calibri" w:hAnsi="Arial" w:cs="Arial"/>
        </w:rPr>
      </w:pPr>
      <w:r w:rsidRPr="006312E8">
        <w:rPr>
          <w:rFonts w:ascii="Arial" w:eastAsia="Calibri" w:hAnsi="Arial" w:cs="Arial"/>
        </w:rPr>
        <w:t xml:space="preserve">128) </w:t>
      </w:r>
      <w:r w:rsidRPr="006312E8">
        <w:rPr>
          <w:rFonts w:ascii="Arial" w:eastAsia="Calibri" w:hAnsi="Arial" w:cs="Arial"/>
        </w:rPr>
        <w:tab/>
        <w:t xml:space="preserve">Majes - Sihuas II Etapa. </w:t>
      </w:r>
    </w:p>
    <w:p w:rsidR="006312E8" w:rsidRPr="006312E8" w:rsidRDefault="006312E8" w:rsidP="006312E8">
      <w:pPr>
        <w:spacing w:after="0" w:line="240" w:lineRule="auto"/>
        <w:ind w:left="567" w:hanging="567"/>
        <w:jc w:val="both"/>
        <w:rPr>
          <w:rFonts w:ascii="Arial" w:eastAsia="Calibri" w:hAnsi="Arial" w:cs="Arial"/>
        </w:rPr>
      </w:pPr>
      <w:r w:rsidRPr="006312E8">
        <w:rPr>
          <w:rFonts w:ascii="Arial" w:eastAsia="Calibri" w:hAnsi="Arial" w:cs="Arial"/>
        </w:rPr>
        <w:t xml:space="preserve">129) </w:t>
      </w:r>
      <w:r w:rsidRPr="006312E8">
        <w:rPr>
          <w:rFonts w:ascii="Arial" w:eastAsia="Calibri" w:hAnsi="Arial" w:cs="Arial"/>
        </w:rPr>
        <w:tab/>
        <w:t xml:space="preserve">Chavimochic III Etapa. </w:t>
      </w:r>
    </w:p>
    <w:p w:rsidR="006312E8" w:rsidRPr="006312E8" w:rsidRDefault="006312E8" w:rsidP="006312E8">
      <w:pPr>
        <w:spacing w:after="0" w:line="240" w:lineRule="auto"/>
        <w:ind w:left="567" w:hanging="567"/>
        <w:jc w:val="both"/>
        <w:rPr>
          <w:rFonts w:ascii="Arial" w:eastAsia="Calibri" w:hAnsi="Arial" w:cs="Arial"/>
        </w:rPr>
      </w:pPr>
      <w:r w:rsidRPr="006312E8">
        <w:rPr>
          <w:rFonts w:ascii="Arial" w:eastAsia="Calibri" w:hAnsi="Arial" w:cs="Arial"/>
        </w:rPr>
        <w:t xml:space="preserve">130) </w:t>
      </w:r>
      <w:r w:rsidRPr="006312E8">
        <w:rPr>
          <w:rFonts w:ascii="Arial" w:eastAsia="Calibri" w:hAnsi="Arial" w:cs="Arial"/>
        </w:rPr>
        <w:tab/>
        <w:t xml:space="preserve">Carretera Longitudinal de la Sierra: Huancayo- Izcuchaca-Mayocc-Ayacucho/Ayacucho- Andahuaylas-Puente Sahuinto/ Dv. Pisco- Huaytará-Ayacucho. </w:t>
      </w:r>
    </w:p>
    <w:p w:rsidR="006312E8" w:rsidRPr="006312E8" w:rsidRDefault="006312E8" w:rsidP="006312E8">
      <w:pPr>
        <w:spacing w:after="0" w:line="240" w:lineRule="auto"/>
        <w:ind w:left="567" w:hanging="567"/>
        <w:jc w:val="both"/>
        <w:rPr>
          <w:rFonts w:ascii="Arial" w:eastAsia="Calibri" w:hAnsi="Arial" w:cs="Arial"/>
        </w:rPr>
      </w:pPr>
      <w:r w:rsidRPr="006312E8">
        <w:rPr>
          <w:rFonts w:ascii="Arial" w:eastAsia="Calibri" w:hAnsi="Arial" w:cs="Arial"/>
        </w:rPr>
        <w:t xml:space="preserve">131) </w:t>
      </w:r>
      <w:r w:rsidRPr="006312E8">
        <w:rPr>
          <w:rFonts w:ascii="Arial" w:eastAsia="Calibri" w:hAnsi="Arial" w:cs="Arial"/>
        </w:rPr>
        <w:tab/>
        <w:t xml:space="preserve">Tramo vial Desvío Quilca-Desvío Arequipa (Repartición)-Desvío Matarani-Desvío Moquegua; Desvío Ilo-Tacna-La Concordia. </w:t>
      </w:r>
    </w:p>
    <w:p w:rsidR="006312E8" w:rsidRPr="006312E8" w:rsidRDefault="006312E8" w:rsidP="006312E8">
      <w:pPr>
        <w:spacing w:after="0" w:line="240" w:lineRule="auto"/>
        <w:ind w:left="567" w:hanging="567"/>
        <w:jc w:val="both"/>
        <w:rPr>
          <w:rFonts w:ascii="Arial" w:eastAsia="Calibri" w:hAnsi="Arial" w:cs="Arial"/>
        </w:rPr>
      </w:pPr>
      <w:r w:rsidRPr="006312E8">
        <w:rPr>
          <w:rFonts w:ascii="Arial" w:eastAsia="Calibri" w:hAnsi="Arial" w:cs="Arial"/>
        </w:rPr>
        <w:t xml:space="preserve">132) </w:t>
      </w:r>
      <w:r w:rsidRPr="006312E8">
        <w:rPr>
          <w:rFonts w:ascii="Arial" w:eastAsia="Calibri" w:hAnsi="Arial" w:cs="Arial"/>
        </w:rPr>
        <w:tab/>
        <w:t xml:space="preserve">Reubicación de establecimientos penitenciarios. </w:t>
      </w:r>
    </w:p>
    <w:p w:rsidR="006312E8" w:rsidRPr="006312E8" w:rsidRDefault="006312E8" w:rsidP="006312E8">
      <w:pPr>
        <w:spacing w:after="0" w:line="240" w:lineRule="auto"/>
        <w:ind w:left="567" w:hanging="567"/>
        <w:jc w:val="both"/>
        <w:rPr>
          <w:rFonts w:ascii="Arial" w:eastAsia="Calibri" w:hAnsi="Arial" w:cs="Arial"/>
        </w:rPr>
      </w:pPr>
      <w:r w:rsidRPr="006312E8">
        <w:rPr>
          <w:rFonts w:ascii="Arial" w:eastAsia="Calibri" w:hAnsi="Arial" w:cs="Arial"/>
        </w:rPr>
        <w:t xml:space="preserve">133) </w:t>
      </w:r>
      <w:r w:rsidRPr="006312E8">
        <w:rPr>
          <w:rFonts w:ascii="Arial" w:eastAsia="Calibri" w:hAnsi="Arial" w:cs="Arial"/>
        </w:rPr>
        <w:tab/>
        <w:t xml:space="preserve">Mejoras a la seguridad energética del país y desarrollo del Gasoducto Sur Peruano. </w:t>
      </w:r>
    </w:p>
    <w:p w:rsidR="006312E8" w:rsidRPr="006312E8" w:rsidRDefault="006312E8" w:rsidP="006312E8">
      <w:pPr>
        <w:spacing w:after="0" w:line="240" w:lineRule="auto"/>
        <w:ind w:left="567" w:hanging="567"/>
        <w:jc w:val="both"/>
        <w:rPr>
          <w:rFonts w:ascii="Arial" w:eastAsia="Calibri" w:hAnsi="Arial" w:cs="Arial"/>
        </w:rPr>
      </w:pPr>
      <w:r w:rsidRPr="006312E8">
        <w:rPr>
          <w:rFonts w:ascii="Arial" w:eastAsia="Calibri" w:hAnsi="Arial" w:cs="Arial"/>
        </w:rPr>
        <w:t xml:space="preserve">134) Aeropuerto de Chachapoyas, ubicado en la ciudad de Chachapoyas-Gobierno Regional de Amazonas. </w:t>
      </w:r>
    </w:p>
    <w:p w:rsidR="006312E8" w:rsidRPr="006312E8" w:rsidRDefault="006312E8" w:rsidP="006312E8">
      <w:pPr>
        <w:spacing w:after="0" w:line="240" w:lineRule="auto"/>
        <w:ind w:left="567" w:hanging="567"/>
        <w:jc w:val="both"/>
        <w:rPr>
          <w:rFonts w:ascii="Arial" w:eastAsia="Calibri" w:hAnsi="Arial" w:cs="Arial"/>
        </w:rPr>
      </w:pPr>
      <w:r w:rsidRPr="006312E8">
        <w:rPr>
          <w:rFonts w:ascii="Arial" w:eastAsia="Calibri" w:hAnsi="Arial" w:cs="Arial"/>
        </w:rPr>
        <w:t xml:space="preserve">135) Aeropuerto de Andahuaylas, del distrito de Andahuaylas, provincia de Andahuaylas y departamento de Apurímac. </w:t>
      </w:r>
    </w:p>
    <w:p w:rsidR="006312E8" w:rsidRPr="006312E8" w:rsidRDefault="006312E8" w:rsidP="006312E8">
      <w:pPr>
        <w:spacing w:after="0" w:line="240" w:lineRule="auto"/>
        <w:ind w:left="567" w:hanging="567"/>
        <w:jc w:val="both"/>
        <w:rPr>
          <w:rFonts w:ascii="Arial" w:eastAsia="Calibri" w:hAnsi="Arial" w:cs="Arial"/>
        </w:rPr>
      </w:pPr>
      <w:r w:rsidRPr="006312E8">
        <w:rPr>
          <w:rFonts w:ascii="Arial" w:eastAsia="Calibri" w:hAnsi="Arial" w:cs="Arial"/>
        </w:rPr>
        <w:t xml:space="preserve">136) </w:t>
      </w:r>
      <w:r w:rsidRPr="006312E8">
        <w:rPr>
          <w:rFonts w:ascii="Arial" w:eastAsia="Calibri" w:hAnsi="Arial" w:cs="Arial"/>
        </w:rPr>
        <w:tab/>
        <w:t xml:space="preserve">Zonas de Actividades Logísticas y Antepuerto del Puerto del Callao. </w:t>
      </w:r>
    </w:p>
    <w:p w:rsidR="006312E8" w:rsidRPr="006312E8" w:rsidRDefault="006312E8" w:rsidP="006312E8">
      <w:pPr>
        <w:spacing w:after="0" w:line="240" w:lineRule="auto"/>
        <w:ind w:left="567" w:hanging="567"/>
        <w:jc w:val="both"/>
        <w:rPr>
          <w:rFonts w:ascii="Arial" w:eastAsia="Calibri" w:hAnsi="Arial" w:cs="Arial"/>
        </w:rPr>
      </w:pPr>
      <w:r w:rsidRPr="006312E8">
        <w:rPr>
          <w:rFonts w:ascii="Arial" w:eastAsia="Calibri" w:hAnsi="Arial" w:cs="Arial"/>
        </w:rPr>
        <w:t xml:space="preserve">137) </w:t>
      </w:r>
      <w:r w:rsidRPr="006312E8">
        <w:rPr>
          <w:rFonts w:ascii="Arial" w:eastAsia="Calibri" w:hAnsi="Arial" w:cs="Arial"/>
        </w:rPr>
        <w:tab/>
        <w:t xml:space="preserve">Carretera San Marcos-Cajabamba-Sausacocha- Tramo: San Marcos-Cajabamba. </w:t>
      </w:r>
    </w:p>
    <w:p w:rsidR="006312E8" w:rsidRPr="006312E8" w:rsidRDefault="006312E8" w:rsidP="006312E8">
      <w:pPr>
        <w:spacing w:after="0" w:line="240" w:lineRule="auto"/>
        <w:ind w:left="567" w:hanging="567"/>
        <w:jc w:val="both"/>
        <w:rPr>
          <w:rFonts w:ascii="Arial" w:eastAsia="Calibri" w:hAnsi="Arial" w:cs="Arial"/>
        </w:rPr>
      </w:pPr>
      <w:r w:rsidRPr="006312E8">
        <w:rPr>
          <w:rFonts w:ascii="Arial" w:eastAsia="Calibri" w:hAnsi="Arial" w:cs="Arial"/>
        </w:rPr>
        <w:t xml:space="preserve">138) </w:t>
      </w:r>
      <w:r w:rsidRPr="006312E8">
        <w:rPr>
          <w:rFonts w:ascii="Arial" w:eastAsia="Calibri" w:hAnsi="Arial" w:cs="Arial"/>
        </w:rPr>
        <w:tab/>
        <w:t xml:space="preserve">Carretera Andahuaylas-Pampachiri-Negromayo, Tramo: Andahuaylas-Huancabamba. </w:t>
      </w:r>
    </w:p>
    <w:p w:rsidR="006312E8" w:rsidRPr="006312E8" w:rsidRDefault="006312E8" w:rsidP="006312E8">
      <w:pPr>
        <w:spacing w:after="0" w:line="240" w:lineRule="auto"/>
        <w:ind w:left="567" w:hanging="567"/>
        <w:jc w:val="both"/>
        <w:rPr>
          <w:rFonts w:ascii="Arial" w:eastAsia="Calibri" w:hAnsi="Arial" w:cs="Arial"/>
        </w:rPr>
      </w:pPr>
      <w:r w:rsidRPr="006312E8">
        <w:rPr>
          <w:rFonts w:ascii="Arial" w:eastAsia="Calibri" w:hAnsi="Arial" w:cs="Arial"/>
        </w:rPr>
        <w:t xml:space="preserve">139) </w:t>
      </w:r>
      <w:r w:rsidRPr="006312E8">
        <w:rPr>
          <w:rFonts w:ascii="Arial" w:eastAsia="Calibri" w:hAnsi="Arial" w:cs="Arial"/>
        </w:rPr>
        <w:tab/>
        <w:t xml:space="preserve">Carretera Rodríguez de Mendoza-Empalme Ruta N° PE-5N (La Calzada), Tramo: Selva Alegre-Empalme Ruta PE-5N (La Calzada). </w:t>
      </w:r>
    </w:p>
    <w:p w:rsidR="006312E8" w:rsidRPr="006312E8" w:rsidRDefault="006312E8" w:rsidP="006312E8">
      <w:pPr>
        <w:spacing w:after="0" w:line="240" w:lineRule="auto"/>
        <w:ind w:left="570" w:hanging="570"/>
        <w:jc w:val="both"/>
        <w:rPr>
          <w:rFonts w:ascii="Arial" w:eastAsia="Calibri" w:hAnsi="Arial" w:cs="Arial"/>
        </w:rPr>
      </w:pPr>
      <w:r w:rsidRPr="006312E8">
        <w:rPr>
          <w:rFonts w:ascii="Arial" w:eastAsia="Calibri" w:hAnsi="Arial" w:cs="Arial"/>
        </w:rPr>
        <w:t xml:space="preserve">140) </w:t>
      </w:r>
      <w:r w:rsidRPr="006312E8">
        <w:rPr>
          <w:rFonts w:ascii="Arial" w:eastAsia="Calibri" w:hAnsi="Arial" w:cs="Arial"/>
        </w:rPr>
        <w:tab/>
        <w:t xml:space="preserve">Carretera Ica-Los Molinos-T ambillos, Tramo: Puente La Achirana-Huamaní (Km. 19 + 700- Km. 33 + 500), incluido la construcción del Puente Achirana y Accesos. </w:t>
      </w:r>
    </w:p>
    <w:p w:rsidR="006312E8" w:rsidRPr="006312E8" w:rsidRDefault="006312E8" w:rsidP="006312E8">
      <w:pPr>
        <w:spacing w:after="0" w:line="240" w:lineRule="auto"/>
        <w:ind w:left="567" w:hanging="567"/>
        <w:jc w:val="both"/>
      </w:pPr>
      <w:r w:rsidRPr="006312E8">
        <w:rPr>
          <w:rFonts w:ascii="Arial" w:eastAsia="Calibri" w:hAnsi="Arial" w:cs="Arial"/>
        </w:rPr>
        <w:t xml:space="preserve">141) </w:t>
      </w:r>
      <w:r w:rsidRPr="006312E8">
        <w:rPr>
          <w:rFonts w:ascii="Arial" w:eastAsia="Calibri" w:hAnsi="Arial" w:cs="Arial"/>
        </w:rPr>
        <w:tab/>
        <w:t>Carretera Von Humboldt-Neshuya-Pucallpa.</w:t>
      </w:r>
      <w:r w:rsidRPr="006312E8">
        <w:t xml:space="preserve"> </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Amplíase el plazo establecido en el literal a) del numeral 10.1 del artículo 10 de la Ley 30025 por veinticuatro (24) meses adicionales.</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w:t>
      </w: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 xml:space="preserve">DÉCIMA CUARTA. Excepción a los títulos IV y V </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Las disposiciones contenidas en los títulos IV y V no pueden ser aplicadas en tierras y territorios de pueblos indígenas u originarios, ni afectar derechos de propiedad o de posesión de las comunidades campesinas y nativas.</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center"/>
        <w:rPr>
          <w:rFonts w:ascii="Arial" w:eastAsia="Calibri" w:hAnsi="Arial" w:cs="Arial"/>
          <w:b/>
        </w:rPr>
      </w:pPr>
      <w:r w:rsidRPr="006312E8">
        <w:rPr>
          <w:rFonts w:ascii="Arial" w:eastAsia="Calibri" w:hAnsi="Arial" w:cs="Arial"/>
          <w:b/>
        </w:rPr>
        <w:t>DISPOSICIONES COMPLEMENTARIAS TRANSITORIAS</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TERCERA. Aprobación de servidumbres en trámite del Decreto Supremo 054-2013-PCM.</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 xml:space="preserve">Los procedimientos de otorgamiento de derecho de servidumbres iniciados al amparo del Decreto Supremo 054-2013-PCM, que se encuentren en trámite, se adecuarán a las disposiciones de la presente Ley en el estado en que se encuentren. </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w:t>
      </w:r>
    </w:p>
    <w:p w:rsidR="006312E8" w:rsidRPr="006312E8" w:rsidRDefault="006312E8" w:rsidP="006312E8">
      <w:pPr>
        <w:spacing w:after="0" w:line="240" w:lineRule="auto"/>
        <w:jc w:val="center"/>
        <w:rPr>
          <w:rFonts w:ascii="Arial" w:eastAsia="Calibri" w:hAnsi="Arial" w:cs="Arial"/>
          <w:b/>
        </w:rPr>
      </w:pPr>
      <w:r w:rsidRPr="006312E8">
        <w:rPr>
          <w:rFonts w:ascii="Arial" w:eastAsia="Calibri" w:hAnsi="Arial" w:cs="Arial"/>
          <w:b/>
        </w:rPr>
        <w:t>DISPOSICIONES COMPLEMENTARIAS TRANSITORIAS</w:t>
      </w:r>
    </w:p>
    <w:p w:rsidR="006312E8" w:rsidRPr="006312E8" w:rsidRDefault="006312E8" w:rsidP="006312E8">
      <w:pPr>
        <w:spacing w:after="0" w:line="240" w:lineRule="auto"/>
        <w:jc w:val="center"/>
        <w:rPr>
          <w:rFonts w:ascii="Arial" w:eastAsia="Calibri" w:hAnsi="Arial" w:cs="Arial"/>
          <w:b/>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w:t>
      </w: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 xml:space="preserve">CUARTA. Modificación del artículo 204 del Código Penal </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 xml:space="preserve">Modifícase el artículo 204 del Código Penal de acuerdo al texto siguiente: </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 xml:space="preserve">"Artículo 204.- Formas agravadas de usurpación </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 xml:space="preserve">La pena privativa de libertad será no menor de cuatro ni mayor de ocho años e inhabilitación, según corresponda, cuando la usurpación se comete: </w:t>
      </w:r>
    </w:p>
    <w:p w:rsidR="006312E8" w:rsidRPr="006312E8" w:rsidRDefault="006312E8" w:rsidP="0092471C">
      <w:pPr>
        <w:numPr>
          <w:ilvl w:val="2"/>
          <w:numId w:val="230"/>
        </w:numPr>
        <w:spacing w:after="0" w:line="240" w:lineRule="auto"/>
        <w:ind w:left="567" w:hanging="317"/>
        <w:contextualSpacing/>
        <w:jc w:val="both"/>
        <w:rPr>
          <w:rFonts w:ascii="Arial" w:eastAsia="Calibri" w:hAnsi="Arial" w:cs="Arial"/>
        </w:rPr>
      </w:pPr>
      <w:r w:rsidRPr="006312E8">
        <w:rPr>
          <w:rFonts w:ascii="Arial" w:eastAsia="Calibri" w:hAnsi="Arial" w:cs="Arial"/>
        </w:rPr>
        <w:t xml:space="preserve">Usando armas de fuego, explosivos o cualquier otro instrumento o sustancia peligrosos. </w:t>
      </w:r>
    </w:p>
    <w:p w:rsidR="006312E8" w:rsidRPr="006312E8" w:rsidRDefault="006312E8" w:rsidP="0092471C">
      <w:pPr>
        <w:numPr>
          <w:ilvl w:val="2"/>
          <w:numId w:val="230"/>
        </w:numPr>
        <w:spacing w:after="0" w:line="240" w:lineRule="auto"/>
        <w:ind w:left="567" w:hanging="317"/>
        <w:contextualSpacing/>
        <w:jc w:val="both"/>
        <w:rPr>
          <w:rFonts w:ascii="Arial" w:eastAsia="Calibri" w:hAnsi="Arial" w:cs="Arial"/>
        </w:rPr>
      </w:pPr>
      <w:r w:rsidRPr="006312E8">
        <w:rPr>
          <w:rFonts w:ascii="Arial" w:eastAsia="Calibri" w:hAnsi="Arial" w:cs="Arial"/>
        </w:rPr>
        <w:t xml:space="preserve">Con la intervención de dos o más personas. </w:t>
      </w:r>
    </w:p>
    <w:p w:rsidR="006312E8" w:rsidRPr="006312E8" w:rsidRDefault="006312E8" w:rsidP="0092471C">
      <w:pPr>
        <w:numPr>
          <w:ilvl w:val="2"/>
          <w:numId w:val="230"/>
        </w:numPr>
        <w:spacing w:after="0" w:line="240" w:lineRule="auto"/>
        <w:ind w:left="567" w:hanging="317"/>
        <w:contextualSpacing/>
        <w:jc w:val="both"/>
        <w:rPr>
          <w:rFonts w:ascii="Arial" w:eastAsia="Calibri" w:hAnsi="Arial" w:cs="Arial"/>
        </w:rPr>
      </w:pPr>
      <w:r w:rsidRPr="006312E8">
        <w:rPr>
          <w:rFonts w:ascii="Arial" w:eastAsia="Calibri" w:hAnsi="Arial" w:cs="Arial"/>
        </w:rPr>
        <w:t xml:space="preserve">Sobre inmueble reservado para fines habitacionales. </w:t>
      </w:r>
    </w:p>
    <w:p w:rsidR="006312E8" w:rsidRPr="006312E8" w:rsidRDefault="006312E8" w:rsidP="0092471C">
      <w:pPr>
        <w:numPr>
          <w:ilvl w:val="2"/>
          <w:numId w:val="230"/>
        </w:numPr>
        <w:spacing w:after="0" w:line="240" w:lineRule="auto"/>
        <w:ind w:left="567" w:hanging="317"/>
        <w:contextualSpacing/>
        <w:jc w:val="both"/>
        <w:rPr>
          <w:rFonts w:ascii="Arial" w:eastAsia="Calibri" w:hAnsi="Arial" w:cs="Arial"/>
        </w:rPr>
      </w:pPr>
      <w:r w:rsidRPr="006312E8">
        <w:rPr>
          <w:rFonts w:ascii="Arial" w:eastAsia="Calibri" w:hAnsi="Arial" w:cs="Arial"/>
        </w:rPr>
        <w:t xml:space="preserve">Sobre bienes del Estado o de comunidades campesinas o nativas, o sobre bienes destinados a servicios públicos o inmuebles que integran el patrimonio cultural de la Nación, declarados por la entidad competente. </w:t>
      </w:r>
    </w:p>
    <w:p w:rsidR="006312E8" w:rsidRPr="006312E8" w:rsidRDefault="006312E8" w:rsidP="0092471C">
      <w:pPr>
        <w:numPr>
          <w:ilvl w:val="2"/>
          <w:numId w:val="230"/>
        </w:numPr>
        <w:spacing w:after="0" w:line="240" w:lineRule="auto"/>
        <w:ind w:left="567" w:hanging="317"/>
        <w:contextualSpacing/>
        <w:jc w:val="both"/>
        <w:rPr>
          <w:rFonts w:ascii="Arial" w:eastAsia="Calibri" w:hAnsi="Arial" w:cs="Arial"/>
        </w:rPr>
      </w:pPr>
      <w:r w:rsidRPr="006312E8">
        <w:rPr>
          <w:rFonts w:ascii="Arial" w:eastAsia="Calibri" w:hAnsi="Arial" w:cs="Arial"/>
        </w:rPr>
        <w:t xml:space="preserve">Afectando la libre circulación en vías de comunicación. </w:t>
      </w:r>
    </w:p>
    <w:p w:rsidR="006312E8" w:rsidRPr="006312E8" w:rsidRDefault="006312E8" w:rsidP="0092471C">
      <w:pPr>
        <w:numPr>
          <w:ilvl w:val="2"/>
          <w:numId w:val="230"/>
        </w:numPr>
        <w:spacing w:after="0" w:line="240" w:lineRule="auto"/>
        <w:ind w:left="567" w:hanging="317"/>
        <w:contextualSpacing/>
        <w:jc w:val="both"/>
        <w:rPr>
          <w:rFonts w:ascii="Arial" w:eastAsia="Calibri" w:hAnsi="Arial" w:cs="Arial"/>
        </w:rPr>
      </w:pPr>
      <w:r w:rsidRPr="006312E8">
        <w:rPr>
          <w:rFonts w:ascii="Arial" w:eastAsia="Calibri" w:hAnsi="Arial" w:cs="Arial"/>
        </w:rPr>
        <w:t xml:space="preserve">Colocando hitos, cercos perimétricos, cercos vivos, paneles o anuncios, demarcaciones para lotizado, instalación de esteras, plásticos u otros materiales. </w:t>
      </w:r>
    </w:p>
    <w:p w:rsidR="006312E8" w:rsidRPr="006312E8" w:rsidRDefault="006312E8" w:rsidP="0092471C">
      <w:pPr>
        <w:numPr>
          <w:ilvl w:val="2"/>
          <w:numId w:val="230"/>
        </w:numPr>
        <w:spacing w:after="0" w:line="240" w:lineRule="auto"/>
        <w:ind w:left="567" w:hanging="317"/>
        <w:contextualSpacing/>
        <w:jc w:val="both"/>
        <w:rPr>
          <w:rFonts w:ascii="Arial" w:eastAsia="Calibri" w:hAnsi="Arial" w:cs="Arial"/>
        </w:rPr>
      </w:pPr>
      <w:r w:rsidRPr="006312E8">
        <w:rPr>
          <w:rFonts w:ascii="Arial" w:eastAsia="Calibri" w:hAnsi="Arial" w:cs="Arial"/>
        </w:rPr>
        <w:t xml:space="preserve">Abusando de su condición o cargo de funcionario o servidor público. </w:t>
      </w:r>
    </w:p>
    <w:p w:rsidR="006312E8" w:rsidRPr="006312E8" w:rsidRDefault="006312E8" w:rsidP="0092471C">
      <w:pPr>
        <w:numPr>
          <w:ilvl w:val="2"/>
          <w:numId w:val="230"/>
        </w:numPr>
        <w:spacing w:after="0" w:line="240" w:lineRule="auto"/>
        <w:ind w:left="567" w:hanging="317"/>
        <w:contextualSpacing/>
        <w:jc w:val="both"/>
        <w:rPr>
          <w:rFonts w:ascii="Arial" w:eastAsia="Calibri" w:hAnsi="Arial" w:cs="Arial"/>
        </w:rPr>
      </w:pPr>
      <w:r w:rsidRPr="006312E8">
        <w:rPr>
          <w:rFonts w:ascii="Arial" w:eastAsia="Calibri" w:hAnsi="Arial" w:cs="Arial"/>
        </w:rPr>
        <w:t xml:space="preserve">Sobre derechos de vía o localización de área otorgados para proyectos de inversión. </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 xml:space="preserve">Será reprimido con la misma pena el que organice, financie, facilite, fomente, dirija, provoque o promueva la realización de usurpaciones de inmuebles de propiedad pública o privada". </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 xml:space="preserve">QUINTA. Incorporación del artículo 376-B del Código Penal </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 xml:space="preserve">Incorpórase el artículo 376-B del Código Penal, de acuerdo al texto siguiente: </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w:t>
      </w:r>
      <w:r w:rsidRPr="006312E8">
        <w:rPr>
          <w:rFonts w:ascii="Arial" w:eastAsia="Calibri" w:hAnsi="Arial" w:cs="Arial"/>
          <w:b/>
        </w:rPr>
        <w:t>Artículo 376-B.- Otorgamiento ilegítimo de derechos sobre inmuebles</w:t>
      </w:r>
      <w:r w:rsidRPr="006312E8">
        <w:rPr>
          <w:rFonts w:ascii="Arial" w:eastAsia="Calibri" w:hAnsi="Arial" w:cs="Arial"/>
        </w:rPr>
        <w:t xml:space="preserve"> </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El funcionario público que, en violación de sus atribuciones u obligaciones, otorga ilegítimamente derechos de posesión o emite títulos de propiedad sobre bienes de dominio público o bienes de dominio privado estatal, o bienes inmuebles de propiedad privada, sin cumplir con los requisitos establecidos por la normatividad vigente, será reprimido con pena privativa de libertad, no menor de cuatro ni mayor de seis años. Si el derecho de posesión o título de propiedad se otorga a personas que ilegalmente ocupan o usurpan los bienes inmuebles referidos en el primer párrafo, la pena privativa de libertad será no menor de cinco ni mayor de ocho años"</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center"/>
        <w:rPr>
          <w:rFonts w:ascii="Arial" w:eastAsia="Calibri" w:hAnsi="Arial" w:cs="Arial"/>
          <w:b/>
        </w:rPr>
      </w:pPr>
      <w:r w:rsidRPr="006312E8">
        <w:rPr>
          <w:rFonts w:ascii="Arial" w:eastAsia="Calibri" w:hAnsi="Arial" w:cs="Arial"/>
          <w:b/>
        </w:rPr>
        <w:t>DISPOSICIÓN COMPLEMENTARIA DEROGATORIA</w:t>
      </w:r>
    </w:p>
    <w:p w:rsidR="006312E8" w:rsidRPr="006312E8" w:rsidRDefault="006312E8" w:rsidP="006312E8">
      <w:pPr>
        <w:spacing w:after="0" w:line="240" w:lineRule="auto"/>
        <w:jc w:val="center"/>
        <w:rPr>
          <w:rFonts w:ascii="Arial" w:eastAsia="Calibri" w:hAnsi="Arial" w:cs="Arial"/>
          <w:b/>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 xml:space="preserve">ÚNICA. Derogación </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 xml:space="preserve">Derógase el numeral 10.3 del artículo 10 de la Ley 30025, Ley que facilita la adquisición, expropiación y posesión de bienes inmuebles para obras de infraestructura y declara de necesidad pública la adquisición o expropiación de bienes inmuebles afectados para la ejecución de diversas obras de infraestructura. </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 xml:space="preserve">Comuníquese al señor Presidente Constitucional de la República para su promulgación. </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En Lima, a los veinte días del mes de mayo de dos mil quince.</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 xml:space="preserve">ANA MARÍA SOLÓRZANO FLORES </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 xml:space="preserve">Presidenta del Congreso de la República </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 xml:space="preserve">MODESTO JULCA JARA </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 xml:space="preserve">Primer Vicepresidente del Congreso de la República </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 xml:space="preserve">AL SEÑOR PRESIDENTE CONSTITUCIONAL DE LA REPÚBLICA </w:t>
      </w:r>
    </w:p>
    <w:p w:rsidR="006312E8" w:rsidRPr="006312E8" w:rsidRDefault="006312E8" w:rsidP="006312E8">
      <w:pPr>
        <w:spacing w:after="0" w:line="240" w:lineRule="auto"/>
        <w:jc w:val="both"/>
        <w:rPr>
          <w:rFonts w:ascii="Arial" w:eastAsia="Calibri" w:hAnsi="Arial" w:cs="Arial"/>
          <w:b/>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 xml:space="preserve">POR TANTO: </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 xml:space="preserve">Mando se publique y cumpla. </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 xml:space="preserve">Dado en la Casa de Gobierno, en Lima, a los veinte días del mes de mayo del año dos mil quince. </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OLLANTA HUMALA TASSO</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 xml:space="preserve">Presidente de la República </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jc w:val="both"/>
        <w:rPr>
          <w:rFonts w:ascii="Arial" w:eastAsia="Calibri" w:hAnsi="Arial" w:cs="Arial"/>
          <w:b/>
        </w:rPr>
      </w:pPr>
      <w:r w:rsidRPr="006312E8">
        <w:rPr>
          <w:rFonts w:ascii="Arial" w:eastAsia="Calibri" w:hAnsi="Arial" w:cs="Arial"/>
          <w:b/>
        </w:rPr>
        <w:t xml:space="preserve">PEDRO CATERIANO BELLIDO </w:t>
      </w:r>
    </w:p>
    <w:p w:rsidR="006312E8" w:rsidRPr="006312E8" w:rsidRDefault="006312E8" w:rsidP="006312E8">
      <w:pPr>
        <w:spacing w:after="0" w:line="240" w:lineRule="auto"/>
        <w:jc w:val="both"/>
        <w:rPr>
          <w:rFonts w:ascii="Arial" w:eastAsia="Calibri" w:hAnsi="Arial" w:cs="Arial"/>
        </w:rPr>
      </w:pPr>
      <w:r w:rsidRPr="006312E8">
        <w:rPr>
          <w:rFonts w:ascii="Arial" w:eastAsia="Calibri" w:hAnsi="Arial" w:cs="Arial"/>
        </w:rPr>
        <w:t>Presidente del Consejo de Ministros</w:t>
      </w: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Default="006312E8" w:rsidP="006312E8">
      <w:pPr>
        <w:spacing w:after="0" w:line="240" w:lineRule="auto"/>
        <w:jc w:val="center"/>
        <w:rPr>
          <w:rFonts w:ascii="Arial" w:eastAsia="Calibri" w:hAnsi="Arial" w:cs="Arial"/>
          <w:b/>
          <w:sz w:val="28"/>
          <w:szCs w:val="28"/>
          <w:lang w:val="es-ES"/>
        </w:rPr>
      </w:pPr>
    </w:p>
    <w:p w:rsidR="00246CE9" w:rsidRDefault="00246CE9" w:rsidP="006312E8">
      <w:pPr>
        <w:spacing w:after="0" w:line="240" w:lineRule="auto"/>
        <w:jc w:val="center"/>
        <w:rPr>
          <w:rFonts w:ascii="Arial" w:eastAsia="Calibri" w:hAnsi="Arial" w:cs="Arial"/>
          <w:b/>
          <w:sz w:val="28"/>
          <w:szCs w:val="28"/>
          <w:lang w:val="es-ES"/>
        </w:rPr>
      </w:pPr>
    </w:p>
    <w:p w:rsidR="00246CE9" w:rsidRDefault="00246CE9" w:rsidP="006312E8">
      <w:pPr>
        <w:spacing w:after="0" w:line="240" w:lineRule="auto"/>
        <w:jc w:val="center"/>
        <w:rPr>
          <w:rFonts w:ascii="Arial" w:eastAsia="Calibri" w:hAnsi="Arial" w:cs="Arial"/>
          <w:b/>
          <w:sz w:val="28"/>
          <w:szCs w:val="28"/>
          <w:lang w:val="es-ES"/>
        </w:rPr>
      </w:pPr>
    </w:p>
    <w:p w:rsidR="00246CE9" w:rsidRDefault="00246CE9" w:rsidP="006312E8">
      <w:pPr>
        <w:spacing w:after="0" w:line="240" w:lineRule="auto"/>
        <w:jc w:val="center"/>
        <w:rPr>
          <w:rFonts w:ascii="Arial" w:eastAsia="Calibri" w:hAnsi="Arial" w:cs="Arial"/>
          <w:b/>
          <w:sz w:val="28"/>
          <w:szCs w:val="28"/>
          <w:lang w:val="es-ES"/>
        </w:rPr>
      </w:pPr>
    </w:p>
    <w:p w:rsidR="00246CE9" w:rsidRDefault="00246CE9" w:rsidP="006312E8">
      <w:pPr>
        <w:spacing w:after="0" w:line="240" w:lineRule="auto"/>
        <w:jc w:val="center"/>
        <w:rPr>
          <w:rFonts w:ascii="Arial" w:eastAsia="Calibri" w:hAnsi="Arial" w:cs="Arial"/>
          <w:b/>
          <w:sz w:val="28"/>
          <w:szCs w:val="28"/>
          <w:lang w:val="es-ES"/>
        </w:rPr>
      </w:pPr>
    </w:p>
    <w:p w:rsidR="00246CE9" w:rsidRDefault="00246CE9" w:rsidP="006312E8">
      <w:pPr>
        <w:spacing w:after="0" w:line="240" w:lineRule="auto"/>
        <w:jc w:val="center"/>
        <w:rPr>
          <w:rFonts w:ascii="Arial" w:eastAsia="Calibri" w:hAnsi="Arial" w:cs="Arial"/>
          <w:b/>
          <w:sz w:val="28"/>
          <w:szCs w:val="28"/>
          <w:lang w:val="es-ES"/>
        </w:rPr>
      </w:pPr>
    </w:p>
    <w:p w:rsidR="00246CE9" w:rsidRDefault="00246CE9" w:rsidP="006312E8">
      <w:pPr>
        <w:spacing w:after="0" w:line="240" w:lineRule="auto"/>
        <w:jc w:val="center"/>
        <w:rPr>
          <w:rFonts w:ascii="Arial" w:eastAsia="Calibri" w:hAnsi="Arial" w:cs="Arial"/>
          <w:b/>
          <w:sz w:val="28"/>
          <w:szCs w:val="28"/>
          <w:lang w:val="es-ES"/>
        </w:rPr>
      </w:pPr>
    </w:p>
    <w:p w:rsidR="00246CE9" w:rsidRDefault="00246CE9" w:rsidP="006312E8">
      <w:pPr>
        <w:spacing w:after="0" w:line="240" w:lineRule="auto"/>
        <w:jc w:val="center"/>
        <w:rPr>
          <w:rFonts w:ascii="Arial" w:eastAsia="Calibri" w:hAnsi="Arial" w:cs="Arial"/>
          <w:b/>
          <w:sz w:val="28"/>
          <w:szCs w:val="28"/>
          <w:lang w:val="es-ES"/>
        </w:rPr>
      </w:pPr>
    </w:p>
    <w:p w:rsidR="00246CE9" w:rsidRDefault="00246CE9" w:rsidP="006312E8">
      <w:pPr>
        <w:spacing w:after="0" w:line="240" w:lineRule="auto"/>
        <w:jc w:val="center"/>
        <w:rPr>
          <w:rFonts w:ascii="Arial" w:eastAsia="Calibri" w:hAnsi="Arial" w:cs="Arial"/>
          <w:b/>
          <w:sz w:val="28"/>
          <w:szCs w:val="28"/>
          <w:lang w:val="es-ES"/>
        </w:rPr>
      </w:pPr>
    </w:p>
    <w:p w:rsidR="00246CE9" w:rsidRDefault="00246CE9" w:rsidP="006312E8">
      <w:pPr>
        <w:spacing w:after="0" w:line="240" w:lineRule="auto"/>
        <w:jc w:val="center"/>
        <w:rPr>
          <w:rFonts w:ascii="Arial" w:eastAsia="Calibri" w:hAnsi="Arial" w:cs="Arial"/>
          <w:b/>
          <w:sz w:val="28"/>
          <w:szCs w:val="28"/>
          <w:lang w:val="es-ES"/>
        </w:rPr>
      </w:pPr>
    </w:p>
    <w:p w:rsidR="00246CE9" w:rsidRDefault="00246CE9" w:rsidP="006312E8">
      <w:pPr>
        <w:spacing w:after="0" w:line="240" w:lineRule="auto"/>
        <w:jc w:val="center"/>
        <w:rPr>
          <w:rFonts w:ascii="Arial" w:eastAsia="Calibri" w:hAnsi="Arial" w:cs="Arial"/>
          <w:b/>
          <w:sz w:val="28"/>
          <w:szCs w:val="28"/>
          <w:lang w:val="es-ES"/>
        </w:rPr>
      </w:pPr>
    </w:p>
    <w:p w:rsidR="00246CE9" w:rsidRDefault="00246CE9" w:rsidP="006312E8">
      <w:pPr>
        <w:spacing w:after="0" w:line="240" w:lineRule="auto"/>
        <w:jc w:val="center"/>
        <w:rPr>
          <w:rFonts w:ascii="Arial" w:eastAsia="Calibri" w:hAnsi="Arial" w:cs="Arial"/>
          <w:b/>
          <w:sz w:val="28"/>
          <w:szCs w:val="28"/>
          <w:lang w:val="es-ES"/>
        </w:rPr>
      </w:pPr>
    </w:p>
    <w:p w:rsidR="00246CE9" w:rsidRDefault="00246CE9" w:rsidP="006312E8">
      <w:pPr>
        <w:spacing w:after="0" w:line="240" w:lineRule="auto"/>
        <w:jc w:val="center"/>
        <w:rPr>
          <w:rFonts w:ascii="Arial" w:eastAsia="Calibri" w:hAnsi="Arial" w:cs="Arial"/>
          <w:b/>
          <w:sz w:val="28"/>
          <w:szCs w:val="28"/>
          <w:lang w:val="es-ES"/>
        </w:rPr>
      </w:pPr>
    </w:p>
    <w:p w:rsidR="00246CE9" w:rsidRDefault="00246CE9" w:rsidP="006312E8">
      <w:pPr>
        <w:spacing w:after="0" w:line="240" w:lineRule="auto"/>
        <w:jc w:val="center"/>
        <w:rPr>
          <w:rFonts w:ascii="Arial" w:eastAsia="Calibri" w:hAnsi="Arial" w:cs="Arial"/>
          <w:b/>
          <w:sz w:val="28"/>
          <w:szCs w:val="28"/>
          <w:lang w:val="es-ES"/>
        </w:rPr>
      </w:pPr>
    </w:p>
    <w:p w:rsidR="00246CE9" w:rsidRDefault="00246CE9" w:rsidP="006312E8">
      <w:pPr>
        <w:spacing w:after="0" w:line="240" w:lineRule="auto"/>
        <w:jc w:val="center"/>
        <w:rPr>
          <w:rFonts w:ascii="Arial" w:eastAsia="Calibri" w:hAnsi="Arial" w:cs="Arial"/>
          <w:b/>
          <w:sz w:val="28"/>
          <w:szCs w:val="28"/>
          <w:lang w:val="es-ES"/>
        </w:rPr>
      </w:pPr>
    </w:p>
    <w:p w:rsidR="00246CE9" w:rsidRDefault="00246CE9" w:rsidP="006312E8">
      <w:pPr>
        <w:spacing w:after="0" w:line="240" w:lineRule="auto"/>
        <w:jc w:val="center"/>
        <w:rPr>
          <w:rFonts w:ascii="Arial" w:eastAsia="Calibri" w:hAnsi="Arial" w:cs="Arial"/>
          <w:b/>
          <w:sz w:val="28"/>
          <w:szCs w:val="28"/>
          <w:lang w:val="es-ES"/>
        </w:rPr>
      </w:pPr>
    </w:p>
    <w:p w:rsidR="00246CE9" w:rsidRDefault="00246CE9" w:rsidP="006312E8">
      <w:pPr>
        <w:spacing w:after="0" w:line="240" w:lineRule="auto"/>
        <w:jc w:val="center"/>
        <w:rPr>
          <w:rFonts w:ascii="Arial" w:eastAsia="Calibri" w:hAnsi="Arial" w:cs="Arial"/>
          <w:b/>
          <w:sz w:val="28"/>
          <w:szCs w:val="28"/>
          <w:lang w:val="es-ES"/>
        </w:rPr>
      </w:pPr>
    </w:p>
    <w:p w:rsidR="00246CE9" w:rsidRDefault="00246CE9" w:rsidP="006312E8">
      <w:pPr>
        <w:spacing w:after="0" w:line="240" w:lineRule="auto"/>
        <w:jc w:val="center"/>
        <w:rPr>
          <w:rFonts w:ascii="Arial" w:eastAsia="Calibri" w:hAnsi="Arial" w:cs="Arial"/>
          <w:b/>
          <w:sz w:val="28"/>
          <w:szCs w:val="28"/>
          <w:lang w:val="es-ES"/>
        </w:rPr>
      </w:pPr>
    </w:p>
    <w:p w:rsidR="00246CE9" w:rsidRDefault="00246CE9" w:rsidP="006312E8">
      <w:pPr>
        <w:spacing w:after="0" w:line="240" w:lineRule="auto"/>
        <w:jc w:val="center"/>
        <w:rPr>
          <w:rFonts w:ascii="Arial" w:eastAsia="Calibri" w:hAnsi="Arial" w:cs="Arial"/>
          <w:b/>
          <w:sz w:val="28"/>
          <w:szCs w:val="28"/>
          <w:lang w:val="es-ES"/>
        </w:rPr>
      </w:pPr>
    </w:p>
    <w:p w:rsidR="00246CE9" w:rsidRDefault="00246CE9" w:rsidP="006312E8">
      <w:pPr>
        <w:spacing w:after="0" w:line="240" w:lineRule="auto"/>
        <w:jc w:val="center"/>
        <w:rPr>
          <w:rFonts w:ascii="Arial" w:eastAsia="Calibri" w:hAnsi="Arial" w:cs="Arial"/>
          <w:b/>
          <w:sz w:val="28"/>
          <w:szCs w:val="28"/>
          <w:lang w:val="es-ES"/>
        </w:rPr>
      </w:pPr>
    </w:p>
    <w:p w:rsidR="00246CE9" w:rsidRDefault="00246CE9" w:rsidP="006312E8">
      <w:pPr>
        <w:spacing w:after="0" w:line="240" w:lineRule="auto"/>
        <w:jc w:val="center"/>
        <w:rPr>
          <w:rFonts w:ascii="Arial" w:eastAsia="Calibri" w:hAnsi="Arial" w:cs="Arial"/>
          <w:b/>
          <w:sz w:val="28"/>
          <w:szCs w:val="28"/>
          <w:lang w:val="es-ES"/>
        </w:rPr>
      </w:pPr>
    </w:p>
    <w:p w:rsidR="00246CE9" w:rsidRDefault="00246CE9" w:rsidP="006312E8">
      <w:pPr>
        <w:spacing w:after="0" w:line="240" w:lineRule="auto"/>
        <w:jc w:val="center"/>
        <w:rPr>
          <w:rFonts w:ascii="Arial" w:eastAsia="Calibri" w:hAnsi="Arial" w:cs="Arial"/>
          <w:b/>
          <w:sz w:val="28"/>
          <w:szCs w:val="28"/>
          <w:lang w:val="es-ES"/>
        </w:rPr>
      </w:pPr>
    </w:p>
    <w:p w:rsidR="00246CE9" w:rsidRDefault="00246CE9" w:rsidP="006312E8">
      <w:pPr>
        <w:spacing w:after="0" w:line="240" w:lineRule="auto"/>
        <w:jc w:val="center"/>
        <w:rPr>
          <w:rFonts w:ascii="Arial" w:eastAsia="Calibri" w:hAnsi="Arial" w:cs="Arial"/>
          <w:b/>
          <w:sz w:val="28"/>
          <w:szCs w:val="28"/>
          <w:lang w:val="es-ES"/>
        </w:rPr>
      </w:pPr>
    </w:p>
    <w:p w:rsidR="00246CE9" w:rsidRDefault="00246CE9" w:rsidP="006312E8">
      <w:pPr>
        <w:spacing w:after="0" w:line="240" w:lineRule="auto"/>
        <w:jc w:val="center"/>
        <w:rPr>
          <w:rFonts w:ascii="Arial" w:eastAsia="Calibri" w:hAnsi="Arial" w:cs="Arial"/>
          <w:b/>
          <w:sz w:val="28"/>
          <w:szCs w:val="28"/>
          <w:lang w:val="es-ES"/>
        </w:rPr>
      </w:pPr>
    </w:p>
    <w:p w:rsidR="00246CE9" w:rsidRDefault="00246CE9" w:rsidP="006312E8">
      <w:pPr>
        <w:spacing w:after="0" w:line="240" w:lineRule="auto"/>
        <w:jc w:val="center"/>
        <w:rPr>
          <w:rFonts w:ascii="Arial" w:eastAsia="Calibri" w:hAnsi="Arial" w:cs="Arial"/>
          <w:b/>
          <w:sz w:val="28"/>
          <w:szCs w:val="28"/>
          <w:lang w:val="es-ES"/>
        </w:rPr>
      </w:pPr>
    </w:p>
    <w:p w:rsidR="00246CE9" w:rsidRDefault="00246CE9" w:rsidP="006312E8">
      <w:pPr>
        <w:spacing w:after="0" w:line="240" w:lineRule="auto"/>
        <w:jc w:val="center"/>
        <w:rPr>
          <w:rFonts w:ascii="Arial" w:eastAsia="Calibri" w:hAnsi="Arial" w:cs="Arial"/>
          <w:b/>
          <w:sz w:val="28"/>
          <w:szCs w:val="28"/>
          <w:lang w:val="es-ES"/>
        </w:rPr>
      </w:pPr>
    </w:p>
    <w:p w:rsidR="00246CE9" w:rsidRDefault="00246CE9" w:rsidP="006312E8">
      <w:pPr>
        <w:spacing w:after="0" w:line="240" w:lineRule="auto"/>
        <w:jc w:val="center"/>
        <w:rPr>
          <w:rFonts w:ascii="Arial" w:eastAsia="Calibri" w:hAnsi="Arial" w:cs="Arial"/>
          <w:b/>
          <w:sz w:val="28"/>
          <w:szCs w:val="28"/>
          <w:lang w:val="es-ES"/>
        </w:rPr>
      </w:pPr>
    </w:p>
    <w:p w:rsidR="00246CE9" w:rsidRDefault="00246CE9" w:rsidP="006312E8">
      <w:pPr>
        <w:spacing w:after="0" w:line="240" w:lineRule="auto"/>
        <w:jc w:val="center"/>
        <w:rPr>
          <w:rFonts w:ascii="Arial" w:eastAsia="Calibri" w:hAnsi="Arial" w:cs="Arial"/>
          <w:b/>
          <w:sz w:val="28"/>
          <w:szCs w:val="28"/>
          <w:lang w:val="es-ES"/>
        </w:rPr>
      </w:pPr>
    </w:p>
    <w:p w:rsidR="00246CE9" w:rsidRDefault="00246CE9" w:rsidP="006312E8">
      <w:pPr>
        <w:spacing w:after="0" w:line="240" w:lineRule="auto"/>
        <w:jc w:val="center"/>
        <w:rPr>
          <w:rFonts w:ascii="Arial" w:eastAsia="Calibri" w:hAnsi="Arial" w:cs="Arial"/>
          <w:b/>
          <w:sz w:val="28"/>
          <w:szCs w:val="28"/>
          <w:lang w:val="es-ES"/>
        </w:rPr>
      </w:pPr>
    </w:p>
    <w:p w:rsidR="00246CE9" w:rsidRDefault="00246CE9" w:rsidP="006312E8">
      <w:pPr>
        <w:spacing w:after="0" w:line="240" w:lineRule="auto"/>
        <w:jc w:val="center"/>
        <w:rPr>
          <w:rFonts w:ascii="Arial" w:eastAsia="Calibri" w:hAnsi="Arial" w:cs="Arial"/>
          <w:b/>
          <w:sz w:val="28"/>
          <w:szCs w:val="28"/>
          <w:lang w:val="es-ES"/>
        </w:rPr>
      </w:pPr>
    </w:p>
    <w:p w:rsidR="00246CE9" w:rsidRDefault="00246CE9" w:rsidP="006312E8">
      <w:pPr>
        <w:spacing w:after="0" w:line="240" w:lineRule="auto"/>
        <w:jc w:val="center"/>
        <w:rPr>
          <w:rFonts w:ascii="Arial" w:eastAsia="Calibri" w:hAnsi="Arial" w:cs="Arial"/>
          <w:b/>
          <w:sz w:val="28"/>
          <w:szCs w:val="28"/>
          <w:lang w:val="es-ES"/>
        </w:rPr>
      </w:pPr>
    </w:p>
    <w:p w:rsidR="00246CE9" w:rsidRPr="006312E8" w:rsidRDefault="00246CE9" w:rsidP="006312E8">
      <w:pPr>
        <w:spacing w:after="0" w:line="240" w:lineRule="auto"/>
        <w:jc w:val="center"/>
        <w:rPr>
          <w:rFonts w:ascii="Arial" w:eastAsia="Calibri" w:hAnsi="Arial" w:cs="Arial"/>
          <w:b/>
          <w:sz w:val="28"/>
          <w:szCs w:val="28"/>
          <w:lang w:val="es-ES"/>
        </w:rPr>
      </w:pPr>
    </w:p>
    <w:p w:rsidR="006312E8" w:rsidRPr="006312E8" w:rsidRDefault="006312E8" w:rsidP="006312E8">
      <w:pPr>
        <w:spacing w:after="0" w:line="240" w:lineRule="auto"/>
        <w:jc w:val="center"/>
        <w:rPr>
          <w:rFonts w:ascii="Arial" w:eastAsia="Calibri" w:hAnsi="Arial" w:cs="Arial"/>
          <w:b/>
          <w:sz w:val="28"/>
          <w:szCs w:val="28"/>
          <w:lang w:val="es-ES"/>
        </w:rPr>
      </w:pPr>
    </w:p>
    <w:p w:rsidR="006312E8" w:rsidRPr="006312E8" w:rsidRDefault="006312E8" w:rsidP="00F47618">
      <w:pPr>
        <w:pStyle w:val="TITO2"/>
      </w:pPr>
      <w:bookmarkStart w:id="457" w:name="_Toc421025480"/>
      <w:bookmarkStart w:id="458" w:name="_Toc470855583"/>
      <w:r w:rsidRPr="006312E8">
        <w:t>DECRETO LEGISLATIVO Nº 1166</w:t>
      </w:r>
      <w:bookmarkEnd w:id="456"/>
      <w:bookmarkEnd w:id="457"/>
      <w:bookmarkEnd w:id="458"/>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 xml:space="preserve">(Extracto) </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Decreto Legislativo que aprueba la conformación y funcionamiento de las Redes Integradas de Atención Primaria de Salud</w:t>
      </w:r>
    </w:p>
    <w:p w:rsidR="006312E8" w:rsidRPr="006312E8" w:rsidRDefault="006312E8" w:rsidP="006312E8">
      <w:pPr>
        <w:spacing w:after="0" w:line="240" w:lineRule="auto"/>
        <w:ind w:left="720"/>
        <w:contextualSpacing/>
        <w:jc w:val="both"/>
        <w:rPr>
          <w:rFonts w:ascii="Arial" w:eastAsia="Calibri" w:hAnsi="Arial" w:cs="Arial"/>
          <w:lang w:val="es-ES"/>
        </w:rPr>
      </w:pPr>
    </w:p>
    <w:p w:rsidR="006312E8" w:rsidRPr="006312E8" w:rsidRDefault="006312E8" w:rsidP="006312E8">
      <w:pPr>
        <w:spacing w:after="0" w:line="240" w:lineRule="auto"/>
        <w:contextualSpacing/>
        <w:jc w:val="right"/>
        <w:rPr>
          <w:rFonts w:ascii="Arial" w:eastAsia="Calibri" w:hAnsi="Arial" w:cs="Arial"/>
          <w:b/>
          <w:lang w:val="es-ES"/>
        </w:rPr>
      </w:pPr>
      <w:r w:rsidRPr="006312E8">
        <w:rPr>
          <w:rFonts w:ascii="Arial" w:eastAsia="Calibri" w:hAnsi="Arial" w:cs="Arial"/>
          <w:b/>
          <w:lang w:val="es-ES"/>
        </w:rPr>
        <w:t>Fecha de publicación: 07-12-2013</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DISPOSICIONES COMPLEMENTARIAS FINALES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w:t>
      </w: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TERCERA.- Declárese de interés nacional la transferencia de bienes inmuebles que a la fecha están siendo ocupados por establecimientos de salud del Ministerio de Salud y de los Gobiernos Regionales.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Dispóngase que las entidades y organismos del Poder Ejecutivo transfieran a título gratuito a favor del Ministerio de Salud y de los Gobiernos Regionales, según corresponda, los inmuebles que a la fecha están siendo ocupados por establecimientos de salud a su cargo, exceptuándose dicha transferencia de lo dispuesto en las normas del Sistema de Bienes Estatales.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La identificación de los inmuebles a transferirse será establecida mediante Resolución del Ministerio de Salud o de los Gobiernos Regionales, según corresponda. La Superintendencia Nacional de Bienes Estatales efectuará todos los actos necesarios para efectivizar la transferencia. </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 Superintendencia Nacional de los Registros Públicos - SUNARP inscribirá directamente el dominio sobre los inmuebles antes referidos, a nombre del Ministerio de Salud y los Gobiernos Regionales, según corresponda a sola solicitud.</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Las opiniones, autorizaciones o estudios del Poder Ejecutivo, los gobiernos regionales o locales, sobre los requerimientos del Ministerio de Salud o de los Gobiernos Regionales, en el marco de la presente disposición, se emiten en un plazo no mayor de diez (10) días hábiles, sujeto a silencio administrativo positivo, excepto para la licencia de edificación, la misma que se sujeta a lo dispuesto en el literal g) del artículo 10 de la Ley Nº 29090, Ley de regulación de habilitaciones urbanas y de edificaciones, sin que resulte de aplicación los dos últimos párrafos del numeral 1 del artículo mencionado.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Lo dispuesto en los párrafos precedentes, se realizará sin perjuicio de lo dispuesto en la Ley del Procedimiento Administrativo General, en materia de control posterior.</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 implementación de lo dispuesto en la presente norma se financiará con cargo al presupuesto institucional del Ministerio de Salud y de los Gobiernos Regionales, según corresponda.</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POR TANTO: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Mando se publique y cumpla, dando cuenta al Congreso de la República.</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Dado en la Casa de Gobierno, en Lima, a los seis días del mes de diciembre del año dos mil trece.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OLLANTA HUMALA TASSO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b/>
      </w:r>
      <w:r w:rsidRPr="006312E8">
        <w:rPr>
          <w:rFonts w:ascii="Arial" w:eastAsia="Calibri" w:hAnsi="Arial" w:cs="Arial"/>
          <w:lang w:val="es-ES"/>
        </w:rPr>
        <w:t>Presidente Constitucional de la República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CÉSAR VILLANUEVA ARÉVALO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b/>
      </w:r>
      <w:r w:rsidRPr="006312E8">
        <w:rPr>
          <w:rFonts w:ascii="Arial" w:eastAsia="Calibri" w:hAnsi="Arial" w:cs="Arial"/>
          <w:lang w:val="es-ES"/>
        </w:rPr>
        <w:t>Presidente del Consejo de Ministros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PEDRO CATERIANO BELLIDO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b/>
      </w:r>
      <w:r w:rsidRPr="006312E8">
        <w:rPr>
          <w:rFonts w:ascii="Arial" w:eastAsia="Calibri" w:hAnsi="Arial" w:cs="Arial"/>
          <w:lang w:val="es-ES"/>
        </w:rPr>
        <w:t>Ministro de Defensa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246CE9">
      <w:pPr>
        <w:spacing w:after="0" w:line="240" w:lineRule="auto"/>
        <w:contextualSpacing/>
        <w:jc w:val="both"/>
        <w:rPr>
          <w:rFonts w:ascii="Arial" w:eastAsia="Calibri" w:hAnsi="Arial" w:cs="Arial"/>
          <w:lang w:val="es-ES"/>
        </w:rPr>
      </w:pPr>
      <w:r w:rsidRPr="006312E8">
        <w:rPr>
          <w:rFonts w:ascii="Arial" w:eastAsia="Calibri" w:hAnsi="Arial" w:cs="Arial"/>
          <w:lang w:val="es-ES"/>
        </w:rPr>
        <w:tab/>
      </w:r>
    </w:p>
    <w:p w:rsidR="006312E8" w:rsidRPr="006312E8" w:rsidRDefault="006312E8" w:rsidP="00F47618">
      <w:pPr>
        <w:pStyle w:val="TITO2"/>
      </w:pPr>
      <w:bookmarkStart w:id="459" w:name="_Toc470855584"/>
      <w:r w:rsidRPr="006312E8">
        <w:t>DECRETO LEGISLATIVO N° 1192</w:t>
      </w:r>
      <w:bookmarkEnd w:id="459"/>
    </w:p>
    <w:p w:rsidR="006312E8" w:rsidRPr="006312E8" w:rsidRDefault="006312E8" w:rsidP="006312E8">
      <w:pPr>
        <w:spacing w:after="0" w:line="240" w:lineRule="auto"/>
        <w:contextualSpacing/>
        <w:jc w:val="center"/>
        <w:rPr>
          <w:rFonts w:ascii="Arial" w:eastAsia="Calibri" w:hAnsi="Arial" w:cs="Arial"/>
          <w:lang w:val="es-ES"/>
        </w:rPr>
      </w:pPr>
      <w:r w:rsidRPr="006312E8">
        <w:rPr>
          <w:rFonts w:ascii="Arial" w:eastAsia="Calibri" w:hAnsi="Arial" w:cs="Arial"/>
          <w:b/>
          <w:lang w:val="es-ES"/>
        </w:rPr>
        <w:t>(Extracto)</w:t>
      </w:r>
    </w:p>
    <w:p w:rsidR="006312E8" w:rsidRPr="006312E8" w:rsidRDefault="006312E8" w:rsidP="006312E8">
      <w:pPr>
        <w:spacing w:after="0" w:line="240" w:lineRule="auto"/>
        <w:contextualSpacing/>
        <w:jc w:val="right"/>
        <w:rPr>
          <w:rFonts w:ascii="Arial" w:eastAsia="Calibri" w:hAnsi="Arial" w:cs="Arial"/>
          <w:b/>
          <w:lang w:val="es-ES"/>
        </w:rPr>
      </w:pPr>
    </w:p>
    <w:p w:rsidR="006312E8" w:rsidRPr="006312E8" w:rsidRDefault="006312E8" w:rsidP="006312E8">
      <w:pPr>
        <w:spacing w:after="0" w:line="240" w:lineRule="auto"/>
        <w:contextualSpacing/>
        <w:jc w:val="right"/>
        <w:rPr>
          <w:rFonts w:ascii="Arial" w:eastAsia="Calibri" w:hAnsi="Arial" w:cs="Arial"/>
          <w:b/>
          <w:lang w:val="es-ES"/>
        </w:rPr>
      </w:pPr>
      <w:r w:rsidRPr="006312E8">
        <w:rPr>
          <w:rFonts w:ascii="Arial" w:eastAsia="Calibri" w:hAnsi="Arial" w:cs="Arial"/>
          <w:b/>
          <w:lang w:val="es-ES"/>
        </w:rPr>
        <w:t>Fecha de publicación N° 23-08-2015</w:t>
      </w:r>
    </w:p>
    <w:p w:rsidR="006312E8" w:rsidRPr="006312E8" w:rsidRDefault="006312E8" w:rsidP="006312E8">
      <w:pPr>
        <w:spacing w:after="0" w:line="240" w:lineRule="auto"/>
        <w:contextualSpacing/>
        <w:jc w:val="right"/>
        <w:rPr>
          <w:rFonts w:ascii="Arial" w:eastAsia="Calibri" w:hAnsi="Arial" w:cs="Arial"/>
          <w:b/>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DECRETO LEGISLATIVO QUE APRUEBA LA LEY MARCO DE ADQUISICIÓN Y EXPROPIACIÓN DE INMUEBLES, TRANSFERENCIA DE INMUEBLES DE PROPIEDAD DEL ESTADO, LIBERACIÓN DE INTERFERENCIAS Y DICTA OTRAS MEDIDAS PARA LA EJECUCIÓN DE OBRAS DE INFRAESTRUCTURA</w:t>
      </w:r>
    </w:p>
    <w:p w:rsidR="006312E8" w:rsidRPr="006312E8" w:rsidRDefault="006312E8" w:rsidP="006312E8">
      <w:pPr>
        <w:spacing w:after="200" w:line="276" w:lineRule="auto"/>
        <w:rPr>
          <w:rFonts w:ascii="Calibri" w:eastAsia="Calibri" w:hAnsi="Calibri" w:cs="Times New Roman"/>
          <w:lang w:val="es-ES"/>
        </w:rPr>
      </w:pPr>
      <w:r w:rsidRPr="006312E8">
        <w:rPr>
          <w:rFonts w:ascii="Calibri" w:eastAsia="Calibri" w:hAnsi="Calibri" w:cs="Times New Roman"/>
          <w:lang w:val="es-ES"/>
        </w:rPr>
        <w:t>“(…)</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TÍTULO VI</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DE LA TRANSFERENCIA DE INMUEBLES DE PROPIEDAD DEL ESTADO</w:t>
      </w:r>
    </w:p>
    <w:p w:rsidR="006312E8" w:rsidRPr="006312E8" w:rsidRDefault="006312E8" w:rsidP="006312E8">
      <w:pPr>
        <w:spacing w:after="0" w:line="240" w:lineRule="auto"/>
        <w:rPr>
          <w:rFonts w:ascii="Arial" w:eastAsia="Calibri" w:hAnsi="Arial" w:cs="Arial"/>
          <w:lang w:val="es-ES"/>
        </w:rPr>
      </w:pPr>
    </w:p>
    <w:p w:rsidR="006312E8" w:rsidRPr="006312E8" w:rsidRDefault="006312E8" w:rsidP="006312E8">
      <w:pPr>
        <w:spacing w:after="0" w:line="240" w:lineRule="auto"/>
        <w:rPr>
          <w:rFonts w:ascii="Arial" w:eastAsia="Calibri" w:hAnsi="Arial" w:cs="Arial"/>
          <w:b/>
          <w:lang w:val="es-ES"/>
        </w:rPr>
      </w:pPr>
      <w:r w:rsidRPr="006312E8">
        <w:rPr>
          <w:rFonts w:ascii="Arial" w:eastAsia="Calibri" w:hAnsi="Arial" w:cs="Arial"/>
          <w:b/>
          <w:lang w:val="es-ES"/>
        </w:rPr>
        <w:t>Artículo 41.- Transferencia de inmuebles de propiedad del Estado</w:t>
      </w:r>
    </w:p>
    <w:p w:rsidR="006312E8" w:rsidRPr="006312E8" w:rsidRDefault="006312E8" w:rsidP="006312E8">
      <w:pPr>
        <w:spacing w:after="0" w:line="240" w:lineRule="auto"/>
        <w:rPr>
          <w:rFonts w:ascii="Arial" w:eastAsia="Calibri" w:hAnsi="Arial" w:cs="Arial"/>
          <w:lang w:val="es-ES"/>
        </w:rPr>
      </w:pPr>
    </w:p>
    <w:p w:rsidR="006312E8" w:rsidRPr="006312E8" w:rsidRDefault="006312E8" w:rsidP="006312E8">
      <w:pPr>
        <w:spacing w:after="0" w:line="240" w:lineRule="auto"/>
        <w:ind w:left="709" w:hanging="567"/>
        <w:jc w:val="both"/>
        <w:rPr>
          <w:rFonts w:ascii="Arial" w:eastAsia="Calibri" w:hAnsi="Arial" w:cs="Arial"/>
          <w:lang w:val="es-ES"/>
        </w:rPr>
      </w:pPr>
      <w:r w:rsidRPr="006312E8">
        <w:rPr>
          <w:rFonts w:ascii="Arial" w:eastAsia="Calibri" w:hAnsi="Arial" w:cs="Arial"/>
          <w:lang w:val="es-ES"/>
        </w:rPr>
        <w:t xml:space="preserve">41.1 </w:t>
      </w:r>
      <w:r w:rsidRPr="006312E8">
        <w:rPr>
          <w:rFonts w:ascii="Arial" w:eastAsia="Calibri" w:hAnsi="Arial" w:cs="Arial"/>
          <w:lang w:val="es-ES"/>
        </w:rPr>
        <w:tab/>
        <w:t>Para la aplicación del presente Decreto Legislativo, los predios y/o edificaciones de propiedad estatal y de las empresas del Estado, requeridos para la ejecución de Obras de Infraestructura declaradas de necesidad pública, interés nacional, seguridad nacional y/o de gran envergadura, son transferidos a título gratuito y automáticamente al sector, gobierno regional o gobierno local o titular del proyecto al cual pertenece el proyecto, en la oportunidad que estos lo señalan y por el solo mérito de la resolución administrativa que emita la Superintendencia Nacional de Bienes Estatales (SBN), en un plazo máximo de cuarenta y cinco días hábiles contados desde la fecha de presentación de la solicitud. Esta resolución es irrecurrible en vía administrativa o judicial.</w:t>
      </w:r>
    </w:p>
    <w:p w:rsidR="006312E8" w:rsidRPr="006312E8" w:rsidRDefault="006312E8" w:rsidP="006312E8">
      <w:pPr>
        <w:spacing w:after="0" w:line="240" w:lineRule="auto"/>
        <w:ind w:left="709" w:hanging="567"/>
        <w:jc w:val="both"/>
        <w:rPr>
          <w:rFonts w:ascii="Arial" w:eastAsia="Calibri" w:hAnsi="Arial" w:cs="Arial"/>
          <w:lang w:val="es-ES"/>
        </w:rPr>
      </w:pPr>
    </w:p>
    <w:p w:rsidR="006312E8" w:rsidRPr="006312E8" w:rsidRDefault="006312E8" w:rsidP="006312E8">
      <w:pPr>
        <w:spacing w:after="0" w:line="240" w:lineRule="auto"/>
        <w:ind w:left="709" w:hanging="567"/>
        <w:jc w:val="both"/>
        <w:rPr>
          <w:rFonts w:ascii="Arial" w:eastAsia="Calibri" w:hAnsi="Arial" w:cs="Arial"/>
          <w:lang w:val="es-ES"/>
        </w:rPr>
      </w:pPr>
      <w:r w:rsidRPr="006312E8">
        <w:rPr>
          <w:rFonts w:ascii="Arial" w:eastAsia="Calibri" w:hAnsi="Arial" w:cs="Arial"/>
          <w:lang w:val="es-ES"/>
        </w:rPr>
        <w:t xml:space="preserve">41.2 </w:t>
      </w:r>
      <w:r w:rsidRPr="006312E8">
        <w:rPr>
          <w:rFonts w:ascii="Arial" w:eastAsia="Calibri" w:hAnsi="Arial" w:cs="Arial"/>
          <w:lang w:val="es-ES"/>
        </w:rPr>
        <w:tab/>
        <w:t>Con el solo ingreso del pedido de transferencia por parte del sector, gobierno regional o gobierno local, y en un máximo de dos días hábiles, la SBN debe solicitar la anotación preventiva del inicio de procedimiento de transferencia del inmueble en la partida registral correspondiente. El registrador inscribirá dicha anotación preventiva con el solo mérito de la solicitud efectuada, bajo responsabilidad.</w:t>
      </w:r>
    </w:p>
    <w:p w:rsidR="006312E8" w:rsidRPr="006312E8" w:rsidRDefault="006312E8" w:rsidP="006312E8">
      <w:pPr>
        <w:spacing w:after="0" w:line="240" w:lineRule="auto"/>
        <w:ind w:left="709" w:hanging="567"/>
        <w:jc w:val="both"/>
        <w:rPr>
          <w:rFonts w:ascii="Arial" w:eastAsia="Calibri" w:hAnsi="Arial" w:cs="Arial"/>
          <w:lang w:val="es-ES"/>
        </w:rPr>
      </w:pPr>
    </w:p>
    <w:p w:rsidR="006312E8" w:rsidRDefault="006312E8" w:rsidP="006312E8">
      <w:pPr>
        <w:spacing w:after="0" w:line="240" w:lineRule="auto"/>
        <w:ind w:left="709" w:hanging="567"/>
        <w:jc w:val="both"/>
        <w:rPr>
          <w:rFonts w:ascii="Arial" w:eastAsia="Calibri" w:hAnsi="Arial" w:cs="Arial"/>
          <w:lang w:val="es-ES"/>
        </w:rPr>
      </w:pPr>
      <w:r w:rsidRPr="006312E8">
        <w:rPr>
          <w:rFonts w:ascii="Arial" w:eastAsia="Calibri" w:hAnsi="Arial" w:cs="Arial"/>
          <w:lang w:val="es-ES"/>
        </w:rPr>
        <w:t xml:space="preserve">41.3 </w:t>
      </w:r>
      <w:r w:rsidRPr="006312E8">
        <w:rPr>
          <w:rFonts w:ascii="Arial" w:eastAsia="Calibri" w:hAnsi="Arial" w:cs="Arial"/>
          <w:lang w:val="es-ES"/>
        </w:rPr>
        <w:tab/>
        <w:t>La Sunarp queda obligada a registrar, libre del pago de derechos, los inmuebles y/o edificaciones a nombre del sector, gobierno regional o gobierno local al cual pertenece el proyecto con la sola presentación de la solicitud correspondiente acompañada de la resolución de la SB</w:t>
      </w:r>
      <w:r w:rsidR="006620AD">
        <w:rPr>
          <w:rFonts w:ascii="Arial" w:eastAsia="Calibri" w:hAnsi="Arial" w:cs="Arial"/>
          <w:lang w:val="es-ES"/>
        </w:rPr>
        <w:t>N a que se refiere el numeral 41</w:t>
      </w:r>
      <w:r w:rsidRPr="006312E8">
        <w:rPr>
          <w:rFonts w:ascii="Arial" w:eastAsia="Calibri" w:hAnsi="Arial" w:cs="Arial"/>
          <w:lang w:val="es-ES"/>
        </w:rPr>
        <w:t>.1, y, de ser el caso, de los planos necesarios para el acto que se solicita inscribir</w:t>
      </w:r>
      <w:r w:rsidR="006620AD">
        <w:rPr>
          <w:rFonts w:ascii="Arial" w:eastAsia="Calibri" w:hAnsi="Arial" w:cs="Arial"/>
          <w:lang w:val="es-ES"/>
        </w:rPr>
        <w:t xml:space="preserve"> (*)</w:t>
      </w:r>
      <w:r w:rsidRPr="006312E8">
        <w:rPr>
          <w:rFonts w:ascii="Arial" w:eastAsia="Calibri" w:hAnsi="Arial" w:cs="Arial"/>
          <w:lang w:val="es-ES"/>
        </w:rPr>
        <w:t>.</w:t>
      </w:r>
    </w:p>
    <w:p w:rsidR="006620AD" w:rsidRPr="006620AD" w:rsidRDefault="006620AD" w:rsidP="006312E8">
      <w:pPr>
        <w:spacing w:after="0" w:line="240" w:lineRule="auto"/>
        <w:ind w:left="709" w:hanging="567"/>
        <w:jc w:val="both"/>
        <w:rPr>
          <w:rFonts w:ascii="Arial" w:eastAsia="Calibri" w:hAnsi="Arial" w:cs="Arial"/>
          <w:b/>
          <w:sz w:val="16"/>
          <w:szCs w:val="16"/>
          <w:lang w:val="es-ES"/>
        </w:rPr>
      </w:pPr>
      <w:r>
        <w:rPr>
          <w:rFonts w:ascii="Arial" w:eastAsia="Calibri" w:hAnsi="Arial" w:cs="Arial"/>
          <w:lang w:val="es-ES"/>
        </w:rPr>
        <w:tab/>
      </w:r>
      <w:r w:rsidRPr="006620AD">
        <w:rPr>
          <w:rFonts w:ascii="Arial" w:eastAsia="Calibri" w:hAnsi="Arial" w:cs="Arial"/>
          <w:color w:val="FF0000"/>
          <w:sz w:val="16"/>
          <w:szCs w:val="16"/>
          <w:lang w:val="es-ES"/>
        </w:rPr>
        <w:t>(*)</w:t>
      </w:r>
      <w:r>
        <w:rPr>
          <w:rFonts w:ascii="Arial" w:eastAsia="Calibri" w:hAnsi="Arial" w:cs="Arial"/>
          <w:lang w:val="es-ES"/>
        </w:rPr>
        <w:t xml:space="preserve"> </w:t>
      </w:r>
      <w:r w:rsidRPr="006620AD">
        <w:rPr>
          <w:rFonts w:ascii="Arial" w:eastAsia="Calibri" w:hAnsi="Arial" w:cs="Arial"/>
          <w:b/>
          <w:color w:val="FF0000"/>
          <w:sz w:val="16"/>
          <w:szCs w:val="16"/>
          <w:lang w:val="es-ES"/>
        </w:rPr>
        <w:t>Rectificado por Fe de Erratas, publicada el 27-08-2015</w:t>
      </w:r>
    </w:p>
    <w:p w:rsidR="006312E8" w:rsidRPr="006312E8" w:rsidRDefault="006312E8" w:rsidP="006312E8">
      <w:pPr>
        <w:spacing w:after="0" w:line="240" w:lineRule="auto"/>
        <w:ind w:left="709" w:hanging="567"/>
        <w:jc w:val="both"/>
        <w:rPr>
          <w:rFonts w:ascii="Arial" w:eastAsia="Calibri" w:hAnsi="Arial" w:cs="Arial"/>
          <w:lang w:val="es-ES"/>
        </w:rPr>
      </w:pPr>
    </w:p>
    <w:p w:rsidR="006312E8" w:rsidRPr="006312E8" w:rsidRDefault="006312E8" w:rsidP="006312E8">
      <w:pPr>
        <w:spacing w:after="0" w:line="240" w:lineRule="auto"/>
        <w:ind w:left="709" w:hanging="567"/>
        <w:jc w:val="both"/>
        <w:rPr>
          <w:rFonts w:ascii="Arial" w:eastAsia="Calibri" w:hAnsi="Arial" w:cs="Arial"/>
          <w:lang w:val="es-ES"/>
        </w:rPr>
      </w:pPr>
      <w:r w:rsidRPr="006312E8">
        <w:rPr>
          <w:rFonts w:ascii="Arial" w:eastAsia="Calibri" w:hAnsi="Arial" w:cs="Arial"/>
          <w:lang w:val="es-ES"/>
        </w:rPr>
        <w:t xml:space="preserve">41.4 </w:t>
      </w:r>
      <w:r w:rsidRPr="006312E8">
        <w:rPr>
          <w:rFonts w:ascii="Arial" w:eastAsia="Calibri" w:hAnsi="Arial" w:cs="Arial"/>
          <w:lang w:val="es-ES"/>
        </w:rPr>
        <w:tab/>
        <w:t>Cuando existan cargas y gravámenes sobre el bien inmueble y/o edificación, la entidad o empresa estatal titular del inmueble o titular del proyecto, debe solicitar ante el Juez la sustitución de la carga y gravamen, ofreciendo una garantía a resultas de lo que decida finalmente el Poder Judicial. La sustitución de la carga y gravamen debe ser valorada por el Juez.</w:t>
      </w:r>
    </w:p>
    <w:p w:rsidR="006312E8" w:rsidRPr="006312E8" w:rsidRDefault="006312E8" w:rsidP="006312E8">
      <w:pPr>
        <w:spacing w:after="0" w:line="240" w:lineRule="auto"/>
        <w:ind w:left="709" w:hanging="567"/>
        <w:jc w:val="both"/>
        <w:rPr>
          <w:rFonts w:ascii="Arial" w:eastAsia="Calibri" w:hAnsi="Arial" w:cs="Arial"/>
          <w:lang w:val="es-ES"/>
        </w:rPr>
      </w:pPr>
    </w:p>
    <w:p w:rsidR="006312E8" w:rsidRPr="006312E8" w:rsidRDefault="006312E8" w:rsidP="006312E8">
      <w:pPr>
        <w:spacing w:after="0" w:line="240" w:lineRule="auto"/>
        <w:ind w:left="709" w:hanging="567"/>
        <w:jc w:val="both"/>
        <w:rPr>
          <w:rFonts w:ascii="Arial" w:eastAsia="Calibri" w:hAnsi="Arial" w:cs="Arial"/>
          <w:lang w:val="es-ES"/>
        </w:rPr>
      </w:pPr>
      <w:r w:rsidRPr="006312E8">
        <w:rPr>
          <w:rFonts w:ascii="Arial" w:eastAsia="Calibri" w:hAnsi="Arial" w:cs="Arial"/>
          <w:lang w:val="es-ES"/>
        </w:rPr>
        <w:t xml:space="preserve">41.5 </w:t>
      </w:r>
      <w:r w:rsidRPr="006312E8">
        <w:rPr>
          <w:rFonts w:ascii="Arial" w:eastAsia="Calibri" w:hAnsi="Arial" w:cs="Arial"/>
          <w:lang w:val="es-ES"/>
        </w:rPr>
        <w:tab/>
        <w:t>La entidad o empresa estatal ocupante de los predios y/o edificaciones requeridos para la ejecución de Obras de Infraestructura declaradas de necesidad pública, interés nacional, seguridad nacional y/o de gran envergadura, tiene un plazo de treinta días hábiles, contados desde la notificación de la resolución de la SBN, para desocupar y entregar la posesión de los citados inmuebles, a favor del sector, gobierno regional o gobierno local al cual pertenece el proyecto. Dicho plazo puede ser prorrogado por acuerdo expreso entre el sector, gobierno regional o gobierno local y la entidad o empresa estatal.</w:t>
      </w:r>
    </w:p>
    <w:p w:rsidR="006312E8" w:rsidRPr="006312E8" w:rsidRDefault="006312E8" w:rsidP="006312E8">
      <w:pPr>
        <w:spacing w:after="0" w:line="240" w:lineRule="auto"/>
        <w:ind w:left="709" w:hanging="567"/>
        <w:jc w:val="both"/>
        <w:rPr>
          <w:rFonts w:ascii="Arial" w:eastAsia="Calibri" w:hAnsi="Arial" w:cs="Arial"/>
          <w:lang w:val="es-ES"/>
        </w:rPr>
      </w:pPr>
    </w:p>
    <w:p w:rsidR="006312E8" w:rsidRPr="006312E8" w:rsidRDefault="006312E8" w:rsidP="006312E8">
      <w:pPr>
        <w:spacing w:after="0" w:line="240" w:lineRule="auto"/>
        <w:ind w:left="709" w:hanging="567"/>
        <w:jc w:val="both"/>
        <w:rPr>
          <w:rFonts w:ascii="Arial" w:eastAsia="Calibri" w:hAnsi="Arial" w:cs="Arial"/>
          <w:lang w:val="es-ES"/>
        </w:rPr>
      </w:pPr>
      <w:r w:rsidRPr="006312E8">
        <w:rPr>
          <w:rFonts w:ascii="Arial" w:eastAsia="Calibri" w:hAnsi="Arial" w:cs="Arial"/>
          <w:lang w:val="es-ES"/>
        </w:rPr>
        <w:t xml:space="preserve">41.6 </w:t>
      </w:r>
      <w:r w:rsidRPr="006312E8">
        <w:rPr>
          <w:rFonts w:ascii="Arial" w:eastAsia="Calibri" w:hAnsi="Arial" w:cs="Arial"/>
          <w:lang w:val="es-ES"/>
        </w:rPr>
        <w:tab/>
        <w:t>En caso que la entidad estatal, empresa estatal o tercero incumpla con entregar el inmueble, dentro del plazo señalado en el numeral precedente, el ejecutor coactivo inicia el procedimiento de ejecución coactiva. Si la entidad estatal ocupante de los predios y/o edificaciones requeridos para la ejecución de Obras de Infraestructura declaradas de necesidad pública, interés  nacional, seguridad nacional y/o de gran envergadura y demás casos de necesidad pública o seguridad nacional se mantiene renuente a entregar el bien inmueble materia de la transferencia, el ejecutor coactivo ordena la ejecución del lanzamiento, contra todos los ocupantes y bienes que se encuentren en el predio materia de transferencia, solicitando el descerraje, de ser necesario. Para tales efectos el ejecutor coactivo solicita el apoyo de las autoridades policiales o administrativas y municipales de la Jurisdicción, quienes prestan, sin costo alguno, su apoyo inmediato, bajo sanción de destitución, de conformidad con la Cuarta Disposición Complementaria y Transitoria del Texto Único Ordenado de la Ley Nº 26979 - Ley del Procedimiento de Ejecución Coactiva aprobado por Decreto Supremo Nº 018-2008-JUS</w:t>
      </w:r>
    </w:p>
    <w:p w:rsidR="006312E8" w:rsidRPr="006312E8" w:rsidRDefault="006312E8" w:rsidP="006312E8">
      <w:pPr>
        <w:spacing w:after="0" w:line="240" w:lineRule="auto"/>
        <w:ind w:left="709" w:hanging="567"/>
        <w:jc w:val="both"/>
        <w:rPr>
          <w:rFonts w:ascii="Arial" w:eastAsia="Calibri" w:hAnsi="Arial" w:cs="Arial"/>
          <w:lang w:val="es-ES"/>
        </w:rPr>
      </w:pPr>
    </w:p>
    <w:p w:rsidR="006312E8" w:rsidRPr="006312E8" w:rsidRDefault="006312E8" w:rsidP="006312E8">
      <w:pPr>
        <w:spacing w:after="0" w:line="240" w:lineRule="auto"/>
        <w:ind w:left="709" w:hanging="567"/>
        <w:jc w:val="both"/>
        <w:rPr>
          <w:rFonts w:ascii="Arial" w:eastAsia="Calibri" w:hAnsi="Arial" w:cs="Arial"/>
          <w:lang w:val="es-ES"/>
        </w:rPr>
      </w:pPr>
      <w:r w:rsidRPr="006312E8">
        <w:rPr>
          <w:rFonts w:ascii="Arial" w:eastAsia="Calibri" w:hAnsi="Arial" w:cs="Arial"/>
          <w:lang w:val="es-ES"/>
        </w:rPr>
        <w:t xml:space="preserve">41.7 </w:t>
      </w:r>
      <w:r w:rsidRPr="006312E8">
        <w:rPr>
          <w:rFonts w:ascii="Arial" w:eastAsia="Calibri" w:hAnsi="Arial" w:cs="Arial"/>
          <w:lang w:val="es-ES"/>
        </w:rPr>
        <w:tab/>
        <w:t>Para el inicio del procedimiento de ejecución coactiva, el ejecutor coactivo debe considerar la obligación exigible coactivamente a la establecida en acto administrativo que ordena a la entidad estatal la entrega del bien inmueble materia de la transferencia, emitido posteriormente a la resolución de la SBN, debidamente notificado, y que sea objeto o no de alguna impugnación en la vía administrativa o judicial. No resulta aplicable en lo que corresponda el numeral 9.1 del artículo 9, el numeral 14.2 del artículo 14, el numeral 15.2 del artículo 15 y el literal c) del artículo 22 del Texto Único Ordenado de la Ley 26979, Ley de Procedimiento de Ejecución Coactiva, aprobado por el Decreto Supremo 018-2008-JUS.</w:t>
      </w:r>
    </w:p>
    <w:p w:rsidR="006312E8" w:rsidRPr="006312E8" w:rsidRDefault="006312E8" w:rsidP="006312E8">
      <w:pPr>
        <w:spacing w:after="0" w:line="240" w:lineRule="auto"/>
        <w:ind w:left="709" w:hanging="567"/>
        <w:jc w:val="both"/>
        <w:rPr>
          <w:rFonts w:ascii="Arial" w:eastAsia="Calibri" w:hAnsi="Arial" w:cs="Arial"/>
          <w:lang w:val="es-ES"/>
        </w:rPr>
      </w:pPr>
    </w:p>
    <w:p w:rsidR="006312E8" w:rsidRPr="006312E8" w:rsidRDefault="006312E8" w:rsidP="006312E8">
      <w:pPr>
        <w:spacing w:after="0" w:line="240" w:lineRule="auto"/>
        <w:ind w:left="709" w:hanging="567"/>
        <w:jc w:val="both"/>
        <w:rPr>
          <w:rFonts w:ascii="Arial" w:eastAsia="Calibri" w:hAnsi="Arial" w:cs="Arial"/>
          <w:lang w:val="es-ES"/>
        </w:rPr>
      </w:pPr>
      <w:r w:rsidRPr="006312E8">
        <w:rPr>
          <w:rFonts w:ascii="Arial" w:eastAsia="Calibri" w:hAnsi="Arial" w:cs="Arial"/>
          <w:lang w:val="es-ES"/>
        </w:rPr>
        <w:t xml:space="preserve">41.8 </w:t>
      </w:r>
      <w:r w:rsidRPr="006312E8">
        <w:rPr>
          <w:rFonts w:ascii="Arial" w:eastAsia="Calibri" w:hAnsi="Arial" w:cs="Arial"/>
          <w:lang w:val="es-ES"/>
        </w:rPr>
        <w:tab/>
        <w:t>Debe considerarse que conforme a lo señalado en la Ley 29618, Ley que establece la presunción de que el Estado es poseedor de los inmuebles de su propiedad y declara imprescriptibles los inmuebles de dominio privado estatal, los inmuebles de dominio privado estatal son imprescriptibles, por lo que es improcedente la presentación de cualquier acción privada, destinada a evitar la transferencia de la propiedad entre entidades del Estado regulada en la presente Ley. Sin perjuicio de ello, esta medida no es aplicable a los predios en propiedad, en posesión o en uso tradicional de las comunidades campesinas y nativas, las cuales se rigen por las leyes de la materia.</w:t>
      </w:r>
    </w:p>
    <w:p w:rsidR="006312E8" w:rsidRPr="006312E8" w:rsidRDefault="006312E8" w:rsidP="006312E8">
      <w:pPr>
        <w:spacing w:after="0" w:line="240" w:lineRule="auto"/>
        <w:ind w:left="709" w:hanging="567"/>
        <w:jc w:val="both"/>
        <w:rPr>
          <w:rFonts w:ascii="Arial" w:eastAsia="Calibri" w:hAnsi="Arial" w:cs="Arial"/>
          <w:lang w:val="es-ES"/>
        </w:rPr>
      </w:pPr>
    </w:p>
    <w:p w:rsidR="006312E8" w:rsidRPr="006312E8" w:rsidRDefault="006312E8" w:rsidP="006312E8">
      <w:pPr>
        <w:spacing w:after="0" w:line="240" w:lineRule="auto"/>
        <w:ind w:left="709" w:hanging="567"/>
        <w:jc w:val="both"/>
        <w:rPr>
          <w:rFonts w:ascii="Arial" w:eastAsia="Calibri" w:hAnsi="Arial" w:cs="Arial"/>
          <w:lang w:val="es-ES"/>
        </w:rPr>
      </w:pPr>
      <w:r w:rsidRPr="006312E8">
        <w:rPr>
          <w:rFonts w:ascii="Arial" w:eastAsia="Calibri" w:hAnsi="Arial" w:cs="Arial"/>
          <w:lang w:val="es-ES"/>
        </w:rPr>
        <w:t xml:space="preserve">41.9 </w:t>
      </w:r>
      <w:r w:rsidRPr="006312E8">
        <w:rPr>
          <w:rFonts w:ascii="Arial" w:eastAsia="Calibri" w:hAnsi="Arial" w:cs="Arial"/>
          <w:lang w:val="es-ES"/>
        </w:rPr>
        <w:tab/>
        <w:t>El Beneficiario puede acordar con la entidad o empresa ocupante del predio, el reconocimiento de los gastos de traslados y mejoras en la superficie.</w:t>
      </w:r>
    </w:p>
    <w:p w:rsidR="006312E8" w:rsidRPr="006312E8" w:rsidRDefault="006312E8" w:rsidP="006312E8">
      <w:pPr>
        <w:spacing w:after="0" w:line="240" w:lineRule="auto"/>
        <w:ind w:left="709" w:hanging="567"/>
        <w:jc w:val="both"/>
        <w:rPr>
          <w:rFonts w:ascii="Arial" w:eastAsia="Calibri" w:hAnsi="Arial" w:cs="Arial"/>
          <w:lang w:val="es-ES"/>
        </w:rPr>
      </w:pPr>
    </w:p>
    <w:p w:rsidR="006312E8" w:rsidRPr="006312E8" w:rsidRDefault="006312E8" w:rsidP="006312E8">
      <w:pPr>
        <w:spacing w:after="0" w:line="240" w:lineRule="auto"/>
        <w:ind w:left="709" w:hanging="567"/>
        <w:jc w:val="both"/>
        <w:rPr>
          <w:rFonts w:ascii="Arial" w:eastAsia="Calibri" w:hAnsi="Arial" w:cs="Arial"/>
          <w:lang w:val="es-ES"/>
        </w:rPr>
      </w:pPr>
      <w:r w:rsidRPr="006312E8">
        <w:rPr>
          <w:rFonts w:ascii="Arial" w:eastAsia="Calibri" w:hAnsi="Arial" w:cs="Arial"/>
          <w:lang w:val="es-ES"/>
        </w:rPr>
        <w:t>41.10</w:t>
      </w:r>
      <w:r w:rsidRPr="006312E8">
        <w:rPr>
          <w:rFonts w:ascii="Arial" w:eastAsia="Calibri" w:hAnsi="Arial" w:cs="Arial"/>
          <w:lang w:val="es-ES"/>
        </w:rPr>
        <w:tab/>
        <w:t xml:space="preserve"> En los procesos judiciales en donde existan conflictos que involucren bienes de propiedad estatal o actos de disposición que recaigan sobre estos, es obligación de la autoridad jurisdiccional respectiva, solicitar la opinión de la SBN de manera previa a la emisión de la sentencia o medida cautelar respectiva.</w:t>
      </w:r>
    </w:p>
    <w:p w:rsidR="006312E8" w:rsidRPr="006312E8" w:rsidRDefault="006312E8" w:rsidP="006312E8">
      <w:pPr>
        <w:spacing w:after="0" w:line="240" w:lineRule="auto"/>
        <w:ind w:left="709" w:hanging="567"/>
        <w:jc w:val="both"/>
        <w:rPr>
          <w:rFonts w:ascii="Arial" w:eastAsia="Calibri" w:hAnsi="Arial" w:cs="Arial"/>
          <w:lang w:val="es-ES"/>
        </w:rPr>
      </w:pPr>
    </w:p>
    <w:p w:rsidR="006312E8" w:rsidRPr="006312E8" w:rsidRDefault="006312E8" w:rsidP="006312E8">
      <w:pPr>
        <w:spacing w:after="0" w:line="240" w:lineRule="auto"/>
        <w:ind w:left="709" w:hanging="1"/>
        <w:jc w:val="both"/>
        <w:rPr>
          <w:rFonts w:ascii="Arial" w:eastAsia="Calibri" w:hAnsi="Arial" w:cs="Arial"/>
          <w:lang w:val="es-ES"/>
        </w:rPr>
      </w:pPr>
      <w:r w:rsidRPr="006312E8">
        <w:rPr>
          <w:rFonts w:ascii="Arial" w:eastAsia="Calibri" w:hAnsi="Arial" w:cs="Arial"/>
          <w:lang w:val="es-ES"/>
        </w:rPr>
        <w:t>Mediante el informe de la SBN se brinda información registral actualizada sobre el estado de los predios materia de litigio y el uso de éstos, así como cualquier información técnica adicional relevante para la resolución de la disputa.</w:t>
      </w:r>
    </w:p>
    <w:p w:rsidR="006312E8" w:rsidRPr="006312E8" w:rsidRDefault="006312E8" w:rsidP="006312E8">
      <w:pPr>
        <w:spacing w:after="0" w:line="240" w:lineRule="auto"/>
        <w:ind w:left="709" w:hanging="567"/>
        <w:jc w:val="both"/>
        <w:rPr>
          <w:rFonts w:ascii="Arial" w:eastAsia="Calibri" w:hAnsi="Arial" w:cs="Arial"/>
          <w:lang w:val="es-ES"/>
        </w:rPr>
      </w:pPr>
    </w:p>
    <w:p w:rsidR="006312E8" w:rsidRPr="006312E8" w:rsidRDefault="006312E8" w:rsidP="006312E8">
      <w:pPr>
        <w:spacing w:after="0" w:line="240" w:lineRule="auto"/>
        <w:ind w:left="709" w:hanging="1"/>
        <w:jc w:val="both"/>
        <w:rPr>
          <w:rFonts w:ascii="Arial" w:eastAsia="Calibri" w:hAnsi="Arial" w:cs="Arial"/>
          <w:lang w:val="es-ES"/>
        </w:rPr>
      </w:pPr>
      <w:r w:rsidRPr="006312E8">
        <w:rPr>
          <w:rFonts w:ascii="Arial" w:eastAsia="Calibri" w:hAnsi="Arial" w:cs="Arial"/>
          <w:lang w:val="es-ES"/>
        </w:rPr>
        <w:t>Todo acto o medida administrativa o judicial relativa a bienes estatales no debe afectar la prestación de servicios públicos o el ejercicio de funciones públicas.</w:t>
      </w:r>
    </w:p>
    <w:p w:rsidR="006312E8" w:rsidRPr="006312E8" w:rsidRDefault="006312E8" w:rsidP="006312E8">
      <w:pPr>
        <w:spacing w:after="0" w:line="240" w:lineRule="auto"/>
        <w:ind w:left="709" w:hanging="567"/>
        <w:jc w:val="both"/>
        <w:rPr>
          <w:rFonts w:ascii="Arial" w:eastAsia="Calibri" w:hAnsi="Arial" w:cs="Arial"/>
          <w:lang w:val="es-ES"/>
        </w:rPr>
      </w:pPr>
    </w:p>
    <w:p w:rsidR="006312E8" w:rsidRPr="006312E8" w:rsidRDefault="006312E8" w:rsidP="006312E8">
      <w:pPr>
        <w:spacing w:after="0" w:line="240" w:lineRule="auto"/>
        <w:ind w:left="709" w:hanging="1"/>
        <w:jc w:val="both"/>
        <w:rPr>
          <w:rFonts w:ascii="Arial" w:eastAsia="Calibri" w:hAnsi="Arial" w:cs="Arial"/>
          <w:lang w:val="es-ES"/>
        </w:rPr>
      </w:pPr>
      <w:r w:rsidRPr="006312E8">
        <w:rPr>
          <w:rFonts w:ascii="Arial" w:eastAsia="Calibri" w:hAnsi="Arial" w:cs="Arial"/>
          <w:lang w:val="es-ES"/>
        </w:rPr>
        <w:t>Esta disposición es aplicable incluso a los procesos judiciales en trámite, siempre que la naturaleza del proceso y su etapa procesal lo permita. Asimismo, las medidas cautelares emitidas que recaigan o afecten bienes estatales, por su naturaleza variable, deberán adecuarse a la presente disposición.</w:t>
      </w:r>
    </w:p>
    <w:p w:rsidR="006312E8" w:rsidRPr="006312E8" w:rsidRDefault="006312E8" w:rsidP="006312E8">
      <w:pPr>
        <w:spacing w:after="200" w:line="276" w:lineRule="auto"/>
        <w:rPr>
          <w:rFonts w:ascii="Arial" w:eastAsia="Calibri" w:hAnsi="Arial" w:cs="Arial"/>
          <w:lang w:val="es-ES"/>
        </w:rPr>
      </w:pPr>
      <w:r w:rsidRPr="006312E8">
        <w:rPr>
          <w:rFonts w:ascii="Arial" w:eastAsia="Calibri" w:hAnsi="Arial" w:cs="Arial"/>
          <w:lang w:val="es-ES"/>
        </w:rPr>
        <w:t>(…)</w:t>
      </w:r>
    </w:p>
    <w:p w:rsidR="006312E8" w:rsidRPr="006312E8" w:rsidRDefault="006312E8" w:rsidP="006312E8">
      <w:pPr>
        <w:spacing w:after="200" w:line="276" w:lineRule="auto"/>
        <w:jc w:val="center"/>
        <w:rPr>
          <w:rFonts w:ascii="Arial" w:eastAsia="Calibri" w:hAnsi="Arial" w:cs="Arial"/>
          <w:b/>
        </w:rPr>
      </w:pPr>
      <w:bookmarkStart w:id="460" w:name="DS0382001"/>
      <w:r w:rsidRPr="006312E8">
        <w:rPr>
          <w:rFonts w:ascii="Arial" w:eastAsia="Calibri" w:hAnsi="Arial" w:cs="Arial"/>
          <w:b/>
        </w:rPr>
        <w:t>DISPOSICIONES COMPLEMENTARIAS FINALES</w:t>
      </w:r>
    </w:p>
    <w:p w:rsidR="006312E8" w:rsidRPr="006312E8" w:rsidRDefault="006312E8" w:rsidP="006312E8">
      <w:pPr>
        <w:spacing w:after="200" w:line="276" w:lineRule="auto"/>
        <w:rPr>
          <w:rFonts w:ascii="Arial" w:eastAsia="Calibri" w:hAnsi="Arial" w:cs="Arial"/>
        </w:rPr>
      </w:pPr>
      <w:r w:rsidRPr="006312E8">
        <w:rPr>
          <w:rFonts w:ascii="Arial" w:eastAsia="Calibri" w:hAnsi="Arial" w:cs="Arial"/>
        </w:rPr>
        <w:t>(…)</w:t>
      </w:r>
    </w:p>
    <w:p w:rsidR="006312E8" w:rsidRPr="006312E8" w:rsidRDefault="006312E8" w:rsidP="006312E8">
      <w:pPr>
        <w:spacing w:after="200" w:line="276" w:lineRule="auto"/>
        <w:jc w:val="both"/>
        <w:rPr>
          <w:rFonts w:ascii="Arial" w:hAnsi="Arial" w:cs="Arial"/>
        </w:rPr>
      </w:pPr>
      <w:r w:rsidRPr="006312E8">
        <w:rPr>
          <w:rFonts w:ascii="Arial" w:hAnsi="Arial" w:cs="Arial"/>
          <w:b/>
        </w:rPr>
        <w:t>Segunda.-</w:t>
      </w:r>
      <w:r w:rsidRPr="006312E8">
        <w:rPr>
          <w:rFonts w:ascii="Arial" w:hAnsi="Arial" w:cs="Arial"/>
        </w:rPr>
        <w:t xml:space="preserve"> Para la ejecución del presente Decreto Legislativo, facúltase a la entidad pública ejecutora de la obra de infraestructura, para que en aplicación de la Ley Nº 30230 y su reglamento, efectúe la acumulación, independización, subdivisión, rectificación de área y otras acciones de saneamiento físico-legal de predios que le hayan sido transferidos por el Estado o haya adquirido o adquiera de particulares.</w:t>
      </w:r>
    </w:p>
    <w:p w:rsidR="006312E8" w:rsidRPr="006312E8" w:rsidRDefault="006312E8" w:rsidP="006312E8">
      <w:pPr>
        <w:spacing w:after="200" w:line="276" w:lineRule="auto"/>
        <w:jc w:val="both"/>
        <w:rPr>
          <w:rFonts w:ascii="Arial" w:hAnsi="Arial" w:cs="Arial"/>
        </w:rPr>
      </w:pPr>
      <w:r w:rsidRPr="006312E8">
        <w:rPr>
          <w:rFonts w:ascii="Arial" w:hAnsi="Arial" w:cs="Arial"/>
        </w:rPr>
        <w:t>(…)</w:t>
      </w:r>
    </w:p>
    <w:p w:rsidR="006312E8" w:rsidRPr="006312E8" w:rsidRDefault="006312E8" w:rsidP="006312E8">
      <w:pPr>
        <w:spacing w:after="0" w:line="240" w:lineRule="auto"/>
        <w:jc w:val="center"/>
        <w:rPr>
          <w:rFonts w:ascii="Arial" w:hAnsi="Arial" w:cs="Arial"/>
          <w:b/>
        </w:rPr>
      </w:pPr>
    </w:p>
    <w:p w:rsidR="006312E8" w:rsidRPr="006312E8" w:rsidRDefault="006312E8" w:rsidP="006312E8">
      <w:pPr>
        <w:spacing w:after="0" w:line="240" w:lineRule="auto"/>
        <w:jc w:val="center"/>
        <w:rPr>
          <w:rFonts w:ascii="Arial" w:hAnsi="Arial" w:cs="Arial"/>
          <w:b/>
        </w:rPr>
      </w:pPr>
      <w:r w:rsidRPr="006312E8">
        <w:rPr>
          <w:rFonts w:ascii="Arial" w:hAnsi="Arial" w:cs="Arial"/>
          <w:b/>
        </w:rPr>
        <w:t>DISPOSICIÓN COMPLEMENTARIA DEROGATORIA</w:t>
      </w:r>
    </w:p>
    <w:p w:rsidR="006312E8" w:rsidRPr="006312E8" w:rsidRDefault="006312E8" w:rsidP="006312E8">
      <w:pPr>
        <w:spacing w:after="0" w:line="240" w:lineRule="auto"/>
        <w:jc w:val="both"/>
        <w:rPr>
          <w:rFonts w:ascii="Arial" w:hAnsi="Arial" w:cs="Arial"/>
          <w:b/>
        </w:rPr>
      </w:pPr>
    </w:p>
    <w:p w:rsidR="006312E8" w:rsidRPr="006312E8" w:rsidRDefault="006312E8" w:rsidP="006312E8">
      <w:pPr>
        <w:spacing w:after="0" w:line="240" w:lineRule="auto"/>
        <w:jc w:val="both"/>
        <w:rPr>
          <w:rFonts w:ascii="Arial" w:hAnsi="Arial" w:cs="Arial"/>
        </w:rPr>
      </w:pPr>
      <w:r w:rsidRPr="006312E8">
        <w:rPr>
          <w:rFonts w:ascii="Arial" w:hAnsi="Arial" w:cs="Arial"/>
          <w:b/>
        </w:rPr>
        <w:t>Única.</w:t>
      </w:r>
      <w:r w:rsidRPr="006312E8">
        <w:rPr>
          <w:rFonts w:ascii="Arial" w:hAnsi="Arial" w:cs="Arial"/>
        </w:rPr>
        <w:t xml:space="preserve"> Deróganse la Ley Nº 27117, excepto su Única Disposición Modificatoria, Ley Nº 27628 sin perjuicio de lo dispuesto en la Primera Disposición Complementaria Final del presente Decreto Legislativo, Ley Nº 30025, excepto su Quinta Disposición Complementaria Final y las Disposiciones Complementarias Modificatorias; y los artículos 29 al 37 y la Sétima Disposición Complementaria Final de la Ley Nº 30327. </w:t>
      </w:r>
    </w:p>
    <w:p w:rsidR="006312E8" w:rsidRPr="006312E8" w:rsidRDefault="006312E8" w:rsidP="006312E8">
      <w:pPr>
        <w:spacing w:after="0" w:line="240" w:lineRule="auto"/>
        <w:jc w:val="both"/>
        <w:rPr>
          <w:rFonts w:ascii="Arial" w:hAnsi="Arial" w:cs="Arial"/>
        </w:rPr>
      </w:pPr>
    </w:p>
    <w:p w:rsidR="006312E8" w:rsidRPr="006312E8" w:rsidRDefault="006312E8" w:rsidP="006312E8">
      <w:pPr>
        <w:spacing w:after="0" w:line="240" w:lineRule="auto"/>
        <w:jc w:val="both"/>
        <w:rPr>
          <w:rFonts w:ascii="Arial" w:hAnsi="Arial" w:cs="Arial"/>
        </w:rPr>
      </w:pPr>
      <w:r w:rsidRPr="006312E8">
        <w:rPr>
          <w:rFonts w:ascii="Arial" w:hAnsi="Arial" w:cs="Arial"/>
        </w:rPr>
        <w:t xml:space="preserve">Mando se publique y cumpla, dando cuenta al Congreso de la República. </w:t>
      </w:r>
    </w:p>
    <w:p w:rsidR="006312E8" w:rsidRPr="006312E8" w:rsidRDefault="006312E8" w:rsidP="006312E8">
      <w:pPr>
        <w:spacing w:after="0" w:line="240" w:lineRule="auto"/>
        <w:jc w:val="both"/>
        <w:rPr>
          <w:rFonts w:ascii="Arial" w:hAnsi="Arial" w:cs="Arial"/>
        </w:rPr>
      </w:pPr>
      <w:r w:rsidRPr="006312E8">
        <w:rPr>
          <w:rFonts w:ascii="Arial" w:hAnsi="Arial" w:cs="Arial"/>
        </w:rPr>
        <w:t xml:space="preserve">Dado en la Casa de Gobierno, Lima, a los veintitrés días del mes de agosto del año dos mil quince. </w:t>
      </w:r>
    </w:p>
    <w:p w:rsidR="006312E8" w:rsidRPr="006312E8" w:rsidRDefault="006312E8" w:rsidP="006312E8">
      <w:pPr>
        <w:spacing w:after="0" w:line="240" w:lineRule="auto"/>
        <w:jc w:val="both"/>
        <w:rPr>
          <w:rFonts w:ascii="Arial" w:hAnsi="Arial" w:cs="Arial"/>
        </w:rPr>
      </w:pPr>
    </w:p>
    <w:p w:rsidR="006312E8" w:rsidRPr="006312E8" w:rsidRDefault="006312E8" w:rsidP="006312E8">
      <w:pPr>
        <w:spacing w:after="0" w:line="240" w:lineRule="auto"/>
        <w:jc w:val="both"/>
        <w:rPr>
          <w:rFonts w:ascii="Arial" w:hAnsi="Arial" w:cs="Arial"/>
          <w:b/>
        </w:rPr>
      </w:pPr>
      <w:r w:rsidRPr="006312E8">
        <w:rPr>
          <w:rFonts w:ascii="Arial" w:hAnsi="Arial" w:cs="Arial"/>
          <w:b/>
        </w:rPr>
        <w:t xml:space="preserve">OLLANTA HUMALA TASSO </w:t>
      </w:r>
    </w:p>
    <w:p w:rsidR="006312E8" w:rsidRPr="006312E8" w:rsidRDefault="006312E8" w:rsidP="006312E8">
      <w:pPr>
        <w:spacing w:after="0" w:line="240" w:lineRule="auto"/>
        <w:jc w:val="both"/>
        <w:rPr>
          <w:rFonts w:ascii="Arial" w:hAnsi="Arial" w:cs="Arial"/>
        </w:rPr>
      </w:pPr>
      <w:r w:rsidRPr="006312E8">
        <w:rPr>
          <w:rFonts w:ascii="Arial" w:hAnsi="Arial" w:cs="Arial"/>
        </w:rPr>
        <w:t xml:space="preserve">Presidente de la República </w:t>
      </w:r>
    </w:p>
    <w:p w:rsidR="006312E8" w:rsidRPr="006312E8" w:rsidRDefault="006312E8" w:rsidP="006312E8">
      <w:pPr>
        <w:spacing w:after="0" w:line="240" w:lineRule="auto"/>
        <w:jc w:val="both"/>
        <w:rPr>
          <w:rFonts w:ascii="Arial" w:hAnsi="Arial" w:cs="Arial"/>
        </w:rPr>
      </w:pPr>
    </w:p>
    <w:p w:rsidR="006312E8" w:rsidRPr="006312E8" w:rsidRDefault="006312E8" w:rsidP="006312E8">
      <w:pPr>
        <w:spacing w:after="0" w:line="240" w:lineRule="auto"/>
        <w:jc w:val="both"/>
        <w:rPr>
          <w:rFonts w:ascii="Arial" w:hAnsi="Arial" w:cs="Arial"/>
          <w:b/>
        </w:rPr>
      </w:pPr>
      <w:r w:rsidRPr="006312E8">
        <w:rPr>
          <w:rFonts w:ascii="Arial" w:hAnsi="Arial" w:cs="Arial"/>
          <w:b/>
        </w:rPr>
        <w:t xml:space="preserve">PEDRO CATERIANO BELLIDO </w:t>
      </w:r>
    </w:p>
    <w:p w:rsidR="006312E8" w:rsidRPr="006312E8" w:rsidRDefault="006312E8" w:rsidP="006312E8">
      <w:pPr>
        <w:spacing w:after="0" w:line="240" w:lineRule="auto"/>
        <w:jc w:val="both"/>
        <w:rPr>
          <w:rFonts w:ascii="Arial" w:hAnsi="Arial" w:cs="Arial"/>
        </w:rPr>
      </w:pPr>
      <w:r w:rsidRPr="006312E8">
        <w:rPr>
          <w:rFonts w:ascii="Arial" w:hAnsi="Arial" w:cs="Arial"/>
        </w:rPr>
        <w:t xml:space="preserve">Presidente del Consejo de Ministros </w:t>
      </w:r>
    </w:p>
    <w:p w:rsidR="006312E8" w:rsidRPr="006312E8" w:rsidRDefault="006312E8" w:rsidP="006312E8">
      <w:pPr>
        <w:spacing w:after="0" w:line="240" w:lineRule="auto"/>
        <w:jc w:val="both"/>
        <w:rPr>
          <w:rFonts w:ascii="Arial" w:hAnsi="Arial" w:cs="Arial"/>
        </w:rPr>
      </w:pPr>
    </w:p>
    <w:p w:rsidR="006312E8" w:rsidRPr="006312E8" w:rsidRDefault="006312E8" w:rsidP="006312E8">
      <w:pPr>
        <w:spacing w:after="0" w:line="240" w:lineRule="auto"/>
        <w:jc w:val="both"/>
        <w:rPr>
          <w:rFonts w:ascii="Arial" w:hAnsi="Arial" w:cs="Arial"/>
          <w:b/>
        </w:rPr>
      </w:pPr>
      <w:r w:rsidRPr="006312E8">
        <w:rPr>
          <w:rFonts w:ascii="Arial" w:hAnsi="Arial" w:cs="Arial"/>
          <w:b/>
        </w:rPr>
        <w:t xml:space="preserve">ALONSO SEGURA VASI </w:t>
      </w:r>
    </w:p>
    <w:p w:rsidR="006312E8" w:rsidRPr="006312E8" w:rsidRDefault="006312E8" w:rsidP="006312E8">
      <w:pPr>
        <w:spacing w:after="0" w:line="240" w:lineRule="auto"/>
        <w:jc w:val="both"/>
        <w:rPr>
          <w:rFonts w:ascii="Arial" w:hAnsi="Arial" w:cs="Arial"/>
        </w:rPr>
      </w:pPr>
      <w:r w:rsidRPr="006312E8">
        <w:rPr>
          <w:rFonts w:ascii="Arial" w:hAnsi="Arial" w:cs="Arial"/>
        </w:rPr>
        <w:t xml:space="preserve">Ministro de Economía y Finanzas </w:t>
      </w:r>
    </w:p>
    <w:p w:rsidR="006312E8" w:rsidRPr="006312E8" w:rsidRDefault="006312E8" w:rsidP="006312E8">
      <w:pPr>
        <w:spacing w:after="0" w:line="240" w:lineRule="auto"/>
        <w:jc w:val="both"/>
        <w:rPr>
          <w:rFonts w:ascii="Arial" w:hAnsi="Arial" w:cs="Arial"/>
        </w:rPr>
      </w:pPr>
    </w:p>
    <w:p w:rsidR="006312E8" w:rsidRPr="006312E8" w:rsidRDefault="006312E8" w:rsidP="006312E8">
      <w:pPr>
        <w:spacing w:after="0" w:line="240" w:lineRule="auto"/>
        <w:jc w:val="both"/>
        <w:rPr>
          <w:rFonts w:ascii="Arial" w:hAnsi="Arial" w:cs="Arial"/>
          <w:b/>
        </w:rPr>
      </w:pPr>
      <w:r w:rsidRPr="006312E8">
        <w:rPr>
          <w:rFonts w:ascii="Arial" w:hAnsi="Arial" w:cs="Arial"/>
          <w:b/>
        </w:rPr>
        <w:t xml:space="preserve">MILTON VON HESSE LA SERNA </w:t>
      </w:r>
    </w:p>
    <w:p w:rsidR="006312E8" w:rsidRPr="006312E8" w:rsidRDefault="006312E8" w:rsidP="006312E8">
      <w:pPr>
        <w:spacing w:after="0" w:line="240" w:lineRule="auto"/>
        <w:jc w:val="both"/>
        <w:rPr>
          <w:rFonts w:ascii="Arial" w:hAnsi="Arial" w:cs="Arial"/>
        </w:rPr>
      </w:pPr>
      <w:r w:rsidRPr="006312E8">
        <w:rPr>
          <w:rFonts w:ascii="Arial" w:hAnsi="Arial" w:cs="Arial"/>
        </w:rPr>
        <w:t xml:space="preserve">Ministro de Vivienda, Construcción y Saneamiento </w:t>
      </w:r>
    </w:p>
    <w:p w:rsidR="006312E8" w:rsidRPr="006312E8" w:rsidRDefault="006312E8" w:rsidP="006312E8">
      <w:pPr>
        <w:spacing w:after="0" w:line="240" w:lineRule="auto"/>
        <w:jc w:val="both"/>
        <w:rPr>
          <w:rFonts w:ascii="Arial" w:hAnsi="Arial" w:cs="Arial"/>
        </w:rPr>
      </w:pPr>
    </w:p>
    <w:p w:rsidR="006312E8" w:rsidRPr="006312E8" w:rsidRDefault="006312E8" w:rsidP="006312E8">
      <w:pPr>
        <w:spacing w:after="0" w:line="240" w:lineRule="auto"/>
        <w:jc w:val="both"/>
        <w:rPr>
          <w:rFonts w:ascii="Arial" w:hAnsi="Arial" w:cs="Arial"/>
          <w:b/>
        </w:rPr>
      </w:pPr>
      <w:r w:rsidRPr="006312E8">
        <w:rPr>
          <w:rFonts w:ascii="Arial" w:hAnsi="Arial" w:cs="Arial"/>
          <w:b/>
        </w:rPr>
        <w:t xml:space="preserve">JOSÉ GALLARDO KU </w:t>
      </w:r>
    </w:p>
    <w:p w:rsidR="006312E8" w:rsidRPr="006312E8" w:rsidRDefault="006312E8" w:rsidP="006312E8">
      <w:pPr>
        <w:spacing w:after="0" w:line="240" w:lineRule="auto"/>
        <w:jc w:val="both"/>
        <w:rPr>
          <w:rFonts w:ascii="Arial" w:hAnsi="Arial" w:cs="Arial"/>
        </w:rPr>
      </w:pPr>
      <w:r w:rsidRPr="006312E8">
        <w:rPr>
          <w:rFonts w:ascii="Arial" w:hAnsi="Arial" w:cs="Arial"/>
        </w:rPr>
        <w:t xml:space="preserve">Ministro de Transportes y Comunicaciones </w:t>
      </w:r>
    </w:p>
    <w:p w:rsidR="006312E8" w:rsidRPr="006312E8" w:rsidRDefault="006312E8" w:rsidP="006312E8">
      <w:pPr>
        <w:spacing w:after="0" w:line="240" w:lineRule="auto"/>
        <w:jc w:val="both"/>
        <w:rPr>
          <w:rFonts w:ascii="Arial" w:hAnsi="Arial" w:cs="Arial"/>
        </w:rPr>
      </w:pPr>
    </w:p>
    <w:p w:rsidR="006312E8" w:rsidRPr="006312E8" w:rsidRDefault="006312E8" w:rsidP="006312E8">
      <w:pPr>
        <w:spacing w:after="0" w:line="240" w:lineRule="auto"/>
        <w:jc w:val="both"/>
        <w:rPr>
          <w:rFonts w:ascii="Arial" w:hAnsi="Arial" w:cs="Arial"/>
          <w:b/>
        </w:rPr>
      </w:pPr>
      <w:r w:rsidRPr="006312E8">
        <w:rPr>
          <w:rFonts w:ascii="Arial" w:hAnsi="Arial" w:cs="Arial"/>
          <w:b/>
        </w:rPr>
        <w:t xml:space="preserve">ANA MARÍA SÁNCHEZ DE RÍOS </w:t>
      </w:r>
    </w:p>
    <w:p w:rsidR="006312E8" w:rsidRPr="006312E8" w:rsidRDefault="006312E8" w:rsidP="006312E8">
      <w:pPr>
        <w:spacing w:after="0" w:line="240" w:lineRule="auto"/>
        <w:jc w:val="both"/>
        <w:rPr>
          <w:rFonts w:ascii="Arial" w:hAnsi="Arial" w:cs="Arial"/>
        </w:rPr>
      </w:pPr>
      <w:r w:rsidRPr="006312E8">
        <w:rPr>
          <w:rFonts w:ascii="Arial" w:hAnsi="Arial" w:cs="Arial"/>
        </w:rPr>
        <w:t>Ministra de Relaciones Exteriores Encargada del Despacho del Ministerio de Justicia y Derechos Humanos</w:t>
      </w:r>
    </w:p>
    <w:p w:rsidR="006312E8" w:rsidRPr="006312E8" w:rsidRDefault="006312E8" w:rsidP="006312E8">
      <w:pPr>
        <w:spacing w:after="200" w:line="276" w:lineRule="auto"/>
        <w:jc w:val="both"/>
        <w:rPr>
          <w:rFonts w:ascii="Arial" w:eastAsia="Calibri" w:hAnsi="Arial" w:cs="Arial"/>
        </w:rPr>
      </w:pPr>
    </w:p>
    <w:p w:rsidR="006312E8" w:rsidRPr="006312E8" w:rsidRDefault="006312E8" w:rsidP="006312E8">
      <w:pPr>
        <w:spacing w:after="200" w:line="276" w:lineRule="auto"/>
        <w:rPr>
          <w:rFonts w:ascii="Calibri" w:eastAsia="Calibri" w:hAnsi="Calibri" w:cs="Times New Roman"/>
        </w:rPr>
      </w:pPr>
    </w:p>
    <w:p w:rsidR="006312E8" w:rsidRDefault="006312E8" w:rsidP="006312E8">
      <w:pPr>
        <w:spacing w:after="200" w:line="276" w:lineRule="auto"/>
        <w:rPr>
          <w:rFonts w:ascii="Calibri" w:eastAsia="Calibri" w:hAnsi="Calibri" w:cs="Times New Roman"/>
        </w:rPr>
      </w:pPr>
    </w:p>
    <w:p w:rsidR="005A1186" w:rsidRDefault="005A1186" w:rsidP="006312E8">
      <w:pPr>
        <w:spacing w:after="200" w:line="276" w:lineRule="auto"/>
        <w:rPr>
          <w:rFonts w:ascii="Calibri" w:eastAsia="Calibri" w:hAnsi="Calibri" w:cs="Times New Roman"/>
        </w:rPr>
      </w:pPr>
    </w:p>
    <w:p w:rsidR="005A1186" w:rsidRDefault="005A1186" w:rsidP="006312E8">
      <w:pPr>
        <w:spacing w:after="200" w:line="276" w:lineRule="auto"/>
        <w:rPr>
          <w:rFonts w:ascii="Calibri" w:eastAsia="Calibri" w:hAnsi="Calibri" w:cs="Times New Roman"/>
        </w:rPr>
      </w:pPr>
    </w:p>
    <w:p w:rsidR="005A1186" w:rsidRDefault="005A1186" w:rsidP="006312E8">
      <w:pPr>
        <w:spacing w:after="200" w:line="276" w:lineRule="auto"/>
        <w:rPr>
          <w:rFonts w:ascii="Calibri" w:eastAsia="Calibri" w:hAnsi="Calibri" w:cs="Times New Roman"/>
        </w:rPr>
      </w:pPr>
    </w:p>
    <w:p w:rsidR="005A1186" w:rsidRDefault="005A1186" w:rsidP="006312E8">
      <w:pPr>
        <w:spacing w:after="200" w:line="276" w:lineRule="auto"/>
        <w:rPr>
          <w:rFonts w:ascii="Calibri" w:eastAsia="Calibri" w:hAnsi="Calibri" w:cs="Times New Roman"/>
        </w:rPr>
      </w:pPr>
    </w:p>
    <w:p w:rsidR="005A1186" w:rsidRDefault="005A1186" w:rsidP="006312E8">
      <w:pPr>
        <w:spacing w:after="200" w:line="276" w:lineRule="auto"/>
        <w:rPr>
          <w:rFonts w:ascii="Calibri" w:eastAsia="Calibri" w:hAnsi="Calibri" w:cs="Times New Roman"/>
        </w:rPr>
      </w:pPr>
    </w:p>
    <w:p w:rsidR="005A1186" w:rsidRDefault="005A1186" w:rsidP="006312E8">
      <w:pPr>
        <w:spacing w:after="200" w:line="276" w:lineRule="auto"/>
        <w:rPr>
          <w:rFonts w:ascii="Calibri" w:eastAsia="Calibri" w:hAnsi="Calibri" w:cs="Times New Roman"/>
        </w:rPr>
      </w:pPr>
    </w:p>
    <w:p w:rsidR="005A1186" w:rsidRDefault="005A1186" w:rsidP="006312E8">
      <w:pPr>
        <w:spacing w:after="200" w:line="276" w:lineRule="auto"/>
        <w:rPr>
          <w:rFonts w:ascii="Calibri" w:eastAsia="Calibri" w:hAnsi="Calibri" w:cs="Times New Roman"/>
        </w:rPr>
      </w:pPr>
    </w:p>
    <w:p w:rsidR="005A1186" w:rsidRDefault="005A1186" w:rsidP="006312E8">
      <w:pPr>
        <w:spacing w:after="200" w:line="276" w:lineRule="auto"/>
        <w:rPr>
          <w:rFonts w:ascii="Calibri" w:eastAsia="Calibri" w:hAnsi="Calibri" w:cs="Times New Roman"/>
        </w:rPr>
      </w:pPr>
    </w:p>
    <w:p w:rsidR="005349B7" w:rsidRPr="005349B7" w:rsidRDefault="00B91CE2" w:rsidP="0022168E">
      <w:pPr>
        <w:pStyle w:val="TITO2"/>
      </w:pPr>
      <w:bookmarkStart w:id="461" w:name="_Toc470855585"/>
      <w:r>
        <w:t>D</w:t>
      </w:r>
      <w:r w:rsidR="005349B7" w:rsidRPr="005349B7">
        <w:t>ECRETO LEGISLATIVO N° 1199</w:t>
      </w:r>
      <w:bookmarkEnd w:id="461"/>
    </w:p>
    <w:p w:rsidR="00D63432" w:rsidRPr="00D63432" w:rsidRDefault="00D63432" w:rsidP="00D63432">
      <w:pPr>
        <w:spacing w:after="0" w:line="240" w:lineRule="auto"/>
        <w:jc w:val="center"/>
        <w:rPr>
          <w:rFonts w:ascii="Arial" w:eastAsia="Calibri" w:hAnsi="Arial" w:cs="Arial"/>
          <w:b/>
          <w:sz w:val="24"/>
          <w:szCs w:val="24"/>
        </w:rPr>
      </w:pPr>
      <w:r w:rsidRPr="00D63432">
        <w:rPr>
          <w:rFonts w:ascii="Arial" w:eastAsia="Calibri" w:hAnsi="Arial" w:cs="Arial"/>
          <w:b/>
          <w:sz w:val="24"/>
          <w:szCs w:val="24"/>
        </w:rPr>
        <w:t>Decreto Legislativo que crea el Sistema Nacional de Parques Industriales</w:t>
      </w:r>
    </w:p>
    <w:p w:rsidR="0022168E" w:rsidRDefault="0022168E" w:rsidP="00D63432">
      <w:pPr>
        <w:spacing w:after="200" w:line="276" w:lineRule="auto"/>
        <w:jc w:val="center"/>
        <w:rPr>
          <w:rFonts w:ascii="Arial" w:eastAsia="Calibri" w:hAnsi="Arial" w:cs="Arial"/>
        </w:rPr>
      </w:pPr>
    </w:p>
    <w:p w:rsidR="005349B7" w:rsidRPr="0022168E" w:rsidRDefault="005349B7" w:rsidP="005349B7">
      <w:pPr>
        <w:spacing w:after="200" w:line="276" w:lineRule="auto"/>
        <w:jc w:val="right"/>
        <w:rPr>
          <w:rFonts w:ascii="Arial" w:eastAsia="Calibri" w:hAnsi="Arial" w:cs="Arial"/>
          <w:b/>
        </w:rPr>
      </w:pPr>
      <w:r w:rsidRPr="0022168E">
        <w:rPr>
          <w:rFonts w:ascii="Arial" w:eastAsia="Calibri" w:hAnsi="Arial" w:cs="Arial"/>
          <w:b/>
        </w:rPr>
        <w:t>Fecha de publicación: 22-09-2015</w:t>
      </w:r>
    </w:p>
    <w:p w:rsidR="005349B7" w:rsidRPr="005349B7" w:rsidRDefault="005349B7" w:rsidP="005349B7">
      <w:pPr>
        <w:spacing w:after="0" w:line="240" w:lineRule="auto"/>
        <w:jc w:val="both"/>
        <w:rPr>
          <w:rFonts w:ascii="Arial" w:eastAsia="Calibri" w:hAnsi="Arial" w:cs="Arial"/>
        </w:rPr>
      </w:pPr>
    </w:p>
    <w:p w:rsidR="005349B7" w:rsidRPr="0022168E" w:rsidRDefault="005349B7" w:rsidP="0022168E">
      <w:pPr>
        <w:spacing w:after="0" w:line="240" w:lineRule="auto"/>
        <w:jc w:val="center"/>
        <w:rPr>
          <w:rFonts w:ascii="Arial" w:eastAsia="Calibri" w:hAnsi="Arial" w:cs="Arial"/>
          <w:b/>
        </w:rPr>
      </w:pPr>
      <w:r w:rsidRPr="0022168E">
        <w:rPr>
          <w:rFonts w:ascii="Arial" w:eastAsia="Calibri" w:hAnsi="Arial" w:cs="Arial"/>
          <w:b/>
        </w:rPr>
        <w:t>DECRETO LEGISLATIVO Nº 1199</w:t>
      </w:r>
    </w:p>
    <w:p w:rsidR="005349B7" w:rsidRPr="0022168E" w:rsidRDefault="005349B7" w:rsidP="0022168E">
      <w:pPr>
        <w:spacing w:after="0" w:line="240" w:lineRule="auto"/>
        <w:jc w:val="center"/>
        <w:rPr>
          <w:rFonts w:ascii="Arial" w:eastAsia="Calibri" w:hAnsi="Arial" w:cs="Arial"/>
          <w:b/>
        </w:rPr>
      </w:pPr>
    </w:p>
    <w:p w:rsidR="005349B7" w:rsidRPr="0022168E" w:rsidRDefault="005349B7" w:rsidP="0022168E">
      <w:pPr>
        <w:spacing w:after="0" w:line="240" w:lineRule="auto"/>
        <w:jc w:val="both"/>
        <w:rPr>
          <w:rFonts w:ascii="Arial" w:eastAsia="Calibri" w:hAnsi="Arial" w:cs="Arial"/>
          <w:b/>
        </w:rPr>
      </w:pPr>
      <w:r w:rsidRPr="0022168E">
        <w:rPr>
          <w:rFonts w:ascii="Arial" w:eastAsia="Calibri" w:hAnsi="Arial" w:cs="Arial"/>
          <w:b/>
        </w:rPr>
        <w:t>EL PRESIDENTE DE LA REPÚBLICA</w:t>
      </w:r>
    </w:p>
    <w:p w:rsidR="005349B7" w:rsidRPr="005349B7" w:rsidRDefault="005349B7" w:rsidP="005349B7">
      <w:pPr>
        <w:spacing w:after="0" w:line="240" w:lineRule="auto"/>
        <w:jc w:val="both"/>
        <w:rPr>
          <w:rFonts w:ascii="Arial" w:eastAsia="Calibri" w:hAnsi="Arial" w:cs="Arial"/>
        </w:rPr>
      </w:pPr>
    </w:p>
    <w:p w:rsidR="005349B7" w:rsidRPr="0022168E" w:rsidRDefault="005349B7" w:rsidP="005349B7">
      <w:pPr>
        <w:spacing w:after="0" w:line="240" w:lineRule="auto"/>
        <w:jc w:val="both"/>
        <w:rPr>
          <w:rFonts w:ascii="Arial" w:eastAsia="Calibri" w:hAnsi="Arial" w:cs="Arial"/>
          <w:b/>
        </w:rPr>
      </w:pPr>
      <w:r w:rsidRPr="0022168E">
        <w:rPr>
          <w:rFonts w:ascii="Arial" w:eastAsia="Calibri" w:hAnsi="Arial" w:cs="Arial"/>
          <w:b/>
        </w:rPr>
        <w:t>POR CUANTO:</w:t>
      </w:r>
    </w:p>
    <w:p w:rsidR="005349B7" w:rsidRPr="005349B7" w:rsidRDefault="005349B7" w:rsidP="005349B7">
      <w:pPr>
        <w:spacing w:after="0" w:line="240" w:lineRule="auto"/>
        <w:jc w:val="both"/>
        <w:rPr>
          <w:rFonts w:ascii="Arial" w:eastAsia="Calibri" w:hAnsi="Arial" w:cs="Arial"/>
        </w:rPr>
      </w:pPr>
    </w:p>
    <w:p w:rsidR="005349B7" w:rsidRPr="005349B7" w:rsidRDefault="005349B7" w:rsidP="005349B7">
      <w:pPr>
        <w:spacing w:after="0" w:line="240" w:lineRule="auto"/>
        <w:jc w:val="both"/>
        <w:rPr>
          <w:rFonts w:ascii="Arial" w:eastAsia="Calibri" w:hAnsi="Arial" w:cs="Arial"/>
        </w:rPr>
      </w:pPr>
      <w:r w:rsidRPr="005349B7">
        <w:rPr>
          <w:rFonts w:ascii="Arial" w:eastAsia="Calibri" w:hAnsi="Arial" w:cs="Arial"/>
        </w:rPr>
        <w:t>Que, mediante Ley Nº 30335, Ley que delega en el Poder Ejecutivo la facultad de legislar en materia administrativa, económica y financiera, el Congreso de la República ha delegado en el Poder Ejecutivo la facultad de legislar por el término de noventa (90) días calendario;</w:t>
      </w:r>
    </w:p>
    <w:p w:rsidR="005349B7" w:rsidRPr="005349B7" w:rsidRDefault="005349B7" w:rsidP="005349B7">
      <w:pPr>
        <w:spacing w:after="0" w:line="240" w:lineRule="auto"/>
        <w:jc w:val="both"/>
        <w:rPr>
          <w:rFonts w:ascii="Arial" w:eastAsia="Calibri" w:hAnsi="Arial" w:cs="Arial"/>
        </w:rPr>
      </w:pPr>
    </w:p>
    <w:p w:rsidR="005349B7" w:rsidRPr="005349B7" w:rsidRDefault="005349B7" w:rsidP="005349B7">
      <w:pPr>
        <w:spacing w:after="0" w:line="240" w:lineRule="auto"/>
        <w:jc w:val="both"/>
        <w:rPr>
          <w:rFonts w:ascii="Arial" w:eastAsia="Calibri" w:hAnsi="Arial" w:cs="Arial"/>
        </w:rPr>
      </w:pPr>
      <w:r w:rsidRPr="005349B7">
        <w:rPr>
          <w:rFonts w:ascii="Arial" w:eastAsia="Calibri" w:hAnsi="Arial" w:cs="Arial"/>
        </w:rPr>
        <w:t>Que, en ese sentido, el literal d) del artículo 2 de la Ley Nº 30335 señala que el Poder Ejecutivo está facultado para legislar a fin de impulsar el desarrollo e implementación de los parques industriales, de manera sistémica e integral;</w:t>
      </w:r>
    </w:p>
    <w:p w:rsidR="005349B7" w:rsidRPr="005349B7" w:rsidRDefault="005349B7" w:rsidP="005349B7">
      <w:pPr>
        <w:spacing w:after="0" w:line="240" w:lineRule="auto"/>
        <w:jc w:val="both"/>
        <w:rPr>
          <w:rFonts w:ascii="Arial" w:eastAsia="Calibri" w:hAnsi="Arial" w:cs="Arial"/>
        </w:rPr>
      </w:pPr>
    </w:p>
    <w:p w:rsidR="005349B7" w:rsidRPr="005349B7" w:rsidRDefault="005349B7" w:rsidP="005349B7">
      <w:pPr>
        <w:spacing w:after="0" w:line="240" w:lineRule="auto"/>
        <w:jc w:val="both"/>
        <w:rPr>
          <w:rFonts w:ascii="Arial" w:eastAsia="Calibri" w:hAnsi="Arial" w:cs="Arial"/>
        </w:rPr>
      </w:pPr>
      <w:r w:rsidRPr="005349B7">
        <w:rPr>
          <w:rFonts w:ascii="Arial" w:eastAsia="Calibri" w:hAnsi="Arial" w:cs="Arial"/>
        </w:rPr>
        <w:t>Que, pese a los esfuerzos realizados anteriormente, en el Perú no se ha logrado crear parques industriales modernos y eficientes, articulados con su entorno productivo, con diversos tipos de infraestructura productiva, de manera ordenada y sostenible; y, que los tres niveles de gobierno no han podido ejecutar ni implementar parques industriales con las características actualmente requeridas para impulsar el desarrollo económico del país;</w:t>
      </w:r>
    </w:p>
    <w:p w:rsidR="005349B7" w:rsidRPr="005349B7" w:rsidRDefault="005349B7" w:rsidP="005349B7">
      <w:pPr>
        <w:spacing w:after="0" w:line="240" w:lineRule="auto"/>
        <w:jc w:val="both"/>
        <w:rPr>
          <w:rFonts w:ascii="Arial" w:eastAsia="Calibri" w:hAnsi="Arial" w:cs="Arial"/>
        </w:rPr>
      </w:pPr>
    </w:p>
    <w:p w:rsidR="005349B7" w:rsidRPr="005349B7" w:rsidRDefault="005349B7" w:rsidP="005349B7">
      <w:pPr>
        <w:spacing w:after="0" w:line="240" w:lineRule="auto"/>
        <w:jc w:val="both"/>
        <w:rPr>
          <w:rFonts w:ascii="Arial" w:eastAsia="Calibri" w:hAnsi="Arial" w:cs="Arial"/>
        </w:rPr>
      </w:pPr>
      <w:r w:rsidRPr="005349B7">
        <w:rPr>
          <w:rFonts w:ascii="Arial" w:eastAsia="Calibri" w:hAnsi="Arial" w:cs="Arial"/>
        </w:rPr>
        <w:t>Que, por lo expuesto, con la presente norma se pretende regular a nivel nacional la situación de los parques industriales, evitar el uso inadecuado de los terrenos destinados a la industria y promover la creación de nuevos espacios productivos;</w:t>
      </w:r>
    </w:p>
    <w:p w:rsidR="005349B7" w:rsidRPr="005349B7" w:rsidRDefault="005349B7" w:rsidP="005349B7">
      <w:pPr>
        <w:spacing w:after="0" w:line="240" w:lineRule="auto"/>
        <w:jc w:val="both"/>
        <w:rPr>
          <w:rFonts w:ascii="Arial" w:eastAsia="Calibri" w:hAnsi="Arial" w:cs="Arial"/>
        </w:rPr>
      </w:pPr>
    </w:p>
    <w:p w:rsidR="005349B7" w:rsidRPr="005349B7" w:rsidRDefault="005349B7" w:rsidP="005349B7">
      <w:pPr>
        <w:spacing w:after="0" w:line="240" w:lineRule="auto"/>
        <w:jc w:val="both"/>
        <w:rPr>
          <w:rFonts w:ascii="Arial" w:eastAsia="Calibri" w:hAnsi="Arial" w:cs="Arial"/>
        </w:rPr>
      </w:pPr>
      <w:r w:rsidRPr="005349B7">
        <w:rPr>
          <w:rFonts w:ascii="Arial" w:eastAsia="Calibri" w:hAnsi="Arial" w:cs="Arial"/>
        </w:rPr>
        <w:t>Que, el Perú cuenta con una significativa brecha en infraestructura que condiciona el desarrollo de los parques industriales, en términos de infraestructura vial, portuaria y aeroportuaria, logística y de servicios;</w:t>
      </w:r>
    </w:p>
    <w:p w:rsidR="005349B7" w:rsidRPr="005349B7" w:rsidRDefault="005349B7" w:rsidP="005349B7">
      <w:pPr>
        <w:spacing w:after="0" w:line="240" w:lineRule="auto"/>
        <w:jc w:val="both"/>
        <w:rPr>
          <w:rFonts w:ascii="Arial" w:eastAsia="Calibri" w:hAnsi="Arial" w:cs="Arial"/>
        </w:rPr>
      </w:pPr>
    </w:p>
    <w:p w:rsidR="005349B7" w:rsidRPr="005349B7" w:rsidRDefault="005349B7" w:rsidP="005349B7">
      <w:pPr>
        <w:spacing w:after="0" w:line="240" w:lineRule="auto"/>
        <w:jc w:val="both"/>
        <w:rPr>
          <w:rFonts w:ascii="Arial" w:eastAsia="Calibri" w:hAnsi="Arial" w:cs="Arial"/>
        </w:rPr>
      </w:pPr>
      <w:r w:rsidRPr="005349B7">
        <w:rPr>
          <w:rFonts w:ascii="Arial" w:eastAsia="Calibri" w:hAnsi="Arial" w:cs="Arial"/>
        </w:rPr>
        <w:t>Que, por ello, de manera complementaria a la Ley Nº 30078, Ley que Promueve el Desarrollo de Parques Industriales Tecno-Ecológicos (PITE), es necesaria la creación del Sistema Nacional de Parques Industriales que, en coordinación con los ecosistemas productivos industriales, asegurará el desarrollo de parques industriales en aquellos territorios con mayor capacidad económica y de atracción de inversiones que cuenten con mejor conectividad a puertos y aeropuertos;</w:t>
      </w:r>
    </w:p>
    <w:p w:rsidR="005349B7" w:rsidRPr="005349B7" w:rsidRDefault="005349B7" w:rsidP="005349B7">
      <w:pPr>
        <w:spacing w:after="0" w:line="240" w:lineRule="auto"/>
        <w:jc w:val="both"/>
        <w:rPr>
          <w:rFonts w:ascii="Arial" w:eastAsia="Calibri" w:hAnsi="Arial" w:cs="Arial"/>
        </w:rPr>
      </w:pPr>
    </w:p>
    <w:p w:rsidR="005349B7" w:rsidRPr="005349B7" w:rsidRDefault="005349B7" w:rsidP="005349B7">
      <w:pPr>
        <w:spacing w:after="0" w:line="240" w:lineRule="auto"/>
        <w:jc w:val="both"/>
        <w:rPr>
          <w:rFonts w:ascii="Arial" w:eastAsia="Calibri" w:hAnsi="Arial" w:cs="Arial"/>
        </w:rPr>
      </w:pPr>
      <w:r w:rsidRPr="005349B7">
        <w:rPr>
          <w:rFonts w:ascii="Arial" w:eastAsia="Calibri" w:hAnsi="Arial" w:cs="Arial"/>
        </w:rPr>
        <w:t>Que, el Ministerio de la Producción es la autoridad rectora en materia industrial, encargada de fomentar el desarrollo de las empresas e incremento de la competitividad; así como de promover y orientar en el ámbito del subsector industria la innovación tecnológica y la transferencia de tecnologías, fomentando alianzas tecnológicas dentro y fuera del país;</w:t>
      </w:r>
    </w:p>
    <w:p w:rsidR="005349B7" w:rsidRPr="005349B7" w:rsidRDefault="005349B7" w:rsidP="005349B7">
      <w:pPr>
        <w:spacing w:after="0" w:line="240" w:lineRule="auto"/>
        <w:jc w:val="both"/>
        <w:rPr>
          <w:rFonts w:ascii="Arial" w:eastAsia="Calibri" w:hAnsi="Arial" w:cs="Arial"/>
        </w:rPr>
      </w:pPr>
    </w:p>
    <w:p w:rsidR="005349B7" w:rsidRPr="005349B7" w:rsidRDefault="005349B7" w:rsidP="005349B7">
      <w:pPr>
        <w:spacing w:after="0" w:line="240" w:lineRule="auto"/>
        <w:jc w:val="both"/>
        <w:rPr>
          <w:rFonts w:ascii="Arial" w:eastAsia="Calibri" w:hAnsi="Arial" w:cs="Arial"/>
        </w:rPr>
      </w:pPr>
      <w:r w:rsidRPr="005349B7">
        <w:rPr>
          <w:rFonts w:ascii="Arial" w:eastAsia="Calibri" w:hAnsi="Arial" w:cs="Arial"/>
        </w:rPr>
        <w:t>De conformidad con lo establecido en el artículo 104 de la Constitución Política del Perú;</w:t>
      </w:r>
    </w:p>
    <w:p w:rsidR="005349B7" w:rsidRPr="005349B7" w:rsidRDefault="005349B7" w:rsidP="005349B7">
      <w:pPr>
        <w:spacing w:after="0" w:line="240" w:lineRule="auto"/>
        <w:jc w:val="both"/>
        <w:rPr>
          <w:rFonts w:ascii="Arial" w:eastAsia="Calibri" w:hAnsi="Arial" w:cs="Arial"/>
        </w:rPr>
      </w:pPr>
    </w:p>
    <w:p w:rsidR="005349B7" w:rsidRPr="005349B7" w:rsidRDefault="005349B7" w:rsidP="005349B7">
      <w:pPr>
        <w:spacing w:after="0" w:line="240" w:lineRule="auto"/>
        <w:jc w:val="both"/>
        <w:rPr>
          <w:rFonts w:ascii="Arial" w:eastAsia="Calibri" w:hAnsi="Arial" w:cs="Arial"/>
        </w:rPr>
      </w:pPr>
      <w:r w:rsidRPr="005349B7">
        <w:rPr>
          <w:rFonts w:ascii="Arial" w:eastAsia="Calibri" w:hAnsi="Arial" w:cs="Arial"/>
        </w:rPr>
        <w:t>Con el voto aprobatorio del Consejo de Ministros; y,</w:t>
      </w:r>
    </w:p>
    <w:p w:rsidR="005349B7" w:rsidRPr="005349B7" w:rsidRDefault="005349B7" w:rsidP="005349B7">
      <w:pPr>
        <w:spacing w:after="0" w:line="240" w:lineRule="auto"/>
        <w:jc w:val="both"/>
        <w:rPr>
          <w:rFonts w:ascii="Arial" w:eastAsia="Calibri" w:hAnsi="Arial" w:cs="Arial"/>
        </w:rPr>
      </w:pPr>
    </w:p>
    <w:p w:rsidR="005349B7" w:rsidRPr="005349B7" w:rsidRDefault="005349B7" w:rsidP="005349B7">
      <w:pPr>
        <w:spacing w:after="0" w:line="240" w:lineRule="auto"/>
        <w:jc w:val="both"/>
        <w:rPr>
          <w:rFonts w:ascii="Arial" w:eastAsia="Calibri" w:hAnsi="Arial" w:cs="Arial"/>
        </w:rPr>
      </w:pPr>
      <w:r w:rsidRPr="005349B7">
        <w:rPr>
          <w:rFonts w:ascii="Arial" w:eastAsia="Calibri" w:hAnsi="Arial" w:cs="Arial"/>
        </w:rPr>
        <w:t>Con cargo a dar cuenta al Congreso de la República;</w:t>
      </w:r>
    </w:p>
    <w:p w:rsidR="005349B7" w:rsidRPr="005349B7" w:rsidRDefault="005349B7" w:rsidP="005349B7">
      <w:pPr>
        <w:spacing w:after="0" w:line="240" w:lineRule="auto"/>
        <w:jc w:val="both"/>
        <w:rPr>
          <w:rFonts w:ascii="Arial" w:eastAsia="Calibri" w:hAnsi="Arial" w:cs="Arial"/>
        </w:rPr>
      </w:pPr>
    </w:p>
    <w:p w:rsidR="005349B7" w:rsidRPr="005349B7" w:rsidRDefault="005349B7" w:rsidP="005349B7">
      <w:pPr>
        <w:spacing w:after="0" w:line="240" w:lineRule="auto"/>
        <w:jc w:val="both"/>
        <w:rPr>
          <w:rFonts w:ascii="Arial" w:eastAsia="Calibri" w:hAnsi="Arial" w:cs="Arial"/>
        </w:rPr>
      </w:pPr>
      <w:r w:rsidRPr="005349B7">
        <w:rPr>
          <w:rFonts w:ascii="Arial" w:eastAsia="Calibri" w:hAnsi="Arial" w:cs="Arial"/>
        </w:rPr>
        <w:t>Ha dado el Decreto Legislativo siguiente:</w:t>
      </w:r>
    </w:p>
    <w:p w:rsidR="005349B7" w:rsidRPr="0022168E" w:rsidRDefault="005349B7" w:rsidP="005349B7">
      <w:pPr>
        <w:spacing w:after="0" w:line="240" w:lineRule="auto"/>
        <w:jc w:val="both"/>
        <w:rPr>
          <w:rFonts w:ascii="Arial" w:eastAsia="Calibri" w:hAnsi="Arial" w:cs="Arial"/>
          <w:b/>
        </w:rPr>
      </w:pPr>
    </w:p>
    <w:p w:rsidR="0022168E" w:rsidRDefault="0022168E" w:rsidP="0022168E">
      <w:pPr>
        <w:spacing w:after="0" w:line="240" w:lineRule="auto"/>
        <w:jc w:val="center"/>
        <w:rPr>
          <w:rFonts w:ascii="Arial" w:eastAsia="Calibri" w:hAnsi="Arial" w:cs="Arial"/>
          <w:b/>
        </w:rPr>
      </w:pPr>
    </w:p>
    <w:p w:rsidR="005349B7" w:rsidRPr="005349B7" w:rsidRDefault="005349B7" w:rsidP="0022168E">
      <w:pPr>
        <w:spacing w:after="0" w:line="240" w:lineRule="auto"/>
        <w:jc w:val="center"/>
        <w:rPr>
          <w:rFonts w:ascii="Arial" w:eastAsia="Calibri" w:hAnsi="Arial" w:cs="Arial"/>
        </w:rPr>
      </w:pPr>
      <w:r w:rsidRPr="0022168E">
        <w:rPr>
          <w:rFonts w:ascii="Arial" w:eastAsia="Calibri" w:hAnsi="Arial" w:cs="Arial"/>
          <w:b/>
        </w:rPr>
        <w:t>DECRETO LEGISLATIVO QUE CREA EL SISTEMA NACIONAL DE PARQUES INDUSTRIALES</w:t>
      </w:r>
    </w:p>
    <w:p w:rsidR="005349B7" w:rsidRPr="005349B7" w:rsidRDefault="005349B7" w:rsidP="005349B7">
      <w:pPr>
        <w:spacing w:after="0" w:line="240" w:lineRule="auto"/>
        <w:jc w:val="both"/>
        <w:rPr>
          <w:rFonts w:ascii="Arial" w:eastAsia="Calibri" w:hAnsi="Arial" w:cs="Arial"/>
        </w:rPr>
      </w:pPr>
    </w:p>
    <w:p w:rsidR="005349B7" w:rsidRPr="0022168E" w:rsidRDefault="005349B7" w:rsidP="005349B7">
      <w:pPr>
        <w:spacing w:after="0" w:line="240" w:lineRule="auto"/>
        <w:jc w:val="both"/>
        <w:rPr>
          <w:rFonts w:ascii="Arial" w:eastAsia="Calibri" w:hAnsi="Arial" w:cs="Arial"/>
          <w:b/>
        </w:rPr>
      </w:pPr>
      <w:r w:rsidRPr="0022168E">
        <w:rPr>
          <w:rFonts w:ascii="Arial" w:eastAsia="Calibri" w:hAnsi="Arial" w:cs="Arial"/>
          <w:b/>
        </w:rPr>
        <w:t>Artículo 1.- Creación del Sistema</w:t>
      </w:r>
    </w:p>
    <w:p w:rsidR="005349B7" w:rsidRPr="005349B7" w:rsidRDefault="005349B7" w:rsidP="005349B7">
      <w:pPr>
        <w:spacing w:after="0" w:line="240" w:lineRule="auto"/>
        <w:jc w:val="both"/>
        <w:rPr>
          <w:rFonts w:ascii="Arial" w:eastAsia="Calibri" w:hAnsi="Arial" w:cs="Arial"/>
        </w:rPr>
      </w:pPr>
      <w:r w:rsidRPr="005349B7">
        <w:rPr>
          <w:rFonts w:ascii="Arial" w:eastAsia="Calibri" w:hAnsi="Arial" w:cs="Arial"/>
        </w:rPr>
        <w:t>Créase el Sistema Nacional de Parques Industriales que tiene como finalidad contribuir e impulsar el desarrollo industrial, a través del desarrollo e implementación de parques industriales, acorde con el ordenamiento territorial; así como, establecer mecanismos para articular e integrar a todos los niveles de gobierno, instituciones y entidades públicas y privadas, intervinientes en el desarrollo industrial conforme a sus competencias, de acuerdo a lo establecido en la presente norma y su Reglamento.</w:t>
      </w:r>
    </w:p>
    <w:p w:rsidR="005349B7" w:rsidRPr="005349B7" w:rsidRDefault="005349B7" w:rsidP="005349B7">
      <w:pPr>
        <w:spacing w:after="0" w:line="240" w:lineRule="auto"/>
        <w:jc w:val="both"/>
        <w:rPr>
          <w:rFonts w:ascii="Arial" w:eastAsia="Calibri" w:hAnsi="Arial" w:cs="Arial"/>
        </w:rPr>
      </w:pPr>
    </w:p>
    <w:p w:rsidR="005349B7" w:rsidRPr="0022168E" w:rsidRDefault="005349B7" w:rsidP="005349B7">
      <w:pPr>
        <w:spacing w:after="0" w:line="240" w:lineRule="auto"/>
        <w:jc w:val="both"/>
        <w:rPr>
          <w:rFonts w:ascii="Arial" w:eastAsia="Calibri" w:hAnsi="Arial" w:cs="Arial"/>
          <w:b/>
        </w:rPr>
      </w:pPr>
      <w:r w:rsidRPr="0022168E">
        <w:rPr>
          <w:rFonts w:ascii="Arial" w:eastAsia="Calibri" w:hAnsi="Arial" w:cs="Arial"/>
          <w:b/>
        </w:rPr>
        <w:t>Artículo 2.- Integración del Sistema</w:t>
      </w:r>
    </w:p>
    <w:p w:rsidR="005349B7" w:rsidRPr="005349B7" w:rsidRDefault="005349B7" w:rsidP="005349B7">
      <w:pPr>
        <w:spacing w:after="0" w:line="240" w:lineRule="auto"/>
        <w:jc w:val="both"/>
        <w:rPr>
          <w:rFonts w:ascii="Arial" w:eastAsia="Calibri" w:hAnsi="Arial" w:cs="Arial"/>
        </w:rPr>
      </w:pPr>
      <w:r w:rsidRPr="005349B7">
        <w:rPr>
          <w:rFonts w:ascii="Arial" w:eastAsia="Calibri" w:hAnsi="Arial" w:cs="Arial"/>
        </w:rPr>
        <w:t>El desarrollo del Sistema Nacional de Parques Industriales, se debe realizar de manera sistémica e integral. Para tal efecto, se considerará a los ecosistemas productivos industriales.</w:t>
      </w:r>
    </w:p>
    <w:p w:rsidR="005349B7" w:rsidRPr="005349B7" w:rsidRDefault="005349B7" w:rsidP="005349B7">
      <w:pPr>
        <w:spacing w:after="0" w:line="240" w:lineRule="auto"/>
        <w:jc w:val="both"/>
        <w:rPr>
          <w:rFonts w:ascii="Arial" w:eastAsia="Calibri" w:hAnsi="Arial" w:cs="Arial"/>
        </w:rPr>
      </w:pPr>
    </w:p>
    <w:p w:rsidR="005349B7" w:rsidRPr="0022168E" w:rsidRDefault="005349B7" w:rsidP="005349B7">
      <w:pPr>
        <w:spacing w:after="0" w:line="240" w:lineRule="auto"/>
        <w:jc w:val="both"/>
        <w:rPr>
          <w:rFonts w:ascii="Arial" w:eastAsia="Calibri" w:hAnsi="Arial" w:cs="Arial"/>
          <w:b/>
        </w:rPr>
      </w:pPr>
      <w:r w:rsidRPr="0022168E">
        <w:rPr>
          <w:rFonts w:ascii="Arial" w:eastAsia="Calibri" w:hAnsi="Arial" w:cs="Arial"/>
          <w:b/>
        </w:rPr>
        <w:t>Artículo 3.- Definición de “ecosistemas productivos industriales”</w:t>
      </w:r>
    </w:p>
    <w:p w:rsidR="005349B7" w:rsidRPr="005349B7" w:rsidRDefault="005349B7" w:rsidP="005349B7">
      <w:pPr>
        <w:spacing w:after="0" w:line="240" w:lineRule="auto"/>
        <w:jc w:val="both"/>
        <w:rPr>
          <w:rFonts w:ascii="Arial" w:eastAsia="Calibri" w:hAnsi="Arial" w:cs="Arial"/>
        </w:rPr>
      </w:pPr>
      <w:r w:rsidRPr="005349B7">
        <w:rPr>
          <w:rFonts w:ascii="Arial" w:eastAsia="Calibri" w:hAnsi="Arial" w:cs="Arial"/>
        </w:rPr>
        <w:t>Se considera ecosistemas productivos industriales al conjunto de actores y elementos necesarios para la producción de bienes y servicios, que interactúan entre sí con la finalidad de establecer sinergias complementarias, potenciando su funcionamiento para mejorar su productividad.</w:t>
      </w:r>
    </w:p>
    <w:p w:rsidR="005349B7" w:rsidRPr="005349B7" w:rsidRDefault="005349B7" w:rsidP="005349B7">
      <w:pPr>
        <w:spacing w:after="0" w:line="240" w:lineRule="auto"/>
        <w:jc w:val="both"/>
        <w:rPr>
          <w:rFonts w:ascii="Arial" w:eastAsia="Calibri" w:hAnsi="Arial" w:cs="Arial"/>
        </w:rPr>
      </w:pPr>
    </w:p>
    <w:p w:rsidR="005349B7" w:rsidRPr="0022168E" w:rsidRDefault="005349B7" w:rsidP="005349B7">
      <w:pPr>
        <w:spacing w:after="0" w:line="240" w:lineRule="auto"/>
        <w:jc w:val="both"/>
        <w:rPr>
          <w:rFonts w:ascii="Arial" w:eastAsia="Calibri" w:hAnsi="Arial" w:cs="Arial"/>
          <w:b/>
        </w:rPr>
      </w:pPr>
      <w:r w:rsidRPr="0022168E">
        <w:rPr>
          <w:rFonts w:ascii="Arial" w:eastAsia="Calibri" w:hAnsi="Arial" w:cs="Arial"/>
          <w:b/>
        </w:rPr>
        <w:t>Artículo 4.- Objetivos del Sistema</w:t>
      </w:r>
    </w:p>
    <w:p w:rsidR="005349B7" w:rsidRPr="005349B7" w:rsidRDefault="005349B7" w:rsidP="005349B7">
      <w:pPr>
        <w:spacing w:after="0" w:line="240" w:lineRule="auto"/>
        <w:jc w:val="both"/>
        <w:rPr>
          <w:rFonts w:ascii="Arial" w:eastAsia="Calibri" w:hAnsi="Arial" w:cs="Arial"/>
        </w:rPr>
      </w:pPr>
      <w:r w:rsidRPr="005349B7">
        <w:rPr>
          <w:rFonts w:ascii="Arial" w:eastAsia="Calibri" w:hAnsi="Arial" w:cs="Arial"/>
        </w:rPr>
        <w:t>Los objetivos del Sistema Nacional de Parques Industriales son los siguientes:</w:t>
      </w:r>
    </w:p>
    <w:p w:rsidR="005349B7" w:rsidRPr="005349B7" w:rsidRDefault="005349B7" w:rsidP="005349B7">
      <w:pPr>
        <w:spacing w:after="0" w:line="240" w:lineRule="auto"/>
        <w:jc w:val="both"/>
        <w:rPr>
          <w:rFonts w:ascii="Arial" w:eastAsia="Calibri" w:hAnsi="Arial" w:cs="Arial"/>
        </w:rPr>
      </w:pPr>
    </w:p>
    <w:p w:rsidR="005349B7" w:rsidRDefault="005349B7" w:rsidP="0092471C">
      <w:pPr>
        <w:pStyle w:val="Prrafodelista"/>
        <w:numPr>
          <w:ilvl w:val="1"/>
          <w:numId w:val="167"/>
        </w:numPr>
        <w:spacing w:after="0" w:line="240" w:lineRule="auto"/>
        <w:jc w:val="both"/>
        <w:rPr>
          <w:rFonts w:ascii="Arial" w:eastAsia="Calibri" w:hAnsi="Arial" w:cs="Arial"/>
        </w:rPr>
      </w:pPr>
      <w:r w:rsidRPr="0022168E">
        <w:rPr>
          <w:rFonts w:ascii="Arial" w:eastAsia="Calibri" w:hAnsi="Arial" w:cs="Arial"/>
        </w:rPr>
        <w:t>Contribuir con el desarrollo e implementación de parques industriales, de manera coordinada con los ecosistemas productivos industriales.</w:t>
      </w:r>
    </w:p>
    <w:p w:rsidR="0022168E" w:rsidRDefault="0022168E" w:rsidP="0022168E">
      <w:pPr>
        <w:pStyle w:val="Prrafodelista"/>
        <w:spacing w:after="0" w:line="240" w:lineRule="auto"/>
        <w:ind w:left="1110"/>
        <w:jc w:val="both"/>
        <w:rPr>
          <w:rFonts w:ascii="Arial" w:eastAsia="Calibri" w:hAnsi="Arial" w:cs="Arial"/>
        </w:rPr>
      </w:pPr>
    </w:p>
    <w:p w:rsidR="005349B7" w:rsidRDefault="005349B7" w:rsidP="0092471C">
      <w:pPr>
        <w:pStyle w:val="Prrafodelista"/>
        <w:numPr>
          <w:ilvl w:val="1"/>
          <w:numId w:val="167"/>
        </w:numPr>
        <w:spacing w:after="0" w:line="240" w:lineRule="auto"/>
        <w:jc w:val="both"/>
        <w:rPr>
          <w:rFonts w:ascii="Arial" w:eastAsia="Calibri" w:hAnsi="Arial" w:cs="Arial"/>
        </w:rPr>
      </w:pPr>
      <w:r w:rsidRPr="0022168E">
        <w:rPr>
          <w:rFonts w:ascii="Arial" w:eastAsia="Calibri" w:hAnsi="Arial" w:cs="Arial"/>
        </w:rPr>
        <w:t>Concertar el desarrollo de parques industriales con el ordenamiento territorial y urbano, en coordinación con el desarrollo de la infraestructura de transporte y servicios públicos básicos, a fin de contribuir con el crecimiento armónico y sostenible de las ciudades.</w:t>
      </w:r>
    </w:p>
    <w:p w:rsidR="0022168E" w:rsidRPr="0022168E" w:rsidRDefault="0022168E" w:rsidP="0022168E">
      <w:pPr>
        <w:pStyle w:val="Prrafodelista"/>
        <w:rPr>
          <w:rFonts w:ascii="Arial" w:eastAsia="Calibri" w:hAnsi="Arial" w:cs="Arial"/>
        </w:rPr>
      </w:pPr>
    </w:p>
    <w:p w:rsidR="005349B7" w:rsidRDefault="005349B7" w:rsidP="0092471C">
      <w:pPr>
        <w:pStyle w:val="Prrafodelista"/>
        <w:numPr>
          <w:ilvl w:val="1"/>
          <w:numId w:val="167"/>
        </w:numPr>
        <w:spacing w:after="0" w:line="240" w:lineRule="auto"/>
        <w:jc w:val="both"/>
        <w:rPr>
          <w:rFonts w:ascii="Arial" w:eastAsia="Calibri" w:hAnsi="Arial" w:cs="Arial"/>
        </w:rPr>
      </w:pPr>
      <w:r w:rsidRPr="0022168E">
        <w:rPr>
          <w:rFonts w:ascii="Arial" w:eastAsia="Calibri" w:hAnsi="Arial" w:cs="Arial"/>
        </w:rPr>
        <w:t>Asegurar el cumplimiento de las políticas públicas que en materia de parques industriales requiere de la participación de las entidades del Estado, a nivel intergubernamental.</w:t>
      </w:r>
    </w:p>
    <w:p w:rsidR="0022168E" w:rsidRPr="0022168E" w:rsidRDefault="0022168E" w:rsidP="0022168E">
      <w:pPr>
        <w:pStyle w:val="Prrafodelista"/>
        <w:rPr>
          <w:rFonts w:ascii="Arial" w:eastAsia="Calibri" w:hAnsi="Arial" w:cs="Arial"/>
        </w:rPr>
      </w:pPr>
    </w:p>
    <w:p w:rsidR="005349B7" w:rsidRDefault="005349B7" w:rsidP="0092471C">
      <w:pPr>
        <w:pStyle w:val="Prrafodelista"/>
        <w:numPr>
          <w:ilvl w:val="1"/>
          <w:numId w:val="167"/>
        </w:numPr>
        <w:spacing w:after="0" w:line="240" w:lineRule="auto"/>
        <w:jc w:val="both"/>
        <w:rPr>
          <w:rFonts w:ascii="Arial" w:eastAsia="Calibri" w:hAnsi="Arial" w:cs="Arial"/>
        </w:rPr>
      </w:pPr>
      <w:r w:rsidRPr="0022168E">
        <w:rPr>
          <w:rFonts w:ascii="Arial" w:eastAsia="Calibri" w:hAnsi="Arial" w:cs="Arial"/>
        </w:rPr>
        <w:t>Lograr la participación eficaz de las diferentes instituciones públicas o privadas en materia de parques industriales, así como promover el desarrollo industrial para contribuir con el crecimiento económico a nivel nacional, regional y local.</w:t>
      </w:r>
    </w:p>
    <w:p w:rsidR="0022168E" w:rsidRPr="0022168E" w:rsidRDefault="0022168E" w:rsidP="0022168E">
      <w:pPr>
        <w:pStyle w:val="Prrafodelista"/>
        <w:rPr>
          <w:rFonts w:ascii="Arial" w:eastAsia="Calibri" w:hAnsi="Arial" w:cs="Arial"/>
        </w:rPr>
      </w:pPr>
    </w:p>
    <w:p w:rsidR="005349B7" w:rsidRDefault="005349B7" w:rsidP="0092471C">
      <w:pPr>
        <w:pStyle w:val="Prrafodelista"/>
        <w:numPr>
          <w:ilvl w:val="1"/>
          <w:numId w:val="167"/>
        </w:numPr>
        <w:spacing w:after="0" w:line="240" w:lineRule="auto"/>
        <w:jc w:val="both"/>
        <w:rPr>
          <w:rFonts w:ascii="Arial" w:eastAsia="Calibri" w:hAnsi="Arial" w:cs="Arial"/>
        </w:rPr>
      </w:pPr>
      <w:r w:rsidRPr="0022168E">
        <w:rPr>
          <w:rFonts w:ascii="Arial" w:eastAsia="Calibri" w:hAnsi="Arial" w:cs="Arial"/>
        </w:rPr>
        <w:t>Implementar mecanismos de gestión respecto al manejo de los parques industriales, a nivel nacional, regional y/o local.</w:t>
      </w:r>
    </w:p>
    <w:p w:rsidR="0022168E" w:rsidRPr="0022168E" w:rsidRDefault="0022168E" w:rsidP="0022168E">
      <w:pPr>
        <w:pStyle w:val="Prrafodelista"/>
        <w:rPr>
          <w:rFonts w:ascii="Arial" w:eastAsia="Calibri" w:hAnsi="Arial" w:cs="Arial"/>
        </w:rPr>
      </w:pPr>
    </w:p>
    <w:p w:rsidR="005349B7" w:rsidRDefault="005349B7" w:rsidP="0092471C">
      <w:pPr>
        <w:pStyle w:val="Prrafodelista"/>
        <w:numPr>
          <w:ilvl w:val="1"/>
          <w:numId w:val="167"/>
        </w:numPr>
        <w:spacing w:after="0" w:line="240" w:lineRule="auto"/>
        <w:jc w:val="both"/>
        <w:rPr>
          <w:rFonts w:ascii="Arial" w:eastAsia="Calibri" w:hAnsi="Arial" w:cs="Arial"/>
        </w:rPr>
      </w:pPr>
      <w:r w:rsidRPr="0022168E">
        <w:rPr>
          <w:rFonts w:ascii="Arial" w:eastAsia="Calibri" w:hAnsi="Arial" w:cs="Arial"/>
        </w:rPr>
        <w:t>Aplicar eficazmente las políticas y lineamientos en materia de parques industriales, a fin de garantizar la sostenibilidad del Sistema.</w:t>
      </w:r>
    </w:p>
    <w:p w:rsidR="0022168E" w:rsidRPr="0022168E" w:rsidRDefault="0022168E" w:rsidP="0022168E">
      <w:pPr>
        <w:pStyle w:val="Prrafodelista"/>
        <w:rPr>
          <w:rFonts w:ascii="Arial" w:eastAsia="Calibri" w:hAnsi="Arial" w:cs="Arial"/>
        </w:rPr>
      </w:pPr>
    </w:p>
    <w:p w:rsidR="005349B7" w:rsidRPr="0022168E" w:rsidRDefault="005349B7" w:rsidP="0092471C">
      <w:pPr>
        <w:pStyle w:val="Prrafodelista"/>
        <w:numPr>
          <w:ilvl w:val="1"/>
          <w:numId w:val="167"/>
        </w:numPr>
        <w:spacing w:after="0" w:line="240" w:lineRule="auto"/>
        <w:jc w:val="both"/>
        <w:rPr>
          <w:rFonts w:ascii="Arial" w:eastAsia="Calibri" w:hAnsi="Arial" w:cs="Arial"/>
        </w:rPr>
      </w:pPr>
      <w:r w:rsidRPr="0022168E">
        <w:rPr>
          <w:rFonts w:ascii="Arial" w:eastAsia="Calibri" w:hAnsi="Arial" w:cs="Arial"/>
        </w:rPr>
        <w:t>Articular los instrumentos de planificación relacionados con el desarrollo de parques industriales, en concordancia con los ecosistemas productivos industriales.</w:t>
      </w:r>
    </w:p>
    <w:p w:rsidR="005349B7" w:rsidRPr="005349B7" w:rsidRDefault="005349B7" w:rsidP="005349B7">
      <w:pPr>
        <w:spacing w:after="0" w:line="240" w:lineRule="auto"/>
        <w:jc w:val="both"/>
        <w:rPr>
          <w:rFonts w:ascii="Arial" w:eastAsia="Calibri" w:hAnsi="Arial" w:cs="Arial"/>
        </w:rPr>
      </w:pPr>
    </w:p>
    <w:p w:rsidR="005349B7" w:rsidRPr="0022168E" w:rsidRDefault="005349B7" w:rsidP="005349B7">
      <w:pPr>
        <w:spacing w:after="0" w:line="240" w:lineRule="auto"/>
        <w:jc w:val="both"/>
        <w:rPr>
          <w:rFonts w:ascii="Arial" w:eastAsia="Calibri" w:hAnsi="Arial" w:cs="Arial"/>
          <w:b/>
        </w:rPr>
      </w:pPr>
      <w:r w:rsidRPr="0022168E">
        <w:rPr>
          <w:rFonts w:ascii="Arial" w:eastAsia="Calibri" w:hAnsi="Arial" w:cs="Arial"/>
          <w:b/>
        </w:rPr>
        <w:t>Artículo 5.- Componentes del Sistema</w:t>
      </w:r>
    </w:p>
    <w:p w:rsidR="005349B7" w:rsidRPr="005349B7" w:rsidRDefault="005349B7" w:rsidP="005349B7">
      <w:pPr>
        <w:spacing w:after="0" w:line="240" w:lineRule="auto"/>
        <w:jc w:val="both"/>
        <w:rPr>
          <w:rFonts w:ascii="Arial" w:eastAsia="Calibri" w:hAnsi="Arial" w:cs="Arial"/>
        </w:rPr>
      </w:pPr>
      <w:r w:rsidRPr="005349B7">
        <w:rPr>
          <w:rFonts w:ascii="Arial" w:eastAsia="Calibri" w:hAnsi="Arial" w:cs="Arial"/>
        </w:rPr>
        <w:t>Los componentes del Sistema se relacionan entre sí de manera armónica y coordinada. El Sistema Nacional de Parques Industriales, conforme al Reglamento de la presente norma, tiene los siguientes componentes:</w:t>
      </w:r>
    </w:p>
    <w:p w:rsidR="005349B7" w:rsidRPr="005349B7" w:rsidRDefault="005349B7" w:rsidP="005349B7">
      <w:pPr>
        <w:spacing w:after="0" w:line="240" w:lineRule="auto"/>
        <w:jc w:val="both"/>
        <w:rPr>
          <w:rFonts w:ascii="Arial" w:eastAsia="Calibri" w:hAnsi="Arial" w:cs="Arial"/>
        </w:rPr>
      </w:pPr>
    </w:p>
    <w:p w:rsidR="005349B7" w:rsidRDefault="005349B7" w:rsidP="0022168E">
      <w:pPr>
        <w:pStyle w:val="Prrafodelista"/>
        <w:numPr>
          <w:ilvl w:val="1"/>
          <w:numId w:val="36"/>
        </w:numPr>
        <w:spacing w:after="0" w:line="240" w:lineRule="auto"/>
        <w:jc w:val="both"/>
        <w:rPr>
          <w:rFonts w:ascii="Arial" w:eastAsia="Calibri" w:hAnsi="Arial" w:cs="Arial"/>
        </w:rPr>
      </w:pPr>
      <w:r w:rsidRPr="0022168E">
        <w:rPr>
          <w:rFonts w:ascii="Arial" w:eastAsia="Calibri" w:hAnsi="Arial" w:cs="Arial"/>
        </w:rPr>
        <w:t>Parque Industrial Tecno Ecológico, conforme a lo dispuesto en la Ley Nº 30078 y su Reglamento.</w:t>
      </w:r>
    </w:p>
    <w:p w:rsidR="0022168E" w:rsidRDefault="0022168E" w:rsidP="0022168E">
      <w:pPr>
        <w:pStyle w:val="Prrafodelista"/>
        <w:spacing w:after="0" w:line="240" w:lineRule="auto"/>
        <w:ind w:left="1095"/>
        <w:jc w:val="both"/>
        <w:rPr>
          <w:rFonts w:ascii="Arial" w:eastAsia="Calibri" w:hAnsi="Arial" w:cs="Arial"/>
        </w:rPr>
      </w:pPr>
    </w:p>
    <w:p w:rsidR="005349B7" w:rsidRPr="0022168E" w:rsidRDefault="005349B7" w:rsidP="005349B7">
      <w:pPr>
        <w:pStyle w:val="Prrafodelista"/>
        <w:numPr>
          <w:ilvl w:val="1"/>
          <w:numId w:val="36"/>
        </w:numPr>
        <w:spacing w:after="0" w:line="240" w:lineRule="auto"/>
        <w:jc w:val="both"/>
        <w:rPr>
          <w:rFonts w:ascii="Arial" w:eastAsia="Calibri" w:hAnsi="Arial" w:cs="Arial"/>
        </w:rPr>
      </w:pPr>
      <w:r w:rsidRPr="0022168E">
        <w:rPr>
          <w:rFonts w:ascii="Arial" w:eastAsia="Calibri" w:hAnsi="Arial" w:cs="Arial"/>
        </w:rPr>
        <w:t>Parques Industriales de relevancia nacional con enfoque de clústeres y/o cadena de valor, de iniciativa pública o privada, de acuerdo al Reglamento de la presente norma.</w:t>
      </w:r>
    </w:p>
    <w:p w:rsidR="005349B7" w:rsidRPr="005349B7" w:rsidRDefault="005349B7" w:rsidP="005349B7">
      <w:pPr>
        <w:spacing w:after="0" w:line="240" w:lineRule="auto"/>
        <w:jc w:val="both"/>
        <w:rPr>
          <w:rFonts w:ascii="Arial" w:eastAsia="Calibri" w:hAnsi="Arial" w:cs="Arial"/>
        </w:rPr>
      </w:pPr>
    </w:p>
    <w:p w:rsidR="005349B7" w:rsidRPr="005349B7" w:rsidRDefault="005349B7" w:rsidP="0022168E">
      <w:pPr>
        <w:spacing w:after="0" w:line="240" w:lineRule="auto"/>
        <w:ind w:left="1134"/>
        <w:jc w:val="both"/>
        <w:rPr>
          <w:rFonts w:ascii="Arial" w:eastAsia="Calibri" w:hAnsi="Arial" w:cs="Arial"/>
        </w:rPr>
      </w:pPr>
      <w:r w:rsidRPr="005349B7">
        <w:rPr>
          <w:rFonts w:ascii="Arial" w:eastAsia="Calibri" w:hAnsi="Arial" w:cs="Arial"/>
        </w:rPr>
        <w:t>Los parques científicos y tecnológicos podrán articular con el Sistema Nacional de Parques Industriales.</w:t>
      </w:r>
    </w:p>
    <w:p w:rsidR="005349B7" w:rsidRPr="005349B7" w:rsidRDefault="005349B7" w:rsidP="005349B7">
      <w:pPr>
        <w:spacing w:after="0" w:line="240" w:lineRule="auto"/>
        <w:jc w:val="both"/>
        <w:rPr>
          <w:rFonts w:ascii="Arial" w:eastAsia="Calibri" w:hAnsi="Arial" w:cs="Arial"/>
        </w:rPr>
      </w:pPr>
    </w:p>
    <w:p w:rsidR="005349B7" w:rsidRPr="0022168E" w:rsidRDefault="005349B7" w:rsidP="005349B7">
      <w:pPr>
        <w:spacing w:after="0" w:line="240" w:lineRule="auto"/>
        <w:jc w:val="both"/>
        <w:rPr>
          <w:rFonts w:ascii="Arial" w:eastAsia="Calibri" w:hAnsi="Arial" w:cs="Arial"/>
          <w:b/>
        </w:rPr>
      </w:pPr>
      <w:r w:rsidRPr="0022168E">
        <w:rPr>
          <w:rFonts w:ascii="Arial" w:eastAsia="Calibri" w:hAnsi="Arial" w:cs="Arial"/>
          <w:b/>
        </w:rPr>
        <w:t>Artículo 6.- Rectoría y supervisión</w:t>
      </w:r>
    </w:p>
    <w:p w:rsidR="005349B7" w:rsidRPr="005349B7" w:rsidRDefault="005349B7" w:rsidP="005349B7">
      <w:pPr>
        <w:spacing w:after="0" w:line="240" w:lineRule="auto"/>
        <w:jc w:val="both"/>
        <w:rPr>
          <w:rFonts w:ascii="Arial" w:eastAsia="Calibri" w:hAnsi="Arial" w:cs="Arial"/>
        </w:rPr>
      </w:pPr>
      <w:r w:rsidRPr="005349B7">
        <w:rPr>
          <w:rFonts w:ascii="Arial" w:eastAsia="Calibri" w:hAnsi="Arial" w:cs="Arial"/>
        </w:rPr>
        <w:t>El Ministerio de la Producción es el ente rector en materia de parques industriales, y coordina con las demás entidades competentes de todos los niveles de gobierno, a fin de que el desarrollo de los mismos se realice de manera armónica y sistémica con los ecosistemas productivos industriales.</w:t>
      </w:r>
    </w:p>
    <w:p w:rsidR="005349B7" w:rsidRPr="005349B7" w:rsidRDefault="005349B7" w:rsidP="005349B7">
      <w:pPr>
        <w:spacing w:after="0" w:line="240" w:lineRule="auto"/>
        <w:jc w:val="both"/>
        <w:rPr>
          <w:rFonts w:ascii="Arial" w:eastAsia="Calibri" w:hAnsi="Arial" w:cs="Arial"/>
        </w:rPr>
      </w:pPr>
    </w:p>
    <w:p w:rsidR="005349B7" w:rsidRPr="005349B7" w:rsidRDefault="005349B7" w:rsidP="005349B7">
      <w:pPr>
        <w:spacing w:after="0" w:line="240" w:lineRule="auto"/>
        <w:jc w:val="both"/>
        <w:rPr>
          <w:rFonts w:ascii="Arial" w:eastAsia="Calibri" w:hAnsi="Arial" w:cs="Arial"/>
        </w:rPr>
      </w:pPr>
      <w:r w:rsidRPr="005349B7">
        <w:rPr>
          <w:rFonts w:ascii="Arial" w:eastAsia="Calibri" w:hAnsi="Arial" w:cs="Arial"/>
        </w:rPr>
        <w:t>Asimismo, corresponde al Ministerio de la Producción supervisar el desarrollo e implementación de los parques industriales de relevancia nacional, con la finalidad de asegurar el cumplimiento de sus fines.</w:t>
      </w:r>
    </w:p>
    <w:p w:rsidR="005349B7" w:rsidRPr="005349B7" w:rsidRDefault="005349B7" w:rsidP="005349B7">
      <w:pPr>
        <w:spacing w:after="0" w:line="240" w:lineRule="auto"/>
        <w:jc w:val="both"/>
        <w:rPr>
          <w:rFonts w:ascii="Arial" w:eastAsia="Calibri" w:hAnsi="Arial" w:cs="Arial"/>
        </w:rPr>
      </w:pPr>
    </w:p>
    <w:p w:rsidR="005349B7" w:rsidRPr="0022168E" w:rsidRDefault="005349B7" w:rsidP="005349B7">
      <w:pPr>
        <w:spacing w:after="0" w:line="240" w:lineRule="auto"/>
        <w:jc w:val="both"/>
        <w:rPr>
          <w:rFonts w:ascii="Arial" w:eastAsia="Calibri" w:hAnsi="Arial" w:cs="Arial"/>
          <w:b/>
        </w:rPr>
      </w:pPr>
      <w:r w:rsidRPr="0022168E">
        <w:rPr>
          <w:rFonts w:ascii="Arial" w:eastAsia="Calibri" w:hAnsi="Arial" w:cs="Arial"/>
          <w:b/>
        </w:rPr>
        <w:t>Artículo 7.- Consejo Nacional de Desarrollo Industrial</w:t>
      </w:r>
    </w:p>
    <w:p w:rsidR="005349B7" w:rsidRPr="005349B7" w:rsidRDefault="005349B7" w:rsidP="005349B7">
      <w:pPr>
        <w:spacing w:after="0" w:line="240" w:lineRule="auto"/>
        <w:jc w:val="both"/>
        <w:rPr>
          <w:rFonts w:ascii="Arial" w:eastAsia="Calibri" w:hAnsi="Arial" w:cs="Arial"/>
        </w:rPr>
      </w:pPr>
      <w:r w:rsidRPr="005349B7">
        <w:rPr>
          <w:rFonts w:ascii="Arial" w:eastAsia="Calibri" w:hAnsi="Arial" w:cs="Arial"/>
        </w:rPr>
        <w:t>Confórmese el Consejo Nacional de Desarrollo Industrial, el cual es un espacio de concertación y de decisión colegiada, encargado de coordinar las políticas y lineamientos para el desarrollo industrial en coordinación con los ecosistemas productivos industriales, así como de definir la relevancia nacional de los parques industriales que correspondan, conforme a lo establecido en el artículo 8 de la presente norma y su Reglamento. Dicho Consejo se encuentra integrado por:</w:t>
      </w:r>
    </w:p>
    <w:p w:rsidR="005349B7" w:rsidRPr="005349B7" w:rsidRDefault="005349B7" w:rsidP="005349B7">
      <w:pPr>
        <w:spacing w:after="0" w:line="240" w:lineRule="auto"/>
        <w:jc w:val="both"/>
        <w:rPr>
          <w:rFonts w:ascii="Arial" w:eastAsia="Calibri" w:hAnsi="Arial" w:cs="Arial"/>
        </w:rPr>
      </w:pPr>
    </w:p>
    <w:p w:rsidR="005349B7" w:rsidRPr="005349B7" w:rsidRDefault="005349B7" w:rsidP="005349B7">
      <w:pPr>
        <w:spacing w:after="0" w:line="240" w:lineRule="auto"/>
        <w:jc w:val="both"/>
        <w:rPr>
          <w:rFonts w:ascii="Arial" w:eastAsia="Calibri" w:hAnsi="Arial" w:cs="Arial"/>
        </w:rPr>
      </w:pPr>
      <w:r w:rsidRPr="005349B7">
        <w:rPr>
          <w:rFonts w:ascii="Arial" w:eastAsia="Calibri" w:hAnsi="Arial" w:cs="Arial"/>
        </w:rPr>
        <w:tab/>
        <w:t>a. El Ministro de la Producción, quien lo presidirá.</w:t>
      </w:r>
    </w:p>
    <w:p w:rsidR="005349B7" w:rsidRPr="005349B7" w:rsidRDefault="005349B7" w:rsidP="005349B7">
      <w:pPr>
        <w:spacing w:after="0" w:line="240" w:lineRule="auto"/>
        <w:jc w:val="both"/>
        <w:rPr>
          <w:rFonts w:ascii="Arial" w:eastAsia="Calibri" w:hAnsi="Arial" w:cs="Arial"/>
        </w:rPr>
      </w:pPr>
      <w:r w:rsidRPr="005349B7">
        <w:rPr>
          <w:rFonts w:ascii="Arial" w:eastAsia="Calibri" w:hAnsi="Arial" w:cs="Arial"/>
        </w:rPr>
        <w:tab/>
        <w:t>b. El Ministro de Economía y Finanzas.</w:t>
      </w:r>
    </w:p>
    <w:p w:rsidR="005349B7" w:rsidRPr="005349B7" w:rsidRDefault="005349B7" w:rsidP="005349B7">
      <w:pPr>
        <w:spacing w:after="0" w:line="240" w:lineRule="auto"/>
        <w:jc w:val="both"/>
        <w:rPr>
          <w:rFonts w:ascii="Arial" w:eastAsia="Calibri" w:hAnsi="Arial" w:cs="Arial"/>
        </w:rPr>
      </w:pPr>
      <w:r w:rsidRPr="005349B7">
        <w:rPr>
          <w:rFonts w:ascii="Arial" w:eastAsia="Calibri" w:hAnsi="Arial" w:cs="Arial"/>
        </w:rPr>
        <w:tab/>
        <w:t>c. El Ministro de Transportes y Comunicaciones.</w:t>
      </w:r>
    </w:p>
    <w:p w:rsidR="005349B7" w:rsidRPr="005349B7" w:rsidRDefault="005349B7" w:rsidP="005349B7">
      <w:pPr>
        <w:spacing w:after="0" w:line="240" w:lineRule="auto"/>
        <w:jc w:val="both"/>
        <w:rPr>
          <w:rFonts w:ascii="Arial" w:eastAsia="Calibri" w:hAnsi="Arial" w:cs="Arial"/>
        </w:rPr>
      </w:pPr>
      <w:r w:rsidRPr="005349B7">
        <w:rPr>
          <w:rFonts w:ascii="Arial" w:eastAsia="Calibri" w:hAnsi="Arial" w:cs="Arial"/>
        </w:rPr>
        <w:tab/>
        <w:t>d. El Ministro de Comercio Exterior y Turismo.</w:t>
      </w:r>
    </w:p>
    <w:p w:rsidR="005349B7" w:rsidRPr="005349B7" w:rsidRDefault="005349B7" w:rsidP="005349B7">
      <w:pPr>
        <w:spacing w:after="0" w:line="240" w:lineRule="auto"/>
        <w:jc w:val="both"/>
        <w:rPr>
          <w:rFonts w:ascii="Arial" w:eastAsia="Calibri" w:hAnsi="Arial" w:cs="Arial"/>
        </w:rPr>
      </w:pPr>
      <w:r w:rsidRPr="005349B7">
        <w:rPr>
          <w:rFonts w:ascii="Arial" w:eastAsia="Calibri" w:hAnsi="Arial" w:cs="Arial"/>
        </w:rPr>
        <w:tab/>
        <w:t>e. El Ministro de Trabajo y Promoción del Empleo.</w:t>
      </w:r>
    </w:p>
    <w:p w:rsidR="005349B7" w:rsidRPr="005349B7" w:rsidRDefault="005349B7" w:rsidP="005349B7">
      <w:pPr>
        <w:spacing w:after="0" w:line="240" w:lineRule="auto"/>
        <w:jc w:val="both"/>
        <w:rPr>
          <w:rFonts w:ascii="Arial" w:eastAsia="Calibri" w:hAnsi="Arial" w:cs="Arial"/>
        </w:rPr>
      </w:pPr>
    </w:p>
    <w:p w:rsidR="005349B7" w:rsidRPr="005349B7" w:rsidRDefault="005349B7" w:rsidP="005349B7">
      <w:pPr>
        <w:spacing w:after="0" w:line="240" w:lineRule="auto"/>
        <w:jc w:val="both"/>
        <w:rPr>
          <w:rFonts w:ascii="Arial" w:eastAsia="Calibri" w:hAnsi="Arial" w:cs="Arial"/>
        </w:rPr>
      </w:pPr>
      <w:r w:rsidRPr="005349B7">
        <w:rPr>
          <w:rFonts w:ascii="Arial" w:eastAsia="Calibri" w:hAnsi="Arial" w:cs="Arial"/>
        </w:rPr>
        <w:t>Asimismo, se deberá convocar ante el Consejo Nacional a las autoridades o representantes de las instituciones o entidades públicas o privadas, relacionadas con la implementación de los parques industriales de relevancia nacional.</w:t>
      </w:r>
    </w:p>
    <w:p w:rsidR="005349B7" w:rsidRPr="005349B7" w:rsidRDefault="005349B7" w:rsidP="005349B7">
      <w:pPr>
        <w:spacing w:after="0" w:line="240" w:lineRule="auto"/>
        <w:jc w:val="both"/>
        <w:rPr>
          <w:rFonts w:ascii="Arial" w:eastAsia="Calibri" w:hAnsi="Arial" w:cs="Arial"/>
        </w:rPr>
      </w:pPr>
    </w:p>
    <w:p w:rsidR="005349B7" w:rsidRPr="005349B7" w:rsidRDefault="005349B7" w:rsidP="005349B7">
      <w:pPr>
        <w:spacing w:after="0" w:line="240" w:lineRule="auto"/>
        <w:jc w:val="both"/>
        <w:rPr>
          <w:rFonts w:ascii="Arial" w:eastAsia="Calibri" w:hAnsi="Arial" w:cs="Arial"/>
        </w:rPr>
      </w:pPr>
      <w:r w:rsidRPr="005349B7">
        <w:rPr>
          <w:rFonts w:ascii="Arial" w:eastAsia="Calibri" w:hAnsi="Arial" w:cs="Arial"/>
        </w:rPr>
        <w:t>En el caso del Ministro de Trabajo y Promoción del Empleo, su representación estará orientada únicamente a promover el desarrollo del capital humano mediante las capacitaciones que correspondan.</w:t>
      </w:r>
    </w:p>
    <w:p w:rsidR="005349B7" w:rsidRPr="005349B7" w:rsidRDefault="005349B7" w:rsidP="005349B7">
      <w:pPr>
        <w:spacing w:after="0" w:line="240" w:lineRule="auto"/>
        <w:jc w:val="both"/>
        <w:rPr>
          <w:rFonts w:ascii="Arial" w:eastAsia="Calibri" w:hAnsi="Arial" w:cs="Arial"/>
        </w:rPr>
      </w:pPr>
    </w:p>
    <w:p w:rsidR="005349B7" w:rsidRPr="005349B7" w:rsidRDefault="005349B7" w:rsidP="005349B7">
      <w:pPr>
        <w:spacing w:after="0" w:line="240" w:lineRule="auto"/>
        <w:jc w:val="both"/>
        <w:rPr>
          <w:rFonts w:ascii="Arial" w:eastAsia="Calibri" w:hAnsi="Arial" w:cs="Arial"/>
        </w:rPr>
      </w:pPr>
      <w:r w:rsidRPr="005349B7">
        <w:rPr>
          <w:rFonts w:ascii="Arial" w:eastAsia="Calibri" w:hAnsi="Arial" w:cs="Arial"/>
        </w:rPr>
        <w:t>La participación de los miembros del Consejo será Ad Honorem y podrán contar con sus representantes alternos, los mismos que deberán tener nivel viceministerial. Los representantes alternos podrán asistir a las sesiones de manera excepcional, cuando el titular justificadamente no asista a la misma.</w:t>
      </w:r>
    </w:p>
    <w:p w:rsidR="005349B7" w:rsidRPr="005349B7" w:rsidRDefault="005349B7" w:rsidP="005349B7">
      <w:pPr>
        <w:spacing w:after="0" w:line="240" w:lineRule="auto"/>
        <w:jc w:val="both"/>
        <w:rPr>
          <w:rFonts w:ascii="Arial" w:eastAsia="Calibri" w:hAnsi="Arial" w:cs="Arial"/>
        </w:rPr>
      </w:pPr>
    </w:p>
    <w:p w:rsidR="005349B7" w:rsidRPr="005349B7" w:rsidRDefault="005349B7" w:rsidP="005349B7">
      <w:pPr>
        <w:spacing w:after="0" w:line="240" w:lineRule="auto"/>
        <w:jc w:val="both"/>
        <w:rPr>
          <w:rFonts w:ascii="Arial" w:eastAsia="Calibri" w:hAnsi="Arial" w:cs="Arial"/>
        </w:rPr>
      </w:pPr>
      <w:r w:rsidRPr="005349B7">
        <w:rPr>
          <w:rFonts w:ascii="Arial" w:eastAsia="Calibri" w:hAnsi="Arial" w:cs="Arial"/>
        </w:rPr>
        <w:t>El citado Consejo contará con una Secretaría Técnica a cargo del Ministerio de la Producción, conforme al Reglamento de la presente norma.</w:t>
      </w:r>
    </w:p>
    <w:p w:rsidR="005349B7" w:rsidRPr="005349B7" w:rsidRDefault="005349B7" w:rsidP="005349B7">
      <w:pPr>
        <w:spacing w:after="0" w:line="240" w:lineRule="auto"/>
        <w:jc w:val="both"/>
        <w:rPr>
          <w:rFonts w:ascii="Arial" w:eastAsia="Calibri" w:hAnsi="Arial" w:cs="Arial"/>
        </w:rPr>
      </w:pPr>
    </w:p>
    <w:p w:rsidR="005349B7" w:rsidRPr="0022168E" w:rsidRDefault="005349B7" w:rsidP="005349B7">
      <w:pPr>
        <w:spacing w:after="0" w:line="240" w:lineRule="auto"/>
        <w:jc w:val="both"/>
        <w:rPr>
          <w:rFonts w:ascii="Arial" w:eastAsia="Calibri" w:hAnsi="Arial" w:cs="Arial"/>
          <w:b/>
        </w:rPr>
      </w:pPr>
      <w:r w:rsidRPr="0022168E">
        <w:rPr>
          <w:rFonts w:ascii="Arial" w:eastAsia="Calibri" w:hAnsi="Arial" w:cs="Arial"/>
          <w:b/>
        </w:rPr>
        <w:t>Artículo 8.- Funciones y Atribuciones del Consejo</w:t>
      </w:r>
    </w:p>
    <w:p w:rsidR="005349B7" w:rsidRPr="005349B7" w:rsidRDefault="005349B7" w:rsidP="005349B7">
      <w:pPr>
        <w:spacing w:after="0" w:line="240" w:lineRule="auto"/>
        <w:jc w:val="both"/>
        <w:rPr>
          <w:rFonts w:ascii="Arial" w:eastAsia="Calibri" w:hAnsi="Arial" w:cs="Arial"/>
        </w:rPr>
      </w:pPr>
      <w:r w:rsidRPr="005349B7">
        <w:rPr>
          <w:rFonts w:ascii="Arial" w:eastAsia="Calibri" w:hAnsi="Arial" w:cs="Arial"/>
        </w:rPr>
        <w:t>Son funciones y atribuciones del Consejo las siguientes:</w:t>
      </w:r>
    </w:p>
    <w:p w:rsidR="005349B7" w:rsidRPr="005349B7" w:rsidRDefault="005349B7" w:rsidP="005349B7">
      <w:pPr>
        <w:spacing w:after="0" w:line="240" w:lineRule="auto"/>
        <w:jc w:val="both"/>
        <w:rPr>
          <w:rFonts w:ascii="Arial" w:eastAsia="Calibri" w:hAnsi="Arial" w:cs="Arial"/>
        </w:rPr>
      </w:pPr>
    </w:p>
    <w:p w:rsidR="005349B7" w:rsidRDefault="0022168E" w:rsidP="0092471C">
      <w:pPr>
        <w:pStyle w:val="Prrafodelista"/>
        <w:numPr>
          <w:ilvl w:val="1"/>
          <w:numId w:val="245"/>
        </w:numPr>
        <w:spacing w:after="0" w:line="240" w:lineRule="auto"/>
        <w:ind w:left="1134"/>
        <w:jc w:val="both"/>
        <w:rPr>
          <w:rFonts w:ascii="Arial" w:eastAsia="Calibri" w:hAnsi="Arial" w:cs="Arial"/>
        </w:rPr>
      </w:pPr>
      <w:r w:rsidRPr="0022168E">
        <w:rPr>
          <w:rFonts w:ascii="Arial" w:eastAsia="Calibri" w:hAnsi="Arial" w:cs="Arial"/>
        </w:rPr>
        <w:t xml:space="preserve"> </w:t>
      </w:r>
      <w:r w:rsidR="005349B7" w:rsidRPr="0022168E">
        <w:rPr>
          <w:rFonts w:ascii="Arial" w:eastAsia="Calibri" w:hAnsi="Arial" w:cs="Arial"/>
        </w:rPr>
        <w:t>Conducir el desarrollo del Sistema Nacional de Parques Industriales.</w:t>
      </w:r>
    </w:p>
    <w:p w:rsidR="0022168E" w:rsidRDefault="0022168E" w:rsidP="0022168E">
      <w:pPr>
        <w:pStyle w:val="Prrafodelista"/>
        <w:spacing w:after="0" w:line="240" w:lineRule="auto"/>
        <w:ind w:left="1134"/>
        <w:jc w:val="both"/>
        <w:rPr>
          <w:rFonts w:ascii="Arial" w:eastAsia="Calibri" w:hAnsi="Arial" w:cs="Arial"/>
        </w:rPr>
      </w:pPr>
    </w:p>
    <w:p w:rsidR="005349B7" w:rsidRDefault="005349B7" w:rsidP="0092471C">
      <w:pPr>
        <w:pStyle w:val="Prrafodelista"/>
        <w:numPr>
          <w:ilvl w:val="1"/>
          <w:numId w:val="245"/>
        </w:numPr>
        <w:spacing w:after="0" w:line="240" w:lineRule="auto"/>
        <w:ind w:left="1134"/>
        <w:jc w:val="both"/>
        <w:rPr>
          <w:rFonts w:ascii="Arial" w:eastAsia="Calibri" w:hAnsi="Arial" w:cs="Arial"/>
        </w:rPr>
      </w:pPr>
      <w:r w:rsidRPr="0022168E">
        <w:rPr>
          <w:rFonts w:ascii="Arial" w:eastAsia="Calibri" w:hAnsi="Arial" w:cs="Arial"/>
        </w:rPr>
        <w:t>Promover, coordinar, supervisar y evaluar las políticas que se desarrollen en el marco del citado Sistema.</w:t>
      </w:r>
    </w:p>
    <w:p w:rsidR="0022168E" w:rsidRPr="0022168E" w:rsidRDefault="0022168E" w:rsidP="0022168E">
      <w:pPr>
        <w:pStyle w:val="Prrafodelista"/>
        <w:rPr>
          <w:rFonts w:ascii="Arial" w:eastAsia="Calibri" w:hAnsi="Arial" w:cs="Arial"/>
        </w:rPr>
      </w:pPr>
    </w:p>
    <w:p w:rsidR="005349B7" w:rsidRDefault="005349B7" w:rsidP="0092471C">
      <w:pPr>
        <w:pStyle w:val="Prrafodelista"/>
        <w:numPr>
          <w:ilvl w:val="1"/>
          <w:numId w:val="245"/>
        </w:numPr>
        <w:spacing w:after="0" w:line="240" w:lineRule="auto"/>
        <w:ind w:left="1134"/>
        <w:jc w:val="both"/>
        <w:rPr>
          <w:rFonts w:ascii="Arial" w:eastAsia="Calibri" w:hAnsi="Arial" w:cs="Arial"/>
        </w:rPr>
      </w:pPr>
      <w:r w:rsidRPr="0022168E">
        <w:rPr>
          <w:rFonts w:ascii="Arial" w:eastAsia="Calibri" w:hAnsi="Arial" w:cs="Arial"/>
        </w:rPr>
        <w:t>Aprobar y dictar los lineamientos, así como las intervenciones, que se requieran para la implementación de los parques industriales, en el ámbito del citado Sistema.</w:t>
      </w:r>
    </w:p>
    <w:p w:rsidR="0022168E" w:rsidRPr="0022168E" w:rsidRDefault="0022168E" w:rsidP="0022168E">
      <w:pPr>
        <w:pStyle w:val="Prrafodelista"/>
        <w:rPr>
          <w:rFonts w:ascii="Arial" w:eastAsia="Calibri" w:hAnsi="Arial" w:cs="Arial"/>
        </w:rPr>
      </w:pPr>
    </w:p>
    <w:p w:rsidR="005349B7" w:rsidRDefault="005349B7" w:rsidP="0092471C">
      <w:pPr>
        <w:pStyle w:val="Prrafodelista"/>
        <w:numPr>
          <w:ilvl w:val="1"/>
          <w:numId w:val="245"/>
        </w:numPr>
        <w:spacing w:after="0" w:line="240" w:lineRule="auto"/>
        <w:ind w:left="1134"/>
        <w:jc w:val="both"/>
        <w:rPr>
          <w:rFonts w:ascii="Arial" w:eastAsia="Calibri" w:hAnsi="Arial" w:cs="Arial"/>
        </w:rPr>
      </w:pPr>
      <w:r w:rsidRPr="0022168E">
        <w:rPr>
          <w:rFonts w:ascii="Arial" w:eastAsia="Calibri" w:hAnsi="Arial" w:cs="Arial"/>
        </w:rPr>
        <w:t>Coordinar políticas, lineamientos y directivas para el fortalecimiento de los parques industriales, en concordancia con los ecosistemas productivos industriales.</w:t>
      </w:r>
    </w:p>
    <w:p w:rsidR="0022168E" w:rsidRPr="0022168E" w:rsidRDefault="0022168E" w:rsidP="0022168E">
      <w:pPr>
        <w:pStyle w:val="Prrafodelista"/>
        <w:rPr>
          <w:rFonts w:ascii="Arial" w:eastAsia="Calibri" w:hAnsi="Arial" w:cs="Arial"/>
        </w:rPr>
      </w:pPr>
    </w:p>
    <w:p w:rsidR="005349B7" w:rsidRDefault="005349B7" w:rsidP="0092471C">
      <w:pPr>
        <w:pStyle w:val="Prrafodelista"/>
        <w:numPr>
          <w:ilvl w:val="1"/>
          <w:numId w:val="245"/>
        </w:numPr>
        <w:spacing w:after="0" w:line="240" w:lineRule="auto"/>
        <w:ind w:left="1134"/>
        <w:jc w:val="both"/>
        <w:rPr>
          <w:rFonts w:ascii="Arial" w:eastAsia="Calibri" w:hAnsi="Arial" w:cs="Arial"/>
        </w:rPr>
      </w:pPr>
      <w:r w:rsidRPr="0022168E">
        <w:rPr>
          <w:rFonts w:ascii="Arial" w:eastAsia="Calibri" w:hAnsi="Arial" w:cs="Arial"/>
        </w:rPr>
        <w:t>Promover y coordinar con los gobiernos regionales, locales, así como con entidades públicas y privadas el diálogo continuo orientado al desarrollo del Sistema.</w:t>
      </w:r>
    </w:p>
    <w:p w:rsidR="0022168E" w:rsidRPr="0022168E" w:rsidRDefault="0022168E" w:rsidP="0022168E">
      <w:pPr>
        <w:pStyle w:val="Prrafodelista"/>
        <w:rPr>
          <w:rFonts w:ascii="Arial" w:eastAsia="Calibri" w:hAnsi="Arial" w:cs="Arial"/>
        </w:rPr>
      </w:pPr>
    </w:p>
    <w:p w:rsidR="005349B7" w:rsidRDefault="005349B7" w:rsidP="0092471C">
      <w:pPr>
        <w:pStyle w:val="Prrafodelista"/>
        <w:numPr>
          <w:ilvl w:val="1"/>
          <w:numId w:val="245"/>
        </w:numPr>
        <w:spacing w:after="0" w:line="240" w:lineRule="auto"/>
        <w:ind w:left="1134"/>
        <w:jc w:val="both"/>
        <w:rPr>
          <w:rFonts w:ascii="Arial" w:eastAsia="Calibri" w:hAnsi="Arial" w:cs="Arial"/>
        </w:rPr>
      </w:pPr>
      <w:r w:rsidRPr="0022168E">
        <w:rPr>
          <w:rFonts w:ascii="Arial" w:eastAsia="Calibri" w:hAnsi="Arial" w:cs="Arial"/>
        </w:rPr>
        <w:t>Promover la implementación de prácticas de modelos de gestión de los parques industriales.</w:t>
      </w:r>
    </w:p>
    <w:p w:rsidR="0022168E" w:rsidRPr="0022168E" w:rsidRDefault="0022168E" w:rsidP="0022168E">
      <w:pPr>
        <w:pStyle w:val="Prrafodelista"/>
        <w:rPr>
          <w:rFonts w:ascii="Arial" w:eastAsia="Calibri" w:hAnsi="Arial" w:cs="Arial"/>
        </w:rPr>
      </w:pPr>
    </w:p>
    <w:p w:rsidR="0022168E" w:rsidRDefault="005349B7" w:rsidP="0092471C">
      <w:pPr>
        <w:pStyle w:val="Prrafodelista"/>
        <w:numPr>
          <w:ilvl w:val="1"/>
          <w:numId w:val="245"/>
        </w:numPr>
        <w:spacing w:after="0" w:line="240" w:lineRule="auto"/>
        <w:ind w:left="1134"/>
        <w:jc w:val="both"/>
        <w:rPr>
          <w:rFonts w:ascii="Arial" w:eastAsia="Calibri" w:hAnsi="Arial" w:cs="Arial"/>
        </w:rPr>
      </w:pPr>
      <w:r w:rsidRPr="0022168E">
        <w:rPr>
          <w:rFonts w:ascii="Arial" w:eastAsia="Calibri" w:hAnsi="Arial" w:cs="Arial"/>
        </w:rPr>
        <w:t>Fomentar la calidad de los servicios que brindan los parques industriales.</w:t>
      </w:r>
    </w:p>
    <w:p w:rsidR="0022168E" w:rsidRPr="0022168E" w:rsidRDefault="0022168E" w:rsidP="0022168E">
      <w:pPr>
        <w:pStyle w:val="Prrafodelista"/>
        <w:rPr>
          <w:rFonts w:ascii="Arial" w:eastAsia="Calibri" w:hAnsi="Arial" w:cs="Arial"/>
        </w:rPr>
      </w:pPr>
    </w:p>
    <w:p w:rsidR="005349B7" w:rsidRDefault="005349B7" w:rsidP="0092471C">
      <w:pPr>
        <w:pStyle w:val="Prrafodelista"/>
        <w:numPr>
          <w:ilvl w:val="1"/>
          <w:numId w:val="245"/>
        </w:numPr>
        <w:spacing w:after="0" w:line="240" w:lineRule="auto"/>
        <w:ind w:left="1134"/>
        <w:jc w:val="both"/>
        <w:rPr>
          <w:rFonts w:ascii="Arial" w:eastAsia="Calibri" w:hAnsi="Arial" w:cs="Arial"/>
        </w:rPr>
      </w:pPr>
      <w:r w:rsidRPr="0022168E">
        <w:rPr>
          <w:rFonts w:ascii="Arial" w:eastAsia="Calibri" w:hAnsi="Arial" w:cs="Arial"/>
        </w:rPr>
        <w:t>Promover el desarrollo de Sistema, en coordinación con el desarrollo de la infraestructura productiva y de los ecosistemas productivos industriales.</w:t>
      </w:r>
    </w:p>
    <w:p w:rsidR="0022168E" w:rsidRPr="0022168E" w:rsidRDefault="0022168E" w:rsidP="0022168E">
      <w:pPr>
        <w:pStyle w:val="Prrafodelista"/>
        <w:rPr>
          <w:rFonts w:ascii="Arial" w:eastAsia="Calibri" w:hAnsi="Arial" w:cs="Arial"/>
        </w:rPr>
      </w:pPr>
    </w:p>
    <w:p w:rsidR="005349B7" w:rsidRDefault="005349B7" w:rsidP="0092471C">
      <w:pPr>
        <w:pStyle w:val="Prrafodelista"/>
        <w:numPr>
          <w:ilvl w:val="1"/>
          <w:numId w:val="245"/>
        </w:numPr>
        <w:spacing w:after="0" w:line="240" w:lineRule="auto"/>
        <w:ind w:left="1134"/>
        <w:jc w:val="both"/>
        <w:rPr>
          <w:rFonts w:ascii="Arial" w:eastAsia="Calibri" w:hAnsi="Arial" w:cs="Arial"/>
        </w:rPr>
      </w:pPr>
      <w:r w:rsidRPr="0022168E">
        <w:rPr>
          <w:rFonts w:ascii="Arial" w:eastAsia="Calibri" w:hAnsi="Arial" w:cs="Arial"/>
        </w:rPr>
        <w:t>Monitorear el impacto de la implementación de los parques industriales.</w:t>
      </w:r>
    </w:p>
    <w:p w:rsidR="0022168E" w:rsidRPr="0022168E" w:rsidRDefault="0022168E" w:rsidP="0022168E">
      <w:pPr>
        <w:pStyle w:val="Prrafodelista"/>
        <w:rPr>
          <w:rFonts w:ascii="Arial" w:eastAsia="Calibri" w:hAnsi="Arial" w:cs="Arial"/>
        </w:rPr>
      </w:pPr>
    </w:p>
    <w:p w:rsidR="005349B7" w:rsidRPr="0022168E" w:rsidRDefault="005349B7" w:rsidP="0092471C">
      <w:pPr>
        <w:pStyle w:val="Prrafodelista"/>
        <w:numPr>
          <w:ilvl w:val="1"/>
          <w:numId w:val="245"/>
        </w:numPr>
        <w:spacing w:after="0" w:line="240" w:lineRule="auto"/>
        <w:ind w:left="1134" w:hanging="567"/>
        <w:jc w:val="both"/>
        <w:rPr>
          <w:rFonts w:ascii="Arial" w:eastAsia="Calibri" w:hAnsi="Arial" w:cs="Arial"/>
        </w:rPr>
      </w:pPr>
      <w:r w:rsidRPr="0022168E">
        <w:rPr>
          <w:rFonts w:ascii="Arial" w:eastAsia="Calibri" w:hAnsi="Arial" w:cs="Arial"/>
        </w:rPr>
        <w:t>Determinar la relevancia nacional del desarrollo de parques industriales, así como la entidad pública y el procedimiento que correspondan para su implementación y ejecución, conforme a lo establecido en el artículo 10 de la presente norma.</w:t>
      </w:r>
    </w:p>
    <w:p w:rsidR="005349B7" w:rsidRPr="005349B7" w:rsidRDefault="005349B7" w:rsidP="005349B7">
      <w:pPr>
        <w:spacing w:after="0" w:line="240" w:lineRule="auto"/>
        <w:jc w:val="both"/>
        <w:rPr>
          <w:rFonts w:ascii="Arial" w:eastAsia="Calibri" w:hAnsi="Arial" w:cs="Arial"/>
        </w:rPr>
      </w:pPr>
    </w:p>
    <w:p w:rsidR="005349B7" w:rsidRPr="0022168E" w:rsidRDefault="005349B7" w:rsidP="005349B7">
      <w:pPr>
        <w:spacing w:after="0" w:line="240" w:lineRule="auto"/>
        <w:jc w:val="both"/>
        <w:rPr>
          <w:rFonts w:ascii="Arial" w:eastAsia="Calibri" w:hAnsi="Arial" w:cs="Arial"/>
          <w:b/>
        </w:rPr>
      </w:pPr>
      <w:r w:rsidRPr="0022168E">
        <w:rPr>
          <w:rFonts w:ascii="Arial" w:eastAsia="Calibri" w:hAnsi="Arial" w:cs="Arial"/>
          <w:b/>
        </w:rPr>
        <w:t>Artículo 9.- Participación de los Gobiernos Regionales y Locales y del sector privado</w:t>
      </w:r>
    </w:p>
    <w:p w:rsidR="005349B7" w:rsidRPr="005349B7" w:rsidRDefault="005349B7" w:rsidP="005349B7">
      <w:pPr>
        <w:spacing w:after="0" w:line="240" w:lineRule="auto"/>
        <w:jc w:val="both"/>
        <w:rPr>
          <w:rFonts w:ascii="Arial" w:eastAsia="Calibri" w:hAnsi="Arial" w:cs="Arial"/>
        </w:rPr>
      </w:pPr>
    </w:p>
    <w:p w:rsidR="005349B7" w:rsidRPr="005349B7" w:rsidRDefault="005349B7" w:rsidP="0022168E">
      <w:pPr>
        <w:spacing w:after="0" w:line="240" w:lineRule="auto"/>
        <w:ind w:left="1134" w:hanging="425"/>
        <w:jc w:val="both"/>
        <w:rPr>
          <w:rFonts w:ascii="Arial" w:eastAsia="Calibri" w:hAnsi="Arial" w:cs="Arial"/>
        </w:rPr>
      </w:pPr>
      <w:r w:rsidRPr="005349B7">
        <w:rPr>
          <w:rFonts w:ascii="Arial" w:eastAsia="Calibri" w:hAnsi="Arial" w:cs="Arial"/>
        </w:rPr>
        <w:t>9.1 Los Gobiernos Regionales y Locales podrán hacer efectiva su participación en el Sistema Nacional de Parques Industriales, a través de la suscripción de convenios con el Ministerio de la Producción, en los que se deberá consignar los objetivos específicos, los alcances de la participación de las entidades locales y regionales involucradas, las consecuencias jurídicas del incumplimiento de sus términos, así como los mecanismos de financiamiento de las actividades previstas; sin perjuicio de las iniciativas de los gobiernos regionales y locales en el marco de la Ley Nº 30078, Ley que promueve el desarrollo de Parques Industriales Tecno-Ecológicos (PITE), que se efectuará conforme a lo que determine el Reglamento de la presente norma.</w:t>
      </w:r>
    </w:p>
    <w:p w:rsidR="005349B7" w:rsidRPr="005349B7" w:rsidRDefault="005349B7" w:rsidP="0022168E">
      <w:pPr>
        <w:spacing w:after="0" w:line="240" w:lineRule="auto"/>
        <w:ind w:left="1134" w:hanging="425"/>
        <w:jc w:val="both"/>
        <w:rPr>
          <w:rFonts w:ascii="Arial" w:eastAsia="Calibri" w:hAnsi="Arial" w:cs="Arial"/>
        </w:rPr>
      </w:pPr>
    </w:p>
    <w:p w:rsidR="005349B7" w:rsidRPr="005349B7" w:rsidRDefault="005349B7" w:rsidP="0022168E">
      <w:pPr>
        <w:spacing w:after="0" w:line="240" w:lineRule="auto"/>
        <w:ind w:left="1134" w:hanging="425"/>
        <w:jc w:val="both"/>
        <w:rPr>
          <w:rFonts w:ascii="Arial" w:eastAsia="Calibri" w:hAnsi="Arial" w:cs="Arial"/>
        </w:rPr>
      </w:pPr>
      <w:r w:rsidRPr="005349B7">
        <w:rPr>
          <w:rFonts w:ascii="Arial" w:eastAsia="Calibri" w:hAnsi="Arial" w:cs="Arial"/>
        </w:rPr>
        <w:tab/>
        <w:t>Además, los Gobiernos Regionales deberán contar con una “Estrategia de Fortalecimiento del Ecosistema Regional Productivo”, conforme lo establezca el Reglamento de la presente norma. Dicha Estrategia podrá ser parte del Plan de Desarrollo Concertado, conforme a la normatividad vigente sobre la materia.</w:t>
      </w:r>
    </w:p>
    <w:p w:rsidR="005349B7" w:rsidRPr="005349B7" w:rsidRDefault="005349B7" w:rsidP="0022168E">
      <w:pPr>
        <w:spacing w:after="0" w:line="240" w:lineRule="auto"/>
        <w:ind w:left="1134" w:hanging="425"/>
        <w:jc w:val="both"/>
        <w:rPr>
          <w:rFonts w:ascii="Arial" w:eastAsia="Calibri" w:hAnsi="Arial" w:cs="Arial"/>
        </w:rPr>
      </w:pPr>
    </w:p>
    <w:p w:rsidR="005349B7" w:rsidRPr="005349B7" w:rsidRDefault="005349B7" w:rsidP="0022168E">
      <w:pPr>
        <w:spacing w:after="0" w:line="240" w:lineRule="auto"/>
        <w:ind w:left="1134" w:hanging="425"/>
        <w:jc w:val="both"/>
        <w:rPr>
          <w:rFonts w:ascii="Arial" w:eastAsia="Calibri" w:hAnsi="Arial" w:cs="Arial"/>
        </w:rPr>
      </w:pPr>
      <w:r w:rsidRPr="005349B7">
        <w:rPr>
          <w:rFonts w:ascii="Arial" w:eastAsia="Calibri" w:hAnsi="Arial" w:cs="Arial"/>
        </w:rPr>
        <w:t>9.2 El sector privado podrá hacer efectiva su participación en el Sistema Nacional de Parques Industriales a través de:</w:t>
      </w:r>
    </w:p>
    <w:p w:rsidR="005349B7" w:rsidRPr="005349B7" w:rsidRDefault="005349B7" w:rsidP="005349B7">
      <w:pPr>
        <w:spacing w:after="0" w:line="240" w:lineRule="auto"/>
        <w:jc w:val="both"/>
        <w:rPr>
          <w:rFonts w:ascii="Arial" w:eastAsia="Calibri" w:hAnsi="Arial" w:cs="Arial"/>
        </w:rPr>
      </w:pPr>
    </w:p>
    <w:p w:rsidR="005349B7" w:rsidRPr="005349B7" w:rsidRDefault="005349B7" w:rsidP="0022168E">
      <w:pPr>
        <w:spacing w:after="0" w:line="240" w:lineRule="auto"/>
        <w:ind w:left="1843" w:hanging="425"/>
        <w:jc w:val="both"/>
        <w:rPr>
          <w:rFonts w:ascii="Arial" w:eastAsia="Calibri" w:hAnsi="Arial" w:cs="Arial"/>
        </w:rPr>
      </w:pPr>
      <w:r w:rsidRPr="005349B7">
        <w:rPr>
          <w:rFonts w:ascii="Arial" w:eastAsia="Calibri" w:hAnsi="Arial" w:cs="Arial"/>
        </w:rPr>
        <w:t xml:space="preserve">a. </w:t>
      </w:r>
      <w:r w:rsidR="0022168E">
        <w:rPr>
          <w:rFonts w:ascii="Arial" w:eastAsia="Calibri" w:hAnsi="Arial" w:cs="Arial"/>
        </w:rPr>
        <w:tab/>
      </w:r>
      <w:r w:rsidRPr="005349B7">
        <w:rPr>
          <w:rFonts w:ascii="Arial" w:eastAsia="Calibri" w:hAnsi="Arial" w:cs="Arial"/>
        </w:rPr>
        <w:t>Convenios con el Ministerio de la Producción, conforme a lo previsto en el numeral anterior.</w:t>
      </w:r>
    </w:p>
    <w:p w:rsidR="005349B7" w:rsidRPr="005349B7" w:rsidRDefault="005349B7" w:rsidP="0022168E">
      <w:pPr>
        <w:spacing w:after="0" w:line="240" w:lineRule="auto"/>
        <w:ind w:left="1843" w:hanging="425"/>
        <w:jc w:val="both"/>
        <w:rPr>
          <w:rFonts w:ascii="Arial" w:eastAsia="Calibri" w:hAnsi="Arial" w:cs="Arial"/>
        </w:rPr>
      </w:pPr>
    </w:p>
    <w:p w:rsidR="005349B7" w:rsidRPr="005349B7" w:rsidRDefault="005349B7" w:rsidP="0022168E">
      <w:pPr>
        <w:spacing w:after="0" w:line="240" w:lineRule="auto"/>
        <w:ind w:left="1843" w:hanging="425"/>
        <w:jc w:val="both"/>
        <w:rPr>
          <w:rFonts w:ascii="Arial" w:eastAsia="Calibri" w:hAnsi="Arial" w:cs="Arial"/>
        </w:rPr>
      </w:pPr>
      <w:r w:rsidRPr="005349B7">
        <w:rPr>
          <w:rFonts w:ascii="Arial" w:eastAsia="Calibri" w:hAnsi="Arial" w:cs="Arial"/>
        </w:rPr>
        <w:t xml:space="preserve">b. </w:t>
      </w:r>
      <w:r w:rsidR="0022168E">
        <w:rPr>
          <w:rFonts w:ascii="Arial" w:eastAsia="Calibri" w:hAnsi="Arial" w:cs="Arial"/>
        </w:rPr>
        <w:tab/>
      </w:r>
      <w:r w:rsidRPr="005349B7">
        <w:rPr>
          <w:rFonts w:ascii="Arial" w:eastAsia="Calibri" w:hAnsi="Arial" w:cs="Arial"/>
        </w:rPr>
        <w:t>Participación de los procesos de promoción de la inversión privada, conforme a Ley.</w:t>
      </w:r>
    </w:p>
    <w:p w:rsidR="005349B7" w:rsidRPr="005349B7" w:rsidRDefault="005349B7" w:rsidP="005349B7">
      <w:pPr>
        <w:spacing w:after="0" w:line="240" w:lineRule="auto"/>
        <w:jc w:val="both"/>
        <w:rPr>
          <w:rFonts w:ascii="Arial" w:eastAsia="Calibri" w:hAnsi="Arial" w:cs="Arial"/>
        </w:rPr>
      </w:pPr>
    </w:p>
    <w:p w:rsidR="005349B7" w:rsidRPr="005349B7" w:rsidRDefault="005349B7" w:rsidP="0022168E">
      <w:pPr>
        <w:spacing w:after="0" w:line="240" w:lineRule="auto"/>
        <w:ind w:left="1134" w:hanging="425"/>
        <w:jc w:val="both"/>
        <w:rPr>
          <w:rFonts w:ascii="Arial" w:eastAsia="Calibri" w:hAnsi="Arial" w:cs="Arial"/>
        </w:rPr>
      </w:pPr>
      <w:r w:rsidRPr="005349B7">
        <w:rPr>
          <w:rFonts w:ascii="Arial" w:eastAsia="Calibri" w:hAnsi="Arial" w:cs="Arial"/>
        </w:rPr>
        <w:t>9.3. La participación de los Gobiernos Regionales y Locales, así como del sector privado, se sujeta a las políticas, lineamientos y disposiciones que rigen el Sistema Nacional de Parques Industriales.</w:t>
      </w:r>
    </w:p>
    <w:p w:rsidR="005349B7" w:rsidRPr="005349B7" w:rsidRDefault="005349B7" w:rsidP="005349B7">
      <w:pPr>
        <w:spacing w:after="0" w:line="240" w:lineRule="auto"/>
        <w:jc w:val="both"/>
        <w:rPr>
          <w:rFonts w:ascii="Arial" w:eastAsia="Calibri" w:hAnsi="Arial" w:cs="Arial"/>
        </w:rPr>
      </w:pPr>
    </w:p>
    <w:p w:rsidR="005349B7" w:rsidRPr="0022168E" w:rsidRDefault="005349B7" w:rsidP="005349B7">
      <w:pPr>
        <w:spacing w:after="0" w:line="240" w:lineRule="auto"/>
        <w:jc w:val="both"/>
        <w:rPr>
          <w:rFonts w:ascii="Arial" w:eastAsia="Calibri" w:hAnsi="Arial" w:cs="Arial"/>
          <w:b/>
        </w:rPr>
      </w:pPr>
      <w:r w:rsidRPr="0022168E">
        <w:rPr>
          <w:rFonts w:ascii="Arial" w:eastAsia="Calibri" w:hAnsi="Arial" w:cs="Arial"/>
          <w:b/>
        </w:rPr>
        <w:t>Artículo 10.- Ejecución de los parques industriales de relevancia nacional</w:t>
      </w:r>
    </w:p>
    <w:p w:rsidR="005349B7" w:rsidRPr="005349B7" w:rsidRDefault="005349B7" w:rsidP="005349B7">
      <w:pPr>
        <w:spacing w:after="0" w:line="240" w:lineRule="auto"/>
        <w:jc w:val="both"/>
        <w:rPr>
          <w:rFonts w:ascii="Arial" w:eastAsia="Calibri" w:hAnsi="Arial" w:cs="Arial"/>
        </w:rPr>
      </w:pPr>
      <w:r w:rsidRPr="005349B7">
        <w:rPr>
          <w:rFonts w:ascii="Arial" w:eastAsia="Calibri" w:hAnsi="Arial" w:cs="Arial"/>
        </w:rPr>
        <w:t>Los parques industriales considerados de relevancia nacional por el Consejo Nacional de Desarrollo Industrial, podrán ser implementados y ejecutados conforme a la legislación y las normas de promoción de la inversión privada, así como del Sistema Nacional de Inversión Pública en lo que corresponda.</w:t>
      </w:r>
    </w:p>
    <w:p w:rsidR="005349B7" w:rsidRPr="005349B7" w:rsidRDefault="005349B7" w:rsidP="005349B7">
      <w:pPr>
        <w:spacing w:after="0" w:line="240" w:lineRule="auto"/>
        <w:jc w:val="both"/>
        <w:rPr>
          <w:rFonts w:ascii="Arial" w:eastAsia="Calibri" w:hAnsi="Arial" w:cs="Arial"/>
        </w:rPr>
      </w:pPr>
    </w:p>
    <w:p w:rsidR="005349B7" w:rsidRPr="0022168E" w:rsidRDefault="005349B7" w:rsidP="005349B7">
      <w:pPr>
        <w:spacing w:after="0" w:line="240" w:lineRule="auto"/>
        <w:jc w:val="both"/>
        <w:rPr>
          <w:rFonts w:ascii="Arial" w:eastAsia="Calibri" w:hAnsi="Arial" w:cs="Arial"/>
          <w:b/>
        </w:rPr>
      </w:pPr>
      <w:r w:rsidRPr="0022168E">
        <w:rPr>
          <w:rFonts w:ascii="Arial" w:eastAsia="Calibri" w:hAnsi="Arial" w:cs="Arial"/>
          <w:b/>
        </w:rPr>
        <w:t>Artículo 11.- Condiciones para la ejecución de los parques industriales</w:t>
      </w:r>
    </w:p>
    <w:p w:rsidR="005349B7" w:rsidRPr="005349B7" w:rsidRDefault="005349B7" w:rsidP="005349B7">
      <w:pPr>
        <w:spacing w:after="0" w:line="240" w:lineRule="auto"/>
        <w:jc w:val="both"/>
        <w:rPr>
          <w:rFonts w:ascii="Arial" w:eastAsia="Calibri" w:hAnsi="Arial" w:cs="Arial"/>
        </w:rPr>
      </w:pPr>
      <w:r w:rsidRPr="005349B7">
        <w:rPr>
          <w:rFonts w:ascii="Arial" w:eastAsia="Calibri" w:hAnsi="Arial" w:cs="Arial"/>
        </w:rPr>
        <w:t>La creación, desarrollo, ejecución e implementación de los parques industriales en el marco del Sistema Nacional de Parques Industriales, de acuerdo con lo dispuesto en el Reglamento de la presente norma, deberá tener en cuenta lo siguiente:</w:t>
      </w:r>
    </w:p>
    <w:p w:rsidR="005349B7" w:rsidRPr="005349B7" w:rsidRDefault="005349B7" w:rsidP="005349B7">
      <w:pPr>
        <w:spacing w:after="0" w:line="240" w:lineRule="auto"/>
        <w:jc w:val="both"/>
        <w:rPr>
          <w:rFonts w:ascii="Arial" w:eastAsia="Calibri" w:hAnsi="Arial" w:cs="Arial"/>
        </w:rPr>
      </w:pPr>
    </w:p>
    <w:p w:rsidR="005349B7" w:rsidRPr="005349B7" w:rsidRDefault="005349B7" w:rsidP="0022168E">
      <w:pPr>
        <w:spacing w:after="0" w:line="240" w:lineRule="auto"/>
        <w:ind w:left="1560" w:hanging="709"/>
        <w:jc w:val="both"/>
        <w:rPr>
          <w:rFonts w:ascii="Arial" w:eastAsia="Calibri" w:hAnsi="Arial" w:cs="Arial"/>
        </w:rPr>
      </w:pPr>
      <w:r w:rsidRPr="005349B7">
        <w:rPr>
          <w:rFonts w:ascii="Arial" w:eastAsia="Calibri" w:hAnsi="Arial" w:cs="Arial"/>
        </w:rPr>
        <w:t xml:space="preserve">11.1 </w:t>
      </w:r>
      <w:r w:rsidR="0022168E">
        <w:rPr>
          <w:rFonts w:ascii="Arial" w:eastAsia="Calibri" w:hAnsi="Arial" w:cs="Arial"/>
        </w:rPr>
        <w:tab/>
      </w:r>
      <w:r w:rsidRPr="005349B7">
        <w:rPr>
          <w:rFonts w:ascii="Arial" w:eastAsia="Calibri" w:hAnsi="Arial" w:cs="Arial"/>
        </w:rPr>
        <w:t>Estudio de demanda potencial, que permita dimensionar la magnitud de su intervención y definir sus características principales.</w:t>
      </w:r>
    </w:p>
    <w:p w:rsidR="005349B7" w:rsidRPr="005349B7" w:rsidRDefault="005349B7" w:rsidP="0022168E">
      <w:pPr>
        <w:spacing w:after="0" w:line="240" w:lineRule="auto"/>
        <w:ind w:left="1560" w:hanging="709"/>
        <w:jc w:val="both"/>
        <w:rPr>
          <w:rFonts w:ascii="Arial" w:eastAsia="Calibri" w:hAnsi="Arial" w:cs="Arial"/>
        </w:rPr>
      </w:pPr>
    </w:p>
    <w:p w:rsidR="005349B7" w:rsidRPr="005349B7" w:rsidRDefault="005349B7" w:rsidP="0022168E">
      <w:pPr>
        <w:spacing w:after="0" w:line="240" w:lineRule="auto"/>
        <w:ind w:left="1560" w:hanging="709"/>
        <w:jc w:val="both"/>
        <w:rPr>
          <w:rFonts w:ascii="Arial" w:eastAsia="Calibri" w:hAnsi="Arial" w:cs="Arial"/>
        </w:rPr>
      </w:pPr>
      <w:r w:rsidRPr="005349B7">
        <w:rPr>
          <w:rFonts w:ascii="Arial" w:eastAsia="Calibri" w:hAnsi="Arial" w:cs="Arial"/>
        </w:rPr>
        <w:t xml:space="preserve">11.2 </w:t>
      </w:r>
      <w:r w:rsidR="0022168E">
        <w:rPr>
          <w:rFonts w:ascii="Arial" w:eastAsia="Calibri" w:hAnsi="Arial" w:cs="Arial"/>
        </w:rPr>
        <w:tab/>
      </w:r>
      <w:r w:rsidRPr="005349B7">
        <w:rPr>
          <w:rFonts w:ascii="Arial" w:eastAsia="Calibri" w:hAnsi="Arial" w:cs="Arial"/>
        </w:rPr>
        <w:t>Plan de Negocio, que garantice la viabilidad económica del proyecto y su sostenibilidad en el tiempo.</w:t>
      </w:r>
    </w:p>
    <w:p w:rsidR="005349B7" w:rsidRPr="005349B7" w:rsidRDefault="005349B7" w:rsidP="0022168E">
      <w:pPr>
        <w:spacing w:after="0" w:line="240" w:lineRule="auto"/>
        <w:ind w:left="1560" w:hanging="709"/>
        <w:jc w:val="both"/>
        <w:rPr>
          <w:rFonts w:ascii="Arial" w:eastAsia="Calibri" w:hAnsi="Arial" w:cs="Arial"/>
        </w:rPr>
      </w:pPr>
    </w:p>
    <w:p w:rsidR="005349B7" w:rsidRPr="005349B7" w:rsidRDefault="005349B7" w:rsidP="0022168E">
      <w:pPr>
        <w:spacing w:after="0" w:line="240" w:lineRule="auto"/>
        <w:ind w:left="1560" w:hanging="709"/>
        <w:jc w:val="both"/>
        <w:rPr>
          <w:rFonts w:ascii="Arial" w:eastAsia="Calibri" w:hAnsi="Arial" w:cs="Arial"/>
        </w:rPr>
      </w:pPr>
      <w:r w:rsidRPr="005349B7">
        <w:rPr>
          <w:rFonts w:ascii="Arial" w:eastAsia="Calibri" w:hAnsi="Arial" w:cs="Arial"/>
        </w:rPr>
        <w:t xml:space="preserve">11.3 </w:t>
      </w:r>
      <w:r w:rsidR="0022168E">
        <w:rPr>
          <w:rFonts w:ascii="Arial" w:eastAsia="Calibri" w:hAnsi="Arial" w:cs="Arial"/>
        </w:rPr>
        <w:tab/>
      </w:r>
      <w:r w:rsidRPr="005349B7">
        <w:rPr>
          <w:rFonts w:ascii="Arial" w:eastAsia="Calibri" w:hAnsi="Arial" w:cs="Arial"/>
        </w:rPr>
        <w:t>Modelo de gestión integrado, que garantice su funcionamiento óptimo.</w:t>
      </w:r>
    </w:p>
    <w:p w:rsidR="005349B7" w:rsidRPr="005349B7" w:rsidRDefault="005349B7" w:rsidP="0022168E">
      <w:pPr>
        <w:spacing w:after="0" w:line="240" w:lineRule="auto"/>
        <w:ind w:left="1560" w:hanging="709"/>
        <w:jc w:val="both"/>
        <w:rPr>
          <w:rFonts w:ascii="Arial" w:eastAsia="Calibri" w:hAnsi="Arial" w:cs="Arial"/>
        </w:rPr>
      </w:pPr>
    </w:p>
    <w:p w:rsidR="005349B7" w:rsidRPr="005349B7" w:rsidRDefault="005349B7" w:rsidP="0022168E">
      <w:pPr>
        <w:spacing w:after="0" w:line="240" w:lineRule="auto"/>
        <w:ind w:left="1560" w:hanging="709"/>
        <w:jc w:val="both"/>
        <w:rPr>
          <w:rFonts w:ascii="Arial" w:eastAsia="Calibri" w:hAnsi="Arial" w:cs="Arial"/>
        </w:rPr>
      </w:pPr>
      <w:r w:rsidRPr="005349B7">
        <w:rPr>
          <w:rFonts w:ascii="Arial" w:eastAsia="Calibri" w:hAnsi="Arial" w:cs="Arial"/>
        </w:rPr>
        <w:t xml:space="preserve">11.4 </w:t>
      </w:r>
      <w:r w:rsidR="0022168E">
        <w:rPr>
          <w:rFonts w:ascii="Arial" w:eastAsia="Calibri" w:hAnsi="Arial" w:cs="Arial"/>
        </w:rPr>
        <w:tab/>
      </w:r>
      <w:r w:rsidRPr="005349B7">
        <w:rPr>
          <w:rFonts w:ascii="Arial" w:eastAsia="Calibri" w:hAnsi="Arial" w:cs="Arial"/>
        </w:rPr>
        <w:t>Disponibilidad del terreno, con factibilidad adecuada de servicios, conectividad y zonificación.</w:t>
      </w:r>
    </w:p>
    <w:p w:rsidR="005349B7" w:rsidRPr="005349B7" w:rsidRDefault="005349B7" w:rsidP="0022168E">
      <w:pPr>
        <w:spacing w:after="0" w:line="240" w:lineRule="auto"/>
        <w:ind w:left="1560" w:hanging="709"/>
        <w:jc w:val="both"/>
        <w:rPr>
          <w:rFonts w:ascii="Arial" w:eastAsia="Calibri" w:hAnsi="Arial" w:cs="Arial"/>
        </w:rPr>
      </w:pPr>
    </w:p>
    <w:p w:rsidR="005349B7" w:rsidRPr="005349B7" w:rsidRDefault="005349B7" w:rsidP="0022168E">
      <w:pPr>
        <w:spacing w:after="0" w:line="240" w:lineRule="auto"/>
        <w:ind w:left="1560" w:hanging="709"/>
        <w:jc w:val="both"/>
        <w:rPr>
          <w:rFonts w:ascii="Arial" w:eastAsia="Calibri" w:hAnsi="Arial" w:cs="Arial"/>
        </w:rPr>
      </w:pPr>
      <w:r w:rsidRPr="005349B7">
        <w:rPr>
          <w:rFonts w:ascii="Arial" w:eastAsia="Calibri" w:hAnsi="Arial" w:cs="Arial"/>
        </w:rPr>
        <w:t xml:space="preserve">11.5 </w:t>
      </w:r>
      <w:r w:rsidR="0022168E">
        <w:rPr>
          <w:rFonts w:ascii="Arial" w:eastAsia="Calibri" w:hAnsi="Arial" w:cs="Arial"/>
        </w:rPr>
        <w:tab/>
      </w:r>
      <w:r w:rsidRPr="005349B7">
        <w:rPr>
          <w:rFonts w:ascii="Arial" w:eastAsia="Calibri" w:hAnsi="Arial" w:cs="Arial"/>
        </w:rPr>
        <w:t>Plan Maestro, que defina la organización espacial de las actividades productivas e incluya la propuesta vial, de transporte y provisión de servicios.</w:t>
      </w:r>
    </w:p>
    <w:p w:rsidR="005349B7" w:rsidRPr="005349B7" w:rsidRDefault="005349B7" w:rsidP="0022168E">
      <w:pPr>
        <w:spacing w:after="0" w:line="240" w:lineRule="auto"/>
        <w:ind w:left="1560" w:hanging="709"/>
        <w:jc w:val="both"/>
        <w:rPr>
          <w:rFonts w:ascii="Arial" w:eastAsia="Calibri" w:hAnsi="Arial" w:cs="Arial"/>
        </w:rPr>
      </w:pPr>
    </w:p>
    <w:p w:rsidR="005349B7" w:rsidRPr="005349B7" w:rsidRDefault="005349B7" w:rsidP="0022168E">
      <w:pPr>
        <w:spacing w:after="0" w:line="240" w:lineRule="auto"/>
        <w:ind w:left="1560" w:hanging="709"/>
        <w:jc w:val="both"/>
        <w:rPr>
          <w:rFonts w:ascii="Arial" w:eastAsia="Calibri" w:hAnsi="Arial" w:cs="Arial"/>
        </w:rPr>
      </w:pPr>
      <w:r w:rsidRPr="005349B7">
        <w:rPr>
          <w:rFonts w:ascii="Arial" w:eastAsia="Calibri" w:hAnsi="Arial" w:cs="Arial"/>
        </w:rPr>
        <w:t xml:space="preserve">11.6 </w:t>
      </w:r>
      <w:r w:rsidR="0022168E">
        <w:rPr>
          <w:rFonts w:ascii="Arial" w:eastAsia="Calibri" w:hAnsi="Arial" w:cs="Arial"/>
        </w:rPr>
        <w:tab/>
      </w:r>
      <w:r w:rsidRPr="005349B7">
        <w:rPr>
          <w:rFonts w:ascii="Arial" w:eastAsia="Calibri" w:hAnsi="Arial" w:cs="Arial"/>
        </w:rPr>
        <w:t>En el caso de los Parques Industriales Tecno- Ecológicos, deberán contar, dentro o en su ámbito de intervención, con un Centro de Innovación Tecnológica - CITE, de acuerdo a los lineamientos del Ministerio de la Producción.</w:t>
      </w:r>
    </w:p>
    <w:p w:rsidR="005349B7" w:rsidRPr="005349B7" w:rsidRDefault="005349B7" w:rsidP="0022168E">
      <w:pPr>
        <w:spacing w:after="0" w:line="240" w:lineRule="auto"/>
        <w:ind w:left="1560" w:hanging="709"/>
        <w:jc w:val="both"/>
        <w:rPr>
          <w:rFonts w:ascii="Arial" w:eastAsia="Calibri" w:hAnsi="Arial" w:cs="Arial"/>
        </w:rPr>
      </w:pPr>
    </w:p>
    <w:p w:rsidR="005349B7" w:rsidRPr="005349B7" w:rsidRDefault="005349B7" w:rsidP="0022168E">
      <w:pPr>
        <w:spacing w:after="0" w:line="240" w:lineRule="auto"/>
        <w:ind w:left="1560" w:hanging="709"/>
        <w:jc w:val="both"/>
        <w:rPr>
          <w:rFonts w:ascii="Arial" w:eastAsia="Calibri" w:hAnsi="Arial" w:cs="Arial"/>
        </w:rPr>
      </w:pPr>
      <w:r w:rsidRPr="005349B7">
        <w:rPr>
          <w:rFonts w:ascii="Arial" w:eastAsia="Calibri" w:hAnsi="Arial" w:cs="Arial"/>
        </w:rPr>
        <w:t xml:space="preserve">11.7 </w:t>
      </w:r>
      <w:r w:rsidR="0022168E">
        <w:rPr>
          <w:rFonts w:ascii="Arial" w:eastAsia="Calibri" w:hAnsi="Arial" w:cs="Arial"/>
        </w:rPr>
        <w:tab/>
      </w:r>
      <w:r w:rsidRPr="005349B7">
        <w:rPr>
          <w:rFonts w:ascii="Arial" w:eastAsia="Calibri" w:hAnsi="Arial" w:cs="Arial"/>
        </w:rPr>
        <w:t>Cumplir con los instrumentos de planeamiento urbano-territorial de los gobiernos locales. La autoridad correspondiente deberá, bajo responsabilidad, cumplir con los plazos establecidos en el respectivo Texto Único de Procedimiento Administrativo - TUPA para lograr el saneamiento físico legal de los inmuebles necesarios para la ejecución y desarrollo de los parques industriales, sin perjuicio de lo establecido en el artículo 9 de la Ley Nº 30078.</w:t>
      </w:r>
    </w:p>
    <w:p w:rsidR="005349B7" w:rsidRPr="005349B7" w:rsidRDefault="005349B7" w:rsidP="0022168E">
      <w:pPr>
        <w:spacing w:after="0" w:line="240" w:lineRule="auto"/>
        <w:ind w:left="1560" w:hanging="709"/>
        <w:jc w:val="both"/>
        <w:rPr>
          <w:rFonts w:ascii="Arial" w:eastAsia="Calibri" w:hAnsi="Arial" w:cs="Arial"/>
        </w:rPr>
      </w:pPr>
    </w:p>
    <w:p w:rsidR="005349B7" w:rsidRPr="005349B7" w:rsidRDefault="005349B7" w:rsidP="0022168E">
      <w:pPr>
        <w:spacing w:after="0" w:line="240" w:lineRule="auto"/>
        <w:ind w:left="1560" w:hanging="709"/>
        <w:jc w:val="both"/>
        <w:rPr>
          <w:rFonts w:ascii="Arial" w:eastAsia="Calibri" w:hAnsi="Arial" w:cs="Arial"/>
        </w:rPr>
      </w:pPr>
      <w:r w:rsidRPr="005349B7">
        <w:rPr>
          <w:rFonts w:ascii="Arial" w:eastAsia="Calibri" w:hAnsi="Arial" w:cs="Arial"/>
        </w:rPr>
        <w:t xml:space="preserve">11.8 </w:t>
      </w:r>
      <w:r w:rsidR="0022168E">
        <w:rPr>
          <w:rFonts w:ascii="Arial" w:eastAsia="Calibri" w:hAnsi="Arial" w:cs="Arial"/>
        </w:rPr>
        <w:tab/>
      </w:r>
      <w:r w:rsidRPr="005349B7">
        <w:rPr>
          <w:rFonts w:ascii="Arial" w:eastAsia="Calibri" w:hAnsi="Arial" w:cs="Arial"/>
        </w:rPr>
        <w:t>Todo acto jurídico que se celebre entre cualquier entidad pública o institución privada, o entre instituciones privadas, respecto de los usos del predio sobre el que se ejecute, implemente, desarrolle o administre algún componente del Sistema, deberá ser acorde con los fines del mismo. El incumplimiento de esta norma es causal de caducidad inmediata del mencionado acto jurídico, con la consecuente reversión del bien inmueble a favor del Estado, cuando corresponda, acorde a lo que se establezca en el Reglamento de la presente norma.</w:t>
      </w:r>
    </w:p>
    <w:p w:rsidR="005349B7" w:rsidRPr="005349B7" w:rsidRDefault="005349B7" w:rsidP="0022168E">
      <w:pPr>
        <w:spacing w:after="0" w:line="240" w:lineRule="auto"/>
        <w:ind w:left="1560" w:hanging="709"/>
        <w:jc w:val="both"/>
        <w:rPr>
          <w:rFonts w:ascii="Arial" w:eastAsia="Calibri" w:hAnsi="Arial" w:cs="Arial"/>
        </w:rPr>
      </w:pPr>
    </w:p>
    <w:p w:rsidR="005349B7" w:rsidRPr="005349B7" w:rsidRDefault="005349B7" w:rsidP="0022168E">
      <w:pPr>
        <w:spacing w:after="0" w:line="240" w:lineRule="auto"/>
        <w:ind w:left="1560" w:hanging="709"/>
        <w:jc w:val="both"/>
        <w:rPr>
          <w:rFonts w:ascii="Arial" w:eastAsia="Calibri" w:hAnsi="Arial" w:cs="Arial"/>
        </w:rPr>
      </w:pPr>
      <w:r w:rsidRPr="005349B7">
        <w:rPr>
          <w:rFonts w:ascii="Arial" w:eastAsia="Calibri" w:hAnsi="Arial" w:cs="Arial"/>
        </w:rPr>
        <w:t xml:space="preserve">11.9 </w:t>
      </w:r>
      <w:r w:rsidR="0022168E">
        <w:rPr>
          <w:rFonts w:ascii="Arial" w:eastAsia="Calibri" w:hAnsi="Arial" w:cs="Arial"/>
        </w:rPr>
        <w:tab/>
      </w:r>
      <w:r w:rsidRPr="005349B7">
        <w:rPr>
          <w:rFonts w:ascii="Arial" w:eastAsia="Calibri" w:hAnsi="Arial" w:cs="Arial"/>
        </w:rPr>
        <w:t>Las demás que se determine en el Reglamento de la presente norma.</w:t>
      </w:r>
    </w:p>
    <w:p w:rsidR="005349B7" w:rsidRPr="005349B7" w:rsidRDefault="005349B7" w:rsidP="005349B7">
      <w:pPr>
        <w:spacing w:after="0" w:line="240" w:lineRule="auto"/>
        <w:jc w:val="both"/>
        <w:rPr>
          <w:rFonts w:ascii="Arial" w:eastAsia="Calibri" w:hAnsi="Arial" w:cs="Arial"/>
        </w:rPr>
      </w:pPr>
    </w:p>
    <w:p w:rsidR="005349B7" w:rsidRPr="0022168E" w:rsidRDefault="005349B7" w:rsidP="005349B7">
      <w:pPr>
        <w:spacing w:after="0" w:line="240" w:lineRule="auto"/>
        <w:jc w:val="both"/>
        <w:rPr>
          <w:rFonts w:ascii="Arial" w:eastAsia="Calibri" w:hAnsi="Arial" w:cs="Arial"/>
          <w:b/>
        </w:rPr>
      </w:pPr>
      <w:r w:rsidRPr="0022168E">
        <w:rPr>
          <w:rFonts w:ascii="Arial" w:eastAsia="Calibri" w:hAnsi="Arial" w:cs="Arial"/>
          <w:b/>
        </w:rPr>
        <w:t>Artículo 12.- Normativa de aplicación supletoria</w:t>
      </w:r>
    </w:p>
    <w:p w:rsidR="005349B7" w:rsidRPr="005349B7" w:rsidRDefault="005349B7" w:rsidP="005349B7">
      <w:pPr>
        <w:spacing w:after="0" w:line="240" w:lineRule="auto"/>
        <w:jc w:val="both"/>
        <w:rPr>
          <w:rFonts w:ascii="Arial" w:eastAsia="Calibri" w:hAnsi="Arial" w:cs="Arial"/>
        </w:rPr>
      </w:pPr>
      <w:r w:rsidRPr="005349B7">
        <w:rPr>
          <w:rFonts w:ascii="Arial" w:eastAsia="Calibri" w:hAnsi="Arial" w:cs="Arial"/>
        </w:rPr>
        <w:t>Precísese que para la creación, desarrollo, ejecución e implementación de los parques industriales en el marco del citado Sistema, la presente norma y su reglamentación constituye normativa especial, sin perjuicio de la aplicación de las normas que rigen al Sistema Nacional de Bienes Estatales, respecto de aquello que no se haya previsto en la normativa especial mencionada.</w:t>
      </w:r>
    </w:p>
    <w:p w:rsidR="005349B7" w:rsidRPr="005349B7" w:rsidRDefault="005349B7" w:rsidP="005349B7">
      <w:pPr>
        <w:spacing w:after="0" w:line="240" w:lineRule="auto"/>
        <w:jc w:val="both"/>
        <w:rPr>
          <w:rFonts w:ascii="Arial" w:eastAsia="Calibri" w:hAnsi="Arial" w:cs="Arial"/>
        </w:rPr>
      </w:pPr>
    </w:p>
    <w:p w:rsidR="005349B7" w:rsidRPr="0022168E" w:rsidRDefault="005349B7" w:rsidP="005349B7">
      <w:pPr>
        <w:spacing w:after="0" w:line="240" w:lineRule="auto"/>
        <w:jc w:val="both"/>
        <w:rPr>
          <w:rFonts w:ascii="Arial" w:eastAsia="Calibri" w:hAnsi="Arial" w:cs="Arial"/>
          <w:b/>
        </w:rPr>
      </w:pPr>
      <w:r w:rsidRPr="0022168E">
        <w:rPr>
          <w:rFonts w:ascii="Arial" w:eastAsia="Calibri" w:hAnsi="Arial" w:cs="Arial"/>
          <w:b/>
        </w:rPr>
        <w:t>Artículo 13.- Beneficios</w:t>
      </w:r>
    </w:p>
    <w:p w:rsidR="005349B7" w:rsidRPr="005349B7" w:rsidRDefault="005349B7" w:rsidP="005349B7">
      <w:pPr>
        <w:spacing w:after="0" w:line="240" w:lineRule="auto"/>
        <w:jc w:val="both"/>
        <w:rPr>
          <w:rFonts w:ascii="Arial" w:eastAsia="Calibri" w:hAnsi="Arial" w:cs="Arial"/>
        </w:rPr>
      </w:pPr>
      <w:r w:rsidRPr="005349B7">
        <w:rPr>
          <w:rFonts w:ascii="Arial" w:eastAsia="Calibri" w:hAnsi="Arial" w:cs="Arial"/>
        </w:rPr>
        <w:t>El Sistema Nacional de Parques Industriales, acorde con lo establecido en el Reglamento de la presente norma, cuenta con los beneficios siguientes:</w:t>
      </w:r>
    </w:p>
    <w:p w:rsidR="005349B7" w:rsidRPr="005349B7" w:rsidRDefault="005349B7" w:rsidP="005349B7">
      <w:pPr>
        <w:spacing w:after="0" w:line="240" w:lineRule="auto"/>
        <w:jc w:val="both"/>
        <w:rPr>
          <w:rFonts w:ascii="Arial" w:eastAsia="Calibri" w:hAnsi="Arial" w:cs="Arial"/>
        </w:rPr>
      </w:pPr>
    </w:p>
    <w:p w:rsidR="005349B7" w:rsidRPr="005349B7" w:rsidRDefault="005349B7" w:rsidP="0022168E">
      <w:pPr>
        <w:spacing w:after="0" w:line="240" w:lineRule="auto"/>
        <w:ind w:left="1560" w:hanging="709"/>
        <w:jc w:val="both"/>
        <w:rPr>
          <w:rFonts w:ascii="Arial" w:eastAsia="Calibri" w:hAnsi="Arial" w:cs="Arial"/>
        </w:rPr>
      </w:pPr>
      <w:r w:rsidRPr="005349B7">
        <w:rPr>
          <w:rFonts w:ascii="Arial" w:eastAsia="Calibri" w:hAnsi="Arial" w:cs="Arial"/>
        </w:rPr>
        <w:t xml:space="preserve">13.1 </w:t>
      </w:r>
      <w:r w:rsidR="0022168E">
        <w:rPr>
          <w:rFonts w:ascii="Arial" w:eastAsia="Calibri" w:hAnsi="Arial" w:cs="Arial"/>
        </w:rPr>
        <w:tab/>
      </w:r>
      <w:r w:rsidRPr="005349B7">
        <w:rPr>
          <w:rFonts w:ascii="Arial" w:eastAsia="Calibri" w:hAnsi="Arial" w:cs="Arial"/>
        </w:rPr>
        <w:t>Las empresas instaladas en los parques industriales del Sistema serán sujetos prioritarios de atención en la evaluación para acceder a los recursos de los fondos concursables creados por Ley.</w:t>
      </w:r>
    </w:p>
    <w:p w:rsidR="005349B7" w:rsidRPr="005349B7" w:rsidRDefault="005349B7" w:rsidP="0022168E">
      <w:pPr>
        <w:spacing w:after="0" w:line="240" w:lineRule="auto"/>
        <w:ind w:left="1560" w:hanging="709"/>
        <w:jc w:val="both"/>
        <w:rPr>
          <w:rFonts w:ascii="Arial" w:eastAsia="Calibri" w:hAnsi="Arial" w:cs="Arial"/>
        </w:rPr>
      </w:pPr>
    </w:p>
    <w:p w:rsidR="005349B7" w:rsidRPr="005349B7" w:rsidRDefault="005349B7" w:rsidP="0022168E">
      <w:pPr>
        <w:spacing w:after="0" w:line="240" w:lineRule="auto"/>
        <w:ind w:left="1560" w:hanging="709"/>
        <w:jc w:val="both"/>
        <w:rPr>
          <w:rFonts w:ascii="Arial" w:eastAsia="Calibri" w:hAnsi="Arial" w:cs="Arial"/>
        </w:rPr>
      </w:pPr>
      <w:r w:rsidRPr="005349B7">
        <w:rPr>
          <w:rFonts w:ascii="Arial" w:eastAsia="Calibri" w:hAnsi="Arial" w:cs="Arial"/>
        </w:rPr>
        <w:t xml:space="preserve">13.2 </w:t>
      </w:r>
      <w:r w:rsidR="0022168E">
        <w:rPr>
          <w:rFonts w:ascii="Arial" w:eastAsia="Calibri" w:hAnsi="Arial" w:cs="Arial"/>
        </w:rPr>
        <w:tab/>
      </w:r>
      <w:r w:rsidRPr="005349B7">
        <w:rPr>
          <w:rFonts w:ascii="Arial" w:eastAsia="Calibri" w:hAnsi="Arial" w:cs="Arial"/>
        </w:rPr>
        <w:t>Los parques industriales del Sistema podrán contar con un módulo de atención al ciudadano orientado a la industria, que facilite la gestión de sus trámites con el Estado, en el marco de la normatividad vigente.</w:t>
      </w:r>
    </w:p>
    <w:p w:rsidR="005349B7" w:rsidRPr="005349B7" w:rsidRDefault="005349B7" w:rsidP="0022168E">
      <w:pPr>
        <w:spacing w:after="0" w:line="240" w:lineRule="auto"/>
        <w:ind w:left="1560" w:hanging="709"/>
        <w:jc w:val="both"/>
        <w:rPr>
          <w:rFonts w:ascii="Arial" w:eastAsia="Calibri" w:hAnsi="Arial" w:cs="Arial"/>
        </w:rPr>
      </w:pPr>
    </w:p>
    <w:p w:rsidR="005349B7" w:rsidRPr="005349B7" w:rsidRDefault="005349B7" w:rsidP="0022168E">
      <w:pPr>
        <w:spacing w:after="0" w:line="240" w:lineRule="auto"/>
        <w:ind w:left="1560" w:hanging="709"/>
        <w:jc w:val="both"/>
        <w:rPr>
          <w:rFonts w:ascii="Arial" w:eastAsia="Calibri" w:hAnsi="Arial" w:cs="Arial"/>
        </w:rPr>
      </w:pPr>
      <w:r w:rsidRPr="005349B7">
        <w:rPr>
          <w:rFonts w:ascii="Arial" w:eastAsia="Calibri" w:hAnsi="Arial" w:cs="Arial"/>
        </w:rPr>
        <w:t xml:space="preserve">13.3 </w:t>
      </w:r>
      <w:r w:rsidR="0022168E">
        <w:rPr>
          <w:rFonts w:ascii="Arial" w:eastAsia="Calibri" w:hAnsi="Arial" w:cs="Arial"/>
        </w:rPr>
        <w:tab/>
      </w:r>
      <w:r w:rsidRPr="005349B7">
        <w:rPr>
          <w:rFonts w:ascii="Arial" w:eastAsia="Calibri" w:hAnsi="Arial" w:cs="Arial"/>
        </w:rPr>
        <w:t>Los componentes del Sistema podrán contar con servicios de innovación y transferencia tecnológica.</w:t>
      </w:r>
    </w:p>
    <w:p w:rsidR="005349B7" w:rsidRPr="005349B7" w:rsidRDefault="005349B7" w:rsidP="0022168E">
      <w:pPr>
        <w:spacing w:after="0" w:line="240" w:lineRule="auto"/>
        <w:ind w:left="1560" w:hanging="709"/>
        <w:jc w:val="both"/>
        <w:rPr>
          <w:rFonts w:ascii="Arial" w:eastAsia="Calibri" w:hAnsi="Arial" w:cs="Arial"/>
        </w:rPr>
      </w:pPr>
    </w:p>
    <w:p w:rsidR="005349B7" w:rsidRPr="005349B7" w:rsidRDefault="005349B7" w:rsidP="0022168E">
      <w:pPr>
        <w:spacing w:after="0" w:line="240" w:lineRule="auto"/>
        <w:ind w:left="1560" w:hanging="709"/>
        <w:jc w:val="both"/>
        <w:rPr>
          <w:rFonts w:ascii="Arial" w:eastAsia="Calibri" w:hAnsi="Arial" w:cs="Arial"/>
        </w:rPr>
      </w:pPr>
      <w:r w:rsidRPr="005349B7">
        <w:rPr>
          <w:rFonts w:ascii="Arial" w:eastAsia="Calibri" w:hAnsi="Arial" w:cs="Arial"/>
        </w:rPr>
        <w:t xml:space="preserve">13.4 </w:t>
      </w:r>
      <w:r w:rsidR="0022168E">
        <w:rPr>
          <w:rFonts w:ascii="Arial" w:eastAsia="Calibri" w:hAnsi="Arial" w:cs="Arial"/>
        </w:rPr>
        <w:tab/>
      </w:r>
      <w:r w:rsidRPr="005349B7">
        <w:rPr>
          <w:rFonts w:ascii="Arial" w:eastAsia="Calibri" w:hAnsi="Arial" w:cs="Arial"/>
        </w:rPr>
        <w:t>Los componentes del Sistema podrán acceder a asistencia técnica especializada en materia de desarrollo e implementación de parques industriales modernos y eficientes.</w:t>
      </w:r>
    </w:p>
    <w:p w:rsidR="005349B7" w:rsidRPr="005349B7" w:rsidRDefault="005349B7" w:rsidP="0022168E">
      <w:pPr>
        <w:spacing w:after="0" w:line="240" w:lineRule="auto"/>
        <w:ind w:left="1560" w:hanging="709"/>
        <w:jc w:val="both"/>
        <w:rPr>
          <w:rFonts w:ascii="Arial" w:eastAsia="Calibri" w:hAnsi="Arial" w:cs="Arial"/>
        </w:rPr>
      </w:pPr>
    </w:p>
    <w:p w:rsidR="005349B7" w:rsidRPr="005349B7" w:rsidRDefault="005349B7" w:rsidP="0022168E">
      <w:pPr>
        <w:spacing w:after="0" w:line="240" w:lineRule="auto"/>
        <w:ind w:left="1560" w:hanging="709"/>
        <w:jc w:val="both"/>
        <w:rPr>
          <w:rFonts w:ascii="Arial" w:eastAsia="Calibri" w:hAnsi="Arial" w:cs="Arial"/>
        </w:rPr>
      </w:pPr>
      <w:r w:rsidRPr="005349B7">
        <w:rPr>
          <w:rFonts w:ascii="Arial" w:eastAsia="Calibri" w:hAnsi="Arial" w:cs="Arial"/>
        </w:rPr>
        <w:t xml:space="preserve">13.5 </w:t>
      </w:r>
      <w:r w:rsidR="0022168E">
        <w:rPr>
          <w:rFonts w:ascii="Arial" w:eastAsia="Calibri" w:hAnsi="Arial" w:cs="Arial"/>
        </w:rPr>
        <w:tab/>
      </w:r>
      <w:r w:rsidRPr="005349B7">
        <w:rPr>
          <w:rFonts w:ascii="Arial" w:eastAsia="Calibri" w:hAnsi="Arial" w:cs="Arial"/>
        </w:rPr>
        <w:t>Los componentes del Sistema podrán acceder a asistencia técnica en materia de estudios complementarios para el desarrollo industrial.</w:t>
      </w:r>
    </w:p>
    <w:p w:rsidR="005349B7" w:rsidRPr="005349B7" w:rsidRDefault="005349B7" w:rsidP="0022168E">
      <w:pPr>
        <w:spacing w:after="0" w:line="240" w:lineRule="auto"/>
        <w:ind w:left="1560" w:hanging="709"/>
        <w:jc w:val="both"/>
        <w:rPr>
          <w:rFonts w:ascii="Arial" w:eastAsia="Calibri" w:hAnsi="Arial" w:cs="Arial"/>
        </w:rPr>
      </w:pPr>
    </w:p>
    <w:p w:rsidR="005349B7" w:rsidRPr="005349B7" w:rsidRDefault="005349B7" w:rsidP="0022168E">
      <w:pPr>
        <w:spacing w:after="0" w:line="240" w:lineRule="auto"/>
        <w:ind w:left="1560" w:hanging="709"/>
        <w:jc w:val="both"/>
        <w:rPr>
          <w:rFonts w:ascii="Arial" w:eastAsia="Calibri" w:hAnsi="Arial" w:cs="Arial"/>
        </w:rPr>
      </w:pPr>
      <w:r w:rsidRPr="005349B7">
        <w:rPr>
          <w:rFonts w:ascii="Arial" w:eastAsia="Calibri" w:hAnsi="Arial" w:cs="Arial"/>
        </w:rPr>
        <w:t xml:space="preserve">13.6 </w:t>
      </w:r>
      <w:r w:rsidR="0022168E">
        <w:rPr>
          <w:rFonts w:ascii="Arial" w:eastAsia="Calibri" w:hAnsi="Arial" w:cs="Arial"/>
        </w:rPr>
        <w:tab/>
      </w:r>
      <w:r w:rsidRPr="005349B7">
        <w:rPr>
          <w:rFonts w:ascii="Arial" w:eastAsia="Calibri" w:hAnsi="Arial" w:cs="Arial"/>
        </w:rPr>
        <w:t>La Superintendencia Nacional de Bienes Estatales atenderá de manera preferente las solicitudes de transferencia de terrenos para el desarrollo de parques industriales de relevancia nacional.</w:t>
      </w:r>
    </w:p>
    <w:p w:rsidR="005349B7" w:rsidRPr="005349B7" w:rsidRDefault="005349B7" w:rsidP="0022168E">
      <w:pPr>
        <w:spacing w:after="0" w:line="240" w:lineRule="auto"/>
        <w:ind w:left="1560" w:hanging="709"/>
        <w:jc w:val="both"/>
        <w:rPr>
          <w:rFonts w:ascii="Arial" w:eastAsia="Calibri" w:hAnsi="Arial" w:cs="Arial"/>
        </w:rPr>
      </w:pPr>
    </w:p>
    <w:p w:rsidR="005349B7" w:rsidRPr="005349B7" w:rsidRDefault="005349B7" w:rsidP="0022168E">
      <w:pPr>
        <w:spacing w:after="0" w:line="240" w:lineRule="auto"/>
        <w:ind w:left="1560" w:hanging="709"/>
        <w:jc w:val="both"/>
        <w:rPr>
          <w:rFonts w:ascii="Arial" w:eastAsia="Calibri" w:hAnsi="Arial" w:cs="Arial"/>
        </w:rPr>
      </w:pPr>
      <w:r w:rsidRPr="005349B7">
        <w:rPr>
          <w:rFonts w:ascii="Arial" w:eastAsia="Calibri" w:hAnsi="Arial" w:cs="Arial"/>
        </w:rPr>
        <w:t xml:space="preserve">13.7 </w:t>
      </w:r>
      <w:r w:rsidR="0022168E">
        <w:rPr>
          <w:rFonts w:ascii="Arial" w:eastAsia="Calibri" w:hAnsi="Arial" w:cs="Arial"/>
        </w:rPr>
        <w:tab/>
      </w:r>
      <w:r w:rsidRPr="005349B7">
        <w:rPr>
          <w:rFonts w:ascii="Arial" w:eastAsia="Calibri" w:hAnsi="Arial" w:cs="Arial"/>
        </w:rPr>
        <w:t>El Instituto Nacional de Calidad - INACAL promueve la implementación de laboratorios en los componentes del Sistema Nacional de Parques Industriales.</w:t>
      </w:r>
    </w:p>
    <w:p w:rsidR="005349B7" w:rsidRPr="005349B7" w:rsidRDefault="005349B7" w:rsidP="0022168E">
      <w:pPr>
        <w:spacing w:after="0" w:line="240" w:lineRule="auto"/>
        <w:ind w:left="1560" w:hanging="709"/>
        <w:jc w:val="both"/>
        <w:rPr>
          <w:rFonts w:ascii="Arial" w:eastAsia="Calibri" w:hAnsi="Arial" w:cs="Arial"/>
        </w:rPr>
      </w:pPr>
    </w:p>
    <w:p w:rsidR="005349B7" w:rsidRPr="005349B7" w:rsidRDefault="005349B7" w:rsidP="0022168E">
      <w:pPr>
        <w:spacing w:after="0" w:line="240" w:lineRule="auto"/>
        <w:ind w:left="1560" w:hanging="709"/>
        <w:jc w:val="both"/>
        <w:rPr>
          <w:rFonts w:ascii="Arial" w:eastAsia="Calibri" w:hAnsi="Arial" w:cs="Arial"/>
        </w:rPr>
      </w:pPr>
      <w:r w:rsidRPr="005349B7">
        <w:rPr>
          <w:rFonts w:ascii="Arial" w:eastAsia="Calibri" w:hAnsi="Arial" w:cs="Arial"/>
        </w:rPr>
        <w:t xml:space="preserve">13.8 </w:t>
      </w:r>
      <w:r w:rsidR="0022168E">
        <w:rPr>
          <w:rFonts w:ascii="Arial" w:eastAsia="Calibri" w:hAnsi="Arial" w:cs="Arial"/>
        </w:rPr>
        <w:tab/>
      </w:r>
      <w:r w:rsidRPr="005349B7">
        <w:rPr>
          <w:rFonts w:ascii="Arial" w:eastAsia="Calibri" w:hAnsi="Arial" w:cs="Arial"/>
        </w:rPr>
        <w:t>La promoción a nivel internacional de los parques industriales del Sistema será atendida por las entidades competentes en la materia.</w:t>
      </w:r>
    </w:p>
    <w:p w:rsidR="005349B7" w:rsidRPr="005349B7" w:rsidRDefault="005349B7" w:rsidP="0022168E">
      <w:pPr>
        <w:spacing w:after="0" w:line="240" w:lineRule="auto"/>
        <w:ind w:left="1560" w:hanging="709"/>
        <w:jc w:val="both"/>
        <w:rPr>
          <w:rFonts w:ascii="Arial" w:eastAsia="Calibri" w:hAnsi="Arial" w:cs="Arial"/>
        </w:rPr>
      </w:pPr>
    </w:p>
    <w:p w:rsidR="005349B7" w:rsidRPr="005349B7" w:rsidRDefault="005349B7" w:rsidP="0022168E">
      <w:pPr>
        <w:spacing w:after="0" w:line="240" w:lineRule="auto"/>
        <w:ind w:left="1560" w:hanging="709"/>
        <w:jc w:val="both"/>
        <w:rPr>
          <w:rFonts w:ascii="Arial" w:eastAsia="Calibri" w:hAnsi="Arial" w:cs="Arial"/>
        </w:rPr>
      </w:pPr>
      <w:r w:rsidRPr="005349B7">
        <w:rPr>
          <w:rFonts w:ascii="Arial" w:eastAsia="Calibri" w:hAnsi="Arial" w:cs="Arial"/>
        </w:rPr>
        <w:t xml:space="preserve">13.9 </w:t>
      </w:r>
      <w:r w:rsidR="0022168E">
        <w:rPr>
          <w:rFonts w:ascii="Arial" w:eastAsia="Calibri" w:hAnsi="Arial" w:cs="Arial"/>
        </w:rPr>
        <w:tab/>
      </w:r>
      <w:r w:rsidRPr="005349B7">
        <w:rPr>
          <w:rFonts w:ascii="Arial" w:eastAsia="Calibri" w:hAnsi="Arial" w:cs="Arial"/>
        </w:rPr>
        <w:t>Los demás que se determinen en el Reglamento de la presente norma.</w:t>
      </w:r>
    </w:p>
    <w:p w:rsidR="005349B7" w:rsidRPr="005349B7" w:rsidRDefault="005349B7" w:rsidP="005349B7">
      <w:pPr>
        <w:spacing w:after="0" w:line="240" w:lineRule="auto"/>
        <w:jc w:val="both"/>
        <w:rPr>
          <w:rFonts w:ascii="Arial" w:eastAsia="Calibri" w:hAnsi="Arial" w:cs="Arial"/>
        </w:rPr>
      </w:pPr>
    </w:p>
    <w:p w:rsidR="005349B7" w:rsidRPr="0022168E" w:rsidRDefault="005349B7" w:rsidP="005349B7">
      <w:pPr>
        <w:spacing w:after="0" w:line="240" w:lineRule="auto"/>
        <w:jc w:val="both"/>
        <w:rPr>
          <w:rFonts w:ascii="Arial" w:eastAsia="Calibri" w:hAnsi="Arial" w:cs="Arial"/>
          <w:b/>
        </w:rPr>
      </w:pPr>
      <w:r w:rsidRPr="0022168E">
        <w:rPr>
          <w:rFonts w:ascii="Arial" w:eastAsia="Calibri" w:hAnsi="Arial" w:cs="Arial"/>
          <w:b/>
        </w:rPr>
        <w:t>Artículo 14.- Financiamiento</w:t>
      </w:r>
    </w:p>
    <w:p w:rsidR="005349B7" w:rsidRPr="005349B7" w:rsidRDefault="005349B7" w:rsidP="005349B7">
      <w:pPr>
        <w:spacing w:after="0" w:line="240" w:lineRule="auto"/>
        <w:jc w:val="both"/>
        <w:rPr>
          <w:rFonts w:ascii="Arial" w:eastAsia="Calibri" w:hAnsi="Arial" w:cs="Arial"/>
        </w:rPr>
      </w:pPr>
      <w:r w:rsidRPr="005349B7">
        <w:rPr>
          <w:rFonts w:ascii="Arial" w:eastAsia="Calibri" w:hAnsi="Arial" w:cs="Arial"/>
        </w:rPr>
        <w:t>Lo dispuesto en la presente norma se financia con cargo a los presupuestos institucionales de las entidades intervinientes, sin demandar recursos adicionales del Tesoro Público.</w:t>
      </w:r>
    </w:p>
    <w:p w:rsidR="005349B7" w:rsidRPr="005349B7" w:rsidRDefault="005349B7" w:rsidP="005349B7">
      <w:pPr>
        <w:spacing w:after="0" w:line="240" w:lineRule="auto"/>
        <w:jc w:val="both"/>
        <w:rPr>
          <w:rFonts w:ascii="Arial" w:eastAsia="Calibri" w:hAnsi="Arial" w:cs="Arial"/>
        </w:rPr>
      </w:pPr>
    </w:p>
    <w:p w:rsidR="005349B7" w:rsidRPr="0022168E" w:rsidRDefault="005349B7" w:rsidP="005349B7">
      <w:pPr>
        <w:spacing w:after="0" w:line="240" w:lineRule="auto"/>
        <w:jc w:val="both"/>
        <w:rPr>
          <w:rFonts w:ascii="Arial" w:eastAsia="Calibri" w:hAnsi="Arial" w:cs="Arial"/>
          <w:b/>
        </w:rPr>
      </w:pPr>
      <w:r w:rsidRPr="0022168E">
        <w:rPr>
          <w:rFonts w:ascii="Arial" w:eastAsia="Calibri" w:hAnsi="Arial" w:cs="Arial"/>
          <w:b/>
        </w:rPr>
        <w:t>DISPOSICIONES COMPLEMENTARIAS FINALES</w:t>
      </w:r>
    </w:p>
    <w:p w:rsidR="005349B7" w:rsidRPr="005349B7" w:rsidRDefault="005349B7" w:rsidP="005349B7">
      <w:pPr>
        <w:spacing w:after="0" w:line="240" w:lineRule="auto"/>
        <w:jc w:val="both"/>
        <w:rPr>
          <w:rFonts w:ascii="Arial" w:eastAsia="Calibri" w:hAnsi="Arial" w:cs="Arial"/>
        </w:rPr>
      </w:pPr>
    </w:p>
    <w:p w:rsidR="005349B7" w:rsidRPr="0022168E" w:rsidRDefault="005349B7" w:rsidP="005349B7">
      <w:pPr>
        <w:spacing w:after="0" w:line="240" w:lineRule="auto"/>
        <w:jc w:val="both"/>
        <w:rPr>
          <w:rFonts w:ascii="Arial" w:eastAsia="Calibri" w:hAnsi="Arial" w:cs="Arial"/>
          <w:b/>
        </w:rPr>
      </w:pPr>
      <w:r w:rsidRPr="0022168E">
        <w:rPr>
          <w:rFonts w:ascii="Arial" w:eastAsia="Calibri" w:hAnsi="Arial" w:cs="Arial"/>
          <w:b/>
        </w:rPr>
        <w:t>Primera.- Lineamientos orientadores</w:t>
      </w:r>
    </w:p>
    <w:p w:rsidR="005349B7" w:rsidRPr="005349B7" w:rsidRDefault="005349B7" w:rsidP="005349B7">
      <w:pPr>
        <w:spacing w:after="0" w:line="240" w:lineRule="auto"/>
        <w:jc w:val="both"/>
        <w:rPr>
          <w:rFonts w:ascii="Arial" w:eastAsia="Calibri" w:hAnsi="Arial" w:cs="Arial"/>
        </w:rPr>
      </w:pPr>
      <w:r w:rsidRPr="005349B7">
        <w:rPr>
          <w:rFonts w:ascii="Arial" w:eastAsia="Calibri" w:hAnsi="Arial" w:cs="Arial"/>
        </w:rPr>
        <w:t>Para el desarrollo e implementación del Proyecto Parque Industrial de Ancón, se tendrá en cuenta a manera de lineamientos orientadores lo establecido en el Plan Maestro del PENAR, aprobado por el Decreto Supremo 002-2015-MINAM, los mismos que se aplicarán en el marco de la legislación vigente. El Ministerio de la Producción y el Ministerio del Ambiente efectuarán las coordinaciones necesarias para el adecuado cumplimiento de lo dispuesto en la presente disposición.</w:t>
      </w:r>
    </w:p>
    <w:p w:rsidR="005349B7" w:rsidRPr="005349B7" w:rsidRDefault="005349B7" w:rsidP="005349B7">
      <w:pPr>
        <w:spacing w:after="0" w:line="240" w:lineRule="auto"/>
        <w:jc w:val="both"/>
        <w:rPr>
          <w:rFonts w:ascii="Arial" w:eastAsia="Calibri" w:hAnsi="Arial" w:cs="Arial"/>
        </w:rPr>
      </w:pPr>
    </w:p>
    <w:p w:rsidR="005349B7" w:rsidRPr="0022168E" w:rsidRDefault="005349B7" w:rsidP="005349B7">
      <w:pPr>
        <w:spacing w:after="0" w:line="240" w:lineRule="auto"/>
        <w:jc w:val="both"/>
        <w:rPr>
          <w:rFonts w:ascii="Arial" w:eastAsia="Calibri" w:hAnsi="Arial" w:cs="Arial"/>
          <w:b/>
        </w:rPr>
      </w:pPr>
      <w:r w:rsidRPr="0022168E">
        <w:rPr>
          <w:rFonts w:ascii="Arial" w:eastAsia="Calibri" w:hAnsi="Arial" w:cs="Arial"/>
          <w:b/>
        </w:rPr>
        <w:t>Segunda.- Formulación, aprobación, ejecución e implementación de proyectos de infraestructura productiva por parte del Ministerio de la Producción</w:t>
      </w:r>
    </w:p>
    <w:p w:rsidR="005349B7" w:rsidRPr="005349B7" w:rsidRDefault="005349B7" w:rsidP="005349B7">
      <w:pPr>
        <w:spacing w:after="0" w:line="240" w:lineRule="auto"/>
        <w:jc w:val="both"/>
        <w:rPr>
          <w:rFonts w:ascii="Arial" w:eastAsia="Calibri" w:hAnsi="Arial" w:cs="Arial"/>
        </w:rPr>
      </w:pPr>
      <w:r w:rsidRPr="005349B7">
        <w:rPr>
          <w:rFonts w:ascii="Arial" w:eastAsia="Calibri" w:hAnsi="Arial" w:cs="Arial"/>
        </w:rPr>
        <w:t>Autorízase al Ministerio de la Producción y entidades bajo su ámbito, a promover, formular, aprobar, ejecutar e implementar, en el marco del Plan Nacional de Diversificación Productiva, y conforme al presente Decreto Legislativo, proyectos de infraestructura productiva específica, que incluye parques, áreas y espacios industriales. Mediante decreto supremo refrendado por el Ministro de la Producción se aprobará las disposiciones reglamentarias y/o complementarias para la implementación de lo establecido en la presente Disposición Complementaria Final.</w:t>
      </w:r>
    </w:p>
    <w:p w:rsidR="0022168E" w:rsidRDefault="0022168E" w:rsidP="005349B7">
      <w:pPr>
        <w:spacing w:after="0" w:line="240" w:lineRule="auto"/>
        <w:jc w:val="both"/>
        <w:rPr>
          <w:rFonts w:ascii="Arial" w:eastAsia="Calibri" w:hAnsi="Arial" w:cs="Arial"/>
        </w:rPr>
      </w:pPr>
    </w:p>
    <w:p w:rsidR="005349B7" w:rsidRPr="0022168E" w:rsidRDefault="005349B7" w:rsidP="005349B7">
      <w:pPr>
        <w:spacing w:after="0" w:line="240" w:lineRule="auto"/>
        <w:jc w:val="both"/>
        <w:rPr>
          <w:rFonts w:ascii="Arial" w:eastAsia="Calibri" w:hAnsi="Arial" w:cs="Arial"/>
          <w:b/>
        </w:rPr>
      </w:pPr>
      <w:r w:rsidRPr="0022168E">
        <w:rPr>
          <w:rFonts w:ascii="Arial" w:eastAsia="Calibri" w:hAnsi="Arial" w:cs="Arial"/>
          <w:b/>
        </w:rPr>
        <w:t>Tercera.- Convenios para el desarrollo de parques industriales</w:t>
      </w:r>
    </w:p>
    <w:p w:rsidR="005349B7" w:rsidRPr="005349B7" w:rsidRDefault="005349B7" w:rsidP="005349B7">
      <w:pPr>
        <w:spacing w:after="0" w:line="240" w:lineRule="auto"/>
        <w:jc w:val="both"/>
        <w:rPr>
          <w:rFonts w:ascii="Arial" w:eastAsia="Calibri" w:hAnsi="Arial" w:cs="Arial"/>
        </w:rPr>
      </w:pPr>
      <w:r w:rsidRPr="005349B7">
        <w:rPr>
          <w:rFonts w:ascii="Arial" w:eastAsia="Calibri" w:hAnsi="Arial" w:cs="Arial"/>
        </w:rPr>
        <w:t>Autorícese al Ministerio de la Producción a suscribir convenios con los Gobiernos Regionales, Locales y/o el Fondo Mi Vivienda S.A., a fin de encargarles los procesos para el desarrollo y/o ejecución de los parques industriales de iniciativa del Gobierno Nacional de relevancia nacional, de acuerdo a lo establecido en el Reglamento de la presente norma.</w:t>
      </w:r>
    </w:p>
    <w:p w:rsidR="005349B7" w:rsidRPr="005349B7" w:rsidRDefault="005349B7" w:rsidP="005349B7">
      <w:pPr>
        <w:spacing w:after="0" w:line="240" w:lineRule="auto"/>
        <w:jc w:val="both"/>
        <w:rPr>
          <w:rFonts w:ascii="Arial" w:eastAsia="Calibri" w:hAnsi="Arial" w:cs="Arial"/>
        </w:rPr>
      </w:pPr>
    </w:p>
    <w:p w:rsidR="005349B7" w:rsidRPr="0022168E" w:rsidRDefault="005349B7" w:rsidP="005349B7">
      <w:pPr>
        <w:spacing w:after="0" w:line="240" w:lineRule="auto"/>
        <w:jc w:val="both"/>
        <w:rPr>
          <w:rFonts w:ascii="Arial" w:eastAsia="Calibri" w:hAnsi="Arial" w:cs="Arial"/>
          <w:b/>
        </w:rPr>
      </w:pPr>
      <w:r w:rsidRPr="0022168E">
        <w:rPr>
          <w:rFonts w:ascii="Arial" w:eastAsia="Calibri" w:hAnsi="Arial" w:cs="Arial"/>
          <w:b/>
        </w:rPr>
        <w:t>Cuarta.- Reglamento</w:t>
      </w:r>
    </w:p>
    <w:p w:rsidR="005349B7" w:rsidRPr="005349B7" w:rsidRDefault="005349B7" w:rsidP="005349B7">
      <w:pPr>
        <w:spacing w:after="0" w:line="240" w:lineRule="auto"/>
        <w:jc w:val="both"/>
        <w:rPr>
          <w:rFonts w:ascii="Arial" w:eastAsia="Calibri" w:hAnsi="Arial" w:cs="Arial"/>
        </w:rPr>
      </w:pPr>
      <w:r w:rsidRPr="005349B7">
        <w:rPr>
          <w:rFonts w:ascii="Arial" w:eastAsia="Calibri" w:hAnsi="Arial" w:cs="Arial"/>
        </w:rPr>
        <w:t>Mediante Decreto Supremo refrendado por el Ministro de la Producción y el Ministro de Economía y Finanzas se reglamentará la presente norma, en un plazo no mayor a los noventa (90) días calendario.</w:t>
      </w:r>
    </w:p>
    <w:p w:rsidR="005349B7" w:rsidRPr="005349B7" w:rsidRDefault="005349B7" w:rsidP="005349B7">
      <w:pPr>
        <w:spacing w:after="0" w:line="240" w:lineRule="auto"/>
        <w:jc w:val="both"/>
        <w:rPr>
          <w:rFonts w:ascii="Arial" w:eastAsia="Calibri" w:hAnsi="Arial" w:cs="Arial"/>
        </w:rPr>
      </w:pPr>
    </w:p>
    <w:p w:rsidR="005349B7" w:rsidRPr="0022168E" w:rsidRDefault="005349B7" w:rsidP="005349B7">
      <w:pPr>
        <w:spacing w:after="0" w:line="240" w:lineRule="auto"/>
        <w:jc w:val="both"/>
        <w:rPr>
          <w:rFonts w:ascii="Arial" w:eastAsia="Calibri" w:hAnsi="Arial" w:cs="Arial"/>
          <w:b/>
        </w:rPr>
      </w:pPr>
      <w:r w:rsidRPr="0022168E">
        <w:rPr>
          <w:rFonts w:ascii="Arial" w:eastAsia="Calibri" w:hAnsi="Arial" w:cs="Arial"/>
          <w:b/>
        </w:rPr>
        <w:t>DISPOSICIÓN COMPLEMENTARIA DEROGATORIA</w:t>
      </w:r>
    </w:p>
    <w:p w:rsidR="005349B7" w:rsidRPr="005349B7" w:rsidRDefault="005349B7" w:rsidP="005349B7">
      <w:pPr>
        <w:spacing w:after="0" w:line="240" w:lineRule="auto"/>
        <w:jc w:val="both"/>
        <w:rPr>
          <w:rFonts w:ascii="Arial" w:eastAsia="Calibri" w:hAnsi="Arial" w:cs="Arial"/>
        </w:rPr>
      </w:pPr>
    </w:p>
    <w:p w:rsidR="005349B7" w:rsidRPr="0022168E" w:rsidRDefault="005349B7" w:rsidP="005349B7">
      <w:pPr>
        <w:spacing w:after="0" w:line="240" w:lineRule="auto"/>
        <w:jc w:val="both"/>
        <w:rPr>
          <w:rFonts w:ascii="Arial" w:eastAsia="Calibri" w:hAnsi="Arial" w:cs="Arial"/>
          <w:b/>
        </w:rPr>
      </w:pPr>
      <w:r w:rsidRPr="0022168E">
        <w:rPr>
          <w:rFonts w:ascii="Arial" w:eastAsia="Calibri" w:hAnsi="Arial" w:cs="Arial"/>
          <w:b/>
        </w:rPr>
        <w:t>Única.- Disposición derogatoria</w:t>
      </w:r>
    </w:p>
    <w:p w:rsidR="005349B7" w:rsidRPr="005349B7" w:rsidRDefault="005349B7" w:rsidP="005349B7">
      <w:pPr>
        <w:spacing w:after="0" w:line="240" w:lineRule="auto"/>
        <w:jc w:val="both"/>
        <w:rPr>
          <w:rFonts w:ascii="Arial" w:eastAsia="Calibri" w:hAnsi="Arial" w:cs="Arial"/>
        </w:rPr>
      </w:pPr>
      <w:r w:rsidRPr="005349B7">
        <w:rPr>
          <w:rFonts w:ascii="Arial" w:eastAsia="Calibri" w:hAnsi="Arial" w:cs="Arial"/>
        </w:rPr>
        <w:t>Deróguese la Ley Nº 28183, Ley Marco de Desarrollo de Parques Industriales.</w:t>
      </w:r>
    </w:p>
    <w:p w:rsidR="005349B7" w:rsidRPr="005349B7" w:rsidRDefault="005349B7" w:rsidP="005349B7">
      <w:pPr>
        <w:spacing w:after="0" w:line="240" w:lineRule="auto"/>
        <w:jc w:val="both"/>
        <w:rPr>
          <w:rFonts w:ascii="Arial" w:eastAsia="Calibri" w:hAnsi="Arial" w:cs="Arial"/>
        </w:rPr>
      </w:pPr>
    </w:p>
    <w:p w:rsidR="005349B7" w:rsidRPr="0022168E" w:rsidRDefault="005349B7" w:rsidP="005349B7">
      <w:pPr>
        <w:spacing w:after="0" w:line="240" w:lineRule="auto"/>
        <w:jc w:val="both"/>
        <w:rPr>
          <w:rFonts w:ascii="Arial" w:eastAsia="Calibri" w:hAnsi="Arial" w:cs="Arial"/>
          <w:b/>
        </w:rPr>
      </w:pPr>
      <w:r w:rsidRPr="0022168E">
        <w:rPr>
          <w:rFonts w:ascii="Arial" w:eastAsia="Calibri" w:hAnsi="Arial" w:cs="Arial"/>
          <w:b/>
        </w:rPr>
        <w:t>POR TANTO:</w:t>
      </w:r>
    </w:p>
    <w:p w:rsidR="005349B7" w:rsidRPr="005349B7" w:rsidRDefault="005349B7" w:rsidP="005349B7">
      <w:pPr>
        <w:spacing w:after="0" w:line="240" w:lineRule="auto"/>
        <w:jc w:val="both"/>
        <w:rPr>
          <w:rFonts w:ascii="Arial" w:eastAsia="Calibri" w:hAnsi="Arial" w:cs="Arial"/>
        </w:rPr>
      </w:pPr>
    </w:p>
    <w:p w:rsidR="005349B7" w:rsidRPr="005349B7" w:rsidRDefault="005349B7" w:rsidP="005349B7">
      <w:pPr>
        <w:spacing w:after="0" w:line="240" w:lineRule="auto"/>
        <w:jc w:val="both"/>
        <w:rPr>
          <w:rFonts w:ascii="Arial" w:eastAsia="Calibri" w:hAnsi="Arial" w:cs="Arial"/>
        </w:rPr>
      </w:pPr>
      <w:r w:rsidRPr="005349B7">
        <w:rPr>
          <w:rFonts w:ascii="Arial" w:eastAsia="Calibri" w:hAnsi="Arial" w:cs="Arial"/>
        </w:rPr>
        <w:t>Mando se publique y cumpla, dando cuenta al Congreso de la República.</w:t>
      </w:r>
    </w:p>
    <w:p w:rsidR="005349B7" w:rsidRPr="005349B7" w:rsidRDefault="005349B7" w:rsidP="005349B7">
      <w:pPr>
        <w:spacing w:after="0" w:line="240" w:lineRule="auto"/>
        <w:jc w:val="both"/>
        <w:rPr>
          <w:rFonts w:ascii="Arial" w:eastAsia="Calibri" w:hAnsi="Arial" w:cs="Arial"/>
        </w:rPr>
      </w:pPr>
      <w:r w:rsidRPr="005349B7">
        <w:rPr>
          <w:rFonts w:ascii="Arial" w:eastAsia="Calibri" w:hAnsi="Arial" w:cs="Arial"/>
        </w:rPr>
        <w:t>Dado en la Casa de Gobierno, en Lima, a los veintiún días del mes de setiembre del año dos mil quince.</w:t>
      </w:r>
    </w:p>
    <w:p w:rsidR="005349B7" w:rsidRPr="005349B7" w:rsidRDefault="005349B7" w:rsidP="005349B7">
      <w:pPr>
        <w:spacing w:after="0" w:line="240" w:lineRule="auto"/>
        <w:jc w:val="both"/>
        <w:rPr>
          <w:rFonts w:ascii="Arial" w:eastAsia="Calibri" w:hAnsi="Arial" w:cs="Arial"/>
        </w:rPr>
      </w:pPr>
    </w:p>
    <w:p w:rsidR="005349B7" w:rsidRPr="0022168E" w:rsidRDefault="005349B7" w:rsidP="005349B7">
      <w:pPr>
        <w:spacing w:after="0" w:line="240" w:lineRule="auto"/>
        <w:jc w:val="both"/>
        <w:rPr>
          <w:rFonts w:ascii="Arial" w:eastAsia="Calibri" w:hAnsi="Arial" w:cs="Arial"/>
          <w:b/>
        </w:rPr>
      </w:pPr>
      <w:r w:rsidRPr="0022168E">
        <w:rPr>
          <w:rFonts w:ascii="Arial" w:eastAsia="Calibri" w:hAnsi="Arial" w:cs="Arial"/>
          <w:b/>
        </w:rPr>
        <w:t>OLLANTA HUMALA TASSO</w:t>
      </w:r>
    </w:p>
    <w:p w:rsidR="005349B7" w:rsidRPr="005349B7" w:rsidRDefault="005349B7" w:rsidP="005349B7">
      <w:pPr>
        <w:spacing w:after="0" w:line="240" w:lineRule="auto"/>
        <w:jc w:val="both"/>
        <w:rPr>
          <w:rFonts w:ascii="Arial" w:eastAsia="Calibri" w:hAnsi="Arial" w:cs="Arial"/>
        </w:rPr>
      </w:pPr>
      <w:r w:rsidRPr="005349B7">
        <w:rPr>
          <w:rFonts w:ascii="Arial" w:eastAsia="Calibri" w:hAnsi="Arial" w:cs="Arial"/>
        </w:rPr>
        <w:t>Presidente de la República</w:t>
      </w:r>
    </w:p>
    <w:p w:rsidR="005349B7" w:rsidRPr="005349B7" w:rsidRDefault="005349B7" w:rsidP="005349B7">
      <w:pPr>
        <w:spacing w:after="0" w:line="240" w:lineRule="auto"/>
        <w:jc w:val="both"/>
        <w:rPr>
          <w:rFonts w:ascii="Arial" w:eastAsia="Calibri" w:hAnsi="Arial" w:cs="Arial"/>
        </w:rPr>
      </w:pPr>
    </w:p>
    <w:p w:rsidR="005349B7" w:rsidRPr="0022168E" w:rsidRDefault="005349B7" w:rsidP="005349B7">
      <w:pPr>
        <w:spacing w:after="0" w:line="240" w:lineRule="auto"/>
        <w:jc w:val="both"/>
        <w:rPr>
          <w:rFonts w:ascii="Arial" w:eastAsia="Calibri" w:hAnsi="Arial" w:cs="Arial"/>
          <w:b/>
        </w:rPr>
      </w:pPr>
      <w:r w:rsidRPr="0022168E">
        <w:rPr>
          <w:rFonts w:ascii="Arial" w:eastAsia="Calibri" w:hAnsi="Arial" w:cs="Arial"/>
          <w:b/>
        </w:rPr>
        <w:t>PEDRO CATERIANO BELLIDO</w:t>
      </w:r>
    </w:p>
    <w:p w:rsidR="005349B7" w:rsidRPr="005349B7" w:rsidRDefault="005349B7" w:rsidP="005349B7">
      <w:pPr>
        <w:spacing w:after="0" w:line="240" w:lineRule="auto"/>
        <w:jc w:val="both"/>
        <w:rPr>
          <w:rFonts w:ascii="Arial" w:eastAsia="Calibri" w:hAnsi="Arial" w:cs="Arial"/>
        </w:rPr>
      </w:pPr>
      <w:r w:rsidRPr="005349B7">
        <w:rPr>
          <w:rFonts w:ascii="Arial" w:eastAsia="Calibri" w:hAnsi="Arial" w:cs="Arial"/>
        </w:rPr>
        <w:t>Presidente del Consejo de Ministros</w:t>
      </w:r>
    </w:p>
    <w:p w:rsidR="005349B7" w:rsidRPr="005349B7" w:rsidRDefault="005349B7" w:rsidP="005349B7">
      <w:pPr>
        <w:spacing w:after="0" w:line="240" w:lineRule="auto"/>
        <w:jc w:val="both"/>
        <w:rPr>
          <w:rFonts w:ascii="Arial" w:eastAsia="Calibri" w:hAnsi="Arial" w:cs="Arial"/>
        </w:rPr>
      </w:pPr>
    </w:p>
    <w:p w:rsidR="005349B7" w:rsidRPr="0022168E" w:rsidRDefault="005349B7" w:rsidP="005349B7">
      <w:pPr>
        <w:spacing w:after="0" w:line="240" w:lineRule="auto"/>
        <w:jc w:val="both"/>
        <w:rPr>
          <w:rFonts w:ascii="Arial" w:eastAsia="Calibri" w:hAnsi="Arial" w:cs="Arial"/>
          <w:b/>
        </w:rPr>
      </w:pPr>
      <w:r w:rsidRPr="0022168E">
        <w:rPr>
          <w:rFonts w:ascii="Arial" w:eastAsia="Calibri" w:hAnsi="Arial" w:cs="Arial"/>
          <w:b/>
        </w:rPr>
        <w:t>ALONSO SEGURA VASI</w:t>
      </w:r>
    </w:p>
    <w:p w:rsidR="005349B7" w:rsidRPr="005349B7" w:rsidRDefault="005349B7" w:rsidP="005349B7">
      <w:pPr>
        <w:spacing w:after="0" w:line="240" w:lineRule="auto"/>
        <w:jc w:val="both"/>
        <w:rPr>
          <w:rFonts w:ascii="Arial" w:eastAsia="Calibri" w:hAnsi="Arial" w:cs="Arial"/>
        </w:rPr>
      </w:pPr>
      <w:r w:rsidRPr="005349B7">
        <w:rPr>
          <w:rFonts w:ascii="Arial" w:eastAsia="Calibri" w:hAnsi="Arial" w:cs="Arial"/>
        </w:rPr>
        <w:t>Ministro de Economía y Finanzas</w:t>
      </w:r>
    </w:p>
    <w:p w:rsidR="005349B7" w:rsidRPr="005349B7" w:rsidRDefault="005349B7" w:rsidP="005349B7">
      <w:pPr>
        <w:spacing w:after="0" w:line="240" w:lineRule="auto"/>
        <w:jc w:val="both"/>
        <w:rPr>
          <w:rFonts w:ascii="Arial" w:eastAsia="Calibri" w:hAnsi="Arial" w:cs="Arial"/>
        </w:rPr>
      </w:pPr>
    </w:p>
    <w:p w:rsidR="005349B7" w:rsidRPr="0022168E" w:rsidRDefault="005349B7" w:rsidP="005349B7">
      <w:pPr>
        <w:spacing w:after="0" w:line="240" w:lineRule="auto"/>
        <w:jc w:val="both"/>
        <w:rPr>
          <w:rFonts w:ascii="Arial" w:eastAsia="Calibri" w:hAnsi="Arial" w:cs="Arial"/>
          <w:b/>
        </w:rPr>
      </w:pPr>
      <w:r w:rsidRPr="0022168E">
        <w:rPr>
          <w:rFonts w:ascii="Arial" w:eastAsia="Calibri" w:hAnsi="Arial" w:cs="Arial"/>
          <w:b/>
        </w:rPr>
        <w:t>PIERO GHEZZI SOLÍS</w:t>
      </w:r>
    </w:p>
    <w:p w:rsidR="005349B7" w:rsidRPr="005349B7" w:rsidRDefault="005349B7" w:rsidP="005349B7">
      <w:pPr>
        <w:spacing w:after="0" w:line="240" w:lineRule="auto"/>
        <w:jc w:val="both"/>
        <w:rPr>
          <w:rFonts w:ascii="Arial" w:eastAsia="Calibri" w:hAnsi="Arial" w:cs="Arial"/>
        </w:rPr>
      </w:pPr>
      <w:r w:rsidRPr="005349B7">
        <w:rPr>
          <w:rFonts w:ascii="Arial" w:eastAsia="Calibri" w:hAnsi="Arial" w:cs="Arial"/>
        </w:rPr>
        <w:t>Ministro de la Producción</w:t>
      </w:r>
    </w:p>
    <w:p w:rsidR="005349B7" w:rsidRDefault="005349B7" w:rsidP="006312E8">
      <w:pPr>
        <w:spacing w:after="200" w:line="276" w:lineRule="auto"/>
        <w:rPr>
          <w:rFonts w:ascii="Calibri" w:eastAsia="Calibri" w:hAnsi="Calibri" w:cs="Times New Roman"/>
        </w:rPr>
      </w:pPr>
    </w:p>
    <w:p w:rsidR="005349B7" w:rsidRDefault="005349B7" w:rsidP="006312E8">
      <w:pPr>
        <w:spacing w:after="200" w:line="276" w:lineRule="auto"/>
        <w:rPr>
          <w:rFonts w:ascii="Calibri" w:eastAsia="Calibri" w:hAnsi="Calibri" w:cs="Times New Roman"/>
        </w:rPr>
      </w:pPr>
    </w:p>
    <w:p w:rsidR="0022168E" w:rsidRDefault="0022168E" w:rsidP="006312E8">
      <w:pPr>
        <w:spacing w:after="200" w:line="276" w:lineRule="auto"/>
        <w:rPr>
          <w:rFonts w:ascii="Calibri" w:eastAsia="Calibri" w:hAnsi="Calibri" w:cs="Times New Roman"/>
        </w:rPr>
      </w:pPr>
    </w:p>
    <w:p w:rsidR="0022168E" w:rsidRDefault="0022168E" w:rsidP="006312E8">
      <w:pPr>
        <w:spacing w:after="200" w:line="276" w:lineRule="auto"/>
        <w:rPr>
          <w:rFonts w:ascii="Calibri" w:eastAsia="Calibri" w:hAnsi="Calibri" w:cs="Times New Roman"/>
        </w:rPr>
      </w:pPr>
    </w:p>
    <w:p w:rsidR="0022168E" w:rsidRDefault="0022168E" w:rsidP="006312E8">
      <w:pPr>
        <w:spacing w:after="200" w:line="276" w:lineRule="auto"/>
        <w:rPr>
          <w:rFonts w:ascii="Calibri" w:eastAsia="Calibri" w:hAnsi="Calibri" w:cs="Times New Roman"/>
        </w:rPr>
      </w:pPr>
    </w:p>
    <w:p w:rsidR="0022168E" w:rsidRDefault="0022168E" w:rsidP="006312E8">
      <w:pPr>
        <w:spacing w:after="200" w:line="276" w:lineRule="auto"/>
        <w:rPr>
          <w:rFonts w:ascii="Calibri" w:eastAsia="Calibri" w:hAnsi="Calibri" w:cs="Times New Roman"/>
        </w:rPr>
      </w:pPr>
    </w:p>
    <w:p w:rsidR="0022168E" w:rsidRDefault="0022168E" w:rsidP="006312E8">
      <w:pPr>
        <w:spacing w:after="200" w:line="276" w:lineRule="auto"/>
        <w:rPr>
          <w:rFonts w:ascii="Calibri" w:eastAsia="Calibri" w:hAnsi="Calibri" w:cs="Times New Roman"/>
        </w:rPr>
      </w:pPr>
    </w:p>
    <w:p w:rsidR="0022168E" w:rsidRDefault="0022168E" w:rsidP="006312E8">
      <w:pPr>
        <w:spacing w:after="200" w:line="276" w:lineRule="auto"/>
        <w:rPr>
          <w:rFonts w:ascii="Calibri" w:eastAsia="Calibri" w:hAnsi="Calibri" w:cs="Times New Roman"/>
        </w:rPr>
      </w:pPr>
    </w:p>
    <w:p w:rsidR="0022168E" w:rsidRDefault="0022168E" w:rsidP="006312E8">
      <w:pPr>
        <w:spacing w:after="200" w:line="276" w:lineRule="auto"/>
        <w:rPr>
          <w:rFonts w:ascii="Calibri" w:eastAsia="Calibri" w:hAnsi="Calibri" w:cs="Times New Roman"/>
        </w:rPr>
      </w:pPr>
    </w:p>
    <w:p w:rsidR="0022168E" w:rsidRDefault="0022168E" w:rsidP="006312E8">
      <w:pPr>
        <w:spacing w:after="200" w:line="276" w:lineRule="auto"/>
        <w:rPr>
          <w:rFonts w:ascii="Calibri" w:eastAsia="Calibri" w:hAnsi="Calibri" w:cs="Times New Roman"/>
        </w:rPr>
      </w:pPr>
    </w:p>
    <w:p w:rsidR="0022168E" w:rsidRDefault="0022168E" w:rsidP="006312E8">
      <w:pPr>
        <w:spacing w:after="200" w:line="276" w:lineRule="auto"/>
        <w:rPr>
          <w:rFonts w:ascii="Calibri" w:eastAsia="Calibri" w:hAnsi="Calibri" w:cs="Times New Roman"/>
        </w:rPr>
      </w:pPr>
    </w:p>
    <w:p w:rsidR="0022168E" w:rsidRDefault="0022168E" w:rsidP="006312E8">
      <w:pPr>
        <w:spacing w:after="200" w:line="276" w:lineRule="auto"/>
        <w:rPr>
          <w:rFonts w:ascii="Calibri" w:eastAsia="Calibri" w:hAnsi="Calibri" w:cs="Times New Roman"/>
        </w:rPr>
      </w:pPr>
    </w:p>
    <w:p w:rsidR="0022168E" w:rsidRDefault="0022168E" w:rsidP="006312E8">
      <w:pPr>
        <w:spacing w:after="200" w:line="276" w:lineRule="auto"/>
        <w:rPr>
          <w:rFonts w:ascii="Calibri" w:eastAsia="Calibri" w:hAnsi="Calibri" w:cs="Times New Roman"/>
        </w:rPr>
      </w:pPr>
    </w:p>
    <w:p w:rsidR="0022168E" w:rsidRDefault="0022168E" w:rsidP="006312E8">
      <w:pPr>
        <w:spacing w:after="200" w:line="276" w:lineRule="auto"/>
        <w:rPr>
          <w:rFonts w:ascii="Calibri" w:eastAsia="Calibri" w:hAnsi="Calibri" w:cs="Times New Roman"/>
        </w:rPr>
      </w:pPr>
    </w:p>
    <w:p w:rsidR="0022168E" w:rsidRDefault="0022168E" w:rsidP="006312E8">
      <w:pPr>
        <w:spacing w:after="200" w:line="276" w:lineRule="auto"/>
        <w:rPr>
          <w:rFonts w:ascii="Calibri" w:eastAsia="Calibri" w:hAnsi="Calibri" w:cs="Times New Roman"/>
        </w:rPr>
      </w:pPr>
    </w:p>
    <w:p w:rsidR="0022168E" w:rsidRDefault="0022168E" w:rsidP="006312E8">
      <w:pPr>
        <w:spacing w:after="200" w:line="276" w:lineRule="auto"/>
        <w:rPr>
          <w:rFonts w:ascii="Calibri" w:eastAsia="Calibri" w:hAnsi="Calibri" w:cs="Times New Roman"/>
        </w:rPr>
      </w:pPr>
    </w:p>
    <w:p w:rsidR="0022168E" w:rsidRDefault="0022168E" w:rsidP="006312E8">
      <w:pPr>
        <w:spacing w:after="200" w:line="276" w:lineRule="auto"/>
        <w:rPr>
          <w:rFonts w:ascii="Calibri" w:eastAsia="Calibri" w:hAnsi="Calibri" w:cs="Times New Roman"/>
        </w:rPr>
      </w:pPr>
    </w:p>
    <w:p w:rsidR="0022168E" w:rsidRDefault="0022168E" w:rsidP="006312E8">
      <w:pPr>
        <w:spacing w:after="200" w:line="276" w:lineRule="auto"/>
        <w:rPr>
          <w:rFonts w:ascii="Calibri" w:eastAsia="Calibri" w:hAnsi="Calibri" w:cs="Times New Roman"/>
        </w:rPr>
      </w:pPr>
    </w:p>
    <w:p w:rsidR="0022168E" w:rsidRDefault="0022168E" w:rsidP="006312E8">
      <w:pPr>
        <w:spacing w:after="200" w:line="276" w:lineRule="auto"/>
        <w:rPr>
          <w:rFonts w:ascii="Calibri" w:eastAsia="Calibri" w:hAnsi="Calibri" w:cs="Times New Roman"/>
        </w:rPr>
      </w:pPr>
    </w:p>
    <w:p w:rsidR="00B02770" w:rsidRDefault="00B02770" w:rsidP="006312E8">
      <w:pPr>
        <w:spacing w:after="200" w:line="276" w:lineRule="auto"/>
        <w:rPr>
          <w:rFonts w:ascii="Calibri" w:eastAsia="Calibri" w:hAnsi="Calibri" w:cs="Times New Roman"/>
        </w:rPr>
      </w:pPr>
    </w:p>
    <w:p w:rsidR="005A1186" w:rsidRDefault="005A1186" w:rsidP="005A1186">
      <w:pPr>
        <w:pStyle w:val="TITO2"/>
      </w:pPr>
      <w:bookmarkStart w:id="462" w:name="_Toc470855586"/>
      <w:r>
        <w:t>DECRETO LEGISLATIVO N° 1202</w:t>
      </w:r>
      <w:bookmarkEnd w:id="462"/>
    </w:p>
    <w:p w:rsidR="005A1186" w:rsidRDefault="005A1186" w:rsidP="005A1186">
      <w:pPr>
        <w:jc w:val="center"/>
        <w:rPr>
          <w:rFonts w:ascii="Arial" w:hAnsi="Arial" w:cs="Arial"/>
          <w:b/>
        </w:rPr>
      </w:pPr>
      <w:r w:rsidRPr="005A1186">
        <w:rPr>
          <w:rFonts w:ascii="Arial" w:hAnsi="Arial" w:cs="Arial"/>
          <w:b/>
        </w:rPr>
        <w:t>(Extracto)</w:t>
      </w:r>
    </w:p>
    <w:p w:rsidR="005A1186" w:rsidRDefault="005A1186" w:rsidP="005A1186">
      <w:pPr>
        <w:jc w:val="right"/>
        <w:rPr>
          <w:rFonts w:ascii="Arial" w:eastAsia="Calibri" w:hAnsi="Arial" w:cs="Arial"/>
          <w:b/>
        </w:rPr>
      </w:pPr>
      <w:r>
        <w:rPr>
          <w:rFonts w:ascii="Arial" w:eastAsia="Calibri" w:hAnsi="Arial" w:cs="Arial"/>
          <w:b/>
        </w:rPr>
        <w:t>Fecha de publicación: 23-09-2015</w:t>
      </w:r>
    </w:p>
    <w:p w:rsidR="005A1186" w:rsidRDefault="005A1186" w:rsidP="005A1186">
      <w:pPr>
        <w:spacing w:after="0" w:line="240" w:lineRule="auto"/>
        <w:jc w:val="center"/>
        <w:rPr>
          <w:rFonts w:ascii="Arial" w:eastAsia="Calibri" w:hAnsi="Arial" w:cs="Arial"/>
          <w:b/>
          <w:caps/>
        </w:rPr>
      </w:pPr>
      <w:r w:rsidRPr="005A1186">
        <w:rPr>
          <w:rFonts w:ascii="Arial" w:eastAsia="Calibri" w:hAnsi="Arial" w:cs="Arial"/>
          <w:b/>
          <w:caps/>
        </w:rPr>
        <w:t xml:space="preserve">Decreto Legislativo que modifica el Decreto Legislativo 803, </w:t>
      </w:r>
    </w:p>
    <w:p w:rsidR="005A1186" w:rsidRPr="005A1186" w:rsidRDefault="005A1186" w:rsidP="005A1186">
      <w:pPr>
        <w:spacing w:after="0" w:line="240" w:lineRule="auto"/>
        <w:jc w:val="center"/>
        <w:rPr>
          <w:rFonts w:ascii="Arial" w:hAnsi="Arial" w:cs="Arial"/>
          <w:b/>
          <w:caps/>
        </w:rPr>
      </w:pPr>
      <w:r w:rsidRPr="005A1186">
        <w:rPr>
          <w:rFonts w:ascii="Arial" w:eastAsia="Calibri" w:hAnsi="Arial" w:cs="Arial"/>
          <w:b/>
          <w:caps/>
        </w:rPr>
        <w:t>Ley de Promoción del acceso a la Propiedad formal y que dicta medidas Complementarias en Materia de acceso a la Propiedad Formal</w:t>
      </w:r>
    </w:p>
    <w:p w:rsidR="006312E8" w:rsidRDefault="006312E8" w:rsidP="006312E8">
      <w:pPr>
        <w:spacing w:after="200" w:line="276" w:lineRule="auto"/>
        <w:rPr>
          <w:rFonts w:ascii="Calibri" w:eastAsia="Calibri" w:hAnsi="Calibri" w:cs="Times New Roman"/>
        </w:rPr>
      </w:pPr>
    </w:p>
    <w:p w:rsidR="00F03CB6" w:rsidRPr="00F03CB6" w:rsidRDefault="005A1186" w:rsidP="00F03CB6">
      <w:pPr>
        <w:spacing w:after="0" w:line="240" w:lineRule="auto"/>
        <w:jc w:val="both"/>
        <w:rPr>
          <w:rFonts w:ascii="Arial" w:hAnsi="Arial" w:cs="Arial"/>
          <w:b/>
        </w:rPr>
      </w:pPr>
      <w:r w:rsidRPr="00F03CB6">
        <w:rPr>
          <w:rFonts w:ascii="Arial" w:hAnsi="Arial" w:cs="Arial"/>
          <w:b/>
        </w:rPr>
        <w:t xml:space="preserve">Artículo 1.- Objeto </w:t>
      </w:r>
    </w:p>
    <w:p w:rsidR="00F03CB6" w:rsidRDefault="005A1186" w:rsidP="00F03CB6">
      <w:pPr>
        <w:spacing w:after="0" w:line="240" w:lineRule="auto"/>
        <w:jc w:val="both"/>
        <w:rPr>
          <w:rFonts w:ascii="Arial" w:hAnsi="Arial" w:cs="Arial"/>
        </w:rPr>
      </w:pPr>
      <w:r w:rsidRPr="00F03CB6">
        <w:rPr>
          <w:rFonts w:ascii="Arial" w:hAnsi="Arial" w:cs="Arial"/>
        </w:rPr>
        <w:t>El presente Decreto Legislativo tiene por objeto modificar disposiciones del Decreto Legislativo N° 803, Ley de Promoción del Acceso a la Propiedad Formal y dictar medidas complementarias en materia de acceso a la propiedad formal, con el fin de implementar la adjudicación de tierras del Estado con fines de vivienda a través de lo</w:t>
      </w:r>
      <w:r w:rsidR="00F03CB6" w:rsidRPr="00F03CB6">
        <w:rPr>
          <w:rFonts w:ascii="Arial" w:hAnsi="Arial" w:cs="Arial"/>
        </w:rPr>
        <w:t xml:space="preserve"> Programas de Adjudicación de Lotes de Vivienda, a cargo del Organismo de Formalización de la Propiedad Informal - COFOPRI.</w:t>
      </w:r>
    </w:p>
    <w:p w:rsidR="00F03CB6" w:rsidRDefault="00F03CB6" w:rsidP="00F03CB6">
      <w:pPr>
        <w:spacing w:after="0" w:line="240" w:lineRule="auto"/>
        <w:jc w:val="both"/>
        <w:rPr>
          <w:rFonts w:ascii="Arial" w:hAnsi="Arial" w:cs="Arial"/>
        </w:rPr>
      </w:pPr>
    </w:p>
    <w:p w:rsidR="00F03CB6" w:rsidRPr="00F03CB6" w:rsidRDefault="00F03CB6" w:rsidP="00F03CB6">
      <w:pPr>
        <w:spacing w:after="0" w:line="240" w:lineRule="auto"/>
        <w:jc w:val="both"/>
        <w:rPr>
          <w:rFonts w:ascii="Arial" w:hAnsi="Arial" w:cs="Arial"/>
          <w:b/>
        </w:rPr>
      </w:pPr>
      <w:r w:rsidRPr="00F03CB6">
        <w:rPr>
          <w:rFonts w:ascii="Arial" w:hAnsi="Arial" w:cs="Arial"/>
        </w:rPr>
        <w:t xml:space="preserve"> </w:t>
      </w:r>
      <w:r w:rsidRPr="00F03CB6">
        <w:rPr>
          <w:rFonts w:ascii="Arial" w:hAnsi="Arial" w:cs="Arial"/>
          <w:b/>
        </w:rPr>
        <w:t xml:space="preserve">Artículo 2.- Ámbito de aplicación </w:t>
      </w:r>
    </w:p>
    <w:p w:rsidR="00F03CB6" w:rsidRDefault="00F03CB6" w:rsidP="00F03CB6">
      <w:pPr>
        <w:spacing w:after="0" w:line="240" w:lineRule="auto"/>
        <w:jc w:val="both"/>
        <w:rPr>
          <w:rFonts w:ascii="Arial" w:hAnsi="Arial" w:cs="Arial"/>
        </w:rPr>
      </w:pPr>
    </w:p>
    <w:p w:rsidR="00F03CB6" w:rsidRDefault="00F03CB6" w:rsidP="00F03CB6">
      <w:pPr>
        <w:spacing w:after="0" w:line="240" w:lineRule="auto"/>
        <w:ind w:left="567" w:hanging="567"/>
        <w:jc w:val="both"/>
        <w:rPr>
          <w:rFonts w:ascii="Arial" w:hAnsi="Arial" w:cs="Arial"/>
        </w:rPr>
      </w:pPr>
      <w:r w:rsidRPr="00F03CB6">
        <w:rPr>
          <w:rFonts w:ascii="Arial" w:hAnsi="Arial" w:cs="Arial"/>
        </w:rPr>
        <w:t xml:space="preserve">2.1. </w:t>
      </w:r>
      <w:r>
        <w:rPr>
          <w:rFonts w:ascii="Arial" w:hAnsi="Arial" w:cs="Arial"/>
        </w:rPr>
        <w:tab/>
      </w:r>
      <w:r w:rsidRPr="00F03CB6">
        <w:rPr>
          <w:rFonts w:ascii="Arial" w:hAnsi="Arial" w:cs="Arial"/>
        </w:rPr>
        <w:t>Los Programas de Adjudicación de Lotes de Vivienda, a que se refiere el Título III del Decreto Legislativo N° 803, Ley de Promo</w:t>
      </w:r>
      <w:r>
        <w:rPr>
          <w:rFonts w:ascii="Arial" w:hAnsi="Arial" w:cs="Arial"/>
        </w:rPr>
        <w:t xml:space="preserve">ción del Acceso a la Propiedad </w:t>
      </w:r>
      <w:r w:rsidRPr="00F03CB6">
        <w:rPr>
          <w:rFonts w:ascii="Arial" w:hAnsi="Arial" w:cs="Arial"/>
        </w:rPr>
        <w:t>Formal, se desarrollan sobre terreno</w:t>
      </w:r>
      <w:r>
        <w:rPr>
          <w:rFonts w:ascii="Arial" w:hAnsi="Arial" w:cs="Arial"/>
        </w:rPr>
        <w:t xml:space="preserve">s de propiedad estatal. </w:t>
      </w:r>
    </w:p>
    <w:p w:rsidR="00F03CB6" w:rsidRDefault="00F03CB6" w:rsidP="00F03CB6">
      <w:pPr>
        <w:spacing w:after="0" w:line="240" w:lineRule="auto"/>
        <w:ind w:left="567" w:hanging="567"/>
        <w:jc w:val="both"/>
        <w:rPr>
          <w:rFonts w:ascii="Arial" w:hAnsi="Arial" w:cs="Arial"/>
        </w:rPr>
      </w:pPr>
    </w:p>
    <w:p w:rsidR="00F03CB6" w:rsidRDefault="00F03CB6" w:rsidP="00F03CB6">
      <w:pPr>
        <w:spacing w:after="0" w:line="240" w:lineRule="auto"/>
        <w:ind w:left="567" w:hanging="567"/>
        <w:jc w:val="both"/>
        <w:rPr>
          <w:rFonts w:ascii="Arial" w:hAnsi="Arial" w:cs="Arial"/>
        </w:rPr>
      </w:pPr>
      <w:r w:rsidRPr="00F03CB6">
        <w:rPr>
          <w:rFonts w:ascii="Arial" w:hAnsi="Arial" w:cs="Arial"/>
        </w:rPr>
        <w:t xml:space="preserve">2.2. </w:t>
      </w:r>
      <w:r>
        <w:rPr>
          <w:rFonts w:ascii="Arial" w:hAnsi="Arial" w:cs="Arial"/>
        </w:rPr>
        <w:tab/>
      </w:r>
      <w:r w:rsidRPr="00F03CB6">
        <w:rPr>
          <w:rFonts w:ascii="Arial" w:hAnsi="Arial" w:cs="Arial"/>
        </w:rPr>
        <w:t>Los Programas de Adjudicación de Lotes de Vivienda no pueden ejecutarse</w:t>
      </w:r>
      <w:r>
        <w:rPr>
          <w:rFonts w:ascii="Arial" w:hAnsi="Arial" w:cs="Arial"/>
        </w:rPr>
        <w:t xml:space="preserve">: </w:t>
      </w:r>
      <w:r w:rsidRPr="00F03CB6">
        <w:rPr>
          <w:rFonts w:ascii="Arial" w:hAnsi="Arial" w:cs="Arial"/>
        </w:rPr>
        <w:t xml:space="preserve"> </w:t>
      </w:r>
    </w:p>
    <w:p w:rsidR="00F03CB6" w:rsidRDefault="00F03CB6" w:rsidP="00F03CB6">
      <w:pPr>
        <w:spacing w:after="0" w:line="240" w:lineRule="auto"/>
        <w:jc w:val="both"/>
        <w:rPr>
          <w:rFonts w:ascii="Arial" w:hAnsi="Arial" w:cs="Arial"/>
        </w:rPr>
      </w:pPr>
    </w:p>
    <w:p w:rsidR="00F03CB6" w:rsidRPr="00F03CB6" w:rsidRDefault="00F03CB6" w:rsidP="0092471C">
      <w:pPr>
        <w:pStyle w:val="Prrafodelista"/>
        <w:numPr>
          <w:ilvl w:val="1"/>
          <w:numId w:val="242"/>
        </w:numPr>
        <w:spacing w:after="0" w:line="240" w:lineRule="auto"/>
        <w:ind w:left="993"/>
        <w:jc w:val="both"/>
        <w:rPr>
          <w:rFonts w:ascii="Arial" w:hAnsi="Arial" w:cs="Arial"/>
        </w:rPr>
      </w:pPr>
      <w:r w:rsidRPr="00F03CB6">
        <w:rPr>
          <w:rFonts w:ascii="Arial" w:hAnsi="Arial" w:cs="Arial"/>
        </w:rPr>
        <w:t xml:space="preserve">Tierras y territorios de pueblos indígenas u originarios. </w:t>
      </w:r>
    </w:p>
    <w:p w:rsidR="00F03CB6" w:rsidRPr="00F03CB6" w:rsidRDefault="00F03CB6" w:rsidP="0092471C">
      <w:pPr>
        <w:pStyle w:val="Prrafodelista"/>
        <w:numPr>
          <w:ilvl w:val="1"/>
          <w:numId w:val="242"/>
        </w:numPr>
        <w:spacing w:after="0" w:line="240" w:lineRule="auto"/>
        <w:ind w:left="993"/>
        <w:jc w:val="both"/>
        <w:rPr>
          <w:rFonts w:ascii="Arial" w:hAnsi="Arial" w:cs="Arial"/>
        </w:rPr>
      </w:pPr>
      <w:r w:rsidRPr="00F03CB6">
        <w:rPr>
          <w:rFonts w:ascii="Arial" w:hAnsi="Arial" w:cs="Arial"/>
        </w:rPr>
        <w:t xml:space="preserve">Reservas Territoriales y Reservas Indígenas, de acuerdo a lo dispuesto en la Ley N° 28736, Ley para la protección de pueblos indígenas u originarios en situación de aislamiento y en situación de contacto inicial, y su Reglamento. </w:t>
      </w:r>
    </w:p>
    <w:p w:rsidR="00F03CB6" w:rsidRPr="00F03CB6" w:rsidRDefault="00F03CB6" w:rsidP="0092471C">
      <w:pPr>
        <w:pStyle w:val="Prrafodelista"/>
        <w:numPr>
          <w:ilvl w:val="1"/>
          <w:numId w:val="242"/>
        </w:numPr>
        <w:spacing w:after="0" w:line="240" w:lineRule="auto"/>
        <w:ind w:left="993"/>
        <w:jc w:val="both"/>
        <w:rPr>
          <w:rFonts w:ascii="Arial" w:hAnsi="Arial" w:cs="Arial"/>
        </w:rPr>
      </w:pPr>
      <w:r w:rsidRPr="00F03CB6">
        <w:rPr>
          <w:rFonts w:ascii="Arial" w:hAnsi="Arial" w:cs="Arial"/>
        </w:rPr>
        <w:t xml:space="preserve">Áreas forestales, monumentos arqueológicos, áreas naturales protegidas y sus zonas de amortiguamiento, en el caso de estas últimas se requerirá opinión previa vinculante del Servicio Nacional de Áreas Naturales Protegidas por el Estado — SERNANP. </w:t>
      </w:r>
    </w:p>
    <w:p w:rsidR="00F03CB6" w:rsidRPr="00F03CB6" w:rsidRDefault="00F03CB6" w:rsidP="0092471C">
      <w:pPr>
        <w:pStyle w:val="Prrafodelista"/>
        <w:numPr>
          <w:ilvl w:val="1"/>
          <w:numId w:val="242"/>
        </w:numPr>
        <w:spacing w:after="0" w:line="240" w:lineRule="auto"/>
        <w:ind w:left="993"/>
        <w:jc w:val="both"/>
        <w:rPr>
          <w:rFonts w:ascii="Arial" w:hAnsi="Arial" w:cs="Arial"/>
        </w:rPr>
      </w:pPr>
      <w:r w:rsidRPr="00F03CB6">
        <w:rPr>
          <w:rFonts w:ascii="Arial" w:hAnsi="Arial" w:cs="Arial"/>
        </w:rPr>
        <w:t xml:space="preserve">Terrenos ubicados en área de playa y zona de dominio restringido. </w:t>
      </w:r>
    </w:p>
    <w:p w:rsidR="00F03CB6" w:rsidRPr="00F03CB6" w:rsidRDefault="00F03CB6" w:rsidP="0092471C">
      <w:pPr>
        <w:pStyle w:val="Prrafodelista"/>
        <w:numPr>
          <w:ilvl w:val="1"/>
          <w:numId w:val="242"/>
        </w:numPr>
        <w:spacing w:after="0" w:line="240" w:lineRule="auto"/>
        <w:ind w:left="993"/>
        <w:jc w:val="both"/>
        <w:rPr>
          <w:rFonts w:ascii="Arial" w:hAnsi="Arial" w:cs="Arial"/>
        </w:rPr>
      </w:pPr>
      <w:r w:rsidRPr="00F03CB6">
        <w:rPr>
          <w:rFonts w:ascii="Arial" w:hAnsi="Arial" w:cs="Arial"/>
        </w:rPr>
        <w:t xml:space="preserve">Terrenos destinados a proyectos hidroenergéticos, de irrigación o proyectos agrícolas que cuenten con pronunciamiento de la autoridad competente, o cualquier otro proyecto especial creado o por crearse. </w:t>
      </w:r>
    </w:p>
    <w:p w:rsidR="00F03CB6" w:rsidRPr="00F03CB6" w:rsidRDefault="00F03CB6" w:rsidP="0092471C">
      <w:pPr>
        <w:pStyle w:val="Prrafodelista"/>
        <w:numPr>
          <w:ilvl w:val="1"/>
          <w:numId w:val="242"/>
        </w:numPr>
        <w:spacing w:after="0" w:line="240" w:lineRule="auto"/>
        <w:ind w:left="993"/>
        <w:jc w:val="both"/>
        <w:rPr>
          <w:rFonts w:ascii="Arial" w:hAnsi="Arial" w:cs="Arial"/>
        </w:rPr>
      </w:pPr>
      <w:r w:rsidRPr="00F03CB6">
        <w:rPr>
          <w:rFonts w:ascii="Arial" w:hAnsi="Arial" w:cs="Arial"/>
        </w:rPr>
        <w:t xml:space="preserve">Zonas calificadas como de alto riesgo u otras condiciones que hagan que el terreno no sea apto para fines de vivienda, tales como franjas marginales, quebradas, cauces de los ríos, entre otros. </w:t>
      </w:r>
    </w:p>
    <w:p w:rsidR="00F03CB6" w:rsidRPr="00F03CB6" w:rsidRDefault="00F03CB6" w:rsidP="0092471C">
      <w:pPr>
        <w:pStyle w:val="Prrafodelista"/>
        <w:numPr>
          <w:ilvl w:val="1"/>
          <w:numId w:val="242"/>
        </w:numPr>
        <w:spacing w:after="0" w:line="240" w:lineRule="auto"/>
        <w:ind w:left="993"/>
        <w:jc w:val="both"/>
        <w:rPr>
          <w:rFonts w:ascii="Arial" w:hAnsi="Arial" w:cs="Arial"/>
        </w:rPr>
      </w:pPr>
      <w:r w:rsidRPr="00F03CB6">
        <w:rPr>
          <w:rFonts w:ascii="Arial" w:hAnsi="Arial" w:cs="Arial"/>
        </w:rPr>
        <w:t xml:space="preserve">Bienes de dominio público, tales como aportes reglamentarios, áreas de equipamiento urbano, vías, derechos de vía, y otros destinados al uso o servicio público. Así como en los bienes adquiridos por donación sean de dominio público o privado, excepto los donados con fines de vivienda. </w:t>
      </w:r>
    </w:p>
    <w:p w:rsidR="00F03CB6" w:rsidRPr="00F03CB6" w:rsidRDefault="00F03CB6" w:rsidP="0092471C">
      <w:pPr>
        <w:pStyle w:val="Prrafodelista"/>
        <w:numPr>
          <w:ilvl w:val="1"/>
          <w:numId w:val="242"/>
        </w:numPr>
        <w:spacing w:after="0" w:line="240" w:lineRule="auto"/>
        <w:ind w:left="993"/>
        <w:jc w:val="both"/>
        <w:rPr>
          <w:rFonts w:ascii="Arial" w:hAnsi="Arial" w:cs="Arial"/>
        </w:rPr>
      </w:pPr>
      <w:r w:rsidRPr="00F03CB6">
        <w:rPr>
          <w:rFonts w:ascii="Arial" w:hAnsi="Arial" w:cs="Arial"/>
        </w:rPr>
        <w:t xml:space="preserve">Terrenos comprendidos en proyectos de inversión pública, de inversión privada o asociaciones público privadas, incluyendo aquellos que se encuentren en proceso de promoción de la inversión privada. </w:t>
      </w:r>
    </w:p>
    <w:p w:rsidR="005A1186" w:rsidRPr="00F03CB6" w:rsidRDefault="00F03CB6" w:rsidP="0092471C">
      <w:pPr>
        <w:pStyle w:val="Prrafodelista"/>
        <w:numPr>
          <w:ilvl w:val="1"/>
          <w:numId w:val="242"/>
        </w:numPr>
        <w:spacing w:after="0" w:line="240" w:lineRule="auto"/>
        <w:ind w:left="993"/>
        <w:jc w:val="both"/>
        <w:rPr>
          <w:rFonts w:ascii="Arial" w:hAnsi="Arial" w:cs="Arial"/>
        </w:rPr>
      </w:pPr>
      <w:r w:rsidRPr="00F03CB6">
        <w:rPr>
          <w:rFonts w:ascii="Arial" w:hAnsi="Arial" w:cs="Arial"/>
        </w:rPr>
        <w:t>Terrenos comprendidos en procesos de saneamiento físico legal, titulación, administración o adjudicación, de competencia de los gobiernos regionales o de los gobiernos locales, de acuerdo a lo previsto en las leyes orgánicas de la materia.</w:t>
      </w:r>
    </w:p>
    <w:p w:rsidR="00F03CB6" w:rsidRDefault="00F03CB6" w:rsidP="00F03CB6">
      <w:pPr>
        <w:spacing w:after="0" w:line="240" w:lineRule="auto"/>
        <w:jc w:val="both"/>
        <w:rPr>
          <w:rFonts w:ascii="Arial" w:hAnsi="Arial" w:cs="Arial"/>
        </w:rPr>
      </w:pPr>
    </w:p>
    <w:p w:rsidR="00F03CB6" w:rsidRDefault="00F03CB6" w:rsidP="00F007A4">
      <w:pPr>
        <w:spacing w:after="0" w:line="240" w:lineRule="auto"/>
        <w:ind w:left="1276" w:hanging="1276"/>
        <w:jc w:val="both"/>
        <w:rPr>
          <w:rFonts w:ascii="Arial" w:hAnsi="Arial" w:cs="Arial"/>
          <w:b/>
        </w:rPr>
      </w:pPr>
      <w:r w:rsidRPr="00F007A4">
        <w:rPr>
          <w:rFonts w:ascii="Arial" w:hAnsi="Arial" w:cs="Arial"/>
          <w:b/>
        </w:rPr>
        <w:t xml:space="preserve">Artículo 3.- Asunción de titularidad sobre terrenos del Estado con fines de vivienda destinadas a los Programas de Adjudicación de Lotes de Vivienda </w:t>
      </w:r>
    </w:p>
    <w:p w:rsidR="00F007A4" w:rsidRPr="00F007A4" w:rsidRDefault="00F007A4" w:rsidP="00F007A4">
      <w:pPr>
        <w:spacing w:after="0" w:line="240" w:lineRule="auto"/>
        <w:ind w:left="1276" w:hanging="1276"/>
        <w:jc w:val="both"/>
        <w:rPr>
          <w:rFonts w:ascii="Arial" w:hAnsi="Arial" w:cs="Arial"/>
          <w:b/>
        </w:rPr>
      </w:pPr>
    </w:p>
    <w:p w:rsidR="00F007A4" w:rsidRDefault="00F03CB6" w:rsidP="00F03CB6">
      <w:pPr>
        <w:spacing w:after="0" w:line="240" w:lineRule="auto"/>
        <w:jc w:val="both"/>
        <w:rPr>
          <w:rFonts w:ascii="Arial" w:hAnsi="Arial" w:cs="Arial"/>
        </w:rPr>
      </w:pPr>
      <w:r w:rsidRPr="00F03CB6">
        <w:rPr>
          <w:rFonts w:ascii="Arial" w:hAnsi="Arial" w:cs="Arial"/>
        </w:rPr>
        <w:t xml:space="preserve">Modifícase el artículo 13 del Decreto Legislativo N° 803, Ley de Promoción del Acceso a la Propiedad Formal, modificado por el artículo 4 de la Ley N° 27046, Ley Complementaria de Promoción del Acceso a la Propiedad Formal, correspondiente al artículo 12 del Texto Único Ordenado de la Ley de Promoción del Acceso a la Propiedad Formal, aprobado mediante Decreto Supremo N° 009-99-MTC, de acuerdo al siguiente texto: </w:t>
      </w:r>
    </w:p>
    <w:p w:rsidR="00F007A4" w:rsidRDefault="00F007A4" w:rsidP="00F03CB6">
      <w:pPr>
        <w:spacing w:after="0" w:line="240" w:lineRule="auto"/>
        <w:jc w:val="both"/>
        <w:rPr>
          <w:rFonts w:ascii="Arial" w:hAnsi="Arial" w:cs="Arial"/>
        </w:rPr>
      </w:pPr>
    </w:p>
    <w:p w:rsidR="00F007A4" w:rsidRDefault="00F03CB6" w:rsidP="00F03CB6">
      <w:pPr>
        <w:spacing w:after="0" w:line="240" w:lineRule="auto"/>
        <w:jc w:val="both"/>
        <w:rPr>
          <w:rFonts w:ascii="Arial" w:hAnsi="Arial" w:cs="Arial"/>
        </w:rPr>
      </w:pPr>
      <w:r w:rsidRPr="00F03CB6">
        <w:rPr>
          <w:rFonts w:ascii="Arial" w:hAnsi="Arial" w:cs="Arial"/>
        </w:rPr>
        <w:t>"</w:t>
      </w:r>
      <w:r w:rsidRPr="00F007A4">
        <w:rPr>
          <w:rFonts w:ascii="Arial" w:hAnsi="Arial" w:cs="Arial"/>
          <w:b/>
        </w:rPr>
        <w:t>Artículo 12.-</w:t>
      </w:r>
      <w:r w:rsidRPr="00F03CB6">
        <w:rPr>
          <w:rFonts w:ascii="Arial" w:hAnsi="Arial" w:cs="Arial"/>
        </w:rPr>
        <w:t xml:space="preserve"> Con el fin de dar cumplimiento a lo previsto en la presente ley y por razones operativas, COFOPRI asume la titularidad de los terrenos estatales, fiscales y municipales ocupados por pobladores de cualquiera de las modalidades de posesión, ocupación o titularidad descritas en el inciso a) del Artículo 3. La solicitud de COFOPRI constituye mérito suficiente para que los registradores inscriban su titularidad sobre dichos terrenos estatales en el Registro de Predios. </w:t>
      </w:r>
    </w:p>
    <w:p w:rsidR="009F1BE3" w:rsidRDefault="009F1BE3" w:rsidP="00F03CB6">
      <w:pPr>
        <w:spacing w:after="0" w:line="240" w:lineRule="auto"/>
        <w:jc w:val="both"/>
        <w:rPr>
          <w:rFonts w:ascii="Arial" w:hAnsi="Arial" w:cs="Arial"/>
        </w:rPr>
      </w:pPr>
    </w:p>
    <w:p w:rsidR="00F007A4" w:rsidRDefault="00F03CB6" w:rsidP="00F03CB6">
      <w:pPr>
        <w:spacing w:after="0" w:line="240" w:lineRule="auto"/>
        <w:jc w:val="both"/>
        <w:rPr>
          <w:rFonts w:ascii="Arial" w:hAnsi="Arial" w:cs="Arial"/>
        </w:rPr>
      </w:pPr>
      <w:r w:rsidRPr="00F03CB6">
        <w:rPr>
          <w:rFonts w:ascii="Arial" w:hAnsi="Arial" w:cs="Arial"/>
        </w:rPr>
        <w:t xml:space="preserve">Entiéndase por terrenos estatales, fiscales o municipales a aquellos cuya </w:t>
      </w:r>
      <w:r w:rsidR="00F007A4">
        <w:rPr>
          <w:rFonts w:ascii="Arial" w:hAnsi="Arial" w:cs="Arial"/>
        </w:rPr>
        <w:t xml:space="preserve">titularidad o </w:t>
      </w:r>
      <w:r w:rsidRPr="00F03CB6">
        <w:rPr>
          <w:rFonts w:ascii="Arial" w:hAnsi="Arial" w:cs="Arial"/>
        </w:rPr>
        <w:t>derecho de propiedad corresponda a cualquier entid</w:t>
      </w:r>
      <w:r w:rsidR="00F007A4">
        <w:rPr>
          <w:rFonts w:ascii="Arial" w:hAnsi="Arial" w:cs="Arial"/>
        </w:rPr>
        <w:t xml:space="preserve">ad del Estado, incluyendo sus </w:t>
      </w:r>
      <w:r w:rsidRPr="00F03CB6">
        <w:rPr>
          <w:rFonts w:ascii="Arial" w:hAnsi="Arial" w:cs="Arial"/>
        </w:rPr>
        <w:t xml:space="preserve">órganos, organismos y dependencias; a las empresas estatales, fiscales y municipales, inclusive las de Derecho Privado en la que la entidad estatal es la única propietaria; a las universidades nacionales y beneficencias públicas. En los casos que corresponda, los órganos decisorios adoptarán los acuerdos que sean necesarios para regularizar la titularidad asumida por COFOPRI. </w:t>
      </w:r>
    </w:p>
    <w:p w:rsidR="009F1BE3" w:rsidRDefault="009F1BE3" w:rsidP="00F03CB6">
      <w:pPr>
        <w:spacing w:after="0" w:line="240" w:lineRule="auto"/>
        <w:jc w:val="both"/>
        <w:rPr>
          <w:rFonts w:ascii="Arial" w:hAnsi="Arial" w:cs="Arial"/>
        </w:rPr>
      </w:pPr>
    </w:p>
    <w:p w:rsidR="00F007A4" w:rsidRDefault="00F03CB6" w:rsidP="00F03CB6">
      <w:pPr>
        <w:spacing w:after="0" w:line="240" w:lineRule="auto"/>
        <w:jc w:val="both"/>
        <w:rPr>
          <w:rFonts w:ascii="Arial" w:hAnsi="Arial" w:cs="Arial"/>
        </w:rPr>
      </w:pPr>
      <w:r w:rsidRPr="00F03CB6">
        <w:rPr>
          <w:rFonts w:ascii="Arial" w:hAnsi="Arial" w:cs="Arial"/>
        </w:rPr>
        <w:t xml:space="preserve">Las entidades estatales comprendidas en este artículo, a solicitud de COFOPRI, suspenderán los procedimientos judiciales destinados a obtener la desocupación de terrenos, cuya titularidad sea asumida por COFOPRI como consecuencia de sus acciones de formalización. </w:t>
      </w:r>
    </w:p>
    <w:p w:rsidR="00F007A4" w:rsidRDefault="00F03CB6" w:rsidP="00F03CB6">
      <w:pPr>
        <w:spacing w:after="0" w:line="240" w:lineRule="auto"/>
        <w:jc w:val="both"/>
        <w:rPr>
          <w:rFonts w:ascii="Arial" w:hAnsi="Arial" w:cs="Arial"/>
        </w:rPr>
      </w:pPr>
      <w:r w:rsidRPr="00F03CB6">
        <w:rPr>
          <w:rFonts w:ascii="Arial" w:hAnsi="Arial" w:cs="Arial"/>
        </w:rPr>
        <w:t xml:space="preserve">Será nulo todo acto que contravenga lo dispuesto en esta norma. </w:t>
      </w:r>
    </w:p>
    <w:p w:rsidR="009F1BE3" w:rsidRDefault="009F1BE3" w:rsidP="00F03CB6">
      <w:pPr>
        <w:spacing w:after="0" w:line="240" w:lineRule="auto"/>
        <w:jc w:val="both"/>
        <w:rPr>
          <w:rFonts w:ascii="Arial" w:hAnsi="Arial" w:cs="Arial"/>
        </w:rPr>
      </w:pPr>
    </w:p>
    <w:p w:rsidR="00F03CB6" w:rsidRDefault="00F03CB6" w:rsidP="00F03CB6">
      <w:pPr>
        <w:spacing w:after="0" w:line="240" w:lineRule="auto"/>
        <w:jc w:val="both"/>
        <w:rPr>
          <w:rFonts w:ascii="Arial" w:hAnsi="Arial" w:cs="Arial"/>
        </w:rPr>
      </w:pPr>
      <w:r w:rsidRPr="00F03CB6">
        <w:rPr>
          <w:rFonts w:ascii="Arial" w:hAnsi="Arial" w:cs="Arial"/>
        </w:rPr>
        <w:t>Quedan comprendidos en la asunción de titularidad dispuesta en el presente artículo, los terrenos estatales que COFOPRI identifique y requiera para destinarlos exclusivamente a la adjudicación de tierras del Estado con fines de vivienda destinados a los Programas de Adjudicación de Lotes de Vivienda, con excepción de los terrenos cuyo saneamiento físico legal, titulación, administración o adjudicación sea de competencia de los gobiernos regionales o de los gobiernos locales, de acuerdo a lo previsto en las leyes orgánicas de la materia".</w:t>
      </w:r>
    </w:p>
    <w:p w:rsidR="00F007A4" w:rsidRPr="00F03CB6" w:rsidRDefault="00F007A4" w:rsidP="00F03CB6">
      <w:pPr>
        <w:spacing w:after="0" w:line="240" w:lineRule="auto"/>
        <w:jc w:val="both"/>
        <w:rPr>
          <w:rFonts w:ascii="Arial" w:hAnsi="Arial" w:cs="Arial"/>
        </w:rPr>
      </w:pPr>
    </w:p>
    <w:p w:rsidR="00F007A4" w:rsidRPr="00F007A4" w:rsidRDefault="00F03CB6" w:rsidP="00F03CB6">
      <w:pPr>
        <w:spacing w:after="0" w:line="240" w:lineRule="auto"/>
        <w:jc w:val="both"/>
        <w:rPr>
          <w:rFonts w:ascii="Arial" w:hAnsi="Arial" w:cs="Arial"/>
          <w:b/>
        </w:rPr>
      </w:pPr>
      <w:r w:rsidRPr="00F007A4">
        <w:rPr>
          <w:rFonts w:ascii="Arial" w:hAnsi="Arial" w:cs="Arial"/>
          <w:b/>
        </w:rPr>
        <w:t xml:space="preserve">Artículo 4.- Programas de Adjudicación de Lotes con fines de Vivienda </w:t>
      </w:r>
    </w:p>
    <w:p w:rsidR="00F007A4" w:rsidRDefault="00F03CB6" w:rsidP="00F03CB6">
      <w:pPr>
        <w:spacing w:after="0" w:line="240" w:lineRule="auto"/>
        <w:jc w:val="both"/>
        <w:rPr>
          <w:rFonts w:ascii="Arial" w:hAnsi="Arial" w:cs="Arial"/>
        </w:rPr>
      </w:pPr>
      <w:r w:rsidRPr="00F03CB6">
        <w:rPr>
          <w:rFonts w:ascii="Arial" w:hAnsi="Arial" w:cs="Arial"/>
        </w:rPr>
        <w:t xml:space="preserve">Modifícase el artículo 27 del Decreto Legislativo N° 803, Ley de Promoción del Acceso a la Propiedad Formal, modificado por el artículo 12 de la Ley N° 27046, Ley Complementaria de Promoción del Acceso a la Propiedad Formal, correspondiente al artículo 26 del Texto Único Ordenado de la Ley de Promoción del Acceso a la Propiedad Formal, aprobado mediante Decreto Supremo N° 009-99-MTC, de acuerdo al siguiente texto: </w:t>
      </w:r>
    </w:p>
    <w:p w:rsidR="009F1BE3" w:rsidRDefault="009F1BE3" w:rsidP="00F03CB6">
      <w:pPr>
        <w:spacing w:after="0" w:line="240" w:lineRule="auto"/>
        <w:jc w:val="both"/>
        <w:rPr>
          <w:rFonts w:ascii="Arial" w:hAnsi="Arial" w:cs="Arial"/>
        </w:rPr>
      </w:pPr>
    </w:p>
    <w:p w:rsidR="00F007A4" w:rsidRDefault="00F03CB6" w:rsidP="00F03CB6">
      <w:pPr>
        <w:spacing w:after="0" w:line="240" w:lineRule="auto"/>
        <w:jc w:val="both"/>
        <w:rPr>
          <w:rFonts w:ascii="Arial" w:hAnsi="Arial" w:cs="Arial"/>
        </w:rPr>
      </w:pPr>
      <w:r w:rsidRPr="00F03CB6">
        <w:rPr>
          <w:rFonts w:ascii="Arial" w:hAnsi="Arial" w:cs="Arial"/>
        </w:rPr>
        <w:t>"</w:t>
      </w:r>
      <w:r w:rsidRPr="00F007A4">
        <w:rPr>
          <w:rFonts w:ascii="Arial" w:hAnsi="Arial" w:cs="Arial"/>
          <w:b/>
        </w:rPr>
        <w:t>Artículo 26.-</w:t>
      </w:r>
      <w:r w:rsidRPr="00F03CB6">
        <w:rPr>
          <w:rFonts w:ascii="Arial" w:hAnsi="Arial" w:cs="Arial"/>
        </w:rPr>
        <w:t xml:space="preserve"> Para ser beneficiario de los Programas de Adjudicación de Lotes de Vivienda, los interesados deben ser empadronados por COFOPRI en el Padrón correspondiente al programa por ejecutarse, y cumplir con los procedimientos, requisitos y condiciones que se establezcan mediante el Reglamento del presente Decreto Legislativo. La adjudicación de lotes con fines de vivienda, se realiza previa calificación individual de los beneficiarios, a título oneroso y a valor arancelario, siempre y cuando no sean propietarios o Copropietarios de otro inmueble destinado a vivienda dentro de la misma provincia donde se ejecuta el Programa de Adjudicación de Lotes de Vivienda. No será a título oneroso en los casos que se trate de reubicaciones. </w:t>
      </w:r>
    </w:p>
    <w:p w:rsidR="009F1BE3" w:rsidRDefault="009F1BE3" w:rsidP="00F03CB6">
      <w:pPr>
        <w:spacing w:after="0" w:line="240" w:lineRule="auto"/>
        <w:jc w:val="both"/>
        <w:rPr>
          <w:rFonts w:ascii="Arial" w:hAnsi="Arial" w:cs="Arial"/>
        </w:rPr>
      </w:pPr>
    </w:p>
    <w:p w:rsidR="00F007A4" w:rsidRDefault="00F03CB6" w:rsidP="00F03CB6">
      <w:pPr>
        <w:spacing w:after="0" w:line="240" w:lineRule="auto"/>
        <w:jc w:val="both"/>
        <w:rPr>
          <w:rFonts w:ascii="Arial" w:hAnsi="Arial" w:cs="Arial"/>
        </w:rPr>
      </w:pPr>
      <w:r w:rsidRPr="00F03CB6">
        <w:rPr>
          <w:rFonts w:ascii="Arial" w:hAnsi="Arial" w:cs="Arial"/>
        </w:rPr>
        <w:t xml:space="preserve">La adjudicación se realiza a valor comercial en aquellos supuestos que se establezcan en el Reglamento. </w:t>
      </w:r>
    </w:p>
    <w:p w:rsidR="00F007A4" w:rsidRDefault="00F03CB6" w:rsidP="00F03CB6">
      <w:pPr>
        <w:spacing w:after="0" w:line="240" w:lineRule="auto"/>
        <w:jc w:val="both"/>
        <w:rPr>
          <w:rFonts w:ascii="Arial" w:hAnsi="Arial" w:cs="Arial"/>
        </w:rPr>
      </w:pPr>
      <w:r w:rsidRPr="00F03CB6">
        <w:rPr>
          <w:rFonts w:ascii="Arial" w:hAnsi="Arial" w:cs="Arial"/>
        </w:rPr>
        <w:t xml:space="preserve">La valuación de los lotes en los Programas de Adjudicación de Lotes de Vivienda se efectúa por COFOPRI de conformidad a los valores arancelarios oficiales aprobados por el Ministerio de Vivienda, Construcción y Saneamiento y el Reglamento Nacional de Tasaciones. </w:t>
      </w:r>
    </w:p>
    <w:p w:rsidR="009F1BE3" w:rsidRDefault="009F1BE3" w:rsidP="00F03CB6">
      <w:pPr>
        <w:spacing w:after="0" w:line="240" w:lineRule="auto"/>
        <w:jc w:val="both"/>
        <w:rPr>
          <w:rFonts w:ascii="Arial" w:hAnsi="Arial" w:cs="Arial"/>
        </w:rPr>
      </w:pPr>
    </w:p>
    <w:p w:rsidR="00F007A4" w:rsidRDefault="00F03CB6" w:rsidP="00F03CB6">
      <w:pPr>
        <w:spacing w:after="0" w:line="240" w:lineRule="auto"/>
        <w:jc w:val="both"/>
        <w:rPr>
          <w:rFonts w:ascii="Arial" w:hAnsi="Arial" w:cs="Arial"/>
        </w:rPr>
      </w:pPr>
      <w:r w:rsidRPr="00F03CB6">
        <w:rPr>
          <w:rFonts w:ascii="Arial" w:hAnsi="Arial" w:cs="Arial"/>
        </w:rPr>
        <w:t xml:space="preserve">La adjudicación de tierras del Estado con fines de vivienda a través de los Programas de Adjudicación de Lotes de Vivienda se ejecuta de oficio y de manera progresiva por COFOPRI sobre terrenos estatales desocupados u ocupados por poblaciones, cuya posesión se haya iniciado desde el 01 de enero de 2005 hasta el 24 de noviembre de 2010, fecha de publicación de la Ley N° 29618, Ley que establece la presunción de que el Estado es poseedor de los inmuebles de su propiedad y declara imprescriptibles los bienes inmuebles de dominio privado estatal. </w:t>
      </w:r>
    </w:p>
    <w:p w:rsidR="009F1BE3" w:rsidRDefault="009F1BE3" w:rsidP="00F03CB6">
      <w:pPr>
        <w:spacing w:after="0" w:line="240" w:lineRule="auto"/>
        <w:jc w:val="both"/>
        <w:rPr>
          <w:rFonts w:ascii="Arial" w:hAnsi="Arial" w:cs="Arial"/>
        </w:rPr>
      </w:pPr>
    </w:p>
    <w:p w:rsidR="00F007A4" w:rsidRDefault="00F03CB6" w:rsidP="00F03CB6">
      <w:pPr>
        <w:spacing w:after="0" w:line="240" w:lineRule="auto"/>
        <w:jc w:val="both"/>
        <w:rPr>
          <w:rFonts w:ascii="Arial" w:hAnsi="Arial" w:cs="Arial"/>
        </w:rPr>
      </w:pPr>
      <w:r w:rsidRPr="00F03CB6">
        <w:rPr>
          <w:rFonts w:ascii="Arial" w:hAnsi="Arial" w:cs="Arial"/>
        </w:rPr>
        <w:t xml:space="preserve">La adjudicación se efectúa mediante título de propiedad otorgado por COFOPRI, el cual tiene mérito suficiente para su inscripción en el Registro de Predios. </w:t>
      </w:r>
    </w:p>
    <w:p w:rsidR="00F007A4" w:rsidRDefault="00F03CB6" w:rsidP="00F03CB6">
      <w:pPr>
        <w:spacing w:after="0" w:line="240" w:lineRule="auto"/>
        <w:jc w:val="both"/>
        <w:rPr>
          <w:rFonts w:ascii="Arial" w:hAnsi="Arial" w:cs="Arial"/>
        </w:rPr>
      </w:pPr>
      <w:r w:rsidRPr="00F03CB6">
        <w:rPr>
          <w:rFonts w:ascii="Arial" w:hAnsi="Arial" w:cs="Arial"/>
        </w:rPr>
        <w:t xml:space="preserve">Los ingresos obtenidos por la ejecución de los Programas de Adjudicación de lotes de Vivienda, previa deducción de los gastos operativos y administrativos incurridos en el proceso, corresponden el treinta por ciento (30%) a COFOPRI y el setenta por ciento (70%) al Tesoro Público”. </w:t>
      </w:r>
    </w:p>
    <w:p w:rsidR="009F1BE3" w:rsidRDefault="009F1BE3" w:rsidP="00F03CB6">
      <w:pPr>
        <w:spacing w:after="0" w:line="240" w:lineRule="auto"/>
        <w:jc w:val="both"/>
        <w:rPr>
          <w:rFonts w:ascii="Arial" w:hAnsi="Arial" w:cs="Arial"/>
          <w:b/>
        </w:rPr>
      </w:pPr>
    </w:p>
    <w:p w:rsidR="00F007A4" w:rsidRPr="00F007A4" w:rsidRDefault="00F03CB6" w:rsidP="00F03CB6">
      <w:pPr>
        <w:spacing w:after="0" w:line="240" w:lineRule="auto"/>
        <w:jc w:val="both"/>
        <w:rPr>
          <w:rFonts w:ascii="Arial" w:hAnsi="Arial" w:cs="Arial"/>
          <w:b/>
        </w:rPr>
      </w:pPr>
      <w:r w:rsidRPr="00F007A4">
        <w:rPr>
          <w:rFonts w:ascii="Arial" w:hAnsi="Arial" w:cs="Arial"/>
          <w:b/>
        </w:rPr>
        <w:t xml:space="preserve">Artículo 5.- De la incorporación de terrenos al área de Expansión Urbana </w:t>
      </w:r>
    </w:p>
    <w:p w:rsidR="00F007A4" w:rsidRDefault="00F03CB6" w:rsidP="00F03CB6">
      <w:pPr>
        <w:spacing w:after="0" w:line="240" w:lineRule="auto"/>
        <w:jc w:val="both"/>
        <w:rPr>
          <w:rFonts w:ascii="Arial" w:hAnsi="Arial" w:cs="Arial"/>
        </w:rPr>
      </w:pPr>
      <w:r w:rsidRPr="00F03CB6">
        <w:rPr>
          <w:rFonts w:ascii="Arial" w:hAnsi="Arial" w:cs="Arial"/>
        </w:rPr>
        <w:t xml:space="preserve">Modifícase el artículo 30 del Decreto Legislativo N° 803, Ley de Promoción del Acceso a la Propiedad Formal, modificado por el artículo 13 de la Ley N° 27046, Ley Complementaria de Promoción del Acceso a la Propiedad Formal, correspondiente al artículo 29 del Texto Único Ordenado de la Ley de Promoción del Acceso a la Propiedad Formal, aprobado mediante Decreto Supremo N° 009-99-MTC, de acuerdo al siguiente texto: </w:t>
      </w:r>
    </w:p>
    <w:p w:rsidR="009F1BE3" w:rsidRDefault="009F1BE3" w:rsidP="00F03CB6">
      <w:pPr>
        <w:spacing w:after="0" w:line="240" w:lineRule="auto"/>
        <w:jc w:val="both"/>
        <w:rPr>
          <w:rFonts w:ascii="Arial" w:hAnsi="Arial" w:cs="Arial"/>
        </w:rPr>
      </w:pPr>
    </w:p>
    <w:p w:rsidR="00F007A4" w:rsidRDefault="00F03CB6" w:rsidP="00F03CB6">
      <w:pPr>
        <w:spacing w:after="0" w:line="240" w:lineRule="auto"/>
        <w:jc w:val="both"/>
        <w:rPr>
          <w:rFonts w:ascii="Arial" w:hAnsi="Arial" w:cs="Arial"/>
        </w:rPr>
      </w:pPr>
      <w:r w:rsidRPr="00F03CB6">
        <w:rPr>
          <w:rFonts w:ascii="Arial" w:hAnsi="Arial" w:cs="Arial"/>
        </w:rPr>
        <w:t>"</w:t>
      </w:r>
      <w:r w:rsidRPr="009F1BE3">
        <w:rPr>
          <w:rFonts w:ascii="Arial" w:hAnsi="Arial" w:cs="Arial"/>
          <w:b/>
        </w:rPr>
        <w:t>Artículo 29.-</w:t>
      </w:r>
      <w:r w:rsidRPr="00F03CB6">
        <w:rPr>
          <w:rFonts w:ascii="Arial" w:hAnsi="Arial" w:cs="Arial"/>
        </w:rPr>
        <w:t xml:space="preserve"> Los asentamientos humanos, programas municipales de vivienda, programas estatales de vivienda, centros poblados, centros urbanos informales, Programas de Adjudicación de Lotes de Vivienda, y toda otra forma de posesión, ocupación y titularidad informal de terrenos con fines urbanos que sean definidos mediante Directiva de COFOPRI, quedarán automáticamente incorporados al área de expansión urbana de la municipalidad provincial correspondiente y tendrán una zonificación residencial de densidad alta. Los terrenos que se destinen para el desarrollo de proyectos habitacionales tendrán una densidad media o alta, conforme lo defina el Gobierno Local". </w:t>
      </w:r>
    </w:p>
    <w:p w:rsidR="00F007A4" w:rsidRDefault="00F007A4" w:rsidP="00F03CB6">
      <w:pPr>
        <w:spacing w:after="0" w:line="240" w:lineRule="auto"/>
        <w:jc w:val="both"/>
        <w:rPr>
          <w:rFonts w:ascii="Arial" w:hAnsi="Arial" w:cs="Arial"/>
        </w:rPr>
      </w:pPr>
    </w:p>
    <w:p w:rsidR="00F007A4" w:rsidRPr="00F007A4" w:rsidRDefault="00F03CB6" w:rsidP="00F03CB6">
      <w:pPr>
        <w:spacing w:after="0" w:line="240" w:lineRule="auto"/>
        <w:jc w:val="both"/>
        <w:rPr>
          <w:rFonts w:ascii="Arial" w:hAnsi="Arial" w:cs="Arial"/>
          <w:b/>
        </w:rPr>
      </w:pPr>
      <w:r w:rsidRPr="00F007A4">
        <w:rPr>
          <w:rFonts w:ascii="Arial" w:hAnsi="Arial" w:cs="Arial"/>
          <w:b/>
        </w:rPr>
        <w:t xml:space="preserve">Artículo 6.- Duplicidad de partidas registrales entre entidades públicas </w:t>
      </w:r>
    </w:p>
    <w:p w:rsidR="00F007A4" w:rsidRDefault="00F03CB6" w:rsidP="00F03CB6">
      <w:pPr>
        <w:spacing w:after="0" w:line="240" w:lineRule="auto"/>
        <w:jc w:val="both"/>
        <w:rPr>
          <w:rFonts w:ascii="Arial" w:hAnsi="Arial" w:cs="Arial"/>
        </w:rPr>
      </w:pPr>
      <w:r w:rsidRPr="00F03CB6">
        <w:rPr>
          <w:rFonts w:ascii="Arial" w:hAnsi="Arial" w:cs="Arial"/>
        </w:rPr>
        <w:t xml:space="preserve">Cuando exista duplicidad de partidas registrales sobre un mismo predio, o sobre parte de este, de propiedad del Estado o de cualquier entidad pública, prevalecerá la inscripción más antigua. El registrador del Registro de Predios, en virtud de la presente disposición y a solicitud de cualquiera de las entidades públicas involucradas, procederá al cierre y cancelación de la partida menos antigua y, de ser el caso, a correlacionar los asientos registrales. En todos los casos, en la partida más antigua se inscribirán de oficio y quedarán vigentes las cargas legales o anotaciones relacionadas al uso y destino del terreno o la inscripción de las áreas naturales protegidas efectuadas de acuerdo a la ley de la materia y su reglamento, que se hayan inscrito en la partida menos antigua que es objeto de cierre y cancelación. </w:t>
      </w:r>
    </w:p>
    <w:p w:rsidR="00F007A4" w:rsidRDefault="00F007A4" w:rsidP="00F03CB6">
      <w:pPr>
        <w:spacing w:after="0" w:line="240" w:lineRule="auto"/>
        <w:jc w:val="both"/>
        <w:rPr>
          <w:rFonts w:ascii="Arial" w:hAnsi="Arial" w:cs="Arial"/>
        </w:rPr>
      </w:pPr>
    </w:p>
    <w:p w:rsidR="00F007A4" w:rsidRPr="00F007A4" w:rsidRDefault="00F03CB6" w:rsidP="00F03CB6">
      <w:pPr>
        <w:spacing w:after="0" w:line="240" w:lineRule="auto"/>
        <w:jc w:val="both"/>
        <w:rPr>
          <w:rFonts w:ascii="Arial" w:hAnsi="Arial" w:cs="Arial"/>
          <w:b/>
        </w:rPr>
      </w:pPr>
      <w:r w:rsidRPr="00F007A4">
        <w:rPr>
          <w:rFonts w:ascii="Arial" w:hAnsi="Arial" w:cs="Arial"/>
          <w:b/>
        </w:rPr>
        <w:t xml:space="preserve">Artículo 7.- Implementación de servicios públicos </w:t>
      </w:r>
    </w:p>
    <w:p w:rsidR="00F007A4" w:rsidRDefault="00F03CB6" w:rsidP="00F03CB6">
      <w:pPr>
        <w:spacing w:after="0" w:line="240" w:lineRule="auto"/>
        <w:jc w:val="both"/>
        <w:rPr>
          <w:rFonts w:ascii="Arial" w:hAnsi="Arial" w:cs="Arial"/>
        </w:rPr>
      </w:pPr>
      <w:r w:rsidRPr="00F03CB6">
        <w:rPr>
          <w:rFonts w:ascii="Arial" w:hAnsi="Arial" w:cs="Arial"/>
        </w:rPr>
        <w:t xml:space="preserve">Autorízase a las entidades o empresas prestadoras de servicios públicos para que en sus planes de expansión, incorporen y provean los servicios correspondientes a los Programas de Adjudicación de Lotes de Vivienda ejecutados por COFOPRI en el marco del presente Decreto Legislativo, para lo cual COFOPRI debe informar a la respectiva entidad o empresa prestadora de la ejecución del referido programa. </w:t>
      </w:r>
    </w:p>
    <w:p w:rsidR="00F007A4" w:rsidRDefault="00F007A4" w:rsidP="00F03CB6">
      <w:pPr>
        <w:spacing w:after="0" w:line="240" w:lineRule="auto"/>
        <w:jc w:val="both"/>
        <w:rPr>
          <w:rFonts w:ascii="Arial" w:hAnsi="Arial" w:cs="Arial"/>
        </w:rPr>
      </w:pPr>
    </w:p>
    <w:p w:rsidR="00F007A4" w:rsidRDefault="00F03CB6" w:rsidP="009F1BE3">
      <w:pPr>
        <w:spacing w:after="0" w:line="240" w:lineRule="auto"/>
        <w:jc w:val="center"/>
        <w:rPr>
          <w:rFonts w:ascii="Arial" w:hAnsi="Arial" w:cs="Arial"/>
          <w:b/>
        </w:rPr>
      </w:pPr>
      <w:r w:rsidRPr="00F007A4">
        <w:rPr>
          <w:rFonts w:ascii="Arial" w:hAnsi="Arial" w:cs="Arial"/>
          <w:b/>
        </w:rPr>
        <w:t>DISPOSICIONES COMPLEMENTARIAS FINALES</w:t>
      </w:r>
    </w:p>
    <w:p w:rsidR="009F1BE3" w:rsidRPr="00F007A4" w:rsidRDefault="009F1BE3" w:rsidP="009F1BE3">
      <w:pPr>
        <w:spacing w:after="0" w:line="240" w:lineRule="auto"/>
        <w:jc w:val="center"/>
        <w:rPr>
          <w:rFonts w:ascii="Arial" w:hAnsi="Arial" w:cs="Arial"/>
          <w:b/>
        </w:rPr>
      </w:pPr>
    </w:p>
    <w:p w:rsidR="00F007A4" w:rsidRDefault="00F03CB6" w:rsidP="00F03CB6">
      <w:pPr>
        <w:spacing w:after="0" w:line="240" w:lineRule="auto"/>
        <w:jc w:val="both"/>
        <w:rPr>
          <w:rFonts w:ascii="Arial" w:hAnsi="Arial" w:cs="Arial"/>
        </w:rPr>
      </w:pPr>
      <w:r w:rsidRPr="00F007A4">
        <w:rPr>
          <w:rFonts w:ascii="Arial" w:hAnsi="Arial" w:cs="Arial"/>
          <w:b/>
        </w:rPr>
        <w:t>PRIMERA.- Adecuación de procedimientos registrales</w:t>
      </w:r>
      <w:r w:rsidRPr="00F03CB6">
        <w:rPr>
          <w:rFonts w:ascii="Arial" w:hAnsi="Arial" w:cs="Arial"/>
        </w:rPr>
        <w:t xml:space="preserve"> </w:t>
      </w:r>
    </w:p>
    <w:p w:rsidR="00F007A4" w:rsidRDefault="00F03CB6" w:rsidP="00F03CB6">
      <w:pPr>
        <w:spacing w:after="0" w:line="240" w:lineRule="auto"/>
        <w:jc w:val="both"/>
        <w:rPr>
          <w:rFonts w:ascii="Arial" w:hAnsi="Arial" w:cs="Arial"/>
        </w:rPr>
      </w:pPr>
      <w:r w:rsidRPr="00F03CB6">
        <w:rPr>
          <w:rFonts w:ascii="Arial" w:hAnsi="Arial" w:cs="Arial"/>
        </w:rPr>
        <w:t xml:space="preserve">La Superintendencia Nacional de los Registros Públicos - SUNARP, de ser necesario, adecuará sus procedimientos registrales que sean pertinentes a fin de agilizar y viabilizar las disposiciones y acciones previstas en el presente Decreto Legislativo. </w:t>
      </w:r>
    </w:p>
    <w:p w:rsidR="009F1BE3" w:rsidRDefault="009F1BE3" w:rsidP="00F03CB6">
      <w:pPr>
        <w:spacing w:after="0" w:line="240" w:lineRule="auto"/>
        <w:jc w:val="both"/>
        <w:rPr>
          <w:rFonts w:ascii="Arial" w:hAnsi="Arial" w:cs="Arial"/>
        </w:rPr>
      </w:pPr>
    </w:p>
    <w:p w:rsidR="00F007A4" w:rsidRPr="009F1BE3" w:rsidRDefault="00F03CB6" w:rsidP="00F03CB6">
      <w:pPr>
        <w:spacing w:after="0" w:line="240" w:lineRule="auto"/>
        <w:jc w:val="both"/>
        <w:rPr>
          <w:rFonts w:ascii="Arial" w:hAnsi="Arial" w:cs="Arial"/>
          <w:b/>
        </w:rPr>
      </w:pPr>
      <w:r w:rsidRPr="009F1BE3">
        <w:rPr>
          <w:rFonts w:ascii="Arial" w:hAnsi="Arial" w:cs="Arial"/>
          <w:b/>
        </w:rPr>
        <w:t xml:space="preserve">SEGUNDA.- Ejercicio de facultades de COFOPRI </w:t>
      </w:r>
    </w:p>
    <w:p w:rsidR="00F007A4" w:rsidRDefault="00F03CB6" w:rsidP="00F03CB6">
      <w:pPr>
        <w:spacing w:after="0" w:line="240" w:lineRule="auto"/>
        <w:jc w:val="both"/>
        <w:rPr>
          <w:rFonts w:ascii="Arial" w:hAnsi="Arial" w:cs="Arial"/>
        </w:rPr>
      </w:pPr>
      <w:r w:rsidRPr="00F03CB6">
        <w:rPr>
          <w:rFonts w:ascii="Arial" w:hAnsi="Arial" w:cs="Arial"/>
        </w:rPr>
        <w:t xml:space="preserve">Para el ejercicio de las competencias establecidas en el Título III del Decreto Legislativo N° 803 y la presente norma, COFOPRI podrá aplicar supletoriamente las normas y procedimientos del proceso de formalización de posesiones informales y procedimientos especiales establecidos en la legislación vigente. </w:t>
      </w:r>
    </w:p>
    <w:p w:rsidR="009F1BE3" w:rsidRDefault="009F1BE3" w:rsidP="00F03CB6">
      <w:pPr>
        <w:spacing w:after="0" w:line="240" w:lineRule="auto"/>
        <w:jc w:val="both"/>
        <w:rPr>
          <w:rFonts w:ascii="Arial" w:hAnsi="Arial" w:cs="Arial"/>
        </w:rPr>
      </w:pPr>
    </w:p>
    <w:p w:rsidR="00F007A4" w:rsidRPr="009F1BE3" w:rsidRDefault="00F03CB6" w:rsidP="00F03CB6">
      <w:pPr>
        <w:spacing w:after="0" w:line="240" w:lineRule="auto"/>
        <w:jc w:val="both"/>
        <w:rPr>
          <w:rFonts w:ascii="Arial" w:hAnsi="Arial" w:cs="Arial"/>
          <w:b/>
        </w:rPr>
      </w:pPr>
      <w:r w:rsidRPr="009F1BE3">
        <w:rPr>
          <w:rFonts w:ascii="Arial" w:hAnsi="Arial" w:cs="Arial"/>
          <w:b/>
        </w:rPr>
        <w:t xml:space="preserve">TERCERA.- Exclusión de los programas o proyectos de formalización y vivienda, a las personas que invadan o promuevan invasiones de terrenos estatales </w:t>
      </w:r>
    </w:p>
    <w:p w:rsidR="009F1BE3" w:rsidRDefault="00F03CB6" w:rsidP="00F03CB6">
      <w:pPr>
        <w:spacing w:after="0" w:line="240" w:lineRule="auto"/>
        <w:jc w:val="both"/>
        <w:rPr>
          <w:rFonts w:ascii="Arial" w:hAnsi="Arial" w:cs="Arial"/>
        </w:rPr>
      </w:pPr>
      <w:r w:rsidRPr="00F03CB6">
        <w:rPr>
          <w:rFonts w:ascii="Arial" w:hAnsi="Arial" w:cs="Arial"/>
        </w:rPr>
        <w:t>Quedan excluidos de los beneficios y alcances de los programas de formalización de la propiedad urbana y de los programas o proyectos de acceso a la vivienda, promovidos o que promueva el Estado, las personas naturales u organizaciones que bajo cualquier forma de personería jurídica, hayan organizado, financiado, facilitado, fomentado, dirigido, provocado o promovido; o que organicen, financien, faciliten, fomenten, dirijan, provoquen, o promuevan la invasión u ocupación ilegal de terrenos estatales. Para tal efecto, las entidades estatales propietarias o competentes deben informar documentadamente y bajo responsabilidad, a las entidades a cargo de los programas de formalización de la propiedad urbana, y de los programas o proyectos de acceso a la vivienda, dentro del plazo de treinta (30) días calendario de la vigencia del presente Decreto Legislativo, respecto a las invasiones u ocupaciones ilegales que se hayan producido desde el 25 de noviembre de 2010, así como la relación de personas naturales u organizaciones que hayan sido denunciadas por estos hechos. Respecto de las invasiones u ocupaciones ilegales que se produzcan a partir de la vigencia del presente Decreto Legislativo, dicha información deberá ser remit</w:t>
      </w:r>
      <w:r w:rsidR="00F007A4">
        <w:rPr>
          <w:rFonts w:ascii="Arial" w:hAnsi="Arial" w:cs="Arial"/>
        </w:rPr>
        <w:t xml:space="preserve">ida dentro del mismo plazo </w:t>
      </w:r>
      <w:r w:rsidRPr="00F03CB6">
        <w:rPr>
          <w:rFonts w:ascii="Arial" w:hAnsi="Arial" w:cs="Arial"/>
        </w:rPr>
        <w:t xml:space="preserve"> computado desde que se tomó conocimiento de la invasión La remisión de la información referida en el párrafo anterior, es sin perjuicio que las </w:t>
      </w:r>
      <w:r w:rsidR="00F007A4">
        <w:rPr>
          <w:rFonts w:ascii="Arial" w:hAnsi="Arial" w:cs="Arial"/>
        </w:rPr>
        <w:t>e</w:t>
      </w:r>
      <w:r w:rsidRPr="00F03CB6">
        <w:rPr>
          <w:rFonts w:ascii="Arial" w:hAnsi="Arial" w:cs="Arial"/>
        </w:rPr>
        <w:t xml:space="preserve">ntidades estatales propietarias o competentes respecto a los terrenos estatales </w:t>
      </w:r>
      <w:r w:rsidR="00F007A4">
        <w:rPr>
          <w:rFonts w:ascii="Arial" w:hAnsi="Arial" w:cs="Arial"/>
        </w:rPr>
        <w:t>in</w:t>
      </w:r>
      <w:r w:rsidRPr="00F03CB6">
        <w:rPr>
          <w:rFonts w:ascii="Arial" w:hAnsi="Arial" w:cs="Arial"/>
        </w:rPr>
        <w:t xml:space="preserve">vadidos u ocupados ilegalmente, hayan iniciado o inicien las acciones correspondientes de recuperación extrajudicial de la posesión, civiles y penales, de conformidad con la Ley N° 30230, Ley que establece medidas tributarias, simplificación de procedimientos y permisos para la promoción y dinamización de la inversión en el país, el Código Civil y Código Penal. Los propietarios o cualquier particular que tenga derechos sobre predios privados que hayan sido invadidos, también podrán remitir la información documentada respecto de las invasiones u ocupaciones ilegales que se hayan producido sobre sus predios, así como la relación de personas naturales u organizaciones que hayan sido denunciadas por estos hechos; a los responsables de los programas de formalización y adjudicación de vivienda o lotes con fines de vivienda, para que sean excluidos de los programas de formalización de la propiedad urbana y de los programas o proyectos de acceso a la vivienda. </w:t>
      </w:r>
    </w:p>
    <w:p w:rsidR="009F1BE3" w:rsidRDefault="009F1BE3" w:rsidP="00F03CB6">
      <w:pPr>
        <w:spacing w:after="0" w:line="240" w:lineRule="auto"/>
        <w:jc w:val="both"/>
        <w:rPr>
          <w:rFonts w:ascii="Arial" w:hAnsi="Arial" w:cs="Arial"/>
        </w:rPr>
      </w:pPr>
    </w:p>
    <w:p w:rsidR="009F1BE3" w:rsidRPr="009F1BE3" w:rsidRDefault="00F03CB6" w:rsidP="00F03CB6">
      <w:pPr>
        <w:spacing w:after="0" w:line="240" w:lineRule="auto"/>
        <w:jc w:val="both"/>
        <w:rPr>
          <w:rFonts w:ascii="Arial" w:hAnsi="Arial" w:cs="Arial"/>
          <w:b/>
        </w:rPr>
      </w:pPr>
      <w:r w:rsidRPr="009F1BE3">
        <w:rPr>
          <w:rFonts w:ascii="Arial" w:hAnsi="Arial" w:cs="Arial"/>
          <w:b/>
        </w:rPr>
        <w:t xml:space="preserve">CUARTA.- Del financiamiento </w:t>
      </w:r>
    </w:p>
    <w:p w:rsidR="009F1BE3" w:rsidRDefault="00F03CB6" w:rsidP="00F03CB6">
      <w:pPr>
        <w:spacing w:after="0" w:line="240" w:lineRule="auto"/>
        <w:jc w:val="both"/>
        <w:rPr>
          <w:rFonts w:ascii="Arial" w:hAnsi="Arial" w:cs="Arial"/>
        </w:rPr>
      </w:pPr>
      <w:r w:rsidRPr="00F03CB6">
        <w:rPr>
          <w:rFonts w:ascii="Arial" w:hAnsi="Arial" w:cs="Arial"/>
        </w:rPr>
        <w:t xml:space="preserve">La implementación de lo establecido en el presente Decreto Legislativo, se financia con cargo al presupuesto institucional de las entidades involucradas según corresponda, sin demandar recursos adicionales al Tesoro Público. </w:t>
      </w:r>
    </w:p>
    <w:p w:rsidR="009F1BE3" w:rsidRDefault="009F1BE3" w:rsidP="00F03CB6">
      <w:pPr>
        <w:spacing w:after="0" w:line="240" w:lineRule="auto"/>
        <w:jc w:val="both"/>
        <w:rPr>
          <w:rFonts w:ascii="Arial" w:hAnsi="Arial" w:cs="Arial"/>
        </w:rPr>
      </w:pPr>
    </w:p>
    <w:p w:rsidR="009F1BE3" w:rsidRPr="009F1BE3" w:rsidRDefault="00F03CB6" w:rsidP="00F03CB6">
      <w:pPr>
        <w:spacing w:after="0" w:line="240" w:lineRule="auto"/>
        <w:jc w:val="both"/>
        <w:rPr>
          <w:rFonts w:ascii="Arial" w:hAnsi="Arial" w:cs="Arial"/>
          <w:b/>
        </w:rPr>
      </w:pPr>
      <w:r w:rsidRPr="009F1BE3">
        <w:rPr>
          <w:rFonts w:ascii="Arial" w:hAnsi="Arial" w:cs="Arial"/>
          <w:b/>
        </w:rPr>
        <w:t xml:space="preserve">QUINTA.- De la reglamentación </w:t>
      </w:r>
    </w:p>
    <w:p w:rsidR="009F1BE3" w:rsidRDefault="00F03CB6" w:rsidP="00F03CB6">
      <w:pPr>
        <w:spacing w:after="0" w:line="240" w:lineRule="auto"/>
        <w:jc w:val="both"/>
        <w:rPr>
          <w:rFonts w:ascii="Arial" w:hAnsi="Arial" w:cs="Arial"/>
        </w:rPr>
      </w:pPr>
      <w:r w:rsidRPr="00F03CB6">
        <w:rPr>
          <w:rFonts w:ascii="Arial" w:hAnsi="Arial" w:cs="Arial"/>
        </w:rPr>
        <w:t xml:space="preserve">Mediante decreto supremo refrendado por el Ministro de Vivienda, Construcción y Saneamiento, se aprobará el Reglamento de los Programas de Adjudicación de Lotes con Fines de Vivienda, en un plazo que no excederá de los sesenta (60) días hábiles, contados a partir de su publicación. </w:t>
      </w:r>
    </w:p>
    <w:p w:rsidR="009F1BE3" w:rsidRPr="009F1BE3" w:rsidRDefault="009F1BE3" w:rsidP="00F03CB6">
      <w:pPr>
        <w:spacing w:after="0" w:line="240" w:lineRule="auto"/>
        <w:jc w:val="both"/>
        <w:rPr>
          <w:rFonts w:ascii="Arial" w:hAnsi="Arial" w:cs="Arial"/>
          <w:b/>
        </w:rPr>
      </w:pPr>
    </w:p>
    <w:p w:rsidR="009F1BE3" w:rsidRPr="009F1BE3" w:rsidRDefault="00F03CB6" w:rsidP="00F03CB6">
      <w:pPr>
        <w:spacing w:after="0" w:line="240" w:lineRule="auto"/>
        <w:jc w:val="both"/>
        <w:rPr>
          <w:rFonts w:ascii="Arial" w:hAnsi="Arial" w:cs="Arial"/>
          <w:b/>
        </w:rPr>
      </w:pPr>
      <w:r w:rsidRPr="009F1BE3">
        <w:rPr>
          <w:rFonts w:ascii="Arial" w:hAnsi="Arial" w:cs="Arial"/>
          <w:b/>
        </w:rPr>
        <w:t xml:space="preserve">DISPOSICIÓN COMPLEMENTARIA TRANSITORIA </w:t>
      </w:r>
    </w:p>
    <w:p w:rsidR="00F03CB6" w:rsidRPr="00F03CB6" w:rsidRDefault="00F03CB6" w:rsidP="00F03CB6">
      <w:pPr>
        <w:spacing w:after="0" w:line="240" w:lineRule="auto"/>
        <w:jc w:val="both"/>
        <w:rPr>
          <w:rFonts w:ascii="Arial" w:hAnsi="Arial" w:cs="Arial"/>
        </w:rPr>
      </w:pPr>
      <w:r w:rsidRPr="009F1BE3">
        <w:rPr>
          <w:rFonts w:ascii="Arial" w:hAnsi="Arial" w:cs="Arial"/>
          <w:b/>
        </w:rPr>
        <w:t>ÚNICA.-</w:t>
      </w:r>
      <w:r w:rsidRPr="00F03CB6">
        <w:rPr>
          <w:rFonts w:ascii="Arial" w:hAnsi="Arial" w:cs="Arial"/>
        </w:rPr>
        <w:t xml:space="preserve"> Transferencia de áreas de equipamiento urbano COFOPRI en el ejercicio de los procesos de formalización y Programas de Adjudicación de Lotes, a su cargo, debe transferir en propiedad y a título gratuito las áreas de equipamiento urbano a favor de las entidades públicas competentes.</w:t>
      </w:r>
    </w:p>
    <w:p w:rsidR="009F1BE3" w:rsidRDefault="009F1BE3" w:rsidP="00F03CB6">
      <w:pPr>
        <w:spacing w:after="0" w:line="240" w:lineRule="auto"/>
        <w:jc w:val="both"/>
        <w:rPr>
          <w:rFonts w:ascii="Arial" w:hAnsi="Arial" w:cs="Arial"/>
        </w:rPr>
      </w:pPr>
    </w:p>
    <w:p w:rsidR="009F1BE3" w:rsidRPr="009F1BE3" w:rsidRDefault="00F03CB6" w:rsidP="00F03CB6">
      <w:pPr>
        <w:spacing w:after="0" w:line="240" w:lineRule="auto"/>
        <w:jc w:val="both"/>
        <w:rPr>
          <w:rFonts w:ascii="Arial" w:hAnsi="Arial" w:cs="Arial"/>
          <w:b/>
        </w:rPr>
      </w:pPr>
      <w:r w:rsidRPr="009F1BE3">
        <w:rPr>
          <w:rFonts w:ascii="Arial" w:hAnsi="Arial" w:cs="Arial"/>
          <w:b/>
        </w:rPr>
        <w:t xml:space="preserve">DISPOSICIÓN COMPLEMENTARIA MODIFICATORIA </w:t>
      </w:r>
    </w:p>
    <w:p w:rsidR="009F1BE3" w:rsidRDefault="00F03CB6" w:rsidP="00F03CB6">
      <w:pPr>
        <w:spacing w:after="0" w:line="240" w:lineRule="auto"/>
        <w:jc w:val="both"/>
        <w:rPr>
          <w:rFonts w:ascii="Arial" w:hAnsi="Arial" w:cs="Arial"/>
        </w:rPr>
      </w:pPr>
      <w:r w:rsidRPr="009F1BE3">
        <w:rPr>
          <w:rFonts w:ascii="Arial" w:hAnsi="Arial" w:cs="Arial"/>
          <w:b/>
        </w:rPr>
        <w:t>ÚNICA.-</w:t>
      </w:r>
      <w:r w:rsidRPr="00F03CB6">
        <w:rPr>
          <w:rFonts w:ascii="Arial" w:hAnsi="Arial" w:cs="Arial"/>
        </w:rPr>
        <w:t xml:space="preserve"> Tierras eriazas dentro de zona urbana y de expansión urbana </w:t>
      </w:r>
    </w:p>
    <w:p w:rsidR="009F1BE3" w:rsidRDefault="00F03CB6" w:rsidP="00F03CB6">
      <w:pPr>
        <w:spacing w:after="0" w:line="240" w:lineRule="auto"/>
        <w:jc w:val="both"/>
        <w:rPr>
          <w:rFonts w:ascii="Arial" w:hAnsi="Arial" w:cs="Arial"/>
        </w:rPr>
      </w:pPr>
      <w:r w:rsidRPr="00F03CB6">
        <w:rPr>
          <w:rFonts w:ascii="Arial" w:hAnsi="Arial" w:cs="Arial"/>
        </w:rPr>
        <w:t>Modifícase el artículo 5 del Decreto Legislativo N° 1089, Régimen Temporal Extraordinario de Formalización y Titulación de Predios Rurales, de acuerdo al siguiente texto:</w:t>
      </w:r>
    </w:p>
    <w:p w:rsidR="009F1BE3" w:rsidRDefault="009F1BE3" w:rsidP="00F03CB6">
      <w:pPr>
        <w:spacing w:after="0" w:line="240" w:lineRule="auto"/>
        <w:jc w:val="both"/>
        <w:rPr>
          <w:rFonts w:ascii="Arial" w:hAnsi="Arial" w:cs="Arial"/>
        </w:rPr>
      </w:pPr>
    </w:p>
    <w:p w:rsidR="009F1BE3" w:rsidRDefault="00F03CB6" w:rsidP="00F03CB6">
      <w:pPr>
        <w:spacing w:after="0" w:line="240" w:lineRule="auto"/>
        <w:jc w:val="both"/>
        <w:rPr>
          <w:rFonts w:ascii="Arial" w:hAnsi="Arial" w:cs="Arial"/>
        </w:rPr>
      </w:pPr>
      <w:r w:rsidRPr="009F1BE3">
        <w:rPr>
          <w:rFonts w:ascii="Arial" w:hAnsi="Arial" w:cs="Arial"/>
          <w:b/>
        </w:rPr>
        <w:t xml:space="preserve"> "Artículo 5.-</w:t>
      </w:r>
      <w:r w:rsidRPr="00F03CB6">
        <w:rPr>
          <w:rFonts w:ascii="Arial" w:hAnsi="Arial" w:cs="Arial"/>
        </w:rPr>
        <w:t xml:space="preserve"> Regularización de poseedores de tierras eriazas habilita</w:t>
      </w:r>
      <w:r w:rsidR="009F1BE3">
        <w:rPr>
          <w:rFonts w:ascii="Arial" w:hAnsi="Arial" w:cs="Arial"/>
        </w:rPr>
        <w:t>das</w:t>
      </w:r>
    </w:p>
    <w:p w:rsidR="009F1BE3" w:rsidRDefault="00F03CB6" w:rsidP="00F03CB6">
      <w:pPr>
        <w:spacing w:after="0" w:line="240" w:lineRule="auto"/>
        <w:jc w:val="both"/>
        <w:rPr>
          <w:rFonts w:ascii="Arial" w:hAnsi="Arial" w:cs="Arial"/>
        </w:rPr>
      </w:pPr>
      <w:r w:rsidRPr="00F03CB6">
        <w:rPr>
          <w:rFonts w:ascii="Arial" w:hAnsi="Arial" w:cs="Arial"/>
        </w:rPr>
        <w:t xml:space="preserve"> Los poseedores de tierras eriazas de propiedad del Estado que hayan habilitado y destinado íntegramente las mismas a alguna actividad agropecuaria con anterioridad al 31 de diciembre del 2004, cuya posesión sea directa, continua, pacífica y pública, podrán solicitar al Gobierno Regional que haya asumido las funciones en materia de saneamiento físico - legal y formalización de la propiedad agraria, la regularización de su situación jurídica, mediante el procedimiento de adjudicación directa, previo pago del valor del terreno. </w:t>
      </w:r>
    </w:p>
    <w:p w:rsidR="009F1BE3" w:rsidRDefault="00F03CB6" w:rsidP="00F03CB6">
      <w:pPr>
        <w:spacing w:after="0" w:line="240" w:lineRule="auto"/>
        <w:jc w:val="both"/>
        <w:rPr>
          <w:rFonts w:ascii="Arial" w:hAnsi="Arial" w:cs="Arial"/>
        </w:rPr>
      </w:pPr>
      <w:r w:rsidRPr="00F03CB6">
        <w:rPr>
          <w:rFonts w:ascii="Arial" w:hAnsi="Arial" w:cs="Arial"/>
        </w:rPr>
        <w:t xml:space="preserve">Están excluidos de los alcances del presente artículo los- predios que se encuentren en zonas urbanas y de expansión urbana, los comprendidos en procesos de inversión privada y los declarados de interés nacional". </w:t>
      </w:r>
    </w:p>
    <w:p w:rsidR="009F1BE3" w:rsidRDefault="009F1BE3" w:rsidP="00F03CB6">
      <w:pPr>
        <w:spacing w:after="0" w:line="240" w:lineRule="auto"/>
        <w:jc w:val="both"/>
        <w:rPr>
          <w:rFonts w:ascii="Arial" w:hAnsi="Arial" w:cs="Arial"/>
        </w:rPr>
      </w:pPr>
    </w:p>
    <w:p w:rsidR="009F1BE3" w:rsidRDefault="00F03CB6" w:rsidP="00F03CB6">
      <w:pPr>
        <w:spacing w:after="0" w:line="240" w:lineRule="auto"/>
        <w:jc w:val="both"/>
        <w:rPr>
          <w:rFonts w:ascii="Arial" w:hAnsi="Arial" w:cs="Arial"/>
        </w:rPr>
      </w:pPr>
      <w:r w:rsidRPr="009F1BE3">
        <w:rPr>
          <w:rFonts w:ascii="Arial" w:hAnsi="Arial" w:cs="Arial"/>
          <w:b/>
        </w:rPr>
        <w:t>POR TANTO</w:t>
      </w:r>
      <w:r w:rsidRPr="00F03CB6">
        <w:rPr>
          <w:rFonts w:ascii="Arial" w:hAnsi="Arial" w:cs="Arial"/>
        </w:rPr>
        <w:t xml:space="preserve">: </w:t>
      </w:r>
    </w:p>
    <w:p w:rsidR="009F1BE3" w:rsidRDefault="00F03CB6" w:rsidP="00F03CB6">
      <w:pPr>
        <w:spacing w:after="0" w:line="240" w:lineRule="auto"/>
        <w:jc w:val="both"/>
        <w:rPr>
          <w:rFonts w:ascii="Arial" w:hAnsi="Arial" w:cs="Arial"/>
        </w:rPr>
      </w:pPr>
      <w:r w:rsidRPr="00F03CB6">
        <w:rPr>
          <w:rFonts w:ascii="Arial" w:hAnsi="Arial" w:cs="Arial"/>
        </w:rPr>
        <w:t xml:space="preserve">Mando se publique y cumpla, dando cuenta al Congreso de la República. </w:t>
      </w:r>
    </w:p>
    <w:p w:rsidR="009F1BE3" w:rsidRDefault="00F03CB6" w:rsidP="00F03CB6">
      <w:pPr>
        <w:spacing w:after="0" w:line="240" w:lineRule="auto"/>
        <w:jc w:val="both"/>
        <w:rPr>
          <w:rFonts w:ascii="Arial" w:hAnsi="Arial" w:cs="Arial"/>
        </w:rPr>
      </w:pPr>
      <w:r w:rsidRPr="00F03CB6">
        <w:rPr>
          <w:rFonts w:ascii="Arial" w:hAnsi="Arial" w:cs="Arial"/>
        </w:rPr>
        <w:t xml:space="preserve">Dado en la Casa de Gobierno, en Lima, a los veintidos días </w:t>
      </w:r>
    </w:p>
    <w:p w:rsidR="00F03CB6" w:rsidRPr="009F1BE3" w:rsidRDefault="00F03CB6" w:rsidP="00F03CB6">
      <w:pPr>
        <w:spacing w:after="0" w:line="240" w:lineRule="auto"/>
        <w:jc w:val="both"/>
        <w:rPr>
          <w:rFonts w:ascii="Arial" w:hAnsi="Arial" w:cs="Arial"/>
        </w:rPr>
      </w:pPr>
      <w:r w:rsidRPr="00F03CB6">
        <w:rPr>
          <w:rFonts w:ascii="Arial" w:hAnsi="Arial" w:cs="Arial"/>
        </w:rPr>
        <w:t>del mes de setiembre del año dos mil quince.</w:t>
      </w:r>
    </w:p>
    <w:p w:rsidR="006312E8" w:rsidRPr="006312E8" w:rsidRDefault="006312E8" w:rsidP="006312E8">
      <w:pPr>
        <w:spacing w:after="200" w:line="276" w:lineRule="auto"/>
        <w:rPr>
          <w:rFonts w:ascii="Calibri" w:eastAsia="Calibri" w:hAnsi="Calibri" w:cs="Times New Roman"/>
        </w:rPr>
      </w:pPr>
    </w:p>
    <w:p w:rsidR="006312E8" w:rsidRPr="009F1BE3" w:rsidRDefault="009F1BE3" w:rsidP="009F1BE3">
      <w:pPr>
        <w:spacing w:after="0" w:line="240" w:lineRule="auto"/>
        <w:rPr>
          <w:rFonts w:ascii="Arial" w:eastAsia="Calibri" w:hAnsi="Arial" w:cs="Arial"/>
          <w:b/>
        </w:rPr>
      </w:pPr>
      <w:r w:rsidRPr="009F1BE3">
        <w:rPr>
          <w:rFonts w:ascii="Arial" w:eastAsia="Calibri" w:hAnsi="Arial" w:cs="Arial"/>
          <w:b/>
        </w:rPr>
        <w:t>OLLANTA HUMALA TASSO</w:t>
      </w:r>
    </w:p>
    <w:p w:rsidR="009F1BE3" w:rsidRPr="009F1BE3" w:rsidRDefault="009F1BE3" w:rsidP="009F1BE3">
      <w:pPr>
        <w:spacing w:after="0" w:line="240" w:lineRule="auto"/>
        <w:rPr>
          <w:rFonts w:ascii="Arial" w:eastAsia="Calibri" w:hAnsi="Arial" w:cs="Arial"/>
        </w:rPr>
      </w:pPr>
      <w:r w:rsidRPr="009F1BE3">
        <w:rPr>
          <w:rFonts w:ascii="Arial" w:eastAsia="Calibri" w:hAnsi="Arial" w:cs="Arial"/>
        </w:rPr>
        <w:t>Presidente de la República</w:t>
      </w:r>
    </w:p>
    <w:p w:rsidR="009F1BE3" w:rsidRPr="009F1BE3" w:rsidRDefault="009F1BE3" w:rsidP="009F1BE3">
      <w:pPr>
        <w:spacing w:after="0" w:line="240" w:lineRule="auto"/>
        <w:rPr>
          <w:rFonts w:ascii="Arial" w:eastAsia="Calibri" w:hAnsi="Arial" w:cs="Arial"/>
        </w:rPr>
      </w:pPr>
    </w:p>
    <w:p w:rsidR="009F1BE3" w:rsidRPr="009F1BE3" w:rsidRDefault="009F1BE3" w:rsidP="009F1BE3">
      <w:pPr>
        <w:spacing w:after="0" w:line="240" w:lineRule="auto"/>
        <w:rPr>
          <w:rFonts w:ascii="Arial" w:eastAsia="Calibri" w:hAnsi="Arial" w:cs="Arial"/>
          <w:b/>
        </w:rPr>
      </w:pPr>
      <w:r w:rsidRPr="009F1BE3">
        <w:rPr>
          <w:rFonts w:ascii="Arial" w:eastAsia="Calibri" w:hAnsi="Arial" w:cs="Arial"/>
          <w:b/>
        </w:rPr>
        <w:t>PEDRO CATERIANO BELLIDO</w:t>
      </w:r>
    </w:p>
    <w:p w:rsidR="009F1BE3" w:rsidRPr="009F1BE3" w:rsidRDefault="009F1BE3" w:rsidP="009F1BE3">
      <w:pPr>
        <w:spacing w:after="0" w:line="240" w:lineRule="auto"/>
        <w:rPr>
          <w:rFonts w:ascii="Arial" w:eastAsia="Calibri" w:hAnsi="Arial" w:cs="Arial"/>
        </w:rPr>
      </w:pPr>
      <w:r w:rsidRPr="009F1BE3">
        <w:rPr>
          <w:rFonts w:ascii="Arial" w:eastAsia="Calibri" w:hAnsi="Arial" w:cs="Arial"/>
        </w:rPr>
        <w:t>Presidente de</w:t>
      </w:r>
      <w:r w:rsidR="002A533C">
        <w:rPr>
          <w:rFonts w:ascii="Arial" w:eastAsia="Calibri" w:hAnsi="Arial" w:cs="Arial"/>
        </w:rPr>
        <w:t>l Consejo d</w:t>
      </w:r>
      <w:r w:rsidRPr="009F1BE3">
        <w:rPr>
          <w:rFonts w:ascii="Arial" w:eastAsia="Calibri" w:hAnsi="Arial" w:cs="Arial"/>
        </w:rPr>
        <w:t>e Ministros</w:t>
      </w:r>
    </w:p>
    <w:p w:rsidR="009F1BE3" w:rsidRPr="009F1BE3" w:rsidRDefault="009F1BE3" w:rsidP="009F1BE3">
      <w:pPr>
        <w:spacing w:after="0" w:line="240" w:lineRule="auto"/>
        <w:rPr>
          <w:rFonts w:ascii="Arial" w:eastAsia="Calibri" w:hAnsi="Arial" w:cs="Arial"/>
        </w:rPr>
      </w:pPr>
    </w:p>
    <w:p w:rsidR="009F1BE3" w:rsidRPr="009F1BE3" w:rsidRDefault="009F1BE3" w:rsidP="009F1BE3">
      <w:pPr>
        <w:spacing w:after="0" w:line="240" w:lineRule="auto"/>
        <w:rPr>
          <w:rFonts w:ascii="Arial" w:eastAsia="Calibri" w:hAnsi="Arial" w:cs="Arial"/>
          <w:b/>
        </w:rPr>
      </w:pPr>
      <w:r w:rsidRPr="009F1BE3">
        <w:rPr>
          <w:rFonts w:ascii="Arial" w:eastAsia="Calibri" w:hAnsi="Arial" w:cs="Arial"/>
          <w:b/>
        </w:rPr>
        <w:t>GUSTAVO ADRIANZEN OLAYA</w:t>
      </w:r>
    </w:p>
    <w:p w:rsidR="009F1BE3" w:rsidRPr="009F1BE3" w:rsidRDefault="009F1BE3" w:rsidP="009F1BE3">
      <w:pPr>
        <w:spacing w:after="0" w:line="240" w:lineRule="auto"/>
        <w:rPr>
          <w:rFonts w:ascii="Arial" w:eastAsia="Calibri" w:hAnsi="Arial" w:cs="Arial"/>
        </w:rPr>
      </w:pPr>
      <w:r w:rsidRPr="009F1BE3">
        <w:rPr>
          <w:rFonts w:ascii="Arial" w:eastAsia="Calibri" w:hAnsi="Arial" w:cs="Arial"/>
        </w:rPr>
        <w:t>Ministro de Justicia y Derechos Humanos</w:t>
      </w:r>
    </w:p>
    <w:p w:rsidR="009F1BE3" w:rsidRPr="009F1BE3" w:rsidRDefault="009F1BE3" w:rsidP="009F1BE3">
      <w:pPr>
        <w:spacing w:after="0" w:line="240" w:lineRule="auto"/>
        <w:rPr>
          <w:rFonts w:ascii="Arial" w:eastAsia="Calibri" w:hAnsi="Arial" w:cs="Arial"/>
        </w:rPr>
      </w:pPr>
    </w:p>
    <w:p w:rsidR="009F1BE3" w:rsidRPr="009F1BE3" w:rsidRDefault="009F1BE3" w:rsidP="009F1BE3">
      <w:pPr>
        <w:spacing w:after="0" w:line="240" w:lineRule="auto"/>
        <w:rPr>
          <w:rFonts w:ascii="Arial" w:eastAsia="Calibri" w:hAnsi="Arial" w:cs="Arial"/>
          <w:b/>
        </w:rPr>
      </w:pPr>
      <w:r w:rsidRPr="009F1BE3">
        <w:rPr>
          <w:rFonts w:ascii="Arial" w:eastAsia="Calibri" w:hAnsi="Arial" w:cs="Arial"/>
          <w:b/>
        </w:rPr>
        <w:t>MILTON VON HESSE LA SERNA</w:t>
      </w:r>
    </w:p>
    <w:p w:rsidR="009F1BE3" w:rsidRPr="009F1BE3" w:rsidRDefault="009F1BE3" w:rsidP="009F1BE3">
      <w:pPr>
        <w:spacing w:after="0" w:line="240" w:lineRule="auto"/>
        <w:rPr>
          <w:rFonts w:ascii="Arial" w:eastAsia="Calibri" w:hAnsi="Arial" w:cs="Arial"/>
        </w:rPr>
      </w:pPr>
      <w:r w:rsidRPr="009F1BE3">
        <w:rPr>
          <w:rFonts w:ascii="Arial" w:eastAsia="Calibri" w:hAnsi="Arial" w:cs="Arial"/>
        </w:rPr>
        <w:t>Ministro de Vivienda, Construcción y Saneamiento</w:t>
      </w:r>
    </w:p>
    <w:p w:rsidR="006312E8" w:rsidRPr="006312E8" w:rsidRDefault="006312E8" w:rsidP="006312E8">
      <w:pPr>
        <w:spacing w:after="200" w:line="276" w:lineRule="auto"/>
        <w:rPr>
          <w:rFonts w:ascii="Calibri" w:eastAsia="Calibri" w:hAnsi="Calibri" w:cs="Times New Roman"/>
        </w:rPr>
      </w:pPr>
    </w:p>
    <w:p w:rsidR="006312E8" w:rsidRPr="006312E8" w:rsidRDefault="006312E8" w:rsidP="006312E8">
      <w:pPr>
        <w:spacing w:after="200" w:line="276" w:lineRule="auto"/>
        <w:rPr>
          <w:rFonts w:ascii="Calibri" w:eastAsia="Calibri" w:hAnsi="Calibri" w:cs="Times New Roman"/>
        </w:rPr>
      </w:pPr>
    </w:p>
    <w:p w:rsidR="006312E8" w:rsidRDefault="006312E8" w:rsidP="006312E8">
      <w:pPr>
        <w:spacing w:after="200" w:line="276" w:lineRule="auto"/>
        <w:rPr>
          <w:rFonts w:ascii="Calibri" w:eastAsia="Calibri" w:hAnsi="Calibri" w:cs="Times New Roman"/>
        </w:rPr>
      </w:pPr>
    </w:p>
    <w:p w:rsidR="009F1BE3" w:rsidRDefault="009F1BE3" w:rsidP="006312E8">
      <w:pPr>
        <w:spacing w:after="200" w:line="276" w:lineRule="auto"/>
        <w:rPr>
          <w:rFonts w:ascii="Calibri" w:eastAsia="Calibri" w:hAnsi="Calibri" w:cs="Times New Roman"/>
        </w:rPr>
      </w:pPr>
    </w:p>
    <w:p w:rsidR="009F1BE3" w:rsidRDefault="009F1BE3" w:rsidP="006312E8">
      <w:pPr>
        <w:spacing w:after="200" w:line="276" w:lineRule="auto"/>
        <w:rPr>
          <w:rFonts w:ascii="Calibri" w:eastAsia="Calibri" w:hAnsi="Calibri" w:cs="Times New Roman"/>
        </w:rPr>
      </w:pPr>
    </w:p>
    <w:p w:rsidR="009F1BE3" w:rsidRDefault="009F1BE3" w:rsidP="006312E8">
      <w:pPr>
        <w:spacing w:after="200" w:line="276" w:lineRule="auto"/>
        <w:rPr>
          <w:rFonts w:ascii="Calibri" w:eastAsia="Calibri" w:hAnsi="Calibri" w:cs="Times New Roman"/>
        </w:rPr>
      </w:pPr>
    </w:p>
    <w:p w:rsidR="009F1BE3" w:rsidRDefault="009F1BE3" w:rsidP="006312E8">
      <w:pPr>
        <w:spacing w:after="200" w:line="276" w:lineRule="auto"/>
        <w:rPr>
          <w:rFonts w:ascii="Calibri" w:eastAsia="Calibri" w:hAnsi="Calibri" w:cs="Times New Roman"/>
        </w:rPr>
      </w:pPr>
    </w:p>
    <w:p w:rsidR="009F1BE3" w:rsidRDefault="009F1BE3" w:rsidP="006312E8">
      <w:pPr>
        <w:spacing w:after="200" w:line="276" w:lineRule="auto"/>
        <w:rPr>
          <w:rFonts w:ascii="Calibri" w:eastAsia="Calibri" w:hAnsi="Calibri" w:cs="Times New Roman"/>
        </w:rPr>
      </w:pPr>
    </w:p>
    <w:p w:rsidR="009F1BE3" w:rsidRDefault="009F1BE3" w:rsidP="006312E8">
      <w:pPr>
        <w:spacing w:after="200" w:line="276" w:lineRule="auto"/>
        <w:rPr>
          <w:rFonts w:ascii="Calibri" w:eastAsia="Calibri" w:hAnsi="Calibri" w:cs="Times New Roman"/>
        </w:rPr>
      </w:pPr>
    </w:p>
    <w:p w:rsidR="009F1BE3" w:rsidRDefault="009F1BE3" w:rsidP="006312E8">
      <w:pPr>
        <w:spacing w:after="200" w:line="276" w:lineRule="auto"/>
        <w:rPr>
          <w:rFonts w:ascii="Calibri" w:eastAsia="Calibri" w:hAnsi="Calibri" w:cs="Times New Roman"/>
        </w:rPr>
      </w:pPr>
    </w:p>
    <w:p w:rsidR="009F1BE3" w:rsidRDefault="009F1BE3" w:rsidP="006312E8">
      <w:pPr>
        <w:spacing w:after="200" w:line="276" w:lineRule="auto"/>
        <w:rPr>
          <w:rFonts w:ascii="Calibri" w:eastAsia="Calibri" w:hAnsi="Calibri" w:cs="Times New Roman"/>
        </w:rPr>
      </w:pPr>
    </w:p>
    <w:p w:rsidR="009F1BE3" w:rsidRDefault="009F1BE3" w:rsidP="006312E8">
      <w:pPr>
        <w:spacing w:after="200" w:line="276" w:lineRule="auto"/>
        <w:rPr>
          <w:rFonts w:ascii="Calibri" w:eastAsia="Calibri" w:hAnsi="Calibri" w:cs="Times New Roman"/>
        </w:rPr>
      </w:pPr>
    </w:p>
    <w:p w:rsidR="009F1BE3" w:rsidRDefault="009F1BE3" w:rsidP="006312E8">
      <w:pPr>
        <w:spacing w:after="200" w:line="276" w:lineRule="auto"/>
        <w:rPr>
          <w:rFonts w:ascii="Calibri" w:eastAsia="Calibri" w:hAnsi="Calibri" w:cs="Times New Roman"/>
        </w:rPr>
      </w:pPr>
    </w:p>
    <w:p w:rsidR="009F1BE3" w:rsidRDefault="009F1BE3" w:rsidP="006312E8">
      <w:pPr>
        <w:spacing w:after="200" w:line="276" w:lineRule="auto"/>
        <w:rPr>
          <w:rFonts w:ascii="Calibri" w:eastAsia="Calibri" w:hAnsi="Calibri" w:cs="Times New Roman"/>
        </w:rPr>
      </w:pPr>
    </w:p>
    <w:p w:rsidR="009F1BE3" w:rsidRDefault="009F1BE3" w:rsidP="006312E8">
      <w:pPr>
        <w:spacing w:after="200" w:line="276" w:lineRule="auto"/>
        <w:rPr>
          <w:rFonts w:ascii="Calibri" w:eastAsia="Calibri" w:hAnsi="Calibri" w:cs="Times New Roman"/>
        </w:rPr>
      </w:pPr>
    </w:p>
    <w:p w:rsidR="009F1BE3" w:rsidRDefault="009F1BE3" w:rsidP="006312E8">
      <w:pPr>
        <w:spacing w:after="200" w:line="276" w:lineRule="auto"/>
        <w:rPr>
          <w:rFonts w:ascii="Calibri" w:eastAsia="Calibri" w:hAnsi="Calibri" w:cs="Times New Roman"/>
        </w:rPr>
      </w:pPr>
    </w:p>
    <w:p w:rsidR="009F1BE3" w:rsidRDefault="009F1BE3" w:rsidP="006312E8">
      <w:pPr>
        <w:spacing w:after="200" w:line="276" w:lineRule="auto"/>
        <w:rPr>
          <w:rFonts w:ascii="Calibri" w:eastAsia="Calibri" w:hAnsi="Calibri" w:cs="Times New Roman"/>
        </w:rPr>
      </w:pPr>
    </w:p>
    <w:p w:rsidR="009F1BE3" w:rsidRPr="009F1BE3" w:rsidRDefault="009F1BE3" w:rsidP="009F1BE3">
      <w:pPr>
        <w:pStyle w:val="TITO2"/>
      </w:pPr>
      <w:bookmarkStart w:id="463" w:name="_Toc470855587"/>
      <w:r w:rsidRPr="009F1BE3">
        <w:t>DECRETO LEGISLATIVO N° 1209</w:t>
      </w:r>
      <w:bookmarkEnd w:id="463"/>
    </w:p>
    <w:p w:rsidR="009F1BE3" w:rsidRDefault="009F1BE3" w:rsidP="009F1BE3">
      <w:pPr>
        <w:spacing w:after="0" w:line="240" w:lineRule="auto"/>
        <w:jc w:val="center"/>
        <w:rPr>
          <w:rFonts w:ascii="Arial" w:eastAsia="Calibri" w:hAnsi="Arial" w:cs="Arial"/>
          <w:b/>
        </w:rPr>
      </w:pPr>
      <w:r w:rsidRPr="009F1BE3">
        <w:rPr>
          <w:rFonts w:ascii="Arial" w:eastAsia="Calibri" w:hAnsi="Arial" w:cs="Arial"/>
          <w:b/>
        </w:rPr>
        <w:t>(Extracto)</w:t>
      </w:r>
    </w:p>
    <w:p w:rsidR="009F1BE3" w:rsidRDefault="009F1BE3" w:rsidP="009F1BE3">
      <w:pPr>
        <w:spacing w:after="0" w:line="240" w:lineRule="auto"/>
        <w:jc w:val="center"/>
        <w:rPr>
          <w:rFonts w:ascii="Arial" w:eastAsia="Calibri" w:hAnsi="Arial" w:cs="Arial"/>
          <w:b/>
        </w:rPr>
      </w:pPr>
    </w:p>
    <w:p w:rsidR="009F1BE3" w:rsidRDefault="009F1BE3" w:rsidP="009F1BE3">
      <w:pPr>
        <w:spacing w:after="0" w:line="240" w:lineRule="auto"/>
        <w:jc w:val="right"/>
        <w:rPr>
          <w:rFonts w:ascii="Arial" w:eastAsia="Calibri" w:hAnsi="Arial" w:cs="Arial"/>
          <w:b/>
        </w:rPr>
      </w:pPr>
      <w:r>
        <w:rPr>
          <w:rFonts w:ascii="Arial" w:eastAsia="Calibri" w:hAnsi="Arial" w:cs="Arial"/>
          <w:b/>
        </w:rPr>
        <w:t>Fecha de publicación: 23-09-2015</w:t>
      </w:r>
    </w:p>
    <w:p w:rsidR="009F1BE3" w:rsidRDefault="009F1BE3" w:rsidP="009F1BE3">
      <w:pPr>
        <w:spacing w:after="0" w:line="240" w:lineRule="auto"/>
        <w:rPr>
          <w:rFonts w:ascii="Arial" w:eastAsia="Calibri" w:hAnsi="Arial" w:cs="Arial"/>
          <w:b/>
        </w:rPr>
      </w:pPr>
    </w:p>
    <w:p w:rsidR="005F14A5" w:rsidRDefault="005F14A5" w:rsidP="00D56C81">
      <w:pPr>
        <w:spacing w:after="0" w:line="240" w:lineRule="auto"/>
        <w:jc w:val="center"/>
        <w:rPr>
          <w:rFonts w:ascii="Arial" w:eastAsia="Calibri" w:hAnsi="Arial" w:cs="Arial"/>
          <w:b/>
        </w:rPr>
      </w:pPr>
      <w:r w:rsidRPr="005F14A5">
        <w:rPr>
          <w:rFonts w:ascii="Arial" w:eastAsia="Calibri" w:hAnsi="Arial" w:cs="Arial"/>
          <w:b/>
        </w:rPr>
        <w:t>DECRETO LEGISLATIVO QUE ESTABLECE EL PROCEDIMIENTO A SEGUIR PARA LA INMATRICULACIÓN DE PREDIOS DE PROPIEDAD PRIVADA DE PARTICULARES EN EL REGISTRO DE PREDIOS</w:t>
      </w:r>
    </w:p>
    <w:p w:rsidR="005F14A5" w:rsidRPr="00D56C81" w:rsidRDefault="00D56C81" w:rsidP="009F1BE3">
      <w:pPr>
        <w:spacing w:after="0" w:line="240" w:lineRule="auto"/>
        <w:rPr>
          <w:rFonts w:ascii="Arial" w:eastAsia="Calibri" w:hAnsi="Arial" w:cs="Arial"/>
        </w:rPr>
      </w:pPr>
      <w:r>
        <w:rPr>
          <w:rFonts w:ascii="Arial" w:eastAsia="Calibri" w:hAnsi="Arial" w:cs="Arial"/>
        </w:rPr>
        <w:t>(…)</w:t>
      </w:r>
    </w:p>
    <w:p w:rsidR="00D56C81" w:rsidRDefault="00D56C81" w:rsidP="00D56C81">
      <w:pPr>
        <w:spacing w:after="0" w:line="240" w:lineRule="auto"/>
        <w:jc w:val="both"/>
        <w:rPr>
          <w:rFonts w:ascii="Arial" w:eastAsia="Calibri" w:hAnsi="Arial" w:cs="Arial"/>
          <w:b/>
        </w:rPr>
      </w:pPr>
    </w:p>
    <w:p w:rsidR="005F14A5" w:rsidRPr="005F14A5" w:rsidRDefault="005F14A5" w:rsidP="00D56C81">
      <w:pPr>
        <w:spacing w:after="0" w:line="240" w:lineRule="auto"/>
        <w:jc w:val="center"/>
        <w:rPr>
          <w:rFonts w:ascii="Arial" w:eastAsia="Calibri" w:hAnsi="Arial" w:cs="Arial"/>
          <w:b/>
        </w:rPr>
      </w:pPr>
      <w:r w:rsidRPr="005F14A5">
        <w:rPr>
          <w:rFonts w:ascii="Arial" w:eastAsia="Calibri" w:hAnsi="Arial" w:cs="Arial"/>
          <w:b/>
        </w:rPr>
        <w:t>CAPÍTULO II</w:t>
      </w:r>
    </w:p>
    <w:p w:rsidR="005F14A5" w:rsidRPr="005F14A5" w:rsidRDefault="005F14A5" w:rsidP="00D56C81">
      <w:pPr>
        <w:spacing w:after="0" w:line="240" w:lineRule="auto"/>
        <w:jc w:val="center"/>
        <w:rPr>
          <w:rFonts w:ascii="Arial" w:eastAsia="Calibri" w:hAnsi="Arial" w:cs="Arial"/>
          <w:b/>
        </w:rPr>
      </w:pPr>
      <w:r w:rsidRPr="005F14A5">
        <w:rPr>
          <w:rFonts w:ascii="Arial" w:eastAsia="Calibri" w:hAnsi="Arial" w:cs="Arial"/>
          <w:b/>
        </w:rPr>
        <w:t>DISPOSICIONES PROCEDIMENTALES</w:t>
      </w:r>
    </w:p>
    <w:p w:rsidR="00D56C81" w:rsidRDefault="00D56C81" w:rsidP="00D56C81">
      <w:pPr>
        <w:spacing w:after="0" w:line="240" w:lineRule="auto"/>
        <w:jc w:val="both"/>
        <w:rPr>
          <w:rFonts w:ascii="Arial" w:eastAsia="Calibri" w:hAnsi="Arial" w:cs="Arial"/>
        </w:rPr>
      </w:pPr>
    </w:p>
    <w:p w:rsidR="00D56C81" w:rsidRDefault="00D56C81" w:rsidP="00D56C81">
      <w:pPr>
        <w:spacing w:after="0" w:line="240" w:lineRule="auto"/>
        <w:jc w:val="both"/>
        <w:rPr>
          <w:rFonts w:ascii="Arial" w:eastAsia="Calibri" w:hAnsi="Arial" w:cs="Arial"/>
        </w:rPr>
      </w:pPr>
      <w:r>
        <w:rPr>
          <w:rFonts w:ascii="Arial" w:eastAsia="Calibri" w:hAnsi="Arial" w:cs="Arial"/>
        </w:rPr>
        <w:t>(…)</w:t>
      </w:r>
    </w:p>
    <w:p w:rsidR="005F14A5" w:rsidRPr="00D56C81" w:rsidRDefault="005F14A5" w:rsidP="00D56C81">
      <w:pPr>
        <w:spacing w:after="0" w:line="240" w:lineRule="auto"/>
        <w:jc w:val="both"/>
        <w:rPr>
          <w:rFonts w:ascii="Arial" w:eastAsia="Calibri" w:hAnsi="Arial" w:cs="Arial"/>
          <w:b/>
        </w:rPr>
      </w:pPr>
      <w:r w:rsidRPr="00D56C81">
        <w:rPr>
          <w:rFonts w:ascii="Arial" w:eastAsia="Calibri" w:hAnsi="Arial" w:cs="Arial"/>
          <w:b/>
        </w:rPr>
        <w:t xml:space="preserve">Artículo 10.- Sujetos facultados para presentar la oposición a la inscripción definitiva de la inmatriculación </w:t>
      </w:r>
    </w:p>
    <w:p w:rsidR="005F14A5" w:rsidRPr="005F14A5" w:rsidRDefault="005F14A5" w:rsidP="00D56C81">
      <w:pPr>
        <w:spacing w:after="0" w:line="240" w:lineRule="auto"/>
        <w:jc w:val="both"/>
        <w:rPr>
          <w:rFonts w:ascii="Arial" w:eastAsia="Calibri" w:hAnsi="Arial" w:cs="Arial"/>
        </w:rPr>
      </w:pPr>
      <w:r w:rsidRPr="005F14A5">
        <w:rPr>
          <w:rFonts w:ascii="Arial" w:eastAsia="Calibri" w:hAnsi="Arial" w:cs="Arial"/>
        </w:rPr>
        <w:t xml:space="preserve">Se encuentran facultados para presentar la oposición a la inscripción definitiva los siguientes sujetos: </w:t>
      </w:r>
    </w:p>
    <w:p w:rsidR="00D56C81" w:rsidRDefault="00D56C81" w:rsidP="00D56C81">
      <w:pPr>
        <w:spacing w:after="0" w:line="240" w:lineRule="auto"/>
        <w:jc w:val="both"/>
        <w:rPr>
          <w:rFonts w:ascii="Arial" w:eastAsia="Calibri" w:hAnsi="Arial" w:cs="Arial"/>
        </w:rPr>
      </w:pPr>
    </w:p>
    <w:p w:rsidR="005F14A5" w:rsidRPr="00D56C81" w:rsidRDefault="005F14A5" w:rsidP="0092471C">
      <w:pPr>
        <w:pStyle w:val="Prrafodelista"/>
        <w:numPr>
          <w:ilvl w:val="1"/>
          <w:numId w:val="243"/>
        </w:numPr>
        <w:spacing w:after="0" w:line="240" w:lineRule="auto"/>
        <w:ind w:left="567"/>
        <w:jc w:val="both"/>
        <w:rPr>
          <w:rFonts w:ascii="Arial" w:eastAsia="Calibri" w:hAnsi="Arial" w:cs="Arial"/>
        </w:rPr>
      </w:pPr>
      <w:r w:rsidRPr="00D56C81">
        <w:rPr>
          <w:rFonts w:ascii="Arial" w:eastAsia="Calibri" w:hAnsi="Arial" w:cs="Arial"/>
        </w:rPr>
        <w:t>El titular de un derecho de propiedad sobre el predio inscrito con anterioridad a la anotación preventiva de inmatriculación que se superpone total o parcialmente.</w:t>
      </w:r>
    </w:p>
    <w:p w:rsidR="005F14A5" w:rsidRPr="00D56C81" w:rsidRDefault="005F14A5" w:rsidP="0092471C">
      <w:pPr>
        <w:pStyle w:val="Prrafodelista"/>
        <w:numPr>
          <w:ilvl w:val="1"/>
          <w:numId w:val="243"/>
        </w:numPr>
        <w:spacing w:after="0" w:line="240" w:lineRule="auto"/>
        <w:ind w:left="567"/>
        <w:jc w:val="both"/>
        <w:rPr>
          <w:rFonts w:ascii="Arial" w:eastAsia="Calibri" w:hAnsi="Arial" w:cs="Arial"/>
        </w:rPr>
      </w:pPr>
      <w:r w:rsidRPr="00D56C81">
        <w:rPr>
          <w:rFonts w:ascii="Arial" w:eastAsia="Calibri" w:hAnsi="Arial" w:cs="Arial"/>
        </w:rPr>
        <w:t xml:space="preserve">El titular de un derecho de propiedad, respecto de un predio no inscrito que cuente con instrumento público y documentación técnica suficiente que permita su evaluación por el área de catastro de la Zona Registral respectiva, a fin de determinar una superposición total o parcial. </w:t>
      </w:r>
    </w:p>
    <w:p w:rsidR="005F14A5" w:rsidRPr="00D56C81" w:rsidRDefault="005F14A5" w:rsidP="0092471C">
      <w:pPr>
        <w:pStyle w:val="Prrafodelista"/>
        <w:numPr>
          <w:ilvl w:val="1"/>
          <w:numId w:val="243"/>
        </w:numPr>
        <w:spacing w:after="0" w:line="240" w:lineRule="auto"/>
        <w:ind w:left="567"/>
        <w:jc w:val="both"/>
        <w:rPr>
          <w:rFonts w:ascii="Arial" w:eastAsia="Calibri" w:hAnsi="Arial" w:cs="Arial"/>
        </w:rPr>
      </w:pPr>
      <w:r w:rsidRPr="00D56C81">
        <w:rPr>
          <w:rFonts w:ascii="Arial" w:eastAsia="Calibri" w:hAnsi="Arial" w:cs="Arial"/>
        </w:rPr>
        <w:t xml:space="preserve">La Comisión Nacional de Bienes Incautados (CONABI), respecto de predios incautados, decomisados o con proceso de pérdida de dominio, así como las entidades públicas que cuenten con registros específicos. </w:t>
      </w:r>
    </w:p>
    <w:p w:rsidR="005F14A5" w:rsidRPr="00D56C81" w:rsidRDefault="005F14A5" w:rsidP="0092471C">
      <w:pPr>
        <w:pStyle w:val="Prrafodelista"/>
        <w:numPr>
          <w:ilvl w:val="1"/>
          <w:numId w:val="243"/>
        </w:numPr>
        <w:spacing w:after="0" w:line="240" w:lineRule="auto"/>
        <w:ind w:left="567"/>
        <w:jc w:val="both"/>
        <w:rPr>
          <w:rFonts w:ascii="Arial" w:eastAsia="Calibri" w:hAnsi="Arial" w:cs="Arial"/>
        </w:rPr>
      </w:pPr>
      <w:r w:rsidRPr="00D56C81">
        <w:rPr>
          <w:rFonts w:ascii="Arial" w:eastAsia="Calibri" w:hAnsi="Arial" w:cs="Arial"/>
        </w:rPr>
        <w:t>La entidad pública que resulte afectada con la anotación preventiva de inmatriculación, en el marco de sus competencias</w:t>
      </w:r>
    </w:p>
    <w:p w:rsidR="00D56C81" w:rsidRDefault="00D56C81" w:rsidP="00D56C81">
      <w:pPr>
        <w:spacing w:after="0" w:line="240" w:lineRule="auto"/>
        <w:jc w:val="both"/>
        <w:rPr>
          <w:rFonts w:ascii="Arial" w:eastAsia="Calibri" w:hAnsi="Arial" w:cs="Arial"/>
        </w:rPr>
      </w:pPr>
    </w:p>
    <w:p w:rsidR="005F14A5" w:rsidRPr="00D56C81" w:rsidRDefault="005F14A5" w:rsidP="00D56C81">
      <w:pPr>
        <w:spacing w:after="0" w:line="240" w:lineRule="auto"/>
        <w:jc w:val="both"/>
        <w:rPr>
          <w:rFonts w:ascii="Arial" w:eastAsia="Calibri" w:hAnsi="Arial" w:cs="Arial"/>
          <w:b/>
        </w:rPr>
      </w:pPr>
      <w:r w:rsidRPr="00D56C81">
        <w:rPr>
          <w:rFonts w:ascii="Arial" w:eastAsia="Calibri" w:hAnsi="Arial" w:cs="Arial"/>
          <w:b/>
        </w:rPr>
        <w:t xml:space="preserve">Artículo 11.- Conclusión del Procedimiento de Inmatriculación </w:t>
      </w:r>
    </w:p>
    <w:p w:rsidR="005F14A5" w:rsidRDefault="005F14A5" w:rsidP="00D56C81">
      <w:pPr>
        <w:spacing w:after="0" w:line="240" w:lineRule="auto"/>
        <w:ind w:left="709" w:hanging="567"/>
        <w:jc w:val="both"/>
        <w:rPr>
          <w:rFonts w:ascii="Arial" w:eastAsia="Calibri" w:hAnsi="Arial" w:cs="Arial"/>
        </w:rPr>
      </w:pPr>
      <w:r w:rsidRPr="005F14A5">
        <w:rPr>
          <w:rFonts w:ascii="Arial" w:eastAsia="Calibri" w:hAnsi="Arial" w:cs="Arial"/>
        </w:rPr>
        <w:t xml:space="preserve">11.1. Cuando se declare fundada la oposición, el Registrador procederá a extender la cancelación del asiento de anotación preventiva, salvo que se presente el caso previsto en el artículo 12 del presente Decreto Legislativo. </w:t>
      </w:r>
    </w:p>
    <w:p w:rsidR="00D56C81" w:rsidRPr="005F14A5" w:rsidRDefault="00D56C81" w:rsidP="00D56C81">
      <w:pPr>
        <w:spacing w:after="0" w:line="240" w:lineRule="auto"/>
        <w:ind w:left="709" w:hanging="567"/>
        <w:jc w:val="both"/>
        <w:rPr>
          <w:rFonts w:ascii="Arial" w:eastAsia="Calibri" w:hAnsi="Arial" w:cs="Arial"/>
        </w:rPr>
      </w:pPr>
    </w:p>
    <w:p w:rsidR="009F1BE3" w:rsidRPr="005F14A5" w:rsidRDefault="005F14A5" w:rsidP="00D56C81">
      <w:pPr>
        <w:spacing w:after="0" w:line="240" w:lineRule="auto"/>
        <w:ind w:left="709" w:hanging="567"/>
        <w:jc w:val="both"/>
        <w:rPr>
          <w:rFonts w:ascii="Arial" w:eastAsia="Calibri" w:hAnsi="Arial" w:cs="Arial"/>
        </w:rPr>
      </w:pPr>
      <w:r w:rsidRPr="005F14A5">
        <w:rPr>
          <w:rFonts w:ascii="Arial" w:eastAsia="Calibri" w:hAnsi="Arial" w:cs="Arial"/>
        </w:rPr>
        <w:t>11.2. Cuando se declare infundada la oposición, queda a salvo el derecho del interesado para iniciar las acciones judiciales que correspondan, sin afectar el procedimiento regulado en el presente Decreto Legislativo. Dicha decisión es irrecurrible en sede administrativa.</w:t>
      </w:r>
    </w:p>
    <w:p w:rsidR="00D56C81" w:rsidRDefault="00D56C81" w:rsidP="00D56C81">
      <w:pPr>
        <w:spacing w:after="0" w:line="240" w:lineRule="auto"/>
        <w:jc w:val="both"/>
        <w:rPr>
          <w:rFonts w:ascii="Arial" w:eastAsia="Calibri" w:hAnsi="Arial" w:cs="Arial"/>
        </w:rPr>
      </w:pPr>
    </w:p>
    <w:p w:rsidR="005F14A5" w:rsidRPr="005F14A5" w:rsidRDefault="005F14A5" w:rsidP="00D56C81">
      <w:pPr>
        <w:spacing w:after="0" w:line="240" w:lineRule="auto"/>
        <w:jc w:val="both"/>
        <w:rPr>
          <w:rFonts w:ascii="Arial" w:eastAsia="Calibri" w:hAnsi="Arial" w:cs="Arial"/>
        </w:rPr>
      </w:pPr>
      <w:r w:rsidRPr="00D56C81">
        <w:rPr>
          <w:rFonts w:ascii="Arial" w:eastAsia="Calibri" w:hAnsi="Arial" w:cs="Arial"/>
          <w:b/>
        </w:rPr>
        <w:t>POR TANTO:</w:t>
      </w:r>
      <w:r w:rsidRPr="005F14A5">
        <w:rPr>
          <w:rFonts w:ascii="Arial" w:eastAsia="Calibri" w:hAnsi="Arial" w:cs="Arial"/>
        </w:rPr>
        <w:t xml:space="preserve"> Mando se publique y cumpla, dando cuenta al Congreso de la República. </w:t>
      </w:r>
    </w:p>
    <w:p w:rsidR="005F14A5" w:rsidRPr="005F14A5" w:rsidRDefault="005F14A5" w:rsidP="00D56C81">
      <w:pPr>
        <w:spacing w:after="0" w:line="240" w:lineRule="auto"/>
        <w:jc w:val="both"/>
        <w:rPr>
          <w:rFonts w:ascii="Arial" w:eastAsia="Calibri" w:hAnsi="Arial" w:cs="Arial"/>
        </w:rPr>
      </w:pPr>
      <w:r w:rsidRPr="005F14A5">
        <w:rPr>
          <w:rFonts w:ascii="Arial" w:eastAsia="Calibri" w:hAnsi="Arial" w:cs="Arial"/>
        </w:rPr>
        <w:t xml:space="preserve">Dado en la Casa de Gobierno, Lima, a los veintidós días </w:t>
      </w:r>
      <w:r w:rsidR="00D56C81">
        <w:rPr>
          <w:rFonts w:ascii="Arial" w:eastAsia="Calibri" w:hAnsi="Arial" w:cs="Arial"/>
        </w:rPr>
        <w:t xml:space="preserve"> </w:t>
      </w:r>
      <w:r w:rsidRPr="005F14A5">
        <w:rPr>
          <w:rFonts w:ascii="Arial" w:eastAsia="Calibri" w:hAnsi="Arial" w:cs="Arial"/>
        </w:rPr>
        <w:t xml:space="preserve">del mes de setiembre del año dos mil quince. </w:t>
      </w:r>
    </w:p>
    <w:p w:rsidR="00D56C81" w:rsidRDefault="00D56C81" w:rsidP="00D56C81">
      <w:pPr>
        <w:spacing w:after="0" w:line="240" w:lineRule="auto"/>
        <w:jc w:val="both"/>
        <w:rPr>
          <w:rFonts w:ascii="Arial" w:eastAsia="Calibri" w:hAnsi="Arial" w:cs="Arial"/>
        </w:rPr>
      </w:pPr>
    </w:p>
    <w:p w:rsidR="005F14A5" w:rsidRPr="00D56C81" w:rsidRDefault="005F14A5" w:rsidP="00D56C81">
      <w:pPr>
        <w:spacing w:after="0" w:line="240" w:lineRule="auto"/>
        <w:jc w:val="both"/>
        <w:rPr>
          <w:rFonts w:ascii="Arial" w:eastAsia="Calibri" w:hAnsi="Arial" w:cs="Arial"/>
          <w:b/>
        </w:rPr>
      </w:pPr>
      <w:r w:rsidRPr="00D56C81">
        <w:rPr>
          <w:rFonts w:ascii="Arial" w:eastAsia="Calibri" w:hAnsi="Arial" w:cs="Arial"/>
          <w:b/>
        </w:rPr>
        <w:t xml:space="preserve">OLLANTA HUMALA TASSO </w:t>
      </w:r>
    </w:p>
    <w:p w:rsidR="005F14A5" w:rsidRPr="005F14A5" w:rsidRDefault="005F14A5" w:rsidP="00D56C81">
      <w:pPr>
        <w:spacing w:after="0" w:line="240" w:lineRule="auto"/>
        <w:jc w:val="both"/>
        <w:rPr>
          <w:rFonts w:ascii="Arial" w:eastAsia="Calibri" w:hAnsi="Arial" w:cs="Arial"/>
        </w:rPr>
      </w:pPr>
      <w:r w:rsidRPr="005F14A5">
        <w:rPr>
          <w:rFonts w:ascii="Arial" w:eastAsia="Calibri" w:hAnsi="Arial" w:cs="Arial"/>
        </w:rPr>
        <w:t xml:space="preserve">Presidente de la República </w:t>
      </w:r>
    </w:p>
    <w:p w:rsidR="00D56C81" w:rsidRDefault="00D56C81" w:rsidP="00D56C81">
      <w:pPr>
        <w:spacing w:after="0" w:line="240" w:lineRule="auto"/>
        <w:jc w:val="both"/>
        <w:rPr>
          <w:rFonts w:ascii="Arial" w:eastAsia="Calibri" w:hAnsi="Arial" w:cs="Arial"/>
        </w:rPr>
      </w:pPr>
    </w:p>
    <w:p w:rsidR="005F14A5" w:rsidRPr="00D56C81" w:rsidRDefault="005F14A5" w:rsidP="00D56C81">
      <w:pPr>
        <w:spacing w:after="0" w:line="240" w:lineRule="auto"/>
        <w:jc w:val="both"/>
        <w:rPr>
          <w:rFonts w:ascii="Arial" w:eastAsia="Calibri" w:hAnsi="Arial" w:cs="Arial"/>
          <w:b/>
        </w:rPr>
      </w:pPr>
      <w:r w:rsidRPr="00D56C81">
        <w:rPr>
          <w:rFonts w:ascii="Arial" w:eastAsia="Calibri" w:hAnsi="Arial" w:cs="Arial"/>
          <w:b/>
        </w:rPr>
        <w:t xml:space="preserve">PEDRO CATERIANO BELLIDO </w:t>
      </w:r>
    </w:p>
    <w:p w:rsidR="005F14A5" w:rsidRPr="005F14A5" w:rsidRDefault="005F14A5" w:rsidP="00D56C81">
      <w:pPr>
        <w:spacing w:after="0" w:line="240" w:lineRule="auto"/>
        <w:jc w:val="both"/>
        <w:rPr>
          <w:rFonts w:ascii="Arial" w:eastAsia="Calibri" w:hAnsi="Arial" w:cs="Arial"/>
        </w:rPr>
      </w:pPr>
      <w:r w:rsidRPr="005F14A5">
        <w:rPr>
          <w:rFonts w:ascii="Arial" w:eastAsia="Calibri" w:hAnsi="Arial" w:cs="Arial"/>
        </w:rPr>
        <w:t xml:space="preserve">Presidente del Consejo de Ministros </w:t>
      </w:r>
    </w:p>
    <w:p w:rsidR="00D56C81" w:rsidRDefault="00D56C81" w:rsidP="00D56C81">
      <w:pPr>
        <w:spacing w:after="0" w:line="240" w:lineRule="auto"/>
        <w:jc w:val="both"/>
        <w:rPr>
          <w:rFonts w:ascii="Arial" w:eastAsia="Calibri" w:hAnsi="Arial" w:cs="Arial"/>
        </w:rPr>
      </w:pPr>
    </w:p>
    <w:p w:rsidR="005F14A5" w:rsidRPr="00D56C81" w:rsidRDefault="005F14A5" w:rsidP="00D56C81">
      <w:pPr>
        <w:spacing w:after="0" w:line="240" w:lineRule="auto"/>
        <w:jc w:val="both"/>
        <w:rPr>
          <w:rFonts w:ascii="Arial" w:eastAsia="Calibri" w:hAnsi="Arial" w:cs="Arial"/>
          <w:b/>
        </w:rPr>
      </w:pPr>
      <w:r w:rsidRPr="00D56C81">
        <w:rPr>
          <w:rFonts w:ascii="Arial" w:eastAsia="Calibri" w:hAnsi="Arial" w:cs="Arial"/>
          <w:b/>
        </w:rPr>
        <w:t xml:space="preserve">JUAN MANUEL BENITES RAMOS </w:t>
      </w:r>
    </w:p>
    <w:p w:rsidR="005F14A5" w:rsidRPr="005F14A5" w:rsidRDefault="005F14A5" w:rsidP="00D56C81">
      <w:pPr>
        <w:spacing w:after="0" w:line="240" w:lineRule="auto"/>
        <w:jc w:val="both"/>
        <w:rPr>
          <w:rFonts w:ascii="Arial" w:eastAsia="Calibri" w:hAnsi="Arial" w:cs="Arial"/>
        </w:rPr>
      </w:pPr>
      <w:r w:rsidRPr="005F14A5">
        <w:rPr>
          <w:rFonts w:ascii="Arial" w:eastAsia="Calibri" w:hAnsi="Arial" w:cs="Arial"/>
        </w:rPr>
        <w:t xml:space="preserve">Ministro de Agricultura y Riego </w:t>
      </w:r>
    </w:p>
    <w:p w:rsidR="00D56C81" w:rsidRDefault="00D56C81" w:rsidP="00D56C81">
      <w:pPr>
        <w:spacing w:after="0" w:line="240" w:lineRule="auto"/>
        <w:jc w:val="both"/>
        <w:rPr>
          <w:rFonts w:ascii="Arial" w:eastAsia="Calibri" w:hAnsi="Arial" w:cs="Arial"/>
        </w:rPr>
      </w:pPr>
    </w:p>
    <w:p w:rsidR="005F14A5" w:rsidRPr="00D56C81" w:rsidRDefault="005F14A5" w:rsidP="00D56C81">
      <w:pPr>
        <w:spacing w:after="0" w:line="240" w:lineRule="auto"/>
        <w:jc w:val="both"/>
        <w:rPr>
          <w:rFonts w:ascii="Arial" w:eastAsia="Calibri" w:hAnsi="Arial" w:cs="Arial"/>
          <w:b/>
        </w:rPr>
      </w:pPr>
      <w:r w:rsidRPr="00D56C81">
        <w:rPr>
          <w:rFonts w:ascii="Arial" w:eastAsia="Calibri" w:hAnsi="Arial" w:cs="Arial"/>
          <w:b/>
        </w:rPr>
        <w:t xml:space="preserve">GUSTAVO ADRIANZÉN OLAYA </w:t>
      </w:r>
    </w:p>
    <w:p w:rsidR="005F14A5" w:rsidRPr="005F14A5" w:rsidRDefault="005F14A5" w:rsidP="00D56C81">
      <w:pPr>
        <w:spacing w:after="0" w:line="240" w:lineRule="auto"/>
        <w:jc w:val="both"/>
        <w:rPr>
          <w:rFonts w:ascii="Arial" w:eastAsia="Calibri" w:hAnsi="Arial" w:cs="Arial"/>
        </w:rPr>
      </w:pPr>
      <w:r w:rsidRPr="005F14A5">
        <w:rPr>
          <w:rFonts w:ascii="Arial" w:eastAsia="Calibri" w:hAnsi="Arial" w:cs="Arial"/>
        </w:rPr>
        <w:t xml:space="preserve">Ministro de Justicia y Derechos Humanos </w:t>
      </w:r>
    </w:p>
    <w:p w:rsidR="00D56C81" w:rsidRDefault="00D56C81" w:rsidP="00D56C81">
      <w:pPr>
        <w:spacing w:after="0" w:line="240" w:lineRule="auto"/>
        <w:jc w:val="both"/>
        <w:rPr>
          <w:rFonts w:ascii="Arial" w:eastAsia="Calibri" w:hAnsi="Arial" w:cs="Arial"/>
        </w:rPr>
      </w:pPr>
    </w:p>
    <w:p w:rsidR="005F14A5" w:rsidRPr="00D56C81" w:rsidRDefault="005F14A5" w:rsidP="00D56C81">
      <w:pPr>
        <w:spacing w:after="0" w:line="240" w:lineRule="auto"/>
        <w:jc w:val="both"/>
        <w:rPr>
          <w:rFonts w:ascii="Arial" w:eastAsia="Calibri" w:hAnsi="Arial" w:cs="Arial"/>
          <w:b/>
        </w:rPr>
      </w:pPr>
      <w:r w:rsidRPr="00D56C81">
        <w:rPr>
          <w:rFonts w:ascii="Arial" w:eastAsia="Calibri" w:hAnsi="Arial" w:cs="Arial"/>
          <w:b/>
        </w:rPr>
        <w:t xml:space="preserve">MILTON VON HESSE LA SERNA </w:t>
      </w:r>
    </w:p>
    <w:p w:rsidR="006312E8" w:rsidRPr="005F14A5" w:rsidRDefault="005F14A5" w:rsidP="00D56C81">
      <w:pPr>
        <w:spacing w:after="0" w:line="240" w:lineRule="auto"/>
        <w:jc w:val="both"/>
        <w:rPr>
          <w:rFonts w:ascii="Arial" w:eastAsia="Calibri" w:hAnsi="Arial" w:cs="Arial"/>
        </w:rPr>
      </w:pPr>
      <w:r w:rsidRPr="005F14A5">
        <w:rPr>
          <w:rFonts w:ascii="Arial" w:eastAsia="Calibri" w:hAnsi="Arial" w:cs="Arial"/>
        </w:rPr>
        <w:t>Ministro de Vivienda, Construcción y Saneamiento</w:t>
      </w:r>
    </w:p>
    <w:p w:rsidR="006312E8" w:rsidRPr="006312E8" w:rsidRDefault="00D56C81" w:rsidP="00F47618">
      <w:pPr>
        <w:pStyle w:val="TITO2"/>
      </w:pPr>
      <w:bookmarkStart w:id="464" w:name="_Toc392856262"/>
      <w:bookmarkStart w:id="465" w:name="_Toc399335533"/>
      <w:bookmarkStart w:id="466" w:name="_Toc421025481"/>
      <w:bookmarkStart w:id="467" w:name="_Toc470855588"/>
      <w:r>
        <w:t>D</w:t>
      </w:r>
      <w:r w:rsidR="006312E8" w:rsidRPr="006312E8">
        <w:t>ECRETO SUPREMO Nº 038-2001-AG</w:t>
      </w:r>
      <w:bookmarkEnd w:id="464"/>
      <w:bookmarkEnd w:id="465"/>
      <w:bookmarkEnd w:id="466"/>
      <w:bookmarkEnd w:id="467"/>
    </w:p>
    <w:bookmarkEnd w:id="460"/>
    <w:p w:rsidR="006312E8" w:rsidRPr="006312E8" w:rsidRDefault="006312E8" w:rsidP="006312E8">
      <w:pPr>
        <w:spacing w:after="0" w:line="240" w:lineRule="auto"/>
        <w:contextualSpacing/>
        <w:jc w:val="center"/>
        <w:rPr>
          <w:rFonts w:ascii="Arial" w:eastAsia="Calibri" w:hAnsi="Arial" w:cs="Arial"/>
          <w:b/>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Aprueban el Reglamento de la Ley de Áreas Naturales Protegidas</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(Extracto)</w:t>
      </w:r>
    </w:p>
    <w:p w:rsidR="006312E8" w:rsidRPr="006312E8" w:rsidRDefault="006312E8" w:rsidP="006312E8">
      <w:pPr>
        <w:spacing w:after="0" w:line="240" w:lineRule="auto"/>
        <w:contextualSpacing/>
        <w:jc w:val="center"/>
        <w:rPr>
          <w:rFonts w:ascii="Arial" w:eastAsia="Calibri" w:hAnsi="Arial" w:cs="Arial"/>
          <w:b/>
          <w:lang w:val="es-ES"/>
        </w:rPr>
      </w:pPr>
    </w:p>
    <w:p w:rsidR="006312E8" w:rsidRPr="006312E8" w:rsidRDefault="006312E8" w:rsidP="006312E8">
      <w:pPr>
        <w:spacing w:after="0" w:line="240" w:lineRule="auto"/>
        <w:contextualSpacing/>
        <w:jc w:val="right"/>
        <w:rPr>
          <w:rFonts w:ascii="Arial" w:eastAsia="Calibri" w:hAnsi="Arial" w:cs="Arial"/>
          <w:b/>
          <w:lang w:val="es-ES"/>
        </w:rPr>
      </w:pPr>
      <w:r w:rsidRPr="006312E8">
        <w:rPr>
          <w:rFonts w:ascii="Arial" w:eastAsia="Calibri" w:hAnsi="Arial" w:cs="Arial"/>
          <w:b/>
          <w:lang w:val="es-ES"/>
        </w:rPr>
        <w:t>Fecha de publicación: 26-06-2001</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EL PRESIDENTE DE LA REPÚBLICA</w:t>
      </w: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CONSIDERANDO: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el Artículo 68 de la Constitución Política del Perú dispone que el Estado está obligado a promover la conservación de la diversidad biológica y de las áreas naturales protegidas;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la Ley Nº 26834 - Ley de Áreas Naturales Protegidas, reconoce la condición de Patrimonio de la Nación y de Dominio Público de dichas áreas, resultando necesario aprobar sus normas reglamentarias a fin de garantizar su conservación;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el presente Reglamento es el resultado de un amplio proceso participativo y consensuado, a partir de su prepublicación en el Diario Oficial El Peruano de fecha 17 de julio de 1998 habiéndose recibido durante el tiempo transcurrido, observaciones y sugerencias de instituciones públicas y privadas y de organizaciones de la sociedad civil vinculadas a la gestión de las Áreas Naturales Protegidas, reeditándose el amplio proceso de consultas que fue una de las bases para la elaboración y posterior publicación de la Estrategia Nacional de las Areas Naturales Protegidas - Plan Director, aprobada mediante Decreto Supremo Nº 010-99-AG;</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el Reglamento propuesto, consolida el marco conceptual y normativo para que el desarrollo de las Áreas Naturales Protegidas, contribuya al logro de beneficios sociales, económicos, ambientales, educativos y culturales de los pobladores locales comprendidos en su ámbito.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el Reglamento de las Ley de Áreas Naturales Protegidas promueve el desarrollo de alianzas estratégicas con las poblaciones locales en particular con las comunidades campesinas y nativas sobre la base del respeto a los derechos legítimos, así como a sus sistemas de organización social y económica, los que deben ejercerse en concordancia con los objetivos y fines de las ANP y en armonía con las propuestas de la Mesa de Diálogo establecida mediante Decreto Supremo Nº 015-2001-PCM que constituyó la Comisión Especial Multisectorial para las Comunidades Nativas;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conforme a lo dispuesto en la Primera Disposición Transitoria de la Ley Nº 26834, su Reglamento debe ser aprobado mediante Decreto Supremo refrendado por los Ministros de Agricultura y Pesquería;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De conformidad con el inciso 8) del Artículo 118 de la Constitución Política del Perú;</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DECRETA:</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1.-</w:t>
      </w:r>
      <w:r w:rsidRPr="006312E8">
        <w:rPr>
          <w:rFonts w:ascii="Arial" w:eastAsia="Calibri" w:hAnsi="Arial" w:cs="Arial"/>
          <w:lang w:val="es-ES"/>
        </w:rPr>
        <w:t xml:space="preserve"> Apruébase el Reglamento de la Ley de Áreas Naturales Protegidas, que consta de cinco (5) Títulos, diecisiete (17) Capítulos, ciento ochentinueve (189) Artículos, doce (12) Disposiciones Complementarias, Finales y Transitorias y un Anexo.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2.-</w:t>
      </w:r>
      <w:r w:rsidRPr="006312E8">
        <w:rPr>
          <w:rFonts w:ascii="Arial" w:eastAsia="Calibri" w:hAnsi="Arial" w:cs="Arial"/>
          <w:lang w:val="es-ES"/>
        </w:rPr>
        <w:t xml:space="preserve"> Derógase el Reglamento de Unidades de Conservación, aprobado por Decreto Supremo Nº 160-77-AG, y las demás disposiciones legales que se opongan a lo dispuesto por el presente Reglamento.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Artículo 3.-</w:t>
      </w:r>
      <w:r w:rsidRPr="006312E8">
        <w:rPr>
          <w:rFonts w:ascii="Arial" w:eastAsia="Calibri" w:hAnsi="Arial" w:cs="Arial"/>
          <w:lang w:val="es-ES"/>
        </w:rPr>
        <w:t xml:space="preserve"> El presente Decreto Supremo será refrendado por el Ministro de Agricultura, por el Ministro de Pesquería y por el Ministro de Energía y Minas, y entrará en vigencia al día siguiente de su publicación en el Diario Oficial El Peruano.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Dado en la Casa de Gobierno, en Lima, a los veintidós días del mes de junio del año dos mil uno.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b/>
        <w:t>VALENTIN PANIAGUA CORAZAO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Presidente Constitucional de la República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b/>
        <w:t>CARLOS AMAT Y LEON</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Ministro de Agricultura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b/>
        <w:t>LUDWIG MEIER CORNEJO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Ministro de Pesquería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b/>
        <w:t>CARLOS HERRERA DESCALZI</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Ministro de Energía y Minas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sz w:val="24"/>
          <w:szCs w:val="24"/>
          <w:lang w:val="es-ES"/>
        </w:rPr>
      </w:pPr>
      <w:r w:rsidRPr="006312E8">
        <w:rPr>
          <w:rFonts w:ascii="Arial" w:eastAsia="Calibri" w:hAnsi="Arial" w:cs="Arial"/>
          <w:b/>
          <w:sz w:val="24"/>
          <w:szCs w:val="24"/>
          <w:lang w:val="es-ES"/>
        </w:rPr>
        <w:t>REGLAMENTO DE LA LEY DE AREAS NATURALES PROTEGIDAS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TITULO PRIMERO</w:t>
      </w:r>
    </w:p>
    <w:p w:rsidR="006312E8" w:rsidRPr="006312E8" w:rsidRDefault="006312E8" w:rsidP="006312E8">
      <w:pPr>
        <w:spacing w:after="0" w:line="240" w:lineRule="auto"/>
        <w:contextualSpacing/>
        <w:jc w:val="center"/>
        <w:rPr>
          <w:rFonts w:ascii="Arial" w:eastAsia="Calibri" w:hAnsi="Arial" w:cs="Arial"/>
          <w:b/>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DISPOSICIONES GENERALES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w:t>
      </w: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 Areas Naturales Protegidas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137"/>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Las Areas Naturales Protegidas son los espacios continentales y/o marinos del territorio nacional reconocidos, establecidos y protegidos legalmente por el Estado como tales, debido a su importancia para la conservación de la diversidad biológica y demás valores asociados de interés cultural, paisajístico y científico, así como por su contribución al desarrollo sostenible del país.</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92471C">
      <w:pPr>
        <w:numPr>
          <w:ilvl w:val="1"/>
          <w:numId w:val="137"/>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Las Areas Naturales Protegidas constituyen Patrimonio de la Nación y son de Dominio Público por lo que la propiedad sobre ellas, en todo o en parte, no puede ser transferida a particulares. Su condición natural es mantenida a perpetuidad. Puede permitirse el uso regulado de las mismas y el aprovechamiento de los recursos ubicados en ellas, o determinarse la restricción de los usos directos.</w:t>
      </w:r>
    </w:p>
    <w:p w:rsidR="006312E8" w:rsidRPr="006312E8" w:rsidRDefault="006312E8" w:rsidP="006312E8">
      <w:pPr>
        <w:spacing w:after="0" w:line="240" w:lineRule="auto"/>
        <w:ind w:left="180"/>
        <w:jc w:val="both"/>
        <w:rPr>
          <w:rFonts w:ascii="Arial" w:eastAsia="Calibri" w:hAnsi="Arial" w:cs="Arial"/>
          <w:b/>
          <w:color w:val="4F6228"/>
          <w:sz w:val="16"/>
          <w:szCs w:val="16"/>
        </w:rPr>
      </w:pPr>
    </w:p>
    <w:p w:rsidR="006312E8" w:rsidRPr="006312E8" w:rsidRDefault="006312E8" w:rsidP="006312E8">
      <w:pPr>
        <w:spacing w:after="0" w:line="240" w:lineRule="auto"/>
        <w:ind w:left="180"/>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6312E8">
      <w:pPr>
        <w:numPr>
          <w:ilvl w:val="0"/>
          <w:numId w:val="9"/>
        </w:numPr>
        <w:spacing w:after="0" w:line="240" w:lineRule="auto"/>
        <w:contextualSpacing/>
        <w:jc w:val="both"/>
        <w:rPr>
          <w:rFonts w:ascii="Arial" w:eastAsia="Calibri" w:hAnsi="Arial" w:cs="Arial"/>
          <w:b/>
          <w:color w:val="4F6228"/>
          <w:sz w:val="16"/>
          <w:szCs w:val="16"/>
        </w:rPr>
      </w:pPr>
      <w:hyperlink w:anchor="DS007" w:history="1">
        <w:r w:rsidR="006312E8" w:rsidRPr="006312E8">
          <w:rPr>
            <w:rFonts w:ascii="Arial" w:eastAsia="Calibri" w:hAnsi="Arial" w:cs="Arial"/>
            <w:b/>
            <w:color w:val="4F6228"/>
            <w:sz w:val="16"/>
            <w:szCs w:val="16"/>
          </w:rPr>
          <w:t>Decreto Supremo Nº  007-2008-VIVIENDA</w:t>
        </w:r>
      </w:hyperlink>
      <w:r w:rsidR="006312E8" w:rsidRPr="006312E8">
        <w:rPr>
          <w:rFonts w:ascii="Arial" w:eastAsia="Calibri" w:hAnsi="Arial" w:cs="Arial"/>
          <w:color w:val="4F6228"/>
          <w:sz w:val="16"/>
          <w:szCs w:val="16"/>
        </w:rPr>
        <w:t xml:space="preserve"> - </w:t>
      </w:r>
      <w:r w:rsidR="006312E8" w:rsidRPr="006312E8">
        <w:rPr>
          <w:rFonts w:ascii="Arial" w:eastAsia="Calibri" w:hAnsi="Arial" w:cs="Arial"/>
          <w:b/>
          <w:color w:val="4F6228"/>
          <w:sz w:val="16"/>
          <w:szCs w:val="16"/>
        </w:rPr>
        <w:t>Reglamento de la Ley Nº 29151 (art. 2, numeral 2.2, literal a)</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92471C">
      <w:pPr>
        <w:numPr>
          <w:ilvl w:val="1"/>
          <w:numId w:val="137"/>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La administración de las Areas Naturales Protegidas considera la importancia de la presencia del ser humano, sus procesos sociales, sus necesidades de manera individual y colectiva, así como el respeto a los usos tradicionales de las comunidades campesinas o nativas en el ámbito del Área Natural Protegida, en armonía con sus objetivos y fines de creación.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w:t>
      </w:r>
    </w:p>
    <w:p w:rsidR="006312E8" w:rsidRPr="006312E8" w:rsidRDefault="006312E8" w:rsidP="006312E8">
      <w:pPr>
        <w:spacing w:after="0" w:line="240" w:lineRule="auto"/>
        <w:contextualSpacing/>
        <w:jc w:val="center"/>
        <w:rPr>
          <w:rFonts w:ascii="Arial" w:eastAsia="Calibri" w:hAnsi="Arial" w:cs="Arial"/>
          <w:b/>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CAPITULO VI</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DEL DOMINIO DE LAS AREAS NATURALES PROTEGIDAS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Artículo 44.- De los derechos de propiedad y posesión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993" w:hanging="709"/>
        <w:jc w:val="both"/>
        <w:rPr>
          <w:rFonts w:ascii="Arial" w:eastAsia="Calibri" w:hAnsi="Arial" w:cs="Arial"/>
          <w:lang w:val="es-ES"/>
        </w:rPr>
      </w:pPr>
      <w:r w:rsidRPr="006312E8">
        <w:rPr>
          <w:rFonts w:ascii="Arial" w:eastAsia="Calibri" w:hAnsi="Arial" w:cs="Arial"/>
          <w:lang w:val="es-ES"/>
        </w:rPr>
        <w:t xml:space="preserve">44.1 </w:t>
      </w:r>
      <w:r w:rsidRPr="006312E8">
        <w:rPr>
          <w:rFonts w:ascii="Arial" w:eastAsia="Calibri" w:hAnsi="Arial" w:cs="Arial"/>
          <w:lang w:val="es-ES"/>
        </w:rPr>
        <w:tab/>
        <w:t>El ejercicio del derecho de propiedad preexistente a la creación de un Área Natural Protegida debe ser compatible con su carácter de Patrimonio de la Nación.</w:t>
      </w:r>
    </w:p>
    <w:p w:rsidR="006312E8" w:rsidRPr="006312E8" w:rsidRDefault="006312E8" w:rsidP="006312E8">
      <w:pPr>
        <w:spacing w:after="0" w:line="240" w:lineRule="auto"/>
        <w:ind w:left="993" w:hanging="709"/>
        <w:contextualSpacing/>
        <w:jc w:val="both"/>
        <w:rPr>
          <w:rFonts w:ascii="Arial" w:eastAsia="Calibri" w:hAnsi="Arial" w:cs="Arial"/>
          <w:lang w:val="es-ES"/>
        </w:rPr>
      </w:pPr>
    </w:p>
    <w:p w:rsidR="006312E8" w:rsidRPr="006312E8" w:rsidRDefault="006312E8" w:rsidP="006312E8">
      <w:pPr>
        <w:spacing w:after="0" w:line="240" w:lineRule="auto"/>
        <w:ind w:left="993" w:hanging="709"/>
        <w:contextualSpacing/>
        <w:jc w:val="both"/>
        <w:rPr>
          <w:rFonts w:ascii="Arial" w:eastAsia="Calibri" w:hAnsi="Arial" w:cs="Arial"/>
          <w:lang w:val="es-ES"/>
        </w:rPr>
      </w:pPr>
    </w:p>
    <w:p w:rsidR="006312E8" w:rsidRPr="006312E8" w:rsidRDefault="006312E8" w:rsidP="006312E8">
      <w:pPr>
        <w:spacing w:after="0" w:line="240" w:lineRule="auto"/>
        <w:ind w:left="993" w:hanging="709"/>
        <w:jc w:val="both"/>
        <w:rPr>
          <w:rFonts w:ascii="Arial" w:eastAsia="Calibri" w:hAnsi="Arial" w:cs="Arial"/>
          <w:lang w:val="es-ES"/>
        </w:rPr>
      </w:pPr>
      <w:r w:rsidRPr="006312E8">
        <w:rPr>
          <w:rFonts w:ascii="Arial" w:eastAsia="Calibri" w:hAnsi="Arial" w:cs="Arial"/>
          <w:lang w:val="es-ES"/>
        </w:rPr>
        <w:t xml:space="preserve">44.2 </w:t>
      </w:r>
      <w:r w:rsidRPr="006312E8">
        <w:rPr>
          <w:rFonts w:ascii="Arial" w:eastAsia="Calibri" w:hAnsi="Arial" w:cs="Arial"/>
          <w:lang w:val="es-ES"/>
        </w:rPr>
        <w:tab/>
        <w:t>En todos los casos se respetan las disposiciones señaladas en los Artículos 53 y 54 del Código del Medio Ambiente y los Recursos Naturales - Decreto Legislativo Nº 613.</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Artículo 45.- Inscripción registral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993" w:hanging="709"/>
        <w:contextualSpacing/>
        <w:jc w:val="both"/>
        <w:rPr>
          <w:rFonts w:ascii="Arial" w:eastAsia="Calibri" w:hAnsi="Arial" w:cs="Arial"/>
          <w:lang w:val="es-ES"/>
        </w:rPr>
      </w:pPr>
      <w:r w:rsidRPr="006312E8">
        <w:rPr>
          <w:rFonts w:ascii="Arial" w:eastAsia="Calibri" w:hAnsi="Arial" w:cs="Arial"/>
          <w:lang w:val="es-ES"/>
        </w:rPr>
        <w:t xml:space="preserve">45.1 </w:t>
      </w:r>
      <w:r w:rsidRPr="006312E8">
        <w:rPr>
          <w:rFonts w:ascii="Arial" w:eastAsia="Calibri" w:hAnsi="Arial" w:cs="Arial"/>
          <w:lang w:val="es-ES"/>
        </w:rPr>
        <w:tab/>
        <w:t>Para la inscripción de las Areas Naturales Protegidas como Patrimonio de la Nación a nombre del Estado Peruano - INRENA, en el Registro correspondiente, basta que el INRENA presente la solicitud o formulario registral debidamente suscrito por el Director General o el Jefe del Área Natural Protegida correspondiente, en un documentó cartográfico del predio en coordenadas Universal Transversal Mercator (UTM) y copia simple de la norma de creación del Area Natural Protegida.</w:t>
      </w:r>
    </w:p>
    <w:p w:rsidR="006312E8" w:rsidRPr="006312E8" w:rsidRDefault="006312E8" w:rsidP="006312E8">
      <w:pPr>
        <w:spacing w:after="0" w:line="240" w:lineRule="auto"/>
        <w:ind w:left="993" w:hanging="709"/>
        <w:contextualSpacing/>
        <w:jc w:val="both"/>
        <w:rPr>
          <w:rFonts w:ascii="Arial" w:eastAsia="Calibri" w:hAnsi="Arial" w:cs="Arial"/>
          <w:lang w:val="es-ES"/>
        </w:rPr>
      </w:pPr>
    </w:p>
    <w:p w:rsidR="006312E8" w:rsidRPr="006312E8" w:rsidRDefault="006312E8" w:rsidP="006312E8">
      <w:pPr>
        <w:spacing w:after="0" w:line="240" w:lineRule="auto"/>
        <w:ind w:left="993" w:hanging="709"/>
        <w:contextualSpacing/>
        <w:jc w:val="both"/>
        <w:rPr>
          <w:rFonts w:ascii="Arial" w:eastAsia="Calibri" w:hAnsi="Arial" w:cs="Arial"/>
          <w:lang w:val="es-ES"/>
        </w:rPr>
      </w:pPr>
      <w:r w:rsidRPr="006312E8">
        <w:rPr>
          <w:rFonts w:ascii="Arial" w:eastAsia="Calibri" w:hAnsi="Arial" w:cs="Arial"/>
          <w:lang w:val="es-ES"/>
        </w:rPr>
        <w:t xml:space="preserve">45.2 </w:t>
      </w:r>
      <w:r w:rsidRPr="006312E8">
        <w:rPr>
          <w:rFonts w:ascii="Arial" w:eastAsia="Calibri" w:hAnsi="Arial" w:cs="Arial"/>
          <w:lang w:val="es-ES"/>
        </w:rPr>
        <w:tab/>
        <w:t>Los Registradores Públicos realizan las inscripciones correspondientes, a sólo mérito de la presentación de la solicitud e instrumento legal que la sustenta, bajo responsabilidad.</w:t>
      </w:r>
    </w:p>
    <w:p w:rsidR="006312E8" w:rsidRPr="006312E8" w:rsidRDefault="006312E8" w:rsidP="006312E8">
      <w:pPr>
        <w:spacing w:after="0" w:line="240" w:lineRule="auto"/>
        <w:ind w:left="993" w:hanging="709"/>
        <w:contextualSpacing/>
        <w:jc w:val="both"/>
        <w:rPr>
          <w:rFonts w:ascii="Arial" w:eastAsia="Calibri" w:hAnsi="Arial" w:cs="Arial"/>
          <w:lang w:val="es-ES"/>
        </w:rPr>
      </w:pPr>
    </w:p>
    <w:p w:rsidR="006312E8" w:rsidRPr="006312E8" w:rsidRDefault="006312E8" w:rsidP="006312E8">
      <w:pPr>
        <w:spacing w:after="0" w:line="240" w:lineRule="auto"/>
        <w:ind w:left="993" w:hanging="709"/>
        <w:contextualSpacing/>
        <w:jc w:val="both"/>
        <w:rPr>
          <w:rFonts w:ascii="Arial" w:eastAsia="Calibri" w:hAnsi="Arial" w:cs="Arial"/>
          <w:lang w:val="es-ES"/>
        </w:rPr>
      </w:pPr>
      <w:r w:rsidRPr="006312E8">
        <w:rPr>
          <w:rFonts w:ascii="Arial" w:eastAsia="Calibri" w:hAnsi="Arial" w:cs="Arial"/>
          <w:lang w:val="es-ES"/>
        </w:rPr>
        <w:t xml:space="preserve">45.3 </w:t>
      </w:r>
      <w:r w:rsidRPr="006312E8">
        <w:rPr>
          <w:rFonts w:ascii="Arial" w:eastAsia="Calibri" w:hAnsi="Arial" w:cs="Arial"/>
          <w:lang w:val="es-ES"/>
        </w:rPr>
        <w:tab/>
        <w:t>No se desconoce el derecho de posesión previamente adquirido al establecimiento de un Area Natural Protegida, pero no procede la adquisición de la propiedad por prescripción.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Artículo 46.- Limitaciones y restricciones de uso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993" w:hanging="709"/>
        <w:contextualSpacing/>
        <w:jc w:val="both"/>
        <w:rPr>
          <w:rFonts w:ascii="Arial" w:eastAsia="Calibri" w:hAnsi="Arial" w:cs="Arial"/>
          <w:lang w:val="es-ES"/>
        </w:rPr>
      </w:pPr>
      <w:r w:rsidRPr="006312E8">
        <w:rPr>
          <w:rFonts w:ascii="Arial" w:eastAsia="Calibri" w:hAnsi="Arial" w:cs="Arial"/>
          <w:lang w:val="es-ES"/>
        </w:rPr>
        <w:t xml:space="preserve">46.1 </w:t>
      </w:r>
      <w:r w:rsidRPr="006312E8">
        <w:rPr>
          <w:rFonts w:ascii="Arial" w:eastAsia="Calibri" w:hAnsi="Arial" w:cs="Arial"/>
          <w:lang w:val="es-ES"/>
        </w:rPr>
        <w:tab/>
        <w:t>Las limitaciones y restricciones al uso de predios de propiedad privada ubicados al interior de un Area Natural Protegida, cuya existencia es posterior a la propiedad, son establecidas en el dispositivo legal de su creación, en el respectivo Plan Maestro o mediante Resolución Jefatural específica del INRENA. En este último caso se debe tomar en consideración la categoría del Area Natural Protegida, la situación legal del titular y el contenido de los instrumentos de planificación.</w:t>
      </w:r>
    </w:p>
    <w:p w:rsidR="006312E8" w:rsidRPr="006312E8" w:rsidRDefault="006312E8" w:rsidP="006312E8">
      <w:pPr>
        <w:spacing w:after="0" w:line="240" w:lineRule="auto"/>
        <w:ind w:left="993" w:hanging="709"/>
        <w:contextualSpacing/>
        <w:jc w:val="both"/>
        <w:rPr>
          <w:rFonts w:ascii="Arial" w:eastAsia="Calibri" w:hAnsi="Arial" w:cs="Arial"/>
          <w:lang w:val="es-ES"/>
        </w:rPr>
      </w:pPr>
    </w:p>
    <w:p w:rsidR="006312E8" w:rsidRPr="006312E8" w:rsidRDefault="006312E8" w:rsidP="006312E8">
      <w:pPr>
        <w:spacing w:after="0" w:line="240" w:lineRule="auto"/>
        <w:ind w:left="993" w:hanging="709"/>
        <w:contextualSpacing/>
        <w:jc w:val="both"/>
        <w:rPr>
          <w:rFonts w:ascii="Arial" w:eastAsia="Calibri" w:hAnsi="Arial" w:cs="Arial"/>
          <w:lang w:val="es-ES"/>
        </w:rPr>
      </w:pPr>
      <w:r w:rsidRPr="006312E8">
        <w:rPr>
          <w:rFonts w:ascii="Arial" w:eastAsia="Calibri" w:hAnsi="Arial" w:cs="Arial"/>
          <w:lang w:val="es-ES"/>
        </w:rPr>
        <w:t xml:space="preserve">46.2 </w:t>
      </w:r>
      <w:r w:rsidRPr="006312E8">
        <w:rPr>
          <w:rFonts w:ascii="Arial" w:eastAsia="Calibri" w:hAnsi="Arial" w:cs="Arial"/>
          <w:lang w:val="es-ES"/>
        </w:rPr>
        <w:tab/>
        <w:t>No se permite el establecimiento de nuevos asentamientos humanos dentro de las Areas Naturales Protegidas posteriores a su creación.</w:t>
      </w:r>
    </w:p>
    <w:p w:rsidR="006312E8" w:rsidRPr="006312E8" w:rsidRDefault="006312E8" w:rsidP="006312E8">
      <w:pPr>
        <w:spacing w:after="0" w:line="240" w:lineRule="auto"/>
        <w:ind w:left="993" w:hanging="709"/>
        <w:contextualSpacing/>
        <w:jc w:val="both"/>
        <w:rPr>
          <w:rFonts w:ascii="Arial" w:eastAsia="Calibri" w:hAnsi="Arial" w:cs="Arial"/>
          <w:lang w:val="es-ES"/>
        </w:rPr>
      </w:pPr>
    </w:p>
    <w:p w:rsidR="006312E8" w:rsidRPr="006312E8" w:rsidRDefault="006312E8" w:rsidP="006312E8">
      <w:pPr>
        <w:spacing w:after="0" w:line="240" w:lineRule="auto"/>
        <w:ind w:left="993" w:hanging="709"/>
        <w:contextualSpacing/>
        <w:jc w:val="both"/>
        <w:rPr>
          <w:rFonts w:ascii="Arial" w:eastAsia="Calibri" w:hAnsi="Arial" w:cs="Arial"/>
          <w:lang w:val="es-ES"/>
        </w:rPr>
      </w:pPr>
      <w:r w:rsidRPr="006312E8">
        <w:rPr>
          <w:rFonts w:ascii="Arial" w:eastAsia="Calibri" w:hAnsi="Arial" w:cs="Arial"/>
          <w:lang w:val="es-ES"/>
        </w:rPr>
        <w:t xml:space="preserve">46.3 </w:t>
      </w:r>
      <w:r w:rsidRPr="006312E8">
        <w:rPr>
          <w:rFonts w:ascii="Arial" w:eastAsia="Calibri" w:hAnsi="Arial" w:cs="Arial"/>
          <w:lang w:val="es-ES"/>
        </w:rPr>
        <w:tab/>
        <w:t>Son inscribibles las limitaciones y restricciones de uso sobre derechos que consten en cualquier registro público.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47.- Opción de compra</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En caso de venta de predios privados al interior de un área natural protegida, el propietario deberá otorgar una primera opción de compra al Estado, mediante carta notarial a la Jefatura del Area, por un plazo no menor a sesenta (60) días. En caso que el Estado no ejerza la opción de compra, siempre le corresponderá el derecho de retracto, de acuerdo al Artículo 5 de la Ley Nº 26834.</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F47618">
      <w:pPr>
        <w:pStyle w:val="TITO2"/>
      </w:pPr>
      <w:bookmarkStart w:id="468" w:name="_Toc392856264"/>
      <w:bookmarkStart w:id="469" w:name="_Toc399335535"/>
      <w:bookmarkStart w:id="470" w:name="_Toc421025482"/>
      <w:bookmarkStart w:id="471" w:name="_Toc470855589"/>
      <w:bookmarkStart w:id="472" w:name="DS0602013"/>
      <w:r w:rsidRPr="006312E8">
        <w:t>DECRETO SUPREMO Nº 060-2013-PCM</w:t>
      </w:r>
      <w:bookmarkEnd w:id="468"/>
      <w:bookmarkEnd w:id="469"/>
      <w:bookmarkEnd w:id="470"/>
      <w:bookmarkEnd w:id="471"/>
    </w:p>
    <w:bookmarkEnd w:id="472"/>
    <w:p w:rsidR="006312E8" w:rsidRPr="006312E8" w:rsidRDefault="006312E8" w:rsidP="006312E8">
      <w:pPr>
        <w:spacing w:after="0" w:line="240" w:lineRule="auto"/>
        <w:contextualSpacing/>
        <w:jc w:val="center"/>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Aprueban disposiciones especiales para la ejecución de procedimientos administrativos y otras medidas para impulsar proyectos de inversión pública y privada</w:t>
      </w:r>
    </w:p>
    <w:p w:rsidR="006312E8" w:rsidRPr="006312E8" w:rsidRDefault="006312E8" w:rsidP="006312E8">
      <w:pPr>
        <w:spacing w:after="0" w:line="240" w:lineRule="auto"/>
        <w:contextualSpacing/>
        <w:jc w:val="center"/>
        <w:rPr>
          <w:rFonts w:ascii="Arial" w:eastAsia="Calibri" w:hAnsi="Arial" w:cs="Arial"/>
          <w:b/>
          <w:lang w:val="es-ES"/>
        </w:rPr>
      </w:pPr>
    </w:p>
    <w:p w:rsidR="006312E8" w:rsidRPr="006312E8" w:rsidRDefault="006312E8" w:rsidP="006312E8">
      <w:pPr>
        <w:spacing w:after="0" w:line="240" w:lineRule="auto"/>
        <w:contextualSpacing/>
        <w:jc w:val="right"/>
        <w:rPr>
          <w:rFonts w:ascii="Arial" w:eastAsia="Calibri" w:hAnsi="Arial" w:cs="Arial"/>
          <w:b/>
          <w:lang w:val="es-ES"/>
        </w:rPr>
      </w:pPr>
      <w:r w:rsidRPr="006312E8">
        <w:rPr>
          <w:rFonts w:ascii="Arial" w:eastAsia="Calibri" w:hAnsi="Arial" w:cs="Arial"/>
          <w:b/>
          <w:lang w:val="es-ES"/>
        </w:rPr>
        <w:t>Fecha de publicación: 25-05-2013</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EL PRESIDENTE DE LA REPÚBLICA</w:t>
      </w: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CONSIDERANDO: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el Gobierno Nacional, Gobiernos Regionales y Gobiernos Locales deben ejecutar proyectos de inversión en materia de construcción y mejoramiento de carreteras, infraestructura educativa, infraestructura de salud, saneamiento, masificación de gas, electrificación rural, pequeñas y medianas irrigaciones, industria, comercio y pesquería para reducir los índices de pobreza y marginalidad existentes en las zonas bajo su ámbito, y lograr un mayor dinamismo en la economía;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asimismo, el Estado a través de sus distintos niveles de Gobierno, promueve la participación de la inversión privada directa; así como también promueve las Asociaciones Público Privadas para el desarrollo de infraestructura pública y de servicios públicos, bajo los mecanismos y procedimientos establecidos en la normatividad vigente;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de acuerdo a lo señalado en los considerandos precedentes, es necesario que se ejecuten proyectos de inversión pública y privada en materia de vivienda, construcción, minería, infraestructura de transportes, educación, saneamiento, salud infraestructura agraria, energía, infraestructura de industria, comercio y pesquería necesarias para la atención inmediata de la población, así como las concesiones de obras públicas de infraestructura y de servicios públicos, por lo que resulta necesario dictar las disposiciones que permitan la ejecución de los mencionados proyectos;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en el marco del principio de celeridad consagrado en el numeral 1.9 del Artículo IV del Título Preliminar de la Ley Nº 27444, Ley del Procedimiento Administrativo General, quienes participan en el procedimiento deben ajustar su actuación de tal modo que se dote al trámite de la máxima dinámica posible, evitando actuaciones procesales que dificulten su desenvolvimiento o constituyan meros formalismos, a fin de alcanzar una decisión en tiempo razonable, sin que ello releve a las autoridades del respeto al debido procedimiento o vulnere el ordenamiento, ni las competencias de los sectores involucrados;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resulta necesario se aprueben disposiciones especiales, complementarias al Decreto Supremo Nº 054-2013-PCM con el objetivo de reducir los plazos de los procedimientos necesarios para la ejecución de los proyectos de inversión a efecto de implementarlos con mayor celeridad y menores costos, beneficiando con ello a la población en general;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De conformidad con lo dispuesto en el numeral 8) del artículo 118 de la Constitución Política del Perú y el numeral 3 del artículo 11 de la Ley Nº 29158, Ley Orgánica del Poder Ejecutivo;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DECRETA:</w:t>
      </w: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 Objeto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 presente norma tiene por objeto aprobar disposiciones especiales para agilizar la ejecución de proyectos de inversión pública y privada.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2.- Disposiciones para la aprobación de los Estudios Ambientales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Para la tramitación del procedimiento administrativo orientado a la aprobación de Estudios Ambientales se deberá cumplir con lo siguiente: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567" w:hanging="425"/>
        <w:contextualSpacing/>
        <w:jc w:val="both"/>
        <w:rPr>
          <w:rFonts w:ascii="Arial" w:eastAsia="Calibri" w:hAnsi="Arial" w:cs="Arial"/>
          <w:lang w:val="es-ES"/>
        </w:rPr>
      </w:pPr>
      <w:r w:rsidRPr="006312E8">
        <w:rPr>
          <w:rFonts w:ascii="Arial" w:eastAsia="Calibri" w:hAnsi="Arial" w:cs="Arial"/>
          <w:lang w:val="es-ES"/>
        </w:rPr>
        <w:t>2.1.</w:t>
      </w:r>
      <w:r w:rsidRPr="006312E8">
        <w:rPr>
          <w:rFonts w:ascii="Arial" w:eastAsia="Calibri" w:hAnsi="Arial" w:cs="Arial"/>
          <w:lang w:val="es-ES"/>
        </w:rPr>
        <w:tab/>
        <w:t>En un plazo de veinte (20) días hábiles contados desde la vigencia del presente dispositivo, las entidades públicas que intervienen en el procedimiento para la evaluación de los Estudios de Impacto Ambiental Detallados y Semidetallados, deberán aprobar conjuntamente términos de referencia para proyectos con características comunes, los mismos que deberán ser utilizados por el administrado para la elaboración de los Estudios de Impacto Ambiental referidos. La aprobación será efectuada mediante Resolución Ministerial publicada en el Diario Oficial El Peruano y en el portal electrónico de las entidades públicas involucradas.</w:t>
      </w:r>
    </w:p>
    <w:p w:rsidR="006312E8" w:rsidRPr="006312E8" w:rsidRDefault="006312E8" w:rsidP="006312E8">
      <w:pPr>
        <w:spacing w:after="0" w:line="240" w:lineRule="auto"/>
        <w:ind w:left="567" w:hanging="425"/>
        <w:contextualSpacing/>
        <w:jc w:val="both"/>
        <w:rPr>
          <w:rFonts w:ascii="Arial" w:eastAsia="Calibri" w:hAnsi="Arial" w:cs="Arial"/>
          <w:lang w:val="es-ES"/>
        </w:rPr>
      </w:pPr>
    </w:p>
    <w:p w:rsidR="006312E8" w:rsidRPr="006312E8" w:rsidRDefault="006312E8" w:rsidP="006312E8">
      <w:pPr>
        <w:spacing w:after="0" w:line="240" w:lineRule="auto"/>
        <w:ind w:left="567" w:hanging="425"/>
        <w:contextualSpacing/>
        <w:jc w:val="both"/>
        <w:rPr>
          <w:rFonts w:ascii="Arial" w:eastAsia="Calibri" w:hAnsi="Arial" w:cs="Arial"/>
          <w:lang w:val="es-ES"/>
        </w:rPr>
      </w:pPr>
      <w:r w:rsidRPr="006312E8">
        <w:rPr>
          <w:rFonts w:ascii="Arial" w:eastAsia="Calibri" w:hAnsi="Arial" w:cs="Arial"/>
          <w:lang w:val="es-ES"/>
        </w:rPr>
        <w:tab/>
        <w:t>Para dicho fin, la autoridad ambiental competente remitirá a las entidades públicas que emiten opinión vinculante y no vinculante la propuesta de términos de referencia para proyectos con características comunes para su opinión, quienes deberán pronunciarse en un plazo máximo de cinco (05) días hábiles, sin que dicho plazo interrumpa o suspenda el señalado en el párrafo precedente.</w:t>
      </w:r>
    </w:p>
    <w:p w:rsidR="006312E8" w:rsidRPr="006312E8" w:rsidRDefault="006312E8" w:rsidP="006312E8">
      <w:pPr>
        <w:spacing w:after="0" w:line="240" w:lineRule="auto"/>
        <w:ind w:left="567" w:hanging="425"/>
        <w:contextualSpacing/>
        <w:jc w:val="both"/>
        <w:rPr>
          <w:rFonts w:ascii="Arial" w:eastAsia="Calibri" w:hAnsi="Arial" w:cs="Arial"/>
          <w:lang w:val="es-ES"/>
        </w:rPr>
      </w:pPr>
    </w:p>
    <w:p w:rsidR="006312E8" w:rsidRPr="006312E8" w:rsidRDefault="006312E8" w:rsidP="006312E8">
      <w:pPr>
        <w:spacing w:after="0" w:line="240" w:lineRule="auto"/>
        <w:ind w:left="567" w:hanging="425"/>
        <w:contextualSpacing/>
        <w:jc w:val="both"/>
        <w:rPr>
          <w:rFonts w:ascii="Arial" w:eastAsia="Calibri" w:hAnsi="Arial" w:cs="Arial"/>
          <w:lang w:val="es-ES"/>
        </w:rPr>
      </w:pPr>
      <w:r w:rsidRPr="006312E8">
        <w:rPr>
          <w:rFonts w:ascii="Arial" w:eastAsia="Calibri" w:hAnsi="Arial" w:cs="Arial"/>
          <w:lang w:val="es-ES"/>
        </w:rPr>
        <w:tab/>
        <w:t>La versión final de los términos de referencia consensuados será remitida al Ministerio del Ambiente para su conocimiento.</w:t>
      </w:r>
    </w:p>
    <w:p w:rsidR="006312E8" w:rsidRPr="006312E8" w:rsidRDefault="006312E8" w:rsidP="006312E8">
      <w:pPr>
        <w:spacing w:after="0" w:line="240" w:lineRule="auto"/>
        <w:ind w:left="567" w:hanging="425"/>
        <w:contextualSpacing/>
        <w:jc w:val="both"/>
        <w:rPr>
          <w:rFonts w:ascii="Arial" w:eastAsia="Calibri" w:hAnsi="Arial" w:cs="Arial"/>
          <w:lang w:val="es-ES"/>
        </w:rPr>
      </w:pPr>
    </w:p>
    <w:p w:rsidR="006312E8" w:rsidRPr="006312E8" w:rsidRDefault="006312E8" w:rsidP="006312E8">
      <w:pPr>
        <w:spacing w:after="0" w:line="240" w:lineRule="auto"/>
        <w:ind w:left="567" w:hanging="425"/>
        <w:contextualSpacing/>
        <w:jc w:val="both"/>
        <w:rPr>
          <w:rFonts w:ascii="Arial" w:eastAsia="Calibri" w:hAnsi="Arial" w:cs="Arial"/>
          <w:lang w:val="es-ES"/>
        </w:rPr>
      </w:pPr>
      <w:r w:rsidRPr="006312E8">
        <w:rPr>
          <w:rFonts w:ascii="Arial" w:eastAsia="Calibri" w:hAnsi="Arial" w:cs="Arial"/>
          <w:lang w:val="es-ES"/>
        </w:rPr>
        <w:tab/>
        <w:t>Los términos de referencia para proyectos con características comunes contienen la especificación de la estructura del estudio y la identificación de los aspectos respecto de los cuales deberá pronunciarse cada una de las entidades exclusivamente en el marco de sus competencias conforme a su Ley de Organización y Funciones, bajo responsabilidad.</w:t>
      </w:r>
    </w:p>
    <w:p w:rsidR="006312E8" w:rsidRPr="006312E8" w:rsidRDefault="006312E8" w:rsidP="006312E8">
      <w:pPr>
        <w:spacing w:after="0" w:line="240" w:lineRule="auto"/>
        <w:ind w:left="567" w:hanging="425"/>
        <w:contextualSpacing/>
        <w:jc w:val="both"/>
        <w:rPr>
          <w:rFonts w:ascii="Arial" w:eastAsia="Calibri" w:hAnsi="Arial" w:cs="Arial"/>
          <w:lang w:val="es-ES"/>
        </w:rPr>
      </w:pPr>
    </w:p>
    <w:p w:rsidR="006312E8" w:rsidRPr="006312E8" w:rsidRDefault="006312E8" w:rsidP="006312E8">
      <w:pPr>
        <w:spacing w:after="0" w:line="240" w:lineRule="auto"/>
        <w:ind w:left="567" w:hanging="425"/>
        <w:contextualSpacing/>
        <w:jc w:val="both"/>
        <w:rPr>
          <w:rFonts w:ascii="Arial" w:eastAsia="Calibri" w:hAnsi="Arial" w:cs="Arial"/>
          <w:lang w:val="es-ES"/>
        </w:rPr>
      </w:pPr>
      <w:r w:rsidRPr="006312E8">
        <w:rPr>
          <w:rFonts w:ascii="Arial" w:eastAsia="Calibri" w:hAnsi="Arial" w:cs="Arial"/>
          <w:lang w:val="es-ES"/>
        </w:rPr>
        <w:t xml:space="preserve">2.2 </w:t>
      </w:r>
      <w:r w:rsidRPr="006312E8">
        <w:rPr>
          <w:rFonts w:ascii="Arial" w:eastAsia="Calibri" w:hAnsi="Arial" w:cs="Arial"/>
          <w:lang w:val="es-ES"/>
        </w:rPr>
        <w:tab/>
        <w:t>De conformidad con lo dispuesto en la Ley Nº 27444, Ley del Procedimiento Administrativo General, las autoridades administrativas, funcionarios o servidores públicos, están prohibidos de efectuar requerimientos de información o subsanaciones a los Estudios Ambientales sobre materias o aspectos que no hayan sido observados previamente durante el proceso o en los términos de referencia. El incumplimiento de la citada disposición será considerada falta administrativa sancionable de conformidad con el artículo 239 de la Ley antes citada, sin perjuicio de lo dispuesto en los artículos 126 y 158 de la misma Ley.</w:t>
      </w:r>
    </w:p>
    <w:p w:rsidR="006312E8" w:rsidRPr="006312E8" w:rsidRDefault="006312E8" w:rsidP="006312E8">
      <w:pPr>
        <w:spacing w:after="0" w:line="240" w:lineRule="auto"/>
        <w:ind w:left="567" w:hanging="425"/>
        <w:contextualSpacing/>
        <w:jc w:val="both"/>
        <w:rPr>
          <w:rFonts w:ascii="Arial" w:eastAsia="Calibri" w:hAnsi="Arial" w:cs="Arial"/>
          <w:lang w:val="es-ES"/>
        </w:rPr>
      </w:pPr>
    </w:p>
    <w:p w:rsidR="006312E8" w:rsidRPr="006312E8" w:rsidRDefault="006312E8" w:rsidP="006312E8">
      <w:pPr>
        <w:spacing w:after="0" w:line="240" w:lineRule="auto"/>
        <w:ind w:left="567" w:hanging="425"/>
        <w:contextualSpacing/>
        <w:jc w:val="both"/>
        <w:rPr>
          <w:rFonts w:ascii="Arial" w:eastAsia="Calibri" w:hAnsi="Arial" w:cs="Arial"/>
          <w:lang w:val="es-ES"/>
        </w:rPr>
      </w:pPr>
      <w:r w:rsidRPr="006312E8">
        <w:rPr>
          <w:rFonts w:ascii="Arial" w:eastAsia="Calibri" w:hAnsi="Arial" w:cs="Arial"/>
          <w:lang w:val="es-ES"/>
        </w:rPr>
        <w:t xml:space="preserve">2.3 </w:t>
      </w:r>
      <w:r w:rsidRPr="006312E8">
        <w:rPr>
          <w:rFonts w:ascii="Arial" w:eastAsia="Calibri" w:hAnsi="Arial" w:cs="Arial"/>
          <w:lang w:val="es-ES"/>
        </w:rPr>
        <w:tab/>
        <w:t>Las diversas entidades que intervienen en el procedimiento para la aprobación de los Estudios Ambientales a través de informes u opiniones, vinculantes o no vinculantes, solo pueden pronunciarse sobre los aspectos de su competencia.</w:t>
      </w:r>
    </w:p>
    <w:p w:rsidR="006312E8" w:rsidRPr="006312E8" w:rsidRDefault="006312E8" w:rsidP="006312E8">
      <w:pPr>
        <w:spacing w:after="0" w:line="240" w:lineRule="auto"/>
        <w:ind w:left="567" w:hanging="425"/>
        <w:contextualSpacing/>
        <w:jc w:val="both"/>
        <w:rPr>
          <w:rFonts w:ascii="Arial" w:eastAsia="Calibri" w:hAnsi="Arial" w:cs="Arial"/>
          <w:lang w:val="es-ES"/>
        </w:rPr>
      </w:pPr>
    </w:p>
    <w:p w:rsidR="006312E8" w:rsidRPr="006312E8" w:rsidRDefault="006312E8" w:rsidP="006312E8">
      <w:pPr>
        <w:spacing w:after="0" w:line="240" w:lineRule="auto"/>
        <w:ind w:left="567" w:hanging="425"/>
        <w:contextualSpacing/>
        <w:jc w:val="both"/>
        <w:rPr>
          <w:rFonts w:ascii="Arial" w:eastAsia="Calibri" w:hAnsi="Arial" w:cs="Arial"/>
          <w:lang w:val="es-ES"/>
        </w:rPr>
      </w:pPr>
      <w:r w:rsidRPr="006312E8">
        <w:rPr>
          <w:rFonts w:ascii="Arial" w:eastAsia="Calibri" w:hAnsi="Arial" w:cs="Arial"/>
          <w:lang w:val="es-ES"/>
        </w:rPr>
        <w:t xml:space="preserve">2.4 </w:t>
      </w:r>
      <w:r w:rsidRPr="006312E8">
        <w:rPr>
          <w:rFonts w:ascii="Arial" w:eastAsia="Calibri" w:hAnsi="Arial" w:cs="Arial"/>
          <w:lang w:val="es-ES"/>
        </w:rPr>
        <w:tab/>
        <w:t>La autoridad administrativa ante la cual se inicia el procedimiento está obligada a verificar que los requerimientos de información o de subsanación estén vinculados a las competencias de las entidades intervinientes y que correspondan a los términos de referencia comunes.</w:t>
      </w:r>
    </w:p>
    <w:p w:rsidR="006312E8" w:rsidRPr="006312E8" w:rsidRDefault="006312E8" w:rsidP="006312E8">
      <w:pPr>
        <w:spacing w:after="0" w:line="240" w:lineRule="auto"/>
        <w:ind w:left="567" w:hanging="425"/>
        <w:contextualSpacing/>
        <w:jc w:val="both"/>
        <w:rPr>
          <w:rFonts w:ascii="Arial" w:eastAsia="Calibri" w:hAnsi="Arial" w:cs="Arial"/>
          <w:lang w:val="es-ES"/>
        </w:rPr>
      </w:pPr>
    </w:p>
    <w:p w:rsidR="006312E8" w:rsidRPr="006312E8" w:rsidRDefault="006312E8" w:rsidP="006312E8">
      <w:pPr>
        <w:spacing w:after="0" w:line="240" w:lineRule="auto"/>
        <w:ind w:left="567" w:hanging="425"/>
        <w:contextualSpacing/>
        <w:jc w:val="both"/>
        <w:rPr>
          <w:rFonts w:ascii="Arial" w:eastAsia="Calibri" w:hAnsi="Arial" w:cs="Arial"/>
          <w:lang w:val="es-ES"/>
        </w:rPr>
      </w:pPr>
      <w:r w:rsidRPr="006312E8">
        <w:rPr>
          <w:rFonts w:ascii="Arial" w:eastAsia="Calibri" w:hAnsi="Arial" w:cs="Arial"/>
          <w:lang w:val="es-ES"/>
        </w:rPr>
        <w:t xml:space="preserve">2.5 </w:t>
      </w:r>
      <w:r w:rsidRPr="006312E8">
        <w:rPr>
          <w:rFonts w:ascii="Arial" w:eastAsia="Calibri" w:hAnsi="Arial" w:cs="Arial"/>
          <w:lang w:val="es-ES"/>
        </w:rPr>
        <w:tab/>
        <w:t>La no emisión de los informes considerados no vinculantes por parte de las entidades públicas que intervienen en el procedimiento en los plazos establecidos, no paralizan los trámites ni suspenden los pronunciamientos del sector a cargo de la evaluación.</w:t>
      </w:r>
    </w:p>
    <w:p w:rsidR="006312E8" w:rsidRPr="006312E8" w:rsidRDefault="006312E8" w:rsidP="006312E8">
      <w:pPr>
        <w:spacing w:after="0" w:line="240" w:lineRule="auto"/>
        <w:ind w:left="567" w:hanging="425"/>
        <w:contextualSpacing/>
        <w:jc w:val="both"/>
        <w:rPr>
          <w:rFonts w:ascii="Arial" w:eastAsia="Calibri" w:hAnsi="Arial" w:cs="Arial"/>
          <w:lang w:val="es-ES"/>
        </w:rPr>
      </w:pPr>
    </w:p>
    <w:p w:rsidR="006312E8" w:rsidRPr="006312E8" w:rsidRDefault="006312E8" w:rsidP="006312E8">
      <w:pPr>
        <w:spacing w:after="0" w:line="240" w:lineRule="auto"/>
        <w:ind w:left="567" w:hanging="425"/>
        <w:contextualSpacing/>
        <w:jc w:val="both"/>
        <w:rPr>
          <w:rFonts w:ascii="Arial" w:eastAsia="Calibri" w:hAnsi="Arial" w:cs="Arial"/>
          <w:lang w:val="es-ES"/>
        </w:rPr>
      </w:pPr>
      <w:r w:rsidRPr="006312E8">
        <w:rPr>
          <w:rFonts w:ascii="Arial" w:eastAsia="Calibri" w:hAnsi="Arial" w:cs="Arial"/>
          <w:lang w:val="es-ES"/>
        </w:rPr>
        <w:t xml:space="preserve">2.6 </w:t>
      </w:r>
      <w:r w:rsidRPr="006312E8">
        <w:rPr>
          <w:rFonts w:ascii="Arial" w:eastAsia="Calibri" w:hAnsi="Arial" w:cs="Arial"/>
          <w:lang w:val="es-ES"/>
        </w:rPr>
        <w:tab/>
        <w:t>El sector responsable de la aprobación de Estudios Ambientales, así como las entidades públicas que intervienen a través de informes u opiniones vinculantes o no vinculantes proporcionarán a los administrados, a través de su portal electrónico, información referida al estado del trámite de los expedientes de Estudios Ambientales.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1418" w:hanging="1418"/>
        <w:contextualSpacing/>
        <w:jc w:val="both"/>
        <w:rPr>
          <w:rFonts w:ascii="Arial" w:eastAsia="Calibri" w:hAnsi="Arial" w:cs="Arial"/>
          <w:b/>
          <w:lang w:val="es-ES"/>
        </w:rPr>
      </w:pPr>
      <w:r w:rsidRPr="006312E8">
        <w:rPr>
          <w:rFonts w:ascii="Arial" w:eastAsia="Calibri" w:hAnsi="Arial" w:cs="Arial"/>
          <w:b/>
          <w:lang w:val="es-ES"/>
        </w:rPr>
        <w:t xml:space="preserve">Artículo 3.- </w:t>
      </w:r>
      <w:r w:rsidRPr="006312E8">
        <w:rPr>
          <w:rFonts w:ascii="Arial" w:eastAsia="Calibri" w:hAnsi="Arial" w:cs="Arial"/>
          <w:b/>
          <w:lang w:val="es-ES"/>
        </w:rPr>
        <w:tab/>
        <w:t>Disposiciones específicas para los Estudios de Impacto Ambiental Detallados y Semidetallados en el Sector Energía y Minas.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116"/>
        </w:numPr>
        <w:spacing w:after="0" w:line="240" w:lineRule="auto"/>
        <w:ind w:left="567" w:hanging="425"/>
        <w:contextualSpacing/>
        <w:jc w:val="both"/>
        <w:rPr>
          <w:rFonts w:ascii="Arial" w:eastAsia="Calibri" w:hAnsi="Arial" w:cs="Arial"/>
          <w:lang w:val="es-ES"/>
        </w:rPr>
      </w:pPr>
      <w:r w:rsidRPr="006312E8">
        <w:rPr>
          <w:rFonts w:ascii="Arial" w:eastAsia="Calibri" w:hAnsi="Arial" w:cs="Arial"/>
          <w:lang w:val="es-ES"/>
        </w:rPr>
        <w:t>El Ministerio de Energía y Minas convocará al administrado dentro de los cinco (05) días hábiles siguientes a la presentación de los Estudios de Impacto Ambiental Detallados y Semidetallados, con el fin de que éste realice una exposición de dichos estudios ante las entidades públicas intervinientes en su evaluación.</w:t>
      </w:r>
    </w:p>
    <w:p w:rsidR="006312E8" w:rsidRPr="006312E8" w:rsidRDefault="006312E8" w:rsidP="006312E8">
      <w:pPr>
        <w:spacing w:after="0" w:line="240" w:lineRule="auto"/>
        <w:ind w:left="360"/>
        <w:jc w:val="both"/>
        <w:rPr>
          <w:rFonts w:ascii="Arial" w:eastAsia="Calibri" w:hAnsi="Arial" w:cs="Arial"/>
          <w:lang w:val="es-ES"/>
        </w:rPr>
      </w:pPr>
    </w:p>
    <w:p w:rsidR="006312E8" w:rsidRPr="006312E8" w:rsidRDefault="006312E8" w:rsidP="006312E8">
      <w:pPr>
        <w:spacing w:after="0" w:line="240" w:lineRule="auto"/>
        <w:ind w:left="567" w:hanging="425"/>
        <w:jc w:val="both"/>
        <w:rPr>
          <w:rFonts w:ascii="Arial" w:eastAsia="Calibri" w:hAnsi="Arial" w:cs="Arial"/>
          <w:lang w:val="es-ES"/>
        </w:rPr>
      </w:pPr>
      <w:r w:rsidRPr="006312E8">
        <w:rPr>
          <w:rFonts w:ascii="Arial" w:eastAsia="Calibri" w:hAnsi="Arial" w:cs="Arial"/>
          <w:lang w:val="es-ES"/>
        </w:rPr>
        <w:t>3.2</w:t>
      </w:r>
      <w:r w:rsidRPr="006312E8">
        <w:rPr>
          <w:rFonts w:ascii="Arial" w:eastAsia="Calibri" w:hAnsi="Arial" w:cs="Arial"/>
          <w:lang w:val="es-ES"/>
        </w:rPr>
        <w:tab/>
        <w:t>El Ministerio de Energía y Minas trasladará a las entidades públicas que intervienen en el procedimiento de aprobación de Estudios Ambientales, la información que establece la Ley Nº 27446, su Reglamento y disposiciones complementarias, para la emisión de informes u opiniones vinculantes o no vinculantes, en el plazo de tres (03) días hábiles desde la recepción de las solicitudes en mesa de partes.</w:t>
      </w:r>
    </w:p>
    <w:p w:rsidR="006312E8" w:rsidRPr="006312E8" w:rsidRDefault="006312E8" w:rsidP="006312E8">
      <w:pPr>
        <w:spacing w:after="0" w:line="240" w:lineRule="auto"/>
        <w:ind w:left="567" w:hanging="425"/>
        <w:contextualSpacing/>
        <w:jc w:val="both"/>
        <w:rPr>
          <w:rFonts w:ascii="Arial" w:eastAsia="Calibri" w:hAnsi="Arial" w:cs="Arial"/>
          <w:lang w:val="es-ES"/>
        </w:rPr>
      </w:pPr>
    </w:p>
    <w:p w:rsidR="006312E8" w:rsidRPr="006312E8" w:rsidRDefault="006312E8" w:rsidP="0092471C">
      <w:pPr>
        <w:numPr>
          <w:ilvl w:val="1"/>
          <w:numId w:val="263"/>
        </w:numPr>
        <w:spacing w:after="0" w:line="240" w:lineRule="auto"/>
        <w:ind w:left="567" w:hanging="425"/>
        <w:contextualSpacing/>
        <w:jc w:val="both"/>
        <w:rPr>
          <w:rFonts w:ascii="Arial" w:eastAsia="Calibri" w:hAnsi="Arial" w:cs="Arial"/>
          <w:lang w:val="es-ES"/>
        </w:rPr>
      </w:pPr>
      <w:r w:rsidRPr="006312E8">
        <w:rPr>
          <w:rFonts w:ascii="Arial" w:eastAsia="Calibri" w:hAnsi="Arial" w:cs="Arial"/>
          <w:lang w:val="es-ES"/>
        </w:rPr>
        <w:t>Las entidades públicas que intervienen a través de informes u opiniones vinculantes o no vinculantes, están obligadas a comunicar al Ministerio de Energía y Minas, las observaciones y requerimientos de subsanación en un plazo no mayor a treinta (30) días hábiles. El incumplimiento de la citada disposición será considerada falta administrativa sancionable de conformidad con el artículo 239 de la Ley Nº 27444, Ley del Procedimiento Administrativo General.</w:t>
      </w:r>
    </w:p>
    <w:p w:rsidR="006312E8" w:rsidRPr="006312E8" w:rsidRDefault="006312E8" w:rsidP="006312E8">
      <w:pPr>
        <w:spacing w:after="0" w:line="240" w:lineRule="auto"/>
        <w:ind w:left="567" w:hanging="425"/>
        <w:contextualSpacing/>
        <w:jc w:val="both"/>
        <w:rPr>
          <w:rFonts w:ascii="Arial" w:eastAsia="Calibri" w:hAnsi="Arial" w:cs="Arial"/>
          <w:lang w:val="es-ES"/>
        </w:rPr>
      </w:pPr>
    </w:p>
    <w:p w:rsidR="006312E8" w:rsidRPr="006312E8" w:rsidRDefault="006312E8" w:rsidP="0092471C">
      <w:pPr>
        <w:numPr>
          <w:ilvl w:val="1"/>
          <w:numId w:val="263"/>
        </w:numPr>
        <w:spacing w:after="0" w:line="240" w:lineRule="auto"/>
        <w:ind w:left="567" w:hanging="425"/>
        <w:contextualSpacing/>
        <w:jc w:val="both"/>
        <w:rPr>
          <w:rFonts w:ascii="Arial" w:eastAsia="Calibri" w:hAnsi="Arial" w:cs="Arial"/>
          <w:lang w:val="es-ES"/>
        </w:rPr>
      </w:pPr>
      <w:r w:rsidRPr="006312E8">
        <w:rPr>
          <w:rFonts w:ascii="Arial" w:eastAsia="Calibri" w:hAnsi="Arial" w:cs="Arial"/>
          <w:lang w:val="es-ES"/>
        </w:rPr>
        <w:t>El Ministerio de Energía y Minas trasladará al administrado en un solo documento sus observaciones y requerimientos así como aquellos efectuados por las entidades públicas intervinientes, en un plazo no mayor a diez (10) días hábiles contados a partir del día siguiente de ingresadas al Ministerio la totalidad de observaciones de las entidades intervinientes.</w:t>
      </w:r>
    </w:p>
    <w:p w:rsidR="006312E8" w:rsidRPr="006312E8" w:rsidRDefault="006312E8" w:rsidP="006312E8">
      <w:pPr>
        <w:spacing w:after="0" w:line="240" w:lineRule="auto"/>
        <w:ind w:left="567" w:hanging="425"/>
        <w:contextualSpacing/>
        <w:jc w:val="both"/>
        <w:rPr>
          <w:rFonts w:ascii="Arial" w:eastAsia="Calibri" w:hAnsi="Arial" w:cs="Arial"/>
          <w:lang w:val="es-ES"/>
        </w:rPr>
      </w:pPr>
    </w:p>
    <w:p w:rsidR="006312E8" w:rsidRPr="006312E8" w:rsidRDefault="006312E8" w:rsidP="0092471C">
      <w:pPr>
        <w:numPr>
          <w:ilvl w:val="1"/>
          <w:numId w:val="263"/>
        </w:numPr>
        <w:spacing w:after="0" w:line="240" w:lineRule="auto"/>
        <w:ind w:left="567" w:hanging="425"/>
        <w:contextualSpacing/>
        <w:jc w:val="both"/>
        <w:rPr>
          <w:rFonts w:ascii="Arial" w:eastAsia="Calibri" w:hAnsi="Arial" w:cs="Arial"/>
          <w:lang w:val="es-ES"/>
        </w:rPr>
      </w:pPr>
      <w:r w:rsidRPr="006312E8">
        <w:rPr>
          <w:rFonts w:ascii="Arial" w:eastAsia="Calibri" w:hAnsi="Arial" w:cs="Arial"/>
          <w:lang w:val="es-ES"/>
        </w:rPr>
        <w:t>Una vez presentadas las subsanaciones por el administrado, el Ministerio contará con un plazo máximo de tres (03) días hábiles para remitir dicha subsanación a las entidades públicas correspondientes, las que tienen un plazo máximo de diez (10) hábiles para emitir su opinión final y notificarla al sector.</w:t>
      </w:r>
    </w:p>
    <w:p w:rsidR="006312E8" w:rsidRPr="006312E8" w:rsidRDefault="006312E8" w:rsidP="006312E8">
      <w:pPr>
        <w:spacing w:after="0" w:line="240" w:lineRule="auto"/>
        <w:ind w:left="567" w:hanging="425"/>
        <w:contextualSpacing/>
        <w:jc w:val="both"/>
        <w:rPr>
          <w:rFonts w:ascii="Arial" w:eastAsia="Calibri" w:hAnsi="Arial" w:cs="Arial"/>
          <w:lang w:val="es-ES"/>
        </w:rPr>
      </w:pPr>
    </w:p>
    <w:p w:rsidR="006312E8" w:rsidRPr="006312E8" w:rsidRDefault="006312E8" w:rsidP="0092471C">
      <w:pPr>
        <w:numPr>
          <w:ilvl w:val="1"/>
          <w:numId w:val="263"/>
        </w:numPr>
        <w:spacing w:after="0" w:line="240" w:lineRule="auto"/>
        <w:ind w:left="567" w:hanging="425"/>
        <w:contextualSpacing/>
        <w:jc w:val="both"/>
        <w:rPr>
          <w:rFonts w:ascii="Arial" w:eastAsia="Calibri" w:hAnsi="Arial" w:cs="Arial"/>
          <w:lang w:val="es-ES"/>
        </w:rPr>
      </w:pPr>
      <w:r w:rsidRPr="006312E8">
        <w:rPr>
          <w:rFonts w:ascii="Arial" w:eastAsia="Calibri" w:hAnsi="Arial" w:cs="Arial"/>
          <w:lang w:val="es-ES"/>
        </w:rPr>
        <w:t>Luego de notificadas al Ministerio todas las opiniones finales mencionadas, éste contará con un plazo máximo de veinte (20) días hábiles para emitir su pronunciamiento final es decir, la Certificación Ambiental correspondiente, de ser el caso.</w:t>
      </w:r>
    </w:p>
    <w:p w:rsidR="006312E8" w:rsidRPr="006312E8" w:rsidRDefault="006312E8" w:rsidP="006312E8">
      <w:pPr>
        <w:spacing w:after="0" w:line="240" w:lineRule="auto"/>
        <w:ind w:left="567" w:hanging="425"/>
        <w:contextualSpacing/>
        <w:jc w:val="both"/>
        <w:rPr>
          <w:rFonts w:ascii="Arial" w:eastAsia="Calibri" w:hAnsi="Arial" w:cs="Arial"/>
          <w:lang w:val="es-ES"/>
        </w:rPr>
      </w:pPr>
    </w:p>
    <w:p w:rsidR="006312E8" w:rsidRPr="006312E8" w:rsidRDefault="006312E8" w:rsidP="0092471C">
      <w:pPr>
        <w:numPr>
          <w:ilvl w:val="1"/>
          <w:numId w:val="263"/>
        </w:numPr>
        <w:spacing w:after="0" w:line="240" w:lineRule="auto"/>
        <w:ind w:left="567" w:hanging="425"/>
        <w:contextualSpacing/>
        <w:jc w:val="both"/>
        <w:rPr>
          <w:rFonts w:ascii="Arial" w:eastAsia="Calibri" w:hAnsi="Arial" w:cs="Arial"/>
          <w:lang w:val="es-ES"/>
        </w:rPr>
      </w:pPr>
      <w:r w:rsidRPr="006312E8">
        <w:rPr>
          <w:rFonts w:ascii="Arial" w:eastAsia="Calibri" w:hAnsi="Arial" w:cs="Arial"/>
          <w:lang w:val="es-ES"/>
        </w:rPr>
        <w:t>La línea de base inicial elaborada en la etapa de exploración de proyectos aprobados por la Dirección General de Asuntos Ambientales Mineros, puede ser considerada válida para la elaboración de estudios ambientales de exploración posteriores, siempre que se refiera a la misma zona del estudio de la línea de base en mención y se encuentre dentro del período de cinco (05) años.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4.- Refrendo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presente Decreto Supremo será refrendado por el Presidente del Consejo de Ministros, el Ministro de Vivienda, Construcción y Saneamiento, el Ministro de Agricultura, la Ministra de Salud, el Ministro de Cultura, el Ministro del Ambiente, la Ministra de la Producción, el Ministro de Energía y Minas y el Ministro de Transportes y Comunicaciones.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DISPOSICIONES COMPLEMENTARIAS FINALES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Primera.- Vigencia</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presente Decreto Supremo entrará en vigencia al día siguiente de su publicación en el Diario Oficial El Peruano.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Segunda.- Aplicación del artículo 2 y 4 del Decreto Supremo Nº 054-2013-PCM</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Entiéndase que lo dispuesto en los artículos 2 y 4 del Decreto Supremo Nº 054-2013-PCM incluye el desarrollo de proyectos de inversión públicos y privados en general.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Asimismo, para efectos numeral 2.4 del artículo 2 del Decreto Supremo Nº 054-2013-PCM entiéndase que corresponde al arqueólogo responsable del Plan de Monitoreo Arqueológico, efectuar las excavaciones que correspondan de acuerdo a lo establecido en el citado plan aprobado, previa comunicación al Ministerio de Cultura, entendiéndose que dichos trabajos no constituyen rescate arqueológico; y que la intervención del arqueólogo responsable del Plan de Monitoreo Arqueológico a que se refiere el numeral 2.5 del citado artículo culmina con la presentación de un informe final.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Tercera.- Aplicación del artículo 6 del Decreto Supremo Nº 054-2013-PCM</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Entiéndase que lo dispuesto en el artículo 6 del Decreto Supremo Nº 054-2013-PCM incluye el desarrollo de proyectos de inversión públicos y privados en general. El plazo para que la autoridad sectorial remita la solicitud del titular del proyecto de inversión pública o privada a la Superintendencia de Bienes Estatales, es de siete (07) días hábiles contados a partir del día siguiente de la recepción de la misma en mesa de partes, bajo responsabilidad.</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Cuarta.-</w:t>
      </w:r>
      <w:r w:rsidRPr="006312E8">
        <w:rPr>
          <w:rFonts w:ascii="Arial" w:eastAsia="Calibri" w:hAnsi="Arial" w:cs="Arial"/>
          <w:lang w:val="es-ES"/>
        </w:rPr>
        <w:t xml:space="preserve"> Déjese sin efecto las normas que se opongan a lo dispuesto en el presente Decreto Supremo.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DISPOSICIONES COMPLEMENTARIAS TRANSITORIAS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Primera.-</w:t>
      </w:r>
      <w:r w:rsidRPr="006312E8">
        <w:rPr>
          <w:rFonts w:ascii="Arial" w:eastAsia="Calibri" w:hAnsi="Arial" w:cs="Arial"/>
          <w:lang w:val="es-ES"/>
        </w:rPr>
        <w:t xml:space="preserve"> En tanto no se implemente lo dispuesto en la Segunda Disposición Complementaria y Final del Decreto Supremo Nº 054-2013-PCM, el Ministerio de Cultura pondrá a disposición del público en general en su portal electrónico un registro público de todos los certificados emitidos y la extensión comprendida en los mismos, clasificados por distritos. Dicha información puede ser utilizada para efectos de lo dispuesto en la Tercera Disposición Complementaria Final del citado Decreto Supremo.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Segunda.-</w:t>
      </w:r>
      <w:r w:rsidRPr="006312E8">
        <w:rPr>
          <w:rFonts w:ascii="Arial" w:eastAsia="Calibri" w:hAnsi="Arial" w:cs="Arial"/>
          <w:lang w:val="es-ES"/>
        </w:rPr>
        <w:t xml:space="preserve"> En un plazo de treinta (30) días hábiles el Ministerio del Ambiente dispondrá la actualización del registro de Consultores Ambientales así como las disposiciones para regular el acceso, permanencia y calificación de los mismos.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Tercera.-</w:t>
      </w:r>
      <w:r w:rsidRPr="006312E8">
        <w:rPr>
          <w:rFonts w:ascii="Arial" w:eastAsia="Calibri" w:hAnsi="Arial" w:cs="Arial"/>
          <w:lang w:val="es-ES"/>
        </w:rPr>
        <w:t xml:space="preserve"> En un plazo de quince (15) días hábiles el Ministro de Cultura, en coordinación con los ministerios de Transportes y Comunicaciones, Vivienda Construcción y Saneamiento y Energía y Minas y Agricultura, aprobará mediante Resolución Ministerial los alcances del concepto infraestructura preexistente, para efecto del artículo 2.3 del Decreto Supremo Nº 054-2013-PCM.</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Cuarta.-</w:t>
      </w:r>
      <w:r w:rsidRPr="006312E8">
        <w:rPr>
          <w:rFonts w:ascii="Arial" w:eastAsia="Calibri" w:hAnsi="Arial" w:cs="Arial"/>
          <w:lang w:val="es-ES"/>
        </w:rPr>
        <w:t xml:space="preserve"> En un plazo de ciento cincuenta (150) días calendario el Ministerio de Cultura elaborará el estudio de preinversión del proyecto de inversión pública que cree la capacidad de gestionar el Catastro Arqueológico Nacional.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b/>
          <w:lang w:val="es-ES"/>
        </w:rPr>
        <w:t>Quinta.-</w:t>
      </w:r>
      <w:r w:rsidRPr="006312E8">
        <w:rPr>
          <w:rFonts w:ascii="Arial" w:eastAsia="Calibri" w:hAnsi="Arial" w:cs="Arial"/>
          <w:lang w:val="es-ES"/>
        </w:rPr>
        <w:t xml:space="preserve"> Las disposiciones contenidas en el presente Decreto Supremo también serán de aplicación a los estudios o expedientes que a la fecha de su dación se encuentren en trámite y siempre que resulten más favorables al administrado.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Dado en la Casa de Gobierno, en Lima, a los veinticuatro días del mes de mayo del año dos mil trece.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b/>
        <w:t>OLLANTA HUMALA TASSO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Presidente Constitucional de la República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b/>
        <w:t>JUAN F. JIMÉNEZ MAYOR</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Presidente del Consejo de Ministros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b/>
        <w:t>MILTON VON HESSE LA SERNA</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Ministro de Agricultura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b/>
        <w:t>MIDORI DE HABICH ROSPIGLIOSI</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Ministra de Salud</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b/>
        <w:t>LUIS ALBERTO PEIRANO FALCONI</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Ministro de Cultura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b/>
        <w:t>MANUEL PULGAR - VIDAL</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Ministro del Ambiente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b/>
        <w:t>GLADYS MONICA TRIVEÑO CHAN JAN</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Ministra de la Producción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b/>
        <w:t>JORGE MERINO TAFUR</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Ministro de Energía y Minas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b/>
        <w:t>CARLOS PAREDES RODRÍGUEZ</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Ministro de Transportes y Comunicaciones y</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Encargado del Despacho del Ministerio de Vivienda, Construcción y Saneamiento</w:t>
      </w:r>
    </w:p>
    <w:p w:rsidR="006312E8" w:rsidRPr="006312E8" w:rsidRDefault="006312E8" w:rsidP="006312E8">
      <w:pPr>
        <w:spacing w:after="0" w:line="240" w:lineRule="auto"/>
        <w:jc w:val="center"/>
        <w:rPr>
          <w:rFonts w:ascii="Arial" w:eastAsia="Calibri" w:hAnsi="Arial" w:cs="Arial"/>
          <w:b/>
          <w:sz w:val="28"/>
          <w:szCs w:val="28"/>
          <w:lang w:val="es-ES"/>
        </w:rPr>
      </w:pPr>
      <w:bookmarkStart w:id="473" w:name="_Toc392856265"/>
      <w:bookmarkStart w:id="474" w:name="DS0112013"/>
    </w:p>
    <w:p w:rsidR="00F47618" w:rsidRDefault="00F47618" w:rsidP="006312E8">
      <w:pPr>
        <w:spacing w:after="0" w:line="240" w:lineRule="auto"/>
        <w:jc w:val="center"/>
        <w:rPr>
          <w:rFonts w:ascii="Arial" w:hAnsi="Arial" w:cs="Arial"/>
          <w:b/>
          <w:sz w:val="28"/>
          <w:szCs w:val="28"/>
          <w:lang w:val="es-ES"/>
        </w:rPr>
      </w:pPr>
      <w:bookmarkStart w:id="475" w:name="_Toc399335536"/>
      <w:bookmarkStart w:id="476" w:name="_Toc421025483"/>
    </w:p>
    <w:p w:rsidR="00F47618" w:rsidRDefault="00F47618" w:rsidP="006312E8">
      <w:pPr>
        <w:spacing w:after="0" w:line="240" w:lineRule="auto"/>
        <w:jc w:val="center"/>
        <w:rPr>
          <w:rFonts w:ascii="Arial" w:hAnsi="Arial" w:cs="Arial"/>
          <w:b/>
          <w:sz w:val="28"/>
          <w:szCs w:val="28"/>
          <w:lang w:val="es-ES"/>
        </w:rPr>
      </w:pPr>
    </w:p>
    <w:p w:rsidR="00246CE9" w:rsidRDefault="00246CE9" w:rsidP="006312E8">
      <w:pPr>
        <w:spacing w:after="0" w:line="240" w:lineRule="auto"/>
        <w:jc w:val="center"/>
        <w:rPr>
          <w:rFonts w:ascii="Arial" w:hAnsi="Arial" w:cs="Arial"/>
          <w:b/>
          <w:sz w:val="28"/>
          <w:szCs w:val="28"/>
          <w:lang w:val="es-ES"/>
        </w:rPr>
      </w:pPr>
    </w:p>
    <w:p w:rsidR="00246CE9" w:rsidRDefault="00246CE9" w:rsidP="006312E8">
      <w:pPr>
        <w:spacing w:after="0" w:line="240" w:lineRule="auto"/>
        <w:jc w:val="center"/>
        <w:rPr>
          <w:rFonts w:ascii="Arial" w:hAnsi="Arial" w:cs="Arial"/>
          <w:b/>
          <w:sz w:val="28"/>
          <w:szCs w:val="28"/>
          <w:lang w:val="es-ES"/>
        </w:rPr>
      </w:pPr>
    </w:p>
    <w:p w:rsidR="00246CE9" w:rsidRDefault="00246CE9" w:rsidP="006312E8">
      <w:pPr>
        <w:spacing w:after="0" w:line="240" w:lineRule="auto"/>
        <w:jc w:val="center"/>
        <w:rPr>
          <w:rFonts w:ascii="Arial" w:hAnsi="Arial" w:cs="Arial"/>
          <w:b/>
          <w:sz w:val="28"/>
          <w:szCs w:val="28"/>
          <w:lang w:val="es-ES"/>
        </w:rPr>
      </w:pPr>
    </w:p>
    <w:p w:rsidR="00246CE9" w:rsidRDefault="00246CE9" w:rsidP="006312E8">
      <w:pPr>
        <w:spacing w:after="0" w:line="240" w:lineRule="auto"/>
        <w:jc w:val="center"/>
        <w:rPr>
          <w:rFonts w:ascii="Arial" w:hAnsi="Arial" w:cs="Arial"/>
          <w:b/>
          <w:sz w:val="28"/>
          <w:szCs w:val="28"/>
          <w:lang w:val="es-ES"/>
        </w:rPr>
      </w:pPr>
    </w:p>
    <w:p w:rsidR="00246CE9" w:rsidRDefault="00246CE9" w:rsidP="006312E8">
      <w:pPr>
        <w:spacing w:after="0" w:line="240" w:lineRule="auto"/>
        <w:jc w:val="center"/>
        <w:rPr>
          <w:rFonts w:ascii="Arial" w:hAnsi="Arial" w:cs="Arial"/>
          <w:b/>
          <w:sz w:val="28"/>
          <w:szCs w:val="28"/>
          <w:lang w:val="es-ES"/>
        </w:rPr>
      </w:pPr>
    </w:p>
    <w:p w:rsidR="00246CE9" w:rsidRDefault="00246CE9" w:rsidP="006312E8">
      <w:pPr>
        <w:spacing w:after="0" w:line="240" w:lineRule="auto"/>
        <w:jc w:val="center"/>
        <w:rPr>
          <w:rFonts w:ascii="Arial" w:hAnsi="Arial" w:cs="Arial"/>
          <w:b/>
          <w:sz w:val="28"/>
          <w:szCs w:val="28"/>
          <w:lang w:val="es-ES"/>
        </w:rPr>
      </w:pPr>
    </w:p>
    <w:p w:rsidR="00246CE9" w:rsidRDefault="00246CE9" w:rsidP="006312E8">
      <w:pPr>
        <w:spacing w:after="0" w:line="240" w:lineRule="auto"/>
        <w:jc w:val="center"/>
        <w:rPr>
          <w:rFonts w:ascii="Arial" w:hAnsi="Arial" w:cs="Arial"/>
          <w:b/>
          <w:sz w:val="28"/>
          <w:szCs w:val="28"/>
          <w:lang w:val="es-ES"/>
        </w:rPr>
      </w:pPr>
    </w:p>
    <w:p w:rsidR="00246CE9" w:rsidRDefault="00246CE9" w:rsidP="006312E8">
      <w:pPr>
        <w:spacing w:after="0" w:line="240" w:lineRule="auto"/>
        <w:jc w:val="center"/>
        <w:rPr>
          <w:rFonts w:ascii="Arial" w:hAnsi="Arial" w:cs="Arial"/>
          <w:b/>
          <w:sz w:val="28"/>
          <w:szCs w:val="28"/>
          <w:lang w:val="es-ES"/>
        </w:rPr>
      </w:pPr>
    </w:p>
    <w:p w:rsidR="00246CE9" w:rsidRDefault="00246CE9" w:rsidP="006312E8">
      <w:pPr>
        <w:spacing w:after="0" w:line="240" w:lineRule="auto"/>
        <w:jc w:val="center"/>
        <w:rPr>
          <w:rFonts w:ascii="Arial" w:hAnsi="Arial" w:cs="Arial"/>
          <w:b/>
          <w:sz w:val="28"/>
          <w:szCs w:val="28"/>
          <w:lang w:val="es-ES"/>
        </w:rPr>
      </w:pPr>
    </w:p>
    <w:p w:rsidR="00246CE9" w:rsidRDefault="00246CE9" w:rsidP="006312E8">
      <w:pPr>
        <w:spacing w:after="0" w:line="240" w:lineRule="auto"/>
        <w:jc w:val="center"/>
        <w:rPr>
          <w:rFonts w:ascii="Arial" w:hAnsi="Arial" w:cs="Arial"/>
          <w:b/>
          <w:sz w:val="28"/>
          <w:szCs w:val="28"/>
          <w:lang w:val="es-ES"/>
        </w:rPr>
      </w:pPr>
    </w:p>
    <w:p w:rsidR="00246CE9" w:rsidRDefault="00246CE9" w:rsidP="006312E8">
      <w:pPr>
        <w:spacing w:after="0" w:line="240" w:lineRule="auto"/>
        <w:jc w:val="center"/>
        <w:rPr>
          <w:rFonts w:ascii="Arial" w:hAnsi="Arial" w:cs="Arial"/>
          <w:b/>
          <w:sz w:val="28"/>
          <w:szCs w:val="28"/>
          <w:lang w:val="es-ES"/>
        </w:rPr>
      </w:pPr>
    </w:p>
    <w:p w:rsidR="00246CE9" w:rsidRDefault="00246CE9" w:rsidP="006312E8">
      <w:pPr>
        <w:spacing w:after="0" w:line="240" w:lineRule="auto"/>
        <w:jc w:val="center"/>
        <w:rPr>
          <w:rFonts w:ascii="Arial" w:hAnsi="Arial" w:cs="Arial"/>
          <w:b/>
          <w:sz w:val="28"/>
          <w:szCs w:val="28"/>
          <w:lang w:val="es-ES"/>
        </w:rPr>
      </w:pPr>
    </w:p>
    <w:p w:rsidR="00246CE9" w:rsidRDefault="00246CE9" w:rsidP="006312E8">
      <w:pPr>
        <w:spacing w:after="0" w:line="240" w:lineRule="auto"/>
        <w:jc w:val="center"/>
        <w:rPr>
          <w:rFonts w:ascii="Arial" w:hAnsi="Arial" w:cs="Arial"/>
          <w:b/>
          <w:sz w:val="28"/>
          <w:szCs w:val="28"/>
          <w:lang w:val="es-ES"/>
        </w:rPr>
      </w:pPr>
    </w:p>
    <w:p w:rsidR="00246CE9" w:rsidRDefault="00246CE9" w:rsidP="006312E8">
      <w:pPr>
        <w:spacing w:after="0" w:line="240" w:lineRule="auto"/>
        <w:jc w:val="center"/>
        <w:rPr>
          <w:rFonts w:ascii="Arial" w:hAnsi="Arial" w:cs="Arial"/>
          <w:b/>
          <w:sz w:val="28"/>
          <w:szCs w:val="28"/>
          <w:lang w:val="es-ES"/>
        </w:rPr>
      </w:pPr>
    </w:p>
    <w:p w:rsidR="00246CE9" w:rsidRDefault="00246CE9" w:rsidP="006312E8">
      <w:pPr>
        <w:spacing w:after="0" w:line="240" w:lineRule="auto"/>
        <w:jc w:val="center"/>
        <w:rPr>
          <w:rFonts w:ascii="Arial" w:hAnsi="Arial" w:cs="Arial"/>
          <w:b/>
          <w:sz w:val="28"/>
          <w:szCs w:val="28"/>
          <w:lang w:val="es-ES"/>
        </w:rPr>
      </w:pPr>
    </w:p>
    <w:p w:rsidR="00246CE9" w:rsidRDefault="00246CE9" w:rsidP="006312E8">
      <w:pPr>
        <w:spacing w:after="0" w:line="240" w:lineRule="auto"/>
        <w:jc w:val="center"/>
        <w:rPr>
          <w:rFonts w:ascii="Arial" w:hAnsi="Arial" w:cs="Arial"/>
          <w:b/>
          <w:sz w:val="28"/>
          <w:szCs w:val="28"/>
          <w:lang w:val="es-ES"/>
        </w:rPr>
      </w:pPr>
    </w:p>
    <w:p w:rsidR="00246CE9" w:rsidRDefault="00246CE9" w:rsidP="006312E8">
      <w:pPr>
        <w:spacing w:after="0" w:line="240" w:lineRule="auto"/>
        <w:jc w:val="center"/>
        <w:rPr>
          <w:rFonts w:ascii="Arial" w:hAnsi="Arial" w:cs="Arial"/>
          <w:b/>
          <w:sz w:val="28"/>
          <w:szCs w:val="28"/>
          <w:lang w:val="es-ES"/>
        </w:rPr>
      </w:pPr>
    </w:p>
    <w:p w:rsidR="00246CE9" w:rsidRDefault="00246CE9" w:rsidP="006312E8">
      <w:pPr>
        <w:spacing w:after="0" w:line="240" w:lineRule="auto"/>
        <w:jc w:val="center"/>
        <w:rPr>
          <w:rFonts w:ascii="Arial" w:hAnsi="Arial" w:cs="Arial"/>
          <w:b/>
          <w:sz w:val="28"/>
          <w:szCs w:val="28"/>
          <w:lang w:val="es-ES"/>
        </w:rPr>
      </w:pPr>
    </w:p>
    <w:p w:rsidR="00246CE9" w:rsidRDefault="00246CE9" w:rsidP="006312E8">
      <w:pPr>
        <w:spacing w:after="0" w:line="240" w:lineRule="auto"/>
        <w:jc w:val="center"/>
        <w:rPr>
          <w:rFonts w:ascii="Arial" w:hAnsi="Arial" w:cs="Arial"/>
          <w:b/>
          <w:sz w:val="28"/>
          <w:szCs w:val="28"/>
          <w:lang w:val="es-ES"/>
        </w:rPr>
      </w:pPr>
    </w:p>
    <w:p w:rsidR="00246CE9" w:rsidRDefault="00246CE9" w:rsidP="006312E8">
      <w:pPr>
        <w:spacing w:after="0" w:line="240" w:lineRule="auto"/>
        <w:jc w:val="center"/>
        <w:rPr>
          <w:rFonts w:ascii="Arial" w:hAnsi="Arial" w:cs="Arial"/>
          <w:b/>
          <w:sz w:val="28"/>
          <w:szCs w:val="28"/>
          <w:lang w:val="es-ES"/>
        </w:rPr>
      </w:pPr>
    </w:p>
    <w:p w:rsidR="00246CE9" w:rsidRDefault="00246CE9" w:rsidP="006312E8">
      <w:pPr>
        <w:spacing w:after="0" w:line="240" w:lineRule="auto"/>
        <w:jc w:val="center"/>
        <w:rPr>
          <w:rFonts w:ascii="Arial" w:hAnsi="Arial" w:cs="Arial"/>
          <w:b/>
          <w:sz w:val="28"/>
          <w:szCs w:val="28"/>
          <w:lang w:val="es-ES"/>
        </w:rPr>
      </w:pPr>
    </w:p>
    <w:p w:rsidR="00246CE9" w:rsidRDefault="00246CE9" w:rsidP="006312E8">
      <w:pPr>
        <w:spacing w:after="0" w:line="240" w:lineRule="auto"/>
        <w:jc w:val="center"/>
        <w:rPr>
          <w:rFonts w:ascii="Arial" w:hAnsi="Arial" w:cs="Arial"/>
          <w:b/>
          <w:sz w:val="28"/>
          <w:szCs w:val="28"/>
          <w:lang w:val="es-ES"/>
        </w:rPr>
      </w:pPr>
    </w:p>
    <w:p w:rsidR="00246CE9" w:rsidRDefault="00246CE9" w:rsidP="006312E8">
      <w:pPr>
        <w:spacing w:after="0" w:line="240" w:lineRule="auto"/>
        <w:jc w:val="center"/>
        <w:rPr>
          <w:rFonts w:ascii="Arial" w:hAnsi="Arial" w:cs="Arial"/>
          <w:b/>
          <w:sz w:val="28"/>
          <w:szCs w:val="28"/>
          <w:lang w:val="es-ES"/>
        </w:rPr>
      </w:pPr>
    </w:p>
    <w:p w:rsidR="00246CE9" w:rsidRDefault="00246CE9" w:rsidP="006312E8">
      <w:pPr>
        <w:spacing w:after="0" w:line="240" w:lineRule="auto"/>
        <w:jc w:val="center"/>
        <w:rPr>
          <w:rFonts w:ascii="Arial" w:hAnsi="Arial" w:cs="Arial"/>
          <w:b/>
          <w:sz w:val="28"/>
          <w:szCs w:val="28"/>
          <w:lang w:val="es-ES"/>
        </w:rPr>
      </w:pPr>
    </w:p>
    <w:p w:rsidR="00246CE9" w:rsidRDefault="00246CE9" w:rsidP="006312E8">
      <w:pPr>
        <w:spacing w:after="0" w:line="240" w:lineRule="auto"/>
        <w:jc w:val="center"/>
        <w:rPr>
          <w:rFonts w:ascii="Arial" w:hAnsi="Arial" w:cs="Arial"/>
          <w:b/>
          <w:sz w:val="28"/>
          <w:szCs w:val="28"/>
          <w:lang w:val="es-ES"/>
        </w:rPr>
      </w:pPr>
    </w:p>
    <w:p w:rsidR="00246CE9" w:rsidRDefault="00246CE9" w:rsidP="006312E8">
      <w:pPr>
        <w:spacing w:after="0" w:line="240" w:lineRule="auto"/>
        <w:jc w:val="center"/>
        <w:rPr>
          <w:rFonts w:ascii="Arial" w:hAnsi="Arial" w:cs="Arial"/>
          <w:b/>
          <w:sz w:val="28"/>
          <w:szCs w:val="28"/>
          <w:lang w:val="es-ES"/>
        </w:rPr>
      </w:pPr>
    </w:p>
    <w:p w:rsidR="00246CE9" w:rsidRDefault="00246CE9" w:rsidP="006312E8">
      <w:pPr>
        <w:spacing w:after="0" w:line="240" w:lineRule="auto"/>
        <w:jc w:val="center"/>
        <w:rPr>
          <w:rFonts w:ascii="Arial" w:hAnsi="Arial" w:cs="Arial"/>
          <w:b/>
          <w:sz w:val="28"/>
          <w:szCs w:val="28"/>
          <w:lang w:val="es-ES"/>
        </w:rPr>
      </w:pPr>
    </w:p>
    <w:p w:rsidR="00246CE9" w:rsidRDefault="00246CE9" w:rsidP="006312E8">
      <w:pPr>
        <w:spacing w:after="0" w:line="240" w:lineRule="auto"/>
        <w:jc w:val="center"/>
        <w:rPr>
          <w:rFonts w:ascii="Arial" w:hAnsi="Arial" w:cs="Arial"/>
          <w:b/>
          <w:sz w:val="28"/>
          <w:szCs w:val="28"/>
          <w:lang w:val="es-ES"/>
        </w:rPr>
      </w:pPr>
    </w:p>
    <w:p w:rsidR="00246CE9" w:rsidRDefault="00246CE9" w:rsidP="006312E8">
      <w:pPr>
        <w:spacing w:after="0" w:line="240" w:lineRule="auto"/>
        <w:jc w:val="center"/>
        <w:rPr>
          <w:rFonts w:ascii="Arial" w:hAnsi="Arial" w:cs="Arial"/>
          <w:b/>
          <w:sz w:val="28"/>
          <w:szCs w:val="28"/>
          <w:lang w:val="es-ES"/>
        </w:rPr>
      </w:pPr>
    </w:p>
    <w:p w:rsidR="00246CE9" w:rsidRDefault="00246CE9" w:rsidP="006312E8">
      <w:pPr>
        <w:spacing w:after="0" w:line="240" w:lineRule="auto"/>
        <w:jc w:val="center"/>
        <w:rPr>
          <w:rFonts w:ascii="Arial" w:hAnsi="Arial" w:cs="Arial"/>
          <w:b/>
          <w:sz w:val="28"/>
          <w:szCs w:val="28"/>
          <w:lang w:val="es-ES"/>
        </w:rPr>
      </w:pPr>
    </w:p>
    <w:p w:rsidR="00881964" w:rsidRDefault="00881964" w:rsidP="006312E8">
      <w:pPr>
        <w:spacing w:after="0" w:line="240" w:lineRule="auto"/>
        <w:jc w:val="center"/>
        <w:rPr>
          <w:rFonts w:ascii="Arial" w:hAnsi="Arial" w:cs="Arial"/>
          <w:b/>
          <w:sz w:val="28"/>
          <w:szCs w:val="28"/>
          <w:lang w:val="es-ES"/>
        </w:rPr>
      </w:pPr>
    </w:p>
    <w:p w:rsidR="00881964" w:rsidRDefault="00881964" w:rsidP="006312E8">
      <w:pPr>
        <w:spacing w:after="0" w:line="240" w:lineRule="auto"/>
        <w:jc w:val="center"/>
        <w:rPr>
          <w:rFonts w:ascii="Arial" w:hAnsi="Arial" w:cs="Arial"/>
          <w:b/>
          <w:sz w:val="28"/>
          <w:szCs w:val="28"/>
          <w:lang w:val="es-ES"/>
        </w:rPr>
      </w:pPr>
    </w:p>
    <w:p w:rsidR="00881964" w:rsidRDefault="00881964" w:rsidP="006312E8">
      <w:pPr>
        <w:spacing w:after="0" w:line="240" w:lineRule="auto"/>
        <w:jc w:val="center"/>
        <w:rPr>
          <w:rFonts w:ascii="Arial" w:hAnsi="Arial" w:cs="Arial"/>
          <w:b/>
          <w:sz w:val="28"/>
          <w:szCs w:val="28"/>
          <w:lang w:val="es-ES"/>
        </w:rPr>
      </w:pPr>
    </w:p>
    <w:p w:rsidR="006312E8" w:rsidRPr="006312E8" w:rsidRDefault="006312E8" w:rsidP="00F47618">
      <w:pPr>
        <w:pStyle w:val="TITO2"/>
      </w:pPr>
      <w:bookmarkStart w:id="477" w:name="_Toc470855590"/>
      <w:r w:rsidRPr="006312E8">
        <w:t>DECRETO SUPREMO Nº 011-2013-VIVIENDA</w:t>
      </w:r>
      <w:bookmarkEnd w:id="473"/>
      <w:bookmarkEnd w:id="475"/>
      <w:bookmarkEnd w:id="476"/>
      <w:bookmarkEnd w:id="477"/>
    </w:p>
    <w:bookmarkEnd w:id="474"/>
    <w:p w:rsidR="006312E8" w:rsidRPr="006312E8" w:rsidRDefault="006312E8" w:rsidP="006312E8">
      <w:pPr>
        <w:spacing w:after="0" w:line="240" w:lineRule="auto"/>
        <w:contextualSpacing/>
        <w:jc w:val="center"/>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Decreto Supremo que reglamenta los procedimientos especiales de saneamiento físico-legal y reglas para la inscripción de transferencias y modificaciones físicas de predios sujetos a trato directo o expropiación y aprueba otras disposiciones</w:t>
      </w:r>
    </w:p>
    <w:p w:rsidR="006312E8" w:rsidRPr="006312E8" w:rsidRDefault="006312E8" w:rsidP="006312E8">
      <w:pPr>
        <w:spacing w:after="0" w:line="240" w:lineRule="auto"/>
        <w:contextualSpacing/>
        <w:jc w:val="center"/>
        <w:rPr>
          <w:rFonts w:ascii="Arial" w:eastAsia="Calibri" w:hAnsi="Arial" w:cs="Arial"/>
          <w:b/>
          <w:lang w:val="es-ES"/>
        </w:rPr>
      </w:pPr>
    </w:p>
    <w:p w:rsidR="006312E8" w:rsidRPr="006312E8" w:rsidRDefault="006312E8" w:rsidP="006312E8">
      <w:pPr>
        <w:spacing w:after="0" w:line="240" w:lineRule="auto"/>
        <w:contextualSpacing/>
        <w:jc w:val="right"/>
        <w:rPr>
          <w:rFonts w:ascii="Arial" w:eastAsia="Calibri" w:hAnsi="Arial" w:cs="Arial"/>
          <w:b/>
          <w:lang w:val="es-ES"/>
        </w:rPr>
      </w:pPr>
      <w:r w:rsidRPr="006312E8">
        <w:rPr>
          <w:rFonts w:ascii="Arial" w:eastAsia="Calibri" w:hAnsi="Arial" w:cs="Arial"/>
          <w:b/>
          <w:lang w:val="es-ES"/>
        </w:rPr>
        <w:t>Fecha de publicación: 23-09-2013</w:t>
      </w: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EL PRESIDENTE DE LA REPÚBLICA</w:t>
      </w: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CONSIDERANDO: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mediante Ley Nº 30025, se aprobó la Ley que facilita la adquisición, expropiación y posesión de bienes inmuebles para obras de infraestructura y declara de necesidad pública la adquisición o expropiación de bienes inmuebles afectados para la ejecución de diversas obras de infraestructura;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el artículo 13 de la citada Ley establece que los predios y/o edificaciones de propiedad estatal y de las empresas del Estado, requeridos para la ejecución de obras de infraestructura señaladas en el párrafo 1.1 del artículo 1 del referido dispositivo normativo son transferidos a título gratuito y automáticamente al sector, gobierno regional o gobierno local al cual pertenece el proyecto, en la oportunidad que estos lo señalan y por el solo mérito de la resolución que emita la Superintendencia Nacional de Bienes Estatales - SBN, en un plazo máximo de cuarenta y cinco días hábiles contados desde la fecha de presentación de la solicitud;</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la Tercera Disposición Complementaria Final de la indicada Ley faculta al Organismo de Formalización de la Propiedad Informal (COFOPRI) para que, a solicitud del sujeto activo, tramite el saneamiento físico-legal, incluyendo rectificación de áreas, de predios de dominio privado del Estado o de particulares, para la adquisición por trato directo o mediante el proceso de expropiación, en coordinación con el nivel de gobierno que corresponda; asimismo, señala que mediante reglamento, aprobado por decreto supremo, se establecen los procedimientos especiales que sean necesarios para la ejecución del saneamiento físico-legal y la inscripción de la transferencia del derecho de dominio a favor del sujeto activo y que dicha facultad puede ser ejercida de manera alternativa a la función conferida a la SBN en el numeral 14.2 del artículo 14 de la Ley 29151, Ley General del Sistema Nacional de Bienes Estatales;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a fin de garantizar la óptima observancia de las disposiciones antes mencionadas, y correspondiendo implementar los procedimientos especiales que resulten necesarios para su eficiente ejecución amerita la emisión de normas reglamentarias;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De conformidad con lo establecido por el numeral 8) del artículo 118 de la Constitución Política del Perú; el numeral 3) del artículo 11 de la Ley Nº 29158, Ley Orgánica del Poder Ejecutivo; y la Ley Nº 30025, Ley que facilita la adquisición, expropiación y posesión de bienes inmuebles para obras de infraestructura y declara de necesidad pública la adquisición o expropiación de bienes inmuebles afectados para la ejecución de diversas obras de infraestructura;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DECRETA:</w:t>
      </w: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 Aprobación del Reglamento</w:t>
      </w:r>
    </w:p>
    <w:p w:rsidR="00881964" w:rsidRDefault="006312E8" w:rsidP="00881964">
      <w:pPr>
        <w:spacing w:after="0" w:line="240" w:lineRule="auto"/>
        <w:jc w:val="both"/>
        <w:rPr>
          <w:rFonts w:ascii="Arial" w:eastAsia="Calibri" w:hAnsi="Arial" w:cs="Arial"/>
          <w:lang w:val="es-ES"/>
        </w:rPr>
      </w:pPr>
      <w:r w:rsidRPr="006312E8">
        <w:rPr>
          <w:rFonts w:ascii="Arial" w:eastAsia="Calibri" w:hAnsi="Arial" w:cs="Arial"/>
          <w:lang w:val="es-ES"/>
        </w:rPr>
        <w:t>Aprobar el Reglamento de los procedimientos especiales de Saneamiento Físico-Legal y Reglas para la inscripción de transferencias y modificaciones físicas de predios sujetos a trato directo o expropiación, el cual consta de 03 (tres) Títulos, 06 (seis) Capítulos, 48 (cuarenta y ocho) artículos, y 02 (dos) Disposiciones Complem</w:t>
      </w:r>
      <w:r w:rsidR="00881964">
        <w:rPr>
          <w:rFonts w:ascii="Arial" w:eastAsia="Calibri" w:hAnsi="Arial" w:cs="Arial"/>
          <w:lang w:val="es-ES"/>
        </w:rPr>
        <w:t>entarias Finales y Transitorias (*)</w:t>
      </w:r>
      <w:r w:rsidR="00881964" w:rsidRPr="006312E8">
        <w:rPr>
          <w:rFonts w:ascii="Arial" w:eastAsia="Calibri" w:hAnsi="Arial" w:cs="Arial"/>
          <w:lang w:val="es-ES"/>
        </w:rPr>
        <w:t>.</w:t>
      </w:r>
    </w:p>
    <w:p w:rsidR="00881964" w:rsidRPr="006620AD" w:rsidRDefault="00881964" w:rsidP="00881964">
      <w:pPr>
        <w:spacing w:after="0" w:line="240" w:lineRule="auto"/>
        <w:ind w:left="709" w:hanging="567"/>
        <w:jc w:val="both"/>
        <w:rPr>
          <w:rFonts w:ascii="Arial" w:eastAsia="Calibri" w:hAnsi="Arial" w:cs="Arial"/>
          <w:b/>
          <w:sz w:val="16"/>
          <w:szCs w:val="16"/>
          <w:lang w:val="es-ES"/>
        </w:rPr>
      </w:pPr>
      <w:r>
        <w:rPr>
          <w:rFonts w:ascii="Arial" w:eastAsia="Calibri" w:hAnsi="Arial" w:cs="Arial"/>
          <w:lang w:val="es-ES"/>
        </w:rPr>
        <w:tab/>
      </w:r>
      <w:r w:rsidRPr="006620AD">
        <w:rPr>
          <w:rFonts w:ascii="Arial" w:eastAsia="Calibri" w:hAnsi="Arial" w:cs="Arial"/>
          <w:color w:val="FF0000"/>
          <w:sz w:val="16"/>
          <w:szCs w:val="16"/>
          <w:lang w:val="es-ES"/>
        </w:rPr>
        <w:t>(*)</w:t>
      </w:r>
      <w:r>
        <w:rPr>
          <w:rFonts w:ascii="Arial" w:eastAsia="Calibri" w:hAnsi="Arial" w:cs="Arial"/>
          <w:lang w:val="es-ES"/>
        </w:rPr>
        <w:t xml:space="preserve"> </w:t>
      </w:r>
      <w:r>
        <w:rPr>
          <w:rFonts w:ascii="Arial" w:eastAsia="Calibri" w:hAnsi="Arial" w:cs="Arial"/>
          <w:b/>
          <w:color w:val="FF0000"/>
          <w:sz w:val="16"/>
          <w:szCs w:val="16"/>
          <w:lang w:val="es-ES"/>
        </w:rPr>
        <w:t>DEROGADO por el Decreto Supremo N° 019-2015-VIVIENDA</w:t>
      </w:r>
    </w:p>
    <w:p w:rsidR="006312E8" w:rsidRPr="006312E8" w:rsidRDefault="006312E8" w:rsidP="006312E8">
      <w:pPr>
        <w:spacing w:after="0" w:line="240" w:lineRule="auto"/>
        <w:contextualSpacing/>
        <w:jc w:val="both"/>
        <w:rPr>
          <w:rFonts w:ascii="Arial" w:eastAsia="Calibri" w:hAnsi="Arial" w:cs="Arial"/>
          <w:lang w:val="es-ES"/>
        </w:rPr>
      </w:pPr>
    </w:p>
    <w:p w:rsidR="006312E8" w:rsidRDefault="006312E8"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Pr="006312E8" w:rsidRDefault="00246CE9"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2.- De los Predios de propiedad estatal</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Para efectos de la aplicación de la Ley Nº 30025, entiéndase como predios de propiedad estatal los predios y/o edificaciones de dominio público y privado que tienen como titular al Estado, independientemente del nivel de gobierno al que están adscritos, incluidas sus empresas, así como de la calidad del administrador, propietario o titular registral estatal de quien los detenta, inscritos y no inscritos en el Registro de Predios, requeridos para la ejecución de obras de infraestructura comprendidos en la referida Ley.</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3.- De los actos a cargo de la SBN</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Los actos a cargo de la SBN se inician a solicitud del representante de la entidad pública del sector, gobierno regional o gobierno local al cual pertenece el proyecto, la cual deberá acompañar el plan de saneamiento físico y legal del predio estatal materia de solicitud, el que estará visado por los profesionales designados por el titular del proyecto, e identificará el área total y el área afectada de cada predio, conteniendo como mínimo el informe técnico legal en donde se precise ubicación, linderos, zonificación, ocupación, edificaciones, inscripciones, posesionarios, entre otros, sustentado con las partidas registrales, títulos archivados, certificados de búsqueda catastral, inspección técnica, planos perimétrico y de ubicación en coordenadas UTM, memoria descriptiva correspondiente y fotografía del predio.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En caso que para la elaboración del plan antes indicado se requiera información o documentación que no sea accesible al titular del proyecto, éste podrá requerirla a la entidad pública afectada con dicho proyecto, la cual deberá ser entregada bajo responsabilidad.</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Las resoluciones que emita la SBN aprobando los diferentes actos a favor del titular del proyecto se sustentarán en la información y documentación que éste haya brindado y determinado en el plan de saneamiento físico y legal, el cual tendrá la calidad de Declaración Jurada.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4.- De las cargas que afecten los predios de propiedad estatal</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Los predios con cargas tales como: procesos judiciales, patrimonio cultural, concesiones, derecho de superficie, gravámenes, actos de administración a favor de particulares, ocupaciones, superposiciones gráficas, duplicidades de partidas, reservas naturales, entre otros, serán transferidos a favor del titular del proyecto, quien deberá realizar los trámites o coordinaciones necesarias para el levantamiento o adecuación de las mismas.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180"/>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6312E8">
      <w:pPr>
        <w:numPr>
          <w:ilvl w:val="0"/>
          <w:numId w:val="9"/>
        </w:numPr>
        <w:spacing w:after="0" w:line="240" w:lineRule="auto"/>
        <w:contextualSpacing/>
        <w:jc w:val="both"/>
        <w:rPr>
          <w:rFonts w:ascii="Arial" w:eastAsia="Calibri" w:hAnsi="Arial" w:cs="Arial"/>
          <w:b/>
          <w:color w:val="4F6228"/>
          <w:sz w:val="16"/>
          <w:szCs w:val="16"/>
        </w:rPr>
      </w:pPr>
      <w:hyperlink w:anchor="REGLAMENTO29151" w:history="1">
        <w:r w:rsidR="006312E8" w:rsidRPr="006312E8">
          <w:rPr>
            <w:rFonts w:ascii="Arial" w:eastAsia="Calibri" w:hAnsi="Arial" w:cs="Arial"/>
            <w:b/>
            <w:color w:val="4F6228"/>
            <w:sz w:val="16"/>
            <w:szCs w:val="16"/>
          </w:rPr>
          <w:t>Decreto Supremo Nº  007-2008-VIVIENDA</w:t>
        </w:r>
      </w:hyperlink>
      <w:r w:rsidR="006312E8" w:rsidRPr="006312E8">
        <w:rPr>
          <w:rFonts w:ascii="Arial" w:eastAsia="Calibri" w:hAnsi="Arial" w:cs="Arial"/>
          <w:color w:val="4F6228"/>
          <w:sz w:val="16"/>
          <w:szCs w:val="16"/>
        </w:rPr>
        <w:t xml:space="preserve"> - </w:t>
      </w:r>
      <w:r w:rsidR="006312E8" w:rsidRPr="006312E8">
        <w:rPr>
          <w:rFonts w:ascii="Arial" w:eastAsia="Calibri" w:hAnsi="Arial" w:cs="Arial"/>
          <w:b/>
          <w:color w:val="4F6228"/>
          <w:sz w:val="16"/>
          <w:szCs w:val="16"/>
        </w:rPr>
        <w:t>Reglamento de la Ley Nº 29151 (art. 48)</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5.- De los predios no inscritos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En el caso de predios no inscritos de propiedad estatal, la SBN realizará la primera inscripción de dominio a favor del titular del proyecto dentro del plazo establecido en el artículo 13 de la Ley Nº 30025, para lo cual deberá adjuntar la Resolución que aprueba la primera inscripción de dominio, los planos perimétricos y de ubicación correspondiente así como la memoria descriptiva.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Los documentos señalados en el párrafo que anteceden tendrán mérito suficiente para la primera inscripción de dominio en el Registro de Predios, no pudiendo el Registrador solicitar otros documentos, bajo responsabilidad.</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180"/>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6312E8" w:rsidP="0092471C">
      <w:pPr>
        <w:numPr>
          <w:ilvl w:val="0"/>
          <w:numId w:val="146"/>
        </w:numPr>
        <w:spacing w:after="0" w:line="240" w:lineRule="auto"/>
        <w:contextualSpacing/>
        <w:jc w:val="both"/>
        <w:rPr>
          <w:rFonts w:ascii="Arial" w:eastAsia="Calibri" w:hAnsi="Arial" w:cs="Arial"/>
          <w:lang w:val="es-ES"/>
        </w:rPr>
      </w:pPr>
      <w:r w:rsidRPr="006312E8">
        <w:rPr>
          <w:rFonts w:ascii="Arial" w:eastAsia="Calibri" w:hAnsi="Arial" w:cs="Arial"/>
          <w:b/>
          <w:color w:val="4F6228"/>
          <w:sz w:val="16"/>
          <w:szCs w:val="16"/>
        </w:rPr>
        <w:t>Ley Nº 29151 (art. 23)</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6.- De los predios comprendidos en causales de venta directa</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 SBN desestimará de plano las solicitudes de venta directa efectuadas al amparo del artículo 77 del Reglamento de la Ley Nº 29151, respecto de predios estatales comprendidos en la Ley Nº 30025.</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180"/>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92471C">
      <w:pPr>
        <w:numPr>
          <w:ilvl w:val="0"/>
          <w:numId w:val="146"/>
        </w:numPr>
        <w:spacing w:after="0" w:line="240" w:lineRule="auto"/>
        <w:contextualSpacing/>
        <w:jc w:val="both"/>
        <w:rPr>
          <w:rFonts w:ascii="Arial" w:eastAsia="Calibri" w:hAnsi="Arial" w:cs="Arial"/>
          <w:lang w:val="es-ES"/>
        </w:rPr>
      </w:pPr>
      <w:hyperlink w:anchor="DS007" w:history="1">
        <w:r w:rsidR="006312E8" w:rsidRPr="006312E8">
          <w:rPr>
            <w:rFonts w:ascii="Arial" w:eastAsia="Calibri" w:hAnsi="Arial" w:cs="Arial"/>
            <w:b/>
            <w:color w:val="4F6228"/>
            <w:sz w:val="16"/>
            <w:szCs w:val="16"/>
          </w:rPr>
          <w:t>Decreto Supremo Nº  007-2008-VIVIENDA</w:t>
        </w:r>
      </w:hyperlink>
      <w:r w:rsidR="006312E8" w:rsidRPr="006312E8">
        <w:rPr>
          <w:rFonts w:ascii="Arial" w:eastAsia="Calibri" w:hAnsi="Arial" w:cs="Arial"/>
          <w:color w:val="4F6228"/>
          <w:sz w:val="16"/>
          <w:szCs w:val="16"/>
        </w:rPr>
        <w:t xml:space="preserve"> - </w:t>
      </w:r>
      <w:r w:rsidR="006312E8" w:rsidRPr="006312E8">
        <w:rPr>
          <w:rFonts w:ascii="Arial" w:eastAsia="Calibri" w:hAnsi="Arial" w:cs="Arial"/>
          <w:b/>
          <w:color w:val="4F6228"/>
          <w:sz w:val="16"/>
          <w:szCs w:val="16"/>
        </w:rPr>
        <w:t>Reglamento de la Ley Nº 29151 (art. 77)</w:t>
      </w:r>
    </w:p>
    <w:p w:rsidR="006312E8" w:rsidRDefault="006312E8" w:rsidP="006312E8">
      <w:pPr>
        <w:spacing w:after="0" w:line="240" w:lineRule="auto"/>
        <w:contextualSpacing/>
        <w:jc w:val="both"/>
        <w:rPr>
          <w:rFonts w:ascii="Arial" w:eastAsia="Calibri" w:hAnsi="Arial" w:cs="Arial"/>
          <w:lang w:val="es-ES"/>
        </w:rPr>
      </w:pPr>
    </w:p>
    <w:p w:rsidR="00246CE9" w:rsidRPr="006312E8" w:rsidRDefault="00246CE9"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7.- De la aplicación del Reglamento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Las normas y procedimientos especiales detallados en el Reglamento de los procedimientos especiales de Saneamiento Físico-Legal y Reglas para la inscripción de transferencias y modificaciones físicas de predios sujetos a trato directo o expropiación, podrán ser aplicados por la SBN en lo que corresponda. Asimismo, la SBN emitirá las directivas que requiera para el mejor cumplimiento de sus funciones.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180"/>
        <w:jc w:val="both"/>
        <w:rPr>
          <w:rFonts w:ascii="Arial" w:eastAsia="Calibri" w:hAnsi="Arial" w:cs="Arial"/>
          <w:b/>
          <w:color w:val="4F6228"/>
          <w:sz w:val="16"/>
          <w:szCs w:val="16"/>
        </w:rPr>
      </w:pPr>
      <w:r w:rsidRPr="006312E8">
        <w:rPr>
          <w:rFonts w:ascii="Arial" w:eastAsia="Calibri" w:hAnsi="Arial" w:cs="Arial"/>
          <w:b/>
          <w:color w:val="4F6228"/>
          <w:sz w:val="16"/>
          <w:szCs w:val="16"/>
        </w:rPr>
        <w:t>CONCORDANCIAS:</w:t>
      </w:r>
      <w:r w:rsidRPr="006312E8">
        <w:rPr>
          <w:rFonts w:ascii="Arial" w:eastAsia="Calibri" w:hAnsi="Arial" w:cs="Arial"/>
          <w:b/>
          <w:color w:val="4F6228"/>
          <w:sz w:val="16"/>
          <w:szCs w:val="16"/>
        </w:rPr>
        <w:tab/>
      </w:r>
    </w:p>
    <w:p w:rsidR="006312E8" w:rsidRPr="006312E8" w:rsidRDefault="000A5EA6" w:rsidP="0092471C">
      <w:pPr>
        <w:numPr>
          <w:ilvl w:val="0"/>
          <w:numId w:val="146"/>
        </w:numPr>
        <w:spacing w:after="0" w:line="240" w:lineRule="auto"/>
        <w:contextualSpacing/>
        <w:jc w:val="both"/>
        <w:rPr>
          <w:rFonts w:ascii="Arial" w:eastAsia="Calibri" w:hAnsi="Arial" w:cs="Arial"/>
          <w:b/>
          <w:lang w:val="es-ES"/>
        </w:rPr>
      </w:pPr>
      <w:hyperlink w:anchor="ley29151" w:history="1">
        <w:r w:rsidR="006312E8" w:rsidRPr="006312E8">
          <w:rPr>
            <w:rFonts w:ascii="Arial" w:eastAsia="Calibri" w:hAnsi="Arial" w:cs="Arial"/>
            <w:b/>
            <w:color w:val="0000FF"/>
            <w:sz w:val="16"/>
            <w:szCs w:val="16"/>
            <w:u w:val="single"/>
            <w:lang w:val="es-ES"/>
          </w:rPr>
          <w:t>Ley Nº 29151</w:t>
        </w:r>
      </w:hyperlink>
      <w:r w:rsidR="006312E8" w:rsidRPr="006312E8">
        <w:rPr>
          <w:rFonts w:ascii="Arial" w:eastAsia="Calibri" w:hAnsi="Arial" w:cs="Arial"/>
          <w:b/>
          <w:color w:val="4F6228"/>
          <w:sz w:val="16"/>
          <w:szCs w:val="16"/>
          <w:lang w:val="es-ES"/>
        </w:rPr>
        <w:t xml:space="preserve"> (art. 14 numeral 14.1, literal a)</w:t>
      </w:r>
    </w:p>
    <w:p w:rsidR="006312E8" w:rsidRPr="006312E8" w:rsidRDefault="000A5EA6" w:rsidP="0092471C">
      <w:pPr>
        <w:numPr>
          <w:ilvl w:val="0"/>
          <w:numId w:val="146"/>
        </w:numPr>
        <w:spacing w:after="0" w:line="240" w:lineRule="auto"/>
        <w:contextualSpacing/>
        <w:jc w:val="both"/>
        <w:rPr>
          <w:rFonts w:ascii="Arial" w:eastAsia="Calibri" w:hAnsi="Arial" w:cs="Arial"/>
          <w:b/>
          <w:lang w:val="es-ES"/>
        </w:rPr>
      </w:pPr>
      <w:hyperlink w:anchor="DS007" w:history="1">
        <w:r w:rsidR="006312E8" w:rsidRPr="006312E8">
          <w:rPr>
            <w:rFonts w:ascii="Arial" w:eastAsia="Calibri" w:hAnsi="Arial" w:cs="Arial"/>
            <w:b/>
            <w:color w:val="4F6228"/>
            <w:sz w:val="16"/>
            <w:szCs w:val="16"/>
          </w:rPr>
          <w:t>Decreto Supremo Nº  007-2008-VIVIENDA</w:t>
        </w:r>
      </w:hyperlink>
      <w:r w:rsidR="006312E8" w:rsidRPr="006312E8">
        <w:rPr>
          <w:rFonts w:ascii="Arial" w:eastAsia="Calibri" w:hAnsi="Arial" w:cs="Arial"/>
          <w:b/>
          <w:color w:val="4F6228"/>
          <w:sz w:val="16"/>
          <w:szCs w:val="16"/>
        </w:rPr>
        <w:t xml:space="preserve"> - Reglamento de la Ley Nº 29151 (art. 48)</w:t>
      </w:r>
    </w:p>
    <w:p w:rsidR="006312E8" w:rsidRPr="006312E8" w:rsidRDefault="006312E8" w:rsidP="006312E8">
      <w:pPr>
        <w:spacing w:after="0" w:line="240" w:lineRule="auto"/>
        <w:ind w:left="720"/>
        <w:contextualSpacing/>
        <w:jc w:val="both"/>
        <w:rPr>
          <w:rFonts w:ascii="Arial" w:eastAsia="Calibri" w:hAnsi="Arial" w:cs="Arial"/>
          <w:b/>
          <w:lang w:val="es-ES"/>
        </w:rPr>
      </w:pPr>
    </w:p>
    <w:p w:rsidR="006312E8" w:rsidRPr="006312E8" w:rsidRDefault="006312E8" w:rsidP="006312E8">
      <w:pPr>
        <w:spacing w:after="0" w:line="240" w:lineRule="auto"/>
        <w:ind w:left="1276" w:hanging="1276"/>
        <w:contextualSpacing/>
        <w:jc w:val="both"/>
        <w:rPr>
          <w:rFonts w:ascii="Arial" w:eastAsia="Calibri" w:hAnsi="Arial" w:cs="Arial"/>
          <w:b/>
          <w:lang w:val="es-ES"/>
        </w:rPr>
      </w:pPr>
      <w:r w:rsidRPr="006312E8">
        <w:rPr>
          <w:rFonts w:ascii="Arial" w:eastAsia="Calibri" w:hAnsi="Arial" w:cs="Arial"/>
          <w:b/>
          <w:lang w:val="es-ES"/>
        </w:rPr>
        <w:t>Artículo 8.- De la intervención de los Verificadores ad hoc en los supuestos de prevalencia registral</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Facúltese a los ingenieros civiles, arquitectos, ingenieros agrónomos y agrícolas que se encuentren registrados en el Índice de Verificadores de la SUNARP a aplicar los criterios de prevalencia registral establecidos en el Reglamento que se aprueba en el artículo primero del presente Decreto Supremo, siempre y cuando acrediten que intervienen a solicitud del Sujeto Activo de la expropiación.</w:t>
      </w:r>
    </w:p>
    <w:p w:rsidR="006312E8" w:rsidRPr="006312E8" w:rsidRDefault="006312E8" w:rsidP="006312E8">
      <w:pPr>
        <w:spacing w:after="0" w:line="240" w:lineRule="auto"/>
        <w:contextualSpacing/>
        <w:jc w:val="both"/>
        <w:rPr>
          <w:rFonts w:ascii="Arial" w:eastAsia="Calibri" w:hAnsi="Arial" w:cs="Arial"/>
          <w:lang w:val="es-ES"/>
        </w:rPr>
      </w:pPr>
    </w:p>
    <w:p w:rsidR="00881964" w:rsidRDefault="006312E8" w:rsidP="00881964">
      <w:pPr>
        <w:spacing w:after="0" w:line="240" w:lineRule="auto"/>
        <w:jc w:val="both"/>
        <w:rPr>
          <w:rFonts w:ascii="Arial" w:eastAsia="Calibri" w:hAnsi="Arial" w:cs="Arial"/>
          <w:lang w:val="es-ES"/>
        </w:rPr>
      </w:pPr>
      <w:r w:rsidRPr="006312E8">
        <w:rPr>
          <w:rFonts w:ascii="Arial" w:eastAsia="Calibri" w:hAnsi="Arial" w:cs="Arial"/>
          <w:lang w:val="es-ES"/>
        </w:rPr>
        <w:t>Los verificadores Ad hoc antes señalados asumen responsabilidad respecto a la veracidad de la información técnica que verifican y declaran ante la SUNARP; así como su conformidad con las normas vigentes.</w:t>
      </w:r>
      <w:r w:rsidR="00881964">
        <w:rPr>
          <w:rFonts w:ascii="Arial" w:eastAsia="Calibri" w:hAnsi="Arial" w:cs="Arial"/>
          <w:lang w:val="es-ES"/>
        </w:rPr>
        <w:t xml:space="preserve"> (*)</w:t>
      </w:r>
      <w:r w:rsidR="00881964" w:rsidRPr="006312E8">
        <w:rPr>
          <w:rFonts w:ascii="Arial" w:eastAsia="Calibri" w:hAnsi="Arial" w:cs="Arial"/>
          <w:lang w:val="es-ES"/>
        </w:rPr>
        <w:t>.</w:t>
      </w:r>
    </w:p>
    <w:p w:rsidR="00881964" w:rsidRPr="006620AD" w:rsidRDefault="00881964" w:rsidP="00881964">
      <w:pPr>
        <w:spacing w:after="0" w:line="240" w:lineRule="auto"/>
        <w:jc w:val="both"/>
        <w:rPr>
          <w:rFonts w:ascii="Arial" w:eastAsia="Calibri" w:hAnsi="Arial" w:cs="Arial"/>
          <w:b/>
          <w:sz w:val="16"/>
          <w:szCs w:val="16"/>
          <w:lang w:val="es-ES"/>
        </w:rPr>
      </w:pPr>
      <w:r w:rsidRPr="006620AD">
        <w:rPr>
          <w:rFonts w:ascii="Arial" w:eastAsia="Calibri" w:hAnsi="Arial" w:cs="Arial"/>
          <w:color w:val="FF0000"/>
          <w:sz w:val="16"/>
          <w:szCs w:val="16"/>
          <w:lang w:val="es-ES"/>
        </w:rPr>
        <w:t>(*)</w:t>
      </w:r>
      <w:r>
        <w:rPr>
          <w:rFonts w:ascii="Arial" w:eastAsia="Calibri" w:hAnsi="Arial" w:cs="Arial"/>
          <w:lang w:val="es-ES"/>
        </w:rPr>
        <w:t xml:space="preserve"> </w:t>
      </w:r>
      <w:r>
        <w:rPr>
          <w:rFonts w:ascii="Arial" w:eastAsia="Calibri" w:hAnsi="Arial" w:cs="Arial"/>
          <w:b/>
          <w:color w:val="FF0000"/>
          <w:sz w:val="16"/>
          <w:szCs w:val="16"/>
          <w:lang w:val="es-ES"/>
        </w:rPr>
        <w:t>DEROGADO por el Decreto Supremo N° 019-2015-VIVIENDA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1276" w:hanging="1276"/>
        <w:contextualSpacing/>
        <w:jc w:val="both"/>
        <w:rPr>
          <w:rFonts w:ascii="Arial" w:eastAsia="Calibri" w:hAnsi="Arial" w:cs="Arial"/>
          <w:b/>
          <w:lang w:val="es-ES"/>
        </w:rPr>
      </w:pPr>
      <w:r w:rsidRPr="006312E8">
        <w:rPr>
          <w:rFonts w:ascii="Arial" w:eastAsia="Calibri" w:hAnsi="Arial" w:cs="Arial"/>
          <w:b/>
          <w:lang w:val="es-ES"/>
        </w:rPr>
        <w:t>Artículo 9.- De los requisitos para el ingreso de los verificadores ad hoc al Índice de Verificadores de la SUNARP</w:t>
      </w:r>
    </w:p>
    <w:p w:rsidR="00881964" w:rsidRDefault="006312E8" w:rsidP="00881964">
      <w:pPr>
        <w:spacing w:after="0" w:line="240" w:lineRule="auto"/>
        <w:jc w:val="both"/>
        <w:rPr>
          <w:rFonts w:ascii="Arial" w:eastAsia="Calibri" w:hAnsi="Arial" w:cs="Arial"/>
          <w:lang w:val="es-ES"/>
        </w:rPr>
      </w:pPr>
      <w:r w:rsidRPr="006312E8">
        <w:rPr>
          <w:rFonts w:ascii="Arial" w:eastAsia="Calibri" w:hAnsi="Arial" w:cs="Arial"/>
          <w:lang w:val="es-ES"/>
        </w:rPr>
        <w:t>La SUNARP establecerá los requisitos necesarios para el ingreso de los verificadores ad hoc al Índice de Verificadores de la SUNARP.</w:t>
      </w:r>
      <w:r w:rsidR="00881964">
        <w:rPr>
          <w:rFonts w:ascii="Arial" w:eastAsia="Calibri" w:hAnsi="Arial" w:cs="Arial"/>
          <w:lang w:val="es-ES"/>
        </w:rPr>
        <w:t xml:space="preserve"> (*)</w:t>
      </w:r>
      <w:r w:rsidR="00881964" w:rsidRPr="006312E8">
        <w:rPr>
          <w:rFonts w:ascii="Arial" w:eastAsia="Calibri" w:hAnsi="Arial" w:cs="Arial"/>
          <w:lang w:val="es-ES"/>
        </w:rPr>
        <w:t>.</w:t>
      </w:r>
    </w:p>
    <w:p w:rsidR="00881964" w:rsidRPr="006620AD" w:rsidRDefault="00881964" w:rsidP="00881964">
      <w:pPr>
        <w:spacing w:after="0" w:line="240" w:lineRule="auto"/>
        <w:jc w:val="both"/>
        <w:rPr>
          <w:rFonts w:ascii="Arial" w:eastAsia="Calibri" w:hAnsi="Arial" w:cs="Arial"/>
          <w:b/>
          <w:sz w:val="16"/>
          <w:szCs w:val="16"/>
          <w:lang w:val="es-ES"/>
        </w:rPr>
      </w:pPr>
      <w:r w:rsidRPr="006620AD">
        <w:rPr>
          <w:rFonts w:ascii="Arial" w:eastAsia="Calibri" w:hAnsi="Arial" w:cs="Arial"/>
          <w:color w:val="FF0000"/>
          <w:sz w:val="16"/>
          <w:szCs w:val="16"/>
          <w:lang w:val="es-ES"/>
        </w:rPr>
        <w:t>(*)</w:t>
      </w:r>
      <w:r>
        <w:rPr>
          <w:rFonts w:ascii="Arial" w:eastAsia="Calibri" w:hAnsi="Arial" w:cs="Arial"/>
          <w:lang w:val="es-ES"/>
        </w:rPr>
        <w:t xml:space="preserve"> </w:t>
      </w:r>
      <w:r>
        <w:rPr>
          <w:rFonts w:ascii="Arial" w:eastAsia="Calibri" w:hAnsi="Arial" w:cs="Arial"/>
          <w:b/>
          <w:color w:val="FF0000"/>
          <w:sz w:val="16"/>
          <w:szCs w:val="16"/>
          <w:lang w:val="es-ES"/>
        </w:rPr>
        <w:t>DEROGADO por el Decreto Supremo N° 019-2015-VIVIENDA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10.- De las sanciones a los verificadores ad hoc</w:t>
      </w:r>
    </w:p>
    <w:p w:rsidR="00881964" w:rsidRDefault="006312E8" w:rsidP="00881964">
      <w:pPr>
        <w:spacing w:after="0" w:line="240" w:lineRule="auto"/>
        <w:jc w:val="both"/>
        <w:rPr>
          <w:rFonts w:ascii="Arial" w:eastAsia="Calibri" w:hAnsi="Arial" w:cs="Arial"/>
          <w:lang w:val="es-ES"/>
        </w:rPr>
      </w:pPr>
      <w:r w:rsidRPr="006312E8">
        <w:rPr>
          <w:rFonts w:ascii="Arial" w:eastAsia="Calibri" w:hAnsi="Arial" w:cs="Arial"/>
          <w:lang w:val="es-ES"/>
        </w:rPr>
        <w:t>La SUNARP, podrá imponer una sanción a los verificadores ad hoc, siempre que se acredite el incumplimiento de sus funciones y obligaciones, para lo cual se seguirá el procedimiento respectivo previsto en el Índice de Verificadores de la SUNARP.</w:t>
      </w:r>
      <w:r w:rsidR="00881964">
        <w:rPr>
          <w:rFonts w:ascii="Arial" w:eastAsia="Calibri" w:hAnsi="Arial" w:cs="Arial"/>
          <w:lang w:val="es-ES"/>
        </w:rPr>
        <w:t xml:space="preserve"> (*)</w:t>
      </w:r>
      <w:r w:rsidR="00881964" w:rsidRPr="006312E8">
        <w:rPr>
          <w:rFonts w:ascii="Arial" w:eastAsia="Calibri" w:hAnsi="Arial" w:cs="Arial"/>
          <w:lang w:val="es-ES"/>
        </w:rPr>
        <w:t>.</w:t>
      </w:r>
    </w:p>
    <w:p w:rsidR="00881964" w:rsidRPr="006620AD" w:rsidRDefault="00881964" w:rsidP="00881964">
      <w:pPr>
        <w:spacing w:after="0" w:line="240" w:lineRule="auto"/>
        <w:jc w:val="both"/>
        <w:rPr>
          <w:rFonts w:ascii="Arial" w:eastAsia="Calibri" w:hAnsi="Arial" w:cs="Arial"/>
          <w:b/>
          <w:sz w:val="16"/>
          <w:szCs w:val="16"/>
          <w:lang w:val="es-ES"/>
        </w:rPr>
      </w:pPr>
      <w:r w:rsidRPr="006620AD">
        <w:rPr>
          <w:rFonts w:ascii="Arial" w:eastAsia="Calibri" w:hAnsi="Arial" w:cs="Arial"/>
          <w:color w:val="FF0000"/>
          <w:sz w:val="16"/>
          <w:szCs w:val="16"/>
          <w:lang w:val="es-ES"/>
        </w:rPr>
        <w:t>(*)</w:t>
      </w:r>
      <w:r>
        <w:rPr>
          <w:rFonts w:ascii="Arial" w:eastAsia="Calibri" w:hAnsi="Arial" w:cs="Arial"/>
          <w:lang w:val="es-ES"/>
        </w:rPr>
        <w:t xml:space="preserve"> </w:t>
      </w:r>
      <w:r>
        <w:rPr>
          <w:rFonts w:ascii="Arial" w:eastAsia="Calibri" w:hAnsi="Arial" w:cs="Arial"/>
          <w:b/>
          <w:color w:val="FF0000"/>
          <w:sz w:val="16"/>
          <w:szCs w:val="16"/>
          <w:lang w:val="es-ES"/>
        </w:rPr>
        <w:t>DEROGADO por el Decreto Supremo N° 019-2015-VIVIENDA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11.- Refrendo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presente Decreto Supremo será refrendado por el Ministro de Vivienda, Construcción y Saneamiento y por el Ministro de Justicia y Derechos Humanos.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Dado en la Casa de Gobierno, en Lima, a los veintidós días del mes de setiembre de dos mil trece.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b/>
        <w:t>OLLANTA HUMALA TASSO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Presidente Constitucional de la República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b/>
        <w:t>RENÉ CORNEJO DÍAZ</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Ministro de Vivienda, Construcción y Saneamiento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b/>
        <w:t>DANIEL FIGALLO RIVADENEYRA</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b/>
        <w:t>Ministro de Justicia y Derechos Humanos</w:t>
      </w:r>
    </w:p>
    <w:p w:rsidR="006312E8" w:rsidRPr="006312E8" w:rsidRDefault="006312E8"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center"/>
        <w:rPr>
          <w:rFonts w:ascii="Arial" w:eastAsia="Calibri" w:hAnsi="Arial" w:cs="Arial"/>
          <w:b/>
          <w:sz w:val="24"/>
          <w:szCs w:val="24"/>
          <w:lang w:val="es-ES"/>
        </w:rPr>
      </w:pPr>
    </w:p>
    <w:p w:rsidR="00246CE9" w:rsidRDefault="00246CE9" w:rsidP="006312E8">
      <w:pPr>
        <w:spacing w:after="0" w:line="240" w:lineRule="auto"/>
        <w:contextualSpacing/>
        <w:jc w:val="center"/>
        <w:rPr>
          <w:rFonts w:ascii="Arial" w:eastAsia="Calibri" w:hAnsi="Arial" w:cs="Arial"/>
          <w:b/>
          <w:sz w:val="24"/>
          <w:szCs w:val="24"/>
          <w:lang w:val="es-ES"/>
        </w:rPr>
      </w:pPr>
    </w:p>
    <w:p w:rsidR="00246CE9" w:rsidRDefault="00246CE9" w:rsidP="006312E8">
      <w:pPr>
        <w:spacing w:after="0" w:line="240" w:lineRule="auto"/>
        <w:contextualSpacing/>
        <w:jc w:val="center"/>
        <w:rPr>
          <w:rFonts w:ascii="Arial" w:eastAsia="Calibri" w:hAnsi="Arial" w:cs="Arial"/>
          <w:b/>
          <w:sz w:val="24"/>
          <w:szCs w:val="24"/>
          <w:lang w:val="es-ES"/>
        </w:rPr>
      </w:pPr>
    </w:p>
    <w:p w:rsidR="00246CE9" w:rsidRDefault="00246CE9" w:rsidP="006312E8">
      <w:pPr>
        <w:spacing w:after="0" w:line="240" w:lineRule="auto"/>
        <w:contextualSpacing/>
        <w:jc w:val="center"/>
        <w:rPr>
          <w:rFonts w:ascii="Arial" w:eastAsia="Calibri" w:hAnsi="Arial" w:cs="Arial"/>
          <w:b/>
          <w:sz w:val="24"/>
          <w:szCs w:val="24"/>
          <w:lang w:val="es-ES"/>
        </w:rPr>
      </w:pPr>
    </w:p>
    <w:p w:rsidR="00246CE9" w:rsidRDefault="00246CE9" w:rsidP="006312E8">
      <w:pPr>
        <w:spacing w:after="0" w:line="240" w:lineRule="auto"/>
        <w:contextualSpacing/>
        <w:jc w:val="center"/>
        <w:rPr>
          <w:rFonts w:ascii="Arial" w:eastAsia="Calibri" w:hAnsi="Arial" w:cs="Arial"/>
          <w:b/>
          <w:sz w:val="24"/>
          <w:szCs w:val="24"/>
          <w:lang w:val="es-ES"/>
        </w:rPr>
      </w:pPr>
    </w:p>
    <w:p w:rsidR="006312E8" w:rsidRPr="006312E8" w:rsidRDefault="006312E8" w:rsidP="00F47618">
      <w:pPr>
        <w:pStyle w:val="TITO2"/>
      </w:pPr>
      <w:bookmarkStart w:id="478" w:name="_Toc421025484"/>
      <w:bookmarkStart w:id="479" w:name="_Toc470855591"/>
      <w:r w:rsidRPr="006312E8">
        <w:t>DECRETO SUPREMO Nº 013-2015-PRODUCE</w:t>
      </w:r>
      <w:bookmarkEnd w:id="478"/>
      <w:bookmarkEnd w:id="479"/>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Aprueban Reglamento de la Ley Nº 30078 - Ley que promueve el desarrollo de Parques Industriales Tecno – Ecológicos</w:t>
      </w:r>
    </w:p>
    <w:p w:rsidR="006312E8" w:rsidRPr="006312E8" w:rsidRDefault="006312E8" w:rsidP="006312E8">
      <w:pPr>
        <w:spacing w:after="0" w:line="240" w:lineRule="auto"/>
        <w:contextualSpacing/>
        <w:jc w:val="center"/>
        <w:rPr>
          <w:rFonts w:ascii="Arial" w:eastAsia="Calibri" w:hAnsi="Arial" w:cs="Arial"/>
          <w:b/>
          <w:lang w:val="es-ES"/>
        </w:rPr>
      </w:pPr>
    </w:p>
    <w:p w:rsidR="006312E8" w:rsidRPr="006312E8" w:rsidRDefault="006312E8" w:rsidP="006312E8">
      <w:pPr>
        <w:spacing w:after="0" w:line="240" w:lineRule="auto"/>
        <w:contextualSpacing/>
        <w:jc w:val="right"/>
        <w:rPr>
          <w:rFonts w:ascii="Arial" w:eastAsia="Calibri" w:hAnsi="Arial" w:cs="Arial"/>
          <w:b/>
          <w:lang w:val="es-ES"/>
        </w:rPr>
      </w:pPr>
      <w:r w:rsidRPr="006312E8">
        <w:rPr>
          <w:rFonts w:ascii="Arial" w:eastAsia="Calibri" w:hAnsi="Arial" w:cs="Arial"/>
          <w:b/>
          <w:lang w:val="es-ES"/>
        </w:rPr>
        <w:t>Fecha de publicación: 18-04-2015</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EL PRESIDENTE DE LA REPÚBLICA</w:t>
      </w: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CONSIDERANDO: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a través de la Ley Nº 30078, Ley que Promueve el Desarrollo de Parques Industriales Tecno-Ecológicos, en adelante la Ley, se promueve y regula la creación de parques industriales tecno-ecológicos mediante propuestas públicas o privadas;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de conformidad con el artículo I del Título Preliminar de la Ley, la creación de los parques industriales tecno-ecológicos forma parte de la estrategia nacional de promoción de la competitividad, asociatividad y rentabilidad de las unidades productivas del sector industrial en general, incluido el agroindustrial, en un contexto de desarrollo económico y social de las regiones y de descentralización de las actividades económicas;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en el artículo II del Título Preliminar de la Ley se señala que son fines de los Parques Industriales Tecno-ecológicos (PITE) garantizar el crecimiento y desarrollo ordenado de las industrias a nivel nacional con enfoque de cluster, en concordancia con el cuidado del ambiente, el uso eficiente de la energía, la responsabilidad social y el cuidado del agua, de conformidad con la legislación vigente sobre la materia; además, desarrollar emprendimientos productivos agroindustriales con base tecno-ecológica, con la finalidad de incorporar valor agregado a su producción primaria en las distintas regiones naturales del país;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mediante la Segunda Disposición Complementaria Final de la Ley se encarga al Ministerio de la Producción, al Ministerio de Comercio Exterior y Turismo y al Ministerio del Ambiente la elaboración de su reglamento;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Que, el Ministerio de la Producción es la autoridad rectora en materia industrial, encargada de fomentar el desarrollo de las empresas e incremento de competitividad; así como de promover y orientar en el ámbito del subsector industria, la innovación tecnológica y la transferencia de tecnologías, fomentando alianzas tecnológicas dentro y fuera del país;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De conformidad con lo establecido en el inciso 8) del artículo 118 de la Constitución Política del Perú, y la Ley Nº 29158 - Ley Orgánica del Poder Ejecutivo.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DECRETA:</w:t>
      </w: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 Aprobación</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Apruébese el Reglamento de la Ley Nº 30078, Ley que Promueve el Desarrollo de Parques Industriales Tecno-Ecológicos, el cual consta de nueve (9) títulos, cuarenta (40) artículos, cuatro (4) Disposiciones Complementarias Finales, dos (2) Disposiciones Complementarias Transitorias y cinco (5) Anexos, que forman parte integrante del presente Decreto Supremo.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2.- Refrendo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presente Decreto Supremo es refrendado por el Ministro de la Producción, el Ministro del Ambiente y la Ministra de Comercio Exterior y Turismo.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Dado en la Casa de Gobierno, en Lima, a los diecisiete días del mes de abril del año dos mil quince.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OLLANTA HUMALA TASSO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Presidente Constitucional de la República</w:t>
      </w:r>
    </w:p>
    <w:p w:rsidR="006312E8" w:rsidRDefault="006312E8" w:rsidP="006312E8">
      <w:pPr>
        <w:spacing w:after="0" w:line="240" w:lineRule="auto"/>
        <w:contextualSpacing/>
        <w:jc w:val="both"/>
        <w:rPr>
          <w:rFonts w:ascii="Arial" w:eastAsia="Calibri" w:hAnsi="Arial" w:cs="Arial"/>
          <w:lang w:val="es-ES"/>
        </w:rPr>
      </w:pPr>
    </w:p>
    <w:p w:rsidR="00F47618" w:rsidRPr="006312E8" w:rsidRDefault="00F4761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PIERO GHEZZI SOLÍS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Ministro de la Producción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MANUEL PULGAR-VIDAL OTALORA</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Ministro del Ambiente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MAGALI SILVA VELARDE-ALVAREZ</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Ministra de Comercio Exterior y Turismo</w:t>
      </w:r>
    </w:p>
    <w:p w:rsidR="006312E8" w:rsidRPr="006312E8" w:rsidRDefault="006312E8"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center"/>
        <w:rPr>
          <w:rFonts w:ascii="Arial" w:eastAsia="Calibri" w:hAnsi="Arial" w:cs="Arial"/>
          <w:b/>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REGLAMENTO DE LA LEY Nº 30078</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LEY QUE PROMUEVE EL DESARROLLO DE PARQUES INDUSTRIALES TECNO-ECOLÓGICOS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TÍTULO I</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DISPOSICIONES GENERALES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 Objeto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presente Reglamento tiene por objeto establecer las disposiciones reglamentarias de la Ley Nº 30078, Ley que Promueve el Desarrollo de Parques Industriales Tecno-Ecológicos.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2.- Ámbito de aplicación</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Las disposiciones contenidas en el presente Reglamento se aplican a las entidades públicas y privadas que participen en la promoción, desarrollo e implementación de los PITE en el territorio nacional.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3.- Finalidad del Reglamento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presente Reglamento tiene por finalidad establecer los lineamientos para la promoción e implementación de los PITE como medio para el desarrollo de emprendimientos productivos industriales, incluidos los agroindustriales, garantizando el crecimiento y desarrollo ordenado de las industrias a nivel nacional con enfoque de clúster, en concordancia con el cuidado del ambiente, el uso eficiente de la energía, la responsabilidad social y el cuidado del agua, entre otros, de conformidad con la legislación vigente sobre la materia.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Los PITE se enmarcan en las políticas nacionales dictadas para el desarrollo industrial por el Ministerio de la Producción, conforme al mandato del artículo 3 de la Ley.</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4.- Definiciones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A efecto del presente Reglamento debe entenderse por:</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167"/>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Actividad Productiva: Conjunto de operaciones destinadas a la producción industrial de bienes y servicios, así como también, todas las actividades conexas que coadyuvan al desarrollo de la misma.</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92471C">
      <w:pPr>
        <w:numPr>
          <w:ilvl w:val="1"/>
          <w:numId w:val="167"/>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Clasificación Industrial Internacional Uniforme (CIIU): Clasificación internacional de referencia de las actividades productivas.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1"/>
          <w:numId w:val="167"/>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Consorcio: Contratos asociativos a que se refiere el artículo 5 de la Ley Nº 30078, conformados para desarrollar una propuesta de PITE por empresas que se instalarán en él. Al menos el 30% de las empresas que conforman el consorcio deberán contar con un mínimo de cinco (05) años de haber sido constituidas.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1"/>
          <w:numId w:val="167"/>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Desarrollo Sostenible: Desarrollo que cubre las necesidades del presente sin comprometer la capacidad de las generaciones futuras de cubrir sus propias necesidades. La acotada definición incluye dos conceptos fundamentales: a) “necesidades”, en particular aquellas inherentes a los más vulnerables, a quienes se debe dar prioridad; y, b) “limitaciones”, referidas a la capacidad del ambiente para resolver necesidades presentes y futuras impuestas por el estado de la tecnología y la organización social.</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1"/>
          <w:numId w:val="167"/>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Ecoeficiencia: Capacidad de producir bienes y servicios con menor impacto ambiental, logrando un estado óptimo de desempeño de la empresa, con un enfoque responsable con el ambiente y con la sociedad.</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1"/>
          <w:numId w:val="167"/>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Empresas Instaladas: Empresas que han suscrito un contrato de arrendamiento de lote con la administración del PITE, así como aquellas empresas que conforman el consorcio una vez que se instalen en el PITE.</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1"/>
          <w:numId w:val="167"/>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Habilitación Urbano - Industrial: Proceso de convertir un terreno rústico o eriazo en urbano, mediante la ejecución de obras de accesibilidad de distribución de agua y recolección de desagüe, de distribución de energía e iluminación pública, pistas, veredas y redes de comunicaciones. Adicionalmente, el terreno podrá contar con redes para la distribución de gas.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1"/>
          <w:numId w:val="167"/>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Instrumentos de Gestión Ambiental: Mecanismos orientados a la ejecución de la política ambiental sobre la base de los principios establecidos en la Ley General del Ambiente, y en lo previsto por sus normas complementarias y reglamentarias. Los tipos de instrumentos de gestión ambiental y su cumplimiento son los señalados en los artículos 17 y 18 de la Ley General del Ambiente, Ley Nº 28611.</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1"/>
          <w:numId w:val="167"/>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Instrumentos de Gestión Ambiental de Adecuación: Instrumentos que facilitan la adecuación de una actividad económica en curso a obligaciones ambientales nuevas, conforme a lo establecido en el artículo 26 de la Ley General del Ambiente, Ley Nº 28611.</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1"/>
          <w:numId w:val="167"/>
        </w:numPr>
        <w:spacing w:after="0" w:line="240" w:lineRule="auto"/>
        <w:ind w:left="567" w:hanging="567"/>
        <w:contextualSpacing/>
        <w:jc w:val="both"/>
        <w:rPr>
          <w:rFonts w:ascii="Arial" w:eastAsia="Calibri" w:hAnsi="Arial" w:cs="Arial"/>
          <w:lang w:val="es-ES"/>
        </w:rPr>
      </w:pPr>
      <w:r w:rsidRPr="006312E8">
        <w:rPr>
          <w:rFonts w:ascii="Arial" w:eastAsia="Calibri" w:hAnsi="Arial" w:cs="Arial"/>
          <w:lang w:val="es-ES"/>
        </w:rPr>
        <w:t>Ley: Ley Nº 30078, Ley que Promueve el Desarrollo de Parques Industriales Tecno-Ecológicos.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1"/>
          <w:numId w:val="167"/>
        </w:numPr>
        <w:spacing w:after="0" w:line="240" w:lineRule="auto"/>
        <w:ind w:left="567" w:hanging="567"/>
        <w:contextualSpacing/>
        <w:jc w:val="both"/>
        <w:rPr>
          <w:rFonts w:ascii="Arial" w:eastAsia="Calibri" w:hAnsi="Arial" w:cs="Arial"/>
          <w:lang w:val="es-ES"/>
        </w:rPr>
      </w:pPr>
      <w:r w:rsidRPr="006312E8">
        <w:rPr>
          <w:rFonts w:ascii="Arial" w:eastAsia="Calibri" w:hAnsi="Arial" w:cs="Arial"/>
          <w:lang w:val="es-ES"/>
        </w:rPr>
        <w:t>Lote: Espacio en que se divide el terreno del PITE, donde se edificarán los establecimientos para la instalación de las empresas.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1"/>
          <w:numId w:val="167"/>
        </w:numPr>
        <w:spacing w:after="0" w:line="240" w:lineRule="auto"/>
        <w:ind w:left="567" w:hanging="567"/>
        <w:contextualSpacing/>
        <w:jc w:val="both"/>
        <w:rPr>
          <w:rFonts w:ascii="Arial" w:eastAsia="Calibri" w:hAnsi="Arial" w:cs="Arial"/>
          <w:lang w:val="es-ES"/>
        </w:rPr>
      </w:pPr>
      <w:r w:rsidRPr="006312E8">
        <w:rPr>
          <w:rFonts w:ascii="Arial" w:eastAsia="Calibri" w:hAnsi="Arial" w:cs="Arial"/>
          <w:lang w:val="es-ES"/>
        </w:rPr>
        <w:t>Predio Público: Terrenos de dominio privado del Estado; es decir, aquellos terrenos estatales que siendo propiedad del Gobierno Regional o Local de ámbito provincial o de alguna otra entidad estatal, no están destinados al uso público ni afectados a algún servicio público y respecto de los cuales su titular ejerce el derecho de propiedad con todos sus atributos.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1"/>
          <w:numId w:val="167"/>
        </w:numPr>
        <w:spacing w:after="0" w:line="240" w:lineRule="auto"/>
        <w:ind w:left="567" w:hanging="567"/>
        <w:contextualSpacing/>
        <w:jc w:val="both"/>
        <w:rPr>
          <w:rFonts w:ascii="Arial" w:eastAsia="Calibri" w:hAnsi="Arial" w:cs="Arial"/>
          <w:lang w:val="es-ES"/>
        </w:rPr>
      </w:pPr>
      <w:r w:rsidRPr="006312E8">
        <w:rPr>
          <w:rFonts w:ascii="Arial" w:eastAsia="Calibri" w:hAnsi="Arial" w:cs="Arial"/>
          <w:lang w:val="es-ES"/>
        </w:rPr>
        <w:t>Servicios Comunes: Activos tangibles e intangibles de uso común por las unidades productivas instaladas en los PITE. Incluyen infraestructura, plantas de tratamiento de agua y de residuos sólidos, equipamiento y servicios de soporte al desarrollo tecnológico y empresarial de las unidades productivas como es el caso de laboratorios, centros de documentación, y centros capacitación y asistencia técnica, entre otros.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1"/>
          <w:numId w:val="167"/>
        </w:numPr>
        <w:spacing w:after="0" w:line="240" w:lineRule="auto"/>
        <w:ind w:left="567" w:hanging="567"/>
        <w:contextualSpacing/>
        <w:jc w:val="both"/>
        <w:rPr>
          <w:rFonts w:ascii="Arial" w:eastAsia="Calibri" w:hAnsi="Arial" w:cs="Arial"/>
          <w:lang w:val="es-ES"/>
        </w:rPr>
      </w:pPr>
      <w:r w:rsidRPr="006312E8">
        <w:rPr>
          <w:rFonts w:ascii="Arial" w:eastAsia="Calibri" w:hAnsi="Arial" w:cs="Arial"/>
          <w:lang w:val="es-ES"/>
        </w:rPr>
        <w:t>Zona de Amortiguamiento Externa: Franja externa que forma parte del área total del PITE y que lo rodea en su totalidad con un ratio de frontera determinado por el gobierno regional y/o local, con la finalidad de mitigar los impactos ambientales; está estimada para un horizonte de tiempo no menor de cuarenta (40) años, donde no podrá desarrollarse ninguna actividad económica ni permitirse vivienda alguna. La administración de la zona de amortiguamiento estará a cargo de la administración del PITE. Su extensión estará determinada en función a la naturaleza de las actividades que se van a desarrollar en el PITE.</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1"/>
          <w:numId w:val="167"/>
        </w:numPr>
        <w:spacing w:after="0" w:line="240" w:lineRule="auto"/>
        <w:ind w:left="567" w:hanging="567"/>
        <w:contextualSpacing/>
        <w:jc w:val="both"/>
        <w:rPr>
          <w:rFonts w:ascii="Arial" w:eastAsia="Calibri" w:hAnsi="Arial" w:cs="Arial"/>
          <w:lang w:val="es-ES"/>
        </w:rPr>
      </w:pPr>
      <w:r w:rsidRPr="006312E8">
        <w:rPr>
          <w:rFonts w:ascii="Arial" w:eastAsia="Calibri" w:hAnsi="Arial" w:cs="Arial"/>
          <w:lang w:val="es-ES"/>
        </w:rPr>
        <w:t>Zona de Amortiguamiento Interna: Zona interna del PITE, establecida y determinada cuando la naturaleza de las actividades a realizarse en el PITE así lo exige.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TÍTULO II</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FUNCIONES DE LOS TRES NIVELES DE GOBIERNO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5.- Gobierno Nacional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245"/>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El Ministerio de la Producción es el ente rector de las políticas nacionales en materia de industria y coordina con las demás entidades de todos los niveles gubernamentales el desarrollo de infraestructura productiva a nivel nacional. En ese sentido, establece lineamientos generales y estándares para el mejor desarrollo de los PITE que se creen al amparo de la Ley como parte de las políticas nacionales a su cargo, de tal manera que los PITE se integren en el sistema nacional de parques industriales, de infraestructura productiva y de ecosistemas productivos en desarrollo; estableciéndose así una estrategia coherente entre el gobierno nacional, gobiernos regionales y gobiernos locales.</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6312E8">
      <w:p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Las entidades involucradas por mandato de la Ley en el desarrollo de los PITE, deberán coordinar sus acciones bajo la dirección del Ministerio de la Producción como ente rector, tanto para interactuar con el mercado interno como con el externo, y alinear sus acciones a las políticas nacionales establecidas por dicho Ministerio.</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92471C">
      <w:pPr>
        <w:numPr>
          <w:ilvl w:val="1"/>
          <w:numId w:val="245"/>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El Ministerio de la Producción facilita a las empresas y consumidores en general la información sobre la ubicación de los PITE y se encarga de la promoción de los productos y servicios que brindan a través de portales web, publicaciones, entre otros, cuando éstos sean destinados al mercado nacional.</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92471C">
      <w:pPr>
        <w:numPr>
          <w:ilvl w:val="1"/>
          <w:numId w:val="245"/>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El Ministerio de Comercio Exterior y Turismo facilita la información y promueve la oferta exportable de productos y servicios que ofrezcan los PITE, cuando éstos sean destinados al mercado externo.</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1"/>
          <w:numId w:val="245"/>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El Ministerio del Ambiente, promueve la aplicación de medias de Ecoeficiencia, para la disminución de los impactos al ambiente y uso sostenible de los recursos naturales, de tal manera que se contribuya con la competitividad del país a través de un desempeño ambiental eficiente, mediante el ahorro de energía, agua, residuos, combustibles, entre otros.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6.- Gobiernos Regionales y Gobiernos Locales de ámbito provincial</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Los Gobiernos Regionales y los Gobiernos Locales de ámbito provincial evalúan y aprueban las propuestas de desarrollo de un PITE, en concordancia con las políticas nacionales establecidas por el Ministerio de la Producción, debiendo los Gobiernos Regionales incorporar en sus Planes de Desarrollo Regional Concertado las actividades industriales y zonas donde podrán desarrollarse, en coordinación con los Gobiernos Locales de ámbito provincial y distrital. La ubicación del terreno que se destine para la instalación del PITE debe ser compatible con lo establecido en los instrumentos de planificación y ordenamiento territorial que tienen como finalidad orientar la ocupación ordenada y uso sostenible del territorio.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Los Gobiernos Regionales y los Gobiernos Locales de ámbito provincial seguirán obligatoriamente las políticas nacionales que como ente rector establezca el Ministerio de la Producción para el desarrollo de los PITE, conforme a lo establecido en el artículo 3 de la Ley; y facilitan al Ministerio de la Producción y al Ministerio de Comercio Exterior y Turismo la información requerida para la promoción a su cargo.</w:t>
      </w:r>
    </w:p>
    <w:p w:rsidR="006312E8" w:rsidRPr="006312E8" w:rsidRDefault="006312E8"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center"/>
        <w:rPr>
          <w:rFonts w:ascii="Arial" w:eastAsia="Calibri" w:hAnsi="Arial" w:cs="Arial"/>
          <w:b/>
          <w:lang w:val="es-ES"/>
        </w:rPr>
      </w:pPr>
    </w:p>
    <w:p w:rsidR="00246CE9" w:rsidRDefault="00246CE9" w:rsidP="006312E8">
      <w:pPr>
        <w:spacing w:after="0" w:line="240" w:lineRule="auto"/>
        <w:contextualSpacing/>
        <w:jc w:val="center"/>
        <w:rPr>
          <w:rFonts w:ascii="Arial" w:eastAsia="Calibri" w:hAnsi="Arial" w:cs="Arial"/>
          <w:b/>
          <w:lang w:val="es-ES"/>
        </w:rPr>
      </w:pPr>
    </w:p>
    <w:p w:rsidR="00246CE9" w:rsidRDefault="00246CE9" w:rsidP="006312E8">
      <w:pPr>
        <w:spacing w:after="0" w:line="240" w:lineRule="auto"/>
        <w:contextualSpacing/>
        <w:jc w:val="center"/>
        <w:rPr>
          <w:rFonts w:ascii="Arial" w:eastAsia="Calibri" w:hAnsi="Arial" w:cs="Arial"/>
          <w:b/>
          <w:lang w:val="es-ES"/>
        </w:rPr>
      </w:pPr>
    </w:p>
    <w:p w:rsidR="00246CE9" w:rsidRDefault="00246CE9" w:rsidP="006312E8">
      <w:pPr>
        <w:spacing w:after="0" w:line="240" w:lineRule="auto"/>
        <w:contextualSpacing/>
        <w:jc w:val="center"/>
        <w:rPr>
          <w:rFonts w:ascii="Arial" w:eastAsia="Calibri" w:hAnsi="Arial" w:cs="Arial"/>
          <w:b/>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TÍTULO III</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PARQUE INDUSTRIAL TECNO-ECOLÓGICO - PITE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7.- PITE con enfoque de cluster y naturaleza tecno ecológica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168"/>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Un PITE con enfoque de cluster es un espacio especializado en el cual las empresas industriales cooperan entre ellas para compartir recursos y utilizarlos de forma eficiente, formando cadenas de valor que contribuyen a su productividad y competitividad.</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92471C">
      <w:pPr>
        <w:numPr>
          <w:ilvl w:val="1"/>
          <w:numId w:val="168"/>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La naturaleza tecno-ecológica del PITE proviene de la aplicación, desarrollo y transferencia de tecnología vinculada a las cadenas productivas relacionadas con las actividades de las empresas que lo conforman, con el fin de desarrollar productos y servicios de alto valor agregado, considerando en todos sus procesos la aplicación y uso de tecnologías limpias, en concordancia con las normas nacionales e internacionales de calidad y respeto al medio ambiente. Los PITE deben contar con un centro de innovación y transferencia tecnológica.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1"/>
          <w:numId w:val="168"/>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Los centros de innovación y transferencia tecnológica promueven la asimilación y desarrollo de nuevas tecnologías para las empresas instaladas en el PITE; y, ejecutan actividades de capacitación con el objeto de elevar las capacidades en las especialidades de las empresas instaladas en él. Los centros pueden llevar a cabo proyectos en temas de interés para el PITE y las empresas instaladas en el mismo para otros PITE o para otras entidades con las que se establezcan convenios.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1"/>
          <w:numId w:val="168"/>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Los PITE que no cuenten con un centro de innovación y transferencia tecnológica deben suscribir un convenio con una institución nacional o internacional, tales como entidades de educación superior e instituciones de investigación aplicada, entre otras de similar naturaleza. De ser el caso, las actividades de capacitación antes descritas pueden cumplirse en las instalaciones de la institución con la que el PITE suscribió el convenio.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8.- Tipos de propuestas de desarrollo de un PITE</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Las propuestas de desarrollo de un PITE pueden ser:</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numPr>
          <w:ilvl w:val="2"/>
          <w:numId w:val="49"/>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Públicas, las cuales deberán ser presentadas por el Estado a través de un Gobierno Regional o Local de ámbito provincial.</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6312E8">
      <w:pPr>
        <w:numPr>
          <w:ilvl w:val="2"/>
          <w:numId w:val="49"/>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Privadas, las cuales deberán ser presentadas por un consorcio a un Gobierno Regional o Gobierno Local de ámbito provincial.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Las propuestas privadas tienen el carácter de peticiones de gracia, en concordancia con el artículo 112 de la Ley del Procedimiento Administrativo General.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9.- Contenido de las propuestas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Concordante con el artículo 6 de la Ley, toda propuesta de desarrollo de un PITE debe contener:</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169"/>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Perfil de la propuesta de desarrollo del PITE; cuyo contenido mínimo se detalla en el Anexo I, que forma parte del presente Reglamento.</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92471C">
      <w:pPr>
        <w:numPr>
          <w:ilvl w:val="1"/>
          <w:numId w:val="169"/>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Memoria descriptiva de la propuesta de desarrollo del PITE; cuyo contenido mínimo se detalla en el Anexo II, que forma parte del presente Reglamento.</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92471C">
      <w:pPr>
        <w:numPr>
          <w:ilvl w:val="1"/>
          <w:numId w:val="169"/>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Reglamento interno de operación y conservación del PITE; cuyo contenido mínimo se detalla en el Anexo III, que forma parte del presente Reglamento.</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92471C">
      <w:pPr>
        <w:numPr>
          <w:ilvl w:val="1"/>
          <w:numId w:val="169"/>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Certificado de Inexistencia de Restos Arqueológicos - CIRA.</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92471C">
      <w:pPr>
        <w:numPr>
          <w:ilvl w:val="1"/>
          <w:numId w:val="169"/>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Plan de manejo de residuos sólidos a nivel conceptual sobre la actividad industrial propuesta de conformidad con lo establecido en la Ley Nº 27314, Ley General de Residuos Sólidos y su reglamento, la Ley Nº 27446, Ley del Sistema Nacional de Evaluación del Impacto Ambiental, y su reglamento y el Decreto Supremo Nº 003-2013-VIVIENDA.</w:t>
      </w:r>
    </w:p>
    <w:p w:rsidR="006312E8" w:rsidRPr="006312E8" w:rsidRDefault="006312E8" w:rsidP="006312E8">
      <w:pPr>
        <w:spacing w:after="0" w:line="240" w:lineRule="auto"/>
        <w:ind w:left="709"/>
        <w:contextualSpacing/>
        <w:jc w:val="both"/>
        <w:rPr>
          <w:rFonts w:ascii="Arial" w:eastAsia="Calibri" w:hAnsi="Arial" w:cs="Arial"/>
          <w:lang w:val="es-ES"/>
        </w:rPr>
      </w:pPr>
    </w:p>
    <w:p w:rsidR="006312E8" w:rsidRPr="006312E8" w:rsidRDefault="006312E8" w:rsidP="0092471C">
      <w:pPr>
        <w:numPr>
          <w:ilvl w:val="1"/>
          <w:numId w:val="169"/>
        </w:numPr>
        <w:spacing w:after="0" w:line="240" w:lineRule="auto"/>
        <w:ind w:left="709"/>
        <w:contextualSpacing/>
        <w:jc w:val="both"/>
        <w:rPr>
          <w:rFonts w:ascii="Arial" w:eastAsia="Calibri" w:hAnsi="Arial" w:cs="Arial"/>
          <w:lang w:val="es-ES"/>
        </w:rPr>
      </w:pPr>
      <w:r w:rsidRPr="006312E8">
        <w:rPr>
          <w:rFonts w:ascii="Arial" w:eastAsia="Calibri" w:hAnsi="Arial" w:cs="Arial"/>
          <w:lang w:val="es-ES"/>
        </w:rPr>
        <w:t>Plan de manejo de residuos de la construcción, de conformidad con el Decreto Supremo Nº 003-2013-VIVIENDA.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10.- Terreno asignado al PITE</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Previa a la presentación de una propuesta de desarrollo de un PITE debe verificarse que el terreno en el que éste se implementará cumpla con: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251"/>
        </w:num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Estar ubicado en la zona identificada en el Plan de Desarrollo Regional Concertado para el desarrollo de PITE.</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92471C">
      <w:pPr>
        <w:numPr>
          <w:ilvl w:val="1"/>
          <w:numId w:val="251"/>
        </w:num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Contar con el saneamiento físico-legal de los predios identificados, asegurando que éstos sean compatibles con los instrumentos de planificación territorial y uso del suelo. Para ello, los Gobiernos Regionales y Locales de ámbito provincial tendrán en cuenta los instrumentos para la gestión territorial, principalmente los establecidos por el Ministerio de Vivienda, Construcción y Saneamiento, como el Reglamento de Acondicionamiento Territorial y Desarrollo Urbano, aprobado por Decreto Supremo Nº 004-2011-VIVIENDA y sus normas modificatorias; y los establecidos por el Ministerio del Ambiente, como los instrumentos técnicos sustentatorios del Ordenamiento Territorial, establecidos mediante Resolución Ministerial Nº 135-2013-MINAM.</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En tierras cuya capacidad de uso mayor es forestal o de protección o con cobertura forestal, regirá lo dispuesto en la Ley y su respectivo Reglamento sobre la materia.</w:t>
      </w:r>
    </w:p>
    <w:p w:rsidR="006312E8" w:rsidRPr="006312E8" w:rsidRDefault="006312E8" w:rsidP="006312E8">
      <w:pPr>
        <w:spacing w:after="200" w:line="276" w:lineRule="auto"/>
        <w:ind w:left="851"/>
        <w:contextualSpacing/>
        <w:rPr>
          <w:rFonts w:ascii="Arial" w:eastAsia="Calibri" w:hAnsi="Arial" w:cs="Arial"/>
          <w:lang w:val="es-ES"/>
        </w:rPr>
      </w:pPr>
    </w:p>
    <w:p w:rsidR="006312E8" w:rsidRPr="006312E8" w:rsidRDefault="006312E8" w:rsidP="0092471C">
      <w:pPr>
        <w:numPr>
          <w:ilvl w:val="1"/>
          <w:numId w:val="251"/>
        </w:num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Ser de titularidad del Gobierno Regional o Local de ámbito provincial y a ser otorgado en superficie al consorcio cuya propuesta sea aprobada por el Consejo Regional o Local, según corresponda.</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6312E8">
      <w:p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En caso de ser de titularidad de otra entidad estatal, el Gobierno Regional o Local de ámbito provincial debe gestionar la transferencia interestatal a su favor, siempre que el terreno sea de dominio privado estatal de libre disponibilidad, sujetándose para ello a la normativa del Sistema Nacional de Bienes Estatales. Con la aprobación de la propuesta, el titular del predio podrá transferirlo en favor del Gobierno Regional o Local de ámbito provincial, según corresponda.</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92471C">
      <w:pPr>
        <w:numPr>
          <w:ilvl w:val="1"/>
          <w:numId w:val="251"/>
        </w:numPr>
        <w:spacing w:after="0" w:line="240" w:lineRule="auto"/>
        <w:ind w:left="851"/>
        <w:contextualSpacing/>
        <w:jc w:val="both"/>
        <w:rPr>
          <w:rFonts w:ascii="Arial" w:eastAsia="Calibri" w:hAnsi="Arial" w:cs="Arial"/>
          <w:lang w:val="es-ES"/>
        </w:rPr>
      </w:pPr>
      <w:r w:rsidRPr="006312E8">
        <w:rPr>
          <w:rFonts w:ascii="Arial" w:eastAsia="Calibri" w:hAnsi="Arial" w:cs="Arial"/>
          <w:lang w:val="es-ES"/>
        </w:rPr>
        <w:t>Que su valor sea determinado mediante tasación efectuada por el Ministerio de Vivienda, Construcción y Saneamiento.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11.- Financiamiento o cofinanciamiento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170"/>
        </w:numPr>
        <w:spacing w:after="0" w:line="240" w:lineRule="auto"/>
        <w:ind w:left="851" w:hanging="714"/>
        <w:contextualSpacing/>
        <w:jc w:val="both"/>
        <w:rPr>
          <w:rFonts w:ascii="Arial" w:eastAsia="Calibri" w:hAnsi="Arial" w:cs="Arial"/>
          <w:lang w:val="es-ES"/>
        </w:rPr>
      </w:pPr>
      <w:r w:rsidRPr="006312E8">
        <w:rPr>
          <w:rFonts w:ascii="Arial" w:eastAsia="Calibri" w:hAnsi="Arial" w:cs="Arial"/>
          <w:lang w:val="es-ES"/>
        </w:rPr>
        <w:t>El financiamiento o cofinanciamiento a que se refiere el artículo 1 de la Ley será el necesario para realizar la habilitación urbana para uso industrial urbano-industrial del terreno sobre el cual se instalará el PITE, así como la implementación de servicios comunes.</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92471C">
      <w:pPr>
        <w:numPr>
          <w:ilvl w:val="1"/>
          <w:numId w:val="170"/>
        </w:numPr>
        <w:spacing w:after="0" w:line="240" w:lineRule="auto"/>
        <w:ind w:left="851" w:hanging="714"/>
        <w:contextualSpacing/>
        <w:jc w:val="both"/>
        <w:rPr>
          <w:rFonts w:ascii="Arial" w:eastAsia="Calibri" w:hAnsi="Arial" w:cs="Arial"/>
          <w:lang w:val="es-ES"/>
        </w:rPr>
      </w:pPr>
      <w:r w:rsidRPr="006312E8">
        <w:rPr>
          <w:rFonts w:ascii="Arial" w:eastAsia="Calibri" w:hAnsi="Arial" w:cs="Arial"/>
          <w:lang w:val="es-ES"/>
        </w:rPr>
        <w:t>La habilitación urbano- industrial, así como la implementación de servicios comunes, será realizada por el Gobierno Regional o Local de ámbito provincial a través de proyectos de inversión pública, asociaciones público privadas, obras por impuestos, así como otras modalidades sujetas al Sistema Nacional de Inversión Pública.</w:t>
      </w:r>
    </w:p>
    <w:p w:rsidR="006312E8" w:rsidRPr="006312E8" w:rsidRDefault="006312E8"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center"/>
        <w:rPr>
          <w:rFonts w:ascii="Arial" w:eastAsia="Calibri" w:hAnsi="Arial" w:cs="Arial"/>
          <w:b/>
          <w:lang w:val="es-ES"/>
        </w:rPr>
      </w:pPr>
    </w:p>
    <w:p w:rsidR="00246CE9" w:rsidRDefault="00246CE9" w:rsidP="006312E8">
      <w:pPr>
        <w:spacing w:after="0" w:line="240" w:lineRule="auto"/>
        <w:contextualSpacing/>
        <w:jc w:val="center"/>
        <w:rPr>
          <w:rFonts w:ascii="Arial" w:eastAsia="Calibri" w:hAnsi="Arial" w:cs="Arial"/>
          <w:b/>
          <w:lang w:val="es-ES"/>
        </w:rPr>
      </w:pPr>
    </w:p>
    <w:p w:rsidR="00246CE9" w:rsidRDefault="00246CE9" w:rsidP="006312E8">
      <w:pPr>
        <w:spacing w:after="0" w:line="240" w:lineRule="auto"/>
        <w:contextualSpacing/>
        <w:jc w:val="center"/>
        <w:rPr>
          <w:rFonts w:ascii="Arial" w:eastAsia="Calibri" w:hAnsi="Arial" w:cs="Arial"/>
          <w:b/>
          <w:lang w:val="es-ES"/>
        </w:rPr>
      </w:pPr>
    </w:p>
    <w:p w:rsidR="00246CE9" w:rsidRDefault="00246CE9" w:rsidP="006312E8">
      <w:pPr>
        <w:spacing w:after="0" w:line="240" w:lineRule="auto"/>
        <w:contextualSpacing/>
        <w:jc w:val="center"/>
        <w:rPr>
          <w:rFonts w:ascii="Arial" w:eastAsia="Calibri" w:hAnsi="Arial" w:cs="Arial"/>
          <w:b/>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TÍTULO IV</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PRESENTACIÓN DE LA PROPUESTA Y PROCESO DE SELECCIÓN DEL CONSORCIO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12.- Formas de participación del consorcio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Para la participación en el desarrollo de un PITE, un consorcio puede: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171"/>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Presentar una propuesta privada sobre un terreno de titularidad del Gobierno Regional o Local de ámbito provincial en el marco de un proceso de selección convocado por el Gobierno Regional o Local de ámbito provincial; o,</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92471C">
      <w:pPr>
        <w:numPr>
          <w:ilvl w:val="1"/>
          <w:numId w:val="171"/>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Adaptar y mejorar la propuesta pública de desarrollo de un PITE aprobada por el Gobierno Regional o Local de ámbito provincial, en el marco de un proceso de selección convocado por el Gobierno Regional o Local de ámbito provincial.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Las propuestas, que tendrán el carácter de peticiones de gracia, deberán ser presentadas al Gobierno Regional o Local de ámbito provincial que haya convocado al proceso de selección.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13.- Documentación a presentar</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consorcio interesado en implementar una propuesta pública o privada de desarrollo de un PITE debe presentar la siguiente documentación: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172"/>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La propuesta de desarrollo de un PITE conteniendo los requisitos señalados en el artículo 9 del presente Reglamento. En caso que el consorcio procure adaptar y mejorar una propuesta pública, la adecuación que presente debe referirse a los aspectos contenidos en el perfil y la memoria descriptiva, así como en el reglamento interno de operación y conservación del PITE.</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92471C">
      <w:pPr>
        <w:numPr>
          <w:ilvl w:val="1"/>
          <w:numId w:val="172"/>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Declaración jurada por la que se compromete a la instalación en el PITE de un Centro de Investigación o de Innovación Tecnológica, o a la suscripción de un convenio con un centro nacional o internacional, que tenga como fin promover la investigación, el desarrollo e innovación (I+D+i) con un enfoque de producción más limpia y ecoeficiente.</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92471C">
      <w:pPr>
        <w:numPr>
          <w:ilvl w:val="1"/>
          <w:numId w:val="172"/>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Copia del contrato mediante el cual se conforma; y,</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92471C">
      <w:pPr>
        <w:numPr>
          <w:ilvl w:val="1"/>
          <w:numId w:val="172"/>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Poderes vigentes de su representante legal, con una antigüedad no mayor a treinta (30) días calendario.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14.- Proceso de selección</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Gobierno Regional o Local de ámbito provincial realizará un proceso de selección con el objeto de elegir a los consorcios interesados en: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161"/>
        </w:numPr>
        <w:spacing w:after="0" w:line="240" w:lineRule="auto"/>
        <w:ind w:left="567" w:hanging="425"/>
        <w:contextualSpacing/>
        <w:jc w:val="both"/>
        <w:rPr>
          <w:rFonts w:ascii="Arial" w:eastAsia="Calibri" w:hAnsi="Arial" w:cs="Arial"/>
          <w:lang w:val="es-ES"/>
        </w:rPr>
      </w:pPr>
      <w:r w:rsidRPr="006312E8">
        <w:rPr>
          <w:rFonts w:ascii="Arial" w:eastAsia="Calibri" w:hAnsi="Arial" w:cs="Arial"/>
          <w:lang w:val="es-ES"/>
        </w:rPr>
        <w:t>Presentar una propuesta privada de desarrollo de un PITE; o</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92471C">
      <w:pPr>
        <w:numPr>
          <w:ilvl w:val="1"/>
          <w:numId w:val="161"/>
        </w:numPr>
        <w:spacing w:after="0" w:line="240" w:lineRule="auto"/>
        <w:ind w:left="567" w:hanging="425"/>
        <w:contextualSpacing/>
        <w:jc w:val="both"/>
        <w:rPr>
          <w:rFonts w:ascii="Arial" w:eastAsia="Calibri" w:hAnsi="Arial" w:cs="Arial"/>
          <w:lang w:val="es-ES"/>
        </w:rPr>
      </w:pPr>
      <w:r w:rsidRPr="006312E8">
        <w:rPr>
          <w:rFonts w:ascii="Arial" w:eastAsia="Calibri" w:hAnsi="Arial" w:cs="Arial"/>
          <w:lang w:val="es-ES"/>
        </w:rPr>
        <w:t>Adaptar y mejorar la propuesta pública de desarrollo de un PITE presentada por el Gobierno Regional o Local de ámbito provincial.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El consorcio seleccionado para implementar la propuesta de desarrollo de un PITE será aquél que obtenga la mayor calificación en el proceso de selección convocado.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15.- Convocatoria al proceso de selección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173"/>
        </w:numPr>
        <w:spacing w:after="0" w:line="240" w:lineRule="auto"/>
        <w:ind w:left="851" w:hanging="573"/>
        <w:contextualSpacing/>
        <w:jc w:val="both"/>
        <w:rPr>
          <w:rFonts w:ascii="Arial" w:eastAsia="Calibri" w:hAnsi="Arial" w:cs="Arial"/>
          <w:lang w:val="es-ES"/>
        </w:rPr>
      </w:pPr>
      <w:r w:rsidRPr="006312E8">
        <w:rPr>
          <w:rFonts w:ascii="Arial" w:eastAsia="Calibri" w:hAnsi="Arial" w:cs="Arial"/>
          <w:lang w:val="es-ES"/>
        </w:rPr>
        <w:t>El Consejo Regional o Municipal debe autorizar la convocatoria al proceso de selección. En el caso de propuestas públicas, el acuerdo que autorice la convocatoria debe además aprobar la propuesta pública cuya evaluación debe seguir lo dispuesto en el Título V del presente Reglamento en lo que corresponda.</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92471C">
      <w:pPr>
        <w:numPr>
          <w:ilvl w:val="1"/>
          <w:numId w:val="173"/>
        </w:numPr>
        <w:spacing w:after="0" w:line="240" w:lineRule="auto"/>
        <w:ind w:left="851" w:hanging="573"/>
        <w:contextualSpacing/>
        <w:jc w:val="both"/>
        <w:rPr>
          <w:rFonts w:ascii="Arial" w:eastAsia="Calibri" w:hAnsi="Arial" w:cs="Arial"/>
          <w:lang w:val="es-ES"/>
        </w:rPr>
      </w:pPr>
      <w:r w:rsidRPr="006312E8">
        <w:rPr>
          <w:rFonts w:ascii="Arial" w:eastAsia="Calibri" w:hAnsi="Arial" w:cs="Arial"/>
          <w:lang w:val="es-ES"/>
        </w:rPr>
        <w:t>El Gobierno Regional o Local de ámbito provincial publica en su portal web y en un diario de circulación nacional la convocatoria al proceso de selección.</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1"/>
          <w:numId w:val="173"/>
        </w:numPr>
        <w:spacing w:after="0" w:line="240" w:lineRule="auto"/>
        <w:ind w:left="851" w:hanging="573"/>
        <w:contextualSpacing/>
        <w:jc w:val="both"/>
        <w:rPr>
          <w:rFonts w:ascii="Arial" w:eastAsia="Calibri" w:hAnsi="Arial" w:cs="Arial"/>
          <w:lang w:val="es-ES"/>
        </w:rPr>
      </w:pPr>
      <w:r w:rsidRPr="006312E8">
        <w:rPr>
          <w:rFonts w:ascii="Arial" w:eastAsia="Calibri" w:hAnsi="Arial" w:cs="Arial"/>
          <w:lang w:val="es-ES"/>
        </w:rPr>
        <w:t>La convocatoria al proceso tiene un plazo de noventa (90) días calendario, plazo que se computa desde el día siguiente de su publicación, con arreglo a lo previsto en el sub numeral precedente.</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1"/>
          <w:numId w:val="173"/>
        </w:numPr>
        <w:spacing w:after="0" w:line="240" w:lineRule="auto"/>
        <w:ind w:left="851" w:hanging="573"/>
        <w:contextualSpacing/>
        <w:jc w:val="both"/>
        <w:rPr>
          <w:rFonts w:ascii="Arial" w:eastAsia="Calibri" w:hAnsi="Arial" w:cs="Arial"/>
          <w:lang w:val="es-ES"/>
        </w:rPr>
      </w:pPr>
      <w:r w:rsidRPr="006312E8">
        <w:rPr>
          <w:rFonts w:ascii="Arial" w:eastAsia="Calibri" w:hAnsi="Arial" w:cs="Arial"/>
          <w:lang w:val="es-ES"/>
        </w:rPr>
        <w:t>Dentro del plazo de la convocatoria el Gobierno Regional o Local de ámbito provincial realiza el registro de participantes y la entrega de las bases, las que deben contener:</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74"/>
        </w:numPr>
        <w:spacing w:after="0" w:line="240" w:lineRule="auto"/>
        <w:ind w:left="1134"/>
        <w:contextualSpacing/>
        <w:jc w:val="both"/>
        <w:rPr>
          <w:rFonts w:ascii="Arial" w:eastAsia="Calibri" w:hAnsi="Arial" w:cs="Arial"/>
          <w:lang w:val="es-ES"/>
        </w:rPr>
      </w:pPr>
      <w:r w:rsidRPr="006312E8">
        <w:rPr>
          <w:rFonts w:ascii="Arial" w:eastAsia="Calibri" w:hAnsi="Arial" w:cs="Arial"/>
          <w:lang w:val="es-ES"/>
        </w:rPr>
        <w:t>Información del terreno sobre el que se implementará el PITE de acuerdo con lo señalado en el Anexo IV;</w:t>
      </w:r>
    </w:p>
    <w:p w:rsidR="006312E8" w:rsidRPr="006312E8" w:rsidRDefault="006312E8" w:rsidP="006312E8">
      <w:pPr>
        <w:spacing w:after="0" w:line="240" w:lineRule="auto"/>
        <w:ind w:left="1134"/>
        <w:contextualSpacing/>
        <w:jc w:val="both"/>
        <w:rPr>
          <w:rFonts w:ascii="Arial" w:eastAsia="Calibri" w:hAnsi="Arial" w:cs="Arial"/>
          <w:lang w:val="es-ES"/>
        </w:rPr>
      </w:pPr>
    </w:p>
    <w:p w:rsidR="006312E8" w:rsidRPr="006312E8" w:rsidRDefault="006312E8" w:rsidP="0092471C">
      <w:pPr>
        <w:numPr>
          <w:ilvl w:val="0"/>
          <w:numId w:val="174"/>
        </w:numPr>
        <w:spacing w:after="0" w:line="240" w:lineRule="auto"/>
        <w:ind w:left="1134"/>
        <w:contextualSpacing/>
        <w:jc w:val="both"/>
        <w:rPr>
          <w:rFonts w:ascii="Arial" w:eastAsia="Calibri" w:hAnsi="Arial" w:cs="Arial"/>
          <w:lang w:val="es-ES"/>
        </w:rPr>
      </w:pPr>
      <w:r w:rsidRPr="006312E8">
        <w:rPr>
          <w:rFonts w:ascii="Arial" w:eastAsia="Calibri" w:hAnsi="Arial" w:cs="Arial"/>
          <w:lang w:val="es-ES"/>
        </w:rPr>
        <w:t>Información del financiamiento o cofinanciamiento a ser otorgado para la habilitación del terreno;</w:t>
      </w:r>
    </w:p>
    <w:p w:rsidR="006312E8" w:rsidRPr="006312E8" w:rsidRDefault="006312E8" w:rsidP="006312E8">
      <w:pPr>
        <w:spacing w:after="0" w:line="240" w:lineRule="auto"/>
        <w:ind w:left="1134"/>
        <w:contextualSpacing/>
        <w:jc w:val="both"/>
        <w:rPr>
          <w:rFonts w:ascii="Arial" w:eastAsia="Calibri" w:hAnsi="Arial" w:cs="Arial"/>
          <w:lang w:val="es-ES"/>
        </w:rPr>
      </w:pPr>
    </w:p>
    <w:p w:rsidR="006312E8" w:rsidRPr="006312E8" w:rsidRDefault="006312E8" w:rsidP="0092471C">
      <w:pPr>
        <w:numPr>
          <w:ilvl w:val="0"/>
          <w:numId w:val="174"/>
        </w:numPr>
        <w:spacing w:after="0" w:line="240" w:lineRule="auto"/>
        <w:ind w:left="1134"/>
        <w:contextualSpacing/>
        <w:jc w:val="both"/>
        <w:rPr>
          <w:rFonts w:ascii="Arial" w:eastAsia="Calibri" w:hAnsi="Arial" w:cs="Arial"/>
          <w:lang w:val="es-ES"/>
        </w:rPr>
      </w:pPr>
      <w:r w:rsidRPr="006312E8">
        <w:rPr>
          <w:rFonts w:ascii="Arial" w:eastAsia="Calibri" w:hAnsi="Arial" w:cs="Arial"/>
          <w:lang w:val="es-ES"/>
        </w:rPr>
        <w:t>Condiciones a las que se sujetará el consorcio de ser seleccionado; y,</w:t>
      </w:r>
    </w:p>
    <w:p w:rsidR="006312E8" w:rsidRPr="006312E8" w:rsidRDefault="006312E8" w:rsidP="006312E8">
      <w:pPr>
        <w:spacing w:after="0" w:line="240" w:lineRule="auto"/>
        <w:ind w:left="1134"/>
        <w:contextualSpacing/>
        <w:jc w:val="both"/>
        <w:rPr>
          <w:rFonts w:ascii="Arial" w:eastAsia="Calibri" w:hAnsi="Arial" w:cs="Arial"/>
          <w:lang w:val="es-ES"/>
        </w:rPr>
      </w:pPr>
    </w:p>
    <w:p w:rsidR="006312E8" w:rsidRPr="006312E8" w:rsidRDefault="006312E8" w:rsidP="0092471C">
      <w:pPr>
        <w:numPr>
          <w:ilvl w:val="0"/>
          <w:numId w:val="174"/>
        </w:numPr>
        <w:spacing w:after="0" w:line="240" w:lineRule="auto"/>
        <w:ind w:left="1134"/>
        <w:contextualSpacing/>
        <w:jc w:val="both"/>
        <w:rPr>
          <w:rFonts w:ascii="Arial" w:eastAsia="Calibri" w:hAnsi="Arial" w:cs="Arial"/>
          <w:lang w:val="es-ES"/>
        </w:rPr>
      </w:pPr>
      <w:r w:rsidRPr="006312E8">
        <w:rPr>
          <w:rFonts w:ascii="Arial" w:eastAsia="Calibri" w:hAnsi="Arial" w:cs="Arial"/>
          <w:lang w:val="es-ES"/>
        </w:rPr>
        <w:t>La propuesta pública aprobada por el Consejo Regional o Municipal Provincial a ser adaptada y mejorada por el consorcio interesado, de corresponder.</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851" w:hanging="567"/>
        <w:contextualSpacing/>
        <w:jc w:val="both"/>
        <w:rPr>
          <w:rFonts w:ascii="Arial" w:eastAsia="Calibri" w:hAnsi="Arial" w:cs="Arial"/>
          <w:lang w:val="es-ES"/>
        </w:rPr>
      </w:pPr>
      <w:r w:rsidRPr="006312E8">
        <w:rPr>
          <w:rFonts w:ascii="Arial" w:eastAsia="Calibri" w:hAnsi="Arial" w:cs="Arial"/>
          <w:lang w:val="es-ES"/>
        </w:rPr>
        <w:t xml:space="preserve">15.5 </w:t>
      </w:r>
      <w:r w:rsidRPr="006312E8">
        <w:rPr>
          <w:rFonts w:ascii="Arial" w:eastAsia="Calibri" w:hAnsi="Arial" w:cs="Arial"/>
          <w:lang w:val="es-ES"/>
        </w:rPr>
        <w:tab/>
        <w:t>Las bases del proceso deben establecer los puntajes de calificación.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TÍTULO V</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EVALUACIÓN Y APROBACIÓN DE LA PROPUESTA DE DESARROLLO DE UN PITE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16.- Instancia competente para evaluar</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175"/>
        </w:numPr>
        <w:spacing w:after="0" w:line="240" w:lineRule="auto"/>
        <w:ind w:left="993" w:hanging="567"/>
        <w:contextualSpacing/>
        <w:jc w:val="both"/>
        <w:rPr>
          <w:rFonts w:ascii="Arial" w:eastAsia="Calibri" w:hAnsi="Arial" w:cs="Arial"/>
          <w:lang w:val="es-ES"/>
        </w:rPr>
      </w:pPr>
      <w:r w:rsidRPr="006312E8">
        <w:rPr>
          <w:rFonts w:ascii="Arial" w:eastAsia="Calibri" w:hAnsi="Arial" w:cs="Arial"/>
          <w:lang w:val="es-ES"/>
        </w:rPr>
        <w:t xml:space="preserve"> La evaluación de las propuestas de desarrollo de un PITE de iniciativa privada y pública está a cargo de la Gerencia de Desarrollo Económico Regional o Local de ámbito provincial que haya convocado al proceso de selección. Para tal efecto, como parte del proceso de evaluación, previo a la convocatoria al proceso de selección, debe conformarse un Comité de Evaluación integrado por:</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76"/>
        </w:numPr>
        <w:spacing w:after="0" w:line="240" w:lineRule="auto"/>
        <w:ind w:left="1418"/>
        <w:contextualSpacing/>
        <w:jc w:val="both"/>
        <w:rPr>
          <w:rFonts w:ascii="Arial" w:eastAsia="Calibri" w:hAnsi="Arial" w:cs="Arial"/>
          <w:lang w:val="es-ES"/>
        </w:rPr>
      </w:pPr>
      <w:r w:rsidRPr="006312E8">
        <w:rPr>
          <w:rFonts w:ascii="Arial" w:eastAsia="Calibri" w:hAnsi="Arial" w:cs="Arial"/>
          <w:lang w:val="es-ES"/>
        </w:rPr>
        <w:t>El Gerente de Desarrollo Económico del Gobierno Regional o Local de ámbito provincial que haya convocado al proceso de selección, quien lo presidirá;</w:t>
      </w:r>
    </w:p>
    <w:p w:rsidR="006312E8" w:rsidRPr="006312E8" w:rsidRDefault="006312E8" w:rsidP="006312E8">
      <w:pPr>
        <w:spacing w:after="0" w:line="240" w:lineRule="auto"/>
        <w:ind w:left="1418"/>
        <w:contextualSpacing/>
        <w:jc w:val="both"/>
        <w:rPr>
          <w:rFonts w:ascii="Arial" w:eastAsia="Calibri" w:hAnsi="Arial" w:cs="Arial"/>
          <w:lang w:val="es-ES"/>
        </w:rPr>
      </w:pPr>
    </w:p>
    <w:p w:rsidR="006312E8" w:rsidRPr="006312E8" w:rsidRDefault="006312E8" w:rsidP="0092471C">
      <w:pPr>
        <w:numPr>
          <w:ilvl w:val="0"/>
          <w:numId w:val="176"/>
        </w:numPr>
        <w:spacing w:after="0" w:line="240" w:lineRule="auto"/>
        <w:ind w:left="1418"/>
        <w:contextualSpacing/>
        <w:jc w:val="both"/>
        <w:rPr>
          <w:rFonts w:ascii="Arial" w:eastAsia="Calibri" w:hAnsi="Arial" w:cs="Arial"/>
          <w:lang w:val="es-ES"/>
        </w:rPr>
      </w:pPr>
      <w:r w:rsidRPr="006312E8">
        <w:rPr>
          <w:rFonts w:ascii="Arial" w:eastAsia="Calibri" w:hAnsi="Arial" w:cs="Arial"/>
          <w:lang w:val="es-ES"/>
        </w:rPr>
        <w:t>Un funcionario designado por el Gobierno Local de ámbito provincial cuando el proceso fuera convocado por el Gobierno Regional o un funcionario designado por el Gobierno Regional cuando el proceso fuera convocado por el Gobierno Local de ámbito provincial; y,</w:t>
      </w:r>
    </w:p>
    <w:p w:rsidR="006312E8" w:rsidRPr="006312E8" w:rsidRDefault="006312E8" w:rsidP="006312E8">
      <w:pPr>
        <w:spacing w:after="0" w:line="240" w:lineRule="auto"/>
        <w:ind w:left="1418"/>
        <w:contextualSpacing/>
        <w:jc w:val="both"/>
        <w:rPr>
          <w:rFonts w:ascii="Arial" w:eastAsia="Calibri" w:hAnsi="Arial" w:cs="Arial"/>
          <w:lang w:val="es-ES"/>
        </w:rPr>
      </w:pPr>
    </w:p>
    <w:p w:rsidR="006312E8" w:rsidRPr="006312E8" w:rsidRDefault="006312E8" w:rsidP="0092471C">
      <w:pPr>
        <w:numPr>
          <w:ilvl w:val="0"/>
          <w:numId w:val="176"/>
        </w:numPr>
        <w:spacing w:after="0" w:line="240" w:lineRule="auto"/>
        <w:ind w:left="1418"/>
        <w:contextualSpacing/>
        <w:jc w:val="both"/>
        <w:rPr>
          <w:rFonts w:ascii="Arial" w:eastAsia="Calibri" w:hAnsi="Arial" w:cs="Arial"/>
          <w:lang w:val="es-ES"/>
        </w:rPr>
      </w:pPr>
      <w:r w:rsidRPr="006312E8">
        <w:rPr>
          <w:rFonts w:ascii="Arial" w:eastAsia="Calibri" w:hAnsi="Arial" w:cs="Arial"/>
          <w:lang w:val="es-ES"/>
        </w:rPr>
        <w:t>Un funcionario designado por el Gobierno Local de ámbito distrital, de acuerdo con la localidad en la cual se ubicará el PITE.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175"/>
        </w:numPr>
        <w:spacing w:after="0" w:line="240" w:lineRule="auto"/>
        <w:ind w:left="993" w:hanging="567"/>
        <w:contextualSpacing/>
        <w:jc w:val="both"/>
        <w:rPr>
          <w:rFonts w:ascii="Arial" w:eastAsia="Calibri" w:hAnsi="Arial" w:cs="Arial"/>
          <w:lang w:val="es-ES"/>
        </w:rPr>
      </w:pPr>
      <w:r w:rsidRPr="006312E8">
        <w:rPr>
          <w:rFonts w:ascii="Arial" w:eastAsia="Calibri" w:hAnsi="Arial" w:cs="Arial"/>
          <w:lang w:val="es-ES"/>
        </w:rPr>
        <w:t>El Comité de Evaluación puede estar integrado además por especialistas en las materias afines al PITE, encargados de brindar soporte técnico y legal durante la evaluación, solo con derecho a voz.</w:t>
      </w:r>
    </w:p>
    <w:p w:rsidR="006312E8" w:rsidRPr="006312E8" w:rsidRDefault="006312E8" w:rsidP="006312E8">
      <w:pPr>
        <w:spacing w:after="0" w:line="240" w:lineRule="auto"/>
        <w:ind w:left="993"/>
        <w:contextualSpacing/>
        <w:jc w:val="both"/>
        <w:rPr>
          <w:rFonts w:ascii="Arial" w:eastAsia="Calibri" w:hAnsi="Arial" w:cs="Arial"/>
          <w:lang w:val="es-ES"/>
        </w:rPr>
      </w:pPr>
    </w:p>
    <w:p w:rsidR="006312E8" w:rsidRPr="006312E8" w:rsidRDefault="006312E8" w:rsidP="0092471C">
      <w:pPr>
        <w:numPr>
          <w:ilvl w:val="1"/>
          <w:numId w:val="175"/>
        </w:numPr>
        <w:spacing w:after="0" w:line="240" w:lineRule="auto"/>
        <w:ind w:left="993" w:hanging="567"/>
        <w:contextualSpacing/>
        <w:jc w:val="both"/>
        <w:rPr>
          <w:rFonts w:ascii="Arial" w:eastAsia="Calibri" w:hAnsi="Arial" w:cs="Arial"/>
          <w:lang w:val="es-ES"/>
        </w:rPr>
      </w:pPr>
      <w:r w:rsidRPr="006312E8">
        <w:rPr>
          <w:rFonts w:ascii="Arial" w:eastAsia="Calibri" w:hAnsi="Arial" w:cs="Arial"/>
          <w:lang w:val="es-ES"/>
        </w:rPr>
        <w:t>La designación de los miembros del Comité de Evaluación a los que se hace referencia en los incisos b) y c) del sub numeral 16.1, se hará mediante Resolución Ejecutiva Regional o Resolución de Alcaldía, según corresponda.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17.- Criterios de evaluación</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Para la evaluación de la propuesta de desarrollo de un PITE, el Comité de Evaluación debe tomar en cuenta los criterios establecidos en el artículo 11 de la Ley, evaluando: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77"/>
        </w:numPr>
        <w:spacing w:after="0" w:line="240" w:lineRule="auto"/>
        <w:contextualSpacing/>
        <w:jc w:val="both"/>
        <w:rPr>
          <w:rFonts w:ascii="Arial" w:eastAsia="Calibri" w:hAnsi="Arial" w:cs="Arial"/>
          <w:lang w:val="es-ES"/>
        </w:rPr>
      </w:pPr>
      <w:r w:rsidRPr="006312E8">
        <w:rPr>
          <w:rFonts w:ascii="Arial" w:eastAsia="Calibri" w:hAnsi="Arial" w:cs="Arial"/>
          <w:lang w:val="es-ES"/>
        </w:rPr>
        <w:t>Impacto y relevancia de la propuesta (Impacto socio económico - potencial del proyecto, externalidades positivas generadas, entre otros aspectos).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77"/>
        </w:numPr>
        <w:spacing w:after="0" w:line="240" w:lineRule="auto"/>
        <w:contextualSpacing/>
        <w:jc w:val="both"/>
        <w:rPr>
          <w:rFonts w:ascii="Arial" w:eastAsia="Calibri" w:hAnsi="Arial" w:cs="Arial"/>
          <w:lang w:val="es-ES"/>
        </w:rPr>
      </w:pPr>
      <w:r w:rsidRPr="006312E8">
        <w:rPr>
          <w:rFonts w:ascii="Arial" w:eastAsia="Calibri" w:hAnsi="Arial" w:cs="Arial"/>
          <w:lang w:val="es-ES"/>
        </w:rPr>
        <w:t>Capacidad de ejecución del consorcio.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77"/>
        </w:numPr>
        <w:spacing w:after="0" w:line="240" w:lineRule="auto"/>
        <w:contextualSpacing/>
        <w:jc w:val="both"/>
        <w:rPr>
          <w:rFonts w:ascii="Arial" w:eastAsia="Calibri" w:hAnsi="Arial" w:cs="Arial"/>
          <w:lang w:val="es-ES"/>
        </w:rPr>
      </w:pPr>
      <w:r w:rsidRPr="006312E8">
        <w:rPr>
          <w:rFonts w:ascii="Arial" w:eastAsia="Calibri" w:hAnsi="Arial" w:cs="Arial"/>
          <w:lang w:val="es-ES"/>
        </w:rPr>
        <w:t>Viabilidad de la propuesta (costos estimados, ingresos previstos por concepto de arrendamiento de lotes, ámbito de influencia en cuanto a los factores producción, entre otros).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77"/>
        </w:numPr>
        <w:spacing w:after="0" w:line="240" w:lineRule="auto"/>
        <w:contextualSpacing/>
        <w:jc w:val="both"/>
        <w:rPr>
          <w:rFonts w:ascii="Arial" w:eastAsia="Calibri" w:hAnsi="Arial" w:cs="Arial"/>
          <w:lang w:val="es-ES"/>
        </w:rPr>
      </w:pPr>
      <w:r w:rsidRPr="006312E8">
        <w:rPr>
          <w:rFonts w:ascii="Arial" w:eastAsia="Calibri" w:hAnsi="Arial" w:cs="Arial"/>
          <w:lang w:val="es-ES"/>
        </w:rPr>
        <w:t>Costo-beneficio de la propuesta.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77"/>
        </w:numPr>
        <w:spacing w:after="0" w:line="240" w:lineRule="auto"/>
        <w:contextualSpacing/>
        <w:jc w:val="both"/>
        <w:rPr>
          <w:rFonts w:ascii="Arial" w:eastAsia="Calibri" w:hAnsi="Arial" w:cs="Arial"/>
          <w:lang w:val="es-ES"/>
        </w:rPr>
      </w:pPr>
      <w:r w:rsidRPr="006312E8">
        <w:rPr>
          <w:rFonts w:ascii="Arial" w:eastAsia="Calibri" w:hAnsi="Arial" w:cs="Arial"/>
          <w:lang w:val="es-ES"/>
        </w:rPr>
        <w:t>Viabilidad y sostenibilidad ambiental y del uso del suelo contenido en la propuesta del PITE, conforme a lo establecido en el numeral 1 del artículo 11 de la Ley y el artículo 5 del presente Reglamento.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18.- Evaluación de la propuesta de desarrollo de un PITE</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 evaluación de la propuesta de desarrollo de un PITE comprende las siguientes actuaciones y plazos: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178"/>
        </w:numPr>
        <w:spacing w:after="0" w:line="240" w:lineRule="auto"/>
        <w:ind w:left="851" w:hanging="633"/>
        <w:contextualSpacing/>
        <w:jc w:val="both"/>
        <w:rPr>
          <w:rFonts w:ascii="Arial" w:eastAsia="Calibri" w:hAnsi="Arial" w:cs="Arial"/>
          <w:lang w:val="es-ES"/>
        </w:rPr>
      </w:pPr>
      <w:r w:rsidRPr="006312E8">
        <w:rPr>
          <w:rFonts w:ascii="Arial" w:eastAsia="Calibri" w:hAnsi="Arial" w:cs="Arial"/>
          <w:lang w:val="es-ES"/>
        </w:rPr>
        <w:t>El Comité de Evaluación cuenta con un plazo de cinco (5) días calendario para la revisión y verificación de la documentación indicada en el artículo 13 del presente Reglamento. En caso de un proceso de selección, el plazo se computa desde el día hábil siguiente de la fecha en la que se pone fin a la convocatoria.</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92471C">
      <w:pPr>
        <w:numPr>
          <w:ilvl w:val="1"/>
          <w:numId w:val="178"/>
        </w:numPr>
        <w:spacing w:after="0" w:line="240" w:lineRule="auto"/>
        <w:ind w:left="851" w:hanging="633"/>
        <w:contextualSpacing/>
        <w:jc w:val="both"/>
        <w:rPr>
          <w:rFonts w:ascii="Arial" w:eastAsia="Calibri" w:hAnsi="Arial" w:cs="Arial"/>
          <w:lang w:val="es-ES"/>
        </w:rPr>
      </w:pPr>
      <w:r w:rsidRPr="006312E8">
        <w:rPr>
          <w:rFonts w:ascii="Arial" w:eastAsia="Calibri" w:hAnsi="Arial" w:cs="Arial"/>
          <w:lang w:val="es-ES"/>
        </w:rPr>
        <w:t>Si la documentación está incompleta o no tiene el nivel de detalle pertinente para su evaluación, se otorga un plazo de quince (15) días calendario contado desde la recepción de la solicitud, para que se realice la respectiva subsanación.</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1"/>
          <w:numId w:val="178"/>
        </w:numPr>
        <w:spacing w:after="0" w:line="240" w:lineRule="auto"/>
        <w:ind w:left="851" w:hanging="633"/>
        <w:contextualSpacing/>
        <w:jc w:val="both"/>
        <w:rPr>
          <w:rFonts w:ascii="Arial" w:eastAsia="Calibri" w:hAnsi="Arial" w:cs="Arial"/>
          <w:lang w:val="es-ES"/>
        </w:rPr>
      </w:pPr>
      <w:r w:rsidRPr="006312E8">
        <w:rPr>
          <w:rFonts w:ascii="Arial" w:eastAsia="Calibri" w:hAnsi="Arial" w:cs="Arial"/>
          <w:lang w:val="es-ES"/>
        </w:rPr>
        <w:t>En caso no se formulen observaciones a la propuesta o si se efectúa la subsanación requerida dentro del plazo otorgado, el Comité de Evaluación inicia su evaluación para lo cual cuenta con un plazo de cuarenta y cinco (45) días calendario. Si vencido el plazo otorgado no se ha subsanado las observaciones a que hace referencia el sub numeral precedente, se considera denegada la propuesta.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1"/>
          <w:numId w:val="178"/>
        </w:numPr>
        <w:spacing w:after="0" w:line="240" w:lineRule="auto"/>
        <w:ind w:left="851" w:hanging="633"/>
        <w:contextualSpacing/>
        <w:jc w:val="both"/>
        <w:rPr>
          <w:rFonts w:ascii="Arial" w:eastAsia="Calibri" w:hAnsi="Arial" w:cs="Arial"/>
          <w:lang w:val="es-ES"/>
        </w:rPr>
      </w:pPr>
      <w:r w:rsidRPr="006312E8">
        <w:rPr>
          <w:rFonts w:ascii="Arial" w:eastAsia="Calibri" w:hAnsi="Arial" w:cs="Arial"/>
          <w:lang w:val="es-ES"/>
        </w:rPr>
        <w:t>El Comité de Evaluación dentro del plazo de cuarenta y cinco (45) días antes referido y de acuerdo con los resultados de su evaluación técnica, puede: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79"/>
        </w:numPr>
        <w:spacing w:after="0" w:line="240" w:lineRule="auto"/>
        <w:ind w:left="1276"/>
        <w:contextualSpacing/>
        <w:jc w:val="both"/>
        <w:rPr>
          <w:rFonts w:ascii="Arial" w:eastAsia="Calibri" w:hAnsi="Arial" w:cs="Arial"/>
          <w:lang w:val="es-ES"/>
        </w:rPr>
      </w:pPr>
      <w:r w:rsidRPr="006312E8">
        <w:rPr>
          <w:rFonts w:ascii="Arial" w:eastAsia="Calibri" w:hAnsi="Arial" w:cs="Arial"/>
          <w:lang w:val="es-ES"/>
        </w:rPr>
        <w:t>Emitir un informe de conformidad, en cuyo caso lo eleva a consideración del Consejo Regional o Municipal Provincial, según corresponda. En el caso de un proceso de selección, el expediente que obtenga la mayor calificación es el que será elevado;</w:t>
      </w:r>
    </w:p>
    <w:p w:rsidR="006312E8" w:rsidRPr="006312E8" w:rsidRDefault="006312E8" w:rsidP="006312E8">
      <w:pPr>
        <w:spacing w:after="0" w:line="240" w:lineRule="auto"/>
        <w:ind w:left="1276"/>
        <w:contextualSpacing/>
        <w:jc w:val="both"/>
        <w:rPr>
          <w:rFonts w:ascii="Arial" w:eastAsia="Calibri" w:hAnsi="Arial" w:cs="Arial"/>
          <w:lang w:val="es-ES"/>
        </w:rPr>
      </w:pPr>
    </w:p>
    <w:p w:rsidR="006312E8" w:rsidRPr="006312E8" w:rsidRDefault="006312E8" w:rsidP="0092471C">
      <w:pPr>
        <w:numPr>
          <w:ilvl w:val="0"/>
          <w:numId w:val="179"/>
        </w:numPr>
        <w:spacing w:after="0" w:line="240" w:lineRule="auto"/>
        <w:ind w:left="1276"/>
        <w:contextualSpacing/>
        <w:jc w:val="both"/>
        <w:rPr>
          <w:rFonts w:ascii="Arial" w:eastAsia="Calibri" w:hAnsi="Arial" w:cs="Arial"/>
          <w:lang w:val="es-ES"/>
        </w:rPr>
      </w:pPr>
      <w:r w:rsidRPr="006312E8">
        <w:rPr>
          <w:rFonts w:ascii="Arial" w:eastAsia="Calibri" w:hAnsi="Arial" w:cs="Arial"/>
          <w:lang w:val="es-ES"/>
        </w:rPr>
        <w:t>Emitir un informe con observaciones a la propuesta, en el caso de un proceso de selección a la propuesta que obtenga la mayor calificación las que pueden ser subsanadas en un plazo máximo de diez (10) días calendario; o</w:t>
      </w:r>
    </w:p>
    <w:p w:rsidR="006312E8" w:rsidRPr="006312E8" w:rsidRDefault="006312E8" w:rsidP="006312E8">
      <w:pPr>
        <w:spacing w:after="0" w:line="240" w:lineRule="auto"/>
        <w:ind w:left="1276"/>
        <w:contextualSpacing/>
        <w:jc w:val="both"/>
        <w:rPr>
          <w:rFonts w:ascii="Arial" w:eastAsia="Calibri" w:hAnsi="Arial" w:cs="Arial"/>
          <w:lang w:val="es-ES"/>
        </w:rPr>
      </w:pPr>
    </w:p>
    <w:p w:rsidR="006312E8" w:rsidRPr="006312E8" w:rsidRDefault="006312E8" w:rsidP="0092471C">
      <w:pPr>
        <w:numPr>
          <w:ilvl w:val="0"/>
          <w:numId w:val="179"/>
        </w:numPr>
        <w:spacing w:after="0" w:line="240" w:lineRule="auto"/>
        <w:ind w:left="1276"/>
        <w:contextualSpacing/>
        <w:jc w:val="both"/>
        <w:rPr>
          <w:rFonts w:ascii="Arial" w:eastAsia="Calibri" w:hAnsi="Arial" w:cs="Arial"/>
          <w:lang w:val="es-ES"/>
        </w:rPr>
      </w:pPr>
      <w:r w:rsidRPr="006312E8">
        <w:rPr>
          <w:rFonts w:ascii="Arial" w:eastAsia="Calibri" w:hAnsi="Arial" w:cs="Arial"/>
          <w:lang w:val="es-ES"/>
        </w:rPr>
        <w:t>Emitir un informe denegando la propuesta. En el caso de un proceso de selección en el cual ninguno de los expedientes evaluados alcanzara la calificación mínima requerida, el Comité de Evaluación procede a declarar desierta la convocatoria.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178"/>
        </w:numPr>
        <w:spacing w:after="0" w:line="240" w:lineRule="auto"/>
        <w:ind w:left="851" w:hanging="709"/>
        <w:contextualSpacing/>
        <w:jc w:val="both"/>
        <w:rPr>
          <w:rFonts w:ascii="Arial" w:eastAsia="Calibri" w:hAnsi="Arial" w:cs="Arial"/>
          <w:lang w:val="es-ES"/>
        </w:rPr>
      </w:pPr>
      <w:r w:rsidRPr="006312E8">
        <w:rPr>
          <w:rFonts w:ascii="Arial" w:eastAsia="Calibri" w:hAnsi="Arial" w:cs="Arial"/>
          <w:lang w:val="es-ES"/>
        </w:rPr>
        <w:t>Si se presentara la subsanación de las observaciones a que se refiere el literal b) del inciso 18.4 del presente artículo dentro del plazo previsto para ello, el Comité de Evaluación finalizará su evaluación técnica en el plazo de diez (10) días calendario; luego del cual podrá:</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80"/>
        </w:numPr>
        <w:spacing w:after="0" w:line="240" w:lineRule="auto"/>
        <w:ind w:left="1276"/>
        <w:contextualSpacing/>
        <w:jc w:val="both"/>
        <w:rPr>
          <w:rFonts w:ascii="Arial" w:eastAsia="Calibri" w:hAnsi="Arial" w:cs="Arial"/>
          <w:lang w:val="es-ES"/>
        </w:rPr>
      </w:pPr>
      <w:r w:rsidRPr="006312E8">
        <w:rPr>
          <w:rFonts w:ascii="Arial" w:eastAsia="Calibri" w:hAnsi="Arial" w:cs="Arial"/>
          <w:lang w:val="es-ES"/>
        </w:rPr>
        <w:t>Emitir un informe de conformidad, en cuyo caso lo elevará para consideración del Consejo Regional o Municipal Provincial, según corresponda; o,</w:t>
      </w:r>
    </w:p>
    <w:p w:rsidR="006312E8" w:rsidRPr="006312E8" w:rsidRDefault="006312E8" w:rsidP="006312E8">
      <w:pPr>
        <w:spacing w:after="0" w:line="240" w:lineRule="auto"/>
        <w:ind w:left="1276"/>
        <w:contextualSpacing/>
        <w:jc w:val="both"/>
        <w:rPr>
          <w:rFonts w:ascii="Arial" w:eastAsia="Calibri" w:hAnsi="Arial" w:cs="Arial"/>
          <w:lang w:val="es-ES"/>
        </w:rPr>
      </w:pPr>
    </w:p>
    <w:p w:rsidR="006312E8" w:rsidRPr="006312E8" w:rsidRDefault="006312E8" w:rsidP="0092471C">
      <w:pPr>
        <w:numPr>
          <w:ilvl w:val="0"/>
          <w:numId w:val="180"/>
        </w:numPr>
        <w:spacing w:after="0" w:line="240" w:lineRule="auto"/>
        <w:ind w:left="1276"/>
        <w:contextualSpacing/>
        <w:jc w:val="both"/>
        <w:rPr>
          <w:rFonts w:ascii="Arial" w:eastAsia="Calibri" w:hAnsi="Arial" w:cs="Arial"/>
          <w:lang w:val="es-ES"/>
        </w:rPr>
      </w:pPr>
      <w:r w:rsidRPr="006312E8">
        <w:rPr>
          <w:rFonts w:ascii="Arial" w:eastAsia="Calibri" w:hAnsi="Arial" w:cs="Arial"/>
          <w:lang w:val="es-ES"/>
        </w:rPr>
        <w:t>Emitir un informe denegando la propuesta.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ind w:left="993"/>
        <w:contextualSpacing/>
        <w:jc w:val="both"/>
        <w:rPr>
          <w:rFonts w:ascii="Arial" w:eastAsia="Calibri" w:hAnsi="Arial" w:cs="Arial"/>
          <w:lang w:val="es-ES"/>
        </w:rPr>
      </w:pPr>
      <w:r w:rsidRPr="006312E8">
        <w:rPr>
          <w:rFonts w:ascii="Arial" w:eastAsia="Calibri" w:hAnsi="Arial" w:cs="Arial"/>
          <w:lang w:val="es-ES"/>
        </w:rPr>
        <w:t>Si no se hubiera presentado la subsanación de las observaciones formuladas por el Comité de Evaluación en el plazo de diez (10) días calendario, la propuesta se considera denegada En el caso de un proceso de selección, el Comité de Evaluación procederá a emitir un informe, según lo establecido en el artículo 18.4, sobre la propuesta que hubiera obtenido el siguiente puntaje más alto, siempre que ésta hubiera alcanzado la calificación mínima requerida.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19.- Aprobación de la propuesta de desarrollo de un PITE</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Recibido el informe de conformidad, el Consejo Regional o Municipal Provincial puede: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81"/>
        </w:numPr>
        <w:spacing w:after="0" w:line="240" w:lineRule="auto"/>
        <w:contextualSpacing/>
        <w:jc w:val="both"/>
        <w:rPr>
          <w:rFonts w:ascii="Arial" w:eastAsia="Calibri" w:hAnsi="Arial" w:cs="Arial"/>
          <w:lang w:val="es-ES"/>
        </w:rPr>
      </w:pPr>
      <w:r w:rsidRPr="006312E8">
        <w:rPr>
          <w:rFonts w:ascii="Arial" w:eastAsia="Calibri" w:hAnsi="Arial" w:cs="Arial"/>
          <w:lang w:val="es-ES"/>
        </w:rPr>
        <w:t>Aprobar la propuesta de desarrollo de un PITE, para lo cual emite el respectivo acuerdo aprobatorio;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81"/>
        </w:numPr>
        <w:spacing w:after="0" w:line="240" w:lineRule="auto"/>
        <w:contextualSpacing/>
        <w:jc w:val="both"/>
        <w:rPr>
          <w:rFonts w:ascii="Arial" w:eastAsia="Calibri" w:hAnsi="Arial" w:cs="Arial"/>
          <w:lang w:val="es-ES"/>
        </w:rPr>
      </w:pPr>
      <w:r w:rsidRPr="006312E8">
        <w:rPr>
          <w:rFonts w:ascii="Arial" w:eastAsia="Calibri" w:hAnsi="Arial" w:cs="Arial"/>
          <w:lang w:val="es-ES"/>
        </w:rPr>
        <w:t>Devolver el informe con observaciones a la propuesta, correspondiendo al Comité de Evaluación emitir un nuevo informe en el plazo de diez (10) días calendario; 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81"/>
        </w:numPr>
        <w:spacing w:after="0" w:line="240" w:lineRule="auto"/>
        <w:contextualSpacing/>
        <w:jc w:val="both"/>
        <w:rPr>
          <w:rFonts w:ascii="Arial" w:eastAsia="Calibri" w:hAnsi="Arial" w:cs="Arial"/>
          <w:lang w:val="es-ES"/>
        </w:rPr>
      </w:pPr>
      <w:r w:rsidRPr="006312E8">
        <w:rPr>
          <w:rFonts w:ascii="Arial" w:eastAsia="Calibri" w:hAnsi="Arial" w:cs="Arial"/>
          <w:lang w:val="es-ES"/>
        </w:rPr>
        <w:t>Denegar la propuesta, con lo cual se da por concluido el procedimiento de evaluación.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20.- Subsanación de las observaciones del Consejo Regional o Municipal Provincial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182"/>
        </w:numPr>
        <w:spacing w:after="0" w:line="240" w:lineRule="auto"/>
        <w:ind w:left="993" w:hanging="709"/>
        <w:contextualSpacing/>
        <w:jc w:val="both"/>
        <w:rPr>
          <w:rFonts w:ascii="Arial" w:eastAsia="Calibri" w:hAnsi="Arial" w:cs="Arial"/>
          <w:lang w:val="es-ES"/>
        </w:rPr>
      </w:pPr>
      <w:r w:rsidRPr="006312E8">
        <w:rPr>
          <w:rFonts w:ascii="Arial" w:eastAsia="Calibri" w:hAnsi="Arial" w:cs="Arial"/>
          <w:lang w:val="es-ES"/>
        </w:rPr>
        <w:t>Recibidas las observaciones del Consejo Regional o Municipal Provincial, el Comité de Evaluación, en el término de diez (10) días calendario, puede: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83"/>
        </w:numPr>
        <w:spacing w:after="0" w:line="240" w:lineRule="auto"/>
        <w:ind w:left="1418"/>
        <w:contextualSpacing/>
        <w:jc w:val="both"/>
        <w:rPr>
          <w:rFonts w:ascii="Arial" w:eastAsia="Calibri" w:hAnsi="Arial" w:cs="Arial"/>
          <w:lang w:val="es-ES"/>
        </w:rPr>
      </w:pPr>
      <w:r w:rsidRPr="006312E8">
        <w:rPr>
          <w:rFonts w:ascii="Arial" w:eastAsia="Calibri" w:hAnsi="Arial" w:cs="Arial"/>
          <w:lang w:val="es-ES"/>
        </w:rPr>
        <w:t>Emitir un informe de levantamiento de observaciones, en cuyo caso lo elevará a consideración del Consejo Regional o Municipal Provincial, según corresponda; o,</w:t>
      </w:r>
    </w:p>
    <w:p w:rsidR="006312E8" w:rsidRPr="006312E8" w:rsidRDefault="006312E8" w:rsidP="006312E8">
      <w:pPr>
        <w:spacing w:after="0" w:line="240" w:lineRule="auto"/>
        <w:ind w:left="1418"/>
        <w:contextualSpacing/>
        <w:jc w:val="both"/>
        <w:rPr>
          <w:rFonts w:ascii="Arial" w:eastAsia="Calibri" w:hAnsi="Arial" w:cs="Arial"/>
          <w:lang w:val="es-ES"/>
        </w:rPr>
      </w:pPr>
    </w:p>
    <w:p w:rsidR="006312E8" w:rsidRPr="006312E8" w:rsidRDefault="006312E8" w:rsidP="0092471C">
      <w:pPr>
        <w:numPr>
          <w:ilvl w:val="0"/>
          <w:numId w:val="183"/>
        </w:numPr>
        <w:spacing w:after="0" w:line="240" w:lineRule="auto"/>
        <w:ind w:left="1418"/>
        <w:contextualSpacing/>
        <w:jc w:val="both"/>
        <w:rPr>
          <w:rFonts w:ascii="Arial" w:eastAsia="Calibri" w:hAnsi="Arial" w:cs="Arial"/>
          <w:lang w:val="es-ES"/>
        </w:rPr>
      </w:pPr>
      <w:r w:rsidRPr="006312E8">
        <w:rPr>
          <w:rFonts w:ascii="Arial" w:eastAsia="Calibri" w:hAnsi="Arial" w:cs="Arial"/>
          <w:lang w:val="es-ES"/>
        </w:rPr>
        <w:t>Emitir un informe denegando la propuesta.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182"/>
        </w:numPr>
        <w:spacing w:after="0" w:line="240" w:lineRule="auto"/>
        <w:ind w:left="993" w:hanging="709"/>
        <w:contextualSpacing/>
        <w:jc w:val="both"/>
        <w:rPr>
          <w:rFonts w:ascii="Arial" w:eastAsia="Calibri" w:hAnsi="Arial" w:cs="Arial"/>
          <w:lang w:val="es-ES"/>
        </w:rPr>
      </w:pPr>
      <w:r w:rsidRPr="006312E8">
        <w:rPr>
          <w:rFonts w:ascii="Arial" w:eastAsia="Calibri" w:hAnsi="Arial" w:cs="Arial"/>
          <w:lang w:val="es-ES"/>
        </w:rPr>
        <w:t>De considerarlo necesario, el Comité de Evaluación puede requerir información adicional al consorcio para emitir su informe.</w:t>
      </w:r>
    </w:p>
    <w:p w:rsidR="006312E8" w:rsidRPr="006312E8" w:rsidRDefault="006312E8" w:rsidP="0092471C">
      <w:pPr>
        <w:numPr>
          <w:ilvl w:val="1"/>
          <w:numId w:val="182"/>
        </w:numPr>
        <w:spacing w:after="0" w:line="240" w:lineRule="auto"/>
        <w:ind w:left="993" w:hanging="709"/>
        <w:contextualSpacing/>
        <w:jc w:val="both"/>
        <w:rPr>
          <w:rFonts w:ascii="Arial" w:eastAsia="Calibri" w:hAnsi="Arial" w:cs="Arial"/>
          <w:lang w:val="es-ES"/>
        </w:rPr>
      </w:pPr>
      <w:r w:rsidRPr="006312E8">
        <w:rPr>
          <w:rFonts w:ascii="Arial" w:eastAsia="Calibri" w:hAnsi="Arial" w:cs="Arial"/>
          <w:lang w:val="es-ES"/>
        </w:rPr>
        <w:t>Si el Consejo Regional o Municipal Provincial observa nuevamente la propuesta, ésta se considera denegada.</w:t>
      </w:r>
    </w:p>
    <w:p w:rsid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21.- Carácter confidencial de la propuesta</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Comité de Evaluación debe mantener el carácter confidencial y reservado de las propuestas que se presenten, bajo responsabilidad. Esta obligación se extiende a las entidades públicas y funcionarios públicos que, por su cargo o función, tomen conocimiento de la presentación y contenido de las propuestas. El carácter confidencial y reservado se mantendrá hasta su aprobación.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22.- Consulta a otras instancias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Comité de Evaluación está facultado para efectuar consultas especializadas a otras entidades públicas y privadas sobre aquellos aspectos específicos de la propuesta que considere conveniente, sin que ello pueda afectar su capacidad de decisión ni los plazos para resolver.</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23.- Plazo de evaluación y aprobación</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procedimiento de evaluación y aprobación de la propuesta de desarrollo de un PITE no puede exceder el plazo máximo de noventa (90) días calendario que establece el numeral 5.3 del artículo 5 de la Ley, el cual se computa desde que el consorcio cumple con todos los requisitos de presentación.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24.- Acuerdo del Consejo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acuerdo emitido por el Consejo Regional o Municipal Provincial que aprueba la propuesta de desarrollo de un PITE debe autorizar:</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84"/>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La creación del PITE;</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92471C">
      <w:pPr>
        <w:numPr>
          <w:ilvl w:val="0"/>
          <w:numId w:val="184"/>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El otorgamiento del derecho de superficie en favor del consorcio sobre la parte del terreno cuya habilitación financiará o cofinanciará el Gobierno Regional o Local;</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92471C">
      <w:pPr>
        <w:numPr>
          <w:ilvl w:val="0"/>
          <w:numId w:val="184"/>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El gasto de la habilitación del terreno, indicando la fuente de financiamiento respectiva así como el plazo para habilitar el terreno; y,</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92471C">
      <w:pPr>
        <w:numPr>
          <w:ilvl w:val="0"/>
          <w:numId w:val="184"/>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La suscripción del contrato de desarrollo del PITE entre el Gobierno Regional o Local y el consorcio.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TÍTULO VI</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GESTIONES PREVIAS E INICIO DE LAS ACTIVIDADES PRODUCTIVAS DEL PITE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25.- Contrato para el desarrollo de un PITE</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Gobierno Regional o Local de ámbito provincial debe suscribir un contrato para el desarrollo del PITE con el consorcio, el cual debe considerar entre sus cláusulas: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85"/>
        </w:numPr>
        <w:spacing w:after="0" w:line="240" w:lineRule="auto"/>
        <w:contextualSpacing/>
        <w:jc w:val="both"/>
        <w:rPr>
          <w:rFonts w:ascii="Arial" w:eastAsia="Calibri" w:hAnsi="Arial" w:cs="Arial"/>
          <w:lang w:val="es-ES"/>
        </w:rPr>
      </w:pPr>
      <w:r w:rsidRPr="006312E8">
        <w:rPr>
          <w:rFonts w:ascii="Arial" w:eastAsia="Calibri" w:hAnsi="Arial" w:cs="Arial"/>
          <w:lang w:val="es-ES"/>
        </w:rPr>
        <w:t>Los objetivos, metas e indicadores de gestión del PITE.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85"/>
        </w:numPr>
        <w:spacing w:after="0" w:line="240" w:lineRule="auto"/>
        <w:contextualSpacing/>
        <w:jc w:val="both"/>
        <w:rPr>
          <w:rFonts w:ascii="Arial" w:eastAsia="Calibri" w:hAnsi="Arial" w:cs="Arial"/>
          <w:lang w:val="es-ES"/>
        </w:rPr>
      </w:pPr>
      <w:r w:rsidRPr="006312E8">
        <w:rPr>
          <w:rFonts w:ascii="Arial" w:eastAsia="Calibri" w:hAnsi="Arial" w:cs="Arial"/>
          <w:lang w:val="es-ES"/>
        </w:rPr>
        <w:t>Las condiciones del derecho de superficie del terreno asignado al PITE.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85"/>
        </w:numPr>
        <w:spacing w:after="0" w:line="240" w:lineRule="auto"/>
        <w:contextualSpacing/>
        <w:jc w:val="both"/>
        <w:rPr>
          <w:rFonts w:ascii="Arial" w:eastAsia="Calibri" w:hAnsi="Arial" w:cs="Arial"/>
          <w:lang w:val="es-ES"/>
        </w:rPr>
      </w:pPr>
      <w:r w:rsidRPr="006312E8">
        <w:rPr>
          <w:rFonts w:ascii="Arial" w:eastAsia="Calibri" w:hAnsi="Arial" w:cs="Arial"/>
          <w:lang w:val="es-ES"/>
        </w:rPr>
        <w:t>El plazo para operar el PITE.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85"/>
        </w:numPr>
        <w:spacing w:after="0" w:line="240" w:lineRule="auto"/>
        <w:contextualSpacing/>
        <w:jc w:val="both"/>
        <w:rPr>
          <w:rFonts w:ascii="Arial" w:eastAsia="Calibri" w:hAnsi="Arial" w:cs="Arial"/>
          <w:lang w:val="es-ES"/>
        </w:rPr>
      </w:pPr>
      <w:r w:rsidRPr="006312E8">
        <w:rPr>
          <w:rFonts w:ascii="Arial" w:eastAsia="Calibri" w:hAnsi="Arial" w:cs="Arial"/>
          <w:lang w:val="es-ES"/>
        </w:rPr>
        <w:t>Los mecanismos de monitoreo y evaluación del PITE en operación.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85"/>
        </w:numPr>
        <w:spacing w:after="0" w:line="240" w:lineRule="auto"/>
        <w:contextualSpacing/>
        <w:jc w:val="both"/>
        <w:rPr>
          <w:rFonts w:ascii="Arial" w:eastAsia="Calibri" w:hAnsi="Arial" w:cs="Arial"/>
          <w:lang w:val="es-ES"/>
        </w:rPr>
      </w:pPr>
      <w:r w:rsidRPr="006312E8">
        <w:rPr>
          <w:rFonts w:ascii="Arial" w:eastAsia="Calibri" w:hAnsi="Arial" w:cs="Arial"/>
          <w:lang w:val="es-ES"/>
        </w:rPr>
        <w:t>Las causales de incumplimiento que conllevan a la extinción del derecho de superficie y a la reversión del terreno.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85"/>
        </w:numPr>
        <w:spacing w:after="0" w:line="240" w:lineRule="auto"/>
        <w:contextualSpacing/>
        <w:jc w:val="both"/>
        <w:rPr>
          <w:rFonts w:ascii="Arial" w:eastAsia="Calibri" w:hAnsi="Arial" w:cs="Arial"/>
          <w:lang w:val="es-ES"/>
        </w:rPr>
      </w:pPr>
      <w:r w:rsidRPr="006312E8">
        <w:rPr>
          <w:rFonts w:ascii="Arial" w:eastAsia="Calibri" w:hAnsi="Arial" w:cs="Arial"/>
          <w:lang w:val="es-ES"/>
        </w:rPr>
        <w:t>Las causales de Resolución del contrato y de selección de un nuevo consorcio.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26.- Metas e indicadores de gestión del PITE</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contrato de desarrollo de un PITE debe definir metas anuales e indicadores de gestión, entre los cuales debe considerarse: i) el nivel de ocupación del PITE; ii) la productividad alcanzada; iii) las tecnologías utilizadas; iv) la capacitación del personal de las empresas instaladas; entre otros, a efecto de garantizar una gestión eficiente del PITE .</w:t>
      </w:r>
    </w:p>
    <w:p w:rsidR="00F47618" w:rsidRPr="006312E8" w:rsidRDefault="00F4761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27.- Derecho de superficie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186"/>
        </w:numPr>
        <w:spacing w:after="0" w:line="240" w:lineRule="auto"/>
        <w:ind w:left="851" w:hanging="633"/>
        <w:contextualSpacing/>
        <w:jc w:val="both"/>
        <w:rPr>
          <w:rFonts w:ascii="Arial" w:eastAsia="Calibri" w:hAnsi="Arial" w:cs="Arial"/>
          <w:lang w:val="es-ES"/>
        </w:rPr>
      </w:pPr>
      <w:r w:rsidRPr="006312E8">
        <w:rPr>
          <w:rFonts w:ascii="Arial" w:eastAsia="Calibri" w:hAnsi="Arial" w:cs="Arial"/>
          <w:lang w:val="es-ES"/>
        </w:rPr>
        <w:t>La provisión del terreno en favor del consorcio deberá realizarse por el Gobierno Regional o Local de ámbito provincial mediante el otorgamiento de un derecho de superficie a título oneroso por el área correspondiente al terreno asignado al PITE, de conformidad a lo dispuesto en el Código Civil y la normativa del Sistema Nacional de Bienes Estatales.</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92471C">
      <w:pPr>
        <w:numPr>
          <w:ilvl w:val="1"/>
          <w:numId w:val="186"/>
        </w:numPr>
        <w:spacing w:after="0" w:line="240" w:lineRule="auto"/>
        <w:ind w:left="851" w:hanging="633"/>
        <w:contextualSpacing/>
        <w:jc w:val="both"/>
        <w:rPr>
          <w:rFonts w:ascii="Arial" w:eastAsia="Calibri" w:hAnsi="Arial" w:cs="Arial"/>
          <w:lang w:val="es-ES"/>
        </w:rPr>
      </w:pPr>
      <w:r w:rsidRPr="006312E8">
        <w:rPr>
          <w:rFonts w:ascii="Arial" w:eastAsia="Calibri" w:hAnsi="Arial" w:cs="Arial"/>
          <w:lang w:val="es-ES"/>
        </w:rPr>
        <w:t>La contraprestación por el derecho de superficie deberá representar al menos el diez por ciento (10%) del valor de tasación del terreno que realice el Ministerio de Vivienda, Construcción y Saneamiento. Las partes acordarán la forma de pago.</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1"/>
          <w:numId w:val="186"/>
        </w:numPr>
        <w:spacing w:after="0" w:line="240" w:lineRule="auto"/>
        <w:ind w:left="851" w:hanging="633"/>
        <w:contextualSpacing/>
        <w:jc w:val="both"/>
        <w:rPr>
          <w:rFonts w:ascii="Arial" w:eastAsia="Calibri" w:hAnsi="Arial" w:cs="Arial"/>
          <w:lang w:val="es-ES"/>
        </w:rPr>
      </w:pPr>
      <w:r w:rsidRPr="006312E8">
        <w:rPr>
          <w:rFonts w:ascii="Arial" w:eastAsia="Calibri" w:hAnsi="Arial" w:cs="Arial"/>
          <w:lang w:val="es-ES"/>
        </w:rPr>
        <w:t>El derecho de superficie se establece por un plazo máximo de treinta (30) años, pudiendo ser renovado. Una vez vencido el plazo de duración o si se hubiera alcanzado el plazo máximo previsto en el Código Civil, el derecho de superficie se extingue.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28.- Plazo para iniciar sus actividades productivas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Una vez que se encuentre habilitado el terreno, el PITE debe iniciar actividad productiva en un plazo máximo de dos (02) años, caso contrario, la Gerencia de Desarrollo Económico respectiva evaluará la resolución del contrato. El consorcio puede solicitar por única vez la prórroga del plazo para operar el PITE, la cual no debe exceder de doce (12) meses.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29.- Mecanismos de monitoreo y evaluación del PITE</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 Gerencia de Desarrollo Económico o quien haga sus veces del Gobierno Regional o Local de ámbito provincial establece los mecanismos de monitoreo y evaluación del PITE una vez que éste inicie sus actividades productivas, los cuales deben considerar al menos: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87"/>
        </w:num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La realización de visitas semestrales al PITE; y,</w:t>
      </w:r>
    </w:p>
    <w:p w:rsidR="006312E8" w:rsidRPr="006312E8" w:rsidRDefault="006312E8" w:rsidP="006312E8">
      <w:pPr>
        <w:spacing w:after="0" w:line="240" w:lineRule="auto"/>
        <w:ind w:left="709" w:hanging="425"/>
        <w:contextualSpacing/>
        <w:jc w:val="both"/>
        <w:rPr>
          <w:rFonts w:ascii="Arial" w:eastAsia="Calibri" w:hAnsi="Arial" w:cs="Arial"/>
          <w:lang w:val="es-ES"/>
        </w:rPr>
      </w:pPr>
    </w:p>
    <w:p w:rsidR="006312E8" w:rsidRPr="006312E8" w:rsidRDefault="006312E8" w:rsidP="0092471C">
      <w:pPr>
        <w:numPr>
          <w:ilvl w:val="0"/>
          <w:numId w:val="187"/>
        </w:numPr>
        <w:spacing w:after="0" w:line="240" w:lineRule="auto"/>
        <w:ind w:left="709" w:hanging="425"/>
        <w:contextualSpacing/>
        <w:jc w:val="both"/>
        <w:rPr>
          <w:rFonts w:ascii="Arial" w:eastAsia="Calibri" w:hAnsi="Arial" w:cs="Arial"/>
          <w:lang w:val="es-ES"/>
        </w:rPr>
      </w:pPr>
      <w:r w:rsidRPr="006312E8">
        <w:rPr>
          <w:rFonts w:ascii="Arial" w:eastAsia="Calibri" w:hAnsi="Arial" w:cs="Arial"/>
          <w:lang w:val="es-ES"/>
        </w:rPr>
        <w:t>La elaboración de informes semestrales y anuales de evaluación, los que deben evaluar el cumplimiento del contrato para el desarrollo de un PITE y los indicadores de gestión, los que deberán ser puestos en conocimiento del Consejo Regional o Municipal Provincial, según corresponda.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30.- Causales de incumplimiento que conllevan a la extinción del derecho de superficie y a la reversión del terreno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188"/>
        </w:numPr>
        <w:spacing w:after="0" w:line="240" w:lineRule="auto"/>
        <w:ind w:left="851" w:hanging="709"/>
        <w:contextualSpacing/>
        <w:jc w:val="both"/>
        <w:rPr>
          <w:rFonts w:ascii="Arial" w:eastAsia="Calibri" w:hAnsi="Arial" w:cs="Arial"/>
          <w:lang w:val="es-ES"/>
        </w:rPr>
      </w:pPr>
      <w:r w:rsidRPr="006312E8">
        <w:rPr>
          <w:rFonts w:ascii="Arial" w:eastAsia="Calibri" w:hAnsi="Arial" w:cs="Arial"/>
          <w:lang w:val="es-ES"/>
        </w:rPr>
        <w:t>Las partes establecen las causales de incumplimiento que dan lugar a la extinción del derecho de superficie y la correspondiente reversión del terreno por parte del Gobierno Regional o Local de ámbito provincial a la entidad estatal que le transfirió el terreno. Entre tales causales debe considerarse: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89"/>
        </w:numPr>
        <w:spacing w:after="0" w:line="240" w:lineRule="auto"/>
        <w:ind w:left="1134"/>
        <w:contextualSpacing/>
        <w:jc w:val="both"/>
        <w:rPr>
          <w:rFonts w:ascii="Arial" w:eastAsia="Calibri" w:hAnsi="Arial" w:cs="Arial"/>
          <w:lang w:val="es-ES"/>
        </w:rPr>
      </w:pPr>
      <w:r w:rsidRPr="006312E8">
        <w:rPr>
          <w:rFonts w:ascii="Arial" w:eastAsia="Calibri" w:hAnsi="Arial" w:cs="Arial"/>
          <w:lang w:val="es-ES"/>
        </w:rPr>
        <w:t>Que el PITE no entre en operación en el plazo previsto en la propuesta aprobada o en la prórroga, si ésta fuera solicitada; y,</w:t>
      </w:r>
    </w:p>
    <w:p w:rsidR="006312E8" w:rsidRPr="006312E8" w:rsidRDefault="006312E8" w:rsidP="006312E8">
      <w:pPr>
        <w:spacing w:after="0" w:line="240" w:lineRule="auto"/>
        <w:ind w:left="1134"/>
        <w:contextualSpacing/>
        <w:jc w:val="both"/>
        <w:rPr>
          <w:rFonts w:ascii="Arial" w:eastAsia="Calibri" w:hAnsi="Arial" w:cs="Arial"/>
          <w:lang w:val="es-ES"/>
        </w:rPr>
      </w:pPr>
    </w:p>
    <w:p w:rsidR="006312E8" w:rsidRPr="006312E8" w:rsidRDefault="006312E8" w:rsidP="0092471C">
      <w:pPr>
        <w:numPr>
          <w:ilvl w:val="0"/>
          <w:numId w:val="189"/>
        </w:numPr>
        <w:spacing w:after="0" w:line="240" w:lineRule="auto"/>
        <w:ind w:left="1134"/>
        <w:contextualSpacing/>
        <w:jc w:val="both"/>
        <w:rPr>
          <w:rFonts w:ascii="Arial" w:eastAsia="Calibri" w:hAnsi="Arial" w:cs="Arial"/>
          <w:lang w:val="es-ES"/>
        </w:rPr>
      </w:pPr>
      <w:r w:rsidRPr="006312E8">
        <w:rPr>
          <w:rFonts w:ascii="Arial" w:eastAsia="Calibri" w:hAnsi="Arial" w:cs="Arial"/>
          <w:lang w:val="es-ES"/>
        </w:rPr>
        <w:t>La desnaturalización del fin para el cual se aprobó el PITE.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188"/>
        </w:numPr>
        <w:spacing w:after="0" w:line="240" w:lineRule="auto"/>
        <w:ind w:left="851" w:hanging="709"/>
        <w:contextualSpacing/>
        <w:jc w:val="both"/>
        <w:rPr>
          <w:rFonts w:ascii="Arial" w:eastAsia="Calibri" w:hAnsi="Arial" w:cs="Arial"/>
          <w:lang w:val="es-ES"/>
        </w:rPr>
      </w:pPr>
      <w:r w:rsidRPr="006312E8">
        <w:rPr>
          <w:rFonts w:ascii="Arial" w:eastAsia="Calibri" w:hAnsi="Arial" w:cs="Arial"/>
          <w:lang w:val="es-ES"/>
        </w:rPr>
        <w:t>La Gerencia de Desarrollo Económico debe requerir por escrito al consorcio el cumplimiento de las obligaciones antes descritas en un plazo perentorio luego del cual, en caso no haya sido subsanado el incumplimiento, procede invocar la causal de extinción del derecho de superficie y posterior reversión si el terreno es de titularidad del Gobierno Regional o Local de ámbito provincial como consecuencia de una transferencia interestatal.</w:t>
      </w:r>
    </w:p>
    <w:p w:rsidR="006312E8" w:rsidRPr="006312E8" w:rsidRDefault="006312E8" w:rsidP="006312E8">
      <w:pPr>
        <w:spacing w:after="0" w:line="240" w:lineRule="auto"/>
        <w:ind w:left="851"/>
        <w:contextualSpacing/>
        <w:jc w:val="both"/>
        <w:rPr>
          <w:rFonts w:ascii="Arial" w:eastAsia="Calibri" w:hAnsi="Arial" w:cs="Arial"/>
          <w:lang w:val="es-ES"/>
        </w:rPr>
      </w:pPr>
    </w:p>
    <w:p w:rsidR="006312E8" w:rsidRPr="006312E8" w:rsidRDefault="006312E8" w:rsidP="0092471C">
      <w:pPr>
        <w:numPr>
          <w:ilvl w:val="1"/>
          <w:numId w:val="188"/>
        </w:numPr>
        <w:spacing w:after="0" w:line="240" w:lineRule="auto"/>
        <w:ind w:left="851" w:hanging="709"/>
        <w:contextualSpacing/>
        <w:jc w:val="both"/>
        <w:rPr>
          <w:rFonts w:ascii="Arial" w:eastAsia="Calibri" w:hAnsi="Arial" w:cs="Arial"/>
          <w:lang w:val="es-ES"/>
        </w:rPr>
      </w:pPr>
      <w:r w:rsidRPr="006312E8">
        <w:rPr>
          <w:rFonts w:ascii="Arial" w:eastAsia="Calibri" w:hAnsi="Arial" w:cs="Arial"/>
          <w:lang w:val="es-ES"/>
        </w:rPr>
        <w:t>La reversión se realiza en favor de la Superintendencia Nacional de Bienes Estatales o de la entidad propietaria original del terreno, siendo aplicables a la reversión las normas del Sistema Nacional de Bienes Estatales.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TÍTULO VII</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ADMINISTRACIÓN DEL PITE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31.- Administración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90"/>
        </w:num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En el caso de propuestas públicas se conforma un Directorio, el cual está integrado por un representante del consorcio, que representa a las empresas instaladas en el PITE, quien lo preside; y, un representante del Gobierno Local de ámbito provincial o un representante del Gobierno Regional, según sea el caso, considerando que el mismo será designado por la instancia que haya convocado el proceso de selección.</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92471C">
      <w:pPr>
        <w:numPr>
          <w:ilvl w:val="0"/>
          <w:numId w:val="190"/>
        </w:num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En el caso de propuestas privadas la administración del PITE se realiza a través de un contrato de fideicomiso suscrito por el consorcio con una empresa fiduciaria constituida conforme a la normativa en la materia y bajo supervisión de la Superintendencia de Banca, Seguros y Administradoras Privadas de Fondos de Pensiones.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32.- Directorio</w:t>
      </w:r>
    </w:p>
    <w:p w:rsidR="006312E8" w:rsidRPr="006312E8" w:rsidRDefault="006312E8" w:rsidP="0092471C">
      <w:pPr>
        <w:numPr>
          <w:ilvl w:val="1"/>
          <w:numId w:val="191"/>
        </w:numPr>
        <w:spacing w:after="0" w:line="240" w:lineRule="auto"/>
        <w:ind w:left="993" w:hanging="775"/>
        <w:contextualSpacing/>
        <w:jc w:val="both"/>
        <w:rPr>
          <w:rFonts w:ascii="Arial" w:eastAsia="Calibri" w:hAnsi="Arial" w:cs="Arial"/>
          <w:lang w:val="es-ES"/>
        </w:rPr>
      </w:pPr>
      <w:r w:rsidRPr="006312E8">
        <w:rPr>
          <w:rFonts w:ascii="Arial" w:eastAsia="Calibri" w:hAnsi="Arial" w:cs="Arial"/>
          <w:lang w:val="es-ES"/>
        </w:rPr>
        <w:t>La designación del representante público del Directorio se realizará cada dos (02) años mediante Resolución Ejecutiva Regional o Resolución de Alcaldía, según corresponda. El cargo de director no es retribuido. El Gobierno Regional o Local de ámbito provincial puede designar como sus representantes a especialistas o expertos en materias afines al PITE.</w:t>
      </w:r>
    </w:p>
    <w:p w:rsidR="006312E8" w:rsidRPr="006312E8" w:rsidRDefault="006312E8" w:rsidP="006312E8">
      <w:pPr>
        <w:spacing w:after="0" w:line="240" w:lineRule="auto"/>
        <w:ind w:left="993"/>
        <w:contextualSpacing/>
        <w:jc w:val="both"/>
        <w:rPr>
          <w:rFonts w:ascii="Arial" w:eastAsia="Calibri" w:hAnsi="Arial" w:cs="Arial"/>
          <w:lang w:val="es-ES"/>
        </w:rPr>
      </w:pPr>
    </w:p>
    <w:p w:rsidR="006312E8" w:rsidRPr="006312E8" w:rsidRDefault="006312E8" w:rsidP="0092471C">
      <w:pPr>
        <w:numPr>
          <w:ilvl w:val="1"/>
          <w:numId w:val="191"/>
        </w:numPr>
        <w:spacing w:after="0" w:line="240" w:lineRule="auto"/>
        <w:ind w:left="993" w:hanging="775"/>
        <w:contextualSpacing/>
        <w:jc w:val="both"/>
        <w:rPr>
          <w:rFonts w:ascii="Arial" w:eastAsia="Calibri" w:hAnsi="Arial" w:cs="Arial"/>
          <w:lang w:val="es-ES"/>
        </w:rPr>
      </w:pPr>
      <w:r w:rsidRPr="006312E8">
        <w:rPr>
          <w:rFonts w:ascii="Arial" w:eastAsia="Calibri" w:hAnsi="Arial" w:cs="Arial"/>
          <w:lang w:val="es-ES"/>
        </w:rPr>
        <w:t>El Directorio de un PITE sesiona en forma ordinaria no menos de una (1) vez por mes y podrá convocar a sesiones extraordinarias cuando lo estime conveniente. Sus reuniones y los acuerdos adoptados en ellas deben constar en un libro de actas legalizado conforme a ley.</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92471C">
      <w:pPr>
        <w:numPr>
          <w:ilvl w:val="1"/>
          <w:numId w:val="191"/>
        </w:numPr>
        <w:spacing w:after="0" w:line="240" w:lineRule="auto"/>
        <w:ind w:left="993" w:hanging="775"/>
        <w:contextualSpacing/>
        <w:jc w:val="both"/>
        <w:rPr>
          <w:rFonts w:ascii="Arial" w:eastAsia="Calibri" w:hAnsi="Arial" w:cs="Arial"/>
          <w:lang w:val="es-ES"/>
        </w:rPr>
      </w:pPr>
      <w:r w:rsidRPr="006312E8">
        <w:rPr>
          <w:rFonts w:ascii="Arial" w:eastAsia="Calibri" w:hAnsi="Arial" w:cs="Arial"/>
          <w:lang w:val="es-ES"/>
        </w:rPr>
        <w:t>Los mecanismos de votación y otros elementos necesarios para definir las decisiones del Directorio se establecen en su Reglamento.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33.- Funciones del Directorio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Son funciones del Directorio: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1"/>
          <w:numId w:val="192"/>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Aprobar el Reglamento Interno del PITE y sus modificaciones, y velar por su cumplimiento.</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92471C">
      <w:pPr>
        <w:numPr>
          <w:ilvl w:val="1"/>
          <w:numId w:val="192"/>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Administrar el PITE, asegurando su óptimo funcionamiento.</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92471C">
      <w:pPr>
        <w:numPr>
          <w:ilvl w:val="1"/>
          <w:numId w:val="192"/>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Aprobar los indicadores de gestión y los estados financieros.</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92471C">
      <w:pPr>
        <w:numPr>
          <w:ilvl w:val="1"/>
          <w:numId w:val="192"/>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Designar al Gerente.</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92471C">
      <w:pPr>
        <w:numPr>
          <w:ilvl w:val="1"/>
          <w:numId w:val="192"/>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Aprobar el Plan Operativo Anual del PITE, propuesto por la Gerencia, asegurando su desarrollo integral.</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92471C">
      <w:pPr>
        <w:numPr>
          <w:ilvl w:val="1"/>
          <w:numId w:val="192"/>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Promover el carácter tecno-ecológico del PITE, mediante la innovación tecnológica, certificaciones ISO, entre otros.</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92471C">
      <w:pPr>
        <w:numPr>
          <w:ilvl w:val="1"/>
          <w:numId w:val="192"/>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Aprobar el Reglamento del Directorio del PITE.</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92471C">
      <w:pPr>
        <w:numPr>
          <w:ilvl w:val="1"/>
          <w:numId w:val="192"/>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Otras establecidas en el Reglamento del Directorio del PITE.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34.- Consejo Consultivo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Directorio puede conformar un Consejo Consultivo con la finalidad de recibir opinión especializada no vinculante respecto de aquellos temas que el Directorio someta a su consideración. El Consejo Consultivo puede incluir entre sus miembros a un representante del centro de investigación o de innovación tecnológica vinculado al PITE.</w:t>
      </w:r>
    </w:p>
    <w:p w:rsidR="006312E8" w:rsidRDefault="006312E8" w:rsidP="006312E8">
      <w:pPr>
        <w:spacing w:after="0" w:line="240" w:lineRule="auto"/>
        <w:contextualSpacing/>
        <w:jc w:val="both"/>
        <w:rPr>
          <w:rFonts w:ascii="Arial" w:eastAsia="Calibri" w:hAnsi="Arial" w:cs="Arial"/>
          <w:lang w:val="es-ES"/>
        </w:rPr>
      </w:pPr>
    </w:p>
    <w:p w:rsidR="00F47618" w:rsidRPr="006312E8" w:rsidRDefault="00F4761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35.- Gerente</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 ejecución de los acuerdos del Directorio está a cargo de un Gerente, el cual ejerce las siguientes funciones: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93"/>
        </w:num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Celebrar y ejecutar los actos y contratos ordinarios para el funcionamiento del PITE, tales como los contratos para el uso de sus espacios físicos, y aquéllos otros que le delegue el Directorio.</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92471C">
      <w:pPr>
        <w:numPr>
          <w:ilvl w:val="0"/>
          <w:numId w:val="193"/>
        </w:num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Representar al PITE con las facultades generales y especiales previstas en el Código Procesal Civil y las facultades previstas en la Ley de Arbitraje.</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92471C">
      <w:pPr>
        <w:numPr>
          <w:ilvl w:val="0"/>
          <w:numId w:val="193"/>
        </w:num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Asistir con voz, pero sin voto, a las sesiones del Directorio actuando como su secretario, salvo que éste acuerde sesionar de manera reservada.</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92471C">
      <w:pPr>
        <w:numPr>
          <w:ilvl w:val="0"/>
          <w:numId w:val="193"/>
        </w:num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Expedir constancias y certificaciones respecto del contenido de los libros y registros del PITE.</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92471C">
      <w:pPr>
        <w:numPr>
          <w:ilvl w:val="0"/>
          <w:numId w:val="193"/>
        </w:num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Proponer al Directorio el Plan Operativo Anual del PITE y hacer seguimiento a su ejecución.</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92471C">
      <w:pPr>
        <w:numPr>
          <w:ilvl w:val="0"/>
          <w:numId w:val="193"/>
        </w:num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Dirigir las acciones para asegurar el óptimo funcionamiento del PITE a través de la planificación, programación, ejecución, supervisión y evaluación de sus actividades, en el marco del Reglamento Interno del PITE.</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92471C">
      <w:pPr>
        <w:numPr>
          <w:ilvl w:val="0"/>
          <w:numId w:val="193"/>
        </w:num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Implementar las acciones para promover y mantener el carácter tecno-ecológico del PITE, mediante la innovación tecnológica, certificaciones ISO, entre otros.</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92471C">
      <w:pPr>
        <w:numPr>
          <w:ilvl w:val="0"/>
          <w:numId w:val="193"/>
        </w:num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Informar periódicamente al Directorio sobre los avances de su gestión.</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92471C">
      <w:pPr>
        <w:numPr>
          <w:ilvl w:val="0"/>
          <w:numId w:val="193"/>
        </w:num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Proponer al Directorio modificaciones al Reglamento Interno del PITE, manteniendo el contenido mínimo del Anexo III del presente Reglamento.</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92471C">
      <w:pPr>
        <w:numPr>
          <w:ilvl w:val="0"/>
          <w:numId w:val="193"/>
        </w:num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Promover las buenas prácticas de Gobierno Corporativo.</w:t>
      </w:r>
    </w:p>
    <w:p w:rsidR="006312E8" w:rsidRPr="006312E8" w:rsidRDefault="006312E8" w:rsidP="006312E8">
      <w:pPr>
        <w:spacing w:after="0" w:line="240" w:lineRule="auto"/>
        <w:ind w:left="426"/>
        <w:contextualSpacing/>
        <w:jc w:val="both"/>
        <w:rPr>
          <w:rFonts w:ascii="Arial" w:eastAsia="Calibri" w:hAnsi="Arial" w:cs="Arial"/>
          <w:lang w:val="es-ES"/>
        </w:rPr>
      </w:pPr>
    </w:p>
    <w:p w:rsidR="006312E8" w:rsidRPr="006312E8" w:rsidRDefault="006312E8" w:rsidP="0092471C">
      <w:pPr>
        <w:numPr>
          <w:ilvl w:val="0"/>
          <w:numId w:val="193"/>
        </w:numPr>
        <w:spacing w:after="0" w:line="240" w:lineRule="auto"/>
        <w:ind w:left="426"/>
        <w:contextualSpacing/>
        <w:jc w:val="both"/>
        <w:rPr>
          <w:rFonts w:ascii="Arial" w:eastAsia="Calibri" w:hAnsi="Arial" w:cs="Arial"/>
          <w:lang w:val="es-ES"/>
        </w:rPr>
      </w:pPr>
      <w:r w:rsidRPr="006312E8">
        <w:rPr>
          <w:rFonts w:ascii="Arial" w:eastAsia="Calibri" w:hAnsi="Arial" w:cs="Arial"/>
          <w:lang w:val="es-ES"/>
        </w:rPr>
        <w:t>Otras que le asigne el Directorio del PITE.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36.- Contrato de fideicomiso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 celebración del contrato de fideicomiso se sujetará a las disposiciones generales que regulan al mismo.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contrato de fideicomiso debe contener como mínimo lo señalado en el Anexo V que forma parte del presente Reglamento. Adicionalmente al contrato de fideicomiso, el consorcio puede constituir un órgano de administración que se encargue de la planificación, programación, ejecución, supervisión y evaluación de las actividades que aseguren el óptimo funcionamiento del PITE.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TÍTULO VIII</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OBLIGACIONES Y DERECHOS DE LAS EMPRESAS INSTALADAS EN EL PITE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37.- Del contrato de arrendamiento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Las empresas que se instalen en el PITE deben suscribir un contrato de arrendamiento del lote respectivo con la administración del PITE que actúa en representación del consorcio, el contrato debe incluir la definición de las actividades que realiza la empresa acorde con el objeto del PITE y el plazo máximo para iniciar su actividad productiva.</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Las empresas instaladas en el PITE no pueden subarrendar el lote ni utilizar sus instalaciones para fines de casa-habitación.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38.- Obligaciones de las empresas del PITE</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Las empresas instaladas en el PITE deben cumplir con las siguientes obligaciones: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94"/>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Mantener la actividad productiva para la cual fue suscrito el contrato de arrendamiento del lote del PITE. De requerir el cambio de actividad debe ser aprobado previamente por la administración del PITE, debiendo mantenerse acorde con el objeto del PITE;</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92471C">
      <w:pPr>
        <w:numPr>
          <w:ilvl w:val="0"/>
          <w:numId w:val="194"/>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Realizar el pago de todos los servicios y obligaciones económicas establecidas en el contrato de arrendamiento del lote del PITE, así como de otros acuerdos establecidos con la administración del PITE;</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92471C">
      <w:pPr>
        <w:numPr>
          <w:ilvl w:val="0"/>
          <w:numId w:val="194"/>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Cumplir con las obligaciones tributarias, ambientales, laborales, de seguridad, sanitarias y de otra índole, de acuerdo a las normas que regulen su actividad productiva;</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92471C">
      <w:pPr>
        <w:numPr>
          <w:ilvl w:val="0"/>
          <w:numId w:val="194"/>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No destinar total o parcialmente el lote para fines de casa habitación u otro fin distinto al objeto para el cual fue arrendado;</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92471C">
      <w:pPr>
        <w:numPr>
          <w:ilvl w:val="0"/>
          <w:numId w:val="194"/>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Promover el fortalecimiento de capacidades, la innovación y la transferencia tecnológica en las especialidades relacionadas con las actividades desarrolladas en el PITE;</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92471C">
      <w:pPr>
        <w:numPr>
          <w:ilvl w:val="0"/>
          <w:numId w:val="194"/>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Cumplir con las obligaciones contenidas en el contrato de arrendamiento suscrito con la administración del PITE; y,</w:t>
      </w:r>
    </w:p>
    <w:p w:rsidR="006312E8" w:rsidRPr="006312E8" w:rsidRDefault="006312E8" w:rsidP="006312E8">
      <w:pPr>
        <w:spacing w:after="0" w:line="240" w:lineRule="auto"/>
        <w:ind w:left="567"/>
        <w:contextualSpacing/>
        <w:jc w:val="both"/>
        <w:rPr>
          <w:rFonts w:ascii="Arial" w:eastAsia="Calibri" w:hAnsi="Arial" w:cs="Arial"/>
          <w:lang w:val="es-ES"/>
        </w:rPr>
      </w:pPr>
    </w:p>
    <w:p w:rsidR="006312E8" w:rsidRPr="006312E8" w:rsidRDefault="006312E8" w:rsidP="0092471C">
      <w:pPr>
        <w:numPr>
          <w:ilvl w:val="0"/>
          <w:numId w:val="194"/>
        </w:numPr>
        <w:spacing w:after="0" w:line="240" w:lineRule="auto"/>
        <w:ind w:left="567"/>
        <w:contextualSpacing/>
        <w:jc w:val="both"/>
        <w:rPr>
          <w:rFonts w:ascii="Arial" w:eastAsia="Calibri" w:hAnsi="Arial" w:cs="Arial"/>
          <w:lang w:val="es-ES"/>
        </w:rPr>
      </w:pPr>
      <w:r w:rsidRPr="006312E8">
        <w:rPr>
          <w:rFonts w:ascii="Arial" w:eastAsia="Calibri" w:hAnsi="Arial" w:cs="Arial"/>
          <w:lang w:val="es-ES"/>
        </w:rPr>
        <w:t>Cumplir con las otras disposiciones contenidas en la Ley, así como en el Reglamento Interno del PITE.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39.- Derechos de las empresas instaladas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Las empresas instaladas en el PITE tienen los siguientes derechos: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92471C">
      <w:pPr>
        <w:numPr>
          <w:ilvl w:val="0"/>
          <w:numId w:val="195"/>
        </w:numPr>
        <w:spacing w:after="0" w:line="240" w:lineRule="auto"/>
        <w:ind w:hanging="436"/>
        <w:contextualSpacing/>
        <w:jc w:val="both"/>
        <w:rPr>
          <w:rFonts w:ascii="Arial" w:eastAsia="Calibri" w:hAnsi="Arial" w:cs="Arial"/>
          <w:lang w:val="es-ES"/>
        </w:rPr>
      </w:pPr>
      <w:r w:rsidRPr="006312E8">
        <w:rPr>
          <w:rFonts w:ascii="Arial" w:eastAsia="Calibri" w:hAnsi="Arial" w:cs="Arial"/>
          <w:lang w:val="es-ES"/>
        </w:rPr>
        <w:t>Acceso a los servicios y áreas comunes del PITE;</w:t>
      </w:r>
    </w:p>
    <w:p w:rsidR="006312E8" w:rsidRPr="006312E8" w:rsidRDefault="006312E8" w:rsidP="006312E8">
      <w:pPr>
        <w:spacing w:after="0" w:line="240" w:lineRule="auto"/>
        <w:ind w:hanging="436"/>
        <w:contextualSpacing/>
        <w:jc w:val="both"/>
        <w:rPr>
          <w:rFonts w:ascii="Arial" w:eastAsia="Calibri" w:hAnsi="Arial" w:cs="Arial"/>
          <w:lang w:val="es-ES"/>
        </w:rPr>
      </w:pPr>
    </w:p>
    <w:p w:rsidR="006312E8" w:rsidRPr="006312E8" w:rsidRDefault="006312E8" w:rsidP="0092471C">
      <w:pPr>
        <w:numPr>
          <w:ilvl w:val="0"/>
          <w:numId w:val="195"/>
        </w:numPr>
        <w:spacing w:after="0" w:line="240" w:lineRule="auto"/>
        <w:ind w:hanging="436"/>
        <w:contextualSpacing/>
        <w:jc w:val="both"/>
        <w:rPr>
          <w:rFonts w:ascii="Arial" w:eastAsia="Calibri" w:hAnsi="Arial" w:cs="Arial"/>
          <w:lang w:val="es-ES"/>
        </w:rPr>
      </w:pPr>
      <w:r w:rsidRPr="006312E8">
        <w:rPr>
          <w:rFonts w:ascii="Arial" w:eastAsia="Calibri" w:hAnsi="Arial" w:cs="Arial"/>
          <w:lang w:val="es-ES"/>
        </w:rPr>
        <w:t>A participar de los beneficios que generen los convenios técnicos, científicos, económicos y productivos que logre concertar la administración del PITE, para estimular el desarrollo de las actividades productivas;</w:t>
      </w:r>
    </w:p>
    <w:p w:rsidR="006312E8" w:rsidRPr="006312E8" w:rsidRDefault="006312E8" w:rsidP="006312E8">
      <w:pPr>
        <w:spacing w:after="0" w:line="240" w:lineRule="auto"/>
        <w:ind w:hanging="436"/>
        <w:contextualSpacing/>
        <w:jc w:val="both"/>
        <w:rPr>
          <w:rFonts w:ascii="Arial" w:eastAsia="Calibri" w:hAnsi="Arial" w:cs="Arial"/>
          <w:lang w:val="es-ES"/>
        </w:rPr>
      </w:pPr>
    </w:p>
    <w:p w:rsidR="006312E8" w:rsidRPr="006312E8" w:rsidRDefault="006312E8" w:rsidP="0092471C">
      <w:pPr>
        <w:numPr>
          <w:ilvl w:val="0"/>
          <w:numId w:val="195"/>
        </w:numPr>
        <w:spacing w:after="0" w:line="240" w:lineRule="auto"/>
        <w:ind w:hanging="436"/>
        <w:contextualSpacing/>
        <w:jc w:val="both"/>
        <w:rPr>
          <w:rFonts w:ascii="Arial" w:eastAsia="Calibri" w:hAnsi="Arial" w:cs="Arial"/>
          <w:lang w:val="es-ES"/>
        </w:rPr>
      </w:pPr>
      <w:r w:rsidRPr="006312E8">
        <w:rPr>
          <w:rFonts w:ascii="Arial" w:eastAsia="Calibri" w:hAnsi="Arial" w:cs="Arial"/>
          <w:lang w:val="es-ES"/>
        </w:rPr>
        <w:t>A participar en los eventos de capacitación y otros programas de apoyo que gestione la administración del PITE; y,</w:t>
      </w:r>
    </w:p>
    <w:p w:rsidR="006312E8" w:rsidRPr="006312E8" w:rsidRDefault="006312E8" w:rsidP="006312E8">
      <w:pPr>
        <w:spacing w:after="0" w:line="240" w:lineRule="auto"/>
        <w:ind w:hanging="436"/>
        <w:contextualSpacing/>
        <w:jc w:val="both"/>
        <w:rPr>
          <w:rFonts w:ascii="Arial" w:eastAsia="Calibri" w:hAnsi="Arial" w:cs="Arial"/>
          <w:lang w:val="es-ES"/>
        </w:rPr>
      </w:pPr>
    </w:p>
    <w:p w:rsidR="006312E8" w:rsidRPr="006312E8" w:rsidRDefault="006312E8" w:rsidP="0092471C">
      <w:pPr>
        <w:numPr>
          <w:ilvl w:val="0"/>
          <w:numId w:val="195"/>
        </w:numPr>
        <w:spacing w:after="0" w:line="240" w:lineRule="auto"/>
        <w:ind w:hanging="436"/>
        <w:contextualSpacing/>
        <w:jc w:val="both"/>
        <w:rPr>
          <w:rFonts w:ascii="Arial" w:eastAsia="Calibri" w:hAnsi="Arial" w:cs="Arial"/>
          <w:lang w:val="es-ES"/>
        </w:rPr>
      </w:pPr>
      <w:r w:rsidRPr="006312E8">
        <w:rPr>
          <w:rFonts w:ascii="Arial" w:eastAsia="Calibri" w:hAnsi="Arial" w:cs="Arial"/>
          <w:lang w:val="es-ES"/>
        </w:rPr>
        <w:t>Los demás que señale el Reglamento Interno del PITE y el contrato de arrendamiento suscrito con la administración del PITE.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TÍTULO IX</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ADECUACIÓN DE LOS PARQUES INDUSTRIALES CREADOS EN EL MARCO DE LA LEY Nº 28183</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Artículo 40.- Plazo para la adecuación de los parques industriales creados en el marco de la Ley Nº 28183.</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Los parques industriales creados por ley al amparo de la Ley Nº 28183, Ley Marco de Desarrollo de Parques Industriales, hasta antes de la vigencia de la Ley PITE, deben adecuarse a lo dispuesto por el presente Reglamento en un plazo de dos (02) años, contados a partir del día siguiente de su publicación.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DISPOSICIONES COMPLEMENTARIAS</w:t>
      </w: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DISPOSICIONES COMPLEMENTARIAS FINALES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Primera.- Modificación de los Planes de Desarrollo Regional Concertado</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En el marco de lo dispuesto en el artículo 3 de la Ley Nº 30078, los Gobiernos Regionales podrán establecer los mecanismos necesarios para incorporar actividades industriales y zonas donde se pueda desarrollar los PITE.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Segunda.- Uso de la denominación PITE</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Las propuestas para la implementación de parques industriales en terrenos privados y con financiamiento exclusivamente privado deben sujetarse a lo dispuesto en el Título V del presente Reglamento si desean utilizar la denominación de PITE.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Tercera.- Evaluación de Impacto Ambiental de los Parques Industriales Tecno- Ecológicos (PITES)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Ministerio de la Producción podrá otorgar, de manera indivisible, una única Certificación Ambiental respecto del Parque Industrial Tecno-Ecológico en concordancia con lo establecido en el artículo 32 del Decreto Supremo Nº 019-2009-MINAM, Reglamento de la Ley del Sistema Nacional de Evaluación de Impacto Ambiental. Para dicho fin, el Ministerio de la Producción aprobará, previa opinión favorable del Ministerio del Ambiente, los lineamientos para la elaboración de este tipo de estudios ambientales con la finalidad de garantizar la sostenibilidad ambiental tanto del Parque Industrial Tecno-Ecológico como de cada una de las actividades industriales que lo componen.</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Estudio de Impacto Ambiental debe establecer claramente las obligaciones ambientales comunes e individualizadas para cada una de las actividades industriales que se desarrollen en el marco del PITE.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Cuarta.- Aprobación de Formatos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Ministerio de la Producción en coordinación con el Ministerio del Ambiente y el Ministerio de Vivienda, Construcción y Saneamiento, aprobará los formatos para la elaboración del Plan Conceptual de Residuos que los interesados en desarrollar proyectos PITES deberán presentar ante la autoridad competente.</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DISPOSICIONES COMPLEMENTARIAS TRANSITORIAS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Primera.- Guía de Procedimientos para la Evaluación y Aprobación de las propuestas de desarrollo de los PITE para los Gobiernos Regionales y Locales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El Ministerio de la Producción deberá elaborar una Guía de Procedimientos para la evaluación y aprobación de las propuestas de desarrollo de los PITE, contando para ello con un plazo no mayor a noventa (90) días hábiles desde la publicación del presente Reglamento.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Segunda.- Guía para la Identificación de Potencialidades y Priorización de Necesidades de Desarrollo Productivo para los Gobiernos Regionales</w:t>
      </w: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De conformidad con el segundo y tercer párrafo del artículo 3 de la Ley, el Plan de Desarrollo Regional Concertado debe contener la identificación de potencialidades y priorización de necesidades de desarrollo productivo. El Ministerio de la Producción elaborará una Guía para la Identificación de Potencialidades y Priorización de Necesidades de Desarrollo Productivo, contando para ello con un plazo no mayor a noventa (90) días hábiles desde la publicación del presente Reglamento.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Default="006312E8" w:rsidP="006312E8">
      <w:pPr>
        <w:spacing w:after="0" w:line="240" w:lineRule="auto"/>
        <w:contextualSpacing/>
        <w:jc w:val="both"/>
        <w:rPr>
          <w:rFonts w:ascii="Arial" w:eastAsia="Calibri" w:hAnsi="Arial" w:cs="Arial"/>
          <w:lang w:val="es-ES"/>
        </w:rPr>
      </w:pPr>
    </w:p>
    <w:p w:rsidR="00F47618" w:rsidRPr="006312E8" w:rsidRDefault="00F47618" w:rsidP="006312E8">
      <w:pPr>
        <w:spacing w:after="0" w:line="240" w:lineRule="auto"/>
        <w:contextualSpacing/>
        <w:jc w:val="both"/>
        <w:rPr>
          <w:rFonts w:ascii="Arial" w:eastAsia="Calibri" w:hAnsi="Arial" w:cs="Arial"/>
          <w:lang w:val="es-ES"/>
        </w:rPr>
      </w:pPr>
    </w:p>
    <w:p w:rsidR="006312E8" w:rsidRDefault="006312E8"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246CE9" w:rsidRDefault="00246CE9" w:rsidP="006312E8">
      <w:pPr>
        <w:spacing w:after="0" w:line="240" w:lineRule="auto"/>
        <w:contextualSpacing/>
        <w:jc w:val="both"/>
        <w:rPr>
          <w:rFonts w:ascii="Arial" w:eastAsia="Calibri" w:hAnsi="Arial" w:cs="Arial"/>
          <w:lang w:val="es-ES"/>
        </w:rPr>
      </w:pPr>
    </w:p>
    <w:p w:rsidR="0074361B" w:rsidRDefault="0074361B" w:rsidP="006312E8">
      <w:pPr>
        <w:spacing w:after="0" w:line="240" w:lineRule="auto"/>
        <w:contextualSpacing/>
        <w:jc w:val="both"/>
        <w:rPr>
          <w:rFonts w:ascii="Arial" w:eastAsia="Calibri" w:hAnsi="Arial" w:cs="Arial"/>
          <w:lang w:val="es-ES"/>
        </w:rPr>
      </w:pPr>
    </w:p>
    <w:p w:rsidR="0074361B" w:rsidRDefault="0074361B" w:rsidP="006312E8">
      <w:pPr>
        <w:spacing w:after="0" w:line="240" w:lineRule="auto"/>
        <w:contextualSpacing/>
        <w:jc w:val="both"/>
        <w:rPr>
          <w:rFonts w:ascii="Arial" w:eastAsia="Calibri" w:hAnsi="Arial" w:cs="Arial"/>
          <w:lang w:val="es-ES"/>
        </w:rPr>
      </w:pPr>
    </w:p>
    <w:p w:rsidR="0074361B" w:rsidRDefault="0074361B" w:rsidP="0074361B">
      <w:pPr>
        <w:pStyle w:val="TITO2"/>
      </w:pPr>
      <w:bookmarkStart w:id="480" w:name="_Toc470855592"/>
      <w:r>
        <w:t>DECRETO SUPREMO N° 002-2016-VIVIENDA</w:t>
      </w:r>
      <w:bookmarkEnd w:id="480"/>
    </w:p>
    <w:p w:rsidR="0074361B" w:rsidRDefault="0074361B" w:rsidP="0074361B">
      <w:pPr>
        <w:jc w:val="right"/>
      </w:pPr>
    </w:p>
    <w:p w:rsidR="0074361B" w:rsidRDefault="0074361B" w:rsidP="0074361B">
      <w:pPr>
        <w:jc w:val="right"/>
        <w:rPr>
          <w:rFonts w:ascii="Arial" w:hAnsi="Arial" w:cs="Arial"/>
          <w:b/>
        </w:rPr>
      </w:pPr>
      <w:r>
        <w:rPr>
          <w:rFonts w:ascii="Arial" w:hAnsi="Arial" w:cs="Arial"/>
          <w:b/>
        </w:rPr>
        <w:t>Fecha de publicación: 22-01-2016</w:t>
      </w:r>
    </w:p>
    <w:p w:rsidR="0074361B" w:rsidRPr="0074361B" w:rsidRDefault="0074361B" w:rsidP="0074361B">
      <w:pPr>
        <w:spacing w:after="0" w:line="240" w:lineRule="auto"/>
        <w:jc w:val="both"/>
        <w:rPr>
          <w:rFonts w:ascii="Arial" w:hAnsi="Arial" w:cs="Arial"/>
          <w:b/>
        </w:rPr>
      </w:pPr>
      <w:r w:rsidRPr="0074361B">
        <w:rPr>
          <w:rFonts w:ascii="Arial" w:hAnsi="Arial" w:cs="Arial"/>
          <w:b/>
        </w:rPr>
        <w:t>EL PRESIDENTE DE LA REPÚBLICA</w:t>
      </w:r>
    </w:p>
    <w:p w:rsidR="0074361B" w:rsidRPr="0074361B" w:rsidRDefault="0074361B" w:rsidP="0074361B">
      <w:pPr>
        <w:spacing w:after="0" w:line="240" w:lineRule="auto"/>
        <w:jc w:val="both"/>
        <w:rPr>
          <w:rFonts w:ascii="Arial" w:hAnsi="Arial" w:cs="Arial"/>
          <w:b/>
        </w:rPr>
      </w:pPr>
      <w:r w:rsidRPr="0074361B">
        <w:rPr>
          <w:rFonts w:ascii="Arial" w:hAnsi="Arial" w:cs="Arial"/>
          <w:b/>
        </w:rPr>
        <w:t>CONSIDERANDO:</w:t>
      </w:r>
    </w:p>
    <w:p w:rsidR="0074361B" w:rsidRDefault="0074361B" w:rsidP="0074361B">
      <w:pPr>
        <w:spacing w:after="0" w:line="240" w:lineRule="auto"/>
        <w:jc w:val="both"/>
        <w:rPr>
          <w:rFonts w:ascii="Arial" w:hAnsi="Arial" w:cs="Arial"/>
        </w:rPr>
      </w:pPr>
    </w:p>
    <w:p w:rsidR="0074361B" w:rsidRPr="0074361B" w:rsidRDefault="0074361B" w:rsidP="0074361B">
      <w:pPr>
        <w:spacing w:after="0" w:line="240" w:lineRule="auto"/>
        <w:jc w:val="both"/>
        <w:rPr>
          <w:rFonts w:ascii="Arial" w:hAnsi="Arial" w:cs="Arial"/>
        </w:rPr>
      </w:pPr>
      <w:r w:rsidRPr="0074361B">
        <w:rPr>
          <w:rFonts w:ascii="Arial" w:hAnsi="Arial" w:cs="Arial"/>
        </w:rPr>
        <w:t>Que, conforme al artículo 4 de la Ley Nº 30156, Ley de Organización y Funciones del Ministerio de Vivienda, Construcción y Saneamiento, el citado Ministerio tiene como finalidad normar y promover el ordenamiento, mejoramiento, protección e integración de los centros poblados, urbanos y rurales, como sistema sostenible en el territorio nacional; y, entre otros, promueve el desarrollo del mercado inmobiliario, la inversión en infraestructura;</w:t>
      </w:r>
    </w:p>
    <w:p w:rsidR="0074361B" w:rsidRDefault="0074361B" w:rsidP="0074361B">
      <w:pPr>
        <w:spacing w:after="0" w:line="240" w:lineRule="auto"/>
        <w:jc w:val="both"/>
        <w:rPr>
          <w:rFonts w:ascii="Arial" w:hAnsi="Arial" w:cs="Arial"/>
        </w:rPr>
      </w:pPr>
    </w:p>
    <w:p w:rsidR="0074361B" w:rsidRPr="0074361B" w:rsidRDefault="0074361B" w:rsidP="0074361B">
      <w:pPr>
        <w:spacing w:after="0" w:line="240" w:lineRule="auto"/>
        <w:jc w:val="both"/>
        <w:rPr>
          <w:rFonts w:ascii="Arial" w:hAnsi="Arial" w:cs="Arial"/>
        </w:rPr>
      </w:pPr>
      <w:r w:rsidRPr="0074361B">
        <w:rPr>
          <w:rFonts w:ascii="Arial" w:hAnsi="Arial" w:cs="Arial"/>
        </w:rPr>
        <w:t>Que, el artículo 5 de la citada Ley señala que es competencia del Ministerio de Vivienda, Construcción y Saneamiento, entre otras, las materias de Bienes Estatales y Propiedad urbana; en concordancia con lo dispuesto en el numeral 7 del artículo 9, que establecen como funciones las de normar, aprobar, ejecutar y supervisar las políticas nacionales sobre administración y adjudicación de terrenos de propiedad del Estado, en el marco del Sistema Nacional de Bienes Estatales;</w:t>
      </w:r>
    </w:p>
    <w:p w:rsidR="0074361B" w:rsidRDefault="0074361B" w:rsidP="0074361B">
      <w:pPr>
        <w:spacing w:after="0" w:line="240" w:lineRule="auto"/>
        <w:jc w:val="both"/>
        <w:rPr>
          <w:rFonts w:ascii="Arial" w:hAnsi="Arial" w:cs="Arial"/>
        </w:rPr>
      </w:pPr>
    </w:p>
    <w:p w:rsidR="0074361B" w:rsidRPr="0074361B" w:rsidRDefault="0074361B" w:rsidP="0074361B">
      <w:pPr>
        <w:spacing w:after="0" w:line="240" w:lineRule="auto"/>
        <w:jc w:val="both"/>
        <w:rPr>
          <w:rFonts w:ascii="Arial" w:hAnsi="Arial" w:cs="Arial"/>
        </w:rPr>
      </w:pPr>
      <w:r w:rsidRPr="0074361B">
        <w:rPr>
          <w:rFonts w:ascii="Arial" w:hAnsi="Arial" w:cs="Arial"/>
        </w:rPr>
        <w:t>Que, de conformidad con el artículo 5 de la Ley Nº 29151, Ley General del Sistema Nacional de Bienes Estatales, se crea el Sistema Nacional de Bienes Estatales - SNBE, como el conjunto de organismos, garantías y normas que regulan, de manera integral y coherente, los bienes estatales, en sus niveles de gobierno nacional, regional y local, a fin de lograr una administración ordenada, simplificada y eficiente, teniendo a la Superintendencia Nacional de Bienes Estatales - SBN, como ente rector;</w:t>
      </w:r>
    </w:p>
    <w:p w:rsidR="0074361B" w:rsidRDefault="0074361B" w:rsidP="0074361B">
      <w:pPr>
        <w:spacing w:after="0" w:line="240" w:lineRule="auto"/>
        <w:jc w:val="both"/>
        <w:rPr>
          <w:rFonts w:ascii="Arial" w:hAnsi="Arial" w:cs="Arial"/>
        </w:rPr>
      </w:pPr>
    </w:p>
    <w:p w:rsidR="0074361B" w:rsidRPr="0074361B" w:rsidRDefault="0074361B" w:rsidP="0074361B">
      <w:pPr>
        <w:spacing w:after="0" w:line="240" w:lineRule="auto"/>
        <w:jc w:val="both"/>
        <w:rPr>
          <w:rFonts w:ascii="Arial" w:hAnsi="Arial" w:cs="Arial"/>
        </w:rPr>
      </w:pPr>
      <w:r w:rsidRPr="0074361B">
        <w:rPr>
          <w:rFonts w:ascii="Arial" w:hAnsi="Arial" w:cs="Arial"/>
        </w:rPr>
        <w:t>Que, la SBN, como Ente Rector del SNBE, tiene entre sus funciones proponer y promover la aprobación de normas legales destinadas al fortalecimiento de dicho Sistema, priorizando la modernización de la gestión del Estado y el proceso de descentralización;</w:t>
      </w:r>
    </w:p>
    <w:p w:rsidR="0074361B" w:rsidRPr="0074361B" w:rsidRDefault="0074361B" w:rsidP="0074361B">
      <w:pPr>
        <w:spacing w:after="0" w:line="240" w:lineRule="auto"/>
        <w:jc w:val="both"/>
        <w:rPr>
          <w:rFonts w:ascii="Arial" w:hAnsi="Arial" w:cs="Arial"/>
        </w:rPr>
      </w:pPr>
    </w:p>
    <w:p w:rsidR="0074361B" w:rsidRPr="0074361B" w:rsidRDefault="0074361B" w:rsidP="0074361B">
      <w:pPr>
        <w:spacing w:after="0" w:line="240" w:lineRule="auto"/>
        <w:jc w:val="both"/>
        <w:rPr>
          <w:rFonts w:ascii="Arial" w:hAnsi="Arial" w:cs="Arial"/>
        </w:rPr>
      </w:pPr>
      <w:r w:rsidRPr="0074361B">
        <w:rPr>
          <w:rFonts w:ascii="Arial" w:hAnsi="Arial" w:cs="Arial"/>
        </w:rPr>
        <w:t>Que, el Capítulo I del Título IV de la Ley Nº 30327, Ley de Promoción de las Inversiones para el Crecimiento Económico y el Desarrollo Sostenible, regula un procedimiento simplificado de servidumbre sobre terrenos eriazos de propiedad estatal que sean necesarios para el desarrollo de proyectos de inversión, el cual se inicia ante la autoridad sectorial, pasando por la SBN, que tiene a su cargo la entrega provisional del terreno eriazo de propiedad estatal, culminando con la aprobación de la constitución del derecho servidumbre por parte del titular del terreno;</w:t>
      </w:r>
    </w:p>
    <w:p w:rsidR="0074361B" w:rsidRPr="0074361B" w:rsidRDefault="0074361B" w:rsidP="0074361B">
      <w:pPr>
        <w:spacing w:after="0" w:line="240" w:lineRule="auto"/>
        <w:jc w:val="both"/>
        <w:rPr>
          <w:rFonts w:ascii="Arial" w:hAnsi="Arial" w:cs="Arial"/>
        </w:rPr>
      </w:pPr>
    </w:p>
    <w:p w:rsidR="0074361B" w:rsidRPr="0074361B" w:rsidRDefault="0074361B" w:rsidP="0074361B">
      <w:pPr>
        <w:spacing w:after="0" w:line="240" w:lineRule="auto"/>
        <w:jc w:val="both"/>
        <w:rPr>
          <w:rFonts w:ascii="Arial" w:hAnsi="Arial" w:cs="Arial"/>
        </w:rPr>
      </w:pPr>
      <w:r w:rsidRPr="0074361B">
        <w:rPr>
          <w:rFonts w:ascii="Arial" w:hAnsi="Arial" w:cs="Arial"/>
        </w:rPr>
        <w:t>Que, la Décima Tercera Disposición Complementaria Final de la Ley Nº 30327 establece que el Poder Ejecutivo, en el plazo de sesenta días (60) días, dictará las normas reglamentarias y complementarias correspondientes para la mejor aplicación de la citada Ley.</w:t>
      </w:r>
    </w:p>
    <w:p w:rsidR="0074361B" w:rsidRPr="0074361B" w:rsidRDefault="0074361B" w:rsidP="0074361B">
      <w:pPr>
        <w:spacing w:after="0" w:line="240" w:lineRule="auto"/>
        <w:jc w:val="both"/>
        <w:rPr>
          <w:rFonts w:ascii="Arial" w:hAnsi="Arial" w:cs="Arial"/>
        </w:rPr>
      </w:pPr>
    </w:p>
    <w:p w:rsidR="0074361B" w:rsidRPr="0074361B" w:rsidRDefault="0074361B" w:rsidP="0074361B">
      <w:pPr>
        <w:spacing w:after="0" w:line="240" w:lineRule="auto"/>
        <w:jc w:val="both"/>
        <w:rPr>
          <w:rFonts w:ascii="Arial" w:hAnsi="Arial" w:cs="Arial"/>
        </w:rPr>
      </w:pPr>
      <w:r w:rsidRPr="0074361B">
        <w:rPr>
          <w:rFonts w:ascii="Arial" w:hAnsi="Arial" w:cs="Arial"/>
        </w:rPr>
        <w:t>De conformidad con lo dispuesto en el numeral 8) del artículo 118 de la Constitución Política del Perú; el numeral 3) del artículo 11 de la Ley Nº 29158, Ley Orgánica del Poder Ejecutivo; la Ley Nº 29151, Ley General del Sistema Nacional de Bienes Estatales; y, la Ley Nº 30156, Ley de Organización y Funciones del Ministerio de Vivienda, Construcción y Saneamiento; y su Reglamento de Organización y Funciones aprobado por Decreto Supremo Nº 010-2014-VIVIENDA y modificatoria aprobada por Decreto Supremo Nº 006-2015-VIVIENDA;</w:t>
      </w:r>
    </w:p>
    <w:p w:rsidR="0074361B" w:rsidRPr="0074361B" w:rsidRDefault="0074361B" w:rsidP="0074361B">
      <w:pPr>
        <w:spacing w:after="0" w:line="240" w:lineRule="auto"/>
        <w:jc w:val="both"/>
        <w:rPr>
          <w:rFonts w:ascii="Arial" w:hAnsi="Arial" w:cs="Arial"/>
        </w:rPr>
      </w:pPr>
    </w:p>
    <w:p w:rsidR="0074361B" w:rsidRPr="0074361B" w:rsidRDefault="0074361B" w:rsidP="0074361B">
      <w:pPr>
        <w:spacing w:after="0" w:line="240" w:lineRule="auto"/>
        <w:jc w:val="both"/>
        <w:rPr>
          <w:rFonts w:ascii="Arial" w:hAnsi="Arial" w:cs="Arial"/>
        </w:rPr>
      </w:pPr>
      <w:r w:rsidRPr="0074361B">
        <w:rPr>
          <w:rFonts w:ascii="Arial" w:hAnsi="Arial" w:cs="Arial"/>
        </w:rPr>
        <w:t>DECRETA:</w:t>
      </w:r>
    </w:p>
    <w:p w:rsidR="0074361B" w:rsidRPr="0074361B" w:rsidRDefault="0074361B" w:rsidP="0074361B">
      <w:pPr>
        <w:spacing w:after="0" w:line="240" w:lineRule="auto"/>
        <w:jc w:val="both"/>
        <w:rPr>
          <w:rFonts w:ascii="Arial" w:hAnsi="Arial" w:cs="Arial"/>
        </w:rPr>
      </w:pPr>
    </w:p>
    <w:p w:rsidR="0074361B" w:rsidRPr="0074361B" w:rsidRDefault="0074361B" w:rsidP="0074361B">
      <w:pPr>
        <w:spacing w:after="0" w:line="240" w:lineRule="auto"/>
        <w:jc w:val="both"/>
        <w:rPr>
          <w:rFonts w:ascii="Arial" w:hAnsi="Arial" w:cs="Arial"/>
          <w:b/>
        </w:rPr>
      </w:pPr>
      <w:r w:rsidRPr="0074361B">
        <w:rPr>
          <w:rFonts w:ascii="Arial" w:hAnsi="Arial" w:cs="Arial"/>
          <w:b/>
        </w:rPr>
        <w:t>Artículo 1.- Aprobación del Reglamento del Capítulo I del Título IV de la Ley Nº 30327, Ley de Promoción de las Inversiones para el Crecimiento Económico y el Desarrollo Sostenible</w:t>
      </w:r>
    </w:p>
    <w:p w:rsidR="0074361B" w:rsidRPr="0074361B" w:rsidRDefault="0074361B" w:rsidP="0074361B">
      <w:pPr>
        <w:spacing w:after="0" w:line="240" w:lineRule="auto"/>
        <w:jc w:val="both"/>
        <w:rPr>
          <w:rFonts w:ascii="Arial" w:hAnsi="Arial" w:cs="Arial"/>
        </w:rPr>
      </w:pPr>
      <w:r w:rsidRPr="0074361B">
        <w:rPr>
          <w:rFonts w:ascii="Arial" w:hAnsi="Arial" w:cs="Arial"/>
        </w:rPr>
        <w:t>Apruébase el Reglamento del Capítulo I del Título IV de la Ley Nº 30327, Ley de Promoción de las Inversiones para el Crecimiento Económico y el Desarrollo Sostenible, que consta de tres (3) Títulos, veinticuatro (24) artículos, cuatro (4) Disposiciones Complementarias Finales, una (1) Disposición Complementaria Transitoria y una (1) Disposición Complementaria Derogatoria, cuyo texto forma parte integrante del presente Decreto Supremo.</w:t>
      </w:r>
    </w:p>
    <w:p w:rsidR="0074361B" w:rsidRPr="0074361B" w:rsidRDefault="0074361B" w:rsidP="0074361B">
      <w:pPr>
        <w:spacing w:after="0" w:line="240" w:lineRule="auto"/>
        <w:jc w:val="both"/>
        <w:rPr>
          <w:rFonts w:ascii="Arial" w:hAnsi="Arial" w:cs="Arial"/>
        </w:rPr>
      </w:pPr>
    </w:p>
    <w:p w:rsidR="0074361B" w:rsidRPr="0074361B" w:rsidRDefault="0074361B" w:rsidP="0074361B">
      <w:pPr>
        <w:spacing w:after="0" w:line="240" w:lineRule="auto"/>
        <w:jc w:val="both"/>
        <w:rPr>
          <w:rFonts w:ascii="Arial" w:hAnsi="Arial" w:cs="Arial"/>
          <w:b/>
        </w:rPr>
      </w:pPr>
      <w:r w:rsidRPr="0074361B">
        <w:rPr>
          <w:rFonts w:ascii="Arial" w:hAnsi="Arial" w:cs="Arial"/>
          <w:b/>
        </w:rPr>
        <w:t>Artículo 2.- Refrendo</w:t>
      </w:r>
    </w:p>
    <w:p w:rsidR="0074361B" w:rsidRPr="0074361B" w:rsidRDefault="0074361B" w:rsidP="0074361B">
      <w:pPr>
        <w:spacing w:after="0" w:line="240" w:lineRule="auto"/>
        <w:jc w:val="both"/>
        <w:rPr>
          <w:rFonts w:ascii="Arial" w:hAnsi="Arial" w:cs="Arial"/>
        </w:rPr>
      </w:pPr>
      <w:r w:rsidRPr="0074361B">
        <w:rPr>
          <w:rFonts w:ascii="Arial" w:hAnsi="Arial" w:cs="Arial"/>
        </w:rPr>
        <w:t>El presente Decreto Supremo será refrendado por el Ministro de Vivienda, Construcción y Saneamiento.</w:t>
      </w:r>
    </w:p>
    <w:p w:rsidR="0074361B" w:rsidRPr="0074361B" w:rsidRDefault="0074361B" w:rsidP="0074361B">
      <w:pPr>
        <w:spacing w:after="0" w:line="240" w:lineRule="auto"/>
        <w:jc w:val="both"/>
        <w:rPr>
          <w:rFonts w:ascii="Arial" w:hAnsi="Arial" w:cs="Arial"/>
        </w:rPr>
      </w:pPr>
      <w:r w:rsidRPr="0074361B">
        <w:rPr>
          <w:rFonts w:ascii="Arial" w:hAnsi="Arial" w:cs="Arial"/>
        </w:rPr>
        <w:t>Dado en la Casa de Gobierno, en Lima, a los veintiún días del mes de enero del año dos mil dieciséis.</w:t>
      </w:r>
    </w:p>
    <w:p w:rsidR="0074361B" w:rsidRPr="0074361B" w:rsidRDefault="0074361B" w:rsidP="0074361B">
      <w:pPr>
        <w:spacing w:after="0" w:line="240" w:lineRule="auto"/>
        <w:jc w:val="both"/>
        <w:rPr>
          <w:rFonts w:ascii="Arial" w:hAnsi="Arial" w:cs="Arial"/>
        </w:rPr>
      </w:pPr>
    </w:p>
    <w:p w:rsidR="0074361B" w:rsidRPr="0074361B" w:rsidRDefault="0074361B" w:rsidP="0074361B">
      <w:pPr>
        <w:spacing w:after="0" w:line="240" w:lineRule="auto"/>
        <w:jc w:val="both"/>
        <w:rPr>
          <w:rFonts w:ascii="Arial" w:hAnsi="Arial" w:cs="Arial"/>
        </w:rPr>
      </w:pPr>
      <w:r w:rsidRPr="0074361B">
        <w:rPr>
          <w:rFonts w:ascii="Arial" w:hAnsi="Arial" w:cs="Arial"/>
        </w:rPr>
        <w:tab/>
        <w:t>OLLANTA HUMALA TASSO</w:t>
      </w:r>
    </w:p>
    <w:p w:rsidR="0074361B" w:rsidRPr="0074361B" w:rsidRDefault="0074361B" w:rsidP="0074361B">
      <w:pPr>
        <w:spacing w:after="0" w:line="240" w:lineRule="auto"/>
        <w:jc w:val="both"/>
        <w:rPr>
          <w:rFonts w:ascii="Arial" w:hAnsi="Arial" w:cs="Arial"/>
        </w:rPr>
      </w:pPr>
      <w:r w:rsidRPr="0074361B">
        <w:rPr>
          <w:rFonts w:ascii="Arial" w:hAnsi="Arial" w:cs="Arial"/>
        </w:rPr>
        <w:tab/>
        <w:t>Presidente de la República</w:t>
      </w:r>
    </w:p>
    <w:p w:rsidR="0074361B" w:rsidRPr="0074361B" w:rsidRDefault="0074361B" w:rsidP="0074361B">
      <w:pPr>
        <w:spacing w:after="0" w:line="240" w:lineRule="auto"/>
        <w:jc w:val="both"/>
        <w:rPr>
          <w:rFonts w:ascii="Arial" w:hAnsi="Arial" w:cs="Arial"/>
        </w:rPr>
      </w:pPr>
    </w:p>
    <w:p w:rsidR="0074361B" w:rsidRPr="0074361B" w:rsidRDefault="0074361B" w:rsidP="0074361B">
      <w:pPr>
        <w:spacing w:after="0" w:line="240" w:lineRule="auto"/>
        <w:jc w:val="both"/>
        <w:rPr>
          <w:rFonts w:ascii="Arial" w:hAnsi="Arial" w:cs="Arial"/>
        </w:rPr>
      </w:pPr>
      <w:r w:rsidRPr="0074361B">
        <w:rPr>
          <w:rFonts w:ascii="Arial" w:hAnsi="Arial" w:cs="Arial"/>
        </w:rPr>
        <w:tab/>
        <w:t>FRANCISCO ADOLFO DUMLER CUYA</w:t>
      </w:r>
    </w:p>
    <w:p w:rsidR="0074361B" w:rsidRPr="0074361B" w:rsidRDefault="0074361B" w:rsidP="0074361B">
      <w:pPr>
        <w:spacing w:after="0" w:line="240" w:lineRule="auto"/>
        <w:jc w:val="both"/>
        <w:rPr>
          <w:rFonts w:ascii="Arial" w:hAnsi="Arial" w:cs="Arial"/>
        </w:rPr>
      </w:pPr>
      <w:r w:rsidRPr="0074361B">
        <w:rPr>
          <w:rFonts w:ascii="Arial" w:hAnsi="Arial" w:cs="Arial"/>
        </w:rPr>
        <w:tab/>
        <w:t>Ministro de Vivienda, Construcción y Saneamiento</w:t>
      </w:r>
    </w:p>
    <w:p w:rsidR="0074361B" w:rsidRPr="0074361B" w:rsidRDefault="0074361B" w:rsidP="0074361B">
      <w:pPr>
        <w:spacing w:after="0" w:line="240" w:lineRule="auto"/>
        <w:jc w:val="both"/>
        <w:rPr>
          <w:rFonts w:ascii="Arial" w:hAnsi="Arial" w:cs="Arial"/>
        </w:rPr>
      </w:pPr>
    </w:p>
    <w:p w:rsidR="0074361B" w:rsidRPr="0074361B" w:rsidRDefault="0074361B" w:rsidP="0074361B">
      <w:pPr>
        <w:spacing w:after="0" w:line="240" w:lineRule="auto"/>
        <w:jc w:val="both"/>
        <w:rPr>
          <w:rFonts w:ascii="Arial" w:hAnsi="Arial" w:cs="Arial"/>
        </w:rPr>
      </w:pPr>
    </w:p>
    <w:p w:rsidR="0074361B" w:rsidRPr="0074361B" w:rsidRDefault="0074361B" w:rsidP="0074361B">
      <w:pPr>
        <w:spacing w:after="0" w:line="240" w:lineRule="auto"/>
        <w:jc w:val="center"/>
        <w:rPr>
          <w:rFonts w:ascii="Arial" w:hAnsi="Arial" w:cs="Arial"/>
          <w:b/>
        </w:rPr>
      </w:pPr>
      <w:r w:rsidRPr="0074361B">
        <w:rPr>
          <w:rFonts w:ascii="Arial" w:hAnsi="Arial" w:cs="Arial"/>
          <w:b/>
        </w:rPr>
        <w:t>REGLAMENTO DEL CAPÍTULO I DEL TÍTULO IV DE LA LEY Nº 30327, LEY DE PROMOCIÓN DE LAS INVERSIONES PARA EL CRECIMIENTO ECONÓMICO Y EL DESARROLLO SOSTENIBLE</w:t>
      </w:r>
    </w:p>
    <w:p w:rsidR="0074361B" w:rsidRPr="0074361B" w:rsidRDefault="0074361B" w:rsidP="0074361B">
      <w:pPr>
        <w:spacing w:after="0" w:line="240" w:lineRule="auto"/>
        <w:jc w:val="both"/>
        <w:rPr>
          <w:rFonts w:ascii="Arial" w:hAnsi="Arial" w:cs="Arial"/>
        </w:rPr>
      </w:pPr>
    </w:p>
    <w:p w:rsidR="0074361B" w:rsidRPr="0074361B" w:rsidRDefault="0074361B" w:rsidP="0074361B">
      <w:pPr>
        <w:spacing w:after="0" w:line="240" w:lineRule="auto"/>
        <w:jc w:val="center"/>
        <w:rPr>
          <w:rFonts w:ascii="Arial" w:hAnsi="Arial" w:cs="Arial"/>
          <w:b/>
        </w:rPr>
      </w:pPr>
      <w:r w:rsidRPr="0074361B">
        <w:rPr>
          <w:rFonts w:ascii="Arial" w:hAnsi="Arial" w:cs="Arial"/>
          <w:b/>
        </w:rPr>
        <w:t>TÍTULO I</w:t>
      </w:r>
    </w:p>
    <w:p w:rsidR="0074361B" w:rsidRPr="0074361B" w:rsidRDefault="0074361B" w:rsidP="0074361B">
      <w:pPr>
        <w:spacing w:after="0" w:line="240" w:lineRule="auto"/>
        <w:jc w:val="center"/>
        <w:rPr>
          <w:rFonts w:ascii="Arial" w:hAnsi="Arial" w:cs="Arial"/>
          <w:b/>
        </w:rPr>
      </w:pPr>
      <w:r w:rsidRPr="0074361B">
        <w:rPr>
          <w:rFonts w:ascii="Arial" w:hAnsi="Arial" w:cs="Arial"/>
          <w:b/>
        </w:rPr>
        <w:t>DISPOSICIONES GENERALES</w:t>
      </w:r>
    </w:p>
    <w:p w:rsidR="0074361B" w:rsidRPr="0074361B" w:rsidRDefault="0074361B" w:rsidP="0074361B">
      <w:pPr>
        <w:spacing w:after="0" w:line="240" w:lineRule="auto"/>
        <w:jc w:val="both"/>
        <w:rPr>
          <w:rFonts w:ascii="Arial" w:hAnsi="Arial" w:cs="Arial"/>
        </w:rPr>
      </w:pPr>
    </w:p>
    <w:p w:rsidR="0074361B" w:rsidRPr="0074361B" w:rsidRDefault="0074361B" w:rsidP="0074361B">
      <w:pPr>
        <w:spacing w:after="0" w:line="240" w:lineRule="auto"/>
        <w:jc w:val="both"/>
        <w:rPr>
          <w:rFonts w:ascii="Arial" w:hAnsi="Arial" w:cs="Arial"/>
          <w:b/>
        </w:rPr>
      </w:pPr>
      <w:r w:rsidRPr="0074361B">
        <w:rPr>
          <w:rFonts w:ascii="Arial" w:hAnsi="Arial" w:cs="Arial"/>
          <w:b/>
        </w:rPr>
        <w:t>Artículo 1.- Objeto</w:t>
      </w:r>
    </w:p>
    <w:p w:rsidR="0074361B" w:rsidRPr="0074361B" w:rsidRDefault="0074361B" w:rsidP="0074361B">
      <w:pPr>
        <w:spacing w:after="0" w:line="240" w:lineRule="auto"/>
        <w:jc w:val="both"/>
        <w:rPr>
          <w:rFonts w:ascii="Arial" w:hAnsi="Arial" w:cs="Arial"/>
        </w:rPr>
      </w:pPr>
      <w:r w:rsidRPr="0074361B">
        <w:rPr>
          <w:rFonts w:ascii="Arial" w:hAnsi="Arial" w:cs="Arial"/>
        </w:rPr>
        <w:t>El presente Reglamento tiene por objeto establecer las disposiciones reglamentarias para la constitución de servidumbre sobre terrenos eriazos de propiedad estatal para proyectos de inversión, regulada en el Capítulo I del Título IV de la Ley Nº 30327, Ley de promoción de las inversiones para el crecimiento económico y el desarrollo sostenible.</w:t>
      </w:r>
    </w:p>
    <w:p w:rsidR="0074361B" w:rsidRPr="0074361B" w:rsidRDefault="0074361B" w:rsidP="0074361B">
      <w:pPr>
        <w:spacing w:after="0" w:line="240" w:lineRule="auto"/>
        <w:jc w:val="both"/>
        <w:rPr>
          <w:rFonts w:ascii="Arial" w:hAnsi="Arial" w:cs="Arial"/>
        </w:rPr>
      </w:pPr>
    </w:p>
    <w:p w:rsidR="0074361B" w:rsidRPr="0074361B" w:rsidRDefault="0074361B" w:rsidP="0074361B">
      <w:pPr>
        <w:spacing w:after="0" w:line="240" w:lineRule="auto"/>
        <w:jc w:val="both"/>
        <w:rPr>
          <w:rFonts w:ascii="Arial" w:hAnsi="Arial" w:cs="Arial"/>
          <w:b/>
        </w:rPr>
      </w:pPr>
      <w:r w:rsidRPr="0074361B">
        <w:rPr>
          <w:rFonts w:ascii="Arial" w:hAnsi="Arial" w:cs="Arial"/>
          <w:b/>
        </w:rPr>
        <w:t>Artículo 2.- Abreviaturas y nomenclaturas</w:t>
      </w:r>
    </w:p>
    <w:p w:rsidR="0074361B" w:rsidRPr="0074361B" w:rsidRDefault="0074361B" w:rsidP="0074361B">
      <w:pPr>
        <w:spacing w:after="0" w:line="240" w:lineRule="auto"/>
        <w:jc w:val="both"/>
        <w:rPr>
          <w:rFonts w:ascii="Arial" w:hAnsi="Arial" w:cs="Arial"/>
        </w:rPr>
      </w:pPr>
      <w:r w:rsidRPr="0074361B">
        <w:rPr>
          <w:rFonts w:ascii="Arial" w:hAnsi="Arial" w:cs="Arial"/>
        </w:rPr>
        <w:t>Para efectos del presente Reglamento son de aplicación las siguientes abreviaturas y nomenclaturas:</w:t>
      </w:r>
    </w:p>
    <w:p w:rsidR="0074361B" w:rsidRPr="0074361B" w:rsidRDefault="0074361B" w:rsidP="0074361B">
      <w:pPr>
        <w:spacing w:after="0" w:line="240" w:lineRule="auto"/>
        <w:ind w:left="1418" w:hanging="567"/>
        <w:jc w:val="both"/>
        <w:rPr>
          <w:rFonts w:ascii="Arial" w:hAnsi="Arial" w:cs="Arial"/>
        </w:rPr>
      </w:pPr>
    </w:p>
    <w:p w:rsidR="0074361B" w:rsidRPr="0074361B" w:rsidRDefault="0074361B" w:rsidP="0074361B">
      <w:pPr>
        <w:spacing w:after="0" w:line="240" w:lineRule="auto"/>
        <w:ind w:left="1418" w:hanging="567"/>
        <w:jc w:val="both"/>
        <w:rPr>
          <w:rFonts w:ascii="Arial" w:hAnsi="Arial" w:cs="Arial"/>
        </w:rPr>
      </w:pPr>
      <w:r w:rsidRPr="0074361B">
        <w:rPr>
          <w:rFonts w:ascii="Arial" w:hAnsi="Arial" w:cs="Arial"/>
        </w:rPr>
        <w:t xml:space="preserve">- </w:t>
      </w:r>
      <w:r>
        <w:rPr>
          <w:rFonts w:ascii="Arial" w:hAnsi="Arial" w:cs="Arial"/>
        </w:rPr>
        <w:tab/>
      </w:r>
      <w:r w:rsidRPr="0074361B">
        <w:rPr>
          <w:rFonts w:ascii="Arial" w:hAnsi="Arial" w:cs="Arial"/>
        </w:rPr>
        <w:t>SBN: Superintendencia Nacional de Bienes Estatales.</w:t>
      </w:r>
    </w:p>
    <w:p w:rsidR="0074361B" w:rsidRPr="0074361B" w:rsidRDefault="0074361B" w:rsidP="0074361B">
      <w:pPr>
        <w:spacing w:after="0" w:line="240" w:lineRule="auto"/>
        <w:ind w:left="1418" w:hanging="567"/>
        <w:jc w:val="both"/>
        <w:rPr>
          <w:rFonts w:ascii="Arial" w:hAnsi="Arial" w:cs="Arial"/>
        </w:rPr>
      </w:pPr>
    </w:p>
    <w:p w:rsidR="0074361B" w:rsidRPr="0074361B" w:rsidRDefault="0074361B" w:rsidP="0074361B">
      <w:pPr>
        <w:spacing w:after="0" w:line="240" w:lineRule="auto"/>
        <w:ind w:left="1418" w:hanging="567"/>
        <w:jc w:val="both"/>
        <w:rPr>
          <w:rFonts w:ascii="Arial" w:hAnsi="Arial" w:cs="Arial"/>
        </w:rPr>
      </w:pPr>
      <w:r w:rsidRPr="0074361B">
        <w:rPr>
          <w:rFonts w:ascii="Arial" w:hAnsi="Arial" w:cs="Arial"/>
        </w:rPr>
        <w:t xml:space="preserve">- </w:t>
      </w:r>
      <w:r>
        <w:rPr>
          <w:rFonts w:ascii="Arial" w:hAnsi="Arial" w:cs="Arial"/>
        </w:rPr>
        <w:tab/>
      </w:r>
      <w:r w:rsidRPr="0074361B">
        <w:rPr>
          <w:rFonts w:ascii="Arial" w:hAnsi="Arial" w:cs="Arial"/>
        </w:rPr>
        <w:t>SINABIP: Sistema de Información Nacional de Bienes Estatales.</w:t>
      </w:r>
    </w:p>
    <w:p w:rsidR="0074361B" w:rsidRPr="0074361B" w:rsidRDefault="0074361B" w:rsidP="0074361B">
      <w:pPr>
        <w:spacing w:after="0" w:line="240" w:lineRule="auto"/>
        <w:ind w:left="1418" w:hanging="567"/>
        <w:jc w:val="both"/>
        <w:rPr>
          <w:rFonts w:ascii="Arial" w:hAnsi="Arial" w:cs="Arial"/>
        </w:rPr>
      </w:pPr>
    </w:p>
    <w:p w:rsidR="0074361B" w:rsidRPr="0074361B" w:rsidRDefault="0074361B" w:rsidP="0074361B">
      <w:pPr>
        <w:spacing w:after="0" w:line="240" w:lineRule="auto"/>
        <w:ind w:left="1418" w:hanging="567"/>
        <w:jc w:val="both"/>
        <w:rPr>
          <w:rFonts w:ascii="Arial" w:hAnsi="Arial" w:cs="Arial"/>
        </w:rPr>
      </w:pPr>
      <w:r w:rsidRPr="0074361B">
        <w:rPr>
          <w:rFonts w:ascii="Arial" w:hAnsi="Arial" w:cs="Arial"/>
        </w:rPr>
        <w:t xml:space="preserve">- </w:t>
      </w:r>
      <w:r>
        <w:rPr>
          <w:rFonts w:ascii="Arial" w:hAnsi="Arial" w:cs="Arial"/>
        </w:rPr>
        <w:tab/>
      </w:r>
      <w:r w:rsidRPr="0074361B">
        <w:rPr>
          <w:rFonts w:ascii="Arial" w:hAnsi="Arial" w:cs="Arial"/>
        </w:rPr>
        <w:t>SNBE: Sistema Nacional de Bienes Estatales</w:t>
      </w:r>
    </w:p>
    <w:p w:rsidR="0074361B" w:rsidRPr="0074361B" w:rsidRDefault="0074361B" w:rsidP="0074361B">
      <w:pPr>
        <w:spacing w:after="0" w:line="240" w:lineRule="auto"/>
        <w:ind w:left="1418" w:hanging="567"/>
        <w:jc w:val="both"/>
        <w:rPr>
          <w:rFonts w:ascii="Arial" w:hAnsi="Arial" w:cs="Arial"/>
        </w:rPr>
      </w:pPr>
    </w:p>
    <w:p w:rsidR="0074361B" w:rsidRPr="0074361B" w:rsidRDefault="0074361B" w:rsidP="0074361B">
      <w:pPr>
        <w:spacing w:after="0" w:line="240" w:lineRule="auto"/>
        <w:ind w:left="1418" w:hanging="567"/>
        <w:jc w:val="both"/>
        <w:rPr>
          <w:rFonts w:ascii="Arial" w:hAnsi="Arial" w:cs="Arial"/>
        </w:rPr>
      </w:pPr>
      <w:r w:rsidRPr="0074361B">
        <w:rPr>
          <w:rFonts w:ascii="Arial" w:hAnsi="Arial" w:cs="Arial"/>
        </w:rPr>
        <w:t xml:space="preserve">- </w:t>
      </w:r>
      <w:r>
        <w:rPr>
          <w:rFonts w:ascii="Arial" w:hAnsi="Arial" w:cs="Arial"/>
        </w:rPr>
        <w:tab/>
      </w:r>
      <w:r w:rsidRPr="0074361B">
        <w:rPr>
          <w:rFonts w:ascii="Arial" w:hAnsi="Arial" w:cs="Arial"/>
        </w:rPr>
        <w:t>SUNARP: Superintendencia Nacional de los Registros Públicos</w:t>
      </w:r>
    </w:p>
    <w:p w:rsidR="0074361B" w:rsidRPr="0074361B" w:rsidRDefault="0074361B" w:rsidP="0074361B">
      <w:pPr>
        <w:spacing w:after="0" w:line="240" w:lineRule="auto"/>
        <w:ind w:left="1418" w:hanging="567"/>
        <w:jc w:val="both"/>
        <w:rPr>
          <w:rFonts w:ascii="Arial" w:hAnsi="Arial" w:cs="Arial"/>
        </w:rPr>
      </w:pPr>
    </w:p>
    <w:p w:rsidR="0074361B" w:rsidRPr="0074361B" w:rsidRDefault="0074361B" w:rsidP="0074361B">
      <w:pPr>
        <w:spacing w:after="0" w:line="240" w:lineRule="auto"/>
        <w:ind w:left="1418" w:hanging="567"/>
        <w:jc w:val="both"/>
        <w:rPr>
          <w:rFonts w:ascii="Arial" w:hAnsi="Arial" w:cs="Arial"/>
        </w:rPr>
      </w:pPr>
      <w:r w:rsidRPr="0074361B">
        <w:rPr>
          <w:rFonts w:ascii="Arial" w:hAnsi="Arial" w:cs="Arial"/>
        </w:rPr>
        <w:t xml:space="preserve">- </w:t>
      </w:r>
      <w:r>
        <w:rPr>
          <w:rFonts w:ascii="Arial" w:hAnsi="Arial" w:cs="Arial"/>
        </w:rPr>
        <w:tab/>
      </w:r>
      <w:r w:rsidRPr="0074361B">
        <w:rPr>
          <w:rFonts w:ascii="Arial" w:hAnsi="Arial" w:cs="Arial"/>
        </w:rPr>
        <w:t>SERNANP: Servicio Nacional de Áreas Naturales Protegidas por el Estado</w:t>
      </w:r>
    </w:p>
    <w:p w:rsidR="0074361B" w:rsidRPr="0074361B" w:rsidRDefault="0074361B" w:rsidP="0074361B">
      <w:pPr>
        <w:spacing w:after="0" w:line="240" w:lineRule="auto"/>
        <w:ind w:left="1418" w:hanging="567"/>
        <w:jc w:val="both"/>
        <w:rPr>
          <w:rFonts w:ascii="Arial" w:hAnsi="Arial" w:cs="Arial"/>
        </w:rPr>
      </w:pPr>
    </w:p>
    <w:p w:rsidR="0074361B" w:rsidRPr="0074361B" w:rsidRDefault="0074361B" w:rsidP="0074361B">
      <w:pPr>
        <w:spacing w:after="0" w:line="240" w:lineRule="auto"/>
        <w:ind w:left="1418" w:hanging="567"/>
        <w:jc w:val="both"/>
        <w:rPr>
          <w:rFonts w:ascii="Arial" w:hAnsi="Arial" w:cs="Arial"/>
        </w:rPr>
      </w:pPr>
      <w:r w:rsidRPr="0074361B">
        <w:rPr>
          <w:rFonts w:ascii="Arial" w:hAnsi="Arial" w:cs="Arial"/>
        </w:rPr>
        <w:t xml:space="preserve">- </w:t>
      </w:r>
      <w:r>
        <w:rPr>
          <w:rFonts w:ascii="Arial" w:hAnsi="Arial" w:cs="Arial"/>
        </w:rPr>
        <w:tab/>
      </w:r>
      <w:r w:rsidRPr="0074361B">
        <w:rPr>
          <w:rFonts w:ascii="Arial" w:hAnsi="Arial" w:cs="Arial"/>
        </w:rPr>
        <w:t>Ley: Ley Nº 30327, Ley de promoción de las inversiones para el crecimiento económico y el desarrollo sostenible.</w:t>
      </w:r>
    </w:p>
    <w:p w:rsidR="0074361B" w:rsidRPr="0074361B" w:rsidRDefault="0074361B" w:rsidP="0074361B">
      <w:pPr>
        <w:spacing w:after="0" w:line="240" w:lineRule="auto"/>
        <w:ind w:left="1418" w:hanging="567"/>
        <w:jc w:val="both"/>
        <w:rPr>
          <w:rFonts w:ascii="Arial" w:hAnsi="Arial" w:cs="Arial"/>
        </w:rPr>
      </w:pPr>
    </w:p>
    <w:p w:rsidR="0074361B" w:rsidRPr="0074361B" w:rsidRDefault="0074361B" w:rsidP="0074361B">
      <w:pPr>
        <w:spacing w:after="0" w:line="240" w:lineRule="auto"/>
        <w:ind w:left="1418" w:hanging="567"/>
        <w:jc w:val="both"/>
        <w:rPr>
          <w:rFonts w:ascii="Arial" w:hAnsi="Arial" w:cs="Arial"/>
        </w:rPr>
      </w:pPr>
      <w:r w:rsidRPr="0074361B">
        <w:rPr>
          <w:rFonts w:ascii="Arial" w:hAnsi="Arial" w:cs="Arial"/>
        </w:rPr>
        <w:t xml:space="preserve">- </w:t>
      </w:r>
      <w:r>
        <w:rPr>
          <w:rFonts w:ascii="Arial" w:hAnsi="Arial" w:cs="Arial"/>
        </w:rPr>
        <w:tab/>
      </w:r>
      <w:r w:rsidRPr="0074361B">
        <w:rPr>
          <w:rFonts w:ascii="Arial" w:hAnsi="Arial" w:cs="Arial"/>
        </w:rPr>
        <w:t>Ley Nº 29151: Ley Nº 29151, Ley General del Sistema Nacional de Bienes Estatales.</w:t>
      </w:r>
    </w:p>
    <w:p w:rsidR="0074361B" w:rsidRPr="0074361B" w:rsidRDefault="0074361B" w:rsidP="0074361B">
      <w:pPr>
        <w:spacing w:after="0" w:line="240" w:lineRule="auto"/>
        <w:ind w:left="1418" w:hanging="567"/>
        <w:jc w:val="both"/>
        <w:rPr>
          <w:rFonts w:ascii="Arial" w:hAnsi="Arial" w:cs="Arial"/>
        </w:rPr>
      </w:pPr>
    </w:p>
    <w:p w:rsidR="0074361B" w:rsidRPr="0074361B" w:rsidRDefault="0074361B" w:rsidP="0074361B">
      <w:pPr>
        <w:spacing w:after="0" w:line="240" w:lineRule="auto"/>
        <w:ind w:left="1418" w:hanging="567"/>
        <w:jc w:val="both"/>
        <w:rPr>
          <w:rFonts w:ascii="Arial" w:hAnsi="Arial" w:cs="Arial"/>
        </w:rPr>
      </w:pPr>
      <w:r w:rsidRPr="0074361B">
        <w:rPr>
          <w:rFonts w:ascii="Arial" w:hAnsi="Arial" w:cs="Arial"/>
        </w:rPr>
        <w:t xml:space="preserve">- </w:t>
      </w:r>
      <w:r>
        <w:rPr>
          <w:rFonts w:ascii="Arial" w:hAnsi="Arial" w:cs="Arial"/>
        </w:rPr>
        <w:tab/>
      </w:r>
      <w:r w:rsidRPr="0074361B">
        <w:rPr>
          <w:rFonts w:ascii="Arial" w:hAnsi="Arial" w:cs="Arial"/>
        </w:rPr>
        <w:t>Reglamento de la Ley Nº 29151: Reglamento de la Ley Nº 29151, Ley General del Sistema Nacional de Bienes Estatales, aprobado por el Decreto Supremo Nº 007-2008-VIVIENDA.</w:t>
      </w:r>
    </w:p>
    <w:p w:rsidR="0074361B" w:rsidRPr="0074361B" w:rsidRDefault="0074361B" w:rsidP="0074361B">
      <w:pPr>
        <w:spacing w:after="0" w:line="240" w:lineRule="auto"/>
        <w:jc w:val="both"/>
        <w:rPr>
          <w:rFonts w:ascii="Arial" w:hAnsi="Arial" w:cs="Arial"/>
        </w:rPr>
      </w:pPr>
    </w:p>
    <w:p w:rsidR="0074361B" w:rsidRPr="0074361B" w:rsidRDefault="0074361B" w:rsidP="0074361B">
      <w:pPr>
        <w:spacing w:after="0" w:line="240" w:lineRule="auto"/>
        <w:jc w:val="both"/>
        <w:rPr>
          <w:rFonts w:ascii="Arial" w:hAnsi="Arial" w:cs="Arial"/>
          <w:b/>
        </w:rPr>
      </w:pPr>
      <w:r w:rsidRPr="0074361B">
        <w:rPr>
          <w:rFonts w:ascii="Arial" w:hAnsi="Arial" w:cs="Arial"/>
          <w:b/>
        </w:rPr>
        <w:t>Artículo 3.- Definiciones</w:t>
      </w:r>
    </w:p>
    <w:p w:rsidR="0074361B" w:rsidRPr="0074361B" w:rsidRDefault="0074361B" w:rsidP="0074361B">
      <w:pPr>
        <w:spacing w:after="0" w:line="240" w:lineRule="auto"/>
        <w:jc w:val="both"/>
        <w:rPr>
          <w:rFonts w:ascii="Arial" w:hAnsi="Arial" w:cs="Arial"/>
        </w:rPr>
      </w:pPr>
      <w:r w:rsidRPr="0074361B">
        <w:rPr>
          <w:rFonts w:ascii="Arial" w:hAnsi="Arial" w:cs="Arial"/>
        </w:rPr>
        <w:t>Para fines del presente Reglamento, se entiende por:</w:t>
      </w:r>
    </w:p>
    <w:p w:rsidR="0074361B" w:rsidRPr="0074361B" w:rsidRDefault="0074361B" w:rsidP="0074361B">
      <w:pPr>
        <w:spacing w:after="0" w:line="240" w:lineRule="auto"/>
        <w:jc w:val="both"/>
        <w:rPr>
          <w:rFonts w:ascii="Arial" w:hAnsi="Arial" w:cs="Arial"/>
        </w:rPr>
      </w:pPr>
    </w:p>
    <w:p w:rsidR="0074361B" w:rsidRPr="0074361B" w:rsidRDefault="0074361B" w:rsidP="0074361B">
      <w:pPr>
        <w:spacing w:after="0" w:line="240" w:lineRule="auto"/>
        <w:jc w:val="both"/>
        <w:rPr>
          <w:rFonts w:ascii="Arial" w:hAnsi="Arial" w:cs="Arial"/>
        </w:rPr>
      </w:pPr>
      <w:r w:rsidRPr="0074361B">
        <w:rPr>
          <w:rFonts w:ascii="Arial" w:hAnsi="Arial" w:cs="Arial"/>
        </w:rPr>
        <w:t>Autoridad sectorial competente: Autoridad de un Sector del Gobierno Nacional o Regional que tiene competencia para aprobar o autorizar la ejecución y desarrollo de una actividad económica, susceptible de ser concesionada por el Estado.</w:t>
      </w:r>
    </w:p>
    <w:p w:rsidR="0074361B" w:rsidRPr="0074361B" w:rsidRDefault="0074361B" w:rsidP="0074361B">
      <w:pPr>
        <w:spacing w:after="0" w:line="240" w:lineRule="auto"/>
        <w:jc w:val="both"/>
        <w:rPr>
          <w:rFonts w:ascii="Arial" w:hAnsi="Arial" w:cs="Arial"/>
        </w:rPr>
      </w:pPr>
    </w:p>
    <w:p w:rsidR="0074361B" w:rsidRPr="0074361B" w:rsidRDefault="0074361B" w:rsidP="0074361B">
      <w:pPr>
        <w:spacing w:after="0" w:line="240" w:lineRule="auto"/>
        <w:jc w:val="both"/>
        <w:rPr>
          <w:rFonts w:ascii="Arial" w:hAnsi="Arial" w:cs="Arial"/>
        </w:rPr>
      </w:pPr>
      <w:r w:rsidRPr="0074361B">
        <w:rPr>
          <w:rFonts w:ascii="Arial" w:hAnsi="Arial" w:cs="Arial"/>
        </w:rPr>
        <w:t>Funciones transferidas: Aquellas funciones y competencias sobre administración y adjudicación de terrenos de propiedad del Estado, a que se refiere el artículo 62 de la Ley Nº 27867, Ley Orgánica de Gobiernos Regionales.</w:t>
      </w:r>
    </w:p>
    <w:p w:rsidR="0074361B" w:rsidRPr="0074361B" w:rsidRDefault="0074361B" w:rsidP="0074361B">
      <w:pPr>
        <w:spacing w:after="0" w:line="240" w:lineRule="auto"/>
        <w:jc w:val="both"/>
        <w:rPr>
          <w:rFonts w:ascii="Arial" w:hAnsi="Arial" w:cs="Arial"/>
        </w:rPr>
      </w:pPr>
    </w:p>
    <w:p w:rsidR="0074361B" w:rsidRPr="0074361B" w:rsidRDefault="0074361B" w:rsidP="0074361B">
      <w:pPr>
        <w:spacing w:after="0" w:line="240" w:lineRule="auto"/>
        <w:jc w:val="both"/>
        <w:rPr>
          <w:rFonts w:ascii="Arial" w:hAnsi="Arial" w:cs="Arial"/>
        </w:rPr>
      </w:pPr>
      <w:r w:rsidRPr="0074361B">
        <w:rPr>
          <w:rFonts w:ascii="Arial" w:hAnsi="Arial" w:cs="Arial"/>
        </w:rPr>
        <w:t>Diagnóstico técnico - legal para la entrega provisional: Evaluación técnico - legal que, en el plazo establecido por la Ley Nº 30327, efectúa la SBN respecto a la situación del terreno solicitado para la constitución del derecho de servidumbre, verificando en forma preliminar su condición de terreno eriazo de propiedad estatal de libre disponibilidad, a fin determinar la procedencia o improcedencia de la entrega provisional solicitada.</w:t>
      </w:r>
    </w:p>
    <w:p w:rsidR="0074361B" w:rsidRPr="0074361B" w:rsidRDefault="0074361B" w:rsidP="0074361B">
      <w:pPr>
        <w:spacing w:after="0" w:line="240" w:lineRule="auto"/>
        <w:jc w:val="both"/>
        <w:rPr>
          <w:rFonts w:ascii="Arial" w:hAnsi="Arial" w:cs="Arial"/>
        </w:rPr>
      </w:pPr>
    </w:p>
    <w:p w:rsidR="0074361B" w:rsidRPr="0074361B" w:rsidRDefault="0074361B" w:rsidP="0074361B">
      <w:pPr>
        <w:spacing w:after="0" w:line="240" w:lineRule="auto"/>
        <w:jc w:val="both"/>
        <w:rPr>
          <w:rFonts w:ascii="Arial" w:hAnsi="Arial" w:cs="Arial"/>
        </w:rPr>
      </w:pPr>
      <w:r w:rsidRPr="0074361B">
        <w:rPr>
          <w:rFonts w:ascii="Arial" w:hAnsi="Arial" w:cs="Arial"/>
        </w:rPr>
        <w:t>Informe técnico - legal para la entrega definitiva: Contiene la evaluación técnico legal definitiva, que como parte del procedimiento de constitución del derecho de servidumbre, efectúa la SBN, el Gobierno Regional con funciones transferidas o la entidad pública titular del terreno, según sea el caso, a través de la unidad orgánica competente, a fin de sustentar la aprobación o la improcedencia de la constitución de la servidumbre.</w:t>
      </w:r>
    </w:p>
    <w:p w:rsidR="0074361B" w:rsidRPr="0074361B" w:rsidRDefault="0074361B" w:rsidP="0074361B">
      <w:pPr>
        <w:spacing w:after="0" w:line="240" w:lineRule="auto"/>
        <w:jc w:val="both"/>
        <w:rPr>
          <w:rFonts w:ascii="Arial" w:hAnsi="Arial" w:cs="Arial"/>
        </w:rPr>
      </w:pPr>
    </w:p>
    <w:p w:rsidR="0074361B" w:rsidRPr="0074361B" w:rsidRDefault="0074361B" w:rsidP="0074361B">
      <w:pPr>
        <w:spacing w:after="0" w:line="240" w:lineRule="auto"/>
        <w:jc w:val="both"/>
        <w:rPr>
          <w:rFonts w:ascii="Arial" w:hAnsi="Arial" w:cs="Arial"/>
        </w:rPr>
      </w:pPr>
      <w:r w:rsidRPr="0074361B">
        <w:rPr>
          <w:rFonts w:ascii="Arial" w:hAnsi="Arial" w:cs="Arial"/>
        </w:rPr>
        <w:t>Terreno estatal: Terreno de dominio privado de libre disponibilidad que tiene como titular al Estado, independientemente del nivel de gobierno.</w:t>
      </w:r>
    </w:p>
    <w:p w:rsidR="0074361B" w:rsidRPr="0074361B" w:rsidRDefault="0074361B" w:rsidP="0074361B">
      <w:pPr>
        <w:spacing w:after="0" w:line="240" w:lineRule="auto"/>
        <w:jc w:val="both"/>
        <w:rPr>
          <w:rFonts w:ascii="Arial" w:hAnsi="Arial" w:cs="Arial"/>
        </w:rPr>
      </w:pPr>
    </w:p>
    <w:p w:rsidR="0074361B" w:rsidRPr="0074361B" w:rsidRDefault="0074361B" w:rsidP="0074361B">
      <w:pPr>
        <w:spacing w:after="0" w:line="240" w:lineRule="auto"/>
        <w:jc w:val="both"/>
        <w:rPr>
          <w:rFonts w:ascii="Arial" w:hAnsi="Arial" w:cs="Arial"/>
        </w:rPr>
      </w:pPr>
      <w:r w:rsidRPr="0074361B">
        <w:rPr>
          <w:rFonts w:ascii="Arial" w:hAnsi="Arial" w:cs="Arial"/>
        </w:rPr>
        <w:t>Proyecto de inversión: Proyecto de inversión pública, privada, público - privada o de capital mixto, calificado como tal por la autoridad sectorial competente.</w:t>
      </w:r>
    </w:p>
    <w:p w:rsidR="0074361B" w:rsidRPr="0074361B" w:rsidRDefault="0074361B" w:rsidP="0074361B">
      <w:pPr>
        <w:spacing w:after="0" w:line="240" w:lineRule="auto"/>
        <w:jc w:val="both"/>
        <w:rPr>
          <w:rFonts w:ascii="Arial" w:hAnsi="Arial" w:cs="Arial"/>
        </w:rPr>
      </w:pPr>
    </w:p>
    <w:p w:rsidR="0074361B" w:rsidRPr="0074361B" w:rsidRDefault="0074361B" w:rsidP="0074361B">
      <w:pPr>
        <w:spacing w:after="0" w:line="240" w:lineRule="auto"/>
        <w:jc w:val="both"/>
        <w:rPr>
          <w:rFonts w:ascii="Arial" w:hAnsi="Arial" w:cs="Arial"/>
        </w:rPr>
      </w:pPr>
      <w:r w:rsidRPr="0074361B">
        <w:rPr>
          <w:rFonts w:ascii="Arial" w:hAnsi="Arial" w:cs="Arial"/>
        </w:rPr>
        <w:t>Servidumbre: Es un derecho real por el cual un terreno eriazo estatal es gravado para el desarrollo de un proyecto de inversión, confiriendo al titular de éste último, el derecho para practicar ciertos actos de uso sobre el terreno estatal.</w:t>
      </w:r>
    </w:p>
    <w:p w:rsidR="0074361B" w:rsidRPr="0074361B" w:rsidRDefault="0074361B" w:rsidP="0074361B">
      <w:pPr>
        <w:spacing w:after="0" w:line="240" w:lineRule="auto"/>
        <w:jc w:val="both"/>
        <w:rPr>
          <w:rFonts w:ascii="Arial" w:hAnsi="Arial" w:cs="Arial"/>
        </w:rPr>
      </w:pPr>
    </w:p>
    <w:p w:rsidR="0074361B" w:rsidRPr="0074361B" w:rsidRDefault="0074361B" w:rsidP="0074361B">
      <w:pPr>
        <w:spacing w:after="0" w:line="240" w:lineRule="auto"/>
        <w:jc w:val="both"/>
        <w:rPr>
          <w:rFonts w:ascii="Arial" w:hAnsi="Arial" w:cs="Arial"/>
        </w:rPr>
      </w:pPr>
      <w:r w:rsidRPr="0074361B">
        <w:rPr>
          <w:rFonts w:ascii="Arial" w:hAnsi="Arial" w:cs="Arial"/>
        </w:rPr>
        <w:t>Terreno eriazo de propiedad estatal: Terreno de propiedad estatal, inscrito o no inscrito en el Registro de Predios, ubicado fuera de la zona urbana o de expansión urbana y que no se encuentre en uso agrícola o destinado para fin agrícola. Así como, aquel terreno estatal donde se haya ejecutado o se encuentren en proceso de ejecución las acciones de reasentamiento, desplazamiento o reubicación de poblaciones, comunicada (s) por la autoridad competente, en el marco de la implementación de las Certificaciones Ambientales otorgadas o de la normativa especial sobre Reasentamiento Poblacional.</w:t>
      </w:r>
    </w:p>
    <w:p w:rsidR="0074361B" w:rsidRPr="0074361B" w:rsidRDefault="0074361B" w:rsidP="0074361B">
      <w:pPr>
        <w:spacing w:after="0" w:line="240" w:lineRule="auto"/>
        <w:jc w:val="both"/>
        <w:rPr>
          <w:rFonts w:ascii="Arial" w:hAnsi="Arial" w:cs="Arial"/>
        </w:rPr>
      </w:pPr>
    </w:p>
    <w:p w:rsidR="0074361B" w:rsidRPr="0074361B" w:rsidRDefault="0074361B" w:rsidP="0074361B">
      <w:pPr>
        <w:spacing w:after="0" w:line="240" w:lineRule="auto"/>
        <w:jc w:val="both"/>
        <w:rPr>
          <w:rFonts w:ascii="Arial" w:hAnsi="Arial" w:cs="Arial"/>
        </w:rPr>
      </w:pPr>
      <w:r w:rsidRPr="0074361B">
        <w:rPr>
          <w:rFonts w:ascii="Arial" w:hAnsi="Arial" w:cs="Arial"/>
        </w:rPr>
        <w:t>Zona de selva: Terrenos ubicados en la Amazonía del Perú, la cual se encuentra definida en la Ley Nº 27037, Ley de Promoción de la Inversión en la Amazonía.</w:t>
      </w:r>
    </w:p>
    <w:p w:rsidR="0074361B" w:rsidRPr="0074361B" w:rsidRDefault="0074361B" w:rsidP="0074361B">
      <w:pPr>
        <w:spacing w:after="0" w:line="240" w:lineRule="auto"/>
        <w:jc w:val="both"/>
        <w:rPr>
          <w:rFonts w:ascii="Arial" w:hAnsi="Arial" w:cs="Arial"/>
        </w:rPr>
      </w:pPr>
    </w:p>
    <w:p w:rsidR="0074361B" w:rsidRPr="0074361B" w:rsidRDefault="0074361B" w:rsidP="0074361B">
      <w:pPr>
        <w:spacing w:after="0" w:line="240" w:lineRule="auto"/>
        <w:jc w:val="both"/>
        <w:rPr>
          <w:rFonts w:ascii="Arial" w:hAnsi="Arial" w:cs="Arial"/>
          <w:b/>
        </w:rPr>
      </w:pPr>
      <w:r w:rsidRPr="0074361B">
        <w:rPr>
          <w:rFonts w:ascii="Arial" w:hAnsi="Arial" w:cs="Arial"/>
          <w:b/>
        </w:rPr>
        <w:t>Artículo 4.- Ámbito de aplicación</w:t>
      </w:r>
    </w:p>
    <w:p w:rsidR="0074361B" w:rsidRPr="0074361B" w:rsidRDefault="0074361B" w:rsidP="0074361B">
      <w:pPr>
        <w:spacing w:after="0" w:line="240" w:lineRule="auto"/>
        <w:jc w:val="both"/>
        <w:rPr>
          <w:rFonts w:ascii="Arial" w:hAnsi="Arial" w:cs="Arial"/>
        </w:rPr>
      </w:pPr>
    </w:p>
    <w:p w:rsidR="0074361B" w:rsidRPr="0074361B" w:rsidRDefault="0074361B" w:rsidP="0074361B">
      <w:pPr>
        <w:spacing w:after="0" w:line="240" w:lineRule="auto"/>
        <w:ind w:left="993" w:hanging="709"/>
        <w:jc w:val="both"/>
        <w:rPr>
          <w:rFonts w:ascii="Arial" w:hAnsi="Arial" w:cs="Arial"/>
        </w:rPr>
      </w:pPr>
      <w:r w:rsidRPr="0074361B">
        <w:rPr>
          <w:rFonts w:ascii="Arial" w:hAnsi="Arial" w:cs="Arial"/>
        </w:rPr>
        <w:t xml:space="preserve">4.1 </w:t>
      </w:r>
      <w:r>
        <w:rPr>
          <w:rFonts w:ascii="Arial" w:hAnsi="Arial" w:cs="Arial"/>
        </w:rPr>
        <w:tab/>
      </w:r>
      <w:r w:rsidRPr="0074361B">
        <w:rPr>
          <w:rFonts w:ascii="Arial" w:hAnsi="Arial" w:cs="Arial"/>
        </w:rPr>
        <w:t>En el marco de la Ley, únicamente puede constituirse el derecho de servidumbre sobre terrenos eriazos de propiedad estatal.</w:t>
      </w:r>
    </w:p>
    <w:p w:rsidR="0074361B" w:rsidRPr="0074361B" w:rsidRDefault="0074361B" w:rsidP="0074361B">
      <w:pPr>
        <w:spacing w:after="0" w:line="240" w:lineRule="auto"/>
        <w:ind w:left="993" w:hanging="709"/>
        <w:jc w:val="both"/>
        <w:rPr>
          <w:rFonts w:ascii="Arial" w:hAnsi="Arial" w:cs="Arial"/>
        </w:rPr>
      </w:pPr>
    </w:p>
    <w:p w:rsidR="0074361B" w:rsidRPr="0074361B" w:rsidRDefault="0074361B" w:rsidP="0074361B">
      <w:pPr>
        <w:spacing w:after="0" w:line="240" w:lineRule="auto"/>
        <w:ind w:left="993" w:hanging="709"/>
        <w:jc w:val="both"/>
        <w:rPr>
          <w:rFonts w:ascii="Arial" w:hAnsi="Arial" w:cs="Arial"/>
        </w:rPr>
      </w:pPr>
      <w:r w:rsidRPr="0074361B">
        <w:rPr>
          <w:rFonts w:ascii="Arial" w:hAnsi="Arial" w:cs="Arial"/>
        </w:rPr>
        <w:t xml:space="preserve">4.2 </w:t>
      </w:r>
      <w:r>
        <w:rPr>
          <w:rFonts w:ascii="Arial" w:hAnsi="Arial" w:cs="Arial"/>
        </w:rPr>
        <w:tab/>
      </w:r>
      <w:r w:rsidRPr="0074361B">
        <w:rPr>
          <w:rFonts w:ascii="Arial" w:hAnsi="Arial" w:cs="Arial"/>
        </w:rPr>
        <w:t>La Ley y el presente Reglamento no son de aplicación para:</w:t>
      </w:r>
    </w:p>
    <w:p w:rsidR="0074361B" w:rsidRPr="0074361B" w:rsidRDefault="0074361B" w:rsidP="0074361B">
      <w:pPr>
        <w:spacing w:after="0" w:line="240" w:lineRule="auto"/>
        <w:jc w:val="both"/>
        <w:rPr>
          <w:rFonts w:ascii="Arial" w:hAnsi="Arial" w:cs="Arial"/>
        </w:rPr>
      </w:pPr>
    </w:p>
    <w:p w:rsidR="0074361B" w:rsidRPr="0074361B" w:rsidRDefault="0074361B" w:rsidP="0074361B">
      <w:pPr>
        <w:spacing w:after="0" w:line="240" w:lineRule="auto"/>
        <w:ind w:left="1560" w:hanging="567"/>
        <w:jc w:val="both"/>
        <w:rPr>
          <w:rFonts w:ascii="Arial" w:hAnsi="Arial" w:cs="Arial"/>
        </w:rPr>
      </w:pPr>
      <w:r w:rsidRPr="0074361B">
        <w:rPr>
          <w:rFonts w:ascii="Arial" w:hAnsi="Arial" w:cs="Arial"/>
        </w:rPr>
        <w:t xml:space="preserve">a) </w:t>
      </w:r>
      <w:r>
        <w:rPr>
          <w:rFonts w:ascii="Arial" w:hAnsi="Arial" w:cs="Arial"/>
        </w:rPr>
        <w:tab/>
      </w:r>
      <w:r w:rsidRPr="0074361B">
        <w:rPr>
          <w:rFonts w:ascii="Arial" w:hAnsi="Arial" w:cs="Arial"/>
        </w:rPr>
        <w:t>Las tierras en posesión o propiedad de las Comunidades Campesinas y Comunidades Nativas.</w:t>
      </w:r>
    </w:p>
    <w:p w:rsidR="0074361B" w:rsidRPr="0074361B" w:rsidRDefault="0074361B" w:rsidP="0074361B">
      <w:pPr>
        <w:spacing w:after="0" w:line="240" w:lineRule="auto"/>
        <w:ind w:left="1560" w:hanging="567"/>
        <w:jc w:val="both"/>
        <w:rPr>
          <w:rFonts w:ascii="Arial" w:hAnsi="Arial" w:cs="Arial"/>
        </w:rPr>
      </w:pPr>
    </w:p>
    <w:p w:rsidR="0074361B" w:rsidRPr="0074361B" w:rsidRDefault="0074361B" w:rsidP="0074361B">
      <w:pPr>
        <w:spacing w:after="0" w:line="240" w:lineRule="auto"/>
        <w:ind w:left="1560" w:hanging="567"/>
        <w:jc w:val="both"/>
        <w:rPr>
          <w:rFonts w:ascii="Arial" w:hAnsi="Arial" w:cs="Arial"/>
        </w:rPr>
      </w:pPr>
      <w:r w:rsidRPr="0074361B">
        <w:rPr>
          <w:rFonts w:ascii="Arial" w:hAnsi="Arial" w:cs="Arial"/>
        </w:rPr>
        <w:t xml:space="preserve">b) </w:t>
      </w:r>
      <w:r>
        <w:rPr>
          <w:rFonts w:ascii="Arial" w:hAnsi="Arial" w:cs="Arial"/>
        </w:rPr>
        <w:tab/>
      </w:r>
      <w:r w:rsidRPr="0074361B">
        <w:rPr>
          <w:rFonts w:ascii="Arial" w:hAnsi="Arial" w:cs="Arial"/>
        </w:rPr>
        <w:t>Las tierras y territorios de pueblos indígenas u originarios.</w:t>
      </w:r>
    </w:p>
    <w:p w:rsidR="0074361B" w:rsidRPr="0074361B" w:rsidRDefault="0074361B" w:rsidP="0074361B">
      <w:pPr>
        <w:spacing w:after="0" w:line="240" w:lineRule="auto"/>
        <w:ind w:left="1560" w:hanging="567"/>
        <w:jc w:val="both"/>
        <w:rPr>
          <w:rFonts w:ascii="Arial" w:hAnsi="Arial" w:cs="Arial"/>
        </w:rPr>
      </w:pPr>
    </w:p>
    <w:p w:rsidR="0074361B" w:rsidRPr="0074361B" w:rsidRDefault="0074361B" w:rsidP="0074361B">
      <w:pPr>
        <w:spacing w:after="0" w:line="240" w:lineRule="auto"/>
        <w:ind w:left="1560" w:hanging="567"/>
        <w:jc w:val="both"/>
        <w:rPr>
          <w:rFonts w:ascii="Arial" w:hAnsi="Arial" w:cs="Arial"/>
        </w:rPr>
      </w:pPr>
      <w:r w:rsidRPr="0074361B">
        <w:rPr>
          <w:rFonts w:ascii="Arial" w:hAnsi="Arial" w:cs="Arial"/>
        </w:rPr>
        <w:t xml:space="preserve">c) </w:t>
      </w:r>
      <w:r>
        <w:rPr>
          <w:rFonts w:ascii="Arial" w:hAnsi="Arial" w:cs="Arial"/>
        </w:rPr>
        <w:tab/>
      </w:r>
      <w:r w:rsidRPr="0074361B">
        <w:rPr>
          <w:rFonts w:ascii="Arial" w:hAnsi="Arial" w:cs="Arial"/>
        </w:rPr>
        <w:t>Reservas Indígenas , de acuerdo a lo dispuesto en el literal n) del artículo 3 del Reglamento de la Ley para la protección de pueblos indígenas u originarios en situación de aislamiento y en situación de contacto inicial, aprobado por Decreto Supremo Nº 008-2007-MIMDES.</w:t>
      </w:r>
    </w:p>
    <w:p w:rsidR="0074361B" w:rsidRPr="0074361B" w:rsidRDefault="0074361B" w:rsidP="0074361B">
      <w:pPr>
        <w:spacing w:after="0" w:line="240" w:lineRule="auto"/>
        <w:ind w:left="1560" w:hanging="567"/>
        <w:jc w:val="both"/>
        <w:rPr>
          <w:rFonts w:ascii="Arial" w:hAnsi="Arial" w:cs="Arial"/>
        </w:rPr>
      </w:pPr>
    </w:p>
    <w:p w:rsidR="0074361B" w:rsidRPr="0074361B" w:rsidRDefault="0074361B" w:rsidP="0074361B">
      <w:pPr>
        <w:spacing w:after="0" w:line="240" w:lineRule="auto"/>
        <w:ind w:left="1560" w:hanging="567"/>
        <w:jc w:val="both"/>
        <w:rPr>
          <w:rFonts w:ascii="Arial" w:hAnsi="Arial" w:cs="Arial"/>
        </w:rPr>
      </w:pPr>
      <w:r w:rsidRPr="0074361B">
        <w:rPr>
          <w:rFonts w:ascii="Arial" w:hAnsi="Arial" w:cs="Arial"/>
        </w:rPr>
        <w:t xml:space="preserve">d) </w:t>
      </w:r>
      <w:r>
        <w:rPr>
          <w:rFonts w:ascii="Arial" w:hAnsi="Arial" w:cs="Arial"/>
        </w:rPr>
        <w:tab/>
      </w:r>
      <w:r w:rsidRPr="0074361B">
        <w:rPr>
          <w:rFonts w:ascii="Arial" w:hAnsi="Arial" w:cs="Arial"/>
        </w:rPr>
        <w:t>Las Áreas Forestales, monumentos arqueológicos, áreas naturales protegidas y sus zonas de amortiguamiento, en el caso de estas últimas se requerirá opinión previa vinculante del Servicio Nacional de Áreas Naturales Protegidas por el Estado - SERNANP.</w:t>
      </w:r>
    </w:p>
    <w:p w:rsidR="0074361B" w:rsidRPr="0074361B" w:rsidRDefault="0074361B" w:rsidP="0074361B">
      <w:pPr>
        <w:spacing w:after="0" w:line="240" w:lineRule="auto"/>
        <w:ind w:left="1560" w:hanging="567"/>
        <w:jc w:val="both"/>
        <w:rPr>
          <w:rFonts w:ascii="Arial" w:hAnsi="Arial" w:cs="Arial"/>
        </w:rPr>
      </w:pPr>
    </w:p>
    <w:p w:rsidR="0074361B" w:rsidRPr="0074361B" w:rsidRDefault="0074361B" w:rsidP="0074361B">
      <w:pPr>
        <w:spacing w:after="0" w:line="240" w:lineRule="auto"/>
        <w:ind w:left="1560" w:hanging="567"/>
        <w:jc w:val="both"/>
        <w:rPr>
          <w:rFonts w:ascii="Arial" w:hAnsi="Arial" w:cs="Arial"/>
        </w:rPr>
      </w:pPr>
      <w:r w:rsidRPr="0074361B">
        <w:rPr>
          <w:rFonts w:ascii="Arial" w:hAnsi="Arial" w:cs="Arial"/>
        </w:rPr>
        <w:t xml:space="preserve">e) </w:t>
      </w:r>
      <w:r>
        <w:rPr>
          <w:rFonts w:ascii="Arial" w:hAnsi="Arial" w:cs="Arial"/>
        </w:rPr>
        <w:tab/>
      </w:r>
      <w:r w:rsidRPr="0074361B">
        <w:rPr>
          <w:rFonts w:ascii="Arial" w:hAnsi="Arial" w:cs="Arial"/>
        </w:rPr>
        <w:t>Los terrenos ubicados en área de playa.</w:t>
      </w:r>
    </w:p>
    <w:p w:rsidR="0074361B" w:rsidRPr="0074361B" w:rsidRDefault="0074361B" w:rsidP="0074361B">
      <w:pPr>
        <w:spacing w:after="0" w:line="240" w:lineRule="auto"/>
        <w:ind w:left="1560" w:hanging="567"/>
        <w:jc w:val="both"/>
        <w:rPr>
          <w:rFonts w:ascii="Arial" w:hAnsi="Arial" w:cs="Arial"/>
        </w:rPr>
      </w:pPr>
    </w:p>
    <w:p w:rsidR="0074361B" w:rsidRPr="0074361B" w:rsidRDefault="0074361B" w:rsidP="0074361B">
      <w:pPr>
        <w:spacing w:after="0" w:line="240" w:lineRule="auto"/>
        <w:ind w:left="1560" w:hanging="567"/>
        <w:jc w:val="both"/>
        <w:rPr>
          <w:rFonts w:ascii="Arial" w:hAnsi="Arial" w:cs="Arial"/>
        </w:rPr>
      </w:pPr>
      <w:r w:rsidRPr="0074361B">
        <w:rPr>
          <w:rFonts w:ascii="Arial" w:hAnsi="Arial" w:cs="Arial"/>
        </w:rPr>
        <w:t xml:space="preserve">f) </w:t>
      </w:r>
      <w:r>
        <w:rPr>
          <w:rFonts w:ascii="Arial" w:hAnsi="Arial" w:cs="Arial"/>
        </w:rPr>
        <w:tab/>
      </w:r>
      <w:r w:rsidRPr="0074361B">
        <w:rPr>
          <w:rFonts w:ascii="Arial" w:hAnsi="Arial" w:cs="Arial"/>
        </w:rPr>
        <w:t>Los terrenos destinados a proyectos hidroenergéticos, de irrigación o proyectos agrícolas que cuenten con pronunciamiento de la autoridad competente, o cualquier otro proyecto especial creado o por crearse.</w:t>
      </w:r>
    </w:p>
    <w:p w:rsidR="0074361B" w:rsidRPr="0074361B" w:rsidRDefault="0074361B" w:rsidP="0074361B">
      <w:pPr>
        <w:spacing w:after="0" w:line="240" w:lineRule="auto"/>
        <w:ind w:left="1560" w:hanging="567"/>
        <w:jc w:val="both"/>
        <w:rPr>
          <w:rFonts w:ascii="Arial" w:hAnsi="Arial" w:cs="Arial"/>
        </w:rPr>
      </w:pPr>
    </w:p>
    <w:p w:rsidR="0074361B" w:rsidRPr="0074361B" w:rsidRDefault="0074361B" w:rsidP="0074361B">
      <w:pPr>
        <w:spacing w:after="0" w:line="240" w:lineRule="auto"/>
        <w:ind w:left="1560" w:hanging="567"/>
        <w:jc w:val="both"/>
        <w:rPr>
          <w:rFonts w:ascii="Arial" w:hAnsi="Arial" w:cs="Arial"/>
        </w:rPr>
      </w:pPr>
      <w:r w:rsidRPr="0074361B">
        <w:rPr>
          <w:rFonts w:ascii="Arial" w:hAnsi="Arial" w:cs="Arial"/>
        </w:rPr>
        <w:t xml:space="preserve">g) </w:t>
      </w:r>
      <w:r>
        <w:rPr>
          <w:rFonts w:ascii="Arial" w:hAnsi="Arial" w:cs="Arial"/>
        </w:rPr>
        <w:tab/>
      </w:r>
      <w:r w:rsidRPr="0074361B">
        <w:rPr>
          <w:rFonts w:ascii="Arial" w:hAnsi="Arial" w:cs="Arial"/>
        </w:rPr>
        <w:t>Los terrenos ubicados en la zona de la selva, con excepción de los terrenos que comprenden proyectos de inversión en generación, transmisión y distribución de energía eléctrica.</w:t>
      </w:r>
    </w:p>
    <w:p w:rsidR="0074361B" w:rsidRPr="0074361B" w:rsidRDefault="0074361B" w:rsidP="0074361B">
      <w:pPr>
        <w:spacing w:after="0" w:line="240" w:lineRule="auto"/>
        <w:jc w:val="both"/>
        <w:rPr>
          <w:rFonts w:ascii="Arial" w:hAnsi="Arial" w:cs="Arial"/>
        </w:rPr>
      </w:pPr>
    </w:p>
    <w:p w:rsidR="0074361B" w:rsidRPr="0074361B" w:rsidRDefault="0074361B" w:rsidP="0074361B">
      <w:pPr>
        <w:spacing w:after="0" w:line="240" w:lineRule="auto"/>
        <w:jc w:val="both"/>
        <w:rPr>
          <w:rFonts w:ascii="Arial" w:hAnsi="Arial" w:cs="Arial"/>
        </w:rPr>
      </w:pPr>
      <w:r w:rsidRPr="0074361B">
        <w:rPr>
          <w:rFonts w:ascii="Arial" w:hAnsi="Arial" w:cs="Arial"/>
        </w:rPr>
        <w:t>Los proyectos que comprenden áreas excluidas del ámbito de aplicación de la presente norma, se tramitan conforme a las disposiciones especiales de los respectivos sectores.</w:t>
      </w:r>
    </w:p>
    <w:p w:rsidR="0074361B" w:rsidRPr="0074361B" w:rsidRDefault="0074361B" w:rsidP="0074361B">
      <w:pPr>
        <w:spacing w:after="0" w:line="240" w:lineRule="auto"/>
        <w:jc w:val="both"/>
        <w:rPr>
          <w:rFonts w:ascii="Arial" w:hAnsi="Arial" w:cs="Arial"/>
        </w:rPr>
      </w:pPr>
    </w:p>
    <w:p w:rsidR="0074361B" w:rsidRPr="0074361B" w:rsidRDefault="0074361B" w:rsidP="0074361B">
      <w:pPr>
        <w:spacing w:after="0" w:line="240" w:lineRule="auto"/>
        <w:jc w:val="both"/>
        <w:rPr>
          <w:rFonts w:ascii="Arial" w:hAnsi="Arial" w:cs="Arial"/>
          <w:b/>
        </w:rPr>
      </w:pPr>
      <w:r w:rsidRPr="0074361B">
        <w:rPr>
          <w:rFonts w:ascii="Arial" w:hAnsi="Arial" w:cs="Arial"/>
          <w:b/>
        </w:rPr>
        <w:t>Artículo 5.- Plazo de la servidumbre</w:t>
      </w:r>
    </w:p>
    <w:p w:rsidR="0074361B" w:rsidRPr="0074361B" w:rsidRDefault="0074361B" w:rsidP="0074361B">
      <w:pPr>
        <w:spacing w:after="0" w:line="240" w:lineRule="auto"/>
        <w:jc w:val="both"/>
        <w:rPr>
          <w:rFonts w:ascii="Arial" w:hAnsi="Arial" w:cs="Arial"/>
        </w:rPr>
      </w:pPr>
    </w:p>
    <w:p w:rsidR="0074361B" w:rsidRPr="0074361B" w:rsidRDefault="0074361B" w:rsidP="0074361B">
      <w:pPr>
        <w:spacing w:after="0" w:line="240" w:lineRule="auto"/>
        <w:ind w:left="851" w:hanging="567"/>
        <w:jc w:val="both"/>
        <w:rPr>
          <w:rFonts w:ascii="Arial" w:hAnsi="Arial" w:cs="Arial"/>
        </w:rPr>
      </w:pPr>
      <w:r w:rsidRPr="0074361B">
        <w:rPr>
          <w:rFonts w:ascii="Arial" w:hAnsi="Arial" w:cs="Arial"/>
        </w:rPr>
        <w:t xml:space="preserve">5.1 </w:t>
      </w:r>
      <w:r>
        <w:rPr>
          <w:rFonts w:ascii="Arial" w:hAnsi="Arial" w:cs="Arial"/>
        </w:rPr>
        <w:tab/>
      </w:r>
      <w:r w:rsidRPr="0074361B">
        <w:rPr>
          <w:rFonts w:ascii="Arial" w:hAnsi="Arial" w:cs="Arial"/>
        </w:rPr>
        <w:t>El plazo de vigencia del derecho de servidumbre se fija en atención al informe remitido a la SBN por la autoridad sectorial competente, el cual no podrá exceder de treinta (30) años, salvo que dicha autoridad sustente la necesidad de un plazo mayor.</w:t>
      </w:r>
    </w:p>
    <w:p w:rsidR="0074361B" w:rsidRPr="0074361B" w:rsidRDefault="0074361B" w:rsidP="0074361B">
      <w:pPr>
        <w:spacing w:after="0" w:line="240" w:lineRule="auto"/>
        <w:ind w:left="851" w:hanging="567"/>
        <w:jc w:val="both"/>
        <w:rPr>
          <w:rFonts w:ascii="Arial" w:hAnsi="Arial" w:cs="Arial"/>
        </w:rPr>
      </w:pPr>
    </w:p>
    <w:p w:rsidR="0074361B" w:rsidRPr="0074361B" w:rsidRDefault="0074361B" w:rsidP="0074361B">
      <w:pPr>
        <w:spacing w:after="0" w:line="240" w:lineRule="auto"/>
        <w:ind w:left="851" w:hanging="567"/>
        <w:jc w:val="both"/>
        <w:rPr>
          <w:rFonts w:ascii="Arial" w:hAnsi="Arial" w:cs="Arial"/>
        </w:rPr>
      </w:pPr>
      <w:r w:rsidRPr="0074361B">
        <w:rPr>
          <w:rFonts w:ascii="Arial" w:hAnsi="Arial" w:cs="Arial"/>
        </w:rPr>
        <w:t xml:space="preserve">5.2 </w:t>
      </w:r>
      <w:r>
        <w:rPr>
          <w:rFonts w:ascii="Arial" w:hAnsi="Arial" w:cs="Arial"/>
        </w:rPr>
        <w:tab/>
      </w:r>
      <w:r w:rsidRPr="0074361B">
        <w:rPr>
          <w:rFonts w:ascii="Arial" w:hAnsi="Arial" w:cs="Arial"/>
        </w:rPr>
        <w:t>La solicitud de renovación del derecho de servidumbre se presenta ante la entidad sectorial competente, con una anticipación no menor de seis (6) meses al vencimiento del plazo de vigencia. La autoridad sectorial respectiva remite la solicitud con un informe favorable, aplicándose en lo que correspondan las disposiciones del presente Reglamento, a la entidad titular del terreno para su evaluación y aprobación correspondiente.</w:t>
      </w:r>
    </w:p>
    <w:p w:rsidR="0074361B" w:rsidRPr="0074361B" w:rsidRDefault="0074361B" w:rsidP="0074361B">
      <w:pPr>
        <w:spacing w:after="0" w:line="240" w:lineRule="auto"/>
        <w:jc w:val="both"/>
        <w:rPr>
          <w:rFonts w:ascii="Arial" w:hAnsi="Arial" w:cs="Arial"/>
        </w:rPr>
      </w:pPr>
    </w:p>
    <w:p w:rsidR="0074361B" w:rsidRPr="0074361B" w:rsidRDefault="0074361B" w:rsidP="0074361B">
      <w:pPr>
        <w:spacing w:after="0" w:line="240" w:lineRule="auto"/>
        <w:jc w:val="center"/>
        <w:rPr>
          <w:rFonts w:ascii="Arial" w:hAnsi="Arial" w:cs="Arial"/>
          <w:b/>
        </w:rPr>
      </w:pPr>
      <w:r w:rsidRPr="0074361B">
        <w:rPr>
          <w:rFonts w:ascii="Arial" w:hAnsi="Arial" w:cs="Arial"/>
          <w:b/>
        </w:rPr>
        <w:t>TÍTULO II</w:t>
      </w:r>
    </w:p>
    <w:p w:rsidR="0074361B" w:rsidRPr="0074361B" w:rsidRDefault="0074361B" w:rsidP="0074361B">
      <w:pPr>
        <w:spacing w:after="0" w:line="240" w:lineRule="auto"/>
        <w:jc w:val="center"/>
        <w:rPr>
          <w:rFonts w:ascii="Arial" w:hAnsi="Arial" w:cs="Arial"/>
          <w:b/>
        </w:rPr>
      </w:pPr>
      <w:r w:rsidRPr="0074361B">
        <w:rPr>
          <w:rFonts w:ascii="Arial" w:hAnsi="Arial" w:cs="Arial"/>
          <w:b/>
        </w:rPr>
        <w:t>DEL PROCEDIMIENTO DE CONSTITUCIÓN DEL DERECHO DE SERVIDUMBRE</w:t>
      </w:r>
    </w:p>
    <w:p w:rsidR="0074361B" w:rsidRPr="0074361B" w:rsidRDefault="0074361B" w:rsidP="0074361B">
      <w:pPr>
        <w:spacing w:after="0" w:line="240" w:lineRule="auto"/>
        <w:jc w:val="both"/>
        <w:rPr>
          <w:rFonts w:ascii="Arial" w:hAnsi="Arial" w:cs="Arial"/>
        </w:rPr>
      </w:pPr>
    </w:p>
    <w:p w:rsidR="0074361B" w:rsidRPr="0074361B" w:rsidRDefault="0074361B" w:rsidP="0074361B">
      <w:pPr>
        <w:spacing w:after="0" w:line="240" w:lineRule="auto"/>
        <w:jc w:val="both"/>
        <w:rPr>
          <w:rFonts w:ascii="Arial" w:hAnsi="Arial" w:cs="Arial"/>
          <w:b/>
        </w:rPr>
      </w:pPr>
      <w:r w:rsidRPr="0074361B">
        <w:rPr>
          <w:rFonts w:ascii="Arial" w:hAnsi="Arial" w:cs="Arial"/>
          <w:b/>
        </w:rPr>
        <w:t>Artículo 6.- Etapas del procedimiento de constitución de la servidumbre</w:t>
      </w:r>
    </w:p>
    <w:p w:rsidR="0074361B" w:rsidRPr="0074361B" w:rsidRDefault="0074361B" w:rsidP="0074361B">
      <w:pPr>
        <w:spacing w:after="0" w:line="240" w:lineRule="auto"/>
        <w:jc w:val="both"/>
        <w:rPr>
          <w:rFonts w:ascii="Arial" w:hAnsi="Arial" w:cs="Arial"/>
        </w:rPr>
      </w:pPr>
      <w:r w:rsidRPr="0074361B">
        <w:rPr>
          <w:rFonts w:ascii="Arial" w:hAnsi="Arial" w:cs="Arial"/>
        </w:rPr>
        <w:t>El procedimiento de constitución del derecho de servidumbre tiene las siguientes etapas:</w:t>
      </w:r>
    </w:p>
    <w:p w:rsidR="0074361B" w:rsidRPr="0074361B" w:rsidRDefault="0074361B" w:rsidP="0074361B">
      <w:pPr>
        <w:spacing w:after="0" w:line="240" w:lineRule="auto"/>
        <w:jc w:val="both"/>
        <w:rPr>
          <w:rFonts w:ascii="Arial" w:hAnsi="Arial" w:cs="Arial"/>
        </w:rPr>
      </w:pPr>
    </w:p>
    <w:p w:rsidR="0074361B" w:rsidRPr="0074361B" w:rsidRDefault="0074361B" w:rsidP="0074361B">
      <w:pPr>
        <w:spacing w:after="0" w:line="240" w:lineRule="auto"/>
        <w:jc w:val="both"/>
        <w:rPr>
          <w:rFonts w:ascii="Arial" w:hAnsi="Arial" w:cs="Arial"/>
        </w:rPr>
      </w:pPr>
      <w:r w:rsidRPr="0074361B">
        <w:rPr>
          <w:rFonts w:ascii="Arial" w:hAnsi="Arial" w:cs="Arial"/>
        </w:rPr>
        <w:tab/>
        <w:t>a. Presentación de la solicitud ante la autoridad sectorial competente</w:t>
      </w:r>
    </w:p>
    <w:p w:rsidR="0074361B" w:rsidRPr="0074361B" w:rsidRDefault="0074361B" w:rsidP="0074361B">
      <w:pPr>
        <w:spacing w:after="0" w:line="240" w:lineRule="auto"/>
        <w:jc w:val="both"/>
        <w:rPr>
          <w:rFonts w:ascii="Arial" w:hAnsi="Arial" w:cs="Arial"/>
        </w:rPr>
      </w:pPr>
      <w:r w:rsidRPr="0074361B">
        <w:rPr>
          <w:rFonts w:ascii="Arial" w:hAnsi="Arial" w:cs="Arial"/>
        </w:rPr>
        <w:tab/>
        <w:t>b. Informe de la autoridad sectorial competente</w:t>
      </w:r>
    </w:p>
    <w:p w:rsidR="0074361B" w:rsidRPr="0074361B" w:rsidRDefault="0074361B" w:rsidP="0074361B">
      <w:pPr>
        <w:spacing w:after="0" w:line="240" w:lineRule="auto"/>
        <w:jc w:val="both"/>
        <w:rPr>
          <w:rFonts w:ascii="Arial" w:hAnsi="Arial" w:cs="Arial"/>
        </w:rPr>
      </w:pPr>
      <w:r w:rsidRPr="0074361B">
        <w:rPr>
          <w:rFonts w:ascii="Arial" w:hAnsi="Arial" w:cs="Arial"/>
        </w:rPr>
        <w:tab/>
        <w:t>c. Evaluación de la solicitud y diagnóstico técnico - legal para la entrega provisional del terreno</w:t>
      </w:r>
    </w:p>
    <w:p w:rsidR="0074361B" w:rsidRPr="0074361B" w:rsidRDefault="0074361B" w:rsidP="0074361B">
      <w:pPr>
        <w:spacing w:after="0" w:line="240" w:lineRule="auto"/>
        <w:jc w:val="both"/>
        <w:rPr>
          <w:rFonts w:ascii="Arial" w:hAnsi="Arial" w:cs="Arial"/>
        </w:rPr>
      </w:pPr>
      <w:r w:rsidRPr="0074361B">
        <w:rPr>
          <w:rFonts w:ascii="Arial" w:hAnsi="Arial" w:cs="Arial"/>
        </w:rPr>
        <w:tab/>
        <w:t>d. Entrega provisional del terreno</w:t>
      </w:r>
    </w:p>
    <w:p w:rsidR="0074361B" w:rsidRPr="0074361B" w:rsidRDefault="0074361B" w:rsidP="0074361B">
      <w:pPr>
        <w:spacing w:after="0" w:line="240" w:lineRule="auto"/>
        <w:jc w:val="both"/>
        <w:rPr>
          <w:rFonts w:ascii="Arial" w:hAnsi="Arial" w:cs="Arial"/>
        </w:rPr>
      </w:pPr>
      <w:r w:rsidRPr="0074361B">
        <w:rPr>
          <w:rFonts w:ascii="Arial" w:hAnsi="Arial" w:cs="Arial"/>
        </w:rPr>
        <w:tab/>
        <w:t>e. Valuación del terreno y determinación de la contraprestación de la servidumbre.</w:t>
      </w:r>
    </w:p>
    <w:p w:rsidR="0074361B" w:rsidRPr="0074361B" w:rsidRDefault="0074361B" w:rsidP="0074361B">
      <w:pPr>
        <w:spacing w:after="0" w:line="240" w:lineRule="auto"/>
        <w:jc w:val="both"/>
        <w:rPr>
          <w:rFonts w:ascii="Arial" w:hAnsi="Arial" w:cs="Arial"/>
        </w:rPr>
      </w:pPr>
      <w:r w:rsidRPr="0074361B">
        <w:rPr>
          <w:rFonts w:ascii="Arial" w:hAnsi="Arial" w:cs="Arial"/>
        </w:rPr>
        <w:tab/>
        <w:t>f. Informe técnico - legal y acciones de saneamiento técnico - legal del terreno</w:t>
      </w:r>
    </w:p>
    <w:p w:rsidR="0074361B" w:rsidRPr="0074361B" w:rsidRDefault="0074361B" w:rsidP="0074361B">
      <w:pPr>
        <w:spacing w:after="0" w:line="240" w:lineRule="auto"/>
        <w:jc w:val="both"/>
        <w:rPr>
          <w:rFonts w:ascii="Arial" w:hAnsi="Arial" w:cs="Arial"/>
        </w:rPr>
      </w:pPr>
      <w:r w:rsidRPr="0074361B">
        <w:rPr>
          <w:rFonts w:ascii="Arial" w:hAnsi="Arial" w:cs="Arial"/>
        </w:rPr>
        <w:tab/>
        <w:t>g. Abandono del procedimiento</w:t>
      </w:r>
    </w:p>
    <w:p w:rsidR="0074361B" w:rsidRPr="0074361B" w:rsidRDefault="0074361B" w:rsidP="0074361B">
      <w:pPr>
        <w:spacing w:after="0" w:line="240" w:lineRule="auto"/>
        <w:jc w:val="both"/>
        <w:rPr>
          <w:rFonts w:ascii="Arial" w:hAnsi="Arial" w:cs="Arial"/>
        </w:rPr>
      </w:pPr>
      <w:r w:rsidRPr="0074361B">
        <w:rPr>
          <w:rFonts w:ascii="Arial" w:hAnsi="Arial" w:cs="Arial"/>
        </w:rPr>
        <w:tab/>
        <w:t>h. Remisión de expediente a las entidades</w:t>
      </w:r>
    </w:p>
    <w:p w:rsidR="0074361B" w:rsidRPr="0074361B" w:rsidRDefault="0074361B" w:rsidP="0074361B">
      <w:pPr>
        <w:spacing w:after="0" w:line="240" w:lineRule="auto"/>
        <w:jc w:val="both"/>
        <w:rPr>
          <w:rFonts w:ascii="Arial" w:hAnsi="Arial" w:cs="Arial"/>
        </w:rPr>
      </w:pPr>
      <w:r w:rsidRPr="0074361B">
        <w:rPr>
          <w:rFonts w:ascii="Arial" w:hAnsi="Arial" w:cs="Arial"/>
        </w:rPr>
        <w:tab/>
        <w:t>i. De la resolución de constitución de la servidumbre</w:t>
      </w:r>
    </w:p>
    <w:p w:rsidR="0074361B" w:rsidRPr="0074361B" w:rsidRDefault="0074361B" w:rsidP="0074361B">
      <w:pPr>
        <w:spacing w:after="0" w:line="240" w:lineRule="auto"/>
        <w:jc w:val="both"/>
        <w:rPr>
          <w:rFonts w:ascii="Arial" w:hAnsi="Arial" w:cs="Arial"/>
        </w:rPr>
      </w:pPr>
      <w:r w:rsidRPr="0074361B">
        <w:rPr>
          <w:rFonts w:ascii="Arial" w:hAnsi="Arial" w:cs="Arial"/>
        </w:rPr>
        <w:tab/>
        <w:t>j. Del pago de la contraprestación por la servidumbre</w:t>
      </w:r>
    </w:p>
    <w:p w:rsidR="0074361B" w:rsidRPr="0074361B" w:rsidRDefault="0074361B" w:rsidP="0074361B">
      <w:pPr>
        <w:spacing w:after="0" w:line="240" w:lineRule="auto"/>
        <w:jc w:val="both"/>
        <w:rPr>
          <w:rFonts w:ascii="Arial" w:hAnsi="Arial" w:cs="Arial"/>
        </w:rPr>
      </w:pPr>
      <w:r w:rsidRPr="0074361B">
        <w:rPr>
          <w:rFonts w:ascii="Arial" w:hAnsi="Arial" w:cs="Arial"/>
        </w:rPr>
        <w:tab/>
        <w:t>k. Del contrato de servidumbre</w:t>
      </w:r>
    </w:p>
    <w:p w:rsidR="0074361B" w:rsidRPr="0074361B" w:rsidRDefault="0074361B" w:rsidP="0074361B">
      <w:pPr>
        <w:spacing w:after="0" w:line="240" w:lineRule="auto"/>
        <w:jc w:val="both"/>
        <w:rPr>
          <w:rFonts w:ascii="Arial" w:hAnsi="Arial" w:cs="Arial"/>
        </w:rPr>
      </w:pPr>
      <w:r w:rsidRPr="0074361B">
        <w:rPr>
          <w:rFonts w:ascii="Arial" w:hAnsi="Arial" w:cs="Arial"/>
        </w:rPr>
        <w:tab/>
        <w:t>l. De la entrega definitiva del terreno</w:t>
      </w:r>
    </w:p>
    <w:p w:rsidR="0074361B" w:rsidRPr="0074361B" w:rsidRDefault="0074361B" w:rsidP="0074361B">
      <w:pPr>
        <w:spacing w:after="0" w:line="240" w:lineRule="auto"/>
        <w:jc w:val="both"/>
        <w:rPr>
          <w:rFonts w:ascii="Arial" w:hAnsi="Arial" w:cs="Arial"/>
        </w:rPr>
      </w:pPr>
      <w:r w:rsidRPr="0074361B">
        <w:rPr>
          <w:rFonts w:ascii="Arial" w:hAnsi="Arial" w:cs="Arial"/>
        </w:rPr>
        <w:tab/>
        <w:t>m. Liquidación y distribución de ingresos</w:t>
      </w:r>
    </w:p>
    <w:p w:rsidR="0074361B" w:rsidRPr="0074361B" w:rsidRDefault="0074361B" w:rsidP="0074361B">
      <w:pPr>
        <w:spacing w:after="0" w:line="240" w:lineRule="auto"/>
        <w:jc w:val="both"/>
        <w:rPr>
          <w:rFonts w:ascii="Arial" w:hAnsi="Arial" w:cs="Arial"/>
        </w:rPr>
      </w:pPr>
      <w:r w:rsidRPr="0074361B">
        <w:rPr>
          <w:rFonts w:ascii="Arial" w:hAnsi="Arial" w:cs="Arial"/>
        </w:rPr>
        <w:tab/>
        <w:t>n. De la actualización del SINABIP</w:t>
      </w:r>
    </w:p>
    <w:p w:rsidR="0074361B" w:rsidRPr="0074361B" w:rsidRDefault="0074361B" w:rsidP="0074361B">
      <w:pPr>
        <w:spacing w:after="0" w:line="240" w:lineRule="auto"/>
        <w:jc w:val="both"/>
        <w:rPr>
          <w:rFonts w:ascii="Arial" w:hAnsi="Arial" w:cs="Arial"/>
        </w:rPr>
      </w:pPr>
    </w:p>
    <w:p w:rsidR="0074361B" w:rsidRPr="0074361B" w:rsidRDefault="0074361B" w:rsidP="0074361B">
      <w:pPr>
        <w:spacing w:after="0" w:line="240" w:lineRule="auto"/>
        <w:jc w:val="both"/>
        <w:rPr>
          <w:rFonts w:ascii="Arial" w:hAnsi="Arial" w:cs="Arial"/>
        </w:rPr>
      </w:pPr>
      <w:r w:rsidRPr="0074361B">
        <w:rPr>
          <w:rFonts w:ascii="Arial" w:hAnsi="Arial" w:cs="Arial"/>
        </w:rPr>
        <w:t>Las etapas antes indicadas no son necesariamente sucesivas, las cuales dependen de la situación jurídica del terreno.</w:t>
      </w:r>
    </w:p>
    <w:p w:rsidR="005F4534" w:rsidRDefault="005F4534" w:rsidP="0074361B">
      <w:pPr>
        <w:spacing w:after="0" w:line="240" w:lineRule="auto"/>
        <w:jc w:val="both"/>
        <w:rPr>
          <w:rFonts w:ascii="Arial" w:hAnsi="Arial" w:cs="Arial"/>
        </w:rPr>
      </w:pPr>
    </w:p>
    <w:p w:rsidR="0074361B" w:rsidRPr="005F4534" w:rsidRDefault="0074361B" w:rsidP="0074361B">
      <w:pPr>
        <w:spacing w:after="0" w:line="240" w:lineRule="auto"/>
        <w:jc w:val="both"/>
        <w:rPr>
          <w:rFonts w:ascii="Arial" w:hAnsi="Arial" w:cs="Arial"/>
          <w:b/>
        </w:rPr>
      </w:pPr>
      <w:r w:rsidRPr="005F4534">
        <w:rPr>
          <w:rFonts w:ascii="Arial" w:hAnsi="Arial" w:cs="Arial"/>
          <w:b/>
        </w:rPr>
        <w:t>Artículo 7.- Presentación de la solicitud ante la autoridad sectorial competente</w:t>
      </w:r>
    </w:p>
    <w:p w:rsidR="0074361B" w:rsidRPr="0074361B" w:rsidRDefault="0074361B" w:rsidP="0074361B">
      <w:pPr>
        <w:spacing w:after="0" w:line="240" w:lineRule="auto"/>
        <w:jc w:val="both"/>
        <w:rPr>
          <w:rFonts w:ascii="Arial" w:hAnsi="Arial" w:cs="Arial"/>
        </w:rPr>
      </w:pPr>
      <w:r w:rsidRPr="0074361B">
        <w:rPr>
          <w:rFonts w:ascii="Arial" w:hAnsi="Arial" w:cs="Arial"/>
        </w:rPr>
        <w:t>El titular del proyecto de inversión presenta su solicitud de derecho de servidumbre ante la autoridad sectorial competente, acompañada de los requisitos que establece el numeral 18.1 del artículo 18 de la Ley, cumpliendo con lo siguiente:</w:t>
      </w:r>
    </w:p>
    <w:p w:rsidR="0074361B" w:rsidRPr="0074361B" w:rsidRDefault="0074361B" w:rsidP="0074361B">
      <w:pPr>
        <w:spacing w:after="0" w:line="240" w:lineRule="auto"/>
        <w:jc w:val="both"/>
        <w:rPr>
          <w:rFonts w:ascii="Arial" w:hAnsi="Arial" w:cs="Arial"/>
        </w:rPr>
      </w:pPr>
    </w:p>
    <w:p w:rsidR="0074361B" w:rsidRPr="0074361B" w:rsidRDefault="0074361B" w:rsidP="005F4534">
      <w:pPr>
        <w:spacing w:after="0" w:line="240" w:lineRule="auto"/>
        <w:ind w:left="851" w:hanging="567"/>
        <w:jc w:val="both"/>
        <w:rPr>
          <w:rFonts w:ascii="Arial" w:hAnsi="Arial" w:cs="Arial"/>
        </w:rPr>
      </w:pPr>
      <w:r w:rsidRPr="0074361B">
        <w:rPr>
          <w:rFonts w:ascii="Arial" w:hAnsi="Arial" w:cs="Arial"/>
        </w:rPr>
        <w:t xml:space="preserve">a) </w:t>
      </w:r>
      <w:r w:rsidR="005F4534">
        <w:rPr>
          <w:rFonts w:ascii="Arial" w:hAnsi="Arial" w:cs="Arial"/>
        </w:rPr>
        <w:tab/>
      </w:r>
      <w:r w:rsidRPr="0074361B">
        <w:rPr>
          <w:rFonts w:ascii="Arial" w:hAnsi="Arial" w:cs="Arial"/>
        </w:rPr>
        <w:t>Contener la identificación precisa del terreno eriazo de propiedad estatal, consignándose su condición, el área, la ubicación y los linderos del terreno requerido para el proyecto de inversión, la zonificación, edificaciones, inscripciones o existencia de ocupaciones y cargas, de ser el caso.</w:t>
      </w:r>
    </w:p>
    <w:p w:rsidR="0074361B" w:rsidRPr="0074361B" w:rsidRDefault="0074361B" w:rsidP="005F4534">
      <w:pPr>
        <w:spacing w:after="0" w:line="240" w:lineRule="auto"/>
        <w:ind w:left="851" w:hanging="567"/>
        <w:jc w:val="both"/>
        <w:rPr>
          <w:rFonts w:ascii="Arial" w:hAnsi="Arial" w:cs="Arial"/>
        </w:rPr>
      </w:pPr>
    </w:p>
    <w:p w:rsidR="0074361B" w:rsidRPr="0074361B" w:rsidRDefault="0074361B" w:rsidP="005F4534">
      <w:pPr>
        <w:spacing w:after="0" w:line="240" w:lineRule="auto"/>
        <w:ind w:left="851" w:hanging="567"/>
        <w:jc w:val="both"/>
        <w:rPr>
          <w:rFonts w:ascii="Arial" w:hAnsi="Arial" w:cs="Arial"/>
        </w:rPr>
      </w:pPr>
      <w:r w:rsidRPr="0074361B">
        <w:rPr>
          <w:rFonts w:ascii="Arial" w:hAnsi="Arial" w:cs="Arial"/>
        </w:rPr>
        <w:t xml:space="preserve">b) </w:t>
      </w:r>
      <w:r w:rsidR="005F4534">
        <w:rPr>
          <w:rFonts w:ascii="Arial" w:hAnsi="Arial" w:cs="Arial"/>
        </w:rPr>
        <w:tab/>
      </w:r>
      <w:r w:rsidRPr="0074361B">
        <w:rPr>
          <w:rFonts w:ascii="Arial" w:hAnsi="Arial" w:cs="Arial"/>
        </w:rPr>
        <w:t>Estar individualizada a un solo terreno, sin perjuicio de que se indique la relación de terrenos que comprende un mismo proyecto de inversión.</w:t>
      </w:r>
    </w:p>
    <w:p w:rsidR="0074361B" w:rsidRPr="0074361B" w:rsidRDefault="0074361B" w:rsidP="005F4534">
      <w:pPr>
        <w:spacing w:after="0" w:line="240" w:lineRule="auto"/>
        <w:ind w:left="851" w:hanging="567"/>
        <w:jc w:val="both"/>
        <w:rPr>
          <w:rFonts w:ascii="Arial" w:hAnsi="Arial" w:cs="Arial"/>
        </w:rPr>
      </w:pPr>
    </w:p>
    <w:p w:rsidR="0074361B" w:rsidRPr="0074361B" w:rsidRDefault="0074361B" w:rsidP="005F4534">
      <w:pPr>
        <w:spacing w:after="0" w:line="240" w:lineRule="auto"/>
        <w:ind w:left="851" w:hanging="567"/>
        <w:jc w:val="both"/>
        <w:rPr>
          <w:rFonts w:ascii="Arial" w:hAnsi="Arial" w:cs="Arial"/>
        </w:rPr>
      </w:pPr>
      <w:r w:rsidRPr="0074361B">
        <w:rPr>
          <w:rFonts w:ascii="Arial" w:hAnsi="Arial" w:cs="Arial"/>
        </w:rPr>
        <w:t xml:space="preserve">c) </w:t>
      </w:r>
      <w:r w:rsidR="005F4534">
        <w:rPr>
          <w:rFonts w:ascii="Arial" w:hAnsi="Arial" w:cs="Arial"/>
        </w:rPr>
        <w:tab/>
      </w:r>
      <w:r w:rsidRPr="0074361B">
        <w:rPr>
          <w:rFonts w:ascii="Arial" w:hAnsi="Arial" w:cs="Arial"/>
        </w:rPr>
        <w:t>Adjuntar los siguientes documentos:</w:t>
      </w:r>
    </w:p>
    <w:p w:rsidR="0074361B" w:rsidRPr="0074361B" w:rsidRDefault="0074361B" w:rsidP="0074361B">
      <w:pPr>
        <w:spacing w:after="0" w:line="240" w:lineRule="auto"/>
        <w:jc w:val="both"/>
        <w:rPr>
          <w:rFonts w:ascii="Arial" w:hAnsi="Arial" w:cs="Arial"/>
        </w:rPr>
      </w:pPr>
    </w:p>
    <w:p w:rsidR="0074361B" w:rsidRPr="0074361B" w:rsidRDefault="0074361B" w:rsidP="005F4534">
      <w:pPr>
        <w:spacing w:after="0" w:line="240" w:lineRule="auto"/>
        <w:ind w:left="1418" w:hanging="567"/>
        <w:jc w:val="both"/>
        <w:rPr>
          <w:rFonts w:ascii="Arial" w:hAnsi="Arial" w:cs="Arial"/>
        </w:rPr>
      </w:pPr>
      <w:r w:rsidRPr="0074361B">
        <w:rPr>
          <w:rFonts w:ascii="Arial" w:hAnsi="Arial" w:cs="Arial"/>
        </w:rPr>
        <w:t xml:space="preserve">c.1 </w:t>
      </w:r>
      <w:r w:rsidR="005F4534">
        <w:rPr>
          <w:rFonts w:ascii="Arial" w:hAnsi="Arial" w:cs="Arial"/>
        </w:rPr>
        <w:tab/>
      </w:r>
      <w:r w:rsidRPr="0074361B">
        <w:rPr>
          <w:rFonts w:ascii="Arial" w:hAnsi="Arial" w:cs="Arial"/>
        </w:rPr>
        <w:t>El plano perimétrico a una escala apropiada que permita visualizar el polígono del terreno de la servidumbre solicitada, área, linderos, ángulos y medidas perimétricas, y en soporte físico (papel) y archivo digital (CD - ROM).</w:t>
      </w:r>
    </w:p>
    <w:p w:rsidR="0074361B" w:rsidRPr="0074361B" w:rsidRDefault="0074361B" w:rsidP="005F4534">
      <w:pPr>
        <w:spacing w:after="0" w:line="240" w:lineRule="auto"/>
        <w:ind w:left="1418" w:hanging="567"/>
        <w:jc w:val="both"/>
        <w:rPr>
          <w:rFonts w:ascii="Arial" w:hAnsi="Arial" w:cs="Arial"/>
        </w:rPr>
      </w:pPr>
    </w:p>
    <w:p w:rsidR="0074361B" w:rsidRPr="0074361B" w:rsidRDefault="0074361B" w:rsidP="005F4534">
      <w:pPr>
        <w:spacing w:after="0" w:line="240" w:lineRule="auto"/>
        <w:ind w:left="1418" w:hanging="567"/>
        <w:jc w:val="both"/>
        <w:rPr>
          <w:rFonts w:ascii="Arial" w:hAnsi="Arial" w:cs="Arial"/>
        </w:rPr>
      </w:pPr>
      <w:r w:rsidRPr="0074361B">
        <w:rPr>
          <w:rFonts w:ascii="Arial" w:hAnsi="Arial" w:cs="Arial"/>
        </w:rPr>
        <w:t xml:space="preserve">c.2 </w:t>
      </w:r>
      <w:r w:rsidR="005F4534">
        <w:rPr>
          <w:rFonts w:ascii="Arial" w:hAnsi="Arial" w:cs="Arial"/>
        </w:rPr>
        <w:tab/>
      </w:r>
      <w:r w:rsidRPr="0074361B">
        <w:rPr>
          <w:rFonts w:ascii="Arial" w:hAnsi="Arial" w:cs="Arial"/>
        </w:rPr>
        <w:t>El plano perimétrico y su correspondiente memoria descriptiva deben estar suscritos por ingeniero o arquitecto colegiado y habilitado.</w:t>
      </w:r>
    </w:p>
    <w:p w:rsidR="0074361B" w:rsidRPr="0074361B" w:rsidRDefault="0074361B" w:rsidP="005F4534">
      <w:pPr>
        <w:spacing w:after="0" w:line="240" w:lineRule="auto"/>
        <w:ind w:left="1418" w:hanging="567"/>
        <w:jc w:val="both"/>
        <w:rPr>
          <w:rFonts w:ascii="Arial" w:hAnsi="Arial" w:cs="Arial"/>
        </w:rPr>
      </w:pPr>
    </w:p>
    <w:p w:rsidR="0074361B" w:rsidRPr="0074361B" w:rsidRDefault="0074361B" w:rsidP="005F4534">
      <w:pPr>
        <w:spacing w:after="0" w:line="240" w:lineRule="auto"/>
        <w:ind w:left="1418" w:hanging="567"/>
        <w:jc w:val="both"/>
        <w:rPr>
          <w:rFonts w:ascii="Arial" w:hAnsi="Arial" w:cs="Arial"/>
        </w:rPr>
      </w:pPr>
      <w:r w:rsidRPr="0074361B">
        <w:rPr>
          <w:rFonts w:ascii="Arial" w:hAnsi="Arial" w:cs="Arial"/>
        </w:rPr>
        <w:t xml:space="preserve">c.3 </w:t>
      </w:r>
      <w:r w:rsidR="005F4534">
        <w:rPr>
          <w:rFonts w:ascii="Arial" w:hAnsi="Arial" w:cs="Arial"/>
        </w:rPr>
        <w:tab/>
      </w:r>
      <w:r w:rsidRPr="0074361B">
        <w:rPr>
          <w:rFonts w:ascii="Arial" w:hAnsi="Arial" w:cs="Arial"/>
        </w:rPr>
        <w:t>La declaración jurada firmada por el representante del titular del proyecto indicando que el terreno solicitado no se encuentra ocupado por Comunidades Nativas o Comunidades Campesinas.</w:t>
      </w:r>
    </w:p>
    <w:p w:rsidR="0074361B" w:rsidRPr="0074361B" w:rsidRDefault="0074361B" w:rsidP="005F4534">
      <w:pPr>
        <w:spacing w:after="0" w:line="240" w:lineRule="auto"/>
        <w:ind w:left="1418" w:hanging="567"/>
        <w:jc w:val="both"/>
        <w:rPr>
          <w:rFonts w:ascii="Arial" w:hAnsi="Arial" w:cs="Arial"/>
        </w:rPr>
      </w:pPr>
    </w:p>
    <w:p w:rsidR="0074361B" w:rsidRPr="0074361B" w:rsidRDefault="0074361B" w:rsidP="005F4534">
      <w:pPr>
        <w:spacing w:after="0" w:line="240" w:lineRule="auto"/>
        <w:ind w:left="1418" w:hanging="567"/>
        <w:jc w:val="both"/>
        <w:rPr>
          <w:rFonts w:ascii="Arial" w:hAnsi="Arial" w:cs="Arial"/>
        </w:rPr>
      </w:pPr>
      <w:r w:rsidRPr="0074361B">
        <w:rPr>
          <w:rFonts w:ascii="Arial" w:hAnsi="Arial" w:cs="Arial"/>
        </w:rPr>
        <w:t xml:space="preserve">c.4 </w:t>
      </w:r>
      <w:r w:rsidR="005F4534">
        <w:rPr>
          <w:rFonts w:ascii="Arial" w:hAnsi="Arial" w:cs="Arial"/>
        </w:rPr>
        <w:tab/>
      </w:r>
      <w:r w:rsidRPr="0074361B">
        <w:rPr>
          <w:rFonts w:ascii="Arial" w:hAnsi="Arial" w:cs="Arial"/>
        </w:rPr>
        <w:t>El Certificado de Búsqueda Catastral emitido por la SUNARP con una antigüedad no mayor de sesenta (60) días hábiles contados a partir de su expedición.</w:t>
      </w:r>
    </w:p>
    <w:p w:rsidR="0074361B" w:rsidRPr="0074361B" w:rsidRDefault="0074361B" w:rsidP="0074361B">
      <w:pPr>
        <w:spacing w:after="0" w:line="240" w:lineRule="auto"/>
        <w:jc w:val="both"/>
        <w:rPr>
          <w:rFonts w:ascii="Arial" w:hAnsi="Arial" w:cs="Arial"/>
        </w:rPr>
      </w:pPr>
    </w:p>
    <w:p w:rsidR="0074361B" w:rsidRPr="0074361B" w:rsidRDefault="0074361B" w:rsidP="0074361B">
      <w:pPr>
        <w:spacing w:after="0" w:line="240" w:lineRule="auto"/>
        <w:jc w:val="both"/>
        <w:rPr>
          <w:rFonts w:ascii="Arial" w:hAnsi="Arial" w:cs="Arial"/>
        </w:rPr>
      </w:pPr>
      <w:r w:rsidRPr="0074361B">
        <w:rPr>
          <w:rFonts w:ascii="Arial" w:hAnsi="Arial" w:cs="Arial"/>
        </w:rPr>
        <w:t>De manera adicional a lo antes indicado y cuando corresponda por la ubicación del terreno solicitado, el titular del proyecto de inversión adjunta la certificación de ubicación de punto, línea o polígono relacionados con Áreas Naturales Protegidas y su Zona de Amortiguamiento, emitido por el SERNANP.</w:t>
      </w:r>
    </w:p>
    <w:p w:rsidR="0074361B" w:rsidRPr="0074361B" w:rsidRDefault="0074361B" w:rsidP="0074361B">
      <w:pPr>
        <w:spacing w:after="0" w:line="240" w:lineRule="auto"/>
        <w:jc w:val="both"/>
        <w:rPr>
          <w:rFonts w:ascii="Arial" w:hAnsi="Arial" w:cs="Arial"/>
        </w:rPr>
      </w:pPr>
    </w:p>
    <w:p w:rsidR="0074361B" w:rsidRPr="005F4534" w:rsidRDefault="0074361B" w:rsidP="0074361B">
      <w:pPr>
        <w:spacing w:after="0" w:line="240" w:lineRule="auto"/>
        <w:jc w:val="both"/>
        <w:rPr>
          <w:rFonts w:ascii="Arial" w:hAnsi="Arial" w:cs="Arial"/>
          <w:b/>
        </w:rPr>
      </w:pPr>
      <w:r w:rsidRPr="005F4534">
        <w:rPr>
          <w:rFonts w:ascii="Arial" w:hAnsi="Arial" w:cs="Arial"/>
          <w:b/>
        </w:rPr>
        <w:t>Artículo 8.- Informe de la autoridad sectorial competente</w:t>
      </w:r>
    </w:p>
    <w:p w:rsidR="0074361B" w:rsidRPr="0074361B" w:rsidRDefault="0074361B" w:rsidP="0074361B">
      <w:pPr>
        <w:spacing w:after="0" w:line="240" w:lineRule="auto"/>
        <w:jc w:val="both"/>
        <w:rPr>
          <w:rFonts w:ascii="Arial" w:hAnsi="Arial" w:cs="Arial"/>
        </w:rPr>
      </w:pPr>
    </w:p>
    <w:p w:rsidR="0074361B" w:rsidRPr="0074361B" w:rsidRDefault="0074361B" w:rsidP="005F4534">
      <w:pPr>
        <w:spacing w:after="0" w:line="240" w:lineRule="auto"/>
        <w:ind w:left="709" w:hanging="567"/>
        <w:jc w:val="both"/>
        <w:rPr>
          <w:rFonts w:ascii="Arial" w:hAnsi="Arial" w:cs="Arial"/>
        </w:rPr>
      </w:pPr>
      <w:r w:rsidRPr="0074361B">
        <w:rPr>
          <w:rFonts w:ascii="Arial" w:hAnsi="Arial" w:cs="Arial"/>
        </w:rPr>
        <w:t xml:space="preserve">8.1 </w:t>
      </w:r>
      <w:r w:rsidR="005F4534">
        <w:rPr>
          <w:rFonts w:ascii="Arial" w:hAnsi="Arial" w:cs="Arial"/>
        </w:rPr>
        <w:tab/>
      </w:r>
      <w:r w:rsidRPr="0074361B">
        <w:rPr>
          <w:rFonts w:ascii="Arial" w:hAnsi="Arial" w:cs="Arial"/>
        </w:rPr>
        <w:t>El informe que la autoridad sectorial competente remite a la SBN, debe estar acompañado de los documentos indicados en los literales a) al d) del numeral 18.1 del artículo 18 de la Ley, contando como mínimo con lo siguiente:</w:t>
      </w:r>
    </w:p>
    <w:p w:rsidR="0074361B" w:rsidRPr="0074361B" w:rsidRDefault="0074361B" w:rsidP="005F4534">
      <w:pPr>
        <w:spacing w:after="0" w:line="240" w:lineRule="auto"/>
        <w:ind w:left="709" w:hanging="567"/>
        <w:jc w:val="both"/>
        <w:rPr>
          <w:rFonts w:ascii="Arial" w:hAnsi="Arial" w:cs="Arial"/>
        </w:rPr>
      </w:pPr>
    </w:p>
    <w:p w:rsidR="0074361B" w:rsidRPr="0074361B" w:rsidRDefault="0074361B" w:rsidP="005F4534">
      <w:pPr>
        <w:spacing w:after="0" w:line="240" w:lineRule="auto"/>
        <w:ind w:left="1701" w:hanging="567"/>
        <w:jc w:val="both"/>
        <w:rPr>
          <w:rFonts w:ascii="Arial" w:hAnsi="Arial" w:cs="Arial"/>
        </w:rPr>
      </w:pPr>
      <w:r w:rsidRPr="0074361B">
        <w:rPr>
          <w:rFonts w:ascii="Arial" w:hAnsi="Arial" w:cs="Arial"/>
        </w:rPr>
        <w:t xml:space="preserve">a) </w:t>
      </w:r>
      <w:r w:rsidR="005F4534">
        <w:rPr>
          <w:rFonts w:ascii="Arial" w:hAnsi="Arial" w:cs="Arial"/>
        </w:rPr>
        <w:tab/>
      </w:r>
      <w:r w:rsidRPr="0074361B">
        <w:rPr>
          <w:rFonts w:ascii="Arial" w:hAnsi="Arial" w:cs="Arial"/>
        </w:rPr>
        <w:t>La identificación y calificación del proyecto como proyecto de inversión, con indicación expresa de la actividad económica a desarrollarse, de las concesiones que se hubieran otorgado en el área solicitada, de ser el caso, el plazo de ejecución del proyecto y la condición para que, en caso de incumplimiento, se pueda disponer la extinción de la servidumbre.</w:t>
      </w:r>
    </w:p>
    <w:p w:rsidR="0074361B" w:rsidRPr="0074361B" w:rsidRDefault="0074361B" w:rsidP="005F4534">
      <w:pPr>
        <w:spacing w:after="0" w:line="240" w:lineRule="auto"/>
        <w:ind w:left="1701" w:hanging="567"/>
        <w:jc w:val="both"/>
        <w:rPr>
          <w:rFonts w:ascii="Arial" w:hAnsi="Arial" w:cs="Arial"/>
        </w:rPr>
      </w:pPr>
    </w:p>
    <w:p w:rsidR="0074361B" w:rsidRPr="0074361B" w:rsidRDefault="0074361B" w:rsidP="005F4534">
      <w:pPr>
        <w:spacing w:after="0" w:line="240" w:lineRule="auto"/>
        <w:ind w:left="1701" w:hanging="567"/>
        <w:jc w:val="both"/>
        <w:rPr>
          <w:rFonts w:ascii="Arial" w:hAnsi="Arial" w:cs="Arial"/>
        </w:rPr>
      </w:pPr>
      <w:r w:rsidRPr="0074361B">
        <w:rPr>
          <w:rFonts w:ascii="Arial" w:hAnsi="Arial" w:cs="Arial"/>
        </w:rPr>
        <w:t xml:space="preserve">b) </w:t>
      </w:r>
      <w:r w:rsidR="005F4534">
        <w:rPr>
          <w:rFonts w:ascii="Arial" w:hAnsi="Arial" w:cs="Arial"/>
        </w:rPr>
        <w:tab/>
      </w:r>
      <w:r w:rsidRPr="0074361B">
        <w:rPr>
          <w:rFonts w:ascii="Arial" w:hAnsi="Arial" w:cs="Arial"/>
        </w:rPr>
        <w:t>El plazo por el cual se constituirá el derecho de servidumbre.</w:t>
      </w:r>
    </w:p>
    <w:p w:rsidR="0074361B" w:rsidRPr="0074361B" w:rsidRDefault="0074361B" w:rsidP="005F4534">
      <w:pPr>
        <w:spacing w:after="0" w:line="240" w:lineRule="auto"/>
        <w:ind w:left="1701" w:hanging="567"/>
        <w:jc w:val="both"/>
        <w:rPr>
          <w:rFonts w:ascii="Arial" w:hAnsi="Arial" w:cs="Arial"/>
        </w:rPr>
      </w:pPr>
    </w:p>
    <w:p w:rsidR="0074361B" w:rsidRPr="0074361B" w:rsidRDefault="0074361B" w:rsidP="005F4534">
      <w:pPr>
        <w:spacing w:after="0" w:line="240" w:lineRule="auto"/>
        <w:ind w:left="1701" w:hanging="567"/>
        <w:jc w:val="both"/>
        <w:rPr>
          <w:rFonts w:ascii="Arial" w:hAnsi="Arial" w:cs="Arial"/>
        </w:rPr>
      </w:pPr>
      <w:r w:rsidRPr="0074361B">
        <w:rPr>
          <w:rFonts w:ascii="Arial" w:hAnsi="Arial" w:cs="Arial"/>
        </w:rPr>
        <w:t xml:space="preserve">c) </w:t>
      </w:r>
      <w:r w:rsidR="005F4534">
        <w:rPr>
          <w:rFonts w:ascii="Arial" w:hAnsi="Arial" w:cs="Arial"/>
        </w:rPr>
        <w:tab/>
      </w:r>
      <w:r w:rsidRPr="0074361B">
        <w:rPr>
          <w:rFonts w:ascii="Arial" w:hAnsi="Arial" w:cs="Arial"/>
        </w:rPr>
        <w:t>El área de terreno necesaria para desarrollar el proyecto de inversión, debiendo sustentarse la relación directa de toda el área solicitada con el proyecto.</w:t>
      </w:r>
    </w:p>
    <w:p w:rsidR="0074361B" w:rsidRPr="0074361B" w:rsidRDefault="0074361B" w:rsidP="005F4534">
      <w:pPr>
        <w:spacing w:after="0" w:line="240" w:lineRule="auto"/>
        <w:ind w:left="1701" w:hanging="567"/>
        <w:jc w:val="both"/>
        <w:rPr>
          <w:rFonts w:ascii="Arial" w:hAnsi="Arial" w:cs="Arial"/>
        </w:rPr>
      </w:pPr>
    </w:p>
    <w:p w:rsidR="0074361B" w:rsidRPr="0074361B" w:rsidRDefault="0074361B" w:rsidP="005F4534">
      <w:pPr>
        <w:spacing w:after="0" w:line="240" w:lineRule="auto"/>
        <w:ind w:left="1701" w:hanging="567"/>
        <w:jc w:val="both"/>
        <w:rPr>
          <w:rFonts w:ascii="Arial" w:hAnsi="Arial" w:cs="Arial"/>
        </w:rPr>
      </w:pPr>
      <w:r w:rsidRPr="0074361B">
        <w:rPr>
          <w:rFonts w:ascii="Arial" w:hAnsi="Arial" w:cs="Arial"/>
        </w:rPr>
        <w:t xml:space="preserve">d) </w:t>
      </w:r>
      <w:r w:rsidR="005F4534">
        <w:rPr>
          <w:rFonts w:ascii="Arial" w:hAnsi="Arial" w:cs="Arial"/>
        </w:rPr>
        <w:tab/>
      </w:r>
      <w:r w:rsidRPr="0074361B">
        <w:rPr>
          <w:rFonts w:ascii="Arial" w:hAnsi="Arial" w:cs="Arial"/>
        </w:rPr>
        <w:t>La opinión técnica favorable sobre el proyecto de inversión y sobre lo indicado en los literales a) b) y c) del presente artículo.</w:t>
      </w:r>
    </w:p>
    <w:p w:rsidR="0074361B" w:rsidRPr="0074361B" w:rsidRDefault="0074361B" w:rsidP="005F4534">
      <w:pPr>
        <w:spacing w:after="0" w:line="240" w:lineRule="auto"/>
        <w:ind w:left="709" w:hanging="567"/>
        <w:jc w:val="both"/>
        <w:rPr>
          <w:rFonts w:ascii="Arial" w:hAnsi="Arial" w:cs="Arial"/>
        </w:rPr>
      </w:pPr>
    </w:p>
    <w:p w:rsidR="0074361B" w:rsidRPr="0074361B" w:rsidRDefault="0074361B" w:rsidP="005F4534">
      <w:pPr>
        <w:spacing w:after="0" w:line="240" w:lineRule="auto"/>
        <w:ind w:left="709" w:hanging="567"/>
        <w:jc w:val="both"/>
        <w:rPr>
          <w:rFonts w:ascii="Arial" w:hAnsi="Arial" w:cs="Arial"/>
        </w:rPr>
      </w:pPr>
      <w:r w:rsidRPr="0074361B">
        <w:rPr>
          <w:rFonts w:ascii="Arial" w:hAnsi="Arial" w:cs="Arial"/>
        </w:rPr>
        <w:tab/>
        <w:t>En el supuesto previsto en el numeral 18.3 del artículo 18 de la Ley referido al caso de existir indicios de la existencia de Comunidades Campesinas o Comunidades Nativas, la autoridad sectorial competente remite el acta de constatación y verificación del Ministerio de Cultura o del Gobierno Regional, emitida respecto del plano del área solicitada en servidumbre.</w:t>
      </w:r>
    </w:p>
    <w:p w:rsidR="0074361B" w:rsidRPr="0074361B" w:rsidRDefault="0074361B" w:rsidP="005F4534">
      <w:pPr>
        <w:spacing w:after="0" w:line="240" w:lineRule="auto"/>
        <w:ind w:left="709" w:hanging="567"/>
        <w:jc w:val="both"/>
        <w:rPr>
          <w:rFonts w:ascii="Arial" w:hAnsi="Arial" w:cs="Arial"/>
        </w:rPr>
      </w:pPr>
    </w:p>
    <w:p w:rsidR="0074361B" w:rsidRPr="0074361B" w:rsidRDefault="0074361B" w:rsidP="005F4534">
      <w:pPr>
        <w:spacing w:after="0" w:line="240" w:lineRule="auto"/>
        <w:ind w:left="709" w:hanging="567"/>
        <w:jc w:val="both"/>
        <w:rPr>
          <w:rFonts w:ascii="Arial" w:hAnsi="Arial" w:cs="Arial"/>
        </w:rPr>
      </w:pPr>
      <w:r w:rsidRPr="0074361B">
        <w:rPr>
          <w:rFonts w:ascii="Arial" w:hAnsi="Arial" w:cs="Arial"/>
        </w:rPr>
        <w:t xml:space="preserve">8.2 </w:t>
      </w:r>
      <w:r w:rsidR="005F4534">
        <w:rPr>
          <w:rFonts w:ascii="Arial" w:hAnsi="Arial" w:cs="Arial"/>
        </w:rPr>
        <w:tab/>
      </w:r>
      <w:r w:rsidRPr="0074361B">
        <w:rPr>
          <w:rFonts w:ascii="Arial" w:hAnsi="Arial" w:cs="Arial"/>
        </w:rPr>
        <w:t>El informe se remite a la SBN en el plazo máximo de diez (10) hábiles contados desde la presentación de la solicitud por el titular del proyecto de inversión. Dentro de dicho plazo la autoridad sectorial competente puede requerir la información complementaria o faltante al titular del proyecto de inversión, quien la presenta en el plazo máximo de tres (03) días hábiles contados desde la notificación del requerimiento. Si el requerimiento no es atendido conforme a lo antes indicado, la autoridad sectorial rechaza la solicitud y devuelve el expediente al titular del proyecto. En caso que el titular del proyecto atienda el requerimiento, la autoridad sectorial competente emite el informe antes indicado.</w:t>
      </w:r>
    </w:p>
    <w:p w:rsidR="0074361B" w:rsidRPr="0074361B" w:rsidRDefault="0074361B" w:rsidP="005F4534">
      <w:pPr>
        <w:spacing w:after="0" w:line="240" w:lineRule="auto"/>
        <w:ind w:left="709" w:hanging="567"/>
        <w:jc w:val="both"/>
        <w:rPr>
          <w:rFonts w:ascii="Arial" w:hAnsi="Arial" w:cs="Arial"/>
        </w:rPr>
      </w:pPr>
    </w:p>
    <w:p w:rsidR="0074361B" w:rsidRPr="0074361B" w:rsidRDefault="0074361B" w:rsidP="005F4534">
      <w:pPr>
        <w:spacing w:after="0" w:line="240" w:lineRule="auto"/>
        <w:ind w:left="709" w:hanging="567"/>
        <w:jc w:val="both"/>
        <w:rPr>
          <w:rFonts w:ascii="Arial" w:hAnsi="Arial" w:cs="Arial"/>
        </w:rPr>
      </w:pPr>
      <w:r w:rsidRPr="0074361B">
        <w:rPr>
          <w:rFonts w:ascii="Arial" w:hAnsi="Arial" w:cs="Arial"/>
        </w:rPr>
        <w:t xml:space="preserve">8.3 </w:t>
      </w:r>
      <w:r w:rsidR="005F4534">
        <w:rPr>
          <w:rFonts w:ascii="Arial" w:hAnsi="Arial" w:cs="Arial"/>
        </w:rPr>
        <w:tab/>
      </w:r>
      <w:r w:rsidRPr="0074361B">
        <w:rPr>
          <w:rFonts w:ascii="Arial" w:hAnsi="Arial" w:cs="Arial"/>
        </w:rPr>
        <w:t>Toda solicitud de ampliación del área para servidumbre es efectuada ante la autoridad sectorial competente, y de encontrarla conforme, remite a la SBN un informe ampliatorio con los requisitos previstos en el presente Reglamento.</w:t>
      </w:r>
    </w:p>
    <w:p w:rsidR="0074361B" w:rsidRPr="0074361B" w:rsidRDefault="0074361B" w:rsidP="005F4534">
      <w:pPr>
        <w:spacing w:after="0" w:line="240" w:lineRule="auto"/>
        <w:ind w:left="709" w:hanging="567"/>
        <w:jc w:val="both"/>
        <w:rPr>
          <w:rFonts w:ascii="Arial" w:hAnsi="Arial" w:cs="Arial"/>
        </w:rPr>
      </w:pPr>
    </w:p>
    <w:p w:rsidR="0074361B" w:rsidRPr="0074361B" w:rsidRDefault="0074361B" w:rsidP="005F4534">
      <w:pPr>
        <w:spacing w:after="0" w:line="240" w:lineRule="auto"/>
        <w:ind w:left="709" w:hanging="567"/>
        <w:jc w:val="both"/>
        <w:rPr>
          <w:rFonts w:ascii="Arial" w:hAnsi="Arial" w:cs="Arial"/>
        </w:rPr>
      </w:pPr>
      <w:r w:rsidRPr="0074361B">
        <w:rPr>
          <w:rFonts w:ascii="Arial" w:hAnsi="Arial" w:cs="Arial"/>
        </w:rPr>
        <w:tab/>
        <w:t>En caso que la autoridad sectorial requiera información complementaria o faltante al titular del proyecto o solicite documentación a otras entidades, que sean necesarias para la formulación de su informe, el cómputo del plazo de los diez (10) días hábiles se suspende hasta que el titular del proyecto presente dentro del plazo la documentación requerida o la entidad remita la información solicitada.</w:t>
      </w:r>
    </w:p>
    <w:p w:rsidR="0074361B" w:rsidRPr="0074361B" w:rsidRDefault="0074361B" w:rsidP="0074361B">
      <w:pPr>
        <w:spacing w:after="0" w:line="240" w:lineRule="auto"/>
        <w:jc w:val="both"/>
        <w:rPr>
          <w:rFonts w:ascii="Arial" w:hAnsi="Arial" w:cs="Arial"/>
        </w:rPr>
      </w:pPr>
    </w:p>
    <w:p w:rsidR="0074361B" w:rsidRPr="005F4534" w:rsidRDefault="0074361B" w:rsidP="0074361B">
      <w:pPr>
        <w:spacing w:after="0" w:line="240" w:lineRule="auto"/>
        <w:jc w:val="both"/>
        <w:rPr>
          <w:rFonts w:ascii="Arial" w:hAnsi="Arial" w:cs="Arial"/>
          <w:b/>
        </w:rPr>
      </w:pPr>
      <w:r w:rsidRPr="005F4534">
        <w:rPr>
          <w:rFonts w:ascii="Arial" w:hAnsi="Arial" w:cs="Arial"/>
          <w:b/>
        </w:rPr>
        <w:t>Artículo 9.- Evaluación de la solicitud y diagnóstico técnico - legal para la entrega provisional del terreno</w:t>
      </w:r>
    </w:p>
    <w:p w:rsidR="0074361B" w:rsidRPr="0074361B" w:rsidRDefault="0074361B" w:rsidP="0074361B">
      <w:pPr>
        <w:spacing w:after="0" w:line="240" w:lineRule="auto"/>
        <w:jc w:val="both"/>
        <w:rPr>
          <w:rFonts w:ascii="Arial" w:hAnsi="Arial" w:cs="Arial"/>
        </w:rPr>
      </w:pPr>
    </w:p>
    <w:p w:rsidR="0074361B" w:rsidRPr="0074361B" w:rsidRDefault="0074361B" w:rsidP="005F4534">
      <w:pPr>
        <w:spacing w:after="0" w:line="240" w:lineRule="auto"/>
        <w:ind w:left="709" w:hanging="567"/>
        <w:jc w:val="both"/>
        <w:rPr>
          <w:rFonts w:ascii="Arial" w:hAnsi="Arial" w:cs="Arial"/>
        </w:rPr>
      </w:pPr>
      <w:r w:rsidRPr="0074361B">
        <w:rPr>
          <w:rFonts w:ascii="Arial" w:hAnsi="Arial" w:cs="Arial"/>
        </w:rPr>
        <w:t xml:space="preserve">9.1 </w:t>
      </w:r>
      <w:r w:rsidR="005F4534">
        <w:rPr>
          <w:rFonts w:ascii="Arial" w:hAnsi="Arial" w:cs="Arial"/>
        </w:rPr>
        <w:tab/>
      </w:r>
      <w:r w:rsidRPr="0074361B">
        <w:rPr>
          <w:rFonts w:ascii="Arial" w:hAnsi="Arial" w:cs="Arial"/>
        </w:rPr>
        <w:t>Recibido el informe favorable de la autoridad sectorial competente, en el plazo máximo de quince (15) días hábiles contados desde su recepción, la SBN efectúa el diagnóstico técnico - legal para la entrega provisional del terreno materia de solicitud de constitución de derecho de servidumbre, para lo cual, en el plazo de cinco (05) días hábiles contados desde la recepción de dichos documentos, procede a verificar y evaluar la documentación presentada y, de ser necesario, puede efectuar las acciones siguientes:</w:t>
      </w:r>
    </w:p>
    <w:p w:rsidR="0074361B" w:rsidRPr="0074361B" w:rsidRDefault="0074361B" w:rsidP="005F4534">
      <w:pPr>
        <w:spacing w:after="0" w:line="240" w:lineRule="auto"/>
        <w:ind w:left="709" w:hanging="567"/>
        <w:jc w:val="both"/>
        <w:rPr>
          <w:rFonts w:ascii="Arial" w:hAnsi="Arial" w:cs="Arial"/>
        </w:rPr>
      </w:pPr>
    </w:p>
    <w:p w:rsidR="0074361B" w:rsidRPr="0074361B" w:rsidRDefault="0074361B" w:rsidP="005F4534">
      <w:pPr>
        <w:spacing w:after="0" w:line="240" w:lineRule="auto"/>
        <w:ind w:left="1418" w:hanging="567"/>
        <w:jc w:val="both"/>
        <w:rPr>
          <w:rFonts w:ascii="Arial" w:hAnsi="Arial" w:cs="Arial"/>
        </w:rPr>
      </w:pPr>
      <w:r w:rsidRPr="0074361B">
        <w:rPr>
          <w:rFonts w:ascii="Arial" w:hAnsi="Arial" w:cs="Arial"/>
        </w:rPr>
        <w:t xml:space="preserve">a) </w:t>
      </w:r>
      <w:r w:rsidR="005F4534">
        <w:rPr>
          <w:rFonts w:ascii="Arial" w:hAnsi="Arial" w:cs="Arial"/>
        </w:rPr>
        <w:tab/>
      </w:r>
      <w:r w:rsidRPr="0074361B">
        <w:rPr>
          <w:rFonts w:ascii="Arial" w:hAnsi="Arial" w:cs="Arial"/>
        </w:rPr>
        <w:t>Requerir a la autoridad sectorial competente o al titular del proyecto, para que en el plazo de cinco (05) días hábiles, computados a partir del día siguiente de su notificación, subsane las observaciones advertidas.</w:t>
      </w:r>
    </w:p>
    <w:p w:rsidR="0074361B" w:rsidRPr="0074361B" w:rsidRDefault="0074361B" w:rsidP="005F4534">
      <w:pPr>
        <w:spacing w:after="0" w:line="240" w:lineRule="auto"/>
        <w:ind w:left="1418" w:hanging="567"/>
        <w:jc w:val="both"/>
        <w:rPr>
          <w:rFonts w:ascii="Arial" w:hAnsi="Arial" w:cs="Arial"/>
        </w:rPr>
      </w:pPr>
    </w:p>
    <w:p w:rsidR="0074361B" w:rsidRPr="0074361B" w:rsidRDefault="0074361B" w:rsidP="005F4534">
      <w:pPr>
        <w:spacing w:after="0" w:line="240" w:lineRule="auto"/>
        <w:ind w:left="1418" w:hanging="567"/>
        <w:jc w:val="both"/>
        <w:rPr>
          <w:rFonts w:ascii="Arial" w:hAnsi="Arial" w:cs="Arial"/>
        </w:rPr>
      </w:pPr>
      <w:r w:rsidRPr="0074361B">
        <w:rPr>
          <w:rFonts w:ascii="Arial" w:hAnsi="Arial" w:cs="Arial"/>
        </w:rPr>
        <w:t xml:space="preserve">b) </w:t>
      </w:r>
      <w:r w:rsidR="005F4534">
        <w:rPr>
          <w:rFonts w:ascii="Arial" w:hAnsi="Arial" w:cs="Arial"/>
        </w:rPr>
        <w:tab/>
      </w:r>
      <w:r w:rsidRPr="0074361B">
        <w:rPr>
          <w:rFonts w:ascii="Arial" w:hAnsi="Arial" w:cs="Arial"/>
        </w:rPr>
        <w:t>Solicitar información a entidades públicas y privadas que permita determinar la situación físico - legal del terreno solicitado. Para tal efecto, la SBN otorgará el plazo de siete (07) días hábiles computados a partir del día siguiente de su notificación, para que den respuesta al pedido de información.</w:t>
      </w:r>
    </w:p>
    <w:p w:rsidR="0074361B" w:rsidRPr="0074361B" w:rsidRDefault="0074361B" w:rsidP="005F4534">
      <w:pPr>
        <w:spacing w:after="0" w:line="240" w:lineRule="auto"/>
        <w:ind w:left="1418" w:hanging="567"/>
        <w:jc w:val="both"/>
        <w:rPr>
          <w:rFonts w:ascii="Arial" w:hAnsi="Arial" w:cs="Arial"/>
        </w:rPr>
      </w:pPr>
    </w:p>
    <w:p w:rsidR="0074361B" w:rsidRPr="0074361B" w:rsidRDefault="0074361B" w:rsidP="005F4534">
      <w:pPr>
        <w:spacing w:after="0" w:line="240" w:lineRule="auto"/>
        <w:ind w:left="1418" w:hanging="567"/>
        <w:jc w:val="both"/>
        <w:rPr>
          <w:rFonts w:ascii="Arial" w:hAnsi="Arial" w:cs="Arial"/>
        </w:rPr>
      </w:pPr>
      <w:r w:rsidRPr="0074361B">
        <w:rPr>
          <w:rFonts w:ascii="Arial" w:hAnsi="Arial" w:cs="Arial"/>
        </w:rPr>
        <w:t xml:space="preserve">c) </w:t>
      </w:r>
      <w:r w:rsidR="005F4534">
        <w:rPr>
          <w:rFonts w:ascii="Arial" w:hAnsi="Arial" w:cs="Arial"/>
        </w:rPr>
        <w:tab/>
      </w:r>
      <w:r w:rsidRPr="0074361B">
        <w:rPr>
          <w:rFonts w:ascii="Arial" w:hAnsi="Arial" w:cs="Arial"/>
        </w:rPr>
        <w:t>Comunicar al titular del terreno solicitado o al Gobierno Regional con funciones transferidas sobre la solicitud presentada.</w:t>
      </w:r>
    </w:p>
    <w:p w:rsidR="0074361B" w:rsidRPr="0074361B" w:rsidRDefault="0074361B" w:rsidP="005F4534">
      <w:pPr>
        <w:spacing w:after="0" w:line="240" w:lineRule="auto"/>
        <w:ind w:left="709" w:hanging="567"/>
        <w:jc w:val="both"/>
        <w:rPr>
          <w:rFonts w:ascii="Arial" w:hAnsi="Arial" w:cs="Arial"/>
        </w:rPr>
      </w:pPr>
    </w:p>
    <w:p w:rsidR="0074361B" w:rsidRPr="0074361B" w:rsidRDefault="0074361B" w:rsidP="005F4534">
      <w:pPr>
        <w:spacing w:after="0" w:line="240" w:lineRule="auto"/>
        <w:ind w:left="709" w:hanging="567"/>
        <w:jc w:val="both"/>
        <w:rPr>
          <w:rFonts w:ascii="Arial" w:hAnsi="Arial" w:cs="Arial"/>
        </w:rPr>
      </w:pPr>
      <w:r w:rsidRPr="0074361B">
        <w:rPr>
          <w:rFonts w:ascii="Arial" w:hAnsi="Arial" w:cs="Arial"/>
        </w:rPr>
        <w:t xml:space="preserve">9.2 </w:t>
      </w:r>
      <w:r w:rsidR="005F4534">
        <w:rPr>
          <w:rFonts w:ascii="Arial" w:hAnsi="Arial" w:cs="Arial"/>
        </w:rPr>
        <w:tab/>
      </w:r>
      <w:r w:rsidRPr="0074361B">
        <w:rPr>
          <w:rFonts w:ascii="Arial" w:hAnsi="Arial" w:cs="Arial"/>
        </w:rPr>
        <w:t>Excepcionalmente y por razones justificadas, la autoridad sectorial competente o el titular del proyecto, puede solicitar la ampliación del plazo otorgado por un máximo de cinco (05) días hábiles adicionales, para el cumplimiento de lo que se le hubiere requerido.</w:t>
      </w:r>
    </w:p>
    <w:p w:rsidR="0074361B" w:rsidRPr="0074361B" w:rsidRDefault="0074361B" w:rsidP="005F4534">
      <w:pPr>
        <w:spacing w:after="0" w:line="240" w:lineRule="auto"/>
        <w:ind w:left="709" w:hanging="567"/>
        <w:jc w:val="both"/>
        <w:rPr>
          <w:rFonts w:ascii="Arial" w:hAnsi="Arial" w:cs="Arial"/>
        </w:rPr>
      </w:pPr>
    </w:p>
    <w:p w:rsidR="0074361B" w:rsidRPr="0074361B" w:rsidRDefault="0074361B" w:rsidP="005F4534">
      <w:pPr>
        <w:spacing w:after="0" w:line="240" w:lineRule="auto"/>
        <w:ind w:left="709" w:hanging="567"/>
        <w:jc w:val="both"/>
        <w:rPr>
          <w:rFonts w:ascii="Arial" w:hAnsi="Arial" w:cs="Arial"/>
        </w:rPr>
      </w:pPr>
      <w:r w:rsidRPr="0074361B">
        <w:rPr>
          <w:rFonts w:ascii="Arial" w:hAnsi="Arial" w:cs="Arial"/>
        </w:rPr>
        <w:t xml:space="preserve">9.3 </w:t>
      </w:r>
      <w:r w:rsidR="005F4534">
        <w:rPr>
          <w:rFonts w:ascii="Arial" w:hAnsi="Arial" w:cs="Arial"/>
        </w:rPr>
        <w:tab/>
      </w:r>
      <w:r w:rsidRPr="0074361B">
        <w:rPr>
          <w:rFonts w:ascii="Arial" w:hAnsi="Arial" w:cs="Arial"/>
        </w:rPr>
        <w:t>En cuanto al cómputo de plazos y atención a pedidos de información, se tendrá en cuenta lo siguiente:</w:t>
      </w:r>
    </w:p>
    <w:p w:rsidR="0074361B" w:rsidRPr="0074361B" w:rsidRDefault="0074361B" w:rsidP="005F4534">
      <w:pPr>
        <w:spacing w:after="0" w:line="240" w:lineRule="auto"/>
        <w:ind w:left="709" w:hanging="567"/>
        <w:jc w:val="both"/>
        <w:rPr>
          <w:rFonts w:ascii="Arial" w:hAnsi="Arial" w:cs="Arial"/>
        </w:rPr>
      </w:pPr>
    </w:p>
    <w:p w:rsidR="0074361B" w:rsidRPr="0074361B" w:rsidRDefault="0074361B" w:rsidP="005F4534">
      <w:pPr>
        <w:spacing w:after="0" w:line="240" w:lineRule="auto"/>
        <w:ind w:left="1418" w:hanging="567"/>
        <w:jc w:val="both"/>
        <w:rPr>
          <w:rFonts w:ascii="Arial" w:hAnsi="Arial" w:cs="Arial"/>
        </w:rPr>
      </w:pPr>
      <w:r w:rsidRPr="0074361B">
        <w:rPr>
          <w:rFonts w:ascii="Arial" w:hAnsi="Arial" w:cs="Arial"/>
        </w:rPr>
        <w:t xml:space="preserve">a) </w:t>
      </w:r>
      <w:r w:rsidR="005F4534">
        <w:rPr>
          <w:rFonts w:ascii="Arial" w:hAnsi="Arial" w:cs="Arial"/>
        </w:rPr>
        <w:tab/>
      </w:r>
      <w:r w:rsidRPr="0074361B">
        <w:rPr>
          <w:rFonts w:ascii="Arial" w:hAnsi="Arial" w:cs="Arial"/>
        </w:rPr>
        <w:t>El ingreso del escrito de subsanación de observaciones conlleva a la suspensión del plazo a que se refiere el numeral 19.1 del artículo 19 de la Ley.</w:t>
      </w:r>
    </w:p>
    <w:p w:rsidR="0074361B" w:rsidRPr="0074361B" w:rsidRDefault="0074361B" w:rsidP="005F4534">
      <w:pPr>
        <w:spacing w:after="0" w:line="240" w:lineRule="auto"/>
        <w:ind w:left="1418" w:hanging="567"/>
        <w:jc w:val="both"/>
        <w:rPr>
          <w:rFonts w:ascii="Arial" w:hAnsi="Arial" w:cs="Arial"/>
        </w:rPr>
      </w:pPr>
    </w:p>
    <w:p w:rsidR="0074361B" w:rsidRPr="0074361B" w:rsidRDefault="0074361B" w:rsidP="005F4534">
      <w:pPr>
        <w:spacing w:after="0" w:line="240" w:lineRule="auto"/>
        <w:ind w:left="1418" w:hanging="567"/>
        <w:jc w:val="both"/>
        <w:rPr>
          <w:rFonts w:ascii="Arial" w:hAnsi="Arial" w:cs="Arial"/>
        </w:rPr>
      </w:pPr>
      <w:r w:rsidRPr="0074361B">
        <w:rPr>
          <w:rFonts w:ascii="Arial" w:hAnsi="Arial" w:cs="Arial"/>
        </w:rPr>
        <w:t xml:space="preserve">b) </w:t>
      </w:r>
      <w:r w:rsidR="005F4534">
        <w:rPr>
          <w:rFonts w:ascii="Arial" w:hAnsi="Arial" w:cs="Arial"/>
        </w:rPr>
        <w:tab/>
      </w:r>
      <w:r w:rsidRPr="0074361B">
        <w:rPr>
          <w:rFonts w:ascii="Arial" w:hAnsi="Arial" w:cs="Arial"/>
        </w:rPr>
        <w:t>Cuando la SBN solicite información a entidades públicas, conforme a lo indicado en el literal b) del numeral 9.1 del presente artículo, estas remiten dicha información dentro del plazo de siete (07) días hábiles, en cuyo caso, se suspende el plazo a que se refiere el numeral 19.1 del artículo 19 de la Ley. Al vencimiento del plazo, de no cumplirse con la remisión de la información solicitada, la SBN formula el diagnóstico para la entrega provisional, en base a la información con que cuente a dicha fecha.</w:t>
      </w:r>
    </w:p>
    <w:p w:rsidR="0074361B" w:rsidRPr="0074361B" w:rsidRDefault="0074361B" w:rsidP="005F4534">
      <w:pPr>
        <w:spacing w:after="0" w:line="240" w:lineRule="auto"/>
        <w:ind w:left="1418" w:hanging="567"/>
        <w:jc w:val="both"/>
        <w:rPr>
          <w:rFonts w:ascii="Arial" w:hAnsi="Arial" w:cs="Arial"/>
        </w:rPr>
      </w:pPr>
    </w:p>
    <w:p w:rsidR="0074361B" w:rsidRPr="0074361B" w:rsidRDefault="0074361B" w:rsidP="005F4534">
      <w:pPr>
        <w:spacing w:after="0" w:line="240" w:lineRule="auto"/>
        <w:ind w:left="1418" w:hanging="567"/>
        <w:jc w:val="both"/>
        <w:rPr>
          <w:rFonts w:ascii="Arial" w:hAnsi="Arial" w:cs="Arial"/>
        </w:rPr>
      </w:pPr>
      <w:r w:rsidRPr="0074361B">
        <w:rPr>
          <w:rFonts w:ascii="Arial" w:hAnsi="Arial" w:cs="Arial"/>
        </w:rPr>
        <w:t xml:space="preserve">c) </w:t>
      </w:r>
      <w:r w:rsidR="005F4534">
        <w:rPr>
          <w:rFonts w:ascii="Arial" w:hAnsi="Arial" w:cs="Arial"/>
        </w:rPr>
        <w:tab/>
      </w:r>
      <w:r w:rsidRPr="0074361B">
        <w:rPr>
          <w:rFonts w:ascii="Arial" w:hAnsi="Arial" w:cs="Arial"/>
        </w:rPr>
        <w:t>Sin perjuicio de lo indicado en el literal precedente, para la emisión del informe técnico - legal por parte de la entidad titular del terreno o entidad competente, se debe contar con la información requerida a las entidades para determinar la situación técnico - legal del terreno solicitado.</w:t>
      </w:r>
    </w:p>
    <w:p w:rsidR="0074361B" w:rsidRPr="0074361B" w:rsidRDefault="0074361B" w:rsidP="005F4534">
      <w:pPr>
        <w:spacing w:after="0" w:line="240" w:lineRule="auto"/>
        <w:ind w:left="709" w:hanging="567"/>
        <w:jc w:val="both"/>
        <w:rPr>
          <w:rFonts w:ascii="Arial" w:hAnsi="Arial" w:cs="Arial"/>
        </w:rPr>
      </w:pPr>
    </w:p>
    <w:p w:rsidR="0074361B" w:rsidRPr="0074361B" w:rsidRDefault="0074361B" w:rsidP="005F4534">
      <w:pPr>
        <w:spacing w:after="0" w:line="240" w:lineRule="auto"/>
        <w:ind w:left="709" w:hanging="567"/>
        <w:jc w:val="both"/>
        <w:rPr>
          <w:rFonts w:ascii="Arial" w:hAnsi="Arial" w:cs="Arial"/>
        </w:rPr>
      </w:pPr>
      <w:r w:rsidRPr="0074361B">
        <w:rPr>
          <w:rFonts w:ascii="Arial" w:hAnsi="Arial" w:cs="Arial"/>
        </w:rPr>
        <w:t xml:space="preserve">9.4 </w:t>
      </w:r>
      <w:r w:rsidR="005F4534">
        <w:rPr>
          <w:rFonts w:ascii="Arial" w:hAnsi="Arial" w:cs="Arial"/>
        </w:rPr>
        <w:tab/>
      </w:r>
      <w:r w:rsidRPr="0074361B">
        <w:rPr>
          <w:rFonts w:ascii="Arial" w:hAnsi="Arial" w:cs="Arial"/>
        </w:rPr>
        <w:t>En el caso que el titular del proyecto o la autoridad sectorial competente no subsane las observaciones efectuadas dentro del plazo otorgado o ampliado, se da por concluido el trámite, notificándose dicha decisión al titular del proyecto y a la autoridad sectorial competente, a la cual se le devuelve el respectivo expediente.</w:t>
      </w:r>
    </w:p>
    <w:p w:rsidR="0074361B" w:rsidRPr="0074361B" w:rsidRDefault="0074361B" w:rsidP="005F4534">
      <w:pPr>
        <w:spacing w:after="0" w:line="240" w:lineRule="auto"/>
        <w:ind w:left="709" w:hanging="567"/>
        <w:jc w:val="both"/>
        <w:rPr>
          <w:rFonts w:ascii="Arial" w:hAnsi="Arial" w:cs="Arial"/>
        </w:rPr>
      </w:pPr>
    </w:p>
    <w:p w:rsidR="0074361B" w:rsidRPr="0074361B" w:rsidRDefault="0074361B" w:rsidP="005F4534">
      <w:pPr>
        <w:spacing w:after="0" w:line="240" w:lineRule="auto"/>
        <w:ind w:left="709" w:hanging="567"/>
        <w:jc w:val="both"/>
        <w:rPr>
          <w:rFonts w:ascii="Arial" w:hAnsi="Arial" w:cs="Arial"/>
        </w:rPr>
      </w:pPr>
      <w:r w:rsidRPr="0074361B">
        <w:rPr>
          <w:rFonts w:ascii="Arial" w:hAnsi="Arial" w:cs="Arial"/>
        </w:rPr>
        <w:t xml:space="preserve">9.5 </w:t>
      </w:r>
      <w:r w:rsidR="005F4534">
        <w:rPr>
          <w:rFonts w:ascii="Arial" w:hAnsi="Arial" w:cs="Arial"/>
        </w:rPr>
        <w:tab/>
      </w:r>
      <w:r w:rsidRPr="0074361B">
        <w:rPr>
          <w:rFonts w:ascii="Arial" w:hAnsi="Arial" w:cs="Arial"/>
        </w:rPr>
        <w:t>Con la documentación proporcionada por el titular del proyecto de inversión y con la información adicional que recibe de las entidades públicas y privadas, de ser el caso, la SBN efectúa el correspondiente Diagnóstico Técnico Legal respecto a la titularidad del terreno eriazo, previa inspección técnica de ser necesaria, pronunciándose sobre lo siguiente:</w:t>
      </w:r>
    </w:p>
    <w:p w:rsidR="0074361B" w:rsidRPr="0074361B" w:rsidRDefault="0074361B" w:rsidP="005F4534">
      <w:pPr>
        <w:spacing w:after="0" w:line="240" w:lineRule="auto"/>
        <w:ind w:left="709" w:hanging="567"/>
        <w:jc w:val="both"/>
        <w:rPr>
          <w:rFonts w:ascii="Arial" w:hAnsi="Arial" w:cs="Arial"/>
        </w:rPr>
      </w:pPr>
    </w:p>
    <w:p w:rsidR="0074361B" w:rsidRPr="0074361B" w:rsidRDefault="0074361B" w:rsidP="005F4534">
      <w:pPr>
        <w:spacing w:after="0" w:line="240" w:lineRule="auto"/>
        <w:ind w:left="1701" w:hanging="567"/>
        <w:jc w:val="both"/>
        <w:rPr>
          <w:rFonts w:ascii="Arial" w:hAnsi="Arial" w:cs="Arial"/>
        </w:rPr>
      </w:pPr>
      <w:r w:rsidRPr="0074361B">
        <w:rPr>
          <w:rFonts w:ascii="Arial" w:hAnsi="Arial" w:cs="Arial"/>
        </w:rPr>
        <w:t xml:space="preserve">- </w:t>
      </w:r>
      <w:r w:rsidR="005F4534">
        <w:rPr>
          <w:rFonts w:ascii="Arial" w:hAnsi="Arial" w:cs="Arial"/>
        </w:rPr>
        <w:tab/>
      </w:r>
      <w:r w:rsidRPr="0074361B">
        <w:rPr>
          <w:rFonts w:ascii="Arial" w:hAnsi="Arial" w:cs="Arial"/>
        </w:rPr>
        <w:t>Si el terreno solicitado está disponible para los fines de servidumbre, debiendo tener en cuenta para tal efecto la condición jurídica del terreno y su no inclusión dentro de un régimen legal especial para la administración o disposición del terreno.</w:t>
      </w:r>
    </w:p>
    <w:p w:rsidR="0074361B" w:rsidRPr="0074361B" w:rsidRDefault="0074361B" w:rsidP="005F4534">
      <w:pPr>
        <w:spacing w:after="0" w:line="240" w:lineRule="auto"/>
        <w:ind w:left="1701" w:hanging="567"/>
        <w:jc w:val="both"/>
        <w:rPr>
          <w:rFonts w:ascii="Arial" w:hAnsi="Arial" w:cs="Arial"/>
        </w:rPr>
      </w:pPr>
    </w:p>
    <w:p w:rsidR="0074361B" w:rsidRPr="0074361B" w:rsidRDefault="0074361B" w:rsidP="005F4534">
      <w:pPr>
        <w:spacing w:after="0" w:line="240" w:lineRule="auto"/>
        <w:ind w:left="1701" w:hanging="567"/>
        <w:jc w:val="both"/>
        <w:rPr>
          <w:rFonts w:ascii="Arial" w:hAnsi="Arial" w:cs="Arial"/>
        </w:rPr>
      </w:pPr>
      <w:r w:rsidRPr="0074361B">
        <w:rPr>
          <w:rFonts w:ascii="Arial" w:hAnsi="Arial" w:cs="Arial"/>
        </w:rPr>
        <w:t xml:space="preserve">- </w:t>
      </w:r>
      <w:r w:rsidR="005F4534">
        <w:rPr>
          <w:rFonts w:ascii="Arial" w:hAnsi="Arial" w:cs="Arial"/>
        </w:rPr>
        <w:tab/>
      </w:r>
      <w:r w:rsidRPr="0074361B">
        <w:rPr>
          <w:rFonts w:ascii="Arial" w:hAnsi="Arial" w:cs="Arial"/>
        </w:rPr>
        <w:t>Si se encuentra en alguno de los supuestos de exclusión establecidos en el numeral 4.2 del artículo 4 del presente Reglamento.</w:t>
      </w:r>
    </w:p>
    <w:p w:rsidR="0074361B" w:rsidRPr="0074361B" w:rsidRDefault="0074361B" w:rsidP="005F4534">
      <w:pPr>
        <w:spacing w:after="0" w:line="240" w:lineRule="auto"/>
        <w:ind w:left="709" w:hanging="567"/>
        <w:jc w:val="both"/>
        <w:rPr>
          <w:rFonts w:ascii="Arial" w:hAnsi="Arial" w:cs="Arial"/>
        </w:rPr>
      </w:pPr>
    </w:p>
    <w:p w:rsidR="0074361B" w:rsidRPr="0074361B" w:rsidRDefault="0074361B" w:rsidP="005F4534">
      <w:pPr>
        <w:spacing w:after="0" w:line="240" w:lineRule="auto"/>
        <w:ind w:left="709" w:hanging="567"/>
        <w:jc w:val="both"/>
        <w:rPr>
          <w:rFonts w:ascii="Arial" w:hAnsi="Arial" w:cs="Arial"/>
        </w:rPr>
      </w:pPr>
      <w:r w:rsidRPr="0074361B">
        <w:rPr>
          <w:rFonts w:ascii="Arial" w:hAnsi="Arial" w:cs="Arial"/>
        </w:rPr>
        <w:t xml:space="preserve">9.6 </w:t>
      </w:r>
      <w:r w:rsidR="005F4534">
        <w:rPr>
          <w:rFonts w:ascii="Arial" w:hAnsi="Arial" w:cs="Arial"/>
        </w:rPr>
        <w:tab/>
      </w:r>
      <w:r w:rsidRPr="0074361B">
        <w:rPr>
          <w:rFonts w:ascii="Arial" w:hAnsi="Arial" w:cs="Arial"/>
        </w:rPr>
        <w:t>En el caso que la SBN verifique que sobre el mismo predio existe una servidumbre o solicitudes de servidumbre en trámite u otros proyectos de inversión declarados de interés nacional, reservados por el Estado, concesionados o los comprendidos en las Leyes Nº 30025, Ley que facilita la adquisición, expropiación y posesión de bienes inmuebles para obras de infraestructura y declara de necesidad pública la adquisición o expropiación de bienes inmuebles afectados para la ejecución de diversas obras de infraestructura, y Nº 30230, Ley que establece medidas tributarias, simplificación de procedimientos y permisos para la promoción y dinamización de la inversión en el país, procederá conforme a lo establecido en el numeral 18.3 del artículo 18 de la Ley; en cuyo caso el cómputo del plazo se suspende hasta que se haya emitido la opinión o vencido el plazo para ello, o se haya dirimido sobre la viabilidad de la superposición, luego de lo cual la SBN procederá según corresponda a lo resuelto.</w:t>
      </w:r>
    </w:p>
    <w:p w:rsidR="0074361B" w:rsidRPr="0074361B" w:rsidRDefault="0074361B" w:rsidP="005F4534">
      <w:pPr>
        <w:spacing w:after="0" w:line="240" w:lineRule="auto"/>
        <w:ind w:left="709" w:hanging="567"/>
        <w:jc w:val="both"/>
        <w:rPr>
          <w:rFonts w:ascii="Arial" w:hAnsi="Arial" w:cs="Arial"/>
        </w:rPr>
      </w:pPr>
    </w:p>
    <w:p w:rsidR="0074361B" w:rsidRPr="0074361B" w:rsidRDefault="0074361B" w:rsidP="005F4534">
      <w:pPr>
        <w:spacing w:after="0" w:line="240" w:lineRule="auto"/>
        <w:ind w:left="709" w:hanging="567"/>
        <w:jc w:val="both"/>
        <w:rPr>
          <w:rFonts w:ascii="Arial" w:hAnsi="Arial" w:cs="Arial"/>
        </w:rPr>
      </w:pPr>
      <w:r w:rsidRPr="0074361B">
        <w:rPr>
          <w:rFonts w:ascii="Arial" w:hAnsi="Arial" w:cs="Arial"/>
        </w:rPr>
        <w:t xml:space="preserve">9.7 </w:t>
      </w:r>
      <w:r w:rsidR="005F4534">
        <w:rPr>
          <w:rFonts w:ascii="Arial" w:hAnsi="Arial" w:cs="Arial"/>
        </w:rPr>
        <w:tab/>
      </w:r>
      <w:r w:rsidRPr="0074361B">
        <w:rPr>
          <w:rFonts w:ascii="Arial" w:hAnsi="Arial" w:cs="Arial"/>
        </w:rPr>
        <w:t>Si el terreno solicitado constituye propiedad privada o siendo de propiedad estatal no es de libre disponibilidad o si se encuentra comprendido en algunos de los supuestos de exclusión a que se refiere el numeral 4.2 del artículo 4 del presente Reglamento, no procede la entrega del terreno, debiendo la SBN dar por concluido el trámite, notificándose dicha decisión al titular del proyecto de inversión y a la autoridad sectorial competente.</w:t>
      </w:r>
    </w:p>
    <w:p w:rsidR="0074361B" w:rsidRPr="0074361B" w:rsidRDefault="0074361B" w:rsidP="0074361B">
      <w:pPr>
        <w:spacing w:after="0" w:line="240" w:lineRule="auto"/>
        <w:jc w:val="both"/>
        <w:rPr>
          <w:rFonts w:ascii="Arial" w:hAnsi="Arial" w:cs="Arial"/>
        </w:rPr>
      </w:pPr>
    </w:p>
    <w:p w:rsidR="0074361B" w:rsidRPr="005F4534" w:rsidRDefault="0074361B" w:rsidP="0074361B">
      <w:pPr>
        <w:spacing w:after="0" w:line="240" w:lineRule="auto"/>
        <w:jc w:val="both"/>
        <w:rPr>
          <w:rFonts w:ascii="Arial" w:hAnsi="Arial" w:cs="Arial"/>
          <w:b/>
        </w:rPr>
      </w:pPr>
      <w:r w:rsidRPr="005F4534">
        <w:rPr>
          <w:rFonts w:ascii="Arial" w:hAnsi="Arial" w:cs="Arial"/>
          <w:b/>
        </w:rPr>
        <w:t>Artículo 10.- Entrega provisional del terreno</w:t>
      </w:r>
    </w:p>
    <w:p w:rsidR="0074361B" w:rsidRPr="0074361B" w:rsidRDefault="0074361B" w:rsidP="0074361B">
      <w:pPr>
        <w:spacing w:after="0" w:line="240" w:lineRule="auto"/>
        <w:jc w:val="both"/>
        <w:rPr>
          <w:rFonts w:ascii="Arial" w:hAnsi="Arial" w:cs="Arial"/>
        </w:rPr>
      </w:pPr>
    </w:p>
    <w:p w:rsidR="0074361B" w:rsidRPr="0074361B" w:rsidRDefault="0074361B" w:rsidP="005F4534">
      <w:pPr>
        <w:spacing w:after="0" w:line="240" w:lineRule="auto"/>
        <w:ind w:left="709" w:hanging="709"/>
        <w:jc w:val="both"/>
        <w:rPr>
          <w:rFonts w:ascii="Arial" w:hAnsi="Arial" w:cs="Arial"/>
        </w:rPr>
      </w:pPr>
      <w:r w:rsidRPr="0074361B">
        <w:rPr>
          <w:rFonts w:ascii="Arial" w:hAnsi="Arial" w:cs="Arial"/>
        </w:rPr>
        <w:t xml:space="preserve">10.1 </w:t>
      </w:r>
      <w:r w:rsidR="005F4534">
        <w:rPr>
          <w:rFonts w:ascii="Arial" w:hAnsi="Arial" w:cs="Arial"/>
        </w:rPr>
        <w:tab/>
      </w:r>
      <w:r w:rsidRPr="0074361B">
        <w:rPr>
          <w:rFonts w:ascii="Arial" w:hAnsi="Arial" w:cs="Arial"/>
        </w:rPr>
        <w:t>Si del diagnóstico técnico - legal para la entrega provisional se determina que el terreno solicitado: a) Es de propiedad estatal, inscrito o no en el Registro de Predios; b) Tiene la condición de eriazo; c) No está comprendido en alguno de los supuestos de exclusión establecidos en el numeral 4.2 del artículo 4; y, d) No existe impedimento para la constitución de la servidumbre, la SBN procede la entrega provisional del terreno solicitado, la cual se realiza luego del diagnóstico técnico legal, en el plazo no mayor de quince (15) días hábiles contados desde la recepción de la solicitud, teniéndose en cuenta además lo señalado en el numeral 9.3 del artículo 9 del presente Reglamento, procediéndose a la notificación respectiva al titular del proyecto de inversión.</w:t>
      </w:r>
    </w:p>
    <w:p w:rsidR="0074361B" w:rsidRPr="0074361B" w:rsidRDefault="0074361B" w:rsidP="005F4534">
      <w:pPr>
        <w:spacing w:after="0" w:line="240" w:lineRule="auto"/>
        <w:ind w:left="709" w:hanging="709"/>
        <w:jc w:val="both"/>
        <w:rPr>
          <w:rFonts w:ascii="Arial" w:hAnsi="Arial" w:cs="Arial"/>
        </w:rPr>
      </w:pPr>
    </w:p>
    <w:p w:rsidR="0074361B" w:rsidRPr="0074361B" w:rsidRDefault="0074361B" w:rsidP="005F4534">
      <w:pPr>
        <w:spacing w:after="0" w:line="240" w:lineRule="auto"/>
        <w:ind w:left="709" w:hanging="709"/>
        <w:jc w:val="both"/>
        <w:rPr>
          <w:rFonts w:ascii="Arial" w:hAnsi="Arial" w:cs="Arial"/>
        </w:rPr>
      </w:pPr>
      <w:r w:rsidRPr="0074361B">
        <w:rPr>
          <w:rFonts w:ascii="Arial" w:hAnsi="Arial" w:cs="Arial"/>
        </w:rPr>
        <w:t xml:space="preserve">10.2 </w:t>
      </w:r>
      <w:r w:rsidR="005F4534">
        <w:rPr>
          <w:rFonts w:ascii="Arial" w:hAnsi="Arial" w:cs="Arial"/>
        </w:rPr>
        <w:tab/>
      </w:r>
      <w:r w:rsidRPr="0074361B">
        <w:rPr>
          <w:rFonts w:ascii="Arial" w:hAnsi="Arial" w:cs="Arial"/>
        </w:rPr>
        <w:t>La entrega provisional del terreno se efectúa mediante un Acta de Entrega - Recepción suscrita entre la SBN y el titular del proyecto de inversión o de su representante legal, en el caso que se trate de una persona jurídica. La entrega provisional del terreno no implica la aprobación previa de la constitución del derecho de servidumbre, por tanto, no es susceptible de inscripción en la partida registral del terreno.</w:t>
      </w:r>
    </w:p>
    <w:p w:rsidR="0074361B" w:rsidRPr="0074361B" w:rsidRDefault="0074361B" w:rsidP="005F4534">
      <w:pPr>
        <w:spacing w:after="0" w:line="240" w:lineRule="auto"/>
        <w:ind w:left="709" w:hanging="709"/>
        <w:jc w:val="both"/>
        <w:rPr>
          <w:rFonts w:ascii="Arial" w:hAnsi="Arial" w:cs="Arial"/>
        </w:rPr>
      </w:pPr>
    </w:p>
    <w:p w:rsidR="0074361B" w:rsidRPr="0074361B" w:rsidRDefault="0074361B" w:rsidP="005F4534">
      <w:pPr>
        <w:spacing w:after="0" w:line="240" w:lineRule="auto"/>
        <w:ind w:left="709" w:hanging="709"/>
        <w:jc w:val="both"/>
        <w:rPr>
          <w:rFonts w:ascii="Arial" w:hAnsi="Arial" w:cs="Arial"/>
        </w:rPr>
      </w:pPr>
      <w:r w:rsidRPr="0074361B">
        <w:rPr>
          <w:rFonts w:ascii="Arial" w:hAnsi="Arial" w:cs="Arial"/>
        </w:rPr>
        <w:t xml:space="preserve">10.3 </w:t>
      </w:r>
      <w:r w:rsidR="005F4534">
        <w:rPr>
          <w:rFonts w:ascii="Arial" w:hAnsi="Arial" w:cs="Arial"/>
        </w:rPr>
        <w:tab/>
      </w:r>
      <w:r w:rsidRPr="0074361B">
        <w:rPr>
          <w:rFonts w:ascii="Arial" w:hAnsi="Arial" w:cs="Arial"/>
        </w:rPr>
        <w:t>La entrega provisional del terreno no autoriza al titular del proyecto de inversión al inicio de su actividad económica, la cual corresponde ser aprobada por el Sector respectivo. Sin perjuicio de lo expuesto, el titular del proyecto de inversión puede iniciar acciones previas sobre el terreno, las cuales, en el caso que se le otorgue la servidumbre, le permitirán ejecutar su derecho, tales como: Implementar sistemas de vigilancia y custodia, delimitar linderos mediante colocación de hitos o cercos, realizar actos de mantenimiento o refacción del predio o realizar estudios de suelo.</w:t>
      </w:r>
    </w:p>
    <w:p w:rsidR="0074361B" w:rsidRPr="0074361B" w:rsidRDefault="0074361B" w:rsidP="005F4534">
      <w:pPr>
        <w:spacing w:after="0" w:line="240" w:lineRule="auto"/>
        <w:ind w:left="709" w:hanging="709"/>
        <w:jc w:val="both"/>
        <w:rPr>
          <w:rFonts w:ascii="Arial" w:hAnsi="Arial" w:cs="Arial"/>
        </w:rPr>
      </w:pPr>
    </w:p>
    <w:p w:rsidR="0074361B" w:rsidRPr="0074361B" w:rsidRDefault="0074361B" w:rsidP="005F4534">
      <w:pPr>
        <w:spacing w:after="0" w:line="240" w:lineRule="auto"/>
        <w:ind w:left="709" w:hanging="709"/>
        <w:jc w:val="both"/>
        <w:rPr>
          <w:rFonts w:ascii="Arial" w:hAnsi="Arial" w:cs="Arial"/>
        </w:rPr>
      </w:pPr>
      <w:r w:rsidRPr="0074361B">
        <w:rPr>
          <w:rFonts w:ascii="Arial" w:hAnsi="Arial" w:cs="Arial"/>
        </w:rPr>
        <w:t xml:space="preserve">10.4 </w:t>
      </w:r>
      <w:r w:rsidR="005F4534">
        <w:rPr>
          <w:rFonts w:ascii="Arial" w:hAnsi="Arial" w:cs="Arial"/>
        </w:rPr>
        <w:tab/>
      </w:r>
      <w:r w:rsidRPr="0074361B">
        <w:rPr>
          <w:rFonts w:ascii="Arial" w:hAnsi="Arial" w:cs="Arial"/>
        </w:rPr>
        <w:t>Los gastos de conservación u obras que se ejecuten en el terreno entregado de manera provisional no son reembolsables.</w:t>
      </w:r>
    </w:p>
    <w:p w:rsidR="0074361B" w:rsidRPr="0074361B" w:rsidRDefault="0074361B" w:rsidP="005F4534">
      <w:pPr>
        <w:spacing w:after="0" w:line="240" w:lineRule="auto"/>
        <w:ind w:left="709" w:hanging="709"/>
        <w:jc w:val="both"/>
        <w:rPr>
          <w:rFonts w:ascii="Arial" w:hAnsi="Arial" w:cs="Arial"/>
        </w:rPr>
      </w:pPr>
    </w:p>
    <w:p w:rsidR="0074361B" w:rsidRPr="0074361B" w:rsidRDefault="0074361B" w:rsidP="005F4534">
      <w:pPr>
        <w:spacing w:after="0" w:line="240" w:lineRule="auto"/>
        <w:ind w:left="709" w:hanging="709"/>
        <w:jc w:val="both"/>
        <w:rPr>
          <w:rFonts w:ascii="Arial" w:hAnsi="Arial" w:cs="Arial"/>
        </w:rPr>
      </w:pPr>
      <w:r w:rsidRPr="0074361B">
        <w:rPr>
          <w:rFonts w:ascii="Arial" w:hAnsi="Arial" w:cs="Arial"/>
        </w:rPr>
        <w:t xml:space="preserve">10.5 </w:t>
      </w:r>
      <w:r w:rsidR="005F4534">
        <w:rPr>
          <w:rFonts w:ascii="Arial" w:hAnsi="Arial" w:cs="Arial"/>
        </w:rPr>
        <w:tab/>
      </w:r>
      <w:r w:rsidRPr="0074361B">
        <w:rPr>
          <w:rFonts w:ascii="Arial" w:hAnsi="Arial" w:cs="Arial"/>
        </w:rPr>
        <w:t>La entrega provisional será comunicada por la SBN, según sea el caso, a la entidad propietaria del terreno estatal o al Gobierno Regional con funciones transferidas, adjuntando el informe de diagnóstico técnico - legal elaborado para la entrega provisional.</w:t>
      </w:r>
    </w:p>
    <w:p w:rsidR="0074361B" w:rsidRPr="0074361B" w:rsidRDefault="0074361B" w:rsidP="005F4534">
      <w:pPr>
        <w:spacing w:after="0" w:line="240" w:lineRule="auto"/>
        <w:ind w:left="709" w:hanging="709"/>
        <w:jc w:val="both"/>
        <w:rPr>
          <w:rFonts w:ascii="Arial" w:hAnsi="Arial" w:cs="Arial"/>
        </w:rPr>
      </w:pPr>
    </w:p>
    <w:p w:rsidR="0074361B" w:rsidRPr="0074361B" w:rsidRDefault="0074361B" w:rsidP="005F4534">
      <w:pPr>
        <w:spacing w:after="0" w:line="240" w:lineRule="auto"/>
        <w:ind w:left="709" w:hanging="709"/>
        <w:jc w:val="both"/>
        <w:rPr>
          <w:rFonts w:ascii="Arial" w:hAnsi="Arial" w:cs="Arial"/>
        </w:rPr>
      </w:pPr>
      <w:r w:rsidRPr="0074361B">
        <w:rPr>
          <w:rFonts w:ascii="Arial" w:hAnsi="Arial" w:cs="Arial"/>
        </w:rPr>
        <w:t xml:space="preserve">10.6 </w:t>
      </w:r>
      <w:r w:rsidR="005F4534">
        <w:rPr>
          <w:rFonts w:ascii="Arial" w:hAnsi="Arial" w:cs="Arial"/>
        </w:rPr>
        <w:tab/>
      </w:r>
      <w:r w:rsidRPr="0074361B">
        <w:rPr>
          <w:rFonts w:ascii="Arial" w:hAnsi="Arial" w:cs="Arial"/>
        </w:rPr>
        <w:t>La SBN actualiza en el SINABIP la entrega provisional efectuada.</w:t>
      </w:r>
    </w:p>
    <w:p w:rsidR="0074361B" w:rsidRPr="0074361B" w:rsidRDefault="0074361B" w:rsidP="0074361B">
      <w:pPr>
        <w:spacing w:after="0" w:line="240" w:lineRule="auto"/>
        <w:jc w:val="both"/>
        <w:rPr>
          <w:rFonts w:ascii="Arial" w:hAnsi="Arial" w:cs="Arial"/>
        </w:rPr>
      </w:pPr>
    </w:p>
    <w:p w:rsidR="0074361B" w:rsidRPr="0074361B" w:rsidRDefault="0074361B" w:rsidP="0074361B">
      <w:pPr>
        <w:spacing w:after="0" w:line="240" w:lineRule="auto"/>
        <w:jc w:val="both"/>
        <w:rPr>
          <w:rFonts w:ascii="Arial" w:hAnsi="Arial" w:cs="Arial"/>
        </w:rPr>
      </w:pPr>
      <w:r w:rsidRPr="0074361B">
        <w:rPr>
          <w:rFonts w:ascii="Arial" w:hAnsi="Arial" w:cs="Arial"/>
        </w:rPr>
        <w:t>Artículo 11.- Valuación del terreno y determinación de la contraprestación de la servidumbre.</w:t>
      </w:r>
    </w:p>
    <w:p w:rsidR="0074361B" w:rsidRPr="0074361B" w:rsidRDefault="0074361B" w:rsidP="0074361B">
      <w:pPr>
        <w:spacing w:after="0" w:line="240" w:lineRule="auto"/>
        <w:jc w:val="both"/>
        <w:rPr>
          <w:rFonts w:ascii="Arial" w:hAnsi="Arial" w:cs="Arial"/>
        </w:rPr>
      </w:pPr>
    </w:p>
    <w:p w:rsidR="0074361B" w:rsidRPr="0074361B" w:rsidRDefault="0074361B" w:rsidP="005F4534">
      <w:pPr>
        <w:spacing w:after="0" w:line="240" w:lineRule="auto"/>
        <w:ind w:left="709" w:hanging="709"/>
        <w:jc w:val="both"/>
        <w:rPr>
          <w:rFonts w:ascii="Arial" w:hAnsi="Arial" w:cs="Arial"/>
        </w:rPr>
      </w:pPr>
      <w:r w:rsidRPr="0074361B">
        <w:rPr>
          <w:rFonts w:ascii="Arial" w:hAnsi="Arial" w:cs="Arial"/>
        </w:rPr>
        <w:t xml:space="preserve">11.1 </w:t>
      </w:r>
      <w:r w:rsidR="005F4534">
        <w:rPr>
          <w:rFonts w:ascii="Arial" w:hAnsi="Arial" w:cs="Arial"/>
        </w:rPr>
        <w:tab/>
      </w:r>
      <w:r w:rsidRPr="0074361B">
        <w:rPr>
          <w:rFonts w:ascii="Arial" w:hAnsi="Arial" w:cs="Arial"/>
        </w:rPr>
        <w:t>Con la entrega provisional efectuada y comunicada dicha situación a la entidad titular o al Gobierno Regional con funciones transferidas, la SBN procede a gestionar la valuación comercial del terreno para fines de la servidumbre, de acuerdo a lo dispuesto en el artículo 20 de la Ley y el artículo 36 del Reglamento de la Ley Nº 29151.</w:t>
      </w:r>
    </w:p>
    <w:p w:rsidR="0074361B" w:rsidRPr="0074361B" w:rsidRDefault="0074361B" w:rsidP="005F4534">
      <w:pPr>
        <w:spacing w:after="0" w:line="240" w:lineRule="auto"/>
        <w:ind w:left="709" w:hanging="709"/>
        <w:jc w:val="both"/>
        <w:rPr>
          <w:rFonts w:ascii="Arial" w:hAnsi="Arial" w:cs="Arial"/>
        </w:rPr>
      </w:pPr>
    </w:p>
    <w:p w:rsidR="0074361B" w:rsidRPr="0074361B" w:rsidRDefault="0074361B" w:rsidP="005F4534">
      <w:pPr>
        <w:spacing w:after="0" w:line="240" w:lineRule="auto"/>
        <w:ind w:left="709" w:hanging="709"/>
        <w:jc w:val="both"/>
        <w:rPr>
          <w:rFonts w:ascii="Arial" w:hAnsi="Arial" w:cs="Arial"/>
        </w:rPr>
      </w:pPr>
      <w:r w:rsidRPr="0074361B">
        <w:rPr>
          <w:rFonts w:ascii="Arial" w:hAnsi="Arial" w:cs="Arial"/>
        </w:rPr>
        <w:t xml:space="preserve">11.2 </w:t>
      </w:r>
      <w:r w:rsidR="005F4534">
        <w:rPr>
          <w:rFonts w:ascii="Arial" w:hAnsi="Arial" w:cs="Arial"/>
        </w:rPr>
        <w:tab/>
      </w:r>
      <w:r w:rsidRPr="0074361B">
        <w:rPr>
          <w:rFonts w:ascii="Arial" w:hAnsi="Arial" w:cs="Arial"/>
        </w:rPr>
        <w:t>La elección y contratación del organismo o empresa con acreditada experiencia que se encarga de efectuar el servicio de tasación, se realiza conforme a los lineamientos internos y/o términos de referencia que establezca la SBN.</w:t>
      </w:r>
    </w:p>
    <w:p w:rsidR="0074361B" w:rsidRPr="0074361B" w:rsidRDefault="0074361B" w:rsidP="005F4534">
      <w:pPr>
        <w:spacing w:after="0" w:line="240" w:lineRule="auto"/>
        <w:ind w:left="709" w:hanging="709"/>
        <w:jc w:val="both"/>
        <w:rPr>
          <w:rFonts w:ascii="Arial" w:hAnsi="Arial" w:cs="Arial"/>
        </w:rPr>
      </w:pPr>
    </w:p>
    <w:p w:rsidR="0074361B" w:rsidRPr="0074361B" w:rsidRDefault="0074361B" w:rsidP="005F4534">
      <w:pPr>
        <w:spacing w:after="0" w:line="240" w:lineRule="auto"/>
        <w:ind w:left="709" w:hanging="709"/>
        <w:jc w:val="both"/>
        <w:rPr>
          <w:rFonts w:ascii="Arial" w:hAnsi="Arial" w:cs="Arial"/>
        </w:rPr>
      </w:pPr>
      <w:r w:rsidRPr="0074361B">
        <w:rPr>
          <w:rFonts w:ascii="Arial" w:hAnsi="Arial" w:cs="Arial"/>
        </w:rPr>
        <w:t xml:space="preserve">11.3 </w:t>
      </w:r>
      <w:r w:rsidR="005F4534">
        <w:rPr>
          <w:rFonts w:ascii="Arial" w:hAnsi="Arial" w:cs="Arial"/>
        </w:rPr>
        <w:tab/>
      </w:r>
      <w:r w:rsidRPr="0074361B">
        <w:rPr>
          <w:rFonts w:ascii="Arial" w:hAnsi="Arial" w:cs="Arial"/>
        </w:rPr>
        <w:t>El servicio de tasación es asumido por el titular del proyecto de inversión, cuyo monto es entregado al área de Tesorería de la SBN o es depositado en la cuenta bancaria de la SBN, dentro de los diez (10) días hábiles de recibida la comunicación efectuada por la SBN, en caso contrario, se da por concluido el procedimiento de servidumbre.</w:t>
      </w:r>
    </w:p>
    <w:p w:rsidR="0074361B" w:rsidRPr="0074361B" w:rsidRDefault="0074361B" w:rsidP="005F4534">
      <w:pPr>
        <w:spacing w:after="0" w:line="240" w:lineRule="auto"/>
        <w:ind w:left="709" w:hanging="709"/>
        <w:jc w:val="both"/>
        <w:rPr>
          <w:rFonts w:ascii="Arial" w:hAnsi="Arial" w:cs="Arial"/>
        </w:rPr>
      </w:pPr>
    </w:p>
    <w:p w:rsidR="0074361B" w:rsidRPr="0074361B" w:rsidRDefault="0074361B" w:rsidP="005F4534">
      <w:pPr>
        <w:spacing w:after="0" w:line="240" w:lineRule="auto"/>
        <w:ind w:left="709" w:hanging="709"/>
        <w:jc w:val="both"/>
        <w:rPr>
          <w:rFonts w:ascii="Arial" w:hAnsi="Arial" w:cs="Arial"/>
        </w:rPr>
      </w:pPr>
      <w:r w:rsidRPr="0074361B">
        <w:rPr>
          <w:rFonts w:ascii="Arial" w:hAnsi="Arial" w:cs="Arial"/>
        </w:rPr>
        <w:t xml:space="preserve">11.4 </w:t>
      </w:r>
      <w:r w:rsidR="005F4534">
        <w:rPr>
          <w:rFonts w:ascii="Arial" w:hAnsi="Arial" w:cs="Arial"/>
        </w:rPr>
        <w:tab/>
      </w:r>
      <w:r w:rsidRPr="0074361B">
        <w:rPr>
          <w:rFonts w:ascii="Arial" w:hAnsi="Arial" w:cs="Arial"/>
        </w:rPr>
        <w:t>Para la tasación de la contraprestación por el derecho servidumbre se tiene en cuenta el nivel de limitación o afectación que tendrá el propietario respecto del uso del bien, sea esta por la ocupación total del terreno o por la restricción de ciertos usos.</w:t>
      </w:r>
    </w:p>
    <w:p w:rsidR="0074361B" w:rsidRPr="0074361B" w:rsidRDefault="0074361B" w:rsidP="005F4534">
      <w:pPr>
        <w:spacing w:after="0" w:line="240" w:lineRule="auto"/>
        <w:ind w:left="709" w:hanging="709"/>
        <w:jc w:val="both"/>
        <w:rPr>
          <w:rFonts w:ascii="Arial" w:hAnsi="Arial" w:cs="Arial"/>
        </w:rPr>
      </w:pPr>
    </w:p>
    <w:p w:rsidR="0074361B" w:rsidRPr="0074361B" w:rsidRDefault="0074361B" w:rsidP="005F4534">
      <w:pPr>
        <w:spacing w:after="0" w:line="240" w:lineRule="auto"/>
        <w:ind w:left="709" w:hanging="709"/>
        <w:jc w:val="both"/>
        <w:rPr>
          <w:rFonts w:ascii="Arial" w:hAnsi="Arial" w:cs="Arial"/>
        </w:rPr>
      </w:pPr>
      <w:r w:rsidRPr="0074361B">
        <w:rPr>
          <w:rFonts w:ascii="Arial" w:hAnsi="Arial" w:cs="Arial"/>
        </w:rPr>
        <w:t xml:space="preserve">11.5 </w:t>
      </w:r>
      <w:r w:rsidR="005F4534">
        <w:rPr>
          <w:rFonts w:ascii="Arial" w:hAnsi="Arial" w:cs="Arial"/>
        </w:rPr>
        <w:tab/>
      </w:r>
      <w:r w:rsidRPr="0074361B">
        <w:rPr>
          <w:rFonts w:ascii="Arial" w:hAnsi="Arial" w:cs="Arial"/>
        </w:rPr>
        <w:t>El organismo o empresa con acreditada experiencia a cargo de la tasación presenta un informe de valuación comercial y el estudio de mercado, con la fundamentación de su utilización en la tasación efectuada. Este informe es evaluado por la SBN, la cual dará la respectiva conformidad al procedimiento de la tasación. De ser necesario, requerirá la aclaración o rectificación al organismo o empresa que efectuó la tasación.</w:t>
      </w:r>
    </w:p>
    <w:p w:rsidR="0074361B" w:rsidRPr="0074361B" w:rsidRDefault="0074361B" w:rsidP="005F4534">
      <w:pPr>
        <w:spacing w:after="0" w:line="240" w:lineRule="auto"/>
        <w:ind w:left="709" w:hanging="709"/>
        <w:jc w:val="both"/>
        <w:rPr>
          <w:rFonts w:ascii="Arial" w:hAnsi="Arial" w:cs="Arial"/>
        </w:rPr>
      </w:pPr>
    </w:p>
    <w:p w:rsidR="0074361B" w:rsidRPr="0074361B" w:rsidRDefault="0074361B" w:rsidP="005F4534">
      <w:pPr>
        <w:spacing w:after="0" w:line="240" w:lineRule="auto"/>
        <w:ind w:left="709" w:hanging="709"/>
        <w:jc w:val="both"/>
        <w:rPr>
          <w:rFonts w:ascii="Arial" w:hAnsi="Arial" w:cs="Arial"/>
        </w:rPr>
      </w:pPr>
      <w:r w:rsidRPr="0074361B">
        <w:rPr>
          <w:rFonts w:ascii="Arial" w:hAnsi="Arial" w:cs="Arial"/>
        </w:rPr>
        <w:tab/>
        <w:t>La conformidad referida anteriormente es firmada por el profesional ingeniero o arquitecto que interviene en la sustentación del procedimiento y visada por el jefe de la unidad orgánica.</w:t>
      </w:r>
    </w:p>
    <w:p w:rsidR="0074361B" w:rsidRPr="0074361B" w:rsidRDefault="0074361B" w:rsidP="005F4534">
      <w:pPr>
        <w:spacing w:after="0" w:line="240" w:lineRule="auto"/>
        <w:ind w:left="709" w:hanging="709"/>
        <w:jc w:val="both"/>
        <w:rPr>
          <w:rFonts w:ascii="Arial" w:hAnsi="Arial" w:cs="Arial"/>
        </w:rPr>
      </w:pPr>
    </w:p>
    <w:p w:rsidR="0074361B" w:rsidRPr="0074361B" w:rsidRDefault="0074361B" w:rsidP="005F4534">
      <w:pPr>
        <w:spacing w:after="0" w:line="240" w:lineRule="auto"/>
        <w:ind w:left="709" w:hanging="709"/>
        <w:jc w:val="both"/>
        <w:rPr>
          <w:rFonts w:ascii="Arial" w:hAnsi="Arial" w:cs="Arial"/>
        </w:rPr>
      </w:pPr>
      <w:r w:rsidRPr="0074361B">
        <w:rPr>
          <w:rFonts w:ascii="Arial" w:hAnsi="Arial" w:cs="Arial"/>
        </w:rPr>
        <w:t xml:space="preserve">11.6 </w:t>
      </w:r>
      <w:r w:rsidR="005F4534">
        <w:rPr>
          <w:rFonts w:ascii="Arial" w:hAnsi="Arial" w:cs="Arial"/>
        </w:rPr>
        <w:tab/>
      </w:r>
      <w:r w:rsidRPr="0074361B">
        <w:rPr>
          <w:rFonts w:ascii="Arial" w:hAnsi="Arial" w:cs="Arial"/>
        </w:rPr>
        <w:t>Una vez aprobada la tasación de la servidumbre, se notifica al titular del proyecto de inversión, adjuntando copia de la misma, a efectos que manifieste su aceptación en el plazo de cinco (05) días hábiles, contados desde el día siguiente de recibida la comunicación. Únicamente puede requerirse aclaración o corrección de errores materiales, no siendo cuestionable el valor comercial determinado en la tasación.</w:t>
      </w:r>
    </w:p>
    <w:p w:rsidR="0074361B" w:rsidRPr="0074361B" w:rsidRDefault="0074361B" w:rsidP="005F4534">
      <w:pPr>
        <w:spacing w:after="0" w:line="240" w:lineRule="auto"/>
        <w:ind w:left="709" w:hanging="709"/>
        <w:jc w:val="both"/>
        <w:rPr>
          <w:rFonts w:ascii="Arial" w:hAnsi="Arial" w:cs="Arial"/>
        </w:rPr>
      </w:pPr>
    </w:p>
    <w:p w:rsidR="0074361B" w:rsidRPr="0074361B" w:rsidRDefault="0074361B" w:rsidP="005F4534">
      <w:pPr>
        <w:spacing w:after="0" w:line="240" w:lineRule="auto"/>
        <w:ind w:left="709" w:hanging="709"/>
        <w:jc w:val="both"/>
        <w:rPr>
          <w:rFonts w:ascii="Arial" w:hAnsi="Arial" w:cs="Arial"/>
        </w:rPr>
      </w:pPr>
      <w:r w:rsidRPr="0074361B">
        <w:rPr>
          <w:rFonts w:ascii="Arial" w:hAnsi="Arial" w:cs="Arial"/>
        </w:rPr>
        <w:t xml:space="preserve">11.7 </w:t>
      </w:r>
      <w:r w:rsidR="005F4534">
        <w:rPr>
          <w:rFonts w:ascii="Arial" w:hAnsi="Arial" w:cs="Arial"/>
        </w:rPr>
        <w:tab/>
      </w:r>
      <w:r w:rsidRPr="0074361B">
        <w:rPr>
          <w:rFonts w:ascii="Arial" w:hAnsi="Arial" w:cs="Arial"/>
        </w:rPr>
        <w:t>Si con posterioridad a la tasación y habiéndose remitido el expediente a la entidad titular o competente del terreno, se reduce el área que fue objeto de valorización, la entidad titular o competente puede realizar el ajuste de la mencionada tasación.</w:t>
      </w:r>
    </w:p>
    <w:p w:rsidR="0074361B" w:rsidRPr="0074361B" w:rsidRDefault="0074361B" w:rsidP="0074361B">
      <w:pPr>
        <w:spacing w:after="0" w:line="240" w:lineRule="auto"/>
        <w:jc w:val="both"/>
        <w:rPr>
          <w:rFonts w:ascii="Arial" w:hAnsi="Arial" w:cs="Arial"/>
        </w:rPr>
      </w:pPr>
    </w:p>
    <w:p w:rsidR="0074361B" w:rsidRPr="005F4534" w:rsidRDefault="0074361B" w:rsidP="0074361B">
      <w:pPr>
        <w:spacing w:after="0" w:line="240" w:lineRule="auto"/>
        <w:jc w:val="both"/>
        <w:rPr>
          <w:rFonts w:ascii="Arial" w:hAnsi="Arial" w:cs="Arial"/>
          <w:b/>
        </w:rPr>
      </w:pPr>
      <w:r w:rsidRPr="005F4534">
        <w:rPr>
          <w:rFonts w:ascii="Arial" w:hAnsi="Arial" w:cs="Arial"/>
          <w:b/>
        </w:rPr>
        <w:t>Artículo 12.- Informe Técnico - Legal y acciones de saneamiento técnico - legal del terreno</w:t>
      </w:r>
    </w:p>
    <w:p w:rsidR="0074361B" w:rsidRPr="0074361B" w:rsidRDefault="0074361B" w:rsidP="0074361B">
      <w:pPr>
        <w:spacing w:after="0" w:line="240" w:lineRule="auto"/>
        <w:jc w:val="both"/>
        <w:rPr>
          <w:rFonts w:ascii="Arial" w:hAnsi="Arial" w:cs="Arial"/>
        </w:rPr>
      </w:pPr>
    </w:p>
    <w:p w:rsidR="0074361B" w:rsidRPr="0074361B" w:rsidRDefault="0074361B" w:rsidP="005F4534">
      <w:pPr>
        <w:spacing w:after="0" w:line="240" w:lineRule="auto"/>
        <w:ind w:left="709" w:hanging="709"/>
        <w:jc w:val="both"/>
        <w:rPr>
          <w:rFonts w:ascii="Arial" w:hAnsi="Arial" w:cs="Arial"/>
        </w:rPr>
      </w:pPr>
      <w:r w:rsidRPr="0074361B">
        <w:rPr>
          <w:rFonts w:ascii="Arial" w:hAnsi="Arial" w:cs="Arial"/>
        </w:rPr>
        <w:t xml:space="preserve">12.1 </w:t>
      </w:r>
      <w:r w:rsidR="005F4534">
        <w:rPr>
          <w:rFonts w:ascii="Arial" w:hAnsi="Arial" w:cs="Arial"/>
        </w:rPr>
        <w:tab/>
      </w:r>
      <w:r w:rsidRPr="0074361B">
        <w:rPr>
          <w:rFonts w:ascii="Arial" w:hAnsi="Arial" w:cs="Arial"/>
        </w:rPr>
        <w:t>Luego de la entrega provisional por parte de la SBN, la entidad titular del terreno estatal o la entidad competente para su administración continua con la evaluación técnico - legal del terreno solicitado, a fin de determinar la procedencia de la aprobación de la servidumbre, para lo cual dispone la inspección del terreno, solicita información o aclaraciones a entidades públicas o privadas, entre otras acciones que le permitan establecer la situación técnico - legal del terreno, la cual consta en un informe.</w:t>
      </w:r>
    </w:p>
    <w:p w:rsidR="0074361B" w:rsidRPr="0074361B" w:rsidRDefault="0074361B" w:rsidP="005F4534">
      <w:pPr>
        <w:spacing w:after="0" w:line="240" w:lineRule="auto"/>
        <w:ind w:left="709" w:hanging="709"/>
        <w:jc w:val="both"/>
        <w:rPr>
          <w:rFonts w:ascii="Arial" w:hAnsi="Arial" w:cs="Arial"/>
        </w:rPr>
      </w:pPr>
    </w:p>
    <w:p w:rsidR="0074361B" w:rsidRPr="0074361B" w:rsidRDefault="0074361B" w:rsidP="005F4534">
      <w:pPr>
        <w:spacing w:after="0" w:line="240" w:lineRule="auto"/>
        <w:ind w:left="709" w:hanging="709"/>
        <w:jc w:val="both"/>
        <w:rPr>
          <w:rFonts w:ascii="Arial" w:hAnsi="Arial" w:cs="Arial"/>
        </w:rPr>
      </w:pPr>
      <w:r w:rsidRPr="0074361B">
        <w:rPr>
          <w:rFonts w:ascii="Arial" w:hAnsi="Arial" w:cs="Arial"/>
        </w:rPr>
        <w:t xml:space="preserve">12.2 </w:t>
      </w:r>
      <w:r w:rsidR="005F4534">
        <w:rPr>
          <w:rFonts w:ascii="Arial" w:hAnsi="Arial" w:cs="Arial"/>
        </w:rPr>
        <w:tab/>
      </w:r>
      <w:r w:rsidRPr="0074361B">
        <w:rPr>
          <w:rFonts w:ascii="Arial" w:hAnsi="Arial" w:cs="Arial"/>
        </w:rPr>
        <w:t>En caso que el terreno solicitado requiera de alguna acción de saneamiento técnico - legal tales como: Independización, rectificación de área, aclaración del titular de dominio u otro acto similar, ésta puede efectuarse en el mismo procedimiento de servidumbre por la entidad titular del terreno estatal o la entidad competente para su administración.</w:t>
      </w:r>
    </w:p>
    <w:p w:rsidR="0074361B" w:rsidRPr="0074361B" w:rsidRDefault="0074361B" w:rsidP="005F4534">
      <w:pPr>
        <w:spacing w:after="0" w:line="240" w:lineRule="auto"/>
        <w:ind w:left="709" w:hanging="709"/>
        <w:jc w:val="both"/>
        <w:rPr>
          <w:rFonts w:ascii="Arial" w:hAnsi="Arial" w:cs="Arial"/>
        </w:rPr>
      </w:pPr>
    </w:p>
    <w:p w:rsidR="0074361B" w:rsidRPr="0074361B" w:rsidRDefault="0074361B" w:rsidP="005F4534">
      <w:pPr>
        <w:spacing w:after="0" w:line="240" w:lineRule="auto"/>
        <w:ind w:left="709" w:hanging="709"/>
        <w:jc w:val="both"/>
        <w:rPr>
          <w:rFonts w:ascii="Arial" w:hAnsi="Arial" w:cs="Arial"/>
        </w:rPr>
      </w:pPr>
      <w:r w:rsidRPr="0074361B">
        <w:rPr>
          <w:rFonts w:ascii="Arial" w:hAnsi="Arial" w:cs="Arial"/>
        </w:rPr>
        <w:t xml:space="preserve">12.3 </w:t>
      </w:r>
      <w:r w:rsidR="005F4534">
        <w:rPr>
          <w:rFonts w:ascii="Arial" w:hAnsi="Arial" w:cs="Arial"/>
        </w:rPr>
        <w:tab/>
      </w:r>
      <w:r w:rsidRPr="0074361B">
        <w:rPr>
          <w:rFonts w:ascii="Arial" w:hAnsi="Arial" w:cs="Arial"/>
        </w:rPr>
        <w:t>En caso que el terreno estatal se ubique en la jurisdicción de un Gobierno Regional que no cuenta con competencias transferidas, la SBN efectúa el procedimiento de primera inscripción de dominio, así como cualquier otra acción de saneamiento técnico legal que sea necesaria.</w:t>
      </w:r>
    </w:p>
    <w:p w:rsidR="0074361B" w:rsidRPr="0074361B" w:rsidRDefault="0074361B" w:rsidP="005F4534">
      <w:pPr>
        <w:spacing w:after="0" w:line="240" w:lineRule="auto"/>
        <w:ind w:left="709" w:hanging="709"/>
        <w:jc w:val="both"/>
        <w:rPr>
          <w:rFonts w:ascii="Arial" w:hAnsi="Arial" w:cs="Arial"/>
        </w:rPr>
      </w:pPr>
    </w:p>
    <w:p w:rsidR="0074361B" w:rsidRPr="0074361B" w:rsidRDefault="0074361B" w:rsidP="005F4534">
      <w:pPr>
        <w:spacing w:after="0" w:line="240" w:lineRule="auto"/>
        <w:ind w:left="709" w:hanging="709"/>
        <w:jc w:val="both"/>
        <w:rPr>
          <w:rFonts w:ascii="Arial" w:hAnsi="Arial" w:cs="Arial"/>
        </w:rPr>
      </w:pPr>
      <w:r w:rsidRPr="0074361B">
        <w:rPr>
          <w:rFonts w:ascii="Arial" w:hAnsi="Arial" w:cs="Arial"/>
        </w:rPr>
        <w:t xml:space="preserve">12.4 </w:t>
      </w:r>
      <w:r w:rsidR="005F4534">
        <w:rPr>
          <w:rFonts w:ascii="Arial" w:hAnsi="Arial" w:cs="Arial"/>
        </w:rPr>
        <w:tab/>
      </w:r>
      <w:r w:rsidRPr="0074361B">
        <w:rPr>
          <w:rFonts w:ascii="Arial" w:hAnsi="Arial" w:cs="Arial"/>
        </w:rPr>
        <w:t>En el caso que el terreno del Estado no se encuentra inscrito y se ubica en la jurisdicción de un Gobierno Regional que cuenta con funciones transferidas, la SBN remite la información pertinente a dicha entidad, a fin que tramite la inscripción en primera de dominio del terreno ante el respectivo Registro de Predios, para el otorgamiento del derecho de servidumbre.</w:t>
      </w:r>
    </w:p>
    <w:p w:rsidR="0074361B" w:rsidRPr="0074361B" w:rsidRDefault="0074361B" w:rsidP="005F4534">
      <w:pPr>
        <w:spacing w:after="0" w:line="240" w:lineRule="auto"/>
        <w:ind w:left="709" w:hanging="709"/>
        <w:jc w:val="both"/>
        <w:rPr>
          <w:rFonts w:ascii="Arial" w:hAnsi="Arial" w:cs="Arial"/>
        </w:rPr>
      </w:pPr>
    </w:p>
    <w:p w:rsidR="0074361B" w:rsidRPr="0074361B" w:rsidRDefault="0074361B" w:rsidP="005F4534">
      <w:pPr>
        <w:spacing w:after="0" w:line="240" w:lineRule="auto"/>
        <w:ind w:left="709" w:hanging="709"/>
        <w:jc w:val="both"/>
        <w:rPr>
          <w:rFonts w:ascii="Arial" w:hAnsi="Arial" w:cs="Arial"/>
        </w:rPr>
      </w:pPr>
      <w:r w:rsidRPr="0074361B">
        <w:rPr>
          <w:rFonts w:ascii="Arial" w:hAnsi="Arial" w:cs="Arial"/>
        </w:rPr>
        <w:t xml:space="preserve">12.5 </w:t>
      </w:r>
      <w:r w:rsidR="005F4534">
        <w:rPr>
          <w:rFonts w:ascii="Arial" w:hAnsi="Arial" w:cs="Arial"/>
        </w:rPr>
        <w:tab/>
      </w:r>
      <w:r w:rsidRPr="0074361B">
        <w:rPr>
          <w:rFonts w:ascii="Arial" w:hAnsi="Arial" w:cs="Arial"/>
        </w:rPr>
        <w:t>Si del Informe Técnico - Legal se advierte que el terreno entregado, constituye propiedad privada o presenta cualquier restricción incompatible con la servidumbre solicitada, la SBN o el Gobierno Regional con funciones transferidas, deja sin efecto la entrega provisional realizada respecto al área donde se advierte dicha restricción o incompatibilidad, comunicando dicha situación al titular del terreno, a la autoridad sectorial correspondiente y al titular del proyecto de inversión, bastando la notificación mediante oficio para que proceda a devolver el terreno, bajo apercibimiento de declarar en abandono el procedimiento.</w:t>
      </w:r>
    </w:p>
    <w:p w:rsidR="0074361B" w:rsidRPr="0074361B" w:rsidRDefault="0074361B" w:rsidP="0074361B">
      <w:pPr>
        <w:spacing w:after="0" w:line="240" w:lineRule="auto"/>
        <w:jc w:val="both"/>
        <w:rPr>
          <w:rFonts w:ascii="Arial" w:hAnsi="Arial" w:cs="Arial"/>
        </w:rPr>
      </w:pPr>
    </w:p>
    <w:p w:rsidR="0074361B" w:rsidRPr="005F4534" w:rsidRDefault="0074361B" w:rsidP="0074361B">
      <w:pPr>
        <w:spacing w:after="0" w:line="240" w:lineRule="auto"/>
        <w:jc w:val="both"/>
        <w:rPr>
          <w:rFonts w:ascii="Arial" w:hAnsi="Arial" w:cs="Arial"/>
          <w:b/>
        </w:rPr>
      </w:pPr>
      <w:r w:rsidRPr="005F4534">
        <w:rPr>
          <w:rFonts w:ascii="Arial" w:hAnsi="Arial" w:cs="Arial"/>
          <w:b/>
        </w:rPr>
        <w:t>Artículo 13.- Abandono del procedimiento</w:t>
      </w:r>
    </w:p>
    <w:p w:rsidR="0074361B" w:rsidRPr="0074361B" w:rsidRDefault="0074361B" w:rsidP="0074361B">
      <w:pPr>
        <w:spacing w:after="0" w:line="240" w:lineRule="auto"/>
        <w:jc w:val="both"/>
        <w:rPr>
          <w:rFonts w:ascii="Arial" w:hAnsi="Arial" w:cs="Arial"/>
        </w:rPr>
      </w:pPr>
      <w:r w:rsidRPr="0074361B">
        <w:rPr>
          <w:rFonts w:ascii="Arial" w:hAnsi="Arial" w:cs="Arial"/>
        </w:rPr>
        <w:t>Transcurrido el plazo de notificación de la valuación comercial sin que se produzca la aceptación por el titular del proyecto de inversión, la SBN, respecto de los terrenos que se encuentren bajo su administración, declara mediante resolución motivada el abandono del procedimiento, deja sin efecto la entrega provisional y requiere la devolución del terreno.</w:t>
      </w:r>
    </w:p>
    <w:p w:rsidR="0074361B" w:rsidRPr="0074361B" w:rsidRDefault="0074361B" w:rsidP="0074361B">
      <w:pPr>
        <w:spacing w:after="0" w:line="240" w:lineRule="auto"/>
        <w:jc w:val="both"/>
        <w:rPr>
          <w:rFonts w:ascii="Arial" w:hAnsi="Arial" w:cs="Arial"/>
        </w:rPr>
      </w:pPr>
    </w:p>
    <w:p w:rsidR="0074361B" w:rsidRPr="0074361B" w:rsidRDefault="0074361B" w:rsidP="0074361B">
      <w:pPr>
        <w:spacing w:after="0" w:line="240" w:lineRule="auto"/>
        <w:jc w:val="both"/>
        <w:rPr>
          <w:rFonts w:ascii="Arial" w:hAnsi="Arial" w:cs="Arial"/>
        </w:rPr>
      </w:pPr>
      <w:r w:rsidRPr="0074361B">
        <w:rPr>
          <w:rFonts w:ascii="Arial" w:hAnsi="Arial" w:cs="Arial"/>
        </w:rPr>
        <w:t>En el supuesto que el terreno se encuentre bajo administración de un Gobierno Regional o sea de titularidad de una entidad pública en particular; si el titular del proyecto de inversión no acepta la tasación comercial del terreno dentro del plazo establecido en el artículo 21 de la Ley, recibido el expediente remitido por la SBN, el Gobierno Regional o entidad pública competente, declara, mediante resolución motivada, el abandono del procedimiento, dejando sin efecto la entrega provisional y requiere la devolución del terreno.</w:t>
      </w:r>
    </w:p>
    <w:p w:rsidR="005F4534" w:rsidRDefault="005F4534" w:rsidP="0074361B">
      <w:pPr>
        <w:spacing w:after="0" w:line="240" w:lineRule="auto"/>
        <w:jc w:val="both"/>
        <w:rPr>
          <w:rFonts w:ascii="Arial" w:hAnsi="Arial" w:cs="Arial"/>
        </w:rPr>
      </w:pPr>
    </w:p>
    <w:p w:rsidR="0074361B" w:rsidRPr="0074361B" w:rsidRDefault="0074361B" w:rsidP="0074361B">
      <w:pPr>
        <w:spacing w:after="0" w:line="240" w:lineRule="auto"/>
        <w:jc w:val="both"/>
        <w:rPr>
          <w:rFonts w:ascii="Arial" w:hAnsi="Arial" w:cs="Arial"/>
        </w:rPr>
      </w:pPr>
      <w:r w:rsidRPr="0074361B">
        <w:rPr>
          <w:rFonts w:ascii="Arial" w:hAnsi="Arial" w:cs="Arial"/>
        </w:rPr>
        <w:t>Artículo 14.- Remisión del expediente a las entidades</w:t>
      </w:r>
    </w:p>
    <w:p w:rsidR="0074361B" w:rsidRPr="0074361B" w:rsidRDefault="0074361B" w:rsidP="0074361B">
      <w:pPr>
        <w:spacing w:after="0" w:line="240" w:lineRule="auto"/>
        <w:jc w:val="both"/>
        <w:rPr>
          <w:rFonts w:ascii="Arial" w:hAnsi="Arial" w:cs="Arial"/>
        </w:rPr>
      </w:pPr>
    </w:p>
    <w:p w:rsidR="0074361B" w:rsidRPr="0074361B" w:rsidRDefault="0074361B" w:rsidP="005F4534">
      <w:pPr>
        <w:spacing w:after="0" w:line="240" w:lineRule="auto"/>
        <w:ind w:left="709" w:hanging="709"/>
        <w:jc w:val="both"/>
        <w:rPr>
          <w:rFonts w:ascii="Arial" w:hAnsi="Arial" w:cs="Arial"/>
        </w:rPr>
      </w:pPr>
      <w:r w:rsidRPr="0074361B">
        <w:rPr>
          <w:rFonts w:ascii="Arial" w:hAnsi="Arial" w:cs="Arial"/>
        </w:rPr>
        <w:t xml:space="preserve">14.1 </w:t>
      </w:r>
      <w:r w:rsidR="005F4534">
        <w:rPr>
          <w:rFonts w:ascii="Arial" w:hAnsi="Arial" w:cs="Arial"/>
        </w:rPr>
        <w:tab/>
      </w:r>
      <w:r w:rsidRPr="0074361B">
        <w:rPr>
          <w:rFonts w:ascii="Arial" w:hAnsi="Arial" w:cs="Arial"/>
        </w:rPr>
        <w:t>En el supuesto que el terreno sea de propiedad de una entidad pública o bajo administración de un Gobierno Regional con funciones transferidas, concluida la etapa de valuación comercial, la SBN remite a las citadas entidades el expediente original de todo lo actuado en el procedimiento de servidumbre, conservando la SBN una copia autenticada del mismo.</w:t>
      </w:r>
    </w:p>
    <w:p w:rsidR="0074361B" w:rsidRPr="0074361B" w:rsidRDefault="0074361B" w:rsidP="005F4534">
      <w:pPr>
        <w:spacing w:after="0" w:line="240" w:lineRule="auto"/>
        <w:ind w:left="709" w:hanging="709"/>
        <w:jc w:val="both"/>
        <w:rPr>
          <w:rFonts w:ascii="Arial" w:hAnsi="Arial" w:cs="Arial"/>
        </w:rPr>
      </w:pPr>
    </w:p>
    <w:p w:rsidR="0074361B" w:rsidRPr="0074361B" w:rsidRDefault="0074361B" w:rsidP="005F4534">
      <w:pPr>
        <w:spacing w:after="0" w:line="240" w:lineRule="auto"/>
        <w:ind w:left="709" w:hanging="709"/>
        <w:jc w:val="both"/>
        <w:rPr>
          <w:rFonts w:ascii="Arial" w:hAnsi="Arial" w:cs="Arial"/>
        </w:rPr>
      </w:pPr>
      <w:r w:rsidRPr="0074361B">
        <w:rPr>
          <w:rFonts w:ascii="Arial" w:hAnsi="Arial" w:cs="Arial"/>
        </w:rPr>
        <w:t xml:space="preserve">14.2 </w:t>
      </w:r>
      <w:r w:rsidR="005F4534">
        <w:rPr>
          <w:rFonts w:ascii="Arial" w:hAnsi="Arial" w:cs="Arial"/>
        </w:rPr>
        <w:tab/>
      </w:r>
      <w:r w:rsidRPr="0074361B">
        <w:rPr>
          <w:rFonts w:ascii="Arial" w:hAnsi="Arial" w:cs="Arial"/>
        </w:rPr>
        <w:t>El expediente continúa bajo la competencia de la SBN en los casos siguientes:</w:t>
      </w:r>
    </w:p>
    <w:p w:rsidR="0074361B" w:rsidRPr="0074361B" w:rsidRDefault="0074361B" w:rsidP="005F4534">
      <w:pPr>
        <w:spacing w:after="0" w:line="240" w:lineRule="auto"/>
        <w:ind w:left="709" w:hanging="709"/>
        <w:jc w:val="both"/>
        <w:rPr>
          <w:rFonts w:ascii="Arial" w:hAnsi="Arial" w:cs="Arial"/>
        </w:rPr>
      </w:pPr>
    </w:p>
    <w:p w:rsidR="0074361B" w:rsidRPr="0074361B" w:rsidRDefault="0074361B" w:rsidP="005F4534">
      <w:pPr>
        <w:spacing w:after="0" w:line="240" w:lineRule="auto"/>
        <w:ind w:left="1418" w:hanging="709"/>
        <w:jc w:val="both"/>
        <w:rPr>
          <w:rFonts w:ascii="Arial" w:hAnsi="Arial" w:cs="Arial"/>
        </w:rPr>
      </w:pPr>
      <w:r w:rsidRPr="0074361B">
        <w:rPr>
          <w:rFonts w:ascii="Arial" w:hAnsi="Arial" w:cs="Arial"/>
        </w:rPr>
        <w:t xml:space="preserve">a) </w:t>
      </w:r>
      <w:r w:rsidR="005F4534">
        <w:rPr>
          <w:rFonts w:ascii="Arial" w:hAnsi="Arial" w:cs="Arial"/>
        </w:rPr>
        <w:tab/>
      </w:r>
      <w:r w:rsidRPr="0074361B">
        <w:rPr>
          <w:rFonts w:ascii="Arial" w:hAnsi="Arial" w:cs="Arial"/>
        </w:rPr>
        <w:t>Cuando se trate de un terreno de su propiedad.</w:t>
      </w:r>
    </w:p>
    <w:p w:rsidR="0074361B" w:rsidRPr="0074361B" w:rsidRDefault="0074361B" w:rsidP="005F4534">
      <w:pPr>
        <w:spacing w:after="0" w:line="240" w:lineRule="auto"/>
        <w:ind w:left="1418" w:hanging="709"/>
        <w:jc w:val="both"/>
        <w:rPr>
          <w:rFonts w:ascii="Arial" w:hAnsi="Arial" w:cs="Arial"/>
        </w:rPr>
      </w:pPr>
    </w:p>
    <w:p w:rsidR="0074361B" w:rsidRPr="0074361B" w:rsidRDefault="0074361B" w:rsidP="005F4534">
      <w:pPr>
        <w:spacing w:after="0" w:line="240" w:lineRule="auto"/>
        <w:ind w:left="1418" w:hanging="709"/>
        <w:jc w:val="both"/>
        <w:rPr>
          <w:rFonts w:ascii="Arial" w:hAnsi="Arial" w:cs="Arial"/>
        </w:rPr>
      </w:pPr>
      <w:r w:rsidRPr="0074361B">
        <w:rPr>
          <w:rFonts w:ascii="Arial" w:hAnsi="Arial" w:cs="Arial"/>
        </w:rPr>
        <w:t xml:space="preserve">b) </w:t>
      </w:r>
      <w:r w:rsidR="005F4534">
        <w:rPr>
          <w:rFonts w:ascii="Arial" w:hAnsi="Arial" w:cs="Arial"/>
        </w:rPr>
        <w:tab/>
      </w:r>
      <w:r w:rsidRPr="0074361B">
        <w:rPr>
          <w:rFonts w:ascii="Arial" w:hAnsi="Arial" w:cs="Arial"/>
        </w:rPr>
        <w:t>Cuando se trate de un terreno del Estado, respecto del cual aún no se ha efectivizado la transferencia de funciones.</w:t>
      </w:r>
    </w:p>
    <w:p w:rsidR="0074361B" w:rsidRPr="0074361B" w:rsidRDefault="0074361B" w:rsidP="005F4534">
      <w:pPr>
        <w:spacing w:after="0" w:line="240" w:lineRule="auto"/>
        <w:ind w:left="1418" w:hanging="709"/>
        <w:jc w:val="both"/>
        <w:rPr>
          <w:rFonts w:ascii="Arial" w:hAnsi="Arial" w:cs="Arial"/>
        </w:rPr>
      </w:pPr>
    </w:p>
    <w:p w:rsidR="0074361B" w:rsidRPr="0074361B" w:rsidRDefault="0074361B" w:rsidP="005F4534">
      <w:pPr>
        <w:spacing w:after="0" w:line="240" w:lineRule="auto"/>
        <w:ind w:left="1418" w:hanging="709"/>
        <w:jc w:val="both"/>
        <w:rPr>
          <w:rFonts w:ascii="Arial" w:hAnsi="Arial" w:cs="Arial"/>
        </w:rPr>
      </w:pPr>
      <w:r w:rsidRPr="0074361B">
        <w:rPr>
          <w:rFonts w:ascii="Arial" w:hAnsi="Arial" w:cs="Arial"/>
        </w:rPr>
        <w:t xml:space="preserve">c) </w:t>
      </w:r>
      <w:r w:rsidR="005F4534">
        <w:rPr>
          <w:rFonts w:ascii="Arial" w:hAnsi="Arial" w:cs="Arial"/>
        </w:rPr>
        <w:tab/>
      </w:r>
      <w:r w:rsidRPr="0074361B">
        <w:rPr>
          <w:rFonts w:ascii="Arial" w:hAnsi="Arial" w:cs="Arial"/>
        </w:rPr>
        <w:t>Cuando se trate de un terreno del Estado de alcance nacional, de acuerdo a lo dispuesto por las normas del SNBE.</w:t>
      </w:r>
    </w:p>
    <w:p w:rsidR="0074361B" w:rsidRPr="0074361B" w:rsidRDefault="0074361B" w:rsidP="005F4534">
      <w:pPr>
        <w:spacing w:after="0" w:line="240" w:lineRule="auto"/>
        <w:ind w:left="1418" w:hanging="709"/>
        <w:jc w:val="both"/>
        <w:rPr>
          <w:rFonts w:ascii="Arial" w:hAnsi="Arial" w:cs="Arial"/>
        </w:rPr>
      </w:pPr>
    </w:p>
    <w:p w:rsidR="0074361B" w:rsidRPr="0074361B" w:rsidRDefault="0074361B" w:rsidP="005F4534">
      <w:pPr>
        <w:spacing w:after="0" w:line="240" w:lineRule="auto"/>
        <w:ind w:left="1418" w:hanging="709"/>
        <w:jc w:val="both"/>
        <w:rPr>
          <w:rFonts w:ascii="Arial" w:hAnsi="Arial" w:cs="Arial"/>
        </w:rPr>
      </w:pPr>
      <w:r w:rsidRPr="0074361B">
        <w:rPr>
          <w:rFonts w:ascii="Arial" w:hAnsi="Arial" w:cs="Arial"/>
        </w:rPr>
        <w:t xml:space="preserve">d) </w:t>
      </w:r>
      <w:r w:rsidR="005F4534">
        <w:rPr>
          <w:rFonts w:ascii="Arial" w:hAnsi="Arial" w:cs="Arial"/>
        </w:rPr>
        <w:tab/>
      </w:r>
      <w:r w:rsidRPr="0074361B">
        <w:rPr>
          <w:rFonts w:ascii="Arial" w:hAnsi="Arial" w:cs="Arial"/>
        </w:rPr>
        <w:t>Cuando se trate de un proyecto de interés nacional que cuenta con declaración emitida por la autoridad sectorial competente o por Ley expresa.</w:t>
      </w:r>
    </w:p>
    <w:p w:rsidR="0074361B" w:rsidRPr="0074361B" w:rsidRDefault="0074361B" w:rsidP="005F4534">
      <w:pPr>
        <w:spacing w:after="0" w:line="240" w:lineRule="auto"/>
        <w:ind w:left="1418" w:hanging="709"/>
        <w:jc w:val="both"/>
        <w:rPr>
          <w:rFonts w:ascii="Arial" w:hAnsi="Arial" w:cs="Arial"/>
        </w:rPr>
      </w:pPr>
    </w:p>
    <w:p w:rsidR="0074361B" w:rsidRPr="0074361B" w:rsidRDefault="0074361B" w:rsidP="005F4534">
      <w:pPr>
        <w:spacing w:after="0" w:line="240" w:lineRule="auto"/>
        <w:ind w:left="1418" w:hanging="709"/>
        <w:jc w:val="both"/>
        <w:rPr>
          <w:rFonts w:ascii="Arial" w:hAnsi="Arial" w:cs="Arial"/>
        </w:rPr>
      </w:pPr>
      <w:r w:rsidRPr="0074361B">
        <w:rPr>
          <w:rFonts w:ascii="Arial" w:hAnsi="Arial" w:cs="Arial"/>
        </w:rPr>
        <w:t xml:space="preserve">e) </w:t>
      </w:r>
      <w:r w:rsidR="005F4534">
        <w:rPr>
          <w:rFonts w:ascii="Arial" w:hAnsi="Arial" w:cs="Arial"/>
        </w:rPr>
        <w:tab/>
      </w:r>
      <w:r w:rsidRPr="0074361B">
        <w:rPr>
          <w:rFonts w:ascii="Arial" w:hAnsi="Arial" w:cs="Arial"/>
        </w:rPr>
        <w:t>Cuando se trate de un proyecto de inversión comprendido bajo los alcances de la Ley Nº 30025.</w:t>
      </w:r>
    </w:p>
    <w:p w:rsidR="0074361B" w:rsidRPr="0074361B" w:rsidRDefault="0074361B" w:rsidP="0074361B">
      <w:pPr>
        <w:spacing w:after="0" w:line="240" w:lineRule="auto"/>
        <w:jc w:val="both"/>
        <w:rPr>
          <w:rFonts w:ascii="Arial" w:hAnsi="Arial" w:cs="Arial"/>
        </w:rPr>
      </w:pPr>
    </w:p>
    <w:p w:rsidR="0074361B" w:rsidRPr="005F4534" w:rsidRDefault="0074361B" w:rsidP="0074361B">
      <w:pPr>
        <w:spacing w:after="0" w:line="240" w:lineRule="auto"/>
        <w:jc w:val="both"/>
        <w:rPr>
          <w:rFonts w:ascii="Arial" w:hAnsi="Arial" w:cs="Arial"/>
          <w:b/>
        </w:rPr>
      </w:pPr>
      <w:r w:rsidRPr="005F4534">
        <w:rPr>
          <w:rFonts w:ascii="Arial" w:hAnsi="Arial" w:cs="Arial"/>
          <w:b/>
        </w:rPr>
        <w:t>Artículo 15.- De la resolución de constitución de servidumbre</w:t>
      </w:r>
    </w:p>
    <w:p w:rsidR="0074361B" w:rsidRPr="0074361B" w:rsidRDefault="0074361B" w:rsidP="0074361B">
      <w:pPr>
        <w:spacing w:after="0" w:line="240" w:lineRule="auto"/>
        <w:jc w:val="both"/>
        <w:rPr>
          <w:rFonts w:ascii="Arial" w:hAnsi="Arial" w:cs="Arial"/>
        </w:rPr>
      </w:pPr>
    </w:p>
    <w:p w:rsidR="0074361B" w:rsidRPr="0074361B" w:rsidRDefault="0074361B" w:rsidP="005F4534">
      <w:pPr>
        <w:spacing w:after="0" w:line="240" w:lineRule="auto"/>
        <w:ind w:left="709" w:hanging="709"/>
        <w:jc w:val="both"/>
        <w:rPr>
          <w:rFonts w:ascii="Arial" w:hAnsi="Arial" w:cs="Arial"/>
        </w:rPr>
      </w:pPr>
      <w:r w:rsidRPr="0074361B">
        <w:rPr>
          <w:rFonts w:ascii="Arial" w:hAnsi="Arial" w:cs="Arial"/>
        </w:rPr>
        <w:t xml:space="preserve">15.1 </w:t>
      </w:r>
      <w:r w:rsidR="005F4534">
        <w:rPr>
          <w:rFonts w:ascii="Arial" w:hAnsi="Arial" w:cs="Arial"/>
        </w:rPr>
        <w:tab/>
      </w:r>
      <w:r w:rsidRPr="0074361B">
        <w:rPr>
          <w:rFonts w:ascii="Arial" w:hAnsi="Arial" w:cs="Arial"/>
        </w:rPr>
        <w:t>Para sustentar la resolución que aprueba la constitución del derecho de servidumbre, la SBN, el Gobierno Regional con competencias transferidas o la entidad titular del terreno, según corresponda, procede a elaborar un Informe Técnico - Legal que sustenta la emisión de la resolución de constitución del derecho de servidumbre.</w:t>
      </w:r>
    </w:p>
    <w:p w:rsidR="0074361B" w:rsidRPr="0074361B" w:rsidRDefault="0074361B" w:rsidP="005F4534">
      <w:pPr>
        <w:spacing w:after="0" w:line="240" w:lineRule="auto"/>
        <w:ind w:left="709" w:hanging="709"/>
        <w:jc w:val="both"/>
        <w:rPr>
          <w:rFonts w:ascii="Arial" w:hAnsi="Arial" w:cs="Arial"/>
        </w:rPr>
      </w:pPr>
    </w:p>
    <w:p w:rsidR="0074361B" w:rsidRPr="0074361B" w:rsidRDefault="0074361B" w:rsidP="005F4534">
      <w:pPr>
        <w:spacing w:after="0" w:line="240" w:lineRule="auto"/>
        <w:ind w:left="709" w:hanging="709"/>
        <w:jc w:val="both"/>
        <w:rPr>
          <w:rFonts w:ascii="Arial" w:hAnsi="Arial" w:cs="Arial"/>
        </w:rPr>
      </w:pPr>
      <w:r w:rsidRPr="0074361B">
        <w:rPr>
          <w:rFonts w:ascii="Arial" w:hAnsi="Arial" w:cs="Arial"/>
        </w:rPr>
        <w:tab/>
        <w:t>El Informe Técnico - Legal es elaborado por el (los) profesional(es) de la unidad orgánica responsable(s) de la tramitación y evaluación del procedimiento, y contiene el análisis y la fundamentación respectiva conforme a lo establecido por el artículo 34 del Reglamento de la Ley Nº 29151, adjuntando el proyecto de Resolución que aprueba el otorgamiento de la servidumbre, suscrito por el jefe de la unidad orgánica competente, así como el proyecto de contrato.</w:t>
      </w:r>
    </w:p>
    <w:p w:rsidR="0074361B" w:rsidRPr="0074361B" w:rsidRDefault="0074361B" w:rsidP="005F4534">
      <w:pPr>
        <w:spacing w:after="0" w:line="240" w:lineRule="auto"/>
        <w:ind w:left="709" w:hanging="709"/>
        <w:jc w:val="both"/>
        <w:rPr>
          <w:rFonts w:ascii="Arial" w:hAnsi="Arial" w:cs="Arial"/>
        </w:rPr>
      </w:pPr>
    </w:p>
    <w:p w:rsidR="0074361B" w:rsidRPr="0074361B" w:rsidRDefault="0074361B" w:rsidP="005F4534">
      <w:pPr>
        <w:spacing w:after="0" w:line="240" w:lineRule="auto"/>
        <w:ind w:left="709" w:hanging="709"/>
        <w:jc w:val="both"/>
        <w:rPr>
          <w:rFonts w:ascii="Arial" w:hAnsi="Arial" w:cs="Arial"/>
        </w:rPr>
      </w:pPr>
      <w:r w:rsidRPr="0074361B">
        <w:rPr>
          <w:rFonts w:ascii="Arial" w:hAnsi="Arial" w:cs="Arial"/>
        </w:rPr>
        <w:t xml:space="preserve">15.2 </w:t>
      </w:r>
      <w:r w:rsidR="005F4534">
        <w:rPr>
          <w:rFonts w:ascii="Arial" w:hAnsi="Arial" w:cs="Arial"/>
        </w:rPr>
        <w:tab/>
      </w:r>
      <w:r w:rsidRPr="0074361B">
        <w:rPr>
          <w:rFonts w:ascii="Arial" w:hAnsi="Arial" w:cs="Arial"/>
        </w:rPr>
        <w:t>Si el terreno es de propiedad del Estado, la resolución es emitida por la SBN o por el Gobierno Regional que cuenta con funciones transferidas.</w:t>
      </w:r>
    </w:p>
    <w:p w:rsidR="0074361B" w:rsidRPr="0074361B" w:rsidRDefault="0074361B" w:rsidP="005F4534">
      <w:pPr>
        <w:spacing w:after="0" w:line="240" w:lineRule="auto"/>
        <w:ind w:left="709" w:hanging="709"/>
        <w:jc w:val="both"/>
        <w:rPr>
          <w:rFonts w:ascii="Arial" w:hAnsi="Arial" w:cs="Arial"/>
        </w:rPr>
      </w:pPr>
    </w:p>
    <w:p w:rsidR="0074361B" w:rsidRPr="0074361B" w:rsidRDefault="0074361B" w:rsidP="005F4534">
      <w:pPr>
        <w:spacing w:after="0" w:line="240" w:lineRule="auto"/>
        <w:ind w:left="709" w:hanging="709"/>
        <w:jc w:val="both"/>
        <w:rPr>
          <w:rFonts w:ascii="Arial" w:hAnsi="Arial" w:cs="Arial"/>
        </w:rPr>
      </w:pPr>
      <w:r w:rsidRPr="0074361B">
        <w:rPr>
          <w:rFonts w:ascii="Arial" w:hAnsi="Arial" w:cs="Arial"/>
        </w:rPr>
        <w:t xml:space="preserve">15.3 </w:t>
      </w:r>
      <w:r w:rsidR="005F4534">
        <w:rPr>
          <w:rFonts w:ascii="Arial" w:hAnsi="Arial" w:cs="Arial"/>
        </w:rPr>
        <w:tab/>
      </w:r>
      <w:r w:rsidRPr="0074361B">
        <w:rPr>
          <w:rFonts w:ascii="Arial" w:hAnsi="Arial" w:cs="Arial"/>
        </w:rPr>
        <w:t>Si el terreno es de propiedad de una entidad pública en particular, corresponde que la resolución sea emitida por la entidad titular del terreno.</w:t>
      </w:r>
    </w:p>
    <w:p w:rsidR="0074361B" w:rsidRPr="0074361B" w:rsidRDefault="0074361B" w:rsidP="005F4534">
      <w:pPr>
        <w:spacing w:after="0" w:line="240" w:lineRule="auto"/>
        <w:ind w:left="709" w:hanging="709"/>
        <w:jc w:val="both"/>
        <w:rPr>
          <w:rFonts w:ascii="Arial" w:hAnsi="Arial" w:cs="Arial"/>
        </w:rPr>
      </w:pPr>
    </w:p>
    <w:p w:rsidR="0074361B" w:rsidRPr="0074361B" w:rsidRDefault="0074361B" w:rsidP="005F4534">
      <w:pPr>
        <w:spacing w:after="0" w:line="240" w:lineRule="auto"/>
        <w:ind w:left="709" w:hanging="709"/>
        <w:jc w:val="both"/>
        <w:rPr>
          <w:rFonts w:ascii="Arial" w:hAnsi="Arial" w:cs="Arial"/>
        </w:rPr>
      </w:pPr>
      <w:r w:rsidRPr="0074361B">
        <w:rPr>
          <w:rFonts w:ascii="Arial" w:hAnsi="Arial" w:cs="Arial"/>
        </w:rPr>
        <w:t xml:space="preserve">15.4 </w:t>
      </w:r>
      <w:r w:rsidR="005F4534">
        <w:rPr>
          <w:rFonts w:ascii="Arial" w:hAnsi="Arial" w:cs="Arial"/>
        </w:rPr>
        <w:tab/>
      </w:r>
      <w:r w:rsidRPr="0074361B">
        <w:rPr>
          <w:rFonts w:ascii="Arial" w:hAnsi="Arial" w:cs="Arial"/>
        </w:rPr>
        <w:t>La resolución que aprueba la constitución de la servidumbre: Precisa el proyecto de inversión para el cual ha sido otorgada la servidumbre, el plazo de duración de la servidumbre, el valor de la contraprestación y su forma de pago, así como la oportunidad para la cancelación de la contraprestación.</w:t>
      </w:r>
    </w:p>
    <w:p w:rsidR="0074361B" w:rsidRPr="0074361B" w:rsidRDefault="0074361B" w:rsidP="005F4534">
      <w:pPr>
        <w:spacing w:after="0" w:line="240" w:lineRule="auto"/>
        <w:ind w:left="709" w:hanging="709"/>
        <w:jc w:val="both"/>
        <w:rPr>
          <w:rFonts w:ascii="Arial" w:hAnsi="Arial" w:cs="Arial"/>
        </w:rPr>
      </w:pPr>
    </w:p>
    <w:p w:rsidR="0074361B" w:rsidRPr="0074361B" w:rsidRDefault="0074361B" w:rsidP="005F4534">
      <w:pPr>
        <w:spacing w:after="0" w:line="240" w:lineRule="auto"/>
        <w:ind w:left="709" w:hanging="709"/>
        <w:jc w:val="both"/>
        <w:rPr>
          <w:rFonts w:ascii="Arial" w:hAnsi="Arial" w:cs="Arial"/>
        </w:rPr>
      </w:pPr>
      <w:r w:rsidRPr="0074361B">
        <w:rPr>
          <w:rFonts w:ascii="Arial" w:hAnsi="Arial" w:cs="Arial"/>
        </w:rPr>
        <w:t xml:space="preserve">15.5 </w:t>
      </w:r>
      <w:r w:rsidR="005F4534">
        <w:rPr>
          <w:rFonts w:ascii="Arial" w:hAnsi="Arial" w:cs="Arial"/>
        </w:rPr>
        <w:tab/>
      </w:r>
      <w:r w:rsidRPr="0074361B">
        <w:rPr>
          <w:rFonts w:ascii="Arial" w:hAnsi="Arial" w:cs="Arial"/>
        </w:rPr>
        <w:t>La contraprestación por la servidumbre se contabiliza desde la fecha de suscripción del Acta de Entrega - Recepción a que se refiere el numeral 10.2 del artículo 10 del presente Reglamento.</w:t>
      </w:r>
    </w:p>
    <w:p w:rsidR="0074361B" w:rsidRPr="0074361B" w:rsidRDefault="0074361B" w:rsidP="005F4534">
      <w:pPr>
        <w:spacing w:after="0" w:line="240" w:lineRule="auto"/>
        <w:ind w:left="709" w:hanging="709"/>
        <w:jc w:val="both"/>
        <w:rPr>
          <w:rFonts w:ascii="Arial" w:hAnsi="Arial" w:cs="Arial"/>
        </w:rPr>
      </w:pPr>
    </w:p>
    <w:p w:rsidR="0074361B" w:rsidRPr="0074361B" w:rsidRDefault="0074361B" w:rsidP="005F4534">
      <w:pPr>
        <w:spacing w:after="0" w:line="240" w:lineRule="auto"/>
        <w:ind w:left="709" w:hanging="709"/>
        <w:jc w:val="both"/>
        <w:rPr>
          <w:rFonts w:ascii="Arial" w:hAnsi="Arial" w:cs="Arial"/>
        </w:rPr>
      </w:pPr>
      <w:r w:rsidRPr="0074361B">
        <w:rPr>
          <w:rFonts w:ascii="Arial" w:hAnsi="Arial" w:cs="Arial"/>
        </w:rPr>
        <w:t xml:space="preserve">15.6 </w:t>
      </w:r>
      <w:r w:rsidR="005F4534">
        <w:rPr>
          <w:rFonts w:ascii="Arial" w:hAnsi="Arial" w:cs="Arial"/>
        </w:rPr>
        <w:tab/>
      </w:r>
      <w:r w:rsidRPr="0074361B">
        <w:rPr>
          <w:rFonts w:ascii="Arial" w:hAnsi="Arial" w:cs="Arial"/>
        </w:rPr>
        <w:t>La cancelación de la contraprestación es en una sola armada o en cuotas anuales; el número de cuotas es establecido por la entidad que aprueba la servidumbre, en la respectiva resolución. Cuando se establece el pago en cuotas, el valor de éstas se obtiene dividiendo el valor total de la servidumbre entre el número de cuotas aprobadas, monto que se actualiza anualmente con el Índice de Precios al Consumidor.</w:t>
      </w:r>
    </w:p>
    <w:p w:rsidR="0074361B" w:rsidRPr="0074361B" w:rsidRDefault="0074361B" w:rsidP="005F4534">
      <w:pPr>
        <w:spacing w:after="0" w:line="240" w:lineRule="auto"/>
        <w:ind w:left="709" w:hanging="709"/>
        <w:jc w:val="both"/>
        <w:rPr>
          <w:rFonts w:ascii="Arial" w:hAnsi="Arial" w:cs="Arial"/>
        </w:rPr>
      </w:pPr>
    </w:p>
    <w:p w:rsidR="0074361B" w:rsidRPr="0074361B" w:rsidRDefault="0074361B" w:rsidP="005F4534">
      <w:pPr>
        <w:spacing w:after="0" w:line="240" w:lineRule="auto"/>
        <w:ind w:left="709" w:hanging="709"/>
        <w:jc w:val="both"/>
        <w:rPr>
          <w:rFonts w:ascii="Arial" w:hAnsi="Arial" w:cs="Arial"/>
        </w:rPr>
      </w:pPr>
      <w:r w:rsidRPr="0074361B">
        <w:rPr>
          <w:rFonts w:ascii="Arial" w:hAnsi="Arial" w:cs="Arial"/>
        </w:rPr>
        <w:t xml:space="preserve">15.7 </w:t>
      </w:r>
      <w:r w:rsidR="005F4534">
        <w:rPr>
          <w:rFonts w:ascii="Arial" w:hAnsi="Arial" w:cs="Arial"/>
        </w:rPr>
        <w:tab/>
      </w:r>
      <w:r w:rsidRPr="0074361B">
        <w:rPr>
          <w:rFonts w:ascii="Arial" w:hAnsi="Arial" w:cs="Arial"/>
        </w:rPr>
        <w:t>Asimismo, la resolución indica que el derecho de servidumbre no otorga autorizaciones, permisos y otros derechos que, para el ejercicio de sus actividades, el beneficiario de la servidumbre debe obtener ante otras entidades, conforme a la normatividad vigente.</w:t>
      </w:r>
    </w:p>
    <w:p w:rsidR="0074361B" w:rsidRPr="0074361B" w:rsidRDefault="0074361B" w:rsidP="0074361B">
      <w:pPr>
        <w:spacing w:after="0" w:line="240" w:lineRule="auto"/>
        <w:jc w:val="both"/>
        <w:rPr>
          <w:rFonts w:ascii="Arial" w:hAnsi="Arial" w:cs="Arial"/>
        </w:rPr>
      </w:pPr>
    </w:p>
    <w:p w:rsidR="0074361B" w:rsidRPr="0074361B" w:rsidRDefault="0074361B" w:rsidP="0074361B">
      <w:pPr>
        <w:spacing w:after="0" w:line="240" w:lineRule="auto"/>
        <w:jc w:val="both"/>
        <w:rPr>
          <w:rFonts w:ascii="Arial" w:hAnsi="Arial" w:cs="Arial"/>
        </w:rPr>
      </w:pPr>
      <w:r w:rsidRPr="0074361B">
        <w:rPr>
          <w:rFonts w:ascii="Arial" w:hAnsi="Arial" w:cs="Arial"/>
        </w:rPr>
        <w:t>Artículo 16.- Del Pago de la contraprestación por la servidumbre</w:t>
      </w:r>
    </w:p>
    <w:p w:rsidR="0074361B" w:rsidRPr="0074361B" w:rsidRDefault="0074361B" w:rsidP="0074361B">
      <w:pPr>
        <w:spacing w:after="0" w:line="240" w:lineRule="auto"/>
        <w:jc w:val="both"/>
        <w:rPr>
          <w:rFonts w:ascii="Arial" w:hAnsi="Arial" w:cs="Arial"/>
        </w:rPr>
      </w:pPr>
    </w:p>
    <w:p w:rsidR="0074361B" w:rsidRPr="0074361B" w:rsidRDefault="0074361B" w:rsidP="005F4534">
      <w:pPr>
        <w:spacing w:after="0" w:line="240" w:lineRule="auto"/>
        <w:ind w:left="709" w:hanging="709"/>
        <w:jc w:val="both"/>
        <w:rPr>
          <w:rFonts w:ascii="Arial" w:hAnsi="Arial" w:cs="Arial"/>
        </w:rPr>
      </w:pPr>
      <w:r w:rsidRPr="0074361B">
        <w:rPr>
          <w:rFonts w:ascii="Arial" w:hAnsi="Arial" w:cs="Arial"/>
        </w:rPr>
        <w:t xml:space="preserve">16.1 </w:t>
      </w:r>
      <w:r w:rsidR="005F4534">
        <w:rPr>
          <w:rFonts w:ascii="Arial" w:hAnsi="Arial" w:cs="Arial"/>
        </w:rPr>
        <w:tab/>
      </w:r>
      <w:r w:rsidRPr="0074361B">
        <w:rPr>
          <w:rFonts w:ascii="Arial" w:hAnsi="Arial" w:cs="Arial"/>
        </w:rPr>
        <w:t>El valor de la contraprestación por la constitución del derecho de servidumbre, es cancelado por el titular del proyecto de inversión, de acuerdo a la forma de pago aprobada en la resolución, dentro del plazo de quince (15) días hábiles contados a partir de la notificación de la resolución que aprueba la servidumbre. El pago se efectúa mediante Cheque de Gerencia No Negociable o depósito en la cuenta corriente de la entidad propietaria o administradora del terreno.</w:t>
      </w:r>
    </w:p>
    <w:p w:rsidR="0074361B" w:rsidRPr="0074361B" w:rsidRDefault="0074361B" w:rsidP="005F4534">
      <w:pPr>
        <w:spacing w:after="0" w:line="240" w:lineRule="auto"/>
        <w:ind w:left="709" w:hanging="709"/>
        <w:jc w:val="both"/>
        <w:rPr>
          <w:rFonts w:ascii="Arial" w:hAnsi="Arial" w:cs="Arial"/>
        </w:rPr>
      </w:pPr>
    </w:p>
    <w:p w:rsidR="0074361B" w:rsidRPr="0074361B" w:rsidRDefault="0074361B" w:rsidP="005F4534">
      <w:pPr>
        <w:spacing w:after="0" w:line="240" w:lineRule="auto"/>
        <w:ind w:left="709" w:hanging="709"/>
        <w:jc w:val="both"/>
        <w:rPr>
          <w:rFonts w:ascii="Arial" w:hAnsi="Arial" w:cs="Arial"/>
        </w:rPr>
      </w:pPr>
      <w:r w:rsidRPr="0074361B">
        <w:rPr>
          <w:rFonts w:ascii="Arial" w:hAnsi="Arial" w:cs="Arial"/>
        </w:rPr>
        <w:t xml:space="preserve">16.2 </w:t>
      </w:r>
      <w:r w:rsidR="005F4534">
        <w:rPr>
          <w:rFonts w:ascii="Arial" w:hAnsi="Arial" w:cs="Arial"/>
        </w:rPr>
        <w:tab/>
      </w:r>
      <w:r w:rsidRPr="0074361B">
        <w:rPr>
          <w:rFonts w:ascii="Arial" w:hAnsi="Arial" w:cs="Arial"/>
        </w:rPr>
        <w:t>En caso de incumplimiento, se requiere al titular del proyecto de inversión para que cumpla con efectuar el pago adeudado en un plazo no mayor a diez (10) días hábiles, contados desde la respectiva notificación, aplicándose la mora correspondiente. De persistir en el incumplimiento del pago dispuesto en la resolución que aprueba la servidumbre, se deja sin efecto dicha resolución.</w:t>
      </w:r>
    </w:p>
    <w:p w:rsidR="0074361B" w:rsidRPr="0074361B" w:rsidRDefault="0074361B" w:rsidP="0074361B">
      <w:pPr>
        <w:spacing w:after="0" w:line="240" w:lineRule="auto"/>
        <w:jc w:val="both"/>
        <w:rPr>
          <w:rFonts w:ascii="Arial" w:hAnsi="Arial" w:cs="Arial"/>
        </w:rPr>
      </w:pPr>
    </w:p>
    <w:p w:rsidR="0074361B" w:rsidRPr="005F4534" w:rsidRDefault="0074361B" w:rsidP="0074361B">
      <w:pPr>
        <w:spacing w:after="0" w:line="240" w:lineRule="auto"/>
        <w:jc w:val="both"/>
        <w:rPr>
          <w:rFonts w:ascii="Arial" w:hAnsi="Arial" w:cs="Arial"/>
          <w:b/>
        </w:rPr>
      </w:pPr>
      <w:r w:rsidRPr="005F4534">
        <w:rPr>
          <w:rFonts w:ascii="Arial" w:hAnsi="Arial" w:cs="Arial"/>
          <w:b/>
        </w:rPr>
        <w:t>Artículo 17.- Del Contrato de servidumbre</w:t>
      </w:r>
    </w:p>
    <w:p w:rsidR="0074361B" w:rsidRPr="0074361B" w:rsidRDefault="0074361B" w:rsidP="0074361B">
      <w:pPr>
        <w:spacing w:after="0" w:line="240" w:lineRule="auto"/>
        <w:jc w:val="both"/>
        <w:rPr>
          <w:rFonts w:ascii="Arial" w:hAnsi="Arial" w:cs="Arial"/>
        </w:rPr>
      </w:pPr>
      <w:r w:rsidRPr="0074361B">
        <w:rPr>
          <w:rFonts w:ascii="Arial" w:hAnsi="Arial" w:cs="Arial"/>
        </w:rPr>
        <w:t>Luego de que el titular del proyecto de inversión efectúa el pago de la contraprestación conforme a la forma de pago aprobada en la resolución, se procede a suscribir el contrato respectivo dentro del plazo de diez (10) días hábiles. Dicho contrato puede ser elevado a escritura pública, a pedido del mismo, quien asume los gastos notariales y registrales, a que hubiera lugar, incluida una copia del testimonio a favor de la entidad propietaria del terreno.</w:t>
      </w:r>
    </w:p>
    <w:p w:rsidR="0074361B" w:rsidRPr="0074361B" w:rsidRDefault="0074361B" w:rsidP="0074361B">
      <w:pPr>
        <w:spacing w:after="0" w:line="240" w:lineRule="auto"/>
        <w:jc w:val="both"/>
        <w:rPr>
          <w:rFonts w:ascii="Arial" w:hAnsi="Arial" w:cs="Arial"/>
        </w:rPr>
      </w:pPr>
    </w:p>
    <w:p w:rsidR="0074361B" w:rsidRPr="005F4534" w:rsidRDefault="0074361B" w:rsidP="0074361B">
      <w:pPr>
        <w:spacing w:after="0" w:line="240" w:lineRule="auto"/>
        <w:jc w:val="both"/>
        <w:rPr>
          <w:rFonts w:ascii="Arial" w:hAnsi="Arial" w:cs="Arial"/>
          <w:b/>
        </w:rPr>
      </w:pPr>
      <w:r w:rsidRPr="005F4534">
        <w:rPr>
          <w:rFonts w:ascii="Arial" w:hAnsi="Arial" w:cs="Arial"/>
          <w:b/>
        </w:rPr>
        <w:t>Artículo 18.- De la Entrega definitiva del terreno</w:t>
      </w:r>
    </w:p>
    <w:p w:rsidR="0074361B" w:rsidRPr="0074361B" w:rsidRDefault="0074361B" w:rsidP="0074361B">
      <w:pPr>
        <w:spacing w:after="0" w:line="240" w:lineRule="auto"/>
        <w:jc w:val="both"/>
        <w:rPr>
          <w:rFonts w:ascii="Arial" w:hAnsi="Arial" w:cs="Arial"/>
        </w:rPr>
      </w:pPr>
      <w:r w:rsidRPr="0074361B">
        <w:rPr>
          <w:rFonts w:ascii="Arial" w:hAnsi="Arial" w:cs="Arial"/>
        </w:rPr>
        <w:t>Una vez suscrito el contrato de servidumbre, si no hay variación del área materia de la entrega provisional, dicha entrega es considerada como entrega definitiva, sin necesidad de requerirse de la suscripción de una nueva acta; en caso contrario, se suscribe el acta de entrega definitiva.</w:t>
      </w:r>
    </w:p>
    <w:p w:rsidR="0074361B" w:rsidRPr="0074361B" w:rsidRDefault="0074361B" w:rsidP="0074361B">
      <w:pPr>
        <w:spacing w:after="0" w:line="240" w:lineRule="auto"/>
        <w:jc w:val="both"/>
        <w:rPr>
          <w:rFonts w:ascii="Arial" w:hAnsi="Arial" w:cs="Arial"/>
        </w:rPr>
      </w:pPr>
    </w:p>
    <w:p w:rsidR="0074361B" w:rsidRPr="005F4534" w:rsidRDefault="0074361B" w:rsidP="0074361B">
      <w:pPr>
        <w:spacing w:after="0" w:line="240" w:lineRule="auto"/>
        <w:jc w:val="both"/>
        <w:rPr>
          <w:rFonts w:ascii="Arial" w:hAnsi="Arial" w:cs="Arial"/>
          <w:b/>
        </w:rPr>
      </w:pPr>
      <w:r w:rsidRPr="005F4534">
        <w:rPr>
          <w:rFonts w:ascii="Arial" w:hAnsi="Arial" w:cs="Arial"/>
          <w:b/>
        </w:rPr>
        <w:t>Artículo 19.- Liquidación y distribución de ingresos</w:t>
      </w:r>
    </w:p>
    <w:p w:rsidR="0074361B" w:rsidRPr="0074361B" w:rsidRDefault="0074361B" w:rsidP="0074361B">
      <w:pPr>
        <w:spacing w:after="0" w:line="240" w:lineRule="auto"/>
        <w:jc w:val="both"/>
        <w:rPr>
          <w:rFonts w:ascii="Arial" w:hAnsi="Arial" w:cs="Arial"/>
        </w:rPr>
      </w:pPr>
    </w:p>
    <w:p w:rsidR="0074361B" w:rsidRPr="0074361B" w:rsidRDefault="0074361B" w:rsidP="005F4534">
      <w:pPr>
        <w:spacing w:after="0" w:line="240" w:lineRule="auto"/>
        <w:ind w:left="993" w:hanging="851"/>
        <w:jc w:val="both"/>
        <w:rPr>
          <w:rFonts w:ascii="Arial" w:hAnsi="Arial" w:cs="Arial"/>
        </w:rPr>
      </w:pPr>
      <w:r w:rsidRPr="0074361B">
        <w:rPr>
          <w:rFonts w:ascii="Arial" w:hAnsi="Arial" w:cs="Arial"/>
        </w:rPr>
        <w:t xml:space="preserve">19.1 </w:t>
      </w:r>
      <w:r w:rsidR="005F4534">
        <w:rPr>
          <w:rFonts w:ascii="Arial" w:hAnsi="Arial" w:cs="Arial"/>
        </w:rPr>
        <w:tab/>
      </w:r>
      <w:r w:rsidRPr="0074361B">
        <w:rPr>
          <w:rFonts w:ascii="Arial" w:hAnsi="Arial" w:cs="Arial"/>
        </w:rPr>
        <w:t>En el plazo de cinco (5) días hábiles de realizado el pago de la contraprestación por la constitución de la servidumbre, la entidad que aprueba la servidumbre, a través de la unidad orgánica respectiva, efectúa la liquidación de los gastos operativos y administrativos inherentes al terreno materia de la servidumbre que tengan una antigüedad no mayor a un año y los que son deducidos del monto de la contraprestación que efectúa el administrado, de acuerdo a la forma de pago que se aprueba en la resolución. En caso resulte insuficiente se aplica a las siguientes contraprestaciones hasta completar el monto de los gastos incurridos.</w:t>
      </w:r>
    </w:p>
    <w:p w:rsidR="0074361B" w:rsidRPr="0074361B" w:rsidRDefault="0074361B" w:rsidP="005F4534">
      <w:pPr>
        <w:spacing w:after="0" w:line="240" w:lineRule="auto"/>
        <w:ind w:left="993" w:hanging="851"/>
        <w:jc w:val="both"/>
        <w:rPr>
          <w:rFonts w:ascii="Arial" w:hAnsi="Arial" w:cs="Arial"/>
        </w:rPr>
      </w:pPr>
    </w:p>
    <w:p w:rsidR="0074361B" w:rsidRPr="0074361B" w:rsidRDefault="0074361B" w:rsidP="005F4534">
      <w:pPr>
        <w:spacing w:after="0" w:line="240" w:lineRule="auto"/>
        <w:ind w:left="993" w:hanging="851"/>
        <w:jc w:val="both"/>
        <w:rPr>
          <w:rFonts w:ascii="Arial" w:hAnsi="Arial" w:cs="Arial"/>
        </w:rPr>
      </w:pPr>
      <w:r w:rsidRPr="0074361B">
        <w:rPr>
          <w:rFonts w:ascii="Arial" w:hAnsi="Arial" w:cs="Arial"/>
        </w:rPr>
        <w:t xml:space="preserve">19.2 </w:t>
      </w:r>
      <w:r w:rsidR="005F4534">
        <w:rPr>
          <w:rFonts w:ascii="Arial" w:hAnsi="Arial" w:cs="Arial"/>
        </w:rPr>
        <w:tab/>
      </w:r>
      <w:r w:rsidRPr="0074361B">
        <w:rPr>
          <w:rFonts w:ascii="Arial" w:hAnsi="Arial" w:cs="Arial"/>
        </w:rPr>
        <w:t>En atención al criterio contenido en el literal d) del artículo 26 de la Ley Nº 29151, los ingresos obtenidos por la constitución del derecho de servidumbre, se distribuyen, previa deducción de gastos operativos y administrativos incurridos, de acuerdo a las reglas siguientes:</w:t>
      </w:r>
    </w:p>
    <w:p w:rsidR="0074361B" w:rsidRPr="0074361B" w:rsidRDefault="0074361B" w:rsidP="005F4534">
      <w:pPr>
        <w:spacing w:after="0" w:line="240" w:lineRule="auto"/>
        <w:ind w:left="993" w:hanging="851"/>
        <w:jc w:val="both"/>
        <w:rPr>
          <w:rFonts w:ascii="Arial" w:hAnsi="Arial" w:cs="Arial"/>
        </w:rPr>
      </w:pPr>
    </w:p>
    <w:p w:rsidR="0074361B" w:rsidRPr="0074361B" w:rsidRDefault="0074361B" w:rsidP="007A64FA">
      <w:pPr>
        <w:spacing w:after="0" w:line="240" w:lineRule="auto"/>
        <w:ind w:left="1418" w:hanging="567"/>
        <w:jc w:val="both"/>
        <w:rPr>
          <w:rFonts w:ascii="Arial" w:hAnsi="Arial" w:cs="Arial"/>
        </w:rPr>
      </w:pPr>
      <w:r w:rsidRPr="0074361B">
        <w:rPr>
          <w:rFonts w:ascii="Arial" w:hAnsi="Arial" w:cs="Arial"/>
        </w:rPr>
        <w:t xml:space="preserve">a) </w:t>
      </w:r>
      <w:r w:rsidR="007A64FA">
        <w:rPr>
          <w:rFonts w:ascii="Arial" w:hAnsi="Arial" w:cs="Arial"/>
        </w:rPr>
        <w:tab/>
      </w:r>
      <w:r w:rsidRPr="0074361B">
        <w:rPr>
          <w:rFonts w:ascii="Arial" w:hAnsi="Arial" w:cs="Arial"/>
        </w:rPr>
        <w:t>Cuando el terreno es de propiedad del Estado, administrado por la SBN: 100% corresponde a la SBN.</w:t>
      </w:r>
    </w:p>
    <w:p w:rsidR="0074361B" w:rsidRPr="0074361B" w:rsidRDefault="0074361B" w:rsidP="007A64FA">
      <w:pPr>
        <w:spacing w:after="0" w:line="240" w:lineRule="auto"/>
        <w:ind w:left="1418" w:hanging="567"/>
        <w:jc w:val="both"/>
        <w:rPr>
          <w:rFonts w:ascii="Arial" w:hAnsi="Arial" w:cs="Arial"/>
        </w:rPr>
      </w:pPr>
    </w:p>
    <w:p w:rsidR="0074361B" w:rsidRPr="0074361B" w:rsidRDefault="0074361B" w:rsidP="007A64FA">
      <w:pPr>
        <w:spacing w:after="0" w:line="240" w:lineRule="auto"/>
        <w:ind w:left="1418" w:hanging="567"/>
        <w:jc w:val="both"/>
        <w:rPr>
          <w:rFonts w:ascii="Arial" w:hAnsi="Arial" w:cs="Arial"/>
        </w:rPr>
      </w:pPr>
      <w:r w:rsidRPr="0074361B">
        <w:rPr>
          <w:rFonts w:ascii="Arial" w:hAnsi="Arial" w:cs="Arial"/>
        </w:rPr>
        <w:t xml:space="preserve">b) </w:t>
      </w:r>
      <w:r w:rsidR="007A64FA">
        <w:rPr>
          <w:rFonts w:ascii="Arial" w:hAnsi="Arial" w:cs="Arial"/>
        </w:rPr>
        <w:tab/>
      </w:r>
      <w:r w:rsidRPr="0074361B">
        <w:rPr>
          <w:rFonts w:ascii="Arial" w:hAnsi="Arial" w:cs="Arial"/>
        </w:rPr>
        <w:t>Cuando el terreno es de propiedad del Estado, administrado por el Gobierno Regional con funciones transferidas: 70% corresponde al Gobierno Regional y 30% a la SBN.</w:t>
      </w:r>
    </w:p>
    <w:p w:rsidR="0074361B" w:rsidRPr="0074361B" w:rsidRDefault="0074361B" w:rsidP="007A64FA">
      <w:pPr>
        <w:spacing w:after="0" w:line="240" w:lineRule="auto"/>
        <w:ind w:left="1418" w:hanging="567"/>
        <w:jc w:val="both"/>
        <w:rPr>
          <w:rFonts w:ascii="Arial" w:hAnsi="Arial" w:cs="Arial"/>
        </w:rPr>
      </w:pPr>
    </w:p>
    <w:p w:rsidR="0074361B" w:rsidRPr="0074361B" w:rsidRDefault="0074361B" w:rsidP="007A64FA">
      <w:pPr>
        <w:spacing w:after="0" w:line="240" w:lineRule="auto"/>
        <w:ind w:left="1418" w:hanging="567"/>
        <w:jc w:val="both"/>
        <w:rPr>
          <w:rFonts w:ascii="Arial" w:hAnsi="Arial" w:cs="Arial"/>
        </w:rPr>
      </w:pPr>
      <w:r w:rsidRPr="0074361B">
        <w:rPr>
          <w:rFonts w:ascii="Arial" w:hAnsi="Arial" w:cs="Arial"/>
        </w:rPr>
        <w:t xml:space="preserve">c) </w:t>
      </w:r>
      <w:r w:rsidR="007A64FA">
        <w:rPr>
          <w:rFonts w:ascii="Arial" w:hAnsi="Arial" w:cs="Arial"/>
        </w:rPr>
        <w:tab/>
      </w:r>
      <w:r w:rsidRPr="0074361B">
        <w:rPr>
          <w:rFonts w:ascii="Arial" w:hAnsi="Arial" w:cs="Arial"/>
        </w:rPr>
        <w:t>Cuando el terreno es de propiedad de una entidad pública: 90% corresponde a la entidad y 10% a la SBN, con excepción de los terrenos de propiedad de los Gobiernos Locales o Gobiernos Regionales, en cuyo caso les corresponde 100% a dichas entidades, previa deducción de gastos efectuados por la SBN.</w:t>
      </w:r>
    </w:p>
    <w:p w:rsidR="0074361B" w:rsidRPr="0074361B" w:rsidRDefault="0074361B" w:rsidP="005F4534">
      <w:pPr>
        <w:spacing w:after="0" w:line="240" w:lineRule="auto"/>
        <w:ind w:left="993" w:hanging="851"/>
        <w:jc w:val="both"/>
        <w:rPr>
          <w:rFonts w:ascii="Arial" w:hAnsi="Arial" w:cs="Arial"/>
        </w:rPr>
      </w:pPr>
    </w:p>
    <w:p w:rsidR="0074361B" w:rsidRPr="0074361B" w:rsidRDefault="0074361B" w:rsidP="005F4534">
      <w:pPr>
        <w:spacing w:after="0" w:line="240" w:lineRule="auto"/>
        <w:ind w:left="993" w:hanging="851"/>
        <w:jc w:val="both"/>
        <w:rPr>
          <w:rFonts w:ascii="Arial" w:hAnsi="Arial" w:cs="Arial"/>
        </w:rPr>
      </w:pPr>
      <w:r w:rsidRPr="0074361B">
        <w:rPr>
          <w:rFonts w:ascii="Arial" w:hAnsi="Arial" w:cs="Arial"/>
        </w:rPr>
        <w:t xml:space="preserve">19.3 </w:t>
      </w:r>
      <w:r w:rsidR="005F4534">
        <w:rPr>
          <w:rFonts w:ascii="Arial" w:hAnsi="Arial" w:cs="Arial"/>
        </w:rPr>
        <w:tab/>
      </w:r>
      <w:r w:rsidRPr="0074361B">
        <w:rPr>
          <w:rFonts w:ascii="Arial" w:hAnsi="Arial" w:cs="Arial"/>
        </w:rPr>
        <w:t>Dentro del plazo de quince (15) días hábiles de recibido el pago por la contraprestación de la servidumbre, el Gobierno Local, Gobierno Regional o la entidad pública titular del terreno estatal, según corresponda, debe comunicar a la SBN el cumplimiento del pago correspondiente. En el caso establecido en el último párrafo del literal c) del numeral precedente, el Gobierno Local solicita a la SBN, la liquidación de gastos para su deducción del monto abonado por el titular del proyecto, a fin de efectuar el depósito correspondiente a la SBN.</w:t>
      </w:r>
    </w:p>
    <w:p w:rsidR="0074361B" w:rsidRPr="0074361B" w:rsidRDefault="0074361B" w:rsidP="0074361B">
      <w:pPr>
        <w:spacing w:after="0" w:line="240" w:lineRule="auto"/>
        <w:jc w:val="both"/>
        <w:rPr>
          <w:rFonts w:ascii="Arial" w:hAnsi="Arial" w:cs="Arial"/>
        </w:rPr>
      </w:pPr>
    </w:p>
    <w:p w:rsidR="0074361B" w:rsidRPr="007A64FA" w:rsidRDefault="0074361B" w:rsidP="0074361B">
      <w:pPr>
        <w:spacing w:after="0" w:line="240" w:lineRule="auto"/>
        <w:jc w:val="both"/>
        <w:rPr>
          <w:rFonts w:ascii="Arial" w:hAnsi="Arial" w:cs="Arial"/>
          <w:b/>
        </w:rPr>
      </w:pPr>
      <w:r w:rsidRPr="007A64FA">
        <w:rPr>
          <w:rFonts w:ascii="Arial" w:hAnsi="Arial" w:cs="Arial"/>
          <w:b/>
        </w:rPr>
        <w:t>Artículo 20.- Actualización del SINABIP</w:t>
      </w:r>
    </w:p>
    <w:p w:rsidR="0074361B" w:rsidRPr="0074361B" w:rsidRDefault="0074361B" w:rsidP="0074361B">
      <w:pPr>
        <w:spacing w:after="0" w:line="240" w:lineRule="auto"/>
        <w:jc w:val="both"/>
        <w:rPr>
          <w:rFonts w:ascii="Arial" w:hAnsi="Arial" w:cs="Arial"/>
        </w:rPr>
      </w:pPr>
      <w:r w:rsidRPr="0074361B">
        <w:rPr>
          <w:rFonts w:ascii="Arial" w:hAnsi="Arial" w:cs="Arial"/>
        </w:rPr>
        <w:t>La entidad que emite la resolución de constitución de servidumbre, en el plazo de diez (10) días hábiles contados desde la inscripción registral de la citada resolución, actualiza la información en el SINABIP o remite la documentación sustentatoria a la SBN para la actualización en el registro SINABIP, bajo responsabilidad, luego de lo cual la entidad emisora de la resolución dispone el archivo definitivo del expediente.</w:t>
      </w:r>
    </w:p>
    <w:p w:rsidR="0074361B" w:rsidRPr="0074361B" w:rsidRDefault="0074361B" w:rsidP="0074361B">
      <w:pPr>
        <w:spacing w:after="0" w:line="240" w:lineRule="auto"/>
        <w:jc w:val="both"/>
        <w:rPr>
          <w:rFonts w:ascii="Arial" w:hAnsi="Arial" w:cs="Arial"/>
        </w:rPr>
      </w:pPr>
    </w:p>
    <w:p w:rsidR="0074361B" w:rsidRPr="007A64FA" w:rsidRDefault="0074361B" w:rsidP="007A64FA">
      <w:pPr>
        <w:spacing w:after="0" w:line="240" w:lineRule="auto"/>
        <w:jc w:val="center"/>
        <w:rPr>
          <w:rFonts w:ascii="Arial" w:hAnsi="Arial" w:cs="Arial"/>
          <w:b/>
        </w:rPr>
      </w:pPr>
      <w:r w:rsidRPr="007A64FA">
        <w:rPr>
          <w:rFonts w:ascii="Arial" w:hAnsi="Arial" w:cs="Arial"/>
          <w:b/>
        </w:rPr>
        <w:t>TÍTULO III</w:t>
      </w:r>
    </w:p>
    <w:p w:rsidR="0074361B" w:rsidRPr="007A64FA" w:rsidRDefault="0074361B" w:rsidP="007A64FA">
      <w:pPr>
        <w:spacing w:after="0" w:line="240" w:lineRule="auto"/>
        <w:jc w:val="center"/>
        <w:rPr>
          <w:rFonts w:ascii="Arial" w:hAnsi="Arial" w:cs="Arial"/>
          <w:b/>
        </w:rPr>
      </w:pPr>
      <w:r w:rsidRPr="007A64FA">
        <w:rPr>
          <w:rFonts w:ascii="Arial" w:hAnsi="Arial" w:cs="Arial"/>
          <w:b/>
        </w:rPr>
        <w:t>DE LA EXTINCIÓN DE LA SERVIDUMBRE</w:t>
      </w:r>
    </w:p>
    <w:p w:rsidR="0074361B" w:rsidRPr="0074361B" w:rsidRDefault="0074361B" w:rsidP="0074361B">
      <w:pPr>
        <w:spacing w:after="0" w:line="240" w:lineRule="auto"/>
        <w:jc w:val="both"/>
        <w:rPr>
          <w:rFonts w:ascii="Arial" w:hAnsi="Arial" w:cs="Arial"/>
        </w:rPr>
      </w:pPr>
    </w:p>
    <w:p w:rsidR="0074361B" w:rsidRPr="007A64FA" w:rsidRDefault="0074361B" w:rsidP="0074361B">
      <w:pPr>
        <w:spacing w:after="0" w:line="240" w:lineRule="auto"/>
        <w:jc w:val="both"/>
        <w:rPr>
          <w:rFonts w:ascii="Arial" w:hAnsi="Arial" w:cs="Arial"/>
          <w:b/>
        </w:rPr>
      </w:pPr>
      <w:r w:rsidRPr="007A64FA">
        <w:rPr>
          <w:rFonts w:ascii="Arial" w:hAnsi="Arial" w:cs="Arial"/>
          <w:b/>
        </w:rPr>
        <w:t>Artículo 21.- Extinción de la servidumbre</w:t>
      </w:r>
    </w:p>
    <w:p w:rsidR="0074361B" w:rsidRPr="0074361B" w:rsidRDefault="0074361B" w:rsidP="0074361B">
      <w:pPr>
        <w:spacing w:after="0" w:line="240" w:lineRule="auto"/>
        <w:jc w:val="both"/>
        <w:rPr>
          <w:rFonts w:ascii="Arial" w:hAnsi="Arial" w:cs="Arial"/>
        </w:rPr>
      </w:pPr>
      <w:r w:rsidRPr="0074361B">
        <w:rPr>
          <w:rFonts w:ascii="Arial" w:hAnsi="Arial" w:cs="Arial"/>
        </w:rPr>
        <w:t>La servidumbre se extingue por las causas siguientes:</w:t>
      </w:r>
    </w:p>
    <w:p w:rsidR="0074361B" w:rsidRPr="0074361B" w:rsidRDefault="0074361B" w:rsidP="0074361B">
      <w:pPr>
        <w:spacing w:after="0" w:line="240" w:lineRule="auto"/>
        <w:jc w:val="both"/>
        <w:rPr>
          <w:rFonts w:ascii="Arial" w:hAnsi="Arial" w:cs="Arial"/>
        </w:rPr>
      </w:pPr>
    </w:p>
    <w:p w:rsidR="0074361B" w:rsidRPr="0074361B" w:rsidRDefault="0074361B" w:rsidP="007A64FA">
      <w:pPr>
        <w:spacing w:after="0" w:line="240" w:lineRule="auto"/>
        <w:ind w:left="851" w:hanging="567"/>
        <w:jc w:val="both"/>
        <w:rPr>
          <w:rFonts w:ascii="Arial" w:hAnsi="Arial" w:cs="Arial"/>
        </w:rPr>
      </w:pPr>
      <w:r w:rsidRPr="0074361B">
        <w:rPr>
          <w:rFonts w:ascii="Arial" w:hAnsi="Arial" w:cs="Arial"/>
        </w:rPr>
        <w:t xml:space="preserve">a) </w:t>
      </w:r>
      <w:r w:rsidR="007A64FA">
        <w:rPr>
          <w:rFonts w:ascii="Arial" w:hAnsi="Arial" w:cs="Arial"/>
        </w:rPr>
        <w:tab/>
      </w:r>
      <w:r w:rsidRPr="0074361B">
        <w:rPr>
          <w:rFonts w:ascii="Arial" w:hAnsi="Arial" w:cs="Arial"/>
        </w:rPr>
        <w:t>Por resolución contractual.</w:t>
      </w:r>
    </w:p>
    <w:p w:rsidR="0074361B" w:rsidRPr="0074361B" w:rsidRDefault="0074361B" w:rsidP="007A64FA">
      <w:pPr>
        <w:spacing w:after="0" w:line="240" w:lineRule="auto"/>
        <w:ind w:left="851" w:hanging="567"/>
        <w:jc w:val="both"/>
        <w:rPr>
          <w:rFonts w:ascii="Arial" w:hAnsi="Arial" w:cs="Arial"/>
        </w:rPr>
      </w:pPr>
    </w:p>
    <w:p w:rsidR="0074361B" w:rsidRPr="0074361B" w:rsidRDefault="0074361B" w:rsidP="007A64FA">
      <w:pPr>
        <w:spacing w:after="0" w:line="240" w:lineRule="auto"/>
        <w:ind w:left="851" w:hanging="567"/>
        <w:jc w:val="both"/>
        <w:rPr>
          <w:rFonts w:ascii="Arial" w:hAnsi="Arial" w:cs="Arial"/>
        </w:rPr>
      </w:pPr>
      <w:r w:rsidRPr="0074361B">
        <w:rPr>
          <w:rFonts w:ascii="Arial" w:hAnsi="Arial" w:cs="Arial"/>
        </w:rPr>
        <w:t>b)</w:t>
      </w:r>
      <w:r w:rsidR="007A64FA">
        <w:rPr>
          <w:rFonts w:ascii="Arial" w:hAnsi="Arial" w:cs="Arial"/>
        </w:rPr>
        <w:tab/>
      </w:r>
      <w:r w:rsidRPr="0074361B">
        <w:rPr>
          <w:rFonts w:ascii="Arial" w:hAnsi="Arial" w:cs="Arial"/>
        </w:rPr>
        <w:t>Por culminación del proyecto de inversión o de la autorización sectorial para el desarrollo de la actividad o concesión que sustenta el proyecto de inversión.</w:t>
      </w:r>
    </w:p>
    <w:p w:rsidR="0074361B" w:rsidRPr="0074361B" w:rsidRDefault="0074361B" w:rsidP="007A64FA">
      <w:pPr>
        <w:spacing w:after="0" w:line="240" w:lineRule="auto"/>
        <w:ind w:left="851" w:hanging="567"/>
        <w:jc w:val="both"/>
        <w:rPr>
          <w:rFonts w:ascii="Arial" w:hAnsi="Arial" w:cs="Arial"/>
        </w:rPr>
      </w:pPr>
    </w:p>
    <w:p w:rsidR="0074361B" w:rsidRPr="0074361B" w:rsidRDefault="0074361B" w:rsidP="007A64FA">
      <w:pPr>
        <w:spacing w:after="0" w:line="240" w:lineRule="auto"/>
        <w:ind w:left="851" w:hanging="567"/>
        <w:jc w:val="both"/>
        <w:rPr>
          <w:rFonts w:ascii="Arial" w:hAnsi="Arial" w:cs="Arial"/>
        </w:rPr>
      </w:pPr>
      <w:r w:rsidRPr="0074361B">
        <w:rPr>
          <w:rFonts w:ascii="Arial" w:hAnsi="Arial" w:cs="Arial"/>
        </w:rPr>
        <w:t xml:space="preserve">c) </w:t>
      </w:r>
      <w:r w:rsidR="007A64FA">
        <w:rPr>
          <w:rFonts w:ascii="Arial" w:hAnsi="Arial" w:cs="Arial"/>
        </w:rPr>
        <w:tab/>
      </w:r>
      <w:r w:rsidRPr="0074361B">
        <w:rPr>
          <w:rFonts w:ascii="Arial" w:hAnsi="Arial" w:cs="Arial"/>
        </w:rPr>
        <w:t>Por acuerdo entre las partes.</w:t>
      </w:r>
    </w:p>
    <w:p w:rsidR="0074361B" w:rsidRPr="0074361B" w:rsidRDefault="0074361B" w:rsidP="0074361B">
      <w:pPr>
        <w:spacing w:after="0" w:line="240" w:lineRule="auto"/>
        <w:jc w:val="both"/>
        <w:rPr>
          <w:rFonts w:ascii="Arial" w:hAnsi="Arial" w:cs="Arial"/>
        </w:rPr>
      </w:pPr>
    </w:p>
    <w:p w:rsidR="0074361B" w:rsidRPr="007A64FA" w:rsidRDefault="0074361B" w:rsidP="0074361B">
      <w:pPr>
        <w:spacing w:after="0" w:line="240" w:lineRule="auto"/>
        <w:jc w:val="both"/>
        <w:rPr>
          <w:rFonts w:ascii="Arial" w:hAnsi="Arial" w:cs="Arial"/>
          <w:b/>
        </w:rPr>
      </w:pPr>
      <w:r w:rsidRPr="007A64FA">
        <w:rPr>
          <w:rFonts w:ascii="Arial" w:hAnsi="Arial" w:cs="Arial"/>
          <w:b/>
        </w:rPr>
        <w:t>Artículo 22.- Causales de resolución contractual</w:t>
      </w:r>
    </w:p>
    <w:p w:rsidR="0074361B" w:rsidRPr="0074361B" w:rsidRDefault="0074361B" w:rsidP="0074361B">
      <w:pPr>
        <w:spacing w:after="0" w:line="240" w:lineRule="auto"/>
        <w:jc w:val="both"/>
        <w:rPr>
          <w:rFonts w:ascii="Arial" w:hAnsi="Arial" w:cs="Arial"/>
        </w:rPr>
      </w:pPr>
    </w:p>
    <w:p w:rsidR="0074361B" w:rsidRPr="0074361B" w:rsidRDefault="0074361B" w:rsidP="007A64FA">
      <w:pPr>
        <w:spacing w:after="0" w:line="240" w:lineRule="auto"/>
        <w:ind w:left="851" w:hanging="709"/>
        <w:jc w:val="both"/>
        <w:rPr>
          <w:rFonts w:ascii="Arial" w:hAnsi="Arial" w:cs="Arial"/>
        </w:rPr>
      </w:pPr>
      <w:r w:rsidRPr="0074361B">
        <w:rPr>
          <w:rFonts w:ascii="Arial" w:hAnsi="Arial" w:cs="Arial"/>
        </w:rPr>
        <w:t xml:space="preserve">22.1 </w:t>
      </w:r>
      <w:r w:rsidR="007A64FA">
        <w:rPr>
          <w:rFonts w:ascii="Arial" w:hAnsi="Arial" w:cs="Arial"/>
        </w:rPr>
        <w:tab/>
      </w:r>
      <w:r w:rsidRPr="0074361B">
        <w:rPr>
          <w:rFonts w:ascii="Arial" w:hAnsi="Arial" w:cs="Arial"/>
        </w:rPr>
        <w:t>El titular del proyecto de inversión, a quien se le otorga el derecho de servidumbre debe cumplir, bajo causal de resolución contractual, las obligaciones siguientes:</w:t>
      </w:r>
    </w:p>
    <w:p w:rsidR="0074361B" w:rsidRPr="0074361B" w:rsidRDefault="0074361B" w:rsidP="007A64FA">
      <w:pPr>
        <w:spacing w:after="0" w:line="240" w:lineRule="auto"/>
        <w:ind w:left="851" w:hanging="709"/>
        <w:jc w:val="both"/>
        <w:rPr>
          <w:rFonts w:ascii="Arial" w:hAnsi="Arial" w:cs="Arial"/>
        </w:rPr>
      </w:pPr>
    </w:p>
    <w:p w:rsidR="0074361B" w:rsidRPr="0074361B" w:rsidRDefault="0074361B" w:rsidP="007A64FA">
      <w:pPr>
        <w:spacing w:after="0" w:line="240" w:lineRule="auto"/>
        <w:ind w:left="1701" w:hanging="567"/>
        <w:jc w:val="both"/>
        <w:rPr>
          <w:rFonts w:ascii="Arial" w:hAnsi="Arial" w:cs="Arial"/>
        </w:rPr>
      </w:pPr>
      <w:r w:rsidRPr="0074361B">
        <w:rPr>
          <w:rFonts w:ascii="Arial" w:hAnsi="Arial" w:cs="Arial"/>
        </w:rPr>
        <w:t xml:space="preserve">a) </w:t>
      </w:r>
      <w:r w:rsidR="007A64FA">
        <w:rPr>
          <w:rFonts w:ascii="Arial" w:hAnsi="Arial" w:cs="Arial"/>
        </w:rPr>
        <w:tab/>
      </w:r>
      <w:r w:rsidRPr="0074361B">
        <w:rPr>
          <w:rFonts w:ascii="Arial" w:hAnsi="Arial" w:cs="Arial"/>
        </w:rPr>
        <w:t>Pagar puntualmente la contraprestación por la servidumbre, de acuerdo a lo establecido en la respectiva resolución y contrato.</w:t>
      </w:r>
    </w:p>
    <w:p w:rsidR="0074361B" w:rsidRPr="0074361B" w:rsidRDefault="0074361B" w:rsidP="007A64FA">
      <w:pPr>
        <w:spacing w:after="0" w:line="240" w:lineRule="auto"/>
        <w:ind w:left="1701" w:hanging="567"/>
        <w:jc w:val="both"/>
        <w:rPr>
          <w:rFonts w:ascii="Arial" w:hAnsi="Arial" w:cs="Arial"/>
        </w:rPr>
      </w:pPr>
    </w:p>
    <w:p w:rsidR="0074361B" w:rsidRPr="0074361B" w:rsidRDefault="0074361B" w:rsidP="007A64FA">
      <w:pPr>
        <w:spacing w:after="0" w:line="240" w:lineRule="auto"/>
        <w:ind w:left="1701" w:hanging="567"/>
        <w:jc w:val="both"/>
        <w:rPr>
          <w:rFonts w:ascii="Arial" w:hAnsi="Arial" w:cs="Arial"/>
        </w:rPr>
      </w:pPr>
      <w:r w:rsidRPr="0074361B">
        <w:rPr>
          <w:rFonts w:ascii="Arial" w:hAnsi="Arial" w:cs="Arial"/>
        </w:rPr>
        <w:t xml:space="preserve">b) </w:t>
      </w:r>
      <w:r w:rsidR="007A64FA">
        <w:rPr>
          <w:rFonts w:ascii="Arial" w:hAnsi="Arial" w:cs="Arial"/>
        </w:rPr>
        <w:tab/>
      </w:r>
      <w:r w:rsidRPr="0074361B">
        <w:rPr>
          <w:rFonts w:ascii="Arial" w:hAnsi="Arial" w:cs="Arial"/>
        </w:rPr>
        <w:t>Conservar diligentemente el terreno, efectuando todas las acciones correspondientes a fin de defender su posesión frente a terceros.</w:t>
      </w:r>
    </w:p>
    <w:p w:rsidR="0074361B" w:rsidRPr="0074361B" w:rsidRDefault="0074361B" w:rsidP="007A64FA">
      <w:pPr>
        <w:spacing w:after="0" w:line="240" w:lineRule="auto"/>
        <w:ind w:left="1701" w:hanging="567"/>
        <w:jc w:val="both"/>
        <w:rPr>
          <w:rFonts w:ascii="Arial" w:hAnsi="Arial" w:cs="Arial"/>
        </w:rPr>
      </w:pPr>
    </w:p>
    <w:p w:rsidR="0074361B" w:rsidRPr="0074361B" w:rsidRDefault="0074361B" w:rsidP="007A64FA">
      <w:pPr>
        <w:spacing w:after="0" w:line="240" w:lineRule="auto"/>
        <w:ind w:left="1701" w:hanging="567"/>
        <w:jc w:val="both"/>
        <w:rPr>
          <w:rFonts w:ascii="Arial" w:hAnsi="Arial" w:cs="Arial"/>
        </w:rPr>
      </w:pPr>
      <w:r w:rsidRPr="0074361B">
        <w:rPr>
          <w:rFonts w:ascii="Arial" w:hAnsi="Arial" w:cs="Arial"/>
        </w:rPr>
        <w:t xml:space="preserve">c) </w:t>
      </w:r>
      <w:r w:rsidR="007A64FA">
        <w:rPr>
          <w:rFonts w:ascii="Arial" w:hAnsi="Arial" w:cs="Arial"/>
        </w:rPr>
        <w:tab/>
      </w:r>
      <w:r w:rsidRPr="0074361B">
        <w:rPr>
          <w:rFonts w:ascii="Arial" w:hAnsi="Arial" w:cs="Arial"/>
        </w:rPr>
        <w:t>Destinar el terreno a la finalidad para lo cual fue otorgada la servidumbre, de acuerdo al proyecto de inversión indicado en su solicitud.</w:t>
      </w:r>
    </w:p>
    <w:p w:rsidR="0074361B" w:rsidRPr="0074361B" w:rsidRDefault="0074361B" w:rsidP="007A64FA">
      <w:pPr>
        <w:spacing w:after="0" w:line="240" w:lineRule="auto"/>
        <w:ind w:left="851" w:hanging="709"/>
        <w:jc w:val="both"/>
        <w:rPr>
          <w:rFonts w:ascii="Arial" w:hAnsi="Arial" w:cs="Arial"/>
        </w:rPr>
      </w:pPr>
    </w:p>
    <w:p w:rsidR="0074361B" w:rsidRPr="0074361B" w:rsidRDefault="0074361B" w:rsidP="007A64FA">
      <w:pPr>
        <w:spacing w:after="0" w:line="240" w:lineRule="auto"/>
        <w:ind w:left="851" w:hanging="709"/>
        <w:jc w:val="both"/>
        <w:rPr>
          <w:rFonts w:ascii="Arial" w:hAnsi="Arial" w:cs="Arial"/>
        </w:rPr>
      </w:pPr>
      <w:r w:rsidRPr="0074361B">
        <w:rPr>
          <w:rFonts w:ascii="Arial" w:hAnsi="Arial" w:cs="Arial"/>
        </w:rPr>
        <w:t xml:space="preserve">22.2 </w:t>
      </w:r>
      <w:r w:rsidR="007A64FA">
        <w:rPr>
          <w:rFonts w:ascii="Arial" w:hAnsi="Arial" w:cs="Arial"/>
        </w:rPr>
        <w:tab/>
      </w:r>
      <w:r w:rsidRPr="0074361B">
        <w:rPr>
          <w:rFonts w:ascii="Arial" w:hAnsi="Arial" w:cs="Arial"/>
        </w:rPr>
        <w:t>El incumplimiento de las obligaciones contractuales antes indicadas da lugar a la resolución del contrato, previa comunicación escrita al beneficiario de la servidumbre para lo cual se consigna expresamente en el contrato dicha cláusula resolutoria. Asimismo, el citado incumplimiento contractual da lugar al pago de una penalidad no menor al 20% del saldo total pendiente de pago, quedando a salvo el derecho del titular del terreno a solicitar el pago de los daños adicionales que pudieran haberse ocasionado por el incumplimiento contractual.</w:t>
      </w:r>
    </w:p>
    <w:p w:rsidR="0074361B" w:rsidRPr="0074361B" w:rsidRDefault="0074361B" w:rsidP="007A64FA">
      <w:pPr>
        <w:spacing w:after="0" w:line="240" w:lineRule="auto"/>
        <w:ind w:left="851" w:hanging="709"/>
        <w:jc w:val="both"/>
        <w:rPr>
          <w:rFonts w:ascii="Arial" w:hAnsi="Arial" w:cs="Arial"/>
        </w:rPr>
      </w:pPr>
    </w:p>
    <w:p w:rsidR="0074361B" w:rsidRPr="0074361B" w:rsidRDefault="0074361B" w:rsidP="007A64FA">
      <w:pPr>
        <w:spacing w:after="0" w:line="240" w:lineRule="auto"/>
        <w:ind w:left="851" w:hanging="709"/>
        <w:jc w:val="both"/>
        <w:rPr>
          <w:rFonts w:ascii="Arial" w:hAnsi="Arial" w:cs="Arial"/>
        </w:rPr>
      </w:pPr>
      <w:r w:rsidRPr="0074361B">
        <w:rPr>
          <w:rFonts w:ascii="Arial" w:hAnsi="Arial" w:cs="Arial"/>
        </w:rPr>
        <w:t xml:space="preserve">22.3 </w:t>
      </w:r>
      <w:r w:rsidR="007A64FA">
        <w:rPr>
          <w:rFonts w:ascii="Arial" w:hAnsi="Arial" w:cs="Arial"/>
        </w:rPr>
        <w:tab/>
      </w:r>
      <w:r w:rsidRPr="0074361B">
        <w:rPr>
          <w:rFonts w:ascii="Arial" w:hAnsi="Arial" w:cs="Arial"/>
        </w:rPr>
        <w:t>La SBN, los Gobiernos Regionales con funciones transferidas y las demás entidades del SNBE, según corresponda, verifica el cumplimiento de los pagos establecidos en la resolución y de las respectivas cláusulas contractuales. De verificarse el incumplimiento por el beneficiario de la servidumbre, se procede a la resolución contractual y a la extinción de la servidumbre, así como al requerimiento de la devolución del terreno.</w:t>
      </w:r>
    </w:p>
    <w:p w:rsidR="0074361B" w:rsidRPr="0074361B" w:rsidRDefault="0074361B" w:rsidP="007A64FA">
      <w:pPr>
        <w:spacing w:after="0" w:line="240" w:lineRule="auto"/>
        <w:ind w:left="851" w:hanging="709"/>
        <w:jc w:val="both"/>
        <w:rPr>
          <w:rFonts w:ascii="Arial" w:hAnsi="Arial" w:cs="Arial"/>
        </w:rPr>
      </w:pPr>
    </w:p>
    <w:p w:rsidR="0074361B" w:rsidRPr="0074361B" w:rsidRDefault="0074361B" w:rsidP="007A64FA">
      <w:pPr>
        <w:spacing w:after="0" w:line="240" w:lineRule="auto"/>
        <w:ind w:left="851" w:hanging="709"/>
        <w:jc w:val="both"/>
        <w:rPr>
          <w:rFonts w:ascii="Arial" w:hAnsi="Arial" w:cs="Arial"/>
        </w:rPr>
      </w:pPr>
      <w:r w:rsidRPr="0074361B">
        <w:rPr>
          <w:rFonts w:ascii="Arial" w:hAnsi="Arial" w:cs="Arial"/>
        </w:rPr>
        <w:t xml:space="preserve">22.4 </w:t>
      </w:r>
      <w:r w:rsidR="007A64FA">
        <w:rPr>
          <w:rFonts w:ascii="Arial" w:hAnsi="Arial" w:cs="Arial"/>
        </w:rPr>
        <w:tab/>
      </w:r>
      <w:r w:rsidRPr="0074361B">
        <w:rPr>
          <w:rFonts w:ascii="Arial" w:hAnsi="Arial" w:cs="Arial"/>
        </w:rPr>
        <w:t>La SBN, los Gobiernos Regionales con funciones transferidas y las demás entidades del SNBE, según corresponda, podrán efectuar inspecciones periódicas a los terrenos respecto de los cuales han constituido derechos de servidumbre a efectos de verificar el cumplimiento de las obligaciones contraídas por el titular del proyecto. En caso de advertir alguna situación de incumplimiento, solicita el descargo correspondiente, para lo cual otorga al titular del proyecto de inversión un plazo de quince (15) días hábiles, de ser el caso, se prosigue el trámite respectivo para la resolución contractual y extinción de la servidumbre. No procede solicitar la restitución de las sumas abonadas por concepto del derecho de servidumbre otorgado.</w:t>
      </w:r>
    </w:p>
    <w:p w:rsidR="0074361B" w:rsidRPr="0074361B" w:rsidRDefault="0074361B" w:rsidP="0074361B">
      <w:pPr>
        <w:spacing w:after="0" w:line="240" w:lineRule="auto"/>
        <w:jc w:val="both"/>
        <w:rPr>
          <w:rFonts w:ascii="Arial" w:hAnsi="Arial" w:cs="Arial"/>
        </w:rPr>
      </w:pPr>
    </w:p>
    <w:p w:rsidR="0074361B" w:rsidRPr="007A64FA" w:rsidRDefault="0074361B" w:rsidP="0074361B">
      <w:pPr>
        <w:spacing w:after="0" w:line="240" w:lineRule="auto"/>
        <w:jc w:val="both"/>
        <w:rPr>
          <w:rFonts w:ascii="Arial" w:hAnsi="Arial" w:cs="Arial"/>
          <w:b/>
        </w:rPr>
      </w:pPr>
      <w:r w:rsidRPr="007A64FA">
        <w:rPr>
          <w:rFonts w:ascii="Arial" w:hAnsi="Arial" w:cs="Arial"/>
          <w:b/>
        </w:rPr>
        <w:t>Artículo 23.- Culminación del proyecto de inversión o de la autorización sectorial para el desarrollo de la actividad o concesión que sustenta el proyecto de inversión.</w:t>
      </w:r>
    </w:p>
    <w:p w:rsidR="0074361B" w:rsidRPr="0074361B" w:rsidRDefault="0074361B" w:rsidP="0074361B">
      <w:pPr>
        <w:spacing w:after="0" w:line="240" w:lineRule="auto"/>
        <w:jc w:val="both"/>
        <w:rPr>
          <w:rFonts w:ascii="Arial" w:hAnsi="Arial" w:cs="Arial"/>
        </w:rPr>
      </w:pPr>
      <w:r w:rsidRPr="0074361B">
        <w:rPr>
          <w:rFonts w:ascii="Arial" w:hAnsi="Arial" w:cs="Arial"/>
        </w:rPr>
        <w:t>Si la entidad competente para autorizar la ejecución de las actividades correspondientes al proyecto de inversión, por el cual se otorga la servidumbre, cancela o deja sin efecto la concesión o autorización otorgada para la ejecución de dicha actividad o advierte que se desarrolla en el terreno estatal alguna actividad no autorizada, debe, bajo responsabilidad, comunicar dicha situación a la SBN, al Gobierno Regional con funciones transferidas o a la entidad titular del terreno, a fin que esta proceda a declarar la extinción de la servidumbre.</w:t>
      </w:r>
    </w:p>
    <w:p w:rsidR="0074361B" w:rsidRPr="0074361B" w:rsidRDefault="0074361B" w:rsidP="0074361B">
      <w:pPr>
        <w:spacing w:after="0" w:line="240" w:lineRule="auto"/>
        <w:jc w:val="both"/>
        <w:rPr>
          <w:rFonts w:ascii="Arial" w:hAnsi="Arial" w:cs="Arial"/>
        </w:rPr>
      </w:pPr>
    </w:p>
    <w:p w:rsidR="0074361B" w:rsidRPr="007A64FA" w:rsidRDefault="0074361B" w:rsidP="0074361B">
      <w:pPr>
        <w:spacing w:after="0" w:line="240" w:lineRule="auto"/>
        <w:jc w:val="both"/>
        <w:rPr>
          <w:rFonts w:ascii="Arial" w:hAnsi="Arial" w:cs="Arial"/>
          <w:b/>
        </w:rPr>
      </w:pPr>
      <w:r w:rsidRPr="007A64FA">
        <w:rPr>
          <w:rFonts w:ascii="Arial" w:hAnsi="Arial" w:cs="Arial"/>
          <w:b/>
        </w:rPr>
        <w:t>Artículo 24.- Resolución anticipada del contrato</w:t>
      </w:r>
    </w:p>
    <w:p w:rsidR="0074361B" w:rsidRPr="0074361B" w:rsidRDefault="0074361B" w:rsidP="0074361B">
      <w:pPr>
        <w:spacing w:after="0" w:line="240" w:lineRule="auto"/>
        <w:jc w:val="both"/>
        <w:rPr>
          <w:rFonts w:ascii="Arial" w:hAnsi="Arial" w:cs="Arial"/>
        </w:rPr>
      </w:pPr>
      <w:r w:rsidRPr="0074361B">
        <w:rPr>
          <w:rFonts w:ascii="Arial" w:hAnsi="Arial" w:cs="Arial"/>
        </w:rPr>
        <w:t>En caso que el beneficiario de la servidumbre solicite la resolución del contrato antes de su vencimiento, es necesario formalice su petición ante la entidad propietaria del bien o ante la entidad que lo administre, mediante carta notarial con una anticipación no menor de treinta (30) días hábiles, para lo cual debe pagar la penalidad establecida en el respectivo contrato, equivalente al veinte por ciento (20%) del saldo total pendiente de pago, no teniendo derecho a reembolso alguno, en caso hubiese efectuado pagos por adelantado.</w:t>
      </w:r>
    </w:p>
    <w:p w:rsidR="0074361B" w:rsidRPr="0074361B" w:rsidRDefault="0074361B" w:rsidP="0074361B">
      <w:pPr>
        <w:spacing w:after="0" w:line="240" w:lineRule="auto"/>
        <w:jc w:val="both"/>
        <w:rPr>
          <w:rFonts w:ascii="Arial" w:hAnsi="Arial" w:cs="Arial"/>
        </w:rPr>
      </w:pPr>
    </w:p>
    <w:p w:rsidR="0074361B" w:rsidRPr="007A64FA" w:rsidRDefault="0074361B" w:rsidP="0074361B">
      <w:pPr>
        <w:spacing w:after="0" w:line="240" w:lineRule="auto"/>
        <w:jc w:val="both"/>
        <w:rPr>
          <w:rFonts w:ascii="Arial" w:hAnsi="Arial" w:cs="Arial"/>
          <w:b/>
        </w:rPr>
      </w:pPr>
      <w:r w:rsidRPr="007A64FA">
        <w:rPr>
          <w:rFonts w:ascii="Arial" w:hAnsi="Arial" w:cs="Arial"/>
          <w:b/>
        </w:rPr>
        <w:t>DISPOSICIONES COMPLEMENTARIAS FINALES</w:t>
      </w:r>
    </w:p>
    <w:p w:rsidR="0074361B" w:rsidRPr="0074361B" w:rsidRDefault="0074361B" w:rsidP="0074361B">
      <w:pPr>
        <w:spacing w:after="0" w:line="240" w:lineRule="auto"/>
        <w:jc w:val="both"/>
        <w:rPr>
          <w:rFonts w:ascii="Arial" w:hAnsi="Arial" w:cs="Arial"/>
        </w:rPr>
      </w:pPr>
    </w:p>
    <w:p w:rsidR="0074361B" w:rsidRPr="007A64FA" w:rsidRDefault="0074361B" w:rsidP="0074361B">
      <w:pPr>
        <w:spacing w:after="0" w:line="240" w:lineRule="auto"/>
        <w:jc w:val="both"/>
        <w:rPr>
          <w:rFonts w:ascii="Arial" w:hAnsi="Arial" w:cs="Arial"/>
          <w:b/>
        </w:rPr>
      </w:pPr>
      <w:r w:rsidRPr="007A64FA">
        <w:rPr>
          <w:rFonts w:ascii="Arial" w:hAnsi="Arial" w:cs="Arial"/>
          <w:b/>
        </w:rPr>
        <w:t>Primera.- De las servidumbres a cargo de la SBN, Gobiernos Regionales y entidades propietarias de terrenos estatales</w:t>
      </w:r>
    </w:p>
    <w:p w:rsidR="0074361B" w:rsidRPr="0074361B" w:rsidRDefault="0074361B" w:rsidP="0074361B">
      <w:pPr>
        <w:spacing w:after="0" w:line="240" w:lineRule="auto"/>
        <w:jc w:val="both"/>
        <w:rPr>
          <w:rFonts w:ascii="Arial" w:hAnsi="Arial" w:cs="Arial"/>
        </w:rPr>
      </w:pPr>
      <w:r w:rsidRPr="0074361B">
        <w:rPr>
          <w:rFonts w:ascii="Arial" w:hAnsi="Arial" w:cs="Arial"/>
        </w:rPr>
        <w:t>Las normas contenidas en la Ley y en el presente Reglamento, referidas a la constitución del derecho de servidumbre sobre terrenos eriazos de propiedad estatal para proyectos de inversión, se aplican en el marco del SNBE. La SBN, los Gobiernos Regionales con funciones transferidas y las entidades propietarias de terrenos estatales no imponen servidumbres administrativas con carácter forzoso.</w:t>
      </w:r>
    </w:p>
    <w:p w:rsidR="0074361B" w:rsidRPr="0074361B" w:rsidRDefault="0074361B" w:rsidP="0074361B">
      <w:pPr>
        <w:spacing w:after="0" w:line="240" w:lineRule="auto"/>
        <w:jc w:val="both"/>
        <w:rPr>
          <w:rFonts w:ascii="Arial" w:hAnsi="Arial" w:cs="Arial"/>
        </w:rPr>
      </w:pPr>
    </w:p>
    <w:p w:rsidR="0074361B" w:rsidRPr="007A64FA" w:rsidRDefault="0074361B" w:rsidP="0074361B">
      <w:pPr>
        <w:spacing w:after="0" w:line="240" w:lineRule="auto"/>
        <w:jc w:val="both"/>
        <w:rPr>
          <w:rFonts w:ascii="Arial" w:hAnsi="Arial" w:cs="Arial"/>
          <w:b/>
        </w:rPr>
      </w:pPr>
      <w:r w:rsidRPr="007A64FA">
        <w:rPr>
          <w:rFonts w:ascii="Arial" w:hAnsi="Arial" w:cs="Arial"/>
          <w:b/>
        </w:rPr>
        <w:t>Segunda.- De los Procedimientos especiales de saneamiento</w:t>
      </w:r>
    </w:p>
    <w:p w:rsidR="0074361B" w:rsidRPr="0074361B" w:rsidRDefault="0074361B" w:rsidP="0074361B">
      <w:pPr>
        <w:spacing w:after="0" w:line="240" w:lineRule="auto"/>
        <w:jc w:val="both"/>
        <w:rPr>
          <w:rFonts w:ascii="Arial" w:hAnsi="Arial" w:cs="Arial"/>
        </w:rPr>
      </w:pPr>
      <w:r w:rsidRPr="0074361B">
        <w:rPr>
          <w:rFonts w:ascii="Arial" w:hAnsi="Arial" w:cs="Arial"/>
        </w:rPr>
        <w:t>En caso que los proyectos de inversión que sustentan las solicitudes de servidumbre se encuentren comprendidos en alguno de los supuestos contemplados en el Título III de la Ley Nº 30230 y sus normas complementarias, el titular del proyecto puede solicitar a la SBN la ejecución de procedimientos especiales de saneamiento del predio estatal, para lo cual debe cumplir con los requisitos exigidos en las referidas normas.</w:t>
      </w:r>
    </w:p>
    <w:p w:rsidR="0074361B" w:rsidRPr="0074361B" w:rsidRDefault="0074361B" w:rsidP="0074361B">
      <w:pPr>
        <w:spacing w:after="0" w:line="240" w:lineRule="auto"/>
        <w:jc w:val="both"/>
        <w:rPr>
          <w:rFonts w:ascii="Arial" w:hAnsi="Arial" w:cs="Arial"/>
        </w:rPr>
      </w:pPr>
    </w:p>
    <w:p w:rsidR="0074361B" w:rsidRPr="007A64FA" w:rsidRDefault="0074361B" w:rsidP="0074361B">
      <w:pPr>
        <w:spacing w:after="0" w:line="240" w:lineRule="auto"/>
        <w:jc w:val="both"/>
        <w:rPr>
          <w:rFonts w:ascii="Arial" w:hAnsi="Arial" w:cs="Arial"/>
          <w:b/>
        </w:rPr>
      </w:pPr>
      <w:r w:rsidRPr="007A64FA">
        <w:rPr>
          <w:rFonts w:ascii="Arial" w:hAnsi="Arial" w:cs="Arial"/>
          <w:b/>
        </w:rPr>
        <w:t>Tercera.- De la emisión de Directivas</w:t>
      </w:r>
    </w:p>
    <w:p w:rsidR="0074361B" w:rsidRPr="0074361B" w:rsidRDefault="0074361B" w:rsidP="0074361B">
      <w:pPr>
        <w:spacing w:after="0" w:line="240" w:lineRule="auto"/>
        <w:jc w:val="both"/>
        <w:rPr>
          <w:rFonts w:ascii="Arial" w:hAnsi="Arial" w:cs="Arial"/>
        </w:rPr>
      </w:pPr>
      <w:r w:rsidRPr="0074361B">
        <w:rPr>
          <w:rFonts w:ascii="Arial" w:hAnsi="Arial" w:cs="Arial"/>
        </w:rPr>
        <w:t>Para la aplicación del presente Reglamento, en el marco del SNBE, la SBN puede emitir directivas.</w:t>
      </w:r>
    </w:p>
    <w:p w:rsidR="0074361B" w:rsidRPr="0074361B" w:rsidRDefault="0074361B" w:rsidP="0074361B">
      <w:pPr>
        <w:spacing w:after="0" w:line="240" w:lineRule="auto"/>
        <w:jc w:val="both"/>
        <w:rPr>
          <w:rFonts w:ascii="Arial" w:hAnsi="Arial" w:cs="Arial"/>
        </w:rPr>
      </w:pPr>
    </w:p>
    <w:p w:rsidR="0074361B" w:rsidRPr="007A64FA" w:rsidRDefault="0074361B" w:rsidP="0074361B">
      <w:pPr>
        <w:spacing w:after="0" w:line="240" w:lineRule="auto"/>
        <w:jc w:val="both"/>
        <w:rPr>
          <w:rFonts w:ascii="Arial" w:hAnsi="Arial" w:cs="Arial"/>
          <w:b/>
        </w:rPr>
      </w:pPr>
      <w:r w:rsidRPr="007A64FA">
        <w:rPr>
          <w:rFonts w:ascii="Arial" w:hAnsi="Arial" w:cs="Arial"/>
          <w:b/>
        </w:rPr>
        <w:t>Cuarta.- De la comunicación de la constitución de los derechos de vía a la SBN</w:t>
      </w:r>
    </w:p>
    <w:p w:rsidR="0074361B" w:rsidRPr="0074361B" w:rsidRDefault="0074361B" w:rsidP="0074361B">
      <w:pPr>
        <w:spacing w:after="0" w:line="240" w:lineRule="auto"/>
        <w:jc w:val="both"/>
        <w:rPr>
          <w:rFonts w:ascii="Arial" w:hAnsi="Arial" w:cs="Arial"/>
        </w:rPr>
      </w:pPr>
      <w:r w:rsidRPr="0074361B">
        <w:rPr>
          <w:rFonts w:ascii="Arial" w:hAnsi="Arial" w:cs="Arial"/>
        </w:rPr>
        <w:t>La autoridad competente para definir el derecho de vía y el titular del proyecto comunican a la SBN y a los Gobiernos Regionales con funciones transferidas, la existencia de derechos de vías sobre terrenos de propiedad estatal, para su registro en el SINABIP con la finalidad de no otorgar derechos de servidumbre, ni otros derechos de uso u ocupación, ni de propiedad, conforme a lo dispuesto en el numeral 28.3 del artículo 28 de la Ley.</w:t>
      </w:r>
    </w:p>
    <w:p w:rsidR="0074361B" w:rsidRPr="0074361B" w:rsidRDefault="0074361B" w:rsidP="0074361B">
      <w:pPr>
        <w:spacing w:after="0" w:line="240" w:lineRule="auto"/>
        <w:jc w:val="both"/>
        <w:rPr>
          <w:rFonts w:ascii="Arial" w:hAnsi="Arial" w:cs="Arial"/>
        </w:rPr>
      </w:pPr>
    </w:p>
    <w:p w:rsidR="0074361B" w:rsidRPr="007A64FA" w:rsidRDefault="0074361B" w:rsidP="0074361B">
      <w:pPr>
        <w:spacing w:after="0" w:line="240" w:lineRule="auto"/>
        <w:jc w:val="both"/>
        <w:rPr>
          <w:rFonts w:ascii="Arial" w:hAnsi="Arial" w:cs="Arial"/>
          <w:b/>
        </w:rPr>
      </w:pPr>
      <w:r w:rsidRPr="007A64FA">
        <w:rPr>
          <w:rFonts w:ascii="Arial" w:hAnsi="Arial" w:cs="Arial"/>
          <w:b/>
        </w:rPr>
        <w:t>DISPOSICIONES COMPLEMENTARIAS TRANSITORIAS</w:t>
      </w:r>
    </w:p>
    <w:p w:rsidR="0074361B" w:rsidRPr="0074361B" w:rsidRDefault="0074361B" w:rsidP="0074361B">
      <w:pPr>
        <w:spacing w:after="0" w:line="240" w:lineRule="auto"/>
        <w:jc w:val="both"/>
        <w:rPr>
          <w:rFonts w:ascii="Arial" w:hAnsi="Arial" w:cs="Arial"/>
        </w:rPr>
      </w:pPr>
    </w:p>
    <w:p w:rsidR="0074361B" w:rsidRPr="007A64FA" w:rsidRDefault="0074361B" w:rsidP="0074361B">
      <w:pPr>
        <w:spacing w:after="0" w:line="240" w:lineRule="auto"/>
        <w:jc w:val="both"/>
        <w:rPr>
          <w:rFonts w:ascii="Arial" w:hAnsi="Arial" w:cs="Arial"/>
          <w:b/>
        </w:rPr>
      </w:pPr>
      <w:r w:rsidRPr="007A64FA">
        <w:rPr>
          <w:rFonts w:ascii="Arial" w:hAnsi="Arial" w:cs="Arial"/>
          <w:b/>
        </w:rPr>
        <w:t>Única.- De los procedimientos iniciados antes de la entrada en vigencia de la Ley</w:t>
      </w:r>
    </w:p>
    <w:p w:rsidR="0074361B" w:rsidRPr="0074361B" w:rsidRDefault="0074361B" w:rsidP="0074361B">
      <w:pPr>
        <w:spacing w:after="0" w:line="240" w:lineRule="auto"/>
        <w:jc w:val="both"/>
        <w:rPr>
          <w:rFonts w:ascii="Arial" w:hAnsi="Arial" w:cs="Arial"/>
        </w:rPr>
      </w:pPr>
      <w:r w:rsidRPr="0074361B">
        <w:rPr>
          <w:rFonts w:ascii="Arial" w:hAnsi="Arial" w:cs="Arial"/>
        </w:rPr>
        <w:t>Los procedimientos de constitución de servidumbre que se encontraban en trámite a la fecha de publicación de la Ley, se adecúan a sus disposiciones y a las del presente reglamento, en el estado en que se encuentren, para lo cual siguen las reglas siguientes:</w:t>
      </w:r>
    </w:p>
    <w:p w:rsidR="0074361B" w:rsidRPr="0074361B" w:rsidRDefault="0074361B" w:rsidP="0074361B">
      <w:pPr>
        <w:spacing w:after="0" w:line="240" w:lineRule="auto"/>
        <w:jc w:val="both"/>
        <w:rPr>
          <w:rFonts w:ascii="Arial" w:hAnsi="Arial" w:cs="Arial"/>
        </w:rPr>
      </w:pPr>
    </w:p>
    <w:p w:rsidR="0074361B" w:rsidRPr="0074361B" w:rsidRDefault="0074361B" w:rsidP="007A64FA">
      <w:pPr>
        <w:spacing w:after="0" w:line="240" w:lineRule="auto"/>
        <w:ind w:left="1134" w:hanging="708"/>
        <w:jc w:val="both"/>
        <w:rPr>
          <w:rFonts w:ascii="Arial" w:hAnsi="Arial" w:cs="Arial"/>
        </w:rPr>
      </w:pPr>
      <w:r w:rsidRPr="0074361B">
        <w:rPr>
          <w:rFonts w:ascii="Arial" w:hAnsi="Arial" w:cs="Arial"/>
        </w:rPr>
        <w:t xml:space="preserve">a) </w:t>
      </w:r>
      <w:r w:rsidR="007A64FA">
        <w:rPr>
          <w:rFonts w:ascii="Arial" w:hAnsi="Arial" w:cs="Arial"/>
        </w:rPr>
        <w:tab/>
      </w:r>
      <w:r w:rsidRPr="0074361B">
        <w:rPr>
          <w:rFonts w:ascii="Arial" w:hAnsi="Arial" w:cs="Arial"/>
        </w:rPr>
        <w:t>Los procedimientos que se encuentran en estado de calificación de requisitos por la SBN, a través del sector competente se adecúan a lo dispuesto en la Ley y el Título I y II del presente Reglamento en el plazo de quince (15) días hábiles contados desde la entrada en vigencia de este último. Al vencimiento del plazo y transcurridos los diez (10) días hábiles a que se refiere el numeral 18.2 del artículo 18 de la Ley, la SBN procede a declarar inadmisible la solicitud y devuelve al sector los documentos presentados. El plazo para los efectos del silencio administrativo positivo para la entrega provisional, que regula el numeral 19.1 del artículo 19 de la Ley, se cuenta desde el momento que la autoridad sectorial competente remite la información a la SBN adecuando el procedimiento a la Ley y el presente Reglamento.</w:t>
      </w:r>
    </w:p>
    <w:p w:rsidR="0074361B" w:rsidRPr="0074361B" w:rsidRDefault="0074361B" w:rsidP="007A64FA">
      <w:pPr>
        <w:spacing w:after="0" w:line="240" w:lineRule="auto"/>
        <w:ind w:left="1134" w:hanging="708"/>
        <w:jc w:val="both"/>
        <w:rPr>
          <w:rFonts w:ascii="Arial" w:hAnsi="Arial" w:cs="Arial"/>
        </w:rPr>
      </w:pPr>
    </w:p>
    <w:p w:rsidR="0074361B" w:rsidRPr="0074361B" w:rsidRDefault="0074361B" w:rsidP="007A64FA">
      <w:pPr>
        <w:spacing w:after="0" w:line="240" w:lineRule="auto"/>
        <w:ind w:left="1134" w:hanging="708"/>
        <w:jc w:val="both"/>
        <w:rPr>
          <w:rFonts w:ascii="Arial" w:hAnsi="Arial" w:cs="Arial"/>
        </w:rPr>
      </w:pPr>
      <w:r w:rsidRPr="0074361B">
        <w:rPr>
          <w:rFonts w:ascii="Arial" w:hAnsi="Arial" w:cs="Arial"/>
        </w:rPr>
        <w:t xml:space="preserve">b) </w:t>
      </w:r>
      <w:r w:rsidR="007A64FA">
        <w:rPr>
          <w:rFonts w:ascii="Arial" w:hAnsi="Arial" w:cs="Arial"/>
        </w:rPr>
        <w:tab/>
      </w:r>
      <w:r w:rsidRPr="0074361B">
        <w:rPr>
          <w:rFonts w:ascii="Arial" w:hAnsi="Arial" w:cs="Arial"/>
        </w:rPr>
        <w:t>Los procedimientos en los cuales se ha efectuado la entrega provisional y/o la tasación comercial del terreno, pero aún no se ha constituido la servidumbre, a través del sector competente, se adecúan a lo dispuesto en el numeral 18.2 de la Ley y el artículo 8 del presente Reglamento, en el plazo de quince (15) días hábiles contados desde la entrada en vigencia de éste último. Al vencimiento del plazo y transcurridos los diez (10) días hábiles a que se refiere el numeral 18.2 del artículo 18 de la Ley, la SBN procederá a dejar sin efecto el acta de entrega provisional, notificando dicha decisión al titular del proyecto de inversión y a la autoridad sectorial competente, y requiriendo la devolución del terreno. Una vez que la decisión quede consentida se devuelven al sector los documentos presentados y se dispone el archivo definitivo del expediente.</w:t>
      </w:r>
    </w:p>
    <w:p w:rsidR="0074361B" w:rsidRPr="0074361B" w:rsidRDefault="0074361B" w:rsidP="007A64FA">
      <w:pPr>
        <w:spacing w:after="0" w:line="240" w:lineRule="auto"/>
        <w:ind w:left="1134" w:hanging="708"/>
        <w:jc w:val="both"/>
        <w:rPr>
          <w:rFonts w:ascii="Arial" w:hAnsi="Arial" w:cs="Arial"/>
        </w:rPr>
      </w:pPr>
    </w:p>
    <w:p w:rsidR="0074361B" w:rsidRPr="0074361B" w:rsidRDefault="0074361B" w:rsidP="007A64FA">
      <w:pPr>
        <w:spacing w:after="0" w:line="240" w:lineRule="auto"/>
        <w:ind w:left="1134" w:hanging="708"/>
        <w:jc w:val="both"/>
        <w:rPr>
          <w:rFonts w:ascii="Arial" w:hAnsi="Arial" w:cs="Arial"/>
        </w:rPr>
      </w:pPr>
      <w:r w:rsidRPr="0074361B">
        <w:rPr>
          <w:rFonts w:ascii="Arial" w:hAnsi="Arial" w:cs="Arial"/>
        </w:rPr>
        <w:t xml:space="preserve">c) </w:t>
      </w:r>
      <w:r w:rsidR="007A64FA">
        <w:rPr>
          <w:rFonts w:ascii="Arial" w:hAnsi="Arial" w:cs="Arial"/>
        </w:rPr>
        <w:tab/>
      </w:r>
      <w:r w:rsidRPr="0074361B">
        <w:rPr>
          <w:rFonts w:ascii="Arial" w:hAnsi="Arial" w:cs="Arial"/>
        </w:rPr>
        <w:t>En los casos en que la SBN ha remitido los actuados a la entidad titular del terreno o al Gobierno Regional con funciones transferidas, sin contar con la valuación comercial, éstos, a través del sector competente, solicitan a la autoridad sectorial competente que se adecúe a lo dispuesto en la Ley y en el presente Reglamento en el plazo de quince (15) días hábiles, contados desde la entrada en vigencia de este último. En estos casos, la autoridad sectorial competente remite el informe a que alude el numeral 18.2 del artículo 18 de la Ley, directamente al titular del terreno o al Gobierno Regional con funciones transferidas, en caso contrario y una vez vencido el plazo que alude el citado artículo de la Ley, sin que se haya cumplido con la citada adecuación, la entidad titular del terreno o el Gobierno Regional con funciones transferidas procede a dejar sin efecto el acta de entrega provisional, notificando dicha decisión al titular del proyecto de inversión y a la autoridad sectorial competente, requiriendo la devolución del terreno.</w:t>
      </w:r>
    </w:p>
    <w:p w:rsidR="0074361B" w:rsidRPr="0074361B" w:rsidRDefault="0074361B" w:rsidP="007A64FA">
      <w:pPr>
        <w:spacing w:after="0" w:line="240" w:lineRule="auto"/>
        <w:ind w:left="1134" w:hanging="708"/>
        <w:jc w:val="both"/>
        <w:rPr>
          <w:rFonts w:ascii="Arial" w:hAnsi="Arial" w:cs="Arial"/>
        </w:rPr>
      </w:pPr>
    </w:p>
    <w:p w:rsidR="0074361B" w:rsidRPr="0074361B" w:rsidRDefault="0074361B" w:rsidP="007A64FA">
      <w:pPr>
        <w:spacing w:after="0" w:line="240" w:lineRule="auto"/>
        <w:ind w:left="1134" w:hanging="708"/>
        <w:jc w:val="both"/>
        <w:rPr>
          <w:rFonts w:ascii="Arial" w:hAnsi="Arial" w:cs="Arial"/>
        </w:rPr>
      </w:pPr>
      <w:r w:rsidRPr="0074361B">
        <w:rPr>
          <w:rFonts w:ascii="Arial" w:hAnsi="Arial" w:cs="Arial"/>
        </w:rPr>
        <w:t xml:space="preserve">d) </w:t>
      </w:r>
      <w:r w:rsidR="007A64FA">
        <w:rPr>
          <w:rFonts w:ascii="Arial" w:hAnsi="Arial" w:cs="Arial"/>
        </w:rPr>
        <w:tab/>
      </w:r>
      <w:r w:rsidRPr="0074361B">
        <w:rPr>
          <w:rFonts w:ascii="Arial" w:hAnsi="Arial" w:cs="Arial"/>
        </w:rPr>
        <w:t>En los casos que se encuentren comprendidos en alguno de los supuestos indicados en el numeral 9.7 del artículo 9 del presente Reglamento, se procede a dar por concluido el trámite, dejando sin efecto la entrega provisional, de ser el caso, requiriendo la devolución del terreno, notificando dicha decisión al titular del proyecto de inversión y a la autoridad sectorial competente, devolviendo los documentos presentados y disponiendo el archivo definitivo del expediente.</w:t>
      </w:r>
    </w:p>
    <w:p w:rsidR="0074361B" w:rsidRPr="0074361B" w:rsidRDefault="0074361B" w:rsidP="0074361B">
      <w:pPr>
        <w:spacing w:after="0" w:line="240" w:lineRule="auto"/>
        <w:jc w:val="both"/>
        <w:rPr>
          <w:rFonts w:ascii="Arial" w:hAnsi="Arial" w:cs="Arial"/>
        </w:rPr>
      </w:pPr>
    </w:p>
    <w:p w:rsidR="0074361B" w:rsidRPr="007A64FA" w:rsidRDefault="0074361B" w:rsidP="0074361B">
      <w:pPr>
        <w:spacing w:after="0" w:line="240" w:lineRule="auto"/>
        <w:jc w:val="both"/>
        <w:rPr>
          <w:rFonts w:ascii="Arial" w:hAnsi="Arial" w:cs="Arial"/>
          <w:b/>
        </w:rPr>
      </w:pPr>
      <w:r w:rsidRPr="007A64FA">
        <w:rPr>
          <w:rFonts w:ascii="Arial" w:hAnsi="Arial" w:cs="Arial"/>
          <w:b/>
        </w:rPr>
        <w:t>DISPOSICIÓN COMPLEMENTARIA DEROGATORIA</w:t>
      </w:r>
    </w:p>
    <w:p w:rsidR="0074361B" w:rsidRPr="0074361B" w:rsidRDefault="0074361B" w:rsidP="0074361B">
      <w:pPr>
        <w:spacing w:after="0" w:line="240" w:lineRule="auto"/>
        <w:jc w:val="both"/>
        <w:rPr>
          <w:rFonts w:ascii="Arial" w:hAnsi="Arial" w:cs="Arial"/>
        </w:rPr>
      </w:pPr>
    </w:p>
    <w:p w:rsidR="0074361B" w:rsidRPr="007A64FA" w:rsidRDefault="0074361B" w:rsidP="0074361B">
      <w:pPr>
        <w:spacing w:after="0" w:line="240" w:lineRule="auto"/>
        <w:jc w:val="both"/>
        <w:rPr>
          <w:rFonts w:ascii="Arial" w:hAnsi="Arial" w:cs="Arial"/>
          <w:b/>
        </w:rPr>
      </w:pPr>
      <w:r w:rsidRPr="007A64FA">
        <w:rPr>
          <w:rFonts w:ascii="Arial" w:hAnsi="Arial" w:cs="Arial"/>
          <w:b/>
        </w:rPr>
        <w:t>ÚNICA.- De la precisión de derogaciones de normas reglamentarias</w:t>
      </w:r>
    </w:p>
    <w:p w:rsidR="0074361B" w:rsidRPr="0074361B" w:rsidRDefault="0074361B" w:rsidP="0074361B">
      <w:pPr>
        <w:spacing w:after="0" w:line="240" w:lineRule="auto"/>
        <w:jc w:val="both"/>
        <w:rPr>
          <w:rFonts w:ascii="Arial" w:hAnsi="Arial" w:cs="Arial"/>
        </w:rPr>
      </w:pPr>
      <w:r w:rsidRPr="0074361B">
        <w:rPr>
          <w:rFonts w:ascii="Arial" w:hAnsi="Arial" w:cs="Arial"/>
        </w:rPr>
        <w:t>Precísase que a partir de la vigencia de la Ley Nº 30327, el artículo 6 del Decreto Supremo Nº 054-2013-PCM y la Tercera Disposición Complementaria Final del Decreto Supremo Nº 060-2013-PCM, han sido derogados.</w:t>
      </w:r>
    </w:p>
    <w:p w:rsidR="0074361B" w:rsidRDefault="0074361B" w:rsidP="006312E8">
      <w:pPr>
        <w:spacing w:after="0" w:line="240" w:lineRule="auto"/>
        <w:contextualSpacing/>
        <w:jc w:val="both"/>
        <w:rPr>
          <w:rFonts w:ascii="Arial" w:eastAsia="Calibri" w:hAnsi="Arial" w:cs="Arial"/>
          <w:lang w:val="es-ES"/>
        </w:rPr>
      </w:pPr>
    </w:p>
    <w:p w:rsidR="0074361B" w:rsidRDefault="0074361B" w:rsidP="006312E8">
      <w:pPr>
        <w:spacing w:after="0" w:line="240" w:lineRule="auto"/>
        <w:contextualSpacing/>
        <w:jc w:val="both"/>
        <w:rPr>
          <w:rFonts w:ascii="Arial" w:eastAsia="Calibri" w:hAnsi="Arial" w:cs="Arial"/>
          <w:lang w:val="es-ES"/>
        </w:rPr>
      </w:pPr>
    </w:p>
    <w:p w:rsidR="007A64FA" w:rsidRDefault="007A64FA" w:rsidP="006312E8">
      <w:pPr>
        <w:spacing w:after="0" w:line="240" w:lineRule="auto"/>
        <w:contextualSpacing/>
        <w:jc w:val="both"/>
        <w:rPr>
          <w:rFonts w:ascii="Arial" w:eastAsia="Calibri" w:hAnsi="Arial" w:cs="Arial"/>
          <w:lang w:val="es-ES"/>
        </w:rPr>
      </w:pPr>
    </w:p>
    <w:p w:rsidR="007A64FA" w:rsidRDefault="007A64FA" w:rsidP="006312E8">
      <w:pPr>
        <w:spacing w:after="0" w:line="240" w:lineRule="auto"/>
        <w:contextualSpacing/>
        <w:jc w:val="both"/>
        <w:rPr>
          <w:rFonts w:ascii="Arial" w:eastAsia="Calibri" w:hAnsi="Arial" w:cs="Arial"/>
          <w:lang w:val="es-ES"/>
        </w:rPr>
      </w:pPr>
    </w:p>
    <w:p w:rsidR="007A64FA" w:rsidRDefault="007A64FA" w:rsidP="006312E8">
      <w:pPr>
        <w:spacing w:after="0" w:line="240" w:lineRule="auto"/>
        <w:contextualSpacing/>
        <w:jc w:val="both"/>
        <w:rPr>
          <w:rFonts w:ascii="Arial" w:eastAsia="Calibri" w:hAnsi="Arial" w:cs="Arial"/>
          <w:lang w:val="es-ES"/>
        </w:rPr>
      </w:pPr>
    </w:p>
    <w:p w:rsidR="007A64FA" w:rsidRDefault="007A64FA" w:rsidP="006312E8">
      <w:pPr>
        <w:spacing w:after="0" w:line="240" w:lineRule="auto"/>
        <w:contextualSpacing/>
        <w:jc w:val="both"/>
        <w:rPr>
          <w:rFonts w:ascii="Arial" w:eastAsia="Calibri" w:hAnsi="Arial" w:cs="Arial"/>
          <w:lang w:val="es-ES"/>
        </w:rPr>
      </w:pPr>
    </w:p>
    <w:p w:rsidR="00246CE9" w:rsidRPr="006312E8" w:rsidRDefault="00246CE9" w:rsidP="006312E8">
      <w:pPr>
        <w:spacing w:after="0" w:line="240" w:lineRule="auto"/>
        <w:contextualSpacing/>
        <w:jc w:val="both"/>
        <w:rPr>
          <w:rFonts w:ascii="Arial" w:eastAsia="Calibri" w:hAnsi="Arial" w:cs="Arial"/>
          <w:lang w:val="es-ES"/>
        </w:rPr>
      </w:pPr>
    </w:p>
    <w:p w:rsidR="006312E8" w:rsidRDefault="006312E8" w:rsidP="006312E8">
      <w:pPr>
        <w:spacing w:after="0" w:line="240" w:lineRule="auto"/>
        <w:contextualSpacing/>
        <w:jc w:val="both"/>
        <w:rPr>
          <w:rFonts w:ascii="Arial" w:eastAsia="Calibri" w:hAnsi="Arial" w:cs="Arial"/>
          <w:lang w:val="es-ES"/>
        </w:rPr>
      </w:pPr>
    </w:p>
    <w:p w:rsidR="00466F0F" w:rsidRDefault="00466F0F" w:rsidP="00466F0F">
      <w:pPr>
        <w:pStyle w:val="TITO2"/>
      </w:pPr>
      <w:bookmarkStart w:id="481" w:name="_Toc470855593"/>
      <w:r w:rsidRPr="00BF425F">
        <w:t>RESOLUCION MINISTERIAL Nº 369-2013-PRODUCE</w:t>
      </w:r>
      <w:bookmarkEnd w:id="481"/>
    </w:p>
    <w:p w:rsidR="00466F0F" w:rsidRDefault="00466F0F" w:rsidP="00466F0F">
      <w:pPr>
        <w:spacing w:after="0" w:line="240" w:lineRule="auto"/>
        <w:contextualSpacing/>
        <w:jc w:val="both"/>
        <w:rPr>
          <w:rFonts w:ascii="Arial" w:eastAsia="Calibri" w:hAnsi="Arial" w:cs="Arial"/>
          <w:lang w:val="es-ES"/>
        </w:rPr>
      </w:pPr>
    </w:p>
    <w:p w:rsidR="00466F0F" w:rsidRPr="00BF425F" w:rsidRDefault="00466F0F" w:rsidP="00466F0F">
      <w:pPr>
        <w:spacing w:after="0" w:line="240" w:lineRule="auto"/>
        <w:contextualSpacing/>
        <w:jc w:val="right"/>
        <w:rPr>
          <w:rFonts w:ascii="Arial" w:eastAsia="Calibri" w:hAnsi="Arial" w:cs="Arial"/>
          <w:b/>
          <w:lang w:val="es-ES"/>
        </w:rPr>
      </w:pPr>
      <w:r>
        <w:rPr>
          <w:rFonts w:ascii="Arial" w:eastAsia="Calibri" w:hAnsi="Arial" w:cs="Arial"/>
          <w:b/>
          <w:lang w:val="es-ES"/>
        </w:rPr>
        <w:t xml:space="preserve">Fecha de publicación: 29-12-2013 </w:t>
      </w:r>
    </w:p>
    <w:p w:rsidR="00466F0F" w:rsidRDefault="00466F0F" w:rsidP="00466F0F">
      <w:pPr>
        <w:spacing w:after="0" w:line="240" w:lineRule="auto"/>
        <w:contextualSpacing/>
        <w:jc w:val="both"/>
        <w:rPr>
          <w:rFonts w:ascii="Arial" w:eastAsia="Calibri" w:hAnsi="Arial" w:cs="Arial"/>
          <w:lang w:val="es-ES"/>
        </w:rPr>
      </w:pPr>
    </w:p>
    <w:p w:rsidR="00466F0F" w:rsidRPr="00BF425F" w:rsidRDefault="00466F0F" w:rsidP="00466F0F">
      <w:pPr>
        <w:spacing w:after="0" w:line="240" w:lineRule="auto"/>
        <w:contextualSpacing/>
        <w:jc w:val="both"/>
        <w:rPr>
          <w:rFonts w:ascii="Arial" w:eastAsia="Calibri" w:hAnsi="Arial" w:cs="Arial"/>
          <w:lang w:val="es-ES"/>
        </w:rPr>
      </w:pPr>
      <w:r w:rsidRPr="00BF425F">
        <w:rPr>
          <w:rFonts w:ascii="Arial" w:eastAsia="Calibri" w:hAnsi="Arial" w:cs="Arial"/>
          <w:lang w:val="es-ES"/>
        </w:rPr>
        <w:t>Lima, 27 de diciembre de 2013</w:t>
      </w:r>
    </w:p>
    <w:p w:rsidR="00466F0F" w:rsidRPr="00BF425F" w:rsidRDefault="00466F0F" w:rsidP="00466F0F">
      <w:pPr>
        <w:spacing w:after="0" w:line="240" w:lineRule="auto"/>
        <w:contextualSpacing/>
        <w:jc w:val="both"/>
        <w:rPr>
          <w:rFonts w:ascii="Arial" w:eastAsia="Calibri" w:hAnsi="Arial" w:cs="Arial"/>
          <w:lang w:val="es-ES"/>
        </w:rPr>
      </w:pPr>
    </w:p>
    <w:p w:rsidR="00466F0F" w:rsidRPr="00BF425F" w:rsidRDefault="00466F0F" w:rsidP="00466F0F">
      <w:pPr>
        <w:spacing w:after="0" w:line="240" w:lineRule="auto"/>
        <w:contextualSpacing/>
        <w:jc w:val="both"/>
        <w:rPr>
          <w:rFonts w:ascii="Arial" w:eastAsia="Calibri" w:hAnsi="Arial" w:cs="Arial"/>
          <w:lang w:val="es-ES"/>
        </w:rPr>
      </w:pPr>
      <w:r w:rsidRPr="00BF425F">
        <w:rPr>
          <w:rFonts w:ascii="Arial" w:eastAsia="Calibri" w:hAnsi="Arial" w:cs="Arial"/>
          <w:b/>
          <w:lang w:val="es-ES"/>
        </w:rPr>
        <w:t>VISTOS:</w:t>
      </w:r>
      <w:r w:rsidRPr="00BF425F">
        <w:rPr>
          <w:rFonts w:ascii="Arial" w:eastAsia="Calibri" w:hAnsi="Arial" w:cs="Arial"/>
          <w:lang w:val="es-ES"/>
        </w:rPr>
        <w:t xml:space="preserve"> El Memorando Nº 1401-2013-PRODUCE/DVMYPE-I del Despacho Viceministerial de MYPE e Industria, el Memorando Nº 08817-2013-PRODUCE/SG de la Secretaría General y el Informe Nº 140-2013-PRODUCE/OGAJ-igonzalez de la Oficina General de Asesoría Jurídica; y,</w:t>
      </w:r>
    </w:p>
    <w:p w:rsidR="00466F0F" w:rsidRPr="00BF425F" w:rsidRDefault="00466F0F" w:rsidP="00466F0F">
      <w:pPr>
        <w:spacing w:after="0" w:line="240" w:lineRule="auto"/>
        <w:contextualSpacing/>
        <w:jc w:val="both"/>
        <w:rPr>
          <w:rFonts w:ascii="Arial" w:eastAsia="Calibri" w:hAnsi="Arial" w:cs="Arial"/>
          <w:lang w:val="es-ES"/>
        </w:rPr>
      </w:pPr>
    </w:p>
    <w:p w:rsidR="00466F0F" w:rsidRPr="00BF425F" w:rsidRDefault="00466F0F" w:rsidP="00466F0F">
      <w:pPr>
        <w:spacing w:after="0" w:line="240" w:lineRule="auto"/>
        <w:contextualSpacing/>
        <w:jc w:val="both"/>
        <w:rPr>
          <w:rFonts w:ascii="Arial" w:eastAsia="Calibri" w:hAnsi="Arial" w:cs="Arial"/>
          <w:b/>
          <w:lang w:val="es-ES"/>
        </w:rPr>
      </w:pPr>
      <w:r w:rsidRPr="00BF425F">
        <w:rPr>
          <w:rFonts w:ascii="Arial" w:eastAsia="Calibri" w:hAnsi="Arial" w:cs="Arial"/>
          <w:b/>
          <w:lang w:val="es-ES"/>
        </w:rPr>
        <w:t>CONSIDERANDO:</w:t>
      </w:r>
    </w:p>
    <w:p w:rsidR="00466F0F" w:rsidRPr="00BF425F" w:rsidRDefault="00466F0F" w:rsidP="00466F0F">
      <w:pPr>
        <w:spacing w:after="0" w:line="240" w:lineRule="auto"/>
        <w:contextualSpacing/>
        <w:jc w:val="both"/>
        <w:rPr>
          <w:rFonts w:ascii="Arial" w:eastAsia="Calibri" w:hAnsi="Arial" w:cs="Arial"/>
          <w:lang w:val="es-ES"/>
        </w:rPr>
      </w:pPr>
    </w:p>
    <w:p w:rsidR="00466F0F" w:rsidRPr="00BF425F" w:rsidRDefault="00466F0F" w:rsidP="00466F0F">
      <w:pPr>
        <w:spacing w:after="0" w:line="240" w:lineRule="auto"/>
        <w:contextualSpacing/>
        <w:jc w:val="both"/>
        <w:rPr>
          <w:rFonts w:ascii="Arial" w:eastAsia="Calibri" w:hAnsi="Arial" w:cs="Arial"/>
          <w:lang w:val="es-ES"/>
        </w:rPr>
      </w:pPr>
      <w:r w:rsidRPr="00BF425F">
        <w:rPr>
          <w:rFonts w:ascii="Arial" w:eastAsia="Calibri" w:hAnsi="Arial" w:cs="Arial"/>
          <w:lang w:val="es-ES"/>
        </w:rPr>
        <w:t>Que, el Decreto Legislativo Nº 1047, Ley de Organización y Funciones del Ministerio de la Producción, señala que este Sector es competente para regular las actividades industriales manufactureras, asignándole competencia exclusiva en materia de normalización industrial, y otorgándole funciones específicas para aprobar las disposiciones normativas que le correspondan;</w:t>
      </w:r>
    </w:p>
    <w:p w:rsidR="00466F0F" w:rsidRPr="00BF425F" w:rsidRDefault="00466F0F" w:rsidP="00466F0F">
      <w:pPr>
        <w:spacing w:after="0" w:line="240" w:lineRule="auto"/>
        <w:contextualSpacing/>
        <w:jc w:val="both"/>
        <w:rPr>
          <w:rFonts w:ascii="Arial" w:eastAsia="Calibri" w:hAnsi="Arial" w:cs="Arial"/>
          <w:lang w:val="es-ES"/>
        </w:rPr>
      </w:pPr>
    </w:p>
    <w:p w:rsidR="00466F0F" w:rsidRPr="00BF425F" w:rsidRDefault="00466F0F" w:rsidP="00466F0F">
      <w:pPr>
        <w:spacing w:after="0" w:line="240" w:lineRule="auto"/>
        <w:contextualSpacing/>
        <w:jc w:val="both"/>
        <w:rPr>
          <w:rFonts w:ascii="Arial" w:eastAsia="Calibri" w:hAnsi="Arial" w:cs="Arial"/>
          <w:lang w:val="es-ES"/>
        </w:rPr>
      </w:pPr>
      <w:r w:rsidRPr="00BF425F">
        <w:rPr>
          <w:rFonts w:ascii="Arial" w:eastAsia="Calibri" w:hAnsi="Arial" w:cs="Arial"/>
          <w:lang w:val="es-ES"/>
        </w:rPr>
        <w:t>Que, el literal b) del artículo 77 del Decreto Supremo Nº 007-2008-VIVIENDA, Reglamento de la Ley Nº 29151, Ley General del Sistema Nacional de Bienes Estatales, modificado por Decreto Supremo No. 013-2012-VIVIENDA, señala que por excepción, podrá procederse a la compraventa directa de bienes de dominio privado a favor de particulares, con la finalidad de ejecutar un proyecto de interés nacional o regional, cuya viabilidad haya sido calificada y aprobada por el sector o la entidad competente, acorde con la normatividad y políticas de Estado;</w:t>
      </w:r>
    </w:p>
    <w:p w:rsidR="00466F0F" w:rsidRDefault="00466F0F" w:rsidP="00466F0F">
      <w:pPr>
        <w:spacing w:after="0" w:line="240" w:lineRule="auto"/>
        <w:contextualSpacing/>
        <w:jc w:val="both"/>
        <w:rPr>
          <w:rFonts w:ascii="Arial" w:eastAsia="Calibri" w:hAnsi="Arial" w:cs="Arial"/>
          <w:lang w:val="es-ES"/>
        </w:rPr>
      </w:pPr>
    </w:p>
    <w:p w:rsidR="00466F0F" w:rsidRPr="00BF425F" w:rsidRDefault="00466F0F" w:rsidP="00466F0F">
      <w:pPr>
        <w:spacing w:after="0" w:line="240" w:lineRule="auto"/>
        <w:contextualSpacing/>
        <w:jc w:val="both"/>
        <w:rPr>
          <w:rFonts w:ascii="Arial" w:eastAsia="Calibri" w:hAnsi="Arial" w:cs="Arial"/>
          <w:lang w:val="es-ES"/>
        </w:rPr>
      </w:pPr>
      <w:r w:rsidRPr="00BF425F">
        <w:rPr>
          <w:rFonts w:ascii="Arial" w:eastAsia="Calibri" w:hAnsi="Arial" w:cs="Arial"/>
          <w:lang w:val="es-ES"/>
        </w:rPr>
        <w:t>Que, el Viceministerio de MYPE e Industria considera necesario establecer los lineamientos que deben seguir los funcionarios y servidores del Ministerio de la Producción y los Gobiernos Regionales para uniformizar la evaluación y calificación de proyectos industriales de interés nacional o regional, presentados en el marco de la Ley Nº 29151, Ley General del Sistema Nacional de Bienes Estatales y su Reglamento, aprobado por Decreto Supremo Nº 007-2008-VIVIENDA;</w:t>
      </w:r>
    </w:p>
    <w:p w:rsidR="00466F0F" w:rsidRPr="00BF425F" w:rsidRDefault="00466F0F" w:rsidP="00466F0F">
      <w:pPr>
        <w:spacing w:after="0" w:line="240" w:lineRule="auto"/>
        <w:contextualSpacing/>
        <w:jc w:val="both"/>
        <w:rPr>
          <w:rFonts w:ascii="Arial" w:eastAsia="Calibri" w:hAnsi="Arial" w:cs="Arial"/>
          <w:lang w:val="es-ES"/>
        </w:rPr>
      </w:pPr>
    </w:p>
    <w:p w:rsidR="00466F0F" w:rsidRPr="00BF425F" w:rsidRDefault="00466F0F" w:rsidP="00466F0F">
      <w:pPr>
        <w:spacing w:after="0" w:line="240" w:lineRule="auto"/>
        <w:contextualSpacing/>
        <w:jc w:val="both"/>
        <w:rPr>
          <w:rFonts w:ascii="Arial" w:eastAsia="Calibri" w:hAnsi="Arial" w:cs="Arial"/>
          <w:lang w:val="es-ES"/>
        </w:rPr>
      </w:pPr>
      <w:r w:rsidRPr="00BF425F">
        <w:rPr>
          <w:rFonts w:ascii="Arial" w:eastAsia="Calibri" w:hAnsi="Arial" w:cs="Arial"/>
          <w:lang w:val="es-ES"/>
        </w:rPr>
        <w:t>Que, mediante Resolución Ministerial Nº 090-2013-PRODUCE de fecha 22 de febrero de 2013, se dispuso la publicación del proyecto de Resolución Ministerial que aprueba los “Lineamientos para calificar proyectos industriales de interés nacional o regional, presentados en el marco de la Ley Nº 29151 y su Reglamento, aprobado por Decreto Supremo Nº 007-2008-VIVIENDA”, en el Portal Institucional del Ministerio de la Producción por un plazo de treinta (30) días calendario, a efectos de recibir las opiniones o sugerencias de las entidades públicas y privadas, y de la ciudadanía en general, habiéndose recibido diversos comentarios y aportes que han enriquecido los lineamientos;</w:t>
      </w:r>
    </w:p>
    <w:p w:rsidR="00466F0F" w:rsidRPr="00BF425F" w:rsidRDefault="00466F0F" w:rsidP="00466F0F">
      <w:pPr>
        <w:spacing w:after="0" w:line="240" w:lineRule="auto"/>
        <w:contextualSpacing/>
        <w:jc w:val="both"/>
        <w:rPr>
          <w:rFonts w:ascii="Arial" w:eastAsia="Calibri" w:hAnsi="Arial" w:cs="Arial"/>
          <w:lang w:val="es-ES"/>
        </w:rPr>
      </w:pPr>
    </w:p>
    <w:p w:rsidR="00466F0F" w:rsidRPr="00BF425F" w:rsidRDefault="00466F0F" w:rsidP="00466F0F">
      <w:pPr>
        <w:spacing w:after="0" w:line="240" w:lineRule="auto"/>
        <w:contextualSpacing/>
        <w:jc w:val="both"/>
        <w:rPr>
          <w:rFonts w:ascii="Arial" w:eastAsia="Calibri" w:hAnsi="Arial" w:cs="Arial"/>
          <w:lang w:val="es-ES"/>
        </w:rPr>
      </w:pPr>
      <w:r w:rsidRPr="00BF425F">
        <w:rPr>
          <w:rFonts w:ascii="Arial" w:eastAsia="Calibri" w:hAnsi="Arial" w:cs="Arial"/>
          <w:lang w:val="es-ES"/>
        </w:rPr>
        <w:t>De conformidad con la Ley Nº 29158, Ley Orgánica el Poder Ejecutivo; Ley Nº 29151, Ley General del Sistema Nacional de Bienes Estatales y su Reglamento, aprobado por Decreto Supremo Nº 007-2008-VIVIENDA; y el Decreto Legislativo Nº 1047, Ley de Organización y Funciones del Ministerio de la Producción y su Reglamento de Organización y Funciones, aprobado por Resolución Ministerial Nº 343-2012-PRODUCE:</w:t>
      </w:r>
    </w:p>
    <w:p w:rsidR="00466F0F" w:rsidRPr="00BF425F" w:rsidRDefault="00466F0F" w:rsidP="00466F0F">
      <w:pPr>
        <w:spacing w:after="0" w:line="240" w:lineRule="auto"/>
        <w:contextualSpacing/>
        <w:jc w:val="both"/>
        <w:rPr>
          <w:rFonts w:ascii="Arial" w:eastAsia="Calibri" w:hAnsi="Arial" w:cs="Arial"/>
          <w:lang w:val="es-ES"/>
        </w:rPr>
      </w:pPr>
    </w:p>
    <w:p w:rsidR="00466F0F" w:rsidRPr="00BF425F" w:rsidRDefault="00466F0F" w:rsidP="00466F0F">
      <w:pPr>
        <w:spacing w:after="0" w:line="240" w:lineRule="auto"/>
        <w:contextualSpacing/>
        <w:jc w:val="both"/>
        <w:rPr>
          <w:rFonts w:ascii="Arial" w:eastAsia="Calibri" w:hAnsi="Arial" w:cs="Arial"/>
          <w:b/>
          <w:lang w:val="es-ES"/>
        </w:rPr>
      </w:pPr>
      <w:r w:rsidRPr="00BF425F">
        <w:rPr>
          <w:rFonts w:ascii="Arial" w:eastAsia="Calibri" w:hAnsi="Arial" w:cs="Arial"/>
          <w:b/>
          <w:lang w:val="es-ES"/>
        </w:rPr>
        <w:t>SE RESUELVE:</w:t>
      </w:r>
    </w:p>
    <w:p w:rsidR="00466F0F" w:rsidRPr="00BF425F" w:rsidRDefault="00466F0F" w:rsidP="00466F0F">
      <w:pPr>
        <w:spacing w:after="0" w:line="240" w:lineRule="auto"/>
        <w:contextualSpacing/>
        <w:jc w:val="both"/>
        <w:rPr>
          <w:rFonts w:ascii="Arial" w:eastAsia="Calibri" w:hAnsi="Arial" w:cs="Arial"/>
          <w:lang w:val="es-ES"/>
        </w:rPr>
      </w:pPr>
    </w:p>
    <w:p w:rsidR="00466F0F" w:rsidRPr="00BF425F" w:rsidRDefault="00466F0F" w:rsidP="00466F0F">
      <w:pPr>
        <w:spacing w:after="0" w:line="240" w:lineRule="auto"/>
        <w:contextualSpacing/>
        <w:jc w:val="both"/>
        <w:rPr>
          <w:rFonts w:ascii="Arial" w:eastAsia="Calibri" w:hAnsi="Arial" w:cs="Arial"/>
          <w:b/>
          <w:lang w:val="es-ES"/>
        </w:rPr>
      </w:pPr>
      <w:r w:rsidRPr="00BF425F">
        <w:rPr>
          <w:rFonts w:ascii="Arial" w:eastAsia="Calibri" w:hAnsi="Arial" w:cs="Arial"/>
          <w:b/>
          <w:lang w:val="es-ES"/>
        </w:rPr>
        <w:t>Artículo 1.- Aprobación</w:t>
      </w:r>
    </w:p>
    <w:p w:rsidR="00466F0F" w:rsidRPr="00BF425F" w:rsidRDefault="00466F0F" w:rsidP="00466F0F">
      <w:pPr>
        <w:spacing w:after="0" w:line="240" w:lineRule="auto"/>
        <w:contextualSpacing/>
        <w:jc w:val="both"/>
        <w:rPr>
          <w:rFonts w:ascii="Arial" w:eastAsia="Calibri" w:hAnsi="Arial" w:cs="Arial"/>
          <w:lang w:val="es-ES"/>
        </w:rPr>
      </w:pPr>
      <w:r w:rsidRPr="00BF425F">
        <w:rPr>
          <w:rFonts w:ascii="Arial" w:eastAsia="Calibri" w:hAnsi="Arial" w:cs="Arial"/>
          <w:lang w:val="es-ES"/>
        </w:rPr>
        <w:t>Aprobar la Directiva General Nº 014-2013-PRODUCE “Lineamientos para calificar y aprobar proyectos industriales de interés nacional o regional, presentados en el marco de la Ley Nº 29151 y su Reglamento, aprobado por Decreto Supremo Nº 007-2008-VIVIENDA”, que como Anexo forma parte integrante de la presente Resolución Ministerial.</w:t>
      </w:r>
    </w:p>
    <w:p w:rsidR="00466F0F" w:rsidRPr="00BF425F" w:rsidRDefault="00466F0F" w:rsidP="00466F0F">
      <w:pPr>
        <w:spacing w:after="0" w:line="240" w:lineRule="auto"/>
        <w:contextualSpacing/>
        <w:jc w:val="both"/>
        <w:rPr>
          <w:rFonts w:ascii="Arial" w:eastAsia="Calibri" w:hAnsi="Arial" w:cs="Arial"/>
          <w:lang w:val="es-ES"/>
        </w:rPr>
      </w:pPr>
    </w:p>
    <w:p w:rsidR="00466F0F" w:rsidRPr="00BF425F" w:rsidRDefault="00466F0F" w:rsidP="00466F0F">
      <w:pPr>
        <w:spacing w:after="0" w:line="240" w:lineRule="auto"/>
        <w:contextualSpacing/>
        <w:jc w:val="both"/>
        <w:rPr>
          <w:rFonts w:ascii="Arial" w:eastAsia="Calibri" w:hAnsi="Arial" w:cs="Arial"/>
          <w:b/>
          <w:lang w:val="es-ES"/>
        </w:rPr>
      </w:pPr>
      <w:r w:rsidRPr="00BF425F">
        <w:rPr>
          <w:rFonts w:ascii="Arial" w:eastAsia="Calibri" w:hAnsi="Arial" w:cs="Arial"/>
          <w:b/>
          <w:lang w:val="es-ES"/>
        </w:rPr>
        <w:t>Artículo 2.- Publicación</w:t>
      </w:r>
    </w:p>
    <w:p w:rsidR="00466F0F" w:rsidRPr="00BF425F" w:rsidRDefault="00466F0F" w:rsidP="00466F0F">
      <w:pPr>
        <w:spacing w:after="0" w:line="240" w:lineRule="auto"/>
        <w:contextualSpacing/>
        <w:jc w:val="both"/>
        <w:rPr>
          <w:rFonts w:ascii="Arial" w:eastAsia="Calibri" w:hAnsi="Arial" w:cs="Arial"/>
          <w:lang w:val="es-ES"/>
        </w:rPr>
      </w:pPr>
      <w:r w:rsidRPr="00BF425F">
        <w:rPr>
          <w:rFonts w:ascii="Arial" w:eastAsia="Calibri" w:hAnsi="Arial" w:cs="Arial"/>
          <w:lang w:val="es-ES"/>
        </w:rPr>
        <w:t>Disponer la publicación de la presente Resolución Ministerial en el Diario Oficial El Peruano y en el Portal Institucional del Ministerio de la Producción (http://www.produce.gob.pe).</w:t>
      </w:r>
    </w:p>
    <w:p w:rsidR="00466F0F" w:rsidRPr="00BF425F" w:rsidRDefault="00466F0F" w:rsidP="00466F0F">
      <w:pPr>
        <w:spacing w:after="0" w:line="240" w:lineRule="auto"/>
        <w:contextualSpacing/>
        <w:jc w:val="both"/>
        <w:rPr>
          <w:rFonts w:ascii="Arial" w:eastAsia="Calibri" w:hAnsi="Arial" w:cs="Arial"/>
          <w:lang w:val="es-ES"/>
        </w:rPr>
      </w:pPr>
    </w:p>
    <w:p w:rsidR="00466F0F" w:rsidRPr="00BF425F" w:rsidRDefault="00466F0F" w:rsidP="00466F0F">
      <w:pPr>
        <w:spacing w:after="0" w:line="240" w:lineRule="auto"/>
        <w:contextualSpacing/>
        <w:jc w:val="both"/>
        <w:rPr>
          <w:rFonts w:ascii="Arial" w:eastAsia="Calibri" w:hAnsi="Arial" w:cs="Arial"/>
          <w:lang w:val="es-ES"/>
        </w:rPr>
      </w:pPr>
      <w:r w:rsidRPr="00BF425F">
        <w:rPr>
          <w:rFonts w:ascii="Arial" w:eastAsia="Calibri" w:hAnsi="Arial" w:cs="Arial"/>
          <w:lang w:val="es-ES"/>
        </w:rPr>
        <w:tab/>
        <w:t>Regístrese, comuníquese y publíquese.</w:t>
      </w:r>
    </w:p>
    <w:p w:rsidR="00466F0F" w:rsidRPr="00BF425F" w:rsidRDefault="00466F0F" w:rsidP="00466F0F">
      <w:pPr>
        <w:spacing w:after="0" w:line="240" w:lineRule="auto"/>
        <w:contextualSpacing/>
        <w:jc w:val="both"/>
        <w:rPr>
          <w:rFonts w:ascii="Arial" w:eastAsia="Calibri" w:hAnsi="Arial" w:cs="Arial"/>
          <w:lang w:val="es-ES"/>
        </w:rPr>
      </w:pPr>
    </w:p>
    <w:p w:rsidR="00466F0F" w:rsidRPr="00BF425F" w:rsidRDefault="00466F0F" w:rsidP="00466F0F">
      <w:pPr>
        <w:spacing w:after="0" w:line="240" w:lineRule="auto"/>
        <w:contextualSpacing/>
        <w:jc w:val="both"/>
        <w:rPr>
          <w:rFonts w:ascii="Arial" w:eastAsia="Calibri" w:hAnsi="Arial" w:cs="Arial"/>
          <w:b/>
          <w:lang w:val="es-ES"/>
        </w:rPr>
      </w:pPr>
      <w:r w:rsidRPr="00BF425F">
        <w:rPr>
          <w:rFonts w:ascii="Arial" w:eastAsia="Calibri" w:hAnsi="Arial" w:cs="Arial"/>
          <w:lang w:val="es-ES"/>
        </w:rPr>
        <w:tab/>
      </w:r>
      <w:r w:rsidRPr="00BF425F">
        <w:rPr>
          <w:rFonts w:ascii="Arial" w:eastAsia="Calibri" w:hAnsi="Arial" w:cs="Arial"/>
          <w:b/>
          <w:lang w:val="es-ES"/>
        </w:rPr>
        <w:t>GLADYS TRIVEÑO CHAN JAN</w:t>
      </w:r>
    </w:p>
    <w:p w:rsidR="00466F0F" w:rsidRPr="00BF425F" w:rsidRDefault="00466F0F" w:rsidP="00466F0F">
      <w:pPr>
        <w:spacing w:after="0" w:line="240" w:lineRule="auto"/>
        <w:contextualSpacing/>
        <w:jc w:val="both"/>
        <w:rPr>
          <w:rFonts w:ascii="Arial" w:eastAsia="Calibri" w:hAnsi="Arial" w:cs="Arial"/>
          <w:lang w:val="es-ES"/>
        </w:rPr>
      </w:pPr>
      <w:r w:rsidRPr="00BF425F">
        <w:rPr>
          <w:rFonts w:ascii="Arial" w:eastAsia="Calibri" w:hAnsi="Arial" w:cs="Arial"/>
          <w:lang w:val="es-ES"/>
        </w:rPr>
        <w:tab/>
        <w:t>Ministra de la Producción</w:t>
      </w:r>
    </w:p>
    <w:p w:rsidR="00466F0F" w:rsidRPr="00BF425F" w:rsidRDefault="00466F0F" w:rsidP="00466F0F">
      <w:pPr>
        <w:spacing w:after="0" w:line="240" w:lineRule="auto"/>
        <w:contextualSpacing/>
        <w:jc w:val="both"/>
        <w:rPr>
          <w:rFonts w:ascii="Arial" w:eastAsia="Calibri" w:hAnsi="Arial" w:cs="Arial"/>
          <w:lang w:val="es-ES"/>
        </w:rPr>
      </w:pPr>
    </w:p>
    <w:p w:rsidR="00466F0F" w:rsidRPr="00BF425F" w:rsidRDefault="00466F0F" w:rsidP="00466F0F">
      <w:pPr>
        <w:spacing w:after="0" w:line="240" w:lineRule="auto"/>
        <w:contextualSpacing/>
        <w:jc w:val="both"/>
        <w:rPr>
          <w:rFonts w:ascii="Arial" w:eastAsia="Calibri" w:hAnsi="Arial" w:cs="Arial"/>
          <w:lang w:val="es-ES"/>
        </w:rPr>
      </w:pPr>
    </w:p>
    <w:p w:rsidR="00466F0F" w:rsidRPr="00BF425F" w:rsidRDefault="00466F0F" w:rsidP="00466F0F">
      <w:pPr>
        <w:spacing w:after="0" w:line="240" w:lineRule="auto"/>
        <w:contextualSpacing/>
        <w:jc w:val="center"/>
        <w:rPr>
          <w:rFonts w:ascii="Arial" w:eastAsia="Calibri" w:hAnsi="Arial" w:cs="Arial"/>
          <w:b/>
          <w:sz w:val="28"/>
          <w:szCs w:val="28"/>
          <w:lang w:val="es-ES"/>
        </w:rPr>
      </w:pPr>
      <w:r w:rsidRPr="00BF425F">
        <w:rPr>
          <w:rFonts w:ascii="Arial" w:eastAsia="Calibri" w:hAnsi="Arial" w:cs="Arial"/>
          <w:b/>
          <w:sz w:val="28"/>
          <w:szCs w:val="28"/>
          <w:lang w:val="es-ES"/>
        </w:rPr>
        <w:t>DIRECTIVA GENERAL Nº 014-2013-PRODUCE</w:t>
      </w:r>
    </w:p>
    <w:p w:rsidR="00466F0F" w:rsidRPr="00BF425F" w:rsidRDefault="00466F0F" w:rsidP="00466F0F">
      <w:pPr>
        <w:spacing w:after="0" w:line="240" w:lineRule="auto"/>
        <w:contextualSpacing/>
        <w:jc w:val="both"/>
        <w:rPr>
          <w:rFonts w:ascii="Arial" w:eastAsia="Calibri" w:hAnsi="Arial" w:cs="Arial"/>
          <w:lang w:val="es-ES"/>
        </w:rPr>
      </w:pPr>
    </w:p>
    <w:p w:rsidR="00466F0F" w:rsidRPr="00BF425F" w:rsidRDefault="00466F0F" w:rsidP="00466F0F">
      <w:pPr>
        <w:spacing w:after="0" w:line="240" w:lineRule="auto"/>
        <w:contextualSpacing/>
        <w:jc w:val="center"/>
        <w:rPr>
          <w:rFonts w:ascii="Arial" w:eastAsia="Calibri" w:hAnsi="Arial" w:cs="Arial"/>
          <w:b/>
          <w:lang w:val="es-ES"/>
        </w:rPr>
      </w:pPr>
      <w:r w:rsidRPr="00BF425F">
        <w:rPr>
          <w:rFonts w:ascii="Arial" w:eastAsia="Calibri" w:hAnsi="Arial" w:cs="Arial"/>
          <w:b/>
          <w:lang w:val="es-ES"/>
        </w:rPr>
        <w:t>LINEAMIENTOS PARA CALIFICAR Y APROBAR PROYECTOS INDUSTRIALES DE INTERÉS NACIONAL O REGIONAL, PRESENTADOS EN EL MARCO DE LA LEY Nº 29151 Y SU REGLAMENTO, APROBADO POR DECRETO SUPREMO Nº 007-2008-VIVIENDA</w:t>
      </w:r>
    </w:p>
    <w:p w:rsidR="00466F0F" w:rsidRPr="00BF425F" w:rsidRDefault="00466F0F" w:rsidP="00466F0F">
      <w:pPr>
        <w:spacing w:after="0" w:line="240" w:lineRule="auto"/>
        <w:contextualSpacing/>
        <w:jc w:val="both"/>
        <w:rPr>
          <w:rFonts w:ascii="Arial" w:eastAsia="Calibri" w:hAnsi="Arial" w:cs="Arial"/>
          <w:lang w:val="es-ES"/>
        </w:rPr>
      </w:pPr>
    </w:p>
    <w:p w:rsidR="00466F0F" w:rsidRPr="00BF425F" w:rsidRDefault="00466F0F" w:rsidP="00466F0F">
      <w:pPr>
        <w:spacing w:after="0" w:line="240" w:lineRule="auto"/>
        <w:contextualSpacing/>
        <w:jc w:val="both"/>
        <w:rPr>
          <w:rFonts w:ascii="Arial" w:eastAsia="Calibri" w:hAnsi="Arial" w:cs="Arial"/>
          <w:b/>
          <w:lang w:val="es-ES"/>
        </w:rPr>
      </w:pPr>
      <w:r w:rsidRPr="00BF425F">
        <w:rPr>
          <w:rFonts w:ascii="Arial" w:eastAsia="Calibri" w:hAnsi="Arial" w:cs="Arial"/>
          <w:b/>
          <w:lang w:val="es-ES"/>
        </w:rPr>
        <w:t>I. OBJETIVO</w:t>
      </w:r>
    </w:p>
    <w:p w:rsidR="00466F0F" w:rsidRPr="00BF425F" w:rsidRDefault="00466F0F" w:rsidP="00466F0F">
      <w:pPr>
        <w:spacing w:after="0" w:line="240" w:lineRule="auto"/>
        <w:contextualSpacing/>
        <w:jc w:val="both"/>
        <w:rPr>
          <w:rFonts w:ascii="Arial" w:eastAsia="Calibri" w:hAnsi="Arial" w:cs="Arial"/>
          <w:lang w:val="es-ES"/>
        </w:rPr>
      </w:pPr>
    </w:p>
    <w:p w:rsidR="00466F0F" w:rsidRPr="00BF425F" w:rsidRDefault="00466F0F" w:rsidP="00466F0F">
      <w:pPr>
        <w:spacing w:after="0" w:line="240" w:lineRule="auto"/>
        <w:ind w:left="284"/>
        <w:contextualSpacing/>
        <w:jc w:val="both"/>
        <w:rPr>
          <w:rFonts w:ascii="Arial" w:eastAsia="Calibri" w:hAnsi="Arial" w:cs="Arial"/>
          <w:lang w:val="es-ES"/>
        </w:rPr>
      </w:pPr>
      <w:r w:rsidRPr="00BF425F">
        <w:rPr>
          <w:rFonts w:ascii="Arial" w:eastAsia="Calibri" w:hAnsi="Arial" w:cs="Arial"/>
          <w:lang w:val="es-ES"/>
        </w:rPr>
        <w:t>La presente Directiva tiene por objeto establecer los lineamientos para la calificación y aprobación de proyectos industriales para los que se solicita la declaración de interés nacional o regional, presentados ante el Ministerio de la Producción o los Gobiernos Regionales, con la finalidad de adquirir mediante compraventa directa, bienes de dominio privado del Estado, en el marco de lo establecido en el del artículo 7 de la Ley Nº 29151, Ley General del Sistema Nacional de Bienes Estatales y el artículo 77 literal b) de su Reglamento, aprobado por Decreto Supremo Nº 007-2008-VIVIENDA, modificado por Decreto Supremo Nº 013-2012-VIVIENDA.</w:t>
      </w:r>
    </w:p>
    <w:p w:rsidR="00466F0F" w:rsidRPr="00BF425F" w:rsidRDefault="00466F0F" w:rsidP="00466F0F">
      <w:pPr>
        <w:spacing w:after="0" w:line="240" w:lineRule="auto"/>
        <w:contextualSpacing/>
        <w:jc w:val="both"/>
        <w:rPr>
          <w:rFonts w:ascii="Arial" w:eastAsia="Calibri" w:hAnsi="Arial" w:cs="Arial"/>
          <w:lang w:val="es-ES"/>
        </w:rPr>
      </w:pPr>
    </w:p>
    <w:p w:rsidR="00466F0F" w:rsidRPr="00BF425F" w:rsidRDefault="00466F0F" w:rsidP="00466F0F">
      <w:pPr>
        <w:spacing w:after="0" w:line="240" w:lineRule="auto"/>
        <w:contextualSpacing/>
        <w:jc w:val="both"/>
        <w:rPr>
          <w:rFonts w:ascii="Arial" w:eastAsia="Calibri" w:hAnsi="Arial" w:cs="Arial"/>
          <w:b/>
          <w:lang w:val="es-ES"/>
        </w:rPr>
      </w:pPr>
      <w:r w:rsidRPr="00BF425F">
        <w:rPr>
          <w:rFonts w:ascii="Arial" w:eastAsia="Calibri" w:hAnsi="Arial" w:cs="Arial"/>
          <w:b/>
          <w:lang w:val="es-ES"/>
        </w:rPr>
        <w:t>II. FINALIDAD</w:t>
      </w:r>
    </w:p>
    <w:p w:rsidR="00466F0F" w:rsidRPr="00BF425F" w:rsidRDefault="00466F0F" w:rsidP="00466F0F">
      <w:pPr>
        <w:spacing w:after="0" w:line="240" w:lineRule="auto"/>
        <w:contextualSpacing/>
        <w:jc w:val="both"/>
        <w:rPr>
          <w:rFonts w:ascii="Arial" w:eastAsia="Calibri" w:hAnsi="Arial" w:cs="Arial"/>
          <w:lang w:val="es-ES"/>
        </w:rPr>
      </w:pPr>
    </w:p>
    <w:p w:rsidR="00466F0F" w:rsidRPr="00BF425F" w:rsidRDefault="00466F0F" w:rsidP="00466F0F">
      <w:pPr>
        <w:spacing w:after="0" w:line="240" w:lineRule="auto"/>
        <w:ind w:left="284"/>
        <w:contextualSpacing/>
        <w:jc w:val="both"/>
        <w:rPr>
          <w:rFonts w:ascii="Arial" w:eastAsia="Calibri" w:hAnsi="Arial" w:cs="Arial"/>
          <w:lang w:val="es-ES"/>
        </w:rPr>
      </w:pPr>
      <w:r w:rsidRPr="00BF425F">
        <w:rPr>
          <w:rFonts w:ascii="Arial" w:eastAsia="Calibri" w:hAnsi="Arial" w:cs="Arial"/>
          <w:lang w:val="es-ES"/>
        </w:rPr>
        <w:t>La presente Directiva tiene como finalidad establecer lineamientos que uniformicen la calificación y aprobación de los proyectos industriales para los que se solicita la declaración de interés nacional o regional, presentados ante el Ministerio de la Producción o los Gobiernos Regionales, de modo que los funcionarios o servidores ajusten sus decisiones a los lineamientos y procedimientos establecidos, brindando transparencia, debida cautela de los bienes del Estado y seguridad jurídica a los administrados.</w:t>
      </w:r>
    </w:p>
    <w:p w:rsidR="00466F0F" w:rsidRPr="00BF425F" w:rsidRDefault="00466F0F" w:rsidP="00466F0F">
      <w:pPr>
        <w:spacing w:after="0" w:line="240" w:lineRule="auto"/>
        <w:contextualSpacing/>
        <w:jc w:val="both"/>
        <w:rPr>
          <w:rFonts w:ascii="Arial" w:eastAsia="Calibri" w:hAnsi="Arial" w:cs="Arial"/>
          <w:lang w:val="es-ES"/>
        </w:rPr>
      </w:pPr>
    </w:p>
    <w:p w:rsidR="00466F0F" w:rsidRPr="00BF425F" w:rsidRDefault="00466F0F" w:rsidP="00466F0F">
      <w:pPr>
        <w:spacing w:after="0" w:line="240" w:lineRule="auto"/>
        <w:contextualSpacing/>
        <w:jc w:val="both"/>
        <w:rPr>
          <w:rFonts w:ascii="Arial" w:eastAsia="Calibri" w:hAnsi="Arial" w:cs="Arial"/>
          <w:b/>
          <w:lang w:val="es-ES"/>
        </w:rPr>
      </w:pPr>
      <w:r w:rsidRPr="00BF425F">
        <w:rPr>
          <w:rFonts w:ascii="Arial" w:eastAsia="Calibri" w:hAnsi="Arial" w:cs="Arial"/>
          <w:b/>
          <w:lang w:val="es-ES"/>
        </w:rPr>
        <w:t xml:space="preserve">III. BASE LEGAL </w:t>
      </w:r>
    </w:p>
    <w:p w:rsidR="00466F0F" w:rsidRPr="00BF425F" w:rsidRDefault="00466F0F" w:rsidP="00466F0F">
      <w:pPr>
        <w:spacing w:after="0" w:line="240" w:lineRule="auto"/>
        <w:contextualSpacing/>
        <w:jc w:val="both"/>
        <w:rPr>
          <w:rFonts w:ascii="Arial" w:eastAsia="Calibri" w:hAnsi="Arial" w:cs="Arial"/>
          <w:lang w:val="es-ES"/>
        </w:rPr>
      </w:pPr>
    </w:p>
    <w:p w:rsidR="00466F0F" w:rsidRPr="00BF425F" w:rsidRDefault="00466F0F" w:rsidP="00466F0F">
      <w:pPr>
        <w:spacing w:after="0" w:line="240" w:lineRule="auto"/>
        <w:ind w:left="851" w:hanging="425"/>
        <w:contextualSpacing/>
        <w:jc w:val="both"/>
        <w:rPr>
          <w:rFonts w:ascii="Arial" w:eastAsia="Calibri" w:hAnsi="Arial" w:cs="Arial"/>
          <w:lang w:val="es-ES"/>
        </w:rPr>
      </w:pPr>
      <w:r w:rsidRPr="00BF425F">
        <w:rPr>
          <w:rFonts w:ascii="Arial" w:eastAsia="Calibri" w:hAnsi="Arial" w:cs="Arial"/>
          <w:lang w:val="es-ES"/>
        </w:rPr>
        <w:t xml:space="preserve">* </w:t>
      </w:r>
      <w:r>
        <w:rPr>
          <w:rFonts w:ascii="Arial" w:eastAsia="Calibri" w:hAnsi="Arial" w:cs="Arial"/>
          <w:lang w:val="es-ES"/>
        </w:rPr>
        <w:tab/>
      </w:r>
      <w:r w:rsidRPr="00BF425F">
        <w:rPr>
          <w:rFonts w:ascii="Arial" w:eastAsia="Calibri" w:hAnsi="Arial" w:cs="Arial"/>
          <w:lang w:val="es-ES"/>
        </w:rPr>
        <w:t>Decreto Legislativo Nº 1047 - Ley de Organización y Funciones del Ministerio de la Producción.</w:t>
      </w:r>
    </w:p>
    <w:p w:rsidR="00466F0F" w:rsidRPr="00BF425F" w:rsidRDefault="00466F0F" w:rsidP="00466F0F">
      <w:pPr>
        <w:spacing w:after="0" w:line="240" w:lineRule="auto"/>
        <w:ind w:left="851" w:hanging="425"/>
        <w:contextualSpacing/>
        <w:jc w:val="both"/>
        <w:rPr>
          <w:rFonts w:ascii="Arial" w:eastAsia="Calibri" w:hAnsi="Arial" w:cs="Arial"/>
          <w:lang w:val="es-ES"/>
        </w:rPr>
      </w:pPr>
    </w:p>
    <w:p w:rsidR="00466F0F" w:rsidRPr="00BF425F" w:rsidRDefault="00466F0F" w:rsidP="00466F0F">
      <w:pPr>
        <w:spacing w:after="0" w:line="240" w:lineRule="auto"/>
        <w:ind w:left="851" w:hanging="425"/>
        <w:contextualSpacing/>
        <w:jc w:val="both"/>
        <w:rPr>
          <w:rFonts w:ascii="Arial" w:eastAsia="Calibri" w:hAnsi="Arial" w:cs="Arial"/>
          <w:lang w:val="es-ES"/>
        </w:rPr>
      </w:pPr>
      <w:r w:rsidRPr="00BF425F">
        <w:rPr>
          <w:rFonts w:ascii="Arial" w:eastAsia="Calibri" w:hAnsi="Arial" w:cs="Arial"/>
          <w:lang w:val="es-ES"/>
        </w:rPr>
        <w:t xml:space="preserve">* </w:t>
      </w:r>
      <w:r>
        <w:rPr>
          <w:rFonts w:ascii="Arial" w:eastAsia="Calibri" w:hAnsi="Arial" w:cs="Arial"/>
          <w:lang w:val="es-ES"/>
        </w:rPr>
        <w:tab/>
      </w:r>
      <w:r w:rsidRPr="00BF425F">
        <w:rPr>
          <w:rFonts w:ascii="Arial" w:eastAsia="Calibri" w:hAnsi="Arial" w:cs="Arial"/>
          <w:lang w:val="es-ES"/>
        </w:rPr>
        <w:t>Resolución Ministerial Nº 343-2012-PRODUCE - Reglamento de Organización y Funciones del Ministerio de la Producción.</w:t>
      </w:r>
    </w:p>
    <w:p w:rsidR="00466F0F" w:rsidRPr="00BF425F" w:rsidRDefault="00466F0F" w:rsidP="00466F0F">
      <w:pPr>
        <w:spacing w:after="0" w:line="240" w:lineRule="auto"/>
        <w:ind w:left="851" w:hanging="425"/>
        <w:contextualSpacing/>
        <w:jc w:val="both"/>
        <w:rPr>
          <w:rFonts w:ascii="Arial" w:eastAsia="Calibri" w:hAnsi="Arial" w:cs="Arial"/>
          <w:lang w:val="es-ES"/>
        </w:rPr>
      </w:pPr>
    </w:p>
    <w:p w:rsidR="00466F0F" w:rsidRPr="00BF425F" w:rsidRDefault="00466F0F" w:rsidP="00466F0F">
      <w:pPr>
        <w:spacing w:after="0" w:line="240" w:lineRule="auto"/>
        <w:ind w:left="851" w:hanging="425"/>
        <w:contextualSpacing/>
        <w:jc w:val="both"/>
        <w:rPr>
          <w:rFonts w:ascii="Arial" w:eastAsia="Calibri" w:hAnsi="Arial" w:cs="Arial"/>
          <w:lang w:val="es-ES"/>
        </w:rPr>
      </w:pPr>
      <w:r w:rsidRPr="00BF425F">
        <w:rPr>
          <w:rFonts w:ascii="Arial" w:eastAsia="Calibri" w:hAnsi="Arial" w:cs="Arial"/>
          <w:lang w:val="es-ES"/>
        </w:rPr>
        <w:t xml:space="preserve">* </w:t>
      </w:r>
      <w:r>
        <w:rPr>
          <w:rFonts w:ascii="Arial" w:eastAsia="Calibri" w:hAnsi="Arial" w:cs="Arial"/>
          <w:lang w:val="es-ES"/>
        </w:rPr>
        <w:tab/>
      </w:r>
      <w:r w:rsidRPr="00BF425F">
        <w:rPr>
          <w:rFonts w:ascii="Arial" w:eastAsia="Calibri" w:hAnsi="Arial" w:cs="Arial"/>
          <w:lang w:val="es-ES"/>
        </w:rPr>
        <w:t>Ley Nº 29151 - Ley General del Sistema Nacional de Bienes Estatales.</w:t>
      </w:r>
    </w:p>
    <w:p w:rsidR="00466F0F" w:rsidRPr="00BF425F" w:rsidRDefault="00466F0F" w:rsidP="00466F0F">
      <w:pPr>
        <w:spacing w:after="0" w:line="240" w:lineRule="auto"/>
        <w:ind w:left="851" w:hanging="425"/>
        <w:contextualSpacing/>
        <w:jc w:val="both"/>
        <w:rPr>
          <w:rFonts w:ascii="Arial" w:eastAsia="Calibri" w:hAnsi="Arial" w:cs="Arial"/>
          <w:lang w:val="es-ES"/>
        </w:rPr>
      </w:pPr>
    </w:p>
    <w:p w:rsidR="00466F0F" w:rsidRPr="00BF425F" w:rsidRDefault="00466F0F" w:rsidP="00466F0F">
      <w:pPr>
        <w:spacing w:after="0" w:line="240" w:lineRule="auto"/>
        <w:ind w:left="851" w:hanging="425"/>
        <w:contextualSpacing/>
        <w:jc w:val="both"/>
        <w:rPr>
          <w:rFonts w:ascii="Arial" w:eastAsia="Calibri" w:hAnsi="Arial" w:cs="Arial"/>
          <w:lang w:val="es-ES"/>
        </w:rPr>
      </w:pPr>
      <w:r w:rsidRPr="00BF425F">
        <w:rPr>
          <w:rFonts w:ascii="Arial" w:eastAsia="Calibri" w:hAnsi="Arial" w:cs="Arial"/>
          <w:lang w:val="es-ES"/>
        </w:rPr>
        <w:t xml:space="preserve">* </w:t>
      </w:r>
      <w:r>
        <w:rPr>
          <w:rFonts w:ascii="Arial" w:eastAsia="Calibri" w:hAnsi="Arial" w:cs="Arial"/>
          <w:lang w:val="es-ES"/>
        </w:rPr>
        <w:tab/>
      </w:r>
      <w:r w:rsidRPr="00BF425F">
        <w:rPr>
          <w:rFonts w:ascii="Arial" w:eastAsia="Calibri" w:hAnsi="Arial" w:cs="Arial"/>
          <w:lang w:val="es-ES"/>
        </w:rPr>
        <w:t>Decreto Supremo Nº 007-2008-VIVIENDA - Reglamento de la Ley General del Sistema Nacional de Bienes Estatales.</w:t>
      </w:r>
    </w:p>
    <w:p w:rsidR="00466F0F" w:rsidRPr="00BF425F" w:rsidRDefault="00466F0F" w:rsidP="00466F0F">
      <w:pPr>
        <w:spacing w:after="0" w:line="240" w:lineRule="auto"/>
        <w:ind w:left="851" w:hanging="425"/>
        <w:contextualSpacing/>
        <w:jc w:val="both"/>
        <w:rPr>
          <w:rFonts w:ascii="Arial" w:eastAsia="Calibri" w:hAnsi="Arial" w:cs="Arial"/>
          <w:lang w:val="es-ES"/>
        </w:rPr>
      </w:pPr>
    </w:p>
    <w:p w:rsidR="00466F0F" w:rsidRPr="00BF425F" w:rsidRDefault="00466F0F" w:rsidP="00466F0F">
      <w:pPr>
        <w:spacing w:after="0" w:line="240" w:lineRule="auto"/>
        <w:ind w:left="851" w:hanging="425"/>
        <w:contextualSpacing/>
        <w:jc w:val="both"/>
        <w:rPr>
          <w:rFonts w:ascii="Arial" w:eastAsia="Calibri" w:hAnsi="Arial" w:cs="Arial"/>
          <w:lang w:val="es-ES"/>
        </w:rPr>
      </w:pPr>
      <w:r w:rsidRPr="00BF425F">
        <w:rPr>
          <w:rFonts w:ascii="Arial" w:eastAsia="Calibri" w:hAnsi="Arial" w:cs="Arial"/>
          <w:lang w:val="es-ES"/>
        </w:rPr>
        <w:t xml:space="preserve">* </w:t>
      </w:r>
      <w:r>
        <w:rPr>
          <w:rFonts w:ascii="Arial" w:eastAsia="Calibri" w:hAnsi="Arial" w:cs="Arial"/>
          <w:lang w:val="es-ES"/>
        </w:rPr>
        <w:tab/>
      </w:r>
      <w:r w:rsidRPr="00BF425F">
        <w:rPr>
          <w:rFonts w:ascii="Arial" w:eastAsia="Calibri" w:hAnsi="Arial" w:cs="Arial"/>
          <w:lang w:val="es-ES"/>
        </w:rPr>
        <w:t>Ley Nº 27444 - Ley del Procedimiento Administrativo General.</w:t>
      </w:r>
    </w:p>
    <w:p w:rsidR="00466F0F" w:rsidRPr="00BF425F" w:rsidRDefault="00466F0F" w:rsidP="00466F0F">
      <w:pPr>
        <w:spacing w:after="0" w:line="240" w:lineRule="auto"/>
        <w:ind w:left="851" w:hanging="425"/>
        <w:contextualSpacing/>
        <w:jc w:val="both"/>
        <w:rPr>
          <w:rFonts w:ascii="Arial" w:eastAsia="Calibri" w:hAnsi="Arial" w:cs="Arial"/>
          <w:lang w:val="es-ES"/>
        </w:rPr>
      </w:pPr>
    </w:p>
    <w:p w:rsidR="00466F0F" w:rsidRPr="00BF425F" w:rsidRDefault="00466F0F" w:rsidP="00466F0F">
      <w:pPr>
        <w:spacing w:after="0" w:line="240" w:lineRule="auto"/>
        <w:ind w:left="851" w:hanging="425"/>
        <w:contextualSpacing/>
        <w:jc w:val="both"/>
        <w:rPr>
          <w:rFonts w:ascii="Arial" w:eastAsia="Calibri" w:hAnsi="Arial" w:cs="Arial"/>
          <w:lang w:val="es-ES"/>
        </w:rPr>
      </w:pPr>
      <w:r w:rsidRPr="00BF425F">
        <w:rPr>
          <w:rFonts w:ascii="Arial" w:eastAsia="Calibri" w:hAnsi="Arial" w:cs="Arial"/>
          <w:lang w:val="es-ES"/>
        </w:rPr>
        <w:t xml:space="preserve">* </w:t>
      </w:r>
      <w:r>
        <w:rPr>
          <w:rFonts w:ascii="Arial" w:eastAsia="Calibri" w:hAnsi="Arial" w:cs="Arial"/>
          <w:lang w:val="es-ES"/>
        </w:rPr>
        <w:tab/>
      </w:r>
      <w:r w:rsidRPr="00BF425F">
        <w:rPr>
          <w:rFonts w:ascii="Arial" w:eastAsia="Calibri" w:hAnsi="Arial" w:cs="Arial"/>
          <w:lang w:val="es-ES"/>
        </w:rPr>
        <w:t>Ley Nº 29158 - Ley Orgánica del Poder Ejecutivo.</w:t>
      </w:r>
    </w:p>
    <w:p w:rsidR="00466F0F" w:rsidRPr="00BF425F" w:rsidRDefault="00466F0F" w:rsidP="00466F0F">
      <w:pPr>
        <w:spacing w:after="0" w:line="240" w:lineRule="auto"/>
        <w:ind w:left="851" w:hanging="425"/>
        <w:contextualSpacing/>
        <w:jc w:val="both"/>
        <w:rPr>
          <w:rFonts w:ascii="Arial" w:eastAsia="Calibri" w:hAnsi="Arial" w:cs="Arial"/>
          <w:lang w:val="es-ES"/>
        </w:rPr>
      </w:pPr>
    </w:p>
    <w:p w:rsidR="00466F0F" w:rsidRPr="00BF425F" w:rsidRDefault="00466F0F" w:rsidP="00466F0F">
      <w:pPr>
        <w:spacing w:after="0" w:line="240" w:lineRule="auto"/>
        <w:ind w:left="851" w:hanging="425"/>
        <w:contextualSpacing/>
        <w:jc w:val="both"/>
        <w:rPr>
          <w:rFonts w:ascii="Arial" w:eastAsia="Calibri" w:hAnsi="Arial" w:cs="Arial"/>
          <w:lang w:val="es-ES"/>
        </w:rPr>
      </w:pPr>
      <w:r w:rsidRPr="00BF425F">
        <w:rPr>
          <w:rFonts w:ascii="Arial" w:eastAsia="Calibri" w:hAnsi="Arial" w:cs="Arial"/>
          <w:lang w:val="es-ES"/>
        </w:rPr>
        <w:t xml:space="preserve">* </w:t>
      </w:r>
      <w:r>
        <w:rPr>
          <w:rFonts w:ascii="Arial" w:eastAsia="Calibri" w:hAnsi="Arial" w:cs="Arial"/>
          <w:lang w:val="es-ES"/>
        </w:rPr>
        <w:tab/>
      </w:r>
      <w:r w:rsidRPr="00BF425F">
        <w:rPr>
          <w:rFonts w:ascii="Arial" w:eastAsia="Calibri" w:hAnsi="Arial" w:cs="Arial"/>
          <w:lang w:val="es-ES"/>
        </w:rPr>
        <w:t>Ley Nº 27867 - Ley Orgánica de los Gobiernos Regionales</w:t>
      </w:r>
    </w:p>
    <w:p w:rsidR="00466F0F" w:rsidRPr="00BF425F" w:rsidRDefault="00466F0F" w:rsidP="00466F0F">
      <w:pPr>
        <w:spacing w:after="0" w:line="240" w:lineRule="auto"/>
        <w:ind w:left="851" w:hanging="425"/>
        <w:contextualSpacing/>
        <w:jc w:val="both"/>
        <w:rPr>
          <w:rFonts w:ascii="Arial" w:eastAsia="Calibri" w:hAnsi="Arial" w:cs="Arial"/>
          <w:lang w:val="es-ES"/>
        </w:rPr>
      </w:pPr>
    </w:p>
    <w:p w:rsidR="00466F0F" w:rsidRPr="00BF425F" w:rsidRDefault="00466F0F" w:rsidP="00466F0F">
      <w:pPr>
        <w:spacing w:after="0" w:line="240" w:lineRule="auto"/>
        <w:ind w:left="851" w:hanging="425"/>
        <w:contextualSpacing/>
        <w:jc w:val="both"/>
        <w:rPr>
          <w:rFonts w:ascii="Arial" w:eastAsia="Calibri" w:hAnsi="Arial" w:cs="Arial"/>
          <w:lang w:val="es-ES"/>
        </w:rPr>
      </w:pPr>
      <w:r w:rsidRPr="00BF425F">
        <w:rPr>
          <w:rFonts w:ascii="Arial" w:eastAsia="Calibri" w:hAnsi="Arial" w:cs="Arial"/>
          <w:lang w:val="es-ES"/>
        </w:rPr>
        <w:t xml:space="preserve">* </w:t>
      </w:r>
      <w:r>
        <w:rPr>
          <w:rFonts w:ascii="Arial" w:eastAsia="Calibri" w:hAnsi="Arial" w:cs="Arial"/>
          <w:lang w:val="es-ES"/>
        </w:rPr>
        <w:tab/>
      </w:r>
      <w:r w:rsidRPr="00BF425F">
        <w:rPr>
          <w:rFonts w:ascii="Arial" w:eastAsia="Calibri" w:hAnsi="Arial" w:cs="Arial"/>
          <w:lang w:val="es-ES"/>
        </w:rPr>
        <w:t>Ley Nº 27783 - Ley de Bases de la Descentralización.</w:t>
      </w:r>
    </w:p>
    <w:p w:rsidR="00466F0F" w:rsidRDefault="00466F0F" w:rsidP="00466F0F">
      <w:pPr>
        <w:spacing w:after="0" w:line="240" w:lineRule="auto"/>
        <w:contextualSpacing/>
        <w:jc w:val="both"/>
        <w:rPr>
          <w:rFonts w:ascii="Arial" w:eastAsia="Calibri" w:hAnsi="Arial" w:cs="Arial"/>
          <w:lang w:val="es-ES"/>
        </w:rPr>
      </w:pPr>
    </w:p>
    <w:p w:rsidR="00466F0F" w:rsidRDefault="00466F0F" w:rsidP="00466F0F">
      <w:pPr>
        <w:spacing w:after="0" w:line="240" w:lineRule="auto"/>
        <w:contextualSpacing/>
        <w:jc w:val="both"/>
        <w:rPr>
          <w:rFonts w:ascii="Arial" w:eastAsia="Calibri" w:hAnsi="Arial" w:cs="Arial"/>
          <w:lang w:val="es-ES"/>
        </w:rPr>
      </w:pPr>
    </w:p>
    <w:p w:rsidR="00466F0F" w:rsidRDefault="00466F0F" w:rsidP="00466F0F">
      <w:pPr>
        <w:spacing w:after="0" w:line="240" w:lineRule="auto"/>
        <w:contextualSpacing/>
        <w:jc w:val="both"/>
        <w:rPr>
          <w:rFonts w:ascii="Arial" w:eastAsia="Calibri" w:hAnsi="Arial" w:cs="Arial"/>
          <w:lang w:val="es-ES"/>
        </w:rPr>
      </w:pPr>
    </w:p>
    <w:p w:rsidR="00466F0F" w:rsidRPr="00BF425F" w:rsidRDefault="00466F0F" w:rsidP="00466F0F">
      <w:pPr>
        <w:spacing w:after="0" w:line="240" w:lineRule="auto"/>
        <w:contextualSpacing/>
        <w:jc w:val="both"/>
        <w:rPr>
          <w:rFonts w:ascii="Arial" w:eastAsia="Calibri" w:hAnsi="Arial" w:cs="Arial"/>
          <w:lang w:val="es-ES"/>
        </w:rPr>
      </w:pPr>
    </w:p>
    <w:p w:rsidR="00466F0F" w:rsidRPr="00BF425F" w:rsidRDefault="00466F0F" w:rsidP="00466F0F">
      <w:pPr>
        <w:spacing w:after="0" w:line="240" w:lineRule="auto"/>
        <w:contextualSpacing/>
        <w:jc w:val="both"/>
        <w:rPr>
          <w:rFonts w:ascii="Arial" w:eastAsia="Calibri" w:hAnsi="Arial" w:cs="Arial"/>
          <w:b/>
          <w:lang w:val="es-ES"/>
        </w:rPr>
      </w:pPr>
      <w:r w:rsidRPr="00BF425F">
        <w:rPr>
          <w:rFonts w:ascii="Arial" w:eastAsia="Calibri" w:hAnsi="Arial" w:cs="Arial"/>
          <w:b/>
          <w:lang w:val="es-ES"/>
        </w:rPr>
        <w:t>IV. ALCANCE</w:t>
      </w:r>
    </w:p>
    <w:p w:rsidR="00466F0F" w:rsidRPr="00BF425F" w:rsidRDefault="00466F0F" w:rsidP="00466F0F">
      <w:pPr>
        <w:spacing w:after="0" w:line="240" w:lineRule="auto"/>
        <w:contextualSpacing/>
        <w:jc w:val="both"/>
        <w:rPr>
          <w:rFonts w:ascii="Arial" w:eastAsia="Calibri" w:hAnsi="Arial" w:cs="Arial"/>
          <w:lang w:val="es-ES"/>
        </w:rPr>
      </w:pPr>
    </w:p>
    <w:p w:rsidR="00466F0F" w:rsidRPr="00BF425F" w:rsidRDefault="00466F0F" w:rsidP="00466F0F">
      <w:pPr>
        <w:spacing w:after="0" w:line="240" w:lineRule="auto"/>
        <w:ind w:left="284"/>
        <w:contextualSpacing/>
        <w:jc w:val="both"/>
        <w:rPr>
          <w:rFonts w:ascii="Arial" w:eastAsia="Calibri" w:hAnsi="Arial" w:cs="Arial"/>
          <w:lang w:val="es-ES"/>
        </w:rPr>
      </w:pPr>
      <w:r w:rsidRPr="00BF425F">
        <w:rPr>
          <w:rFonts w:ascii="Arial" w:eastAsia="Calibri" w:hAnsi="Arial" w:cs="Arial"/>
          <w:lang w:val="es-ES"/>
        </w:rPr>
        <w:t>La presente Directiva es de obligatorio cumplimiento para las unidades orgánicas del Ministerio de la Producción, responsables de la evaluación de los proyectos industriales para los que se solicita la declaración de interés nacional requerida para tramitar las solicitudes de compraventa directa de terrenos de dominio privado del Estado.</w:t>
      </w:r>
    </w:p>
    <w:p w:rsidR="00466F0F" w:rsidRPr="00BF425F" w:rsidRDefault="00466F0F" w:rsidP="00466F0F">
      <w:pPr>
        <w:spacing w:after="0" w:line="240" w:lineRule="auto"/>
        <w:ind w:left="284"/>
        <w:contextualSpacing/>
        <w:jc w:val="both"/>
        <w:rPr>
          <w:rFonts w:ascii="Arial" w:eastAsia="Calibri" w:hAnsi="Arial" w:cs="Arial"/>
          <w:lang w:val="es-ES"/>
        </w:rPr>
      </w:pPr>
    </w:p>
    <w:p w:rsidR="00466F0F" w:rsidRPr="00BF425F" w:rsidRDefault="00466F0F" w:rsidP="00466F0F">
      <w:pPr>
        <w:spacing w:after="0" w:line="240" w:lineRule="auto"/>
        <w:ind w:left="284"/>
        <w:contextualSpacing/>
        <w:jc w:val="both"/>
        <w:rPr>
          <w:rFonts w:ascii="Arial" w:eastAsia="Calibri" w:hAnsi="Arial" w:cs="Arial"/>
          <w:lang w:val="es-ES"/>
        </w:rPr>
      </w:pPr>
      <w:r w:rsidRPr="00BF425F">
        <w:rPr>
          <w:rFonts w:ascii="Arial" w:eastAsia="Calibri" w:hAnsi="Arial" w:cs="Arial"/>
          <w:lang w:val="es-ES"/>
        </w:rPr>
        <w:t>Los Gobiernos Regionales podrán aplicar los lineamientos de la presente Directiva en el marco de sus competencias, modelando sus procedimientos administrativos, conforme a sus funciones y estructura organizativa.</w:t>
      </w:r>
    </w:p>
    <w:p w:rsidR="00466F0F" w:rsidRPr="00BF425F" w:rsidRDefault="00466F0F" w:rsidP="00466F0F">
      <w:pPr>
        <w:spacing w:after="0" w:line="240" w:lineRule="auto"/>
        <w:contextualSpacing/>
        <w:jc w:val="both"/>
        <w:rPr>
          <w:rFonts w:ascii="Arial" w:eastAsia="Calibri" w:hAnsi="Arial" w:cs="Arial"/>
          <w:lang w:val="es-ES"/>
        </w:rPr>
      </w:pPr>
    </w:p>
    <w:p w:rsidR="00466F0F" w:rsidRPr="00BF425F" w:rsidRDefault="00466F0F" w:rsidP="00466F0F">
      <w:pPr>
        <w:spacing w:after="0" w:line="240" w:lineRule="auto"/>
        <w:contextualSpacing/>
        <w:jc w:val="both"/>
        <w:rPr>
          <w:rFonts w:ascii="Arial" w:eastAsia="Calibri" w:hAnsi="Arial" w:cs="Arial"/>
          <w:b/>
          <w:lang w:val="es-ES"/>
        </w:rPr>
      </w:pPr>
      <w:r w:rsidRPr="00BF425F">
        <w:rPr>
          <w:rFonts w:ascii="Arial" w:eastAsia="Calibri" w:hAnsi="Arial" w:cs="Arial"/>
          <w:b/>
          <w:lang w:val="es-ES"/>
        </w:rPr>
        <w:t>V. DISPOSICIONES GENERALES</w:t>
      </w:r>
    </w:p>
    <w:p w:rsidR="00466F0F" w:rsidRPr="00BF425F" w:rsidRDefault="00466F0F" w:rsidP="00466F0F">
      <w:pPr>
        <w:spacing w:after="0" w:line="240" w:lineRule="auto"/>
        <w:contextualSpacing/>
        <w:jc w:val="both"/>
        <w:rPr>
          <w:rFonts w:ascii="Arial" w:eastAsia="Calibri" w:hAnsi="Arial" w:cs="Arial"/>
          <w:lang w:val="es-ES"/>
        </w:rPr>
      </w:pPr>
    </w:p>
    <w:p w:rsidR="00466F0F" w:rsidRPr="00BF425F" w:rsidRDefault="00466F0F" w:rsidP="00466F0F">
      <w:pPr>
        <w:spacing w:after="0" w:line="240" w:lineRule="auto"/>
        <w:ind w:left="284"/>
        <w:contextualSpacing/>
        <w:jc w:val="both"/>
        <w:rPr>
          <w:rFonts w:ascii="Arial" w:eastAsia="Calibri" w:hAnsi="Arial" w:cs="Arial"/>
          <w:lang w:val="es-ES"/>
        </w:rPr>
      </w:pPr>
      <w:r w:rsidRPr="00BF425F">
        <w:rPr>
          <w:rFonts w:ascii="Arial" w:eastAsia="Calibri" w:hAnsi="Arial" w:cs="Arial"/>
          <w:lang w:val="es-ES"/>
        </w:rPr>
        <w:t>Todos los proyectos industriales cuyo monto total de inversión sea igual o mayor a S/.5’000,000.00 (CINCO MILLONES Y 00/100 NUEVOS SOLES), y para cuya ejecución se requiera efectuar la compraventa directa de bienes de dominio privado del Estado, deberán ser calificados como de interés nacional, conforme a los siguientes lineamientos:</w:t>
      </w:r>
    </w:p>
    <w:p w:rsidR="00466F0F" w:rsidRPr="00BF425F" w:rsidRDefault="00466F0F" w:rsidP="00466F0F">
      <w:pPr>
        <w:spacing w:after="0" w:line="240" w:lineRule="auto"/>
        <w:contextualSpacing/>
        <w:jc w:val="both"/>
        <w:rPr>
          <w:rFonts w:ascii="Arial" w:eastAsia="Calibri" w:hAnsi="Arial" w:cs="Arial"/>
          <w:lang w:val="es-ES"/>
        </w:rPr>
      </w:pPr>
    </w:p>
    <w:tbl>
      <w:tblPr>
        <w:tblStyle w:val="Tablaconcuadrcula"/>
        <w:tblW w:w="0" w:type="auto"/>
        <w:tblLook w:val="04A0" w:firstRow="1" w:lastRow="0" w:firstColumn="1" w:lastColumn="0" w:noHBand="0" w:noVBand="1"/>
      </w:tblPr>
      <w:tblGrid>
        <w:gridCol w:w="704"/>
        <w:gridCol w:w="9492"/>
      </w:tblGrid>
      <w:tr w:rsidR="00466F0F" w:rsidTr="00466F0F">
        <w:tc>
          <w:tcPr>
            <w:tcW w:w="10196" w:type="dxa"/>
            <w:gridSpan w:val="2"/>
          </w:tcPr>
          <w:p w:rsidR="00466F0F" w:rsidRPr="00BF425F" w:rsidRDefault="00466F0F" w:rsidP="00466F0F">
            <w:pPr>
              <w:contextualSpacing/>
              <w:jc w:val="both"/>
              <w:rPr>
                <w:rFonts w:ascii="Arial" w:eastAsia="Calibri" w:hAnsi="Arial" w:cs="Arial"/>
                <w:b/>
                <w:lang w:val="es-ES"/>
              </w:rPr>
            </w:pPr>
            <w:r w:rsidRPr="00BF425F">
              <w:rPr>
                <w:rFonts w:ascii="Arial" w:eastAsia="Calibri" w:hAnsi="Arial" w:cs="Arial"/>
                <w:b/>
                <w:lang w:val="es-ES"/>
              </w:rPr>
              <w:t>LINEAMIENTOS GENERALES PARA CALIFICAR Y APROBAR UN PROYECTO INDUSTRIAL COMO DE INTERÉS NACIONAL</w:t>
            </w:r>
          </w:p>
        </w:tc>
      </w:tr>
      <w:tr w:rsidR="00466F0F" w:rsidTr="00466F0F">
        <w:tc>
          <w:tcPr>
            <w:tcW w:w="704" w:type="dxa"/>
          </w:tcPr>
          <w:p w:rsidR="00466F0F" w:rsidRDefault="00466F0F" w:rsidP="00466F0F">
            <w:pPr>
              <w:contextualSpacing/>
              <w:jc w:val="center"/>
              <w:rPr>
                <w:rFonts w:ascii="Arial" w:eastAsia="Calibri" w:hAnsi="Arial" w:cs="Arial"/>
                <w:lang w:val="es-ES"/>
              </w:rPr>
            </w:pPr>
            <w:r>
              <w:rPr>
                <w:rFonts w:ascii="Arial" w:eastAsia="Calibri" w:hAnsi="Arial" w:cs="Arial"/>
                <w:lang w:val="es-ES"/>
              </w:rPr>
              <w:t>1</w:t>
            </w:r>
          </w:p>
        </w:tc>
        <w:tc>
          <w:tcPr>
            <w:tcW w:w="9492" w:type="dxa"/>
          </w:tcPr>
          <w:p w:rsidR="00466F0F" w:rsidRPr="00BF425F" w:rsidRDefault="00466F0F" w:rsidP="00466F0F">
            <w:pPr>
              <w:contextualSpacing/>
              <w:jc w:val="both"/>
              <w:rPr>
                <w:rFonts w:ascii="Arial" w:eastAsia="Calibri" w:hAnsi="Arial" w:cs="Arial"/>
                <w:lang w:val="es-ES"/>
              </w:rPr>
            </w:pPr>
            <w:r w:rsidRPr="00BF425F">
              <w:rPr>
                <w:rFonts w:ascii="Arial" w:eastAsia="Calibri" w:hAnsi="Arial" w:cs="Arial"/>
                <w:lang w:val="es-ES"/>
              </w:rPr>
              <w:t>El proyecto deberá tener como fin exc</w:t>
            </w:r>
            <w:r>
              <w:rPr>
                <w:rFonts w:ascii="Arial" w:eastAsia="Calibri" w:hAnsi="Arial" w:cs="Arial"/>
                <w:lang w:val="es-ES"/>
              </w:rPr>
              <w:t xml:space="preserve">lusivo establecer una industria </w:t>
            </w:r>
            <w:r w:rsidRPr="00BF425F">
              <w:rPr>
                <w:rFonts w:ascii="Arial" w:eastAsia="Calibri" w:hAnsi="Arial" w:cs="Arial"/>
                <w:lang w:val="es-ES"/>
              </w:rPr>
              <w:t>manufacturera de transformació</w:t>
            </w:r>
            <w:r>
              <w:rPr>
                <w:rFonts w:ascii="Arial" w:eastAsia="Calibri" w:hAnsi="Arial" w:cs="Arial"/>
                <w:lang w:val="es-ES"/>
              </w:rPr>
              <w:t>n para desarrollar actividades</w:t>
            </w:r>
            <w:r>
              <w:rPr>
                <w:rFonts w:ascii="Arial" w:eastAsia="Calibri" w:hAnsi="Arial" w:cs="Arial"/>
                <w:lang w:val="es-ES"/>
              </w:rPr>
              <w:tab/>
            </w:r>
            <w:r w:rsidRPr="00BF425F">
              <w:rPr>
                <w:rFonts w:ascii="Arial" w:eastAsia="Calibri" w:hAnsi="Arial" w:cs="Arial"/>
                <w:lang w:val="es-ES"/>
              </w:rPr>
              <w:t>consideradas en la Sección C “In</w:t>
            </w:r>
            <w:r>
              <w:rPr>
                <w:rFonts w:ascii="Arial" w:eastAsia="Calibri" w:hAnsi="Arial" w:cs="Arial"/>
                <w:lang w:val="es-ES"/>
              </w:rPr>
              <w:t xml:space="preserve">dustrias Manufactureras” de la </w:t>
            </w:r>
            <w:r w:rsidRPr="00BF425F">
              <w:rPr>
                <w:rFonts w:ascii="Arial" w:eastAsia="Calibri" w:hAnsi="Arial" w:cs="Arial"/>
                <w:lang w:val="es-ES"/>
              </w:rPr>
              <w:t>Clasificación Industrial Internacional Uniforme - CIIU, Revisión 4.</w:t>
            </w:r>
            <w:r w:rsidRPr="00BF425F">
              <w:rPr>
                <w:rFonts w:ascii="Arial" w:eastAsia="Calibri" w:hAnsi="Arial" w:cs="Arial"/>
                <w:lang w:val="es-ES"/>
              </w:rPr>
              <w:tab/>
            </w:r>
          </w:p>
          <w:p w:rsidR="00466F0F" w:rsidRDefault="00466F0F" w:rsidP="00466F0F">
            <w:pPr>
              <w:contextualSpacing/>
              <w:jc w:val="both"/>
              <w:rPr>
                <w:rFonts w:ascii="Arial" w:eastAsia="Calibri" w:hAnsi="Arial" w:cs="Arial"/>
                <w:lang w:val="es-ES"/>
              </w:rPr>
            </w:pPr>
          </w:p>
        </w:tc>
      </w:tr>
      <w:tr w:rsidR="00466F0F" w:rsidTr="00466F0F">
        <w:tc>
          <w:tcPr>
            <w:tcW w:w="704" w:type="dxa"/>
          </w:tcPr>
          <w:p w:rsidR="00466F0F" w:rsidRDefault="00466F0F" w:rsidP="00466F0F">
            <w:pPr>
              <w:contextualSpacing/>
              <w:jc w:val="center"/>
              <w:rPr>
                <w:rFonts w:ascii="Arial" w:eastAsia="Calibri" w:hAnsi="Arial" w:cs="Arial"/>
                <w:lang w:val="es-ES"/>
              </w:rPr>
            </w:pPr>
            <w:r>
              <w:rPr>
                <w:rFonts w:ascii="Arial" w:eastAsia="Calibri" w:hAnsi="Arial" w:cs="Arial"/>
                <w:lang w:val="es-ES"/>
              </w:rPr>
              <w:t>2</w:t>
            </w:r>
          </w:p>
        </w:tc>
        <w:tc>
          <w:tcPr>
            <w:tcW w:w="9492" w:type="dxa"/>
          </w:tcPr>
          <w:p w:rsidR="00466F0F" w:rsidRPr="00BF425F" w:rsidRDefault="00466F0F" w:rsidP="00466F0F">
            <w:pPr>
              <w:contextualSpacing/>
              <w:jc w:val="both"/>
              <w:rPr>
                <w:rFonts w:ascii="Arial" w:eastAsia="Calibri" w:hAnsi="Arial" w:cs="Arial"/>
                <w:lang w:val="es-ES"/>
              </w:rPr>
            </w:pPr>
            <w:r w:rsidRPr="00BF425F">
              <w:rPr>
                <w:rFonts w:ascii="Arial" w:eastAsia="Calibri" w:hAnsi="Arial" w:cs="Arial"/>
                <w:lang w:val="es-ES"/>
              </w:rPr>
              <w:t xml:space="preserve">El proyecto será evaluado en el marco </w:t>
            </w:r>
            <w:r>
              <w:rPr>
                <w:rFonts w:ascii="Arial" w:eastAsia="Calibri" w:hAnsi="Arial" w:cs="Arial"/>
                <w:lang w:val="es-ES"/>
              </w:rPr>
              <w:t xml:space="preserve">del Plan Estratégico Sectorial </w:t>
            </w:r>
            <w:r w:rsidRPr="00BF425F">
              <w:rPr>
                <w:rFonts w:ascii="Arial" w:eastAsia="Calibri" w:hAnsi="Arial" w:cs="Arial"/>
                <w:lang w:val="es-ES"/>
              </w:rPr>
              <w:t>Multianual (PESEM) 2012-2016 del Sector</w:t>
            </w:r>
            <w:r>
              <w:rPr>
                <w:rFonts w:ascii="Arial" w:eastAsia="Calibri" w:hAnsi="Arial" w:cs="Arial"/>
                <w:lang w:val="es-ES"/>
              </w:rPr>
              <w:t xml:space="preserve"> Producción, principalmente en </w:t>
            </w:r>
            <w:r w:rsidRPr="00BF425F">
              <w:rPr>
                <w:rFonts w:ascii="Arial" w:eastAsia="Calibri" w:hAnsi="Arial" w:cs="Arial"/>
                <w:lang w:val="es-ES"/>
              </w:rPr>
              <w:t>el eje de Promoción de la productividad y v</w:t>
            </w:r>
            <w:r>
              <w:rPr>
                <w:rFonts w:ascii="Arial" w:eastAsia="Calibri" w:hAnsi="Arial" w:cs="Arial"/>
                <w:lang w:val="es-ES"/>
              </w:rPr>
              <w:t xml:space="preserve">alor agregado, cuyos objetivos </w:t>
            </w:r>
            <w:r w:rsidRPr="00BF425F">
              <w:rPr>
                <w:rFonts w:ascii="Arial" w:eastAsia="Calibri" w:hAnsi="Arial" w:cs="Arial"/>
                <w:lang w:val="es-ES"/>
              </w:rPr>
              <w:t>estratégicos son:</w:t>
            </w:r>
            <w:r w:rsidRPr="00BF425F">
              <w:rPr>
                <w:rFonts w:ascii="Arial" w:eastAsia="Calibri" w:hAnsi="Arial" w:cs="Arial"/>
                <w:lang w:val="es-ES"/>
              </w:rPr>
              <w:tab/>
            </w:r>
          </w:p>
          <w:p w:rsidR="00466F0F" w:rsidRPr="00360C1E" w:rsidRDefault="00466F0F" w:rsidP="0092471C">
            <w:pPr>
              <w:pStyle w:val="Prrafodelista"/>
              <w:numPr>
                <w:ilvl w:val="0"/>
                <w:numId w:val="246"/>
              </w:numPr>
              <w:jc w:val="both"/>
              <w:rPr>
                <w:rFonts w:ascii="Arial" w:eastAsia="Calibri" w:hAnsi="Arial" w:cs="Arial"/>
                <w:lang w:val="es-ES"/>
              </w:rPr>
            </w:pPr>
            <w:r w:rsidRPr="00360C1E">
              <w:rPr>
                <w:rFonts w:ascii="Arial" w:eastAsia="Calibri" w:hAnsi="Arial" w:cs="Arial"/>
                <w:lang w:val="es-ES"/>
              </w:rPr>
              <w:t xml:space="preserve">Consolidar una estructura productiva </w:t>
            </w:r>
            <w:r>
              <w:rPr>
                <w:rFonts w:ascii="Arial" w:eastAsia="Calibri" w:hAnsi="Arial" w:cs="Arial"/>
                <w:lang w:val="es-ES"/>
              </w:rPr>
              <w:t xml:space="preserve">descentralizada, diversificada, </w:t>
            </w:r>
            <w:r w:rsidRPr="00360C1E">
              <w:rPr>
                <w:rFonts w:ascii="Arial" w:eastAsia="Calibri" w:hAnsi="Arial" w:cs="Arial"/>
                <w:lang w:val="es-ES"/>
              </w:rPr>
              <w:t>inclusiva y ambientalmente sostenible, con creciente productividad y</w:t>
            </w:r>
            <w:r w:rsidRPr="00360C1E">
              <w:rPr>
                <w:rFonts w:ascii="Arial" w:eastAsia="Calibri" w:hAnsi="Arial" w:cs="Arial"/>
                <w:lang w:val="es-ES"/>
              </w:rPr>
              <w:tab/>
              <w:t>valor agregado.</w:t>
            </w:r>
            <w:r w:rsidRPr="00360C1E">
              <w:rPr>
                <w:rFonts w:ascii="Arial" w:eastAsia="Calibri" w:hAnsi="Arial" w:cs="Arial"/>
                <w:lang w:val="es-ES"/>
              </w:rPr>
              <w:tab/>
            </w:r>
          </w:p>
          <w:p w:rsidR="00466F0F" w:rsidRPr="00360C1E" w:rsidRDefault="00466F0F" w:rsidP="0092471C">
            <w:pPr>
              <w:pStyle w:val="Prrafodelista"/>
              <w:numPr>
                <w:ilvl w:val="0"/>
                <w:numId w:val="246"/>
              </w:numPr>
              <w:jc w:val="both"/>
              <w:rPr>
                <w:rFonts w:ascii="Arial" w:eastAsia="Calibri" w:hAnsi="Arial" w:cs="Arial"/>
                <w:lang w:val="es-ES"/>
              </w:rPr>
            </w:pPr>
            <w:r w:rsidRPr="00360C1E">
              <w:rPr>
                <w:rFonts w:ascii="Arial" w:eastAsia="Calibri" w:hAnsi="Arial" w:cs="Arial"/>
                <w:lang w:val="es-ES"/>
              </w:rPr>
              <w:t>Fortalecer la contribución de la industria manufacturera en la economía</w:t>
            </w:r>
            <w:r>
              <w:rPr>
                <w:rFonts w:ascii="Arial" w:eastAsia="Calibri" w:hAnsi="Arial" w:cs="Arial"/>
                <w:lang w:val="es-ES"/>
              </w:rPr>
              <w:t xml:space="preserve"> </w:t>
            </w:r>
            <w:r w:rsidRPr="00360C1E">
              <w:rPr>
                <w:rFonts w:ascii="Arial" w:eastAsia="Calibri" w:hAnsi="Arial" w:cs="Arial"/>
                <w:lang w:val="es-ES"/>
              </w:rPr>
              <w:t>nacional.</w:t>
            </w:r>
            <w:r w:rsidRPr="00360C1E">
              <w:rPr>
                <w:rFonts w:ascii="Arial" w:eastAsia="Calibri" w:hAnsi="Arial" w:cs="Arial"/>
                <w:lang w:val="es-ES"/>
              </w:rPr>
              <w:tab/>
            </w:r>
          </w:p>
          <w:p w:rsidR="00466F0F" w:rsidRPr="00360C1E" w:rsidRDefault="00466F0F" w:rsidP="0092471C">
            <w:pPr>
              <w:pStyle w:val="Prrafodelista"/>
              <w:numPr>
                <w:ilvl w:val="0"/>
                <w:numId w:val="246"/>
              </w:numPr>
              <w:jc w:val="both"/>
              <w:rPr>
                <w:rFonts w:ascii="Arial" w:eastAsia="Calibri" w:hAnsi="Arial" w:cs="Arial"/>
                <w:lang w:val="es-ES"/>
              </w:rPr>
            </w:pPr>
            <w:r w:rsidRPr="00360C1E">
              <w:rPr>
                <w:rFonts w:ascii="Arial" w:eastAsia="Calibri" w:hAnsi="Arial" w:cs="Arial"/>
                <w:lang w:val="es-ES"/>
              </w:rPr>
              <w:t>Incrementar la productividad de las MY</w:t>
            </w:r>
            <w:r>
              <w:rPr>
                <w:rFonts w:ascii="Arial" w:eastAsia="Calibri" w:hAnsi="Arial" w:cs="Arial"/>
                <w:lang w:val="es-ES"/>
              </w:rPr>
              <w:t xml:space="preserve">PE y cooperativas e impulsar el </w:t>
            </w:r>
            <w:r w:rsidRPr="00360C1E">
              <w:rPr>
                <w:rFonts w:ascii="Arial" w:eastAsia="Calibri" w:hAnsi="Arial" w:cs="Arial"/>
                <w:lang w:val="es-ES"/>
              </w:rPr>
              <w:t>comercio interno.</w:t>
            </w:r>
          </w:p>
        </w:tc>
      </w:tr>
      <w:tr w:rsidR="00466F0F" w:rsidTr="00466F0F">
        <w:tc>
          <w:tcPr>
            <w:tcW w:w="704" w:type="dxa"/>
          </w:tcPr>
          <w:p w:rsidR="00466F0F" w:rsidRDefault="00466F0F" w:rsidP="00466F0F">
            <w:pPr>
              <w:contextualSpacing/>
              <w:jc w:val="center"/>
              <w:rPr>
                <w:rFonts w:ascii="Arial" w:eastAsia="Calibri" w:hAnsi="Arial" w:cs="Arial"/>
                <w:lang w:val="es-ES"/>
              </w:rPr>
            </w:pPr>
            <w:r>
              <w:rPr>
                <w:rFonts w:ascii="Arial" w:eastAsia="Calibri" w:hAnsi="Arial" w:cs="Arial"/>
                <w:lang w:val="es-ES"/>
              </w:rPr>
              <w:t>3</w:t>
            </w:r>
          </w:p>
        </w:tc>
        <w:tc>
          <w:tcPr>
            <w:tcW w:w="9492" w:type="dxa"/>
          </w:tcPr>
          <w:p w:rsidR="00466F0F" w:rsidRPr="00BF425F" w:rsidRDefault="00466F0F" w:rsidP="00466F0F">
            <w:pPr>
              <w:contextualSpacing/>
              <w:jc w:val="both"/>
              <w:rPr>
                <w:rFonts w:ascii="Arial" w:eastAsia="Calibri" w:hAnsi="Arial" w:cs="Arial"/>
                <w:lang w:val="es-ES"/>
              </w:rPr>
            </w:pPr>
            <w:r w:rsidRPr="00BF425F">
              <w:rPr>
                <w:rFonts w:ascii="Arial" w:eastAsia="Calibri" w:hAnsi="Arial" w:cs="Arial"/>
                <w:lang w:val="es-ES"/>
              </w:rPr>
              <w:t>Asimismo, se considerará los siguientes aspectos:</w:t>
            </w:r>
            <w:r w:rsidRPr="00BF425F">
              <w:rPr>
                <w:rFonts w:ascii="Arial" w:eastAsia="Calibri" w:hAnsi="Arial" w:cs="Arial"/>
                <w:lang w:val="es-ES"/>
              </w:rPr>
              <w:tab/>
            </w:r>
          </w:p>
          <w:p w:rsidR="00466F0F" w:rsidRPr="00360C1E" w:rsidRDefault="00466F0F" w:rsidP="0092471C">
            <w:pPr>
              <w:pStyle w:val="Prrafodelista"/>
              <w:numPr>
                <w:ilvl w:val="0"/>
                <w:numId w:val="247"/>
              </w:numPr>
              <w:jc w:val="both"/>
              <w:rPr>
                <w:rFonts w:ascii="Arial" w:eastAsia="Calibri" w:hAnsi="Arial" w:cs="Arial"/>
                <w:lang w:val="es-ES"/>
              </w:rPr>
            </w:pPr>
            <w:r w:rsidRPr="00360C1E">
              <w:rPr>
                <w:rFonts w:ascii="Arial" w:eastAsia="Calibri" w:hAnsi="Arial" w:cs="Arial"/>
                <w:lang w:val="es-ES"/>
              </w:rPr>
              <w:t>Valor agregado generado por la actividad Generación de empleo directo e indirecto</w:t>
            </w:r>
            <w:r w:rsidRPr="00360C1E">
              <w:rPr>
                <w:rFonts w:ascii="Arial" w:eastAsia="Calibri" w:hAnsi="Arial" w:cs="Arial"/>
                <w:lang w:val="es-ES"/>
              </w:rPr>
              <w:tab/>
            </w:r>
          </w:p>
          <w:p w:rsidR="00466F0F" w:rsidRPr="00360C1E" w:rsidRDefault="00466F0F" w:rsidP="0092471C">
            <w:pPr>
              <w:pStyle w:val="Prrafodelista"/>
              <w:numPr>
                <w:ilvl w:val="0"/>
                <w:numId w:val="247"/>
              </w:numPr>
              <w:jc w:val="both"/>
              <w:rPr>
                <w:rFonts w:ascii="Arial" w:eastAsia="Calibri" w:hAnsi="Arial" w:cs="Arial"/>
                <w:lang w:val="es-ES"/>
              </w:rPr>
            </w:pPr>
            <w:r w:rsidRPr="00360C1E">
              <w:rPr>
                <w:rFonts w:ascii="Arial" w:eastAsia="Calibri" w:hAnsi="Arial" w:cs="Arial"/>
                <w:lang w:val="es-ES"/>
              </w:rPr>
              <w:t>Contribución a la descentralización productiva del país</w:t>
            </w:r>
            <w:r w:rsidRPr="00360C1E">
              <w:rPr>
                <w:rFonts w:ascii="Arial" w:eastAsia="Calibri" w:hAnsi="Arial" w:cs="Arial"/>
                <w:lang w:val="es-ES"/>
              </w:rPr>
              <w:tab/>
            </w:r>
          </w:p>
          <w:p w:rsidR="00466F0F" w:rsidRDefault="00466F0F" w:rsidP="0092471C">
            <w:pPr>
              <w:pStyle w:val="Prrafodelista"/>
              <w:numPr>
                <w:ilvl w:val="0"/>
                <w:numId w:val="247"/>
              </w:numPr>
              <w:jc w:val="both"/>
              <w:rPr>
                <w:rFonts w:ascii="Arial" w:eastAsia="Calibri" w:hAnsi="Arial" w:cs="Arial"/>
                <w:lang w:val="es-ES"/>
              </w:rPr>
            </w:pPr>
            <w:r w:rsidRPr="00360C1E">
              <w:rPr>
                <w:rFonts w:ascii="Arial" w:eastAsia="Calibri" w:hAnsi="Arial" w:cs="Arial"/>
                <w:lang w:val="es-ES"/>
              </w:rPr>
              <w:t xml:space="preserve">Generación de encadenamientos para mejorar la competitividad de la </w:t>
            </w:r>
            <w:r>
              <w:rPr>
                <w:rFonts w:ascii="Arial" w:eastAsia="Calibri" w:hAnsi="Arial" w:cs="Arial"/>
                <w:lang w:val="es-ES"/>
              </w:rPr>
              <w:t>cadena productiva</w:t>
            </w:r>
          </w:p>
          <w:p w:rsidR="00466F0F" w:rsidRPr="00360C1E" w:rsidRDefault="00466F0F" w:rsidP="0092471C">
            <w:pPr>
              <w:pStyle w:val="Prrafodelista"/>
              <w:numPr>
                <w:ilvl w:val="0"/>
                <w:numId w:val="247"/>
              </w:numPr>
              <w:jc w:val="both"/>
              <w:rPr>
                <w:rFonts w:ascii="Arial" w:eastAsia="Calibri" w:hAnsi="Arial" w:cs="Arial"/>
                <w:lang w:val="es-ES"/>
              </w:rPr>
            </w:pPr>
            <w:r w:rsidRPr="00360C1E">
              <w:rPr>
                <w:rFonts w:ascii="Arial" w:eastAsia="Calibri" w:hAnsi="Arial" w:cs="Arial"/>
                <w:lang w:val="es-ES"/>
              </w:rPr>
              <w:t>Potencial para generar exportaciones no tradicionales</w:t>
            </w:r>
            <w:r w:rsidRPr="00360C1E">
              <w:rPr>
                <w:rFonts w:ascii="Arial" w:eastAsia="Calibri" w:hAnsi="Arial" w:cs="Arial"/>
                <w:lang w:val="es-ES"/>
              </w:rPr>
              <w:tab/>
            </w:r>
          </w:p>
          <w:p w:rsidR="00466F0F" w:rsidRPr="00360C1E" w:rsidRDefault="00466F0F" w:rsidP="0092471C">
            <w:pPr>
              <w:pStyle w:val="Prrafodelista"/>
              <w:numPr>
                <w:ilvl w:val="0"/>
                <w:numId w:val="247"/>
              </w:numPr>
              <w:jc w:val="both"/>
              <w:rPr>
                <w:rFonts w:ascii="Arial" w:eastAsia="Calibri" w:hAnsi="Arial" w:cs="Arial"/>
                <w:lang w:val="es-ES"/>
              </w:rPr>
            </w:pPr>
            <w:r w:rsidRPr="00360C1E">
              <w:rPr>
                <w:rFonts w:ascii="Arial" w:eastAsia="Calibri" w:hAnsi="Arial" w:cs="Arial"/>
                <w:lang w:val="es-ES"/>
              </w:rPr>
              <w:t>Buenas prácticas ambientales</w:t>
            </w:r>
          </w:p>
        </w:tc>
      </w:tr>
      <w:tr w:rsidR="00466F0F" w:rsidTr="00466F0F">
        <w:tc>
          <w:tcPr>
            <w:tcW w:w="704" w:type="dxa"/>
          </w:tcPr>
          <w:p w:rsidR="00466F0F" w:rsidRDefault="00466F0F" w:rsidP="00466F0F">
            <w:pPr>
              <w:contextualSpacing/>
              <w:jc w:val="center"/>
              <w:rPr>
                <w:rFonts w:ascii="Arial" w:eastAsia="Calibri" w:hAnsi="Arial" w:cs="Arial"/>
                <w:lang w:val="es-ES"/>
              </w:rPr>
            </w:pPr>
            <w:r>
              <w:rPr>
                <w:rFonts w:ascii="Arial" w:eastAsia="Calibri" w:hAnsi="Arial" w:cs="Arial"/>
                <w:lang w:val="es-ES"/>
              </w:rPr>
              <w:t>4</w:t>
            </w:r>
          </w:p>
        </w:tc>
        <w:tc>
          <w:tcPr>
            <w:tcW w:w="9492" w:type="dxa"/>
          </w:tcPr>
          <w:p w:rsidR="00466F0F" w:rsidRDefault="00466F0F" w:rsidP="00466F0F">
            <w:pPr>
              <w:contextualSpacing/>
              <w:jc w:val="both"/>
              <w:rPr>
                <w:rFonts w:ascii="Arial" w:eastAsia="Calibri" w:hAnsi="Arial" w:cs="Arial"/>
                <w:lang w:val="es-ES"/>
              </w:rPr>
            </w:pPr>
            <w:r w:rsidRPr="00BF425F">
              <w:rPr>
                <w:rFonts w:ascii="Arial" w:eastAsia="Calibri" w:hAnsi="Arial" w:cs="Arial"/>
                <w:lang w:val="es-ES"/>
              </w:rPr>
              <w:t>El expediente deberá contener un estudio</w:t>
            </w:r>
            <w:r>
              <w:rPr>
                <w:rFonts w:ascii="Arial" w:eastAsia="Calibri" w:hAnsi="Arial" w:cs="Arial"/>
                <w:lang w:val="es-ES"/>
              </w:rPr>
              <w:t xml:space="preserve"> de pre inversión que sustente</w:t>
            </w:r>
            <w:r>
              <w:rPr>
                <w:rFonts w:ascii="Arial" w:eastAsia="Calibri" w:hAnsi="Arial" w:cs="Arial"/>
                <w:lang w:val="es-ES"/>
              </w:rPr>
              <w:tab/>
            </w:r>
            <w:r w:rsidRPr="00BF425F">
              <w:rPr>
                <w:rFonts w:ascii="Arial" w:eastAsia="Calibri" w:hAnsi="Arial" w:cs="Arial"/>
                <w:lang w:val="es-ES"/>
              </w:rPr>
              <w:t xml:space="preserve">la viabilidad técnica, económica, financiera, </w:t>
            </w:r>
            <w:r>
              <w:rPr>
                <w:rFonts w:ascii="Arial" w:eastAsia="Calibri" w:hAnsi="Arial" w:cs="Arial"/>
                <w:lang w:val="es-ES"/>
              </w:rPr>
              <w:t xml:space="preserve">social, ambiental y legal, así </w:t>
            </w:r>
            <w:r w:rsidRPr="00BF425F">
              <w:rPr>
                <w:rFonts w:ascii="Arial" w:eastAsia="Calibri" w:hAnsi="Arial" w:cs="Arial"/>
                <w:lang w:val="es-ES"/>
              </w:rPr>
              <w:t>como el plazo estimado de su ejecución.</w:t>
            </w:r>
          </w:p>
        </w:tc>
      </w:tr>
      <w:tr w:rsidR="00466F0F" w:rsidTr="00466F0F">
        <w:tc>
          <w:tcPr>
            <w:tcW w:w="704" w:type="dxa"/>
          </w:tcPr>
          <w:p w:rsidR="00466F0F" w:rsidRDefault="00466F0F" w:rsidP="00466F0F">
            <w:pPr>
              <w:contextualSpacing/>
              <w:jc w:val="center"/>
              <w:rPr>
                <w:rFonts w:ascii="Arial" w:eastAsia="Calibri" w:hAnsi="Arial" w:cs="Arial"/>
                <w:lang w:val="es-ES"/>
              </w:rPr>
            </w:pPr>
          </w:p>
        </w:tc>
        <w:tc>
          <w:tcPr>
            <w:tcW w:w="9492" w:type="dxa"/>
          </w:tcPr>
          <w:p w:rsidR="00466F0F" w:rsidRPr="00BF425F" w:rsidRDefault="00466F0F" w:rsidP="00466F0F">
            <w:pPr>
              <w:ind w:left="601" w:hanging="567"/>
              <w:contextualSpacing/>
              <w:jc w:val="both"/>
              <w:rPr>
                <w:rFonts w:ascii="Arial" w:eastAsia="Calibri" w:hAnsi="Arial" w:cs="Arial"/>
                <w:lang w:val="es-ES"/>
              </w:rPr>
            </w:pPr>
            <w:r w:rsidRPr="00BF425F">
              <w:rPr>
                <w:rFonts w:ascii="Arial" w:eastAsia="Calibri" w:hAnsi="Arial" w:cs="Arial"/>
                <w:lang w:val="es-ES"/>
              </w:rPr>
              <w:t xml:space="preserve">4.1. </w:t>
            </w:r>
            <w:r>
              <w:rPr>
                <w:rFonts w:ascii="Arial" w:eastAsia="Calibri" w:hAnsi="Arial" w:cs="Arial"/>
                <w:lang w:val="es-ES"/>
              </w:rPr>
              <w:t xml:space="preserve">  </w:t>
            </w:r>
            <w:r w:rsidRPr="00BF425F">
              <w:rPr>
                <w:rFonts w:ascii="Arial" w:eastAsia="Calibri" w:hAnsi="Arial" w:cs="Arial"/>
                <w:lang w:val="es-ES"/>
              </w:rPr>
              <w:t>Aspectos técnicos del proyecto:</w:t>
            </w:r>
            <w:r>
              <w:rPr>
                <w:rFonts w:ascii="Arial" w:eastAsia="Calibri" w:hAnsi="Arial" w:cs="Arial"/>
                <w:lang w:val="es-ES"/>
              </w:rPr>
              <w:t xml:space="preserve"> Se debe sustentar la idoneidad </w:t>
            </w:r>
            <w:r w:rsidRPr="00BF425F">
              <w:rPr>
                <w:rFonts w:ascii="Arial" w:eastAsia="Calibri" w:hAnsi="Arial" w:cs="Arial"/>
                <w:lang w:val="es-ES"/>
              </w:rPr>
              <w:t>y conveniencia del terreno para la ejecución del proyecto.</w:t>
            </w:r>
            <w:r w:rsidRPr="00BF425F">
              <w:rPr>
                <w:rFonts w:ascii="Arial" w:eastAsia="Calibri" w:hAnsi="Arial" w:cs="Arial"/>
                <w:lang w:val="es-ES"/>
              </w:rPr>
              <w:tab/>
            </w:r>
          </w:p>
          <w:p w:rsidR="00466F0F" w:rsidRPr="00BF425F" w:rsidRDefault="00466F0F" w:rsidP="00466F0F">
            <w:pPr>
              <w:ind w:left="601" w:hanging="567"/>
              <w:contextualSpacing/>
              <w:jc w:val="both"/>
              <w:rPr>
                <w:rFonts w:ascii="Arial" w:eastAsia="Calibri" w:hAnsi="Arial" w:cs="Arial"/>
                <w:lang w:val="es-ES"/>
              </w:rPr>
            </w:pPr>
            <w:r w:rsidRPr="00BF425F">
              <w:rPr>
                <w:rFonts w:ascii="Arial" w:eastAsia="Calibri" w:hAnsi="Arial" w:cs="Arial"/>
                <w:lang w:val="es-ES"/>
              </w:rPr>
              <w:tab/>
              <w:t xml:space="preserve">La sustentación del proyecto </w:t>
            </w:r>
            <w:r>
              <w:rPr>
                <w:rFonts w:ascii="Arial" w:eastAsia="Calibri" w:hAnsi="Arial" w:cs="Arial"/>
                <w:lang w:val="es-ES"/>
              </w:rPr>
              <w:t xml:space="preserve">debe considerar el acceso a la </w:t>
            </w:r>
            <w:r w:rsidRPr="00BF425F">
              <w:rPr>
                <w:rFonts w:ascii="Arial" w:eastAsia="Calibri" w:hAnsi="Arial" w:cs="Arial"/>
                <w:lang w:val="es-ES"/>
              </w:rPr>
              <w:t>infraestructura de servicios que las act</w:t>
            </w:r>
            <w:r>
              <w:rPr>
                <w:rFonts w:ascii="Arial" w:eastAsia="Calibri" w:hAnsi="Arial" w:cs="Arial"/>
                <w:lang w:val="es-ES"/>
              </w:rPr>
              <w:t xml:space="preserve">ividades económicas requieran: </w:t>
            </w:r>
            <w:r w:rsidRPr="00BF425F">
              <w:rPr>
                <w:rFonts w:ascii="Arial" w:eastAsia="Calibri" w:hAnsi="Arial" w:cs="Arial"/>
                <w:lang w:val="es-ES"/>
              </w:rPr>
              <w:t>energía, agua, alcantarillado, manejo de aguas residuales, puert</w:t>
            </w:r>
            <w:r>
              <w:rPr>
                <w:rFonts w:ascii="Arial" w:eastAsia="Calibri" w:hAnsi="Arial" w:cs="Arial"/>
                <w:lang w:val="es-ES"/>
              </w:rPr>
              <w:t xml:space="preserve">os, </w:t>
            </w:r>
            <w:r w:rsidRPr="00BF425F">
              <w:rPr>
                <w:rFonts w:ascii="Arial" w:eastAsia="Calibri" w:hAnsi="Arial" w:cs="Arial"/>
                <w:lang w:val="es-ES"/>
              </w:rPr>
              <w:t xml:space="preserve">tipos de vías según lo dispuesto por </w:t>
            </w:r>
            <w:r>
              <w:rPr>
                <w:rFonts w:ascii="Arial" w:eastAsia="Calibri" w:hAnsi="Arial" w:cs="Arial"/>
                <w:lang w:val="es-ES"/>
              </w:rPr>
              <w:t xml:space="preserve">el Ministerio de Transportes y </w:t>
            </w:r>
            <w:r w:rsidRPr="00BF425F">
              <w:rPr>
                <w:rFonts w:ascii="Arial" w:eastAsia="Calibri" w:hAnsi="Arial" w:cs="Arial"/>
                <w:lang w:val="es-ES"/>
              </w:rPr>
              <w:t>Comunicaciones, tratamiento de aguas</w:t>
            </w:r>
            <w:r>
              <w:rPr>
                <w:rFonts w:ascii="Arial" w:eastAsia="Calibri" w:hAnsi="Arial" w:cs="Arial"/>
                <w:lang w:val="es-ES"/>
              </w:rPr>
              <w:t xml:space="preserve"> y de residuos, sin perjudicar </w:t>
            </w:r>
            <w:r w:rsidRPr="00BF425F">
              <w:rPr>
                <w:rFonts w:ascii="Arial" w:eastAsia="Calibri" w:hAnsi="Arial" w:cs="Arial"/>
                <w:lang w:val="es-ES"/>
              </w:rPr>
              <w:t>las condiciones de los servicios básic</w:t>
            </w:r>
            <w:r>
              <w:rPr>
                <w:rFonts w:ascii="Arial" w:eastAsia="Calibri" w:hAnsi="Arial" w:cs="Arial"/>
                <w:lang w:val="es-ES"/>
              </w:rPr>
              <w:t xml:space="preserve">os e inversiones ya existentes </w:t>
            </w:r>
            <w:r w:rsidRPr="00BF425F">
              <w:rPr>
                <w:rFonts w:ascii="Arial" w:eastAsia="Calibri" w:hAnsi="Arial" w:cs="Arial"/>
                <w:lang w:val="es-ES"/>
              </w:rPr>
              <w:t>en su ámbito de influencia. Asimismo, el</w:t>
            </w:r>
            <w:r>
              <w:rPr>
                <w:rFonts w:ascii="Arial" w:eastAsia="Calibri" w:hAnsi="Arial" w:cs="Arial"/>
                <w:lang w:val="es-ES"/>
              </w:rPr>
              <w:t xml:space="preserve"> proyecto deberá acreditar </w:t>
            </w:r>
            <w:r w:rsidRPr="00BF425F">
              <w:rPr>
                <w:rFonts w:ascii="Arial" w:eastAsia="Calibri" w:hAnsi="Arial" w:cs="Arial"/>
                <w:lang w:val="es-ES"/>
              </w:rPr>
              <w:t>que es viable la realización de las activ</w:t>
            </w:r>
            <w:r>
              <w:rPr>
                <w:rFonts w:ascii="Arial" w:eastAsia="Calibri" w:hAnsi="Arial" w:cs="Arial"/>
                <w:lang w:val="es-ES"/>
              </w:rPr>
              <w:t xml:space="preserve">idades industriales propuestas </w:t>
            </w:r>
            <w:r w:rsidRPr="00BF425F">
              <w:rPr>
                <w:rFonts w:ascii="Arial" w:eastAsia="Calibri" w:hAnsi="Arial" w:cs="Arial"/>
                <w:lang w:val="es-ES"/>
              </w:rPr>
              <w:t>en la zona en la que se ejecutará el</w:t>
            </w:r>
            <w:r>
              <w:rPr>
                <w:rFonts w:ascii="Arial" w:eastAsia="Calibri" w:hAnsi="Arial" w:cs="Arial"/>
                <w:lang w:val="es-ES"/>
              </w:rPr>
              <w:t xml:space="preserve"> proyecto y que se ha previsto </w:t>
            </w:r>
            <w:r w:rsidRPr="00BF425F">
              <w:rPr>
                <w:rFonts w:ascii="Arial" w:eastAsia="Calibri" w:hAnsi="Arial" w:cs="Arial"/>
                <w:lang w:val="es-ES"/>
              </w:rPr>
              <w:t>las zonas de amortiguamiento requer</w:t>
            </w:r>
            <w:r>
              <w:rPr>
                <w:rFonts w:ascii="Arial" w:eastAsia="Calibri" w:hAnsi="Arial" w:cs="Arial"/>
                <w:lang w:val="es-ES"/>
              </w:rPr>
              <w:t xml:space="preserve">idas por la normatividad de la </w:t>
            </w:r>
            <w:r w:rsidRPr="00BF425F">
              <w:rPr>
                <w:rFonts w:ascii="Arial" w:eastAsia="Calibri" w:hAnsi="Arial" w:cs="Arial"/>
                <w:lang w:val="es-ES"/>
              </w:rPr>
              <w:t>materia. Asimismo, deberá acreditar que</w:t>
            </w:r>
            <w:r>
              <w:rPr>
                <w:rFonts w:ascii="Arial" w:eastAsia="Calibri" w:hAnsi="Arial" w:cs="Arial"/>
                <w:lang w:val="es-ES"/>
              </w:rPr>
              <w:t xml:space="preserve"> el predio donde se ubicará el </w:t>
            </w:r>
            <w:r w:rsidRPr="00BF425F">
              <w:rPr>
                <w:rFonts w:ascii="Arial" w:eastAsia="Calibri" w:hAnsi="Arial" w:cs="Arial"/>
                <w:lang w:val="es-ES"/>
              </w:rPr>
              <w:t>proyecto cuenta con habilitación para uso industrial.</w:t>
            </w:r>
            <w:r w:rsidRPr="00BF425F">
              <w:rPr>
                <w:rFonts w:ascii="Arial" w:eastAsia="Calibri" w:hAnsi="Arial" w:cs="Arial"/>
                <w:lang w:val="es-ES"/>
              </w:rPr>
              <w:tab/>
            </w:r>
          </w:p>
          <w:p w:rsidR="00466F0F" w:rsidRPr="00BF425F" w:rsidRDefault="00466F0F" w:rsidP="00466F0F">
            <w:pPr>
              <w:ind w:left="601" w:hanging="567"/>
              <w:contextualSpacing/>
              <w:jc w:val="both"/>
              <w:rPr>
                <w:rFonts w:ascii="Arial" w:eastAsia="Calibri" w:hAnsi="Arial" w:cs="Arial"/>
                <w:lang w:val="es-ES"/>
              </w:rPr>
            </w:pPr>
            <w:r w:rsidRPr="00BF425F">
              <w:rPr>
                <w:rFonts w:ascii="Arial" w:eastAsia="Calibri" w:hAnsi="Arial" w:cs="Arial"/>
                <w:lang w:val="es-ES"/>
              </w:rPr>
              <w:tab/>
            </w:r>
            <w:r w:rsidRPr="00BF425F">
              <w:rPr>
                <w:rFonts w:ascii="Arial" w:eastAsia="Calibri" w:hAnsi="Arial" w:cs="Arial"/>
                <w:lang w:val="es-ES"/>
              </w:rPr>
              <w:tab/>
            </w:r>
          </w:p>
          <w:p w:rsidR="00466F0F" w:rsidRPr="00BF425F" w:rsidRDefault="00466F0F" w:rsidP="00466F0F">
            <w:pPr>
              <w:ind w:left="601" w:hanging="567"/>
              <w:contextualSpacing/>
              <w:jc w:val="both"/>
              <w:rPr>
                <w:rFonts w:ascii="Arial" w:eastAsia="Calibri" w:hAnsi="Arial" w:cs="Arial"/>
                <w:lang w:val="es-ES"/>
              </w:rPr>
            </w:pPr>
            <w:r w:rsidRPr="00BF425F">
              <w:rPr>
                <w:rFonts w:ascii="Arial" w:eastAsia="Calibri" w:hAnsi="Arial" w:cs="Arial"/>
                <w:lang w:val="es-ES"/>
              </w:rPr>
              <w:tab/>
              <w:t>Deberán presentar los certificados de factibi</w:t>
            </w:r>
            <w:r>
              <w:rPr>
                <w:rFonts w:ascii="Arial" w:eastAsia="Calibri" w:hAnsi="Arial" w:cs="Arial"/>
                <w:lang w:val="es-ES"/>
              </w:rPr>
              <w:t>lidad de servicio emitidos por</w:t>
            </w:r>
            <w:r>
              <w:rPr>
                <w:rFonts w:ascii="Arial" w:eastAsia="Calibri" w:hAnsi="Arial" w:cs="Arial"/>
                <w:lang w:val="es-ES"/>
              </w:rPr>
              <w:tab/>
              <w:t xml:space="preserve"> </w:t>
            </w:r>
            <w:r w:rsidRPr="00BF425F">
              <w:rPr>
                <w:rFonts w:ascii="Arial" w:eastAsia="Calibri" w:hAnsi="Arial" w:cs="Arial"/>
                <w:lang w:val="es-ES"/>
              </w:rPr>
              <w:t>las empresas prestadoras de los servicios correspondientes.</w:t>
            </w:r>
            <w:r w:rsidRPr="00BF425F">
              <w:rPr>
                <w:rFonts w:ascii="Arial" w:eastAsia="Calibri" w:hAnsi="Arial" w:cs="Arial"/>
                <w:lang w:val="es-ES"/>
              </w:rPr>
              <w:tab/>
            </w:r>
          </w:p>
          <w:p w:rsidR="00466F0F" w:rsidRPr="00BF425F" w:rsidRDefault="00466F0F" w:rsidP="00466F0F">
            <w:pPr>
              <w:ind w:left="601" w:hanging="567"/>
              <w:contextualSpacing/>
              <w:jc w:val="both"/>
              <w:rPr>
                <w:rFonts w:ascii="Arial" w:eastAsia="Calibri" w:hAnsi="Arial" w:cs="Arial"/>
                <w:lang w:val="es-ES"/>
              </w:rPr>
            </w:pPr>
            <w:r w:rsidRPr="00BF425F">
              <w:rPr>
                <w:rFonts w:ascii="Arial" w:eastAsia="Calibri" w:hAnsi="Arial" w:cs="Arial"/>
                <w:lang w:val="es-ES"/>
              </w:rPr>
              <w:tab/>
            </w:r>
            <w:r w:rsidRPr="00BF425F">
              <w:rPr>
                <w:rFonts w:ascii="Arial" w:eastAsia="Calibri" w:hAnsi="Arial" w:cs="Arial"/>
                <w:lang w:val="es-ES"/>
              </w:rPr>
              <w:tab/>
            </w:r>
          </w:p>
          <w:p w:rsidR="00466F0F" w:rsidRPr="00BF425F" w:rsidRDefault="00466F0F" w:rsidP="00466F0F">
            <w:pPr>
              <w:ind w:left="601" w:hanging="567"/>
              <w:contextualSpacing/>
              <w:jc w:val="both"/>
              <w:rPr>
                <w:rFonts w:ascii="Arial" w:eastAsia="Calibri" w:hAnsi="Arial" w:cs="Arial"/>
                <w:lang w:val="es-ES"/>
              </w:rPr>
            </w:pPr>
            <w:r w:rsidRPr="00BF425F">
              <w:rPr>
                <w:rFonts w:ascii="Arial" w:eastAsia="Calibri" w:hAnsi="Arial" w:cs="Arial"/>
                <w:lang w:val="es-ES"/>
              </w:rPr>
              <w:tab/>
              <w:t>Presentación del estudio que acredi</w:t>
            </w:r>
            <w:r>
              <w:rPr>
                <w:rFonts w:ascii="Arial" w:eastAsia="Calibri" w:hAnsi="Arial" w:cs="Arial"/>
                <w:lang w:val="es-ES"/>
              </w:rPr>
              <w:t>te el cumplimiento del Decreto</w:t>
            </w:r>
            <w:r>
              <w:rPr>
                <w:rFonts w:ascii="Arial" w:eastAsia="Calibri" w:hAnsi="Arial" w:cs="Arial"/>
                <w:lang w:val="es-ES"/>
              </w:rPr>
              <w:tab/>
              <w:t xml:space="preserve"> </w:t>
            </w:r>
            <w:r w:rsidRPr="00BF425F">
              <w:rPr>
                <w:rFonts w:ascii="Arial" w:eastAsia="Calibri" w:hAnsi="Arial" w:cs="Arial"/>
                <w:lang w:val="es-ES"/>
              </w:rPr>
              <w:t>Supremo Nº 021-2009-VIVIENDA y e</w:t>
            </w:r>
            <w:r>
              <w:rPr>
                <w:rFonts w:ascii="Arial" w:eastAsia="Calibri" w:hAnsi="Arial" w:cs="Arial"/>
                <w:lang w:val="es-ES"/>
              </w:rPr>
              <w:t>l Decreto Supremo Nº 003-2011-</w:t>
            </w:r>
            <w:r w:rsidRPr="00BF425F">
              <w:rPr>
                <w:rFonts w:ascii="Arial" w:eastAsia="Calibri" w:hAnsi="Arial" w:cs="Arial"/>
                <w:lang w:val="es-ES"/>
              </w:rPr>
              <w:t>VIVIENDA, normatividad vigente rel</w:t>
            </w:r>
            <w:r>
              <w:rPr>
                <w:rFonts w:ascii="Arial" w:eastAsia="Calibri" w:hAnsi="Arial" w:cs="Arial"/>
                <w:lang w:val="es-ES"/>
              </w:rPr>
              <w:t xml:space="preserve">acionada a los Valores Máximos </w:t>
            </w:r>
            <w:r w:rsidRPr="00BF425F">
              <w:rPr>
                <w:rFonts w:ascii="Arial" w:eastAsia="Calibri" w:hAnsi="Arial" w:cs="Arial"/>
                <w:lang w:val="es-ES"/>
              </w:rPr>
              <w:t xml:space="preserve">Admisibles (VMA) de las descargas </w:t>
            </w:r>
            <w:r>
              <w:rPr>
                <w:rFonts w:ascii="Arial" w:eastAsia="Calibri" w:hAnsi="Arial" w:cs="Arial"/>
                <w:lang w:val="es-ES"/>
              </w:rPr>
              <w:t xml:space="preserve">residuales no domésticas en el </w:t>
            </w:r>
            <w:r w:rsidRPr="00BF425F">
              <w:rPr>
                <w:rFonts w:ascii="Arial" w:eastAsia="Calibri" w:hAnsi="Arial" w:cs="Arial"/>
                <w:lang w:val="es-ES"/>
              </w:rPr>
              <w:t>sistema de alcantarillado sanitario.</w:t>
            </w:r>
            <w:r w:rsidRPr="00BF425F">
              <w:rPr>
                <w:rFonts w:ascii="Arial" w:eastAsia="Calibri" w:hAnsi="Arial" w:cs="Arial"/>
                <w:lang w:val="es-ES"/>
              </w:rPr>
              <w:tab/>
            </w:r>
          </w:p>
          <w:p w:rsidR="00466F0F" w:rsidRPr="00BF425F" w:rsidRDefault="00466F0F" w:rsidP="00466F0F">
            <w:pPr>
              <w:ind w:left="601" w:hanging="567"/>
              <w:contextualSpacing/>
              <w:jc w:val="both"/>
              <w:rPr>
                <w:rFonts w:ascii="Arial" w:eastAsia="Calibri" w:hAnsi="Arial" w:cs="Arial"/>
                <w:lang w:val="es-ES"/>
              </w:rPr>
            </w:pPr>
            <w:r w:rsidRPr="00BF425F">
              <w:rPr>
                <w:rFonts w:ascii="Arial" w:eastAsia="Calibri" w:hAnsi="Arial" w:cs="Arial"/>
                <w:lang w:val="es-ES"/>
              </w:rPr>
              <w:tab/>
            </w:r>
            <w:r w:rsidRPr="00BF425F">
              <w:rPr>
                <w:rFonts w:ascii="Arial" w:eastAsia="Calibri" w:hAnsi="Arial" w:cs="Arial"/>
                <w:lang w:val="es-ES"/>
              </w:rPr>
              <w:tab/>
            </w:r>
          </w:p>
          <w:p w:rsidR="00466F0F" w:rsidRDefault="00466F0F" w:rsidP="00466F0F">
            <w:pPr>
              <w:ind w:left="601" w:hanging="567"/>
              <w:contextualSpacing/>
              <w:jc w:val="both"/>
              <w:rPr>
                <w:rFonts w:ascii="Arial" w:eastAsia="Calibri" w:hAnsi="Arial" w:cs="Arial"/>
                <w:lang w:val="es-ES"/>
              </w:rPr>
            </w:pPr>
            <w:r w:rsidRPr="00BF425F">
              <w:rPr>
                <w:rFonts w:ascii="Arial" w:eastAsia="Calibri" w:hAnsi="Arial" w:cs="Arial"/>
                <w:lang w:val="es-ES"/>
              </w:rPr>
              <w:tab/>
              <w:t>Asimismo, deberá considerar los a</w:t>
            </w:r>
            <w:r>
              <w:rPr>
                <w:rFonts w:ascii="Arial" w:eastAsia="Calibri" w:hAnsi="Arial" w:cs="Arial"/>
                <w:lang w:val="es-ES"/>
              </w:rPr>
              <w:t xml:space="preserve">lcances del Decreto Supremo Nº </w:t>
            </w:r>
            <w:r w:rsidRPr="00BF425F">
              <w:rPr>
                <w:rFonts w:ascii="Arial" w:eastAsia="Calibri" w:hAnsi="Arial" w:cs="Arial"/>
                <w:lang w:val="es-ES"/>
              </w:rPr>
              <w:t>008-2013-VIVIENDA, Decreto Suprem</w:t>
            </w:r>
            <w:r>
              <w:rPr>
                <w:rFonts w:ascii="Arial" w:eastAsia="Calibri" w:hAnsi="Arial" w:cs="Arial"/>
                <w:lang w:val="es-ES"/>
              </w:rPr>
              <w:t xml:space="preserve">o 004-2011-VIVIENDA, la Ley Nº </w:t>
            </w:r>
            <w:r w:rsidRPr="00BF425F">
              <w:rPr>
                <w:rFonts w:ascii="Arial" w:eastAsia="Calibri" w:hAnsi="Arial" w:cs="Arial"/>
                <w:lang w:val="es-ES"/>
              </w:rPr>
              <w:t>29090 y su reglamento y normatividad vige</w:t>
            </w:r>
            <w:r>
              <w:rPr>
                <w:rFonts w:ascii="Arial" w:eastAsia="Calibri" w:hAnsi="Arial" w:cs="Arial"/>
                <w:lang w:val="es-ES"/>
              </w:rPr>
              <w:t xml:space="preserve">nte relacionada con el espacio </w:t>
            </w:r>
            <w:r w:rsidRPr="00BF425F">
              <w:rPr>
                <w:rFonts w:ascii="Arial" w:eastAsia="Calibri" w:hAnsi="Arial" w:cs="Arial"/>
                <w:lang w:val="es-ES"/>
              </w:rPr>
              <w:t>físico y los usos del suelo.</w:t>
            </w:r>
          </w:p>
        </w:tc>
      </w:tr>
      <w:tr w:rsidR="00466F0F" w:rsidTr="00466F0F">
        <w:tc>
          <w:tcPr>
            <w:tcW w:w="704" w:type="dxa"/>
          </w:tcPr>
          <w:p w:rsidR="00466F0F" w:rsidRDefault="00466F0F" w:rsidP="00466F0F">
            <w:pPr>
              <w:contextualSpacing/>
              <w:jc w:val="center"/>
              <w:rPr>
                <w:rFonts w:ascii="Arial" w:eastAsia="Calibri" w:hAnsi="Arial" w:cs="Arial"/>
                <w:lang w:val="es-ES"/>
              </w:rPr>
            </w:pPr>
          </w:p>
        </w:tc>
        <w:tc>
          <w:tcPr>
            <w:tcW w:w="9492" w:type="dxa"/>
          </w:tcPr>
          <w:p w:rsidR="00466F0F" w:rsidRPr="00BF425F" w:rsidRDefault="00466F0F" w:rsidP="00466F0F">
            <w:pPr>
              <w:ind w:left="601" w:hanging="567"/>
              <w:contextualSpacing/>
              <w:jc w:val="both"/>
              <w:rPr>
                <w:rFonts w:ascii="Arial" w:eastAsia="Calibri" w:hAnsi="Arial" w:cs="Arial"/>
                <w:lang w:val="es-ES"/>
              </w:rPr>
            </w:pPr>
            <w:r w:rsidRPr="00BF425F">
              <w:rPr>
                <w:rFonts w:ascii="Arial" w:eastAsia="Calibri" w:hAnsi="Arial" w:cs="Arial"/>
                <w:lang w:val="es-ES"/>
              </w:rPr>
              <w:t xml:space="preserve">4.2. </w:t>
            </w:r>
            <w:r>
              <w:rPr>
                <w:rFonts w:ascii="Arial" w:eastAsia="Calibri" w:hAnsi="Arial" w:cs="Arial"/>
                <w:lang w:val="es-ES"/>
              </w:rPr>
              <w:t xml:space="preserve">   </w:t>
            </w:r>
            <w:r w:rsidRPr="00BF425F">
              <w:rPr>
                <w:rFonts w:ascii="Arial" w:eastAsia="Calibri" w:hAnsi="Arial" w:cs="Arial"/>
                <w:lang w:val="es-ES"/>
              </w:rPr>
              <w:t>Aspectos económico-financieros d</w:t>
            </w:r>
            <w:r>
              <w:rPr>
                <w:rFonts w:ascii="Arial" w:eastAsia="Calibri" w:hAnsi="Arial" w:cs="Arial"/>
                <w:lang w:val="es-ES"/>
              </w:rPr>
              <w:t xml:space="preserve">el proyecto: Se deben sustentar </w:t>
            </w:r>
            <w:r w:rsidRPr="00BF425F">
              <w:rPr>
                <w:rFonts w:ascii="Arial" w:eastAsia="Calibri" w:hAnsi="Arial" w:cs="Arial"/>
                <w:lang w:val="es-ES"/>
              </w:rPr>
              <w:t>mediante la utilización de los indicadores</w:t>
            </w:r>
            <w:r>
              <w:rPr>
                <w:rFonts w:ascii="Arial" w:eastAsia="Calibri" w:hAnsi="Arial" w:cs="Arial"/>
                <w:lang w:val="es-ES"/>
              </w:rPr>
              <w:t xml:space="preserve"> de rentabilidad mas aceptados </w:t>
            </w:r>
            <w:r w:rsidRPr="00BF425F">
              <w:rPr>
                <w:rFonts w:ascii="Arial" w:eastAsia="Calibri" w:hAnsi="Arial" w:cs="Arial"/>
                <w:lang w:val="es-ES"/>
              </w:rPr>
              <w:t>(al menos el Valor Actual Neto - VAN y la Relación Beneficio - Costo</w:t>
            </w:r>
            <w:r w:rsidRPr="00BF425F">
              <w:rPr>
                <w:rFonts w:ascii="Arial" w:eastAsia="Calibri" w:hAnsi="Arial" w:cs="Arial"/>
                <w:lang w:val="es-ES"/>
              </w:rPr>
              <w:tab/>
            </w:r>
          </w:p>
          <w:p w:rsidR="00466F0F" w:rsidRPr="001C1C01" w:rsidRDefault="00466F0F" w:rsidP="0092471C">
            <w:pPr>
              <w:pStyle w:val="Prrafodelista"/>
              <w:numPr>
                <w:ilvl w:val="0"/>
                <w:numId w:val="248"/>
              </w:numPr>
              <w:ind w:left="1026"/>
              <w:jc w:val="both"/>
              <w:rPr>
                <w:rFonts w:ascii="Arial" w:eastAsia="Calibri" w:hAnsi="Arial" w:cs="Arial"/>
                <w:lang w:val="es-ES"/>
              </w:rPr>
            </w:pPr>
            <w:r w:rsidRPr="001C1C01">
              <w:rPr>
                <w:rFonts w:ascii="Arial" w:eastAsia="Calibri" w:hAnsi="Arial" w:cs="Arial"/>
                <w:lang w:val="es-ES"/>
              </w:rPr>
              <w:t>B/C). Como mínimo, deberá contener:</w:t>
            </w:r>
            <w:r w:rsidRPr="001C1C01">
              <w:rPr>
                <w:rFonts w:ascii="Arial" w:eastAsia="Calibri" w:hAnsi="Arial" w:cs="Arial"/>
                <w:lang w:val="es-ES"/>
              </w:rPr>
              <w:tab/>
            </w:r>
          </w:p>
          <w:p w:rsidR="00466F0F" w:rsidRPr="001C1C01" w:rsidRDefault="00466F0F" w:rsidP="0092471C">
            <w:pPr>
              <w:pStyle w:val="Prrafodelista"/>
              <w:numPr>
                <w:ilvl w:val="0"/>
                <w:numId w:val="248"/>
              </w:numPr>
              <w:ind w:left="1026"/>
              <w:jc w:val="both"/>
              <w:rPr>
                <w:rFonts w:ascii="Arial" w:eastAsia="Calibri" w:hAnsi="Arial" w:cs="Arial"/>
                <w:lang w:val="es-ES"/>
              </w:rPr>
            </w:pPr>
            <w:r w:rsidRPr="001C1C01">
              <w:rPr>
                <w:rFonts w:ascii="Arial" w:eastAsia="Calibri" w:hAnsi="Arial" w:cs="Arial"/>
                <w:lang w:val="es-ES"/>
              </w:rPr>
              <w:t>Flujo de caja descontado, que demuestre la rentabilidad del proyecto, según los indicadores de rentabilidad económica y financiera mencionados y consideraciones legales y técnicas que el tipo de proyecto requiera.</w:t>
            </w:r>
            <w:r w:rsidRPr="001C1C01">
              <w:rPr>
                <w:rFonts w:ascii="Arial" w:eastAsia="Calibri" w:hAnsi="Arial" w:cs="Arial"/>
                <w:lang w:val="es-ES"/>
              </w:rPr>
              <w:tab/>
            </w:r>
          </w:p>
          <w:p w:rsidR="00466F0F" w:rsidRPr="001C1C01" w:rsidRDefault="00466F0F" w:rsidP="0092471C">
            <w:pPr>
              <w:pStyle w:val="Prrafodelista"/>
              <w:numPr>
                <w:ilvl w:val="0"/>
                <w:numId w:val="248"/>
              </w:numPr>
              <w:ind w:left="1026"/>
              <w:jc w:val="both"/>
              <w:rPr>
                <w:rFonts w:ascii="Arial" w:eastAsia="Calibri" w:hAnsi="Arial" w:cs="Arial"/>
                <w:lang w:val="es-ES"/>
              </w:rPr>
            </w:pPr>
            <w:r w:rsidRPr="001C1C01">
              <w:rPr>
                <w:rFonts w:ascii="Arial" w:eastAsia="Calibri" w:hAnsi="Arial" w:cs="Arial"/>
                <w:lang w:val="es-ES"/>
              </w:rPr>
              <w:t>Estimación de inversiones necesarias y el programa de inversiones detallado.</w:t>
            </w:r>
            <w:r w:rsidRPr="001C1C01">
              <w:rPr>
                <w:rFonts w:ascii="Arial" w:eastAsia="Calibri" w:hAnsi="Arial" w:cs="Arial"/>
                <w:lang w:val="es-ES"/>
              </w:rPr>
              <w:tab/>
            </w:r>
          </w:p>
          <w:p w:rsidR="00466F0F" w:rsidRPr="001C1C01" w:rsidRDefault="00466F0F" w:rsidP="0092471C">
            <w:pPr>
              <w:pStyle w:val="Prrafodelista"/>
              <w:numPr>
                <w:ilvl w:val="0"/>
                <w:numId w:val="248"/>
              </w:numPr>
              <w:ind w:left="1026"/>
              <w:jc w:val="both"/>
              <w:rPr>
                <w:rFonts w:ascii="Arial" w:eastAsia="Calibri" w:hAnsi="Arial" w:cs="Arial"/>
                <w:lang w:val="es-ES"/>
              </w:rPr>
            </w:pPr>
            <w:r w:rsidRPr="001C1C01">
              <w:rPr>
                <w:rFonts w:ascii="Arial" w:eastAsia="Calibri" w:hAnsi="Arial" w:cs="Arial"/>
                <w:lang w:val="es-ES"/>
              </w:rPr>
              <w:t>Estimación de la generación de empleos di</w:t>
            </w:r>
            <w:r>
              <w:rPr>
                <w:rFonts w:ascii="Arial" w:eastAsia="Calibri" w:hAnsi="Arial" w:cs="Arial"/>
                <w:lang w:val="es-ES"/>
              </w:rPr>
              <w:t xml:space="preserve">rectos e indirectos y de otros </w:t>
            </w:r>
            <w:r w:rsidRPr="001C1C01">
              <w:rPr>
                <w:rFonts w:ascii="Arial" w:eastAsia="Calibri" w:hAnsi="Arial" w:cs="Arial"/>
                <w:lang w:val="es-ES"/>
              </w:rPr>
              <w:t>beneficios relevantes para la zona de influencia en que éste se ejecute.</w:t>
            </w:r>
            <w:r w:rsidRPr="001C1C01">
              <w:rPr>
                <w:rFonts w:ascii="Arial" w:eastAsia="Calibri" w:hAnsi="Arial" w:cs="Arial"/>
                <w:lang w:val="es-ES"/>
              </w:rPr>
              <w:tab/>
            </w:r>
          </w:p>
          <w:p w:rsidR="00466F0F" w:rsidRDefault="00466F0F" w:rsidP="00466F0F">
            <w:pPr>
              <w:contextualSpacing/>
              <w:jc w:val="both"/>
              <w:rPr>
                <w:rFonts w:ascii="Arial" w:eastAsia="Calibri" w:hAnsi="Arial" w:cs="Arial"/>
                <w:lang w:val="es-ES"/>
              </w:rPr>
            </w:pPr>
          </w:p>
        </w:tc>
      </w:tr>
      <w:tr w:rsidR="00466F0F" w:rsidTr="00466F0F">
        <w:tc>
          <w:tcPr>
            <w:tcW w:w="704" w:type="dxa"/>
          </w:tcPr>
          <w:p w:rsidR="00466F0F" w:rsidRDefault="00466F0F" w:rsidP="00466F0F">
            <w:pPr>
              <w:contextualSpacing/>
              <w:jc w:val="center"/>
              <w:rPr>
                <w:rFonts w:ascii="Arial" w:eastAsia="Calibri" w:hAnsi="Arial" w:cs="Arial"/>
                <w:lang w:val="es-ES"/>
              </w:rPr>
            </w:pPr>
          </w:p>
        </w:tc>
        <w:tc>
          <w:tcPr>
            <w:tcW w:w="9492" w:type="dxa"/>
          </w:tcPr>
          <w:p w:rsidR="00466F0F" w:rsidRPr="00BF425F" w:rsidRDefault="00466F0F" w:rsidP="00466F0F">
            <w:pPr>
              <w:ind w:left="601" w:hanging="601"/>
              <w:contextualSpacing/>
              <w:jc w:val="both"/>
              <w:rPr>
                <w:rFonts w:ascii="Arial" w:eastAsia="Calibri" w:hAnsi="Arial" w:cs="Arial"/>
                <w:lang w:val="es-ES"/>
              </w:rPr>
            </w:pPr>
            <w:r w:rsidRPr="00BF425F">
              <w:rPr>
                <w:rFonts w:ascii="Arial" w:eastAsia="Calibri" w:hAnsi="Arial" w:cs="Arial"/>
                <w:lang w:val="es-ES"/>
              </w:rPr>
              <w:t xml:space="preserve">4.3. </w:t>
            </w:r>
            <w:r>
              <w:rPr>
                <w:rFonts w:ascii="Arial" w:eastAsia="Calibri" w:hAnsi="Arial" w:cs="Arial"/>
                <w:lang w:val="es-ES"/>
              </w:rPr>
              <w:t xml:space="preserve">   </w:t>
            </w:r>
            <w:r w:rsidRPr="00BF425F">
              <w:rPr>
                <w:rFonts w:ascii="Arial" w:eastAsia="Calibri" w:hAnsi="Arial" w:cs="Arial"/>
                <w:lang w:val="es-ES"/>
              </w:rPr>
              <w:t>Aspectos legales del proyecto: S</w:t>
            </w:r>
            <w:r>
              <w:rPr>
                <w:rFonts w:ascii="Arial" w:eastAsia="Calibri" w:hAnsi="Arial" w:cs="Arial"/>
                <w:lang w:val="es-ES"/>
              </w:rPr>
              <w:t xml:space="preserve">e debe sustentar con la partida </w:t>
            </w:r>
            <w:r w:rsidRPr="00BF425F">
              <w:rPr>
                <w:rFonts w:ascii="Arial" w:eastAsia="Calibri" w:hAnsi="Arial" w:cs="Arial"/>
                <w:lang w:val="es-ES"/>
              </w:rPr>
              <w:t>registral acreditando la titularidad del bien</w:t>
            </w:r>
            <w:r>
              <w:rPr>
                <w:rFonts w:ascii="Arial" w:eastAsia="Calibri" w:hAnsi="Arial" w:cs="Arial"/>
                <w:lang w:val="es-ES"/>
              </w:rPr>
              <w:t xml:space="preserve">, la misma que no deberá tener </w:t>
            </w:r>
            <w:r w:rsidRPr="00BF425F">
              <w:rPr>
                <w:rFonts w:ascii="Arial" w:eastAsia="Calibri" w:hAnsi="Arial" w:cs="Arial"/>
                <w:lang w:val="es-ES"/>
              </w:rPr>
              <w:t>una antigüedad mayor a 30 días de haber sido expedido por la SUNARP.</w:t>
            </w:r>
            <w:r w:rsidRPr="00BF425F">
              <w:rPr>
                <w:rFonts w:ascii="Arial" w:eastAsia="Calibri" w:hAnsi="Arial" w:cs="Arial"/>
                <w:lang w:val="es-ES"/>
              </w:rPr>
              <w:tab/>
            </w:r>
          </w:p>
          <w:p w:rsidR="00466F0F" w:rsidRPr="00BF425F" w:rsidRDefault="00466F0F" w:rsidP="00466F0F">
            <w:pPr>
              <w:ind w:left="601" w:hanging="601"/>
              <w:contextualSpacing/>
              <w:jc w:val="both"/>
              <w:rPr>
                <w:rFonts w:ascii="Arial" w:eastAsia="Calibri" w:hAnsi="Arial" w:cs="Arial"/>
                <w:lang w:val="es-ES"/>
              </w:rPr>
            </w:pPr>
            <w:r w:rsidRPr="00BF425F">
              <w:rPr>
                <w:rFonts w:ascii="Arial" w:eastAsia="Calibri" w:hAnsi="Arial" w:cs="Arial"/>
                <w:lang w:val="es-ES"/>
              </w:rPr>
              <w:tab/>
              <w:t>Asimismo, se debe presentar documentac</w:t>
            </w:r>
            <w:r>
              <w:rPr>
                <w:rFonts w:ascii="Arial" w:eastAsia="Calibri" w:hAnsi="Arial" w:cs="Arial"/>
                <w:lang w:val="es-ES"/>
              </w:rPr>
              <w:t>ión sustentando la voluntad de</w:t>
            </w:r>
            <w:r>
              <w:rPr>
                <w:rFonts w:ascii="Arial" w:eastAsia="Calibri" w:hAnsi="Arial" w:cs="Arial"/>
                <w:lang w:val="es-ES"/>
              </w:rPr>
              <w:tab/>
            </w:r>
            <w:r w:rsidRPr="00BF425F">
              <w:rPr>
                <w:rFonts w:ascii="Arial" w:eastAsia="Calibri" w:hAnsi="Arial" w:cs="Arial"/>
                <w:lang w:val="es-ES"/>
              </w:rPr>
              <w:t>la</w:t>
            </w:r>
            <w:r>
              <w:rPr>
                <w:rFonts w:ascii="Arial" w:eastAsia="Calibri" w:hAnsi="Arial" w:cs="Arial"/>
                <w:lang w:val="es-ES"/>
              </w:rPr>
              <w:t xml:space="preserve"> entidad </w:t>
            </w:r>
            <w:r w:rsidRPr="00BF425F">
              <w:rPr>
                <w:rFonts w:ascii="Arial" w:eastAsia="Calibri" w:hAnsi="Arial" w:cs="Arial"/>
                <w:lang w:val="es-ES"/>
              </w:rPr>
              <w:t>titular del bien, para venderlo.</w:t>
            </w:r>
            <w:r w:rsidRPr="00BF425F">
              <w:rPr>
                <w:rFonts w:ascii="Arial" w:eastAsia="Calibri" w:hAnsi="Arial" w:cs="Arial"/>
                <w:lang w:val="es-ES"/>
              </w:rPr>
              <w:tab/>
            </w:r>
          </w:p>
          <w:p w:rsidR="00466F0F" w:rsidRDefault="00466F0F" w:rsidP="00466F0F">
            <w:pPr>
              <w:contextualSpacing/>
              <w:jc w:val="both"/>
              <w:rPr>
                <w:rFonts w:ascii="Arial" w:eastAsia="Calibri" w:hAnsi="Arial" w:cs="Arial"/>
                <w:lang w:val="es-ES"/>
              </w:rPr>
            </w:pPr>
          </w:p>
        </w:tc>
      </w:tr>
      <w:tr w:rsidR="00466F0F" w:rsidTr="00466F0F">
        <w:tc>
          <w:tcPr>
            <w:tcW w:w="704" w:type="dxa"/>
          </w:tcPr>
          <w:p w:rsidR="00466F0F" w:rsidRDefault="00466F0F" w:rsidP="00466F0F">
            <w:pPr>
              <w:contextualSpacing/>
              <w:jc w:val="center"/>
              <w:rPr>
                <w:rFonts w:ascii="Arial" w:eastAsia="Calibri" w:hAnsi="Arial" w:cs="Arial"/>
                <w:lang w:val="es-ES"/>
              </w:rPr>
            </w:pPr>
          </w:p>
        </w:tc>
        <w:tc>
          <w:tcPr>
            <w:tcW w:w="9492" w:type="dxa"/>
          </w:tcPr>
          <w:p w:rsidR="00466F0F" w:rsidRDefault="00466F0F" w:rsidP="00466F0F">
            <w:pPr>
              <w:ind w:left="601" w:hanging="601"/>
              <w:contextualSpacing/>
              <w:jc w:val="both"/>
              <w:rPr>
                <w:rFonts w:ascii="Arial" w:eastAsia="Calibri" w:hAnsi="Arial" w:cs="Arial"/>
                <w:lang w:val="es-ES"/>
              </w:rPr>
            </w:pPr>
            <w:r w:rsidRPr="00BF425F">
              <w:rPr>
                <w:rFonts w:ascii="Arial" w:eastAsia="Calibri" w:hAnsi="Arial" w:cs="Arial"/>
                <w:lang w:val="es-ES"/>
              </w:rPr>
              <w:t xml:space="preserve">4.4. </w:t>
            </w:r>
            <w:r>
              <w:rPr>
                <w:rFonts w:ascii="Arial" w:eastAsia="Calibri" w:hAnsi="Arial" w:cs="Arial"/>
                <w:lang w:val="es-ES"/>
              </w:rPr>
              <w:t xml:space="preserve">   </w:t>
            </w:r>
            <w:r w:rsidRPr="00BF425F">
              <w:rPr>
                <w:rFonts w:ascii="Arial" w:eastAsia="Calibri" w:hAnsi="Arial" w:cs="Arial"/>
                <w:lang w:val="es-ES"/>
              </w:rPr>
              <w:t>Aspectos ambientales del proyecto</w:t>
            </w:r>
            <w:r>
              <w:rPr>
                <w:rFonts w:ascii="Arial" w:eastAsia="Calibri" w:hAnsi="Arial" w:cs="Arial"/>
                <w:lang w:val="es-ES"/>
              </w:rPr>
              <w:t xml:space="preserve">: El proyecto deberá contar con </w:t>
            </w:r>
            <w:r w:rsidRPr="00BF425F">
              <w:rPr>
                <w:rFonts w:ascii="Arial" w:eastAsia="Calibri" w:hAnsi="Arial" w:cs="Arial"/>
                <w:lang w:val="es-ES"/>
              </w:rPr>
              <w:t>un componente de manejo ambienta</w:t>
            </w:r>
            <w:r>
              <w:rPr>
                <w:rFonts w:ascii="Arial" w:eastAsia="Calibri" w:hAnsi="Arial" w:cs="Arial"/>
                <w:lang w:val="es-ES"/>
              </w:rPr>
              <w:t xml:space="preserve">l responsable. Dicho documento </w:t>
            </w:r>
            <w:r w:rsidRPr="00BF425F">
              <w:rPr>
                <w:rFonts w:ascii="Arial" w:eastAsia="Calibri" w:hAnsi="Arial" w:cs="Arial"/>
                <w:lang w:val="es-ES"/>
              </w:rPr>
              <w:t>no exime al administrado de ob</w:t>
            </w:r>
            <w:r>
              <w:rPr>
                <w:rFonts w:ascii="Arial" w:eastAsia="Calibri" w:hAnsi="Arial" w:cs="Arial"/>
                <w:lang w:val="es-ES"/>
              </w:rPr>
              <w:t xml:space="preserve">tener, en una etapa posterior, </w:t>
            </w:r>
            <w:r w:rsidRPr="00BF425F">
              <w:rPr>
                <w:rFonts w:ascii="Arial" w:eastAsia="Calibri" w:hAnsi="Arial" w:cs="Arial"/>
                <w:lang w:val="es-ES"/>
              </w:rPr>
              <w:t>la certificación ambiental del pro</w:t>
            </w:r>
            <w:r>
              <w:rPr>
                <w:rFonts w:ascii="Arial" w:eastAsia="Calibri" w:hAnsi="Arial" w:cs="Arial"/>
                <w:lang w:val="es-ES"/>
              </w:rPr>
              <w:t>yecto emitida por la autoridad</w:t>
            </w:r>
            <w:r>
              <w:rPr>
                <w:rFonts w:ascii="Arial" w:eastAsia="Calibri" w:hAnsi="Arial" w:cs="Arial"/>
                <w:lang w:val="es-ES"/>
              </w:rPr>
              <w:tab/>
              <w:t xml:space="preserve"> </w:t>
            </w:r>
            <w:r w:rsidRPr="00BF425F">
              <w:rPr>
                <w:rFonts w:ascii="Arial" w:eastAsia="Calibri" w:hAnsi="Arial" w:cs="Arial"/>
                <w:lang w:val="es-ES"/>
              </w:rPr>
              <w:t>competente correspondiente a las c</w:t>
            </w:r>
            <w:r>
              <w:rPr>
                <w:rFonts w:ascii="Arial" w:eastAsia="Calibri" w:hAnsi="Arial" w:cs="Arial"/>
                <w:lang w:val="es-ES"/>
              </w:rPr>
              <w:t xml:space="preserve">aracterísticas específicas del </w:t>
            </w:r>
            <w:r w:rsidRPr="00BF425F">
              <w:rPr>
                <w:rFonts w:ascii="Arial" w:eastAsia="Calibri" w:hAnsi="Arial" w:cs="Arial"/>
                <w:lang w:val="es-ES"/>
              </w:rPr>
              <w:t>proyecto industrial.</w:t>
            </w:r>
          </w:p>
        </w:tc>
      </w:tr>
      <w:tr w:rsidR="00466F0F" w:rsidTr="00466F0F">
        <w:tc>
          <w:tcPr>
            <w:tcW w:w="704" w:type="dxa"/>
          </w:tcPr>
          <w:p w:rsidR="00466F0F" w:rsidRDefault="00466F0F" w:rsidP="00466F0F">
            <w:pPr>
              <w:contextualSpacing/>
              <w:jc w:val="center"/>
              <w:rPr>
                <w:rFonts w:ascii="Arial" w:eastAsia="Calibri" w:hAnsi="Arial" w:cs="Arial"/>
                <w:lang w:val="es-ES"/>
              </w:rPr>
            </w:pPr>
            <w:r>
              <w:rPr>
                <w:rFonts w:ascii="Arial" w:eastAsia="Calibri" w:hAnsi="Arial" w:cs="Arial"/>
                <w:lang w:val="es-ES"/>
              </w:rPr>
              <w:t>5</w:t>
            </w:r>
          </w:p>
        </w:tc>
        <w:tc>
          <w:tcPr>
            <w:tcW w:w="9492" w:type="dxa"/>
          </w:tcPr>
          <w:p w:rsidR="00466F0F" w:rsidRDefault="00466F0F" w:rsidP="00466F0F">
            <w:pPr>
              <w:ind w:left="34"/>
              <w:contextualSpacing/>
              <w:jc w:val="both"/>
              <w:rPr>
                <w:rFonts w:ascii="Arial" w:eastAsia="Calibri" w:hAnsi="Arial" w:cs="Arial"/>
                <w:lang w:val="es-ES"/>
              </w:rPr>
            </w:pPr>
            <w:r w:rsidRPr="00BF425F">
              <w:rPr>
                <w:rFonts w:ascii="Arial" w:eastAsia="Calibri" w:hAnsi="Arial" w:cs="Arial"/>
                <w:lang w:val="es-ES"/>
              </w:rPr>
              <w:t>El Ministerio de la Producción deber</w:t>
            </w:r>
            <w:r>
              <w:rPr>
                <w:rFonts w:ascii="Arial" w:eastAsia="Calibri" w:hAnsi="Arial" w:cs="Arial"/>
                <w:lang w:val="es-ES"/>
              </w:rPr>
              <w:t xml:space="preserve">á informar al Gobierno Regional </w:t>
            </w:r>
            <w:r w:rsidRPr="00BF425F">
              <w:rPr>
                <w:rFonts w:ascii="Arial" w:eastAsia="Calibri" w:hAnsi="Arial" w:cs="Arial"/>
                <w:lang w:val="es-ES"/>
              </w:rPr>
              <w:t>correspondiente, el hecho de la presentación de un</w:t>
            </w:r>
            <w:r>
              <w:rPr>
                <w:rFonts w:ascii="Arial" w:eastAsia="Calibri" w:hAnsi="Arial" w:cs="Arial"/>
                <w:lang w:val="es-ES"/>
              </w:rPr>
              <w:t xml:space="preserve">a solicitud de declaratoria de </w:t>
            </w:r>
            <w:r w:rsidRPr="00BF425F">
              <w:rPr>
                <w:rFonts w:ascii="Arial" w:eastAsia="Calibri" w:hAnsi="Arial" w:cs="Arial"/>
                <w:lang w:val="es-ES"/>
              </w:rPr>
              <w:t>interés nacional de un proyecto industrial en su jurisdicción.</w:t>
            </w:r>
          </w:p>
        </w:tc>
      </w:tr>
      <w:tr w:rsidR="00466F0F" w:rsidTr="00466F0F">
        <w:tc>
          <w:tcPr>
            <w:tcW w:w="704" w:type="dxa"/>
          </w:tcPr>
          <w:p w:rsidR="00466F0F" w:rsidRDefault="00466F0F" w:rsidP="00466F0F">
            <w:pPr>
              <w:contextualSpacing/>
              <w:jc w:val="center"/>
              <w:rPr>
                <w:rFonts w:ascii="Arial" w:eastAsia="Calibri" w:hAnsi="Arial" w:cs="Arial"/>
                <w:lang w:val="es-ES"/>
              </w:rPr>
            </w:pPr>
            <w:r>
              <w:rPr>
                <w:rFonts w:ascii="Arial" w:eastAsia="Calibri" w:hAnsi="Arial" w:cs="Arial"/>
                <w:lang w:val="es-ES"/>
              </w:rPr>
              <w:t>6</w:t>
            </w:r>
          </w:p>
        </w:tc>
        <w:tc>
          <w:tcPr>
            <w:tcW w:w="9492" w:type="dxa"/>
          </w:tcPr>
          <w:p w:rsidR="00466F0F" w:rsidRPr="00BF425F" w:rsidRDefault="00466F0F" w:rsidP="00466F0F">
            <w:pPr>
              <w:ind w:left="34"/>
              <w:contextualSpacing/>
              <w:jc w:val="both"/>
              <w:rPr>
                <w:rFonts w:ascii="Arial" w:eastAsia="Calibri" w:hAnsi="Arial" w:cs="Arial"/>
                <w:lang w:val="es-ES"/>
              </w:rPr>
            </w:pPr>
            <w:r w:rsidRPr="00BF425F">
              <w:rPr>
                <w:rFonts w:ascii="Arial" w:eastAsia="Calibri" w:hAnsi="Arial" w:cs="Arial"/>
                <w:lang w:val="es-ES"/>
              </w:rPr>
              <w:t>La declaración de interés nacional se</w:t>
            </w:r>
            <w:r>
              <w:rPr>
                <w:rFonts w:ascii="Arial" w:eastAsia="Calibri" w:hAnsi="Arial" w:cs="Arial"/>
                <w:lang w:val="es-ES"/>
              </w:rPr>
              <w:t xml:space="preserve"> mantendrá en tanto el proyecto </w:t>
            </w:r>
            <w:r w:rsidRPr="00BF425F">
              <w:rPr>
                <w:rFonts w:ascii="Arial" w:eastAsia="Calibri" w:hAnsi="Arial" w:cs="Arial"/>
                <w:lang w:val="es-ES"/>
              </w:rPr>
              <w:t>aprobado cumpla con sus fines. En ese sent</w:t>
            </w:r>
            <w:r>
              <w:rPr>
                <w:rFonts w:ascii="Arial" w:eastAsia="Calibri" w:hAnsi="Arial" w:cs="Arial"/>
                <w:lang w:val="es-ES"/>
              </w:rPr>
              <w:t xml:space="preserve">ido, la declaración de interés </w:t>
            </w:r>
            <w:r w:rsidRPr="00BF425F">
              <w:rPr>
                <w:rFonts w:ascii="Arial" w:eastAsia="Calibri" w:hAnsi="Arial" w:cs="Arial"/>
                <w:lang w:val="es-ES"/>
              </w:rPr>
              <w:t>nacional contendrá una cláusula de reve</w:t>
            </w:r>
            <w:r>
              <w:rPr>
                <w:rFonts w:ascii="Arial" w:eastAsia="Calibri" w:hAnsi="Arial" w:cs="Arial"/>
                <w:lang w:val="es-ES"/>
              </w:rPr>
              <w:t xml:space="preserve">rsión en la que se establecerá </w:t>
            </w:r>
            <w:r w:rsidRPr="00BF425F">
              <w:rPr>
                <w:rFonts w:ascii="Arial" w:eastAsia="Calibri" w:hAnsi="Arial" w:cs="Arial"/>
                <w:lang w:val="es-ES"/>
              </w:rPr>
              <w:t>para la ejecución del proyecto, un plaz</w:t>
            </w:r>
            <w:r>
              <w:rPr>
                <w:rFonts w:ascii="Arial" w:eastAsia="Calibri" w:hAnsi="Arial" w:cs="Arial"/>
                <w:lang w:val="es-ES"/>
              </w:rPr>
              <w:t xml:space="preserve">o máximo de dos años, contados </w:t>
            </w:r>
            <w:r w:rsidRPr="00BF425F">
              <w:rPr>
                <w:rFonts w:ascii="Arial" w:eastAsia="Calibri" w:hAnsi="Arial" w:cs="Arial"/>
                <w:lang w:val="es-ES"/>
              </w:rPr>
              <w:t>desde la fecha de la emisión de la Resolución Ministerial.</w:t>
            </w:r>
            <w:r w:rsidRPr="00BF425F">
              <w:rPr>
                <w:rFonts w:ascii="Arial" w:eastAsia="Calibri" w:hAnsi="Arial" w:cs="Arial"/>
                <w:lang w:val="es-ES"/>
              </w:rPr>
              <w:tab/>
            </w:r>
          </w:p>
          <w:p w:rsidR="00466F0F" w:rsidRPr="00BF425F" w:rsidRDefault="00466F0F" w:rsidP="00466F0F">
            <w:pPr>
              <w:ind w:left="34"/>
              <w:contextualSpacing/>
              <w:jc w:val="both"/>
              <w:rPr>
                <w:rFonts w:ascii="Arial" w:eastAsia="Calibri" w:hAnsi="Arial" w:cs="Arial"/>
                <w:lang w:val="es-ES"/>
              </w:rPr>
            </w:pPr>
            <w:r w:rsidRPr="00BF425F">
              <w:rPr>
                <w:rFonts w:ascii="Arial" w:eastAsia="Calibri" w:hAnsi="Arial" w:cs="Arial"/>
                <w:lang w:val="es-ES"/>
              </w:rPr>
              <w:tab/>
            </w:r>
            <w:r w:rsidRPr="00BF425F">
              <w:rPr>
                <w:rFonts w:ascii="Arial" w:eastAsia="Calibri" w:hAnsi="Arial" w:cs="Arial"/>
                <w:lang w:val="es-ES"/>
              </w:rPr>
              <w:tab/>
            </w:r>
          </w:p>
          <w:p w:rsidR="00466F0F" w:rsidRPr="00BF425F" w:rsidRDefault="00466F0F" w:rsidP="00466F0F">
            <w:pPr>
              <w:ind w:left="34"/>
              <w:contextualSpacing/>
              <w:jc w:val="both"/>
              <w:rPr>
                <w:rFonts w:ascii="Arial" w:eastAsia="Calibri" w:hAnsi="Arial" w:cs="Arial"/>
                <w:lang w:val="es-ES"/>
              </w:rPr>
            </w:pPr>
            <w:r w:rsidRPr="00BF425F">
              <w:rPr>
                <w:rFonts w:ascii="Arial" w:eastAsia="Calibri" w:hAnsi="Arial" w:cs="Arial"/>
                <w:lang w:val="es-ES"/>
              </w:rPr>
              <w:t>Asimismo, incluirá dos artículos: el pri</w:t>
            </w:r>
            <w:r>
              <w:rPr>
                <w:rFonts w:ascii="Arial" w:eastAsia="Calibri" w:hAnsi="Arial" w:cs="Arial"/>
                <w:lang w:val="es-ES"/>
              </w:rPr>
              <w:t>mero señalando expresamente la</w:t>
            </w:r>
            <w:r>
              <w:rPr>
                <w:rFonts w:ascii="Arial" w:eastAsia="Calibri" w:hAnsi="Arial" w:cs="Arial"/>
                <w:lang w:val="es-ES"/>
              </w:rPr>
              <w:tab/>
            </w:r>
            <w:r w:rsidRPr="00BF425F">
              <w:rPr>
                <w:rFonts w:ascii="Arial" w:eastAsia="Calibri" w:hAnsi="Arial" w:cs="Arial"/>
                <w:lang w:val="es-ES"/>
              </w:rPr>
              <w:t>prohibición del uso, total o parcial, del ter</w:t>
            </w:r>
            <w:r>
              <w:rPr>
                <w:rFonts w:ascii="Arial" w:eastAsia="Calibri" w:hAnsi="Arial" w:cs="Arial"/>
                <w:lang w:val="es-ES"/>
              </w:rPr>
              <w:t xml:space="preserve">reno, para fines de vivienda u </w:t>
            </w:r>
            <w:r w:rsidRPr="00BF425F">
              <w:rPr>
                <w:rFonts w:ascii="Arial" w:eastAsia="Calibri" w:hAnsi="Arial" w:cs="Arial"/>
                <w:lang w:val="es-ES"/>
              </w:rPr>
              <w:t>otros fines incompatibles a los industriales</w:t>
            </w:r>
            <w:r>
              <w:rPr>
                <w:rFonts w:ascii="Arial" w:eastAsia="Calibri" w:hAnsi="Arial" w:cs="Arial"/>
                <w:lang w:val="es-ES"/>
              </w:rPr>
              <w:t xml:space="preserve">; y el segundo, precisando que </w:t>
            </w:r>
            <w:r w:rsidRPr="00BF425F">
              <w:rPr>
                <w:rFonts w:ascii="Arial" w:eastAsia="Calibri" w:hAnsi="Arial" w:cs="Arial"/>
                <w:lang w:val="es-ES"/>
              </w:rPr>
              <w:t>la declaración de interés nacional del pr</w:t>
            </w:r>
            <w:r>
              <w:rPr>
                <w:rFonts w:ascii="Arial" w:eastAsia="Calibri" w:hAnsi="Arial" w:cs="Arial"/>
                <w:lang w:val="es-ES"/>
              </w:rPr>
              <w:t xml:space="preserve">oyecto no se puede interpretar </w:t>
            </w:r>
            <w:r w:rsidRPr="00BF425F">
              <w:rPr>
                <w:rFonts w:ascii="Arial" w:eastAsia="Calibri" w:hAnsi="Arial" w:cs="Arial"/>
                <w:lang w:val="es-ES"/>
              </w:rPr>
              <w:t>como una autorización definitiva de la ejecu</w:t>
            </w:r>
            <w:r>
              <w:rPr>
                <w:rFonts w:ascii="Arial" w:eastAsia="Calibri" w:hAnsi="Arial" w:cs="Arial"/>
                <w:lang w:val="es-ES"/>
              </w:rPr>
              <w:t xml:space="preserve">ción del proyecto, debiendo el </w:t>
            </w:r>
            <w:r w:rsidRPr="00BF425F">
              <w:rPr>
                <w:rFonts w:ascii="Arial" w:eastAsia="Calibri" w:hAnsi="Arial" w:cs="Arial"/>
                <w:lang w:val="es-ES"/>
              </w:rPr>
              <w:t>administrado realizar las acciones correspondientes ante las autoridad</w:t>
            </w:r>
            <w:r>
              <w:rPr>
                <w:rFonts w:ascii="Arial" w:eastAsia="Calibri" w:hAnsi="Arial" w:cs="Arial"/>
                <w:lang w:val="es-ES"/>
              </w:rPr>
              <w:t xml:space="preserve">es </w:t>
            </w:r>
            <w:r w:rsidRPr="00BF425F">
              <w:rPr>
                <w:rFonts w:ascii="Arial" w:eastAsia="Calibri" w:hAnsi="Arial" w:cs="Arial"/>
                <w:lang w:val="es-ES"/>
              </w:rPr>
              <w:t>competentes a fin de obtener las licencia</w:t>
            </w:r>
            <w:r>
              <w:rPr>
                <w:rFonts w:ascii="Arial" w:eastAsia="Calibri" w:hAnsi="Arial" w:cs="Arial"/>
                <w:lang w:val="es-ES"/>
              </w:rPr>
              <w:t xml:space="preserve">s, permisos y/o autorizaciones </w:t>
            </w:r>
            <w:r w:rsidRPr="00BF425F">
              <w:rPr>
                <w:rFonts w:ascii="Arial" w:eastAsia="Calibri" w:hAnsi="Arial" w:cs="Arial"/>
                <w:lang w:val="es-ES"/>
              </w:rPr>
              <w:t>administrativas de acuerdo al marco legal vigente.</w:t>
            </w:r>
            <w:r w:rsidRPr="00BF425F">
              <w:rPr>
                <w:rFonts w:ascii="Arial" w:eastAsia="Calibri" w:hAnsi="Arial" w:cs="Arial"/>
                <w:lang w:val="es-ES"/>
              </w:rPr>
              <w:tab/>
            </w:r>
          </w:p>
          <w:p w:rsidR="00466F0F" w:rsidRDefault="00466F0F" w:rsidP="00466F0F">
            <w:pPr>
              <w:ind w:left="34"/>
              <w:contextualSpacing/>
              <w:jc w:val="both"/>
              <w:rPr>
                <w:rFonts w:ascii="Arial" w:eastAsia="Calibri" w:hAnsi="Arial" w:cs="Arial"/>
                <w:lang w:val="es-ES"/>
              </w:rPr>
            </w:pPr>
          </w:p>
        </w:tc>
      </w:tr>
      <w:tr w:rsidR="00466F0F" w:rsidTr="00466F0F">
        <w:tc>
          <w:tcPr>
            <w:tcW w:w="704" w:type="dxa"/>
          </w:tcPr>
          <w:p w:rsidR="00466F0F" w:rsidRDefault="00466F0F" w:rsidP="00466F0F">
            <w:pPr>
              <w:contextualSpacing/>
              <w:jc w:val="center"/>
              <w:rPr>
                <w:rFonts w:ascii="Arial" w:eastAsia="Calibri" w:hAnsi="Arial" w:cs="Arial"/>
                <w:lang w:val="es-ES"/>
              </w:rPr>
            </w:pPr>
            <w:r>
              <w:rPr>
                <w:rFonts w:ascii="Arial" w:eastAsia="Calibri" w:hAnsi="Arial" w:cs="Arial"/>
                <w:lang w:val="es-ES"/>
              </w:rPr>
              <w:t>7</w:t>
            </w:r>
          </w:p>
        </w:tc>
        <w:tc>
          <w:tcPr>
            <w:tcW w:w="9492" w:type="dxa"/>
          </w:tcPr>
          <w:p w:rsidR="00466F0F" w:rsidRPr="00BF425F" w:rsidRDefault="00466F0F" w:rsidP="00466F0F">
            <w:pPr>
              <w:ind w:left="34"/>
              <w:contextualSpacing/>
              <w:jc w:val="both"/>
              <w:rPr>
                <w:rFonts w:ascii="Arial" w:eastAsia="Calibri" w:hAnsi="Arial" w:cs="Arial"/>
                <w:lang w:val="es-ES"/>
              </w:rPr>
            </w:pPr>
            <w:r w:rsidRPr="00BF425F">
              <w:rPr>
                <w:rFonts w:ascii="Arial" w:eastAsia="Calibri" w:hAnsi="Arial" w:cs="Arial"/>
                <w:lang w:val="es-ES"/>
              </w:rPr>
              <w:t>La declaración de interés nacional para pro</w:t>
            </w:r>
            <w:r>
              <w:rPr>
                <w:rFonts w:ascii="Arial" w:eastAsia="Calibri" w:hAnsi="Arial" w:cs="Arial"/>
                <w:lang w:val="es-ES"/>
              </w:rPr>
              <w:t xml:space="preserve">yectos industriales se otorgará </w:t>
            </w:r>
            <w:r w:rsidRPr="00BF425F">
              <w:rPr>
                <w:rFonts w:ascii="Arial" w:eastAsia="Calibri" w:hAnsi="Arial" w:cs="Arial"/>
                <w:lang w:val="es-ES"/>
              </w:rPr>
              <w:t xml:space="preserve">exclusivamente para los fines señalados en el </w:t>
            </w:r>
            <w:r>
              <w:rPr>
                <w:rFonts w:ascii="Arial" w:eastAsia="Calibri" w:hAnsi="Arial" w:cs="Arial"/>
                <w:lang w:val="es-ES"/>
              </w:rPr>
              <w:t>artículo 7, literal e) de la</w:t>
            </w:r>
            <w:r>
              <w:rPr>
                <w:rFonts w:ascii="Arial" w:eastAsia="Calibri" w:hAnsi="Arial" w:cs="Arial"/>
                <w:lang w:val="es-ES"/>
              </w:rPr>
              <w:tab/>
            </w:r>
            <w:r w:rsidRPr="00BF425F">
              <w:rPr>
                <w:rFonts w:ascii="Arial" w:eastAsia="Calibri" w:hAnsi="Arial" w:cs="Arial"/>
                <w:lang w:val="es-ES"/>
              </w:rPr>
              <w:t xml:space="preserve">Ley Nº 29151 y del artículo 77, literal </w:t>
            </w:r>
            <w:r>
              <w:rPr>
                <w:rFonts w:ascii="Arial" w:eastAsia="Calibri" w:hAnsi="Arial" w:cs="Arial"/>
                <w:lang w:val="es-ES"/>
              </w:rPr>
              <w:t>b) del Decreto Supremo Nº 007-</w:t>
            </w:r>
            <w:r w:rsidRPr="00BF425F">
              <w:rPr>
                <w:rFonts w:ascii="Arial" w:eastAsia="Calibri" w:hAnsi="Arial" w:cs="Arial"/>
                <w:lang w:val="es-ES"/>
              </w:rPr>
              <w:t>2008-VIVIENDA.</w:t>
            </w:r>
            <w:r w:rsidRPr="00BF425F">
              <w:rPr>
                <w:rFonts w:ascii="Arial" w:eastAsia="Calibri" w:hAnsi="Arial" w:cs="Arial"/>
                <w:lang w:val="es-ES"/>
              </w:rPr>
              <w:tab/>
            </w:r>
          </w:p>
          <w:p w:rsidR="00466F0F" w:rsidRDefault="00466F0F" w:rsidP="00466F0F">
            <w:pPr>
              <w:ind w:left="34"/>
              <w:contextualSpacing/>
              <w:jc w:val="both"/>
              <w:rPr>
                <w:rFonts w:ascii="Arial" w:eastAsia="Calibri" w:hAnsi="Arial" w:cs="Arial"/>
                <w:lang w:val="es-ES"/>
              </w:rPr>
            </w:pPr>
          </w:p>
        </w:tc>
      </w:tr>
    </w:tbl>
    <w:p w:rsidR="00466F0F" w:rsidRPr="00BF425F" w:rsidRDefault="00466F0F" w:rsidP="00466F0F">
      <w:pPr>
        <w:spacing w:after="0" w:line="240" w:lineRule="auto"/>
        <w:contextualSpacing/>
        <w:jc w:val="both"/>
        <w:rPr>
          <w:rFonts w:ascii="Arial" w:eastAsia="Calibri" w:hAnsi="Arial" w:cs="Arial"/>
          <w:lang w:val="es-ES"/>
        </w:rPr>
      </w:pPr>
    </w:p>
    <w:p w:rsidR="00466F0F" w:rsidRPr="00BF425F" w:rsidRDefault="00466F0F" w:rsidP="00466F0F">
      <w:pPr>
        <w:spacing w:after="0" w:line="240" w:lineRule="auto"/>
        <w:contextualSpacing/>
        <w:jc w:val="both"/>
        <w:rPr>
          <w:rFonts w:ascii="Arial" w:eastAsia="Calibri" w:hAnsi="Arial" w:cs="Arial"/>
          <w:lang w:val="es-ES"/>
        </w:rPr>
      </w:pPr>
      <w:r w:rsidRPr="00BF425F">
        <w:rPr>
          <w:rFonts w:ascii="Arial" w:eastAsia="Calibri" w:hAnsi="Arial" w:cs="Arial"/>
          <w:lang w:val="es-ES"/>
        </w:rPr>
        <w:t>Por su parte, los lineamientos para la calificación de proyectos industriales de interés regional son los siguientes:</w:t>
      </w:r>
    </w:p>
    <w:p w:rsidR="00466F0F" w:rsidRDefault="00466F0F" w:rsidP="00466F0F">
      <w:pPr>
        <w:spacing w:after="0" w:line="240" w:lineRule="auto"/>
        <w:contextualSpacing/>
        <w:jc w:val="both"/>
        <w:rPr>
          <w:rFonts w:ascii="Arial" w:eastAsia="Calibri" w:hAnsi="Arial" w:cs="Arial"/>
          <w:lang w:val="es-ES"/>
        </w:rPr>
      </w:pPr>
    </w:p>
    <w:p w:rsidR="00466F0F" w:rsidRDefault="00466F0F" w:rsidP="00466F0F">
      <w:pPr>
        <w:spacing w:after="0" w:line="240" w:lineRule="auto"/>
        <w:contextualSpacing/>
        <w:jc w:val="both"/>
        <w:rPr>
          <w:rFonts w:ascii="Arial" w:eastAsia="Calibri" w:hAnsi="Arial" w:cs="Arial"/>
          <w:lang w:val="es-ES"/>
        </w:rPr>
      </w:pPr>
    </w:p>
    <w:p w:rsidR="00466F0F" w:rsidRDefault="00466F0F" w:rsidP="00466F0F">
      <w:pPr>
        <w:spacing w:after="0" w:line="240" w:lineRule="auto"/>
        <w:contextualSpacing/>
        <w:jc w:val="both"/>
        <w:rPr>
          <w:rFonts w:ascii="Arial" w:eastAsia="Calibri" w:hAnsi="Arial" w:cs="Arial"/>
          <w:lang w:val="es-ES"/>
        </w:rPr>
      </w:pPr>
    </w:p>
    <w:tbl>
      <w:tblPr>
        <w:tblStyle w:val="Tablaconcuadrcula"/>
        <w:tblW w:w="0" w:type="auto"/>
        <w:tblLook w:val="04A0" w:firstRow="1" w:lastRow="0" w:firstColumn="1" w:lastColumn="0" w:noHBand="0" w:noVBand="1"/>
      </w:tblPr>
      <w:tblGrid>
        <w:gridCol w:w="704"/>
        <w:gridCol w:w="9492"/>
      </w:tblGrid>
      <w:tr w:rsidR="00466F0F" w:rsidTr="00466F0F">
        <w:tc>
          <w:tcPr>
            <w:tcW w:w="10196" w:type="dxa"/>
            <w:gridSpan w:val="2"/>
          </w:tcPr>
          <w:p w:rsidR="00466F0F" w:rsidRPr="001C1C01" w:rsidRDefault="00466F0F" w:rsidP="00466F0F">
            <w:pPr>
              <w:contextualSpacing/>
              <w:jc w:val="both"/>
              <w:rPr>
                <w:rFonts w:ascii="Arial" w:eastAsia="Calibri" w:hAnsi="Arial" w:cs="Arial"/>
                <w:b/>
                <w:lang w:val="es-ES"/>
              </w:rPr>
            </w:pPr>
            <w:r w:rsidRPr="001C1C01">
              <w:rPr>
                <w:rFonts w:ascii="Arial" w:eastAsia="Calibri" w:hAnsi="Arial" w:cs="Arial"/>
                <w:b/>
                <w:lang w:val="es-ES"/>
              </w:rPr>
              <w:t>LINEAMIENTOS GENERALES PARA CALIFICAR UN PROYECTO INDUSTRIAL COMO DE INTERÉS REGIONAL</w:t>
            </w:r>
            <w:r w:rsidRPr="001C1C01">
              <w:rPr>
                <w:rFonts w:ascii="Arial" w:eastAsia="Calibri" w:hAnsi="Arial" w:cs="Arial"/>
                <w:b/>
                <w:lang w:val="es-ES"/>
              </w:rPr>
              <w:tab/>
            </w:r>
          </w:p>
        </w:tc>
      </w:tr>
      <w:tr w:rsidR="00466F0F" w:rsidTr="00466F0F">
        <w:tc>
          <w:tcPr>
            <w:tcW w:w="704" w:type="dxa"/>
          </w:tcPr>
          <w:p w:rsidR="00466F0F" w:rsidRDefault="00466F0F" w:rsidP="00466F0F">
            <w:pPr>
              <w:contextualSpacing/>
              <w:jc w:val="both"/>
              <w:rPr>
                <w:rFonts w:ascii="Arial" w:eastAsia="Calibri" w:hAnsi="Arial" w:cs="Arial"/>
                <w:lang w:val="es-ES"/>
              </w:rPr>
            </w:pPr>
            <w:r>
              <w:rPr>
                <w:rFonts w:ascii="Arial" w:eastAsia="Calibri" w:hAnsi="Arial" w:cs="Arial"/>
                <w:lang w:val="es-ES"/>
              </w:rPr>
              <w:t>1</w:t>
            </w:r>
          </w:p>
        </w:tc>
        <w:tc>
          <w:tcPr>
            <w:tcW w:w="9492" w:type="dxa"/>
          </w:tcPr>
          <w:p w:rsidR="00466F0F" w:rsidRDefault="00466F0F" w:rsidP="00466F0F">
            <w:pPr>
              <w:contextualSpacing/>
              <w:jc w:val="both"/>
              <w:rPr>
                <w:rFonts w:ascii="Arial" w:eastAsia="Calibri" w:hAnsi="Arial" w:cs="Arial"/>
                <w:lang w:val="es-ES"/>
              </w:rPr>
            </w:pPr>
            <w:r w:rsidRPr="001C1C01">
              <w:rPr>
                <w:rFonts w:ascii="Arial" w:eastAsia="Calibri" w:hAnsi="Arial" w:cs="Arial"/>
                <w:lang w:val="es-ES"/>
              </w:rPr>
              <w:t>El proyecto deberá tener como fin excl</w:t>
            </w:r>
            <w:r>
              <w:rPr>
                <w:rFonts w:ascii="Arial" w:eastAsia="Calibri" w:hAnsi="Arial" w:cs="Arial"/>
                <w:lang w:val="es-ES"/>
              </w:rPr>
              <w:t xml:space="preserve">usivo establecer una industria </w:t>
            </w:r>
            <w:r w:rsidRPr="001C1C01">
              <w:rPr>
                <w:rFonts w:ascii="Arial" w:eastAsia="Calibri" w:hAnsi="Arial" w:cs="Arial"/>
                <w:lang w:val="es-ES"/>
              </w:rPr>
              <w:t>manufacturera de transformació</w:t>
            </w:r>
            <w:r>
              <w:rPr>
                <w:rFonts w:ascii="Arial" w:eastAsia="Calibri" w:hAnsi="Arial" w:cs="Arial"/>
                <w:lang w:val="es-ES"/>
              </w:rPr>
              <w:t>n para desarrollar actividades</w:t>
            </w:r>
            <w:r>
              <w:rPr>
                <w:rFonts w:ascii="Arial" w:eastAsia="Calibri" w:hAnsi="Arial" w:cs="Arial"/>
                <w:lang w:val="es-ES"/>
              </w:rPr>
              <w:tab/>
              <w:t xml:space="preserve"> </w:t>
            </w:r>
            <w:r w:rsidRPr="001C1C01">
              <w:rPr>
                <w:rFonts w:ascii="Arial" w:eastAsia="Calibri" w:hAnsi="Arial" w:cs="Arial"/>
                <w:lang w:val="es-ES"/>
              </w:rPr>
              <w:t>consideradas en la Sección C “In</w:t>
            </w:r>
            <w:r>
              <w:rPr>
                <w:rFonts w:ascii="Arial" w:eastAsia="Calibri" w:hAnsi="Arial" w:cs="Arial"/>
                <w:lang w:val="es-ES"/>
              </w:rPr>
              <w:t xml:space="preserve">dustrias Manufactureras” de la </w:t>
            </w:r>
            <w:r w:rsidRPr="001C1C01">
              <w:rPr>
                <w:rFonts w:ascii="Arial" w:eastAsia="Calibri" w:hAnsi="Arial" w:cs="Arial"/>
                <w:lang w:val="es-ES"/>
              </w:rPr>
              <w:t>Clasificación Industrial Internacional Uniforme - CIIU, Revisión 4.</w:t>
            </w:r>
          </w:p>
        </w:tc>
      </w:tr>
      <w:tr w:rsidR="00466F0F" w:rsidTr="00466F0F">
        <w:tc>
          <w:tcPr>
            <w:tcW w:w="704" w:type="dxa"/>
          </w:tcPr>
          <w:p w:rsidR="00466F0F" w:rsidRDefault="00466F0F" w:rsidP="00466F0F">
            <w:pPr>
              <w:contextualSpacing/>
              <w:jc w:val="both"/>
              <w:rPr>
                <w:rFonts w:ascii="Arial" w:eastAsia="Calibri" w:hAnsi="Arial" w:cs="Arial"/>
                <w:lang w:val="es-ES"/>
              </w:rPr>
            </w:pPr>
            <w:r>
              <w:rPr>
                <w:rFonts w:ascii="Arial" w:eastAsia="Calibri" w:hAnsi="Arial" w:cs="Arial"/>
                <w:lang w:val="es-ES"/>
              </w:rPr>
              <w:t>2</w:t>
            </w:r>
          </w:p>
        </w:tc>
        <w:tc>
          <w:tcPr>
            <w:tcW w:w="9492" w:type="dxa"/>
          </w:tcPr>
          <w:p w:rsidR="00466F0F" w:rsidRDefault="00466F0F" w:rsidP="00466F0F">
            <w:pPr>
              <w:contextualSpacing/>
              <w:jc w:val="both"/>
              <w:rPr>
                <w:rFonts w:ascii="Arial" w:eastAsia="Calibri" w:hAnsi="Arial" w:cs="Arial"/>
                <w:lang w:val="es-ES"/>
              </w:rPr>
            </w:pPr>
            <w:r w:rsidRPr="00BF425F">
              <w:rPr>
                <w:rFonts w:ascii="Arial" w:eastAsia="Calibri" w:hAnsi="Arial" w:cs="Arial"/>
                <w:lang w:val="es-ES"/>
              </w:rPr>
              <w:t>El proyecto será evaluado de acuerdo co</w:t>
            </w:r>
            <w:r>
              <w:rPr>
                <w:rFonts w:ascii="Arial" w:eastAsia="Calibri" w:hAnsi="Arial" w:cs="Arial"/>
                <w:lang w:val="es-ES"/>
              </w:rPr>
              <w:t xml:space="preserve">n las prioridades estratégicas </w:t>
            </w:r>
            <w:r w:rsidRPr="00BF425F">
              <w:rPr>
                <w:rFonts w:ascii="Arial" w:eastAsia="Calibri" w:hAnsi="Arial" w:cs="Arial"/>
                <w:lang w:val="es-ES"/>
              </w:rPr>
              <w:t>establecidas en el Plan de Desarrollo R</w:t>
            </w:r>
            <w:r>
              <w:rPr>
                <w:rFonts w:ascii="Arial" w:eastAsia="Calibri" w:hAnsi="Arial" w:cs="Arial"/>
                <w:lang w:val="es-ES"/>
              </w:rPr>
              <w:t xml:space="preserve">egional Concertado de la región </w:t>
            </w:r>
            <w:r w:rsidRPr="00BF425F">
              <w:rPr>
                <w:rFonts w:ascii="Arial" w:eastAsia="Calibri" w:hAnsi="Arial" w:cs="Arial"/>
                <w:lang w:val="es-ES"/>
              </w:rPr>
              <w:t>o su equivalente.</w:t>
            </w:r>
          </w:p>
        </w:tc>
      </w:tr>
      <w:tr w:rsidR="00466F0F" w:rsidTr="00466F0F">
        <w:tc>
          <w:tcPr>
            <w:tcW w:w="704" w:type="dxa"/>
          </w:tcPr>
          <w:p w:rsidR="00466F0F" w:rsidRDefault="00466F0F" w:rsidP="00466F0F">
            <w:pPr>
              <w:contextualSpacing/>
              <w:jc w:val="both"/>
              <w:rPr>
                <w:rFonts w:ascii="Arial" w:eastAsia="Calibri" w:hAnsi="Arial" w:cs="Arial"/>
                <w:lang w:val="es-ES"/>
              </w:rPr>
            </w:pPr>
            <w:r>
              <w:rPr>
                <w:rFonts w:ascii="Arial" w:eastAsia="Calibri" w:hAnsi="Arial" w:cs="Arial"/>
                <w:lang w:val="es-ES"/>
              </w:rPr>
              <w:t>3</w:t>
            </w:r>
          </w:p>
        </w:tc>
        <w:tc>
          <w:tcPr>
            <w:tcW w:w="9492" w:type="dxa"/>
          </w:tcPr>
          <w:p w:rsidR="00466F0F" w:rsidRPr="00BF425F" w:rsidRDefault="00466F0F" w:rsidP="00466F0F">
            <w:pPr>
              <w:contextualSpacing/>
              <w:jc w:val="both"/>
              <w:rPr>
                <w:rFonts w:ascii="Arial" w:eastAsia="Calibri" w:hAnsi="Arial" w:cs="Arial"/>
                <w:lang w:val="es-ES"/>
              </w:rPr>
            </w:pPr>
            <w:r w:rsidRPr="00BF425F">
              <w:rPr>
                <w:rFonts w:ascii="Arial" w:eastAsia="Calibri" w:hAnsi="Arial" w:cs="Arial"/>
                <w:lang w:val="es-ES"/>
              </w:rPr>
              <w:t>Asimismo, se considerará los siguientes aspectos:</w:t>
            </w:r>
            <w:r w:rsidRPr="00BF425F">
              <w:rPr>
                <w:rFonts w:ascii="Arial" w:eastAsia="Calibri" w:hAnsi="Arial" w:cs="Arial"/>
                <w:lang w:val="es-ES"/>
              </w:rPr>
              <w:tab/>
            </w:r>
          </w:p>
          <w:p w:rsidR="00466F0F" w:rsidRPr="001C1C01" w:rsidRDefault="00466F0F" w:rsidP="0092471C">
            <w:pPr>
              <w:pStyle w:val="Prrafodelista"/>
              <w:numPr>
                <w:ilvl w:val="0"/>
                <w:numId w:val="249"/>
              </w:numPr>
              <w:jc w:val="both"/>
              <w:rPr>
                <w:rFonts w:ascii="Arial" w:eastAsia="Calibri" w:hAnsi="Arial" w:cs="Arial"/>
                <w:lang w:val="es-ES"/>
              </w:rPr>
            </w:pPr>
            <w:r w:rsidRPr="001C1C01">
              <w:rPr>
                <w:rFonts w:ascii="Arial" w:eastAsia="Calibri" w:hAnsi="Arial" w:cs="Arial"/>
                <w:lang w:val="es-ES"/>
              </w:rPr>
              <w:t>Valor agregado generado por la actividad</w:t>
            </w:r>
            <w:r w:rsidRPr="001C1C01">
              <w:rPr>
                <w:rFonts w:ascii="Arial" w:eastAsia="Calibri" w:hAnsi="Arial" w:cs="Arial"/>
                <w:lang w:val="es-ES"/>
              </w:rPr>
              <w:tab/>
            </w:r>
          </w:p>
          <w:p w:rsidR="00466F0F" w:rsidRPr="001C1C01" w:rsidRDefault="00466F0F" w:rsidP="0092471C">
            <w:pPr>
              <w:pStyle w:val="Prrafodelista"/>
              <w:numPr>
                <w:ilvl w:val="0"/>
                <w:numId w:val="249"/>
              </w:numPr>
              <w:jc w:val="both"/>
              <w:rPr>
                <w:rFonts w:ascii="Arial" w:eastAsia="Calibri" w:hAnsi="Arial" w:cs="Arial"/>
                <w:lang w:val="es-ES"/>
              </w:rPr>
            </w:pPr>
            <w:r w:rsidRPr="001C1C01">
              <w:rPr>
                <w:rFonts w:ascii="Arial" w:eastAsia="Calibri" w:hAnsi="Arial" w:cs="Arial"/>
                <w:lang w:val="es-ES"/>
              </w:rPr>
              <w:t>Generación de empleo directo e indirecto</w:t>
            </w:r>
            <w:r w:rsidRPr="001C1C01">
              <w:rPr>
                <w:rFonts w:ascii="Arial" w:eastAsia="Calibri" w:hAnsi="Arial" w:cs="Arial"/>
                <w:lang w:val="es-ES"/>
              </w:rPr>
              <w:tab/>
            </w:r>
          </w:p>
          <w:p w:rsidR="00466F0F" w:rsidRPr="001C1C01" w:rsidRDefault="00466F0F" w:rsidP="0092471C">
            <w:pPr>
              <w:pStyle w:val="Prrafodelista"/>
              <w:numPr>
                <w:ilvl w:val="0"/>
                <w:numId w:val="249"/>
              </w:numPr>
              <w:jc w:val="both"/>
              <w:rPr>
                <w:rFonts w:ascii="Arial" w:eastAsia="Calibri" w:hAnsi="Arial" w:cs="Arial"/>
                <w:lang w:val="es-ES"/>
              </w:rPr>
            </w:pPr>
            <w:r w:rsidRPr="001C1C01">
              <w:rPr>
                <w:rFonts w:ascii="Arial" w:eastAsia="Calibri" w:hAnsi="Arial" w:cs="Arial"/>
                <w:lang w:val="es-ES"/>
              </w:rPr>
              <w:t>Contribución a la descentralización productiva de la región</w:t>
            </w:r>
            <w:r w:rsidRPr="001C1C01">
              <w:rPr>
                <w:rFonts w:ascii="Arial" w:eastAsia="Calibri" w:hAnsi="Arial" w:cs="Arial"/>
                <w:lang w:val="es-ES"/>
              </w:rPr>
              <w:tab/>
            </w:r>
          </w:p>
          <w:p w:rsidR="00466F0F" w:rsidRPr="001C1C01" w:rsidRDefault="00466F0F" w:rsidP="0092471C">
            <w:pPr>
              <w:pStyle w:val="Prrafodelista"/>
              <w:numPr>
                <w:ilvl w:val="0"/>
                <w:numId w:val="249"/>
              </w:numPr>
              <w:jc w:val="both"/>
              <w:rPr>
                <w:rFonts w:ascii="Arial" w:eastAsia="Calibri" w:hAnsi="Arial" w:cs="Arial"/>
                <w:lang w:val="es-ES"/>
              </w:rPr>
            </w:pPr>
            <w:r w:rsidRPr="001C1C01">
              <w:rPr>
                <w:rFonts w:ascii="Arial" w:eastAsia="Calibri" w:hAnsi="Arial" w:cs="Arial"/>
                <w:lang w:val="es-ES"/>
              </w:rPr>
              <w:t>Generación de encadenamientos para mejorar la competitividad de la cadena productiva.</w:t>
            </w:r>
          </w:p>
          <w:p w:rsidR="00466F0F" w:rsidRPr="001C1C01" w:rsidRDefault="00466F0F" w:rsidP="0092471C">
            <w:pPr>
              <w:pStyle w:val="Prrafodelista"/>
              <w:numPr>
                <w:ilvl w:val="0"/>
                <w:numId w:val="249"/>
              </w:numPr>
              <w:jc w:val="both"/>
              <w:rPr>
                <w:rFonts w:ascii="Arial" w:eastAsia="Calibri" w:hAnsi="Arial" w:cs="Arial"/>
                <w:lang w:val="es-ES"/>
              </w:rPr>
            </w:pPr>
            <w:r w:rsidRPr="001C1C01">
              <w:rPr>
                <w:rFonts w:ascii="Arial" w:eastAsia="Calibri" w:hAnsi="Arial" w:cs="Arial"/>
                <w:lang w:val="es-ES"/>
              </w:rPr>
              <w:t>Potencial para generar exportaciones no tradicionales</w:t>
            </w:r>
            <w:r w:rsidRPr="001C1C01">
              <w:rPr>
                <w:rFonts w:ascii="Arial" w:eastAsia="Calibri" w:hAnsi="Arial" w:cs="Arial"/>
                <w:lang w:val="es-ES"/>
              </w:rPr>
              <w:tab/>
            </w:r>
          </w:p>
          <w:p w:rsidR="00466F0F" w:rsidRPr="001C1C01" w:rsidRDefault="00466F0F" w:rsidP="0092471C">
            <w:pPr>
              <w:pStyle w:val="Prrafodelista"/>
              <w:numPr>
                <w:ilvl w:val="0"/>
                <w:numId w:val="249"/>
              </w:numPr>
              <w:jc w:val="both"/>
              <w:rPr>
                <w:rFonts w:ascii="Arial" w:eastAsia="Calibri" w:hAnsi="Arial" w:cs="Arial"/>
                <w:lang w:val="es-ES"/>
              </w:rPr>
            </w:pPr>
            <w:r w:rsidRPr="001C1C01">
              <w:rPr>
                <w:rFonts w:ascii="Arial" w:eastAsia="Calibri" w:hAnsi="Arial" w:cs="Arial"/>
                <w:lang w:val="es-ES"/>
              </w:rPr>
              <w:t>Buenas prácticas ambientales</w:t>
            </w:r>
          </w:p>
        </w:tc>
      </w:tr>
      <w:tr w:rsidR="00466F0F" w:rsidTr="00466F0F">
        <w:tc>
          <w:tcPr>
            <w:tcW w:w="704" w:type="dxa"/>
          </w:tcPr>
          <w:p w:rsidR="00466F0F" w:rsidRDefault="00466F0F" w:rsidP="00466F0F">
            <w:pPr>
              <w:contextualSpacing/>
              <w:jc w:val="both"/>
              <w:rPr>
                <w:rFonts w:ascii="Arial" w:eastAsia="Calibri" w:hAnsi="Arial" w:cs="Arial"/>
                <w:lang w:val="es-ES"/>
              </w:rPr>
            </w:pPr>
            <w:r>
              <w:rPr>
                <w:rFonts w:ascii="Arial" w:eastAsia="Calibri" w:hAnsi="Arial" w:cs="Arial"/>
                <w:lang w:val="es-ES"/>
              </w:rPr>
              <w:t>4</w:t>
            </w:r>
          </w:p>
        </w:tc>
        <w:tc>
          <w:tcPr>
            <w:tcW w:w="9492" w:type="dxa"/>
          </w:tcPr>
          <w:p w:rsidR="00466F0F" w:rsidRDefault="00466F0F" w:rsidP="00466F0F">
            <w:pPr>
              <w:contextualSpacing/>
              <w:jc w:val="both"/>
              <w:rPr>
                <w:rFonts w:ascii="Arial" w:eastAsia="Calibri" w:hAnsi="Arial" w:cs="Arial"/>
                <w:lang w:val="es-ES"/>
              </w:rPr>
            </w:pPr>
            <w:r w:rsidRPr="001C1C01">
              <w:rPr>
                <w:rFonts w:ascii="Arial" w:eastAsia="Calibri" w:hAnsi="Arial" w:cs="Arial"/>
                <w:lang w:val="es-ES"/>
              </w:rPr>
              <w:t>El expediente deberá contener un estudio</w:t>
            </w:r>
            <w:r>
              <w:rPr>
                <w:rFonts w:ascii="Arial" w:eastAsia="Calibri" w:hAnsi="Arial" w:cs="Arial"/>
                <w:lang w:val="es-ES"/>
              </w:rPr>
              <w:t xml:space="preserve"> de pre inversión que sustente</w:t>
            </w:r>
            <w:r>
              <w:rPr>
                <w:rFonts w:ascii="Arial" w:eastAsia="Calibri" w:hAnsi="Arial" w:cs="Arial"/>
                <w:lang w:val="es-ES"/>
              </w:rPr>
              <w:tab/>
            </w:r>
            <w:r w:rsidRPr="001C1C01">
              <w:rPr>
                <w:rFonts w:ascii="Arial" w:eastAsia="Calibri" w:hAnsi="Arial" w:cs="Arial"/>
                <w:lang w:val="es-ES"/>
              </w:rPr>
              <w:t xml:space="preserve">la viabilidad técnica, económica, financiera, </w:t>
            </w:r>
            <w:r>
              <w:rPr>
                <w:rFonts w:ascii="Arial" w:eastAsia="Calibri" w:hAnsi="Arial" w:cs="Arial"/>
                <w:lang w:val="es-ES"/>
              </w:rPr>
              <w:t xml:space="preserve">social, ambiental y legal, así </w:t>
            </w:r>
            <w:r w:rsidRPr="001C1C01">
              <w:rPr>
                <w:rFonts w:ascii="Arial" w:eastAsia="Calibri" w:hAnsi="Arial" w:cs="Arial"/>
                <w:lang w:val="es-ES"/>
              </w:rPr>
              <w:t>como el plazo estimado de su ejecución.</w:t>
            </w:r>
          </w:p>
        </w:tc>
      </w:tr>
      <w:tr w:rsidR="00466F0F" w:rsidTr="00466F0F">
        <w:tc>
          <w:tcPr>
            <w:tcW w:w="704" w:type="dxa"/>
          </w:tcPr>
          <w:p w:rsidR="00466F0F" w:rsidRDefault="00466F0F" w:rsidP="00466F0F">
            <w:pPr>
              <w:contextualSpacing/>
              <w:jc w:val="both"/>
              <w:rPr>
                <w:rFonts w:ascii="Arial" w:eastAsia="Calibri" w:hAnsi="Arial" w:cs="Arial"/>
                <w:lang w:val="es-ES"/>
              </w:rPr>
            </w:pPr>
          </w:p>
        </w:tc>
        <w:tc>
          <w:tcPr>
            <w:tcW w:w="9492" w:type="dxa"/>
          </w:tcPr>
          <w:p w:rsidR="00466F0F" w:rsidRDefault="00466F0F" w:rsidP="00466F0F">
            <w:pPr>
              <w:contextualSpacing/>
              <w:jc w:val="both"/>
              <w:rPr>
                <w:rFonts w:ascii="Arial" w:eastAsia="Calibri" w:hAnsi="Arial" w:cs="Arial"/>
                <w:lang w:val="es-ES"/>
              </w:rPr>
            </w:pPr>
            <w:r w:rsidRPr="001C1C01">
              <w:rPr>
                <w:rFonts w:ascii="Arial" w:eastAsia="Calibri" w:hAnsi="Arial" w:cs="Arial"/>
                <w:lang w:val="es-ES"/>
              </w:rPr>
              <w:t>4.1. Aspectos técnicos del proyecto: Se debe sustenta</w:t>
            </w:r>
            <w:r>
              <w:rPr>
                <w:rFonts w:ascii="Arial" w:eastAsia="Calibri" w:hAnsi="Arial" w:cs="Arial"/>
                <w:lang w:val="es-ES"/>
              </w:rPr>
              <w:t xml:space="preserve">r la idoneidad y </w:t>
            </w:r>
            <w:r w:rsidRPr="001C1C01">
              <w:rPr>
                <w:rFonts w:ascii="Arial" w:eastAsia="Calibri" w:hAnsi="Arial" w:cs="Arial"/>
                <w:lang w:val="es-ES"/>
              </w:rPr>
              <w:t>conveniencia del terreno para la ejecución</w:t>
            </w:r>
            <w:r>
              <w:rPr>
                <w:rFonts w:ascii="Arial" w:eastAsia="Calibri" w:hAnsi="Arial" w:cs="Arial"/>
                <w:lang w:val="es-ES"/>
              </w:rPr>
              <w:t xml:space="preserve"> del proyecto. La sustentación </w:t>
            </w:r>
            <w:r w:rsidRPr="001C1C01">
              <w:rPr>
                <w:rFonts w:ascii="Arial" w:eastAsia="Calibri" w:hAnsi="Arial" w:cs="Arial"/>
                <w:lang w:val="es-ES"/>
              </w:rPr>
              <w:t>del proyecto debe considerar el acceso a l</w:t>
            </w:r>
            <w:r>
              <w:rPr>
                <w:rFonts w:ascii="Arial" w:eastAsia="Calibri" w:hAnsi="Arial" w:cs="Arial"/>
                <w:lang w:val="es-ES"/>
              </w:rPr>
              <w:t xml:space="preserve">a infraestructura de servicios </w:t>
            </w:r>
            <w:r w:rsidRPr="001C1C01">
              <w:rPr>
                <w:rFonts w:ascii="Arial" w:eastAsia="Calibri" w:hAnsi="Arial" w:cs="Arial"/>
                <w:lang w:val="es-ES"/>
              </w:rPr>
              <w:t xml:space="preserve">que las actividades económicas requieran: </w:t>
            </w:r>
            <w:r>
              <w:rPr>
                <w:rFonts w:ascii="Arial" w:eastAsia="Calibri" w:hAnsi="Arial" w:cs="Arial"/>
                <w:lang w:val="es-ES"/>
              </w:rPr>
              <w:t>energía, agua, alcantarillado,</w:t>
            </w:r>
            <w:r>
              <w:rPr>
                <w:rFonts w:ascii="Arial" w:eastAsia="Calibri" w:hAnsi="Arial" w:cs="Arial"/>
                <w:lang w:val="es-ES"/>
              </w:rPr>
              <w:tab/>
            </w:r>
            <w:r w:rsidRPr="001C1C01">
              <w:rPr>
                <w:rFonts w:ascii="Arial" w:eastAsia="Calibri" w:hAnsi="Arial" w:cs="Arial"/>
                <w:lang w:val="es-ES"/>
              </w:rPr>
              <w:t>manejo de aguas residuales, puertos, ti</w:t>
            </w:r>
            <w:r>
              <w:rPr>
                <w:rFonts w:ascii="Arial" w:eastAsia="Calibri" w:hAnsi="Arial" w:cs="Arial"/>
                <w:lang w:val="es-ES"/>
              </w:rPr>
              <w:t>pos de vías según lo dispuesto</w:t>
            </w:r>
            <w:r>
              <w:rPr>
                <w:rFonts w:ascii="Arial" w:eastAsia="Calibri" w:hAnsi="Arial" w:cs="Arial"/>
                <w:lang w:val="es-ES"/>
              </w:rPr>
              <w:tab/>
            </w:r>
            <w:r w:rsidRPr="001C1C01">
              <w:rPr>
                <w:rFonts w:ascii="Arial" w:eastAsia="Calibri" w:hAnsi="Arial" w:cs="Arial"/>
                <w:lang w:val="es-ES"/>
              </w:rPr>
              <w:t>por el Ministerio de Transportes y Comuni</w:t>
            </w:r>
            <w:r>
              <w:rPr>
                <w:rFonts w:ascii="Arial" w:eastAsia="Calibri" w:hAnsi="Arial" w:cs="Arial"/>
                <w:lang w:val="es-ES"/>
              </w:rPr>
              <w:t xml:space="preserve">caciones, tratamiento de aguas </w:t>
            </w:r>
            <w:r w:rsidRPr="001C1C01">
              <w:rPr>
                <w:rFonts w:ascii="Arial" w:eastAsia="Calibri" w:hAnsi="Arial" w:cs="Arial"/>
                <w:lang w:val="es-ES"/>
              </w:rPr>
              <w:t>y de residuos, sin perjudicar las condic</w:t>
            </w:r>
            <w:r>
              <w:rPr>
                <w:rFonts w:ascii="Arial" w:eastAsia="Calibri" w:hAnsi="Arial" w:cs="Arial"/>
                <w:lang w:val="es-ES"/>
              </w:rPr>
              <w:t xml:space="preserve">iones de los servicios básicos </w:t>
            </w:r>
            <w:r w:rsidRPr="001C1C01">
              <w:rPr>
                <w:rFonts w:ascii="Arial" w:eastAsia="Calibri" w:hAnsi="Arial" w:cs="Arial"/>
                <w:lang w:val="es-ES"/>
              </w:rPr>
              <w:t>e inversiones ya existentes en su ámbito de influ</w:t>
            </w:r>
            <w:r>
              <w:rPr>
                <w:rFonts w:ascii="Arial" w:eastAsia="Calibri" w:hAnsi="Arial" w:cs="Arial"/>
                <w:lang w:val="es-ES"/>
              </w:rPr>
              <w:t xml:space="preserve">encia. Asimismo, el </w:t>
            </w:r>
            <w:r w:rsidRPr="001C1C01">
              <w:rPr>
                <w:rFonts w:ascii="Arial" w:eastAsia="Calibri" w:hAnsi="Arial" w:cs="Arial"/>
                <w:lang w:val="es-ES"/>
              </w:rPr>
              <w:t xml:space="preserve">proyecto deberá acreditar que es viable la </w:t>
            </w:r>
            <w:r>
              <w:rPr>
                <w:rFonts w:ascii="Arial" w:eastAsia="Calibri" w:hAnsi="Arial" w:cs="Arial"/>
                <w:lang w:val="es-ES"/>
              </w:rPr>
              <w:t>realización de las actividades</w:t>
            </w:r>
            <w:r>
              <w:rPr>
                <w:rFonts w:ascii="Arial" w:eastAsia="Calibri" w:hAnsi="Arial" w:cs="Arial"/>
                <w:lang w:val="es-ES"/>
              </w:rPr>
              <w:tab/>
              <w:t xml:space="preserve"> </w:t>
            </w:r>
            <w:r w:rsidRPr="001C1C01">
              <w:rPr>
                <w:rFonts w:ascii="Arial" w:eastAsia="Calibri" w:hAnsi="Arial" w:cs="Arial"/>
                <w:lang w:val="es-ES"/>
              </w:rPr>
              <w:t>industriales propuestas en la zona en la</w:t>
            </w:r>
            <w:r>
              <w:rPr>
                <w:rFonts w:ascii="Arial" w:eastAsia="Calibri" w:hAnsi="Arial" w:cs="Arial"/>
                <w:lang w:val="es-ES"/>
              </w:rPr>
              <w:t xml:space="preserve"> que se ejecutará el proyecto, </w:t>
            </w:r>
            <w:r w:rsidRPr="001C1C01">
              <w:rPr>
                <w:rFonts w:ascii="Arial" w:eastAsia="Calibri" w:hAnsi="Arial" w:cs="Arial"/>
                <w:lang w:val="es-ES"/>
              </w:rPr>
              <w:t>y que se han previsto las zonas de amo</w:t>
            </w:r>
            <w:r>
              <w:rPr>
                <w:rFonts w:ascii="Arial" w:eastAsia="Calibri" w:hAnsi="Arial" w:cs="Arial"/>
                <w:lang w:val="es-ES"/>
              </w:rPr>
              <w:t xml:space="preserve">rtiguamiento requeridas por la </w:t>
            </w:r>
            <w:r w:rsidRPr="001C1C01">
              <w:rPr>
                <w:rFonts w:ascii="Arial" w:eastAsia="Calibri" w:hAnsi="Arial" w:cs="Arial"/>
                <w:lang w:val="es-ES"/>
              </w:rPr>
              <w:t xml:space="preserve">normatividad de la materia. Asimismo, </w:t>
            </w:r>
            <w:r>
              <w:rPr>
                <w:rFonts w:ascii="Arial" w:eastAsia="Calibri" w:hAnsi="Arial" w:cs="Arial"/>
                <w:lang w:val="es-ES"/>
              </w:rPr>
              <w:t xml:space="preserve">deberá acreditar que el predio </w:t>
            </w:r>
            <w:r w:rsidRPr="001C1C01">
              <w:rPr>
                <w:rFonts w:ascii="Arial" w:eastAsia="Calibri" w:hAnsi="Arial" w:cs="Arial"/>
                <w:lang w:val="es-ES"/>
              </w:rPr>
              <w:t>donde se ubicará el proyecto cuenta con hab</w:t>
            </w:r>
            <w:r>
              <w:rPr>
                <w:rFonts w:ascii="Arial" w:eastAsia="Calibri" w:hAnsi="Arial" w:cs="Arial"/>
                <w:lang w:val="es-ES"/>
              </w:rPr>
              <w:t>ilitación para uso industrial.</w:t>
            </w:r>
          </w:p>
          <w:p w:rsidR="00466F0F" w:rsidRDefault="00466F0F" w:rsidP="00466F0F">
            <w:pPr>
              <w:contextualSpacing/>
              <w:jc w:val="both"/>
              <w:rPr>
                <w:rFonts w:ascii="Arial" w:eastAsia="Calibri" w:hAnsi="Arial" w:cs="Arial"/>
                <w:lang w:val="es-ES"/>
              </w:rPr>
            </w:pPr>
          </w:p>
          <w:p w:rsidR="00466F0F" w:rsidRPr="001C1C01" w:rsidRDefault="00466F0F" w:rsidP="00466F0F">
            <w:pPr>
              <w:contextualSpacing/>
              <w:jc w:val="both"/>
              <w:rPr>
                <w:rFonts w:ascii="Arial" w:eastAsia="Calibri" w:hAnsi="Arial" w:cs="Arial"/>
                <w:lang w:val="es-ES"/>
              </w:rPr>
            </w:pPr>
            <w:r w:rsidRPr="001C1C01">
              <w:rPr>
                <w:rFonts w:ascii="Arial" w:eastAsia="Calibri" w:hAnsi="Arial" w:cs="Arial"/>
                <w:lang w:val="es-ES"/>
              </w:rPr>
              <w:t>Deberán presentar los certificados de factibi</w:t>
            </w:r>
            <w:r>
              <w:rPr>
                <w:rFonts w:ascii="Arial" w:eastAsia="Calibri" w:hAnsi="Arial" w:cs="Arial"/>
                <w:lang w:val="es-ES"/>
              </w:rPr>
              <w:t xml:space="preserve">lidad de servicio emitidos por </w:t>
            </w:r>
            <w:r w:rsidRPr="001C1C01">
              <w:rPr>
                <w:rFonts w:ascii="Arial" w:eastAsia="Calibri" w:hAnsi="Arial" w:cs="Arial"/>
                <w:lang w:val="es-ES"/>
              </w:rPr>
              <w:t>las empresas prestadoras de los servicios correspondientes.</w:t>
            </w:r>
            <w:r w:rsidRPr="001C1C01">
              <w:rPr>
                <w:rFonts w:ascii="Arial" w:eastAsia="Calibri" w:hAnsi="Arial" w:cs="Arial"/>
                <w:lang w:val="es-ES"/>
              </w:rPr>
              <w:tab/>
            </w:r>
          </w:p>
          <w:p w:rsidR="00466F0F" w:rsidRDefault="00466F0F" w:rsidP="00466F0F">
            <w:pPr>
              <w:contextualSpacing/>
              <w:jc w:val="both"/>
              <w:rPr>
                <w:rFonts w:ascii="Arial" w:eastAsia="Calibri" w:hAnsi="Arial" w:cs="Arial"/>
                <w:lang w:val="es-ES"/>
              </w:rPr>
            </w:pPr>
            <w:r>
              <w:rPr>
                <w:rFonts w:ascii="Arial" w:eastAsia="Calibri" w:hAnsi="Arial" w:cs="Arial"/>
                <w:lang w:val="es-ES"/>
              </w:rPr>
              <w:tab/>
            </w:r>
            <w:r>
              <w:rPr>
                <w:rFonts w:ascii="Arial" w:eastAsia="Calibri" w:hAnsi="Arial" w:cs="Arial"/>
                <w:lang w:val="es-ES"/>
              </w:rPr>
              <w:tab/>
            </w:r>
          </w:p>
          <w:p w:rsidR="00466F0F" w:rsidRPr="001C1C01" w:rsidRDefault="00466F0F" w:rsidP="00466F0F">
            <w:pPr>
              <w:contextualSpacing/>
              <w:jc w:val="both"/>
              <w:rPr>
                <w:rFonts w:ascii="Arial" w:eastAsia="Calibri" w:hAnsi="Arial" w:cs="Arial"/>
                <w:lang w:val="es-ES"/>
              </w:rPr>
            </w:pPr>
            <w:r>
              <w:rPr>
                <w:rFonts w:ascii="Arial" w:eastAsia="Calibri" w:hAnsi="Arial" w:cs="Arial"/>
                <w:lang w:val="es-ES"/>
              </w:rPr>
              <w:t>P</w:t>
            </w:r>
            <w:r w:rsidRPr="001C1C01">
              <w:rPr>
                <w:rFonts w:ascii="Arial" w:eastAsia="Calibri" w:hAnsi="Arial" w:cs="Arial"/>
                <w:lang w:val="es-ES"/>
              </w:rPr>
              <w:t>resentación del estudio que acredi</w:t>
            </w:r>
            <w:r>
              <w:rPr>
                <w:rFonts w:ascii="Arial" w:eastAsia="Calibri" w:hAnsi="Arial" w:cs="Arial"/>
                <w:lang w:val="es-ES"/>
              </w:rPr>
              <w:t xml:space="preserve">te el cumplimiento del Decreto </w:t>
            </w:r>
            <w:r w:rsidRPr="001C1C01">
              <w:rPr>
                <w:rFonts w:ascii="Arial" w:eastAsia="Calibri" w:hAnsi="Arial" w:cs="Arial"/>
                <w:lang w:val="es-ES"/>
              </w:rPr>
              <w:t>Supremo Nº 021-2009-VIVIENDA y e</w:t>
            </w:r>
            <w:r>
              <w:rPr>
                <w:rFonts w:ascii="Arial" w:eastAsia="Calibri" w:hAnsi="Arial" w:cs="Arial"/>
                <w:lang w:val="es-ES"/>
              </w:rPr>
              <w:t>l Decreto Supremo Nº 003-2011-</w:t>
            </w:r>
            <w:r w:rsidRPr="001C1C01">
              <w:rPr>
                <w:rFonts w:ascii="Arial" w:eastAsia="Calibri" w:hAnsi="Arial" w:cs="Arial"/>
                <w:lang w:val="es-ES"/>
              </w:rPr>
              <w:t>VIVIENDA, normatividad vigente rel</w:t>
            </w:r>
            <w:r>
              <w:rPr>
                <w:rFonts w:ascii="Arial" w:eastAsia="Calibri" w:hAnsi="Arial" w:cs="Arial"/>
                <w:lang w:val="es-ES"/>
              </w:rPr>
              <w:t xml:space="preserve">acionada a los Valores Máximos </w:t>
            </w:r>
            <w:r w:rsidRPr="001C1C01">
              <w:rPr>
                <w:rFonts w:ascii="Arial" w:eastAsia="Calibri" w:hAnsi="Arial" w:cs="Arial"/>
                <w:lang w:val="es-ES"/>
              </w:rPr>
              <w:t xml:space="preserve">Admisibles (VMA) de las descargas </w:t>
            </w:r>
            <w:r>
              <w:rPr>
                <w:rFonts w:ascii="Arial" w:eastAsia="Calibri" w:hAnsi="Arial" w:cs="Arial"/>
                <w:lang w:val="es-ES"/>
              </w:rPr>
              <w:t xml:space="preserve">residuales no domésticas en el </w:t>
            </w:r>
            <w:r w:rsidRPr="001C1C01">
              <w:rPr>
                <w:rFonts w:ascii="Arial" w:eastAsia="Calibri" w:hAnsi="Arial" w:cs="Arial"/>
                <w:lang w:val="es-ES"/>
              </w:rPr>
              <w:t>sistema de alcantarillado sanitario.</w:t>
            </w:r>
            <w:r w:rsidRPr="001C1C01">
              <w:rPr>
                <w:rFonts w:ascii="Arial" w:eastAsia="Calibri" w:hAnsi="Arial" w:cs="Arial"/>
                <w:lang w:val="es-ES"/>
              </w:rPr>
              <w:tab/>
            </w:r>
          </w:p>
          <w:p w:rsidR="00466F0F" w:rsidRPr="001C1C01" w:rsidRDefault="00466F0F" w:rsidP="00466F0F">
            <w:pPr>
              <w:contextualSpacing/>
              <w:jc w:val="both"/>
              <w:rPr>
                <w:rFonts w:ascii="Arial" w:eastAsia="Calibri" w:hAnsi="Arial" w:cs="Arial"/>
                <w:lang w:val="es-ES"/>
              </w:rPr>
            </w:pPr>
            <w:r w:rsidRPr="001C1C01">
              <w:rPr>
                <w:rFonts w:ascii="Arial" w:eastAsia="Calibri" w:hAnsi="Arial" w:cs="Arial"/>
                <w:lang w:val="es-ES"/>
              </w:rPr>
              <w:tab/>
            </w:r>
            <w:r w:rsidRPr="001C1C01">
              <w:rPr>
                <w:rFonts w:ascii="Arial" w:eastAsia="Calibri" w:hAnsi="Arial" w:cs="Arial"/>
                <w:lang w:val="es-ES"/>
              </w:rPr>
              <w:tab/>
            </w:r>
          </w:p>
          <w:p w:rsidR="00466F0F" w:rsidRDefault="00466F0F" w:rsidP="00466F0F">
            <w:pPr>
              <w:contextualSpacing/>
              <w:jc w:val="both"/>
              <w:rPr>
                <w:rFonts w:ascii="Arial" w:eastAsia="Calibri" w:hAnsi="Arial" w:cs="Arial"/>
                <w:lang w:val="es-ES"/>
              </w:rPr>
            </w:pPr>
            <w:r w:rsidRPr="001C1C01">
              <w:rPr>
                <w:rFonts w:ascii="Arial" w:eastAsia="Calibri" w:hAnsi="Arial" w:cs="Arial"/>
                <w:lang w:val="es-ES"/>
              </w:rPr>
              <w:t>Asimismo, deberá considerar los alcanc</w:t>
            </w:r>
            <w:r>
              <w:rPr>
                <w:rFonts w:ascii="Arial" w:eastAsia="Calibri" w:hAnsi="Arial" w:cs="Arial"/>
                <w:lang w:val="es-ES"/>
              </w:rPr>
              <w:t>es del Decreto Supremo Nº 008-</w:t>
            </w:r>
            <w:r>
              <w:rPr>
                <w:rFonts w:ascii="Arial" w:eastAsia="Calibri" w:hAnsi="Arial" w:cs="Arial"/>
                <w:lang w:val="es-ES"/>
              </w:rPr>
              <w:tab/>
            </w:r>
            <w:r w:rsidRPr="001C1C01">
              <w:rPr>
                <w:rFonts w:ascii="Arial" w:eastAsia="Calibri" w:hAnsi="Arial" w:cs="Arial"/>
                <w:lang w:val="es-ES"/>
              </w:rPr>
              <w:t>2013-VIVIENDA, Decreto Supremo 004</w:t>
            </w:r>
            <w:r>
              <w:rPr>
                <w:rFonts w:ascii="Arial" w:eastAsia="Calibri" w:hAnsi="Arial" w:cs="Arial"/>
                <w:lang w:val="es-ES"/>
              </w:rPr>
              <w:t xml:space="preserve">-2011-VIVIENDA, la Ley Nº29090 </w:t>
            </w:r>
            <w:r w:rsidRPr="001C1C01">
              <w:rPr>
                <w:rFonts w:ascii="Arial" w:eastAsia="Calibri" w:hAnsi="Arial" w:cs="Arial"/>
                <w:lang w:val="es-ES"/>
              </w:rPr>
              <w:t>y su reglamento y normatividad vigente rel</w:t>
            </w:r>
            <w:r>
              <w:rPr>
                <w:rFonts w:ascii="Arial" w:eastAsia="Calibri" w:hAnsi="Arial" w:cs="Arial"/>
                <w:lang w:val="es-ES"/>
              </w:rPr>
              <w:t xml:space="preserve">acionada con el espacio físico </w:t>
            </w:r>
            <w:r w:rsidRPr="001C1C01">
              <w:rPr>
                <w:rFonts w:ascii="Arial" w:eastAsia="Calibri" w:hAnsi="Arial" w:cs="Arial"/>
                <w:lang w:val="es-ES"/>
              </w:rPr>
              <w:t>y los usos del suelo.</w:t>
            </w:r>
            <w:r w:rsidRPr="001C1C01">
              <w:rPr>
                <w:rFonts w:ascii="Arial" w:eastAsia="Calibri" w:hAnsi="Arial" w:cs="Arial"/>
                <w:lang w:val="es-ES"/>
              </w:rPr>
              <w:tab/>
            </w:r>
          </w:p>
        </w:tc>
      </w:tr>
      <w:tr w:rsidR="00466F0F" w:rsidTr="00466F0F">
        <w:tc>
          <w:tcPr>
            <w:tcW w:w="704" w:type="dxa"/>
          </w:tcPr>
          <w:p w:rsidR="00466F0F" w:rsidRDefault="00466F0F" w:rsidP="00466F0F">
            <w:pPr>
              <w:contextualSpacing/>
              <w:jc w:val="both"/>
              <w:rPr>
                <w:rFonts w:ascii="Arial" w:eastAsia="Calibri" w:hAnsi="Arial" w:cs="Arial"/>
                <w:lang w:val="es-ES"/>
              </w:rPr>
            </w:pPr>
          </w:p>
        </w:tc>
        <w:tc>
          <w:tcPr>
            <w:tcW w:w="9492" w:type="dxa"/>
          </w:tcPr>
          <w:p w:rsidR="00466F0F" w:rsidRPr="001C1C01" w:rsidRDefault="00466F0F" w:rsidP="00466F0F">
            <w:pPr>
              <w:contextualSpacing/>
              <w:jc w:val="both"/>
              <w:rPr>
                <w:rFonts w:ascii="Arial" w:eastAsia="Calibri" w:hAnsi="Arial" w:cs="Arial"/>
                <w:lang w:val="es-ES"/>
              </w:rPr>
            </w:pPr>
            <w:r w:rsidRPr="001C1C01">
              <w:rPr>
                <w:rFonts w:ascii="Arial" w:eastAsia="Calibri" w:hAnsi="Arial" w:cs="Arial"/>
                <w:lang w:val="es-ES"/>
              </w:rPr>
              <w:t>4.2. Aspectos económico-financieros de</w:t>
            </w:r>
            <w:r>
              <w:rPr>
                <w:rFonts w:ascii="Arial" w:eastAsia="Calibri" w:hAnsi="Arial" w:cs="Arial"/>
                <w:lang w:val="es-ES"/>
              </w:rPr>
              <w:t xml:space="preserve">l proyecto: Se deben sustentar </w:t>
            </w:r>
            <w:r w:rsidRPr="001C1C01">
              <w:rPr>
                <w:rFonts w:ascii="Arial" w:eastAsia="Calibri" w:hAnsi="Arial" w:cs="Arial"/>
                <w:lang w:val="es-ES"/>
              </w:rPr>
              <w:t>mediante la utilización de los indicadores</w:t>
            </w:r>
            <w:r>
              <w:rPr>
                <w:rFonts w:ascii="Arial" w:eastAsia="Calibri" w:hAnsi="Arial" w:cs="Arial"/>
                <w:lang w:val="es-ES"/>
              </w:rPr>
              <w:t xml:space="preserve"> de rentabilidad más aceptados </w:t>
            </w:r>
            <w:r w:rsidRPr="001C1C01">
              <w:rPr>
                <w:rFonts w:ascii="Arial" w:eastAsia="Calibri" w:hAnsi="Arial" w:cs="Arial"/>
                <w:lang w:val="es-ES"/>
              </w:rPr>
              <w:t>(al menos el Valor Actual Neto - VAN y la</w:t>
            </w:r>
            <w:r>
              <w:rPr>
                <w:rFonts w:ascii="Arial" w:eastAsia="Calibri" w:hAnsi="Arial" w:cs="Arial"/>
                <w:lang w:val="es-ES"/>
              </w:rPr>
              <w:t xml:space="preserve"> Relación Beneficio-Costo - B/</w:t>
            </w:r>
            <w:r w:rsidRPr="001C1C01">
              <w:rPr>
                <w:rFonts w:ascii="Arial" w:eastAsia="Calibri" w:hAnsi="Arial" w:cs="Arial"/>
                <w:lang w:val="es-ES"/>
              </w:rPr>
              <w:t>C). Como mínimo, deberá contener:</w:t>
            </w:r>
            <w:r w:rsidRPr="001C1C01">
              <w:rPr>
                <w:rFonts w:ascii="Arial" w:eastAsia="Calibri" w:hAnsi="Arial" w:cs="Arial"/>
                <w:lang w:val="es-ES"/>
              </w:rPr>
              <w:tab/>
            </w:r>
          </w:p>
          <w:p w:rsidR="00466F0F" w:rsidRPr="001C1C01" w:rsidRDefault="00466F0F" w:rsidP="0092471C">
            <w:pPr>
              <w:pStyle w:val="Prrafodelista"/>
              <w:numPr>
                <w:ilvl w:val="0"/>
                <w:numId w:val="250"/>
              </w:numPr>
              <w:jc w:val="both"/>
              <w:rPr>
                <w:rFonts w:ascii="Arial" w:eastAsia="Calibri" w:hAnsi="Arial" w:cs="Arial"/>
                <w:lang w:val="es-ES"/>
              </w:rPr>
            </w:pPr>
            <w:r w:rsidRPr="001C1C01">
              <w:rPr>
                <w:rFonts w:ascii="Arial" w:eastAsia="Calibri" w:hAnsi="Arial" w:cs="Arial"/>
                <w:lang w:val="es-ES"/>
              </w:rPr>
              <w:t>Flujo de caja descontado, que demuestre la rentabilidad del proyecto,</w:t>
            </w:r>
            <w:r w:rsidRPr="001C1C01">
              <w:rPr>
                <w:rFonts w:ascii="Arial" w:eastAsia="Calibri" w:hAnsi="Arial" w:cs="Arial"/>
                <w:lang w:val="es-ES"/>
              </w:rPr>
              <w:tab/>
              <w:t>según los indicadores de rentabilidad económica y financiera mencionados</w:t>
            </w:r>
            <w:r w:rsidRPr="001C1C01">
              <w:rPr>
                <w:rFonts w:ascii="Arial" w:eastAsia="Calibri" w:hAnsi="Arial" w:cs="Arial"/>
                <w:lang w:val="es-ES"/>
              </w:rPr>
              <w:tab/>
              <w:t>y consideraciones legales y técnicas que el tipo de proyecto requiera.</w:t>
            </w:r>
            <w:r w:rsidRPr="001C1C01">
              <w:rPr>
                <w:rFonts w:ascii="Arial" w:eastAsia="Calibri" w:hAnsi="Arial" w:cs="Arial"/>
                <w:lang w:val="es-ES"/>
              </w:rPr>
              <w:tab/>
            </w:r>
          </w:p>
          <w:p w:rsidR="00466F0F" w:rsidRPr="001C1C01" w:rsidRDefault="00466F0F" w:rsidP="0092471C">
            <w:pPr>
              <w:pStyle w:val="Prrafodelista"/>
              <w:numPr>
                <w:ilvl w:val="0"/>
                <w:numId w:val="250"/>
              </w:numPr>
              <w:jc w:val="both"/>
              <w:rPr>
                <w:rFonts w:ascii="Arial" w:eastAsia="Calibri" w:hAnsi="Arial" w:cs="Arial"/>
                <w:lang w:val="es-ES"/>
              </w:rPr>
            </w:pPr>
            <w:r w:rsidRPr="001C1C01">
              <w:rPr>
                <w:rFonts w:ascii="Arial" w:eastAsia="Calibri" w:hAnsi="Arial" w:cs="Arial"/>
                <w:lang w:val="es-ES"/>
              </w:rPr>
              <w:t>Estimación de inversiones necesarias y el programa de inversiones detallado.</w:t>
            </w:r>
            <w:r w:rsidRPr="001C1C01">
              <w:rPr>
                <w:rFonts w:ascii="Arial" w:eastAsia="Calibri" w:hAnsi="Arial" w:cs="Arial"/>
                <w:lang w:val="es-ES"/>
              </w:rPr>
              <w:tab/>
            </w:r>
          </w:p>
          <w:p w:rsidR="00466F0F" w:rsidRPr="001C1C01" w:rsidRDefault="00466F0F" w:rsidP="0092471C">
            <w:pPr>
              <w:pStyle w:val="Prrafodelista"/>
              <w:numPr>
                <w:ilvl w:val="0"/>
                <w:numId w:val="250"/>
              </w:numPr>
              <w:jc w:val="both"/>
              <w:rPr>
                <w:rFonts w:ascii="Arial" w:eastAsia="Calibri" w:hAnsi="Arial" w:cs="Arial"/>
                <w:lang w:val="es-ES"/>
              </w:rPr>
            </w:pPr>
            <w:r w:rsidRPr="001C1C01">
              <w:rPr>
                <w:rFonts w:ascii="Arial" w:eastAsia="Calibri" w:hAnsi="Arial" w:cs="Arial"/>
                <w:lang w:val="es-ES"/>
              </w:rPr>
              <w:t>Estimación de la generación de empleos directos e indirectos y de otros</w:t>
            </w:r>
            <w:r w:rsidRPr="001C1C01">
              <w:rPr>
                <w:rFonts w:ascii="Arial" w:eastAsia="Calibri" w:hAnsi="Arial" w:cs="Arial"/>
                <w:lang w:val="es-ES"/>
              </w:rPr>
              <w:tab/>
            </w:r>
            <w:r>
              <w:rPr>
                <w:rFonts w:ascii="Arial" w:eastAsia="Calibri" w:hAnsi="Arial" w:cs="Arial"/>
                <w:lang w:val="es-ES"/>
              </w:rPr>
              <w:t xml:space="preserve">beneficios </w:t>
            </w:r>
            <w:r w:rsidRPr="001C1C01">
              <w:rPr>
                <w:rFonts w:ascii="Arial" w:eastAsia="Calibri" w:hAnsi="Arial" w:cs="Arial"/>
                <w:lang w:val="es-ES"/>
              </w:rPr>
              <w:t>relevantes para la zona de influencia en que éste se ejecute.</w:t>
            </w:r>
            <w:r w:rsidRPr="001C1C01">
              <w:rPr>
                <w:rFonts w:ascii="Arial" w:eastAsia="Calibri" w:hAnsi="Arial" w:cs="Arial"/>
                <w:lang w:val="es-ES"/>
              </w:rPr>
              <w:tab/>
            </w:r>
          </w:p>
        </w:tc>
      </w:tr>
      <w:tr w:rsidR="00466F0F" w:rsidTr="00466F0F">
        <w:tc>
          <w:tcPr>
            <w:tcW w:w="704" w:type="dxa"/>
          </w:tcPr>
          <w:p w:rsidR="00466F0F" w:rsidRDefault="00466F0F" w:rsidP="00466F0F">
            <w:pPr>
              <w:contextualSpacing/>
              <w:jc w:val="both"/>
              <w:rPr>
                <w:rFonts w:ascii="Arial" w:eastAsia="Calibri" w:hAnsi="Arial" w:cs="Arial"/>
                <w:lang w:val="es-ES"/>
              </w:rPr>
            </w:pPr>
          </w:p>
        </w:tc>
        <w:tc>
          <w:tcPr>
            <w:tcW w:w="9492" w:type="dxa"/>
          </w:tcPr>
          <w:p w:rsidR="00466F0F" w:rsidRPr="00BF425F" w:rsidRDefault="00466F0F" w:rsidP="00466F0F">
            <w:pPr>
              <w:contextualSpacing/>
              <w:jc w:val="both"/>
              <w:rPr>
                <w:rFonts w:ascii="Arial" w:eastAsia="Calibri" w:hAnsi="Arial" w:cs="Arial"/>
                <w:lang w:val="es-ES"/>
              </w:rPr>
            </w:pPr>
            <w:r w:rsidRPr="00BF425F">
              <w:rPr>
                <w:rFonts w:ascii="Arial" w:eastAsia="Calibri" w:hAnsi="Arial" w:cs="Arial"/>
                <w:lang w:val="es-ES"/>
              </w:rPr>
              <w:t>4.3. Aspectos legales del proyecto: Se</w:t>
            </w:r>
            <w:r>
              <w:rPr>
                <w:rFonts w:ascii="Arial" w:eastAsia="Calibri" w:hAnsi="Arial" w:cs="Arial"/>
                <w:lang w:val="es-ES"/>
              </w:rPr>
              <w:t xml:space="preserve"> debe sustentar con la partida </w:t>
            </w:r>
            <w:r w:rsidRPr="00BF425F">
              <w:rPr>
                <w:rFonts w:ascii="Arial" w:eastAsia="Calibri" w:hAnsi="Arial" w:cs="Arial"/>
                <w:lang w:val="es-ES"/>
              </w:rPr>
              <w:t>registral acreditando la titularidad del bien</w:t>
            </w:r>
            <w:r>
              <w:rPr>
                <w:rFonts w:ascii="Arial" w:eastAsia="Calibri" w:hAnsi="Arial" w:cs="Arial"/>
                <w:lang w:val="es-ES"/>
              </w:rPr>
              <w:t xml:space="preserve">, la misma que no deberá tener </w:t>
            </w:r>
            <w:r w:rsidRPr="00BF425F">
              <w:rPr>
                <w:rFonts w:ascii="Arial" w:eastAsia="Calibri" w:hAnsi="Arial" w:cs="Arial"/>
                <w:lang w:val="es-ES"/>
              </w:rPr>
              <w:t>una antigüedad mayor a 30 días de haber sido expedido por la SUNARP.</w:t>
            </w:r>
            <w:r w:rsidRPr="00BF425F">
              <w:rPr>
                <w:rFonts w:ascii="Arial" w:eastAsia="Calibri" w:hAnsi="Arial" w:cs="Arial"/>
                <w:lang w:val="es-ES"/>
              </w:rPr>
              <w:tab/>
            </w:r>
          </w:p>
          <w:p w:rsidR="00466F0F" w:rsidRPr="00BF425F" w:rsidRDefault="00466F0F" w:rsidP="00466F0F">
            <w:pPr>
              <w:contextualSpacing/>
              <w:jc w:val="both"/>
              <w:rPr>
                <w:rFonts w:ascii="Arial" w:eastAsia="Calibri" w:hAnsi="Arial" w:cs="Arial"/>
                <w:lang w:val="es-ES"/>
              </w:rPr>
            </w:pPr>
            <w:r w:rsidRPr="00BF425F">
              <w:rPr>
                <w:rFonts w:ascii="Arial" w:eastAsia="Calibri" w:hAnsi="Arial" w:cs="Arial"/>
                <w:lang w:val="es-ES"/>
              </w:rPr>
              <w:t>Asimismo, se debe presentar documentac</w:t>
            </w:r>
            <w:r>
              <w:rPr>
                <w:rFonts w:ascii="Arial" w:eastAsia="Calibri" w:hAnsi="Arial" w:cs="Arial"/>
                <w:lang w:val="es-ES"/>
              </w:rPr>
              <w:t xml:space="preserve">ión sustentando la voluntad de </w:t>
            </w:r>
            <w:r w:rsidRPr="00BF425F">
              <w:rPr>
                <w:rFonts w:ascii="Arial" w:eastAsia="Calibri" w:hAnsi="Arial" w:cs="Arial"/>
                <w:lang w:val="es-ES"/>
              </w:rPr>
              <w:t>la entidad titular del bien, para venderlo.</w:t>
            </w:r>
            <w:r w:rsidRPr="00BF425F">
              <w:rPr>
                <w:rFonts w:ascii="Arial" w:eastAsia="Calibri" w:hAnsi="Arial" w:cs="Arial"/>
                <w:lang w:val="es-ES"/>
              </w:rPr>
              <w:tab/>
            </w:r>
          </w:p>
          <w:p w:rsidR="00466F0F" w:rsidRDefault="00466F0F" w:rsidP="00466F0F">
            <w:pPr>
              <w:contextualSpacing/>
              <w:jc w:val="both"/>
              <w:rPr>
                <w:rFonts w:ascii="Arial" w:eastAsia="Calibri" w:hAnsi="Arial" w:cs="Arial"/>
                <w:lang w:val="es-ES"/>
              </w:rPr>
            </w:pPr>
          </w:p>
        </w:tc>
      </w:tr>
      <w:tr w:rsidR="00466F0F" w:rsidTr="00466F0F">
        <w:tc>
          <w:tcPr>
            <w:tcW w:w="704" w:type="dxa"/>
          </w:tcPr>
          <w:p w:rsidR="00466F0F" w:rsidRDefault="00466F0F" w:rsidP="00466F0F">
            <w:pPr>
              <w:contextualSpacing/>
              <w:jc w:val="both"/>
              <w:rPr>
                <w:rFonts w:ascii="Arial" w:eastAsia="Calibri" w:hAnsi="Arial" w:cs="Arial"/>
                <w:lang w:val="es-ES"/>
              </w:rPr>
            </w:pPr>
          </w:p>
        </w:tc>
        <w:tc>
          <w:tcPr>
            <w:tcW w:w="9492" w:type="dxa"/>
          </w:tcPr>
          <w:p w:rsidR="00466F0F" w:rsidRPr="00BF425F" w:rsidRDefault="00466F0F" w:rsidP="00466F0F">
            <w:pPr>
              <w:contextualSpacing/>
              <w:jc w:val="both"/>
              <w:rPr>
                <w:rFonts w:ascii="Arial" w:eastAsia="Calibri" w:hAnsi="Arial" w:cs="Arial"/>
                <w:lang w:val="es-ES"/>
              </w:rPr>
            </w:pPr>
            <w:r w:rsidRPr="00BF425F">
              <w:rPr>
                <w:rFonts w:ascii="Arial" w:eastAsia="Calibri" w:hAnsi="Arial" w:cs="Arial"/>
                <w:lang w:val="es-ES"/>
              </w:rPr>
              <w:t>4.4. Aspectos ambientales del proyecto: El proyecto deberá contar con</w:t>
            </w:r>
            <w:r w:rsidRPr="00BF425F">
              <w:rPr>
                <w:rFonts w:ascii="Arial" w:eastAsia="Calibri" w:hAnsi="Arial" w:cs="Arial"/>
                <w:lang w:val="es-ES"/>
              </w:rPr>
              <w:tab/>
            </w:r>
            <w:r>
              <w:rPr>
                <w:rFonts w:ascii="Arial" w:eastAsia="Calibri" w:hAnsi="Arial" w:cs="Arial"/>
                <w:lang w:val="es-ES"/>
              </w:rPr>
              <w:t xml:space="preserve"> </w:t>
            </w:r>
            <w:r w:rsidRPr="00BF425F">
              <w:rPr>
                <w:rFonts w:ascii="Arial" w:eastAsia="Calibri" w:hAnsi="Arial" w:cs="Arial"/>
                <w:lang w:val="es-ES"/>
              </w:rPr>
              <w:t>un componente de manejo ambienta</w:t>
            </w:r>
            <w:r>
              <w:rPr>
                <w:rFonts w:ascii="Arial" w:eastAsia="Calibri" w:hAnsi="Arial" w:cs="Arial"/>
                <w:lang w:val="es-ES"/>
              </w:rPr>
              <w:t>l responsable. Dicho documento</w:t>
            </w:r>
            <w:r>
              <w:rPr>
                <w:rFonts w:ascii="Arial" w:eastAsia="Calibri" w:hAnsi="Arial" w:cs="Arial"/>
                <w:lang w:val="es-ES"/>
              </w:rPr>
              <w:tab/>
            </w:r>
            <w:r w:rsidRPr="00BF425F">
              <w:rPr>
                <w:rFonts w:ascii="Arial" w:eastAsia="Calibri" w:hAnsi="Arial" w:cs="Arial"/>
                <w:lang w:val="es-ES"/>
              </w:rPr>
              <w:t>no exime al administrado de obten</w:t>
            </w:r>
            <w:r>
              <w:rPr>
                <w:rFonts w:ascii="Arial" w:eastAsia="Calibri" w:hAnsi="Arial" w:cs="Arial"/>
                <w:lang w:val="es-ES"/>
              </w:rPr>
              <w:t xml:space="preserve">er, en una etapa posterior, la </w:t>
            </w:r>
            <w:r w:rsidRPr="00BF425F">
              <w:rPr>
                <w:rFonts w:ascii="Arial" w:eastAsia="Calibri" w:hAnsi="Arial" w:cs="Arial"/>
                <w:lang w:val="es-ES"/>
              </w:rPr>
              <w:t>certificación ambiental del proyecto emitida</w:t>
            </w:r>
            <w:r>
              <w:rPr>
                <w:rFonts w:ascii="Arial" w:eastAsia="Calibri" w:hAnsi="Arial" w:cs="Arial"/>
                <w:lang w:val="es-ES"/>
              </w:rPr>
              <w:t xml:space="preserve"> por la autoridad competente</w:t>
            </w:r>
            <w:r>
              <w:rPr>
                <w:rFonts w:ascii="Arial" w:eastAsia="Calibri" w:hAnsi="Arial" w:cs="Arial"/>
                <w:lang w:val="es-ES"/>
              </w:rPr>
              <w:tab/>
              <w:t xml:space="preserve"> </w:t>
            </w:r>
            <w:r w:rsidRPr="00BF425F">
              <w:rPr>
                <w:rFonts w:ascii="Arial" w:eastAsia="Calibri" w:hAnsi="Arial" w:cs="Arial"/>
                <w:lang w:val="es-ES"/>
              </w:rPr>
              <w:t>correspondiente a las características específicas del proyecto industrial.</w:t>
            </w:r>
            <w:r w:rsidRPr="00BF425F">
              <w:rPr>
                <w:rFonts w:ascii="Arial" w:eastAsia="Calibri" w:hAnsi="Arial" w:cs="Arial"/>
                <w:lang w:val="es-ES"/>
              </w:rPr>
              <w:tab/>
            </w:r>
          </w:p>
          <w:p w:rsidR="00466F0F" w:rsidRDefault="00466F0F" w:rsidP="00466F0F">
            <w:pPr>
              <w:contextualSpacing/>
              <w:jc w:val="both"/>
              <w:rPr>
                <w:rFonts w:ascii="Arial" w:eastAsia="Calibri" w:hAnsi="Arial" w:cs="Arial"/>
                <w:lang w:val="es-ES"/>
              </w:rPr>
            </w:pPr>
          </w:p>
        </w:tc>
      </w:tr>
      <w:tr w:rsidR="00466F0F" w:rsidTr="00466F0F">
        <w:tc>
          <w:tcPr>
            <w:tcW w:w="704" w:type="dxa"/>
          </w:tcPr>
          <w:p w:rsidR="00466F0F" w:rsidRDefault="00466F0F" w:rsidP="00466F0F">
            <w:pPr>
              <w:contextualSpacing/>
              <w:jc w:val="both"/>
              <w:rPr>
                <w:rFonts w:ascii="Arial" w:eastAsia="Calibri" w:hAnsi="Arial" w:cs="Arial"/>
                <w:lang w:val="es-ES"/>
              </w:rPr>
            </w:pPr>
            <w:r>
              <w:rPr>
                <w:rFonts w:ascii="Arial" w:eastAsia="Calibri" w:hAnsi="Arial" w:cs="Arial"/>
                <w:lang w:val="es-ES"/>
              </w:rPr>
              <w:t>5</w:t>
            </w:r>
          </w:p>
        </w:tc>
        <w:tc>
          <w:tcPr>
            <w:tcW w:w="9492" w:type="dxa"/>
          </w:tcPr>
          <w:p w:rsidR="00466F0F" w:rsidRDefault="00466F0F" w:rsidP="00466F0F">
            <w:pPr>
              <w:contextualSpacing/>
              <w:jc w:val="both"/>
              <w:rPr>
                <w:rFonts w:ascii="Arial" w:eastAsia="Calibri" w:hAnsi="Arial" w:cs="Arial"/>
                <w:lang w:val="es-ES"/>
              </w:rPr>
            </w:pPr>
            <w:r w:rsidRPr="00BF425F">
              <w:rPr>
                <w:rFonts w:ascii="Arial" w:eastAsia="Calibri" w:hAnsi="Arial" w:cs="Arial"/>
                <w:lang w:val="es-ES"/>
              </w:rPr>
              <w:t>El proyecto no debe perjudicar las cond</w:t>
            </w:r>
            <w:r>
              <w:rPr>
                <w:rFonts w:ascii="Arial" w:eastAsia="Calibri" w:hAnsi="Arial" w:cs="Arial"/>
                <w:lang w:val="es-ES"/>
              </w:rPr>
              <w:t xml:space="preserve">iciones de servicios básicos e </w:t>
            </w:r>
            <w:r w:rsidRPr="00BF425F">
              <w:rPr>
                <w:rFonts w:ascii="Arial" w:eastAsia="Calibri" w:hAnsi="Arial" w:cs="Arial"/>
                <w:lang w:val="es-ES"/>
              </w:rPr>
              <w:t>inversiones ya existentes en su ámbito de influencia.</w:t>
            </w:r>
          </w:p>
        </w:tc>
      </w:tr>
      <w:tr w:rsidR="00466F0F" w:rsidTr="00466F0F">
        <w:tc>
          <w:tcPr>
            <w:tcW w:w="704" w:type="dxa"/>
          </w:tcPr>
          <w:p w:rsidR="00466F0F" w:rsidRDefault="00466F0F" w:rsidP="00466F0F">
            <w:pPr>
              <w:contextualSpacing/>
              <w:jc w:val="both"/>
              <w:rPr>
                <w:rFonts w:ascii="Arial" w:eastAsia="Calibri" w:hAnsi="Arial" w:cs="Arial"/>
                <w:lang w:val="es-ES"/>
              </w:rPr>
            </w:pPr>
            <w:r>
              <w:rPr>
                <w:rFonts w:ascii="Arial" w:eastAsia="Calibri" w:hAnsi="Arial" w:cs="Arial"/>
                <w:lang w:val="es-ES"/>
              </w:rPr>
              <w:t>6</w:t>
            </w:r>
          </w:p>
        </w:tc>
        <w:tc>
          <w:tcPr>
            <w:tcW w:w="9492" w:type="dxa"/>
          </w:tcPr>
          <w:p w:rsidR="00466F0F" w:rsidRPr="00BF425F" w:rsidRDefault="00466F0F" w:rsidP="00466F0F">
            <w:pPr>
              <w:contextualSpacing/>
              <w:jc w:val="both"/>
              <w:rPr>
                <w:rFonts w:ascii="Arial" w:eastAsia="Calibri" w:hAnsi="Arial" w:cs="Arial"/>
                <w:lang w:val="es-ES"/>
              </w:rPr>
            </w:pPr>
            <w:r w:rsidRPr="00BF425F">
              <w:rPr>
                <w:rFonts w:ascii="Arial" w:eastAsia="Calibri" w:hAnsi="Arial" w:cs="Arial"/>
                <w:lang w:val="es-ES"/>
              </w:rPr>
              <w:t xml:space="preserve">El Gobierno Regional deberá informar al </w:t>
            </w:r>
            <w:r>
              <w:rPr>
                <w:rFonts w:ascii="Arial" w:eastAsia="Calibri" w:hAnsi="Arial" w:cs="Arial"/>
                <w:lang w:val="es-ES"/>
              </w:rPr>
              <w:t xml:space="preserve">Ministerio de la Producción el </w:t>
            </w:r>
            <w:r w:rsidRPr="00BF425F">
              <w:rPr>
                <w:rFonts w:ascii="Arial" w:eastAsia="Calibri" w:hAnsi="Arial" w:cs="Arial"/>
                <w:lang w:val="es-ES"/>
              </w:rPr>
              <w:t>hecho de la solicitud de declaratoria de i</w:t>
            </w:r>
            <w:r>
              <w:rPr>
                <w:rFonts w:ascii="Arial" w:eastAsia="Calibri" w:hAnsi="Arial" w:cs="Arial"/>
                <w:lang w:val="es-ES"/>
              </w:rPr>
              <w:t xml:space="preserve">nterés regional de un proyecto </w:t>
            </w:r>
            <w:r w:rsidRPr="00BF425F">
              <w:rPr>
                <w:rFonts w:ascii="Arial" w:eastAsia="Calibri" w:hAnsi="Arial" w:cs="Arial"/>
                <w:lang w:val="es-ES"/>
              </w:rPr>
              <w:t>industrial.</w:t>
            </w:r>
            <w:r w:rsidRPr="00BF425F">
              <w:rPr>
                <w:rFonts w:ascii="Arial" w:eastAsia="Calibri" w:hAnsi="Arial" w:cs="Arial"/>
                <w:lang w:val="es-ES"/>
              </w:rPr>
              <w:tab/>
            </w:r>
          </w:p>
          <w:p w:rsidR="00466F0F" w:rsidRDefault="00466F0F" w:rsidP="00466F0F">
            <w:pPr>
              <w:contextualSpacing/>
              <w:jc w:val="both"/>
              <w:rPr>
                <w:rFonts w:ascii="Arial" w:eastAsia="Calibri" w:hAnsi="Arial" w:cs="Arial"/>
                <w:lang w:val="es-ES"/>
              </w:rPr>
            </w:pPr>
          </w:p>
        </w:tc>
      </w:tr>
      <w:tr w:rsidR="00466F0F" w:rsidTr="00466F0F">
        <w:tc>
          <w:tcPr>
            <w:tcW w:w="704" w:type="dxa"/>
          </w:tcPr>
          <w:p w:rsidR="00466F0F" w:rsidRDefault="00466F0F" w:rsidP="00466F0F">
            <w:pPr>
              <w:contextualSpacing/>
              <w:jc w:val="both"/>
              <w:rPr>
                <w:rFonts w:ascii="Arial" w:eastAsia="Calibri" w:hAnsi="Arial" w:cs="Arial"/>
                <w:lang w:val="es-ES"/>
              </w:rPr>
            </w:pPr>
            <w:r>
              <w:rPr>
                <w:rFonts w:ascii="Arial" w:eastAsia="Calibri" w:hAnsi="Arial" w:cs="Arial"/>
                <w:lang w:val="es-ES"/>
              </w:rPr>
              <w:t>7</w:t>
            </w:r>
          </w:p>
        </w:tc>
        <w:tc>
          <w:tcPr>
            <w:tcW w:w="9492" w:type="dxa"/>
          </w:tcPr>
          <w:p w:rsidR="00466F0F" w:rsidRPr="00BF425F" w:rsidRDefault="00466F0F" w:rsidP="00466F0F">
            <w:pPr>
              <w:contextualSpacing/>
              <w:jc w:val="both"/>
              <w:rPr>
                <w:rFonts w:ascii="Arial" w:eastAsia="Calibri" w:hAnsi="Arial" w:cs="Arial"/>
                <w:lang w:val="es-ES"/>
              </w:rPr>
            </w:pPr>
            <w:r w:rsidRPr="00BF425F">
              <w:rPr>
                <w:rFonts w:ascii="Arial" w:eastAsia="Calibri" w:hAnsi="Arial" w:cs="Arial"/>
                <w:lang w:val="es-ES"/>
              </w:rPr>
              <w:t xml:space="preserve">La declaración de interés regional se </w:t>
            </w:r>
            <w:r>
              <w:rPr>
                <w:rFonts w:ascii="Arial" w:eastAsia="Calibri" w:hAnsi="Arial" w:cs="Arial"/>
                <w:lang w:val="es-ES"/>
              </w:rPr>
              <w:t xml:space="preserve">mantendrá en tanto el proyecto </w:t>
            </w:r>
            <w:r w:rsidRPr="00BF425F">
              <w:rPr>
                <w:rFonts w:ascii="Arial" w:eastAsia="Calibri" w:hAnsi="Arial" w:cs="Arial"/>
                <w:lang w:val="es-ES"/>
              </w:rPr>
              <w:t>aprobado cumpla con sus fines. En ese sent</w:t>
            </w:r>
            <w:r>
              <w:rPr>
                <w:rFonts w:ascii="Arial" w:eastAsia="Calibri" w:hAnsi="Arial" w:cs="Arial"/>
                <w:lang w:val="es-ES"/>
              </w:rPr>
              <w:t xml:space="preserve">ido, la declaración de interés </w:t>
            </w:r>
            <w:r w:rsidRPr="00BF425F">
              <w:rPr>
                <w:rFonts w:ascii="Arial" w:eastAsia="Calibri" w:hAnsi="Arial" w:cs="Arial"/>
                <w:lang w:val="es-ES"/>
              </w:rPr>
              <w:t>regional contendrá una cláusula de rever</w:t>
            </w:r>
            <w:r>
              <w:rPr>
                <w:rFonts w:ascii="Arial" w:eastAsia="Calibri" w:hAnsi="Arial" w:cs="Arial"/>
                <w:lang w:val="es-ES"/>
              </w:rPr>
              <w:t xml:space="preserve">sión en la que se establecerá, </w:t>
            </w:r>
            <w:r w:rsidRPr="00BF425F">
              <w:rPr>
                <w:rFonts w:ascii="Arial" w:eastAsia="Calibri" w:hAnsi="Arial" w:cs="Arial"/>
                <w:lang w:val="es-ES"/>
              </w:rPr>
              <w:t>para la ejecución del proyecto, un plaz</w:t>
            </w:r>
            <w:r>
              <w:rPr>
                <w:rFonts w:ascii="Arial" w:eastAsia="Calibri" w:hAnsi="Arial" w:cs="Arial"/>
                <w:lang w:val="es-ES"/>
              </w:rPr>
              <w:t xml:space="preserve">o máximo de dos años, contados </w:t>
            </w:r>
            <w:r w:rsidRPr="00BF425F">
              <w:rPr>
                <w:rFonts w:ascii="Arial" w:eastAsia="Calibri" w:hAnsi="Arial" w:cs="Arial"/>
                <w:lang w:val="es-ES"/>
              </w:rPr>
              <w:t xml:space="preserve">desde la fecha de la emisión de la Resolución Regional. </w:t>
            </w:r>
            <w:r>
              <w:rPr>
                <w:rFonts w:ascii="Arial" w:eastAsia="Calibri" w:hAnsi="Arial" w:cs="Arial"/>
                <w:lang w:val="es-ES"/>
              </w:rPr>
              <w:t>En ese sentido,</w:t>
            </w:r>
            <w:r>
              <w:rPr>
                <w:rFonts w:ascii="Arial" w:eastAsia="Calibri" w:hAnsi="Arial" w:cs="Arial"/>
                <w:lang w:val="es-ES"/>
              </w:rPr>
              <w:tab/>
            </w:r>
            <w:r w:rsidRPr="00BF425F">
              <w:rPr>
                <w:rFonts w:ascii="Arial" w:eastAsia="Calibri" w:hAnsi="Arial" w:cs="Arial"/>
                <w:lang w:val="es-ES"/>
              </w:rPr>
              <w:t>la declaración de interés regional conten</w:t>
            </w:r>
            <w:r>
              <w:rPr>
                <w:rFonts w:ascii="Arial" w:eastAsia="Calibri" w:hAnsi="Arial" w:cs="Arial"/>
                <w:lang w:val="es-ES"/>
              </w:rPr>
              <w:t xml:space="preserve">drá una cláusula de reversión; </w:t>
            </w:r>
            <w:r w:rsidRPr="00BF425F">
              <w:rPr>
                <w:rFonts w:ascii="Arial" w:eastAsia="Calibri" w:hAnsi="Arial" w:cs="Arial"/>
                <w:lang w:val="es-ES"/>
              </w:rPr>
              <w:t>asimismo, incluirá un artículo que seña</w:t>
            </w:r>
            <w:r>
              <w:rPr>
                <w:rFonts w:ascii="Arial" w:eastAsia="Calibri" w:hAnsi="Arial" w:cs="Arial"/>
                <w:lang w:val="es-ES"/>
              </w:rPr>
              <w:t>le expresamente la prohibición</w:t>
            </w:r>
            <w:r>
              <w:rPr>
                <w:rFonts w:ascii="Arial" w:eastAsia="Calibri" w:hAnsi="Arial" w:cs="Arial"/>
                <w:lang w:val="es-ES"/>
              </w:rPr>
              <w:tab/>
            </w:r>
            <w:r w:rsidRPr="00BF425F">
              <w:rPr>
                <w:rFonts w:ascii="Arial" w:eastAsia="Calibri" w:hAnsi="Arial" w:cs="Arial"/>
                <w:lang w:val="es-ES"/>
              </w:rPr>
              <w:t>del uso del terreno o parte del mismo para f</w:t>
            </w:r>
            <w:r>
              <w:rPr>
                <w:rFonts w:ascii="Arial" w:eastAsia="Calibri" w:hAnsi="Arial" w:cs="Arial"/>
                <w:lang w:val="es-ES"/>
              </w:rPr>
              <w:t xml:space="preserve">ines de vivienda u otros fines </w:t>
            </w:r>
            <w:r w:rsidRPr="00BF425F">
              <w:rPr>
                <w:rFonts w:ascii="Arial" w:eastAsia="Calibri" w:hAnsi="Arial" w:cs="Arial"/>
                <w:lang w:val="es-ES"/>
              </w:rPr>
              <w:t>incompatibles a los industriales.</w:t>
            </w:r>
            <w:r w:rsidRPr="00BF425F">
              <w:rPr>
                <w:rFonts w:ascii="Arial" w:eastAsia="Calibri" w:hAnsi="Arial" w:cs="Arial"/>
                <w:lang w:val="es-ES"/>
              </w:rPr>
              <w:tab/>
            </w:r>
          </w:p>
          <w:p w:rsidR="00466F0F" w:rsidRDefault="00466F0F" w:rsidP="00466F0F">
            <w:pPr>
              <w:contextualSpacing/>
              <w:jc w:val="both"/>
              <w:rPr>
                <w:rFonts w:ascii="Arial" w:eastAsia="Calibri" w:hAnsi="Arial" w:cs="Arial"/>
                <w:lang w:val="es-ES"/>
              </w:rPr>
            </w:pPr>
          </w:p>
        </w:tc>
      </w:tr>
      <w:tr w:rsidR="00466F0F" w:rsidTr="00466F0F">
        <w:tc>
          <w:tcPr>
            <w:tcW w:w="704" w:type="dxa"/>
          </w:tcPr>
          <w:p w:rsidR="00466F0F" w:rsidRDefault="00466F0F" w:rsidP="00466F0F">
            <w:pPr>
              <w:contextualSpacing/>
              <w:jc w:val="both"/>
              <w:rPr>
                <w:rFonts w:ascii="Arial" w:eastAsia="Calibri" w:hAnsi="Arial" w:cs="Arial"/>
                <w:lang w:val="es-ES"/>
              </w:rPr>
            </w:pPr>
            <w:r>
              <w:rPr>
                <w:rFonts w:ascii="Arial" w:eastAsia="Calibri" w:hAnsi="Arial" w:cs="Arial"/>
                <w:lang w:val="es-ES"/>
              </w:rPr>
              <w:t>8</w:t>
            </w:r>
          </w:p>
        </w:tc>
        <w:tc>
          <w:tcPr>
            <w:tcW w:w="9492" w:type="dxa"/>
          </w:tcPr>
          <w:p w:rsidR="00466F0F" w:rsidRDefault="00466F0F" w:rsidP="00466F0F">
            <w:pPr>
              <w:contextualSpacing/>
              <w:jc w:val="both"/>
              <w:rPr>
                <w:rFonts w:ascii="Arial" w:eastAsia="Calibri" w:hAnsi="Arial" w:cs="Arial"/>
                <w:lang w:val="es-ES"/>
              </w:rPr>
            </w:pPr>
            <w:r w:rsidRPr="00BF425F">
              <w:rPr>
                <w:rFonts w:ascii="Arial" w:eastAsia="Calibri" w:hAnsi="Arial" w:cs="Arial"/>
                <w:lang w:val="es-ES"/>
              </w:rPr>
              <w:t>La declaración de interés regional para proy</w:t>
            </w:r>
            <w:r>
              <w:rPr>
                <w:rFonts w:ascii="Arial" w:eastAsia="Calibri" w:hAnsi="Arial" w:cs="Arial"/>
                <w:lang w:val="es-ES"/>
              </w:rPr>
              <w:t xml:space="preserve">ectos industriales se otorgará </w:t>
            </w:r>
            <w:r w:rsidRPr="00BF425F">
              <w:rPr>
                <w:rFonts w:ascii="Arial" w:eastAsia="Calibri" w:hAnsi="Arial" w:cs="Arial"/>
                <w:lang w:val="es-ES"/>
              </w:rPr>
              <w:t>exclusivamente para los fines señalados en e</w:t>
            </w:r>
            <w:r>
              <w:rPr>
                <w:rFonts w:ascii="Arial" w:eastAsia="Calibri" w:hAnsi="Arial" w:cs="Arial"/>
                <w:lang w:val="es-ES"/>
              </w:rPr>
              <w:t>l artículo 7, literal e) de la</w:t>
            </w:r>
            <w:r>
              <w:rPr>
                <w:rFonts w:ascii="Arial" w:eastAsia="Calibri" w:hAnsi="Arial" w:cs="Arial"/>
                <w:lang w:val="es-ES"/>
              </w:rPr>
              <w:tab/>
            </w:r>
            <w:r w:rsidRPr="00BF425F">
              <w:rPr>
                <w:rFonts w:ascii="Arial" w:eastAsia="Calibri" w:hAnsi="Arial" w:cs="Arial"/>
                <w:lang w:val="es-ES"/>
              </w:rPr>
              <w:t xml:space="preserve">Ley Nº 29151 y del artículo 77, literal </w:t>
            </w:r>
            <w:r>
              <w:rPr>
                <w:rFonts w:ascii="Arial" w:eastAsia="Calibri" w:hAnsi="Arial" w:cs="Arial"/>
                <w:lang w:val="es-ES"/>
              </w:rPr>
              <w:t>b) del Decreto Supremo Nº 007-</w:t>
            </w:r>
            <w:r w:rsidRPr="00BF425F">
              <w:rPr>
                <w:rFonts w:ascii="Arial" w:eastAsia="Calibri" w:hAnsi="Arial" w:cs="Arial"/>
                <w:lang w:val="es-ES"/>
              </w:rPr>
              <w:t>2008-VIVIENDA.</w:t>
            </w:r>
          </w:p>
        </w:tc>
      </w:tr>
    </w:tbl>
    <w:p w:rsidR="00466F0F" w:rsidRPr="0041742A" w:rsidRDefault="00466F0F" w:rsidP="00466F0F">
      <w:pPr>
        <w:spacing w:after="0" w:line="240" w:lineRule="auto"/>
        <w:contextualSpacing/>
        <w:jc w:val="both"/>
        <w:rPr>
          <w:rFonts w:ascii="Arial" w:eastAsia="Calibri" w:hAnsi="Arial" w:cs="Arial"/>
          <w:b/>
          <w:lang w:val="es-ES"/>
        </w:rPr>
      </w:pPr>
    </w:p>
    <w:p w:rsidR="00466F0F" w:rsidRPr="0041742A" w:rsidRDefault="00466F0F" w:rsidP="00466F0F">
      <w:pPr>
        <w:spacing w:after="0" w:line="240" w:lineRule="auto"/>
        <w:contextualSpacing/>
        <w:jc w:val="both"/>
        <w:rPr>
          <w:rFonts w:ascii="Arial" w:eastAsia="Calibri" w:hAnsi="Arial" w:cs="Arial"/>
          <w:b/>
          <w:lang w:val="es-ES"/>
        </w:rPr>
      </w:pPr>
      <w:r w:rsidRPr="0041742A">
        <w:rPr>
          <w:rFonts w:ascii="Arial" w:eastAsia="Calibri" w:hAnsi="Arial" w:cs="Arial"/>
          <w:b/>
          <w:lang w:val="es-ES"/>
        </w:rPr>
        <w:t>VI. DISPOSICIONES ESPECÍFICAS</w:t>
      </w:r>
    </w:p>
    <w:p w:rsidR="00466F0F" w:rsidRPr="00BF425F" w:rsidRDefault="00466F0F" w:rsidP="00466F0F">
      <w:pPr>
        <w:spacing w:after="0" w:line="240" w:lineRule="auto"/>
        <w:contextualSpacing/>
        <w:jc w:val="both"/>
        <w:rPr>
          <w:rFonts w:ascii="Arial" w:eastAsia="Calibri" w:hAnsi="Arial" w:cs="Arial"/>
          <w:lang w:val="es-ES"/>
        </w:rPr>
      </w:pPr>
    </w:p>
    <w:p w:rsidR="00466F0F" w:rsidRPr="00BF425F" w:rsidRDefault="00466F0F" w:rsidP="00466F0F">
      <w:pPr>
        <w:spacing w:after="0" w:line="240" w:lineRule="auto"/>
        <w:ind w:left="851" w:hanging="567"/>
        <w:contextualSpacing/>
        <w:jc w:val="both"/>
        <w:rPr>
          <w:rFonts w:ascii="Arial" w:eastAsia="Calibri" w:hAnsi="Arial" w:cs="Arial"/>
          <w:lang w:val="es-ES"/>
        </w:rPr>
      </w:pPr>
      <w:r w:rsidRPr="00BF425F">
        <w:rPr>
          <w:rFonts w:ascii="Arial" w:eastAsia="Calibri" w:hAnsi="Arial" w:cs="Arial"/>
          <w:lang w:val="es-ES"/>
        </w:rPr>
        <w:t xml:space="preserve">6.1. </w:t>
      </w:r>
      <w:r>
        <w:rPr>
          <w:rFonts w:ascii="Arial" w:eastAsia="Calibri" w:hAnsi="Arial" w:cs="Arial"/>
          <w:lang w:val="es-ES"/>
        </w:rPr>
        <w:tab/>
      </w:r>
      <w:r w:rsidRPr="00BF425F">
        <w:rPr>
          <w:rFonts w:ascii="Arial" w:eastAsia="Calibri" w:hAnsi="Arial" w:cs="Arial"/>
          <w:lang w:val="es-ES"/>
        </w:rPr>
        <w:t>El administrado presenta su solicitud de calificación y aprobación de un proyecto industrial con la pretensión de ser declarado de interés nacional, en el marco de la Ley Nº 29151, Ley General del Sistema Nacional de Bienes Estatales, en la Mesa de Partes de la Oficina de Atención al Ciudadano del Ministerio de la Producción.</w:t>
      </w:r>
    </w:p>
    <w:p w:rsidR="00466F0F" w:rsidRPr="00BF425F" w:rsidRDefault="00466F0F" w:rsidP="00466F0F">
      <w:pPr>
        <w:spacing w:after="0" w:line="240" w:lineRule="auto"/>
        <w:ind w:left="851" w:hanging="567"/>
        <w:contextualSpacing/>
        <w:jc w:val="both"/>
        <w:rPr>
          <w:rFonts w:ascii="Arial" w:eastAsia="Calibri" w:hAnsi="Arial" w:cs="Arial"/>
          <w:lang w:val="es-ES"/>
        </w:rPr>
      </w:pPr>
    </w:p>
    <w:p w:rsidR="00466F0F" w:rsidRPr="00BF425F" w:rsidRDefault="00466F0F" w:rsidP="00466F0F">
      <w:pPr>
        <w:spacing w:after="0" w:line="240" w:lineRule="auto"/>
        <w:ind w:left="851" w:hanging="567"/>
        <w:contextualSpacing/>
        <w:jc w:val="both"/>
        <w:rPr>
          <w:rFonts w:ascii="Arial" w:eastAsia="Calibri" w:hAnsi="Arial" w:cs="Arial"/>
          <w:lang w:val="es-ES"/>
        </w:rPr>
      </w:pPr>
      <w:r w:rsidRPr="00BF425F">
        <w:rPr>
          <w:rFonts w:ascii="Arial" w:eastAsia="Calibri" w:hAnsi="Arial" w:cs="Arial"/>
          <w:lang w:val="es-ES"/>
        </w:rPr>
        <w:t xml:space="preserve">6.2. </w:t>
      </w:r>
      <w:r>
        <w:rPr>
          <w:rFonts w:ascii="Arial" w:eastAsia="Calibri" w:hAnsi="Arial" w:cs="Arial"/>
          <w:lang w:val="es-ES"/>
        </w:rPr>
        <w:tab/>
      </w:r>
      <w:r w:rsidRPr="00BF425F">
        <w:rPr>
          <w:rFonts w:ascii="Arial" w:eastAsia="Calibri" w:hAnsi="Arial" w:cs="Arial"/>
          <w:lang w:val="es-ES"/>
        </w:rPr>
        <w:t>La Oficina de Atención al Ciudadano del Ministerio de la Producción recibe y registra la solicitud a que se refiere el numeral 6.1 precedente, y deriva el expediente al Viceministerio de MYPE e Industria dentro del mismo día de recibido. Si la solicitud no adjunta todos los recaudos, debe ser observada por la Oficina de Atención al Ciudadano, teniendo el administrado 2 días hábiles para subsanar las observaciones, luego de lo cual la Oficina de Atención al Ciudadano la deriva al Despacho Viceministerial de MYPE e Industria dentro del mismo día de subsanada. En caso el administrado no subsane las observaciones, la solicitud se considera por no presentada.</w:t>
      </w:r>
    </w:p>
    <w:p w:rsidR="00466F0F" w:rsidRPr="00BF425F" w:rsidRDefault="00466F0F" w:rsidP="00466F0F">
      <w:pPr>
        <w:spacing w:after="0" w:line="240" w:lineRule="auto"/>
        <w:ind w:left="851" w:hanging="567"/>
        <w:contextualSpacing/>
        <w:jc w:val="both"/>
        <w:rPr>
          <w:rFonts w:ascii="Arial" w:eastAsia="Calibri" w:hAnsi="Arial" w:cs="Arial"/>
          <w:lang w:val="es-ES"/>
        </w:rPr>
      </w:pPr>
    </w:p>
    <w:p w:rsidR="00466F0F" w:rsidRPr="00BF425F" w:rsidRDefault="00466F0F" w:rsidP="00466F0F">
      <w:pPr>
        <w:spacing w:after="0" w:line="240" w:lineRule="auto"/>
        <w:ind w:left="851" w:hanging="567"/>
        <w:contextualSpacing/>
        <w:jc w:val="both"/>
        <w:rPr>
          <w:rFonts w:ascii="Arial" w:eastAsia="Calibri" w:hAnsi="Arial" w:cs="Arial"/>
          <w:lang w:val="es-ES"/>
        </w:rPr>
      </w:pPr>
      <w:r w:rsidRPr="00BF425F">
        <w:rPr>
          <w:rFonts w:ascii="Arial" w:eastAsia="Calibri" w:hAnsi="Arial" w:cs="Arial"/>
          <w:lang w:val="es-ES"/>
        </w:rPr>
        <w:t xml:space="preserve">6.3. </w:t>
      </w:r>
      <w:r>
        <w:rPr>
          <w:rFonts w:ascii="Arial" w:eastAsia="Calibri" w:hAnsi="Arial" w:cs="Arial"/>
          <w:lang w:val="es-ES"/>
        </w:rPr>
        <w:tab/>
      </w:r>
      <w:r w:rsidRPr="00BF425F">
        <w:rPr>
          <w:rFonts w:ascii="Arial" w:eastAsia="Calibri" w:hAnsi="Arial" w:cs="Arial"/>
          <w:lang w:val="es-ES"/>
        </w:rPr>
        <w:t>El Despacho Viceministerial de MYPE e Industria recibe y deriva el expediente a la Dirección General de Políticas y Regulación, para su evaluación y calificación, dentro del día de recibido.</w:t>
      </w:r>
    </w:p>
    <w:p w:rsidR="00466F0F" w:rsidRPr="00BF425F" w:rsidRDefault="00466F0F" w:rsidP="00466F0F">
      <w:pPr>
        <w:spacing w:after="0" w:line="240" w:lineRule="auto"/>
        <w:ind w:left="851" w:hanging="567"/>
        <w:contextualSpacing/>
        <w:jc w:val="both"/>
        <w:rPr>
          <w:rFonts w:ascii="Arial" w:eastAsia="Calibri" w:hAnsi="Arial" w:cs="Arial"/>
          <w:lang w:val="es-ES"/>
        </w:rPr>
      </w:pPr>
    </w:p>
    <w:p w:rsidR="00466F0F" w:rsidRPr="00BF425F" w:rsidRDefault="00466F0F" w:rsidP="00466F0F">
      <w:pPr>
        <w:spacing w:after="0" w:line="240" w:lineRule="auto"/>
        <w:ind w:left="851" w:hanging="567"/>
        <w:contextualSpacing/>
        <w:jc w:val="both"/>
        <w:rPr>
          <w:rFonts w:ascii="Arial" w:eastAsia="Calibri" w:hAnsi="Arial" w:cs="Arial"/>
          <w:lang w:val="es-ES"/>
        </w:rPr>
      </w:pPr>
      <w:r w:rsidRPr="00BF425F">
        <w:rPr>
          <w:rFonts w:ascii="Arial" w:eastAsia="Calibri" w:hAnsi="Arial" w:cs="Arial"/>
          <w:lang w:val="es-ES"/>
        </w:rPr>
        <w:t xml:space="preserve">6.4. </w:t>
      </w:r>
      <w:r>
        <w:rPr>
          <w:rFonts w:ascii="Arial" w:eastAsia="Calibri" w:hAnsi="Arial" w:cs="Arial"/>
          <w:lang w:val="es-ES"/>
        </w:rPr>
        <w:tab/>
      </w:r>
      <w:r w:rsidRPr="00BF425F">
        <w:rPr>
          <w:rFonts w:ascii="Arial" w:eastAsia="Calibri" w:hAnsi="Arial" w:cs="Arial"/>
          <w:lang w:val="es-ES"/>
        </w:rPr>
        <w:t>El profesional de la Dirección General de Políticas y Regulación a quien se hubiere asignado la evaluación del expediente, deberá elaborar el informe técnico correspondiente, conforme a los lineamientos de la presente Directiva:</w:t>
      </w:r>
    </w:p>
    <w:p w:rsidR="00466F0F" w:rsidRPr="00BF425F" w:rsidRDefault="00466F0F" w:rsidP="00466F0F">
      <w:pPr>
        <w:spacing w:after="0" w:line="240" w:lineRule="auto"/>
        <w:contextualSpacing/>
        <w:jc w:val="both"/>
        <w:rPr>
          <w:rFonts w:ascii="Arial" w:eastAsia="Calibri" w:hAnsi="Arial" w:cs="Arial"/>
          <w:lang w:val="es-ES"/>
        </w:rPr>
      </w:pPr>
    </w:p>
    <w:p w:rsidR="00466F0F" w:rsidRPr="00BF425F" w:rsidRDefault="00466F0F" w:rsidP="00466F0F">
      <w:pPr>
        <w:spacing w:after="0" w:line="240" w:lineRule="auto"/>
        <w:ind w:left="1560" w:hanging="709"/>
        <w:contextualSpacing/>
        <w:jc w:val="both"/>
        <w:rPr>
          <w:rFonts w:ascii="Arial" w:eastAsia="Calibri" w:hAnsi="Arial" w:cs="Arial"/>
          <w:lang w:val="es-ES"/>
        </w:rPr>
      </w:pPr>
      <w:r w:rsidRPr="00BF425F">
        <w:rPr>
          <w:rFonts w:ascii="Arial" w:eastAsia="Calibri" w:hAnsi="Arial" w:cs="Arial"/>
          <w:lang w:val="es-ES"/>
        </w:rPr>
        <w:t xml:space="preserve">6.4.1. </w:t>
      </w:r>
      <w:r>
        <w:rPr>
          <w:rFonts w:ascii="Arial" w:eastAsia="Calibri" w:hAnsi="Arial" w:cs="Arial"/>
          <w:lang w:val="es-ES"/>
        </w:rPr>
        <w:tab/>
      </w:r>
      <w:r w:rsidRPr="00BF425F">
        <w:rPr>
          <w:rFonts w:ascii="Arial" w:eastAsia="Calibri" w:hAnsi="Arial" w:cs="Arial"/>
          <w:lang w:val="es-ES"/>
        </w:rPr>
        <w:t>El profesional realiza, a través de la Dirección General de Políticas y Regulación, las consultas pertinentes y solicita la documentación e informes técnicos necesarios a los demás órganos de línea del sector, de acuerdo a sus competencias, y, de ser el caso, a los administrados, con la finalidad de garantizar una adecuada calificación de la viabilidad del proyecto. Los órganos de línea tendrán un plazo máximo de cinco días hábiles para dar respuesta. De ser conforme la solicitud, se procede conforme a lo establecido en los puntos 6.5 y siguientes de los presentes lineamientos.</w:t>
      </w:r>
    </w:p>
    <w:p w:rsidR="00466F0F" w:rsidRPr="00BF425F" w:rsidRDefault="00466F0F" w:rsidP="00466F0F">
      <w:pPr>
        <w:spacing w:after="0" w:line="240" w:lineRule="auto"/>
        <w:ind w:left="1560" w:hanging="709"/>
        <w:contextualSpacing/>
        <w:jc w:val="both"/>
        <w:rPr>
          <w:rFonts w:ascii="Arial" w:eastAsia="Calibri" w:hAnsi="Arial" w:cs="Arial"/>
          <w:lang w:val="es-ES"/>
        </w:rPr>
      </w:pPr>
    </w:p>
    <w:p w:rsidR="00466F0F" w:rsidRPr="00BF425F" w:rsidRDefault="00466F0F" w:rsidP="00466F0F">
      <w:pPr>
        <w:spacing w:after="0" w:line="240" w:lineRule="auto"/>
        <w:ind w:left="1560" w:hanging="709"/>
        <w:contextualSpacing/>
        <w:jc w:val="both"/>
        <w:rPr>
          <w:rFonts w:ascii="Arial" w:eastAsia="Calibri" w:hAnsi="Arial" w:cs="Arial"/>
          <w:lang w:val="es-ES"/>
        </w:rPr>
      </w:pPr>
      <w:r w:rsidRPr="00BF425F">
        <w:rPr>
          <w:rFonts w:ascii="Arial" w:eastAsia="Calibri" w:hAnsi="Arial" w:cs="Arial"/>
          <w:lang w:val="es-ES"/>
        </w:rPr>
        <w:t xml:space="preserve">6.4.2. </w:t>
      </w:r>
      <w:r>
        <w:rPr>
          <w:rFonts w:ascii="Arial" w:eastAsia="Calibri" w:hAnsi="Arial" w:cs="Arial"/>
          <w:lang w:val="es-ES"/>
        </w:rPr>
        <w:tab/>
      </w:r>
      <w:r w:rsidRPr="00BF425F">
        <w:rPr>
          <w:rFonts w:ascii="Arial" w:eastAsia="Calibri" w:hAnsi="Arial" w:cs="Arial"/>
          <w:lang w:val="es-ES"/>
        </w:rPr>
        <w:t>En caso de no ser conforme, el profesional emite un informe técnico y la Dirección de Políticas y Regulación deberá comunicar la improcedencia de la solicitud al administrado en un plazo máximo de treinta días hábiles, contados desde que se inició el procedimiento, en cuyo caso se da por culminado el procedimiento.</w:t>
      </w:r>
    </w:p>
    <w:p w:rsidR="00466F0F" w:rsidRPr="00BF425F" w:rsidRDefault="00466F0F" w:rsidP="00466F0F">
      <w:pPr>
        <w:spacing w:after="0" w:line="240" w:lineRule="auto"/>
        <w:contextualSpacing/>
        <w:jc w:val="both"/>
        <w:rPr>
          <w:rFonts w:ascii="Arial" w:eastAsia="Calibri" w:hAnsi="Arial" w:cs="Arial"/>
          <w:lang w:val="es-ES"/>
        </w:rPr>
      </w:pPr>
    </w:p>
    <w:p w:rsidR="00466F0F" w:rsidRPr="00BF425F" w:rsidRDefault="00466F0F" w:rsidP="00466F0F">
      <w:pPr>
        <w:spacing w:after="0" w:line="240" w:lineRule="auto"/>
        <w:ind w:left="851" w:hanging="567"/>
        <w:contextualSpacing/>
        <w:jc w:val="both"/>
        <w:rPr>
          <w:rFonts w:ascii="Arial" w:eastAsia="Calibri" w:hAnsi="Arial" w:cs="Arial"/>
          <w:lang w:val="es-ES"/>
        </w:rPr>
      </w:pPr>
      <w:r w:rsidRPr="00BF425F">
        <w:rPr>
          <w:rFonts w:ascii="Arial" w:eastAsia="Calibri" w:hAnsi="Arial" w:cs="Arial"/>
          <w:lang w:val="es-ES"/>
        </w:rPr>
        <w:t xml:space="preserve">6.5. </w:t>
      </w:r>
      <w:r>
        <w:rPr>
          <w:rFonts w:ascii="Arial" w:eastAsia="Calibri" w:hAnsi="Arial" w:cs="Arial"/>
          <w:lang w:val="es-ES"/>
        </w:rPr>
        <w:tab/>
      </w:r>
      <w:r w:rsidRPr="00BF425F">
        <w:rPr>
          <w:rFonts w:ascii="Arial" w:eastAsia="Calibri" w:hAnsi="Arial" w:cs="Arial"/>
          <w:lang w:val="es-ES"/>
        </w:rPr>
        <w:t>El profesional responsable, luego de las consultas efectuadas, emite un informe técnico en un plazo máximo de cinco días hábiles y deriva el expediente con su conformidad al Director General de Políticas y Regulación, quien luego de revisar y hacer suyo el informe, remite el expediente al Despacho Viceministerial de MYPE e Industria, dentro del plazo de dos días hábiles.</w:t>
      </w:r>
    </w:p>
    <w:p w:rsidR="00466F0F" w:rsidRPr="00BF425F" w:rsidRDefault="00466F0F" w:rsidP="00466F0F">
      <w:pPr>
        <w:spacing w:after="0" w:line="240" w:lineRule="auto"/>
        <w:ind w:left="851" w:hanging="567"/>
        <w:contextualSpacing/>
        <w:jc w:val="both"/>
        <w:rPr>
          <w:rFonts w:ascii="Arial" w:eastAsia="Calibri" w:hAnsi="Arial" w:cs="Arial"/>
          <w:lang w:val="es-ES"/>
        </w:rPr>
      </w:pPr>
    </w:p>
    <w:p w:rsidR="00466F0F" w:rsidRPr="00BF425F" w:rsidRDefault="00466F0F" w:rsidP="00466F0F">
      <w:pPr>
        <w:spacing w:after="0" w:line="240" w:lineRule="auto"/>
        <w:ind w:left="851" w:hanging="567"/>
        <w:contextualSpacing/>
        <w:jc w:val="both"/>
        <w:rPr>
          <w:rFonts w:ascii="Arial" w:eastAsia="Calibri" w:hAnsi="Arial" w:cs="Arial"/>
          <w:lang w:val="es-ES"/>
        </w:rPr>
      </w:pPr>
      <w:r w:rsidRPr="00BF425F">
        <w:rPr>
          <w:rFonts w:ascii="Arial" w:eastAsia="Calibri" w:hAnsi="Arial" w:cs="Arial"/>
          <w:lang w:val="es-ES"/>
        </w:rPr>
        <w:t xml:space="preserve">6.6. </w:t>
      </w:r>
      <w:r>
        <w:rPr>
          <w:rFonts w:ascii="Arial" w:eastAsia="Calibri" w:hAnsi="Arial" w:cs="Arial"/>
          <w:lang w:val="es-ES"/>
        </w:rPr>
        <w:tab/>
      </w:r>
      <w:r w:rsidRPr="00BF425F">
        <w:rPr>
          <w:rFonts w:ascii="Arial" w:eastAsia="Calibri" w:hAnsi="Arial" w:cs="Arial"/>
          <w:lang w:val="es-ES"/>
        </w:rPr>
        <w:t>El Despacho Viceministerial de MYPE e Industria revisa y visa el informe técnico y deriva el expediente a la Secretaría General, dentro del plazo de dos días hábiles.</w:t>
      </w:r>
    </w:p>
    <w:p w:rsidR="00466F0F" w:rsidRPr="00BF425F" w:rsidRDefault="00466F0F" w:rsidP="00466F0F">
      <w:pPr>
        <w:spacing w:after="0" w:line="240" w:lineRule="auto"/>
        <w:ind w:left="851" w:hanging="567"/>
        <w:contextualSpacing/>
        <w:jc w:val="both"/>
        <w:rPr>
          <w:rFonts w:ascii="Arial" w:eastAsia="Calibri" w:hAnsi="Arial" w:cs="Arial"/>
          <w:lang w:val="es-ES"/>
        </w:rPr>
      </w:pPr>
    </w:p>
    <w:p w:rsidR="00466F0F" w:rsidRPr="00BF425F" w:rsidRDefault="00466F0F" w:rsidP="00466F0F">
      <w:pPr>
        <w:spacing w:after="0" w:line="240" w:lineRule="auto"/>
        <w:ind w:left="851" w:hanging="567"/>
        <w:contextualSpacing/>
        <w:jc w:val="both"/>
        <w:rPr>
          <w:rFonts w:ascii="Arial" w:eastAsia="Calibri" w:hAnsi="Arial" w:cs="Arial"/>
          <w:lang w:val="es-ES"/>
        </w:rPr>
      </w:pPr>
      <w:r w:rsidRPr="00BF425F">
        <w:rPr>
          <w:rFonts w:ascii="Arial" w:eastAsia="Calibri" w:hAnsi="Arial" w:cs="Arial"/>
          <w:lang w:val="es-ES"/>
        </w:rPr>
        <w:t xml:space="preserve">6.7. </w:t>
      </w:r>
      <w:r>
        <w:rPr>
          <w:rFonts w:ascii="Arial" w:eastAsia="Calibri" w:hAnsi="Arial" w:cs="Arial"/>
          <w:lang w:val="es-ES"/>
        </w:rPr>
        <w:tab/>
      </w:r>
      <w:r w:rsidRPr="00BF425F">
        <w:rPr>
          <w:rFonts w:ascii="Arial" w:eastAsia="Calibri" w:hAnsi="Arial" w:cs="Arial"/>
          <w:lang w:val="es-ES"/>
        </w:rPr>
        <w:t>La Secretaría General toma conocimiento del expediente y dentro del día de recibido el expediente, deriva a los órganos de asesoramiento de la entidad para que, en un plazo máximo de tres días hábiles, emitan opinión.</w:t>
      </w:r>
    </w:p>
    <w:p w:rsidR="00466F0F" w:rsidRPr="00BF425F" w:rsidRDefault="00466F0F" w:rsidP="00466F0F">
      <w:pPr>
        <w:spacing w:after="0" w:line="240" w:lineRule="auto"/>
        <w:ind w:left="851" w:hanging="567"/>
        <w:contextualSpacing/>
        <w:jc w:val="both"/>
        <w:rPr>
          <w:rFonts w:ascii="Arial" w:eastAsia="Calibri" w:hAnsi="Arial" w:cs="Arial"/>
          <w:lang w:val="es-ES"/>
        </w:rPr>
      </w:pPr>
    </w:p>
    <w:p w:rsidR="00466F0F" w:rsidRPr="00BF425F" w:rsidRDefault="00466F0F" w:rsidP="00466F0F">
      <w:pPr>
        <w:spacing w:after="0" w:line="240" w:lineRule="auto"/>
        <w:ind w:left="851" w:hanging="567"/>
        <w:contextualSpacing/>
        <w:jc w:val="both"/>
        <w:rPr>
          <w:rFonts w:ascii="Arial" w:eastAsia="Calibri" w:hAnsi="Arial" w:cs="Arial"/>
          <w:lang w:val="es-ES"/>
        </w:rPr>
      </w:pPr>
      <w:r w:rsidRPr="00BF425F">
        <w:rPr>
          <w:rFonts w:ascii="Arial" w:eastAsia="Calibri" w:hAnsi="Arial" w:cs="Arial"/>
          <w:lang w:val="es-ES"/>
        </w:rPr>
        <w:t xml:space="preserve">6.8. </w:t>
      </w:r>
      <w:r>
        <w:rPr>
          <w:rFonts w:ascii="Arial" w:eastAsia="Calibri" w:hAnsi="Arial" w:cs="Arial"/>
          <w:lang w:val="es-ES"/>
        </w:rPr>
        <w:tab/>
      </w:r>
      <w:r w:rsidRPr="00BF425F">
        <w:rPr>
          <w:rFonts w:ascii="Arial" w:eastAsia="Calibri" w:hAnsi="Arial" w:cs="Arial"/>
          <w:lang w:val="es-ES"/>
        </w:rPr>
        <w:t>La Oficina General de Asesoría Jurídica analiza y evalúa el expediente, emitiendo el informe legal correspondiente en un plazo máximo de tres días hábiles.</w:t>
      </w:r>
    </w:p>
    <w:p w:rsidR="00466F0F" w:rsidRPr="00BF425F" w:rsidRDefault="00466F0F" w:rsidP="00466F0F">
      <w:pPr>
        <w:spacing w:after="0" w:line="240" w:lineRule="auto"/>
        <w:ind w:left="851" w:hanging="567"/>
        <w:contextualSpacing/>
        <w:jc w:val="both"/>
        <w:rPr>
          <w:rFonts w:ascii="Arial" w:eastAsia="Calibri" w:hAnsi="Arial" w:cs="Arial"/>
          <w:lang w:val="es-ES"/>
        </w:rPr>
      </w:pPr>
    </w:p>
    <w:p w:rsidR="00466F0F" w:rsidRPr="00BF425F" w:rsidRDefault="00466F0F" w:rsidP="00466F0F">
      <w:pPr>
        <w:spacing w:after="0" w:line="240" w:lineRule="auto"/>
        <w:ind w:left="851" w:hanging="567"/>
        <w:contextualSpacing/>
        <w:jc w:val="both"/>
        <w:rPr>
          <w:rFonts w:ascii="Arial" w:eastAsia="Calibri" w:hAnsi="Arial" w:cs="Arial"/>
          <w:lang w:val="es-ES"/>
        </w:rPr>
      </w:pPr>
      <w:r w:rsidRPr="00BF425F">
        <w:rPr>
          <w:rFonts w:ascii="Arial" w:eastAsia="Calibri" w:hAnsi="Arial" w:cs="Arial"/>
          <w:lang w:val="es-ES"/>
        </w:rPr>
        <w:t xml:space="preserve">6.9. </w:t>
      </w:r>
      <w:r>
        <w:rPr>
          <w:rFonts w:ascii="Arial" w:eastAsia="Calibri" w:hAnsi="Arial" w:cs="Arial"/>
          <w:lang w:val="es-ES"/>
        </w:rPr>
        <w:tab/>
      </w:r>
      <w:r w:rsidRPr="00BF425F">
        <w:rPr>
          <w:rFonts w:ascii="Arial" w:eastAsia="Calibri" w:hAnsi="Arial" w:cs="Arial"/>
          <w:lang w:val="es-ES"/>
        </w:rPr>
        <w:t>Si el informe de la Oficina General de Asesoría Jurídica es favorable, el Director de la Oficina General de Asesoría Jurídica procede a elaborar y visar el proyecto de Resolución Ministerial de declaración de interés nacional, remitiendo el mismo a la Secretaría General.</w:t>
      </w:r>
    </w:p>
    <w:p w:rsidR="00466F0F" w:rsidRPr="00BF425F" w:rsidRDefault="00466F0F" w:rsidP="00466F0F">
      <w:pPr>
        <w:spacing w:after="0" w:line="240" w:lineRule="auto"/>
        <w:ind w:left="851" w:hanging="567"/>
        <w:contextualSpacing/>
        <w:jc w:val="both"/>
        <w:rPr>
          <w:rFonts w:ascii="Arial" w:eastAsia="Calibri" w:hAnsi="Arial" w:cs="Arial"/>
          <w:lang w:val="es-ES"/>
        </w:rPr>
      </w:pPr>
    </w:p>
    <w:p w:rsidR="00466F0F" w:rsidRPr="00BF425F" w:rsidRDefault="00466F0F" w:rsidP="00466F0F">
      <w:pPr>
        <w:spacing w:after="0" w:line="240" w:lineRule="auto"/>
        <w:ind w:left="851" w:hanging="567"/>
        <w:contextualSpacing/>
        <w:jc w:val="both"/>
        <w:rPr>
          <w:rFonts w:ascii="Arial" w:eastAsia="Calibri" w:hAnsi="Arial" w:cs="Arial"/>
          <w:lang w:val="es-ES"/>
        </w:rPr>
      </w:pPr>
      <w:r w:rsidRPr="00BF425F">
        <w:rPr>
          <w:rFonts w:ascii="Arial" w:eastAsia="Calibri" w:hAnsi="Arial" w:cs="Arial"/>
          <w:lang w:val="es-ES"/>
        </w:rPr>
        <w:t>6.10. La Secretaría General remite el expediente con los adjuntos, dentro del día de recibidos, al Despacho Ministerial, para la suscripción de la Resolución Ministerial.</w:t>
      </w:r>
    </w:p>
    <w:p w:rsidR="00466F0F" w:rsidRPr="00BF425F" w:rsidRDefault="00466F0F" w:rsidP="00466F0F">
      <w:pPr>
        <w:spacing w:after="0" w:line="240" w:lineRule="auto"/>
        <w:contextualSpacing/>
        <w:jc w:val="both"/>
        <w:rPr>
          <w:rFonts w:ascii="Arial" w:eastAsia="Calibri" w:hAnsi="Arial" w:cs="Arial"/>
          <w:lang w:val="es-ES"/>
        </w:rPr>
      </w:pPr>
    </w:p>
    <w:p w:rsidR="00466F0F" w:rsidRPr="00BF425F" w:rsidRDefault="00466F0F" w:rsidP="00466F0F">
      <w:pPr>
        <w:spacing w:after="0" w:line="240" w:lineRule="auto"/>
        <w:ind w:left="851" w:hanging="567"/>
        <w:contextualSpacing/>
        <w:jc w:val="both"/>
        <w:rPr>
          <w:rFonts w:ascii="Arial" w:eastAsia="Calibri" w:hAnsi="Arial" w:cs="Arial"/>
          <w:lang w:val="es-ES"/>
        </w:rPr>
      </w:pPr>
      <w:r w:rsidRPr="00BF425F">
        <w:rPr>
          <w:rFonts w:ascii="Arial" w:eastAsia="Calibri" w:hAnsi="Arial" w:cs="Arial"/>
          <w:lang w:val="es-ES"/>
        </w:rPr>
        <w:t>6.11. En caso de observación por parte de la Oficina General de Asesoría Jurídica, ésta remitirá el expediente a la Secretaría General para que éste sea remitido, dentro del día al Viceministerio de MYPE e Industria para la absolución de los alcances efectuados.</w:t>
      </w:r>
    </w:p>
    <w:p w:rsidR="00466F0F" w:rsidRPr="00BF425F" w:rsidRDefault="00466F0F" w:rsidP="00466F0F">
      <w:pPr>
        <w:spacing w:after="0" w:line="240" w:lineRule="auto"/>
        <w:contextualSpacing/>
        <w:jc w:val="both"/>
        <w:rPr>
          <w:rFonts w:ascii="Arial" w:eastAsia="Calibri" w:hAnsi="Arial" w:cs="Arial"/>
          <w:lang w:val="es-ES"/>
        </w:rPr>
      </w:pPr>
    </w:p>
    <w:p w:rsidR="00466F0F" w:rsidRPr="00BF425F" w:rsidRDefault="00466F0F" w:rsidP="00466F0F">
      <w:pPr>
        <w:spacing w:after="0" w:line="240" w:lineRule="auto"/>
        <w:ind w:left="1701" w:hanging="850"/>
        <w:contextualSpacing/>
        <w:jc w:val="both"/>
        <w:rPr>
          <w:rFonts w:ascii="Arial" w:eastAsia="Calibri" w:hAnsi="Arial" w:cs="Arial"/>
          <w:lang w:val="es-ES"/>
        </w:rPr>
      </w:pPr>
      <w:r w:rsidRPr="00BF425F">
        <w:rPr>
          <w:rFonts w:ascii="Arial" w:eastAsia="Calibri" w:hAnsi="Arial" w:cs="Arial"/>
          <w:lang w:val="es-ES"/>
        </w:rPr>
        <w:t xml:space="preserve">6.11.1. </w:t>
      </w:r>
      <w:r>
        <w:rPr>
          <w:rFonts w:ascii="Arial" w:eastAsia="Calibri" w:hAnsi="Arial" w:cs="Arial"/>
          <w:lang w:val="es-ES"/>
        </w:rPr>
        <w:tab/>
      </w:r>
      <w:r w:rsidRPr="00BF425F">
        <w:rPr>
          <w:rFonts w:ascii="Arial" w:eastAsia="Calibri" w:hAnsi="Arial" w:cs="Arial"/>
          <w:lang w:val="es-ES"/>
        </w:rPr>
        <w:t>El Viceministerio de MYPE e Industria deriva el expediente, dentro del día, a la Dirección General de Políticas y Regulación para que absuelva los alcances efectuados.</w:t>
      </w:r>
    </w:p>
    <w:p w:rsidR="00466F0F" w:rsidRPr="00BF425F" w:rsidRDefault="00466F0F" w:rsidP="00466F0F">
      <w:pPr>
        <w:spacing w:after="0" w:line="240" w:lineRule="auto"/>
        <w:ind w:left="1701" w:hanging="850"/>
        <w:contextualSpacing/>
        <w:jc w:val="both"/>
        <w:rPr>
          <w:rFonts w:ascii="Arial" w:eastAsia="Calibri" w:hAnsi="Arial" w:cs="Arial"/>
          <w:lang w:val="es-ES"/>
        </w:rPr>
      </w:pPr>
    </w:p>
    <w:p w:rsidR="00466F0F" w:rsidRPr="00BF425F" w:rsidRDefault="00466F0F" w:rsidP="00466F0F">
      <w:pPr>
        <w:spacing w:after="0" w:line="240" w:lineRule="auto"/>
        <w:ind w:left="1701" w:hanging="850"/>
        <w:contextualSpacing/>
        <w:jc w:val="both"/>
        <w:rPr>
          <w:rFonts w:ascii="Arial" w:eastAsia="Calibri" w:hAnsi="Arial" w:cs="Arial"/>
          <w:lang w:val="es-ES"/>
        </w:rPr>
      </w:pPr>
      <w:r w:rsidRPr="00BF425F">
        <w:rPr>
          <w:rFonts w:ascii="Arial" w:eastAsia="Calibri" w:hAnsi="Arial" w:cs="Arial"/>
          <w:lang w:val="es-ES"/>
        </w:rPr>
        <w:t xml:space="preserve">6.11.2. </w:t>
      </w:r>
      <w:r>
        <w:rPr>
          <w:rFonts w:ascii="Arial" w:eastAsia="Calibri" w:hAnsi="Arial" w:cs="Arial"/>
          <w:lang w:val="es-ES"/>
        </w:rPr>
        <w:tab/>
      </w:r>
      <w:r w:rsidRPr="00BF425F">
        <w:rPr>
          <w:rFonts w:ascii="Arial" w:eastAsia="Calibri" w:hAnsi="Arial" w:cs="Arial"/>
          <w:lang w:val="es-ES"/>
        </w:rPr>
        <w:t>El profesional de la Dirección General de Políticas y Regulación a cargo del expediente, realiza las consultas y solicita los informes y/o documentos que considere necesarios a los órganos de línea del sector y, de ser el caso, a los administrados, para la absolución de los alcances. Los órganos de línea y los administrados tendrán un plazo máximo de tres días hábiles para dar respuesta.</w:t>
      </w:r>
    </w:p>
    <w:p w:rsidR="00466F0F" w:rsidRPr="00BF425F" w:rsidRDefault="00466F0F" w:rsidP="00466F0F">
      <w:pPr>
        <w:spacing w:after="0" w:line="240" w:lineRule="auto"/>
        <w:ind w:left="1701" w:hanging="850"/>
        <w:contextualSpacing/>
        <w:jc w:val="both"/>
        <w:rPr>
          <w:rFonts w:ascii="Arial" w:eastAsia="Calibri" w:hAnsi="Arial" w:cs="Arial"/>
          <w:lang w:val="es-ES"/>
        </w:rPr>
      </w:pPr>
    </w:p>
    <w:p w:rsidR="00466F0F" w:rsidRPr="00BF425F" w:rsidRDefault="00466F0F" w:rsidP="00466F0F">
      <w:pPr>
        <w:spacing w:after="0" w:line="240" w:lineRule="auto"/>
        <w:ind w:left="1701" w:hanging="850"/>
        <w:contextualSpacing/>
        <w:jc w:val="both"/>
        <w:rPr>
          <w:rFonts w:ascii="Arial" w:eastAsia="Calibri" w:hAnsi="Arial" w:cs="Arial"/>
          <w:lang w:val="es-ES"/>
        </w:rPr>
      </w:pPr>
      <w:r w:rsidRPr="00BF425F">
        <w:rPr>
          <w:rFonts w:ascii="Arial" w:eastAsia="Calibri" w:hAnsi="Arial" w:cs="Arial"/>
          <w:lang w:val="es-ES"/>
        </w:rPr>
        <w:t xml:space="preserve">6.11.3. </w:t>
      </w:r>
      <w:r>
        <w:rPr>
          <w:rFonts w:ascii="Arial" w:eastAsia="Calibri" w:hAnsi="Arial" w:cs="Arial"/>
          <w:lang w:val="es-ES"/>
        </w:rPr>
        <w:tab/>
      </w:r>
      <w:r w:rsidRPr="00BF425F">
        <w:rPr>
          <w:rFonts w:ascii="Arial" w:eastAsia="Calibri" w:hAnsi="Arial" w:cs="Arial"/>
          <w:lang w:val="es-ES"/>
        </w:rPr>
        <w:t xml:space="preserve">Con la presentación de lo solicitado en el numeral anterior, continúa el procedimiento en el paso detallado en el numeral 6.7. </w:t>
      </w:r>
    </w:p>
    <w:p w:rsidR="00466F0F" w:rsidRPr="00BF425F" w:rsidRDefault="00466F0F" w:rsidP="00466F0F">
      <w:pPr>
        <w:spacing w:after="0" w:line="240" w:lineRule="auto"/>
        <w:ind w:left="1701" w:hanging="850"/>
        <w:contextualSpacing/>
        <w:jc w:val="both"/>
        <w:rPr>
          <w:rFonts w:ascii="Arial" w:eastAsia="Calibri" w:hAnsi="Arial" w:cs="Arial"/>
          <w:lang w:val="es-ES"/>
        </w:rPr>
      </w:pPr>
    </w:p>
    <w:p w:rsidR="00466F0F" w:rsidRPr="00BF425F" w:rsidRDefault="00466F0F" w:rsidP="00466F0F">
      <w:pPr>
        <w:spacing w:after="0" w:line="240" w:lineRule="auto"/>
        <w:ind w:left="1701" w:hanging="850"/>
        <w:contextualSpacing/>
        <w:jc w:val="both"/>
        <w:rPr>
          <w:rFonts w:ascii="Arial" w:eastAsia="Calibri" w:hAnsi="Arial" w:cs="Arial"/>
          <w:lang w:val="es-ES"/>
        </w:rPr>
      </w:pPr>
      <w:r w:rsidRPr="00BF425F">
        <w:rPr>
          <w:rFonts w:ascii="Arial" w:eastAsia="Calibri" w:hAnsi="Arial" w:cs="Arial"/>
          <w:lang w:val="es-ES"/>
        </w:rPr>
        <w:t xml:space="preserve">6.11.4. </w:t>
      </w:r>
      <w:r>
        <w:rPr>
          <w:rFonts w:ascii="Arial" w:eastAsia="Calibri" w:hAnsi="Arial" w:cs="Arial"/>
          <w:lang w:val="es-ES"/>
        </w:rPr>
        <w:tab/>
      </w:r>
      <w:r w:rsidRPr="00BF425F">
        <w:rPr>
          <w:rFonts w:ascii="Arial" w:eastAsia="Calibri" w:hAnsi="Arial" w:cs="Arial"/>
          <w:lang w:val="es-ES"/>
        </w:rPr>
        <w:t>Si el administrado no da respuesta a las observaciones, se da por culminado el procedimiento.</w:t>
      </w:r>
    </w:p>
    <w:p w:rsidR="00466F0F" w:rsidRPr="0041742A" w:rsidRDefault="00466F0F" w:rsidP="00466F0F">
      <w:pPr>
        <w:spacing w:after="0" w:line="240" w:lineRule="auto"/>
        <w:contextualSpacing/>
        <w:jc w:val="both"/>
        <w:rPr>
          <w:rFonts w:ascii="Arial" w:eastAsia="Calibri" w:hAnsi="Arial" w:cs="Arial"/>
          <w:b/>
          <w:lang w:val="es-ES"/>
        </w:rPr>
      </w:pPr>
    </w:p>
    <w:p w:rsidR="00466F0F" w:rsidRPr="0041742A" w:rsidRDefault="00466F0F" w:rsidP="00466F0F">
      <w:pPr>
        <w:spacing w:after="0" w:line="240" w:lineRule="auto"/>
        <w:contextualSpacing/>
        <w:jc w:val="both"/>
        <w:rPr>
          <w:rFonts w:ascii="Arial" w:eastAsia="Calibri" w:hAnsi="Arial" w:cs="Arial"/>
          <w:b/>
          <w:lang w:val="es-ES"/>
        </w:rPr>
      </w:pPr>
      <w:r w:rsidRPr="0041742A">
        <w:rPr>
          <w:rFonts w:ascii="Arial" w:eastAsia="Calibri" w:hAnsi="Arial" w:cs="Arial"/>
          <w:b/>
          <w:lang w:val="es-ES"/>
        </w:rPr>
        <w:t>VII. DISPOSICIÓN TRANSITORIA</w:t>
      </w:r>
    </w:p>
    <w:p w:rsidR="00466F0F" w:rsidRPr="00BF425F" w:rsidRDefault="00466F0F" w:rsidP="00466F0F">
      <w:pPr>
        <w:spacing w:after="0" w:line="240" w:lineRule="auto"/>
        <w:contextualSpacing/>
        <w:jc w:val="both"/>
        <w:rPr>
          <w:rFonts w:ascii="Arial" w:eastAsia="Calibri" w:hAnsi="Arial" w:cs="Arial"/>
          <w:lang w:val="es-ES"/>
        </w:rPr>
      </w:pPr>
    </w:p>
    <w:p w:rsidR="00466F0F" w:rsidRPr="00BF425F" w:rsidRDefault="00466F0F" w:rsidP="00466F0F">
      <w:pPr>
        <w:spacing w:after="0" w:line="240" w:lineRule="auto"/>
        <w:ind w:left="426"/>
        <w:contextualSpacing/>
        <w:jc w:val="both"/>
        <w:rPr>
          <w:rFonts w:ascii="Arial" w:eastAsia="Calibri" w:hAnsi="Arial" w:cs="Arial"/>
          <w:lang w:val="es-ES"/>
        </w:rPr>
      </w:pPr>
      <w:r w:rsidRPr="00BF425F">
        <w:rPr>
          <w:rFonts w:ascii="Arial" w:eastAsia="Calibri" w:hAnsi="Arial" w:cs="Arial"/>
          <w:lang w:val="es-ES"/>
        </w:rPr>
        <w:t>Los expedientes en trámite serán adecuados a los lineamientos y el procedimiento establecidos en la presente Directiva.</w:t>
      </w:r>
    </w:p>
    <w:p w:rsidR="00466F0F" w:rsidRPr="00BF425F" w:rsidRDefault="00466F0F" w:rsidP="00466F0F">
      <w:pPr>
        <w:spacing w:after="0" w:line="240" w:lineRule="auto"/>
        <w:contextualSpacing/>
        <w:jc w:val="both"/>
        <w:rPr>
          <w:rFonts w:ascii="Arial" w:eastAsia="Calibri" w:hAnsi="Arial" w:cs="Arial"/>
          <w:lang w:val="es-ES"/>
        </w:rPr>
      </w:pPr>
    </w:p>
    <w:p w:rsidR="00466F0F" w:rsidRPr="0041742A" w:rsidRDefault="00466F0F" w:rsidP="00466F0F">
      <w:pPr>
        <w:spacing w:after="0" w:line="240" w:lineRule="auto"/>
        <w:contextualSpacing/>
        <w:jc w:val="both"/>
        <w:rPr>
          <w:rFonts w:ascii="Arial" w:eastAsia="Calibri" w:hAnsi="Arial" w:cs="Arial"/>
          <w:b/>
          <w:lang w:val="es-ES"/>
        </w:rPr>
      </w:pPr>
      <w:r w:rsidRPr="0041742A">
        <w:rPr>
          <w:rFonts w:ascii="Arial" w:eastAsia="Calibri" w:hAnsi="Arial" w:cs="Arial"/>
          <w:b/>
          <w:lang w:val="es-ES"/>
        </w:rPr>
        <w:t>VIII. RESPONSABILIDADES</w:t>
      </w:r>
    </w:p>
    <w:p w:rsidR="00466F0F" w:rsidRPr="00BF425F" w:rsidRDefault="00466F0F" w:rsidP="00466F0F">
      <w:pPr>
        <w:spacing w:after="0" w:line="240" w:lineRule="auto"/>
        <w:contextualSpacing/>
        <w:jc w:val="both"/>
        <w:rPr>
          <w:rFonts w:ascii="Arial" w:eastAsia="Calibri" w:hAnsi="Arial" w:cs="Arial"/>
          <w:lang w:val="es-ES"/>
        </w:rPr>
      </w:pPr>
    </w:p>
    <w:p w:rsidR="00466F0F" w:rsidRPr="00BF425F" w:rsidRDefault="00466F0F" w:rsidP="00466F0F">
      <w:pPr>
        <w:spacing w:after="0" w:line="240" w:lineRule="auto"/>
        <w:ind w:left="426"/>
        <w:contextualSpacing/>
        <w:jc w:val="both"/>
        <w:rPr>
          <w:rFonts w:ascii="Arial" w:eastAsia="Calibri" w:hAnsi="Arial" w:cs="Arial"/>
          <w:lang w:val="es-ES"/>
        </w:rPr>
      </w:pPr>
      <w:r w:rsidRPr="00BF425F">
        <w:rPr>
          <w:rFonts w:ascii="Arial" w:eastAsia="Calibri" w:hAnsi="Arial" w:cs="Arial"/>
          <w:lang w:val="es-ES"/>
        </w:rPr>
        <w:t>Son responsables del cumplimiento de los lineamientos y procedimiento contemplados en la presente Directiva, las unidades orgánicas del Ministerio de la Producción encargadas de la evaluación de las solicitudes de calificación de proyectos industriales de interés nacional.</w:t>
      </w:r>
    </w:p>
    <w:p w:rsidR="00466F0F" w:rsidRPr="00BF425F" w:rsidRDefault="00466F0F" w:rsidP="00466F0F">
      <w:pPr>
        <w:spacing w:after="0" w:line="240" w:lineRule="auto"/>
        <w:contextualSpacing/>
        <w:jc w:val="both"/>
        <w:rPr>
          <w:rFonts w:ascii="Arial" w:eastAsia="Calibri" w:hAnsi="Arial" w:cs="Arial"/>
          <w:lang w:val="es-ES"/>
        </w:rPr>
      </w:pPr>
    </w:p>
    <w:p w:rsidR="00466F0F" w:rsidRPr="0041742A" w:rsidRDefault="00466F0F" w:rsidP="00466F0F">
      <w:pPr>
        <w:spacing w:after="0" w:line="240" w:lineRule="auto"/>
        <w:contextualSpacing/>
        <w:jc w:val="both"/>
        <w:rPr>
          <w:rFonts w:ascii="Arial" w:eastAsia="Calibri" w:hAnsi="Arial" w:cs="Arial"/>
          <w:b/>
          <w:lang w:val="es-ES"/>
        </w:rPr>
      </w:pPr>
      <w:r w:rsidRPr="0041742A">
        <w:rPr>
          <w:rFonts w:ascii="Arial" w:eastAsia="Calibri" w:hAnsi="Arial" w:cs="Arial"/>
          <w:b/>
          <w:lang w:val="es-ES"/>
        </w:rPr>
        <w:t>IX. APLICACIÓN</w:t>
      </w:r>
    </w:p>
    <w:p w:rsidR="00466F0F" w:rsidRPr="00BF425F" w:rsidRDefault="00466F0F" w:rsidP="00466F0F">
      <w:pPr>
        <w:spacing w:after="0" w:line="240" w:lineRule="auto"/>
        <w:contextualSpacing/>
        <w:jc w:val="both"/>
        <w:rPr>
          <w:rFonts w:ascii="Arial" w:eastAsia="Calibri" w:hAnsi="Arial" w:cs="Arial"/>
          <w:lang w:val="es-ES"/>
        </w:rPr>
      </w:pPr>
    </w:p>
    <w:p w:rsidR="00466F0F" w:rsidRPr="00BF425F" w:rsidRDefault="00466F0F" w:rsidP="00466F0F">
      <w:pPr>
        <w:spacing w:after="0" w:line="240" w:lineRule="auto"/>
        <w:ind w:left="426"/>
        <w:contextualSpacing/>
        <w:jc w:val="both"/>
        <w:rPr>
          <w:rFonts w:ascii="Arial" w:eastAsia="Calibri" w:hAnsi="Arial" w:cs="Arial"/>
          <w:lang w:val="es-ES"/>
        </w:rPr>
      </w:pPr>
      <w:r w:rsidRPr="00BF425F">
        <w:rPr>
          <w:rFonts w:ascii="Arial" w:eastAsia="Calibri" w:hAnsi="Arial" w:cs="Arial"/>
          <w:lang w:val="es-ES"/>
        </w:rPr>
        <w:t>En todo lo no previsto en la presente Directiva será de aplicación la Ley Nº 27444, Ley del Procedimiento Administrativo General.</w:t>
      </w:r>
    </w:p>
    <w:p w:rsidR="00466F0F" w:rsidRPr="00BF425F" w:rsidRDefault="00466F0F" w:rsidP="00466F0F">
      <w:pPr>
        <w:spacing w:after="0" w:line="240" w:lineRule="auto"/>
        <w:contextualSpacing/>
        <w:jc w:val="both"/>
        <w:rPr>
          <w:rFonts w:ascii="Arial" w:eastAsia="Calibri" w:hAnsi="Arial" w:cs="Arial"/>
          <w:lang w:val="es-ES"/>
        </w:rPr>
      </w:pPr>
    </w:p>
    <w:p w:rsidR="00466F0F" w:rsidRPr="00BF425F" w:rsidRDefault="00466F0F" w:rsidP="00466F0F">
      <w:pPr>
        <w:spacing w:after="0" w:line="240" w:lineRule="auto"/>
        <w:contextualSpacing/>
        <w:jc w:val="both"/>
        <w:rPr>
          <w:rFonts w:ascii="Arial" w:eastAsia="Calibri" w:hAnsi="Arial" w:cs="Arial"/>
          <w:lang w:val="es-ES"/>
        </w:rPr>
      </w:pPr>
    </w:p>
    <w:p w:rsidR="00466F0F" w:rsidRPr="0041742A" w:rsidRDefault="00466F0F" w:rsidP="00466F0F">
      <w:pPr>
        <w:spacing w:after="0" w:line="240" w:lineRule="auto"/>
        <w:contextualSpacing/>
        <w:jc w:val="both"/>
        <w:rPr>
          <w:rFonts w:ascii="Arial" w:eastAsia="Calibri" w:hAnsi="Arial" w:cs="Arial"/>
          <w:b/>
          <w:lang w:val="es-ES"/>
        </w:rPr>
      </w:pPr>
      <w:r w:rsidRPr="0041742A">
        <w:rPr>
          <w:rFonts w:ascii="Arial" w:eastAsia="Calibri" w:hAnsi="Arial" w:cs="Arial"/>
          <w:b/>
          <w:lang w:val="es-ES"/>
        </w:rPr>
        <w:t>ANEXO</w:t>
      </w:r>
    </w:p>
    <w:p w:rsidR="00466F0F" w:rsidRPr="0041742A" w:rsidRDefault="00466F0F" w:rsidP="00466F0F">
      <w:pPr>
        <w:spacing w:after="0" w:line="240" w:lineRule="auto"/>
        <w:contextualSpacing/>
        <w:jc w:val="both"/>
        <w:rPr>
          <w:rFonts w:ascii="Arial" w:eastAsia="Calibri" w:hAnsi="Arial" w:cs="Arial"/>
          <w:b/>
          <w:lang w:val="es-ES"/>
        </w:rPr>
      </w:pPr>
    </w:p>
    <w:p w:rsidR="00466F0F" w:rsidRPr="0041742A" w:rsidRDefault="00466F0F" w:rsidP="00466F0F">
      <w:pPr>
        <w:spacing w:after="0" w:line="240" w:lineRule="auto"/>
        <w:contextualSpacing/>
        <w:jc w:val="both"/>
        <w:rPr>
          <w:rFonts w:ascii="Arial" w:eastAsia="Calibri" w:hAnsi="Arial" w:cs="Arial"/>
          <w:b/>
          <w:lang w:val="es-ES"/>
        </w:rPr>
      </w:pPr>
      <w:r w:rsidRPr="0041742A">
        <w:rPr>
          <w:rFonts w:ascii="Arial" w:eastAsia="Calibri" w:hAnsi="Arial" w:cs="Arial"/>
          <w:b/>
          <w:lang w:val="es-ES"/>
        </w:rPr>
        <w:t>GLOSARIO DE TÉRMINOS</w:t>
      </w:r>
    </w:p>
    <w:p w:rsidR="00466F0F" w:rsidRPr="00BF425F" w:rsidRDefault="00466F0F" w:rsidP="00466F0F">
      <w:pPr>
        <w:spacing w:after="0" w:line="240" w:lineRule="auto"/>
        <w:contextualSpacing/>
        <w:jc w:val="both"/>
        <w:rPr>
          <w:rFonts w:ascii="Arial" w:eastAsia="Calibri" w:hAnsi="Arial" w:cs="Arial"/>
          <w:lang w:val="es-ES"/>
        </w:rPr>
      </w:pPr>
    </w:p>
    <w:p w:rsidR="00466F0F" w:rsidRPr="00BF425F" w:rsidRDefault="00466F0F" w:rsidP="00466F0F">
      <w:pPr>
        <w:spacing w:after="0" w:line="240" w:lineRule="auto"/>
        <w:ind w:left="993" w:hanging="567"/>
        <w:contextualSpacing/>
        <w:jc w:val="both"/>
        <w:rPr>
          <w:rFonts w:ascii="Arial" w:eastAsia="Calibri" w:hAnsi="Arial" w:cs="Arial"/>
          <w:lang w:val="es-ES"/>
        </w:rPr>
      </w:pPr>
      <w:r w:rsidRPr="00BF425F">
        <w:rPr>
          <w:rFonts w:ascii="Arial" w:eastAsia="Calibri" w:hAnsi="Arial" w:cs="Arial"/>
          <w:lang w:val="es-ES"/>
        </w:rPr>
        <w:t xml:space="preserve">a) </w:t>
      </w:r>
      <w:r>
        <w:rPr>
          <w:rFonts w:ascii="Arial" w:eastAsia="Calibri" w:hAnsi="Arial" w:cs="Arial"/>
          <w:lang w:val="es-ES"/>
        </w:rPr>
        <w:tab/>
      </w:r>
      <w:r w:rsidRPr="00BF425F">
        <w:rPr>
          <w:rFonts w:ascii="Arial" w:eastAsia="Calibri" w:hAnsi="Arial" w:cs="Arial"/>
          <w:lang w:val="es-ES"/>
        </w:rPr>
        <w:t>Órgano Competente para la Calificación de Interés Nacional del proyecto: El Viceministerio de MYPE e Industria (VMYPE-I) del Ministerio de la Producción, a través de la Dirección General de Políticas y Regulación (DGPR), evalúa las solicitudes presentadas por los administrados, referentes a la calificación de proyectos industriales de interés nacional.</w:t>
      </w:r>
    </w:p>
    <w:p w:rsidR="00466F0F" w:rsidRPr="00BF425F" w:rsidRDefault="00466F0F" w:rsidP="00466F0F">
      <w:pPr>
        <w:spacing w:after="0" w:line="240" w:lineRule="auto"/>
        <w:ind w:left="993" w:hanging="567"/>
        <w:contextualSpacing/>
        <w:jc w:val="both"/>
        <w:rPr>
          <w:rFonts w:ascii="Arial" w:eastAsia="Calibri" w:hAnsi="Arial" w:cs="Arial"/>
          <w:lang w:val="es-ES"/>
        </w:rPr>
      </w:pPr>
    </w:p>
    <w:p w:rsidR="00466F0F" w:rsidRPr="00BF425F" w:rsidRDefault="00466F0F" w:rsidP="00466F0F">
      <w:pPr>
        <w:spacing w:after="0" w:line="240" w:lineRule="auto"/>
        <w:ind w:left="993" w:hanging="567"/>
        <w:contextualSpacing/>
        <w:jc w:val="both"/>
        <w:rPr>
          <w:rFonts w:ascii="Arial" w:eastAsia="Calibri" w:hAnsi="Arial" w:cs="Arial"/>
          <w:lang w:val="es-ES"/>
        </w:rPr>
      </w:pPr>
      <w:r w:rsidRPr="00BF425F">
        <w:rPr>
          <w:rFonts w:ascii="Arial" w:eastAsia="Calibri" w:hAnsi="Arial" w:cs="Arial"/>
          <w:lang w:val="es-ES"/>
        </w:rPr>
        <w:t xml:space="preserve">b) </w:t>
      </w:r>
      <w:r>
        <w:rPr>
          <w:rFonts w:ascii="Arial" w:eastAsia="Calibri" w:hAnsi="Arial" w:cs="Arial"/>
          <w:lang w:val="es-ES"/>
        </w:rPr>
        <w:tab/>
      </w:r>
      <w:r w:rsidRPr="00BF425F">
        <w:rPr>
          <w:rFonts w:ascii="Arial" w:eastAsia="Calibri" w:hAnsi="Arial" w:cs="Arial"/>
          <w:lang w:val="es-ES"/>
        </w:rPr>
        <w:t>Órgano Competente para la Aprobación de la Declaración de Interés Nacional del proyecto: El Despacho Ministerial del Ministerio de la Producción, declarará mediante Resolución Ministerial el interés nacional de los proyectos industriales calificados como tales.</w:t>
      </w:r>
    </w:p>
    <w:p w:rsidR="00466F0F" w:rsidRPr="00BF425F" w:rsidRDefault="00466F0F" w:rsidP="00466F0F">
      <w:pPr>
        <w:spacing w:after="0" w:line="240" w:lineRule="auto"/>
        <w:ind w:left="993" w:hanging="567"/>
        <w:contextualSpacing/>
        <w:jc w:val="both"/>
        <w:rPr>
          <w:rFonts w:ascii="Arial" w:eastAsia="Calibri" w:hAnsi="Arial" w:cs="Arial"/>
          <w:lang w:val="es-ES"/>
        </w:rPr>
      </w:pPr>
    </w:p>
    <w:p w:rsidR="00466F0F" w:rsidRPr="00BF425F" w:rsidRDefault="00466F0F" w:rsidP="00466F0F">
      <w:pPr>
        <w:spacing w:after="0" w:line="240" w:lineRule="auto"/>
        <w:ind w:left="993" w:hanging="567"/>
        <w:contextualSpacing/>
        <w:jc w:val="both"/>
        <w:rPr>
          <w:rFonts w:ascii="Arial" w:eastAsia="Calibri" w:hAnsi="Arial" w:cs="Arial"/>
          <w:lang w:val="es-ES"/>
        </w:rPr>
      </w:pPr>
      <w:r w:rsidRPr="00BF425F">
        <w:rPr>
          <w:rFonts w:ascii="Arial" w:eastAsia="Calibri" w:hAnsi="Arial" w:cs="Arial"/>
          <w:lang w:val="es-ES"/>
        </w:rPr>
        <w:t xml:space="preserve">c) </w:t>
      </w:r>
      <w:r>
        <w:rPr>
          <w:rFonts w:ascii="Arial" w:eastAsia="Calibri" w:hAnsi="Arial" w:cs="Arial"/>
          <w:lang w:val="es-ES"/>
        </w:rPr>
        <w:tab/>
      </w:r>
      <w:r w:rsidRPr="00BF425F">
        <w:rPr>
          <w:rFonts w:ascii="Arial" w:eastAsia="Calibri" w:hAnsi="Arial" w:cs="Arial"/>
          <w:lang w:val="es-ES"/>
        </w:rPr>
        <w:t>Órgano Competente para la Aprobación de la Declaración de Interés Regional del proyecto: El Presidente del Gobierno Regional, declarará mediante Resolución del Gobierno Regional el interés regional de los proyectos industriales.</w:t>
      </w:r>
    </w:p>
    <w:p w:rsidR="00466F0F" w:rsidRPr="00BF425F" w:rsidRDefault="00466F0F" w:rsidP="00466F0F">
      <w:pPr>
        <w:spacing w:after="0" w:line="240" w:lineRule="auto"/>
        <w:ind w:left="993" w:hanging="567"/>
        <w:contextualSpacing/>
        <w:jc w:val="both"/>
        <w:rPr>
          <w:rFonts w:ascii="Arial" w:eastAsia="Calibri" w:hAnsi="Arial" w:cs="Arial"/>
          <w:lang w:val="es-ES"/>
        </w:rPr>
      </w:pPr>
    </w:p>
    <w:p w:rsidR="00466F0F" w:rsidRPr="00BF425F" w:rsidRDefault="00466F0F" w:rsidP="00466F0F">
      <w:pPr>
        <w:spacing w:after="0" w:line="240" w:lineRule="auto"/>
        <w:ind w:left="993" w:hanging="567"/>
        <w:contextualSpacing/>
        <w:jc w:val="both"/>
        <w:rPr>
          <w:rFonts w:ascii="Arial" w:eastAsia="Calibri" w:hAnsi="Arial" w:cs="Arial"/>
          <w:lang w:val="es-ES"/>
        </w:rPr>
      </w:pPr>
      <w:r w:rsidRPr="00BF425F">
        <w:rPr>
          <w:rFonts w:ascii="Arial" w:eastAsia="Calibri" w:hAnsi="Arial" w:cs="Arial"/>
          <w:lang w:val="es-ES"/>
        </w:rPr>
        <w:t xml:space="preserve">d) </w:t>
      </w:r>
      <w:r>
        <w:rPr>
          <w:rFonts w:ascii="Arial" w:eastAsia="Calibri" w:hAnsi="Arial" w:cs="Arial"/>
          <w:lang w:val="es-ES"/>
        </w:rPr>
        <w:tab/>
      </w:r>
      <w:r w:rsidRPr="00BF425F">
        <w:rPr>
          <w:rFonts w:ascii="Arial" w:eastAsia="Calibri" w:hAnsi="Arial" w:cs="Arial"/>
          <w:lang w:val="es-ES"/>
        </w:rPr>
        <w:t>Superintendencia Nacional de Bienes Estatales (SBN): Ente rector del Sistema Nacional de Bienes Estatales, ante el cual se tramita la venta directa de predios de dominio privado del Estado de libre disponibilidad, para ejecutar proyectos vinculados a la actividad industrial.</w:t>
      </w:r>
    </w:p>
    <w:p w:rsidR="00466F0F" w:rsidRPr="00BF425F" w:rsidRDefault="00466F0F" w:rsidP="00466F0F">
      <w:pPr>
        <w:spacing w:after="0" w:line="240" w:lineRule="auto"/>
        <w:ind w:left="993" w:hanging="567"/>
        <w:contextualSpacing/>
        <w:jc w:val="both"/>
        <w:rPr>
          <w:rFonts w:ascii="Arial" w:eastAsia="Calibri" w:hAnsi="Arial" w:cs="Arial"/>
          <w:lang w:val="es-ES"/>
        </w:rPr>
      </w:pPr>
    </w:p>
    <w:p w:rsidR="00466F0F" w:rsidRPr="00BF425F" w:rsidRDefault="00466F0F" w:rsidP="00466F0F">
      <w:pPr>
        <w:spacing w:after="0" w:line="240" w:lineRule="auto"/>
        <w:ind w:left="993" w:hanging="567"/>
        <w:contextualSpacing/>
        <w:jc w:val="both"/>
        <w:rPr>
          <w:rFonts w:ascii="Arial" w:eastAsia="Calibri" w:hAnsi="Arial" w:cs="Arial"/>
          <w:lang w:val="es-ES"/>
        </w:rPr>
      </w:pPr>
      <w:r w:rsidRPr="00BF425F">
        <w:rPr>
          <w:rFonts w:ascii="Arial" w:eastAsia="Calibri" w:hAnsi="Arial" w:cs="Arial"/>
          <w:lang w:val="es-ES"/>
        </w:rPr>
        <w:t xml:space="preserve">e) </w:t>
      </w:r>
      <w:r>
        <w:rPr>
          <w:rFonts w:ascii="Arial" w:eastAsia="Calibri" w:hAnsi="Arial" w:cs="Arial"/>
          <w:lang w:val="es-ES"/>
        </w:rPr>
        <w:tab/>
      </w:r>
      <w:r w:rsidRPr="00BF425F">
        <w:rPr>
          <w:rFonts w:ascii="Arial" w:eastAsia="Calibri" w:hAnsi="Arial" w:cs="Arial"/>
          <w:lang w:val="es-ES"/>
        </w:rPr>
        <w:t>Administrado: Persona natural o jurídica que ante la Superintendencia Nacional de Bienes Estatales, efectúe el trámite de venta directa de predios de dominio privado del Estado de libre disponibilidad.</w:t>
      </w:r>
    </w:p>
    <w:p w:rsidR="00466F0F" w:rsidRPr="00BF425F" w:rsidRDefault="00466F0F" w:rsidP="00466F0F">
      <w:pPr>
        <w:spacing w:after="0" w:line="240" w:lineRule="auto"/>
        <w:ind w:left="993" w:hanging="567"/>
        <w:contextualSpacing/>
        <w:jc w:val="both"/>
        <w:rPr>
          <w:rFonts w:ascii="Arial" w:eastAsia="Calibri" w:hAnsi="Arial" w:cs="Arial"/>
          <w:lang w:val="es-ES"/>
        </w:rPr>
      </w:pPr>
    </w:p>
    <w:p w:rsidR="00466F0F" w:rsidRPr="00BF425F" w:rsidRDefault="00466F0F" w:rsidP="00466F0F">
      <w:pPr>
        <w:spacing w:after="0" w:line="240" w:lineRule="auto"/>
        <w:ind w:left="993" w:hanging="567"/>
        <w:contextualSpacing/>
        <w:jc w:val="both"/>
        <w:rPr>
          <w:rFonts w:ascii="Arial" w:eastAsia="Calibri" w:hAnsi="Arial" w:cs="Arial"/>
          <w:lang w:val="es-ES"/>
        </w:rPr>
      </w:pPr>
      <w:r w:rsidRPr="00BF425F">
        <w:rPr>
          <w:rFonts w:ascii="Arial" w:eastAsia="Calibri" w:hAnsi="Arial" w:cs="Arial"/>
          <w:lang w:val="es-ES"/>
        </w:rPr>
        <w:t xml:space="preserve">f) </w:t>
      </w:r>
      <w:r>
        <w:rPr>
          <w:rFonts w:ascii="Arial" w:eastAsia="Calibri" w:hAnsi="Arial" w:cs="Arial"/>
          <w:lang w:val="es-ES"/>
        </w:rPr>
        <w:tab/>
      </w:r>
      <w:r w:rsidRPr="00BF425F">
        <w:rPr>
          <w:rFonts w:ascii="Arial" w:eastAsia="Calibri" w:hAnsi="Arial" w:cs="Arial"/>
          <w:lang w:val="es-ES"/>
        </w:rPr>
        <w:t>Expediente: Documento que contiene el proyecto industrial presentado por el administrado con la documentación necesaria requerida para su calificación como de interés nacional por parte del Ministerio de la Producción, en el marco de la Ley Nº 29151, Ley General del Sistema Nacional de Bienes Estatales y su Reglamento.</w:t>
      </w:r>
    </w:p>
    <w:p w:rsidR="00466F0F" w:rsidRPr="00BF425F" w:rsidRDefault="00466F0F" w:rsidP="00466F0F">
      <w:pPr>
        <w:spacing w:after="0" w:line="240" w:lineRule="auto"/>
        <w:ind w:left="993" w:hanging="567"/>
        <w:contextualSpacing/>
        <w:jc w:val="both"/>
        <w:rPr>
          <w:rFonts w:ascii="Arial" w:eastAsia="Calibri" w:hAnsi="Arial" w:cs="Arial"/>
          <w:lang w:val="es-ES"/>
        </w:rPr>
      </w:pPr>
    </w:p>
    <w:p w:rsidR="00466F0F" w:rsidRPr="00BF425F" w:rsidRDefault="00466F0F" w:rsidP="00466F0F">
      <w:pPr>
        <w:spacing w:after="0" w:line="240" w:lineRule="auto"/>
        <w:ind w:left="993" w:hanging="567"/>
        <w:contextualSpacing/>
        <w:jc w:val="both"/>
        <w:rPr>
          <w:rFonts w:ascii="Arial" w:eastAsia="Calibri" w:hAnsi="Arial" w:cs="Arial"/>
          <w:lang w:val="es-ES"/>
        </w:rPr>
      </w:pPr>
      <w:r w:rsidRPr="00BF425F">
        <w:rPr>
          <w:rFonts w:ascii="Arial" w:eastAsia="Calibri" w:hAnsi="Arial" w:cs="Arial"/>
          <w:lang w:val="es-ES"/>
        </w:rPr>
        <w:t xml:space="preserve">g) </w:t>
      </w:r>
      <w:r>
        <w:rPr>
          <w:rFonts w:ascii="Arial" w:eastAsia="Calibri" w:hAnsi="Arial" w:cs="Arial"/>
          <w:lang w:val="es-ES"/>
        </w:rPr>
        <w:tab/>
      </w:r>
      <w:r w:rsidRPr="00BF425F">
        <w:rPr>
          <w:rFonts w:ascii="Arial" w:eastAsia="Calibri" w:hAnsi="Arial" w:cs="Arial"/>
          <w:lang w:val="es-ES"/>
        </w:rPr>
        <w:t>Interés Nacional: Declaración emitida por el Ministerio de la Producción para un proyecto Industrial con la finalidad de adquirir mediante compra venta directa un predio de dominio privado del Estado.</w:t>
      </w:r>
    </w:p>
    <w:p w:rsidR="00466F0F" w:rsidRPr="00BF425F" w:rsidRDefault="00466F0F" w:rsidP="00466F0F">
      <w:pPr>
        <w:spacing w:after="0" w:line="240" w:lineRule="auto"/>
        <w:ind w:left="993" w:hanging="567"/>
        <w:contextualSpacing/>
        <w:jc w:val="both"/>
        <w:rPr>
          <w:rFonts w:ascii="Arial" w:eastAsia="Calibri" w:hAnsi="Arial" w:cs="Arial"/>
          <w:lang w:val="es-ES"/>
        </w:rPr>
      </w:pPr>
    </w:p>
    <w:p w:rsidR="00466F0F" w:rsidRPr="00BF425F" w:rsidRDefault="00466F0F" w:rsidP="00466F0F">
      <w:pPr>
        <w:spacing w:after="0" w:line="240" w:lineRule="auto"/>
        <w:ind w:left="993" w:hanging="567"/>
        <w:contextualSpacing/>
        <w:jc w:val="both"/>
        <w:rPr>
          <w:rFonts w:ascii="Arial" w:eastAsia="Calibri" w:hAnsi="Arial" w:cs="Arial"/>
          <w:lang w:val="es-ES"/>
        </w:rPr>
      </w:pPr>
      <w:r w:rsidRPr="00BF425F">
        <w:rPr>
          <w:rFonts w:ascii="Arial" w:eastAsia="Calibri" w:hAnsi="Arial" w:cs="Arial"/>
          <w:lang w:val="es-ES"/>
        </w:rPr>
        <w:t xml:space="preserve">h) </w:t>
      </w:r>
      <w:r>
        <w:rPr>
          <w:rFonts w:ascii="Arial" w:eastAsia="Calibri" w:hAnsi="Arial" w:cs="Arial"/>
          <w:lang w:val="es-ES"/>
        </w:rPr>
        <w:tab/>
      </w:r>
      <w:r w:rsidRPr="00BF425F">
        <w:rPr>
          <w:rFonts w:ascii="Arial" w:eastAsia="Calibri" w:hAnsi="Arial" w:cs="Arial"/>
          <w:lang w:val="es-ES"/>
        </w:rPr>
        <w:t>Interés Regional: Declaración emitida por el Gobierno Regional para un proyecto industrial con la finalidad de adquirir mediante compra venta directa un predio de dominio privado del Estado.</w:t>
      </w:r>
    </w:p>
    <w:p w:rsidR="00466F0F" w:rsidRPr="00BF425F" w:rsidRDefault="00466F0F" w:rsidP="00466F0F">
      <w:pPr>
        <w:spacing w:after="0" w:line="240" w:lineRule="auto"/>
        <w:ind w:left="993" w:hanging="567"/>
        <w:contextualSpacing/>
        <w:jc w:val="both"/>
        <w:rPr>
          <w:rFonts w:ascii="Arial" w:eastAsia="Calibri" w:hAnsi="Arial" w:cs="Arial"/>
          <w:lang w:val="es-ES"/>
        </w:rPr>
      </w:pPr>
    </w:p>
    <w:p w:rsidR="00466F0F" w:rsidRPr="00BF425F" w:rsidRDefault="00466F0F" w:rsidP="00466F0F">
      <w:pPr>
        <w:spacing w:after="0" w:line="240" w:lineRule="auto"/>
        <w:ind w:left="993" w:hanging="567"/>
        <w:contextualSpacing/>
        <w:jc w:val="both"/>
        <w:rPr>
          <w:rFonts w:ascii="Arial" w:eastAsia="Calibri" w:hAnsi="Arial" w:cs="Arial"/>
          <w:lang w:val="es-ES"/>
        </w:rPr>
      </w:pPr>
      <w:r w:rsidRPr="00BF425F">
        <w:rPr>
          <w:rFonts w:ascii="Arial" w:eastAsia="Calibri" w:hAnsi="Arial" w:cs="Arial"/>
          <w:lang w:val="es-ES"/>
        </w:rPr>
        <w:t xml:space="preserve">i) </w:t>
      </w:r>
      <w:r>
        <w:rPr>
          <w:rFonts w:ascii="Arial" w:eastAsia="Calibri" w:hAnsi="Arial" w:cs="Arial"/>
          <w:lang w:val="es-ES"/>
        </w:rPr>
        <w:tab/>
      </w:r>
      <w:r w:rsidRPr="00BF425F">
        <w:rPr>
          <w:rFonts w:ascii="Arial" w:eastAsia="Calibri" w:hAnsi="Arial" w:cs="Arial"/>
          <w:lang w:val="es-ES"/>
        </w:rPr>
        <w:t>Actividad Industrial: las actividades consideradas en la Sección C, “Industrias Manufactureras” de la Clasificación Industrial Internacional Uniforme - CIIU, Revisión 4.</w:t>
      </w:r>
    </w:p>
    <w:p w:rsidR="00466F0F" w:rsidRPr="00BF425F" w:rsidRDefault="00466F0F" w:rsidP="00466F0F">
      <w:pPr>
        <w:spacing w:after="0" w:line="240" w:lineRule="auto"/>
        <w:ind w:left="993" w:hanging="567"/>
        <w:contextualSpacing/>
        <w:jc w:val="both"/>
        <w:rPr>
          <w:rFonts w:ascii="Arial" w:eastAsia="Calibri" w:hAnsi="Arial" w:cs="Arial"/>
          <w:lang w:val="es-ES"/>
        </w:rPr>
      </w:pPr>
    </w:p>
    <w:p w:rsidR="00466F0F" w:rsidRPr="00BF425F" w:rsidRDefault="00466F0F" w:rsidP="00466F0F">
      <w:pPr>
        <w:spacing w:after="0" w:line="240" w:lineRule="auto"/>
        <w:ind w:left="993" w:hanging="567"/>
        <w:contextualSpacing/>
        <w:jc w:val="both"/>
        <w:rPr>
          <w:rFonts w:ascii="Arial" w:eastAsia="Calibri" w:hAnsi="Arial" w:cs="Arial"/>
          <w:lang w:val="es-ES"/>
        </w:rPr>
      </w:pPr>
      <w:r w:rsidRPr="00BF425F">
        <w:rPr>
          <w:rFonts w:ascii="Arial" w:eastAsia="Calibri" w:hAnsi="Arial" w:cs="Arial"/>
          <w:lang w:val="es-ES"/>
        </w:rPr>
        <w:t xml:space="preserve">j) </w:t>
      </w:r>
      <w:r>
        <w:rPr>
          <w:rFonts w:ascii="Arial" w:eastAsia="Calibri" w:hAnsi="Arial" w:cs="Arial"/>
          <w:lang w:val="es-ES"/>
        </w:rPr>
        <w:tab/>
      </w:r>
      <w:r w:rsidRPr="00BF425F">
        <w:rPr>
          <w:rFonts w:ascii="Arial" w:eastAsia="Calibri" w:hAnsi="Arial" w:cs="Arial"/>
          <w:lang w:val="es-ES"/>
        </w:rPr>
        <w:t>Informe Técnico: documento emitido por la Dirección General de Políticas y Regulación del Viceministerio de MYPE e Industria, órgano competente para calificar técnicamente los expedientes presentados en el marco de la Ley Nº 29151 y su Reglamento.</w:t>
      </w:r>
    </w:p>
    <w:p w:rsidR="00466F0F" w:rsidRPr="00BF425F" w:rsidRDefault="00466F0F" w:rsidP="00466F0F">
      <w:pPr>
        <w:spacing w:after="0" w:line="240" w:lineRule="auto"/>
        <w:ind w:left="993" w:hanging="567"/>
        <w:contextualSpacing/>
        <w:jc w:val="both"/>
        <w:rPr>
          <w:rFonts w:ascii="Arial" w:eastAsia="Calibri" w:hAnsi="Arial" w:cs="Arial"/>
          <w:lang w:val="es-ES"/>
        </w:rPr>
      </w:pPr>
    </w:p>
    <w:p w:rsidR="00466F0F" w:rsidRPr="006312E8" w:rsidRDefault="00466F0F" w:rsidP="00466F0F">
      <w:pPr>
        <w:spacing w:after="0" w:line="240" w:lineRule="auto"/>
        <w:ind w:left="993" w:hanging="567"/>
        <w:contextualSpacing/>
        <w:jc w:val="both"/>
        <w:rPr>
          <w:rFonts w:ascii="Arial" w:eastAsia="Calibri" w:hAnsi="Arial" w:cs="Arial"/>
          <w:lang w:val="es-ES"/>
        </w:rPr>
      </w:pPr>
      <w:r w:rsidRPr="00BF425F">
        <w:rPr>
          <w:rFonts w:ascii="Arial" w:eastAsia="Calibri" w:hAnsi="Arial" w:cs="Arial"/>
          <w:lang w:val="es-ES"/>
        </w:rPr>
        <w:t xml:space="preserve">k) </w:t>
      </w:r>
      <w:r>
        <w:rPr>
          <w:rFonts w:ascii="Arial" w:eastAsia="Calibri" w:hAnsi="Arial" w:cs="Arial"/>
          <w:lang w:val="es-ES"/>
        </w:rPr>
        <w:tab/>
      </w:r>
      <w:r w:rsidRPr="00BF425F">
        <w:rPr>
          <w:rFonts w:ascii="Arial" w:eastAsia="Calibri" w:hAnsi="Arial" w:cs="Arial"/>
          <w:lang w:val="es-ES"/>
        </w:rPr>
        <w:t>Informe Legal: documento emitido por la Oficina General de Asesoría Jurídica del Ministerio de la Producción que evalúa y analiza el expediente</w:t>
      </w:r>
    </w:p>
    <w:p w:rsidR="00466F0F" w:rsidRPr="006312E8" w:rsidRDefault="00466F0F" w:rsidP="00466F0F">
      <w:pPr>
        <w:spacing w:after="0" w:line="240" w:lineRule="auto"/>
        <w:contextualSpacing/>
        <w:jc w:val="both"/>
        <w:rPr>
          <w:rFonts w:ascii="Arial" w:eastAsia="Calibri" w:hAnsi="Arial" w:cs="Arial"/>
          <w:lang w:val="es-ES"/>
        </w:rPr>
      </w:pPr>
    </w:p>
    <w:p w:rsidR="00466F0F" w:rsidRDefault="00466F0F" w:rsidP="006312E8">
      <w:pPr>
        <w:spacing w:after="0" w:line="240" w:lineRule="auto"/>
        <w:contextualSpacing/>
        <w:jc w:val="both"/>
        <w:rPr>
          <w:rFonts w:ascii="Arial" w:eastAsia="Calibri" w:hAnsi="Arial" w:cs="Arial"/>
          <w:lang w:val="es-ES"/>
        </w:rPr>
      </w:pPr>
    </w:p>
    <w:p w:rsidR="00466F0F" w:rsidRPr="006312E8" w:rsidRDefault="00466F0F" w:rsidP="006312E8">
      <w:pPr>
        <w:spacing w:after="0" w:line="240" w:lineRule="auto"/>
        <w:contextualSpacing/>
        <w:jc w:val="both"/>
        <w:rPr>
          <w:rFonts w:ascii="Arial" w:eastAsia="Calibri" w:hAnsi="Arial" w:cs="Arial"/>
          <w:lang w:val="es-ES"/>
        </w:rPr>
      </w:pPr>
    </w:p>
    <w:p w:rsidR="006312E8" w:rsidRPr="006312E8" w:rsidRDefault="006312E8" w:rsidP="00F47618">
      <w:pPr>
        <w:pStyle w:val="TITO2"/>
      </w:pPr>
      <w:bookmarkStart w:id="482" w:name="_Toc421025485"/>
      <w:bookmarkStart w:id="483" w:name="_Toc470855594"/>
      <w:r w:rsidRPr="006312E8">
        <w:t>RESOLUCIÓN MINISTERIAL N° 141-2015-MINCETUR</w:t>
      </w:r>
      <w:bookmarkEnd w:id="482"/>
      <w:bookmarkEnd w:id="483"/>
    </w:p>
    <w:p w:rsidR="006312E8" w:rsidRPr="006312E8" w:rsidRDefault="006312E8" w:rsidP="006312E8">
      <w:pPr>
        <w:spacing w:after="0" w:line="240" w:lineRule="auto"/>
        <w:contextualSpacing/>
        <w:jc w:val="both"/>
        <w:rPr>
          <w:rFonts w:ascii="Arial" w:eastAsia="Calibri" w:hAnsi="Arial" w:cs="Arial"/>
        </w:rPr>
      </w:pPr>
    </w:p>
    <w:p w:rsidR="006312E8" w:rsidRPr="006312E8" w:rsidRDefault="006312E8" w:rsidP="006312E8">
      <w:pPr>
        <w:spacing w:after="0" w:line="240" w:lineRule="auto"/>
        <w:contextualSpacing/>
        <w:jc w:val="center"/>
        <w:rPr>
          <w:rFonts w:ascii="Arial" w:eastAsia="Calibri" w:hAnsi="Arial" w:cs="Arial"/>
          <w:b/>
        </w:rPr>
      </w:pPr>
      <w:r w:rsidRPr="006312E8">
        <w:rPr>
          <w:rFonts w:ascii="Arial" w:eastAsia="Calibri" w:hAnsi="Arial" w:cs="Arial"/>
          <w:b/>
        </w:rPr>
        <w:t>Aprueban Directiva "Lineamientos para calificar y aprobar proyectos de interés turístico nacional o regional presentados en el marco del Reglamento de la Ley N° 29151, aprobado por Decreto Supremo N° 007- 2008-VIVIENDA; y, el Reglamento de la Ley N° 26856, aprobado por Decreto Supremo N° 050-2006-EF</w:t>
      </w:r>
    </w:p>
    <w:p w:rsidR="006312E8" w:rsidRPr="006312E8" w:rsidRDefault="006312E8" w:rsidP="006312E8">
      <w:pPr>
        <w:spacing w:after="0" w:line="240" w:lineRule="auto"/>
        <w:contextualSpacing/>
        <w:jc w:val="center"/>
        <w:rPr>
          <w:rFonts w:ascii="Arial" w:eastAsia="Calibri" w:hAnsi="Arial" w:cs="Arial"/>
          <w:b/>
        </w:rPr>
      </w:pPr>
    </w:p>
    <w:p w:rsidR="006312E8" w:rsidRPr="006312E8" w:rsidRDefault="006312E8" w:rsidP="006312E8">
      <w:pPr>
        <w:spacing w:after="0" w:line="240" w:lineRule="auto"/>
        <w:contextualSpacing/>
        <w:jc w:val="right"/>
        <w:rPr>
          <w:rFonts w:ascii="Arial" w:eastAsia="Calibri" w:hAnsi="Arial" w:cs="Arial"/>
          <w:b/>
        </w:rPr>
      </w:pPr>
      <w:r w:rsidRPr="006312E8">
        <w:rPr>
          <w:rFonts w:ascii="Arial" w:eastAsia="Calibri" w:hAnsi="Arial" w:cs="Arial"/>
          <w:b/>
        </w:rPr>
        <w:t>Publicado: 20-05-2015</w:t>
      </w:r>
    </w:p>
    <w:p w:rsidR="006312E8" w:rsidRPr="006312E8" w:rsidRDefault="006312E8" w:rsidP="006312E8">
      <w:pPr>
        <w:spacing w:after="0" w:line="240" w:lineRule="auto"/>
        <w:contextualSpacing/>
        <w:jc w:val="right"/>
        <w:rPr>
          <w:rFonts w:ascii="Arial" w:eastAsia="Calibri" w:hAnsi="Arial" w:cs="Arial"/>
          <w:b/>
        </w:rPr>
      </w:pPr>
    </w:p>
    <w:p w:rsidR="006312E8" w:rsidRPr="006312E8" w:rsidRDefault="006312E8" w:rsidP="006312E8">
      <w:pPr>
        <w:spacing w:after="0" w:line="240" w:lineRule="auto"/>
        <w:contextualSpacing/>
        <w:jc w:val="both"/>
        <w:rPr>
          <w:rFonts w:ascii="Arial" w:eastAsia="Calibri" w:hAnsi="Arial" w:cs="Arial"/>
        </w:rPr>
      </w:pPr>
      <w:r w:rsidRPr="006312E8">
        <w:rPr>
          <w:rFonts w:ascii="Arial" w:eastAsia="Calibri" w:hAnsi="Arial" w:cs="Arial"/>
        </w:rPr>
        <w:t>San Isidro, 15 de mayo de 2015</w:t>
      </w:r>
    </w:p>
    <w:p w:rsidR="006312E8" w:rsidRPr="006312E8" w:rsidRDefault="006312E8" w:rsidP="006312E8">
      <w:pPr>
        <w:spacing w:after="0" w:line="240" w:lineRule="auto"/>
        <w:contextualSpacing/>
        <w:jc w:val="both"/>
        <w:rPr>
          <w:rFonts w:ascii="Arial" w:eastAsia="Calibri" w:hAnsi="Arial" w:cs="Arial"/>
        </w:rPr>
      </w:pPr>
    </w:p>
    <w:p w:rsidR="006312E8" w:rsidRPr="006312E8" w:rsidRDefault="006312E8" w:rsidP="006312E8">
      <w:pPr>
        <w:spacing w:after="0" w:line="240" w:lineRule="auto"/>
        <w:contextualSpacing/>
        <w:jc w:val="both"/>
        <w:rPr>
          <w:rFonts w:ascii="Arial" w:eastAsia="Calibri" w:hAnsi="Arial" w:cs="Arial"/>
        </w:rPr>
      </w:pPr>
      <w:r w:rsidRPr="006312E8">
        <w:rPr>
          <w:rFonts w:ascii="Arial" w:eastAsia="Calibri" w:hAnsi="Arial" w:cs="Arial"/>
        </w:rPr>
        <w:t xml:space="preserve">Visto, los Informes Nros. 002-2014-MINCETUR/VMT/ DNDT/DDPT/MALR, 22-2014-MINCETUR/VMT/DNDT/AL- YTV, 57-2014-MINCETUR/VMT/DNDT/AL-YTV, 057-2014- MINCETUR/VMT/DNDT-DNS-RGC, 010-2014-MINCETUR/ VMT/DNDT/DDPT/FGFI, 137-2014-MINCETUR/VMT/ DNDT-DNS-RGC, 032-2014-MINCETUR/VMT/DNDT/DDPT- MALR, 005-2015-MINCETUR/VMT/DNDT/DDPT-MALQ y 00108-2015-MINCETUR/VMT/DNDT/OMA, remitidos por la Dirección Nacional de Desarrollo Turístico; el Informe N° 156-2014-MINCETUR/SG/OGPPD y el Memorándum N° 700-2014-MINCETUR/SG/OGPPD de la Oficina General de Planificación, Presupuesto y Desarrollo; el Informe N° 155-2014-MINCETUR/SG-AJ y el Memorándum N° 908- 2014-MINCETUR/SG-AJ y el Memorándum N° 230-2015- NCETUR/SG-AJ, emitidos por la Oficina General de Asesoría Jurídica, y; </w:t>
      </w:r>
    </w:p>
    <w:p w:rsidR="006312E8" w:rsidRPr="006312E8" w:rsidRDefault="006312E8" w:rsidP="006312E8">
      <w:pPr>
        <w:spacing w:after="0" w:line="240" w:lineRule="auto"/>
        <w:contextualSpacing/>
        <w:jc w:val="both"/>
        <w:rPr>
          <w:rFonts w:ascii="Arial" w:eastAsia="Calibri" w:hAnsi="Arial" w:cs="Arial"/>
        </w:rPr>
      </w:pPr>
    </w:p>
    <w:p w:rsidR="006312E8" w:rsidRPr="006312E8" w:rsidRDefault="006312E8" w:rsidP="006312E8">
      <w:pPr>
        <w:spacing w:after="0" w:line="240" w:lineRule="auto"/>
        <w:contextualSpacing/>
        <w:jc w:val="both"/>
        <w:rPr>
          <w:rFonts w:ascii="Arial" w:eastAsia="Calibri" w:hAnsi="Arial" w:cs="Arial"/>
          <w:b/>
        </w:rPr>
      </w:pPr>
      <w:r w:rsidRPr="006312E8">
        <w:rPr>
          <w:rFonts w:ascii="Arial" w:eastAsia="Calibri" w:hAnsi="Arial" w:cs="Arial"/>
          <w:b/>
        </w:rPr>
        <w:t xml:space="preserve">CONSIDERANDO: </w:t>
      </w:r>
    </w:p>
    <w:p w:rsidR="006312E8" w:rsidRPr="006312E8" w:rsidRDefault="006312E8" w:rsidP="006312E8">
      <w:pPr>
        <w:spacing w:after="0" w:line="240" w:lineRule="auto"/>
        <w:contextualSpacing/>
        <w:jc w:val="both"/>
        <w:rPr>
          <w:rFonts w:ascii="Arial" w:eastAsia="Calibri" w:hAnsi="Arial" w:cs="Arial"/>
        </w:rPr>
      </w:pPr>
    </w:p>
    <w:p w:rsidR="006312E8" w:rsidRPr="006312E8" w:rsidRDefault="006312E8" w:rsidP="006312E8">
      <w:pPr>
        <w:spacing w:after="0" w:line="240" w:lineRule="auto"/>
        <w:contextualSpacing/>
        <w:jc w:val="both"/>
        <w:rPr>
          <w:rFonts w:ascii="Arial" w:eastAsia="Calibri" w:hAnsi="Arial" w:cs="Arial"/>
        </w:rPr>
      </w:pPr>
      <w:r w:rsidRPr="006312E8">
        <w:rPr>
          <w:rFonts w:ascii="Arial" w:eastAsia="Calibri" w:hAnsi="Arial" w:cs="Arial"/>
        </w:rPr>
        <w:t xml:space="preserve">Que, mediante Ley N° 29151, Ley General del Sistema Nacional de Bienes Estatales, se establecen normas que regulan el ámbito, organización, atribuciones y funcionamiento del Sistema Nacional de Bienes Estatales, en el marco de proceso de modernización de la gestión del Estado y en apoyo y fortalecimiento al proceso de descentralización; </w:t>
      </w:r>
    </w:p>
    <w:p w:rsidR="006312E8" w:rsidRPr="006312E8" w:rsidRDefault="006312E8" w:rsidP="006312E8">
      <w:pPr>
        <w:spacing w:after="0" w:line="240" w:lineRule="auto"/>
        <w:contextualSpacing/>
        <w:jc w:val="both"/>
        <w:rPr>
          <w:rFonts w:ascii="Arial" w:eastAsia="Calibri" w:hAnsi="Arial" w:cs="Arial"/>
        </w:rPr>
      </w:pPr>
    </w:p>
    <w:p w:rsidR="006312E8" w:rsidRPr="006312E8" w:rsidRDefault="006312E8" w:rsidP="006312E8">
      <w:pPr>
        <w:spacing w:after="0" w:line="240" w:lineRule="auto"/>
        <w:contextualSpacing/>
        <w:jc w:val="both"/>
        <w:rPr>
          <w:rFonts w:ascii="Arial" w:eastAsia="Calibri" w:hAnsi="Arial" w:cs="Arial"/>
        </w:rPr>
      </w:pPr>
      <w:r w:rsidRPr="006312E8">
        <w:rPr>
          <w:rFonts w:ascii="Arial" w:eastAsia="Calibri" w:hAnsi="Arial" w:cs="Arial"/>
        </w:rPr>
        <w:t xml:space="preserve">Que, por Decreto Supremo N° 007-2008-VIVIENDA, se aprobó el Reglamento de la Ley N° 29151, Ley General del Sistema Nacional de Bienes Estatales; </w:t>
      </w:r>
    </w:p>
    <w:p w:rsidR="006312E8" w:rsidRPr="006312E8" w:rsidRDefault="006312E8" w:rsidP="006312E8">
      <w:pPr>
        <w:spacing w:after="0" w:line="240" w:lineRule="auto"/>
        <w:contextualSpacing/>
        <w:jc w:val="both"/>
        <w:rPr>
          <w:rFonts w:ascii="Arial" w:eastAsia="Calibri" w:hAnsi="Arial" w:cs="Arial"/>
        </w:rPr>
      </w:pPr>
    </w:p>
    <w:p w:rsidR="006312E8" w:rsidRPr="006312E8" w:rsidRDefault="006312E8" w:rsidP="006312E8">
      <w:pPr>
        <w:spacing w:after="0" w:line="240" w:lineRule="auto"/>
        <w:contextualSpacing/>
        <w:jc w:val="both"/>
        <w:rPr>
          <w:rFonts w:ascii="Arial" w:eastAsia="Calibri" w:hAnsi="Arial" w:cs="Arial"/>
        </w:rPr>
      </w:pPr>
      <w:r w:rsidRPr="006312E8">
        <w:rPr>
          <w:rFonts w:ascii="Arial" w:eastAsia="Calibri" w:hAnsi="Arial" w:cs="Arial"/>
        </w:rPr>
        <w:t xml:space="preserve">Que, a través de la Resolución Ministerial N° 171- 2011-MINCETUR/DM, se aprobó la Directiva N° 002- 2011-MINCETUR/DM, Directiva que establece los "Lineamientos para calificar y aprobar proyectos de interés turístico nacional o sectorial presentados en el marco de las Leyes N° 29151 y N° 26856"; modificada por la Resolución Ministerial N° 379-2012-MINCETUR/DM; </w:t>
      </w:r>
    </w:p>
    <w:p w:rsidR="006312E8" w:rsidRPr="006312E8" w:rsidRDefault="006312E8" w:rsidP="006312E8">
      <w:pPr>
        <w:spacing w:after="0" w:line="240" w:lineRule="auto"/>
        <w:contextualSpacing/>
        <w:jc w:val="both"/>
        <w:rPr>
          <w:rFonts w:ascii="Arial" w:eastAsia="Calibri" w:hAnsi="Arial" w:cs="Arial"/>
        </w:rPr>
      </w:pPr>
    </w:p>
    <w:p w:rsidR="006312E8" w:rsidRPr="006312E8" w:rsidRDefault="006312E8" w:rsidP="006312E8">
      <w:pPr>
        <w:spacing w:after="0" w:line="240" w:lineRule="auto"/>
        <w:contextualSpacing/>
        <w:jc w:val="both"/>
        <w:rPr>
          <w:rFonts w:ascii="Arial" w:eastAsia="Calibri" w:hAnsi="Arial" w:cs="Arial"/>
        </w:rPr>
      </w:pPr>
      <w:r w:rsidRPr="006312E8">
        <w:rPr>
          <w:rFonts w:ascii="Arial" w:eastAsia="Calibri" w:hAnsi="Arial" w:cs="Arial"/>
        </w:rPr>
        <w:t xml:space="preserve">Que, mediante Decreto Supremo N° 013-2012- VIVIENDA, se modificó el literal b) del artículo 77 del Reglamento de la Ley N° 29151, en virtud de lo cual, por excepción, puede procederse a la compraventa directa de bienes de dominio privado a favor de particulares, </w:t>
      </w:r>
      <w:r w:rsidRPr="006312E8">
        <w:rPr>
          <w:rFonts w:ascii="Arial" w:eastAsia="Calibri" w:hAnsi="Arial" w:cs="Arial"/>
          <w:i/>
        </w:rPr>
        <w:t>"Con la finalidad de ejecutar un proyecto de interés nacional o regional, cuya viabilidad haya sido calificada y aprobada por el sector o la entidad competente, acorde con la normatividad y políticas de Estado"</w:t>
      </w:r>
      <w:r w:rsidRPr="006312E8">
        <w:rPr>
          <w:rFonts w:ascii="Arial" w:eastAsia="Calibri" w:hAnsi="Arial" w:cs="Arial"/>
        </w:rPr>
        <w:t xml:space="preserve">, excluyendo el interés sectorial del citado literal; </w:t>
      </w:r>
    </w:p>
    <w:p w:rsidR="006312E8" w:rsidRPr="006312E8" w:rsidRDefault="006312E8" w:rsidP="006312E8">
      <w:pPr>
        <w:spacing w:after="0" w:line="240" w:lineRule="auto"/>
        <w:contextualSpacing/>
        <w:jc w:val="both"/>
        <w:rPr>
          <w:rFonts w:ascii="Arial" w:eastAsia="Calibri" w:hAnsi="Arial" w:cs="Arial"/>
        </w:rPr>
      </w:pPr>
    </w:p>
    <w:p w:rsidR="006312E8" w:rsidRPr="006312E8" w:rsidRDefault="006312E8" w:rsidP="006312E8">
      <w:pPr>
        <w:spacing w:after="0" w:line="240" w:lineRule="auto"/>
        <w:contextualSpacing/>
        <w:jc w:val="both"/>
        <w:rPr>
          <w:rFonts w:ascii="Arial" w:eastAsia="Calibri" w:hAnsi="Arial" w:cs="Arial"/>
        </w:rPr>
      </w:pPr>
      <w:r w:rsidRPr="006312E8">
        <w:rPr>
          <w:rFonts w:ascii="Arial" w:eastAsia="Calibri" w:hAnsi="Arial" w:cs="Arial"/>
        </w:rPr>
        <w:t xml:space="preserve">Que, por Resolución N° 064-2014/SBN, la Superintendencia Nacional de Bienes Estatales (SBN) aprobó la Directiva N° 006-2014/SBN "Procedimientos para la aprobación de la venta directa de predios de dominio privado estatal de libre disponibilidad", que establece nuevos aspectos a tener en cuenta para la calificación y aprobación de los proyectos de interés nacional o regional en el marco de la Ley N° 29151, de la Ley N° 26856 y de sus Reglamentos correspondientes; </w:t>
      </w:r>
    </w:p>
    <w:p w:rsidR="006312E8" w:rsidRPr="006312E8" w:rsidRDefault="006312E8" w:rsidP="006312E8">
      <w:pPr>
        <w:spacing w:after="0" w:line="240" w:lineRule="auto"/>
        <w:contextualSpacing/>
        <w:jc w:val="both"/>
        <w:rPr>
          <w:rFonts w:ascii="Arial" w:eastAsia="Calibri" w:hAnsi="Arial" w:cs="Arial"/>
        </w:rPr>
      </w:pPr>
    </w:p>
    <w:p w:rsidR="006312E8" w:rsidRPr="006312E8" w:rsidRDefault="006312E8" w:rsidP="006312E8">
      <w:pPr>
        <w:spacing w:after="0" w:line="240" w:lineRule="auto"/>
        <w:contextualSpacing/>
        <w:jc w:val="both"/>
        <w:rPr>
          <w:rFonts w:ascii="Arial" w:eastAsia="Calibri" w:hAnsi="Arial" w:cs="Arial"/>
        </w:rPr>
      </w:pPr>
      <w:r w:rsidRPr="006312E8">
        <w:rPr>
          <w:rFonts w:ascii="Arial" w:eastAsia="Calibri" w:hAnsi="Arial" w:cs="Arial"/>
        </w:rPr>
        <w:t xml:space="preserve">Que, de acuerdo con el artículo 4 de la Ley N° 27790, Ley de Organización y Funciones del Ministerio de Comercio Exterior y Turismo - MINCETUR, este último tiene como uno de sus objetivos, en materia de turismo, promover el desarrollo de la actividad turística como un medio para contribuir al crecimiento económico y al desarrollo social del país, propiciando las condiciones más favorables para el desarrollo de la iniciativa privada y la generación de empleo; </w:t>
      </w:r>
    </w:p>
    <w:p w:rsidR="006312E8" w:rsidRPr="006312E8" w:rsidRDefault="006312E8" w:rsidP="006312E8">
      <w:pPr>
        <w:spacing w:after="0" w:line="240" w:lineRule="auto"/>
        <w:contextualSpacing/>
        <w:jc w:val="both"/>
        <w:rPr>
          <w:rFonts w:ascii="Arial" w:eastAsia="Calibri" w:hAnsi="Arial" w:cs="Arial"/>
        </w:rPr>
      </w:pPr>
      <w:r w:rsidRPr="006312E8">
        <w:rPr>
          <w:rFonts w:ascii="Arial" w:eastAsia="Calibri" w:hAnsi="Arial" w:cs="Arial"/>
        </w:rPr>
        <w:t>Que, el numeral 23.3 del artículo 23 de la Ley N° 29158, Ley Orgánica del Poder Ejecutivo, dispone que "</w:t>
      </w:r>
      <w:r w:rsidRPr="006312E8">
        <w:rPr>
          <w:rFonts w:ascii="Arial" w:eastAsia="Calibri" w:hAnsi="Arial" w:cs="Arial"/>
          <w:i/>
        </w:rPr>
        <w:t>Para el ejercicio de las competencias compartidas, en las funciones que son materia de descentralización, corresponde a los Ministerios (...) b) Dictar normas y lineamientos técnicos para el otorgamiento y reconocimiento de derechos, a través de autorizaciones, permisos, licencias y concesiones..."</w:t>
      </w:r>
      <w:r w:rsidRPr="006312E8">
        <w:rPr>
          <w:rFonts w:ascii="Arial" w:eastAsia="Calibri" w:hAnsi="Arial" w:cs="Arial"/>
        </w:rPr>
        <w:t xml:space="preserve">; </w:t>
      </w:r>
    </w:p>
    <w:p w:rsidR="006312E8" w:rsidRPr="006312E8" w:rsidRDefault="006312E8" w:rsidP="006312E8">
      <w:pPr>
        <w:spacing w:after="0" w:line="240" w:lineRule="auto"/>
        <w:contextualSpacing/>
        <w:jc w:val="both"/>
        <w:rPr>
          <w:rFonts w:ascii="Arial" w:eastAsia="Calibri" w:hAnsi="Arial" w:cs="Arial"/>
        </w:rPr>
      </w:pPr>
    </w:p>
    <w:p w:rsidR="006312E8" w:rsidRPr="006312E8" w:rsidRDefault="006312E8" w:rsidP="006312E8">
      <w:pPr>
        <w:spacing w:after="0" w:line="240" w:lineRule="auto"/>
        <w:contextualSpacing/>
        <w:jc w:val="both"/>
        <w:rPr>
          <w:rFonts w:ascii="Arial" w:eastAsia="Calibri" w:hAnsi="Arial" w:cs="Arial"/>
        </w:rPr>
      </w:pPr>
      <w:r w:rsidRPr="006312E8">
        <w:rPr>
          <w:rFonts w:ascii="Arial" w:eastAsia="Calibri" w:hAnsi="Arial" w:cs="Arial"/>
        </w:rPr>
        <w:t>Que, a través de los Informes Nºs. 010-2014- MINCETUR/VMT/DNDT/DDPT/FGFI y 137-2014- MINCETUR/VMT/DNDT-DNS-RGC, la Dirección Nacional de Desarrollo Turístico del Viceministerio de Turismo propone la aprobación de una nueva Directiva denominada "Lineamientos para calificar y aprobar proyectos de interés turístico nacional o regional presentados en el marco del Reglamento de la Ley N° 29151, aprobado por Decreto Supremo N° 007-2008-VIVIENDA; y, el Reglamento de la Ley N° 26856, aprobado por Decreto Supremo N° 050- 2006-EF"</w:t>
      </w:r>
    </w:p>
    <w:p w:rsidR="006312E8" w:rsidRPr="006312E8" w:rsidRDefault="006312E8" w:rsidP="006312E8">
      <w:pPr>
        <w:spacing w:after="0" w:line="240" w:lineRule="auto"/>
        <w:contextualSpacing/>
        <w:jc w:val="both"/>
        <w:rPr>
          <w:rFonts w:ascii="Arial" w:eastAsia="Calibri" w:hAnsi="Arial" w:cs="Arial"/>
        </w:rPr>
      </w:pPr>
    </w:p>
    <w:p w:rsidR="006312E8" w:rsidRPr="006312E8" w:rsidRDefault="006312E8" w:rsidP="006312E8">
      <w:pPr>
        <w:spacing w:after="0" w:line="240" w:lineRule="auto"/>
        <w:contextualSpacing/>
        <w:jc w:val="both"/>
        <w:rPr>
          <w:rFonts w:ascii="Arial" w:eastAsia="Calibri" w:hAnsi="Arial" w:cs="Arial"/>
        </w:rPr>
      </w:pPr>
      <w:r w:rsidRPr="006312E8">
        <w:rPr>
          <w:rFonts w:ascii="Arial" w:eastAsia="Calibri" w:hAnsi="Arial" w:cs="Arial"/>
        </w:rPr>
        <w:t xml:space="preserve">Que, con Resolución Ministerial N° 337-2014- MINCETUR, se aprobó la prepublicación del citado proyecto de Directiva y con el Informe N° 032-2014- MINCETUR/VMT/DNDT/DDPT-MALR, la Dirección de Desarrollo de Producto Turístico de la Dirección Nacional de Desarrollo Turístico remite la evaluación de las observaciones recibidas respecto a la citada Directiva; </w:t>
      </w:r>
    </w:p>
    <w:p w:rsidR="006312E8" w:rsidRPr="006312E8" w:rsidRDefault="006312E8" w:rsidP="006312E8">
      <w:pPr>
        <w:spacing w:after="0" w:line="240" w:lineRule="auto"/>
        <w:contextualSpacing/>
        <w:jc w:val="both"/>
        <w:rPr>
          <w:rFonts w:ascii="Arial" w:eastAsia="Calibri" w:hAnsi="Arial" w:cs="Arial"/>
        </w:rPr>
      </w:pPr>
    </w:p>
    <w:p w:rsidR="006312E8" w:rsidRPr="006312E8" w:rsidRDefault="006312E8" w:rsidP="006312E8">
      <w:pPr>
        <w:spacing w:after="0" w:line="240" w:lineRule="auto"/>
        <w:contextualSpacing/>
        <w:jc w:val="both"/>
        <w:rPr>
          <w:rFonts w:ascii="Arial" w:eastAsia="Calibri" w:hAnsi="Arial" w:cs="Arial"/>
        </w:rPr>
      </w:pPr>
      <w:r w:rsidRPr="006312E8">
        <w:rPr>
          <w:rFonts w:ascii="Arial" w:eastAsia="Calibri" w:hAnsi="Arial" w:cs="Arial"/>
        </w:rPr>
        <w:t xml:space="preserve">Que, asimismo, mediante el Informe N° 005-2015- MINCETUR/VMT/DNDT/DDPT-MALQ y el Informe N° 00108-2015-MINCETUR/VMT/DNDT/OMA, remitidos por la Dirección Nacional de Desarrollo Turístico, se informaron los resultados del Taller desarrollado para exponer los alcances, contenidos y características de la Directiva propuesta; </w:t>
      </w:r>
    </w:p>
    <w:p w:rsidR="006312E8" w:rsidRPr="006312E8" w:rsidRDefault="006312E8" w:rsidP="006312E8">
      <w:pPr>
        <w:spacing w:after="0" w:line="240" w:lineRule="auto"/>
        <w:contextualSpacing/>
        <w:jc w:val="both"/>
        <w:rPr>
          <w:rFonts w:ascii="Arial" w:eastAsia="Calibri" w:hAnsi="Arial" w:cs="Arial"/>
        </w:rPr>
      </w:pPr>
    </w:p>
    <w:p w:rsidR="006312E8" w:rsidRPr="006312E8" w:rsidRDefault="006312E8" w:rsidP="006312E8">
      <w:pPr>
        <w:spacing w:after="0" w:line="240" w:lineRule="auto"/>
        <w:contextualSpacing/>
        <w:jc w:val="both"/>
        <w:rPr>
          <w:rFonts w:ascii="Arial" w:eastAsia="Calibri" w:hAnsi="Arial" w:cs="Arial"/>
        </w:rPr>
      </w:pPr>
      <w:r w:rsidRPr="006312E8">
        <w:rPr>
          <w:rFonts w:ascii="Arial" w:eastAsia="Calibri" w:hAnsi="Arial" w:cs="Arial"/>
        </w:rPr>
        <w:t xml:space="preserve">Que, en tal sentido, se estima por conveniente aprobar la Directiva antes mencionada; </w:t>
      </w:r>
    </w:p>
    <w:p w:rsidR="006312E8" w:rsidRPr="006312E8" w:rsidRDefault="006312E8" w:rsidP="006312E8">
      <w:pPr>
        <w:spacing w:after="0" w:line="240" w:lineRule="auto"/>
        <w:contextualSpacing/>
        <w:jc w:val="both"/>
        <w:rPr>
          <w:rFonts w:ascii="Arial" w:eastAsia="Calibri" w:hAnsi="Arial" w:cs="Arial"/>
        </w:rPr>
      </w:pPr>
    </w:p>
    <w:p w:rsidR="006312E8" w:rsidRPr="006312E8" w:rsidRDefault="006312E8" w:rsidP="006312E8">
      <w:pPr>
        <w:spacing w:after="0" w:line="240" w:lineRule="auto"/>
        <w:contextualSpacing/>
        <w:jc w:val="both"/>
        <w:rPr>
          <w:rFonts w:ascii="Arial" w:eastAsia="Calibri" w:hAnsi="Arial" w:cs="Arial"/>
        </w:rPr>
      </w:pPr>
      <w:r w:rsidRPr="006312E8">
        <w:rPr>
          <w:rFonts w:ascii="Arial" w:eastAsia="Calibri" w:hAnsi="Arial" w:cs="Arial"/>
        </w:rPr>
        <w:t xml:space="preserve">De conformidad con la Ley N° 29158, Ley Orgánica del Poder Ejecutivo; la Ley N° 27790, Ley de Organización y Funciones del Ministerio de Comercio Exterior y Turismo - MINCETUR; su Reglamento de Organización y Funciones, aprobado por Decreto Supremo N° 005-2002-MINCETUR; la Ley N° 29151, Ley General del Sistema Nacional de Bienes Estatales; y, su Reglamento, aprobado por Decreto Supremo N° 007-2008-VIVIENDA; </w:t>
      </w:r>
    </w:p>
    <w:p w:rsidR="006312E8" w:rsidRPr="006312E8" w:rsidRDefault="006312E8" w:rsidP="006312E8">
      <w:pPr>
        <w:spacing w:after="0" w:line="240" w:lineRule="auto"/>
        <w:contextualSpacing/>
        <w:jc w:val="both"/>
        <w:rPr>
          <w:rFonts w:ascii="Arial" w:eastAsia="Calibri" w:hAnsi="Arial" w:cs="Arial"/>
        </w:rPr>
      </w:pPr>
    </w:p>
    <w:p w:rsidR="006312E8" w:rsidRPr="006312E8" w:rsidRDefault="006312E8" w:rsidP="006312E8">
      <w:pPr>
        <w:spacing w:after="0" w:line="240" w:lineRule="auto"/>
        <w:contextualSpacing/>
        <w:jc w:val="both"/>
        <w:rPr>
          <w:rFonts w:ascii="Arial" w:eastAsia="Calibri" w:hAnsi="Arial" w:cs="Arial"/>
          <w:b/>
        </w:rPr>
      </w:pPr>
      <w:r w:rsidRPr="006312E8">
        <w:rPr>
          <w:rFonts w:ascii="Arial" w:eastAsia="Calibri" w:hAnsi="Arial" w:cs="Arial"/>
          <w:b/>
        </w:rPr>
        <w:t xml:space="preserve">SE RESUELVE: </w:t>
      </w:r>
    </w:p>
    <w:p w:rsidR="006312E8" w:rsidRPr="006312E8" w:rsidRDefault="006312E8" w:rsidP="006312E8">
      <w:pPr>
        <w:spacing w:after="0" w:line="240" w:lineRule="auto"/>
        <w:contextualSpacing/>
        <w:jc w:val="both"/>
        <w:rPr>
          <w:rFonts w:ascii="Arial" w:eastAsia="Calibri" w:hAnsi="Arial" w:cs="Arial"/>
        </w:rPr>
      </w:pPr>
    </w:p>
    <w:p w:rsidR="006312E8" w:rsidRPr="006312E8" w:rsidRDefault="006312E8" w:rsidP="006312E8">
      <w:pPr>
        <w:spacing w:after="0" w:line="240" w:lineRule="auto"/>
        <w:contextualSpacing/>
        <w:jc w:val="both"/>
        <w:rPr>
          <w:rFonts w:ascii="Arial" w:eastAsia="Calibri" w:hAnsi="Arial" w:cs="Arial"/>
          <w:b/>
        </w:rPr>
      </w:pPr>
      <w:r w:rsidRPr="006312E8">
        <w:rPr>
          <w:rFonts w:ascii="Arial" w:eastAsia="Calibri" w:hAnsi="Arial" w:cs="Arial"/>
          <w:b/>
        </w:rPr>
        <w:t xml:space="preserve">Artículo 1°.- Aprobación </w:t>
      </w:r>
    </w:p>
    <w:p w:rsidR="006312E8" w:rsidRPr="006312E8" w:rsidRDefault="006312E8" w:rsidP="006312E8">
      <w:pPr>
        <w:spacing w:after="0" w:line="240" w:lineRule="auto"/>
        <w:contextualSpacing/>
        <w:jc w:val="both"/>
        <w:rPr>
          <w:rFonts w:ascii="Arial" w:eastAsia="Calibri" w:hAnsi="Arial" w:cs="Arial"/>
        </w:rPr>
      </w:pPr>
      <w:r w:rsidRPr="006312E8">
        <w:rPr>
          <w:rFonts w:ascii="Arial" w:eastAsia="Calibri" w:hAnsi="Arial" w:cs="Arial"/>
        </w:rPr>
        <w:t xml:space="preserve">Aprobar la Directiva N°001-2015-MINCETUR/DM, denominada "Lineamientos para calificar y aprobar proyectos de interés turístico nacional o regional presentados en el marco del Reglamento de la Ley N° 29151, aprobado por Decreto Supremo N° 007-2008- VIVIENDA; y, el Reglamento de la Ley N° 26856, aprobado por Decreto Supremo N° 050-2006-EF", la cual consta de cinco (05) folios, los mismos que forman parte integrante de la presente Resolución Ministerial. </w:t>
      </w:r>
    </w:p>
    <w:p w:rsidR="006312E8" w:rsidRPr="006312E8" w:rsidRDefault="006312E8" w:rsidP="006312E8">
      <w:pPr>
        <w:spacing w:after="0" w:line="240" w:lineRule="auto"/>
        <w:contextualSpacing/>
        <w:jc w:val="both"/>
        <w:rPr>
          <w:rFonts w:ascii="Arial" w:eastAsia="Calibri" w:hAnsi="Arial" w:cs="Arial"/>
        </w:rPr>
      </w:pPr>
    </w:p>
    <w:p w:rsidR="006312E8" w:rsidRPr="006312E8" w:rsidRDefault="006312E8" w:rsidP="006312E8">
      <w:pPr>
        <w:spacing w:after="0" w:line="240" w:lineRule="auto"/>
        <w:contextualSpacing/>
        <w:jc w:val="both"/>
        <w:rPr>
          <w:rFonts w:ascii="Arial" w:eastAsia="Calibri" w:hAnsi="Arial" w:cs="Arial"/>
          <w:b/>
        </w:rPr>
      </w:pPr>
      <w:r w:rsidRPr="006312E8">
        <w:rPr>
          <w:rFonts w:ascii="Arial" w:eastAsia="Calibri" w:hAnsi="Arial" w:cs="Arial"/>
          <w:b/>
        </w:rPr>
        <w:t xml:space="preserve">Artículo 2°.- Derogación </w:t>
      </w:r>
    </w:p>
    <w:p w:rsidR="006312E8" w:rsidRPr="006312E8" w:rsidRDefault="006312E8" w:rsidP="006312E8">
      <w:pPr>
        <w:spacing w:after="0" w:line="240" w:lineRule="auto"/>
        <w:contextualSpacing/>
        <w:jc w:val="both"/>
        <w:rPr>
          <w:rFonts w:ascii="Arial" w:eastAsia="Calibri" w:hAnsi="Arial" w:cs="Arial"/>
        </w:rPr>
      </w:pPr>
      <w:r w:rsidRPr="006312E8">
        <w:rPr>
          <w:rFonts w:ascii="Arial" w:eastAsia="Calibri" w:hAnsi="Arial" w:cs="Arial"/>
        </w:rPr>
        <w:t xml:space="preserve">Dejar sin efecto la Directiva N° 002-2011-MINCETUR/ DM, "Directiva que establece los Lineamientos para calificar y aprobar proyectos de interés turístico nacional o sectorial presentados en el marco de las Leyes N° 29151 y N° 26856", aprobada por Resolución Ministerial N° 171-2011-MINCETUR/DM y modificada por Resolución Ministerial N° 379-2012-MINCETUR/DM. </w:t>
      </w:r>
    </w:p>
    <w:p w:rsidR="006312E8" w:rsidRPr="006312E8" w:rsidRDefault="006312E8" w:rsidP="006312E8">
      <w:pPr>
        <w:spacing w:after="0" w:line="240" w:lineRule="auto"/>
        <w:contextualSpacing/>
        <w:jc w:val="both"/>
        <w:rPr>
          <w:rFonts w:ascii="Arial" w:eastAsia="Calibri" w:hAnsi="Arial" w:cs="Arial"/>
        </w:rPr>
      </w:pPr>
    </w:p>
    <w:p w:rsidR="006312E8" w:rsidRPr="006312E8" w:rsidRDefault="006312E8" w:rsidP="006312E8">
      <w:pPr>
        <w:spacing w:after="0" w:line="240" w:lineRule="auto"/>
        <w:contextualSpacing/>
        <w:jc w:val="both"/>
        <w:rPr>
          <w:rFonts w:ascii="Arial" w:eastAsia="Calibri" w:hAnsi="Arial" w:cs="Arial"/>
        </w:rPr>
      </w:pPr>
      <w:r w:rsidRPr="006312E8">
        <w:rPr>
          <w:rFonts w:ascii="Arial" w:eastAsia="Calibri" w:hAnsi="Arial" w:cs="Arial"/>
          <w:b/>
        </w:rPr>
        <w:t>Artículo 3°.- Publicación</w:t>
      </w:r>
      <w:r w:rsidRPr="006312E8">
        <w:rPr>
          <w:rFonts w:ascii="Arial" w:eastAsia="Calibri" w:hAnsi="Arial" w:cs="Arial"/>
        </w:rPr>
        <w:t xml:space="preserve"> </w:t>
      </w:r>
    </w:p>
    <w:p w:rsidR="006312E8" w:rsidRPr="006312E8" w:rsidRDefault="006312E8" w:rsidP="006312E8">
      <w:pPr>
        <w:spacing w:after="0" w:line="240" w:lineRule="auto"/>
        <w:contextualSpacing/>
        <w:jc w:val="both"/>
        <w:rPr>
          <w:rFonts w:ascii="Arial" w:eastAsia="Calibri" w:hAnsi="Arial" w:cs="Arial"/>
        </w:rPr>
      </w:pPr>
      <w:r w:rsidRPr="006312E8">
        <w:rPr>
          <w:rFonts w:ascii="Arial" w:eastAsia="Calibri" w:hAnsi="Arial" w:cs="Arial"/>
        </w:rPr>
        <w:t xml:space="preserve">Publíquese la presente Resolución Ministerial y su Anexo en el Diario Oficial "El Peruano", en el Portal del Estado Peruano (www.peru.gob.pe) y en el Portal Institucional del MINCETUR (www.mincetur.gob.pe). </w:t>
      </w:r>
    </w:p>
    <w:p w:rsidR="006312E8" w:rsidRPr="006312E8" w:rsidRDefault="006312E8" w:rsidP="006312E8">
      <w:pPr>
        <w:spacing w:after="0" w:line="240" w:lineRule="auto"/>
        <w:contextualSpacing/>
        <w:jc w:val="both"/>
        <w:rPr>
          <w:rFonts w:ascii="Arial" w:eastAsia="Calibri" w:hAnsi="Arial" w:cs="Arial"/>
        </w:rPr>
      </w:pPr>
    </w:p>
    <w:p w:rsidR="006312E8" w:rsidRPr="006312E8" w:rsidRDefault="006312E8" w:rsidP="006312E8">
      <w:pPr>
        <w:spacing w:after="0" w:line="240" w:lineRule="auto"/>
        <w:contextualSpacing/>
        <w:jc w:val="both"/>
        <w:rPr>
          <w:rFonts w:ascii="Arial" w:eastAsia="Calibri" w:hAnsi="Arial" w:cs="Arial"/>
        </w:rPr>
      </w:pPr>
      <w:r w:rsidRPr="006312E8">
        <w:rPr>
          <w:rFonts w:ascii="Arial" w:eastAsia="Calibri" w:hAnsi="Arial" w:cs="Arial"/>
        </w:rPr>
        <w:t xml:space="preserve">Regístrese, comuníquese y publíquese. </w:t>
      </w:r>
    </w:p>
    <w:p w:rsidR="006312E8" w:rsidRPr="006312E8" w:rsidRDefault="006312E8" w:rsidP="006312E8">
      <w:pPr>
        <w:spacing w:after="0" w:line="240" w:lineRule="auto"/>
        <w:contextualSpacing/>
        <w:jc w:val="both"/>
        <w:rPr>
          <w:rFonts w:ascii="Arial" w:eastAsia="Calibri" w:hAnsi="Arial" w:cs="Arial"/>
        </w:rPr>
      </w:pPr>
    </w:p>
    <w:p w:rsidR="006312E8" w:rsidRPr="006312E8" w:rsidRDefault="006312E8" w:rsidP="006312E8">
      <w:pPr>
        <w:spacing w:after="0" w:line="240" w:lineRule="auto"/>
        <w:contextualSpacing/>
        <w:jc w:val="center"/>
        <w:rPr>
          <w:rFonts w:ascii="Arial" w:eastAsia="Calibri" w:hAnsi="Arial" w:cs="Arial"/>
          <w:b/>
        </w:rPr>
      </w:pPr>
      <w:r w:rsidRPr="006312E8">
        <w:rPr>
          <w:rFonts w:ascii="Arial" w:eastAsia="Calibri" w:hAnsi="Arial" w:cs="Arial"/>
          <w:b/>
        </w:rPr>
        <w:t>MAGALI SILVA VELARDE-ÁLVAREZ</w:t>
      </w:r>
    </w:p>
    <w:p w:rsidR="006312E8" w:rsidRPr="006312E8" w:rsidRDefault="006312E8" w:rsidP="006312E8">
      <w:pPr>
        <w:spacing w:after="0" w:line="240" w:lineRule="auto"/>
        <w:contextualSpacing/>
        <w:jc w:val="center"/>
        <w:rPr>
          <w:rFonts w:ascii="Arial" w:eastAsia="Calibri" w:hAnsi="Arial" w:cs="Arial"/>
        </w:rPr>
      </w:pPr>
      <w:r w:rsidRPr="006312E8">
        <w:rPr>
          <w:rFonts w:ascii="Arial" w:eastAsia="Calibri" w:hAnsi="Arial" w:cs="Arial"/>
        </w:rPr>
        <w:t>Ministra de Comercio Exterior y Turismo</w:t>
      </w:r>
    </w:p>
    <w:p w:rsidR="006312E8" w:rsidRPr="006312E8" w:rsidRDefault="006312E8" w:rsidP="006312E8">
      <w:pPr>
        <w:spacing w:after="0" w:line="240" w:lineRule="auto"/>
        <w:contextualSpacing/>
        <w:jc w:val="center"/>
        <w:rPr>
          <w:rFonts w:ascii="Arial" w:eastAsia="Calibri" w:hAnsi="Arial" w:cs="Arial"/>
          <w:b/>
        </w:rPr>
      </w:pPr>
      <w:r w:rsidRPr="006312E8">
        <w:rPr>
          <w:rFonts w:ascii="Arial" w:eastAsia="Calibri" w:hAnsi="Arial" w:cs="Arial"/>
          <w:b/>
        </w:rPr>
        <w:t>LINEAMIENTOS PARA CALIFICAR Y APROBAR PROYECTOS DE INTERÉS TURÍSTICO NACIONAL O REGIONAL PRESENTADOS EN EL MARCO DEL REGLAMENTO DE LA LEY N° 29151, APROBADO POR DECRETO SUPREMO N° 007-2008-VIVIENDA; Y, EL REGLAMENTO DE LA LEY N° 26856, APROBADO POR DECRETO SUPREMO N° 050-2006-EF DIRECTIVA N° 001 -2015-MINCETUR/DM</w:t>
      </w:r>
    </w:p>
    <w:p w:rsidR="006312E8" w:rsidRPr="006312E8" w:rsidRDefault="006312E8" w:rsidP="006312E8">
      <w:pPr>
        <w:spacing w:after="0" w:line="240" w:lineRule="auto"/>
        <w:contextualSpacing/>
        <w:jc w:val="center"/>
        <w:rPr>
          <w:rFonts w:ascii="Arial" w:eastAsia="Calibri" w:hAnsi="Arial" w:cs="Arial"/>
          <w:b/>
        </w:rPr>
      </w:pPr>
    </w:p>
    <w:p w:rsidR="006312E8" w:rsidRPr="006312E8" w:rsidRDefault="006312E8" w:rsidP="0092471C">
      <w:pPr>
        <w:numPr>
          <w:ilvl w:val="2"/>
          <w:numId w:val="219"/>
        </w:numPr>
        <w:spacing w:after="0" w:line="240" w:lineRule="auto"/>
        <w:ind w:left="426" w:hanging="432"/>
        <w:contextualSpacing/>
        <w:jc w:val="both"/>
        <w:rPr>
          <w:rFonts w:ascii="Arial" w:eastAsia="Calibri" w:hAnsi="Arial" w:cs="Arial"/>
          <w:b/>
        </w:rPr>
      </w:pPr>
      <w:r w:rsidRPr="006312E8">
        <w:rPr>
          <w:rFonts w:ascii="Arial" w:eastAsia="Calibri" w:hAnsi="Arial" w:cs="Arial"/>
          <w:b/>
        </w:rPr>
        <w:t>OBJETO</w:t>
      </w:r>
    </w:p>
    <w:p w:rsidR="006312E8" w:rsidRPr="006312E8" w:rsidRDefault="006312E8" w:rsidP="006312E8">
      <w:pPr>
        <w:spacing w:after="0" w:line="240" w:lineRule="auto"/>
        <w:ind w:left="2700"/>
        <w:contextualSpacing/>
        <w:jc w:val="both"/>
        <w:rPr>
          <w:rFonts w:ascii="Arial" w:eastAsia="Calibri" w:hAnsi="Arial" w:cs="Arial"/>
          <w:b/>
        </w:rPr>
      </w:pPr>
    </w:p>
    <w:p w:rsidR="006312E8" w:rsidRPr="006312E8" w:rsidRDefault="006312E8" w:rsidP="006312E8">
      <w:pPr>
        <w:spacing w:after="0" w:line="240" w:lineRule="auto"/>
        <w:ind w:left="426"/>
        <w:contextualSpacing/>
        <w:jc w:val="both"/>
        <w:rPr>
          <w:rFonts w:ascii="Arial" w:eastAsia="Calibri" w:hAnsi="Arial" w:cs="Arial"/>
        </w:rPr>
      </w:pPr>
      <w:r w:rsidRPr="006312E8">
        <w:rPr>
          <w:rFonts w:ascii="Arial" w:eastAsia="Calibri" w:hAnsi="Arial" w:cs="Arial"/>
        </w:rPr>
        <w:t xml:space="preserve">Establecer lineamientos para la calificación y aprobación de los proyectos turísticos de interés nacional o regional, presentados ante el Ministerio de Comercio Exterior y Turismo o los Gobiernos Regionales, según corresponda, en el marco del literal b) del artículo 77 del Reglamento de la Ley N° 29151, Ley General del Sistema Nacional de Bienes Estatales, aprobado por Decreto Supremo N° 007-2008-VIVIENDA; y, del literal a) del artículo 18 del Reglamento de la Ley N° 26856, Ley que declara que las playas son bienes de uso público, inalienables e imprescriptibles y establece la zona de dominio restringido, aprobado por Decreto Supremo N° 050-2006-EF. </w:t>
      </w:r>
    </w:p>
    <w:p w:rsidR="006312E8" w:rsidRPr="006312E8" w:rsidRDefault="006312E8" w:rsidP="006312E8">
      <w:pPr>
        <w:spacing w:after="0" w:line="240" w:lineRule="auto"/>
        <w:contextualSpacing/>
        <w:jc w:val="both"/>
        <w:rPr>
          <w:rFonts w:ascii="Arial" w:eastAsia="Calibri" w:hAnsi="Arial" w:cs="Arial"/>
        </w:rPr>
      </w:pPr>
    </w:p>
    <w:p w:rsidR="006312E8" w:rsidRPr="006312E8" w:rsidRDefault="006312E8" w:rsidP="0092471C">
      <w:pPr>
        <w:numPr>
          <w:ilvl w:val="2"/>
          <w:numId w:val="219"/>
        </w:numPr>
        <w:spacing w:after="0" w:line="240" w:lineRule="auto"/>
        <w:ind w:left="426" w:hanging="426"/>
        <w:contextualSpacing/>
        <w:jc w:val="both"/>
        <w:rPr>
          <w:rFonts w:ascii="Arial" w:eastAsia="Calibri" w:hAnsi="Arial" w:cs="Arial"/>
          <w:b/>
        </w:rPr>
      </w:pPr>
      <w:r w:rsidRPr="006312E8">
        <w:rPr>
          <w:rFonts w:ascii="Arial" w:eastAsia="Calibri" w:hAnsi="Arial" w:cs="Arial"/>
          <w:b/>
        </w:rPr>
        <w:t>FINALIDAD</w:t>
      </w:r>
    </w:p>
    <w:p w:rsidR="006312E8" w:rsidRPr="006312E8" w:rsidRDefault="006312E8" w:rsidP="006312E8">
      <w:pPr>
        <w:spacing w:after="0" w:line="240" w:lineRule="auto"/>
        <w:ind w:left="2700"/>
        <w:contextualSpacing/>
        <w:jc w:val="both"/>
        <w:rPr>
          <w:rFonts w:ascii="Arial" w:eastAsia="Calibri" w:hAnsi="Arial" w:cs="Arial"/>
        </w:rPr>
      </w:pPr>
    </w:p>
    <w:p w:rsidR="006312E8" w:rsidRPr="006312E8" w:rsidRDefault="006312E8" w:rsidP="006312E8">
      <w:pPr>
        <w:spacing w:after="0" w:line="240" w:lineRule="auto"/>
        <w:ind w:left="426"/>
        <w:contextualSpacing/>
        <w:jc w:val="both"/>
        <w:rPr>
          <w:rFonts w:ascii="Arial" w:eastAsia="Calibri" w:hAnsi="Arial" w:cs="Arial"/>
        </w:rPr>
      </w:pPr>
      <w:r w:rsidRPr="006312E8">
        <w:rPr>
          <w:rFonts w:ascii="Arial" w:eastAsia="Calibri" w:hAnsi="Arial" w:cs="Arial"/>
        </w:rPr>
        <w:t xml:space="preserve">Uniformizar las acciones y condiciones mínimas que se deben cumplir en la tramitación de las solicitudes de calificación y aprobación de los proyectos vinculados a la actividad turística de interés nacional o regional, en atención a los Principios de Uniformidad y Predictibilidad, previstos en el artículo IV del Título Preliminar de la Ley N° 27444, Ley del Procedimiento Administrativo General. </w:t>
      </w:r>
    </w:p>
    <w:p w:rsidR="006312E8" w:rsidRPr="006312E8" w:rsidRDefault="006312E8" w:rsidP="006312E8">
      <w:pPr>
        <w:spacing w:after="0" w:line="240" w:lineRule="auto"/>
        <w:contextualSpacing/>
        <w:jc w:val="both"/>
        <w:rPr>
          <w:rFonts w:ascii="Arial" w:eastAsia="Calibri" w:hAnsi="Arial" w:cs="Arial"/>
        </w:rPr>
      </w:pPr>
    </w:p>
    <w:p w:rsidR="006312E8" w:rsidRPr="006312E8" w:rsidRDefault="006312E8" w:rsidP="0092471C">
      <w:pPr>
        <w:numPr>
          <w:ilvl w:val="2"/>
          <w:numId w:val="219"/>
        </w:numPr>
        <w:spacing w:after="0" w:line="240" w:lineRule="auto"/>
        <w:ind w:left="426" w:hanging="426"/>
        <w:contextualSpacing/>
        <w:jc w:val="both"/>
        <w:rPr>
          <w:rFonts w:ascii="Arial" w:eastAsia="Calibri" w:hAnsi="Arial" w:cs="Arial"/>
          <w:b/>
        </w:rPr>
      </w:pPr>
      <w:r w:rsidRPr="006312E8">
        <w:rPr>
          <w:rFonts w:ascii="Arial" w:eastAsia="Calibri" w:hAnsi="Arial" w:cs="Arial"/>
          <w:b/>
        </w:rPr>
        <w:t>BASE LEGAL</w:t>
      </w:r>
    </w:p>
    <w:p w:rsidR="006312E8" w:rsidRPr="006312E8" w:rsidRDefault="006312E8" w:rsidP="006312E8">
      <w:pPr>
        <w:spacing w:after="0" w:line="240" w:lineRule="auto"/>
        <w:ind w:left="2700"/>
        <w:contextualSpacing/>
        <w:jc w:val="both"/>
        <w:rPr>
          <w:rFonts w:ascii="Arial" w:eastAsia="Calibri" w:hAnsi="Arial" w:cs="Arial"/>
        </w:rPr>
      </w:pPr>
    </w:p>
    <w:p w:rsidR="006312E8" w:rsidRPr="006312E8" w:rsidRDefault="006312E8" w:rsidP="0092471C">
      <w:pPr>
        <w:numPr>
          <w:ilvl w:val="0"/>
          <w:numId w:val="220"/>
        </w:numPr>
        <w:spacing w:after="0" w:line="240" w:lineRule="auto"/>
        <w:contextualSpacing/>
        <w:jc w:val="both"/>
        <w:rPr>
          <w:rFonts w:ascii="Arial" w:eastAsia="Calibri" w:hAnsi="Arial" w:cs="Arial"/>
        </w:rPr>
      </w:pPr>
      <w:r w:rsidRPr="006312E8">
        <w:rPr>
          <w:rFonts w:ascii="Arial" w:eastAsia="Calibri" w:hAnsi="Arial" w:cs="Arial"/>
        </w:rPr>
        <w:t xml:space="preserve">Ley N° 26856, Ley que declara que las playas son bienes de uso público, inalienables e imprescriptibles y establece la zona de dominio restringido. </w:t>
      </w:r>
    </w:p>
    <w:p w:rsidR="006312E8" w:rsidRPr="006312E8" w:rsidRDefault="006312E8" w:rsidP="0092471C">
      <w:pPr>
        <w:numPr>
          <w:ilvl w:val="0"/>
          <w:numId w:val="220"/>
        </w:numPr>
        <w:spacing w:after="0" w:line="240" w:lineRule="auto"/>
        <w:contextualSpacing/>
        <w:jc w:val="both"/>
        <w:rPr>
          <w:rFonts w:ascii="Arial" w:eastAsia="Calibri" w:hAnsi="Arial" w:cs="Arial"/>
        </w:rPr>
      </w:pPr>
      <w:r w:rsidRPr="006312E8">
        <w:rPr>
          <w:rFonts w:ascii="Arial" w:eastAsia="Calibri" w:hAnsi="Arial" w:cs="Arial"/>
        </w:rPr>
        <w:t>Ley N° 27444, Ley del Procedimiento Administrativo General.</w:t>
      </w:r>
    </w:p>
    <w:p w:rsidR="006312E8" w:rsidRPr="006312E8" w:rsidRDefault="006312E8" w:rsidP="0092471C">
      <w:pPr>
        <w:numPr>
          <w:ilvl w:val="0"/>
          <w:numId w:val="220"/>
        </w:numPr>
        <w:spacing w:after="0" w:line="240" w:lineRule="auto"/>
        <w:contextualSpacing/>
        <w:jc w:val="both"/>
        <w:rPr>
          <w:rFonts w:ascii="Arial" w:eastAsia="Calibri" w:hAnsi="Arial" w:cs="Arial"/>
        </w:rPr>
      </w:pPr>
      <w:r w:rsidRPr="006312E8">
        <w:rPr>
          <w:rFonts w:ascii="Arial" w:eastAsia="Calibri" w:hAnsi="Arial" w:cs="Arial"/>
        </w:rPr>
        <w:t xml:space="preserve">Ley N° 27790, Ley de Organización y Funciones del Ministerio de Comercio Exterior y Turismo - MINCETUR. </w:t>
      </w:r>
    </w:p>
    <w:p w:rsidR="006312E8" w:rsidRPr="006312E8" w:rsidRDefault="006312E8" w:rsidP="0092471C">
      <w:pPr>
        <w:numPr>
          <w:ilvl w:val="0"/>
          <w:numId w:val="220"/>
        </w:numPr>
        <w:spacing w:after="0" w:line="240" w:lineRule="auto"/>
        <w:contextualSpacing/>
        <w:jc w:val="both"/>
        <w:rPr>
          <w:rFonts w:ascii="Arial" w:eastAsia="Calibri" w:hAnsi="Arial" w:cs="Arial"/>
        </w:rPr>
      </w:pPr>
      <w:r w:rsidRPr="006312E8">
        <w:rPr>
          <w:rFonts w:ascii="Arial" w:eastAsia="Calibri" w:hAnsi="Arial" w:cs="Arial"/>
        </w:rPr>
        <w:t xml:space="preserve">Ley N° 27783, Ley de Bases de la Descentralización. </w:t>
      </w:r>
    </w:p>
    <w:p w:rsidR="006312E8" w:rsidRPr="006312E8" w:rsidRDefault="006312E8" w:rsidP="0092471C">
      <w:pPr>
        <w:numPr>
          <w:ilvl w:val="0"/>
          <w:numId w:val="220"/>
        </w:numPr>
        <w:spacing w:after="0" w:line="240" w:lineRule="auto"/>
        <w:contextualSpacing/>
        <w:jc w:val="both"/>
        <w:rPr>
          <w:rFonts w:ascii="Arial" w:eastAsia="Calibri" w:hAnsi="Arial" w:cs="Arial"/>
        </w:rPr>
      </w:pPr>
      <w:r w:rsidRPr="006312E8">
        <w:rPr>
          <w:rFonts w:ascii="Arial" w:eastAsia="Calibri" w:hAnsi="Arial" w:cs="Arial"/>
        </w:rPr>
        <w:t xml:space="preserve">Ley N° 27867, Ley Orgánica de los Gobiernos Regionales. </w:t>
      </w:r>
    </w:p>
    <w:p w:rsidR="006312E8" w:rsidRPr="006312E8" w:rsidRDefault="006312E8" w:rsidP="0092471C">
      <w:pPr>
        <w:numPr>
          <w:ilvl w:val="0"/>
          <w:numId w:val="220"/>
        </w:numPr>
        <w:spacing w:after="0" w:line="240" w:lineRule="auto"/>
        <w:contextualSpacing/>
        <w:jc w:val="both"/>
        <w:rPr>
          <w:rFonts w:ascii="Arial" w:eastAsia="Calibri" w:hAnsi="Arial" w:cs="Arial"/>
        </w:rPr>
      </w:pPr>
      <w:r w:rsidRPr="006312E8">
        <w:rPr>
          <w:rFonts w:ascii="Arial" w:eastAsia="Calibri" w:hAnsi="Arial" w:cs="Arial"/>
        </w:rPr>
        <w:t xml:space="preserve">Ley N° 29151, Ley General del Sistema Nacional de Bienes Estatales. </w:t>
      </w:r>
    </w:p>
    <w:p w:rsidR="006312E8" w:rsidRPr="006312E8" w:rsidRDefault="006312E8" w:rsidP="0092471C">
      <w:pPr>
        <w:numPr>
          <w:ilvl w:val="0"/>
          <w:numId w:val="220"/>
        </w:numPr>
        <w:spacing w:after="0" w:line="240" w:lineRule="auto"/>
        <w:contextualSpacing/>
        <w:jc w:val="both"/>
        <w:rPr>
          <w:rFonts w:ascii="Arial" w:eastAsia="Calibri" w:hAnsi="Arial" w:cs="Arial"/>
        </w:rPr>
      </w:pPr>
      <w:r w:rsidRPr="006312E8">
        <w:rPr>
          <w:rFonts w:ascii="Arial" w:eastAsia="Calibri" w:hAnsi="Arial" w:cs="Arial"/>
        </w:rPr>
        <w:t xml:space="preserve">Ley N° 29158, Ley Orgánica del Poder Ejecutivo. </w:t>
      </w:r>
    </w:p>
    <w:p w:rsidR="006312E8" w:rsidRPr="006312E8" w:rsidRDefault="006312E8" w:rsidP="0092471C">
      <w:pPr>
        <w:numPr>
          <w:ilvl w:val="0"/>
          <w:numId w:val="220"/>
        </w:numPr>
        <w:spacing w:after="0" w:line="240" w:lineRule="auto"/>
        <w:contextualSpacing/>
        <w:jc w:val="both"/>
        <w:rPr>
          <w:rFonts w:ascii="Arial" w:eastAsia="Calibri" w:hAnsi="Arial" w:cs="Arial"/>
        </w:rPr>
      </w:pPr>
      <w:r w:rsidRPr="006312E8">
        <w:rPr>
          <w:rFonts w:ascii="Arial" w:eastAsia="Calibri" w:hAnsi="Arial" w:cs="Arial"/>
        </w:rPr>
        <w:t xml:space="preserve">Ley N° 29408, Ley General de Turismo. </w:t>
      </w:r>
    </w:p>
    <w:p w:rsidR="006312E8" w:rsidRPr="006312E8" w:rsidRDefault="006312E8" w:rsidP="0092471C">
      <w:pPr>
        <w:numPr>
          <w:ilvl w:val="0"/>
          <w:numId w:val="220"/>
        </w:numPr>
        <w:spacing w:after="0" w:line="240" w:lineRule="auto"/>
        <w:contextualSpacing/>
        <w:jc w:val="both"/>
        <w:rPr>
          <w:rFonts w:ascii="Arial" w:eastAsia="Calibri" w:hAnsi="Arial" w:cs="Arial"/>
        </w:rPr>
      </w:pPr>
      <w:r w:rsidRPr="006312E8">
        <w:rPr>
          <w:rFonts w:ascii="Arial" w:eastAsia="Calibri" w:hAnsi="Arial" w:cs="Arial"/>
        </w:rPr>
        <w:t xml:space="preserve">Decreto Supremo N° 005-2002-MINCETUR, que aprueba el Reglamento de Organización y Funciones del Ministerio de Comercio Exterior y Turismo - MINCETUR. </w:t>
      </w:r>
    </w:p>
    <w:p w:rsidR="006312E8" w:rsidRPr="006312E8" w:rsidRDefault="006312E8" w:rsidP="0092471C">
      <w:pPr>
        <w:numPr>
          <w:ilvl w:val="0"/>
          <w:numId w:val="220"/>
        </w:numPr>
        <w:spacing w:after="0" w:line="240" w:lineRule="auto"/>
        <w:contextualSpacing/>
        <w:jc w:val="both"/>
        <w:rPr>
          <w:rFonts w:ascii="Arial" w:eastAsia="Calibri" w:hAnsi="Arial" w:cs="Arial"/>
        </w:rPr>
      </w:pPr>
      <w:r w:rsidRPr="006312E8">
        <w:rPr>
          <w:rFonts w:ascii="Arial" w:eastAsia="Calibri" w:hAnsi="Arial" w:cs="Arial"/>
        </w:rPr>
        <w:t xml:space="preserve">Decreto Supremo N° 050-2006-EF, que aprueba el Reglamento de la Ley N° 26856. </w:t>
      </w:r>
    </w:p>
    <w:p w:rsidR="006312E8" w:rsidRPr="006312E8" w:rsidRDefault="006312E8" w:rsidP="0092471C">
      <w:pPr>
        <w:numPr>
          <w:ilvl w:val="0"/>
          <w:numId w:val="220"/>
        </w:numPr>
        <w:spacing w:after="0" w:line="240" w:lineRule="auto"/>
        <w:contextualSpacing/>
        <w:jc w:val="both"/>
        <w:rPr>
          <w:rFonts w:ascii="Arial" w:eastAsia="Calibri" w:hAnsi="Arial" w:cs="Arial"/>
        </w:rPr>
      </w:pPr>
      <w:r w:rsidRPr="006312E8">
        <w:rPr>
          <w:rFonts w:ascii="Arial" w:eastAsia="Calibri" w:hAnsi="Arial" w:cs="Arial"/>
        </w:rPr>
        <w:t>Decreto Supremo N° 007-2008-VIVIENDA, que aprueba el Reglamento de la Ley 29151; y, sus modificatorias.</w:t>
      </w:r>
    </w:p>
    <w:p w:rsidR="006312E8" w:rsidRPr="006312E8" w:rsidRDefault="006312E8" w:rsidP="0092471C">
      <w:pPr>
        <w:numPr>
          <w:ilvl w:val="0"/>
          <w:numId w:val="220"/>
        </w:numPr>
        <w:spacing w:after="0" w:line="240" w:lineRule="auto"/>
        <w:contextualSpacing/>
        <w:jc w:val="both"/>
        <w:rPr>
          <w:rFonts w:ascii="Arial" w:eastAsia="Calibri" w:hAnsi="Arial" w:cs="Arial"/>
        </w:rPr>
      </w:pPr>
      <w:r w:rsidRPr="006312E8">
        <w:rPr>
          <w:rFonts w:ascii="Arial" w:eastAsia="Calibri" w:hAnsi="Arial" w:cs="Arial"/>
        </w:rPr>
        <w:t xml:space="preserve">Decreto Supremo N° 003-2010-MINCETUR, Reglamento de la Ley General de Turismo. </w:t>
      </w:r>
    </w:p>
    <w:p w:rsidR="006312E8" w:rsidRPr="006312E8" w:rsidRDefault="006312E8" w:rsidP="0092471C">
      <w:pPr>
        <w:numPr>
          <w:ilvl w:val="0"/>
          <w:numId w:val="220"/>
        </w:numPr>
        <w:spacing w:after="0" w:line="240" w:lineRule="auto"/>
        <w:contextualSpacing/>
        <w:jc w:val="both"/>
        <w:rPr>
          <w:rFonts w:ascii="Arial" w:eastAsia="Calibri" w:hAnsi="Arial" w:cs="Arial"/>
        </w:rPr>
      </w:pPr>
      <w:r w:rsidRPr="006312E8">
        <w:rPr>
          <w:rFonts w:ascii="Arial" w:eastAsia="Calibri" w:hAnsi="Arial" w:cs="Arial"/>
        </w:rPr>
        <w:t>Directiva N° 006-2014/SBN "Procedimientos para la aprobación de la venta directa de predios de dominio privado estatal de libre disponibilidad", aprobada por Resolución N° 064-2014/SBN.</w:t>
      </w:r>
    </w:p>
    <w:p w:rsidR="006312E8" w:rsidRPr="006312E8" w:rsidRDefault="006312E8" w:rsidP="006312E8">
      <w:pPr>
        <w:spacing w:after="0" w:line="240" w:lineRule="auto"/>
        <w:contextualSpacing/>
        <w:jc w:val="both"/>
        <w:rPr>
          <w:rFonts w:ascii="Arial" w:eastAsia="Calibri" w:hAnsi="Arial" w:cs="Arial"/>
        </w:rPr>
      </w:pPr>
    </w:p>
    <w:p w:rsidR="006312E8" w:rsidRPr="006312E8" w:rsidRDefault="006312E8" w:rsidP="0092471C">
      <w:pPr>
        <w:numPr>
          <w:ilvl w:val="2"/>
          <w:numId w:val="219"/>
        </w:numPr>
        <w:spacing w:after="0" w:line="240" w:lineRule="auto"/>
        <w:ind w:left="426" w:hanging="426"/>
        <w:contextualSpacing/>
        <w:jc w:val="both"/>
        <w:rPr>
          <w:rFonts w:ascii="Arial" w:eastAsia="Calibri" w:hAnsi="Arial" w:cs="Arial"/>
          <w:b/>
        </w:rPr>
      </w:pPr>
      <w:r w:rsidRPr="006312E8">
        <w:rPr>
          <w:rFonts w:ascii="Arial" w:eastAsia="Calibri" w:hAnsi="Arial" w:cs="Arial"/>
          <w:b/>
        </w:rPr>
        <w:t xml:space="preserve">ALCANCE </w:t>
      </w:r>
    </w:p>
    <w:p w:rsidR="006312E8" w:rsidRPr="006312E8" w:rsidRDefault="006312E8" w:rsidP="006312E8">
      <w:pPr>
        <w:spacing w:after="0" w:line="240" w:lineRule="auto"/>
        <w:ind w:left="2700"/>
        <w:contextualSpacing/>
        <w:jc w:val="both"/>
        <w:rPr>
          <w:rFonts w:ascii="Arial" w:eastAsia="Calibri" w:hAnsi="Arial" w:cs="Arial"/>
          <w:b/>
        </w:rPr>
      </w:pPr>
    </w:p>
    <w:p w:rsidR="006312E8" w:rsidRPr="006312E8" w:rsidRDefault="006312E8" w:rsidP="006312E8">
      <w:pPr>
        <w:spacing w:after="0" w:line="240" w:lineRule="auto"/>
        <w:ind w:left="426"/>
        <w:contextualSpacing/>
        <w:jc w:val="both"/>
        <w:rPr>
          <w:rFonts w:ascii="Arial" w:eastAsia="Calibri" w:hAnsi="Arial" w:cs="Arial"/>
        </w:rPr>
      </w:pPr>
      <w:r w:rsidRPr="006312E8">
        <w:rPr>
          <w:rFonts w:ascii="Arial" w:eastAsia="Calibri" w:hAnsi="Arial" w:cs="Arial"/>
        </w:rPr>
        <w:t xml:space="preserve">Los presentes lineamientos son de obligatorio cumplimiento para los funcionarios, servidores y todo aquel personal que labora en el MINCETUR que esté a cargo de la evaluación, calificación y aprobación de los proyectos turísticos de interés nacional para la posterior compraventa directa de bienes de dominio privado del Estado a favor de particulares, a la que se refiere el literal b) del artículo 77 del Reglamento de la Ley N° 29151, aprobado por Decreto Supremo N° 007-2008-VIVIENDA; o, para la desafectación y adjudicación en propiedad u otorgamiento de otros derechos que impliquen ocupación y uso exclusivo de terrenos comprendidos dentro de la zona de dominio restringido de acuerdo al literal a) del artículo 18 del Reglamento de la Ley N° 26856, aprobado por Decreto Supremo N° 050-2006-EF. </w:t>
      </w:r>
    </w:p>
    <w:p w:rsidR="006312E8" w:rsidRPr="006312E8" w:rsidRDefault="006312E8" w:rsidP="006312E8">
      <w:pPr>
        <w:spacing w:after="0" w:line="240" w:lineRule="auto"/>
        <w:ind w:left="426"/>
        <w:contextualSpacing/>
        <w:jc w:val="both"/>
        <w:rPr>
          <w:rFonts w:ascii="Arial" w:eastAsia="Calibri" w:hAnsi="Arial" w:cs="Arial"/>
        </w:rPr>
      </w:pPr>
    </w:p>
    <w:p w:rsidR="006312E8" w:rsidRPr="006312E8" w:rsidRDefault="006312E8" w:rsidP="006312E8">
      <w:pPr>
        <w:spacing w:after="0" w:line="240" w:lineRule="auto"/>
        <w:ind w:left="426"/>
        <w:contextualSpacing/>
        <w:jc w:val="both"/>
        <w:rPr>
          <w:rFonts w:ascii="Arial" w:eastAsia="Calibri" w:hAnsi="Arial" w:cs="Arial"/>
        </w:rPr>
      </w:pPr>
      <w:r w:rsidRPr="006312E8">
        <w:rPr>
          <w:rFonts w:ascii="Arial" w:eastAsia="Calibri" w:hAnsi="Arial" w:cs="Arial"/>
        </w:rPr>
        <w:t xml:space="preserve">Los Gobiernos Regionales tendrán en consideración los presentes lineamientos en el marco de sus competencias, estableciendo sus procedimientos administrativos conforme a sus funciones y estructura organizativa, así como a los criterios y condiciones mínimas previstas en los presentes lineamientos, de conformidad con el numeral 23.3 del artículo 23 de la Ley N° 29158, Ley Orgánica del Poder Ejecutivo. </w:t>
      </w:r>
    </w:p>
    <w:p w:rsidR="006312E8" w:rsidRPr="006312E8" w:rsidRDefault="006312E8" w:rsidP="006312E8">
      <w:pPr>
        <w:spacing w:after="0" w:line="240" w:lineRule="auto"/>
        <w:contextualSpacing/>
        <w:jc w:val="both"/>
        <w:rPr>
          <w:rFonts w:ascii="Arial" w:eastAsia="Calibri" w:hAnsi="Arial" w:cs="Arial"/>
        </w:rPr>
      </w:pPr>
    </w:p>
    <w:p w:rsidR="006312E8" w:rsidRPr="006312E8" w:rsidRDefault="006312E8" w:rsidP="0092471C">
      <w:pPr>
        <w:numPr>
          <w:ilvl w:val="2"/>
          <w:numId w:val="219"/>
        </w:numPr>
        <w:spacing w:after="0" w:line="240" w:lineRule="auto"/>
        <w:ind w:left="426" w:hanging="426"/>
        <w:contextualSpacing/>
        <w:jc w:val="both"/>
        <w:rPr>
          <w:rFonts w:ascii="Arial" w:eastAsia="Calibri" w:hAnsi="Arial" w:cs="Arial"/>
          <w:b/>
        </w:rPr>
      </w:pPr>
      <w:r w:rsidRPr="006312E8">
        <w:rPr>
          <w:rFonts w:ascii="Arial" w:eastAsia="Calibri" w:hAnsi="Arial" w:cs="Arial"/>
          <w:b/>
        </w:rPr>
        <w:t>RESPONSABILIDADES</w:t>
      </w:r>
    </w:p>
    <w:p w:rsidR="006312E8" w:rsidRPr="006312E8" w:rsidRDefault="006312E8" w:rsidP="006312E8">
      <w:pPr>
        <w:spacing w:after="0" w:line="240" w:lineRule="auto"/>
        <w:ind w:left="2700"/>
        <w:contextualSpacing/>
        <w:jc w:val="both"/>
        <w:rPr>
          <w:rFonts w:ascii="Arial" w:eastAsia="Calibri" w:hAnsi="Arial" w:cs="Arial"/>
          <w:b/>
        </w:rPr>
      </w:pPr>
    </w:p>
    <w:p w:rsidR="006312E8" w:rsidRPr="006312E8" w:rsidRDefault="006312E8" w:rsidP="0092471C">
      <w:pPr>
        <w:numPr>
          <w:ilvl w:val="1"/>
          <w:numId w:val="221"/>
        </w:numPr>
        <w:spacing w:after="0" w:line="240" w:lineRule="auto"/>
        <w:ind w:left="993" w:hanging="493"/>
        <w:contextualSpacing/>
        <w:jc w:val="both"/>
        <w:rPr>
          <w:rFonts w:ascii="Arial" w:eastAsia="Calibri" w:hAnsi="Arial" w:cs="Arial"/>
        </w:rPr>
      </w:pPr>
      <w:r w:rsidRPr="006312E8">
        <w:rPr>
          <w:rFonts w:ascii="Arial" w:eastAsia="Calibri" w:hAnsi="Arial" w:cs="Arial"/>
        </w:rPr>
        <w:t xml:space="preserve">La Dirección Nacional de Desarrollo Turístico del Viceministerio de Turismo está a cargo de la evaluación, calificación y tramitación de las solicitudes de los proyectos turísticos de interés nacional, siendo responsable de la correcta aplicación de las disposiciones contenidas en la presente Directiva. </w:t>
      </w:r>
    </w:p>
    <w:p w:rsidR="006312E8" w:rsidRPr="006312E8" w:rsidRDefault="006312E8" w:rsidP="006312E8">
      <w:pPr>
        <w:spacing w:after="0" w:line="240" w:lineRule="auto"/>
        <w:ind w:left="993"/>
        <w:contextualSpacing/>
        <w:jc w:val="both"/>
        <w:rPr>
          <w:rFonts w:ascii="Arial" w:eastAsia="Calibri" w:hAnsi="Arial" w:cs="Arial"/>
        </w:rPr>
      </w:pPr>
    </w:p>
    <w:p w:rsidR="006312E8" w:rsidRPr="006312E8" w:rsidRDefault="006312E8" w:rsidP="0092471C">
      <w:pPr>
        <w:numPr>
          <w:ilvl w:val="1"/>
          <w:numId w:val="221"/>
        </w:numPr>
        <w:spacing w:after="0" w:line="240" w:lineRule="auto"/>
        <w:ind w:left="993" w:hanging="493"/>
        <w:contextualSpacing/>
        <w:jc w:val="both"/>
        <w:rPr>
          <w:rFonts w:ascii="Arial" w:eastAsia="Calibri" w:hAnsi="Arial" w:cs="Arial"/>
        </w:rPr>
      </w:pPr>
      <w:r w:rsidRPr="006312E8">
        <w:rPr>
          <w:rFonts w:ascii="Arial" w:eastAsia="Calibri" w:hAnsi="Arial" w:cs="Arial"/>
        </w:rPr>
        <w:t xml:space="preserve">El Viceministro de Turismo es la autoridad responsable de comunicar al administrado las observaciones que hubiere para que proceda a su subsanación; de aprobar o desaprobar mediante Resolución Viceministerial los referidos proyectos turísticos de interés nacional; así como, de supervisar el cumplimiento de la presente Directiva. </w:t>
      </w:r>
    </w:p>
    <w:p w:rsidR="006312E8" w:rsidRPr="006312E8" w:rsidRDefault="006312E8" w:rsidP="006312E8">
      <w:pPr>
        <w:spacing w:after="200" w:line="276" w:lineRule="auto"/>
        <w:ind w:left="720"/>
        <w:contextualSpacing/>
        <w:rPr>
          <w:rFonts w:ascii="Arial" w:eastAsia="Calibri" w:hAnsi="Arial" w:cs="Arial"/>
        </w:rPr>
      </w:pPr>
    </w:p>
    <w:p w:rsidR="006312E8" w:rsidRPr="006312E8" w:rsidRDefault="006312E8" w:rsidP="0092471C">
      <w:pPr>
        <w:numPr>
          <w:ilvl w:val="1"/>
          <w:numId w:val="221"/>
        </w:numPr>
        <w:spacing w:after="0" w:line="240" w:lineRule="auto"/>
        <w:ind w:left="993" w:hanging="493"/>
        <w:contextualSpacing/>
        <w:jc w:val="both"/>
        <w:rPr>
          <w:rFonts w:ascii="Arial" w:eastAsia="Calibri" w:hAnsi="Arial" w:cs="Arial"/>
        </w:rPr>
      </w:pPr>
      <w:r w:rsidRPr="006312E8">
        <w:rPr>
          <w:rFonts w:ascii="Arial" w:eastAsia="Calibri" w:hAnsi="Arial" w:cs="Arial"/>
        </w:rPr>
        <w:t xml:space="preserve">Los Gobiernos Regionales están a cargo de la tramitación, calificación y aprobación de los proyectos turísticos de interés regional, para lo cual tendrán en cuenta las acciones y condiciones mínimas previstas en los presentes lineamientos. </w:t>
      </w:r>
    </w:p>
    <w:p w:rsidR="006312E8" w:rsidRPr="006312E8" w:rsidRDefault="006312E8" w:rsidP="006312E8">
      <w:pPr>
        <w:spacing w:after="0" w:line="240" w:lineRule="auto"/>
        <w:contextualSpacing/>
        <w:jc w:val="both"/>
        <w:rPr>
          <w:rFonts w:ascii="Arial" w:eastAsia="Calibri" w:hAnsi="Arial" w:cs="Arial"/>
        </w:rPr>
      </w:pPr>
    </w:p>
    <w:p w:rsidR="006312E8" w:rsidRPr="006312E8" w:rsidRDefault="006312E8" w:rsidP="0092471C">
      <w:pPr>
        <w:numPr>
          <w:ilvl w:val="2"/>
          <w:numId w:val="219"/>
        </w:numPr>
        <w:spacing w:after="0" w:line="240" w:lineRule="auto"/>
        <w:ind w:left="567" w:hanging="567"/>
        <w:contextualSpacing/>
        <w:jc w:val="both"/>
        <w:rPr>
          <w:rFonts w:ascii="Arial" w:eastAsia="Calibri" w:hAnsi="Arial" w:cs="Arial"/>
          <w:b/>
        </w:rPr>
      </w:pPr>
      <w:r w:rsidRPr="006312E8">
        <w:rPr>
          <w:rFonts w:ascii="Arial" w:eastAsia="Calibri" w:hAnsi="Arial" w:cs="Arial"/>
          <w:b/>
        </w:rPr>
        <w:t>DEFINICIONES</w:t>
      </w:r>
    </w:p>
    <w:p w:rsidR="006312E8" w:rsidRPr="006312E8" w:rsidRDefault="006312E8" w:rsidP="006312E8">
      <w:pPr>
        <w:spacing w:after="0" w:line="240" w:lineRule="auto"/>
        <w:ind w:left="2700"/>
        <w:contextualSpacing/>
        <w:jc w:val="both"/>
        <w:rPr>
          <w:rFonts w:ascii="Arial" w:eastAsia="Calibri" w:hAnsi="Arial" w:cs="Arial"/>
        </w:rPr>
      </w:pPr>
    </w:p>
    <w:p w:rsidR="006312E8" w:rsidRPr="006312E8" w:rsidRDefault="006312E8" w:rsidP="0092471C">
      <w:pPr>
        <w:numPr>
          <w:ilvl w:val="0"/>
          <w:numId w:val="222"/>
        </w:numPr>
        <w:spacing w:after="0" w:line="240" w:lineRule="auto"/>
        <w:ind w:left="1134" w:hanging="567"/>
        <w:contextualSpacing/>
        <w:jc w:val="both"/>
        <w:rPr>
          <w:rFonts w:ascii="Arial" w:eastAsia="Calibri" w:hAnsi="Arial" w:cs="Arial"/>
        </w:rPr>
      </w:pPr>
      <w:r w:rsidRPr="006312E8">
        <w:rPr>
          <w:rFonts w:ascii="Arial" w:eastAsia="Calibri" w:hAnsi="Arial" w:cs="Arial"/>
          <w:b/>
        </w:rPr>
        <w:t>Administrado:</w:t>
      </w:r>
      <w:r w:rsidRPr="006312E8">
        <w:rPr>
          <w:rFonts w:ascii="Arial" w:eastAsia="Calibri" w:hAnsi="Arial" w:cs="Arial"/>
        </w:rPr>
        <w:t xml:space="preserve"> Persona natural o jurídica que solicita la calificación y aprobación de un proyecto turístico de interés nacional o regional, ante el MINCETUR o los Gobiernos Regionales, según corresponda, en el marco del literal b) del artículo 77 del Reglamento de la Ley N° 29151, aprobado por Decreto Supremo N° 007-2008- VIVIENDA; y, el literal a) del artículo 18 del Reglamento de la Ley N° 26856, aprobado por Decreto Supremo N° 050-2006-EF. </w:t>
      </w:r>
    </w:p>
    <w:p w:rsidR="006312E8" w:rsidRPr="006312E8" w:rsidRDefault="006312E8" w:rsidP="006312E8">
      <w:pPr>
        <w:spacing w:after="0" w:line="240" w:lineRule="auto"/>
        <w:ind w:left="1134" w:hanging="567"/>
        <w:contextualSpacing/>
        <w:jc w:val="both"/>
        <w:rPr>
          <w:rFonts w:ascii="Arial" w:eastAsia="Calibri" w:hAnsi="Arial" w:cs="Arial"/>
        </w:rPr>
      </w:pPr>
    </w:p>
    <w:p w:rsidR="006312E8" w:rsidRPr="006312E8" w:rsidRDefault="006312E8" w:rsidP="0092471C">
      <w:pPr>
        <w:numPr>
          <w:ilvl w:val="0"/>
          <w:numId w:val="222"/>
        </w:numPr>
        <w:spacing w:after="0" w:line="240" w:lineRule="auto"/>
        <w:ind w:left="1134" w:hanging="567"/>
        <w:contextualSpacing/>
        <w:jc w:val="both"/>
        <w:rPr>
          <w:rFonts w:ascii="Arial" w:eastAsia="Calibri" w:hAnsi="Arial" w:cs="Arial"/>
        </w:rPr>
      </w:pPr>
      <w:r w:rsidRPr="006312E8">
        <w:rPr>
          <w:rFonts w:ascii="Arial" w:eastAsia="Calibri" w:hAnsi="Arial" w:cs="Arial"/>
          <w:b/>
        </w:rPr>
        <w:t>Superintendencia Nacional de Bienes Estatales (SBN):</w:t>
      </w:r>
      <w:r w:rsidRPr="006312E8">
        <w:rPr>
          <w:rFonts w:ascii="Arial" w:eastAsia="Calibri" w:hAnsi="Arial" w:cs="Arial"/>
        </w:rPr>
        <w:t xml:space="preserve"> Ente rector del Sistema Nacional de Bienes Estatales. </w:t>
      </w:r>
    </w:p>
    <w:p w:rsidR="006312E8" w:rsidRPr="006312E8" w:rsidRDefault="006312E8" w:rsidP="006312E8">
      <w:pPr>
        <w:spacing w:after="0" w:line="240" w:lineRule="auto"/>
        <w:ind w:left="1134" w:hanging="567"/>
        <w:contextualSpacing/>
        <w:jc w:val="both"/>
        <w:rPr>
          <w:rFonts w:ascii="Arial" w:eastAsia="Calibri" w:hAnsi="Arial" w:cs="Arial"/>
        </w:rPr>
      </w:pPr>
    </w:p>
    <w:p w:rsidR="006312E8" w:rsidRPr="006312E8" w:rsidRDefault="006312E8" w:rsidP="0092471C">
      <w:pPr>
        <w:numPr>
          <w:ilvl w:val="0"/>
          <w:numId w:val="222"/>
        </w:numPr>
        <w:spacing w:after="0" w:line="240" w:lineRule="auto"/>
        <w:ind w:left="1134" w:hanging="567"/>
        <w:contextualSpacing/>
        <w:jc w:val="both"/>
        <w:rPr>
          <w:rFonts w:ascii="Arial" w:eastAsia="Calibri" w:hAnsi="Arial" w:cs="Arial"/>
        </w:rPr>
      </w:pPr>
      <w:r w:rsidRPr="006312E8">
        <w:rPr>
          <w:rFonts w:ascii="Arial" w:eastAsia="Calibri" w:hAnsi="Arial" w:cs="Arial"/>
          <w:b/>
        </w:rPr>
        <w:t>Bienes de dominio privado del Estado:</w:t>
      </w:r>
      <w:r w:rsidRPr="006312E8">
        <w:rPr>
          <w:rFonts w:ascii="Arial" w:eastAsia="Calibri" w:hAnsi="Arial" w:cs="Arial"/>
        </w:rPr>
        <w:t xml:space="preserve"> Aquellos bienes estatales que siendo de propiedad del Estado o de alguna entidad, no están destinados al uso público ni afectados a algún servicio público y respecto de los cuales sus titulares ejercen el derecho de propiedad con todos sus atributos; conforme al literal b) del numeral 2.2 del artículo 2 del Reglamento de la Ley N° 29151, aprobado por Decreto Supremo N° 007-2008-VIVIENDA. </w:t>
      </w:r>
    </w:p>
    <w:p w:rsidR="006312E8" w:rsidRPr="006312E8" w:rsidRDefault="006312E8" w:rsidP="006312E8">
      <w:pPr>
        <w:spacing w:after="0" w:line="240" w:lineRule="auto"/>
        <w:ind w:left="1134" w:hanging="567"/>
        <w:contextualSpacing/>
        <w:jc w:val="both"/>
        <w:rPr>
          <w:rFonts w:ascii="Arial" w:eastAsia="Calibri" w:hAnsi="Arial" w:cs="Arial"/>
        </w:rPr>
      </w:pPr>
    </w:p>
    <w:p w:rsidR="006312E8" w:rsidRPr="006312E8" w:rsidRDefault="006312E8" w:rsidP="0092471C">
      <w:pPr>
        <w:numPr>
          <w:ilvl w:val="0"/>
          <w:numId w:val="222"/>
        </w:numPr>
        <w:spacing w:after="0" w:line="240" w:lineRule="auto"/>
        <w:ind w:left="1134" w:hanging="567"/>
        <w:contextualSpacing/>
        <w:jc w:val="both"/>
        <w:rPr>
          <w:rFonts w:ascii="Arial" w:eastAsia="Calibri" w:hAnsi="Arial" w:cs="Arial"/>
        </w:rPr>
      </w:pPr>
      <w:r w:rsidRPr="006312E8">
        <w:rPr>
          <w:rFonts w:ascii="Arial" w:eastAsia="Calibri" w:hAnsi="Arial" w:cs="Arial"/>
          <w:b/>
        </w:rPr>
        <w:t>Bien de libre disponibilidad</w:t>
      </w:r>
      <w:r w:rsidRPr="006312E8">
        <w:rPr>
          <w:rFonts w:ascii="Arial" w:eastAsia="Calibri" w:hAnsi="Arial" w:cs="Arial"/>
        </w:rPr>
        <w:t xml:space="preserve">: Son los predios estatales que no tiene impedimento legal o judicial para la transferencia de dominio de acuerdo a lo establecido en el numeral 5.3 de la Directiva Nº 006-2014/SBN "Procedimientos para la aprobación de la venta directa de predios de dominio privado estatal de libre disponibilidad", aprobada por Resolución N° 064-2014/SBN. </w:t>
      </w:r>
    </w:p>
    <w:p w:rsidR="006312E8" w:rsidRPr="006312E8" w:rsidRDefault="006312E8" w:rsidP="006312E8">
      <w:pPr>
        <w:spacing w:after="0" w:line="240" w:lineRule="auto"/>
        <w:ind w:left="1134" w:hanging="567"/>
        <w:contextualSpacing/>
        <w:jc w:val="both"/>
        <w:rPr>
          <w:rFonts w:ascii="Arial" w:eastAsia="Calibri" w:hAnsi="Arial" w:cs="Arial"/>
        </w:rPr>
      </w:pPr>
    </w:p>
    <w:p w:rsidR="006312E8" w:rsidRPr="006312E8" w:rsidRDefault="006312E8" w:rsidP="0092471C">
      <w:pPr>
        <w:numPr>
          <w:ilvl w:val="0"/>
          <w:numId w:val="222"/>
        </w:numPr>
        <w:spacing w:after="0" w:line="240" w:lineRule="auto"/>
        <w:ind w:left="1134" w:hanging="567"/>
        <w:contextualSpacing/>
        <w:jc w:val="both"/>
        <w:rPr>
          <w:rFonts w:ascii="Arial" w:eastAsia="Calibri" w:hAnsi="Arial" w:cs="Arial"/>
        </w:rPr>
      </w:pPr>
      <w:r w:rsidRPr="006312E8">
        <w:rPr>
          <w:rFonts w:ascii="Arial" w:eastAsia="Calibri" w:hAnsi="Arial" w:cs="Arial"/>
          <w:b/>
        </w:rPr>
        <w:t>Compra venta directa de bienes inmuebles de dominio privado del Estado</w:t>
      </w:r>
      <w:r w:rsidRPr="006312E8">
        <w:rPr>
          <w:rFonts w:ascii="Arial" w:eastAsia="Calibri" w:hAnsi="Arial" w:cs="Arial"/>
        </w:rPr>
        <w:t xml:space="preserve">: Es el procedimiento iniciado con la solicitud de venta directa que debe ser presentado ante la entidad propietaria del bien o, cuando el bien es de propiedad del Estado, ante la SBN o al Gobierno Regional que haya asumido competencia, en tanto dicho bien se encuentre inscrito a favor del Estado o de la entidad que pretenda enajenarlo. La venta directa de predios de propiedad de las entidades es aprobada por Resolución del Titular del Pliego de la propia entidad, previa opinión técnica de la SBN y del respectivo informe técnico legal de la entidad que vende directamente los bienes inmuebles de dominio privado del Estado; y, la venta directa de los predios del Estado, tramitada y sustentada por la SBN, será aprobada por Resolución de la SBN; de acuerdo al Reglamento de la Ley N° 29151, aprobado por Decreto Supremo N° 007-2008-VIVIENDA; y, la Directiva N° 006-2014/SBN, aprobada por Resolución N° 064-2014/SBN. </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92471C">
      <w:pPr>
        <w:numPr>
          <w:ilvl w:val="0"/>
          <w:numId w:val="222"/>
        </w:numPr>
        <w:spacing w:after="0" w:line="240" w:lineRule="auto"/>
        <w:ind w:left="1134" w:hanging="567"/>
        <w:contextualSpacing/>
        <w:jc w:val="both"/>
        <w:rPr>
          <w:rFonts w:ascii="Arial" w:eastAsia="Calibri" w:hAnsi="Arial" w:cs="Arial"/>
        </w:rPr>
      </w:pPr>
      <w:r w:rsidRPr="006312E8">
        <w:rPr>
          <w:rFonts w:ascii="Arial" w:eastAsia="Calibri" w:hAnsi="Arial" w:cs="Arial"/>
          <w:b/>
        </w:rPr>
        <w:t>Zona de Dominio Restringido</w:t>
      </w:r>
      <w:r w:rsidRPr="006312E8">
        <w:rPr>
          <w:rFonts w:ascii="Arial" w:eastAsia="Calibri" w:hAnsi="Arial" w:cs="Arial"/>
        </w:rPr>
        <w:t xml:space="preserve">: Franja de 200 metros ubicada a continuación de la franja de hasta 50 metros paralela a la línea de alta marea, siempre que exista continuidad geográfica en toda esa área y no existan terrenos de propiedad privada excluidos de su ámbito. Las zonas de dominio restringido se destinan a playas públicas, salvo que se haya procedido a su desafectación; de conformidad con la Ley N° 26856 y su Reglamento, aprobado por Decreto Supremo N° 050-2006-EF. </w:t>
      </w:r>
    </w:p>
    <w:p w:rsidR="006312E8" w:rsidRPr="006312E8" w:rsidRDefault="006312E8" w:rsidP="006312E8">
      <w:pPr>
        <w:spacing w:after="0" w:line="240" w:lineRule="auto"/>
        <w:ind w:left="1134" w:hanging="567"/>
        <w:contextualSpacing/>
        <w:jc w:val="both"/>
        <w:rPr>
          <w:rFonts w:ascii="Arial" w:eastAsia="Calibri" w:hAnsi="Arial" w:cs="Arial"/>
        </w:rPr>
      </w:pPr>
    </w:p>
    <w:p w:rsidR="006312E8" w:rsidRPr="006312E8" w:rsidRDefault="006312E8" w:rsidP="0092471C">
      <w:pPr>
        <w:numPr>
          <w:ilvl w:val="0"/>
          <w:numId w:val="222"/>
        </w:numPr>
        <w:spacing w:after="0" w:line="240" w:lineRule="auto"/>
        <w:ind w:left="1134" w:hanging="567"/>
        <w:contextualSpacing/>
        <w:jc w:val="both"/>
        <w:rPr>
          <w:rFonts w:ascii="Arial" w:eastAsia="Calibri" w:hAnsi="Arial" w:cs="Arial"/>
        </w:rPr>
      </w:pPr>
      <w:r w:rsidRPr="006312E8">
        <w:rPr>
          <w:rFonts w:ascii="Arial" w:eastAsia="Calibri" w:hAnsi="Arial" w:cs="Arial"/>
          <w:b/>
        </w:rPr>
        <w:t>Desafectación de la Zona de Dominio Restringido</w:t>
      </w:r>
      <w:r w:rsidRPr="006312E8">
        <w:rPr>
          <w:rFonts w:ascii="Arial" w:eastAsia="Calibri" w:hAnsi="Arial" w:cs="Arial"/>
        </w:rPr>
        <w:t xml:space="preserve">: Es el acto administrativo emitido por la SBN, por el cual los terrenos comprendidos dentro de la Zona de Dominio Restringido se incorporan al dominio privado del Estado, para ser adjudicados en propiedad o para el otorgamiento de otros derechos, a favor de una entidad pública o de particulares. </w:t>
      </w:r>
    </w:p>
    <w:p w:rsidR="006312E8" w:rsidRPr="006312E8" w:rsidRDefault="006312E8" w:rsidP="006312E8">
      <w:pPr>
        <w:spacing w:after="0" w:line="240" w:lineRule="auto"/>
        <w:ind w:left="1134" w:hanging="567"/>
        <w:contextualSpacing/>
        <w:jc w:val="both"/>
        <w:rPr>
          <w:rFonts w:ascii="Arial" w:eastAsia="Calibri" w:hAnsi="Arial" w:cs="Arial"/>
        </w:rPr>
      </w:pPr>
    </w:p>
    <w:p w:rsidR="006312E8" w:rsidRPr="006312E8" w:rsidRDefault="006312E8" w:rsidP="0092471C">
      <w:pPr>
        <w:numPr>
          <w:ilvl w:val="0"/>
          <w:numId w:val="222"/>
        </w:numPr>
        <w:spacing w:after="0" w:line="240" w:lineRule="auto"/>
        <w:ind w:left="1134" w:hanging="567"/>
        <w:contextualSpacing/>
        <w:jc w:val="both"/>
        <w:rPr>
          <w:rFonts w:ascii="Arial" w:eastAsia="Calibri" w:hAnsi="Arial" w:cs="Arial"/>
        </w:rPr>
      </w:pPr>
      <w:r w:rsidRPr="006312E8">
        <w:rPr>
          <w:rFonts w:ascii="Arial" w:eastAsia="Calibri" w:hAnsi="Arial" w:cs="Arial"/>
          <w:b/>
        </w:rPr>
        <w:t>Proyecto Turístico:</w:t>
      </w:r>
      <w:r w:rsidRPr="006312E8">
        <w:rPr>
          <w:rFonts w:ascii="Arial" w:eastAsia="Calibri" w:hAnsi="Arial" w:cs="Arial"/>
        </w:rPr>
        <w:t xml:space="preserve"> Es el proyecto vinculado a la actividad turística en el cual debe especificarse las etapas, monto de inversión y tiempo estimado que demandará la ejecución del mismo, cumpliendo lo previsto en el Cuadro N° 1, sea de interés nacional o regional. </w:t>
      </w:r>
    </w:p>
    <w:p w:rsidR="006312E8" w:rsidRPr="006312E8" w:rsidRDefault="006312E8" w:rsidP="006312E8">
      <w:pPr>
        <w:spacing w:after="0" w:line="240" w:lineRule="auto"/>
        <w:ind w:left="1134" w:hanging="567"/>
        <w:contextualSpacing/>
        <w:jc w:val="both"/>
        <w:rPr>
          <w:rFonts w:ascii="Arial" w:eastAsia="Calibri" w:hAnsi="Arial" w:cs="Arial"/>
        </w:rPr>
      </w:pPr>
    </w:p>
    <w:p w:rsidR="006312E8" w:rsidRPr="006312E8" w:rsidRDefault="006312E8" w:rsidP="0092471C">
      <w:pPr>
        <w:numPr>
          <w:ilvl w:val="0"/>
          <w:numId w:val="222"/>
        </w:numPr>
        <w:spacing w:after="0" w:line="240" w:lineRule="auto"/>
        <w:ind w:left="1134" w:hanging="567"/>
        <w:contextualSpacing/>
        <w:jc w:val="both"/>
        <w:rPr>
          <w:rFonts w:ascii="Arial" w:eastAsia="Calibri" w:hAnsi="Arial" w:cs="Arial"/>
        </w:rPr>
      </w:pPr>
      <w:r w:rsidRPr="006312E8">
        <w:rPr>
          <w:rFonts w:ascii="Arial" w:eastAsia="Calibri" w:hAnsi="Arial" w:cs="Arial"/>
          <w:b/>
        </w:rPr>
        <w:t>Solicitud:</w:t>
      </w:r>
      <w:r w:rsidRPr="006312E8">
        <w:rPr>
          <w:rFonts w:ascii="Arial" w:eastAsia="Calibri" w:hAnsi="Arial" w:cs="Arial"/>
        </w:rPr>
        <w:t xml:space="preserve"> Documento presentado por el administrado, ante el MINCETUR o el Gobierno Regional correspondiente, según se trate de un proyecto turístico de interés nacional o regional, mediante el cual se solicita la calificación y aprobación del referido Proyecto (que se debe adjuntar). </w:t>
      </w:r>
    </w:p>
    <w:p w:rsidR="006312E8" w:rsidRPr="006312E8" w:rsidRDefault="006312E8" w:rsidP="006312E8">
      <w:pPr>
        <w:spacing w:after="0" w:line="240" w:lineRule="auto"/>
        <w:contextualSpacing/>
        <w:jc w:val="both"/>
        <w:rPr>
          <w:rFonts w:ascii="Arial" w:eastAsia="Calibri" w:hAnsi="Arial" w:cs="Arial"/>
        </w:rPr>
      </w:pPr>
    </w:p>
    <w:p w:rsidR="006312E8" w:rsidRPr="006312E8" w:rsidRDefault="006312E8" w:rsidP="006312E8">
      <w:pPr>
        <w:spacing w:after="0" w:line="240" w:lineRule="auto"/>
        <w:contextualSpacing/>
        <w:jc w:val="both"/>
        <w:rPr>
          <w:rFonts w:ascii="Arial" w:eastAsia="Calibri" w:hAnsi="Arial" w:cs="Arial"/>
        </w:rPr>
      </w:pPr>
    </w:p>
    <w:p w:rsidR="006312E8" w:rsidRPr="006312E8" w:rsidRDefault="006312E8" w:rsidP="0092471C">
      <w:pPr>
        <w:numPr>
          <w:ilvl w:val="2"/>
          <w:numId w:val="219"/>
        </w:numPr>
        <w:spacing w:after="0" w:line="240" w:lineRule="auto"/>
        <w:ind w:left="426" w:hanging="425"/>
        <w:contextualSpacing/>
        <w:jc w:val="both"/>
        <w:rPr>
          <w:rFonts w:ascii="Arial" w:eastAsia="Calibri" w:hAnsi="Arial" w:cs="Arial"/>
          <w:b/>
        </w:rPr>
      </w:pPr>
      <w:r w:rsidRPr="006312E8">
        <w:rPr>
          <w:rFonts w:ascii="Arial" w:eastAsia="Calibri" w:hAnsi="Arial" w:cs="Arial"/>
          <w:b/>
        </w:rPr>
        <w:t>NORMAS GENERALES</w:t>
      </w:r>
    </w:p>
    <w:p w:rsidR="006312E8" w:rsidRPr="006312E8" w:rsidRDefault="006312E8" w:rsidP="006312E8">
      <w:pPr>
        <w:spacing w:after="0" w:line="240" w:lineRule="auto"/>
        <w:ind w:left="2700"/>
        <w:contextualSpacing/>
        <w:jc w:val="both"/>
        <w:rPr>
          <w:rFonts w:ascii="Arial" w:eastAsia="Calibri" w:hAnsi="Arial" w:cs="Arial"/>
        </w:rPr>
      </w:pPr>
    </w:p>
    <w:p w:rsidR="006312E8" w:rsidRPr="006312E8" w:rsidRDefault="006312E8" w:rsidP="0092471C">
      <w:pPr>
        <w:numPr>
          <w:ilvl w:val="1"/>
          <w:numId w:val="223"/>
        </w:numPr>
        <w:spacing w:after="0" w:line="240" w:lineRule="auto"/>
        <w:ind w:left="851"/>
        <w:contextualSpacing/>
        <w:jc w:val="both"/>
        <w:rPr>
          <w:rFonts w:ascii="Arial" w:eastAsia="Calibri" w:hAnsi="Arial" w:cs="Arial"/>
          <w:b/>
        </w:rPr>
      </w:pPr>
      <w:r w:rsidRPr="006312E8">
        <w:rPr>
          <w:rFonts w:ascii="Arial" w:eastAsia="Calibri" w:hAnsi="Arial" w:cs="Arial"/>
          <w:b/>
        </w:rPr>
        <w:t xml:space="preserve">Generalidades </w:t>
      </w:r>
    </w:p>
    <w:p w:rsidR="006312E8" w:rsidRPr="006312E8" w:rsidRDefault="006312E8" w:rsidP="006312E8">
      <w:pPr>
        <w:spacing w:after="0" w:line="240" w:lineRule="auto"/>
        <w:ind w:left="851"/>
        <w:contextualSpacing/>
        <w:jc w:val="both"/>
        <w:rPr>
          <w:rFonts w:ascii="Arial" w:eastAsia="Calibri" w:hAnsi="Arial" w:cs="Arial"/>
        </w:rPr>
      </w:pPr>
      <w:r w:rsidRPr="006312E8">
        <w:rPr>
          <w:rFonts w:ascii="Arial" w:eastAsia="Calibri" w:hAnsi="Arial" w:cs="Arial"/>
        </w:rPr>
        <w:t xml:space="preserve">Para proceder a la compraventa directa de predios de dominio privado del Estado para la ejecución de un proyecto turístico de interés nacional o regional, se debe contar con la calificación y aprobación de la viabilidad del mismo por el MINCETUR o el Gobierno Regional correspondiente, según se trate de un proyecto de interés nacional o regional. </w:t>
      </w:r>
    </w:p>
    <w:p w:rsidR="006312E8" w:rsidRPr="006312E8" w:rsidRDefault="006312E8" w:rsidP="006312E8">
      <w:pPr>
        <w:spacing w:after="0" w:line="240" w:lineRule="auto"/>
        <w:ind w:left="851"/>
        <w:contextualSpacing/>
        <w:jc w:val="both"/>
        <w:rPr>
          <w:rFonts w:ascii="Arial" w:eastAsia="Calibri" w:hAnsi="Arial" w:cs="Arial"/>
        </w:rPr>
      </w:pPr>
    </w:p>
    <w:p w:rsidR="006312E8" w:rsidRPr="006312E8" w:rsidRDefault="006312E8" w:rsidP="006312E8">
      <w:pPr>
        <w:spacing w:after="0" w:line="240" w:lineRule="auto"/>
        <w:ind w:left="851"/>
        <w:contextualSpacing/>
        <w:jc w:val="both"/>
        <w:rPr>
          <w:rFonts w:ascii="Arial" w:eastAsia="Calibri" w:hAnsi="Arial" w:cs="Arial"/>
        </w:rPr>
      </w:pPr>
      <w:r w:rsidRPr="006312E8">
        <w:rPr>
          <w:rFonts w:ascii="Arial" w:eastAsia="Calibri" w:hAnsi="Arial" w:cs="Arial"/>
        </w:rPr>
        <w:t>Para tal efecto, el administrado debe solicitar ante el MINCETUR o el Gobierno Regional respectivo, según corresponda, la calificación y aprobación de la viabilidad del proyecto turístico de interés nacional o regional, cumpliendo los criterios, requisitos y condiciones mínimas previstas en los presentes Lineamientos.</w:t>
      </w:r>
    </w:p>
    <w:p w:rsidR="006312E8" w:rsidRPr="006312E8" w:rsidRDefault="006312E8" w:rsidP="006312E8">
      <w:pPr>
        <w:spacing w:after="0" w:line="240" w:lineRule="auto"/>
        <w:contextualSpacing/>
        <w:jc w:val="both"/>
        <w:rPr>
          <w:rFonts w:ascii="Arial" w:eastAsia="Calibri" w:hAnsi="Arial" w:cs="Arial"/>
        </w:rPr>
      </w:pPr>
    </w:p>
    <w:p w:rsidR="006312E8" w:rsidRPr="006312E8" w:rsidRDefault="006312E8" w:rsidP="0092471C">
      <w:pPr>
        <w:numPr>
          <w:ilvl w:val="1"/>
          <w:numId w:val="223"/>
        </w:numPr>
        <w:spacing w:after="0" w:line="240" w:lineRule="auto"/>
        <w:ind w:left="851"/>
        <w:contextualSpacing/>
        <w:jc w:val="both"/>
        <w:rPr>
          <w:rFonts w:ascii="Arial" w:eastAsia="Calibri" w:hAnsi="Arial" w:cs="Arial"/>
          <w:b/>
        </w:rPr>
      </w:pPr>
      <w:r w:rsidRPr="006312E8">
        <w:rPr>
          <w:rFonts w:ascii="Arial" w:eastAsia="Calibri" w:hAnsi="Arial" w:cs="Arial"/>
          <w:b/>
        </w:rPr>
        <w:t xml:space="preserve">Criterio para la determinación del tipo de proyecto </w:t>
      </w:r>
    </w:p>
    <w:p w:rsidR="006312E8" w:rsidRPr="006312E8" w:rsidRDefault="006312E8" w:rsidP="006312E8">
      <w:pPr>
        <w:spacing w:after="0" w:line="240" w:lineRule="auto"/>
        <w:ind w:left="851"/>
        <w:contextualSpacing/>
        <w:jc w:val="both"/>
        <w:rPr>
          <w:rFonts w:ascii="Arial" w:eastAsia="Calibri" w:hAnsi="Arial" w:cs="Arial"/>
        </w:rPr>
      </w:pPr>
      <w:r w:rsidRPr="006312E8">
        <w:rPr>
          <w:rFonts w:ascii="Arial" w:eastAsia="Calibri" w:hAnsi="Arial" w:cs="Arial"/>
        </w:rPr>
        <w:t xml:space="preserve">El monto de la inversión es el criterio a ser utilizado para determinar el tipo de proyecto, conforme se detalla a continuación: </w:t>
      </w:r>
    </w:p>
    <w:p w:rsidR="006312E8" w:rsidRPr="006312E8" w:rsidRDefault="006312E8" w:rsidP="006312E8">
      <w:pPr>
        <w:spacing w:after="0" w:line="240" w:lineRule="auto"/>
        <w:contextualSpacing/>
        <w:jc w:val="both"/>
        <w:rPr>
          <w:rFonts w:ascii="Arial" w:eastAsia="Calibri" w:hAnsi="Arial" w:cs="Arial"/>
        </w:rPr>
      </w:pPr>
    </w:p>
    <w:p w:rsidR="006312E8" w:rsidRPr="006312E8" w:rsidRDefault="006312E8" w:rsidP="0092471C">
      <w:pPr>
        <w:numPr>
          <w:ilvl w:val="2"/>
          <w:numId w:val="223"/>
        </w:numPr>
        <w:spacing w:after="0" w:line="240" w:lineRule="auto"/>
        <w:ind w:left="1560"/>
        <w:contextualSpacing/>
        <w:jc w:val="both"/>
        <w:rPr>
          <w:rFonts w:ascii="Arial" w:eastAsia="Calibri" w:hAnsi="Arial" w:cs="Arial"/>
          <w:b/>
        </w:rPr>
      </w:pPr>
      <w:r w:rsidRPr="006312E8">
        <w:rPr>
          <w:rFonts w:ascii="Arial" w:eastAsia="Calibri" w:hAnsi="Arial" w:cs="Arial"/>
          <w:b/>
        </w:rPr>
        <w:t>Proyecto de interés nacional</w:t>
      </w:r>
    </w:p>
    <w:p w:rsidR="006312E8" w:rsidRPr="006312E8" w:rsidRDefault="006312E8" w:rsidP="006312E8">
      <w:pPr>
        <w:spacing w:after="0" w:line="240" w:lineRule="auto"/>
        <w:ind w:left="1560"/>
        <w:contextualSpacing/>
        <w:jc w:val="both"/>
        <w:rPr>
          <w:rFonts w:ascii="Arial" w:eastAsia="Calibri" w:hAnsi="Arial" w:cs="Arial"/>
        </w:rPr>
      </w:pPr>
      <w:r w:rsidRPr="006312E8">
        <w:rPr>
          <w:rFonts w:ascii="Arial" w:eastAsia="Calibri" w:hAnsi="Arial" w:cs="Arial"/>
        </w:rPr>
        <w:t xml:space="preserve">Para que un proyecto pueda ser calificado como de interés nacional, el proyecto debe suponer un monto de inversión mayor a US$ 5 000 000,00 (Cinco Millones con 00/100 Dólares Americanos), o su equivalente en Nuevos Soles, de acuerdo al tipo de cambio vigente a la fecha de la presentación de la solicitud, según la Superintendencia de Banca, Seguros y AFP (SBS). </w:t>
      </w:r>
    </w:p>
    <w:p w:rsidR="006312E8" w:rsidRPr="006312E8" w:rsidRDefault="006312E8" w:rsidP="006312E8">
      <w:pPr>
        <w:spacing w:after="0" w:line="240" w:lineRule="auto"/>
        <w:contextualSpacing/>
        <w:jc w:val="both"/>
        <w:rPr>
          <w:rFonts w:ascii="Arial" w:eastAsia="Calibri" w:hAnsi="Arial" w:cs="Arial"/>
        </w:rPr>
      </w:pPr>
    </w:p>
    <w:p w:rsidR="006312E8" w:rsidRPr="006312E8" w:rsidRDefault="006312E8" w:rsidP="0092471C">
      <w:pPr>
        <w:numPr>
          <w:ilvl w:val="2"/>
          <w:numId w:val="223"/>
        </w:numPr>
        <w:spacing w:after="0" w:line="240" w:lineRule="auto"/>
        <w:ind w:left="1560"/>
        <w:contextualSpacing/>
        <w:jc w:val="both"/>
        <w:rPr>
          <w:rFonts w:ascii="Arial" w:eastAsia="Calibri" w:hAnsi="Arial" w:cs="Arial"/>
          <w:b/>
        </w:rPr>
      </w:pPr>
      <w:r w:rsidRPr="006312E8">
        <w:rPr>
          <w:rFonts w:ascii="Arial" w:eastAsia="Calibri" w:hAnsi="Arial" w:cs="Arial"/>
          <w:b/>
        </w:rPr>
        <w:t xml:space="preserve">Proyecto de interés regional </w:t>
      </w:r>
    </w:p>
    <w:p w:rsidR="006312E8" w:rsidRPr="006312E8" w:rsidRDefault="006312E8" w:rsidP="006312E8">
      <w:pPr>
        <w:spacing w:after="0" w:line="240" w:lineRule="auto"/>
        <w:ind w:left="1560"/>
        <w:contextualSpacing/>
        <w:jc w:val="both"/>
        <w:rPr>
          <w:rFonts w:ascii="Arial" w:eastAsia="Calibri" w:hAnsi="Arial" w:cs="Arial"/>
        </w:rPr>
      </w:pPr>
      <w:r w:rsidRPr="006312E8">
        <w:rPr>
          <w:rFonts w:ascii="Arial" w:eastAsia="Calibri" w:hAnsi="Arial" w:cs="Arial"/>
        </w:rPr>
        <w:t>Para que un proyecto pueda ser calificado como de interés regional, el proyecto debe suponer un monto de inversión igual o menor a US$ 5 000 000,00 (Cinco Millones con 00/100 Dólares Americanos), o su equivalente en Nuevos Soles, de acuerdo al tipo de cambio vigente a la fecha de la presentación de la solicitud, según la Superintendencia de Banca, Seguros y AFP (SBS).</w:t>
      </w:r>
    </w:p>
    <w:p w:rsidR="006312E8" w:rsidRPr="006312E8" w:rsidRDefault="006312E8" w:rsidP="006312E8">
      <w:pPr>
        <w:spacing w:after="0" w:line="240" w:lineRule="auto"/>
        <w:contextualSpacing/>
        <w:jc w:val="both"/>
        <w:rPr>
          <w:rFonts w:ascii="Arial" w:eastAsia="Calibri" w:hAnsi="Arial" w:cs="Arial"/>
        </w:rPr>
      </w:pPr>
    </w:p>
    <w:p w:rsidR="006312E8" w:rsidRPr="006312E8" w:rsidRDefault="006312E8" w:rsidP="0092471C">
      <w:pPr>
        <w:numPr>
          <w:ilvl w:val="1"/>
          <w:numId w:val="223"/>
        </w:numPr>
        <w:spacing w:after="0" w:line="240" w:lineRule="auto"/>
        <w:ind w:left="851"/>
        <w:contextualSpacing/>
        <w:jc w:val="both"/>
        <w:rPr>
          <w:rFonts w:ascii="Arial" w:eastAsia="Calibri" w:hAnsi="Arial" w:cs="Arial"/>
          <w:b/>
        </w:rPr>
      </w:pPr>
      <w:r w:rsidRPr="006312E8">
        <w:rPr>
          <w:rFonts w:ascii="Arial" w:eastAsia="Calibri" w:hAnsi="Arial" w:cs="Arial"/>
          <w:b/>
        </w:rPr>
        <w:t>Criterios de evaluación</w:t>
      </w:r>
    </w:p>
    <w:p w:rsidR="006312E8" w:rsidRPr="006312E8" w:rsidRDefault="006312E8" w:rsidP="006312E8">
      <w:pPr>
        <w:spacing w:after="0" w:line="240" w:lineRule="auto"/>
        <w:ind w:left="3045"/>
        <w:contextualSpacing/>
        <w:jc w:val="both"/>
        <w:rPr>
          <w:rFonts w:ascii="Arial" w:eastAsia="Calibri" w:hAnsi="Arial" w:cs="Arial"/>
        </w:rPr>
      </w:pPr>
      <w:r w:rsidRPr="006312E8">
        <w:rPr>
          <w:rFonts w:ascii="Arial" w:eastAsia="Calibri" w:hAnsi="Arial" w:cs="Arial"/>
        </w:rPr>
        <w:t xml:space="preserve"> </w:t>
      </w:r>
    </w:p>
    <w:p w:rsidR="006312E8" w:rsidRPr="006312E8" w:rsidRDefault="006312E8" w:rsidP="006312E8">
      <w:pPr>
        <w:spacing w:after="0" w:line="240" w:lineRule="auto"/>
        <w:ind w:left="851"/>
        <w:contextualSpacing/>
        <w:jc w:val="both"/>
        <w:rPr>
          <w:rFonts w:ascii="Arial" w:eastAsia="Calibri" w:hAnsi="Arial" w:cs="Arial"/>
        </w:rPr>
      </w:pPr>
      <w:r w:rsidRPr="006312E8">
        <w:rPr>
          <w:rFonts w:ascii="Arial" w:eastAsia="Calibri" w:hAnsi="Arial" w:cs="Arial"/>
        </w:rPr>
        <w:t>A efecto de evaluar las solicitudes de calificación y aprobación de la viabilidad de los proyectos turísticos de interés nacional o regional, los administrados deben cumplir con los siguientes criterios y condiciones mínimas de evaluación para presentar la documentación ante el MINCETUR o el Gobierno Regional respectivo, según corresponda:</w:t>
      </w:r>
    </w:p>
    <w:p w:rsidR="006312E8" w:rsidRPr="006312E8" w:rsidRDefault="006312E8" w:rsidP="006312E8">
      <w:pPr>
        <w:spacing w:after="0" w:line="240" w:lineRule="auto"/>
        <w:contextualSpacing/>
        <w:jc w:val="both"/>
        <w:rPr>
          <w:rFonts w:ascii="Arial" w:eastAsia="Calibri" w:hAnsi="Arial" w:cs="Arial"/>
        </w:rPr>
      </w:pPr>
    </w:p>
    <w:p w:rsidR="006312E8" w:rsidRPr="006312E8" w:rsidRDefault="006312E8" w:rsidP="006312E8">
      <w:pPr>
        <w:spacing w:after="0" w:line="240" w:lineRule="auto"/>
        <w:contextualSpacing/>
        <w:jc w:val="center"/>
        <w:rPr>
          <w:rFonts w:ascii="Arial" w:eastAsia="Calibri" w:hAnsi="Arial" w:cs="Arial"/>
          <w:b/>
        </w:rPr>
      </w:pPr>
      <w:r w:rsidRPr="006312E8">
        <w:rPr>
          <w:rFonts w:ascii="Arial" w:eastAsia="Calibri" w:hAnsi="Arial" w:cs="Arial"/>
          <w:b/>
        </w:rPr>
        <w:t>Cuadro N° 1</w:t>
      </w:r>
    </w:p>
    <w:p w:rsidR="006312E8" w:rsidRPr="006312E8" w:rsidRDefault="006312E8" w:rsidP="006312E8">
      <w:pPr>
        <w:spacing w:after="0" w:line="240" w:lineRule="auto"/>
        <w:contextualSpacing/>
        <w:jc w:val="center"/>
        <w:rPr>
          <w:rFonts w:ascii="Arial" w:eastAsia="Calibri" w:hAnsi="Arial" w:cs="Arial"/>
          <w:b/>
        </w:rPr>
      </w:pPr>
    </w:p>
    <w:tbl>
      <w:tblPr>
        <w:tblStyle w:val="Tablaconcuadrcula"/>
        <w:tblW w:w="0" w:type="auto"/>
        <w:tblLook w:val="04A0" w:firstRow="1" w:lastRow="0" w:firstColumn="1" w:lastColumn="0" w:noHBand="0" w:noVBand="1"/>
      </w:tblPr>
      <w:tblGrid>
        <w:gridCol w:w="392"/>
        <w:gridCol w:w="9606"/>
      </w:tblGrid>
      <w:tr w:rsidR="006312E8" w:rsidRPr="006312E8" w:rsidTr="00D04998">
        <w:tc>
          <w:tcPr>
            <w:tcW w:w="9998" w:type="dxa"/>
            <w:gridSpan w:val="2"/>
          </w:tcPr>
          <w:p w:rsidR="006312E8" w:rsidRPr="006312E8" w:rsidRDefault="006312E8" w:rsidP="006312E8">
            <w:pPr>
              <w:contextualSpacing/>
              <w:jc w:val="center"/>
              <w:rPr>
                <w:rFonts w:ascii="Arial" w:eastAsia="Calibri" w:hAnsi="Arial" w:cs="Arial"/>
                <w:b/>
              </w:rPr>
            </w:pPr>
          </w:p>
          <w:p w:rsidR="006312E8" w:rsidRPr="006312E8" w:rsidRDefault="006312E8" w:rsidP="006312E8">
            <w:pPr>
              <w:contextualSpacing/>
              <w:jc w:val="center"/>
              <w:rPr>
                <w:rFonts w:ascii="Arial" w:eastAsia="Calibri" w:hAnsi="Arial" w:cs="Arial"/>
                <w:b/>
              </w:rPr>
            </w:pPr>
            <w:r w:rsidRPr="006312E8">
              <w:rPr>
                <w:rFonts w:ascii="Arial" w:eastAsia="Calibri" w:hAnsi="Arial" w:cs="Arial"/>
                <w:b/>
              </w:rPr>
              <w:t>CRITERIOS DE EVALUACION PARA LOS PROYECTOS TURÍSTICOS DE INTERES NACIONAL Y REGIONAL</w:t>
            </w:r>
          </w:p>
          <w:p w:rsidR="006312E8" w:rsidRPr="006312E8" w:rsidRDefault="006312E8" w:rsidP="006312E8">
            <w:pPr>
              <w:contextualSpacing/>
              <w:jc w:val="center"/>
              <w:rPr>
                <w:rFonts w:ascii="Arial" w:eastAsia="Calibri" w:hAnsi="Arial" w:cs="Arial"/>
              </w:rPr>
            </w:pPr>
          </w:p>
        </w:tc>
      </w:tr>
      <w:tr w:rsidR="006312E8" w:rsidRPr="006312E8" w:rsidTr="00D04998">
        <w:tc>
          <w:tcPr>
            <w:tcW w:w="392" w:type="dxa"/>
          </w:tcPr>
          <w:p w:rsidR="006312E8" w:rsidRPr="006312E8" w:rsidRDefault="006312E8" w:rsidP="006312E8">
            <w:pPr>
              <w:contextualSpacing/>
              <w:jc w:val="both"/>
              <w:rPr>
                <w:rFonts w:ascii="Arial" w:eastAsia="Calibri" w:hAnsi="Arial" w:cs="Arial"/>
              </w:rPr>
            </w:pPr>
          </w:p>
          <w:p w:rsidR="006312E8" w:rsidRPr="006312E8" w:rsidRDefault="006312E8" w:rsidP="006312E8">
            <w:pPr>
              <w:contextualSpacing/>
              <w:jc w:val="both"/>
              <w:rPr>
                <w:rFonts w:ascii="Arial" w:eastAsia="Calibri" w:hAnsi="Arial" w:cs="Arial"/>
              </w:rPr>
            </w:pPr>
          </w:p>
          <w:p w:rsidR="006312E8" w:rsidRPr="006312E8" w:rsidRDefault="006312E8" w:rsidP="006312E8">
            <w:pPr>
              <w:contextualSpacing/>
              <w:jc w:val="both"/>
              <w:rPr>
                <w:rFonts w:ascii="Arial" w:eastAsia="Calibri" w:hAnsi="Arial" w:cs="Arial"/>
              </w:rPr>
            </w:pPr>
          </w:p>
          <w:p w:rsidR="006312E8" w:rsidRPr="006312E8" w:rsidRDefault="006312E8" w:rsidP="006312E8">
            <w:pPr>
              <w:contextualSpacing/>
              <w:jc w:val="both"/>
              <w:rPr>
                <w:rFonts w:ascii="Arial" w:eastAsia="Calibri" w:hAnsi="Arial" w:cs="Arial"/>
              </w:rPr>
            </w:pPr>
          </w:p>
          <w:p w:rsidR="006312E8" w:rsidRPr="006312E8" w:rsidRDefault="006312E8" w:rsidP="006312E8">
            <w:pPr>
              <w:contextualSpacing/>
              <w:jc w:val="both"/>
              <w:rPr>
                <w:rFonts w:ascii="Arial" w:eastAsia="Calibri" w:hAnsi="Arial" w:cs="Arial"/>
              </w:rPr>
            </w:pPr>
            <w:r w:rsidRPr="006312E8">
              <w:rPr>
                <w:rFonts w:ascii="Arial" w:eastAsia="Calibri" w:hAnsi="Arial" w:cs="Arial"/>
              </w:rPr>
              <w:t>1</w:t>
            </w:r>
          </w:p>
        </w:tc>
        <w:tc>
          <w:tcPr>
            <w:tcW w:w="9606" w:type="dxa"/>
          </w:tcPr>
          <w:p w:rsidR="006312E8" w:rsidRPr="006312E8" w:rsidRDefault="006312E8" w:rsidP="006312E8">
            <w:pPr>
              <w:contextualSpacing/>
              <w:jc w:val="both"/>
              <w:rPr>
                <w:rFonts w:ascii="Arial" w:eastAsia="Calibri" w:hAnsi="Arial" w:cs="Arial"/>
              </w:rPr>
            </w:pPr>
          </w:p>
          <w:p w:rsidR="006312E8" w:rsidRPr="006312E8" w:rsidRDefault="006312E8" w:rsidP="006312E8">
            <w:pPr>
              <w:contextualSpacing/>
              <w:jc w:val="both"/>
              <w:rPr>
                <w:rFonts w:ascii="Arial" w:eastAsia="Calibri" w:hAnsi="Arial" w:cs="Arial"/>
              </w:rPr>
            </w:pPr>
            <w:r w:rsidRPr="006312E8">
              <w:rPr>
                <w:rFonts w:ascii="Arial" w:eastAsia="Calibri" w:hAnsi="Arial" w:cs="Arial"/>
              </w:rPr>
              <w:t>El terreno del proyecto deberá ser un bien de dominio privado del Estado y de libre disponibilidad.</w:t>
            </w:r>
          </w:p>
          <w:p w:rsidR="006312E8" w:rsidRPr="006312E8" w:rsidRDefault="006312E8" w:rsidP="006312E8">
            <w:pPr>
              <w:contextualSpacing/>
              <w:jc w:val="both"/>
              <w:rPr>
                <w:rFonts w:ascii="Arial" w:eastAsia="Calibri" w:hAnsi="Arial" w:cs="Arial"/>
              </w:rPr>
            </w:pPr>
          </w:p>
          <w:p w:rsidR="006312E8" w:rsidRPr="006312E8" w:rsidRDefault="006312E8" w:rsidP="006312E8">
            <w:pPr>
              <w:contextualSpacing/>
              <w:jc w:val="both"/>
              <w:rPr>
                <w:rFonts w:ascii="Arial" w:eastAsia="Calibri" w:hAnsi="Arial" w:cs="Arial"/>
              </w:rPr>
            </w:pPr>
            <w:r w:rsidRPr="006312E8">
              <w:rPr>
                <w:rFonts w:ascii="Arial" w:eastAsia="Calibri" w:hAnsi="Arial" w:cs="Arial"/>
              </w:rPr>
              <w:t xml:space="preserve">Para acreditar dicha condición se presentará conjuntamente los siguientes documentos: i) Copia literal de la partida registral o el Certificado Registral Inmobiliario (CRI) del predio; y , ii) Constancia que dicho inmueble se encuentra registrado en el Sistema de Información Nacional de Bienes Estatales (SINABIP), a cargo de la SBN. Dichos documentos no deberán tener una antigüedad mayor a tres (3) meses. </w:t>
            </w:r>
          </w:p>
          <w:p w:rsidR="006312E8" w:rsidRPr="006312E8" w:rsidRDefault="006312E8" w:rsidP="006312E8">
            <w:pPr>
              <w:contextualSpacing/>
              <w:jc w:val="both"/>
              <w:rPr>
                <w:rFonts w:ascii="Arial" w:eastAsia="Calibri" w:hAnsi="Arial" w:cs="Arial"/>
              </w:rPr>
            </w:pPr>
          </w:p>
        </w:tc>
      </w:tr>
      <w:tr w:rsidR="006312E8" w:rsidRPr="006312E8" w:rsidTr="00D04998">
        <w:tc>
          <w:tcPr>
            <w:tcW w:w="392" w:type="dxa"/>
          </w:tcPr>
          <w:p w:rsidR="006312E8" w:rsidRPr="006312E8" w:rsidRDefault="006312E8" w:rsidP="006312E8">
            <w:pPr>
              <w:contextualSpacing/>
              <w:jc w:val="both"/>
              <w:rPr>
                <w:rFonts w:ascii="Arial" w:eastAsia="Calibri" w:hAnsi="Arial" w:cs="Arial"/>
              </w:rPr>
            </w:pPr>
          </w:p>
          <w:p w:rsidR="006312E8" w:rsidRPr="006312E8" w:rsidRDefault="006312E8" w:rsidP="006312E8">
            <w:pPr>
              <w:contextualSpacing/>
              <w:jc w:val="both"/>
              <w:rPr>
                <w:rFonts w:ascii="Arial" w:eastAsia="Calibri" w:hAnsi="Arial" w:cs="Arial"/>
              </w:rPr>
            </w:pPr>
          </w:p>
          <w:p w:rsidR="006312E8" w:rsidRPr="006312E8" w:rsidRDefault="006312E8" w:rsidP="006312E8">
            <w:pPr>
              <w:contextualSpacing/>
              <w:jc w:val="both"/>
              <w:rPr>
                <w:rFonts w:ascii="Arial" w:eastAsia="Calibri" w:hAnsi="Arial" w:cs="Arial"/>
              </w:rPr>
            </w:pPr>
          </w:p>
          <w:p w:rsidR="006312E8" w:rsidRPr="006312E8" w:rsidRDefault="006312E8" w:rsidP="006312E8">
            <w:pPr>
              <w:contextualSpacing/>
              <w:jc w:val="both"/>
              <w:rPr>
                <w:rFonts w:ascii="Arial" w:eastAsia="Calibri" w:hAnsi="Arial" w:cs="Arial"/>
              </w:rPr>
            </w:pPr>
          </w:p>
          <w:p w:rsidR="006312E8" w:rsidRPr="006312E8" w:rsidRDefault="006312E8" w:rsidP="006312E8">
            <w:pPr>
              <w:contextualSpacing/>
              <w:jc w:val="both"/>
              <w:rPr>
                <w:rFonts w:ascii="Arial" w:eastAsia="Calibri" w:hAnsi="Arial" w:cs="Arial"/>
              </w:rPr>
            </w:pPr>
          </w:p>
          <w:p w:rsidR="006312E8" w:rsidRPr="006312E8" w:rsidRDefault="006312E8" w:rsidP="006312E8">
            <w:pPr>
              <w:contextualSpacing/>
              <w:jc w:val="both"/>
              <w:rPr>
                <w:rFonts w:ascii="Arial" w:eastAsia="Calibri" w:hAnsi="Arial" w:cs="Arial"/>
              </w:rPr>
            </w:pPr>
            <w:r w:rsidRPr="006312E8">
              <w:rPr>
                <w:rFonts w:ascii="Arial" w:eastAsia="Calibri" w:hAnsi="Arial" w:cs="Arial"/>
              </w:rPr>
              <w:t>2</w:t>
            </w:r>
          </w:p>
        </w:tc>
        <w:tc>
          <w:tcPr>
            <w:tcW w:w="9606" w:type="dxa"/>
          </w:tcPr>
          <w:p w:rsidR="006312E8" w:rsidRPr="006312E8" w:rsidRDefault="006312E8" w:rsidP="006312E8">
            <w:pPr>
              <w:contextualSpacing/>
              <w:jc w:val="both"/>
              <w:rPr>
                <w:rFonts w:ascii="Arial" w:eastAsia="Calibri" w:hAnsi="Arial" w:cs="Arial"/>
              </w:rPr>
            </w:pPr>
          </w:p>
          <w:p w:rsidR="006312E8" w:rsidRPr="006312E8" w:rsidRDefault="006312E8" w:rsidP="006312E8">
            <w:pPr>
              <w:contextualSpacing/>
              <w:jc w:val="both"/>
              <w:rPr>
                <w:rFonts w:ascii="Arial" w:eastAsia="Calibri" w:hAnsi="Arial" w:cs="Arial"/>
              </w:rPr>
            </w:pPr>
            <w:r w:rsidRPr="006312E8">
              <w:rPr>
                <w:rFonts w:ascii="Arial" w:eastAsia="Calibri" w:hAnsi="Arial" w:cs="Arial"/>
              </w:rPr>
              <w:t>El proyecto debe generar ingresos a través de la realización de las actividades previstas en el Anexo N° 1 – Relación de prestación de servicios turísticos de la Ley N° 29408, Ley General de Turismo. Tales ingresos deben equivaler, por lo menos, al 80% del total de los ingresos que genere el proyecto.</w:t>
            </w:r>
          </w:p>
          <w:p w:rsidR="006312E8" w:rsidRPr="006312E8" w:rsidRDefault="006312E8" w:rsidP="006312E8">
            <w:pPr>
              <w:contextualSpacing/>
              <w:jc w:val="both"/>
              <w:rPr>
                <w:rFonts w:ascii="Arial" w:eastAsia="Calibri" w:hAnsi="Arial" w:cs="Arial"/>
              </w:rPr>
            </w:pPr>
          </w:p>
          <w:p w:rsidR="006312E8" w:rsidRPr="006312E8" w:rsidRDefault="006312E8" w:rsidP="006312E8">
            <w:pPr>
              <w:contextualSpacing/>
              <w:jc w:val="both"/>
              <w:rPr>
                <w:rFonts w:ascii="Arial" w:eastAsia="Calibri" w:hAnsi="Arial" w:cs="Arial"/>
              </w:rPr>
            </w:pPr>
            <w:r w:rsidRPr="006312E8">
              <w:rPr>
                <w:rFonts w:ascii="Arial" w:eastAsia="Calibri" w:hAnsi="Arial" w:cs="Arial"/>
              </w:rPr>
              <w:t>El 20% restante de los ingresos podrá provenir de alguna actividad diferente a las antes señaladas siempre que sea afín o complementaria al servicio turístico ofrecido. Para tal efecto, el proyecto deberá justificar la necesidad de incluir dicha fuente generadora de ingresos.</w:t>
            </w:r>
          </w:p>
          <w:p w:rsidR="006312E8" w:rsidRPr="006312E8" w:rsidRDefault="006312E8" w:rsidP="006312E8">
            <w:pPr>
              <w:contextualSpacing/>
              <w:jc w:val="both"/>
              <w:rPr>
                <w:rFonts w:ascii="Arial" w:eastAsia="Calibri" w:hAnsi="Arial" w:cs="Arial"/>
              </w:rPr>
            </w:pPr>
          </w:p>
        </w:tc>
      </w:tr>
      <w:tr w:rsidR="006312E8" w:rsidRPr="006312E8" w:rsidTr="00D04998">
        <w:tc>
          <w:tcPr>
            <w:tcW w:w="392" w:type="dxa"/>
          </w:tcPr>
          <w:p w:rsidR="006312E8" w:rsidRPr="006312E8" w:rsidRDefault="006312E8" w:rsidP="006312E8">
            <w:pPr>
              <w:contextualSpacing/>
              <w:jc w:val="both"/>
              <w:rPr>
                <w:rFonts w:ascii="Arial" w:eastAsia="Calibri" w:hAnsi="Arial" w:cs="Arial"/>
              </w:rPr>
            </w:pPr>
          </w:p>
          <w:p w:rsidR="006312E8" w:rsidRPr="006312E8" w:rsidRDefault="006312E8" w:rsidP="006312E8">
            <w:pPr>
              <w:contextualSpacing/>
              <w:jc w:val="both"/>
              <w:rPr>
                <w:rFonts w:ascii="Arial" w:eastAsia="Calibri" w:hAnsi="Arial" w:cs="Arial"/>
              </w:rPr>
            </w:pPr>
          </w:p>
          <w:p w:rsidR="006312E8" w:rsidRPr="006312E8" w:rsidRDefault="006312E8" w:rsidP="006312E8">
            <w:pPr>
              <w:contextualSpacing/>
              <w:jc w:val="both"/>
              <w:rPr>
                <w:rFonts w:ascii="Arial" w:eastAsia="Calibri" w:hAnsi="Arial" w:cs="Arial"/>
              </w:rPr>
            </w:pPr>
          </w:p>
          <w:p w:rsidR="006312E8" w:rsidRPr="006312E8" w:rsidRDefault="006312E8" w:rsidP="006312E8">
            <w:pPr>
              <w:contextualSpacing/>
              <w:jc w:val="both"/>
              <w:rPr>
                <w:rFonts w:ascii="Arial" w:eastAsia="Calibri" w:hAnsi="Arial" w:cs="Arial"/>
              </w:rPr>
            </w:pPr>
          </w:p>
          <w:p w:rsidR="006312E8" w:rsidRPr="006312E8" w:rsidRDefault="006312E8" w:rsidP="006312E8">
            <w:pPr>
              <w:contextualSpacing/>
              <w:jc w:val="both"/>
              <w:rPr>
                <w:rFonts w:ascii="Arial" w:eastAsia="Calibri" w:hAnsi="Arial" w:cs="Arial"/>
              </w:rPr>
            </w:pPr>
          </w:p>
          <w:p w:rsidR="006312E8" w:rsidRPr="006312E8" w:rsidRDefault="006312E8" w:rsidP="006312E8">
            <w:pPr>
              <w:contextualSpacing/>
              <w:jc w:val="both"/>
              <w:rPr>
                <w:rFonts w:ascii="Arial" w:eastAsia="Calibri" w:hAnsi="Arial" w:cs="Arial"/>
              </w:rPr>
            </w:pPr>
          </w:p>
          <w:p w:rsidR="006312E8" w:rsidRPr="006312E8" w:rsidRDefault="006312E8" w:rsidP="006312E8">
            <w:pPr>
              <w:contextualSpacing/>
              <w:jc w:val="both"/>
              <w:rPr>
                <w:rFonts w:ascii="Arial" w:eastAsia="Calibri" w:hAnsi="Arial" w:cs="Arial"/>
              </w:rPr>
            </w:pPr>
          </w:p>
          <w:p w:rsidR="006312E8" w:rsidRPr="006312E8" w:rsidRDefault="006312E8" w:rsidP="006312E8">
            <w:pPr>
              <w:contextualSpacing/>
              <w:jc w:val="both"/>
              <w:rPr>
                <w:rFonts w:ascii="Arial" w:eastAsia="Calibri" w:hAnsi="Arial" w:cs="Arial"/>
              </w:rPr>
            </w:pPr>
          </w:p>
          <w:p w:rsidR="006312E8" w:rsidRPr="006312E8" w:rsidRDefault="006312E8" w:rsidP="006312E8">
            <w:pPr>
              <w:contextualSpacing/>
              <w:jc w:val="both"/>
              <w:rPr>
                <w:rFonts w:ascii="Arial" w:eastAsia="Calibri" w:hAnsi="Arial" w:cs="Arial"/>
              </w:rPr>
            </w:pPr>
          </w:p>
          <w:p w:rsidR="006312E8" w:rsidRPr="006312E8" w:rsidRDefault="006312E8" w:rsidP="006312E8">
            <w:pPr>
              <w:contextualSpacing/>
              <w:jc w:val="both"/>
              <w:rPr>
                <w:rFonts w:ascii="Arial" w:eastAsia="Calibri" w:hAnsi="Arial" w:cs="Arial"/>
              </w:rPr>
            </w:pPr>
          </w:p>
          <w:p w:rsidR="006312E8" w:rsidRPr="006312E8" w:rsidRDefault="006312E8" w:rsidP="006312E8">
            <w:pPr>
              <w:contextualSpacing/>
              <w:jc w:val="both"/>
              <w:rPr>
                <w:rFonts w:ascii="Arial" w:eastAsia="Calibri" w:hAnsi="Arial" w:cs="Arial"/>
              </w:rPr>
            </w:pPr>
          </w:p>
          <w:p w:rsidR="006312E8" w:rsidRPr="006312E8" w:rsidRDefault="006312E8" w:rsidP="006312E8">
            <w:pPr>
              <w:contextualSpacing/>
              <w:jc w:val="both"/>
              <w:rPr>
                <w:rFonts w:ascii="Arial" w:eastAsia="Calibri" w:hAnsi="Arial" w:cs="Arial"/>
              </w:rPr>
            </w:pPr>
            <w:r w:rsidRPr="006312E8">
              <w:rPr>
                <w:rFonts w:ascii="Arial" w:eastAsia="Calibri" w:hAnsi="Arial" w:cs="Arial"/>
              </w:rPr>
              <w:t>3</w:t>
            </w:r>
          </w:p>
          <w:p w:rsidR="006312E8" w:rsidRPr="006312E8" w:rsidRDefault="006312E8" w:rsidP="006312E8">
            <w:pPr>
              <w:contextualSpacing/>
              <w:jc w:val="both"/>
              <w:rPr>
                <w:rFonts w:ascii="Arial" w:eastAsia="Calibri" w:hAnsi="Arial" w:cs="Arial"/>
              </w:rPr>
            </w:pPr>
          </w:p>
        </w:tc>
        <w:tc>
          <w:tcPr>
            <w:tcW w:w="9606" w:type="dxa"/>
          </w:tcPr>
          <w:p w:rsidR="006312E8" w:rsidRPr="006312E8" w:rsidRDefault="006312E8" w:rsidP="006312E8">
            <w:pPr>
              <w:contextualSpacing/>
              <w:jc w:val="both"/>
              <w:rPr>
                <w:rFonts w:ascii="Arial" w:eastAsia="Calibri" w:hAnsi="Arial" w:cs="Arial"/>
              </w:rPr>
            </w:pPr>
          </w:p>
          <w:p w:rsidR="006312E8" w:rsidRPr="006312E8" w:rsidRDefault="006312E8" w:rsidP="0092471C">
            <w:pPr>
              <w:numPr>
                <w:ilvl w:val="1"/>
                <w:numId w:val="224"/>
              </w:numPr>
              <w:ind w:left="601" w:hanging="567"/>
              <w:contextualSpacing/>
              <w:jc w:val="both"/>
              <w:rPr>
                <w:rFonts w:ascii="Arial" w:eastAsia="Calibri" w:hAnsi="Arial" w:cs="Arial"/>
              </w:rPr>
            </w:pPr>
            <w:r w:rsidRPr="006312E8">
              <w:rPr>
                <w:rFonts w:ascii="Arial" w:eastAsia="Calibri" w:hAnsi="Arial" w:cs="Arial"/>
              </w:rPr>
              <w:t>La infraestructura del proyecto debe estar vinculada directamente con cualquiera de los servicios turísticos regulados en el Anexo N° 1 al que se refiere el numeral precedente. El área destinada a la prestación de los servicios antes mencionados debe ser mayor o igual al 80% del área total del proyecto.</w:t>
            </w:r>
          </w:p>
          <w:p w:rsidR="006312E8" w:rsidRPr="006312E8" w:rsidRDefault="006312E8" w:rsidP="006312E8">
            <w:pPr>
              <w:ind w:left="601"/>
              <w:contextualSpacing/>
              <w:jc w:val="both"/>
              <w:rPr>
                <w:rFonts w:ascii="Arial" w:eastAsia="Calibri" w:hAnsi="Arial" w:cs="Arial"/>
              </w:rPr>
            </w:pPr>
          </w:p>
          <w:p w:rsidR="006312E8" w:rsidRPr="006312E8" w:rsidRDefault="006312E8" w:rsidP="006312E8">
            <w:pPr>
              <w:ind w:left="601"/>
              <w:contextualSpacing/>
              <w:jc w:val="both"/>
              <w:rPr>
                <w:rFonts w:ascii="Arial" w:eastAsia="Calibri" w:hAnsi="Arial" w:cs="Arial"/>
              </w:rPr>
            </w:pPr>
            <w:r w:rsidRPr="006312E8">
              <w:rPr>
                <w:rFonts w:ascii="Arial" w:eastAsia="Calibri" w:hAnsi="Arial" w:cs="Arial"/>
              </w:rPr>
              <w:t>El 20% restante del área total podrá ser destinada a una finalidad distinta a la señalada en el párrafo precedente siempre que sea afín o complementaria al servicio turístico ofrecido. Para tal efecto, el proyecto deberá justificar la necesidad de utilizar dicho porcentaje a tales fines.</w:t>
            </w:r>
          </w:p>
          <w:p w:rsidR="006312E8" w:rsidRPr="006312E8" w:rsidRDefault="006312E8" w:rsidP="006312E8">
            <w:pPr>
              <w:ind w:left="601"/>
              <w:contextualSpacing/>
              <w:jc w:val="both"/>
              <w:rPr>
                <w:rFonts w:ascii="Arial" w:eastAsia="Calibri" w:hAnsi="Arial" w:cs="Arial"/>
              </w:rPr>
            </w:pPr>
          </w:p>
          <w:p w:rsidR="006312E8" w:rsidRPr="006312E8" w:rsidRDefault="006312E8" w:rsidP="0092471C">
            <w:pPr>
              <w:numPr>
                <w:ilvl w:val="1"/>
                <w:numId w:val="224"/>
              </w:numPr>
              <w:ind w:left="601" w:hanging="567"/>
              <w:contextualSpacing/>
              <w:jc w:val="both"/>
              <w:rPr>
                <w:rFonts w:ascii="Arial" w:eastAsia="Calibri" w:hAnsi="Arial" w:cs="Arial"/>
              </w:rPr>
            </w:pPr>
            <w:r w:rsidRPr="006312E8">
              <w:rPr>
                <w:rFonts w:ascii="Arial" w:eastAsia="Calibri" w:hAnsi="Arial" w:cs="Arial"/>
              </w:rPr>
              <w:t>El proyecto debe contener la siguiente información:</w:t>
            </w:r>
          </w:p>
          <w:p w:rsidR="006312E8" w:rsidRPr="006312E8" w:rsidRDefault="006312E8" w:rsidP="006312E8">
            <w:pPr>
              <w:ind w:left="601"/>
              <w:contextualSpacing/>
              <w:jc w:val="both"/>
              <w:rPr>
                <w:rFonts w:ascii="Arial" w:eastAsia="Calibri" w:hAnsi="Arial" w:cs="Arial"/>
              </w:rPr>
            </w:pPr>
          </w:p>
          <w:p w:rsidR="006312E8" w:rsidRPr="006312E8" w:rsidRDefault="006312E8" w:rsidP="0092471C">
            <w:pPr>
              <w:numPr>
                <w:ilvl w:val="0"/>
                <w:numId w:val="225"/>
              </w:numPr>
              <w:contextualSpacing/>
              <w:jc w:val="both"/>
              <w:rPr>
                <w:rFonts w:ascii="Arial" w:eastAsia="Calibri" w:hAnsi="Arial" w:cs="Arial"/>
              </w:rPr>
            </w:pPr>
            <w:r w:rsidRPr="006312E8">
              <w:rPr>
                <w:rFonts w:ascii="Arial" w:eastAsia="Calibri" w:hAnsi="Arial" w:cs="Arial"/>
              </w:rPr>
              <w:t>Justificación de la necesidad del área solicitada para el proyecto.</w:t>
            </w:r>
          </w:p>
          <w:p w:rsidR="006312E8" w:rsidRPr="006312E8" w:rsidRDefault="006312E8" w:rsidP="0092471C">
            <w:pPr>
              <w:numPr>
                <w:ilvl w:val="0"/>
                <w:numId w:val="225"/>
              </w:numPr>
              <w:contextualSpacing/>
              <w:jc w:val="both"/>
              <w:rPr>
                <w:rFonts w:ascii="Arial" w:eastAsia="Calibri" w:hAnsi="Arial" w:cs="Arial"/>
              </w:rPr>
            </w:pPr>
            <w:r w:rsidRPr="006312E8">
              <w:rPr>
                <w:rFonts w:ascii="Arial" w:eastAsia="Calibri" w:hAnsi="Arial" w:cs="Arial"/>
              </w:rPr>
              <w:t>Área y linderos del predio sobre el cual se ejecutará el proyecto.</w:t>
            </w:r>
          </w:p>
          <w:p w:rsidR="006312E8" w:rsidRPr="006312E8" w:rsidRDefault="006312E8" w:rsidP="0092471C">
            <w:pPr>
              <w:numPr>
                <w:ilvl w:val="0"/>
                <w:numId w:val="225"/>
              </w:numPr>
              <w:contextualSpacing/>
              <w:jc w:val="both"/>
              <w:rPr>
                <w:rFonts w:ascii="Arial" w:eastAsia="Calibri" w:hAnsi="Arial" w:cs="Arial"/>
              </w:rPr>
            </w:pPr>
            <w:r w:rsidRPr="006312E8">
              <w:rPr>
                <w:rFonts w:ascii="Arial" w:eastAsia="Calibri" w:hAnsi="Arial" w:cs="Arial"/>
              </w:rPr>
              <w:t>Distribución del uso de los ambientes y áreas, acompañando su justificación y un plano con la propuesta arquitectónica a nivel anteproyecto (plantas, cortes y elevaciones).</w:t>
            </w:r>
          </w:p>
          <w:p w:rsidR="006312E8" w:rsidRPr="006312E8" w:rsidRDefault="006312E8" w:rsidP="0092471C">
            <w:pPr>
              <w:numPr>
                <w:ilvl w:val="0"/>
                <w:numId w:val="225"/>
              </w:numPr>
              <w:contextualSpacing/>
              <w:jc w:val="both"/>
              <w:rPr>
                <w:rFonts w:ascii="Arial" w:eastAsia="Calibri" w:hAnsi="Arial" w:cs="Arial"/>
              </w:rPr>
            </w:pPr>
            <w:r w:rsidRPr="006312E8">
              <w:rPr>
                <w:rFonts w:ascii="Arial" w:eastAsia="Calibri" w:hAnsi="Arial" w:cs="Arial"/>
              </w:rPr>
              <w:t>Especificación del área libre y del área construida para cada uno de los componentes del proyecto.</w:t>
            </w:r>
          </w:p>
          <w:p w:rsidR="006312E8" w:rsidRPr="006312E8" w:rsidRDefault="006312E8" w:rsidP="0092471C">
            <w:pPr>
              <w:numPr>
                <w:ilvl w:val="0"/>
                <w:numId w:val="225"/>
              </w:numPr>
              <w:contextualSpacing/>
              <w:jc w:val="both"/>
              <w:rPr>
                <w:rFonts w:ascii="Arial" w:eastAsia="Calibri" w:hAnsi="Arial" w:cs="Arial"/>
              </w:rPr>
            </w:pPr>
            <w:r w:rsidRPr="006312E8">
              <w:rPr>
                <w:rFonts w:ascii="Arial" w:eastAsia="Calibri" w:hAnsi="Arial" w:cs="Arial"/>
              </w:rPr>
              <w:t>Plano de ubicación firmado por arquitecto colegiado y habilitado.</w:t>
            </w:r>
          </w:p>
          <w:p w:rsidR="006312E8" w:rsidRPr="006312E8" w:rsidRDefault="006312E8" w:rsidP="006312E8">
            <w:pPr>
              <w:contextualSpacing/>
              <w:jc w:val="both"/>
              <w:rPr>
                <w:rFonts w:ascii="Arial" w:eastAsia="Calibri" w:hAnsi="Arial" w:cs="Arial"/>
              </w:rPr>
            </w:pPr>
          </w:p>
        </w:tc>
      </w:tr>
      <w:tr w:rsidR="006312E8" w:rsidRPr="006312E8" w:rsidTr="00D04998">
        <w:tc>
          <w:tcPr>
            <w:tcW w:w="392" w:type="dxa"/>
          </w:tcPr>
          <w:p w:rsidR="006312E8" w:rsidRPr="006312E8" w:rsidRDefault="006312E8" w:rsidP="006312E8">
            <w:pPr>
              <w:contextualSpacing/>
              <w:jc w:val="both"/>
              <w:rPr>
                <w:rFonts w:ascii="Arial" w:eastAsia="Calibri" w:hAnsi="Arial" w:cs="Arial"/>
              </w:rPr>
            </w:pPr>
          </w:p>
          <w:p w:rsidR="006312E8" w:rsidRPr="006312E8" w:rsidRDefault="006312E8" w:rsidP="006312E8">
            <w:pPr>
              <w:contextualSpacing/>
              <w:jc w:val="both"/>
              <w:rPr>
                <w:rFonts w:ascii="Arial" w:eastAsia="Calibri" w:hAnsi="Arial" w:cs="Arial"/>
              </w:rPr>
            </w:pPr>
          </w:p>
          <w:p w:rsidR="006312E8" w:rsidRPr="006312E8" w:rsidRDefault="006312E8" w:rsidP="006312E8">
            <w:pPr>
              <w:contextualSpacing/>
              <w:jc w:val="both"/>
              <w:rPr>
                <w:rFonts w:ascii="Arial" w:eastAsia="Calibri" w:hAnsi="Arial" w:cs="Arial"/>
              </w:rPr>
            </w:pPr>
            <w:r w:rsidRPr="006312E8">
              <w:rPr>
                <w:rFonts w:ascii="Arial" w:eastAsia="Calibri" w:hAnsi="Arial" w:cs="Arial"/>
              </w:rPr>
              <w:t>4</w:t>
            </w:r>
          </w:p>
          <w:p w:rsidR="006312E8" w:rsidRPr="006312E8" w:rsidRDefault="006312E8" w:rsidP="006312E8">
            <w:pPr>
              <w:contextualSpacing/>
              <w:jc w:val="both"/>
              <w:rPr>
                <w:rFonts w:ascii="Arial" w:eastAsia="Calibri" w:hAnsi="Arial" w:cs="Arial"/>
              </w:rPr>
            </w:pPr>
          </w:p>
        </w:tc>
        <w:tc>
          <w:tcPr>
            <w:tcW w:w="9606" w:type="dxa"/>
          </w:tcPr>
          <w:p w:rsidR="006312E8" w:rsidRPr="006312E8" w:rsidRDefault="006312E8" w:rsidP="006312E8">
            <w:pPr>
              <w:contextualSpacing/>
              <w:jc w:val="both"/>
              <w:rPr>
                <w:rFonts w:ascii="Arial" w:eastAsia="Calibri" w:hAnsi="Arial" w:cs="Arial"/>
              </w:rPr>
            </w:pPr>
          </w:p>
          <w:p w:rsidR="006312E8" w:rsidRPr="006312E8" w:rsidRDefault="006312E8" w:rsidP="006312E8">
            <w:pPr>
              <w:contextualSpacing/>
              <w:jc w:val="both"/>
              <w:rPr>
                <w:rFonts w:ascii="Arial" w:eastAsia="Calibri" w:hAnsi="Arial" w:cs="Arial"/>
              </w:rPr>
            </w:pPr>
            <w:r w:rsidRPr="006312E8">
              <w:rPr>
                <w:rFonts w:ascii="Arial" w:eastAsia="Calibri" w:hAnsi="Arial" w:cs="Arial"/>
              </w:rPr>
              <w:t>El proyecto debe sustentar una demanda que viabilice su funcionamiento durante el período de operación, para cuyo efecto se presentará la demanda proyectada del proyecto, así como el cronograma o plazo para la ejecución del proyecto.</w:t>
            </w:r>
          </w:p>
        </w:tc>
      </w:tr>
      <w:tr w:rsidR="006312E8" w:rsidRPr="006312E8" w:rsidTr="00D04998">
        <w:tc>
          <w:tcPr>
            <w:tcW w:w="392" w:type="dxa"/>
          </w:tcPr>
          <w:p w:rsidR="006312E8" w:rsidRPr="006312E8" w:rsidRDefault="006312E8" w:rsidP="006312E8">
            <w:pPr>
              <w:contextualSpacing/>
              <w:jc w:val="both"/>
              <w:rPr>
                <w:rFonts w:ascii="Arial" w:eastAsia="Calibri" w:hAnsi="Arial" w:cs="Arial"/>
              </w:rPr>
            </w:pPr>
          </w:p>
          <w:p w:rsidR="006312E8" w:rsidRPr="006312E8" w:rsidRDefault="006312E8" w:rsidP="006312E8">
            <w:pPr>
              <w:contextualSpacing/>
              <w:jc w:val="both"/>
              <w:rPr>
                <w:rFonts w:ascii="Arial" w:eastAsia="Calibri" w:hAnsi="Arial" w:cs="Arial"/>
              </w:rPr>
            </w:pPr>
          </w:p>
          <w:p w:rsidR="006312E8" w:rsidRPr="006312E8" w:rsidRDefault="006312E8" w:rsidP="006312E8">
            <w:pPr>
              <w:contextualSpacing/>
              <w:jc w:val="both"/>
              <w:rPr>
                <w:rFonts w:ascii="Arial" w:eastAsia="Calibri" w:hAnsi="Arial" w:cs="Arial"/>
              </w:rPr>
            </w:pPr>
          </w:p>
          <w:p w:rsidR="006312E8" w:rsidRPr="006312E8" w:rsidRDefault="006312E8" w:rsidP="006312E8">
            <w:pPr>
              <w:contextualSpacing/>
              <w:jc w:val="both"/>
              <w:rPr>
                <w:rFonts w:ascii="Arial" w:eastAsia="Calibri" w:hAnsi="Arial" w:cs="Arial"/>
              </w:rPr>
            </w:pPr>
          </w:p>
          <w:p w:rsidR="006312E8" w:rsidRPr="006312E8" w:rsidRDefault="006312E8" w:rsidP="006312E8">
            <w:pPr>
              <w:contextualSpacing/>
              <w:jc w:val="both"/>
              <w:rPr>
                <w:rFonts w:ascii="Arial" w:eastAsia="Calibri" w:hAnsi="Arial" w:cs="Arial"/>
              </w:rPr>
            </w:pPr>
          </w:p>
          <w:p w:rsidR="006312E8" w:rsidRPr="006312E8" w:rsidRDefault="006312E8" w:rsidP="006312E8">
            <w:pPr>
              <w:contextualSpacing/>
              <w:jc w:val="both"/>
              <w:rPr>
                <w:rFonts w:ascii="Arial" w:eastAsia="Calibri" w:hAnsi="Arial" w:cs="Arial"/>
              </w:rPr>
            </w:pPr>
          </w:p>
          <w:p w:rsidR="006312E8" w:rsidRPr="006312E8" w:rsidRDefault="006312E8" w:rsidP="006312E8">
            <w:pPr>
              <w:contextualSpacing/>
              <w:jc w:val="both"/>
              <w:rPr>
                <w:rFonts w:ascii="Arial" w:eastAsia="Calibri" w:hAnsi="Arial" w:cs="Arial"/>
              </w:rPr>
            </w:pPr>
          </w:p>
          <w:p w:rsidR="006312E8" w:rsidRPr="006312E8" w:rsidRDefault="006312E8" w:rsidP="006312E8">
            <w:pPr>
              <w:contextualSpacing/>
              <w:jc w:val="both"/>
              <w:rPr>
                <w:rFonts w:ascii="Arial" w:eastAsia="Calibri" w:hAnsi="Arial" w:cs="Arial"/>
              </w:rPr>
            </w:pPr>
          </w:p>
          <w:p w:rsidR="006312E8" w:rsidRPr="006312E8" w:rsidRDefault="006312E8" w:rsidP="006312E8">
            <w:pPr>
              <w:contextualSpacing/>
              <w:jc w:val="both"/>
              <w:rPr>
                <w:rFonts w:ascii="Arial" w:eastAsia="Calibri" w:hAnsi="Arial" w:cs="Arial"/>
              </w:rPr>
            </w:pPr>
          </w:p>
          <w:p w:rsidR="006312E8" w:rsidRPr="006312E8" w:rsidRDefault="006312E8" w:rsidP="006312E8">
            <w:pPr>
              <w:contextualSpacing/>
              <w:jc w:val="both"/>
              <w:rPr>
                <w:rFonts w:ascii="Arial" w:eastAsia="Calibri" w:hAnsi="Arial" w:cs="Arial"/>
              </w:rPr>
            </w:pPr>
            <w:r w:rsidRPr="006312E8">
              <w:rPr>
                <w:rFonts w:ascii="Arial" w:eastAsia="Calibri" w:hAnsi="Arial" w:cs="Arial"/>
              </w:rPr>
              <w:t>5</w:t>
            </w:r>
          </w:p>
          <w:p w:rsidR="006312E8" w:rsidRPr="006312E8" w:rsidRDefault="006312E8" w:rsidP="006312E8">
            <w:pPr>
              <w:contextualSpacing/>
              <w:jc w:val="both"/>
              <w:rPr>
                <w:rFonts w:ascii="Arial" w:eastAsia="Calibri" w:hAnsi="Arial" w:cs="Arial"/>
              </w:rPr>
            </w:pPr>
          </w:p>
        </w:tc>
        <w:tc>
          <w:tcPr>
            <w:tcW w:w="9606" w:type="dxa"/>
          </w:tcPr>
          <w:p w:rsidR="006312E8" w:rsidRPr="006312E8" w:rsidRDefault="006312E8" w:rsidP="006312E8">
            <w:pPr>
              <w:contextualSpacing/>
              <w:jc w:val="both"/>
              <w:rPr>
                <w:rFonts w:ascii="Arial" w:eastAsia="Calibri" w:hAnsi="Arial" w:cs="Arial"/>
              </w:rPr>
            </w:pPr>
          </w:p>
          <w:p w:rsidR="006312E8" w:rsidRPr="006312E8" w:rsidRDefault="006312E8" w:rsidP="0092471C">
            <w:pPr>
              <w:numPr>
                <w:ilvl w:val="1"/>
                <w:numId w:val="226"/>
              </w:numPr>
              <w:ind w:left="601" w:hanging="567"/>
              <w:contextualSpacing/>
              <w:jc w:val="both"/>
              <w:rPr>
                <w:rFonts w:ascii="Arial" w:eastAsia="Calibri" w:hAnsi="Arial" w:cs="Arial"/>
              </w:rPr>
            </w:pPr>
            <w:r w:rsidRPr="006312E8">
              <w:rPr>
                <w:rFonts w:ascii="Arial" w:eastAsia="Calibri" w:hAnsi="Arial" w:cs="Arial"/>
              </w:rPr>
              <w:t>El proyecto debe ser económica y financieramente rentable, para tal efecto debe contener la siguiente información:</w:t>
            </w:r>
          </w:p>
          <w:p w:rsidR="006312E8" w:rsidRPr="006312E8" w:rsidRDefault="006312E8" w:rsidP="006312E8">
            <w:pPr>
              <w:ind w:left="601"/>
              <w:contextualSpacing/>
              <w:jc w:val="both"/>
              <w:rPr>
                <w:rFonts w:ascii="Arial" w:eastAsia="Calibri" w:hAnsi="Arial" w:cs="Arial"/>
              </w:rPr>
            </w:pPr>
          </w:p>
          <w:p w:rsidR="006312E8" w:rsidRPr="006312E8" w:rsidRDefault="006312E8" w:rsidP="0092471C">
            <w:pPr>
              <w:numPr>
                <w:ilvl w:val="0"/>
                <w:numId w:val="227"/>
              </w:numPr>
              <w:contextualSpacing/>
              <w:jc w:val="both"/>
              <w:rPr>
                <w:rFonts w:ascii="Arial" w:eastAsia="Calibri" w:hAnsi="Arial" w:cs="Arial"/>
              </w:rPr>
            </w:pPr>
            <w:r w:rsidRPr="006312E8">
              <w:rPr>
                <w:rFonts w:ascii="Arial" w:eastAsia="Calibri" w:hAnsi="Arial" w:cs="Arial"/>
              </w:rPr>
              <w:t>Flujo proyectado de inversión.</w:t>
            </w:r>
          </w:p>
          <w:p w:rsidR="006312E8" w:rsidRPr="006312E8" w:rsidRDefault="006312E8" w:rsidP="0092471C">
            <w:pPr>
              <w:numPr>
                <w:ilvl w:val="0"/>
                <w:numId w:val="227"/>
              </w:numPr>
              <w:contextualSpacing/>
              <w:jc w:val="both"/>
              <w:rPr>
                <w:rFonts w:ascii="Arial" w:eastAsia="Calibri" w:hAnsi="Arial" w:cs="Arial"/>
              </w:rPr>
            </w:pPr>
            <w:r w:rsidRPr="006312E8">
              <w:rPr>
                <w:rFonts w:ascii="Arial" w:eastAsia="Calibri" w:hAnsi="Arial" w:cs="Arial"/>
              </w:rPr>
              <w:t>Flujo proyectado de costos.</w:t>
            </w:r>
          </w:p>
          <w:p w:rsidR="006312E8" w:rsidRPr="006312E8" w:rsidRDefault="006312E8" w:rsidP="0092471C">
            <w:pPr>
              <w:numPr>
                <w:ilvl w:val="0"/>
                <w:numId w:val="227"/>
              </w:numPr>
              <w:contextualSpacing/>
              <w:jc w:val="both"/>
              <w:rPr>
                <w:rFonts w:ascii="Arial" w:eastAsia="Calibri" w:hAnsi="Arial" w:cs="Arial"/>
              </w:rPr>
            </w:pPr>
            <w:r w:rsidRPr="006312E8">
              <w:rPr>
                <w:rFonts w:ascii="Arial" w:eastAsia="Calibri" w:hAnsi="Arial" w:cs="Arial"/>
              </w:rPr>
              <w:t>Flujo proyectado de ingresos.</w:t>
            </w:r>
          </w:p>
          <w:p w:rsidR="006312E8" w:rsidRPr="006312E8" w:rsidRDefault="006312E8" w:rsidP="0092471C">
            <w:pPr>
              <w:numPr>
                <w:ilvl w:val="0"/>
                <w:numId w:val="227"/>
              </w:numPr>
              <w:contextualSpacing/>
              <w:jc w:val="both"/>
              <w:rPr>
                <w:rFonts w:ascii="Arial" w:eastAsia="Calibri" w:hAnsi="Arial" w:cs="Arial"/>
              </w:rPr>
            </w:pPr>
            <w:r w:rsidRPr="006312E8">
              <w:rPr>
                <w:rFonts w:ascii="Arial" w:eastAsia="Calibri" w:hAnsi="Arial" w:cs="Arial"/>
              </w:rPr>
              <w:t>Flujo de caja integral, considerando los tres flujos proyectados antes descritos.</w:t>
            </w:r>
          </w:p>
          <w:p w:rsidR="006312E8" w:rsidRPr="006312E8" w:rsidRDefault="006312E8" w:rsidP="0092471C">
            <w:pPr>
              <w:numPr>
                <w:ilvl w:val="0"/>
                <w:numId w:val="227"/>
              </w:numPr>
              <w:contextualSpacing/>
              <w:jc w:val="both"/>
              <w:rPr>
                <w:rFonts w:ascii="Arial" w:eastAsia="Calibri" w:hAnsi="Arial" w:cs="Arial"/>
              </w:rPr>
            </w:pPr>
            <w:r w:rsidRPr="006312E8">
              <w:rPr>
                <w:rFonts w:ascii="Arial" w:eastAsia="Calibri" w:hAnsi="Arial" w:cs="Arial"/>
              </w:rPr>
              <w:t>Indicadores económicos: Valor Actual Neto (VAN), Tasa Interno de Retorno (TIR), ratio Beneficio/Costo (B/C) y Período de Recuperación (PR).</w:t>
            </w:r>
          </w:p>
          <w:p w:rsidR="006312E8" w:rsidRPr="006312E8" w:rsidRDefault="006312E8" w:rsidP="0092471C">
            <w:pPr>
              <w:numPr>
                <w:ilvl w:val="0"/>
                <w:numId w:val="227"/>
              </w:numPr>
              <w:contextualSpacing/>
              <w:jc w:val="both"/>
              <w:rPr>
                <w:rFonts w:ascii="Arial" w:eastAsia="Calibri" w:hAnsi="Arial" w:cs="Arial"/>
              </w:rPr>
            </w:pPr>
            <w:r w:rsidRPr="006312E8">
              <w:rPr>
                <w:rFonts w:ascii="Arial" w:eastAsia="Calibri" w:hAnsi="Arial" w:cs="Arial"/>
              </w:rPr>
              <w:t>Análisis de sensibilidad de las principales variables involucradas en las estimaciones</w:t>
            </w:r>
          </w:p>
          <w:p w:rsidR="006312E8" w:rsidRPr="006312E8" w:rsidRDefault="006312E8" w:rsidP="006312E8">
            <w:pPr>
              <w:ind w:left="601"/>
              <w:contextualSpacing/>
              <w:jc w:val="both"/>
              <w:rPr>
                <w:rFonts w:ascii="Arial" w:eastAsia="Calibri" w:hAnsi="Arial" w:cs="Arial"/>
              </w:rPr>
            </w:pPr>
          </w:p>
          <w:p w:rsidR="006312E8" w:rsidRPr="006312E8" w:rsidRDefault="006312E8" w:rsidP="0092471C">
            <w:pPr>
              <w:numPr>
                <w:ilvl w:val="1"/>
                <w:numId w:val="226"/>
              </w:numPr>
              <w:ind w:left="601" w:hanging="567"/>
              <w:contextualSpacing/>
              <w:jc w:val="both"/>
              <w:rPr>
                <w:rFonts w:ascii="Arial" w:eastAsia="Calibri" w:hAnsi="Arial" w:cs="Arial"/>
              </w:rPr>
            </w:pPr>
            <w:r w:rsidRPr="006312E8">
              <w:rPr>
                <w:rFonts w:ascii="Arial" w:eastAsia="Calibri" w:hAnsi="Arial" w:cs="Arial"/>
              </w:rPr>
              <w:t>El proyecto debe incluir el precio del terreno a valor de mercado y la justificación de la tasa de descuento.</w:t>
            </w:r>
          </w:p>
          <w:p w:rsidR="006312E8" w:rsidRPr="006312E8" w:rsidRDefault="006312E8" w:rsidP="006312E8">
            <w:pPr>
              <w:ind w:left="601"/>
              <w:contextualSpacing/>
              <w:jc w:val="both"/>
              <w:rPr>
                <w:rFonts w:ascii="Arial" w:eastAsia="Calibri" w:hAnsi="Arial" w:cs="Arial"/>
              </w:rPr>
            </w:pPr>
          </w:p>
          <w:p w:rsidR="006312E8" w:rsidRPr="006312E8" w:rsidRDefault="006312E8" w:rsidP="0092471C">
            <w:pPr>
              <w:numPr>
                <w:ilvl w:val="1"/>
                <w:numId w:val="226"/>
              </w:numPr>
              <w:ind w:left="601" w:hanging="567"/>
              <w:contextualSpacing/>
              <w:jc w:val="both"/>
              <w:rPr>
                <w:rFonts w:ascii="Arial" w:eastAsia="Calibri" w:hAnsi="Arial" w:cs="Arial"/>
              </w:rPr>
            </w:pPr>
            <w:r w:rsidRPr="006312E8">
              <w:rPr>
                <w:rFonts w:ascii="Arial" w:eastAsia="Calibri" w:hAnsi="Arial" w:cs="Arial"/>
              </w:rPr>
              <w:t>Respecto a la información referida en el numeral 5.1 del presente Criterio, deberá señalarse la fuente utilizada.</w:t>
            </w:r>
          </w:p>
          <w:p w:rsidR="006312E8" w:rsidRPr="006312E8" w:rsidRDefault="006312E8" w:rsidP="006312E8">
            <w:pPr>
              <w:contextualSpacing/>
              <w:jc w:val="both"/>
              <w:rPr>
                <w:rFonts w:ascii="Arial" w:eastAsia="Calibri" w:hAnsi="Arial" w:cs="Arial"/>
              </w:rPr>
            </w:pPr>
          </w:p>
        </w:tc>
      </w:tr>
      <w:tr w:rsidR="006312E8" w:rsidRPr="006312E8" w:rsidTr="00D04998">
        <w:tc>
          <w:tcPr>
            <w:tcW w:w="392" w:type="dxa"/>
          </w:tcPr>
          <w:p w:rsidR="006312E8" w:rsidRPr="006312E8" w:rsidRDefault="006312E8" w:rsidP="006312E8">
            <w:pPr>
              <w:contextualSpacing/>
              <w:jc w:val="both"/>
              <w:rPr>
                <w:rFonts w:ascii="Arial" w:eastAsia="Calibri" w:hAnsi="Arial" w:cs="Arial"/>
              </w:rPr>
            </w:pPr>
          </w:p>
          <w:p w:rsidR="006312E8" w:rsidRPr="006312E8" w:rsidRDefault="006312E8" w:rsidP="006312E8">
            <w:pPr>
              <w:contextualSpacing/>
              <w:jc w:val="both"/>
              <w:rPr>
                <w:rFonts w:ascii="Arial" w:eastAsia="Calibri" w:hAnsi="Arial" w:cs="Arial"/>
              </w:rPr>
            </w:pPr>
          </w:p>
          <w:p w:rsidR="006312E8" w:rsidRPr="006312E8" w:rsidRDefault="006312E8" w:rsidP="006312E8">
            <w:pPr>
              <w:contextualSpacing/>
              <w:jc w:val="both"/>
              <w:rPr>
                <w:rFonts w:ascii="Arial" w:eastAsia="Calibri" w:hAnsi="Arial" w:cs="Arial"/>
              </w:rPr>
            </w:pPr>
          </w:p>
          <w:p w:rsidR="006312E8" w:rsidRPr="006312E8" w:rsidRDefault="006312E8" w:rsidP="006312E8">
            <w:pPr>
              <w:contextualSpacing/>
              <w:jc w:val="both"/>
              <w:rPr>
                <w:rFonts w:ascii="Arial" w:eastAsia="Calibri" w:hAnsi="Arial" w:cs="Arial"/>
              </w:rPr>
            </w:pPr>
            <w:r w:rsidRPr="006312E8">
              <w:rPr>
                <w:rFonts w:ascii="Arial" w:eastAsia="Calibri" w:hAnsi="Arial" w:cs="Arial"/>
              </w:rPr>
              <w:t>6</w:t>
            </w:r>
          </w:p>
        </w:tc>
        <w:tc>
          <w:tcPr>
            <w:tcW w:w="9606" w:type="dxa"/>
          </w:tcPr>
          <w:p w:rsidR="006312E8" w:rsidRPr="006312E8" w:rsidRDefault="006312E8" w:rsidP="006312E8">
            <w:pPr>
              <w:contextualSpacing/>
              <w:jc w:val="both"/>
              <w:rPr>
                <w:rFonts w:ascii="Arial" w:eastAsia="Calibri" w:hAnsi="Arial" w:cs="Arial"/>
              </w:rPr>
            </w:pPr>
          </w:p>
          <w:p w:rsidR="006312E8" w:rsidRPr="006312E8" w:rsidRDefault="006312E8" w:rsidP="006312E8">
            <w:pPr>
              <w:contextualSpacing/>
              <w:jc w:val="both"/>
              <w:rPr>
                <w:rFonts w:ascii="Arial" w:eastAsia="Calibri" w:hAnsi="Arial" w:cs="Arial"/>
              </w:rPr>
            </w:pPr>
            <w:r w:rsidRPr="006312E8">
              <w:rPr>
                <w:rFonts w:ascii="Arial" w:eastAsia="Calibri" w:hAnsi="Arial" w:cs="Arial"/>
              </w:rPr>
              <w:t>El administrado debe demostrar su capacidad financiera para ejecutar el proyecto, acreditando que cuenta con un capital propio de mínimo el 30% de la inversión total del proyecto a la fecha de presentación de la solicitud.</w:t>
            </w:r>
          </w:p>
          <w:p w:rsidR="006312E8" w:rsidRPr="006312E8" w:rsidRDefault="006312E8" w:rsidP="006312E8">
            <w:pPr>
              <w:contextualSpacing/>
              <w:jc w:val="both"/>
              <w:rPr>
                <w:rFonts w:ascii="Arial" w:eastAsia="Calibri" w:hAnsi="Arial" w:cs="Arial"/>
              </w:rPr>
            </w:pPr>
          </w:p>
          <w:p w:rsidR="006312E8" w:rsidRPr="006312E8" w:rsidRDefault="006312E8" w:rsidP="006312E8">
            <w:pPr>
              <w:contextualSpacing/>
              <w:jc w:val="both"/>
              <w:rPr>
                <w:rFonts w:ascii="Arial" w:eastAsia="Calibri" w:hAnsi="Arial" w:cs="Arial"/>
              </w:rPr>
            </w:pPr>
            <w:r w:rsidRPr="006312E8">
              <w:rPr>
                <w:rFonts w:ascii="Arial" w:eastAsia="Calibri" w:hAnsi="Arial" w:cs="Arial"/>
              </w:rPr>
              <w:t>Para acreditar el referido capital propio no se considera la capacidad de endeudamiento del administrado.</w:t>
            </w:r>
          </w:p>
        </w:tc>
      </w:tr>
    </w:tbl>
    <w:p w:rsidR="006312E8" w:rsidRPr="006312E8" w:rsidRDefault="006312E8" w:rsidP="006312E8">
      <w:pPr>
        <w:spacing w:after="0" w:line="240" w:lineRule="auto"/>
        <w:contextualSpacing/>
        <w:jc w:val="both"/>
        <w:rPr>
          <w:rFonts w:ascii="Arial" w:eastAsia="Calibri" w:hAnsi="Arial" w:cs="Arial"/>
        </w:rPr>
      </w:pPr>
    </w:p>
    <w:p w:rsidR="006312E8" w:rsidRPr="006312E8" w:rsidRDefault="006312E8" w:rsidP="006312E8">
      <w:pPr>
        <w:spacing w:after="0" w:line="240" w:lineRule="auto"/>
        <w:contextualSpacing/>
        <w:jc w:val="both"/>
        <w:rPr>
          <w:rFonts w:ascii="Arial" w:eastAsia="Calibri" w:hAnsi="Arial" w:cs="Arial"/>
        </w:rPr>
      </w:pPr>
    </w:p>
    <w:p w:rsidR="006312E8" w:rsidRPr="006312E8" w:rsidRDefault="006312E8" w:rsidP="006312E8">
      <w:pPr>
        <w:spacing w:after="0" w:line="240" w:lineRule="auto"/>
        <w:contextualSpacing/>
        <w:jc w:val="both"/>
        <w:rPr>
          <w:rFonts w:ascii="Arial" w:eastAsia="Calibri" w:hAnsi="Arial" w:cs="Arial"/>
        </w:rPr>
      </w:pPr>
    </w:p>
    <w:p w:rsidR="006312E8" w:rsidRPr="006312E8" w:rsidRDefault="006312E8" w:rsidP="0092471C">
      <w:pPr>
        <w:numPr>
          <w:ilvl w:val="2"/>
          <w:numId w:val="219"/>
        </w:numPr>
        <w:spacing w:after="0" w:line="240" w:lineRule="auto"/>
        <w:ind w:left="567" w:hanging="567"/>
        <w:contextualSpacing/>
        <w:jc w:val="both"/>
        <w:rPr>
          <w:rFonts w:ascii="Arial" w:eastAsia="Calibri" w:hAnsi="Arial" w:cs="Arial"/>
          <w:b/>
        </w:rPr>
      </w:pPr>
      <w:r w:rsidRPr="006312E8">
        <w:rPr>
          <w:rFonts w:ascii="Arial" w:eastAsia="Calibri" w:hAnsi="Arial" w:cs="Arial"/>
          <w:b/>
        </w:rPr>
        <w:t xml:space="preserve">PROCEDIMIENTO PARA LA TRAMITACIÓN DE LA SOLICITUD ANTE EL MINCETUR </w:t>
      </w:r>
    </w:p>
    <w:p w:rsidR="006312E8" w:rsidRPr="006312E8" w:rsidRDefault="006312E8" w:rsidP="006312E8">
      <w:pPr>
        <w:spacing w:after="0" w:line="240" w:lineRule="auto"/>
        <w:ind w:left="2700"/>
        <w:contextualSpacing/>
        <w:jc w:val="both"/>
        <w:rPr>
          <w:rFonts w:ascii="Arial" w:eastAsia="Calibri" w:hAnsi="Arial" w:cs="Arial"/>
        </w:rPr>
      </w:pPr>
    </w:p>
    <w:p w:rsidR="006312E8" w:rsidRPr="006312E8" w:rsidRDefault="006312E8" w:rsidP="006312E8">
      <w:pPr>
        <w:spacing w:after="0" w:line="240" w:lineRule="auto"/>
        <w:contextualSpacing/>
        <w:jc w:val="both"/>
        <w:rPr>
          <w:rFonts w:ascii="Arial" w:eastAsia="Calibri" w:hAnsi="Arial" w:cs="Arial"/>
        </w:rPr>
      </w:pPr>
    </w:p>
    <w:p w:rsidR="006312E8" w:rsidRPr="006312E8" w:rsidRDefault="006312E8" w:rsidP="0092471C">
      <w:pPr>
        <w:numPr>
          <w:ilvl w:val="1"/>
          <w:numId w:val="228"/>
        </w:numPr>
        <w:spacing w:after="0" w:line="240" w:lineRule="auto"/>
        <w:ind w:left="1134" w:hanging="493"/>
        <w:contextualSpacing/>
        <w:jc w:val="both"/>
        <w:rPr>
          <w:rFonts w:ascii="Arial" w:eastAsia="Calibri" w:hAnsi="Arial" w:cs="Arial"/>
        </w:rPr>
      </w:pPr>
      <w:r w:rsidRPr="006312E8">
        <w:rPr>
          <w:rFonts w:ascii="Arial" w:eastAsia="Calibri" w:hAnsi="Arial" w:cs="Arial"/>
        </w:rPr>
        <w:t xml:space="preserve">El administrado debe presentar la Solicitud, adjuntando el Proyecto Turístico de interés nacional, en la Mesa de Partes del MINCETUR. </w:t>
      </w:r>
    </w:p>
    <w:p w:rsidR="006312E8" w:rsidRPr="006312E8" w:rsidRDefault="006312E8" w:rsidP="006312E8">
      <w:pPr>
        <w:spacing w:after="0" w:line="240" w:lineRule="auto"/>
        <w:ind w:left="1134"/>
        <w:contextualSpacing/>
        <w:jc w:val="both"/>
        <w:rPr>
          <w:rFonts w:ascii="Arial" w:eastAsia="Calibri" w:hAnsi="Arial" w:cs="Arial"/>
        </w:rPr>
      </w:pPr>
    </w:p>
    <w:p w:rsidR="006312E8" w:rsidRPr="006312E8" w:rsidRDefault="006312E8" w:rsidP="0092471C">
      <w:pPr>
        <w:numPr>
          <w:ilvl w:val="1"/>
          <w:numId w:val="228"/>
        </w:numPr>
        <w:spacing w:after="0" w:line="240" w:lineRule="auto"/>
        <w:ind w:left="1134" w:hanging="493"/>
        <w:contextualSpacing/>
        <w:jc w:val="both"/>
        <w:rPr>
          <w:rFonts w:ascii="Arial" w:eastAsia="Calibri" w:hAnsi="Arial" w:cs="Arial"/>
        </w:rPr>
      </w:pPr>
      <w:r w:rsidRPr="006312E8">
        <w:rPr>
          <w:rFonts w:ascii="Arial" w:eastAsia="Calibri" w:hAnsi="Arial" w:cs="Arial"/>
        </w:rPr>
        <w:t xml:space="preserve">La Dirección Nacional de Desarrollo Turístico realiza la evaluación y calificación de los Proyectos Turísticos de interés nacional, a fin de determinar el cumplimiento de las condiciones mínimas y criterios señalados en el Cuadro N° 1 de la presente Directiva, emitiendo el Informe Técnico y Legal correspondiente, en el cual se recomendará las acciones a seguir. </w:t>
      </w:r>
    </w:p>
    <w:p w:rsidR="006312E8" w:rsidRPr="006312E8" w:rsidRDefault="006312E8" w:rsidP="006312E8">
      <w:pPr>
        <w:spacing w:after="200" w:line="276" w:lineRule="auto"/>
        <w:ind w:left="720"/>
        <w:contextualSpacing/>
        <w:rPr>
          <w:rFonts w:ascii="Arial" w:eastAsia="Calibri" w:hAnsi="Arial" w:cs="Arial"/>
        </w:rPr>
      </w:pPr>
    </w:p>
    <w:p w:rsidR="006312E8" w:rsidRPr="006312E8" w:rsidRDefault="006312E8" w:rsidP="0092471C">
      <w:pPr>
        <w:numPr>
          <w:ilvl w:val="1"/>
          <w:numId w:val="228"/>
        </w:numPr>
        <w:spacing w:after="0" w:line="240" w:lineRule="auto"/>
        <w:ind w:left="1134" w:hanging="493"/>
        <w:contextualSpacing/>
        <w:jc w:val="both"/>
        <w:rPr>
          <w:rFonts w:ascii="Arial" w:eastAsia="Calibri" w:hAnsi="Arial" w:cs="Arial"/>
        </w:rPr>
      </w:pPr>
      <w:r w:rsidRPr="006312E8">
        <w:rPr>
          <w:rFonts w:ascii="Arial" w:eastAsia="Calibri" w:hAnsi="Arial" w:cs="Arial"/>
        </w:rPr>
        <w:t xml:space="preserve">Al evaluar la Solicitud y el Proyecto Turístico se podrá verificar alguna información, efectuando consultas a otras entidades públicas o privadas con la finalidad de garantizar una adecuada evaluación del referido Proyecto; asimismo, se podrá realizar una visita de campo a fin de verificar lo señalado en este último. </w:t>
      </w:r>
    </w:p>
    <w:p w:rsidR="006312E8" w:rsidRPr="006312E8" w:rsidRDefault="006312E8" w:rsidP="006312E8">
      <w:pPr>
        <w:spacing w:after="200" w:line="276" w:lineRule="auto"/>
        <w:ind w:left="720"/>
        <w:contextualSpacing/>
        <w:rPr>
          <w:rFonts w:ascii="Arial" w:eastAsia="Calibri" w:hAnsi="Arial" w:cs="Arial"/>
        </w:rPr>
      </w:pPr>
    </w:p>
    <w:p w:rsidR="006312E8" w:rsidRPr="006312E8" w:rsidRDefault="006312E8" w:rsidP="0092471C">
      <w:pPr>
        <w:numPr>
          <w:ilvl w:val="1"/>
          <w:numId w:val="228"/>
        </w:numPr>
        <w:spacing w:after="0" w:line="240" w:lineRule="auto"/>
        <w:ind w:left="1134" w:hanging="493"/>
        <w:contextualSpacing/>
        <w:jc w:val="both"/>
        <w:rPr>
          <w:rFonts w:ascii="Arial" w:eastAsia="Calibri" w:hAnsi="Arial" w:cs="Arial"/>
        </w:rPr>
      </w:pPr>
      <w:r w:rsidRPr="006312E8">
        <w:rPr>
          <w:rFonts w:ascii="Arial" w:eastAsia="Calibri" w:hAnsi="Arial" w:cs="Arial"/>
        </w:rPr>
        <w:t xml:space="preserve">Si la documentación presentada no se ajusta a lo establecido en el Cuadro N° 1, impidiendo la continuación de su tramitación, lo cual por su naturaleza no pudo ser advertido por la Mesa de Partes al momento de su presentación, así como si resultara necesaria una actuación del administrado para continuar el trámite de su Solicitud, el Viceministro de Turismo comunicará, por única vez, al administrado las observaciones encontradas por la Dirección Nacional de Desarrollo Turístico, otorgándole un plazo de 10 días hábiles improrrogables, a fin que proceda a su subsanación. </w:t>
      </w:r>
    </w:p>
    <w:p w:rsidR="006312E8" w:rsidRPr="006312E8" w:rsidRDefault="006312E8" w:rsidP="006312E8">
      <w:pPr>
        <w:spacing w:after="200" w:line="276" w:lineRule="auto"/>
        <w:ind w:left="720"/>
        <w:contextualSpacing/>
        <w:rPr>
          <w:rFonts w:ascii="Arial" w:eastAsia="Calibri" w:hAnsi="Arial" w:cs="Arial"/>
        </w:rPr>
      </w:pPr>
    </w:p>
    <w:p w:rsidR="006312E8" w:rsidRPr="006312E8" w:rsidRDefault="006312E8" w:rsidP="0092471C">
      <w:pPr>
        <w:numPr>
          <w:ilvl w:val="1"/>
          <w:numId w:val="228"/>
        </w:numPr>
        <w:spacing w:after="0" w:line="240" w:lineRule="auto"/>
        <w:ind w:left="1134" w:hanging="493"/>
        <w:contextualSpacing/>
        <w:jc w:val="both"/>
        <w:rPr>
          <w:rFonts w:ascii="Arial" w:eastAsia="Calibri" w:hAnsi="Arial" w:cs="Arial"/>
        </w:rPr>
      </w:pPr>
      <w:r w:rsidRPr="006312E8">
        <w:rPr>
          <w:rFonts w:ascii="Arial" w:eastAsia="Calibri" w:hAnsi="Arial" w:cs="Arial"/>
        </w:rPr>
        <w:t xml:space="preserve">Iniciado el procedimiento, la Dirección Nacional de Desarrollo Turístico solicita información sobre la titularidad del terreno u otras limitaciones o procedimientos que pudieran existir sobre el mismo a la SBN o a los Gobiernos Regionales, según corresponda 1 ; y, si el terreno fuere de una entidad pública en particular, la información será solicitada a la propia entidad. En el caso que el proyecto recaiga sobre una zona de dominio restringido, la solicitud de información será dirigida a la SBN. </w:t>
      </w:r>
    </w:p>
    <w:p w:rsidR="006312E8" w:rsidRPr="006312E8" w:rsidRDefault="006312E8" w:rsidP="006312E8">
      <w:pPr>
        <w:spacing w:after="200" w:line="276" w:lineRule="auto"/>
        <w:ind w:left="720"/>
        <w:contextualSpacing/>
        <w:rPr>
          <w:rFonts w:ascii="Arial" w:eastAsia="Calibri" w:hAnsi="Arial" w:cs="Arial"/>
        </w:rPr>
      </w:pPr>
    </w:p>
    <w:p w:rsidR="006312E8" w:rsidRPr="006312E8" w:rsidRDefault="006312E8" w:rsidP="0092471C">
      <w:pPr>
        <w:numPr>
          <w:ilvl w:val="1"/>
          <w:numId w:val="228"/>
        </w:numPr>
        <w:spacing w:after="0" w:line="240" w:lineRule="auto"/>
        <w:ind w:left="1134" w:hanging="493"/>
        <w:contextualSpacing/>
        <w:jc w:val="both"/>
        <w:rPr>
          <w:rFonts w:ascii="Arial" w:eastAsia="Calibri" w:hAnsi="Arial" w:cs="Arial"/>
        </w:rPr>
      </w:pPr>
      <w:r w:rsidRPr="006312E8">
        <w:rPr>
          <w:rFonts w:ascii="Arial" w:eastAsia="Calibri" w:hAnsi="Arial" w:cs="Arial"/>
        </w:rPr>
        <w:t xml:space="preserve">En caso que la solicitud cumpla con los requisitos de la presente directiva, el Viceministro de Turismo emite la Resolución Viceministerial que aprueba la declaración de viabilidad del Proyecto Turístico como de interés nacional. Caso contrario, emite una Resolución Viceministerial desaprobando el referido Proyecto o, en su caso, declarando su improcedencia. </w:t>
      </w:r>
    </w:p>
    <w:p w:rsidR="006312E8" w:rsidRPr="006312E8" w:rsidRDefault="006312E8" w:rsidP="006312E8">
      <w:pPr>
        <w:spacing w:after="200" w:line="276" w:lineRule="auto"/>
        <w:ind w:left="720"/>
        <w:contextualSpacing/>
        <w:rPr>
          <w:rFonts w:ascii="Arial" w:eastAsia="Calibri" w:hAnsi="Arial" w:cs="Arial"/>
        </w:rPr>
      </w:pPr>
    </w:p>
    <w:p w:rsidR="006312E8" w:rsidRPr="006312E8" w:rsidRDefault="006312E8" w:rsidP="0092471C">
      <w:pPr>
        <w:numPr>
          <w:ilvl w:val="1"/>
          <w:numId w:val="228"/>
        </w:numPr>
        <w:spacing w:after="0" w:line="240" w:lineRule="auto"/>
        <w:ind w:left="1134" w:hanging="493"/>
        <w:contextualSpacing/>
        <w:jc w:val="both"/>
        <w:rPr>
          <w:rFonts w:ascii="Arial" w:eastAsia="Calibri" w:hAnsi="Arial" w:cs="Arial"/>
        </w:rPr>
      </w:pPr>
      <w:r w:rsidRPr="006312E8">
        <w:rPr>
          <w:rFonts w:ascii="Arial" w:eastAsia="Calibri" w:hAnsi="Arial" w:cs="Arial"/>
        </w:rPr>
        <w:t xml:space="preserve">La declaración de aprobación de la viabilidad del Proyecto Turístico de interés nacional se mantendrá en tanto el proyecto aprobado cumpla su finalidad, de conformidad con el ordenamiento jurídico vigente. </w:t>
      </w:r>
    </w:p>
    <w:p w:rsidR="006312E8" w:rsidRPr="006312E8" w:rsidRDefault="006312E8" w:rsidP="006312E8">
      <w:pPr>
        <w:spacing w:after="200" w:line="276" w:lineRule="auto"/>
        <w:ind w:left="720"/>
        <w:contextualSpacing/>
        <w:rPr>
          <w:rFonts w:ascii="Arial" w:eastAsia="Calibri" w:hAnsi="Arial" w:cs="Arial"/>
        </w:rPr>
      </w:pPr>
    </w:p>
    <w:p w:rsidR="006312E8" w:rsidRPr="006312E8" w:rsidRDefault="006312E8" w:rsidP="0092471C">
      <w:pPr>
        <w:numPr>
          <w:ilvl w:val="1"/>
          <w:numId w:val="228"/>
        </w:numPr>
        <w:spacing w:after="0" w:line="240" w:lineRule="auto"/>
        <w:ind w:left="1134" w:hanging="493"/>
        <w:contextualSpacing/>
        <w:jc w:val="both"/>
        <w:rPr>
          <w:rFonts w:ascii="Arial" w:eastAsia="Calibri" w:hAnsi="Arial" w:cs="Arial"/>
        </w:rPr>
      </w:pPr>
      <w:r w:rsidRPr="006312E8">
        <w:rPr>
          <w:rFonts w:ascii="Arial" w:eastAsia="Calibri" w:hAnsi="Arial" w:cs="Arial"/>
        </w:rPr>
        <w:t xml:space="preserve">Cabe precisar que, la aprobación de la viabilidad del Proyecto de Interés Turístico Nacional tiene por efecto únicamente el cumplimiento del requisito previsto en el literal b) del artículo 77 del Reglamento de la Ley N° 29151, aprobado por Decreto Supremo N° 007-2008- VIVIENDA; y, el literal a) del artículo 18 del Reglamento de la Ley N° 26856, Decreto Supremo N° 050-2006-EF; por lo que, tiene efectos declarativos y no constitutivos de derechos. </w:t>
      </w:r>
    </w:p>
    <w:p w:rsidR="006312E8" w:rsidRPr="006312E8" w:rsidRDefault="006312E8" w:rsidP="006312E8">
      <w:pPr>
        <w:spacing w:after="200" w:line="276" w:lineRule="auto"/>
        <w:ind w:left="720"/>
        <w:contextualSpacing/>
        <w:rPr>
          <w:rFonts w:ascii="Arial" w:eastAsia="Calibri" w:hAnsi="Arial" w:cs="Arial"/>
        </w:rPr>
      </w:pPr>
    </w:p>
    <w:p w:rsidR="006312E8" w:rsidRPr="006312E8" w:rsidRDefault="006312E8" w:rsidP="0092471C">
      <w:pPr>
        <w:numPr>
          <w:ilvl w:val="1"/>
          <w:numId w:val="228"/>
        </w:numPr>
        <w:spacing w:after="0" w:line="240" w:lineRule="auto"/>
        <w:ind w:left="1134" w:hanging="493"/>
        <w:contextualSpacing/>
        <w:jc w:val="both"/>
        <w:rPr>
          <w:rFonts w:ascii="Arial" w:eastAsia="Calibri" w:hAnsi="Arial" w:cs="Arial"/>
        </w:rPr>
      </w:pPr>
      <w:r w:rsidRPr="006312E8">
        <w:rPr>
          <w:rFonts w:ascii="Arial" w:eastAsia="Calibri" w:hAnsi="Arial" w:cs="Arial"/>
        </w:rPr>
        <w:t xml:space="preserve">Para la ejecución del Proyecto Turístico se deberán contar con todas las licencias, certificados, estudios (incluyendo los de impacto ambiental) y demás documentos que resulten necesarios conforme a la normativa de la materia. </w:t>
      </w:r>
    </w:p>
    <w:p w:rsidR="006312E8" w:rsidRPr="006312E8" w:rsidRDefault="006312E8" w:rsidP="006312E8">
      <w:pPr>
        <w:spacing w:after="0" w:line="240" w:lineRule="auto"/>
        <w:contextualSpacing/>
        <w:jc w:val="both"/>
        <w:rPr>
          <w:rFonts w:ascii="Arial" w:eastAsia="Calibri" w:hAnsi="Arial" w:cs="Arial"/>
        </w:rPr>
      </w:pPr>
    </w:p>
    <w:p w:rsidR="006312E8" w:rsidRPr="006312E8" w:rsidRDefault="006312E8" w:rsidP="0092471C">
      <w:pPr>
        <w:numPr>
          <w:ilvl w:val="2"/>
          <w:numId w:val="219"/>
        </w:numPr>
        <w:spacing w:after="0" w:line="240" w:lineRule="auto"/>
        <w:ind w:left="426" w:hanging="432"/>
        <w:contextualSpacing/>
        <w:jc w:val="both"/>
        <w:rPr>
          <w:rFonts w:ascii="Arial" w:eastAsia="Calibri" w:hAnsi="Arial" w:cs="Arial"/>
          <w:b/>
        </w:rPr>
      </w:pPr>
      <w:r w:rsidRPr="006312E8">
        <w:rPr>
          <w:rFonts w:ascii="Arial" w:eastAsia="Calibri" w:hAnsi="Arial" w:cs="Arial"/>
          <w:b/>
        </w:rPr>
        <w:t xml:space="preserve">DISPOSICIONES COMPLEMENTARIAS TRANSITORIAS </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ind w:left="426"/>
        <w:jc w:val="both"/>
        <w:rPr>
          <w:rFonts w:ascii="Arial" w:eastAsia="Calibri" w:hAnsi="Arial" w:cs="Arial"/>
        </w:rPr>
      </w:pPr>
      <w:r w:rsidRPr="006312E8">
        <w:rPr>
          <w:rFonts w:ascii="Arial" w:eastAsia="Calibri" w:hAnsi="Arial" w:cs="Arial"/>
          <w:b/>
        </w:rPr>
        <w:t>Única.-</w:t>
      </w:r>
      <w:r w:rsidRPr="006312E8">
        <w:rPr>
          <w:rFonts w:ascii="Arial" w:eastAsia="Calibri" w:hAnsi="Arial" w:cs="Arial"/>
        </w:rPr>
        <w:t xml:space="preserve"> La presente Directiva será de aplicación a las Solicitudes que se encuentren en trámite. </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ind w:left="426" w:hanging="426"/>
        <w:jc w:val="both"/>
        <w:rPr>
          <w:rFonts w:ascii="Arial" w:eastAsia="Calibri" w:hAnsi="Arial" w:cs="Arial"/>
          <w:b/>
        </w:rPr>
      </w:pPr>
      <w:r w:rsidRPr="006312E8">
        <w:rPr>
          <w:rFonts w:ascii="Arial" w:eastAsia="Calibri" w:hAnsi="Arial" w:cs="Arial"/>
          <w:b/>
        </w:rPr>
        <w:t xml:space="preserve">X </w:t>
      </w:r>
      <w:r w:rsidRPr="006312E8">
        <w:rPr>
          <w:rFonts w:ascii="Arial" w:eastAsia="Calibri" w:hAnsi="Arial" w:cs="Arial"/>
          <w:b/>
        </w:rPr>
        <w:tab/>
        <w:t>DISPOSICIONES COMPLEMENTARIAS FINALES</w:t>
      </w:r>
    </w:p>
    <w:p w:rsidR="006312E8" w:rsidRPr="006312E8" w:rsidRDefault="006312E8" w:rsidP="006312E8">
      <w:pPr>
        <w:spacing w:after="0" w:line="240" w:lineRule="auto"/>
        <w:jc w:val="both"/>
        <w:rPr>
          <w:rFonts w:ascii="Arial" w:eastAsia="Calibri" w:hAnsi="Arial" w:cs="Arial"/>
        </w:rPr>
      </w:pPr>
    </w:p>
    <w:p w:rsidR="006312E8" w:rsidRPr="006312E8" w:rsidRDefault="006312E8" w:rsidP="006312E8">
      <w:pPr>
        <w:spacing w:after="0" w:line="240" w:lineRule="auto"/>
        <w:ind w:left="426"/>
        <w:contextualSpacing/>
        <w:jc w:val="both"/>
        <w:rPr>
          <w:rFonts w:ascii="Arial" w:eastAsia="Calibri" w:hAnsi="Arial" w:cs="Arial"/>
        </w:rPr>
      </w:pPr>
      <w:r w:rsidRPr="006312E8">
        <w:rPr>
          <w:rFonts w:ascii="Arial" w:eastAsia="Calibri" w:hAnsi="Arial" w:cs="Arial"/>
          <w:b/>
        </w:rPr>
        <w:t>Única.-</w:t>
      </w:r>
      <w:r w:rsidRPr="006312E8">
        <w:rPr>
          <w:rFonts w:ascii="Arial" w:eastAsia="Calibri" w:hAnsi="Arial" w:cs="Arial"/>
        </w:rPr>
        <w:t xml:space="preserve"> En todo lo no previsto en la presente Directiva es de aplicación la Ley N° 27444, Ley del Procedimiento Administrativo General</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noProof/>
          <w:lang w:val="es-MX" w:eastAsia="es-MX"/>
        </w:rPr>
        <mc:AlternateContent>
          <mc:Choice Requires="wps">
            <w:drawing>
              <wp:anchor distT="0" distB="0" distL="114300" distR="114300" simplePos="0" relativeHeight="251708416" behindDoc="0" locked="0" layoutInCell="1" allowOverlap="1" wp14:anchorId="3DB49210" wp14:editId="53543352">
                <wp:simplePos x="0" y="0"/>
                <wp:positionH relativeFrom="column">
                  <wp:posOffset>18415</wp:posOffset>
                </wp:positionH>
                <wp:positionV relativeFrom="paragraph">
                  <wp:posOffset>116840</wp:posOffset>
                </wp:positionV>
                <wp:extent cx="1619250" cy="0"/>
                <wp:effectExtent l="0" t="0" r="19050" b="19050"/>
                <wp:wrapNone/>
                <wp:docPr id="99" name="Conector recto 99"/>
                <wp:cNvGraphicFramePr/>
                <a:graphic xmlns:a="http://schemas.openxmlformats.org/drawingml/2006/main">
                  <a:graphicData uri="http://schemas.microsoft.com/office/word/2010/wordprocessingShape">
                    <wps:wsp>
                      <wps:cNvCnPr/>
                      <wps:spPr>
                        <a:xfrm>
                          <a:off x="0" y="0"/>
                          <a:ext cx="1619250" cy="0"/>
                        </a:xfrm>
                        <a:prstGeom prst="line">
                          <a:avLst/>
                        </a:prstGeom>
                        <a:noFill/>
                        <a:ln w="22225"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2BC23B10" id="Conector recto 99" o:spid="_x0000_s1026" style="position:absolute;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5pt,9.2pt" to="128.9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" strokecolor="windowText" strokeweight="1.75pt">
                <v:stroke joinstyle="miter"/>
              </v:line>
            </w:pict>
          </mc:Fallback>
        </mc:AlternateConten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numPr>
          <w:ilvl w:val="2"/>
          <w:numId w:val="39"/>
        </w:numPr>
        <w:spacing w:after="0" w:line="240" w:lineRule="auto"/>
        <w:ind w:left="426"/>
        <w:contextualSpacing/>
        <w:jc w:val="both"/>
        <w:rPr>
          <w:rFonts w:ascii="Arial" w:eastAsia="Calibri" w:hAnsi="Arial" w:cs="Arial"/>
          <w:sz w:val="16"/>
          <w:szCs w:val="16"/>
          <w:lang w:val="es-ES"/>
        </w:rPr>
      </w:pPr>
      <w:r w:rsidRPr="006312E8">
        <w:rPr>
          <w:rFonts w:ascii="Arial" w:eastAsia="Calibri" w:hAnsi="Arial" w:cs="Arial"/>
          <w:sz w:val="16"/>
          <w:szCs w:val="16"/>
          <w:lang w:val="es-ES"/>
        </w:rPr>
        <w:t>Se solicitará información a los Gobiernos Regionales cuando hayan asumido las competencias transferidas en materia de administración y adjudicación de terrenos de propiedad del Estado, conforme al artículo 62 de la Ley N° 27867, Ley Orgánica de Gobiernos Regionales.</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F47618">
      <w:pPr>
        <w:pStyle w:val="TITO2"/>
      </w:pPr>
      <w:bookmarkStart w:id="484" w:name="_Toc421025486"/>
      <w:bookmarkStart w:id="485" w:name="_Toc470855595"/>
      <w:r w:rsidRPr="006312E8">
        <w:t>RESOLUCIÓN DIRECTORAL N° 006-2015/MEM-DGE</w:t>
      </w:r>
      <w:bookmarkEnd w:id="484"/>
      <w:bookmarkEnd w:id="485"/>
    </w:p>
    <w:p w:rsidR="006312E8" w:rsidRPr="006312E8" w:rsidRDefault="006312E8" w:rsidP="006312E8">
      <w:pPr>
        <w:spacing w:after="0" w:line="240" w:lineRule="auto"/>
        <w:contextualSpacing/>
        <w:jc w:val="center"/>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center"/>
        <w:rPr>
          <w:rFonts w:ascii="Arial" w:eastAsia="Calibri" w:hAnsi="Arial" w:cs="Arial"/>
          <w:b/>
          <w:lang w:val="es-ES"/>
        </w:rPr>
      </w:pPr>
      <w:r w:rsidRPr="006312E8">
        <w:rPr>
          <w:rFonts w:ascii="Arial" w:eastAsia="Calibri" w:hAnsi="Arial" w:cs="Arial"/>
          <w:b/>
          <w:lang w:val="es-ES"/>
        </w:rPr>
        <w:t>Aprueban Lineamientos para la aplicación del Decreto Supremo Nº 054-2013-PCM en proyectos de Inversión del Subsector Electricidad</w:t>
      </w:r>
    </w:p>
    <w:p w:rsidR="006312E8" w:rsidRPr="006312E8" w:rsidRDefault="006312E8" w:rsidP="006312E8">
      <w:pPr>
        <w:spacing w:after="0" w:line="240" w:lineRule="auto"/>
        <w:contextualSpacing/>
        <w:jc w:val="center"/>
        <w:rPr>
          <w:rFonts w:ascii="Arial" w:eastAsia="Calibri" w:hAnsi="Arial" w:cs="Arial"/>
          <w:b/>
          <w:lang w:val="es-ES"/>
        </w:rPr>
      </w:pPr>
    </w:p>
    <w:p w:rsidR="006312E8" w:rsidRPr="006312E8" w:rsidRDefault="006312E8" w:rsidP="006312E8">
      <w:pPr>
        <w:spacing w:after="0" w:line="240" w:lineRule="auto"/>
        <w:contextualSpacing/>
        <w:jc w:val="right"/>
        <w:rPr>
          <w:rFonts w:ascii="Arial" w:eastAsia="Calibri" w:hAnsi="Arial" w:cs="Arial"/>
          <w:b/>
          <w:lang w:val="es-ES"/>
        </w:rPr>
      </w:pPr>
      <w:r w:rsidRPr="006312E8">
        <w:rPr>
          <w:rFonts w:ascii="Arial" w:eastAsia="Calibri" w:hAnsi="Arial" w:cs="Arial"/>
          <w:b/>
          <w:lang w:val="es-ES"/>
        </w:rPr>
        <w:t>Fecha de publicación: 21-01-2015</w:t>
      </w:r>
    </w:p>
    <w:p w:rsidR="006312E8" w:rsidRPr="006312E8" w:rsidRDefault="006312E8" w:rsidP="006312E8">
      <w:pPr>
        <w:spacing w:after="0" w:line="240" w:lineRule="auto"/>
        <w:contextualSpacing/>
        <w:jc w:val="both"/>
        <w:rPr>
          <w:rFonts w:ascii="Arial" w:eastAsia="Calibri" w:hAnsi="Arial" w:cs="Arial"/>
          <w:b/>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Lima, 12 de enero de 2015</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VISTO: El Oficio Nº 4174-2014/SBN-DGPE-SADAPE y Oficio Nº 4280-2014/SBN-DGPE-SDPE, presentado por la Superintendencia Nacional de Bienes Estatales (en adelante, SBN), a través de los cuales solicitó que se precise la información para la imposición de servidumbres sobre los predios del Estado enmarcados dentro del Decreto Supremo Nº 054-2013-PCM;</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b/>
          <w:lang w:val="es-ES"/>
        </w:rPr>
      </w:pPr>
      <w:r w:rsidRPr="006312E8">
        <w:rPr>
          <w:rFonts w:ascii="Arial" w:eastAsia="Calibri" w:hAnsi="Arial" w:cs="Arial"/>
          <w:b/>
          <w:lang w:val="es-ES"/>
        </w:rPr>
        <w:t>CONSIDERANDO: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r w:rsidRPr="006312E8">
        <w:rPr>
          <w:rFonts w:ascii="Arial" w:eastAsia="Calibri" w:hAnsi="Arial" w:cs="Arial"/>
          <w:lang w:val="es-ES"/>
        </w:rPr>
        <w:t xml:space="preserve">Que, mediante el Decreto Supremo Nº 054-2013-PCM, publicado el 16 de mayo de 2013 en el diario oficial El Peruano, se aprobaron disposiciones especiales para </w:t>
      </w:r>
      <w:r w:rsidRPr="006312E8">
        <w:rPr>
          <w:rFonts w:ascii="Arial" w:hAnsi="Arial" w:cs="Arial"/>
          <w:color w:val="000000"/>
        </w:rPr>
        <w:t>la ejecución de procedimientos administrativos, regulando</w:t>
      </w:r>
      <w:r w:rsidRPr="006312E8">
        <w:rPr>
          <w:rFonts w:ascii="Arial" w:eastAsia="Calibri" w:hAnsi="Arial" w:cs="Arial"/>
          <w:lang w:val="es-ES"/>
        </w:rPr>
        <w:t xml:space="preserve"> </w:t>
      </w:r>
      <w:r w:rsidRPr="006312E8">
        <w:rPr>
          <w:rFonts w:ascii="Arial" w:hAnsi="Arial" w:cs="Arial"/>
          <w:color w:val="000000"/>
        </w:rPr>
        <w:t>en su artículo 6, el procedimiento administrativo de</w:t>
      </w:r>
      <w:r w:rsidRPr="006312E8">
        <w:rPr>
          <w:rFonts w:ascii="Arial" w:eastAsia="Calibri" w:hAnsi="Arial" w:cs="Arial"/>
          <w:lang w:val="es-ES"/>
        </w:rPr>
        <w:t xml:space="preserve"> </w:t>
      </w:r>
      <w:r w:rsidRPr="006312E8">
        <w:rPr>
          <w:rFonts w:ascii="Arial" w:hAnsi="Arial" w:cs="Arial"/>
          <w:color w:val="000000"/>
        </w:rPr>
        <w:t>servidumbre sobre los terrenos eriazos del Estado para</w:t>
      </w:r>
      <w:r w:rsidRPr="006312E8">
        <w:rPr>
          <w:rFonts w:ascii="Arial" w:eastAsia="Calibri" w:hAnsi="Arial" w:cs="Arial"/>
          <w:lang w:val="es-ES"/>
        </w:rPr>
        <w:t xml:space="preserve"> </w:t>
      </w:r>
      <w:r w:rsidRPr="006312E8">
        <w:rPr>
          <w:rFonts w:ascii="Arial" w:hAnsi="Arial" w:cs="Arial"/>
          <w:color w:val="000000"/>
        </w:rPr>
        <w:t>proyectos de inversión; señalando que el titular del</w:t>
      </w:r>
      <w:r w:rsidRPr="006312E8">
        <w:rPr>
          <w:rFonts w:ascii="Arial" w:eastAsia="Calibri" w:hAnsi="Arial" w:cs="Arial"/>
          <w:lang w:val="es-ES"/>
        </w:rPr>
        <w:t xml:space="preserve"> </w:t>
      </w:r>
      <w:r w:rsidRPr="006312E8">
        <w:rPr>
          <w:rFonts w:ascii="Arial" w:hAnsi="Arial" w:cs="Arial"/>
          <w:color w:val="000000"/>
        </w:rPr>
        <w:t>proyecto de inversión solicitará el terreno necesario para</w:t>
      </w:r>
      <w:r w:rsidRPr="006312E8">
        <w:rPr>
          <w:rFonts w:ascii="Arial" w:eastAsia="Calibri" w:hAnsi="Arial" w:cs="Arial"/>
          <w:lang w:val="es-ES"/>
        </w:rPr>
        <w:t xml:space="preserve"> </w:t>
      </w:r>
      <w:r w:rsidRPr="006312E8">
        <w:rPr>
          <w:rFonts w:ascii="Arial" w:hAnsi="Arial" w:cs="Arial"/>
          <w:color w:val="000000"/>
        </w:rPr>
        <w:t>el desarrollo del mismo a la autoridad Sectorial, quien</w:t>
      </w:r>
      <w:r w:rsidRPr="006312E8">
        <w:rPr>
          <w:rFonts w:ascii="Arial" w:eastAsia="Calibri" w:hAnsi="Arial" w:cs="Arial"/>
          <w:lang w:val="es-ES"/>
        </w:rPr>
        <w:t xml:space="preserve"> </w:t>
      </w:r>
      <w:r w:rsidRPr="006312E8">
        <w:rPr>
          <w:rFonts w:ascii="Arial" w:hAnsi="Arial" w:cs="Arial"/>
          <w:color w:val="000000"/>
        </w:rPr>
        <w:t>requerirá a la SBN, el otorgamiento de servidumbres</w:t>
      </w:r>
      <w:r w:rsidRPr="006312E8">
        <w:rPr>
          <w:rFonts w:ascii="Arial" w:eastAsia="Calibri" w:hAnsi="Arial" w:cs="Arial"/>
          <w:lang w:val="es-ES"/>
        </w:rPr>
        <w:t xml:space="preserve"> </w:t>
      </w:r>
      <w:r w:rsidRPr="006312E8">
        <w:rPr>
          <w:rFonts w:ascii="Arial" w:hAnsi="Arial" w:cs="Arial"/>
          <w:color w:val="000000"/>
        </w:rPr>
        <w:t>temporales o definitivas sobre predios estatales inscritos</w:t>
      </w:r>
      <w:r w:rsidRPr="006312E8">
        <w:rPr>
          <w:rFonts w:ascii="Arial" w:eastAsia="Calibri" w:hAnsi="Arial" w:cs="Arial"/>
          <w:lang w:val="es-ES"/>
        </w:rPr>
        <w:t xml:space="preserve"> </w:t>
      </w:r>
      <w:r w:rsidRPr="006312E8">
        <w:rPr>
          <w:rFonts w:ascii="Arial" w:hAnsi="Arial" w:cs="Arial"/>
          <w:color w:val="000000"/>
        </w:rPr>
        <w:t>o no en el Registro de Predios;</w:t>
      </w:r>
    </w:p>
    <w:p w:rsidR="006312E8" w:rsidRPr="006312E8" w:rsidRDefault="006312E8" w:rsidP="006312E8">
      <w:pPr>
        <w:autoSpaceDE w:val="0"/>
        <w:autoSpaceDN w:val="0"/>
        <w:adjustRightInd w:val="0"/>
        <w:spacing w:after="0" w:line="240" w:lineRule="auto"/>
        <w:jc w:val="both"/>
        <w:rPr>
          <w:rFonts w:ascii="Arial" w:hAnsi="Arial" w:cs="Arial"/>
          <w:color w:val="000000"/>
          <w:lang w:val="es-ES"/>
        </w:rPr>
      </w:pPr>
    </w:p>
    <w:p w:rsidR="006312E8" w:rsidRPr="006312E8" w:rsidRDefault="006312E8" w:rsidP="006312E8">
      <w:pPr>
        <w:autoSpaceDE w:val="0"/>
        <w:autoSpaceDN w:val="0"/>
        <w:adjustRightInd w:val="0"/>
        <w:spacing w:after="0" w:line="240" w:lineRule="auto"/>
        <w:jc w:val="both"/>
        <w:rPr>
          <w:rFonts w:ascii="Arial" w:hAnsi="Arial" w:cs="Arial"/>
          <w:color w:val="000000"/>
        </w:rPr>
      </w:pPr>
      <w:r w:rsidRPr="006312E8">
        <w:rPr>
          <w:rFonts w:ascii="Arial" w:hAnsi="Arial" w:cs="Arial"/>
          <w:color w:val="000000"/>
        </w:rPr>
        <w:t>Que, mediante el Decreto Supremo Nº 060-2013-PCM, publicado el 25 de mayo de 2013 en el diario oficial El Peruano, se aprobaron disposiciones especiales para agilizar la ejecución de procedimientos administrativos y otras medidas para impulsar proyectos de inversión, señalando en su Tercera Disposición Complementaria Final, que se deberá entender que lo dispuesto en el artículo 6 del Decreto Supremo Nº 054-2013-PCM incluye el desarrollo de proyectos de inversión públicos y privados en general;</w:t>
      </w:r>
    </w:p>
    <w:p w:rsidR="006312E8" w:rsidRPr="006312E8" w:rsidRDefault="006312E8" w:rsidP="006312E8">
      <w:pPr>
        <w:autoSpaceDE w:val="0"/>
        <w:autoSpaceDN w:val="0"/>
        <w:adjustRightInd w:val="0"/>
        <w:spacing w:after="0" w:line="240" w:lineRule="auto"/>
        <w:jc w:val="both"/>
        <w:rPr>
          <w:rFonts w:ascii="Arial" w:hAnsi="Arial" w:cs="Arial"/>
          <w:color w:val="000000"/>
        </w:rPr>
      </w:pPr>
    </w:p>
    <w:p w:rsidR="006312E8" w:rsidRPr="006312E8" w:rsidRDefault="006312E8" w:rsidP="006312E8">
      <w:pPr>
        <w:autoSpaceDE w:val="0"/>
        <w:autoSpaceDN w:val="0"/>
        <w:adjustRightInd w:val="0"/>
        <w:spacing w:after="0" w:line="240" w:lineRule="auto"/>
        <w:jc w:val="both"/>
        <w:rPr>
          <w:rFonts w:ascii="Arial" w:hAnsi="Arial" w:cs="Arial"/>
          <w:color w:val="000000"/>
        </w:rPr>
      </w:pPr>
      <w:r w:rsidRPr="006312E8">
        <w:rPr>
          <w:rFonts w:ascii="Arial" w:hAnsi="Arial" w:cs="Arial"/>
          <w:color w:val="000000"/>
        </w:rPr>
        <w:t>Que, mediante los Oficios Nº 4174-2014/SBN-DGPESADAPE y Nº 4280-2014/SBN-DGPE-SDAPE, ingresados a este ministerio con Registros Nº 2445437 y Nº 2447385 el 4 y 10 de noviembre de 2014, respectivamente, el Subdirector de Administración del Patrimonio Estatal de la SBN, solicitó que se precise la información para la imposición de servidumbre sobre predios del Estado en mérito al Decreto Supremo Nº 054-2013-PCM;</w:t>
      </w:r>
    </w:p>
    <w:p w:rsidR="006312E8" w:rsidRPr="006312E8" w:rsidRDefault="006312E8" w:rsidP="006312E8">
      <w:pPr>
        <w:autoSpaceDE w:val="0"/>
        <w:autoSpaceDN w:val="0"/>
        <w:adjustRightInd w:val="0"/>
        <w:spacing w:after="0" w:line="240" w:lineRule="auto"/>
        <w:jc w:val="both"/>
        <w:rPr>
          <w:rFonts w:ascii="Arial" w:hAnsi="Arial" w:cs="Arial"/>
          <w:color w:val="000000"/>
        </w:rPr>
      </w:pPr>
    </w:p>
    <w:p w:rsidR="006312E8" w:rsidRPr="006312E8" w:rsidRDefault="006312E8" w:rsidP="006312E8">
      <w:pPr>
        <w:autoSpaceDE w:val="0"/>
        <w:autoSpaceDN w:val="0"/>
        <w:adjustRightInd w:val="0"/>
        <w:spacing w:after="0" w:line="240" w:lineRule="auto"/>
        <w:jc w:val="both"/>
        <w:rPr>
          <w:rFonts w:ascii="Arial" w:hAnsi="Arial" w:cs="Arial"/>
          <w:color w:val="000000"/>
        </w:rPr>
      </w:pPr>
      <w:r w:rsidRPr="006312E8">
        <w:rPr>
          <w:rFonts w:ascii="Arial" w:hAnsi="Arial" w:cs="Arial"/>
          <w:color w:val="000000"/>
        </w:rPr>
        <w:t>Que, de conformidad con lo establecido en el artículo 63 del Reglamento de Organización y Funciones del Ministerio de Energía y Minas, aprobado mediante Decreto Supremo Nº 031-2007-EM, la Dirección General de Electricidad es el órgano técnico normativo encargado, entre otros aspectos, de expedir, según sea el caso, la normatividad necesaria del Subsector Electricidad;</w:t>
      </w:r>
    </w:p>
    <w:p w:rsidR="006312E8" w:rsidRPr="006312E8" w:rsidRDefault="006312E8" w:rsidP="006312E8">
      <w:pPr>
        <w:autoSpaceDE w:val="0"/>
        <w:autoSpaceDN w:val="0"/>
        <w:adjustRightInd w:val="0"/>
        <w:spacing w:after="0" w:line="240" w:lineRule="auto"/>
        <w:jc w:val="both"/>
        <w:rPr>
          <w:rFonts w:ascii="Arial" w:hAnsi="Arial" w:cs="Arial"/>
          <w:color w:val="000000"/>
        </w:rPr>
      </w:pPr>
    </w:p>
    <w:p w:rsidR="006312E8" w:rsidRPr="006312E8" w:rsidRDefault="006312E8" w:rsidP="006312E8">
      <w:pPr>
        <w:autoSpaceDE w:val="0"/>
        <w:autoSpaceDN w:val="0"/>
        <w:adjustRightInd w:val="0"/>
        <w:spacing w:after="0" w:line="240" w:lineRule="auto"/>
        <w:jc w:val="both"/>
        <w:rPr>
          <w:rFonts w:ascii="Arial" w:hAnsi="Arial" w:cs="Arial"/>
          <w:color w:val="000000"/>
        </w:rPr>
      </w:pPr>
      <w:r w:rsidRPr="006312E8">
        <w:rPr>
          <w:rFonts w:ascii="Arial" w:hAnsi="Arial" w:cs="Arial"/>
          <w:color w:val="000000"/>
        </w:rPr>
        <w:t>Que, la Dirección General de Electricidad ha emitido el Informe Nº 659-2014-DGE/DCE de fecha 3 de diciembre de 2014, a través del cual estableció criterios para la aplicación del Decreto Supremo Nº 054-2013-PCM en proyectos de inversión del Subsector Electricidad, con la finalidad de que esta Dirección General determine, califique o se pronuncie, si el solicitante del derecho de servidumbre bajo el marco del Decreto Supremo Nº 054-2013-PCM cuenta con un proyecto de inversión, y que como consecuencia sea atendible por la SBN;</w:t>
      </w:r>
    </w:p>
    <w:p w:rsidR="006312E8" w:rsidRPr="006312E8" w:rsidRDefault="006312E8" w:rsidP="006312E8">
      <w:pPr>
        <w:autoSpaceDE w:val="0"/>
        <w:autoSpaceDN w:val="0"/>
        <w:adjustRightInd w:val="0"/>
        <w:spacing w:after="0" w:line="240" w:lineRule="auto"/>
        <w:jc w:val="both"/>
        <w:rPr>
          <w:rFonts w:ascii="Arial" w:hAnsi="Arial" w:cs="Arial"/>
          <w:color w:val="000000"/>
        </w:rPr>
      </w:pPr>
    </w:p>
    <w:p w:rsidR="006312E8" w:rsidRPr="006312E8" w:rsidRDefault="006312E8" w:rsidP="006312E8">
      <w:pPr>
        <w:autoSpaceDE w:val="0"/>
        <w:autoSpaceDN w:val="0"/>
        <w:adjustRightInd w:val="0"/>
        <w:spacing w:after="0" w:line="240" w:lineRule="auto"/>
        <w:jc w:val="both"/>
        <w:rPr>
          <w:rFonts w:ascii="Arial" w:hAnsi="Arial" w:cs="Arial"/>
          <w:color w:val="000000"/>
        </w:rPr>
      </w:pPr>
      <w:r w:rsidRPr="006312E8">
        <w:rPr>
          <w:rFonts w:ascii="Arial" w:hAnsi="Arial" w:cs="Arial"/>
          <w:color w:val="000000"/>
        </w:rPr>
        <w:t>Que, siendo necesario establecer los lineamientos para la aplicación del Decreto Supremo Nº 054-2013-PCM en proyectos de Inversión del Subsector Electricidad y de conformidad con lo dispuesto en el artículo 63 del Reglamento de Organización y Funciones del Ministerio de Energía y Minas, aprobado mediante Decreto Supremo Nº 031-2007-EM;</w:t>
      </w:r>
    </w:p>
    <w:p w:rsidR="006312E8" w:rsidRPr="006312E8" w:rsidRDefault="006312E8" w:rsidP="006312E8">
      <w:pPr>
        <w:autoSpaceDE w:val="0"/>
        <w:autoSpaceDN w:val="0"/>
        <w:adjustRightInd w:val="0"/>
        <w:spacing w:after="0" w:line="240" w:lineRule="auto"/>
        <w:jc w:val="both"/>
        <w:rPr>
          <w:rFonts w:ascii="Arial" w:hAnsi="Arial" w:cs="Arial"/>
          <w:color w:val="000000"/>
        </w:rPr>
      </w:pPr>
    </w:p>
    <w:p w:rsidR="006312E8" w:rsidRPr="006312E8" w:rsidRDefault="006312E8" w:rsidP="006312E8">
      <w:pPr>
        <w:autoSpaceDE w:val="0"/>
        <w:autoSpaceDN w:val="0"/>
        <w:adjustRightInd w:val="0"/>
        <w:spacing w:after="0" w:line="240" w:lineRule="auto"/>
        <w:jc w:val="both"/>
        <w:rPr>
          <w:rFonts w:ascii="Arial" w:hAnsi="Arial" w:cs="Arial"/>
          <w:b/>
          <w:color w:val="000000"/>
        </w:rPr>
      </w:pPr>
      <w:r w:rsidRPr="006312E8">
        <w:rPr>
          <w:rFonts w:ascii="Arial" w:hAnsi="Arial" w:cs="Arial"/>
          <w:b/>
          <w:color w:val="000000"/>
        </w:rPr>
        <w:t>SE RESUELVE:</w:t>
      </w:r>
    </w:p>
    <w:p w:rsidR="006312E8" w:rsidRPr="006312E8" w:rsidRDefault="006312E8" w:rsidP="006312E8">
      <w:pPr>
        <w:autoSpaceDE w:val="0"/>
        <w:autoSpaceDN w:val="0"/>
        <w:adjustRightInd w:val="0"/>
        <w:spacing w:after="0" w:line="240" w:lineRule="auto"/>
        <w:jc w:val="both"/>
        <w:rPr>
          <w:rFonts w:ascii="Arial" w:hAnsi="Arial" w:cs="Arial"/>
          <w:color w:val="000000"/>
        </w:rPr>
      </w:pPr>
      <w:r w:rsidRPr="006312E8">
        <w:rPr>
          <w:rFonts w:ascii="Arial" w:hAnsi="Arial" w:cs="Arial"/>
          <w:b/>
          <w:bCs/>
          <w:color w:val="000000"/>
        </w:rPr>
        <w:t xml:space="preserve">Artículo 1.- </w:t>
      </w:r>
      <w:r w:rsidRPr="006312E8">
        <w:rPr>
          <w:rFonts w:ascii="Arial" w:hAnsi="Arial" w:cs="Arial"/>
          <w:color w:val="000000"/>
        </w:rPr>
        <w:t>Aprobar el Anexo I referido a los Lineamientos para la aplicación del Decreto Supremo Nº</w:t>
      </w:r>
    </w:p>
    <w:p w:rsidR="006312E8" w:rsidRPr="006312E8" w:rsidRDefault="006312E8" w:rsidP="006312E8">
      <w:pPr>
        <w:autoSpaceDE w:val="0"/>
        <w:autoSpaceDN w:val="0"/>
        <w:adjustRightInd w:val="0"/>
        <w:spacing w:after="0" w:line="240" w:lineRule="auto"/>
        <w:jc w:val="both"/>
        <w:rPr>
          <w:rFonts w:ascii="Arial" w:hAnsi="Arial" w:cs="Arial"/>
          <w:color w:val="000000"/>
        </w:rPr>
      </w:pPr>
      <w:r w:rsidRPr="006312E8">
        <w:rPr>
          <w:rFonts w:ascii="Arial" w:hAnsi="Arial" w:cs="Arial"/>
          <w:color w:val="000000"/>
        </w:rPr>
        <w:t>054-2013-PCM en proyectos de Inversión del Subsector Electricidad, el cual forma parte integrante de la presente Resolución Directoral.</w:t>
      </w:r>
    </w:p>
    <w:p w:rsidR="006312E8" w:rsidRPr="006312E8" w:rsidRDefault="006312E8" w:rsidP="006312E8">
      <w:pPr>
        <w:autoSpaceDE w:val="0"/>
        <w:autoSpaceDN w:val="0"/>
        <w:adjustRightInd w:val="0"/>
        <w:spacing w:after="0" w:line="240" w:lineRule="auto"/>
        <w:jc w:val="both"/>
        <w:rPr>
          <w:rFonts w:ascii="Arial" w:hAnsi="Arial" w:cs="Arial"/>
          <w:color w:val="000000"/>
        </w:rPr>
      </w:pPr>
    </w:p>
    <w:p w:rsidR="006312E8" w:rsidRPr="006312E8" w:rsidRDefault="006312E8" w:rsidP="006312E8">
      <w:pPr>
        <w:autoSpaceDE w:val="0"/>
        <w:autoSpaceDN w:val="0"/>
        <w:adjustRightInd w:val="0"/>
        <w:spacing w:after="0" w:line="240" w:lineRule="auto"/>
        <w:jc w:val="both"/>
        <w:rPr>
          <w:rFonts w:ascii="Arial" w:hAnsi="Arial" w:cs="Arial"/>
          <w:color w:val="000000"/>
        </w:rPr>
      </w:pPr>
      <w:r w:rsidRPr="006312E8">
        <w:rPr>
          <w:rFonts w:ascii="Arial" w:hAnsi="Arial" w:cs="Arial"/>
          <w:b/>
          <w:bCs/>
          <w:color w:val="000000"/>
        </w:rPr>
        <w:t xml:space="preserve">Artículo 2.- </w:t>
      </w:r>
      <w:r w:rsidRPr="006312E8">
        <w:rPr>
          <w:rFonts w:ascii="Arial" w:hAnsi="Arial" w:cs="Arial"/>
          <w:color w:val="000000"/>
        </w:rPr>
        <w:t>La presente Resolución Directoral entrará en vigencia al día siguiente de su publicación en el diario oficial El Peruano, cuyo Anexo I será publicado en la página web del Ministerio de Energía y Minas.</w:t>
      </w:r>
    </w:p>
    <w:p w:rsidR="006312E8" w:rsidRPr="006312E8" w:rsidRDefault="006312E8" w:rsidP="006312E8">
      <w:pPr>
        <w:autoSpaceDE w:val="0"/>
        <w:autoSpaceDN w:val="0"/>
        <w:adjustRightInd w:val="0"/>
        <w:spacing w:after="0" w:line="240" w:lineRule="auto"/>
        <w:jc w:val="both"/>
        <w:rPr>
          <w:rFonts w:ascii="Arial" w:hAnsi="Arial" w:cs="Arial"/>
          <w:color w:val="000000"/>
        </w:rPr>
      </w:pPr>
    </w:p>
    <w:p w:rsidR="006312E8" w:rsidRPr="006312E8" w:rsidRDefault="006312E8" w:rsidP="006312E8">
      <w:pPr>
        <w:autoSpaceDE w:val="0"/>
        <w:autoSpaceDN w:val="0"/>
        <w:adjustRightInd w:val="0"/>
        <w:spacing w:after="0" w:line="240" w:lineRule="auto"/>
        <w:jc w:val="both"/>
        <w:rPr>
          <w:rFonts w:ascii="Arial" w:hAnsi="Arial" w:cs="Arial"/>
          <w:color w:val="000000"/>
        </w:rPr>
      </w:pPr>
      <w:r w:rsidRPr="006312E8">
        <w:rPr>
          <w:rFonts w:ascii="Arial" w:hAnsi="Arial" w:cs="Arial"/>
          <w:color w:val="000000"/>
        </w:rPr>
        <w:t>Regístrese y publíquese.</w:t>
      </w:r>
    </w:p>
    <w:p w:rsidR="006312E8" w:rsidRPr="006312E8" w:rsidRDefault="006312E8" w:rsidP="006312E8">
      <w:pPr>
        <w:autoSpaceDE w:val="0"/>
        <w:autoSpaceDN w:val="0"/>
        <w:adjustRightInd w:val="0"/>
        <w:spacing w:after="0" w:line="240" w:lineRule="auto"/>
        <w:jc w:val="both"/>
        <w:rPr>
          <w:rFonts w:ascii="Arial" w:hAnsi="Arial" w:cs="Arial"/>
          <w:color w:val="000000"/>
        </w:rPr>
      </w:pPr>
    </w:p>
    <w:p w:rsidR="006312E8" w:rsidRPr="006312E8" w:rsidRDefault="006312E8" w:rsidP="006312E8">
      <w:pPr>
        <w:autoSpaceDE w:val="0"/>
        <w:autoSpaceDN w:val="0"/>
        <w:adjustRightInd w:val="0"/>
        <w:spacing w:after="0" w:line="240" w:lineRule="auto"/>
        <w:jc w:val="both"/>
        <w:rPr>
          <w:rFonts w:ascii="Arial" w:hAnsi="Arial" w:cs="Arial"/>
          <w:b/>
          <w:color w:val="000000"/>
        </w:rPr>
      </w:pPr>
      <w:r w:rsidRPr="006312E8">
        <w:rPr>
          <w:rFonts w:ascii="Arial" w:hAnsi="Arial" w:cs="Arial"/>
          <w:b/>
          <w:color w:val="000000"/>
        </w:rPr>
        <w:t>LUIS A. NICHO DÍAZ</w:t>
      </w:r>
    </w:p>
    <w:p w:rsidR="006312E8" w:rsidRPr="006312E8" w:rsidRDefault="006312E8" w:rsidP="006312E8">
      <w:pPr>
        <w:autoSpaceDE w:val="0"/>
        <w:autoSpaceDN w:val="0"/>
        <w:adjustRightInd w:val="0"/>
        <w:spacing w:after="0" w:line="240" w:lineRule="auto"/>
        <w:jc w:val="both"/>
        <w:rPr>
          <w:rFonts w:ascii="Arial" w:hAnsi="Arial" w:cs="Arial"/>
          <w:color w:val="000000"/>
        </w:rPr>
      </w:pPr>
      <w:r w:rsidRPr="006312E8">
        <w:rPr>
          <w:rFonts w:ascii="Arial" w:hAnsi="Arial" w:cs="Arial"/>
          <w:color w:val="000000"/>
        </w:rPr>
        <w:t>Director General</w:t>
      </w:r>
    </w:p>
    <w:p w:rsidR="006312E8" w:rsidRPr="006312E8" w:rsidRDefault="006312E8" w:rsidP="006312E8">
      <w:pPr>
        <w:autoSpaceDE w:val="0"/>
        <w:autoSpaceDN w:val="0"/>
        <w:adjustRightInd w:val="0"/>
        <w:spacing w:after="0" w:line="240" w:lineRule="auto"/>
        <w:jc w:val="both"/>
        <w:rPr>
          <w:rFonts w:ascii="Arial" w:hAnsi="Arial" w:cs="Arial"/>
          <w:color w:val="000000"/>
        </w:rPr>
      </w:pPr>
      <w:r w:rsidRPr="006312E8">
        <w:rPr>
          <w:rFonts w:ascii="Arial" w:hAnsi="Arial" w:cs="Arial"/>
          <w:color w:val="000000"/>
        </w:rPr>
        <w:t>Dirección General de Electricidad</w:t>
      </w:r>
    </w:p>
    <w:p w:rsidR="006312E8" w:rsidRPr="006312E8" w:rsidRDefault="006312E8" w:rsidP="006312E8">
      <w:pPr>
        <w:spacing w:after="0" w:line="240" w:lineRule="auto"/>
        <w:contextualSpacing/>
        <w:jc w:val="both"/>
        <w:rPr>
          <w:rFonts w:ascii="Arial" w:hAnsi="Arial" w:cs="Arial"/>
          <w:b/>
          <w:bCs/>
          <w:color w:val="FFFFFF"/>
        </w:rPr>
      </w:pPr>
      <w:r w:rsidRPr="006312E8">
        <w:rPr>
          <w:rFonts w:ascii="Arial" w:hAnsi="Arial" w:cs="Arial"/>
          <w:b/>
          <w:bCs/>
          <w:color w:val="FFFFFF"/>
        </w:rPr>
        <w:t>INTE</w:t>
      </w:r>
    </w:p>
    <w:p w:rsidR="006312E8" w:rsidRPr="006312E8" w:rsidRDefault="006312E8" w:rsidP="006312E8">
      <w:pPr>
        <w:spacing w:after="0" w:line="240" w:lineRule="auto"/>
        <w:contextualSpacing/>
        <w:jc w:val="both"/>
        <w:rPr>
          <w:rFonts w:ascii="Arial" w:hAnsi="Arial" w:cs="Arial"/>
          <w:b/>
          <w:bCs/>
          <w:color w:val="FFFFFF"/>
        </w:rPr>
      </w:pPr>
    </w:p>
    <w:p w:rsidR="006312E8" w:rsidRPr="006312E8" w:rsidRDefault="006312E8" w:rsidP="006312E8">
      <w:pPr>
        <w:autoSpaceDE w:val="0"/>
        <w:autoSpaceDN w:val="0"/>
        <w:adjustRightInd w:val="0"/>
        <w:spacing w:after="0" w:line="240" w:lineRule="auto"/>
        <w:jc w:val="center"/>
        <w:rPr>
          <w:rFonts w:ascii="Arial" w:hAnsi="Arial" w:cs="Arial"/>
          <w:b/>
          <w:bCs/>
        </w:rPr>
      </w:pPr>
      <w:r w:rsidRPr="006312E8">
        <w:rPr>
          <w:rFonts w:ascii="Arial" w:hAnsi="Arial" w:cs="Arial"/>
          <w:b/>
          <w:bCs/>
        </w:rPr>
        <w:t>ANEXO I</w:t>
      </w:r>
    </w:p>
    <w:p w:rsidR="006312E8" w:rsidRPr="006312E8" w:rsidRDefault="006312E8" w:rsidP="006312E8">
      <w:pPr>
        <w:autoSpaceDE w:val="0"/>
        <w:autoSpaceDN w:val="0"/>
        <w:adjustRightInd w:val="0"/>
        <w:spacing w:after="0" w:line="240" w:lineRule="auto"/>
        <w:jc w:val="center"/>
        <w:rPr>
          <w:rFonts w:ascii="Arial" w:hAnsi="Arial" w:cs="Arial"/>
          <w:b/>
          <w:bCs/>
        </w:rPr>
      </w:pPr>
      <w:r w:rsidRPr="006312E8">
        <w:rPr>
          <w:rFonts w:ascii="Arial" w:hAnsi="Arial" w:cs="Arial"/>
          <w:b/>
          <w:bCs/>
        </w:rPr>
        <w:t>LINEAMIENTOS PARA LA APLICACIÓN DEL DECRETO SUPREMO N° 054-2013-PCM EN</w:t>
      </w:r>
    </w:p>
    <w:p w:rsidR="006312E8" w:rsidRPr="006312E8" w:rsidRDefault="006312E8" w:rsidP="006312E8">
      <w:pPr>
        <w:autoSpaceDE w:val="0"/>
        <w:autoSpaceDN w:val="0"/>
        <w:adjustRightInd w:val="0"/>
        <w:spacing w:after="0" w:line="240" w:lineRule="auto"/>
        <w:jc w:val="center"/>
        <w:rPr>
          <w:rFonts w:ascii="Arial" w:hAnsi="Arial" w:cs="Arial"/>
          <w:b/>
          <w:bCs/>
        </w:rPr>
      </w:pPr>
      <w:r w:rsidRPr="006312E8">
        <w:rPr>
          <w:rFonts w:ascii="Arial" w:hAnsi="Arial" w:cs="Arial"/>
          <w:b/>
          <w:bCs/>
        </w:rPr>
        <w:t>PROYECTOS DE INVERSIÓN DEL SUBSECTOR ELECTRICIDAD</w:t>
      </w:r>
    </w:p>
    <w:p w:rsidR="006312E8" w:rsidRPr="006312E8" w:rsidRDefault="006312E8" w:rsidP="006312E8">
      <w:pPr>
        <w:autoSpaceDE w:val="0"/>
        <w:autoSpaceDN w:val="0"/>
        <w:adjustRightInd w:val="0"/>
        <w:spacing w:after="0" w:line="240" w:lineRule="auto"/>
        <w:rPr>
          <w:rFonts w:ascii="Arial" w:hAnsi="Arial" w:cs="Arial"/>
          <w:b/>
          <w:bCs/>
        </w:rPr>
      </w:pPr>
    </w:p>
    <w:p w:rsidR="006312E8" w:rsidRPr="006312E8" w:rsidRDefault="006312E8" w:rsidP="006312E8">
      <w:pPr>
        <w:autoSpaceDE w:val="0"/>
        <w:autoSpaceDN w:val="0"/>
        <w:adjustRightInd w:val="0"/>
        <w:spacing w:after="0" w:line="240" w:lineRule="auto"/>
        <w:rPr>
          <w:rFonts w:ascii="Arial" w:hAnsi="Arial" w:cs="Arial"/>
          <w:b/>
          <w:bCs/>
        </w:rPr>
      </w:pPr>
      <w:r w:rsidRPr="006312E8">
        <w:rPr>
          <w:rFonts w:ascii="Arial" w:hAnsi="Arial" w:cs="Arial"/>
          <w:b/>
          <w:bCs/>
        </w:rPr>
        <w:t>I.- ANTECEDENTES</w:t>
      </w:r>
    </w:p>
    <w:p w:rsidR="006312E8" w:rsidRPr="006312E8" w:rsidRDefault="006312E8" w:rsidP="006312E8">
      <w:pPr>
        <w:autoSpaceDE w:val="0"/>
        <w:autoSpaceDN w:val="0"/>
        <w:adjustRightInd w:val="0"/>
        <w:spacing w:after="0" w:line="240" w:lineRule="auto"/>
        <w:rPr>
          <w:rFonts w:ascii="Arial" w:hAnsi="Arial" w:cs="Arial"/>
        </w:rPr>
      </w:pPr>
    </w:p>
    <w:p w:rsidR="006312E8" w:rsidRPr="006312E8" w:rsidRDefault="006312E8" w:rsidP="0092471C">
      <w:pPr>
        <w:numPr>
          <w:ilvl w:val="1"/>
          <w:numId w:val="231"/>
        </w:numPr>
        <w:autoSpaceDE w:val="0"/>
        <w:autoSpaceDN w:val="0"/>
        <w:adjustRightInd w:val="0"/>
        <w:spacing w:after="0" w:line="240" w:lineRule="auto"/>
        <w:ind w:left="567"/>
        <w:contextualSpacing/>
        <w:jc w:val="both"/>
        <w:rPr>
          <w:rFonts w:ascii="Arial,Italic" w:hAnsi="Arial,Italic" w:cs="Arial,Italic"/>
          <w:i/>
          <w:iCs/>
        </w:rPr>
      </w:pPr>
      <w:r w:rsidRPr="006312E8">
        <w:rPr>
          <w:rFonts w:ascii="Arial" w:hAnsi="Arial" w:cs="Arial"/>
        </w:rPr>
        <w:t xml:space="preserve">Por Decreto Supremo N° 054-2013-PCM, publicado el 16 de mayo de 2013 en el Diario Oficial El Peruano, se aprobaron disposiciones especiales para la ejecución de procedimientos administrativos, regulándose en el artículo 6 del mismo, la servidumbre sobre los terrenos eriazos del Estado para proyectos de inversión, señalando: </w:t>
      </w:r>
      <w:r w:rsidRPr="006312E8">
        <w:rPr>
          <w:rFonts w:ascii="Arial" w:hAnsi="Arial" w:cs="Arial"/>
          <w:i/>
          <w:iCs/>
        </w:rPr>
        <w:t>"El titular</w:t>
      </w:r>
      <w:r w:rsidRPr="006312E8">
        <w:rPr>
          <w:rFonts w:ascii="Arial" w:hAnsi="Arial" w:cs="Arial"/>
        </w:rPr>
        <w:t xml:space="preserve"> </w:t>
      </w:r>
      <w:r w:rsidRPr="006312E8">
        <w:rPr>
          <w:rFonts w:ascii="Arial" w:hAnsi="Arial" w:cs="Arial"/>
          <w:i/>
          <w:iCs/>
        </w:rPr>
        <w:t>del proyecto de inversión solicitará el terreno necesario para el desarrollo del mismo a la</w:t>
      </w:r>
      <w:r w:rsidRPr="006312E8">
        <w:rPr>
          <w:rFonts w:ascii="Arial" w:hAnsi="Arial" w:cs="Arial"/>
        </w:rPr>
        <w:t xml:space="preserve"> </w:t>
      </w:r>
      <w:r w:rsidRPr="006312E8">
        <w:rPr>
          <w:rFonts w:ascii="Arial" w:hAnsi="Arial" w:cs="Arial"/>
          <w:i/>
          <w:iCs/>
        </w:rPr>
        <w:t>autoridad Sectorial, quien requerirá a la Superintendencia Nacional de Bienes Estatales</w:t>
      </w:r>
      <w:r w:rsidRPr="006312E8">
        <w:rPr>
          <w:rFonts w:ascii="Arial" w:hAnsi="Arial" w:cs="Arial"/>
        </w:rPr>
        <w:t xml:space="preserve"> </w:t>
      </w:r>
      <w:r w:rsidRPr="006312E8">
        <w:rPr>
          <w:rFonts w:ascii="Arial" w:hAnsi="Arial" w:cs="Arial"/>
          <w:i/>
          <w:iCs/>
        </w:rPr>
        <w:t>(SBN), el otorgamiento de servidumbres temporales o definitivas sobre predios estatales</w:t>
      </w:r>
      <w:r w:rsidRPr="006312E8">
        <w:rPr>
          <w:rFonts w:ascii="Arial" w:hAnsi="Arial" w:cs="Arial"/>
        </w:rPr>
        <w:t xml:space="preserve"> </w:t>
      </w:r>
      <w:r w:rsidRPr="006312E8">
        <w:rPr>
          <w:rFonts w:ascii="Arial,Italic" w:hAnsi="Arial,Italic" w:cs="Arial,Italic"/>
          <w:i/>
          <w:iCs/>
        </w:rPr>
        <w:t>inscritos o no en el Registro de Predios...’’.</w:t>
      </w:r>
    </w:p>
    <w:p w:rsidR="006312E8" w:rsidRPr="006312E8" w:rsidRDefault="006312E8" w:rsidP="006312E8">
      <w:pPr>
        <w:autoSpaceDE w:val="0"/>
        <w:autoSpaceDN w:val="0"/>
        <w:adjustRightInd w:val="0"/>
        <w:spacing w:after="0" w:line="240" w:lineRule="auto"/>
        <w:ind w:left="567"/>
        <w:contextualSpacing/>
        <w:jc w:val="both"/>
        <w:rPr>
          <w:rFonts w:ascii="Arial,Italic" w:hAnsi="Arial,Italic" w:cs="Arial,Italic"/>
          <w:i/>
          <w:iCs/>
        </w:rPr>
      </w:pPr>
    </w:p>
    <w:p w:rsidR="006312E8" w:rsidRPr="006312E8" w:rsidRDefault="006312E8" w:rsidP="0092471C">
      <w:pPr>
        <w:numPr>
          <w:ilvl w:val="1"/>
          <w:numId w:val="231"/>
        </w:numPr>
        <w:autoSpaceDE w:val="0"/>
        <w:autoSpaceDN w:val="0"/>
        <w:adjustRightInd w:val="0"/>
        <w:spacing w:after="0" w:line="240" w:lineRule="auto"/>
        <w:ind w:left="567"/>
        <w:contextualSpacing/>
        <w:jc w:val="both"/>
        <w:rPr>
          <w:rFonts w:ascii="Arial,Italic" w:hAnsi="Arial,Italic" w:cs="Arial,Italic"/>
          <w:i/>
          <w:iCs/>
        </w:rPr>
      </w:pPr>
      <w:r w:rsidRPr="006312E8">
        <w:rPr>
          <w:rFonts w:ascii="Arial" w:hAnsi="Arial" w:cs="Arial"/>
        </w:rPr>
        <w:t xml:space="preserve">Mediante Decreto Supremo N° 060-2013-PCM, publicado el 25 de mayo de 2013 en el Diario Oficial El Peruano, se aprobaron disposiciones especiales para agilizar la ejecución de procedimientos administrativos y otras medidas para impulsar proyectos de inversión, señalando en su Tercera Disposición Complementaria Final, que se deberá entender: </w:t>
      </w:r>
      <w:r w:rsidRPr="006312E8">
        <w:rPr>
          <w:rFonts w:ascii="Arial" w:hAnsi="Arial" w:cs="Arial"/>
          <w:i/>
          <w:iCs/>
        </w:rPr>
        <w:t>"...que lo dispuesto en el artículo 6º del Decreto Supremo N° 054-2013-PCM incluye el desarrollo de proyectos de inversión públicos y privados en general...".</w:t>
      </w:r>
    </w:p>
    <w:p w:rsidR="006312E8" w:rsidRPr="006312E8" w:rsidRDefault="006312E8" w:rsidP="006312E8">
      <w:pPr>
        <w:spacing w:after="200" w:line="276" w:lineRule="auto"/>
        <w:ind w:left="720"/>
        <w:contextualSpacing/>
        <w:rPr>
          <w:rFonts w:ascii="Arial,Italic" w:hAnsi="Arial,Italic" w:cs="Arial,Italic"/>
          <w:i/>
          <w:iCs/>
        </w:rPr>
      </w:pPr>
    </w:p>
    <w:p w:rsidR="006312E8" w:rsidRPr="006312E8" w:rsidRDefault="006312E8" w:rsidP="0092471C">
      <w:pPr>
        <w:numPr>
          <w:ilvl w:val="1"/>
          <w:numId w:val="231"/>
        </w:numPr>
        <w:autoSpaceDE w:val="0"/>
        <w:autoSpaceDN w:val="0"/>
        <w:adjustRightInd w:val="0"/>
        <w:spacing w:after="0" w:line="240" w:lineRule="auto"/>
        <w:ind w:left="567"/>
        <w:contextualSpacing/>
        <w:jc w:val="both"/>
        <w:rPr>
          <w:rFonts w:ascii="Arial,Italic" w:hAnsi="Arial,Italic" w:cs="Arial,Italic"/>
          <w:i/>
          <w:iCs/>
        </w:rPr>
      </w:pPr>
      <w:r w:rsidRPr="006312E8">
        <w:rPr>
          <w:rFonts w:ascii="Arial" w:hAnsi="Arial" w:cs="Arial"/>
        </w:rPr>
        <w:t>Mediante los Oficios N° 4174-2014/SBN-DGPE-SADAPE y N° 4280-2014/SBN-DGPESDAPE, ingresados a este ministerio con Registros N° 2445437 y N° 2447385 el 4 y 10 de noviembre de 2014, respectivamente, el Subdirector de Administración del Patrimonio Estatal de la SBN, solicitó que se precise la información para la imposición de servidumbre sobre predios del Estado en mérito al Decreto Supremo N° 054-2013-PCM.</w:t>
      </w:r>
    </w:p>
    <w:p w:rsidR="006312E8" w:rsidRPr="006312E8" w:rsidRDefault="006312E8" w:rsidP="006312E8">
      <w:pPr>
        <w:autoSpaceDE w:val="0"/>
        <w:autoSpaceDN w:val="0"/>
        <w:adjustRightInd w:val="0"/>
        <w:spacing w:after="0" w:line="240" w:lineRule="auto"/>
        <w:rPr>
          <w:rFonts w:ascii="Arial" w:hAnsi="Arial" w:cs="Arial"/>
          <w:b/>
          <w:bCs/>
        </w:rPr>
      </w:pPr>
    </w:p>
    <w:p w:rsidR="006312E8" w:rsidRPr="006312E8" w:rsidRDefault="006312E8" w:rsidP="006312E8">
      <w:pPr>
        <w:autoSpaceDE w:val="0"/>
        <w:autoSpaceDN w:val="0"/>
        <w:adjustRightInd w:val="0"/>
        <w:spacing w:after="0" w:line="240" w:lineRule="auto"/>
        <w:rPr>
          <w:rFonts w:ascii="Arial" w:hAnsi="Arial" w:cs="Arial"/>
          <w:b/>
          <w:bCs/>
        </w:rPr>
      </w:pPr>
      <w:r w:rsidRPr="006312E8">
        <w:rPr>
          <w:rFonts w:ascii="Arial" w:hAnsi="Arial" w:cs="Arial"/>
          <w:b/>
          <w:bCs/>
        </w:rPr>
        <w:t>II.- TIPOS DE AUTORIZACIONES Y DERECHOS ELÉCTRICOS DEL SUBSECTOR ELECTRICIDAD</w:t>
      </w:r>
    </w:p>
    <w:p w:rsidR="006312E8" w:rsidRPr="006312E8" w:rsidRDefault="006312E8" w:rsidP="006312E8">
      <w:pPr>
        <w:autoSpaceDE w:val="0"/>
        <w:autoSpaceDN w:val="0"/>
        <w:adjustRightInd w:val="0"/>
        <w:spacing w:after="0" w:line="240" w:lineRule="auto"/>
        <w:rPr>
          <w:rFonts w:ascii="Arial" w:hAnsi="Arial" w:cs="Arial"/>
        </w:rPr>
      </w:pPr>
    </w:p>
    <w:p w:rsidR="006312E8" w:rsidRPr="006312E8" w:rsidRDefault="006312E8" w:rsidP="006312E8">
      <w:pPr>
        <w:autoSpaceDE w:val="0"/>
        <w:autoSpaceDN w:val="0"/>
        <w:adjustRightInd w:val="0"/>
        <w:spacing w:after="0" w:line="240" w:lineRule="auto"/>
        <w:ind w:left="284"/>
        <w:rPr>
          <w:rFonts w:ascii="Arial" w:hAnsi="Arial" w:cs="Arial"/>
        </w:rPr>
      </w:pPr>
      <w:r w:rsidRPr="006312E8">
        <w:rPr>
          <w:rFonts w:ascii="Arial" w:hAnsi="Arial" w:cs="Arial"/>
        </w:rPr>
        <w:t>Los tipos de autorizaciones y derechos eléctricos del Subsector Electricidad, establecidos en la Ley de Concesiones Eléctricas y su Reglamento, son los siguientes:</w:t>
      </w:r>
    </w:p>
    <w:p w:rsidR="006312E8" w:rsidRPr="006312E8" w:rsidRDefault="006312E8" w:rsidP="006312E8">
      <w:pPr>
        <w:autoSpaceDE w:val="0"/>
        <w:autoSpaceDN w:val="0"/>
        <w:adjustRightInd w:val="0"/>
        <w:spacing w:after="0" w:line="240" w:lineRule="auto"/>
        <w:rPr>
          <w:rFonts w:ascii="Arial" w:hAnsi="Arial" w:cs="Arial"/>
        </w:rPr>
      </w:pPr>
    </w:p>
    <w:p w:rsidR="006312E8" w:rsidRPr="006312E8" w:rsidRDefault="006312E8" w:rsidP="006312E8">
      <w:pPr>
        <w:autoSpaceDE w:val="0"/>
        <w:autoSpaceDN w:val="0"/>
        <w:adjustRightInd w:val="0"/>
        <w:spacing w:after="0" w:line="240" w:lineRule="auto"/>
        <w:ind w:left="284"/>
        <w:rPr>
          <w:rFonts w:ascii="Arial" w:hAnsi="Arial" w:cs="Arial"/>
          <w:b/>
          <w:bCs/>
        </w:rPr>
      </w:pPr>
      <w:r w:rsidRPr="006312E8">
        <w:rPr>
          <w:rFonts w:ascii="Arial" w:hAnsi="Arial" w:cs="Arial"/>
          <w:b/>
        </w:rPr>
        <w:t>2.1</w:t>
      </w:r>
      <w:r w:rsidRPr="006312E8">
        <w:rPr>
          <w:rFonts w:ascii="Arial" w:hAnsi="Arial" w:cs="Arial"/>
        </w:rPr>
        <w:t xml:space="preserve"> </w:t>
      </w:r>
      <w:r w:rsidRPr="006312E8">
        <w:rPr>
          <w:rFonts w:ascii="Arial" w:hAnsi="Arial" w:cs="Arial"/>
          <w:b/>
          <w:bCs/>
          <w:u w:val="single"/>
        </w:rPr>
        <w:t>Concesión Temporal</w:t>
      </w:r>
      <w:r w:rsidRPr="006312E8">
        <w:rPr>
          <w:rFonts w:ascii="Arial" w:hAnsi="Arial" w:cs="Arial"/>
          <w:b/>
          <w:bCs/>
        </w:rPr>
        <w:t>:</w:t>
      </w:r>
    </w:p>
    <w:p w:rsidR="006312E8" w:rsidRPr="006312E8" w:rsidRDefault="006312E8" w:rsidP="006312E8">
      <w:pPr>
        <w:autoSpaceDE w:val="0"/>
        <w:autoSpaceDN w:val="0"/>
        <w:adjustRightInd w:val="0"/>
        <w:spacing w:after="0" w:line="240" w:lineRule="auto"/>
        <w:rPr>
          <w:rFonts w:ascii="Arial" w:hAnsi="Arial" w:cs="Arial"/>
        </w:rPr>
      </w:pPr>
    </w:p>
    <w:p w:rsidR="006312E8" w:rsidRPr="006312E8" w:rsidRDefault="006312E8" w:rsidP="006312E8">
      <w:pPr>
        <w:autoSpaceDE w:val="0"/>
        <w:autoSpaceDN w:val="0"/>
        <w:adjustRightInd w:val="0"/>
        <w:spacing w:after="0" w:line="240" w:lineRule="auto"/>
        <w:ind w:left="709"/>
        <w:jc w:val="both"/>
        <w:rPr>
          <w:rFonts w:ascii="Arial" w:hAnsi="Arial" w:cs="Arial"/>
        </w:rPr>
      </w:pPr>
      <w:r w:rsidRPr="006312E8">
        <w:rPr>
          <w:rFonts w:ascii="Arial" w:hAnsi="Arial" w:cs="Arial"/>
        </w:rPr>
        <w:t>De acuerdo al artículo 22 del Decreto Ley N° 25844, Ley de Concesiones Eléctricas (LCE), la concesión temporal se otorga para la realización de estudios de factibilidad. El titular asume la obligación de realizar estudios de factibilidad relacionados con las actividades de generación y transmisión; específicamente, la de realizar estudios de centrales de generación, subestaciones o líneas de transmisión, cumpliendo un cronograma de estudios. El plazo de vigencia de la concesión temporal es de dos (2) años, pudiendo extenderse una (1) sola vez, hasta por un (1) año adicional por razones de caso fortuito o fuerza mayor, según lo establecido en el artículo 23 de la LCE.</w:t>
      </w:r>
    </w:p>
    <w:p w:rsidR="006312E8" w:rsidRPr="006312E8" w:rsidRDefault="006312E8" w:rsidP="006312E8">
      <w:pPr>
        <w:autoSpaceDE w:val="0"/>
        <w:autoSpaceDN w:val="0"/>
        <w:adjustRightInd w:val="0"/>
        <w:spacing w:after="0" w:line="240" w:lineRule="auto"/>
        <w:rPr>
          <w:rFonts w:ascii="Arial" w:hAnsi="Arial" w:cs="Arial"/>
        </w:rPr>
      </w:pPr>
    </w:p>
    <w:p w:rsidR="006312E8" w:rsidRPr="006312E8" w:rsidRDefault="006312E8" w:rsidP="0092471C">
      <w:pPr>
        <w:numPr>
          <w:ilvl w:val="1"/>
          <w:numId w:val="152"/>
        </w:numPr>
        <w:tabs>
          <w:tab w:val="num" w:pos="567"/>
        </w:tabs>
        <w:autoSpaceDE w:val="0"/>
        <w:autoSpaceDN w:val="0"/>
        <w:adjustRightInd w:val="0"/>
        <w:spacing w:after="0" w:line="240" w:lineRule="auto"/>
        <w:ind w:left="567" w:hanging="283"/>
        <w:contextualSpacing/>
        <w:rPr>
          <w:rFonts w:ascii="Arial" w:hAnsi="Arial" w:cs="Arial"/>
          <w:b/>
          <w:bCs/>
        </w:rPr>
      </w:pPr>
      <w:r w:rsidRPr="006312E8">
        <w:rPr>
          <w:rFonts w:ascii="Arial" w:hAnsi="Arial" w:cs="Arial"/>
          <w:b/>
          <w:bCs/>
        </w:rPr>
        <w:t xml:space="preserve"> </w:t>
      </w:r>
      <w:r w:rsidRPr="006312E8">
        <w:rPr>
          <w:rFonts w:ascii="Arial" w:hAnsi="Arial" w:cs="Arial"/>
          <w:b/>
          <w:bCs/>
          <w:u w:val="single"/>
        </w:rPr>
        <w:t>Concesión Definitiva</w:t>
      </w:r>
      <w:r w:rsidRPr="006312E8">
        <w:rPr>
          <w:rFonts w:ascii="Arial" w:hAnsi="Arial" w:cs="Arial"/>
          <w:b/>
          <w:bCs/>
        </w:rPr>
        <w:t>:</w:t>
      </w:r>
    </w:p>
    <w:p w:rsidR="006312E8" w:rsidRPr="006312E8" w:rsidRDefault="006312E8" w:rsidP="006312E8">
      <w:pPr>
        <w:autoSpaceDE w:val="0"/>
        <w:autoSpaceDN w:val="0"/>
        <w:adjustRightInd w:val="0"/>
        <w:spacing w:after="0" w:line="240" w:lineRule="auto"/>
        <w:ind w:left="720"/>
        <w:contextualSpacing/>
        <w:rPr>
          <w:rFonts w:ascii="Arial" w:hAnsi="Arial" w:cs="Arial"/>
          <w:b/>
          <w:bCs/>
        </w:rPr>
      </w:pPr>
    </w:p>
    <w:p w:rsidR="006312E8" w:rsidRPr="006312E8" w:rsidRDefault="006312E8" w:rsidP="006312E8">
      <w:pPr>
        <w:autoSpaceDE w:val="0"/>
        <w:autoSpaceDN w:val="0"/>
        <w:adjustRightInd w:val="0"/>
        <w:spacing w:after="0" w:line="240" w:lineRule="auto"/>
        <w:ind w:left="709"/>
        <w:jc w:val="both"/>
        <w:rPr>
          <w:rFonts w:ascii="Arial" w:hAnsi="Arial" w:cs="Arial"/>
          <w:b/>
          <w:bCs/>
          <w:color w:val="FFFFFF"/>
        </w:rPr>
      </w:pPr>
      <w:r w:rsidRPr="006312E8">
        <w:rPr>
          <w:rFonts w:ascii="Arial" w:hAnsi="Arial" w:cs="Arial"/>
        </w:rPr>
        <w:t>De acuerdo al artículo 3 de la LCE, se requiere concesión definitiva para el desarrollo de cada una de las siguientes actividades:</w:t>
      </w:r>
      <w:r w:rsidRPr="006312E8">
        <w:rPr>
          <w:rFonts w:ascii="Arial" w:hAnsi="Arial" w:cs="Arial"/>
          <w:b/>
          <w:bCs/>
          <w:color w:val="FFFFFF"/>
        </w:rPr>
        <w:t xml:space="preserve"> R</w:t>
      </w:r>
    </w:p>
    <w:p w:rsidR="006312E8" w:rsidRPr="006312E8" w:rsidRDefault="006312E8" w:rsidP="006312E8">
      <w:pPr>
        <w:autoSpaceDE w:val="0"/>
        <w:autoSpaceDN w:val="0"/>
        <w:adjustRightInd w:val="0"/>
        <w:spacing w:after="0" w:line="240" w:lineRule="auto"/>
        <w:ind w:left="709"/>
        <w:jc w:val="both"/>
        <w:rPr>
          <w:rFonts w:ascii="Arial" w:hAnsi="Arial" w:cs="Arial"/>
          <w:b/>
          <w:bCs/>
          <w:color w:val="FFFFFF"/>
        </w:rPr>
      </w:pPr>
    </w:p>
    <w:p w:rsidR="006312E8" w:rsidRDefault="006312E8" w:rsidP="0092471C">
      <w:pPr>
        <w:pStyle w:val="Prrafodelista"/>
        <w:numPr>
          <w:ilvl w:val="2"/>
          <w:numId w:val="210"/>
        </w:numPr>
        <w:autoSpaceDE w:val="0"/>
        <w:autoSpaceDN w:val="0"/>
        <w:adjustRightInd w:val="0"/>
        <w:spacing w:after="0" w:line="240" w:lineRule="auto"/>
        <w:ind w:left="1134"/>
        <w:jc w:val="both"/>
        <w:rPr>
          <w:rFonts w:ascii="Arial" w:hAnsi="Arial" w:cs="Arial"/>
        </w:rPr>
      </w:pPr>
      <w:r w:rsidRPr="00B02770">
        <w:rPr>
          <w:rFonts w:ascii="Arial" w:hAnsi="Arial" w:cs="Arial"/>
        </w:rPr>
        <w:t>La generación de energía eléctrica que utilice recursos hidráulicos, con potencia instalada mayor de 500 kW;</w:t>
      </w:r>
    </w:p>
    <w:p w:rsidR="006312E8" w:rsidRPr="00B02770" w:rsidRDefault="006312E8" w:rsidP="0092471C">
      <w:pPr>
        <w:pStyle w:val="Prrafodelista"/>
        <w:numPr>
          <w:ilvl w:val="2"/>
          <w:numId w:val="210"/>
        </w:numPr>
        <w:autoSpaceDE w:val="0"/>
        <w:autoSpaceDN w:val="0"/>
        <w:adjustRightInd w:val="0"/>
        <w:spacing w:after="0" w:line="240" w:lineRule="auto"/>
        <w:ind w:left="1134"/>
        <w:jc w:val="both"/>
        <w:rPr>
          <w:rFonts w:ascii="Arial" w:hAnsi="Arial" w:cs="Arial"/>
        </w:rPr>
      </w:pPr>
      <w:r w:rsidRPr="00B02770">
        <w:rPr>
          <w:rFonts w:ascii="Arial" w:hAnsi="Arial" w:cs="Arial"/>
        </w:rPr>
        <w:t>La transmisión de energía eléctrica, cuando las instalaciones afecten bienes del Estado y/o requieran la imposición de servidumbre por parte de éste;</w:t>
      </w:r>
    </w:p>
    <w:p w:rsidR="006312E8" w:rsidRPr="006312E8" w:rsidRDefault="006312E8" w:rsidP="00B02770">
      <w:pPr>
        <w:numPr>
          <w:ilvl w:val="2"/>
          <w:numId w:val="49"/>
        </w:numPr>
        <w:autoSpaceDE w:val="0"/>
        <w:autoSpaceDN w:val="0"/>
        <w:adjustRightInd w:val="0"/>
        <w:spacing w:after="0" w:line="240" w:lineRule="auto"/>
        <w:ind w:left="1134"/>
        <w:contextualSpacing/>
        <w:jc w:val="both"/>
        <w:rPr>
          <w:rFonts w:ascii="Arial" w:hAnsi="Arial" w:cs="Arial"/>
        </w:rPr>
      </w:pPr>
      <w:r w:rsidRPr="006312E8">
        <w:rPr>
          <w:rFonts w:ascii="Arial" w:hAnsi="Arial" w:cs="Arial"/>
        </w:rPr>
        <w:t>La distribución de energía eléctrica con carácter de Servicio Público de Electricidad, cuando la demanda supere los 500 kW; y,</w:t>
      </w:r>
    </w:p>
    <w:p w:rsidR="006312E8" w:rsidRPr="006312E8" w:rsidRDefault="006312E8" w:rsidP="00B02770">
      <w:pPr>
        <w:numPr>
          <w:ilvl w:val="2"/>
          <w:numId w:val="49"/>
        </w:numPr>
        <w:autoSpaceDE w:val="0"/>
        <w:autoSpaceDN w:val="0"/>
        <w:adjustRightInd w:val="0"/>
        <w:spacing w:after="0" w:line="240" w:lineRule="auto"/>
        <w:ind w:left="1134"/>
        <w:contextualSpacing/>
        <w:jc w:val="both"/>
        <w:rPr>
          <w:rFonts w:ascii="Arial" w:hAnsi="Arial" w:cs="Arial"/>
        </w:rPr>
      </w:pPr>
      <w:r w:rsidRPr="006312E8">
        <w:rPr>
          <w:rFonts w:ascii="Arial" w:hAnsi="Arial" w:cs="Arial"/>
        </w:rPr>
        <w:t>La generación de energía eléctrica con recursos Energéticos Renovables conforme a la Ley de la materia, con potencia instalada mayor de 500 kW.</w:t>
      </w:r>
    </w:p>
    <w:p w:rsidR="006312E8" w:rsidRPr="006312E8" w:rsidRDefault="006312E8" w:rsidP="006312E8">
      <w:pPr>
        <w:autoSpaceDE w:val="0"/>
        <w:autoSpaceDN w:val="0"/>
        <w:adjustRightInd w:val="0"/>
        <w:spacing w:after="0" w:line="240" w:lineRule="auto"/>
        <w:rPr>
          <w:rFonts w:ascii="Arial" w:hAnsi="Arial" w:cs="Arial"/>
        </w:rPr>
      </w:pPr>
    </w:p>
    <w:p w:rsidR="006312E8" w:rsidRPr="006312E8" w:rsidRDefault="006312E8" w:rsidP="006312E8">
      <w:pPr>
        <w:autoSpaceDE w:val="0"/>
        <w:autoSpaceDN w:val="0"/>
        <w:adjustRightInd w:val="0"/>
        <w:spacing w:after="0" w:line="240" w:lineRule="auto"/>
        <w:ind w:left="851"/>
        <w:jc w:val="both"/>
        <w:rPr>
          <w:rFonts w:ascii="Arial" w:hAnsi="Arial" w:cs="Arial"/>
        </w:rPr>
      </w:pPr>
      <w:r w:rsidRPr="006312E8">
        <w:rPr>
          <w:rFonts w:ascii="Arial" w:hAnsi="Arial" w:cs="Arial"/>
        </w:rPr>
        <w:t>Se otorga por plazo indefinido para el desarrollo de las actividades eléctricas (generación, transmisión y distribución de electricidad).</w:t>
      </w:r>
    </w:p>
    <w:p w:rsidR="006312E8" w:rsidRPr="006312E8" w:rsidRDefault="006312E8" w:rsidP="006312E8">
      <w:pPr>
        <w:autoSpaceDE w:val="0"/>
        <w:autoSpaceDN w:val="0"/>
        <w:adjustRightInd w:val="0"/>
        <w:spacing w:after="0" w:line="240" w:lineRule="auto"/>
        <w:ind w:left="851"/>
        <w:jc w:val="both"/>
        <w:rPr>
          <w:rFonts w:ascii="Arial" w:hAnsi="Arial" w:cs="Arial"/>
        </w:rPr>
      </w:pPr>
    </w:p>
    <w:p w:rsidR="006312E8" w:rsidRPr="006312E8" w:rsidRDefault="006312E8" w:rsidP="006312E8">
      <w:pPr>
        <w:autoSpaceDE w:val="0"/>
        <w:autoSpaceDN w:val="0"/>
        <w:adjustRightInd w:val="0"/>
        <w:spacing w:after="0" w:line="240" w:lineRule="auto"/>
        <w:ind w:left="851"/>
        <w:jc w:val="both"/>
        <w:rPr>
          <w:rFonts w:ascii="Arial" w:hAnsi="Arial" w:cs="Arial"/>
        </w:rPr>
      </w:pPr>
      <w:r w:rsidRPr="006312E8">
        <w:rPr>
          <w:rFonts w:ascii="Arial" w:hAnsi="Arial" w:cs="Arial"/>
        </w:rPr>
        <w:t>La concesión definitiva permite utilizar bienes de uso público y el derecho de obtener la imposición de servidumbres para la construcción y operación de centrales de generación y obras conexas, subestaciones y líneas de transmisión así como también de redes y subestaciones de distribución para Servicio Público de Electricidad.</w:t>
      </w:r>
    </w:p>
    <w:p w:rsidR="006312E8" w:rsidRPr="006312E8" w:rsidRDefault="006312E8" w:rsidP="006312E8">
      <w:pPr>
        <w:autoSpaceDE w:val="0"/>
        <w:autoSpaceDN w:val="0"/>
        <w:adjustRightInd w:val="0"/>
        <w:spacing w:after="0" w:line="240" w:lineRule="auto"/>
        <w:rPr>
          <w:rFonts w:ascii="Arial" w:hAnsi="Arial" w:cs="Arial"/>
          <w:b/>
          <w:bCs/>
        </w:rPr>
      </w:pPr>
    </w:p>
    <w:p w:rsidR="006312E8" w:rsidRPr="006312E8" w:rsidRDefault="006312E8" w:rsidP="006312E8">
      <w:pPr>
        <w:autoSpaceDE w:val="0"/>
        <w:autoSpaceDN w:val="0"/>
        <w:adjustRightInd w:val="0"/>
        <w:spacing w:after="0" w:line="240" w:lineRule="auto"/>
        <w:ind w:left="284"/>
        <w:rPr>
          <w:rFonts w:ascii="Arial" w:hAnsi="Arial" w:cs="Arial"/>
          <w:b/>
          <w:bCs/>
        </w:rPr>
      </w:pPr>
      <w:r w:rsidRPr="006312E8">
        <w:rPr>
          <w:rFonts w:ascii="Arial" w:hAnsi="Arial" w:cs="Arial"/>
          <w:b/>
          <w:bCs/>
        </w:rPr>
        <w:t xml:space="preserve">2.3 </w:t>
      </w:r>
      <w:r w:rsidRPr="006312E8">
        <w:rPr>
          <w:rFonts w:ascii="Arial" w:hAnsi="Arial" w:cs="Arial"/>
          <w:b/>
          <w:bCs/>
          <w:u w:val="single"/>
        </w:rPr>
        <w:t>Autorización</w:t>
      </w:r>
      <w:r w:rsidRPr="006312E8">
        <w:rPr>
          <w:rFonts w:ascii="Arial" w:hAnsi="Arial" w:cs="Arial"/>
          <w:b/>
          <w:bCs/>
        </w:rPr>
        <w:t>:</w:t>
      </w:r>
    </w:p>
    <w:p w:rsidR="006312E8" w:rsidRPr="006312E8" w:rsidRDefault="006312E8" w:rsidP="006312E8">
      <w:pPr>
        <w:autoSpaceDE w:val="0"/>
        <w:autoSpaceDN w:val="0"/>
        <w:adjustRightInd w:val="0"/>
        <w:spacing w:after="0" w:line="240" w:lineRule="auto"/>
        <w:rPr>
          <w:rFonts w:ascii="Arial" w:hAnsi="Arial" w:cs="Arial"/>
        </w:rPr>
      </w:pPr>
    </w:p>
    <w:p w:rsidR="006312E8" w:rsidRPr="006312E8" w:rsidRDefault="006312E8" w:rsidP="006312E8">
      <w:pPr>
        <w:autoSpaceDE w:val="0"/>
        <w:autoSpaceDN w:val="0"/>
        <w:adjustRightInd w:val="0"/>
        <w:spacing w:after="0" w:line="240" w:lineRule="auto"/>
        <w:ind w:left="567"/>
        <w:jc w:val="both"/>
        <w:rPr>
          <w:rFonts w:ascii="Arial" w:hAnsi="Arial" w:cs="Arial"/>
        </w:rPr>
      </w:pPr>
      <w:r w:rsidRPr="006312E8">
        <w:rPr>
          <w:rFonts w:ascii="Arial" w:hAnsi="Arial" w:cs="Arial"/>
        </w:rPr>
        <w:t>De acuerdo a lo dispuesto en el artículo 4 de la LCE, se requiere autorización para desarrollar las actividades de generación termoeléctrica, cuando la potencia instalada sea superior a 500 kW. La autorización se otorga por plazo indefinido.</w:t>
      </w:r>
    </w:p>
    <w:p w:rsidR="006312E8" w:rsidRPr="006312E8" w:rsidRDefault="006312E8" w:rsidP="006312E8">
      <w:pPr>
        <w:autoSpaceDE w:val="0"/>
        <w:autoSpaceDN w:val="0"/>
        <w:adjustRightInd w:val="0"/>
        <w:spacing w:after="0" w:line="240" w:lineRule="auto"/>
        <w:rPr>
          <w:rFonts w:ascii="Arial" w:hAnsi="Arial" w:cs="Arial"/>
          <w:b/>
          <w:bCs/>
        </w:rPr>
      </w:pPr>
    </w:p>
    <w:p w:rsidR="006312E8" w:rsidRPr="006312E8" w:rsidRDefault="006312E8" w:rsidP="006312E8">
      <w:pPr>
        <w:autoSpaceDE w:val="0"/>
        <w:autoSpaceDN w:val="0"/>
        <w:adjustRightInd w:val="0"/>
        <w:spacing w:after="0" w:line="240" w:lineRule="auto"/>
        <w:rPr>
          <w:rFonts w:ascii="Arial" w:hAnsi="Arial" w:cs="Arial"/>
          <w:b/>
          <w:bCs/>
        </w:rPr>
      </w:pPr>
      <w:r w:rsidRPr="006312E8">
        <w:rPr>
          <w:rFonts w:ascii="Arial" w:hAnsi="Arial" w:cs="Arial"/>
          <w:b/>
          <w:bCs/>
        </w:rPr>
        <w:t>III. LINEAMIENTOS PARA LA EVALUACIÓN DE LOS PROYECTOS DE INVERSIÓN ELÉCTRICOS</w:t>
      </w:r>
    </w:p>
    <w:p w:rsidR="006312E8" w:rsidRPr="006312E8" w:rsidRDefault="006312E8" w:rsidP="006312E8">
      <w:pPr>
        <w:autoSpaceDE w:val="0"/>
        <w:autoSpaceDN w:val="0"/>
        <w:adjustRightInd w:val="0"/>
        <w:spacing w:after="0" w:line="240" w:lineRule="auto"/>
        <w:rPr>
          <w:rFonts w:ascii="Arial" w:hAnsi="Arial" w:cs="Arial"/>
          <w:b/>
          <w:bCs/>
        </w:rPr>
      </w:pPr>
    </w:p>
    <w:p w:rsidR="006312E8" w:rsidRPr="006312E8" w:rsidRDefault="006312E8" w:rsidP="006312E8">
      <w:pPr>
        <w:autoSpaceDE w:val="0"/>
        <w:autoSpaceDN w:val="0"/>
        <w:adjustRightInd w:val="0"/>
        <w:spacing w:after="0" w:line="240" w:lineRule="auto"/>
        <w:ind w:left="426" w:hanging="426"/>
        <w:rPr>
          <w:rFonts w:ascii="Arial" w:hAnsi="Arial" w:cs="Arial"/>
          <w:b/>
          <w:bCs/>
        </w:rPr>
      </w:pPr>
      <w:r w:rsidRPr="006312E8">
        <w:rPr>
          <w:rFonts w:ascii="Arial" w:hAnsi="Arial" w:cs="Arial"/>
          <w:b/>
          <w:bCs/>
        </w:rPr>
        <w:t>3.1 Objetivo</w:t>
      </w:r>
    </w:p>
    <w:p w:rsidR="006312E8" w:rsidRPr="006312E8" w:rsidRDefault="006312E8" w:rsidP="006312E8">
      <w:pPr>
        <w:autoSpaceDE w:val="0"/>
        <w:autoSpaceDN w:val="0"/>
        <w:adjustRightInd w:val="0"/>
        <w:spacing w:after="0" w:line="240" w:lineRule="auto"/>
        <w:rPr>
          <w:rFonts w:ascii="Arial" w:hAnsi="Arial" w:cs="Arial"/>
          <w:b/>
          <w:bCs/>
        </w:rPr>
      </w:pPr>
    </w:p>
    <w:p w:rsidR="006312E8" w:rsidRPr="006312E8" w:rsidRDefault="006312E8" w:rsidP="006312E8">
      <w:pPr>
        <w:autoSpaceDE w:val="0"/>
        <w:autoSpaceDN w:val="0"/>
        <w:adjustRightInd w:val="0"/>
        <w:spacing w:after="0" w:line="240" w:lineRule="auto"/>
        <w:ind w:left="426"/>
        <w:jc w:val="both"/>
        <w:rPr>
          <w:rFonts w:ascii="Arial" w:hAnsi="Arial" w:cs="Arial"/>
        </w:rPr>
      </w:pPr>
      <w:r w:rsidRPr="006312E8">
        <w:rPr>
          <w:rFonts w:ascii="Arial" w:hAnsi="Arial" w:cs="Arial"/>
        </w:rPr>
        <w:t>El presente acápite tiene como objeto de definir y precisar sobre el Proyecto de Inversión, a fin de que el Subsector Electricidad determine o califique y se pronuncie, si el solicitante de servidumbre bajo el marco del Decreto Supremo N° 054-2013-PCM cuenta con un Proyecto de Inversión, y sean atendibles por la Superintendencia Nacional de Bienes Estatales – SBN.</w:t>
      </w:r>
    </w:p>
    <w:p w:rsidR="006312E8" w:rsidRPr="006312E8" w:rsidRDefault="006312E8" w:rsidP="006312E8">
      <w:pPr>
        <w:autoSpaceDE w:val="0"/>
        <w:autoSpaceDN w:val="0"/>
        <w:adjustRightInd w:val="0"/>
        <w:spacing w:after="0" w:line="240" w:lineRule="auto"/>
        <w:rPr>
          <w:rFonts w:ascii="Arial" w:hAnsi="Arial" w:cs="Arial"/>
          <w:b/>
          <w:bCs/>
        </w:rPr>
      </w:pPr>
    </w:p>
    <w:p w:rsidR="006312E8" w:rsidRPr="006312E8" w:rsidRDefault="006312E8" w:rsidP="0092471C">
      <w:pPr>
        <w:numPr>
          <w:ilvl w:val="1"/>
          <w:numId w:val="135"/>
        </w:numPr>
        <w:autoSpaceDE w:val="0"/>
        <w:autoSpaceDN w:val="0"/>
        <w:adjustRightInd w:val="0"/>
        <w:spacing w:after="0" w:line="240" w:lineRule="auto"/>
        <w:ind w:left="426" w:hanging="426"/>
        <w:contextualSpacing/>
        <w:rPr>
          <w:rFonts w:ascii="Arial" w:hAnsi="Arial" w:cs="Arial"/>
          <w:b/>
          <w:bCs/>
        </w:rPr>
      </w:pPr>
      <w:r w:rsidRPr="006312E8">
        <w:rPr>
          <w:rFonts w:ascii="Arial" w:hAnsi="Arial" w:cs="Arial"/>
          <w:b/>
          <w:bCs/>
        </w:rPr>
        <w:t>Definición de Proyecto de Inversión</w:t>
      </w:r>
    </w:p>
    <w:p w:rsidR="006312E8" w:rsidRPr="006312E8" w:rsidRDefault="006312E8" w:rsidP="006312E8">
      <w:pPr>
        <w:autoSpaceDE w:val="0"/>
        <w:autoSpaceDN w:val="0"/>
        <w:adjustRightInd w:val="0"/>
        <w:spacing w:after="0" w:line="240" w:lineRule="auto"/>
        <w:ind w:left="1065"/>
        <w:contextualSpacing/>
        <w:rPr>
          <w:rFonts w:ascii="Arial" w:hAnsi="Arial" w:cs="Arial"/>
          <w:b/>
          <w:bCs/>
        </w:rPr>
      </w:pPr>
    </w:p>
    <w:p w:rsidR="006312E8" w:rsidRPr="006312E8" w:rsidRDefault="006312E8" w:rsidP="006312E8">
      <w:pPr>
        <w:autoSpaceDE w:val="0"/>
        <w:autoSpaceDN w:val="0"/>
        <w:adjustRightInd w:val="0"/>
        <w:spacing w:after="0" w:line="240" w:lineRule="auto"/>
        <w:ind w:left="426"/>
        <w:jc w:val="both"/>
        <w:rPr>
          <w:rFonts w:ascii="Arial" w:hAnsi="Arial" w:cs="Arial"/>
        </w:rPr>
      </w:pPr>
      <w:r w:rsidRPr="006312E8">
        <w:rPr>
          <w:rFonts w:ascii="Arial" w:hAnsi="Arial" w:cs="Arial"/>
        </w:rPr>
        <w:t>Un proyecto es un proceso destinado a transformar una idea o un estudio en un producto terminado, constituido por bienes y/o servicios que serán los medios para producir otros bienes y servicios.</w:t>
      </w:r>
    </w:p>
    <w:p w:rsidR="006312E8" w:rsidRPr="006312E8" w:rsidRDefault="006312E8" w:rsidP="006312E8">
      <w:pPr>
        <w:autoSpaceDE w:val="0"/>
        <w:autoSpaceDN w:val="0"/>
        <w:adjustRightInd w:val="0"/>
        <w:spacing w:after="0" w:line="240" w:lineRule="auto"/>
        <w:ind w:left="426"/>
        <w:jc w:val="both"/>
        <w:rPr>
          <w:rFonts w:ascii="Arial" w:hAnsi="Arial" w:cs="Arial"/>
        </w:rPr>
      </w:pPr>
    </w:p>
    <w:p w:rsidR="006312E8" w:rsidRPr="006312E8" w:rsidRDefault="006312E8" w:rsidP="006312E8">
      <w:pPr>
        <w:autoSpaceDE w:val="0"/>
        <w:autoSpaceDN w:val="0"/>
        <w:adjustRightInd w:val="0"/>
        <w:spacing w:after="0" w:line="240" w:lineRule="auto"/>
        <w:ind w:left="426"/>
        <w:jc w:val="both"/>
        <w:rPr>
          <w:rFonts w:ascii="Arial" w:hAnsi="Arial" w:cs="Arial"/>
        </w:rPr>
      </w:pPr>
      <w:r w:rsidRPr="006312E8">
        <w:rPr>
          <w:rFonts w:ascii="Arial" w:hAnsi="Arial" w:cs="Arial"/>
        </w:rPr>
        <w:t>Un Proyecto de Inversión se puede definir como un plan o estudio al que se le asigne determinados recursos, como el monto de capital, insumos, materiales varios, mano de obra, equipo, tecnología, otros, para poder producir un bien o servicio, útil al ser humano o a la sociedad en general, en el caso específico al titular del proyecto eléctrico.</w:t>
      </w:r>
    </w:p>
    <w:p w:rsidR="006312E8" w:rsidRPr="006312E8" w:rsidRDefault="006312E8" w:rsidP="006312E8">
      <w:pPr>
        <w:autoSpaceDE w:val="0"/>
        <w:autoSpaceDN w:val="0"/>
        <w:adjustRightInd w:val="0"/>
        <w:spacing w:after="0" w:line="240" w:lineRule="auto"/>
        <w:rPr>
          <w:rFonts w:ascii="Arial" w:hAnsi="Arial" w:cs="Arial"/>
        </w:rPr>
      </w:pPr>
    </w:p>
    <w:p w:rsidR="006312E8" w:rsidRPr="006312E8" w:rsidRDefault="006312E8" w:rsidP="0092471C">
      <w:pPr>
        <w:numPr>
          <w:ilvl w:val="1"/>
          <w:numId w:val="135"/>
        </w:numPr>
        <w:autoSpaceDE w:val="0"/>
        <w:autoSpaceDN w:val="0"/>
        <w:adjustRightInd w:val="0"/>
        <w:spacing w:after="0" w:line="240" w:lineRule="auto"/>
        <w:ind w:left="426"/>
        <w:contextualSpacing/>
        <w:rPr>
          <w:rFonts w:ascii="Arial" w:hAnsi="Arial" w:cs="Arial"/>
          <w:b/>
          <w:bCs/>
        </w:rPr>
      </w:pPr>
      <w:r w:rsidRPr="006312E8">
        <w:rPr>
          <w:rFonts w:ascii="Arial" w:hAnsi="Arial" w:cs="Arial"/>
          <w:b/>
          <w:bCs/>
        </w:rPr>
        <w:t>Proyectos de Inversión en el Subsector Electricidad</w:t>
      </w:r>
    </w:p>
    <w:p w:rsidR="006312E8" w:rsidRPr="006312E8" w:rsidRDefault="006312E8" w:rsidP="006312E8">
      <w:pPr>
        <w:autoSpaceDE w:val="0"/>
        <w:autoSpaceDN w:val="0"/>
        <w:adjustRightInd w:val="0"/>
        <w:spacing w:after="0" w:line="240" w:lineRule="auto"/>
        <w:ind w:left="1065"/>
        <w:contextualSpacing/>
        <w:rPr>
          <w:rFonts w:ascii="Arial" w:hAnsi="Arial" w:cs="Arial"/>
          <w:b/>
          <w:bCs/>
        </w:rPr>
      </w:pPr>
    </w:p>
    <w:p w:rsidR="006312E8" w:rsidRPr="006312E8" w:rsidRDefault="006312E8" w:rsidP="006312E8">
      <w:pPr>
        <w:autoSpaceDE w:val="0"/>
        <w:autoSpaceDN w:val="0"/>
        <w:adjustRightInd w:val="0"/>
        <w:spacing w:after="0" w:line="240" w:lineRule="auto"/>
        <w:ind w:left="426"/>
        <w:jc w:val="both"/>
        <w:rPr>
          <w:rFonts w:ascii="Arial" w:hAnsi="Arial" w:cs="Arial"/>
        </w:rPr>
      </w:pPr>
      <w:r w:rsidRPr="006312E8">
        <w:rPr>
          <w:rFonts w:ascii="Arial" w:hAnsi="Arial" w:cs="Arial"/>
        </w:rPr>
        <w:t>En el Subsector Electricidad se consideran como Proyectos de Inversión, aquellos que cuentan con derecho eléctrico otorgado que implica ejecución de obras o su solicitud haya sido admitida a trámite, que cuentan con Contrato de Compromiso de Inversión con el Estado, o aquellos vinculados a otro Proyecto de Inversión, siendo éstos los siguientes casos:</w:t>
      </w:r>
    </w:p>
    <w:p w:rsidR="006312E8" w:rsidRPr="006312E8" w:rsidRDefault="006312E8" w:rsidP="006312E8">
      <w:pPr>
        <w:autoSpaceDE w:val="0"/>
        <w:autoSpaceDN w:val="0"/>
        <w:adjustRightInd w:val="0"/>
        <w:spacing w:after="0" w:line="240" w:lineRule="auto"/>
        <w:rPr>
          <w:rFonts w:ascii="Arial" w:hAnsi="Arial" w:cs="Arial"/>
        </w:rPr>
      </w:pPr>
    </w:p>
    <w:p w:rsidR="006312E8" w:rsidRPr="006312E8" w:rsidRDefault="006312E8" w:rsidP="0092471C">
      <w:pPr>
        <w:numPr>
          <w:ilvl w:val="0"/>
          <w:numId w:val="232"/>
        </w:numPr>
        <w:autoSpaceDE w:val="0"/>
        <w:autoSpaceDN w:val="0"/>
        <w:adjustRightInd w:val="0"/>
        <w:spacing w:after="0" w:line="240" w:lineRule="auto"/>
        <w:contextualSpacing/>
        <w:rPr>
          <w:rFonts w:ascii="Arial" w:hAnsi="Arial" w:cs="Arial"/>
          <w:b/>
          <w:bCs/>
        </w:rPr>
      </w:pPr>
      <w:r w:rsidRPr="006312E8">
        <w:rPr>
          <w:rFonts w:ascii="Arial" w:hAnsi="Arial" w:cs="Arial"/>
          <w:b/>
          <w:bCs/>
        </w:rPr>
        <w:t>Proyectos con Concesión Definitiva o con solicitud de Concesión Definitiva admitida a trámite</w:t>
      </w:r>
    </w:p>
    <w:p w:rsidR="006312E8" w:rsidRPr="006312E8" w:rsidRDefault="006312E8" w:rsidP="006312E8">
      <w:pPr>
        <w:autoSpaceDE w:val="0"/>
        <w:autoSpaceDN w:val="0"/>
        <w:adjustRightInd w:val="0"/>
        <w:spacing w:after="0" w:line="240" w:lineRule="auto"/>
        <w:ind w:left="720"/>
        <w:contextualSpacing/>
        <w:rPr>
          <w:rFonts w:ascii="Arial" w:hAnsi="Arial" w:cs="Arial"/>
          <w:b/>
          <w:bCs/>
        </w:rPr>
      </w:pPr>
      <w:r w:rsidRPr="006312E8">
        <w:rPr>
          <w:rFonts w:ascii="Arial" w:hAnsi="Arial" w:cs="Arial"/>
          <w:b/>
          <w:bCs/>
          <w:color w:val="FFFFFF"/>
        </w:rPr>
        <w:t xml:space="preserve"> IOR</w:t>
      </w:r>
    </w:p>
    <w:p w:rsidR="006312E8" w:rsidRPr="006312E8" w:rsidRDefault="006312E8" w:rsidP="006312E8">
      <w:pPr>
        <w:autoSpaceDE w:val="0"/>
        <w:autoSpaceDN w:val="0"/>
        <w:adjustRightInd w:val="0"/>
        <w:spacing w:after="0" w:line="240" w:lineRule="auto"/>
        <w:ind w:left="709"/>
        <w:jc w:val="both"/>
        <w:rPr>
          <w:rFonts w:ascii="Arial" w:hAnsi="Arial" w:cs="Arial"/>
        </w:rPr>
      </w:pPr>
      <w:r w:rsidRPr="006312E8">
        <w:rPr>
          <w:rFonts w:ascii="Arial" w:hAnsi="Arial" w:cs="Arial"/>
        </w:rPr>
        <w:t>Aquellos proyectos que se encuentran comprometidos para dar inicio a su ejecución y cuentan, entre otros, con lo siguiente:</w:t>
      </w:r>
    </w:p>
    <w:p w:rsidR="006312E8" w:rsidRPr="006312E8" w:rsidRDefault="006312E8" w:rsidP="0092471C">
      <w:pPr>
        <w:numPr>
          <w:ilvl w:val="0"/>
          <w:numId w:val="233"/>
        </w:numPr>
        <w:autoSpaceDE w:val="0"/>
        <w:autoSpaceDN w:val="0"/>
        <w:adjustRightInd w:val="0"/>
        <w:spacing w:after="0" w:line="240" w:lineRule="auto"/>
        <w:contextualSpacing/>
        <w:jc w:val="both"/>
        <w:rPr>
          <w:rFonts w:ascii="Arial" w:hAnsi="Arial" w:cs="Arial"/>
        </w:rPr>
      </w:pPr>
      <w:r w:rsidRPr="006312E8">
        <w:rPr>
          <w:rFonts w:ascii="Arial" w:hAnsi="Arial" w:cs="Arial"/>
        </w:rPr>
        <w:t>Concesión Definitiva otorgada o admitida a trámite.</w:t>
      </w:r>
    </w:p>
    <w:p w:rsidR="006312E8" w:rsidRPr="006312E8" w:rsidRDefault="006312E8" w:rsidP="0092471C">
      <w:pPr>
        <w:numPr>
          <w:ilvl w:val="0"/>
          <w:numId w:val="233"/>
        </w:numPr>
        <w:autoSpaceDE w:val="0"/>
        <w:autoSpaceDN w:val="0"/>
        <w:adjustRightInd w:val="0"/>
        <w:spacing w:after="0" w:line="240" w:lineRule="auto"/>
        <w:contextualSpacing/>
        <w:jc w:val="both"/>
        <w:rPr>
          <w:rFonts w:ascii="Arial" w:hAnsi="Arial" w:cs="Arial"/>
        </w:rPr>
      </w:pPr>
      <w:r w:rsidRPr="006312E8">
        <w:rPr>
          <w:rFonts w:ascii="Arial" w:hAnsi="Arial" w:cs="Arial"/>
        </w:rPr>
        <w:t>Cronograma o calendario de ejecución de las obras, con la indicación del inicio y la puesta en operación comercial.</w:t>
      </w:r>
    </w:p>
    <w:p w:rsidR="006312E8" w:rsidRPr="006312E8" w:rsidRDefault="006312E8" w:rsidP="0092471C">
      <w:pPr>
        <w:numPr>
          <w:ilvl w:val="0"/>
          <w:numId w:val="233"/>
        </w:numPr>
        <w:autoSpaceDE w:val="0"/>
        <w:autoSpaceDN w:val="0"/>
        <w:adjustRightInd w:val="0"/>
        <w:spacing w:after="0" w:line="240" w:lineRule="auto"/>
        <w:contextualSpacing/>
        <w:jc w:val="both"/>
        <w:rPr>
          <w:rFonts w:ascii="Arial" w:hAnsi="Arial" w:cs="Arial"/>
        </w:rPr>
      </w:pPr>
      <w:r w:rsidRPr="006312E8">
        <w:rPr>
          <w:rFonts w:ascii="Arial" w:hAnsi="Arial" w:cs="Arial"/>
        </w:rPr>
        <w:t>Presupuesto del proyecto.</w:t>
      </w:r>
    </w:p>
    <w:p w:rsidR="006312E8" w:rsidRPr="006312E8" w:rsidRDefault="006312E8" w:rsidP="0092471C">
      <w:pPr>
        <w:numPr>
          <w:ilvl w:val="0"/>
          <w:numId w:val="233"/>
        </w:numPr>
        <w:autoSpaceDE w:val="0"/>
        <w:autoSpaceDN w:val="0"/>
        <w:adjustRightInd w:val="0"/>
        <w:spacing w:after="0" w:line="240" w:lineRule="auto"/>
        <w:contextualSpacing/>
        <w:jc w:val="both"/>
        <w:rPr>
          <w:rFonts w:ascii="Arial" w:hAnsi="Arial" w:cs="Arial"/>
        </w:rPr>
      </w:pPr>
      <w:r w:rsidRPr="006312E8">
        <w:rPr>
          <w:rFonts w:ascii="Arial" w:hAnsi="Arial" w:cs="Arial"/>
        </w:rPr>
        <w:t>Garantía de fiel cumplimiento de ejecución de obras.</w:t>
      </w:r>
    </w:p>
    <w:p w:rsidR="006312E8" w:rsidRPr="006312E8" w:rsidRDefault="006312E8" w:rsidP="0092471C">
      <w:pPr>
        <w:numPr>
          <w:ilvl w:val="0"/>
          <w:numId w:val="233"/>
        </w:numPr>
        <w:autoSpaceDE w:val="0"/>
        <w:autoSpaceDN w:val="0"/>
        <w:adjustRightInd w:val="0"/>
        <w:spacing w:after="0" w:line="240" w:lineRule="auto"/>
        <w:contextualSpacing/>
        <w:jc w:val="both"/>
        <w:rPr>
          <w:rFonts w:ascii="Arial" w:hAnsi="Arial" w:cs="Arial"/>
        </w:rPr>
      </w:pPr>
      <w:r w:rsidRPr="006312E8">
        <w:rPr>
          <w:rFonts w:ascii="Arial" w:hAnsi="Arial" w:cs="Arial"/>
        </w:rPr>
        <w:t>Precisión del Área necesaria para el desarrollo del Proyecto de Inversión.</w:t>
      </w:r>
    </w:p>
    <w:p w:rsidR="006312E8" w:rsidRPr="006312E8" w:rsidRDefault="006312E8" w:rsidP="006312E8">
      <w:pPr>
        <w:autoSpaceDE w:val="0"/>
        <w:autoSpaceDN w:val="0"/>
        <w:adjustRightInd w:val="0"/>
        <w:spacing w:after="0" w:line="240" w:lineRule="auto"/>
        <w:rPr>
          <w:rFonts w:ascii="Arial" w:hAnsi="Arial" w:cs="Arial"/>
        </w:rPr>
      </w:pPr>
    </w:p>
    <w:p w:rsidR="006312E8" w:rsidRPr="006312E8" w:rsidRDefault="006312E8" w:rsidP="0092471C">
      <w:pPr>
        <w:numPr>
          <w:ilvl w:val="0"/>
          <w:numId w:val="232"/>
        </w:numPr>
        <w:autoSpaceDE w:val="0"/>
        <w:autoSpaceDN w:val="0"/>
        <w:adjustRightInd w:val="0"/>
        <w:spacing w:after="0" w:line="240" w:lineRule="auto"/>
        <w:contextualSpacing/>
        <w:rPr>
          <w:rFonts w:ascii="Arial" w:hAnsi="Arial" w:cs="Arial"/>
          <w:b/>
          <w:bCs/>
        </w:rPr>
      </w:pPr>
      <w:r w:rsidRPr="006312E8">
        <w:rPr>
          <w:rFonts w:ascii="Arial" w:hAnsi="Arial" w:cs="Arial"/>
          <w:b/>
          <w:bCs/>
        </w:rPr>
        <w:t>Proyectos que cuentan con Autorización</w:t>
      </w:r>
    </w:p>
    <w:p w:rsidR="006312E8" w:rsidRPr="006312E8" w:rsidRDefault="006312E8" w:rsidP="006312E8">
      <w:pPr>
        <w:autoSpaceDE w:val="0"/>
        <w:autoSpaceDN w:val="0"/>
        <w:adjustRightInd w:val="0"/>
        <w:spacing w:after="0" w:line="240" w:lineRule="auto"/>
        <w:ind w:left="720"/>
        <w:contextualSpacing/>
        <w:rPr>
          <w:rFonts w:ascii="Arial" w:hAnsi="Arial" w:cs="Arial"/>
          <w:b/>
          <w:bCs/>
        </w:rPr>
      </w:pPr>
    </w:p>
    <w:p w:rsidR="006312E8" w:rsidRPr="006312E8" w:rsidRDefault="006312E8" w:rsidP="006312E8">
      <w:pPr>
        <w:autoSpaceDE w:val="0"/>
        <w:autoSpaceDN w:val="0"/>
        <w:adjustRightInd w:val="0"/>
        <w:spacing w:after="0" w:line="240" w:lineRule="auto"/>
        <w:ind w:left="709"/>
        <w:jc w:val="both"/>
        <w:rPr>
          <w:rFonts w:ascii="Arial" w:hAnsi="Arial" w:cs="Arial"/>
        </w:rPr>
      </w:pPr>
      <w:r w:rsidRPr="006312E8">
        <w:rPr>
          <w:rFonts w:ascii="Arial" w:hAnsi="Arial" w:cs="Arial"/>
        </w:rPr>
        <w:t>Aquellos proyectos que se encuentran dispuestos para dar inicio a su ejecución y cuentan, entre otros, con lo siguiente:</w:t>
      </w:r>
    </w:p>
    <w:p w:rsidR="006312E8" w:rsidRPr="006312E8" w:rsidRDefault="006312E8" w:rsidP="0092471C">
      <w:pPr>
        <w:numPr>
          <w:ilvl w:val="0"/>
          <w:numId w:val="234"/>
        </w:numPr>
        <w:autoSpaceDE w:val="0"/>
        <w:autoSpaceDN w:val="0"/>
        <w:adjustRightInd w:val="0"/>
        <w:spacing w:after="0" w:line="240" w:lineRule="auto"/>
        <w:contextualSpacing/>
        <w:jc w:val="both"/>
        <w:rPr>
          <w:rFonts w:ascii="Arial" w:hAnsi="Arial" w:cs="Arial"/>
        </w:rPr>
      </w:pPr>
      <w:r w:rsidRPr="006312E8">
        <w:rPr>
          <w:rFonts w:ascii="Arial" w:hAnsi="Arial" w:cs="Arial"/>
        </w:rPr>
        <w:t>Autorización otorgada.</w:t>
      </w:r>
    </w:p>
    <w:p w:rsidR="006312E8" w:rsidRPr="006312E8" w:rsidRDefault="006312E8" w:rsidP="0092471C">
      <w:pPr>
        <w:numPr>
          <w:ilvl w:val="0"/>
          <w:numId w:val="234"/>
        </w:numPr>
        <w:autoSpaceDE w:val="0"/>
        <w:autoSpaceDN w:val="0"/>
        <w:adjustRightInd w:val="0"/>
        <w:spacing w:after="0" w:line="240" w:lineRule="auto"/>
        <w:contextualSpacing/>
        <w:jc w:val="both"/>
        <w:rPr>
          <w:rFonts w:ascii="Arial" w:hAnsi="Arial" w:cs="Arial"/>
        </w:rPr>
      </w:pPr>
      <w:r w:rsidRPr="006312E8">
        <w:rPr>
          <w:rFonts w:ascii="Arial" w:hAnsi="Arial" w:cs="Arial"/>
        </w:rPr>
        <w:t>Cronograma o calendario de ejecución de las obras, con la indicación del inicio y la puesta en operación comercial.</w:t>
      </w:r>
    </w:p>
    <w:p w:rsidR="006312E8" w:rsidRPr="006312E8" w:rsidRDefault="006312E8" w:rsidP="0092471C">
      <w:pPr>
        <w:numPr>
          <w:ilvl w:val="0"/>
          <w:numId w:val="234"/>
        </w:numPr>
        <w:autoSpaceDE w:val="0"/>
        <w:autoSpaceDN w:val="0"/>
        <w:adjustRightInd w:val="0"/>
        <w:spacing w:after="0" w:line="240" w:lineRule="auto"/>
        <w:contextualSpacing/>
        <w:jc w:val="both"/>
        <w:rPr>
          <w:rFonts w:ascii="Arial" w:hAnsi="Arial" w:cs="Arial"/>
        </w:rPr>
      </w:pPr>
      <w:r w:rsidRPr="006312E8">
        <w:rPr>
          <w:rFonts w:ascii="Arial" w:hAnsi="Arial" w:cs="Arial"/>
        </w:rPr>
        <w:t>Presupuesto del proyecto.</w:t>
      </w:r>
    </w:p>
    <w:p w:rsidR="006312E8" w:rsidRPr="006312E8" w:rsidRDefault="006312E8" w:rsidP="0092471C">
      <w:pPr>
        <w:numPr>
          <w:ilvl w:val="0"/>
          <w:numId w:val="234"/>
        </w:numPr>
        <w:autoSpaceDE w:val="0"/>
        <w:autoSpaceDN w:val="0"/>
        <w:adjustRightInd w:val="0"/>
        <w:spacing w:after="0" w:line="240" w:lineRule="auto"/>
        <w:contextualSpacing/>
        <w:jc w:val="both"/>
        <w:rPr>
          <w:rFonts w:ascii="Arial" w:hAnsi="Arial" w:cs="Arial"/>
        </w:rPr>
      </w:pPr>
      <w:r w:rsidRPr="006312E8">
        <w:rPr>
          <w:rFonts w:ascii="Arial" w:hAnsi="Arial" w:cs="Arial"/>
        </w:rPr>
        <w:t>Garantía de fiel cumplimiento de ejecución de obras.</w:t>
      </w:r>
    </w:p>
    <w:p w:rsidR="006312E8" w:rsidRPr="006312E8" w:rsidRDefault="006312E8" w:rsidP="0092471C">
      <w:pPr>
        <w:numPr>
          <w:ilvl w:val="0"/>
          <w:numId w:val="234"/>
        </w:numPr>
        <w:autoSpaceDE w:val="0"/>
        <w:autoSpaceDN w:val="0"/>
        <w:adjustRightInd w:val="0"/>
        <w:spacing w:after="0" w:line="240" w:lineRule="auto"/>
        <w:contextualSpacing/>
        <w:jc w:val="both"/>
        <w:rPr>
          <w:rFonts w:ascii="Arial" w:hAnsi="Arial" w:cs="Arial"/>
        </w:rPr>
      </w:pPr>
      <w:r w:rsidRPr="006312E8">
        <w:rPr>
          <w:rFonts w:ascii="Arial" w:hAnsi="Arial" w:cs="Arial"/>
        </w:rPr>
        <w:t>Precisión del Área necesaria para el desarrollo del Proyecto de Inversión.</w:t>
      </w:r>
    </w:p>
    <w:p w:rsidR="006312E8" w:rsidRPr="006312E8" w:rsidRDefault="006312E8" w:rsidP="006312E8">
      <w:pPr>
        <w:autoSpaceDE w:val="0"/>
        <w:autoSpaceDN w:val="0"/>
        <w:adjustRightInd w:val="0"/>
        <w:spacing w:after="0" w:line="240" w:lineRule="auto"/>
        <w:rPr>
          <w:rFonts w:ascii="Arial" w:hAnsi="Arial" w:cs="Arial"/>
        </w:rPr>
      </w:pPr>
    </w:p>
    <w:p w:rsidR="006312E8" w:rsidRPr="006312E8" w:rsidRDefault="006312E8" w:rsidP="0092471C">
      <w:pPr>
        <w:numPr>
          <w:ilvl w:val="0"/>
          <w:numId w:val="232"/>
        </w:numPr>
        <w:autoSpaceDE w:val="0"/>
        <w:autoSpaceDN w:val="0"/>
        <w:adjustRightInd w:val="0"/>
        <w:spacing w:after="0" w:line="240" w:lineRule="auto"/>
        <w:contextualSpacing/>
        <w:rPr>
          <w:rFonts w:ascii="Arial" w:hAnsi="Arial" w:cs="Arial"/>
        </w:rPr>
      </w:pPr>
      <w:r w:rsidRPr="006312E8">
        <w:rPr>
          <w:rFonts w:ascii="Arial" w:hAnsi="Arial" w:cs="Arial"/>
          <w:b/>
          <w:bCs/>
        </w:rPr>
        <w:t xml:space="preserve">Proyectos que cuentan con Contratos de Inversión </w:t>
      </w:r>
      <w:r w:rsidRPr="006312E8">
        <w:rPr>
          <w:rFonts w:ascii="Arial" w:hAnsi="Arial" w:cs="Arial"/>
        </w:rPr>
        <w:t>(término general)</w:t>
      </w:r>
    </w:p>
    <w:p w:rsidR="006312E8" w:rsidRPr="006312E8" w:rsidRDefault="006312E8" w:rsidP="006312E8">
      <w:pPr>
        <w:autoSpaceDE w:val="0"/>
        <w:autoSpaceDN w:val="0"/>
        <w:adjustRightInd w:val="0"/>
        <w:spacing w:after="0" w:line="240" w:lineRule="auto"/>
        <w:ind w:left="720"/>
        <w:contextualSpacing/>
        <w:rPr>
          <w:rFonts w:ascii="Arial" w:hAnsi="Arial" w:cs="Arial"/>
        </w:rPr>
      </w:pPr>
    </w:p>
    <w:p w:rsidR="006312E8" w:rsidRPr="006312E8" w:rsidRDefault="006312E8" w:rsidP="006312E8">
      <w:pPr>
        <w:autoSpaceDE w:val="0"/>
        <w:autoSpaceDN w:val="0"/>
        <w:adjustRightInd w:val="0"/>
        <w:spacing w:after="0" w:line="240" w:lineRule="auto"/>
        <w:ind w:left="709"/>
        <w:jc w:val="both"/>
        <w:rPr>
          <w:rFonts w:ascii="Arial" w:hAnsi="Arial" w:cs="Arial"/>
        </w:rPr>
      </w:pPr>
      <w:r w:rsidRPr="006312E8">
        <w:rPr>
          <w:rFonts w:ascii="Arial" w:hAnsi="Arial" w:cs="Arial"/>
        </w:rPr>
        <w:t>Aquellos proyectos que cuentan con contratos de compromiso de inversión, contratos de suministro RER, contratos SGT, contratos SCT, contratos BOOT, o similares; que hayan sido establecidos mediante licitaciones, subastas, etc.</w:t>
      </w:r>
    </w:p>
    <w:p w:rsidR="006312E8" w:rsidRPr="006312E8" w:rsidRDefault="006312E8" w:rsidP="006312E8">
      <w:pPr>
        <w:autoSpaceDE w:val="0"/>
        <w:autoSpaceDN w:val="0"/>
        <w:adjustRightInd w:val="0"/>
        <w:spacing w:after="0" w:line="240" w:lineRule="auto"/>
        <w:ind w:left="709"/>
        <w:jc w:val="both"/>
        <w:rPr>
          <w:rFonts w:ascii="Arial" w:hAnsi="Arial" w:cs="Arial"/>
        </w:rPr>
      </w:pPr>
      <w:r w:rsidRPr="006312E8">
        <w:rPr>
          <w:rFonts w:ascii="Arial" w:hAnsi="Arial" w:cs="Arial"/>
        </w:rPr>
        <w:t>Estos proyectos deben contar, entre otros aspectos, con lo siguiente:</w:t>
      </w:r>
    </w:p>
    <w:p w:rsidR="006312E8" w:rsidRPr="006312E8" w:rsidRDefault="006312E8" w:rsidP="0092471C">
      <w:pPr>
        <w:numPr>
          <w:ilvl w:val="0"/>
          <w:numId w:val="235"/>
        </w:numPr>
        <w:autoSpaceDE w:val="0"/>
        <w:autoSpaceDN w:val="0"/>
        <w:adjustRightInd w:val="0"/>
        <w:spacing w:after="0" w:line="240" w:lineRule="auto"/>
        <w:contextualSpacing/>
        <w:jc w:val="both"/>
        <w:rPr>
          <w:rFonts w:ascii="Arial" w:hAnsi="Arial" w:cs="Arial"/>
        </w:rPr>
      </w:pPr>
      <w:r w:rsidRPr="006312E8">
        <w:rPr>
          <w:rFonts w:ascii="Arial" w:hAnsi="Arial" w:cs="Arial"/>
        </w:rPr>
        <w:t>Contrato de Inversión o similar.</w:t>
      </w:r>
    </w:p>
    <w:p w:rsidR="006312E8" w:rsidRPr="006312E8" w:rsidRDefault="006312E8" w:rsidP="0092471C">
      <w:pPr>
        <w:numPr>
          <w:ilvl w:val="0"/>
          <w:numId w:val="235"/>
        </w:numPr>
        <w:autoSpaceDE w:val="0"/>
        <w:autoSpaceDN w:val="0"/>
        <w:adjustRightInd w:val="0"/>
        <w:spacing w:after="0" w:line="240" w:lineRule="auto"/>
        <w:contextualSpacing/>
        <w:jc w:val="both"/>
        <w:rPr>
          <w:rFonts w:ascii="Arial" w:hAnsi="Arial" w:cs="Arial"/>
        </w:rPr>
      </w:pPr>
      <w:r w:rsidRPr="006312E8">
        <w:rPr>
          <w:rFonts w:ascii="Arial" w:hAnsi="Arial" w:cs="Arial"/>
        </w:rPr>
        <w:t>Cronograma o calendario de ejecución de las obras, con la indicación del inicio y la puesta en operación comercial.</w:t>
      </w:r>
    </w:p>
    <w:p w:rsidR="006312E8" w:rsidRPr="006312E8" w:rsidRDefault="006312E8" w:rsidP="0092471C">
      <w:pPr>
        <w:numPr>
          <w:ilvl w:val="0"/>
          <w:numId w:val="235"/>
        </w:numPr>
        <w:autoSpaceDE w:val="0"/>
        <w:autoSpaceDN w:val="0"/>
        <w:adjustRightInd w:val="0"/>
        <w:spacing w:after="0" w:line="240" w:lineRule="auto"/>
        <w:contextualSpacing/>
        <w:jc w:val="both"/>
        <w:rPr>
          <w:rFonts w:ascii="Arial" w:hAnsi="Arial" w:cs="Arial"/>
        </w:rPr>
      </w:pPr>
      <w:r w:rsidRPr="006312E8">
        <w:rPr>
          <w:rFonts w:ascii="Arial" w:hAnsi="Arial" w:cs="Arial"/>
        </w:rPr>
        <w:t>Presupuesto del proyecto.</w:t>
      </w:r>
    </w:p>
    <w:p w:rsidR="006312E8" w:rsidRPr="006312E8" w:rsidRDefault="006312E8" w:rsidP="0092471C">
      <w:pPr>
        <w:numPr>
          <w:ilvl w:val="0"/>
          <w:numId w:val="235"/>
        </w:numPr>
        <w:autoSpaceDE w:val="0"/>
        <w:autoSpaceDN w:val="0"/>
        <w:adjustRightInd w:val="0"/>
        <w:spacing w:after="0" w:line="240" w:lineRule="auto"/>
        <w:contextualSpacing/>
        <w:jc w:val="both"/>
        <w:rPr>
          <w:rFonts w:ascii="Arial" w:hAnsi="Arial" w:cs="Arial"/>
        </w:rPr>
      </w:pPr>
      <w:r w:rsidRPr="006312E8">
        <w:rPr>
          <w:rFonts w:ascii="Arial" w:hAnsi="Arial" w:cs="Arial"/>
        </w:rPr>
        <w:t>Garantía de fiel cumplimiento de ejecución de obras.</w:t>
      </w:r>
    </w:p>
    <w:p w:rsidR="006312E8" w:rsidRPr="006312E8" w:rsidRDefault="006312E8" w:rsidP="0092471C">
      <w:pPr>
        <w:numPr>
          <w:ilvl w:val="0"/>
          <w:numId w:val="235"/>
        </w:numPr>
        <w:autoSpaceDE w:val="0"/>
        <w:autoSpaceDN w:val="0"/>
        <w:adjustRightInd w:val="0"/>
        <w:spacing w:after="0" w:line="240" w:lineRule="auto"/>
        <w:contextualSpacing/>
        <w:jc w:val="both"/>
        <w:rPr>
          <w:rFonts w:ascii="Arial" w:hAnsi="Arial" w:cs="Arial"/>
        </w:rPr>
      </w:pPr>
      <w:r w:rsidRPr="006312E8">
        <w:rPr>
          <w:rFonts w:ascii="Arial" w:hAnsi="Arial" w:cs="Arial"/>
        </w:rPr>
        <w:t>Precisión del Área necesaria para el desarrollo del Proyecto de Inversión.</w:t>
      </w:r>
    </w:p>
    <w:p w:rsidR="006312E8" w:rsidRPr="006312E8" w:rsidRDefault="006312E8" w:rsidP="006312E8">
      <w:pPr>
        <w:autoSpaceDE w:val="0"/>
        <w:autoSpaceDN w:val="0"/>
        <w:adjustRightInd w:val="0"/>
        <w:spacing w:after="0" w:line="240" w:lineRule="auto"/>
        <w:rPr>
          <w:rFonts w:ascii="Arial" w:hAnsi="Arial" w:cs="Arial"/>
        </w:rPr>
      </w:pPr>
    </w:p>
    <w:p w:rsidR="006312E8" w:rsidRPr="006312E8" w:rsidRDefault="006312E8" w:rsidP="0092471C">
      <w:pPr>
        <w:numPr>
          <w:ilvl w:val="0"/>
          <w:numId w:val="232"/>
        </w:numPr>
        <w:autoSpaceDE w:val="0"/>
        <w:autoSpaceDN w:val="0"/>
        <w:adjustRightInd w:val="0"/>
        <w:spacing w:after="0" w:line="240" w:lineRule="auto"/>
        <w:contextualSpacing/>
        <w:rPr>
          <w:rFonts w:ascii="Arial" w:hAnsi="Arial" w:cs="Arial"/>
          <w:b/>
          <w:bCs/>
        </w:rPr>
      </w:pPr>
      <w:r w:rsidRPr="006312E8">
        <w:rPr>
          <w:rFonts w:ascii="Arial" w:hAnsi="Arial" w:cs="Arial"/>
          <w:b/>
          <w:bCs/>
        </w:rPr>
        <w:t>Proyectos Eléctricos que están vinculados a otros Proyectos de Inversión</w:t>
      </w:r>
    </w:p>
    <w:p w:rsidR="006312E8" w:rsidRPr="006312E8" w:rsidRDefault="006312E8" w:rsidP="006312E8">
      <w:pPr>
        <w:autoSpaceDE w:val="0"/>
        <w:autoSpaceDN w:val="0"/>
        <w:adjustRightInd w:val="0"/>
        <w:spacing w:after="0" w:line="240" w:lineRule="auto"/>
        <w:ind w:left="720"/>
        <w:contextualSpacing/>
        <w:rPr>
          <w:rFonts w:ascii="Arial" w:hAnsi="Arial" w:cs="Arial"/>
          <w:b/>
          <w:bCs/>
        </w:rPr>
      </w:pPr>
    </w:p>
    <w:p w:rsidR="006312E8" w:rsidRPr="006312E8" w:rsidRDefault="006312E8" w:rsidP="006312E8">
      <w:pPr>
        <w:autoSpaceDE w:val="0"/>
        <w:autoSpaceDN w:val="0"/>
        <w:adjustRightInd w:val="0"/>
        <w:spacing w:after="0" w:line="240" w:lineRule="auto"/>
        <w:ind w:left="709"/>
        <w:jc w:val="both"/>
        <w:rPr>
          <w:rFonts w:ascii="Arial" w:hAnsi="Arial" w:cs="Arial"/>
        </w:rPr>
      </w:pPr>
      <w:r w:rsidRPr="006312E8">
        <w:rPr>
          <w:rFonts w:ascii="Arial" w:hAnsi="Arial" w:cs="Arial"/>
        </w:rPr>
        <w:t>Aquellos proyectos eléctricos que están vinculados a otros Proyectos de Inversión, ya sea del Subsector Electricidad, otros Subsectores (Hidrocarburos o Minería) o Sectores.</w:t>
      </w:r>
    </w:p>
    <w:p w:rsidR="006312E8" w:rsidRPr="006312E8" w:rsidRDefault="006312E8" w:rsidP="006312E8">
      <w:pPr>
        <w:autoSpaceDE w:val="0"/>
        <w:autoSpaceDN w:val="0"/>
        <w:adjustRightInd w:val="0"/>
        <w:spacing w:after="0" w:line="240" w:lineRule="auto"/>
        <w:ind w:left="709"/>
        <w:jc w:val="both"/>
        <w:rPr>
          <w:rFonts w:ascii="Arial" w:hAnsi="Arial" w:cs="Arial"/>
        </w:rPr>
      </w:pPr>
      <w:r w:rsidRPr="006312E8">
        <w:rPr>
          <w:rFonts w:ascii="Arial" w:hAnsi="Arial" w:cs="Arial"/>
        </w:rPr>
        <w:t>En este caso el proyecto eléctrico debe contar como mínimo, con lo siguiente:</w:t>
      </w:r>
    </w:p>
    <w:p w:rsidR="006312E8" w:rsidRPr="006312E8" w:rsidRDefault="006312E8" w:rsidP="0092471C">
      <w:pPr>
        <w:numPr>
          <w:ilvl w:val="0"/>
          <w:numId w:val="236"/>
        </w:numPr>
        <w:autoSpaceDE w:val="0"/>
        <w:autoSpaceDN w:val="0"/>
        <w:adjustRightInd w:val="0"/>
        <w:spacing w:after="0" w:line="240" w:lineRule="auto"/>
        <w:contextualSpacing/>
        <w:jc w:val="both"/>
        <w:rPr>
          <w:rFonts w:ascii="Arial" w:hAnsi="Arial" w:cs="Arial"/>
        </w:rPr>
      </w:pPr>
      <w:r w:rsidRPr="006312E8">
        <w:rPr>
          <w:rFonts w:ascii="Arial" w:hAnsi="Arial" w:cs="Arial"/>
        </w:rPr>
        <w:t>Estudio a nivel de Factibilidad.</w:t>
      </w:r>
    </w:p>
    <w:p w:rsidR="006312E8" w:rsidRPr="006312E8" w:rsidRDefault="006312E8" w:rsidP="0092471C">
      <w:pPr>
        <w:numPr>
          <w:ilvl w:val="0"/>
          <w:numId w:val="236"/>
        </w:numPr>
        <w:autoSpaceDE w:val="0"/>
        <w:autoSpaceDN w:val="0"/>
        <w:adjustRightInd w:val="0"/>
        <w:spacing w:after="0" w:line="240" w:lineRule="auto"/>
        <w:contextualSpacing/>
        <w:jc w:val="both"/>
        <w:rPr>
          <w:rFonts w:ascii="Arial" w:hAnsi="Arial" w:cs="Arial"/>
        </w:rPr>
      </w:pPr>
      <w:r w:rsidRPr="006312E8">
        <w:rPr>
          <w:rFonts w:ascii="Arial" w:hAnsi="Arial" w:cs="Arial"/>
        </w:rPr>
        <w:t>Certificación Ambiental (otorgada o en trámite).</w:t>
      </w:r>
    </w:p>
    <w:p w:rsidR="006312E8" w:rsidRPr="006312E8" w:rsidRDefault="006312E8" w:rsidP="0092471C">
      <w:pPr>
        <w:numPr>
          <w:ilvl w:val="0"/>
          <w:numId w:val="236"/>
        </w:numPr>
        <w:autoSpaceDE w:val="0"/>
        <w:autoSpaceDN w:val="0"/>
        <w:adjustRightInd w:val="0"/>
        <w:spacing w:after="0" w:line="240" w:lineRule="auto"/>
        <w:contextualSpacing/>
        <w:jc w:val="both"/>
        <w:rPr>
          <w:rFonts w:ascii="Arial" w:hAnsi="Arial" w:cs="Arial"/>
        </w:rPr>
      </w:pPr>
      <w:r w:rsidRPr="006312E8">
        <w:rPr>
          <w:rFonts w:ascii="Arial" w:hAnsi="Arial" w:cs="Arial"/>
        </w:rPr>
        <w:t>Cronograma o calendario de ejecución de las obras, con la indicación del inicio y la puesta en operación comercial.</w:t>
      </w:r>
    </w:p>
    <w:p w:rsidR="006312E8" w:rsidRPr="006312E8" w:rsidRDefault="006312E8" w:rsidP="0092471C">
      <w:pPr>
        <w:numPr>
          <w:ilvl w:val="0"/>
          <w:numId w:val="236"/>
        </w:numPr>
        <w:autoSpaceDE w:val="0"/>
        <w:autoSpaceDN w:val="0"/>
        <w:adjustRightInd w:val="0"/>
        <w:spacing w:after="0" w:line="240" w:lineRule="auto"/>
        <w:contextualSpacing/>
        <w:jc w:val="both"/>
        <w:rPr>
          <w:rFonts w:ascii="Arial" w:hAnsi="Arial" w:cs="Arial"/>
        </w:rPr>
      </w:pPr>
      <w:r w:rsidRPr="006312E8">
        <w:rPr>
          <w:rFonts w:ascii="Arial" w:hAnsi="Arial" w:cs="Arial"/>
        </w:rPr>
        <w:t>Presupuesto del proyecto.</w:t>
      </w:r>
    </w:p>
    <w:p w:rsidR="006312E8" w:rsidRPr="006312E8" w:rsidRDefault="006312E8" w:rsidP="0092471C">
      <w:pPr>
        <w:numPr>
          <w:ilvl w:val="0"/>
          <w:numId w:val="236"/>
        </w:numPr>
        <w:autoSpaceDE w:val="0"/>
        <w:autoSpaceDN w:val="0"/>
        <w:adjustRightInd w:val="0"/>
        <w:spacing w:after="0" w:line="240" w:lineRule="auto"/>
        <w:contextualSpacing/>
        <w:jc w:val="both"/>
        <w:rPr>
          <w:rFonts w:ascii="Arial" w:hAnsi="Arial" w:cs="Arial"/>
        </w:rPr>
      </w:pPr>
      <w:r w:rsidRPr="006312E8">
        <w:rPr>
          <w:rFonts w:ascii="Arial" w:hAnsi="Arial" w:cs="Arial"/>
        </w:rPr>
        <w:t>Precisión del Área necesaria para el desarrollo del proyecto.</w:t>
      </w:r>
    </w:p>
    <w:p w:rsidR="006312E8" w:rsidRPr="006312E8" w:rsidRDefault="006312E8" w:rsidP="0092471C">
      <w:pPr>
        <w:numPr>
          <w:ilvl w:val="0"/>
          <w:numId w:val="236"/>
        </w:numPr>
        <w:autoSpaceDE w:val="0"/>
        <w:autoSpaceDN w:val="0"/>
        <w:adjustRightInd w:val="0"/>
        <w:spacing w:after="0" w:line="240" w:lineRule="auto"/>
        <w:contextualSpacing/>
        <w:jc w:val="both"/>
        <w:rPr>
          <w:rFonts w:ascii="Arial" w:hAnsi="Arial" w:cs="Arial"/>
        </w:rPr>
      </w:pPr>
      <w:r w:rsidRPr="006312E8">
        <w:rPr>
          <w:rFonts w:ascii="Arial" w:hAnsi="Arial" w:cs="Arial"/>
        </w:rPr>
        <w:t>El Proyecto de Inversión al cual está vinculado el Proyecto Eléctrico deberá estar calificado como tal, por el Subsector o Sector correspondiente.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92471C">
      <w:pPr>
        <w:numPr>
          <w:ilvl w:val="1"/>
          <w:numId w:val="135"/>
        </w:numPr>
        <w:autoSpaceDE w:val="0"/>
        <w:autoSpaceDN w:val="0"/>
        <w:adjustRightInd w:val="0"/>
        <w:spacing w:after="0" w:line="240" w:lineRule="auto"/>
        <w:ind w:left="426"/>
        <w:contextualSpacing/>
        <w:jc w:val="both"/>
        <w:rPr>
          <w:rFonts w:ascii="Arial" w:hAnsi="Arial" w:cs="Arial"/>
          <w:b/>
          <w:bCs/>
        </w:rPr>
      </w:pPr>
      <w:r w:rsidRPr="006312E8">
        <w:rPr>
          <w:rFonts w:ascii="Arial" w:hAnsi="Arial" w:cs="Arial"/>
          <w:b/>
          <w:bCs/>
        </w:rPr>
        <w:t>Precisión del Área del Proyecto Eléctrico</w:t>
      </w:r>
    </w:p>
    <w:p w:rsidR="006312E8" w:rsidRPr="006312E8" w:rsidRDefault="006312E8" w:rsidP="006312E8">
      <w:pPr>
        <w:autoSpaceDE w:val="0"/>
        <w:autoSpaceDN w:val="0"/>
        <w:adjustRightInd w:val="0"/>
        <w:spacing w:after="0" w:line="240" w:lineRule="auto"/>
        <w:ind w:left="1065"/>
        <w:contextualSpacing/>
        <w:jc w:val="both"/>
        <w:rPr>
          <w:rFonts w:ascii="Arial" w:hAnsi="Arial" w:cs="Arial"/>
          <w:b/>
          <w:bCs/>
        </w:rPr>
      </w:pPr>
    </w:p>
    <w:p w:rsidR="006312E8" w:rsidRPr="006312E8" w:rsidRDefault="006312E8" w:rsidP="006312E8">
      <w:pPr>
        <w:autoSpaceDE w:val="0"/>
        <w:autoSpaceDN w:val="0"/>
        <w:adjustRightInd w:val="0"/>
        <w:spacing w:after="0" w:line="240" w:lineRule="auto"/>
        <w:ind w:left="426"/>
        <w:jc w:val="both"/>
        <w:rPr>
          <w:rFonts w:ascii="Arial" w:hAnsi="Arial" w:cs="Arial"/>
        </w:rPr>
      </w:pPr>
      <w:r w:rsidRPr="006312E8">
        <w:rPr>
          <w:rFonts w:ascii="Arial" w:hAnsi="Arial" w:cs="Arial"/>
        </w:rPr>
        <w:t>El área necesaria para el desarrollo del Proyecto de Inversión se encuentra señalada en la solicitud o resolución de otorgamiento de Concesión Definitiva o Autorización, indicándose en coordenadas UTM (PSAD56).</w:t>
      </w:r>
    </w:p>
    <w:p w:rsidR="006312E8" w:rsidRPr="006312E8" w:rsidRDefault="006312E8" w:rsidP="006312E8">
      <w:pPr>
        <w:autoSpaceDE w:val="0"/>
        <w:autoSpaceDN w:val="0"/>
        <w:adjustRightInd w:val="0"/>
        <w:spacing w:after="0" w:line="240" w:lineRule="auto"/>
        <w:ind w:left="426"/>
        <w:jc w:val="both"/>
        <w:rPr>
          <w:rFonts w:ascii="Arial" w:hAnsi="Arial" w:cs="Arial"/>
        </w:rPr>
      </w:pPr>
    </w:p>
    <w:p w:rsidR="006312E8" w:rsidRPr="006312E8" w:rsidRDefault="006312E8" w:rsidP="006312E8">
      <w:pPr>
        <w:autoSpaceDE w:val="0"/>
        <w:autoSpaceDN w:val="0"/>
        <w:adjustRightInd w:val="0"/>
        <w:spacing w:after="0" w:line="240" w:lineRule="auto"/>
        <w:ind w:left="426"/>
        <w:jc w:val="both"/>
        <w:rPr>
          <w:rFonts w:ascii="Arial" w:hAnsi="Arial" w:cs="Arial"/>
        </w:rPr>
      </w:pPr>
      <w:r w:rsidRPr="006312E8">
        <w:rPr>
          <w:rFonts w:ascii="Arial" w:hAnsi="Arial" w:cs="Arial"/>
        </w:rPr>
        <w:t>En el caso de proyectos que cuenten con Contrato de Inversión o Proyectos Eléctricos que están vinculados a otros Proyectos de Inversión, el área de terreno necesario para el desarrollo del Proyecto de Inversión deberá ser presentada en la solicitud de servidumbre sobre terrenos eriazos de propiedad estatal, indicándose en coordenadas UTM (PSAD56), y no debe ser mayor al área de influencia directa del proyecto, definida en el Estudio de Impacto Ambiental.</w:t>
      </w:r>
    </w:p>
    <w:p w:rsidR="006312E8" w:rsidRPr="006312E8" w:rsidRDefault="006312E8" w:rsidP="006312E8">
      <w:pPr>
        <w:autoSpaceDE w:val="0"/>
        <w:autoSpaceDN w:val="0"/>
        <w:adjustRightInd w:val="0"/>
        <w:spacing w:after="0" w:line="240" w:lineRule="auto"/>
        <w:jc w:val="both"/>
        <w:rPr>
          <w:rFonts w:ascii="Arial" w:hAnsi="Arial" w:cs="Arial"/>
          <w:b/>
          <w:bCs/>
        </w:rPr>
      </w:pPr>
    </w:p>
    <w:p w:rsidR="006312E8" w:rsidRPr="006312E8" w:rsidRDefault="006312E8" w:rsidP="0092471C">
      <w:pPr>
        <w:numPr>
          <w:ilvl w:val="1"/>
          <w:numId w:val="135"/>
        </w:numPr>
        <w:autoSpaceDE w:val="0"/>
        <w:autoSpaceDN w:val="0"/>
        <w:adjustRightInd w:val="0"/>
        <w:spacing w:after="0" w:line="240" w:lineRule="auto"/>
        <w:ind w:left="426"/>
        <w:contextualSpacing/>
        <w:jc w:val="both"/>
        <w:rPr>
          <w:rFonts w:ascii="Arial" w:hAnsi="Arial" w:cs="Arial"/>
          <w:b/>
          <w:bCs/>
        </w:rPr>
      </w:pPr>
      <w:r w:rsidRPr="006312E8">
        <w:rPr>
          <w:rFonts w:ascii="Arial" w:hAnsi="Arial" w:cs="Arial"/>
          <w:b/>
          <w:bCs/>
        </w:rPr>
        <w:t>Precisión sobre la servidumbre solicitada</w:t>
      </w:r>
    </w:p>
    <w:p w:rsidR="006312E8" w:rsidRPr="006312E8" w:rsidRDefault="006312E8" w:rsidP="006312E8">
      <w:pPr>
        <w:autoSpaceDE w:val="0"/>
        <w:autoSpaceDN w:val="0"/>
        <w:adjustRightInd w:val="0"/>
        <w:spacing w:after="0" w:line="240" w:lineRule="auto"/>
        <w:jc w:val="both"/>
        <w:rPr>
          <w:rFonts w:ascii="Arial" w:hAnsi="Arial" w:cs="Arial"/>
        </w:rPr>
      </w:pPr>
    </w:p>
    <w:p w:rsidR="006312E8" w:rsidRPr="006312E8" w:rsidRDefault="006312E8" w:rsidP="006312E8">
      <w:pPr>
        <w:autoSpaceDE w:val="0"/>
        <w:autoSpaceDN w:val="0"/>
        <w:adjustRightInd w:val="0"/>
        <w:spacing w:after="0" w:line="240" w:lineRule="auto"/>
        <w:ind w:left="426"/>
        <w:jc w:val="both"/>
        <w:rPr>
          <w:rFonts w:ascii="Arial" w:hAnsi="Arial" w:cs="Arial"/>
        </w:rPr>
      </w:pPr>
      <w:r w:rsidRPr="006312E8">
        <w:rPr>
          <w:rFonts w:ascii="Arial" w:hAnsi="Arial" w:cs="Arial"/>
        </w:rPr>
        <w:t>El área de servidumbre solicitada deberá comprender el área de la concesión otorgada o el área indicada en su solicitud admitida a trámite.</w:t>
      </w:r>
    </w:p>
    <w:p w:rsidR="006312E8" w:rsidRPr="006312E8" w:rsidRDefault="006312E8" w:rsidP="006312E8">
      <w:pPr>
        <w:autoSpaceDE w:val="0"/>
        <w:autoSpaceDN w:val="0"/>
        <w:adjustRightInd w:val="0"/>
        <w:spacing w:after="0" w:line="240" w:lineRule="auto"/>
        <w:rPr>
          <w:rFonts w:ascii="Arial" w:hAnsi="Arial" w:cs="Arial"/>
          <w:b/>
          <w:bCs/>
        </w:rPr>
      </w:pPr>
    </w:p>
    <w:p w:rsidR="006312E8" w:rsidRPr="006312E8" w:rsidRDefault="006312E8" w:rsidP="006312E8">
      <w:pPr>
        <w:autoSpaceDE w:val="0"/>
        <w:autoSpaceDN w:val="0"/>
        <w:adjustRightInd w:val="0"/>
        <w:spacing w:after="0" w:line="240" w:lineRule="auto"/>
        <w:rPr>
          <w:rFonts w:ascii="Arial" w:hAnsi="Arial" w:cs="Arial"/>
          <w:b/>
          <w:bCs/>
        </w:rPr>
      </w:pPr>
      <w:r w:rsidRPr="006312E8">
        <w:rPr>
          <w:rFonts w:ascii="Arial" w:hAnsi="Arial" w:cs="Arial"/>
          <w:b/>
          <w:bCs/>
        </w:rPr>
        <w:t>IV.- PRESENTACIÓN DE INFORMACIÓN</w:t>
      </w:r>
    </w:p>
    <w:p w:rsidR="006312E8" w:rsidRPr="006312E8" w:rsidRDefault="006312E8" w:rsidP="006312E8">
      <w:pPr>
        <w:autoSpaceDE w:val="0"/>
        <w:autoSpaceDN w:val="0"/>
        <w:adjustRightInd w:val="0"/>
        <w:spacing w:after="0" w:line="240" w:lineRule="auto"/>
        <w:rPr>
          <w:rFonts w:ascii="Arial" w:hAnsi="Arial" w:cs="Arial"/>
          <w:b/>
          <w:bCs/>
        </w:rPr>
      </w:pPr>
    </w:p>
    <w:p w:rsidR="006312E8" w:rsidRPr="006312E8" w:rsidRDefault="006312E8" w:rsidP="006312E8">
      <w:pPr>
        <w:autoSpaceDE w:val="0"/>
        <w:autoSpaceDN w:val="0"/>
        <w:adjustRightInd w:val="0"/>
        <w:spacing w:after="0" w:line="240" w:lineRule="auto"/>
        <w:ind w:left="426"/>
        <w:jc w:val="both"/>
        <w:rPr>
          <w:rFonts w:ascii="Arial" w:hAnsi="Arial" w:cs="Arial"/>
        </w:rPr>
      </w:pPr>
      <w:r w:rsidRPr="006312E8">
        <w:rPr>
          <w:rFonts w:ascii="Arial" w:hAnsi="Arial" w:cs="Arial"/>
        </w:rPr>
        <w:t>Las solicitudes de servidumbre sobre terrenos eriazos de propiedad estatal, enmarcadas dentro del Decreto Supremo Nº 054-2013-PCM, deben contener, entre otros aspectos, la siguiente información del proyecto de inversión:</w:t>
      </w:r>
    </w:p>
    <w:p w:rsidR="006312E8" w:rsidRPr="006312E8" w:rsidRDefault="006312E8" w:rsidP="006312E8">
      <w:pPr>
        <w:spacing w:after="0" w:line="240" w:lineRule="auto"/>
        <w:contextualSpacing/>
        <w:jc w:val="both"/>
        <w:rPr>
          <w:rFonts w:ascii="Arial" w:eastAsia="Calibri" w:hAnsi="Arial" w:cs="Arial"/>
          <w:lang w:val="es-ES"/>
        </w:rPr>
      </w:pPr>
    </w:p>
    <w:tbl>
      <w:tblPr>
        <w:tblStyle w:val="Tablaconcuadrcula"/>
        <w:tblW w:w="0" w:type="auto"/>
        <w:tblLook w:val="04A0" w:firstRow="1" w:lastRow="0" w:firstColumn="1" w:lastColumn="0" w:noHBand="0" w:noVBand="1"/>
      </w:tblPr>
      <w:tblGrid>
        <w:gridCol w:w="2972"/>
        <w:gridCol w:w="1701"/>
        <w:gridCol w:w="1843"/>
        <w:gridCol w:w="1664"/>
        <w:gridCol w:w="1668"/>
      </w:tblGrid>
      <w:tr w:rsidR="006312E8" w:rsidRPr="006312E8" w:rsidTr="00D04998">
        <w:tc>
          <w:tcPr>
            <w:tcW w:w="2972" w:type="dxa"/>
          </w:tcPr>
          <w:p w:rsidR="006312E8" w:rsidRPr="006312E8" w:rsidRDefault="006312E8" w:rsidP="006312E8">
            <w:pPr>
              <w:contextualSpacing/>
              <w:jc w:val="center"/>
              <w:rPr>
                <w:rFonts w:ascii="Arial" w:eastAsia="Calibri" w:hAnsi="Arial" w:cs="Arial"/>
                <w:b/>
                <w:sz w:val="14"/>
                <w:szCs w:val="14"/>
                <w:lang w:val="es-ES"/>
              </w:rPr>
            </w:pPr>
          </w:p>
          <w:p w:rsidR="006312E8" w:rsidRPr="006312E8" w:rsidRDefault="006312E8" w:rsidP="006312E8">
            <w:pPr>
              <w:contextualSpacing/>
              <w:jc w:val="center"/>
              <w:rPr>
                <w:rFonts w:ascii="Arial" w:eastAsia="Calibri" w:hAnsi="Arial" w:cs="Arial"/>
                <w:b/>
                <w:sz w:val="14"/>
                <w:szCs w:val="14"/>
                <w:lang w:val="es-ES"/>
              </w:rPr>
            </w:pPr>
          </w:p>
          <w:p w:rsidR="006312E8" w:rsidRPr="006312E8" w:rsidRDefault="006312E8" w:rsidP="006312E8">
            <w:pPr>
              <w:contextualSpacing/>
              <w:jc w:val="center"/>
              <w:rPr>
                <w:rFonts w:ascii="Arial" w:eastAsia="Calibri" w:hAnsi="Arial" w:cs="Arial"/>
                <w:b/>
                <w:sz w:val="14"/>
                <w:szCs w:val="14"/>
                <w:lang w:val="es-ES"/>
              </w:rPr>
            </w:pPr>
          </w:p>
          <w:p w:rsidR="006312E8" w:rsidRPr="006312E8" w:rsidRDefault="006312E8" w:rsidP="006312E8">
            <w:pPr>
              <w:contextualSpacing/>
              <w:jc w:val="center"/>
              <w:rPr>
                <w:rFonts w:ascii="Arial" w:eastAsia="Calibri" w:hAnsi="Arial" w:cs="Arial"/>
                <w:b/>
                <w:sz w:val="14"/>
                <w:szCs w:val="14"/>
                <w:lang w:val="es-ES"/>
              </w:rPr>
            </w:pPr>
          </w:p>
          <w:p w:rsidR="006312E8" w:rsidRPr="006312E8" w:rsidRDefault="006312E8" w:rsidP="006312E8">
            <w:pPr>
              <w:contextualSpacing/>
              <w:jc w:val="center"/>
              <w:rPr>
                <w:rFonts w:ascii="Arial" w:eastAsia="Calibri" w:hAnsi="Arial" w:cs="Arial"/>
                <w:b/>
                <w:sz w:val="14"/>
                <w:szCs w:val="14"/>
                <w:lang w:val="es-ES"/>
              </w:rPr>
            </w:pPr>
          </w:p>
          <w:p w:rsidR="006312E8" w:rsidRPr="006312E8" w:rsidRDefault="006312E8" w:rsidP="006312E8">
            <w:pPr>
              <w:contextualSpacing/>
              <w:jc w:val="center"/>
              <w:rPr>
                <w:rFonts w:ascii="Arial" w:eastAsia="Calibri" w:hAnsi="Arial" w:cs="Arial"/>
                <w:b/>
                <w:sz w:val="14"/>
                <w:szCs w:val="14"/>
                <w:lang w:val="es-ES"/>
              </w:rPr>
            </w:pPr>
          </w:p>
          <w:p w:rsidR="006312E8" w:rsidRPr="006312E8" w:rsidRDefault="006312E8" w:rsidP="006312E8">
            <w:pPr>
              <w:contextualSpacing/>
              <w:jc w:val="center"/>
              <w:rPr>
                <w:rFonts w:ascii="Arial" w:eastAsia="Calibri" w:hAnsi="Arial" w:cs="Arial"/>
                <w:b/>
                <w:sz w:val="14"/>
                <w:szCs w:val="14"/>
                <w:lang w:val="es-ES"/>
              </w:rPr>
            </w:pPr>
            <w:r w:rsidRPr="006312E8">
              <w:rPr>
                <w:rFonts w:ascii="Arial" w:eastAsia="Calibri" w:hAnsi="Arial" w:cs="Arial"/>
                <w:b/>
                <w:sz w:val="14"/>
                <w:szCs w:val="14"/>
                <w:lang w:val="es-ES"/>
              </w:rPr>
              <w:t>Información a ser presentada</w:t>
            </w:r>
          </w:p>
        </w:tc>
        <w:tc>
          <w:tcPr>
            <w:tcW w:w="1701" w:type="dxa"/>
          </w:tcPr>
          <w:p w:rsidR="006312E8" w:rsidRPr="006312E8" w:rsidRDefault="006312E8" w:rsidP="0092471C">
            <w:pPr>
              <w:numPr>
                <w:ilvl w:val="0"/>
                <w:numId w:val="237"/>
              </w:numPr>
              <w:contextualSpacing/>
              <w:jc w:val="both"/>
              <w:rPr>
                <w:rFonts w:ascii="Arial" w:eastAsia="Calibri" w:hAnsi="Arial" w:cs="Arial"/>
                <w:b/>
                <w:sz w:val="14"/>
                <w:szCs w:val="14"/>
                <w:lang w:val="es-ES"/>
              </w:rPr>
            </w:pPr>
            <w:r w:rsidRPr="006312E8">
              <w:rPr>
                <w:rFonts w:ascii="Arial" w:eastAsia="Calibri" w:hAnsi="Arial" w:cs="Arial"/>
                <w:b/>
                <w:sz w:val="14"/>
                <w:szCs w:val="14"/>
                <w:lang w:val="es-ES"/>
              </w:rPr>
              <w:t>Proyectos con Concesión Definitiva o con solicitud de Concesión Definitiva admitida a trámite</w:t>
            </w:r>
          </w:p>
        </w:tc>
        <w:tc>
          <w:tcPr>
            <w:tcW w:w="1843" w:type="dxa"/>
          </w:tcPr>
          <w:p w:rsidR="006312E8" w:rsidRPr="006312E8" w:rsidRDefault="006312E8" w:rsidP="0092471C">
            <w:pPr>
              <w:numPr>
                <w:ilvl w:val="0"/>
                <w:numId w:val="237"/>
              </w:numPr>
              <w:contextualSpacing/>
              <w:jc w:val="both"/>
              <w:rPr>
                <w:rFonts w:ascii="Arial" w:eastAsia="Calibri" w:hAnsi="Arial" w:cs="Arial"/>
                <w:b/>
                <w:sz w:val="14"/>
                <w:szCs w:val="14"/>
                <w:lang w:val="es-ES"/>
              </w:rPr>
            </w:pPr>
            <w:r w:rsidRPr="006312E8">
              <w:rPr>
                <w:rFonts w:ascii="Arial" w:eastAsia="Calibri" w:hAnsi="Arial" w:cs="Arial"/>
                <w:b/>
                <w:sz w:val="14"/>
                <w:szCs w:val="14"/>
                <w:lang w:val="es-ES"/>
              </w:rPr>
              <w:t>Proyectos que cuentan con Autorización</w:t>
            </w:r>
          </w:p>
        </w:tc>
        <w:tc>
          <w:tcPr>
            <w:tcW w:w="1664" w:type="dxa"/>
          </w:tcPr>
          <w:p w:rsidR="006312E8" w:rsidRPr="006312E8" w:rsidRDefault="006312E8" w:rsidP="0092471C">
            <w:pPr>
              <w:numPr>
                <w:ilvl w:val="0"/>
                <w:numId w:val="237"/>
              </w:numPr>
              <w:contextualSpacing/>
              <w:jc w:val="both"/>
              <w:rPr>
                <w:rFonts w:ascii="Arial" w:eastAsia="Calibri" w:hAnsi="Arial" w:cs="Arial"/>
                <w:b/>
                <w:sz w:val="14"/>
                <w:szCs w:val="14"/>
                <w:lang w:val="es-ES"/>
              </w:rPr>
            </w:pPr>
            <w:r w:rsidRPr="006312E8">
              <w:rPr>
                <w:rFonts w:ascii="Arial" w:eastAsia="Calibri" w:hAnsi="Arial" w:cs="Arial"/>
                <w:b/>
                <w:sz w:val="14"/>
                <w:szCs w:val="14"/>
                <w:lang w:val="es-ES"/>
              </w:rPr>
              <w:t>Proyectos que cuentan con Contratos de Inversión (término general)</w:t>
            </w:r>
          </w:p>
        </w:tc>
        <w:tc>
          <w:tcPr>
            <w:tcW w:w="1668" w:type="dxa"/>
          </w:tcPr>
          <w:p w:rsidR="006312E8" w:rsidRPr="006312E8" w:rsidRDefault="006312E8" w:rsidP="0092471C">
            <w:pPr>
              <w:numPr>
                <w:ilvl w:val="0"/>
                <w:numId w:val="237"/>
              </w:numPr>
              <w:contextualSpacing/>
              <w:jc w:val="both"/>
              <w:rPr>
                <w:rFonts w:ascii="Arial" w:eastAsia="Calibri" w:hAnsi="Arial" w:cs="Arial"/>
                <w:b/>
                <w:sz w:val="14"/>
                <w:szCs w:val="14"/>
                <w:lang w:val="es-ES"/>
              </w:rPr>
            </w:pPr>
            <w:r w:rsidRPr="006312E8">
              <w:rPr>
                <w:rFonts w:ascii="Arial" w:eastAsia="Calibri" w:hAnsi="Arial" w:cs="Arial"/>
                <w:b/>
                <w:sz w:val="14"/>
                <w:szCs w:val="14"/>
                <w:lang w:val="es-ES"/>
              </w:rPr>
              <w:t>Proyectos Eléctricos que están vinculados a otros Proyectos de Inversión</w:t>
            </w:r>
          </w:p>
        </w:tc>
      </w:tr>
      <w:tr w:rsidR="006312E8" w:rsidRPr="006312E8" w:rsidTr="00D04998">
        <w:tc>
          <w:tcPr>
            <w:tcW w:w="2972" w:type="dxa"/>
          </w:tcPr>
          <w:p w:rsidR="006312E8" w:rsidRPr="006312E8" w:rsidRDefault="006312E8" w:rsidP="006312E8">
            <w:pPr>
              <w:contextualSpacing/>
              <w:jc w:val="both"/>
              <w:rPr>
                <w:rFonts w:ascii="Arial" w:eastAsia="Calibri" w:hAnsi="Arial" w:cs="Arial"/>
                <w:sz w:val="14"/>
                <w:szCs w:val="14"/>
                <w:lang w:val="es-ES"/>
              </w:rPr>
            </w:pPr>
            <w:r w:rsidRPr="006312E8">
              <w:rPr>
                <w:rFonts w:ascii="Arial" w:eastAsia="Calibri" w:hAnsi="Arial" w:cs="Arial"/>
                <w:sz w:val="14"/>
                <w:szCs w:val="14"/>
                <w:lang w:val="es-ES"/>
              </w:rPr>
              <w:t>Resumen Ejecutivo del Estudio a nivel de Factibilidad, conteniendo una Memoria Descriptiva</w:t>
            </w:r>
          </w:p>
        </w:tc>
        <w:tc>
          <w:tcPr>
            <w:tcW w:w="1701" w:type="dxa"/>
          </w:tcPr>
          <w:p w:rsidR="006312E8" w:rsidRPr="006312E8" w:rsidRDefault="006312E8" w:rsidP="006312E8">
            <w:pPr>
              <w:contextualSpacing/>
              <w:jc w:val="center"/>
              <w:rPr>
                <w:rFonts w:ascii="Arial" w:eastAsia="Calibri" w:hAnsi="Arial" w:cs="Arial"/>
                <w:sz w:val="14"/>
                <w:szCs w:val="14"/>
                <w:lang w:val="es-ES"/>
              </w:rPr>
            </w:pPr>
            <w:r w:rsidRPr="006312E8">
              <w:rPr>
                <w:noProof/>
                <w:lang w:val="es-MX" w:eastAsia="es-MX"/>
              </w:rPr>
              <w:drawing>
                <wp:inline distT="0" distB="0" distL="0" distR="0" wp14:anchorId="6041C3E1" wp14:editId="56046894">
                  <wp:extent cx="233083" cy="210820"/>
                  <wp:effectExtent l="0" t="0" r="0" b="0"/>
                  <wp:docPr id="84" name="Imagen 84" descr="http://www.iua.upf.es/formats/formats2/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ua.upf.es/formats/formats2/ok.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6795" cy="214177"/>
                          </a:xfrm>
                          <a:prstGeom prst="rect">
                            <a:avLst/>
                          </a:prstGeom>
                          <a:noFill/>
                          <a:ln>
                            <a:noFill/>
                          </a:ln>
                        </pic:spPr>
                      </pic:pic>
                    </a:graphicData>
                  </a:graphic>
                </wp:inline>
              </w:drawing>
            </w:r>
          </w:p>
        </w:tc>
        <w:tc>
          <w:tcPr>
            <w:tcW w:w="1843" w:type="dxa"/>
          </w:tcPr>
          <w:p w:rsidR="006312E8" w:rsidRPr="006312E8" w:rsidRDefault="006312E8" w:rsidP="006312E8">
            <w:pPr>
              <w:jc w:val="center"/>
            </w:pPr>
            <w:r w:rsidRPr="006312E8">
              <w:rPr>
                <w:noProof/>
                <w:lang w:val="es-MX" w:eastAsia="es-MX"/>
              </w:rPr>
              <w:drawing>
                <wp:inline distT="0" distB="0" distL="0" distR="0" wp14:anchorId="022CC771" wp14:editId="0AEBED15">
                  <wp:extent cx="233083" cy="210820"/>
                  <wp:effectExtent l="0" t="0" r="0" b="0"/>
                  <wp:docPr id="85" name="Imagen 85" descr="http://www.iua.upf.es/formats/formats2/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ua.upf.es/formats/formats2/ok.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6795" cy="214177"/>
                          </a:xfrm>
                          <a:prstGeom prst="rect">
                            <a:avLst/>
                          </a:prstGeom>
                          <a:noFill/>
                          <a:ln>
                            <a:noFill/>
                          </a:ln>
                        </pic:spPr>
                      </pic:pic>
                    </a:graphicData>
                  </a:graphic>
                </wp:inline>
              </w:drawing>
            </w:r>
          </w:p>
        </w:tc>
        <w:tc>
          <w:tcPr>
            <w:tcW w:w="1664" w:type="dxa"/>
          </w:tcPr>
          <w:p w:rsidR="006312E8" w:rsidRPr="006312E8" w:rsidRDefault="006312E8" w:rsidP="006312E8">
            <w:pPr>
              <w:jc w:val="center"/>
            </w:pPr>
            <w:r w:rsidRPr="006312E8">
              <w:rPr>
                <w:noProof/>
                <w:lang w:val="es-MX" w:eastAsia="es-MX"/>
              </w:rPr>
              <w:drawing>
                <wp:inline distT="0" distB="0" distL="0" distR="0" wp14:anchorId="17F2E67F" wp14:editId="5C815285">
                  <wp:extent cx="233083" cy="210820"/>
                  <wp:effectExtent l="0" t="0" r="0" b="0"/>
                  <wp:docPr id="86" name="Imagen 86" descr="http://www.iua.upf.es/formats/formats2/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ua.upf.es/formats/formats2/ok.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6795" cy="214177"/>
                          </a:xfrm>
                          <a:prstGeom prst="rect">
                            <a:avLst/>
                          </a:prstGeom>
                          <a:noFill/>
                          <a:ln>
                            <a:noFill/>
                          </a:ln>
                        </pic:spPr>
                      </pic:pic>
                    </a:graphicData>
                  </a:graphic>
                </wp:inline>
              </w:drawing>
            </w:r>
          </w:p>
        </w:tc>
        <w:tc>
          <w:tcPr>
            <w:tcW w:w="1668" w:type="dxa"/>
          </w:tcPr>
          <w:p w:rsidR="006312E8" w:rsidRPr="006312E8" w:rsidRDefault="006312E8" w:rsidP="006312E8">
            <w:pPr>
              <w:jc w:val="center"/>
            </w:pPr>
            <w:r w:rsidRPr="006312E8">
              <w:rPr>
                <w:noProof/>
                <w:lang w:val="es-MX" w:eastAsia="es-MX"/>
              </w:rPr>
              <w:drawing>
                <wp:inline distT="0" distB="0" distL="0" distR="0" wp14:anchorId="68479257" wp14:editId="1CC609D8">
                  <wp:extent cx="233083" cy="210820"/>
                  <wp:effectExtent l="0" t="0" r="0" b="0"/>
                  <wp:docPr id="87" name="Imagen 87" descr="http://www.iua.upf.es/formats/formats2/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ua.upf.es/formats/formats2/ok.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6795" cy="214177"/>
                          </a:xfrm>
                          <a:prstGeom prst="rect">
                            <a:avLst/>
                          </a:prstGeom>
                          <a:noFill/>
                          <a:ln>
                            <a:noFill/>
                          </a:ln>
                        </pic:spPr>
                      </pic:pic>
                    </a:graphicData>
                  </a:graphic>
                </wp:inline>
              </w:drawing>
            </w:r>
          </w:p>
        </w:tc>
      </w:tr>
      <w:tr w:rsidR="006312E8" w:rsidRPr="006312E8" w:rsidTr="00D04998">
        <w:tc>
          <w:tcPr>
            <w:tcW w:w="2972" w:type="dxa"/>
          </w:tcPr>
          <w:p w:rsidR="006312E8" w:rsidRPr="006312E8" w:rsidRDefault="006312E8" w:rsidP="006312E8">
            <w:pPr>
              <w:contextualSpacing/>
              <w:jc w:val="both"/>
              <w:rPr>
                <w:rFonts w:ascii="Arial" w:eastAsia="Calibri" w:hAnsi="Arial" w:cs="Arial"/>
                <w:sz w:val="14"/>
                <w:szCs w:val="14"/>
                <w:lang w:val="es-ES"/>
              </w:rPr>
            </w:pPr>
            <w:r w:rsidRPr="006312E8">
              <w:rPr>
                <w:rFonts w:ascii="Arial" w:eastAsia="Calibri" w:hAnsi="Arial" w:cs="Arial"/>
                <w:sz w:val="14"/>
                <w:szCs w:val="14"/>
                <w:lang w:val="es-ES"/>
              </w:rPr>
              <w:t>Copia de la Resolución que otorga la Concesión Definitiva o del oficio de admisión a trámite</w:t>
            </w:r>
          </w:p>
        </w:tc>
        <w:tc>
          <w:tcPr>
            <w:tcW w:w="1701" w:type="dxa"/>
          </w:tcPr>
          <w:p w:rsidR="006312E8" w:rsidRPr="006312E8" w:rsidRDefault="006312E8" w:rsidP="006312E8">
            <w:pPr>
              <w:contextualSpacing/>
              <w:jc w:val="center"/>
              <w:rPr>
                <w:rFonts w:ascii="Arial" w:eastAsia="Calibri" w:hAnsi="Arial" w:cs="Arial"/>
                <w:sz w:val="14"/>
                <w:szCs w:val="14"/>
                <w:lang w:val="es-ES"/>
              </w:rPr>
            </w:pPr>
            <w:r w:rsidRPr="006312E8">
              <w:rPr>
                <w:noProof/>
                <w:lang w:val="es-MX" w:eastAsia="es-MX"/>
              </w:rPr>
              <w:drawing>
                <wp:inline distT="0" distB="0" distL="0" distR="0" wp14:anchorId="74746F12" wp14:editId="31D5E9F2">
                  <wp:extent cx="233083" cy="210820"/>
                  <wp:effectExtent l="0" t="0" r="0" b="0"/>
                  <wp:docPr id="88" name="Imagen 88" descr="http://www.iua.upf.es/formats/formats2/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ua.upf.es/formats/formats2/ok.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6795" cy="214177"/>
                          </a:xfrm>
                          <a:prstGeom prst="rect">
                            <a:avLst/>
                          </a:prstGeom>
                          <a:noFill/>
                          <a:ln>
                            <a:noFill/>
                          </a:ln>
                        </pic:spPr>
                      </pic:pic>
                    </a:graphicData>
                  </a:graphic>
                </wp:inline>
              </w:drawing>
            </w:r>
          </w:p>
        </w:tc>
        <w:tc>
          <w:tcPr>
            <w:tcW w:w="1843" w:type="dxa"/>
          </w:tcPr>
          <w:p w:rsidR="006312E8" w:rsidRPr="006312E8" w:rsidRDefault="006312E8" w:rsidP="006312E8">
            <w:pPr>
              <w:contextualSpacing/>
              <w:jc w:val="center"/>
              <w:rPr>
                <w:rFonts w:ascii="Arial" w:eastAsia="Calibri" w:hAnsi="Arial" w:cs="Arial"/>
                <w:sz w:val="14"/>
                <w:szCs w:val="14"/>
                <w:lang w:val="es-ES"/>
              </w:rPr>
            </w:pPr>
          </w:p>
        </w:tc>
        <w:tc>
          <w:tcPr>
            <w:tcW w:w="1664" w:type="dxa"/>
          </w:tcPr>
          <w:p w:rsidR="006312E8" w:rsidRPr="006312E8" w:rsidRDefault="006312E8" w:rsidP="006312E8">
            <w:pPr>
              <w:contextualSpacing/>
              <w:jc w:val="center"/>
              <w:rPr>
                <w:rFonts w:ascii="Arial" w:eastAsia="Calibri" w:hAnsi="Arial" w:cs="Arial"/>
                <w:sz w:val="14"/>
                <w:szCs w:val="14"/>
                <w:lang w:val="es-ES"/>
              </w:rPr>
            </w:pPr>
          </w:p>
        </w:tc>
        <w:tc>
          <w:tcPr>
            <w:tcW w:w="1668" w:type="dxa"/>
          </w:tcPr>
          <w:p w:rsidR="006312E8" w:rsidRPr="006312E8" w:rsidRDefault="006312E8" w:rsidP="006312E8">
            <w:pPr>
              <w:contextualSpacing/>
              <w:jc w:val="center"/>
              <w:rPr>
                <w:rFonts w:ascii="Arial" w:eastAsia="Calibri" w:hAnsi="Arial" w:cs="Arial"/>
                <w:sz w:val="14"/>
                <w:szCs w:val="14"/>
                <w:lang w:val="es-ES"/>
              </w:rPr>
            </w:pPr>
          </w:p>
        </w:tc>
      </w:tr>
      <w:tr w:rsidR="006312E8" w:rsidRPr="006312E8" w:rsidTr="00D04998">
        <w:tc>
          <w:tcPr>
            <w:tcW w:w="2972" w:type="dxa"/>
          </w:tcPr>
          <w:p w:rsidR="006312E8" w:rsidRPr="006312E8" w:rsidRDefault="006312E8" w:rsidP="006312E8">
            <w:pPr>
              <w:contextualSpacing/>
              <w:jc w:val="both"/>
              <w:rPr>
                <w:rFonts w:ascii="Arial" w:eastAsia="Calibri" w:hAnsi="Arial" w:cs="Arial"/>
                <w:sz w:val="14"/>
                <w:szCs w:val="14"/>
                <w:lang w:val="es-ES"/>
              </w:rPr>
            </w:pPr>
            <w:r w:rsidRPr="006312E8">
              <w:rPr>
                <w:rFonts w:ascii="Arial" w:eastAsia="Calibri" w:hAnsi="Arial" w:cs="Arial"/>
                <w:sz w:val="14"/>
                <w:szCs w:val="14"/>
                <w:lang w:val="es-ES"/>
              </w:rPr>
              <w:t>Copia de la Resolución que otorga la Autorización</w:t>
            </w:r>
          </w:p>
        </w:tc>
        <w:tc>
          <w:tcPr>
            <w:tcW w:w="1701" w:type="dxa"/>
          </w:tcPr>
          <w:p w:rsidR="006312E8" w:rsidRPr="006312E8" w:rsidRDefault="006312E8" w:rsidP="006312E8">
            <w:pPr>
              <w:contextualSpacing/>
              <w:jc w:val="center"/>
              <w:rPr>
                <w:rFonts w:ascii="Arial" w:eastAsia="Calibri" w:hAnsi="Arial" w:cs="Arial"/>
                <w:sz w:val="14"/>
                <w:szCs w:val="14"/>
                <w:lang w:val="es-ES"/>
              </w:rPr>
            </w:pPr>
          </w:p>
        </w:tc>
        <w:tc>
          <w:tcPr>
            <w:tcW w:w="1843" w:type="dxa"/>
          </w:tcPr>
          <w:p w:rsidR="006312E8" w:rsidRPr="006312E8" w:rsidRDefault="006312E8" w:rsidP="006312E8">
            <w:pPr>
              <w:contextualSpacing/>
              <w:jc w:val="center"/>
              <w:rPr>
                <w:rFonts w:ascii="Arial" w:eastAsia="Calibri" w:hAnsi="Arial" w:cs="Arial"/>
                <w:sz w:val="14"/>
                <w:szCs w:val="14"/>
                <w:lang w:val="es-ES"/>
              </w:rPr>
            </w:pPr>
            <w:r w:rsidRPr="006312E8">
              <w:rPr>
                <w:noProof/>
                <w:lang w:val="es-MX" w:eastAsia="es-MX"/>
              </w:rPr>
              <w:drawing>
                <wp:inline distT="0" distB="0" distL="0" distR="0" wp14:anchorId="767CABAC" wp14:editId="27D2DF9F">
                  <wp:extent cx="233083" cy="210820"/>
                  <wp:effectExtent l="0" t="0" r="0" b="0"/>
                  <wp:docPr id="89" name="Imagen 89" descr="http://www.iua.upf.es/formats/formats2/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ua.upf.es/formats/formats2/ok.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6795" cy="214177"/>
                          </a:xfrm>
                          <a:prstGeom prst="rect">
                            <a:avLst/>
                          </a:prstGeom>
                          <a:noFill/>
                          <a:ln>
                            <a:noFill/>
                          </a:ln>
                        </pic:spPr>
                      </pic:pic>
                    </a:graphicData>
                  </a:graphic>
                </wp:inline>
              </w:drawing>
            </w:r>
          </w:p>
        </w:tc>
        <w:tc>
          <w:tcPr>
            <w:tcW w:w="1664" w:type="dxa"/>
          </w:tcPr>
          <w:p w:rsidR="006312E8" w:rsidRPr="006312E8" w:rsidRDefault="006312E8" w:rsidP="006312E8">
            <w:pPr>
              <w:contextualSpacing/>
              <w:jc w:val="center"/>
              <w:rPr>
                <w:rFonts w:ascii="Arial" w:eastAsia="Calibri" w:hAnsi="Arial" w:cs="Arial"/>
                <w:sz w:val="14"/>
                <w:szCs w:val="14"/>
                <w:lang w:val="es-ES"/>
              </w:rPr>
            </w:pPr>
          </w:p>
        </w:tc>
        <w:tc>
          <w:tcPr>
            <w:tcW w:w="1668" w:type="dxa"/>
          </w:tcPr>
          <w:p w:rsidR="006312E8" w:rsidRPr="006312E8" w:rsidRDefault="006312E8" w:rsidP="006312E8">
            <w:pPr>
              <w:contextualSpacing/>
              <w:jc w:val="center"/>
              <w:rPr>
                <w:rFonts w:ascii="Arial" w:eastAsia="Calibri" w:hAnsi="Arial" w:cs="Arial"/>
                <w:sz w:val="14"/>
                <w:szCs w:val="14"/>
                <w:lang w:val="es-ES"/>
              </w:rPr>
            </w:pPr>
          </w:p>
        </w:tc>
      </w:tr>
      <w:tr w:rsidR="006312E8" w:rsidRPr="006312E8" w:rsidTr="00D04998">
        <w:tc>
          <w:tcPr>
            <w:tcW w:w="2972" w:type="dxa"/>
          </w:tcPr>
          <w:p w:rsidR="006312E8" w:rsidRPr="006312E8" w:rsidRDefault="006312E8" w:rsidP="006312E8">
            <w:pPr>
              <w:contextualSpacing/>
              <w:jc w:val="both"/>
              <w:rPr>
                <w:rFonts w:ascii="Arial" w:eastAsia="Calibri" w:hAnsi="Arial" w:cs="Arial"/>
                <w:sz w:val="14"/>
                <w:szCs w:val="14"/>
                <w:lang w:val="es-ES"/>
              </w:rPr>
            </w:pPr>
            <w:r w:rsidRPr="006312E8">
              <w:rPr>
                <w:rFonts w:ascii="Arial" w:eastAsia="Calibri" w:hAnsi="Arial" w:cs="Arial"/>
                <w:sz w:val="14"/>
                <w:szCs w:val="14"/>
                <w:lang w:val="es-ES"/>
              </w:rPr>
              <w:t>Copia de la Certificación Ambiental o del cargo de la solicitud de aprobación del instrumento ambiental</w:t>
            </w:r>
          </w:p>
        </w:tc>
        <w:tc>
          <w:tcPr>
            <w:tcW w:w="1701" w:type="dxa"/>
          </w:tcPr>
          <w:p w:rsidR="006312E8" w:rsidRPr="006312E8" w:rsidRDefault="006312E8" w:rsidP="006312E8">
            <w:pPr>
              <w:contextualSpacing/>
              <w:jc w:val="center"/>
              <w:rPr>
                <w:rFonts w:ascii="Arial" w:eastAsia="Calibri" w:hAnsi="Arial" w:cs="Arial"/>
                <w:sz w:val="14"/>
                <w:szCs w:val="14"/>
                <w:lang w:val="es-ES"/>
              </w:rPr>
            </w:pPr>
          </w:p>
        </w:tc>
        <w:tc>
          <w:tcPr>
            <w:tcW w:w="1843" w:type="dxa"/>
          </w:tcPr>
          <w:p w:rsidR="006312E8" w:rsidRPr="006312E8" w:rsidRDefault="006312E8" w:rsidP="006312E8">
            <w:pPr>
              <w:contextualSpacing/>
              <w:jc w:val="center"/>
              <w:rPr>
                <w:rFonts w:ascii="Arial" w:eastAsia="Calibri" w:hAnsi="Arial" w:cs="Arial"/>
                <w:sz w:val="14"/>
                <w:szCs w:val="14"/>
                <w:lang w:val="es-ES"/>
              </w:rPr>
            </w:pPr>
          </w:p>
        </w:tc>
        <w:tc>
          <w:tcPr>
            <w:tcW w:w="1664" w:type="dxa"/>
          </w:tcPr>
          <w:p w:rsidR="006312E8" w:rsidRPr="006312E8" w:rsidRDefault="006312E8" w:rsidP="006312E8">
            <w:pPr>
              <w:contextualSpacing/>
              <w:jc w:val="center"/>
              <w:rPr>
                <w:rFonts w:ascii="Arial" w:eastAsia="Calibri" w:hAnsi="Arial" w:cs="Arial"/>
                <w:sz w:val="14"/>
                <w:szCs w:val="14"/>
                <w:lang w:val="es-ES"/>
              </w:rPr>
            </w:pPr>
          </w:p>
        </w:tc>
        <w:tc>
          <w:tcPr>
            <w:tcW w:w="1668" w:type="dxa"/>
          </w:tcPr>
          <w:p w:rsidR="006312E8" w:rsidRPr="006312E8" w:rsidRDefault="006312E8" w:rsidP="006312E8">
            <w:pPr>
              <w:contextualSpacing/>
              <w:jc w:val="center"/>
              <w:rPr>
                <w:rFonts w:ascii="Arial" w:eastAsia="Calibri" w:hAnsi="Arial" w:cs="Arial"/>
                <w:sz w:val="14"/>
                <w:szCs w:val="14"/>
                <w:lang w:val="es-ES"/>
              </w:rPr>
            </w:pPr>
            <w:r w:rsidRPr="006312E8">
              <w:rPr>
                <w:noProof/>
                <w:lang w:val="es-MX" w:eastAsia="es-MX"/>
              </w:rPr>
              <w:drawing>
                <wp:inline distT="0" distB="0" distL="0" distR="0" wp14:anchorId="5FD98D3C" wp14:editId="380C12A9">
                  <wp:extent cx="233083" cy="210820"/>
                  <wp:effectExtent l="0" t="0" r="0" b="0"/>
                  <wp:docPr id="90" name="Imagen 90" descr="http://www.iua.upf.es/formats/formats2/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ua.upf.es/formats/formats2/ok.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6795" cy="214177"/>
                          </a:xfrm>
                          <a:prstGeom prst="rect">
                            <a:avLst/>
                          </a:prstGeom>
                          <a:noFill/>
                          <a:ln>
                            <a:noFill/>
                          </a:ln>
                        </pic:spPr>
                      </pic:pic>
                    </a:graphicData>
                  </a:graphic>
                </wp:inline>
              </w:drawing>
            </w:r>
          </w:p>
        </w:tc>
      </w:tr>
      <w:tr w:rsidR="006312E8" w:rsidRPr="006312E8" w:rsidTr="00D04998">
        <w:tc>
          <w:tcPr>
            <w:tcW w:w="2972" w:type="dxa"/>
          </w:tcPr>
          <w:p w:rsidR="006312E8" w:rsidRPr="006312E8" w:rsidRDefault="006312E8" w:rsidP="006312E8">
            <w:pPr>
              <w:contextualSpacing/>
              <w:jc w:val="both"/>
              <w:rPr>
                <w:rFonts w:ascii="Arial" w:eastAsia="Calibri" w:hAnsi="Arial" w:cs="Arial"/>
                <w:sz w:val="14"/>
                <w:szCs w:val="14"/>
                <w:lang w:val="es-ES"/>
              </w:rPr>
            </w:pPr>
            <w:r w:rsidRPr="006312E8">
              <w:rPr>
                <w:rFonts w:ascii="Arial" w:eastAsia="Calibri" w:hAnsi="Arial" w:cs="Arial"/>
                <w:sz w:val="14"/>
                <w:szCs w:val="14"/>
                <w:lang w:val="es-ES"/>
              </w:rPr>
              <w:t>Cronograma o calendario de ejecución de las obras, con indicación del inicio y la puesta en operación comercial</w:t>
            </w:r>
          </w:p>
        </w:tc>
        <w:tc>
          <w:tcPr>
            <w:tcW w:w="1701" w:type="dxa"/>
          </w:tcPr>
          <w:p w:rsidR="006312E8" w:rsidRPr="006312E8" w:rsidRDefault="006312E8" w:rsidP="006312E8">
            <w:pPr>
              <w:jc w:val="center"/>
            </w:pPr>
            <w:r w:rsidRPr="006312E8">
              <w:rPr>
                <w:noProof/>
                <w:lang w:val="es-MX" w:eastAsia="es-MX"/>
              </w:rPr>
              <w:drawing>
                <wp:inline distT="0" distB="0" distL="0" distR="0" wp14:anchorId="4234AB65" wp14:editId="79A01EE6">
                  <wp:extent cx="233083" cy="210820"/>
                  <wp:effectExtent l="0" t="0" r="0" b="0"/>
                  <wp:docPr id="91" name="Imagen 91" descr="http://www.iua.upf.es/formats/formats2/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ua.upf.es/formats/formats2/ok.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6795" cy="214177"/>
                          </a:xfrm>
                          <a:prstGeom prst="rect">
                            <a:avLst/>
                          </a:prstGeom>
                          <a:noFill/>
                          <a:ln>
                            <a:noFill/>
                          </a:ln>
                        </pic:spPr>
                      </pic:pic>
                    </a:graphicData>
                  </a:graphic>
                </wp:inline>
              </w:drawing>
            </w:r>
          </w:p>
        </w:tc>
        <w:tc>
          <w:tcPr>
            <w:tcW w:w="1843" w:type="dxa"/>
          </w:tcPr>
          <w:p w:rsidR="006312E8" w:rsidRPr="006312E8" w:rsidRDefault="006312E8" w:rsidP="006312E8">
            <w:pPr>
              <w:jc w:val="center"/>
            </w:pPr>
            <w:r w:rsidRPr="006312E8">
              <w:rPr>
                <w:noProof/>
                <w:lang w:val="es-MX" w:eastAsia="es-MX"/>
              </w:rPr>
              <w:drawing>
                <wp:inline distT="0" distB="0" distL="0" distR="0" wp14:anchorId="0ECE5C43" wp14:editId="1DB62FD0">
                  <wp:extent cx="233083" cy="210820"/>
                  <wp:effectExtent l="0" t="0" r="0" b="0"/>
                  <wp:docPr id="92" name="Imagen 92" descr="http://www.iua.upf.es/formats/formats2/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ua.upf.es/formats/formats2/ok.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6795" cy="214177"/>
                          </a:xfrm>
                          <a:prstGeom prst="rect">
                            <a:avLst/>
                          </a:prstGeom>
                          <a:noFill/>
                          <a:ln>
                            <a:noFill/>
                          </a:ln>
                        </pic:spPr>
                      </pic:pic>
                    </a:graphicData>
                  </a:graphic>
                </wp:inline>
              </w:drawing>
            </w:r>
          </w:p>
        </w:tc>
        <w:tc>
          <w:tcPr>
            <w:tcW w:w="1664" w:type="dxa"/>
          </w:tcPr>
          <w:p w:rsidR="006312E8" w:rsidRPr="006312E8" w:rsidRDefault="006312E8" w:rsidP="006312E8">
            <w:pPr>
              <w:jc w:val="center"/>
            </w:pPr>
            <w:r w:rsidRPr="006312E8">
              <w:rPr>
                <w:noProof/>
                <w:lang w:val="es-MX" w:eastAsia="es-MX"/>
              </w:rPr>
              <w:drawing>
                <wp:inline distT="0" distB="0" distL="0" distR="0" wp14:anchorId="7154FE40" wp14:editId="64AAC639">
                  <wp:extent cx="233083" cy="210820"/>
                  <wp:effectExtent l="0" t="0" r="0" b="0"/>
                  <wp:docPr id="93" name="Imagen 93" descr="http://www.iua.upf.es/formats/formats2/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ua.upf.es/formats/formats2/ok.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6795" cy="214177"/>
                          </a:xfrm>
                          <a:prstGeom prst="rect">
                            <a:avLst/>
                          </a:prstGeom>
                          <a:noFill/>
                          <a:ln>
                            <a:noFill/>
                          </a:ln>
                        </pic:spPr>
                      </pic:pic>
                    </a:graphicData>
                  </a:graphic>
                </wp:inline>
              </w:drawing>
            </w:r>
          </w:p>
        </w:tc>
        <w:tc>
          <w:tcPr>
            <w:tcW w:w="1668" w:type="dxa"/>
          </w:tcPr>
          <w:p w:rsidR="006312E8" w:rsidRPr="006312E8" w:rsidRDefault="006312E8" w:rsidP="006312E8">
            <w:pPr>
              <w:jc w:val="center"/>
            </w:pPr>
            <w:r w:rsidRPr="006312E8">
              <w:rPr>
                <w:noProof/>
                <w:lang w:val="es-MX" w:eastAsia="es-MX"/>
              </w:rPr>
              <w:drawing>
                <wp:inline distT="0" distB="0" distL="0" distR="0" wp14:anchorId="068364FB" wp14:editId="79C5B6B7">
                  <wp:extent cx="233083" cy="210820"/>
                  <wp:effectExtent l="0" t="0" r="0" b="0"/>
                  <wp:docPr id="94" name="Imagen 94" descr="http://www.iua.upf.es/formats/formats2/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ua.upf.es/formats/formats2/ok.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6795" cy="214177"/>
                          </a:xfrm>
                          <a:prstGeom prst="rect">
                            <a:avLst/>
                          </a:prstGeom>
                          <a:noFill/>
                          <a:ln>
                            <a:noFill/>
                          </a:ln>
                        </pic:spPr>
                      </pic:pic>
                    </a:graphicData>
                  </a:graphic>
                </wp:inline>
              </w:drawing>
            </w:r>
          </w:p>
        </w:tc>
      </w:tr>
      <w:tr w:rsidR="006312E8" w:rsidRPr="006312E8" w:rsidTr="00D04998">
        <w:tc>
          <w:tcPr>
            <w:tcW w:w="2972" w:type="dxa"/>
          </w:tcPr>
          <w:p w:rsidR="006312E8" w:rsidRPr="006312E8" w:rsidRDefault="006312E8" w:rsidP="006312E8">
            <w:pPr>
              <w:contextualSpacing/>
              <w:jc w:val="both"/>
              <w:rPr>
                <w:rFonts w:ascii="Arial" w:eastAsia="Calibri" w:hAnsi="Arial" w:cs="Arial"/>
                <w:sz w:val="14"/>
                <w:szCs w:val="14"/>
                <w:lang w:val="es-ES"/>
              </w:rPr>
            </w:pPr>
            <w:r w:rsidRPr="006312E8">
              <w:rPr>
                <w:rFonts w:ascii="Arial" w:eastAsia="Calibri" w:hAnsi="Arial" w:cs="Arial"/>
                <w:sz w:val="14"/>
                <w:szCs w:val="14"/>
                <w:lang w:val="es-ES"/>
              </w:rPr>
              <w:t>Presupuesto del proyecto</w:t>
            </w:r>
          </w:p>
        </w:tc>
        <w:tc>
          <w:tcPr>
            <w:tcW w:w="1701" w:type="dxa"/>
          </w:tcPr>
          <w:p w:rsidR="006312E8" w:rsidRPr="006312E8" w:rsidRDefault="006312E8" w:rsidP="006312E8">
            <w:pPr>
              <w:jc w:val="center"/>
            </w:pPr>
            <w:r w:rsidRPr="006312E8">
              <w:rPr>
                <w:noProof/>
                <w:lang w:val="es-MX" w:eastAsia="es-MX"/>
              </w:rPr>
              <w:drawing>
                <wp:inline distT="0" distB="0" distL="0" distR="0" wp14:anchorId="30FF79E6" wp14:editId="53F44A4A">
                  <wp:extent cx="233083" cy="210820"/>
                  <wp:effectExtent l="0" t="0" r="0" b="0"/>
                  <wp:docPr id="95" name="Imagen 95" descr="http://www.iua.upf.es/formats/formats2/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ua.upf.es/formats/formats2/ok.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6795" cy="214177"/>
                          </a:xfrm>
                          <a:prstGeom prst="rect">
                            <a:avLst/>
                          </a:prstGeom>
                          <a:noFill/>
                          <a:ln>
                            <a:noFill/>
                          </a:ln>
                        </pic:spPr>
                      </pic:pic>
                    </a:graphicData>
                  </a:graphic>
                </wp:inline>
              </w:drawing>
            </w:r>
          </w:p>
        </w:tc>
        <w:tc>
          <w:tcPr>
            <w:tcW w:w="1843" w:type="dxa"/>
          </w:tcPr>
          <w:p w:rsidR="006312E8" w:rsidRPr="006312E8" w:rsidRDefault="006312E8" w:rsidP="006312E8">
            <w:pPr>
              <w:jc w:val="center"/>
            </w:pPr>
            <w:r w:rsidRPr="006312E8">
              <w:rPr>
                <w:noProof/>
                <w:lang w:val="es-MX" w:eastAsia="es-MX"/>
              </w:rPr>
              <w:drawing>
                <wp:inline distT="0" distB="0" distL="0" distR="0" wp14:anchorId="5DD2DBA3" wp14:editId="7D40E57C">
                  <wp:extent cx="233083" cy="210820"/>
                  <wp:effectExtent l="0" t="0" r="0" b="0"/>
                  <wp:docPr id="96" name="Imagen 96" descr="http://www.iua.upf.es/formats/formats2/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ua.upf.es/formats/formats2/ok.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6795" cy="214177"/>
                          </a:xfrm>
                          <a:prstGeom prst="rect">
                            <a:avLst/>
                          </a:prstGeom>
                          <a:noFill/>
                          <a:ln>
                            <a:noFill/>
                          </a:ln>
                        </pic:spPr>
                      </pic:pic>
                    </a:graphicData>
                  </a:graphic>
                </wp:inline>
              </w:drawing>
            </w:r>
          </w:p>
        </w:tc>
        <w:tc>
          <w:tcPr>
            <w:tcW w:w="1664" w:type="dxa"/>
          </w:tcPr>
          <w:p w:rsidR="006312E8" w:rsidRPr="006312E8" w:rsidRDefault="006312E8" w:rsidP="006312E8">
            <w:pPr>
              <w:jc w:val="center"/>
            </w:pPr>
            <w:r w:rsidRPr="006312E8">
              <w:rPr>
                <w:noProof/>
                <w:lang w:val="es-MX" w:eastAsia="es-MX"/>
              </w:rPr>
              <w:drawing>
                <wp:inline distT="0" distB="0" distL="0" distR="0" wp14:anchorId="3DB0CE1E" wp14:editId="42E02958">
                  <wp:extent cx="233083" cy="210820"/>
                  <wp:effectExtent l="0" t="0" r="0" b="0"/>
                  <wp:docPr id="97" name="Imagen 97" descr="http://www.iua.upf.es/formats/formats2/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ua.upf.es/formats/formats2/ok.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6795" cy="214177"/>
                          </a:xfrm>
                          <a:prstGeom prst="rect">
                            <a:avLst/>
                          </a:prstGeom>
                          <a:noFill/>
                          <a:ln>
                            <a:noFill/>
                          </a:ln>
                        </pic:spPr>
                      </pic:pic>
                    </a:graphicData>
                  </a:graphic>
                </wp:inline>
              </w:drawing>
            </w:r>
          </w:p>
        </w:tc>
        <w:tc>
          <w:tcPr>
            <w:tcW w:w="1668" w:type="dxa"/>
          </w:tcPr>
          <w:p w:rsidR="006312E8" w:rsidRPr="006312E8" w:rsidRDefault="006312E8" w:rsidP="006312E8">
            <w:pPr>
              <w:jc w:val="center"/>
            </w:pPr>
            <w:r w:rsidRPr="006312E8">
              <w:rPr>
                <w:noProof/>
                <w:lang w:val="es-MX" w:eastAsia="es-MX"/>
              </w:rPr>
              <w:drawing>
                <wp:inline distT="0" distB="0" distL="0" distR="0" wp14:anchorId="2C9EE3A5" wp14:editId="66900023">
                  <wp:extent cx="233083" cy="210820"/>
                  <wp:effectExtent l="0" t="0" r="0" b="0"/>
                  <wp:docPr id="98" name="Imagen 98" descr="http://www.iua.upf.es/formats/formats2/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ua.upf.es/formats/formats2/ok.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6795" cy="214177"/>
                          </a:xfrm>
                          <a:prstGeom prst="rect">
                            <a:avLst/>
                          </a:prstGeom>
                          <a:noFill/>
                          <a:ln>
                            <a:noFill/>
                          </a:ln>
                        </pic:spPr>
                      </pic:pic>
                    </a:graphicData>
                  </a:graphic>
                </wp:inline>
              </w:drawing>
            </w:r>
          </w:p>
        </w:tc>
      </w:tr>
      <w:tr w:rsidR="006312E8" w:rsidRPr="006312E8" w:rsidTr="00D04998">
        <w:tc>
          <w:tcPr>
            <w:tcW w:w="2972" w:type="dxa"/>
          </w:tcPr>
          <w:p w:rsidR="006312E8" w:rsidRPr="006312E8" w:rsidRDefault="006312E8" w:rsidP="006312E8">
            <w:pPr>
              <w:contextualSpacing/>
              <w:jc w:val="both"/>
              <w:rPr>
                <w:rFonts w:ascii="Arial" w:eastAsia="Calibri" w:hAnsi="Arial" w:cs="Arial"/>
                <w:sz w:val="14"/>
                <w:szCs w:val="14"/>
                <w:lang w:val="es-ES"/>
              </w:rPr>
            </w:pPr>
            <w:r w:rsidRPr="006312E8">
              <w:rPr>
                <w:rFonts w:ascii="Arial" w:eastAsia="Calibri" w:hAnsi="Arial" w:cs="Arial"/>
                <w:sz w:val="14"/>
                <w:szCs w:val="14"/>
                <w:lang w:val="es-ES"/>
              </w:rPr>
              <w:t>Copia de la garantía de fiel cumplimiento de ejecución de obras</w:t>
            </w:r>
          </w:p>
        </w:tc>
        <w:tc>
          <w:tcPr>
            <w:tcW w:w="1701" w:type="dxa"/>
          </w:tcPr>
          <w:p w:rsidR="006312E8" w:rsidRPr="006312E8" w:rsidRDefault="006312E8" w:rsidP="006312E8">
            <w:pPr>
              <w:jc w:val="center"/>
            </w:pPr>
            <w:r w:rsidRPr="006312E8">
              <w:rPr>
                <w:noProof/>
                <w:lang w:val="es-MX" w:eastAsia="es-MX"/>
              </w:rPr>
              <w:drawing>
                <wp:inline distT="0" distB="0" distL="0" distR="0" wp14:anchorId="3D623EB1" wp14:editId="7D0BEF6D">
                  <wp:extent cx="233083" cy="210820"/>
                  <wp:effectExtent l="0" t="0" r="0" b="0"/>
                  <wp:docPr id="100" name="Imagen 100" descr="http://www.iua.upf.es/formats/formats2/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ua.upf.es/formats/formats2/ok.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6795" cy="214177"/>
                          </a:xfrm>
                          <a:prstGeom prst="rect">
                            <a:avLst/>
                          </a:prstGeom>
                          <a:noFill/>
                          <a:ln>
                            <a:noFill/>
                          </a:ln>
                        </pic:spPr>
                      </pic:pic>
                    </a:graphicData>
                  </a:graphic>
                </wp:inline>
              </w:drawing>
            </w:r>
          </w:p>
        </w:tc>
        <w:tc>
          <w:tcPr>
            <w:tcW w:w="1843" w:type="dxa"/>
          </w:tcPr>
          <w:p w:rsidR="006312E8" w:rsidRPr="006312E8" w:rsidRDefault="006312E8" w:rsidP="006312E8">
            <w:pPr>
              <w:jc w:val="center"/>
            </w:pPr>
            <w:r w:rsidRPr="006312E8">
              <w:rPr>
                <w:noProof/>
                <w:lang w:val="es-MX" w:eastAsia="es-MX"/>
              </w:rPr>
              <w:drawing>
                <wp:inline distT="0" distB="0" distL="0" distR="0" wp14:anchorId="4DED34B7" wp14:editId="200C1DBC">
                  <wp:extent cx="233083" cy="210820"/>
                  <wp:effectExtent l="0" t="0" r="0" b="0"/>
                  <wp:docPr id="101" name="Imagen 101" descr="http://www.iua.upf.es/formats/formats2/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ua.upf.es/formats/formats2/ok.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6795" cy="214177"/>
                          </a:xfrm>
                          <a:prstGeom prst="rect">
                            <a:avLst/>
                          </a:prstGeom>
                          <a:noFill/>
                          <a:ln>
                            <a:noFill/>
                          </a:ln>
                        </pic:spPr>
                      </pic:pic>
                    </a:graphicData>
                  </a:graphic>
                </wp:inline>
              </w:drawing>
            </w:r>
          </w:p>
        </w:tc>
        <w:tc>
          <w:tcPr>
            <w:tcW w:w="1664" w:type="dxa"/>
          </w:tcPr>
          <w:p w:rsidR="006312E8" w:rsidRPr="006312E8" w:rsidRDefault="006312E8" w:rsidP="006312E8">
            <w:pPr>
              <w:jc w:val="center"/>
            </w:pPr>
            <w:r w:rsidRPr="006312E8">
              <w:rPr>
                <w:noProof/>
                <w:lang w:val="es-MX" w:eastAsia="es-MX"/>
              </w:rPr>
              <w:drawing>
                <wp:inline distT="0" distB="0" distL="0" distR="0" wp14:anchorId="0BDD7331" wp14:editId="4998D3A0">
                  <wp:extent cx="233083" cy="210820"/>
                  <wp:effectExtent l="0" t="0" r="0" b="0"/>
                  <wp:docPr id="102" name="Imagen 102" descr="http://www.iua.upf.es/formats/formats2/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ua.upf.es/formats/formats2/ok.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6795" cy="214177"/>
                          </a:xfrm>
                          <a:prstGeom prst="rect">
                            <a:avLst/>
                          </a:prstGeom>
                          <a:noFill/>
                          <a:ln>
                            <a:noFill/>
                          </a:ln>
                        </pic:spPr>
                      </pic:pic>
                    </a:graphicData>
                  </a:graphic>
                </wp:inline>
              </w:drawing>
            </w:r>
          </w:p>
        </w:tc>
        <w:tc>
          <w:tcPr>
            <w:tcW w:w="1668" w:type="dxa"/>
          </w:tcPr>
          <w:p w:rsidR="006312E8" w:rsidRPr="006312E8" w:rsidRDefault="006312E8" w:rsidP="006312E8">
            <w:pPr>
              <w:contextualSpacing/>
              <w:jc w:val="center"/>
              <w:rPr>
                <w:rFonts w:ascii="Arial" w:eastAsia="Calibri" w:hAnsi="Arial" w:cs="Arial"/>
                <w:sz w:val="14"/>
                <w:szCs w:val="14"/>
                <w:lang w:val="es-ES"/>
              </w:rPr>
            </w:pPr>
          </w:p>
        </w:tc>
      </w:tr>
      <w:tr w:rsidR="006312E8" w:rsidRPr="006312E8" w:rsidTr="00D04998">
        <w:tc>
          <w:tcPr>
            <w:tcW w:w="2972" w:type="dxa"/>
          </w:tcPr>
          <w:p w:rsidR="006312E8" w:rsidRPr="006312E8" w:rsidRDefault="006312E8" w:rsidP="006312E8">
            <w:pPr>
              <w:contextualSpacing/>
              <w:jc w:val="both"/>
              <w:rPr>
                <w:rFonts w:ascii="Arial" w:eastAsia="Calibri" w:hAnsi="Arial" w:cs="Arial"/>
                <w:sz w:val="14"/>
                <w:szCs w:val="14"/>
                <w:lang w:val="es-ES"/>
              </w:rPr>
            </w:pPr>
            <w:r w:rsidRPr="006312E8">
              <w:rPr>
                <w:rFonts w:ascii="Arial" w:eastAsia="Calibri" w:hAnsi="Arial" w:cs="Arial"/>
                <w:sz w:val="14"/>
                <w:szCs w:val="14"/>
                <w:lang w:val="es-ES"/>
              </w:rPr>
              <w:t>Plano en el cual se precise el área necesaria para el desarrollo del Proyecto de Inversión en coordenadas UTM (PSAD56)</w:t>
            </w:r>
          </w:p>
        </w:tc>
        <w:tc>
          <w:tcPr>
            <w:tcW w:w="1701" w:type="dxa"/>
          </w:tcPr>
          <w:p w:rsidR="006312E8" w:rsidRPr="006312E8" w:rsidRDefault="006312E8" w:rsidP="006312E8">
            <w:pPr>
              <w:jc w:val="center"/>
            </w:pPr>
            <w:r w:rsidRPr="006312E8">
              <w:rPr>
                <w:noProof/>
                <w:lang w:val="es-MX" w:eastAsia="es-MX"/>
              </w:rPr>
              <w:drawing>
                <wp:inline distT="0" distB="0" distL="0" distR="0" wp14:anchorId="06FB7D24" wp14:editId="78FC83A6">
                  <wp:extent cx="233083" cy="210820"/>
                  <wp:effectExtent l="0" t="0" r="0" b="0"/>
                  <wp:docPr id="103" name="Imagen 103" descr="http://www.iua.upf.es/formats/formats2/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ua.upf.es/formats/formats2/ok.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6795" cy="214177"/>
                          </a:xfrm>
                          <a:prstGeom prst="rect">
                            <a:avLst/>
                          </a:prstGeom>
                          <a:noFill/>
                          <a:ln>
                            <a:noFill/>
                          </a:ln>
                        </pic:spPr>
                      </pic:pic>
                    </a:graphicData>
                  </a:graphic>
                </wp:inline>
              </w:drawing>
            </w:r>
          </w:p>
        </w:tc>
        <w:tc>
          <w:tcPr>
            <w:tcW w:w="1843" w:type="dxa"/>
          </w:tcPr>
          <w:p w:rsidR="006312E8" w:rsidRPr="006312E8" w:rsidRDefault="006312E8" w:rsidP="006312E8">
            <w:pPr>
              <w:jc w:val="center"/>
            </w:pPr>
            <w:r w:rsidRPr="006312E8">
              <w:rPr>
                <w:noProof/>
                <w:lang w:val="es-MX" w:eastAsia="es-MX"/>
              </w:rPr>
              <w:drawing>
                <wp:inline distT="0" distB="0" distL="0" distR="0" wp14:anchorId="0A5372A4" wp14:editId="3E61B074">
                  <wp:extent cx="233083" cy="210820"/>
                  <wp:effectExtent l="0" t="0" r="0" b="0"/>
                  <wp:docPr id="104" name="Imagen 104" descr="http://www.iua.upf.es/formats/formats2/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ua.upf.es/formats/formats2/ok.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6795" cy="214177"/>
                          </a:xfrm>
                          <a:prstGeom prst="rect">
                            <a:avLst/>
                          </a:prstGeom>
                          <a:noFill/>
                          <a:ln>
                            <a:noFill/>
                          </a:ln>
                        </pic:spPr>
                      </pic:pic>
                    </a:graphicData>
                  </a:graphic>
                </wp:inline>
              </w:drawing>
            </w:r>
          </w:p>
        </w:tc>
        <w:tc>
          <w:tcPr>
            <w:tcW w:w="1664" w:type="dxa"/>
          </w:tcPr>
          <w:p w:rsidR="006312E8" w:rsidRPr="006312E8" w:rsidRDefault="006312E8" w:rsidP="006312E8">
            <w:pPr>
              <w:jc w:val="center"/>
            </w:pPr>
            <w:r w:rsidRPr="006312E8">
              <w:rPr>
                <w:noProof/>
                <w:lang w:val="es-MX" w:eastAsia="es-MX"/>
              </w:rPr>
              <w:drawing>
                <wp:inline distT="0" distB="0" distL="0" distR="0" wp14:anchorId="44BB38CB" wp14:editId="5D7E97BD">
                  <wp:extent cx="233083" cy="210820"/>
                  <wp:effectExtent l="0" t="0" r="0" b="0"/>
                  <wp:docPr id="105" name="Imagen 105" descr="http://www.iua.upf.es/formats/formats2/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ua.upf.es/formats/formats2/ok.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6795" cy="214177"/>
                          </a:xfrm>
                          <a:prstGeom prst="rect">
                            <a:avLst/>
                          </a:prstGeom>
                          <a:noFill/>
                          <a:ln>
                            <a:noFill/>
                          </a:ln>
                        </pic:spPr>
                      </pic:pic>
                    </a:graphicData>
                  </a:graphic>
                </wp:inline>
              </w:drawing>
            </w:r>
          </w:p>
        </w:tc>
        <w:tc>
          <w:tcPr>
            <w:tcW w:w="1668" w:type="dxa"/>
          </w:tcPr>
          <w:p w:rsidR="006312E8" w:rsidRPr="006312E8" w:rsidRDefault="006312E8" w:rsidP="006312E8">
            <w:pPr>
              <w:jc w:val="center"/>
            </w:pPr>
            <w:r w:rsidRPr="006312E8">
              <w:rPr>
                <w:noProof/>
                <w:lang w:val="es-MX" w:eastAsia="es-MX"/>
              </w:rPr>
              <w:drawing>
                <wp:inline distT="0" distB="0" distL="0" distR="0" wp14:anchorId="5C901F40" wp14:editId="200BC22E">
                  <wp:extent cx="233083" cy="210820"/>
                  <wp:effectExtent l="0" t="0" r="0" b="0"/>
                  <wp:docPr id="106" name="Imagen 106" descr="http://www.iua.upf.es/formats/formats2/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ua.upf.es/formats/formats2/ok.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6795" cy="214177"/>
                          </a:xfrm>
                          <a:prstGeom prst="rect">
                            <a:avLst/>
                          </a:prstGeom>
                          <a:noFill/>
                          <a:ln>
                            <a:noFill/>
                          </a:ln>
                        </pic:spPr>
                      </pic:pic>
                    </a:graphicData>
                  </a:graphic>
                </wp:inline>
              </w:drawing>
            </w:r>
          </w:p>
        </w:tc>
      </w:tr>
      <w:tr w:rsidR="006312E8" w:rsidRPr="006312E8" w:rsidTr="00D04998">
        <w:tc>
          <w:tcPr>
            <w:tcW w:w="2972" w:type="dxa"/>
          </w:tcPr>
          <w:p w:rsidR="006312E8" w:rsidRPr="006312E8" w:rsidRDefault="006312E8" w:rsidP="006312E8">
            <w:pPr>
              <w:contextualSpacing/>
              <w:jc w:val="both"/>
              <w:rPr>
                <w:rFonts w:ascii="Arial" w:eastAsia="Calibri" w:hAnsi="Arial" w:cs="Arial"/>
                <w:sz w:val="14"/>
                <w:szCs w:val="14"/>
                <w:lang w:val="es-ES"/>
              </w:rPr>
            </w:pPr>
            <w:r w:rsidRPr="006312E8">
              <w:rPr>
                <w:rFonts w:ascii="Arial" w:eastAsia="Calibri" w:hAnsi="Arial" w:cs="Arial"/>
                <w:sz w:val="14"/>
                <w:szCs w:val="14"/>
                <w:lang w:val="es-ES"/>
              </w:rPr>
              <w:t>El Proyecto de Inversión al cual está vinculado el Proyecto Eléctrico deberá estar calificado como tal, por el Subsector o Sector correspondiente</w:t>
            </w:r>
          </w:p>
        </w:tc>
        <w:tc>
          <w:tcPr>
            <w:tcW w:w="1701" w:type="dxa"/>
          </w:tcPr>
          <w:p w:rsidR="006312E8" w:rsidRPr="006312E8" w:rsidRDefault="006312E8" w:rsidP="006312E8">
            <w:pPr>
              <w:contextualSpacing/>
              <w:jc w:val="center"/>
              <w:rPr>
                <w:rFonts w:ascii="Arial" w:eastAsia="Calibri" w:hAnsi="Arial" w:cs="Arial"/>
                <w:sz w:val="14"/>
                <w:szCs w:val="14"/>
                <w:lang w:val="es-ES"/>
              </w:rPr>
            </w:pPr>
          </w:p>
        </w:tc>
        <w:tc>
          <w:tcPr>
            <w:tcW w:w="1843" w:type="dxa"/>
          </w:tcPr>
          <w:p w:rsidR="006312E8" w:rsidRPr="006312E8" w:rsidRDefault="006312E8" w:rsidP="006312E8">
            <w:pPr>
              <w:contextualSpacing/>
              <w:jc w:val="center"/>
              <w:rPr>
                <w:rFonts w:ascii="Arial" w:eastAsia="Calibri" w:hAnsi="Arial" w:cs="Arial"/>
                <w:sz w:val="14"/>
                <w:szCs w:val="14"/>
                <w:lang w:val="es-ES"/>
              </w:rPr>
            </w:pPr>
          </w:p>
        </w:tc>
        <w:tc>
          <w:tcPr>
            <w:tcW w:w="1664" w:type="dxa"/>
          </w:tcPr>
          <w:p w:rsidR="006312E8" w:rsidRPr="006312E8" w:rsidRDefault="006312E8" w:rsidP="006312E8">
            <w:pPr>
              <w:contextualSpacing/>
              <w:jc w:val="center"/>
              <w:rPr>
                <w:rFonts w:ascii="Arial" w:eastAsia="Calibri" w:hAnsi="Arial" w:cs="Arial"/>
                <w:sz w:val="14"/>
                <w:szCs w:val="14"/>
                <w:lang w:val="es-ES"/>
              </w:rPr>
            </w:pPr>
          </w:p>
        </w:tc>
        <w:tc>
          <w:tcPr>
            <w:tcW w:w="1668" w:type="dxa"/>
          </w:tcPr>
          <w:p w:rsidR="006312E8" w:rsidRPr="006312E8" w:rsidRDefault="006312E8" w:rsidP="006312E8">
            <w:pPr>
              <w:contextualSpacing/>
              <w:jc w:val="center"/>
              <w:rPr>
                <w:rFonts w:ascii="Arial" w:eastAsia="Calibri" w:hAnsi="Arial" w:cs="Arial"/>
                <w:sz w:val="14"/>
                <w:szCs w:val="14"/>
                <w:lang w:val="es-ES"/>
              </w:rPr>
            </w:pPr>
            <w:r w:rsidRPr="006312E8">
              <w:rPr>
                <w:noProof/>
                <w:lang w:val="es-MX" w:eastAsia="es-MX"/>
              </w:rPr>
              <w:drawing>
                <wp:inline distT="0" distB="0" distL="0" distR="0" wp14:anchorId="7E250FB6" wp14:editId="6ED8B160">
                  <wp:extent cx="233083" cy="210820"/>
                  <wp:effectExtent l="0" t="0" r="0" b="0"/>
                  <wp:docPr id="107" name="Imagen 107" descr="http://www.iua.upf.es/formats/formats2/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ua.upf.es/formats/formats2/ok.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6795" cy="214177"/>
                          </a:xfrm>
                          <a:prstGeom prst="rect">
                            <a:avLst/>
                          </a:prstGeom>
                          <a:noFill/>
                          <a:ln>
                            <a:noFill/>
                          </a:ln>
                        </pic:spPr>
                      </pic:pic>
                    </a:graphicData>
                  </a:graphic>
                </wp:inline>
              </w:drawing>
            </w:r>
          </w:p>
        </w:tc>
      </w:tr>
    </w:tbl>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autoSpaceDE w:val="0"/>
        <w:autoSpaceDN w:val="0"/>
        <w:adjustRightInd w:val="0"/>
        <w:spacing w:after="0" w:line="240" w:lineRule="auto"/>
        <w:ind w:left="426"/>
        <w:jc w:val="both"/>
        <w:rPr>
          <w:rFonts w:ascii="Arial" w:hAnsi="Arial" w:cs="Arial"/>
        </w:rPr>
      </w:pPr>
      <w:r w:rsidRPr="006312E8">
        <w:rPr>
          <w:rFonts w:ascii="Arial" w:hAnsi="Arial" w:cs="Arial"/>
        </w:rPr>
        <w:t>Antes de ser enviadas las solicitudes de servidumbre sobre terrenos eriazos de propiedad estatal a la Superintendencia Nacional de Bienes Estatales - SBN, en mérito al Decreto Supremo N° 054-2013-PCM, la DGE evaluará si el proyecto eléctrico califica como Proyectos de Inversión.</w:t>
      </w:r>
    </w:p>
    <w:p w:rsidR="006312E8" w:rsidRPr="006312E8" w:rsidRDefault="006312E8" w:rsidP="006312E8">
      <w:pPr>
        <w:spacing w:after="0" w:line="240" w:lineRule="auto"/>
        <w:contextualSpacing/>
        <w:jc w:val="both"/>
        <w:rPr>
          <w:rFonts w:ascii="Arial" w:eastAsia="Calibri" w:hAnsi="Arial" w:cs="Arial"/>
        </w:rPr>
      </w:pPr>
    </w:p>
    <w:p w:rsidR="006312E8" w:rsidRPr="006312E8" w:rsidRDefault="006312E8" w:rsidP="006312E8">
      <w:pPr>
        <w:spacing w:after="0" w:line="240" w:lineRule="auto"/>
        <w:contextualSpacing/>
        <w:jc w:val="both"/>
        <w:rPr>
          <w:rFonts w:ascii="Arial" w:eastAsia="Calibri" w:hAnsi="Arial" w:cs="Arial"/>
        </w:rPr>
      </w:pPr>
    </w:p>
    <w:p w:rsidR="006312E8" w:rsidRPr="006312E8" w:rsidRDefault="006312E8" w:rsidP="006312E8">
      <w:pPr>
        <w:spacing w:after="0" w:line="240" w:lineRule="auto"/>
        <w:contextualSpacing/>
        <w:jc w:val="both"/>
        <w:rPr>
          <w:rFonts w:ascii="Arial" w:eastAsia="Calibri" w:hAnsi="Arial" w:cs="Arial"/>
        </w:rPr>
      </w:pPr>
    </w:p>
    <w:p w:rsidR="006312E8" w:rsidRPr="006312E8" w:rsidRDefault="006312E8" w:rsidP="006312E8">
      <w:pPr>
        <w:spacing w:after="0" w:line="240" w:lineRule="auto"/>
        <w:contextualSpacing/>
        <w:jc w:val="both"/>
        <w:rPr>
          <w:rFonts w:ascii="Arial" w:eastAsia="Calibri" w:hAnsi="Arial" w:cs="Arial"/>
        </w:rPr>
      </w:pPr>
    </w:p>
    <w:p w:rsidR="006312E8" w:rsidRPr="006312E8" w:rsidRDefault="006312E8" w:rsidP="006312E8">
      <w:pPr>
        <w:spacing w:after="0" w:line="240" w:lineRule="auto"/>
        <w:contextualSpacing/>
        <w:jc w:val="both"/>
        <w:rPr>
          <w:rFonts w:ascii="Arial" w:eastAsia="Calibri" w:hAnsi="Arial" w:cs="Arial"/>
        </w:rPr>
      </w:pPr>
    </w:p>
    <w:p w:rsidR="006312E8" w:rsidRPr="006312E8" w:rsidRDefault="00455102" w:rsidP="00127B95">
      <w:pPr>
        <w:pStyle w:val="TITO2"/>
      </w:pPr>
      <w:bookmarkStart w:id="486" w:name="_Toc470855596"/>
      <w:r>
        <w:t>RESOLUCION N° 275-2015-SUNARP-SN</w:t>
      </w:r>
      <w:bookmarkEnd w:id="486"/>
    </w:p>
    <w:p w:rsidR="006312E8" w:rsidRPr="00127B95" w:rsidRDefault="00127B95" w:rsidP="00127B95">
      <w:pPr>
        <w:spacing w:after="0" w:line="240" w:lineRule="auto"/>
        <w:contextualSpacing/>
        <w:jc w:val="center"/>
        <w:rPr>
          <w:rFonts w:ascii="Arial" w:eastAsia="Calibri" w:hAnsi="Arial" w:cs="Arial"/>
          <w:b/>
        </w:rPr>
      </w:pPr>
      <w:r w:rsidRPr="00127B95">
        <w:rPr>
          <w:rFonts w:ascii="Arial" w:eastAsia="Calibri" w:hAnsi="Arial" w:cs="Arial"/>
          <w:b/>
        </w:rPr>
        <w:t>(Extracto)</w:t>
      </w:r>
    </w:p>
    <w:p w:rsidR="006312E8" w:rsidRPr="006312E8" w:rsidRDefault="006312E8" w:rsidP="006312E8">
      <w:pPr>
        <w:spacing w:after="0" w:line="240" w:lineRule="auto"/>
        <w:contextualSpacing/>
        <w:jc w:val="both"/>
        <w:rPr>
          <w:rFonts w:ascii="Arial" w:eastAsia="Calibri" w:hAnsi="Arial" w:cs="Arial"/>
        </w:rPr>
      </w:pPr>
    </w:p>
    <w:p w:rsidR="006312E8" w:rsidRPr="00127B95" w:rsidRDefault="00127B95" w:rsidP="00127B95">
      <w:pPr>
        <w:spacing w:after="0" w:line="240" w:lineRule="auto"/>
        <w:contextualSpacing/>
        <w:jc w:val="right"/>
        <w:rPr>
          <w:rFonts w:ascii="Arial" w:eastAsia="Calibri" w:hAnsi="Arial" w:cs="Arial"/>
          <w:b/>
        </w:rPr>
      </w:pPr>
      <w:r w:rsidRPr="00127B95">
        <w:rPr>
          <w:rFonts w:ascii="Arial" w:eastAsia="Calibri" w:hAnsi="Arial" w:cs="Arial"/>
          <w:b/>
        </w:rPr>
        <w:t>Fecha de publicación: 27-10-2015</w:t>
      </w:r>
    </w:p>
    <w:p w:rsidR="00127B95" w:rsidRDefault="00127B95" w:rsidP="00127B95">
      <w:pPr>
        <w:spacing w:after="0" w:line="240" w:lineRule="auto"/>
        <w:contextualSpacing/>
        <w:jc w:val="right"/>
        <w:rPr>
          <w:rFonts w:ascii="Arial" w:eastAsia="Calibri" w:hAnsi="Arial" w:cs="Arial"/>
        </w:rPr>
      </w:pPr>
    </w:p>
    <w:p w:rsidR="00127B95" w:rsidRDefault="00127B95" w:rsidP="00127B95">
      <w:pPr>
        <w:spacing w:after="0" w:line="240" w:lineRule="auto"/>
        <w:contextualSpacing/>
        <w:jc w:val="both"/>
        <w:rPr>
          <w:rFonts w:ascii="Arial" w:eastAsia="Calibri" w:hAnsi="Arial" w:cs="Arial"/>
        </w:rPr>
      </w:pPr>
      <w:r>
        <w:rPr>
          <w:rFonts w:ascii="Arial" w:eastAsia="Calibri" w:hAnsi="Arial" w:cs="Arial"/>
        </w:rPr>
        <w:t>“(…)</w:t>
      </w:r>
    </w:p>
    <w:p w:rsidR="00127B95" w:rsidRDefault="00127B95" w:rsidP="00127B95">
      <w:pPr>
        <w:spacing w:after="0" w:line="240" w:lineRule="auto"/>
        <w:contextualSpacing/>
        <w:jc w:val="both"/>
        <w:rPr>
          <w:rFonts w:ascii="Arial" w:eastAsia="Calibri" w:hAnsi="Arial" w:cs="Arial"/>
        </w:rPr>
      </w:pPr>
    </w:p>
    <w:p w:rsidR="00127B95" w:rsidRPr="00127B95" w:rsidRDefault="00127B95" w:rsidP="00127B95">
      <w:pPr>
        <w:spacing w:after="0" w:line="240" w:lineRule="auto"/>
        <w:contextualSpacing/>
        <w:jc w:val="both"/>
        <w:rPr>
          <w:rFonts w:ascii="Arial" w:eastAsia="Calibri" w:hAnsi="Arial" w:cs="Arial"/>
          <w:b/>
        </w:rPr>
      </w:pPr>
      <w:r w:rsidRPr="00127B95">
        <w:rPr>
          <w:rFonts w:ascii="Arial" w:eastAsia="Calibri" w:hAnsi="Arial" w:cs="Arial"/>
          <w:b/>
        </w:rPr>
        <w:t xml:space="preserve">SE RESUELVE: </w:t>
      </w:r>
    </w:p>
    <w:p w:rsidR="00127B95" w:rsidRDefault="00127B95" w:rsidP="00127B95">
      <w:pPr>
        <w:spacing w:after="0" w:line="240" w:lineRule="auto"/>
        <w:contextualSpacing/>
        <w:jc w:val="both"/>
        <w:rPr>
          <w:rFonts w:ascii="Arial" w:eastAsia="Calibri" w:hAnsi="Arial" w:cs="Arial"/>
        </w:rPr>
      </w:pPr>
      <w:r w:rsidRPr="00127B95">
        <w:rPr>
          <w:rFonts w:ascii="Arial" w:eastAsia="Calibri" w:hAnsi="Arial" w:cs="Arial"/>
          <w:b/>
        </w:rPr>
        <w:t>Artículo 1°.-</w:t>
      </w:r>
      <w:r w:rsidRPr="00127B95">
        <w:rPr>
          <w:rFonts w:ascii="Arial" w:eastAsia="Calibri" w:hAnsi="Arial" w:cs="Arial"/>
        </w:rPr>
        <w:t xml:space="preserve"> Aprobar la Directiva N° 08-2015-SUNARP/ SN, que regula en sede registral el trámite de inscripción</w:t>
      </w:r>
      <w:r>
        <w:rPr>
          <w:rFonts w:ascii="Arial" w:eastAsia="Calibri" w:hAnsi="Arial" w:cs="Arial"/>
        </w:rPr>
        <w:t xml:space="preserve"> </w:t>
      </w:r>
      <w:r w:rsidRPr="00127B95">
        <w:rPr>
          <w:rFonts w:ascii="Arial" w:eastAsia="Calibri" w:hAnsi="Arial" w:cs="Arial"/>
        </w:rPr>
        <w:t xml:space="preserve">de los actos inscribibles referidos al proceso de adquisición y expropiación de inmuebles, y transferencia de inmuebles de propiedad del Estado, previstos en el Decreto Legislativo N° 1192. </w:t>
      </w:r>
    </w:p>
    <w:p w:rsidR="00127B95" w:rsidRDefault="00127B95" w:rsidP="00127B95">
      <w:pPr>
        <w:spacing w:after="0" w:line="240" w:lineRule="auto"/>
        <w:contextualSpacing/>
        <w:jc w:val="both"/>
        <w:rPr>
          <w:rFonts w:ascii="Arial" w:eastAsia="Calibri" w:hAnsi="Arial" w:cs="Arial"/>
        </w:rPr>
      </w:pPr>
    </w:p>
    <w:p w:rsidR="00127B95" w:rsidRDefault="00127B95" w:rsidP="00127B95">
      <w:pPr>
        <w:spacing w:after="0" w:line="240" w:lineRule="auto"/>
        <w:contextualSpacing/>
        <w:jc w:val="both"/>
        <w:rPr>
          <w:rFonts w:ascii="Arial" w:eastAsia="Calibri" w:hAnsi="Arial" w:cs="Arial"/>
        </w:rPr>
      </w:pPr>
      <w:r w:rsidRPr="00127B95">
        <w:rPr>
          <w:rFonts w:ascii="Arial" w:eastAsia="Calibri" w:hAnsi="Arial" w:cs="Arial"/>
          <w:b/>
        </w:rPr>
        <w:t>Artículo 2°.-</w:t>
      </w:r>
      <w:r w:rsidRPr="00127B95">
        <w:rPr>
          <w:rFonts w:ascii="Arial" w:eastAsia="Calibri" w:hAnsi="Arial" w:cs="Arial"/>
        </w:rPr>
        <w:t xml:space="preserve"> Aprobar los formatos de solicitud de anotación preventiva y de modificación de reglamento interno que como anexos A y B forman parte integrante de la directiva aprobada en el artículo 1° de la presente resolución. </w:t>
      </w:r>
    </w:p>
    <w:p w:rsidR="00127B95" w:rsidRDefault="00127B95" w:rsidP="00127B95">
      <w:pPr>
        <w:spacing w:after="0" w:line="240" w:lineRule="auto"/>
        <w:contextualSpacing/>
        <w:jc w:val="both"/>
        <w:rPr>
          <w:rFonts w:ascii="Arial" w:eastAsia="Calibri" w:hAnsi="Arial" w:cs="Arial"/>
        </w:rPr>
      </w:pPr>
    </w:p>
    <w:p w:rsidR="00127B95" w:rsidRDefault="00127B95" w:rsidP="00127B95">
      <w:pPr>
        <w:spacing w:after="0" w:line="240" w:lineRule="auto"/>
        <w:contextualSpacing/>
        <w:jc w:val="both"/>
        <w:rPr>
          <w:rFonts w:ascii="Arial" w:eastAsia="Calibri" w:hAnsi="Arial" w:cs="Arial"/>
        </w:rPr>
      </w:pPr>
      <w:r w:rsidRPr="00127B95">
        <w:rPr>
          <w:rFonts w:ascii="Arial" w:eastAsia="Calibri" w:hAnsi="Arial" w:cs="Arial"/>
          <w:b/>
        </w:rPr>
        <w:t>Artículo 3°.-</w:t>
      </w:r>
      <w:r w:rsidRPr="00127B95">
        <w:rPr>
          <w:rFonts w:ascii="Arial" w:eastAsia="Calibri" w:hAnsi="Arial" w:cs="Arial"/>
        </w:rPr>
        <w:t xml:space="preserve"> La directiva aprobada en el artículo 1° de la presente resolución entrará en vigencia al día siguiente de su publicación. </w:t>
      </w:r>
    </w:p>
    <w:p w:rsidR="00127B95" w:rsidRDefault="00127B95" w:rsidP="00127B95">
      <w:pPr>
        <w:spacing w:after="0" w:line="240" w:lineRule="auto"/>
        <w:contextualSpacing/>
        <w:jc w:val="both"/>
        <w:rPr>
          <w:rFonts w:ascii="Arial" w:eastAsia="Calibri" w:hAnsi="Arial" w:cs="Arial"/>
        </w:rPr>
      </w:pPr>
    </w:p>
    <w:p w:rsidR="00127B95" w:rsidRDefault="00127B95" w:rsidP="00127B95">
      <w:pPr>
        <w:spacing w:after="0" w:line="240" w:lineRule="auto"/>
        <w:contextualSpacing/>
        <w:jc w:val="both"/>
        <w:rPr>
          <w:rFonts w:ascii="Arial" w:eastAsia="Calibri" w:hAnsi="Arial" w:cs="Arial"/>
        </w:rPr>
      </w:pPr>
      <w:r w:rsidRPr="00127B95">
        <w:rPr>
          <w:rFonts w:ascii="Arial" w:eastAsia="Calibri" w:hAnsi="Arial" w:cs="Arial"/>
        </w:rPr>
        <w:t xml:space="preserve">Regístrese, comuníquese y publíquese. </w:t>
      </w:r>
    </w:p>
    <w:p w:rsidR="00127B95" w:rsidRDefault="00127B95" w:rsidP="00127B95">
      <w:pPr>
        <w:spacing w:after="0" w:line="240" w:lineRule="auto"/>
        <w:contextualSpacing/>
        <w:jc w:val="both"/>
        <w:rPr>
          <w:rFonts w:ascii="Arial" w:eastAsia="Calibri" w:hAnsi="Arial" w:cs="Arial"/>
        </w:rPr>
      </w:pPr>
    </w:p>
    <w:p w:rsidR="00127B95" w:rsidRPr="00127B95" w:rsidRDefault="00127B95" w:rsidP="00127B95">
      <w:pPr>
        <w:spacing w:after="0" w:line="240" w:lineRule="auto"/>
        <w:contextualSpacing/>
        <w:jc w:val="both"/>
        <w:rPr>
          <w:rFonts w:ascii="Arial" w:eastAsia="Calibri" w:hAnsi="Arial" w:cs="Arial"/>
          <w:b/>
        </w:rPr>
      </w:pPr>
      <w:r w:rsidRPr="00127B95">
        <w:rPr>
          <w:rFonts w:ascii="Arial" w:eastAsia="Calibri" w:hAnsi="Arial" w:cs="Arial"/>
          <w:b/>
        </w:rPr>
        <w:t xml:space="preserve">MARIO SOLARI ZERPA </w:t>
      </w:r>
    </w:p>
    <w:p w:rsidR="00127B95" w:rsidRPr="006312E8" w:rsidRDefault="00127B95" w:rsidP="00127B95">
      <w:pPr>
        <w:spacing w:after="0" w:line="240" w:lineRule="auto"/>
        <w:contextualSpacing/>
        <w:jc w:val="both"/>
        <w:rPr>
          <w:rFonts w:ascii="Arial" w:eastAsia="Calibri" w:hAnsi="Arial" w:cs="Arial"/>
        </w:rPr>
      </w:pPr>
      <w:r w:rsidRPr="00127B95">
        <w:rPr>
          <w:rFonts w:ascii="Arial" w:eastAsia="Calibri" w:hAnsi="Arial" w:cs="Arial"/>
        </w:rPr>
        <w:t>Superintendente Nacional de los Registros Públicos</w:t>
      </w:r>
    </w:p>
    <w:p w:rsidR="006312E8" w:rsidRPr="006312E8" w:rsidRDefault="006312E8" w:rsidP="006312E8">
      <w:pPr>
        <w:spacing w:after="0" w:line="240" w:lineRule="auto"/>
        <w:contextualSpacing/>
        <w:jc w:val="both"/>
        <w:rPr>
          <w:rFonts w:ascii="Arial" w:eastAsia="Calibri" w:hAnsi="Arial" w:cs="Arial"/>
        </w:rPr>
      </w:pPr>
    </w:p>
    <w:p w:rsidR="006312E8" w:rsidRPr="006312E8" w:rsidRDefault="006312E8" w:rsidP="006312E8">
      <w:pPr>
        <w:spacing w:after="0" w:line="240" w:lineRule="auto"/>
        <w:contextualSpacing/>
        <w:jc w:val="both"/>
        <w:rPr>
          <w:rFonts w:ascii="Arial" w:eastAsia="Calibri" w:hAnsi="Arial" w:cs="Arial"/>
        </w:rPr>
      </w:pPr>
    </w:p>
    <w:p w:rsidR="00A14659" w:rsidRPr="00A14659" w:rsidRDefault="00127B95" w:rsidP="00127B95">
      <w:pPr>
        <w:spacing w:after="0" w:line="240" w:lineRule="auto"/>
        <w:contextualSpacing/>
        <w:jc w:val="center"/>
        <w:rPr>
          <w:rFonts w:ascii="Arial" w:eastAsia="Calibri" w:hAnsi="Arial" w:cs="Arial"/>
          <w:b/>
          <w:caps/>
          <w:sz w:val="28"/>
          <w:szCs w:val="28"/>
        </w:rPr>
      </w:pPr>
      <w:r w:rsidRPr="00A14659">
        <w:rPr>
          <w:rFonts w:ascii="Arial" w:eastAsia="Calibri" w:hAnsi="Arial" w:cs="Arial"/>
          <w:b/>
          <w:caps/>
          <w:sz w:val="28"/>
          <w:szCs w:val="28"/>
        </w:rPr>
        <w:t xml:space="preserve">DirectiVA n° 08-2015-sunArP/sn </w:t>
      </w:r>
    </w:p>
    <w:p w:rsidR="006312E8" w:rsidRPr="00127B95" w:rsidRDefault="00127B95" w:rsidP="00127B95">
      <w:pPr>
        <w:spacing w:after="0" w:line="240" w:lineRule="auto"/>
        <w:contextualSpacing/>
        <w:jc w:val="center"/>
        <w:rPr>
          <w:rFonts w:ascii="Arial" w:eastAsia="Calibri" w:hAnsi="Arial" w:cs="Arial"/>
          <w:b/>
          <w:caps/>
        </w:rPr>
      </w:pPr>
      <w:r w:rsidRPr="00127B95">
        <w:rPr>
          <w:rFonts w:ascii="Arial" w:eastAsia="Calibri" w:hAnsi="Arial" w:cs="Arial"/>
          <w:b/>
          <w:caps/>
        </w:rPr>
        <w:t>"DirectiVA que reGulA en seDe reGistrAl el trámite De inscriPción De los Actos inscriBiBles reFeriDos Al Proceso De ADquisición y exProPiAción De inmueBles, y trAnsFerenciA De inmueBles De ProPieDAD Del estADo, PreVistos en el Decreto leGislAtiVo n° 1192</w:t>
      </w:r>
      <w:r w:rsidR="00A14659">
        <w:rPr>
          <w:rFonts w:ascii="Arial" w:eastAsia="Calibri" w:hAnsi="Arial" w:cs="Arial"/>
          <w:b/>
          <w:caps/>
        </w:rPr>
        <w:t>”</w:t>
      </w:r>
    </w:p>
    <w:p w:rsidR="006312E8" w:rsidRPr="006312E8" w:rsidRDefault="006312E8" w:rsidP="006312E8">
      <w:pPr>
        <w:spacing w:after="0" w:line="240" w:lineRule="auto"/>
        <w:contextualSpacing/>
        <w:jc w:val="both"/>
        <w:rPr>
          <w:rFonts w:ascii="Arial" w:eastAsia="Calibri" w:hAnsi="Arial" w:cs="Arial"/>
        </w:rPr>
      </w:pPr>
    </w:p>
    <w:p w:rsidR="006312E8" w:rsidRPr="006312E8" w:rsidRDefault="006312E8" w:rsidP="006312E8">
      <w:pPr>
        <w:spacing w:after="0" w:line="240" w:lineRule="auto"/>
        <w:contextualSpacing/>
        <w:jc w:val="both"/>
        <w:rPr>
          <w:rFonts w:ascii="Arial" w:eastAsia="Calibri" w:hAnsi="Arial" w:cs="Arial"/>
        </w:rPr>
      </w:pPr>
    </w:p>
    <w:p w:rsidR="006312E8" w:rsidRPr="00A14659" w:rsidRDefault="00A14659" w:rsidP="006312E8">
      <w:pPr>
        <w:spacing w:after="0" w:line="240" w:lineRule="auto"/>
        <w:contextualSpacing/>
        <w:jc w:val="both"/>
        <w:rPr>
          <w:rFonts w:ascii="Arial" w:eastAsia="Calibri" w:hAnsi="Arial" w:cs="Arial"/>
          <w:b/>
        </w:rPr>
      </w:pPr>
      <w:r w:rsidRPr="00A14659">
        <w:rPr>
          <w:rFonts w:ascii="Arial" w:eastAsia="Calibri" w:hAnsi="Arial" w:cs="Arial"/>
          <w:b/>
        </w:rPr>
        <w:t>(…)</w:t>
      </w:r>
    </w:p>
    <w:p w:rsidR="00A14659" w:rsidRPr="006312E8" w:rsidRDefault="00A14659" w:rsidP="006312E8">
      <w:pPr>
        <w:spacing w:after="0" w:line="240" w:lineRule="auto"/>
        <w:contextualSpacing/>
        <w:jc w:val="both"/>
        <w:rPr>
          <w:rFonts w:ascii="Arial" w:eastAsia="Calibri" w:hAnsi="Arial" w:cs="Arial"/>
        </w:rPr>
      </w:pPr>
    </w:p>
    <w:p w:rsidR="00A14659" w:rsidRDefault="00A14659" w:rsidP="006312E8">
      <w:pPr>
        <w:spacing w:after="0" w:line="240" w:lineRule="auto"/>
        <w:contextualSpacing/>
        <w:jc w:val="both"/>
        <w:rPr>
          <w:rFonts w:ascii="Arial" w:eastAsia="Calibri" w:hAnsi="Arial" w:cs="Arial"/>
          <w:b/>
        </w:rPr>
      </w:pPr>
      <w:r w:rsidRPr="00A14659">
        <w:rPr>
          <w:rFonts w:ascii="Arial" w:eastAsia="Calibri" w:hAnsi="Arial" w:cs="Arial"/>
          <w:b/>
        </w:rPr>
        <w:t>6.3. De la transferencia de inmuebles de propiedad del Estado</w:t>
      </w:r>
    </w:p>
    <w:p w:rsidR="00A14659" w:rsidRPr="00A14659" w:rsidRDefault="00A14659" w:rsidP="006312E8">
      <w:pPr>
        <w:spacing w:after="0" w:line="240" w:lineRule="auto"/>
        <w:contextualSpacing/>
        <w:jc w:val="both"/>
        <w:rPr>
          <w:rFonts w:ascii="Arial" w:eastAsia="Calibri" w:hAnsi="Arial" w:cs="Arial"/>
          <w:b/>
        </w:rPr>
      </w:pPr>
      <w:r w:rsidRPr="00A14659">
        <w:rPr>
          <w:rFonts w:ascii="Arial" w:eastAsia="Calibri" w:hAnsi="Arial" w:cs="Arial"/>
          <w:b/>
        </w:rPr>
        <w:t xml:space="preserve"> </w:t>
      </w:r>
    </w:p>
    <w:p w:rsidR="00A14659" w:rsidRDefault="00A14659" w:rsidP="00A14659">
      <w:pPr>
        <w:spacing w:after="0" w:line="240" w:lineRule="auto"/>
        <w:ind w:left="1134" w:hanging="708"/>
        <w:contextualSpacing/>
        <w:jc w:val="both"/>
        <w:rPr>
          <w:rFonts w:ascii="Arial" w:eastAsia="Calibri" w:hAnsi="Arial" w:cs="Arial"/>
        </w:rPr>
      </w:pPr>
      <w:r w:rsidRPr="00A14659">
        <w:rPr>
          <w:rFonts w:ascii="Arial" w:eastAsia="Calibri" w:hAnsi="Arial" w:cs="Arial"/>
          <w:b/>
        </w:rPr>
        <w:t xml:space="preserve">6.3.1. </w:t>
      </w:r>
      <w:r>
        <w:rPr>
          <w:rFonts w:ascii="Arial" w:eastAsia="Calibri" w:hAnsi="Arial" w:cs="Arial"/>
          <w:b/>
        </w:rPr>
        <w:tab/>
      </w:r>
      <w:r w:rsidRPr="00A14659">
        <w:rPr>
          <w:rFonts w:ascii="Arial" w:eastAsia="Calibri" w:hAnsi="Arial" w:cs="Arial"/>
          <w:b/>
        </w:rPr>
        <w:t>Anotación preventiva del inicio del proceso de transferencia de inmuebles de propiedad del estado</w:t>
      </w:r>
      <w:r w:rsidRPr="00A14659">
        <w:rPr>
          <w:rFonts w:ascii="Arial" w:eastAsia="Calibri" w:hAnsi="Arial" w:cs="Arial"/>
        </w:rPr>
        <w:t xml:space="preserve"> </w:t>
      </w:r>
    </w:p>
    <w:p w:rsidR="00A14659" w:rsidRDefault="00A14659" w:rsidP="00A14659">
      <w:pPr>
        <w:spacing w:after="0" w:line="240" w:lineRule="auto"/>
        <w:ind w:left="1134"/>
        <w:contextualSpacing/>
        <w:jc w:val="both"/>
        <w:rPr>
          <w:rFonts w:ascii="Arial" w:eastAsia="Calibri" w:hAnsi="Arial" w:cs="Arial"/>
        </w:rPr>
      </w:pPr>
      <w:r w:rsidRPr="00A14659">
        <w:rPr>
          <w:rFonts w:ascii="Arial" w:eastAsia="Calibri" w:hAnsi="Arial" w:cs="Arial"/>
        </w:rPr>
        <w:t xml:space="preserve">Para la anotación preventiva a que se refiere el artículo 41.2 del Decreto Legislativo N° 1192, basta la presentación del oficio dirigido al registrador en el que se precise el número de la partida del inmueble objeto de transferencia. </w:t>
      </w:r>
    </w:p>
    <w:p w:rsidR="00A14659" w:rsidRDefault="00A14659" w:rsidP="00A14659">
      <w:pPr>
        <w:spacing w:after="0" w:line="240" w:lineRule="auto"/>
        <w:ind w:left="1134"/>
        <w:contextualSpacing/>
        <w:jc w:val="both"/>
        <w:rPr>
          <w:rFonts w:ascii="Arial" w:eastAsia="Calibri" w:hAnsi="Arial" w:cs="Arial"/>
        </w:rPr>
      </w:pPr>
    </w:p>
    <w:p w:rsidR="00A14659" w:rsidRDefault="00A14659" w:rsidP="00A14659">
      <w:pPr>
        <w:spacing w:after="0" w:line="240" w:lineRule="auto"/>
        <w:ind w:left="1134"/>
        <w:contextualSpacing/>
        <w:jc w:val="both"/>
        <w:rPr>
          <w:rFonts w:ascii="Arial" w:eastAsia="Calibri" w:hAnsi="Arial" w:cs="Arial"/>
        </w:rPr>
      </w:pPr>
      <w:r w:rsidRPr="00A14659">
        <w:rPr>
          <w:rFonts w:ascii="Arial" w:eastAsia="Calibri" w:hAnsi="Arial" w:cs="Arial"/>
        </w:rPr>
        <w:t xml:space="preserve">Si en la partida registral del inmueble objeto de anotación consta la existencia de duplicidad, dicha circunstancia no impide la anotación preventiva, sin perjuicio que el registrador deba comunicar tal situación al solicitante, extendiendo además una anotación de correlación en la partida duplicada. </w:t>
      </w:r>
    </w:p>
    <w:p w:rsidR="00A14659" w:rsidRDefault="00A14659" w:rsidP="006312E8">
      <w:pPr>
        <w:spacing w:after="0" w:line="240" w:lineRule="auto"/>
        <w:contextualSpacing/>
        <w:jc w:val="both"/>
        <w:rPr>
          <w:rFonts w:ascii="Arial" w:eastAsia="Calibri" w:hAnsi="Arial" w:cs="Arial"/>
        </w:rPr>
      </w:pPr>
    </w:p>
    <w:p w:rsidR="00A14659" w:rsidRPr="00A14659" w:rsidRDefault="00A14659" w:rsidP="00A14659">
      <w:pPr>
        <w:spacing w:after="0" w:line="240" w:lineRule="auto"/>
        <w:ind w:left="1134" w:hanging="708"/>
        <w:contextualSpacing/>
        <w:jc w:val="both"/>
        <w:rPr>
          <w:rFonts w:ascii="Arial" w:eastAsia="Calibri" w:hAnsi="Arial" w:cs="Arial"/>
          <w:b/>
        </w:rPr>
      </w:pPr>
      <w:r w:rsidRPr="00A14659">
        <w:rPr>
          <w:rFonts w:ascii="Arial" w:eastAsia="Calibri" w:hAnsi="Arial" w:cs="Arial"/>
          <w:b/>
        </w:rPr>
        <w:t xml:space="preserve">6.3.2. </w:t>
      </w:r>
      <w:r>
        <w:rPr>
          <w:rFonts w:ascii="Arial" w:eastAsia="Calibri" w:hAnsi="Arial" w:cs="Arial"/>
          <w:b/>
        </w:rPr>
        <w:tab/>
      </w:r>
      <w:r w:rsidRPr="00A14659">
        <w:rPr>
          <w:rFonts w:ascii="Arial" w:eastAsia="Calibri" w:hAnsi="Arial" w:cs="Arial"/>
          <w:b/>
        </w:rPr>
        <w:t xml:space="preserve">Efectos de la anotación preventiva </w:t>
      </w:r>
    </w:p>
    <w:p w:rsidR="00A14659" w:rsidRDefault="00A14659" w:rsidP="00A14659">
      <w:pPr>
        <w:spacing w:after="0" w:line="240" w:lineRule="auto"/>
        <w:ind w:left="1134"/>
        <w:contextualSpacing/>
        <w:jc w:val="both"/>
        <w:rPr>
          <w:rFonts w:ascii="Arial" w:eastAsia="Calibri" w:hAnsi="Arial" w:cs="Arial"/>
        </w:rPr>
      </w:pPr>
      <w:r w:rsidRPr="00A14659">
        <w:rPr>
          <w:rFonts w:ascii="Arial" w:eastAsia="Calibri" w:hAnsi="Arial" w:cs="Arial"/>
        </w:rPr>
        <w:t xml:space="preserve">La anotación preventiva otorga prioridad y prevalencia respecto de cualquier asiento registral posterior. No impide la inscripción de actos en la partida registral. </w:t>
      </w:r>
    </w:p>
    <w:p w:rsidR="00A14659" w:rsidRDefault="00A14659" w:rsidP="006312E8">
      <w:pPr>
        <w:spacing w:after="0" w:line="240" w:lineRule="auto"/>
        <w:contextualSpacing/>
        <w:jc w:val="both"/>
        <w:rPr>
          <w:rFonts w:ascii="Arial" w:eastAsia="Calibri" w:hAnsi="Arial" w:cs="Arial"/>
        </w:rPr>
      </w:pPr>
    </w:p>
    <w:p w:rsidR="00A14659" w:rsidRDefault="00A14659" w:rsidP="006312E8">
      <w:pPr>
        <w:spacing w:after="0" w:line="240" w:lineRule="auto"/>
        <w:contextualSpacing/>
        <w:jc w:val="both"/>
        <w:rPr>
          <w:rFonts w:ascii="Arial" w:eastAsia="Calibri" w:hAnsi="Arial" w:cs="Arial"/>
        </w:rPr>
      </w:pPr>
    </w:p>
    <w:p w:rsidR="00A14659" w:rsidRDefault="00A14659" w:rsidP="006312E8">
      <w:pPr>
        <w:spacing w:after="0" w:line="240" w:lineRule="auto"/>
        <w:contextualSpacing/>
        <w:jc w:val="both"/>
        <w:rPr>
          <w:rFonts w:ascii="Arial" w:eastAsia="Calibri" w:hAnsi="Arial" w:cs="Arial"/>
        </w:rPr>
      </w:pPr>
    </w:p>
    <w:p w:rsidR="00A14659" w:rsidRDefault="00A14659" w:rsidP="006312E8">
      <w:pPr>
        <w:spacing w:after="0" w:line="240" w:lineRule="auto"/>
        <w:contextualSpacing/>
        <w:jc w:val="both"/>
        <w:rPr>
          <w:rFonts w:ascii="Arial" w:eastAsia="Calibri" w:hAnsi="Arial" w:cs="Arial"/>
        </w:rPr>
      </w:pPr>
    </w:p>
    <w:p w:rsidR="00A14659" w:rsidRPr="00A14659" w:rsidRDefault="00A14659" w:rsidP="00A14659">
      <w:pPr>
        <w:spacing w:after="0" w:line="240" w:lineRule="auto"/>
        <w:ind w:left="1134" w:hanging="708"/>
        <w:contextualSpacing/>
        <w:jc w:val="both"/>
        <w:rPr>
          <w:rFonts w:ascii="Arial" w:eastAsia="Calibri" w:hAnsi="Arial" w:cs="Arial"/>
          <w:b/>
        </w:rPr>
      </w:pPr>
      <w:r w:rsidRPr="00A14659">
        <w:rPr>
          <w:rFonts w:ascii="Arial" w:eastAsia="Calibri" w:hAnsi="Arial" w:cs="Arial"/>
          <w:b/>
        </w:rPr>
        <w:t xml:space="preserve">6.3.3. </w:t>
      </w:r>
      <w:r>
        <w:rPr>
          <w:rFonts w:ascii="Arial" w:eastAsia="Calibri" w:hAnsi="Arial" w:cs="Arial"/>
          <w:b/>
        </w:rPr>
        <w:tab/>
      </w:r>
      <w:r w:rsidRPr="00A14659">
        <w:rPr>
          <w:rFonts w:ascii="Arial" w:eastAsia="Calibri" w:hAnsi="Arial" w:cs="Arial"/>
          <w:b/>
        </w:rPr>
        <w:t xml:space="preserve">Inscripción de la transferencia </w:t>
      </w:r>
    </w:p>
    <w:p w:rsidR="00A14659" w:rsidRDefault="00A14659" w:rsidP="00A14659">
      <w:pPr>
        <w:spacing w:after="0" w:line="240" w:lineRule="auto"/>
        <w:ind w:left="1134"/>
        <w:contextualSpacing/>
        <w:jc w:val="both"/>
        <w:rPr>
          <w:rFonts w:ascii="Arial" w:eastAsia="Calibri" w:hAnsi="Arial" w:cs="Arial"/>
        </w:rPr>
      </w:pPr>
      <w:r w:rsidRPr="00A14659">
        <w:rPr>
          <w:rFonts w:ascii="Arial" w:eastAsia="Calibri" w:hAnsi="Arial" w:cs="Arial"/>
        </w:rPr>
        <w:t>La inscripción de la transferencia de inmuebles inscritos a favor del Estado se realiza por el solo mérito de la solicitud formulada por el funcionario competente acreditado ante Sunarp, acompañada de la resolución administrativa que emita la Superintendencia Nacional de Bienes Estatales (SBN).</w:t>
      </w:r>
    </w:p>
    <w:p w:rsidR="00A14659" w:rsidRDefault="00A14659" w:rsidP="00A14659">
      <w:pPr>
        <w:spacing w:after="0" w:line="240" w:lineRule="auto"/>
        <w:ind w:left="1134"/>
        <w:contextualSpacing/>
        <w:jc w:val="both"/>
        <w:rPr>
          <w:rFonts w:ascii="Arial" w:eastAsia="Calibri" w:hAnsi="Arial" w:cs="Arial"/>
        </w:rPr>
      </w:pPr>
    </w:p>
    <w:p w:rsidR="00A14659" w:rsidRDefault="00A14659" w:rsidP="00A14659">
      <w:pPr>
        <w:spacing w:after="0" w:line="240" w:lineRule="auto"/>
        <w:ind w:left="1134"/>
        <w:contextualSpacing/>
        <w:jc w:val="both"/>
        <w:rPr>
          <w:rFonts w:ascii="Arial" w:eastAsia="Calibri" w:hAnsi="Arial" w:cs="Arial"/>
        </w:rPr>
      </w:pPr>
      <w:r w:rsidRPr="00A14659">
        <w:rPr>
          <w:rFonts w:ascii="Arial" w:eastAsia="Calibri" w:hAnsi="Arial" w:cs="Arial"/>
        </w:rPr>
        <w:t xml:space="preserve">Cuando la transferencia comprenda solo parte del inmueble, además debe adjuntarse los planos perimétrico y de ubicación georeferenciados a la red geodésica nacional referida al datum y proyección en coordenadas oficiales suscritos por verificador catastral con su correspondiente memoria descriptiva, tanto del área a independizar como del área remanente, salvo lo dispuesto en la cuarta disposición complementaria y final del Reglamento de Inscripciones del Registro de Predios. En estos casos, las cargas y gravámenes que no hubieran sido levantadas como consecuencia de la sustitución a que se refiere el artículo 41.4 del Decreto Legislativo N° 1192 serán trasladadas a la partida independizada. </w:t>
      </w:r>
    </w:p>
    <w:p w:rsidR="00A14659" w:rsidRDefault="00A14659" w:rsidP="00A14659">
      <w:pPr>
        <w:spacing w:after="0" w:line="240" w:lineRule="auto"/>
        <w:ind w:left="1134"/>
        <w:contextualSpacing/>
        <w:jc w:val="both"/>
        <w:rPr>
          <w:rFonts w:ascii="Arial" w:eastAsia="Calibri" w:hAnsi="Arial" w:cs="Arial"/>
        </w:rPr>
      </w:pPr>
    </w:p>
    <w:p w:rsidR="006312E8" w:rsidRPr="006312E8" w:rsidRDefault="00A14659" w:rsidP="00A14659">
      <w:pPr>
        <w:spacing w:after="0" w:line="240" w:lineRule="auto"/>
        <w:ind w:left="1134"/>
        <w:contextualSpacing/>
        <w:jc w:val="both"/>
        <w:rPr>
          <w:rFonts w:ascii="Arial" w:eastAsia="Calibri" w:hAnsi="Arial" w:cs="Arial"/>
        </w:rPr>
      </w:pPr>
      <w:r w:rsidRPr="00A14659">
        <w:rPr>
          <w:rFonts w:ascii="Arial" w:eastAsia="Calibri" w:hAnsi="Arial" w:cs="Arial"/>
        </w:rPr>
        <w:t>No será exigible en sede registral la sustitución de las cargas y gravámenes, salvo que se trate de una medida cautelar de no innovar, en cuyo caso, a efectos de inscribir la transferencia se requerirá su previa variación o cancelación.</w:t>
      </w:r>
    </w:p>
    <w:p w:rsidR="006312E8" w:rsidRDefault="006312E8" w:rsidP="006312E8">
      <w:pPr>
        <w:spacing w:after="0" w:line="240" w:lineRule="auto"/>
        <w:contextualSpacing/>
        <w:jc w:val="both"/>
        <w:rPr>
          <w:rFonts w:ascii="Arial" w:eastAsia="Calibri" w:hAnsi="Arial" w:cs="Arial"/>
          <w:lang w:val="es-ES"/>
        </w:rPr>
      </w:pPr>
    </w:p>
    <w:p w:rsidR="00A14659" w:rsidRPr="00A14659" w:rsidRDefault="00A14659" w:rsidP="006312E8">
      <w:pPr>
        <w:spacing w:after="0" w:line="240" w:lineRule="auto"/>
        <w:contextualSpacing/>
        <w:jc w:val="both"/>
        <w:rPr>
          <w:rFonts w:ascii="Arial" w:eastAsia="Calibri" w:hAnsi="Arial" w:cs="Arial"/>
          <w:b/>
          <w:lang w:val="es-ES"/>
        </w:rPr>
      </w:pPr>
      <w:r w:rsidRPr="00A14659">
        <w:rPr>
          <w:rFonts w:ascii="Arial" w:eastAsia="Calibri" w:hAnsi="Arial" w:cs="Arial"/>
          <w:b/>
          <w:lang w:val="es-ES"/>
        </w:rPr>
        <w:t>(…)</w:t>
      </w:r>
    </w:p>
    <w:p w:rsidR="00A14659" w:rsidRDefault="00A14659" w:rsidP="006312E8">
      <w:pPr>
        <w:spacing w:after="0" w:line="240" w:lineRule="auto"/>
        <w:contextualSpacing/>
        <w:jc w:val="both"/>
        <w:rPr>
          <w:rFonts w:ascii="Arial" w:eastAsia="Calibri" w:hAnsi="Arial" w:cs="Arial"/>
          <w:lang w:val="es-ES"/>
        </w:rPr>
      </w:pPr>
    </w:p>
    <w:p w:rsidR="00A14659" w:rsidRPr="00A14659" w:rsidRDefault="00A14659" w:rsidP="006312E8">
      <w:pPr>
        <w:spacing w:after="0" w:line="240" w:lineRule="auto"/>
        <w:contextualSpacing/>
        <w:jc w:val="both"/>
        <w:rPr>
          <w:rFonts w:ascii="Arial" w:eastAsia="Calibri" w:hAnsi="Arial" w:cs="Arial"/>
          <w:b/>
          <w:lang w:val="es-ES"/>
        </w:rPr>
      </w:pPr>
      <w:r w:rsidRPr="00A14659">
        <w:rPr>
          <w:rFonts w:ascii="Arial" w:eastAsia="Calibri" w:hAnsi="Arial" w:cs="Arial"/>
          <w:b/>
          <w:lang w:val="es-ES"/>
        </w:rPr>
        <w:t xml:space="preserve">7.3. Aplicación supletoria </w:t>
      </w:r>
    </w:p>
    <w:p w:rsidR="00A14659" w:rsidRPr="006312E8" w:rsidRDefault="00A14659" w:rsidP="006312E8">
      <w:pPr>
        <w:spacing w:after="0" w:line="240" w:lineRule="auto"/>
        <w:contextualSpacing/>
        <w:jc w:val="both"/>
        <w:rPr>
          <w:rFonts w:ascii="Arial" w:eastAsia="Calibri" w:hAnsi="Arial" w:cs="Arial"/>
          <w:lang w:val="es-ES"/>
        </w:rPr>
      </w:pPr>
      <w:r w:rsidRPr="00A14659">
        <w:rPr>
          <w:rFonts w:ascii="Arial" w:eastAsia="Calibri" w:hAnsi="Arial" w:cs="Arial"/>
          <w:lang w:val="es-ES"/>
        </w:rPr>
        <w:t>En todo lo no previsto en el Decreto Legislativo N° 1192 y la presente directiva, se aplican las disposiciones establecidas en el Reglamento General de los Registros Públicos y el Reglamento de Inscripciones del Registro de Predios.</w:t>
      </w:r>
    </w:p>
    <w:p w:rsidR="006312E8" w:rsidRPr="006312E8" w:rsidRDefault="006312E8" w:rsidP="006312E8">
      <w:pPr>
        <w:spacing w:after="0" w:line="240" w:lineRule="auto"/>
        <w:contextualSpacing/>
        <w:jc w:val="both"/>
        <w:rPr>
          <w:rFonts w:ascii="Arial" w:eastAsia="Calibri" w:hAnsi="Arial" w:cs="Arial"/>
          <w:lang w:val="es-ES"/>
        </w:rPr>
      </w:pPr>
    </w:p>
    <w:p w:rsidR="006312E8" w:rsidRPr="00A14659" w:rsidRDefault="00A14659" w:rsidP="006312E8">
      <w:pPr>
        <w:spacing w:after="0" w:line="240" w:lineRule="auto"/>
        <w:contextualSpacing/>
        <w:jc w:val="both"/>
        <w:rPr>
          <w:rFonts w:ascii="Arial" w:eastAsia="Calibri" w:hAnsi="Arial" w:cs="Arial"/>
          <w:b/>
          <w:lang w:val="es-ES"/>
        </w:rPr>
      </w:pPr>
      <w:r w:rsidRPr="00A14659">
        <w:rPr>
          <w:rFonts w:ascii="Arial" w:eastAsia="Calibri" w:hAnsi="Arial" w:cs="Arial"/>
          <w:b/>
          <w:lang w:val="es-ES"/>
        </w:rPr>
        <w:t>(…)</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Default="006312E8" w:rsidP="006312E8">
      <w:pPr>
        <w:spacing w:after="0" w:line="240" w:lineRule="auto"/>
        <w:contextualSpacing/>
        <w:jc w:val="both"/>
        <w:rPr>
          <w:rFonts w:ascii="Arial" w:eastAsia="Calibri" w:hAnsi="Arial" w:cs="Arial"/>
          <w:lang w:val="es-ES"/>
        </w:rPr>
      </w:pPr>
    </w:p>
    <w:p w:rsidR="00A14659" w:rsidRDefault="00A14659" w:rsidP="006312E8">
      <w:pPr>
        <w:spacing w:after="0" w:line="240" w:lineRule="auto"/>
        <w:contextualSpacing/>
        <w:jc w:val="both"/>
        <w:rPr>
          <w:rFonts w:ascii="Arial" w:eastAsia="Calibri" w:hAnsi="Arial" w:cs="Arial"/>
          <w:lang w:val="es-ES"/>
        </w:rPr>
      </w:pPr>
    </w:p>
    <w:p w:rsidR="00A14659" w:rsidRDefault="00A14659" w:rsidP="006312E8">
      <w:pPr>
        <w:spacing w:after="0" w:line="240" w:lineRule="auto"/>
        <w:contextualSpacing/>
        <w:jc w:val="both"/>
        <w:rPr>
          <w:rFonts w:ascii="Arial" w:eastAsia="Calibri" w:hAnsi="Arial" w:cs="Arial"/>
          <w:lang w:val="es-ES"/>
        </w:rPr>
      </w:pPr>
    </w:p>
    <w:p w:rsidR="00A14659" w:rsidRDefault="00A14659" w:rsidP="006312E8">
      <w:pPr>
        <w:spacing w:after="0" w:line="240" w:lineRule="auto"/>
        <w:contextualSpacing/>
        <w:jc w:val="both"/>
        <w:rPr>
          <w:rFonts w:ascii="Arial" w:eastAsia="Calibri" w:hAnsi="Arial" w:cs="Arial"/>
          <w:lang w:val="es-ES"/>
        </w:rPr>
      </w:pPr>
    </w:p>
    <w:p w:rsidR="00A14659" w:rsidRDefault="00A14659" w:rsidP="006312E8">
      <w:pPr>
        <w:spacing w:after="0" w:line="240" w:lineRule="auto"/>
        <w:contextualSpacing/>
        <w:jc w:val="both"/>
        <w:rPr>
          <w:rFonts w:ascii="Arial" w:eastAsia="Calibri" w:hAnsi="Arial" w:cs="Arial"/>
          <w:lang w:val="es-ES"/>
        </w:rPr>
      </w:pPr>
    </w:p>
    <w:p w:rsidR="00A14659" w:rsidRDefault="00A14659" w:rsidP="006312E8">
      <w:pPr>
        <w:spacing w:after="0" w:line="240" w:lineRule="auto"/>
        <w:contextualSpacing/>
        <w:jc w:val="both"/>
        <w:rPr>
          <w:rFonts w:ascii="Arial" w:eastAsia="Calibri" w:hAnsi="Arial" w:cs="Arial"/>
          <w:lang w:val="es-ES"/>
        </w:rPr>
      </w:pPr>
    </w:p>
    <w:p w:rsidR="00A14659" w:rsidRDefault="00A14659" w:rsidP="006312E8">
      <w:pPr>
        <w:spacing w:after="0" w:line="240" w:lineRule="auto"/>
        <w:contextualSpacing/>
        <w:jc w:val="both"/>
        <w:rPr>
          <w:rFonts w:ascii="Arial" w:eastAsia="Calibri" w:hAnsi="Arial" w:cs="Arial"/>
          <w:lang w:val="es-ES"/>
        </w:rPr>
      </w:pPr>
    </w:p>
    <w:p w:rsidR="00A14659" w:rsidRDefault="00A14659" w:rsidP="006312E8">
      <w:pPr>
        <w:spacing w:after="0" w:line="240" w:lineRule="auto"/>
        <w:contextualSpacing/>
        <w:jc w:val="both"/>
        <w:rPr>
          <w:rFonts w:ascii="Arial" w:eastAsia="Calibri" w:hAnsi="Arial" w:cs="Arial"/>
          <w:lang w:val="es-ES"/>
        </w:rPr>
      </w:pPr>
    </w:p>
    <w:p w:rsidR="00A14659" w:rsidRDefault="00A14659" w:rsidP="006312E8">
      <w:pPr>
        <w:spacing w:after="0" w:line="240" w:lineRule="auto"/>
        <w:contextualSpacing/>
        <w:jc w:val="both"/>
        <w:rPr>
          <w:rFonts w:ascii="Arial" w:eastAsia="Calibri" w:hAnsi="Arial" w:cs="Arial"/>
          <w:lang w:val="es-ES"/>
        </w:rPr>
      </w:pPr>
    </w:p>
    <w:p w:rsidR="00A14659" w:rsidRDefault="00A14659" w:rsidP="006312E8">
      <w:pPr>
        <w:spacing w:after="0" w:line="240" w:lineRule="auto"/>
        <w:contextualSpacing/>
        <w:jc w:val="both"/>
        <w:rPr>
          <w:rFonts w:ascii="Arial" w:eastAsia="Calibri" w:hAnsi="Arial" w:cs="Arial"/>
          <w:lang w:val="es-ES"/>
        </w:rPr>
      </w:pPr>
    </w:p>
    <w:p w:rsidR="00A14659" w:rsidRDefault="00A14659" w:rsidP="006312E8">
      <w:pPr>
        <w:spacing w:after="0" w:line="240" w:lineRule="auto"/>
        <w:contextualSpacing/>
        <w:jc w:val="both"/>
        <w:rPr>
          <w:rFonts w:ascii="Arial" w:eastAsia="Calibri" w:hAnsi="Arial" w:cs="Arial"/>
          <w:lang w:val="es-ES"/>
        </w:rPr>
      </w:pPr>
    </w:p>
    <w:p w:rsidR="00A14659" w:rsidRDefault="00A14659" w:rsidP="006312E8">
      <w:pPr>
        <w:spacing w:after="0" w:line="240" w:lineRule="auto"/>
        <w:contextualSpacing/>
        <w:jc w:val="both"/>
        <w:rPr>
          <w:rFonts w:ascii="Arial" w:eastAsia="Calibri" w:hAnsi="Arial" w:cs="Arial"/>
          <w:lang w:val="es-ES"/>
        </w:rPr>
      </w:pPr>
    </w:p>
    <w:p w:rsidR="00A14659" w:rsidRDefault="00A14659" w:rsidP="006312E8">
      <w:pPr>
        <w:spacing w:after="0" w:line="240" w:lineRule="auto"/>
        <w:contextualSpacing/>
        <w:jc w:val="both"/>
        <w:rPr>
          <w:rFonts w:ascii="Arial" w:eastAsia="Calibri" w:hAnsi="Arial" w:cs="Arial"/>
          <w:lang w:val="es-ES"/>
        </w:rPr>
      </w:pPr>
    </w:p>
    <w:p w:rsidR="00A14659" w:rsidRDefault="00A14659" w:rsidP="006312E8">
      <w:pPr>
        <w:spacing w:after="0" w:line="240" w:lineRule="auto"/>
        <w:contextualSpacing/>
        <w:jc w:val="both"/>
        <w:rPr>
          <w:rFonts w:ascii="Arial" w:eastAsia="Calibri" w:hAnsi="Arial" w:cs="Arial"/>
          <w:lang w:val="es-ES"/>
        </w:rPr>
      </w:pPr>
    </w:p>
    <w:p w:rsidR="00A14659" w:rsidRDefault="00A14659" w:rsidP="006312E8">
      <w:pPr>
        <w:spacing w:after="0" w:line="240" w:lineRule="auto"/>
        <w:contextualSpacing/>
        <w:jc w:val="both"/>
        <w:rPr>
          <w:rFonts w:ascii="Arial" w:eastAsia="Calibri" w:hAnsi="Arial" w:cs="Arial"/>
          <w:lang w:val="es-ES"/>
        </w:rPr>
      </w:pPr>
    </w:p>
    <w:p w:rsidR="00A14659" w:rsidRDefault="00A14659" w:rsidP="006312E8">
      <w:pPr>
        <w:spacing w:after="0" w:line="240" w:lineRule="auto"/>
        <w:contextualSpacing/>
        <w:jc w:val="both"/>
        <w:rPr>
          <w:rFonts w:ascii="Arial" w:eastAsia="Calibri" w:hAnsi="Arial" w:cs="Arial"/>
          <w:lang w:val="es-ES"/>
        </w:rPr>
      </w:pPr>
    </w:p>
    <w:p w:rsidR="00A14659" w:rsidRDefault="00A14659" w:rsidP="006312E8">
      <w:pPr>
        <w:spacing w:after="0" w:line="240" w:lineRule="auto"/>
        <w:contextualSpacing/>
        <w:jc w:val="both"/>
        <w:rPr>
          <w:rFonts w:ascii="Arial" w:eastAsia="Calibri" w:hAnsi="Arial" w:cs="Arial"/>
          <w:lang w:val="es-ES"/>
        </w:rPr>
      </w:pPr>
    </w:p>
    <w:p w:rsidR="00A14659" w:rsidRDefault="00A14659" w:rsidP="006312E8">
      <w:pPr>
        <w:spacing w:after="0" w:line="240" w:lineRule="auto"/>
        <w:contextualSpacing/>
        <w:jc w:val="both"/>
        <w:rPr>
          <w:rFonts w:ascii="Arial" w:eastAsia="Calibri" w:hAnsi="Arial" w:cs="Arial"/>
          <w:lang w:val="es-ES"/>
        </w:rPr>
      </w:pPr>
    </w:p>
    <w:p w:rsidR="00A14659" w:rsidRDefault="00A14659" w:rsidP="006312E8">
      <w:pPr>
        <w:spacing w:after="0" w:line="240" w:lineRule="auto"/>
        <w:contextualSpacing/>
        <w:jc w:val="both"/>
        <w:rPr>
          <w:rFonts w:ascii="Arial" w:eastAsia="Calibri" w:hAnsi="Arial" w:cs="Arial"/>
          <w:lang w:val="es-ES"/>
        </w:rPr>
      </w:pPr>
    </w:p>
    <w:p w:rsidR="00A14659" w:rsidRDefault="00A14659" w:rsidP="006312E8">
      <w:pPr>
        <w:spacing w:after="0" w:line="240" w:lineRule="auto"/>
        <w:contextualSpacing/>
        <w:jc w:val="both"/>
        <w:rPr>
          <w:rFonts w:ascii="Arial" w:eastAsia="Calibri" w:hAnsi="Arial" w:cs="Arial"/>
          <w:lang w:val="es-ES"/>
        </w:rPr>
      </w:pPr>
    </w:p>
    <w:p w:rsidR="00A14659" w:rsidRDefault="00A14659" w:rsidP="006312E8">
      <w:pPr>
        <w:spacing w:after="0" w:line="240" w:lineRule="auto"/>
        <w:contextualSpacing/>
        <w:jc w:val="both"/>
        <w:rPr>
          <w:rFonts w:ascii="Arial" w:eastAsia="Calibri" w:hAnsi="Arial" w:cs="Arial"/>
          <w:lang w:val="es-ES"/>
        </w:rPr>
      </w:pPr>
    </w:p>
    <w:p w:rsidR="00A14659" w:rsidRDefault="00A14659" w:rsidP="00C60A91">
      <w:pPr>
        <w:pStyle w:val="TITO2"/>
      </w:pPr>
    </w:p>
    <w:p w:rsidR="00A14659" w:rsidRDefault="00A14659" w:rsidP="006312E8">
      <w:pPr>
        <w:spacing w:after="0" w:line="240" w:lineRule="auto"/>
        <w:contextualSpacing/>
        <w:jc w:val="both"/>
        <w:rPr>
          <w:rFonts w:ascii="Arial" w:eastAsia="Calibri" w:hAnsi="Arial" w:cs="Arial"/>
          <w:lang w:val="es-ES"/>
        </w:rPr>
      </w:pPr>
    </w:p>
    <w:p w:rsidR="00A14659" w:rsidRDefault="00A14659" w:rsidP="006312E8">
      <w:pPr>
        <w:spacing w:after="0" w:line="240" w:lineRule="auto"/>
        <w:contextualSpacing/>
        <w:jc w:val="both"/>
        <w:rPr>
          <w:rFonts w:ascii="Arial" w:eastAsia="Calibri" w:hAnsi="Arial" w:cs="Arial"/>
          <w:lang w:val="es-ES"/>
        </w:rPr>
      </w:pPr>
    </w:p>
    <w:p w:rsidR="00A14659" w:rsidRDefault="00A14659" w:rsidP="006312E8">
      <w:pPr>
        <w:spacing w:after="0" w:line="240" w:lineRule="auto"/>
        <w:contextualSpacing/>
        <w:jc w:val="both"/>
        <w:rPr>
          <w:rFonts w:ascii="Arial" w:eastAsia="Calibri" w:hAnsi="Arial" w:cs="Arial"/>
          <w:lang w:val="es-ES"/>
        </w:rPr>
      </w:pPr>
    </w:p>
    <w:p w:rsidR="00A14659" w:rsidRDefault="00A14659" w:rsidP="006312E8">
      <w:pPr>
        <w:spacing w:after="0" w:line="240" w:lineRule="auto"/>
        <w:contextualSpacing/>
        <w:jc w:val="both"/>
        <w:rPr>
          <w:rFonts w:ascii="Arial" w:eastAsia="Calibri" w:hAnsi="Arial" w:cs="Arial"/>
          <w:lang w:val="es-ES"/>
        </w:rPr>
      </w:pPr>
    </w:p>
    <w:p w:rsidR="00A14659" w:rsidRDefault="00A14659" w:rsidP="006312E8">
      <w:pPr>
        <w:spacing w:after="0" w:line="240" w:lineRule="auto"/>
        <w:contextualSpacing/>
        <w:jc w:val="both"/>
        <w:rPr>
          <w:rFonts w:ascii="Arial" w:eastAsia="Calibri" w:hAnsi="Arial" w:cs="Arial"/>
          <w:lang w:val="es-ES"/>
        </w:rPr>
      </w:pPr>
    </w:p>
    <w:p w:rsidR="00A14659" w:rsidRDefault="00A14659" w:rsidP="006312E8">
      <w:pPr>
        <w:spacing w:after="0" w:line="240" w:lineRule="auto"/>
        <w:contextualSpacing/>
        <w:jc w:val="both"/>
        <w:rPr>
          <w:rFonts w:ascii="Arial" w:eastAsia="Calibri" w:hAnsi="Arial" w:cs="Arial"/>
          <w:lang w:val="es-ES"/>
        </w:rPr>
      </w:pPr>
    </w:p>
    <w:p w:rsidR="00A14659" w:rsidRDefault="00A14659" w:rsidP="006312E8">
      <w:pPr>
        <w:spacing w:after="0" w:line="240" w:lineRule="auto"/>
        <w:contextualSpacing/>
        <w:jc w:val="both"/>
        <w:rPr>
          <w:rFonts w:ascii="Arial" w:eastAsia="Calibri" w:hAnsi="Arial" w:cs="Arial"/>
          <w:lang w:val="es-ES"/>
        </w:rPr>
      </w:pPr>
    </w:p>
    <w:p w:rsidR="00A14659" w:rsidRDefault="00A14659" w:rsidP="006312E8">
      <w:pPr>
        <w:spacing w:after="0" w:line="240" w:lineRule="auto"/>
        <w:contextualSpacing/>
        <w:jc w:val="both"/>
        <w:rPr>
          <w:rFonts w:ascii="Arial" w:eastAsia="Calibri" w:hAnsi="Arial" w:cs="Arial"/>
          <w:lang w:val="es-ES"/>
        </w:rPr>
      </w:pPr>
    </w:p>
    <w:p w:rsidR="00A14659" w:rsidRDefault="00A14659" w:rsidP="006312E8">
      <w:pPr>
        <w:spacing w:after="0" w:line="240" w:lineRule="auto"/>
        <w:contextualSpacing/>
        <w:jc w:val="both"/>
        <w:rPr>
          <w:rFonts w:ascii="Arial" w:eastAsia="Calibri" w:hAnsi="Arial" w:cs="Arial"/>
          <w:lang w:val="es-ES"/>
        </w:rPr>
      </w:pPr>
    </w:p>
    <w:p w:rsidR="00A14659" w:rsidRDefault="00A14659" w:rsidP="006312E8">
      <w:pPr>
        <w:spacing w:after="0" w:line="240" w:lineRule="auto"/>
        <w:contextualSpacing/>
        <w:jc w:val="both"/>
        <w:rPr>
          <w:rFonts w:ascii="Arial" w:eastAsia="Calibri" w:hAnsi="Arial" w:cs="Arial"/>
          <w:lang w:val="es-ES"/>
        </w:rPr>
      </w:pPr>
    </w:p>
    <w:p w:rsidR="00A14659" w:rsidRDefault="00A14659" w:rsidP="006312E8">
      <w:pPr>
        <w:spacing w:after="0" w:line="240" w:lineRule="auto"/>
        <w:contextualSpacing/>
        <w:jc w:val="both"/>
        <w:rPr>
          <w:rFonts w:ascii="Arial" w:eastAsia="Calibri" w:hAnsi="Arial" w:cs="Arial"/>
          <w:lang w:val="es-ES"/>
        </w:rPr>
      </w:pPr>
    </w:p>
    <w:p w:rsidR="00A14659" w:rsidRDefault="00A14659" w:rsidP="006312E8">
      <w:pPr>
        <w:spacing w:after="0" w:line="240" w:lineRule="auto"/>
        <w:contextualSpacing/>
        <w:jc w:val="both"/>
        <w:rPr>
          <w:rFonts w:ascii="Arial" w:eastAsia="Calibri" w:hAnsi="Arial" w:cs="Arial"/>
          <w:lang w:val="es-ES"/>
        </w:rPr>
      </w:pPr>
    </w:p>
    <w:p w:rsidR="00A14659" w:rsidRDefault="00A14659" w:rsidP="006312E8">
      <w:pPr>
        <w:spacing w:after="0" w:line="240" w:lineRule="auto"/>
        <w:contextualSpacing/>
        <w:jc w:val="both"/>
        <w:rPr>
          <w:rFonts w:ascii="Arial" w:eastAsia="Calibri" w:hAnsi="Arial" w:cs="Arial"/>
          <w:lang w:val="es-ES"/>
        </w:rPr>
      </w:pPr>
    </w:p>
    <w:p w:rsidR="00A14659" w:rsidRDefault="00A14659" w:rsidP="006312E8">
      <w:pPr>
        <w:spacing w:after="0" w:line="240" w:lineRule="auto"/>
        <w:contextualSpacing/>
        <w:jc w:val="both"/>
        <w:rPr>
          <w:rFonts w:ascii="Arial" w:eastAsia="Calibri" w:hAnsi="Arial" w:cs="Arial"/>
          <w:lang w:val="es-ES"/>
        </w:rPr>
      </w:pPr>
    </w:p>
    <w:p w:rsidR="00A14659" w:rsidRDefault="00A14659" w:rsidP="006312E8">
      <w:pPr>
        <w:spacing w:after="0" w:line="240" w:lineRule="auto"/>
        <w:contextualSpacing/>
        <w:jc w:val="both"/>
        <w:rPr>
          <w:rFonts w:ascii="Arial" w:eastAsia="Calibri" w:hAnsi="Arial" w:cs="Arial"/>
          <w:lang w:val="es-ES"/>
        </w:rPr>
      </w:pPr>
    </w:p>
    <w:p w:rsidR="00A14659" w:rsidRDefault="00A14659" w:rsidP="006312E8">
      <w:pPr>
        <w:spacing w:after="0" w:line="240" w:lineRule="auto"/>
        <w:contextualSpacing/>
        <w:jc w:val="both"/>
        <w:rPr>
          <w:rFonts w:ascii="Arial" w:eastAsia="Calibri" w:hAnsi="Arial" w:cs="Arial"/>
          <w:lang w:val="es-ES"/>
        </w:rPr>
      </w:pPr>
    </w:p>
    <w:p w:rsidR="00A14659" w:rsidRDefault="00A14659"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60A91" w:rsidRDefault="00C60A91" w:rsidP="00C60A91">
      <w:pPr>
        <w:pStyle w:val="TITO10"/>
      </w:pPr>
      <w:bookmarkStart w:id="487" w:name="_Toc470855597"/>
      <w:r>
        <w:t>NORMAS SOBRE</w:t>
      </w:r>
      <w:bookmarkEnd w:id="487"/>
      <w:r>
        <w:t xml:space="preserve"> </w:t>
      </w:r>
    </w:p>
    <w:p w:rsidR="00C60A91" w:rsidRDefault="00C60A91" w:rsidP="00C60A91">
      <w:pPr>
        <w:pStyle w:val="TITO10"/>
      </w:pPr>
      <w:bookmarkStart w:id="488" w:name="_Toc470855598"/>
      <w:r>
        <w:t>PROMOCIÓN DE VIVIENDA</w:t>
      </w:r>
      <w:bookmarkEnd w:id="488"/>
    </w:p>
    <w:p w:rsidR="00A14659" w:rsidRDefault="00A14659"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60A91" w:rsidRDefault="00C60A91" w:rsidP="00C60A91">
      <w:pPr>
        <w:pStyle w:val="TITO2"/>
      </w:pPr>
      <w:bookmarkStart w:id="489" w:name="_Toc470855599"/>
      <w:r>
        <w:t>LEY 28687</w:t>
      </w:r>
      <w:bookmarkEnd w:id="489"/>
    </w:p>
    <w:p w:rsidR="00C60A91" w:rsidRDefault="00C60A91" w:rsidP="00C60A91"/>
    <w:p w:rsidR="00C60A91" w:rsidRDefault="00C60A91" w:rsidP="00C60A91">
      <w:pPr>
        <w:jc w:val="right"/>
        <w:rPr>
          <w:b/>
        </w:rPr>
      </w:pPr>
      <w:r>
        <w:rPr>
          <w:b/>
        </w:rPr>
        <w:t>Fecha de Publicación: 17-03-2006</w:t>
      </w:r>
    </w:p>
    <w:p w:rsidR="00A76052" w:rsidRPr="005D7253" w:rsidRDefault="00A76052" w:rsidP="00A76052">
      <w:pPr>
        <w:spacing w:after="0" w:line="240" w:lineRule="auto"/>
        <w:jc w:val="both"/>
        <w:rPr>
          <w:rFonts w:ascii="Arial" w:hAnsi="Arial" w:cs="Arial"/>
          <w:b/>
        </w:rPr>
      </w:pPr>
      <w:r w:rsidRPr="005D7253">
        <w:rPr>
          <w:rFonts w:ascii="Arial" w:hAnsi="Arial" w:cs="Arial"/>
          <w:b/>
        </w:rPr>
        <w:t>EL PRESIDENTE DE LA REPÚBLICA</w:t>
      </w:r>
    </w:p>
    <w:p w:rsidR="00A76052" w:rsidRPr="005D7253" w:rsidRDefault="00A76052" w:rsidP="00A76052">
      <w:pPr>
        <w:spacing w:after="0" w:line="240" w:lineRule="auto"/>
        <w:jc w:val="both"/>
        <w:rPr>
          <w:rFonts w:ascii="Arial" w:hAnsi="Arial" w:cs="Arial"/>
          <w:b/>
        </w:rPr>
      </w:pPr>
      <w:r w:rsidRPr="005D7253">
        <w:rPr>
          <w:rFonts w:ascii="Arial" w:hAnsi="Arial" w:cs="Arial"/>
          <w:b/>
        </w:rPr>
        <w:t>POR CUANTO:</w:t>
      </w:r>
    </w:p>
    <w:p w:rsidR="00A76052" w:rsidRPr="005D7253" w:rsidRDefault="00A76052" w:rsidP="00A76052">
      <w:pPr>
        <w:spacing w:after="0" w:line="240" w:lineRule="auto"/>
        <w:jc w:val="both"/>
        <w:rPr>
          <w:rFonts w:ascii="Arial" w:hAnsi="Arial" w:cs="Arial"/>
        </w:rPr>
      </w:pPr>
      <w:r w:rsidRPr="005D7253">
        <w:rPr>
          <w:rFonts w:ascii="Arial" w:hAnsi="Arial" w:cs="Arial"/>
        </w:rPr>
        <w:t>La Comisión Permanente del Congreso de la República</w:t>
      </w:r>
    </w:p>
    <w:p w:rsidR="00A76052" w:rsidRPr="005D7253" w:rsidRDefault="00A76052" w:rsidP="00A76052">
      <w:pPr>
        <w:spacing w:after="0" w:line="240" w:lineRule="auto"/>
        <w:jc w:val="both"/>
        <w:rPr>
          <w:rFonts w:ascii="Arial" w:hAnsi="Arial" w:cs="Arial"/>
        </w:rPr>
      </w:pPr>
    </w:p>
    <w:p w:rsidR="00A76052" w:rsidRPr="005D7253" w:rsidRDefault="00A76052" w:rsidP="00A76052">
      <w:pPr>
        <w:spacing w:after="0" w:line="240" w:lineRule="auto"/>
        <w:jc w:val="both"/>
        <w:rPr>
          <w:rFonts w:ascii="Arial" w:hAnsi="Arial" w:cs="Arial"/>
        </w:rPr>
      </w:pPr>
      <w:r w:rsidRPr="005D7253">
        <w:rPr>
          <w:rFonts w:ascii="Arial" w:hAnsi="Arial" w:cs="Arial"/>
        </w:rPr>
        <w:t>Ha dado la Ley siguiente:</w:t>
      </w:r>
    </w:p>
    <w:p w:rsidR="00A76052" w:rsidRPr="005D7253" w:rsidRDefault="00A76052" w:rsidP="00A76052">
      <w:pPr>
        <w:spacing w:after="0" w:line="240" w:lineRule="auto"/>
        <w:jc w:val="both"/>
        <w:rPr>
          <w:rFonts w:ascii="Arial" w:hAnsi="Arial" w:cs="Arial"/>
        </w:rPr>
      </w:pPr>
    </w:p>
    <w:p w:rsidR="00A76052" w:rsidRPr="005D7253" w:rsidRDefault="00A76052" w:rsidP="00A76052">
      <w:pPr>
        <w:spacing w:after="0" w:line="240" w:lineRule="auto"/>
        <w:jc w:val="both"/>
        <w:rPr>
          <w:rFonts w:ascii="Arial" w:hAnsi="Arial" w:cs="Arial"/>
          <w:b/>
        </w:rPr>
      </w:pPr>
      <w:r w:rsidRPr="005D7253">
        <w:rPr>
          <w:rFonts w:ascii="Arial" w:hAnsi="Arial" w:cs="Arial"/>
          <w:b/>
        </w:rPr>
        <w:t>LA COMISIÓN PERMANENTE DEL CONGRESO DE LA REPÚBLICA;</w:t>
      </w:r>
    </w:p>
    <w:p w:rsidR="00A76052" w:rsidRPr="005D7253" w:rsidRDefault="00A76052" w:rsidP="00A76052">
      <w:pPr>
        <w:spacing w:after="0" w:line="240" w:lineRule="auto"/>
        <w:jc w:val="both"/>
        <w:rPr>
          <w:rFonts w:ascii="Arial" w:hAnsi="Arial" w:cs="Arial"/>
        </w:rPr>
      </w:pPr>
      <w:r w:rsidRPr="005D7253">
        <w:rPr>
          <w:rFonts w:ascii="Arial" w:hAnsi="Arial" w:cs="Arial"/>
        </w:rPr>
        <w:t>Ha dado la Ley siguiente:</w:t>
      </w:r>
    </w:p>
    <w:p w:rsidR="00A76052" w:rsidRPr="005D7253" w:rsidRDefault="00A76052" w:rsidP="00A76052">
      <w:pPr>
        <w:spacing w:after="0" w:line="240" w:lineRule="auto"/>
        <w:jc w:val="both"/>
        <w:rPr>
          <w:rFonts w:ascii="Arial" w:hAnsi="Arial" w:cs="Arial"/>
        </w:rPr>
      </w:pPr>
    </w:p>
    <w:p w:rsidR="00A76052" w:rsidRPr="005D7253" w:rsidRDefault="00A76052" w:rsidP="00C93279">
      <w:pPr>
        <w:spacing w:after="0" w:line="240" w:lineRule="auto"/>
        <w:jc w:val="center"/>
        <w:rPr>
          <w:rFonts w:ascii="Arial" w:hAnsi="Arial" w:cs="Arial"/>
          <w:b/>
        </w:rPr>
      </w:pPr>
      <w:r w:rsidRPr="005D7253">
        <w:rPr>
          <w:rFonts w:ascii="Arial" w:hAnsi="Arial" w:cs="Arial"/>
          <w:b/>
        </w:rPr>
        <w:t>LEY DE DESARROLLO Y COMPLEMENTARIA DE FORMALIZACIÓN DE LA PROPIEDAD INFORMAL, ACCESO AL SUELO Y DOTACIÓN DE SERVICIOS BÁSICOS</w:t>
      </w:r>
    </w:p>
    <w:p w:rsidR="00A76052" w:rsidRPr="005D7253" w:rsidRDefault="00A76052" w:rsidP="00A76052">
      <w:pPr>
        <w:spacing w:after="0" w:line="240" w:lineRule="auto"/>
        <w:jc w:val="both"/>
        <w:rPr>
          <w:rFonts w:ascii="Arial" w:hAnsi="Arial" w:cs="Arial"/>
        </w:rPr>
      </w:pPr>
    </w:p>
    <w:p w:rsidR="00A76052" w:rsidRPr="005D7253" w:rsidRDefault="00A76052" w:rsidP="00A76052">
      <w:pPr>
        <w:spacing w:after="0" w:line="240" w:lineRule="auto"/>
        <w:jc w:val="both"/>
        <w:rPr>
          <w:rFonts w:ascii="Arial" w:hAnsi="Arial" w:cs="Arial"/>
          <w:b/>
        </w:rPr>
      </w:pPr>
      <w:r w:rsidRPr="005D7253">
        <w:rPr>
          <w:rFonts w:ascii="Arial" w:hAnsi="Arial" w:cs="Arial"/>
          <w:b/>
        </w:rPr>
        <w:t>Artículo 1.- Objeto de la Ley</w:t>
      </w:r>
    </w:p>
    <w:p w:rsidR="00A76052" w:rsidRPr="005D7253" w:rsidRDefault="00A76052" w:rsidP="00A76052">
      <w:pPr>
        <w:spacing w:after="0" w:line="240" w:lineRule="auto"/>
        <w:jc w:val="both"/>
        <w:rPr>
          <w:rFonts w:ascii="Arial" w:hAnsi="Arial" w:cs="Arial"/>
        </w:rPr>
      </w:pPr>
      <w:r w:rsidRPr="005D7253">
        <w:rPr>
          <w:rFonts w:ascii="Arial" w:hAnsi="Arial" w:cs="Arial"/>
        </w:rPr>
        <w:t>La presente Ley regula en forma complementaria y desarrolla el proceso de formalización de la propiedad informal, el acceso al suelo para uso de vivienda de interés social orientado a los sectores de menores recursos económicos y establece el procedimiento para la ejecución de obras de servicios básicos de agua, desagüe y electricidad en las áreas consolidadas y en proceso de formalización.</w:t>
      </w:r>
    </w:p>
    <w:p w:rsidR="00A76052" w:rsidRPr="005D7253" w:rsidRDefault="00A76052" w:rsidP="00A76052">
      <w:pPr>
        <w:spacing w:after="0" w:line="240" w:lineRule="auto"/>
        <w:jc w:val="both"/>
        <w:rPr>
          <w:rFonts w:ascii="Arial" w:hAnsi="Arial" w:cs="Arial"/>
        </w:rPr>
      </w:pPr>
    </w:p>
    <w:p w:rsidR="00A76052" w:rsidRPr="005D7253" w:rsidRDefault="00A76052" w:rsidP="005D7253">
      <w:pPr>
        <w:spacing w:after="0" w:line="240" w:lineRule="auto"/>
        <w:jc w:val="center"/>
        <w:rPr>
          <w:rFonts w:ascii="Arial" w:hAnsi="Arial" w:cs="Arial"/>
          <w:b/>
        </w:rPr>
      </w:pPr>
      <w:r w:rsidRPr="005D7253">
        <w:rPr>
          <w:rFonts w:ascii="Arial" w:hAnsi="Arial" w:cs="Arial"/>
          <w:b/>
        </w:rPr>
        <w:t>TÍTULO I</w:t>
      </w:r>
    </w:p>
    <w:p w:rsidR="00A76052" w:rsidRPr="005D7253" w:rsidRDefault="00A76052" w:rsidP="005D7253">
      <w:pPr>
        <w:spacing w:after="0" w:line="240" w:lineRule="auto"/>
        <w:jc w:val="center"/>
        <w:rPr>
          <w:rFonts w:ascii="Arial" w:hAnsi="Arial" w:cs="Arial"/>
          <w:b/>
        </w:rPr>
      </w:pPr>
      <w:r w:rsidRPr="005D7253">
        <w:rPr>
          <w:rFonts w:ascii="Arial" w:hAnsi="Arial" w:cs="Arial"/>
          <w:b/>
        </w:rPr>
        <w:t>FORMALIZACIÓN DE LA PROPIEDAD INFORMAL DE TERRENOS OCUPADOS POR POSESIONES INFORMALES, CENTROS URBANOS INFORMALES Y URBANIZACIONES POPULARES</w:t>
      </w:r>
    </w:p>
    <w:p w:rsidR="00A76052" w:rsidRPr="005D7253" w:rsidRDefault="00A76052" w:rsidP="00A76052">
      <w:pPr>
        <w:spacing w:after="0" w:line="240" w:lineRule="auto"/>
        <w:jc w:val="both"/>
        <w:rPr>
          <w:rFonts w:ascii="Arial" w:hAnsi="Arial" w:cs="Arial"/>
        </w:rPr>
      </w:pPr>
    </w:p>
    <w:p w:rsidR="00A76052" w:rsidRPr="005D7253" w:rsidRDefault="00A76052" w:rsidP="00A76052">
      <w:pPr>
        <w:spacing w:after="0" w:line="240" w:lineRule="auto"/>
        <w:jc w:val="both"/>
        <w:rPr>
          <w:rFonts w:ascii="Arial" w:hAnsi="Arial" w:cs="Arial"/>
          <w:b/>
        </w:rPr>
      </w:pPr>
      <w:r w:rsidRPr="005D7253">
        <w:rPr>
          <w:rFonts w:ascii="Arial" w:hAnsi="Arial" w:cs="Arial"/>
          <w:b/>
        </w:rPr>
        <w:t>Artículo 2.- Formalización de la propiedad</w:t>
      </w:r>
    </w:p>
    <w:p w:rsidR="00A76052" w:rsidRPr="005D7253" w:rsidRDefault="00A76052" w:rsidP="00A76052">
      <w:pPr>
        <w:spacing w:after="0" w:line="240" w:lineRule="auto"/>
        <w:jc w:val="both"/>
        <w:rPr>
          <w:rFonts w:ascii="Arial" w:hAnsi="Arial" w:cs="Arial"/>
        </w:rPr>
      </w:pPr>
      <w:r w:rsidRPr="005D7253">
        <w:rPr>
          <w:rFonts w:ascii="Arial" w:hAnsi="Arial" w:cs="Arial"/>
        </w:rPr>
        <w:t>Declárase de preferente interés nacional la formalización de la propiedad informal, con su respectiva inscripción registral, respecto de los terrenos ocupados por posesiones informales, centros urbanos informales, urbanizaciones populares y toda otra forma de posesión, ocupación o titularidad informal de predios que estén constituidos sobre inmuebles de propiedad estatal, con fines de vivienda. Asimismo, compréndense dentro de los alcances del objeto de la Ley a los mercados públicos informales.</w:t>
      </w:r>
    </w:p>
    <w:p w:rsidR="00A76052" w:rsidRPr="005D7253" w:rsidRDefault="00A76052" w:rsidP="00A76052">
      <w:pPr>
        <w:spacing w:after="0" w:line="240" w:lineRule="auto"/>
        <w:jc w:val="both"/>
        <w:rPr>
          <w:rFonts w:ascii="Arial" w:hAnsi="Arial" w:cs="Arial"/>
        </w:rPr>
      </w:pPr>
    </w:p>
    <w:p w:rsidR="00A76052" w:rsidRPr="005D7253" w:rsidRDefault="00A76052" w:rsidP="00A76052">
      <w:pPr>
        <w:spacing w:after="0" w:line="240" w:lineRule="auto"/>
        <w:jc w:val="both"/>
        <w:rPr>
          <w:rFonts w:ascii="Arial" w:hAnsi="Arial" w:cs="Arial"/>
          <w:b/>
        </w:rPr>
      </w:pPr>
      <w:r w:rsidRPr="005D7253">
        <w:rPr>
          <w:rFonts w:ascii="Arial" w:hAnsi="Arial" w:cs="Arial"/>
          <w:b/>
        </w:rPr>
        <w:t>Artículo 3.- Ámbito de aplicación</w:t>
      </w:r>
    </w:p>
    <w:p w:rsidR="00A76052" w:rsidRDefault="00A76052" w:rsidP="005D7253">
      <w:pPr>
        <w:spacing w:after="0" w:line="240" w:lineRule="auto"/>
        <w:ind w:left="851" w:hanging="567"/>
        <w:jc w:val="both"/>
        <w:rPr>
          <w:rFonts w:ascii="Arial" w:hAnsi="Arial" w:cs="Arial"/>
        </w:rPr>
      </w:pPr>
      <w:r w:rsidRPr="005D7253">
        <w:rPr>
          <w:rFonts w:ascii="Arial" w:hAnsi="Arial" w:cs="Arial"/>
        </w:rPr>
        <w:t xml:space="preserve">3.1 </w:t>
      </w:r>
      <w:r w:rsidR="005D7253">
        <w:rPr>
          <w:rFonts w:ascii="Arial" w:hAnsi="Arial" w:cs="Arial"/>
        </w:rPr>
        <w:tab/>
      </w:r>
      <w:r w:rsidRPr="005D7253">
        <w:rPr>
          <w:rFonts w:ascii="Arial" w:hAnsi="Arial" w:cs="Arial"/>
        </w:rPr>
        <w:t>La presente Ley comprende aquellas posesiones informales referidas en el artículo anterior, que se hubiesen constituido sobre inmuebles de propiedad estatal, hasta el 31 de diciembre de 2004. Compréndese en el ámbito de la propiedad estatal a la propiedad fiscal, municipal o cualquier otra denominación que pudiera dársele a la propiedad del Estado, incluyéndose aquellos que hayan sido afectados en uso a otras entidades, y aquellos ubicados en proyectos habitacionales creados por norma específica que no estuviesen formalizados o estén en abandono.</w:t>
      </w:r>
    </w:p>
    <w:p w:rsidR="005D7253" w:rsidRPr="005D7253" w:rsidRDefault="005D7253" w:rsidP="005D7253">
      <w:pPr>
        <w:spacing w:after="0" w:line="240" w:lineRule="auto"/>
        <w:ind w:left="851" w:hanging="567"/>
        <w:jc w:val="both"/>
        <w:rPr>
          <w:rFonts w:ascii="Arial" w:hAnsi="Arial" w:cs="Arial"/>
        </w:rPr>
      </w:pPr>
    </w:p>
    <w:p w:rsidR="00A76052" w:rsidRPr="005D7253" w:rsidRDefault="00A76052" w:rsidP="005D7253">
      <w:pPr>
        <w:spacing w:after="0" w:line="240" w:lineRule="auto"/>
        <w:ind w:left="851" w:hanging="567"/>
        <w:jc w:val="both"/>
        <w:rPr>
          <w:rFonts w:ascii="Arial" w:hAnsi="Arial" w:cs="Arial"/>
        </w:rPr>
      </w:pPr>
      <w:r w:rsidRPr="005D7253">
        <w:rPr>
          <w:rFonts w:ascii="Arial" w:hAnsi="Arial" w:cs="Arial"/>
        </w:rPr>
        <w:t xml:space="preserve">3.2 </w:t>
      </w:r>
      <w:r w:rsidR="005D7253">
        <w:rPr>
          <w:rFonts w:ascii="Arial" w:hAnsi="Arial" w:cs="Arial"/>
        </w:rPr>
        <w:tab/>
      </w:r>
      <w:r w:rsidRPr="005D7253">
        <w:rPr>
          <w:rFonts w:ascii="Arial" w:hAnsi="Arial" w:cs="Arial"/>
        </w:rPr>
        <w:t>No están comprendidos en el ámbito de la presente Ley, para los efectos del proceso de formalización de la posesión informal, los terrenos siguientes:</w:t>
      </w:r>
    </w:p>
    <w:p w:rsidR="00A76052" w:rsidRPr="005D7253" w:rsidRDefault="00A76052" w:rsidP="00A76052">
      <w:pPr>
        <w:spacing w:after="0" w:line="240" w:lineRule="auto"/>
        <w:jc w:val="both"/>
        <w:rPr>
          <w:rFonts w:ascii="Arial" w:hAnsi="Arial" w:cs="Arial"/>
        </w:rPr>
      </w:pPr>
    </w:p>
    <w:p w:rsidR="00A76052" w:rsidRPr="005D7253" w:rsidRDefault="00A76052" w:rsidP="005D7253">
      <w:pPr>
        <w:spacing w:after="0" w:line="240" w:lineRule="auto"/>
        <w:ind w:left="1701" w:hanging="850"/>
        <w:jc w:val="both"/>
        <w:rPr>
          <w:rFonts w:ascii="Arial" w:hAnsi="Arial" w:cs="Arial"/>
        </w:rPr>
      </w:pPr>
      <w:r w:rsidRPr="005D7253">
        <w:rPr>
          <w:rFonts w:ascii="Arial" w:hAnsi="Arial" w:cs="Arial"/>
        </w:rPr>
        <w:t xml:space="preserve">3.2.1 </w:t>
      </w:r>
      <w:r w:rsidR="005D7253">
        <w:rPr>
          <w:rFonts w:ascii="Arial" w:hAnsi="Arial" w:cs="Arial"/>
        </w:rPr>
        <w:tab/>
      </w:r>
      <w:r w:rsidRPr="005D7253">
        <w:rPr>
          <w:rFonts w:ascii="Arial" w:hAnsi="Arial" w:cs="Arial"/>
        </w:rPr>
        <w:t>Los de uso y los utilizados o reservados para servicios públicos, siempre y cuando la ordenanza municipal sea anterior a la fecha de la posesión, de equipamiento educativo, de reserva nacional, defensa nacional y zonas mineras.</w:t>
      </w:r>
    </w:p>
    <w:p w:rsidR="00A76052" w:rsidRPr="005D7253" w:rsidRDefault="00A76052" w:rsidP="005D7253">
      <w:pPr>
        <w:spacing w:after="0" w:line="240" w:lineRule="auto"/>
        <w:ind w:left="1701" w:hanging="850"/>
        <w:jc w:val="both"/>
        <w:rPr>
          <w:rFonts w:ascii="Arial" w:hAnsi="Arial" w:cs="Arial"/>
        </w:rPr>
      </w:pPr>
    </w:p>
    <w:p w:rsidR="00A76052" w:rsidRPr="005D7253" w:rsidRDefault="00A76052" w:rsidP="005D7253">
      <w:pPr>
        <w:spacing w:after="0" w:line="240" w:lineRule="auto"/>
        <w:ind w:left="1701" w:hanging="850"/>
        <w:jc w:val="both"/>
        <w:rPr>
          <w:rFonts w:ascii="Arial" w:hAnsi="Arial" w:cs="Arial"/>
        </w:rPr>
      </w:pPr>
      <w:r w:rsidRPr="005D7253">
        <w:rPr>
          <w:rFonts w:ascii="Arial" w:hAnsi="Arial" w:cs="Arial"/>
        </w:rPr>
        <w:t xml:space="preserve">3.2.2 </w:t>
      </w:r>
      <w:r w:rsidR="005D7253">
        <w:rPr>
          <w:rFonts w:ascii="Arial" w:hAnsi="Arial" w:cs="Arial"/>
        </w:rPr>
        <w:tab/>
      </w:r>
      <w:r w:rsidRPr="005D7253">
        <w:rPr>
          <w:rFonts w:ascii="Arial" w:hAnsi="Arial" w:cs="Arial"/>
        </w:rPr>
        <w:t>Los ubicados en zonas arqueológicas o los que constituyan patrimonio cultural de la Nación, previa opinión del Instituto Nacional de Cultura.</w:t>
      </w:r>
    </w:p>
    <w:p w:rsidR="00A76052" w:rsidRPr="005D7253" w:rsidRDefault="00A76052" w:rsidP="005D7253">
      <w:pPr>
        <w:spacing w:after="0" w:line="240" w:lineRule="auto"/>
        <w:ind w:left="1701" w:hanging="850"/>
        <w:jc w:val="both"/>
        <w:rPr>
          <w:rFonts w:ascii="Arial" w:hAnsi="Arial" w:cs="Arial"/>
        </w:rPr>
      </w:pPr>
    </w:p>
    <w:p w:rsidR="00A76052" w:rsidRPr="005D7253" w:rsidRDefault="00A76052" w:rsidP="005D7253">
      <w:pPr>
        <w:spacing w:after="0" w:line="240" w:lineRule="auto"/>
        <w:ind w:left="1701" w:hanging="850"/>
        <w:jc w:val="both"/>
        <w:rPr>
          <w:rFonts w:ascii="Arial" w:hAnsi="Arial" w:cs="Arial"/>
        </w:rPr>
      </w:pPr>
      <w:r w:rsidRPr="005D7253">
        <w:rPr>
          <w:rFonts w:ascii="Arial" w:hAnsi="Arial" w:cs="Arial"/>
        </w:rPr>
        <w:t xml:space="preserve">3.2.3 </w:t>
      </w:r>
      <w:r w:rsidR="005D7253">
        <w:rPr>
          <w:rFonts w:ascii="Arial" w:hAnsi="Arial" w:cs="Arial"/>
        </w:rPr>
        <w:tab/>
      </w:r>
      <w:r w:rsidRPr="005D7253">
        <w:rPr>
          <w:rFonts w:ascii="Arial" w:hAnsi="Arial" w:cs="Arial"/>
        </w:rPr>
        <w:t>Los identificados y destinados a programas de vivienda del Estado.</w:t>
      </w:r>
    </w:p>
    <w:p w:rsidR="00A76052" w:rsidRPr="005D7253" w:rsidRDefault="00A76052" w:rsidP="005D7253">
      <w:pPr>
        <w:spacing w:after="0" w:line="240" w:lineRule="auto"/>
        <w:ind w:left="1701" w:hanging="850"/>
        <w:jc w:val="both"/>
        <w:rPr>
          <w:rFonts w:ascii="Arial" w:hAnsi="Arial" w:cs="Arial"/>
        </w:rPr>
      </w:pPr>
    </w:p>
    <w:p w:rsidR="00A76052" w:rsidRPr="005D7253" w:rsidRDefault="00A76052" w:rsidP="005D7253">
      <w:pPr>
        <w:spacing w:after="0" w:line="240" w:lineRule="auto"/>
        <w:ind w:left="1701" w:hanging="850"/>
        <w:jc w:val="both"/>
        <w:rPr>
          <w:rFonts w:ascii="Arial" w:hAnsi="Arial" w:cs="Arial"/>
        </w:rPr>
      </w:pPr>
      <w:r w:rsidRPr="005D7253">
        <w:rPr>
          <w:rFonts w:ascii="Arial" w:hAnsi="Arial" w:cs="Arial"/>
        </w:rPr>
        <w:t xml:space="preserve">3.2.4 </w:t>
      </w:r>
      <w:r w:rsidR="005D7253">
        <w:rPr>
          <w:rFonts w:ascii="Arial" w:hAnsi="Arial" w:cs="Arial"/>
        </w:rPr>
        <w:tab/>
      </w:r>
      <w:r w:rsidRPr="005D7253">
        <w:rPr>
          <w:rFonts w:ascii="Arial" w:hAnsi="Arial" w:cs="Arial"/>
        </w:rPr>
        <w:t>Los ubicados en áreas naturales protegidas o zonas reservadas, según la legislación de la materia.</w:t>
      </w:r>
    </w:p>
    <w:p w:rsidR="00A76052" w:rsidRPr="005D7253" w:rsidRDefault="00A76052" w:rsidP="005D7253">
      <w:pPr>
        <w:spacing w:after="0" w:line="240" w:lineRule="auto"/>
        <w:ind w:left="1701" w:hanging="850"/>
        <w:jc w:val="both"/>
        <w:rPr>
          <w:rFonts w:ascii="Arial" w:hAnsi="Arial" w:cs="Arial"/>
        </w:rPr>
      </w:pPr>
    </w:p>
    <w:p w:rsidR="00A76052" w:rsidRPr="005D7253" w:rsidRDefault="00A76052" w:rsidP="005D7253">
      <w:pPr>
        <w:spacing w:after="0" w:line="240" w:lineRule="auto"/>
        <w:ind w:left="1701" w:hanging="850"/>
        <w:jc w:val="both"/>
        <w:rPr>
          <w:rFonts w:ascii="Arial" w:hAnsi="Arial" w:cs="Arial"/>
        </w:rPr>
      </w:pPr>
      <w:r w:rsidRPr="005D7253">
        <w:rPr>
          <w:rFonts w:ascii="Arial" w:hAnsi="Arial" w:cs="Arial"/>
        </w:rPr>
        <w:t xml:space="preserve">3.2.5 </w:t>
      </w:r>
      <w:r w:rsidR="005D7253">
        <w:rPr>
          <w:rFonts w:ascii="Arial" w:hAnsi="Arial" w:cs="Arial"/>
        </w:rPr>
        <w:tab/>
      </w:r>
      <w:r w:rsidRPr="005D7253">
        <w:rPr>
          <w:rFonts w:ascii="Arial" w:hAnsi="Arial" w:cs="Arial"/>
        </w:rPr>
        <w:t>Los ubicados en zonas de riesgo, previa comprobación del mismo por el Instituto Nacional de Defensa Civil u otros organismos competentes.</w:t>
      </w:r>
    </w:p>
    <w:p w:rsidR="00A76052" w:rsidRPr="005D7253" w:rsidRDefault="00A76052" w:rsidP="005D7253">
      <w:pPr>
        <w:spacing w:after="0" w:line="240" w:lineRule="auto"/>
        <w:ind w:left="1701" w:hanging="850"/>
        <w:jc w:val="both"/>
        <w:rPr>
          <w:rFonts w:ascii="Arial" w:hAnsi="Arial" w:cs="Arial"/>
        </w:rPr>
      </w:pPr>
    </w:p>
    <w:p w:rsidR="00A76052" w:rsidRPr="005D7253" w:rsidRDefault="00A76052" w:rsidP="005D7253">
      <w:pPr>
        <w:spacing w:after="0" w:line="240" w:lineRule="auto"/>
        <w:ind w:left="1701" w:hanging="850"/>
        <w:jc w:val="both"/>
        <w:rPr>
          <w:rFonts w:ascii="Arial" w:hAnsi="Arial" w:cs="Arial"/>
        </w:rPr>
      </w:pPr>
      <w:r w:rsidRPr="005D7253">
        <w:rPr>
          <w:rFonts w:ascii="Arial" w:hAnsi="Arial" w:cs="Arial"/>
        </w:rPr>
        <w:t xml:space="preserve">3.2.6 </w:t>
      </w:r>
      <w:r w:rsidR="005D7253">
        <w:rPr>
          <w:rFonts w:ascii="Arial" w:hAnsi="Arial" w:cs="Arial"/>
        </w:rPr>
        <w:tab/>
      </w:r>
      <w:r w:rsidRPr="005D7253">
        <w:rPr>
          <w:rFonts w:ascii="Arial" w:hAnsi="Arial" w:cs="Arial"/>
        </w:rPr>
        <w:t>Los terrenos de interés social adquiridos con los recursos provenientes de la liquidación del Fondo Nacional de Vivienda (FONAVI), hasta la fecha de promulgación de la presente Ley.</w:t>
      </w:r>
    </w:p>
    <w:p w:rsidR="00A76052" w:rsidRPr="005D7253" w:rsidRDefault="00A76052" w:rsidP="00A76052">
      <w:pPr>
        <w:spacing w:after="0" w:line="240" w:lineRule="auto"/>
        <w:jc w:val="both"/>
        <w:rPr>
          <w:rFonts w:ascii="Arial" w:hAnsi="Arial" w:cs="Arial"/>
        </w:rPr>
      </w:pPr>
    </w:p>
    <w:p w:rsidR="00A76052" w:rsidRPr="005D7253" w:rsidRDefault="00A76052" w:rsidP="00A76052">
      <w:pPr>
        <w:spacing w:after="0" w:line="240" w:lineRule="auto"/>
        <w:jc w:val="both"/>
        <w:rPr>
          <w:rFonts w:ascii="Arial" w:hAnsi="Arial" w:cs="Arial"/>
          <w:b/>
        </w:rPr>
      </w:pPr>
      <w:r w:rsidRPr="005D7253">
        <w:rPr>
          <w:rFonts w:ascii="Arial" w:hAnsi="Arial" w:cs="Arial"/>
          <w:b/>
        </w:rPr>
        <w:t>Artículo 4.- Entidades competentes del proceso de formalización</w:t>
      </w:r>
    </w:p>
    <w:p w:rsidR="00A76052" w:rsidRPr="005D7253" w:rsidRDefault="00A76052" w:rsidP="00A76052">
      <w:pPr>
        <w:spacing w:after="0" w:line="240" w:lineRule="auto"/>
        <w:jc w:val="both"/>
        <w:rPr>
          <w:rFonts w:ascii="Arial" w:hAnsi="Arial" w:cs="Arial"/>
        </w:rPr>
      </w:pPr>
    </w:p>
    <w:p w:rsidR="00A76052" w:rsidRPr="005D7253" w:rsidRDefault="00A76052" w:rsidP="005D7253">
      <w:pPr>
        <w:spacing w:after="0" w:line="240" w:lineRule="auto"/>
        <w:ind w:left="1701" w:hanging="850"/>
        <w:jc w:val="both"/>
        <w:rPr>
          <w:rFonts w:ascii="Arial" w:hAnsi="Arial" w:cs="Arial"/>
        </w:rPr>
      </w:pPr>
      <w:r w:rsidRPr="005D7253">
        <w:rPr>
          <w:rFonts w:ascii="Arial" w:hAnsi="Arial" w:cs="Arial"/>
        </w:rPr>
        <w:t xml:space="preserve">4.1 </w:t>
      </w:r>
      <w:r w:rsidR="005D7253">
        <w:rPr>
          <w:rFonts w:ascii="Arial" w:hAnsi="Arial" w:cs="Arial"/>
        </w:rPr>
        <w:tab/>
      </w:r>
      <w:r w:rsidRPr="005D7253">
        <w:rPr>
          <w:rFonts w:ascii="Arial" w:hAnsi="Arial" w:cs="Arial"/>
        </w:rPr>
        <w:t>Las municipalidades provinciales, en el ámbito de sus circunscripciones territoriales, asumen de manera exclusiva y excluyente la competencia correspondiente a la formalización de la propiedad informal hasta la inscripción de los títulos de propiedad, en concordancia con lo dispuesto por el numeral 1.4 del artículo 73 y numeral 1.4.3 del artículo 79 de la Ley Nº 27972.</w:t>
      </w:r>
    </w:p>
    <w:p w:rsidR="00A76052" w:rsidRPr="005D7253" w:rsidRDefault="00A76052" w:rsidP="005D7253">
      <w:pPr>
        <w:spacing w:after="0" w:line="240" w:lineRule="auto"/>
        <w:ind w:left="1701" w:hanging="850"/>
        <w:jc w:val="both"/>
        <w:rPr>
          <w:rFonts w:ascii="Arial" w:hAnsi="Arial" w:cs="Arial"/>
        </w:rPr>
      </w:pPr>
    </w:p>
    <w:p w:rsidR="00A76052" w:rsidRPr="005D7253" w:rsidRDefault="00A76052" w:rsidP="005D7253">
      <w:pPr>
        <w:spacing w:after="0" w:line="240" w:lineRule="auto"/>
        <w:ind w:left="1701" w:hanging="850"/>
        <w:jc w:val="both"/>
        <w:rPr>
          <w:rFonts w:ascii="Arial" w:hAnsi="Arial" w:cs="Arial"/>
        </w:rPr>
      </w:pPr>
      <w:r w:rsidRPr="005D7253">
        <w:rPr>
          <w:rFonts w:ascii="Arial" w:hAnsi="Arial" w:cs="Arial"/>
        </w:rPr>
        <w:t xml:space="preserve">4.2 </w:t>
      </w:r>
      <w:r w:rsidR="005D7253">
        <w:rPr>
          <w:rFonts w:ascii="Arial" w:hAnsi="Arial" w:cs="Arial"/>
        </w:rPr>
        <w:tab/>
      </w:r>
      <w:r w:rsidRPr="005D7253">
        <w:rPr>
          <w:rFonts w:ascii="Arial" w:hAnsi="Arial" w:cs="Arial"/>
        </w:rPr>
        <w:t>Las municipalidades provinciales planifican, organizan y coordinan, en armonía con los planes de desarrollo urbano de cada localidad, el proceso de formalización de la propiedad informal mediante el reconocimiento, verificación y saneamiento físico legal de los asentamientos humanos, hasta la inscripción de los títulos u otros instrumentos en el Registro de Predios, de la Superintendencia Nacional de los Registros Públicos (SUNARP).</w:t>
      </w:r>
    </w:p>
    <w:p w:rsidR="00A76052" w:rsidRPr="005D7253" w:rsidRDefault="00A76052" w:rsidP="005D7253">
      <w:pPr>
        <w:spacing w:after="0" w:line="240" w:lineRule="auto"/>
        <w:ind w:left="1701" w:hanging="850"/>
        <w:jc w:val="both"/>
        <w:rPr>
          <w:rFonts w:ascii="Arial" w:hAnsi="Arial" w:cs="Arial"/>
        </w:rPr>
      </w:pPr>
    </w:p>
    <w:p w:rsidR="00A76052" w:rsidRPr="005D7253" w:rsidRDefault="00A76052" w:rsidP="005D7253">
      <w:pPr>
        <w:spacing w:after="0" w:line="240" w:lineRule="auto"/>
        <w:ind w:left="1701" w:hanging="850"/>
        <w:jc w:val="both"/>
        <w:rPr>
          <w:rFonts w:ascii="Arial" w:hAnsi="Arial" w:cs="Arial"/>
        </w:rPr>
      </w:pPr>
      <w:r w:rsidRPr="005D7253">
        <w:rPr>
          <w:rFonts w:ascii="Arial" w:hAnsi="Arial" w:cs="Arial"/>
        </w:rPr>
        <w:t xml:space="preserve">4.3 </w:t>
      </w:r>
      <w:r w:rsidR="005D7253">
        <w:rPr>
          <w:rFonts w:ascii="Arial" w:hAnsi="Arial" w:cs="Arial"/>
        </w:rPr>
        <w:tab/>
      </w:r>
      <w:r w:rsidRPr="005D7253">
        <w:rPr>
          <w:rFonts w:ascii="Arial" w:hAnsi="Arial" w:cs="Arial"/>
        </w:rPr>
        <w:t>Corresponde al alcalde provincial, en el ámbito de su circunscripción territorial, suscribir los títulos de propiedad y los demás instrumentos de formalización.</w:t>
      </w:r>
    </w:p>
    <w:p w:rsidR="00A76052" w:rsidRPr="005D7253" w:rsidRDefault="00A76052" w:rsidP="00A76052">
      <w:pPr>
        <w:spacing w:after="0" w:line="240" w:lineRule="auto"/>
        <w:jc w:val="both"/>
        <w:rPr>
          <w:rFonts w:ascii="Arial" w:hAnsi="Arial" w:cs="Arial"/>
        </w:rPr>
      </w:pPr>
    </w:p>
    <w:p w:rsidR="00A76052" w:rsidRPr="005D7253" w:rsidRDefault="00A76052" w:rsidP="00A76052">
      <w:pPr>
        <w:spacing w:after="0" w:line="240" w:lineRule="auto"/>
        <w:jc w:val="both"/>
        <w:rPr>
          <w:rFonts w:ascii="Arial" w:hAnsi="Arial" w:cs="Arial"/>
          <w:b/>
        </w:rPr>
      </w:pPr>
      <w:r w:rsidRPr="005D7253">
        <w:rPr>
          <w:rFonts w:ascii="Arial" w:hAnsi="Arial" w:cs="Arial"/>
          <w:b/>
        </w:rPr>
        <w:t>Artículo 5.- Definiciones</w:t>
      </w:r>
    </w:p>
    <w:p w:rsidR="00A76052" w:rsidRPr="005D7253" w:rsidRDefault="00A76052" w:rsidP="00A76052">
      <w:pPr>
        <w:spacing w:after="0" w:line="240" w:lineRule="auto"/>
        <w:jc w:val="both"/>
        <w:rPr>
          <w:rFonts w:ascii="Arial" w:hAnsi="Arial" w:cs="Arial"/>
        </w:rPr>
      </w:pPr>
      <w:r w:rsidRPr="005D7253">
        <w:rPr>
          <w:rFonts w:ascii="Arial" w:hAnsi="Arial" w:cs="Arial"/>
        </w:rPr>
        <w:t>A los efectos de lo dispuesto por la presente Ley, entiéndese por:</w:t>
      </w:r>
    </w:p>
    <w:p w:rsidR="00A76052" w:rsidRPr="005D7253" w:rsidRDefault="00A76052" w:rsidP="00A76052">
      <w:pPr>
        <w:spacing w:after="0" w:line="240" w:lineRule="auto"/>
        <w:jc w:val="both"/>
        <w:rPr>
          <w:rFonts w:ascii="Arial" w:hAnsi="Arial" w:cs="Arial"/>
        </w:rPr>
      </w:pPr>
    </w:p>
    <w:p w:rsidR="00A76052" w:rsidRPr="005D7253" w:rsidRDefault="00A76052" w:rsidP="005D7253">
      <w:pPr>
        <w:spacing w:after="0" w:line="240" w:lineRule="auto"/>
        <w:ind w:left="993" w:hanging="567"/>
        <w:jc w:val="both"/>
        <w:rPr>
          <w:rFonts w:ascii="Arial" w:hAnsi="Arial" w:cs="Arial"/>
        </w:rPr>
      </w:pPr>
      <w:r w:rsidRPr="005D7253">
        <w:rPr>
          <w:rFonts w:ascii="Arial" w:hAnsi="Arial" w:cs="Arial"/>
        </w:rPr>
        <w:t xml:space="preserve">1. </w:t>
      </w:r>
      <w:r w:rsidR="005D7253">
        <w:rPr>
          <w:rFonts w:ascii="Arial" w:hAnsi="Arial" w:cs="Arial"/>
        </w:rPr>
        <w:tab/>
      </w:r>
      <w:r w:rsidRPr="005D7253">
        <w:rPr>
          <w:rFonts w:ascii="Arial" w:hAnsi="Arial" w:cs="Arial"/>
        </w:rPr>
        <w:t>POSESIONES INFORMALES: A los denominados asentamientos humanos, pueblos jóvenes, barrios marginales, barriadas, programas de vivienda municipales, centros poblados y toda otra forma de posesión, ocupación o titularidad informal de predios con fines urbanos, cualquiera sea su denominación, siempre que presenten las características establecidas en el Reglamento de Formalización de la Propiedad, aprobado mediante Decreto Supremo Nº 013-99-MTC.</w:t>
      </w:r>
    </w:p>
    <w:p w:rsidR="00A76052" w:rsidRPr="005D7253" w:rsidRDefault="00A76052" w:rsidP="005D7253">
      <w:pPr>
        <w:spacing w:after="0" w:line="240" w:lineRule="auto"/>
        <w:ind w:left="993" w:hanging="567"/>
        <w:jc w:val="both"/>
        <w:rPr>
          <w:rFonts w:ascii="Arial" w:hAnsi="Arial" w:cs="Arial"/>
        </w:rPr>
      </w:pPr>
    </w:p>
    <w:p w:rsidR="00A76052" w:rsidRPr="005D7253" w:rsidRDefault="00A76052" w:rsidP="005D7253">
      <w:pPr>
        <w:spacing w:after="0" w:line="240" w:lineRule="auto"/>
        <w:ind w:left="993" w:hanging="567"/>
        <w:jc w:val="both"/>
        <w:rPr>
          <w:rFonts w:ascii="Arial" w:hAnsi="Arial" w:cs="Arial"/>
        </w:rPr>
      </w:pPr>
      <w:r w:rsidRPr="005D7253">
        <w:rPr>
          <w:rFonts w:ascii="Arial" w:hAnsi="Arial" w:cs="Arial"/>
        </w:rPr>
        <w:t xml:space="preserve">2. </w:t>
      </w:r>
      <w:r w:rsidR="005D7253">
        <w:rPr>
          <w:rFonts w:ascii="Arial" w:hAnsi="Arial" w:cs="Arial"/>
        </w:rPr>
        <w:tab/>
      </w:r>
      <w:r w:rsidRPr="005D7253">
        <w:rPr>
          <w:rFonts w:ascii="Arial" w:hAnsi="Arial" w:cs="Arial"/>
        </w:rPr>
        <w:t>CENTROS URBANOS INFORMALES: Al conjunto de manzanas determinadas y vías trazadas, que no constituyen una habilitación urbana, que cuentan con construcciones parcialmente consolidadas y cuyos lotes de vivienda han sido individual y directamente adquiridos por cada uno de los integrantes del centro urbano informal.</w:t>
      </w:r>
    </w:p>
    <w:p w:rsidR="00A76052" w:rsidRPr="005D7253" w:rsidRDefault="00A76052" w:rsidP="005D7253">
      <w:pPr>
        <w:spacing w:after="0" w:line="240" w:lineRule="auto"/>
        <w:ind w:left="993" w:hanging="567"/>
        <w:jc w:val="both"/>
        <w:rPr>
          <w:rFonts w:ascii="Arial" w:hAnsi="Arial" w:cs="Arial"/>
        </w:rPr>
      </w:pPr>
    </w:p>
    <w:p w:rsidR="00A76052" w:rsidRPr="005D7253" w:rsidRDefault="00A76052" w:rsidP="005D7253">
      <w:pPr>
        <w:spacing w:after="0" w:line="240" w:lineRule="auto"/>
        <w:ind w:left="993" w:hanging="567"/>
        <w:jc w:val="both"/>
        <w:rPr>
          <w:rFonts w:ascii="Arial" w:hAnsi="Arial" w:cs="Arial"/>
        </w:rPr>
      </w:pPr>
      <w:r w:rsidRPr="005D7253">
        <w:rPr>
          <w:rFonts w:ascii="Arial" w:hAnsi="Arial" w:cs="Arial"/>
        </w:rPr>
        <w:t xml:space="preserve">3. </w:t>
      </w:r>
      <w:r w:rsidR="005D7253">
        <w:rPr>
          <w:rFonts w:ascii="Arial" w:hAnsi="Arial" w:cs="Arial"/>
        </w:rPr>
        <w:tab/>
      </w:r>
      <w:r w:rsidRPr="005D7253">
        <w:rPr>
          <w:rFonts w:ascii="Arial" w:hAnsi="Arial" w:cs="Arial"/>
        </w:rPr>
        <w:t>URBANIZACIONES POPULARES: A aquellas de las que son titulares las cooperativas de vivienda, asociaciones pro-vivienda, asociaciones de vivienda, junta de propietarios, junta de compradores y cualquier otra forma asociativa con fines de vivienda, que cuenten o no con resolución de aprobación de habilitación urbana.</w:t>
      </w:r>
    </w:p>
    <w:p w:rsidR="00A76052" w:rsidRPr="005D7253" w:rsidRDefault="00A76052" w:rsidP="005D7253">
      <w:pPr>
        <w:spacing w:after="0" w:line="240" w:lineRule="auto"/>
        <w:ind w:left="993" w:hanging="567"/>
        <w:jc w:val="both"/>
        <w:rPr>
          <w:rFonts w:ascii="Arial" w:hAnsi="Arial" w:cs="Arial"/>
        </w:rPr>
      </w:pPr>
    </w:p>
    <w:p w:rsidR="00A76052" w:rsidRPr="005D7253" w:rsidRDefault="00A76052" w:rsidP="005D7253">
      <w:pPr>
        <w:spacing w:after="0" w:line="240" w:lineRule="auto"/>
        <w:ind w:left="993" w:hanging="567"/>
        <w:jc w:val="both"/>
        <w:rPr>
          <w:rFonts w:ascii="Arial" w:hAnsi="Arial" w:cs="Arial"/>
        </w:rPr>
      </w:pPr>
      <w:r w:rsidRPr="005D7253">
        <w:rPr>
          <w:rFonts w:ascii="Arial" w:hAnsi="Arial" w:cs="Arial"/>
        </w:rPr>
        <w:t xml:space="preserve">4. </w:t>
      </w:r>
      <w:r w:rsidR="005D7253">
        <w:rPr>
          <w:rFonts w:ascii="Arial" w:hAnsi="Arial" w:cs="Arial"/>
        </w:rPr>
        <w:tab/>
      </w:r>
      <w:r w:rsidRPr="005D7253">
        <w:rPr>
          <w:rFonts w:ascii="Arial" w:hAnsi="Arial" w:cs="Arial"/>
        </w:rPr>
        <w:t>POSEEDOR: A aquella persona que posee un lote que forma parte de una posesión informal, centro urbano informal o urbanización popular. Asimismo, al grupo de personas que ejerce de manera conjunta la posesión de un predio matriz ocupado por una posesión informal.</w:t>
      </w:r>
    </w:p>
    <w:p w:rsidR="00A76052" w:rsidRPr="005D7253" w:rsidRDefault="00A76052" w:rsidP="005D7253">
      <w:pPr>
        <w:spacing w:after="0" w:line="240" w:lineRule="auto"/>
        <w:ind w:left="993" w:hanging="567"/>
        <w:jc w:val="both"/>
        <w:rPr>
          <w:rFonts w:ascii="Arial" w:hAnsi="Arial" w:cs="Arial"/>
        </w:rPr>
      </w:pPr>
    </w:p>
    <w:p w:rsidR="00A76052" w:rsidRPr="005D7253" w:rsidRDefault="00A76052" w:rsidP="005D7253">
      <w:pPr>
        <w:spacing w:after="0" w:line="240" w:lineRule="auto"/>
        <w:ind w:left="993" w:hanging="567"/>
        <w:jc w:val="both"/>
        <w:rPr>
          <w:rFonts w:ascii="Arial" w:hAnsi="Arial" w:cs="Arial"/>
        </w:rPr>
      </w:pPr>
      <w:r w:rsidRPr="005D7253">
        <w:rPr>
          <w:rFonts w:ascii="Arial" w:hAnsi="Arial" w:cs="Arial"/>
        </w:rPr>
        <w:t xml:space="preserve">5. </w:t>
      </w:r>
      <w:r w:rsidR="005D7253">
        <w:rPr>
          <w:rFonts w:ascii="Arial" w:hAnsi="Arial" w:cs="Arial"/>
        </w:rPr>
        <w:tab/>
      </w:r>
      <w:r w:rsidRPr="005D7253">
        <w:rPr>
          <w:rFonts w:ascii="Arial" w:hAnsi="Arial" w:cs="Arial"/>
        </w:rPr>
        <w:t>MERCADOS PÚBLICOS INFORMALES: Se considera como tales a los locales o centros comerciales, ubicados dentro de una posesión informal, en los que se realizan toda clase de operaciones comerciales mayoristas y/o minoristas de cualquier clase de bienes y servicios, que cuentan o no con autorización de funcionamiento.</w:t>
      </w:r>
    </w:p>
    <w:p w:rsidR="00A76052" w:rsidRPr="005D7253" w:rsidRDefault="00A76052" w:rsidP="005D7253">
      <w:pPr>
        <w:spacing w:after="0" w:line="240" w:lineRule="auto"/>
        <w:ind w:left="993" w:hanging="567"/>
        <w:jc w:val="both"/>
        <w:rPr>
          <w:rFonts w:ascii="Arial" w:hAnsi="Arial" w:cs="Arial"/>
        </w:rPr>
      </w:pPr>
    </w:p>
    <w:p w:rsidR="00A76052" w:rsidRPr="005D7253" w:rsidRDefault="00A76052" w:rsidP="005D7253">
      <w:pPr>
        <w:spacing w:after="0" w:line="240" w:lineRule="auto"/>
        <w:ind w:left="993" w:hanging="567"/>
        <w:jc w:val="both"/>
        <w:rPr>
          <w:rFonts w:ascii="Arial" w:hAnsi="Arial" w:cs="Arial"/>
        </w:rPr>
      </w:pPr>
      <w:r w:rsidRPr="005D7253">
        <w:rPr>
          <w:rFonts w:ascii="Arial" w:hAnsi="Arial" w:cs="Arial"/>
        </w:rPr>
        <w:t xml:space="preserve">6. </w:t>
      </w:r>
      <w:r w:rsidR="005D7253">
        <w:rPr>
          <w:rFonts w:ascii="Arial" w:hAnsi="Arial" w:cs="Arial"/>
        </w:rPr>
        <w:tab/>
      </w:r>
      <w:r w:rsidRPr="005D7253">
        <w:rPr>
          <w:rFonts w:ascii="Arial" w:hAnsi="Arial" w:cs="Arial"/>
        </w:rPr>
        <w:t>PROGRAMAS DE VIVIENDA DEL ESTADO: A aquellos programas de vivienda ejecutados por las empresas del Estado y fondos de vivienda, inclusive aquellas que se encuentren en proceso de liquidación; organismos públicos descentralizados; entidades especializadas del Gobierno Central como el Viceministerio de Vivienda y Urbanismo, Junta Nacional de Vivienda, Corporación Nacional de la Vivienda; Corporaciones Regionales de Desarrollo; Consejos Transitorios de Administración Regional; los gobiernos locales; entidades estatales constructoras, financieras, bancarias u otras de interés social que promuevan o hayan promovido programas de vivienda y/o habitacionales.</w:t>
      </w:r>
    </w:p>
    <w:p w:rsidR="00A76052" w:rsidRPr="005D7253" w:rsidRDefault="00A76052" w:rsidP="005D7253">
      <w:pPr>
        <w:spacing w:after="0" w:line="240" w:lineRule="auto"/>
        <w:ind w:left="993" w:hanging="567"/>
        <w:jc w:val="both"/>
        <w:rPr>
          <w:rFonts w:ascii="Arial" w:hAnsi="Arial" w:cs="Arial"/>
        </w:rPr>
      </w:pPr>
    </w:p>
    <w:p w:rsidR="00A76052" w:rsidRPr="005D7253" w:rsidRDefault="00A76052" w:rsidP="005D7253">
      <w:pPr>
        <w:spacing w:after="0" w:line="240" w:lineRule="auto"/>
        <w:ind w:left="993" w:hanging="567"/>
        <w:jc w:val="both"/>
        <w:rPr>
          <w:rFonts w:ascii="Arial" w:hAnsi="Arial" w:cs="Arial"/>
        </w:rPr>
      </w:pPr>
      <w:r w:rsidRPr="005D7253">
        <w:rPr>
          <w:rFonts w:ascii="Arial" w:hAnsi="Arial" w:cs="Arial"/>
        </w:rPr>
        <w:t xml:space="preserve">7. </w:t>
      </w:r>
      <w:r w:rsidR="005D7253">
        <w:rPr>
          <w:rFonts w:ascii="Arial" w:hAnsi="Arial" w:cs="Arial"/>
        </w:rPr>
        <w:tab/>
      </w:r>
      <w:r w:rsidRPr="005D7253">
        <w:rPr>
          <w:rFonts w:ascii="Arial" w:hAnsi="Arial" w:cs="Arial"/>
        </w:rPr>
        <w:t>UNIDAD INMOBILIARIA: A los terrenos, lotes, núcleos básicos, viviendas y departamentos que formen parte de los programas de vivienda del Estado.</w:t>
      </w:r>
    </w:p>
    <w:p w:rsidR="00A76052" w:rsidRPr="005D7253" w:rsidRDefault="00A76052" w:rsidP="00A76052">
      <w:pPr>
        <w:spacing w:after="0" w:line="240" w:lineRule="auto"/>
        <w:jc w:val="both"/>
        <w:rPr>
          <w:rFonts w:ascii="Arial" w:hAnsi="Arial" w:cs="Arial"/>
        </w:rPr>
      </w:pPr>
    </w:p>
    <w:p w:rsidR="00A76052" w:rsidRPr="005D7253" w:rsidRDefault="00A76052" w:rsidP="00A76052">
      <w:pPr>
        <w:spacing w:after="0" w:line="240" w:lineRule="auto"/>
        <w:jc w:val="both"/>
        <w:rPr>
          <w:rFonts w:ascii="Arial" w:hAnsi="Arial" w:cs="Arial"/>
          <w:b/>
        </w:rPr>
      </w:pPr>
      <w:r w:rsidRPr="005D7253">
        <w:rPr>
          <w:rFonts w:ascii="Arial" w:hAnsi="Arial" w:cs="Arial"/>
          <w:b/>
        </w:rPr>
        <w:t>Artículo 6.- De la formalización de mercados públicos informales</w:t>
      </w:r>
    </w:p>
    <w:p w:rsidR="00A76052" w:rsidRPr="005D7253" w:rsidRDefault="00A76052" w:rsidP="00A76052">
      <w:pPr>
        <w:spacing w:after="0" w:line="240" w:lineRule="auto"/>
        <w:jc w:val="both"/>
        <w:rPr>
          <w:rFonts w:ascii="Arial" w:hAnsi="Arial" w:cs="Arial"/>
        </w:rPr>
      </w:pPr>
      <w:r w:rsidRPr="005D7253">
        <w:rPr>
          <w:rFonts w:ascii="Arial" w:hAnsi="Arial" w:cs="Arial"/>
        </w:rPr>
        <w:t>La formalización de los mercados públicos debe realizarse siguiendo los esquemas normativos vigentes en materia de titularidad y destino del producto de la venta. De producirse la venta a sus conductores esta deberá realizarse a título oneroso y a valor comercial, fijado por el Consejo Nacional de Tasaciones. Dicho precio podrá ser pagado al contado o al crédito pagadero hasta en sesenta (60) meses.</w:t>
      </w:r>
    </w:p>
    <w:p w:rsidR="00A76052" w:rsidRPr="005D7253" w:rsidRDefault="00A76052" w:rsidP="00A76052">
      <w:pPr>
        <w:spacing w:after="0" w:line="240" w:lineRule="auto"/>
        <w:jc w:val="both"/>
        <w:rPr>
          <w:rFonts w:ascii="Arial" w:hAnsi="Arial" w:cs="Arial"/>
        </w:rPr>
      </w:pPr>
    </w:p>
    <w:p w:rsidR="00A76052" w:rsidRPr="005D7253" w:rsidRDefault="00A76052" w:rsidP="00A76052">
      <w:pPr>
        <w:spacing w:after="0" w:line="240" w:lineRule="auto"/>
        <w:jc w:val="both"/>
        <w:rPr>
          <w:rFonts w:ascii="Arial" w:hAnsi="Arial" w:cs="Arial"/>
          <w:b/>
        </w:rPr>
      </w:pPr>
      <w:r w:rsidRPr="005D7253">
        <w:rPr>
          <w:rFonts w:ascii="Arial" w:hAnsi="Arial" w:cs="Arial"/>
          <w:b/>
        </w:rPr>
        <w:t>Artículo 7.- Del órgano técnico de asesoramiento</w:t>
      </w:r>
    </w:p>
    <w:p w:rsidR="00A76052" w:rsidRPr="005D7253" w:rsidRDefault="00A76052" w:rsidP="00A76052">
      <w:pPr>
        <w:spacing w:after="0" w:line="240" w:lineRule="auto"/>
        <w:jc w:val="both"/>
        <w:rPr>
          <w:rFonts w:ascii="Arial" w:hAnsi="Arial" w:cs="Arial"/>
        </w:rPr>
      </w:pPr>
      <w:r w:rsidRPr="005D7253">
        <w:rPr>
          <w:rFonts w:ascii="Arial" w:hAnsi="Arial" w:cs="Arial"/>
        </w:rPr>
        <w:t>Para efectos del saneamiento de la propiedad predial, la Comisión de Formalización de la Propiedad Informal - COFOPRI, podrá actuar como órgano técnico de asesoramiento, previo convenio suscrito por la municipalidad provincial respectiva.</w:t>
      </w:r>
    </w:p>
    <w:p w:rsidR="00A76052" w:rsidRPr="005D7253" w:rsidRDefault="00A76052" w:rsidP="00A76052">
      <w:pPr>
        <w:spacing w:after="0" w:line="240" w:lineRule="auto"/>
        <w:jc w:val="both"/>
        <w:rPr>
          <w:rFonts w:ascii="Arial" w:hAnsi="Arial" w:cs="Arial"/>
        </w:rPr>
      </w:pPr>
    </w:p>
    <w:p w:rsidR="00A76052" w:rsidRPr="005D7253" w:rsidRDefault="00A76052" w:rsidP="00A76052">
      <w:pPr>
        <w:spacing w:after="0" w:line="240" w:lineRule="auto"/>
        <w:jc w:val="both"/>
        <w:rPr>
          <w:rFonts w:ascii="Arial" w:hAnsi="Arial" w:cs="Arial"/>
          <w:b/>
        </w:rPr>
      </w:pPr>
      <w:r w:rsidRPr="005D7253">
        <w:rPr>
          <w:rFonts w:ascii="Arial" w:hAnsi="Arial" w:cs="Arial"/>
          <w:b/>
        </w:rPr>
        <w:t>Artículo 8.- Procedimiento de formalización</w:t>
      </w:r>
    </w:p>
    <w:p w:rsidR="00A76052" w:rsidRPr="005D7253" w:rsidRDefault="00A76052" w:rsidP="00A76052">
      <w:pPr>
        <w:spacing w:after="0" w:line="240" w:lineRule="auto"/>
        <w:jc w:val="both"/>
        <w:rPr>
          <w:rFonts w:ascii="Arial" w:hAnsi="Arial" w:cs="Arial"/>
        </w:rPr>
      </w:pPr>
      <w:r w:rsidRPr="005D7253">
        <w:rPr>
          <w:rFonts w:ascii="Arial" w:hAnsi="Arial" w:cs="Arial"/>
        </w:rPr>
        <w:t>El procedimiento de formalización de la propiedad informal que deben realizar las municipalidades provinciales comprende:</w:t>
      </w:r>
    </w:p>
    <w:p w:rsidR="00A76052" w:rsidRPr="005D7253" w:rsidRDefault="00A76052" w:rsidP="00A76052">
      <w:pPr>
        <w:spacing w:after="0" w:line="240" w:lineRule="auto"/>
        <w:jc w:val="both"/>
        <w:rPr>
          <w:rFonts w:ascii="Arial" w:hAnsi="Arial" w:cs="Arial"/>
        </w:rPr>
      </w:pPr>
    </w:p>
    <w:p w:rsidR="00A76052" w:rsidRPr="005D7253" w:rsidRDefault="00A76052" w:rsidP="00385FA5">
      <w:pPr>
        <w:spacing w:after="0" w:line="240" w:lineRule="auto"/>
        <w:ind w:left="851" w:hanging="567"/>
        <w:jc w:val="both"/>
        <w:rPr>
          <w:rFonts w:ascii="Arial" w:hAnsi="Arial" w:cs="Arial"/>
        </w:rPr>
      </w:pPr>
      <w:r w:rsidRPr="005D7253">
        <w:rPr>
          <w:rFonts w:ascii="Arial" w:hAnsi="Arial" w:cs="Arial"/>
        </w:rPr>
        <w:t xml:space="preserve">1. </w:t>
      </w:r>
      <w:r w:rsidR="00385FA5">
        <w:rPr>
          <w:rFonts w:ascii="Arial" w:hAnsi="Arial" w:cs="Arial"/>
        </w:rPr>
        <w:tab/>
      </w:r>
      <w:r w:rsidRPr="005D7253">
        <w:rPr>
          <w:rFonts w:ascii="Arial" w:hAnsi="Arial" w:cs="Arial"/>
        </w:rPr>
        <w:t>La toma de competencia de las posesiones informales.</w:t>
      </w:r>
    </w:p>
    <w:p w:rsidR="00A76052" w:rsidRPr="005D7253" w:rsidRDefault="00A76052" w:rsidP="00385FA5">
      <w:pPr>
        <w:spacing w:after="0" w:line="240" w:lineRule="auto"/>
        <w:ind w:left="851" w:hanging="567"/>
        <w:jc w:val="both"/>
        <w:rPr>
          <w:rFonts w:ascii="Arial" w:hAnsi="Arial" w:cs="Arial"/>
        </w:rPr>
      </w:pPr>
    </w:p>
    <w:p w:rsidR="00A76052" w:rsidRPr="005D7253" w:rsidRDefault="00A76052" w:rsidP="00385FA5">
      <w:pPr>
        <w:spacing w:after="0" w:line="240" w:lineRule="auto"/>
        <w:ind w:left="851" w:hanging="567"/>
        <w:jc w:val="both"/>
        <w:rPr>
          <w:rFonts w:ascii="Arial" w:hAnsi="Arial" w:cs="Arial"/>
        </w:rPr>
      </w:pPr>
      <w:r w:rsidRPr="005D7253">
        <w:rPr>
          <w:rFonts w:ascii="Arial" w:hAnsi="Arial" w:cs="Arial"/>
        </w:rPr>
        <w:t xml:space="preserve">2. </w:t>
      </w:r>
      <w:r w:rsidR="00385FA5">
        <w:rPr>
          <w:rFonts w:ascii="Arial" w:hAnsi="Arial" w:cs="Arial"/>
        </w:rPr>
        <w:tab/>
      </w:r>
      <w:r w:rsidRPr="005D7253">
        <w:rPr>
          <w:rFonts w:ascii="Arial" w:hAnsi="Arial" w:cs="Arial"/>
        </w:rPr>
        <w:t>La identificación y reconocimiento de las diversas formas de posesión, ocupación, tenencia y titularidad de terrenos con fines urbanos, que requieran la formalización de la propiedad en favor de sus ocupantes, coordinando a tal efecto con la municipalidad distrital que pueda corresponder, en concordancia con lo dispuesto por el numeral 3.5 del artículo 79 de la Ley Nº 27972.</w:t>
      </w:r>
    </w:p>
    <w:p w:rsidR="00A76052" w:rsidRPr="005D7253" w:rsidRDefault="00A76052" w:rsidP="00385FA5">
      <w:pPr>
        <w:spacing w:after="0" w:line="240" w:lineRule="auto"/>
        <w:ind w:left="851" w:hanging="567"/>
        <w:jc w:val="both"/>
        <w:rPr>
          <w:rFonts w:ascii="Arial" w:hAnsi="Arial" w:cs="Arial"/>
        </w:rPr>
      </w:pPr>
    </w:p>
    <w:p w:rsidR="00A76052" w:rsidRPr="005D7253" w:rsidRDefault="00A76052" w:rsidP="00385FA5">
      <w:pPr>
        <w:spacing w:after="0" w:line="240" w:lineRule="auto"/>
        <w:ind w:left="851" w:hanging="567"/>
        <w:jc w:val="both"/>
        <w:rPr>
          <w:rFonts w:ascii="Arial" w:hAnsi="Arial" w:cs="Arial"/>
        </w:rPr>
      </w:pPr>
      <w:r w:rsidRPr="005D7253">
        <w:rPr>
          <w:rFonts w:ascii="Arial" w:hAnsi="Arial" w:cs="Arial"/>
        </w:rPr>
        <w:t xml:space="preserve">3. </w:t>
      </w:r>
      <w:r w:rsidR="00385FA5">
        <w:rPr>
          <w:rFonts w:ascii="Arial" w:hAnsi="Arial" w:cs="Arial"/>
        </w:rPr>
        <w:tab/>
      </w:r>
      <w:r w:rsidRPr="005D7253">
        <w:rPr>
          <w:rFonts w:ascii="Arial" w:hAnsi="Arial" w:cs="Arial"/>
        </w:rPr>
        <w:t>La aprobación de los planos perimétricos y de los planos de trazados y lotización y su respectiva inscripción en el Registro de Predios de la SUNARP, deberá contar con una base gráfica georeferenciada.</w:t>
      </w:r>
    </w:p>
    <w:p w:rsidR="00A76052" w:rsidRPr="005D7253" w:rsidRDefault="00A76052" w:rsidP="00385FA5">
      <w:pPr>
        <w:spacing w:after="0" w:line="240" w:lineRule="auto"/>
        <w:ind w:left="851" w:hanging="567"/>
        <w:jc w:val="both"/>
        <w:rPr>
          <w:rFonts w:ascii="Arial" w:hAnsi="Arial" w:cs="Arial"/>
        </w:rPr>
      </w:pPr>
    </w:p>
    <w:p w:rsidR="00A76052" w:rsidRPr="005D7253" w:rsidRDefault="00A76052" w:rsidP="00385FA5">
      <w:pPr>
        <w:spacing w:after="0" w:line="240" w:lineRule="auto"/>
        <w:ind w:left="851" w:hanging="567"/>
        <w:jc w:val="both"/>
        <w:rPr>
          <w:rFonts w:ascii="Arial" w:hAnsi="Arial" w:cs="Arial"/>
        </w:rPr>
      </w:pPr>
      <w:r w:rsidRPr="005D7253">
        <w:rPr>
          <w:rFonts w:ascii="Arial" w:hAnsi="Arial" w:cs="Arial"/>
        </w:rPr>
        <w:t xml:space="preserve">4. </w:t>
      </w:r>
      <w:r w:rsidR="00385FA5">
        <w:rPr>
          <w:rFonts w:ascii="Arial" w:hAnsi="Arial" w:cs="Arial"/>
        </w:rPr>
        <w:tab/>
      </w:r>
      <w:r w:rsidRPr="005D7253">
        <w:rPr>
          <w:rFonts w:ascii="Arial" w:hAnsi="Arial" w:cs="Arial"/>
        </w:rPr>
        <w:t>El empadronamiento de los ocupantes de las posesiones informales y la identificación de los lotes vacíos coordinando, igualmente, con la municipalidad distrital que pueda corresponder, en concordancia con lo dispuesto por el numeral 3.5 del artículo 79 de la Ley Nº 27972.</w:t>
      </w:r>
    </w:p>
    <w:p w:rsidR="00A76052" w:rsidRPr="005D7253" w:rsidRDefault="00A76052" w:rsidP="00A76052">
      <w:pPr>
        <w:spacing w:after="0" w:line="240" w:lineRule="auto"/>
        <w:jc w:val="both"/>
        <w:rPr>
          <w:rFonts w:ascii="Arial" w:hAnsi="Arial" w:cs="Arial"/>
        </w:rPr>
      </w:pPr>
    </w:p>
    <w:p w:rsidR="00A76052" w:rsidRPr="005D7253" w:rsidRDefault="00A76052" w:rsidP="00A76052">
      <w:pPr>
        <w:spacing w:after="0" w:line="240" w:lineRule="auto"/>
        <w:jc w:val="both"/>
        <w:rPr>
          <w:rFonts w:ascii="Arial" w:hAnsi="Arial" w:cs="Arial"/>
          <w:b/>
        </w:rPr>
      </w:pPr>
      <w:r w:rsidRPr="005D7253">
        <w:rPr>
          <w:rFonts w:ascii="Arial" w:hAnsi="Arial" w:cs="Arial"/>
          <w:b/>
        </w:rPr>
        <w:t>Artículo 9.- De la entrega de títulos de propiedad</w:t>
      </w:r>
    </w:p>
    <w:p w:rsidR="00A76052" w:rsidRPr="005D7253" w:rsidRDefault="00A76052" w:rsidP="00A76052">
      <w:pPr>
        <w:spacing w:after="0" w:line="240" w:lineRule="auto"/>
        <w:jc w:val="both"/>
        <w:rPr>
          <w:rFonts w:ascii="Arial" w:hAnsi="Arial" w:cs="Arial"/>
        </w:rPr>
      </w:pPr>
      <w:r w:rsidRPr="005D7253">
        <w:rPr>
          <w:rFonts w:ascii="Arial" w:hAnsi="Arial" w:cs="Arial"/>
        </w:rPr>
        <w:t>Los títulos de propiedad se entregarán de acuerdo a lo dispuesto en el artículo 20 inciso 27 de la Ley Nº 27972, Ley Orgánica de Municipalidades.</w:t>
      </w:r>
    </w:p>
    <w:p w:rsidR="00A76052" w:rsidRPr="005D7253" w:rsidRDefault="00A76052" w:rsidP="00A76052">
      <w:pPr>
        <w:spacing w:after="0" w:line="240" w:lineRule="auto"/>
        <w:jc w:val="both"/>
        <w:rPr>
          <w:rFonts w:ascii="Arial" w:hAnsi="Arial" w:cs="Arial"/>
        </w:rPr>
      </w:pPr>
    </w:p>
    <w:p w:rsidR="00A76052" w:rsidRPr="005D7253" w:rsidRDefault="00A76052" w:rsidP="00A76052">
      <w:pPr>
        <w:spacing w:after="0" w:line="240" w:lineRule="auto"/>
        <w:jc w:val="both"/>
        <w:rPr>
          <w:rFonts w:ascii="Arial" w:hAnsi="Arial" w:cs="Arial"/>
          <w:b/>
        </w:rPr>
      </w:pPr>
      <w:r w:rsidRPr="005D7253">
        <w:rPr>
          <w:rFonts w:ascii="Arial" w:hAnsi="Arial" w:cs="Arial"/>
          <w:b/>
        </w:rPr>
        <w:t>Artículo 10.- De la conciliación de terrenos de propiedad privada</w:t>
      </w:r>
    </w:p>
    <w:p w:rsidR="00A76052" w:rsidRPr="005D7253" w:rsidRDefault="00A76052" w:rsidP="00385FA5">
      <w:pPr>
        <w:spacing w:after="0" w:line="240" w:lineRule="auto"/>
        <w:ind w:left="851" w:hanging="709"/>
        <w:jc w:val="both"/>
        <w:rPr>
          <w:rFonts w:ascii="Arial" w:hAnsi="Arial" w:cs="Arial"/>
        </w:rPr>
      </w:pPr>
      <w:r w:rsidRPr="005D7253">
        <w:rPr>
          <w:rFonts w:ascii="Arial" w:hAnsi="Arial" w:cs="Arial"/>
        </w:rPr>
        <w:t xml:space="preserve">10.1 </w:t>
      </w:r>
      <w:r w:rsidR="00385FA5">
        <w:rPr>
          <w:rFonts w:ascii="Arial" w:hAnsi="Arial" w:cs="Arial"/>
        </w:rPr>
        <w:tab/>
      </w:r>
      <w:r w:rsidRPr="005D7253">
        <w:rPr>
          <w:rFonts w:ascii="Arial" w:hAnsi="Arial" w:cs="Arial"/>
        </w:rPr>
        <w:t>Durante las acciones de formalización de la propiedad informal, a que se refiere la presente Ley, que se encuentren en terrenos de propiedad privada, las municipalidades provinciales sólo podrán propiciar los procesos de conciliación entre titulares del derecho de propiedad y ocupantes, salvo los casos de regularización del tracto sucesivo o de prescripción adquisitiva de dominio, los que se inician administrativamente ante las municipalidades provinciales.</w:t>
      </w:r>
    </w:p>
    <w:p w:rsidR="00A76052" w:rsidRPr="005D7253" w:rsidRDefault="00A76052" w:rsidP="00385FA5">
      <w:pPr>
        <w:spacing w:after="0" w:line="240" w:lineRule="auto"/>
        <w:ind w:left="851" w:hanging="709"/>
        <w:jc w:val="both"/>
        <w:rPr>
          <w:rFonts w:ascii="Arial" w:hAnsi="Arial" w:cs="Arial"/>
        </w:rPr>
      </w:pPr>
    </w:p>
    <w:p w:rsidR="00A76052" w:rsidRPr="005D7253" w:rsidRDefault="00A76052" w:rsidP="00385FA5">
      <w:pPr>
        <w:spacing w:after="0" w:line="240" w:lineRule="auto"/>
        <w:ind w:left="851" w:hanging="709"/>
        <w:jc w:val="both"/>
        <w:rPr>
          <w:rFonts w:ascii="Arial" w:hAnsi="Arial" w:cs="Arial"/>
        </w:rPr>
      </w:pPr>
      <w:r w:rsidRPr="005D7253">
        <w:rPr>
          <w:rFonts w:ascii="Arial" w:hAnsi="Arial" w:cs="Arial"/>
        </w:rPr>
        <w:t xml:space="preserve">10.2 </w:t>
      </w:r>
      <w:r w:rsidR="00385FA5">
        <w:rPr>
          <w:rFonts w:ascii="Arial" w:hAnsi="Arial" w:cs="Arial"/>
        </w:rPr>
        <w:tab/>
      </w:r>
      <w:r w:rsidRPr="005D7253">
        <w:rPr>
          <w:rFonts w:ascii="Arial" w:hAnsi="Arial" w:cs="Arial"/>
        </w:rPr>
        <w:t>En caso de producirse la conciliación, el propietario y los ocupantes pueden acordar la compraventa del terreno que podrá ser financiada con la garantía del terreno que se adjudica.</w:t>
      </w:r>
    </w:p>
    <w:p w:rsidR="00A76052" w:rsidRPr="005D7253" w:rsidRDefault="00A76052" w:rsidP="00A76052">
      <w:pPr>
        <w:spacing w:after="0" w:line="240" w:lineRule="auto"/>
        <w:jc w:val="both"/>
        <w:rPr>
          <w:rFonts w:ascii="Arial" w:hAnsi="Arial" w:cs="Arial"/>
        </w:rPr>
      </w:pPr>
    </w:p>
    <w:p w:rsidR="00A76052" w:rsidRPr="005D7253" w:rsidRDefault="00A76052" w:rsidP="00A76052">
      <w:pPr>
        <w:spacing w:after="0" w:line="240" w:lineRule="auto"/>
        <w:jc w:val="both"/>
        <w:rPr>
          <w:rFonts w:ascii="Arial" w:hAnsi="Arial" w:cs="Arial"/>
        </w:rPr>
      </w:pPr>
      <w:r w:rsidRPr="005D7253">
        <w:rPr>
          <w:rFonts w:ascii="Arial" w:hAnsi="Arial" w:cs="Arial"/>
        </w:rPr>
        <w:t>La conciliación puede versar respecto a todo o parte del terreno y su tasación será efectuada por el Consejo Nacional de Tasaciones.</w:t>
      </w:r>
    </w:p>
    <w:p w:rsidR="00A76052" w:rsidRPr="005D7253" w:rsidRDefault="00A76052" w:rsidP="00A76052">
      <w:pPr>
        <w:spacing w:after="0" w:line="240" w:lineRule="auto"/>
        <w:jc w:val="both"/>
        <w:rPr>
          <w:rFonts w:ascii="Arial" w:hAnsi="Arial" w:cs="Arial"/>
        </w:rPr>
      </w:pPr>
    </w:p>
    <w:p w:rsidR="00A76052" w:rsidRPr="00385FA5" w:rsidRDefault="00A76052" w:rsidP="00A76052">
      <w:pPr>
        <w:spacing w:after="0" w:line="240" w:lineRule="auto"/>
        <w:jc w:val="both"/>
        <w:rPr>
          <w:rFonts w:ascii="Arial" w:hAnsi="Arial" w:cs="Arial"/>
          <w:b/>
        </w:rPr>
      </w:pPr>
      <w:r w:rsidRPr="00385FA5">
        <w:rPr>
          <w:rFonts w:ascii="Arial" w:hAnsi="Arial" w:cs="Arial"/>
          <w:b/>
        </w:rPr>
        <w:t>Artículo 11.- De la regularización del tracto sucesivo y de declaración de propiedad por prescripción adquisitiva de dominio</w:t>
      </w:r>
    </w:p>
    <w:p w:rsidR="00A76052" w:rsidRPr="005D7253" w:rsidRDefault="00A76052" w:rsidP="00A76052">
      <w:pPr>
        <w:spacing w:after="0" w:line="240" w:lineRule="auto"/>
        <w:jc w:val="both"/>
        <w:rPr>
          <w:rFonts w:ascii="Arial" w:hAnsi="Arial" w:cs="Arial"/>
        </w:rPr>
      </w:pPr>
    </w:p>
    <w:p w:rsidR="00A76052" w:rsidRPr="005D7253" w:rsidRDefault="00A76052" w:rsidP="00385FA5">
      <w:pPr>
        <w:spacing w:after="0" w:line="240" w:lineRule="auto"/>
        <w:ind w:left="851" w:hanging="709"/>
        <w:jc w:val="both"/>
        <w:rPr>
          <w:rFonts w:ascii="Arial" w:hAnsi="Arial" w:cs="Arial"/>
        </w:rPr>
      </w:pPr>
      <w:r w:rsidRPr="005D7253">
        <w:rPr>
          <w:rFonts w:ascii="Arial" w:hAnsi="Arial" w:cs="Arial"/>
        </w:rPr>
        <w:t xml:space="preserve">11.1 </w:t>
      </w:r>
      <w:r w:rsidR="00385FA5">
        <w:rPr>
          <w:rFonts w:ascii="Arial" w:hAnsi="Arial" w:cs="Arial"/>
        </w:rPr>
        <w:tab/>
      </w:r>
      <w:r w:rsidRPr="005D7253">
        <w:rPr>
          <w:rFonts w:ascii="Arial" w:hAnsi="Arial" w:cs="Arial"/>
        </w:rPr>
        <w:t>Los procedimientos administrativos de declaración de propiedad previstos en el primer y tercer párrafos del artículo 11 del Texto Único Ordenado de la Ley de Promoción del Acceso a la Propiedad Formal, Decreto Supremo Nº 009-99-MTC, son los de regularización del tracto sucesivo y de prescripción adquisitiva de dominio, respectivamente. Ambos pueden seguirse ante las municipalidades provinciales, en forma individual o colectivamente a través de sus respectivos representantes designados para ello.</w:t>
      </w:r>
    </w:p>
    <w:p w:rsidR="00A76052" w:rsidRPr="005D7253" w:rsidRDefault="00A76052" w:rsidP="00385FA5">
      <w:pPr>
        <w:spacing w:after="0" w:line="240" w:lineRule="auto"/>
        <w:ind w:left="851" w:hanging="709"/>
        <w:jc w:val="both"/>
        <w:rPr>
          <w:rFonts w:ascii="Arial" w:hAnsi="Arial" w:cs="Arial"/>
        </w:rPr>
      </w:pPr>
    </w:p>
    <w:p w:rsidR="00A76052" w:rsidRPr="005D7253" w:rsidRDefault="00A76052" w:rsidP="00385FA5">
      <w:pPr>
        <w:spacing w:after="0" w:line="240" w:lineRule="auto"/>
        <w:ind w:left="851" w:hanging="709"/>
        <w:jc w:val="both"/>
        <w:rPr>
          <w:rFonts w:ascii="Arial" w:hAnsi="Arial" w:cs="Arial"/>
        </w:rPr>
      </w:pPr>
      <w:r w:rsidRPr="005D7253">
        <w:rPr>
          <w:rFonts w:ascii="Arial" w:hAnsi="Arial" w:cs="Arial"/>
        </w:rPr>
        <w:t xml:space="preserve">11.2 </w:t>
      </w:r>
      <w:r w:rsidR="00385FA5">
        <w:rPr>
          <w:rFonts w:ascii="Arial" w:hAnsi="Arial" w:cs="Arial"/>
        </w:rPr>
        <w:tab/>
      </w:r>
      <w:r w:rsidRPr="005D7253">
        <w:rPr>
          <w:rFonts w:ascii="Arial" w:hAnsi="Arial" w:cs="Arial"/>
        </w:rPr>
        <w:t>Las resoluciones que emitan las municipalidades provinciales en ambos casos tienen mérito suficiente para el cierre y traslado de las partidas existentes sobre el predio en los Registros Públicos, así como para su cancelación e inscripción de la propiedad en el Registro de Predios de la SUNARP.</w:t>
      </w:r>
    </w:p>
    <w:p w:rsidR="00A76052" w:rsidRPr="005D7253" w:rsidRDefault="00A76052" w:rsidP="00385FA5">
      <w:pPr>
        <w:spacing w:after="0" w:line="240" w:lineRule="auto"/>
        <w:ind w:left="851" w:hanging="709"/>
        <w:jc w:val="both"/>
        <w:rPr>
          <w:rFonts w:ascii="Arial" w:hAnsi="Arial" w:cs="Arial"/>
        </w:rPr>
      </w:pPr>
    </w:p>
    <w:p w:rsidR="00A76052" w:rsidRPr="005D7253" w:rsidRDefault="00A76052" w:rsidP="00385FA5">
      <w:pPr>
        <w:spacing w:after="0" w:line="240" w:lineRule="auto"/>
        <w:ind w:left="851" w:hanging="709"/>
        <w:jc w:val="both"/>
        <w:rPr>
          <w:rFonts w:ascii="Arial" w:hAnsi="Arial" w:cs="Arial"/>
        </w:rPr>
      </w:pPr>
      <w:r w:rsidRPr="005D7253">
        <w:rPr>
          <w:rFonts w:ascii="Arial" w:hAnsi="Arial" w:cs="Arial"/>
        </w:rPr>
        <w:t xml:space="preserve">11.3 </w:t>
      </w:r>
      <w:r w:rsidR="00385FA5">
        <w:rPr>
          <w:rFonts w:ascii="Arial" w:hAnsi="Arial" w:cs="Arial"/>
        </w:rPr>
        <w:tab/>
      </w:r>
      <w:r w:rsidRPr="005D7253">
        <w:rPr>
          <w:rFonts w:ascii="Arial" w:hAnsi="Arial" w:cs="Arial"/>
        </w:rPr>
        <w:t>El reglamento de la presente Ley establecerá los procedimientos para solicitar la declaración de propiedad por regularización del tracto sucesivo y la declaración de propiedad por prescripción adquisitiva de dominio, exigiendo en este último caso, el cumplimiento de los requisitos previstos en el artículo 950 del Código Civil según corresponda, sin necesidad de la declaración judicial prevista en el artículo 952 del acotado cuerpo legal.</w:t>
      </w:r>
    </w:p>
    <w:p w:rsidR="00A76052" w:rsidRPr="005D7253" w:rsidRDefault="00A76052" w:rsidP="00385FA5">
      <w:pPr>
        <w:spacing w:after="0" w:line="240" w:lineRule="auto"/>
        <w:ind w:left="851" w:hanging="709"/>
        <w:jc w:val="both"/>
        <w:rPr>
          <w:rFonts w:ascii="Arial" w:hAnsi="Arial" w:cs="Arial"/>
        </w:rPr>
      </w:pPr>
    </w:p>
    <w:p w:rsidR="00A76052" w:rsidRPr="005D7253" w:rsidRDefault="00A76052" w:rsidP="00385FA5">
      <w:pPr>
        <w:spacing w:after="0" w:line="240" w:lineRule="auto"/>
        <w:ind w:left="851" w:hanging="709"/>
        <w:jc w:val="both"/>
        <w:rPr>
          <w:rFonts w:ascii="Arial" w:hAnsi="Arial" w:cs="Arial"/>
        </w:rPr>
      </w:pPr>
      <w:r w:rsidRPr="005D7253">
        <w:rPr>
          <w:rFonts w:ascii="Arial" w:hAnsi="Arial" w:cs="Arial"/>
        </w:rPr>
        <w:t xml:space="preserve">11.4 </w:t>
      </w:r>
      <w:r w:rsidR="00385FA5">
        <w:rPr>
          <w:rFonts w:ascii="Arial" w:hAnsi="Arial" w:cs="Arial"/>
        </w:rPr>
        <w:tab/>
      </w:r>
      <w:r w:rsidRPr="005D7253">
        <w:rPr>
          <w:rFonts w:ascii="Arial" w:hAnsi="Arial" w:cs="Arial"/>
        </w:rPr>
        <w:t>Los procedimientos administrativos para solicitar la declaración de propiedad por regularización del tracto sucesivo la declaración de propiedad por prescripción adquisitiva de dominio, que se hayan iniciado hasta antes de expedida la sentencia del Tribunal Constitucional en el expediente Nº 012-2001-I/TC, mantienen plena validez, vigencia y eficacia, en consonancia con lo dispuesto por dicha sentencia, así como por el Decreto Legislativo Nº 803, modificado por Ley N º 27046.</w:t>
      </w:r>
    </w:p>
    <w:p w:rsidR="00A76052" w:rsidRPr="005D7253" w:rsidRDefault="00A76052" w:rsidP="00385FA5">
      <w:pPr>
        <w:spacing w:after="0" w:line="240" w:lineRule="auto"/>
        <w:ind w:left="851" w:hanging="709"/>
        <w:jc w:val="both"/>
        <w:rPr>
          <w:rFonts w:ascii="Arial" w:hAnsi="Arial" w:cs="Arial"/>
        </w:rPr>
      </w:pPr>
    </w:p>
    <w:p w:rsidR="00A76052" w:rsidRPr="005D7253" w:rsidRDefault="00A76052" w:rsidP="00385FA5">
      <w:pPr>
        <w:spacing w:after="0" w:line="240" w:lineRule="auto"/>
        <w:ind w:left="851" w:hanging="709"/>
        <w:jc w:val="both"/>
        <w:rPr>
          <w:rFonts w:ascii="Arial" w:hAnsi="Arial" w:cs="Arial"/>
        </w:rPr>
      </w:pPr>
      <w:r w:rsidRPr="005D7253">
        <w:rPr>
          <w:rFonts w:ascii="Arial" w:hAnsi="Arial" w:cs="Arial"/>
        </w:rPr>
        <w:t xml:space="preserve">11.5 </w:t>
      </w:r>
      <w:r w:rsidR="00385FA5">
        <w:rPr>
          <w:rFonts w:ascii="Arial" w:hAnsi="Arial" w:cs="Arial"/>
        </w:rPr>
        <w:tab/>
      </w:r>
      <w:r w:rsidRPr="005D7253">
        <w:rPr>
          <w:rFonts w:ascii="Arial" w:hAnsi="Arial" w:cs="Arial"/>
        </w:rPr>
        <w:t>Los procedimientos administrativos a que se refiere el numeral anterior, que hayan sido suspendidos y aún se encuentren pendientes de culminación, serán continuados por las municipalidades provinciales de cada circunscripción territorial, hasta su total culminación con la entrega de los títulos de propiedad correspondientes.</w:t>
      </w:r>
    </w:p>
    <w:p w:rsidR="00A76052" w:rsidRPr="005D7253" w:rsidRDefault="00A76052" w:rsidP="00A76052">
      <w:pPr>
        <w:spacing w:after="0" w:line="240" w:lineRule="auto"/>
        <w:jc w:val="both"/>
        <w:rPr>
          <w:rFonts w:ascii="Arial" w:hAnsi="Arial" w:cs="Arial"/>
        </w:rPr>
      </w:pPr>
    </w:p>
    <w:p w:rsidR="00A76052" w:rsidRPr="005D7253" w:rsidRDefault="00A76052" w:rsidP="00A76052">
      <w:pPr>
        <w:spacing w:after="0" w:line="240" w:lineRule="auto"/>
        <w:jc w:val="both"/>
        <w:rPr>
          <w:rFonts w:ascii="Arial" w:hAnsi="Arial" w:cs="Arial"/>
        </w:rPr>
      </w:pPr>
      <w:r w:rsidRPr="005D7253">
        <w:rPr>
          <w:rFonts w:ascii="Arial" w:hAnsi="Arial" w:cs="Arial"/>
        </w:rPr>
        <w:t>Para ello, la Comisión de Formalización de la Propiedad Informal - COFOPRI transferirá a las municipalidades provinciales, dentro de los treinta (30) días posteriores a la promulgación de la presente Ley, los expedientes solicitando la declaración de propiedad por prescripción adquisitiva de dominio, que se encuentren en su poder.</w:t>
      </w:r>
    </w:p>
    <w:p w:rsidR="00A76052" w:rsidRPr="005D7253" w:rsidRDefault="00A76052" w:rsidP="00A76052">
      <w:pPr>
        <w:spacing w:after="0" w:line="240" w:lineRule="auto"/>
        <w:jc w:val="both"/>
        <w:rPr>
          <w:rFonts w:ascii="Arial" w:hAnsi="Arial" w:cs="Arial"/>
        </w:rPr>
      </w:pPr>
    </w:p>
    <w:p w:rsidR="00A76052" w:rsidRPr="00385FA5" w:rsidRDefault="00A76052" w:rsidP="00A76052">
      <w:pPr>
        <w:spacing w:after="0" w:line="240" w:lineRule="auto"/>
        <w:jc w:val="both"/>
        <w:rPr>
          <w:rFonts w:ascii="Arial" w:hAnsi="Arial" w:cs="Arial"/>
          <w:b/>
        </w:rPr>
      </w:pPr>
      <w:r w:rsidRPr="00385FA5">
        <w:rPr>
          <w:rFonts w:ascii="Arial" w:hAnsi="Arial" w:cs="Arial"/>
          <w:b/>
        </w:rPr>
        <w:t>Artículo 12.- Destino del dinero por venta de mercados públicos informales</w:t>
      </w:r>
    </w:p>
    <w:p w:rsidR="00A76052" w:rsidRPr="005D7253" w:rsidRDefault="00A76052" w:rsidP="00A76052">
      <w:pPr>
        <w:spacing w:after="0" w:line="240" w:lineRule="auto"/>
        <w:jc w:val="both"/>
        <w:rPr>
          <w:rFonts w:ascii="Arial" w:hAnsi="Arial" w:cs="Arial"/>
        </w:rPr>
      </w:pPr>
      <w:r w:rsidRPr="005D7253">
        <w:rPr>
          <w:rFonts w:ascii="Arial" w:hAnsi="Arial" w:cs="Arial"/>
        </w:rPr>
        <w:t>Los ingresos que generen la venta de activos de propiedad del Estado, donde se asientan mercados públicos informales, corresponderá al Tesoro Público y a las municipalidades provinciales y distritales en los porcentajes de cuarenta (40%), treinta (30%) y treinta (30%) por ciento, respectivamente. Los ingresos que se recauden por concepto del costo de formalización de dichos lotes corresponderán íntegramente a la municipalidad provincial.</w:t>
      </w:r>
    </w:p>
    <w:p w:rsidR="00A76052" w:rsidRPr="005D7253" w:rsidRDefault="00A76052" w:rsidP="00A76052">
      <w:pPr>
        <w:spacing w:after="0" w:line="240" w:lineRule="auto"/>
        <w:jc w:val="both"/>
        <w:rPr>
          <w:rFonts w:ascii="Arial" w:hAnsi="Arial" w:cs="Arial"/>
        </w:rPr>
      </w:pPr>
      <w:r w:rsidRPr="005D7253">
        <w:rPr>
          <w:rFonts w:ascii="Arial" w:hAnsi="Arial" w:cs="Arial"/>
        </w:rPr>
        <w:t>En los casos en los que exista el convenio a que alude el artículo 7 de la presente Ley, los ingresos que se generen por concepto del valor del terreno corresponderán al Tesoro Público, a la municipalidad provincial y a COFOPRI en un porcentaje de cuarenta (40%), treinta (30%) y treinta (30%) por ciento respectivamente.</w:t>
      </w:r>
    </w:p>
    <w:p w:rsidR="00A76052" w:rsidRPr="005D7253" w:rsidRDefault="00A76052" w:rsidP="00A76052">
      <w:pPr>
        <w:spacing w:after="0" w:line="240" w:lineRule="auto"/>
        <w:jc w:val="both"/>
        <w:rPr>
          <w:rFonts w:ascii="Arial" w:hAnsi="Arial" w:cs="Arial"/>
        </w:rPr>
      </w:pPr>
    </w:p>
    <w:p w:rsidR="00A76052" w:rsidRPr="005D7253" w:rsidRDefault="00A76052" w:rsidP="00A76052">
      <w:pPr>
        <w:spacing w:after="0" w:line="240" w:lineRule="auto"/>
        <w:jc w:val="both"/>
        <w:rPr>
          <w:rFonts w:ascii="Arial" w:hAnsi="Arial" w:cs="Arial"/>
        </w:rPr>
      </w:pPr>
      <w:r w:rsidRPr="005D7253">
        <w:rPr>
          <w:rFonts w:ascii="Arial" w:hAnsi="Arial" w:cs="Arial"/>
        </w:rPr>
        <w:t>Tratándose de propiedad municipal esta solo es acreditable cuando se encuentre debidamente inscrita en los registros públicos pertinentes.</w:t>
      </w:r>
    </w:p>
    <w:p w:rsidR="00A76052" w:rsidRPr="005D7253" w:rsidRDefault="00A76052" w:rsidP="00A76052">
      <w:pPr>
        <w:spacing w:after="0" w:line="240" w:lineRule="auto"/>
        <w:jc w:val="both"/>
        <w:rPr>
          <w:rFonts w:ascii="Arial" w:hAnsi="Arial" w:cs="Arial"/>
        </w:rPr>
      </w:pPr>
    </w:p>
    <w:p w:rsidR="00A76052" w:rsidRPr="00385FA5" w:rsidRDefault="00A76052" w:rsidP="00A76052">
      <w:pPr>
        <w:spacing w:after="0" w:line="240" w:lineRule="auto"/>
        <w:jc w:val="both"/>
        <w:rPr>
          <w:rFonts w:ascii="Arial" w:hAnsi="Arial" w:cs="Arial"/>
          <w:b/>
        </w:rPr>
      </w:pPr>
      <w:r w:rsidRPr="00385FA5">
        <w:rPr>
          <w:rFonts w:ascii="Arial" w:hAnsi="Arial" w:cs="Arial"/>
          <w:b/>
        </w:rPr>
        <w:t>Artículo 13.- Del saneamiento catastral y registral</w:t>
      </w:r>
    </w:p>
    <w:p w:rsidR="00A76052" w:rsidRPr="005D7253" w:rsidRDefault="00A76052" w:rsidP="00A76052">
      <w:pPr>
        <w:spacing w:after="0" w:line="240" w:lineRule="auto"/>
        <w:jc w:val="both"/>
        <w:rPr>
          <w:rFonts w:ascii="Arial" w:hAnsi="Arial" w:cs="Arial"/>
        </w:rPr>
      </w:pPr>
      <w:r w:rsidRPr="005D7253">
        <w:rPr>
          <w:rFonts w:ascii="Arial" w:hAnsi="Arial" w:cs="Arial"/>
        </w:rPr>
        <w:t>Declárase de preferente interés nacional el saneamiento catastral y registral de las áreas geográficas de predios ubicados en las habilitaciones urbanas formales y en los cercados de las capitales de departamentos inscritos en el Registro de Predios de la SUNARP. Para dicho efecto, la SUNARP puede contar con el apoyo técnico de COFOPRI, entidad que ejecutará el saneamiento catastral, en las condiciones que se establecerán en el convenio que se suscribirá para dicho efecto.</w:t>
      </w:r>
    </w:p>
    <w:p w:rsidR="00A76052" w:rsidRPr="005D7253" w:rsidRDefault="00A76052" w:rsidP="00A76052">
      <w:pPr>
        <w:spacing w:after="0" w:line="240" w:lineRule="auto"/>
        <w:jc w:val="both"/>
        <w:rPr>
          <w:rFonts w:ascii="Arial" w:hAnsi="Arial" w:cs="Arial"/>
        </w:rPr>
      </w:pPr>
    </w:p>
    <w:p w:rsidR="00A76052" w:rsidRPr="00385FA5" w:rsidRDefault="00A76052" w:rsidP="00A76052">
      <w:pPr>
        <w:spacing w:after="0" w:line="240" w:lineRule="auto"/>
        <w:jc w:val="both"/>
        <w:rPr>
          <w:rFonts w:ascii="Arial" w:hAnsi="Arial" w:cs="Arial"/>
          <w:b/>
        </w:rPr>
      </w:pPr>
      <w:r w:rsidRPr="00385FA5">
        <w:rPr>
          <w:rFonts w:ascii="Arial" w:hAnsi="Arial" w:cs="Arial"/>
          <w:b/>
        </w:rPr>
        <w:t>Artículo 14.- Saneamiento de bienes inmuebles pertenecientes a organismos e instituciones del sector público</w:t>
      </w:r>
    </w:p>
    <w:p w:rsidR="00A76052" w:rsidRPr="005D7253" w:rsidRDefault="00A76052" w:rsidP="00A76052">
      <w:pPr>
        <w:spacing w:after="0" w:line="240" w:lineRule="auto"/>
        <w:jc w:val="both"/>
        <w:rPr>
          <w:rFonts w:ascii="Arial" w:hAnsi="Arial" w:cs="Arial"/>
        </w:rPr>
      </w:pPr>
    </w:p>
    <w:p w:rsidR="00A76052" w:rsidRPr="005D7253" w:rsidRDefault="00A76052" w:rsidP="00385FA5">
      <w:pPr>
        <w:spacing w:after="0" w:line="240" w:lineRule="auto"/>
        <w:ind w:left="993" w:hanging="851"/>
        <w:jc w:val="both"/>
        <w:rPr>
          <w:rFonts w:ascii="Arial" w:hAnsi="Arial" w:cs="Arial"/>
        </w:rPr>
      </w:pPr>
      <w:r w:rsidRPr="005D7253">
        <w:rPr>
          <w:rFonts w:ascii="Arial" w:hAnsi="Arial" w:cs="Arial"/>
        </w:rPr>
        <w:t xml:space="preserve">14.1 </w:t>
      </w:r>
      <w:r w:rsidR="00385FA5">
        <w:rPr>
          <w:rFonts w:ascii="Arial" w:hAnsi="Arial" w:cs="Arial"/>
        </w:rPr>
        <w:tab/>
      </w:r>
      <w:r w:rsidRPr="005D7253">
        <w:rPr>
          <w:rFonts w:ascii="Arial" w:hAnsi="Arial" w:cs="Arial"/>
        </w:rPr>
        <w:t>Es potestad del titular del sector público correspondiente solicitar a título oneroso a COFOPRI, el saneamiento técnico-legal de los inmuebles de propiedad del Estado pertenecientes a organismos e instituciones del sector público y obras de infraestructura. En tal caso, el saneamiento técnico-legal se llevará a cabo previo convenio y culminará con la inscripción de dichos inmuebles en el Registro de Predios con base gráfica georeferenciada. Dicho saneamiento debe ejecutarse conforme a lo dispuesto en el Decreto Supremo Nº 130-2001-EF y Decreto Supremo Nº 136-2001-EF.</w:t>
      </w:r>
    </w:p>
    <w:p w:rsidR="00A76052" w:rsidRPr="005D7253" w:rsidRDefault="00A76052" w:rsidP="00385FA5">
      <w:pPr>
        <w:spacing w:after="0" w:line="240" w:lineRule="auto"/>
        <w:ind w:left="993" w:hanging="851"/>
        <w:jc w:val="both"/>
        <w:rPr>
          <w:rFonts w:ascii="Arial" w:hAnsi="Arial" w:cs="Arial"/>
        </w:rPr>
      </w:pPr>
    </w:p>
    <w:p w:rsidR="00A76052" w:rsidRPr="005D7253" w:rsidRDefault="00A76052" w:rsidP="00385FA5">
      <w:pPr>
        <w:spacing w:after="0" w:line="240" w:lineRule="auto"/>
        <w:ind w:left="993" w:hanging="851"/>
        <w:jc w:val="both"/>
        <w:rPr>
          <w:rFonts w:ascii="Arial" w:hAnsi="Arial" w:cs="Arial"/>
        </w:rPr>
      </w:pPr>
      <w:r w:rsidRPr="005D7253">
        <w:rPr>
          <w:rFonts w:ascii="Arial" w:hAnsi="Arial" w:cs="Arial"/>
        </w:rPr>
        <w:t xml:space="preserve">14.2 </w:t>
      </w:r>
      <w:r w:rsidR="00385FA5">
        <w:rPr>
          <w:rFonts w:ascii="Arial" w:hAnsi="Arial" w:cs="Arial"/>
        </w:rPr>
        <w:tab/>
      </w:r>
      <w:r w:rsidRPr="005D7253">
        <w:rPr>
          <w:rFonts w:ascii="Arial" w:hAnsi="Arial" w:cs="Arial"/>
        </w:rPr>
        <w:t>La inscripción registral referida en el numeral precedente deberá comunicarse a la Superintendencia de Bienes Nacionales - SBN, a efectos de que proceda al registro en el Sistema de Información Nacional de los Bienes de Propiedad Estatal - SINABIP, para posteriores afectaciones, desafectaciones e inclusive para transferencia a terceros.</w:t>
      </w:r>
    </w:p>
    <w:p w:rsidR="00A76052" w:rsidRPr="005D7253" w:rsidRDefault="00A76052" w:rsidP="00385FA5">
      <w:pPr>
        <w:spacing w:after="0" w:line="240" w:lineRule="auto"/>
        <w:ind w:left="993" w:hanging="851"/>
        <w:jc w:val="both"/>
        <w:rPr>
          <w:rFonts w:ascii="Arial" w:hAnsi="Arial" w:cs="Arial"/>
        </w:rPr>
      </w:pPr>
    </w:p>
    <w:p w:rsidR="00A76052" w:rsidRPr="005D7253" w:rsidRDefault="00A76052" w:rsidP="00385FA5">
      <w:pPr>
        <w:spacing w:after="0" w:line="240" w:lineRule="auto"/>
        <w:ind w:left="993" w:hanging="851"/>
        <w:jc w:val="both"/>
        <w:rPr>
          <w:rFonts w:ascii="Arial" w:hAnsi="Arial" w:cs="Arial"/>
        </w:rPr>
      </w:pPr>
      <w:r w:rsidRPr="005D7253">
        <w:rPr>
          <w:rFonts w:ascii="Arial" w:hAnsi="Arial" w:cs="Arial"/>
        </w:rPr>
        <w:t xml:space="preserve">14.3 </w:t>
      </w:r>
      <w:r w:rsidR="00385FA5">
        <w:rPr>
          <w:rFonts w:ascii="Arial" w:hAnsi="Arial" w:cs="Arial"/>
        </w:rPr>
        <w:tab/>
      </w:r>
      <w:r w:rsidRPr="005D7253">
        <w:rPr>
          <w:rFonts w:ascii="Arial" w:hAnsi="Arial" w:cs="Arial"/>
        </w:rPr>
        <w:t>El saneamiento técnico-legal de los terrenos de interés social adquiridos con los recursos provenientes de la liquidación del Fondo Nacional de Vivienda - FONAVI será realizado por COFOPRI a título gratuito.</w:t>
      </w:r>
    </w:p>
    <w:p w:rsidR="00A76052" w:rsidRPr="005D7253" w:rsidRDefault="00A76052" w:rsidP="00A76052">
      <w:pPr>
        <w:spacing w:after="0" w:line="240" w:lineRule="auto"/>
        <w:jc w:val="both"/>
        <w:rPr>
          <w:rFonts w:ascii="Arial" w:hAnsi="Arial" w:cs="Arial"/>
        </w:rPr>
      </w:pPr>
    </w:p>
    <w:p w:rsidR="00A76052" w:rsidRPr="00385FA5" w:rsidRDefault="00A76052" w:rsidP="00A76052">
      <w:pPr>
        <w:spacing w:after="0" w:line="240" w:lineRule="auto"/>
        <w:jc w:val="both"/>
        <w:rPr>
          <w:rFonts w:ascii="Arial" w:hAnsi="Arial" w:cs="Arial"/>
          <w:b/>
        </w:rPr>
      </w:pPr>
      <w:r w:rsidRPr="00385FA5">
        <w:rPr>
          <w:rFonts w:ascii="Arial" w:hAnsi="Arial" w:cs="Arial"/>
          <w:b/>
        </w:rPr>
        <w:t>Artículo 15.- De la permuta de terrenos</w:t>
      </w:r>
    </w:p>
    <w:p w:rsidR="00A76052" w:rsidRPr="005D7253" w:rsidRDefault="00A76052" w:rsidP="00A76052">
      <w:pPr>
        <w:spacing w:after="0" w:line="240" w:lineRule="auto"/>
        <w:jc w:val="both"/>
        <w:rPr>
          <w:rFonts w:ascii="Arial" w:hAnsi="Arial" w:cs="Arial"/>
        </w:rPr>
      </w:pPr>
      <w:r w:rsidRPr="005D7253">
        <w:rPr>
          <w:rFonts w:ascii="Arial" w:hAnsi="Arial" w:cs="Arial"/>
        </w:rPr>
        <w:t>Facúltase a la Superintendencia de Bienes Nacionales para que, a solicitud de las municipalidades provinciales, permute terrenos del dominio privado del Estado con terrenos de propiedad de particulares ocupados por posesiones informales con por lo menos 10 años de antigüedad a la fecha de entrada en vigencia de la presente Ley.</w:t>
      </w:r>
    </w:p>
    <w:p w:rsidR="00A76052" w:rsidRPr="005D7253" w:rsidRDefault="00A76052" w:rsidP="00A76052">
      <w:pPr>
        <w:spacing w:after="0" w:line="240" w:lineRule="auto"/>
        <w:jc w:val="both"/>
        <w:rPr>
          <w:rFonts w:ascii="Arial" w:hAnsi="Arial" w:cs="Arial"/>
        </w:rPr>
      </w:pPr>
    </w:p>
    <w:p w:rsidR="00A76052" w:rsidRPr="005D7253" w:rsidRDefault="00A76052" w:rsidP="00A76052">
      <w:pPr>
        <w:spacing w:after="0" w:line="240" w:lineRule="auto"/>
        <w:jc w:val="both"/>
        <w:rPr>
          <w:rFonts w:ascii="Arial" w:hAnsi="Arial" w:cs="Arial"/>
        </w:rPr>
      </w:pPr>
      <w:r w:rsidRPr="005D7253">
        <w:rPr>
          <w:rFonts w:ascii="Arial" w:hAnsi="Arial" w:cs="Arial"/>
        </w:rPr>
        <w:t>Los terrenos materia de permuta serán identificados y determinados por la Superintendencia de Bienes Nacionales, en adelante SBN. Dichos predios deberán ser necesariamente de dominio privado del Estado de libre disponibilidad, bajo la administración de la SBN, así como de las demás entidades que comprenden la administración pública y podrán estar ubicados en el ámbito urbano, rural e inclusive dentro de los Proyectos Especiales bajo el ámbito del Gobierno Nacional y no podrán estar afectados bajo ninguna modalidad a favor de entidades públicas y/o privadas.</w:t>
      </w:r>
    </w:p>
    <w:p w:rsidR="00A76052" w:rsidRPr="005D7253" w:rsidRDefault="00A76052" w:rsidP="00A76052">
      <w:pPr>
        <w:spacing w:after="0" w:line="240" w:lineRule="auto"/>
        <w:jc w:val="both"/>
        <w:rPr>
          <w:rFonts w:ascii="Arial" w:hAnsi="Arial" w:cs="Arial"/>
        </w:rPr>
      </w:pPr>
    </w:p>
    <w:p w:rsidR="00A76052" w:rsidRPr="005D7253" w:rsidRDefault="00A76052" w:rsidP="00A76052">
      <w:pPr>
        <w:spacing w:after="0" w:line="240" w:lineRule="auto"/>
        <w:jc w:val="both"/>
        <w:rPr>
          <w:rFonts w:ascii="Arial" w:hAnsi="Arial" w:cs="Arial"/>
        </w:rPr>
      </w:pPr>
      <w:r w:rsidRPr="005D7253">
        <w:rPr>
          <w:rFonts w:ascii="Arial" w:hAnsi="Arial" w:cs="Arial"/>
        </w:rPr>
        <w:t>Si se trata de predios que no se encuentran bajo su administración directa, la SBN comunicará la solicitud de permuta a la entidad propietaria del predio para que ésta emita la opinión respectiva.</w:t>
      </w:r>
    </w:p>
    <w:p w:rsidR="00A76052" w:rsidRPr="005D7253" w:rsidRDefault="00A76052" w:rsidP="00A76052">
      <w:pPr>
        <w:spacing w:after="0" w:line="240" w:lineRule="auto"/>
        <w:jc w:val="both"/>
        <w:rPr>
          <w:rFonts w:ascii="Arial" w:hAnsi="Arial" w:cs="Arial"/>
        </w:rPr>
      </w:pPr>
    </w:p>
    <w:p w:rsidR="00A76052" w:rsidRPr="005D7253" w:rsidRDefault="00385FA5" w:rsidP="00A76052">
      <w:pPr>
        <w:spacing w:after="0" w:line="240" w:lineRule="auto"/>
        <w:jc w:val="both"/>
        <w:rPr>
          <w:rFonts w:ascii="Arial" w:hAnsi="Arial" w:cs="Arial"/>
        </w:rPr>
      </w:pPr>
      <w:r>
        <w:rPr>
          <w:rFonts w:ascii="Arial" w:hAnsi="Arial" w:cs="Arial"/>
        </w:rPr>
        <w:t>l</w:t>
      </w:r>
      <w:r w:rsidR="00A76052" w:rsidRPr="005D7253">
        <w:rPr>
          <w:rFonts w:ascii="Arial" w:hAnsi="Arial" w:cs="Arial"/>
        </w:rPr>
        <w:t>a valorización de los terrenos a permutar será determinada según tasación a valor comercial efectuada por la entidad que designe la SBN, de conformidad con los dispuesto por el artículo 51 del Decreto Supremo Nº 154-2001-EF, Reglamento General de Procedimientos Administrativos de los Bienes de Propiedad Estatal.</w:t>
      </w:r>
    </w:p>
    <w:p w:rsidR="00A76052" w:rsidRPr="005D7253" w:rsidRDefault="00A76052" w:rsidP="00A76052">
      <w:pPr>
        <w:spacing w:after="0" w:line="240" w:lineRule="auto"/>
        <w:jc w:val="both"/>
        <w:rPr>
          <w:rFonts w:ascii="Arial" w:hAnsi="Arial" w:cs="Arial"/>
        </w:rPr>
      </w:pPr>
    </w:p>
    <w:p w:rsidR="00A76052" w:rsidRPr="005D7253" w:rsidRDefault="00A76052" w:rsidP="00A76052">
      <w:pPr>
        <w:spacing w:after="0" w:line="240" w:lineRule="auto"/>
        <w:jc w:val="both"/>
        <w:rPr>
          <w:rFonts w:ascii="Arial" w:hAnsi="Arial" w:cs="Arial"/>
        </w:rPr>
      </w:pPr>
      <w:r w:rsidRPr="005D7253">
        <w:rPr>
          <w:rFonts w:ascii="Arial" w:hAnsi="Arial" w:cs="Arial"/>
        </w:rPr>
        <w:t>Los terrenos permutados a favor de los particulares se destinarán necesariamente al desarrollo de programas de habilitación urbana para viviendas de interés social, o para la ejecución de otros programas promovidos o ejecutados por el Gobierno.</w:t>
      </w:r>
    </w:p>
    <w:p w:rsidR="00A76052" w:rsidRPr="005D7253" w:rsidRDefault="00A76052" w:rsidP="00A76052">
      <w:pPr>
        <w:spacing w:after="0" w:line="240" w:lineRule="auto"/>
        <w:jc w:val="both"/>
        <w:rPr>
          <w:rFonts w:ascii="Arial" w:hAnsi="Arial" w:cs="Arial"/>
        </w:rPr>
      </w:pPr>
    </w:p>
    <w:p w:rsidR="00A76052" w:rsidRPr="00385FA5" w:rsidRDefault="00A76052" w:rsidP="00385FA5">
      <w:pPr>
        <w:spacing w:after="0" w:line="240" w:lineRule="auto"/>
        <w:jc w:val="center"/>
        <w:rPr>
          <w:rFonts w:ascii="Arial" w:hAnsi="Arial" w:cs="Arial"/>
          <w:b/>
        </w:rPr>
      </w:pPr>
      <w:r w:rsidRPr="00385FA5">
        <w:rPr>
          <w:rFonts w:ascii="Arial" w:hAnsi="Arial" w:cs="Arial"/>
          <w:b/>
        </w:rPr>
        <w:t>TÍTULO II</w:t>
      </w:r>
    </w:p>
    <w:p w:rsidR="00A76052" w:rsidRPr="00385FA5" w:rsidRDefault="00A76052" w:rsidP="00385FA5">
      <w:pPr>
        <w:spacing w:after="0" w:line="240" w:lineRule="auto"/>
        <w:jc w:val="center"/>
        <w:rPr>
          <w:rFonts w:ascii="Arial" w:hAnsi="Arial" w:cs="Arial"/>
          <w:b/>
        </w:rPr>
      </w:pPr>
      <w:r w:rsidRPr="00385FA5">
        <w:rPr>
          <w:rFonts w:ascii="Arial" w:hAnsi="Arial" w:cs="Arial"/>
          <w:b/>
        </w:rPr>
        <w:t>ACCESO AL SUELO DE SECTORES DE MENORES RECURSOS ECONÓMICOS</w:t>
      </w:r>
    </w:p>
    <w:p w:rsidR="00A76052" w:rsidRPr="005D7253" w:rsidRDefault="00A76052" w:rsidP="00A76052">
      <w:pPr>
        <w:spacing w:after="0" w:line="240" w:lineRule="auto"/>
        <w:jc w:val="both"/>
        <w:rPr>
          <w:rFonts w:ascii="Arial" w:hAnsi="Arial" w:cs="Arial"/>
        </w:rPr>
      </w:pPr>
    </w:p>
    <w:p w:rsidR="00A76052" w:rsidRPr="00385FA5" w:rsidRDefault="00A76052" w:rsidP="00A76052">
      <w:pPr>
        <w:spacing w:after="0" w:line="240" w:lineRule="auto"/>
        <w:jc w:val="both"/>
        <w:rPr>
          <w:rFonts w:ascii="Arial" w:hAnsi="Arial" w:cs="Arial"/>
          <w:b/>
        </w:rPr>
      </w:pPr>
      <w:r w:rsidRPr="00385FA5">
        <w:rPr>
          <w:rFonts w:ascii="Arial" w:hAnsi="Arial" w:cs="Arial"/>
          <w:b/>
        </w:rPr>
        <w:t>Artículo 16.- Aplicación</w:t>
      </w:r>
    </w:p>
    <w:p w:rsidR="00A76052" w:rsidRPr="005D7253" w:rsidRDefault="00A76052" w:rsidP="00A76052">
      <w:pPr>
        <w:spacing w:after="0" w:line="240" w:lineRule="auto"/>
        <w:jc w:val="both"/>
        <w:rPr>
          <w:rFonts w:ascii="Arial" w:hAnsi="Arial" w:cs="Arial"/>
        </w:rPr>
      </w:pPr>
      <w:r w:rsidRPr="005D7253">
        <w:rPr>
          <w:rFonts w:ascii="Arial" w:hAnsi="Arial" w:cs="Arial"/>
        </w:rPr>
        <w:t>El presente Título establece los mecanismos legales que facilitan el acceso al suelo de predios, mediante el saneamiento físico legal y la ejecución de proyectos sobre:</w:t>
      </w:r>
    </w:p>
    <w:p w:rsidR="00A76052" w:rsidRPr="005D7253" w:rsidRDefault="00A76052" w:rsidP="00A76052">
      <w:pPr>
        <w:spacing w:after="0" w:line="240" w:lineRule="auto"/>
        <w:jc w:val="both"/>
        <w:rPr>
          <w:rFonts w:ascii="Arial" w:hAnsi="Arial" w:cs="Arial"/>
        </w:rPr>
      </w:pPr>
    </w:p>
    <w:p w:rsidR="00A76052" w:rsidRPr="005D7253" w:rsidRDefault="00A76052" w:rsidP="00385FA5">
      <w:pPr>
        <w:spacing w:after="0" w:line="240" w:lineRule="auto"/>
        <w:ind w:left="993" w:hanging="709"/>
        <w:jc w:val="both"/>
        <w:rPr>
          <w:rFonts w:ascii="Arial" w:hAnsi="Arial" w:cs="Arial"/>
        </w:rPr>
      </w:pPr>
      <w:r w:rsidRPr="005D7253">
        <w:rPr>
          <w:rFonts w:ascii="Arial" w:hAnsi="Arial" w:cs="Arial"/>
        </w:rPr>
        <w:t xml:space="preserve">a) </w:t>
      </w:r>
      <w:r w:rsidR="00385FA5">
        <w:rPr>
          <w:rFonts w:ascii="Arial" w:hAnsi="Arial" w:cs="Arial"/>
        </w:rPr>
        <w:tab/>
      </w:r>
      <w:r w:rsidRPr="005D7253">
        <w:rPr>
          <w:rFonts w:ascii="Arial" w:hAnsi="Arial" w:cs="Arial"/>
        </w:rPr>
        <w:t>Terrenos de dominio privado del Estado y de propiedad privada o de comunidades campesinas de la costa ocupados por posesiones informales al 31 de diciembre de 2004 sobre los que habrá que efectuar previamente, el respectivo saneamiento físico legal conforme lo establece la Ley Nº 27972, Ley Orgánica de Municipalidades y la presente Ley.</w:t>
      </w:r>
    </w:p>
    <w:p w:rsidR="00A76052" w:rsidRPr="005D7253" w:rsidRDefault="00A76052" w:rsidP="00385FA5">
      <w:pPr>
        <w:spacing w:after="0" w:line="240" w:lineRule="auto"/>
        <w:ind w:left="993" w:hanging="709"/>
        <w:jc w:val="both"/>
        <w:rPr>
          <w:rFonts w:ascii="Arial" w:hAnsi="Arial" w:cs="Arial"/>
        </w:rPr>
      </w:pPr>
    </w:p>
    <w:p w:rsidR="00A76052" w:rsidRPr="005D7253" w:rsidRDefault="00A76052" w:rsidP="00385FA5">
      <w:pPr>
        <w:spacing w:after="0" w:line="240" w:lineRule="auto"/>
        <w:ind w:left="993" w:hanging="709"/>
        <w:jc w:val="both"/>
        <w:rPr>
          <w:rFonts w:ascii="Arial" w:hAnsi="Arial" w:cs="Arial"/>
        </w:rPr>
      </w:pPr>
      <w:r w:rsidRPr="005D7253">
        <w:rPr>
          <w:rFonts w:ascii="Arial" w:hAnsi="Arial" w:cs="Arial"/>
        </w:rPr>
        <w:t xml:space="preserve">b) </w:t>
      </w:r>
      <w:r w:rsidR="00385FA5">
        <w:rPr>
          <w:rFonts w:ascii="Arial" w:hAnsi="Arial" w:cs="Arial"/>
        </w:rPr>
        <w:tab/>
      </w:r>
      <w:r w:rsidRPr="005D7253">
        <w:rPr>
          <w:rFonts w:ascii="Arial" w:hAnsi="Arial" w:cs="Arial"/>
        </w:rPr>
        <w:t>Terrenos de dominio privado del Estado y terrenos de propiedad privada o comunidades campesinas de la costa, que no se encuentren ocupados y tengan aptitud urbana con fines residenciales y de equipamiento complementario; ubicados dentro de los Planes Urbanos o de las áreas de expansión urbana.</w:t>
      </w:r>
    </w:p>
    <w:p w:rsidR="00A76052" w:rsidRPr="005D7253" w:rsidRDefault="00A76052" w:rsidP="00A76052">
      <w:pPr>
        <w:spacing w:after="0" w:line="240" w:lineRule="auto"/>
        <w:jc w:val="both"/>
        <w:rPr>
          <w:rFonts w:ascii="Arial" w:hAnsi="Arial" w:cs="Arial"/>
        </w:rPr>
      </w:pPr>
    </w:p>
    <w:p w:rsidR="00A76052" w:rsidRPr="005D7253" w:rsidRDefault="00A76052" w:rsidP="00A76052">
      <w:pPr>
        <w:spacing w:after="0" w:line="240" w:lineRule="auto"/>
        <w:jc w:val="both"/>
        <w:rPr>
          <w:rFonts w:ascii="Arial" w:hAnsi="Arial" w:cs="Arial"/>
        </w:rPr>
      </w:pPr>
      <w:r w:rsidRPr="005D7253">
        <w:rPr>
          <w:rFonts w:ascii="Arial" w:hAnsi="Arial" w:cs="Arial"/>
        </w:rPr>
        <w:t>Estos proyectos deberán ejecutarse en el marco del Plan Nacional de Vivienda, propiciando la participación de la iniciativa privada y la implementación de programas municipales de vivienda de interés social, tal como lo dispone el inciso 1.4 del artículo 73 y los incisos 1.4.3, 2.2 y el 3.5 del artículo 79 de la Ley Orgánica de Municipalidades.</w:t>
      </w:r>
    </w:p>
    <w:p w:rsidR="00A76052" w:rsidRPr="005D7253" w:rsidRDefault="00A76052" w:rsidP="00A76052">
      <w:pPr>
        <w:spacing w:after="0" w:line="240" w:lineRule="auto"/>
        <w:jc w:val="both"/>
        <w:rPr>
          <w:rFonts w:ascii="Arial" w:hAnsi="Arial" w:cs="Arial"/>
        </w:rPr>
      </w:pPr>
    </w:p>
    <w:p w:rsidR="00A76052" w:rsidRPr="00385FA5" w:rsidRDefault="00A76052" w:rsidP="00A76052">
      <w:pPr>
        <w:spacing w:after="0" w:line="240" w:lineRule="auto"/>
        <w:jc w:val="both"/>
        <w:rPr>
          <w:rFonts w:ascii="Arial" w:hAnsi="Arial" w:cs="Arial"/>
          <w:b/>
        </w:rPr>
      </w:pPr>
      <w:r w:rsidRPr="00385FA5">
        <w:rPr>
          <w:rFonts w:ascii="Arial" w:hAnsi="Arial" w:cs="Arial"/>
          <w:b/>
        </w:rPr>
        <w:t>Artículo 17.- De los proyectos sobre terrenos ocupados por posesiones informales</w:t>
      </w:r>
    </w:p>
    <w:p w:rsidR="00A76052" w:rsidRPr="005D7253" w:rsidRDefault="00A76052" w:rsidP="00A76052">
      <w:pPr>
        <w:spacing w:after="0" w:line="240" w:lineRule="auto"/>
        <w:jc w:val="both"/>
        <w:rPr>
          <w:rFonts w:ascii="Arial" w:hAnsi="Arial" w:cs="Arial"/>
        </w:rPr>
      </w:pPr>
      <w:r w:rsidRPr="005D7253">
        <w:rPr>
          <w:rFonts w:ascii="Arial" w:hAnsi="Arial" w:cs="Arial"/>
        </w:rPr>
        <w:t>Los proyectos sobre terrenos ocupados por posesiones informales comprenden el saneamiento físico legal de los predios involucrados, la urbanización con dotación de servicios básicos de agua y desagüe, la construcción o el mejoramiento de viviendas, así como la dotación de servicios urbanos complementarios.</w:t>
      </w:r>
    </w:p>
    <w:p w:rsidR="00A76052" w:rsidRPr="005D7253" w:rsidRDefault="00A76052" w:rsidP="00A76052">
      <w:pPr>
        <w:spacing w:after="0" w:line="240" w:lineRule="auto"/>
        <w:jc w:val="both"/>
        <w:rPr>
          <w:rFonts w:ascii="Arial" w:hAnsi="Arial" w:cs="Arial"/>
        </w:rPr>
      </w:pPr>
    </w:p>
    <w:p w:rsidR="00A76052" w:rsidRPr="005D7253" w:rsidRDefault="00A76052" w:rsidP="00A76052">
      <w:pPr>
        <w:spacing w:after="0" w:line="240" w:lineRule="auto"/>
        <w:jc w:val="both"/>
        <w:rPr>
          <w:rFonts w:ascii="Arial" w:hAnsi="Arial" w:cs="Arial"/>
        </w:rPr>
      </w:pPr>
      <w:r w:rsidRPr="005D7253">
        <w:rPr>
          <w:rFonts w:ascii="Arial" w:hAnsi="Arial" w:cs="Arial"/>
        </w:rPr>
        <w:t>Para el efecto, las municipalidades provinciales en coordinación con la comunidad elaborarán los Programas Municipales de Vivienda como parte del Plan Integral de Desarrollo Concertado y en concordancia con el Plan Nacional de Vivienda.</w:t>
      </w:r>
    </w:p>
    <w:p w:rsidR="00A76052" w:rsidRPr="005D7253" w:rsidRDefault="00A76052" w:rsidP="00A76052">
      <w:pPr>
        <w:spacing w:after="0" w:line="240" w:lineRule="auto"/>
        <w:jc w:val="both"/>
        <w:rPr>
          <w:rFonts w:ascii="Arial" w:hAnsi="Arial" w:cs="Arial"/>
        </w:rPr>
      </w:pPr>
    </w:p>
    <w:p w:rsidR="00A76052" w:rsidRPr="005D7253" w:rsidRDefault="00A76052" w:rsidP="00A76052">
      <w:pPr>
        <w:spacing w:after="0" w:line="240" w:lineRule="auto"/>
        <w:jc w:val="both"/>
        <w:rPr>
          <w:rFonts w:ascii="Arial" w:hAnsi="Arial" w:cs="Arial"/>
        </w:rPr>
      </w:pPr>
      <w:r w:rsidRPr="005D7253">
        <w:rPr>
          <w:rFonts w:ascii="Arial" w:hAnsi="Arial" w:cs="Arial"/>
        </w:rPr>
        <w:t>El financiamiento de estos proyectos provendrá de los presupuestos participativos de los respectivos gobiernos regionales y locales, de la asignación que realice el Gobierno Central y de las líneas de financiamiento que para la ejecución de obras deberá implementar el Banco de Materiales S.A.C.</w:t>
      </w:r>
    </w:p>
    <w:p w:rsidR="00A76052" w:rsidRPr="005D7253" w:rsidRDefault="00A76052" w:rsidP="00A76052">
      <w:pPr>
        <w:spacing w:after="0" w:line="240" w:lineRule="auto"/>
        <w:jc w:val="both"/>
        <w:rPr>
          <w:rFonts w:ascii="Arial" w:hAnsi="Arial" w:cs="Arial"/>
        </w:rPr>
      </w:pPr>
    </w:p>
    <w:p w:rsidR="00A76052" w:rsidRPr="00385FA5" w:rsidRDefault="00A76052" w:rsidP="00A76052">
      <w:pPr>
        <w:spacing w:after="0" w:line="240" w:lineRule="auto"/>
        <w:jc w:val="both"/>
        <w:rPr>
          <w:rFonts w:ascii="Arial" w:hAnsi="Arial" w:cs="Arial"/>
          <w:b/>
        </w:rPr>
      </w:pPr>
      <w:r w:rsidRPr="00385FA5">
        <w:rPr>
          <w:rFonts w:ascii="Arial" w:hAnsi="Arial" w:cs="Arial"/>
          <w:b/>
        </w:rPr>
        <w:t>Artículo 18.- De los proyectos sobre terrenos de libre disponibilidad</w:t>
      </w:r>
    </w:p>
    <w:p w:rsidR="00A76052" w:rsidRPr="005D7253" w:rsidRDefault="00A76052" w:rsidP="00A76052">
      <w:pPr>
        <w:spacing w:after="0" w:line="240" w:lineRule="auto"/>
        <w:jc w:val="both"/>
        <w:rPr>
          <w:rFonts w:ascii="Arial" w:hAnsi="Arial" w:cs="Arial"/>
        </w:rPr>
      </w:pPr>
      <w:r w:rsidRPr="005D7253">
        <w:rPr>
          <w:rFonts w:ascii="Arial" w:hAnsi="Arial" w:cs="Arial"/>
        </w:rPr>
        <w:t>Los proyectos sobre terrenos de libre disponibilidad serán destinados a la Producción Urbana Primaria - PUP que comprende la habilitación, la urbanización de terrenos de propiedad del Estado o aquellos de propiedad privada o de comunidades campesinas de la costa aportados voluntariamente por sus propietarios al Estado; y su transferencia a los promotores privados vía subasta pública del área útil resultante (macrolotes) para que sobre ella diseñen, promuevan, construyan y vendan, a su riesgo, costo y beneficio, viviendas sociales y servicios urbanos complementarios.</w:t>
      </w:r>
    </w:p>
    <w:p w:rsidR="00A76052" w:rsidRPr="005D7253" w:rsidRDefault="00A76052" w:rsidP="00A76052">
      <w:pPr>
        <w:spacing w:after="0" w:line="240" w:lineRule="auto"/>
        <w:jc w:val="both"/>
        <w:rPr>
          <w:rFonts w:ascii="Arial" w:hAnsi="Arial" w:cs="Arial"/>
        </w:rPr>
      </w:pPr>
    </w:p>
    <w:p w:rsidR="00A76052" w:rsidRPr="005D7253" w:rsidRDefault="00A76052" w:rsidP="00A76052">
      <w:pPr>
        <w:spacing w:after="0" w:line="240" w:lineRule="auto"/>
        <w:jc w:val="both"/>
        <w:rPr>
          <w:rFonts w:ascii="Arial" w:hAnsi="Arial" w:cs="Arial"/>
        </w:rPr>
      </w:pPr>
      <w:r w:rsidRPr="005D7253">
        <w:rPr>
          <w:rFonts w:ascii="Arial" w:hAnsi="Arial" w:cs="Arial"/>
        </w:rPr>
        <w:t>Los gobiernos regionales y locales podrán desarrollar sobre los terrenos de su propiedad proyectos de vivienda bajo la modalidad descrita en el párrafo precedente.</w:t>
      </w:r>
    </w:p>
    <w:p w:rsidR="00A76052" w:rsidRPr="005D7253" w:rsidRDefault="00A76052" w:rsidP="00A76052">
      <w:pPr>
        <w:spacing w:after="0" w:line="240" w:lineRule="auto"/>
        <w:jc w:val="both"/>
        <w:rPr>
          <w:rFonts w:ascii="Arial" w:hAnsi="Arial" w:cs="Arial"/>
        </w:rPr>
      </w:pPr>
    </w:p>
    <w:p w:rsidR="00A76052" w:rsidRPr="005D7253" w:rsidRDefault="00A76052" w:rsidP="00A76052">
      <w:pPr>
        <w:spacing w:after="0" w:line="240" w:lineRule="auto"/>
        <w:jc w:val="both"/>
        <w:rPr>
          <w:rFonts w:ascii="Arial" w:hAnsi="Arial" w:cs="Arial"/>
        </w:rPr>
      </w:pPr>
      <w:r w:rsidRPr="005D7253">
        <w:rPr>
          <w:rFonts w:ascii="Arial" w:hAnsi="Arial" w:cs="Arial"/>
        </w:rPr>
        <w:t>La localización de estos proyectos deberá coadyuvar a la reorientación o afianzamiento de las tendencias de ocupación del suelo en concordancia con los Planes Municipales de Desarrollo Urbano, o en su ausencia, hacia áreas adecuadas y seguras para el crecimiento racional de los centros de población.</w:t>
      </w:r>
    </w:p>
    <w:p w:rsidR="00A76052" w:rsidRPr="005D7253" w:rsidRDefault="00A76052" w:rsidP="00A76052">
      <w:pPr>
        <w:spacing w:after="0" w:line="240" w:lineRule="auto"/>
        <w:jc w:val="both"/>
        <w:rPr>
          <w:rFonts w:ascii="Arial" w:hAnsi="Arial" w:cs="Arial"/>
        </w:rPr>
      </w:pPr>
    </w:p>
    <w:p w:rsidR="00A76052" w:rsidRPr="005D7253" w:rsidRDefault="00A76052" w:rsidP="00A76052">
      <w:pPr>
        <w:spacing w:after="0" w:line="240" w:lineRule="auto"/>
        <w:jc w:val="both"/>
        <w:rPr>
          <w:rFonts w:ascii="Arial" w:hAnsi="Arial" w:cs="Arial"/>
        </w:rPr>
      </w:pPr>
      <w:r w:rsidRPr="005D7253">
        <w:rPr>
          <w:rFonts w:ascii="Arial" w:hAnsi="Arial" w:cs="Arial"/>
        </w:rPr>
        <w:t>El financiamiento de estos proyectos provendrá de los recursos de la Operación de Endeudamiento Externo aprobada por Decreto Supremo Nº 089-2003-EF, destinada a financiar parcialmente el Programa de Apoyo al Sector Habitacional - PASH, de los que asigne el Gobierno Central, de los generados por la venta de los macrolotes de cada proyecto y de líneas de financiamiento que para el efecto deberá implementar el Banco de Materiales S.A.C. Los proyectos que se desarrollen sobre terrenos de gobiernos regionales o locales tendrán prioridad en la asignación de recursos para su financiamiento.</w:t>
      </w:r>
    </w:p>
    <w:p w:rsidR="00A76052" w:rsidRPr="005D7253" w:rsidRDefault="00A76052" w:rsidP="00A76052">
      <w:pPr>
        <w:spacing w:after="0" w:line="240" w:lineRule="auto"/>
        <w:jc w:val="both"/>
        <w:rPr>
          <w:rFonts w:ascii="Arial" w:hAnsi="Arial" w:cs="Arial"/>
        </w:rPr>
      </w:pPr>
    </w:p>
    <w:p w:rsidR="00A76052" w:rsidRPr="00385FA5" w:rsidRDefault="00A76052" w:rsidP="00A76052">
      <w:pPr>
        <w:spacing w:after="0" w:line="240" w:lineRule="auto"/>
        <w:jc w:val="both"/>
        <w:rPr>
          <w:rFonts w:ascii="Arial" w:hAnsi="Arial" w:cs="Arial"/>
          <w:b/>
        </w:rPr>
      </w:pPr>
      <w:r w:rsidRPr="00385FA5">
        <w:rPr>
          <w:rFonts w:ascii="Arial" w:hAnsi="Arial" w:cs="Arial"/>
          <w:b/>
        </w:rPr>
        <w:t>Artículo 19.- De los beneficiarios</w:t>
      </w:r>
    </w:p>
    <w:p w:rsidR="00385FA5" w:rsidRDefault="00385FA5" w:rsidP="00A76052">
      <w:pPr>
        <w:spacing w:after="0" w:line="240" w:lineRule="auto"/>
        <w:jc w:val="both"/>
        <w:rPr>
          <w:rFonts w:ascii="Arial" w:hAnsi="Arial" w:cs="Arial"/>
        </w:rPr>
      </w:pPr>
    </w:p>
    <w:p w:rsidR="00A76052" w:rsidRPr="005D7253" w:rsidRDefault="00A76052" w:rsidP="00385FA5">
      <w:pPr>
        <w:spacing w:after="0" w:line="240" w:lineRule="auto"/>
        <w:ind w:left="1134" w:hanging="850"/>
        <w:jc w:val="both"/>
        <w:rPr>
          <w:rFonts w:ascii="Arial" w:hAnsi="Arial" w:cs="Arial"/>
        </w:rPr>
      </w:pPr>
      <w:r w:rsidRPr="005D7253">
        <w:rPr>
          <w:rFonts w:ascii="Arial" w:hAnsi="Arial" w:cs="Arial"/>
        </w:rPr>
        <w:t xml:space="preserve">19.1 </w:t>
      </w:r>
      <w:r w:rsidR="00385FA5">
        <w:rPr>
          <w:rFonts w:ascii="Arial" w:hAnsi="Arial" w:cs="Arial"/>
        </w:rPr>
        <w:tab/>
      </w:r>
      <w:r w:rsidRPr="005D7253">
        <w:rPr>
          <w:rFonts w:ascii="Arial" w:hAnsi="Arial" w:cs="Arial"/>
        </w:rPr>
        <w:t>Los beneficiarios de los proyectos a ejecutar sobre terrenos de libre disponibilidad serán preferentemente los postulantes que accedan al Bono Familiar Habitacional del Programa Techo Propio, en aquellas ciudades en las que no existe una oferta previa de vivienda social.</w:t>
      </w:r>
    </w:p>
    <w:p w:rsidR="00A76052" w:rsidRPr="005D7253" w:rsidRDefault="00A76052" w:rsidP="00385FA5">
      <w:pPr>
        <w:spacing w:after="0" w:line="240" w:lineRule="auto"/>
        <w:ind w:left="1134" w:hanging="850"/>
        <w:jc w:val="both"/>
        <w:rPr>
          <w:rFonts w:ascii="Arial" w:hAnsi="Arial" w:cs="Arial"/>
        </w:rPr>
      </w:pPr>
    </w:p>
    <w:p w:rsidR="00A76052" w:rsidRPr="005D7253" w:rsidRDefault="00A76052" w:rsidP="00385FA5">
      <w:pPr>
        <w:spacing w:after="0" w:line="240" w:lineRule="auto"/>
        <w:ind w:left="1134" w:hanging="850"/>
        <w:jc w:val="both"/>
        <w:rPr>
          <w:rFonts w:ascii="Arial" w:hAnsi="Arial" w:cs="Arial"/>
        </w:rPr>
      </w:pPr>
      <w:r w:rsidRPr="005D7253">
        <w:rPr>
          <w:rFonts w:ascii="Arial" w:hAnsi="Arial" w:cs="Arial"/>
        </w:rPr>
        <w:t xml:space="preserve">19.2 </w:t>
      </w:r>
      <w:r w:rsidR="00385FA5">
        <w:rPr>
          <w:rFonts w:ascii="Arial" w:hAnsi="Arial" w:cs="Arial"/>
        </w:rPr>
        <w:tab/>
      </w:r>
      <w:r w:rsidRPr="005D7253">
        <w:rPr>
          <w:rFonts w:ascii="Arial" w:hAnsi="Arial" w:cs="Arial"/>
        </w:rPr>
        <w:t>Los beneficiarios de los proyectos a ejecutar sobre terrenos ocupados, serán los comprendidos en el respectivo Programa Municipal de Vivienda a que se refiere el artículo 17 de la presente Ley, quienes obtendrán por única vez el beneficio de ser adjudicado con un Título de Propiedad y una solución de vivienda, preferentemente en el marco del Programa Techo Propio, siempre que cumplan con los requisitos que disponga el reglamento de la presente Ley.</w:t>
      </w:r>
    </w:p>
    <w:p w:rsidR="00A76052" w:rsidRPr="005D7253" w:rsidRDefault="00A76052" w:rsidP="00385FA5">
      <w:pPr>
        <w:spacing w:after="0" w:line="240" w:lineRule="auto"/>
        <w:ind w:left="1134" w:hanging="850"/>
        <w:jc w:val="both"/>
        <w:rPr>
          <w:rFonts w:ascii="Arial" w:hAnsi="Arial" w:cs="Arial"/>
        </w:rPr>
      </w:pPr>
    </w:p>
    <w:p w:rsidR="00A76052" w:rsidRPr="005D7253" w:rsidRDefault="00A76052" w:rsidP="00385FA5">
      <w:pPr>
        <w:spacing w:after="0" w:line="240" w:lineRule="auto"/>
        <w:ind w:left="1134" w:hanging="850"/>
        <w:jc w:val="both"/>
        <w:rPr>
          <w:rFonts w:ascii="Arial" w:hAnsi="Arial" w:cs="Arial"/>
        </w:rPr>
      </w:pPr>
      <w:r w:rsidRPr="005D7253">
        <w:rPr>
          <w:rFonts w:ascii="Arial" w:hAnsi="Arial" w:cs="Arial"/>
        </w:rPr>
        <w:t xml:space="preserve">19.3 </w:t>
      </w:r>
      <w:r w:rsidR="00385FA5">
        <w:rPr>
          <w:rFonts w:ascii="Arial" w:hAnsi="Arial" w:cs="Arial"/>
        </w:rPr>
        <w:tab/>
      </w:r>
      <w:r w:rsidRPr="005D7253">
        <w:rPr>
          <w:rFonts w:ascii="Arial" w:hAnsi="Arial" w:cs="Arial"/>
        </w:rPr>
        <w:t>Los posesionarios de terrenos ubicados en zonas de riesgo declaradas por Defensa Civil, en secciones de vías y servidumbres de líneas de alta tensión.</w:t>
      </w:r>
    </w:p>
    <w:p w:rsidR="00A76052" w:rsidRPr="005D7253" w:rsidRDefault="00A76052" w:rsidP="00385FA5">
      <w:pPr>
        <w:spacing w:after="0" w:line="240" w:lineRule="auto"/>
        <w:ind w:left="1134" w:hanging="850"/>
        <w:jc w:val="both"/>
        <w:rPr>
          <w:rFonts w:ascii="Arial" w:hAnsi="Arial" w:cs="Arial"/>
        </w:rPr>
      </w:pPr>
    </w:p>
    <w:p w:rsidR="00A76052" w:rsidRPr="005D7253" w:rsidRDefault="00A76052" w:rsidP="00385FA5">
      <w:pPr>
        <w:spacing w:after="0" w:line="240" w:lineRule="auto"/>
        <w:ind w:left="1134" w:hanging="850"/>
        <w:jc w:val="both"/>
        <w:rPr>
          <w:rFonts w:ascii="Arial" w:hAnsi="Arial" w:cs="Arial"/>
        </w:rPr>
      </w:pPr>
      <w:r w:rsidRPr="005D7253">
        <w:rPr>
          <w:rFonts w:ascii="Arial" w:hAnsi="Arial" w:cs="Arial"/>
        </w:rPr>
        <w:t xml:space="preserve">19.4 </w:t>
      </w:r>
      <w:r w:rsidR="00385FA5">
        <w:rPr>
          <w:rFonts w:ascii="Arial" w:hAnsi="Arial" w:cs="Arial"/>
        </w:rPr>
        <w:tab/>
      </w:r>
      <w:r w:rsidRPr="005D7253">
        <w:rPr>
          <w:rFonts w:ascii="Arial" w:hAnsi="Arial" w:cs="Arial"/>
        </w:rPr>
        <w:t>Los excedentes de la remodelación y calificación para ser beneficiario de los proyectos a efectuarse en el marco de la presente Ley.</w:t>
      </w:r>
    </w:p>
    <w:p w:rsidR="00A76052" w:rsidRPr="005D7253" w:rsidRDefault="00A76052" w:rsidP="00A76052">
      <w:pPr>
        <w:spacing w:after="0" w:line="240" w:lineRule="auto"/>
        <w:jc w:val="both"/>
        <w:rPr>
          <w:rFonts w:ascii="Arial" w:hAnsi="Arial" w:cs="Arial"/>
        </w:rPr>
      </w:pPr>
    </w:p>
    <w:p w:rsidR="00A76052" w:rsidRPr="00385FA5" w:rsidRDefault="00A76052" w:rsidP="00A76052">
      <w:pPr>
        <w:spacing w:after="0" w:line="240" w:lineRule="auto"/>
        <w:jc w:val="both"/>
        <w:rPr>
          <w:rFonts w:ascii="Arial" w:hAnsi="Arial" w:cs="Arial"/>
          <w:b/>
        </w:rPr>
      </w:pPr>
      <w:r w:rsidRPr="00385FA5">
        <w:rPr>
          <w:rFonts w:ascii="Arial" w:hAnsi="Arial" w:cs="Arial"/>
          <w:b/>
        </w:rPr>
        <w:t>Artículo 20.- De la titularidad de los predios</w:t>
      </w:r>
    </w:p>
    <w:p w:rsidR="00A76052" w:rsidRPr="005D7253" w:rsidRDefault="00A76052" w:rsidP="00A76052">
      <w:pPr>
        <w:spacing w:after="0" w:line="240" w:lineRule="auto"/>
        <w:jc w:val="both"/>
        <w:rPr>
          <w:rFonts w:ascii="Arial" w:hAnsi="Arial" w:cs="Arial"/>
        </w:rPr>
      </w:pPr>
      <w:r w:rsidRPr="005D7253">
        <w:rPr>
          <w:rFonts w:ascii="Arial" w:hAnsi="Arial" w:cs="Arial"/>
        </w:rPr>
        <w:t>La SBN asumirá la titularidad de los terrenos de propiedad del Estado de libre disponibilidad que sean identificados y seleccionados por el Ministerio de Vivienda, Construcción y Saneamiento para la ejecución de proyectos de vivienda social, con excepción de los terrenos de propiedad regional y local.</w:t>
      </w:r>
    </w:p>
    <w:p w:rsidR="00A76052" w:rsidRPr="005D7253" w:rsidRDefault="00A76052" w:rsidP="00A76052">
      <w:pPr>
        <w:spacing w:after="0" w:line="240" w:lineRule="auto"/>
        <w:jc w:val="both"/>
        <w:rPr>
          <w:rFonts w:ascii="Arial" w:hAnsi="Arial" w:cs="Arial"/>
        </w:rPr>
      </w:pPr>
    </w:p>
    <w:p w:rsidR="00A76052" w:rsidRPr="005D7253" w:rsidRDefault="00A76052" w:rsidP="00A76052">
      <w:pPr>
        <w:spacing w:after="0" w:line="240" w:lineRule="auto"/>
        <w:jc w:val="both"/>
        <w:rPr>
          <w:rFonts w:ascii="Arial" w:hAnsi="Arial" w:cs="Arial"/>
        </w:rPr>
      </w:pPr>
      <w:r w:rsidRPr="005D7253">
        <w:rPr>
          <w:rFonts w:ascii="Arial" w:hAnsi="Arial" w:cs="Arial"/>
        </w:rPr>
        <w:t>En el caso de los terrenos de propiedad privada o de comunidades campesinas de la costa que sean ofrecidos por sus propietarios y seleccionados por el Ministerio de Vivienda, Construcción y Saneamiento para la ejecución de estos proyectos, la transferencia de la propiedad a los promotores privados será definida por el reglamento de la presente Ley.</w:t>
      </w:r>
    </w:p>
    <w:p w:rsidR="00A76052" w:rsidRPr="005D7253" w:rsidRDefault="00A76052" w:rsidP="00A76052">
      <w:pPr>
        <w:spacing w:after="0" w:line="240" w:lineRule="auto"/>
        <w:jc w:val="both"/>
        <w:rPr>
          <w:rFonts w:ascii="Arial" w:hAnsi="Arial" w:cs="Arial"/>
        </w:rPr>
      </w:pPr>
    </w:p>
    <w:p w:rsidR="00A76052" w:rsidRPr="00385FA5" w:rsidRDefault="00A76052" w:rsidP="00A76052">
      <w:pPr>
        <w:spacing w:after="0" w:line="240" w:lineRule="auto"/>
        <w:jc w:val="both"/>
        <w:rPr>
          <w:rFonts w:ascii="Arial" w:hAnsi="Arial" w:cs="Arial"/>
          <w:b/>
        </w:rPr>
      </w:pPr>
      <w:r w:rsidRPr="00385FA5">
        <w:rPr>
          <w:rFonts w:ascii="Arial" w:hAnsi="Arial" w:cs="Arial"/>
          <w:b/>
        </w:rPr>
        <w:t>Artículo 21.- De la expropiación de los terrenos</w:t>
      </w:r>
    </w:p>
    <w:p w:rsidR="00A76052" w:rsidRPr="005D7253" w:rsidRDefault="00A76052" w:rsidP="00A76052">
      <w:pPr>
        <w:spacing w:after="0" w:line="240" w:lineRule="auto"/>
        <w:jc w:val="both"/>
        <w:rPr>
          <w:rFonts w:ascii="Arial" w:hAnsi="Arial" w:cs="Arial"/>
        </w:rPr>
      </w:pPr>
      <w:r w:rsidRPr="005D7253">
        <w:rPr>
          <w:rFonts w:ascii="Arial" w:hAnsi="Arial" w:cs="Arial"/>
        </w:rPr>
        <w:t>Declárase de necesidad pública, de conformidad con lo establecido en el numeral 6) del artículo 96 de la Ley Nº 27972, Ley Orgánica de Municipalidades, la expropiación y posterior titulación en beneficio de los pobladores de los terrenos ocupados por posesiones informales al 31 de diciembre de 2004.</w:t>
      </w:r>
    </w:p>
    <w:p w:rsidR="00A76052" w:rsidRPr="005D7253" w:rsidRDefault="00A76052" w:rsidP="00A76052">
      <w:pPr>
        <w:spacing w:after="0" w:line="240" w:lineRule="auto"/>
        <w:jc w:val="both"/>
        <w:rPr>
          <w:rFonts w:ascii="Arial" w:hAnsi="Arial" w:cs="Arial"/>
        </w:rPr>
      </w:pPr>
    </w:p>
    <w:p w:rsidR="00A76052" w:rsidRPr="005D7253" w:rsidRDefault="00A76052" w:rsidP="00A76052">
      <w:pPr>
        <w:spacing w:after="0" w:line="240" w:lineRule="auto"/>
        <w:jc w:val="both"/>
        <w:rPr>
          <w:rFonts w:ascii="Arial" w:hAnsi="Arial" w:cs="Arial"/>
        </w:rPr>
      </w:pPr>
      <w:r w:rsidRPr="005D7253">
        <w:rPr>
          <w:rFonts w:ascii="Arial" w:hAnsi="Arial" w:cs="Arial"/>
        </w:rPr>
        <w:t>El procedimiento de expropiación para estos fines se rige por las siguientes disposiciones:</w:t>
      </w:r>
    </w:p>
    <w:p w:rsidR="00A76052" w:rsidRPr="00385FA5" w:rsidRDefault="00A76052" w:rsidP="00A76052">
      <w:pPr>
        <w:spacing w:after="0" w:line="240" w:lineRule="auto"/>
        <w:jc w:val="both"/>
        <w:rPr>
          <w:rFonts w:ascii="Arial" w:hAnsi="Arial" w:cs="Arial"/>
          <w:b/>
        </w:rPr>
      </w:pPr>
    </w:p>
    <w:p w:rsidR="00A76052" w:rsidRPr="00385FA5" w:rsidRDefault="00A76052" w:rsidP="00385FA5">
      <w:pPr>
        <w:spacing w:after="0" w:line="240" w:lineRule="auto"/>
        <w:ind w:left="1418" w:hanging="851"/>
        <w:jc w:val="both"/>
        <w:rPr>
          <w:rFonts w:ascii="Arial" w:hAnsi="Arial" w:cs="Arial"/>
          <w:b/>
        </w:rPr>
      </w:pPr>
      <w:r w:rsidRPr="00385FA5">
        <w:rPr>
          <w:rFonts w:ascii="Arial" w:hAnsi="Arial" w:cs="Arial"/>
          <w:b/>
        </w:rPr>
        <w:t xml:space="preserve">21.1 </w:t>
      </w:r>
      <w:r w:rsidR="00385FA5" w:rsidRPr="00385FA5">
        <w:rPr>
          <w:rFonts w:ascii="Arial" w:hAnsi="Arial" w:cs="Arial"/>
          <w:b/>
        </w:rPr>
        <w:tab/>
      </w:r>
      <w:r w:rsidRPr="00385FA5">
        <w:rPr>
          <w:rFonts w:ascii="Arial" w:hAnsi="Arial" w:cs="Arial"/>
          <w:b/>
        </w:rPr>
        <w:t>Del sujeto activo</w:t>
      </w:r>
    </w:p>
    <w:p w:rsidR="00A76052" w:rsidRPr="005D7253" w:rsidRDefault="00A76052" w:rsidP="00385FA5">
      <w:pPr>
        <w:spacing w:after="0" w:line="240" w:lineRule="auto"/>
        <w:ind w:left="1418" w:hanging="2"/>
        <w:jc w:val="both"/>
        <w:rPr>
          <w:rFonts w:ascii="Arial" w:hAnsi="Arial" w:cs="Arial"/>
        </w:rPr>
      </w:pPr>
      <w:r w:rsidRPr="005D7253">
        <w:rPr>
          <w:rFonts w:ascii="Arial" w:hAnsi="Arial" w:cs="Arial"/>
        </w:rPr>
        <w:t xml:space="preserve">La expropiación es requerida por el Gobierno Nacional a través del Ministerio de Vivienda, </w:t>
      </w:r>
      <w:r w:rsidR="00385FA5">
        <w:rPr>
          <w:rFonts w:ascii="Arial" w:hAnsi="Arial" w:cs="Arial"/>
        </w:rPr>
        <w:t>C</w:t>
      </w:r>
      <w:r w:rsidRPr="005D7253">
        <w:rPr>
          <w:rFonts w:ascii="Arial" w:hAnsi="Arial" w:cs="Arial"/>
        </w:rPr>
        <w:t>onstrucción y Saneamiento o por el Organismo de Formalización de la Propiedad Informal (Cofopri) o los gobiernos locales a través de las municipalidades provinciales correspondientes.</w:t>
      </w:r>
    </w:p>
    <w:p w:rsidR="00A76052" w:rsidRPr="005D7253" w:rsidRDefault="00A76052" w:rsidP="00385FA5">
      <w:pPr>
        <w:spacing w:after="0" w:line="240" w:lineRule="auto"/>
        <w:ind w:left="1418" w:hanging="1134"/>
        <w:jc w:val="both"/>
        <w:rPr>
          <w:rFonts w:ascii="Arial" w:hAnsi="Arial" w:cs="Arial"/>
        </w:rPr>
      </w:pPr>
    </w:p>
    <w:p w:rsidR="00A76052" w:rsidRPr="005D7253" w:rsidRDefault="00A76052" w:rsidP="00385FA5">
      <w:pPr>
        <w:spacing w:after="0" w:line="240" w:lineRule="auto"/>
        <w:ind w:left="1418" w:hanging="1134"/>
        <w:jc w:val="both"/>
        <w:rPr>
          <w:rFonts w:ascii="Arial" w:hAnsi="Arial" w:cs="Arial"/>
        </w:rPr>
      </w:pPr>
      <w:r w:rsidRPr="005D7253">
        <w:rPr>
          <w:rFonts w:ascii="Arial" w:hAnsi="Arial" w:cs="Arial"/>
        </w:rPr>
        <w:tab/>
        <w:t>La municipalidad provincial o el Cofopri, este último durante el régimen extraordinario de formalización, actúa como sujeto activo de la expropiación.</w:t>
      </w:r>
    </w:p>
    <w:p w:rsidR="00A76052" w:rsidRPr="005D7253" w:rsidRDefault="00A76052" w:rsidP="00385FA5">
      <w:pPr>
        <w:spacing w:after="0" w:line="240" w:lineRule="auto"/>
        <w:ind w:left="1418" w:hanging="1134"/>
        <w:jc w:val="both"/>
        <w:rPr>
          <w:rFonts w:ascii="Arial" w:hAnsi="Arial" w:cs="Arial"/>
        </w:rPr>
      </w:pPr>
    </w:p>
    <w:p w:rsidR="00A76052" w:rsidRPr="00CA1E07" w:rsidRDefault="00A76052" w:rsidP="00CA1E07">
      <w:pPr>
        <w:spacing w:after="0" w:line="240" w:lineRule="auto"/>
        <w:ind w:left="1418" w:hanging="851"/>
        <w:jc w:val="both"/>
        <w:rPr>
          <w:rFonts w:ascii="Arial" w:hAnsi="Arial" w:cs="Arial"/>
          <w:b/>
        </w:rPr>
      </w:pPr>
      <w:r w:rsidRPr="00CA1E07">
        <w:rPr>
          <w:rFonts w:ascii="Arial" w:hAnsi="Arial" w:cs="Arial"/>
          <w:b/>
        </w:rPr>
        <w:t xml:space="preserve">21.2 </w:t>
      </w:r>
      <w:r w:rsidR="00385FA5" w:rsidRPr="00CA1E07">
        <w:rPr>
          <w:rFonts w:ascii="Arial" w:hAnsi="Arial" w:cs="Arial"/>
          <w:b/>
        </w:rPr>
        <w:tab/>
      </w:r>
      <w:r w:rsidRPr="00CA1E07">
        <w:rPr>
          <w:rFonts w:ascii="Arial" w:hAnsi="Arial" w:cs="Arial"/>
          <w:b/>
        </w:rPr>
        <w:t>De los beneficiarios</w:t>
      </w:r>
    </w:p>
    <w:p w:rsidR="00A76052" w:rsidRPr="005D7253" w:rsidRDefault="00A76052" w:rsidP="00385FA5">
      <w:pPr>
        <w:spacing w:after="0" w:line="240" w:lineRule="auto"/>
        <w:ind w:left="1418" w:hanging="1134"/>
        <w:jc w:val="both"/>
        <w:rPr>
          <w:rFonts w:ascii="Arial" w:hAnsi="Arial" w:cs="Arial"/>
        </w:rPr>
      </w:pPr>
      <w:r w:rsidRPr="005D7253">
        <w:rPr>
          <w:rFonts w:ascii="Arial" w:hAnsi="Arial" w:cs="Arial"/>
        </w:rPr>
        <w:tab/>
        <w:t>Para efectos de la presente Ley tienen la calidad de beneficiarios los ocupantes de las posesiones informales comprendidas en los terrenos materia de expropiación.</w:t>
      </w:r>
    </w:p>
    <w:p w:rsidR="00A76052" w:rsidRPr="005D7253" w:rsidRDefault="00A76052" w:rsidP="00385FA5">
      <w:pPr>
        <w:spacing w:after="0" w:line="240" w:lineRule="auto"/>
        <w:ind w:left="1418" w:hanging="1134"/>
        <w:jc w:val="both"/>
        <w:rPr>
          <w:rFonts w:ascii="Arial" w:hAnsi="Arial" w:cs="Arial"/>
        </w:rPr>
      </w:pPr>
    </w:p>
    <w:p w:rsidR="00A76052" w:rsidRPr="00CA1E07" w:rsidRDefault="00A76052" w:rsidP="00CA1E07">
      <w:pPr>
        <w:spacing w:after="0" w:line="240" w:lineRule="auto"/>
        <w:ind w:left="1418" w:hanging="851"/>
        <w:jc w:val="both"/>
        <w:rPr>
          <w:rFonts w:ascii="Arial" w:hAnsi="Arial" w:cs="Arial"/>
          <w:b/>
        </w:rPr>
      </w:pPr>
      <w:r w:rsidRPr="00CA1E07">
        <w:rPr>
          <w:rFonts w:ascii="Arial" w:hAnsi="Arial" w:cs="Arial"/>
          <w:b/>
        </w:rPr>
        <w:t xml:space="preserve">21.3 </w:t>
      </w:r>
      <w:r w:rsidR="00385FA5" w:rsidRPr="00CA1E07">
        <w:rPr>
          <w:rFonts w:ascii="Arial" w:hAnsi="Arial" w:cs="Arial"/>
          <w:b/>
        </w:rPr>
        <w:tab/>
      </w:r>
      <w:r w:rsidRPr="00CA1E07">
        <w:rPr>
          <w:rFonts w:ascii="Arial" w:hAnsi="Arial" w:cs="Arial"/>
          <w:b/>
        </w:rPr>
        <w:t>Restricciones</w:t>
      </w:r>
    </w:p>
    <w:p w:rsidR="00A76052" w:rsidRPr="005D7253" w:rsidRDefault="00A76052" w:rsidP="00385FA5">
      <w:pPr>
        <w:spacing w:after="0" w:line="240" w:lineRule="auto"/>
        <w:ind w:left="1418" w:hanging="1134"/>
        <w:jc w:val="both"/>
        <w:rPr>
          <w:rFonts w:ascii="Arial" w:hAnsi="Arial" w:cs="Arial"/>
        </w:rPr>
      </w:pPr>
      <w:r w:rsidRPr="005D7253">
        <w:rPr>
          <w:rFonts w:ascii="Arial" w:hAnsi="Arial" w:cs="Arial"/>
        </w:rPr>
        <w:tab/>
        <w:t>El procedimiento de expropiación procede siempre que no sea factible ejecutar un procedimiento de declaración de propiedad por el ente a cargo de la formalización.</w:t>
      </w:r>
    </w:p>
    <w:p w:rsidR="00A76052" w:rsidRPr="005D7253" w:rsidRDefault="00A76052" w:rsidP="00385FA5">
      <w:pPr>
        <w:spacing w:after="0" w:line="240" w:lineRule="auto"/>
        <w:ind w:left="1418" w:hanging="1134"/>
        <w:jc w:val="both"/>
        <w:rPr>
          <w:rFonts w:ascii="Arial" w:hAnsi="Arial" w:cs="Arial"/>
        </w:rPr>
      </w:pPr>
    </w:p>
    <w:p w:rsidR="00A76052" w:rsidRPr="005D7253" w:rsidRDefault="00A76052" w:rsidP="00385FA5">
      <w:pPr>
        <w:spacing w:after="0" w:line="240" w:lineRule="auto"/>
        <w:ind w:left="1418" w:hanging="1134"/>
        <w:jc w:val="both"/>
        <w:rPr>
          <w:rFonts w:ascii="Arial" w:hAnsi="Arial" w:cs="Arial"/>
        </w:rPr>
      </w:pPr>
      <w:r w:rsidRPr="005D7253">
        <w:rPr>
          <w:rFonts w:ascii="Arial" w:hAnsi="Arial" w:cs="Arial"/>
        </w:rPr>
        <w:tab/>
        <w:t>En ningún caso se ejecutan procesos de expropiación y formalización de terrenos ocupados por posesiones informales constituidas con posterioridad al 31 de diciembre de 2004.</w:t>
      </w:r>
    </w:p>
    <w:p w:rsidR="00A76052" w:rsidRPr="005D7253" w:rsidRDefault="00A76052" w:rsidP="00385FA5">
      <w:pPr>
        <w:spacing w:after="0" w:line="240" w:lineRule="auto"/>
        <w:ind w:left="1418" w:hanging="1134"/>
        <w:jc w:val="both"/>
        <w:rPr>
          <w:rFonts w:ascii="Arial" w:hAnsi="Arial" w:cs="Arial"/>
        </w:rPr>
      </w:pPr>
    </w:p>
    <w:p w:rsidR="00A76052" w:rsidRPr="00CA1E07" w:rsidRDefault="00A76052" w:rsidP="00CA1E07">
      <w:pPr>
        <w:spacing w:after="0" w:line="240" w:lineRule="auto"/>
        <w:ind w:left="1418" w:hanging="851"/>
        <w:jc w:val="both"/>
        <w:rPr>
          <w:rFonts w:ascii="Arial" w:hAnsi="Arial" w:cs="Arial"/>
          <w:b/>
        </w:rPr>
      </w:pPr>
      <w:r w:rsidRPr="00CA1E07">
        <w:rPr>
          <w:rFonts w:ascii="Arial" w:hAnsi="Arial" w:cs="Arial"/>
          <w:b/>
        </w:rPr>
        <w:t xml:space="preserve">21.4 </w:t>
      </w:r>
      <w:r w:rsidR="00385FA5" w:rsidRPr="00CA1E07">
        <w:rPr>
          <w:rFonts w:ascii="Arial" w:hAnsi="Arial" w:cs="Arial"/>
          <w:b/>
        </w:rPr>
        <w:tab/>
      </w:r>
      <w:r w:rsidRPr="00CA1E07">
        <w:rPr>
          <w:rFonts w:ascii="Arial" w:hAnsi="Arial" w:cs="Arial"/>
          <w:b/>
        </w:rPr>
        <w:t>Del inicio del procedimiento de expropiación</w:t>
      </w:r>
    </w:p>
    <w:p w:rsidR="00A76052" w:rsidRPr="005D7253" w:rsidRDefault="00A76052" w:rsidP="00CA1E07">
      <w:pPr>
        <w:spacing w:after="0" w:line="240" w:lineRule="auto"/>
        <w:ind w:left="1418" w:hanging="851"/>
        <w:jc w:val="both"/>
        <w:rPr>
          <w:rFonts w:ascii="Arial" w:hAnsi="Arial" w:cs="Arial"/>
        </w:rPr>
      </w:pPr>
      <w:r w:rsidRPr="005D7253">
        <w:rPr>
          <w:rFonts w:ascii="Arial" w:hAnsi="Arial" w:cs="Arial"/>
        </w:rPr>
        <w:tab/>
        <w:t>El procedimiento de expropiación se inicia con la publicación de la ley autoritativa respectiva.</w:t>
      </w:r>
    </w:p>
    <w:p w:rsidR="00A76052" w:rsidRPr="005D7253" w:rsidRDefault="00A76052" w:rsidP="00CA1E07">
      <w:pPr>
        <w:spacing w:after="0" w:line="240" w:lineRule="auto"/>
        <w:ind w:left="1418" w:hanging="851"/>
        <w:jc w:val="both"/>
        <w:rPr>
          <w:rFonts w:ascii="Arial" w:hAnsi="Arial" w:cs="Arial"/>
        </w:rPr>
      </w:pPr>
    </w:p>
    <w:p w:rsidR="00A76052" w:rsidRPr="005D7253" w:rsidRDefault="00A76052" w:rsidP="00CA1E07">
      <w:pPr>
        <w:spacing w:after="0" w:line="240" w:lineRule="auto"/>
        <w:ind w:left="1418" w:hanging="851"/>
        <w:jc w:val="both"/>
        <w:rPr>
          <w:rFonts w:ascii="Arial" w:hAnsi="Arial" w:cs="Arial"/>
        </w:rPr>
      </w:pPr>
      <w:r w:rsidRPr="005D7253">
        <w:rPr>
          <w:rFonts w:ascii="Arial" w:hAnsi="Arial" w:cs="Arial"/>
        </w:rPr>
        <w:tab/>
        <w:t>El inicio del proceso de expropiación se anota preventivamente a solicitud del ente formalizador por el solo mérito de la ley autoritativa y de los planos que se adjuntan para identificar el predio afectado.</w:t>
      </w:r>
    </w:p>
    <w:p w:rsidR="00A76052" w:rsidRPr="005D7253" w:rsidRDefault="00A76052" w:rsidP="00CA1E07">
      <w:pPr>
        <w:spacing w:after="0" w:line="240" w:lineRule="auto"/>
        <w:ind w:left="1418" w:hanging="851"/>
        <w:jc w:val="both"/>
        <w:rPr>
          <w:rFonts w:ascii="Arial" w:hAnsi="Arial" w:cs="Arial"/>
        </w:rPr>
      </w:pPr>
    </w:p>
    <w:p w:rsidR="00A76052" w:rsidRPr="00CA1E07" w:rsidRDefault="00A76052" w:rsidP="00CA1E07">
      <w:pPr>
        <w:spacing w:after="0" w:line="240" w:lineRule="auto"/>
        <w:ind w:left="1418" w:hanging="851"/>
        <w:jc w:val="both"/>
        <w:rPr>
          <w:rFonts w:ascii="Arial" w:hAnsi="Arial" w:cs="Arial"/>
          <w:b/>
        </w:rPr>
      </w:pPr>
      <w:r w:rsidRPr="00CA1E07">
        <w:rPr>
          <w:rFonts w:ascii="Arial" w:hAnsi="Arial" w:cs="Arial"/>
          <w:b/>
        </w:rPr>
        <w:t xml:space="preserve">21.5 </w:t>
      </w:r>
      <w:r w:rsidR="00385FA5" w:rsidRPr="00CA1E07">
        <w:rPr>
          <w:rFonts w:ascii="Arial" w:hAnsi="Arial" w:cs="Arial"/>
          <w:b/>
        </w:rPr>
        <w:tab/>
      </w:r>
      <w:r w:rsidRPr="00CA1E07">
        <w:rPr>
          <w:rFonts w:ascii="Arial" w:hAnsi="Arial" w:cs="Arial"/>
          <w:b/>
        </w:rPr>
        <w:t>Del valor del predio</w:t>
      </w:r>
    </w:p>
    <w:p w:rsidR="00A76052" w:rsidRPr="005D7253" w:rsidRDefault="00A76052" w:rsidP="00CA1E07">
      <w:pPr>
        <w:spacing w:after="0" w:line="240" w:lineRule="auto"/>
        <w:ind w:left="1418" w:hanging="851"/>
        <w:jc w:val="both"/>
        <w:rPr>
          <w:rFonts w:ascii="Arial" w:hAnsi="Arial" w:cs="Arial"/>
        </w:rPr>
      </w:pPr>
      <w:r w:rsidRPr="005D7253">
        <w:rPr>
          <w:rFonts w:ascii="Arial" w:hAnsi="Arial" w:cs="Arial"/>
        </w:rPr>
        <w:tab/>
        <w:t>La valorización del predio materia de expropiación no incluye el valor de las edificaciones efectuadas por los poseedores, los servicios básicos de saneamiento, así como las obras de infraestructura realizadas por el Estado en sus distintos niveles de Gobierno. Las mejoras realizadas por el sujeto pasivo de la expropiación con posterioridad a la publicación de la ley autoritativa de la expropiación no serán consideradas para la valorización.</w:t>
      </w:r>
    </w:p>
    <w:p w:rsidR="00A76052" w:rsidRPr="005D7253" w:rsidRDefault="00A76052" w:rsidP="00CA1E07">
      <w:pPr>
        <w:spacing w:after="0" w:line="240" w:lineRule="auto"/>
        <w:ind w:left="1418" w:hanging="851"/>
        <w:jc w:val="both"/>
        <w:rPr>
          <w:rFonts w:ascii="Arial" w:hAnsi="Arial" w:cs="Arial"/>
        </w:rPr>
      </w:pPr>
    </w:p>
    <w:p w:rsidR="00A76052" w:rsidRPr="00CA1E07" w:rsidRDefault="00A76052" w:rsidP="00CA1E07">
      <w:pPr>
        <w:spacing w:after="0" w:line="240" w:lineRule="auto"/>
        <w:ind w:left="1418" w:hanging="851"/>
        <w:jc w:val="both"/>
        <w:rPr>
          <w:rFonts w:ascii="Arial" w:hAnsi="Arial" w:cs="Arial"/>
          <w:b/>
        </w:rPr>
      </w:pPr>
      <w:r w:rsidRPr="00CA1E07">
        <w:rPr>
          <w:rFonts w:ascii="Arial" w:hAnsi="Arial" w:cs="Arial"/>
          <w:b/>
        </w:rPr>
        <w:t xml:space="preserve">21.6 </w:t>
      </w:r>
      <w:r w:rsidR="00385FA5" w:rsidRPr="00CA1E07">
        <w:rPr>
          <w:rFonts w:ascii="Arial" w:hAnsi="Arial" w:cs="Arial"/>
          <w:b/>
        </w:rPr>
        <w:tab/>
      </w:r>
      <w:r w:rsidRPr="00CA1E07">
        <w:rPr>
          <w:rFonts w:ascii="Arial" w:hAnsi="Arial" w:cs="Arial"/>
          <w:b/>
        </w:rPr>
        <w:t>Del pago de la indemnización justipreciada</w:t>
      </w:r>
    </w:p>
    <w:p w:rsidR="00A76052" w:rsidRPr="005D7253" w:rsidRDefault="00A76052" w:rsidP="00CA1E07">
      <w:pPr>
        <w:spacing w:after="0" w:line="240" w:lineRule="auto"/>
        <w:ind w:left="1418" w:hanging="851"/>
        <w:jc w:val="both"/>
        <w:rPr>
          <w:rFonts w:ascii="Arial" w:hAnsi="Arial" w:cs="Arial"/>
        </w:rPr>
      </w:pPr>
      <w:r w:rsidRPr="005D7253">
        <w:rPr>
          <w:rFonts w:ascii="Arial" w:hAnsi="Arial" w:cs="Arial"/>
        </w:rPr>
        <w:tab/>
        <w:t>El Estado asume el pago de la indemnización justipreciada, de acuerdo con el valor que fi je el órgano competente para estos fines y, de ser el caso, la autoridad jurisdiccional o arbitral correspondientes.</w:t>
      </w:r>
    </w:p>
    <w:p w:rsidR="00A76052" w:rsidRPr="005D7253" w:rsidRDefault="00A76052" w:rsidP="00CA1E07">
      <w:pPr>
        <w:spacing w:after="0" w:line="240" w:lineRule="auto"/>
        <w:ind w:left="1418" w:hanging="851"/>
        <w:jc w:val="both"/>
        <w:rPr>
          <w:rFonts w:ascii="Arial" w:hAnsi="Arial" w:cs="Arial"/>
        </w:rPr>
      </w:pPr>
    </w:p>
    <w:p w:rsidR="00A76052" w:rsidRPr="005D7253" w:rsidRDefault="00A76052" w:rsidP="00CA1E07">
      <w:pPr>
        <w:spacing w:after="0" w:line="240" w:lineRule="auto"/>
        <w:ind w:left="1418" w:hanging="851"/>
        <w:jc w:val="both"/>
        <w:rPr>
          <w:rFonts w:ascii="Arial" w:hAnsi="Arial" w:cs="Arial"/>
        </w:rPr>
      </w:pPr>
      <w:r w:rsidRPr="005D7253">
        <w:rPr>
          <w:rFonts w:ascii="Arial" w:hAnsi="Arial" w:cs="Arial"/>
        </w:rPr>
        <w:tab/>
        <w:t>El pago de la indemnización justipreciada se entiende efectuado válidamente por la vía de la consignación judicial cuando exista duplicidad registral, total o parcial; o procesos judiciales en los que se discuta la titularidad del bien; o cuando el sujeto pasivo de la expropiación cuestione el valor de la indemnización justipreciada. En este último caso el Estado debe cumplir con disponer las partidas presupuestales correspondientes para hacer efectivo el pago de cualquier diferencia a favor del sujeto pasivo de la expropiación, dentro del año siguiente a que dicha diferencia quede determinada.</w:t>
      </w:r>
    </w:p>
    <w:p w:rsidR="00A76052" w:rsidRPr="005D7253" w:rsidRDefault="00A76052" w:rsidP="00CA1E07">
      <w:pPr>
        <w:spacing w:after="0" w:line="240" w:lineRule="auto"/>
        <w:ind w:left="1418" w:hanging="851"/>
        <w:jc w:val="both"/>
        <w:rPr>
          <w:rFonts w:ascii="Arial" w:hAnsi="Arial" w:cs="Arial"/>
        </w:rPr>
      </w:pPr>
    </w:p>
    <w:p w:rsidR="00A76052" w:rsidRPr="00CA1E07" w:rsidRDefault="00A76052" w:rsidP="00CA1E07">
      <w:pPr>
        <w:spacing w:after="0" w:line="240" w:lineRule="auto"/>
        <w:ind w:left="1418" w:hanging="851"/>
        <w:jc w:val="both"/>
        <w:rPr>
          <w:rFonts w:ascii="Arial" w:hAnsi="Arial" w:cs="Arial"/>
          <w:b/>
        </w:rPr>
      </w:pPr>
      <w:r w:rsidRPr="00CA1E07">
        <w:rPr>
          <w:rFonts w:ascii="Arial" w:hAnsi="Arial" w:cs="Arial"/>
          <w:b/>
        </w:rPr>
        <w:t xml:space="preserve">21.7 </w:t>
      </w:r>
      <w:r w:rsidR="00385FA5" w:rsidRPr="00CA1E07">
        <w:rPr>
          <w:rFonts w:ascii="Arial" w:hAnsi="Arial" w:cs="Arial"/>
          <w:b/>
        </w:rPr>
        <w:tab/>
      </w:r>
      <w:r w:rsidRPr="00CA1E07">
        <w:rPr>
          <w:rFonts w:ascii="Arial" w:hAnsi="Arial" w:cs="Arial"/>
          <w:b/>
        </w:rPr>
        <w:t>Inscripción de la transferencia de propiedad</w:t>
      </w:r>
    </w:p>
    <w:p w:rsidR="00A76052" w:rsidRPr="005D7253" w:rsidRDefault="00A76052" w:rsidP="00CA1E07">
      <w:pPr>
        <w:spacing w:after="0" w:line="240" w:lineRule="auto"/>
        <w:ind w:left="1418" w:hanging="851"/>
        <w:jc w:val="both"/>
        <w:rPr>
          <w:rFonts w:ascii="Arial" w:hAnsi="Arial" w:cs="Arial"/>
        </w:rPr>
      </w:pPr>
      <w:r w:rsidRPr="005D7253">
        <w:rPr>
          <w:rFonts w:ascii="Arial" w:hAnsi="Arial" w:cs="Arial"/>
        </w:rPr>
        <w:tab/>
        <w:t>La inscripción de la transferencia de propiedad de los terrenos afectados a favor del Estado, se efectúa en mérito de la copia certificada del documento que acredite el pago de la indemnización justipreciada, de acuerdo a la valorización efectuada por el órgano competente del Poder Ejecutivo.</w:t>
      </w:r>
    </w:p>
    <w:p w:rsidR="00A76052" w:rsidRPr="005D7253" w:rsidRDefault="00A76052" w:rsidP="00CA1E07">
      <w:pPr>
        <w:spacing w:after="0" w:line="240" w:lineRule="auto"/>
        <w:ind w:left="1418" w:hanging="851"/>
        <w:jc w:val="both"/>
        <w:rPr>
          <w:rFonts w:ascii="Arial" w:hAnsi="Arial" w:cs="Arial"/>
        </w:rPr>
      </w:pPr>
    </w:p>
    <w:p w:rsidR="00A76052" w:rsidRPr="005D7253" w:rsidRDefault="00A76052" w:rsidP="00CA1E07">
      <w:pPr>
        <w:spacing w:after="0" w:line="240" w:lineRule="auto"/>
        <w:ind w:left="1418" w:hanging="851"/>
        <w:jc w:val="both"/>
        <w:rPr>
          <w:rFonts w:ascii="Arial" w:hAnsi="Arial" w:cs="Arial"/>
        </w:rPr>
      </w:pPr>
      <w:r w:rsidRPr="005D7253">
        <w:rPr>
          <w:rFonts w:ascii="Arial" w:hAnsi="Arial" w:cs="Arial"/>
        </w:rPr>
        <w:tab/>
        <w:t>Una vez inscrita la transferencia de propiedad a favor del Estado, el ente formalizador ejecuta las acciones de formalización de la propiedad sobre los terrenos expropiados.</w:t>
      </w:r>
    </w:p>
    <w:p w:rsidR="00A76052" w:rsidRPr="005D7253" w:rsidRDefault="00A76052" w:rsidP="00CA1E07">
      <w:pPr>
        <w:spacing w:after="0" w:line="240" w:lineRule="auto"/>
        <w:ind w:left="1418" w:hanging="851"/>
        <w:jc w:val="both"/>
        <w:rPr>
          <w:rFonts w:ascii="Arial" w:hAnsi="Arial" w:cs="Arial"/>
        </w:rPr>
      </w:pPr>
    </w:p>
    <w:p w:rsidR="00A76052" w:rsidRPr="00CA1E07" w:rsidRDefault="00A76052" w:rsidP="00CA1E07">
      <w:pPr>
        <w:spacing w:after="0" w:line="240" w:lineRule="auto"/>
        <w:ind w:left="1418" w:hanging="851"/>
        <w:jc w:val="both"/>
        <w:rPr>
          <w:rFonts w:ascii="Arial" w:hAnsi="Arial" w:cs="Arial"/>
          <w:b/>
        </w:rPr>
      </w:pPr>
      <w:r w:rsidRPr="00CA1E07">
        <w:rPr>
          <w:rFonts w:ascii="Arial" w:hAnsi="Arial" w:cs="Arial"/>
          <w:b/>
        </w:rPr>
        <w:t xml:space="preserve">21.8 </w:t>
      </w:r>
      <w:r w:rsidR="00385FA5" w:rsidRPr="00CA1E07">
        <w:rPr>
          <w:rFonts w:ascii="Arial" w:hAnsi="Arial" w:cs="Arial"/>
          <w:b/>
        </w:rPr>
        <w:tab/>
      </w:r>
      <w:r w:rsidRPr="00CA1E07">
        <w:rPr>
          <w:rFonts w:ascii="Arial" w:hAnsi="Arial" w:cs="Arial"/>
          <w:b/>
        </w:rPr>
        <w:t>Caducidad de la expropiación</w:t>
      </w:r>
    </w:p>
    <w:p w:rsidR="00A76052" w:rsidRPr="005D7253" w:rsidRDefault="00A76052" w:rsidP="00CA1E07">
      <w:pPr>
        <w:spacing w:after="0" w:line="240" w:lineRule="auto"/>
        <w:ind w:left="1418" w:hanging="851"/>
        <w:jc w:val="both"/>
        <w:rPr>
          <w:rFonts w:ascii="Arial" w:hAnsi="Arial" w:cs="Arial"/>
        </w:rPr>
      </w:pPr>
      <w:r w:rsidRPr="005D7253">
        <w:rPr>
          <w:rFonts w:ascii="Arial" w:hAnsi="Arial" w:cs="Arial"/>
        </w:rPr>
        <w:tab/>
        <w:t>El procedimiento de expropiación caduca de pleno derecho cuando no se acredita el pago de la indemnización justipreciada establecida por el Estado en el plazo de tres (3) meses, computado a partir del día siguiente de la publicación de la ley autoritativa de expropiación. En este caso, dentro de los diez (10) días hábiles siguientes de producida la caducidad, el sujeto activo de la expropiación solicita al Registro de Predios la cancelación de la anotación preventiva de inicio del procedimiento de expropiación, bajo responsabilidad; también puede solicitar la cancelación de la anotación preventiva el sujeto pasivo.</w:t>
      </w:r>
    </w:p>
    <w:p w:rsidR="00A76052" w:rsidRPr="005D7253" w:rsidRDefault="00A76052" w:rsidP="00CA1E07">
      <w:pPr>
        <w:spacing w:after="0" w:line="240" w:lineRule="auto"/>
        <w:ind w:left="1418" w:hanging="851"/>
        <w:jc w:val="both"/>
        <w:rPr>
          <w:rFonts w:ascii="Arial" w:hAnsi="Arial" w:cs="Arial"/>
        </w:rPr>
      </w:pPr>
    </w:p>
    <w:p w:rsidR="00A76052" w:rsidRPr="00CA1E07" w:rsidRDefault="00A76052" w:rsidP="00CA1E07">
      <w:pPr>
        <w:spacing w:after="0" w:line="240" w:lineRule="auto"/>
        <w:ind w:left="1418" w:hanging="851"/>
        <w:jc w:val="both"/>
        <w:rPr>
          <w:rFonts w:ascii="Arial" w:hAnsi="Arial" w:cs="Arial"/>
          <w:b/>
        </w:rPr>
      </w:pPr>
      <w:r w:rsidRPr="00CA1E07">
        <w:rPr>
          <w:rFonts w:ascii="Arial" w:hAnsi="Arial" w:cs="Arial"/>
          <w:b/>
        </w:rPr>
        <w:t xml:space="preserve">21.9 </w:t>
      </w:r>
      <w:r w:rsidR="00385FA5" w:rsidRPr="00CA1E07">
        <w:rPr>
          <w:rFonts w:ascii="Arial" w:hAnsi="Arial" w:cs="Arial"/>
          <w:b/>
        </w:rPr>
        <w:tab/>
      </w:r>
      <w:r w:rsidRPr="00CA1E07">
        <w:rPr>
          <w:rFonts w:ascii="Arial" w:hAnsi="Arial" w:cs="Arial"/>
          <w:b/>
        </w:rPr>
        <w:t>Titulación a favor de los beneficiarios</w:t>
      </w:r>
    </w:p>
    <w:p w:rsidR="00A76052" w:rsidRPr="005D7253" w:rsidRDefault="00A76052" w:rsidP="00385FA5">
      <w:pPr>
        <w:spacing w:after="0" w:line="240" w:lineRule="auto"/>
        <w:ind w:left="1418" w:hanging="1134"/>
        <w:jc w:val="both"/>
        <w:rPr>
          <w:rFonts w:ascii="Arial" w:hAnsi="Arial" w:cs="Arial"/>
        </w:rPr>
      </w:pPr>
      <w:r w:rsidRPr="005D7253">
        <w:rPr>
          <w:rFonts w:ascii="Arial" w:hAnsi="Arial" w:cs="Arial"/>
        </w:rPr>
        <w:tab/>
        <w:t>Los predios expropiados conforme a esta Ley se adjudican a título oneroso a favor de los beneficiarios. El título de adjudicación contiene una cláusula inscribible en el Registro de Predios que asegure el reembolso al Estado del pago efectuado por concepto de indemnización justipreciada que corresponde a cada predio.</w:t>
      </w:r>
    </w:p>
    <w:p w:rsidR="00A76052" w:rsidRPr="005D7253" w:rsidRDefault="00A76052" w:rsidP="00385FA5">
      <w:pPr>
        <w:spacing w:after="0" w:line="240" w:lineRule="auto"/>
        <w:ind w:left="1418" w:hanging="1134"/>
        <w:jc w:val="both"/>
        <w:rPr>
          <w:rFonts w:ascii="Arial" w:hAnsi="Arial" w:cs="Arial"/>
        </w:rPr>
      </w:pPr>
    </w:p>
    <w:p w:rsidR="00A76052" w:rsidRPr="00CA1E07" w:rsidRDefault="00A76052" w:rsidP="00CA1E07">
      <w:pPr>
        <w:spacing w:after="0" w:line="240" w:lineRule="auto"/>
        <w:ind w:left="1418" w:hanging="851"/>
        <w:jc w:val="both"/>
        <w:rPr>
          <w:rFonts w:ascii="Arial" w:hAnsi="Arial" w:cs="Arial"/>
          <w:b/>
        </w:rPr>
      </w:pPr>
      <w:r w:rsidRPr="00CA1E07">
        <w:rPr>
          <w:rFonts w:ascii="Arial" w:hAnsi="Arial" w:cs="Arial"/>
          <w:b/>
        </w:rPr>
        <w:t xml:space="preserve">21.10 </w:t>
      </w:r>
      <w:r w:rsidR="00385FA5" w:rsidRPr="00CA1E07">
        <w:rPr>
          <w:rFonts w:ascii="Arial" w:hAnsi="Arial" w:cs="Arial"/>
          <w:b/>
        </w:rPr>
        <w:tab/>
      </w:r>
      <w:r w:rsidRPr="00CA1E07">
        <w:rPr>
          <w:rFonts w:ascii="Arial" w:hAnsi="Arial" w:cs="Arial"/>
          <w:b/>
        </w:rPr>
        <w:t>Ingresos obtenidos por la adjudicación de predios</w:t>
      </w:r>
    </w:p>
    <w:p w:rsidR="00A76052" w:rsidRPr="005D7253" w:rsidRDefault="00A76052" w:rsidP="00CA1E07">
      <w:pPr>
        <w:spacing w:after="0" w:line="240" w:lineRule="auto"/>
        <w:ind w:left="1418" w:hanging="851"/>
        <w:jc w:val="both"/>
        <w:rPr>
          <w:rFonts w:ascii="Arial" w:hAnsi="Arial" w:cs="Arial"/>
        </w:rPr>
      </w:pPr>
      <w:r w:rsidRPr="005D7253">
        <w:rPr>
          <w:rFonts w:ascii="Arial" w:hAnsi="Arial" w:cs="Arial"/>
        </w:rPr>
        <w:tab/>
        <w:t>Los recursos que se obtienen como resultado de las acciones de adjudicación de los predios referidos en el numeral 21.9, constituyen recursos del Tesoro Público.</w:t>
      </w:r>
    </w:p>
    <w:p w:rsidR="00A76052" w:rsidRPr="005D7253" w:rsidRDefault="00A76052" w:rsidP="00CA1E07">
      <w:pPr>
        <w:spacing w:after="0" w:line="240" w:lineRule="auto"/>
        <w:ind w:left="1418" w:hanging="851"/>
        <w:jc w:val="both"/>
        <w:rPr>
          <w:rFonts w:ascii="Arial" w:hAnsi="Arial" w:cs="Arial"/>
        </w:rPr>
      </w:pPr>
    </w:p>
    <w:p w:rsidR="00A76052" w:rsidRPr="00CA1E07" w:rsidRDefault="00A76052" w:rsidP="00CA1E07">
      <w:pPr>
        <w:spacing w:after="0" w:line="240" w:lineRule="auto"/>
        <w:ind w:left="1418" w:hanging="851"/>
        <w:jc w:val="both"/>
        <w:rPr>
          <w:rFonts w:ascii="Arial" w:hAnsi="Arial" w:cs="Arial"/>
          <w:b/>
        </w:rPr>
      </w:pPr>
      <w:r w:rsidRPr="00CA1E07">
        <w:rPr>
          <w:rFonts w:ascii="Arial" w:hAnsi="Arial" w:cs="Arial"/>
          <w:b/>
        </w:rPr>
        <w:t xml:space="preserve">21.11 </w:t>
      </w:r>
      <w:r w:rsidR="00385FA5" w:rsidRPr="00CA1E07">
        <w:rPr>
          <w:rFonts w:ascii="Arial" w:hAnsi="Arial" w:cs="Arial"/>
          <w:b/>
        </w:rPr>
        <w:tab/>
      </w:r>
      <w:r w:rsidRPr="00CA1E07">
        <w:rPr>
          <w:rFonts w:ascii="Arial" w:hAnsi="Arial" w:cs="Arial"/>
          <w:b/>
        </w:rPr>
        <w:t>Procedimiento especial</w:t>
      </w:r>
    </w:p>
    <w:p w:rsidR="00A76052" w:rsidRPr="005D7253" w:rsidRDefault="00A76052" w:rsidP="00CA1E07">
      <w:pPr>
        <w:spacing w:after="0" w:line="240" w:lineRule="auto"/>
        <w:ind w:left="1418" w:hanging="851"/>
        <w:jc w:val="both"/>
        <w:rPr>
          <w:rFonts w:ascii="Arial" w:hAnsi="Arial" w:cs="Arial"/>
        </w:rPr>
      </w:pPr>
      <w:r w:rsidRPr="005D7253">
        <w:rPr>
          <w:rFonts w:ascii="Arial" w:hAnsi="Arial" w:cs="Arial"/>
        </w:rPr>
        <w:tab/>
        <w:t>El procedimiento regulado en este artículo es de naturaleza especial, resultando aplicable de manera supletoria las disposiciones de la Ley Nº 27117, Ley General de Expropiaciones, en todo lo que no se le oponga.</w:t>
      </w:r>
    </w:p>
    <w:p w:rsidR="00A76052" w:rsidRPr="005D7253" w:rsidRDefault="00A76052" w:rsidP="00CA1E07">
      <w:pPr>
        <w:spacing w:after="0" w:line="240" w:lineRule="auto"/>
        <w:ind w:left="1418" w:hanging="851"/>
        <w:jc w:val="both"/>
        <w:rPr>
          <w:rFonts w:ascii="Arial" w:hAnsi="Arial" w:cs="Arial"/>
        </w:rPr>
      </w:pPr>
    </w:p>
    <w:p w:rsidR="00A76052" w:rsidRPr="005D7253" w:rsidRDefault="00A76052" w:rsidP="00CA1E07">
      <w:pPr>
        <w:spacing w:after="0" w:line="240" w:lineRule="auto"/>
        <w:ind w:left="1418" w:hanging="851"/>
        <w:jc w:val="both"/>
        <w:rPr>
          <w:rFonts w:ascii="Arial" w:hAnsi="Arial" w:cs="Arial"/>
        </w:rPr>
      </w:pPr>
      <w:r w:rsidRPr="005D7253">
        <w:rPr>
          <w:rFonts w:ascii="Arial" w:hAnsi="Arial" w:cs="Arial"/>
        </w:rPr>
        <w:tab/>
        <w:t>Para el trámite del procedimiento especial previsto en este artículo, exceptúase de manera expresa la aplicación de los artículos 3; 10, numerales 10.2 y 10.3; y 23 de la Ley Nº 27117, Ley General de Expropiaciones.”</w:t>
      </w:r>
    </w:p>
    <w:p w:rsidR="00A76052" w:rsidRPr="005D7253" w:rsidRDefault="00A76052" w:rsidP="00A76052">
      <w:pPr>
        <w:spacing w:after="0" w:line="240" w:lineRule="auto"/>
        <w:jc w:val="both"/>
        <w:rPr>
          <w:rFonts w:ascii="Arial" w:hAnsi="Arial" w:cs="Arial"/>
        </w:rPr>
      </w:pPr>
    </w:p>
    <w:p w:rsidR="00A76052" w:rsidRPr="00385FA5" w:rsidRDefault="00A76052" w:rsidP="00A76052">
      <w:pPr>
        <w:spacing w:after="0" w:line="240" w:lineRule="auto"/>
        <w:jc w:val="both"/>
        <w:rPr>
          <w:rFonts w:ascii="Arial" w:hAnsi="Arial" w:cs="Arial"/>
          <w:b/>
        </w:rPr>
      </w:pPr>
      <w:r w:rsidRPr="00385FA5">
        <w:rPr>
          <w:rFonts w:ascii="Arial" w:hAnsi="Arial" w:cs="Arial"/>
          <w:b/>
        </w:rPr>
        <w:t>Artículo 22.- Sobre el inventario de terrenos estatales para fines de vivienda</w:t>
      </w:r>
    </w:p>
    <w:p w:rsidR="00A76052" w:rsidRPr="005D7253" w:rsidRDefault="00A76052" w:rsidP="00A76052">
      <w:pPr>
        <w:spacing w:after="0" w:line="240" w:lineRule="auto"/>
        <w:jc w:val="both"/>
        <w:rPr>
          <w:rFonts w:ascii="Arial" w:hAnsi="Arial" w:cs="Arial"/>
        </w:rPr>
      </w:pPr>
      <w:r w:rsidRPr="005D7253">
        <w:rPr>
          <w:rFonts w:ascii="Arial" w:hAnsi="Arial" w:cs="Arial"/>
        </w:rPr>
        <w:t>Encárgase al Sistema de Información Nacional de Bienes de Propiedad Estatal - SINABIP a cargo de la Superintendencia de Bienes Nacionales (SBN) el inventario de los terrenos estatales destinados para fines de vivienda, dispuesto en el artículo 198 del Decreto Supremo Nº 154-2001-EF</w:t>
      </w:r>
    </w:p>
    <w:p w:rsidR="00A76052" w:rsidRPr="005D7253" w:rsidRDefault="00A76052" w:rsidP="00A76052">
      <w:pPr>
        <w:spacing w:after="0" w:line="240" w:lineRule="auto"/>
        <w:jc w:val="both"/>
        <w:rPr>
          <w:rFonts w:ascii="Arial" w:hAnsi="Arial" w:cs="Arial"/>
        </w:rPr>
      </w:pPr>
    </w:p>
    <w:p w:rsidR="00A76052" w:rsidRPr="00385FA5" w:rsidRDefault="00A76052" w:rsidP="00A76052">
      <w:pPr>
        <w:spacing w:after="0" w:line="240" w:lineRule="auto"/>
        <w:jc w:val="both"/>
        <w:rPr>
          <w:rFonts w:ascii="Arial" w:hAnsi="Arial" w:cs="Arial"/>
          <w:b/>
        </w:rPr>
      </w:pPr>
      <w:r w:rsidRPr="00385FA5">
        <w:rPr>
          <w:rFonts w:ascii="Arial" w:hAnsi="Arial" w:cs="Arial"/>
          <w:b/>
        </w:rPr>
        <w:t>Artículo 23.- Del Banco de Tierras</w:t>
      </w:r>
    </w:p>
    <w:p w:rsidR="00A76052" w:rsidRPr="005D7253" w:rsidRDefault="00A76052" w:rsidP="00A76052">
      <w:pPr>
        <w:spacing w:after="0" w:line="240" w:lineRule="auto"/>
        <w:jc w:val="both"/>
        <w:rPr>
          <w:rFonts w:ascii="Arial" w:hAnsi="Arial" w:cs="Arial"/>
        </w:rPr>
      </w:pPr>
      <w:r w:rsidRPr="005D7253">
        <w:rPr>
          <w:rFonts w:ascii="Arial" w:hAnsi="Arial" w:cs="Arial"/>
        </w:rPr>
        <w:t>Corresponde al Ministerio de Vivienda, Construcción y Saneamiento llevar el Banco de Tierras, el mismo que estará conformado por terrenos eriazos de propiedad del Estado, privados o de comunidades de la costa, que se adecuen a los fines establecidos en el presente Título. Igualmente los gobiernos regionales y locales podrán seleccionar, para su incorporación en el Banco de Tierras, terrenos eriazos de propiedad del Estado, privados o de comunidades campesinas de la costa que se ubiquen en su jurisdicción.</w:t>
      </w:r>
    </w:p>
    <w:p w:rsidR="00A76052" w:rsidRPr="005D7253" w:rsidRDefault="00A76052" w:rsidP="00A76052">
      <w:pPr>
        <w:spacing w:after="0" w:line="240" w:lineRule="auto"/>
        <w:jc w:val="both"/>
        <w:rPr>
          <w:rFonts w:ascii="Arial" w:hAnsi="Arial" w:cs="Arial"/>
        </w:rPr>
      </w:pPr>
    </w:p>
    <w:p w:rsidR="00A76052" w:rsidRPr="005D7253" w:rsidRDefault="00A76052" w:rsidP="00A76052">
      <w:pPr>
        <w:spacing w:after="0" w:line="240" w:lineRule="auto"/>
        <w:jc w:val="both"/>
        <w:rPr>
          <w:rFonts w:ascii="Arial" w:hAnsi="Arial" w:cs="Arial"/>
        </w:rPr>
      </w:pPr>
      <w:r w:rsidRPr="005D7253">
        <w:rPr>
          <w:rFonts w:ascii="Arial" w:hAnsi="Arial" w:cs="Arial"/>
        </w:rPr>
        <w:t>En el caso de los terrenos d</w:t>
      </w:r>
      <w:r w:rsidR="00385FA5">
        <w:rPr>
          <w:rFonts w:ascii="Arial" w:hAnsi="Arial" w:cs="Arial"/>
        </w:rPr>
        <w:t>e</w:t>
      </w:r>
      <w:r w:rsidRPr="005D7253">
        <w:rPr>
          <w:rFonts w:ascii="Arial" w:hAnsi="Arial" w:cs="Arial"/>
        </w:rPr>
        <w:t xml:space="preserve"> propiedad privada o de comunidades campesinas de la costa el reglamento de la presente Ley establecerá los requisitos y condiciones para su adquisición con el propósito de ejecutar los proyectos de vivienda social a que se refiere la presente Ley.</w:t>
      </w:r>
    </w:p>
    <w:p w:rsidR="00A76052" w:rsidRPr="005D7253" w:rsidRDefault="00A76052" w:rsidP="00A76052">
      <w:pPr>
        <w:spacing w:after="0" w:line="240" w:lineRule="auto"/>
        <w:jc w:val="both"/>
        <w:rPr>
          <w:rFonts w:ascii="Arial" w:hAnsi="Arial" w:cs="Arial"/>
        </w:rPr>
      </w:pPr>
    </w:p>
    <w:p w:rsidR="00A76052" w:rsidRPr="00385FA5" w:rsidRDefault="00A76052" w:rsidP="00385FA5">
      <w:pPr>
        <w:spacing w:after="0" w:line="240" w:lineRule="auto"/>
        <w:jc w:val="center"/>
        <w:rPr>
          <w:rFonts w:ascii="Arial" w:hAnsi="Arial" w:cs="Arial"/>
          <w:b/>
        </w:rPr>
      </w:pPr>
      <w:r w:rsidRPr="00385FA5">
        <w:rPr>
          <w:rFonts w:ascii="Arial" w:hAnsi="Arial" w:cs="Arial"/>
          <w:b/>
        </w:rPr>
        <w:t>TÍTULO III</w:t>
      </w:r>
    </w:p>
    <w:p w:rsidR="00A76052" w:rsidRPr="00385FA5" w:rsidRDefault="00A76052" w:rsidP="00385FA5">
      <w:pPr>
        <w:spacing w:after="0" w:line="240" w:lineRule="auto"/>
        <w:jc w:val="center"/>
        <w:rPr>
          <w:rFonts w:ascii="Arial" w:hAnsi="Arial" w:cs="Arial"/>
          <w:b/>
        </w:rPr>
      </w:pPr>
      <w:r w:rsidRPr="00385FA5">
        <w:rPr>
          <w:rFonts w:ascii="Arial" w:hAnsi="Arial" w:cs="Arial"/>
          <w:b/>
        </w:rPr>
        <w:t>FACILIDADES PARA LA PRESTACIÓN DE SERVICIOS BÁSICOS</w:t>
      </w:r>
    </w:p>
    <w:p w:rsidR="00A76052" w:rsidRPr="005D7253" w:rsidRDefault="00A76052" w:rsidP="00A76052">
      <w:pPr>
        <w:spacing w:after="0" w:line="240" w:lineRule="auto"/>
        <w:jc w:val="both"/>
        <w:rPr>
          <w:rFonts w:ascii="Arial" w:hAnsi="Arial" w:cs="Arial"/>
        </w:rPr>
      </w:pPr>
    </w:p>
    <w:p w:rsidR="00A76052" w:rsidRPr="00385FA5" w:rsidRDefault="00A76052" w:rsidP="00A76052">
      <w:pPr>
        <w:spacing w:after="0" w:line="240" w:lineRule="auto"/>
        <w:jc w:val="both"/>
        <w:rPr>
          <w:rFonts w:ascii="Arial" w:hAnsi="Arial" w:cs="Arial"/>
          <w:b/>
        </w:rPr>
      </w:pPr>
      <w:r w:rsidRPr="00385FA5">
        <w:rPr>
          <w:rFonts w:ascii="Arial" w:hAnsi="Arial" w:cs="Arial"/>
          <w:b/>
        </w:rPr>
        <w:t>Artículo 24.- De la Factibilidad de Servicios Básicos</w:t>
      </w:r>
    </w:p>
    <w:p w:rsidR="00A76052" w:rsidRPr="005D7253" w:rsidRDefault="00A76052" w:rsidP="00A76052">
      <w:pPr>
        <w:spacing w:after="0" w:line="240" w:lineRule="auto"/>
        <w:jc w:val="both"/>
        <w:rPr>
          <w:rFonts w:ascii="Arial" w:hAnsi="Arial" w:cs="Arial"/>
        </w:rPr>
      </w:pPr>
      <w:r w:rsidRPr="005D7253">
        <w:rPr>
          <w:rFonts w:ascii="Arial" w:hAnsi="Arial" w:cs="Arial"/>
        </w:rPr>
        <w:t>La Factibilidad de Servicios Básicos en los terrenos ocupados por posesiones informales a las que se refiere el artículo 3 de la presente Ley se otorgará previo Certificado o Constancia de Posesión que otorgará la municipalidad de la jurisdicción.</w:t>
      </w:r>
    </w:p>
    <w:p w:rsidR="00A76052" w:rsidRPr="005D7253" w:rsidRDefault="00A76052" w:rsidP="00A76052">
      <w:pPr>
        <w:spacing w:after="0" w:line="240" w:lineRule="auto"/>
        <w:jc w:val="both"/>
        <w:rPr>
          <w:rFonts w:ascii="Arial" w:hAnsi="Arial" w:cs="Arial"/>
        </w:rPr>
      </w:pPr>
    </w:p>
    <w:p w:rsidR="00A76052" w:rsidRPr="005D7253" w:rsidRDefault="00A76052" w:rsidP="00A76052">
      <w:pPr>
        <w:spacing w:after="0" w:line="240" w:lineRule="auto"/>
        <w:jc w:val="both"/>
        <w:rPr>
          <w:rFonts w:ascii="Arial" w:hAnsi="Arial" w:cs="Arial"/>
        </w:rPr>
      </w:pPr>
      <w:r w:rsidRPr="005D7253">
        <w:rPr>
          <w:rFonts w:ascii="Arial" w:hAnsi="Arial" w:cs="Arial"/>
        </w:rPr>
        <w:t>El Reglamento establecerá los requisitos para el otorgamiento de los Certificados a que hace mención el párrafo anterior.</w:t>
      </w:r>
    </w:p>
    <w:p w:rsidR="00A76052" w:rsidRPr="005D7253" w:rsidRDefault="00A76052" w:rsidP="00A76052">
      <w:pPr>
        <w:spacing w:after="0" w:line="240" w:lineRule="auto"/>
        <w:jc w:val="both"/>
        <w:rPr>
          <w:rFonts w:ascii="Arial" w:hAnsi="Arial" w:cs="Arial"/>
        </w:rPr>
      </w:pPr>
    </w:p>
    <w:p w:rsidR="00A76052" w:rsidRPr="00385FA5" w:rsidRDefault="00A76052" w:rsidP="00A76052">
      <w:pPr>
        <w:spacing w:after="0" w:line="240" w:lineRule="auto"/>
        <w:jc w:val="both"/>
        <w:rPr>
          <w:rFonts w:ascii="Arial" w:hAnsi="Arial" w:cs="Arial"/>
          <w:b/>
        </w:rPr>
      </w:pPr>
      <w:r w:rsidRPr="00385FA5">
        <w:rPr>
          <w:rFonts w:ascii="Arial" w:hAnsi="Arial" w:cs="Arial"/>
          <w:b/>
        </w:rPr>
        <w:t>Artículo 25.- Autorizan a EPS otorgar Factibilidad de Servicios</w:t>
      </w:r>
    </w:p>
    <w:p w:rsidR="00A76052" w:rsidRPr="005D7253" w:rsidRDefault="00A76052" w:rsidP="00A76052">
      <w:pPr>
        <w:spacing w:after="0" w:line="240" w:lineRule="auto"/>
        <w:jc w:val="both"/>
        <w:rPr>
          <w:rFonts w:ascii="Arial" w:hAnsi="Arial" w:cs="Arial"/>
        </w:rPr>
      </w:pPr>
      <w:r w:rsidRPr="005D7253">
        <w:rPr>
          <w:rFonts w:ascii="Arial" w:hAnsi="Arial" w:cs="Arial"/>
        </w:rPr>
        <w:t>Autorízase a las empresas prestadoras de servicios públicos para que a mérito del Certificado o la Constancia de Posesión extendida por la respectiva municipalidad de la jurisdicción, otorguen la Factibilidad de Servicios a los ocupantes de posesiones informales a que se refiere el artículo 16 de la presente Ley, conforme a los requisitos que se establezcan en el reglamento.</w:t>
      </w:r>
    </w:p>
    <w:p w:rsidR="00A76052" w:rsidRPr="005D7253" w:rsidRDefault="00A76052" w:rsidP="00A76052">
      <w:pPr>
        <w:spacing w:after="0" w:line="240" w:lineRule="auto"/>
        <w:jc w:val="both"/>
        <w:rPr>
          <w:rFonts w:ascii="Arial" w:hAnsi="Arial" w:cs="Arial"/>
        </w:rPr>
      </w:pPr>
    </w:p>
    <w:p w:rsidR="00A76052" w:rsidRPr="00385FA5" w:rsidRDefault="00A76052" w:rsidP="00A76052">
      <w:pPr>
        <w:spacing w:after="0" w:line="240" w:lineRule="auto"/>
        <w:jc w:val="both"/>
        <w:rPr>
          <w:rFonts w:ascii="Arial" w:hAnsi="Arial" w:cs="Arial"/>
          <w:b/>
        </w:rPr>
      </w:pPr>
      <w:r w:rsidRPr="00385FA5">
        <w:rPr>
          <w:rFonts w:ascii="Arial" w:hAnsi="Arial" w:cs="Arial"/>
          <w:b/>
        </w:rPr>
        <w:t>Artículo 26.- Certificados o Constancias de Posesión</w:t>
      </w:r>
    </w:p>
    <w:p w:rsidR="00A76052" w:rsidRPr="005D7253" w:rsidRDefault="00A76052" w:rsidP="00A76052">
      <w:pPr>
        <w:spacing w:after="0" w:line="240" w:lineRule="auto"/>
        <w:jc w:val="both"/>
        <w:rPr>
          <w:rFonts w:ascii="Arial" w:hAnsi="Arial" w:cs="Arial"/>
        </w:rPr>
      </w:pPr>
      <w:r w:rsidRPr="005D7253">
        <w:rPr>
          <w:rFonts w:ascii="Arial" w:hAnsi="Arial" w:cs="Arial"/>
        </w:rPr>
        <w:t>Los Certificados o Constancias de Posesión son documentos extendidos por las municipalidades distritales de la jurisdicción y exclusivamente para los fines a que se refiere el presente Título, sin que ello constituya reconocimiento alguno que afecte el derecho de propiedad de su titular.</w:t>
      </w:r>
    </w:p>
    <w:p w:rsidR="00A76052" w:rsidRDefault="00A76052" w:rsidP="00A76052">
      <w:pPr>
        <w:spacing w:after="0" w:line="240" w:lineRule="auto"/>
        <w:jc w:val="both"/>
        <w:rPr>
          <w:rFonts w:ascii="Arial" w:hAnsi="Arial" w:cs="Arial"/>
        </w:rPr>
      </w:pPr>
    </w:p>
    <w:p w:rsidR="00CA1E07" w:rsidRPr="005D7253" w:rsidRDefault="00CA1E07" w:rsidP="00A76052">
      <w:pPr>
        <w:spacing w:after="0" w:line="240" w:lineRule="auto"/>
        <w:jc w:val="both"/>
        <w:rPr>
          <w:rFonts w:ascii="Arial" w:hAnsi="Arial" w:cs="Arial"/>
        </w:rPr>
      </w:pPr>
    </w:p>
    <w:p w:rsidR="00A76052" w:rsidRPr="00385FA5" w:rsidRDefault="00A76052" w:rsidP="00A76052">
      <w:pPr>
        <w:spacing w:after="0" w:line="240" w:lineRule="auto"/>
        <w:jc w:val="both"/>
        <w:rPr>
          <w:rFonts w:ascii="Arial" w:hAnsi="Arial" w:cs="Arial"/>
          <w:b/>
        </w:rPr>
      </w:pPr>
      <w:r w:rsidRPr="00385FA5">
        <w:rPr>
          <w:rFonts w:ascii="Arial" w:hAnsi="Arial" w:cs="Arial"/>
          <w:b/>
        </w:rPr>
        <w:t>Artículo 27.- Restricciones</w:t>
      </w:r>
    </w:p>
    <w:p w:rsidR="00A76052" w:rsidRPr="005D7253" w:rsidRDefault="00A76052" w:rsidP="00A76052">
      <w:pPr>
        <w:spacing w:after="0" w:line="240" w:lineRule="auto"/>
        <w:jc w:val="both"/>
        <w:rPr>
          <w:rFonts w:ascii="Arial" w:hAnsi="Arial" w:cs="Arial"/>
        </w:rPr>
      </w:pPr>
      <w:r w:rsidRPr="005D7253">
        <w:rPr>
          <w:rFonts w:ascii="Arial" w:hAnsi="Arial" w:cs="Arial"/>
        </w:rPr>
        <w:t>Bajo ninguna circunstancia la municipalidad correspondiente otorgará autorización a las empresas prestadoras de servicios básicos para la realización de obras en las zonas rígidas para crecimiento urbano, las mismas que corresponden a las áreas arqueológicas, de reserva ecológica, de recreación pública, de expansión vial, de cultivo y turísticas.</w:t>
      </w:r>
    </w:p>
    <w:p w:rsidR="00A76052" w:rsidRPr="005D7253" w:rsidRDefault="00A76052" w:rsidP="00A76052">
      <w:pPr>
        <w:spacing w:after="0" w:line="240" w:lineRule="auto"/>
        <w:jc w:val="both"/>
        <w:rPr>
          <w:rFonts w:ascii="Arial" w:hAnsi="Arial" w:cs="Arial"/>
        </w:rPr>
      </w:pPr>
    </w:p>
    <w:p w:rsidR="00A76052" w:rsidRPr="00385FA5" w:rsidRDefault="00A76052" w:rsidP="00385FA5">
      <w:pPr>
        <w:spacing w:after="0" w:line="240" w:lineRule="auto"/>
        <w:jc w:val="center"/>
        <w:rPr>
          <w:rFonts w:ascii="Arial" w:hAnsi="Arial" w:cs="Arial"/>
          <w:b/>
        </w:rPr>
      </w:pPr>
      <w:r w:rsidRPr="00385FA5">
        <w:rPr>
          <w:rFonts w:ascii="Arial" w:hAnsi="Arial" w:cs="Arial"/>
          <w:b/>
        </w:rPr>
        <w:t>TÍTULO IV</w:t>
      </w:r>
    </w:p>
    <w:p w:rsidR="00A76052" w:rsidRPr="00385FA5" w:rsidRDefault="00A76052" w:rsidP="00385FA5">
      <w:pPr>
        <w:spacing w:after="0" w:line="240" w:lineRule="auto"/>
        <w:jc w:val="center"/>
        <w:rPr>
          <w:rFonts w:ascii="Arial" w:hAnsi="Arial" w:cs="Arial"/>
          <w:b/>
        </w:rPr>
      </w:pPr>
      <w:r w:rsidRPr="00385FA5">
        <w:rPr>
          <w:rFonts w:ascii="Arial" w:hAnsi="Arial" w:cs="Arial"/>
          <w:b/>
        </w:rPr>
        <w:t>DISPOSICIONES COMPLEMENTARIAS Y FINALES</w:t>
      </w:r>
    </w:p>
    <w:p w:rsidR="00A76052" w:rsidRPr="005D7253" w:rsidRDefault="00A76052" w:rsidP="00A76052">
      <w:pPr>
        <w:spacing w:after="0" w:line="240" w:lineRule="auto"/>
        <w:jc w:val="both"/>
        <w:rPr>
          <w:rFonts w:ascii="Arial" w:hAnsi="Arial" w:cs="Arial"/>
        </w:rPr>
      </w:pPr>
    </w:p>
    <w:p w:rsidR="00A76052" w:rsidRPr="00385FA5" w:rsidRDefault="00A76052" w:rsidP="00A76052">
      <w:pPr>
        <w:spacing w:after="0" w:line="240" w:lineRule="auto"/>
        <w:jc w:val="both"/>
        <w:rPr>
          <w:rFonts w:ascii="Arial" w:hAnsi="Arial" w:cs="Arial"/>
          <w:b/>
        </w:rPr>
      </w:pPr>
      <w:r w:rsidRPr="00385FA5">
        <w:rPr>
          <w:rFonts w:ascii="Arial" w:hAnsi="Arial" w:cs="Arial"/>
          <w:b/>
        </w:rPr>
        <w:t>PRIMERA.- De las facultades de SUNARP para culminar el saneamiento catastral y registral</w:t>
      </w:r>
    </w:p>
    <w:p w:rsidR="00A76052" w:rsidRPr="005D7253" w:rsidRDefault="00A76052" w:rsidP="00A76052">
      <w:pPr>
        <w:spacing w:after="0" w:line="240" w:lineRule="auto"/>
        <w:jc w:val="both"/>
        <w:rPr>
          <w:rFonts w:ascii="Arial" w:hAnsi="Arial" w:cs="Arial"/>
        </w:rPr>
      </w:pPr>
      <w:r w:rsidRPr="005D7253">
        <w:rPr>
          <w:rFonts w:ascii="Arial" w:hAnsi="Arial" w:cs="Arial"/>
        </w:rPr>
        <w:t>Facúltase a la SUNARP para que adopte los mecanismos necesarios para la implementación del saneamiento catastral y registral en las acciones a que se refiere la presente Ley.</w:t>
      </w:r>
    </w:p>
    <w:p w:rsidR="00A76052" w:rsidRPr="005D7253" w:rsidRDefault="00A76052" w:rsidP="00A76052">
      <w:pPr>
        <w:spacing w:after="0" w:line="240" w:lineRule="auto"/>
        <w:jc w:val="both"/>
        <w:rPr>
          <w:rFonts w:ascii="Arial" w:hAnsi="Arial" w:cs="Arial"/>
        </w:rPr>
      </w:pPr>
    </w:p>
    <w:p w:rsidR="00A76052" w:rsidRPr="00385FA5" w:rsidRDefault="00A76052" w:rsidP="00A76052">
      <w:pPr>
        <w:spacing w:after="0" w:line="240" w:lineRule="auto"/>
        <w:jc w:val="both"/>
        <w:rPr>
          <w:rFonts w:ascii="Arial" w:hAnsi="Arial" w:cs="Arial"/>
          <w:b/>
        </w:rPr>
      </w:pPr>
      <w:r w:rsidRPr="00385FA5">
        <w:rPr>
          <w:rFonts w:ascii="Arial" w:hAnsi="Arial" w:cs="Arial"/>
          <w:b/>
        </w:rPr>
        <w:t>SEGUNDA.- Entrega de información georeferenciada por la COFOPRI</w:t>
      </w:r>
    </w:p>
    <w:p w:rsidR="00A76052" w:rsidRPr="005D7253" w:rsidRDefault="00A76052" w:rsidP="00A76052">
      <w:pPr>
        <w:spacing w:after="0" w:line="240" w:lineRule="auto"/>
        <w:jc w:val="both"/>
        <w:rPr>
          <w:rFonts w:ascii="Arial" w:hAnsi="Arial" w:cs="Arial"/>
        </w:rPr>
      </w:pPr>
      <w:r w:rsidRPr="005D7253">
        <w:rPr>
          <w:rFonts w:ascii="Arial" w:hAnsi="Arial" w:cs="Arial"/>
        </w:rPr>
        <w:t>COFOPRI entregará la base gráfica georeferenciada a la SUNARP y a las municipalidades provinciales según su jurisdicción, siempre y cuando hayan operado oficinas de jurisdicción ampliada en las circunscripciones territoriales de aquellos gobiernos locales, con la finalidad de que estos últimos efectúen el saneamiento físico legal de las posesiones informales.</w:t>
      </w:r>
    </w:p>
    <w:p w:rsidR="00A76052" w:rsidRPr="005D7253" w:rsidRDefault="00A76052" w:rsidP="00A76052">
      <w:pPr>
        <w:spacing w:after="0" w:line="240" w:lineRule="auto"/>
        <w:jc w:val="both"/>
        <w:rPr>
          <w:rFonts w:ascii="Arial" w:hAnsi="Arial" w:cs="Arial"/>
        </w:rPr>
      </w:pPr>
    </w:p>
    <w:p w:rsidR="00A76052" w:rsidRPr="00385FA5" w:rsidRDefault="00A76052" w:rsidP="00A76052">
      <w:pPr>
        <w:spacing w:after="0" w:line="240" w:lineRule="auto"/>
        <w:jc w:val="both"/>
        <w:rPr>
          <w:rFonts w:ascii="Arial" w:hAnsi="Arial" w:cs="Arial"/>
          <w:b/>
        </w:rPr>
      </w:pPr>
      <w:r w:rsidRPr="00385FA5">
        <w:rPr>
          <w:rFonts w:ascii="Arial" w:hAnsi="Arial" w:cs="Arial"/>
          <w:b/>
        </w:rPr>
        <w:t>TERCERA.- De la reglamentación</w:t>
      </w:r>
    </w:p>
    <w:p w:rsidR="00A76052" w:rsidRPr="005D7253" w:rsidRDefault="00A76052" w:rsidP="00A76052">
      <w:pPr>
        <w:spacing w:after="0" w:line="240" w:lineRule="auto"/>
        <w:jc w:val="both"/>
        <w:rPr>
          <w:rFonts w:ascii="Arial" w:hAnsi="Arial" w:cs="Arial"/>
        </w:rPr>
      </w:pPr>
      <w:r w:rsidRPr="005D7253">
        <w:rPr>
          <w:rFonts w:ascii="Arial" w:hAnsi="Arial" w:cs="Arial"/>
        </w:rPr>
        <w:t>El Poder Ejecutivo a través del Ministerio de Justicia, el Ministerio de Economía y Finanzas y el Ministerio de Vivienda, Construcción y Saneamiento en un plazo no mayor de noventa (90) días dictará las disposiciones reglamentarias a la presente Ley.</w:t>
      </w:r>
    </w:p>
    <w:p w:rsidR="00A76052" w:rsidRPr="005D7253" w:rsidRDefault="00A76052" w:rsidP="00A76052">
      <w:pPr>
        <w:spacing w:after="0" w:line="240" w:lineRule="auto"/>
        <w:jc w:val="both"/>
        <w:rPr>
          <w:rFonts w:ascii="Arial" w:hAnsi="Arial" w:cs="Arial"/>
        </w:rPr>
      </w:pPr>
    </w:p>
    <w:p w:rsidR="00A76052" w:rsidRPr="00385FA5" w:rsidRDefault="00385FA5" w:rsidP="00A76052">
      <w:pPr>
        <w:spacing w:after="0" w:line="240" w:lineRule="auto"/>
        <w:jc w:val="both"/>
        <w:rPr>
          <w:rFonts w:ascii="Arial" w:hAnsi="Arial" w:cs="Arial"/>
          <w:b/>
        </w:rPr>
      </w:pPr>
      <w:r w:rsidRPr="00385FA5">
        <w:rPr>
          <w:rFonts w:ascii="Arial" w:hAnsi="Arial" w:cs="Arial"/>
          <w:b/>
        </w:rPr>
        <w:t>C</w:t>
      </w:r>
      <w:r w:rsidR="00A76052" w:rsidRPr="00385FA5">
        <w:rPr>
          <w:rFonts w:ascii="Arial" w:hAnsi="Arial" w:cs="Arial"/>
          <w:b/>
        </w:rPr>
        <w:t>UARTA.- De la derogatoria</w:t>
      </w:r>
    </w:p>
    <w:p w:rsidR="00A76052" w:rsidRPr="005D7253" w:rsidRDefault="00A76052" w:rsidP="00A76052">
      <w:pPr>
        <w:spacing w:after="0" w:line="240" w:lineRule="auto"/>
        <w:jc w:val="both"/>
        <w:rPr>
          <w:rFonts w:ascii="Arial" w:hAnsi="Arial" w:cs="Arial"/>
        </w:rPr>
      </w:pPr>
      <w:r w:rsidRPr="005D7253">
        <w:rPr>
          <w:rFonts w:ascii="Arial" w:hAnsi="Arial" w:cs="Arial"/>
        </w:rPr>
        <w:t>Deróganse la Ley Nº 28391 y todas las disposiciones que se opongan a la presente Ley.</w:t>
      </w:r>
    </w:p>
    <w:p w:rsidR="00A76052" w:rsidRPr="005D7253" w:rsidRDefault="00A76052" w:rsidP="00A76052">
      <w:pPr>
        <w:spacing w:after="0" w:line="240" w:lineRule="auto"/>
        <w:jc w:val="both"/>
        <w:rPr>
          <w:rFonts w:ascii="Arial" w:hAnsi="Arial" w:cs="Arial"/>
        </w:rPr>
      </w:pPr>
    </w:p>
    <w:p w:rsidR="00A76052" w:rsidRPr="00385FA5" w:rsidRDefault="00A76052" w:rsidP="00A76052">
      <w:pPr>
        <w:spacing w:after="0" w:line="240" w:lineRule="auto"/>
        <w:jc w:val="both"/>
        <w:rPr>
          <w:rFonts w:ascii="Arial" w:hAnsi="Arial" w:cs="Arial"/>
          <w:b/>
        </w:rPr>
      </w:pPr>
      <w:r w:rsidRPr="00385FA5">
        <w:rPr>
          <w:rFonts w:ascii="Arial" w:hAnsi="Arial" w:cs="Arial"/>
          <w:b/>
        </w:rPr>
        <w:t>QUINTA.- De los terrenos ocupados de otras regiones</w:t>
      </w:r>
    </w:p>
    <w:p w:rsidR="00A76052" w:rsidRPr="005D7253" w:rsidRDefault="00A76052" w:rsidP="00A76052">
      <w:pPr>
        <w:spacing w:after="0" w:line="240" w:lineRule="auto"/>
        <w:jc w:val="both"/>
        <w:rPr>
          <w:rFonts w:ascii="Arial" w:hAnsi="Arial" w:cs="Arial"/>
        </w:rPr>
      </w:pPr>
      <w:r w:rsidRPr="005D7253">
        <w:rPr>
          <w:rFonts w:ascii="Arial" w:hAnsi="Arial" w:cs="Arial"/>
        </w:rPr>
        <w:t>También están incluidos los terrenos ocupados por posesionarios informales, que se encuentren en áreas de expansión urbana de comunidades campesinas de otras regiones.</w:t>
      </w:r>
    </w:p>
    <w:p w:rsidR="00A76052" w:rsidRPr="005D7253" w:rsidRDefault="00A76052" w:rsidP="00A76052">
      <w:pPr>
        <w:spacing w:after="0" w:line="240" w:lineRule="auto"/>
        <w:jc w:val="both"/>
        <w:rPr>
          <w:rFonts w:ascii="Arial" w:hAnsi="Arial" w:cs="Arial"/>
        </w:rPr>
      </w:pPr>
    </w:p>
    <w:p w:rsidR="00A76052" w:rsidRPr="00385FA5" w:rsidRDefault="00A76052" w:rsidP="00A76052">
      <w:pPr>
        <w:spacing w:after="0" w:line="240" w:lineRule="auto"/>
        <w:jc w:val="both"/>
        <w:rPr>
          <w:rFonts w:ascii="Arial" w:hAnsi="Arial" w:cs="Arial"/>
          <w:b/>
        </w:rPr>
      </w:pPr>
      <w:r w:rsidRPr="00385FA5">
        <w:rPr>
          <w:rFonts w:ascii="Arial" w:hAnsi="Arial" w:cs="Arial"/>
          <w:b/>
        </w:rPr>
        <w:t>SEXTA.- De los convenios de cooperación interinstitucional</w:t>
      </w:r>
    </w:p>
    <w:p w:rsidR="00A76052" w:rsidRPr="005D7253" w:rsidRDefault="00A76052" w:rsidP="00A76052">
      <w:pPr>
        <w:spacing w:after="0" w:line="240" w:lineRule="auto"/>
        <w:jc w:val="both"/>
        <w:rPr>
          <w:rFonts w:ascii="Arial" w:hAnsi="Arial" w:cs="Arial"/>
        </w:rPr>
      </w:pPr>
      <w:r w:rsidRPr="005D7253">
        <w:rPr>
          <w:rFonts w:ascii="Arial" w:hAnsi="Arial" w:cs="Arial"/>
        </w:rPr>
        <w:t>Todos los convenios de cooperación interinstitucional suscritos entre las municipalidades provinciales y COFOPRI, al amparo de la Ley Nº 28391 se encuentran vigentes, no requiriéndose la suscripción de nuevos convenios.</w:t>
      </w:r>
    </w:p>
    <w:p w:rsidR="00A76052" w:rsidRPr="005D7253" w:rsidRDefault="00A76052" w:rsidP="00A76052">
      <w:pPr>
        <w:spacing w:after="0" w:line="240" w:lineRule="auto"/>
        <w:jc w:val="both"/>
        <w:rPr>
          <w:rFonts w:ascii="Arial" w:hAnsi="Arial" w:cs="Arial"/>
        </w:rPr>
      </w:pPr>
    </w:p>
    <w:p w:rsidR="00A76052" w:rsidRPr="00385FA5" w:rsidRDefault="00A76052" w:rsidP="00A76052">
      <w:pPr>
        <w:spacing w:after="0" w:line="240" w:lineRule="auto"/>
        <w:jc w:val="both"/>
        <w:rPr>
          <w:rFonts w:ascii="Arial" w:hAnsi="Arial" w:cs="Arial"/>
          <w:b/>
        </w:rPr>
      </w:pPr>
      <w:r w:rsidRPr="00385FA5">
        <w:rPr>
          <w:rFonts w:ascii="Arial" w:hAnsi="Arial" w:cs="Arial"/>
          <w:b/>
        </w:rPr>
        <w:t>SÉTIMA.- Vigencia del Decreto Supremo Nº 005-2005-JUS</w:t>
      </w:r>
    </w:p>
    <w:p w:rsidR="00A76052" w:rsidRPr="005D7253" w:rsidRDefault="00A76052" w:rsidP="00A76052">
      <w:pPr>
        <w:spacing w:after="0" w:line="240" w:lineRule="auto"/>
        <w:jc w:val="both"/>
        <w:rPr>
          <w:rFonts w:ascii="Arial" w:hAnsi="Arial" w:cs="Arial"/>
        </w:rPr>
      </w:pPr>
      <w:r w:rsidRPr="005D7253">
        <w:rPr>
          <w:rFonts w:ascii="Arial" w:hAnsi="Arial" w:cs="Arial"/>
        </w:rPr>
        <w:t>Considérase vigente el Decreto Supremo Nº 005-2005-JUS, en todo lo que no se oponga a la presente Ley.</w:t>
      </w:r>
    </w:p>
    <w:p w:rsidR="00A76052" w:rsidRPr="005D7253" w:rsidRDefault="00A76052" w:rsidP="00A76052">
      <w:pPr>
        <w:spacing w:after="0" w:line="240" w:lineRule="auto"/>
        <w:jc w:val="both"/>
        <w:rPr>
          <w:rFonts w:ascii="Arial" w:hAnsi="Arial" w:cs="Arial"/>
        </w:rPr>
      </w:pPr>
    </w:p>
    <w:p w:rsidR="00A76052" w:rsidRPr="005D7253" w:rsidRDefault="00A76052" w:rsidP="00A76052">
      <w:pPr>
        <w:spacing w:after="0" w:line="240" w:lineRule="auto"/>
        <w:jc w:val="both"/>
        <w:rPr>
          <w:rFonts w:ascii="Arial" w:hAnsi="Arial" w:cs="Arial"/>
        </w:rPr>
      </w:pPr>
      <w:r w:rsidRPr="005D7253">
        <w:rPr>
          <w:rFonts w:ascii="Arial" w:hAnsi="Arial" w:cs="Arial"/>
        </w:rPr>
        <w:t>Precísase que los procesos de formalización ejecutados y en ejecución al amparo de la Ley Nº 28391 y el Decreto Supremo Nº 005-2005-JUS son válidos.</w:t>
      </w:r>
    </w:p>
    <w:p w:rsidR="00A76052" w:rsidRPr="005D7253" w:rsidRDefault="00A76052" w:rsidP="00A76052">
      <w:pPr>
        <w:spacing w:after="0" w:line="240" w:lineRule="auto"/>
        <w:jc w:val="both"/>
        <w:rPr>
          <w:rFonts w:ascii="Arial" w:hAnsi="Arial" w:cs="Arial"/>
        </w:rPr>
      </w:pPr>
    </w:p>
    <w:p w:rsidR="00A76052" w:rsidRPr="00385FA5" w:rsidRDefault="00A76052" w:rsidP="00A76052">
      <w:pPr>
        <w:spacing w:after="0" w:line="240" w:lineRule="auto"/>
        <w:jc w:val="both"/>
        <w:rPr>
          <w:rFonts w:ascii="Arial" w:hAnsi="Arial" w:cs="Arial"/>
          <w:b/>
        </w:rPr>
      </w:pPr>
      <w:r w:rsidRPr="00385FA5">
        <w:rPr>
          <w:rFonts w:ascii="Arial" w:hAnsi="Arial" w:cs="Arial"/>
          <w:b/>
        </w:rPr>
        <w:t>OCTAVA.- De la vigencia</w:t>
      </w:r>
    </w:p>
    <w:p w:rsidR="00A76052" w:rsidRPr="005D7253" w:rsidRDefault="00A76052" w:rsidP="00A76052">
      <w:pPr>
        <w:spacing w:after="0" w:line="240" w:lineRule="auto"/>
        <w:jc w:val="both"/>
        <w:rPr>
          <w:rFonts w:ascii="Arial" w:hAnsi="Arial" w:cs="Arial"/>
        </w:rPr>
      </w:pPr>
      <w:r w:rsidRPr="005D7253">
        <w:rPr>
          <w:rFonts w:ascii="Arial" w:hAnsi="Arial" w:cs="Arial"/>
        </w:rPr>
        <w:t>La Ley entrará en vigencia al día siguiente de su publicación en el Diario Oficial El Peruano.</w:t>
      </w:r>
    </w:p>
    <w:p w:rsidR="00A76052" w:rsidRPr="005D7253" w:rsidRDefault="00A76052" w:rsidP="00A76052">
      <w:pPr>
        <w:spacing w:after="0" w:line="240" w:lineRule="auto"/>
        <w:jc w:val="both"/>
        <w:rPr>
          <w:rFonts w:ascii="Arial" w:hAnsi="Arial" w:cs="Arial"/>
        </w:rPr>
      </w:pPr>
    </w:p>
    <w:p w:rsidR="00A76052" w:rsidRPr="005D7253" w:rsidRDefault="00A76052" w:rsidP="00A76052">
      <w:pPr>
        <w:spacing w:after="0" w:line="240" w:lineRule="auto"/>
        <w:jc w:val="both"/>
        <w:rPr>
          <w:rFonts w:ascii="Arial" w:hAnsi="Arial" w:cs="Arial"/>
        </w:rPr>
      </w:pPr>
      <w:r w:rsidRPr="005D7253">
        <w:rPr>
          <w:rFonts w:ascii="Arial" w:hAnsi="Arial" w:cs="Arial"/>
        </w:rPr>
        <w:t>Comuníquese al señor Presidente de la República para su promulgación.</w:t>
      </w:r>
    </w:p>
    <w:p w:rsidR="00A76052" w:rsidRPr="005D7253" w:rsidRDefault="00A76052" w:rsidP="00A76052">
      <w:pPr>
        <w:spacing w:after="0" w:line="240" w:lineRule="auto"/>
        <w:jc w:val="both"/>
        <w:rPr>
          <w:rFonts w:ascii="Arial" w:hAnsi="Arial" w:cs="Arial"/>
        </w:rPr>
      </w:pPr>
    </w:p>
    <w:p w:rsidR="00A76052" w:rsidRPr="005D7253" w:rsidRDefault="00A76052" w:rsidP="00A76052">
      <w:pPr>
        <w:spacing w:after="0" w:line="240" w:lineRule="auto"/>
        <w:jc w:val="both"/>
        <w:rPr>
          <w:rFonts w:ascii="Arial" w:hAnsi="Arial" w:cs="Arial"/>
        </w:rPr>
      </w:pPr>
      <w:r w:rsidRPr="005D7253">
        <w:rPr>
          <w:rFonts w:ascii="Arial" w:hAnsi="Arial" w:cs="Arial"/>
        </w:rPr>
        <w:t>En Lima, a los veintidós días del mes de febrero de dos mil seis.</w:t>
      </w:r>
    </w:p>
    <w:p w:rsidR="00A76052" w:rsidRPr="005D7253" w:rsidRDefault="00A76052" w:rsidP="00A76052">
      <w:pPr>
        <w:spacing w:after="0" w:line="240" w:lineRule="auto"/>
        <w:jc w:val="both"/>
        <w:rPr>
          <w:rFonts w:ascii="Arial" w:hAnsi="Arial" w:cs="Arial"/>
        </w:rPr>
      </w:pPr>
    </w:p>
    <w:p w:rsidR="00A76052" w:rsidRPr="00385FA5" w:rsidRDefault="00A76052" w:rsidP="00A76052">
      <w:pPr>
        <w:spacing w:after="0" w:line="240" w:lineRule="auto"/>
        <w:jc w:val="both"/>
        <w:rPr>
          <w:rFonts w:ascii="Arial" w:hAnsi="Arial" w:cs="Arial"/>
          <w:b/>
        </w:rPr>
      </w:pPr>
      <w:r w:rsidRPr="00385FA5">
        <w:rPr>
          <w:rFonts w:ascii="Arial" w:hAnsi="Arial" w:cs="Arial"/>
          <w:b/>
        </w:rPr>
        <w:t>MARCIAL AYAIPOMA ALVARADO</w:t>
      </w:r>
    </w:p>
    <w:p w:rsidR="00A76052" w:rsidRPr="005D7253" w:rsidRDefault="00A76052" w:rsidP="00A76052">
      <w:pPr>
        <w:spacing w:after="0" w:line="240" w:lineRule="auto"/>
        <w:jc w:val="both"/>
        <w:rPr>
          <w:rFonts w:ascii="Arial" w:hAnsi="Arial" w:cs="Arial"/>
        </w:rPr>
      </w:pPr>
      <w:r w:rsidRPr="005D7253">
        <w:rPr>
          <w:rFonts w:ascii="Arial" w:hAnsi="Arial" w:cs="Arial"/>
        </w:rPr>
        <w:t>Presidente del Congreso de la República</w:t>
      </w:r>
    </w:p>
    <w:p w:rsidR="00A76052" w:rsidRPr="005D7253" w:rsidRDefault="00A76052" w:rsidP="00A76052">
      <w:pPr>
        <w:spacing w:after="0" w:line="240" w:lineRule="auto"/>
        <w:jc w:val="both"/>
        <w:rPr>
          <w:rFonts w:ascii="Arial" w:hAnsi="Arial" w:cs="Arial"/>
        </w:rPr>
      </w:pPr>
    </w:p>
    <w:p w:rsidR="00A76052" w:rsidRPr="00385FA5" w:rsidRDefault="00A76052" w:rsidP="00A76052">
      <w:pPr>
        <w:spacing w:after="0" w:line="240" w:lineRule="auto"/>
        <w:jc w:val="both"/>
        <w:rPr>
          <w:rFonts w:ascii="Arial" w:hAnsi="Arial" w:cs="Arial"/>
          <w:b/>
        </w:rPr>
      </w:pPr>
      <w:r w:rsidRPr="00385FA5">
        <w:rPr>
          <w:rFonts w:ascii="Arial" w:hAnsi="Arial" w:cs="Arial"/>
          <w:b/>
        </w:rPr>
        <w:t>FAUSTO ALVARADO DODERO</w:t>
      </w:r>
    </w:p>
    <w:p w:rsidR="00A76052" w:rsidRPr="005D7253" w:rsidRDefault="00A76052" w:rsidP="00A76052">
      <w:pPr>
        <w:spacing w:after="0" w:line="240" w:lineRule="auto"/>
        <w:jc w:val="both"/>
        <w:rPr>
          <w:rFonts w:ascii="Arial" w:hAnsi="Arial" w:cs="Arial"/>
        </w:rPr>
      </w:pPr>
      <w:r w:rsidRPr="005D7253">
        <w:rPr>
          <w:rFonts w:ascii="Arial" w:hAnsi="Arial" w:cs="Arial"/>
        </w:rPr>
        <w:t>Primer Vicepresidente del Congreso de la República</w:t>
      </w:r>
    </w:p>
    <w:p w:rsidR="00A76052" w:rsidRPr="005D7253" w:rsidRDefault="00A76052" w:rsidP="00A76052">
      <w:pPr>
        <w:spacing w:after="0" w:line="240" w:lineRule="auto"/>
        <w:jc w:val="both"/>
        <w:rPr>
          <w:rFonts w:ascii="Arial" w:hAnsi="Arial" w:cs="Arial"/>
        </w:rPr>
      </w:pPr>
    </w:p>
    <w:p w:rsidR="00A76052" w:rsidRPr="00385FA5" w:rsidRDefault="00A76052" w:rsidP="00A76052">
      <w:pPr>
        <w:spacing w:after="0" w:line="240" w:lineRule="auto"/>
        <w:jc w:val="both"/>
        <w:rPr>
          <w:rFonts w:ascii="Arial" w:hAnsi="Arial" w:cs="Arial"/>
          <w:b/>
        </w:rPr>
      </w:pPr>
      <w:r w:rsidRPr="00385FA5">
        <w:rPr>
          <w:rFonts w:ascii="Arial" w:hAnsi="Arial" w:cs="Arial"/>
          <w:b/>
        </w:rPr>
        <w:t>AL SEÑOR PRESIDENTE CONSTITUCIONAL DE LA REPÚBLICA</w:t>
      </w:r>
    </w:p>
    <w:p w:rsidR="00A76052" w:rsidRPr="00385FA5" w:rsidRDefault="00A76052" w:rsidP="00A76052">
      <w:pPr>
        <w:spacing w:after="0" w:line="240" w:lineRule="auto"/>
        <w:jc w:val="both"/>
        <w:rPr>
          <w:rFonts w:ascii="Arial" w:hAnsi="Arial" w:cs="Arial"/>
          <w:b/>
        </w:rPr>
      </w:pPr>
    </w:p>
    <w:p w:rsidR="00A76052" w:rsidRPr="00385FA5" w:rsidRDefault="00A76052" w:rsidP="00A76052">
      <w:pPr>
        <w:spacing w:after="0" w:line="240" w:lineRule="auto"/>
        <w:jc w:val="both"/>
        <w:rPr>
          <w:rFonts w:ascii="Arial" w:hAnsi="Arial" w:cs="Arial"/>
          <w:b/>
        </w:rPr>
      </w:pPr>
      <w:r w:rsidRPr="00385FA5">
        <w:rPr>
          <w:rFonts w:ascii="Arial" w:hAnsi="Arial" w:cs="Arial"/>
          <w:b/>
        </w:rPr>
        <w:t>POR TANTO:</w:t>
      </w:r>
    </w:p>
    <w:p w:rsidR="00A76052" w:rsidRPr="005D7253" w:rsidRDefault="00A76052" w:rsidP="00A76052">
      <w:pPr>
        <w:spacing w:after="0" w:line="240" w:lineRule="auto"/>
        <w:jc w:val="both"/>
        <w:rPr>
          <w:rFonts w:ascii="Arial" w:hAnsi="Arial" w:cs="Arial"/>
        </w:rPr>
      </w:pPr>
      <w:r w:rsidRPr="005D7253">
        <w:rPr>
          <w:rFonts w:ascii="Arial" w:hAnsi="Arial" w:cs="Arial"/>
        </w:rPr>
        <w:t>Mando se publique y cumpla.</w:t>
      </w:r>
    </w:p>
    <w:p w:rsidR="00A76052" w:rsidRPr="005D7253" w:rsidRDefault="00A76052" w:rsidP="00A76052">
      <w:pPr>
        <w:spacing w:after="0" w:line="240" w:lineRule="auto"/>
        <w:jc w:val="both"/>
        <w:rPr>
          <w:rFonts w:ascii="Arial" w:hAnsi="Arial" w:cs="Arial"/>
        </w:rPr>
      </w:pPr>
      <w:r w:rsidRPr="005D7253">
        <w:rPr>
          <w:rFonts w:ascii="Arial" w:hAnsi="Arial" w:cs="Arial"/>
        </w:rPr>
        <w:t>Dado en la Casa de Gobierno, en Lima, a los quince días del mes de marzo del año dos mil seis.</w:t>
      </w:r>
    </w:p>
    <w:p w:rsidR="00A76052" w:rsidRPr="005D7253" w:rsidRDefault="00A76052" w:rsidP="00A76052">
      <w:pPr>
        <w:spacing w:after="0" w:line="240" w:lineRule="auto"/>
        <w:jc w:val="both"/>
        <w:rPr>
          <w:rFonts w:ascii="Arial" w:hAnsi="Arial" w:cs="Arial"/>
        </w:rPr>
      </w:pPr>
    </w:p>
    <w:p w:rsidR="00A76052" w:rsidRPr="00385FA5" w:rsidRDefault="00A76052" w:rsidP="00A76052">
      <w:pPr>
        <w:spacing w:after="0" w:line="240" w:lineRule="auto"/>
        <w:jc w:val="both"/>
        <w:rPr>
          <w:rFonts w:ascii="Arial" w:hAnsi="Arial" w:cs="Arial"/>
          <w:b/>
        </w:rPr>
      </w:pPr>
      <w:r w:rsidRPr="005D7253">
        <w:rPr>
          <w:rFonts w:ascii="Arial" w:hAnsi="Arial" w:cs="Arial"/>
        </w:rPr>
        <w:tab/>
      </w:r>
      <w:r w:rsidRPr="00385FA5">
        <w:rPr>
          <w:rFonts w:ascii="Arial" w:hAnsi="Arial" w:cs="Arial"/>
          <w:b/>
        </w:rPr>
        <w:t>ALEJANDRO TOLEDO</w:t>
      </w:r>
    </w:p>
    <w:p w:rsidR="00A76052" w:rsidRPr="005D7253" w:rsidRDefault="00A76052" w:rsidP="00A76052">
      <w:pPr>
        <w:spacing w:after="0" w:line="240" w:lineRule="auto"/>
        <w:jc w:val="both"/>
        <w:rPr>
          <w:rFonts w:ascii="Arial" w:hAnsi="Arial" w:cs="Arial"/>
        </w:rPr>
      </w:pPr>
      <w:r w:rsidRPr="005D7253">
        <w:rPr>
          <w:rFonts w:ascii="Arial" w:hAnsi="Arial" w:cs="Arial"/>
        </w:rPr>
        <w:tab/>
        <w:t>Presidente Constitucional de la República</w:t>
      </w:r>
    </w:p>
    <w:p w:rsidR="00A76052" w:rsidRPr="005D7253" w:rsidRDefault="00A76052" w:rsidP="00A76052">
      <w:pPr>
        <w:spacing w:after="0" w:line="240" w:lineRule="auto"/>
        <w:jc w:val="both"/>
        <w:rPr>
          <w:rFonts w:ascii="Arial" w:hAnsi="Arial" w:cs="Arial"/>
        </w:rPr>
      </w:pPr>
    </w:p>
    <w:p w:rsidR="00A76052" w:rsidRPr="00385FA5" w:rsidRDefault="00A76052" w:rsidP="00A76052">
      <w:pPr>
        <w:spacing w:after="0" w:line="240" w:lineRule="auto"/>
        <w:jc w:val="both"/>
        <w:rPr>
          <w:rFonts w:ascii="Arial" w:hAnsi="Arial" w:cs="Arial"/>
          <w:b/>
        </w:rPr>
      </w:pPr>
      <w:r w:rsidRPr="005D7253">
        <w:rPr>
          <w:rFonts w:ascii="Arial" w:hAnsi="Arial" w:cs="Arial"/>
        </w:rPr>
        <w:tab/>
      </w:r>
      <w:r w:rsidRPr="00385FA5">
        <w:rPr>
          <w:rFonts w:ascii="Arial" w:hAnsi="Arial" w:cs="Arial"/>
          <w:b/>
        </w:rPr>
        <w:t>PEDRO PABLO KUCZYNSKI GODARD</w:t>
      </w:r>
    </w:p>
    <w:p w:rsidR="00C60A91" w:rsidRPr="005D7253" w:rsidRDefault="00A76052" w:rsidP="00A76052">
      <w:pPr>
        <w:spacing w:after="0" w:line="240" w:lineRule="auto"/>
        <w:jc w:val="both"/>
        <w:rPr>
          <w:rFonts w:ascii="Arial" w:hAnsi="Arial" w:cs="Arial"/>
        </w:rPr>
      </w:pPr>
      <w:r w:rsidRPr="005D7253">
        <w:rPr>
          <w:rFonts w:ascii="Arial" w:hAnsi="Arial" w:cs="Arial"/>
        </w:rPr>
        <w:tab/>
        <w:t>Presidente del Consejo de Ministros</w:t>
      </w:r>
    </w:p>
    <w:p w:rsidR="00C60A91" w:rsidRDefault="00C60A91"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60A91" w:rsidRDefault="00C60A91" w:rsidP="00C60A91">
      <w:pPr>
        <w:pStyle w:val="TITO10"/>
      </w:pPr>
    </w:p>
    <w:p w:rsidR="00C60A91" w:rsidRDefault="00C60A91"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A1E07" w:rsidRDefault="00CA1E07" w:rsidP="006312E8">
      <w:pPr>
        <w:spacing w:after="0" w:line="240" w:lineRule="auto"/>
        <w:contextualSpacing/>
        <w:jc w:val="both"/>
        <w:rPr>
          <w:rFonts w:ascii="Arial" w:eastAsia="Calibri" w:hAnsi="Arial" w:cs="Arial"/>
          <w:lang w:val="es-ES"/>
        </w:rPr>
      </w:pPr>
    </w:p>
    <w:p w:rsidR="00CA1E07" w:rsidRDefault="00CA1E07" w:rsidP="006312E8">
      <w:pPr>
        <w:spacing w:after="0" w:line="240" w:lineRule="auto"/>
        <w:contextualSpacing/>
        <w:jc w:val="both"/>
        <w:rPr>
          <w:rFonts w:ascii="Arial" w:eastAsia="Calibri" w:hAnsi="Arial" w:cs="Arial"/>
          <w:lang w:val="es-ES"/>
        </w:rPr>
      </w:pPr>
    </w:p>
    <w:p w:rsidR="00CA1E07" w:rsidRDefault="00CA1E07" w:rsidP="006312E8">
      <w:pPr>
        <w:spacing w:after="0" w:line="240" w:lineRule="auto"/>
        <w:contextualSpacing/>
        <w:jc w:val="both"/>
        <w:rPr>
          <w:rFonts w:ascii="Arial" w:eastAsia="Calibri" w:hAnsi="Arial" w:cs="Arial"/>
          <w:lang w:val="es-ES"/>
        </w:rPr>
      </w:pPr>
    </w:p>
    <w:p w:rsidR="00CA1E07" w:rsidRDefault="00CA1E07" w:rsidP="006312E8">
      <w:pPr>
        <w:spacing w:after="0" w:line="240" w:lineRule="auto"/>
        <w:contextualSpacing/>
        <w:jc w:val="both"/>
        <w:rPr>
          <w:rFonts w:ascii="Arial" w:eastAsia="Calibri" w:hAnsi="Arial" w:cs="Arial"/>
          <w:lang w:val="es-ES"/>
        </w:rPr>
      </w:pPr>
    </w:p>
    <w:p w:rsidR="00CA1E07" w:rsidRDefault="00CA1E07" w:rsidP="006312E8">
      <w:pPr>
        <w:spacing w:after="0" w:line="240" w:lineRule="auto"/>
        <w:contextualSpacing/>
        <w:jc w:val="both"/>
        <w:rPr>
          <w:rFonts w:ascii="Arial" w:eastAsia="Calibri" w:hAnsi="Arial" w:cs="Arial"/>
          <w:lang w:val="es-ES"/>
        </w:rPr>
      </w:pPr>
    </w:p>
    <w:p w:rsidR="00CA1E07" w:rsidRDefault="00CA1E07" w:rsidP="006312E8">
      <w:pPr>
        <w:spacing w:after="0" w:line="240" w:lineRule="auto"/>
        <w:contextualSpacing/>
        <w:jc w:val="both"/>
        <w:rPr>
          <w:rFonts w:ascii="Arial" w:eastAsia="Calibri" w:hAnsi="Arial" w:cs="Arial"/>
          <w:lang w:val="es-ES"/>
        </w:rPr>
      </w:pPr>
    </w:p>
    <w:p w:rsidR="00CA1E07" w:rsidRDefault="00CA1E07" w:rsidP="006312E8">
      <w:pPr>
        <w:spacing w:after="0" w:line="240" w:lineRule="auto"/>
        <w:contextualSpacing/>
        <w:jc w:val="both"/>
        <w:rPr>
          <w:rFonts w:ascii="Arial" w:eastAsia="Calibri" w:hAnsi="Arial" w:cs="Arial"/>
          <w:lang w:val="es-ES"/>
        </w:rPr>
      </w:pPr>
    </w:p>
    <w:p w:rsidR="00CA1E07" w:rsidRDefault="00CA1E07" w:rsidP="006312E8">
      <w:pPr>
        <w:spacing w:after="0" w:line="240" w:lineRule="auto"/>
        <w:contextualSpacing/>
        <w:jc w:val="both"/>
        <w:rPr>
          <w:rFonts w:ascii="Arial" w:eastAsia="Calibri" w:hAnsi="Arial" w:cs="Arial"/>
          <w:lang w:val="es-ES"/>
        </w:rPr>
      </w:pPr>
    </w:p>
    <w:p w:rsidR="00CA1E07" w:rsidRDefault="00CA1E07" w:rsidP="006312E8">
      <w:pPr>
        <w:spacing w:after="0" w:line="240" w:lineRule="auto"/>
        <w:contextualSpacing/>
        <w:jc w:val="both"/>
        <w:rPr>
          <w:rFonts w:ascii="Arial" w:eastAsia="Calibri" w:hAnsi="Arial" w:cs="Arial"/>
          <w:lang w:val="es-ES"/>
        </w:rPr>
      </w:pPr>
    </w:p>
    <w:p w:rsidR="00CA1E07" w:rsidRDefault="00CA1E07" w:rsidP="006312E8">
      <w:pPr>
        <w:spacing w:after="0" w:line="240" w:lineRule="auto"/>
        <w:contextualSpacing/>
        <w:jc w:val="both"/>
        <w:rPr>
          <w:rFonts w:ascii="Arial" w:eastAsia="Calibri" w:hAnsi="Arial" w:cs="Arial"/>
          <w:lang w:val="es-ES"/>
        </w:rPr>
      </w:pPr>
    </w:p>
    <w:p w:rsidR="00CA1E07" w:rsidRDefault="00CA1E07" w:rsidP="006312E8">
      <w:pPr>
        <w:spacing w:after="0" w:line="240" w:lineRule="auto"/>
        <w:contextualSpacing/>
        <w:jc w:val="both"/>
        <w:rPr>
          <w:rFonts w:ascii="Arial" w:eastAsia="Calibri" w:hAnsi="Arial" w:cs="Arial"/>
          <w:lang w:val="es-ES"/>
        </w:rPr>
      </w:pPr>
    </w:p>
    <w:p w:rsidR="00CA1E07" w:rsidRDefault="00CA1E07" w:rsidP="006312E8">
      <w:pPr>
        <w:spacing w:after="0" w:line="240" w:lineRule="auto"/>
        <w:contextualSpacing/>
        <w:jc w:val="both"/>
        <w:rPr>
          <w:rFonts w:ascii="Arial" w:eastAsia="Calibri" w:hAnsi="Arial" w:cs="Arial"/>
          <w:lang w:val="es-ES"/>
        </w:rPr>
      </w:pPr>
    </w:p>
    <w:p w:rsidR="00CA1E07" w:rsidRDefault="00CA1E07" w:rsidP="006312E8">
      <w:pPr>
        <w:spacing w:after="0" w:line="240" w:lineRule="auto"/>
        <w:contextualSpacing/>
        <w:jc w:val="both"/>
        <w:rPr>
          <w:rFonts w:ascii="Arial" w:eastAsia="Calibri" w:hAnsi="Arial" w:cs="Arial"/>
          <w:lang w:val="es-ES"/>
        </w:rPr>
      </w:pPr>
    </w:p>
    <w:p w:rsidR="00CA1E07" w:rsidRDefault="00CA1E07" w:rsidP="006312E8">
      <w:pPr>
        <w:spacing w:after="0" w:line="240" w:lineRule="auto"/>
        <w:contextualSpacing/>
        <w:jc w:val="both"/>
        <w:rPr>
          <w:rFonts w:ascii="Arial" w:eastAsia="Calibri" w:hAnsi="Arial" w:cs="Arial"/>
          <w:lang w:val="es-ES"/>
        </w:rPr>
      </w:pPr>
    </w:p>
    <w:p w:rsidR="00CA1E07" w:rsidRDefault="00CA1E07" w:rsidP="006312E8">
      <w:pPr>
        <w:spacing w:after="0" w:line="240" w:lineRule="auto"/>
        <w:contextualSpacing/>
        <w:jc w:val="both"/>
        <w:rPr>
          <w:rFonts w:ascii="Arial" w:eastAsia="Calibri" w:hAnsi="Arial" w:cs="Arial"/>
          <w:lang w:val="es-ES"/>
        </w:rPr>
      </w:pPr>
    </w:p>
    <w:p w:rsidR="00CA1E07" w:rsidRDefault="00CA1E07" w:rsidP="006312E8">
      <w:pPr>
        <w:spacing w:after="0" w:line="240" w:lineRule="auto"/>
        <w:contextualSpacing/>
        <w:jc w:val="both"/>
        <w:rPr>
          <w:rFonts w:ascii="Arial" w:eastAsia="Calibri" w:hAnsi="Arial" w:cs="Arial"/>
          <w:lang w:val="es-ES"/>
        </w:rPr>
      </w:pPr>
    </w:p>
    <w:p w:rsidR="00CA1E07" w:rsidRDefault="00CA1E07" w:rsidP="006312E8">
      <w:pPr>
        <w:spacing w:after="0" w:line="240" w:lineRule="auto"/>
        <w:contextualSpacing/>
        <w:jc w:val="both"/>
        <w:rPr>
          <w:rFonts w:ascii="Arial" w:eastAsia="Calibri" w:hAnsi="Arial" w:cs="Arial"/>
          <w:lang w:val="es-ES"/>
        </w:rPr>
      </w:pPr>
    </w:p>
    <w:p w:rsidR="00CA1E07" w:rsidRDefault="00CA1E07" w:rsidP="006312E8">
      <w:pPr>
        <w:spacing w:after="0" w:line="240" w:lineRule="auto"/>
        <w:contextualSpacing/>
        <w:jc w:val="both"/>
        <w:rPr>
          <w:rFonts w:ascii="Arial" w:eastAsia="Calibri" w:hAnsi="Arial" w:cs="Arial"/>
          <w:lang w:val="es-ES"/>
        </w:rPr>
      </w:pPr>
    </w:p>
    <w:p w:rsidR="00CA1E07" w:rsidRDefault="00CA1E07"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60A91" w:rsidRDefault="00CA1E07" w:rsidP="00CA1E07">
      <w:pPr>
        <w:pStyle w:val="TITO2"/>
      </w:pPr>
      <w:bookmarkStart w:id="490" w:name="_Toc470855600"/>
      <w:r>
        <w:t>DECRETO SUPREMO 011-2015-VIVIENDA</w:t>
      </w:r>
      <w:bookmarkEnd w:id="490"/>
    </w:p>
    <w:p w:rsidR="00CA1E07" w:rsidRDefault="00CA1E07" w:rsidP="00CA1E07"/>
    <w:p w:rsidR="00CA1E07" w:rsidRPr="00CA1E07" w:rsidRDefault="00CA1E07" w:rsidP="00CA1E07">
      <w:pPr>
        <w:jc w:val="right"/>
        <w:rPr>
          <w:rFonts w:ascii="Arial" w:hAnsi="Arial" w:cs="Arial"/>
          <w:b/>
        </w:rPr>
      </w:pPr>
      <w:r w:rsidRPr="00CA1E07">
        <w:rPr>
          <w:rFonts w:ascii="Arial" w:hAnsi="Arial" w:cs="Arial"/>
          <w:b/>
        </w:rPr>
        <w:t>Fecha de publicación: 16-07-2015</w:t>
      </w:r>
    </w:p>
    <w:p w:rsidR="00C60A91" w:rsidRDefault="00C60A91" w:rsidP="006312E8">
      <w:pPr>
        <w:spacing w:after="0" w:line="240" w:lineRule="auto"/>
        <w:contextualSpacing/>
        <w:jc w:val="both"/>
        <w:rPr>
          <w:rFonts w:ascii="Arial" w:eastAsia="Calibri" w:hAnsi="Arial" w:cs="Arial"/>
          <w:lang w:val="es-ES"/>
        </w:rPr>
      </w:pPr>
    </w:p>
    <w:p w:rsidR="00CA1E07" w:rsidRDefault="00CA1E07" w:rsidP="00CA1E07">
      <w:pPr>
        <w:spacing w:after="0" w:line="240" w:lineRule="auto"/>
        <w:contextualSpacing/>
        <w:jc w:val="center"/>
        <w:rPr>
          <w:rFonts w:ascii="Arial" w:eastAsia="Calibri" w:hAnsi="Arial" w:cs="Arial"/>
          <w:lang w:val="es-ES"/>
        </w:rPr>
      </w:pPr>
      <w:r w:rsidRPr="00CA1E07">
        <w:rPr>
          <w:rFonts w:ascii="Arial" w:eastAsia="Calibri" w:hAnsi="Arial" w:cs="Arial"/>
          <w:lang w:val="es-ES"/>
        </w:rPr>
        <w:t>Aprueban disposiciones complementarias sobre transferencia de predios de propiedad del Estado, para proyectos de construcción de viviendas de interés social y servicios complementarios adjudicados en los concursos promovidos por el Fondo MIVIVIENDA Sociedad Anónima</w:t>
      </w:r>
    </w:p>
    <w:p w:rsidR="00CA1E07" w:rsidRDefault="00CA1E07" w:rsidP="00CA1E07">
      <w:pPr>
        <w:spacing w:after="0" w:line="240" w:lineRule="auto"/>
        <w:contextualSpacing/>
        <w:jc w:val="both"/>
        <w:rPr>
          <w:rFonts w:ascii="Arial" w:eastAsia="Calibri" w:hAnsi="Arial" w:cs="Arial"/>
          <w:lang w:val="es-ES"/>
        </w:rPr>
      </w:pPr>
    </w:p>
    <w:p w:rsidR="00CA1E07" w:rsidRPr="00CA1E07" w:rsidRDefault="00CA1E07" w:rsidP="00CA1E07">
      <w:pPr>
        <w:spacing w:after="0" w:line="240" w:lineRule="auto"/>
        <w:contextualSpacing/>
        <w:jc w:val="both"/>
        <w:rPr>
          <w:rFonts w:ascii="Arial" w:eastAsia="Calibri" w:hAnsi="Arial" w:cs="Arial"/>
          <w:b/>
          <w:lang w:val="es-ES"/>
        </w:rPr>
      </w:pPr>
      <w:r w:rsidRPr="00CA1E07">
        <w:rPr>
          <w:rFonts w:ascii="Arial" w:eastAsia="Calibri" w:hAnsi="Arial" w:cs="Arial"/>
          <w:b/>
          <w:lang w:val="es-ES"/>
        </w:rPr>
        <w:t>EL PRESIDENTE DE LA REPÚBLICA</w:t>
      </w:r>
    </w:p>
    <w:p w:rsidR="00CA1E07" w:rsidRPr="00CA1E07" w:rsidRDefault="00CA1E07" w:rsidP="00CA1E07">
      <w:pPr>
        <w:spacing w:after="0" w:line="240" w:lineRule="auto"/>
        <w:contextualSpacing/>
        <w:jc w:val="both"/>
        <w:rPr>
          <w:rFonts w:ascii="Arial" w:eastAsia="Calibri" w:hAnsi="Arial" w:cs="Arial"/>
          <w:b/>
          <w:lang w:val="es-ES"/>
        </w:rPr>
      </w:pPr>
      <w:r w:rsidRPr="00CA1E07">
        <w:rPr>
          <w:rFonts w:ascii="Arial" w:eastAsia="Calibri" w:hAnsi="Arial" w:cs="Arial"/>
          <w:b/>
          <w:lang w:val="es-ES"/>
        </w:rPr>
        <w:t>CONSIDERANDO:</w:t>
      </w:r>
    </w:p>
    <w:p w:rsidR="00CA1E07" w:rsidRPr="00CA1E07" w:rsidRDefault="00CA1E07" w:rsidP="00CA1E07">
      <w:pPr>
        <w:spacing w:after="0" w:line="240" w:lineRule="auto"/>
        <w:contextualSpacing/>
        <w:jc w:val="both"/>
        <w:rPr>
          <w:rFonts w:ascii="Arial" w:eastAsia="Calibri" w:hAnsi="Arial" w:cs="Arial"/>
          <w:lang w:val="es-ES"/>
        </w:rPr>
      </w:pPr>
    </w:p>
    <w:p w:rsidR="00CA1E07" w:rsidRPr="00CA1E07" w:rsidRDefault="00CA1E07" w:rsidP="00CA1E07">
      <w:pPr>
        <w:spacing w:after="0" w:line="240" w:lineRule="auto"/>
        <w:contextualSpacing/>
        <w:jc w:val="both"/>
        <w:rPr>
          <w:rFonts w:ascii="Arial" w:eastAsia="Calibri" w:hAnsi="Arial" w:cs="Arial"/>
          <w:lang w:val="es-ES"/>
        </w:rPr>
      </w:pPr>
      <w:r w:rsidRPr="00CA1E07">
        <w:rPr>
          <w:rFonts w:ascii="Arial" w:eastAsia="Calibri" w:hAnsi="Arial" w:cs="Arial"/>
          <w:lang w:val="es-ES"/>
        </w:rPr>
        <w:t>Que, el artículo II del Título Preliminar de la Ley Nº 29158, Ley Orgánica del Poder Ejecutivo, establece que las entidades del Poder Ejecutivo están al servicio de las personas y de la sociedad; actúan en función de sus necesidades, así como del interés general de la nación;</w:t>
      </w:r>
    </w:p>
    <w:p w:rsidR="00CA1E07" w:rsidRPr="00CA1E07" w:rsidRDefault="00CA1E07" w:rsidP="00CA1E07">
      <w:pPr>
        <w:spacing w:after="0" w:line="240" w:lineRule="auto"/>
        <w:contextualSpacing/>
        <w:jc w:val="both"/>
        <w:rPr>
          <w:rFonts w:ascii="Arial" w:eastAsia="Calibri" w:hAnsi="Arial" w:cs="Arial"/>
          <w:lang w:val="es-ES"/>
        </w:rPr>
      </w:pPr>
    </w:p>
    <w:p w:rsidR="00CA1E07" w:rsidRPr="00CA1E07" w:rsidRDefault="00CA1E07" w:rsidP="00CA1E07">
      <w:pPr>
        <w:spacing w:after="0" w:line="240" w:lineRule="auto"/>
        <w:contextualSpacing/>
        <w:jc w:val="both"/>
        <w:rPr>
          <w:rFonts w:ascii="Arial" w:eastAsia="Calibri" w:hAnsi="Arial" w:cs="Arial"/>
          <w:lang w:val="es-ES"/>
        </w:rPr>
      </w:pPr>
      <w:r w:rsidRPr="00CA1E07">
        <w:rPr>
          <w:rFonts w:ascii="Arial" w:eastAsia="Calibri" w:hAnsi="Arial" w:cs="Arial"/>
          <w:lang w:val="es-ES"/>
        </w:rPr>
        <w:t>Que, constituye objetivo específico de la Política de Vivienda, contenido en el “Plan Nacional de Vivienda - Vivienda para Todos: Lineamientos de Política 2006 - 2015”, aprobado por Decreto Supremo Nº 005-2006-VIVIENDA, entre otros, la de facilitar el acceso al suelo y promover las inversiones inmobiliarias con fines residenciales, especialmente las dirigidas a familias pobres; asimismo, dentro de sus estrategias, se establece que el Estado cumple un rol facilitador y promotor de la iniciativa de los demás agentes que son los que fundamentalmente se encargan del diseño, la ejecución, la comercialización y el financiamiento de los programas habitacionales, para lo cual el sector estatal otorga medios de financiamiento, subsidios directos, un marco normativo, facilidades fiscales, información actualizada y recursos tecnológicos, especialmente suelo urbano; y finalmente, prevé como una línea de acción, la modernización normativa dirigida a facilitar y promover la inversión inmobiliaria en edificaciones nuevas;</w:t>
      </w:r>
    </w:p>
    <w:p w:rsidR="00CA1E07" w:rsidRPr="00CA1E07" w:rsidRDefault="00CA1E07" w:rsidP="00CA1E07">
      <w:pPr>
        <w:spacing w:after="0" w:line="240" w:lineRule="auto"/>
        <w:contextualSpacing/>
        <w:jc w:val="both"/>
        <w:rPr>
          <w:rFonts w:ascii="Arial" w:eastAsia="Calibri" w:hAnsi="Arial" w:cs="Arial"/>
          <w:lang w:val="es-ES"/>
        </w:rPr>
      </w:pPr>
    </w:p>
    <w:p w:rsidR="00CA1E07" w:rsidRPr="00CA1E07" w:rsidRDefault="00CA1E07" w:rsidP="00CA1E07">
      <w:pPr>
        <w:spacing w:after="0" w:line="240" w:lineRule="auto"/>
        <w:contextualSpacing/>
        <w:jc w:val="both"/>
        <w:rPr>
          <w:rFonts w:ascii="Arial" w:eastAsia="Calibri" w:hAnsi="Arial" w:cs="Arial"/>
          <w:lang w:val="es-ES"/>
        </w:rPr>
      </w:pPr>
      <w:r w:rsidRPr="00CA1E07">
        <w:rPr>
          <w:rFonts w:ascii="Arial" w:eastAsia="Calibri" w:hAnsi="Arial" w:cs="Arial"/>
          <w:lang w:val="es-ES"/>
        </w:rPr>
        <w:t>Que, el artículo 4 de la Ley Nº 30156, Ley de Organización y Funciones del Ministerio de Vivienda, Construcción y Saneamiento - MVCS, establece que el citado Ministerio tiene como finalidad, entre otras, promover el desarrollo del mercado inmobiliario y la inversión en infraestructura, y equipamiento en los centros poblados;</w:t>
      </w:r>
    </w:p>
    <w:p w:rsidR="00CA1E07" w:rsidRPr="00CA1E07" w:rsidRDefault="00CA1E07" w:rsidP="00CA1E07">
      <w:pPr>
        <w:spacing w:after="0" w:line="240" w:lineRule="auto"/>
        <w:contextualSpacing/>
        <w:jc w:val="both"/>
        <w:rPr>
          <w:rFonts w:ascii="Arial" w:eastAsia="Calibri" w:hAnsi="Arial" w:cs="Arial"/>
          <w:lang w:val="es-ES"/>
        </w:rPr>
      </w:pPr>
    </w:p>
    <w:p w:rsidR="00CA1E07" w:rsidRPr="00CA1E07" w:rsidRDefault="00CA1E07" w:rsidP="00CA1E07">
      <w:pPr>
        <w:spacing w:after="0" w:line="240" w:lineRule="auto"/>
        <w:contextualSpacing/>
        <w:jc w:val="both"/>
        <w:rPr>
          <w:rFonts w:ascii="Arial" w:eastAsia="Calibri" w:hAnsi="Arial" w:cs="Arial"/>
          <w:lang w:val="es-ES"/>
        </w:rPr>
      </w:pPr>
      <w:r w:rsidRPr="00CA1E07">
        <w:rPr>
          <w:rFonts w:ascii="Arial" w:eastAsia="Calibri" w:hAnsi="Arial" w:cs="Arial"/>
          <w:lang w:val="es-ES"/>
        </w:rPr>
        <w:t>Que, por Decreto Supremo Nº 010-2002-MTC, que constituye la Comisión de Coordinación para facilitar la construcción de viviendas, a fin de promover el acceso de la población a la propiedad privada, modificado por el Decreto Supremo Nº 009-2012-VIVIENDA, se declaró de interés nacional la ejecución de actividades destinadas a facilitar la construcción y promoción del acceso de la población a la propiedad privada destinada a la vivienda, para cuyo efecto se realizan, entre otras acciones, el coordinar y facilitar el uso racional de los terrenos de dominio privado del Estado, para la ejecución de proyectos habitacionales; el coordinar y concertar en base a una segmentación de mercado, la participación del Fondo MIVIVIENDA S.A. - FMV y de las entidades del Sistema Financiero en el financiamiento de los proyectos de vivienda, en el marco de las atribuciones de cada una de dichas entidades; constituyéndose para dicho fin la Comisión de Coordinación con la finalidad de promover el acceso de la población a la propiedad privada destinada a la vivienda;</w:t>
      </w:r>
    </w:p>
    <w:p w:rsidR="00CA1E07" w:rsidRPr="00CA1E07" w:rsidRDefault="00CA1E07" w:rsidP="00CA1E07">
      <w:pPr>
        <w:spacing w:after="0" w:line="240" w:lineRule="auto"/>
        <w:contextualSpacing/>
        <w:jc w:val="both"/>
        <w:rPr>
          <w:rFonts w:ascii="Arial" w:eastAsia="Calibri" w:hAnsi="Arial" w:cs="Arial"/>
          <w:lang w:val="es-ES"/>
        </w:rPr>
      </w:pPr>
    </w:p>
    <w:p w:rsidR="00CA1E07" w:rsidRPr="00CA1E07" w:rsidRDefault="00CA1E07" w:rsidP="00CA1E07">
      <w:pPr>
        <w:spacing w:after="0" w:line="240" w:lineRule="auto"/>
        <w:contextualSpacing/>
        <w:jc w:val="both"/>
        <w:rPr>
          <w:rFonts w:ascii="Arial" w:eastAsia="Calibri" w:hAnsi="Arial" w:cs="Arial"/>
          <w:lang w:val="es-ES"/>
        </w:rPr>
      </w:pPr>
      <w:r w:rsidRPr="00CA1E07">
        <w:rPr>
          <w:rFonts w:ascii="Arial" w:eastAsia="Calibri" w:hAnsi="Arial" w:cs="Arial"/>
          <w:lang w:val="es-ES"/>
        </w:rPr>
        <w:t>Que, el literal k) del artículo 6 del Título I del Estatuto Social del FMV, aprobado por Acuerdo de Directorio del Fondo Nacional de Financiamiento de la Actividad Empresarial del Estado - FONAFE Nº 004-2005-016-FONAFE del 29 de junio de 2005, señala como una de sus funciones, la de organizar y realizar concursos y subastas de inmuebles de propiedad del FMV o de propiedad de personas naturales o jurídicas, privadas o públicas, para el desarrollo de proyectos inmobiliarios, así como ejecutar todas las actividades que sean necesarias para el desarrollo y culminación de dichos concursos y subastas;</w:t>
      </w:r>
    </w:p>
    <w:p w:rsidR="00CA1E07" w:rsidRPr="00CA1E07" w:rsidRDefault="00CA1E07" w:rsidP="00CA1E07">
      <w:pPr>
        <w:spacing w:after="0" w:line="240" w:lineRule="auto"/>
        <w:contextualSpacing/>
        <w:jc w:val="both"/>
        <w:rPr>
          <w:rFonts w:ascii="Arial" w:eastAsia="Calibri" w:hAnsi="Arial" w:cs="Arial"/>
          <w:lang w:val="es-ES"/>
        </w:rPr>
      </w:pPr>
    </w:p>
    <w:p w:rsidR="00CA1E07" w:rsidRPr="00CA1E07" w:rsidRDefault="00CA1E07" w:rsidP="00CA1E07">
      <w:pPr>
        <w:spacing w:after="0" w:line="240" w:lineRule="auto"/>
        <w:contextualSpacing/>
        <w:jc w:val="both"/>
        <w:rPr>
          <w:rFonts w:ascii="Arial" w:eastAsia="Calibri" w:hAnsi="Arial" w:cs="Arial"/>
          <w:lang w:val="es-ES"/>
        </w:rPr>
      </w:pPr>
      <w:r w:rsidRPr="00CA1E07">
        <w:rPr>
          <w:rFonts w:ascii="Arial" w:eastAsia="Calibri" w:hAnsi="Arial" w:cs="Arial"/>
          <w:lang w:val="es-ES"/>
        </w:rPr>
        <w:t>Que, con Decreto Supremo Nº 003-2012-VIVIENDA, se creó el Programa Generación de Suelo Urbano - PGSU, en el MVCS, bajo el ámbito del Viceministerio de Vivienda y Urbanismo, con el propósito de atender la demanda de suelo urbano con fines de vivienda social y servicios complementarios de infraestructura y de equipamiento mediante la promoción de acciones de recuperación y/o transformación urbana y desarrollo de proyectos de producción de nuevo suelo urbano; siendo uno de los objetivos del PGSU, el promover el desarrollo de inversiones encaminadas a dar un mayor y mejor uso del suelo mediante la modalidad de asociación pública privada u otras permitidas por la legislación vigente, así como por mecanismos de facilitación urbana, para el desarrollo de proyectos de vivienda social y sus servicios complementarios;</w:t>
      </w:r>
    </w:p>
    <w:p w:rsidR="00CA1E07" w:rsidRPr="00CA1E07" w:rsidRDefault="00CA1E07" w:rsidP="00CA1E07">
      <w:pPr>
        <w:spacing w:after="0" w:line="240" w:lineRule="auto"/>
        <w:contextualSpacing/>
        <w:jc w:val="both"/>
        <w:rPr>
          <w:rFonts w:ascii="Arial" w:eastAsia="Calibri" w:hAnsi="Arial" w:cs="Arial"/>
          <w:lang w:val="es-ES"/>
        </w:rPr>
      </w:pPr>
    </w:p>
    <w:p w:rsidR="00CA1E07" w:rsidRPr="00CA1E07" w:rsidRDefault="00CA1E07" w:rsidP="00CA1E07">
      <w:pPr>
        <w:spacing w:after="0" w:line="240" w:lineRule="auto"/>
        <w:contextualSpacing/>
        <w:jc w:val="both"/>
        <w:rPr>
          <w:rFonts w:ascii="Arial" w:eastAsia="Calibri" w:hAnsi="Arial" w:cs="Arial"/>
          <w:lang w:val="es-ES"/>
        </w:rPr>
      </w:pPr>
      <w:r w:rsidRPr="00CA1E07">
        <w:rPr>
          <w:rFonts w:ascii="Arial" w:eastAsia="Calibri" w:hAnsi="Arial" w:cs="Arial"/>
          <w:lang w:val="es-ES"/>
        </w:rPr>
        <w:t>Que, de conformidad a lo señalado por el artículo 39 del Manual de Operaciones del PGSU, aprobado por la Resolución Ministerial Nº 207-2013-VIVIENDA, el citado programa para el cumplimiento de sus objetivos, puede encargar a terceros como el FMV, la organización y realización de concursos para la adjudicación de los predios de propiedad del MVCS, que permitan el desarrollo de proyectos de vivienda social y servicios complementarios de infraestructura y de equipamiento;</w:t>
      </w:r>
    </w:p>
    <w:p w:rsidR="00CA1E07" w:rsidRPr="00CA1E07" w:rsidRDefault="00CA1E07" w:rsidP="00CA1E07">
      <w:pPr>
        <w:spacing w:after="0" w:line="240" w:lineRule="auto"/>
        <w:contextualSpacing/>
        <w:jc w:val="both"/>
        <w:rPr>
          <w:rFonts w:ascii="Arial" w:eastAsia="Calibri" w:hAnsi="Arial" w:cs="Arial"/>
          <w:lang w:val="es-ES"/>
        </w:rPr>
      </w:pPr>
    </w:p>
    <w:p w:rsidR="00CA1E07" w:rsidRPr="00CA1E07" w:rsidRDefault="00CA1E07" w:rsidP="00CA1E07">
      <w:pPr>
        <w:spacing w:after="0" w:line="240" w:lineRule="auto"/>
        <w:contextualSpacing/>
        <w:jc w:val="both"/>
        <w:rPr>
          <w:rFonts w:ascii="Arial" w:eastAsia="Calibri" w:hAnsi="Arial" w:cs="Arial"/>
          <w:lang w:val="es-ES"/>
        </w:rPr>
      </w:pPr>
      <w:r w:rsidRPr="00CA1E07">
        <w:rPr>
          <w:rFonts w:ascii="Arial" w:eastAsia="Calibri" w:hAnsi="Arial" w:cs="Arial"/>
          <w:lang w:val="es-ES"/>
        </w:rPr>
        <w:t>Que, mediante la Ley Nº 28579, Ley de Conversión del Fondo Hipotecario de la Vivienda - Fondo MIVIVIENDA a Fondo MIVIVIENDA S.A., dicho organismo se convirtió en una empresa estatal de derecho privado, bajo la modalidad de sociedad anónima, estableciéndose en su Cuarta Disposición Final, que toda referencia normativa al Fondo Hipotecario de Promoción de la Vivienda - Fondo MIVIVIENDA o, a las competencias, funciones y atribuciones que venía ejerciendo, se entenderán efectuadas al FMV, en tanto no se opongan a dicha Ley y a su Estatuto; en atención a lo dispuesto por la citada disposición final se ha continuado aplicando como marco legal para las transferencias de los predios concursados por el FMV, la Tercera Disposición Final del Reglamento del Fondo Hipotecario de Promoción de la Vivienda Fondo MIVIVIENDA, aprobado por el Decreto Supremo Nº 006-2002-EF, y sus modificatorias;</w:t>
      </w:r>
    </w:p>
    <w:p w:rsidR="00CA1E07" w:rsidRPr="00CA1E07" w:rsidRDefault="00CA1E07" w:rsidP="00CA1E07">
      <w:pPr>
        <w:spacing w:after="0" w:line="240" w:lineRule="auto"/>
        <w:contextualSpacing/>
        <w:jc w:val="both"/>
        <w:rPr>
          <w:rFonts w:ascii="Arial" w:eastAsia="Calibri" w:hAnsi="Arial" w:cs="Arial"/>
          <w:lang w:val="es-ES"/>
        </w:rPr>
      </w:pPr>
    </w:p>
    <w:p w:rsidR="00CA1E07" w:rsidRPr="00CA1E07" w:rsidRDefault="00CA1E07" w:rsidP="00CA1E07">
      <w:pPr>
        <w:spacing w:after="0" w:line="240" w:lineRule="auto"/>
        <w:contextualSpacing/>
        <w:jc w:val="both"/>
        <w:rPr>
          <w:rFonts w:ascii="Arial" w:eastAsia="Calibri" w:hAnsi="Arial" w:cs="Arial"/>
          <w:lang w:val="es-ES"/>
        </w:rPr>
      </w:pPr>
      <w:r w:rsidRPr="00CA1E07">
        <w:rPr>
          <w:rFonts w:ascii="Arial" w:eastAsia="Calibri" w:hAnsi="Arial" w:cs="Arial"/>
          <w:lang w:val="es-ES"/>
        </w:rPr>
        <w:t>Que, con la finalidad de actualizar, dar celeridad y complementar el marco normativo referido a la transferencia de predios estatales adjudicados en los concursos que promueve el FMV, es necesario establecer que la SBN, respecto a los predios bajo su administración, como el MVCS, respecto a los predios de su propiedad, puedan encargar al FMV la organización y realización de los correspondientes concursos; sin demandar norma autoritativa para la formalización de la transferencia de dominio; asimismo, definir la intervención del PGSU referida a establecer condiciones favorables para el desarrollo de proyectos inmobiliarios entre otros; por ello es necesario aprobar disposiciones que regulen la transferencia de predios de propiedad del Estado, para proyectos de construcción de viviendas de interés social y servicios complementarios adjudicados en los concursos promovidos por el FMV;</w:t>
      </w:r>
    </w:p>
    <w:p w:rsidR="00CA1E07" w:rsidRPr="00CA1E07" w:rsidRDefault="00CA1E07" w:rsidP="00CA1E07">
      <w:pPr>
        <w:spacing w:after="0" w:line="240" w:lineRule="auto"/>
        <w:contextualSpacing/>
        <w:jc w:val="both"/>
        <w:rPr>
          <w:rFonts w:ascii="Arial" w:eastAsia="Calibri" w:hAnsi="Arial" w:cs="Arial"/>
          <w:lang w:val="es-ES"/>
        </w:rPr>
      </w:pPr>
    </w:p>
    <w:p w:rsidR="00CA1E07" w:rsidRPr="00CA1E07" w:rsidRDefault="00CA1E07" w:rsidP="00CA1E07">
      <w:pPr>
        <w:spacing w:after="0" w:line="240" w:lineRule="auto"/>
        <w:contextualSpacing/>
        <w:jc w:val="both"/>
        <w:rPr>
          <w:rFonts w:ascii="Arial" w:eastAsia="Calibri" w:hAnsi="Arial" w:cs="Arial"/>
          <w:lang w:val="es-ES"/>
        </w:rPr>
      </w:pPr>
      <w:r w:rsidRPr="00CA1E07">
        <w:rPr>
          <w:rFonts w:ascii="Arial" w:eastAsia="Calibri" w:hAnsi="Arial" w:cs="Arial"/>
          <w:lang w:val="es-ES"/>
        </w:rPr>
        <w:t>De conformidad con el inciso 8) del artículo 118 de la Constitución Política del Perú; el numeral 3 del artículo 11 de la Ley Nº 29158, Ley Orgánica del Poder Ejecutivo; la Ley Nº 30156, Ley de Organización y Funciones del Ministerio de Vivienda, Construcción y Saneamiento, y su Reglamento de Organización y Funciones aprobado por el Decreto Supremo Nº 010-2014-VIVIENDA y modificatoria aprobada por Decreto Supremo Nº 006-2015-VIVIENDA;</w:t>
      </w:r>
    </w:p>
    <w:p w:rsidR="00CA1E07" w:rsidRPr="00CA1E07" w:rsidRDefault="00CA1E07" w:rsidP="00CA1E07">
      <w:pPr>
        <w:spacing w:after="0" w:line="240" w:lineRule="auto"/>
        <w:contextualSpacing/>
        <w:jc w:val="both"/>
        <w:rPr>
          <w:rFonts w:ascii="Arial" w:eastAsia="Calibri" w:hAnsi="Arial" w:cs="Arial"/>
          <w:lang w:val="es-ES"/>
        </w:rPr>
      </w:pPr>
    </w:p>
    <w:p w:rsidR="00CA1E07" w:rsidRPr="00CA1E07" w:rsidRDefault="00CA1E07" w:rsidP="00CA1E07">
      <w:pPr>
        <w:spacing w:after="0" w:line="240" w:lineRule="auto"/>
        <w:contextualSpacing/>
        <w:jc w:val="both"/>
        <w:rPr>
          <w:rFonts w:ascii="Arial" w:eastAsia="Calibri" w:hAnsi="Arial" w:cs="Arial"/>
          <w:b/>
          <w:lang w:val="es-ES"/>
        </w:rPr>
      </w:pPr>
      <w:r w:rsidRPr="00CA1E07">
        <w:rPr>
          <w:rFonts w:ascii="Arial" w:eastAsia="Calibri" w:hAnsi="Arial" w:cs="Arial"/>
          <w:b/>
          <w:lang w:val="es-ES"/>
        </w:rPr>
        <w:t>DECRETA:</w:t>
      </w:r>
    </w:p>
    <w:p w:rsidR="00CA1E07" w:rsidRPr="00CA1E07" w:rsidRDefault="00CA1E07" w:rsidP="00CA1E07">
      <w:pPr>
        <w:spacing w:after="0" w:line="240" w:lineRule="auto"/>
        <w:contextualSpacing/>
        <w:jc w:val="both"/>
        <w:rPr>
          <w:rFonts w:ascii="Arial" w:eastAsia="Calibri" w:hAnsi="Arial" w:cs="Arial"/>
          <w:b/>
          <w:lang w:val="es-ES"/>
        </w:rPr>
      </w:pPr>
      <w:r w:rsidRPr="00CA1E07">
        <w:rPr>
          <w:rFonts w:ascii="Arial" w:eastAsia="Calibri" w:hAnsi="Arial" w:cs="Arial"/>
          <w:b/>
          <w:lang w:val="es-ES"/>
        </w:rPr>
        <w:t>Artículo 1.- De la intervención del Programa Generación de Suelo Urbano</w:t>
      </w:r>
    </w:p>
    <w:p w:rsidR="00CA1E07" w:rsidRPr="00CA1E07" w:rsidRDefault="00CA1E07" w:rsidP="00CA1E07">
      <w:pPr>
        <w:spacing w:after="0" w:line="240" w:lineRule="auto"/>
        <w:contextualSpacing/>
        <w:jc w:val="both"/>
        <w:rPr>
          <w:rFonts w:ascii="Arial" w:eastAsia="Calibri" w:hAnsi="Arial" w:cs="Arial"/>
          <w:lang w:val="es-ES"/>
        </w:rPr>
      </w:pPr>
      <w:r w:rsidRPr="00CA1E07">
        <w:rPr>
          <w:rFonts w:ascii="Arial" w:eastAsia="Calibri" w:hAnsi="Arial" w:cs="Arial"/>
          <w:lang w:val="es-ES"/>
        </w:rPr>
        <w:t>El Programa Generación de Suelo Urbano - PGSU tiene a su cargo realizar todas las acciones, actividades, estudios y/o actos administrativos encaminados a establecer condiciones favorables para el desarrollo de proyectos inmobiliarios, con fines de vivienda social y servicios complementarios de infraestructura y de equipamiento, respecto a los predios del Estado identificados por la Comisión de Coordinación constituida por el Decreto Supremo Nº 010-2002-MTC.</w:t>
      </w:r>
    </w:p>
    <w:p w:rsidR="00CA1E07" w:rsidRPr="00CA1E07" w:rsidRDefault="00CA1E07" w:rsidP="00CA1E07">
      <w:pPr>
        <w:spacing w:after="0" w:line="240" w:lineRule="auto"/>
        <w:contextualSpacing/>
        <w:jc w:val="both"/>
        <w:rPr>
          <w:rFonts w:ascii="Arial" w:eastAsia="Calibri" w:hAnsi="Arial" w:cs="Arial"/>
          <w:lang w:val="es-ES"/>
        </w:rPr>
      </w:pPr>
    </w:p>
    <w:p w:rsidR="00CA1E07" w:rsidRPr="00CA1E07" w:rsidRDefault="00CA1E07" w:rsidP="00CA1E07">
      <w:pPr>
        <w:spacing w:after="0" w:line="240" w:lineRule="auto"/>
        <w:contextualSpacing/>
        <w:jc w:val="both"/>
        <w:rPr>
          <w:rFonts w:ascii="Arial" w:eastAsia="Calibri" w:hAnsi="Arial" w:cs="Arial"/>
          <w:b/>
          <w:lang w:val="es-ES"/>
        </w:rPr>
      </w:pPr>
      <w:r w:rsidRPr="00CA1E07">
        <w:rPr>
          <w:rFonts w:ascii="Arial" w:eastAsia="Calibri" w:hAnsi="Arial" w:cs="Arial"/>
          <w:b/>
          <w:lang w:val="es-ES"/>
        </w:rPr>
        <w:t>Artículo 2.- Del encargo al Fondo MIVIVIENDA S.A., para el concurso de predios estatales para el desarrollo de proyectos inmobiliarios, con fines de vivienda social y servicios complementarios de infraestructura y de equipamiento</w:t>
      </w:r>
    </w:p>
    <w:p w:rsidR="00CA1E07" w:rsidRPr="00CA1E07" w:rsidRDefault="00CA1E07" w:rsidP="00CA1E07">
      <w:pPr>
        <w:spacing w:after="0" w:line="240" w:lineRule="auto"/>
        <w:contextualSpacing/>
        <w:jc w:val="both"/>
        <w:rPr>
          <w:rFonts w:ascii="Arial" w:eastAsia="Calibri" w:hAnsi="Arial" w:cs="Arial"/>
          <w:lang w:val="es-ES"/>
        </w:rPr>
      </w:pPr>
    </w:p>
    <w:p w:rsidR="00CA1E07" w:rsidRPr="00CA1E07" w:rsidRDefault="00CA1E07" w:rsidP="00CA1E07">
      <w:pPr>
        <w:spacing w:after="0" w:line="240" w:lineRule="auto"/>
        <w:ind w:left="1134" w:hanging="567"/>
        <w:contextualSpacing/>
        <w:jc w:val="both"/>
        <w:rPr>
          <w:rFonts w:ascii="Arial" w:eastAsia="Calibri" w:hAnsi="Arial" w:cs="Arial"/>
          <w:lang w:val="es-ES"/>
        </w:rPr>
      </w:pPr>
      <w:r w:rsidRPr="00CA1E07">
        <w:rPr>
          <w:rFonts w:ascii="Arial" w:eastAsia="Calibri" w:hAnsi="Arial" w:cs="Arial"/>
          <w:lang w:val="es-ES"/>
        </w:rPr>
        <w:t xml:space="preserve">2.1 </w:t>
      </w:r>
      <w:r>
        <w:rPr>
          <w:rFonts w:ascii="Arial" w:eastAsia="Calibri" w:hAnsi="Arial" w:cs="Arial"/>
          <w:lang w:val="es-ES"/>
        </w:rPr>
        <w:tab/>
      </w:r>
      <w:r w:rsidRPr="00CA1E07">
        <w:rPr>
          <w:rFonts w:ascii="Arial" w:eastAsia="Calibri" w:hAnsi="Arial" w:cs="Arial"/>
          <w:lang w:val="es-ES"/>
        </w:rPr>
        <w:t>El Ministerio de Vivienda, Construcción y Saneamiento - MVCS, a través del PGSU, puede encargar mediante comunicación escrita al Fondo MIVIVIENDA S.A. - FMV, la organización y realización de concursos de predios de su propiedad que hayan sido identificados bajo el marco del Decreto Supremo Nº 010-2002-MTC, para el desarrollo de proyectos inmobiliarios, con fines de vivienda social y servicios complementarios de infraestructura y de equipamiento.</w:t>
      </w:r>
    </w:p>
    <w:p w:rsidR="00CA1E07" w:rsidRPr="00CA1E07" w:rsidRDefault="00CA1E07" w:rsidP="00CA1E07">
      <w:pPr>
        <w:spacing w:after="0" w:line="240" w:lineRule="auto"/>
        <w:ind w:left="1134" w:hanging="567"/>
        <w:contextualSpacing/>
        <w:jc w:val="both"/>
        <w:rPr>
          <w:rFonts w:ascii="Arial" w:eastAsia="Calibri" w:hAnsi="Arial" w:cs="Arial"/>
          <w:lang w:val="es-ES"/>
        </w:rPr>
      </w:pPr>
    </w:p>
    <w:p w:rsidR="00CA1E07" w:rsidRPr="00CA1E07" w:rsidRDefault="00CA1E07" w:rsidP="00CA1E07">
      <w:pPr>
        <w:spacing w:after="0" w:line="240" w:lineRule="auto"/>
        <w:ind w:left="1134" w:hanging="567"/>
        <w:contextualSpacing/>
        <w:jc w:val="both"/>
        <w:rPr>
          <w:rFonts w:ascii="Arial" w:eastAsia="Calibri" w:hAnsi="Arial" w:cs="Arial"/>
          <w:lang w:val="es-ES"/>
        </w:rPr>
      </w:pPr>
      <w:r w:rsidRPr="00CA1E07">
        <w:rPr>
          <w:rFonts w:ascii="Arial" w:eastAsia="Calibri" w:hAnsi="Arial" w:cs="Arial"/>
          <w:lang w:val="es-ES"/>
        </w:rPr>
        <w:t xml:space="preserve">2.2 </w:t>
      </w:r>
      <w:r>
        <w:rPr>
          <w:rFonts w:ascii="Arial" w:eastAsia="Calibri" w:hAnsi="Arial" w:cs="Arial"/>
          <w:lang w:val="es-ES"/>
        </w:rPr>
        <w:tab/>
      </w:r>
      <w:r w:rsidRPr="00CA1E07">
        <w:rPr>
          <w:rFonts w:ascii="Arial" w:eastAsia="Calibri" w:hAnsi="Arial" w:cs="Arial"/>
          <w:lang w:val="es-ES"/>
        </w:rPr>
        <w:t>En el supuesto que el predio de propiedad del Estado, se encuentre bajo la administración de la Superintendencia Nacional de Bienes Estatales, y es identificado por la Comisión de Coordinación constituida por el Decreto Supremo Nº 010-2002-MTC, el PGSU puede encargar mediante comunicación escrita al FMV, la organización y realización del concurso del predio, para el desarrollo de proyectos inmobiliarios, con fines de vivienda social y servicios complementarios de infraestructura y de equipamiento.</w:t>
      </w:r>
    </w:p>
    <w:p w:rsidR="00CA1E07" w:rsidRPr="00CA1E07" w:rsidRDefault="00CA1E07" w:rsidP="00CA1E07">
      <w:pPr>
        <w:spacing w:after="0" w:line="240" w:lineRule="auto"/>
        <w:contextualSpacing/>
        <w:jc w:val="both"/>
        <w:rPr>
          <w:rFonts w:ascii="Arial" w:eastAsia="Calibri" w:hAnsi="Arial" w:cs="Arial"/>
          <w:lang w:val="es-ES"/>
        </w:rPr>
      </w:pPr>
    </w:p>
    <w:p w:rsidR="00CA1E07" w:rsidRPr="00CA1E07" w:rsidRDefault="00CA1E07" w:rsidP="00CA1E07">
      <w:pPr>
        <w:spacing w:after="0" w:line="240" w:lineRule="auto"/>
        <w:contextualSpacing/>
        <w:jc w:val="both"/>
        <w:rPr>
          <w:rFonts w:ascii="Arial" w:eastAsia="Calibri" w:hAnsi="Arial" w:cs="Arial"/>
          <w:b/>
          <w:lang w:val="es-ES"/>
        </w:rPr>
      </w:pPr>
      <w:r w:rsidRPr="00CA1E07">
        <w:rPr>
          <w:rFonts w:ascii="Arial" w:eastAsia="Calibri" w:hAnsi="Arial" w:cs="Arial"/>
          <w:b/>
          <w:lang w:val="es-ES"/>
        </w:rPr>
        <w:t>Artículo 3.- De la suscripción del contrato de compraventa y otros documentos necesarios</w:t>
      </w:r>
    </w:p>
    <w:p w:rsidR="00CA1E07" w:rsidRPr="00CA1E07" w:rsidRDefault="00CA1E07" w:rsidP="00CA1E07">
      <w:pPr>
        <w:spacing w:after="0" w:line="240" w:lineRule="auto"/>
        <w:contextualSpacing/>
        <w:jc w:val="both"/>
        <w:rPr>
          <w:rFonts w:ascii="Arial" w:eastAsia="Calibri" w:hAnsi="Arial" w:cs="Arial"/>
          <w:lang w:val="es-ES"/>
        </w:rPr>
      </w:pPr>
      <w:r w:rsidRPr="00CA1E07">
        <w:rPr>
          <w:rFonts w:ascii="Arial" w:eastAsia="Calibri" w:hAnsi="Arial" w:cs="Arial"/>
          <w:lang w:val="es-ES"/>
        </w:rPr>
        <w:t>Una vez llevado a cabo el concurso y otorgada la Buena Pro al adjudicatario por parte del FMV, previo al cumplimiento de los requisitos establecidos en las bases del concurso, se suscriben los documentos de la transferencia de dominio del predio, sin requerir norma autoritativa adicional, conforme a lo siguiente:</w:t>
      </w:r>
    </w:p>
    <w:p w:rsidR="00CA1E07" w:rsidRPr="00CA1E07" w:rsidRDefault="00CA1E07" w:rsidP="00CA1E07">
      <w:pPr>
        <w:spacing w:after="0" w:line="240" w:lineRule="auto"/>
        <w:contextualSpacing/>
        <w:jc w:val="both"/>
        <w:rPr>
          <w:rFonts w:ascii="Arial" w:eastAsia="Calibri" w:hAnsi="Arial" w:cs="Arial"/>
          <w:lang w:val="es-ES"/>
        </w:rPr>
      </w:pPr>
    </w:p>
    <w:p w:rsidR="00CA1E07" w:rsidRPr="00CA1E07" w:rsidRDefault="00CA1E07" w:rsidP="00CA1E07">
      <w:pPr>
        <w:spacing w:after="0" w:line="240" w:lineRule="auto"/>
        <w:ind w:left="1134" w:hanging="567"/>
        <w:contextualSpacing/>
        <w:jc w:val="both"/>
        <w:rPr>
          <w:rFonts w:ascii="Arial" w:eastAsia="Calibri" w:hAnsi="Arial" w:cs="Arial"/>
          <w:lang w:val="es-ES"/>
        </w:rPr>
      </w:pPr>
      <w:r w:rsidRPr="00CA1E07">
        <w:rPr>
          <w:rFonts w:ascii="Arial" w:eastAsia="Calibri" w:hAnsi="Arial" w:cs="Arial"/>
          <w:lang w:val="es-ES"/>
        </w:rPr>
        <w:t xml:space="preserve">3.1 </w:t>
      </w:r>
      <w:r>
        <w:rPr>
          <w:rFonts w:ascii="Arial" w:eastAsia="Calibri" w:hAnsi="Arial" w:cs="Arial"/>
          <w:lang w:val="es-ES"/>
        </w:rPr>
        <w:tab/>
      </w:r>
      <w:r w:rsidRPr="00CA1E07">
        <w:rPr>
          <w:rFonts w:ascii="Arial" w:eastAsia="Calibri" w:hAnsi="Arial" w:cs="Arial"/>
          <w:lang w:val="es-ES"/>
        </w:rPr>
        <w:t>Si el predio adjudicado es de propiedad del MVCS, en su representación interviene el Titular del Sector o el funcionario a quien se delegue tal facultad, quien firma la minuta de compraventa del predio y la escritura pública correspondientes, el acta de entrega del predio; así como, realiza todos los actos y suscribe todos los documentos que sean necesarios para formalizar la transferencia de la propiedad del predio a favor del adjudicatario.</w:t>
      </w:r>
    </w:p>
    <w:p w:rsidR="00CA1E07" w:rsidRPr="00CA1E07" w:rsidRDefault="00CA1E07" w:rsidP="00CA1E07">
      <w:pPr>
        <w:spacing w:after="0" w:line="240" w:lineRule="auto"/>
        <w:ind w:left="1134" w:hanging="567"/>
        <w:contextualSpacing/>
        <w:jc w:val="both"/>
        <w:rPr>
          <w:rFonts w:ascii="Arial" w:eastAsia="Calibri" w:hAnsi="Arial" w:cs="Arial"/>
          <w:lang w:val="es-ES"/>
        </w:rPr>
      </w:pPr>
    </w:p>
    <w:p w:rsidR="00CA1E07" w:rsidRPr="00CA1E07" w:rsidRDefault="00CA1E07" w:rsidP="00CA1E07">
      <w:pPr>
        <w:spacing w:after="0" w:line="240" w:lineRule="auto"/>
        <w:ind w:left="1134" w:hanging="567"/>
        <w:contextualSpacing/>
        <w:jc w:val="both"/>
        <w:rPr>
          <w:rFonts w:ascii="Arial" w:eastAsia="Calibri" w:hAnsi="Arial" w:cs="Arial"/>
          <w:lang w:val="es-ES"/>
        </w:rPr>
      </w:pPr>
      <w:r w:rsidRPr="00CA1E07">
        <w:rPr>
          <w:rFonts w:ascii="Arial" w:eastAsia="Calibri" w:hAnsi="Arial" w:cs="Arial"/>
          <w:lang w:val="es-ES"/>
        </w:rPr>
        <w:t xml:space="preserve">3.2 </w:t>
      </w:r>
      <w:r>
        <w:rPr>
          <w:rFonts w:ascii="Arial" w:eastAsia="Calibri" w:hAnsi="Arial" w:cs="Arial"/>
          <w:lang w:val="es-ES"/>
        </w:rPr>
        <w:tab/>
      </w:r>
      <w:r w:rsidRPr="00CA1E07">
        <w:rPr>
          <w:rFonts w:ascii="Arial" w:eastAsia="Calibri" w:hAnsi="Arial" w:cs="Arial"/>
          <w:lang w:val="es-ES"/>
        </w:rPr>
        <w:t>Si el predio adjudicado es de propiedad del Estado, y se encuentra bajo la administración de la Superintendencia Nacional de Bienes Estatales, la suscripción de: La minuta de compraventa del predio, la escritura pública y todos los documentos referidos a la transferencia de dominio del predio, es efectuada por las entidades antes citadas, según corresponda.</w:t>
      </w:r>
    </w:p>
    <w:p w:rsidR="00CA1E07" w:rsidRPr="00CA1E07" w:rsidRDefault="00CA1E07" w:rsidP="00CA1E07">
      <w:pPr>
        <w:spacing w:after="0" w:line="240" w:lineRule="auto"/>
        <w:contextualSpacing/>
        <w:jc w:val="both"/>
        <w:rPr>
          <w:rFonts w:ascii="Arial" w:eastAsia="Calibri" w:hAnsi="Arial" w:cs="Arial"/>
          <w:lang w:val="es-ES"/>
        </w:rPr>
      </w:pPr>
    </w:p>
    <w:p w:rsidR="00CA1E07" w:rsidRPr="00CA1E07" w:rsidRDefault="00CA1E07" w:rsidP="00CA1E07">
      <w:pPr>
        <w:spacing w:after="0" w:line="240" w:lineRule="auto"/>
        <w:contextualSpacing/>
        <w:jc w:val="both"/>
        <w:rPr>
          <w:rFonts w:ascii="Arial" w:eastAsia="Calibri" w:hAnsi="Arial" w:cs="Arial"/>
          <w:b/>
          <w:lang w:val="es-ES"/>
        </w:rPr>
      </w:pPr>
      <w:r w:rsidRPr="00CA1E07">
        <w:rPr>
          <w:rFonts w:ascii="Arial" w:eastAsia="Calibri" w:hAnsi="Arial" w:cs="Arial"/>
          <w:b/>
          <w:lang w:val="es-ES"/>
        </w:rPr>
        <w:t>Artículo 4.- Refrendo</w:t>
      </w:r>
    </w:p>
    <w:p w:rsidR="00CA1E07" w:rsidRPr="00CA1E07" w:rsidRDefault="00CA1E07" w:rsidP="00CA1E07">
      <w:pPr>
        <w:spacing w:after="0" w:line="240" w:lineRule="auto"/>
        <w:contextualSpacing/>
        <w:jc w:val="both"/>
        <w:rPr>
          <w:rFonts w:ascii="Arial" w:eastAsia="Calibri" w:hAnsi="Arial" w:cs="Arial"/>
          <w:lang w:val="es-ES"/>
        </w:rPr>
      </w:pPr>
      <w:r w:rsidRPr="00CA1E07">
        <w:rPr>
          <w:rFonts w:ascii="Arial" w:eastAsia="Calibri" w:hAnsi="Arial" w:cs="Arial"/>
          <w:lang w:val="es-ES"/>
        </w:rPr>
        <w:t>El presente Decreto Supremo será refrendado por el Ministro de Vivienda, Construcción y Saneamiento.</w:t>
      </w:r>
    </w:p>
    <w:p w:rsidR="00CA1E07" w:rsidRPr="00CA1E07" w:rsidRDefault="00CA1E07" w:rsidP="00CA1E07">
      <w:pPr>
        <w:spacing w:after="0" w:line="240" w:lineRule="auto"/>
        <w:contextualSpacing/>
        <w:jc w:val="both"/>
        <w:rPr>
          <w:rFonts w:ascii="Arial" w:eastAsia="Calibri" w:hAnsi="Arial" w:cs="Arial"/>
          <w:lang w:val="es-ES"/>
        </w:rPr>
      </w:pPr>
    </w:p>
    <w:p w:rsidR="00CA1E07" w:rsidRPr="00CA1E07" w:rsidRDefault="00CA1E07" w:rsidP="00CA1E07">
      <w:pPr>
        <w:spacing w:after="0" w:line="240" w:lineRule="auto"/>
        <w:contextualSpacing/>
        <w:jc w:val="both"/>
        <w:rPr>
          <w:rFonts w:ascii="Arial" w:eastAsia="Calibri" w:hAnsi="Arial" w:cs="Arial"/>
          <w:b/>
          <w:lang w:val="es-ES"/>
        </w:rPr>
      </w:pPr>
      <w:r w:rsidRPr="00CA1E07">
        <w:rPr>
          <w:rFonts w:ascii="Arial" w:eastAsia="Calibri" w:hAnsi="Arial" w:cs="Arial"/>
          <w:b/>
          <w:lang w:val="es-ES"/>
        </w:rPr>
        <w:t>Disposición Complementaria Transitoria</w:t>
      </w:r>
    </w:p>
    <w:p w:rsidR="00CA1E07" w:rsidRPr="00CA1E07" w:rsidRDefault="00CA1E07" w:rsidP="00CA1E07">
      <w:pPr>
        <w:spacing w:after="0" w:line="240" w:lineRule="auto"/>
        <w:contextualSpacing/>
        <w:jc w:val="both"/>
        <w:rPr>
          <w:rFonts w:ascii="Arial" w:eastAsia="Calibri" w:hAnsi="Arial" w:cs="Arial"/>
          <w:lang w:val="es-ES"/>
        </w:rPr>
      </w:pPr>
    </w:p>
    <w:p w:rsidR="00CA1E07" w:rsidRPr="00CA1E07" w:rsidRDefault="00CA1E07" w:rsidP="00CA1E07">
      <w:pPr>
        <w:spacing w:after="0" w:line="240" w:lineRule="auto"/>
        <w:contextualSpacing/>
        <w:jc w:val="both"/>
        <w:rPr>
          <w:rFonts w:ascii="Arial" w:eastAsia="Calibri" w:hAnsi="Arial" w:cs="Arial"/>
          <w:b/>
          <w:lang w:val="es-ES"/>
        </w:rPr>
      </w:pPr>
      <w:r w:rsidRPr="00CA1E07">
        <w:rPr>
          <w:rFonts w:ascii="Arial" w:eastAsia="Calibri" w:hAnsi="Arial" w:cs="Arial"/>
          <w:b/>
          <w:lang w:val="es-ES"/>
        </w:rPr>
        <w:t>Única.- Aplicación del presente Decreto Supremo a los concursos de predios que se encuentran en trámite.</w:t>
      </w:r>
    </w:p>
    <w:p w:rsidR="00CA1E07" w:rsidRPr="00CA1E07" w:rsidRDefault="00CA1E07" w:rsidP="00CA1E07">
      <w:pPr>
        <w:spacing w:after="0" w:line="240" w:lineRule="auto"/>
        <w:contextualSpacing/>
        <w:jc w:val="both"/>
        <w:rPr>
          <w:rFonts w:ascii="Arial" w:eastAsia="Calibri" w:hAnsi="Arial" w:cs="Arial"/>
          <w:lang w:val="es-ES"/>
        </w:rPr>
      </w:pPr>
      <w:r w:rsidRPr="00CA1E07">
        <w:rPr>
          <w:rFonts w:ascii="Arial" w:eastAsia="Calibri" w:hAnsi="Arial" w:cs="Arial"/>
          <w:lang w:val="es-ES"/>
        </w:rPr>
        <w:t>Lo establecido en el presente Decreto Supremo es de aplicación inmediata a los concursos de predios para el desarrollo de proyectos inmobiliarios que se encuentran en trámite, encargados al FMV, así como de los que se encuentren pendientes de firma de contrato de compraventa, adecuándose los mismos a la presente norma en la etapa en que se encuentran (*) RECTIFICADO POR FE DE ERRATAS</w:t>
      </w:r>
    </w:p>
    <w:p w:rsidR="00CA1E07" w:rsidRPr="00CA1E07" w:rsidRDefault="00CA1E07" w:rsidP="00CA1E07">
      <w:pPr>
        <w:spacing w:after="0" w:line="240" w:lineRule="auto"/>
        <w:contextualSpacing/>
        <w:jc w:val="both"/>
        <w:rPr>
          <w:rFonts w:ascii="Arial" w:eastAsia="Calibri" w:hAnsi="Arial" w:cs="Arial"/>
          <w:lang w:val="es-ES"/>
        </w:rPr>
      </w:pPr>
    </w:p>
    <w:p w:rsidR="00CA1E07" w:rsidRPr="00CA1E07" w:rsidRDefault="00CA1E07" w:rsidP="00CA1E07">
      <w:pPr>
        <w:spacing w:after="0" w:line="240" w:lineRule="auto"/>
        <w:contextualSpacing/>
        <w:jc w:val="both"/>
        <w:rPr>
          <w:rFonts w:ascii="Arial" w:eastAsia="Calibri" w:hAnsi="Arial" w:cs="Arial"/>
          <w:b/>
          <w:lang w:val="es-ES"/>
        </w:rPr>
      </w:pPr>
      <w:r w:rsidRPr="00CA1E07">
        <w:rPr>
          <w:rFonts w:ascii="Arial" w:eastAsia="Calibri" w:hAnsi="Arial" w:cs="Arial"/>
          <w:b/>
          <w:lang w:val="es-ES"/>
        </w:rPr>
        <w:t>Disposición Complementaria Derogatoria</w:t>
      </w:r>
    </w:p>
    <w:p w:rsidR="00CA1E07" w:rsidRPr="00CA1E07" w:rsidRDefault="00CA1E07" w:rsidP="00CA1E07">
      <w:pPr>
        <w:spacing w:after="0" w:line="240" w:lineRule="auto"/>
        <w:contextualSpacing/>
        <w:jc w:val="both"/>
        <w:rPr>
          <w:rFonts w:ascii="Arial" w:eastAsia="Calibri" w:hAnsi="Arial" w:cs="Arial"/>
          <w:b/>
          <w:lang w:val="es-ES"/>
        </w:rPr>
      </w:pPr>
      <w:r w:rsidRPr="00CA1E07">
        <w:rPr>
          <w:rFonts w:ascii="Arial" w:eastAsia="Calibri" w:hAnsi="Arial" w:cs="Arial"/>
          <w:b/>
          <w:lang w:val="es-ES"/>
        </w:rPr>
        <w:t>Única.- Derogación de norma</w:t>
      </w:r>
    </w:p>
    <w:p w:rsidR="00CA1E07" w:rsidRPr="00CA1E07" w:rsidRDefault="00CA1E07" w:rsidP="00CA1E07">
      <w:pPr>
        <w:spacing w:after="0" w:line="240" w:lineRule="auto"/>
        <w:contextualSpacing/>
        <w:jc w:val="both"/>
        <w:rPr>
          <w:rFonts w:ascii="Arial" w:eastAsia="Calibri" w:hAnsi="Arial" w:cs="Arial"/>
          <w:lang w:val="es-ES"/>
        </w:rPr>
      </w:pPr>
      <w:r w:rsidRPr="00CA1E07">
        <w:rPr>
          <w:rFonts w:ascii="Arial" w:eastAsia="Calibri" w:hAnsi="Arial" w:cs="Arial"/>
          <w:lang w:val="es-ES"/>
        </w:rPr>
        <w:t>Derógase la Tercera Disposición Final del Reglamento del Fondo Hipotecario de Promoción de la Vivienda Fondo MIVIVIENDA aprobado por el Decreto Supremo Nº 006-2002-EF y sus modificatorias.</w:t>
      </w:r>
    </w:p>
    <w:p w:rsidR="00CA1E07" w:rsidRPr="00CA1E07" w:rsidRDefault="00CA1E07" w:rsidP="00CA1E07">
      <w:pPr>
        <w:spacing w:after="0" w:line="240" w:lineRule="auto"/>
        <w:contextualSpacing/>
        <w:jc w:val="both"/>
        <w:rPr>
          <w:rFonts w:ascii="Arial" w:eastAsia="Calibri" w:hAnsi="Arial" w:cs="Arial"/>
          <w:lang w:val="es-ES"/>
        </w:rPr>
      </w:pPr>
    </w:p>
    <w:p w:rsidR="00CA1E07" w:rsidRPr="00CA1E07" w:rsidRDefault="00CA1E07" w:rsidP="00CA1E07">
      <w:pPr>
        <w:spacing w:after="0" w:line="240" w:lineRule="auto"/>
        <w:contextualSpacing/>
        <w:jc w:val="both"/>
        <w:rPr>
          <w:rFonts w:ascii="Arial" w:eastAsia="Calibri" w:hAnsi="Arial" w:cs="Arial"/>
          <w:lang w:val="es-ES"/>
        </w:rPr>
      </w:pPr>
      <w:r w:rsidRPr="00CA1E07">
        <w:rPr>
          <w:rFonts w:ascii="Arial" w:eastAsia="Calibri" w:hAnsi="Arial" w:cs="Arial"/>
          <w:lang w:val="es-ES"/>
        </w:rPr>
        <w:t>Dado en la Casa de Gobierno, en Lima, a los quince días del mes de julio del año dos mil quince.</w:t>
      </w:r>
    </w:p>
    <w:p w:rsidR="00CA1E07" w:rsidRPr="00CA1E07" w:rsidRDefault="00CA1E07" w:rsidP="00CA1E07">
      <w:pPr>
        <w:spacing w:after="0" w:line="240" w:lineRule="auto"/>
        <w:contextualSpacing/>
        <w:jc w:val="both"/>
        <w:rPr>
          <w:rFonts w:ascii="Arial" w:eastAsia="Calibri" w:hAnsi="Arial" w:cs="Arial"/>
          <w:lang w:val="es-ES"/>
        </w:rPr>
      </w:pPr>
    </w:p>
    <w:p w:rsidR="00CA1E07" w:rsidRPr="00CA1E07" w:rsidRDefault="00CA1E07" w:rsidP="00CA1E07">
      <w:pPr>
        <w:spacing w:after="0" w:line="240" w:lineRule="auto"/>
        <w:contextualSpacing/>
        <w:jc w:val="both"/>
        <w:rPr>
          <w:rFonts w:ascii="Arial" w:eastAsia="Calibri" w:hAnsi="Arial" w:cs="Arial"/>
          <w:lang w:val="es-ES"/>
        </w:rPr>
      </w:pPr>
      <w:r w:rsidRPr="00CA1E07">
        <w:rPr>
          <w:rFonts w:ascii="Arial" w:eastAsia="Calibri" w:hAnsi="Arial" w:cs="Arial"/>
          <w:lang w:val="es-ES"/>
        </w:rPr>
        <w:tab/>
        <w:t>OLLANTA HUMALA TASSO</w:t>
      </w:r>
    </w:p>
    <w:p w:rsidR="00CA1E07" w:rsidRPr="00CA1E07" w:rsidRDefault="00CA1E07" w:rsidP="00CA1E07">
      <w:pPr>
        <w:spacing w:after="0" w:line="240" w:lineRule="auto"/>
        <w:contextualSpacing/>
        <w:jc w:val="both"/>
        <w:rPr>
          <w:rFonts w:ascii="Arial" w:eastAsia="Calibri" w:hAnsi="Arial" w:cs="Arial"/>
          <w:lang w:val="es-ES"/>
        </w:rPr>
      </w:pPr>
      <w:r w:rsidRPr="00CA1E07">
        <w:rPr>
          <w:rFonts w:ascii="Arial" w:eastAsia="Calibri" w:hAnsi="Arial" w:cs="Arial"/>
          <w:lang w:val="es-ES"/>
        </w:rPr>
        <w:tab/>
        <w:t>Presidente de la República</w:t>
      </w:r>
    </w:p>
    <w:p w:rsidR="00CA1E07" w:rsidRPr="00CA1E07" w:rsidRDefault="00CA1E07" w:rsidP="00CA1E07">
      <w:pPr>
        <w:spacing w:after="0" w:line="240" w:lineRule="auto"/>
        <w:contextualSpacing/>
        <w:jc w:val="both"/>
        <w:rPr>
          <w:rFonts w:ascii="Arial" w:eastAsia="Calibri" w:hAnsi="Arial" w:cs="Arial"/>
          <w:lang w:val="es-ES"/>
        </w:rPr>
      </w:pPr>
    </w:p>
    <w:p w:rsidR="00CA1E07" w:rsidRPr="00CA1E07" w:rsidRDefault="00CA1E07" w:rsidP="00CA1E07">
      <w:pPr>
        <w:spacing w:after="0" w:line="240" w:lineRule="auto"/>
        <w:contextualSpacing/>
        <w:jc w:val="both"/>
        <w:rPr>
          <w:rFonts w:ascii="Arial" w:eastAsia="Calibri" w:hAnsi="Arial" w:cs="Arial"/>
          <w:lang w:val="es-ES"/>
        </w:rPr>
      </w:pPr>
      <w:r w:rsidRPr="00CA1E07">
        <w:rPr>
          <w:rFonts w:ascii="Arial" w:eastAsia="Calibri" w:hAnsi="Arial" w:cs="Arial"/>
          <w:lang w:val="es-ES"/>
        </w:rPr>
        <w:tab/>
        <w:t>MILTON VON HESSE LA SERNA</w:t>
      </w:r>
    </w:p>
    <w:p w:rsidR="00CA1E07" w:rsidRDefault="00CA1E07" w:rsidP="00CA1E07">
      <w:pPr>
        <w:spacing w:after="0" w:line="240" w:lineRule="auto"/>
        <w:contextualSpacing/>
        <w:jc w:val="both"/>
        <w:rPr>
          <w:rFonts w:ascii="Arial" w:eastAsia="Calibri" w:hAnsi="Arial" w:cs="Arial"/>
          <w:lang w:val="es-ES"/>
        </w:rPr>
      </w:pPr>
      <w:r w:rsidRPr="00CA1E07">
        <w:rPr>
          <w:rFonts w:ascii="Arial" w:eastAsia="Calibri" w:hAnsi="Arial" w:cs="Arial"/>
          <w:lang w:val="es-ES"/>
        </w:rPr>
        <w:tab/>
        <w:t>Ministro de Vivienda, Construcción y Saneamiento</w:t>
      </w:r>
    </w:p>
    <w:p w:rsidR="00C60A91" w:rsidRDefault="00C60A91"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60A91" w:rsidRDefault="00C60A91" w:rsidP="006312E8">
      <w:pPr>
        <w:spacing w:after="0" w:line="240" w:lineRule="auto"/>
        <w:contextualSpacing/>
        <w:jc w:val="both"/>
        <w:rPr>
          <w:rFonts w:ascii="Arial" w:eastAsia="Calibri" w:hAnsi="Arial" w:cs="Arial"/>
          <w:lang w:val="es-ES"/>
        </w:rPr>
      </w:pPr>
    </w:p>
    <w:p w:rsidR="00C60A91" w:rsidRDefault="00CA1E07" w:rsidP="00CA1E07">
      <w:pPr>
        <w:pStyle w:val="TITO2"/>
        <w:rPr>
          <w:b w:val="0"/>
        </w:rPr>
      </w:pPr>
      <w:bookmarkStart w:id="491" w:name="_Toc470855601"/>
      <w:r>
        <w:t>DECRETO SUPREMO N° 010-2002-MTC</w:t>
      </w:r>
      <w:bookmarkEnd w:id="491"/>
    </w:p>
    <w:p w:rsidR="00CA1E07" w:rsidRDefault="00CA1E07" w:rsidP="00CA1E07"/>
    <w:p w:rsidR="00CA1E07" w:rsidRPr="00CA1E07" w:rsidRDefault="00CA1E07" w:rsidP="00CA1E07">
      <w:pPr>
        <w:jc w:val="right"/>
        <w:rPr>
          <w:rFonts w:ascii="Arial" w:hAnsi="Arial" w:cs="Arial"/>
          <w:b/>
        </w:rPr>
      </w:pPr>
      <w:r w:rsidRPr="00CA1E07">
        <w:rPr>
          <w:rFonts w:ascii="Arial" w:hAnsi="Arial" w:cs="Arial"/>
          <w:b/>
        </w:rPr>
        <w:t>Fecha de publicación: 20-03-2002</w:t>
      </w:r>
    </w:p>
    <w:p w:rsidR="00C60A91" w:rsidRDefault="00C60A91" w:rsidP="00CA1E07">
      <w:pPr>
        <w:pStyle w:val="TITO2"/>
      </w:pPr>
    </w:p>
    <w:p w:rsidR="00CA1E07" w:rsidRPr="00CA1E07" w:rsidRDefault="00CA1E07" w:rsidP="00CA1E07">
      <w:pPr>
        <w:spacing w:after="0" w:line="240" w:lineRule="auto"/>
        <w:contextualSpacing/>
        <w:jc w:val="both"/>
        <w:rPr>
          <w:rFonts w:ascii="Arial" w:eastAsia="Calibri" w:hAnsi="Arial" w:cs="Arial"/>
          <w:b/>
          <w:lang w:val="es-ES"/>
        </w:rPr>
      </w:pPr>
      <w:r w:rsidRPr="00CA1E07">
        <w:rPr>
          <w:rFonts w:ascii="Arial" w:eastAsia="Calibri" w:hAnsi="Arial" w:cs="Arial"/>
          <w:b/>
          <w:lang w:val="es-ES"/>
        </w:rPr>
        <w:t>EL PRESIDENTE DE LA REPÚBLICA</w:t>
      </w:r>
    </w:p>
    <w:p w:rsidR="00CA1E07" w:rsidRPr="00CA1E07" w:rsidRDefault="00CA1E07" w:rsidP="00CA1E07">
      <w:pPr>
        <w:spacing w:after="0" w:line="240" w:lineRule="auto"/>
        <w:contextualSpacing/>
        <w:jc w:val="both"/>
        <w:rPr>
          <w:rFonts w:ascii="Arial" w:eastAsia="Calibri" w:hAnsi="Arial" w:cs="Arial"/>
          <w:b/>
          <w:lang w:val="es-ES"/>
        </w:rPr>
      </w:pPr>
      <w:r w:rsidRPr="00CA1E07">
        <w:rPr>
          <w:rFonts w:ascii="Arial" w:eastAsia="Calibri" w:hAnsi="Arial" w:cs="Arial"/>
          <w:b/>
          <w:lang w:val="es-ES"/>
        </w:rPr>
        <w:t>CONSIDERANDO:</w:t>
      </w:r>
    </w:p>
    <w:p w:rsidR="00CA1E07" w:rsidRPr="00CA1E07" w:rsidRDefault="00CA1E07" w:rsidP="00CA1E07">
      <w:pPr>
        <w:spacing w:after="0" w:line="240" w:lineRule="auto"/>
        <w:contextualSpacing/>
        <w:jc w:val="both"/>
        <w:rPr>
          <w:rFonts w:ascii="Arial" w:eastAsia="Calibri" w:hAnsi="Arial" w:cs="Arial"/>
          <w:lang w:val="es-ES"/>
        </w:rPr>
      </w:pPr>
    </w:p>
    <w:p w:rsidR="00CA1E07" w:rsidRPr="00CA1E07" w:rsidRDefault="00CA1E07" w:rsidP="00CA1E07">
      <w:pPr>
        <w:spacing w:after="0" w:line="240" w:lineRule="auto"/>
        <w:contextualSpacing/>
        <w:jc w:val="both"/>
        <w:rPr>
          <w:rFonts w:ascii="Arial" w:eastAsia="Calibri" w:hAnsi="Arial" w:cs="Arial"/>
          <w:lang w:val="es-ES"/>
        </w:rPr>
      </w:pPr>
      <w:r w:rsidRPr="00CA1E07">
        <w:rPr>
          <w:rFonts w:ascii="Arial" w:eastAsia="Calibri" w:hAnsi="Arial" w:cs="Arial"/>
          <w:lang w:val="es-ES"/>
        </w:rPr>
        <w:t>Que es necesario impulsar la reactivación de la construcción, a fin de disminuir el déficit de viviendas y promover el acceso de la población a la propiedad privada de viviendas, actividad que permitirá a su vez promover el empleo en el país;</w:t>
      </w:r>
    </w:p>
    <w:p w:rsidR="00CA1E07" w:rsidRPr="00CA1E07" w:rsidRDefault="00CA1E07" w:rsidP="00CA1E07">
      <w:pPr>
        <w:spacing w:after="0" w:line="240" w:lineRule="auto"/>
        <w:contextualSpacing/>
        <w:jc w:val="both"/>
        <w:rPr>
          <w:rFonts w:ascii="Arial" w:eastAsia="Calibri" w:hAnsi="Arial" w:cs="Arial"/>
          <w:lang w:val="es-ES"/>
        </w:rPr>
      </w:pPr>
    </w:p>
    <w:p w:rsidR="00CA1E07" w:rsidRPr="00CA1E07" w:rsidRDefault="00CA1E07" w:rsidP="00CA1E07">
      <w:pPr>
        <w:spacing w:after="0" w:line="240" w:lineRule="auto"/>
        <w:contextualSpacing/>
        <w:jc w:val="both"/>
        <w:rPr>
          <w:rFonts w:ascii="Arial" w:eastAsia="Calibri" w:hAnsi="Arial" w:cs="Arial"/>
          <w:lang w:val="es-ES"/>
        </w:rPr>
      </w:pPr>
      <w:r w:rsidRPr="00CA1E07">
        <w:rPr>
          <w:rFonts w:ascii="Arial" w:eastAsia="Calibri" w:hAnsi="Arial" w:cs="Arial"/>
          <w:lang w:val="es-ES"/>
        </w:rPr>
        <w:t>Que para tal efecto, se requiere coordinar el uso racional y eficiente de los terrenos de dominio privado del Estado para fines urbanos, planificar la ejecución de las obras de accesibilidad y saneamiento, así como promover actividades facilitadoras de la inversión privada;</w:t>
      </w:r>
    </w:p>
    <w:p w:rsidR="00CA1E07" w:rsidRPr="00CA1E07" w:rsidRDefault="00CA1E07" w:rsidP="00CA1E07">
      <w:pPr>
        <w:spacing w:after="0" w:line="240" w:lineRule="auto"/>
        <w:contextualSpacing/>
        <w:jc w:val="both"/>
        <w:rPr>
          <w:rFonts w:ascii="Arial" w:eastAsia="Calibri" w:hAnsi="Arial" w:cs="Arial"/>
          <w:lang w:val="es-ES"/>
        </w:rPr>
      </w:pPr>
    </w:p>
    <w:p w:rsidR="00CA1E07" w:rsidRPr="00CA1E07" w:rsidRDefault="00CA1E07" w:rsidP="00CA1E07">
      <w:pPr>
        <w:spacing w:after="0" w:line="240" w:lineRule="auto"/>
        <w:contextualSpacing/>
        <w:jc w:val="both"/>
        <w:rPr>
          <w:rFonts w:ascii="Arial" w:eastAsia="Calibri" w:hAnsi="Arial" w:cs="Arial"/>
          <w:lang w:val="es-ES"/>
        </w:rPr>
      </w:pPr>
      <w:r w:rsidRPr="00CA1E07">
        <w:rPr>
          <w:rFonts w:ascii="Arial" w:eastAsia="Calibri" w:hAnsi="Arial" w:cs="Arial"/>
          <w:lang w:val="es-ES"/>
        </w:rPr>
        <w:t>Que asimismo, es necesario determinar los terrenos de dominio privado del Estado que puedan ser utilizados en los programas de vivienda, para que oportunamente sean transferidos y administrados dentro de un programa integral;</w:t>
      </w:r>
    </w:p>
    <w:p w:rsidR="00CA1E07" w:rsidRPr="00CA1E07" w:rsidRDefault="00CA1E07" w:rsidP="00CA1E07">
      <w:pPr>
        <w:spacing w:after="0" w:line="240" w:lineRule="auto"/>
        <w:contextualSpacing/>
        <w:jc w:val="both"/>
        <w:rPr>
          <w:rFonts w:ascii="Arial" w:eastAsia="Calibri" w:hAnsi="Arial" w:cs="Arial"/>
          <w:lang w:val="es-ES"/>
        </w:rPr>
      </w:pPr>
    </w:p>
    <w:p w:rsidR="00CA1E07" w:rsidRPr="00CA1E07" w:rsidRDefault="00CA1E07" w:rsidP="00CA1E07">
      <w:pPr>
        <w:spacing w:after="0" w:line="240" w:lineRule="auto"/>
        <w:contextualSpacing/>
        <w:jc w:val="both"/>
        <w:rPr>
          <w:rFonts w:ascii="Arial" w:eastAsia="Calibri" w:hAnsi="Arial" w:cs="Arial"/>
          <w:lang w:val="es-ES"/>
        </w:rPr>
      </w:pPr>
      <w:r w:rsidRPr="00CA1E07">
        <w:rPr>
          <w:rFonts w:ascii="Arial" w:eastAsia="Calibri" w:hAnsi="Arial" w:cs="Arial"/>
          <w:lang w:val="es-ES"/>
        </w:rPr>
        <w:t>Que en tal sentido, es necesario declarar de interés nacional la ejecución de las actividades destinadas a facilitar la construcción y promover el acceso de la población a la propiedad privada de vivienda y constituir una comisión que se encargue de coordinar y ejecutar las acciones que se requieran para el cumplimiento de dichos fines;</w:t>
      </w:r>
    </w:p>
    <w:p w:rsidR="00CA1E07" w:rsidRPr="00CA1E07" w:rsidRDefault="00CA1E07" w:rsidP="00CA1E07">
      <w:pPr>
        <w:spacing w:after="0" w:line="240" w:lineRule="auto"/>
        <w:contextualSpacing/>
        <w:jc w:val="both"/>
        <w:rPr>
          <w:rFonts w:ascii="Arial" w:eastAsia="Calibri" w:hAnsi="Arial" w:cs="Arial"/>
          <w:lang w:val="es-ES"/>
        </w:rPr>
      </w:pPr>
    </w:p>
    <w:p w:rsidR="00CA1E07" w:rsidRPr="00CA1E07" w:rsidRDefault="00CA1E07" w:rsidP="00CA1E07">
      <w:pPr>
        <w:spacing w:after="0" w:line="240" w:lineRule="auto"/>
        <w:contextualSpacing/>
        <w:jc w:val="both"/>
        <w:rPr>
          <w:rFonts w:ascii="Arial" w:eastAsia="Calibri" w:hAnsi="Arial" w:cs="Arial"/>
          <w:lang w:val="es-ES"/>
        </w:rPr>
      </w:pPr>
      <w:r w:rsidRPr="00CA1E07">
        <w:rPr>
          <w:rFonts w:ascii="Arial" w:eastAsia="Calibri" w:hAnsi="Arial" w:cs="Arial"/>
          <w:lang w:val="es-ES"/>
        </w:rPr>
        <w:t>Que siendo funciones del subsector Vivienda y Construcción del Ministerio de Transportes, Comunicaciones, Vivienda y Construcción, el desarrollo y normalización del desenvolvimiento de las actividades de vivienda y construcción, desarrollo urbano y edificaciones, resulta conveniente establecer que sea el Viceministro de Vivienda y Construcción quien presida la comisión a crearse para coordinar las actividades señaladas en el párrafo precedente;</w:t>
      </w:r>
    </w:p>
    <w:p w:rsidR="00CA1E07" w:rsidRPr="00CA1E07" w:rsidRDefault="00CA1E07" w:rsidP="00CA1E07">
      <w:pPr>
        <w:spacing w:after="0" w:line="240" w:lineRule="auto"/>
        <w:contextualSpacing/>
        <w:jc w:val="both"/>
        <w:rPr>
          <w:rFonts w:ascii="Arial" w:eastAsia="Calibri" w:hAnsi="Arial" w:cs="Arial"/>
          <w:lang w:val="es-ES"/>
        </w:rPr>
      </w:pPr>
    </w:p>
    <w:p w:rsidR="00CA1E07" w:rsidRPr="00CA1E07" w:rsidRDefault="00CA1E07" w:rsidP="00CA1E07">
      <w:pPr>
        <w:spacing w:after="0" w:line="240" w:lineRule="auto"/>
        <w:contextualSpacing/>
        <w:jc w:val="both"/>
        <w:rPr>
          <w:rFonts w:ascii="Arial" w:eastAsia="Calibri" w:hAnsi="Arial" w:cs="Arial"/>
          <w:lang w:val="es-ES"/>
        </w:rPr>
      </w:pPr>
      <w:r w:rsidRPr="00CA1E07">
        <w:rPr>
          <w:rFonts w:ascii="Arial" w:eastAsia="Calibri" w:hAnsi="Arial" w:cs="Arial"/>
          <w:lang w:val="es-ES"/>
        </w:rPr>
        <w:t>Que de conformidad con la Ley Nº 26912, el Fondo Hipotecario de Promoción de la Vivienda - Fondo MIVIVIENDA, tiene por objeto facilitar el acceso de la población a la propiedad privada de vivienda;</w:t>
      </w:r>
    </w:p>
    <w:p w:rsidR="00CA1E07" w:rsidRPr="00CA1E07" w:rsidRDefault="00CA1E07" w:rsidP="00CA1E07">
      <w:pPr>
        <w:spacing w:after="0" w:line="240" w:lineRule="auto"/>
        <w:contextualSpacing/>
        <w:jc w:val="both"/>
        <w:rPr>
          <w:rFonts w:ascii="Arial" w:eastAsia="Calibri" w:hAnsi="Arial" w:cs="Arial"/>
          <w:lang w:val="es-ES"/>
        </w:rPr>
      </w:pPr>
    </w:p>
    <w:p w:rsidR="00CA1E07" w:rsidRPr="00CA1E07" w:rsidRDefault="00CA1E07" w:rsidP="00CA1E07">
      <w:pPr>
        <w:spacing w:after="0" w:line="240" w:lineRule="auto"/>
        <w:contextualSpacing/>
        <w:jc w:val="both"/>
        <w:rPr>
          <w:rFonts w:ascii="Arial" w:eastAsia="Calibri" w:hAnsi="Arial" w:cs="Arial"/>
          <w:lang w:val="es-ES"/>
        </w:rPr>
      </w:pPr>
      <w:r w:rsidRPr="00CA1E07">
        <w:rPr>
          <w:rFonts w:ascii="Arial" w:eastAsia="Calibri" w:hAnsi="Arial" w:cs="Arial"/>
          <w:lang w:val="es-ES"/>
        </w:rPr>
        <w:t>De conformidad con lo dispuesto en el numeral 8) del Artículo 118 de la Constitución Política del Perú y el Artículo 18 del Decreto Legislativo Nº 560;</w:t>
      </w:r>
    </w:p>
    <w:p w:rsidR="00CA1E07" w:rsidRPr="00CA1E07" w:rsidRDefault="00CA1E07" w:rsidP="00CA1E07">
      <w:pPr>
        <w:spacing w:after="0" w:line="240" w:lineRule="auto"/>
        <w:contextualSpacing/>
        <w:jc w:val="both"/>
        <w:rPr>
          <w:rFonts w:ascii="Arial" w:eastAsia="Calibri" w:hAnsi="Arial" w:cs="Arial"/>
          <w:lang w:val="es-ES"/>
        </w:rPr>
      </w:pPr>
    </w:p>
    <w:p w:rsidR="00CA1E07" w:rsidRPr="00CA1E07" w:rsidRDefault="00CA1E07" w:rsidP="00CA1E07">
      <w:pPr>
        <w:spacing w:after="0" w:line="240" w:lineRule="auto"/>
        <w:contextualSpacing/>
        <w:jc w:val="both"/>
        <w:rPr>
          <w:rFonts w:ascii="Arial" w:eastAsia="Calibri" w:hAnsi="Arial" w:cs="Arial"/>
          <w:lang w:val="es-ES"/>
        </w:rPr>
      </w:pPr>
      <w:r w:rsidRPr="00CA1E07">
        <w:rPr>
          <w:rFonts w:ascii="Arial" w:eastAsia="Calibri" w:hAnsi="Arial" w:cs="Arial"/>
          <w:lang w:val="es-ES"/>
        </w:rPr>
        <w:t>Con el voto aprobatorio del Consejo de Ministros;</w:t>
      </w:r>
    </w:p>
    <w:p w:rsidR="00CA1E07" w:rsidRPr="00CA1E07" w:rsidRDefault="00CA1E07" w:rsidP="00CA1E07">
      <w:pPr>
        <w:spacing w:after="0" w:line="240" w:lineRule="auto"/>
        <w:contextualSpacing/>
        <w:jc w:val="both"/>
        <w:rPr>
          <w:rFonts w:ascii="Arial" w:eastAsia="Calibri" w:hAnsi="Arial" w:cs="Arial"/>
          <w:lang w:val="es-ES"/>
        </w:rPr>
      </w:pPr>
    </w:p>
    <w:p w:rsidR="00CA1E07" w:rsidRPr="00CA1E07" w:rsidRDefault="00CA1E07" w:rsidP="00CA1E07">
      <w:pPr>
        <w:spacing w:after="0" w:line="240" w:lineRule="auto"/>
        <w:contextualSpacing/>
        <w:jc w:val="both"/>
        <w:rPr>
          <w:rFonts w:ascii="Arial" w:eastAsia="Calibri" w:hAnsi="Arial" w:cs="Arial"/>
          <w:b/>
          <w:lang w:val="es-ES"/>
        </w:rPr>
      </w:pPr>
      <w:r w:rsidRPr="00CA1E07">
        <w:rPr>
          <w:rFonts w:ascii="Arial" w:eastAsia="Calibri" w:hAnsi="Arial" w:cs="Arial"/>
          <w:b/>
          <w:lang w:val="es-ES"/>
        </w:rPr>
        <w:t>DECRETA:</w:t>
      </w:r>
    </w:p>
    <w:p w:rsidR="00CA1E07" w:rsidRPr="00CA1E07" w:rsidRDefault="00CA1E07" w:rsidP="00CA1E07">
      <w:pPr>
        <w:spacing w:after="0" w:line="240" w:lineRule="auto"/>
        <w:contextualSpacing/>
        <w:jc w:val="both"/>
        <w:rPr>
          <w:rFonts w:ascii="Arial" w:eastAsia="Calibri" w:hAnsi="Arial" w:cs="Arial"/>
          <w:lang w:val="es-ES"/>
        </w:rPr>
      </w:pPr>
    </w:p>
    <w:p w:rsidR="00CA1E07" w:rsidRPr="00CA1E07" w:rsidRDefault="00CA1E07" w:rsidP="00CA1E07">
      <w:pPr>
        <w:spacing w:after="0" w:line="240" w:lineRule="auto"/>
        <w:contextualSpacing/>
        <w:jc w:val="both"/>
        <w:rPr>
          <w:rFonts w:ascii="Arial" w:eastAsia="Calibri" w:hAnsi="Arial" w:cs="Arial"/>
          <w:lang w:val="es-ES"/>
        </w:rPr>
      </w:pPr>
      <w:r w:rsidRPr="00CA1E07">
        <w:rPr>
          <w:rFonts w:ascii="Arial" w:eastAsia="Calibri" w:hAnsi="Arial" w:cs="Arial"/>
          <w:lang w:val="es-ES"/>
        </w:rPr>
        <w:t>Artículo 1.- Declárese de interés nacional la ejecución de actividades destinadas a facilitar la construcción y promoción del acceso de la población a la propiedad privada destinada a la vivienda. Para tal efecto, se realizarán las siguientes acciones:</w:t>
      </w:r>
    </w:p>
    <w:p w:rsidR="00CA1E07" w:rsidRPr="00CA1E07" w:rsidRDefault="00CA1E07" w:rsidP="00CA1E07">
      <w:pPr>
        <w:spacing w:after="0" w:line="240" w:lineRule="auto"/>
        <w:contextualSpacing/>
        <w:jc w:val="both"/>
        <w:rPr>
          <w:rFonts w:ascii="Arial" w:eastAsia="Calibri" w:hAnsi="Arial" w:cs="Arial"/>
          <w:lang w:val="es-ES"/>
        </w:rPr>
      </w:pPr>
    </w:p>
    <w:p w:rsidR="00CA1E07" w:rsidRPr="00CA1E07" w:rsidRDefault="00CA1E07" w:rsidP="00CA1E07">
      <w:pPr>
        <w:spacing w:after="0" w:line="240" w:lineRule="auto"/>
        <w:ind w:left="993" w:hanging="709"/>
        <w:contextualSpacing/>
        <w:jc w:val="both"/>
        <w:rPr>
          <w:rFonts w:ascii="Arial" w:eastAsia="Calibri" w:hAnsi="Arial" w:cs="Arial"/>
          <w:lang w:val="es-ES"/>
        </w:rPr>
      </w:pPr>
      <w:r w:rsidRPr="00CA1E07">
        <w:rPr>
          <w:rFonts w:ascii="Arial" w:eastAsia="Calibri" w:hAnsi="Arial" w:cs="Arial"/>
          <w:lang w:val="es-ES"/>
        </w:rPr>
        <w:t xml:space="preserve">1.1. </w:t>
      </w:r>
      <w:r>
        <w:rPr>
          <w:rFonts w:ascii="Arial" w:eastAsia="Calibri" w:hAnsi="Arial" w:cs="Arial"/>
          <w:lang w:val="es-ES"/>
        </w:rPr>
        <w:tab/>
      </w:r>
      <w:r w:rsidRPr="00CA1E07">
        <w:rPr>
          <w:rFonts w:ascii="Arial" w:eastAsia="Calibri" w:hAnsi="Arial" w:cs="Arial"/>
          <w:lang w:val="es-ES"/>
        </w:rPr>
        <w:t>Promover actividades a fin de conseguir la estandarización de los sistemas constructivos y racionalizar el uso del suelo.</w:t>
      </w:r>
    </w:p>
    <w:p w:rsidR="00CA1E07" w:rsidRPr="00CA1E07" w:rsidRDefault="00CA1E07" w:rsidP="00CA1E07">
      <w:pPr>
        <w:spacing w:after="0" w:line="240" w:lineRule="auto"/>
        <w:ind w:left="993" w:hanging="709"/>
        <w:contextualSpacing/>
        <w:jc w:val="both"/>
        <w:rPr>
          <w:rFonts w:ascii="Arial" w:eastAsia="Calibri" w:hAnsi="Arial" w:cs="Arial"/>
          <w:lang w:val="es-ES"/>
        </w:rPr>
      </w:pPr>
    </w:p>
    <w:p w:rsidR="00CA1E07" w:rsidRPr="00CA1E07" w:rsidRDefault="00CA1E07" w:rsidP="00CA1E07">
      <w:pPr>
        <w:spacing w:after="0" w:line="240" w:lineRule="auto"/>
        <w:ind w:left="993" w:hanging="709"/>
        <w:contextualSpacing/>
        <w:jc w:val="both"/>
        <w:rPr>
          <w:rFonts w:ascii="Arial" w:eastAsia="Calibri" w:hAnsi="Arial" w:cs="Arial"/>
          <w:lang w:val="es-ES"/>
        </w:rPr>
      </w:pPr>
      <w:r w:rsidRPr="00CA1E07">
        <w:rPr>
          <w:rFonts w:ascii="Arial" w:eastAsia="Calibri" w:hAnsi="Arial" w:cs="Arial"/>
          <w:lang w:val="es-ES"/>
        </w:rPr>
        <w:t xml:space="preserve">1.2. </w:t>
      </w:r>
      <w:r>
        <w:rPr>
          <w:rFonts w:ascii="Arial" w:eastAsia="Calibri" w:hAnsi="Arial" w:cs="Arial"/>
          <w:lang w:val="es-ES"/>
        </w:rPr>
        <w:tab/>
      </w:r>
      <w:r w:rsidRPr="00CA1E07">
        <w:rPr>
          <w:rFonts w:ascii="Arial" w:eastAsia="Calibri" w:hAnsi="Arial" w:cs="Arial"/>
          <w:lang w:val="es-ES"/>
        </w:rPr>
        <w:t>Coordinar y facilitar el uso racional de los terrenos de dominio privado del Estado, para la ejecución de proyectos habitacionales.</w:t>
      </w:r>
    </w:p>
    <w:p w:rsidR="00CA1E07" w:rsidRPr="00CA1E07" w:rsidRDefault="00CA1E07" w:rsidP="00CA1E07">
      <w:pPr>
        <w:spacing w:after="0" w:line="240" w:lineRule="auto"/>
        <w:ind w:left="993" w:hanging="709"/>
        <w:contextualSpacing/>
        <w:jc w:val="both"/>
        <w:rPr>
          <w:rFonts w:ascii="Arial" w:eastAsia="Calibri" w:hAnsi="Arial" w:cs="Arial"/>
          <w:lang w:val="es-ES"/>
        </w:rPr>
      </w:pPr>
    </w:p>
    <w:p w:rsidR="00CA1E07" w:rsidRPr="00CA1E07" w:rsidRDefault="00CA1E07" w:rsidP="00CA1E07">
      <w:pPr>
        <w:spacing w:after="0" w:line="240" w:lineRule="auto"/>
        <w:ind w:left="993" w:hanging="709"/>
        <w:contextualSpacing/>
        <w:jc w:val="both"/>
        <w:rPr>
          <w:rFonts w:ascii="Arial" w:eastAsia="Calibri" w:hAnsi="Arial" w:cs="Arial"/>
          <w:lang w:val="es-ES"/>
        </w:rPr>
      </w:pPr>
      <w:r w:rsidRPr="00CA1E07">
        <w:rPr>
          <w:rFonts w:ascii="Arial" w:eastAsia="Calibri" w:hAnsi="Arial" w:cs="Arial"/>
          <w:lang w:val="es-ES"/>
        </w:rPr>
        <w:t xml:space="preserve">1.3. </w:t>
      </w:r>
      <w:r>
        <w:rPr>
          <w:rFonts w:ascii="Arial" w:eastAsia="Calibri" w:hAnsi="Arial" w:cs="Arial"/>
          <w:lang w:val="es-ES"/>
        </w:rPr>
        <w:tab/>
      </w:r>
      <w:r w:rsidRPr="00CA1E07">
        <w:rPr>
          <w:rFonts w:ascii="Arial" w:eastAsia="Calibri" w:hAnsi="Arial" w:cs="Arial"/>
          <w:lang w:val="es-ES"/>
        </w:rPr>
        <w:t>Coordinar con las Municipalidades, según corresponda, para efectos que los terrenos destinados a programas de vivienda que se ejecuten como consecuencia de lo dispuesto en el presente Decreto Supremo, sean incorporados a los planos urbanos o se les asigne la zonificación correspondiente.</w:t>
      </w:r>
    </w:p>
    <w:p w:rsidR="00CA1E07" w:rsidRPr="00CA1E07" w:rsidRDefault="00CA1E07" w:rsidP="00CA1E07">
      <w:pPr>
        <w:spacing w:after="0" w:line="240" w:lineRule="auto"/>
        <w:ind w:left="993" w:hanging="709"/>
        <w:contextualSpacing/>
        <w:jc w:val="both"/>
        <w:rPr>
          <w:rFonts w:ascii="Arial" w:eastAsia="Calibri" w:hAnsi="Arial" w:cs="Arial"/>
          <w:lang w:val="es-ES"/>
        </w:rPr>
      </w:pPr>
    </w:p>
    <w:p w:rsidR="00CA1E07" w:rsidRPr="00CA1E07" w:rsidRDefault="00CA1E07" w:rsidP="00CA1E07">
      <w:pPr>
        <w:spacing w:after="0" w:line="240" w:lineRule="auto"/>
        <w:ind w:left="993" w:hanging="709"/>
        <w:contextualSpacing/>
        <w:jc w:val="both"/>
        <w:rPr>
          <w:rFonts w:ascii="Arial" w:eastAsia="Calibri" w:hAnsi="Arial" w:cs="Arial"/>
          <w:lang w:val="es-ES"/>
        </w:rPr>
      </w:pPr>
      <w:r w:rsidRPr="00CA1E07">
        <w:rPr>
          <w:rFonts w:ascii="Arial" w:eastAsia="Calibri" w:hAnsi="Arial" w:cs="Arial"/>
          <w:lang w:val="es-ES"/>
        </w:rPr>
        <w:t xml:space="preserve">1.4. </w:t>
      </w:r>
      <w:r>
        <w:rPr>
          <w:rFonts w:ascii="Arial" w:eastAsia="Calibri" w:hAnsi="Arial" w:cs="Arial"/>
          <w:lang w:val="es-ES"/>
        </w:rPr>
        <w:tab/>
      </w:r>
      <w:r w:rsidRPr="00CA1E07">
        <w:rPr>
          <w:rFonts w:ascii="Arial" w:eastAsia="Calibri" w:hAnsi="Arial" w:cs="Arial"/>
          <w:lang w:val="es-ES"/>
        </w:rPr>
        <w:t>Planificar con los sectores involucrados, la ejecución de obras de accesibilidad y saneamiento, como actividades previas que faciliten la inversión privada.</w:t>
      </w:r>
    </w:p>
    <w:p w:rsidR="00CA1E07" w:rsidRPr="00CA1E07" w:rsidRDefault="00CA1E07" w:rsidP="00CA1E07">
      <w:pPr>
        <w:spacing w:after="0" w:line="240" w:lineRule="auto"/>
        <w:ind w:left="993" w:hanging="709"/>
        <w:contextualSpacing/>
        <w:jc w:val="both"/>
        <w:rPr>
          <w:rFonts w:ascii="Arial" w:eastAsia="Calibri" w:hAnsi="Arial" w:cs="Arial"/>
          <w:lang w:val="es-ES"/>
        </w:rPr>
      </w:pPr>
    </w:p>
    <w:p w:rsidR="00CA1E07" w:rsidRPr="00CA1E07" w:rsidRDefault="00CA1E07" w:rsidP="00CA1E07">
      <w:pPr>
        <w:spacing w:after="0" w:line="240" w:lineRule="auto"/>
        <w:ind w:left="993" w:hanging="709"/>
        <w:contextualSpacing/>
        <w:jc w:val="both"/>
        <w:rPr>
          <w:rFonts w:ascii="Arial" w:eastAsia="Calibri" w:hAnsi="Arial" w:cs="Arial"/>
          <w:lang w:val="es-ES"/>
        </w:rPr>
      </w:pPr>
      <w:r w:rsidRPr="00CA1E07">
        <w:rPr>
          <w:rFonts w:ascii="Arial" w:eastAsia="Calibri" w:hAnsi="Arial" w:cs="Arial"/>
          <w:lang w:val="es-ES"/>
        </w:rPr>
        <w:t xml:space="preserve">1.5. </w:t>
      </w:r>
      <w:r>
        <w:rPr>
          <w:rFonts w:ascii="Arial" w:eastAsia="Calibri" w:hAnsi="Arial" w:cs="Arial"/>
          <w:lang w:val="es-ES"/>
        </w:rPr>
        <w:tab/>
      </w:r>
      <w:r w:rsidRPr="00CA1E07">
        <w:rPr>
          <w:rFonts w:ascii="Arial" w:eastAsia="Calibri" w:hAnsi="Arial" w:cs="Arial"/>
          <w:lang w:val="es-ES"/>
        </w:rPr>
        <w:t>Coordinar las acciones necesarias para que se efectúe el saneamiento físico - legal de los inmuebles y de sus accesos, que estén comprendidos en programas habitacionales de vivienda.</w:t>
      </w:r>
    </w:p>
    <w:p w:rsidR="00CA1E07" w:rsidRPr="00CA1E07" w:rsidRDefault="00CA1E07" w:rsidP="00CA1E07">
      <w:pPr>
        <w:spacing w:after="0" w:line="240" w:lineRule="auto"/>
        <w:ind w:left="993" w:hanging="709"/>
        <w:contextualSpacing/>
        <w:jc w:val="both"/>
        <w:rPr>
          <w:rFonts w:ascii="Arial" w:eastAsia="Calibri" w:hAnsi="Arial" w:cs="Arial"/>
          <w:lang w:val="es-ES"/>
        </w:rPr>
      </w:pPr>
    </w:p>
    <w:p w:rsidR="00CA1E07" w:rsidRPr="00CA1E07" w:rsidRDefault="00CA1E07" w:rsidP="00CA1E07">
      <w:pPr>
        <w:spacing w:after="0" w:line="240" w:lineRule="auto"/>
        <w:ind w:left="993" w:hanging="709"/>
        <w:contextualSpacing/>
        <w:jc w:val="both"/>
        <w:rPr>
          <w:rFonts w:ascii="Arial" w:eastAsia="Calibri" w:hAnsi="Arial" w:cs="Arial"/>
          <w:lang w:val="es-ES"/>
        </w:rPr>
      </w:pPr>
      <w:r w:rsidRPr="00CA1E07">
        <w:rPr>
          <w:rFonts w:ascii="Arial" w:eastAsia="Calibri" w:hAnsi="Arial" w:cs="Arial"/>
          <w:lang w:val="es-ES"/>
        </w:rPr>
        <w:t xml:space="preserve">1.6. </w:t>
      </w:r>
      <w:r>
        <w:rPr>
          <w:rFonts w:ascii="Arial" w:eastAsia="Calibri" w:hAnsi="Arial" w:cs="Arial"/>
          <w:lang w:val="es-ES"/>
        </w:rPr>
        <w:tab/>
      </w:r>
      <w:r w:rsidRPr="00CA1E07">
        <w:rPr>
          <w:rFonts w:ascii="Arial" w:eastAsia="Calibri" w:hAnsi="Arial" w:cs="Arial"/>
          <w:lang w:val="es-ES"/>
        </w:rPr>
        <w:t>Revisar los procedimientos existentes ante las diversas instancias estatales y municipales, a fin de proponer procedimientos que promuevan la participación del sector privado en la formulación y ejecución de proyectos de vivienda.</w:t>
      </w:r>
    </w:p>
    <w:p w:rsidR="00CA1E07" w:rsidRPr="00CA1E07" w:rsidRDefault="00CA1E07" w:rsidP="00CA1E07">
      <w:pPr>
        <w:spacing w:after="0" w:line="240" w:lineRule="auto"/>
        <w:ind w:left="993" w:hanging="709"/>
        <w:contextualSpacing/>
        <w:jc w:val="both"/>
        <w:rPr>
          <w:rFonts w:ascii="Arial" w:eastAsia="Calibri" w:hAnsi="Arial" w:cs="Arial"/>
          <w:lang w:val="es-ES"/>
        </w:rPr>
      </w:pPr>
    </w:p>
    <w:p w:rsidR="00CA1E07" w:rsidRPr="00CA1E07" w:rsidRDefault="00CA1E07" w:rsidP="00CA1E07">
      <w:pPr>
        <w:spacing w:after="0" w:line="240" w:lineRule="auto"/>
        <w:ind w:left="993" w:hanging="709"/>
        <w:contextualSpacing/>
        <w:jc w:val="both"/>
        <w:rPr>
          <w:rFonts w:ascii="Arial" w:eastAsia="Calibri" w:hAnsi="Arial" w:cs="Arial"/>
          <w:lang w:val="es-ES"/>
        </w:rPr>
      </w:pPr>
      <w:r w:rsidRPr="00CA1E07">
        <w:rPr>
          <w:rFonts w:ascii="Arial" w:eastAsia="Calibri" w:hAnsi="Arial" w:cs="Arial"/>
          <w:lang w:val="es-ES"/>
        </w:rPr>
        <w:t xml:space="preserve">1.7. </w:t>
      </w:r>
      <w:r>
        <w:rPr>
          <w:rFonts w:ascii="Arial" w:eastAsia="Calibri" w:hAnsi="Arial" w:cs="Arial"/>
          <w:lang w:val="es-ES"/>
        </w:rPr>
        <w:tab/>
      </w:r>
      <w:r w:rsidRPr="00CA1E07">
        <w:rPr>
          <w:rFonts w:ascii="Arial" w:eastAsia="Calibri" w:hAnsi="Arial" w:cs="Arial"/>
          <w:lang w:val="es-ES"/>
        </w:rPr>
        <w:t>Coordinar y concertar en base a una segmentación de mercado, la participación del Fondo MIVIVIENDA, del Banco de Materiales y de las entidades del Sistema Financiero en el financiamiento de los proyectos de vivienda, en el marco de las atribuciones de cada uno de dichos organismos.</w:t>
      </w:r>
    </w:p>
    <w:p w:rsidR="00CA1E07" w:rsidRPr="00CA1E07" w:rsidRDefault="00CA1E07" w:rsidP="00CA1E07">
      <w:pPr>
        <w:spacing w:after="0" w:line="240" w:lineRule="auto"/>
        <w:ind w:left="993" w:hanging="709"/>
        <w:contextualSpacing/>
        <w:jc w:val="both"/>
        <w:rPr>
          <w:rFonts w:ascii="Arial" w:eastAsia="Calibri" w:hAnsi="Arial" w:cs="Arial"/>
          <w:lang w:val="es-ES"/>
        </w:rPr>
      </w:pPr>
    </w:p>
    <w:p w:rsidR="00CA1E07" w:rsidRPr="00CA1E07" w:rsidRDefault="00CA1E07" w:rsidP="00CA1E07">
      <w:pPr>
        <w:spacing w:after="0" w:line="240" w:lineRule="auto"/>
        <w:ind w:left="993" w:hanging="709"/>
        <w:contextualSpacing/>
        <w:jc w:val="both"/>
        <w:rPr>
          <w:rFonts w:ascii="Arial" w:eastAsia="Calibri" w:hAnsi="Arial" w:cs="Arial"/>
          <w:lang w:val="es-ES"/>
        </w:rPr>
      </w:pPr>
      <w:r w:rsidRPr="00CA1E07">
        <w:rPr>
          <w:rFonts w:ascii="Arial" w:eastAsia="Calibri" w:hAnsi="Arial" w:cs="Arial"/>
          <w:lang w:val="es-ES"/>
        </w:rPr>
        <w:t xml:space="preserve">1.8. </w:t>
      </w:r>
      <w:r>
        <w:rPr>
          <w:rFonts w:ascii="Arial" w:eastAsia="Calibri" w:hAnsi="Arial" w:cs="Arial"/>
          <w:lang w:val="es-ES"/>
        </w:rPr>
        <w:tab/>
      </w:r>
      <w:r w:rsidRPr="00CA1E07">
        <w:rPr>
          <w:rFonts w:ascii="Arial" w:eastAsia="Calibri" w:hAnsi="Arial" w:cs="Arial"/>
          <w:lang w:val="es-ES"/>
        </w:rPr>
        <w:t>Proponer normas técnicas y legales para el cumplimiento de sus objetivos.</w:t>
      </w:r>
    </w:p>
    <w:p w:rsidR="00CA1E07" w:rsidRPr="00CA1E07" w:rsidRDefault="00CA1E07" w:rsidP="00CA1E07">
      <w:pPr>
        <w:spacing w:after="0" w:line="240" w:lineRule="auto"/>
        <w:contextualSpacing/>
        <w:jc w:val="both"/>
        <w:rPr>
          <w:rFonts w:ascii="Arial" w:eastAsia="Calibri" w:hAnsi="Arial" w:cs="Arial"/>
          <w:lang w:val="es-ES"/>
        </w:rPr>
      </w:pPr>
    </w:p>
    <w:p w:rsidR="00CA1E07" w:rsidRPr="00CA1E07" w:rsidRDefault="00CA1E07" w:rsidP="00CA1E07">
      <w:pPr>
        <w:spacing w:after="0" w:line="240" w:lineRule="auto"/>
        <w:contextualSpacing/>
        <w:jc w:val="both"/>
        <w:rPr>
          <w:rFonts w:ascii="Arial" w:eastAsia="Calibri" w:hAnsi="Arial" w:cs="Arial"/>
          <w:lang w:val="es-ES"/>
        </w:rPr>
      </w:pPr>
      <w:r w:rsidRPr="00CA1E07">
        <w:rPr>
          <w:rFonts w:ascii="Arial" w:eastAsia="Calibri" w:hAnsi="Arial" w:cs="Arial"/>
          <w:lang w:val="es-ES"/>
        </w:rPr>
        <w:t>Artículo 2.- Constitúyase la Comisión de Coordinación para facilitar la construcción de viviendas, con la finalidad de promover el acceso de la población a la propiedad privada destinada a la vivienda, la cual tendrá a su cargo las acciones descritas en el artículo precedente. Estará integrada por:</w:t>
      </w:r>
    </w:p>
    <w:p w:rsidR="00CA1E07" w:rsidRPr="00CA1E07" w:rsidRDefault="00CA1E07" w:rsidP="00CA1E07">
      <w:pPr>
        <w:spacing w:after="0" w:line="240" w:lineRule="auto"/>
        <w:contextualSpacing/>
        <w:jc w:val="both"/>
        <w:rPr>
          <w:rFonts w:ascii="Arial" w:eastAsia="Calibri" w:hAnsi="Arial" w:cs="Arial"/>
          <w:lang w:val="es-ES"/>
        </w:rPr>
      </w:pPr>
    </w:p>
    <w:p w:rsidR="00CA1E07" w:rsidRPr="00CA1E07" w:rsidRDefault="00CA1E07" w:rsidP="00CA1E07">
      <w:pPr>
        <w:spacing w:after="0" w:line="240" w:lineRule="auto"/>
        <w:contextualSpacing/>
        <w:jc w:val="both"/>
        <w:rPr>
          <w:rFonts w:ascii="Arial" w:eastAsia="Calibri" w:hAnsi="Arial" w:cs="Arial"/>
          <w:lang w:val="es-ES"/>
        </w:rPr>
      </w:pPr>
      <w:r w:rsidRPr="00CA1E07">
        <w:rPr>
          <w:rFonts w:ascii="Arial" w:eastAsia="Calibri" w:hAnsi="Arial" w:cs="Arial"/>
          <w:lang w:val="es-ES"/>
        </w:rPr>
        <w:tab/>
        <w:t>- El Viceministro de Vivienda y Urbanismo o su representante, quien la presidirá;</w:t>
      </w:r>
    </w:p>
    <w:p w:rsidR="00CA1E07" w:rsidRPr="00CA1E07" w:rsidRDefault="00CA1E07" w:rsidP="00CA1E07">
      <w:pPr>
        <w:spacing w:after="0" w:line="240" w:lineRule="auto"/>
        <w:contextualSpacing/>
        <w:jc w:val="both"/>
        <w:rPr>
          <w:rFonts w:ascii="Arial" w:eastAsia="Calibri" w:hAnsi="Arial" w:cs="Arial"/>
          <w:lang w:val="es-ES"/>
        </w:rPr>
      </w:pPr>
      <w:r w:rsidRPr="00CA1E07">
        <w:rPr>
          <w:rFonts w:ascii="Arial" w:eastAsia="Calibri" w:hAnsi="Arial" w:cs="Arial"/>
          <w:lang w:val="es-ES"/>
        </w:rPr>
        <w:tab/>
        <w:t>- El Viceministro de Construcción y Saneamiento o su representante;</w:t>
      </w:r>
    </w:p>
    <w:p w:rsidR="00CA1E07" w:rsidRPr="00CA1E07" w:rsidRDefault="00CA1E07" w:rsidP="00CA1E07">
      <w:pPr>
        <w:spacing w:after="0" w:line="240" w:lineRule="auto"/>
        <w:contextualSpacing/>
        <w:jc w:val="both"/>
        <w:rPr>
          <w:rFonts w:ascii="Arial" w:eastAsia="Calibri" w:hAnsi="Arial" w:cs="Arial"/>
          <w:lang w:val="es-ES"/>
        </w:rPr>
      </w:pPr>
      <w:r w:rsidRPr="00CA1E07">
        <w:rPr>
          <w:rFonts w:ascii="Arial" w:eastAsia="Calibri" w:hAnsi="Arial" w:cs="Arial"/>
          <w:lang w:val="es-ES"/>
        </w:rPr>
        <w:tab/>
        <w:t>- El Superintendente Nacional de Bienes Estatales;</w:t>
      </w:r>
    </w:p>
    <w:p w:rsidR="00CA1E07" w:rsidRPr="00CA1E07" w:rsidRDefault="00CA1E07" w:rsidP="00CA1E07">
      <w:pPr>
        <w:spacing w:after="0" w:line="240" w:lineRule="auto"/>
        <w:contextualSpacing/>
        <w:jc w:val="both"/>
        <w:rPr>
          <w:rFonts w:ascii="Arial" w:eastAsia="Calibri" w:hAnsi="Arial" w:cs="Arial"/>
          <w:lang w:val="es-ES"/>
        </w:rPr>
      </w:pPr>
      <w:r w:rsidRPr="00CA1E07">
        <w:rPr>
          <w:rFonts w:ascii="Arial" w:eastAsia="Calibri" w:hAnsi="Arial" w:cs="Arial"/>
          <w:lang w:val="es-ES"/>
        </w:rPr>
        <w:tab/>
        <w:t>- El Director Ejecutivo del Organismo de Formalización de la Propiedad Informal;</w:t>
      </w:r>
    </w:p>
    <w:p w:rsidR="00CA1E07" w:rsidRPr="00CA1E07" w:rsidRDefault="00CA1E07" w:rsidP="00CA1E07">
      <w:pPr>
        <w:spacing w:after="0" w:line="240" w:lineRule="auto"/>
        <w:contextualSpacing/>
        <w:jc w:val="both"/>
        <w:rPr>
          <w:rFonts w:ascii="Arial" w:eastAsia="Calibri" w:hAnsi="Arial" w:cs="Arial"/>
          <w:lang w:val="es-ES"/>
        </w:rPr>
      </w:pPr>
      <w:r w:rsidRPr="00CA1E07">
        <w:rPr>
          <w:rFonts w:ascii="Arial" w:eastAsia="Calibri" w:hAnsi="Arial" w:cs="Arial"/>
          <w:lang w:val="es-ES"/>
        </w:rPr>
        <w:tab/>
        <w:t>- El Superintendente Nacional de los Registros Públicos o su representante;</w:t>
      </w:r>
    </w:p>
    <w:p w:rsidR="00CA1E07" w:rsidRPr="00CA1E07" w:rsidRDefault="00CA1E07" w:rsidP="00CA1E07">
      <w:pPr>
        <w:spacing w:after="0" w:line="240" w:lineRule="auto"/>
        <w:contextualSpacing/>
        <w:jc w:val="both"/>
        <w:rPr>
          <w:rFonts w:ascii="Arial" w:eastAsia="Calibri" w:hAnsi="Arial" w:cs="Arial"/>
          <w:lang w:val="es-ES"/>
        </w:rPr>
      </w:pPr>
      <w:r w:rsidRPr="00CA1E07">
        <w:rPr>
          <w:rFonts w:ascii="Arial" w:eastAsia="Calibri" w:hAnsi="Arial" w:cs="Arial"/>
          <w:lang w:val="es-ES"/>
        </w:rPr>
        <w:tab/>
        <w:t>- El Gerente General del Banco de Materiales;</w:t>
      </w:r>
    </w:p>
    <w:p w:rsidR="00CA1E07" w:rsidRPr="00CA1E07" w:rsidRDefault="00CA1E07" w:rsidP="00CA1E07">
      <w:pPr>
        <w:spacing w:after="0" w:line="240" w:lineRule="auto"/>
        <w:contextualSpacing/>
        <w:jc w:val="both"/>
        <w:rPr>
          <w:rFonts w:ascii="Arial" w:eastAsia="Calibri" w:hAnsi="Arial" w:cs="Arial"/>
          <w:lang w:val="es-ES"/>
        </w:rPr>
      </w:pPr>
      <w:r w:rsidRPr="00CA1E07">
        <w:rPr>
          <w:rFonts w:ascii="Arial" w:eastAsia="Calibri" w:hAnsi="Arial" w:cs="Arial"/>
          <w:lang w:val="es-ES"/>
        </w:rPr>
        <w:tab/>
        <w:t>- El Gerente General del Fondo MiVivienda S.A.</w:t>
      </w:r>
    </w:p>
    <w:p w:rsidR="00CA1E07" w:rsidRPr="00CA1E07" w:rsidRDefault="00CA1E07" w:rsidP="00CA1E07">
      <w:pPr>
        <w:spacing w:after="0" w:line="240" w:lineRule="auto"/>
        <w:contextualSpacing/>
        <w:jc w:val="both"/>
        <w:rPr>
          <w:rFonts w:ascii="Arial" w:eastAsia="Calibri" w:hAnsi="Arial" w:cs="Arial"/>
          <w:lang w:val="es-ES"/>
        </w:rPr>
      </w:pPr>
      <w:r w:rsidRPr="00CA1E07">
        <w:rPr>
          <w:rFonts w:ascii="Arial" w:eastAsia="Calibri" w:hAnsi="Arial" w:cs="Arial"/>
          <w:lang w:val="es-ES"/>
        </w:rPr>
        <w:tab/>
        <w:t>- El Gerente General de la Empresa Servicio de Agua Potable y Alcantarillado - SEDAPAL;</w:t>
      </w:r>
    </w:p>
    <w:p w:rsidR="00CA1E07" w:rsidRPr="00CA1E07" w:rsidRDefault="00CA1E07" w:rsidP="00CA1E07">
      <w:pPr>
        <w:spacing w:after="0" w:line="240" w:lineRule="auto"/>
        <w:contextualSpacing/>
        <w:jc w:val="both"/>
        <w:rPr>
          <w:rFonts w:ascii="Arial" w:eastAsia="Calibri" w:hAnsi="Arial" w:cs="Arial"/>
          <w:lang w:val="es-ES"/>
        </w:rPr>
      </w:pPr>
    </w:p>
    <w:p w:rsidR="00CA1E07" w:rsidRPr="00CA1E07" w:rsidRDefault="00CA1E07" w:rsidP="00CA1E07">
      <w:pPr>
        <w:spacing w:after="0" w:line="240" w:lineRule="auto"/>
        <w:contextualSpacing/>
        <w:jc w:val="both"/>
        <w:rPr>
          <w:rFonts w:ascii="Arial" w:eastAsia="Calibri" w:hAnsi="Arial" w:cs="Arial"/>
          <w:lang w:val="es-ES"/>
        </w:rPr>
      </w:pPr>
      <w:r w:rsidRPr="00CA1E07">
        <w:rPr>
          <w:rFonts w:ascii="Arial" w:eastAsia="Calibri" w:hAnsi="Arial" w:cs="Arial"/>
          <w:lang w:val="es-ES"/>
        </w:rPr>
        <w:t xml:space="preserve">La Comisión de Coordinación podrá invitar a participar de sus sesiones, según corresponda, al Alcalde Provincial o Distrital y al Gerente General o quien haga sus veces de las Empresas Prestadoras de Servicios, en cuya jurisdicción se proyecte realizar programas de vivienda. El Alcalde puede acreditar un </w:t>
      </w:r>
      <w:r w:rsidR="00EA5AA6">
        <w:rPr>
          <w:rFonts w:ascii="Arial" w:eastAsia="Calibri" w:hAnsi="Arial" w:cs="Arial"/>
          <w:lang w:val="es-ES"/>
        </w:rPr>
        <w:t>representante ante la Comisión.</w:t>
      </w:r>
    </w:p>
    <w:p w:rsidR="00CA1E07" w:rsidRPr="00CA1E07" w:rsidRDefault="00CA1E07" w:rsidP="00CA1E07">
      <w:pPr>
        <w:spacing w:after="0" w:line="240" w:lineRule="auto"/>
        <w:contextualSpacing/>
        <w:jc w:val="both"/>
        <w:rPr>
          <w:rFonts w:ascii="Arial" w:eastAsia="Calibri" w:hAnsi="Arial" w:cs="Arial"/>
          <w:lang w:val="es-ES"/>
        </w:rPr>
      </w:pPr>
    </w:p>
    <w:p w:rsidR="00CA1E07" w:rsidRPr="00CA1E07" w:rsidRDefault="00CA1E07" w:rsidP="00CA1E07">
      <w:pPr>
        <w:spacing w:after="0" w:line="240" w:lineRule="auto"/>
        <w:contextualSpacing/>
        <w:jc w:val="both"/>
        <w:rPr>
          <w:rFonts w:ascii="Arial" w:eastAsia="Calibri" w:hAnsi="Arial" w:cs="Arial"/>
          <w:lang w:val="es-ES"/>
        </w:rPr>
      </w:pPr>
      <w:r w:rsidRPr="00CA1E07">
        <w:rPr>
          <w:rFonts w:ascii="Arial" w:eastAsia="Calibri" w:hAnsi="Arial" w:cs="Arial"/>
          <w:lang w:val="es-ES"/>
        </w:rPr>
        <w:t xml:space="preserve">Artículo 3.- Los bienes de propiedad de las entidades públicas a que se refiere el Artículo 2 del Decreto Supremo Nº 154-2001-EF, que no se encuentren destinados al uso público ni afectados a algún servicio público, y que no hubiesen sido donados para fines específicos por particulares, podrán ser identificados por la Comisión de Coordinación a efectos de promover el acceso de la población a la propiedad privada de vivienda. Por el solo mérito de dicha identificación y a solicitud de la Comisión, la Superintendencia de Bienes Nacionales, asumirá la titularidad respecto de dichos bienes, para destinarlos a los proyectos a que se refiere el presente Decreto Supremo. Para estos efectos, cuando la Superintendencia de Bienes Nacionales intervenga en la transferencia de dichos bienes, podrá hacerlo a título gratuito u oneroso, en este último caso la valorización será efectuada por CONATA conforme a las bases correspondientes que en cada caso sean aprobadas por la </w:t>
      </w:r>
      <w:r w:rsidR="00EA5AA6">
        <w:rPr>
          <w:rFonts w:ascii="Arial" w:eastAsia="Calibri" w:hAnsi="Arial" w:cs="Arial"/>
          <w:lang w:val="es-ES"/>
        </w:rPr>
        <w:t>entidad competente.</w:t>
      </w:r>
    </w:p>
    <w:p w:rsidR="00CA1E07" w:rsidRPr="00CA1E07" w:rsidRDefault="00CA1E07" w:rsidP="00CA1E07">
      <w:pPr>
        <w:spacing w:after="0" w:line="240" w:lineRule="auto"/>
        <w:contextualSpacing/>
        <w:jc w:val="both"/>
        <w:rPr>
          <w:rFonts w:ascii="Arial" w:eastAsia="Calibri" w:hAnsi="Arial" w:cs="Arial"/>
          <w:lang w:val="es-ES"/>
        </w:rPr>
      </w:pPr>
    </w:p>
    <w:p w:rsidR="00CA1E07" w:rsidRPr="00CA1E07" w:rsidRDefault="00CA1E07" w:rsidP="00CA1E07">
      <w:pPr>
        <w:spacing w:after="0" w:line="240" w:lineRule="auto"/>
        <w:contextualSpacing/>
        <w:jc w:val="both"/>
        <w:rPr>
          <w:rFonts w:ascii="Arial" w:eastAsia="Calibri" w:hAnsi="Arial" w:cs="Arial"/>
          <w:lang w:val="es-ES"/>
        </w:rPr>
      </w:pPr>
      <w:r w:rsidRPr="00CA1E07">
        <w:rPr>
          <w:rFonts w:ascii="Arial" w:eastAsia="Calibri" w:hAnsi="Arial" w:cs="Arial"/>
          <w:lang w:val="es-ES"/>
        </w:rPr>
        <w:t>Artículo 4.- El presente Decreto Supremo será refrendado por el Presidente del Consejo de Ministros, el Ministro de Economía y Finanzas, el Ministro de Justicia, el Ministro de la Presidencia y el Ministro de Transportes, Comunicaciones, Vivienda y Construcción.</w:t>
      </w:r>
    </w:p>
    <w:p w:rsidR="00CA1E07" w:rsidRPr="00CA1E07" w:rsidRDefault="00CA1E07" w:rsidP="00CA1E07">
      <w:pPr>
        <w:spacing w:after="0" w:line="240" w:lineRule="auto"/>
        <w:contextualSpacing/>
        <w:jc w:val="both"/>
        <w:rPr>
          <w:rFonts w:ascii="Arial" w:eastAsia="Calibri" w:hAnsi="Arial" w:cs="Arial"/>
          <w:lang w:val="es-ES"/>
        </w:rPr>
      </w:pPr>
    </w:p>
    <w:p w:rsidR="00CA1E07" w:rsidRPr="00CA1E07" w:rsidRDefault="00CA1E07" w:rsidP="00CA1E07">
      <w:pPr>
        <w:spacing w:after="0" w:line="240" w:lineRule="auto"/>
        <w:contextualSpacing/>
        <w:jc w:val="both"/>
        <w:rPr>
          <w:rFonts w:ascii="Arial" w:eastAsia="Calibri" w:hAnsi="Arial" w:cs="Arial"/>
          <w:lang w:val="es-ES"/>
        </w:rPr>
      </w:pPr>
      <w:r w:rsidRPr="00CA1E07">
        <w:rPr>
          <w:rFonts w:ascii="Arial" w:eastAsia="Calibri" w:hAnsi="Arial" w:cs="Arial"/>
          <w:lang w:val="es-ES"/>
        </w:rPr>
        <w:t>Dado en la Casa de Gobierno, a los diecinueve días del mes de marzo del año 2002.</w:t>
      </w:r>
    </w:p>
    <w:p w:rsidR="00CA1E07" w:rsidRPr="00CA1E07" w:rsidRDefault="00CA1E07" w:rsidP="00CA1E07">
      <w:pPr>
        <w:spacing w:after="0" w:line="240" w:lineRule="auto"/>
        <w:contextualSpacing/>
        <w:jc w:val="both"/>
        <w:rPr>
          <w:rFonts w:ascii="Arial" w:eastAsia="Calibri" w:hAnsi="Arial" w:cs="Arial"/>
          <w:lang w:val="es-ES"/>
        </w:rPr>
      </w:pPr>
    </w:p>
    <w:p w:rsidR="00CA1E07" w:rsidRPr="00C93279" w:rsidRDefault="00CA1E07" w:rsidP="00CA1E07">
      <w:pPr>
        <w:spacing w:after="0" w:line="240" w:lineRule="auto"/>
        <w:contextualSpacing/>
        <w:jc w:val="both"/>
        <w:rPr>
          <w:rFonts w:ascii="Arial" w:eastAsia="Calibri" w:hAnsi="Arial" w:cs="Arial"/>
          <w:b/>
          <w:lang w:val="es-ES"/>
        </w:rPr>
      </w:pPr>
      <w:r w:rsidRPr="00C93279">
        <w:rPr>
          <w:rFonts w:ascii="Arial" w:eastAsia="Calibri" w:hAnsi="Arial" w:cs="Arial"/>
          <w:b/>
          <w:lang w:val="es-ES"/>
        </w:rPr>
        <w:tab/>
        <w:t>ALEJANDRO TOLEDO</w:t>
      </w:r>
    </w:p>
    <w:p w:rsidR="00CA1E07" w:rsidRPr="00CA1E07" w:rsidRDefault="00CA1E07" w:rsidP="00CA1E07">
      <w:pPr>
        <w:spacing w:after="0" w:line="240" w:lineRule="auto"/>
        <w:contextualSpacing/>
        <w:jc w:val="both"/>
        <w:rPr>
          <w:rFonts w:ascii="Arial" w:eastAsia="Calibri" w:hAnsi="Arial" w:cs="Arial"/>
          <w:lang w:val="es-ES"/>
        </w:rPr>
      </w:pPr>
      <w:r w:rsidRPr="00CA1E07">
        <w:rPr>
          <w:rFonts w:ascii="Arial" w:eastAsia="Calibri" w:hAnsi="Arial" w:cs="Arial"/>
          <w:lang w:val="es-ES"/>
        </w:rPr>
        <w:tab/>
        <w:t>Presidente Constitucional de la República</w:t>
      </w:r>
    </w:p>
    <w:p w:rsidR="00CA1E07" w:rsidRPr="00CA1E07" w:rsidRDefault="00CA1E07" w:rsidP="00CA1E07">
      <w:pPr>
        <w:spacing w:after="0" w:line="240" w:lineRule="auto"/>
        <w:contextualSpacing/>
        <w:jc w:val="both"/>
        <w:rPr>
          <w:rFonts w:ascii="Arial" w:eastAsia="Calibri" w:hAnsi="Arial" w:cs="Arial"/>
          <w:lang w:val="es-ES"/>
        </w:rPr>
      </w:pPr>
    </w:p>
    <w:p w:rsidR="00CA1E07" w:rsidRPr="00C93279" w:rsidRDefault="00CA1E07" w:rsidP="00CA1E07">
      <w:pPr>
        <w:spacing w:after="0" w:line="240" w:lineRule="auto"/>
        <w:contextualSpacing/>
        <w:jc w:val="both"/>
        <w:rPr>
          <w:rFonts w:ascii="Arial" w:eastAsia="Calibri" w:hAnsi="Arial" w:cs="Arial"/>
          <w:b/>
          <w:lang w:val="es-ES"/>
        </w:rPr>
      </w:pPr>
      <w:r w:rsidRPr="00CA1E07">
        <w:rPr>
          <w:rFonts w:ascii="Arial" w:eastAsia="Calibri" w:hAnsi="Arial" w:cs="Arial"/>
          <w:lang w:val="es-ES"/>
        </w:rPr>
        <w:tab/>
      </w:r>
      <w:r w:rsidRPr="00C93279">
        <w:rPr>
          <w:rFonts w:ascii="Arial" w:eastAsia="Calibri" w:hAnsi="Arial" w:cs="Arial"/>
          <w:b/>
          <w:lang w:val="es-ES"/>
        </w:rPr>
        <w:t>ROBERTO DAÑINO ZAPATA</w:t>
      </w:r>
    </w:p>
    <w:p w:rsidR="00CA1E07" w:rsidRPr="00CA1E07" w:rsidRDefault="00CA1E07" w:rsidP="00CA1E07">
      <w:pPr>
        <w:spacing w:after="0" w:line="240" w:lineRule="auto"/>
        <w:contextualSpacing/>
        <w:jc w:val="both"/>
        <w:rPr>
          <w:rFonts w:ascii="Arial" w:eastAsia="Calibri" w:hAnsi="Arial" w:cs="Arial"/>
          <w:lang w:val="es-ES"/>
        </w:rPr>
      </w:pPr>
      <w:r w:rsidRPr="00CA1E07">
        <w:rPr>
          <w:rFonts w:ascii="Arial" w:eastAsia="Calibri" w:hAnsi="Arial" w:cs="Arial"/>
          <w:lang w:val="es-ES"/>
        </w:rPr>
        <w:tab/>
        <w:t>Presidente del Consejo de Ministros</w:t>
      </w:r>
    </w:p>
    <w:p w:rsidR="00CA1E07" w:rsidRPr="00CA1E07" w:rsidRDefault="00CA1E07" w:rsidP="00CA1E07">
      <w:pPr>
        <w:spacing w:after="0" w:line="240" w:lineRule="auto"/>
        <w:contextualSpacing/>
        <w:jc w:val="both"/>
        <w:rPr>
          <w:rFonts w:ascii="Arial" w:eastAsia="Calibri" w:hAnsi="Arial" w:cs="Arial"/>
          <w:lang w:val="es-ES"/>
        </w:rPr>
      </w:pPr>
    </w:p>
    <w:p w:rsidR="00CA1E07" w:rsidRPr="00C93279" w:rsidRDefault="00CA1E07" w:rsidP="00CA1E07">
      <w:pPr>
        <w:spacing w:after="0" w:line="240" w:lineRule="auto"/>
        <w:contextualSpacing/>
        <w:jc w:val="both"/>
        <w:rPr>
          <w:rFonts w:ascii="Arial" w:eastAsia="Calibri" w:hAnsi="Arial" w:cs="Arial"/>
          <w:b/>
          <w:lang w:val="es-ES"/>
        </w:rPr>
      </w:pPr>
      <w:r w:rsidRPr="00CA1E07">
        <w:rPr>
          <w:rFonts w:ascii="Arial" w:eastAsia="Calibri" w:hAnsi="Arial" w:cs="Arial"/>
          <w:lang w:val="es-ES"/>
        </w:rPr>
        <w:tab/>
      </w:r>
      <w:r w:rsidRPr="00C93279">
        <w:rPr>
          <w:rFonts w:ascii="Arial" w:eastAsia="Calibri" w:hAnsi="Arial" w:cs="Arial"/>
          <w:b/>
          <w:lang w:val="es-ES"/>
        </w:rPr>
        <w:t>PEDRO PABLO KUCZYNSKI</w:t>
      </w:r>
    </w:p>
    <w:p w:rsidR="00CA1E07" w:rsidRPr="00CA1E07" w:rsidRDefault="00CA1E07" w:rsidP="00CA1E07">
      <w:pPr>
        <w:spacing w:after="0" w:line="240" w:lineRule="auto"/>
        <w:contextualSpacing/>
        <w:jc w:val="both"/>
        <w:rPr>
          <w:rFonts w:ascii="Arial" w:eastAsia="Calibri" w:hAnsi="Arial" w:cs="Arial"/>
          <w:lang w:val="es-ES"/>
        </w:rPr>
      </w:pPr>
      <w:r w:rsidRPr="00CA1E07">
        <w:rPr>
          <w:rFonts w:ascii="Arial" w:eastAsia="Calibri" w:hAnsi="Arial" w:cs="Arial"/>
          <w:lang w:val="es-ES"/>
        </w:rPr>
        <w:tab/>
        <w:t>Ministro de Economía y Finanzas</w:t>
      </w:r>
    </w:p>
    <w:p w:rsidR="00CA1E07" w:rsidRPr="00CA1E07" w:rsidRDefault="00CA1E07" w:rsidP="00CA1E07">
      <w:pPr>
        <w:spacing w:after="0" w:line="240" w:lineRule="auto"/>
        <w:contextualSpacing/>
        <w:jc w:val="both"/>
        <w:rPr>
          <w:rFonts w:ascii="Arial" w:eastAsia="Calibri" w:hAnsi="Arial" w:cs="Arial"/>
          <w:lang w:val="es-ES"/>
        </w:rPr>
      </w:pPr>
    </w:p>
    <w:p w:rsidR="00CA1E07" w:rsidRPr="00C93279" w:rsidRDefault="00CA1E07" w:rsidP="00CA1E07">
      <w:pPr>
        <w:spacing w:after="0" w:line="240" w:lineRule="auto"/>
        <w:contextualSpacing/>
        <w:jc w:val="both"/>
        <w:rPr>
          <w:rFonts w:ascii="Arial" w:eastAsia="Calibri" w:hAnsi="Arial" w:cs="Arial"/>
          <w:b/>
          <w:lang w:val="es-ES"/>
        </w:rPr>
      </w:pPr>
      <w:r w:rsidRPr="00CA1E07">
        <w:rPr>
          <w:rFonts w:ascii="Arial" w:eastAsia="Calibri" w:hAnsi="Arial" w:cs="Arial"/>
          <w:lang w:val="es-ES"/>
        </w:rPr>
        <w:tab/>
      </w:r>
      <w:r w:rsidRPr="00C93279">
        <w:rPr>
          <w:rFonts w:ascii="Arial" w:eastAsia="Calibri" w:hAnsi="Arial" w:cs="Arial"/>
          <w:b/>
          <w:lang w:val="es-ES"/>
        </w:rPr>
        <w:t>FERNANDO OLIVERA VEGA</w:t>
      </w:r>
    </w:p>
    <w:p w:rsidR="00CA1E07" w:rsidRPr="00CA1E07" w:rsidRDefault="00CA1E07" w:rsidP="00CA1E07">
      <w:pPr>
        <w:spacing w:after="0" w:line="240" w:lineRule="auto"/>
        <w:contextualSpacing/>
        <w:jc w:val="both"/>
        <w:rPr>
          <w:rFonts w:ascii="Arial" w:eastAsia="Calibri" w:hAnsi="Arial" w:cs="Arial"/>
          <w:lang w:val="es-ES"/>
        </w:rPr>
      </w:pPr>
      <w:r w:rsidRPr="00CA1E07">
        <w:rPr>
          <w:rFonts w:ascii="Arial" w:eastAsia="Calibri" w:hAnsi="Arial" w:cs="Arial"/>
          <w:lang w:val="es-ES"/>
        </w:rPr>
        <w:tab/>
        <w:t>Ministro de Justicia</w:t>
      </w:r>
    </w:p>
    <w:p w:rsidR="00CA1E07" w:rsidRPr="00CA1E07" w:rsidRDefault="00CA1E07" w:rsidP="00CA1E07">
      <w:pPr>
        <w:spacing w:after="0" w:line="240" w:lineRule="auto"/>
        <w:contextualSpacing/>
        <w:jc w:val="both"/>
        <w:rPr>
          <w:rFonts w:ascii="Arial" w:eastAsia="Calibri" w:hAnsi="Arial" w:cs="Arial"/>
          <w:lang w:val="es-ES"/>
        </w:rPr>
      </w:pPr>
    </w:p>
    <w:p w:rsidR="00CA1E07" w:rsidRPr="00C93279" w:rsidRDefault="00CA1E07" w:rsidP="00CA1E07">
      <w:pPr>
        <w:spacing w:after="0" w:line="240" w:lineRule="auto"/>
        <w:contextualSpacing/>
        <w:jc w:val="both"/>
        <w:rPr>
          <w:rFonts w:ascii="Arial" w:eastAsia="Calibri" w:hAnsi="Arial" w:cs="Arial"/>
          <w:b/>
          <w:lang w:val="es-ES"/>
        </w:rPr>
      </w:pPr>
      <w:r w:rsidRPr="00CA1E07">
        <w:rPr>
          <w:rFonts w:ascii="Arial" w:eastAsia="Calibri" w:hAnsi="Arial" w:cs="Arial"/>
          <w:lang w:val="es-ES"/>
        </w:rPr>
        <w:tab/>
      </w:r>
      <w:r w:rsidRPr="00C93279">
        <w:rPr>
          <w:rFonts w:ascii="Arial" w:eastAsia="Calibri" w:hAnsi="Arial" w:cs="Arial"/>
          <w:b/>
          <w:lang w:val="es-ES"/>
        </w:rPr>
        <w:t>CARLOS BRUCE</w:t>
      </w:r>
    </w:p>
    <w:p w:rsidR="00CA1E07" w:rsidRPr="00CA1E07" w:rsidRDefault="00CA1E07" w:rsidP="00CA1E07">
      <w:pPr>
        <w:spacing w:after="0" w:line="240" w:lineRule="auto"/>
        <w:contextualSpacing/>
        <w:jc w:val="both"/>
        <w:rPr>
          <w:rFonts w:ascii="Arial" w:eastAsia="Calibri" w:hAnsi="Arial" w:cs="Arial"/>
          <w:lang w:val="es-ES"/>
        </w:rPr>
      </w:pPr>
      <w:r w:rsidRPr="00CA1E07">
        <w:rPr>
          <w:rFonts w:ascii="Arial" w:eastAsia="Calibri" w:hAnsi="Arial" w:cs="Arial"/>
          <w:lang w:val="es-ES"/>
        </w:rPr>
        <w:tab/>
        <w:t>Ministro de la Presidencia</w:t>
      </w:r>
    </w:p>
    <w:p w:rsidR="00CA1E07" w:rsidRPr="00CA1E07" w:rsidRDefault="00CA1E07" w:rsidP="00CA1E07">
      <w:pPr>
        <w:spacing w:after="0" w:line="240" w:lineRule="auto"/>
        <w:contextualSpacing/>
        <w:jc w:val="both"/>
        <w:rPr>
          <w:rFonts w:ascii="Arial" w:eastAsia="Calibri" w:hAnsi="Arial" w:cs="Arial"/>
          <w:lang w:val="es-ES"/>
        </w:rPr>
      </w:pPr>
    </w:p>
    <w:p w:rsidR="00CA1E07" w:rsidRPr="00C93279" w:rsidRDefault="00CA1E07" w:rsidP="00CA1E07">
      <w:pPr>
        <w:spacing w:after="0" w:line="240" w:lineRule="auto"/>
        <w:contextualSpacing/>
        <w:jc w:val="both"/>
        <w:rPr>
          <w:rFonts w:ascii="Arial" w:eastAsia="Calibri" w:hAnsi="Arial" w:cs="Arial"/>
          <w:b/>
          <w:lang w:val="es-ES"/>
        </w:rPr>
      </w:pPr>
      <w:r w:rsidRPr="00CA1E07">
        <w:rPr>
          <w:rFonts w:ascii="Arial" w:eastAsia="Calibri" w:hAnsi="Arial" w:cs="Arial"/>
          <w:lang w:val="es-ES"/>
        </w:rPr>
        <w:tab/>
      </w:r>
      <w:r w:rsidRPr="00C93279">
        <w:rPr>
          <w:rFonts w:ascii="Arial" w:eastAsia="Calibri" w:hAnsi="Arial" w:cs="Arial"/>
          <w:b/>
          <w:lang w:val="es-ES"/>
        </w:rPr>
        <w:t>JAIME QUIJANDRÍA SALMÓN</w:t>
      </w:r>
    </w:p>
    <w:p w:rsidR="00CA1E07" w:rsidRPr="00CA1E07" w:rsidRDefault="00CA1E07" w:rsidP="00CA1E07">
      <w:pPr>
        <w:spacing w:after="0" w:line="240" w:lineRule="auto"/>
        <w:contextualSpacing/>
        <w:jc w:val="both"/>
        <w:rPr>
          <w:rFonts w:ascii="Arial" w:eastAsia="Calibri" w:hAnsi="Arial" w:cs="Arial"/>
          <w:lang w:val="es-ES"/>
        </w:rPr>
      </w:pPr>
      <w:r w:rsidRPr="00CA1E07">
        <w:rPr>
          <w:rFonts w:ascii="Arial" w:eastAsia="Calibri" w:hAnsi="Arial" w:cs="Arial"/>
          <w:lang w:val="es-ES"/>
        </w:rPr>
        <w:tab/>
        <w:t>Ministro de Energía y Minas</w:t>
      </w:r>
    </w:p>
    <w:p w:rsidR="00CA1E07" w:rsidRPr="00CA1E07" w:rsidRDefault="00CA1E07" w:rsidP="00CA1E07">
      <w:pPr>
        <w:spacing w:after="0" w:line="240" w:lineRule="auto"/>
        <w:contextualSpacing/>
        <w:jc w:val="both"/>
        <w:rPr>
          <w:rFonts w:ascii="Arial" w:eastAsia="Calibri" w:hAnsi="Arial" w:cs="Arial"/>
          <w:lang w:val="es-ES"/>
        </w:rPr>
      </w:pPr>
      <w:r w:rsidRPr="00CA1E07">
        <w:rPr>
          <w:rFonts w:ascii="Arial" w:eastAsia="Calibri" w:hAnsi="Arial" w:cs="Arial"/>
          <w:lang w:val="es-ES"/>
        </w:rPr>
        <w:tab/>
        <w:t>Encargado del Ministerio de Transportes,</w:t>
      </w:r>
    </w:p>
    <w:p w:rsidR="00C60A91" w:rsidRDefault="00CA1E07" w:rsidP="00CA1E07">
      <w:pPr>
        <w:spacing w:after="0" w:line="240" w:lineRule="auto"/>
        <w:contextualSpacing/>
        <w:jc w:val="both"/>
        <w:rPr>
          <w:rFonts w:ascii="Arial" w:eastAsia="Calibri" w:hAnsi="Arial" w:cs="Arial"/>
          <w:lang w:val="es-ES"/>
        </w:rPr>
      </w:pPr>
      <w:r w:rsidRPr="00CA1E07">
        <w:rPr>
          <w:rFonts w:ascii="Arial" w:eastAsia="Calibri" w:hAnsi="Arial" w:cs="Arial"/>
          <w:lang w:val="es-ES"/>
        </w:rPr>
        <w:tab/>
        <w:t>Comunicaciones, Vivienda y Construcción</w:t>
      </w:r>
    </w:p>
    <w:p w:rsidR="00C60A91" w:rsidRDefault="00C60A91" w:rsidP="006312E8">
      <w:pPr>
        <w:spacing w:after="0" w:line="240" w:lineRule="auto"/>
        <w:contextualSpacing/>
        <w:jc w:val="both"/>
        <w:rPr>
          <w:rFonts w:ascii="Arial" w:eastAsia="Calibri" w:hAnsi="Arial" w:cs="Arial"/>
          <w:lang w:val="es-ES"/>
        </w:rPr>
      </w:pPr>
    </w:p>
    <w:p w:rsidR="00A14659" w:rsidRDefault="00A14659" w:rsidP="006312E8">
      <w:pPr>
        <w:spacing w:after="0" w:line="240" w:lineRule="auto"/>
        <w:contextualSpacing/>
        <w:jc w:val="both"/>
        <w:rPr>
          <w:rFonts w:ascii="Arial" w:eastAsia="Calibri" w:hAnsi="Arial" w:cs="Arial"/>
          <w:lang w:val="es-ES"/>
        </w:rPr>
      </w:pPr>
    </w:p>
    <w:p w:rsidR="00A14659" w:rsidRDefault="00A14659" w:rsidP="006312E8">
      <w:pPr>
        <w:spacing w:after="0" w:line="240" w:lineRule="auto"/>
        <w:contextualSpacing/>
        <w:jc w:val="both"/>
        <w:rPr>
          <w:rFonts w:ascii="Arial" w:eastAsia="Calibri" w:hAnsi="Arial" w:cs="Arial"/>
          <w:lang w:val="es-ES"/>
        </w:rPr>
      </w:pPr>
    </w:p>
    <w:p w:rsidR="00A14659" w:rsidRPr="006312E8" w:rsidRDefault="00A14659"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Default="006312E8" w:rsidP="006312E8">
      <w:pPr>
        <w:spacing w:after="0" w:line="240" w:lineRule="auto"/>
        <w:contextualSpacing/>
        <w:jc w:val="both"/>
        <w:rPr>
          <w:rFonts w:ascii="Arial" w:eastAsia="Calibri" w:hAnsi="Arial" w:cs="Arial"/>
          <w:lang w:val="es-ES"/>
        </w:rPr>
      </w:pPr>
    </w:p>
    <w:p w:rsidR="00EA5AA6" w:rsidRDefault="00EA5AA6" w:rsidP="006312E8">
      <w:pPr>
        <w:spacing w:after="0" w:line="240" w:lineRule="auto"/>
        <w:contextualSpacing/>
        <w:jc w:val="both"/>
        <w:rPr>
          <w:rFonts w:ascii="Arial" w:eastAsia="Calibri" w:hAnsi="Arial" w:cs="Arial"/>
          <w:lang w:val="es-ES"/>
        </w:rPr>
      </w:pPr>
    </w:p>
    <w:p w:rsidR="00EA5AA6" w:rsidRDefault="00EA5AA6" w:rsidP="006312E8">
      <w:pPr>
        <w:spacing w:after="0" w:line="240" w:lineRule="auto"/>
        <w:contextualSpacing/>
        <w:jc w:val="both"/>
        <w:rPr>
          <w:rFonts w:ascii="Arial" w:eastAsia="Calibri" w:hAnsi="Arial" w:cs="Arial"/>
          <w:lang w:val="es-ES"/>
        </w:rPr>
      </w:pPr>
    </w:p>
    <w:p w:rsidR="00EA5AA6" w:rsidRDefault="00EA5AA6" w:rsidP="006312E8">
      <w:pPr>
        <w:spacing w:after="0" w:line="240" w:lineRule="auto"/>
        <w:contextualSpacing/>
        <w:jc w:val="both"/>
        <w:rPr>
          <w:rFonts w:ascii="Arial" w:eastAsia="Calibri" w:hAnsi="Arial" w:cs="Arial"/>
          <w:lang w:val="es-ES"/>
        </w:rPr>
      </w:pPr>
    </w:p>
    <w:p w:rsidR="00EA5AA6" w:rsidRDefault="00EA5AA6" w:rsidP="006312E8">
      <w:pPr>
        <w:spacing w:after="0" w:line="240" w:lineRule="auto"/>
        <w:contextualSpacing/>
        <w:jc w:val="both"/>
        <w:rPr>
          <w:rFonts w:ascii="Arial" w:eastAsia="Calibri" w:hAnsi="Arial" w:cs="Arial"/>
          <w:lang w:val="es-ES"/>
        </w:rPr>
      </w:pPr>
    </w:p>
    <w:p w:rsidR="00EA5AA6" w:rsidRDefault="00EA5AA6" w:rsidP="006312E8">
      <w:pPr>
        <w:spacing w:after="0" w:line="240" w:lineRule="auto"/>
        <w:contextualSpacing/>
        <w:jc w:val="both"/>
        <w:rPr>
          <w:rFonts w:ascii="Arial" w:eastAsia="Calibri" w:hAnsi="Arial" w:cs="Arial"/>
          <w:lang w:val="es-ES"/>
        </w:rPr>
      </w:pPr>
    </w:p>
    <w:p w:rsidR="00EA5AA6" w:rsidRDefault="00EA5AA6" w:rsidP="006312E8">
      <w:pPr>
        <w:spacing w:after="0" w:line="240" w:lineRule="auto"/>
        <w:contextualSpacing/>
        <w:jc w:val="both"/>
        <w:rPr>
          <w:rFonts w:ascii="Arial" w:eastAsia="Calibri" w:hAnsi="Arial" w:cs="Arial"/>
          <w:lang w:val="es-ES"/>
        </w:rPr>
      </w:pPr>
    </w:p>
    <w:p w:rsidR="00EA5AA6" w:rsidRDefault="00EA5AA6" w:rsidP="006312E8">
      <w:pPr>
        <w:spacing w:after="0" w:line="240" w:lineRule="auto"/>
        <w:contextualSpacing/>
        <w:jc w:val="both"/>
        <w:rPr>
          <w:rFonts w:ascii="Arial" w:eastAsia="Calibri" w:hAnsi="Arial" w:cs="Arial"/>
          <w:lang w:val="es-ES"/>
        </w:rPr>
      </w:pPr>
    </w:p>
    <w:p w:rsidR="00EA5AA6" w:rsidRDefault="00EA5AA6" w:rsidP="006312E8">
      <w:pPr>
        <w:spacing w:after="0" w:line="240" w:lineRule="auto"/>
        <w:contextualSpacing/>
        <w:jc w:val="both"/>
        <w:rPr>
          <w:rFonts w:ascii="Arial" w:eastAsia="Calibri" w:hAnsi="Arial" w:cs="Arial"/>
          <w:lang w:val="es-ES"/>
        </w:rPr>
      </w:pPr>
    </w:p>
    <w:p w:rsidR="00EA5AA6" w:rsidRDefault="00EA5AA6" w:rsidP="006312E8">
      <w:pPr>
        <w:spacing w:after="0" w:line="240" w:lineRule="auto"/>
        <w:contextualSpacing/>
        <w:jc w:val="both"/>
        <w:rPr>
          <w:rFonts w:ascii="Arial" w:eastAsia="Calibri" w:hAnsi="Arial" w:cs="Arial"/>
          <w:lang w:val="es-ES"/>
        </w:rPr>
      </w:pPr>
    </w:p>
    <w:p w:rsidR="00EA5AA6" w:rsidRDefault="00EA5AA6" w:rsidP="006312E8">
      <w:pPr>
        <w:spacing w:after="0" w:line="240" w:lineRule="auto"/>
        <w:contextualSpacing/>
        <w:jc w:val="both"/>
        <w:rPr>
          <w:rFonts w:ascii="Arial" w:eastAsia="Calibri" w:hAnsi="Arial" w:cs="Arial"/>
          <w:lang w:val="es-ES"/>
        </w:rPr>
      </w:pPr>
    </w:p>
    <w:p w:rsidR="00EA5AA6" w:rsidRDefault="00EA5AA6" w:rsidP="006312E8">
      <w:pPr>
        <w:spacing w:after="0" w:line="240" w:lineRule="auto"/>
        <w:contextualSpacing/>
        <w:jc w:val="both"/>
        <w:rPr>
          <w:rFonts w:ascii="Arial" w:eastAsia="Calibri" w:hAnsi="Arial" w:cs="Arial"/>
          <w:lang w:val="es-ES"/>
        </w:rPr>
      </w:pPr>
    </w:p>
    <w:p w:rsidR="00EA5AA6" w:rsidRDefault="00EA5AA6" w:rsidP="006312E8">
      <w:pPr>
        <w:spacing w:after="0" w:line="240" w:lineRule="auto"/>
        <w:contextualSpacing/>
        <w:jc w:val="both"/>
        <w:rPr>
          <w:rFonts w:ascii="Arial" w:eastAsia="Calibri" w:hAnsi="Arial" w:cs="Arial"/>
          <w:lang w:val="es-ES"/>
        </w:rPr>
      </w:pPr>
    </w:p>
    <w:p w:rsidR="00EA5AA6" w:rsidRDefault="00EA5AA6" w:rsidP="006312E8">
      <w:pPr>
        <w:spacing w:after="0" w:line="240" w:lineRule="auto"/>
        <w:contextualSpacing/>
        <w:jc w:val="both"/>
        <w:rPr>
          <w:rFonts w:ascii="Arial" w:eastAsia="Calibri" w:hAnsi="Arial" w:cs="Arial"/>
          <w:lang w:val="es-ES"/>
        </w:rPr>
      </w:pPr>
    </w:p>
    <w:p w:rsidR="00EA5AA6" w:rsidRDefault="00EA5AA6" w:rsidP="006312E8">
      <w:pPr>
        <w:spacing w:after="0" w:line="240" w:lineRule="auto"/>
        <w:contextualSpacing/>
        <w:jc w:val="both"/>
        <w:rPr>
          <w:rFonts w:ascii="Arial" w:eastAsia="Calibri" w:hAnsi="Arial" w:cs="Arial"/>
          <w:lang w:val="es-ES"/>
        </w:rPr>
      </w:pPr>
    </w:p>
    <w:p w:rsidR="00EA5AA6" w:rsidRDefault="00EA5AA6" w:rsidP="006312E8">
      <w:pPr>
        <w:spacing w:after="0" w:line="240" w:lineRule="auto"/>
        <w:contextualSpacing/>
        <w:jc w:val="both"/>
        <w:rPr>
          <w:rFonts w:ascii="Arial" w:eastAsia="Calibri" w:hAnsi="Arial" w:cs="Arial"/>
          <w:lang w:val="es-ES"/>
        </w:rPr>
      </w:pPr>
    </w:p>
    <w:p w:rsidR="00EA5AA6" w:rsidRDefault="00EA5AA6" w:rsidP="006312E8">
      <w:pPr>
        <w:spacing w:after="0" w:line="240" w:lineRule="auto"/>
        <w:contextualSpacing/>
        <w:jc w:val="both"/>
        <w:rPr>
          <w:rFonts w:ascii="Arial" w:eastAsia="Calibri" w:hAnsi="Arial" w:cs="Arial"/>
          <w:lang w:val="es-ES"/>
        </w:rPr>
      </w:pPr>
    </w:p>
    <w:p w:rsidR="00EA5AA6" w:rsidRDefault="00EA5AA6" w:rsidP="006312E8">
      <w:pPr>
        <w:spacing w:after="0" w:line="240" w:lineRule="auto"/>
        <w:contextualSpacing/>
        <w:jc w:val="both"/>
        <w:rPr>
          <w:rFonts w:ascii="Arial" w:eastAsia="Calibri" w:hAnsi="Arial" w:cs="Arial"/>
          <w:lang w:val="es-ES"/>
        </w:rPr>
      </w:pPr>
    </w:p>
    <w:p w:rsidR="00EA5AA6" w:rsidRDefault="00EA5AA6" w:rsidP="006312E8">
      <w:pPr>
        <w:spacing w:after="0" w:line="240" w:lineRule="auto"/>
        <w:contextualSpacing/>
        <w:jc w:val="both"/>
        <w:rPr>
          <w:rFonts w:ascii="Arial" w:eastAsia="Calibri" w:hAnsi="Arial" w:cs="Arial"/>
          <w:lang w:val="es-ES"/>
        </w:rPr>
      </w:pPr>
    </w:p>
    <w:p w:rsidR="00EA5AA6" w:rsidRDefault="00EA5AA6" w:rsidP="006312E8">
      <w:pPr>
        <w:spacing w:after="0" w:line="240" w:lineRule="auto"/>
        <w:contextualSpacing/>
        <w:jc w:val="both"/>
        <w:rPr>
          <w:rFonts w:ascii="Arial" w:eastAsia="Calibri" w:hAnsi="Arial" w:cs="Arial"/>
          <w:lang w:val="es-ES"/>
        </w:rPr>
      </w:pPr>
    </w:p>
    <w:p w:rsidR="00EA5AA6" w:rsidRDefault="00EA5AA6" w:rsidP="006312E8">
      <w:pPr>
        <w:spacing w:after="0" w:line="240" w:lineRule="auto"/>
        <w:contextualSpacing/>
        <w:jc w:val="both"/>
        <w:rPr>
          <w:rFonts w:ascii="Arial" w:eastAsia="Calibri" w:hAnsi="Arial" w:cs="Arial"/>
          <w:lang w:val="es-ES"/>
        </w:rPr>
      </w:pPr>
    </w:p>
    <w:p w:rsidR="00EA5AA6" w:rsidRDefault="00EA5AA6" w:rsidP="006312E8">
      <w:pPr>
        <w:spacing w:after="0" w:line="240" w:lineRule="auto"/>
        <w:contextualSpacing/>
        <w:jc w:val="both"/>
        <w:rPr>
          <w:rFonts w:ascii="Arial" w:eastAsia="Calibri" w:hAnsi="Arial" w:cs="Arial"/>
          <w:lang w:val="es-ES"/>
        </w:rPr>
      </w:pPr>
    </w:p>
    <w:p w:rsidR="00EA5AA6" w:rsidRDefault="00EA5AA6" w:rsidP="006312E8">
      <w:pPr>
        <w:spacing w:after="0" w:line="240" w:lineRule="auto"/>
        <w:contextualSpacing/>
        <w:jc w:val="both"/>
        <w:rPr>
          <w:rFonts w:ascii="Arial" w:eastAsia="Calibri" w:hAnsi="Arial" w:cs="Arial"/>
          <w:lang w:val="es-ES"/>
        </w:rPr>
      </w:pPr>
    </w:p>
    <w:p w:rsidR="00EA5AA6" w:rsidRDefault="00EA5AA6" w:rsidP="006312E8">
      <w:pPr>
        <w:spacing w:after="0" w:line="240" w:lineRule="auto"/>
        <w:contextualSpacing/>
        <w:jc w:val="both"/>
        <w:rPr>
          <w:rFonts w:ascii="Arial" w:eastAsia="Calibri" w:hAnsi="Arial" w:cs="Arial"/>
          <w:lang w:val="es-ES"/>
        </w:rPr>
      </w:pPr>
    </w:p>
    <w:p w:rsidR="00EA5AA6" w:rsidRDefault="00EA5AA6" w:rsidP="006312E8">
      <w:pPr>
        <w:spacing w:after="0" w:line="240" w:lineRule="auto"/>
        <w:contextualSpacing/>
        <w:jc w:val="both"/>
        <w:rPr>
          <w:rFonts w:ascii="Arial" w:eastAsia="Calibri" w:hAnsi="Arial" w:cs="Arial"/>
          <w:lang w:val="es-ES"/>
        </w:rPr>
      </w:pPr>
    </w:p>
    <w:p w:rsidR="00EA5AA6" w:rsidRDefault="00EA5AA6" w:rsidP="006312E8">
      <w:pPr>
        <w:spacing w:after="0" w:line="240" w:lineRule="auto"/>
        <w:contextualSpacing/>
        <w:jc w:val="both"/>
        <w:rPr>
          <w:rFonts w:ascii="Arial" w:eastAsia="Calibri" w:hAnsi="Arial" w:cs="Arial"/>
          <w:lang w:val="es-ES"/>
        </w:rPr>
      </w:pPr>
    </w:p>
    <w:p w:rsidR="00EA5AA6" w:rsidRDefault="00EA5AA6" w:rsidP="006312E8">
      <w:pPr>
        <w:spacing w:after="0" w:line="240" w:lineRule="auto"/>
        <w:contextualSpacing/>
        <w:jc w:val="both"/>
        <w:rPr>
          <w:rFonts w:ascii="Arial" w:eastAsia="Calibri" w:hAnsi="Arial" w:cs="Arial"/>
          <w:lang w:val="es-ES"/>
        </w:rPr>
      </w:pPr>
    </w:p>
    <w:p w:rsidR="00EA5AA6" w:rsidRDefault="00EA5AA6" w:rsidP="006312E8">
      <w:pPr>
        <w:spacing w:after="0" w:line="240" w:lineRule="auto"/>
        <w:contextualSpacing/>
        <w:jc w:val="both"/>
        <w:rPr>
          <w:rFonts w:ascii="Arial" w:eastAsia="Calibri" w:hAnsi="Arial" w:cs="Arial"/>
          <w:lang w:val="es-ES"/>
        </w:rPr>
      </w:pPr>
    </w:p>
    <w:p w:rsidR="00EA5AA6" w:rsidRDefault="00EA5AA6" w:rsidP="006312E8">
      <w:pPr>
        <w:spacing w:after="0" w:line="240" w:lineRule="auto"/>
        <w:contextualSpacing/>
        <w:jc w:val="both"/>
        <w:rPr>
          <w:rFonts w:ascii="Arial" w:eastAsia="Calibri" w:hAnsi="Arial" w:cs="Arial"/>
          <w:lang w:val="es-ES"/>
        </w:rPr>
      </w:pPr>
    </w:p>
    <w:p w:rsidR="00EA5AA6" w:rsidRDefault="00EA5AA6" w:rsidP="006312E8">
      <w:pPr>
        <w:spacing w:after="0" w:line="240" w:lineRule="auto"/>
        <w:contextualSpacing/>
        <w:jc w:val="both"/>
        <w:rPr>
          <w:rFonts w:ascii="Arial" w:eastAsia="Calibri" w:hAnsi="Arial" w:cs="Arial"/>
          <w:lang w:val="es-ES"/>
        </w:rPr>
      </w:pPr>
    </w:p>
    <w:p w:rsidR="00EA5AA6" w:rsidRDefault="00EA5AA6" w:rsidP="006312E8">
      <w:pPr>
        <w:spacing w:after="0" w:line="240" w:lineRule="auto"/>
        <w:contextualSpacing/>
        <w:jc w:val="both"/>
        <w:rPr>
          <w:rFonts w:ascii="Arial" w:eastAsia="Calibri" w:hAnsi="Arial" w:cs="Arial"/>
          <w:lang w:val="es-ES"/>
        </w:rPr>
      </w:pPr>
    </w:p>
    <w:p w:rsidR="00EA5AA6" w:rsidRDefault="00EA5AA6" w:rsidP="006312E8">
      <w:pPr>
        <w:spacing w:after="0" w:line="240" w:lineRule="auto"/>
        <w:contextualSpacing/>
        <w:jc w:val="both"/>
        <w:rPr>
          <w:rFonts w:ascii="Arial" w:eastAsia="Calibri" w:hAnsi="Arial" w:cs="Arial"/>
          <w:lang w:val="es-ES"/>
        </w:rPr>
      </w:pPr>
    </w:p>
    <w:p w:rsidR="00EA5AA6" w:rsidRDefault="00EA5AA6" w:rsidP="006312E8">
      <w:pPr>
        <w:spacing w:after="0" w:line="240" w:lineRule="auto"/>
        <w:contextualSpacing/>
        <w:jc w:val="both"/>
        <w:rPr>
          <w:rFonts w:ascii="Arial" w:eastAsia="Calibri" w:hAnsi="Arial" w:cs="Arial"/>
          <w:lang w:val="es-ES"/>
        </w:rPr>
      </w:pPr>
    </w:p>
    <w:p w:rsidR="00EA5AA6" w:rsidRDefault="00EA5AA6" w:rsidP="006312E8">
      <w:pPr>
        <w:spacing w:after="0" w:line="240" w:lineRule="auto"/>
        <w:contextualSpacing/>
        <w:jc w:val="both"/>
        <w:rPr>
          <w:rFonts w:ascii="Arial" w:eastAsia="Calibri" w:hAnsi="Arial" w:cs="Arial"/>
          <w:lang w:val="es-ES"/>
        </w:rPr>
      </w:pPr>
    </w:p>
    <w:p w:rsidR="00EA5AA6" w:rsidRDefault="00EA5AA6" w:rsidP="006312E8">
      <w:pPr>
        <w:spacing w:after="0" w:line="240" w:lineRule="auto"/>
        <w:contextualSpacing/>
        <w:jc w:val="both"/>
        <w:rPr>
          <w:rFonts w:ascii="Arial" w:eastAsia="Calibri" w:hAnsi="Arial" w:cs="Arial"/>
          <w:lang w:val="es-ES"/>
        </w:rPr>
      </w:pPr>
    </w:p>
    <w:p w:rsidR="00EA5AA6" w:rsidRDefault="00EA5AA6" w:rsidP="006312E8">
      <w:pPr>
        <w:spacing w:after="0" w:line="240" w:lineRule="auto"/>
        <w:contextualSpacing/>
        <w:jc w:val="both"/>
        <w:rPr>
          <w:rFonts w:ascii="Arial" w:eastAsia="Calibri" w:hAnsi="Arial" w:cs="Arial"/>
          <w:lang w:val="es-ES"/>
        </w:rPr>
      </w:pPr>
    </w:p>
    <w:p w:rsidR="00EA5AA6" w:rsidRDefault="00EA5AA6" w:rsidP="006312E8">
      <w:pPr>
        <w:spacing w:after="0" w:line="240" w:lineRule="auto"/>
        <w:contextualSpacing/>
        <w:jc w:val="both"/>
        <w:rPr>
          <w:rFonts w:ascii="Arial" w:eastAsia="Calibri" w:hAnsi="Arial" w:cs="Arial"/>
          <w:lang w:val="es-ES"/>
        </w:rPr>
      </w:pPr>
    </w:p>
    <w:p w:rsidR="00EA5AA6" w:rsidRDefault="00EA5AA6" w:rsidP="006312E8">
      <w:pPr>
        <w:spacing w:after="0" w:line="240" w:lineRule="auto"/>
        <w:contextualSpacing/>
        <w:jc w:val="both"/>
        <w:rPr>
          <w:rFonts w:ascii="Arial" w:eastAsia="Calibri" w:hAnsi="Arial" w:cs="Arial"/>
          <w:lang w:val="es-ES"/>
        </w:rPr>
      </w:pPr>
    </w:p>
    <w:p w:rsidR="00EA5AA6" w:rsidRDefault="00EA5AA6" w:rsidP="006312E8">
      <w:pPr>
        <w:spacing w:after="0" w:line="240" w:lineRule="auto"/>
        <w:contextualSpacing/>
        <w:jc w:val="both"/>
        <w:rPr>
          <w:rFonts w:ascii="Arial" w:eastAsia="Calibri" w:hAnsi="Arial" w:cs="Arial"/>
          <w:lang w:val="es-ES"/>
        </w:rPr>
      </w:pPr>
    </w:p>
    <w:p w:rsidR="00EA5AA6" w:rsidRDefault="00EA5AA6" w:rsidP="006312E8">
      <w:pPr>
        <w:spacing w:after="0" w:line="240" w:lineRule="auto"/>
        <w:contextualSpacing/>
        <w:jc w:val="both"/>
        <w:rPr>
          <w:rFonts w:ascii="Arial" w:eastAsia="Calibri" w:hAnsi="Arial" w:cs="Arial"/>
          <w:lang w:val="es-ES"/>
        </w:rPr>
      </w:pPr>
    </w:p>
    <w:p w:rsidR="00EA5AA6" w:rsidRDefault="00EA5AA6" w:rsidP="006312E8">
      <w:pPr>
        <w:spacing w:after="0" w:line="240" w:lineRule="auto"/>
        <w:contextualSpacing/>
        <w:jc w:val="both"/>
        <w:rPr>
          <w:rFonts w:ascii="Arial" w:eastAsia="Calibri" w:hAnsi="Arial" w:cs="Arial"/>
          <w:lang w:val="es-ES"/>
        </w:rPr>
      </w:pPr>
    </w:p>
    <w:p w:rsidR="00EA5AA6" w:rsidRDefault="00EA5AA6" w:rsidP="006312E8">
      <w:pPr>
        <w:spacing w:after="0" w:line="240" w:lineRule="auto"/>
        <w:contextualSpacing/>
        <w:jc w:val="both"/>
        <w:rPr>
          <w:rFonts w:ascii="Arial" w:eastAsia="Calibri" w:hAnsi="Arial" w:cs="Arial"/>
          <w:lang w:val="es-ES"/>
        </w:rPr>
      </w:pPr>
    </w:p>
    <w:p w:rsidR="00EA5AA6" w:rsidRDefault="00EA5AA6" w:rsidP="006312E8">
      <w:pPr>
        <w:spacing w:after="0" w:line="240" w:lineRule="auto"/>
        <w:contextualSpacing/>
        <w:jc w:val="both"/>
        <w:rPr>
          <w:rFonts w:ascii="Arial" w:eastAsia="Calibri" w:hAnsi="Arial" w:cs="Arial"/>
          <w:lang w:val="es-ES"/>
        </w:rPr>
      </w:pPr>
    </w:p>
    <w:p w:rsidR="00EA5AA6" w:rsidRDefault="00EA5AA6" w:rsidP="006312E8">
      <w:pPr>
        <w:spacing w:after="0" w:line="240" w:lineRule="auto"/>
        <w:contextualSpacing/>
        <w:jc w:val="both"/>
        <w:rPr>
          <w:rFonts w:ascii="Arial" w:eastAsia="Calibri" w:hAnsi="Arial" w:cs="Arial"/>
          <w:lang w:val="es-ES"/>
        </w:rPr>
      </w:pPr>
    </w:p>
    <w:p w:rsidR="00EA5AA6" w:rsidRDefault="00EA5AA6" w:rsidP="006312E8">
      <w:pPr>
        <w:spacing w:after="0" w:line="240" w:lineRule="auto"/>
        <w:contextualSpacing/>
        <w:jc w:val="both"/>
        <w:rPr>
          <w:rFonts w:ascii="Arial" w:eastAsia="Calibri" w:hAnsi="Arial" w:cs="Arial"/>
          <w:lang w:val="es-ES"/>
        </w:rPr>
      </w:pPr>
    </w:p>
    <w:p w:rsidR="00EA5AA6" w:rsidRDefault="00EA5AA6" w:rsidP="006312E8">
      <w:pPr>
        <w:spacing w:after="0" w:line="240" w:lineRule="auto"/>
        <w:contextualSpacing/>
        <w:jc w:val="both"/>
        <w:rPr>
          <w:rFonts w:ascii="Arial" w:eastAsia="Calibri" w:hAnsi="Arial" w:cs="Arial"/>
          <w:lang w:val="es-ES"/>
        </w:rPr>
      </w:pPr>
    </w:p>
    <w:p w:rsidR="00EA5AA6" w:rsidRDefault="00EA5AA6" w:rsidP="006312E8">
      <w:pPr>
        <w:spacing w:after="0" w:line="240" w:lineRule="auto"/>
        <w:contextualSpacing/>
        <w:jc w:val="both"/>
        <w:rPr>
          <w:rFonts w:ascii="Arial" w:eastAsia="Calibri" w:hAnsi="Arial" w:cs="Arial"/>
          <w:lang w:val="es-ES"/>
        </w:rPr>
      </w:pPr>
    </w:p>
    <w:p w:rsidR="00EA5AA6" w:rsidRDefault="00EA5AA6" w:rsidP="006312E8">
      <w:pPr>
        <w:spacing w:after="0" w:line="240" w:lineRule="auto"/>
        <w:contextualSpacing/>
        <w:jc w:val="both"/>
        <w:rPr>
          <w:rFonts w:ascii="Arial" w:eastAsia="Calibri" w:hAnsi="Arial" w:cs="Arial"/>
          <w:lang w:val="es-ES"/>
        </w:rPr>
      </w:pPr>
    </w:p>
    <w:p w:rsidR="00EA5AA6" w:rsidRDefault="00EA5AA6" w:rsidP="006312E8">
      <w:pPr>
        <w:spacing w:after="0" w:line="240" w:lineRule="auto"/>
        <w:contextualSpacing/>
        <w:jc w:val="both"/>
        <w:rPr>
          <w:rFonts w:ascii="Arial" w:eastAsia="Calibri" w:hAnsi="Arial" w:cs="Arial"/>
          <w:lang w:val="es-ES"/>
        </w:rPr>
      </w:pPr>
    </w:p>
    <w:p w:rsidR="00EA5AA6" w:rsidRDefault="00EA5AA6" w:rsidP="006312E8">
      <w:pPr>
        <w:spacing w:after="0" w:line="240" w:lineRule="auto"/>
        <w:contextualSpacing/>
        <w:jc w:val="both"/>
        <w:rPr>
          <w:rFonts w:ascii="Arial" w:eastAsia="Calibri" w:hAnsi="Arial" w:cs="Arial"/>
          <w:lang w:val="es-ES"/>
        </w:rPr>
      </w:pPr>
    </w:p>
    <w:p w:rsidR="00EA5AA6" w:rsidRDefault="00EA5AA6" w:rsidP="006312E8">
      <w:pPr>
        <w:spacing w:after="0" w:line="240" w:lineRule="auto"/>
        <w:contextualSpacing/>
        <w:jc w:val="both"/>
        <w:rPr>
          <w:rFonts w:ascii="Arial" w:eastAsia="Calibri" w:hAnsi="Arial" w:cs="Arial"/>
          <w:lang w:val="es-ES"/>
        </w:rPr>
      </w:pPr>
    </w:p>
    <w:p w:rsidR="00EA5AA6" w:rsidRDefault="00EA5AA6" w:rsidP="006312E8">
      <w:pPr>
        <w:spacing w:after="0" w:line="240" w:lineRule="auto"/>
        <w:contextualSpacing/>
        <w:jc w:val="both"/>
        <w:rPr>
          <w:rFonts w:ascii="Arial" w:eastAsia="Calibri" w:hAnsi="Arial" w:cs="Arial"/>
          <w:lang w:val="es-ES"/>
        </w:rPr>
      </w:pPr>
    </w:p>
    <w:p w:rsidR="00EA5AA6" w:rsidRDefault="00EA5AA6" w:rsidP="006312E8">
      <w:pPr>
        <w:spacing w:after="0" w:line="240" w:lineRule="auto"/>
        <w:contextualSpacing/>
        <w:jc w:val="both"/>
        <w:rPr>
          <w:rFonts w:ascii="Arial" w:eastAsia="Calibri" w:hAnsi="Arial" w:cs="Arial"/>
          <w:lang w:val="es-ES"/>
        </w:rPr>
      </w:pPr>
    </w:p>
    <w:p w:rsidR="00EA5AA6" w:rsidRPr="006312E8" w:rsidRDefault="00EA5AA6"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F47618">
      <w:pPr>
        <w:pStyle w:val="TITO10"/>
      </w:pPr>
      <w:bookmarkStart w:id="492" w:name="_Toc392856266"/>
      <w:bookmarkStart w:id="493" w:name="_Toc399335537"/>
      <w:bookmarkStart w:id="494" w:name="_Toc421025487"/>
      <w:bookmarkStart w:id="495" w:name="_Toc470855602"/>
      <w:r w:rsidRPr="006312E8">
        <w:t>NORMAS DE ORGANIZACIÓN</w:t>
      </w:r>
      <w:bookmarkEnd w:id="492"/>
      <w:bookmarkEnd w:id="493"/>
      <w:bookmarkEnd w:id="494"/>
      <w:bookmarkEnd w:id="495"/>
    </w:p>
    <w:p w:rsidR="006312E8" w:rsidRPr="006312E8" w:rsidRDefault="006312E8" w:rsidP="00F47618">
      <w:pPr>
        <w:pStyle w:val="TITO10"/>
      </w:pPr>
      <w:bookmarkStart w:id="496" w:name="_Toc392856267"/>
      <w:bookmarkStart w:id="497" w:name="_Toc399335538"/>
      <w:bookmarkStart w:id="498" w:name="_Toc421025488"/>
      <w:bookmarkStart w:id="499" w:name="_Toc470855603"/>
      <w:r w:rsidRPr="006312E8">
        <w:t>DE LA SBN</w:t>
      </w:r>
      <w:bookmarkEnd w:id="496"/>
      <w:bookmarkEnd w:id="497"/>
      <w:bookmarkEnd w:id="498"/>
      <w:bookmarkEnd w:id="499"/>
    </w:p>
    <w:bookmarkStart w:id="500" w:name="_Toc392856268"/>
    <w:p w:rsidR="006312E8" w:rsidRPr="006312E8" w:rsidRDefault="006312E8" w:rsidP="006312E8">
      <w:pPr>
        <w:tabs>
          <w:tab w:val="left" w:pos="0"/>
        </w:tabs>
        <w:spacing w:after="0" w:line="240" w:lineRule="auto"/>
        <w:jc w:val="center"/>
        <w:rPr>
          <w:rFonts w:ascii="Arial" w:eastAsia="Calibri" w:hAnsi="Arial" w:cs="Arial"/>
          <w:b/>
          <w:sz w:val="48"/>
          <w:szCs w:val="48"/>
          <w:lang w:val="es-ES"/>
        </w:rPr>
      </w:pPr>
      <w:r w:rsidRPr="006312E8">
        <w:rPr>
          <w:rFonts w:ascii="Arial" w:eastAsia="Calibri" w:hAnsi="Arial" w:cs="Arial"/>
          <w:b/>
          <w:noProof/>
          <w:sz w:val="48"/>
          <w:szCs w:val="48"/>
          <w:lang w:val="es-MX" w:eastAsia="es-MX"/>
        </w:rPr>
        <mc:AlternateContent>
          <mc:Choice Requires="wps">
            <w:drawing>
              <wp:anchor distT="0" distB="0" distL="114300" distR="114300" simplePos="0" relativeHeight="251679744" behindDoc="0" locked="0" layoutInCell="1" allowOverlap="1" wp14:anchorId="0A199E3F" wp14:editId="13D89FCC">
                <wp:simplePos x="0" y="0"/>
                <wp:positionH relativeFrom="column">
                  <wp:posOffset>1723390</wp:posOffset>
                </wp:positionH>
                <wp:positionV relativeFrom="paragraph">
                  <wp:posOffset>235585</wp:posOffset>
                </wp:positionV>
                <wp:extent cx="3133725" cy="0"/>
                <wp:effectExtent l="38100" t="38100" r="38100" b="38100"/>
                <wp:wrapNone/>
                <wp:docPr id="79" name="Conector recto de flecha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3725" cy="0"/>
                        </a:xfrm>
                        <a:prstGeom prst="straightConnector1">
                          <a:avLst/>
                        </a:prstGeom>
                        <a:noFill/>
                        <a:ln w="635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F4B2051" id="Conector recto de flecha 79" o:spid="_x0000_s1026" type="#_x0000_t32" style="position:absolute;margin-left:135.7pt;margin-top:18.55pt;width:246.7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" strokeweight="5pt">
                <v:shadow color="#7f7f7f" opacity=".5" offset="1pt"/>
              </v:shape>
            </w:pict>
          </mc:Fallback>
        </mc:AlternateContent>
      </w:r>
      <w:bookmarkEnd w:id="500"/>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F47618">
      <w:pPr>
        <w:pStyle w:val="TITO2"/>
      </w:pPr>
      <w:bookmarkStart w:id="501" w:name="_Toc392856269"/>
      <w:bookmarkStart w:id="502" w:name="_Toc399335539"/>
      <w:bookmarkStart w:id="503" w:name="_Toc421025489"/>
      <w:bookmarkStart w:id="504" w:name="_Toc470855604"/>
      <w:bookmarkStart w:id="505" w:name="DS0162010"/>
      <w:r w:rsidRPr="006312E8">
        <w:t>DECRETO SUPREMO Nº 016-2010-VIVIENDA</w:t>
      </w:r>
      <w:bookmarkEnd w:id="501"/>
      <w:bookmarkEnd w:id="502"/>
      <w:bookmarkEnd w:id="503"/>
      <w:bookmarkEnd w:id="504"/>
    </w:p>
    <w:bookmarkEnd w:id="505"/>
    <w:p w:rsidR="006312E8" w:rsidRPr="006312E8" w:rsidRDefault="006312E8" w:rsidP="006312E8">
      <w:pPr>
        <w:spacing w:after="0" w:line="240" w:lineRule="auto"/>
        <w:jc w:val="center"/>
        <w:rPr>
          <w:rFonts w:ascii="Arial" w:eastAsia="Calibri" w:hAnsi="Arial" w:cs="Arial"/>
          <w:lang w:val="es-ES"/>
        </w:rPr>
      </w:pPr>
    </w:p>
    <w:p w:rsidR="006312E8" w:rsidRPr="006312E8" w:rsidRDefault="006312E8" w:rsidP="006312E8">
      <w:pPr>
        <w:spacing w:after="0" w:line="240" w:lineRule="auto"/>
        <w:jc w:val="right"/>
        <w:rPr>
          <w:rFonts w:ascii="Arial" w:eastAsia="Calibri" w:hAnsi="Arial" w:cs="Arial"/>
          <w:b/>
          <w:lang w:val="es-ES"/>
        </w:rPr>
      </w:pPr>
      <w:r w:rsidRPr="006312E8">
        <w:rPr>
          <w:rFonts w:ascii="Arial" w:eastAsia="Calibri" w:hAnsi="Arial" w:cs="Arial"/>
          <w:b/>
          <w:lang w:val="es-ES"/>
        </w:rPr>
        <w:t>Fecha de publicación: 22-12-2010</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EL PRESIDENTE DE LA REPÚBLICA</w:t>
      </w: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CONSIDERANDO: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con Resolución Nº 315-2001/SBN de fecha 3 de setiembre de 2001, fue aprobado el Reglamento de Organización y Funciones de la Superintendencia de Bienes Nacionales - SBN;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mediante Ley Nº 29151, Ley General del Sistema Nacional de Bienes Estatales, se regula el ámbito, organización, atribuciones y funcionamiento del referido Sistema en el marco del proceso de descentralización y modernización de la gestión del Estado, a fin de lograr una administración integral, ordenada, simplificada y eficiente de los bienes estatales, teniendo como ente rector a la Superintendencia Nacional de Bienes Estatales - SBN, aprobándose su Reglamento por Decreto Supremo Nº 007-2008-VIVIENDA;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a través del artículo 11 del Decreto Supremo Nº 047-2009-PCM se autorizó al Ministerio de Vivienda, Construcción y Saneamiento a realizar, por excepción, las acciones conducentes a la aprobación del Reglamento de Organización y Funciones de la SBN;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el artículo 28 de la Ley Nº 29158, Ley Orgánica del Poder Ejecutivo, concordante con el numeral 13.2 del artículo 13 de la Ley Nº 27658, Ley Marco de Modernización de la Gestión del Estado, establece que las normas de organización y funciones de los Organismos Públicos del Poder Ejecutivo se aprueban por Decreto Supremo, con el voto aprobatorio del Consejo de Ministros;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Con la opinión favorable de la Secretaría de Gestión Pública de la Presidencia del Consejo de Ministros contenida en el Informe Nº 102-2010-PCM-SGP.RCC, de conformidad con lo establecido por la Ley Nº 29158, Ley Orgánica del Poder Ejecutivo; y el Decreto Supremo Nº 043-2006-PCM, Lineamientos para la elaboración y aprobación del Reglamento de Organización y Funciones por parte de las entidades de la Administración Pública;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En uso de la facultad conferida por el numeral 8) del Artículo 118 de la Constitución Política del Perú; y,</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Con el voto aprobatorio del Consejo de Ministros;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DECRETA: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1.- Aprobación del Reglamento de Organización y Funciones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Apruébese el Reglamento de Organización y Funciones de la Superintendencia Nacional de Bienes Estatales - SBN, que consta de cuatro (4) Títulos y cincuenta y tres (53) Artículos, el mismo que forma parte integrante del presente Decreto Supremo.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2.- Publicación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Publíquese el Reglamento de Organización y Funciones - ROF en el Portal Electrónico del Estado Peruano (www.peru.gob.pe) y en el Portal Electrónico de la SBN (www.sbn.gob.pe), en la fecha de publicación del presente Decreto Supremo en el Diario Oficial El Peruano, de conformidad con lo dispuesto por el Decreto Supremo Nº 001-2009-JUS.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3.- Refrendo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El presente Decreto Supremo será refrendado por el Ministro de Vivienda, Construcción y Saneamiento.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DISPOSICIONES COMPLEMENTARIAS FINALES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Primera.- Vigencia</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El presente Decreto Supremo entrará en vigencia al día siguiente de su publicación en el Diario Oficial El Peruano.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Segunda.- Adecuación del CAP de la SBN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Facúltese a la SBN para que en un plazo no mayor de sesenta (60) días hábiles, contados a partir de la publicación del presente Decreto Supremo, adecue su Cuadro de Asignación de Personal (CAP) al Reglamento de Organización y Funciones que se aprueba.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DISPOSICIÓN COMPLEMENTARIA DEROGATORIA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Única.- Derogación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Deróguese el Estatuto de la Superintendencia de Bienes Nacionales, aprobado por Decreto Supremo Nº 131-2001-EF, la Resolución Nº 315-2001/SBN y las demás normas que se opongan a lo dispuesto en el presente Decreto Supremo.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Dado en la Casa de Gobierno, en Lima, a los veintiún días del mes de diciembre del año dos mil diez.</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ALAN GARCÍA PÉREZ</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Presidente Constitucional de la República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JUAN SARMIENTO SOTO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Ministro de Vivienda, Construcción y Saneamiento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sz w:val="26"/>
          <w:szCs w:val="26"/>
          <w:lang w:val="es-ES"/>
        </w:rPr>
      </w:pPr>
      <w:r w:rsidRPr="006312E8">
        <w:rPr>
          <w:rFonts w:ascii="Arial" w:eastAsia="Calibri" w:hAnsi="Arial" w:cs="Arial"/>
          <w:b/>
          <w:sz w:val="26"/>
          <w:szCs w:val="26"/>
          <w:lang w:val="es-ES"/>
        </w:rPr>
        <w:t>REGLAMENTO DE ORGANIZACIÓN Y FUNCIONES</w:t>
      </w:r>
    </w:p>
    <w:p w:rsidR="006312E8" w:rsidRPr="006312E8" w:rsidRDefault="006312E8" w:rsidP="006312E8">
      <w:pPr>
        <w:spacing w:after="0" w:line="240" w:lineRule="auto"/>
        <w:jc w:val="center"/>
        <w:rPr>
          <w:rFonts w:ascii="Arial" w:eastAsia="Calibri" w:hAnsi="Arial" w:cs="Arial"/>
          <w:b/>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TITULO I</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DE LAS DISPOSICIONES GENERALES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1.- Naturaleza Jurídica</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Superintendencia Nacional de Bienes Estatales - SBN, es el ente rector del Sistema Nacional de Bienes Estatales y organismo público ejecutor responsable de normar los actos de adquisición, registro, disposición, administración y supervisión de los bienes estatales; así como de ejecutar dichos actos respecto de los bienes cuya administración está a su cargo, de acuerdo a la normatividad vigente, con representación judicial propia.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2. - Base Legal</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Las normas aplicables al presente Reglamento son las siguientes: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241D1D">
      <w:pPr>
        <w:numPr>
          <w:ilvl w:val="0"/>
          <w:numId w:val="78"/>
        </w:numPr>
        <w:spacing w:after="0" w:line="240" w:lineRule="auto"/>
        <w:contextualSpacing/>
        <w:jc w:val="both"/>
        <w:rPr>
          <w:rFonts w:ascii="Arial" w:eastAsia="Calibri" w:hAnsi="Arial" w:cs="Arial"/>
          <w:lang w:val="es-ES"/>
        </w:rPr>
      </w:pPr>
      <w:r w:rsidRPr="006312E8">
        <w:rPr>
          <w:rFonts w:ascii="Arial" w:eastAsia="Calibri" w:hAnsi="Arial" w:cs="Arial"/>
          <w:lang w:val="es-ES"/>
        </w:rPr>
        <w:t>Ley Nº 29151, Ley General del Sistema Nacional de Bienes Estatales.</w:t>
      </w:r>
    </w:p>
    <w:p w:rsidR="006312E8" w:rsidRPr="006312E8" w:rsidRDefault="006312E8" w:rsidP="00241D1D">
      <w:pPr>
        <w:numPr>
          <w:ilvl w:val="0"/>
          <w:numId w:val="78"/>
        </w:numPr>
        <w:spacing w:after="0" w:line="240" w:lineRule="auto"/>
        <w:contextualSpacing/>
        <w:jc w:val="both"/>
        <w:rPr>
          <w:rFonts w:ascii="Arial" w:eastAsia="Calibri" w:hAnsi="Arial" w:cs="Arial"/>
          <w:lang w:val="es-ES"/>
        </w:rPr>
      </w:pPr>
      <w:r w:rsidRPr="006312E8">
        <w:rPr>
          <w:rFonts w:ascii="Arial" w:eastAsia="Calibri" w:hAnsi="Arial" w:cs="Arial"/>
          <w:lang w:val="es-ES"/>
        </w:rPr>
        <w:t>Decreto Supremo Nº 007-2008-VIVIENDA, Aprueban Reglamento de la Ley Nº 29151.</w:t>
      </w:r>
    </w:p>
    <w:p w:rsidR="006312E8" w:rsidRPr="006312E8" w:rsidRDefault="006312E8" w:rsidP="00241D1D">
      <w:pPr>
        <w:numPr>
          <w:ilvl w:val="0"/>
          <w:numId w:val="78"/>
        </w:numPr>
        <w:spacing w:after="0" w:line="240" w:lineRule="auto"/>
        <w:contextualSpacing/>
        <w:jc w:val="both"/>
        <w:rPr>
          <w:rFonts w:ascii="Arial" w:eastAsia="Calibri" w:hAnsi="Arial" w:cs="Arial"/>
          <w:lang w:val="es-ES"/>
        </w:rPr>
      </w:pPr>
      <w:r w:rsidRPr="006312E8">
        <w:rPr>
          <w:rFonts w:ascii="Arial" w:eastAsia="Calibri" w:hAnsi="Arial" w:cs="Arial"/>
          <w:lang w:val="es-ES"/>
        </w:rPr>
        <w:t>Ley Nº 27658, Ley Marco de Modernización de la Gestión del Estado.</w:t>
      </w:r>
    </w:p>
    <w:p w:rsidR="006312E8" w:rsidRPr="006312E8" w:rsidRDefault="006312E8" w:rsidP="00241D1D">
      <w:pPr>
        <w:numPr>
          <w:ilvl w:val="0"/>
          <w:numId w:val="78"/>
        </w:numPr>
        <w:spacing w:after="0" w:line="240" w:lineRule="auto"/>
        <w:contextualSpacing/>
        <w:jc w:val="both"/>
        <w:rPr>
          <w:rFonts w:ascii="Arial" w:eastAsia="Calibri" w:hAnsi="Arial" w:cs="Arial"/>
          <w:lang w:val="es-ES"/>
        </w:rPr>
      </w:pPr>
      <w:r w:rsidRPr="006312E8">
        <w:rPr>
          <w:rFonts w:ascii="Arial" w:eastAsia="Calibri" w:hAnsi="Arial" w:cs="Arial"/>
          <w:lang w:val="es-ES"/>
        </w:rPr>
        <w:t>Ley Nº 29158, Ley Orgánica del Poder Ejecutivo.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3. - Terminología y abreviaturas empleadas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Para efectos del presente Reglamento, se utilizarán las siguientes abreviaturas: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241D1D">
      <w:pPr>
        <w:numPr>
          <w:ilvl w:val="0"/>
          <w:numId w:val="79"/>
        </w:numPr>
        <w:spacing w:after="0" w:line="240" w:lineRule="auto"/>
        <w:contextualSpacing/>
        <w:jc w:val="both"/>
        <w:rPr>
          <w:rFonts w:ascii="Arial" w:eastAsia="Calibri" w:hAnsi="Arial" w:cs="Arial"/>
          <w:lang w:val="es-ES"/>
        </w:rPr>
      </w:pPr>
      <w:r w:rsidRPr="006312E8">
        <w:rPr>
          <w:rFonts w:ascii="Arial" w:eastAsia="Calibri" w:hAnsi="Arial" w:cs="Arial"/>
          <w:b/>
          <w:lang w:val="es-ES"/>
        </w:rPr>
        <w:t>SNBE:</w:t>
      </w:r>
      <w:r w:rsidRPr="006312E8">
        <w:rPr>
          <w:rFonts w:ascii="Arial" w:eastAsia="Calibri" w:hAnsi="Arial" w:cs="Arial"/>
          <w:lang w:val="es-ES"/>
        </w:rPr>
        <w:t xml:space="preserve"> Sistema Nacional de Bienes Estatales.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241D1D">
      <w:pPr>
        <w:numPr>
          <w:ilvl w:val="0"/>
          <w:numId w:val="79"/>
        </w:numPr>
        <w:spacing w:after="0" w:line="240" w:lineRule="auto"/>
        <w:contextualSpacing/>
        <w:jc w:val="both"/>
        <w:rPr>
          <w:rFonts w:ascii="Arial" w:eastAsia="Calibri" w:hAnsi="Arial" w:cs="Arial"/>
          <w:lang w:val="es-ES"/>
        </w:rPr>
      </w:pPr>
      <w:r w:rsidRPr="006312E8">
        <w:rPr>
          <w:rFonts w:ascii="Arial" w:eastAsia="Calibri" w:hAnsi="Arial" w:cs="Arial"/>
          <w:b/>
          <w:lang w:val="es-ES"/>
        </w:rPr>
        <w:t>SBN o Institución:</w:t>
      </w:r>
      <w:r w:rsidRPr="006312E8">
        <w:rPr>
          <w:rFonts w:ascii="Arial" w:eastAsia="Calibri" w:hAnsi="Arial" w:cs="Arial"/>
          <w:lang w:val="es-ES"/>
        </w:rPr>
        <w:t xml:space="preserve"> Superintendencia Nacional de Bienes Estatales.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241D1D">
      <w:pPr>
        <w:numPr>
          <w:ilvl w:val="0"/>
          <w:numId w:val="79"/>
        </w:numPr>
        <w:spacing w:after="0" w:line="240" w:lineRule="auto"/>
        <w:contextualSpacing/>
        <w:jc w:val="both"/>
        <w:rPr>
          <w:rFonts w:ascii="Arial" w:eastAsia="Calibri" w:hAnsi="Arial" w:cs="Arial"/>
          <w:lang w:val="es-ES"/>
        </w:rPr>
      </w:pPr>
      <w:r w:rsidRPr="006312E8">
        <w:rPr>
          <w:rFonts w:ascii="Arial" w:eastAsia="Calibri" w:hAnsi="Arial" w:cs="Arial"/>
          <w:b/>
          <w:lang w:val="es-ES"/>
        </w:rPr>
        <w:t>Entidad(es):</w:t>
      </w:r>
      <w:r w:rsidRPr="006312E8">
        <w:rPr>
          <w:rFonts w:ascii="Arial" w:eastAsia="Calibri" w:hAnsi="Arial" w:cs="Arial"/>
          <w:lang w:val="es-ES"/>
        </w:rPr>
        <w:t xml:space="preserve"> Aquella(s) que conforman el Sistema Nacional de Bienes Estatales.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241D1D">
      <w:pPr>
        <w:numPr>
          <w:ilvl w:val="0"/>
          <w:numId w:val="79"/>
        </w:numPr>
        <w:spacing w:after="0" w:line="240" w:lineRule="auto"/>
        <w:contextualSpacing/>
        <w:jc w:val="both"/>
        <w:rPr>
          <w:rFonts w:ascii="Arial" w:eastAsia="Calibri" w:hAnsi="Arial" w:cs="Arial"/>
          <w:lang w:val="es-ES"/>
        </w:rPr>
      </w:pPr>
      <w:r w:rsidRPr="006312E8">
        <w:rPr>
          <w:rFonts w:ascii="Arial" w:eastAsia="Calibri" w:hAnsi="Arial" w:cs="Arial"/>
          <w:b/>
          <w:lang w:val="es-ES"/>
        </w:rPr>
        <w:t>SINABIP:</w:t>
      </w:r>
      <w:r w:rsidRPr="006312E8">
        <w:rPr>
          <w:rFonts w:ascii="Arial" w:eastAsia="Calibri" w:hAnsi="Arial" w:cs="Arial"/>
          <w:lang w:val="es-ES"/>
        </w:rPr>
        <w:t xml:space="preserve"> Sistema de Información Nacional de Bienes Estatales.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241D1D">
      <w:pPr>
        <w:numPr>
          <w:ilvl w:val="0"/>
          <w:numId w:val="79"/>
        </w:numPr>
        <w:spacing w:after="0" w:line="240" w:lineRule="auto"/>
        <w:contextualSpacing/>
        <w:jc w:val="both"/>
        <w:rPr>
          <w:rFonts w:ascii="Arial" w:eastAsia="Calibri" w:hAnsi="Arial" w:cs="Arial"/>
          <w:lang w:val="es-ES"/>
        </w:rPr>
      </w:pPr>
      <w:r w:rsidRPr="006312E8">
        <w:rPr>
          <w:rFonts w:ascii="Arial" w:eastAsia="Calibri" w:hAnsi="Arial" w:cs="Arial"/>
          <w:b/>
          <w:lang w:val="es-ES"/>
        </w:rPr>
        <w:t>Áreas:</w:t>
      </w:r>
      <w:r w:rsidRPr="006312E8">
        <w:rPr>
          <w:rFonts w:ascii="Arial" w:eastAsia="Calibri" w:hAnsi="Arial" w:cs="Arial"/>
          <w:lang w:val="es-ES"/>
        </w:rPr>
        <w:t xml:space="preserve"> Se refiere tanto a los órganos como a las unidades orgánicas de la Superintendencia Nacional de Bienes Estatales.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4. - Finalidad</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SBN tiene como finalidad normar y supervisar los actos de adquisición, administración, disposición y registro de los bienes estatales que realicen las entidades, a efectos de lograr una administración ordenada y eficiente.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5.- Objetivo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SBN tiene como objetivo desarrollar los mecanismos y procedimientos que permitan una eficiente gestión de la administración de los bienes estatales, maximizando su rendimiento económico y social, contribuyendo al proceso de descentralización y modernización de la gestión del Estado.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6.- Ámbito de Competencia</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SBN tiene competencia sobre las entidades que conforman el SNBE; así como en lo referente a las garantías y normas que regulan su administración.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7.- Funciones Generales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Son funciones generales de la SBN: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241D1D">
      <w:pPr>
        <w:numPr>
          <w:ilvl w:val="0"/>
          <w:numId w:val="80"/>
        </w:numPr>
        <w:spacing w:after="0" w:line="240" w:lineRule="auto"/>
        <w:contextualSpacing/>
        <w:jc w:val="both"/>
        <w:rPr>
          <w:rFonts w:ascii="Arial" w:eastAsia="Calibri" w:hAnsi="Arial" w:cs="Arial"/>
          <w:lang w:val="es-ES"/>
        </w:rPr>
      </w:pPr>
      <w:r w:rsidRPr="006312E8">
        <w:rPr>
          <w:rFonts w:ascii="Arial" w:eastAsia="Calibri" w:hAnsi="Arial" w:cs="Arial"/>
          <w:lang w:val="es-ES"/>
        </w:rPr>
        <w:t>Normar y supervisar los actos de adquisición, registro, disposición y administración de los bienes estatales, así como de ejecutar los actos respecto de los bienes cuya administración está a su cargo.</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241D1D">
      <w:pPr>
        <w:numPr>
          <w:ilvl w:val="0"/>
          <w:numId w:val="80"/>
        </w:numPr>
        <w:spacing w:after="0" w:line="240" w:lineRule="auto"/>
        <w:contextualSpacing/>
        <w:jc w:val="both"/>
        <w:rPr>
          <w:rFonts w:ascii="Arial" w:eastAsia="Calibri" w:hAnsi="Arial" w:cs="Arial"/>
          <w:lang w:val="es-ES"/>
        </w:rPr>
      </w:pPr>
      <w:r w:rsidRPr="006312E8">
        <w:rPr>
          <w:rFonts w:ascii="Arial" w:eastAsia="Calibri" w:hAnsi="Arial" w:cs="Arial"/>
          <w:lang w:val="es-ES"/>
        </w:rPr>
        <w:t>Proponer y promover la aprobación de normas legales destinadas al fortalecimiento del SNBE, priorizando la modernización de la gestión del Estado y el proceso de descentralización.</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0"/>
        </w:numPr>
        <w:spacing w:after="0" w:line="240" w:lineRule="auto"/>
        <w:contextualSpacing/>
        <w:jc w:val="both"/>
        <w:rPr>
          <w:rFonts w:ascii="Arial" w:eastAsia="Calibri" w:hAnsi="Arial" w:cs="Arial"/>
          <w:lang w:val="es-ES"/>
        </w:rPr>
      </w:pPr>
      <w:r w:rsidRPr="006312E8">
        <w:rPr>
          <w:rFonts w:ascii="Arial" w:eastAsia="Calibri" w:hAnsi="Arial" w:cs="Arial"/>
          <w:lang w:val="es-ES"/>
        </w:rPr>
        <w:t>Formular políticas y expedir directivas sobre los actos de adquisición, administración, disposición, registro y supervisión de bienes estatales.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0"/>
        </w:numPr>
        <w:spacing w:after="0" w:line="240" w:lineRule="auto"/>
        <w:contextualSpacing/>
        <w:jc w:val="both"/>
        <w:rPr>
          <w:rFonts w:ascii="Arial" w:eastAsia="Calibri" w:hAnsi="Arial" w:cs="Arial"/>
          <w:lang w:val="es-ES"/>
        </w:rPr>
      </w:pPr>
      <w:r w:rsidRPr="006312E8">
        <w:rPr>
          <w:rFonts w:ascii="Arial" w:eastAsia="Calibri" w:hAnsi="Arial" w:cs="Arial"/>
          <w:lang w:val="es-ES"/>
        </w:rPr>
        <w:t>Procurar una eficiente gestión del portafolio mobiliario e inmobiliario de los bienes estatales, optimizando su uso y valor.</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0"/>
        </w:numPr>
        <w:spacing w:after="0" w:line="240" w:lineRule="auto"/>
        <w:contextualSpacing/>
        <w:jc w:val="both"/>
        <w:rPr>
          <w:rFonts w:ascii="Arial" w:eastAsia="Calibri" w:hAnsi="Arial" w:cs="Arial"/>
          <w:lang w:val="es-ES"/>
        </w:rPr>
      </w:pPr>
      <w:r w:rsidRPr="006312E8">
        <w:rPr>
          <w:rFonts w:ascii="Arial" w:eastAsia="Calibri" w:hAnsi="Arial" w:cs="Arial"/>
          <w:lang w:val="es-ES"/>
        </w:rPr>
        <w:t>Supervisar los bienes estatales, así como el cumplimiento del debido procedimiento y de los actos que ejecuten las entidades pertenecientes al SNBE. En caso que la SBN determine infracciones a la normatividad, pondrá las mismas en conocimiento de la entidad pública correspondiente y de la Contraloría General de la República.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0"/>
        </w:numPr>
        <w:spacing w:after="0" w:line="240" w:lineRule="auto"/>
        <w:contextualSpacing/>
        <w:jc w:val="both"/>
        <w:rPr>
          <w:rFonts w:ascii="Arial" w:eastAsia="Calibri" w:hAnsi="Arial" w:cs="Arial"/>
          <w:lang w:val="es-ES"/>
        </w:rPr>
      </w:pPr>
      <w:r w:rsidRPr="006312E8">
        <w:rPr>
          <w:rFonts w:ascii="Arial" w:eastAsia="Calibri" w:hAnsi="Arial" w:cs="Arial"/>
          <w:lang w:val="es-ES"/>
        </w:rPr>
        <w:t>Administrar el SINABIP como un registro único obligatorio con la información que, de manera obligatoria, deben remitir todas las entidades públicas, respecto de los bienes estatales.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0"/>
        </w:numPr>
        <w:spacing w:after="0" w:line="240" w:lineRule="auto"/>
        <w:contextualSpacing/>
        <w:jc w:val="both"/>
        <w:rPr>
          <w:rFonts w:ascii="Arial" w:eastAsia="Calibri" w:hAnsi="Arial" w:cs="Arial"/>
          <w:lang w:val="es-ES"/>
        </w:rPr>
      </w:pPr>
      <w:r w:rsidRPr="006312E8">
        <w:rPr>
          <w:rFonts w:ascii="Arial" w:eastAsia="Calibri" w:hAnsi="Arial" w:cs="Arial"/>
          <w:lang w:val="es-ES"/>
        </w:rPr>
        <w:t>Identificar los bienes estatales de carácter y alcance nacional y disponer su reserva para desarrollar proyectos de interés nacional.</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0"/>
        </w:numPr>
        <w:spacing w:after="0" w:line="240" w:lineRule="auto"/>
        <w:contextualSpacing/>
        <w:jc w:val="both"/>
        <w:rPr>
          <w:rFonts w:ascii="Arial" w:eastAsia="Calibri" w:hAnsi="Arial" w:cs="Arial"/>
          <w:lang w:val="es-ES"/>
        </w:rPr>
      </w:pPr>
      <w:r w:rsidRPr="006312E8">
        <w:rPr>
          <w:rFonts w:ascii="Arial" w:eastAsia="Calibri" w:hAnsi="Arial" w:cs="Arial"/>
          <w:lang w:val="es-ES"/>
        </w:rPr>
        <w:t>Sustentar y aprobar los actos de adquisición, administración y disposición de los bienes estatales de carácter y alcance nacional, y demás bienes que se encuentren bajo su competencia.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0"/>
        </w:numPr>
        <w:spacing w:after="0" w:line="240" w:lineRule="auto"/>
        <w:contextualSpacing/>
        <w:jc w:val="both"/>
        <w:rPr>
          <w:rFonts w:ascii="Arial" w:eastAsia="Calibri" w:hAnsi="Arial" w:cs="Arial"/>
          <w:lang w:val="es-ES"/>
        </w:rPr>
      </w:pPr>
      <w:r w:rsidRPr="006312E8">
        <w:rPr>
          <w:rFonts w:ascii="Arial" w:eastAsia="Calibri" w:hAnsi="Arial" w:cs="Arial"/>
          <w:lang w:val="es-ES"/>
        </w:rPr>
        <w:t>Aprobar la transferencia, en dominio fiduciario, de los bienes inmuebles de dominio privado del Estado, de libre disponibilidad, que se encuentren bajo su administración, así como la de aquellos bienes de las entidades públicas.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0"/>
        </w:numPr>
        <w:spacing w:after="0" w:line="240" w:lineRule="auto"/>
        <w:contextualSpacing/>
        <w:jc w:val="both"/>
        <w:rPr>
          <w:rFonts w:ascii="Arial" w:eastAsia="Calibri" w:hAnsi="Arial" w:cs="Arial"/>
          <w:lang w:val="es-ES"/>
        </w:rPr>
      </w:pPr>
      <w:r w:rsidRPr="006312E8">
        <w:rPr>
          <w:rFonts w:ascii="Arial" w:eastAsia="Calibri" w:hAnsi="Arial" w:cs="Arial"/>
          <w:lang w:val="es-ES"/>
        </w:rPr>
        <w:t>Emitir opinión técnica en los actos de disposición de predios de propiedad estatal, con excepción de los bienes de propiedad municipal y regional, y de aquellos que sean materia de procesos de formalización o estén comprendidos en procesos de privatización o concesión en cumplimiento de disposiciones especiales.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0"/>
        </w:numPr>
        <w:spacing w:after="0" w:line="240" w:lineRule="auto"/>
        <w:contextualSpacing/>
        <w:jc w:val="both"/>
        <w:rPr>
          <w:rFonts w:ascii="Arial" w:eastAsia="Calibri" w:hAnsi="Arial" w:cs="Arial"/>
          <w:lang w:val="es-ES"/>
        </w:rPr>
      </w:pPr>
      <w:r w:rsidRPr="006312E8">
        <w:rPr>
          <w:rFonts w:ascii="Arial" w:eastAsia="Calibri" w:hAnsi="Arial" w:cs="Arial"/>
          <w:lang w:val="es-ES"/>
        </w:rPr>
        <w:t>Absolver consultas, interpretar y emitir pronunciamientos institucionales sobre bienes estatales con carácter orientador.</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 xml:space="preserve">Artículo 8.- Funciones Compartidas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Son funciones compartidas de la SBN: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241D1D">
      <w:pPr>
        <w:numPr>
          <w:ilvl w:val="0"/>
          <w:numId w:val="81"/>
        </w:numPr>
        <w:spacing w:after="0" w:line="240" w:lineRule="auto"/>
        <w:contextualSpacing/>
        <w:jc w:val="both"/>
        <w:rPr>
          <w:rFonts w:ascii="Arial" w:eastAsia="Calibri" w:hAnsi="Arial" w:cs="Arial"/>
          <w:lang w:val="es-ES"/>
        </w:rPr>
      </w:pPr>
      <w:r w:rsidRPr="006312E8">
        <w:rPr>
          <w:rFonts w:ascii="Arial" w:eastAsia="Calibri" w:hAnsi="Arial" w:cs="Arial"/>
          <w:lang w:val="es-ES"/>
        </w:rPr>
        <w:t>Tramitar y aprobar la conversión de bienes de dominio público al dominio privado del Estado, por la pérdida de la naturaleza o condición apropiada para su uso o servicio público, sin perjuicio de la competencia de los gobiernos locales para este efecto, asignada por normas especiales, luego de lo cual los bienes quedarán a cargo de la SBN.</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241D1D">
      <w:pPr>
        <w:numPr>
          <w:ilvl w:val="0"/>
          <w:numId w:val="81"/>
        </w:numPr>
        <w:spacing w:after="0" w:line="240" w:lineRule="auto"/>
        <w:contextualSpacing/>
        <w:jc w:val="both"/>
        <w:rPr>
          <w:rFonts w:ascii="Arial" w:eastAsia="Calibri" w:hAnsi="Arial" w:cs="Arial"/>
          <w:lang w:val="es-ES"/>
        </w:rPr>
      </w:pPr>
      <w:r w:rsidRPr="006312E8">
        <w:rPr>
          <w:rFonts w:ascii="Arial" w:eastAsia="Calibri" w:hAnsi="Arial" w:cs="Arial"/>
          <w:lang w:val="es-ES"/>
        </w:rPr>
        <w:t>Realizar el diagnóstico y/o saneamiento físico-legal de bienes inmuebles de las entidades públicas del Gobierno Nacional; inclusive, de aquellos comprendidos en proyectos de inversión, obras de infraestructura y servicios públicos del Estado, sin perjuicio del saneamiento que las entidades públicas integrantes del SNBE, efectúen por normas especiales.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1"/>
        </w:numPr>
        <w:spacing w:after="0" w:line="240" w:lineRule="auto"/>
        <w:contextualSpacing/>
        <w:jc w:val="both"/>
        <w:rPr>
          <w:rFonts w:ascii="Arial" w:eastAsia="Calibri" w:hAnsi="Arial" w:cs="Arial"/>
          <w:lang w:val="es-ES"/>
        </w:rPr>
      </w:pPr>
      <w:r w:rsidRPr="006312E8">
        <w:rPr>
          <w:rFonts w:ascii="Arial" w:eastAsia="Calibri" w:hAnsi="Arial" w:cs="Arial"/>
          <w:lang w:val="es-ES"/>
        </w:rPr>
        <w:t>Requerir, al igual que las entidades públicas integrantes del SNBE, información a particulares que ejerzan o hayan ejercido algún derecho sobre bienes estatales.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1"/>
        </w:numPr>
        <w:spacing w:after="0" w:line="240" w:lineRule="auto"/>
        <w:contextualSpacing/>
        <w:jc w:val="both"/>
        <w:rPr>
          <w:rFonts w:ascii="Arial" w:eastAsia="Calibri" w:hAnsi="Arial" w:cs="Arial"/>
          <w:lang w:val="es-ES"/>
        </w:rPr>
      </w:pPr>
      <w:r w:rsidRPr="006312E8">
        <w:rPr>
          <w:rFonts w:ascii="Arial" w:eastAsia="Calibri" w:hAnsi="Arial" w:cs="Arial"/>
          <w:lang w:val="es-ES"/>
        </w:rPr>
        <w:t>Recibir y atender, en similar forma que las entidades públicas integrantes del SNBE, denuncias y sugerencias de la ciudadanía, relacionadas con la administración de los bienes estatales, en el ejercicio de la facultad de fiscalización ciudadana, otorgándoles el trámite correspondiente, sea en el ámbito interno o derivándolas ante la autoridad competente; estando la identidad de los denunciantes y el contenido de la denuncia protegidos por el principio de reserva.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TÍTULO II</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DE LA ESTRUCTURA ORGÁNICA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CAPÍTULO I</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DISPOSICIONES GENERALES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9. - Estructura orgánica de la entidad</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estructura orgánica de la SBN es la siguiente: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01. Órganos de Alta Dirección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 xml:space="preserve">01.1. Superintendente Nacional de Bienes Estatales </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01.2. Secretaría General</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01.2.1. Unidad de Trámite Documentario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01.3. Órgano de Revisión de la Propiedad Estatal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02. Órgano de Control</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02.1. Órgano de Control Institucional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03. Órgano de Defensa Jurídica</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03.1. Procuraduría Pública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04. Órgano de Asesoramiento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04.1. Oficina de Asesoría Jurídica</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04.2. Oficina de Planeamiento y Presupuesto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05. Órgano de Apoyo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05.1. Oficina de Administración y Finanzas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lang w:val="es-ES"/>
        </w:rPr>
        <w:tab/>
      </w:r>
      <w:r w:rsidRPr="006312E8">
        <w:rPr>
          <w:rFonts w:ascii="Arial" w:eastAsia="Calibri" w:hAnsi="Arial" w:cs="Arial"/>
          <w:b/>
          <w:lang w:val="es-ES"/>
        </w:rPr>
        <w:t>06.Órganos de Línea</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06.1. Dirección de Normas y Registro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06.1.1. Subdirección de Normas y Capacitación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06.1.2. Subdirección de Registro y Catastro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06.2. Dirección de Gestión del Patrimonio Estatal</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06.2.1. Subdirección de Administración del Patrimonio Estatal</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06.2.2. Subdirección de Supervisión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06.2.3. Subdirección de Desarrollo Inmobiliario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CAPÍTULO II</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DE LA ALTA DIRECCIÓN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10.- Superintendente Nacional de Bienes Estatales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El Superintendente Nacional de Bienes Estatales es el Titular de la SBN y del Pliego Presupuestal, dirige y supervisa el adecuado funcionamiento de la Institución. Es responsable de dictar políticas institucionales en concordancia con las políticas y planes nacionales y sectoriales. Es el funcionario de mayor nivel jerárquico y es designado por un periodo de cuatro (4) años.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11.- Funciones específicas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Son funciones específicas del Superintendente Nacional de Bienes Estatales: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241D1D">
      <w:pPr>
        <w:numPr>
          <w:ilvl w:val="0"/>
          <w:numId w:val="82"/>
        </w:numPr>
        <w:spacing w:after="0" w:line="240" w:lineRule="auto"/>
        <w:contextualSpacing/>
        <w:jc w:val="both"/>
        <w:rPr>
          <w:rFonts w:ascii="Arial" w:eastAsia="Calibri" w:hAnsi="Arial" w:cs="Arial"/>
          <w:lang w:val="es-ES"/>
        </w:rPr>
      </w:pPr>
      <w:r w:rsidRPr="006312E8">
        <w:rPr>
          <w:rFonts w:ascii="Arial" w:eastAsia="Calibri" w:hAnsi="Arial" w:cs="Arial"/>
          <w:lang w:val="es-ES"/>
        </w:rPr>
        <w:t>Aprobar y velar por el cumplimiento de las políticas, objetivos y metas de la Institución.</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241D1D">
      <w:pPr>
        <w:numPr>
          <w:ilvl w:val="0"/>
          <w:numId w:val="82"/>
        </w:numPr>
        <w:spacing w:after="0" w:line="240" w:lineRule="auto"/>
        <w:contextualSpacing/>
        <w:jc w:val="both"/>
        <w:rPr>
          <w:rFonts w:ascii="Arial" w:eastAsia="Calibri" w:hAnsi="Arial" w:cs="Arial"/>
          <w:lang w:val="es-ES"/>
        </w:rPr>
      </w:pPr>
      <w:r w:rsidRPr="006312E8">
        <w:rPr>
          <w:rFonts w:ascii="Arial" w:eastAsia="Calibri" w:hAnsi="Arial" w:cs="Arial"/>
          <w:lang w:val="es-ES"/>
        </w:rPr>
        <w:t>Aprobar las directivas y demás disposiciones normativas de su competencia, que regulen el adecuado funcionamiento del SNBE.</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2"/>
        </w:numPr>
        <w:spacing w:after="0" w:line="240" w:lineRule="auto"/>
        <w:contextualSpacing/>
        <w:jc w:val="both"/>
        <w:rPr>
          <w:rFonts w:ascii="Arial" w:eastAsia="Calibri" w:hAnsi="Arial" w:cs="Arial"/>
          <w:lang w:val="es-ES"/>
        </w:rPr>
      </w:pPr>
      <w:r w:rsidRPr="006312E8">
        <w:rPr>
          <w:rFonts w:ascii="Arial" w:eastAsia="Calibri" w:hAnsi="Arial" w:cs="Arial"/>
          <w:lang w:val="es-ES"/>
        </w:rPr>
        <w:t>Informar al Titular del Sector sobre el desarrollo de los planes, programas y actividades de la Institución.</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2"/>
        </w:numPr>
        <w:spacing w:after="0" w:line="240" w:lineRule="auto"/>
        <w:contextualSpacing/>
        <w:jc w:val="both"/>
        <w:rPr>
          <w:rFonts w:ascii="Arial" w:eastAsia="Calibri" w:hAnsi="Arial" w:cs="Arial"/>
          <w:lang w:val="es-ES"/>
        </w:rPr>
      </w:pPr>
      <w:r w:rsidRPr="006312E8">
        <w:rPr>
          <w:rFonts w:ascii="Arial" w:eastAsia="Calibri" w:hAnsi="Arial" w:cs="Arial"/>
          <w:lang w:val="es-ES"/>
        </w:rPr>
        <w:t>Proponer y promover ante los poderes públicos la expedición de normas legales o reglamentarias destinadas al fortalecimiento del SNBE.</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2"/>
        </w:numPr>
        <w:spacing w:after="0" w:line="240" w:lineRule="auto"/>
        <w:contextualSpacing/>
        <w:jc w:val="both"/>
        <w:rPr>
          <w:rFonts w:ascii="Arial" w:eastAsia="Calibri" w:hAnsi="Arial" w:cs="Arial"/>
          <w:lang w:val="es-ES"/>
        </w:rPr>
      </w:pPr>
      <w:r w:rsidRPr="006312E8">
        <w:rPr>
          <w:rFonts w:ascii="Arial" w:eastAsia="Calibri" w:hAnsi="Arial" w:cs="Arial"/>
          <w:lang w:val="es-ES"/>
        </w:rPr>
        <w:t>Proponer al Titular del Sector los proyectos de interés nacional que involucren a los bienes estatales.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2"/>
        </w:numPr>
        <w:spacing w:after="0" w:line="240" w:lineRule="auto"/>
        <w:contextualSpacing/>
        <w:jc w:val="both"/>
        <w:rPr>
          <w:rFonts w:ascii="Arial" w:eastAsia="Calibri" w:hAnsi="Arial" w:cs="Arial"/>
          <w:lang w:val="es-ES"/>
        </w:rPr>
      </w:pPr>
      <w:r w:rsidRPr="006312E8">
        <w:rPr>
          <w:rFonts w:ascii="Arial" w:eastAsia="Calibri" w:hAnsi="Arial" w:cs="Arial"/>
          <w:lang w:val="es-ES"/>
        </w:rPr>
        <w:t>Proponer al Titular del Sector la política laboral, remunerativa y otras de carácter administrativo tendiente a optimizar la gestión institucional.</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2"/>
        </w:numPr>
        <w:spacing w:after="0" w:line="240" w:lineRule="auto"/>
        <w:contextualSpacing/>
        <w:jc w:val="both"/>
        <w:rPr>
          <w:rFonts w:ascii="Arial" w:eastAsia="Calibri" w:hAnsi="Arial" w:cs="Arial"/>
          <w:lang w:val="es-ES"/>
        </w:rPr>
      </w:pPr>
      <w:r w:rsidRPr="006312E8">
        <w:rPr>
          <w:rFonts w:ascii="Arial" w:eastAsia="Calibri" w:hAnsi="Arial" w:cs="Arial"/>
          <w:lang w:val="es-ES"/>
        </w:rPr>
        <w:t>Planear, conducir, coordinar, supervisar y evaluar el desarrollo de las actividades de los órganos de línea de la Institución, cautelando el cumplimiento de los dispositivos legales vigentes para el logro de los objetivos institucionales.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2"/>
        </w:numPr>
        <w:spacing w:after="0" w:line="240" w:lineRule="auto"/>
        <w:contextualSpacing/>
        <w:jc w:val="both"/>
        <w:rPr>
          <w:rFonts w:ascii="Arial" w:eastAsia="Calibri" w:hAnsi="Arial" w:cs="Arial"/>
          <w:lang w:val="es-ES"/>
        </w:rPr>
      </w:pPr>
      <w:r w:rsidRPr="006312E8">
        <w:rPr>
          <w:rFonts w:ascii="Arial" w:eastAsia="Calibri" w:hAnsi="Arial" w:cs="Arial"/>
          <w:lang w:val="es-ES"/>
        </w:rPr>
        <w:t>Aprobar los planes, programas y proyectos de la Institución, así como los presupuestos, memorias, balances, estados financieros y demás documentos de gestión, con arreglo a las disposiciones legales de la materia.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2"/>
        </w:numPr>
        <w:spacing w:after="0" w:line="240" w:lineRule="auto"/>
        <w:contextualSpacing/>
        <w:jc w:val="both"/>
        <w:rPr>
          <w:rFonts w:ascii="Arial" w:eastAsia="Calibri" w:hAnsi="Arial" w:cs="Arial"/>
          <w:lang w:val="es-ES"/>
        </w:rPr>
      </w:pPr>
      <w:r w:rsidRPr="006312E8">
        <w:rPr>
          <w:rFonts w:ascii="Arial" w:eastAsia="Calibri" w:hAnsi="Arial" w:cs="Arial"/>
          <w:lang w:val="es-ES"/>
        </w:rPr>
        <w:t>Proponer y/o aprobar la celebración de convenios, contratos y acuerdos de cooperación técnica y financiera con instituciones públicas y privadas, nacionales y extranjeras de acuerdo a la normatividad vigente.</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2"/>
        </w:numPr>
        <w:spacing w:after="0" w:line="240" w:lineRule="auto"/>
        <w:contextualSpacing/>
        <w:jc w:val="both"/>
        <w:rPr>
          <w:rFonts w:ascii="Arial" w:eastAsia="Calibri" w:hAnsi="Arial" w:cs="Arial"/>
          <w:lang w:val="es-ES"/>
        </w:rPr>
      </w:pPr>
      <w:r w:rsidRPr="006312E8">
        <w:rPr>
          <w:rFonts w:ascii="Arial" w:eastAsia="Calibri" w:hAnsi="Arial" w:cs="Arial"/>
          <w:lang w:val="es-ES"/>
        </w:rPr>
        <w:t>Designar a los miembros del Órgano de Revisión de la Propiedad Estatal.</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2"/>
        </w:numPr>
        <w:spacing w:after="0" w:line="240" w:lineRule="auto"/>
        <w:contextualSpacing/>
        <w:jc w:val="both"/>
        <w:rPr>
          <w:rFonts w:ascii="Arial" w:eastAsia="Calibri" w:hAnsi="Arial" w:cs="Arial"/>
          <w:lang w:val="es-ES"/>
        </w:rPr>
      </w:pPr>
      <w:r w:rsidRPr="006312E8">
        <w:rPr>
          <w:rFonts w:ascii="Arial" w:eastAsia="Calibri" w:hAnsi="Arial" w:cs="Arial"/>
          <w:lang w:val="es-ES"/>
        </w:rPr>
        <w:t>Designar y cesar a los empleados de confianza, de conformidad con la legislación vigente;</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2"/>
        </w:numPr>
        <w:spacing w:after="0" w:line="240" w:lineRule="auto"/>
        <w:contextualSpacing/>
        <w:jc w:val="both"/>
        <w:rPr>
          <w:rFonts w:ascii="Arial" w:eastAsia="Calibri" w:hAnsi="Arial" w:cs="Arial"/>
          <w:lang w:val="es-ES"/>
        </w:rPr>
      </w:pPr>
      <w:r w:rsidRPr="006312E8">
        <w:rPr>
          <w:rFonts w:ascii="Arial" w:eastAsia="Calibri" w:hAnsi="Arial" w:cs="Arial"/>
          <w:lang w:val="es-ES"/>
        </w:rPr>
        <w:t>Emitir en representación de la SBN, pronunciamientos institucionales sobre bienes estatales con carácter orientador, de acuerdo a la opinión de las áreas especializadas.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2"/>
        </w:numPr>
        <w:spacing w:after="0" w:line="240" w:lineRule="auto"/>
        <w:contextualSpacing/>
        <w:jc w:val="both"/>
        <w:rPr>
          <w:rFonts w:ascii="Arial" w:eastAsia="Calibri" w:hAnsi="Arial" w:cs="Arial"/>
          <w:lang w:val="es-ES"/>
        </w:rPr>
      </w:pPr>
      <w:r w:rsidRPr="006312E8">
        <w:rPr>
          <w:rFonts w:ascii="Arial" w:eastAsia="Calibri" w:hAnsi="Arial" w:cs="Arial"/>
          <w:lang w:val="es-ES"/>
        </w:rPr>
        <w:t>Solicitar acciones de control sobre aspectos específicos de la gestión institucional y la administración de los recursos de la SBN.</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2"/>
        </w:numPr>
        <w:spacing w:after="0" w:line="240" w:lineRule="auto"/>
        <w:contextualSpacing/>
        <w:jc w:val="both"/>
        <w:rPr>
          <w:rFonts w:ascii="Arial" w:eastAsia="Calibri" w:hAnsi="Arial" w:cs="Arial"/>
          <w:lang w:val="es-ES"/>
        </w:rPr>
      </w:pPr>
      <w:r w:rsidRPr="006312E8">
        <w:rPr>
          <w:rFonts w:ascii="Arial" w:eastAsia="Calibri" w:hAnsi="Arial" w:cs="Arial"/>
          <w:lang w:val="es-ES"/>
        </w:rPr>
        <w:t>Dar conformidad a la Venta Directa, Venta por Subasta Pública y Permuta de predios estatales, de forma previa a la emisión de la Resolución respectiva.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1134" w:hanging="425"/>
        <w:jc w:val="both"/>
        <w:rPr>
          <w:rFonts w:ascii="Arial" w:eastAsia="Calibri" w:hAnsi="Arial" w:cs="Arial"/>
          <w:lang w:val="es-ES"/>
        </w:rPr>
      </w:pPr>
      <w:r w:rsidRPr="006312E8">
        <w:rPr>
          <w:rFonts w:ascii="Arial" w:eastAsia="Calibri" w:hAnsi="Arial" w:cs="Arial"/>
          <w:lang w:val="es-ES"/>
        </w:rPr>
        <w:t>ñ)   Aceptar legados, donaciones y toda otra liberalidad que se haga a favor de la Institución.</w:t>
      </w:r>
    </w:p>
    <w:p w:rsidR="006312E8" w:rsidRPr="006312E8" w:rsidRDefault="006312E8" w:rsidP="006312E8">
      <w:pPr>
        <w:spacing w:after="0" w:line="240" w:lineRule="auto"/>
        <w:ind w:left="1134" w:hanging="425"/>
        <w:jc w:val="both"/>
        <w:rPr>
          <w:rFonts w:ascii="Arial" w:eastAsia="Calibri" w:hAnsi="Arial" w:cs="Arial"/>
          <w:lang w:val="es-ES"/>
        </w:rPr>
      </w:pPr>
    </w:p>
    <w:p w:rsidR="006312E8" w:rsidRPr="006312E8" w:rsidRDefault="006312E8" w:rsidP="00241D1D">
      <w:pPr>
        <w:numPr>
          <w:ilvl w:val="0"/>
          <w:numId w:val="82"/>
        </w:numPr>
        <w:spacing w:after="0" w:line="240" w:lineRule="auto"/>
        <w:contextualSpacing/>
        <w:jc w:val="both"/>
        <w:rPr>
          <w:rFonts w:ascii="Arial" w:eastAsia="Calibri" w:hAnsi="Arial" w:cs="Arial"/>
          <w:lang w:val="es-ES"/>
        </w:rPr>
      </w:pPr>
      <w:r w:rsidRPr="006312E8">
        <w:rPr>
          <w:rFonts w:ascii="Arial" w:eastAsia="Calibri" w:hAnsi="Arial" w:cs="Arial"/>
          <w:lang w:val="es-ES"/>
        </w:rPr>
        <w:t>Delegar total o parcialmente sus funciones en otros funcionarios de la entidad, con excepción de las atribuciones señaladas en leyes o normas específicas, como de carácter indelegable.</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241D1D">
      <w:pPr>
        <w:numPr>
          <w:ilvl w:val="0"/>
          <w:numId w:val="82"/>
        </w:numPr>
        <w:spacing w:after="0" w:line="240" w:lineRule="auto"/>
        <w:contextualSpacing/>
        <w:jc w:val="both"/>
        <w:rPr>
          <w:rFonts w:ascii="Arial" w:eastAsia="Calibri" w:hAnsi="Arial" w:cs="Arial"/>
          <w:lang w:val="es-ES"/>
        </w:rPr>
      </w:pPr>
      <w:r w:rsidRPr="006312E8">
        <w:rPr>
          <w:rFonts w:ascii="Arial" w:eastAsia="Calibri" w:hAnsi="Arial" w:cs="Arial"/>
          <w:lang w:val="es-ES"/>
        </w:rPr>
        <w:t>Ejercer la representación legal de la SBN ante entidades públicas y privadas, en materias que no sean de competencia de la Procuraduría Pública, pudiendo delegar la facultad de representación asignada a otros funcionarios de la Institución.</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2"/>
        </w:numPr>
        <w:spacing w:after="0" w:line="240" w:lineRule="auto"/>
        <w:contextualSpacing/>
        <w:jc w:val="both"/>
        <w:rPr>
          <w:rFonts w:ascii="Arial" w:eastAsia="Calibri" w:hAnsi="Arial" w:cs="Arial"/>
          <w:lang w:val="es-ES"/>
        </w:rPr>
      </w:pPr>
      <w:r w:rsidRPr="006312E8">
        <w:rPr>
          <w:rFonts w:ascii="Arial" w:eastAsia="Calibri" w:hAnsi="Arial" w:cs="Arial"/>
          <w:lang w:val="es-ES"/>
        </w:rPr>
        <w:t>Designar a los representantes para la actuación en las diligencias administrativas de deslinde y titulación de predios.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2"/>
        </w:numPr>
        <w:spacing w:after="0" w:line="240" w:lineRule="auto"/>
        <w:contextualSpacing/>
        <w:jc w:val="both"/>
        <w:rPr>
          <w:rFonts w:ascii="Arial" w:eastAsia="Calibri" w:hAnsi="Arial" w:cs="Arial"/>
          <w:lang w:val="es-ES"/>
        </w:rPr>
      </w:pPr>
      <w:r w:rsidRPr="006312E8">
        <w:rPr>
          <w:rFonts w:ascii="Arial" w:eastAsia="Calibri" w:hAnsi="Arial" w:cs="Arial"/>
          <w:lang w:val="es-ES"/>
        </w:rPr>
        <w:t>Emitir Resoluciones en materias de su competencia.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2"/>
        </w:numPr>
        <w:spacing w:after="0" w:line="240" w:lineRule="auto"/>
        <w:contextualSpacing/>
        <w:jc w:val="both"/>
        <w:rPr>
          <w:rFonts w:ascii="Arial" w:eastAsia="Calibri" w:hAnsi="Arial" w:cs="Arial"/>
          <w:lang w:val="es-ES"/>
        </w:rPr>
      </w:pPr>
      <w:r w:rsidRPr="006312E8">
        <w:rPr>
          <w:rFonts w:ascii="Arial" w:eastAsia="Calibri" w:hAnsi="Arial" w:cs="Arial"/>
          <w:lang w:val="es-ES"/>
        </w:rPr>
        <w:t>Las demás que le señalan las normas aplicables a la Institución y las que sean inherentes a su cargo.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12.- Secretaría General</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Secretaría General es la más alta autoridad administrativa de la Institución y es la encargada de la conducción de las acciones de apoyo y asesoramiento a la Institución, coordinando la marcha de las tareas técnico administrativas, supervisando las actividades de los órganos que cumplen dichas funciones y ejecutando las directivas impartidas por el Superintendente Nacional de Bienes Estatales.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Este órgano depende jerárquicamente del Superintendente Nacional de Bienes Estatales.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13.- Funciones Específicas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Son funciones específicas de la Secretaría General: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241D1D">
      <w:pPr>
        <w:numPr>
          <w:ilvl w:val="0"/>
          <w:numId w:val="83"/>
        </w:numPr>
        <w:spacing w:after="0" w:line="240" w:lineRule="auto"/>
        <w:contextualSpacing/>
        <w:jc w:val="both"/>
        <w:rPr>
          <w:rFonts w:ascii="Arial" w:eastAsia="Calibri" w:hAnsi="Arial" w:cs="Arial"/>
          <w:lang w:val="es-ES"/>
        </w:rPr>
      </w:pPr>
      <w:r w:rsidRPr="006312E8">
        <w:rPr>
          <w:rFonts w:ascii="Arial" w:eastAsia="Calibri" w:hAnsi="Arial" w:cs="Arial"/>
          <w:lang w:val="es-ES"/>
        </w:rPr>
        <w:t>Coordinar y supervisar las actividades de los órganos de apoyo y asesoramiento de la institución.</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241D1D">
      <w:pPr>
        <w:numPr>
          <w:ilvl w:val="0"/>
          <w:numId w:val="83"/>
        </w:numPr>
        <w:spacing w:after="0" w:line="240" w:lineRule="auto"/>
        <w:contextualSpacing/>
        <w:jc w:val="both"/>
        <w:rPr>
          <w:rFonts w:ascii="Arial" w:eastAsia="Calibri" w:hAnsi="Arial" w:cs="Arial"/>
          <w:lang w:val="es-ES"/>
        </w:rPr>
      </w:pPr>
      <w:r w:rsidRPr="006312E8">
        <w:rPr>
          <w:rFonts w:ascii="Arial" w:eastAsia="Calibri" w:hAnsi="Arial" w:cs="Arial"/>
          <w:lang w:val="es-ES"/>
        </w:rPr>
        <w:t>Dirigir, coordinar, supervisar e informar al Superintendente sobre la gestión administrativa y financiera de la Institución.</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3"/>
        </w:numPr>
        <w:spacing w:after="0" w:line="240" w:lineRule="auto"/>
        <w:contextualSpacing/>
        <w:jc w:val="both"/>
        <w:rPr>
          <w:rFonts w:ascii="Arial" w:eastAsia="Calibri" w:hAnsi="Arial" w:cs="Arial"/>
          <w:lang w:val="es-ES"/>
        </w:rPr>
      </w:pPr>
      <w:r w:rsidRPr="006312E8">
        <w:rPr>
          <w:rFonts w:ascii="Arial" w:eastAsia="Calibri" w:hAnsi="Arial" w:cs="Arial"/>
          <w:lang w:val="es-ES"/>
        </w:rPr>
        <w:t>Proponer al Superintendente la aprobación de los planes y programas institucionales, el presupuesto, la memoria, el balance y los estados financieros de la institución.</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3"/>
        </w:numPr>
        <w:spacing w:after="0" w:line="240" w:lineRule="auto"/>
        <w:contextualSpacing/>
        <w:jc w:val="both"/>
        <w:rPr>
          <w:rFonts w:ascii="Arial" w:eastAsia="Calibri" w:hAnsi="Arial" w:cs="Arial"/>
          <w:lang w:val="es-ES"/>
        </w:rPr>
      </w:pPr>
      <w:r w:rsidRPr="006312E8">
        <w:rPr>
          <w:rFonts w:ascii="Arial" w:eastAsia="Calibri" w:hAnsi="Arial" w:cs="Arial"/>
          <w:lang w:val="es-ES"/>
        </w:rPr>
        <w:t>Aprobar la contratación, suspensión, sanción y cese del personal de la Institución que no ejerza cargo de confianza, de acuerdo a las disposiciones legales vigentes, dando cuenta al Superintendente.</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3"/>
        </w:numPr>
        <w:spacing w:after="0" w:line="240" w:lineRule="auto"/>
        <w:contextualSpacing/>
        <w:jc w:val="both"/>
        <w:rPr>
          <w:rFonts w:ascii="Arial" w:eastAsia="Calibri" w:hAnsi="Arial" w:cs="Arial"/>
          <w:lang w:val="es-ES"/>
        </w:rPr>
      </w:pPr>
      <w:r w:rsidRPr="006312E8">
        <w:rPr>
          <w:rFonts w:ascii="Arial" w:eastAsia="Calibri" w:hAnsi="Arial" w:cs="Arial"/>
          <w:lang w:val="es-ES"/>
        </w:rPr>
        <w:t>Aprobar las disposiciones técnicas administrativas necesarias, emitiendo las respectivas resoluciones para su adecuado cumplimiento.</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3"/>
        </w:numPr>
        <w:spacing w:after="0" w:line="240" w:lineRule="auto"/>
        <w:contextualSpacing/>
        <w:jc w:val="both"/>
        <w:rPr>
          <w:rFonts w:ascii="Arial" w:eastAsia="Calibri" w:hAnsi="Arial" w:cs="Arial"/>
          <w:lang w:val="es-ES"/>
        </w:rPr>
      </w:pPr>
      <w:r w:rsidRPr="006312E8">
        <w:rPr>
          <w:rFonts w:ascii="Arial" w:eastAsia="Calibri" w:hAnsi="Arial" w:cs="Arial"/>
          <w:lang w:val="es-ES"/>
        </w:rPr>
        <w:t>Supervisar, evaluar y reportar el cumplimiento de las disposiciones técnicas administrativas señaladas en el literal anterior.</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3"/>
        </w:numPr>
        <w:spacing w:after="0" w:line="240" w:lineRule="auto"/>
        <w:contextualSpacing/>
        <w:jc w:val="both"/>
        <w:rPr>
          <w:rFonts w:ascii="Arial" w:eastAsia="Calibri" w:hAnsi="Arial" w:cs="Arial"/>
          <w:lang w:val="es-ES"/>
        </w:rPr>
      </w:pPr>
      <w:r w:rsidRPr="006312E8">
        <w:rPr>
          <w:rFonts w:ascii="Arial" w:eastAsia="Calibri" w:hAnsi="Arial" w:cs="Arial"/>
          <w:lang w:val="es-ES"/>
        </w:rPr>
        <w:t>Supervisar la adecuada administración documentaria y de la organización del acervo documental institucional.</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3"/>
        </w:numPr>
        <w:spacing w:after="0" w:line="240" w:lineRule="auto"/>
        <w:contextualSpacing/>
        <w:jc w:val="both"/>
        <w:rPr>
          <w:rFonts w:ascii="Arial" w:eastAsia="Calibri" w:hAnsi="Arial" w:cs="Arial"/>
          <w:lang w:val="es-ES"/>
        </w:rPr>
      </w:pPr>
      <w:r w:rsidRPr="006312E8">
        <w:rPr>
          <w:rFonts w:ascii="Arial" w:eastAsia="Calibri" w:hAnsi="Arial" w:cs="Arial"/>
          <w:lang w:val="es-ES"/>
        </w:rPr>
        <w:t>Autorizar, supervisar y coordinar las actividades orientadas a fortalecer las comunicaciones, imagen y protocolo institucional de la SBN.</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3"/>
        </w:numPr>
        <w:spacing w:after="0" w:line="240" w:lineRule="auto"/>
        <w:contextualSpacing/>
        <w:jc w:val="both"/>
        <w:rPr>
          <w:rFonts w:ascii="Arial" w:eastAsia="Calibri" w:hAnsi="Arial" w:cs="Arial"/>
          <w:lang w:val="es-ES"/>
        </w:rPr>
      </w:pPr>
      <w:r w:rsidRPr="006312E8">
        <w:rPr>
          <w:rFonts w:ascii="Arial" w:eastAsia="Calibri" w:hAnsi="Arial" w:cs="Arial"/>
          <w:lang w:val="es-ES"/>
        </w:rPr>
        <w:t>Proponer planes, políticas y directivas que permitan asegurar la transparencia de los actos administrativos; asimismo, disponer la publicación trimestral y detallada de la información que corresponda en el marco de lo dispuesto por la Ley Nº 27806.</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3"/>
        </w:numPr>
        <w:spacing w:after="0" w:line="240" w:lineRule="auto"/>
        <w:contextualSpacing/>
        <w:jc w:val="both"/>
        <w:rPr>
          <w:rFonts w:ascii="Arial" w:eastAsia="Calibri" w:hAnsi="Arial" w:cs="Arial"/>
          <w:lang w:val="es-ES"/>
        </w:rPr>
      </w:pPr>
      <w:r w:rsidRPr="006312E8">
        <w:rPr>
          <w:rFonts w:ascii="Arial" w:eastAsia="Calibri" w:hAnsi="Arial" w:cs="Arial"/>
          <w:lang w:val="es-ES"/>
        </w:rPr>
        <w:t>Planear, programar y ejecutar las acciones de Defensa Nacional inherentes a su función, de acuerdo a las orientaciones técnico normativas correspondientes.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3"/>
        </w:numPr>
        <w:spacing w:after="0" w:line="240" w:lineRule="auto"/>
        <w:contextualSpacing/>
        <w:jc w:val="both"/>
        <w:rPr>
          <w:rFonts w:ascii="Arial" w:eastAsia="Calibri" w:hAnsi="Arial" w:cs="Arial"/>
          <w:lang w:val="es-ES"/>
        </w:rPr>
      </w:pPr>
      <w:r w:rsidRPr="006312E8">
        <w:rPr>
          <w:rFonts w:ascii="Arial" w:eastAsia="Calibri" w:hAnsi="Arial" w:cs="Arial"/>
          <w:lang w:val="es-ES"/>
        </w:rPr>
        <w:t>Resolver en segunda y última instancia las impugnaciones de los actos administrativos emitidos por la Oficina de Administración y Finanzas.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3"/>
        </w:numPr>
        <w:spacing w:after="0" w:line="240" w:lineRule="auto"/>
        <w:contextualSpacing/>
        <w:jc w:val="both"/>
        <w:rPr>
          <w:rFonts w:ascii="Arial" w:eastAsia="Calibri" w:hAnsi="Arial" w:cs="Arial"/>
          <w:lang w:val="es-ES"/>
        </w:rPr>
      </w:pPr>
      <w:r w:rsidRPr="006312E8">
        <w:rPr>
          <w:rFonts w:ascii="Arial" w:eastAsia="Calibri" w:hAnsi="Arial" w:cs="Arial"/>
          <w:lang w:val="es-ES"/>
        </w:rPr>
        <w:t>Las otras que le correspondan de acuerdo a la normatividad vigente y/o le sean encargadas por el Superintendente.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14.- Unidad de Trámite Documentario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Unidad de Trámite Documentario es la responsable de conducir la organización y administración de los sistemas de documentación y archivo de la SBN; así como de la atención de los usuarios, dependiente de la Secretaría General.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15.- Funciones Específicas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Son funciones específicas de la Unidad de Trámite Documentado: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241D1D">
      <w:pPr>
        <w:numPr>
          <w:ilvl w:val="0"/>
          <w:numId w:val="84"/>
        </w:numPr>
        <w:spacing w:after="0" w:line="240" w:lineRule="auto"/>
        <w:contextualSpacing/>
        <w:jc w:val="both"/>
        <w:rPr>
          <w:rFonts w:ascii="Arial" w:eastAsia="Calibri" w:hAnsi="Arial" w:cs="Arial"/>
          <w:lang w:val="es-ES"/>
        </w:rPr>
      </w:pPr>
      <w:r w:rsidRPr="006312E8">
        <w:rPr>
          <w:rFonts w:ascii="Arial" w:eastAsia="Calibri" w:hAnsi="Arial" w:cs="Arial"/>
          <w:lang w:val="es-ES"/>
        </w:rPr>
        <w:t>Organizar, conducir, ejecutar y evaluar conforme a sus funciones el proceso de trámite documentario, archivo, atención al usuario y servicios documentales e informativos; aplicando según sea el caso las normas emanadas de los sistemas administrativos centrales y las directivas, planes y procedimientos establecidos por la Alta Dirección.</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241D1D">
      <w:pPr>
        <w:numPr>
          <w:ilvl w:val="0"/>
          <w:numId w:val="84"/>
        </w:numPr>
        <w:spacing w:after="0" w:line="240" w:lineRule="auto"/>
        <w:contextualSpacing/>
        <w:jc w:val="both"/>
        <w:rPr>
          <w:rFonts w:ascii="Arial" w:eastAsia="Calibri" w:hAnsi="Arial" w:cs="Arial"/>
          <w:lang w:val="es-ES"/>
        </w:rPr>
      </w:pPr>
      <w:r w:rsidRPr="006312E8">
        <w:rPr>
          <w:rFonts w:ascii="Arial" w:eastAsia="Calibri" w:hAnsi="Arial" w:cs="Arial"/>
          <w:lang w:val="es-ES"/>
        </w:rPr>
        <w:t>Proponer y ejecutar las políticas, planes, procedimientos, estrategias y directivas relativas a la información, gestión y administración documentada.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4"/>
        </w:numPr>
        <w:spacing w:after="0" w:line="240" w:lineRule="auto"/>
        <w:contextualSpacing/>
        <w:jc w:val="both"/>
        <w:rPr>
          <w:rFonts w:ascii="Arial" w:eastAsia="Calibri" w:hAnsi="Arial" w:cs="Arial"/>
          <w:lang w:val="es-ES"/>
        </w:rPr>
      </w:pPr>
      <w:r w:rsidRPr="006312E8">
        <w:rPr>
          <w:rFonts w:ascii="Arial" w:eastAsia="Calibri" w:hAnsi="Arial" w:cs="Arial"/>
          <w:lang w:val="es-ES"/>
        </w:rPr>
        <w:t>Brindar información que posea o genere la SBN, a los administrados y a toda persona que lo solicite, de acuerdo a las normas de transparencia y acceso a la información pública.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4"/>
        </w:numPr>
        <w:spacing w:after="0" w:line="240" w:lineRule="auto"/>
        <w:contextualSpacing/>
        <w:jc w:val="both"/>
        <w:rPr>
          <w:rFonts w:ascii="Arial" w:eastAsia="Calibri" w:hAnsi="Arial" w:cs="Arial"/>
          <w:lang w:val="es-ES"/>
        </w:rPr>
      </w:pPr>
      <w:r w:rsidRPr="006312E8">
        <w:rPr>
          <w:rFonts w:ascii="Arial" w:eastAsia="Calibri" w:hAnsi="Arial" w:cs="Arial"/>
          <w:lang w:val="es-ES"/>
        </w:rPr>
        <w:t>Registrar, calificar y derivar al área que corresponda, los documentos que ingresan a la Institución.</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4"/>
        </w:numPr>
        <w:spacing w:after="0" w:line="240" w:lineRule="auto"/>
        <w:contextualSpacing/>
        <w:jc w:val="both"/>
        <w:rPr>
          <w:rFonts w:ascii="Arial" w:eastAsia="Calibri" w:hAnsi="Arial" w:cs="Arial"/>
          <w:lang w:val="es-ES"/>
        </w:rPr>
      </w:pPr>
      <w:r w:rsidRPr="006312E8">
        <w:rPr>
          <w:rFonts w:ascii="Arial" w:eastAsia="Calibri" w:hAnsi="Arial" w:cs="Arial"/>
          <w:lang w:val="es-ES"/>
        </w:rPr>
        <w:t>Notificar interna y externamente los actos administrativos y de administración que emiten las unidades orgánicas de la SBN, así como ejercer el control sobre su eficacia.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4"/>
        </w:numPr>
        <w:spacing w:after="0" w:line="240" w:lineRule="auto"/>
        <w:contextualSpacing/>
        <w:jc w:val="both"/>
        <w:rPr>
          <w:rFonts w:ascii="Arial" w:eastAsia="Calibri" w:hAnsi="Arial" w:cs="Arial"/>
          <w:lang w:val="es-ES"/>
        </w:rPr>
      </w:pPr>
      <w:r w:rsidRPr="006312E8">
        <w:rPr>
          <w:rFonts w:ascii="Arial" w:eastAsia="Calibri" w:hAnsi="Arial" w:cs="Arial"/>
          <w:lang w:val="es-ES"/>
        </w:rPr>
        <w:t>Certificar los documentos que posee o genere la SBN a solicitud de los administrados y/o demás áreas de la institución.</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4"/>
        </w:numPr>
        <w:spacing w:after="0" w:line="240" w:lineRule="auto"/>
        <w:contextualSpacing/>
        <w:jc w:val="both"/>
        <w:rPr>
          <w:rFonts w:ascii="Arial" w:eastAsia="Calibri" w:hAnsi="Arial" w:cs="Arial"/>
          <w:lang w:val="es-ES"/>
        </w:rPr>
      </w:pPr>
      <w:r w:rsidRPr="006312E8">
        <w:rPr>
          <w:rFonts w:ascii="Arial" w:eastAsia="Calibri" w:hAnsi="Arial" w:cs="Arial"/>
          <w:lang w:val="es-ES"/>
        </w:rPr>
        <w:t>Digitalizar, custodiar y disponer la publicación de las resoluciones y documentos oficiales que emitan las áreas, para su posterior seguimiento, verificación y control.</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4"/>
        </w:numPr>
        <w:spacing w:after="0" w:line="240" w:lineRule="auto"/>
        <w:contextualSpacing/>
        <w:jc w:val="both"/>
        <w:rPr>
          <w:rFonts w:ascii="Arial" w:eastAsia="Calibri" w:hAnsi="Arial" w:cs="Arial"/>
          <w:lang w:val="es-ES"/>
        </w:rPr>
      </w:pPr>
      <w:r w:rsidRPr="006312E8">
        <w:rPr>
          <w:rFonts w:ascii="Arial" w:eastAsia="Calibri" w:hAnsi="Arial" w:cs="Arial"/>
          <w:lang w:val="es-ES"/>
        </w:rPr>
        <w:t>Planear, coordinar y ejecutar las actividades archivísticas en concordancia con las normas dispuestas por el Archivo General de la Nación, velando por la custodia y mantenimiento del Acervo Documental.</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4"/>
        </w:numPr>
        <w:spacing w:after="0" w:line="240" w:lineRule="auto"/>
        <w:contextualSpacing/>
        <w:jc w:val="both"/>
        <w:rPr>
          <w:rFonts w:ascii="Arial" w:eastAsia="Calibri" w:hAnsi="Arial" w:cs="Arial"/>
          <w:lang w:val="es-ES"/>
        </w:rPr>
      </w:pPr>
      <w:r w:rsidRPr="006312E8">
        <w:rPr>
          <w:rFonts w:ascii="Arial" w:eastAsia="Calibri" w:hAnsi="Arial" w:cs="Arial"/>
          <w:lang w:val="es-ES"/>
        </w:rPr>
        <w:t>Emitir opinión en materias de su competencia.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4"/>
        </w:numPr>
        <w:spacing w:after="0" w:line="240" w:lineRule="auto"/>
        <w:contextualSpacing/>
        <w:jc w:val="both"/>
        <w:rPr>
          <w:rFonts w:ascii="Arial" w:eastAsia="Calibri" w:hAnsi="Arial" w:cs="Arial"/>
          <w:lang w:val="es-ES"/>
        </w:rPr>
      </w:pPr>
      <w:r w:rsidRPr="006312E8">
        <w:rPr>
          <w:rFonts w:ascii="Arial" w:eastAsia="Calibri" w:hAnsi="Arial" w:cs="Arial"/>
          <w:lang w:val="es-ES"/>
        </w:rPr>
        <w:t>Las demás que le correspondan de acuerdo a la normatividad vigente y/o le sean encargadas por el Secretario General.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CAPÍTULO III</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DEL ÓRGANO DE REVISIÓN DE LA PROPIEDAD ESTATAL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16.- Órgano de Revisión de la Propiedad Estatal</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El Órgano de Revisión de la Propiedad Estatal constituye la instancia revisora de la SBN, con competencia nacional, encargada de resolver, en última instancia administrativa los conflictos sobre bienes de propiedad estatal que surjan entre las Entidades, las que en forma obligatoria deben recurrir a ella. Este órgano depende jerárquicamente del Superintendente Nacional de Bienes Estatales y funcionalmente forma parte de la Alta Dirección de la Institución.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17.- Funciones Específicas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Son funciones específicas del Órgano de Revisión de la Propiedad Estatal: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241D1D">
      <w:pPr>
        <w:numPr>
          <w:ilvl w:val="0"/>
          <w:numId w:val="85"/>
        </w:numPr>
        <w:spacing w:after="0" w:line="240" w:lineRule="auto"/>
        <w:contextualSpacing/>
        <w:jc w:val="both"/>
        <w:rPr>
          <w:rFonts w:ascii="Arial" w:eastAsia="Calibri" w:hAnsi="Arial" w:cs="Arial"/>
          <w:lang w:val="es-ES"/>
        </w:rPr>
      </w:pPr>
      <w:r w:rsidRPr="006312E8">
        <w:rPr>
          <w:rFonts w:ascii="Arial" w:eastAsia="Calibri" w:hAnsi="Arial" w:cs="Arial"/>
          <w:lang w:val="es-ES"/>
        </w:rPr>
        <w:t>Resolver, en última instancia administrativa los conflictos sobre bienes de propiedad estatal que surjan entre las Entidades.</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241D1D">
      <w:pPr>
        <w:numPr>
          <w:ilvl w:val="0"/>
          <w:numId w:val="85"/>
        </w:numPr>
        <w:spacing w:after="0" w:line="240" w:lineRule="auto"/>
        <w:contextualSpacing/>
        <w:jc w:val="both"/>
        <w:rPr>
          <w:rFonts w:ascii="Arial" w:eastAsia="Calibri" w:hAnsi="Arial" w:cs="Arial"/>
          <w:lang w:val="es-ES"/>
        </w:rPr>
      </w:pPr>
      <w:r w:rsidRPr="006312E8">
        <w:rPr>
          <w:rFonts w:ascii="Arial" w:eastAsia="Calibri" w:hAnsi="Arial" w:cs="Arial"/>
          <w:lang w:val="es-ES"/>
        </w:rPr>
        <w:t>Resolver en última instancia administrativa, las oposiciones que formulen las Entidades en los procedimientos de saneamiento contenidos en el Decreto Supremo Nº 130-2001-EF.</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5"/>
        </w:numPr>
        <w:spacing w:after="0" w:line="240" w:lineRule="auto"/>
        <w:contextualSpacing/>
        <w:jc w:val="both"/>
        <w:rPr>
          <w:rFonts w:ascii="Arial" w:eastAsia="Calibri" w:hAnsi="Arial" w:cs="Arial"/>
          <w:lang w:val="es-ES"/>
        </w:rPr>
      </w:pPr>
      <w:r w:rsidRPr="006312E8">
        <w:rPr>
          <w:rFonts w:ascii="Arial" w:eastAsia="Calibri" w:hAnsi="Arial" w:cs="Arial"/>
          <w:lang w:val="es-ES"/>
        </w:rPr>
        <w:t>Resolver en última instancia administrativa, los conflictos que se generen por la identificación y reserva de los bienes estatales para proyectos de interés y alcance nacional, y por la identificación, calificación y declaración de las condiciones de los terrenos del Estado o el levantamiento de las mismas.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5"/>
        </w:numPr>
        <w:spacing w:after="0" w:line="240" w:lineRule="auto"/>
        <w:contextualSpacing/>
        <w:jc w:val="both"/>
        <w:rPr>
          <w:rFonts w:ascii="Arial" w:eastAsia="Calibri" w:hAnsi="Arial" w:cs="Arial"/>
          <w:lang w:val="es-ES"/>
        </w:rPr>
      </w:pPr>
      <w:r w:rsidRPr="006312E8">
        <w:rPr>
          <w:rFonts w:ascii="Arial" w:eastAsia="Calibri" w:hAnsi="Arial" w:cs="Arial"/>
          <w:lang w:val="es-ES"/>
        </w:rPr>
        <w:t>Adoptar los acuerdos que sean necesarios para su mejor desarrollo y funcionamiento.</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5"/>
        </w:numPr>
        <w:spacing w:after="0" w:line="240" w:lineRule="auto"/>
        <w:contextualSpacing/>
        <w:jc w:val="both"/>
        <w:rPr>
          <w:rFonts w:ascii="Arial" w:eastAsia="Calibri" w:hAnsi="Arial" w:cs="Arial"/>
          <w:lang w:val="es-ES"/>
        </w:rPr>
      </w:pPr>
      <w:r w:rsidRPr="006312E8">
        <w:rPr>
          <w:rFonts w:ascii="Arial" w:eastAsia="Calibri" w:hAnsi="Arial" w:cs="Arial"/>
          <w:lang w:val="es-ES"/>
        </w:rPr>
        <w:t>Emitir precedentes de observancia obligatoria en materia de gestión, administración y disposición de bienes estatales, cuando dicha interpretación no sea modificada por resolución debidamente motivada emanada del propio Órgano de Revisión o cuando se interprete de modo expreso y con carácter general el sentido de las normas del SNBE aplicable al caso concreto. Las resoluciones mencionadas deberán precisar el criterio de observancia obligatoria de manera expresa y se publicarán en el Diario Oficial El Peruano.</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5"/>
        </w:numPr>
        <w:spacing w:after="0" w:line="240" w:lineRule="auto"/>
        <w:contextualSpacing/>
        <w:jc w:val="both"/>
        <w:rPr>
          <w:rFonts w:ascii="Arial" w:eastAsia="Calibri" w:hAnsi="Arial" w:cs="Arial"/>
          <w:lang w:val="es-ES"/>
        </w:rPr>
      </w:pPr>
      <w:r w:rsidRPr="006312E8">
        <w:rPr>
          <w:rFonts w:ascii="Arial" w:eastAsia="Calibri" w:hAnsi="Arial" w:cs="Arial"/>
          <w:lang w:val="es-ES"/>
        </w:rPr>
        <w:t>Las demás que señalen las disposiciones legales vigentes o le sean inherentes.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CAPÍTULO IV</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DEL ÓRGANO DE CONTROL INSTITUCIONAL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18.- Órgano de Control Institucional</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El Órgano de Control Institucional, en adelante OCI, es responsable del control interno posterior de las actividades de gestión de la Entidad, de conformidad con la normatividad del Sistema Nacional de Control y la política institucional. Depende funcionalmente de la Contraloría General de la República.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19.- Funciones Específicas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Son funciones específicas del ÓCI:</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241D1D">
      <w:pPr>
        <w:numPr>
          <w:ilvl w:val="0"/>
          <w:numId w:val="86"/>
        </w:numPr>
        <w:spacing w:after="0" w:line="240" w:lineRule="auto"/>
        <w:contextualSpacing/>
        <w:jc w:val="both"/>
        <w:rPr>
          <w:rFonts w:ascii="Arial" w:eastAsia="Calibri" w:hAnsi="Arial" w:cs="Arial"/>
          <w:lang w:val="es-ES"/>
        </w:rPr>
      </w:pPr>
      <w:r w:rsidRPr="006312E8">
        <w:rPr>
          <w:rFonts w:ascii="Arial" w:eastAsia="Calibri" w:hAnsi="Arial" w:cs="Arial"/>
          <w:lang w:val="es-ES"/>
        </w:rPr>
        <w:t>Ejercer el control interno posterior a los actos y operaciones de la Institución, sobre la base de los lineamientos y cumplimientos del Plan Anual de Control, a que se refiere el Artículo 7 de la Ley Nº 27785, Ley Orgánica del Sistema Nacional de Control y de la Contraloría General de la República, así como el control externo a que se refiere el Artículo 8 de la misma Ley, por encargo de la Contraloría General de la República, en adelante la Contraloría General.</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241D1D">
      <w:pPr>
        <w:numPr>
          <w:ilvl w:val="0"/>
          <w:numId w:val="86"/>
        </w:numPr>
        <w:spacing w:after="0" w:line="240" w:lineRule="auto"/>
        <w:contextualSpacing/>
        <w:jc w:val="both"/>
        <w:rPr>
          <w:rFonts w:ascii="Arial" w:eastAsia="Calibri" w:hAnsi="Arial" w:cs="Arial"/>
          <w:lang w:val="es-ES"/>
        </w:rPr>
      </w:pPr>
      <w:r w:rsidRPr="006312E8">
        <w:rPr>
          <w:rFonts w:ascii="Arial" w:eastAsia="Calibri" w:hAnsi="Arial" w:cs="Arial"/>
          <w:lang w:val="es-ES"/>
        </w:rPr>
        <w:t>Efectuar auditorías a los estados financieros y presupuestarios de la Entidad, así como a la gestión de la misma, de conformidad con los lineamientos que emita la Contraloría General.</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6"/>
        </w:numPr>
        <w:spacing w:after="0" w:line="240" w:lineRule="auto"/>
        <w:contextualSpacing/>
        <w:jc w:val="both"/>
        <w:rPr>
          <w:rFonts w:ascii="Arial" w:eastAsia="Calibri" w:hAnsi="Arial" w:cs="Arial"/>
          <w:lang w:val="es-ES"/>
        </w:rPr>
      </w:pPr>
      <w:r w:rsidRPr="006312E8">
        <w:rPr>
          <w:rFonts w:ascii="Arial" w:eastAsia="Calibri" w:hAnsi="Arial" w:cs="Arial"/>
          <w:lang w:val="es-ES"/>
        </w:rPr>
        <w:t>Ejecutar las labores de control a los actos y operaciones de la entidad que disponga la Contraloría General. Cuando estas labores de control sean requeridas por el Titular de la Institución y tengan el carácter de no programadas, su sujeción se efectuará de conformidad con los lineamientos que emita la Contraloría General.</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6"/>
        </w:numPr>
        <w:spacing w:after="0" w:line="240" w:lineRule="auto"/>
        <w:contextualSpacing/>
        <w:jc w:val="both"/>
        <w:rPr>
          <w:rFonts w:ascii="Arial" w:eastAsia="Calibri" w:hAnsi="Arial" w:cs="Arial"/>
          <w:lang w:val="es-ES"/>
        </w:rPr>
      </w:pPr>
      <w:r w:rsidRPr="006312E8">
        <w:rPr>
          <w:rFonts w:ascii="Arial" w:eastAsia="Calibri" w:hAnsi="Arial" w:cs="Arial"/>
          <w:lang w:val="es-ES"/>
        </w:rPr>
        <w:t>Ejercer el control preventivo en la Institución dentro del marco de lo establecido en las disposiciones emitidas por la Contraloría General, con el propósito de contribuir a la mejora de la gestión, sin que ello comprometa el ejercicio del control posterior.</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6"/>
        </w:numPr>
        <w:spacing w:after="0" w:line="240" w:lineRule="auto"/>
        <w:contextualSpacing/>
        <w:jc w:val="both"/>
        <w:rPr>
          <w:rFonts w:ascii="Arial" w:eastAsia="Calibri" w:hAnsi="Arial" w:cs="Arial"/>
          <w:lang w:val="es-ES"/>
        </w:rPr>
      </w:pPr>
      <w:r w:rsidRPr="006312E8">
        <w:rPr>
          <w:rFonts w:ascii="Arial" w:eastAsia="Calibri" w:hAnsi="Arial" w:cs="Arial"/>
          <w:lang w:val="es-ES"/>
        </w:rPr>
        <w:t>Remitir los informes resultantes de sus labores de control tanto a la Contraloría General como al Titular de la Institución y del sector, cuando corresponda, conforme a las disposiciones sobre la materia.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6"/>
        </w:numPr>
        <w:spacing w:after="0" w:line="240" w:lineRule="auto"/>
        <w:contextualSpacing/>
        <w:jc w:val="both"/>
        <w:rPr>
          <w:rFonts w:ascii="Arial" w:eastAsia="Calibri" w:hAnsi="Arial" w:cs="Arial"/>
          <w:lang w:val="es-ES"/>
        </w:rPr>
      </w:pPr>
      <w:r w:rsidRPr="006312E8">
        <w:rPr>
          <w:rFonts w:ascii="Arial" w:eastAsia="Calibri" w:hAnsi="Arial" w:cs="Arial"/>
          <w:lang w:val="es-ES"/>
        </w:rPr>
        <w:t>Actuar de oficio, cuando en los actos y operaciones de la Institución, se adviertan indicios razonables de ilegalidad, de omisión o de incumplimiento, informando al Titular de la Institución para que adopte las medidas correctivas pertinentes.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6"/>
        </w:numPr>
        <w:spacing w:after="0" w:line="240" w:lineRule="auto"/>
        <w:contextualSpacing/>
        <w:jc w:val="both"/>
        <w:rPr>
          <w:rFonts w:ascii="Arial" w:eastAsia="Calibri" w:hAnsi="Arial" w:cs="Arial"/>
          <w:lang w:val="es-ES"/>
        </w:rPr>
      </w:pPr>
      <w:r w:rsidRPr="006312E8">
        <w:rPr>
          <w:rFonts w:ascii="Arial" w:eastAsia="Calibri" w:hAnsi="Arial" w:cs="Arial"/>
          <w:lang w:val="es-ES"/>
        </w:rPr>
        <w:t>Recibir y atender las denuncias que formulen los servidores, funcionarios públicos y ciudadanía en general, sobre actos y operaciones de la SBN, otorgándole el trámite que corresponda a su mérito, conforme a las disposiciones emitida sobre la materia.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6"/>
        </w:numPr>
        <w:spacing w:after="0" w:line="240" w:lineRule="auto"/>
        <w:contextualSpacing/>
        <w:jc w:val="both"/>
        <w:rPr>
          <w:rFonts w:ascii="Arial" w:eastAsia="Calibri" w:hAnsi="Arial" w:cs="Arial"/>
          <w:lang w:val="es-ES"/>
        </w:rPr>
      </w:pPr>
      <w:r w:rsidRPr="006312E8">
        <w:rPr>
          <w:rFonts w:ascii="Arial" w:eastAsia="Calibri" w:hAnsi="Arial" w:cs="Arial"/>
          <w:lang w:val="es-ES"/>
        </w:rPr>
        <w:t>Formular, ejecutar y evaluar el Plan Anual de Control aprobado por la Contraloría General, de acuerdo a los lineamientos y disposiciones emitidas para el efecto.</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6"/>
        </w:numPr>
        <w:spacing w:after="0" w:line="240" w:lineRule="auto"/>
        <w:contextualSpacing/>
        <w:jc w:val="both"/>
        <w:rPr>
          <w:rFonts w:ascii="Arial" w:eastAsia="Calibri" w:hAnsi="Arial" w:cs="Arial"/>
          <w:lang w:val="es-ES"/>
        </w:rPr>
      </w:pPr>
      <w:r w:rsidRPr="006312E8">
        <w:rPr>
          <w:rFonts w:ascii="Arial" w:eastAsia="Calibri" w:hAnsi="Arial" w:cs="Arial"/>
          <w:lang w:val="es-ES"/>
        </w:rPr>
        <w:t>Efectuar el seguimiento de las medidas correctivas que implemente la SBN como resultado de las labores de control, comprobando y calificando su materialización efectiva, conforme a las disposiciones de la materia.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6"/>
        </w:numPr>
        <w:spacing w:after="0" w:line="240" w:lineRule="auto"/>
        <w:contextualSpacing/>
        <w:jc w:val="both"/>
        <w:rPr>
          <w:rFonts w:ascii="Arial" w:eastAsia="Calibri" w:hAnsi="Arial" w:cs="Arial"/>
          <w:lang w:val="es-ES"/>
        </w:rPr>
      </w:pPr>
      <w:r w:rsidRPr="006312E8">
        <w:rPr>
          <w:rFonts w:ascii="Arial" w:eastAsia="Calibri" w:hAnsi="Arial" w:cs="Arial"/>
          <w:lang w:val="es-ES"/>
        </w:rPr>
        <w:t>Apoyar a las Comisiones que designe la Contraloría General para la ejecución de las labores de control en el ámbito de la Institución. Asimismo, el Jefe del OCI y su personal colaborarán, por disposición de la Contraloría General, en otras labores de control, por razones operativas o de especialidad.</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6"/>
        </w:numPr>
        <w:spacing w:after="0" w:line="240" w:lineRule="auto"/>
        <w:contextualSpacing/>
        <w:jc w:val="both"/>
        <w:rPr>
          <w:rFonts w:ascii="Arial" w:eastAsia="Calibri" w:hAnsi="Arial" w:cs="Arial"/>
          <w:lang w:val="es-ES"/>
        </w:rPr>
      </w:pPr>
      <w:r w:rsidRPr="006312E8">
        <w:rPr>
          <w:rFonts w:ascii="Arial" w:eastAsia="Calibri" w:hAnsi="Arial" w:cs="Arial"/>
          <w:lang w:val="es-ES"/>
        </w:rPr>
        <w:t>Verificar el cumplimiento de las disposiciones legales y normativas interna aplicables a la Institución, por parte de las unidades orgánicas y personal de ésta.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6"/>
        </w:numPr>
        <w:spacing w:after="0" w:line="240" w:lineRule="auto"/>
        <w:contextualSpacing/>
        <w:jc w:val="both"/>
        <w:rPr>
          <w:rFonts w:ascii="Arial" w:eastAsia="Calibri" w:hAnsi="Arial" w:cs="Arial"/>
          <w:lang w:val="es-ES"/>
        </w:rPr>
      </w:pPr>
      <w:r w:rsidRPr="006312E8">
        <w:rPr>
          <w:rFonts w:ascii="Arial" w:eastAsia="Calibri" w:hAnsi="Arial" w:cs="Arial"/>
          <w:lang w:val="es-ES"/>
        </w:rPr>
        <w:t>Formular y proponer a la SBN, el presupuesto anual del OCI para su aprobación correspondiente.</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6"/>
        </w:numPr>
        <w:spacing w:after="0" w:line="240" w:lineRule="auto"/>
        <w:contextualSpacing/>
        <w:jc w:val="both"/>
        <w:rPr>
          <w:rFonts w:ascii="Arial" w:eastAsia="Calibri" w:hAnsi="Arial" w:cs="Arial"/>
          <w:lang w:val="es-ES"/>
        </w:rPr>
      </w:pPr>
      <w:r w:rsidRPr="006312E8">
        <w:rPr>
          <w:rFonts w:ascii="Arial" w:eastAsia="Calibri" w:hAnsi="Arial" w:cs="Arial"/>
          <w:lang w:val="es-ES"/>
        </w:rPr>
        <w:t>Cumplir diligente y oportunamente con los encargos y requerimientos que le formule la Contraloría General.</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6"/>
        </w:numPr>
        <w:spacing w:after="0" w:line="240" w:lineRule="auto"/>
        <w:contextualSpacing/>
        <w:jc w:val="both"/>
        <w:rPr>
          <w:rFonts w:ascii="Arial" w:eastAsia="Calibri" w:hAnsi="Arial" w:cs="Arial"/>
          <w:lang w:val="es-ES"/>
        </w:rPr>
      </w:pPr>
      <w:r w:rsidRPr="006312E8">
        <w:rPr>
          <w:rFonts w:ascii="Arial" w:eastAsia="Calibri" w:hAnsi="Arial" w:cs="Arial"/>
          <w:lang w:val="es-ES"/>
        </w:rPr>
        <w:t>Cautelar que la publicidad de los Informes resultantes de sus acciones de control se realice de conformidad con las disposiciones de la materia.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1134" w:hanging="425"/>
        <w:jc w:val="both"/>
        <w:rPr>
          <w:rFonts w:ascii="Arial" w:eastAsia="Calibri" w:hAnsi="Arial" w:cs="Arial"/>
          <w:lang w:val="es-ES"/>
        </w:rPr>
      </w:pPr>
      <w:r w:rsidRPr="006312E8">
        <w:rPr>
          <w:rFonts w:ascii="Arial" w:eastAsia="Calibri" w:hAnsi="Arial" w:cs="Arial"/>
          <w:lang w:val="es-ES"/>
        </w:rPr>
        <w:t xml:space="preserve">ñ) </w:t>
      </w:r>
      <w:r w:rsidRPr="006312E8">
        <w:rPr>
          <w:rFonts w:ascii="Arial" w:eastAsia="Calibri" w:hAnsi="Arial" w:cs="Arial"/>
          <w:lang w:val="es-ES"/>
        </w:rPr>
        <w:tab/>
        <w:t>Cautelar que cualquier modificación del Cuadro para Asignación de Personal, así como de la parte correspondiente del Reglamento de Organización y Funciones, relativos al OCI se realice de conformidad con las disposiciones de la materia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241D1D">
      <w:pPr>
        <w:numPr>
          <w:ilvl w:val="0"/>
          <w:numId w:val="86"/>
        </w:numPr>
        <w:spacing w:after="0" w:line="240" w:lineRule="auto"/>
        <w:contextualSpacing/>
        <w:jc w:val="both"/>
        <w:rPr>
          <w:rFonts w:ascii="Arial" w:eastAsia="Calibri" w:hAnsi="Arial" w:cs="Arial"/>
          <w:lang w:val="es-ES"/>
        </w:rPr>
      </w:pPr>
      <w:r w:rsidRPr="006312E8">
        <w:rPr>
          <w:rFonts w:ascii="Arial" w:eastAsia="Calibri" w:hAnsi="Arial" w:cs="Arial"/>
          <w:lang w:val="es-ES"/>
        </w:rPr>
        <w:t>Promover la capacitación permanente del personal que conforma el OCI, incluida la Jefatura, a través de la Escuela Nacional de Control de la Contraloría General o de cualquier otro centro universitario o de nivel superior con reconocimiento oficial, en temas vinculados con el control gubernamental, la Administración Pública y aquellas materias afines a la gestión de las organizaciones.</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241D1D">
      <w:pPr>
        <w:numPr>
          <w:ilvl w:val="0"/>
          <w:numId w:val="86"/>
        </w:numPr>
        <w:spacing w:after="0" w:line="240" w:lineRule="auto"/>
        <w:contextualSpacing/>
        <w:jc w:val="both"/>
        <w:rPr>
          <w:rFonts w:ascii="Arial" w:eastAsia="Calibri" w:hAnsi="Arial" w:cs="Arial"/>
          <w:lang w:val="es-ES"/>
        </w:rPr>
      </w:pPr>
      <w:r w:rsidRPr="006312E8">
        <w:rPr>
          <w:rFonts w:ascii="Arial" w:eastAsia="Calibri" w:hAnsi="Arial" w:cs="Arial"/>
          <w:lang w:val="es-ES"/>
        </w:rPr>
        <w:t>Mantener ordenados, custodiados y a disposición de la Contraloría General durante diez (10) años los informes de control, papeles de trabajo, denuncias recibidas y los documentos relativos a la actividad funcional de los OCI, luego de los cuales quedan sujetos a las normas de archivo vigentes para el sector público. El Jefe del OCI adoptará las medidas pertinentes para la cautela y custodia del acervo documental.</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6"/>
        </w:numPr>
        <w:spacing w:after="0" w:line="240" w:lineRule="auto"/>
        <w:contextualSpacing/>
        <w:jc w:val="both"/>
        <w:rPr>
          <w:rFonts w:ascii="Arial" w:eastAsia="Calibri" w:hAnsi="Arial" w:cs="Arial"/>
          <w:lang w:val="es-ES"/>
        </w:rPr>
      </w:pPr>
      <w:r w:rsidRPr="006312E8">
        <w:rPr>
          <w:rFonts w:ascii="Arial" w:eastAsia="Calibri" w:hAnsi="Arial" w:cs="Arial"/>
          <w:lang w:val="es-ES"/>
        </w:rPr>
        <w:t>Cautelar que el personal del OCI dé cumplimiento a las normas y principios que rigen la conducta, impedimentos, incompatibilidades y prohibiciones de los funcionarios y servidores públicos, de acuerdo a las disposiciones de la materia.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6"/>
        </w:numPr>
        <w:spacing w:after="0" w:line="240" w:lineRule="auto"/>
        <w:contextualSpacing/>
        <w:jc w:val="both"/>
        <w:rPr>
          <w:rFonts w:ascii="Arial" w:eastAsia="Calibri" w:hAnsi="Arial" w:cs="Arial"/>
          <w:lang w:val="es-ES"/>
        </w:rPr>
      </w:pPr>
      <w:r w:rsidRPr="006312E8">
        <w:rPr>
          <w:rFonts w:ascii="Arial" w:eastAsia="Calibri" w:hAnsi="Arial" w:cs="Arial"/>
          <w:lang w:val="es-ES"/>
        </w:rPr>
        <w:t>Mantener en reserva la información clasificada obtenida en el ejercicio de sus actividades.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6"/>
        </w:numPr>
        <w:spacing w:after="0" w:line="240" w:lineRule="auto"/>
        <w:contextualSpacing/>
        <w:jc w:val="both"/>
        <w:rPr>
          <w:rFonts w:ascii="Arial" w:eastAsia="Calibri" w:hAnsi="Arial" w:cs="Arial"/>
          <w:lang w:val="es-ES"/>
        </w:rPr>
      </w:pPr>
      <w:r w:rsidRPr="006312E8">
        <w:rPr>
          <w:rFonts w:ascii="Arial" w:eastAsia="Calibri" w:hAnsi="Arial" w:cs="Arial"/>
          <w:lang w:val="es-ES"/>
        </w:rPr>
        <w:t>Las demás que le corresponde de acuerdo a la normatividad vigente.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CAPÍTULO V</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DEL ORGANO DE DEFENSA JURÍDICA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20.- Procuraduría Pública</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Procuraduría Pública es el órgano encargado de representar y defender los derechos e intereses del Estado y de la SBN ante los órganos jurisdiccionales y en procedimientos administrativos de conformidad con las normas del Sistema de Defensa Jurídica del Estado. Tiene autonomía en el ejercicio de sus funciones.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Este órgano depende jerárquicamente del Superintendente Nacional de Bienes Estatales y mantiene relaciones de coordinación con el Consejo de Defensa Jurídica del Estado.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21.- Funciones Específicas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Son funciones específicas de la Procuraduría Pública las siguientes: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241D1D">
      <w:pPr>
        <w:numPr>
          <w:ilvl w:val="0"/>
          <w:numId w:val="87"/>
        </w:numPr>
        <w:spacing w:after="0" w:line="240" w:lineRule="auto"/>
        <w:contextualSpacing/>
        <w:jc w:val="both"/>
        <w:rPr>
          <w:rFonts w:ascii="Arial" w:eastAsia="Calibri" w:hAnsi="Arial" w:cs="Arial"/>
          <w:lang w:val="es-ES"/>
        </w:rPr>
      </w:pPr>
      <w:r w:rsidRPr="006312E8">
        <w:rPr>
          <w:rFonts w:ascii="Arial" w:eastAsia="Calibri" w:hAnsi="Arial" w:cs="Arial"/>
          <w:lang w:val="es-ES"/>
        </w:rPr>
        <w:t>Representar y defender los intereses y derechos del Estado y de la SBN en los procesos y procedimientos en los cuales actúe como demandante, demandado, denunciante, administrado o parte civil, a nivel nacional.</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241D1D">
      <w:pPr>
        <w:numPr>
          <w:ilvl w:val="0"/>
          <w:numId w:val="87"/>
        </w:numPr>
        <w:spacing w:after="0" w:line="240" w:lineRule="auto"/>
        <w:contextualSpacing/>
        <w:jc w:val="both"/>
        <w:rPr>
          <w:rFonts w:ascii="Arial" w:eastAsia="Calibri" w:hAnsi="Arial" w:cs="Arial"/>
          <w:lang w:val="es-ES"/>
        </w:rPr>
      </w:pPr>
      <w:r w:rsidRPr="006312E8">
        <w:rPr>
          <w:rFonts w:ascii="Arial" w:eastAsia="Calibri" w:hAnsi="Arial" w:cs="Arial"/>
          <w:lang w:val="es-ES"/>
        </w:rPr>
        <w:t>Ejercer la defensa judicial de la SBN ante cualquier Tribunal o Juzgado de los diferentes distritos y zonas judiciales de la República.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7"/>
        </w:numPr>
        <w:spacing w:after="0" w:line="240" w:lineRule="auto"/>
        <w:contextualSpacing/>
        <w:jc w:val="both"/>
        <w:rPr>
          <w:rFonts w:ascii="Arial" w:eastAsia="Calibri" w:hAnsi="Arial" w:cs="Arial"/>
          <w:lang w:val="es-ES"/>
        </w:rPr>
      </w:pPr>
      <w:r w:rsidRPr="006312E8">
        <w:rPr>
          <w:rFonts w:ascii="Arial" w:eastAsia="Calibri" w:hAnsi="Arial" w:cs="Arial"/>
          <w:lang w:val="es-ES"/>
        </w:rPr>
        <w:t>Coordinar con las demás entidades del Sector Público para los efectos del ejercicio de la defensa de los intereses de la SBN.</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7"/>
        </w:numPr>
        <w:spacing w:after="0" w:line="240" w:lineRule="auto"/>
        <w:contextualSpacing/>
        <w:jc w:val="both"/>
        <w:rPr>
          <w:rFonts w:ascii="Arial" w:eastAsia="Calibri" w:hAnsi="Arial" w:cs="Arial"/>
          <w:lang w:val="es-ES"/>
        </w:rPr>
      </w:pPr>
      <w:r w:rsidRPr="006312E8">
        <w:rPr>
          <w:rFonts w:ascii="Arial" w:eastAsia="Calibri" w:hAnsi="Arial" w:cs="Arial"/>
          <w:lang w:val="es-ES"/>
        </w:rPr>
        <w:t>Emitir informe anual al Consejo de Defensa Jurídica del Estado y al Titular de la SBN respecto de los procesos que son de su competencia.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7"/>
        </w:numPr>
        <w:spacing w:after="0" w:line="240" w:lineRule="auto"/>
        <w:contextualSpacing/>
        <w:jc w:val="both"/>
        <w:rPr>
          <w:rFonts w:ascii="Arial" w:eastAsia="Calibri" w:hAnsi="Arial" w:cs="Arial"/>
          <w:lang w:val="es-ES"/>
        </w:rPr>
      </w:pPr>
      <w:r w:rsidRPr="006312E8">
        <w:rPr>
          <w:rFonts w:ascii="Arial" w:eastAsia="Calibri" w:hAnsi="Arial" w:cs="Arial"/>
          <w:lang w:val="es-ES"/>
        </w:rPr>
        <w:t>Las demás funciones señaladas en la normatividad sobre la materia.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CAPÍTULO VI</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DE LOS ÓRGANOS DE ASESORAMIENTO</w:t>
      </w:r>
    </w:p>
    <w:p w:rsidR="006312E8" w:rsidRPr="006312E8" w:rsidRDefault="006312E8" w:rsidP="006312E8">
      <w:pPr>
        <w:spacing w:after="0" w:line="240" w:lineRule="auto"/>
        <w:jc w:val="center"/>
        <w:rPr>
          <w:rFonts w:ascii="Arial" w:eastAsia="Calibri" w:hAnsi="Arial" w:cs="Arial"/>
          <w:b/>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SUB CAPÍTULO I</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DE LA OFICINA DE ASESORÍA JURÍDICA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22.- Oficina de Asesoría Jurídica</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Oficina de Asesoría Jurídica es el órgano encargado de brindar asesoría jurídica a la Alta Dirección y a las demás áreas de la SBN; así corno emitir opinión sobre los dispositivos legales en materia de administración y gestión institucional.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Este Órgano depende jerárquicamente de la Secretaría General.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23.- Funciones Específicas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Son funciones específicas de la Oficina de Asesoría Jurídica: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241D1D">
      <w:pPr>
        <w:numPr>
          <w:ilvl w:val="0"/>
          <w:numId w:val="88"/>
        </w:numPr>
        <w:spacing w:after="0" w:line="240" w:lineRule="auto"/>
        <w:contextualSpacing/>
        <w:jc w:val="both"/>
        <w:rPr>
          <w:rFonts w:ascii="Arial" w:eastAsia="Calibri" w:hAnsi="Arial" w:cs="Arial"/>
          <w:lang w:val="es-ES"/>
        </w:rPr>
      </w:pPr>
      <w:r w:rsidRPr="006312E8">
        <w:rPr>
          <w:rFonts w:ascii="Arial" w:eastAsia="Calibri" w:hAnsi="Arial" w:cs="Arial"/>
          <w:lang w:val="es-ES"/>
        </w:rPr>
        <w:t>Brindar asesoría jurídica a la Alta Dirección; así como a las demás áreas institucionales sobre temas que éstas requieran, a excepción de los referidos en el literal c) del Artículo 37 del presente Reglamento.</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241D1D">
      <w:pPr>
        <w:numPr>
          <w:ilvl w:val="0"/>
          <w:numId w:val="88"/>
        </w:numPr>
        <w:spacing w:after="0" w:line="240" w:lineRule="auto"/>
        <w:contextualSpacing/>
        <w:jc w:val="both"/>
        <w:rPr>
          <w:rFonts w:ascii="Arial" w:eastAsia="Calibri" w:hAnsi="Arial" w:cs="Arial"/>
          <w:lang w:val="es-ES"/>
        </w:rPr>
      </w:pPr>
      <w:r w:rsidRPr="006312E8">
        <w:rPr>
          <w:rFonts w:ascii="Arial" w:eastAsia="Calibri" w:hAnsi="Arial" w:cs="Arial"/>
          <w:lang w:val="es-ES"/>
        </w:rPr>
        <w:t>Dar conformidad a las resoluciones que emita la Alta Dirección, y en su caso suscribir las transcripciones ofíciales.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8"/>
        </w:numPr>
        <w:spacing w:after="0" w:line="240" w:lineRule="auto"/>
        <w:contextualSpacing/>
        <w:jc w:val="both"/>
        <w:rPr>
          <w:rFonts w:ascii="Arial" w:eastAsia="Calibri" w:hAnsi="Arial" w:cs="Arial"/>
          <w:lang w:val="es-ES"/>
        </w:rPr>
      </w:pPr>
      <w:r w:rsidRPr="006312E8">
        <w:rPr>
          <w:rFonts w:ascii="Arial" w:eastAsia="Calibri" w:hAnsi="Arial" w:cs="Arial"/>
          <w:lang w:val="es-ES"/>
        </w:rPr>
        <w:t>Dictaminar sobre los recursos que deben ser resueltos en última instancia administrativa por el Superintendente Nacional de Bienes Estatales, en temas de administración y gestión institucional.</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8"/>
        </w:numPr>
        <w:spacing w:after="0" w:line="240" w:lineRule="auto"/>
        <w:contextualSpacing/>
        <w:jc w:val="both"/>
        <w:rPr>
          <w:rFonts w:ascii="Arial" w:eastAsia="Calibri" w:hAnsi="Arial" w:cs="Arial"/>
          <w:lang w:val="es-ES"/>
        </w:rPr>
      </w:pPr>
      <w:r w:rsidRPr="006312E8">
        <w:rPr>
          <w:rFonts w:ascii="Arial" w:eastAsia="Calibri" w:hAnsi="Arial" w:cs="Arial"/>
          <w:lang w:val="es-ES"/>
        </w:rPr>
        <w:t>Dar conformidad a los convenios y contratos que la Institución deba emitir o suscribir.</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8"/>
        </w:numPr>
        <w:spacing w:after="0" w:line="240" w:lineRule="auto"/>
        <w:contextualSpacing/>
        <w:jc w:val="both"/>
        <w:rPr>
          <w:rFonts w:ascii="Arial" w:eastAsia="Calibri" w:hAnsi="Arial" w:cs="Arial"/>
          <w:lang w:val="es-ES"/>
        </w:rPr>
      </w:pPr>
      <w:r w:rsidRPr="006312E8">
        <w:rPr>
          <w:rFonts w:ascii="Arial" w:eastAsia="Calibri" w:hAnsi="Arial" w:cs="Arial"/>
          <w:lang w:val="es-ES"/>
        </w:rPr>
        <w:t>Elaborar los proyectos normativos que le sean solicitados por la Alta Dirección y emitir opinión sobre aquellos que sean sometidos a consideración de la SBN, a excepción de los que se refiere el literal a) del Artículo 34 del presente Reglamento.</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8"/>
        </w:numPr>
        <w:spacing w:after="0" w:line="240" w:lineRule="auto"/>
        <w:contextualSpacing/>
        <w:jc w:val="both"/>
        <w:rPr>
          <w:rFonts w:ascii="Arial" w:eastAsia="Calibri" w:hAnsi="Arial" w:cs="Arial"/>
          <w:lang w:val="es-ES"/>
        </w:rPr>
      </w:pPr>
      <w:r w:rsidRPr="006312E8">
        <w:rPr>
          <w:rFonts w:ascii="Arial" w:eastAsia="Calibri" w:hAnsi="Arial" w:cs="Arial"/>
          <w:lang w:val="es-ES"/>
        </w:rPr>
        <w:t>Emitir opinión sobre la correcta aplicación de las normas en materia de administración y gestión institucional.</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8"/>
        </w:numPr>
        <w:spacing w:after="0" w:line="240" w:lineRule="auto"/>
        <w:contextualSpacing/>
        <w:jc w:val="both"/>
        <w:rPr>
          <w:rFonts w:ascii="Arial" w:eastAsia="Calibri" w:hAnsi="Arial" w:cs="Arial"/>
          <w:lang w:val="es-ES"/>
        </w:rPr>
      </w:pPr>
      <w:r w:rsidRPr="006312E8">
        <w:rPr>
          <w:rFonts w:ascii="Arial" w:eastAsia="Calibri" w:hAnsi="Arial" w:cs="Arial"/>
          <w:lang w:val="es-ES"/>
        </w:rPr>
        <w:t>Elaborar, a solicitud de la Alta Dirección o de las demás áreas de la institución, los convenios interinstitucionales a suscribirse.</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8"/>
        </w:numPr>
        <w:spacing w:after="0" w:line="240" w:lineRule="auto"/>
        <w:contextualSpacing/>
        <w:jc w:val="both"/>
        <w:rPr>
          <w:rFonts w:ascii="Arial" w:eastAsia="Calibri" w:hAnsi="Arial" w:cs="Arial"/>
          <w:lang w:val="es-ES"/>
        </w:rPr>
      </w:pPr>
      <w:r w:rsidRPr="006312E8">
        <w:rPr>
          <w:rFonts w:ascii="Arial" w:eastAsia="Calibri" w:hAnsi="Arial" w:cs="Arial"/>
          <w:lang w:val="es-ES"/>
        </w:rPr>
        <w:t>Coordinar con la Procuraduría Pública en los asuntos de su competencia.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8"/>
        </w:numPr>
        <w:spacing w:after="0" w:line="240" w:lineRule="auto"/>
        <w:contextualSpacing/>
        <w:jc w:val="both"/>
        <w:rPr>
          <w:rFonts w:ascii="Arial" w:eastAsia="Calibri" w:hAnsi="Arial" w:cs="Arial"/>
          <w:lang w:val="es-ES"/>
        </w:rPr>
      </w:pPr>
      <w:r w:rsidRPr="006312E8">
        <w:rPr>
          <w:rFonts w:ascii="Arial" w:eastAsia="Calibri" w:hAnsi="Arial" w:cs="Arial"/>
          <w:lang w:val="es-ES"/>
        </w:rPr>
        <w:t>Emitir informe para contratar servicios legales especializados en defensa del personal de la SBN cuando se establezcan en su contra reclamaciones, demandas y denuncias de toda índole por actos, omisiones o decisiones adoptadas en el ejercicio regular de sus funciones.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8"/>
        </w:numPr>
        <w:spacing w:after="0" w:line="240" w:lineRule="auto"/>
        <w:contextualSpacing/>
        <w:jc w:val="both"/>
        <w:rPr>
          <w:rFonts w:ascii="Arial" w:eastAsia="Calibri" w:hAnsi="Arial" w:cs="Arial"/>
          <w:lang w:val="es-ES"/>
        </w:rPr>
      </w:pPr>
      <w:r w:rsidRPr="006312E8">
        <w:rPr>
          <w:rFonts w:ascii="Arial" w:eastAsia="Calibri" w:hAnsi="Arial" w:cs="Arial"/>
          <w:lang w:val="es-ES"/>
        </w:rPr>
        <w:t>Coordinar, supervisar y verificar el cumplimiento de los servicios que prestan los estudios jurídicos según lo pactado en los respectivos contratos.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8"/>
        </w:numPr>
        <w:spacing w:after="0" w:line="240" w:lineRule="auto"/>
        <w:contextualSpacing/>
        <w:jc w:val="both"/>
        <w:rPr>
          <w:rFonts w:ascii="Arial" w:eastAsia="Calibri" w:hAnsi="Arial" w:cs="Arial"/>
          <w:lang w:val="es-ES"/>
        </w:rPr>
      </w:pPr>
      <w:r w:rsidRPr="006312E8">
        <w:rPr>
          <w:rFonts w:ascii="Arial" w:eastAsia="Calibri" w:hAnsi="Arial" w:cs="Arial"/>
          <w:lang w:val="es-ES"/>
        </w:rPr>
        <w:t>Compilar y sistematizar la legislación y normatividad inherente al ámbito de gestión, difundiéndolas a las áreas técnico administrativas de la entidad.</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8"/>
        </w:numPr>
        <w:spacing w:after="0" w:line="240" w:lineRule="auto"/>
        <w:contextualSpacing/>
        <w:jc w:val="both"/>
        <w:rPr>
          <w:rFonts w:ascii="Arial" w:eastAsia="Calibri" w:hAnsi="Arial" w:cs="Arial"/>
          <w:lang w:val="es-ES"/>
        </w:rPr>
      </w:pPr>
      <w:r w:rsidRPr="006312E8">
        <w:rPr>
          <w:rFonts w:ascii="Arial" w:eastAsia="Calibri" w:hAnsi="Arial" w:cs="Arial"/>
          <w:lang w:val="es-ES"/>
        </w:rPr>
        <w:t>Las demás que le correspondan de acuerdo a la normatividad vigente y/o le sean asignadas por la autoridad superior.</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SUB CAPÍTULO II</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DE LA OFICINA DE PLANEAMIENTO Y PRESUPUESTO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24.- Oficina de Planeamiento y Presupuesto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Oficina de Planeamiento y Presupuesto es el órgano de asesoramiento encargado de planificar, programar, evaluar y efectuar el seguimiento de la gestión presupuestaria de la Institución; formular, coordinar y efectuar las acciones de monitoreo, evaluación de los planes institucionales de corto, mediano y largo plazo y proyectos, para el logro de los objetivos de la Institución, así como del proceso de racionalización cuando se requiera.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Este Órgano depende jerárquicamente de la Secretaría General.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25.- Funciones específicas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Son funciones específicas de la Oficina de Planeamiento y Presupuesto: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241D1D">
      <w:pPr>
        <w:numPr>
          <w:ilvl w:val="0"/>
          <w:numId w:val="89"/>
        </w:numPr>
        <w:spacing w:after="0" w:line="240" w:lineRule="auto"/>
        <w:contextualSpacing/>
        <w:jc w:val="both"/>
        <w:rPr>
          <w:rFonts w:ascii="Arial" w:eastAsia="Calibri" w:hAnsi="Arial" w:cs="Arial"/>
          <w:lang w:val="es-ES"/>
        </w:rPr>
      </w:pPr>
      <w:r w:rsidRPr="006312E8">
        <w:rPr>
          <w:rFonts w:ascii="Arial" w:eastAsia="Calibri" w:hAnsi="Arial" w:cs="Arial"/>
          <w:lang w:val="es-ES"/>
        </w:rPr>
        <w:t>Coordinar y supervisar el Plan Estratégico Institucional, Plan Operativo Institucional, en coordinación con todos los órganos y unidades orgánicas de la Institución, así como, los documentos técnicos de gestión institucional y organización y métodos de los procedimientos internos, evaluándolos y actualizándolos, utilizando criterios de racionalización.</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241D1D">
      <w:pPr>
        <w:numPr>
          <w:ilvl w:val="0"/>
          <w:numId w:val="89"/>
        </w:numPr>
        <w:spacing w:after="0" w:line="240" w:lineRule="auto"/>
        <w:contextualSpacing/>
        <w:jc w:val="both"/>
        <w:rPr>
          <w:rFonts w:ascii="Arial" w:eastAsia="Calibri" w:hAnsi="Arial" w:cs="Arial"/>
          <w:lang w:val="es-ES"/>
        </w:rPr>
      </w:pPr>
      <w:r w:rsidRPr="006312E8">
        <w:rPr>
          <w:rFonts w:ascii="Arial" w:eastAsia="Calibri" w:hAnsi="Arial" w:cs="Arial"/>
          <w:lang w:val="es-ES"/>
        </w:rPr>
        <w:t>Conducir y formular el Presupuesto de la Institución, por toda fuente de financiamiento; y evaluar, supervisar y hacer el seguimiento del proceso presupuestario de la Institución, en el marco de la normatividad establecida para el Sistema Nacional de Presupuesto Público.</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9"/>
        </w:numPr>
        <w:spacing w:after="0" w:line="240" w:lineRule="auto"/>
        <w:contextualSpacing/>
        <w:jc w:val="both"/>
        <w:rPr>
          <w:rFonts w:ascii="Arial" w:eastAsia="Calibri" w:hAnsi="Arial" w:cs="Arial"/>
          <w:lang w:val="es-ES"/>
        </w:rPr>
      </w:pPr>
      <w:r w:rsidRPr="006312E8">
        <w:rPr>
          <w:rFonts w:ascii="Arial" w:eastAsia="Calibri" w:hAnsi="Arial" w:cs="Arial"/>
          <w:lang w:val="es-ES"/>
        </w:rPr>
        <w:t>Dirigir, coordinar y supervisar el proceso de modernización de la SBN, mediante la aplicación de procesos técnicos de racionalización y simplificación administrativa.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9"/>
        </w:numPr>
        <w:spacing w:after="0" w:line="240" w:lineRule="auto"/>
        <w:contextualSpacing/>
        <w:jc w:val="both"/>
        <w:rPr>
          <w:rFonts w:ascii="Arial" w:eastAsia="Calibri" w:hAnsi="Arial" w:cs="Arial"/>
          <w:lang w:val="es-ES"/>
        </w:rPr>
      </w:pPr>
      <w:r w:rsidRPr="006312E8">
        <w:rPr>
          <w:rFonts w:ascii="Arial" w:eastAsia="Calibri" w:hAnsi="Arial" w:cs="Arial"/>
          <w:lang w:val="es-ES"/>
        </w:rPr>
        <w:t>Dirigir, coordinar y controlar la formulación y ejecución de proyectos de la Institución, en el marco del Sistema Nacional de Inversión Pública.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9"/>
        </w:numPr>
        <w:spacing w:after="0" w:line="240" w:lineRule="auto"/>
        <w:contextualSpacing/>
        <w:jc w:val="both"/>
        <w:rPr>
          <w:rFonts w:ascii="Arial" w:eastAsia="Calibri" w:hAnsi="Arial" w:cs="Arial"/>
          <w:lang w:val="es-ES"/>
        </w:rPr>
      </w:pPr>
      <w:r w:rsidRPr="006312E8">
        <w:rPr>
          <w:rFonts w:ascii="Arial" w:eastAsia="Calibri" w:hAnsi="Arial" w:cs="Arial"/>
          <w:lang w:val="es-ES"/>
        </w:rPr>
        <w:t>Formular y obtener los resultados de los indicadores de gestión institucional, con el fin de evaluar las tendencias de los procedimientos administrativos y avances de las principales actividades de la Institución.</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9"/>
        </w:numPr>
        <w:spacing w:after="0" w:line="240" w:lineRule="auto"/>
        <w:contextualSpacing/>
        <w:jc w:val="both"/>
        <w:rPr>
          <w:rFonts w:ascii="Arial" w:eastAsia="Calibri" w:hAnsi="Arial" w:cs="Arial"/>
          <w:lang w:val="es-ES"/>
        </w:rPr>
      </w:pPr>
      <w:r w:rsidRPr="006312E8">
        <w:rPr>
          <w:rFonts w:ascii="Arial" w:eastAsia="Calibri" w:hAnsi="Arial" w:cs="Arial"/>
          <w:lang w:val="es-ES"/>
        </w:rPr>
        <w:t>Evaluar y consolidar la información estadística derivada y/o generada por los diferentes órganos de la Institución.</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9"/>
        </w:numPr>
        <w:spacing w:after="0" w:line="240" w:lineRule="auto"/>
        <w:contextualSpacing/>
        <w:jc w:val="both"/>
        <w:rPr>
          <w:rFonts w:ascii="Arial" w:eastAsia="Calibri" w:hAnsi="Arial" w:cs="Arial"/>
          <w:lang w:val="es-ES"/>
        </w:rPr>
      </w:pPr>
      <w:r w:rsidRPr="006312E8">
        <w:rPr>
          <w:rFonts w:ascii="Arial" w:eastAsia="Calibri" w:hAnsi="Arial" w:cs="Arial"/>
          <w:lang w:val="es-ES"/>
        </w:rPr>
        <w:t>Ejercer las funciones propias de los órganos que conforman el Sistema Nacional de Planeamiento y Presupuesto, en base a las orientaciones emitidas por el Sector.</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89"/>
        </w:numPr>
        <w:spacing w:after="0" w:line="240" w:lineRule="auto"/>
        <w:contextualSpacing/>
        <w:jc w:val="both"/>
        <w:rPr>
          <w:rFonts w:ascii="Arial" w:eastAsia="Calibri" w:hAnsi="Arial" w:cs="Arial"/>
          <w:lang w:val="es-ES"/>
        </w:rPr>
      </w:pPr>
      <w:r w:rsidRPr="006312E8">
        <w:rPr>
          <w:rFonts w:ascii="Arial" w:eastAsia="Calibri" w:hAnsi="Arial" w:cs="Arial"/>
          <w:lang w:val="es-ES"/>
        </w:rPr>
        <w:t>Las demás que le correspondan de acuerdo a la normatividad vigente y/o le sean asignadas por la autoridad superior.</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CAPÍTULO VII</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DEL ÓRGANO DE APOYO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26.- Oficina de Administración y Finanzas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Oficina de Administración y Finanzas es el órgano de apoyo encargado de dirigir, ejecutar y supervisar la aplicación normativa de los Sistemas Administrativos de Gestión de Abastecimientos, Contabilidad, Tesorería, Personal, así como las actividades relacionadas con Tecnologías de la información.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Este órgano depende jerárquicamente de la Secretaría General.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27.- Funciones Específicas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Son funciones específicas de la Oficina de Administración y Finanzas: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241D1D">
      <w:pPr>
        <w:numPr>
          <w:ilvl w:val="0"/>
          <w:numId w:val="90"/>
        </w:numPr>
        <w:spacing w:after="0" w:line="240" w:lineRule="auto"/>
        <w:contextualSpacing/>
        <w:jc w:val="both"/>
        <w:rPr>
          <w:rFonts w:ascii="Arial" w:eastAsia="Calibri" w:hAnsi="Arial" w:cs="Arial"/>
          <w:lang w:val="es-ES"/>
        </w:rPr>
      </w:pPr>
      <w:r w:rsidRPr="006312E8">
        <w:rPr>
          <w:rFonts w:ascii="Arial" w:eastAsia="Calibri" w:hAnsi="Arial" w:cs="Arial"/>
          <w:lang w:val="es-ES"/>
        </w:rPr>
        <w:t>Dirigir, controlar y supervisar los procesos técnicos de los Sistemas Administrativos de Abastecimiento, Contabilidad, Tesorería y Recursos Humanos dentro del ámbito de su competencia; así como brindar información oportuna sobre los mismos, con el respectivo sustento técnico, cuando le sea requerida.</w:t>
      </w:r>
    </w:p>
    <w:p w:rsidR="006312E8" w:rsidRPr="006312E8" w:rsidRDefault="006312E8" w:rsidP="006312E8">
      <w:pPr>
        <w:spacing w:after="0" w:line="240" w:lineRule="auto"/>
        <w:ind w:left="705"/>
        <w:jc w:val="both"/>
        <w:rPr>
          <w:rFonts w:ascii="Arial" w:eastAsia="Calibri" w:hAnsi="Arial" w:cs="Arial"/>
          <w:lang w:val="es-ES"/>
        </w:rPr>
      </w:pPr>
    </w:p>
    <w:p w:rsidR="006312E8" w:rsidRPr="006312E8" w:rsidRDefault="006312E8" w:rsidP="00241D1D">
      <w:pPr>
        <w:numPr>
          <w:ilvl w:val="0"/>
          <w:numId w:val="90"/>
        </w:numPr>
        <w:spacing w:after="0" w:line="240" w:lineRule="auto"/>
        <w:contextualSpacing/>
        <w:jc w:val="both"/>
        <w:rPr>
          <w:rFonts w:ascii="Arial" w:eastAsia="Calibri" w:hAnsi="Arial" w:cs="Arial"/>
          <w:lang w:val="es-ES"/>
        </w:rPr>
      </w:pPr>
      <w:r w:rsidRPr="006312E8">
        <w:rPr>
          <w:rFonts w:ascii="Arial" w:eastAsia="Calibri" w:hAnsi="Arial" w:cs="Arial"/>
          <w:lang w:val="es-ES"/>
        </w:rPr>
        <w:t>Organizar, dirigir, coordinar y supervisar las actividades relacionadas con los planes de la SBN en lo que corresponde a tecnologías de información y sistemas de información.</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0"/>
        </w:numPr>
        <w:spacing w:after="0" w:line="240" w:lineRule="auto"/>
        <w:contextualSpacing/>
        <w:jc w:val="both"/>
        <w:rPr>
          <w:rFonts w:ascii="Arial" w:eastAsia="Calibri" w:hAnsi="Arial" w:cs="Arial"/>
          <w:lang w:val="es-ES"/>
        </w:rPr>
      </w:pPr>
      <w:r w:rsidRPr="006312E8">
        <w:rPr>
          <w:rFonts w:ascii="Arial" w:eastAsia="Calibri" w:hAnsi="Arial" w:cs="Arial"/>
          <w:lang w:val="es-ES"/>
        </w:rPr>
        <w:t>Efectuar el control previo interno de las transacciones financieras de la Institución.</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0"/>
        </w:numPr>
        <w:spacing w:after="0" w:line="240" w:lineRule="auto"/>
        <w:contextualSpacing/>
        <w:jc w:val="both"/>
        <w:rPr>
          <w:rFonts w:ascii="Arial" w:eastAsia="Calibri" w:hAnsi="Arial" w:cs="Arial"/>
          <w:lang w:val="es-ES"/>
        </w:rPr>
      </w:pPr>
      <w:r w:rsidRPr="006312E8">
        <w:rPr>
          <w:rFonts w:ascii="Arial" w:eastAsia="Calibri" w:hAnsi="Arial" w:cs="Arial"/>
          <w:lang w:val="es-ES"/>
        </w:rPr>
        <w:t>Informar y coordinar permanentemente con la Oficina de Planeamiento y Presupuesto sobre la ejecución de gasto, a fin de mantener el equilibrio presupuestal que posibilite, a su vez, las previsiones necesarias en asuntos presupuestales.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0"/>
        </w:numPr>
        <w:spacing w:after="0" w:line="240" w:lineRule="auto"/>
        <w:contextualSpacing/>
        <w:jc w:val="both"/>
        <w:rPr>
          <w:rFonts w:ascii="Arial" w:eastAsia="Calibri" w:hAnsi="Arial" w:cs="Arial"/>
          <w:lang w:val="es-ES"/>
        </w:rPr>
      </w:pPr>
      <w:r w:rsidRPr="006312E8">
        <w:rPr>
          <w:rFonts w:ascii="Arial" w:eastAsia="Calibri" w:hAnsi="Arial" w:cs="Arial"/>
          <w:lang w:val="es-ES"/>
        </w:rPr>
        <w:t>Formular las Directivas Complementarias sobre las normas de austeridad y de equilibrio presupuestal, atendiendo convenientemente y oportunamente los requerimientos de los órganos estructurados de la Institución.</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0"/>
        </w:numPr>
        <w:spacing w:after="0" w:line="240" w:lineRule="auto"/>
        <w:contextualSpacing/>
        <w:jc w:val="both"/>
        <w:rPr>
          <w:rFonts w:ascii="Arial" w:eastAsia="Calibri" w:hAnsi="Arial" w:cs="Arial"/>
          <w:lang w:val="es-ES"/>
        </w:rPr>
      </w:pPr>
      <w:r w:rsidRPr="006312E8">
        <w:rPr>
          <w:rFonts w:ascii="Arial" w:eastAsia="Calibri" w:hAnsi="Arial" w:cs="Arial"/>
          <w:lang w:val="es-ES"/>
        </w:rPr>
        <w:t>Ejecutar los calendarios de compromisos mensuales de acuerdo a las prioridades de gastos de la Institución.</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0"/>
        </w:numPr>
        <w:spacing w:after="0" w:line="240" w:lineRule="auto"/>
        <w:contextualSpacing/>
        <w:jc w:val="both"/>
        <w:rPr>
          <w:rFonts w:ascii="Arial" w:eastAsia="Calibri" w:hAnsi="Arial" w:cs="Arial"/>
          <w:lang w:val="es-ES"/>
        </w:rPr>
      </w:pPr>
      <w:r w:rsidRPr="006312E8">
        <w:rPr>
          <w:rFonts w:ascii="Arial" w:eastAsia="Calibri" w:hAnsi="Arial" w:cs="Arial"/>
          <w:lang w:val="es-ES"/>
        </w:rPr>
        <w:t>Supervisar y ejecutar en lo que le corresponda, las actividades y procesos de registro, administración y disposición del patrimonio mobiliario de la Institución.</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0"/>
        </w:numPr>
        <w:spacing w:after="0" w:line="240" w:lineRule="auto"/>
        <w:contextualSpacing/>
        <w:jc w:val="both"/>
        <w:rPr>
          <w:rFonts w:ascii="Arial" w:eastAsia="Calibri" w:hAnsi="Arial" w:cs="Arial"/>
          <w:lang w:val="es-ES"/>
        </w:rPr>
      </w:pPr>
      <w:r w:rsidRPr="006312E8">
        <w:rPr>
          <w:rFonts w:ascii="Arial" w:eastAsia="Calibri" w:hAnsi="Arial" w:cs="Arial"/>
          <w:lang w:val="es-ES"/>
        </w:rPr>
        <w:t>Emitir Resoluciones en materias de su competencia.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0"/>
        </w:numPr>
        <w:spacing w:after="0" w:line="240" w:lineRule="auto"/>
        <w:contextualSpacing/>
        <w:jc w:val="both"/>
        <w:rPr>
          <w:rFonts w:ascii="Arial" w:eastAsia="Calibri" w:hAnsi="Arial" w:cs="Arial"/>
          <w:lang w:val="es-ES"/>
        </w:rPr>
      </w:pPr>
      <w:r w:rsidRPr="006312E8">
        <w:rPr>
          <w:rFonts w:ascii="Arial" w:eastAsia="Calibri" w:hAnsi="Arial" w:cs="Arial"/>
          <w:lang w:val="es-ES"/>
        </w:rPr>
        <w:t>Formular y ejecutar programas de capacitación en forma coordinada con las demás dependencias de la Institución.</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0"/>
        </w:numPr>
        <w:spacing w:after="0" w:line="240" w:lineRule="auto"/>
        <w:contextualSpacing/>
        <w:jc w:val="both"/>
        <w:rPr>
          <w:rFonts w:ascii="Arial" w:eastAsia="Calibri" w:hAnsi="Arial" w:cs="Arial"/>
          <w:lang w:val="es-ES"/>
        </w:rPr>
      </w:pPr>
      <w:r w:rsidRPr="006312E8">
        <w:rPr>
          <w:rFonts w:ascii="Arial" w:eastAsia="Calibri" w:hAnsi="Arial" w:cs="Arial"/>
          <w:lang w:val="es-ES"/>
        </w:rPr>
        <w:t>Las demás que le correspondan de acuerdo a la normatividad vigente y/o le sean asignadas por la autoridad superior.</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 efectos de precisar las funciones que corresponden a cada uno de los ámbitos de los sistemas administrativos vigentes, en los artículos siguientes se desarrollan las funciones específicas de cada uno de ellos.</w:t>
      </w:r>
    </w:p>
    <w:p w:rsidR="006312E8" w:rsidRDefault="006312E8" w:rsidP="006312E8">
      <w:pPr>
        <w:spacing w:after="0" w:line="240" w:lineRule="auto"/>
        <w:jc w:val="both"/>
        <w:rPr>
          <w:rFonts w:ascii="Arial" w:eastAsia="Calibri" w:hAnsi="Arial" w:cs="Arial"/>
          <w:lang w:val="es-ES"/>
        </w:rPr>
      </w:pPr>
    </w:p>
    <w:p w:rsidR="00246CE9" w:rsidRPr="006312E8" w:rsidRDefault="00246CE9"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28.- Funciones referidas al Sistema Administrativo de Abastecimiento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Son funciones de la Oficina de Administración y Finanzas en el ámbito del Sistema Administrativo de Abastecimiento: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241D1D">
      <w:pPr>
        <w:numPr>
          <w:ilvl w:val="0"/>
          <w:numId w:val="91"/>
        </w:numPr>
        <w:spacing w:after="0" w:line="240" w:lineRule="auto"/>
        <w:contextualSpacing/>
        <w:jc w:val="both"/>
        <w:rPr>
          <w:rFonts w:ascii="Arial" w:eastAsia="Calibri" w:hAnsi="Arial" w:cs="Arial"/>
          <w:lang w:val="es-ES"/>
        </w:rPr>
      </w:pPr>
      <w:r w:rsidRPr="006312E8">
        <w:rPr>
          <w:rFonts w:ascii="Arial" w:eastAsia="Calibri" w:hAnsi="Arial" w:cs="Arial"/>
          <w:lang w:val="es-ES"/>
        </w:rPr>
        <w:t>Coordinar, ejecutar y evaluar los procesos administrativos del Sistema Administrativo de Abastecimiento.</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241D1D">
      <w:pPr>
        <w:numPr>
          <w:ilvl w:val="0"/>
          <w:numId w:val="91"/>
        </w:numPr>
        <w:spacing w:after="0" w:line="240" w:lineRule="auto"/>
        <w:contextualSpacing/>
        <w:jc w:val="both"/>
        <w:rPr>
          <w:rFonts w:ascii="Arial" w:eastAsia="Calibri" w:hAnsi="Arial" w:cs="Arial"/>
          <w:lang w:val="es-ES"/>
        </w:rPr>
      </w:pPr>
      <w:r w:rsidRPr="006312E8">
        <w:rPr>
          <w:rFonts w:ascii="Arial" w:eastAsia="Calibri" w:hAnsi="Arial" w:cs="Arial"/>
          <w:lang w:val="es-ES"/>
        </w:rPr>
        <w:t>Proponer y actualizar los procedimientos, manuales y normas administrativas que se requieran para el mejor desempeño de sus funciones.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1"/>
        </w:numPr>
        <w:spacing w:after="0" w:line="240" w:lineRule="auto"/>
        <w:contextualSpacing/>
        <w:jc w:val="both"/>
        <w:rPr>
          <w:rFonts w:ascii="Arial" w:eastAsia="Calibri" w:hAnsi="Arial" w:cs="Arial"/>
          <w:lang w:val="es-ES"/>
        </w:rPr>
      </w:pPr>
      <w:r w:rsidRPr="006312E8">
        <w:rPr>
          <w:rFonts w:ascii="Arial" w:eastAsia="Calibri" w:hAnsi="Arial" w:cs="Arial"/>
          <w:lang w:val="es-ES"/>
        </w:rPr>
        <w:t>Coordinar la formulación del Calendario de Compromisos, conforme a la programación de adquisición de bienes y servicios.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1"/>
        </w:numPr>
        <w:spacing w:after="0" w:line="240" w:lineRule="auto"/>
        <w:contextualSpacing/>
        <w:jc w:val="both"/>
        <w:rPr>
          <w:rFonts w:ascii="Arial" w:eastAsia="Calibri" w:hAnsi="Arial" w:cs="Arial"/>
          <w:lang w:val="es-ES"/>
        </w:rPr>
      </w:pPr>
      <w:r w:rsidRPr="006312E8">
        <w:rPr>
          <w:rFonts w:ascii="Arial" w:eastAsia="Calibri" w:hAnsi="Arial" w:cs="Arial"/>
          <w:lang w:val="es-ES"/>
        </w:rPr>
        <w:t>Ejecutar y controlar la programación y adquisición de bienes y servicios en términos de calidad, cantidad, especificaciones técnicas, en forma oportuna y aplicando los criterios de austeridad, prioridad y racionalidad, acordes al presupuesto aprobado y a la normatividad vigente.</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1"/>
        </w:numPr>
        <w:spacing w:after="0" w:line="240" w:lineRule="auto"/>
        <w:contextualSpacing/>
        <w:jc w:val="both"/>
        <w:rPr>
          <w:rFonts w:ascii="Arial" w:eastAsia="Calibri" w:hAnsi="Arial" w:cs="Arial"/>
          <w:lang w:val="es-ES"/>
        </w:rPr>
      </w:pPr>
      <w:r w:rsidRPr="006312E8">
        <w:rPr>
          <w:rFonts w:ascii="Arial" w:eastAsia="Calibri" w:hAnsi="Arial" w:cs="Arial"/>
          <w:lang w:val="es-ES"/>
        </w:rPr>
        <w:t>Coordinar con los Comités de Adjudicación y Comités Especiales los procesos de selección a llevarse a cabo, así corno ejecutar las acciones dispuestas por estos.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1"/>
        </w:numPr>
        <w:spacing w:after="0" w:line="240" w:lineRule="auto"/>
        <w:contextualSpacing/>
        <w:jc w:val="both"/>
        <w:rPr>
          <w:rFonts w:ascii="Arial" w:eastAsia="Calibri" w:hAnsi="Arial" w:cs="Arial"/>
          <w:lang w:val="es-ES"/>
        </w:rPr>
      </w:pPr>
      <w:r w:rsidRPr="006312E8">
        <w:rPr>
          <w:rFonts w:ascii="Arial" w:eastAsia="Calibri" w:hAnsi="Arial" w:cs="Arial"/>
          <w:lang w:val="es-ES"/>
        </w:rPr>
        <w:t>Consolidar, formular, ejecutar, evaluar y controlar el Plan Anual de Contrataciones de la Institución previa coordinación con los órganos estructurados de acuerdo con la normatividad vigente.</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1"/>
        </w:numPr>
        <w:spacing w:after="0" w:line="240" w:lineRule="auto"/>
        <w:contextualSpacing/>
        <w:jc w:val="both"/>
        <w:rPr>
          <w:rFonts w:ascii="Arial" w:eastAsia="Calibri" w:hAnsi="Arial" w:cs="Arial"/>
          <w:lang w:val="es-ES"/>
        </w:rPr>
      </w:pPr>
      <w:r w:rsidRPr="006312E8">
        <w:rPr>
          <w:rFonts w:ascii="Arial" w:eastAsia="Calibri" w:hAnsi="Arial" w:cs="Arial"/>
          <w:lang w:val="es-ES"/>
        </w:rPr>
        <w:t>Efectuar la afectación presupuestal de las obligaciones y compromiso de pago de la Institución.</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1"/>
        </w:numPr>
        <w:spacing w:after="0" w:line="240" w:lineRule="auto"/>
        <w:contextualSpacing/>
        <w:jc w:val="both"/>
        <w:rPr>
          <w:rFonts w:ascii="Arial" w:eastAsia="Calibri" w:hAnsi="Arial" w:cs="Arial"/>
          <w:lang w:val="es-ES"/>
        </w:rPr>
      </w:pPr>
      <w:r w:rsidRPr="006312E8">
        <w:rPr>
          <w:rFonts w:ascii="Arial" w:eastAsia="Calibri" w:hAnsi="Arial" w:cs="Arial"/>
          <w:lang w:val="es-ES"/>
        </w:rPr>
        <w:t>Elaborar los informes técnicos vinculados a los actos de adquisición, administración y disposición del patrimonio mobiliario de la SBN.</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1"/>
        </w:numPr>
        <w:spacing w:after="0" w:line="240" w:lineRule="auto"/>
        <w:contextualSpacing/>
        <w:jc w:val="both"/>
        <w:rPr>
          <w:rFonts w:ascii="Arial" w:eastAsia="Calibri" w:hAnsi="Arial" w:cs="Arial"/>
          <w:lang w:val="es-ES"/>
        </w:rPr>
      </w:pPr>
      <w:r w:rsidRPr="006312E8">
        <w:rPr>
          <w:rFonts w:ascii="Arial" w:eastAsia="Calibri" w:hAnsi="Arial" w:cs="Arial"/>
          <w:lang w:val="es-ES"/>
        </w:rPr>
        <w:t>Ejecutar y coordinar la realización de los inventarios físicos de los bienes muebles y de existencias de almacén.</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1"/>
        </w:numPr>
        <w:spacing w:after="0" w:line="240" w:lineRule="auto"/>
        <w:contextualSpacing/>
        <w:jc w:val="both"/>
        <w:rPr>
          <w:rFonts w:ascii="Arial" w:eastAsia="Calibri" w:hAnsi="Arial" w:cs="Arial"/>
          <w:lang w:val="es-ES"/>
        </w:rPr>
      </w:pPr>
      <w:r w:rsidRPr="006312E8">
        <w:rPr>
          <w:rFonts w:ascii="Arial" w:eastAsia="Calibri" w:hAnsi="Arial" w:cs="Arial"/>
          <w:lang w:val="es-ES"/>
        </w:rPr>
        <w:t>Gestionar las pólizas de seguros necesarias para los bienes inmuebles, muebles y del personal de la Institución.</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1"/>
        </w:numPr>
        <w:spacing w:after="0" w:line="240" w:lineRule="auto"/>
        <w:contextualSpacing/>
        <w:jc w:val="both"/>
        <w:rPr>
          <w:rFonts w:ascii="Arial" w:eastAsia="Calibri" w:hAnsi="Arial" w:cs="Arial"/>
          <w:lang w:val="es-ES"/>
        </w:rPr>
      </w:pPr>
      <w:r w:rsidRPr="006312E8">
        <w:rPr>
          <w:rFonts w:ascii="Arial" w:eastAsia="Calibri" w:hAnsi="Arial" w:cs="Arial"/>
          <w:lang w:val="es-ES"/>
        </w:rPr>
        <w:t>Gestionar el registro y control de los derechos de la propiedad intelectual de las publicaciones, software y otros, elaborados por la Institución.</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1"/>
        </w:numPr>
        <w:spacing w:after="0" w:line="240" w:lineRule="auto"/>
        <w:contextualSpacing/>
        <w:jc w:val="both"/>
        <w:rPr>
          <w:rFonts w:ascii="Arial" w:eastAsia="Calibri" w:hAnsi="Arial" w:cs="Arial"/>
          <w:lang w:val="es-ES"/>
        </w:rPr>
      </w:pPr>
      <w:r w:rsidRPr="006312E8">
        <w:rPr>
          <w:rFonts w:ascii="Arial" w:eastAsia="Calibri" w:hAnsi="Arial" w:cs="Arial"/>
          <w:lang w:val="es-ES"/>
        </w:rPr>
        <w:t>Ejecutar y controlar las actividades de seguridad integral, mantenimiento, servicios generales y otros servicios logísticos requeridos por la SBN.</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1"/>
        </w:numPr>
        <w:spacing w:after="0" w:line="240" w:lineRule="auto"/>
        <w:contextualSpacing/>
        <w:jc w:val="both"/>
        <w:rPr>
          <w:rFonts w:ascii="Arial" w:eastAsia="Calibri" w:hAnsi="Arial" w:cs="Arial"/>
          <w:lang w:val="es-ES"/>
        </w:rPr>
      </w:pPr>
      <w:r w:rsidRPr="006312E8">
        <w:rPr>
          <w:rFonts w:ascii="Arial" w:eastAsia="Calibri" w:hAnsi="Arial" w:cs="Arial"/>
          <w:lang w:val="es-ES"/>
        </w:rPr>
        <w:t>Establecer procesos permanentes para la mejora, modernización y economía de los servicios de la Institución.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Artículo 29.- Funciones referidas al Sistema Administrativo de Contabilidad</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Son funciones de la Oficina de Administración y Finanzas en el ámbito del Sistema Administrativo de Contabilidad:</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241D1D">
      <w:pPr>
        <w:numPr>
          <w:ilvl w:val="0"/>
          <w:numId w:val="92"/>
        </w:numPr>
        <w:spacing w:after="0" w:line="240" w:lineRule="auto"/>
        <w:contextualSpacing/>
        <w:jc w:val="both"/>
        <w:rPr>
          <w:rFonts w:ascii="Arial" w:eastAsia="Calibri" w:hAnsi="Arial" w:cs="Arial"/>
          <w:lang w:val="es-ES"/>
        </w:rPr>
      </w:pPr>
      <w:r w:rsidRPr="006312E8">
        <w:rPr>
          <w:rFonts w:ascii="Arial" w:eastAsia="Calibri" w:hAnsi="Arial" w:cs="Arial"/>
          <w:lang w:val="es-ES"/>
        </w:rPr>
        <w:t>Programar, coordinar, ejecutar, controlar y evaluar los procesos técnicos del Sistema Administrativo de Contabilidad en concordancia con la normatividad vigente.</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241D1D">
      <w:pPr>
        <w:numPr>
          <w:ilvl w:val="0"/>
          <w:numId w:val="92"/>
        </w:numPr>
        <w:spacing w:after="0" w:line="240" w:lineRule="auto"/>
        <w:contextualSpacing/>
        <w:jc w:val="both"/>
        <w:rPr>
          <w:rFonts w:ascii="Arial" w:eastAsia="Calibri" w:hAnsi="Arial" w:cs="Arial"/>
          <w:lang w:val="es-ES"/>
        </w:rPr>
      </w:pPr>
      <w:r w:rsidRPr="006312E8">
        <w:rPr>
          <w:rFonts w:ascii="Arial" w:eastAsia="Calibri" w:hAnsi="Arial" w:cs="Arial"/>
          <w:lang w:val="es-ES"/>
        </w:rPr>
        <w:t>Registrar y mantener actualizadas las operaciones contables e información financiera en los sistemas de información correspondientes.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2"/>
        </w:numPr>
        <w:spacing w:after="0" w:line="240" w:lineRule="auto"/>
        <w:contextualSpacing/>
        <w:jc w:val="both"/>
        <w:rPr>
          <w:rFonts w:ascii="Arial" w:eastAsia="Calibri" w:hAnsi="Arial" w:cs="Arial"/>
          <w:lang w:val="es-ES"/>
        </w:rPr>
      </w:pPr>
      <w:r w:rsidRPr="006312E8">
        <w:rPr>
          <w:rFonts w:ascii="Arial" w:eastAsia="Calibri" w:hAnsi="Arial" w:cs="Arial"/>
          <w:lang w:val="es-ES"/>
        </w:rPr>
        <w:t>Elaborar, suscribir y presentar los estados financieros y presupuestales de la Institución en forma oportuna.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2"/>
        </w:numPr>
        <w:spacing w:after="0" w:line="240" w:lineRule="auto"/>
        <w:contextualSpacing/>
        <w:jc w:val="both"/>
        <w:rPr>
          <w:rFonts w:ascii="Arial" w:eastAsia="Calibri" w:hAnsi="Arial" w:cs="Arial"/>
          <w:lang w:val="es-ES"/>
        </w:rPr>
      </w:pPr>
      <w:r w:rsidRPr="006312E8">
        <w:rPr>
          <w:rFonts w:ascii="Arial" w:eastAsia="Calibri" w:hAnsi="Arial" w:cs="Arial"/>
          <w:lang w:val="es-ES"/>
        </w:rPr>
        <w:t>Efectuar conciliaciones contables, así como informar sobre el estado de los anticipos concedidos.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2"/>
        </w:numPr>
        <w:spacing w:after="0" w:line="240" w:lineRule="auto"/>
        <w:contextualSpacing/>
        <w:jc w:val="both"/>
        <w:rPr>
          <w:rFonts w:ascii="Arial" w:eastAsia="Calibri" w:hAnsi="Arial" w:cs="Arial"/>
          <w:lang w:val="es-ES"/>
        </w:rPr>
      </w:pPr>
      <w:r w:rsidRPr="006312E8">
        <w:rPr>
          <w:rFonts w:ascii="Arial" w:eastAsia="Calibri" w:hAnsi="Arial" w:cs="Arial"/>
          <w:lang w:val="es-ES"/>
        </w:rPr>
        <w:t>Aplicar el Sistema Integrado de Administración Financiera (SIAF), así corno otros sistemas informáticos implementados.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30.- Funciones referidas al Sistema Administrativo de Tesorería</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Son funciones de la Oficina de Administración y Finanzas en el ámbito del Sistema Administrativo de Tesorería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241D1D">
      <w:pPr>
        <w:numPr>
          <w:ilvl w:val="0"/>
          <w:numId w:val="93"/>
        </w:numPr>
        <w:spacing w:after="0" w:line="240" w:lineRule="auto"/>
        <w:contextualSpacing/>
        <w:jc w:val="both"/>
        <w:rPr>
          <w:rFonts w:ascii="Arial" w:eastAsia="Calibri" w:hAnsi="Arial" w:cs="Arial"/>
          <w:lang w:val="es-ES"/>
        </w:rPr>
      </w:pPr>
      <w:r w:rsidRPr="006312E8">
        <w:rPr>
          <w:rFonts w:ascii="Arial" w:eastAsia="Calibri" w:hAnsi="Arial" w:cs="Arial"/>
          <w:lang w:val="es-ES"/>
        </w:rPr>
        <w:t>Realizar las actividades de captación, custodia, distribución y utilización de los fondos por toda fuente de financiamiento.</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241D1D">
      <w:pPr>
        <w:numPr>
          <w:ilvl w:val="0"/>
          <w:numId w:val="93"/>
        </w:numPr>
        <w:spacing w:after="0" w:line="240" w:lineRule="auto"/>
        <w:contextualSpacing/>
        <w:jc w:val="both"/>
        <w:rPr>
          <w:rFonts w:ascii="Arial" w:eastAsia="Calibri" w:hAnsi="Arial" w:cs="Arial"/>
          <w:lang w:val="es-ES"/>
        </w:rPr>
      </w:pPr>
      <w:r w:rsidRPr="006312E8">
        <w:rPr>
          <w:rFonts w:ascii="Arial" w:eastAsia="Calibri" w:hAnsi="Arial" w:cs="Arial"/>
          <w:lang w:val="es-ES"/>
        </w:rPr>
        <w:t>Planear, organizar, dirigir y controlar la administración de los recursos financieros de acuerdo a las Normas Generales de Tesorería.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3"/>
        </w:numPr>
        <w:spacing w:after="0" w:line="240" w:lineRule="auto"/>
        <w:contextualSpacing/>
        <w:jc w:val="both"/>
        <w:rPr>
          <w:rFonts w:ascii="Arial" w:eastAsia="Calibri" w:hAnsi="Arial" w:cs="Arial"/>
          <w:lang w:val="es-ES"/>
        </w:rPr>
      </w:pPr>
      <w:r w:rsidRPr="006312E8">
        <w:rPr>
          <w:rFonts w:ascii="Arial" w:eastAsia="Calibri" w:hAnsi="Arial" w:cs="Arial"/>
          <w:lang w:val="es-ES"/>
        </w:rPr>
        <w:t>Efectuar las transacciones administrativas y financieras.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3"/>
        </w:numPr>
        <w:spacing w:after="0" w:line="240" w:lineRule="auto"/>
        <w:contextualSpacing/>
        <w:jc w:val="both"/>
        <w:rPr>
          <w:rFonts w:ascii="Arial" w:eastAsia="Calibri" w:hAnsi="Arial" w:cs="Arial"/>
          <w:lang w:val="es-ES"/>
        </w:rPr>
      </w:pPr>
      <w:r w:rsidRPr="006312E8">
        <w:rPr>
          <w:rFonts w:ascii="Arial" w:eastAsia="Calibri" w:hAnsi="Arial" w:cs="Arial"/>
          <w:lang w:val="es-ES"/>
        </w:rPr>
        <w:t>Administrar las cuentas bancarias de la Institución y efectuar la conciliación correspondiente.</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3"/>
        </w:numPr>
        <w:spacing w:after="0" w:line="240" w:lineRule="auto"/>
        <w:contextualSpacing/>
        <w:jc w:val="both"/>
        <w:rPr>
          <w:rFonts w:ascii="Arial" w:eastAsia="Calibri" w:hAnsi="Arial" w:cs="Arial"/>
          <w:lang w:val="es-ES"/>
        </w:rPr>
      </w:pPr>
      <w:r w:rsidRPr="006312E8">
        <w:rPr>
          <w:rFonts w:ascii="Arial" w:eastAsia="Calibri" w:hAnsi="Arial" w:cs="Arial"/>
          <w:lang w:val="es-ES"/>
        </w:rPr>
        <w:t>Efectuar el pago de las obligaciones tributarias y administrativas referidas a los inmuebles de propiedad del Estado que se encuentren bajo competencia de la SBN.</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3"/>
        </w:numPr>
        <w:spacing w:after="0" w:line="240" w:lineRule="auto"/>
        <w:contextualSpacing/>
        <w:jc w:val="both"/>
        <w:rPr>
          <w:rFonts w:ascii="Arial" w:eastAsia="Calibri" w:hAnsi="Arial" w:cs="Arial"/>
          <w:lang w:val="es-ES"/>
        </w:rPr>
      </w:pPr>
      <w:r w:rsidRPr="006312E8">
        <w:rPr>
          <w:rFonts w:ascii="Arial" w:eastAsia="Calibri" w:hAnsi="Arial" w:cs="Arial"/>
          <w:lang w:val="es-ES"/>
        </w:rPr>
        <w:t>Administrar y actualizar las fianzas, garantías y controlar los fondos y valores dejados en custodia.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3"/>
        </w:numPr>
        <w:spacing w:after="0" w:line="240" w:lineRule="auto"/>
        <w:contextualSpacing/>
        <w:jc w:val="both"/>
        <w:rPr>
          <w:rFonts w:ascii="Arial" w:eastAsia="Calibri" w:hAnsi="Arial" w:cs="Arial"/>
          <w:lang w:val="es-ES"/>
        </w:rPr>
      </w:pPr>
      <w:r w:rsidRPr="006312E8">
        <w:rPr>
          <w:rFonts w:ascii="Arial" w:eastAsia="Calibri" w:hAnsi="Arial" w:cs="Arial"/>
          <w:lang w:val="es-ES"/>
        </w:rPr>
        <w:t>Controlar las cobranzas de rentas, arbitrios y demás conceptos.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Articulo 31.- Funciones referidas al Sistema Administrativo de Personal</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Son funciones de la Oficina de Administración y Finanzas en el ámbito del Sistema Administrativo de Personal: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241D1D">
      <w:pPr>
        <w:numPr>
          <w:ilvl w:val="0"/>
          <w:numId w:val="94"/>
        </w:numPr>
        <w:spacing w:after="0" w:line="240" w:lineRule="auto"/>
        <w:contextualSpacing/>
        <w:jc w:val="both"/>
        <w:rPr>
          <w:rFonts w:ascii="Arial" w:eastAsia="Calibri" w:hAnsi="Arial" w:cs="Arial"/>
          <w:lang w:val="es-ES"/>
        </w:rPr>
      </w:pPr>
      <w:r w:rsidRPr="006312E8">
        <w:rPr>
          <w:rFonts w:ascii="Arial" w:eastAsia="Calibri" w:hAnsi="Arial" w:cs="Arial"/>
          <w:lang w:val="es-ES"/>
        </w:rPr>
        <w:t>Proponer los lineamientos de política para una eficiente gestión de la administración de los recursos humanos de la Institución.</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241D1D">
      <w:pPr>
        <w:numPr>
          <w:ilvl w:val="0"/>
          <w:numId w:val="94"/>
        </w:numPr>
        <w:spacing w:after="0" w:line="240" w:lineRule="auto"/>
        <w:contextualSpacing/>
        <w:jc w:val="both"/>
        <w:rPr>
          <w:rFonts w:ascii="Arial" w:eastAsia="Calibri" w:hAnsi="Arial" w:cs="Arial"/>
          <w:lang w:val="es-ES"/>
        </w:rPr>
      </w:pPr>
      <w:r w:rsidRPr="006312E8">
        <w:rPr>
          <w:rFonts w:ascii="Arial" w:eastAsia="Calibri" w:hAnsi="Arial" w:cs="Arial"/>
          <w:lang w:val="es-ES"/>
        </w:rPr>
        <w:t>Ejecutar la política y el plan de capacitación del personal, fomentando el mejoramiento de los recursos humanos; así como coordinar la ejecución de la evaluación del personal de la Institución.</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4"/>
        </w:numPr>
        <w:spacing w:after="0" w:line="240" w:lineRule="auto"/>
        <w:contextualSpacing/>
        <w:jc w:val="both"/>
        <w:rPr>
          <w:rFonts w:ascii="Arial" w:eastAsia="Calibri" w:hAnsi="Arial" w:cs="Arial"/>
          <w:lang w:val="es-ES"/>
        </w:rPr>
      </w:pPr>
      <w:r w:rsidRPr="006312E8">
        <w:rPr>
          <w:rFonts w:ascii="Arial" w:eastAsia="Calibri" w:hAnsi="Arial" w:cs="Arial"/>
          <w:lang w:val="es-ES"/>
        </w:rPr>
        <w:t>Elaborar y mantener actualizado el Presupuesto Analítico de Personal, en coordinación con la Oficina de Planeamiento y Presupuesto.</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4"/>
        </w:numPr>
        <w:spacing w:after="0" w:line="240" w:lineRule="auto"/>
        <w:contextualSpacing/>
        <w:jc w:val="both"/>
        <w:rPr>
          <w:rFonts w:ascii="Arial" w:eastAsia="Calibri" w:hAnsi="Arial" w:cs="Arial"/>
          <w:lang w:val="es-ES"/>
        </w:rPr>
      </w:pPr>
      <w:r w:rsidRPr="006312E8">
        <w:rPr>
          <w:rFonts w:ascii="Arial" w:eastAsia="Calibri" w:hAnsi="Arial" w:cs="Arial"/>
          <w:lang w:val="es-ES"/>
        </w:rPr>
        <w:t>Elaborar, proponer y mantener actualizado el Reglamento Interno de Trabajo, así como los manuales y normas administrativas que se requieran para el mejor desempeño de sus funciones.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4"/>
        </w:numPr>
        <w:spacing w:after="0" w:line="240" w:lineRule="auto"/>
        <w:contextualSpacing/>
        <w:jc w:val="both"/>
        <w:rPr>
          <w:rFonts w:ascii="Arial" w:eastAsia="Calibri" w:hAnsi="Arial" w:cs="Arial"/>
          <w:lang w:val="es-ES"/>
        </w:rPr>
      </w:pPr>
      <w:r w:rsidRPr="006312E8">
        <w:rPr>
          <w:rFonts w:ascii="Arial" w:eastAsia="Calibri" w:hAnsi="Arial" w:cs="Arial"/>
          <w:lang w:val="es-ES"/>
        </w:rPr>
        <w:t>Organizar y dirigir las acciones para los procesos de reclutamiento y selección de personal contratado por diferentes modalidades, así como los referidos a la evaluación, seguridad social y a los programas de bienestar social, seguridad, salud, recreación y deporte para el personal y su familia.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4"/>
        </w:numPr>
        <w:spacing w:after="0" w:line="240" w:lineRule="auto"/>
        <w:contextualSpacing/>
        <w:jc w:val="both"/>
        <w:rPr>
          <w:rFonts w:ascii="Arial" w:eastAsia="Calibri" w:hAnsi="Arial" w:cs="Arial"/>
          <w:lang w:val="es-ES"/>
        </w:rPr>
      </w:pPr>
      <w:r w:rsidRPr="006312E8">
        <w:rPr>
          <w:rFonts w:ascii="Arial" w:eastAsia="Calibri" w:hAnsi="Arial" w:cs="Arial"/>
          <w:lang w:val="es-ES"/>
        </w:rPr>
        <w:t>Ejecutar y controlar los procesos de administración de remuneraciones, liquidaciones y formulación de las constancias de pago.</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4"/>
        </w:numPr>
        <w:spacing w:after="0" w:line="240" w:lineRule="auto"/>
        <w:contextualSpacing/>
        <w:jc w:val="both"/>
        <w:rPr>
          <w:rFonts w:ascii="Arial" w:eastAsia="Calibri" w:hAnsi="Arial" w:cs="Arial"/>
          <w:lang w:val="es-ES"/>
        </w:rPr>
      </w:pPr>
      <w:r w:rsidRPr="006312E8">
        <w:rPr>
          <w:rFonts w:ascii="Arial" w:eastAsia="Calibri" w:hAnsi="Arial" w:cs="Arial"/>
          <w:lang w:val="es-ES"/>
        </w:rPr>
        <w:t>Supervisar y ejecutar las acciones y procesos relacionados con el sistema de personal, definición de derechos y obligaciones, beneficios del personal, liquidaciones de beneficios sociales y certificaciones de trabajo.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32.- Funciones en el ámbito de Tecnologías de la Información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Son funciones de la Oficina de Administración y Finanzas en el ámbito de Tecnologías de la Información: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241D1D">
      <w:pPr>
        <w:numPr>
          <w:ilvl w:val="0"/>
          <w:numId w:val="95"/>
        </w:numPr>
        <w:spacing w:after="0" w:line="240" w:lineRule="auto"/>
        <w:contextualSpacing/>
        <w:jc w:val="both"/>
        <w:rPr>
          <w:rFonts w:ascii="Arial" w:eastAsia="Calibri" w:hAnsi="Arial" w:cs="Arial"/>
          <w:lang w:val="es-ES"/>
        </w:rPr>
      </w:pPr>
      <w:r w:rsidRPr="006312E8">
        <w:rPr>
          <w:rFonts w:ascii="Arial" w:eastAsia="Calibri" w:hAnsi="Arial" w:cs="Arial"/>
          <w:lang w:val="es-ES"/>
        </w:rPr>
        <w:t>Planificar, organizar, ejecutar y evaluar las actividades informáticas, a fin de dar el soporte y la asesoría necesaria respecto de la implementación, operación y seguimiento de las tecnologías y sistemas de información dentro del ámbito institucional y del SNBE.</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241D1D">
      <w:pPr>
        <w:numPr>
          <w:ilvl w:val="0"/>
          <w:numId w:val="95"/>
        </w:numPr>
        <w:spacing w:after="0" w:line="240" w:lineRule="auto"/>
        <w:contextualSpacing/>
        <w:jc w:val="both"/>
        <w:rPr>
          <w:rFonts w:ascii="Arial" w:eastAsia="Calibri" w:hAnsi="Arial" w:cs="Arial"/>
          <w:lang w:val="es-ES"/>
        </w:rPr>
      </w:pPr>
      <w:r w:rsidRPr="006312E8">
        <w:rPr>
          <w:rFonts w:ascii="Arial" w:eastAsia="Calibri" w:hAnsi="Arial" w:cs="Arial"/>
          <w:lang w:val="es-ES"/>
        </w:rPr>
        <w:t>Administrar y mantener operativa la plataforma tecnológica de la Institución y asegurar la disponibilidad y respaldo oportuno de la información institucional, que garanticen la continuidad de las operaciones.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5"/>
        </w:numPr>
        <w:spacing w:after="0" w:line="240" w:lineRule="auto"/>
        <w:contextualSpacing/>
        <w:jc w:val="both"/>
        <w:rPr>
          <w:rFonts w:ascii="Arial" w:eastAsia="Calibri" w:hAnsi="Arial" w:cs="Arial"/>
          <w:lang w:val="es-ES"/>
        </w:rPr>
      </w:pPr>
      <w:r w:rsidRPr="006312E8">
        <w:rPr>
          <w:rFonts w:ascii="Arial" w:eastAsia="Calibri" w:hAnsi="Arial" w:cs="Arial"/>
          <w:lang w:val="es-ES"/>
        </w:rPr>
        <w:t>Diseñar, desarrollar e implementar soluciones integradas, basadas en tecnologías de la información como respuesta a las necesidades de procesamiento de datos de las diferentes áreas de la SBN, incluyendo la sistematización de la información.</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5"/>
        </w:numPr>
        <w:spacing w:after="0" w:line="240" w:lineRule="auto"/>
        <w:contextualSpacing/>
        <w:jc w:val="both"/>
        <w:rPr>
          <w:rFonts w:ascii="Arial" w:eastAsia="Calibri" w:hAnsi="Arial" w:cs="Arial"/>
          <w:lang w:val="es-ES"/>
        </w:rPr>
      </w:pPr>
      <w:r w:rsidRPr="006312E8">
        <w:rPr>
          <w:rFonts w:ascii="Arial" w:eastAsia="Calibri" w:hAnsi="Arial" w:cs="Arial"/>
          <w:lang w:val="es-ES"/>
        </w:rPr>
        <w:t>Supervisar y administrar el desarrollo e implementación de proyectos informáticos encargados a terceros.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5"/>
        </w:numPr>
        <w:spacing w:after="0" w:line="240" w:lineRule="auto"/>
        <w:contextualSpacing/>
        <w:jc w:val="both"/>
        <w:rPr>
          <w:rFonts w:ascii="Arial" w:eastAsia="Calibri" w:hAnsi="Arial" w:cs="Arial"/>
          <w:lang w:val="es-ES"/>
        </w:rPr>
      </w:pPr>
      <w:r w:rsidRPr="006312E8">
        <w:rPr>
          <w:rFonts w:ascii="Arial" w:eastAsia="Calibri" w:hAnsi="Arial" w:cs="Arial"/>
          <w:lang w:val="es-ES"/>
        </w:rPr>
        <w:t>Promover el mantenimiento preventivo de los equipos informáticos de la Institución.</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5"/>
        </w:numPr>
        <w:spacing w:after="0" w:line="240" w:lineRule="auto"/>
        <w:contextualSpacing/>
        <w:jc w:val="both"/>
        <w:rPr>
          <w:rFonts w:ascii="Arial" w:eastAsia="Calibri" w:hAnsi="Arial" w:cs="Arial"/>
          <w:lang w:val="es-ES"/>
        </w:rPr>
      </w:pPr>
      <w:r w:rsidRPr="006312E8">
        <w:rPr>
          <w:rFonts w:ascii="Arial" w:eastAsia="Calibri" w:hAnsi="Arial" w:cs="Arial"/>
          <w:lang w:val="es-ES"/>
        </w:rPr>
        <w:t>Desarrollar, implementar, administrar y actualizar los Sistemas Informáticos, Base de Datos y la página Web de la Institución; así como la Intranet y Extranet Institucional.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CAPÍTULO VIII</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DE LOS ÓRGANOS DE LÍNEA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SUB CAPÍTULO I</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DE LA DIRECCIÓN DE NORMAS Y REGISTRO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33.- Dirección de Normas y Registro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Dirección de Normas y Registro, es un órgano de línea de ámbito nacional encargado de proponer las normas necesarias para la eficiente gestión de la administración de bienes muebles e inmuebles estatales por las Entidades, procurando su aplicación a través de programas de capacitación y difusión; así como organizar y conducir el Registro Único Obligatorio de los Bienes Estatales.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Este órgano depende jerárquicamente del Superintendente Nacional de Bienes Estatales.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34.- Funciones Específicas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Son funciones específicas de la Dirección de Normas y Registro: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241D1D">
      <w:pPr>
        <w:numPr>
          <w:ilvl w:val="0"/>
          <w:numId w:val="96"/>
        </w:numPr>
        <w:spacing w:after="0" w:line="240" w:lineRule="auto"/>
        <w:contextualSpacing/>
        <w:jc w:val="both"/>
        <w:rPr>
          <w:rFonts w:ascii="Arial" w:eastAsia="Calibri" w:hAnsi="Arial" w:cs="Arial"/>
          <w:lang w:val="es-ES"/>
        </w:rPr>
      </w:pPr>
      <w:r w:rsidRPr="006312E8">
        <w:rPr>
          <w:rFonts w:ascii="Arial" w:eastAsia="Calibri" w:hAnsi="Arial" w:cs="Arial"/>
          <w:lang w:val="es-ES"/>
        </w:rPr>
        <w:t>Proponer las normas legales y/o su modificación sobre los actos de adquisición, administración, disposición, registro y supervisión de los bienes muebles e inmuebles estatales, tendientes al fortalecimiento del SNBE, así como emitir opinión sobre aquellas que sean sometidas a consideración de la SBN.</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241D1D">
      <w:pPr>
        <w:numPr>
          <w:ilvl w:val="0"/>
          <w:numId w:val="96"/>
        </w:numPr>
        <w:spacing w:after="0" w:line="240" w:lineRule="auto"/>
        <w:contextualSpacing/>
        <w:jc w:val="both"/>
        <w:rPr>
          <w:rFonts w:ascii="Arial" w:eastAsia="Calibri" w:hAnsi="Arial" w:cs="Arial"/>
          <w:lang w:val="es-ES"/>
        </w:rPr>
      </w:pPr>
      <w:r w:rsidRPr="006312E8">
        <w:rPr>
          <w:rFonts w:ascii="Arial" w:eastAsia="Calibri" w:hAnsi="Arial" w:cs="Arial"/>
          <w:lang w:val="es-ES"/>
        </w:rPr>
        <w:t>Coordinar y proponer las políticas, planes, proyectos y mecanismos para el desarrollo y aplicación de las normas promulgadas por la SBN, como ente rector del SNBE.</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6"/>
        </w:numPr>
        <w:spacing w:after="0" w:line="240" w:lineRule="auto"/>
        <w:contextualSpacing/>
        <w:jc w:val="both"/>
        <w:rPr>
          <w:rFonts w:ascii="Arial" w:eastAsia="Calibri" w:hAnsi="Arial" w:cs="Arial"/>
          <w:lang w:val="es-ES"/>
        </w:rPr>
      </w:pPr>
      <w:r w:rsidRPr="006312E8">
        <w:rPr>
          <w:rFonts w:ascii="Arial" w:eastAsia="Calibri" w:hAnsi="Arial" w:cs="Arial"/>
          <w:lang w:val="es-ES"/>
        </w:rPr>
        <w:t>Participar activamente en la generación de políticas y normas necesarias para el desarrollo e implementación del Sistema Nacional Integrado de Información Catastral Predial.</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6"/>
        </w:numPr>
        <w:spacing w:after="0" w:line="240" w:lineRule="auto"/>
        <w:contextualSpacing/>
        <w:jc w:val="both"/>
        <w:rPr>
          <w:rFonts w:ascii="Arial" w:eastAsia="Calibri" w:hAnsi="Arial" w:cs="Arial"/>
          <w:lang w:val="es-ES"/>
        </w:rPr>
      </w:pPr>
      <w:r w:rsidRPr="006312E8">
        <w:rPr>
          <w:rFonts w:ascii="Arial" w:eastAsia="Calibri" w:hAnsi="Arial" w:cs="Arial"/>
          <w:lang w:val="es-ES"/>
        </w:rPr>
        <w:t>Proponer y supervisar la ejecución del Plan Anual de Capacitación.</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6"/>
        </w:numPr>
        <w:spacing w:after="0" w:line="240" w:lineRule="auto"/>
        <w:contextualSpacing/>
        <w:jc w:val="both"/>
        <w:rPr>
          <w:rFonts w:ascii="Arial" w:eastAsia="Calibri" w:hAnsi="Arial" w:cs="Arial"/>
          <w:lang w:val="es-ES"/>
        </w:rPr>
      </w:pPr>
      <w:r w:rsidRPr="006312E8">
        <w:rPr>
          <w:rFonts w:ascii="Arial" w:eastAsia="Calibri" w:hAnsi="Arial" w:cs="Arial"/>
          <w:lang w:val="es-ES"/>
        </w:rPr>
        <w:t>Supervisar la adecuada absolución de consultas por las Subdirecciones a su cargo.</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6"/>
        </w:numPr>
        <w:spacing w:after="0" w:line="240" w:lineRule="auto"/>
        <w:contextualSpacing/>
        <w:jc w:val="both"/>
        <w:rPr>
          <w:rFonts w:ascii="Arial" w:eastAsia="Calibri" w:hAnsi="Arial" w:cs="Arial"/>
          <w:lang w:val="es-ES"/>
        </w:rPr>
      </w:pPr>
      <w:r w:rsidRPr="006312E8">
        <w:rPr>
          <w:rFonts w:ascii="Arial" w:eastAsia="Calibri" w:hAnsi="Arial" w:cs="Arial"/>
          <w:lang w:val="es-ES"/>
        </w:rPr>
        <w:t>Supervisar la información del SINABIP.</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6"/>
        </w:numPr>
        <w:spacing w:after="0" w:line="240" w:lineRule="auto"/>
        <w:contextualSpacing/>
        <w:jc w:val="both"/>
        <w:rPr>
          <w:rFonts w:ascii="Arial" w:eastAsia="Calibri" w:hAnsi="Arial" w:cs="Arial"/>
          <w:lang w:val="es-ES"/>
        </w:rPr>
      </w:pPr>
      <w:r w:rsidRPr="006312E8">
        <w:rPr>
          <w:rFonts w:ascii="Arial" w:eastAsia="Calibri" w:hAnsi="Arial" w:cs="Arial"/>
          <w:lang w:val="es-ES"/>
        </w:rPr>
        <w:t>Supervisar el procesamiento de la información remitida a la SBN respecto de los bienes estatales para mantener actualizado el SINABIP.</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6"/>
        </w:numPr>
        <w:spacing w:after="0" w:line="240" w:lineRule="auto"/>
        <w:contextualSpacing/>
        <w:jc w:val="both"/>
        <w:rPr>
          <w:rFonts w:ascii="Arial" w:eastAsia="Calibri" w:hAnsi="Arial" w:cs="Arial"/>
          <w:lang w:val="es-ES"/>
        </w:rPr>
      </w:pPr>
      <w:r w:rsidRPr="006312E8">
        <w:rPr>
          <w:rFonts w:ascii="Arial" w:eastAsia="Calibri" w:hAnsi="Arial" w:cs="Arial"/>
          <w:lang w:val="es-ES"/>
        </w:rPr>
        <w:t>Supervisar las acciones orientadas a publicitar la información contenida en el registro administrativo del SINABIP.</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6"/>
        </w:numPr>
        <w:spacing w:after="0" w:line="240" w:lineRule="auto"/>
        <w:contextualSpacing/>
        <w:jc w:val="both"/>
        <w:rPr>
          <w:rFonts w:ascii="Arial" w:eastAsia="Calibri" w:hAnsi="Arial" w:cs="Arial"/>
          <w:lang w:val="es-ES"/>
        </w:rPr>
      </w:pPr>
      <w:r w:rsidRPr="006312E8">
        <w:rPr>
          <w:rFonts w:ascii="Arial" w:eastAsia="Calibri" w:hAnsi="Arial" w:cs="Arial"/>
          <w:lang w:val="es-ES"/>
        </w:rPr>
        <w:t>Supervisar la inscripción en el SINABIP de los bienes incautados y decomisados a favor del Estado.</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6"/>
        </w:numPr>
        <w:spacing w:after="0" w:line="240" w:lineRule="auto"/>
        <w:contextualSpacing/>
        <w:jc w:val="both"/>
        <w:rPr>
          <w:rFonts w:ascii="Arial" w:eastAsia="Calibri" w:hAnsi="Arial" w:cs="Arial"/>
          <w:lang w:val="es-ES"/>
        </w:rPr>
      </w:pPr>
      <w:r w:rsidRPr="006312E8">
        <w:rPr>
          <w:rFonts w:ascii="Arial" w:eastAsia="Calibri" w:hAnsi="Arial" w:cs="Arial"/>
          <w:lang w:val="es-ES"/>
        </w:rPr>
        <w:t>Emitir resoluciones en materias de su competencia.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6"/>
        </w:numPr>
        <w:spacing w:after="0" w:line="240" w:lineRule="auto"/>
        <w:contextualSpacing/>
        <w:jc w:val="both"/>
        <w:rPr>
          <w:rFonts w:ascii="Arial" w:eastAsia="Calibri" w:hAnsi="Arial" w:cs="Arial"/>
          <w:lang w:val="es-ES"/>
        </w:rPr>
      </w:pPr>
      <w:r w:rsidRPr="006312E8">
        <w:rPr>
          <w:rFonts w:ascii="Arial" w:eastAsia="Calibri" w:hAnsi="Arial" w:cs="Arial"/>
          <w:lang w:val="es-ES"/>
        </w:rPr>
        <w:t>Las demás que le correspondan de acuerdo a la normatividad vigente y/o le sean asignadas por la autoridad superior.</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35.- Subdirecciones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Dirección de Normas y Registro, para el cumplimiento de sus funciones, cuenta con las siguientes Subdirecciones: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241D1D">
      <w:pPr>
        <w:numPr>
          <w:ilvl w:val="0"/>
          <w:numId w:val="79"/>
        </w:numPr>
        <w:spacing w:after="0" w:line="240" w:lineRule="auto"/>
        <w:contextualSpacing/>
        <w:jc w:val="both"/>
        <w:rPr>
          <w:rFonts w:ascii="Arial" w:eastAsia="Calibri" w:hAnsi="Arial" w:cs="Arial"/>
          <w:lang w:val="es-ES"/>
        </w:rPr>
      </w:pPr>
      <w:r w:rsidRPr="006312E8">
        <w:rPr>
          <w:rFonts w:ascii="Arial" w:eastAsia="Calibri" w:hAnsi="Arial" w:cs="Arial"/>
          <w:lang w:val="es-ES"/>
        </w:rPr>
        <w:t>Subdirección de Normas y Capacitación.</w:t>
      </w:r>
    </w:p>
    <w:p w:rsidR="006312E8" w:rsidRPr="006312E8" w:rsidRDefault="006312E8" w:rsidP="00241D1D">
      <w:pPr>
        <w:numPr>
          <w:ilvl w:val="0"/>
          <w:numId w:val="79"/>
        </w:numPr>
        <w:spacing w:after="0" w:line="240" w:lineRule="auto"/>
        <w:contextualSpacing/>
        <w:jc w:val="both"/>
        <w:rPr>
          <w:rFonts w:ascii="Arial" w:eastAsia="Calibri" w:hAnsi="Arial" w:cs="Arial"/>
          <w:lang w:val="es-ES"/>
        </w:rPr>
      </w:pPr>
      <w:r w:rsidRPr="006312E8">
        <w:rPr>
          <w:rFonts w:ascii="Arial" w:eastAsia="Calibri" w:hAnsi="Arial" w:cs="Arial"/>
          <w:lang w:val="es-ES"/>
        </w:rPr>
        <w:t>Subdirección de Registro y Catastro.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36.- Subdirección de Normas y Capacitación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Subdirección de Normas y Capacitación es la encargada de elaborar las propuestas normativas y sus modificaciones, así como de compilar las normas que emita la SBN y/o tenga incidencia en el SNBE, procurando su difusión a través de programas de capacitación al personal a cargo de los actos de adquisición, administración, disposición y registro de los bienes estatales y por otros medios de comunicación.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Esta área depende jerárquicamente de la Dirección de Normas y Registro.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37.- Funciones Específicas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Son funciones específicas de la Subdirección de Normas y Capacitación: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241D1D">
      <w:pPr>
        <w:numPr>
          <w:ilvl w:val="0"/>
          <w:numId w:val="97"/>
        </w:numPr>
        <w:spacing w:after="0" w:line="240" w:lineRule="auto"/>
        <w:contextualSpacing/>
        <w:jc w:val="both"/>
        <w:rPr>
          <w:rFonts w:ascii="Arial" w:eastAsia="Calibri" w:hAnsi="Arial" w:cs="Arial"/>
          <w:lang w:val="es-ES"/>
        </w:rPr>
      </w:pPr>
      <w:r w:rsidRPr="006312E8">
        <w:rPr>
          <w:rFonts w:ascii="Arial" w:eastAsia="Calibri" w:hAnsi="Arial" w:cs="Arial"/>
          <w:lang w:val="es-ES"/>
        </w:rPr>
        <w:t>Formular las normas legales y/o sus modificaciones, directivas u otras disposiciones sobre los actos de adquisición, administración, disposición, registro y supervisión de los bienes estatales, en el marco de las atribuciones de la Institución como ente rector del SNBE.</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241D1D">
      <w:pPr>
        <w:numPr>
          <w:ilvl w:val="0"/>
          <w:numId w:val="97"/>
        </w:numPr>
        <w:spacing w:after="0" w:line="240" w:lineRule="auto"/>
        <w:contextualSpacing/>
        <w:jc w:val="both"/>
        <w:rPr>
          <w:rFonts w:ascii="Arial" w:eastAsia="Calibri" w:hAnsi="Arial" w:cs="Arial"/>
          <w:lang w:val="es-ES"/>
        </w:rPr>
      </w:pPr>
      <w:r w:rsidRPr="006312E8">
        <w:rPr>
          <w:rFonts w:ascii="Arial" w:eastAsia="Calibri" w:hAnsi="Arial" w:cs="Arial"/>
          <w:lang w:val="es-ES"/>
        </w:rPr>
        <w:t>Formular y ejecutar el Plan de Capacitación para el personal encargado de la administración de los bienes estatales de las Entidades, con el fin de lograr una eficiente gestión en la administración de los mismos.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7"/>
        </w:numPr>
        <w:spacing w:after="0" w:line="240" w:lineRule="auto"/>
        <w:contextualSpacing/>
        <w:jc w:val="both"/>
        <w:rPr>
          <w:rFonts w:ascii="Arial" w:eastAsia="Calibri" w:hAnsi="Arial" w:cs="Arial"/>
          <w:lang w:val="es-ES"/>
        </w:rPr>
      </w:pPr>
      <w:r w:rsidRPr="006312E8">
        <w:rPr>
          <w:rFonts w:ascii="Arial" w:eastAsia="Calibri" w:hAnsi="Arial" w:cs="Arial"/>
          <w:lang w:val="es-ES"/>
        </w:rPr>
        <w:t>Absolver las consultas efectuadas por las áreas de la Institución, las Entidades y administrados sobre la interpretación o aplicación de las normas que regulan la adquisición, administración, disposición, registro y supervisión de los bienes estatales y demás normas del SNBE.</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7"/>
        </w:numPr>
        <w:spacing w:after="0" w:line="240" w:lineRule="auto"/>
        <w:contextualSpacing/>
        <w:jc w:val="both"/>
        <w:rPr>
          <w:rFonts w:ascii="Arial" w:eastAsia="Calibri" w:hAnsi="Arial" w:cs="Arial"/>
          <w:lang w:val="es-ES"/>
        </w:rPr>
      </w:pPr>
      <w:r w:rsidRPr="006312E8">
        <w:rPr>
          <w:rFonts w:ascii="Arial" w:eastAsia="Calibri" w:hAnsi="Arial" w:cs="Arial"/>
          <w:lang w:val="es-ES"/>
        </w:rPr>
        <w:t>Compilar, concordar y mantener actualizadas las normas relacionadas con el SNBE.</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7"/>
        </w:numPr>
        <w:spacing w:after="0" w:line="240" w:lineRule="auto"/>
        <w:contextualSpacing/>
        <w:jc w:val="both"/>
        <w:rPr>
          <w:rFonts w:ascii="Arial" w:eastAsia="Calibri" w:hAnsi="Arial" w:cs="Arial"/>
          <w:lang w:val="es-ES"/>
        </w:rPr>
      </w:pPr>
      <w:r w:rsidRPr="006312E8">
        <w:rPr>
          <w:rFonts w:ascii="Arial" w:eastAsia="Calibri" w:hAnsi="Arial" w:cs="Arial"/>
          <w:lang w:val="es-ES"/>
        </w:rPr>
        <w:t>Coordinar con las demás áreas de la institución su participación en la ejecución del Plan de Capacitación.</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7"/>
        </w:numPr>
        <w:spacing w:after="0" w:line="240" w:lineRule="auto"/>
        <w:contextualSpacing/>
        <w:jc w:val="both"/>
        <w:rPr>
          <w:rFonts w:ascii="Arial" w:eastAsia="Calibri" w:hAnsi="Arial" w:cs="Arial"/>
          <w:lang w:val="es-ES"/>
        </w:rPr>
      </w:pPr>
      <w:r w:rsidRPr="006312E8">
        <w:rPr>
          <w:rFonts w:ascii="Arial" w:eastAsia="Calibri" w:hAnsi="Arial" w:cs="Arial"/>
          <w:lang w:val="es-ES"/>
        </w:rPr>
        <w:t>Las demás que le correspondan de acuerdo a la normatividad vigente y/o le sean asignadas por la autoridad superior.</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38.- Subdirección de Registro y Catastro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Subdirección de Registro y Catastro es la encargada de administrar, ejecutar y controlar todas las acciones relativas al SINABIP, así como conducir el Catastro Nacional de las propiedades inmobiliarias del Estado.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Esta Área depende jerárquicamente de la Dirección de Normas y Registro.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39.- Funciones Específicas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Son funciones específicas de la Subdirección de Registro y Catastro: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241D1D">
      <w:pPr>
        <w:numPr>
          <w:ilvl w:val="0"/>
          <w:numId w:val="98"/>
        </w:numPr>
        <w:spacing w:after="0" w:line="240" w:lineRule="auto"/>
        <w:contextualSpacing/>
        <w:jc w:val="both"/>
        <w:rPr>
          <w:rFonts w:ascii="Arial" w:eastAsia="Calibri" w:hAnsi="Arial" w:cs="Arial"/>
          <w:lang w:val="es-ES"/>
        </w:rPr>
      </w:pPr>
      <w:r w:rsidRPr="006312E8">
        <w:rPr>
          <w:rFonts w:ascii="Arial" w:eastAsia="Calibri" w:hAnsi="Arial" w:cs="Arial"/>
          <w:lang w:val="es-ES"/>
        </w:rPr>
        <w:t>Administrar la información de bienes muebles e inmuebles del SINABIP.</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241D1D">
      <w:pPr>
        <w:numPr>
          <w:ilvl w:val="0"/>
          <w:numId w:val="98"/>
        </w:numPr>
        <w:spacing w:after="0" w:line="240" w:lineRule="auto"/>
        <w:contextualSpacing/>
        <w:jc w:val="both"/>
        <w:rPr>
          <w:rFonts w:ascii="Arial" w:eastAsia="Calibri" w:hAnsi="Arial" w:cs="Arial"/>
          <w:lang w:val="es-ES"/>
        </w:rPr>
      </w:pPr>
      <w:r w:rsidRPr="006312E8">
        <w:rPr>
          <w:rFonts w:ascii="Arial" w:eastAsia="Calibri" w:hAnsi="Arial" w:cs="Arial"/>
          <w:lang w:val="es-ES"/>
        </w:rPr>
        <w:t>Incorporar y/o actualizar en el SINABIP la información sobre bienes muebles e inmuebles que remitan las Entidades que no dispongan de los medios tecnológicos adecuados.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8"/>
        </w:numPr>
        <w:spacing w:after="0" w:line="240" w:lineRule="auto"/>
        <w:contextualSpacing/>
        <w:jc w:val="both"/>
        <w:rPr>
          <w:rFonts w:ascii="Arial" w:eastAsia="Calibri" w:hAnsi="Arial" w:cs="Arial"/>
          <w:lang w:val="es-ES"/>
        </w:rPr>
      </w:pPr>
      <w:r w:rsidRPr="006312E8">
        <w:rPr>
          <w:rFonts w:ascii="Arial" w:eastAsia="Calibri" w:hAnsi="Arial" w:cs="Arial"/>
          <w:lang w:val="es-ES"/>
        </w:rPr>
        <w:t>Efectuar el control de calidad respecto del registro y actualización de la información que se incorpora al SINABIP.</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8"/>
        </w:numPr>
        <w:spacing w:after="0" w:line="240" w:lineRule="auto"/>
        <w:contextualSpacing/>
        <w:jc w:val="both"/>
        <w:rPr>
          <w:rFonts w:ascii="Arial" w:eastAsia="Calibri" w:hAnsi="Arial" w:cs="Arial"/>
          <w:lang w:val="es-ES"/>
        </w:rPr>
      </w:pPr>
      <w:r w:rsidRPr="006312E8">
        <w:rPr>
          <w:rFonts w:ascii="Arial" w:eastAsia="Calibri" w:hAnsi="Arial" w:cs="Arial"/>
          <w:lang w:val="es-ES"/>
        </w:rPr>
        <w:t>Comunicar a las Entidades las deficiencias de la información incorporadas en el registro del SINABIP, para las acciones a que hubiere lugar.</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8"/>
        </w:numPr>
        <w:spacing w:after="0" w:line="240" w:lineRule="auto"/>
        <w:contextualSpacing/>
        <w:jc w:val="both"/>
        <w:rPr>
          <w:rFonts w:ascii="Arial" w:eastAsia="Calibri" w:hAnsi="Arial" w:cs="Arial"/>
          <w:lang w:val="es-ES"/>
        </w:rPr>
      </w:pPr>
      <w:r w:rsidRPr="006312E8">
        <w:rPr>
          <w:rFonts w:ascii="Arial" w:eastAsia="Calibri" w:hAnsi="Arial" w:cs="Arial"/>
          <w:lang w:val="es-ES"/>
        </w:rPr>
        <w:t>Ejecutar las acciones necesarias para la obtención de información cartográfica (base catastral, temática, satelital), documental (técnica, legal, social y económica) u otras, así como procesar y sistematizar dicha información, para lograr una gestión eficiente del SINABIP.</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8"/>
        </w:numPr>
        <w:spacing w:after="0" w:line="240" w:lineRule="auto"/>
        <w:contextualSpacing/>
        <w:jc w:val="both"/>
        <w:rPr>
          <w:rFonts w:ascii="Arial" w:eastAsia="Calibri" w:hAnsi="Arial" w:cs="Arial"/>
          <w:lang w:val="es-ES"/>
        </w:rPr>
      </w:pPr>
      <w:r w:rsidRPr="006312E8">
        <w:rPr>
          <w:rFonts w:ascii="Arial" w:eastAsia="Calibri" w:hAnsi="Arial" w:cs="Arial"/>
          <w:lang w:val="es-ES"/>
        </w:rPr>
        <w:t>Mantener y custodiar el archivo físico de los legajos que justifican la información y registro del SINABIP.</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8"/>
        </w:numPr>
        <w:spacing w:after="0" w:line="240" w:lineRule="auto"/>
        <w:contextualSpacing/>
        <w:jc w:val="both"/>
        <w:rPr>
          <w:rFonts w:ascii="Arial" w:eastAsia="Calibri" w:hAnsi="Arial" w:cs="Arial"/>
          <w:lang w:val="es-ES"/>
        </w:rPr>
      </w:pPr>
      <w:r w:rsidRPr="006312E8">
        <w:rPr>
          <w:rFonts w:ascii="Arial" w:eastAsia="Calibri" w:hAnsi="Arial" w:cs="Arial"/>
          <w:lang w:val="es-ES"/>
        </w:rPr>
        <w:t>Brindar información contenida en el SINABIP, sobre bienes muebles e inmuebles, a las instituciones y administrados que así lo soliciten, conforme a la Ley Nº 27806.</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8"/>
        </w:numPr>
        <w:spacing w:after="0" w:line="240" w:lineRule="auto"/>
        <w:contextualSpacing/>
        <w:jc w:val="both"/>
        <w:rPr>
          <w:rFonts w:ascii="Arial" w:eastAsia="Calibri" w:hAnsi="Arial" w:cs="Arial"/>
          <w:lang w:val="es-ES"/>
        </w:rPr>
      </w:pPr>
      <w:r w:rsidRPr="006312E8">
        <w:rPr>
          <w:rFonts w:ascii="Arial" w:eastAsia="Calibri" w:hAnsi="Arial" w:cs="Arial"/>
          <w:lang w:val="es-ES"/>
        </w:rPr>
        <w:t>Coordinar con las Entidades la correcta y completa transferencia de información.</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8"/>
        </w:numPr>
        <w:spacing w:after="0" w:line="240" w:lineRule="auto"/>
        <w:contextualSpacing/>
        <w:jc w:val="both"/>
        <w:rPr>
          <w:rFonts w:ascii="Arial" w:eastAsia="Calibri" w:hAnsi="Arial" w:cs="Arial"/>
          <w:lang w:val="es-ES"/>
        </w:rPr>
      </w:pPr>
      <w:r w:rsidRPr="006312E8">
        <w:rPr>
          <w:rFonts w:ascii="Arial" w:eastAsia="Calibri" w:hAnsi="Arial" w:cs="Arial"/>
          <w:lang w:val="es-ES"/>
        </w:rPr>
        <w:t>Asesorar y/o absolver consultas respecto de la administración del SINABIP.</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8"/>
        </w:numPr>
        <w:spacing w:after="0" w:line="240" w:lineRule="auto"/>
        <w:contextualSpacing/>
        <w:jc w:val="both"/>
        <w:rPr>
          <w:rFonts w:ascii="Arial" w:eastAsia="Calibri" w:hAnsi="Arial" w:cs="Arial"/>
          <w:lang w:val="es-ES"/>
        </w:rPr>
      </w:pPr>
      <w:r w:rsidRPr="006312E8">
        <w:rPr>
          <w:rFonts w:ascii="Arial" w:eastAsia="Calibri" w:hAnsi="Arial" w:cs="Arial"/>
          <w:lang w:val="es-ES"/>
        </w:rPr>
        <w:t>Registrar en el SINABIP los bienes muebles e inmuebles incautados y decomisados.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8"/>
        </w:numPr>
        <w:spacing w:after="0" w:line="240" w:lineRule="auto"/>
        <w:contextualSpacing/>
        <w:jc w:val="both"/>
        <w:rPr>
          <w:rFonts w:ascii="Arial" w:eastAsia="Calibri" w:hAnsi="Arial" w:cs="Arial"/>
          <w:lang w:val="es-ES"/>
        </w:rPr>
      </w:pPr>
      <w:r w:rsidRPr="006312E8">
        <w:rPr>
          <w:rFonts w:ascii="Arial" w:eastAsia="Calibri" w:hAnsi="Arial" w:cs="Arial"/>
          <w:lang w:val="es-ES"/>
        </w:rPr>
        <w:t>Las demás que le correspondan de acuerdo a la normatividad vigente y/o le sean asignadas por la autoridad superior.</w:t>
      </w:r>
    </w:p>
    <w:p w:rsidR="006312E8" w:rsidRPr="006312E8" w:rsidRDefault="006312E8" w:rsidP="006312E8">
      <w:pPr>
        <w:spacing w:after="0" w:line="240" w:lineRule="auto"/>
        <w:jc w:val="both"/>
        <w:rPr>
          <w:rFonts w:ascii="Arial" w:eastAsia="Calibri" w:hAnsi="Arial" w:cs="Arial"/>
          <w:lang w:val="es-ES"/>
        </w:rPr>
      </w:pPr>
    </w:p>
    <w:p w:rsidR="00246CE9" w:rsidRDefault="00246CE9" w:rsidP="006312E8">
      <w:pPr>
        <w:spacing w:after="0" w:line="240" w:lineRule="auto"/>
        <w:jc w:val="center"/>
        <w:rPr>
          <w:rFonts w:ascii="Arial" w:eastAsia="Calibri" w:hAnsi="Arial" w:cs="Arial"/>
          <w:b/>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SUB CAPITULO II</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DE LA DIRECCIÓN DE GESTIÓN DEL PATRIMONIO ESTATAL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40.- Dirección de Gestión del Patrimonio Estatal</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Dirección de Gestión del Patrimonio Estatal es un órgano de línea de ámbito nacional encargado de planificar, dirigir, coordinar y controlar la adecuada administración de los bienes estatales a cargo de la SBN; el desarrollo del portafolio inmobiliario y la supervisión de los actos administrativos que sobre muebles e inmuebles estatales efectúen las Entidades pertenecientes al Sistema Nacional de Bienes Estatales, fomentando la inversión, rentabilidad y uso eficiente de los mismos.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Este Órgano depende jerárquicamente del Superintendente Nacional de Bienes Estatales.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41.- Funciones Específicas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Son funciones específicas de la Dirección de Gestión del Patrimonio Estatal: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241D1D">
      <w:pPr>
        <w:numPr>
          <w:ilvl w:val="0"/>
          <w:numId w:val="99"/>
        </w:numPr>
        <w:spacing w:after="0" w:line="240" w:lineRule="auto"/>
        <w:contextualSpacing/>
        <w:jc w:val="both"/>
        <w:rPr>
          <w:rFonts w:ascii="Arial" w:eastAsia="Calibri" w:hAnsi="Arial" w:cs="Arial"/>
          <w:lang w:val="es-ES"/>
        </w:rPr>
      </w:pPr>
      <w:r w:rsidRPr="006312E8">
        <w:rPr>
          <w:rFonts w:ascii="Arial" w:eastAsia="Calibri" w:hAnsi="Arial" w:cs="Arial"/>
          <w:lang w:val="es-ES"/>
        </w:rPr>
        <w:t>Planificar y controlar las acciones relacionadas con los actos de adquisición, administración y disposición de los bienes estatales bajo la competencia de la SBN.</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241D1D">
      <w:pPr>
        <w:numPr>
          <w:ilvl w:val="0"/>
          <w:numId w:val="99"/>
        </w:numPr>
        <w:spacing w:after="0" w:line="240" w:lineRule="auto"/>
        <w:contextualSpacing/>
        <w:jc w:val="both"/>
        <w:rPr>
          <w:rFonts w:ascii="Arial" w:eastAsia="Calibri" w:hAnsi="Arial" w:cs="Arial"/>
          <w:lang w:val="es-ES"/>
        </w:rPr>
      </w:pPr>
      <w:r w:rsidRPr="006312E8">
        <w:rPr>
          <w:rFonts w:ascii="Arial" w:eastAsia="Calibri" w:hAnsi="Arial" w:cs="Arial"/>
          <w:lang w:val="es-ES"/>
        </w:rPr>
        <w:t>Aprobar el Plan de Supervisión de las acciones de gestión, cautela y defensa que efectúan las Entidades sobre los bienes estatales bajo su responsabilidad y de los bienes incautados.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9"/>
        </w:numPr>
        <w:spacing w:after="0" w:line="240" w:lineRule="auto"/>
        <w:contextualSpacing/>
        <w:jc w:val="both"/>
        <w:rPr>
          <w:rFonts w:ascii="Arial" w:eastAsia="Calibri" w:hAnsi="Arial" w:cs="Arial"/>
          <w:lang w:val="es-ES"/>
        </w:rPr>
      </w:pPr>
      <w:r w:rsidRPr="006312E8">
        <w:rPr>
          <w:rFonts w:ascii="Arial" w:eastAsia="Calibri" w:hAnsi="Arial" w:cs="Arial"/>
          <w:lang w:val="es-ES"/>
        </w:rPr>
        <w:t>Suscribir los contratos vinculados a los actos de adquisición, administración y disposición de los bienes estatales, dentro de los parámetros de su competencia.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9"/>
        </w:numPr>
        <w:spacing w:after="0" w:line="240" w:lineRule="auto"/>
        <w:contextualSpacing/>
        <w:jc w:val="both"/>
        <w:rPr>
          <w:rFonts w:ascii="Arial" w:eastAsia="Calibri" w:hAnsi="Arial" w:cs="Arial"/>
          <w:lang w:val="es-ES"/>
        </w:rPr>
      </w:pPr>
      <w:r w:rsidRPr="006312E8">
        <w:rPr>
          <w:rFonts w:ascii="Arial" w:eastAsia="Calibri" w:hAnsi="Arial" w:cs="Arial"/>
          <w:lang w:val="es-ES"/>
        </w:rPr>
        <w:t>Planificar y supervisar las acciones de diagnóstico y saneamiento físico-legal, de los bienes estatales de competencia de la SBN.</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9"/>
        </w:numPr>
        <w:spacing w:after="0" w:line="240" w:lineRule="auto"/>
        <w:contextualSpacing/>
        <w:jc w:val="both"/>
        <w:rPr>
          <w:rFonts w:ascii="Arial" w:eastAsia="Calibri" w:hAnsi="Arial" w:cs="Arial"/>
          <w:lang w:val="es-ES"/>
        </w:rPr>
      </w:pPr>
      <w:r w:rsidRPr="006312E8">
        <w:rPr>
          <w:rFonts w:ascii="Arial" w:eastAsia="Calibri" w:hAnsi="Arial" w:cs="Arial"/>
          <w:lang w:val="es-ES"/>
        </w:rPr>
        <w:t>Evaluar y supervisar las actividades relacionadas con el fomento de la inversión e identificación de oportunidades, respecto de los bienes estatales, dentro de parámetros de su competencia.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9"/>
        </w:numPr>
        <w:spacing w:after="0" w:line="240" w:lineRule="auto"/>
        <w:contextualSpacing/>
        <w:jc w:val="both"/>
        <w:rPr>
          <w:rFonts w:ascii="Arial" w:eastAsia="Calibri" w:hAnsi="Arial" w:cs="Arial"/>
          <w:lang w:val="es-ES"/>
        </w:rPr>
      </w:pPr>
      <w:r w:rsidRPr="006312E8">
        <w:rPr>
          <w:rFonts w:ascii="Arial" w:eastAsia="Calibri" w:hAnsi="Arial" w:cs="Arial"/>
          <w:lang w:val="es-ES"/>
        </w:rPr>
        <w:t>Planificar y supervisar las actividades de identificación y reserva de los bienes estatales de carácter y alcance nacional a fin de promover los proyectos de interés nacional.</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9"/>
        </w:numPr>
        <w:spacing w:after="0" w:line="240" w:lineRule="auto"/>
        <w:contextualSpacing/>
        <w:jc w:val="both"/>
        <w:rPr>
          <w:rFonts w:ascii="Arial" w:eastAsia="Calibri" w:hAnsi="Arial" w:cs="Arial"/>
          <w:lang w:val="es-ES"/>
        </w:rPr>
      </w:pPr>
      <w:r w:rsidRPr="006312E8">
        <w:rPr>
          <w:rFonts w:ascii="Arial" w:eastAsia="Calibri" w:hAnsi="Arial" w:cs="Arial"/>
          <w:lang w:val="es-ES"/>
        </w:rPr>
        <w:t>Evaluar la ejecución de las inspecciones técnicas sobre bienes estatales.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9"/>
        </w:numPr>
        <w:spacing w:after="0" w:line="240" w:lineRule="auto"/>
        <w:contextualSpacing/>
        <w:jc w:val="both"/>
        <w:rPr>
          <w:rFonts w:ascii="Arial" w:eastAsia="Calibri" w:hAnsi="Arial" w:cs="Arial"/>
          <w:lang w:val="es-ES"/>
        </w:rPr>
      </w:pPr>
      <w:r w:rsidRPr="006312E8">
        <w:rPr>
          <w:rFonts w:ascii="Arial" w:eastAsia="Calibri" w:hAnsi="Arial" w:cs="Arial"/>
          <w:lang w:val="es-ES"/>
        </w:rPr>
        <w:t>Verificar la adecuada atención de las denuncias relacionadas con la administración de los bienes estatales.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9"/>
        </w:numPr>
        <w:spacing w:after="0" w:line="240" w:lineRule="auto"/>
        <w:contextualSpacing/>
        <w:jc w:val="both"/>
        <w:rPr>
          <w:rFonts w:ascii="Arial" w:eastAsia="Calibri" w:hAnsi="Arial" w:cs="Arial"/>
          <w:lang w:val="es-ES"/>
        </w:rPr>
      </w:pPr>
      <w:r w:rsidRPr="006312E8">
        <w:rPr>
          <w:rFonts w:ascii="Arial" w:eastAsia="Calibri" w:hAnsi="Arial" w:cs="Arial"/>
          <w:lang w:val="es-ES"/>
        </w:rPr>
        <w:t>Evaluar y comunicar las opiniones técnicas relacionadas con los actos de disposición que ejecutan las Entidades respecto de predios de propiedad estatal.</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9"/>
        </w:numPr>
        <w:spacing w:after="0" w:line="240" w:lineRule="auto"/>
        <w:contextualSpacing/>
        <w:jc w:val="both"/>
        <w:rPr>
          <w:rFonts w:ascii="Arial" w:eastAsia="Calibri" w:hAnsi="Arial" w:cs="Arial"/>
          <w:lang w:val="es-ES"/>
        </w:rPr>
      </w:pPr>
      <w:r w:rsidRPr="006312E8">
        <w:rPr>
          <w:rFonts w:ascii="Arial" w:eastAsia="Calibri" w:hAnsi="Arial" w:cs="Arial"/>
          <w:lang w:val="es-ES"/>
        </w:rPr>
        <w:t>Informar y notificar a las entidades públicas correspondientes y poner en conocimiento a la Contraloría General sobre los actos que contravienen las normas del SNBE.</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9"/>
        </w:numPr>
        <w:spacing w:after="0" w:line="240" w:lineRule="auto"/>
        <w:contextualSpacing/>
        <w:jc w:val="both"/>
        <w:rPr>
          <w:rFonts w:ascii="Arial" w:eastAsia="Calibri" w:hAnsi="Arial" w:cs="Arial"/>
          <w:lang w:val="es-ES"/>
        </w:rPr>
      </w:pPr>
      <w:r w:rsidRPr="006312E8">
        <w:rPr>
          <w:rFonts w:ascii="Arial" w:eastAsia="Calibri" w:hAnsi="Arial" w:cs="Arial"/>
          <w:lang w:val="es-ES"/>
        </w:rPr>
        <w:t>Resolver en segunda instancia los recursos impugnativos respecto de los actos administrativos emitidos por las Subdirecciones a su cargo.</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9"/>
        </w:numPr>
        <w:spacing w:after="0" w:line="240" w:lineRule="auto"/>
        <w:contextualSpacing/>
        <w:jc w:val="both"/>
        <w:rPr>
          <w:rFonts w:ascii="Arial" w:eastAsia="Calibri" w:hAnsi="Arial" w:cs="Arial"/>
          <w:lang w:val="es-ES"/>
        </w:rPr>
      </w:pPr>
      <w:r w:rsidRPr="006312E8">
        <w:rPr>
          <w:rFonts w:ascii="Arial" w:eastAsia="Calibri" w:hAnsi="Arial" w:cs="Arial"/>
          <w:lang w:val="es-ES"/>
        </w:rPr>
        <w:t>Impulsar en el ámbito interno o ante la autoridad competente, las acciones recomendadas en el curso de las actividades de supervisión.</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9"/>
        </w:numPr>
        <w:spacing w:after="0" w:line="240" w:lineRule="auto"/>
        <w:contextualSpacing/>
        <w:jc w:val="both"/>
        <w:rPr>
          <w:rFonts w:ascii="Arial" w:eastAsia="Calibri" w:hAnsi="Arial" w:cs="Arial"/>
          <w:lang w:val="es-ES"/>
        </w:rPr>
      </w:pPr>
      <w:r w:rsidRPr="006312E8">
        <w:rPr>
          <w:rFonts w:ascii="Arial" w:eastAsia="Calibri" w:hAnsi="Arial" w:cs="Arial"/>
          <w:lang w:val="es-ES"/>
        </w:rPr>
        <w:t>Comunicar a la Procuraduría Pública los conflictos que surjan como consecuencia del ejercicio de las funciones y atribuciones de la SBN, para la defensa de sus intereses.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9"/>
        </w:numPr>
        <w:spacing w:after="0" w:line="240" w:lineRule="auto"/>
        <w:contextualSpacing/>
        <w:jc w:val="both"/>
        <w:rPr>
          <w:rFonts w:ascii="Arial" w:eastAsia="Calibri" w:hAnsi="Arial" w:cs="Arial"/>
          <w:lang w:val="es-ES"/>
        </w:rPr>
      </w:pPr>
      <w:r w:rsidRPr="006312E8">
        <w:rPr>
          <w:rFonts w:ascii="Arial" w:eastAsia="Calibri" w:hAnsi="Arial" w:cs="Arial"/>
          <w:lang w:val="es-ES"/>
        </w:rPr>
        <w:t>Comunicar al Superintendente Nacional de Bienes Estatales el resultado de las acciones de supervisión.</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9"/>
        </w:numPr>
        <w:spacing w:after="0" w:line="240" w:lineRule="auto"/>
        <w:contextualSpacing/>
        <w:jc w:val="both"/>
        <w:rPr>
          <w:rFonts w:ascii="Arial" w:eastAsia="Calibri" w:hAnsi="Arial" w:cs="Arial"/>
          <w:lang w:val="es-ES"/>
        </w:rPr>
      </w:pPr>
      <w:r w:rsidRPr="006312E8">
        <w:rPr>
          <w:rFonts w:ascii="Arial" w:eastAsia="Calibri" w:hAnsi="Arial" w:cs="Arial"/>
          <w:lang w:val="es-ES"/>
        </w:rPr>
        <w:t>Proponer el desarrollo de mecanismos que permitan el uso de instrumentos financieros basado en los activos del Estado.</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9"/>
        </w:numPr>
        <w:spacing w:after="0" w:line="240" w:lineRule="auto"/>
        <w:contextualSpacing/>
        <w:jc w:val="both"/>
        <w:rPr>
          <w:rFonts w:ascii="Arial" w:eastAsia="Calibri" w:hAnsi="Arial" w:cs="Arial"/>
          <w:lang w:val="es-ES"/>
        </w:rPr>
      </w:pPr>
      <w:r w:rsidRPr="006312E8">
        <w:rPr>
          <w:rFonts w:ascii="Arial" w:eastAsia="Calibri" w:hAnsi="Arial" w:cs="Arial"/>
          <w:lang w:val="es-ES"/>
        </w:rPr>
        <w:t>Supervisar la incorporación y actualización de información al SINABIP.</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9"/>
        </w:numPr>
        <w:spacing w:after="0" w:line="240" w:lineRule="auto"/>
        <w:contextualSpacing/>
        <w:jc w:val="both"/>
        <w:rPr>
          <w:rFonts w:ascii="Arial" w:eastAsia="Calibri" w:hAnsi="Arial" w:cs="Arial"/>
          <w:lang w:val="es-ES"/>
        </w:rPr>
      </w:pPr>
      <w:r w:rsidRPr="006312E8">
        <w:rPr>
          <w:rFonts w:ascii="Arial" w:eastAsia="Calibri" w:hAnsi="Arial" w:cs="Arial"/>
          <w:lang w:val="es-ES"/>
        </w:rPr>
        <w:t>Emitir resoluciones en materias de su competencia.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99"/>
        </w:numPr>
        <w:spacing w:after="0" w:line="240" w:lineRule="auto"/>
        <w:contextualSpacing/>
        <w:jc w:val="both"/>
        <w:rPr>
          <w:rFonts w:ascii="Arial" w:eastAsia="Calibri" w:hAnsi="Arial" w:cs="Arial"/>
          <w:lang w:val="es-ES"/>
        </w:rPr>
      </w:pPr>
      <w:r w:rsidRPr="006312E8">
        <w:rPr>
          <w:rFonts w:ascii="Arial" w:eastAsia="Calibri" w:hAnsi="Arial" w:cs="Arial"/>
          <w:lang w:val="es-ES"/>
        </w:rPr>
        <w:t>Las demás que le correspondan de acuerdo a la normatividad vigente y/o le sean asignadas por la autoridad superior.</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42.- Subdirecciones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Dirección de Gestión del Patrimonio Estatal, para el cumplimiento de sus funciones, cuenta con las siguientes subdirecciones: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241D1D">
      <w:pPr>
        <w:numPr>
          <w:ilvl w:val="0"/>
          <w:numId w:val="79"/>
        </w:numPr>
        <w:spacing w:after="0" w:line="240" w:lineRule="auto"/>
        <w:contextualSpacing/>
        <w:jc w:val="both"/>
        <w:rPr>
          <w:rFonts w:ascii="Arial" w:eastAsia="Calibri" w:hAnsi="Arial" w:cs="Arial"/>
          <w:lang w:val="es-ES"/>
        </w:rPr>
      </w:pPr>
      <w:r w:rsidRPr="006312E8">
        <w:rPr>
          <w:rFonts w:ascii="Arial" w:eastAsia="Calibri" w:hAnsi="Arial" w:cs="Arial"/>
          <w:lang w:val="es-ES"/>
        </w:rPr>
        <w:t>Subdirección de Administración del Patrimonio Estatal.</w:t>
      </w:r>
    </w:p>
    <w:p w:rsidR="006312E8" w:rsidRPr="006312E8" w:rsidRDefault="006312E8" w:rsidP="00241D1D">
      <w:pPr>
        <w:numPr>
          <w:ilvl w:val="0"/>
          <w:numId w:val="79"/>
        </w:numPr>
        <w:spacing w:after="0" w:line="240" w:lineRule="auto"/>
        <w:contextualSpacing/>
        <w:jc w:val="both"/>
        <w:rPr>
          <w:rFonts w:ascii="Arial" w:eastAsia="Calibri" w:hAnsi="Arial" w:cs="Arial"/>
          <w:lang w:val="es-ES"/>
        </w:rPr>
      </w:pPr>
      <w:r w:rsidRPr="006312E8">
        <w:rPr>
          <w:rFonts w:ascii="Arial" w:eastAsia="Calibri" w:hAnsi="Arial" w:cs="Arial"/>
          <w:lang w:val="es-ES"/>
        </w:rPr>
        <w:t>Subdirección de Supervisión.</w:t>
      </w:r>
    </w:p>
    <w:p w:rsidR="006312E8" w:rsidRPr="006312E8" w:rsidRDefault="006312E8" w:rsidP="00241D1D">
      <w:pPr>
        <w:numPr>
          <w:ilvl w:val="0"/>
          <w:numId w:val="79"/>
        </w:numPr>
        <w:spacing w:after="0" w:line="240" w:lineRule="auto"/>
        <w:contextualSpacing/>
        <w:jc w:val="both"/>
        <w:rPr>
          <w:rFonts w:ascii="Arial" w:eastAsia="Calibri" w:hAnsi="Arial" w:cs="Arial"/>
          <w:lang w:val="es-ES"/>
        </w:rPr>
      </w:pPr>
      <w:r w:rsidRPr="006312E8">
        <w:rPr>
          <w:rFonts w:ascii="Arial" w:eastAsia="Calibri" w:hAnsi="Arial" w:cs="Arial"/>
          <w:lang w:val="es-ES"/>
        </w:rPr>
        <w:t>Subdirección de Desarrollo Inmobiliario.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43.- Subdirección de Administración del Patrimonio Estatal</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Subdirección de Administración del Patrimonio Estatal es la encargada de sustentar y aprobar los actos de adquisición y administración de los bienes estatales bajo competencia de la SBN, procurando una eficiente gestión de éstos, racionalizando su uso y optimizando su valor.</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Esta área depende jerárquicamente de la Dirección de Gestión del Patrimonio Estatal.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44.- Funciones Específicas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Son funciones específicas de la Subdirección de Administración del Patrimonio Estatal: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241D1D">
      <w:pPr>
        <w:numPr>
          <w:ilvl w:val="0"/>
          <w:numId w:val="100"/>
        </w:numPr>
        <w:spacing w:after="0" w:line="240" w:lineRule="auto"/>
        <w:contextualSpacing/>
        <w:jc w:val="both"/>
        <w:rPr>
          <w:rFonts w:ascii="Arial" w:eastAsia="Calibri" w:hAnsi="Arial" w:cs="Arial"/>
          <w:lang w:val="es-ES"/>
        </w:rPr>
      </w:pPr>
      <w:r w:rsidRPr="006312E8">
        <w:rPr>
          <w:rFonts w:ascii="Arial" w:eastAsia="Calibri" w:hAnsi="Arial" w:cs="Arial"/>
          <w:lang w:val="es-ES"/>
        </w:rPr>
        <w:t>Sustentar y aprobar los actos de adquisición y administración de los bienes estatales bajo competencia de la SBN.</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241D1D">
      <w:pPr>
        <w:numPr>
          <w:ilvl w:val="0"/>
          <w:numId w:val="100"/>
        </w:numPr>
        <w:spacing w:after="0" w:line="240" w:lineRule="auto"/>
        <w:contextualSpacing/>
        <w:jc w:val="both"/>
        <w:rPr>
          <w:rFonts w:ascii="Arial" w:eastAsia="Calibri" w:hAnsi="Arial" w:cs="Arial"/>
          <w:lang w:val="es-ES"/>
        </w:rPr>
      </w:pPr>
      <w:r w:rsidRPr="006312E8">
        <w:rPr>
          <w:rFonts w:ascii="Arial" w:eastAsia="Calibri" w:hAnsi="Arial" w:cs="Arial"/>
          <w:lang w:val="es-ES"/>
        </w:rPr>
        <w:t>Realizar el diagnóstico y/o saneamiento técnico - legal de la propiedad inmobiliaria estatal, así como de la propiedad de las Entidades que lo soliciten, previa suscripción del Convenio respectivo.</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100"/>
        </w:numPr>
        <w:spacing w:after="0" w:line="240" w:lineRule="auto"/>
        <w:contextualSpacing/>
        <w:jc w:val="both"/>
        <w:rPr>
          <w:rFonts w:ascii="Arial" w:eastAsia="Calibri" w:hAnsi="Arial" w:cs="Arial"/>
          <w:lang w:val="es-ES"/>
        </w:rPr>
      </w:pPr>
      <w:r w:rsidRPr="006312E8">
        <w:rPr>
          <w:rFonts w:ascii="Arial" w:eastAsia="Calibri" w:hAnsi="Arial" w:cs="Arial"/>
          <w:lang w:val="es-ES"/>
        </w:rPr>
        <w:t>Aprobar la extinción de los actos de administración de los predios estatales bajo competencia de la SBN.</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100"/>
        </w:numPr>
        <w:spacing w:after="0" w:line="240" w:lineRule="auto"/>
        <w:contextualSpacing/>
        <w:jc w:val="both"/>
        <w:rPr>
          <w:rFonts w:ascii="Arial" w:eastAsia="Calibri" w:hAnsi="Arial" w:cs="Arial"/>
          <w:lang w:val="es-ES"/>
        </w:rPr>
      </w:pPr>
      <w:r w:rsidRPr="006312E8">
        <w:rPr>
          <w:rFonts w:ascii="Arial" w:eastAsia="Calibri" w:hAnsi="Arial" w:cs="Arial"/>
          <w:lang w:val="es-ES"/>
        </w:rPr>
        <w:t>Aprobar la formalización de la reversión de los terrenos eriazos conforme a las normas de la materia.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100"/>
        </w:numPr>
        <w:spacing w:after="0" w:line="240" w:lineRule="auto"/>
        <w:contextualSpacing/>
        <w:jc w:val="both"/>
        <w:rPr>
          <w:rFonts w:ascii="Arial" w:eastAsia="Calibri" w:hAnsi="Arial" w:cs="Arial"/>
          <w:lang w:val="es-ES"/>
        </w:rPr>
      </w:pPr>
      <w:r w:rsidRPr="006312E8">
        <w:rPr>
          <w:rFonts w:ascii="Arial" w:eastAsia="Calibri" w:hAnsi="Arial" w:cs="Arial"/>
          <w:lang w:val="es-ES"/>
        </w:rPr>
        <w:t>Aprobar la inscripción de dominio a favor del Estado de los lotes que el Organismo de Formalización de la Propiedad Informal - COFOPRI hubiere afectado en uso.</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100"/>
        </w:numPr>
        <w:spacing w:after="0" w:line="240" w:lineRule="auto"/>
        <w:contextualSpacing/>
        <w:jc w:val="both"/>
        <w:rPr>
          <w:rFonts w:ascii="Arial" w:eastAsia="Calibri" w:hAnsi="Arial" w:cs="Arial"/>
          <w:lang w:val="es-ES"/>
        </w:rPr>
      </w:pPr>
      <w:r w:rsidRPr="006312E8">
        <w:rPr>
          <w:rFonts w:ascii="Arial" w:eastAsia="Calibri" w:hAnsi="Arial" w:cs="Arial"/>
          <w:lang w:val="es-ES"/>
        </w:rPr>
        <w:t>Tramitar la inscripción de los actos administrativos de su competencia ante la Superintendencia Nacional de los Registros Públicos.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100"/>
        </w:numPr>
        <w:spacing w:after="0" w:line="240" w:lineRule="auto"/>
        <w:contextualSpacing/>
        <w:jc w:val="both"/>
        <w:rPr>
          <w:rFonts w:ascii="Arial" w:eastAsia="Calibri" w:hAnsi="Arial" w:cs="Arial"/>
          <w:lang w:val="es-ES"/>
        </w:rPr>
      </w:pPr>
      <w:r w:rsidRPr="006312E8">
        <w:rPr>
          <w:rFonts w:ascii="Arial" w:eastAsia="Calibri" w:hAnsi="Arial" w:cs="Arial"/>
          <w:lang w:val="es-ES"/>
        </w:rPr>
        <w:t>Constituir servidumbres, cargas, gravámenes y demás derechos reales conforme a Ley, así como disponer su levantamiento.</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100"/>
        </w:numPr>
        <w:spacing w:after="0" w:line="240" w:lineRule="auto"/>
        <w:contextualSpacing/>
        <w:jc w:val="both"/>
        <w:rPr>
          <w:rFonts w:ascii="Arial" w:eastAsia="Calibri" w:hAnsi="Arial" w:cs="Arial"/>
          <w:lang w:val="es-ES"/>
        </w:rPr>
      </w:pPr>
      <w:r w:rsidRPr="006312E8">
        <w:rPr>
          <w:rFonts w:ascii="Arial" w:eastAsia="Calibri" w:hAnsi="Arial" w:cs="Arial"/>
          <w:lang w:val="es-ES"/>
        </w:rPr>
        <w:t>Proyectar los contratos y documentos referidos a los actos de adquisición y administración de la propiedad estatal, cuando corresponda.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100"/>
        </w:numPr>
        <w:spacing w:after="0" w:line="240" w:lineRule="auto"/>
        <w:contextualSpacing/>
        <w:jc w:val="both"/>
        <w:rPr>
          <w:rFonts w:ascii="Arial" w:eastAsia="Calibri" w:hAnsi="Arial" w:cs="Arial"/>
          <w:lang w:val="es-ES"/>
        </w:rPr>
      </w:pPr>
      <w:r w:rsidRPr="006312E8">
        <w:rPr>
          <w:rFonts w:ascii="Arial" w:eastAsia="Calibri" w:hAnsi="Arial" w:cs="Arial"/>
          <w:lang w:val="es-ES"/>
        </w:rPr>
        <w:t>Recibir y administrar los bienes decomisados y los recuperados en vía judicial o administrativa.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100"/>
        </w:numPr>
        <w:spacing w:after="0" w:line="240" w:lineRule="auto"/>
        <w:contextualSpacing/>
        <w:jc w:val="both"/>
        <w:rPr>
          <w:rFonts w:ascii="Arial" w:eastAsia="Calibri" w:hAnsi="Arial" w:cs="Arial"/>
          <w:lang w:val="es-ES"/>
        </w:rPr>
      </w:pPr>
      <w:r w:rsidRPr="006312E8">
        <w:rPr>
          <w:rFonts w:ascii="Arial" w:eastAsia="Calibri" w:hAnsi="Arial" w:cs="Arial"/>
          <w:lang w:val="es-ES"/>
        </w:rPr>
        <w:t>Recibir y custodiar los bienes puestos a disposición administrativa de la SBN.</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100"/>
        </w:numPr>
        <w:spacing w:after="0" w:line="240" w:lineRule="auto"/>
        <w:contextualSpacing/>
        <w:jc w:val="both"/>
        <w:rPr>
          <w:rFonts w:ascii="Arial" w:eastAsia="Calibri" w:hAnsi="Arial" w:cs="Arial"/>
          <w:lang w:val="es-ES"/>
        </w:rPr>
      </w:pPr>
      <w:r w:rsidRPr="006312E8">
        <w:rPr>
          <w:rFonts w:ascii="Arial" w:eastAsia="Calibri" w:hAnsi="Arial" w:cs="Arial"/>
          <w:lang w:val="es-ES"/>
        </w:rPr>
        <w:t>Intervenir en representación del Estado en las diligencias administrativas de deslinde y titulación de predios, así como en los procedimientos de prescripción adquisitiva de dominio y títulos supletorios notariales de predios del Estado.</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100"/>
        </w:numPr>
        <w:spacing w:after="0" w:line="240" w:lineRule="auto"/>
        <w:contextualSpacing/>
        <w:jc w:val="both"/>
        <w:rPr>
          <w:rFonts w:ascii="Arial" w:eastAsia="Calibri" w:hAnsi="Arial" w:cs="Arial"/>
          <w:lang w:val="es-ES"/>
        </w:rPr>
      </w:pPr>
      <w:r w:rsidRPr="006312E8">
        <w:rPr>
          <w:rFonts w:ascii="Arial" w:eastAsia="Calibri" w:hAnsi="Arial" w:cs="Arial"/>
          <w:lang w:val="es-ES"/>
        </w:rPr>
        <w:t>Suscribir, cuando corresponda, Actas de Entrega - Recepción Provisional de bienes de propiedad estatal, así como de bienes entregados en custodia.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100"/>
        </w:numPr>
        <w:spacing w:after="0" w:line="240" w:lineRule="auto"/>
        <w:contextualSpacing/>
        <w:jc w:val="both"/>
        <w:rPr>
          <w:rFonts w:ascii="Arial" w:eastAsia="Calibri" w:hAnsi="Arial" w:cs="Arial"/>
          <w:lang w:val="es-ES"/>
        </w:rPr>
      </w:pPr>
      <w:r w:rsidRPr="006312E8">
        <w:rPr>
          <w:rFonts w:ascii="Arial" w:eastAsia="Calibri" w:hAnsi="Arial" w:cs="Arial"/>
          <w:lang w:val="es-ES"/>
        </w:rPr>
        <w:t>Efectuar procedimientos administrativos ante Municipalidades y empresas de servicios, respecto de la adquisición o recuperación del dominio y/o administración de los bienes de propiedad estatal.</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100"/>
        </w:numPr>
        <w:spacing w:after="0" w:line="240" w:lineRule="auto"/>
        <w:contextualSpacing/>
        <w:jc w:val="both"/>
        <w:rPr>
          <w:rFonts w:ascii="Arial" w:eastAsia="Calibri" w:hAnsi="Arial" w:cs="Arial"/>
          <w:lang w:val="es-ES"/>
        </w:rPr>
      </w:pPr>
      <w:r w:rsidRPr="006312E8">
        <w:rPr>
          <w:rFonts w:ascii="Arial" w:eastAsia="Calibri" w:hAnsi="Arial" w:cs="Arial"/>
          <w:lang w:val="es-ES"/>
        </w:rPr>
        <w:t>Identificar los bienes estatales de carácter y alcance nacional.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1134" w:hanging="425"/>
        <w:jc w:val="both"/>
        <w:rPr>
          <w:rFonts w:ascii="Arial" w:eastAsia="Calibri" w:hAnsi="Arial" w:cs="Arial"/>
          <w:lang w:val="es-ES"/>
        </w:rPr>
      </w:pPr>
      <w:r w:rsidRPr="006312E8">
        <w:rPr>
          <w:rFonts w:ascii="Arial" w:eastAsia="Calibri" w:hAnsi="Arial" w:cs="Arial"/>
          <w:lang w:val="es-ES"/>
        </w:rPr>
        <w:t xml:space="preserve">ñ) </w:t>
      </w:r>
      <w:r w:rsidRPr="006312E8">
        <w:rPr>
          <w:rFonts w:ascii="Arial" w:eastAsia="Calibri" w:hAnsi="Arial" w:cs="Arial"/>
          <w:lang w:val="es-ES"/>
        </w:rPr>
        <w:tab/>
        <w:t>Asesorar y/o absolver consultas técnico - legales formuladas por la Dirección de Gestión del Patrimonio Estatal sobre expedientes administrativos en trámite.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241D1D">
      <w:pPr>
        <w:numPr>
          <w:ilvl w:val="0"/>
          <w:numId w:val="100"/>
        </w:numPr>
        <w:spacing w:after="0" w:line="240" w:lineRule="auto"/>
        <w:contextualSpacing/>
        <w:jc w:val="both"/>
        <w:rPr>
          <w:rFonts w:ascii="Arial" w:eastAsia="Calibri" w:hAnsi="Arial" w:cs="Arial"/>
          <w:lang w:val="es-ES"/>
        </w:rPr>
      </w:pPr>
      <w:r w:rsidRPr="006312E8">
        <w:rPr>
          <w:rFonts w:ascii="Arial" w:eastAsia="Calibri" w:hAnsi="Arial" w:cs="Arial"/>
          <w:lang w:val="es-ES"/>
        </w:rPr>
        <w:t>Registrar y actualizar en el SINABIP, la información obtenida en el ejercicio de las funciones de su competencia, remitiendo la documentación que la sustenta al área competente.</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241D1D">
      <w:pPr>
        <w:numPr>
          <w:ilvl w:val="0"/>
          <w:numId w:val="100"/>
        </w:numPr>
        <w:spacing w:after="0" w:line="240" w:lineRule="auto"/>
        <w:contextualSpacing/>
        <w:jc w:val="both"/>
        <w:rPr>
          <w:rFonts w:ascii="Arial" w:eastAsia="Calibri" w:hAnsi="Arial" w:cs="Arial"/>
          <w:lang w:val="es-ES"/>
        </w:rPr>
      </w:pPr>
      <w:r w:rsidRPr="006312E8">
        <w:rPr>
          <w:rFonts w:ascii="Arial" w:eastAsia="Calibri" w:hAnsi="Arial" w:cs="Arial"/>
          <w:lang w:val="es-ES"/>
        </w:rPr>
        <w:t>Emitir Resoluciones en materias de su competencia.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100"/>
        </w:numPr>
        <w:spacing w:after="0" w:line="240" w:lineRule="auto"/>
        <w:contextualSpacing/>
        <w:jc w:val="both"/>
        <w:rPr>
          <w:rFonts w:ascii="Arial" w:eastAsia="Calibri" w:hAnsi="Arial" w:cs="Arial"/>
          <w:lang w:val="es-ES"/>
        </w:rPr>
      </w:pPr>
      <w:r w:rsidRPr="006312E8">
        <w:rPr>
          <w:rFonts w:ascii="Arial" w:eastAsia="Calibri" w:hAnsi="Arial" w:cs="Arial"/>
          <w:lang w:val="es-ES"/>
        </w:rPr>
        <w:t>Mantener informado al Director de Gestión del Patrimonio Estatal sobre el cumplimiento de las acciones ejecutadas.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100"/>
        </w:numPr>
        <w:spacing w:after="0" w:line="240" w:lineRule="auto"/>
        <w:contextualSpacing/>
        <w:jc w:val="both"/>
        <w:rPr>
          <w:rFonts w:ascii="Arial" w:eastAsia="Calibri" w:hAnsi="Arial" w:cs="Arial"/>
          <w:lang w:val="es-ES"/>
        </w:rPr>
      </w:pPr>
      <w:r w:rsidRPr="006312E8">
        <w:rPr>
          <w:rFonts w:ascii="Arial" w:eastAsia="Calibri" w:hAnsi="Arial" w:cs="Arial"/>
          <w:lang w:val="es-ES"/>
        </w:rPr>
        <w:t>Las demás que le correspondan de acuerdo a la normatividad vigente y/o le sean asignadas por la autoridad superior.</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45.- Subdirección de Supervisión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Subdirección de Supervisión es la encargada de programar y ejecutar los procesos de supervisión sobre los bienes muebles e inmuebles estatales y de los actos que recaen sobre éstos, así como respecto del cumplimiento del debido procedimiento que ejecuten las Entidades para la adecuada administración de dichos bienes de acuerdo a la normatividad vigente.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Esta Área depende jerárquicamente de la Dirección de Gestión del Patrimonio Estatal.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46.- Funciones Específicas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Son funciones específicas de la Subdirección de Supervisión: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241D1D">
      <w:pPr>
        <w:numPr>
          <w:ilvl w:val="0"/>
          <w:numId w:val="101"/>
        </w:numPr>
        <w:spacing w:after="0" w:line="240" w:lineRule="auto"/>
        <w:contextualSpacing/>
        <w:jc w:val="both"/>
        <w:rPr>
          <w:rFonts w:ascii="Arial" w:eastAsia="Calibri" w:hAnsi="Arial" w:cs="Arial"/>
          <w:lang w:val="es-ES"/>
        </w:rPr>
      </w:pPr>
      <w:r w:rsidRPr="006312E8">
        <w:rPr>
          <w:rFonts w:ascii="Arial" w:eastAsia="Calibri" w:hAnsi="Arial" w:cs="Arial"/>
          <w:lang w:val="es-ES"/>
        </w:rPr>
        <w:t>Elaborar, proponer y ejecutar el Plan de Supervisión.</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241D1D">
      <w:pPr>
        <w:numPr>
          <w:ilvl w:val="0"/>
          <w:numId w:val="101"/>
        </w:numPr>
        <w:spacing w:after="0" w:line="240" w:lineRule="auto"/>
        <w:contextualSpacing/>
        <w:jc w:val="both"/>
        <w:rPr>
          <w:rFonts w:ascii="Arial" w:eastAsia="Calibri" w:hAnsi="Arial" w:cs="Arial"/>
          <w:lang w:val="es-ES"/>
        </w:rPr>
      </w:pPr>
      <w:r w:rsidRPr="006312E8">
        <w:rPr>
          <w:rFonts w:ascii="Arial" w:eastAsia="Calibri" w:hAnsi="Arial" w:cs="Arial"/>
          <w:lang w:val="es-ES"/>
        </w:rPr>
        <w:t>Supervisar el cumplimiento de los actos y procedimientos efectuados por las Entidades sobre los actos de adquisición, administración, disposición y registro de los bienes estatales, recomendando las acciones correctivas y/o que se ponga en conocimiento de las instancias que correspondan para la aplicación de las sanciones pertinentes.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101"/>
        </w:numPr>
        <w:spacing w:after="0" w:line="240" w:lineRule="auto"/>
        <w:contextualSpacing/>
        <w:jc w:val="both"/>
        <w:rPr>
          <w:rFonts w:ascii="Arial" w:eastAsia="Calibri" w:hAnsi="Arial" w:cs="Arial"/>
          <w:lang w:val="es-ES"/>
        </w:rPr>
      </w:pPr>
      <w:r w:rsidRPr="006312E8">
        <w:rPr>
          <w:rFonts w:ascii="Arial" w:eastAsia="Calibri" w:hAnsi="Arial" w:cs="Arial"/>
          <w:lang w:val="es-ES"/>
        </w:rPr>
        <w:t>Supervisar las acciones de cautela y defensa de los bienes estatales por parte de las Entidades.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101"/>
        </w:numPr>
        <w:spacing w:after="0" w:line="240" w:lineRule="auto"/>
        <w:contextualSpacing/>
        <w:jc w:val="both"/>
        <w:rPr>
          <w:rFonts w:ascii="Arial" w:eastAsia="Calibri" w:hAnsi="Arial" w:cs="Arial"/>
          <w:lang w:val="es-ES"/>
        </w:rPr>
      </w:pPr>
      <w:r w:rsidRPr="006312E8">
        <w:rPr>
          <w:rFonts w:ascii="Arial" w:eastAsia="Calibri" w:hAnsi="Arial" w:cs="Arial"/>
          <w:lang w:val="es-ES"/>
        </w:rPr>
        <w:t>Apoyar a las Entidades en la identificación de la situación técnico - legal de los bienes inmuebles bajo su competencia, supervisando el oportuno y correcto cumplimiento de dichas acciones de acuerdo a la normatividad vigente.</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101"/>
        </w:numPr>
        <w:spacing w:after="0" w:line="240" w:lineRule="auto"/>
        <w:contextualSpacing/>
        <w:jc w:val="both"/>
        <w:rPr>
          <w:rFonts w:ascii="Arial" w:eastAsia="Calibri" w:hAnsi="Arial" w:cs="Arial"/>
          <w:lang w:val="es-ES"/>
        </w:rPr>
      </w:pPr>
      <w:r w:rsidRPr="006312E8">
        <w:rPr>
          <w:rFonts w:ascii="Arial" w:eastAsia="Calibri" w:hAnsi="Arial" w:cs="Arial"/>
          <w:lang w:val="es-ES"/>
        </w:rPr>
        <w:t>Supervisar el cumplimiento de los actos y contratos aprobados o suscritos por la SBN respecto de los bienes de propiedad estatal.</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101"/>
        </w:numPr>
        <w:spacing w:after="0" w:line="240" w:lineRule="auto"/>
        <w:contextualSpacing/>
        <w:jc w:val="both"/>
        <w:rPr>
          <w:rFonts w:ascii="Arial" w:eastAsia="Calibri" w:hAnsi="Arial" w:cs="Arial"/>
          <w:lang w:val="es-ES"/>
        </w:rPr>
      </w:pPr>
      <w:r w:rsidRPr="006312E8">
        <w:rPr>
          <w:rFonts w:ascii="Arial" w:eastAsia="Calibri" w:hAnsi="Arial" w:cs="Arial"/>
          <w:lang w:val="es-ES"/>
        </w:rPr>
        <w:t>Supervisar los actos y procedimientos que efectúan las Entidades respecto de los bienes incautados.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101"/>
        </w:numPr>
        <w:spacing w:after="0" w:line="240" w:lineRule="auto"/>
        <w:contextualSpacing/>
        <w:jc w:val="both"/>
        <w:rPr>
          <w:rFonts w:ascii="Arial" w:eastAsia="Calibri" w:hAnsi="Arial" w:cs="Arial"/>
          <w:lang w:val="es-ES"/>
        </w:rPr>
      </w:pPr>
      <w:r w:rsidRPr="006312E8">
        <w:rPr>
          <w:rFonts w:ascii="Arial" w:eastAsia="Calibri" w:hAnsi="Arial" w:cs="Arial"/>
          <w:lang w:val="es-ES"/>
        </w:rPr>
        <w:t>Recepcionar el Inventario Mobiliario Institucional que conjuntamente con el Informe Final de Inventario y el Acta de Conciliación deben remitir las entidades, para la supervisión correspondiente conforme al plan.</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101"/>
        </w:numPr>
        <w:spacing w:after="0" w:line="240" w:lineRule="auto"/>
        <w:contextualSpacing/>
        <w:jc w:val="both"/>
        <w:rPr>
          <w:rFonts w:ascii="Arial" w:eastAsia="Calibri" w:hAnsi="Arial" w:cs="Arial"/>
          <w:lang w:val="es-ES"/>
        </w:rPr>
      </w:pPr>
      <w:r w:rsidRPr="006312E8">
        <w:rPr>
          <w:rFonts w:ascii="Arial" w:eastAsia="Calibri" w:hAnsi="Arial" w:cs="Arial"/>
          <w:lang w:val="es-ES"/>
        </w:rPr>
        <w:t>Programar y ejecutar, cuando corresponda, las inspecciones técnicas de los bienes estatales en las Entidades.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101"/>
        </w:numPr>
        <w:spacing w:after="0" w:line="240" w:lineRule="auto"/>
        <w:contextualSpacing/>
        <w:jc w:val="both"/>
        <w:rPr>
          <w:rFonts w:ascii="Arial" w:eastAsia="Calibri" w:hAnsi="Arial" w:cs="Arial"/>
          <w:lang w:val="es-ES"/>
        </w:rPr>
      </w:pPr>
      <w:r w:rsidRPr="006312E8">
        <w:rPr>
          <w:rFonts w:ascii="Arial" w:eastAsia="Calibri" w:hAnsi="Arial" w:cs="Arial"/>
          <w:lang w:val="es-ES"/>
        </w:rPr>
        <w:t>Velar por que las Entidades adopten mecanismos para la administración y control de sus bienes y de aquellos que se encuentran bajo su competencia.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101"/>
        </w:numPr>
        <w:spacing w:after="0" w:line="240" w:lineRule="auto"/>
        <w:contextualSpacing/>
        <w:jc w:val="both"/>
        <w:rPr>
          <w:rFonts w:ascii="Arial" w:eastAsia="Calibri" w:hAnsi="Arial" w:cs="Arial"/>
          <w:lang w:val="es-ES"/>
        </w:rPr>
      </w:pPr>
      <w:r w:rsidRPr="006312E8">
        <w:rPr>
          <w:rFonts w:ascii="Arial" w:eastAsia="Calibri" w:hAnsi="Arial" w:cs="Arial"/>
          <w:lang w:val="es-ES"/>
        </w:rPr>
        <w:t>Cautelar el uso y administración de los bienes estatales bajo competencia de la SBN.</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101"/>
        </w:numPr>
        <w:spacing w:after="0" w:line="240" w:lineRule="auto"/>
        <w:contextualSpacing/>
        <w:jc w:val="both"/>
        <w:rPr>
          <w:rFonts w:ascii="Arial" w:eastAsia="Calibri" w:hAnsi="Arial" w:cs="Arial"/>
          <w:lang w:val="es-ES"/>
        </w:rPr>
      </w:pPr>
      <w:r w:rsidRPr="006312E8">
        <w:rPr>
          <w:rFonts w:ascii="Arial" w:eastAsia="Calibri" w:hAnsi="Arial" w:cs="Arial"/>
          <w:lang w:val="es-ES"/>
        </w:rPr>
        <w:t>Supervisar el oportuno registro de información en el SINABIP por las Entidades.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101"/>
        </w:numPr>
        <w:spacing w:after="0" w:line="240" w:lineRule="auto"/>
        <w:contextualSpacing/>
        <w:jc w:val="both"/>
        <w:rPr>
          <w:rFonts w:ascii="Arial" w:eastAsia="Calibri" w:hAnsi="Arial" w:cs="Arial"/>
          <w:lang w:val="es-ES"/>
        </w:rPr>
      </w:pPr>
      <w:r w:rsidRPr="006312E8">
        <w:rPr>
          <w:rFonts w:ascii="Arial" w:eastAsia="Calibri" w:hAnsi="Arial" w:cs="Arial"/>
          <w:lang w:val="es-ES"/>
        </w:rPr>
        <w:t>Registrar y actualizar en el SINABIP la información obtenida en el ejercicio de sus funciones, remitiendo la documentación que la sustenta al área competente.</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101"/>
        </w:numPr>
        <w:spacing w:after="0" w:line="240" w:lineRule="auto"/>
        <w:contextualSpacing/>
        <w:jc w:val="both"/>
        <w:rPr>
          <w:rFonts w:ascii="Arial" w:eastAsia="Calibri" w:hAnsi="Arial" w:cs="Arial"/>
          <w:lang w:val="es-ES"/>
        </w:rPr>
      </w:pPr>
      <w:r w:rsidRPr="006312E8">
        <w:rPr>
          <w:rFonts w:ascii="Arial" w:eastAsia="Calibri" w:hAnsi="Arial" w:cs="Arial"/>
          <w:lang w:val="es-ES"/>
        </w:rPr>
        <w:t>Verificar el cumplimiento de la finalidad asignada a los bienes estatales, comunicando el incumplimiento a las áreas competentes de la SBN y/o de la Entidad respectiva para las acciones a que hubiere lugar.</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101"/>
        </w:numPr>
        <w:spacing w:after="0" w:line="240" w:lineRule="auto"/>
        <w:contextualSpacing/>
        <w:jc w:val="both"/>
        <w:rPr>
          <w:rFonts w:ascii="Arial" w:eastAsia="Calibri" w:hAnsi="Arial" w:cs="Arial"/>
          <w:lang w:val="es-ES"/>
        </w:rPr>
      </w:pPr>
      <w:r w:rsidRPr="006312E8">
        <w:rPr>
          <w:rFonts w:ascii="Arial" w:eastAsia="Calibri" w:hAnsi="Arial" w:cs="Arial"/>
          <w:lang w:val="es-ES"/>
        </w:rPr>
        <w:t>Requerir información a las Entidades y particulares que ejerzan o hayan ejercido algún derecho sobre bienes estatales.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ind w:left="1134" w:hanging="425"/>
        <w:jc w:val="both"/>
        <w:rPr>
          <w:rFonts w:ascii="Arial" w:eastAsia="Calibri" w:hAnsi="Arial" w:cs="Arial"/>
          <w:lang w:val="es-ES"/>
        </w:rPr>
      </w:pPr>
      <w:r w:rsidRPr="006312E8">
        <w:rPr>
          <w:rFonts w:ascii="Arial" w:eastAsia="Calibri" w:hAnsi="Arial" w:cs="Arial"/>
          <w:lang w:val="es-ES"/>
        </w:rPr>
        <w:t xml:space="preserve">ñ) </w:t>
      </w:r>
      <w:r w:rsidRPr="006312E8">
        <w:rPr>
          <w:rFonts w:ascii="Arial" w:eastAsia="Calibri" w:hAnsi="Arial" w:cs="Arial"/>
          <w:lang w:val="es-ES"/>
        </w:rPr>
        <w:tab/>
        <w:t>Asesorar y/o absolver consultas técnico - legales formuladas por la Dirección de Gestión del Patrimonio Estatal sobre expedientes administrativos en trámite.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241D1D">
      <w:pPr>
        <w:numPr>
          <w:ilvl w:val="0"/>
          <w:numId w:val="101"/>
        </w:numPr>
        <w:spacing w:after="0" w:line="240" w:lineRule="auto"/>
        <w:contextualSpacing/>
        <w:jc w:val="both"/>
        <w:rPr>
          <w:rFonts w:ascii="Arial" w:eastAsia="Calibri" w:hAnsi="Arial" w:cs="Arial"/>
          <w:lang w:val="es-ES"/>
        </w:rPr>
      </w:pPr>
      <w:r w:rsidRPr="006312E8">
        <w:rPr>
          <w:rFonts w:ascii="Arial" w:eastAsia="Calibri" w:hAnsi="Arial" w:cs="Arial"/>
          <w:lang w:val="es-ES"/>
        </w:rPr>
        <w:t>Atender denuncias de la ciudadanía relacionadas con la administración de los bienes estatales.</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241D1D">
      <w:pPr>
        <w:numPr>
          <w:ilvl w:val="0"/>
          <w:numId w:val="101"/>
        </w:numPr>
        <w:spacing w:after="0" w:line="240" w:lineRule="auto"/>
        <w:contextualSpacing/>
        <w:jc w:val="both"/>
        <w:rPr>
          <w:rFonts w:ascii="Arial" w:eastAsia="Calibri" w:hAnsi="Arial" w:cs="Arial"/>
          <w:lang w:val="es-ES"/>
        </w:rPr>
      </w:pPr>
      <w:r w:rsidRPr="006312E8">
        <w:rPr>
          <w:rFonts w:ascii="Arial" w:eastAsia="Calibri" w:hAnsi="Arial" w:cs="Arial"/>
          <w:lang w:val="es-ES"/>
        </w:rPr>
        <w:t>Emitir resoluciones en materias de su competencia.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101"/>
        </w:numPr>
        <w:spacing w:after="0" w:line="240" w:lineRule="auto"/>
        <w:contextualSpacing/>
        <w:jc w:val="both"/>
        <w:rPr>
          <w:rFonts w:ascii="Arial" w:eastAsia="Calibri" w:hAnsi="Arial" w:cs="Arial"/>
          <w:lang w:val="es-ES"/>
        </w:rPr>
      </w:pPr>
      <w:r w:rsidRPr="006312E8">
        <w:rPr>
          <w:rFonts w:ascii="Arial" w:eastAsia="Calibri" w:hAnsi="Arial" w:cs="Arial"/>
          <w:lang w:val="es-ES"/>
        </w:rPr>
        <w:t>Mantener informado al Director de Gestión del Patrimonio Estatal sobre el cumplimiento de las acciones ejecutadas.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101"/>
        </w:numPr>
        <w:spacing w:after="0" w:line="240" w:lineRule="auto"/>
        <w:contextualSpacing/>
        <w:jc w:val="both"/>
        <w:rPr>
          <w:rFonts w:ascii="Arial" w:eastAsia="Calibri" w:hAnsi="Arial" w:cs="Arial"/>
          <w:lang w:val="es-ES"/>
        </w:rPr>
      </w:pPr>
      <w:r w:rsidRPr="006312E8">
        <w:rPr>
          <w:rFonts w:ascii="Arial" w:eastAsia="Calibri" w:hAnsi="Arial" w:cs="Arial"/>
          <w:lang w:val="es-ES"/>
        </w:rPr>
        <w:t>Las demás que le correspondan de acuerdo a la normatividad vigente y/o le sean asignadas por la autoridad superior.</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47.- Subdirección de Desarrollo Inmobiliario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Subdirección de Desarrollo Inmobiliario es la encargada de programar, aprobar y ejecutar los procesos operativos relacionados con los actos de disposición de los bienes estatales bajo la competencia de la SBN, procurando una eficiente gestión del portafolio inmobiliario y el desarrollo de mecanismos que incentiven la inversión pública y privada.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Esta Área depende jerárquicamente de la Dirección de Gestión del Patrimonio Estatal.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48.- Funciones Específicas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Son funciones específicas de la Subdirección de Desarrollo Inmobiliario: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241D1D">
      <w:pPr>
        <w:numPr>
          <w:ilvl w:val="0"/>
          <w:numId w:val="102"/>
        </w:numPr>
        <w:spacing w:after="0" w:line="240" w:lineRule="auto"/>
        <w:contextualSpacing/>
        <w:jc w:val="both"/>
        <w:rPr>
          <w:rFonts w:ascii="Arial" w:eastAsia="Calibri" w:hAnsi="Arial" w:cs="Arial"/>
          <w:lang w:val="es-ES"/>
        </w:rPr>
      </w:pPr>
      <w:r w:rsidRPr="006312E8">
        <w:rPr>
          <w:rFonts w:ascii="Arial" w:eastAsia="Calibri" w:hAnsi="Arial" w:cs="Arial"/>
          <w:lang w:val="es-ES"/>
        </w:rPr>
        <w:t>Sustentar y emitir los actos administrativos de disposición de bienes estatales que se encuentren bajo competencia y administración de la SBN, previa conformidad del Superintendente Nacional de Bienes Estatales en los actos de Venta y Permuta.</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241D1D">
      <w:pPr>
        <w:numPr>
          <w:ilvl w:val="0"/>
          <w:numId w:val="102"/>
        </w:numPr>
        <w:spacing w:after="0" w:line="240" w:lineRule="auto"/>
        <w:contextualSpacing/>
        <w:jc w:val="both"/>
        <w:rPr>
          <w:rFonts w:ascii="Arial" w:eastAsia="Calibri" w:hAnsi="Arial" w:cs="Arial"/>
          <w:lang w:val="es-ES"/>
        </w:rPr>
      </w:pPr>
      <w:r w:rsidRPr="006312E8">
        <w:rPr>
          <w:rFonts w:ascii="Arial" w:eastAsia="Calibri" w:hAnsi="Arial" w:cs="Arial"/>
          <w:lang w:val="es-ES"/>
        </w:rPr>
        <w:t>Ejecutar acciones tendentes al desarrollo del Portafolio Inmobiliario de los bienes estatales, procurando la maximización de su rentabilidad económica y social.</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102"/>
        </w:numPr>
        <w:spacing w:after="0" w:line="240" w:lineRule="auto"/>
        <w:contextualSpacing/>
        <w:jc w:val="both"/>
        <w:rPr>
          <w:rFonts w:ascii="Arial" w:eastAsia="Calibri" w:hAnsi="Arial" w:cs="Arial"/>
          <w:lang w:val="es-ES"/>
        </w:rPr>
      </w:pPr>
      <w:r w:rsidRPr="006312E8">
        <w:rPr>
          <w:rFonts w:ascii="Arial" w:eastAsia="Calibri" w:hAnsi="Arial" w:cs="Arial"/>
          <w:lang w:val="es-ES"/>
        </w:rPr>
        <w:t>Promover el saneamiento de la propiedad estatal por parte de las Entidades para incentivar la inversión pública y privada.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102"/>
        </w:numPr>
        <w:spacing w:after="0" w:line="240" w:lineRule="auto"/>
        <w:contextualSpacing/>
        <w:jc w:val="both"/>
        <w:rPr>
          <w:rFonts w:ascii="Arial" w:eastAsia="Calibri" w:hAnsi="Arial" w:cs="Arial"/>
          <w:lang w:val="es-ES"/>
        </w:rPr>
      </w:pPr>
      <w:r w:rsidRPr="006312E8">
        <w:rPr>
          <w:rFonts w:ascii="Arial" w:eastAsia="Calibri" w:hAnsi="Arial" w:cs="Arial"/>
          <w:lang w:val="es-ES"/>
        </w:rPr>
        <w:t>Disponer la reserva de bienes estatales identificados para proyectos de interés nacional.</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102"/>
        </w:numPr>
        <w:spacing w:after="0" w:line="240" w:lineRule="auto"/>
        <w:contextualSpacing/>
        <w:jc w:val="both"/>
        <w:rPr>
          <w:rFonts w:ascii="Arial" w:eastAsia="Calibri" w:hAnsi="Arial" w:cs="Arial"/>
          <w:lang w:val="es-ES"/>
        </w:rPr>
      </w:pPr>
      <w:r w:rsidRPr="006312E8">
        <w:rPr>
          <w:rFonts w:ascii="Arial" w:eastAsia="Calibri" w:hAnsi="Arial" w:cs="Arial"/>
          <w:lang w:val="es-ES"/>
        </w:rPr>
        <w:t>Recopilar, procesar y analizar la información relevante que contribuya a la toma de decisiones orientada a optimizar el uso y valor de los bienes estatales.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102"/>
        </w:numPr>
        <w:spacing w:after="0" w:line="240" w:lineRule="auto"/>
        <w:contextualSpacing/>
        <w:jc w:val="both"/>
        <w:rPr>
          <w:rFonts w:ascii="Arial" w:eastAsia="Calibri" w:hAnsi="Arial" w:cs="Arial"/>
          <w:lang w:val="es-ES"/>
        </w:rPr>
      </w:pPr>
      <w:r w:rsidRPr="006312E8">
        <w:rPr>
          <w:rFonts w:ascii="Arial" w:eastAsia="Calibri" w:hAnsi="Arial" w:cs="Arial"/>
          <w:lang w:val="es-ES"/>
        </w:rPr>
        <w:t>Aprobar la desafectación de bienes de dominio público al dominio privado del Estado.</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102"/>
        </w:numPr>
        <w:spacing w:after="0" w:line="240" w:lineRule="auto"/>
        <w:contextualSpacing/>
        <w:jc w:val="both"/>
        <w:rPr>
          <w:rFonts w:ascii="Arial" w:eastAsia="Calibri" w:hAnsi="Arial" w:cs="Arial"/>
          <w:lang w:val="es-ES"/>
        </w:rPr>
      </w:pPr>
      <w:r w:rsidRPr="006312E8">
        <w:rPr>
          <w:rFonts w:ascii="Arial" w:eastAsia="Calibri" w:hAnsi="Arial" w:cs="Arial"/>
          <w:lang w:val="es-ES"/>
        </w:rPr>
        <w:t>Declarar la desafectación de terrenos comprendidos dentro de la zona de dominio restringido.</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102"/>
        </w:numPr>
        <w:spacing w:after="0" w:line="240" w:lineRule="auto"/>
        <w:contextualSpacing/>
        <w:jc w:val="both"/>
        <w:rPr>
          <w:rFonts w:ascii="Arial" w:eastAsia="Calibri" w:hAnsi="Arial" w:cs="Arial"/>
          <w:lang w:val="es-ES"/>
        </w:rPr>
      </w:pPr>
      <w:r w:rsidRPr="006312E8">
        <w:rPr>
          <w:rFonts w:ascii="Arial" w:eastAsia="Calibri" w:hAnsi="Arial" w:cs="Arial"/>
          <w:lang w:val="es-ES"/>
        </w:rPr>
        <w:t>Elaborar los documentos que correspondan a los actos de su competencia.</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102"/>
        </w:numPr>
        <w:spacing w:after="0" w:line="240" w:lineRule="auto"/>
        <w:contextualSpacing/>
        <w:jc w:val="both"/>
        <w:rPr>
          <w:rFonts w:ascii="Arial" w:eastAsia="Calibri" w:hAnsi="Arial" w:cs="Arial"/>
          <w:lang w:val="es-ES"/>
        </w:rPr>
      </w:pPr>
      <w:r w:rsidRPr="006312E8">
        <w:rPr>
          <w:rFonts w:ascii="Arial" w:eastAsia="Calibri" w:hAnsi="Arial" w:cs="Arial"/>
          <w:lang w:val="es-ES"/>
        </w:rPr>
        <w:t>Proponer las acciones de racionalización para el uso eficiente de los bienes estatales.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102"/>
        </w:numPr>
        <w:spacing w:after="0" w:line="240" w:lineRule="auto"/>
        <w:contextualSpacing/>
        <w:jc w:val="both"/>
        <w:rPr>
          <w:rFonts w:ascii="Arial" w:eastAsia="Calibri" w:hAnsi="Arial" w:cs="Arial"/>
          <w:lang w:val="es-ES"/>
        </w:rPr>
      </w:pPr>
      <w:r w:rsidRPr="006312E8">
        <w:rPr>
          <w:rFonts w:ascii="Arial" w:eastAsia="Calibri" w:hAnsi="Arial" w:cs="Arial"/>
          <w:lang w:val="es-ES"/>
        </w:rPr>
        <w:t>Evaluar y emitir opinión técnica en los actos de disposición de predios de propiedad del Estado.</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102"/>
        </w:numPr>
        <w:spacing w:after="0" w:line="240" w:lineRule="auto"/>
        <w:contextualSpacing/>
        <w:jc w:val="both"/>
        <w:rPr>
          <w:rFonts w:ascii="Arial" w:eastAsia="Calibri" w:hAnsi="Arial" w:cs="Arial"/>
          <w:lang w:val="es-ES"/>
        </w:rPr>
      </w:pPr>
      <w:r w:rsidRPr="006312E8">
        <w:rPr>
          <w:rFonts w:ascii="Arial" w:eastAsia="Calibri" w:hAnsi="Arial" w:cs="Arial"/>
          <w:lang w:val="es-ES"/>
        </w:rPr>
        <w:t>Tramitar la inscripción de los actos administrativos de su competencia ante la Superintendencia Nacional de los Registros Públicos.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102"/>
        </w:numPr>
        <w:spacing w:after="0" w:line="240" w:lineRule="auto"/>
        <w:contextualSpacing/>
        <w:jc w:val="both"/>
        <w:rPr>
          <w:rFonts w:ascii="Arial" w:eastAsia="Calibri" w:hAnsi="Arial" w:cs="Arial"/>
          <w:lang w:val="es-ES"/>
        </w:rPr>
      </w:pPr>
      <w:r w:rsidRPr="006312E8">
        <w:rPr>
          <w:rFonts w:ascii="Arial" w:eastAsia="Calibri" w:hAnsi="Arial" w:cs="Arial"/>
          <w:lang w:val="es-ES"/>
        </w:rPr>
        <w:t>Registrar en el SINABIP los predios reservados para proyectos de interés nacional.</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102"/>
        </w:numPr>
        <w:spacing w:after="0" w:line="240" w:lineRule="auto"/>
        <w:contextualSpacing/>
        <w:jc w:val="both"/>
        <w:rPr>
          <w:rFonts w:ascii="Arial" w:eastAsia="Calibri" w:hAnsi="Arial" w:cs="Arial"/>
          <w:lang w:val="es-ES"/>
        </w:rPr>
      </w:pPr>
      <w:r w:rsidRPr="006312E8">
        <w:rPr>
          <w:rFonts w:ascii="Arial" w:eastAsia="Calibri" w:hAnsi="Arial" w:cs="Arial"/>
          <w:lang w:val="es-ES"/>
        </w:rPr>
        <w:t>Registrar y actualizar en el SINABIP la información obtenida en el ejercicio de las funciones de su competencia, remitiendo la documentación que la sustenta al área competente.</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102"/>
        </w:numPr>
        <w:spacing w:after="0" w:line="240" w:lineRule="auto"/>
        <w:contextualSpacing/>
        <w:jc w:val="both"/>
        <w:rPr>
          <w:rFonts w:ascii="Arial" w:eastAsia="Calibri" w:hAnsi="Arial" w:cs="Arial"/>
          <w:lang w:val="es-ES"/>
        </w:rPr>
      </w:pPr>
      <w:r w:rsidRPr="006312E8">
        <w:rPr>
          <w:rFonts w:ascii="Arial" w:eastAsia="Calibri" w:hAnsi="Arial" w:cs="Arial"/>
          <w:lang w:val="es-ES"/>
        </w:rPr>
        <w:t>Asesorar y/o absolver consultas técnico - legales formuladas por la Dirección de Gestión del Patrimonio Estatal sobre expedientes administrativos en trámite.</w:t>
      </w:r>
    </w:p>
    <w:p w:rsidR="006312E8" w:rsidRPr="006312E8" w:rsidRDefault="006312E8" w:rsidP="006312E8">
      <w:pPr>
        <w:spacing w:after="0" w:line="240" w:lineRule="auto"/>
        <w:ind w:left="1134" w:hanging="425"/>
        <w:jc w:val="both"/>
        <w:rPr>
          <w:rFonts w:ascii="Arial" w:eastAsia="Calibri" w:hAnsi="Arial" w:cs="Arial"/>
          <w:lang w:val="es-ES"/>
        </w:rPr>
      </w:pPr>
    </w:p>
    <w:p w:rsidR="006312E8" w:rsidRPr="006312E8" w:rsidRDefault="006312E8" w:rsidP="006312E8">
      <w:pPr>
        <w:spacing w:after="0" w:line="240" w:lineRule="auto"/>
        <w:ind w:left="1134" w:hanging="425"/>
        <w:jc w:val="both"/>
        <w:rPr>
          <w:rFonts w:ascii="Arial" w:eastAsia="Calibri" w:hAnsi="Arial" w:cs="Arial"/>
          <w:lang w:val="es-ES"/>
        </w:rPr>
      </w:pPr>
      <w:r w:rsidRPr="006312E8">
        <w:rPr>
          <w:rFonts w:ascii="Arial" w:eastAsia="Calibri" w:hAnsi="Arial" w:cs="Arial"/>
          <w:lang w:val="es-ES"/>
        </w:rPr>
        <w:t xml:space="preserve">ñ) </w:t>
      </w:r>
      <w:r w:rsidRPr="006312E8">
        <w:rPr>
          <w:rFonts w:ascii="Arial" w:eastAsia="Calibri" w:hAnsi="Arial" w:cs="Arial"/>
          <w:lang w:val="es-ES"/>
        </w:rPr>
        <w:tab/>
        <w:t>Efectuar procedimientos administrativos ante Municipalidades y empresas de servicios respecto de actos de disposición de bienes de propiedad estatal.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241D1D">
      <w:pPr>
        <w:numPr>
          <w:ilvl w:val="0"/>
          <w:numId w:val="102"/>
        </w:numPr>
        <w:spacing w:after="0" w:line="240" w:lineRule="auto"/>
        <w:contextualSpacing/>
        <w:jc w:val="both"/>
        <w:rPr>
          <w:rFonts w:ascii="Arial" w:eastAsia="Calibri" w:hAnsi="Arial" w:cs="Arial"/>
          <w:lang w:val="es-ES"/>
        </w:rPr>
      </w:pPr>
      <w:r w:rsidRPr="006312E8">
        <w:rPr>
          <w:rFonts w:ascii="Arial" w:eastAsia="Calibri" w:hAnsi="Arial" w:cs="Arial"/>
          <w:lang w:val="es-ES"/>
        </w:rPr>
        <w:t>Emitir resoluciones en materias de su competencia.</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241D1D">
      <w:pPr>
        <w:numPr>
          <w:ilvl w:val="0"/>
          <w:numId w:val="102"/>
        </w:numPr>
        <w:spacing w:after="0" w:line="240" w:lineRule="auto"/>
        <w:contextualSpacing/>
        <w:jc w:val="both"/>
        <w:rPr>
          <w:rFonts w:ascii="Arial" w:eastAsia="Calibri" w:hAnsi="Arial" w:cs="Arial"/>
          <w:lang w:val="es-ES"/>
        </w:rPr>
      </w:pPr>
      <w:r w:rsidRPr="006312E8">
        <w:rPr>
          <w:rFonts w:ascii="Arial" w:eastAsia="Calibri" w:hAnsi="Arial" w:cs="Arial"/>
          <w:lang w:val="es-ES"/>
        </w:rPr>
        <w:t>Mantener informado al Director de Gestión del Patrimonio Estatal sobre el cumplimiento de las acciones ejecutadas.</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102"/>
        </w:numPr>
        <w:spacing w:after="0" w:line="240" w:lineRule="auto"/>
        <w:contextualSpacing/>
        <w:jc w:val="both"/>
        <w:rPr>
          <w:rFonts w:ascii="Arial" w:eastAsia="Calibri" w:hAnsi="Arial" w:cs="Arial"/>
          <w:lang w:val="es-ES"/>
        </w:rPr>
      </w:pPr>
      <w:r w:rsidRPr="006312E8">
        <w:rPr>
          <w:rFonts w:ascii="Arial" w:eastAsia="Calibri" w:hAnsi="Arial" w:cs="Arial"/>
          <w:lang w:val="es-ES"/>
        </w:rPr>
        <w:t>Las demás que le correspondan de acuerdo a la normatividad vigente y/o le sean asignadas por la autoridad superior.</w:t>
      </w:r>
    </w:p>
    <w:p w:rsidR="006312E8" w:rsidRPr="006312E8" w:rsidRDefault="006312E8" w:rsidP="006312E8">
      <w:pPr>
        <w:spacing w:after="0" w:line="240" w:lineRule="auto"/>
        <w:jc w:val="center"/>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TITULO lll</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DE LAS RELACIONES INTERINSTITUCIONALES</w:t>
      </w: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49.- Relaciones Interinstitucionales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SBN, como ente rector del SNBE, mantiene relaciones de coordinación y supervisión, con las Entidades y demás organismos públicos y/o privados.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TITULO IV</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DEL RÉGIMEN ECONÓMICO, FINANCIERO Y LABORAL</w:t>
      </w:r>
    </w:p>
    <w:p w:rsidR="006312E8" w:rsidRPr="006312E8" w:rsidRDefault="006312E8" w:rsidP="006312E8">
      <w:pPr>
        <w:spacing w:after="0" w:line="240" w:lineRule="auto"/>
        <w:jc w:val="center"/>
        <w:rPr>
          <w:rFonts w:ascii="Arial" w:eastAsia="Calibri" w:hAnsi="Arial" w:cs="Arial"/>
          <w:b/>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CAPÍTULO I</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DEL RÉGIMEN ECONÓMICO Y FINANCIERO</w:t>
      </w: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50.- Régimen Económico y Financiero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La SBN constituye un pliego presupuestal, cuya titularidad corresponde al Superintendente Nacional de Bienes Estatales.</w:t>
      </w: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51.- Recursos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Constituyen recursos de la SBN:</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241D1D">
      <w:pPr>
        <w:numPr>
          <w:ilvl w:val="0"/>
          <w:numId w:val="103"/>
        </w:numPr>
        <w:spacing w:after="0" w:line="240" w:lineRule="auto"/>
        <w:contextualSpacing/>
        <w:jc w:val="both"/>
        <w:rPr>
          <w:rFonts w:ascii="Arial" w:eastAsia="Calibri" w:hAnsi="Arial" w:cs="Arial"/>
          <w:lang w:val="es-ES"/>
        </w:rPr>
      </w:pPr>
      <w:r w:rsidRPr="006312E8">
        <w:rPr>
          <w:rFonts w:ascii="Arial" w:eastAsia="Calibri" w:hAnsi="Arial" w:cs="Arial"/>
          <w:lang w:val="es-ES"/>
        </w:rPr>
        <w:t>Los que le sean asignados por el Gobierno Nacional y la Ley General del Presupuesto del Sector Público, así como los saldos de balance que resulten al cierre de cada ejercicio presupuestal.</w:t>
      </w:r>
    </w:p>
    <w:p w:rsidR="006312E8" w:rsidRPr="006312E8" w:rsidRDefault="006312E8" w:rsidP="006312E8">
      <w:pPr>
        <w:spacing w:after="0" w:line="240" w:lineRule="auto"/>
        <w:ind w:left="1065"/>
        <w:contextualSpacing/>
        <w:jc w:val="both"/>
        <w:rPr>
          <w:rFonts w:ascii="Arial" w:eastAsia="Calibri" w:hAnsi="Arial" w:cs="Arial"/>
          <w:lang w:val="es-ES"/>
        </w:rPr>
      </w:pPr>
    </w:p>
    <w:p w:rsidR="006312E8" w:rsidRPr="006312E8" w:rsidRDefault="006312E8" w:rsidP="00241D1D">
      <w:pPr>
        <w:numPr>
          <w:ilvl w:val="0"/>
          <w:numId w:val="103"/>
        </w:numPr>
        <w:spacing w:after="0" w:line="240" w:lineRule="auto"/>
        <w:contextualSpacing/>
        <w:jc w:val="both"/>
        <w:rPr>
          <w:rFonts w:ascii="Arial" w:eastAsia="Calibri" w:hAnsi="Arial" w:cs="Arial"/>
          <w:lang w:val="es-ES"/>
        </w:rPr>
      </w:pPr>
      <w:r w:rsidRPr="006312E8">
        <w:rPr>
          <w:rFonts w:ascii="Arial" w:eastAsia="Calibri" w:hAnsi="Arial" w:cs="Arial"/>
          <w:lang w:val="es-ES"/>
        </w:rPr>
        <w:t>Los porcentajes que le sean asignados por actos de disposición de bienes estatales conforme a la normatividad vigente.</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103"/>
        </w:numPr>
        <w:spacing w:after="0" w:line="240" w:lineRule="auto"/>
        <w:contextualSpacing/>
        <w:jc w:val="both"/>
        <w:rPr>
          <w:rFonts w:ascii="Arial" w:eastAsia="Calibri" w:hAnsi="Arial" w:cs="Arial"/>
          <w:lang w:val="es-ES"/>
        </w:rPr>
      </w:pPr>
      <w:r w:rsidRPr="006312E8">
        <w:rPr>
          <w:rFonts w:ascii="Arial" w:eastAsia="Calibri" w:hAnsi="Arial" w:cs="Arial"/>
          <w:lang w:val="es-ES"/>
        </w:rPr>
        <w:t>Los legados, créditos, donaciones, transferencias y otros recursos provenientes de personas naturales y jurídicas, así como de la cooperación nacional e internacional, acordados conforme a la normatividad vigente.</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103"/>
        </w:numPr>
        <w:spacing w:after="0" w:line="240" w:lineRule="auto"/>
        <w:contextualSpacing/>
        <w:jc w:val="both"/>
        <w:rPr>
          <w:rFonts w:ascii="Arial" w:eastAsia="Calibri" w:hAnsi="Arial" w:cs="Arial"/>
          <w:lang w:val="es-ES"/>
        </w:rPr>
      </w:pPr>
      <w:r w:rsidRPr="006312E8">
        <w:rPr>
          <w:rFonts w:ascii="Arial" w:eastAsia="Calibri" w:hAnsi="Arial" w:cs="Arial"/>
          <w:lang w:val="es-ES"/>
        </w:rPr>
        <w:t>La renta generada por los depósitos de sus ingresos en el sistema financiero.</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103"/>
        </w:numPr>
        <w:spacing w:after="0" w:line="240" w:lineRule="auto"/>
        <w:contextualSpacing/>
        <w:jc w:val="both"/>
        <w:rPr>
          <w:rFonts w:ascii="Arial" w:eastAsia="Calibri" w:hAnsi="Arial" w:cs="Arial"/>
          <w:lang w:val="es-ES"/>
        </w:rPr>
      </w:pPr>
      <w:r w:rsidRPr="006312E8">
        <w:rPr>
          <w:rFonts w:ascii="Arial" w:eastAsia="Calibri" w:hAnsi="Arial" w:cs="Arial"/>
          <w:lang w:val="es-ES"/>
        </w:rPr>
        <w:t>Los ingresos Directamente Recaudados generados por las acciones administrativas financieras que ejecute la SBN.</w:t>
      </w:r>
    </w:p>
    <w:p w:rsidR="006312E8" w:rsidRPr="006312E8" w:rsidRDefault="006312E8" w:rsidP="006312E8">
      <w:pPr>
        <w:spacing w:after="200" w:line="276" w:lineRule="auto"/>
        <w:ind w:left="720"/>
        <w:contextualSpacing/>
        <w:rPr>
          <w:rFonts w:ascii="Arial" w:eastAsia="Calibri" w:hAnsi="Arial" w:cs="Arial"/>
          <w:lang w:val="es-ES"/>
        </w:rPr>
      </w:pPr>
    </w:p>
    <w:p w:rsidR="006312E8" w:rsidRPr="006312E8" w:rsidRDefault="006312E8" w:rsidP="00241D1D">
      <w:pPr>
        <w:numPr>
          <w:ilvl w:val="0"/>
          <w:numId w:val="103"/>
        </w:numPr>
        <w:spacing w:after="0" w:line="240" w:lineRule="auto"/>
        <w:contextualSpacing/>
        <w:jc w:val="both"/>
        <w:rPr>
          <w:rFonts w:ascii="Arial" w:eastAsia="Calibri" w:hAnsi="Arial" w:cs="Arial"/>
          <w:lang w:val="es-ES"/>
        </w:rPr>
      </w:pPr>
      <w:r w:rsidRPr="006312E8">
        <w:rPr>
          <w:rFonts w:ascii="Arial" w:eastAsia="Calibri" w:hAnsi="Arial" w:cs="Arial"/>
          <w:lang w:val="es-ES"/>
        </w:rPr>
        <w:t>Otros ingresos que le correspondan con arreglo a la normatividad vigente.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CAPITULO II</w:t>
      </w:r>
    </w:p>
    <w:p w:rsidR="006312E8" w:rsidRPr="006312E8" w:rsidRDefault="006312E8" w:rsidP="006312E8">
      <w:pPr>
        <w:spacing w:after="0" w:line="240" w:lineRule="auto"/>
        <w:jc w:val="center"/>
        <w:rPr>
          <w:rFonts w:ascii="Arial" w:eastAsia="Calibri" w:hAnsi="Arial" w:cs="Arial"/>
          <w:b/>
          <w:lang w:val="es-ES"/>
        </w:rPr>
      </w:pPr>
      <w:r w:rsidRPr="006312E8">
        <w:rPr>
          <w:rFonts w:ascii="Arial" w:eastAsia="Calibri" w:hAnsi="Arial" w:cs="Arial"/>
          <w:b/>
          <w:lang w:val="es-ES"/>
        </w:rPr>
        <w:t>DEL RÉGIMEN LABORAL</w:t>
      </w: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52.- Régimen Laboral</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El régimen laboral de los trabajadores de la SBN es el de la actividad privada, regulado por el Texto Único Ordenado del Decreto Legislativo Nº 728 - Ley de Productividad y Competitividad Laboral, aprobado por Decreto Supremo Nº 03-97-TR, sus normas reglamentarias, complementarias y conexas.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53.- Personal</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El ingreso de personal a la SBN se realizará previo concurso público de méritos, de acuerdo con la normatividad vigente.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F47618">
      <w:pPr>
        <w:pStyle w:val="TITO2"/>
      </w:pPr>
      <w:bookmarkStart w:id="506" w:name="_Toc392856270"/>
      <w:bookmarkStart w:id="507" w:name="_Toc399335540"/>
      <w:bookmarkStart w:id="508" w:name="_Toc421025490"/>
      <w:bookmarkStart w:id="509" w:name="_Toc470855605"/>
      <w:bookmarkStart w:id="510" w:name="DS0212012"/>
      <w:r w:rsidRPr="006312E8">
        <w:t>DECRETO SUPREMO Nº 021-2012-VIVIENDA</w:t>
      </w:r>
      <w:bookmarkEnd w:id="506"/>
      <w:bookmarkEnd w:id="507"/>
      <w:bookmarkEnd w:id="508"/>
      <w:bookmarkEnd w:id="509"/>
    </w:p>
    <w:bookmarkEnd w:id="510"/>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right"/>
        <w:rPr>
          <w:rFonts w:ascii="Arial" w:eastAsia="Calibri" w:hAnsi="Arial" w:cs="Arial"/>
          <w:lang w:val="es-ES"/>
        </w:rPr>
      </w:pPr>
      <w:r w:rsidRPr="006312E8">
        <w:rPr>
          <w:rFonts w:ascii="Arial" w:eastAsia="Calibri" w:hAnsi="Arial" w:cs="Arial"/>
          <w:b/>
          <w:lang w:val="es-ES"/>
        </w:rPr>
        <w:t>Fecha de publicación: 31-12-2012</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EL PRESIDENTE DE LA REPÚBLICA</w:t>
      </w:r>
    </w:p>
    <w:p w:rsidR="006312E8" w:rsidRPr="006312E8" w:rsidRDefault="006312E8"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CONSIDERANDO: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la Superintendencia Nacional de Bienes Estatales - SBN, es un organismo público ejecutor, adscrito al Ministerio de Vivienda, Construcción y Saneamiento, y es el Ente Rector del Sistema Nacional de Bienes Estatales, responsable de normar los actos de adquisición, disposición, administración y supervisión de los bienes estatales, así como de ejecutar dichos actos respecto de los bienes cuya administración está a su cargo, de acuerdo a la normatividad vigente, gozando de autonomía económica, presupuestal, financiera, técnica y funcional, de conformidad a lo establecido en la Ley Nº 29151 y su Reglamento, aprobado por el Decreto Supremo Nº 007-2008-VIVIENDA, modificado por Decreto Supremo Nº 013-2012-VIVIENDA;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el numeral 38.2 del artículo 38 de la Ley Nº 27444, Ley del Procedimiento Administrativo General, establece entre otras disposiciones, la obligatoriedad para todas las entidades de la Administración Pública, de publicar el íntegro del Texto Único de Procedimientos Administrativos - TUPA;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mediante el Decreto Supremo Nº 079-2007-PCM, se aprueban los Lineamientos para la elaboración y aprobación del Texto Único de Procedimientos Administrativos - TUPA, y se establecen disposiciones para el cumplimiento de la Ley del Silencio Administrativo;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a través del Decreto Supremo Nº 062-2009-PCM, se aprueba el Formato del Texto Único de Procedimientos Administrativos (TUPA), como el único documento mediante el cual las entidades públicas difundirán los procedimientos administrativos, requisitos, plazos, derecho de tramitación, entre otros datos, que legalmente se encuentran obligadas a solicitar a los ciudadanos, en cumplimiento de lo establecido en el artículo 37 de la Ley Nº 27444;</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por medio del Decreto Supremo Nº 064-2010-PCM, se aprueba la nueva metodología de determinación de costos de los procedimientos administrativos y servicios prestados en exclusividad para las entidades públicas, de uso obligatorio en los procesos de elaboración y/o modificación de los procedimientos administrativos y servicios prestados en exclusividad contenidos en los TUPA;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mediante el Decreto Supremo Nº 007-2011-PCM, se aprueba la Metodología de Simplificación Administrativa para la mejora de los procedimientos administrativos y servicios prestados en exclusividad por las entidades de la Administración Pública;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el Decreto Supremo Nº 152-2002-EF, aprobó el Texto Único de Procedimientos Administrativos - TUPA de la SBN, con sus respectivos requisitos, tasas y derechos de tramitación, el mismo que fue modificado mediante la Resolución Ministerial Nº 047-2008-VIVIENDA, de fecha 29 de febrero de 2008, de conformidad con el artículo 36 numeral 36.3 de la Ley Nº 27444, Ley del Procedimiento Administrativo General;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el TUPA de la SBN no se encuentra actualizado a la normativa legal vigente que regula el Sistema Nacional de Bienes Estatales, así como, a la estructura orgánica de la Superintendencia Nacional de Bienes Estatales, aprobada por el Decreto Supremo Nº 016-2010-VIVIENDA;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en consecuencia, resulta necesario aprobar un nuevo TUPA de la SBN, acorde a la normativa vigente, con la finalidad de brindar un servicio eficiente a los ciudadanos mejorando sus procedimientos administrativos y los servicios prestados en exclusividad, para lo cual, se proyecta mantener y/o modificar once (11) procedimientos administrativos del TUPA actual de la SBN, eliminar doce (12) procedimientos administrativos; crear seis (06) procedimientos administrativos y dos (02) servicios exclusivos de la SBN, de acuerdo al numeral e) del artículo 14 de la Ley Nº 29151, Ley General del Sistema Nacional de Bienes Estatales, ya que, los administrados no pueden recurrir a otra entidad o dependencia para obtener los servicios planteados, debido a que éstos se encuentran comprendidos en las atribuciones exclusivas de la SBN, conforme a lo establecido en el artículo 37 de la Ley Nº 27444, Ley del Procedimiento Administrativo General;</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de acuerdo con lo expuesto y en concordancia con la Política y Plan Nacional de Simplificación Administrativa, aprobados por el Decreto Supremo Nº 025-2010-PCM y la Resolución Ministerial Nº 228-2010-PCM, respectivamente, resulta pertinente aprobar el Texto Único de Procedimientos Administrativos - TUPA de la Superintendencia Nacional de Bienes Estatales - SBN, que compila los procedimientos administrativos a su cargo y los servicios prestados en exclusividad elaborado en aplicación de lo establecido en la Ley Nº 27444 y los Decretos Supremos Nº 079-2007-PCM, Nº 062-2009-PCM, Nº 064-2010-PCM y Nº 007-2011-PCM; asimismo, resulta pertinente aprobar los Formularios Nº 001-SBN/UTD, 002-SBN-SDAPE, 004-SBN-SDAPE, 005-SBN-SDAPE, 007-SBN-SDAPE, 010-SBN-SDAPE, 011-SBN-SDAPE, 003-SBN-SDDI, 004-SBN-SDDI, 005-SBN-SDDI, 006-SBN-SDDI, 007-SBN-SDDI, 008-SBN-SDDI, 009-SBNSDDI, 010-SBN-SDDI, 011-SBN-SDDI, 012-SBN-SDDI y 013-SBN-SDDI en virtud a lo dispuesto en el artículo 18 de los Lineamientos para elaboración y aprobación del Texto Único de Procedimientos Administrativos - TUPA y establecen disposiciones para el cumplimiento de la Ley del Silencio Administrativo, aprobado por Decreto Supremo Nº 079-2007-PCM;</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Que, el Texto Único de Procedimientos Administrativos - TUPA de la Superintendencia Nacional de Bienes Estatales - SBN, cuenta con la opinión favorable de la Oficina General de Planificación y Presupuesto del Ministerio de Vivienda, Construcción y Saneamiento, conforme a lo previsto en el numeral 11.2 del artículo 11 de los Lineamientos para la elaboración y aprobación del Texto Único de Procedimientos Administrativos - TUPA y establecen disposiciones para el cumplimiento de la Ley del Silencio Administrativo, aprobado por Decreto Supremo Nº 079-2007-PCM;</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De conformidad con la Ley Nº 29158 - Ley Orgánica del Poder Ejecutivo; la Ley Nº 27444 - Ley del Procedimiento Administrativo General; el Decreto Supremo Nº 079-2007-PCM; el Decreto Supremo Nº 062-2009-PCM, Decreto Supremo Nº 064-2010-PCM y el Decreto Supremo Nº 007-2011-PCM;</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DECRETA: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1.- Aprobación del TUPA de la Superintendencia Nacional de Bienes Estatales - SBN.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Apruébese el Texto Único de Procedimientos Administrativos - TUPA de la Superintendencia Nacional de Bienes Estatales - SBN, el cual contiene los procedimientos administrativos y los servicios exclusivos prestados por la entidad, y que en Anexo 01 forma parte integrante del presente Decreto Supremo.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2.- Aprobación de Formularios.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Apruébese los Formularios Nº 001-SBN/UTD “Solicitud de Acceso a la Información Pública Superintendencia Nacional de Bienes Estatales”; 002-SBN-SDAPE “Solicitud de Afectación en Uso Predial”; 004-SBN-SDAPE “Solicitud de Cesión en Uso Predial; 005-SBN-SDAPE “Solicitud de Comodato Predial”; 007-SBN-SDAPE “Solicitud de Derecho de Usufructo”; 010-SBN-SDAPE “Solicitud de Renuncia a la Afectación en Uso Predial”; 011-SBN-SDAPE “Solicitud de Renuncia a la Cesión en Uso Predial”; 003-SBN-SDDI “Solicitud de Permuta Predial”; 004-SBN-SDDI “Solicitud de Transferencia por Aporte de Capital”; 005-SBN-SDDI “Solicitud de Transferencia Predial a favor de empresas bajo el ámbito de FONAFE”; 006-SBN-SDDI “Solicitud de Transferencia Predial a favor de los Gobiernos Regionales y/o Gobiernos Locales”; 007-SBN-SDDI “Solicitud de Transferencia Predial entre entidades públicas”; 008-SBN-SDDI “Solicitud de Venta Directa por Causal de Colindancia”; 009-SBN-SDDI “Solicitud de Venta Directa por Causal de Proyecto de Interés Nacional o Regional”; 010-SBN-SDDI “Solicitud de Venta Directa por Supuesto de Posesión Consolidada”; 011-SBN-SDDI “Solicitud de Venta Directa por Posesión ejercida a través de Actos Posesorios”; 012-SBN-SDDI “Solicitud de Venta Directa por Área Menor al Lote Normativo” y 013-SBN-SDDI “Solicitud de Venta Directa de Predios Ubicados en Zona de Dominio Restringido”, que como Anexo 02 forman parte integrante del presente Decreto Supremo.</w:t>
      </w:r>
    </w:p>
    <w:p w:rsidR="00437681" w:rsidRDefault="00437681" w:rsidP="006312E8">
      <w:pPr>
        <w:spacing w:after="0" w:line="240" w:lineRule="auto"/>
        <w:jc w:val="both"/>
        <w:rPr>
          <w:rFonts w:ascii="Arial" w:eastAsia="Calibri" w:hAnsi="Arial" w:cs="Arial"/>
          <w:b/>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3.- Publicación.</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El presente Decreto Supremo será publicado en el Diario Oficial “El Peruano”; y el Texto Único de Procedimientos Administrativos - TUPA y los Formularios, aprobados por los artículos 1 y 2 del presente Decreto Supremo respectivamente, serán publicados en el Portal de Servicios al Ciudadano y Empresas - PSCE (www.serviciosalciudadano.gob.pe) y en el Portal de la Superintendencia Nacional de Bienes Estatales - SBN, el mismo día de la publicación del presente Decreto Supremo, de acuerdo con lo establecido en la Ley Nº 29091 - Ley que modifica el párrafo 38.3 del artículo 38 de la Ley Nº 27444, y establece la publicación de diversos dispositivos legales en el Portal del Estado Peruano y en portales Institucionales, y su Reglamento, aprobado por el Decreto Supremo Nº 004-2008-PCM, así como, de acuerdo a lo dispuesto por el Reglamento que establece disposiciones relativas a la publicidad, publicación de proyectos normativos y difusión de normas legales de carácter general, aprobado por el Decreto Supremo Nº 001-2009-JUS, modificado por Decreto Supremo Nº 014-2012-JUS.</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4.- Derogatoria</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Dejar sin efecto el Decreto Supremo Nº 152-2002-EF, de fecha 15 de octubre de 2002 y su modificatoria aprobada mediante la Resolución Ministerial Nº 047-2008-VIVIENDA, de fecha 01 de marzo de 2008.</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Artículo 5.- Refrendo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El presente Decreto Supremo será refrendado por el Ministro de Vivienda, Construcción y Saneamiento.</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Dado en la Casa de Gobierno, en Lima, a los treinta días del mes de diciembre del año dos mil doce.</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b/>
        <w:t>OLLANTA HUMALA TASSO</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Presidente Constitucional de la República</w:t>
      </w:r>
    </w:p>
    <w:p w:rsidR="006312E8" w:rsidRPr="006312E8" w:rsidRDefault="006312E8" w:rsidP="006312E8">
      <w:pPr>
        <w:spacing w:after="0" w:line="240" w:lineRule="auto"/>
        <w:jc w:val="both"/>
        <w:rPr>
          <w:rFonts w:ascii="Arial" w:eastAsia="Calibri" w:hAnsi="Arial" w:cs="Arial"/>
          <w:lang w:val="es-ES"/>
        </w:rPr>
      </w:pPr>
    </w:p>
    <w:p w:rsidR="006312E8" w:rsidRPr="006312E8" w:rsidRDefault="006312E8" w:rsidP="006312E8">
      <w:pPr>
        <w:spacing w:after="0" w:line="240" w:lineRule="auto"/>
        <w:jc w:val="both"/>
        <w:rPr>
          <w:rFonts w:ascii="Arial" w:eastAsia="Calibri" w:hAnsi="Arial" w:cs="Arial"/>
          <w:b/>
          <w:lang w:val="es-ES"/>
        </w:rPr>
      </w:pPr>
      <w:r w:rsidRPr="006312E8">
        <w:rPr>
          <w:rFonts w:ascii="Arial" w:eastAsia="Calibri" w:hAnsi="Arial" w:cs="Arial"/>
          <w:b/>
          <w:lang w:val="es-ES"/>
        </w:rPr>
        <w:tab/>
        <w:t>JORGE MERINO TAFUR</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Ministro de Energía y Minas</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Encargado del Despacho del Ministerio de Vivienda,</w:t>
      </w:r>
    </w:p>
    <w:p w:rsidR="006312E8" w:rsidRPr="006312E8" w:rsidRDefault="006312E8" w:rsidP="006312E8">
      <w:pPr>
        <w:spacing w:after="0" w:line="240" w:lineRule="auto"/>
        <w:jc w:val="both"/>
        <w:rPr>
          <w:rFonts w:ascii="Arial" w:eastAsia="Calibri" w:hAnsi="Arial" w:cs="Arial"/>
          <w:lang w:val="es-ES"/>
        </w:rPr>
      </w:pPr>
      <w:r w:rsidRPr="006312E8">
        <w:rPr>
          <w:rFonts w:ascii="Arial" w:eastAsia="Calibri" w:hAnsi="Arial" w:cs="Arial"/>
          <w:lang w:val="es-ES"/>
        </w:rPr>
        <w:tab/>
        <w:t>Construcción y Saneamiento</w:t>
      </w: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Pr>
        <w:spacing w:after="0" w:line="240" w:lineRule="auto"/>
        <w:contextualSpacing/>
        <w:jc w:val="both"/>
        <w:rPr>
          <w:rFonts w:ascii="Arial" w:eastAsia="Calibri" w:hAnsi="Arial" w:cs="Arial"/>
          <w:lang w:val="es-ES"/>
        </w:rPr>
      </w:pPr>
    </w:p>
    <w:p w:rsidR="00965BA5" w:rsidRDefault="00965BA5" w:rsidP="006312E8">
      <w:pPr>
        <w:spacing w:after="0" w:line="240" w:lineRule="auto"/>
        <w:jc w:val="center"/>
        <w:rPr>
          <w:rFonts w:ascii="Arial" w:hAnsi="Arial" w:cs="Arial"/>
          <w:b/>
          <w:sz w:val="28"/>
          <w:szCs w:val="28"/>
          <w:lang w:val="es-ES"/>
        </w:rPr>
        <w:sectPr w:rsidR="00965BA5" w:rsidSect="00212BEA">
          <w:footerReference w:type="default" r:id="rId23"/>
          <w:pgSz w:w="11907" w:h="16840" w:code="9"/>
          <w:pgMar w:top="1417" w:right="850" w:bottom="1417" w:left="851" w:header="709" w:footer="709" w:gutter="0"/>
          <w:cols w:space="708"/>
          <w:docGrid w:linePitch="360"/>
        </w:sectPr>
      </w:pPr>
      <w:bookmarkStart w:id="511" w:name="_Toc380565010"/>
      <w:bookmarkStart w:id="512" w:name="_Toc392856272"/>
      <w:bookmarkStart w:id="513" w:name="_Toc399335542"/>
      <w:bookmarkStart w:id="514" w:name="_Toc421025492"/>
    </w:p>
    <w:p w:rsidR="00965BA5" w:rsidRDefault="00965BA5" w:rsidP="006312E8">
      <w:pPr>
        <w:spacing w:after="0" w:line="240" w:lineRule="auto"/>
        <w:jc w:val="center"/>
        <w:rPr>
          <w:rFonts w:ascii="Arial" w:hAnsi="Arial" w:cs="Arial"/>
          <w:b/>
          <w:sz w:val="28"/>
          <w:szCs w:val="28"/>
          <w:lang w:val="es-ES"/>
        </w:rPr>
      </w:pPr>
    </w:p>
    <w:p w:rsidR="006312E8" w:rsidRDefault="00965BA5" w:rsidP="00965BA5">
      <w:pPr>
        <w:pStyle w:val="TITO2"/>
      </w:pPr>
      <w:bookmarkStart w:id="515" w:name="_Toc470855606"/>
      <w:r>
        <w:t>C</w:t>
      </w:r>
      <w:r w:rsidR="006312E8" w:rsidRPr="006312E8">
        <w:t>UADRO DE MODIFICATORIAS DE LA LEY 29151</w:t>
      </w:r>
      <w:bookmarkEnd w:id="511"/>
      <w:bookmarkEnd w:id="512"/>
      <w:bookmarkEnd w:id="513"/>
      <w:bookmarkEnd w:id="514"/>
      <w:bookmarkEnd w:id="515"/>
    </w:p>
    <w:p w:rsidR="00965BA5" w:rsidRPr="006312E8" w:rsidRDefault="00965BA5" w:rsidP="006312E8">
      <w:pPr>
        <w:spacing w:after="0" w:line="240" w:lineRule="auto"/>
        <w:jc w:val="center"/>
        <w:rPr>
          <w:rFonts w:ascii="Arial" w:hAnsi="Arial" w:cs="Arial"/>
          <w:b/>
          <w:sz w:val="28"/>
          <w:szCs w:val="28"/>
          <w:lang w:val="es-ES"/>
        </w:rPr>
      </w:pPr>
    </w:p>
    <w:tbl>
      <w:tblPr>
        <w:tblW w:w="0" w:type="auto"/>
        <w:tblInd w:w="1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6001"/>
        <w:gridCol w:w="2934"/>
      </w:tblGrid>
      <w:tr w:rsidR="006312E8" w:rsidRPr="006312E8" w:rsidTr="00D04998">
        <w:tc>
          <w:tcPr>
            <w:tcW w:w="2617" w:type="dxa"/>
          </w:tcPr>
          <w:p w:rsidR="006312E8" w:rsidRPr="006312E8" w:rsidRDefault="006312E8" w:rsidP="006312E8">
            <w:pPr>
              <w:spacing w:after="200" w:line="276" w:lineRule="auto"/>
              <w:jc w:val="center"/>
              <w:rPr>
                <w:rFonts w:ascii="Arial" w:eastAsia="Calibri" w:hAnsi="Arial" w:cs="Arial"/>
                <w:b/>
                <w:lang w:val="es-ES"/>
              </w:rPr>
            </w:pPr>
            <w:r w:rsidRPr="006312E8">
              <w:rPr>
                <w:rFonts w:ascii="Arial" w:eastAsia="Calibri" w:hAnsi="Arial" w:cs="Arial"/>
                <w:b/>
                <w:lang w:val="es-ES"/>
              </w:rPr>
              <w:t>ARTICULO AFECTADO</w:t>
            </w:r>
          </w:p>
        </w:tc>
        <w:tc>
          <w:tcPr>
            <w:tcW w:w="6001" w:type="dxa"/>
          </w:tcPr>
          <w:p w:rsidR="006312E8" w:rsidRPr="006312E8" w:rsidRDefault="006312E8" w:rsidP="006312E8">
            <w:pPr>
              <w:spacing w:after="200" w:line="276" w:lineRule="auto"/>
              <w:jc w:val="center"/>
              <w:rPr>
                <w:rFonts w:ascii="Arial" w:eastAsia="Calibri" w:hAnsi="Arial" w:cs="Arial"/>
                <w:b/>
                <w:lang w:val="es-ES"/>
              </w:rPr>
            </w:pPr>
            <w:r w:rsidRPr="006312E8">
              <w:rPr>
                <w:rFonts w:ascii="Arial" w:eastAsia="Calibri" w:hAnsi="Arial" w:cs="Arial"/>
                <w:b/>
                <w:lang w:val="es-ES"/>
              </w:rPr>
              <w:t>AFECTACION JURÍDICA</w:t>
            </w:r>
          </w:p>
        </w:tc>
        <w:tc>
          <w:tcPr>
            <w:tcW w:w="2934" w:type="dxa"/>
          </w:tcPr>
          <w:p w:rsidR="006312E8" w:rsidRPr="006312E8" w:rsidRDefault="006312E8" w:rsidP="006312E8">
            <w:pPr>
              <w:spacing w:after="200" w:line="276" w:lineRule="auto"/>
              <w:jc w:val="center"/>
              <w:rPr>
                <w:rFonts w:ascii="Arial" w:eastAsia="Calibri" w:hAnsi="Arial" w:cs="Arial"/>
                <w:b/>
                <w:lang w:val="es-ES"/>
              </w:rPr>
            </w:pPr>
            <w:r w:rsidRPr="006312E8">
              <w:rPr>
                <w:rFonts w:ascii="Arial" w:eastAsia="Calibri" w:hAnsi="Arial" w:cs="Arial"/>
                <w:b/>
                <w:lang w:val="es-ES"/>
              </w:rPr>
              <w:t>FECHA PUBLICACION</w:t>
            </w:r>
          </w:p>
        </w:tc>
      </w:tr>
      <w:tr w:rsidR="006312E8" w:rsidRPr="006312E8" w:rsidTr="00D04998">
        <w:tc>
          <w:tcPr>
            <w:tcW w:w="2617"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Artículo 18°</w:t>
            </w:r>
          </w:p>
        </w:tc>
        <w:tc>
          <w:tcPr>
            <w:tcW w:w="6001"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MODIFICADO por el artículo 57° de  la Ley Nº 30230</w:t>
            </w:r>
          </w:p>
        </w:tc>
        <w:tc>
          <w:tcPr>
            <w:tcW w:w="2934" w:type="dxa"/>
          </w:tcPr>
          <w:p w:rsidR="006312E8" w:rsidRPr="006312E8" w:rsidRDefault="006312E8" w:rsidP="006312E8">
            <w:pPr>
              <w:spacing w:after="200" w:line="276" w:lineRule="auto"/>
              <w:jc w:val="center"/>
              <w:rPr>
                <w:rFonts w:ascii="Arial" w:eastAsia="Calibri" w:hAnsi="Arial" w:cs="Arial"/>
                <w:b/>
                <w:lang w:val="es-ES"/>
              </w:rPr>
            </w:pPr>
            <w:r w:rsidRPr="006312E8">
              <w:rPr>
                <w:rFonts w:ascii="Arial" w:eastAsia="Calibri" w:hAnsi="Arial" w:cs="Arial"/>
                <w:b/>
                <w:lang w:val="es-ES"/>
              </w:rPr>
              <w:t>12.07.2014</w:t>
            </w:r>
          </w:p>
        </w:tc>
      </w:tr>
      <w:tr w:rsidR="006312E8" w:rsidRPr="006312E8" w:rsidTr="00D04998">
        <w:tc>
          <w:tcPr>
            <w:tcW w:w="2617"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Artículo 25°</w:t>
            </w:r>
          </w:p>
        </w:tc>
        <w:tc>
          <w:tcPr>
            <w:tcW w:w="6001" w:type="dxa"/>
          </w:tcPr>
          <w:p w:rsidR="006312E8" w:rsidRPr="006312E8" w:rsidRDefault="006312E8" w:rsidP="006312E8">
            <w:r w:rsidRPr="006312E8">
              <w:rPr>
                <w:rFonts w:ascii="Arial" w:eastAsia="Calibri" w:hAnsi="Arial" w:cs="Arial"/>
                <w:b/>
                <w:lang w:val="es-ES"/>
              </w:rPr>
              <w:t>MODIFICADO por el artículo 57° de  la Ley Nº 30230</w:t>
            </w:r>
          </w:p>
        </w:tc>
        <w:tc>
          <w:tcPr>
            <w:tcW w:w="2934" w:type="dxa"/>
          </w:tcPr>
          <w:p w:rsidR="006312E8" w:rsidRPr="006312E8" w:rsidRDefault="006312E8" w:rsidP="006312E8">
            <w:pPr>
              <w:jc w:val="center"/>
            </w:pPr>
            <w:r w:rsidRPr="006312E8">
              <w:rPr>
                <w:rFonts w:ascii="Arial" w:eastAsia="Calibri" w:hAnsi="Arial" w:cs="Arial"/>
                <w:b/>
                <w:lang w:val="es-ES"/>
              </w:rPr>
              <w:t>12.07.2014</w:t>
            </w:r>
          </w:p>
        </w:tc>
      </w:tr>
      <w:tr w:rsidR="006312E8" w:rsidRPr="006312E8" w:rsidTr="00D04998">
        <w:tc>
          <w:tcPr>
            <w:tcW w:w="2617"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Segunda Disposición Complementaria</w:t>
            </w:r>
          </w:p>
        </w:tc>
        <w:tc>
          <w:tcPr>
            <w:tcW w:w="6001" w:type="dxa"/>
          </w:tcPr>
          <w:p w:rsidR="006312E8" w:rsidRPr="006312E8" w:rsidRDefault="006312E8" w:rsidP="006312E8">
            <w:r w:rsidRPr="006312E8">
              <w:rPr>
                <w:rFonts w:ascii="Arial" w:eastAsia="Calibri" w:hAnsi="Arial" w:cs="Arial"/>
                <w:b/>
                <w:lang w:val="es-ES"/>
              </w:rPr>
              <w:t>MODIFICADO por el artículo 57° de  la Ley Nº 30230</w:t>
            </w:r>
          </w:p>
        </w:tc>
        <w:tc>
          <w:tcPr>
            <w:tcW w:w="2934" w:type="dxa"/>
          </w:tcPr>
          <w:p w:rsidR="006312E8" w:rsidRPr="006312E8" w:rsidRDefault="006312E8" w:rsidP="006312E8">
            <w:pPr>
              <w:jc w:val="center"/>
            </w:pPr>
            <w:r w:rsidRPr="006312E8">
              <w:rPr>
                <w:rFonts w:ascii="Arial" w:eastAsia="Calibri" w:hAnsi="Arial" w:cs="Arial"/>
                <w:b/>
                <w:lang w:val="es-ES"/>
              </w:rPr>
              <w:t>12.07.2014</w:t>
            </w:r>
          </w:p>
        </w:tc>
      </w:tr>
      <w:tr w:rsidR="006312E8" w:rsidRPr="006312E8" w:rsidTr="00D04998">
        <w:tc>
          <w:tcPr>
            <w:tcW w:w="2617"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Literal l), numeral 14.1, artículo 14°</w:t>
            </w:r>
          </w:p>
        </w:tc>
        <w:tc>
          <w:tcPr>
            <w:tcW w:w="6001"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INCORPORADO por el artículo 58° de  la Ley Nº 30230</w:t>
            </w:r>
          </w:p>
        </w:tc>
        <w:tc>
          <w:tcPr>
            <w:tcW w:w="2934" w:type="dxa"/>
          </w:tcPr>
          <w:p w:rsidR="006312E8" w:rsidRPr="006312E8" w:rsidRDefault="006312E8" w:rsidP="006312E8">
            <w:pPr>
              <w:jc w:val="center"/>
            </w:pPr>
            <w:r w:rsidRPr="006312E8">
              <w:rPr>
                <w:rFonts w:ascii="Arial" w:eastAsia="Calibri" w:hAnsi="Arial" w:cs="Arial"/>
                <w:b/>
                <w:lang w:val="es-ES"/>
              </w:rPr>
              <w:t>12.07.2014</w:t>
            </w:r>
          </w:p>
        </w:tc>
      </w:tr>
      <w:tr w:rsidR="006312E8" w:rsidRPr="006312E8" w:rsidTr="00D04998">
        <w:tc>
          <w:tcPr>
            <w:tcW w:w="2617"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Artículo 19-A</w:t>
            </w:r>
          </w:p>
        </w:tc>
        <w:tc>
          <w:tcPr>
            <w:tcW w:w="6001" w:type="dxa"/>
          </w:tcPr>
          <w:p w:rsidR="006312E8" w:rsidRPr="006312E8" w:rsidRDefault="006312E8" w:rsidP="006312E8">
            <w:r w:rsidRPr="006312E8">
              <w:rPr>
                <w:rFonts w:ascii="Arial" w:eastAsia="Calibri" w:hAnsi="Arial" w:cs="Arial"/>
                <w:b/>
                <w:lang w:val="es-ES"/>
              </w:rPr>
              <w:t>INCORPORADO por el artículo 58° de  la Ley Nº 30230</w:t>
            </w:r>
          </w:p>
        </w:tc>
        <w:tc>
          <w:tcPr>
            <w:tcW w:w="2934" w:type="dxa"/>
          </w:tcPr>
          <w:p w:rsidR="006312E8" w:rsidRPr="006312E8" w:rsidRDefault="006312E8" w:rsidP="006312E8">
            <w:pPr>
              <w:jc w:val="center"/>
            </w:pPr>
            <w:r w:rsidRPr="006312E8">
              <w:rPr>
                <w:rFonts w:ascii="Arial" w:eastAsia="Calibri" w:hAnsi="Arial" w:cs="Arial"/>
                <w:b/>
                <w:lang w:val="es-ES"/>
              </w:rPr>
              <w:t>12.07.2014</w:t>
            </w:r>
          </w:p>
        </w:tc>
      </w:tr>
      <w:tr w:rsidR="006312E8" w:rsidRPr="006312E8" w:rsidTr="00D04998">
        <w:tc>
          <w:tcPr>
            <w:tcW w:w="2617"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Artículo 26°</w:t>
            </w:r>
          </w:p>
        </w:tc>
        <w:tc>
          <w:tcPr>
            <w:tcW w:w="6001" w:type="dxa"/>
          </w:tcPr>
          <w:p w:rsidR="006312E8" w:rsidRPr="006312E8" w:rsidRDefault="006312E8" w:rsidP="006312E8">
            <w:r w:rsidRPr="006312E8">
              <w:rPr>
                <w:rFonts w:ascii="Arial" w:eastAsia="Calibri" w:hAnsi="Arial" w:cs="Arial"/>
                <w:b/>
                <w:lang w:val="es-ES"/>
              </w:rPr>
              <w:t>INCORPORADO por el artículo 58° de  la Ley Nº 30230</w:t>
            </w:r>
          </w:p>
        </w:tc>
        <w:tc>
          <w:tcPr>
            <w:tcW w:w="2934" w:type="dxa"/>
          </w:tcPr>
          <w:p w:rsidR="006312E8" w:rsidRPr="006312E8" w:rsidRDefault="006312E8" w:rsidP="006312E8">
            <w:pPr>
              <w:jc w:val="center"/>
            </w:pPr>
            <w:r w:rsidRPr="006312E8">
              <w:rPr>
                <w:rFonts w:ascii="Arial" w:eastAsia="Calibri" w:hAnsi="Arial" w:cs="Arial"/>
                <w:b/>
                <w:lang w:val="es-ES"/>
              </w:rPr>
              <w:t>12.07.2014</w:t>
            </w:r>
          </w:p>
        </w:tc>
      </w:tr>
      <w:tr w:rsidR="006312E8" w:rsidRPr="006312E8" w:rsidTr="00D04998">
        <w:tc>
          <w:tcPr>
            <w:tcW w:w="2617"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Artículo 24º</w:t>
            </w:r>
          </w:p>
        </w:tc>
        <w:tc>
          <w:tcPr>
            <w:tcW w:w="6001"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INCORPORADO por el artículo único de  la Ley Nº 30047</w:t>
            </w:r>
          </w:p>
        </w:tc>
        <w:tc>
          <w:tcPr>
            <w:tcW w:w="2934" w:type="dxa"/>
          </w:tcPr>
          <w:p w:rsidR="006312E8" w:rsidRPr="006312E8" w:rsidRDefault="006312E8" w:rsidP="006312E8">
            <w:pPr>
              <w:spacing w:after="200" w:line="276" w:lineRule="auto"/>
              <w:jc w:val="center"/>
              <w:rPr>
                <w:rFonts w:ascii="Arial" w:eastAsia="Calibri" w:hAnsi="Arial" w:cs="Arial"/>
                <w:b/>
                <w:lang w:val="es-ES"/>
              </w:rPr>
            </w:pPr>
            <w:r w:rsidRPr="006312E8">
              <w:rPr>
                <w:rFonts w:ascii="Arial" w:eastAsia="Calibri" w:hAnsi="Arial" w:cs="Arial"/>
                <w:b/>
                <w:lang w:val="es-ES"/>
              </w:rPr>
              <w:t>26.06.2013</w:t>
            </w:r>
          </w:p>
        </w:tc>
      </w:tr>
      <w:tr w:rsidR="006312E8" w:rsidRPr="006312E8" w:rsidTr="00D04998">
        <w:tc>
          <w:tcPr>
            <w:tcW w:w="2617"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Artículo 25º</w:t>
            </w:r>
          </w:p>
        </w:tc>
        <w:tc>
          <w:tcPr>
            <w:tcW w:w="6001"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INCORPORADO por el artículo único de  la Ley Nº 30047</w:t>
            </w:r>
          </w:p>
        </w:tc>
        <w:tc>
          <w:tcPr>
            <w:tcW w:w="2934" w:type="dxa"/>
          </w:tcPr>
          <w:p w:rsidR="006312E8" w:rsidRPr="006312E8" w:rsidRDefault="006312E8" w:rsidP="006312E8">
            <w:pPr>
              <w:spacing w:after="200" w:line="276" w:lineRule="auto"/>
              <w:jc w:val="center"/>
              <w:rPr>
                <w:rFonts w:ascii="Arial" w:eastAsia="Calibri" w:hAnsi="Arial" w:cs="Arial"/>
                <w:b/>
                <w:lang w:val="es-ES"/>
              </w:rPr>
            </w:pPr>
            <w:r w:rsidRPr="006312E8">
              <w:rPr>
                <w:rFonts w:ascii="Arial" w:eastAsia="Calibri" w:hAnsi="Arial" w:cs="Arial"/>
                <w:b/>
                <w:lang w:val="es-ES"/>
              </w:rPr>
              <w:t>26.06.2013</w:t>
            </w:r>
          </w:p>
        </w:tc>
      </w:tr>
      <w:tr w:rsidR="006312E8" w:rsidRPr="006312E8" w:rsidTr="00D04998">
        <w:tc>
          <w:tcPr>
            <w:tcW w:w="2617"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Quinta Disposición Complementaria</w:t>
            </w:r>
          </w:p>
        </w:tc>
        <w:tc>
          <w:tcPr>
            <w:tcW w:w="6001"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 xml:space="preserve">Única Disposición Complementaria Final de la Ley Nº 29677, </w:t>
            </w:r>
            <w:r w:rsidRPr="006312E8">
              <w:rPr>
                <w:rFonts w:ascii="Arial" w:eastAsia="Calibri" w:hAnsi="Arial" w:cs="Arial"/>
                <w:lang w:val="es-ES"/>
              </w:rPr>
              <w:t>se incorpora la citada Ley dentro de la presente disposición complementaria</w:t>
            </w:r>
          </w:p>
        </w:tc>
        <w:tc>
          <w:tcPr>
            <w:tcW w:w="2934" w:type="dxa"/>
          </w:tcPr>
          <w:p w:rsidR="006312E8" w:rsidRPr="006312E8" w:rsidRDefault="006312E8" w:rsidP="006312E8">
            <w:pPr>
              <w:spacing w:after="200" w:line="276" w:lineRule="auto"/>
              <w:jc w:val="center"/>
              <w:rPr>
                <w:rFonts w:ascii="Arial" w:eastAsia="Calibri" w:hAnsi="Arial" w:cs="Arial"/>
                <w:b/>
                <w:lang w:val="es-ES"/>
              </w:rPr>
            </w:pPr>
            <w:r w:rsidRPr="006312E8">
              <w:rPr>
                <w:rFonts w:ascii="Arial" w:eastAsia="Calibri" w:hAnsi="Arial" w:cs="Arial"/>
                <w:b/>
                <w:lang w:val="es-ES"/>
              </w:rPr>
              <w:t>16.04.2011</w:t>
            </w:r>
          </w:p>
        </w:tc>
      </w:tr>
      <w:tr w:rsidR="006312E8" w:rsidRPr="006312E8" w:rsidTr="00D04998">
        <w:tc>
          <w:tcPr>
            <w:tcW w:w="2617"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Quinta Disposición Complementaria</w:t>
            </w:r>
          </w:p>
        </w:tc>
        <w:tc>
          <w:tcPr>
            <w:tcW w:w="6001"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 xml:space="preserve">Única Disposición Complementaria de la Ley Nº 29545, </w:t>
            </w:r>
            <w:r w:rsidRPr="006312E8">
              <w:rPr>
                <w:rFonts w:ascii="Arial" w:eastAsia="Calibri" w:hAnsi="Arial" w:cs="Arial"/>
                <w:lang w:val="es-ES"/>
              </w:rPr>
              <w:t>se incorpora la citada Ley dentro de la presente disposición complementaria</w:t>
            </w:r>
          </w:p>
        </w:tc>
        <w:tc>
          <w:tcPr>
            <w:tcW w:w="2934" w:type="dxa"/>
          </w:tcPr>
          <w:p w:rsidR="006312E8" w:rsidRPr="006312E8" w:rsidRDefault="006312E8" w:rsidP="006312E8">
            <w:pPr>
              <w:spacing w:after="200" w:line="276" w:lineRule="auto"/>
              <w:jc w:val="center"/>
              <w:rPr>
                <w:rFonts w:ascii="Arial" w:eastAsia="Calibri" w:hAnsi="Arial" w:cs="Arial"/>
                <w:b/>
                <w:lang w:val="es-ES"/>
              </w:rPr>
            </w:pPr>
            <w:r w:rsidRPr="006312E8">
              <w:rPr>
                <w:rFonts w:ascii="Arial" w:eastAsia="Calibri" w:hAnsi="Arial" w:cs="Arial"/>
                <w:b/>
                <w:lang w:val="es-ES"/>
              </w:rPr>
              <w:t>25.06.2010</w:t>
            </w:r>
          </w:p>
        </w:tc>
      </w:tr>
    </w:tbl>
    <w:p w:rsidR="006312E8" w:rsidRDefault="006312E8" w:rsidP="006312E8">
      <w:pPr>
        <w:spacing w:after="200" w:line="276" w:lineRule="auto"/>
        <w:jc w:val="center"/>
        <w:rPr>
          <w:rFonts w:ascii="Maiandra GD" w:eastAsia="Calibri" w:hAnsi="Maiandra GD" w:cs="Times New Roman"/>
          <w:b/>
          <w:sz w:val="20"/>
          <w:szCs w:val="20"/>
          <w:lang w:val="es-ES"/>
        </w:rPr>
      </w:pPr>
    </w:p>
    <w:p w:rsidR="00965BA5" w:rsidRDefault="00965BA5" w:rsidP="006312E8">
      <w:pPr>
        <w:spacing w:after="200" w:line="276" w:lineRule="auto"/>
        <w:jc w:val="center"/>
        <w:rPr>
          <w:rFonts w:ascii="Maiandra GD" w:eastAsia="Calibri" w:hAnsi="Maiandra GD" w:cs="Times New Roman"/>
          <w:b/>
          <w:sz w:val="20"/>
          <w:szCs w:val="20"/>
          <w:lang w:val="es-ES"/>
        </w:rPr>
      </w:pPr>
    </w:p>
    <w:p w:rsidR="00965BA5" w:rsidRPr="006312E8" w:rsidRDefault="00965BA5" w:rsidP="006312E8">
      <w:pPr>
        <w:spacing w:after="200" w:line="276" w:lineRule="auto"/>
        <w:jc w:val="center"/>
        <w:rPr>
          <w:rFonts w:ascii="Maiandra GD" w:eastAsia="Calibri" w:hAnsi="Maiandra GD" w:cs="Times New Roman"/>
          <w:b/>
          <w:sz w:val="20"/>
          <w:szCs w:val="20"/>
          <w:lang w:val="es-ES"/>
        </w:rPr>
      </w:pPr>
    </w:p>
    <w:p w:rsidR="006312E8" w:rsidRPr="006312E8" w:rsidRDefault="006312E8" w:rsidP="00965BA5">
      <w:pPr>
        <w:pStyle w:val="TITO2"/>
      </w:pPr>
      <w:bookmarkStart w:id="516" w:name="_Toc380565011"/>
      <w:bookmarkStart w:id="517" w:name="_Toc392856273"/>
      <w:bookmarkStart w:id="518" w:name="_Toc399335543"/>
      <w:bookmarkStart w:id="519" w:name="_Toc421025493"/>
      <w:bookmarkStart w:id="520" w:name="_Toc470855607"/>
      <w:r w:rsidRPr="006312E8">
        <w:t>CUADRO DE MODIFICATORIAS DEL DECRETO SUPREMO Nº 007-2008-VIVIENDA</w:t>
      </w:r>
      <w:bookmarkEnd w:id="516"/>
      <w:bookmarkEnd w:id="517"/>
      <w:bookmarkEnd w:id="518"/>
      <w:bookmarkEnd w:id="519"/>
      <w:bookmarkEnd w:id="520"/>
    </w:p>
    <w:p w:rsidR="006312E8" w:rsidRPr="006312E8" w:rsidRDefault="006312E8" w:rsidP="006312E8">
      <w:pPr>
        <w:spacing w:after="0" w:line="240" w:lineRule="auto"/>
        <w:rPr>
          <w:rFonts w:ascii="Maiandra GD" w:eastAsia="Calibri" w:hAnsi="Maiandra GD" w:cs="Times New Roman"/>
          <w:b/>
          <w:sz w:val="28"/>
          <w:szCs w:val="28"/>
          <w:lang w:val="es-ES"/>
        </w:rPr>
      </w:pPr>
    </w:p>
    <w:p w:rsidR="006312E8" w:rsidRPr="006312E8" w:rsidRDefault="006312E8" w:rsidP="006312E8">
      <w:pPr>
        <w:spacing w:after="0" w:line="240" w:lineRule="auto"/>
        <w:jc w:val="center"/>
        <w:rPr>
          <w:rFonts w:ascii="Maiandra GD" w:eastAsia="Calibri" w:hAnsi="Maiandra GD" w:cs="Times New Roman"/>
          <w:b/>
          <w:sz w:val="28"/>
          <w:szCs w:val="28"/>
          <w:lang w:val="es-ES"/>
        </w:rPr>
      </w:pPr>
    </w:p>
    <w:tbl>
      <w:tblPr>
        <w:tblW w:w="0" w:type="auto"/>
        <w:tblInd w:w="1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0"/>
        <w:gridCol w:w="6306"/>
        <w:gridCol w:w="3025"/>
      </w:tblGrid>
      <w:tr w:rsidR="006312E8" w:rsidRPr="006312E8" w:rsidTr="00D04998">
        <w:tc>
          <w:tcPr>
            <w:tcW w:w="2804" w:type="dxa"/>
          </w:tcPr>
          <w:p w:rsidR="006312E8" w:rsidRPr="006312E8" w:rsidRDefault="006312E8" w:rsidP="006312E8">
            <w:pPr>
              <w:spacing w:after="200" w:line="276" w:lineRule="auto"/>
              <w:jc w:val="center"/>
              <w:rPr>
                <w:rFonts w:ascii="Arial" w:eastAsia="Calibri" w:hAnsi="Arial" w:cs="Arial"/>
                <w:b/>
                <w:lang w:val="es-ES"/>
              </w:rPr>
            </w:pPr>
            <w:r w:rsidRPr="006312E8">
              <w:rPr>
                <w:rFonts w:ascii="Arial" w:eastAsia="Calibri" w:hAnsi="Arial" w:cs="Arial"/>
                <w:b/>
                <w:lang w:val="es-ES"/>
              </w:rPr>
              <w:t>ARTICULO AFECTADO</w:t>
            </w:r>
          </w:p>
        </w:tc>
        <w:tc>
          <w:tcPr>
            <w:tcW w:w="7119" w:type="dxa"/>
          </w:tcPr>
          <w:p w:rsidR="006312E8" w:rsidRPr="006312E8" w:rsidRDefault="006312E8" w:rsidP="006312E8">
            <w:pPr>
              <w:spacing w:after="200" w:line="276" w:lineRule="auto"/>
              <w:jc w:val="center"/>
              <w:rPr>
                <w:rFonts w:ascii="Arial" w:eastAsia="Calibri" w:hAnsi="Arial" w:cs="Arial"/>
                <w:b/>
                <w:lang w:val="es-ES"/>
              </w:rPr>
            </w:pPr>
            <w:r w:rsidRPr="006312E8">
              <w:rPr>
                <w:rFonts w:ascii="Arial" w:eastAsia="Calibri" w:hAnsi="Arial" w:cs="Arial"/>
                <w:b/>
                <w:lang w:val="es-ES"/>
              </w:rPr>
              <w:t>AFECTACION JURÍDICA</w:t>
            </w:r>
          </w:p>
        </w:tc>
        <w:tc>
          <w:tcPr>
            <w:tcW w:w="3261" w:type="dxa"/>
          </w:tcPr>
          <w:p w:rsidR="006312E8" w:rsidRPr="006312E8" w:rsidRDefault="006312E8" w:rsidP="006312E8">
            <w:pPr>
              <w:spacing w:after="200" w:line="276" w:lineRule="auto"/>
              <w:jc w:val="center"/>
              <w:rPr>
                <w:rFonts w:ascii="Arial" w:eastAsia="Calibri" w:hAnsi="Arial" w:cs="Arial"/>
                <w:b/>
                <w:lang w:val="es-ES"/>
              </w:rPr>
            </w:pPr>
            <w:r w:rsidRPr="006312E8">
              <w:rPr>
                <w:rFonts w:ascii="Arial" w:eastAsia="Calibri" w:hAnsi="Arial" w:cs="Arial"/>
                <w:b/>
                <w:lang w:val="es-ES"/>
              </w:rPr>
              <w:t>FECHA PUBLICACION</w:t>
            </w:r>
          </w:p>
        </w:tc>
      </w:tr>
      <w:tr w:rsidR="006312E8" w:rsidRPr="006312E8" w:rsidTr="00D04998">
        <w:tc>
          <w:tcPr>
            <w:tcW w:w="2804"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Artículo 1</w:t>
            </w:r>
          </w:p>
        </w:tc>
        <w:tc>
          <w:tcPr>
            <w:tcW w:w="7119"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 xml:space="preserve">MODIFICADO </w:t>
            </w:r>
            <w:r w:rsidRPr="006312E8">
              <w:rPr>
                <w:rFonts w:ascii="Arial" w:eastAsia="Calibri" w:hAnsi="Arial" w:cs="Arial"/>
                <w:lang w:val="es-ES"/>
              </w:rPr>
              <w:t>por el Artículo 3 del Decreto Supremo N° 007-2010-VIVIENDA</w:t>
            </w:r>
          </w:p>
        </w:tc>
        <w:tc>
          <w:tcPr>
            <w:tcW w:w="3261" w:type="dxa"/>
          </w:tcPr>
          <w:p w:rsidR="006312E8" w:rsidRPr="006312E8" w:rsidRDefault="006312E8" w:rsidP="006312E8">
            <w:pPr>
              <w:spacing w:after="200" w:line="276" w:lineRule="auto"/>
              <w:jc w:val="center"/>
              <w:rPr>
                <w:rFonts w:ascii="Arial" w:eastAsia="Calibri" w:hAnsi="Arial" w:cs="Arial"/>
                <w:b/>
                <w:lang w:val="es-ES"/>
              </w:rPr>
            </w:pPr>
            <w:r w:rsidRPr="006312E8">
              <w:rPr>
                <w:rFonts w:ascii="Arial" w:eastAsia="Calibri" w:hAnsi="Arial" w:cs="Arial"/>
                <w:b/>
                <w:lang w:val="es-ES"/>
              </w:rPr>
              <w:t>06.08.2010</w:t>
            </w:r>
          </w:p>
        </w:tc>
      </w:tr>
      <w:tr w:rsidR="006312E8" w:rsidRPr="006312E8" w:rsidTr="00D04998">
        <w:tc>
          <w:tcPr>
            <w:tcW w:w="2804"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Literal c) numeral 9.3, artículo 9</w:t>
            </w:r>
          </w:p>
        </w:tc>
        <w:tc>
          <w:tcPr>
            <w:tcW w:w="7119"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 xml:space="preserve">MODIFICADO </w:t>
            </w:r>
            <w:r w:rsidRPr="006312E8">
              <w:rPr>
                <w:rFonts w:ascii="Arial" w:eastAsia="Calibri" w:hAnsi="Arial" w:cs="Arial"/>
                <w:lang w:val="es-ES"/>
              </w:rPr>
              <w:t>por el Artículo 1 del Decreto Supremo Nº 013-2012-VIVIENDA</w:t>
            </w:r>
          </w:p>
        </w:tc>
        <w:tc>
          <w:tcPr>
            <w:tcW w:w="3261" w:type="dxa"/>
          </w:tcPr>
          <w:p w:rsidR="006312E8" w:rsidRPr="006312E8" w:rsidRDefault="006312E8" w:rsidP="006312E8">
            <w:pPr>
              <w:spacing w:after="200" w:line="276" w:lineRule="auto"/>
              <w:jc w:val="center"/>
              <w:rPr>
                <w:rFonts w:ascii="Arial" w:eastAsia="Calibri" w:hAnsi="Arial" w:cs="Arial"/>
                <w:b/>
                <w:lang w:val="es-ES"/>
              </w:rPr>
            </w:pPr>
            <w:r w:rsidRPr="006312E8">
              <w:rPr>
                <w:rFonts w:ascii="Arial" w:eastAsia="Calibri" w:hAnsi="Arial" w:cs="Arial"/>
                <w:b/>
                <w:lang w:val="es-ES"/>
              </w:rPr>
              <w:t>03.06.2012</w:t>
            </w:r>
          </w:p>
        </w:tc>
      </w:tr>
      <w:tr w:rsidR="006312E8" w:rsidRPr="006312E8" w:rsidTr="00D04998">
        <w:tc>
          <w:tcPr>
            <w:tcW w:w="2804"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Literal f) artículo 10</w:t>
            </w:r>
          </w:p>
        </w:tc>
        <w:tc>
          <w:tcPr>
            <w:tcW w:w="7119"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 xml:space="preserve">MODIFICADO </w:t>
            </w:r>
            <w:r w:rsidRPr="006312E8">
              <w:rPr>
                <w:rFonts w:ascii="Arial" w:eastAsia="Calibri" w:hAnsi="Arial" w:cs="Arial"/>
                <w:lang w:val="es-ES"/>
              </w:rPr>
              <w:t>por el Artículo 1 del Decreto Supremo Nº 013-2012-VIVIENDA</w:t>
            </w:r>
          </w:p>
        </w:tc>
        <w:tc>
          <w:tcPr>
            <w:tcW w:w="3261" w:type="dxa"/>
          </w:tcPr>
          <w:p w:rsidR="006312E8" w:rsidRPr="006312E8" w:rsidRDefault="006312E8" w:rsidP="006312E8">
            <w:pPr>
              <w:spacing w:after="200" w:line="276" w:lineRule="auto"/>
              <w:jc w:val="center"/>
              <w:rPr>
                <w:rFonts w:ascii="Arial" w:eastAsia="Calibri" w:hAnsi="Arial" w:cs="Arial"/>
                <w:b/>
                <w:lang w:val="es-ES"/>
              </w:rPr>
            </w:pPr>
            <w:r w:rsidRPr="006312E8">
              <w:rPr>
                <w:rFonts w:ascii="Arial" w:eastAsia="Calibri" w:hAnsi="Arial" w:cs="Arial"/>
                <w:b/>
                <w:lang w:val="es-ES"/>
              </w:rPr>
              <w:t>03.06.2012</w:t>
            </w:r>
          </w:p>
        </w:tc>
      </w:tr>
      <w:tr w:rsidR="006312E8" w:rsidRPr="006312E8" w:rsidTr="00D04998">
        <w:tc>
          <w:tcPr>
            <w:tcW w:w="2804"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Artículo 13</w:t>
            </w:r>
          </w:p>
        </w:tc>
        <w:tc>
          <w:tcPr>
            <w:tcW w:w="7119"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 xml:space="preserve">MODIFICADO </w:t>
            </w:r>
            <w:r w:rsidRPr="006312E8">
              <w:rPr>
                <w:rFonts w:ascii="Arial" w:eastAsia="Calibri" w:hAnsi="Arial" w:cs="Arial"/>
                <w:lang w:val="es-ES"/>
              </w:rPr>
              <w:t>por el</w:t>
            </w:r>
            <w:r w:rsidRPr="006312E8">
              <w:rPr>
                <w:rFonts w:ascii="Arial" w:eastAsia="Calibri" w:hAnsi="Arial" w:cs="Arial"/>
                <w:b/>
                <w:lang w:val="es-ES"/>
              </w:rPr>
              <w:t xml:space="preserve"> </w:t>
            </w:r>
            <w:r w:rsidRPr="006312E8">
              <w:rPr>
                <w:rFonts w:ascii="Arial" w:eastAsia="Calibri" w:hAnsi="Arial" w:cs="Arial"/>
                <w:lang w:val="es-ES"/>
              </w:rPr>
              <w:t>Artículo 1 del Decreto Supremo N° 009-2013/VIVIENDA</w:t>
            </w:r>
          </w:p>
        </w:tc>
        <w:tc>
          <w:tcPr>
            <w:tcW w:w="3261" w:type="dxa"/>
          </w:tcPr>
          <w:p w:rsidR="006312E8" w:rsidRPr="006312E8" w:rsidRDefault="006312E8" w:rsidP="006312E8">
            <w:pPr>
              <w:spacing w:after="200" w:line="276" w:lineRule="auto"/>
              <w:jc w:val="center"/>
              <w:rPr>
                <w:rFonts w:ascii="Arial" w:eastAsia="Calibri" w:hAnsi="Arial" w:cs="Arial"/>
                <w:b/>
                <w:lang w:val="es-ES"/>
              </w:rPr>
            </w:pPr>
            <w:r w:rsidRPr="006312E8">
              <w:rPr>
                <w:rFonts w:ascii="Arial" w:eastAsia="Calibri" w:hAnsi="Arial" w:cs="Arial"/>
                <w:b/>
                <w:lang w:val="es-ES"/>
              </w:rPr>
              <w:t>01.08.2013</w:t>
            </w:r>
          </w:p>
        </w:tc>
      </w:tr>
      <w:tr w:rsidR="006312E8" w:rsidRPr="006312E8" w:rsidTr="00D04998">
        <w:tc>
          <w:tcPr>
            <w:tcW w:w="2804"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Artículo 25</w:t>
            </w:r>
          </w:p>
        </w:tc>
        <w:tc>
          <w:tcPr>
            <w:tcW w:w="7119"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 xml:space="preserve">MODIFICADO </w:t>
            </w:r>
            <w:r w:rsidRPr="006312E8">
              <w:rPr>
                <w:rFonts w:ascii="Arial" w:eastAsia="Calibri" w:hAnsi="Arial" w:cs="Arial"/>
                <w:lang w:val="es-ES"/>
              </w:rPr>
              <w:t>por</w:t>
            </w:r>
            <w:r w:rsidRPr="006312E8">
              <w:rPr>
                <w:rFonts w:ascii="Arial" w:eastAsia="Calibri" w:hAnsi="Arial" w:cs="Arial"/>
                <w:b/>
                <w:lang w:val="es-ES"/>
              </w:rPr>
              <w:t xml:space="preserve"> </w:t>
            </w:r>
            <w:r w:rsidRPr="006312E8">
              <w:rPr>
                <w:rFonts w:ascii="Arial" w:eastAsia="Calibri" w:hAnsi="Arial" w:cs="Arial"/>
                <w:lang w:val="es-ES"/>
              </w:rPr>
              <w:t>el Artículo 1 del Decreto Supremo Nº 013-2012-VIVIENDA</w:t>
            </w:r>
          </w:p>
        </w:tc>
        <w:tc>
          <w:tcPr>
            <w:tcW w:w="3261" w:type="dxa"/>
          </w:tcPr>
          <w:p w:rsidR="006312E8" w:rsidRPr="006312E8" w:rsidRDefault="006312E8" w:rsidP="006312E8">
            <w:pPr>
              <w:spacing w:after="200" w:line="276" w:lineRule="auto"/>
              <w:jc w:val="center"/>
              <w:rPr>
                <w:rFonts w:ascii="Arial" w:eastAsia="Calibri" w:hAnsi="Arial" w:cs="Arial"/>
                <w:b/>
                <w:lang w:val="es-ES"/>
              </w:rPr>
            </w:pPr>
            <w:r w:rsidRPr="006312E8">
              <w:rPr>
                <w:rFonts w:ascii="Arial" w:eastAsia="Calibri" w:hAnsi="Arial" w:cs="Arial"/>
                <w:b/>
                <w:lang w:val="es-ES"/>
              </w:rPr>
              <w:t>03.06.2012</w:t>
            </w:r>
          </w:p>
        </w:tc>
      </w:tr>
      <w:tr w:rsidR="006312E8" w:rsidRPr="006312E8" w:rsidTr="00D04998">
        <w:tc>
          <w:tcPr>
            <w:tcW w:w="2804"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Artículo 36</w:t>
            </w:r>
          </w:p>
        </w:tc>
        <w:tc>
          <w:tcPr>
            <w:tcW w:w="7119"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 xml:space="preserve">MODIFICADO </w:t>
            </w:r>
            <w:r w:rsidRPr="006312E8">
              <w:rPr>
                <w:rFonts w:ascii="Arial" w:eastAsia="Calibri" w:hAnsi="Arial" w:cs="Arial"/>
                <w:lang w:val="es-ES"/>
              </w:rPr>
              <w:t>por el</w:t>
            </w:r>
            <w:r w:rsidRPr="006312E8">
              <w:rPr>
                <w:rFonts w:ascii="Arial" w:eastAsia="Calibri" w:hAnsi="Arial" w:cs="Arial"/>
                <w:b/>
                <w:lang w:val="es-ES"/>
              </w:rPr>
              <w:t xml:space="preserve"> </w:t>
            </w:r>
            <w:r w:rsidRPr="006312E8">
              <w:rPr>
                <w:rFonts w:ascii="Arial" w:eastAsia="Calibri" w:hAnsi="Arial" w:cs="Arial"/>
                <w:lang w:val="es-ES"/>
              </w:rPr>
              <w:t>Artículo 1 del Decreto Supremo Nº 013-2012-VIVIENDA</w:t>
            </w:r>
          </w:p>
        </w:tc>
        <w:tc>
          <w:tcPr>
            <w:tcW w:w="3261" w:type="dxa"/>
          </w:tcPr>
          <w:p w:rsidR="006312E8" w:rsidRPr="006312E8" w:rsidRDefault="006312E8" w:rsidP="006312E8">
            <w:pPr>
              <w:spacing w:after="200" w:line="276" w:lineRule="auto"/>
              <w:jc w:val="center"/>
              <w:rPr>
                <w:rFonts w:ascii="Arial" w:eastAsia="Calibri" w:hAnsi="Arial" w:cs="Arial"/>
                <w:b/>
                <w:lang w:val="es-ES"/>
              </w:rPr>
            </w:pPr>
            <w:r w:rsidRPr="006312E8">
              <w:rPr>
                <w:rFonts w:ascii="Arial" w:eastAsia="Calibri" w:hAnsi="Arial" w:cs="Arial"/>
                <w:b/>
                <w:lang w:val="es-ES"/>
              </w:rPr>
              <w:t>03.06.2012</w:t>
            </w:r>
          </w:p>
        </w:tc>
      </w:tr>
      <w:tr w:rsidR="006312E8" w:rsidRPr="006312E8" w:rsidTr="00D04998">
        <w:tc>
          <w:tcPr>
            <w:tcW w:w="2804"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Artículo 41</w:t>
            </w:r>
          </w:p>
        </w:tc>
        <w:tc>
          <w:tcPr>
            <w:tcW w:w="7119"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 xml:space="preserve">MODIFICADO </w:t>
            </w:r>
            <w:r w:rsidRPr="006312E8">
              <w:rPr>
                <w:rFonts w:ascii="Arial" w:eastAsia="Calibri" w:hAnsi="Arial" w:cs="Arial"/>
                <w:lang w:val="es-ES"/>
              </w:rPr>
              <w:t>por el Artículo 1 del Decreto Supremo Nº 017-2009-VIVIENDA</w:t>
            </w:r>
          </w:p>
        </w:tc>
        <w:tc>
          <w:tcPr>
            <w:tcW w:w="3261" w:type="dxa"/>
          </w:tcPr>
          <w:p w:rsidR="006312E8" w:rsidRPr="006312E8" w:rsidRDefault="006312E8" w:rsidP="006312E8">
            <w:pPr>
              <w:spacing w:after="200" w:line="276" w:lineRule="auto"/>
              <w:jc w:val="center"/>
              <w:rPr>
                <w:rFonts w:ascii="Arial" w:eastAsia="Calibri" w:hAnsi="Arial" w:cs="Arial"/>
                <w:b/>
                <w:lang w:val="es-ES"/>
              </w:rPr>
            </w:pPr>
            <w:r w:rsidRPr="006312E8">
              <w:rPr>
                <w:rFonts w:ascii="Arial" w:eastAsia="Calibri" w:hAnsi="Arial" w:cs="Arial"/>
                <w:b/>
                <w:lang w:val="es-ES"/>
              </w:rPr>
              <w:t>24.10.2009</w:t>
            </w:r>
          </w:p>
        </w:tc>
      </w:tr>
      <w:tr w:rsidR="006312E8" w:rsidRPr="006312E8" w:rsidTr="00D04998">
        <w:tc>
          <w:tcPr>
            <w:tcW w:w="2804"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Artículo 41-A</w:t>
            </w:r>
          </w:p>
        </w:tc>
        <w:tc>
          <w:tcPr>
            <w:tcW w:w="7119"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 xml:space="preserve">INCORPORADO </w:t>
            </w:r>
            <w:r w:rsidRPr="006312E8">
              <w:rPr>
                <w:rFonts w:ascii="Arial" w:eastAsia="Calibri" w:hAnsi="Arial" w:cs="Arial"/>
                <w:lang w:val="es-ES"/>
              </w:rPr>
              <w:t>por el Artículo 2 del Decreto Supremo Nº 017-2009-VIVIENDA</w:t>
            </w:r>
          </w:p>
        </w:tc>
        <w:tc>
          <w:tcPr>
            <w:tcW w:w="3261" w:type="dxa"/>
          </w:tcPr>
          <w:p w:rsidR="006312E8" w:rsidRPr="006312E8" w:rsidRDefault="006312E8" w:rsidP="006312E8">
            <w:pPr>
              <w:spacing w:after="200" w:line="276" w:lineRule="auto"/>
              <w:jc w:val="center"/>
              <w:rPr>
                <w:rFonts w:ascii="Arial" w:eastAsia="Calibri" w:hAnsi="Arial" w:cs="Arial"/>
                <w:b/>
                <w:lang w:val="es-ES"/>
              </w:rPr>
            </w:pPr>
            <w:r w:rsidRPr="006312E8">
              <w:rPr>
                <w:rFonts w:ascii="Arial" w:eastAsia="Calibri" w:hAnsi="Arial" w:cs="Arial"/>
                <w:b/>
                <w:lang w:val="es-ES"/>
              </w:rPr>
              <w:t>24.10.2009</w:t>
            </w:r>
          </w:p>
        </w:tc>
      </w:tr>
      <w:tr w:rsidR="006312E8" w:rsidRPr="006312E8" w:rsidTr="00D04998">
        <w:tc>
          <w:tcPr>
            <w:tcW w:w="2804"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Artículo 48</w:t>
            </w:r>
          </w:p>
        </w:tc>
        <w:tc>
          <w:tcPr>
            <w:tcW w:w="7119"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 xml:space="preserve">MODIFICADO </w:t>
            </w:r>
            <w:r w:rsidRPr="006312E8">
              <w:rPr>
                <w:rFonts w:ascii="Arial" w:eastAsia="Calibri" w:hAnsi="Arial" w:cs="Arial"/>
                <w:lang w:val="es-ES"/>
              </w:rPr>
              <w:t>por el Artículo 1 del Decreto Supremo N° 016-2009-VIVIENDA</w:t>
            </w:r>
          </w:p>
        </w:tc>
        <w:tc>
          <w:tcPr>
            <w:tcW w:w="3261" w:type="dxa"/>
          </w:tcPr>
          <w:p w:rsidR="006312E8" w:rsidRPr="006312E8" w:rsidRDefault="006312E8" w:rsidP="006312E8">
            <w:pPr>
              <w:spacing w:after="200" w:line="276" w:lineRule="auto"/>
              <w:jc w:val="center"/>
              <w:rPr>
                <w:rFonts w:ascii="Arial" w:eastAsia="Calibri" w:hAnsi="Arial" w:cs="Arial"/>
                <w:b/>
                <w:lang w:val="es-ES"/>
              </w:rPr>
            </w:pPr>
            <w:r w:rsidRPr="006312E8">
              <w:rPr>
                <w:rFonts w:ascii="Arial" w:eastAsia="Calibri" w:hAnsi="Arial" w:cs="Arial"/>
                <w:b/>
                <w:lang w:val="es-ES"/>
              </w:rPr>
              <w:t>18.09.2009</w:t>
            </w:r>
          </w:p>
        </w:tc>
      </w:tr>
      <w:tr w:rsidR="006312E8" w:rsidRPr="006312E8" w:rsidTr="00D04998">
        <w:tc>
          <w:tcPr>
            <w:tcW w:w="2804"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Artículo 48</w:t>
            </w:r>
          </w:p>
        </w:tc>
        <w:tc>
          <w:tcPr>
            <w:tcW w:w="7119"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 xml:space="preserve">MODIFICADO </w:t>
            </w:r>
            <w:r w:rsidRPr="006312E8">
              <w:rPr>
                <w:rFonts w:ascii="Arial" w:eastAsia="Calibri" w:hAnsi="Arial" w:cs="Arial"/>
                <w:lang w:val="es-ES"/>
              </w:rPr>
              <w:t>por el Artículo 1 del Decreto Supremo N° 009-2013/VIVIENDA</w:t>
            </w:r>
          </w:p>
        </w:tc>
        <w:tc>
          <w:tcPr>
            <w:tcW w:w="3261" w:type="dxa"/>
          </w:tcPr>
          <w:p w:rsidR="006312E8" w:rsidRPr="006312E8" w:rsidRDefault="006312E8" w:rsidP="006312E8">
            <w:pPr>
              <w:spacing w:after="200" w:line="276" w:lineRule="auto"/>
              <w:jc w:val="center"/>
              <w:rPr>
                <w:rFonts w:ascii="Arial" w:eastAsia="Calibri" w:hAnsi="Arial" w:cs="Arial"/>
                <w:b/>
                <w:lang w:val="es-ES"/>
              </w:rPr>
            </w:pPr>
            <w:r w:rsidRPr="006312E8">
              <w:rPr>
                <w:rFonts w:ascii="Arial" w:eastAsia="Calibri" w:hAnsi="Arial" w:cs="Arial"/>
                <w:b/>
                <w:lang w:val="es-ES"/>
              </w:rPr>
              <w:t>01.08.2013</w:t>
            </w:r>
          </w:p>
        </w:tc>
      </w:tr>
      <w:tr w:rsidR="006312E8" w:rsidRPr="006312E8" w:rsidTr="00D04998">
        <w:tc>
          <w:tcPr>
            <w:tcW w:w="2804"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Artículo 49-A</w:t>
            </w:r>
          </w:p>
        </w:tc>
        <w:tc>
          <w:tcPr>
            <w:tcW w:w="7119"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 xml:space="preserve">INCORPORADO </w:t>
            </w:r>
            <w:r w:rsidRPr="006312E8">
              <w:rPr>
                <w:rFonts w:ascii="Arial" w:eastAsia="Calibri" w:hAnsi="Arial" w:cs="Arial"/>
                <w:lang w:val="es-ES"/>
              </w:rPr>
              <w:t>por el Artículo 2 del Decreto Supremo N° 013-2012-VIVIENDA</w:t>
            </w:r>
          </w:p>
        </w:tc>
        <w:tc>
          <w:tcPr>
            <w:tcW w:w="3261" w:type="dxa"/>
          </w:tcPr>
          <w:p w:rsidR="006312E8" w:rsidRPr="006312E8" w:rsidRDefault="006312E8" w:rsidP="006312E8">
            <w:pPr>
              <w:spacing w:after="200" w:line="276" w:lineRule="auto"/>
              <w:jc w:val="center"/>
              <w:rPr>
                <w:rFonts w:ascii="Arial" w:eastAsia="Calibri" w:hAnsi="Arial" w:cs="Arial"/>
                <w:b/>
                <w:lang w:val="es-ES"/>
              </w:rPr>
            </w:pPr>
            <w:r w:rsidRPr="006312E8">
              <w:rPr>
                <w:rFonts w:ascii="Arial" w:eastAsia="Calibri" w:hAnsi="Arial" w:cs="Arial"/>
                <w:b/>
                <w:lang w:val="es-ES"/>
              </w:rPr>
              <w:t>03.06.2012</w:t>
            </w:r>
          </w:p>
        </w:tc>
      </w:tr>
      <w:tr w:rsidR="006312E8" w:rsidRPr="006312E8" w:rsidTr="00D04998">
        <w:tc>
          <w:tcPr>
            <w:tcW w:w="2804"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Artículo 49-A</w:t>
            </w:r>
          </w:p>
        </w:tc>
        <w:tc>
          <w:tcPr>
            <w:tcW w:w="7119"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 xml:space="preserve">MODIFICADO </w:t>
            </w:r>
            <w:r w:rsidRPr="006312E8">
              <w:rPr>
                <w:rFonts w:ascii="Arial" w:eastAsia="Calibri" w:hAnsi="Arial" w:cs="Arial"/>
                <w:lang w:val="es-ES"/>
              </w:rPr>
              <w:t>por el Artículo 1 del Decreto Supremo N° 009-2013/VIVIENDA</w:t>
            </w:r>
          </w:p>
        </w:tc>
        <w:tc>
          <w:tcPr>
            <w:tcW w:w="3261" w:type="dxa"/>
          </w:tcPr>
          <w:p w:rsidR="006312E8" w:rsidRPr="006312E8" w:rsidRDefault="006312E8" w:rsidP="006312E8">
            <w:pPr>
              <w:spacing w:after="200" w:line="276" w:lineRule="auto"/>
              <w:jc w:val="center"/>
              <w:rPr>
                <w:rFonts w:ascii="Arial" w:eastAsia="Calibri" w:hAnsi="Arial" w:cs="Arial"/>
                <w:b/>
                <w:lang w:val="es-ES"/>
              </w:rPr>
            </w:pPr>
            <w:r w:rsidRPr="006312E8">
              <w:rPr>
                <w:rFonts w:ascii="Arial" w:eastAsia="Calibri" w:hAnsi="Arial" w:cs="Arial"/>
                <w:b/>
                <w:lang w:val="es-ES"/>
              </w:rPr>
              <w:t>01.08.2013</w:t>
            </w:r>
          </w:p>
        </w:tc>
      </w:tr>
      <w:tr w:rsidR="006312E8" w:rsidRPr="006312E8" w:rsidTr="00D04998">
        <w:tc>
          <w:tcPr>
            <w:tcW w:w="2804"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Artículo 58</w:t>
            </w:r>
          </w:p>
        </w:tc>
        <w:tc>
          <w:tcPr>
            <w:tcW w:w="7119"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 xml:space="preserve">DEROGADO </w:t>
            </w:r>
            <w:r w:rsidRPr="006312E8">
              <w:rPr>
                <w:rFonts w:ascii="Arial" w:eastAsia="Calibri" w:hAnsi="Arial" w:cs="Arial"/>
                <w:lang w:val="es-ES"/>
              </w:rPr>
              <w:t>tácitamente por el Decreto Legislativo Nº 1104</w:t>
            </w:r>
          </w:p>
        </w:tc>
        <w:tc>
          <w:tcPr>
            <w:tcW w:w="3261" w:type="dxa"/>
          </w:tcPr>
          <w:p w:rsidR="006312E8" w:rsidRPr="006312E8" w:rsidRDefault="006312E8" w:rsidP="006312E8">
            <w:pPr>
              <w:spacing w:after="200" w:line="276" w:lineRule="auto"/>
              <w:jc w:val="center"/>
              <w:rPr>
                <w:rFonts w:ascii="Arial" w:eastAsia="Calibri" w:hAnsi="Arial" w:cs="Arial"/>
                <w:b/>
                <w:lang w:val="es-ES"/>
              </w:rPr>
            </w:pPr>
            <w:r w:rsidRPr="006312E8">
              <w:rPr>
                <w:rFonts w:ascii="Arial" w:eastAsia="Calibri" w:hAnsi="Arial" w:cs="Arial"/>
                <w:b/>
                <w:lang w:val="es-ES"/>
              </w:rPr>
              <w:t>19.04.2012</w:t>
            </w:r>
          </w:p>
        </w:tc>
      </w:tr>
      <w:tr w:rsidR="006312E8" w:rsidRPr="006312E8" w:rsidTr="00D04998">
        <w:tc>
          <w:tcPr>
            <w:tcW w:w="2804"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Artículo 59</w:t>
            </w:r>
          </w:p>
        </w:tc>
        <w:tc>
          <w:tcPr>
            <w:tcW w:w="7119"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 xml:space="preserve">DEROGADO </w:t>
            </w:r>
            <w:r w:rsidRPr="006312E8">
              <w:rPr>
                <w:rFonts w:ascii="Arial" w:eastAsia="Calibri" w:hAnsi="Arial" w:cs="Arial"/>
                <w:lang w:val="es-ES"/>
              </w:rPr>
              <w:t>tácitamente por el Decreto Legislativo Nº 1104</w:t>
            </w:r>
          </w:p>
        </w:tc>
        <w:tc>
          <w:tcPr>
            <w:tcW w:w="3261" w:type="dxa"/>
          </w:tcPr>
          <w:p w:rsidR="006312E8" w:rsidRPr="006312E8" w:rsidRDefault="006312E8" w:rsidP="006312E8">
            <w:pPr>
              <w:spacing w:after="200" w:line="276" w:lineRule="auto"/>
              <w:jc w:val="center"/>
              <w:rPr>
                <w:rFonts w:ascii="Arial" w:eastAsia="Calibri" w:hAnsi="Arial" w:cs="Arial"/>
                <w:b/>
                <w:lang w:val="es-ES"/>
              </w:rPr>
            </w:pPr>
            <w:r w:rsidRPr="006312E8">
              <w:rPr>
                <w:rFonts w:ascii="Arial" w:eastAsia="Calibri" w:hAnsi="Arial" w:cs="Arial"/>
                <w:b/>
                <w:lang w:val="es-ES"/>
              </w:rPr>
              <w:t>19.04.2012</w:t>
            </w:r>
          </w:p>
        </w:tc>
      </w:tr>
      <w:tr w:rsidR="006312E8" w:rsidRPr="006312E8" w:rsidTr="00D04998">
        <w:tc>
          <w:tcPr>
            <w:tcW w:w="2804"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Artículo 62</w:t>
            </w:r>
          </w:p>
        </w:tc>
        <w:tc>
          <w:tcPr>
            <w:tcW w:w="7119"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 xml:space="preserve">MODIFICADO </w:t>
            </w:r>
            <w:r w:rsidRPr="006312E8">
              <w:rPr>
                <w:rFonts w:ascii="Arial" w:eastAsia="Calibri" w:hAnsi="Arial" w:cs="Arial"/>
                <w:lang w:val="es-ES"/>
              </w:rPr>
              <w:t>por el</w:t>
            </w:r>
            <w:r w:rsidRPr="006312E8">
              <w:rPr>
                <w:rFonts w:ascii="Arial" w:eastAsia="Calibri" w:hAnsi="Arial" w:cs="Arial"/>
                <w:b/>
                <w:lang w:val="es-ES"/>
              </w:rPr>
              <w:t xml:space="preserve"> </w:t>
            </w:r>
            <w:r w:rsidRPr="006312E8">
              <w:rPr>
                <w:rFonts w:ascii="Arial" w:eastAsia="Calibri" w:hAnsi="Arial" w:cs="Arial"/>
                <w:lang w:val="es-ES"/>
              </w:rPr>
              <w:t>Artículo 1 del Decreto Supremo N° 009-2013/VIVIENDA</w:t>
            </w:r>
          </w:p>
        </w:tc>
        <w:tc>
          <w:tcPr>
            <w:tcW w:w="3261" w:type="dxa"/>
          </w:tcPr>
          <w:p w:rsidR="006312E8" w:rsidRPr="006312E8" w:rsidRDefault="006312E8" w:rsidP="006312E8">
            <w:pPr>
              <w:spacing w:after="200" w:line="276" w:lineRule="auto"/>
              <w:jc w:val="center"/>
              <w:rPr>
                <w:rFonts w:ascii="Arial" w:eastAsia="Calibri" w:hAnsi="Arial" w:cs="Arial"/>
                <w:b/>
                <w:lang w:val="es-ES"/>
              </w:rPr>
            </w:pPr>
            <w:r w:rsidRPr="006312E8">
              <w:rPr>
                <w:rFonts w:ascii="Arial" w:eastAsia="Calibri" w:hAnsi="Arial" w:cs="Arial"/>
                <w:b/>
                <w:lang w:val="es-ES"/>
              </w:rPr>
              <w:t>01.08.2013</w:t>
            </w:r>
          </w:p>
        </w:tc>
      </w:tr>
      <w:tr w:rsidR="006312E8" w:rsidRPr="006312E8" w:rsidTr="00D04998">
        <w:tc>
          <w:tcPr>
            <w:tcW w:w="2804"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Artículo 66</w:t>
            </w:r>
          </w:p>
        </w:tc>
        <w:tc>
          <w:tcPr>
            <w:tcW w:w="7119"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 xml:space="preserve">MODIFICADO </w:t>
            </w:r>
            <w:r w:rsidRPr="006312E8">
              <w:rPr>
                <w:rFonts w:ascii="Arial" w:eastAsia="Calibri" w:hAnsi="Arial" w:cs="Arial"/>
                <w:lang w:val="es-ES"/>
              </w:rPr>
              <w:t>por el Artículo 1 del Decreto Supremo N° 009-2013/VIVIENDA</w:t>
            </w:r>
          </w:p>
        </w:tc>
        <w:tc>
          <w:tcPr>
            <w:tcW w:w="3261" w:type="dxa"/>
          </w:tcPr>
          <w:p w:rsidR="006312E8" w:rsidRPr="006312E8" w:rsidRDefault="006312E8" w:rsidP="006312E8">
            <w:pPr>
              <w:spacing w:after="200" w:line="276" w:lineRule="auto"/>
              <w:jc w:val="center"/>
              <w:rPr>
                <w:rFonts w:ascii="Arial" w:eastAsia="Calibri" w:hAnsi="Arial" w:cs="Arial"/>
                <w:b/>
                <w:lang w:val="es-ES"/>
              </w:rPr>
            </w:pPr>
            <w:r w:rsidRPr="006312E8">
              <w:rPr>
                <w:rFonts w:ascii="Arial" w:eastAsia="Calibri" w:hAnsi="Arial" w:cs="Arial"/>
                <w:b/>
                <w:lang w:val="es-ES"/>
              </w:rPr>
              <w:t>01.08.2013</w:t>
            </w:r>
          </w:p>
        </w:tc>
      </w:tr>
      <w:tr w:rsidR="006312E8" w:rsidRPr="006312E8" w:rsidTr="00D04998">
        <w:tc>
          <w:tcPr>
            <w:tcW w:w="2804"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Artículo 67</w:t>
            </w:r>
          </w:p>
        </w:tc>
        <w:tc>
          <w:tcPr>
            <w:tcW w:w="7119" w:type="dxa"/>
          </w:tcPr>
          <w:p w:rsidR="006312E8" w:rsidRPr="006312E8" w:rsidRDefault="006312E8" w:rsidP="006312E8">
            <w:pPr>
              <w:spacing w:after="200" w:line="276" w:lineRule="auto"/>
              <w:jc w:val="both"/>
              <w:rPr>
                <w:rFonts w:ascii="Arial" w:eastAsia="Calibri" w:hAnsi="Arial" w:cs="Arial"/>
                <w:lang w:val="es-ES"/>
              </w:rPr>
            </w:pPr>
            <w:r w:rsidRPr="006312E8">
              <w:rPr>
                <w:rFonts w:ascii="Arial" w:eastAsia="Calibri" w:hAnsi="Arial" w:cs="Arial"/>
                <w:b/>
                <w:lang w:val="es-ES"/>
              </w:rPr>
              <w:t xml:space="preserve">MODIFICADO </w:t>
            </w:r>
            <w:r w:rsidRPr="006312E8">
              <w:rPr>
                <w:rFonts w:ascii="Arial" w:eastAsia="Calibri" w:hAnsi="Arial" w:cs="Arial"/>
                <w:lang w:val="es-ES"/>
              </w:rPr>
              <w:t>por el artículo 1 del Decreto Supremo N° 009-2013/VIVIENDA</w:t>
            </w:r>
          </w:p>
        </w:tc>
        <w:tc>
          <w:tcPr>
            <w:tcW w:w="3261" w:type="dxa"/>
          </w:tcPr>
          <w:p w:rsidR="006312E8" w:rsidRPr="006312E8" w:rsidRDefault="006312E8" w:rsidP="006312E8">
            <w:pPr>
              <w:spacing w:after="200" w:line="276" w:lineRule="auto"/>
              <w:jc w:val="center"/>
              <w:rPr>
                <w:rFonts w:ascii="Arial" w:eastAsia="Calibri" w:hAnsi="Arial" w:cs="Arial"/>
                <w:b/>
                <w:lang w:val="es-ES"/>
              </w:rPr>
            </w:pPr>
            <w:r w:rsidRPr="006312E8">
              <w:rPr>
                <w:rFonts w:ascii="Arial" w:eastAsia="Calibri" w:hAnsi="Arial" w:cs="Arial"/>
                <w:b/>
                <w:lang w:val="es-ES"/>
              </w:rPr>
              <w:t>01.08.2013</w:t>
            </w:r>
          </w:p>
        </w:tc>
      </w:tr>
      <w:tr w:rsidR="006312E8" w:rsidRPr="006312E8" w:rsidTr="00D04998">
        <w:tc>
          <w:tcPr>
            <w:tcW w:w="2804"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Artículo 70</w:t>
            </w:r>
          </w:p>
        </w:tc>
        <w:tc>
          <w:tcPr>
            <w:tcW w:w="7119" w:type="dxa"/>
          </w:tcPr>
          <w:p w:rsidR="006312E8" w:rsidRPr="006312E8" w:rsidRDefault="006312E8" w:rsidP="006312E8">
            <w:pPr>
              <w:spacing w:after="200" w:line="276" w:lineRule="auto"/>
              <w:jc w:val="both"/>
              <w:rPr>
                <w:rFonts w:ascii="Arial" w:eastAsia="Calibri" w:hAnsi="Arial" w:cs="Arial"/>
                <w:lang w:val="es-ES"/>
              </w:rPr>
            </w:pPr>
            <w:r w:rsidRPr="006312E8">
              <w:rPr>
                <w:rFonts w:ascii="Arial" w:eastAsia="Calibri" w:hAnsi="Arial" w:cs="Arial"/>
                <w:b/>
                <w:lang w:val="es-ES"/>
              </w:rPr>
              <w:t xml:space="preserve">MODIFICADO </w:t>
            </w:r>
            <w:r w:rsidRPr="006312E8">
              <w:rPr>
                <w:rFonts w:ascii="Arial" w:eastAsia="Calibri" w:hAnsi="Arial" w:cs="Arial"/>
                <w:lang w:val="es-ES"/>
              </w:rPr>
              <w:t>por el Artículo 1 del Decreto Supremo Nº 013-2012-VIVIENDA</w:t>
            </w:r>
          </w:p>
        </w:tc>
        <w:tc>
          <w:tcPr>
            <w:tcW w:w="3261" w:type="dxa"/>
          </w:tcPr>
          <w:p w:rsidR="006312E8" w:rsidRPr="006312E8" w:rsidRDefault="006312E8" w:rsidP="006312E8">
            <w:pPr>
              <w:spacing w:after="200" w:line="276" w:lineRule="auto"/>
              <w:jc w:val="center"/>
              <w:rPr>
                <w:rFonts w:ascii="Arial" w:eastAsia="Calibri" w:hAnsi="Arial" w:cs="Arial"/>
                <w:b/>
                <w:lang w:val="es-ES"/>
              </w:rPr>
            </w:pPr>
            <w:r w:rsidRPr="006312E8">
              <w:rPr>
                <w:rFonts w:ascii="Arial" w:eastAsia="Calibri" w:hAnsi="Arial" w:cs="Arial"/>
                <w:b/>
                <w:lang w:val="es-ES"/>
              </w:rPr>
              <w:t>03.06.2012</w:t>
            </w:r>
          </w:p>
        </w:tc>
      </w:tr>
      <w:tr w:rsidR="006312E8" w:rsidRPr="006312E8" w:rsidTr="00D04998">
        <w:tc>
          <w:tcPr>
            <w:tcW w:w="2804"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Artículo 74</w:t>
            </w:r>
          </w:p>
        </w:tc>
        <w:tc>
          <w:tcPr>
            <w:tcW w:w="7119" w:type="dxa"/>
          </w:tcPr>
          <w:p w:rsidR="006312E8" w:rsidRPr="006312E8" w:rsidRDefault="006312E8" w:rsidP="006312E8">
            <w:pPr>
              <w:spacing w:after="200" w:line="276" w:lineRule="auto"/>
              <w:jc w:val="both"/>
              <w:rPr>
                <w:rFonts w:ascii="Arial" w:eastAsia="Calibri" w:hAnsi="Arial" w:cs="Arial"/>
                <w:lang w:val="es-ES"/>
              </w:rPr>
            </w:pPr>
            <w:r w:rsidRPr="006312E8">
              <w:rPr>
                <w:rFonts w:ascii="Arial" w:eastAsia="Calibri" w:hAnsi="Arial" w:cs="Arial"/>
                <w:b/>
                <w:lang w:val="es-ES"/>
              </w:rPr>
              <w:t>MODIFICADO</w:t>
            </w:r>
            <w:r w:rsidRPr="006312E8">
              <w:rPr>
                <w:rFonts w:ascii="Arial" w:eastAsia="Calibri" w:hAnsi="Arial" w:cs="Arial"/>
                <w:lang w:val="es-ES"/>
              </w:rPr>
              <w:t xml:space="preserve"> por el Artículo 1 del Decreto Supremo Nº 002-2009-VIVIENDA</w:t>
            </w:r>
          </w:p>
        </w:tc>
        <w:tc>
          <w:tcPr>
            <w:tcW w:w="3261" w:type="dxa"/>
          </w:tcPr>
          <w:p w:rsidR="006312E8" w:rsidRPr="006312E8" w:rsidRDefault="006312E8" w:rsidP="006312E8">
            <w:pPr>
              <w:spacing w:after="200" w:line="276" w:lineRule="auto"/>
              <w:jc w:val="center"/>
              <w:rPr>
                <w:rFonts w:ascii="Arial" w:eastAsia="Calibri" w:hAnsi="Arial" w:cs="Arial"/>
                <w:b/>
                <w:lang w:val="es-ES"/>
              </w:rPr>
            </w:pPr>
            <w:r w:rsidRPr="006312E8">
              <w:rPr>
                <w:rFonts w:ascii="Arial" w:eastAsia="Calibri" w:hAnsi="Arial" w:cs="Arial"/>
                <w:b/>
                <w:lang w:val="es-ES"/>
              </w:rPr>
              <w:t>07.02.2009</w:t>
            </w:r>
          </w:p>
        </w:tc>
      </w:tr>
      <w:tr w:rsidR="006312E8" w:rsidRPr="006312E8" w:rsidTr="00D04998">
        <w:tc>
          <w:tcPr>
            <w:tcW w:w="2804"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Artículo 74</w:t>
            </w:r>
          </w:p>
        </w:tc>
        <w:tc>
          <w:tcPr>
            <w:tcW w:w="7119"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 xml:space="preserve">MODIFICADO </w:t>
            </w:r>
            <w:r w:rsidRPr="006312E8">
              <w:rPr>
                <w:rFonts w:ascii="Arial" w:eastAsia="Calibri" w:hAnsi="Arial" w:cs="Arial"/>
                <w:lang w:val="es-ES"/>
              </w:rPr>
              <w:t>por el Artículo 1 del Decreto Supremo Nº 013-2012-VIVIENDA</w:t>
            </w:r>
          </w:p>
        </w:tc>
        <w:tc>
          <w:tcPr>
            <w:tcW w:w="3261" w:type="dxa"/>
          </w:tcPr>
          <w:p w:rsidR="006312E8" w:rsidRPr="006312E8" w:rsidRDefault="006312E8" w:rsidP="006312E8">
            <w:pPr>
              <w:spacing w:after="200" w:line="276" w:lineRule="auto"/>
              <w:jc w:val="center"/>
              <w:rPr>
                <w:rFonts w:ascii="Arial" w:eastAsia="Calibri" w:hAnsi="Arial" w:cs="Arial"/>
                <w:b/>
                <w:lang w:val="es-ES"/>
              </w:rPr>
            </w:pPr>
            <w:r w:rsidRPr="006312E8">
              <w:rPr>
                <w:rFonts w:ascii="Arial" w:eastAsia="Calibri" w:hAnsi="Arial" w:cs="Arial"/>
                <w:b/>
                <w:lang w:val="es-ES"/>
              </w:rPr>
              <w:t>03.06.2012</w:t>
            </w:r>
          </w:p>
        </w:tc>
      </w:tr>
      <w:tr w:rsidR="006312E8" w:rsidRPr="006312E8" w:rsidTr="00D04998">
        <w:tc>
          <w:tcPr>
            <w:tcW w:w="2804"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Artículo 77</w:t>
            </w:r>
          </w:p>
        </w:tc>
        <w:tc>
          <w:tcPr>
            <w:tcW w:w="7119"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 xml:space="preserve">MODIFICADO </w:t>
            </w:r>
            <w:r w:rsidRPr="006312E8">
              <w:rPr>
                <w:rFonts w:ascii="Arial" w:eastAsia="Calibri" w:hAnsi="Arial" w:cs="Arial"/>
                <w:lang w:val="es-ES"/>
              </w:rPr>
              <w:t>por el Artículo 1 del Decreto Supremo Nº 013-2012-VIVIENDA</w:t>
            </w:r>
          </w:p>
        </w:tc>
        <w:tc>
          <w:tcPr>
            <w:tcW w:w="3261" w:type="dxa"/>
          </w:tcPr>
          <w:p w:rsidR="006312E8" w:rsidRPr="006312E8" w:rsidRDefault="006312E8" w:rsidP="006312E8">
            <w:pPr>
              <w:spacing w:after="200" w:line="276" w:lineRule="auto"/>
              <w:jc w:val="center"/>
              <w:rPr>
                <w:rFonts w:ascii="Arial" w:eastAsia="Calibri" w:hAnsi="Arial" w:cs="Arial"/>
                <w:b/>
                <w:lang w:val="es-ES"/>
              </w:rPr>
            </w:pPr>
            <w:r w:rsidRPr="006312E8">
              <w:rPr>
                <w:rFonts w:ascii="Arial" w:eastAsia="Calibri" w:hAnsi="Arial" w:cs="Arial"/>
                <w:b/>
                <w:lang w:val="es-ES"/>
              </w:rPr>
              <w:t>03.06.2012</w:t>
            </w:r>
          </w:p>
        </w:tc>
      </w:tr>
      <w:tr w:rsidR="006312E8" w:rsidRPr="006312E8" w:rsidTr="00D04998">
        <w:tc>
          <w:tcPr>
            <w:tcW w:w="2804"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Artículo 77-A</w:t>
            </w:r>
          </w:p>
        </w:tc>
        <w:tc>
          <w:tcPr>
            <w:tcW w:w="7119"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 xml:space="preserve">INCORPORADO </w:t>
            </w:r>
            <w:r w:rsidRPr="006312E8">
              <w:rPr>
                <w:rFonts w:ascii="Arial" w:eastAsia="Calibri" w:hAnsi="Arial" w:cs="Arial"/>
                <w:lang w:val="es-ES"/>
              </w:rPr>
              <w:t>por el Artículo 2 del Decreto Supremo N° 013-2012-VIVIENDA</w:t>
            </w:r>
          </w:p>
        </w:tc>
        <w:tc>
          <w:tcPr>
            <w:tcW w:w="3261" w:type="dxa"/>
          </w:tcPr>
          <w:p w:rsidR="006312E8" w:rsidRPr="006312E8" w:rsidRDefault="006312E8" w:rsidP="006312E8">
            <w:pPr>
              <w:spacing w:after="200" w:line="276" w:lineRule="auto"/>
              <w:jc w:val="center"/>
              <w:rPr>
                <w:rFonts w:ascii="Arial" w:eastAsia="Calibri" w:hAnsi="Arial" w:cs="Arial"/>
                <w:b/>
                <w:lang w:val="es-ES"/>
              </w:rPr>
            </w:pPr>
            <w:r w:rsidRPr="006312E8">
              <w:rPr>
                <w:rFonts w:ascii="Arial" w:eastAsia="Calibri" w:hAnsi="Arial" w:cs="Arial"/>
                <w:b/>
                <w:lang w:val="es-ES"/>
              </w:rPr>
              <w:t>03.06.2012</w:t>
            </w:r>
          </w:p>
        </w:tc>
      </w:tr>
      <w:tr w:rsidR="006312E8" w:rsidRPr="006312E8" w:rsidTr="00D04998">
        <w:tc>
          <w:tcPr>
            <w:tcW w:w="2804"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Artículo 78</w:t>
            </w:r>
          </w:p>
        </w:tc>
        <w:tc>
          <w:tcPr>
            <w:tcW w:w="7119"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 xml:space="preserve">INCORPORADO </w:t>
            </w:r>
            <w:r w:rsidRPr="006312E8">
              <w:rPr>
                <w:rFonts w:ascii="Arial" w:eastAsia="Calibri" w:hAnsi="Arial" w:cs="Arial"/>
                <w:lang w:val="es-ES"/>
              </w:rPr>
              <w:t>por el Artículo 2 del Decreto Supremo Nº 002-2010-VIVIENDA</w:t>
            </w:r>
          </w:p>
        </w:tc>
        <w:tc>
          <w:tcPr>
            <w:tcW w:w="3261" w:type="dxa"/>
          </w:tcPr>
          <w:p w:rsidR="006312E8" w:rsidRPr="006312E8" w:rsidRDefault="006312E8" w:rsidP="006312E8">
            <w:pPr>
              <w:spacing w:after="200" w:line="276" w:lineRule="auto"/>
              <w:jc w:val="center"/>
              <w:rPr>
                <w:rFonts w:ascii="Arial" w:eastAsia="Calibri" w:hAnsi="Arial" w:cs="Arial"/>
                <w:b/>
                <w:lang w:val="es-ES"/>
              </w:rPr>
            </w:pPr>
            <w:r w:rsidRPr="006312E8">
              <w:rPr>
                <w:rFonts w:ascii="Arial" w:eastAsia="Calibri" w:hAnsi="Arial" w:cs="Arial"/>
                <w:b/>
                <w:lang w:val="es-ES"/>
              </w:rPr>
              <w:t>31.01.2010</w:t>
            </w:r>
          </w:p>
        </w:tc>
      </w:tr>
      <w:tr w:rsidR="006312E8" w:rsidRPr="006312E8" w:rsidTr="00D04998">
        <w:tc>
          <w:tcPr>
            <w:tcW w:w="2804"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Artículo 78</w:t>
            </w:r>
          </w:p>
        </w:tc>
        <w:tc>
          <w:tcPr>
            <w:tcW w:w="7119" w:type="dxa"/>
          </w:tcPr>
          <w:p w:rsidR="006312E8" w:rsidRPr="006312E8" w:rsidRDefault="006312E8" w:rsidP="006312E8">
            <w:pPr>
              <w:spacing w:after="200" w:line="276" w:lineRule="auto"/>
              <w:jc w:val="both"/>
              <w:rPr>
                <w:rFonts w:ascii="Arial" w:eastAsia="Calibri" w:hAnsi="Arial" w:cs="Arial"/>
                <w:lang w:val="es-ES"/>
              </w:rPr>
            </w:pPr>
            <w:r w:rsidRPr="006312E8">
              <w:rPr>
                <w:rFonts w:ascii="Arial" w:eastAsia="Calibri" w:hAnsi="Arial" w:cs="Arial"/>
                <w:b/>
                <w:lang w:val="es-ES"/>
              </w:rPr>
              <w:t>MODIFICADO</w:t>
            </w:r>
            <w:r w:rsidRPr="006312E8">
              <w:rPr>
                <w:rFonts w:ascii="Arial" w:eastAsia="Calibri" w:hAnsi="Arial" w:cs="Arial"/>
                <w:lang w:val="es-ES"/>
              </w:rPr>
              <w:t xml:space="preserve"> por el Artículo 1 del Decreto Supremo Nº 013-2012-VIVIENDA</w:t>
            </w:r>
          </w:p>
        </w:tc>
        <w:tc>
          <w:tcPr>
            <w:tcW w:w="3261" w:type="dxa"/>
          </w:tcPr>
          <w:p w:rsidR="006312E8" w:rsidRPr="006312E8" w:rsidRDefault="006312E8" w:rsidP="006312E8">
            <w:pPr>
              <w:spacing w:after="200" w:line="276" w:lineRule="auto"/>
              <w:jc w:val="center"/>
              <w:rPr>
                <w:rFonts w:ascii="Arial" w:eastAsia="Calibri" w:hAnsi="Arial" w:cs="Arial"/>
                <w:b/>
                <w:lang w:val="es-ES"/>
              </w:rPr>
            </w:pPr>
            <w:r w:rsidRPr="006312E8">
              <w:rPr>
                <w:rFonts w:ascii="Arial" w:eastAsia="Calibri" w:hAnsi="Arial" w:cs="Arial"/>
                <w:b/>
                <w:lang w:val="es-ES"/>
              </w:rPr>
              <w:t>03.06.2012</w:t>
            </w:r>
          </w:p>
        </w:tc>
      </w:tr>
      <w:tr w:rsidR="006312E8" w:rsidRPr="006312E8" w:rsidTr="00D04998">
        <w:tc>
          <w:tcPr>
            <w:tcW w:w="2804"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Artículo 78-A</w:t>
            </w:r>
          </w:p>
        </w:tc>
        <w:tc>
          <w:tcPr>
            <w:tcW w:w="7119" w:type="dxa"/>
          </w:tcPr>
          <w:p w:rsidR="006312E8" w:rsidRPr="006312E8" w:rsidRDefault="006312E8" w:rsidP="006312E8">
            <w:pPr>
              <w:spacing w:after="200" w:line="276" w:lineRule="auto"/>
              <w:jc w:val="both"/>
              <w:rPr>
                <w:rFonts w:ascii="Arial" w:eastAsia="Calibri" w:hAnsi="Arial" w:cs="Arial"/>
                <w:lang w:val="es-ES"/>
              </w:rPr>
            </w:pPr>
            <w:r w:rsidRPr="006312E8">
              <w:rPr>
                <w:rFonts w:ascii="Arial" w:eastAsia="Calibri" w:hAnsi="Arial" w:cs="Arial"/>
                <w:b/>
                <w:lang w:val="es-ES"/>
              </w:rPr>
              <w:t xml:space="preserve">INCORPORADO </w:t>
            </w:r>
            <w:r w:rsidRPr="006312E8">
              <w:rPr>
                <w:rFonts w:ascii="Arial" w:eastAsia="Calibri" w:hAnsi="Arial" w:cs="Arial"/>
                <w:lang w:val="es-ES"/>
              </w:rPr>
              <w:t>por el Artículo 2 del Decreto Supremo N° 013-2012-VIVIENDA,</w:t>
            </w:r>
          </w:p>
        </w:tc>
        <w:tc>
          <w:tcPr>
            <w:tcW w:w="3261" w:type="dxa"/>
          </w:tcPr>
          <w:p w:rsidR="006312E8" w:rsidRPr="006312E8" w:rsidRDefault="006312E8" w:rsidP="006312E8">
            <w:pPr>
              <w:spacing w:after="200" w:line="276" w:lineRule="auto"/>
              <w:jc w:val="center"/>
              <w:rPr>
                <w:rFonts w:ascii="Arial" w:eastAsia="Calibri" w:hAnsi="Arial" w:cs="Arial"/>
                <w:b/>
                <w:lang w:val="es-ES"/>
              </w:rPr>
            </w:pPr>
            <w:r w:rsidRPr="006312E8">
              <w:rPr>
                <w:rFonts w:ascii="Arial" w:eastAsia="Calibri" w:hAnsi="Arial" w:cs="Arial"/>
                <w:b/>
                <w:lang w:val="es-ES"/>
              </w:rPr>
              <w:t>03.06.2012</w:t>
            </w:r>
          </w:p>
        </w:tc>
      </w:tr>
      <w:tr w:rsidR="006312E8" w:rsidRPr="006312E8" w:rsidTr="00D04998">
        <w:tc>
          <w:tcPr>
            <w:tcW w:w="2804"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Artículo 78-B</w:t>
            </w:r>
          </w:p>
        </w:tc>
        <w:tc>
          <w:tcPr>
            <w:tcW w:w="7119" w:type="dxa"/>
          </w:tcPr>
          <w:p w:rsidR="006312E8" w:rsidRPr="006312E8" w:rsidRDefault="006312E8" w:rsidP="006312E8">
            <w:pPr>
              <w:spacing w:after="200" w:line="276" w:lineRule="auto"/>
              <w:jc w:val="both"/>
              <w:rPr>
                <w:rFonts w:ascii="Arial" w:eastAsia="Calibri" w:hAnsi="Arial" w:cs="Arial"/>
                <w:lang w:val="es-ES"/>
              </w:rPr>
            </w:pPr>
            <w:r w:rsidRPr="006312E8">
              <w:rPr>
                <w:rFonts w:ascii="Arial" w:eastAsia="Calibri" w:hAnsi="Arial" w:cs="Arial"/>
                <w:b/>
                <w:lang w:val="es-ES"/>
              </w:rPr>
              <w:t xml:space="preserve">INCORPORADO </w:t>
            </w:r>
            <w:r w:rsidRPr="006312E8">
              <w:rPr>
                <w:rFonts w:ascii="Arial" w:eastAsia="Calibri" w:hAnsi="Arial" w:cs="Arial"/>
                <w:lang w:val="es-ES"/>
              </w:rPr>
              <w:t>por el Artículo 2 del Decreto Supremo N° 013-2012-VIVIENDA,</w:t>
            </w:r>
          </w:p>
        </w:tc>
        <w:tc>
          <w:tcPr>
            <w:tcW w:w="3261" w:type="dxa"/>
          </w:tcPr>
          <w:p w:rsidR="006312E8" w:rsidRPr="006312E8" w:rsidRDefault="006312E8" w:rsidP="006312E8">
            <w:pPr>
              <w:spacing w:after="200" w:line="276" w:lineRule="auto"/>
              <w:jc w:val="center"/>
              <w:rPr>
                <w:rFonts w:ascii="Arial" w:eastAsia="Calibri" w:hAnsi="Arial" w:cs="Arial"/>
                <w:b/>
                <w:lang w:val="es-ES"/>
              </w:rPr>
            </w:pPr>
            <w:r w:rsidRPr="006312E8">
              <w:rPr>
                <w:rFonts w:ascii="Arial" w:eastAsia="Calibri" w:hAnsi="Arial" w:cs="Arial"/>
                <w:b/>
                <w:lang w:val="es-ES"/>
              </w:rPr>
              <w:t>03.06.2012</w:t>
            </w:r>
          </w:p>
        </w:tc>
      </w:tr>
      <w:tr w:rsidR="006312E8" w:rsidRPr="006312E8" w:rsidTr="00D04998">
        <w:tc>
          <w:tcPr>
            <w:tcW w:w="2804"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Artículo 78-C</w:t>
            </w:r>
          </w:p>
        </w:tc>
        <w:tc>
          <w:tcPr>
            <w:tcW w:w="7119" w:type="dxa"/>
          </w:tcPr>
          <w:p w:rsidR="006312E8" w:rsidRPr="006312E8" w:rsidRDefault="006312E8" w:rsidP="006312E8">
            <w:pPr>
              <w:spacing w:after="200" w:line="276" w:lineRule="auto"/>
              <w:jc w:val="both"/>
              <w:rPr>
                <w:rFonts w:ascii="Arial" w:eastAsia="Calibri" w:hAnsi="Arial" w:cs="Arial"/>
                <w:lang w:val="es-ES"/>
              </w:rPr>
            </w:pPr>
            <w:r w:rsidRPr="006312E8">
              <w:rPr>
                <w:rFonts w:ascii="Arial" w:eastAsia="Calibri" w:hAnsi="Arial" w:cs="Arial"/>
                <w:b/>
                <w:lang w:val="es-ES"/>
              </w:rPr>
              <w:t xml:space="preserve">INCORPORADO </w:t>
            </w:r>
            <w:r w:rsidRPr="006312E8">
              <w:rPr>
                <w:rFonts w:ascii="Arial" w:eastAsia="Calibri" w:hAnsi="Arial" w:cs="Arial"/>
                <w:lang w:val="es-ES"/>
              </w:rPr>
              <w:t>por el Artículo 2 del Decreto Supremo N° 013-2012-VIVIENDA,</w:t>
            </w:r>
          </w:p>
        </w:tc>
        <w:tc>
          <w:tcPr>
            <w:tcW w:w="3261" w:type="dxa"/>
          </w:tcPr>
          <w:p w:rsidR="006312E8" w:rsidRPr="006312E8" w:rsidRDefault="006312E8" w:rsidP="006312E8">
            <w:pPr>
              <w:spacing w:after="200" w:line="276" w:lineRule="auto"/>
              <w:jc w:val="center"/>
              <w:rPr>
                <w:rFonts w:ascii="Arial" w:eastAsia="Calibri" w:hAnsi="Arial" w:cs="Arial"/>
                <w:b/>
                <w:lang w:val="es-ES"/>
              </w:rPr>
            </w:pPr>
            <w:r w:rsidRPr="006312E8">
              <w:rPr>
                <w:rFonts w:ascii="Arial" w:eastAsia="Calibri" w:hAnsi="Arial" w:cs="Arial"/>
                <w:b/>
                <w:lang w:val="es-ES"/>
              </w:rPr>
              <w:t>03.06.2012</w:t>
            </w:r>
          </w:p>
        </w:tc>
      </w:tr>
      <w:tr w:rsidR="006312E8" w:rsidRPr="006312E8" w:rsidTr="00D04998">
        <w:tc>
          <w:tcPr>
            <w:tcW w:w="2804"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Artículo 79</w:t>
            </w:r>
          </w:p>
        </w:tc>
        <w:tc>
          <w:tcPr>
            <w:tcW w:w="7119"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 xml:space="preserve">MODIFICADO </w:t>
            </w:r>
            <w:r w:rsidRPr="006312E8">
              <w:rPr>
                <w:rFonts w:ascii="Arial" w:eastAsia="Calibri" w:hAnsi="Arial" w:cs="Arial"/>
                <w:lang w:val="es-ES"/>
              </w:rPr>
              <w:t>por el Artículo 2 del Decreto Supremo N° 013-2012-VIVIENDA</w:t>
            </w:r>
          </w:p>
        </w:tc>
        <w:tc>
          <w:tcPr>
            <w:tcW w:w="3261" w:type="dxa"/>
          </w:tcPr>
          <w:p w:rsidR="006312E8" w:rsidRPr="006312E8" w:rsidRDefault="006312E8" w:rsidP="006312E8">
            <w:pPr>
              <w:spacing w:after="200" w:line="276" w:lineRule="auto"/>
              <w:jc w:val="center"/>
              <w:rPr>
                <w:rFonts w:ascii="Arial" w:eastAsia="Calibri" w:hAnsi="Arial" w:cs="Arial"/>
                <w:b/>
                <w:lang w:val="es-ES"/>
              </w:rPr>
            </w:pPr>
            <w:r w:rsidRPr="006312E8">
              <w:rPr>
                <w:rFonts w:ascii="Arial" w:eastAsia="Calibri" w:hAnsi="Arial" w:cs="Arial"/>
                <w:b/>
                <w:lang w:val="es-ES"/>
              </w:rPr>
              <w:t>03.06.2012</w:t>
            </w:r>
          </w:p>
        </w:tc>
      </w:tr>
      <w:tr w:rsidR="006312E8" w:rsidRPr="006312E8" w:rsidTr="00D04998">
        <w:tc>
          <w:tcPr>
            <w:tcW w:w="2804"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Artículo 84</w:t>
            </w:r>
          </w:p>
        </w:tc>
        <w:tc>
          <w:tcPr>
            <w:tcW w:w="7119" w:type="dxa"/>
          </w:tcPr>
          <w:p w:rsidR="006312E8" w:rsidRPr="006312E8" w:rsidRDefault="006312E8" w:rsidP="006312E8">
            <w:pPr>
              <w:spacing w:after="200" w:line="276" w:lineRule="auto"/>
              <w:jc w:val="both"/>
              <w:rPr>
                <w:rFonts w:ascii="Arial" w:eastAsia="Calibri" w:hAnsi="Arial" w:cs="Arial"/>
                <w:lang w:val="es-ES"/>
              </w:rPr>
            </w:pPr>
            <w:r w:rsidRPr="006312E8">
              <w:rPr>
                <w:rFonts w:ascii="Arial" w:eastAsia="Calibri" w:hAnsi="Arial" w:cs="Arial"/>
                <w:b/>
                <w:lang w:val="es-ES"/>
              </w:rPr>
              <w:t>MODIFICADO</w:t>
            </w:r>
            <w:r w:rsidRPr="006312E8">
              <w:rPr>
                <w:rFonts w:ascii="Arial" w:eastAsia="Calibri" w:hAnsi="Arial" w:cs="Arial"/>
                <w:lang w:val="es-ES"/>
              </w:rPr>
              <w:t xml:space="preserve"> por el artículo 1 del Decreto Supremo N° 009-2013/VIVIENDA</w:t>
            </w:r>
          </w:p>
        </w:tc>
        <w:tc>
          <w:tcPr>
            <w:tcW w:w="3261" w:type="dxa"/>
          </w:tcPr>
          <w:p w:rsidR="006312E8" w:rsidRPr="006312E8" w:rsidRDefault="006312E8" w:rsidP="006312E8">
            <w:pPr>
              <w:spacing w:after="200" w:line="276" w:lineRule="auto"/>
              <w:jc w:val="center"/>
              <w:rPr>
                <w:rFonts w:ascii="Arial" w:eastAsia="Calibri" w:hAnsi="Arial" w:cs="Arial"/>
                <w:b/>
                <w:lang w:val="es-ES"/>
              </w:rPr>
            </w:pPr>
            <w:r w:rsidRPr="006312E8">
              <w:rPr>
                <w:rFonts w:ascii="Arial" w:eastAsia="Calibri" w:hAnsi="Arial" w:cs="Arial"/>
                <w:b/>
                <w:lang w:val="es-ES"/>
              </w:rPr>
              <w:t>01.08.2013</w:t>
            </w:r>
          </w:p>
        </w:tc>
      </w:tr>
      <w:tr w:rsidR="006312E8" w:rsidRPr="006312E8" w:rsidTr="00D04998">
        <w:tc>
          <w:tcPr>
            <w:tcW w:w="2804"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Artículo 100</w:t>
            </w:r>
          </w:p>
        </w:tc>
        <w:tc>
          <w:tcPr>
            <w:tcW w:w="7119" w:type="dxa"/>
          </w:tcPr>
          <w:p w:rsidR="006312E8" w:rsidRPr="006312E8" w:rsidRDefault="006312E8" w:rsidP="006312E8">
            <w:pPr>
              <w:spacing w:after="200" w:line="276" w:lineRule="auto"/>
              <w:jc w:val="both"/>
              <w:rPr>
                <w:rFonts w:ascii="Arial" w:eastAsia="Calibri" w:hAnsi="Arial" w:cs="Arial"/>
                <w:lang w:val="es-ES"/>
              </w:rPr>
            </w:pPr>
            <w:r w:rsidRPr="006312E8">
              <w:rPr>
                <w:rFonts w:ascii="Arial" w:eastAsia="Calibri" w:hAnsi="Arial" w:cs="Arial"/>
                <w:b/>
                <w:lang w:val="es-ES"/>
              </w:rPr>
              <w:t xml:space="preserve">MODIFICADO </w:t>
            </w:r>
            <w:r w:rsidRPr="006312E8">
              <w:rPr>
                <w:rFonts w:ascii="Arial" w:eastAsia="Calibri" w:hAnsi="Arial" w:cs="Arial"/>
                <w:lang w:val="es-ES"/>
              </w:rPr>
              <w:t>por el Artículo 1 del Decreto Supremo Nº 013-2012-VIVIENDA</w:t>
            </w:r>
          </w:p>
        </w:tc>
        <w:tc>
          <w:tcPr>
            <w:tcW w:w="3261" w:type="dxa"/>
          </w:tcPr>
          <w:p w:rsidR="006312E8" w:rsidRPr="006312E8" w:rsidRDefault="006312E8" w:rsidP="006312E8">
            <w:pPr>
              <w:spacing w:after="200" w:line="276" w:lineRule="auto"/>
              <w:jc w:val="center"/>
              <w:rPr>
                <w:rFonts w:ascii="Arial" w:eastAsia="Calibri" w:hAnsi="Arial" w:cs="Arial"/>
                <w:b/>
                <w:lang w:val="es-ES"/>
              </w:rPr>
            </w:pPr>
            <w:r w:rsidRPr="006312E8">
              <w:rPr>
                <w:rFonts w:ascii="Arial" w:eastAsia="Calibri" w:hAnsi="Arial" w:cs="Arial"/>
                <w:b/>
                <w:lang w:val="es-ES"/>
              </w:rPr>
              <w:t>03.06.2012</w:t>
            </w:r>
          </w:p>
        </w:tc>
      </w:tr>
      <w:tr w:rsidR="006312E8" w:rsidRPr="006312E8" w:rsidTr="00D04998">
        <w:tc>
          <w:tcPr>
            <w:tcW w:w="2804"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Artículo 107</w:t>
            </w:r>
          </w:p>
        </w:tc>
        <w:tc>
          <w:tcPr>
            <w:tcW w:w="7119"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 xml:space="preserve">MODIFICADO </w:t>
            </w:r>
            <w:r w:rsidRPr="006312E8">
              <w:rPr>
                <w:rFonts w:ascii="Arial" w:eastAsia="Calibri" w:hAnsi="Arial" w:cs="Arial"/>
                <w:lang w:val="es-ES"/>
              </w:rPr>
              <w:t>por el Artículo 3 del Decreto Supremo Nº 002-2010-VIVIENDA</w:t>
            </w:r>
          </w:p>
        </w:tc>
        <w:tc>
          <w:tcPr>
            <w:tcW w:w="3261" w:type="dxa"/>
          </w:tcPr>
          <w:p w:rsidR="006312E8" w:rsidRPr="006312E8" w:rsidRDefault="006312E8" w:rsidP="006312E8">
            <w:pPr>
              <w:spacing w:after="200" w:line="276" w:lineRule="auto"/>
              <w:jc w:val="center"/>
              <w:rPr>
                <w:rFonts w:ascii="Arial" w:eastAsia="Calibri" w:hAnsi="Arial" w:cs="Arial"/>
                <w:b/>
                <w:lang w:val="es-ES"/>
              </w:rPr>
            </w:pPr>
            <w:r w:rsidRPr="006312E8">
              <w:rPr>
                <w:rFonts w:ascii="Arial" w:eastAsia="Calibri" w:hAnsi="Arial" w:cs="Arial"/>
                <w:b/>
                <w:lang w:val="es-ES"/>
              </w:rPr>
              <w:t>31.01.2010</w:t>
            </w:r>
          </w:p>
        </w:tc>
      </w:tr>
      <w:tr w:rsidR="006312E8" w:rsidRPr="006312E8" w:rsidTr="00D04998">
        <w:tc>
          <w:tcPr>
            <w:tcW w:w="2804"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Artículo 107</w:t>
            </w:r>
          </w:p>
        </w:tc>
        <w:tc>
          <w:tcPr>
            <w:tcW w:w="7119"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 xml:space="preserve">MODIFICADO </w:t>
            </w:r>
            <w:r w:rsidRPr="006312E8">
              <w:rPr>
                <w:rFonts w:ascii="Arial" w:eastAsia="Calibri" w:hAnsi="Arial" w:cs="Arial"/>
                <w:lang w:val="es-ES"/>
              </w:rPr>
              <w:t>por</w:t>
            </w:r>
            <w:r w:rsidRPr="006312E8">
              <w:rPr>
                <w:rFonts w:ascii="Arial" w:eastAsia="Calibri" w:hAnsi="Arial" w:cs="Arial"/>
                <w:b/>
                <w:lang w:val="es-ES"/>
              </w:rPr>
              <w:t xml:space="preserve"> </w:t>
            </w:r>
            <w:r w:rsidRPr="006312E8">
              <w:rPr>
                <w:rFonts w:ascii="Arial" w:eastAsia="Calibri" w:hAnsi="Arial" w:cs="Arial"/>
                <w:lang w:val="es-ES"/>
              </w:rPr>
              <w:t>el Artículo 1 del Decreto Supremo Nº 013-2012-VIVIENDA</w:t>
            </w:r>
          </w:p>
        </w:tc>
        <w:tc>
          <w:tcPr>
            <w:tcW w:w="3261" w:type="dxa"/>
          </w:tcPr>
          <w:p w:rsidR="006312E8" w:rsidRPr="006312E8" w:rsidRDefault="006312E8" w:rsidP="006312E8">
            <w:pPr>
              <w:spacing w:after="200" w:line="276" w:lineRule="auto"/>
              <w:jc w:val="center"/>
              <w:rPr>
                <w:rFonts w:ascii="Arial" w:eastAsia="Calibri" w:hAnsi="Arial" w:cs="Arial"/>
                <w:b/>
                <w:lang w:val="es-ES"/>
              </w:rPr>
            </w:pPr>
            <w:r w:rsidRPr="006312E8">
              <w:rPr>
                <w:rFonts w:ascii="Arial" w:eastAsia="Calibri" w:hAnsi="Arial" w:cs="Arial"/>
                <w:b/>
                <w:lang w:val="es-ES"/>
              </w:rPr>
              <w:t>03.06.2012</w:t>
            </w:r>
          </w:p>
        </w:tc>
      </w:tr>
      <w:tr w:rsidR="006312E8" w:rsidRPr="006312E8" w:rsidTr="00D04998">
        <w:tc>
          <w:tcPr>
            <w:tcW w:w="2804"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Artículo 108</w:t>
            </w:r>
          </w:p>
        </w:tc>
        <w:tc>
          <w:tcPr>
            <w:tcW w:w="7119" w:type="dxa"/>
          </w:tcPr>
          <w:p w:rsidR="006312E8" w:rsidRPr="006312E8" w:rsidRDefault="006312E8" w:rsidP="006312E8">
            <w:pPr>
              <w:spacing w:after="200" w:line="276" w:lineRule="auto"/>
              <w:jc w:val="both"/>
              <w:rPr>
                <w:rFonts w:ascii="Arial" w:eastAsia="Calibri" w:hAnsi="Arial" w:cs="Arial"/>
                <w:lang w:val="es-ES"/>
              </w:rPr>
            </w:pPr>
            <w:r w:rsidRPr="006312E8">
              <w:rPr>
                <w:rFonts w:ascii="Arial" w:eastAsia="Calibri" w:hAnsi="Arial" w:cs="Arial"/>
                <w:b/>
                <w:lang w:val="es-ES"/>
              </w:rPr>
              <w:t>MODIFICADO</w:t>
            </w:r>
            <w:r w:rsidRPr="006312E8">
              <w:rPr>
                <w:rFonts w:ascii="Arial" w:eastAsia="Calibri" w:hAnsi="Arial" w:cs="Arial"/>
                <w:lang w:val="es-ES"/>
              </w:rPr>
              <w:t xml:space="preserve"> por el Artículo 4 del Decreto Supremo Nº 002-2010-VIVIENDA</w:t>
            </w:r>
          </w:p>
        </w:tc>
        <w:tc>
          <w:tcPr>
            <w:tcW w:w="3261" w:type="dxa"/>
          </w:tcPr>
          <w:p w:rsidR="006312E8" w:rsidRPr="006312E8" w:rsidRDefault="006312E8" w:rsidP="006312E8">
            <w:pPr>
              <w:spacing w:after="200" w:line="276" w:lineRule="auto"/>
              <w:jc w:val="center"/>
              <w:rPr>
                <w:rFonts w:ascii="Arial" w:eastAsia="Calibri" w:hAnsi="Arial" w:cs="Arial"/>
                <w:b/>
                <w:lang w:val="es-ES"/>
              </w:rPr>
            </w:pPr>
            <w:r w:rsidRPr="006312E8">
              <w:rPr>
                <w:rFonts w:ascii="Arial" w:eastAsia="Calibri" w:hAnsi="Arial" w:cs="Arial"/>
                <w:b/>
                <w:lang w:val="es-ES"/>
              </w:rPr>
              <w:t>31.01.2010</w:t>
            </w:r>
          </w:p>
        </w:tc>
      </w:tr>
      <w:tr w:rsidR="006312E8" w:rsidRPr="006312E8" w:rsidTr="00D04998">
        <w:tc>
          <w:tcPr>
            <w:tcW w:w="2804"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Artículo 108</w:t>
            </w:r>
          </w:p>
        </w:tc>
        <w:tc>
          <w:tcPr>
            <w:tcW w:w="7119" w:type="dxa"/>
          </w:tcPr>
          <w:p w:rsidR="006312E8" w:rsidRPr="006312E8" w:rsidRDefault="006312E8" w:rsidP="006312E8">
            <w:pPr>
              <w:spacing w:after="200" w:line="276" w:lineRule="auto"/>
              <w:jc w:val="both"/>
              <w:rPr>
                <w:rFonts w:ascii="Arial" w:eastAsia="Calibri" w:hAnsi="Arial" w:cs="Arial"/>
                <w:lang w:val="es-ES"/>
              </w:rPr>
            </w:pPr>
            <w:r w:rsidRPr="006312E8">
              <w:rPr>
                <w:rFonts w:ascii="Arial" w:eastAsia="Calibri" w:hAnsi="Arial" w:cs="Arial"/>
                <w:b/>
                <w:lang w:val="es-ES"/>
              </w:rPr>
              <w:t xml:space="preserve">MODIFICADO </w:t>
            </w:r>
            <w:r w:rsidRPr="006312E8">
              <w:rPr>
                <w:rFonts w:ascii="Arial" w:eastAsia="Calibri" w:hAnsi="Arial" w:cs="Arial"/>
                <w:lang w:val="es-ES"/>
              </w:rPr>
              <w:t>por el Artículo 1 del Decreto Supremo Nº 013-2012-VIVIENDA</w:t>
            </w:r>
          </w:p>
        </w:tc>
        <w:tc>
          <w:tcPr>
            <w:tcW w:w="3261" w:type="dxa"/>
          </w:tcPr>
          <w:p w:rsidR="006312E8" w:rsidRPr="006312E8" w:rsidRDefault="006312E8" w:rsidP="006312E8">
            <w:pPr>
              <w:spacing w:after="200" w:line="276" w:lineRule="auto"/>
              <w:jc w:val="center"/>
              <w:rPr>
                <w:rFonts w:ascii="Arial" w:eastAsia="Calibri" w:hAnsi="Arial" w:cs="Arial"/>
                <w:b/>
                <w:lang w:val="es-ES"/>
              </w:rPr>
            </w:pPr>
            <w:r w:rsidRPr="006312E8">
              <w:rPr>
                <w:rFonts w:ascii="Arial" w:eastAsia="Calibri" w:hAnsi="Arial" w:cs="Arial"/>
                <w:b/>
                <w:lang w:val="es-ES"/>
              </w:rPr>
              <w:t>03.06.2012</w:t>
            </w:r>
          </w:p>
        </w:tc>
      </w:tr>
      <w:tr w:rsidR="006312E8" w:rsidRPr="006312E8" w:rsidTr="00D04998">
        <w:tc>
          <w:tcPr>
            <w:tcW w:w="2804"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Artículo 121</w:t>
            </w:r>
          </w:p>
        </w:tc>
        <w:tc>
          <w:tcPr>
            <w:tcW w:w="7119" w:type="dxa"/>
          </w:tcPr>
          <w:p w:rsidR="006312E8" w:rsidRPr="006312E8" w:rsidRDefault="006312E8" w:rsidP="006312E8">
            <w:pPr>
              <w:spacing w:after="200" w:line="276" w:lineRule="auto"/>
              <w:jc w:val="both"/>
              <w:rPr>
                <w:rFonts w:ascii="Arial" w:eastAsia="Calibri" w:hAnsi="Arial" w:cs="Arial"/>
                <w:lang w:val="es-ES"/>
              </w:rPr>
            </w:pPr>
            <w:r w:rsidRPr="006312E8">
              <w:rPr>
                <w:rFonts w:ascii="Arial" w:eastAsia="Calibri" w:hAnsi="Arial" w:cs="Arial"/>
                <w:b/>
                <w:lang w:val="es-ES"/>
              </w:rPr>
              <w:t xml:space="preserve">MODIFICADO </w:t>
            </w:r>
            <w:r w:rsidRPr="006312E8">
              <w:rPr>
                <w:rFonts w:ascii="Arial" w:eastAsia="Calibri" w:hAnsi="Arial" w:cs="Arial"/>
                <w:lang w:val="es-ES"/>
              </w:rPr>
              <w:t>por el Artículo 1 del Decreto Supremo Nº 013-2012-VIVIENDA</w:t>
            </w:r>
          </w:p>
        </w:tc>
        <w:tc>
          <w:tcPr>
            <w:tcW w:w="3261" w:type="dxa"/>
          </w:tcPr>
          <w:p w:rsidR="006312E8" w:rsidRPr="006312E8" w:rsidRDefault="006312E8" w:rsidP="006312E8">
            <w:pPr>
              <w:spacing w:after="200" w:line="276" w:lineRule="auto"/>
              <w:jc w:val="center"/>
              <w:rPr>
                <w:rFonts w:ascii="Arial" w:eastAsia="Calibri" w:hAnsi="Arial" w:cs="Arial"/>
                <w:b/>
                <w:lang w:val="es-ES"/>
              </w:rPr>
            </w:pPr>
            <w:r w:rsidRPr="006312E8">
              <w:rPr>
                <w:rFonts w:ascii="Arial" w:eastAsia="Calibri" w:hAnsi="Arial" w:cs="Arial"/>
                <w:b/>
                <w:lang w:val="es-ES"/>
              </w:rPr>
              <w:t>03.06.2012</w:t>
            </w:r>
          </w:p>
        </w:tc>
      </w:tr>
      <w:tr w:rsidR="006312E8" w:rsidRPr="006312E8" w:rsidTr="00D04998">
        <w:tc>
          <w:tcPr>
            <w:tcW w:w="2804"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Artículo 121-A</w:t>
            </w:r>
          </w:p>
        </w:tc>
        <w:tc>
          <w:tcPr>
            <w:tcW w:w="7119" w:type="dxa"/>
          </w:tcPr>
          <w:p w:rsidR="006312E8" w:rsidRPr="006312E8" w:rsidRDefault="006312E8" w:rsidP="006312E8">
            <w:pPr>
              <w:spacing w:after="200" w:line="276" w:lineRule="auto"/>
              <w:jc w:val="both"/>
              <w:rPr>
                <w:rFonts w:ascii="Arial" w:eastAsia="Calibri" w:hAnsi="Arial" w:cs="Arial"/>
                <w:lang w:val="es-ES"/>
              </w:rPr>
            </w:pPr>
            <w:r w:rsidRPr="006312E8">
              <w:rPr>
                <w:rFonts w:ascii="Arial" w:eastAsia="Calibri" w:hAnsi="Arial" w:cs="Arial"/>
                <w:b/>
                <w:lang w:val="es-ES"/>
              </w:rPr>
              <w:t xml:space="preserve">INCORPORADO </w:t>
            </w:r>
            <w:r w:rsidRPr="006312E8">
              <w:rPr>
                <w:rFonts w:ascii="Arial" w:eastAsia="Calibri" w:hAnsi="Arial" w:cs="Arial"/>
                <w:lang w:val="es-ES"/>
              </w:rPr>
              <w:t>por</w:t>
            </w:r>
            <w:r w:rsidRPr="006312E8">
              <w:rPr>
                <w:rFonts w:ascii="Arial" w:eastAsia="Calibri" w:hAnsi="Arial" w:cs="Arial"/>
                <w:b/>
                <w:lang w:val="es-ES"/>
              </w:rPr>
              <w:t xml:space="preserve"> </w:t>
            </w:r>
            <w:r w:rsidRPr="006312E8">
              <w:rPr>
                <w:rFonts w:ascii="Arial" w:eastAsia="Calibri" w:hAnsi="Arial" w:cs="Arial"/>
                <w:lang w:val="es-ES"/>
              </w:rPr>
              <w:t>el Artículo 2 del Decreto Supremo Nº 013-2012-VIVIENDA</w:t>
            </w:r>
          </w:p>
        </w:tc>
        <w:tc>
          <w:tcPr>
            <w:tcW w:w="3261" w:type="dxa"/>
          </w:tcPr>
          <w:p w:rsidR="006312E8" w:rsidRPr="006312E8" w:rsidRDefault="006312E8" w:rsidP="006312E8">
            <w:pPr>
              <w:spacing w:after="200" w:line="276" w:lineRule="auto"/>
              <w:jc w:val="center"/>
              <w:rPr>
                <w:rFonts w:ascii="Arial" w:eastAsia="Calibri" w:hAnsi="Arial" w:cs="Arial"/>
                <w:b/>
                <w:lang w:val="es-ES"/>
              </w:rPr>
            </w:pPr>
            <w:r w:rsidRPr="006312E8">
              <w:rPr>
                <w:rFonts w:ascii="Arial" w:eastAsia="Calibri" w:hAnsi="Arial" w:cs="Arial"/>
                <w:b/>
                <w:lang w:val="es-ES"/>
              </w:rPr>
              <w:t>03.06.2012</w:t>
            </w:r>
          </w:p>
        </w:tc>
      </w:tr>
      <w:tr w:rsidR="006312E8" w:rsidRPr="006312E8" w:rsidTr="00D04998">
        <w:tc>
          <w:tcPr>
            <w:tcW w:w="2804"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Artículo 122</w:t>
            </w:r>
          </w:p>
        </w:tc>
        <w:tc>
          <w:tcPr>
            <w:tcW w:w="7119"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 xml:space="preserve">MODIFICADO </w:t>
            </w:r>
            <w:r w:rsidRPr="006312E8">
              <w:rPr>
                <w:rFonts w:ascii="Arial" w:eastAsia="Calibri" w:hAnsi="Arial" w:cs="Arial"/>
                <w:lang w:val="es-ES"/>
              </w:rPr>
              <w:t>por el Artículo 1 del Decreto Supremo N° 007-2010-VIVIENDA</w:t>
            </w:r>
          </w:p>
        </w:tc>
        <w:tc>
          <w:tcPr>
            <w:tcW w:w="3261" w:type="dxa"/>
          </w:tcPr>
          <w:p w:rsidR="006312E8" w:rsidRPr="006312E8" w:rsidRDefault="006312E8" w:rsidP="006312E8">
            <w:pPr>
              <w:spacing w:after="200" w:line="276" w:lineRule="auto"/>
              <w:jc w:val="center"/>
              <w:rPr>
                <w:rFonts w:ascii="Arial" w:eastAsia="Calibri" w:hAnsi="Arial" w:cs="Arial"/>
                <w:b/>
                <w:lang w:val="es-ES"/>
              </w:rPr>
            </w:pPr>
            <w:r w:rsidRPr="006312E8">
              <w:rPr>
                <w:rFonts w:ascii="Arial" w:eastAsia="Calibri" w:hAnsi="Arial" w:cs="Arial"/>
                <w:b/>
                <w:lang w:val="es-ES"/>
              </w:rPr>
              <w:t>06.08.2010</w:t>
            </w:r>
          </w:p>
        </w:tc>
      </w:tr>
      <w:tr w:rsidR="006312E8" w:rsidRPr="006312E8" w:rsidTr="00D04998">
        <w:tc>
          <w:tcPr>
            <w:tcW w:w="2804"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Artículo 128-A</w:t>
            </w:r>
          </w:p>
        </w:tc>
        <w:tc>
          <w:tcPr>
            <w:tcW w:w="7119" w:type="dxa"/>
          </w:tcPr>
          <w:p w:rsidR="006312E8" w:rsidRPr="006312E8" w:rsidRDefault="006312E8" w:rsidP="006312E8">
            <w:pPr>
              <w:spacing w:after="200" w:line="276" w:lineRule="auto"/>
              <w:jc w:val="both"/>
              <w:rPr>
                <w:rFonts w:ascii="Arial" w:eastAsia="Calibri" w:hAnsi="Arial" w:cs="Arial"/>
                <w:lang w:val="es-ES"/>
              </w:rPr>
            </w:pPr>
            <w:r w:rsidRPr="006312E8">
              <w:rPr>
                <w:rFonts w:ascii="Arial" w:eastAsia="Calibri" w:hAnsi="Arial" w:cs="Arial"/>
                <w:b/>
                <w:lang w:val="es-ES"/>
              </w:rPr>
              <w:t xml:space="preserve">INCORPORADO </w:t>
            </w:r>
            <w:r w:rsidRPr="006312E8">
              <w:rPr>
                <w:rFonts w:ascii="Arial" w:eastAsia="Calibri" w:hAnsi="Arial" w:cs="Arial"/>
                <w:lang w:val="es-ES"/>
              </w:rPr>
              <w:t>por el Artículo 2 del Decreto Supremo Nº 013-2012-VIVIENDA</w:t>
            </w:r>
          </w:p>
        </w:tc>
        <w:tc>
          <w:tcPr>
            <w:tcW w:w="3261" w:type="dxa"/>
          </w:tcPr>
          <w:p w:rsidR="006312E8" w:rsidRPr="006312E8" w:rsidRDefault="006312E8" w:rsidP="006312E8">
            <w:pPr>
              <w:spacing w:after="200" w:line="276" w:lineRule="auto"/>
              <w:jc w:val="center"/>
              <w:rPr>
                <w:rFonts w:ascii="Arial" w:eastAsia="Calibri" w:hAnsi="Arial" w:cs="Arial"/>
                <w:b/>
                <w:lang w:val="es-ES"/>
              </w:rPr>
            </w:pPr>
            <w:r w:rsidRPr="006312E8">
              <w:rPr>
                <w:rFonts w:ascii="Arial" w:eastAsia="Calibri" w:hAnsi="Arial" w:cs="Arial"/>
                <w:b/>
                <w:lang w:val="es-ES"/>
              </w:rPr>
              <w:t>03.06.2012</w:t>
            </w:r>
          </w:p>
        </w:tc>
      </w:tr>
      <w:tr w:rsidR="006312E8" w:rsidRPr="006312E8" w:rsidTr="00D04998">
        <w:tc>
          <w:tcPr>
            <w:tcW w:w="2804"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Artículo 133</w:t>
            </w:r>
          </w:p>
        </w:tc>
        <w:tc>
          <w:tcPr>
            <w:tcW w:w="7119" w:type="dxa"/>
          </w:tcPr>
          <w:p w:rsidR="006312E8" w:rsidRPr="006312E8" w:rsidRDefault="006312E8" w:rsidP="006312E8">
            <w:pPr>
              <w:spacing w:after="200" w:line="276" w:lineRule="auto"/>
              <w:jc w:val="both"/>
              <w:rPr>
                <w:rFonts w:ascii="Arial" w:eastAsia="Calibri" w:hAnsi="Arial" w:cs="Arial"/>
                <w:lang w:val="es-ES"/>
              </w:rPr>
            </w:pPr>
            <w:r w:rsidRPr="006312E8">
              <w:rPr>
                <w:rFonts w:ascii="Arial" w:eastAsia="Calibri" w:hAnsi="Arial" w:cs="Arial"/>
                <w:b/>
                <w:lang w:val="es-ES"/>
              </w:rPr>
              <w:t>INCORPORADO</w:t>
            </w:r>
            <w:r w:rsidRPr="006312E8">
              <w:rPr>
                <w:rFonts w:ascii="Arial" w:eastAsia="Calibri" w:hAnsi="Arial" w:cs="Arial"/>
                <w:lang w:val="es-ES"/>
              </w:rPr>
              <w:t xml:space="preserve"> (párrafo) Artículo 2 del Decreto Supremo N° 007-2010-VIVIENDA</w:t>
            </w:r>
          </w:p>
        </w:tc>
        <w:tc>
          <w:tcPr>
            <w:tcW w:w="3261" w:type="dxa"/>
          </w:tcPr>
          <w:p w:rsidR="006312E8" w:rsidRPr="006312E8" w:rsidRDefault="006312E8" w:rsidP="006312E8">
            <w:pPr>
              <w:spacing w:after="200" w:line="276" w:lineRule="auto"/>
              <w:jc w:val="center"/>
              <w:rPr>
                <w:rFonts w:ascii="Arial" w:eastAsia="Calibri" w:hAnsi="Arial" w:cs="Arial"/>
                <w:b/>
                <w:lang w:val="es-ES"/>
              </w:rPr>
            </w:pPr>
            <w:r w:rsidRPr="006312E8">
              <w:rPr>
                <w:rFonts w:ascii="Arial" w:eastAsia="Calibri" w:hAnsi="Arial" w:cs="Arial"/>
                <w:b/>
                <w:lang w:val="es-ES"/>
              </w:rPr>
              <w:t>06.08.2010</w:t>
            </w:r>
          </w:p>
        </w:tc>
      </w:tr>
      <w:tr w:rsidR="006312E8" w:rsidRPr="006312E8" w:rsidTr="00D04998">
        <w:tc>
          <w:tcPr>
            <w:tcW w:w="2804"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Octava Disposición Complementaria Final</w:t>
            </w:r>
          </w:p>
        </w:tc>
        <w:tc>
          <w:tcPr>
            <w:tcW w:w="7119" w:type="dxa"/>
          </w:tcPr>
          <w:p w:rsidR="006312E8" w:rsidRPr="006312E8" w:rsidRDefault="006312E8" w:rsidP="006312E8">
            <w:pPr>
              <w:spacing w:after="200" w:line="276" w:lineRule="auto"/>
              <w:jc w:val="both"/>
              <w:rPr>
                <w:rFonts w:ascii="Arial" w:eastAsia="Calibri" w:hAnsi="Arial" w:cs="Arial"/>
                <w:lang w:val="es-ES"/>
              </w:rPr>
            </w:pPr>
            <w:r w:rsidRPr="006312E8">
              <w:rPr>
                <w:rFonts w:ascii="Arial" w:eastAsia="Calibri" w:hAnsi="Arial" w:cs="Arial"/>
                <w:b/>
                <w:lang w:val="es-ES"/>
              </w:rPr>
              <w:t>MODIFICADA</w:t>
            </w:r>
            <w:r w:rsidRPr="006312E8">
              <w:rPr>
                <w:rFonts w:ascii="Arial" w:eastAsia="Calibri" w:hAnsi="Arial" w:cs="Arial"/>
                <w:lang w:val="es-ES"/>
              </w:rPr>
              <w:t xml:space="preserve"> por el Artículo 1 del Decreto Supremo Nº 017-2009-VIVIENDA</w:t>
            </w:r>
          </w:p>
        </w:tc>
        <w:tc>
          <w:tcPr>
            <w:tcW w:w="3261" w:type="dxa"/>
          </w:tcPr>
          <w:p w:rsidR="006312E8" w:rsidRPr="006312E8" w:rsidRDefault="006312E8" w:rsidP="006312E8">
            <w:pPr>
              <w:spacing w:after="200" w:line="276" w:lineRule="auto"/>
              <w:jc w:val="center"/>
              <w:rPr>
                <w:rFonts w:ascii="Arial" w:eastAsia="Calibri" w:hAnsi="Arial" w:cs="Arial"/>
                <w:b/>
                <w:lang w:val="es-ES"/>
              </w:rPr>
            </w:pPr>
            <w:r w:rsidRPr="006312E8">
              <w:rPr>
                <w:rFonts w:ascii="Arial" w:eastAsia="Calibri" w:hAnsi="Arial" w:cs="Arial"/>
                <w:b/>
                <w:lang w:val="es-ES"/>
              </w:rPr>
              <w:t>24.10.2009</w:t>
            </w:r>
          </w:p>
        </w:tc>
      </w:tr>
      <w:tr w:rsidR="006312E8" w:rsidRPr="006312E8" w:rsidTr="00D04998">
        <w:tc>
          <w:tcPr>
            <w:tcW w:w="2804"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Tercera Disposición Complementaria Transitoria</w:t>
            </w:r>
          </w:p>
        </w:tc>
        <w:tc>
          <w:tcPr>
            <w:tcW w:w="7119" w:type="dxa"/>
          </w:tcPr>
          <w:p w:rsidR="006312E8" w:rsidRPr="006312E8" w:rsidRDefault="006312E8" w:rsidP="006312E8">
            <w:pPr>
              <w:spacing w:after="200" w:line="276" w:lineRule="auto"/>
              <w:jc w:val="both"/>
              <w:rPr>
                <w:rFonts w:ascii="Arial" w:eastAsia="Calibri" w:hAnsi="Arial" w:cs="Arial"/>
                <w:lang w:val="es-ES"/>
              </w:rPr>
            </w:pPr>
            <w:r w:rsidRPr="006312E8">
              <w:rPr>
                <w:rFonts w:ascii="Arial" w:eastAsia="Calibri" w:hAnsi="Arial" w:cs="Arial"/>
                <w:b/>
                <w:lang w:val="es-ES"/>
              </w:rPr>
              <w:t>INCORPORADA</w:t>
            </w:r>
            <w:r w:rsidRPr="006312E8">
              <w:rPr>
                <w:rFonts w:ascii="Arial" w:eastAsia="Calibri" w:hAnsi="Arial" w:cs="Arial"/>
                <w:lang w:val="es-ES"/>
              </w:rPr>
              <w:t xml:space="preserve"> por el Artículo 2 del Decreto Supremo Nº 013-2012-VIVIENDA</w:t>
            </w:r>
          </w:p>
        </w:tc>
        <w:tc>
          <w:tcPr>
            <w:tcW w:w="3261" w:type="dxa"/>
          </w:tcPr>
          <w:p w:rsidR="006312E8" w:rsidRPr="006312E8" w:rsidRDefault="006312E8" w:rsidP="006312E8">
            <w:pPr>
              <w:spacing w:after="200" w:line="276" w:lineRule="auto"/>
              <w:jc w:val="center"/>
              <w:rPr>
                <w:rFonts w:ascii="Arial" w:eastAsia="Calibri" w:hAnsi="Arial" w:cs="Arial"/>
                <w:b/>
                <w:lang w:val="es-ES"/>
              </w:rPr>
            </w:pPr>
            <w:r w:rsidRPr="006312E8">
              <w:rPr>
                <w:rFonts w:ascii="Arial" w:eastAsia="Calibri" w:hAnsi="Arial" w:cs="Arial"/>
                <w:b/>
                <w:lang w:val="es-ES"/>
              </w:rPr>
              <w:t>03.06.2012</w:t>
            </w:r>
          </w:p>
        </w:tc>
      </w:tr>
      <w:tr w:rsidR="006312E8" w:rsidRPr="006312E8" w:rsidTr="00D04998">
        <w:tc>
          <w:tcPr>
            <w:tcW w:w="2804"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Única Disposición Complementaria Modificatoria</w:t>
            </w:r>
          </w:p>
        </w:tc>
        <w:tc>
          <w:tcPr>
            <w:tcW w:w="7119" w:type="dxa"/>
          </w:tcPr>
          <w:p w:rsidR="006312E8" w:rsidRPr="006312E8" w:rsidRDefault="006312E8" w:rsidP="006312E8">
            <w:pPr>
              <w:spacing w:after="200" w:line="276" w:lineRule="auto"/>
              <w:jc w:val="both"/>
              <w:rPr>
                <w:rFonts w:ascii="Arial" w:eastAsia="Calibri" w:hAnsi="Arial" w:cs="Arial"/>
                <w:b/>
                <w:lang w:val="es-ES"/>
              </w:rPr>
            </w:pPr>
            <w:r w:rsidRPr="006312E8">
              <w:rPr>
                <w:rFonts w:ascii="Arial" w:eastAsia="Calibri" w:hAnsi="Arial" w:cs="Arial"/>
                <w:b/>
                <w:lang w:val="es-ES"/>
              </w:rPr>
              <w:t xml:space="preserve">MODIFICADA </w:t>
            </w:r>
            <w:r w:rsidRPr="006312E8">
              <w:rPr>
                <w:rFonts w:ascii="Arial" w:eastAsia="Calibri" w:hAnsi="Arial" w:cs="Arial"/>
                <w:lang w:val="es-ES"/>
              </w:rPr>
              <w:t>por el Artículo 1 del Decreto Supremo Nº 017-2009-VIVIENDA</w:t>
            </w:r>
          </w:p>
        </w:tc>
        <w:tc>
          <w:tcPr>
            <w:tcW w:w="3261" w:type="dxa"/>
          </w:tcPr>
          <w:p w:rsidR="006312E8" w:rsidRPr="006312E8" w:rsidRDefault="006312E8" w:rsidP="006312E8">
            <w:pPr>
              <w:spacing w:after="200" w:line="276" w:lineRule="auto"/>
              <w:jc w:val="center"/>
              <w:rPr>
                <w:rFonts w:ascii="Arial" w:eastAsia="Calibri" w:hAnsi="Arial" w:cs="Arial"/>
                <w:b/>
                <w:lang w:val="es-ES"/>
              </w:rPr>
            </w:pPr>
            <w:r w:rsidRPr="006312E8">
              <w:rPr>
                <w:rFonts w:ascii="Arial" w:eastAsia="Calibri" w:hAnsi="Arial" w:cs="Arial"/>
                <w:b/>
                <w:lang w:val="es-ES"/>
              </w:rPr>
              <w:t xml:space="preserve">24.10.2009 </w:t>
            </w:r>
          </w:p>
        </w:tc>
      </w:tr>
    </w:tbl>
    <w:p w:rsidR="006312E8" w:rsidRPr="006312E8" w:rsidRDefault="006312E8" w:rsidP="006312E8">
      <w:pPr>
        <w:spacing w:after="0" w:line="240" w:lineRule="auto"/>
        <w:contextualSpacing/>
        <w:jc w:val="both"/>
        <w:rPr>
          <w:rFonts w:ascii="Arial" w:eastAsia="Calibri" w:hAnsi="Arial" w:cs="Arial"/>
          <w:lang w:val="es-ES"/>
        </w:rPr>
      </w:pPr>
    </w:p>
    <w:p w:rsidR="006312E8" w:rsidRPr="006312E8" w:rsidRDefault="006312E8" w:rsidP="006312E8"/>
    <w:p w:rsidR="006312E8" w:rsidRPr="006312E8" w:rsidRDefault="006312E8" w:rsidP="006312E8"/>
    <w:p w:rsidR="006312E8" w:rsidRPr="006312E8" w:rsidRDefault="006312E8" w:rsidP="006312E8"/>
    <w:p w:rsidR="006312E8" w:rsidRPr="006312E8" w:rsidRDefault="006312E8" w:rsidP="006312E8"/>
    <w:p w:rsidR="006312E8" w:rsidRPr="006312E8" w:rsidRDefault="006312E8" w:rsidP="006312E8">
      <w:pPr>
        <w:tabs>
          <w:tab w:val="left" w:pos="2400"/>
          <w:tab w:val="right" w:pos="10206"/>
        </w:tabs>
      </w:pPr>
    </w:p>
    <w:sectPr w:rsidR="006312E8" w:rsidRPr="006312E8" w:rsidSect="00965BA5">
      <w:pgSz w:w="16840" w:h="11907" w:orient="landscape" w:code="9"/>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5A7" w:rsidRDefault="004515A7" w:rsidP="00C05F91">
      <w:pPr>
        <w:spacing w:after="0" w:line="240" w:lineRule="auto"/>
      </w:pPr>
      <w:r>
        <w:separator/>
      </w:r>
    </w:p>
  </w:endnote>
  <w:endnote w:type="continuationSeparator" w:id="0">
    <w:p w:rsidR="004515A7" w:rsidRDefault="004515A7" w:rsidP="00C05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golian Baiti">
    <w:panose1 w:val="03000500000000000000"/>
    <w:charset w:val="00"/>
    <w:family w:val="script"/>
    <w:pitch w:val="variable"/>
    <w:sig w:usb0="80000023" w:usb1="00000000" w:usb2="00020000" w:usb3="00000000" w:csb0="00000001" w:csb1="00000000"/>
  </w:font>
  <w:font w:name="Cooper Black">
    <w:panose1 w:val="0208090404030B0204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MT">
    <w:panose1 w:val="00000000000000000000"/>
    <w:charset w:val="00"/>
    <w:family w:val="swiss"/>
    <w:notTrueType/>
    <w:pitch w:val="default"/>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Italic">
    <w:panose1 w:val="00000000000000000000"/>
    <w:charset w:val="00"/>
    <w:family w:val="auto"/>
    <w:notTrueType/>
    <w:pitch w:val="default"/>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5A7" w:rsidRPr="00375639" w:rsidRDefault="004515A7" w:rsidP="00D04998">
    <w:pPr>
      <w:pStyle w:val="Piedepgina"/>
      <w:pBdr>
        <w:top w:val="thinThickSmallGap" w:sz="24" w:space="1" w:color="622423"/>
      </w:pBdr>
      <w:tabs>
        <w:tab w:val="clear" w:pos="4419"/>
        <w:tab w:val="clear" w:pos="8838"/>
        <w:tab w:val="right" w:pos="9858"/>
      </w:tabs>
      <w:rPr>
        <w:rFonts w:ascii="Cambria Math" w:hAnsi="Cambria Math"/>
        <w:b/>
        <w:sz w:val="18"/>
        <w:szCs w:val="18"/>
      </w:rPr>
    </w:pPr>
    <w:r>
      <w:rPr>
        <w:rFonts w:ascii="Cambria Math" w:hAnsi="Cambria Math"/>
        <w:b/>
        <w:sz w:val="20"/>
        <w:szCs w:val="20"/>
      </w:rPr>
      <w:t>Compendio Normativo Bienes Inmuebles</w:t>
    </w:r>
    <w:r w:rsidRPr="00D17512">
      <w:rPr>
        <w:rFonts w:ascii="Arial Narrow" w:hAnsi="Arial Narrow"/>
        <w:b/>
        <w:sz w:val="18"/>
        <w:szCs w:val="18"/>
      </w:rPr>
      <w:t xml:space="preserve">                                    </w:t>
    </w:r>
    <w:r w:rsidRPr="00D17512">
      <w:rPr>
        <w:rFonts w:ascii="Arial Narrow" w:hAnsi="Arial Narrow"/>
        <w:b/>
        <w:sz w:val="18"/>
        <w:szCs w:val="18"/>
      </w:rPr>
      <w:tab/>
    </w:r>
    <w:r w:rsidRPr="00375639">
      <w:rPr>
        <w:rFonts w:ascii="Cambria Math" w:hAnsi="Cambria Math"/>
        <w:b/>
        <w:sz w:val="18"/>
        <w:szCs w:val="18"/>
      </w:rPr>
      <w:t>Pág.</w:t>
    </w:r>
    <w:r w:rsidRPr="00375639">
      <w:rPr>
        <w:rFonts w:ascii="Cambria Math" w:hAnsi="Cambria Math"/>
        <w:b/>
        <w:sz w:val="18"/>
        <w:szCs w:val="18"/>
      </w:rPr>
      <w:fldChar w:fldCharType="begin"/>
    </w:r>
    <w:r w:rsidRPr="00375639">
      <w:rPr>
        <w:rFonts w:ascii="Cambria Math" w:hAnsi="Cambria Math"/>
        <w:b/>
        <w:sz w:val="18"/>
        <w:szCs w:val="18"/>
      </w:rPr>
      <w:instrText>PAGE   \* MERGEFORMAT</w:instrText>
    </w:r>
    <w:r w:rsidRPr="00375639">
      <w:rPr>
        <w:rFonts w:ascii="Cambria Math" w:hAnsi="Cambria Math"/>
        <w:b/>
        <w:sz w:val="18"/>
        <w:szCs w:val="18"/>
      </w:rPr>
      <w:fldChar w:fldCharType="separate"/>
    </w:r>
    <w:r w:rsidR="000A5EA6">
      <w:rPr>
        <w:rFonts w:ascii="Cambria Math" w:hAnsi="Cambria Math"/>
        <w:b/>
        <w:noProof/>
        <w:sz w:val="18"/>
        <w:szCs w:val="18"/>
      </w:rPr>
      <w:t>2</w:t>
    </w:r>
    <w:r w:rsidRPr="00375639">
      <w:rPr>
        <w:rFonts w:ascii="Cambria Math" w:hAnsi="Cambria Math"/>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5A7" w:rsidRDefault="004515A7" w:rsidP="00C05F91">
      <w:pPr>
        <w:spacing w:after="0" w:line="240" w:lineRule="auto"/>
      </w:pPr>
      <w:r>
        <w:separator/>
      </w:r>
    </w:p>
  </w:footnote>
  <w:footnote w:type="continuationSeparator" w:id="0">
    <w:p w:rsidR="004515A7" w:rsidRDefault="004515A7" w:rsidP="00C05F91">
      <w:pPr>
        <w:spacing w:after="0" w:line="240" w:lineRule="auto"/>
      </w:pPr>
      <w:r>
        <w:continuationSeparator/>
      </w:r>
    </w:p>
  </w:footnote>
  <w:footnote w:id="1">
    <w:p w:rsidR="004515A7" w:rsidRPr="00FE7F96" w:rsidRDefault="004515A7" w:rsidP="006312E8">
      <w:pPr>
        <w:pStyle w:val="Textonotapie"/>
        <w:jc w:val="both"/>
      </w:pPr>
      <w:r>
        <w:rPr>
          <w:rStyle w:val="Refdenotaalpie"/>
        </w:rPr>
        <w:footnoteRef/>
      </w:r>
      <w:r>
        <w:t xml:space="preserve"> Rectificado por </w:t>
      </w:r>
      <w:r>
        <w:rPr>
          <w:b/>
        </w:rPr>
        <w:t>FE DE ERRATAS</w:t>
      </w:r>
      <w:r>
        <w:t xml:space="preserve">, publicada el 07-11-1992, </w:t>
      </w:r>
      <w:r>
        <w:rPr>
          <w:b/>
        </w:rPr>
        <w:t>DICE:</w:t>
      </w:r>
      <w:r>
        <w:t xml:space="preserve"> “CONSIDERANDO: Decreto Supremo Nº 034-DE/SG; </w:t>
      </w:r>
      <w:r>
        <w:rPr>
          <w:b/>
        </w:rPr>
        <w:t>DEBE DECIR:</w:t>
      </w:r>
      <w:r>
        <w:t xml:space="preserve"> “CONSIDERANDO: Decreto Supremo Nº 024-DE/SG.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4566"/>
    <w:multiLevelType w:val="hybridMultilevel"/>
    <w:tmpl w:val="EAE84F20"/>
    <w:lvl w:ilvl="0" w:tplc="FA6A5A70">
      <w:start w:val="1"/>
      <w:numFmt w:val="lowerLetter"/>
      <w:lvlText w:val="%1)"/>
      <w:lvlJc w:val="left"/>
      <w:pPr>
        <w:ind w:left="1494" w:hanging="360"/>
      </w:pPr>
      <w:rPr>
        <w:rFonts w:hint="default"/>
      </w:rPr>
    </w:lvl>
    <w:lvl w:ilvl="1" w:tplc="280A0019" w:tentative="1">
      <w:start w:val="1"/>
      <w:numFmt w:val="lowerLetter"/>
      <w:lvlText w:val="%2."/>
      <w:lvlJc w:val="left"/>
      <w:pPr>
        <w:ind w:left="2214" w:hanging="360"/>
      </w:pPr>
    </w:lvl>
    <w:lvl w:ilvl="2" w:tplc="280A001B" w:tentative="1">
      <w:start w:val="1"/>
      <w:numFmt w:val="lowerRoman"/>
      <w:lvlText w:val="%3."/>
      <w:lvlJc w:val="right"/>
      <w:pPr>
        <w:ind w:left="2934" w:hanging="180"/>
      </w:pPr>
    </w:lvl>
    <w:lvl w:ilvl="3" w:tplc="280A000F" w:tentative="1">
      <w:start w:val="1"/>
      <w:numFmt w:val="decimal"/>
      <w:lvlText w:val="%4."/>
      <w:lvlJc w:val="left"/>
      <w:pPr>
        <w:ind w:left="3654" w:hanging="360"/>
      </w:pPr>
    </w:lvl>
    <w:lvl w:ilvl="4" w:tplc="280A0019" w:tentative="1">
      <w:start w:val="1"/>
      <w:numFmt w:val="lowerLetter"/>
      <w:lvlText w:val="%5."/>
      <w:lvlJc w:val="left"/>
      <w:pPr>
        <w:ind w:left="4374" w:hanging="360"/>
      </w:pPr>
    </w:lvl>
    <w:lvl w:ilvl="5" w:tplc="280A001B" w:tentative="1">
      <w:start w:val="1"/>
      <w:numFmt w:val="lowerRoman"/>
      <w:lvlText w:val="%6."/>
      <w:lvlJc w:val="right"/>
      <w:pPr>
        <w:ind w:left="5094" w:hanging="180"/>
      </w:pPr>
    </w:lvl>
    <w:lvl w:ilvl="6" w:tplc="280A000F" w:tentative="1">
      <w:start w:val="1"/>
      <w:numFmt w:val="decimal"/>
      <w:lvlText w:val="%7."/>
      <w:lvlJc w:val="left"/>
      <w:pPr>
        <w:ind w:left="5814" w:hanging="360"/>
      </w:pPr>
    </w:lvl>
    <w:lvl w:ilvl="7" w:tplc="280A0019" w:tentative="1">
      <w:start w:val="1"/>
      <w:numFmt w:val="lowerLetter"/>
      <w:lvlText w:val="%8."/>
      <w:lvlJc w:val="left"/>
      <w:pPr>
        <w:ind w:left="6534" w:hanging="360"/>
      </w:pPr>
    </w:lvl>
    <w:lvl w:ilvl="8" w:tplc="280A001B" w:tentative="1">
      <w:start w:val="1"/>
      <w:numFmt w:val="lowerRoman"/>
      <w:lvlText w:val="%9."/>
      <w:lvlJc w:val="right"/>
      <w:pPr>
        <w:ind w:left="7254" w:hanging="180"/>
      </w:pPr>
    </w:lvl>
  </w:abstractNum>
  <w:abstractNum w:abstractNumId="1" w15:restartNumberingAfterBreak="0">
    <w:nsid w:val="010C597A"/>
    <w:multiLevelType w:val="hybridMultilevel"/>
    <w:tmpl w:val="2DCA2CD2"/>
    <w:lvl w:ilvl="0" w:tplc="5256452E">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2" w15:restartNumberingAfterBreak="0">
    <w:nsid w:val="01245EE4"/>
    <w:multiLevelType w:val="hybridMultilevel"/>
    <w:tmpl w:val="4928FE2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131646C"/>
    <w:multiLevelType w:val="hybridMultilevel"/>
    <w:tmpl w:val="A7367530"/>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15C59AD"/>
    <w:multiLevelType w:val="hybridMultilevel"/>
    <w:tmpl w:val="B4C80928"/>
    <w:lvl w:ilvl="0" w:tplc="8A86A824">
      <w:start w:val="1"/>
      <w:numFmt w:val="lowerLetter"/>
      <w:lvlText w:val="%1)"/>
      <w:lvlJc w:val="left"/>
      <w:pPr>
        <w:ind w:left="1065" w:hanging="360"/>
      </w:pPr>
      <w:rPr>
        <w:rFonts w:hint="default"/>
        <w:b/>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5" w15:restartNumberingAfterBreak="0">
    <w:nsid w:val="017A5241"/>
    <w:multiLevelType w:val="hybridMultilevel"/>
    <w:tmpl w:val="66B0C532"/>
    <w:lvl w:ilvl="0" w:tplc="4D564B9E">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6" w15:restartNumberingAfterBreak="0">
    <w:nsid w:val="01BD68FF"/>
    <w:multiLevelType w:val="hybridMultilevel"/>
    <w:tmpl w:val="23DE8844"/>
    <w:lvl w:ilvl="0" w:tplc="EA704E5E">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7" w15:restartNumberingAfterBreak="0">
    <w:nsid w:val="027B4C64"/>
    <w:multiLevelType w:val="hybridMultilevel"/>
    <w:tmpl w:val="BBAA007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029E1A41"/>
    <w:multiLevelType w:val="hybridMultilevel"/>
    <w:tmpl w:val="BAFCD2A0"/>
    <w:lvl w:ilvl="0" w:tplc="A58EBD62">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2CD30EA"/>
    <w:multiLevelType w:val="hybridMultilevel"/>
    <w:tmpl w:val="8560222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030463E8"/>
    <w:multiLevelType w:val="multilevel"/>
    <w:tmpl w:val="F0AEF90A"/>
    <w:lvl w:ilvl="0">
      <w:start w:val="1"/>
      <w:numFmt w:val="decimal"/>
      <w:lvlText w:val="%1."/>
      <w:lvlJc w:val="left"/>
      <w:pPr>
        <w:ind w:left="480" w:hanging="48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11" w15:restartNumberingAfterBreak="0">
    <w:nsid w:val="031C7A7B"/>
    <w:multiLevelType w:val="hybridMultilevel"/>
    <w:tmpl w:val="0C7C4BE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031E5662"/>
    <w:multiLevelType w:val="hybridMultilevel"/>
    <w:tmpl w:val="03AACC00"/>
    <w:lvl w:ilvl="0" w:tplc="BC520BEE">
      <w:start w:val="1"/>
      <w:numFmt w:val="lowerLetter"/>
      <w:lvlText w:val="%1)"/>
      <w:lvlJc w:val="left"/>
      <w:pPr>
        <w:ind w:left="1774" w:hanging="360"/>
      </w:pPr>
      <w:rPr>
        <w:rFonts w:hint="default"/>
      </w:rPr>
    </w:lvl>
    <w:lvl w:ilvl="1" w:tplc="280A0019" w:tentative="1">
      <w:start w:val="1"/>
      <w:numFmt w:val="lowerLetter"/>
      <w:lvlText w:val="%2."/>
      <w:lvlJc w:val="left"/>
      <w:pPr>
        <w:ind w:left="2494" w:hanging="360"/>
      </w:pPr>
    </w:lvl>
    <w:lvl w:ilvl="2" w:tplc="280A001B" w:tentative="1">
      <w:start w:val="1"/>
      <w:numFmt w:val="lowerRoman"/>
      <w:lvlText w:val="%3."/>
      <w:lvlJc w:val="right"/>
      <w:pPr>
        <w:ind w:left="3214" w:hanging="180"/>
      </w:pPr>
    </w:lvl>
    <w:lvl w:ilvl="3" w:tplc="280A000F" w:tentative="1">
      <w:start w:val="1"/>
      <w:numFmt w:val="decimal"/>
      <w:lvlText w:val="%4."/>
      <w:lvlJc w:val="left"/>
      <w:pPr>
        <w:ind w:left="3934" w:hanging="360"/>
      </w:pPr>
    </w:lvl>
    <w:lvl w:ilvl="4" w:tplc="280A0019" w:tentative="1">
      <w:start w:val="1"/>
      <w:numFmt w:val="lowerLetter"/>
      <w:lvlText w:val="%5."/>
      <w:lvlJc w:val="left"/>
      <w:pPr>
        <w:ind w:left="4654" w:hanging="360"/>
      </w:pPr>
    </w:lvl>
    <w:lvl w:ilvl="5" w:tplc="280A001B" w:tentative="1">
      <w:start w:val="1"/>
      <w:numFmt w:val="lowerRoman"/>
      <w:lvlText w:val="%6."/>
      <w:lvlJc w:val="right"/>
      <w:pPr>
        <w:ind w:left="5374" w:hanging="180"/>
      </w:pPr>
    </w:lvl>
    <w:lvl w:ilvl="6" w:tplc="280A000F" w:tentative="1">
      <w:start w:val="1"/>
      <w:numFmt w:val="decimal"/>
      <w:lvlText w:val="%7."/>
      <w:lvlJc w:val="left"/>
      <w:pPr>
        <w:ind w:left="6094" w:hanging="360"/>
      </w:pPr>
    </w:lvl>
    <w:lvl w:ilvl="7" w:tplc="280A0019" w:tentative="1">
      <w:start w:val="1"/>
      <w:numFmt w:val="lowerLetter"/>
      <w:lvlText w:val="%8."/>
      <w:lvlJc w:val="left"/>
      <w:pPr>
        <w:ind w:left="6814" w:hanging="360"/>
      </w:pPr>
    </w:lvl>
    <w:lvl w:ilvl="8" w:tplc="280A001B" w:tentative="1">
      <w:start w:val="1"/>
      <w:numFmt w:val="lowerRoman"/>
      <w:lvlText w:val="%9."/>
      <w:lvlJc w:val="right"/>
      <w:pPr>
        <w:ind w:left="7534" w:hanging="180"/>
      </w:pPr>
    </w:lvl>
  </w:abstractNum>
  <w:abstractNum w:abstractNumId="13" w15:restartNumberingAfterBreak="0">
    <w:nsid w:val="043F11D0"/>
    <w:multiLevelType w:val="hybridMultilevel"/>
    <w:tmpl w:val="B8ECD0D0"/>
    <w:lvl w:ilvl="0" w:tplc="4BE020DE">
      <w:start w:val="1"/>
      <w:numFmt w:val="bullet"/>
      <w:lvlText w:val=""/>
      <w:lvlJc w:val="left"/>
      <w:pPr>
        <w:ind w:left="644" w:hanging="360"/>
      </w:pPr>
      <w:rPr>
        <w:rFonts w:ascii="Wingdings" w:hAnsi="Wingdings" w:hint="default"/>
        <w:b/>
        <w:color w:val="525252" w:themeColor="accent3" w:themeShade="80"/>
        <w:sz w:val="16"/>
        <w:szCs w:val="16"/>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048A4CF3"/>
    <w:multiLevelType w:val="hybridMultilevel"/>
    <w:tmpl w:val="8B944AD6"/>
    <w:lvl w:ilvl="0" w:tplc="CC289286">
      <w:start w:val="4"/>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04F9055B"/>
    <w:multiLevelType w:val="hybridMultilevel"/>
    <w:tmpl w:val="575CFD00"/>
    <w:lvl w:ilvl="0" w:tplc="280A0017">
      <w:start w:val="1"/>
      <w:numFmt w:val="lowerLetter"/>
      <w:lvlText w:val="%1)"/>
      <w:lvlJc w:val="left"/>
      <w:pPr>
        <w:tabs>
          <w:tab w:val="num" w:pos="1353"/>
        </w:tabs>
        <w:ind w:left="1353" w:hanging="360"/>
      </w:pPr>
      <w:rPr>
        <w:rFonts w:hint="default"/>
      </w:rPr>
    </w:lvl>
    <w:lvl w:ilvl="1" w:tplc="1F542484">
      <w:start w:val="1"/>
      <w:numFmt w:val="lowerLetter"/>
      <w:lvlText w:val="%2)"/>
      <w:lvlJc w:val="left"/>
      <w:pPr>
        <w:tabs>
          <w:tab w:val="num" w:pos="2160"/>
        </w:tabs>
        <w:ind w:left="2160" w:hanging="360"/>
      </w:pPr>
      <w:rPr>
        <w:rFonts w:hint="default"/>
      </w:rPr>
    </w:lvl>
    <w:lvl w:ilvl="2" w:tplc="280A0005">
      <w:start w:val="1"/>
      <w:numFmt w:val="bullet"/>
      <w:lvlText w:val=""/>
      <w:lvlJc w:val="left"/>
      <w:pPr>
        <w:tabs>
          <w:tab w:val="num" w:pos="2880"/>
        </w:tabs>
        <w:ind w:left="2880" w:hanging="360"/>
      </w:pPr>
      <w:rPr>
        <w:rFonts w:ascii="Wingdings" w:hAnsi="Wingdings" w:hint="default"/>
      </w:rPr>
    </w:lvl>
    <w:lvl w:ilvl="3" w:tplc="280A0001">
      <w:start w:val="1"/>
      <w:numFmt w:val="bullet"/>
      <w:lvlText w:val=""/>
      <w:lvlJc w:val="left"/>
      <w:pPr>
        <w:tabs>
          <w:tab w:val="num" w:pos="3600"/>
        </w:tabs>
        <w:ind w:left="3600" w:hanging="360"/>
      </w:pPr>
      <w:rPr>
        <w:rFonts w:ascii="Symbol" w:hAnsi="Symbol" w:hint="default"/>
      </w:rPr>
    </w:lvl>
    <w:lvl w:ilvl="4" w:tplc="280A0003" w:tentative="1">
      <w:start w:val="1"/>
      <w:numFmt w:val="bullet"/>
      <w:lvlText w:val="o"/>
      <w:lvlJc w:val="left"/>
      <w:pPr>
        <w:tabs>
          <w:tab w:val="num" w:pos="4320"/>
        </w:tabs>
        <w:ind w:left="4320" w:hanging="360"/>
      </w:pPr>
      <w:rPr>
        <w:rFonts w:ascii="Courier New" w:hAnsi="Courier New" w:hint="default"/>
      </w:rPr>
    </w:lvl>
    <w:lvl w:ilvl="5" w:tplc="280A0005" w:tentative="1">
      <w:start w:val="1"/>
      <w:numFmt w:val="bullet"/>
      <w:lvlText w:val=""/>
      <w:lvlJc w:val="left"/>
      <w:pPr>
        <w:tabs>
          <w:tab w:val="num" w:pos="5040"/>
        </w:tabs>
        <w:ind w:left="5040" w:hanging="360"/>
      </w:pPr>
      <w:rPr>
        <w:rFonts w:ascii="Wingdings" w:hAnsi="Wingdings" w:hint="default"/>
      </w:rPr>
    </w:lvl>
    <w:lvl w:ilvl="6" w:tplc="280A0001" w:tentative="1">
      <w:start w:val="1"/>
      <w:numFmt w:val="bullet"/>
      <w:lvlText w:val=""/>
      <w:lvlJc w:val="left"/>
      <w:pPr>
        <w:tabs>
          <w:tab w:val="num" w:pos="5760"/>
        </w:tabs>
        <w:ind w:left="5760" w:hanging="360"/>
      </w:pPr>
      <w:rPr>
        <w:rFonts w:ascii="Symbol" w:hAnsi="Symbol" w:hint="default"/>
      </w:rPr>
    </w:lvl>
    <w:lvl w:ilvl="7" w:tplc="280A0003" w:tentative="1">
      <w:start w:val="1"/>
      <w:numFmt w:val="bullet"/>
      <w:lvlText w:val="o"/>
      <w:lvlJc w:val="left"/>
      <w:pPr>
        <w:tabs>
          <w:tab w:val="num" w:pos="6480"/>
        </w:tabs>
        <w:ind w:left="6480" w:hanging="360"/>
      </w:pPr>
      <w:rPr>
        <w:rFonts w:ascii="Courier New" w:hAnsi="Courier New" w:hint="default"/>
      </w:rPr>
    </w:lvl>
    <w:lvl w:ilvl="8" w:tplc="280A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05CD2A4D"/>
    <w:multiLevelType w:val="multilevel"/>
    <w:tmpl w:val="F68ACE9A"/>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06423D75"/>
    <w:multiLevelType w:val="multilevel"/>
    <w:tmpl w:val="C6D0B3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6715CC7"/>
    <w:multiLevelType w:val="hybridMultilevel"/>
    <w:tmpl w:val="6016811C"/>
    <w:lvl w:ilvl="0" w:tplc="B56217AC">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19" w15:restartNumberingAfterBreak="0">
    <w:nsid w:val="06DB3E31"/>
    <w:multiLevelType w:val="multilevel"/>
    <w:tmpl w:val="5D7E21D4"/>
    <w:lvl w:ilvl="0">
      <w:start w:val="40"/>
      <w:numFmt w:val="decimal"/>
      <w:lvlText w:val="%1"/>
      <w:lvlJc w:val="left"/>
      <w:pPr>
        <w:ind w:left="420" w:hanging="420"/>
      </w:pPr>
      <w:rPr>
        <w:rFonts w:hint="default"/>
      </w:rPr>
    </w:lvl>
    <w:lvl w:ilvl="1">
      <w:start w:val="1"/>
      <w:numFmt w:val="decimal"/>
      <w:lvlText w:val="%1.%2"/>
      <w:lvlJc w:val="left"/>
      <w:pPr>
        <w:ind w:left="2760" w:hanging="42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20" w15:restartNumberingAfterBreak="0">
    <w:nsid w:val="06E06BF2"/>
    <w:multiLevelType w:val="multilevel"/>
    <w:tmpl w:val="70447F5E"/>
    <w:lvl w:ilvl="0">
      <w:start w:val="2"/>
      <w:numFmt w:val="decimal"/>
      <w:lvlText w:val="%1"/>
      <w:lvlJc w:val="left"/>
      <w:pPr>
        <w:ind w:left="1425" w:hanging="360"/>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1785"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145" w:hanging="108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505" w:hanging="1440"/>
      </w:pPr>
      <w:rPr>
        <w:rFonts w:hint="default"/>
      </w:rPr>
    </w:lvl>
    <w:lvl w:ilvl="7">
      <w:start w:val="1"/>
      <w:numFmt w:val="decimal"/>
      <w:isLgl/>
      <w:lvlText w:val="%1.%2.%3.%4.%5.%6.%7.%8"/>
      <w:lvlJc w:val="left"/>
      <w:pPr>
        <w:ind w:left="2505" w:hanging="1440"/>
      </w:pPr>
      <w:rPr>
        <w:rFonts w:hint="default"/>
      </w:rPr>
    </w:lvl>
    <w:lvl w:ilvl="8">
      <w:start w:val="1"/>
      <w:numFmt w:val="decimal"/>
      <w:isLgl/>
      <w:lvlText w:val="%1.%2.%3.%4.%5.%6.%7.%8.%9"/>
      <w:lvlJc w:val="left"/>
      <w:pPr>
        <w:ind w:left="2865" w:hanging="1800"/>
      </w:pPr>
      <w:rPr>
        <w:rFonts w:hint="default"/>
      </w:rPr>
    </w:lvl>
  </w:abstractNum>
  <w:abstractNum w:abstractNumId="21" w15:restartNumberingAfterBreak="0">
    <w:nsid w:val="072A7F86"/>
    <w:multiLevelType w:val="multilevel"/>
    <w:tmpl w:val="0B5E6BBC"/>
    <w:lvl w:ilvl="0">
      <w:start w:val="49"/>
      <w:numFmt w:val="decimal"/>
      <w:lvlText w:val="%1"/>
      <w:lvlJc w:val="left"/>
      <w:pPr>
        <w:ind w:left="420" w:hanging="420"/>
      </w:pPr>
      <w:rPr>
        <w:rFonts w:hint="default"/>
      </w:rPr>
    </w:lvl>
    <w:lvl w:ilvl="1">
      <w:start w:val="1"/>
      <w:numFmt w:val="decimal"/>
      <w:lvlText w:val="%1.%2"/>
      <w:lvlJc w:val="left"/>
      <w:pPr>
        <w:ind w:left="3105" w:hanging="420"/>
      </w:pPr>
      <w:rPr>
        <w:rFonts w:hint="default"/>
      </w:rPr>
    </w:lvl>
    <w:lvl w:ilvl="2">
      <w:start w:val="1"/>
      <w:numFmt w:val="decimal"/>
      <w:lvlText w:val="%1.%2.%3"/>
      <w:lvlJc w:val="left"/>
      <w:pPr>
        <w:ind w:left="6090" w:hanging="720"/>
      </w:pPr>
      <w:rPr>
        <w:rFonts w:hint="default"/>
      </w:rPr>
    </w:lvl>
    <w:lvl w:ilvl="3">
      <w:start w:val="1"/>
      <w:numFmt w:val="decimal"/>
      <w:lvlText w:val="%1.%2.%3.%4"/>
      <w:lvlJc w:val="left"/>
      <w:pPr>
        <w:ind w:left="8775" w:hanging="720"/>
      </w:pPr>
      <w:rPr>
        <w:rFonts w:hint="default"/>
      </w:rPr>
    </w:lvl>
    <w:lvl w:ilvl="4">
      <w:start w:val="1"/>
      <w:numFmt w:val="decimal"/>
      <w:lvlText w:val="%1.%2.%3.%4.%5"/>
      <w:lvlJc w:val="left"/>
      <w:pPr>
        <w:ind w:left="11820" w:hanging="1080"/>
      </w:pPr>
      <w:rPr>
        <w:rFonts w:hint="default"/>
      </w:rPr>
    </w:lvl>
    <w:lvl w:ilvl="5">
      <w:start w:val="1"/>
      <w:numFmt w:val="decimal"/>
      <w:lvlText w:val="%1.%2.%3.%4.%5.%6"/>
      <w:lvlJc w:val="left"/>
      <w:pPr>
        <w:ind w:left="14505" w:hanging="1080"/>
      </w:pPr>
      <w:rPr>
        <w:rFonts w:hint="default"/>
      </w:rPr>
    </w:lvl>
    <w:lvl w:ilvl="6">
      <w:start w:val="1"/>
      <w:numFmt w:val="decimal"/>
      <w:lvlText w:val="%1.%2.%3.%4.%5.%6.%7"/>
      <w:lvlJc w:val="left"/>
      <w:pPr>
        <w:ind w:left="17550" w:hanging="1440"/>
      </w:pPr>
      <w:rPr>
        <w:rFonts w:hint="default"/>
      </w:rPr>
    </w:lvl>
    <w:lvl w:ilvl="7">
      <w:start w:val="1"/>
      <w:numFmt w:val="decimal"/>
      <w:lvlText w:val="%1.%2.%3.%4.%5.%6.%7.%8"/>
      <w:lvlJc w:val="left"/>
      <w:pPr>
        <w:ind w:left="20235" w:hanging="1440"/>
      </w:pPr>
      <w:rPr>
        <w:rFonts w:hint="default"/>
      </w:rPr>
    </w:lvl>
    <w:lvl w:ilvl="8">
      <w:start w:val="1"/>
      <w:numFmt w:val="decimal"/>
      <w:lvlText w:val="%1.%2.%3.%4.%5.%6.%7.%8.%9"/>
      <w:lvlJc w:val="left"/>
      <w:pPr>
        <w:ind w:left="23280" w:hanging="1800"/>
      </w:pPr>
      <w:rPr>
        <w:rFonts w:hint="default"/>
      </w:rPr>
    </w:lvl>
  </w:abstractNum>
  <w:abstractNum w:abstractNumId="22" w15:restartNumberingAfterBreak="0">
    <w:nsid w:val="07D76ED0"/>
    <w:multiLevelType w:val="hybridMultilevel"/>
    <w:tmpl w:val="D946E8C4"/>
    <w:lvl w:ilvl="0" w:tplc="A9722C9C">
      <w:start w:val="1"/>
      <w:numFmt w:val="lowerLetter"/>
      <w:lvlText w:val="%1)"/>
      <w:lvlJc w:val="left"/>
      <w:pPr>
        <w:ind w:left="1080" w:hanging="375"/>
      </w:pPr>
      <w:rPr>
        <w:rFonts w:hint="default"/>
      </w:rPr>
    </w:lvl>
    <w:lvl w:ilvl="1" w:tplc="4E3A6E10">
      <w:start w:val="1"/>
      <w:numFmt w:val="decimal"/>
      <w:lvlText w:val="%2."/>
      <w:lvlJc w:val="left"/>
      <w:pPr>
        <w:ind w:left="1785" w:hanging="360"/>
      </w:pPr>
      <w:rPr>
        <w:rFonts w:hint="default"/>
      </w:r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23" w15:restartNumberingAfterBreak="0">
    <w:nsid w:val="08DC02BC"/>
    <w:multiLevelType w:val="hybridMultilevel"/>
    <w:tmpl w:val="7DD25530"/>
    <w:lvl w:ilvl="0" w:tplc="8604D278">
      <w:start w:val="1"/>
      <w:numFmt w:val="upperRoman"/>
      <w:lvlText w:val="%1."/>
      <w:lvlJc w:val="left"/>
      <w:pPr>
        <w:ind w:left="1080" w:hanging="720"/>
      </w:pPr>
      <w:rPr>
        <w:rFonts w:hint="default"/>
        <w:b/>
      </w:rPr>
    </w:lvl>
    <w:lvl w:ilvl="1" w:tplc="280A0019" w:tentative="1">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09007F7E"/>
    <w:multiLevelType w:val="hybridMultilevel"/>
    <w:tmpl w:val="DD7A2F38"/>
    <w:lvl w:ilvl="0" w:tplc="BF64E2EE">
      <w:start w:val="1"/>
      <w:numFmt w:val="bullet"/>
      <w:lvlText w:val=""/>
      <w:lvlJc w:val="left"/>
      <w:pPr>
        <w:ind w:left="720" w:hanging="360"/>
      </w:pPr>
      <w:rPr>
        <w:rFonts w:ascii="Wingdings" w:hAnsi="Wingdings" w:hint="default"/>
        <w:b/>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0A4411C1"/>
    <w:multiLevelType w:val="multilevel"/>
    <w:tmpl w:val="94EA71AC"/>
    <w:lvl w:ilvl="0">
      <w:start w:val="20"/>
      <w:numFmt w:val="decimal"/>
      <w:lvlText w:val="%1"/>
      <w:lvlJc w:val="left"/>
      <w:pPr>
        <w:ind w:left="420" w:hanging="420"/>
      </w:pPr>
      <w:rPr>
        <w:rFonts w:hint="default"/>
      </w:rPr>
    </w:lvl>
    <w:lvl w:ilvl="1">
      <w:start w:val="1"/>
      <w:numFmt w:val="decimal"/>
      <w:lvlText w:val="%1.%2"/>
      <w:lvlJc w:val="left"/>
      <w:pPr>
        <w:ind w:left="2760" w:hanging="42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26" w15:restartNumberingAfterBreak="0">
    <w:nsid w:val="0A731768"/>
    <w:multiLevelType w:val="hybridMultilevel"/>
    <w:tmpl w:val="BD482124"/>
    <w:lvl w:ilvl="0" w:tplc="221C081A">
      <w:start w:val="1"/>
      <w:numFmt w:val="decimal"/>
      <w:lvlText w:val="%1)"/>
      <w:lvlJc w:val="left"/>
      <w:pPr>
        <w:ind w:left="1065" w:hanging="360"/>
      </w:pPr>
      <w:rPr>
        <w:rFonts w:hint="default"/>
      </w:rPr>
    </w:lvl>
    <w:lvl w:ilvl="1" w:tplc="E85A40B2">
      <w:start w:val="1"/>
      <w:numFmt w:val="lowerLetter"/>
      <w:lvlText w:val="%2)"/>
      <w:lvlJc w:val="left"/>
      <w:pPr>
        <w:ind w:left="1785" w:hanging="360"/>
      </w:pPr>
      <w:rPr>
        <w:rFonts w:hint="default"/>
      </w:r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27" w15:restartNumberingAfterBreak="0">
    <w:nsid w:val="0B213018"/>
    <w:multiLevelType w:val="hybridMultilevel"/>
    <w:tmpl w:val="192E6128"/>
    <w:lvl w:ilvl="0" w:tplc="26141286">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28" w15:restartNumberingAfterBreak="0">
    <w:nsid w:val="0B252A36"/>
    <w:multiLevelType w:val="multilevel"/>
    <w:tmpl w:val="37BCB18A"/>
    <w:lvl w:ilvl="0">
      <w:start w:val="7"/>
      <w:numFmt w:val="decimal"/>
      <w:lvlText w:val="%1"/>
      <w:lvlJc w:val="left"/>
      <w:pPr>
        <w:ind w:left="600" w:hanging="600"/>
      </w:pPr>
      <w:rPr>
        <w:rFonts w:hint="default"/>
      </w:rPr>
    </w:lvl>
    <w:lvl w:ilvl="1">
      <w:start w:val="10"/>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0B60172E"/>
    <w:multiLevelType w:val="hybridMultilevel"/>
    <w:tmpl w:val="F93AABA6"/>
    <w:lvl w:ilvl="0" w:tplc="79AC5D20">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0B7D6D48"/>
    <w:multiLevelType w:val="hybridMultilevel"/>
    <w:tmpl w:val="4B4CF316"/>
    <w:lvl w:ilvl="0" w:tplc="63D45388">
      <w:start w:val="2"/>
      <w:numFmt w:val="bullet"/>
      <w:lvlText w:val="-"/>
      <w:lvlJc w:val="left"/>
      <w:pPr>
        <w:ind w:left="720" w:hanging="360"/>
      </w:pPr>
      <w:rPr>
        <w:rFonts w:ascii="Calibri" w:eastAsia="Times New Roman" w:hAnsi="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0BAC7F43"/>
    <w:multiLevelType w:val="hybridMultilevel"/>
    <w:tmpl w:val="1FD6AE8E"/>
    <w:lvl w:ilvl="0" w:tplc="0CE0279C">
      <w:start w:val="7"/>
      <w:numFmt w:val="bullet"/>
      <w:lvlText w:val="·"/>
      <w:lvlJc w:val="left"/>
      <w:pPr>
        <w:ind w:left="480" w:hanging="360"/>
      </w:pPr>
      <w:rPr>
        <w:rFonts w:ascii="Arial" w:eastAsia="Calibri" w:hAnsi="Arial" w:cs="Arial" w:hint="default"/>
      </w:rPr>
    </w:lvl>
    <w:lvl w:ilvl="1" w:tplc="280A0003" w:tentative="1">
      <w:start w:val="1"/>
      <w:numFmt w:val="bullet"/>
      <w:lvlText w:val="o"/>
      <w:lvlJc w:val="left"/>
      <w:pPr>
        <w:ind w:left="1500" w:hanging="360"/>
      </w:pPr>
      <w:rPr>
        <w:rFonts w:ascii="Courier New" w:hAnsi="Courier New" w:cs="Courier New" w:hint="default"/>
      </w:rPr>
    </w:lvl>
    <w:lvl w:ilvl="2" w:tplc="280A0005" w:tentative="1">
      <w:start w:val="1"/>
      <w:numFmt w:val="bullet"/>
      <w:lvlText w:val=""/>
      <w:lvlJc w:val="left"/>
      <w:pPr>
        <w:ind w:left="2220" w:hanging="360"/>
      </w:pPr>
      <w:rPr>
        <w:rFonts w:ascii="Wingdings" w:hAnsi="Wingdings" w:hint="default"/>
      </w:rPr>
    </w:lvl>
    <w:lvl w:ilvl="3" w:tplc="280A0001" w:tentative="1">
      <w:start w:val="1"/>
      <w:numFmt w:val="bullet"/>
      <w:lvlText w:val=""/>
      <w:lvlJc w:val="left"/>
      <w:pPr>
        <w:ind w:left="2940" w:hanging="360"/>
      </w:pPr>
      <w:rPr>
        <w:rFonts w:ascii="Symbol" w:hAnsi="Symbol" w:hint="default"/>
      </w:rPr>
    </w:lvl>
    <w:lvl w:ilvl="4" w:tplc="280A0003" w:tentative="1">
      <w:start w:val="1"/>
      <w:numFmt w:val="bullet"/>
      <w:lvlText w:val="o"/>
      <w:lvlJc w:val="left"/>
      <w:pPr>
        <w:ind w:left="3660" w:hanging="360"/>
      </w:pPr>
      <w:rPr>
        <w:rFonts w:ascii="Courier New" w:hAnsi="Courier New" w:cs="Courier New" w:hint="default"/>
      </w:rPr>
    </w:lvl>
    <w:lvl w:ilvl="5" w:tplc="280A0005" w:tentative="1">
      <w:start w:val="1"/>
      <w:numFmt w:val="bullet"/>
      <w:lvlText w:val=""/>
      <w:lvlJc w:val="left"/>
      <w:pPr>
        <w:ind w:left="4380" w:hanging="360"/>
      </w:pPr>
      <w:rPr>
        <w:rFonts w:ascii="Wingdings" w:hAnsi="Wingdings" w:hint="default"/>
      </w:rPr>
    </w:lvl>
    <w:lvl w:ilvl="6" w:tplc="280A0001" w:tentative="1">
      <w:start w:val="1"/>
      <w:numFmt w:val="bullet"/>
      <w:lvlText w:val=""/>
      <w:lvlJc w:val="left"/>
      <w:pPr>
        <w:ind w:left="5100" w:hanging="360"/>
      </w:pPr>
      <w:rPr>
        <w:rFonts w:ascii="Symbol" w:hAnsi="Symbol" w:hint="default"/>
      </w:rPr>
    </w:lvl>
    <w:lvl w:ilvl="7" w:tplc="280A0003" w:tentative="1">
      <w:start w:val="1"/>
      <w:numFmt w:val="bullet"/>
      <w:lvlText w:val="o"/>
      <w:lvlJc w:val="left"/>
      <w:pPr>
        <w:ind w:left="5820" w:hanging="360"/>
      </w:pPr>
      <w:rPr>
        <w:rFonts w:ascii="Courier New" w:hAnsi="Courier New" w:cs="Courier New" w:hint="default"/>
      </w:rPr>
    </w:lvl>
    <w:lvl w:ilvl="8" w:tplc="280A0005" w:tentative="1">
      <w:start w:val="1"/>
      <w:numFmt w:val="bullet"/>
      <w:lvlText w:val=""/>
      <w:lvlJc w:val="left"/>
      <w:pPr>
        <w:ind w:left="6540" w:hanging="360"/>
      </w:pPr>
      <w:rPr>
        <w:rFonts w:ascii="Wingdings" w:hAnsi="Wingdings" w:hint="default"/>
      </w:rPr>
    </w:lvl>
  </w:abstractNum>
  <w:abstractNum w:abstractNumId="32" w15:restartNumberingAfterBreak="0">
    <w:nsid w:val="0C2C38BD"/>
    <w:multiLevelType w:val="hybridMultilevel"/>
    <w:tmpl w:val="DF46200E"/>
    <w:lvl w:ilvl="0" w:tplc="9E3E611C">
      <w:start w:val="1"/>
      <w:numFmt w:val="bullet"/>
      <w:lvlText w:val="-"/>
      <w:lvlJc w:val="left"/>
      <w:pPr>
        <w:ind w:left="720" w:hanging="360"/>
      </w:pPr>
      <w:rPr>
        <w:rFonts w:ascii="Arial" w:eastAsia="Times New Roman" w:hAnsi="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0C51440F"/>
    <w:multiLevelType w:val="hybridMultilevel"/>
    <w:tmpl w:val="6B5E4F7E"/>
    <w:lvl w:ilvl="0" w:tplc="CC289286">
      <w:start w:val="4"/>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0D4010C8"/>
    <w:multiLevelType w:val="multilevel"/>
    <w:tmpl w:val="047A342A"/>
    <w:lvl w:ilvl="0">
      <w:start w:val="1"/>
      <w:numFmt w:val="decimal"/>
      <w:lvlText w:val="%1."/>
      <w:lvlJc w:val="left"/>
      <w:pPr>
        <w:ind w:left="1065" w:hanging="360"/>
      </w:pPr>
      <w:rPr>
        <w:rFonts w:hint="default"/>
      </w:rPr>
    </w:lvl>
    <w:lvl w:ilvl="1">
      <w:start w:val="2"/>
      <w:numFmt w:val="decimal"/>
      <w:isLgl/>
      <w:lvlText w:val="%1.%2"/>
      <w:lvlJc w:val="left"/>
      <w:pPr>
        <w:ind w:left="1320" w:hanging="615"/>
      </w:pPr>
      <w:rPr>
        <w:rFonts w:hint="default"/>
      </w:rPr>
    </w:lvl>
    <w:lvl w:ilvl="2">
      <w:start w:val="6"/>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35" w15:restartNumberingAfterBreak="0">
    <w:nsid w:val="0D4D7771"/>
    <w:multiLevelType w:val="multilevel"/>
    <w:tmpl w:val="BA5008A4"/>
    <w:lvl w:ilvl="0">
      <w:start w:val="1"/>
      <w:numFmt w:val="decimal"/>
      <w:lvlText w:val="%1."/>
      <w:lvlJc w:val="left"/>
      <w:pPr>
        <w:ind w:left="435" w:hanging="43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36" w15:restartNumberingAfterBreak="0">
    <w:nsid w:val="0DE23A65"/>
    <w:multiLevelType w:val="hybridMultilevel"/>
    <w:tmpl w:val="DA3E179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0F433FEA"/>
    <w:multiLevelType w:val="multilevel"/>
    <w:tmpl w:val="DCC293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0FCA5EFB"/>
    <w:multiLevelType w:val="multilevel"/>
    <w:tmpl w:val="41A835CC"/>
    <w:lvl w:ilvl="0">
      <w:start w:val="1"/>
      <w:numFmt w:val="decimal"/>
      <w:lvlText w:val="%1"/>
      <w:lvlJc w:val="left"/>
      <w:pPr>
        <w:ind w:left="360" w:hanging="360"/>
      </w:pPr>
      <w:rPr>
        <w:rFonts w:ascii="Arial" w:hAnsi="Arial" w:cs="Arial" w:hint="default"/>
        <w:i w:val="0"/>
      </w:rPr>
    </w:lvl>
    <w:lvl w:ilvl="1">
      <w:start w:val="1"/>
      <w:numFmt w:val="decimal"/>
      <w:lvlText w:val="%1.%2"/>
      <w:lvlJc w:val="left"/>
      <w:pPr>
        <w:ind w:left="360" w:hanging="360"/>
      </w:pPr>
      <w:rPr>
        <w:rFonts w:ascii="Arial" w:hAnsi="Arial" w:cs="Arial" w:hint="default"/>
        <w:i w:val="0"/>
      </w:rPr>
    </w:lvl>
    <w:lvl w:ilvl="2">
      <w:start w:val="1"/>
      <w:numFmt w:val="decimal"/>
      <w:lvlText w:val="%1.%2.%3"/>
      <w:lvlJc w:val="left"/>
      <w:pPr>
        <w:ind w:left="720" w:hanging="720"/>
      </w:pPr>
      <w:rPr>
        <w:rFonts w:ascii="Arial" w:hAnsi="Arial" w:cs="Arial" w:hint="default"/>
        <w:i w:val="0"/>
      </w:rPr>
    </w:lvl>
    <w:lvl w:ilvl="3">
      <w:start w:val="1"/>
      <w:numFmt w:val="decimal"/>
      <w:lvlText w:val="%1.%2.%3.%4"/>
      <w:lvlJc w:val="left"/>
      <w:pPr>
        <w:ind w:left="720" w:hanging="720"/>
      </w:pPr>
      <w:rPr>
        <w:rFonts w:ascii="Arial" w:hAnsi="Arial" w:cs="Arial" w:hint="default"/>
        <w:i w:val="0"/>
      </w:rPr>
    </w:lvl>
    <w:lvl w:ilvl="4">
      <w:start w:val="1"/>
      <w:numFmt w:val="decimal"/>
      <w:lvlText w:val="%1.%2.%3.%4.%5"/>
      <w:lvlJc w:val="left"/>
      <w:pPr>
        <w:ind w:left="1080" w:hanging="1080"/>
      </w:pPr>
      <w:rPr>
        <w:rFonts w:ascii="Arial" w:hAnsi="Arial" w:cs="Arial" w:hint="default"/>
        <w:i w:val="0"/>
      </w:rPr>
    </w:lvl>
    <w:lvl w:ilvl="5">
      <w:start w:val="1"/>
      <w:numFmt w:val="decimal"/>
      <w:lvlText w:val="%1.%2.%3.%4.%5.%6"/>
      <w:lvlJc w:val="left"/>
      <w:pPr>
        <w:ind w:left="1080" w:hanging="1080"/>
      </w:pPr>
      <w:rPr>
        <w:rFonts w:ascii="Arial" w:hAnsi="Arial" w:cs="Arial" w:hint="default"/>
        <w:i w:val="0"/>
      </w:rPr>
    </w:lvl>
    <w:lvl w:ilvl="6">
      <w:start w:val="1"/>
      <w:numFmt w:val="decimal"/>
      <w:lvlText w:val="%1.%2.%3.%4.%5.%6.%7"/>
      <w:lvlJc w:val="left"/>
      <w:pPr>
        <w:ind w:left="1440" w:hanging="1440"/>
      </w:pPr>
      <w:rPr>
        <w:rFonts w:ascii="Arial" w:hAnsi="Arial" w:cs="Arial" w:hint="default"/>
        <w:i w:val="0"/>
      </w:rPr>
    </w:lvl>
    <w:lvl w:ilvl="7">
      <w:start w:val="1"/>
      <w:numFmt w:val="decimal"/>
      <w:lvlText w:val="%1.%2.%3.%4.%5.%6.%7.%8"/>
      <w:lvlJc w:val="left"/>
      <w:pPr>
        <w:ind w:left="1440" w:hanging="1440"/>
      </w:pPr>
      <w:rPr>
        <w:rFonts w:ascii="Arial" w:hAnsi="Arial" w:cs="Arial" w:hint="default"/>
        <w:i w:val="0"/>
      </w:rPr>
    </w:lvl>
    <w:lvl w:ilvl="8">
      <w:start w:val="1"/>
      <w:numFmt w:val="decimal"/>
      <w:lvlText w:val="%1.%2.%3.%4.%5.%6.%7.%8.%9"/>
      <w:lvlJc w:val="left"/>
      <w:pPr>
        <w:ind w:left="1800" w:hanging="1800"/>
      </w:pPr>
      <w:rPr>
        <w:rFonts w:ascii="Arial" w:hAnsi="Arial" w:cs="Arial" w:hint="default"/>
        <w:i w:val="0"/>
      </w:rPr>
    </w:lvl>
  </w:abstractNum>
  <w:abstractNum w:abstractNumId="39" w15:restartNumberingAfterBreak="0">
    <w:nsid w:val="0FD91E0B"/>
    <w:multiLevelType w:val="hybridMultilevel"/>
    <w:tmpl w:val="F37A22DC"/>
    <w:lvl w:ilvl="0" w:tplc="6F7665AC">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40" w15:restartNumberingAfterBreak="0">
    <w:nsid w:val="11981EFC"/>
    <w:multiLevelType w:val="hybridMultilevel"/>
    <w:tmpl w:val="3878A10C"/>
    <w:lvl w:ilvl="0" w:tplc="31D2C246">
      <w:start w:val="1"/>
      <w:numFmt w:val="lowerLetter"/>
      <w:lvlText w:val="%1)"/>
      <w:lvlJc w:val="left"/>
      <w:pPr>
        <w:ind w:left="1065" w:hanging="360"/>
      </w:pPr>
      <w:rPr>
        <w:rFonts w:hint="default"/>
      </w:rPr>
    </w:lvl>
    <w:lvl w:ilvl="1" w:tplc="C9903E54">
      <w:start w:val="1"/>
      <w:numFmt w:val="decimal"/>
      <w:lvlText w:val="%2)"/>
      <w:lvlJc w:val="left"/>
      <w:pPr>
        <w:ind w:left="1785" w:hanging="360"/>
      </w:pPr>
      <w:rPr>
        <w:rFonts w:hint="default"/>
      </w:r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41" w15:restartNumberingAfterBreak="0">
    <w:nsid w:val="11CA1B0D"/>
    <w:multiLevelType w:val="hybridMultilevel"/>
    <w:tmpl w:val="D7D47502"/>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11EB0E10"/>
    <w:multiLevelType w:val="hybridMultilevel"/>
    <w:tmpl w:val="78E090B6"/>
    <w:lvl w:ilvl="0" w:tplc="A3F6AC4A">
      <w:start w:val="1"/>
      <w:numFmt w:val="lowerLetter"/>
      <w:lvlText w:val="%1)"/>
      <w:lvlJc w:val="left"/>
      <w:pPr>
        <w:ind w:left="1353"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3" w15:restartNumberingAfterBreak="0">
    <w:nsid w:val="121978D1"/>
    <w:multiLevelType w:val="hybridMultilevel"/>
    <w:tmpl w:val="DFCC4370"/>
    <w:lvl w:ilvl="0" w:tplc="AE301CAE">
      <w:start w:val="1"/>
      <w:numFmt w:val="lowerLetter"/>
      <w:lvlText w:val="%1)"/>
      <w:lvlJc w:val="left"/>
      <w:pPr>
        <w:tabs>
          <w:tab w:val="num" w:pos="1353"/>
        </w:tabs>
        <w:ind w:left="1353" w:hanging="360"/>
      </w:pPr>
      <w:rPr>
        <w:rFonts w:ascii="Arial" w:hAnsi="Arial" w:cs="Arial" w:hint="default"/>
        <w:sz w:val="22"/>
        <w:szCs w:val="22"/>
      </w:rPr>
    </w:lvl>
    <w:lvl w:ilvl="1" w:tplc="1F542484">
      <w:start w:val="1"/>
      <w:numFmt w:val="lowerLetter"/>
      <w:lvlText w:val="%2)"/>
      <w:lvlJc w:val="left"/>
      <w:pPr>
        <w:tabs>
          <w:tab w:val="num" w:pos="2160"/>
        </w:tabs>
        <w:ind w:left="2160" w:hanging="360"/>
      </w:pPr>
      <w:rPr>
        <w:rFonts w:hint="default"/>
      </w:rPr>
    </w:lvl>
    <w:lvl w:ilvl="2" w:tplc="280A0005">
      <w:start w:val="1"/>
      <w:numFmt w:val="bullet"/>
      <w:lvlText w:val=""/>
      <w:lvlJc w:val="left"/>
      <w:pPr>
        <w:tabs>
          <w:tab w:val="num" w:pos="2880"/>
        </w:tabs>
        <w:ind w:left="2880" w:hanging="360"/>
      </w:pPr>
      <w:rPr>
        <w:rFonts w:ascii="Wingdings" w:hAnsi="Wingdings" w:hint="default"/>
      </w:rPr>
    </w:lvl>
    <w:lvl w:ilvl="3" w:tplc="280A0001">
      <w:start w:val="1"/>
      <w:numFmt w:val="bullet"/>
      <w:lvlText w:val=""/>
      <w:lvlJc w:val="left"/>
      <w:pPr>
        <w:tabs>
          <w:tab w:val="num" w:pos="3600"/>
        </w:tabs>
        <w:ind w:left="3600" w:hanging="360"/>
      </w:pPr>
      <w:rPr>
        <w:rFonts w:ascii="Symbol" w:hAnsi="Symbol" w:hint="default"/>
      </w:rPr>
    </w:lvl>
    <w:lvl w:ilvl="4" w:tplc="280A0003" w:tentative="1">
      <w:start w:val="1"/>
      <w:numFmt w:val="bullet"/>
      <w:lvlText w:val="o"/>
      <w:lvlJc w:val="left"/>
      <w:pPr>
        <w:tabs>
          <w:tab w:val="num" w:pos="4320"/>
        </w:tabs>
        <w:ind w:left="4320" w:hanging="360"/>
      </w:pPr>
      <w:rPr>
        <w:rFonts w:ascii="Courier New" w:hAnsi="Courier New" w:hint="default"/>
      </w:rPr>
    </w:lvl>
    <w:lvl w:ilvl="5" w:tplc="280A0005" w:tentative="1">
      <w:start w:val="1"/>
      <w:numFmt w:val="bullet"/>
      <w:lvlText w:val=""/>
      <w:lvlJc w:val="left"/>
      <w:pPr>
        <w:tabs>
          <w:tab w:val="num" w:pos="5040"/>
        </w:tabs>
        <w:ind w:left="5040" w:hanging="360"/>
      </w:pPr>
      <w:rPr>
        <w:rFonts w:ascii="Wingdings" w:hAnsi="Wingdings" w:hint="default"/>
      </w:rPr>
    </w:lvl>
    <w:lvl w:ilvl="6" w:tplc="280A0001" w:tentative="1">
      <w:start w:val="1"/>
      <w:numFmt w:val="bullet"/>
      <w:lvlText w:val=""/>
      <w:lvlJc w:val="left"/>
      <w:pPr>
        <w:tabs>
          <w:tab w:val="num" w:pos="5760"/>
        </w:tabs>
        <w:ind w:left="5760" w:hanging="360"/>
      </w:pPr>
      <w:rPr>
        <w:rFonts w:ascii="Symbol" w:hAnsi="Symbol" w:hint="default"/>
      </w:rPr>
    </w:lvl>
    <w:lvl w:ilvl="7" w:tplc="280A0003" w:tentative="1">
      <w:start w:val="1"/>
      <w:numFmt w:val="bullet"/>
      <w:lvlText w:val="o"/>
      <w:lvlJc w:val="left"/>
      <w:pPr>
        <w:tabs>
          <w:tab w:val="num" w:pos="6480"/>
        </w:tabs>
        <w:ind w:left="6480" w:hanging="360"/>
      </w:pPr>
      <w:rPr>
        <w:rFonts w:ascii="Courier New" w:hAnsi="Courier New" w:hint="default"/>
      </w:rPr>
    </w:lvl>
    <w:lvl w:ilvl="8" w:tplc="280A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122E19EF"/>
    <w:multiLevelType w:val="hybridMultilevel"/>
    <w:tmpl w:val="47B202EA"/>
    <w:lvl w:ilvl="0" w:tplc="CEAE6A20">
      <w:start w:val="1"/>
      <w:numFmt w:val="lowerLetter"/>
      <w:lvlText w:val="%1)"/>
      <w:lvlJc w:val="left"/>
      <w:pPr>
        <w:ind w:left="1065" w:hanging="360"/>
      </w:pPr>
      <w:rPr>
        <w:rFonts w:hint="default"/>
      </w:rPr>
    </w:lvl>
    <w:lvl w:ilvl="1" w:tplc="07EC38A8">
      <w:start w:val="1"/>
      <w:numFmt w:val="decimal"/>
      <w:lvlText w:val="%2)"/>
      <w:lvlJc w:val="left"/>
      <w:pPr>
        <w:ind w:left="1785" w:hanging="360"/>
      </w:pPr>
      <w:rPr>
        <w:rFonts w:hint="default"/>
      </w:r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45" w15:restartNumberingAfterBreak="0">
    <w:nsid w:val="12417D7A"/>
    <w:multiLevelType w:val="multilevel"/>
    <w:tmpl w:val="057E26FC"/>
    <w:lvl w:ilvl="0">
      <w:start w:val="27"/>
      <w:numFmt w:val="decimal"/>
      <w:lvlText w:val="%1"/>
      <w:lvlJc w:val="left"/>
      <w:pPr>
        <w:ind w:left="420" w:hanging="420"/>
      </w:pPr>
      <w:rPr>
        <w:rFonts w:hint="default"/>
      </w:rPr>
    </w:lvl>
    <w:lvl w:ilvl="1">
      <w:start w:val="1"/>
      <w:numFmt w:val="decimal"/>
      <w:lvlText w:val="%1.%2"/>
      <w:lvlJc w:val="left"/>
      <w:pPr>
        <w:ind w:left="2760" w:hanging="42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46" w15:restartNumberingAfterBreak="0">
    <w:nsid w:val="124F1C7B"/>
    <w:multiLevelType w:val="hybridMultilevel"/>
    <w:tmpl w:val="B5C6DDC0"/>
    <w:lvl w:ilvl="0" w:tplc="86000D82">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47" w15:restartNumberingAfterBreak="0">
    <w:nsid w:val="12EF7D13"/>
    <w:multiLevelType w:val="hybridMultilevel"/>
    <w:tmpl w:val="AD7E3FBE"/>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8" w15:restartNumberingAfterBreak="0">
    <w:nsid w:val="1304333B"/>
    <w:multiLevelType w:val="multilevel"/>
    <w:tmpl w:val="339EBDF6"/>
    <w:lvl w:ilvl="0">
      <w:start w:val="29"/>
      <w:numFmt w:val="decimal"/>
      <w:lvlText w:val="%1"/>
      <w:lvlJc w:val="left"/>
      <w:pPr>
        <w:ind w:left="420" w:hanging="420"/>
      </w:pPr>
      <w:rPr>
        <w:rFonts w:hint="default"/>
      </w:rPr>
    </w:lvl>
    <w:lvl w:ilvl="1">
      <w:start w:val="1"/>
      <w:numFmt w:val="decimal"/>
      <w:lvlText w:val="%1.%2"/>
      <w:lvlJc w:val="left"/>
      <w:pPr>
        <w:ind w:left="2760" w:hanging="42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49" w15:restartNumberingAfterBreak="0">
    <w:nsid w:val="13393241"/>
    <w:multiLevelType w:val="hybridMultilevel"/>
    <w:tmpl w:val="485C7D6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0" w15:restartNumberingAfterBreak="0">
    <w:nsid w:val="13526F0D"/>
    <w:multiLevelType w:val="multilevel"/>
    <w:tmpl w:val="28EAE6F4"/>
    <w:lvl w:ilvl="0">
      <w:start w:val="1"/>
      <w:numFmt w:val="decimal"/>
      <w:lvlText w:val="%1."/>
      <w:lvlJc w:val="left"/>
      <w:pPr>
        <w:ind w:left="1065" w:hanging="360"/>
      </w:pPr>
      <w:rPr>
        <w:rFonts w:hint="default"/>
      </w:rPr>
    </w:lvl>
    <w:lvl w:ilvl="1">
      <w:start w:val="2"/>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51" w15:restartNumberingAfterBreak="0">
    <w:nsid w:val="13B07E1D"/>
    <w:multiLevelType w:val="hybridMultilevel"/>
    <w:tmpl w:val="067E500A"/>
    <w:lvl w:ilvl="0" w:tplc="CC289286">
      <w:start w:val="4"/>
      <w:numFmt w:val="bullet"/>
      <w:lvlText w:val="-"/>
      <w:lvlJc w:val="left"/>
      <w:pPr>
        <w:ind w:left="754" w:hanging="360"/>
      </w:pPr>
      <w:rPr>
        <w:rFonts w:ascii="Arial" w:eastAsiaTheme="minorHAnsi" w:hAnsi="Arial" w:cs="Arial" w:hint="default"/>
      </w:rPr>
    </w:lvl>
    <w:lvl w:ilvl="1" w:tplc="280A0003" w:tentative="1">
      <w:start w:val="1"/>
      <w:numFmt w:val="bullet"/>
      <w:lvlText w:val="o"/>
      <w:lvlJc w:val="left"/>
      <w:pPr>
        <w:ind w:left="1474" w:hanging="360"/>
      </w:pPr>
      <w:rPr>
        <w:rFonts w:ascii="Courier New" w:hAnsi="Courier New" w:cs="Courier New" w:hint="default"/>
      </w:rPr>
    </w:lvl>
    <w:lvl w:ilvl="2" w:tplc="280A0005" w:tentative="1">
      <w:start w:val="1"/>
      <w:numFmt w:val="bullet"/>
      <w:lvlText w:val=""/>
      <w:lvlJc w:val="left"/>
      <w:pPr>
        <w:ind w:left="2194" w:hanging="360"/>
      </w:pPr>
      <w:rPr>
        <w:rFonts w:ascii="Wingdings" w:hAnsi="Wingdings" w:hint="default"/>
      </w:rPr>
    </w:lvl>
    <w:lvl w:ilvl="3" w:tplc="280A0001" w:tentative="1">
      <w:start w:val="1"/>
      <w:numFmt w:val="bullet"/>
      <w:lvlText w:val=""/>
      <w:lvlJc w:val="left"/>
      <w:pPr>
        <w:ind w:left="2914" w:hanging="360"/>
      </w:pPr>
      <w:rPr>
        <w:rFonts w:ascii="Symbol" w:hAnsi="Symbol" w:hint="default"/>
      </w:rPr>
    </w:lvl>
    <w:lvl w:ilvl="4" w:tplc="280A0003" w:tentative="1">
      <w:start w:val="1"/>
      <w:numFmt w:val="bullet"/>
      <w:lvlText w:val="o"/>
      <w:lvlJc w:val="left"/>
      <w:pPr>
        <w:ind w:left="3634" w:hanging="360"/>
      </w:pPr>
      <w:rPr>
        <w:rFonts w:ascii="Courier New" w:hAnsi="Courier New" w:cs="Courier New" w:hint="default"/>
      </w:rPr>
    </w:lvl>
    <w:lvl w:ilvl="5" w:tplc="280A0005" w:tentative="1">
      <w:start w:val="1"/>
      <w:numFmt w:val="bullet"/>
      <w:lvlText w:val=""/>
      <w:lvlJc w:val="left"/>
      <w:pPr>
        <w:ind w:left="4354" w:hanging="360"/>
      </w:pPr>
      <w:rPr>
        <w:rFonts w:ascii="Wingdings" w:hAnsi="Wingdings" w:hint="default"/>
      </w:rPr>
    </w:lvl>
    <w:lvl w:ilvl="6" w:tplc="280A0001" w:tentative="1">
      <w:start w:val="1"/>
      <w:numFmt w:val="bullet"/>
      <w:lvlText w:val=""/>
      <w:lvlJc w:val="left"/>
      <w:pPr>
        <w:ind w:left="5074" w:hanging="360"/>
      </w:pPr>
      <w:rPr>
        <w:rFonts w:ascii="Symbol" w:hAnsi="Symbol" w:hint="default"/>
      </w:rPr>
    </w:lvl>
    <w:lvl w:ilvl="7" w:tplc="280A0003" w:tentative="1">
      <w:start w:val="1"/>
      <w:numFmt w:val="bullet"/>
      <w:lvlText w:val="o"/>
      <w:lvlJc w:val="left"/>
      <w:pPr>
        <w:ind w:left="5794" w:hanging="360"/>
      </w:pPr>
      <w:rPr>
        <w:rFonts w:ascii="Courier New" w:hAnsi="Courier New" w:cs="Courier New" w:hint="default"/>
      </w:rPr>
    </w:lvl>
    <w:lvl w:ilvl="8" w:tplc="280A0005" w:tentative="1">
      <w:start w:val="1"/>
      <w:numFmt w:val="bullet"/>
      <w:lvlText w:val=""/>
      <w:lvlJc w:val="left"/>
      <w:pPr>
        <w:ind w:left="6514" w:hanging="360"/>
      </w:pPr>
      <w:rPr>
        <w:rFonts w:ascii="Wingdings" w:hAnsi="Wingdings" w:hint="default"/>
      </w:rPr>
    </w:lvl>
  </w:abstractNum>
  <w:abstractNum w:abstractNumId="52" w15:restartNumberingAfterBreak="0">
    <w:nsid w:val="14356318"/>
    <w:multiLevelType w:val="multilevel"/>
    <w:tmpl w:val="964C63EE"/>
    <w:lvl w:ilvl="0">
      <w:start w:val="6"/>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14442F1C"/>
    <w:multiLevelType w:val="hybridMultilevel"/>
    <w:tmpl w:val="5A20E896"/>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54" w15:restartNumberingAfterBreak="0">
    <w:nsid w:val="1482682D"/>
    <w:multiLevelType w:val="hybridMultilevel"/>
    <w:tmpl w:val="9A8466D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5" w15:restartNumberingAfterBreak="0">
    <w:nsid w:val="16137B6C"/>
    <w:multiLevelType w:val="hybridMultilevel"/>
    <w:tmpl w:val="87CE4C0E"/>
    <w:lvl w:ilvl="0" w:tplc="352432C4">
      <w:start w:val="1"/>
      <w:numFmt w:val="bullet"/>
      <w:lvlText w:val=""/>
      <w:lvlJc w:val="left"/>
      <w:pPr>
        <w:ind w:left="720" w:hanging="360"/>
      </w:pPr>
      <w:rPr>
        <w:rFonts w:ascii="Wingdings" w:hAnsi="Wingdings" w:hint="default"/>
        <w:b/>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6" w15:restartNumberingAfterBreak="0">
    <w:nsid w:val="161A22AE"/>
    <w:multiLevelType w:val="hybridMultilevel"/>
    <w:tmpl w:val="695ED866"/>
    <w:lvl w:ilvl="0" w:tplc="63D45388">
      <w:start w:val="2"/>
      <w:numFmt w:val="bullet"/>
      <w:lvlText w:val="-"/>
      <w:lvlJc w:val="left"/>
      <w:pPr>
        <w:ind w:left="720" w:hanging="360"/>
      </w:pPr>
      <w:rPr>
        <w:rFonts w:ascii="Calibri" w:eastAsia="Times New Roman" w:hAnsi="Calibri" w:hint="default"/>
      </w:rPr>
    </w:lvl>
    <w:lvl w:ilvl="1" w:tplc="63D45388">
      <w:start w:val="2"/>
      <w:numFmt w:val="bullet"/>
      <w:lvlText w:val="-"/>
      <w:lvlJc w:val="left"/>
      <w:pPr>
        <w:ind w:left="1440" w:hanging="360"/>
      </w:pPr>
      <w:rPr>
        <w:rFonts w:ascii="Calibri" w:eastAsia="Times New Roman" w:hAnsi="Calibri"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7" w15:restartNumberingAfterBreak="0">
    <w:nsid w:val="169203EA"/>
    <w:multiLevelType w:val="hybridMultilevel"/>
    <w:tmpl w:val="5B342D4E"/>
    <w:lvl w:ilvl="0" w:tplc="6DB2BFDE">
      <w:start w:val="1"/>
      <w:numFmt w:val="bullet"/>
      <w:lvlText w:val=""/>
      <w:lvlJc w:val="left"/>
      <w:pPr>
        <w:ind w:left="720" w:hanging="360"/>
      </w:pPr>
      <w:rPr>
        <w:rFonts w:ascii="Wingdings" w:hAnsi="Wingdings" w:hint="default"/>
        <w:color w:val="525252" w:themeColor="accent3" w:themeShade="8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8" w15:restartNumberingAfterBreak="0">
    <w:nsid w:val="16C835AE"/>
    <w:multiLevelType w:val="multilevel"/>
    <w:tmpl w:val="3F0C32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17432B09"/>
    <w:multiLevelType w:val="multilevel"/>
    <w:tmpl w:val="4AFC1D32"/>
    <w:lvl w:ilvl="0">
      <w:start w:val="6"/>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180934E7"/>
    <w:multiLevelType w:val="hybridMultilevel"/>
    <w:tmpl w:val="8196BCB8"/>
    <w:lvl w:ilvl="0" w:tplc="280A0017">
      <w:start w:val="1"/>
      <w:numFmt w:val="lowerLetter"/>
      <w:lvlText w:val="%1)"/>
      <w:lvlJc w:val="left"/>
      <w:pPr>
        <w:tabs>
          <w:tab w:val="num" w:pos="1353"/>
        </w:tabs>
        <w:ind w:left="1353" w:hanging="360"/>
      </w:pPr>
      <w:rPr>
        <w:rFonts w:hint="default"/>
      </w:rPr>
    </w:lvl>
    <w:lvl w:ilvl="1" w:tplc="1F542484">
      <w:start w:val="1"/>
      <w:numFmt w:val="lowerLetter"/>
      <w:lvlText w:val="%2)"/>
      <w:lvlJc w:val="left"/>
      <w:pPr>
        <w:tabs>
          <w:tab w:val="num" w:pos="2160"/>
        </w:tabs>
        <w:ind w:left="2160" w:hanging="360"/>
      </w:pPr>
      <w:rPr>
        <w:rFonts w:hint="default"/>
      </w:rPr>
    </w:lvl>
    <w:lvl w:ilvl="2" w:tplc="280A0005">
      <w:start w:val="1"/>
      <w:numFmt w:val="bullet"/>
      <w:lvlText w:val=""/>
      <w:lvlJc w:val="left"/>
      <w:pPr>
        <w:tabs>
          <w:tab w:val="num" w:pos="2880"/>
        </w:tabs>
        <w:ind w:left="2880" w:hanging="360"/>
      </w:pPr>
      <w:rPr>
        <w:rFonts w:ascii="Wingdings" w:hAnsi="Wingdings" w:hint="default"/>
      </w:rPr>
    </w:lvl>
    <w:lvl w:ilvl="3" w:tplc="280A0001">
      <w:start w:val="1"/>
      <w:numFmt w:val="bullet"/>
      <w:lvlText w:val=""/>
      <w:lvlJc w:val="left"/>
      <w:pPr>
        <w:tabs>
          <w:tab w:val="num" w:pos="3600"/>
        </w:tabs>
        <w:ind w:left="3600" w:hanging="360"/>
      </w:pPr>
      <w:rPr>
        <w:rFonts w:ascii="Symbol" w:hAnsi="Symbol" w:hint="default"/>
      </w:rPr>
    </w:lvl>
    <w:lvl w:ilvl="4" w:tplc="280A0003" w:tentative="1">
      <w:start w:val="1"/>
      <w:numFmt w:val="bullet"/>
      <w:lvlText w:val="o"/>
      <w:lvlJc w:val="left"/>
      <w:pPr>
        <w:tabs>
          <w:tab w:val="num" w:pos="4320"/>
        </w:tabs>
        <w:ind w:left="4320" w:hanging="360"/>
      </w:pPr>
      <w:rPr>
        <w:rFonts w:ascii="Courier New" w:hAnsi="Courier New" w:hint="default"/>
      </w:rPr>
    </w:lvl>
    <w:lvl w:ilvl="5" w:tplc="280A0005" w:tentative="1">
      <w:start w:val="1"/>
      <w:numFmt w:val="bullet"/>
      <w:lvlText w:val=""/>
      <w:lvlJc w:val="left"/>
      <w:pPr>
        <w:tabs>
          <w:tab w:val="num" w:pos="5040"/>
        </w:tabs>
        <w:ind w:left="5040" w:hanging="360"/>
      </w:pPr>
      <w:rPr>
        <w:rFonts w:ascii="Wingdings" w:hAnsi="Wingdings" w:hint="default"/>
      </w:rPr>
    </w:lvl>
    <w:lvl w:ilvl="6" w:tplc="280A0001" w:tentative="1">
      <w:start w:val="1"/>
      <w:numFmt w:val="bullet"/>
      <w:lvlText w:val=""/>
      <w:lvlJc w:val="left"/>
      <w:pPr>
        <w:tabs>
          <w:tab w:val="num" w:pos="5760"/>
        </w:tabs>
        <w:ind w:left="5760" w:hanging="360"/>
      </w:pPr>
      <w:rPr>
        <w:rFonts w:ascii="Symbol" w:hAnsi="Symbol" w:hint="default"/>
      </w:rPr>
    </w:lvl>
    <w:lvl w:ilvl="7" w:tplc="280A0003" w:tentative="1">
      <w:start w:val="1"/>
      <w:numFmt w:val="bullet"/>
      <w:lvlText w:val="o"/>
      <w:lvlJc w:val="left"/>
      <w:pPr>
        <w:tabs>
          <w:tab w:val="num" w:pos="6480"/>
        </w:tabs>
        <w:ind w:left="6480" w:hanging="360"/>
      </w:pPr>
      <w:rPr>
        <w:rFonts w:ascii="Courier New" w:hAnsi="Courier New" w:hint="default"/>
      </w:rPr>
    </w:lvl>
    <w:lvl w:ilvl="8" w:tplc="280A0005" w:tentative="1">
      <w:start w:val="1"/>
      <w:numFmt w:val="bullet"/>
      <w:lvlText w:val=""/>
      <w:lvlJc w:val="left"/>
      <w:pPr>
        <w:tabs>
          <w:tab w:val="num" w:pos="7200"/>
        </w:tabs>
        <w:ind w:left="7200" w:hanging="360"/>
      </w:pPr>
      <w:rPr>
        <w:rFonts w:ascii="Wingdings" w:hAnsi="Wingdings" w:hint="default"/>
      </w:rPr>
    </w:lvl>
  </w:abstractNum>
  <w:abstractNum w:abstractNumId="61" w15:restartNumberingAfterBreak="0">
    <w:nsid w:val="18290D60"/>
    <w:multiLevelType w:val="multilevel"/>
    <w:tmpl w:val="DA28C068"/>
    <w:lvl w:ilvl="0">
      <w:start w:val="1"/>
      <w:numFmt w:val="decimal"/>
      <w:lvlText w:val="%1."/>
      <w:lvlJc w:val="left"/>
      <w:pPr>
        <w:ind w:left="360" w:hanging="360"/>
      </w:pPr>
      <w:rPr>
        <w:rFonts w:cs="Times New Roman" w:hint="default"/>
      </w:rPr>
    </w:lvl>
    <w:lvl w:ilvl="1">
      <w:start w:val="1"/>
      <w:numFmt w:val="decimal"/>
      <w:lvlText w:val="%1.%2."/>
      <w:lvlJc w:val="left"/>
      <w:pPr>
        <w:ind w:left="574"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2" w15:restartNumberingAfterBreak="0">
    <w:nsid w:val="186B6DE6"/>
    <w:multiLevelType w:val="hybridMultilevel"/>
    <w:tmpl w:val="3AAE864A"/>
    <w:lvl w:ilvl="0" w:tplc="280A001B">
      <w:start w:val="1"/>
      <w:numFmt w:val="lowerRoman"/>
      <w:lvlText w:val="%1."/>
      <w:lvlJc w:val="right"/>
      <w:pPr>
        <w:ind w:left="720" w:hanging="360"/>
      </w:pPr>
      <w:rPr>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3" w15:restartNumberingAfterBreak="0">
    <w:nsid w:val="190E68C0"/>
    <w:multiLevelType w:val="hybridMultilevel"/>
    <w:tmpl w:val="4CF603CE"/>
    <w:lvl w:ilvl="0" w:tplc="8A12378C">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64" w15:restartNumberingAfterBreak="0">
    <w:nsid w:val="19C96910"/>
    <w:multiLevelType w:val="hybridMultilevel"/>
    <w:tmpl w:val="E9924D3A"/>
    <w:lvl w:ilvl="0" w:tplc="CEA8A8CA">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65" w15:restartNumberingAfterBreak="0">
    <w:nsid w:val="1AF72CD8"/>
    <w:multiLevelType w:val="multilevel"/>
    <w:tmpl w:val="5B4E145E"/>
    <w:lvl w:ilvl="0">
      <w:start w:val="1"/>
      <w:numFmt w:val="decimal"/>
      <w:lvlText w:val="%1."/>
      <w:lvlJc w:val="left"/>
      <w:pPr>
        <w:ind w:left="1065" w:hanging="360"/>
      </w:pPr>
      <w:rPr>
        <w:rFonts w:hint="default"/>
      </w:rPr>
    </w:lvl>
    <w:lvl w:ilvl="1">
      <w:start w:val="1"/>
      <w:numFmt w:val="decimal"/>
      <w:isLgl/>
      <w:lvlText w:val="%1.%2"/>
      <w:lvlJc w:val="left"/>
      <w:pPr>
        <w:ind w:left="1095" w:hanging="390"/>
      </w:pPr>
      <w:rPr>
        <w:rFonts w:hint="default"/>
        <w:b/>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66" w15:restartNumberingAfterBreak="0">
    <w:nsid w:val="1B9C64FB"/>
    <w:multiLevelType w:val="hybridMultilevel"/>
    <w:tmpl w:val="51C8C57E"/>
    <w:lvl w:ilvl="0" w:tplc="56D0F676">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67" w15:restartNumberingAfterBreak="0">
    <w:nsid w:val="1C6B6771"/>
    <w:multiLevelType w:val="hybridMultilevel"/>
    <w:tmpl w:val="460245B4"/>
    <w:lvl w:ilvl="0" w:tplc="31D2C246">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68" w15:restartNumberingAfterBreak="0">
    <w:nsid w:val="1C982F93"/>
    <w:multiLevelType w:val="hybridMultilevel"/>
    <w:tmpl w:val="CBB8C78E"/>
    <w:lvl w:ilvl="0" w:tplc="560EEF96">
      <w:start w:val="1"/>
      <w:numFmt w:val="decimal"/>
      <w:lvlText w:val="%1)"/>
      <w:lvlJc w:val="left"/>
      <w:pPr>
        <w:ind w:left="1065" w:hanging="360"/>
      </w:pPr>
      <w:rPr>
        <w:rFonts w:hint="default"/>
      </w:rPr>
    </w:lvl>
    <w:lvl w:ilvl="1" w:tplc="3BD0F4A6">
      <w:start w:val="1"/>
      <w:numFmt w:val="lowerLetter"/>
      <w:lvlText w:val="%2)"/>
      <w:lvlJc w:val="left"/>
      <w:pPr>
        <w:ind w:left="1785" w:hanging="360"/>
      </w:pPr>
      <w:rPr>
        <w:rFonts w:hint="default"/>
      </w:r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69" w15:restartNumberingAfterBreak="0">
    <w:nsid w:val="1CA22718"/>
    <w:multiLevelType w:val="hybridMultilevel"/>
    <w:tmpl w:val="15BAC4E0"/>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0" w15:restartNumberingAfterBreak="0">
    <w:nsid w:val="1CAA565F"/>
    <w:multiLevelType w:val="multilevel"/>
    <w:tmpl w:val="95A09BDC"/>
    <w:lvl w:ilvl="0">
      <w:start w:val="6"/>
      <w:numFmt w:val="decimal"/>
      <w:lvlText w:val="%1"/>
      <w:lvlJc w:val="left"/>
      <w:pPr>
        <w:ind w:left="360" w:hanging="360"/>
      </w:pPr>
      <w:rPr>
        <w:rFonts w:hint="default"/>
      </w:rPr>
    </w:lvl>
    <w:lvl w:ilvl="1">
      <w:start w:val="2"/>
      <w:numFmt w:val="decimal"/>
      <w:lvlText w:val="%1.%2"/>
      <w:lvlJc w:val="left"/>
      <w:pPr>
        <w:ind w:left="3045" w:hanging="360"/>
      </w:pPr>
      <w:rPr>
        <w:rFonts w:hint="default"/>
      </w:rPr>
    </w:lvl>
    <w:lvl w:ilvl="2">
      <w:start w:val="1"/>
      <w:numFmt w:val="decimal"/>
      <w:lvlText w:val="%1.%2.%3"/>
      <w:lvlJc w:val="left"/>
      <w:pPr>
        <w:ind w:left="6090" w:hanging="720"/>
      </w:pPr>
      <w:rPr>
        <w:rFonts w:hint="default"/>
      </w:rPr>
    </w:lvl>
    <w:lvl w:ilvl="3">
      <w:start w:val="1"/>
      <w:numFmt w:val="decimal"/>
      <w:lvlText w:val="%1.%2.%3.%4"/>
      <w:lvlJc w:val="left"/>
      <w:pPr>
        <w:ind w:left="8775" w:hanging="720"/>
      </w:pPr>
      <w:rPr>
        <w:rFonts w:hint="default"/>
      </w:rPr>
    </w:lvl>
    <w:lvl w:ilvl="4">
      <w:start w:val="1"/>
      <w:numFmt w:val="decimal"/>
      <w:lvlText w:val="%1.%2.%3.%4.%5"/>
      <w:lvlJc w:val="left"/>
      <w:pPr>
        <w:ind w:left="11820" w:hanging="1080"/>
      </w:pPr>
      <w:rPr>
        <w:rFonts w:hint="default"/>
      </w:rPr>
    </w:lvl>
    <w:lvl w:ilvl="5">
      <w:start w:val="1"/>
      <w:numFmt w:val="decimal"/>
      <w:lvlText w:val="%1.%2.%3.%4.%5.%6"/>
      <w:lvlJc w:val="left"/>
      <w:pPr>
        <w:ind w:left="14505" w:hanging="1080"/>
      </w:pPr>
      <w:rPr>
        <w:rFonts w:hint="default"/>
      </w:rPr>
    </w:lvl>
    <w:lvl w:ilvl="6">
      <w:start w:val="1"/>
      <w:numFmt w:val="decimal"/>
      <w:lvlText w:val="%1.%2.%3.%4.%5.%6.%7"/>
      <w:lvlJc w:val="left"/>
      <w:pPr>
        <w:ind w:left="17550" w:hanging="1440"/>
      </w:pPr>
      <w:rPr>
        <w:rFonts w:hint="default"/>
      </w:rPr>
    </w:lvl>
    <w:lvl w:ilvl="7">
      <w:start w:val="1"/>
      <w:numFmt w:val="decimal"/>
      <w:lvlText w:val="%1.%2.%3.%4.%5.%6.%7.%8"/>
      <w:lvlJc w:val="left"/>
      <w:pPr>
        <w:ind w:left="20235" w:hanging="1440"/>
      </w:pPr>
      <w:rPr>
        <w:rFonts w:hint="default"/>
      </w:rPr>
    </w:lvl>
    <w:lvl w:ilvl="8">
      <w:start w:val="1"/>
      <w:numFmt w:val="decimal"/>
      <w:lvlText w:val="%1.%2.%3.%4.%5.%6.%7.%8.%9"/>
      <w:lvlJc w:val="left"/>
      <w:pPr>
        <w:ind w:left="23280" w:hanging="1800"/>
      </w:pPr>
      <w:rPr>
        <w:rFonts w:hint="default"/>
      </w:rPr>
    </w:lvl>
  </w:abstractNum>
  <w:abstractNum w:abstractNumId="71" w15:restartNumberingAfterBreak="0">
    <w:nsid w:val="1CAB0AEA"/>
    <w:multiLevelType w:val="hybridMultilevel"/>
    <w:tmpl w:val="D3981380"/>
    <w:lvl w:ilvl="0" w:tplc="0AE2C020">
      <w:start w:val="1"/>
      <w:numFmt w:val="lowerLetter"/>
      <w:lvlText w:val="%1)"/>
      <w:lvlJc w:val="left"/>
      <w:pPr>
        <w:ind w:left="1065" w:hanging="360"/>
      </w:pPr>
      <w:rPr>
        <w:rFonts w:hint="default"/>
      </w:rPr>
    </w:lvl>
    <w:lvl w:ilvl="1" w:tplc="5934B924">
      <w:start w:val="1"/>
      <w:numFmt w:val="decimal"/>
      <w:lvlText w:val="%2)"/>
      <w:lvlJc w:val="left"/>
      <w:pPr>
        <w:ind w:left="1785" w:hanging="360"/>
      </w:pPr>
      <w:rPr>
        <w:rFonts w:hint="default"/>
      </w:r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72" w15:restartNumberingAfterBreak="0">
    <w:nsid w:val="1DB90549"/>
    <w:multiLevelType w:val="multilevel"/>
    <w:tmpl w:val="D2209A7E"/>
    <w:lvl w:ilvl="0">
      <w:start w:val="39"/>
      <w:numFmt w:val="decimal"/>
      <w:lvlText w:val="%1"/>
      <w:lvlJc w:val="left"/>
      <w:pPr>
        <w:ind w:left="420" w:hanging="420"/>
      </w:pPr>
      <w:rPr>
        <w:rFonts w:hint="default"/>
      </w:rPr>
    </w:lvl>
    <w:lvl w:ilvl="1">
      <w:start w:val="1"/>
      <w:numFmt w:val="decimal"/>
      <w:lvlText w:val="%1.%2"/>
      <w:lvlJc w:val="left"/>
      <w:pPr>
        <w:ind w:left="2760" w:hanging="42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73" w15:restartNumberingAfterBreak="0">
    <w:nsid w:val="1E40386A"/>
    <w:multiLevelType w:val="hybridMultilevel"/>
    <w:tmpl w:val="475E6D3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4" w15:restartNumberingAfterBreak="0">
    <w:nsid w:val="1E4741A4"/>
    <w:multiLevelType w:val="hybridMultilevel"/>
    <w:tmpl w:val="35F69F6C"/>
    <w:lvl w:ilvl="0" w:tplc="280A000F">
      <w:start w:val="1"/>
      <w:numFmt w:val="decimal"/>
      <w:lvlText w:val="%1."/>
      <w:lvlJc w:val="left"/>
      <w:pPr>
        <w:ind w:left="720" w:hanging="360"/>
      </w:pPr>
    </w:lvl>
    <w:lvl w:ilvl="1" w:tplc="588A4238">
      <w:start w:val="1"/>
      <w:numFmt w:val="upperLetter"/>
      <w:lvlText w:val="%2."/>
      <w:lvlJc w:val="left"/>
      <w:pPr>
        <w:ind w:left="1440" w:hanging="360"/>
      </w:pPr>
      <w:rPr>
        <w:rFonts w:hint="default"/>
      </w:rPr>
    </w:lvl>
    <w:lvl w:ilvl="2" w:tplc="280A000F">
      <w:start w:val="1"/>
      <w:numFmt w:val="decimal"/>
      <w:lvlText w:val="%3."/>
      <w:lvlJc w:val="lef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5" w15:restartNumberingAfterBreak="0">
    <w:nsid w:val="1E5F54A6"/>
    <w:multiLevelType w:val="hybridMultilevel"/>
    <w:tmpl w:val="ADC2A070"/>
    <w:lvl w:ilvl="0" w:tplc="0C0A0019">
      <w:start w:val="1"/>
      <w:numFmt w:val="lowerLetter"/>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90F69028">
      <w:start w:val="1"/>
      <w:numFmt w:val="lowerLetter"/>
      <w:lvlText w:val="%3)"/>
      <w:lvlJc w:val="left"/>
      <w:pPr>
        <w:ind w:left="2340" w:hanging="360"/>
      </w:pPr>
      <w:rPr>
        <w:rFonts w:hint="default"/>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6" w15:restartNumberingAfterBreak="0">
    <w:nsid w:val="1ED934AF"/>
    <w:multiLevelType w:val="multilevel"/>
    <w:tmpl w:val="A43E879C"/>
    <w:lvl w:ilvl="0">
      <w:start w:val="1"/>
      <w:numFmt w:val="upperRoman"/>
      <w:lvlText w:val="%1."/>
      <w:lvlJc w:val="left"/>
      <w:pPr>
        <w:ind w:left="1080" w:hanging="720"/>
      </w:pPr>
      <w:rPr>
        <w:rFonts w:cs="Times New Roman" w:hint="default"/>
      </w:rPr>
    </w:lvl>
    <w:lvl w:ilvl="1">
      <w:start w:val="2"/>
      <w:numFmt w:val="decimal"/>
      <w:isLgl/>
      <w:lvlText w:val="%1.%2"/>
      <w:lvlJc w:val="left"/>
      <w:pPr>
        <w:tabs>
          <w:tab w:val="num" w:pos="720"/>
        </w:tabs>
        <w:ind w:left="720" w:hanging="360"/>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77" w15:restartNumberingAfterBreak="0">
    <w:nsid w:val="1F000687"/>
    <w:multiLevelType w:val="hybridMultilevel"/>
    <w:tmpl w:val="5C464832"/>
    <w:lvl w:ilvl="0" w:tplc="0A6E7BDA">
      <w:start w:val="1"/>
      <w:numFmt w:val="upperRoman"/>
      <w:lvlText w:val="%1."/>
      <w:lvlJc w:val="left"/>
      <w:pPr>
        <w:ind w:left="1080" w:hanging="72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8" w15:restartNumberingAfterBreak="0">
    <w:nsid w:val="1F22057B"/>
    <w:multiLevelType w:val="hybridMultilevel"/>
    <w:tmpl w:val="A1269C34"/>
    <w:lvl w:ilvl="0" w:tplc="C58E6BC4">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79" w15:restartNumberingAfterBreak="0">
    <w:nsid w:val="1F7B6109"/>
    <w:multiLevelType w:val="hybridMultilevel"/>
    <w:tmpl w:val="05F61BA0"/>
    <w:lvl w:ilvl="0" w:tplc="33103B00">
      <w:start w:val="6"/>
      <w:numFmt w:val="bullet"/>
      <w:lvlText w:val="-"/>
      <w:lvlJc w:val="left"/>
      <w:pPr>
        <w:tabs>
          <w:tab w:val="num" w:pos="1428"/>
        </w:tabs>
        <w:ind w:left="1428" w:hanging="360"/>
      </w:pPr>
      <w:rPr>
        <w:rFonts w:ascii="Arial" w:eastAsia="Times New Roman" w:hAnsi="Aria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80" w15:restartNumberingAfterBreak="0">
    <w:nsid w:val="1F9F558E"/>
    <w:multiLevelType w:val="hybridMultilevel"/>
    <w:tmpl w:val="C7FA354E"/>
    <w:lvl w:ilvl="0" w:tplc="CC289286">
      <w:start w:val="4"/>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1" w15:restartNumberingAfterBreak="0">
    <w:nsid w:val="1FBA5FB7"/>
    <w:multiLevelType w:val="hybridMultilevel"/>
    <w:tmpl w:val="56ECF012"/>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82" w15:restartNumberingAfterBreak="0">
    <w:nsid w:val="20255AFE"/>
    <w:multiLevelType w:val="multilevel"/>
    <w:tmpl w:val="09E0240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3" w15:restartNumberingAfterBreak="0">
    <w:nsid w:val="208B2F62"/>
    <w:multiLevelType w:val="hybridMultilevel"/>
    <w:tmpl w:val="EC90DE1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4" w15:restartNumberingAfterBreak="0">
    <w:nsid w:val="2093674E"/>
    <w:multiLevelType w:val="hybridMultilevel"/>
    <w:tmpl w:val="CF6AC6A8"/>
    <w:lvl w:ilvl="0" w:tplc="280A0017">
      <w:start w:val="1"/>
      <w:numFmt w:val="lowerLetter"/>
      <w:lvlText w:val="%1)"/>
      <w:lvlJc w:val="left"/>
      <w:pPr>
        <w:ind w:left="720" w:hanging="360"/>
      </w:pPr>
    </w:lvl>
    <w:lvl w:ilvl="1" w:tplc="280A0017">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5" w15:restartNumberingAfterBreak="0">
    <w:nsid w:val="20A10836"/>
    <w:multiLevelType w:val="hybridMultilevel"/>
    <w:tmpl w:val="1BF87A28"/>
    <w:lvl w:ilvl="0" w:tplc="87483824">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86" w15:restartNumberingAfterBreak="0">
    <w:nsid w:val="20CF65FA"/>
    <w:multiLevelType w:val="hybridMultilevel"/>
    <w:tmpl w:val="CACC9EF0"/>
    <w:lvl w:ilvl="0" w:tplc="280A0017">
      <w:start w:val="1"/>
      <w:numFmt w:val="lowerLetter"/>
      <w:lvlText w:val="%1)"/>
      <w:lvlJc w:val="left"/>
      <w:pPr>
        <w:ind w:left="2880" w:hanging="360"/>
      </w:p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87" w15:restartNumberingAfterBreak="0">
    <w:nsid w:val="21644220"/>
    <w:multiLevelType w:val="multilevel"/>
    <w:tmpl w:val="35A6A364"/>
    <w:lvl w:ilvl="0">
      <w:start w:val="34"/>
      <w:numFmt w:val="decimal"/>
      <w:lvlText w:val="%1"/>
      <w:lvlJc w:val="left"/>
      <w:pPr>
        <w:ind w:left="420" w:hanging="420"/>
      </w:pPr>
      <w:rPr>
        <w:rFonts w:hint="default"/>
      </w:rPr>
    </w:lvl>
    <w:lvl w:ilvl="1">
      <w:start w:val="1"/>
      <w:numFmt w:val="decimal"/>
      <w:lvlText w:val="%1.%2"/>
      <w:lvlJc w:val="left"/>
      <w:pPr>
        <w:ind w:left="2760" w:hanging="42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88" w15:restartNumberingAfterBreak="0">
    <w:nsid w:val="21A31702"/>
    <w:multiLevelType w:val="hybridMultilevel"/>
    <w:tmpl w:val="44504260"/>
    <w:lvl w:ilvl="0" w:tplc="280A001B">
      <w:start w:val="1"/>
      <w:numFmt w:val="lowerRoman"/>
      <w:lvlText w:val="%1."/>
      <w:lvlJc w:val="right"/>
      <w:pPr>
        <w:ind w:left="1260" w:hanging="360"/>
      </w:pPr>
    </w:lvl>
    <w:lvl w:ilvl="1" w:tplc="280A0019" w:tentative="1">
      <w:start w:val="1"/>
      <w:numFmt w:val="lowerLetter"/>
      <w:lvlText w:val="%2."/>
      <w:lvlJc w:val="left"/>
      <w:pPr>
        <w:ind w:left="1980" w:hanging="360"/>
      </w:pPr>
    </w:lvl>
    <w:lvl w:ilvl="2" w:tplc="280A001B" w:tentative="1">
      <w:start w:val="1"/>
      <w:numFmt w:val="lowerRoman"/>
      <w:lvlText w:val="%3."/>
      <w:lvlJc w:val="right"/>
      <w:pPr>
        <w:ind w:left="2700" w:hanging="180"/>
      </w:pPr>
    </w:lvl>
    <w:lvl w:ilvl="3" w:tplc="280A000F" w:tentative="1">
      <w:start w:val="1"/>
      <w:numFmt w:val="decimal"/>
      <w:lvlText w:val="%4."/>
      <w:lvlJc w:val="left"/>
      <w:pPr>
        <w:ind w:left="3420" w:hanging="360"/>
      </w:pPr>
    </w:lvl>
    <w:lvl w:ilvl="4" w:tplc="280A0019" w:tentative="1">
      <w:start w:val="1"/>
      <w:numFmt w:val="lowerLetter"/>
      <w:lvlText w:val="%5."/>
      <w:lvlJc w:val="left"/>
      <w:pPr>
        <w:ind w:left="4140" w:hanging="360"/>
      </w:pPr>
    </w:lvl>
    <w:lvl w:ilvl="5" w:tplc="280A001B" w:tentative="1">
      <w:start w:val="1"/>
      <w:numFmt w:val="lowerRoman"/>
      <w:lvlText w:val="%6."/>
      <w:lvlJc w:val="right"/>
      <w:pPr>
        <w:ind w:left="4860" w:hanging="180"/>
      </w:pPr>
    </w:lvl>
    <w:lvl w:ilvl="6" w:tplc="280A000F" w:tentative="1">
      <w:start w:val="1"/>
      <w:numFmt w:val="decimal"/>
      <w:lvlText w:val="%7."/>
      <w:lvlJc w:val="left"/>
      <w:pPr>
        <w:ind w:left="5580" w:hanging="360"/>
      </w:pPr>
    </w:lvl>
    <w:lvl w:ilvl="7" w:tplc="280A0019" w:tentative="1">
      <w:start w:val="1"/>
      <w:numFmt w:val="lowerLetter"/>
      <w:lvlText w:val="%8."/>
      <w:lvlJc w:val="left"/>
      <w:pPr>
        <w:ind w:left="6300" w:hanging="360"/>
      </w:pPr>
    </w:lvl>
    <w:lvl w:ilvl="8" w:tplc="280A001B" w:tentative="1">
      <w:start w:val="1"/>
      <w:numFmt w:val="lowerRoman"/>
      <w:lvlText w:val="%9."/>
      <w:lvlJc w:val="right"/>
      <w:pPr>
        <w:ind w:left="7020" w:hanging="180"/>
      </w:pPr>
    </w:lvl>
  </w:abstractNum>
  <w:abstractNum w:abstractNumId="89" w15:restartNumberingAfterBreak="0">
    <w:nsid w:val="21F73D5E"/>
    <w:multiLevelType w:val="multilevel"/>
    <w:tmpl w:val="BEC05528"/>
    <w:lvl w:ilvl="0">
      <w:start w:val="1"/>
      <w:numFmt w:val="decimal"/>
      <w:pStyle w:val="Pri33"/>
      <w:lvlText w:val="%1."/>
      <w:lvlJc w:val="left"/>
      <w:pPr>
        <w:ind w:left="720" w:hanging="360"/>
      </w:pPr>
      <w:rPr>
        <w:rFonts w:cs="Times New Roman"/>
      </w:rPr>
    </w:lvl>
    <w:lvl w:ilvl="1">
      <w:start w:val="1"/>
      <w:numFmt w:val="decimal"/>
      <w:isLgl/>
      <w:lvlText w:val="%1.%2."/>
      <w:lvlJc w:val="left"/>
      <w:pPr>
        <w:ind w:left="1065" w:hanging="360"/>
      </w:pPr>
      <w:rPr>
        <w:rFonts w:hint="default"/>
        <w:b/>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abstractNum w:abstractNumId="90" w15:restartNumberingAfterBreak="0">
    <w:nsid w:val="22095B7B"/>
    <w:multiLevelType w:val="multilevel"/>
    <w:tmpl w:val="9CC49396"/>
    <w:lvl w:ilvl="0">
      <w:start w:val="6"/>
      <w:numFmt w:val="decimal"/>
      <w:lvlText w:val="%1."/>
      <w:lvlJc w:val="left"/>
      <w:pPr>
        <w:ind w:left="540" w:hanging="540"/>
      </w:pPr>
      <w:rPr>
        <w:rFonts w:hint="default"/>
      </w:rPr>
    </w:lvl>
    <w:lvl w:ilvl="1">
      <w:start w:val="5"/>
      <w:numFmt w:val="decimal"/>
      <w:lvlText w:val="%1.%2."/>
      <w:lvlJc w:val="left"/>
      <w:pPr>
        <w:ind w:left="720" w:hanging="720"/>
      </w:pPr>
      <w:rPr>
        <w:rFonts w:hint="default"/>
        <w:b/>
        <w:color w:val="FF0000"/>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22B36C8C"/>
    <w:multiLevelType w:val="hybridMultilevel"/>
    <w:tmpl w:val="14AA1D2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4D24F688">
      <w:start w:val="1"/>
      <w:numFmt w:val="decimal"/>
      <w:lvlText w:val="%3."/>
      <w:lvlJc w:val="right"/>
      <w:pPr>
        <w:ind w:left="2160" w:hanging="180"/>
      </w:pPr>
      <w:rPr>
        <w:rFonts w:ascii="Arial" w:eastAsia="Calibri" w:hAnsi="Arial" w:cs="Arial"/>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2" w15:restartNumberingAfterBreak="0">
    <w:nsid w:val="22B95E39"/>
    <w:multiLevelType w:val="hybridMultilevel"/>
    <w:tmpl w:val="8576940E"/>
    <w:lvl w:ilvl="0" w:tplc="5256452E">
      <w:start w:val="1"/>
      <w:numFmt w:val="lowerLetter"/>
      <w:lvlText w:val="%1)"/>
      <w:lvlJc w:val="left"/>
      <w:pPr>
        <w:ind w:left="1065" w:hanging="360"/>
      </w:pPr>
      <w:rPr>
        <w:rFonts w:hint="default"/>
      </w:rPr>
    </w:lvl>
    <w:lvl w:ilvl="1" w:tplc="5E682288">
      <w:start w:val="1"/>
      <w:numFmt w:val="decimal"/>
      <w:lvlText w:val="%2."/>
      <w:lvlJc w:val="left"/>
      <w:pPr>
        <w:ind w:left="1785" w:hanging="360"/>
      </w:pPr>
      <w:rPr>
        <w:rFonts w:hint="default"/>
      </w:r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93" w15:restartNumberingAfterBreak="0">
    <w:nsid w:val="22D8763B"/>
    <w:multiLevelType w:val="hybridMultilevel"/>
    <w:tmpl w:val="C83A11B0"/>
    <w:lvl w:ilvl="0" w:tplc="9CBAF7D2">
      <w:start w:val="1"/>
      <w:numFmt w:val="lowerLetter"/>
      <w:lvlText w:val="%1)"/>
      <w:lvlJc w:val="left"/>
      <w:pPr>
        <w:ind w:left="1065" w:hanging="360"/>
      </w:pPr>
      <w:rPr>
        <w:rFonts w:hint="default"/>
        <w:b/>
      </w:rPr>
    </w:lvl>
    <w:lvl w:ilvl="1" w:tplc="86F60B54">
      <w:start w:val="1"/>
      <w:numFmt w:val="decimal"/>
      <w:lvlText w:val="%2."/>
      <w:lvlJc w:val="left"/>
      <w:pPr>
        <w:ind w:left="1785" w:hanging="360"/>
      </w:pPr>
      <w:rPr>
        <w:rFonts w:hint="default"/>
      </w:rPr>
    </w:lvl>
    <w:lvl w:ilvl="2" w:tplc="CFBE6666">
      <w:start w:val="1"/>
      <w:numFmt w:val="lowerLetter"/>
      <w:lvlText w:val="%3."/>
      <w:lvlJc w:val="left"/>
      <w:pPr>
        <w:ind w:left="3030" w:hanging="705"/>
      </w:pPr>
      <w:rPr>
        <w:rFonts w:hint="default"/>
      </w:r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94" w15:restartNumberingAfterBreak="0">
    <w:nsid w:val="22ED1D1A"/>
    <w:multiLevelType w:val="hybridMultilevel"/>
    <w:tmpl w:val="BFBAEB3E"/>
    <w:lvl w:ilvl="0" w:tplc="853CB6F0">
      <w:start w:val="1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5" w15:restartNumberingAfterBreak="0">
    <w:nsid w:val="2305201C"/>
    <w:multiLevelType w:val="hybridMultilevel"/>
    <w:tmpl w:val="8BA84EA0"/>
    <w:lvl w:ilvl="0" w:tplc="A8D0E18C">
      <w:start w:val="1"/>
      <w:numFmt w:val="bullet"/>
      <w:lvlText w:val=""/>
      <w:lvlJc w:val="left"/>
      <w:pPr>
        <w:ind w:left="720" w:hanging="360"/>
      </w:pPr>
      <w:rPr>
        <w:rFonts w:ascii="Wingdings" w:hAnsi="Wingdings" w:hint="default"/>
        <w:color w:val="525252" w:themeColor="accent3" w:themeShade="80"/>
        <w:sz w:val="16"/>
        <w:szCs w:val="16"/>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6" w15:restartNumberingAfterBreak="0">
    <w:nsid w:val="23E42A7E"/>
    <w:multiLevelType w:val="hybridMultilevel"/>
    <w:tmpl w:val="BC2C5450"/>
    <w:lvl w:ilvl="0" w:tplc="280A0017">
      <w:start w:val="1"/>
      <w:numFmt w:val="lowerLetter"/>
      <w:lvlText w:val="%1)"/>
      <w:lvlJc w:val="left"/>
      <w:pPr>
        <w:ind w:left="1146" w:hanging="360"/>
      </w:p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97" w15:restartNumberingAfterBreak="0">
    <w:nsid w:val="24A500B4"/>
    <w:multiLevelType w:val="hybridMultilevel"/>
    <w:tmpl w:val="A1B4048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8" w15:restartNumberingAfterBreak="0">
    <w:nsid w:val="260969C0"/>
    <w:multiLevelType w:val="hybridMultilevel"/>
    <w:tmpl w:val="5ED6BDE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9" w15:restartNumberingAfterBreak="0">
    <w:nsid w:val="26A65BC8"/>
    <w:multiLevelType w:val="hybridMultilevel"/>
    <w:tmpl w:val="AA0E5A5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0" w15:restartNumberingAfterBreak="0">
    <w:nsid w:val="26EE2495"/>
    <w:multiLevelType w:val="hybridMultilevel"/>
    <w:tmpl w:val="EAFA0FDC"/>
    <w:lvl w:ilvl="0" w:tplc="17883BB2">
      <w:start w:val="1"/>
      <w:numFmt w:val="upperRoman"/>
      <w:lvlText w:val="%1."/>
      <w:lvlJc w:val="right"/>
      <w:pPr>
        <w:ind w:left="360" w:hanging="360"/>
      </w:pPr>
      <w:rPr>
        <w:rFonts w:cs="Times New Roman"/>
        <w:b/>
      </w:rPr>
    </w:lvl>
    <w:lvl w:ilvl="1" w:tplc="1BF6ECDC">
      <w:start w:val="2"/>
      <w:numFmt w:val="bullet"/>
      <w:lvlText w:val="•"/>
      <w:lvlJc w:val="left"/>
      <w:pPr>
        <w:ind w:left="1080" w:hanging="360"/>
      </w:pPr>
      <w:rPr>
        <w:rFonts w:ascii="Arial" w:eastAsia="Times New Roman" w:hAnsi="Arial" w:hint="default"/>
      </w:rPr>
    </w:lvl>
    <w:lvl w:ilvl="2" w:tplc="C68EAE58">
      <w:start w:val="1"/>
      <w:numFmt w:val="lowerLetter"/>
      <w:lvlText w:val="%3)"/>
      <w:lvlJc w:val="left"/>
      <w:pPr>
        <w:ind w:left="1980" w:hanging="360"/>
      </w:pPr>
      <w:rPr>
        <w:rFonts w:hint="default"/>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01" w15:restartNumberingAfterBreak="0">
    <w:nsid w:val="281D1895"/>
    <w:multiLevelType w:val="hybridMultilevel"/>
    <w:tmpl w:val="7E888AD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2" w15:restartNumberingAfterBreak="0">
    <w:nsid w:val="283006CE"/>
    <w:multiLevelType w:val="multilevel"/>
    <w:tmpl w:val="876CBAEA"/>
    <w:lvl w:ilvl="0">
      <w:start w:val="1"/>
      <w:numFmt w:val="decimal"/>
      <w:lvlText w:val="%1."/>
      <w:lvlJc w:val="left"/>
      <w:pPr>
        <w:ind w:left="1065" w:hanging="360"/>
      </w:pPr>
      <w:rPr>
        <w:rFonts w:hint="default"/>
      </w:rPr>
    </w:lvl>
    <w:lvl w:ilvl="1">
      <w:start w:val="1"/>
      <w:numFmt w:val="decimal"/>
      <w:isLgl/>
      <w:lvlText w:val="%1.%2"/>
      <w:lvlJc w:val="left"/>
      <w:pPr>
        <w:ind w:left="1095" w:hanging="39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03" w15:restartNumberingAfterBreak="0">
    <w:nsid w:val="288D61AC"/>
    <w:multiLevelType w:val="hybridMultilevel"/>
    <w:tmpl w:val="C23E495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4" w15:restartNumberingAfterBreak="0">
    <w:nsid w:val="28CA75B1"/>
    <w:multiLevelType w:val="multilevel"/>
    <w:tmpl w:val="B8A4FFC6"/>
    <w:lvl w:ilvl="0">
      <w:start w:val="5"/>
      <w:numFmt w:val="decimal"/>
      <w:lvlText w:val="%1"/>
      <w:lvlJc w:val="left"/>
      <w:pPr>
        <w:ind w:left="360" w:hanging="360"/>
      </w:pPr>
      <w:rPr>
        <w:rFonts w:hint="default"/>
      </w:rPr>
    </w:lvl>
    <w:lvl w:ilvl="1">
      <w:start w:val="1"/>
      <w:numFmt w:val="decimal"/>
      <w:lvlText w:val="%1.%2"/>
      <w:lvlJc w:val="left"/>
      <w:pPr>
        <w:ind w:left="3045" w:hanging="360"/>
      </w:pPr>
      <w:rPr>
        <w:rFonts w:hint="default"/>
      </w:rPr>
    </w:lvl>
    <w:lvl w:ilvl="2">
      <w:start w:val="1"/>
      <w:numFmt w:val="decimal"/>
      <w:lvlText w:val="%1.%2.%3"/>
      <w:lvlJc w:val="left"/>
      <w:pPr>
        <w:ind w:left="6090" w:hanging="720"/>
      </w:pPr>
      <w:rPr>
        <w:rFonts w:hint="default"/>
      </w:rPr>
    </w:lvl>
    <w:lvl w:ilvl="3">
      <w:start w:val="1"/>
      <w:numFmt w:val="decimal"/>
      <w:lvlText w:val="%1.%2.%3.%4"/>
      <w:lvlJc w:val="left"/>
      <w:pPr>
        <w:ind w:left="8775" w:hanging="720"/>
      </w:pPr>
      <w:rPr>
        <w:rFonts w:hint="default"/>
      </w:rPr>
    </w:lvl>
    <w:lvl w:ilvl="4">
      <w:start w:val="1"/>
      <w:numFmt w:val="decimal"/>
      <w:lvlText w:val="%1.%2.%3.%4.%5"/>
      <w:lvlJc w:val="left"/>
      <w:pPr>
        <w:ind w:left="11820" w:hanging="1080"/>
      </w:pPr>
      <w:rPr>
        <w:rFonts w:hint="default"/>
      </w:rPr>
    </w:lvl>
    <w:lvl w:ilvl="5">
      <w:start w:val="1"/>
      <w:numFmt w:val="decimal"/>
      <w:lvlText w:val="%1.%2.%3.%4.%5.%6"/>
      <w:lvlJc w:val="left"/>
      <w:pPr>
        <w:ind w:left="14505" w:hanging="1080"/>
      </w:pPr>
      <w:rPr>
        <w:rFonts w:hint="default"/>
      </w:rPr>
    </w:lvl>
    <w:lvl w:ilvl="6">
      <w:start w:val="1"/>
      <w:numFmt w:val="decimal"/>
      <w:lvlText w:val="%1.%2.%3.%4.%5.%6.%7"/>
      <w:lvlJc w:val="left"/>
      <w:pPr>
        <w:ind w:left="17550" w:hanging="1440"/>
      </w:pPr>
      <w:rPr>
        <w:rFonts w:hint="default"/>
      </w:rPr>
    </w:lvl>
    <w:lvl w:ilvl="7">
      <w:start w:val="1"/>
      <w:numFmt w:val="decimal"/>
      <w:lvlText w:val="%1.%2.%3.%4.%5.%6.%7.%8"/>
      <w:lvlJc w:val="left"/>
      <w:pPr>
        <w:ind w:left="20235" w:hanging="1440"/>
      </w:pPr>
      <w:rPr>
        <w:rFonts w:hint="default"/>
      </w:rPr>
    </w:lvl>
    <w:lvl w:ilvl="8">
      <w:start w:val="1"/>
      <w:numFmt w:val="decimal"/>
      <w:lvlText w:val="%1.%2.%3.%4.%5.%6.%7.%8.%9"/>
      <w:lvlJc w:val="left"/>
      <w:pPr>
        <w:ind w:left="23280" w:hanging="1800"/>
      </w:pPr>
      <w:rPr>
        <w:rFonts w:hint="default"/>
      </w:rPr>
    </w:lvl>
  </w:abstractNum>
  <w:abstractNum w:abstractNumId="105" w15:restartNumberingAfterBreak="0">
    <w:nsid w:val="28D82730"/>
    <w:multiLevelType w:val="hybridMultilevel"/>
    <w:tmpl w:val="517A381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6" w15:restartNumberingAfterBreak="0">
    <w:nsid w:val="299D19E5"/>
    <w:multiLevelType w:val="hybridMultilevel"/>
    <w:tmpl w:val="1826D22E"/>
    <w:lvl w:ilvl="0" w:tplc="D6F40E54">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107" w15:restartNumberingAfterBreak="0">
    <w:nsid w:val="29B95839"/>
    <w:multiLevelType w:val="hybridMultilevel"/>
    <w:tmpl w:val="9B98A198"/>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108" w15:restartNumberingAfterBreak="0">
    <w:nsid w:val="2ACF72C0"/>
    <w:multiLevelType w:val="hybridMultilevel"/>
    <w:tmpl w:val="7BEEEB54"/>
    <w:lvl w:ilvl="0" w:tplc="5A30456A">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109" w15:restartNumberingAfterBreak="0">
    <w:nsid w:val="2BA05734"/>
    <w:multiLevelType w:val="multilevel"/>
    <w:tmpl w:val="599AD9B2"/>
    <w:lvl w:ilvl="0">
      <w:start w:val="5"/>
      <w:numFmt w:val="decimal"/>
      <w:lvlText w:val="%1"/>
      <w:lvlJc w:val="left"/>
      <w:pPr>
        <w:ind w:left="360" w:hanging="360"/>
      </w:pPr>
      <w:rPr>
        <w:rFonts w:hint="default"/>
      </w:rPr>
    </w:lvl>
    <w:lvl w:ilvl="1">
      <w:start w:val="1"/>
      <w:numFmt w:val="decimal"/>
      <w:lvlText w:val="%1.%2"/>
      <w:lvlJc w:val="left"/>
      <w:pPr>
        <w:ind w:left="3045" w:hanging="360"/>
      </w:pPr>
      <w:rPr>
        <w:rFonts w:hint="default"/>
      </w:rPr>
    </w:lvl>
    <w:lvl w:ilvl="2">
      <w:start w:val="1"/>
      <w:numFmt w:val="decimal"/>
      <w:lvlText w:val="%1.%2.%3"/>
      <w:lvlJc w:val="left"/>
      <w:pPr>
        <w:ind w:left="6090" w:hanging="720"/>
      </w:pPr>
      <w:rPr>
        <w:rFonts w:hint="default"/>
      </w:rPr>
    </w:lvl>
    <w:lvl w:ilvl="3">
      <w:start w:val="1"/>
      <w:numFmt w:val="decimal"/>
      <w:lvlText w:val="%1.%2.%3.%4"/>
      <w:lvlJc w:val="left"/>
      <w:pPr>
        <w:ind w:left="8775" w:hanging="720"/>
      </w:pPr>
      <w:rPr>
        <w:rFonts w:hint="default"/>
      </w:rPr>
    </w:lvl>
    <w:lvl w:ilvl="4">
      <w:start w:val="1"/>
      <w:numFmt w:val="decimal"/>
      <w:lvlText w:val="%1.%2.%3.%4.%5"/>
      <w:lvlJc w:val="left"/>
      <w:pPr>
        <w:ind w:left="11820" w:hanging="1080"/>
      </w:pPr>
      <w:rPr>
        <w:rFonts w:hint="default"/>
      </w:rPr>
    </w:lvl>
    <w:lvl w:ilvl="5">
      <w:start w:val="1"/>
      <w:numFmt w:val="decimal"/>
      <w:lvlText w:val="%1.%2.%3.%4.%5.%6"/>
      <w:lvlJc w:val="left"/>
      <w:pPr>
        <w:ind w:left="14505" w:hanging="1080"/>
      </w:pPr>
      <w:rPr>
        <w:rFonts w:hint="default"/>
      </w:rPr>
    </w:lvl>
    <w:lvl w:ilvl="6">
      <w:start w:val="1"/>
      <w:numFmt w:val="decimal"/>
      <w:lvlText w:val="%1.%2.%3.%4.%5.%6.%7"/>
      <w:lvlJc w:val="left"/>
      <w:pPr>
        <w:ind w:left="17550" w:hanging="1440"/>
      </w:pPr>
      <w:rPr>
        <w:rFonts w:hint="default"/>
      </w:rPr>
    </w:lvl>
    <w:lvl w:ilvl="7">
      <w:start w:val="1"/>
      <w:numFmt w:val="decimal"/>
      <w:lvlText w:val="%1.%2.%3.%4.%5.%6.%7.%8"/>
      <w:lvlJc w:val="left"/>
      <w:pPr>
        <w:ind w:left="20235" w:hanging="1440"/>
      </w:pPr>
      <w:rPr>
        <w:rFonts w:hint="default"/>
      </w:rPr>
    </w:lvl>
    <w:lvl w:ilvl="8">
      <w:start w:val="1"/>
      <w:numFmt w:val="decimal"/>
      <w:lvlText w:val="%1.%2.%3.%4.%5.%6.%7.%8.%9"/>
      <w:lvlJc w:val="left"/>
      <w:pPr>
        <w:ind w:left="23280" w:hanging="1800"/>
      </w:pPr>
      <w:rPr>
        <w:rFonts w:hint="default"/>
      </w:rPr>
    </w:lvl>
  </w:abstractNum>
  <w:abstractNum w:abstractNumId="110" w15:restartNumberingAfterBreak="0">
    <w:nsid w:val="2BC13AEF"/>
    <w:multiLevelType w:val="hybridMultilevel"/>
    <w:tmpl w:val="C9B82E2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1" w15:restartNumberingAfterBreak="0">
    <w:nsid w:val="2C32251E"/>
    <w:multiLevelType w:val="hybridMultilevel"/>
    <w:tmpl w:val="49DA8FE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2" w15:restartNumberingAfterBreak="0">
    <w:nsid w:val="2C893C07"/>
    <w:multiLevelType w:val="hybridMultilevel"/>
    <w:tmpl w:val="0F1CFD9E"/>
    <w:lvl w:ilvl="0" w:tplc="9E3E611C">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3" w15:restartNumberingAfterBreak="0">
    <w:nsid w:val="2CF870C6"/>
    <w:multiLevelType w:val="hybridMultilevel"/>
    <w:tmpl w:val="9A124B14"/>
    <w:lvl w:ilvl="0" w:tplc="31D2C246">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114" w15:restartNumberingAfterBreak="0">
    <w:nsid w:val="2DFF55D2"/>
    <w:multiLevelType w:val="hybridMultilevel"/>
    <w:tmpl w:val="784C895E"/>
    <w:lvl w:ilvl="0" w:tplc="280A000F">
      <w:start w:val="1"/>
      <w:numFmt w:val="decimal"/>
      <w:lvlText w:val="%1."/>
      <w:lvlJc w:val="left"/>
      <w:pPr>
        <w:ind w:left="720" w:hanging="360"/>
      </w:pPr>
    </w:lvl>
    <w:lvl w:ilvl="1" w:tplc="96C2FB0A">
      <w:start w:val="1"/>
      <w:numFmt w:val="upperLetter"/>
      <w:lvlText w:val="%2."/>
      <w:lvlJc w:val="left"/>
      <w:pPr>
        <w:ind w:left="1440" w:hanging="360"/>
      </w:pPr>
      <w:rPr>
        <w:rFonts w:hint="default"/>
      </w:rPr>
    </w:lvl>
    <w:lvl w:ilvl="2" w:tplc="280A000F">
      <w:start w:val="1"/>
      <w:numFmt w:val="decimal"/>
      <w:lvlText w:val="%3."/>
      <w:lvlJc w:val="left"/>
      <w:pPr>
        <w:ind w:left="2160" w:hanging="180"/>
      </w:pPr>
    </w:lvl>
    <w:lvl w:ilvl="3" w:tplc="74D0C562">
      <w:start w:val="1"/>
      <w:numFmt w:val="lowerLetter"/>
      <w:lvlText w:val="%4)"/>
      <w:lvlJc w:val="left"/>
      <w:pPr>
        <w:ind w:left="2880" w:hanging="360"/>
      </w:pPr>
      <w:rPr>
        <w:rFonts w:hint="default"/>
      </w:r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5" w15:restartNumberingAfterBreak="0">
    <w:nsid w:val="2E314C2B"/>
    <w:multiLevelType w:val="hybridMultilevel"/>
    <w:tmpl w:val="ACE434D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6" w15:restartNumberingAfterBreak="0">
    <w:nsid w:val="2EB17A70"/>
    <w:multiLevelType w:val="hybridMultilevel"/>
    <w:tmpl w:val="59325EB0"/>
    <w:lvl w:ilvl="0" w:tplc="76680676">
      <w:start w:val="9"/>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7" w15:restartNumberingAfterBreak="0">
    <w:nsid w:val="2EF40DF6"/>
    <w:multiLevelType w:val="multilevel"/>
    <w:tmpl w:val="7B76E8A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2FBA370B"/>
    <w:multiLevelType w:val="hybridMultilevel"/>
    <w:tmpl w:val="8F5E9108"/>
    <w:lvl w:ilvl="0" w:tplc="B760532E">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19" w15:restartNumberingAfterBreak="0">
    <w:nsid w:val="30E740D1"/>
    <w:multiLevelType w:val="hybridMultilevel"/>
    <w:tmpl w:val="1B947984"/>
    <w:lvl w:ilvl="0" w:tplc="F910A832">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120" w15:restartNumberingAfterBreak="0">
    <w:nsid w:val="310B20B5"/>
    <w:multiLevelType w:val="hybridMultilevel"/>
    <w:tmpl w:val="D7300156"/>
    <w:lvl w:ilvl="0" w:tplc="C25829B4">
      <w:start w:val="1"/>
      <w:numFmt w:val="lowerRoman"/>
      <w:lvlText w:val="%1."/>
      <w:lvlJc w:val="right"/>
      <w:pPr>
        <w:ind w:left="144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1" w15:restartNumberingAfterBreak="0">
    <w:nsid w:val="31653491"/>
    <w:multiLevelType w:val="multilevel"/>
    <w:tmpl w:val="86247B24"/>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1428"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32AB7D85"/>
    <w:multiLevelType w:val="hybridMultilevel"/>
    <w:tmpl w:val="BEECDA70"/>
    <w:lvl w:ilvl="0" w:tplc="280A0019">
      <w:start w:val="1"/>
      <w:numFmt w:val="lowerLetter"/>
      <w:lvlText w:val="%1."/>
      <w:lvlJc w:val="left"/>
      <w:pPr>
        <w:ind w:left="720" w:hanging="360"/>
      </w:pPr>
    </w:lvl>
    <w:lvl w:ilvl="1" w:tplc="B71A06A4">
      <w:start w:val="1"/>
      <w:numFmt w:val="lowerLetter"/>
      <w:lvlText w:val="%2)"/>
      <w:lvlJc w:val="left"/>
      <w:pPr>
        <w:ind w:left="1440" w:hanging="360"/>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3" w15:restartNumberingAfterBreak="0">
    <w:nsid w:val="32F771F1"/>
    <w:multiLevelType w:val="hybridMultilevel"/>
    <w:tmpl w:val="0E3098AA"/>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4" w15:restartNumberingAfterBreak="0">
    <w:nsid w:val="336C6E73"/>
    <w:multiLevelType w:val="hybridMultilevel"/>
    <w:tmpl w:val="697E8B7C"/>
    <w:lvl w:ilvl="0" w:tplc="31D2C246">
      <w:start w:val="1"/>
      <w:numFmt w:val="lowerLetter"/>
      <w:lvlText w:val="%1)"/>
      <w:lvlJc w:val="left"/>
      <w:pPr>
        <w:ind w:left="1065" w:hanging="360"/>
      </w:pPr>
      <w:rPr>
        <w:rFonts w:hint="default"/>
      </w:rPr>
    </w:lvl>
    <w:lvl w:ilvl="1" w:tplc="4FEC8580">
      <w:start w:val="1"/>
      <w:numFmt w:val="decimal"/>
      <w:lvlText w:val="%2."/>
      <w:lvlJc w:val="left"/>
      <w:pPr>
        <w:ind w:left="1785" w:hanging="360"/>
      </w:pPr>
      <w:rPr>
        <w:rFonts w:hint="default"/>
      </w:rPr>
    </w:lvl>
    <w:lvl w:ilvl="2" w:tplc="9ACE5A10">
      <w:start w:val="1"/>
      <w:numFmt w:val="upperRoman"/>
      <w:lvlText w:val="%3."/>
      <w:lvlJc w:val="left"/>
      <w:pPr>
        <w:ind w:left="3045" w:hanging="720"/>
      </w:pPr>
      <w:rPr>
        <w:rFonts w:hint="default"/>
        <w:b/>
      </w:r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125" w15:restartNumberingAfterBreak="0">
    <w:nsid w:val="34155608"/>
    <w:multiLevelType w:val="hybridMultilevel"/>
    <w:tmpl w:val="96500AE4"/>
    <w:lvl w:ilvl="0" w:tplc="280A0017">
      <w:start w:val="1"/>
      <w:numFmt w:val="lowerLetter"/>
      <w:lvlText w:val="%1)"/>
      <w:lvlJc w:val="left"/>
      <w:pPr>
        <w:tabs>
          <w:tab w:val="num" w:pos="1353"/>
        </w:tabs>
        <w:ind w:left="1353" w:hanging="360"/>
      </w:pPr>
      <w:rPr>
        <w:rFonts w:hint="default"/>
      </w:rPr>
    </w:lvl>
    <w:lvl w:ilvl="1" w:tplc="1F542484">
      <w:start w:val="1"/>
      <w:numFmt w:val="lowerLetter"/>
      <w:lvlText w:val="%2)"/>
      <w:lvlJc w:val="left"/>
      <w:pPr>
        <w:tabs>
          <w:tab w:val="num" w:pos="2160"/>
        </w:tabs>
        <w:ind w:left="2160" w:hanging="360"/>
      </w:pPr>
      <w:rPr>
        <w:rFonts w:hint="default"/>
      </w:rPr>
    </w:lvl>
    <w:lvl w:ilvl="2" w:tplc="280A0005">
      <w:start w:val="1"/>
      <w:numFmt w:val="bullet"/>
      <w:lvlText w:val=""/>
      <w:lvlJc w:val="left"/>
      <w:pPr>
        <w:tabs>
          <w:tab w:val="num" w:pos="2880"/>
        </w:tabs>
        <w:ind w:left="2880" w:hanging="360"/>
      </w:pPr>
      <w:rPr>
        <w:rFonts w:ascii="Wingdings" w:hAnsi="Wingdings" w:hint="default"/>
      </w:rPr>
    </w:lvl>
    <w:lvl w:ilvl="3" w:tplc="280A0001">
      <w:start w:val="1"/>
      <w:numFmt w:val="bullet"/>
      <w:lvlText w:val=""/>
      <w:lvlJc w:val="left"/>
      <w:pPr>
        <w:tabs>
          <w:tab w:val="num" w:pos="3600"/>
        </w:tabs>
        <w:ind w:left="3600" w:hanging="360"/>
      </w:pPr>
      <w:rPr>
        <w:rFonts w:ascii="Symbol" w:hAnsi="Symbol" w:hint="default"/>
      </w:rPr>
    </w:lvl>
    <w:lvl w:ilvl="4" w:tplc="280A0003" w:tentative="1">
      <w:start w:val="1"/>
      <w:numFmt w:val="bullet"/>
      <w:lvlText w:val="o"/>
      <w:lvlJc w:val="left"/>
      <w:pPr>
        <w:tabs>
          <w:tab w:val="num" w:pos="4320"/>
        </w:tabs>
        <w:ind w:left="4320" w:hanging="360"/>
      </w:pPr>
      <w:rPr>
        <w:rFonts w:ascii="Courier New" w:hAnsi="Courier New" w:hint="default"/>
      </w:rPr>
    </w:lvl>
    <w:lvl w:ilvl="5" w:tplc="280A0005" w:tentative="1">
      <w:start w:val="1"/>
      <w:numFmt w:val="bullet"/>
      <w:lvlText w:val=""/>
      <w:lvlJc w:val="left"/>
      <w:pPr>
        <w:tabs>
          <w:tab w:val="num" w:pos="5040"/>
        </w:tabs>
        <w:ind w:left="5040" w:hanging="360"/>
      </w:pPr>
      <w:rPr>
        <w:rFonts w:ascii="Wingdings" w:hAnsi="Wingdings" w:hint="default"/>
      </w:rPr>
    </w:lvl>
    <w:lvl w:ilvl="6" w:tplc="280A0001" w:tentative="1">
      <w:start w:val="1"/>
      <w:numFmt w:val="bullet"/>
      <w:lvlText w:val=""/>
      <w:lvlJc w:val="left"/>
      <w:pPr>
        <w:tabs>
          <w:tab w:val="num" w:pos="5760"/>
        </w:tabs>
        <w:ind w:left="5760" w:hanging="360"/>
      </w:pPr>
      <w:rPr>
        <w:rFonts w:ascii="Symbol" w:hAnsi="Symbol" w:hint="default"/>
      </w:rPr>
    </w:lvl>
    <w:lvl w:ilvl="7" w:tplc="280A0003" w:tentative="1">
      <w:start w:val="1"/>
      <w:numFmt w:val="bullet"/>
      <w:lvlText w:val="o"/>
      <w:lvlJc w:val="left"/>
      <w:pPr>
        <w:tabs>
          <w:tab w:val="num" w:pos="6480"/>
        </w:tabs>
        <w:ind w:left="6480" w:hanging="360"/>
      </w:pPr>
      <w:rPr>
        <w:rFonts w:ascii="Courier New" w:hAnsi="Courier New" w:hint="default"/>
      </w:rPr>
    </w:lvl>
    <w:lvl w:ilvl="8" w:tplc="280A0005" w:tentative="1">
      <w:start w:val="1"/>
      <w:numFmt w:val="bullet"/>
      <w:lvlText w:val=""/>
      <w:lvlJc w:val="left"/>
      <w:pPr>
        <w:tabs>
          <w:tab w:val="num" w:pos="7200"/>
        </w:tabs>
        <w:ind w:left="7200" w:hanging="360"/>
      </w:pPr>
      <w:rPr>
        <w:rFonts w:ascii="Wingdings" w:hAnsi="Wingdings" w:hint="default"/>
      </w:rPr>
    </w:lvl>
  </w:abstractNum>
  <w:abstractNum w:abstractNumId="126" w15:restartNumberingAfterBreak="0">
    <w:nsid w:val="342227FA"/>
    <w:multiLevelType w:val="hybridMultilevel"/>
    <w:tmpl w:val="4BFEAA86"/>
    <w:lvl w:ilvl="0" w:tplc="0C0A0011">
      <w:start w:val="1"/>
      <w:numFmt w:val="decimal"/>
      <w:lvlText w:val="%1)"/>
      <w:lvlJc w:val="left"/>
      <w:pPr>
        <w:ind w:left="1084" w:hanging="360"/>
      </w:pPr>
    </w:lvl>
    <w:lvl w:ilvl="1" w:tplc="0C0A0019" w:tentative="1">
      <w:start w:val="1"/>
      <w:numFmt w:val="lowerLetter"/>
      <w:lvlText w:val="%2."/>
      <w:lvlJc w:val="left"/>
      <w:pPr>
        <w:ind w:left="1804" w:hanging="360"/>
      </w:pPr>
    </w:lvl>
    <w:lvl w:ilvl="2" w:tplc="0C0A001B" w:tentative="1">
      <w:start w:val="1"/>
      <w:numFmt w:val="lowerRoman"/>
      <w:lvlText w:val="%3."/>
      <w:lvlJc w:val="right"/>
      <w:pPr>
        <w:ind w:left="2524" w:hanging="180"/>
      </w:pPr>
    </w:lvl>
    <w:lvl w:ilvl="3" w:tplc="0C0A000F" w:tentative="1">
      <w:start w:val="1"/>
      <w:numFmt w:val="decimal"/>
      <w:lvlText w:val="%4."/>
      <w:lvlJc w:val="left"/>
      <w:pPr>
        <w:ind w:left="3244" w:hanging="360"/>
      </w:pPr>
    </w:lvl>
    <w:lvl w:ilvl="4" w:tplc="0C0A0019" w:tentative="1">
      <w:start w:val="1"/>
      <w:numFmt w:val="lowerLetter"/>
      <w:lvlText w:val="%5."/>
      <w:lvlJc w:val="left"/>
      <w:pPr>
        <w:ind w:left="3964" w:hanging="360"/>
      </w:pPr>
    </w:lvl>
    <w:lvl w:ilvl="5" w:tplc="0C0A001B" w:tentative="1">
      <w:start w:val="1"/>
      <w:numFmt w:val="lowerRoman"/>
      <w:lvlText w:val="%6."/>
      <w:lvlJc w:val="right"/>
      <w:pPr>
        <w:ind w:left="4684" w:hanging="180"/>
      </w:pPr>
    </w:lvl>
    <w:lvl w:ilvl="6" w:tplc="0C0A000F" w:tentative="1">
      <w:start w:val="1"/>
      <w:numFmt w:val="decimal"/>
      <w:lvlText w:val="%7."/>
      <w:lvlJc w:val="left"/>
      <w:pPr>
        <w:ind w:left="5404" w:hanging="360"/>
      </w:pPr>
    </w:lvl>
    <w:lvl w:ilvl="7" w:tplc="0C0A0019" w:tentative="1">
      <w:start w:val="1"/>
      <w:numFmt w:val="lowerLetter"/>
      <w:lvlText w:val="%8."/>
      <w:lvlJc w:val="left"/>
      <w:pPr>
        <w:ind w:left="6124" w:hanging="360"/>
      </w:pPr>
    </w:lvl>
    <w:lvl w:ilvl="8" w:tplc="0C0A001B" w:tentative="1">
      <w:start w:val="1"/>
      <w:numFmt w:val="lowerRoman"/>
      <w:lvlText w:val="%9."/>
      <w:lvlJc w:val="right"/>
      <w:pPr>
        <w:ind w:left="6844" w:hanging="180"/>
      </w:pPr>
    </w:lvl>
  </w:abstractNum>
  <w:abstractNum w:abstractNumId="127" w15:restartNumberingAfterBreak="0">
    <w:nsid w:val="345D193D"/>
    <w:multiLevelType w:val="multilevel"/>
    <w:tmpl w:val="DF6257BA"/>
    <w:lvl w:ilvl="0">
      <w:start w:val="11"/>
      <w:numFmt w:val="decimal"/>
      <w:lvlText w:val="%1"/>
      <w:lvlJc w:val="left"/>
      <w:pPr>
        <w:ind w:left="420" w:hanging="420"/>
      </w:pPr>
      <w:rPr>
        <w:rFonts w:hint="default"/>
      </w:rPr>
    </w:lvl>
    <w:lvl w:ilvl="1">
      <w:start w:val="1"/>
      <w:numFmt w:val="decimal"/>
      <w:lvlText w:val="%1.%2"/>
      <w:lvlJc w:val="left"/>
      <w:pPr>
        <w:ind w:left="3105" w:hanging="420"/>
      </w:pPr>
      <w:rPr>
        <w:rFonts w:hint="default"/>
      </w:rPr>
    </w:lvl>
    <w:lvl w:ilvl="2">
      <w:start w:val="1"/>
      <w:numFmt w:val="decimal"/>
      <w:lvlText w:val="%1.%2.%3"/>
      <w:lvlJc w:val="left"/>
      <w:pPr>
        <w:ind w:left="6090" w:hanging="720"/>
      </w:pPr>
      <w:rPr>
        <w:rFonts w:hint="default"/>
      </w:rPr>
    </w:lvl>
    <w:lvl w:ilvl="3">
      <w:start w:val="1"/>
      <w:numFmt w:val="decimal"/>
      <w:lvlText w:val="%1.%2.%3.%4"/>
      <w:lvlJc w:val="left"/>
      <w:pPr>
        <w:ind w:left="8775" w:hanging="720"/>
      </w:pPr>
      <w:rPr>
        <w:rFonts w:hint="default"/>
      </w:rPr>
    </w:lvl>
    <w:lvl w:ilvl="4">
      <w:start w:val="1"/>
      <w:numFmt w:val="decimal"/>
      <w:lvlText w:val="%1.%2.%3.%4.%5"/>
      <w:lvlJc w:val="left"/>
      <w:pPr>
        <w:ind w:left="11820" w:hanging="1080"/>
      </w:pPr>
      <w:rPr>
        <w:rFonts w:hint="default"/>
      </w:rPr>
    </w:lvl>
    <w:lvl w:ilvl="5">
      <w:start w:val="1"/>
      <w:numFmt w:val="decimal"/>
      <w:lvlText w:val="%1.%2.%3.%4.%5.%6"/>
      <w:lvlJc w:val="left"/>
      <w:pPr>
        <w:ind w:left="14505" w:hanging="1080"/>
      </w:pPr>
      <w:rPr>
        <w:rFonts w:hint="default"/>
      </w:rPr>
    </w:lvl>
    <w:lvl w:ilvl="6">
      <w:start w:val="1"/>
      <w:numFmt w:val="decimal"/>
      <w:lvlText w:val="%1.%2.%3.%4.%5.%6.%7"/>
      <w:lvlJc w:val="left"/>
      <w:pPr>
        <w:ind w:left="17550" w:hanging="1440"/>
      </w:pPr>
      <w:rPr>
        <w:rFonts w:hint="default"/>
      </w:rPr>
    </w:lvl>
    <w:lvl w:ilvl="7">
      <w:start w:val="1"/>
      <w:numFmt w:val="decimal"/>
      <w:lvlText w:val="%1.%2.%3.%4.%5.%6.%7.%8"/>
      <w:lvlJc w:val="left"/>
      <w:pPr>
        <w:ind w:left="20235" w:hanging="1440"/>
      </w:pPr>
      <w:rPr>
        <w:rFonts w:hint="default"/>
      </w:rPr>
    </w:lvl>
    <w:lvl w:ilvl="8">
      <w:start w:val="1"/>
      <w:numFmt w:val="decimal"/>
      <w:lvlText w:val="%1.%2.%3.%4.%5.%6.%7.%8.%9"/>
      <w:lvlJc w:val="left"/>
      <w:pPr>
        <w:ind w:left="23280" w:hanging="1800"/>
      </w:pPr>
      <w:rPr>
        <w:rFonts w:hint="default"/>
      </w:rPr>
    </w:lvl>
  </w:abstractNum>
  <w:abstractNum w:abstractNumId="128" w15:restartNumberingAfterBreak="0">
    <w:nsid w:val="345F65FA"/>
    <w:multiLevelType w:val="hybridMultilevel"/>
    <w:tmpl w:val="FF620EAA"/>
    <w:lvl w:ilvl="0" w:tplc="A1EC7CC4">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129" w15:restartNumberingAfterBreak="0">
    <w:nsid w:val="347659A6"/>
    <w:multiLevelType w:val="hybridMultilevel"/>
    <w:tmpl w:val="691836A2"/>
    <w:lvl w:ilvl="0" w:tplc="77020718">
      <w:start w:val="1"/>
      <w:numFmt w:val="lowerLetter"/>
      <w:lvlText w:val="%1)"/>
      <w:lvlJc w:val="left"/>
      <w:pPr>
        <w:ind w:left="1713" w:hanging="360"/>
      </w:pPr>
      <w:rPr>
        <w:b w:val="0"/>
        <w:color w:val="auto"/>
      </w:rPr>
    </w:lvl>
    <w:lvl w:ilvl="1" w:tplc="0C0A0019" w:tentative="1">
      <w:start w:val="1"/>
      <w:numFmt w:val="lowerLetter"/>
      <w:lvlText w:val="%2."/>
      <w:lvlJc w:val="left"/>
      <w:pPr>
        <w:ind w:left="2433" w:hanging="360"/>
      </w:pPr>
    </w:lvl>
    <w:lvl w:ilvl="2" w:tplc="0C0A001B" w:tentative="1">
      <w:start w:val="1"/>
      <w:numFmt w:val="lowerRoman"/>
      <w:lvlText w:val="%3."/>
      <w:lvlJc w:val="right"/>
      <w:pPr>
        <w:ind w:left="3153" w:hanging="180"/>
      </w:pPr>
    </w:lvl>
    <w:lvl w:ilvl="3" w:tplc="0C0A000F" w:tentative="1">
      <w:start w:val="1"/>
      <w:numFmt w:val="decimal"/>
      <w:lvlText w:val="%4."/>
      <w:lvlJc w:val="left"/>
      <w:pPr>
        <w:ind w:left="3873" w:hanging="360"/>
      </w:pPr>
    </w:lvl>
    <w:lvl w:ilvl="4" w:tplc="0C0A0019" w:tentative="1">
      <w:start w:val="1"/>
      <w:numFmt w:val="lowerLetter"/>
      <w:lvlText w:val="%5."/>
      <w:lvlJc w:val="left"/>
      <w:pPr>
        <w:ind w:left="4593" w:hanging="360"/>
      </w:pPr>
    </w:lvl>
    <w:lvl w:ilvl="5" w:tplc="0C0A001B" w:tentative="1">
      <w:start w:val="1"/>
      <w:numFmt w:val="lowerRoman"/>
      <w:lvlText w:val="%6."/>
      <w:lvlJc w:val="right"/>
      <w:pPr>
        <w:ind w:left="5313" w:hanging="180"/>
      </w:pPr>
    </w:lvl>
    <w:lvl w:ilvl="6" w:tplc="0C0A000F" w:tentative="1">
      <w:start w:val="1"/>
      <w:numFmt w:val="decimal"/>
      <w:lvlText w:val="%7."/>
      <w:lvlJc w:val="left"/>
      <w:pPr>
        <w:ind w:left="6033" w:hanging="360"/>
      </w:pPr>
    </w:lvl>
    <w:lvl w:ilvl="7" w:tplc="0C0A0019" w:tentative="1">
      <w:start w:val="1"/>
      <w:numFmt w:val="lowerLetter"/>
      <w:lvlText w:val="%8."/>
      <w:lvlJc w:val="left"/>
      <w:pPr>
        <w:ind w:left="6753" w:hanging="360"/>
      </w:pPr>
    </w:lvl>
    <w:lvl w:ilvl="8" w:tplc="0C0A001B" w:tentative="1">
      <w:start w:val="1"/>
      <w:numFmt w:val="lowerRoman"/>
      <w:lvlText w:val="%9."/>
      <w:lvlJc w:val="right"/>
      <w:pPr>
        <w:ind w:left="7473" w:hanging="180"/>
      </w:pPr>
    </w:lvl>
  </w:abstractNum>
  <w:abstractNum w:abstractNumId="130" w15:restartNumberingAfterBreak="0">
    <w:nsid w:val="348B6555"/>
    <w:multiLevelType w:val="hybridMultilevel"/>
    <w:tmpl w:val="80EEAFC6"/>
    <w:lvl w:ilvl="0" w:tplc="CC289286">
      <w:start w:val="4"/>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1" w15:restartNumberingAfterBreak="0">
    <w:nsid w:val="354D7D29"/>
    <w:multiLevelType w:val="hybridMultilevel"/>
    <w:tmpl w:val="A9243B68"/>
    <w:lvl w:ilvl="0" w:tplc="75189576">
      <w:start w:val="1"/>
      <w:numFmt w:val="bullet"/>
      <w:lvlText w:val=""/>
      <w:lvlJc w:val="left"/>
      <w:pPr>
        <w:ind w:left="720" w:hanging="360"/>
      </w:pPr>
      <w:rPr>
        <w:rFonts w:ascii="Wingdings" w:hAnsi="Wingdings" w:hint="default"/>
        <w:b/>
        <w:color w:val="525252" w:themeColor="accent3" w:themeShade="80"/>
        <w:sz w:val="16"/>
        <w:szCs w:val="16"/>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2" w15:restartNumberingAfterBreak="0">
    <w:nsid w:val="35634F93"/>
    <w:multiLevelType w:val="hybridMultilevel"/>
    <w:tmpl w:val="EA16EA80"/>
    <w:lvl w:ilvl="0" w:tplc="CC289286">
      <w:start w:val="4"/>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3" w15:restartNumberingAfterBreak="0">
    <w:nsid w:val="35693599"/>
    <w:multiLevelType w:val="multilevel"/>
    <w:tmpl w:val="3192178E"/>
    <w:lvl w:ilvl="0">
      <w:start w:val="1"/>
      <w:numFmt w:val="decimal"/>
      <w:lvlText w:val="%1."/>
      <w:lvlJc w:val="left"/>
      <w:pPr>
        <w:ind w:left="1065" w:hanging="360"/>
      </w:pPr>
      <w:rPr>
        <w:rFonts w:hint="default"/>
      </w:rPr>
    </w:lvl>
    <w:lvl w:ilvl="1">
      <w:start w:val="10"/>
      <w:numFmt w:val="decimal"/>
      <w:isLgl/>
      <w:lvlText w:val="%1.%2."/>
      <w:lvlJc w:val="left"/>
      <w:pPr>
        <w:ind w:left="1427"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3" w:hanging="1080"/>
      </w:pPr>
      <w:rPr>
        <w:rFonts w:hint="default"/>
      </w:rPr>
    </w:lvl>
    <w:lvl w:ilvl="5">
      <w:start w:val="1"/>
      <w:numFmt w:val="decimal"/>
      <w:isLgl/>
      <w:lvlText w:val="%1.%2.%3.%4.%5.%6."/>
      <w:lvlJc w:val="left"/>
      <w:pPr>
        <w:ind w:left="2155" w:hanging="144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519" w:hanging="1800"/>
      </w:pPr>
      <w:rPr>
        <w:rFonts w:hint="default"/>
      </w:rPr>
    </w:lvl>
    <w:lvl w:ilvl="8">
      <w:start w:val="1"/>
      <w:numFmt w:val="decimal"/>
      <w:isLgl/>
      <w:lvlText w:val="%1.%2.%3.%4.%5.%6.%7.%8.%9."/>
      <w:lvlJc w:val="left"/>
      <w:pPr>
        <w:ind w:left="2521" w:hanging="1800"/>
      </w:pPr>
      <w:rPr>
        <w:rFonts w:hint="default"/>
      </w:rPr>
    </w:lvl>
  </w:abstractNum>
  <w:abstractNum w:abstractNumId="134" w15:restartNumberingAfterBreak="0">
    <w:nsid w:val="356E79BD"/>
    <w:multiLevelType w:val="multilevel"/>
    <w:tmpl w:val="2CD680AC"/>
    <w:lvl w:ilvl="0">
      <w:start w:val="14"/>
      <w:numFmt w:val="decimal"/>
      <w:lvlText w:val="%1"/>
      <w:lvlJc w:val="left"/>
      <w:pPr>
        <w:ind w:left="420" w:hanging="420"/>
      </w:pPr>
      <w:rPr>
        <w:rFonts w:hint="default"/>
      </w:rPr>
    </w:lvl>
    <w:lvl w:ilvl="1">
      <w:start w:val="1"/>
      <w:numFmt w:val="decimal"/>
      <w:lvlText w:val="%1.%2"/>
      <w:lvlJc w:val="left"/>
      <w:pPr>
        <w:ind w:left="3105" w:hanging="420"/>
      </w:pPr>
      <w:rPr>
        <w:rFonts w:hint="default"/>
      </w:rPr>
    </w:lvl>
    <w:lvl w:ilvl="2">
      <w:start w:val="1"/>
      <w:numFmt w:val="decimal"/>
      <w:lvlText w:val="%1.%2.%3"/>
      <w:lvlJc w:val="left"/>
      <w:pPr>
        <w:ind w:left="6090" w:hanging="720"/>
      </w:pPr>
      <w:rPr>
        <w:rFonts w:hint="default"/>
      </w:rPr>
    </w:lvl>
    <w:lvl w:ilvl="3">
      <w:start w:val="1"/>
      <w:numFmt w:val="decimal"/>
      <w:lvlText w:val="%1.%2.%3.%4"/>
      <w:lvlJc w:val="left"/>
      <w:pPr>
        <w:ind w:left="8775" w:hanging="720"/>
      </w:pPr>
      <w:rPr>
        <w:rFonts w:hint="default"/>
      </w:rPr>
    </w:lvl>
    <w:lvl w:ilvl="4">
      <w:start w:val="1"/>
      <w:numFmt w:val="decimal"/>
      <w:lvlText w:val="%1.%2.%3.%4.%5"/>
      <w:lvlJc w:val="left"/>
      <w:pPr>
        <w:ind w:left="11820" w:hanging="1080"/>
      </w:pPr>
      <w:rPr>
        <w:rFonts w:hint="default"/>
      </w:rPr>
    </w:lvl>
    <w:lvl w:ilvl="5">
      <w:start w:val="1"/>
      <w:numFmt w:val="decimal"/>
      <w:lvlText w:val="%1.%2.%3.%4.%5.%6"/>
      <w:lvlJc w:val="left"/>
      <w:pPr>
        <w:ind w:left="14505" w:hanging="1080"/>
      </w:pPr>
      <w:rPr>
        <w:rFonts w:hint="default"/>
      </w:rPr>
    </w:lvl>
    <w:lvl w:ilvl="6">
      <w:start w:val="1"/>
      <w:numFmt w:val="decimal"/>
      <w:lvlText w:val="%1.%2.%3.%4.%5.%6.%7"/>
      <w:lvlJc w:val="left"/>
      <w:pPr>
        <w:ind w:left="17550" w:hanging="1440"/>
      </w:pPr>
      <w:rPr>
        <w:rFonts w:hint="default"/>
      </w:rPr>
    </w:lvl>
    <w:lvl w:ilvl="7">
      <w:start w:val="1"/>
      <w:numFmt w:val="decimal"/>
      <w:lvlText w:val="%1.%2.%3.%4.%5.%6.%7.%8"/>
      <w:lvlJc w:val="left"/>
      <w:pPr>
        <w:ind w:left="20235" w:hanging="1440"/>
      </w:pPr>
      <w:rPr>
        <w:rFonts w:hint="default"/>
      </w:rPr>
    </w:lvl>
    <w:lvl w:ilvl="8">
      <w:start w:val="1"/>
      <w:numFmt w:val="decimal"/>
      <w:lvlText w:val="%1.%2.%3.%4.%5.%6.%7.%8.%9"/>
      <w:lvlJc w:val="left"/>
      <w:pPr>
        <w:ind w:left="23280" w:hanging="1800"/>
      </w:pPr>
      <w:rPr>
        <w:rFonts w:hint="default"/>
      </w:rPr>
    </w:lvl>
  </w:abstractNum>
  <w:abstractNum w:abstractNumId="135" w15:restartNumberingAfterBreak="0">
    <w:nsid w:val="35791817"/>
    <w:multiLevelType w:val="hybridMultilevel"/>
    <w:tmpl w:val="407EB412"/>
    <w:lvl w:ilvl="0" w:tplc="280A0017">
      <w:start w:val="1"/>
      <w:numFmt w:val="lowerLetter"/>
      <w:lvlText w:val="%1)"/>
      <w:lvlJc w:val="left"/>
      <w:pPr>
        <w:ind w:left="720" w:hanging="360"/>
      </w:pPr>
    </w:lvl>
    <w:lvl w:ilvl="1" w:tplc="C248E368">
      <w:start w:val="1"/>
      <w:numFmt w:val="lowerLetter"/>
      <w:lvlText w:val="%2."/>
      <w:lvlJc w:val="left"/>
      <w:pPr>
        <w:ind w:left="1440" w:hanging="360"/>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6" w15:restartNumberingAfterBreak="0">
    <w:nsid w:val="35A70CCA"/>
    <w:multiLevelType w:val="hybridMultilevel"/>
    <w:tmpl w:val="1CDC84CE"/>
    <w:lvl w:ilvl="0" w:tplc="CB8EB20C">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137" w15:restartNumberingAfterBreak="0">
    <w:nsid w:val="35D85646"/>
    <w:multiLevelType w:val="hybridMultilevel"/>
    <w:tmpl w:val="E19245E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8" w15:restartNumberingAfterBreak="0">
    <w:nsid w:val="35E42519"/>
    <w:multiLevelType w:val="hybridMultilevel"/>
    <w:tmpl w:val="F26EE7FC"/>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9" w15:restartNumberingAfterBreak="0">
    <w:nsid w:val="363A17B7"/>
    <w:multiLevelType w:val="hybridMultilevel"/>
    <w:tmpl w:val="C9D0A67C"/>
    <w:lvl w:ilvl="0" w:tplc="6CA46E10">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140" w15:restartNumberingAfterBreak="0">
    <w:nsid w:val="3650579C"/>
    <w:multiLevelType w:val="multilevel"/>
    <w:tmpl w:val="82D6BDD6"/>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365F2911"/>
    <w:multiLevelType w:val="hybridMultilevel"/>
    <w:tmpl w:val="51CEB796"/>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2" w15:restartNumberingAfterBreak="0">
    <w:nsid w:val="36BF0DDD"/>
    <w:multiLevelType w:val="multilevel"/>
    <w:tmpl w:val="8D744528"/>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3782317B"/>
    <w:multiLevelType w:val="multilevel"/>
    <w:tmpl w:val="853CB82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4" w15:restartNumberingAfterBreak="0">
    <w:nsid w:val="37A61333"/>
    <w:multiLevelType w:val="multilevel"/>
    <w:tmpl w:val="5EC4139C"/>
    <w:lvl w:ilvl="0">
      <w:start w:val="1"/>
      <w:numFmt w:val="upperRoman"/>
      <w:lvlText w:val="%1."/>
      <w:lvlJc w:val="left"/>
      <w:pPr>
        <w:ind w:left="1080" w:hanging="72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4920" w:hanging="1800"/>
      </w:pPr>
      <w:rPr>
        <w:rFonts w:hint="default"/>
      </w:rPr>
    </w:lvl>
  </w:abstractNum>
  <w:abstractNum w:abstractNumId="145" w15:restartNumberingAfterBreak="0">
    <w:nsid w:val="37B611C5"/>
    <w:multiLevelType w:val="hybridMultilevel"/>
    <w:tmpl w:val="53C04DA6"/>
    <w:lvl w:ilvl="0" w:tplc="0C0A0019">
      <w:start w:val="1"/>
      <w:numFmt w:val="lowerLetter"/>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4AB67D02">
      <w:start w:val="1"/>
      <w:numFmt w:val="lowerLetter"/>
      <w:lvlText w:val="%3)"/>
      <w:lvlJc w:val="left"/>
      <w:pPr>
        <w:ind w:left="2340" w:hanging="360"/>
      </w:pPr>
      <w:rPr>
        <w:rFonts w:hint="default"/>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6" w15:restartNumberingAfterBreak="0">
    <w:nsid w:val="37D702FA"/>
    <w:multiLevelType w:val="hybridMultilevel"/>
    <w:tmpl w:val="DA00B206"/>
    <w:lvl w:ilvl="0" w:tplc="280A0017">
      <w:start w:val="1"/>
      <w:numFmt w:val="lowerLetter"/>
      <w:lvlText w:val="%1)"/>
      <w:lvlJc w:val="left"/>
      <w:pPr>
        <w:tabs>
          <w:tab w:val="num" w:pos="1353"/>
        </w:tabs>
        <w:ind w:left="1353" w:hanging="360"/>
      </w:pPr>
      <w:rPr>
        <w:rFonts w:hint="default"/>
      </w:rPr>
    </w:lvl>
    <w:lvl w:ilvl="1" w:tplc="1F542484">
      <w:start w:val="1"/>
      <w:numFmt w:val="lowerLetter"/>
      <w:lvlText w:val="%2)"/>
      <w:lvlJc w:val="left"/>
      <w:pPr>
        <w:tabs>
          <w:tab w:val="num" w:pos="2160"/>
        </w:tabs>
        <w:ind w:left="2160" w:hanging="360"/>
      </w:pPr>
      <w:rPr>
        <w:rFonts w:hint="default"/>
      </w:rPr>
    </w:lvl>
    <w:lvl w:ilvl="2" w:tplc="280A0005">
      <w:start w:val="1"/>
      <w:numFmt w:val="bullet"/>
      <w:lvlText w:val=""/>
      <w:lvlJc w:val="left"/>
      <w:pPr>
        <w:tabs>
          <w:tab w:val="num" w:pos="2880"/>
        </w:tabs>
        <w:ind w:left="2880" w:hanging="360"/>
      </w:pPr>
      <w:rPr>
        <w:rFonts w:ascii="Wingdings" w:hAnsi="Wingdings" w:hint="default"/>
      </w:rPr>
    </w:lvl>
    <w:lvl w:ilvl="3" w:tplc="280A0001">
      <w:start w:val="1"/>
      <w:numFmt w:val="bullet"/>
      <w:lvlText w:val=""/>
      <w:lvlJc w:val="left"/>
      <w:pPr>
        <w:tabs>
          <w:tab w:val="num" w:pos="3600"/>
        </w:tabs>
        <w:ind w:left="3600" w:hanging="360"/>
      </w:pPr>
      <w:rPr>
        <w:rFonts w:ascii="Symbol" w:hAnsi="Symbol" w:hint="default"/>
      </w:rPr>
    </w:lvl>
    <w:lvl w:ilvl="4" w:tplc="280A0003" w:tentative="1">
      <w:start w:val="1"/>
      <w:numFmt w:val="bullet"/>
      <w:lvlText w:val="o"/>
      <w:lvlJc w:val="left"/>
      <w:pPr>
        <w:tabs>
          <w:tab w:val="num" w:pos="4320"/>
        </w:tabs>
        <w:ind w:left="4320" w:hanging="360"/>
      </w:pPr>
      <w:rPr>
        <w:rFonts w:ascii="Courier New" w:hAnsi="Courier New" w:hint="default"/>
      </w:rPr>
    </w:lvl>
    <w:lvl w:ilvl="5" w:tplc="280A0005" w:tentative="1">
      <w:start w:val="1"/>
      <w:numFmt w:val="bullet"/>
      <w:lvlText w:val=""/>
      <w:lvlJc w:val="left"/>
      <w:pPr>
        <w:tabs>
          <w:tab w:val="num" w:pos="5040"/>
        </w:tabs>
        <w:ind w:left="5040" w:hanging="360"/>
      </w:pPr>
      <w:rPr>
        <w:rFonts w:ascii="Wingdings" w:hAnsi="Wingdings" w:hint="default"/>
      </w:rPr>
    </w:lvl>
    <w:lvl w:ilvl="6" w:tplc="280A0001" w:tentative="1">
      <w:start w:val="1"/>
      <w:numFmt w:val="bullet"/>
      <w:lvlText w:val=""/>
      <w:lvlJc w:val="left"/>
      <w:pPr>
        <w:tabs>
          <w:tab w:val="num" w:pos="5760"/>
        </w:tabs>
        <w:ind w:left="5760" w:hanging="360"/>
      </w:pPr>
      <w:rPr>
        <w:rFonts w:ascii="Symbol" w:hAnsi="Symbol" w:hint="default"/>
      </w:rPr>
    </w:lvl>
    <w:lvl w:ilvl="7" w:tplc="280A0003" w:tentative="1">
      <w:start w:val="1"/>
      <w:numFmt w:val="bullet"/>
      <w:lvlText w:val="o"/>
      <w:lvlJc w:val="left"/>
      <w:pPr>
        <w:tabs>
          <w:tab w:val="num" w:pos="6480"/>
        </w:tabs>
        <w:ind w:left="6480" w:hanging="360"/>
      </w:pPr>
      <w:rPr>
        <w:rFonts w:ascii="Courier New" w:hAnsi="Courier New" w:hint="default"/>
      </w:rPr>
    </w:lvl>
    <w:lvl w:ilvl="8" w:tplc="280A0005" w:tentative="1">
      <w:start w:val="1"/>
      <w:numFmt w:val="bullet"/>
      <w:lvlText w:val=""/>
      <w:lvlJc w:val="left"/>
      <w:pPr>
        <w:tabs>
          <w:tab w:val="num" w:pos="7200"/>
        </w:tabs>
        <w:ind w:left="7200" w:hanging="360"/>
      </w:pPr>
      <w:rPr>
        <w:rFonts w:ascii="Wingdings" w:hAnsi="Wingdings" w:hint="default"/>
      </w:rPr>
    </w:lvl>
  </w:abstractNum>
  <w:abstractNum w:abstractNumId="147" w15:restartNumberingAfterBreak="0">
    <w:nsid w:val="380B2D81"/>
    <w:multiLevelType w:val="hybridMultilevel"/>
    <w:tmpl w:val="E70EAFCC"/>
    <w:lvl w:ilvl="0" w:tplc="280A0001">
      <w:start w:val="1"/>
      <w:numFmt w:val="bullet"/>
      <w:lvlText w:val=""/>
      <w:lvlJc w:val="left"/>
      <w:pPr>
        <w:ind w:left="1340" w:hanging="360"/>
      </w:pPr>
      <w:rPr>
        <w:rFonts w:ascii="Symbol" w:hAnsi="Symbol" w:hint="default"/>
      </w:rPr>
    </w:lvl>
    <w:lvl w:ilvl="1" w:tplc="0C0A0003" w:tentative="1">
      <w:start w:val="1"/>
      <w:numFmt w:val="bullet"/>
      <w:lvlText w:val="o"/>
      <w:lvlJc w:val="left"/>
      <w:pPr>
        <w:ind w:left="2060" w:hanging="360"/>
      </w:pPr>
      <w:rPr>
        <w:rFonts w:ascii="Courier New" w:hAnsi="Courier New" w:cs="Courier New" w:hint="default"/>
      </w:rPr>
    </w:lvl>
    <w:lvl w:ilvl="2" w:tplc="0C0A0005" w:tentative="1">
      <w:start w:val="1"/>
      <w:numFmt w:val="bullet"/>
      <w:lvlText w:val=""/>
      <w:lvlJc w:val="left"/>
      <w:pPr>
        <w:ind w:left="2780" w:hanging="360"/>
      </w:pPr>
      <w:rPr>
        <w:rFonts w:ascii="Wingdings" w:hAnsi="Wingdings" w:hint="default"/>
      </w:rPr>
    </w:lvl>
    <w:lvl w:ilvl="3" w:tplc="0C0A0001" w:tentative="1">
      <w:start w:val="1"/>
      <w:numFmt w:val="bullet"/>
      <w:lvlText w:val=""/>
      <w:lvlJc w:val="left"/>
      <w:pPr>
        <w:ind w:left="3500" w:hanging="360"/>
      </w:pPr>
      <w:rPr>
        <w:rFonts w:ascii="Symbol" w:hAnsi="Symbol" w:hint="default"/>
      </w:rPr>
    </w:lvl>
    <w:lvl w:ilvl="4" w:tplc="0C0A0003" w:tentative="1">
      <w:start w:val="1"/>
      <w:numFmt w:val="bullet"/>
      <w:lvlText w:val="o"/>
      <w:lvlJc w:val="left"/>
      <w:pPr>
        <w:ind w:left="4220" w:hanging="360"/>
      </w:pPr>
      <w:rPr>
        <w:rFonts w:ascii="Courier New" w:hAnsi="Courier New" w:cs="Courier New" w:hint="default"/>
      </w:rPr>
    </w:lvl>
    <w:lvl w:ilvl="5" w:tplc="0C0A0005" w:tentative="1">
      <w:start w:val="1"/>
      <w:numFmt w:val="bullet"/>
      <w:lvlText w:val=""/>
      <w:lvlJc w:val="left"/>
      <w:pPr>
        <w:ind w:left="4940" w:hanging="360"/>
      </w:pPr>
      <w:rPr>
        <w:rFonts w:ascii="Wingdings" w:hAnsi="Wingdings" w:hint="default"/>
      </w:rPr>
    </w:lvl>
    <w:lvl w:ilvl="6" w:tplc="0C0A0001" w:tentative="1">
      <w:start w:val="1"/>
      <w:numFmt w:val="bullet"/>
      <w:lvlText w:val=""/>
      <w:lvlJc w:val="left"/>
      <w:pPr>
        <w:ind w:left="5660" w:hanging="360"/>
      </w:pPr>
      <w:rPr>
        <w:rFonts w:ascii="Symbol" w:hAnsi="Symbol" w:hint="default"/>
      </w:rPr>
    </w:lvl>
    <w:lvl w:ilvl="7" w:tplc="0C0A0003" w:tentative="1">
      <w:start w:val="1"/>
      <w:numFmt w:val="bullet"/>
      <w:lvlText w:val="o"/>
      <w:lvlJc w:val="left"/>
      <w:pPr>
        <w:ind w:left="6380" w:hanging="360"/>
      </w:pPr>
      <w:rPr>
        <w:rFonts w:ascii="Courier New" w:hAnsi="Courier New" w:cs="Courier New" w:hint="default"/>
      </w:rPr>
    </w:lvl>
    <w:lvl w:ilvl="8" w:tplc="0C0A0005" w:tentative="1">
      <w:start w:val="1"/>
      <w:numFmt w:val="bullet"/>
      <w:lvlText w:val=""/>
      <w:lvlJc w:val="left"/>
      <w:pPr>
        <w:ind w:left="7100" w:hanging="360"/>
      </w:pPr>
      <w:rPr>
        <w:rFonts w:ascii="Wingdings" w:hAnsi="Wingdings" w:hint="default"/>
      </w:rPr>
    </w:lvl>
  </w:abstractNum>
  <w:abstractNum w:abstractNumId="148" w15:restartNumberingAfterBreak="0">
    <w:nsid w:val="380D07D5"/>
    <w:multiLevelType w:val="multilevel"/>
    <w:tmpl w:val="41EA376C"/>
    <w:lvl w:ilvl="0">
      <w:start w:val="35"/>
      <w:numFmt w:val="decimal"/>
      <w:lvlText w:val="%1"/>
      <w:lvlJc w:val="left"/>
      <w:pPr>
        <w:ind w:left="420" w:hanging="420"/>
      </w:pPr>
      <w:rPr>
        <w:rFonts w:hint="default"/>
      </w:rPr>
    </w:lvl>
    <w:lvl w:ilvl="1">
      <w:start w:val="1"/>
      <w:numFmt w:val="decimal"/>
      <w:lvlText w:val="%1.%2"/>
      <w:lvlJc w:val="left"/>
      <w:pPr>
        <w:ind w:left="2760" w:hanging="42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149" w15:restartNumberingAfterBreak="0">
    <w:nsid w:val="3843192E"/>
    <w:multiLevelType w:val="hybridMultilevel"/>
    <w:tmpl w:val="9F12F772"/>
    <w:lvl w:ilvl="0" w:tplc="31D2C246">
      <w:start w:val="1"/>
      <w:numFmt w:val="lowerLetter"/>
      <w:lvlText w:val="%1)"/>
      <w:lvlJc w:val="left"/>
      <w:pPr>
        <w:ind w:left="1065" w:hanging="360"/>
      </w:pPr>
      <w:rPr>
        <w:rFonts w:hint="default"/>
      </w:rPr>
    </w:lvl>
    <w:lvl w:ilvl="1" w:tplc="91A4BBC4">
      <w:start w:val="1"/>
      <w:numFmt w:val="decimal"/>
      <w:lvlText w:val="%2)"/>
      <w:lvlJc w:val="left"/>
      <w:pPr>
        <w:ind w:left="1785" w:hanging="360"/>
      </w:pPr>
      <w:rPr>
        <w:rFonts w:hint="default"/>
      </w:r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150" w15:restartNumberingAfterBreak="0">
    <w:nsid w:val="387523CE"/>
    <w:multiLevelType w:val="hybridMultilevel"/>
    <w:tmpl w:val="6D5009C0"/>
    <w:lvl w:ilvl="0" w:tplc="CBF4F354">
      <w:start w:val="1"/>
      <w:numFmt w:val="lowerLetter"/>
      <w:lvlText w:val="%1)"/>
      <w:lvlJc w:val="left"/>
      <w:pPr>
        <w:ind w:left="1080" w:hanging="375"/>
      </w:pPr>
      <w:rPr>
        <w:rFonts w:hint="default"/>
      </w:rPr>
    </w:lvl>
    <w:lvl w:ilvl="1" w:tplc="0898FF1A">
      <w:start w:val="1"/>
      <w:numFmt w:val="decimal"/>
      <w:lvlText w:val="%2."/>
      <w:lvlJc w:val="left"/>
      <w:pPr>
        <w:ind w:left="1785" w:hanging="360"/>
      </w:pPr>
      <w:rPr>
        <w:rFonts w:hint="default"/>
      </w:rPr>
    </w:lvl>
    <w:lvl w:ilvl="2" w:tplc="65C493E2">
      <w:start w:val="1"/>
      <w:numFmt w:val="decimal"/>
      <w:lvlText w:val="%3)"/>
      <w:lvlJc w:val="left"/>
      <w:pPr>
        <w:ind w:left="2685" w:hanging="360"/>
      </w:pPr>
      <w:rPr>
        <w:rFonts w:hint="default"/>
      </w:r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151" w15:restartNumberingAfterBreak="0">
    <w:nsid w:val="39386B81"/>
    <w:multiLevelType w:val="hybridMultilevel"/>
    <w:tmpl w:val="07162E08"/>
    <w:lvl w:ilvl="0" w:tplc="280A0019">
      <w:start w:val="1"/>
      <w:numFmt w:val="lowerLetter"/>
      <w:lvlText w:val="%1."/>
      <w:lvlJc w:val="left"/>
      <w:pPr>
        <w:ind w:left="720" w:hanging="360"/>
      </w:pPr>
    </w:lvl>
    <w:lvl w:ilvl="1" w:tplc="A6C8F24C">
      <w:start w:val="1"/>
      <w:numFmt w:val="lowerLetter"/>
      <w:lvlText w:val="%2)"/>
      <w:lvlJc w:val="left"/>
      <w:pPr>
        <w:ind w:left="1440" w:hanging="360"/>
      </w:pPr>
      <w:rPr>
        <w:rFonts w:hint="default"/>
      </w:rPr>
    </w:lvl>
    <w:lvl w:ilvl="2" w:tplc="32BCB296">
      <w:start w:val="1"/>
      <w:numFmt w:val="decimal"/>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2" w15:restartNumberingAfterBreak="0">
    <w:nsid w:val="394422AD"/>
    <w:multiLevelType w:val="hybridMultilevel"/>
    <w:tmpl w:val="0C8A4E4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3" w15:restartNumberingAfterBreak="0">
    <w:nsid w:val="39BE79EF"/>
    <w:multiLevelType w:val="hybridMultilevel"/>
    <w:tmpl w:val="919811B0"/>
    <w:lvl w:ilvl="0" w:tplc="4A32CF84">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154" w15:restartNumberingAfterBreak="0">
    <w:nsid w:val="39ED65E6"/>
    <w:multiLevelType w:val="hybridMultilevel"/>
    <w:tmpl w:val="D53600E2"/>
    <w:lvl w:ilvl="0" w:tplc="BA7A5EEA">
      <w:start w:val="1"/>
      <w:numFmt w:val="lowerLetter"/>
      <w:lvlText w:val="%1)"/>
      <w:lvlJc w:val="left"/>
      <w:pPr>
        <w:ind w:left="1271" w:hanging="420"/>
      </w:pPr>
      <w:rPr>
        <w:rFonts w:hint="default"/>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155" w15:restartNumberingAfterBreak="0">
    <w:nsid w:val="3AB03198"/>
    <w:multiLevelType w:val="hybridMultilevel"/>
    <w:tmpl w:val="DA2C5D0C"/>
    <w:lvl w:ilvl="0" w:tplc="D8D4D48A">
      <w:start w:val="1"/>
      <w:numFmt w:val="decimal"/>
      <w:lvlText w:val="%1."/>
      <w:lvlJc w:val="left"/>
      <w:pPr>
        <w:ind w:left="720" w:hanging="360"/>
      </w:pPr>
      <w:rPr>
        <w:rFonts w:cs="Times New Roman"/>
        <w:b/>
      </w:rPr>
    </w:lvl>
    <w:lvl w:ilvl="1" w:tplc="280A001B">
      <w:start w:val="1"/>
      <w:numFmt w:val="lowerRoman"/>
      <w:lvlText w:val="%2."/>
      <w:lvlJc w:val="right"/>
      <w:pPr>
        <w:ind w:left="1440" w:hanging="360"/>
      </w:pPr>
    </w:lvl>
    <w:lvl w:ilvl="2" w:tplc="0D28316E">
      <w:start w:val="1"/>
      <w:numFmt w:val="lowerLetter"/>
      <w:lvlText w:val="%3)"/>
      <w:lvlJc w:val="left"/>
      <w:pPr>
        <w:ind w:left="2340" w:hanging="360"/>
      </w:pPr>
      <w:rPr>
        <w:rFonts w:hint="default"/>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56" w15:restartNumberingAfterBreak="0">
    <w:nsid w:val="3AB03BC0"/>
    <w:multiLevelType w:val="hybridMultilevel"/>
    <w:tmpl w:val="7B8C259E"/>
    <w:lvl w:ilvl="0" w:tplc="B560A710">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157" w15:restartNumberingAfterBreak="0">
    <w:nsid w:val="3ACC7639"/>
    <w:multiLevelType w:val="hybridMultilevel"/>
    <w:tmpl w:val="62BC30A0"/>
    <w:lvl w:ilvl="0" w:tplc="280A0017">
      <w:start w:val="1"/>
      <w:numFmt w:val="lowerLetter"/>
      <w:lvlText w:val="%1)"/>
      <w:lvlJc w:val="left"/>
      <w:pPr>
        <w:tabs>
          <w:tab w:val="num" w:pos="1353"/>
        </w:tabs>
        <w:ind w:left="1353" w:hanging="360"/>
      </w:pPr>
      <w:rPr>
        <w:rFonts w:hint="default"/>
      </w:rPr>
    </w:lvl>
    <w:lvl w:ilvl="1" w:tplc="1F542484">
      <w:start w:val="1"/>
      <w:numFmt w:val="lowerLetter"/>
      <w:lvlText w:val="%2)"/>
      <w:lvlJc w:val="left"/>
      <w:pPr>
        <w:tabs>
          <w:tab w:val="num" w:pos="2160"/>
        </w:tabs>
        <w:ind w:left="2160" w:hanging="360"/>
      </w:pPr>
      <w:rPr>
        <w:rFonts w:hint="default"/>
      </w:rPr>
    </w:lvl>
    <w:lvl w:ilvl="2" w:tplc="280A0005">
      <w:start w:val="1"/>
      <w:numFmt w:val="bullet"/>
      <w:lvlText w:val=""/>
      <w:lvlJc w:val="left"/>
      <w:pPr>
        <w:tabs>
          <w:tab w:val="num" w:pos="2880"/>
        </w:tabs>
        <w:ind w:left="2880" w:hanging="360"/>
      </w:pPr>
      <w:rPr>
        <w:rFonts w:ascii="Wingdings" w:hAnsi="Wingdings" w:hint="default"/>
      </w:rPr>
    </w:lvl>
    <w:lvl w:ilvl="3" w:tplc="280A0001">
      <w:start w:val="1"/>
      <w:numFmt w:val="bullet"/>
      <w:lvlText w:val=""/>
      <w:lvlJc w:val="left"/>
      <w:pPr>
        <w:tabs>
          <w:tab w:val="num" w:pos="3600"/>
        </w:tabs>
        <w:ind w:left="3600" w:hanging="360"/>
      </w:pPr>
      <w:rPr>
        <w:rFonts w:ascii="Symbol" w:hAnsi="Symbol" w:hint="default"/>
      </w:rPr>
    </w:lvl>
    <w:lvl w:ilvl="4" w:tplc="280A0003" w:tentative="1">
      <w:start w:val="1"/>
      <w:numFmt w:val="bullet"/>
      <w:lvlText w:val="o"/>
      <w:lvlJc w:val="left"/>
      <w:pPr>
        <w:tabs>
          <w:tab w:val="num" w:pos="4320"/>
        </w:tabs>
        <w:ind w:left="4320" w:hanging="360"/>
      </w:pPr>
      <w:rPr>
        <w:rFonts w:ascii="Courier New" w:hAnsi="Courier New" w:hint="default"/>
      </w:rPr>
    </w:lvl>
    <w:lvl w:ilvl="5" w:tplc="280A0005" w:tentative="1">
      <w:start w:val="1"/>
      <w:numFmt w:val="bullet"/>
      <w:lvlText w:val=""/>
      <w:lvlJc w:val="left"/>
      <w:pPr>
        <w:tabs>
          <w:tab w:val="num" w:pos="5040"/>
        </w:tabs>
        <w:ind w:left="5040" w:hanging="360"/>
      </w:pPr>
      <w:rPr>
        <w:rFonts w:ascii="Wingdings" w:hAnsi="Wingdings" w:hint="default"/>
      </w:rPr>
    </w:lvl>
    <w:lvl w:ilvl="6" w:tplc="280A0001" w:tentative="1">
      <w:start w:val="1"/>
      <w:numFmt w:val="bullet"/>
      <w:lvlText w:val=""/>
      <w:lvlJc w:val="left"/>
      <w:pPr>
        <w:tabs>
          <w:tab w:val="num" w:pos="5760"/>
        </w:tabs>
        <w:ind w:left="5760" w:hanging="360"/>
      </w:pPr>
      <w:rPr>
        <w:rFonts w:ascii="Symbol" w:hAnsi="Symbol" w:hint="default"/>
      </w:rPr>
    </w:lvl>
    <w:lvl w:ilvl="7" w:tplc="280A0003" w:tentative="1">
      <w:start w:val="1"/>
      <w:numFmt w:val="bullet"/>
      <w:lvlText w:val="o"/>
      <w:lvlJc w:val="left"/>
      <w:pPr>
        <w:tabs>
          <w:tab w:val="num" w:pos="6480"/>
        </w:tabs>
        <w:ind w:left="6480" w:hanging="360"/>
      </w:pPr>
      <w:rPr>
        <w:rFonts w:ascii="Courier New" w:hAnsi="Courier New" w:hint="default"/>
      </w:rPr>
    </w:lvl>
    <w:lvl w:ilvl="8" w:tplc="280A0005" w:tentative="1">
      <w:start w:val="1"/>
      <w:numFmt w:val="bullet"/>
      <w:lvlText w:val=""/>
      <w:lvlJc w:val="left"/>
      <w:pPr>
        <w:tabs>
          <w:tab w:val="num" w:pos="7200"/>
        </w:tabs>
        <w:ind w:left="7200" w:hanging="360"/>
      </w:pPr>
      <w:rPr>
        <w:rFonts w:ascii="Wingdings" w:hAnsi="Wingdings" w:hint="default"/>
      </w:rPr>
    </w:lvl>
  </w:abstractNum>
  <w:abstractNum w:abstractNumId="158" w15:restartNumberingAfterBreak="0">
    <w:nsid w:val="3BA1578D"/>
    <w:multiLevelType w:val="hybridMultilevel"/>
    <w:tmpl w:val="F5FA0BD0"/>
    <w:lvl w:ilvl="0" w:tplc="B9929CEE">
      <w:start w:val="1"/>
      <w:numFmt w:val="lowerLetter"/>
      <w:lvlText w:val="%1)"/>
      <w:lvlJc w:val="left"/>
      <w:pPr>
        <w:ind w:left="1144" w:hanging="435"/>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159" w15:restartNumberingAfterBreak="0">
    <w:nsid w:val="3BC6568B"/>
    <w:multiLevelType w:val="hybridMultilevel"/>
    <w:tmpl w:val="D74C183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0" w15:restartNumberingAfterBreak="0">
    <w:nsid w:val="3C0A0440"/>
    <w:multiLevelType w:val="hybridMultilevel"/>
    <w:tmpl w:val="7D407FF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1" w15:restartNumberingAfterBreak="0">
    <w:nsid w:val="3C304800"/>
    <w:multiLevelType w:val="hybridMultilevel"/>
    <w:tmpl w:val="91B09392"/>
    <w:lvl w:ilvl="0" w:tplc="63925280">
      <w:start w:val="1"/>
      <w:numFmt w:val="decimal"/>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162" w15:restartNumberingAfterBreak="0">
    <w:nsid w:val="3CC9326A"/>
    <w:multiLevelType w:val="hybridMultilevel"/>
    <w:tmpl w:val="BA2EFB30"/>
    <w:lvl w:ilvl="0" w:tplc="05107CCE">
      <w:start w:val="1"/>
      <w:numFmt w:val="lowerLetter"/>
      <w:lvlText w:val="%1)"/>
      <w:lvlJc w:val="left"/>
      <w:pPr>
        <w:ind w:left="1065" w:hanging="360"/>
      </w:pPr>
      <w:rPr>
        <w:rFonts w:hint="default"/>
      </w:rPr>
    </w:lvl>
    <w:lvl w:ilvl="1" w:tplc="F2B00E56">
      <w:start w:val="1"/>
      <w:numFmt w:val="decimal"/>
      <w:lvlText w:val="%2."/>
      <w:lvlJc w:val="left"/>
      <w:pPr>
        <w:ind w:left="1785" w:hanging="360"/>
      </w:pPr>
      <w:rPr>
        <w:rFonts w:hint="default"/>
      </w:r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163" w15:restartNumberingAfterBreak="0">
    <w:nsid w:val="3CFA73CB"/>
    <w:multiLevelType w:val="hybridMultilevel"/>
    <w:tmpl w:val="07DE23C8"/>
    <w:lvl w:ilvl="0" w:tplc="9E3E611C">
      <w:start w:val="1"/>
      <w:numFmt w:val="bullet"/>
      <w:lvlText w:val="-"/>
      <w:lvlJc w:val="left"/>
      <w:pPr>
        <w:ind w:left="720" w:hanging="360"/>
      </w:pPr>
      <w:rPr>
        <w:rFonts w:ascii="Arial" w:eastAsia="Times New Roman" w:hAnsi="Arial" w:hint="default"/>
      </w:rPr>
    </w:lvl>
    <w:lvl w:ilvl="1" w:tplc="280A0019">
      <w:start w:val="1"/>
      <w:numFmt w:val="lowerLetter"/>
      <w:lvlText w:val="%2."/>
      <w:lvlJc w:val="left"/>
      <w:pPr>
        <w:ind w:left="1440" w:hanging="360"/>
      </w:pPr>
      <w:rPr>
        <w:rFonts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4" w15:restartNumberingAfterBreak="0">
    <w:nsid w:val="3D621ADD"/>
    <w:multiLevelType w:val="hybridMultilevel"/>
    <w:tmpl w:val="397E2AA0"/>
    <w:lvl w:ilvl="0" w:tplc="0C0A0019">
      <w:start w:val="1"/>
      <w:numFmt w:val="lowerLetter"/>
      <w:lvlText w:val="%1."/>
      <w:lvlJc w:val="left"/>
      <w:pPr>
        <w:ind w:left="720" w:hanging="360"/>
      </w:pPr>
      <w:rPr>
        <w:rFonts w:cs="Times New Roman"/>
      </w:rPr>
    </w:lvl>
    <w:lvl w:ilvl="1" w:tplc="5580A284">
      <w:start w:val="1"/>
      <w:numFmt w:val="lowerLetter"/>
      <w:lvlText w:val="%2)"/>
      <w:lvlJc w:val="left"/>
      <w:pPr>
        <w:tabs>
          <w:tab w:val="num" w:pos="1785"/>
        </w:tabs>
        <w:ind w:left="1785" w:hanging="705"/>
      </w:pPr>
      <w:rPr>
        <w:rFonts w:hint="default"/>
      </w:rPr>
    </w:lvl>
    <w:lvl w:ilvl="2" w:tplc="A6D84AEE">
      <w:start w:val="1"/>
      <w:numFmt w:val="decimal"/>
      <w:lvlText w:val="%3)"/>
      <w:lvlJc w:val="left"/>
      <w:pPr>
        <w:ind w:left="2340" w:hanging="360"/>
      </w:pPr>
      <w:rPr>
        <w:rFonts w:hint="default"/>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5" w15:restartNumberingAfterBreak="0">
    <w:nsid w:val="3E057F9F"/>
    <w:multiLevelType w:val="hybridMultilevel"/>
    <w:tmpl w:val="8618CA6C"/>
    <w:lvl w:ilvl="0" w:tplc="CC289286">
      <w:start w:val="4"/>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6" w15:restartNumberingAfterBreak="0">
    <w:nsid w:val="3E1A3C94"/>
    <w:multiLevelType w:val="hybridMultilevel"/>
    <w:tmpl w:val="6FAC7A04"/>
    <w:lvl w:ilvl="0" w:tplc="D5CC91E4">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167" w15:restartNumberingAfterBreak="0">
    <w:nsid w:val="3E795EC7"/>
    <w:multiLevelType w:val="hybridMultilevel"/>
    <w:tmpl w:val="75CA5B0C"/>
    <w:lvl w:ilvl="0" w:tplc="0C0A0001">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hint="default"/>
      </w:rPr>
    </w:lvl>
    <w:lvl w:ilvl="2" w:tplc="280A0005">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68" w15:restartNumberingAfterBreak="0">
    <w:nsid w:val="3F265387"/>
    <w:multiLevelType w:val="hybridMultilevel"/>
    <w:tmpl w:val="82AA51B6"/>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10A84BAC">
      <w:start w:val="1"/>
      <w:numFmt w:val="upperRoman"/>
      <w:lvlText w:val="%3."/>
      <w:lvlJc w:val="left"/>
      <w:pPr>
        <w:ind w:left="2700" w:hanging="72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9" w15:restartNumberingAfterBreak="0">
    <w:nsid w:val="3F4F046A"/>
    <w:multiLevelType w:val="hybridMultilevel"/>
    <w:tmpl w:val="88443FB6"/>
    <w:lvl w:ilvl="0" w:tplc="460CC4EA">
      <w:start w:val="1"/>
      <w:numFmt w:val="bullet"/>
      <w:lvlText w:val=""/>
      <w:lvlJc w:val="left"/>
      <w:pPr>
        <w:ind w:left="720" w:hanging="360"/>
      </w:pPr>
      <w:rPr>
        <w:rFonts w:ascii="Wingdings" w:hAnsi="Wingdings" w:hint="default"/>
        <w:color w:val="525252" w:themeColor="accent3" w:themeShade="80"/>
        <w:sz w:val="16"/>
        <w:szCs w:val="16"/>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0" w15:restartNumberingAfterBreak="0">
    <w:nsid w:val="3FE85AA8"/>
    <w:multiLevelType w:val="hybridMultilevel"/>
    <w:tmpl w:val="8996B09E"/>
    <w:lvl w:ilvl="0" w:tplc="D854B31A">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171" w15:restartNumberingAfterBreak="0">
    <w:nsid w:val="4019447D"/>
    <w:multiLevelType w:val="hybridMultilevel"/>
    <w:tmpl w:val="81ECC2C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2" w15:restartNumberingAfterBreak="0">
    <w:nsid w:val="40C63243"/>
    <w:multiLevelType w:val="hybridMultilevel"/>
    <w:tmpl w:val="D1DC62CE"/>
    <w:lvl w:ilvl="0" w:tplc="280A0017">
      <w:start w:val="1"/>
      <w:numFmt w:val="lowerLetter"/>
      <w:lvlText w:val="%1)"/>
      <w:lvlJc w:val="left"/>
      <w:pPr>
        <w:ind w:left="1440" w:hanging="360"/>
      </w:pPr>
    </w:lvl>
    <w:lvl w:ilvl="1" w:tplc="280A0019">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73" w15:restartNumberingAfterBreak="0">
    <w:nsid w:val="41592BD3"/>
    <w:multiLevelType w:val="hybridMultilevel"/>
    <w:tmpl w:val="F1E4413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4" w15:restartNumberingAfterBreak="0">
    <w:nsid w:val="4203366F"/>
    <w:multiLevelType w:val="hybridMultilevel"/>
    <w:tmpl w:val="CB528896"/>
    <w:lvl w:ilvl="0" w:tplc="94C6F24A">
      <w:start w:val="1"/>
      <w:numFmt w:val="lowerLetter"/>
      <w:lvlText w:val="%1)"/>
      <w:lvlJc w:val="left"/>
      <w:pPr>
        <w:ind w:left="1106" w:hanging="420"/>
      </w:pPr>
      <w:rPr>
        <w:rFonts w:hint="default"/>
      </w:rPr>
    </w:lvl>
    <w:lvl w:ilvl="1" w:tplc="280A0019" w:tentative="1">
      <w:start w:val="1"/>
      <w:numFmt w:val="lowerLetter"/>
      <w:lvlText w:val="%2."/>
      <w:lvlJc w:val="left"/>
      <w:pPr>
        <w:ind w:left="1766" w:hanging="360"/>
      </w:pPr>
    </w:lvl>
    <w:lvl w:ilvl="2" w:tplc="280A001B" w:tentative="1">
      <w:start w:val="1"/>
      <w:numFmt w:val="lowerRoman"/>
      <w:lvlText w:val="%3."/>
      <w:lvlJc w:val="right"/>
      <w:pPr>
        <w:ind w:left="2486" w:hanging="180"/>
      </w:pPr>
    </w:lvl>
    <w:lvl w:ilvl="3" w:tplc="280A000F" w:tentative="1">
      <w:start w:val="1"/>
      <w:numFmt w:val="decimal"/>
      <w:lvlText w:val="%4."/>
      <w:lvlJc w:val="left"/>
      <w:pPr>
        <w:ind w:left="3206" w:hanging="360"/>
      </w:pPr>
    </w:lvl>
    <w:lvl w:ilvl="4" w:tplc="280A0019" w:tentative="1">
      <w:start w:val="1"/>
      <w:numFmt w:val="lowerLetter"/>
      <w:lvlText w:val="%5."/>
      <w:lvlJc w:val="left"/>
      <w:pPr>
        <w:ind w:left="3926" w:hanging="360"/>
      </w:pPr>
    </w:lvl>
    <w:lvl w:ilvl="5" w:tplc="280A001B" w:tentative="1">
      <w:start w:val="1"/>
      <w:numFmt w:val="lowerRoman"/>
      <w:lvlText w:val="%6."/>
      <w:lvlJc w:val="right"/>
      <w:pPr>
        <w:ind w:left="4646" w:hanging="180"/>
      </w:pPr>
    </w:lvl>
    <w:lvl w:ilvl="6" w:tplc="280A000F" w:tentative="1">
      <w:start w:val="1"/>
      <w:numFmt w:val="decimal"/>
      <w:lvlText w:val="%7."/>
      <w:lvlJc w:val="left"/>
      <w:pPr>
        <w:ind w:left="5366" w:hanging="360"/>
      </w:pPr>
    </w:lvl>
    <w:lvl w:ilvl="7" w:tplc="280A0019" w:tentative="1">
      <w:start w:val="1"/>
      <w:numFmt w:val="lowerLetter"/>
      <w:lvlText w:val="%8."/>
      <w:lvlJc w:val="left"/>
      <w:pPr>
        <w:ind w:left="6086" w:hanging="360"/>
      </w:pPr>
    </w:lvl>
    <w:lvl w:ilvl="8" w:tplc="280A001B" w:tentative="1">
      <w:start w:val="1"/>
      <w:numFmt w:val="lowerRoman"/>
      <w:lvlText w:val="%9."/>
      <w:lvlJc w:val="right"/>
      <w:pPr>
        <w:ind w:left="6806" w:hanging="180"/>
      </w:pPr>
    </w:lvl>
  </w:abstractNum>
  <w:abstractNum w:abstractNumId="175" w15:restartNumberingAfterBreak="0">
    <w:nsid w:val="42254457"/>
    <w:multiLevelType w:val="hybridMultilevel"/>
    <w:tmpl w:val="E272CBFA"/>
    <w:lvl w:ilvl="0" w:tplc="A7C25818">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176" w15:restartNumberingAfterBreak="0">
    <w:nsid w:val="426D1A52"/>
    <w:multiLevelType w:val="hybridMultilevel"/>
    <w:tmpl w:val="CA3C031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7" w15:restartNumberingAfterBreak="0">
    <w:nsid w:val="42882FD4"/>
    <w:multiLevelType w:val="hybridMultilevel"/>
    <w:tmpl w:val="8FC02738"/>
    <w:lvl w:ilvl="0" w:tplc="D1DA50BC">
      <w:start w:val="1"/>
      <w:numFmt w:val="decimal"/>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178" w15:restartNumberingAfterBreak="0">
    <w:nsid w:val="42992B7E"/>
    <w:multiLevelType w:val="multilevel"/>
    <w:tmpl w:val="22602BAA"/>
    <w:lvl w:ilvl="0">
      <w:start w:val="6"/>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5"/>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9" w15:restartNumberingAfterBreak="0">
    <w:nsid w:val="42B26D34"/>
    <w:multiLevelType w:val="hybridMultilevel"/>
    <w:tmpl w:val="5ED22EA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0" w15:restartNumberingAfterBreak="0">
    <w:nsid w:val="42F321DE"/>
    <w:multiLevelType w:val="multilevel"/>
    <w:tmpl w:val="03EA92BA"/>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1" w15:restartNumberingAfterBreak="0">
    <w:nsid w:val="439328B3"/>
    <w:multiLevelType w:val="hybridMultilevel"/>
    <w:tmpl w:val="D82A63B2"/>
    <w:lvl w:ilvl="0" w:tplc="5256452E">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182" w15:restartNumberingAfterBreak="0">
    <w:nsid w:val="45633B1C"/>
    <w:multiLevelType w:val="multilevel"/>
    <w:tmpl w:val="1D4C352C"/>
    <w:lvl w:ilvl="0">
      <w:start w:val="1"/>
      <w:numFmt w:val="upperRoman"/>
      <w:lvlText w:val="%1."/>
      <w:lvlJc w:val="left"/>
      <w:pPr>
        <w:ind w:left="1080" w:hanging="720"/>
      </w:pPr>
      <w:rPr>
        <w:rFonts w:hint="default"/>
        <w:b/>
        <w:sz w:val="22"/>
        <w:szCs w:val="22"/>
      </w:rPr>
    </w:lvl>
    <w:lvl w:ilvl="1">
      <w:start w:val="1"/>
      <w:numFmt w:val="decimal"/>
      <w:isLgl/>
      <w:lvlText w:val="%1.%2"/>
      <w:lvlJc w:val="left"/>
      <w:pPr>
        <w:ind w:left="765" w:hanging="405"/>
      </w:pPr>
      <w:rPr>
        <w:rFonts w:hint="default"/>
        <w:b/>
        <w:sz w:val="22"/>
        <w:szCs w:val="22"/>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464A47B2"/>
    <w:multiLevelType w:val="hybridMultilevel"/>
    <w:tmpl w:val="EF505838"/>
    <w:lvl w:ilvl="0" w:tplc="3DAA104E">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184" w15:restartNumberingAfterBreak="0">
    <w:nsid w:val="467B1A0B"/>
    <w:multiLevelType w:val="hybridMultilevel"/>
    <w:tmpl w:val="B37881FC"/>
    <w:lvl w:ilvl="0" w:tplc="63D45388">
      <w:start w:val="2"/>
      <w:numFmt w:val="bullet"/>
      <w:lvlText w:val="-"/>
      <w:lvlJc w:val="left"/>
      <w:pPr>
        <w:ind w:left="720" w:hanging="360"/>
      </w:pPr>
      <w:rPr>
        <w:rFonts w:ascii="Calibri" w:eastAsia="Times New Roman" w:hAnsi="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5" w15:restartNumberingAfterBreak="0">
    <w:nsid w:val="475D0AFC"/>
    <w:multiLevelType w:val="hybridMultilevel"/>
    <w:tmpl w:val="88022152"/>
    <w:lvl w:ilvl="0" w:tplc="BB9825C0">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186" w15:restartNumberingAfterBreak="0">
    <w:nsid w:val="47710342"/>
    <w:multiLevelType w:val="multilevel"/>
    <w:tmpl w:val="53E87634"/>
    <w:lvl w:ilvl="0">
      <w:start w:val="6"/>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7" w15:restartNumberingAfterBreak="0">
    <w:nsid w:val="48581480"/>
    <w:multiLevelType w:val="hybridMultilevel"/>
    <w:tmpl w:val="6A303A08"/>
    <w:lvl w:ilvl="0" w:tplc="8CE235B4">
      <w:start w:val="1"/>
      <w:numFmt w:val="bullet"/>
      <w:lvlText w:val=""/>
      <w:lvlJc w:val="left"/>
      <w:pPr>
        <w:ind w:left="720" w:hanging="360"/>
      </w:pPr>
      <w:rPr>
        <w:rFonts w:ascii="Wingdings" w:hAnsi="Wingdings" w:hint="default"/>
        <w:b/>
        <w:color w:val="525252" w:themeColor="accent3" w:themeShade="80"/>
        <w:sz w:val="16"/>
        <w:szCs w:val="16"/>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8" w15:restartNumberingAfterBreak="0">
    <w:nsid w:val="495D3923"/>
    <w:multiLevelType w:val="hybridMultilevel"/>
    <w:tmpl w:val="550E6E38"/>
    <w:lvl w:ilvl="0" w:tplc="8F80967A">
      <w:start w:val="5"/>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9" w15:restartNumberingAfterBreak="0">
    <w:nsid w:val="497C656E"/>
    <w:multiLevelType w:val="hybridMultilevel"/>
    <w:tmpl w:val="FA3431AC"/>
    <w:lvl w:ilvl="0" w:tplc="981A8750">
      <w:start w:val="1"/>
      <w:numFmt w:val="lowerLetter"/>
      <w:lvlText w:val="%1)"/>
      <w:lvlJc w:val="left"/>
      <w:pPr>
        <w:ind w:left="1353"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0" w15:restartNumberingAfterBreak="0">
    <w:nsid w:val="49CA02F6"/>
    <w:multiLevelType w:val="hybridMultilevel"/>
    <w:tmpl w:val="829E83A2"/>
    <w:lvl w:ilvl="0" w:tplc="41A83E7C">
      <w:start w:val="1"/>
      <w:numFmt w:val="lowerLetter"/>
      <w:lvlText w:val="%1)"/>
      <w:lvlJc w:val="left"/>
      <w:pPr>
        <w:ind w:left="1421" w:hanging="570"/>
      </w:pPr>
      <w:rPr>
        <w:rFonts w:hint="default"/>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191" w15:restartNumberingAfterBreak="0">
    <w:nsid w:val="4AC81994"/>
    <w:multiLevelType w:val="hybridMultilevel"/>
    <w:tmpl w:val="FB92C19C"/>
    <w:lvl w:ilvl="0" w:tplc="A58EBD62">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2" w15:restartNumberingAfterBreak="0">
    <w:nsid w:val="4C1A4077"/>
    <w:multiLevelType w:val="multilevel"/>
    <w:tmpl w:val="69CAD140"/>
    <w:lvl w:ilvl="0">
      <w:start w:val="1"/>
      <w:numFmt w:val="decimal"/>
      <w:lvlText w:val="%1"/>
      <w:lvlJc w:val="left"/>
      <w:pPr>
        <w:ind w:left="360" w:hanging="360"/>
      </w:pPr>
      <w:rPr>
        <w:rFonts w:cs="Times New Roman" w:hint="default"/>
      </w:rPr>
    </w:lvl>
    <w:lvl w:ilvl="1">
      <w:start w:val="1"/>
      <w:numFmt w:val="decimal"/>
      <w:lvlText w:val="%1.%2"/>
      <w:lvlJc w:val="left"/>
      <w:pPr>
        <w:ind w:left="475" w:hanging="360"/>
      </w:pPr>
      <w:rPr>
        <w:rFonts w:cs="Times New Roman" w:hint="default"/>
        <w:b/>
      </w:rPr>
    </w:lvl>
    <w:lvl w:ilvl="2">
      <w:start w:val="1"/>
      <w:numFmt w:val="decimal"/>
      <w:lvlText w:val="%1.%2.%3"/>
      <w:lvlJc w:val="left"/>
      <w:pPr>
        <w:ind w:left="590" w:hanging="360"/>
      </w:pPr>
      <w:rPr>
        <w:rFonts w:cs="Times New Roman" w:hint="default"/>
      </w:rPr>
    </w:lvl>
    <w:lvl w:ilvl="3">
      <w:start w:val="1"/>
      <w:numFmt w:val="decimal"/>
      <w:lvlText w:val="%1.%2.%3.%4"/>
      <w:lvlJc w:val="left"/>
      <w:pPr>
        <w:ind w:left="1065" w:hanging="720"/>
      </w:pPr>
      <w:rPr>
        <w:rFonts w:cs="Times New Roman" w:hint="default"/>
      </w:rPr>
    </w:lvl>
    <w:lvl w:ilvl="4">
      <w:start w:val="1"/>
      <w:numFmt w:val="decimal"/>
      <w:lvlText w:val="%1.%2.%3.%4.%5"/>
      <w:lvlJc w:val="left"/>
      <w:pPr>
        <w:ind w:left="1180" w:hanging="720"/>
      </w:pPr>
      <w:rPr>
        <w:rFonts w:cs="Times New Roman" w:hint="default"/>
      </w:rPr>
    </w:lvl>
    <w:lvl w:ilvl="5">
      <w:start w:val="1"/>
      <w:numFmt w:val="decimal"/>
      <w:lvlText w:val="%1.%2.%3.%4.%5.%6"/>
      <w:lvlJc w:val="left"/>
      <w:pPr>
        <w:ind w:left="1295" w:hanging="720"/>
      </w:pPr>
      <w:rPr>
        <w:rFonts w:cs="Times New Roman" w:hint="default"/>
      </w:rPr>
    </w:lvl>
    <w:lvl w:ilvl="6">
      <w:start w:val="1"/>
      <w:numFmt w:val="decimal"/>
      <w:lvlText w:val="%1.%2.%3.%4.%5.%6.%7"/>
      <w:lvlJc w:val="left"/>
      <w:pPr>
        <w:ind w:left="1770" w:hanging="1080"/>
      </w:pPr>
      <w:rPr>
        <w:rFonts w:cs="Times New Roman" w:hint="default"/>
      </w:rPr>
    </w:lvl>
    <w:lvl w:ilvl="7">
      <w:start w:val="1"/>
      <w:numFmt w:val="decimal"/>
      <w:lvlText w:val="%1.%2.%3.%4.%5.%6.%7.%8"/>
      <w:lvlJc w:val="left"/>
      <w:pPr>
        <w:ind w:left="1885" w:hanging="1080"/>
      </w:pPr>
      <w:rPr>
        <w:rFonts w:cs="Times New Roman" w:hint="default"/>
      </w:rPr>
    </w:lvl>
    <w:lvl w:ilvl="8">
      <w:start w:val="1"/>
      <w:numFmt w:val="decimal"/>
      <w:lvlText w:val="%1.%2.%3.%4.%5.%6.%7.%8.%9"/>
      <w:lvlJc w:val="left"/>
      <w:pPr>
        <w:ind w:left="2000" w:hanging="1080"/>
      </w:pPr>
      <w:rPr>
        <w:rFonts w:cs="Times New Roman" w:hint="default"/>
      </w:rPr>
    </w:lvl>
  </w:abstractNum>
  <w:abstractNum w:abstractNumId="193" w15:restartNumberingAfterBreak="0">
    <w:nsid w:val="4E2F2B4B"/>
    <w:multiLevelType w:val="hybridMultilevel"/>
    <w:tmpl w:val="1D32875C"/>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19">
      <w:start w:val="1"/>
      <w:numFmt w:val="lowerLetter"/>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4" w15:restartNumberingAfterBreak="0">
    <w:nsid w:val="4E943F11"/>
    <w:multiLevelType w:val="hybridMultilevel"/>
    <w:tmpl w:val="528C232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5" w15:restartNumberingAfterBreak="0">
    <w:nsid w:val="4EC51B02"/>
    <w:multiLevelType w:val="hybridMultilevel"/>
    <w:tmpl w:val="ED3812BE"/>
    <w:lvl w:ilvl="0" w:tplc="9F5E56D8">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196" w15:restartNumberingAfterBreak="0">
    <w:nsid w:val="4F0824ED"/>
    <w:multiLevelType w:val="multilevel"/>
    <w:tmpl w:val="97C04CA4"/>
    <w:lvl w:ilvl="0">
      <w:start w:val="7"/>
      <w:numFmt w:val="decimal"/>
      <w:lvlText w:val="%1"/>
      <w:lvlJc w:val="left"/>
      <w:pPr>
        <w:ind w:left="360" w:hanging="360"/>
      </w:pPr>
      <w:rPr>
        <w:rFonts w:hint="default"/>
      </w:rPr>
    </w:lvl>
    <w:lvl w:ilvl="1">
      <w:start w:val="1"/>
      <w:numFmt w:val="decimal"/>
      <w:lvlText w:val="%1.%2"/>
      <w:lvlJc w:val="left"/>
      <w:pPr>
        <w:ind w:left="3045" w:hanging="360"/>
      </w:pPr>
      <w:rPr>
        <w:rFonts w:hint="default"/>
      </w:rPr>
    </w:lvl>
    <w:lvl w:ilvl="2">
      <w:start w:val="1"/>
      <w:numFmt w:val="decimal"/>
      <w:lvlText w:val="%1.%2.%3"/>
      <w:lvlJc w:val="left"/>
      <w:pPr>
        <w:ind w:left="6090" w:hanging="720"/>
      </w:pPr>
      <w:rPr>
        <w:rFonts w:hint="default"/>
      </w:rPr>
    </w:lvl>
    <w:lvl w:ilvl="3">
      <w:start w:val="1"/>
      <w:numFmt w:val="decimal"/>
      <w:lvlText w:val="%1.%2.%3.%4"/>
      <w:lvlJc w:val="left"/>
      <w:pPr>
        <w:ind w:left="8775" w:hanging="720"/>
      </w:pPr>
      <w:rPr>
        <w:rFonts w:hint="default"/>
      </w:rPr>
    </w:lvl>
    <w:lvl w:ilvl="4">
      <w:start w:val="1"/>
      <w:numFmt w:val="decimal"/>
      <w:lvlText w:val="%1.%2.%3.%4.%5"/>
      <w:lvlJc w:val="left"/>
      <w:pPr>
        <w:ind w:left="11820" w:hanging="1080"/>
      </w:pPr>
      <w:rPr>
        <w:rFonts w:hint="default"/>
      </w:rPr>
    </w:lvl>
    <w:lvl w:ilvl="5">
      <w:start w:val="1"/>
      <w:numFmt w:val="decimal"/>
      <w:lvlText w:val="%1.%2.%3.%4.%5.%6"/>
      <w:lvlJc w:val="left"/>
      <w:pPr>
        <w:ind w:left="14505" w:hanging="1080"/>
      </w:pPr>
      <w:rPr>
        <w:rFonts w:hint="default"/>
      </w:rPr>
    </w:lvl>
    <w:lvl w:ilvl="6">
      <w:start w:val="1"/>
      <w:numFmt w:val="decimal"/>
      <w:lvlText w:val="%1.%2.%3.%4.%5.%6.%7"/>
      <w:lvlJc w:val="left"/>
      <w:pPr>
        <w:ind w:left="17550" w:hanging="1440"/>
      </w:pPr>
      <w:rPr>
        <w:rFonts w:hint="default"/>
      </w:rPr>
    </w:lvl>
    <w:lvl w:ilvl="7">
      <w:start w:val="1"/>
      <w:numFmt w:val="decimal"/>
      <w:lvlText w:val="%1.%2.%3.%4.%5.%6.%7.%8"/>
      <w:lvlJc w:val="left"/>
      <w:pPr>
        <w:ind w:left="20235" w:hanging="1440"/>
      </w:pPr>
      <w:rPr>
        <w:rFonts w:hint="default"/>
      </w:rPr>
    </w:lvl>
    <w:lvl w:ilvl="8">
      <w:start w:val="1"/>
      <w:numFmt w:val="decimal"/>
      <w:lvlText w:val="%1.%2.%3.%4.%5.%6.%7.%8.%9"/>
      <w:lvlJc w:val="left"/>
      <w:pPr>
        <w:ind w:left="23280" w:hanging="1800"/>
      </w:pPr>
      <w:rPr>
        <w:rFonts w:hint="default"/>
      </w:rPr>
    </w:lvl>
  </w:abstractNum>
  <w:abstractNum w:abstractNumId="197" w15:restartNumberingAfterBreak="0">
    <w:nsid w:val="4F327F0E"/>
    <w:multiLevelType w:val="hybridMultilevel"/>
    <w:tmpl w:val="E6723AA0"/>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8" w15:restartNumberingAfterBreak="0">
    <w:nsid w:val="4F727BD0"/>
    <w:multiLevelType w:val="multilevel"/>
    <w:tmpl w:val="77F4343C"/>
    <w:lvl w:ilvl="0">
      <w:start w:val="1"/>
      <w:numFmt w:val="decimal"/>
      <w:lvlText w:val="%1"/>
      <w:lvlJc w:val="left"/>
      <w:pPr>
        <w:ind w:left="390" w:hanging="390"/>
      </w:pPr>
      <w:rPr>
        <w:rFonts w:hint="default"/>
      </w:rPr>
    </w:lvl>
    <w:lvl w:ilvl="1">
      <w:start w:val="1"/>
      <w:numFmt w:val="decimal"/>
      <w:lvlText w:val="%1.%2"/>
      <w:lvlJc w:val="left"/>
      <w:pPr>
        <w:ind w:left="1095" w:hanging="39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99" w15:restartNumberingAfterBreak="0">
    <w:nsid w:val="501869E8"/>
    <w:multiLevelType w:val="multilevel"/>
    <w:tmpl w:val="790056B6"/>
    <w:lvl w:ilvl="0">
      <w:start w:val="32"/>
      <w:numFmt w:val="decimal"/>
      <w:lvlText w:val="%1"/>
      <w:lvlJc w:val="left"/>
      <w:pPr>
        <w:ind w:left="420" w:hanging="420"/>
      </w:pPr>
      <w:rPr>
        <w:rFonts w:hint="default"/>
      </w:rPr>
    </w:lvl>
    <w:lvl w:ilvl="1">
      <w:start w:val="1"/>
      <w:numFmt w:val="decimal"/>
      <w:lvlText w:val="%1.%2"/>
      <w:lvlJc w:val="left"/>
      <w:pPr>
        <w:ind w:left="2760" w:hanging="42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200" w15:restartNumberingAfterBreak="0">
    <w:nsid w:val="50A76FE1"/>
    <w:multiLevelType w:val="hybridMultilevel"/>
    <w:tmpl w:val="B2E6CCA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1" w15:restartNumberingAfterBreak="0">
    <w:nsid w:val="512248F2"/>
    <w:multiLevelType w:val="hybridMultilevel"/>
    <w:tmpl w:val="6F5EE3FA"/>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8854831E">
      <w:start w:val="1"/>
      <w:numFmt w:val="lowerLetter"/>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2" w15:restartNumberingAfterBreak="0">
    <w:nsid w:val="512B2E6D"/>
    <w:multiLevelType w:val="hybridMultilevel"/>
    <w:tmpl w:val="8DE62750"/>
    <w:lvl w:ilvl="0" w:tplc="A58EBD62">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3" w15:restartNumberingAfterBreak="0">
    <w:nsid w:val="51FD2DAF"/>
    <w:multiLevelType w:val="hybridMultilevel"/>
    <w:tmpl w:val="B0EA8910"/>
    <w:lvl w:ilvl="0" w:tplc="280A0017">
      <w:start w:val="1"/>
      <w:numFmt w:val="lowerLetter"/>
      <w:lvlText w:val="%1)"/>
      <w:lvlJc w:val="left"/>
      <w:pPr>
        <w:ind w:left="1571" w:hanging="360"/>
      </w:pPr>
    </w:lvl>
    <w:lvl w:ilvl="1" w:tplc="280A0019" w:tentative="1">
      <w:start w:val="1"/>
      <w:numFmt w:val="lowerLetter"/>
      <w:lvlText w:val="%2."/>
      <w:lvlJc w:val="left"/>
      <w:pPr>
        <w:ind w:left="2291" w:hanging="360"/>
      </w:p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204" w15:restartNumberingAfterBreak="0">
    <w:nsid w:val="522D53FE"/>
    <w:multiLevelType w:val="multilevel"/>
    <w:tmpl w:val="6590AD5E"/>
    <w:lvl w:ilvl="0">
      <w:start w:val="1"/>
      <w:numFmt w:val="upperRoman"/>
      <w:lvlText w:val="%1."/>
      <w:lvlJc w:val="left"/>
      <w:pPr>
        <w:ind w:left="1080" w:hanging="720"/>
      </w:pPr>
      <w:rPr>
        <w:rFonts w:hint="default"/>
      </w:rPr>
    </w:lvl>
    <w:lvl w:ilvl="1">
      <w:start w:val="1"/>
      <w:numFmt w:val="decimal"/>
      <w:isLgl/>
      <w:lvlText w:val="%1.%2"/>
      <w:lvlJc w:val="left"/>
      <w:pPr>
        <w:ind w:left="1110" w:hanging="40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05" w15:restartNumberingAfterBreak="0">
    <w:nsid w:val="52497DE4"/>
    <w:multiLevelType w:val="hybridMultilevel"/>
    <w:tmpl w:val="FBB27928"/>
    <w:lvl w:ilvl="0" w:tplc="48569A1E">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206" w15:restartNumberingAfterBreak="0">
    <w:nsid w:val="524D0A7D"/>
    <w:multiLevelType w:val="hybridMultilevel"/>
    <w:tmpl w:val="2D9C219A"/>
    <w:lvl w:ilvl="0" w:tplc="280A0017">
      <w:start w:val="1"/>
      <w:numFmt w:val="lowerLetter"/>
      <w:lvlText w:val="%1)"/>
      <w:lvlJc w:val="left"/>
      <w:pPr>
        <w:tabs>
          <w:tab w:val="num" w:pos="1353"/>
        </w:tabs>
        <w:ind w:left="1353" w:hanging="360"/>
      </w:pPr>
      <w:rPr>
        <w:rFonts w:hint="default"/>
      </w:rPr>
    </w:lvl>
    <w:lvl w:ilvl="1" w:tplc="1F542484">
      <w:start w:val="1"/>
      <w:numFmt w:val="lowerLetter"/>
      <w:lvlText w:val="%2)"/>
      <w:lvlJc w:val="left"/>
      <w:pPr>
        <w:tabs>
          <w:tab w:val="num" w:pos="2160"/>
        </w:tabs>
        <w:ind w:left="2160" w:hanging="360"/>
      </w:pPr>
      <w:rPr>
        <w:rFonts w:hint="default"/>
      </w:rPr>
    </w:lvl>
    <w:lvl w:ilvl="2" w:tplc="280A0005">
      <w:start w:val="1"/>
      <w:numFmt w:val="bullet"/>
      <w:lvlText w:val=""/>
      <w:lvlJc w:val="left"/>
      <w:pPr>
        <w:tabs>
          <w:tab w:val="num" w:pos="2880"/>
        </w:tabs>
        <w:ind w:left="2880" w:hanging="360"/>
      </w:pPr>
      <w:rPr>
        <w:rFonts w:ascii="Wingdings" w:hAnsi="Wingdings" w:hint="default"/>
      </w:rPr>
    </w:lvl>
    <w:lvl w:ilvl="3" w:tplc="280A0001">
      <w:start w:val="1"/>
      <w:numFmt w:val="bullet"/>
      <w:lvlText w:val=""/>
      <w:lvlJc w:val="left"/>
      <w:pPr>
        <w:tabs>
          <w:tab w:val="num" w:pos="3600"/>
        </w:tabs>
        <w:ind w:left="3600" w:hanging="360"/>
      </w:pPr>
      <w:rPr>
        <w:rFonts w:ascii="Symbol" w:hAnsi="Symbol" w:hint="default"/>
      </w:rPr>
    </w:lvl>
    <w:lvl w:ilvl="4" w:tplc="280A0003" w:tentative="1">
      <w:start w:val="1"/>
      <w:numFmt w:val="bullet"/>
      <w:lvlText w:val="o"/>
      <w:lvlJc w:val="left"/>
      <w:pPr>
        <w:tabs>
          <w:tab w:val="num" w:pos="4320"/>
        </w:tabs>
        <w:ind w:left="4320" w:hanging="360"/>
      </w:pPr>
      <w:rPr>
        <w:rFonts w:ascii="Courier New" w:hAnsi="Courier New" w:hint="default"/>
      </w:rPr>
    </w:lvl>
    <w:lvl w:ilvl="5" w:tplc="280A0005" w:tentative="1">
      <w:start w:val="1"/>
      <w:numFmt w:val="bullet"/>
      <w:lvlText w:val=""/>
      <w:lvlJc w:val="left"/>
      <w:pPr>
        <w:tabs>
          <w:tab w:val="num" w:pos="5040"/>
        </w:tabs>
        <w:ind w:left="5040" w:hanging="360"/>
      </w:pPr>
      <w:rPr>
        <w:rFonts w:ascii="Wingdings" w:hAnsi="Wingdings" w:hint="default"/>
      </w:rPr>
    </w:lvl>
    <w:lvl w:ilvl="6" w:tplc="280A0001" w:tentative="1">
      <w:start w:val="1"/>
      <w:numFmt w:val="bullet"/>
      <w:lvlText w:val=""/>
      <w:lvlJc w:val="left"/>
      <w:pPr>
        <w:tabs>
          <w:tab w:val="num" w:pos="5760"/>
        </w:tabs>
        <w:ind w:left="5760" w:hanging="360"/>
      </w:pPr>
      <w:rPr>
        <w:rFonts w:ascii="Symbol" w:hAnsi="Symbol" w:hint="default"/>
      </w:rPr>
    </w:lvl>
    <w:lvl w:ilvl="7" w:tplc="280A0003" w:tentative="1">
      <w:start w:val="1"/>
      <w:numFmt w:val="bullet"/>
      <w:lvlText w:val="o"/>
      <w:lvlJc w:val="left"/>
      <w:pPr>
        <w:tabs>
          <w:tab w:val="num" w:pos="6480"/>
        </w:tabs>
        <w:ind w:left="6480" w:hanging="360"/>
      </w:pPr>
      <w:rPr>
        <w:rFonts w:ascii="Courier New" w:hAnsi="Courier New" w:hint="default"/>
      </w:rPr>
    </w:lvl>
    <w:lvl w:ilvl="8" w:tplc="280A0005" w:tentative="1">
      <w:start w:val="1"/>
      <w:numFmt w:val="bullet"/>
      <w:lvlText w:val=""/>
      <w:lvlJc w:val="left"/>
      <w:pPr>
        <w:tabs>
          <w:tab w:val="num" w:pos="7200"/>
        </w:tabs>
        <w:ind w:left="7200" w:hanging="360"/>
      </w:pPr>
      <w:rPr>
        <w:rFonts w:ascii="Wingdings" w:hAnsi="Wingdings" w:hint="default"/>
      </w:rPr>
    </w:lvl>
  </w:abstractNum>
  <w:abstractNum w:abstractNumId="207" w15:restartNumberingAfterBreak="0">
    <w:nsid w:val="525721AC"/>
    <w:multiLevelType w:val="multilevel"/>
    <w:tmpl w:val="FFACF52C"/>
    <w:lvl w:ilvl="0">
      <w:start w:val="15"/>
      <w:numFmt w:val="decimal"/>
      <w:lvlText w:val="%1"/>
      <w:lvlJc w:val="left"/>
      <w:pPr>
        <w:ind w:left="420" w:hanging="420"/>
      </w:pPr>
      <w:rPr>
        <w:rFonts w:hint="default"/>
      </w:rPr>
    </w:lvl>
    <w:lvl w:ilvl="1">
      <w:start w:val="1"/>
      <w:numFmt w:val="decimal"/>
      <w:lvlText w:val="%1.%2"/>
      <w:lvlJc w:val="left"/>
      <w:pPr>
        <w:ind w:left="3105" w:hanging="420"/>
      </w:pPr>
      <w:rPr>
        <w:rFonts w:hint="default"/>
      </w:rPr>
    </w:lvl>
    <w:lvl w:ilvl="2">
      <w:start w:val="1"/>
      <w:numFmt w:val="decimal"/>
      <w:lvlText w:val="%1.%2.%3"/>
      <w:lvlJc w:val="left"/>
      <w:pPr>
        <w:ind w:left="6090" w:hanging="720"/>
      </w:pPr>
      <w:rPr>
        <w:rFonts w:hint="default"/>
      </w:rPr>
    </w:lvl>
    <w:lvl w:ilvl="3">
      <w:start w:val="1"/>
      <w:numFmt w:val="decimal"/>
      <w:lvlText w:val="%1.%2.%3.%4"/>
      <w:lvlJc w:val="left"/>
      <w:pPr>
        <w:ind w:left="8775" w:hanging="720"/>
      </w:pPr>
      <w:rPr>
        <w:rFonts w:hint="default"/>
      </w:rPr>
    </w:lvl>
    <w:lvl w:ilvl="4">
      <w:start w:val="1"/>
      <w:numFmt w:val="decimal"/>
      <w:lvlText w:val="%1.%2.%3.%4.%5"/>
      <w:lvlJc w:val="left"/>
      <w:pPr>
        <w:ind w:left="11820" w:hanging="1080"/>
      </w:pPr>
      <w:rPr>
        <w:rFonts w:hint="default"/>
      </w:rPr>
    </w:lvl>
    <w:lvl w:ilvl="5">
      <w:start w:val="1"/>
      <w:numFmt w:val="decimal"/>
      <w:lvlText w:val="%1.%2.%3.%4.%5.%6"/>
      <w:lvlJc w:val="left"/>
      <w:pPr>
        <w:ind w:left="14505" w:hanging="1080"/>
      </w:pPr>
      <w:rPr>
        <w:rFonts w:hint="default"/>
      </w:rPr>
    </w:lvl>
    <w:lvl w:ilvl="6">
      <w:start w:val="1"/>
      <w:numFmt w:val="decimal"/>
      <w:lvlText w:val="%1.%2.%3.%4.%5.%6.%7"/>
      <w:lvlJc w:val="left"/>
      <w:pPr>
        <w:ind w:left="17550" w:hanging="1440"/>
      </w:pPr>
      <w:rPr>
        <w:rFonts w:hint="default"/>
      </w:rPr>
    </w:lvl>
    <w:lvl w:ilvl="7">
      <w:start w:val="1"/>
      <w:numFmt w:val="decimal"/>
      <w:lvlText w:val="%1.%2.%3.%4.%5.%6.%7.%8"/>
      <w:lvlJc w:val="left"/>
      <w:pPr>
        <w:ind w:left="20235" w:hanging="1440"/>
      </w:pPr>
      <w:rPr>
        <w:rFonts w:hint="default"/>
      </w:rPr>
    </w:lvl>
    <w:lvl w:ilvl="8">
      <w:start w:val="1"/>
      <w:numFmt w:val="decimal"/>
      <w:lvlText w:val="%1.%2.%3.%4.%5.%6.%7.%8.%9"/>
      <w:lvlJc w:val="left"/>
      <w:pPr>
        <w:ind w:left="23280" w:hanging="1800"/>
      </w:pPr>
      <w:rPr>
        <w:rFonts w:hint="default"/>
      </w:rPr>
    </w:lvl>
  </w:abstractNum>
  <w:abstractNum w:abstractNumId="208" w15:restartNumberingAfterBreak="0">
    <w:nsid w:val="527176BB"/>
    <w:multiLevelType w:val="multilevel"/>
    <w:tmpl w:val="5DDE7DD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9" w15:restartNumberingAfterBreak="0">
    <w:nsid w:val="527526FF"/>
    <w:multiLevelType w:val="hybridMultilevel"/>
    <w:tmpl w:val="362CA1E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0" w15:restartNumberingAfterBreak="0">
    <w:nsid w:val="52A72240"/>
    <w:multiLevelType w:val="hybridMultilevel"/>
    <w:tmpl w:val="376EE23E"/>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1" w15:restartNumberingAfterBreak="0">
    <w:nsid w:val="53442DC7"/>
    <w:multiLevelType w:val="multilevel"/>
    <w:tmpl w:val="70AAB71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2" w15:restartNumberingAfterBreak="0">
    <w:nsid w:val="53650E58"/>
    <w:multiLevelType w:val="hybridMultilevel"/>
    <w:tmpl w:val="F790069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0F">
      <w:start w:val="1"/>
      <w:numFmt w:val="decimal"/>
      <w:lvlText w:val="%3."/>
      <w:lvlJc w:val="lef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3" w15:restartNumberingAfterBreak="0">
    <w:nsid w:val="539664B3"/>
    <w:multiLevelType w:val="hybridMultilevel"/>
    <w:tmpl w:val="C8D66F7C"/>
    <w:lvl w:ilvl="0" w:tplc="9DB6B77C">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214" w15:restartNumberingAfterBreak="0">
    <w:nsid w:val="53DC7372"/>
    <w:multiLevelType w:val="hybridMultilevel"/>
    <w:tmpl w:val="F8C6661A"/>
    <w:lvl w:ilvl="0" w:tplc="AC14F3FE">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215" w15:restartNumberingAfterBreak="0">
    <w:nsid w:val="53F51A87"/>
    <w:multiLevelType w:val="hybridMultilevel"/>
    <w:tmpl w:val="BFD61CE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6" w15:restartNumberingAfterBreak="0">
    <w:nsid w:val="542F5F24"/>
    <w:multiLevelType w:val="hybridMultilevel"/>
    <w:tmpl w:val="9304A5FA"/>
    <w:lvl w:ilvl="0" w:tplc="7794FAE4">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217" w15:restartNumberingAfterBreak="0">
    <w:nsid w:val="546447B4"/>
    <w:multiLevelType w:val="hybridMultilevel"/>
    <w:tmpl w:val="92B0F364"/>
    <w:lvl w:ilvl="0" w:tplc="DE725FC6">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218" w15:restartNumberingAfterBreak="0">
    <w:nsid w:val="546C7EA6"/>
    <w:multiLevelType w:val="hybridMultilevel"/>
    <w:tmpl w:val="4A5E5934"/>
    <w:lvl w:ilvl="0" w:tplc="11122010">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219" w15:restartNumberingAfterBreak="0">
    <w:nsid w:val="54EC2867"/>
    <w:multiLevelType w:val="multilevel"/>
    <w:tmpl w:val="3192178E"/>
    <w:lvl w:ilvl="0">
      <w:start w:val="1"/>
      <w:numFmt w:val="decimal"/>
      <w:lvlText w:val="%1."/>
      <w:lvlJc w:val="left"/>
      <w:pPr>
        <w:ind w:left="1065" w:hanging="360"/>
      </w:pPr>
      <w:rPr>
        <w:rFonts w:hint="default"/>
      </w:rPr>
    </w:lvl>
    <w:lvl w:ilvl="1">
      <w:start w:val="10"/>
      <w:numFmt w:val="decimal"/>
      <w:isLgl/>
      <w:lvlText w:val="%1.%2."/>
      <w:lvlJc w:val="left"/>
      <w:pPr>
        <w:ind w:left="1427"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3" w:hanging="1080"/>
      </w:pPr>
      <w:rPr>
        <w:rFonts w:hint="default"/>
      </w:rPr>
    </w:lvl>
    <w:lvl w:ilvl="5">
      <w:start w:val="1"/>
      <w:numFmt w:val="decimal"/>
      <w:isLgl/>
      <w:lvlText w:val="%1.%2.%3.%4.%5.%6."/>
      <w:lvlJc w:val="left"/>
      <w:pPr>
        <w:ind w:left="2155" w:hanging="144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519" w:hanging="1800"/>
      </w:pPr>
      <w:rPr>
        <w:rFonts w:hint="default"/>
      </w:rPr>
    </w:lvl>
    <w:lvl w:ilvl="8">
      <w:start w:val="1"/>
      <w:numFmt w:val="decimal"/>
      <w:isLgl/>
      <w:lvlText w:val="%1.%2.%3.%4.%5.%6.%7.%8.%9."/>
      <w:lvlJc w:val="left"/>
      <w:pPr>
        <w:ind w:left="2521" w:hanging="1800"/>
      </w:pPr>
      <w:rPr>
        <w:rFonts w:hint="default"/>
      </w:rPr>
    </w:lvl>
  </w:abstractNum>
  <w:abstractNum w:abstractNumId="220" w15:restartNumberingAfterBreak="0">
    <w:nsid w:val="55445074"/>
    <w:multiLevelType w:val="hybridMultilevel"/>
    <w:tmpl w:val="B704B41A"/>
    <w:lvl w:ilvl="0" w:tplc="E646C642">
      <w:start w:val="1"/>
      <w:numFmt w:val="lowerRoman"/>
      <w:lvlText w:val="%1)"/>
      <w:lvlJc w:val="left"/>
      <w:pPr>
        <w:ind w:left="1287" w:hanging="360"/>
      </w:pPr>
      <w:rPr>
        <w:rFonts w:ascii="Arial" w:eastAsia="Times New Roman" w:hAnsi="Arial" w:cs="Arial"/>
        <w:b w:val="0"/>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21" w15:restartNumberingAfterBreak="0">
    <w:nsid w:val="56011BCB"/>
    <w:multiLevelType w:val="hybridMultilevel"/>
    <w:tmpl w:val="EBDCF284"/>
    <w:lvl w:ilvl="0" w:tplc="DFF8D024">
      <w:numFmt w:val="bullet"/>
      <w:lvlText w:val="-"/>
      <w:lvlJc w:val="left"/>
      <w:pPr>
        <w:ind w:left="720" w:hanging="360"/>
      </w:pPr>
      <w:rPr>
        <w:rFonts w:ascii="Arial" w:eastAsia="Calibri" w:hAnsi="Arial" w:cs="Arial"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2" w15:restartNumberingAfterBreak="0">
    <w:nsid w:val="56566FE3"/>
    <w:multiLevelType w:val="hybridMultilevel"/>
    <w:tmpl w:val="68562B36"/>
    <w:lvl w:ilvl="0" w:tplc="280A0001">
      <w:start w:val="1"/>
      <w:numFmt w:val="bullet"/>
      <w:lvlText w:val=""/>
      <w:lvlJc w:val="left"/>
      <w:pPr>
        <w:ind w:left="2313" w:hanging="360"/>
      </w:pPr>
      <w:rPr>
        <w:rFonts w:ascii="Symbol" w:hAnsi="Symbol" w:hint="default"/>
      </w:rPr>
    </w:lvl>
    <w:lvl w:ilvl="1" w:tplc="280A0019" w:tentative="1">
      <w:start w:val="1"/>
      <w:numFmt w:val="lowerLetter"/>
      <w:lvlText w:val="%2."/>
      <w:lvlJc w:val="left"/>
      <w:pPr>
        <w:ind w:left="3033" w:hanging="360"/>
      </w:pPr>
    </w:lvl>
    <w:lvl w:ilvl="2" w:tplc="280A001B" w:tentative="1">
      <w:start w:val="1"/>
      <w:numFmt w:val="lowerRoman"/>
      <w:lvlText w:val="%3."/>
      <w:lvlJc w:val="right"/>
      <w:pPr>
        <w:ind w:left="3753" w:hanging="180"/>
      </w:pPr>
    </w:lvl>
    <w:lvl w:ilvl="3" w:tplc="280A000F" w:tentative="1">
      <w:start w:val="1"/>
      <w:numFmt w:val="decimal"/>
      <w:lvlText w:val="%4."/>
      <w:lvlJc w:val="left"/>
      <w:pPr>
        <w:ind w:left="4473" w:hanging="360"/>
      </w:pPr>
    </w:lvl>
    <w:lvl w:ilvl="4" w:tplc="280A0019" w:tentative="1">
      <w:start w:val="1"/>
      <w:numFmt w:val="lowerLetter"/>
      <w:lvlText w:val="%5."/>
      <w:lvlJc w:val="left"/>
      <w:pPr>
        <w:ind w:left="5193" w:hanging="360"/>
      </w:pPr>
    </w:lvl>
    <w:lvl w:ilvl="5" w:tplc="280A001B" w:tentative="1">
      <w:start w:val="1"/>
      <w:numFmt w:val="lowerRoman"/>
      <w:lvlText w:val="%6."/>
      <w:lvlJc w:val="right"/>
      <w:pPr>
        <w:ind w:left="5913" w:hanging="180"/>
      </w:pPr>
    </w:lvl>
    <w:lvl w:ilvl="6" w:tplc="280A000F" w:tentative="1">
      <w:start w:val="1"/>
      <w:numFmt w:val="decimal"/>
      <w:lvlText w:val="%7."/>
      <w:lvlJc w:val="left"/>
      <w:pPr>
        <w:ind w:left="6633" w:hanging="360"/>
      </w:pPr>
    </w:lvl>
    <w:lvl w:ilvl="7" w:tplc="280A0019" w:tentative="1">
      <w:start w:val="1"/>
      <w:numFmt w:val="lowerLetter"/>
      <w:lvlText w:val="%8."/>
      <w:lvlJc w:val="left"/>
      <w:pPr>
        <w:ind w:left="7353" w:hanging="360"/>
      </w:pPr>
    </w:lvl>
    <w:lvl w:ilvl="8" w:tplc="280A001B" w:tentative="1">
      <w:start w:val="1"/>
      <w:numFmt w:val="lowerRoman"/>
      <w:lvlText w:val="%9."/>
      <w:lvlJc w:val="right"/>
      <w:pPr>
        <w:ind w:left="8073" w:hanging="180"/>
      </w:pPr>
    </w:lvl>
  </w:abstractNum>
  <w:abstractNum w:abstractNumId="223" w15:restartNumberingAfterBreak="0">
    <w:nsid w:val="56B05F52"/>
    <w:multiLevelType w:val="hybridMultilevel"/>
    <w:tmpl w:val="17D216A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4" w15:restartNumberingAfterBreak="0">
    <w:nsid w:val="57021DC3"/>
    <w:multiLevelType w:val="hybridMultilevel"/>
    <w:tmpl w:val="02B4269E"/>
    <w:lvl w:ilvl="0" w:tplc="852EDFD8">
      <w:start w:val="3"/>
      <w:numFmt w:val="bullet"/>
      <w:lvlText w:val="-"/>
      <w:lvlJc w:val="left"/>
      <w:pPr>
        <w:ind w:left="1080" w:hanging="360"/>
      </w:pPr>
      <w:rPr>
        <w:rFonts w:ascii="Arial" w:eastAsia="Times New Roman" w:hAnsi="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5" w15:restartNumberingAfterBreak="0">
    <w:nsid w:val="57785622"/>
    <w:multiLevelType w:val="hybridMultilevel"/>
    <w:tmpl w:val="AA5C2992"/>
    <w:lvl w:ilvl="0" w:tplc="280A0017">
      <w:start w:val="1"/>
      <w:numFmt w:val="lowerLetter"/>
      <w:lvlText w:val="%1)"/>
      <w:lvlJc w:val="left"/>
      <w:pPr>
        <w:ind w:left="1062" w:hanging="360"/>
      </w:pPr>
      <w:rPr>
        <w:rFonts w:hint="default"/>
      </w:rPr>
    </w:lvl>
    <w:lvl w:ilvl="1" w:tplc="280A0019" w:tentative="1">
      <w:start w:val="1"/>
      <w:numFmt w:val="lowerLetter"/>
      <w:lvlText w:val="%2."/>
      <w:lvlJc w:val="left"/>
      <w:pPr>
        <w:ind w:left="1782" w:hanging="360"/>
      </w:pPr>
    </w:lvl>
    <w:lvl w:ilvl="2" w:tplc="280A001B" w:tentative="1">
      <w:start w:val="1"/>
      <w:numFmt w:val="lowerRoman"/>
      <w:lvlText w:val="%3."/>
      <w:lvlJc w:val="right"/>
      <w:pPr>
        <w:ind w:left="2502" w:hanging="180"/>
      </w:pPr>
    </w:lvl>
    <w:lvl w:ilvl="3" w:tplc="280A000F" w:tentative="1">
      <w:start w:val="1"/>
      <w:numFmt w:val="decimal"/>
      <w:lvlText w:val="%4."/>
      <w:lvlJc w:val="left"/>
      <w:pPr>
        <w:ind w:left="3222" w:hanging="360"/>
      </w:pPr>
    </w:lvl>
    <w:lvl w:ilvl="4" w:tplc="280A0019" w:tentative="1">
      <w:start w:val="1"/>
      <w:numFmt w:val="lowerLetter"/>
      <w:lvlText w:val="%5."/>
      <w:lvlJc w:val="left"/>
      <w:pPr>
        <w:ind w:left="3942" w:hanging="360"/>
      </w:pPr>
    </w:lvl>
    <w:lvl w:ilvl="5" w:tplc="280A001B" w:tentative="1">
      <w:start w:val="1"/>
      <w:numFmt w:val="lowerRoman"/>
      <w:lvlText w:val="%6."/>
      <w:lvlJc w:val="right"/>
      <w:pPr>
        <w:ind w:left="4662" w:hanging="180"/>
      </w:pPr>
    </w:lvl>
    <w:lvl w:ilvl="6" w:tplc="280A000F" w:tentative="1">
      <w:start w:val="1"/>
      <w:numFmt w:val="decimal"/>
      <w:lvlText w:val="%7."/>
      <w:lvlJc w:val="left"/>
      <w:pPr>
        <w:ind w:left="5382" w:hanging="360"/>
      </w:pPr>
    </w:lvl>
    <w:lvl w:ilvl="7" w:tplc="280A0019" w:tentative="1">
      <w:start w:val="1"/>
      <w:numFmt w:val="lowerLetter"/>
      <w:lvlText w:val="%8."/>
      <w:lvlJc w:val="left"/>
      <w:pPr>
        <w:ind w:left="6102" w:hanging="360"/>
      </w:pPr>
    </w:lvl>
    <w:lvl w:ilvl="8" w:tplc="280A001B" w:tentative="1">
      <w:start w:val="1"/>
      <w:numFmt w:val="lowerRoman"/>
      <w:lvlText w:val="%9."/>
      <w:lvlJc w:val="right"/>
      <w:pPr>
        <w:ind w:left="6822" w:hanging="180"/>
      </w:pPr>
    </w:lvl>
  </w:abstractNum>
  <w:abstractNum w:abstractNumId="226" w15:restartNumberingAfterBreak="0">
    <w:nsid w:val="57C14774"/>
    <w:multiLevelType w:val="multilevel"/>
    <w:tmpl w:val="BE4014EC"/>
    <w:lvl w:ilvl="0">
      <w:start w:val="2"/>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27" w15:restartNumberingAfterBreak="0">
    <w:nsid w:val="57F50D84"/>
    <w:multiLevelType w:val="hybridMultilevel"/>
    <w:tmpl w:val="143EE2E2"/>
    <w:lvl w:ilvl="0" w:tplc="B37C4BB8">
      <w:start w:val="1"/>
      <w:numFmt w:val="decimal"/>
      <w:pStyle w:val="Pri22"/>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228" w15:restartNumberingAfterBreak="0">
    <w:nsid w:val="57FA4AD2"/>
    <w:multiLevelType w:val="hybridMultilevel"/>
    <w:tmpl w:val="3740E9A8"/>
    <w:lvl w:ilvl="0" w:tplc="621C4C6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9" w15:restartNumberingAfterBreak="0">
    <w:nsid w:val="5812663E"/>
    <w:multiLevelType w:val="hybridMultilevel"/>
    <w:tmpl w:val="32BCB2BE"/>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0" w15:restartNumberingAfterBreak="0">
    <w:nsid w:val="5876663C"/>
    <w:multiLevelType w:val="multilevel"/>
    <w:tmpl w:val="38D21D14"/>
    <w:lvl w:ilvl="0">
      <w:start w:val="6"/>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1" w15:restartNumberingAfterBreak="0">
    <w:nsid w:val="588F3F67"/>
    <w:multiLevelType w:val="hybridMultilevel"/>
    <w:tmpl w:val="34CE4AB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2" w15:restartNumberingAfterBreak="0">
    <w:nsid w:val="59735765"/>
    <w:multiLevelType w:val="hybridMultilevel"/>
    <w:tmpl w:val="4476CBA6"/>
    <w:lvl w:ilvl="0" w:tplc="2C261256">
      <w:start w:val="1"/>
      <w:numFmt w:val="decimal"/>
      <w:lvlText w:val="%1."/>
      <w:lvlJc w:val="left"/>
      <w:pPr>
        <w:ind w:left="360" w:hanging="360"/>
      </w:pPr>
      <w:rPr>
        <w:rFonts w:cs="Times New Roman" w:hint="default"/>
        <w:sz w:val="18"/>
      </w:rPr>
    </w:lvl>
    <w:lvl w:ilvl="1" w:tplc="0C0A0019">
      <w:start w:val="1"/>
      <w:numFmt w:val="lowerLetter"/>
      <w:lvlText w:val="%2."/>
      <w:lvlJc w:val="left"/>
      <w:pPr>
        <w:ind w:left="1080" w:hanging="360"/>
      </w:pPr>
      <w:rPr>
        <w:rFonts w:cs="Times New Roman"/>
      </w:rPr>
    </w:lvl>
    <w:lvl w:ilvl="2" w:tplc="16E48D94">
      <w:start w:val="1"/>
      <w:numFmt w:val="lowerLetter"/>
      <w:lvlText w:val="%3)"/>
      <w:lvlJc w:val="left"/>
      <w:pPr>
        <w:ind w:left="1980" w:hanging="360"/>
      </w:pPr>
      <w:rPr>
        <w:rFonts w:hint="default"/>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33" w15:restartNumberingAfterBreak="0">
    <w:nsid w:val="59AD0629"/>
    <w:multiLevelType w:val="multilevel"/>
    <w:tmpl w:val="450A2666"/>
    <w:lvl w:ilvl="0">
      <w:start w:val="6"/>
      <w:numFmt w:val="upperRoman"/>
      <w:lvlText w:val="%1."/>
      <w:lvlJc w:val="left"/>
      <w:pPr>
        <w:ind w:left="777" w:hanging="720"/>
      </w:pPr>
      <w:rPr>
        <w:rFonts w:hint="default"/>
      </w:rPr>
    </w:lvl>
    <w:lvl w:ilvl="1">
      <w:start w:val="1"/>
      <w:numFmt w:val="decimal"/>
      <w:isLgl/>
      <w:lvlText w:val="%1.%2"/>
      <w:lvlJc w:val="left"/>
      <w:pPr>
        <w:ind w:left="702" w:hanging="645"/>
      </w:pPr>
      <w:rPr>
        <w:rFonts w:hint="default"/>
        <w:b/>
      </w:rPr>
    </w:lvl>
    <w:lvl w:ilvl="2">
      <w:start w:val="1"/>
      <w:numFmt w:val="decimal"/>
      <w:isLgl/>
      <w:lvlText w:val="%1.%2.%3"/>
      <w:lvlJc w:val="left"/>
      <w:pPr>
        <w:ind w:left="777" w:hanging="720"/>
      </w:pPr>
      <w:rPr>
        <w:rFonts w:hint="default"/>
        <w:b/>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234" w15:restartNumberingAfterBreak="0">
    <w:nsid w:val="5AB3454E"/>
    <w:multiLevelType w:val="hybridMultilevel"/>
    <w:tmpl w:val="008C7512"/>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5" w15:restartNumberingAfterBreak="0">
    <w:nsid w:val="5AB76862"/>
    <w:multiLevelType w:val="hybridMultilevel"/>
    <w:tmpl w:val="FF0AE28E"/>
    <w:lvl w:ilvl="0" w:tplc="49244A82">
      <w:start w:val="1"/>
      <w:numFmt w:val="lowerLetter"/>
      <w:lvlText w:val="%1)"/>
      <w:lvlJc w:val="left"/>
      <w:pPr>
        <w:ind w:left="1065" w:hanging="360"/>
      </w:pPr>
      <w:rPr>
        <w:rFonts w:hint="default"/>
      </w:rPr>
    </w:lvl>
    <w:lvl w:ilvl="1" w:tplc="1BA4B466">
      <w:start w:val="1"/>
      <w:numFmt w:val="decimal"/>
      <w:lvlText w:val="%2)"/>
      <w:lvlJc w:val="left"/>
      <w:pPr>
        <w:ind w:left="1785" w:hanging="360"/>
      </w:pPr>
      <w:rPr>
        <w:rFonts w:hint="default"/>
      </w:r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236" w15:restartNumberingAfterBreak="0">
    <w:nsid w:val="5AC04BB1"/>
    <w:multiLevelType w:val="hybridMultilevel"/>
    <w:tmpl w:val="79449450"/>
    <w:lvl w:ilvl="0" w:tplc="EB6AFD3C">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237" w15:restartNumberingAfterBreak="0">
    <w:nsid w:val="5B4404AA"/>
    <w:multiLevelType w:val="hybridMultilevel"/>
    <w:tmpl w:val="8C648456"/>
    <w:lvl w:ilvl="0" w:tplc="0C0A0019">
      <w:start w:val="1"/>
      <w:numFmt w:val="lowerLetter"/>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63AA02E4">
      <w:start w:val="1"/>
      <w:numFmt w:val="lowerLetter"/>
      <w:lvlText w:val="%3)"/>
      <w:lvlJc w:val="left"/>
      <w:pPr>
        <w:ind w:left="2340" w:hanging="360"/>
      </w:pPr>
      <w:rPr>
        <w:rFonts w:hint="default"/>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8" w15:restartNumberingAfterBreak="0">
    <w:nsid w:val="5C2C3C13"/>
    <w:multiLevelType w:val="multilevel"/>
    <w:tmpl w:val="28C09D8E"/>
    <w:lvl w:ilvl="0">
      <w:start w:val="1"/>
      <w:numFmt w:val="decimal"/>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4920" w:hanging="1800"/>
      </w:pPr>
      <w:rPr>
        <w:rFonts w:hint="default"/>
      </w:rPr>
    </w:lvl>
  </w:abstractNum>
  <w:abstractNum w:abstractNumId="239" w15:restartNumberingAfterBreak="0">
    <w:nsid w:val="5CCE1CA0"/>
    <w:multiLevelType w:val="hybridMultilevel"/>
    <w:tmpl w:val="90C42A10"/>
    <w:lvl w:ilvl="0" w:tplc="0C0A0019">
      <w:start w:val="1"/>
      <w:numFmt w:val="lowerLetter"/>
      <w:lvlText w:val="%1."/>
      <w:lvlJc w:val="left"/>
      <w:pPr>
        <w:ind w:left="720" w:hanging="360"/>
      </w:pPr>
      <w:rPr>
        <w:rFonts w:cs="Times New Roman"/>
      </w:rPr>
    </w:lvl>
    <w:lvl w:ilvl="1" w:tplc="0096C1B4">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40" w15:restartNumberingAfterBreak="0">
    <w:nsid w:val="5D235577"/>
    <w:multiLevelType w:val="multilevel"/>
    <w:tmpl w:val="F4CE3158"/>
    <w:lvl w:ilvl="0">
      <w:start w:val="30"/>
      <w:numFmt w:val="decimal"/>
      <w:lvlText w:val="%1"/>
      <w:lvlJc w:val="left"/>
      <w:pPr>
        <w:ind w:left="420" w:hanging="420"/>
      </w:pPr>
      <w:rPr>
        <w:rFonts w:hint="default"/>
      </w:rPr>
    </w:lvl>
    <w:lvl w:ilvl="1">
      <w:start w:val="1"/>
      <w:numFmt w:val="decimal"/>
      <w:lvlText w:val="%1.%2"/>
      <w:lvlJc w:val="left"/>
      <w:pPr>
        <w:ind w:left="2760" w:hanging="42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241" w15:restartNumberingAfterBreak="0">
    <w:nsid w:val="5D3927F3"/>
    <w:multiLevelType w:val="multilevel"/>
    <w:tmpl w:val="BE76429E"/>
    <w:lvl w:ilvl="0">
      <w:start w:val="8"/>
      <w:numFmt w:val="decimal"/>
      <w:lvlText w:val="%1"/>
      <w:lvlJc w:val="left"/>
      <w:pPr>
        <w:ind w:left="360" w:hanging="360"/>
      </w:pPr>
      <w:rPr>
        <w:rFonts w:hint="default"/>
      </w:rPr>
    </w:lvl>
    <w:lvl w:ilvl="1">
      <w:start w:val="1"/>
      <w:numFmt w:val="decimal"/>
      <w:lvlText w:val="%1.%2"/>
      <w:lvlJc w:val="left"/>
      <w:pPr>
        <w:ind w:left="3045" w:hanging="360"/>
      </w:pPr>
      <w:rPr>
        <w:rFonts w:hint="default"/>
      </w:rPr>
    </w:lvl>
    <w:lvl w:ilvl="2">
      <w:start w:val="1"/>
      <w:numFmt w:val="decimal"/>
      <w:lvlText w:val="%1.%2.%3"/>
      <w:lvlJc w:val="left"/>
      <w:pPr>
        <w:ind w:left="6090" w:hanging="720"/>
      </w:pPr>
      <w:rPr>
        <w:rFonts w:hint="default"/>
      </w:rPr>
    </w:lvl>
    <w:lvl w:ilvl="3">
      <w:start w:val="1"/>
      <w:numFmt w:val="decimal"/>
      <w:lvlText w:val="%1.%2.%3.%4"/>
      <w:lvlJc w:val="left"/>
      <w:pPr>
        <w:ind w:left="8775" w:hanging="720"/>
      </w:pPr>
      <w:rPr>
        <w:rFonts w:hint="default"/>
      </w:rPr>
    </w:lvl>
    <w:lvl w:ilvl="4">
      <w:start w:val="1"/>
      <w:numFmt w:val="decimal"/>
      <w:lvlText w:val="%1.%2.%3.%4.%5"/>
      <w:lvlJc w:val="left"/>
      <w:pPr>
        <w:ind w:left="11820" w:hanging="1080"/>
      </w:pPr>
      <w:rPr>
        <w:rFonts w:hint="default"/>
      </w:rPr>
    </w:lvl>
    <w:lvl w:ilvl="5">
      <w:start w:val="1"/>
      <w:numFmt w:val="decimal"/>
      <w:lvlText w:val="%1.%2.%3.%4.%5.%6"/>
      <w:lvlJc w:val="left"/>
      <w:pPr>
        <w:ind w:left="14505" w:hanging="1080"/>
      </w:pPr>
      <w:rPr>
        <w:rFonts w:hint="default"/>
      </w:rPr>
    </w:lvl>
    <w:lvl w:ilvl="6">
      <w:start w:val="1"/>
      <w:numFmt w:val="decimal"/>
      <w:lvlText w:val="%1.%2.%3.%4.%5.%6.%7"/>
      <w:lvlJc w:val="left"/>
      <w:pPr>
        <w:ind w:left="17550" w:hanging="1440"/>
      </w:pPr>
      <w:rPr>
        <w:rFonts w:hint="default"/>
      </w:rPr>
    </w:lvl>
    <w:lvl w:ilvl="7">
      <w:start w:val="1"/>
      <w:numFmt w:val="decimal"/>
      <w:lvlText w:val="%1.%2.%3.%4.%5.%6.%7.%8"/>
      <w:lvlJc w:val="left"/>
      <w:pPr>
        <w:ind w:left="20235" w:hanging="1440"/>
      </w:pPr>
      <w:rPr>
        <w:rFonts w:hint="default"/>
      </w:rPr>
    </w:lvl>
    <w:lvl w:ilvl="8">
      <w:start w:val="1"/>
      <w:numFmt w:val="decimal"/>
      <w:lvlText w:val="%1.%2.%3.%4.%5.%6.%7.%8.%9"/>
      <w:lvlJc w:val="left"/>
      <w:pPr>
        <w:ind w:left="23280" w:hanging="1800"/>
      </w:pPr>
      <w:rPr>
        <w:rFonts w:hint="default"/>
      </w:rPr>
    </w:lvl>
  </w:abstractNum>
  <w:abstractNum w:abstractNumId="242" w15:restartNumberingAfterBreak="0">
    <w:nsid w:val="5D69514B"/>
    <w:multiLevelType w:val="hybridMultilevel"/>
    <w:tmpl w:val="438CCDC4"/>
    <w:lvl w:ilvl="0" w:tplc="FD24E498">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243" w15:restartNumberingAfterBreak="0">
    <w:nsid w:val="5D8454DB"/>
    <w:multiLevelType w:val="multilevel"/>
    <w:tmpl w:val="4B207BE6"/>
    <w:lvl w:ilvl="0">
      <w:start w:val="38"/>
      <w:numFmt w:val="decimal"/>
      <w:lvlText w:val="%1"/>
      <w:lvlJc w:val="left"/>
      <w:pPr>
        <w:ind w:left="420" w:hanging="420"/>
      </w:pPr>
      <w:rPr>
        <w:rFonts w:hint="default"/>
      </w:rPr>
    </w:lvl>
    <w:lvl w:ilvl="1">
      <w:start w:val="1"/>
      <w:numFmt w:val="decimal"/>
      <w:lvlText w:val="%1.%2"/>
      <w:lvlJc w:val="left"/>
      <w:pPr>
        <w:ind w:left="2760" w:hanging="42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244" w15:restartNumberingAfterBreak="0">
    <w:nsid w:val="5E1752B3"/>
    <w:multiLevelType w:val="hybridMultilevel"/>
    <w:tmpl w:val="AA56568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5" w15:restartNumberingAfterBreak="0">
    <w:nsid w:val="5E344D11"/>
    <w:multiLevelType w:val="hybridMultilevel"/>
    <w:tmpl w:val="B5DEB756"/>
    <w:lvl w:ilvl="0" w:tplc="F31E75AA">
      <w:start w:val="1"/>
      <w:numFmt w:val="bullet"/>
      <w:lvlText w:val=""/>
      <w:lvlJc w:val="left"/>
      <w:pPr>
        <w:ind w:left="720" w:hanging="360"/>
      </w:pPr>
      <w:rPr>
        <w:rFonts w:ascii="Wingdings" w:hAnsi="Wingdings" w:hint="default"/>
        <w:b/>
        <w:color w:val="525252" w:themeColor="accent3" w:themeShade="80"/>
        <w:sz w:val="16"/>
        <w:szCs w:val="16"/>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6" w15:restartNumberingAfterBreak="0">
    <w:nsid w:val="5F477BBC"/>
    <w:multiLevelType w:val="hybridMultilevel"/>
    <w:tmpl w:val="2EFA967C"/>
    <w:lvl w:ilvl="0" w:tplc="0C0A000F">
      <w:start w:val="1"/>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86C0E5EA">
      <w:start w:val="1"/>
      <w:numFmt w:val="lowerLetter"/>
      <w:lvlText w:val="%3)"/>
      <w:lvlJc w:val="left"/>
      <w:pPr>
        <w:ind w:left="2340" w:hanging="360"/>
      </w:pPr>
      <w:rPr>
        <w:rFonts w:hint="default"/>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47" w15:restartNumberingAfterBreak="0">
    <w:nsid w:val="5FB56E29"/>
    <w:multiLevelType w:val="hybridMultilevel"/>
    <w:tmpl w:val="7A244086"/>
    <w:lvl w:ilvl="0" w:tplc="280A0017">
      <w:start w:val="1"/>
      <w:numFmt w:val="lowerLetter"/>
      <w:lvlText w:val="%1)"/>
      <w:lvlJc w:val="left"/>
      <w:pPr>
        <w:ind w:left="2313" w:hanging="360"/>
      </w:pPr>
    </w:lvl>
    <w:lvl w:ilvl="1" w:tplc="280A0019" w:tentative="1">
      <w:start w:val="1"/>
      <w:numFmt w:val="lowerLetter"/>
      <w:lvlText w:val="%2."/>
      <w:lvlJc w:val="left"/>
      <w:pPr>
        <w:ind w:left="3033" w:hanging="360"/>
      </w:pPr>
    </w:lvl>
    <w:lvl w:ilvl="2" w:tplc="280A001B" w:tentative="1">
      <w:start w:val="1"/>
      <w:numFmt w:val="lowerRoman"/>
      <w:lvlText w:val="%3."/>
      <w:lvlJc w:val="right"/>
      <w:pPr>
        <w:ind w:left="3753" w:hanging="180"/>
      </w:pPr>
    </w:lvl>
    <w:lvl w:ilvl="3" w:tplc="280A000F" w:tentative="1">
      <w:start w:val="1"/>
      <w:numFmt w:val="decimal"/>
      <w:lvlText w:val="%4."/>
      <w:lvlJc w:val="left"/>
      <w:pPr>
        <w:ind w:left="4473" w:hanging="360"/>
      </w:pPr>
    </w:lvl>
    <w:lvl w:ilvl="4" w:tplc="280A0019" w:tentative="1">
      <w:start w:val="1"/>
      <w:numFmt w:val="lowerLetter"/>
      <w:lvlText w:val="%5."/>
      <w:lvlJc w:val="left"/>
      <w:pPr>
        <w:ind w:left="5193" w:hanging="360"/>
      </w:pPr>
    </w:lvl>
    <w:lvl w:ilvl="5" w:tplc="280A001B" w:tentative="1">
      <w:start w:val="1"/>
      <w:numFmt w:val="lowerRoman"/>
      <w:lvlText w:val="%6."/>
      <w:lvlJc w:val="right"/>
      <w:pPr>
        <w:ind w:left="5913" w:hanging="180"/>
      </w:pPr>
    </w:lvl>
    <w:lvl w:ilvl="6" w:tplc="280A000F" w:tentative="1">
      <w:start w:val="1"/>
      <w:numFmt w:val="decimal"/>
      <w:lvlText w:val="%7."/>
      <w:lvlJc w:val="left"/>
      <w:pPr>
        <w:ind w:left="6633" w:hanging="360"/>
      </w:pPr>
    </w:lvl>
    <w:lvl w:ilvl="7" w:tplc="280A0019" w:tentative="1">
      <w:start w:val="1"/>
      <w:numFmt w:val="lowerLetter"/>
      <w:lvlText w:val="%8."/>
      <w:lvlJc w:val="left"/>
      <w:pPr>
        <w:ind w:left="7353" w:hanging="360"/>
      </w:pPr>
    </w:lvl>
    <w:lvl w:ilvl="8" w:tplc="280A001B" w:tentative="1">
      <w:start w:val="1"/>
      <w:numFmt w:val="lowerRoman"/>
      <w:lvlText w:val="%9."/>
      <w:lvlJc w:val="right"/>
      <w:pPr>
        <w:ind w:left="8073" w:hanging="180"/>
      </w:pPr>
    </w:lvl>
  </w:abstractNum>
  <w:abstractNum w:abstractNumId="248" w15:restartNumberingAfterBreak="0">
    <w:nsid w:val="608A6AC7"/>
    <w:multiLevelType w:val="hybridMultilevel"/>
    <w:tmpl w:val="2EFABAA0"/>
    <w:lvl w:ilvl="0" w:tplc="9BB03586">
      <w:start w:val="1"/>
      <w:numFmt w:val="lowerLetter"/>
      <w:lvlText w:val="%1)"/>
      <w:lvlJc w:val="left"/>
      <w:pPr>
        <w:ind w:left="1353" w:hanging="360"/>
      </w:pPr>
      <w:rPr>
        <w:rFonts w:hint="default"/>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9" w15:restartNumberingAfterBreak="0">
    <w:nsid w:val="609579A6"/>
    <w:multiLevelType w:val="hybridMultilevel"/>
    <w:tmpl w:val="6BCCDDE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0" w15:restartNumberingAfterBreak="0">
    <w:nsid w:val="60A14D11"/>
    <w:multiLevelType w:val="multilevel"/>
    <w:tmpl w:val="B9043E8E"/>
    <w:lvl w:ilvl="0">
      <w:start w:val="9"/>
      <w:numFmt w:val="decimal"/>
      <w:lvlText w:val="%1"/>
      <w:lvlJc w:val="left"/>
      <w:pPr>
        <w:ind w:left="360" w:hanging="360"/>
      </w:pPr>
      <w:rPr>
        <w:rFonts w:hint="default"/>
      </w:rPr>
    </w:lvl>
    <w:lvl w:ilvl="1">
      <w:start w:val="1"/>
      <w:numFmt w:val="decimal"/>
      <w:lvlText w:val="%1.%2"/>
      <w:lvlJc w:val="left"/>
      <w:pPr>
        <w:ind w:left="3045" w:hanging="360"/>
      </w:pPr>
      <w:rPr>
        <w:rFonts w:hint="default"/>
      </w:rPr>
    </w:lvl>
    <w:lvl w:ilvl="2">
      <w:start w:val="1"/>
      <w:numFmt w:val="decimal"/>
      <w:lvlText w:val="%1.%2.%3"/>
      <w:lvlJc w:val="left"/>
      <w:pPr>
        <w:ind w:left="6090" w:hanging="720"/>
      </w:pPr>
      <w:rPr>
        <w:rFonts w:hint="default"/>
      </w:rPr>
    </w:lvl>
    <w:lvl w:ilvl="3">
      <w:start w:val="1"/>
      <w:numFmt w:val="decimal"/>
      <w:lvlText w:val="%1.%2.%3.%4"/>
      <w:lvlJc w:val="left"/>
      <w:pPr>
        <w:ind w:left="8775" w:hanging="720"/>
      </w:pPr>
      <w:rPr>
        <w:rFonts w:hint="default"/>
      </w:rPr>
    </w:lvl>
    <w:lvl w:ilvl="4">
      <w:start w:val="1"/>
      <w:numFmt w:val="decimal"/>
      <w:lvlText w:val="%1.%2.%3.%4.%5"/>
      <w:lvlJc w:val="left"/>
      <w:pPr>
        <w:ind w:left="11820" w:hanging="1080"/>
      </w:pPr>
      <w:rPr>
        <w:rFonts w:hint="default"/>
      </w:rPr>
    </w:lvl>
    <w:lvl w:ilvl="5">
      <w:start w:val="1"/>
      <w:numFmt w:val="decimal"/>
      <w:lvlText w:val="%1.%2.%3.%4.%5.%6"/>
      <w:lvlJc w:val="left"/>
      <w:pPr>
        <w:ind w:left="14505" w:hanging="1080"/>
      </w:pPr>
      <w:rPr>
        <w:rFonts w:hint="default"/>
      </w:rPr>
    </w:lvl>
    <w:lvl w:ilvl="6">
      <w:start w:val="1"/>
      <w:numFmt w:val="decimal"/>
      <w:lvlText w:val="%1.%2.%3.%4.%5.%6.%7"/>
      <w:lvlJc w:val="left"/>
      <w:pPr>
        <w:ind w:left="17550" w:hanging="1440"/>
      </w:pPr>
      <w:rPr>
        <w:rFonts w:hint="default"/>
      </w:rPr>
    </w:lvl>
    <w:lvl w:ilvl="7">
      <w:start w:val="1"/>
      <w:numFmt w:val="decimal"/>
      <w:lvlText w:val="%1.%2.%3.%4.%5.%6.%7.%8"/>
      <w:lvlJc w:val="left"/>
      <w:pPr>
        <w:ind w:left="20235" w:hanging="1440"/>
      </w:pPr>
      <w:rPr>
        <w:rFonts w:hint="default"/>
      </w:rPr>
    </w:lvl>
    <w:lvl w:ilvl="8">
      <w:start w:val="1"/>
      <w:numFmt w:val="decimal"/>
      <w:lvlText w:val="%1.%2.%3.%4.%5.%6.%7.%8.%9"/>
      <w:lvlJc w:val="left"/>
      <w:pPr>
        <w:ind w:left="23280" w:hanging="1800"/>
      </w:pPr>
      <w:rPr>
        <w:rFonts w:hint="default"/>
      </w:rPr>
    </w:lvl>
  </w:abstractNum>
  <w:abstractNum w:abstractNumId="251" w15:restartNumberingAfterBreak="0">
    <w:nsid w:val="60B4331D"/>
    <w:multiLevelType w:val="hybridMultilevel"/>
    <w:tmpl w:val="520ACEBC"/>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2" w15:restartNumberingAfterBreak="0">
    <w:nsid w:val="60D16C40"/>
    <w:multiLevelType w:val="hybridMultilevel"/>
    <w:tmpl w:val="9A8C97E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3" w15:restartNumberingAfterBreak="0">
    <w:nsid w:val="60E27AA8"/>
    <w:multiLevelType w:val="hybridMultilevel"/>
    <w:tmpl w:val="9124845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4" w15:restartNumberingAfterBreak="0">
    <w:nsid w:val="61235029"/>
    <w:multiLevelType w:val="hybridMultilevel"/>
    <w:tmpl w:val="E904EAF8"/>
    <w:lvl w:ilvl="0" w:tplc="280A0017">
      <w:start w:val="1"/>
      <w:numFmt w:val="lowerLetter"/>
      <w:lvlText w:val="%1)"/>
      <w:lvlJc w:val="left"/>
      <w:pPr>
        <w:ind w:left="720" w:hanging="360"/>
      </w:pPr>
    </w:lvl>
    <w:lvl w:ilvl="1" w:tplc="280A0017">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5" w15:restartNumberingAfterBreak="0">
    <w:nsid w:val="6147384D"/>
    <w:multiLevelType w:val="hybridMultilevel"/>
    <w:tmpl w:val="4D9A80FA"/>
    <w:lvl w:ilvl="0" w:tplc="0C0A0017">
      <w:start w:val="1"/>
      <w:numFmt w:val="lowerLetter"/>
      <w:lvlText w:val="%1)"/>
      <w:lvlJc w:val="left"/>
      <w:pPr>
        <w:ind w:left="720" w:hanging="360"/>
      </w:pPr>
      <w:rPr>
        <w:rFonts w:cs="Times New Roman"/>
      </w:rPr>
    </w:lvl>
    <w:lvl w:ilvl="1" w:tplc="57BC3B86">
      <w:start w:val="1"/>
      <w:numFmt w:val="decimal"/>
      <w:lvlText w:val="%2."/>
      <w:lvlJc w:val="left"/>
      <w:pPr>
        <w:ind w:left="1440" w:hanging="360"/>
      </w:pPr>
      <w:rPr>
        <w:rFonts w:hint="default"/>
        <w:b w:val="0"/>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6" w15:restartNumberingAfterBreak="0">
    <w:nsid w:val="62EA08B4"/>
    <w:multiLevelType w:val="hybridMultilevel"/>
    <w:tmpl w:val="65EA4528"/>
    <w:lvl w:ilvl="0" w:tplc="12C42F76">
      <w:start w:val="1"/>
      <w:numFmt w:val="lowerLetter"/>
      <w:lvlText w:val="%1)"/>
      <w:lvlJc w:val="left"/>
      <w:pPr>
        <w:ind w:left="1095" w:hanging="390"/>
      </w:pPr>
      <w:rPr>
        <w:rFonts w:hint="default"/>
      </w:rPr>
    </w:lvl>
    <w:lvl w:ilvl="1" w:tplc="CC289286">
      <w:start w:val="4"/>
      <w:numFmt w:val="bullet"/>
      <w:lvlText w:val="-"/>
      <w:lvlJc w:val="left"/>
      <w:pPr>
        <w:ind w:left="1785" w:hanging="360"/>
      </w:pPr>
      <w:rPr>
        <w:rFonts w:ascii="Arial" w:eastAsiaTheme="minorHAnsi" w:hAnsi="Arial" w:cs="Arial" w:hint="default"/>
      </w:rPr>
    </w:lvl>
    <w:lvl w:ilvl="2" w:tplc="418A9FAE">
      <w:start w:val="1"/>
      <w:numFmt w:val="decimal"/>
      <w:lvlText w:val="%3."/>
      <w:lvlJc w:val="left"/>
      <w:pPr>
        <w:ind w:left="2685" w:hanging="360"/>
      </w:pPr>
      <w:rPr>
        <w:rFonts w:hint="default"/>
      </w:rPr>
    </w:lvl>
    <w:lvl w:ilvl="3" w:tplc="6226B806">
      <w:start w:val="1"/>
      <w:numFmt w:val="lowerLetter"/>
      <w:lvlText w:val="%4."/>
      <w:lvlJc w:val="left"/>
      <w:pPr>
        <w:ind w:left="3225" w:hanging="360"/>
      </w:pPr>
      <w:rPr>
        <w:rFonts w:hint="default"/>
      </w:r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257" w15:restartNumberingAfterBreak="0">
    <w:nsid w:val="634941D0"/>
    <w:multiLevelType w:val="hybridMultilevel"/>
    <w:tmpl w:val="8A381A80"/>
    <w:lvl w:ilvl="0" w:tplc="4DEA6184">
      <w:start w:val="3"/>
      <w:numFmt w:val="lowerLetter"/>
      <w:lvlText w:val="%1)"/>
      <w:lvlJc w:val="left"/>
      <w:pPr>
        <w:ind w:left="1046" w:hanging="360"/>
      </w:pPr>
      <w:rPr>
        <w:rFonts w:hint="default"/>
      </w:rPr>
    </w:lvl>
    <w:lvl w:ilvl="1" w:tplc="280A0019" w:tentative="1">
      <w:start w:val="1"/>
      <w:numFmt w:val="lowerLetter"/>
      <w:lvlText w:val="%2."/>
      <w:lvlJc w:val="left"/>
      <w:pPr>
        <w:ind w:left="1766" w:hanging="360"/>
      </w:pPr>
    </w:lvl>
    <w:lvl w:ilvl="2" w:tplc="280A001B" w:tentative="1">
      <w:start w:val="1"/>
      <w:numFmt w:val="lowerRoman"/>
      <w:lvlText w:val="%3."/>
      <w:lvlJc w:val="right"/>
      <w:pPr>
        <w:ind w:left="2486" w:hanging="180"/>
      </w:pPr>
    </w:lvl>
    <w:lvl w:ilvl="3" w:tplc="280A000F" w:tentative="1">
      <w:start w:val="1"/>
      <w:numFmt w:val="decimal"/>
      <w:lvlText w:val="%4."/>
      <w:lvlJc w:val="left"/>
      <w:pPr>
        <w:ind w:left="3206" w:hanging="360"/>
      </w:pPr>
    </w:lvl>
    <w:lvl w:ilvl="4" w:tplc="280A0019" w:tentative="1">
      <w:start w:val="1"/>
      <w:numFmt w:val="lowerLetter"/>
      <w:lvlText w:val="%5."/>
      <w:lvlJc w:val="left"/>
      <w:pPr>
        <w:ind w:left="3926" w:hanging="360"/>
      </w:pPr>
    </w:lvl>
    <w:lvl w:ilvl="5" w:tplc="280A001B" w:tentative="1">
      <w:start w:val="1"/>
      <w:numFmt w:val="lowerRoman"/>
      <w:lvlText w:val="%6."/>
      <w:lvlJc w:val="right"/>
      <w:pPr>
        <w:ind w:left="4646" w:hanging="180"/>
      </w:pPr>
    </w:lvl>
    <w:lvl w:ilvl="6" w:tplc="280A000F" w:tentative="1">
      <w:start w:val="1"/>
      <w:numFmt w:val="decimal"/>
      <w:lvlText w:val="%7."/>
      <w:lvlJc w:val="left"/>
      <w:pPr>
        <w:ind w:left="5366" w:hanging="360"/>
      </w:pPr>
    </w:lvl>
    <w:lvl w:ilvl="7" w:tplc="280A0019" w:tentative="1">
      <w:start w:val="1"/>
      <w:numFmt w:val="lowerLetter"/>
      <w:lvlText w:val="%8."/>
      <w:lvlJc w:val="left"/>
      <w:pPr>
        <w:ind w:left="6086" w:hanging="360"/>
      </w:pPr>
    </w:lvl>
    <w:lvl w:ilvl="8" w:tplc="280A001B" w:tentative="1">
      <w:start w:val="1"/>
      <w:numFmt w:val="lowerRoman"/>
      <w:lvlText w:val="%9."/>
      <w:lvlJc w:val="right"/>
      <w:pPr>
        <w:ind w:left="6806" w:hanging="180"/>
      </w:pPr>
    </w:lvl>
  </w:abstractNum>
  <w:abstractNum w:abstractNumId="258" w15:restartNumberingAfterBreak="0">
    <w:nsid w:val="63B97563"/>
    <w:multiLevelType w:val="hybridMultilevel"/>
    <w:tmpl w:val="36104FA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9" w15:restartNumberingAfterBreak="0">
    <w:nsid w:val="64042AD2"/>
    <w:multiLevelType w:val="multilevel"/>
    <w:tmpl w:val="756650A2"/>
    <w:lvl w:ilvl="0">
      <w:start w:val="1"/>
      <w:numFmt w:val="upperRoman"/>
      <w:lvlText w:val="%1."/>
      <w:lvlJc w:val="right"/>
      <w:pPr>
        <w:ind w:left="720" w:hanging="360"/>
      </w:pPr>
    </w:lvl>
    <w:lvl w:ilvl="1">
      <w:start w:val="1"/>
      <w:numFmt w:val="decimal"/>
      <w:isLgl/>
      <w:lvlText w:val="%1.%2"/>
      <w:lvlJc w:val="left"/>
      <w:pPr>
        <w:ind w:left="914" w:hanging="36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66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410" w:hanging="1080"/>
      </w:pPr>
      <w:rPr>
        <w:rFonts w:hint="default"/>
      </w:rPr>
    </w:lvl>
    <w:lvl w:ilvl="6">
      <w:start w:val="1"/>
      <w:numFmt w:val="decimal"/>
      <w:isLgl/>
      <w:lvlText w:val="%1.%2.%3.%4.%5.%6.%7"/>
      <w:lvlJc w:val="left"/>
      <w:pPr>
        <w:ind w:left="2964" w:hanging="1440"/>
      </w:pPr>
      <w:rPr>
        <w:rFonts w:hint="default"/>
      </w:rPr>
    </w:lvl>
    <w:lvl w:ilvl="7">
      <w:start w:val="1"/>
      <w:numFmt w:val="decimal"/>
      <w:isLgl/>
      <w:lvlText w:val="%1.%2.%3.%4.%5.%6.%7.%8"/>
      <w:lvlJc w:val="left"/>
      <w:pPr>
        <w:ind w:left="3158" w:hanging="1440"/>
      </w:pPr>
      <w:rPr>
        <w:rFonts w:hint="default"/>
      </w:rPr>
    </w:lvl>
    <w:lvl w:ilvl="8">
      <w:start w:val="1"/>
      <w:numFmt w:val="decimal"/>
      <w:isLgl/>
      <w:lvlText w:val="%1.%2.%3.%4.%5.%6.%7.%8.%9"/>
      <w:lvlJc w:val="left"/>
      <w:pPr>
        <w:ind w:left="3712" w:hanging="1800"/>
      </w:pPr>
      <w:rPr>
        <w:rFonts w:hint="default"/>
      </w:rPr>
    </w:lvl>
  </w:abstractNum>
  <w:abstractNum w:abstractNumId="260" w15:restartNumberingAfterBreak="0">
    <w:nsid w:val="6405727A"/>
    <w:multiLevelType w:val="hybridMultilevel"/>
    <w:tmpl w:val="F646A17A"/>
    <w:lvl w:ilvl="0" w:tplc="0C0A0019">
      <w:start w:val="1"/>
      <w:numFmt w:val="lowerLetter"/>
      <w:lvlText w:val="%1."/>
      <w:lvlJc w:val="left"/>
      <w:pPr>
        <w:ind w:left="1080" w:hanging="360"/>
      </w:pPr>
      <w:rPr>
        <w:rFonts w:cs="Times New Roman"/>
      </w:rPr>
    </w:lvl>
    <w:lvl w:ilvl="1" w:tplc="5D78397C">
      <w:start w:val="1"/>
      <w:numFmt w:val="lowerLetter"/>
      <w:lvlText w:val="%2)"/>
      <w:lvlJc w:val="left"/>
      <w:pPr>
        <w:ind w:left="1800" w:hanging="360"/>
      </w:pPr>
      <w:rPr>
        <w:rFonts w:hint="default"/>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261" w15:restartNumberingAfterBreak="0">
    <w:nsid w:val="64C17C46"/>
    <w:multiLevelType w:val="multilevel"/>
    <w:tmpl w:val="BF76976E"/>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62" w15:restartNumberingAfterBreak="0">
    <w:nsid w:val="64C23FE4"/>
    <w:multiLevelType w:val="hybridMultilevel"/>
    <w:tmpl w:val="DC60D4F4"/>
    <w:lvl w:ilvl="0" w:tplc="30302F5A">
      <w:numFmt w:val="bullet"/>
      <w:lvlText w:val="-"/>
      <w:lvlJc w:val="left"/>
      <w:pPr>
        <w:ind w:left="1137" w:hanging="360"/>
      </w:pPr>
      <w:rPr>
        <w:rFonts w:ascii="Arial" w:eastAsiaTheme="minorHAnsi" w:hAnsi="Arial" w:cs="Arial" w:hint="default"/>
      </w:rPr>
    </w:lvl>
    <w:lvl w:ilvl="1" w:tplc="280A0003" w:tentative="1">
      <w:start w:val="1"/>
      <w:numFmt w:val="bullet"/>
      <w:lvlText w:val="o"/>
      <w:lvlJc w:val="left"/>
      <w:pPr>
        <w:ind w:left="1857" w:hanging="360"/>
      </w:pPr>
      <w:rPr>
        <w:rFonts w:ascii="Courier New" w:hAnsi="Courier New" w:cs="Courier New" w:hint="default"/>
      </w:rPr>
    </w:lvl>
    <w:lvl w:ilvl="2" w:tplc="280A0005" w:tentative="1">
      <w:start w:val="1"/>
      <w:numFmt w:val="bullet"/>
      <w:lvlText w:val=""/>
      <w:lvlJc w:val="left"/>
      <w:pPr>
        <w:ind w:left="2577" w:hanging="360"/>
      </w:pPr>
      <w:rPr>
        <w:rFonts w:ascii="Wingdings" w:hAnsi="Wingdings" w:hint="default"/>
      </w:rPr>
    </w:lvl>
    <w:lvl w:ilvl="3" w:tplc="280A0001" w:tentative="1">
      <w:start w:val="1"/>
      <w:numFmt w:val="bullet"/>
      <w:lvlText w:val=""/>
      <w:lvlJc w:val="left"/>
      <w:pPr>
        <w:ind w:left="3297" w:hanging="360"/>
      </w:pPr>
      <w:rPr>
        <w:rFonts w:ascii="Symbol" w:hAnsi="Symbol" w:hint="default"/>
      </w:rPr>
    </w:lvl>
    <w:lvl w:ilvl="4" w:tplc="280A0003" w:tentative="1">
      <w:start w:val="1"/>
      <w:numFmt w:val="bullet"/>
      <w:lvlText w:val="o"/>
      <w:lvlJc w:val="left"/>
      <w:pPr>
        <w:ind w:left="4017" w:hanging="360"/>
      </w:pPr>
      <w:rPr>
        <w:rFonts w:ascii="Courier New" w:hAnsi="Courier New" w:cs="Courier New" w:hint="default"/>
      </w:rPr>
    </w:lvl>
    <w:lvl w:ilvl="5" w:tplc="280A0005" w:tentative="1">
      <w:start w:val="1"/>
      <w:numFmt w:val="bullet"/>
      <w:lvlText w:val=""/>
      <w:lvlJc w:val="left"/>
      <w:pPr>
        <w:ind w:left="4737" w:hanging="360"/>
      </w:pPr>
      <w:rPr>
        <w:rFonts w:ascii="Wingdings" w:hAnsi="Wingdings" w:hint="default"/>
      </w:rPr>
    </w:lvl>
    <w:lvl w:ilvl="6" w:tplc="280A0001" w:tentative="1">
      <w:start w:val="1"/>
      <w:numFmt w:val="bullet"/>
      <w:lvlText w:val=""/>
      <w:lvlJc w:val="left"/>
      <w:pPr>
        <w:ind w:left="5457" w:hanging="360"/>
      </w:pPr>
      <w:rPr>
        <w:rFonts w:ascii="Symbol" w:hAnsi="Symbol" w:hint="default"/>
      </w:rPr>
    </w:lvl>
    <w:lvl w:ilvl="7" w:tplc="280A0003" w:tentative="1">
      <w:start w:val="1"/>
      <w:numFmt w:val="bullet"/>
      <w:lvlText w:val="o"/>
      <w:lvlJc w:val="left"/>
      <w:pPr>
        <w:ind w:left="6177" w:hanging="360"/>
      </w:pPr>
      <w:rPr>
        <w:rFonts w:ascii="Courier New" w:hAnsi="Courier New" w:cs="Courier New" w:hint="default"/>
      </w:rPr>
    </w:lvl>
    <w:lvl w:ilvl="8" w:tplc="280A0005" w:tentative="1">
      <w:start w:val="1"/>
      <w:numFmt w:val="bullet"/>
      <w:lvlText w:val=""/>
      <w:lvlJc w:val="left"/>
      <w:pPr>
        <w:ind w:left="6897" w:hanging="360"/>
      </w:pPr>
      <w:rPr>
        <w:rFonts w:ascii="Wingdings" w:hAnsi="Wingdings" w:hint="default"/>
      </w:rPr>
    </w:lvl>
  </w:abstractNum>
  <w:abstractNum w:abstractNumId="263" w15:restartNumberingAfterBreak="0">
    <w:nsid w:val="64F83E97"/>
    <w:multiLevelType w:val="hybridMultilevel"/>
    <w:tmpl w:val="C0FE6400"/>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4" w15:restartNumberingAfterBreak="0">
    <w:nsid w:val="65537EDE"/>
    <w:multiLevelType w:val="multilevel"/>
    <w:tmpl w:val="DF84797A"/>
    <w:lvl w:ilvl="0">
      <w:start w:val="22"/>
      <w:numFmt w:val="decimal"/>
      <w:lvlText w:val="%1"/>
      <w:lvlJc w:val="left"/>
      <w:pPr>
        <w:ind w:left="420" w:hanging="420"/>
      </w:pPr>
      <w:rPr>
        <w:rFonts w:hint="default"/>
      </w:rPr>
    </w:lvl>
    <w:lvl w:ilvl="1">
      <w:start w:val="1"/>
      <w:numFmt w:val="decimal"/>
      <w:lvlText w:val="%1.%2"/>
      <w:lvlJc w:val="left"/>
      <w:pPr>
        <w:ind w:left="2760" w:hanging="42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265" w15:restartNumberingAfterBreak="0">
    <w:nsid w:val="656C32AD"/>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6" w15:restartNumberingAfterBreak="0">
    <w:nsid w:val="65913DA2"/>
    <w:multiLevelType w:val="hybridMultilevel"/>
    <w:tmpl w:val="DD049C1E"/>
    <w:lvl w:ilvl="0" w:tplc="30B288B4">
      <w:start w:val="1"/>
      <w:numFmt w:val="lowerLetter"/>
      <w:lvlText w:val="%1."/>
      <w:lvlJc w:val="left"/>
      <w:pPr>
        <w:ind w:left="1065" w:hanging="360"/>
      </w:pPr>
      <w:rPr>
        <w:rFonts w:hint="default"/>
      </w:rPr>
    </w:lvl>
    <w:lvl w:ilvl="1" w:tplc="A78C3364">
      <w:start w:val="1"/>
      <w:numFmt w:val="lowerLetter"/>
      <w:lvlText w:val="%2)"/>
      <w:lvlJc w:val="left"/>
      <w:pPr>
        <w:ind w:left="1785" w:hanging="360"/>
      </w:pPr>
      <w:rPr>
        <w:rFonts w:hint="default"/>
      </w:r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267" w15:restartNumberingAfterBreak="0">
    <w:nsid w:val="661D3060"/>
    <w:multiLevelType w:val="hybridMultilevel"/>
    <w:tmpl w:val="25F235C0"/>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8" w15:restartNumberingAfterBreak="0">
    <w:nsid w:val="663841FF"/>
    <w:multiLevelType w:val="multilevel"/>
    <w:tmpl w:val="50CE72AA"/>
    <w:lvl w:ilvl="0">
      <w:start w:val="32"/>
      <w:numFmt w:val="decimal"/>
      <w:lvlText w:val="%1"/>
      <w:lvlJc w:val="left"/>
      <w:pPr>
        <w:ind w:left="420" w:hanging="420"/>
      </w:pPr>
      <w:rPr>
        <w:rFonts w:hint="default"/>
      </w:rPr>
    </w:lvl>
    <w:lvl w:ilvl="1">
      <w:start w:val="1"/>
      <w:numFmt w:val="decimal"/>
      <w:lvlText w:val="%1.%2"/>
      <w:lvlJc w:val="left"/>
      <w:pPr>
        <w:ind w:left="2760" w:hanging="42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269" w15:restartNumberingAfterBreak="0">
    <w:nsid w:val="663D71BB"/>
    <w:multiLevelType w:val="multilevel"/>
    <w:tmpl w:val="300C85D8"/>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0" w15:restartNumberingAfterBreak="0">
    <w:nsid w:val="66575D35"/>
    <w:multiLevelType w:val="hybridMultilevel"/>
    <w:tmpl w:val="0E680664"/>
    <w:lvl w:ilvl="0" w:tplc="CC289286">
      <w:start w:val="4"/>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1" w15:restartNumberingAfterBreak="0">
    <w:nsid w:val="665A5ED5"/>
    <w:multiLevelType w:val="hybridMultilevel"/>
    <w:tmpl w:val="14E260F0"/>
    <w:lvl w:ilvl="0" w:tplc="0C0A0001">
      <w:start w:val="1"/>
      <w:numFmt w:val="bullet"/>
      <w:lvlText w:val=""/>
      <w:lvlJc w:val="left"/>
      <w:pPr>
        <w:tabs>
          <w:tab w:val="num" w:pos="1353"/>
        </w:tabs>
        <w:ind w:left="1353" w:hanging="360"/>
      </w:pPr>
      <w:rPr>
        <w:rFonts w:ascii="Symbol" w:hAnsi="Symbol" w:hint="default"/>
      </w:rPr>
    </w:lvl>
    <w:lvl w:ilvl="1" w:tplc="1F542484">
      <w:start w:val="1"/>
      <w:numFmt w:val="lowerLetter"/>
      <w:lvlText w:val="%2)"/>
      <w:lvlJc w:val="left"/>
      <w:pPr>
        <w:tabs>
          <w:tab w:val="num" w:pos="2160"/>
        </w:tabs>
        <w:ind w:left="2160" w:hanging="360"/>
      </w:pPr>
      <w:rPr>
        <w:rFonts w:hint="default"/>
      </w:rPr>
    </w:lvl>
    <w:lvl w:ilvl="2" w:tplc="9A22B46C">
      <w:start w:val="1"/>
      <w:numFmt w:val="lowerLetter"/>
      <w:lvlText w:val="%3)"/>
      <w:lvlJc w:val="left"/>
      <w:pPr>
        <w:tabs>
          <w:tab w:val="num" w:pos="2880"/>
        </w:tabs>
        <w:ind w:left="2880" w:hanging="360"/>
      </w:pPr>
      <w:rPr>
        <w:rFonts w:hint="default"/>
      </w:rPr>
    </w:lvl>
    <w:lvl w:ilvl="3" w:tplc="280A0001" w:tentative="1">
      <w:start w:val="1"/>
      <w:numFmt w:val="bullet"/>
      <w:lvlText w:val=""/>
      <w:lvlJc w:val="left"/>
      <w:pPr>
        <w:tabs>
          <w:tab w:val="num" w:pos="3600"/>
        </w:tabs>
        <w:ind w:left="3600" w:hanging="360"/>
      </w:pPr>
      <w:rPr>
        <w:rFonts w:ascii="Symbol" w:hAnsi="Symbol" w:hint="default"/>
      </w:rPr>
    </w:lvl>
    <w:lvl w:ilvl="4" w:tplc="280A0003" w:tentative="1">
      <w:start w:val="1"/>
      <w:numFmt w:val="bullet"/>
      <w:lvlText w:val="o"/>
      <w:lvlJc w:val="left"/>
      <w:pPr>
        <w:tabs>
          <w:tab w:val="num" w:pos="4320"/>
        </w:tabs>
        <w:ind w:left="4320" w:hanging="360"/>
      </w:pPr>
      <w:rPr>
        <w:rFonts w:ascii="Courier New" w:hAnsi="Courier New" w:hint="default"/>
      </w:rPr>
    </w:lvl>
    <w:lvl w:ilvl="5" w:tplc="280A0005" w:tentative="1">
      <w:start w:val="1"/>
      <w:numFmt w:val="bullet"/>
      <w:lvlText w:val=""/>
      <w:lvlJc w:val="left"/>
      <w:pPr>
        <w:tabs>
          <w:tab w:val="num" w:pos="5040"/>
        </w:tabs>
        <w:ind w:left="5040" w:hanging="360"/>
      </w:pPr>
      <w:rPr>
        <w:rFonts w:ascii="Wingdings" w:hAnsi="Wingdings" w:hint="default"/>
      </w:rPr>
    </w:lvl>
    <w:lvl w:ilvl="6" w:tplc="280A0001" w:tentative="1">
      <w:start w:val="1"/>
      <w:numFmt w:val="bullet"/>
      <w:lvlText w:val=""/>
      <w:lvlJc w:val="left"/>
      <w:pPr>
        <w:tabs>
          <w:tab w:val="num" w:pos="5760"/>
        </w:tabs>
        <w:ind w:left="5760" w:hanging="360"/>
      </w:pPr>
      <w:rPr>
        <w:rFonts w:ascii="Symbol" w:hAnsi="Symbol" w:hint="default"/>
      </w:rPr>
    </w:lvl>
    <w:lvl w:ilvl="7" w:tplc="280A0003" w:tentative="1">
      <w:start w:val="1"/>
      <w:numFmt w:val="bullet"/>
      <w:lvlText w:val="o"/>
      <w:lvlJc w:val="left"/>
      <w:pPr>
        <w:tabs>
          <w:tab w:val="num" w:pos="6480"/>
        </w:tabs>
        <w:ind w:left="6480" w:hanging="360"/>
      </w:pPr>
      <w:rPr>
        <w:rFonts w:ascii="Courier New" w:hAnsi="Courier New" w:hint="default"/>
      </w:rPr>
    </w:lvl>
    <w:lvl w:ilvl="8" w:tplc="280A0005" w:tentative="1">
      <w:start w:val="1"/>
      <w:numFmt w:val="bullet"/>
      <w:lvlText w:val=""/>
      <w:lvlJc w:val="left"/>
      <w:pPr>
        <w:tabs>
          <w:tab w:val="num" w:pos="7200"/>
        </w:tabs>
        <w:ind w:left="7200" w:hanging="360"/>
      </w:pPr>
      <w:rPr>
        <w:rFonts w:ascii="Wingdings" w:hAnsi="Wingdings" w:hint="default"/>
      </w:rPr>
    </w:lvl>
  </w:abstractNum>
  <w:abstractNum w:abstractNumId="272" w15:restartNumberingAfterBreak="0">
    <w:nsid w:val="665E72FF"/>
    <w:multiLevelType w:val="multilevel"/>
    <w:tmpl w:val="EAAECD6C"/>
    <w:lvl w:ilvl="0">
      <w:start w:val="12"/>
      <w:numFmt w:val="decimal"/>
      <w:lvlText w:val="%1"/>
      <w:lvlJc w:val="left"/>
      <w:pPr>
        <w:ind w:left="420" w:hanging="420"/>
      </w:pPr>
      <w:rPr>
        <w:rFonts w:hint="default"/>
      </w:rPr>
    </w:lvl>
    <w:lvl w:ilvl="1">
      <w:start w:val="1"/>
      <w:numFmt w:val="decimal"/>
      <w:lvlText w:val="%1.%2"/>
      <w:lvlJc w:val="left"/>
      <w:pPr>
        <w:ind w:left="3105" w:hanging="420"/>
      </w:pPr>
      <w:rPr>
        <w:rFonts w:hint="default"/>
      </w:rPr>
    </w:lvl>
    <w:lvl w:ilvl="2">
      <w:start w:val="1"/>
      <w:numFmt w:val="decimal"/>
      <w:lvlText w:val="%1.%2.%3"/>
      <w:lvlJc w:val="left"/>
      <w:pPr>
        <w:ind w:left="6090" w:hanging="720"/>
      </w:pPr>
      <w:rPr>
        <w:rFonts w:hint="default"/>
      </w:rPr>
    </w:lvl>
    <w:lvl w:ilvl="3">
      <w:start w:val="1"/>
      <w:numFmt w:val="decimal"/>
      <w:lvlText w:val="%1.%2.%3.%4"/>
      <w:lvlJc w:val="left"/>
      <w:pPr>
        <w:ind w:left="8775" w:hanging="720"/>
      </w:pPr>
      <w:rPr>
        <w:rFonts w:hint="default"/>
      </w:rPr>
    </w:lvl>
    <w:lvl w:ilvl="4">
      <w:start w:val="1"/>
      <w:numFmt w:val="decimal"/>
      <w:lvlText w:val="%1.%2.%3.%4.%5"/>
      <w:lvlJc w:val="left"/>
      <w:pPr>
        <w:ind w:left="11820" w:hanging="1080"/>
      </w:pPr>
      <w:rPr>
        <w:rFonts w:hint="default"/>
      </w:rPr>
    </w:lvl>
    <w:lvl w:ilvl="5">
      <w:start w:val="1"/>
      <w:numFmt w:val="decimal"/>
      <w:lvlText w:val="%1.%2.%3.%4.%5.%6"/>
      <w:lvlJc w:val="left"/>
      <w:pPr>
        <w:ind w:left="14505" w:hanging="1080"/>
      </w:pPr>
      <w:rPr>
        <w:rFonts w:hint="default"/>
      </w:rPr>
    </w:lvl>
    <w:lvl w:ilvl="6">
      <w:start w:val="1"/>
      <w:numFmt w:val="decimal"/>
      <w:lvlText w:val="%1.%2.%3.%4.%5.%6.%7"/>
      <w:lvlJc w:val="left"/>
      <w:pPr>
        <w:ind w:left="17550" w:hanging="1440"/>
      </w:pPr>
      <w:rPr>
        <w:rFonts w:hint="default"/>
      </w:rPr>
    </w:lvl>
    <w:lvl w:ilvl="7">
      <w:start w:val="1"/>
      <w:numFmt w:val="decimal"/>
      <w:lvlText w:val="%1.%2.%3.%4.%5.%6.%7.%8"/>
      <w:lvlJc w:val="left"/>
      <w:pPr>
        <w:ind w:left="20235" w:hanging="1440"/>
      </w:pPr>
      <w:rPr>
        <w:rFonts w:hint="default"/>
      </w:rPr>
    </w:lvl>
    <w:lvl w:ilvl="8">
      <w:start w:val="1"/>
      <w:numFmt w:val="decimal"/>
      <w:lvlText w:val="%1.%2.%3.%4.%5.%6.%7.%8.%9"/>
      <w:lvlJc w:val="left"/>
      <w:pPr>
        <w:ind w:left="23280" w:hanging="1800"/>
      </w:pPr>
      <w:rPr>
        <w:rFonts w:hint="default"/>
      </w:rPr>
    </w:lvl>
  </w:abstractNum>
  <w:abstractNum w:abstractNumId="273" w15:restartNumberingAfterBreak="0">
    <w:nsid w:val="665F0698"/>
    <w:multiLevelType w:val="hybridMultilevel"/>
    <w:tmpl w:val="61404CE0"/>
    <w:lvl w:ilvl="0" w:tplc="AC9A2EF8">
      <w:start w:val="1"/>
      <w:numFmt w:val="lowerLetter"/>
      <w:lvlText w:val="%1)"/>
      <w:lvlJc w:val="left"/>
      <w:pPr>
        <w:ind w:left="1065" w:hanging="360"/>
      </w:pPr>
      <w:rPr>
        <w:rFonts w:hint="default"/>
        <w:b/>
      </w:rPr>
    </w:lvl>
    <w:lvl w:ilvl="1" w:tplc="DE4490D2">
      <w:start w:val="1"/>
      <w:numFmt w:val="lowerLetter"/>
      <w:lvlText w:val="%2."/>
      <w:lvlJc w:val="left"/>
      <w:pPr>
        <w:ind w:left="1785" w:hanging="360"/>
      </w:pPr>
      <w:rPr>
        <w:rFonts w:hint="default"/>
      </w:rPr>
    </w:lvl>
    <w:lvl w:ilvl="2" w:tplc="1C94D188">
      <w:start w:val="1"/>
      <w:numFmt w:val="decimal"/>
      <w:lvlText w:val="%3."/>
      <w:lvlJc w:val="left"/>
      <w:pPr>
        <w:ind w:left="2685" w:hanging="360"/>
      </w:pPr>
      <w:rPr>
        <w:rFonts w:hint="default"/>
      </w:r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274" w15:restartNumberingAfterBreak="0">
    <w:nsid w:val="666E5BF7"/>
    <w:multiLevelType w:val="hybridMultilevel"/>
    <w:tmpl w:val="C348356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5" w15:restartNumberingAfterBreak="0">
    <w:nsid w:val="667A16DB"/>
    <w:multiLevelType w:val="multilevel"/>
    <w:tmpl w:val="11067FF0"/>
    <w:lvl w:ilvl="0">
      <w:start w:val="1"/>
      <w:numFmt w:val="upperRoman"/>
      <w:lvlText w:val="%1."/>
      <w:lvlJc w:val="left"/>
      <w:pPr>
        <w:ind w:left="1080" w:hanging="720"/>
      </w:pPr>
      <w:rPr>
        <w:rFonts w:hint="default"/>
      </w:rPr>
    </w:lvl>
    <w:lvl w:ilvl="1">
      <w:start w:val="1"/>
      <w:numFmt w:val="decimal"/>
      <w:isLgl/>
      <w:lvlText w:val="%1.%2"/>
      <w:lvlJc w:val="left"/>
      <w:pPr>
        <w:ind w:left="1065" w:hanging="70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6" w15:restartNumberingAfterBreak="0">
    <w:nsid w:val="6697097C"/>
    <w:multiLevelType w:val="multilevel"/>
    <w:tmpl w:val="184EC6C4"/>
    <w:lvl w:ilvl="0">
      <w:start w:val="42"/>
      <w:numFmt w:val="decimal"/>
      <w:lvlText w:val="%1"/>
      <w:lvlJc w:val="left"/>
      <w:pPr>
        <w:ind w:left="420" w:hanging="420"/>
      </w:pPr>
      <w:rPr>
        <w:rFonts w:hint="default"/>
      </w:rPr>
    </w:lvl>
    <w:lvl w:ilvl="1">
      <w:start w:val="1"/>
      <w:numFmt w:val="decimal"/>
      <w:lvlText w:val="%1.%2"/>
      <w:lvlJc w:val="left"/>
      <w:pPr>
        <w:ind w:left="2760" w:hanging="42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277" w15:restartNumberingAfterBreak="0">
    <w:nsid w:val="6698295A"/>
    <w:multiLevelType w:val="hybridMultilevel"/>
    <w:tmpl w:val="6A4A114C"/>
    <w:lvl w:ilvl="0" w:tplc="0C0A0019">
      <w:start w:val="1"/>
      <w:numFmt w:val="lowerLetter"/>
      <w:lvlText w:val="%1."/>
      <w:lvlJc w:val="left"/>
      <w:pPr>
        <w:ind w:left="720" w:hanging="360"/>
      </w:pPr>
      <w:rPr>
        <w:rFonts w:cs="Times New Roman"/>
      </w:rPr>
    </w:lvl>
    <w:lvl w:ilvl="1" w:tplc="F2BCC8FE">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78" w15:restartNumberingAfterBreak="0">
    <w:nsid w:val="66FC1A4C"/>
    <w:multiLevelType w:val="hybridMultilevel"/>
    <w:tmpl w:val="981A8974"/>
    <w:lvl w:ilvl="0" w:tplc="97F66550">
      <w:start w:val="1"/>
      <w:numFmt w:val="decimal"/>
      <w:lvlText w:val="%1."/>
      <w:lvlJc w:val="left"/>
      <w:pPr>
        <w:ind w:left="1080" w:hanging="360"/>
      </w:pPr>
      <w:rPr>
        <w:rFonts w:hint="default"/>
        <w:b w:val="0"/>
        <w:color w:val="auto"/>
      </w:rPr>
    </w:lvl>
    <w:lvl w:ilvl="1" w:tplc="280A0019">
      <w:start w:val="1"/>
      <w:numFmt w:val="lowerLetter"/>
      <w:lvlText w:val="%2."/>
      <w:lvlJc w:val="left"/>
      <w:pPr>
        <w:ind w:left="1800" w:hanging="360"/>
      </w:pPr>
    </w:lvl>
    <w:lvl w:ilvl="2" w:tplc="280A001B">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79" w15:restartNumberingAfterBreak="0">
    <w:nsid w:val="67364DC6"/>
    <w:multiLevelType w:val="hybridMultilevel"/>
    <w:tmpl w:val="A9907926"/>
    <w:lvl w:ilvl="0" w:tplc="6382DDEC">
      <w:start w:val="1"/>
      <w:numFmt w:val="bullet"/>
      <w:pStyle w:val="SEG3"/>
      <w:lvlText w:val=""/>
      <w:lvlJc w:val="left"/>
      <w:pPr>
        <w:ind w:left="1070" w:hanging="360"/>
      </w:pPr>
      <w:rPr>
        <w:rFonts w:ascii="Symbol" w:hAnsi="Symbol" w:hint="default"/>
      </w:rPr>
    </w:lvl>
    <w:lvl w:ilvl="1" w:tplc="CC5EB320">
      <w:start w:val="1"/>
      <w:numFmt w:val="bullet"/>
      <w:lvlText w:val=""/>
      <w:lvlJc w:val="left"/>
      <w:pPr>
        <w:tabs>
          <w:tab w:val="num" w:pos="2150"/>
        </w:tabs>
        <w:ind w:left="2150" w:hanging="360"/>
      </w:pPr>
      <w:rPr>
        <w:rFonts w:ascii="Symbol" w:hAnsi="Symbol" w:hint="default"/>
      </w:rPr>
    </w:lvl>
    <w:lvl w:ilvl="2" w:tplc="0C0A0005" w:tentative="1">
      <w:start w:val="1"/>
      <w:numFmt w:val="bullet"/>
      <w:lvlText w:val=""/>
      <w:lvlJc w:val="left"/>
      <w:pPr>
        <w:tabs>
          <w:tab w:val="num" w:pos="2870"/>
        </w:tabs>
        <w:ind w:left="2870" w:hanging="360"/>
      </w:pPr>
      <w:rPr>
        <w:rFonts w:ascii="Wingdings" w:hAnsi="Wingdings" w:hint="default"/>
      </w:rPr>
    </w:lvl>
    <w:lvl w:ilvl="3" w:tplc="0C0A0001" w:tentative="1">
      <w:start w:val="1"/>
      <w:numFmt w:val="bullet"/>
      <w:lvlText w:val=""/>
      <w:lvlJc w:val="left"/>
      <w:pPr>
        <w:tabs>
          <w:tab w:val="num" w:pos="3590"/>
        </w:tabs>
        <w:ind w:left="3590" w:hanging="360"/>
      </w:pPr>
      <w:rPr>
        <w:rFonts w:ascii="Symbol" w:hAnsi="Symbol" w:hint="default"/>
      </w:rPr>
    </w:lvl>
    <w:lvl w:ilvl="4" w:tplc="0C0A0003" w:tentative="1">
      <w:start w:val="1"/>
      <w:numFmt w:val="bullet"/>
      <w:lvlText w:val="o"/>
      <w:lvlJc w:val="left"/>
      <w:pPr>
        <w:tabs>
          <w:tab w:val="num" w:pos="4310"/>
        </w:tabs>
        <w:ind w:left="4310" w:hanging="360"/>
      </w:pPr>
      <w:rPr>
        <w:rFonts w:ascii="Courier New" w:hAnsi="Courier New" w:cs="Courier New" w:hint="default"/>
      </w:rPr>
    </w:lvl>
    <w:lvl w:ilvl="5" w:tplc="0C0A0005" w:tentative="1">
      <w:start w:val="1"/>
      <w:numFmt w:val="bullet"/>
      <w:lvlText w:val=""/>
      <w:lvlJc w:val="left"/>
      <w:pPr>
        <w:tabs>
          <w:tab w:val="num" w:pos="5030"/>
        </w:tabs>
        <w:ind w:left="5030" w:hanging="360"/>
      </w:pPr>
      <w:rPr>
        <w:rFonts w:ascii="Wingdings" w:hAnsi="Wingdings" w:hint="default"/>
      </w:rPr>
    </w:lvl>
    <w:lvl w:ilvl="6" w:tplc="0C0A0001" w:tentative="1">
      <w:start w:val="1"/>
      <w:numFmt w:val="bullet"/>
      <w:lvlText w:val=""/>
      <w:lvlJc w:val="left"/>
      <w:pPr>
        <w:tabs>
          <w:tab w:val="num" w:pos="5750"/>
        </w:tabs>
        <w:ind w:left="5750" w:hanging="360"/>
      </w:pPr>
      <w:rPr>
        <w:rFonts w:ascii="Symbol" w:hAnsi="Symbol" w:hint="default"/>
      </w:rPr>
    </w:lvl>
    <w:lvl w:ilvl="7" w:tplc="0C0A0003" w:tentative="1">
      <w:start w:val="1"/>
      <w:numFmt w:val="bullet"/>
      <w:lvlText w:val="o"/>
      <w:lvlJc w:val="left"/>
      <w:pPr>
        <w:tabs>
          <w:tab w:val="num" w:pos="6470"/>
        </w:tabs>
        <w:ind w:left="6470" w:hanging="360"/>
      </w:pPr>
      <w:rPr>
        <w:rFonts w:ascii="Courier New" w:hAnsi="Courier New" w:cs="Courier New" w:hint="default"/>
      </w:rPr>
    </w:lvl>
    <w:lvl w:ilvl="8" w:tplc="0C0A0005" w:tentative="1">
      <w:start w:val="1"/>
      <w:numFmt w:val="bullet"/>
      <w:lvlText w:val=""/>
      <w:lvlJc w:val="left"/>
      <w:pPr>
        <w:tabs>
          <w:tab w:val="num" w:pos="7190"/>
        </w:tabs>
        <w:ind w:left="7190" w:hanging="360"/>
      </w:pPr>
      <w:rPr>
        <w:rFonts w:ascii="Wingdings" w:hAnsi="Wingdings" w:hint="default"/>
      </w:rPr>
    </w:lvl>
  </w:abstractNum>
  <w:abstractNum w:abstractNumId="280" w15:restartNumberingAfterBreak="0">
    <w:nsid w:val="67DA54C6"/>
    <w:multiLevelType w:val="hybridMultilevel"/>
    <w:tmpl w:val="AF0E4AF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1" w15:restartNumberingAfterBreak="0">
    <w:nsid w:val="68D32A17"/>
    <w:multiLevelType w:val="hybridMultilevel"/>
    <w:tmpl w:val="E3221C8C"/>
    <w:lvl w:ilvl="0" w:tplc="280A0017">
      <w:start w:val="1"/>
      <w:numFmt w:val="lowerLetter"/>
      <w:lvlText w:val="%1)"/>
      <w:lvlJc w:val="left"/>
      <w:pPr>
        <w:tabs>
          <w:tab w:val="num" w:pos="1353"/>
        </w:tabs>
        <w:ind w:left="1353" w:hanging="360"/>
      </w:pPr>
      <w:rPr>
        <w:rFonts w:hint="default"/>
      </w:rPr>
    </w:lvl>
    <w:lvl w:ilvl="1" w:tplc="1F542484">
      <w:start w:val="1"/>
      <w:numFmt w:val="lowerLetter"/>
      <w:lvlText w:val="%2)"/>
      <w:lvlJc w:val="left"/>
      <w:pPr>
        <w:tabs>
          <w:tab w:val="num" w:pos="2160"/>
        </w:tabs>
        <w:ind w:left="2160" w:hanging="360"/>
      </w:pPr>
      <w:rPr>
        <w:rFonts w:hint="default"/>
      </w:rPr>
    </w:lvl>
    <w:lvl w:ilvl="2" w:tplc="280A0005">
      <w:start w:val="1"/>
      <w:numFmt w:val="bullet"/>
      <w:lvlText w:val=""/>
      <w:lvlJc w:val="left"/>
      <w:pPr>
        <w:tabs>
          <w:tab w:val="num" w:pos="2880"/>
        </w:tabs>
        <w:ind w:left="2880" w:hanging="360"/>
      </w:pPr>
      <w:rPr>
        <w:rFonts w:ascii="Wingdings" w:hAnsi="Wingdings" w:hint="default"/>
      </w:rPr>
    </w:lvl>
    <w:lvl w:ilvl="3" w:tplc="280A0001">
      <w:start w:val="1"/>
      <w:numFmt w:val="bullet"/>
      <w:lvlText w:val=""/>
      <w:lvlJc w:val="left"/>
      <w:pPr>
        <w:tabs>
          <w:tab w:val="num" w:pos="3600"/>
        </w:tabs>
        <w:ind w:left="3600" w:hanging="360"/>
      </w:pPr>
      <w:rPr>
        <w:rFonts w:ascii="Symbol" w:hAnsi="Symbol" w:hint="default"/>
      </w:rPr>
    </w:lvl>
    <w:lvl w:ilvl="4" w:tplc="280A0003" w:tentative="1">
      <w:start w:val="1"/>
      <w:numFmt w:val="bullet"/>
      <w:lvlText w:val="o"/>
      <w:lvlJc w:val="left"/>
      <w:pPr>
        <w:tabs>
          <w:tab w:val="num" w:pos="4320"/>
        </w:tabs>
        <w:ind w:left="4320" w:hanging="360"/>
      </w:pPr>
      <w:rPr>
        <w:rFonts w:ascii="Courier New" w:hAnsi="Courier New" w:hint="default"/>
      </w:rPr>
    </w:lvl>
    <w:lvl w:ilvl="5" w:tplc="280A0005" w:tentative="1">
      <w:start w:val="1"/>
      <w:numFmt w:val="bullet"/>
      <w:lvlText w:val=""/>
      <w:lvlJc w:val="left"/>
      <w:pPr>
        <w:tabs>
          <w:tab w:val="num" w:pos="5040"/>
        </w:tabs>
        <w:ind w:left="5040" w:hanging="360"/>
      </w:pPr>
      <w:rPr>
        <w:rFonts w:ascii="Wingdings" w:hAnsi="Wingdings" w:hint="default"/>
      </w:rPr>
    </w:lvl>
    <w:lvl w:ilvl="6" w:tplc="280A0001" w:tentative="1">
      <w:start w:val="1"/>
      <w:numFmt w:val="bullet"/>
      <w:lvlText w:val=""/>
      <w:lvlJc w:val="left"/>
      <w:pPr>
        <w:tabs>
          <w:tab w:val="num" w:pos="5760"/>
        </w:tabs>
        <w:ind w:left="5760" w:hanging="360"/>
      </w:pPr>
      <w:rPr>
        <w:rFonts w:ascii="Symbol" w:hAnsi="Symbol" w:hint="default"/>
      </w:rPr>
    </w:lvl>
    <w:lvl w:ilvl="7" w:tplc="280A0003" w:tentative="1">
      <w:start w:val="1"/>
      <w:numFmt w:val="bullet"/>
      <w:lvlText w:val="o"/>
      <w:lvlJc w:val="left"/>
      <w:pPr>
        <w:tabs>
          <w:tab w:val="num" w:pos="6480"/>
        </w:tabs>
        <w:ind w:left="6480" w:hanging="360"/>
      </w:pPr>
      <w:rPr>
        <w:rFonts w:ascii="Courier New" w:hAnsi="Courier New" w:hint="default"/>
      </w:rPr>
    </w:lvl>
    <w:lvl w:ilvl="8" w:tplc="280A0005" w:tentative="1">
      <w:start w:val="1"/>
      <w:numFmt w:val="bullet"/>
      <w:lvlText w:val=""/>
      <w:lvlJc w:val="left"/>
      <w:pPr>
        <w:tabs>
          <w:tab w:val="num" w:pos="7200"/>
        </w:tabs>
        <w:ind w:left="7200" w:hanging="360"/>
      </w:pPr>
      <w:rPr>
        <w:rFonts w:ascii="Wingdings" w:hAnsi="Wingdings" w:hint="default"/>
      </w:rPr>
    </w:lvl>
  </w:abstractNum>
  <w:abstractNum w:abstractNumId="282" w15:restartNumberingAfterBreak="0">
    <w:nsid w:val="69064C4E"/>
    <w:multiLevelType w:val="multilevel"/>
    <w:tmpl w:val="07CA30FA"/>
    <w:lvl w:ilvl="0">
      <w:start w:val="43"/>
      <w:numFmt w:val="decimal"/>
      <w:lvlText w:val="%1"/>
      <w:lvlJc w:val="left"/>
      <w:pPr>
        <w:ind w:left="420" w:hanging="420"/>
      </w:pPr>
      <w:rPr>
        <w:rFonts w:hint="default"/>
      </w:rPr>
    </w:lvl>
    <w:lvl w:ilvl="1">
      <w:start w:val="1"/>
      <w:numFmt w:val="decimal"/>
      <w:lvlText w:val="%1.%2"/>
      <w:lvlJc w:val="left"/>
      <w:pPr>
        <w:ind w:left="2760" w:hanging="42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283" w15:restartNumberingAfterBreak="0">
    <w:nsid w:val="69424ACE"/>
    <w:multiLevelType w:val="multilevel"/>
    <w:tmpl w:val="1A9413FA"/>
    <w:lvl w:ilvl="0">
      <w:start w:val="18"/>
      <w:numFmt w:val="decimal"/>
      <w:lvlText w:val="%1"/>
      <w:lvlJc w:val="left"/>
      <w:pPr>
        <w:ind w:left="420" w:hanging="420"/>
      </w:pPr>
      <w:rPr>
        <w:rFonts w:hint="default"/>
      </w:rPr>
    </w:lvl>
    <w:lvl w:ilvl="1">
      <w:start w:val="1"/>
      <w:numFmt w:val="decimal"/>
      <w:lvlText w:val="%1.%2"/>
      <w:lvlJc w:val="left"/>
      <w:pPr>
        <w:ind w:left="2760" w:hanging="42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284" w15:restartNumberingAfterBreak="0">
    <w:nsid w:val="696D5282"/>
    <w:multiLevelType w:val="hybridMultilevel"/>
    <w:tmpl w:val="24DEE312"/>
    <w:lvl w:ilvl="0" w:tplc="CC289286">
      <w:start w:val="4"/>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5" w15:restartNumberingAfterBreak="0">
    <w:nsid w:val="6A256117"/>
    <w:multiLevelType w:val="hybridMultilevel"/>
    <w:tmpl w:val="F0B4CB4A"/>
    <w:lvl w:ilvl="0" w:tplc="32680988">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286" w15:restartNumberingAfterBreak="0">
    <w:nsid w:val="6A592F26"/>
    <w:multiLevelType w:val="hybridMultilevel"/>
    <w:tmpl w:val="1C64831E"/>
    <w:lvl w:ilvl="0" w:tplc="82E4CBF6">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287" w15:restartNumberingAfterBreak="0">
    <w:nsid w:val="6B6D14C7"/>
    <w:multiLevelType w:val="hybridMultilevel"/>
    <w:tmpl w:val="261077C6"/>
    <w:lvl w:ilvl="0" w:tplc="246ED146">
      <w:start w:val="1"/>
      <w:numFmt w:val="decimal"/>
      <w:lvlText w:val="%1."/>
      <w:lvlJc w:val="left"/>
      <w:pPr>
        <w:ind w:left="1494" w:hanging="360"/>
      </w:pPr>
      <w:rPr>
        <w:rFonts w:hint="default"/>
      </w:rPr>
    </w:lvl>
    <w:lvl w:ilvl="1" w:tplc="280A0019" w:tentative="1">
      <w:start w:val="1"/>
      <w:numFmt w:val="lowerLetter"/>
      <w:lvlText w:val="%2."/>
      <w:lvlJc w:val="left"/>
      <w:pPr>
        <w:ind w:left="2214" w:hanging="360"/>
      </w:pPr>
    </w:lvl>
    <w:lvl w:ilvl="2" w:tplc="280A001B" w:tentative="1">
      <w:start w:val="1"/>
      <w:numFmt w:val="lowerRoman"/>
      <w:lvlText w:val="%3."/>
      <w:lvlJc w:val="right"/>
      <w:pPr>
        <w:ind w:left="2934" w:hanging="180"/>
      </w:pPr>
    </w:lvl>
    <w:lvl w:ilvl="3" w:tplc="280A000F" w:tentative="1">
      <w:start w:val="1"/>
      <w:numFmt w:val="decimal"/>
      <w:lvlText w:val="%4."/>
      <w:lvlJc w:val="left"/>
      <w:pPr>
        <w:ind w:left="3654" w:hanging="360"/>
      </w:pPr>
    </w:lvl>
    <w:lvl w:ilvl="4" w:tplc="280A0019" w:tentative="1">
      <w:start w:val="1"/>
      <w:numFmt w:val="lowerLetter"/>
      <w:lvlText w:val="%5."/>
      <w:lvlJc w:val="left"/>
      <w:pPr>
        <w:ind w:left="4374" w:hanging="360"/>
      </w:pPr>
    </w:lvl>
    <w:lvl w:ilvl="5" w:tplc="280A001B" w:tentative="1">
      <w:start w:val="1"/>
      <w:numFmt w:val="lowerRoman"/>
      <w:lvlText w:val="%6."/>
      <w:lvlJc w:val="right"/>
      <w:pPr>
        <w:ind w:left="5094" w:hanging="180"/>
      </w:pPr>
    </w:lvl>
    <w:lvl w:ilvl="6" w:tplc="280A000F" w:tentative="1">
      <w:start w:val="1"/>
      <w:numFmt w:val="decimal"/>
      <w:lvlText w:val="%7."/>
      <w:lvlJc w:val="left"/>
      <w:pPr>
        <w:ind w:left="5814" w:hanging="360"/>
      </w:pPr>
    </w:lvl>
    <w:lvl w:ilvl="7" w:tplc="280A0019" w:tentative="1">
      <w:start w:val="1"/>
      <w:numFmt w:val="lowerLetter"/>
      <w:lvlText w:val="%8."/>
      <w:lvlJc w:val="left"/>
      <w:pPr>
        <w:ind w:left="6534" w:hanging="360"/>
      </w:pPr>
    </w:lvl>
    <w:lvl w:ilvl="8" w:tplc="280A001B" w:tentative="1">
      <w:start w:val="1"/>
      <w:numFmt w:val="lowerRoman"/>
      <w:lvlText w:val="%9."/>
      <w:lvlJc w:val="right"/>
      <w:pPr>
        <w:ind w:left="7254" w:hanging="180"/>
      </w:pPr>
    </w:lvl>
  </w:abstractNum>
  <w:abstractNum w:abstractNumId="288" w15:restartNumberingAfterBreak="0">
    <w:nsid w:val="6B7C3D58"/>
    <w:multiLevelType w:val="multilevel"/>
    <w:tmpl w:val="13784E9E"/>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9" w15:restartNumberingAfterBreak="0">
    <w:nsid w:val="6D12273D"/>
    <w:multiLevelType w:val="hybridMultilevel"/>
    <w:tmpl w:val="5BDC8424"/>
    <w:lvl w:ilvl="0" w:tplc="B86A696C">
      <w:start w:val="1"/>
      <w:numFmt w:val="bullet"/>
      <w:lvlText w:val=""/>
      <w:lvlJc w:val="left"/>
      <w:pPr>
        <w:ind w:left="720" w:hanging="360"/>
      </w:pPr>
      <w:rPr>
        <w:rFonts w:ascii="Wingdings" w:hAnsi="Wingdings" w:hint="default"/>
        <w:sz w:val="16"/>
        <w:szCs w:val="16"/>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0" w15:restartNumberingAfterBreak="0">
    <w:nsid w:val="6D523143"/>
    <w:multiLevelType w:val="multilevel"/>
    <w:tmpl w:val="294E1D78"/>
    <w:lvl w:ilvl="0">
      <w:start w:val="8"/>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291" w15:restartNumberingAfterBreak="0">
    <w:nsid w:val="6DCD147C"/>
    <w:multiLevelType w:val="hybridMultilevel"/>
    <w:tmpl w:val="B1E4F4A8"/>
    <w:lvl w:ilvl="0" w:tplc="0734AEB4">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292" w15:restartNumberingAfterBreak="0">
    <w:nsid w:val="6E213FE7"/>
    <w:multiLevelType w:val="hybridMultilevel"/>
    <w:tmpl w:val="124075E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3" w15:restartNumberingAfterBreak="0">
    <w:nsid w:val="6E2E1A9D"/>
    <w:multiLevelType w:val="hybridMultilevel"/>
    <w:tmpl w:val="45EE1DE0"/>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4" w15:restartNumberingAfterBreak="0">
    <w:nsid w:val="6EA759BC"/>
    <w:multiLevelType w:val="hybridMultilevel"/>
    <w:tmpl w:val="A2CAC150"/>
    <w:lvl w:ilvl="0" w:tplc="280A0019">
      <w:start w:val="1"/>
      <w:numFmt w:val="lowerLetter"/>
      <w:lvlText w:val="%1."/>
      <w:lvlJc w:val="left"/>
      <w:pPr>
        <w:ind w:left="1713" w:hanging="360"/>
      </w:pPr>
    </w:lvl>
    <w:lvl w:ilvl="1" w:tplc="280A0019">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295" w15:restartNumberingAfterBreak="0">
    <w:nsid w:val="6EB0236B"/>
    <w:multiLevelType w:val="hybridMultilevel"/>
    <w:tmpl w:val="04DE30D0"/>
    <w:lvl w:ilvl="0" w:tplc="63D45388">
      <w:start w:val="2"/>
      <w:numFmt w:val="bullet"/>
      <w:lvlText w:val="-"/>
      <w:lvlJc w:val="left"/>
      <w:pPr>
        <w:ind w:left="720" w:hanging="360"/>
      </w:pPr>
      <w:rPr>
        <w:rFonts w:ascii="Calibri" w:eastAsia="Times New Roman" w:hAnsi="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6" w15:restartNumberingAfterBreak="0">
    <w:nsid w:val="6F277B11"/>
    <w:multiLevelType w:val="hybridMultilevel"/>
    <w:tmpl w:val="002876FA"/>
    <w:lvl w:ilvl="0" w:tplc="0C0A0019">
      <w:start w:val="1"/>
      <w:numFmt w:val="lowerLetter"/>
      <w:lvlText w:val="%1."/>
      <w:lvlJc w:val="left"/>
      <w:pPr>
        <w:ind w:left="720" w:hanging="360"/>
      </w:pPr>
      <w:rPr>
        <w:rFonts w:cs="Times New Roman"/>
      </w:rPr>
    </w:lvl>
    <w:lvl w:ilvl="1" w:tplc="280A0017">
      <w:start w:val="1"/>
      <w:numFmt w:val="lowerLetter"/>
      <w:lvlText w:val="%2)"/>
      <w:lvlJc w:val="left"/>
      <w:pPr>
        <w:tabs>
          <w:tab w:val="num" w:pos="1785"/>
        </w:tabs>
        <w:ind w:left="1785" w:hanging="705"/>
      </w:pPr>
      <w:rPr>
        <w:rFonts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97" w15:restartNumberingAfterBreak="0">
    <w:nsid w:val="704E3F7F"/>
    <w:multiLevelType w:val="hybridMultilevel"/>
    <w:tmpl w:val="D988B844"/>
    <w:lvl w:ilvl="0" w:tplc="76F65AD0">
      <w:start w:val="1"/>
      <w:numFmt w:val="lowerLetter"/>
      <w:lvlText w:val="%1."/>
      <w:lvlJc w:val="left"/>
      <w:pPr>
        <w:ind w:left="720" w:hanging="360"/>
      </w:pPr>
      <w:rPr>
        <w:rFonts w:cs="Times New Roman"/>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98" w15:restartNumberingAfterBreak="0">
    <w:nsid w:val="705949A0"/>
    <w:multiLevelType w:val="multilevel"/>
    <w:tmpl w:val="A3E88998"/>
    <w:lvl w:ilvl="0">
      <w:start w:val="15"/>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9" w15:restartNumberingAfterBreak="0">
    <w:nsid w:val="707B679C"/>
    <w:multiLevelType w:val="hybridMultilevel"/>
    <w:tmpl w:val="3DD69B76"/>
    <w:lvl w:ilvl="0" w:tplc="BAF61E0C">
      <w:start w:val="2"/>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0" w15:restartNumberingAfterBreak="0">
    <w:nsid w:val="70B17A62"/>
    <w:multiLevelType w:val="hybridMultilevel"/>
    <w:tmpl w:val="7E9831FE"/>
    <w:lvl w:ilvl="0" w:tplc="FD4E4050">
      <w:start w:val="1"/>
      <w:numFmt w:val="lowerLetter"/>
      <w:lvlText w:val="%1)"/>
      <w:lvlJc w:val="left"/>
      <w:pPr>
        <w:ind w:left="1065" w:hanging="360"/>
      </w:pPr>
      <w:rPr>
        <w:rFonts w:hint="default"/>
      </w:rPr>
    </w:lvl>
    <w:lvl w:ilvl="1" w:tplc="E8128BFE">
      <w:start w:val="1"/>
      <w:numFmt w:val="lowerLetter"/>
      <w:lvlText w:val="%2."/>
      <w:lvlJc w:val="left"/>
      <w:pPr>
        <w:ind w:left="1785" w:hanging="360"/>
      </w:pPr>
      <w:rPr>
        <w:rFonts w:hint="default"/>
      </w:rPr>
    </w:lvl>
    <w:lvl w:ilvl="2" w:tplc="4CFA6EB2">
      <w:start w:val="1"/>
      <w:numFmt w:val="upperLetter"/>
      <w:lvlText w:val="%3."/>
      <w:lvlJc w:val="left"/>
      <w:pPr>
        <w:ind w:left="2685" w:hanging="360"/>
      </w:pPr>
      <w:rPr>
        <w:rFonts w:hint="default"/>
      </w:r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301" w15:restartNumberingAfterBreak="0">
    <w:nsid w:val="710C1D06"/>
    <w:multiLevelType w:val="multilevel"/>
    <w:tmpl w:val="59266E5C"/>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2" w15:restartNumberingAfterBreak="0">
    <w:nsid w:val="71C6024E"/>
    <w:multiLevelType w:val="hybridMultilevel"/>
    <w:tmpl w:val="180830C6"/>
    <w:lvl w:ilvl="0" w:tplc="280A0001">
      <w:start w:val="1"/>
      <w:numFmt w:val="bullet"/>
      <w:lvlText w:val=""/>
      <w:lvlJc w:val="left"/>
      <w:pPr>
        <w:ind w:left="1604" w:hanging="360"/>
      </w:pPr>
      <w:rPr>
        <w:rFonts w:ascii="Symbol" w:hAnsi="Symbol" w:hint="default"/>
      </w:rPr>
    </w:lvl>
    <w:lvl w:ilvl="1" w:tplc="280A0003" w:tentative="1">
      <w:start w:val="1"/>
      <w:numFmt w:val="bullet"/>
      <w:lvlText w:val="o"/>
      <w:lvlJc w:val="left"/>
      <w:pPr>
        <w:ind w:left="2324" w:hanging="360"/>
      </w:pPr>
      <w:rPr>
        <w:rFonts w:ascii="Courier New" w:hAnsi="Courier New" w:cs="Courier New" w:hint="default"/>
      </w:rPr>
    </w:lvl>
    <w:lvl w:ilvl="2" w:tplc="280A0005" w:tentative="1">
      <w:start w:val="1"/>
      <w:numFmt w:val="bullet"/>
      <w:lvlText w:val=""/>
      <w:lvlJc w:val="left"/>
      <w:pPr>
        <w:ind w:left="3044" w:hanging="360"/>
      </w:pPr>
      <w:rPr>
        <w:rFonts w:ascii="Wingdings" w:hAnsi="Wingdings" w:hint="default"/>
      </w:rPr>
    </w:lvl>
    <w:lvl w:ilvl="3" w:tplc="280A0001" w:tentative="1">
      <w:start w:val="1"/>
      <w:numFmt w:val="bullet"/>
      <w:lvlText w:val=""/>
      <w:lvlJc w:val="left"/>
      <w:pPr>
        <w:ind w:left="3764" w:hanging="360"/>
      </w:pPr>
      <w:rPr>
        <w:rFonts w:ascii="Symbol" w:hAnsi="Symbol" w:hint="default"/>
      </w:rPr>
    </w:lvl>
    <w:lvl w:ilvl="4" w:tplc="280A0003" w:tentative="1">
      <w:start w:val="1"/>
      <w:numFmt w:val="bullet"/>
      <w:lvlText w:val="o"/>
      <w:lvlJc w:val="left"/>
      <w:pPr>
        <w:ind w:left="4484" w:hanging="360"/>
      </w:pPr>
      <w:rPr>
        <w:rFonts w:ascii="Courier New" w:hAnsi="Courier New" w:cs="Courier New" w:hint="default"/>
      </w:rPr>
    </w:lvl>
    <w:lvl w:ilvl="5" w:tplc="280A0005" w:tentative="1">
      <w:start w:val="1"/>
      <w:numFmt w:val="bullet"/>
      <w:lvlText w:val=""/>
      <w:lvlJc w:val="left"/>
      <w:pPr>
        <w:ind w:left="5204" w:hanging="360"/>
      </w:pPr>
      <w:rPr>
        <w:rFonts w:ascii="Wingdings" w:hAnsi="Wingdings" w:hint="default"/>
      </w:rPr>
    </w:lvl>
    <w:lvl w:ilvl="6" w:tplc="280A0001" w:tentative="1">
      <w:start w:val="1"/>
      <w:numFmt w:val="bullet"/>
      <w:lvlText w:val=""/>
      <w:lvlJc w:val="left"/>
      <w:pPr>
        <w:ind w:left="5924" w:hanging="360"/>
      </w:pPr>
      <w:rPr>
        <w:rFonts w:ascii="Symbol" w:hAnsi="Symbol" w:hint="default"/>
      </w:rPr>
    </w:lvl>
    <w:lvl w:ilvl="7" w:tplc="280A0003" w:tentative="1">
      <w:start w:val="1"/>
      <w:numFmt w:val="bullet"/>
      <w:lvlText w:val="o"/>
      <w:lvlJc w:val="left"/>
      <w:pPr>
        <w:ind w:left="6644" w:hanging="360"/>
      </w:pPr>
      <w:rPr>
        <w:rFonts w:ascii="Courier New" w:hAnsi="Courier New" w:cs="Courier New" w:hint="default"/>
      </w:rPr>
    </w:lvl>
    <w:lvl w:ilvl="8" w:tplc="280A0005" w:tentative="1">
      <w:start w:val="1"/>
      <w:numFmt w:val="bullet"/>
      <w:lvlText w:val=""/>
      <w:lvlJc w:val="left"/>
      <w:pPr>
        <w:ind w:left="7364" w:hanging="360"/>
      </w:pPr>
      <w:rPr>
        <w:rFonts w:ascii="Wingdings" w:hAnsi="Wingdings" w:hint="default"/>
      </w:rPr>
    </w:lvl>
  </w:abstractNum>
  <w:abstractNum w:abstractNumId="303" w15:restartNumberingAfterBreak="0">
    <w:nsid w:val="71E65531"/>
    <w:multiLevelType w:val="hybridMultilevel"/>
    <w:tmpl w:val="15166BE0"/>
    <w:lvl w:ilvl="0" w:tplc="CC289286">
      <w:start w:val="4"/>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4" w15:restartNumberingAfterBreak="0">
    <w:nsid w:val="72352B24"/>
    <w:multiLevelType w:val="hybridMultilevel"/>
    <w:tmpl w:val="8B441B00"/>
    <w:lvl w:ilvl="0" w:tplc="280A0019">
      <w:start w:val="1"/>
      <w:numFmt w:val="lowerLetter"/>
      <w:lvlText w:val="%1."/>
      <w:lvlJc w:val="left"/>
      <w:pPr>
        <w:ind w:left="1996" w:hanging="360"/>
      </w:pPr>
      <w:rPr>
        <w:rFonts w:hint="default"/>
      </w:rPr>
    </w:lvl>
    <w:lvl w:ilvl="1" w:tplc="280A0003" w:tentative="1">
      <w:start w:val="1"/>
      <w:numFmt w:val="bullet"/>
      <w:lvlText w:val="o"/>
      <w:lvlJc w:val="left"/>
      <w:pPr>
        <w:ind w:left="2716" w:hanging="360"/>
      </w:pPr>
      <w:rPr>
        <w:rFonts w:ascii="Courier New" w:hAnsi="Courier New" w:cs="Courier New" w:hint="default"/>
      </w:rPr>
    </w:lvl>
    <w:lvl w:ilvl="2" w:tplc="280A0005" w:tentative="1">
      <w:start w:val="1"/>
      <w:numFmt w:val="bullet"/>
      <w:lvlText w:val=""/>
      <w:lvlJc w:val="left"/>
      <w:pPr>
        <w:ind w:left="3436" w:hanging="360"/>
      </w:pPr>
      <w:rPr>
        <w:rFonts w:ascii="Wingdings" w:hAnsi="Wingdings" w:hint="default"/>
      </w:rPr>
    </w:lvl>
    <w:lvl w:ilvl="3" w:tplc="280A0001" w:tentative="1">
      <w:start w:val="1"/>
      <w:numFmt w:val="bullet"/>
      <w:lvlText w:val=""/>
      <w:lvlJc w:val="left"/>
      <w:pPr>
        <w:ind w:left="4156" w:hanging="360"/>
      </w:pPr>
      <w:rPr>
        <w:rFonts w:ascii="Symbol" w:hAnsi="Symbol" w:hint="default"/>
      </w:rPr>
    </w:lvl>
    <w:lvl w:ilvl="4" w:tplc="280A0003" w:tentative="1">
      <w:start w:val="1"/>
      <w:numFmt w:val="bullet"/>
      <w:lvlText w:val="o"/>
      <w:lvlJc w:val="left"/>
      <w:pPr>
        <w:ind w:left="4876" w:hanging="360"/>
      </w:pPr>
      <w:rPr>
        <w:rFonts w:ascii="Courier New" w:hAnsi="Courier New" w:cs="Courier New" w:hint="default"/>
      </w:rPr>
    </w:lvl>
    <w:lvl w:ilvl="5" w:tplc="280A0005" w:tentative="1">
      <w:start w:val="1"/>
      <w:numFmt w:val="bullet"/>
      <w:lvlText w:val=""/>
      <w:lvlJc w:val="left"/>
      <w:pPr>
        <w:ind w:left="5596" w:hanging="360"/>
      </w:pPr>
      <w:rPr>
        <w:rFonts w:ascii="Wingdings" w:hAnsi="Wingdings" w:hint="default"/>
      </w:rPr>
    </w:lvl>
    <w:lvl w:ilvl="6" w:tplc="280A0001" w:tentative="1">
      <w:start w:val="1"/>
      <w:numFmt w:val="bullet"/>
      <w:lvlText w:val=""/>
      <w:lvlJc w:val="left"/>
      <w:pPr>
        <w:ind w:left="6316" w:hanging="360"/>
      </w:pPr>
      <w:rPr>
        <w:rFonts w:ascii="Symbol" w:hAnsi="Symbol" w:hint="default"/>
      </w:rPr>
    </w:lvl>
    <w:lvl w:ilvl="7" w:tplc="280A0003" w:tentative="1">
      <w:start w:val="1"/>
      <w:numFmt w:val="bullet"/>
      <w:lvlText w:val="o"/>
      <w:lvlJc w:val="left"/>
      <w:pPr>
        <w:ind w:left="7036" w:hanging="360"/>
      </w:pPr>
      <w:rPr>
        <w:rFonts w:ascii="Courier New" w:hAnsi="Courier New" w:cs="Courier New" w:hint="default"/>
      </w:rPr>
    </w:lvl>
    <w:lvl w:ilvl="8" w:tplc="280A0005" w:tentative="1">
      <w:start w:val="1"/>
      <w:numFmt w:val="bullet"/>
      <w:lvlText w:val=""/>
      <w:lvlJc w:val="left"/>
      <w:pPr>
        <w:ind w:left="7756" w:hanging="360"/>
      </w:pPr>
      <w:rPr>
        <w:rFonts w:ascii="Wingdings" w:hAnsi="Wingdings" w:hint="default"/>
      </w:rPr>
    </w:lvl>
  </w:abstractNum>
  <w:abstractNum w:abstractNumId="305" w15:restartNumberingAfterBreak="0">
    <w:nsid w:val="738D4616"/>
    <w:multiLevelType w:val="hybridMultilevel"/>
    <w:tmpl w:val="FC3423E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6" w15:restartNumberingAfterBreak="0">
    <w:nsid w:val="74036C0E"/>
    <w:multiLevelType w:val="hybridMultilevel"/>
    <w:tmpl w:val="65EECB16"/>
    <w:lvl w:ilvl="0" w:tplc="280A0017">
      <w:start w:val="1"/>
      <w:numFmt w:val="lowerLetter"/>
      <w:lvlText w:val="%1)"/>
      <w:lvlJc w:val="left"/>
      <w:pPr>
        <w:tabs>
          <w:tab w:val="num" w:pos="1353"/>
        </w:tabs>
        <w:ind w:left="1353" w:hanging="360"/>
      </w:pPr>
      <w:rPr>
        <w:rFonts w:hint="default"/>
      </w:rPr>
    </w:lvl>
    <w:lvl w:ilvl="1" w:tplc="1F542484">
      <w:start w:val="1"/>
      <w:numFmt w:val="lowerLetter"/>
      <w:lvlText w:val="%2)"/>
      <w:lvlJc w:val="left"/>
      <w:pPr>
        <w:tabs>
          <w:tab w:val="num" w:pos="2160"/>
        </w:tabs>
        <w:ind w:left="2160" w:hanging="360"/>
      </w:pPr>
      <w:rPr>
        <w:rFonts w:hint="default"/>
      </w:rPr>
    </w:lvl>
    <w:lvl w:ilvl="2" w:tplc="280A0005">
      <w:start w:val="1"/>
      <w:numFmt w:val="bullet"/>
      <w:lvlText w:val=""/>
      <w:lvlJc w:val="left"/>
      <w:pPr>
        <w:tabs>
          <w:tab w:val="num" w:pos="2880"/>
        </w:tabs>
        <w:ind w:left="2880" w:hanging="360"/>
      </w:pPr>
      <w:rPr>
        <w:rFonts w:ascii="Wingdings" w:hAnsi="Wingdings" w:hint="default"/>
      </w:rPr>
    </w:lvl>
    <w:lvl w:ilvl="3" w:tplc="280A0001">
      <w:start w:val="1"/>
      <w:numFmt w:val="bullet"/>
      <w:lvlText w:val=""/>
      <w:lvlJc w:val="left"/>
      <w:pPr>
        <w:tabs>
          <w:tab w:val="num" w:pos="3600"/>
        </w:tabs>
        <w:ind w:left="3600" w:hanging="360"/>
      </w:pPr>
      <w:rPr>
        <w:rFonts w:ascii="Symbol" w:hAnsi="Symbol" w:hint="default"/>
      </w:rPr>
    </w:lvl>
    <w:lvl w:ilvl="4" w:tplc="280A0003" w:tentative="1">
      <w:start w:val="1"/>
      <w:numFmt w:val="bullet"/>
      <w:lvlText w:val="o"/>
      <w:lvlJc w:val="left"/>
      <w:pPr>
        <w:tabs>
          <w:tab w:val="num" w:pos="4320"/>
        </w:tabs>
        <w:ind w:left="4320" w:hanging="360"/>
      </w:pPr>
      <w:rPr>
        <w:rFonts w:ascii="Courier New" w:hAnsi="Courier New" w:hint="default"/>
      </w:rPr>
    </w:lvl>
    <w:lvl w:ilvl="5" w:tplc="280A0005" w:tentative="1">
      <w:start w:val="1"/>
      <w:numFmt w:val="bullet"/>
      <w:lvlText w:val=""/>
      <w:lvlJc w:val="left"/>
      <w:pPr>
        <w:tabs>
          <w:tab w:val="num" w:pos="5040"/>
        </w:tabs>
        <w:ind w:left="5040" w:hanging="360"/>
      </w:pPr>
      <w:rPr>
        <w:rFonts w:ascii="Wingdings" w:hAnsi="Wingdings" w:hint="default"/>
      </w:rPr>
    </w:lvl>
    <w:lvl w:ilvl="6" w:tplc="280A0001" w:tentative="1">
      <w:start w:val="1"/>
      <w:numFmt w:val="bullet"/>
      <w:lvlText w:val=""/>
      <w:lvlJc w:val="left"/>
      <w:pPr>
        <w:tabs>
          <w:tab w:val="num" w:pos="5760"/>
        </w:tabs>
        <w:ind w:left="5760" w:hanging="360"/>
      </w:pPr>
      <w:rPr>
        <w:rFonts w:ascii="Symbol" w:hAnsi="Symbol" w:hint="default"/>
      </w:rPr>
    </w:lvl>
    <w:lvl w:ilvl="7" w:tplc="280A0003" w:tentative="1">
      <w:start w:val="1"/>
      <w:numFmt w:val="bullet"/>
      <w:lvlText w:val="o"/>
      <w:lvlJc w:val="left"/>
      <w:pPr>
        <w:tabs>
          <w:tab w:val="num" w:pos="6480"/>
        </w:tabs>
        <w:ind w:left="6480" w:hanging="360"/>
      </w:pPr>
      <w:rPr>
        <w:rFonts w:ascii="Courier New" w:hAnsi="Courier New" w:hint="default"/>
      </w:rPr>
    </w:lvl>
    <w:lvl w:ilvl="8" w:tplc="280A0005" w:tentative="1">
      <w:start w:val="1"/>
      <w:numFmt w:val="bullet"/>
      <w:lvlText w:val=""/>
      <w:lvlJc w:val="left"/>
      <w:pPr>
        <w:tabs>
          <w:tab w:val="num" w:pos="7200"/>
        </w:tabs>
        <w:ind w:left="7200" w:hanging="360"/>
      </w:pPr>
      <w:rPr>
        <w:rFonts w:ascii="Wingdings" w:hAnsi="Wingdings" w:hint="default"/>
      </w:rPr>
    </w:lvl>
  </w:abstractNum>
  <w:abstractNum w:abstractNumId="307" w15:restartNumberingAfterBreak="0">
    <w:nsid w:val="74164975"/>
    <w:multiLevelType w:val="hybridMultilevel"/>
    <w:tmpl w:val="8398CFB6"/>
    <w:lvl w:ilvl="0" w:tplc="63D45388">
      <w:start w:val="2"/>
      <w:numFmt w:val="bullet"/>
      <w:lvlText w:val="-"/>
      <w:lvlJc w:val="left"/>
      <w:pPr>
        <w:ind w:left="720" w:hanging="360"/>
      </w:pPr>
      <w:rPr>
        <w:rFonts w:ascii="Calibri" w:eastAsia="Times New Roman" w:hAnsi="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8" w15:restartNumberingAfterBreak="0">
    <w:nsid w:val="741B09F4"/>
    <w:multiLevelType w:val="hybridMultilevel"/>
    <w:tmpl w:val="9884655A"/>
    <w:lvl w:ilvl="0" w:tplc="CF78EE90">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309" w15:restartNumberingAfterBreak="0">
    <w:nsid w:val="741C2C09"/>
    <w:multiLevelType w:val="hybridMultilevel"/>
    <w:tmpl w:val="65EA4528"/>
    <w:lvl w:ilvl="0" w:tplc="12C42F76">
      <w:start w:val="1"/>
      <w:numFmt w:val="lowerLetter"/>
      <w:lvlText w:val="%1)"/>
      <w:lvlJc w:val="left"/>
      <w:pPr>
        <w:ind w:left="1095" w:hanging="390"/>
      </w:pPr>
      <w:rPr>
        <w:rFonts w:hint="default"/>
      </w:rPr>
    </w:lvl>
    <w:lvl w:ilvl="1" w:tplc="CC289286">
      <w:start w:val="4"/>
      <w:numFmt w:val="bullet"/>
      <w:lvlText w:val="-"/>
      <w:lvlJc w:val="left"/>
      <w:pPr>
        <w:ind w:left="1785" w:hanging="360"/>
      </w:pPr>
      <w:rPr>
        <w:rFonts w:ascii="Arial" w:eastAsiaTheme="minorHAnsi" w:hAnsi="Arial" w:cs="Arial" w:hint="default"/>
      </w:rPr>
    </w:lvl>
    <w:lvl w:ilvl="2" w:tplc="418A9FAE">
      <w:start w:val="1"/>
      <w:numFmt w:val="decimal"/>
      <w:lvlText w:val="%3."/>
      <w:lvlJc w:val="left"/>
      <w:pPr>
        <w:ind w:left="2685" w:hanging="360"/>
      </w:pPr>
      <w:rPr>
        <w:rFonts w:hint="default"/>
      </w:rPr>
    </w:lvl>
    <w:lvl w:ilvl="3" w:tplc="6226B806">
      <w:start w:val="1"/>
      <w:numFmt w:val="lowerLetter"/>
      <w:lvlText w:val="%4."/>
      <w:lvlJc w:val="left"/>
      <w:pPr>
        <w:ind w:left="3225" w:hanging="360"/>
      </w:pPr>
      <w:rPr>
        <w:rFonts w:hint="default"/>
      </w:r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310" w15:restartNumberingAfterBreak="0">
    <w:nsid w:val="74CE5AEB"/>
    <w:multiLevelType w:val="hybridMultilevel"/>
    <w:tmpl w:val="65D4EB10"/>
    <w:lvl w:ilvl="0" w:tplc="BD9208EE">
      <w:start w:val="1"/>
      <w:numFmt w:val="decimal"/>
      <w:lvlText w:val="%1."/>
      <w:lvlJc w:val="left"/>
      <w:pPr>
        <w:ind w:left="1429" w:hanging="360"/>
      </w:pPr>
      <w:rPr>
        <w:rFonts w:hint="default"/>
        <w:color w:val="auto"/>
      </w:rPr>
    </w:lvl>
    <w:lvl w:ilvl="1" w:tplc="280A000F">
      <w:start w:val="1"/>
      <w:numFmt w:val="decimal"/>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311" w15:restartNumberingAfterBreak="0">
    <w:nsid w:val="75674733"/>
    <w:multiLevelType w:val="hybridMultilevel"/>
    <w:tmpl w:val="4C526310"/>
    <w:lvl w:ilvl="0" w:tplc="63D45388">
      <w:start w:val="2"/>
      <w:numFmt w:val="bullet"/>
      <w:lvlText w:val="-"/>
      <w:lvlJc w:val="left"/>
      <w:pPr>
        <w:ind w:left="720" w:hanging="360"/>
      </w:pPr>
      <w:rPr>
        <w:rFonts w:ascii="Calibri" w:eastAsia="Times New Roman" w:hAnsi="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2" w15:restartNumberingAfterBreak="0">
    <w:nsid w:val="7660120D"/>
    <w:multiLevelType w:val="hybridMultilevel"/>
    <w:tmpl w:val="5DFC1CF8"/>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313" w15:restartNumberingAfterBreak="0">
    <w:nsid w:val="776A64E8"/>
    <w:multiLevelType w:val="multilevel"/>
    <w:tmpl w:val="7DDA8272"/>
    <w:lvl w:ilvl="0">
      <w:start w:val="1"/>
      <w:numFmt w:val="decimal"/>
      <w:lvlText w:val="%1."/>
      <w:lvlJc w:val="left"/>
      <w:pPr>
        <w:ind w:left="1636" w:hanging="360"/>
      </w:pPr>
      <w:rPr>
        <w:rFonts w:hint="default"/>
      </w:rPr>
    </w:lvl>
    <w:lvl w:ilvl="1">
      <w:start w:val="3"/>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314" w15:restartNumberingAfterBreak="0">
    <w:nsid w:val="77C04313"/>
    <w:multiLevelType w:val="hybridMultilevel"/>
    <w:tmpl w:val="C6460A08"/>
    <w:lvl w:ilvl="0" w:tplc="D98C5170">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315" w15:restartNumberingAfterBreak="0">
    <w:nsid w:val="7800730F"/>
    <w:multiLevelType w:val="hybridMultilevel"/>
    <w:tmpl w:val="99A4A226"/>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6" w15:restartNumberingAfterBreak="0">
    <w:nsid w:val="784E2193"/>
    <w:multiLevelType w:val="hybridMultilevel"/>
    <w:tmpl w:val="758AB4EA"/>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7" w15:restartNumberingAfterBreak="0">
    <w:nsid w:val="79045B75"/>
    <w:multiLevelType w:val="multilevel"/>
    <w:tmpl w:val="9C04E31A"/>
    <w:lvl w:ilvl="0">
      <w:start w:val="7"/>
      <w:numFmt w:val="decimal"/>
      <w:lvlText w:val="%1"/>
      <w:lvlJc w:val="left"/>
      <w:pPr>
        <w:ind w:left="360" w:hanging="360"/>
      </w:pPr>
      <w:rPr>
        <w:rFonts w:hint="default"/>
      </w:rPr>
    </w:lvl>
    <w:lvl w:ilvl="1">
      <w:start w:val="1"/>
      <w:numFmt w:val="decimal"/>
      <w:lvlText w:val="%1.%2"/>
      <w:lvlJc w:val="left"/>
      <w:pPr>
        <w:ind w:left="3045" w:hanging="360"/>
      </w:pPr>
      <w:rPr>
        <w:rFonts w:hint="default"/>
      </w:rPr>
    </w:lvl>
    <w:lvl w:ilvl="2">
      <w:start w:val="1"/>
      <w:numFmt w:val="decimal"/>
      <w:lvlText w:val="%1.%2.%3"/>
      <w:lvlJc w:val="left"/>
      <w:pPr>
        <w:ind w:left="6090" w:hanging="720"/>
      </w:pPr>
      <w:rPr>
        <w:rFonts w:hint="default"/>
      </w:rPr>
    </w:lvl>
    <w:lvl w:ilvl="3">
      <w:start w:val="1"/>
      <w:numFmt w:val="decimal"/>
      <w:lvlText w:val="%1.%2.%3.%4"/>
      <w:lvlJc w:val="left"/>
      <w:pPr>
        <w:ind w:left="8775" w:hanging="720"/>
      </w:pPr>
      <w:rPr>
        <w:rFonts w:hint="default"/>
      </w:rPr>
    </w:lvl>
    <w:lvl w:ilvl="4">
      <w:start w:val="1"/>
      <w:numFmt w:val="decimal"/>
      <w:lvlText w:val="%1.%2.%3.%4.%5"/>
      <w:lvlJc w:val="left"/>
      <w:pPr>
        <w:ind w:left="11820" w:hanging="1080"/>
      </w:pPr>
      <w:rPr>
        <w:rFonts w:hint="default"/>
      </w:rPr>
    </w:lvl>
    <w:lvl w:ilvl="5">
      <w:start w:val="1"/>
      <w:numFmt w:val="decimal"/>
      <w:lvlText w:val="%1.%2.%3.%4.%5.%6"/>
      <w:lvlJc w:val="left"/>
      <w:pPr>
        <w:ind w:left="14505" w:hanging="1080"/>
      </w:pPr>
      <w:rPr>
        <w:rFonts w:hint="default"/>
      </w:rPr>
    </w:lvl>
    <w:lvl w:ilvl="6">
      <w:start w:val="1"/>
      <w:numFmt w:val="decimal"/>
      <w:lvlText w:val="%1.%2.%3.%4.%5.%6.%7"/>
      <w:lvlJc w:val="left"/>
      <w:pPr>
        <w:ind w:left="17550" w:hanging="1440"/>
      </w:pPr>
      <w:rPr>
        <w:rFonts w:hint="default"/>
      </w:rPr>
    </w:lvl>
    <w:lvl w:ilvl="7">
      <w:start w:val="1"/>
      <w:numFmt w:val="decimal"/>
      <w:lvlText w:val="%1.%2.%3.%4.%5.%6.%7.%8"/>
      <w:lvlJc w:val="left"/>
      <w:pPr>
        <w:ind w:left="20235" w:hanging="1440"/>
      </w:pPr>
      <w:rPr>
        <w:rFonts w:hint="default"/>
      </w:rPr>
    </w:lvl>
    <w:lvl w:ilvl="8">
      <w:start w:val="1"/>
      <w:numFmt w:val="decimal"/>
      <w:lvlText w:val="%1.%2.%3.%4.%5.%6.%7.%8.%9"/>
      <w:lvlJc w:val="left"/>
      <w:pPr>
        <w:ind w:left="23280" w:hanging="1800"/>
      </w:pPr>
      <w:rPr>
        <w:rFonts w:hint="default"/>
      </w:rPr>
    </w:lvl>
  </w:abstractNum>
  <w:abstractNum w:abstractNumId="318" w15:restartNumberingAfterBreak="0">
    <w:nsid w:val="79271902"/>
    <w:multiLevelType w:val="hybridMultilevel"/>
    <w:tmpl w:val="C0A28750"/>
    <w:lvl w:ilvl="0" w:tplc="87449DF8">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319" w15:restartNumberingAfterBreak="0">
    <w:nsid w:val="795D3968"/>
    <w:multiLevelType w:val="hybridMultilevel"/>
    <w:tmpl w:val="02CA414E"/>
    <w:lvl w:ilvl="0" w:tplc="CC289286">
      <w:start w:val="4"/>
      <w:numFmt w:val="bullet"/>
      <w:lvlText w:val="-"/>
      <w:lvlJc w:val="left"/>
      <w:pPr>
        <w:ind w:left="720" w:hanging="360"/>
      </w:pPr>
      <w:rPr>
        <w:rFonts w:ascii="Arial" w:eastAsiaTheme="minorHAnsi" w:hAnsi="Arial" w:cs="Arial" w:hint="default"/>
        <w:color w:val="525252" w:themeColor="accent3" w:themeShade="8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0" w15:restartNumberingAfterBreak="0">
    <w:nsid w:val="79DB0C4F"/>
    <w:multiLevelType w:val="hybridMultilevel"/>
    <w:tmpl w:val="C4244978"/>
    <w:lvl w:ilvl="0" w:tplc="2B68A664">
      <w:start w:val="1"/>
      <w:numFmt w:val="lowerLetter"/>
      <w:lvlText w:val="%1)"/>
      <w:lvlJc w:val="left"/>
      <w:pPr>
        <w:tabs>
          <w:tab w:val="num" w:pos="1353"/>
        </w:tabs>
        <w:ind w:left="1353"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1" w15:restartNumberingAfterBreak="0">
    <w:nsid w:val="7A514F7B"/>
    <w:multiLevelType w:val="hybridMultilevel"/>
    <w:tmpl w:val="136453A4"/>
    <w:lvl w:ilvl="0" w:tplc="A5621250">
      <w:start w:val="1"/>
      <w:numFmt w:val="upperRoman"/>
      <w:lvlText w:val="%1."/>
      <w:lvlJc w:val="left"/>
      <w:pPr>
        <w:ind w:left="1080" w:hanging="720"/>
      </w:pPr>
      <w:rPr>
        <w:rFonts w:hint="default"/>
      </w:rPr>
    </w:lvl>
    <w:lvl w:ilvl="1" w:tplc="E458983E">
      <w:start w:val="1"/>
      <w:numFmt w:val="lowerLetter"/>
      <w:lvlText w:val="%2)"/>
      <w:lvlJc w:val="left"/>
      <w:pPr>
        <w:ind w:left="1440" w:hanging="360"/>
      </w:pPr>
      <w:rPr>
        <w:rFonts w:hint="default"/>
      </w:rPr>
    </w:lvl>
    <w:lvl w:ilvl="2" w:tplc="E92CD3A8">
      <w:start w:val="1"/>
      <w:numFmt w:val="decimal"/>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2" w15:restartNumberingAfterBreak="0">
    <w:nsid w:val="7A735A8A"/>
    <w:multiLevelType w:val="hybridMultilevel"/>
    <w:tmpl w:val="EF6484D8"/>
    <w:lvl w:ilvl="0" w:tplc="AC94341E">
      <w:start w:val="1"/>
      <w:numFmt w:val="lowerLetter"/>
      <w:lvlText w:val="%1)"/>
      <w:lvlJc w:val="left"/>
      <w:pPr>
        <w:ind w:left="961" w:hanging="360"/>
      </w:pPr>
      <w:rPr>
        <w:rFonts w:hint="default"/>
      </w:rPr>
    </w:lvl>
    <w:lvl w:ilvl="1" w:tplc="280A0019" w:tentative="1">
      <w:start w:val="1"/>
      <w:numFmt w:val="lowerLetter"/>
      <w:lvlText w:val="%2."/>
      <w:lvlJc w:val="left"/>
      <w:pPr>
        <w:ind w:left="1681" w:hanging="360"/>
      </w:pPr>
    </w:lvl>
    <w:lvl w:ilvl="2" w:tplc="280A001B" w:tentative="1">
      <w:start w:val="1"/>
      <w:numFmt w:val="lowerRoman"/>
      <w:lvlText w:val="%3."/>
      <w:lvlJc w:val="right"/>
      <w:pPr>
        <w:ind w:left="2401" w:hanging="180"/>
      </w:pPr>
    </w:lvl>
    <w:lvl w:ilvl="3" w:tplc="280A000F" w:tentative="1">
      <w:start w:val="1"/>
      <w:numFmt w:val="decimal"/>
      <w:lvlText w:val="%4."/>
      <w:lvlJc w:val="left"/>
      <w:pPr>
        <w:ind w:left="3121" w:hanging="360"/>
      </w:pPr>
    </w:lvl>
    <w:lvl w:ilvl="4" w:tplc="280A0019" w:tentative="1">
      <w:start w:val="1"/>
      <w:numFmt w:val="lowerLetter"/>
      <w:lvlText w:val="%5."/>
      <w:lvlJc w:val="left"/>
      <w:pPr>
        <w:ind w:left="3841" w:hanging="360"/>
      </w:pPr>
    </w:lvl>
    <w:lvl w:ilvl="5" w:tplc="280A001B" w:tentative="1">
      <w:start w:val="1"/>
      <w:numFmt w:val="lowerRoman"/>
      <w:lvlText w:val="%6."/>
      <w:lvlJc w:val="right"/>
      <w:pPr>
        <w:ind w:left="4561" w:hanging="180"/>
      </w:pPr>
    </w:lvl>
    <w:lvl w:ilvl="6" w:tplc="280A000F" w:tentative="1">
      <w:start w:val="1"/>
      <w:numFmt w:val="decimal"/>
      <w:lvlText w:val="%7."/>
      <w:lvlJc w:val="left"/>
      <w:pPr>
        <w:ind w:left="5281" w:hanging="360"/>
      </w:pPr>
    </w:lvl>
    <w:lvl w:ilvl="7" w:tplc="280A0019" w:tentative="1">
      <w:start w:val="1"/>
      <w:numFmt w:val="lowerLetter"/>
      <w:lvlText w:val="%8."/>
      <w:lvlJc w:val="left"/>
      <w:pPr>
        <w:ind w:left="6001" w:hanging="360"/>
      </w:pPr>
    </w:lvl>
    <w:lvl w:ilvl="8" w:tplc="280A001B" w:tentative="1">
      <w:start w:val="1"/>
      <w:numFmt w:val="lowerRoman"/>
      <w:lvlText w:val="%9."/>
      <w:lvlJc w:val="right"/>
      <w:pPr>
        <w:ind w:left="6721" w:hanging="180"/>
      </w:pPr>
    </w:lvl>
  </w:abstractNum>
  <w:abstractNum w:abstractNumId="323" w15:restartNumberingAfterBreak="0">
    <w:nsid w:val="7ADF1F0B"/>
    <w:multiLevelType w:val="hybridMultilevel"/>
    <w:tmpl w:val="27126010"/>
    <w:lvl w:ilvl="0" w:tplc="F86CEABE">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324" w15:restartNumberingAfterBreak="0">
    <w:nsid w:val="7B897A81"/>
    <w:multiLevelType w:val="hybridMultilevel"/>
    <w:tmpl w:val="715E8A16"/>
    <w:lvl w:ilvl="0" w:tplc="31D2C246">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325" w15:restartNumberingAfterBreak="0">
    <w:nsid w:val="7B8D1876"/>
    <w:multiLevelType w:val="hybridMultilevel"/>
    <w:tmpl w:val="035402E4"/>
    <w:lvl w:ilvl="0" w:tplc="1FE615E2">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326" w15:restartNumberingAfterBreak="0">
    <w:nsid w:val="7BE3082A"/>
    <w:multiLevelType w:val="hybridMultilevel"/>
    <w:tmpl w:val="D18215F0"/>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7" w15:restartNumberingAfterBreak="0">
    <w:nsid w:val="7BFF4526"/>
    <w:multiLevelType w:val="hybridMultilevel"/>
    <w:tmpl w:val="A1886B0C"/>
    <w:lvl w:ilvl="0" w:tplc="F356D894">
      <w:start w:val="1"/>
      <w:numFmt w:val="lowerLetter"/>
      <w:lvlText w:val="%1)"/>
      <w:lvlJc w:val="left"/>
      <w:pPr>
        <w:ind w:left="1065" w:hanging="360"/>
      </w:pPr>
      <w:rPr>
        <w:rFonts w:hint="default"/>
      </w:rPr>
    </w:lvl>
    <w:lvl w:ilvl="1" w:tplc="051C42B6">
      <w:start w:val="1"/>
      <w:numFmt w:val="decimal"/>
      <w:lvlText w:val="%2)"/>
      <w:lvlJc w:val="left"/>
      <w:pPr>
        <w:ind w:left="1785" w:hanging="360"/>
      </w:pPr>
      <w:rPr>
        <w:rFonts w:hint="default"/>
      </w:rPr>
    </w:lvl>
    <w:lvl w:ilvl="2" w:tplc="76F2BDAC">
      <w:start w:val="1"/>
      <w:numFmt w:val="decimal"/>
      <w:lvlText w:val="%3."/>
      <w:lvlJc w:val="left"/>
      <w:pPr>
        <w:ind w:left="2685" w:hanging="360"/>
      </w:pPr>
      <w:rPr>
        <w:rFonts w:hint="default"/>
      </w:rPr>
    </w:lvl>
    <w:lvl w:ilvl="3" w:tplc="36388D4A">
      <w:numFmt w:val="bullet"/>
      <w:lvlText w:val="•"/>
      <w:lvlJc w:val="left"/>
      <w:pPr>
        <w:ind w:left="3570" w:hanging="705"/>
      </w:pPr>
      <w:rPr>
        <w:rFonts w:ascii="Arial" w:eastAsiaTheme="minorHAnsi" w:hAnsi="Arial" w:cs="Arial" w:hint="default"/>
      </w:r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328" w15:restartNumberingAfterBreak="0">
    <w:nsid w:val="7C0520F2"/>
    <w:multiLevelType w:val="hybridMultilevel"/>
    <w:tmpl w:val="BD0855B2"/>
    <w:lvl w:ilvl="0" w:tplc="D7AC58EC">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29" w15:restartNumberingAfterBreak="0">
    <w:nsid w:val="7CDD1046"/>
    <w:multiLevelType w:val="multilevel"/>
    <w:tmpl w:val="0A20BD46"/>
    <w:lvl w:ilvl="0">
      <w:start w:val="16"/>
      <w:numFmt w:val="decimal"/>
      <w:lvlText w:val="%1"/>
      <w:lvlJc w:val="left"/>
      <w:pPr>
        <w:ind w:left="420" w:hanging="420"/>
      </w:pPr>
      <w:rPr>
        <w:rFonts w:hint="default"/>
      </w:rPr>
    </w:lvl>
    <w:lvl w:ilvl="1">
      <w:start w:val="1"/>
      <w:numFmt w:val="decimal"/>
      <w:lvlText w:val="%1.%2"/>
      <w:lvlJc w:val="left"/>
      <w:pPr>
        <w:ind w:left="2760" w:hanging="42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330" w15:restartNumberingAfterBreak="0">
    <w:nsid w:val="7D2424D9"/>
    <w:multiLevelType w:val="multilevel"/>
    <w:tmpl w:val="2332BA2A"/>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331" w15:restartNumberingAfterBreak="0">
    <w:nsid w:val="7D435A36"/>
    <w:multiLevelType w:val="multilevel"/>
    <w:tmpl w:val="12B2A7B8"/>
    <w:lvl w:ilvl="0">
      <w:start w:val="3"/>
      <w:numFmt w:val="decimal"/>
      <w:lvlText w:val="%1"/>
      <w:lvlJc w:val="left"/>
      <w:pPr>
        <w:ind w:left="360" w:hanging="360"/>
      </w:pPr>
      <w:rPr>
        <w:rFonts w:hint="default"/>
      </w:rPr>
    </w:lvl>
    <w:lvl w:ilvl="1">
      <w:start w:val="1"/>
      <w:numFmt w:val="decimal"/>
      <w:lvlText w:val="%1.%2"/>
      <w:lvlJc w:val="left"/>
      <w:pPr>
        <w:ind w:left="3045" w:hanging="360"/>
      </w:pPr>
      <w:rPr>
        <w:rFonts w:hint="default"/>
      </w:rPr>
    </w:lvl>
    <w:lvl w:ilvl="2">
      <w:start w:val="1"/>
      <w:numFmt w:val="decimal"/>
      <w:lvlText w:val="%1.%2.%3"/>
      <w:lvlJc w:val="left"/>
      <w:pPr>
        <w:ind w:left="6090" w:hanging="720"/>
      </w:pPr>
      <w:rPr>
        <w:rFonts w:hint="default"/>
      </w:rPr>
    </w:lvl>
    <w:lvl w:ilvl="3">
      <w:start w:val="1"/>
      <w:numFmt w:val="decimal"/>
      <w:lvlText w:val="%1.%2.%3.%4"/>
      <w:lvlJc w:val="left"/>
      <w:pPr>
        <w:ind w:left="8775" w:hanging="720"/>
      </w:pPr>
      <w:rPr>
        <w:rFonts w:hint="default"/>
      </w:rPr>
    </w:lvl>
    <w:lvl w:ilvl="4">
      <w:start w:val="1"/>
      <w:numFmt w:val="decimal"/>
      <w:lvlText w:val="%1.%2.%3.%4.%5"/>
      <w:lvlJc w:val="left"/>
      <w:pPr>
        <w:ind w:left="11820" w:hanging="1080"/>
      </w:pPr>
      <w:rPr>
        <w:rFonts w:hint="default"/>
      </w:rPr>
    </w:lvl>
    <w:lvl w:ilvl="5">
      <w:start w:val="1"/>
      <w:numFmt w:val="decimal"/>
      <w:lvlText w:val="%1.%2.%3.%4.%5.%6"/>
      <w:lvlJc w:val="left"/>
      <w:pPr>
        <w:ind w:left="14505" w:hanging="1080"/>
      </w:pPr>
      <w:rPr>
        <w:rFonts w:hint="default"/>
      </w:rPr>
    </w:lvl>
    <w:lvl w:ilvl="6">
      <w:start w:val="1"/>
      <w:numFmt w:val="decimal"/>
      <w:lvlText w:val="%1.%2.%3.%4.%5.%6.%7"/>
      <w:lvlJc w:val="left"/>
      <w:pPr>
        <w:ind w:left="17550" w:hanging="1440"/>
      </w:pPr>
      <w:rPr>
        <w:rFonts w:hint="default"/>
      </w:rPr>
    </w:lvl>
    <w:lvl w:ilvl="7">
      <w:start w:val="1"/>
      <w:numFmt w:val="decimal"/>
      <w:lvlText w:val="%1.%2.%3.%4.%5.%6.%7.%8"/>
      <w:lvlJc w:val="left"/>
      <w:pPr>
        <w:ind w:left="20235" w:hanging="1440"/>
      </w:pPr>
      <w:rPr>
        <w:rFonts w:hint="default"/>
      </w:rPr>
    </w:lvl>
    <w:lvl w:ilvl="8">
      <w:start w:val="1"/>
      <w:numFmt w:val="decimal"/>
      <w:lvlText w:val="%1.%2.%3.%4.%5.%6.%7.%8.%9"/>
      <w:lvlJc w:val="left"/>
      <w:pPr>
        <w:ind w:left="23280" w:hanging="1800"/>
      </w:pPr>
      <w:rPr>
        <w:rFonts w:hint="default"/>
      </w:rPr>
    </w:lvl>
  </w:abstractNum>
  <w:abstractNum w:abstractNumId="332" w15:restartNumberingAfterBreak="0">
    <w:nsid w:val="7E043A3A"/>
    <w:multiLevelType w:val="hybridMultilevel"/>
    <w:tmpl w:val="DB8633EE"/>
    <w:lvl w:ilvl="0" w:tplc="B9DEE968">
      <w:start w:val="1"/>
      <w:numFmt w:val="bullet"/>
      <w:lvlText w:val=""/>
      <w:lvlJc w:val="left"/>
      <w:pPr>
        <w:ind w:left="720" w:hanging="360"/>
      </w:pPr>
      <w:rPr>
        <w:rFonts w:ascii="Wingdings" w:hAnsi="Wingdings" w:hint="default"/>
        <w:b/>
        <w:color w:val="525252" w:themeColor="accent3" w:themeShade="80"/>
        <w:sz w:val="16"/>
        <w:szCs w:val="16"/>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3" w15:restartNumberingAfterBreak="0">
    <w:nsid w:val="7E8F12FE"/>
    <w:multiLevelType w:val="multilevel"/>
    <w:tmpl w:val="7E0CF898"/>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4" w15:restartNumberingAfterBreak="0">
    <w:nsid w:val="7EB54B33"/>
    <w:multiLevelType w:val="hybridMultilevel"/>
    <w:tmpl w:val="FDD8F4A0"/>
    <w:lvl w:ilvl="0" w:tplc="7D129D96">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335" w15:restartNumberingAfterBreak="0">
    <w:nsid w:val="7F1516EE"/>
    <w:multiLevelType w:val="hybridMultilevel"/>
    <w:tmpl w:val="CC40529A"/>
    <w:lvl w:ilvl="0" w:tplc="63D45388">
      <w:start w:val="2"/>
      <w:numFmt w:val="bullet"/>
      <w:lvlText w:val="-"/>
      <w:lvlJc w:val="left"/>
      <w:pPr>
        <w:ind w:left="720" w:hanging="360"/>
      </w:pPr>
      <w:rPr>
        <w:rFonts w:ascii="Calibri" w:eastAsia="Times New Roman" w:hAnsi="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6" w15:restartNumberingAfterBreak="0">
    <w:nsid w:val="7F1D4016"/>
    <w:multiLevelType w:val="hybridMultilevel"/>
    <w:tmpl w:val="981CEAF6"/>
    <w:lvl w:ilvl="0" w:tplc="280A0017">
      <w:start w:val="1"/>
      <w:numFmt w:val="lowerLetter"/>
      <w:lvlText w:val="%1)"/>
      <w:lvlJc w:val="left"/>
      <w:pPr>
        <w:ind w:left="2313" w:hanging="360"/>
      </w:pPr>
      <w:rPr>
        <w:rFonts w:hint="default"/>
      </w:rPr>
    </w:lvl>
    <w:lvl w:ilvl="1" w:tplc="280A0003" w:tentative="1">
      <w:start w:val="1"/>
      <w:numFmt w:val="bullet"/>
      <w:lvlText w:val="o"/>
      <w:lvlJc w:val="left"/>
      <w:pPr>
        <w:ind w:left="3033" w:hanging="360"/>
      </w:pPr>
      <w:rPr>
        <w:rFonts w:ascii="Courier New" w:hAnsi="Courier New" w:cs="Courier New" w:hint="default"/>
      </w:rPr>
    </w:lvl>
    <w:lvl w:ilvl="2" w:tplc="280A0005" w:tentative="1">
      <w:start w:val="1"/>
      <w:numFmt w:val="bullet"/>
      <w:lvlText w:val=""/>
      <w:lvlJc w:val="left"/>
      <w:pPr>
        <w:ind w:left="3753" w:hanging="360"/>
      </w:pPr>
      <w:rPr>
        <w:rFonts w:ascii="Wingdings" w:hAnsi="Wingdings" w:hint="default"/>
      </w:rPr>
    </w:lvl>
    <w:lvl w:ilvl="3" w:tplc="280A0001" w:tentative="1">
      <w:start w:val="1"/>
      <w:numFmt w:val="bullet"/>
      <w:lvlText w:val=""/>
      <w:lvlJc w:val="left"/>
      <w:pPr>
        <w:ind w:left="4473" w:hanging="360"/>
      </w:pPr>
      <w:rPr>
        <w:rFonts w:ascii="Symbol" w:hAnsi="Symbol" w:hint="default"/>
      </w:rPr>
    </w:lvl>
    <w:lvl w:ilvl="4" w:tplc="280A0003" w:tentative="1">
      <w:start w:val="1"/>
      <w:numFmt w:val="bullet"/>
      <w:lvlText w:val="o"/>
      <w:lvlJc w:val="left"/>
      <w:pPr>
        <w:ind w:left="5193" w:hanging="360"/>
      </w:pPr>
      <w:rPr>
        <w:rFonts w:ascii="Courier New" w:hAnsi="Courier New" w:cs="Courier New" w:hint="default"/>
      </w:rPr>
    </w:lvl>
    <w:lvl w:ilvl="5" w:tplc="280A0005" w:tentative="1">
      <w:start w:val="1"/>
      <w:numFmt w:val="bullet"/>
      <w:lvlText w:val=""/>
      <w:lvlJc w:val="left"/>
      <w:pPr>
        <w:ind w:left="5913" w:hanging="360"/>
      </w:pPr>
      <w:rPr>
        <w:rFonts w:ascii="Wingdings" w:hAnsi="Wingdings" w:hint="default"/>
      </w:rPr>
    </w:lvl>
    <w:lvl w:ilvl="6" w:tplc="280A0001" w:tentative="1">
      <w:start w:val="1"/>
      <w:numFmt w:val="bullet"/>
      <w:lvlText w:val=""/>
      <w:lvlJc w:val="left"/>
      <w:pPr>
        <w:ind w:left="6633" w:hanging="360"/>
      </w:pPr>
      <w:rPr>
        <w:rFonts w:ascii="Symbol" w:hAnsi="Symbol" w:hint="default"/>
      </w:rPr>
    </w:lvl>
    <w:lvl w:ilvl="7" w:tplc="280A0003" w:tentative="1">
      <w:start w:val="1"/>
      <w:numFmt w:val="bullet"/>
      <w:lvlText w:val="o"/>
      <w:lvlJc w:val="left"/>
      <w:pPr>
        <w:ind w:left="7353" w:hanging="360"/>
      </w:pPr>
      <w:rPr>
        <w:rFonts w:ascii="Courier New" w:hAnsi="Courier New" w:cs="Courier New" w:hint="default"/>
      </w:rPr>
    </w:lvl>
    <w:lvl w:ilvl="8" w:tplc="280A0005" w:tentative="1">
      <w:start w:val="1"/>
      <w:numFmt w:val="bullet"/>
      <w:lvlText w:val=""/>
      <w:lvlJc w:val="left"/>
      <w:pPr>
        <w:ind w:left="8073" w:hanging="360"/>
      </w:pPr>
      <w:rPr>
        <w:rFonts w:ascii="Wingdings" w:hAnsi="Wingdings" w:hint="default"/>
      </w:rPr>
    </w:lvl>
  </w:abstractNum>
  <w:abstractNum w:abstractNumId="337" w15:restartNumberingAfterBreak="0">
    <w:nsid w:val="7F3A35CE"/>
    <w:multiLevelType w:val="hybridMultilevel"/>
    <w:tmpl w:val="A404984E"/>
    <w:lvl w:ilvl="0" w:tplc="280A0001">
      <w:start w:val="1"/>
      <w:numFmt w:val="bullet"/>
      <w:lvlText w:val=""/>
      <w:lvlJc w:val="left"/>
      <w:pPr>
        <w:ind w:left="1340" w:hanging="360"/>
      </w:pPr>
      <w:rPr>
        <w:rFonts w:ascii="Symbol" w:hAnsi="Symbol" w:hint="default"/>
      </w:rPr>
    </w:lvl>
    <w:lvl w:ilvl="1" w:tplc="0C0A0003" w:tentative="1">
      <w:start w:val="1"/>
      <w:numFmt w:val="bullet"/>
      <w:lvlText w:val="o"/>
      <w:lvlJc w:val="left"/>
      <w:pPr>
        <w:ind w:left="2060" w:hanging="360"/>
      </w:pPr>
      <w:rPr>
        <w:rFonts w:ascii="Courier New" w:hAnsi="Courier New" w:cs="Courier New" w:hint="default"/>
      </w:rPr>
    </w:lvl>
    <w:lvl w:ilvl="2" w:tplc="0C0A0005" w:tentative="1">
      <w:start w:val="1"/>
      <w:numFmt w:val="bullet"/>
      <w:lvlText w:val=""/>
      <w:lvlJc w:val="left"/>
      <w:pPr>
        <w:ind w:left="2780" w:hanging="360"/>
      </w:pPr>
      <w:rPr>
        <w:rFonts w:ascii="Wingdings" w:hAnsi="Wingdings" w:hint="default"/>
      </w:rPr>
    </w:lvl>
    <w:lvl w:ilvl="3" w:tplc="0C0A0001" w:tentative="1">
      <w:start w:val="1"/>
      <w:numFmt w:val="bullet"/>
      <w:lvlText w:val=""/>
      <w:lvlJc w:val="left"/>
      <w:pPr>
        <w:ind w:left="3500" w:hanging="360"/>
      </w:pPr>
      <w:rPr>
        <w:rFonts w:ascii="Symbol" w:hAnsi="Symbol" w:hint="default"/>
      </w:rPr>
    </w:lvl>
    <w:lvl w:ilvl="4" w:tplc="0C0A0003" w:tentative="1">
      <w:start w:val="1"/>
      <w:numFmt w:val="bullet"/>
      <w:lvlText w:val="o"/>
      <w:lvlJc w:val="left"/>
      <w:pPr>
        <w:ind w:left="4220" w:hanging="360"/>
      </w:pPr>
      <w:rPr>
        <w:rFonts w:ascii="Courier New" w:hAnsi="Courier New" w:cs="Courier New" w:hint="default"/>
      </w:rPr>
    </w:lvl>
    <w:lvl w:ilvl="5" w:tplc="0C0A0005" w:tentative="1">
      <w:start w:val="1"/>
      <w:numFmt w:val="bullet"/>
      <w:lvlText w:val=""/>
      <w:lvlJc w:val="left"/>
      <w:pPr>
        <w:ind w:left="4940" w:hanging="360"/>
      </w:pPr>
      <w:rPr>
        <w:rFonts w:ascii="Wingdings" w:hAnsi="Wingdings" w:hint="default"/>
      </w:rPr>
    </w:lvl>
    <w:lvl w:ilvl="6" w:tplc="0C0A0001" w:tentative="1">
      <w:start w:val="1"/>
      <w:numFmt w:val="bullet"/>
      <w:lvlText w:val=""/>
      <w:lvlJc w:val="left"/>
      <w:pPr>
        <w:ind w:left="5660" w:hanging="360"/>
      </w:pPr>
      <w:rPr>
        <w:rFonts w:ascii="Symbol" w:hAnsi="Symbol" w:hint="default"/>
      </w:rPr>
    </w:lvl>
    <w:lvl w:ilvl="7" w:tplc="0C0A0003" w:tentative="1">
      <w:start w:val="1"/>
      <w:numFmt w:val="bullet"/>
      <w:lvlText w:val="o"/>
      <w:lvlJc w:val="left"/>
      <w:pPr>
        <w:ind w:left="6380" w:hanging="360"/>
      </w:pPr>
      <w:rPr>
        <w:rFonts w:ascii="Courier New" w:hAnsi="Courier New" w:cs="Courier New" w:hint="default"/>
      </w:rPr>
    </w:lvl>
    <w:lvl w:ilvl="8" w:tplc="0C0A0005" w:tentative="1">
      <w:start w:val="1"/>
      <w:numFmt w:val="bullet"/>
      <w:lvlText w:val=""/>
      <w:lvlJc w:val="left"/>
      <w:pPr>
        <w:ind w:left="7100" w:hanging="360"/>
      </w:pPr>
      <w:rPr>
        <w:rFonts w:ascii="Wingdings" w:hAnsi="Wingdings" w:hint="default"/>
      </w:rPr>
    </w:lvl>
  </w:abstractNum>
  <w:abstractNum w:abstractNumId="338" w15:restartNumberingAfterBreak="0">
    <w:nsid w:val="7F680564"/>
    <w:multiLevelType w:val="hybridMultilevel"/>
    <w:tmpl w:val="433243E2"/>
    <w:lvl w:ilvl="0" w:tplc="D84097FC">
      <w:start w:val="1"/>
      <w:numFmt w:val="upperRoman"/>
      <w:pStyle w:val="ESTSEG3"/>
      <w:lvlText w:val="%1."/>
      <w:lvlJc w:val="right"/>
      <w:pPr>
        <w:ind w:left="360" w:hanging="360"/>
      </w:pPr>
      <w:rPr>
        <w:rFonts w:cs="Times New Roman"/>
        <w:b/>
      </w:rPr>
    </w:lvl>
    <w:lvl w:ilvl="1" w:tplc="0C0A0019">
      <w:start w:val="1"/>
      <w:numFmt w:val="lowerLetter"/>
      <w:lvlText w:val="%2."/>
      <w:lvlJc w:val="left"/>
      <w:pPr>
        <w:ind w:left="1440" w:hanging="360"/>
      </w:pPr>
      <w:rPr>
        <w:rFonts w:cs="Times New Roman"/>
      </w:rPr>
    </w:lvl>
    <w:lvl w:ilvl="2" w:tplc="716E1662">
      <w:start w:val="1"/>
      <w:numFmt w:val="lowerLetter"/>
      <w:lvlText w:val="%3)"/>
      <w:lvlJc w:val="left"/>
      <w:pPr>
        <w:tabs>
          <w:tab w:val="num" w:pos="2460"/>
        </w:tabs>
        <w:ind w:left="2460" w:hanging="480"/>
      </w:pPr>
      <w:rPr>
        <w:rFonts w:hint="default"/>
      </w:rPr>
    </w:lvl>
    <w:lvl w:ilvl="3" w:tplc="ABA463BA">
      <w:start w:val="1"/>
      <w:numFmt w:val="decimal"/>
      <w:lvlText w:val="%4."/>
      <w:lvlJc w:val="left"/>
      <w:pPr>
        <w:ind w:left="2880" w:hanging="360"/>
      </w:pPr>
      <w:rPr>
        <w:rFonts w:hint="default"/>
        <w:b/>
      </w:rPr>
    </w:lvl>
    <w:lvl w:ilvl="4" w:tplc="B7CC7AF6">
      <w:start w:val="1"/>
      <w:numFmt w:val="decimal"/>
      <w:lvlText w:val="%5)"/>
      <w:lvlJc w:val="left"/>
      <w:pPr>
        <w:ind w:left="3600" w:hanging="360"/>
      </w:pPr>
      <w:rPr>
        <w:rFonts w:hint="default"/>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39" w15:restartNumberingAfterBreak="0">
    <w:nsid w:val="7FE84DA2"/>
    <w:multiLevelType w:val="hybridMultilevel"/>
    <w:tmpl w:val="269EF72C"/>
    <w:lvl w:ilvl="0" w:tplc="875C466C">
      <w:start w:val="1"/>
      <w:numFmt w:val="lowerLetter"/>
      <w:lvlText w:val="%1)"/>
      <w:lvlJc w:val="left"/>
      <w:pPr>
        <w:ind w:left="961" w:hanging="360"/>
      </w:pPr>
      <w:rPr>
        <w:rFonts w:hint="default"/>
      </w:rPr>
    </w:lvl>
    <w:lvl w:ilvl="1" w:tplc="280A0019" w:tentative="1">
      <w:start w:val="1"/>
      <w:numFmt w:val="lowerLetter"/>
      <w:lvlText w:val="%2."/>
      <w:lvlJc w:val="left"/>
      <w:pPr>
        <w:ind w:left="1681" w:hanging="360"/>
      </w:pPr>
    </w:lvl>
    <w:lvl w:ilvl="2" w:tplc="280A001B" w:tentative="1">
      <w:start w:val="1"/>
      <w:numFmt w:val="lowerRoman"/>
      <w:lvlText w:val="%3."/>
      <w:lvlJc w:val="right"/>
      <w:pPr>
        <w:ind w:left="2401" w:hanging="180"/>
      </w:pPr>
    </w:lvl>
    <w:lvl w:ilvl="3" w:tplc="280A000F" w:tentative="1">
      <w:start w:val="1"/>
      <w:numFmt w:val="decimal"/>
      <w:lvlText w:val="%4."/>
      <w:lvlJc w:val="left"/>
      <w:pPr>
        <w:ind w:left="3121" w:hanging="360"/>
      </w:pPr>
    </w:lvl>
    <w:lvl w:ilvl="4" w:tplc="280A0019" w:tentative="1">
      <w:start w:val="1"/>
      <w:numFmt w:val="lowerLetter"/>
      <w:lvlText w:val="%5."/>
      <w:lvlJc w:val="left"/>
      <w:pPr>
        <w:ind w:left="3841" w:hanging="360"/>
      </w:pPr>
    </w:lvl>
    <w:lvl w:ilvl="5" w:tplc="280A001B" w:tentative="1">
      <w:start w:val="1"/>
      <w:numFmt w:val="lowerRoman"/>
      <w:lvlText w:val="%6."/>
      <w:lvlJc w:val="right"/>
      <w:pPr>
        <w:ind w:left="4561" w:hanging="180"/>
      </w:pPr>
    </w:lvl>
    <w:lvl w:ilvl="6" w:tplc="280A000F" w:tentative="1">
      <w:start w:val="1"/>
      <w:numFmt w:val="decimal"/>
      <w:lvlText w:val="%7."/>
      <w:lvlJc w:val="left"/>
      <w:pPr>
        <w:ind w:left="5281" w:hanging="360"/>
      </w:pPr>
    </w:lvl>
    <w:lvl w:ilvl="7" w:tplc="280A0019" w:tentative="1">
      <w:start w:val="1"/>
      <w:numFmt w:val="lowerLetter"/>
      <w:lvlText w:val="%8."/>
      <w:lvlJc w:val="left"/>
      <w:pPr>
        <w:ind w:left="6001" w:hanging="360"/>
      </w:pPr>
    </w:lvl>
    <w:lvl w:ilvl="8" w:tplc="280A001B" w:tentative="1">
      <w:start w:val="1"/>
      <w:numFmt w:val="lowerRoman"/>
      <w:lvlText w:val="%9."/>
      <w:lvlJc w:val="right"/>
      <w:pPr>
        <w:ind w:left="6721" w:hanging="180"/>
      </w:pPr>
    </w:lvl>
  </w:abstractNum>
  <w:abstractNum w:abstractNumId="340" w15:restartNumberingAfterBreak="0">
    <w:nsid w:val="7FEB3C0A"/>
    <w:multiLevelType w:val="hybridMultilevel"/>
    <w:tmpl w:val="AA2AB6D8"/>
    <w:lvl w:ilvl="0" w:tplc="161A5018">
      <w:start w:val="1"/>
      <w:numFmt w:val="upperRoman"/>
      <w:lvlText w:val="%1."/>
      <w:lvlJc w:val="left"/>
      <w:pPr>
        <w:ind w:left="1080" w:hanging="720"/>
      </w:pPr>
      <w:rPr>
        <w:rFonts w:hint="default"/>
        <w:b/>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73"/>
  </w:num>
  <w:num w:numId="2">
    <w:abstractNumId w:val="162"/>
  </w:num>
  <w:num w:numId="3">
    <w:abstractNumId w:val="22"/>
  </w:num>
  <w:num w:numId="4">
    <w:abstractNumId w:val="242"/>
  </w:num>
  <w:num w:numId="5">
    <w:abstractNumId w:val="309"/>
  </w:num>
  <w:num w:numId="6">
    <w:abstractNumId w:val="334"/>
  </w:num>
  <w:num w:numId="7">
    <w:abstractNumId w:val="113"/>
  </w:num>
  <w:num w:numId="8">
    <w:abstractNumId w:val="97"/>
  </w:num>
  <w:num w:numId="9">
    <w:abstractNumId w:val="159"/>
  </w:num>
  <w:num w:numId="10">
    <w:abstractNumId w:val="160"/>
  </w:num>
  <w:num w:numId="11">
    <w:abstractNumId w:val="289"/>
  </w:num>
  <w:num w:numId="12">
    <w:abstractNumId w:val="292"/>
  </w:num>
  <w:num w:numId="13">
    <w:abstractNumId w:val="194"/>
  </w:num>
  <w:num w:numId="14">
    <w:abstractNumId w:val="315"/>
  </w:num>
  <w:num w:numId="15">
    <w:abstractNumId w:val="274"/>
  </w:num>
  <w:num w:numId="16">
    <w:abstractNumId w:val="73"/>
  </w:num>
  <w:num w:numId="17">
    <w:abstractNumId w:val="24"/>
  </w:num>
  <w:num w:numId="18">
    <w:abstractNumId w:val="55"/>
  </w:num>
  <w:num w:numId="19">
    <w:abstractNumId w:val="69"/>
  </w:num>
  <w:num w:numId="20">
    <w:abstractNumId w:val="110"/>
  </w:num>
  <w:num w:numId="21">
    <w:abstractNumId w:val="56"/>
  </w:num>
  <w:num w:numId="22">
    <w:abstractNumId w:val="93"/>
  </w:num>
  <w:num w:numId="23">
    <w:abstractNumId w:val="4"/>
  </w:num>
  <w:num w:numId="24">
    <w:abstractNumId w:val="124"/>
  </w:num>
  <w:num w:numId="25">
    <w:abstractNumId w:val="150"/>
  </w:num>
  <w:num w:numId="26">
    <w:abstractNumId w:val="149"/>
  </w:num>
  <w:num w:numId="27">
    <w:abstractNumId w:val="40"/>
  </w:num>
  <w:num w:numId="28">
    <w:abstractNumId w:val="67"/>
  </w:num>
  <w:num w:numId="29">
    <w:abstractNumId w:val="324"/>
  </w:num>
  <w:num w:numId="30">
    <w:abstractNumId w:val="34"/>
  </w:num>
  <w:num w:numId="31">
    <w:abstractNumId w:val="108"/>
  </w:num>
  <w:num w:numId="32">
    <w:abstractNumId w:val="236"/>
  </w:num>
  <w:num w:numId="33">
    <w:abstractNumId w:val="300"/>
  </w:num>
  <w:num w:numId="34">
    <w:abstractNumId w:val="39"/>
  </w:num>
  <w:num w:numId="35">
    <w:abstractNumId w:val="65"/>
  </w:num>
  <w:num w:numId="36">
    <w:abstractNumId w:val="102"/>
  </w:num>
  <w:num w:numId="37">
    <w:abstractNumId w:val="136"/>
  </w:num>
  <w:num w:numId="38">
    <w:abstractNumId w:val="177"/>
  </w:num>
  <w:num w:numId="39">
    <w:abstractNumId w:val="327"/>
  </w:num>
  <w:num w:numId="40">
    <w:abstractNumId w:val="20"/>
  </w:num>
  <w:num w:numId="41">
    <w:abstractNumId w:val="215"/>
  </w:num>
  <w:num w:numId="42">
    <w:abstractNumId w:val="280"/>
  </w:num>
  <w:num w:numId="43">
    <w:abstractNumId w:val="131"/>
  </w:num>
  <w:num w:numId="44">
    <w:abstractNumId w:val="57"/>
  </w:num>
  <w:num w:numId="45">
    <w:abstractNumId w:val="210"/>
  </w:num>
  <w:num w:numId="46">
    <w:abstractNumId w:val="244"/>
  </w:num>
  <w:num w:numId="47">
    <w:abstractNumId w:val="152"/>
  </w:num>
  <w:num w:numId="48">
    <w:abstractNumId w:val="338"/>
  </w:num>
  <w:num w:numId="49">
    <w:abstractNumId w:val="100"/>
  </w:num>
  <w:num w:numId="50">
    <w:abstractNumId w:val="155"/>
  </w:num>
  <w:num w:numId="51">
    <w:abstractNumId w:val="258"/>
  </w:num>
  <w:num w:numId="52">
    <w:abstractNumId w:val="143"/>
  </w:num>
  <w:num w:numId="53">
    <w:abstractNumId w:val="176"/>
  </w:num>
  <w:num w:numId="54">
    <w:abstractNumId w:val="61"/>
  </w:num>
  <w:num w:numId="55">
    <w:abstractNumId w:val="297"/>
  </w:num>
  <w:num w:numId="56">
    <w:abstractNumId w:val="260"/>
  </w:num>
  <w:num w:numId="57">
    <w:abstractNumId w:val="112"/>
  </w:num>
  <w:num w:numId="58">
    <w:abstractNumId w:val="62"/>
  </w:num>
  <w:num w:numId="59">
    <w:abstractNumId w:val="224"/>
  </w:num>
  <w:num w:numId="60">
    <w:abstractNumId w:val="279"/>
  </w:num>
  <w:num w:numId="61">
    <w:abstractNumId w:val="255"/>
  </w:num>
  <w:num w:numId="62">
    <w:abstractNumId w:val="164"/>
  </w:num>
  <w:num w:numId="63">
    <w:abstractNumId w:val="246"/>
  </w:num>
  <w:num w:numId="64">
    <w:abstractNumId w:val="237"/>
  </w:num>
  <w:num w:numId="65">
    <w:abstractNumId w:val="75"/>
  </w:num>
  <w:num w:numId="66">
    <w:abstractNumId w:val="145"/>
  </w:num>
  <w:num w:numId="67">
    <w:abstractNumId w:val="239"/>
  </w:num>
  <w:num w:numId="68">
    <w:abstractNumId w:val="277"/>
  </w:num>
  <w:num w:numId="69">
    <w:abstractNumId w:val="232"/>
  </w:num>
  <w:num w:numId="70">
    <w:abstractNumId w:val="263"/>
  </w:num>
  <w:num w:numId="71">
    <w:abstractNumId w:val="296"/>
  </w:num>
  <w:num w:numId="72">
    <w:abstractNumId w:val="44"/>
  </w:num>
  <w:num w:numId="73">
    <w:abstractNumId w:val="154"/>
  </w:num>
  <w:num w:numId="74">
    <w:abstractNumId w:val="12"/>
  </w:num>
  <w:num w:numId="75">
    <w:abstractNumId w:val="161"/>
  </w:num>
  <w:num w:numId="76">
    <w:abstractNumId w:val="133"/>
  </w:num>
  <w:num w:numId="77">
    <w:abstractNumId w:val="330"/>
  </w:num>
  <w:num w:numId="78">
    <w:abstractNumId w:val="270"/>
  </w:num>
  <w:num w:numId="79">
    <w:abstractNumId w:val="33"/>
  </w:num>
  <w:num w:numId="80">
    <w:abstractNumId w:val="106"/>
  </w:num>
  <w:num w:numId="81">
    <w:abstractNumId w:val="175"/>
  </w:num>
  <w:num w:numId="82">
    <w:abstractNumId w:val="18"/>
  </w:num>
  <w:num w:numId="83">
    <w:abstractNumId w:val="318"/>
  </w:num>
  <w:num w:numId="84">
    <w:abstractNumId w:val="27"/>
  </w:num>
  <w:num w:numId="85">
    <w:abstractNumId w:val="119"/>
  </w:num>
  <w:num w:numId="86">
    <w:abstractNumId w:val="153"/>
  </w:num>
  <w:num w:numId="87">
    <w:abstractNumId w:val="218"/>
  </w:num>
  <w:num w:numId="88">
    <w:abstractNumId w:val="325"/>
  </w:num>
  <w:num w:numId="89">
    <w:abstractNumId w:val="183"/>
  </w:num>
  <w:num w:numId="90">
    <w:abstractNumId w:val="213"/>
  </w:num>
  <w:num w:numId="91">
    <w:abstractNumId w:val="314"/>
  </w:num>
  <w:num w:numId="92">
    <w:abstractNumId w:val="85"/>
  </w:num>
  <w:num w:numId="93">
    <w:abstractNumId w:val="166"/>
  </w:num>
  <w:num w:numId="94">
    <w:abstractNumId w:val="285"/>
  </w:num>
  <w:num w:numId="95">
    <w:abstractNumId w:val="46"/>
  </w:num>
  <w:num w:numId="96">
    <w:abstractNumId w:val="308"/>
  </w:num>
  <w:num w:numId="97">
    <w:abstractNumId w:val="214"/>
  </w:num>
  <w:num w:numId="98">
    <w:abstractNumId w:val="291"/>
  </w:num>
  <w:num w:numId="99">
    <w:abstractNumId w:val="286"/>
  </w:num>
  <w:num w:numId="100">
    <w:abstractNumId w:val="156"/>
  </w:num>
  <w:num w:numId="101">
    <w:abstractNumId w:val="205"/>
  </w:num>
  <w:num w:numId="102">
    <w:abstractNumId w:val="139"/>
  </w:num>
  <w:num w:numId="103">
    <w:abstractNumId w:val="5"/>
  </w:num>
  <w:num w:numId="104">
    <w:abstractNumId w:val="293"/>
  </w:num>
  <w:num w:numId="105">
    <w:abstractNumId w:val="10"/>
  </w:num>
  <w:num w:numId="106">
    <w:abstractNumId w:val="170"/>
  </w:num>
  <w:num w:numId="107">
    <w:abstractNumId w:val="63"/>
  </w:num>
  <w:num w:numId="108">
    <w:abstractNumId w:val="26"/>
  </w:num>
  <w:num w:numId="109">
    <w:abstractNumId w:val="68"/>
  </w:num>
  <w:num w:numId="110">
    <w:abstractNumId w:val="235"/>
  </w:num>
  <w:num w:numId="111">
    <w:abstractNumId w:val="30"/>
  </w:num>
  <w:num w:numId="112">
    <w:abstractNumId w:val="185"/>
  </w:num>
  <w:num w:numId="113">
    <w:abstractNumId w:val="78"/>
  </w:num>
  <w:num w:numId="114">
    <w:abstractNumId w:val="211"/>
  </w:num>
  <w:num w:numId="115">
    <w:abstractNumId w:val="307"/>
  </w:num>
  <w:num w:numId="116">
    <w:abstractNumId w:val="238"/>
  </w:num>
  <w:num w:numId="117">
    <w:abstractNumId w:val="17"/>
  </w:num>
  <w:num w:numId="118">
    <w:abstractNumId w:val="32"/>
  </w:num>
  <w:num w:numId="119">
    <w:abstractNumId w:val="82"/>
  </w:num>
  <w:num w:numId="120">
    <w:abstractNumId w:val="144"/>
  </w:num>
  <w:num w:numId="121">
    <w:abstractNumId w:val="266"/>
  </w:num>
  <w:num w:numId="122">
    <w:abstractNumId w:val="321"/>
  </w:num>
  <w:num w:numId="123">
    <w:abstractNumId w:val="130"/>
  </w:num>
  <w:num w:numId="124">
    <w:abstractNumId w:val="217"/>
  </w:num>
  <w:num w:numId="125">
    <w:abstractNumId w:val="323"/>
  </w:num>
  <w:num w:numId="126">
    <w:abstractNumId w:val="128"/>
  </w:num>
  <w:num w:numId="127">
    <w:abstractNumId w:val="64"/>
  </w:num>
  <w:num w:numId="128">
    <w:abstractNumId w:val="195"/>
  </w:num>
  <w:num w:numId="129">
    <w:abstractNumId w:val="216"/>
  </w:num>
  <w:num w:numId="130">
    <w:abstractNumId w:val="71"/>
  </w:num>
  <w:num w:numId="131">
    <w:abstractNumId w:val="35"/>
  </w:num>
  <w:num w:numId="132">
    <w:abstractNumId w:val="333"/>
  </w:num>
  <w:num w:numId="133">
    <w:abstractNumId w:val="181"/>
  </w:num>
  <w:num w:numId="134">
    <w:abstractNumId w:val="1"/>
  </w:num>
  <w:num w:numId="135">
    <w:abstractNumId w:val="50"/>
  </w:num>
  <w:num w:numId="136">
    <w:abstractNumId w:val="92"/>
  </w:num>
  <w:num w:numId="137">
    <w:abstractNumId w:val="198"/>
  </w:num>
  <w:num w:numId="138">
    <w:abstractNumId w:val="245"/>
  </w:num>
  <w:num w:numId="139">
    <w:abstractNumId w:val="187"/>
  </w:num>
  <w:num w:numId="140">
    <w:abstractNumId w:val="332"/>
  </w:num>
  <w:num w:numId="141">
    <w:abstractNumId w:val="13"/>
  </w:num>
  <w:num w:numId="142">
    <w:abstractNumId w:val="252"/>
  </w:num>
  <w:num w:numId="143">
    <w:abstractNumId w:val="2"/>
  </w:num>
  <w:num w:numId="144">
    <w:abstractNumId w:val="229"/>
  </w:num>
  <w:num w:numId="145">
    <w:abstractNumId w:val="95"/>
  </w:num>
  <w:num w:numId="146">
    <w:abstractNumId w:val="169"/>
  </w:num>
  <w:num w:numId="147">
    <w:abstractNumId w:val="209"/>
  </w:num>
  <w:num w:numId="148">
    <w:abstractNumId w:val="8"/>
  </w:num>
  <w:num w:numId="149">
    <w:abstractNumId w:val="202"/>
  </w:num>
  <w:num w:numId="150">
    <w:abstractNumId w:val="191"/>
  </w:num>
  <w:num w:numId="151">
    <w:abstractNumId w:val="261"/>
  </w:num>
  <w:num w:numId="152">
    <w:abstractNumId w:val="76"/>
  </w:num>
  <w:num w:numId="153">
    <w:abstractNumId w:val="192"/>
  </w:num>
  <w:num w:numId="154">
    <w:abstractNumId w:val="115"/>
  </w:num>
  <w:num w:numId="155">
    <w:abstractNumId w:val="94"/>
  </w:num>
  <w:num w:numId="156">
    <w:abstractNumId w:val="328"/>
  </w:num>
  <w:num w:numId="157">
    <w:abstractNumId w:val="118"/>
  </w:num>
  <w:num w:numId="158">
    <w:abstractNumId w:val="275"/>
  </w:num>
  <w:num w:numId="159">
    <w:abstractNumId w:val="120"/>
  </w:num>
  <w:num w:numId="160">
    <w:abstractNumId w:val="132"/>
  </w:num>
  <w:num w:numId="161">
    <w:abstractNumId w:val="122"/>
  </w:num>
  <w:num w:numId="162">
    <w:abstractNumId w:val="151"/>
  </w:num>
  <w:num w:numId="163">
    <w:abstractNumId w:val="14"/>
  </w:num>
  <w:num w:numId="164">
    <w:abstractNumId w:val="303"/>
  </w:num>
  <w:num w:numId="165">
    <w:abstractNumId w:val="249"/>
  </w:num>
  <w:num w:numId="166">
    <w:abstractNumId w:val="96"/>
  </w:num>
  <w:num w:numId="167">
    <w:abstractNumId w:val="204"/>
  </w:num>
  <w:num w:numId="168">
    <w:abstractNumId w:val="208"/>
  </w:num>
  <w:num w:numId="169">
    <w:abstractNumId w:val="172"/>
  </w:num>
  <w:num w:numId="170">
    <w:abstractNumId w:val="16"/>
  </w:num>
  <w:num w:numId="171">
    <w:abstractNumId w:val="234"/>
  </w:num>
  <w:num w:numId="172">
    <w:abstractNumId w:val="138"/>
  </w:num>
  <w:num w:numId="173">
    <w:abstractNumId w:val="298"/>
  </w:num>
  <w:num w:numId="174">
    <w:abstractNumId w:val="36"/>
  </w:num>
  <w:num w:numId="175">
    <w:abstractNumId w:val="329"/>
  </w:num>
  <w:num w:numId="176">
    <w:abstractNumId w:val="54"/>
  </w:num>
  <w:num w:numId="177">
    <w:abstractNumId w:val="200"/>
  </w:num>
  <w:num w:numId="178">
    <w:abstractNumId w:val="283"/>
  </w:num>
  <w:num w:numId="179">
    <w:abstractNumId w:val="7"/>
  </w:num>
  <w:num w:numId="180">
    <w:abstractNumId w:val="111"/>
  </w:num>
  <w:num w:numId="181">
    <w:abstractNumId w:val="223"/>
  </w:num>
  <w:num w:numId="182">
    <w:abstractNumId w:val="25"/>
  </w:num>
  <w:num w:numId="183">
    <w:abstractNumId w:val="316"/>
  </w:num>
  <w:num w:numId="184">
    <w:abstractNumId w:val="98"/>
  </w:num>
  <w:num w:numId="185">
    <w:abstractNumId w:val="305"/>
  </w:num>
  <w:num w:numId="186">
    <w:abstractNumId w:val="45"/>
  </w:num>
  <w:num w:numId="187">
    <w:abstractNumId w:val="9"/>
  </w:num>
  <w:num w:numId="188">
    <w:abstractNumId w:val="240"/>
  </w:num>
  <w:num w:numId="189">
    <w:abstractNumId w:val="171"/>
  </w:num>
  <w:num w:numId="190">
    <w:abstractNumId w:val="135"/>
  </w:num>
  <w:num w:numId="191">
    <w:abstractNumId w:val="199"/>
  </w:num>
  <w:num w:numId="192">
    <w:abstractNumId w:val="3"/>
  </w:num>
  <w:num w:numId="193">
    <w:abstractNumId w:val="99"/>
  </w:num>
  <w:num w:numId="194">
    <w:abstractNumId w:val="123"/>
  </w:num>
  <w:num w:numId="195">
    <w:abstractNumId w:val="83"/>
  </w:num>
  <w:num w:numId="196">
    <w:abstractNumId w:val="184"/>
  </w:num>
  <w:num w:numId="197">
    <w:abstractNumId w:val="317"/>
  </w:num>
  <w:num w:numId="198">
    <w:abstractNumId w:val="250"/>
  </w:num>
  <w:num w:numId="199">
    <w:abstractNumId w:val="127"/>
  </w:num>
  <w:num w:numId="200">
    <w:abstractNumId w:val="272"/>
  </w:num>
  <w:num w:numId="201">
    <w:abstractNumId w:val="134"/>
  </w:num>
  <w:num w:numId="202">
    <w:abstractNumId w:val="207"/>
  </w:num>
  <w:num w:numId="203">
    <w:abstractNumId w:val="137"/>
  </w:num>
  <w:num w:numId="204">
    <w:abstractNumId w:val="267"/>
  </w:num>
  <w:num w:numId="205">
    <w:abstractNumId w:val="264"/>
  </w:num>
  <w:num w:numId="206">
    <w:abstractNumId w:val="48"/>
  </w:num>
  <w:num w:numId="207">
    <w:abstractNumId w:val="41"/>
  </w:num>
  <w:num w:numId="208">
    <w:abstractNumId w:val="268"/>
  </w:num>
  <w:num w:numId="209">
    <w:abstractNumId w:val="87"/>
  </w:num>
  <w:num w:numId="210">
    <w:abstractNumId w:val="201"/>
  </w:num>
  <w:num w:numId="211">
    <w:abstractNumId w:val="148"/>
  </w:num>
  <w:num w:numId="212">
    <w:abstractNumId w:val="243"/>
  </w:num>
  <w:num w:numId="213">
    <w:abstractNumId w:val="72"/>
  </w:num>
  <w:num w:numId="214">
    <w:abstractNumId w:val="19"/>
  </w:num>
  <w:num w:numId="215">
    <w:abstractNumId w:val="276"/>
  </w:num>
  <w:num w:numId="216">
    <w:abstractNumId w:val="282"/>
  </w:num>
  <w:num w:numId="217">
    <w:abstractNumId w:val="326"/>
  </w:num>
  <w:num w:numId="218">
    <w:abstractNumId w:val="21"/>
  </w:num>
  <w:num w:numId="219">
    <w:abstractNumId w:val="168"/>
  </w:num>
  <w:num w:numId="220">
    <w:abstractNumId w:val="31"/>
  </w:num>
  <w:num w:numId="221">
    <w:abstractNumId w:val="109"/>
  </w:num>
  <w:num w:numId="222">
    <w:abstractNumId w:val="11"/>
  </w:num>
  <w:num w:numId="223">
    <w:abstractNumId w:val="196"/>
  </w:num>
  <w:num w:numId="224">
    <w:abstractNumId w:val="331"/>
  </w:num>
  <w:num w:numId="225">
    <w:abstractNumId w:val="322"/>
  </w:num>
  <w:num w:numId="226">
    <w:abstractNumId w:val="104"/>
  </w:num>
  <w:num w:numId="227">
    <w:abstractNumId w:val="339"/>
  </w:num>
  <w:num w:numId="228">
    <w:abstractNumId w:val="241"/>
  </w:num>
  <w:num w:numId="229">
    <w:abstractNumId w:val="193"/>
  </w:num>
  <w:num w:numId="230">
    <w:abstractNumId w:val="91"/>
  </w:num>
  <w:num w:numId="231">
    <w:abstractNumId w:val="38"/>
  </w:num>
  <w:num w:numId="232">
    <w:abstractNumId w:val="29"/>
  </w:num>
  <w:num w:numId="233">
    <w:abstractNumId w:val="107"/>
  </w:num>
  <w:num w:numId="234">
    <w:abstractNumId w:val="81"/>
  </w:num>
  <w:num w:numId="235">
    <w:abstractNumId w:val="312"/>
  </w:num>
  <w:num w:numId="236">
    <w:abstractNumId w:val="53"/>
  </w:num>
  <w:num w:numId="237">
    <w:abstractNumId w:val="49"/>
  </w:num>
  <w:num w:numId="238">
    <w:abstractNumId w:val="265"/>
  </w:num>
  <w:num w:numId="239">
    <w:abstractNumId w:val="89"/>
    <w:lvlOverride w:ilvl="0">
      <w:startOverride w:val="1"/>
    </w:lvlOverride>
  </w:num>
  <w:num w:numId="240">
    <w:abstractNumId w:val="227"/>
  </w:num>
  <w:num w:numId="241">
    <w:abstractNumId w:val="219"/>
  </w:num>
  <w:num w:numId="242">
    <w:abstractNumId w:val="254"/>
  </w:num>
  <w:num w:numId="243">
    <w:abstractNumId w:val="84"/>
  </w:num>
  <w:num w:numId="244">
    <w:abstractNumId w:val="117"/>
  </w:num>
  <w:num w:numId="245">
    <w:abstractNumId w:val="290"/>
  </w:num>
  <w:num w:numId="246">
    <w:abstractNumId w:val="284"/>
  </w:num>
  <w:num w:numId="247">
    <w:abstractNumId w:val="319"/>
  </w:num>
  <w:num w:numId="248">
    <w:abstractNumId w:val="51"/>
  </w:num>
  <w:num w:numId="249">
    <w:abstractNumId w:val="165"/>
  </w:num>
  <w:num w:numId="250">
    <w:abstractNumId w:val="80"/>
  </w:num>
  <w:num w:numId="251">
    <w:abstractNumId w:val="70"/>
  </w:num>
  <w:num w:numId="252">
    <w:abstractNumId w:val="256"/>
  </w:num>
  <w:num w:numId="253">
    <w:abstractNumId w:val="179"/>
  </w:num>
  <w:num w:numId="254">
    <w:abstractNumId w:val="295"/>
  </w:num>
  <w:num w:numId="255">
    <w:abstractNumId w:val="103"/>
  </w:num>
  <w:num w:numId="256">
    <w:abstractNumId w:val="47"/>
  </w:num>
  <w:num w:numId="257">
    <w:abstractNumId w:val="74"/>
  </w:num>
  <w:num w:numId="258">
    <w:abstractNumId w:val="114"/>
  </w:num>
  <w:num w:numId="259">
    <w:abstractNumId w:val="212"/>
  </w:num>
  <w:num w:numId="260">
    <w:abstractNumId w:val="197"/>
  </w:num>
  <w:num w:numId="261">
    <w:abstractNumId w:val="335"/>
  </w:num>
  <w:num w:numId="262">
    <w:abstractNumId w:val="253"/>
  </w:num>
  <w:num w:numId="263">
    <w:abstractNumId w:val="28"/>
  </w:num>
  <w:num w:numId="264">
    <w:abstractNumId w:val="311"/>
  </w:num>
  <w:num w:numId="265">
    <w:abstractNumId w:val="231"/>
  </w:num>
  <w:num w:numId="266">
    <w:abstractNumId w:val="158"/>
  </w:num>
  <w:num w:numId="267">
    <w:abstractNumId w:val="190"/>
  </w:num>
  <w:num w:numId="268">
    <w:abstractNumId w:val="167"/>
  </w:num>
  <w:num w:numId="269">
    <w:abstractNumId w:val="220"/>
  </w:num>
  <w:num w:numId="270">
    <w:abstractNumId w:val="101"/>
  </w:num>
  <w:num w:numId="271">
    <w:abstractNumId w:val="340"/>
  </w:num>
  <w:num w:numId="272">
    <w:abstractNumId w:val="88"/>
  </w:num>
  <w:num w:numId="273">
    <w:abstractNumId w:val="186"/>
  </w:num>
  <w:num w:numId="274">
    <w:abstractNumId w:val="142"/>
  </w:num>
  <w:num w:numId="275">
    <w:abstractNumId w:val="269"/>
  </w:num>
  <w:num w:numId="276">
    <w:abstractNumId w:val="230"/>
  </w:num>
  <w:num w:numId="277">
    <w:abstractNumId w:val="90"/>
  </w:num>
  <w:num w:numId="278">
    <w:abstractNumId w:val="37"/>
  </w:num>
  <w:num w:numId="279">
    <w:abstractNumId w:val="129"/>
  </w:num>
  <w:num w:numId="280">
    <w:abstractNumId w:val="278"/>
  </w:num>
  <w:num w:numId="281">
    <w:abstractNumId w:val="66"/>
  </w:num>
  <w:num w:numId="282">
    <w:abstractNumId w:val="141"/>
  </w:num>
  <w:num w:numId="283">
    <w:abstractNumId w:val="182"/>
  </w:num>
  <w:num w:numId="284">
    <w:abstractNumId w:val="58"/>
  </w:num>
  <w:num w:numId="285">
    <w:abstractNumId w:val="302"/>
  </w:num>
  <w:num w:numId="286">
    <w:abstractNumId w:val="271"/>
  </w:num>
  <w:num w:numId="287">
    <w:abstractNumId w:val="86"/>
  </w:num>
  <w:num w:numId="288">
    <w:abstractNumId w:val="247"/>
  </w:num>
  <w:num w:numId="289">
    <w:abstractNumId w:val="157"/>
  </w:num>
  <w:num w:numId="290">
    <w:abstractNumId w:val="222"/>
  </w:num>
  <w:num w:numId="291">
    <w:abstractNumId w:val="60"/>
  </w:num>
  <w:num w:numId="292">
    <w:abstractNumId w:val="43"/>
  </w:num>
  <w:num w:numId="293">
    <w:abstractNumId w:val="15"/>
  </w:num>
  <w:num w:numId="294">
    <w:abstractNumId w:val="320"/>
  </w:num>
  <w:num w:numId="295">
    <w:abstractNumId w:val="206"/>
  </w:num>
  <w:num w:numId="296">
    <w:abstractNumId w:val="248"/>
  </w:num>
  <w:num w:numId="297">
    <w:abstractNumId w:val="146"/>
  </w:num>
  <w:num w:numId="298">
    <w:abstractNumId w:val="125"/>
  </w:num>
  <w:num w:numId="299">
    <w:abstractNumId w:val="306"/>
  </w:num>
  <w:num w:numId="300">
    <w:abstractNumId w:val="337"/>
  </w:num>
  <w:num w:numId="301">
    <w:abstractNumId w:val="147"/>
  </w:num>
  <w:num w:numId="302">
    <w:abstractNumId w:val="281"/>
  </w:num>
  <w:num w:numId="303">
    <w:abstractNumId w:val="336"/>
  </w:num>
  <w:num w:numId="304">
    <w:abstractNumId w:val="42"/>
  </w:num>
  <w:num w:numId="305">
    <w:abstractNumId w:val="189"/>
  </w:num>
  <w:num w:numId="306">
    <w:abstractNumId w:val="79"/>
  </w:num>
  <w:num w:numId="307">
    <w:abstractNumId w:val="105"/>
  </w:num>
  <w:num w:numId="308">
    <w:abstractNumId w:val="173"/>
  </w:num>
  <w:num w:numId="309">
    <w:abstractNumId w:val="126"/>
  </w:num>
  <w:num w:numId="310">
    <w:abstractNumId w:val="259"/>
  </w:num>
  <w:num w:numId="311">
    <w:abstractNumId w:val="228"/>
  </w:num>
  <w:num w:numId="312">
    <w:abstractNumId w:val="262"/>
  </w:num>
  <w:num w:numId="313">
    <w:abstractNumId w:val="23"/>
  </w:num>
  <w:num w:numId="314">
    <w:abstractNumId w:val="299"/>
  </w:num>
  <w:num w:numId="315">
    <w:abstractNumId w:val="233"/>
  </w:num>
  <w:num w:numId="316">
    <w:abstractNumId w:val="304"/>
  </w:num>
  <w:num w:numId="317">
    <w:abstractNumId w:val="6"/>
  </w:num>
  <w:num w:numId="318">
    <w:abstractNumId w:val="225"/>
  </w:num>
  <w:num w:numId="319">
    <w:abstractNumId w:val="301"/>
  </w:num>
  <w:num w:numId="320">
    <w:abstractNumId w:val="288"/>
  </w:num>
  <w:num w:numId="321">
    <w:abstractNumId w:val="313"/>
  </w:num>
  <w:num w:numId="322">
    <w:abstractNumId w:val="163"/>
  </w:num>
  <w:num w:numId="323">
    <w:abstractNumId w:val="310"/>
  </w:num>
  <w:num w:numId="324">
    <w:abstractNumId w:val="180"/>
  </w:num>
  <w:num w:numId="325">
    <w:abstractNumId w:val="59"/>
  </w:num>
  <w:num w:numId="326">
    <w:abstractNumId w:val="178"/>
  </w:num>
  <w:num w:numId="327">
    <w:abstractNumId w:val="52"/>
  </w:num>
  <w:num w:numId="328">
    <w:abstractNumId w:val="226"/>
  </w:num>
  <w:num w:numId="329">
    <w:abstractNumId w:val="294"/>
  </w:num>
  <w:num w:numId="330">
    <w:abstractNumId w:val="203"/>
  </w:num>
  <w:num w:numId="331">
    <w:abstractNumId w:val="251"/>
  </w:num>
  <w:num w:numId="332">
    <w:abstractNumId w:val="77"/>
  </w:num>
  <w:num w:numId="333">
    <w:abstractNumId w:val="221"/>
  </w:num>
  <w:num w:numId="334">
    <w:abstractNumId w:val="140"/>
  </w:num>
  <w:num w:numId="335">
    <w:abstractNumId w:val="0"/>
  </w:num>
  <w:num w:numId="336">
    <w:abstractNumId w:val="287"/>
  </w:num>
  <w:num w:numId="337">
    <w:abstractNumId w:val="188"/>
  </w:num>
  <w:num w:numId="338">
    <w:abstractNumId w:val="116"/>
  </w:num>
  <w:num w:numId="339">
    <w:abstractNumId w:val="174"/>
  </w:num>
  <w:num w:numId="340">
    <w:abstractNumId w:val="121"/>
  </w:num>
  <w:num w:numId="341">
    <w:abstractNumId w:val="257"/>
  </w:num>
  <w:numIdMacAtCleanup w:val="3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BEA"/>
    <w:rsid w:val="00004DBE"/>
    <w:rsid w:val="000130D1"/>
    <w:rsid w:val="000361F3"/>
    <w:rsid w:val="000408D3"/>
    <w:rsid w:val="000412D4"/>
    <w:rsid w:val="0004185E"/>
    <w:rsid w:val="00061FD0"/>
    <w:rsid w:val="000977B2"/>
    <w:rsid w:val="000A5EA6"/>
    <w:rsid w:val="000B3011"/>
    <w:rsid w:val="000C2027"/>
    <w:rsid w:val="000C2661"/>
    <w:rsid w:val="000F52F7"/>
    <w:rsid w:val="000F65EA"/>
    <w:rsid w:val="000F65FD"/>
    <w:rsid w:val="00127B95"/>
    <w:rsid w:val="00135BD8"/>
    <w:rsid w:val="00155ABB"/>
    <w:rsid w:val="00157CA4"/>
    <w:rsid w:val="001759AF"/>
    <w:rsid w:val="00177338"/>
    <w:rsid w:val="0017755E"/>
    <w:rsid w:val="00183D4E"/>
    <w:rsid w:val="00195A39"/>
    <w:rsid w:val="001A5A05"/>
    <w:rsid w:val="001B107F"/>
    <w:rsid w:val="001C1C01"/>
    <w:rsid w:val="001D4285"/>
    <w:rsid w:val="001E7E55"/>
    <w:rsid w:val="001F2812"/>
    <w:rsid w:val="001F4F7F"/>
    <w:rsid w:val="001F767D"/>
    <w:rsid w:val="002017DD"/>
    <w:rsid w:val="002027A8"/>
    <w:rsid w:val="00212BEA"/>
    <w:rsid w:val="00220C29"/>
    <w:rsid w:val="0022168E"/>
    <w:rsid w:val="00241D1D"/>
    <w:rsid w:val="00246CE9"/>
    <w:rsid w:val="00250994"/>
    <w:rsid w:val="002514D7"/>
    <w:rsid w:val="00262519"/>
    <w:rsid w:val="002731DB"/>
    <w:rsid w:val="00275A9E"/>
    <w:rsid w:val="002818FA"/>
    <w:rsid w:val="00291EE1"/>
    <w:rsid w:val="002A2125"/>
    <w:rsid w:val="002A533C"/>
    <w:rsid w:val="002B0B8C"/>
    <w:rsid w:val="002C0058"/>
    <w:rsid w:val="002E2D5C"/>
    <w:rsid w:val="002E53BF"/>
    <w:rsid w:val="002E688A"/>
    <w:rsid w:val="002E6BD1"/>
    <w:rsid w:val="00311C07"/>
    <w:rsid w:val="003510CF"/>
    <w:rsid w:val="0035473C"/>
    <w:rsid w:val="00360C1E"/>
    <w:rsid w:val="00366C59"/>
    <w:rsid w:val="003679F2"/>
    <w:rsid w:val="00381192"/>
    <w:rsid w:val="003839C9"/>
    <w:rsid w:val="00385FA5"/>
    <w:rsid w:val="00392F7C"/>
    <w:rsid w:val="003A6776"/>
    <w:rsid w:val="003A7E3D"/>
    <w:rsid w:val="003B504B"/>
    <w:rsid w:val="004058A6"/>
    <w:rsid w:val="00412EA7"/>
    <w:rsid w:val="0041742A"/>
    <w:rsid w:val="0042148B"/>
    <w:rsid w:val="0042207F"/>
    <w:rsid w:val="004303D3"/>
    <w:rsid w:val="00430919"/>
    <w:rsid w:val="00437681"/>
    <w:rsid w:val="00440876"/>
    <w:rsid w:val="004515A7"/>
    <w:rsid w:val="00455102"/>
    <w:rsid w:val="004660BB"/>
    <w:rsid w:val="00466F0F"/>
    <w:rsid w:val="004735E3"/>
    <w:rsid w:val="00477B96"/>
    <w:rsid w:val="00487138"/>
    <w:rsid w:val="00490E64"/>
    <w:rsid w:val="004B64CC"/>
    <w:rsid w:val="004D0D73"/>
    <w:rsid w:val="004E58E6"/>
    <w:rsid w:val="004F5DA1"/>
    <w:rsid w:val="0050192A"/>
    <w:rsid w:val="00501B28"/>
    <w:rsid w:val="005041CD"/>
    <w:rsid w:val="00523154"/>
    <w:rsid w:val="00526119"/>
    <w:rsid w:val="005309C0"/>
    <w:rsid w:val="005349B7"/>
    <w:rsid w:val="00540248"/>
    <w:rsid w:val="00562F2E"/>
    <w:rsid w:val="005A1114"/>
    <w:rsid w:val="005A1186"/>
    <w:rsid w:val="005A1FEF"/>
    <w:rsid w:val="005A311B"/>
    <w:rsid w:val="005D7253"/>
    <w:rsid w:val="005F14A5"/>
    <w:rsid w:val="005F4534"/>
    <w:rsid w:val="005F69BC"/>
    <w:rsid w:val="00604D0B"/>
    <w:rsid w:val="00630576"/>
    <w:rsid w:val="006312E8"/>
    <w:rsid w:val="00654272"/>
    <w:rsid w:val="006620AD"/>
    <w:rsid w:val="0066746D"/>
    <w:rsid w:val="00676657"/>
    <w:rsid w:val="006F140F"/>
    <w:rsid w:val="006F4A2A"/>
    <w:rsid w:val="006F5940"/>
    <w:rsid w:val="007216B0"/>
    <w:rsid w:val="00725066"/>
    <w:rsid w:val="00725922"/>
    <w:rsid w:val="00735F86"/>
    <w:rsid w:val="0074361B"/>
    <w:rsid w:val="00747E3E"/>
    <w:rsid w:val="0075594F"/>
    <w:rsid w:val="007605EA"/>
    <w:rsid w:val="007679F6"/>
    <w:rsid w:val="007A64FA"/>
    <w:rsid w:val="007C1680"/>
    <w:rsid w:val="007C5FD0"/>
    <w:rsid w:val="007E5AD0"/>
    <w:rsid w:val="007F13DC"/>
    <w:rsid w:val="007F2AC8"/>
    <w:rsid w:val="007F56F0"/>
    <w:rsid w:val="0080295E"/>
    <w:rsid w:val="00822FA5"/>
    <w:rsid w:val="0082444B"/>
    <w:rsid w:val="00831889"/>
    <w:rsid w:val="008423AA"/>
    <w:rsid w:val="0086320B"/>
    <w:rsid w:val="00881964"/>
    <w:rsid w:val="00887349"/>
    <w:rsid w:val="008C05F7"/>
    <w:rsid w:val="008C2FF1"/>
    <w:rsid w:val="008F287C"/>
    <w:rsid w:val="008F3087"/>
    <w:rsid w:val="008F41D4"/>
    <w:rsid w:val="008F44D2"/>
    <w:rsid w:val="008F5DE8"/>
    <w:rsid w:val="00904A9B"/>
    <w:rsid w:val="0092471C"/>
    <w:rsid w:val="009472BF"/>
    <w:rsid w:val="0095311D"/>
    <w:rsid w:val="00965BA5"/>
    <w:rsid w:val="0096741E"/>
    <w:rsid w:val="00994010"/>
    <w:rsid w:val="009D2FD1"/>
    <w:rsid w:val="009E06DB"/>
    <w:rsid w:val="009F1BE3"/>
    <w:rsid w:val="00A02A15"/>
    <w:rsid w:val="00A0651C"/>
    <w:rsid w:val="00A14659"/>
    <w:rsid w:val="00A50DDE"/>
    <w:rsid w:val="00A57CDE"/>
    <w:rsid w:val="00A65CD8"/>
    <w:rsid w:val="00A76052"/>
    <w:rsid w:val="00A85304"/>
    <w:rsid w:val="00A912FD"/>
    <w:rsid w:val="00A95784"/>
    <w:rsid w:val="00AA2D63"/>
    <w:rsid w:val="00AA4B1C"/>
    <w:rsid w:val="00B00199"/>
    <w:rsid w:val="00B01FF7"/>
    <w:rsid w:val="00B02770"/>
    <w:rsid w:val="00B32596"/>
    <w:rsid w:val="00B3318A"/>
    <w:rsid w:val="00B365A4"/>
    <w:rsid w:val="00B5723A"/>
    <w:rsid w:val="00B57902"/>
    <w:rsid w:val="00B71B75"/>
    <w:rsid w:val="00B72042"/>
    <w:rsid w:val="00B83C23"/>
    <w:rsid w:val="00B91CE2"/>
    <w:rsid w:val="00B964AE"/>
    <w:rsid w:val="00BB59F6"/>
    <w:rsid w:val="00BE4D03"/>
    <w:rsid w:val="00BF425F"/>
    <w:rsid w:val="00BF4DA6"/>
    <w:rsid w:val="00C0291C"/>
    <w:rsid w:val="00C05F91"/>
    <w:rsid w:val="00C233C4"/>
    <w:rsid w:val="00C33571"/>
    <w:rsid w:val="00C37DB8"/>
    <w:rsid w:val="00C37F2B"/>
    <w:rsid w:val="00C50F16"/>
    <w:rsid w:val="00C60A91"/>
    <w:rsid w:val="00C61CE9"/>
    <w:rsid w:val="00C93279"/>
    <w:rsid w:val="00CA1E07"/>
    <w:rsid w:val="00CE1048"/>
    <w:rsid w:val="00CF5040"/>
    <w:rsid w:val="00D04998"/>
    <w:rsid w:val="00D060EB"/>
    <w:rsid w:val="00D22235"/>
    <w:rsid w:val="00D46B5D"/>
    <w:rsid w:val="00D5543E"/>
    <w:rsid w:val="00D56C81"/>
    <w:rsid w:val="00D63432"/>
    <w:rsid w:val="00D738A5"/>
    <w:rsid w:val="00D77D8F"/>
    <w:rsid w:val="00D83E45"/>
    <w:rsid w:val="00D91F1A"/>
    <w:rsid w:val="00D94B13"/>
    <w:rsid w:val="00DB1DCC"/>
    <w:rsid w:val="00DC3935"/>
    <w:rsid w:val="00DD3C8E"/>
    <w:rsid w:val="00DE310B"/>
    <w:rsid w:val="00DE799F"/>
    <w:rsid w:val="00DF0797"/>
    <w:rsid w:val="00DF401E"/>
    <w:rsid w:val="00DF54A8"/>
    <w:rsid w:val="00E104C8"/>
    <w:rsid w:val="00E12642"/>
    <w:rsid w:val="00E473F8"/>
    <w:rsid w:val="00E615F5"/>
    <w:rsid w:val="00E65A13"/>
    <w:rsid w:val="00E93FCB"/>
    <w:rsid w:val="00E97BAF"/>
    <w:rsid w:val="00EA0494"/>
    <w:rsid w:val="00EA5AA6"/>
    <w:rsid w:val="00F007A4"/>
    <w:rsid w:val="00F03CB6"/>
    <w:rsid w:val="00F04FB9"/>
    <w:rsid w:val="00F205B0"/>
    <w:rsid w:val="00F47618"/>
    <w:rsid w:val="00F66C6C"/>
    <w:rsid w:val="00F85C3E"/>
    <w:rsid w:val="00F91866"/>
    <w:rsid w:val="00FB5E8D"/>
    <w:rsid w:val="00FC4316"/>
    <w:rsid w:val="00FD044D"/>
    <w:rsid w:val="00FF09FC"/>
    <w:rsid w:val="00FF382F"/>
    <w:rsid w:val="00FF56F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61C4A190-63C0-49E2-A8AA-E143959AF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6312E8"/>
    <w:pPr>
      <w:keepNext/>
      <w:keepLines/>
      <w:spacing w:before="240" w:after="0"/>
      <w:outlineLvl w:val="0"/>
    </w:pPr>
    <w:rPr>
      <w:rFonts w:ascii="Cambria" w:eastAsia="Times New Roman" w:hAnsi="Cambria" w:cs="Times New Roman"/>
      <w:b/>
      <w:bCs/>
      <w:color w:val="365F91"/>
      <w:sz w:val="28"/>
      <w:szCs w:val="28"/>
    </w:rPr>
  </w:style>
  <w:style w:type="paragraph" w:styleId="Ttulo2">
    <w:name w:val="heading 2"/>
    <w:basedOn w:val="Normal"/>
    <w:next w:val="Normal"/>
    <w:link w:val="Ttulo2Car"/>
    <w:unhideWhenUsed/>
    <w:qFormat/>
    <w:rsid w:val="006312E8"/>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nhideWhenUsed/>
    <w:qFormat/>
    <w:rsid w:val="006312E8"/>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nhideWhenUsed/>
    <w:qFormat/>
    <w:rsid w:val="006312E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qFormat/>
    <w:rsid w:val="006312E8"/>
    <w:pPr>
      <w:keepNext/>
      <w:keepLines/>
      <w:spacing w:before="200" w:after="0" w:line="276" w:lineRule="auto"/>
      <w:outlineLvl w:val="4"/>
    </w:pPr>
    <w:rPr>
      <w:rFonts w:ascii="Cambria" w:eastAsia="Calibri" w:hAnsi="Cambria" w:cs="Times New Roman"/>
      <w:color w:val="243F60"/>
    </w:rPr>
  </w:style>
  <w:style w:type="paragraph" w:styleId="Ttulo6">
    <w:name w:val="heading 6"/>
    <w:basedOn w:val="Normal"/>
    <w:next w:val="Normal"/>
    <w:link w:val="Ttulo6Car"/>
    <w:qFormat/>
    <w:rsid w:val="006312E8"/>
    <w:pPr>
      <w:keepNext/>
      <w:keepLines/>
      <w:spacing w:before="200" w:after="0" w:line="276" w:lineRule="auto"/>
      <w:outlineLvl w:val="5"/>
    </w:pPr>
    <w:rPr>
      <w:rFonts w:ascii="Cambria" w:eastAsia="Calibri" w:hAnsi="Cambria" w:cs="Times New Roman"/>
      <w:i/>
      <w:iCs/>
      <w:color w:val="243F60"/>
    </w:rPr>
  </w:style>
  <w:style w:type="paragraph" w:styleId="Ttulo7">
    <w:name w:val="heading 7"/>
    <w:basedOn w:val="Normal"/>
    <w:next w:val="Normal"/>
    <w:link w:val="Ttulo7Car"/>
    <w:qFormat/>
    <w:rsid w:val="006312E8"/>
    <w:pPr>
      <w:keepNext/>
      <w:keepLines/>
      <w:spacing w:before="200" w:after="0" w:line="276" w:lineRule="auto"/>
      <w:outlineLvl w:val="6"/>
    </w:pPr>
    <w:rPr>
      <w:rFonts w:ascii="Cambria" w:eastAsia="Calibri" w:hAnsi="Cambria" w:cs="Times New Roman"/>
      <w:i/>
      <w:iCs/>
      <w:color w:val="404040"/>
    </w:rPr>
  </w:style>
  <w:style w:type="paragraph" w:styleId="Ttulo8">
    <w:name w:val="heading 8"/>
    <w:basedOn w:val="Normal"/>
    <w:next w:val="Normal"/>
    <w:link w:val="Ttulo8Car"/>
    <w:qFormat/>
    <w:rsid w:val="006312E8"/>
    <w:pPr>
      <w:keepNext/>
      <w:keepLines/>
      <w:spacing w:before="200" w:after="0" w:line="276" w:lineRule="auto"/>
      <w:outlineLvl w:val="7"/>
    </w:pPr>
    <w:rPr>
      <w:rFonts w:ascii="Cambria" w:eastAsia="Calibri" w:hAnsi="Cambria" w:cs="Times New Roman"/>
      <w:color w:val="404040"/>
      <w:sz w:val="20"/>
      <w:szCs w:val="20"/>
    </w:rPr>
  </w:style>
  <w:style w:type="paragraph" w:styleId="Ttulo9">
    <w:name w:val="heading 9"/>
    <w:basedOn w:val="Normal"/>
    <w:next w:val="Normal"/>
    <w:link w:val="Ttulo9Car"/>
    <w:qFormat/>
    <w:rsid w:val="006312E8"/>
    <w:pPr>
      <w:keepNext/>
      <w:keepLines/>
      <w:spacing w:before="200" w:after="0" w:line="276" w:lineRule="auto"/>
      <w:outlineLvl w:val="8"/>
    </w:pPr>
    <w:rPr>
      <w:rFonts w:ascii="Cambria" w:eastAsia="Calibri"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05F91"/>
    <w:pPr>
      <w:tabs>
        <w:tab w:val="center" w:pos="4419"/>
        <w:tab w:val="right" w:pos="8838"/>
      </w:tabs>
      <w:spacing w:after="0" w:line="240" w:lineRule="auto"/>
    </w:pPr>
  </w:style>
  <w:style w:type="character" w:customStyle="1" w:styleId="EncabezadoCar">
    <w:name w:val="Encabezado Car"/>
    <w:basedOn w:val="Fuentedeprrafopredeter"/>
    <w:link w:val="Encabezado"/>
    <w:rsid w:val="00C05F91"/>
  </w:style>
  <w:style w:type="paragraph" w:styleId="Piedepgina">
    <w:name w:val="footer"/>
    <w:basedOn w:val="Normal"/>
    <w:link w:val="PiedepginaCar"/>
    <w:uiPriority w:val="99"/>
    <w:unhideWhenUsed/>
    <w:rsid w:val="00C05F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5F91"/>
  </w:style>
  <w:style w:type="paragraph" w:styleId="Prrafodelista">
    <w:name w:val="List Paragraph"/>
    <w:basedOn w:val="Normal"/>
    <w:link w:val="PrrafodelistaCar"/>
    <w:uiPriority w:val="34"/>
    <w:qFormat/>
    <w:rsid w:val="008F5DE8"/>
    <w:pPr>
      <w:ind w:left="720"/>
      <w:contextualSpacing/>
    </w:pPr>
  </w:style>
  <w:style w:type="character" w:customStyle="1" w:styleId="Ttulo1Car">
    <w:name w:val="Título 1 Car"/>
    <w:basedOn w:val="Fuentedeprrafopredeter"/>
    <w:link w:val="Ttulo1"/>
    <w:rsid w:val="006312E8"/>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rsid w:val="006312E8"/>
    <w:rPr>
      <w:rFonts w:ascii="Cambria" w:eastAsia="Times New Roman" w:hAnsi="Cambria" w:cs="Times New Roman"/>
      <w:b/>
      <w:bCs/>
      <w:color w:val="4F81BD"/>
      <w:sz w:val="26"/>
      <w:szCs w:val="26"/>
    </w:rPr>
  </w:style>
  <w:style w:type="character" w:customStyle="1" w:styleId="Ttulo3Car">
    <w:name w:val="Título 3 Car"/>
    <w:basedOn w:val="Fuentedeprrafopredeter"/>
    <w:link w:val="Ttulo3"/>
    <w:rsid w:val="006312E8"/>
    <w:rPr>
      <w:rFonts w:ascii="Cambria" w:eastAsia="Times New Roman" w:hAnsi="Cambria" w:cs="Times New Roman"/>
      <w:b/>
      <w:bCs/>
      <w:color w:val="4F81BD"/>
    </w:rPr>
  </w:style>
  <w:style w:type="character" w:customStyle="1" w:styleId="Ttulo4Car">
    <w:name w:val="Título 4 Car"/>
    <w:basedOn w:val="Fuentedeprrafopredeter"/>
    <w:link w:val="Ttulo4"/>
    <w:rsid w:val="006312E8"/>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rsid w:val="006312E8"/>
    <w:rPr>
      <w:rFonts w:ascii="Cambria" w:eastAsia="Calibri" w:hAnsi="Cambria" w:cs="Times New Roman"/>
      <w:color w:val="243F60"/>
    </w:rPr>
  </w:style>
  <w:style w:type="character" w:customStyle="1" w:styleId="Ttulo6Car">
    <w:name w:val="Título 6 Car"/>
    <w:basedOn w:val="Fuentedeprrafopredeter"/>
    <w:link w:val="Ttulo6"/>
    <w:rsid w:val="006312E8"/>
    <w:rPr>
      <w:rFonts w:ascii="Cambria" w:eastAsia="Calibri" w:hAnsi="Cambria" w:cs="Times New Roman"/>
      <w:i/>
      <w:iCs/>
      <w:color w:val="243F60"/>
    </w:rPr>
  </w:style>
  <w:style w:type="character" w:customStyle="1" w:styleId="Ttulo7Car">
    <w:name w:val="Título 7 Car"/>
    <w:basedOn w:val="Fuentedeprrafopredeter"/>
    <w:link w:val="Ttulo7"/>
    <w:rsid w:val="006312E8"/>
    <w:rPr>
      <w:rFonts w:ascii="Cambria" w:eastAsia="Calibri" w:hAnsi="Cambria" w:cs="Times New Roman"/>
      <w:i/>
      <w:iCs/>
      <w:color w:val="404040"/>
    </w:rPr>
  </w:style>
  <w:style w:type="character" w:customStyle="1" w:styleId="Ttulo8Car">
    <w:name w:val="Título 8 Car"/>
    <w:basedOn w:val="Fuentedeprrafopredeter"/>
    <w:link w:val="Ttulo8"/>
    <w:rsid w:val="006312E8"/>
    <w:rPr>
      <w:rFonts w:ascii="Cambria" w:eastAsia="Calibri" w:hAnsi="Cambria" w:cs="Times New Roman"/>
      <w:color w:val="404040"/>
      <w:sz w:val="20"/>
      <w:szCs w:val="20"/>
    </w:rPr>
  </w:style>
  <w:style w:type="character" w:customStyle="1" w:styleId="Ttulo9Car">
    <w:name w:val="Título 9 Car"/>
    <w:basedOn w:val="Fuentedeprrafopredeter"/>
    <w:link w:val="Ttulo9"/>
    <w:rsid w:val="006312E8"/>
    <w:rPr>
      <w:rFonts w:ascii="Cambria" w:eastAsia="Calibri" w:hAnsi="Cambria" w:cs="Times New Roman"/>
      <w:i/>
      <w:iCs/>
      <w:color w:val="404040"/>
      <w:sz w:val="20"/>
      <w:szCs w:val="20"/>
    </w:rPr>
  </w:style>
  <w:style w:type="numbering" w:customStyle="1" w:styleId="Sinlista1">
    <w:name w:val="Sin lista1"/>
    <w:next w:val="Sinlista"/>
    <w:uiPriority w:val="99"/>
    <w:semiHidden/>
    <w:unhideWhenUsed/>
    <w:rsid w:val="006312E8"/>
  </w:style>
  <w:style w:type="paragraph" w:customStyle="1" w:styleId="Ttulo11">
    <w:name w:val="Título 11"/>
    <w:basedOn w:val="Normal"/>
    <w:next w:val="Normal"/>
    <w:uiPriority w:val="9"/>
    <w:qFormat/>
    <w:rsid w:val="006312E8"/>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semiHidden/>
    <w:unhideWhenUsed/>
    <w:qFormat/>
    <w:rsid w:val="006312E8"/>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9"/>
    <w:semiHidden/>
    <w:unhideWhenUsed/>
    <w:qFormat/>
    <w:rsid w:val="006312E8"/>
    <w:pPr>
      <w:keepNext/>
      <w:keepLines/>
      <w:spacing w:before="200" w:after="0" w:line="276" w:lineRule="auto"/>
      <w:outlineLvl w:val="2"/>
    </w:pPr>
    <w:rPr>
      <w:rFonts w:ascii="Cambria" w:eastAsia="Times New Roman" w:hAnsi="Cambria" w:cs="Times New Roman"/>
      <w:b/>
      <w:bCs/>
      <w:color w:val="4F81BD"/>
    </w:rPr>
  </w:style>
  <w:style w:type="numbering" w:customStyle="1" w:styleId="Sinlista11">
    <w:name w:val="Sin lista11"/>
    <w:next w:val="Sinlista"/>
    <w:uiPriority w:val="99"/>
    <w:semiHidden/>
    <w:unhideWhenUsed/>
    <w:rsid w:val="006312E8"/>
  </w:style>
  <w:style w:type="character" w:customStyle="1" w:styleId="PrrafodelistaCar">
    <w:name w:val="Párrafo de lista Car"/>
    <w:link w:val="Prrafodelista"/>
    <w:uiPriority w:val="34"/>
    <w:rsid w:val="006312E8"/>
  </w:style>
  <w:style w:type="character" w:styleId="Hipervnculo">
    <w:name w:val="Hyperlink"/>
    <w:basedOn w:val="Fuentedeprrafopredeter"/>
    <w:uiPriority w:val="99"/>
    <w:rsid w:val="006312E8"/>
    <w:rPr>
      <w:rFonts w:cs="Times New Roman"/>
      <w:color w:val="0000FF"/>
      <w:u w:val="single"/>
    </w:rPr>
  </w:style>
  <w:style w:type="paragraph" w:styleId="Textodeglobo">
    <w:name w:val="Balloon Text"/>
    <w:basedOn w:val="Normal"/>
    <w:link w:val="TextodegloboCar"/>
    <w:uiPriority w:val="99"/>
    <w:semiHidden/>
    <w:unhideWhenUsed/>
    <w:rsid w:val="006312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12E8"/>
    <w:rPr>
      <w:rFonts w:ascii="Tahoma" w:hAnsi="Tahoma" w:cs="Tahoma"/>
      <w:sz w:val="16"/>
      <w:szCs w:val="16"/>
    </w:rPr>
  </w:style>
  <w:style w:type="paragraph" w:customStyle="1" w:styleId="Prrafodelista1">
    <w:name w:val="Párrafo de lista1"/>
    <w:basedOn w:val="Normal"/>
    <w:link w:val="ListParagraphChar"/>
    <w:rsid w:val="006312E8"/>
    <w:pPr>
      <w:spacing w:after="200" w:line="276" w:lineRule="auto"/>
      <w:ind w:left="720"/>
      <w:contextualSpacing/>
    </w:pPr>
    <w:rPr>
      <w:rFonts w:ascii="Calibri" w:eastAsia="Times New Roman" w:hAnsi="Calibri" w:cs="Times New Roman"/>
    </w:rPr>
  </w:style>
  <w:style w:type="character" w:customStyle="1" w:styleId="ListParagraphChar">
    <w:name w:val="List Paragraph Char"/>
    <w:basedOn w:val="Fuentedeprrafopredeter"/>
    <w:link w:val="Prrafodelista1"/>
    <w:locked/>
    <w:rsid w:val="006312E8"/>
    <w:rPr>
      <w:rFonts w:ascii="Calibri" w:eastAsia="Times New Roman" w:hAnsi="Calibri" w:cs="Times New Roman"/>
    </w:rPr>
  </w:style>
  <w:style w:type="paragraph" w:customStyle="1" w:styleId="SEG3">
    <w:name w:val="SEG3"/>
    <w:basedOn w:val="Normal"/>
    <w:link w:val="SEG3Car"/>
    <w:rsid w:val="006312E8"/>
    <w:pPr>
      <w:numPr>
        <w:numId w:val="60"/>
      </w:numPr>
      <w:spacing w:after="0" w:line="240" w:lineRule="auto"/>
    </w:pPr>
    <w:rPr>
      <w:rFonts w:ascii="Arial" w:eastAsia="Times New Roman" w:hAnsi="Arial" w:cs="Arial"/>
      <w:b/>
      <w:sz w:val="18"/>
      <w:szCs w:val="18"/>
    </w:rPr>
  </w:style>
  <w:style w:type="character" w:customStyle="1" w:styleId="SEG3Car">
    <w:name w:val="SEG3 Car"/>
    <w:basedOn w:val="Fuentedeprrafopredeter"/>
    <w:link w:val="SEG3"/>
    <w:locked/>
    <w:rsid w:val="006312E8"/>
    <w:rPr>
      <w:rFonts w:ascii="Arial" w:eastAsia="Times New Roman" w:hAnsi="Arial" w:cs="Arial"/>
      <w:b/>
      <w:sz w:val="18"/>
      <w:szCs w:val="18"/>
    </w:rPr>
  </w:style>
  <w:style w:type="paragraph" w:customStyle="1" w:styleId="PRI1">
    <w:name w:val="PRI1"/>
    <w:basedOn w:val="Normal"/>
    <w:link w:val="PRI1Car"/>
    <w:rsid w:val="006312E8"/>
    <w:pPr>
      <w:spacing w:after="0" w:line="240" w:lineRule="auto"/>
      <w:ind w:left="720" w:hanging="720"/>
      <w:jc w:val="both"/>
    </w:pPr>
    <w:rPr>
      <w:rFonts w:ascii="Arial" w:eastAsia="Times New Roman" w:hAnsi="Arial" w:cs="Arial"/>
      <w:b/>
      <w:sz w:val="18"/>
      <w:szCs w:val="18"/>
    </w:rPr>
  </w:style>
  <w:style w:type="character" w:customStyle="1" w:styleId="PRI1Car">
    <w:name w:val="PRI1 Car"/>
    <w:basedOn w:val="Fuentedeprrafopredeter"/>
    <w:link w:val="PRI1"/>
    <w:locked/>
    <w:rsid w:val="006312E8"/>
    <w:rPr>
      <w:rFonts w:ascii="Arial" w:eastAsia="Times New Roman" w:hAnsi="Arial" w:cs="Arial"/>
      <w:b/>
      <w:sz w:val="18"/>
      <w:szCs w:val="18"/>
    </w:rPr>
  </w:style>
  <w:style w:type="paragraph" w:styleId="Textonotapie">
    <w:name w:val="footnote text"/>
    <w:basedOn w:val="Normal"/>
    <w:link w:val="TextonotapieCar"/>
    <w:uiPriority w:val="99"/>
    <w:unhideWhenUsed/>
    <w:rsid w:val="006312E8"/>
    <w:pPr>
      <w:spacing w:after="0" w:line="240" w:lineRule="auto"/>
    </w:pPr>
    <w:rPr>
      <w:rFonts w:ascii="Calibri" w:eastAsia="Calibri" w:hAnsi="Calibri" w:cs="Times New Roman"/>
      <w:sz w:val="20"/>
      <w:szCs w:val="20"/>
      <w:lang w:val="es-ES"/>
    </w:rPr>
  </w:style>
  <w:style w:type="character" w:customStyle="1" w:styleId="TextonotapieCar">
    <w:name w:val="Texto nota pie Car"/>
    <w:basedOn w:val="Fuentedeprrafopredeter"/>
    <w:link w:val="Textonotapie"/>
    <w:uiPriority w:val="99"/>
    <w:rsid w:val="006312E8"/>
    <w:rPr>
      <w:rFonts w:ascii="Calibri" w:eastAsia="Calibri" w:hAnsi="Calibri" w:cs="Times New Roman"/>
      <w:sz w:val="20"/>
      <w:szCs w:val="20"/>
      <w:lang w:val="es-ES"/>
    </w:rPr>
  </w:style>
  <w:style w:type="character" w:styleId="Refdenotaalpie">
    <w:name w:val="footnote reference"/>
    <w:basedOn w:val="Fuentedeprrafopredeter"/>
    <w:uiPriority w:val="99"/>
    <w:semiHidden/>
    <w:unhideWhenUsed/>
    <w:rsid w:val="006312E8"/>
    <w:rPr>
      <w:vertAlign w:val="superscript"/>
    </w:rPr>
  </w:style>
  <w:style w:type="paragraph" w:customStyle="1" w:styleId="302">
    <w:name w:val="302"/>
    <w:basedOn w:val="Normal"/>
    <w:rsid w:val="006312E8"/>
    <w:pPr>
      <w:overflowPunct w:val="0"/>
      <w:autoSpaceDE w:val="0"/>
      <w:autoSpaceDN w:val="0"/>
      <w:adjustRightInd w:val="0"/>
      <w:spacing w:after="0" w:line="240" w:lineRule="auto"/>
      <w:textAlignment w:val="baseline"/>
    </w:pPr>
    <w:rPr>
      <w:rFonts w:ascii="Times New Roman" w:eastAsia="SimSun" w:hAnsi="Times New Roman" w:cs="Times New Roman"/>
      <w:color w:val="000000"/>
      <w:sz w:val="20"/>
      <w:szCs w:val="20"/>
      <w:lang w:val="en-US" w:eastAsia="es-ES"/>
    </w:rPr>
  </w:style>
  <w:style w:type="paragraph" w:customStyle="1" w:styleId="SEPARADOR">
    <w:name w:val="SEPARADOR"/>
    <w:basedOn w:val="Normal"/>
    <w:qFormat/>
    <w:rsid w:val="006312E8"/>
    <w:pPr>
      <w:spacing w:after="0" w:line="240" w:lineRule="auto"/>
      <w:jc w:val="right"/>
    </w:pPr>
    <w:rPr>
      <w:rFonts w:ascii="Arial" w:hAnsi="Arial" w:cs="Arial"/>
      <w:b/>
      <w:sz w:val="48"/>
      <w:szCs w:val="48"/>
      <w:u w:val="single"/>
      <w:lang w:val="es-ES"/>
    </w:rPr>
  </w:style>
  <w:style w:type="paragraph" w:customStyle="1" w:styleId="TI1">
    <w:name w:val="TI1"/>
    <w:basedOn w:val="Normal"/>
    <w:link w:val="TI1Car"/>
    <w:qFormat/>
    <w:rsid w:val="006312E8"/>
    <w:pPr>
      <w:spacing w:after="0" w:line="240" w:lineRule="auto"/>
      <w:jc w:val="center"/>
    </w:pPr>
    <w:rPr>
      <w:rFonts w:ascii="Arial" w:hAnsi="Arial" w:cs="Arial"/>
      <w:b/>
      <w:sz w:val="28"/>
      <w:szCs w:val="28"/>
      <w:lang w:val="es-ES"/>
    </w:rPr>
  </w:style>
  <w:style w:type="paragraph" w:customStyle="1" w:styleId="TI2">
    <w:name w:val="TI2"/>
    <w:basedOn w:val="Normal"/>
    <w:link w:val="TI2Car"/>
    <w:qFormat/>
    <w:rsid w:val="006312E8"/>
    <w:pPr>
      <w:spacing w:after="0" w:line="240" w:lineRule="auto"/>
      <w:jc w:val="center"/>
    </w:pPr>
    <w:rPr>
      <w:rFonts w:ascii="Arial" w:hAnsi="Arial" w:cs="Arial"/>
      <w:b/>
      <w:lang w:val="es-ES"/>
    </w:rPr>
  </w:style>
  <w:style w:type="paragraph" w:customStyle="1" w:styleId="TDC11">
    <w:name w:val="TDC 11"/>
    <w:basedOn w:val="Normal"/>
    <w:next w:val="Normal"/>
    <w:autoRedefine/>
    <w:uiPriority w:val="39"/>
    <w:unhideWhenUsed/>
    <w:rsid w:val="006312E8"/>
    <w:pPr>
      <w:tabs>
        <w:tab w:val="right" w:leader="dot" w:pos="9884"/>
      </w:tabs>
      <w:spacing w:after="0" w:line="276" w:lineRule="auto"/>
    </w:pPr>
    <w:rPr>
      <w:b/>
      <w:noProof/>
      <w:color w:val="000000"/>
      <w:sz w:val="20"/>
      <w:szCs w:val="20"/>
    </w:rPr>
  </w:style>
  <w:style w:type="paragraph" w:styleId="TDC2">
    <w:name w:val="toc 2"/>
    <w:basedOn w:val="Normal"/>
    <w:next w:val="Normal"/>
    <w:autoRedefine/>
    <w:uiPriority w:val="39"/>
    <w:unhideWhenUsed/>
    <w:rsid w:val="004515A7"/>
    <w:pPr>
      <w:tabs>
        <w:tab w:val="right" w:leader="dot" w:pos="9848"/>
      </w:tabs>
      <w:spacing w:after="0" w:line="240" w:lineRule="auto"/>
      <w:ind w:left="284"/>
    </w:pPr>
    <w:rPr>
      <w:rFonts w:ascii="Cambria Math" w:hAnsi="Cambria Math"/>
      <w:noProof/>
    </w:rPr>
  </w:style>
  <w:style w:type="paragraph" w:styleId="TDC3">
    <w:name w:val="toc 3"/>
    <w:basedOn w:val="Normal"/>
    <w:next w:val="Normal"/>
    <w:autoRedefine/>
    <w:uiPriority w:val="39"/>
    <w:unhideWhenUsed/>
    <w:rsid w:val="006312E8"/>
    <w:pPr>
      <w:tabs>
        <w:tab w:val="right" w:leader="dot" w:pos="9884"/>
      </w:tabs>
      <w:spacing w:after="0" w:line="276" w:lineRule="auto"/>
      <w:ind w:left="426"/>
    </w:pPr>
    <w:rPr>
      <w:noProof/>
    </w:rPr>
  </w:style>
  <w:style w:type="character" w:customStyle="1" w:styleId="Hipervnculovisitado1">
    <w:name w:val="Hipervínculo visitado1"/>
    <w:basedOn w:val="Fuentedeprrafopredeter"/>
    <w:uiPriority w:val="99"/>
    <w:semiHidden/>
    <w:unhideWhenUsed/>
    <w:rsid w:val="006312E8"/>
    <w:rPr>
      <w:color w:val="800080"/>
      <w:u w:val="single"/>
    </w:rPr>
  </w:style>
  <w:style w:type="paragraph" w:customStyle="1" w:styleId="TDC41">
    <w:name w:val="TDC 41"/>
    <w:basedOn w:val="Normal"/>
    <w:next w:val="Normal"/>
    <w:autoRedefine/>
    <w:uiPriority w:val="39"/>
    <w:unhideWhenUsed/>
    <w:rsid w:val="006312E8"/>
    <w:pPr>
      <w:spacing w:after="100"/>
      <w:ind w:left="660"/>
    </w:pPr>
    <w:rPr>
      <w:rFonts w:eastAsia="Times New Roman"/>
      <w:lang w:eastAsia="es-PE"/>
    </w:rPr>
  </w:style>
  <w:style w:type="paragraph" w:customStyle="1" w:styleId="TDC51">
    <w:name w:val="TDC 51"/>
    <w:basedOn w:val="Normal"/>
    <w:next w:val="Normal"/>
    <w:autoRedefine/>
    <w:uiPriority w:val="39"/>
    <w:unhideWhenUsed/>
    <w:rsid w:val="006312E8"/>
    <w:pPr>
      <w:spacing w:after="100"/>
      <w:ind w:left="880"/>
    </w:pPr>
    <w:rPr>
      <w:rFonts w:eastAsia="Times New Roman"/>
      <w:lang w:eastAsia="es-PE"/>
    </w:rPr>
  </w:style>
  <w:style w:type="paragraph" w:customStyle="1" w:styleId="TDC61">
    <w:name w:val="TDC 61"/>
    <w:basedOn w:val="Normal"/>
    <w:next w:val="Normal"/>
    <w:autoRedefine/>
    <w:uiPriority w:val="39"/>
    <w:unhideWhenUsed/>
    <w:rsid w:val="006312E8"/>
    <w:pPr>
      <w:spacing w:after="100"/>
      <w:ind w:left="1100"/>
    </w:pPr>
    <w:rPr>
      <w:rFonts w:eastAsia="Times New Roman"/>
      <w:lang w:eastAsia="es-PE"/>
    </w:rPr>
  </w:style>
  <w:style w:type="paragraph" w:customStyle="1" w:styleId="TDC71">
    <w:name w:val="TDC 71"/>
    <w:basedOn w:val="Normal"/>
    <w:next w:val="Normal"/>
    <w:autoRedefine/>
    <w:uiPriority w:val="39"/>
    <w:unhideWhenUsed/>
    <w:rsid w:val="006312E8"/>
    <w:pPr>
      <w:spacing w:after="100"/>
      <w:ind w:left="1320"/>
    </w:pPr>
    <w:rPr>
      <w:rFonts w:eastAsia="Times New Roman"/>
      <w:lang w:eastAsia="es-PE"/>
    </w:rPr>
  </w:style>
  <w:style w:type="paragraph" w:customStyle="1" w:styleId="TDC81">
    <w:name w:val="TDC 81"/>
    <w:basedOn w:val="Normal"/>
    <w:next w:val="Normal"/>
    <w:autoRedefine/>
    <w:uiPriority w:val="39"/>
    <w:unhideWhenUsed/>
    <w:rsid w:val="006312E8"/>
    <w:pPr>
      <w:spacing w:after="100"/>
      <w:ind w:left="1540"/>
    </w:pPr>
    <w:rPr>
      <w:rFonts w:eastAsia="Times New Roman"/>
      <w:lang w:eastAsia="es-PE"/>
    </w:rPr>
  </w:style>
  <w:style w:type="paragraph" w:customStyle="1" w:styleId="TDC91">
    <w:name w:val="TDC 91"/>
    <w:basedOn w:val="Normal"/>
    <w:next w:val="Normal"/>
    <w:autoRedefine/>
    <w:uiPriority w:val="39"/>
    <w:unhideWhenUsed/>
    <w:rsid w:val="006312E8"/>
    <w:pPr>
      <w:spacing w:after="100"/>
      <w:ind w:left="1760"/>
    </w:pPr>
    <w:rPr>
      <w:rFonts w:eastAsia="Times New Roman"/>
      <w:lang w:eastAsia="es-PE"/>
    </w:rPr>
  </w:style>
  <w:style w:type="character" w:customStyle="1" w:styleId="Ttulo1Car1">
    <w:name w:val="Título 1 Car1"/>
    <w:basedOn w:val="Fuentedeprrafopredeter"/>
    <w:uiPriority w:val="9"/>
    <w:rsid w:val="006312E8"/>
    <w:rPr>
      <w:rFonts w:asciiTheme="majorHAnsi" w:eastAsiaTheme="majorEastAsia" w:hAnsiTheme="majorHAnsi" w:cstheme="majorBidi"/>
      <w:color w:val="2E74B5" w:themeColor="accent1" w:themeShade="BF"/>
      <w:sz w:val="32"/>
      <w:szCs w:val="32"/>
    </w:rPr>
  </w:style>
  <w:style w:type="character" w:customStyle="1" w:styleId="Ttulo2Car1">
    <w:name w:val="Título 2 Car1"/>
    <w:basedOn w:val="Fuentedeprrafopredeter"/>
    <w:uiPriority w:val="9"/>
    <w:semiHidden/>
    <w:rsid w:val="006312E8"/>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6312E8"/>
    <w:rPr>
      <w:rFonts w:asciiTheme="majorHAnsi" w:eastAsiaTheme="majorEastAsia" w:hAnsiTheme="majorHAnsi" w:cstheme="majorBidi"/>
      <w:color w:val="1F4D78" w:themeColor="accent1" w:themeShade="7F"/>
      <w:sz w:val="24"/>
      <w:szCs w:val="24"/>
    </w:rPr>
  </w:style>
  <w:style w:type="character" w:styleId="Hipervnculovisitado">
    <w:name w:val="FollowedHyperlink"/>
    <w:basedOn w:val="Fuentedeprrafopredeter"/>
    <w:uiPriority w:val="99"/>
    <w:semiHidden/>
    <w:unhideWhenUsed/>
    <w:rsid w:val="006312E8"/>
    <w:rPr>
      <w:color w:val="954F72" w:themeColor="followedHyperlink"/>
      <w:u w:val="single"/>
    </w:rPr>
  </w:style>
  <w:style w:type="paragraph" w:styleId="NormalWeb">
    <w:name w:val="Normal (Web)"/>
    <w:basedOn w:val="Normal"/>
    <w:uiPriority w:val="99"/>
    <w:unhideWhenUsed/>
    <w:rsid w:val="006312E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6312E8"/>
    <w:pPr>
      <w:spacing w:after="0" w:line="240" w:lineRule="auto"/>
    </w:pPr>
    <w:rPr>
      <w:rFonts w:ascii="Calibri" w:eastAsia="MS Mincho" w:hAnsi="Calibri" w:cs="Times New Roman"/>
      <w:lang w:val="es-ES"/>
    </w:rPr>
  </w:style>
  <w:style w:type="paragraph" w:styleId="Textoindependiente2">
    <w:name w:val="Body Text 2"/>
    <w:basedOn w:val="Normal"/>
    <w:link w:val="Textoindependiente2Car"/>
    <w:unhideWhenUsed/>
    <w:rsid w:val="006312E8"/>
    <w:pPr>
      <w:spacing w:after="120" w:line="480" w:lineRule="auto"/>
    </w:pPr>
    <w:rPr>
      <w:rFonts w:ascii="Times New Roman" w:eastAsia="Times New Roman" w:hAnsi="Times New Roman" w:cs="Times New Roman"/>
      <w:sz w:val="24"/>
      <w:szCs w:val="24"/>
      <w:lang w:eastAsia="es-MX"/>
    </w:rPr>
  </w:style>
  <w:style w:type="character" w:customStyle="1" w:styleId="Textoindependiente2Car">
    <w:name w:val="Texto independiente 2 Car"/>
    <w:basedOn w:val="Fuentedeprrafopredeter"/>
    <w:link w:val="Textoindependiente2"/>
    <w:rsid w:val="006312E8"/>
    <w:rPr>
      <w:rFonts w:ascii="Times New Roman" w:eastAsia="Times New Roman" w:hAnsi="Times New Roman" w:cs="Times New Roman"/>
      <w:sz w:val="24"/>
      <w:szCs w:val="24"/>
      <w:lang w:eastAsia="es-MX"/>
    </w:rPr>
  </w:style>
  <w:style w:type="paragraph" w:customStyle="1" w:styleId="Textopredeterminado">
    <w:name w:val="Texto predeterminado"/>
    <w:basedOn w:val="Normal"/>
    <w:rsid w:val="006312E8"/>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customStyle="1" w:styleId="Textopredeterminado1">
    <w:name w:val="Texto predeterminado:1"/>
    <w:basedOn w:val="Normal"/>
    <w:rsid w:val="006312E8"/>
    <w:pPr>
      <w:overflowPunct w:val="0"/>
      <w:autoSpaceDE w:val="0"/>
      <w:autoSpaceDN w:val="0"/>
      <w:adjustRightInd w:val="0"/>
      <w:spacing w:after="0" w:line="240" w:lineRule="auto"/>
    </w:pPr>
    <w:rPr>
      <w:rFonts w:ascii="Times New Roman" w:eastAsia="Times New Roman" w:hAnsi="Times New Roman" w:cs="Times New Roman"/>
      <w:color w:val="000000"/>
      <w:sz w:val="24"/>
      <w:szCs w:val="20"/>
      <w:lang w:val="en-US" w:eastAsia="es-ES"/>
    </w:rPr>
  </w:style>
  <w:style w:type="paragraph" w:customStyle="1" w:styleId="296">
    <w:name w:val="296"/>
    <w:basedOn w:val="Normal"/>
    <w:rsid w:val="006312E8"/>
    <w:pPr>
      <w:suppressAutoHyphens/>
      <w:overflowPunct w:val="0"/>
      <w:autoSpaceDE w:val="0"/>
      <w:spacing w:after="0" w:line="240" w:lineRule="auto"/>
      <w:textAlignment w:val="baseline"/>
    </w:pPr>
    <w:rPr>
      <w:rFonts w:ascii="Times New Roman" w:eastAsia="MS Mincho" w:hAnsi="Times New Roman" w:cs="Times New Roman"/>
      <w:color w:val="000000"/>
      <w:sz w:val="20"/>
      <w:szCs w:val="20"/>
      <w:lang w:val="en-US" w:eastAsia="ar-SA"/>
    </w:rPr>
  </w:style>
  <w:style w:type="table" w:styleId="Tablaconcuadrcula">
    <w:name w:val="Table Grid"/>
    <w:basedOn w:val="Tablanormal"/>
    <w:rsid w:val="00631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1">
    <w:name w:val="TIT1"/>
    <w:basedOn w:val="Normal"/>
    <w:qFormat/>
    <w:rsid w:val="006312E8"/>
    <w:pPr>
      <w:spacing w:after="0" w:line="240" w:lineRule="auto"/>
      <w:jc w:val="center"/>
    </w:pPr>
    <w:rPr>
      <w:rFonts w:ascii="Arial" w:eastAsia="Calibri" w:hAnsi="Arial" w:cs="Arial"/>
      <w:b/>
      <w:sz w:val="48"/>
      <w:szCs w:val="48"/>
      <w:lang w:val="es-ES"/>
    </w:rPr>
  </w:style>
  <w:style w:type="paragraph" w:customStyle="1" w:styleId="TIT2">
    <w:name w:val="TIT2"/>
    <w:basedOn w:val="Normal"/>
    <w:link w:val="TIT2Car"/>
    <w:qFormat/>
    <w:rsid w:val="006312E8"/>
    <w:pPr>
      <w:spacing w:after="0" w:line="240" w:lineRule="auto"/>
      <w:jc w:val="center"/>
    </w:pPr>
    <w:rPr>
      <w:rFonts w:ascii="Arial" w:eastAsia="Calibri" w:hAnsi="Arial" w:cs="Arial"/>
      <w:b/>
      <w:sz w:val="28"/>
      <w:szCs w:val="28"/>
      <w:lang w:val="es-ES"/>
    </w:rPr>
  </w:style>
  <w:style w:type="paragraph" w:customStyle="1" w:styleId="TIT3">
    <w:name w:val="TIT3"/>
    <w:basedOn w:val="Normal"/>
    <w:link w:val="TIT3Car"/>
    <w:qFormat/>
    <w:rsid w:val="006312E8"/>
    <w:pPr>
      <w:spacing w:after="0" w:line="240" w:lineRule="auto"/>
      <w:jc w:val="center"/>
    </w:pPr>
    <w:rPr>
      <w:rFonts w:ascii="Arial" w:eastAsia="Calibri" w:hAnsi="Arial" w:cs="Arial"/>
      <w:b/>
      <w:lang w:val="es-ES"/>
    </w:rPr>
  </w:style>
  <w:style w:type="character" w:customStyle="1" w:styleId="TIT2Car">
    <w:name w:val="TIT2 Car"/>
    <w:basedOn w:val="Fuentedeprrafopredeter"/>
    <w:link w:val="TIT2"/>
    <w:rsid w:val="006312E8"/>
    <w:rPr>
      <w:rFonts w:ascii="Arial" w:eastAsia="Calibri" w:hAnsi="Arial" w:cs="Arial"/>
      <w:b/>
      <w:sz w:val="28"/>
      <w:szCs w:val="28"/>
      <w:lang w:val="es-ES"/>
    </w:rPr>
  </w:style>
  <w:style w:type="paragraph" w:customStyle="1" w:styleId="TIT4">
    <w:name w:val="TIT4"/>
    <w:basedOn w:val="Normal"/>
    <w:link w:val="TIT4Car"/>
    <w:qFormat/>
    <w:rsid w:val="006312E8"/>
    <w:pPr>
      <w:spacing w:after="0" w:line="240" w:lineRule="auto"/>
      <w:jc w:val="center"/>
    </w:pPr>
    <w:rPr>
      <w:rFonts w:ascii="Arial" w:eastAsia="Calibri" w:hAnsi="Arial" w:cs="Arial"/>
      <w:b/>
      <w:lang w:val="es-ES"/>
    </w:rPr>
  </w:style>
  <w:style w:type="character" w:customStyle="1" w:styleId="TIT3Car">
    <w:name w:val="TIT3 Car"/>
    <w:basedOn w:val="Fuentedeprrafopredeter"/>
    <w:link w:val="TIT3"/>
    <w:rsid w:val="006312E8"/>
    <w:rPr>
      <w:rFonts w:ascii="Arial" w:eastAsia="Calibri" w:hAnsi="Arial" w:cs="Arial"/>
      <w:b/>
      <w:lang w:val="es-ES"/>
    </w:rPr>
  </w:style>
  <w:style w:type="paragraph" w:customStyle="1" w:styleId="TIT5">
    <w:name w:val="TIT5"/>
    <w:basedOn w:val="Normal"/>
    <w:qFormat/>
    <w:rsid w:val="006312E8"/>
    <w:pPr>
      <w:spacing w:after="0" w:line="240" w:lineRule="auto"/>
      <w:jc w:val="center"/>
    </w:pPr>
    <w:rPr>
      <w:rFonts w:ascii="Arial" w:eastAsia="Calibri" w:hAnsi="Arial" w:cs="Arial"/>
      <w:b/>
      <w:lang w:val="es-ES"/>
    </w:rPr>
  </w:style>
  <w:style w:type="character" w:customStyle="1" w:styleId="TIT4Car">
    <w:name w:val="TIT4 Car"/>
    <w:basedOn w:val="Fuentedeprrafopredeter"/>
    <w:link w:val="TIT4"/>
    <w:rsid w:val="006312E8"/>
    <w:rPr>
      <w:rFonts w:ascii="Arial" w:eastAsia="Calibri" w:hAnsi="Arial" w:cs="Arial"/>
      <w:b/>
      <w:lang w:val="es-ES"/>
    </w:rPr>
  </w:style>
  <w:style w:type="paragraph" w:styleId="TDC1">
    <w:name w:val="toc 1"/>
    <w:basedOn w:val="Normal"/>
    <w:next w:val="Normal"/>
    <w:autoRedefine/>
    <w:uiPriority w:val="39"/>
    <w:unhideWhenUsed/>
    <w:rsid w:val="00B71B75"/>
    <w:pPr>
      <w:tabs>
        <w:tab w:val="right" w:leader="dot" w:pos="9848"/>
      </w:tabs>
      <w:spacing w:after="0"/>
    </w:pPr>
    <w:rPr>
      <w:rFonts w:ascii="Cambria Math" w:eastAsia="Calibri" w:hAnsi="Cambria Math" w:cs="Arial"/>
      <w:b/>
      <w:noProof/>
      <w:sz w:val="21"/>
      <w:szCs w:val="21"/>
      <w:lang w:val="es-ES"/>
    </w:rPr>
  </w:style>
  <w:style w:type="paragraph" w:styleId="TDC4">
    <w:name w:val="toc 4"/>
    <w:basedOn w:val="Normal"/>
    <w:next w:val="Normal"/>
    <w:autoRedefine/>
    <w:uiPriority w:val="39"/>
    <w:unhideWhenUsed/>
    <w:rsid w:val="006312E8"/>
    <w:pPr>
      <w:spacing w:after="100"/>
      <w:ind w:left="660"/>
    </w:pPr>
  </w:style>
  <w:style w:type="paragraph" w:styleId="TDC5">
    <w:name w:val="toc 5"/>
    <w:basedOn w:val="Normal"/>
    <w:next w:val="Normal"/>
    <w:autoRedefine/>
    <w:uiPriority w:val="39"/>
    <w:unhideWhenUsed/>
    <w:rsid w:val="006312E8"/>
    <w:pPr>
      <w:spacing w:after="100"/>
      <w:ind w:left="880"/>
    </w:pPr>
  </w:style>
  <w:style w:type="paragraph" w:styleId="TDC6">
    <w:name w:val="toc 6"/>
    <w:basedOn w:val="Normal"/>
    <w:next w:val="Normal"/>
    <w:autoRedefine/>
    <w:uiPriority w:val="39"/>
    <w:unhideWhenUsed/>
    <w:rsid w:val="006312E8"/>
    <w:pPr>
      <w:spacing w:after="100"/>
      <w:ind w:left="1100"/>
    </w:pPr>
    <w:rPr>
      <w:rFonts w:eastAsiaTheme="minorEastAsia"/>
      <w:lang w:eastAsia="es-PE"/>
    </w:rPr>
  </w:style>
  <w:style w:type="paragraph" w:styleId="TDC7">
    <w:name w:val="toc 7"/>
    <w:basedOn w:val="Normal"/>
    <w:next w:val="Normal"/>
    <w:autoRedefine/>
    <w:uiPriority w:val="39"/>
    <w:unhideWhenUsed/>
    <w:rsid w:val="006312E8"/>
    <w:pPr>
      <w:spacing w:after="100"/>
      <w:ind w:left="1320"/>
    </w:pPr>
    <w:rPr>
      <w:rFonts w:eastAsiaTheme="minorEastAsia"/>
      <w:lang w:eastAsia="es-PE"/>
    </w:rPr>
  </w:style>
  <w:style w:type="paragraph" w:styleId="TDC8">
    <w:name w:val="toc 8"/>
    <w:basedOn w:val="Normal"/>
    <w:next w:val="Normal"/>
    <w:autoRedefine/>
    <w:uiPriority w:val="39"/>
    <w:unhideWhenUsed/>
    <w:rsid w:val="006312E8"/>
    <w:pPr>
      <w:spacing w:after="100"/>
      <w:ind w:left="1540"/>
    </w:pPr>
    <w:rPr>
      <w:rFonts w:eastAsiaTheme="minorEastAsia"/>
      <w:lang w:eastAsia="es-PE"/>
    </w:rPr>
  </w:style>
  <w:style w:type="paragraph" w:styleId="TDC9">
    <w:name w:val="toc 9"/>
    <w:basedOn w:val="Normal"/>
    <w:next w:val="Normal"/>
    <w:autoRedefine/>
    <w:uiPriority w:val="39"/>
    <w:unhideWhenUsed/>
    <w:rsid w:val="006312E8"/>
    <w:pPr>
      <w:spacing w:after="100"/>
      <w:ind w:left="1760"/>
    </w:pPr>
    <w:rPr>
      <w:rFonts w:eastAsiaTheme="minorEastAsia"/>
      <w:lang w:eastAsia="es-PE"/>
    </w:rPr>
  </w:style>
  <w:style w:type="paragraph" w:styleId="TtuloTDC">
    <w:name w:val="TOC Heading"/>
    <w:basedOn w:val="Ttulo1"/>
    <w:next w:val="Normal"/>
    <w:uiPriority w:val="39"/>
    <w:unhideWhenUsed/>
    <w:qFormat/>
    <w:rsid w:val="006312E8"/>
    <w:pPr>
      <w:outlineLvl w:val="9"/>
    </w:pPr>
    <w:rPr>
      <w:rFonts w:asciiTheme="majorHAnsi" w:eastAsiaTheme="majorEastAsia" w:hAnsiTheme="majorHAnsi" w:cstheme="majorBidi"/>
      <w:b w:val="0"/>
      <w:bCs w:val="0"/>
      <w:color w:val="2E74B5" w:themeColor="accent1" w:themeShade="BF"/>
      <w:sz w:val="32"/>
      <w:szCs w:val="32"/>
      <w:lang w:eastAsia="es-PE"/>
    </w:rPr>
  </w:style>
  <w:style w:type="paragraph" w:customStyle="1" w:styleId="TITO2">
    <w:name w:val="TITO2"/>
    <w:basedOn w:val="TI2"/>
    <w:link w:val="TITO2Car"/>
    <w:qFormat/>
    <w:rsid w:val="006312E8"/>
    <w:rPr>
      <w:sz w:val="28"/>
      <w:szCs w:val="28"/>
    </w:rPr>
  </w:style>
  <w:style w:type="paragraph" w:styleId="ndice1">
    <w:name w:val="index 1"/>
    <w:basedOn w:val="Normal"/>
    <w:next w:val="Normal"/>
    <w:autoRedefine/>
    <w:uiPriority w:val="99"/>
    <w:semiHidden/>
    <w:unhideWhenUsed/>
    <w:rsid w:val="006312E8"/>
    <w:pPr>
      <w:spacing w:after="0" w:line="240" w:lineRule="auto"/>
      <w:ind w:left="220" w:hanging="220"/>
    </w:pPr>
  </w:style>
  <w:style w:type="paragraph" w:customStyle="1" w:styleId="TITO1">
    <w:name w:val="TITO1"/>
    <w:basedOn w:val="TI1"/>
    <w:link w:val="TITO1Car"/>
    <w:qFormat/>
    <w:rsid w:val="006312E8"/>
    <w:rPr>
      <w:sz w:val="48"/>
      <w:szCs w:val="48"/>
    </w:rPr>
  </w:style>
  <w:style w:type="character" w:customStyle="1" w:styleId="TI2Car">
    <w:name w:val="TI2 Car"/>
    <w:basedOn w:val="Fuentedeprrafopredeter"/>
    <w:link w:val="TI2"/>
    <w:rsid w:val="006312E8"/>
    <w:rPr>
      <w:rFonts w:ascii="Arial" w:hAnsi="Arial" w:cs="Arial"/>
      <w:b/>
      <w:lang w:val="es-ES"/>
    </w:rPr>
  </w:style>
  <w:style w:type="character" w:customStyle="1" w:styleId="TITO2Car">
    <w:name w:val="TITO2 Car"/>
    <w:basedOn w:val="TI2Car"/>
    <w:link w:val="TITO2"/>
    <w:rsid w:val="006312E8"/>
    <w:rPr>
      <w:rFonts w:ascii="Arial" w:hAnsi="Arial" w:cs="Arial"/>
      <w:b/>
      <w:sz w:val="28"/>
      <w:szCs w:val="28"/>
      <w:lang w:val="es-ES"/>
    </w:rPr>
  </w:style>
  <w:style w:type="character" w:customStyle="1" w:styleId="TI1Car">
    <w:name w:val="TI1 Car"/>
    <w:basedOn w:val="Fuentedeprrafopredeter"/>
    <w:link w:val="TI1"/>
    <w:rsid w:val="006312E8"/>
    <w:rPr>
      <w:rFonts w:ascii="Arial" w:hAnsi="Arial" w:cs="Arial"/>
      <w:b/>
      <w:sz w:val="28"/>
      <w:szCs w:val="28"/>
      <w:lang w:val="es-ES"/>
    </w:rPr>
  </w:style>
  <w:style w:type="character" w:customStyle="1" w:styleId="TITO1Car">
    <w:name w:val="TITO1 Car"/>
    <w:basedOn w:val="TI1Car"/>
    <w:link w:val="TITO1"/>
    <w:rsid w:val="006312E8"/>
    <w:rPr>
      <w:rFonts w:ascii="Arial" w:hAnsi="Arial" w:cs="Arial"/>
      <w:b/>
      <w:sz w:val="48"/>
      <w:szCs w:val="48"/>
      <w:lang w:val="es-ES"/>
    </w:rPr>
  </w:style>
  <w:style w:type="numbering" w:customStyle="1" w:styleId="Sinlista2">
    <w:name w:val="Sin lista2"/>
    <w:next w:val="Sinlista"/>
    <w:uiPriority w:val="99"/>
    <w:semiHidden/>
    <w:unhideWhenUsed/>
    <w:rsid w:val="006312E8"/>
  </w:style>
  <w:style w:type="table" w:customStyle="1" w:styleId="Tablaconcuadrcula1">
    <w:name w:val="Tabla con cuadrícula1"/>
    <w:basedOn w:val="Tablanormal"/>
    <w:next w:val="Tablaconcuadrcula"/>
    <w:rsid w:val="006312E8"/>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aliases w:val="1 / 1.1 /"/>
    <w:basedOn w:val="Sinlista"/>
    <w:rsid w:val="006312E8"/>
    <w:pPr>
      <w:numPr>
        <w:numId w:val="238"/>
      </w:numPr>
    </w:pPr>
  </w:style>
  <w:style w:type="paragraph" w:customStyle="1" w:styleId="309">
    <w:name w:val="309"/>
    <w:basedOn w:val="Normal"/>
    <w:rsid w:val="006312E8"/>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lang w:val="en-US" w:eastAsia="es-ES"/>
    </w:rPr>
  </w:style>
  <w:style w:type="character" w:styleId="Textoennegrita">
    <w:name w:val="Strong"/>
    <w:uiPriority w:val="22"/>
    <w:qFormat/>
    <w:rsid w:val="006312E8"/>
    <w:rPr>
      <w:b/>
      <w:bCs/>
    </w:rPr>
  </w:style>
  <w:style w:type="paragraph" w:styleId="Textoindependiente">
    <w:name w:val="Body Text"/>
    <w:basedOn w:val="Normal"/>
    <w:link w:val="TextoindependienteCar"/>
    <w:rsid w:val="006312E8"/>
    <w:pPr>
      <w:spacing w:after="0" w:line="240" w:lineRule="auto"/>
    </w:pPr>
    <w:rPr>
      <w:rFonts w:ascii="Arial" w:eastAsia="Times New Roman" w:hAnsi="Arial" w:cs="Times New Roman"/>
      <w:szCs w:val="20"/>
      <w:lang w:val="es-ES" w:eastAsia="es-ES"/>
    </w:rPr>
  </w:style>
  <w:style w:type="character" w:customStyle="1" w:styleId="TextoindependienteCar">
    <w:name w:val="Texto independiente Car"/>
    <w:basedOn w:val="Fuentedeprrafopredeter"/>
    <w:link w:val="Textoindependiente"/>
    <w:rsid w:val="006312E8"/>
    <w:rPr>
      <w:rFonts w:ascii="Arial" w:eastAsia="Times New Roman" w:hAnsi="Arial" w:cs="Times New Roman"/>
      <w:szCs w:val="20"/>
      <w:lang w:val="es-ES" w:eastAsia="es-ES"/>
    </w:rPr>
  </w:style>
  <w:style w:type="paragraph" w:styleId="Sangra3detindependiente">
    <w:name w:val="Body Text Indent 3"/>
    <w:basedOn w:val="Normal"/>
    <w:link w:val="Sangra3detindependienteCar"/>
    <w:uiPriority w:val="99"/>
    <w:unhideWhenUsed/>
    <w:rsid w:val="006312E8"/>
    <w:pPr>
      <w:spacing w:after="120" w:line="240" w:lineRule="auto"/>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6312E8"/>
    <w:rPr>
      <w:rFonts w:ascii="Times New Roman" w:eastAsia="Times New Roman" w:hAnsi="Times New Roman" w:cs="Times New Roman"/>
      <w:sz w:val="16"/>
      <w:szCs w:val="16"/>
      <w:lang w:val="es-ES" w:eastAsia="es-ES"/>
    </w:rPr>
  </w:style>
  <w:style w:type="paragraph" w:styleId="Sangradetextonormal">
    <w:name w:val="Body Text Indent"/>
    <w:basedOn w:val="Normal"/>
    <w:link w:val="SangradetextonormalCar"/>
    <w:uiPriority w:val="99"/>
    <w:unhideWhenUsed/>
    <w:rsid w:val="006312E8"/>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6312E8"/>
    <w:rPr>
      <w:rFonts w:ascii="Times New Roman" w:eastAsia="Times New Roman" w:hAnsi="Times New Roman" w:cs="Times New Roman"/>
      <w:sz w:val="24"/>
      <w:szCs w:val="24"/>
      <w:lang w:val="es-ES" w:eastAsia="es-ES"/>
    </w:rPr>
  </w:style>
  <w:style w:type="paragraph" w:customStyle="1" w:styleId="WW-Default1">
    <w:name w:val="WW-Default1"/>
    <w:basedOn w:val="Normal"/>
    <w:rsid w:val="006312E8"/>
    <w:pPr>
      <w:suppressAutoHyphens/>
      <w:spacing w:after="0" w:line="240" w:lineRule="auto"/>
    </w:pPr>
    <w:rPr>
      <w:rFonts w:ascii="Times New Roman" w:eastAsia="Times New Roman" w:hAnsi="Times New Roman" w:cs="Times New Roman"/>
      <w:color w:val="000000"/>
      <w:sz w:val="20"/>
      <w:szCs w:val="20"/>
      <w:lang w:val="en-US" w:eastAsia="es-ES"/>
    </w:rPr>
  </w:style>
  <w:style w:type="character" w:customStyle="1" w:styleId="apple-converted-space">
    <w:name w:val="apple-converted-space"/>
    <w:basedOn w:val="Fuentedeprrafopredeter"/>
    <w:rsid w:val="006312E8"/>
  </w:style>
  <w:style w:type="numbering" w:customStyle="1" w:styleId="Sinlista3">
    <w:name w:val="Sin lista3"/>
    <w:next w:val="Sinlista"/>
    <w:uiPriority w:val="99"/>
    <w:semiHidden/>
    <w:unhideWhenUsed/>
    <w:rsid w:val="006312E8"/>
  </w:style>
  <w:style w:type="paragraph" w:customStyle="1" w:styleId="primero">
    <w:name w:val="primero"/>
    <w:basedOn w:val="Normal"/>
    <w:link w:val="primeroCar"/>
    <w:rsid w:val="006312E8"/>
    <w:pPr>
      <w:spacing w:after="0" w:line="240" w:lineRule="auto"/>
      <w:ind w:left="720" w:hanging="720"/>
      <w:jc w:val="both"/>
    </w:pPr>
    <w:rPr>
      <w:rFonts w:ascii="Arial" w:eastAsia="Times New Roman" w:hAnsi="Arial" w:cs="Arial"/>
      <w:b/>
      <w:sz w:val="18"/>
      <w:szCs w:val="18"/>
    </w:rPr>
  </w:style>
  <w:style w:type="character" w:customStyle="1" w:styleId="primeroCar">
    <w:name w:val="primero Car"/>
    <w:basedOn w:val="Fuentedeprrafopredeter"/>
    <w:link w:val="primero"/>
    <w:locked/>
    <w:rsid w:val="006312E8"/>
    <w:rPr>
      <w:rFonts w:ascii="Arial" w:eastAsia="Times New Roman" w:hAnsi="Arial" w:cs="Arial"/>
      <w:b/>
      <w:sz w:val="18"/>
      <w:szCs w:val="18"/>
    </w:rPr>
  </w:style>
  <w:style w:type="paragraph" w:customStyle="1" w:styleId="PRIMERO0">
    <w:name w:val="PRIMERO"/>
    <w:basedOn w:val="primero"/>
    <w:link w:val="PRIMEROCar0"/>
    <w:rsid w:val="006312E8"/>
  </w:style>
  <w:style w:type="character" w:customStyle="1" w:styleId="PRIMEROCar0">
    <w:name w:val="PRIMERO Car"/>
    <w:basedOn w:val="primeroCar"/>
    <w:link w:val="PRIMERO0"/>
    <w:locked/>
    <w:rsid w:val="006312E8"/>
    <w:rPr>
      <w:rFonts w:ascii="Arial" w:eastAsia="Times New Roman" w:hAnsi="Arial" w:cs="Arial"/>
      <w:b/>
      <w:sz w:val="18"/>
      <w:szCs w:val="18"/>
    </w:rPr>
  </w:style>
  <w:style w:type="paragraph" w:customStyle="1" w:styleId="SEGUNDO">
    <w:name w:val="SEGUNDO"/>
    <w:basedOn w:val="Normal"/>
    <w:link w:val="SEGUNDOCar"/>
    <w:rsid w:val="006312E8"/>
    <w:pPr>
      <w:spacing w:after="0" w:line="240" w:lineRule="auto"/>
      <w:jc w:val="both"/>
    </w:pPr>
    <w:rPr>
      <w:rFonts w:ascii="Arial" w:eastAsia="Times New Roman" w:hAnsi="Arial" w:cs="Arial"/>
      <w:b/>
      <w:sz w:val="18"/>
      <w:szCs w:val="18"/>
    </w:rPr>
  </w:style>
  <w:style w:type="character" w:customStyle="1" w:styleId="SEGUNDOCar">
    <w:name w:val="SEGUNDO Car"/>
    <w:basedOn w:val="Fuentedeprrafopredeter"/>
    <w:link w:val="SEGUNDO"/>
    <w:locked/>
    <w:rsid w:val="006312E8"/>
    <w:rPr>
      <w:rFonts w:ascii="Arial" w:eastAsia="Times New Roman" w:hAnsi="Arial" w:cs="Arial"/>
      <w:b/>
      <w:sz w:val="18"/>
      <w:szCs w:val="18"/>
    </w:rPr>
  </w:style>
  <w:style w:type="paragraph" w:customStyle="1" w:styleId="SEGGGUNDO">
    <w:name w:val="SEGGGUNDO"/>
    <w:basedOn w:val="primero"/>
    <w:link w:val="SEGGGUNDOCar"/>
    <w:rsid w:val="006312E8"/>
    <w:pPr>
      <w:ind w:left="1068" w:hanging="360"/>
      <w:jc w:val="left"/>
    </w:pPr>
  </w:style>
  <w:style w:type="character" w:customStyle="1" w:styleId="SEGGGUNDOCar">
    <w:name w:val="SEGGGUNDO Car"/>
    <w:basedOn w:val="primeroCar"/>
    <w:link w:val="SEGGGUNDO"/>
    <w:locked/>
    <w:rsid w:val="006312E8"/>
    <w:rPr>
      <w:rFonts w:ascii="Arial" w:eastAsia="Times New Roman" w:hAnsi="Arial" w:cs="Arial"/>
      <w:b/>
      <w:sz w:val="18"/>
      <w:szCs w:val="18"/>
    </w:rPr>
  </w:style>
  <w:style w:type="paragraph" w:customStyle="1" w:styleId="SGUNDO">
    <w:name w:val="SGUNDO"/>
    <w:basedOn w:val="SEGGGUNDO"/>
    <w:link w:val="SGUNDOCar"/>
    <w:rsid w:val="006312E8"/>
  </w:style>
  <w:style w:type="character" w:customStyle="1" w:styleId="SGUNDOCar">
    <w:name w:val="SGUNDO Car"/>
    <w:basedOn w:val="SEGGGUNDOCar"/>
    <w:link w:val="SGUNDO"/>
    <w:locked/>
    <w:rsid w:val="006312E8"/>
    <w:rPr>
      <w:rFonts w:ascii="Arial" w:eastAsia="Times New Roman" w:hAnsi="Arial" w:cs="Arial"/>
      <w:b/>
      <w:sz w:val="18"/>
      <w:szCs w:val="18"/>
    </w:rPr>
  </w:style>
  <w:style w:type="paragraph" w:customStyle="1" w:styleId="SSGUNDO">
    <w:name w:val="SSGUNDO"/>
    <w:basedOn w:val="SGUNDO"/>
    <w:link w:val="SSGUNDOCar"/>
    <w:rsid w:val="006312E8"/>
    <w:pPr>
      <w:ind w:left="360"/>
    </w:pPr>
  </w:style>
  <w:style w:type="character" w:customStyle="1" w:styleId="SSGUNDOCar">
    <w:name w:val="SSGUNDO Car"/>
    <w:basedOn w:val="SGUNDOCar"/>
    <w:link w:val="SSGUNDO"/>
    <w:locked/>
    <w:rsid w:val="006312E8"/>
    <w:rPr>
      <w:rFonts w:ascii="Arial" w:eastAsia="Times New Roman" w:hAnsi="Arial" w:cs="Arial"/>
      <w:b/>
      <w:sz w:val="18"/>
      <w:szCs w:val="18"/>
    </w:rPr>
  </w:style>
  <w:style w:type="paragraph" w:customStyle="1" w:styleId="BETA">
    <w:name w:val="BETA"/>
    <w:basedOn w:val="SSGUNDO"/>
    <w:link w:val="BETACar"/>
    <w:rsid w:val="006312E8"/>
  </w:style>
  <w:style w:type="character" w:customStyle="1" w:styleId="BETACar">
    <w:name w:val="BETA Car"/>
    <w:basedOn w:val="SSGUNDOCar"/>
    <w:link w:val="BETA"/>
    <w:locked/>
    <w:rsid w:val="006312E8"/>
    <w:rPr>
      <w:rFonts w:ascii="Arial" w:eastAsia="Times New Roman" w:hAnsi="Arial" w:cs="Arial"/>
      <w:b/>
      <w:sz w:val="18"/>
      <w:szCs w:val="18"/>
    </w:rPr>
  </w:style>
  <w:style w:type="paragraph" w:customStyle="1" w:styleId="SEG1">
    <w:name w:val="SEG1"/>
    <w:basedOn w:val="SEGGGUNDO"/>
    <w:link w:val="SEG1Car"/>
    <w:rsid w:val="006312E8"/>
  </w:style>
  <w:style w:type="character" w:customStyle="1" w:styleId="SEG1Car">
    <w:name w:val="SEG1 Car"/>
    <w:basedOn w:val="SEGGGUNDOCar"/>
    <w:link w:val="SEG1"/>
    <w:locked/>
    <w:rsid w:val="006312E8"/>
    <w:rPr>
      <w:rFonts w:ascii="Arial" w:eastAsia="Times New Roman" w:hAnsi="Arial" w:cs="Arial"/>
      <w:b/>
      <w:sz w:val="18"/>
      <w:szCs w:val="18"/>
    </w:rPr>
  </w:style>
  <w:style w:type="paragraph" w:customStyle="1" w:styleId="SEG2">
    <w:name w:val="SEG2"/>
    <w:basedOn w:val="SEG1"/>
    <w:link w:val="SEG2Car"/>
    <w:rsid w:val="006312E8"/>
  </w:style>
  <w:style w:type="character" w:customStyle="1" w:styleId="SEG2Car">
    <w:name w:val="SEG2 Car"/>
    <w:basedOn w:val="SEG1Car"/>
    <w:link w:val="SEG2"/>
    <w:locked/>
    <w:rsid w:val="006312E8"/>
    <w:rPr>
      <w:rFonts w:ascii="Arial" w:eastAsia="Times New Roman" w:hAnsi="Arial" w:cs="Arial"/>
      <w:b/>
      <w:sz w:val="18"/>
      <w:szCs w:val="18"/>
    </w:rPr>
  </w:style>
  <w:style w:type="paragraph" w:customStyle="1" w:styleId="SEG4">
    <w:name w:val="SEG4"/>
    <w:basedOn w:val="SEGGGUNDO"/>
    <w:link w:val="SEG4Car"/>
    <w:rsid w:val="006312E8"/>
  </w:style>
  <w:style w:type="character" w:customStyle="1" w:styleId="SEG4Car">
    <w:name w:val="SEG4 Car"/>
    <w:basedOn w:val="SEGGGUNDOCar"/>
    <w:link w:val="SEG4"/>
    <w:locked/>
    <w:rsid w:val="006312E8"/>
    <w:rPr>
      <w:rFonts w:ascii="Arial" w:eastAsia="Times New Roman" w:hAnsi="Arial" w:cs="Arial"/>
      <w:b/>
      <w:sz w:val="18"/>
      <w:szCs w:val="18"/>
    </w:rPr>
  </w:style>
  <w:style w:type="paragraph" w:customStyle="1" w:styleId="SEG5">
    <w:name w:val="SEG5"/>
    <w:basedOn w:val="SEGGGUNDO"/>
    <w:link w:val="SEG5Car"/>
    <w:rsid w:val="006312E8"/>
  </w:style>
  <w:style w:type="character" w:customStyle="1" w:styleId="SEG5Car">
    <w:name w:val="SEG5 Car"/>
    <w:basedOn w:val="SEGGGUNDOCar"/>
    <w:link w:val="SEG5"/>
    <w:locked/>
    <w:rsid w:val="006312E8"/>
    <w:rPr>
      <w:rFonts w:ascii="Arial" w:eastAsia="Times New Roman" w:hAnsi="Arial" w:cs="Arial"/>
      <w:b/>
      <w:sz w:val="18"/>
      <w:szCs w:val="18"/>
    </w:rPr>
  </w:style>
  <w:style w:type="paragraph" w:customStyle="1" w:styleId="Vio1">
    <w:name w:val="Vio1"/>
    <w:basedOn w:val="Normal"/>
    <w:link w:val="Vio1Car"/>
    <w:rsid w:val="006312E8"/>
    <w:pPr>
      <w:spacing w:after="0" w:line="240" w:lineRule="auto"/>
      <w:ind w:left="708" w:firstLine="708"/>
      <w:jc w:val="both"/>
    </w:pPr>
    <w:rPr>
      <w:rFonts w:ascii="Arial" w:eastAsia="Times New Roman" w:hAnsi="Arial" w:cs="Arial"/>
      <w:b/>
      <w:sz w:val="18"/>
      <w:szCs w:val="18"/>
    </w:rPr>
  </w:style>
  <w:style w:type="character" w:customStyle="1" w:styleId="Vio1Car">
    <w:name w:val="Vio1 Car"/>
    <w:basedOn w:val="Fuentedeprrafopredeter"/>
    <w:link w:val="Vio1"/>
    <w:locked/>
    <w:rsid w:val="006312E8"/>
    <w:rPr>
      <w:rFonts w:ascii="Arial" w:eastAsia="Times New Roman" w:hAnsi="Arial" w:cs="Arial"/>
      <w:b/>
      <w:sz w:val="18"/>
      <w:szCs w:val="18"/>
    </w:rPr>
  </w:style>
  <w:style w:type="paragraph" w:customStyle="1" w:styleId="Cesar1">
    <w:name w:val="Cesar1"/>
    <w:basedOn w:val="Vio1"/>
    <w:link w:val="Cesar1Car"/>
    <w:rsid w:val="006312E8"/>
    <w:pPr>
      <w:ind w:left="0" w:firstLine="0"/>
    </w:pPr>
  </w:style>
  <w:style w:type="character" w:customStyle="1" w:styleId="Cesar1Car">
    <w:name w:val="Cesar1 Car"/>
    <w:basedOn w:val="Vio1Car"/>
    <w:link w:val="Cesar1"/>
    <w:locked/>
    <w:rsid w:val="006312E8"/>
    <w:rPr>
      <w:rFonts w:ascii="Arial" w:eastAsia="Times New Roman" w:hAnsi="Arial" w:cs="Arial"/>
      <w:b/>
      <w:sz w:val="18"/>
      <w:szCs w:val="18"/>
    </w:rPr>
  </w:style>
  <w:style w:type="paragraph" w:customStyle="1" w:styleId="Cesar2">
    <w:name w:val="Cesar2"/>
    <w:basedOn w:val="Normal"/>
    <w:link w:val="Cesar2Car"/>
    <w:rsid w:val="006312E8"/>
    <w:pPr>
      <w:spacing w:after="0" w:line="240" w:lineRule="auto"/>
      <w:jc w:val="both"/>
    </w:pPr>
    <w:rPr>
      <w:rFonts w:ascii="Arial" w:eastAsia="Times New Roman" w:hAnsi="Arial" w:cs="Arial"/>
      <w:b/>
      <w:sz w:val="18"/>
      <w:szCs w:val="18"/>
    </w:rPr>
  </w:style>
  <w:style w:type="character" w:customStyle="1" w:styleId="Cesar2Car">
    <w:name w:val="Cesar2 Car"/>
    <w:basedOn w:val="Fuentedeprrafopredeter"/>
    <w:link w:val="Cesar2"/>
    <w:locked/>
    <w:rsid w:val="006312E8"/>
    <w:rPr>
      <w:rFonts w:ascii="Arial" w:eastAsia="Times New Roman" w:hAnsi="Arial" w:cs="Arial"/>
      <w:b/>
      <w:sz w:val="18"/>
      <w:szCs w:val="18"/>
    </w:rPr>
  </w:style>
  <w:style w:type="paragraph" w:customStyle="1" w:styleId="Cesar3">
    <w:name w:val="Cesar3"/>
    <w:basedOn w:val="Normal"/>
    <w:link w:val="Cesar3Car"/>
    <w:rsid w:val="006312E8"/>
    <w:pPr>
      <w:spacing w:after="0" w:line="240" w:lineRule="auto"/>
      <w:jc w:val="both"/>
    </w:pPr>
    <w:rPr>
      <w:rFonts w:ascii="Arial" w:eastAsia="Times New Roman" w:hAnsi="Arial" w:cs="Arial"/>
      <w:b/>
      <w:sz w:val="18"/>
      <w:szCs w:val="18"/>
    </w:rPr>
  </w:style>
  <w:style w:type="character" w:customStyle="1" w:styleId="Cesar3Car">
    <w:name w:val="Cesar3 Car"/>
    <w:basedOn w:val="Fuentedeprrafopredeter"/>
    <w:link w:val="Cesar3"/>
    <w:locked/>
    <w:rsid w:val="006312E8"/>
    <w:rPr>
      <w:rFonts w:ascii="Arial" w:eastAsia="Times New Roman" w:hAnsi="Arial" w:cs="Arial"/>
      <w:b/>
      <w:sz w:val="18"/>
      <w:szCs w:val="18"/>
    </w:rPr>
  </w:style>
  <w:style w:type="paragraph" w:styleId="Ttulo">
    <w:name w:val="Title"/>
    <w:basedOn w:val="Normal"/>
    <w:next w:val="Normal"/>
    <w:link w:val="TtuloCar"/>
    <w:qFormat/>
    <w:rsid w:val="006312E8"/>
    <w:pPr>
      <w:pBdr>
        <w:bottom w:val="single" w:sz="8" w:space="4" w:color="4F81BD"/>
      </w:pBdr>
      <w:spacing w:after="300" w:line="240" w:lineRule="auto"/>
      <w:contextualSpacing/>
    </w:pPr>
    <w:rPr>
      <w:rFonts w:ascii="Cambria" w:eastAsia="Calibri" w:hAnsi="Cambria" w:cs="Times New Roman"/>
      <w:color w:val="17365D"/>
      <w:spacing w:val="5"/>
      <w:kern w:val="28"/>
      <w:sz w:val="52"/>
      <w:szCs w:val="52"/>
    </w:rPr>
  </w:style>
  <w:style w:type="character" w:customStyle="1" w:styleId="TtuloCar">
    <w:name w:val="Título Car"/>
    <w:basedOn w:val="Fuentedeprrafopredeter"/>
    <w:link w:val="Ttulo"/>
    <w:rsid w:val="006312E8"/>
    <w:rPr>
      <w:rFonts w:ascii="Cambria" w:eastAsia="Calibri" w:hAnsi="Cambria" w:cs="Times New Roman"/>
      <w:color w:val="17365D"/>
      <w:spacing w:val="5"/>
      <w:kern w:val="28"/>
      <w:sz w:val="52"/>
      <w:szCs w:val="52"/>
    </w:rPr>
  </w:style>
  <w:style w:type="paragraph" w:styleId="Subttulo">
    <w:name w:val="Subtitle"/>
    <w:basedOn w:val="Normal"/>
    <w:next w:val="Normal"/>
    <w:link w:val="SubttuloCar"/>
    <w:qFormat/>
    <w:rsid w:val="006312E8"/>
    <w:pPr>
      <w:numPr>
        <w:ilvl w:val="1"/>
      </w:numPr>
      <w:spacing w:after="200" w:line="276" w:lineRule="auto"/>
    </w:pPr>
    <w:rPr>
      <w:rFonts w:ascii="Cambria" w:eastAsia="Calibri" w:hAnsi="Cambria" w:cs="Times New Roman"/>
      <w:i/>
      <w:iCs/>
      <w:color w:val="4F81BD"/>
      <w:spacing w:val="15"/>
      <w:sz w:val="24"/>
      <w:szCs w:val="24"/>
    </w:rPr>
  </w:style>
  <w:style w:type="character" w:customStyle="1" w:styleId="SubttuloCar">
    <w:name w:val="Subtítulo Car"/>
    <w:basedOn w:val="Fuentedeprrafopredeter"/>
    <w:link w:val="Subttulo"/>
    <w:rsid w:val="006312E8"/>
    <w:rPr>
      <w:rFonts w:ascii="Cambria" w:eastAsia="Calibri" w:hAnsi="Cambria" w:cs="Times New Roman"/>
      <w:i/>
      <w:iCs/>
      <w:color w:val="4F81BD"/>
      <w:spacing w:val="15"/>
      <w:sz w:val="24"/>
      <w:szCs w:val="24"/>
    </w:rPr>
  </w:style>
  <w:style w:type="paragraph" w:customStyle="1" w:styleId="Sinespaciado1">
    <w:name w:val="Sin espaciado1"/>
    <w:basedOn w:val="Normal"/>
    <w:link w:val="NoSpacingChar"/>
    <w:rsid w:val="006312E8"/>
    <w:pPr>
      <w:spacing w:after="0" w:line="240" w:lineRule="auto"/>
    </w:pPr>
    <w:rPr>
      <w:rFonts w:ascii="Calibri" w:eastAsia="Times New Roman" w:hAnsi="Calibri" w:cs="Times New Roman"/>
    </w:rPr>
  </w:style>
  <w:style w:type="character" w:customStyle="1" w:styleId="NoSpacingChar">
    <w:name w:val="No Spacing Char"/>
    <w:basedOn w:val="Fuentedeprrafopredeter"/>
    <w:link w:val="Sinespaciado1"/>
    <w:locked/>
    <w:rsid w:val="006312E8"/>
    <w:rPr>
      <w:rFonts w:ascii="Calibri" w:eastAsia="Times New Roman" w:hAnsi="Calibri" w:cs="Times New Roman"/>
    </w:rPr>
  </w:style>
  <w:style w:type="paragraph" w:customStyle="1" w:styleId="Cita1">
    <w:name w:val="Cita1"/>
    <w:basedOn w:val="Normal"/>
    <w:next w:val="Normal"/>
    <w:link w:val="QuoteChar"/>
    <w:rsid w:val="006312E8"/>
    <w:pPr>
      <w:spacing w:after="200" w:line="276" w:lineRule="auto"/>
    </w:pPr>
    <w:rPr>
      <w:rFonts w:ascii="Calibri" w:eastAsia="Times New Roman" w:hAnsi="Calibri" w:cs="Times New Roman"/>
      <w:i/>
      <w:iCs/>
      <w:color w:val="000000"/>
    </w:rPr>
  </w:style>
  <w:style w:type="character" w:customStyle="1" w:styleId="QuoteChar">
    <w:name w:val="Quote Char"/>
    <w:basedOn w:val="Fuentedeprrafopredeter"/>
    <w:link w:val="Cita1"/>
    <w:locked/>
    <w:rsid w:val="006312E8"/>
    <w:rPr>
      <w:rFonts w:ascii="Calibri" w:eastAsia="Times New Roman" w:hAnsi="Calibri" w:cs="Times New Roman"/>
      <w:i/>
      <w:iCs/>
      <w:color w:val="000000"/>
    </w:rPr>
  </w:style>
  <w:style w:type="paragraph" w:customStyle="1" w:styleId="Citadestacada1">
    <w:name w:val="Cita destacada1"/>
    <w:basedOn w:val="Normal"/>
    <w:next w:val="Normal"/>
    <w:link w:val="IntenseQuoteChar"/>
    <w:rsid w:val="006312E8"/>
    <w:pPr>
      <w:pBdr>
        <w:bottom w:val="single" w:sz="4" w:space="4" w:color="4F81BD"/>
      </w:pBdr>
      <w:spacing w:before="200" w:after="280" w:line="276" w:lineRule="auto"/>
      <w:ind w:left="936" w:right="936"/>
    </w:pPr>
    <w:rPr>
      <w:rFonts w:ascii="Calibri" w:eastAsia="Times New Roman" w:hAnsi="Calibri" w:cs="Times New Roman"/>
      <w:b/>
      <w:bCs/>
      <w:i/>
      <w:iCs/>
      <w:color w:val="4F81BD"/>
    </w:rPr>
  </w:style>
  <w:style w:type="character" w:customStyle="1" w:styleId="IntenseQuoteChar">
    <w:name w:val="Intense Quote Char"/>
    <w:basedOn w:val="Fuentedeprrafopredeter"/>
    <w:link w:val="Citadestacada1"/>
    <w:locked/>
    <w:rsid w:val="006312E8"/>
    <w:rPr>
      <w:rFonts w:ascii="Calibri" w:eastAsia="Times New Roman" w:hAnsi="Calibri" w:cs="Times New Roman"/>
      <w:b/>
      <w:bCs/>
      <w:i/>
      <w:iCs/>
      <w:color w:val="4F81BD"/>
    </w:rPr>
  </w:style>
  <w:style w:type="paragraph" w:customStyle="1" w:styleId="ESTSEG3">
    <w:name w:val="EST=SEG3"/>
    <w:basedOn w:val="SEG3"/>
    <w:link w:val="ESTSEG3Car"/>
    <w:rsid w:val="006312E8"/>
    <w:pPr>
      <w:numPr>
        <w:numId w:val="48"/>
      </w:numPr>
    </w:pPr>
  </w:style>
  <w:style w:type="character" w:customStyle="1" w:styleId="ESTSEG3Car">
    <w:name w:val="EST=SEG3 Car"/>
    <w:basedOn w:val="SEG3Car"/>
    <w:link w:val="ESTSEG3"/>
    <w:locked/>
    <w:rsid w:val="006312E8"/>
    <w:rPr>
      <w:rFonts w:ascii="Arial" w:eastAsia="Times New Roman" w:hAnsi="Arial" w:cs="Arial"/>
      <w:b/>
      <w:sz w:val="18"/>
      <w:szCs w:val="18"/>
    </w:rPr>
  </w:style>
  <w:style w:type="paragraph" w:customStyle="1" w:styleId="Pri22">
    <w:name w:val="Pri22"/>
    <w:basedOn w:val="Prrafodelista1"/>
    <w:link w:val="Pri22Car"/>
    <w:rsid w:val="006312E8"/>
    <w:pPr>
      <w:numPr>
        <w:numId w:val="240"/>
      </w:numPr>
    </w:pPr>
    <w:rPr>
      <w:b/>
    </w:rPr>
  </w:style>
  <w:style w:type="character" w:customStyle="1" w:styleId="Pri22Car">
    <w:name w:val="Pri22 Car"/>
    <w:basedOn w:val="ListParagraphChar"/>
    <w:link w:val="Pri22"/>
    <w:locked/>
    <w:rsid w:val="006312E8"/>
    <w:rPr>
      <w:rFonts w:ascii="Calibri" w:eastAsia="Times New Roman" w:hAnsi="Calibri" w:cs="Times New Roman"/>
      <w:b/>
    </w:rPr>
  </w:style>
  <w:style w:type="paragraph" w:customStyle="1" w:styleId="Pri33">
    <w:name w:val="Pri33"/>
    <w:basedOn w:val="Pri22"/>
    <w:link w:val="Pri33Car"/>
    <w:rsid w:val="006312E8"/>
    <w:pPr>
      <w:numPr>
        <w:numId w:val="239"/>
      </w:numPr>
    </w:pPr>
  </w:style>
  <w:style w:type="character" w:customStyle="1" w:styleId="Pri33Car">
    <w:name w:val="Pri33 Car"/>
    <w:basedOn w:val="Pri22Car"/>
    <w:link w:val="Pri33"/>
    <w:locked/>
    <w:rsid w:val="006312E8"/>
    <w:rPr>
      <w:rFonts w:ascii="Calibri" w:eastAsia="Times New Roman" w:hAnsi="Calibri" w:cs="Times New Roman"/>
      <w:b/>
    </w:rPr>
  </w:style>
  <w:style w:type="paragraph" w:styleId="Mapadeldocumento">
    <w:name w:val="Document Map"/>
    <w:basedOn w:val="Normal"/>
    <w:link w:val="MapadeldocumentoCar"/>
    <w:semiHidden/>
    <w:rsid w:val="006312E8"/>
    <w:pPr>
      <w:widowControl w:val="0"/>
      <w:spacing w:after="0" w:line="240" w:lineRule="auto"/>
    </w:pPr>
    <w:rPr>
      <w:rFonts w:ascii="Tahoma" w:eastAsia="Times New Roman" w:hAnsi="Tahoma" w:cs="Tahoma"/>
      <w:sz w:val="16"/>
      <w:szCs w:val="16"/>
      <w:lang w:val="en-US"/>
    </w:rPr>
  </w:style>
  <w:style w:type="character" w:customStyle="1" w:styleId="MapadeldocumentoCar">
    <w:name w:val="Mapa del documento Car"/>
    <w:basedOn w:val="Fuentedeprrafopredeter"/>
    <w:link w:val="Mapadeldocumento"/>
    <w:semiHidden/>
    <w:rsid w:val="006312E8"/>
    <w:rPr>
      <w:rFonts w:ascii="Tahoma" w:eastAsia="Times New Roman" w:hAnsi="Tahoma" w:cs="Tahoma"/>
      <w:sz w:val="16"/>
      <w:szCs w:val="16"/>
      <w:lang w:val="en-US"/>
    </w:rPr>
  </w:style>
  <w:style w:type="paragraph" w:customStyle="1" w:styleId="tutin1">
    <w:name w:val="tutin1"/>
    <w:basedOn w:val="Normal"/>
    <w:link w:val="tutin1Car"/>
    <w:qFormat/>
    <w:rsid w:val="006312E8"/>
    <w:pPr>
      <w:spacing w:after="0" w:line="240" w:lineRule="auto"/>
      <w:jc w:val="center"/>
    </w:pPr>
    <w:rPr>
      <w:rFonts w:ascii="Arial" w:hAnsi="Arial" w:cs="Arial"/>
      <w:b/>
      <w:sz w:val="48"/>
      <w:szCs w:val="48"/>
      <w:lang w:val="es-ES"/>
    </w:rPr>
  </w:style>
  <w:style w:type="paragraph" w:customStyle="1" w:styleId="tutin2">
    <w:name w:val="tutin2"/>
    <w:basedOn w:val="Normal"/>
    <w:link w:val="tutin2Car"/>
    <w:qFormat/>
    <w:rsid w:val="006312E8"/>
    <w:pPr>
      <w:spacing w:after="0" w:line="240" w:lineRule="auto"/>
      <w:jc w:val="center"/>
    </w:pPr>
    <w:rPr>
      <w:rFonts w:ascii="Arial" w:hAnsi="Arial" w:cs="Arial"/>
      <w:b/>
      <w:sz w:val="28"/>
      <w:szCs w:val="28"/>
      <w:lang w:val="es-ES"/>
    </w:rPr>
  </w:style>
  <w:style w:type="character" w:customStyle="1" w:styleId="tutin1Car">
    <w:name w:val="tutin1 Car"/>
    <w:basedOn w:val="Fuentedeprrafopredeter"/>
    <w:link w:val="tutin1"/>
    <w:rsid w:val="006312E8"/>
    <w:rPr>
      <w:rFonts w:ascii="Arial" w:hAnsi="Arial" w:cs="Arial"/>
      <w:b/>
      <w:sz w:val="48"/>
      <w:szCs w:val="48"/>
      <w:lang w:val="es-ES"/>
    </w:rPr>
  </w:style>
  <w:style w:type="character" w:customStyle="1" w:styleId="tutin2Car">
    <w:name w:val="tutin2 Car"/>
    <w:basedOn w:val="Fuentedeprrafopredeter"/>
    <w:link w:val="tutin2"/>
    <w:rsid w:val="006312E8"/>
    <w:rPr>
      <w:rFonts w:ascii="Arial" w:hAnsi="Arial" w:cs="Arial"/>
      <w:b/>
      <w:sz w:val="28"/>
      <w:szCs w:val="28"/>
      <w:lang w:val="es-ES"/>
    </w:rPr>
  </w:style>
  <w:style w:type="paragraph" w:customStyle="1" w:styleId="TITO10">
    <w:name w:val="TITO 1"/>
    <w:basedOn w:val="Normal"/>
    <w:link w:val="TITO1Car0"/>
    <w:qFormat/>
    <w:rsid w:val="00D04998"/>
    <w:pPr>
      <w:spacing w:after="0" w:line="240" w:lineRule="auto"/>
      <w:jc w:val="center"/>
    </w:pPr>
    <w:rPr>
      <w:rFonts w:ascii="Arial" w:hAnsi="Arial" w:cs="Arial"/>
      <w:b/>
      <w:sz w:val="48"/>
      <w:szCs w:val="48"/>
      <w:lang w:val="es-ES"/>
    </w:rPr>
  </w:style>
  <w:style w:type="character" w:customStyle="1" w:styleId="TITO1Car0">
    <w:name w:val="TITO 1 Car"/>
    <w:basedOn w:val="Fuentedeprrafopredeter"/>
    <w:link w:val="TITO10"/>
    <w:rsid w:val="00D04998"/>
    <w:rPr>
      <w:rFonts w:ascii="Arial" w:hAnsi="Arial" w:cs="Arial"/>
      <w:b/>
      <w:sz w:val="48"/>
      <w:szCs w:val="48"/>
      <w:lang w:val="es-ES"/>
    </w:rPr>
  </w:style>
  <w:style w:type="paragraph" w:customStyle="1" w:styleId="cuerpo">
    <w:name w:val="cuerpo"/>
    <w:basedOn w:val="Normal"/>
    <w:rsid w:val="004660B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no-style-override-1">
    <w:name w:val="no-style-override-1"/>
    <w:basedOn w:val="Fuentedeprrafopredeter"/>
    <w:rsid w:val="004660BB"/>
  </w:style>
  <w:style w:type="character" w:customStyle="1" w:styleId="no-style-override">
    <w:name w:val="no-style-override"/>
    <w:basedOn w:val="Fuentedeprrafopredeter"/>
    <w:rsid w:val="004660BB"/>
  </w:style>
  <w:style w:type="paragraph" w:customStyle="1" w:styleId="Prrafodelista2">
    <w:name w:val="Párrafo de lista2"/>
    <w:basedOn w:val="Normal"/>
    <w:rsid w:val="00A85304"/>
    <w:pPr>
      <w:spacing w:after="200" w:line="276" w:lineRule="auto"/>
      <w:ind w:left="720"/>
      <w:contextualSpacing/>
    </w:pPr>
    <w:rPr>
      <w:rFonts w:ascii="Calibri" w:eastAsia="Times New Roman" w:hAnsi="Calibri" w:cs="Times New Roman"/>
    </w:rPr>
  </w:style>
  <w:style w:type="paragraph" w:customStyle="1" w:styleId="Prrafodelista3">
    <w:name w:val="Párrafo de lista3"/>
    <w:basedOn w:val="Normal"/>
    <w:rsid w:val="00A85304"/>
    <w:pPr>
      <w:spacing w:after="200" w:line="276" w:lineRule="auto"/>
      <w:ind w:left="720"/>
      <w:contextualSpacing/>
    </w:pPr>
    <w:rPr>
      <w:rFonts w:ascii="Calibri" w:eastAsia="Times New Roman" w:hAnsi="Calibri" w:cs="Times New Roman"/>
    </w:rPr>
  </w:style>
  <w:style w:type="character" w:styleId="Refdecomentario">
    <w:name w:val="annotation reference"/>
    <w:basedOn w:val="Fuentedeprrafopredeter"/>
    <w:uiPriority w:val="99"/>
    <w:semiHidden/>
    <w:unhideWhenUsed/>
    <w:rsid w:val="0080295E"/>
    <w:rPr>
      <w:sz w:val="16"/>
      <w:szCs w:val="16"/>
    </w:rPr>
  </w:style>
  <w:style w:type="paragraph" w:styleId="Textocomentario">
    <w:name w:val="annotation text"/>
    <w:basedOn w:val="Normal"/>
    <w:link w:val="TextocomentarioCar"/>
    <w:uiPriority w:val="99"/>
    <w:semiHidden/>
    <w:unhideWhenUsed/>
    <w:rsid w:val="0080295E"/>
    <w:pPr>
      <w:spacing w:line="240" w:lineRule="auto"/>
    </w:pPr>
    <w:rPr>
      <w:sz w:val="20"/>
      <w:szCs w:val="20"/>
      <w:lang w:val="es-ES"/>
    </w:rPr>
  </w:style>
  <w:style w:type="character" w:customStyle="1" w:styleId="TextocomentarioCar">
    <w:name w:val="Texto comentario Car"/>
    <w:basedOn w:val="Fuentedeprrafopredeter"/>
    <w:link w:val="Textocomentario"/>
    <w:uiPriority w:val="99"/>
    <w:semiHidden/>
    <w:rsid w:val="0080295E"/>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80295E"/>
    <w:rPr>
      <w:b/>
      <w:bCs/>
    </w:rPr>
  </w:style>
  <w:style w:type="character" w:customStyle="1" w:styleId="AsuntodelcomentarioCar">
    <w:name w:val="Asunto del comentario Car"/>
    <w:basedOn w:val="TextocomentarioCar"/>
    <w:link w:val="Asuntodelcomentario"/>
    <w:uiPriority w:val="99"/>
    <w:semiHidden/>
    <w:rsid w:val="0080295E"/>
    <w:rPr>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70413">
      <w:bodyDiv w:val="1"/>
      <w:marLeft w:val="0"/>
      <w:marRight w:val="0"/>
      <w:marTop w:val="0"/>
      <w:marBottom w:val="0"/>
      <w:divBdr>
        <w:top w:val="none" w:sz="0" w:space="0" w:color="auto"/>
        <w:left w:val="none" w:sz="0" w:space="0" w:color="auto"/>
        <w:bottom w:val="none" w:sz="0" w:space="0" w:color="auto"/>
        <w:right w:val="none" w:sz="0" w:space="0" w:color="auto"/>
      </w:divBdr>
    </w:div>
    <w:div w:id="208617952">
      <w:bodyDiv w:val="1"/>
      <w:marLeft w:val="0"/>
      <w:marRight w:val="0"/>
      <w:marTop w:val="0"/>
      <w:marBottom w:val="0"/>
      <w:divBdr>
        <w:top w:val="none" w:sz="0" w:space="0" w:color="auto"/>
        <w:left w:val="none" w:sz="0" w:space="0" w:color="auto"/>
        <w:bottom w:val="none" w:sz="0" w:space="0" w:color="auto"/>
        <w:right w:val="none" w:sz="0" w:space="0" w:color="auto"/>
      </w:divBdr>
      <w:divsChild>
        <w:div w:id="1450012349">
          <w:marLeft w:val="0"/>
          <w:marRight w:val="0"/>
          <w:marTop w:val="0"/>
          <w:marBottom w:val="0"/>
          <w:divBdr>
            <w:top w:val="none" w:sz="0" w:space="0" w:color="auto"/>
            <w:left w:val="none" w:sz="0" w:space="0" w:color="auto"/>
            <w:bottom w:val="none" w:sz="0" w:space="0" w:color="auto"/>
            <w:right w:val="none" w:sz="0" w:space="0" w:color="auto"/>
          </w:divBdr>
        </w:div>
        <w:div w:id="1708337295">
          <w:marLeft w:val="0"/>
          <w:marRight w:val="0"/>
          <w:marTop w:val="0"/>
          <w:marBottom w:val="0"/>
          <w:divBdr>
            <w:top w:val="none" w:sz="0" w:space="0" w:color="auto"/>
            <w:left w:val="none" w:sz="0" w:space="0" w:color="auto"/>
            <w:bottom w:val="none" w:sz="0" w:space="0" w:color="auto"/>
            <w:right w:val="none" w:sz="0" w:space="0" w:color="auto"/>
          </w:divBdr>
        </w:div>
        <w:div w:id="408776392">
          <w:marLeft w:val="0"/>
          <w:marRight w:val="0"/>
          <w:marTop w:val="0"/>
          <w:marBottom w:val="0"/>
          <w:divBdr>
            <w:top w:val="none" w:sz="0" w:space="0" w:color="auto"/>
            <w:left w:val="none" w:sz="0" w:space="0" w:color="auto"/>
            <w:bottom w:val="none" w:sz="0" w:space="0" w:color="auto"/>
            <w:right w:val="none" w:sz="0" w:space="0" w:color="auto"/>
          </w:divBdr>
        </w:div>
        <w:div w:id="651638876">
          <w:marLeft w:val="0"/>
          <w:marRight w:val="0"/>
          <w:marTop w:val="0"/>
          <w:marBottom w:val="0"/>
          <w:divBdr>
            <w:top w:val="none" w:sz="0" w:space="0" w:color="auto"/>
            <w:left w:val="none" w:sz="0" w:space="0" w:color="auto"/>
            <w:bottom w:val="none" w:sz="0" w:space="0" w:color="auto"/>
            <w:right w:val="none" w:sz="0" w:space="0" w:color="auto"/>
          </w:divBdr>
        </w:div>
        <w:div w:id="674068722">
          <w:marLeft w:val="0"/>
          <w:marRight w:val="0"/>
          <w:marTop w:val="0"/>
          <w:marBottom w:val="0"/>
          <w:divBdr>
            <w:top w:val="none" w:sz="0" w:space="0" w:color="auto"/>
            <w:left w:val="none" w:sz="0" w:space="0" w:color="auto"/>
            <w:bottom w:val="none" w:sz="0" w:space="0" w:color="auto"/>
            <w:right w:val="none" w:sz="0" w:space="0" w:color="auto"/>
          </w:divBdr>
        </w:div>
        <w:div w:id="1963730861">
          <w:marLeft w:val="0"/>
          <w:marRight w:val="0"/>
          <w:marTop w:val="0"/>
          <w:marBottom w:val="0"/>
          <w:divBdr>
            <w:top w:val="none" w:sz="0" w:space="0" w:color="auto"/>
            <w:left w:val="none" w:sz="0" w:space="0" w:color="auto"/>
            <w:bottom w:val="none" w:sz="0" w:space="0" w:color="auto"/>
            <w:right w:val="none" w:sz="0" w:space="0" w:color="auto"/>
          </w:divBdr>
        </w:div>
        <w:div w:id="921571837">
          <w:marLeft w:val="0"/>
          <w:marRight w:val="0"/>
          <w:marTop w:val="0"/>
          <w:marBottom w:val="0"/>
          <w:divBdr>
            <w:top w:val="none" w:sz="0" w:space="0" w:color="auto"/>
            <w:left w:val="none" w:sz="0" w:space="0" w:color="auto"/>
            <w:bottom w:val="none" w:sz="0" w:space="0" w:color="auto"/>
            <w:right w:val="none" w:sz="0" w:space="0" w:color="auto"/>
          </w:divBdr>
        </w:div>
        <w:div w:id="706031798">
          <w:marLeft w:val="0"/>
          <w:marRight w:val="0"/>
          <w:marTop w:val="0"/>
          <w:marBottom w:val="0"/>
          <w:divBdr>
            <w:top w:val="none" w:sz="0" w:space="0" w:color="auto"/>
            <w:left w:val="none" w:sz="0" w:space="0" w:color="auto"/>
            <w:bottom w:val="none" w:sz="0" w:space="0" w:color="auto"/>
            <w:right w:val="none" w:sz="0" w:space="0" w:color="auto"/>
          </w:divBdr>
        </w:div>
        <w:div w:id="1441799971">
          <w:marLeft w:val="0"/>
          <w:marRight w:val="0"/>
          <w:marTop w:val="0"/>
          <w:marBottom w:val="0"/>
          <w:divBdr>
            <w:top w:val="none" w:sz="0" w:space="0" w:color="auto"/>
            <w:left w:val="none" w:sz="0" w:space="0" w:color="auto"/>
            <w:bottom w:val="none" w:sz="0" w:space="0" w:color="auto"/>
            <w:right w:val="none" w:sz="0" w:space="0" w:color="auto"/>
          </w:divBdr>
        </w:div>
        <w:div w:id="609707319">
          <w:marLeft w:val="0"/>
          <w:marRight w:val="0"/>
          <w:marTop w:val="0"/>
          <w:marBottom w:val="0"/>
          <w:divBdr>
            <w:top w:val="none" w:sz="0" w:space="0" w:color="auto"/>
            <w:left w:val="none" w:sz="0" w:space="0" w:color="auto"/>
            <w:bottom w:val="none" w:sz="0" w:space="0" w:color="auto"/>
            <w:right w:val="none" w:sz="0" w:space="0" w:color="auto"/>
          </w:divBdr>
        </w:div>
        <w:div w:id="588656286">
          <w:marLeft w:val="0"/>
          <w:marRight w:val="0"/>
          <w:marTop w:val="0"/>
          <w:marBottom w:val="0"/>
          <w:divBdr>
            <w:top w:val="none" w:sz="0" w:space="0" w:color="auto"/>
            <w:left w:val="none" w:sz="0" w:space="0" w:color="auto"/>
            <w:bottom w:val="none" w:sz="0" w:space="0" w:color="auto"/>
            <w:right w:val="none" w:sz="0" w:space="0" w:color="auto"/>
          </w:divBdr>
        </w:div>
        <w:div w:id="2014068185">
          <w:marLeft w:val="0"/>
          <w:marRight w:val="0"/>
          <w:marTop w:val="0"/>
          <w:marBottom w:val="0"/>
          <w:divBdr>
            <w:top w:val="none" w:sz="0" w:space="0" w:color="auto"/>
            <w:left w:val="none" w:sz="0" w:space="0" w:color="auto"/>
            <w:bottom w:val="none" w:sz="0" w:space="0" w:color="auto"/>
            <w:right w:val="none" w:sz="0" w:space="0" w:color="auto"/>
          </w:divBdr>
        </w:div>
        <w:div w:id="1197042750">
          <w:marLeft w:val="0"/>
          <w:marRight w:val="0"/>
          <w:marTop w:val="0"/>
          <w:marBottom w:val="0"/>
          <w:divBdr>
            <w:top w:val="none" w:sz="0" w:space="0" w:color="auto"/>
            <w:left w:val="none" w:sz="0" w:space="0" w:color="auto"/>
            <w:bottom w:val="none" w:sz="0" w:space="0" w:color="auto"/>
            <w:right w:val="none" w:sz="0" w:space="0" w:color="auto"/>
          </w:divBdr>
        </w:div>
        <w:div w:id="1062484762">
          <w:marLeft w:val="0"/>
          <w:marRight w:val="0"/>
          <w:marTop w:val="0"/>
          <w:marBottom w:val="0"/>
          <w:divBdr>
            <w:top w:val="none" w:sz="0" w:space="0" w:color="auto"/>
            <w:left w:val="none" w:sz="0" w:space="0" w:color="auto"/>
            <w:bottom w:val="none" w:sz="0" w:space="0" w:color="auto"/>
            <w:right w:val="none" w:sz="0" w:space="0" w:color="auto"/>
          </w:divBdr>
        </w:div>
        <w:div w:id="1692340135">
          <w:marLeft w:val="0"/>
          <w:marRight w:val="0"/>
          <w:marTop w:val="0"/>
          <w:marBottom w:val="0"/>
          <w:divBdr>
            <w:top w:val="none" w:sz="0" w:space="0" w:color="auto"/>
            <w:left w:val="none" w:sz="0" w:space="0" w:color="auto"/>
            <w:bottom w:val="none" w:sz="0" w:space="0" w:color="auto"/>
            <w:right w:val="none" w:sz="0" w:space="0" w:color="auto"/>
          </w:divBdr>
        </w:div>
      </w:divsChild>
    </w:div>
    <w:div w:id="384522197">
      <w:bodyDiv w:val="1"/>
      <w:marLeft w:val="0"/>
      <w:marRight w:val="0"/>
      <w:marTop w:val="0"/>
      <w:marBottom w:val="0"/>
      <w:divBdr>
        <w:top w:val="none" w:sz="0" w:space="0" w:color="auto"/>
        <w:left w:val="none" w:sz="0" w:space="0" w:color="auto"/>
        <w:bottom w:val="none" w:sz="0" w:space="0" w:color="auto"/>
        <w:right w:val="none" w:sz="0" w:space="0" w:color="auto"/>
      </w:divBdr>
      <w:divsChild>
        <w:div w:id="524253679">
          <w:marLeft w:val="0"/>
          <w:marRight w:val="0"/>
          <w:marTop w:val="0"/>
          <w:marBottom w:val="0"/>
          <w:divBdr>
            <w:top w:val="none" w:sz="0" w:space="0" w:color="auto"/>
            <w:left w:val="none" w:sz="0" w:space="0" w:color="auto"/>
            <w:bottom w:val="none" w:sz="0" w:space="0" w:color="auto"/>
            <w:right w:val="none" w:sz="0" w:space="0" w:color="auto"/>
          </w:divBdr>
        </w:div>
        <w:div w:id="1857422740">
          <w:marLeft w:val="0"/>
          <w:marRight w:val="0"/>
          <w:marTop w:val="0"/>
          <w:marBottom w:val="0"/>
          <w:divBdr>
            <w:top w:val="none" w:sz="0" w:space="0" w:color="auto"/>
            <w:left w:val="none" w:sz="0" w:space="0" w:color="auto"/>
            <w:bottom w:val="none" w:sz="0" w:space="0" w:color="auto"/>
            <w:right w:val="none" w:sz="0" w:space="0" w:color="auto"/>
          </w:divBdr>
        </w:div>
      </w:divsChild>
    </w:div>
    <w:div w:id="424149966">
      <w:bodyDiv w:val="1"/>
      <w:marLeft w:val="0"/>
      <w:marRight w:val="0"/>
      <w:marTop w:val="0"/>
      <w:marBottom w:val="0"/>
      <w:divBdr>
        <w:top w:val="none" w:sz="0" w:space="0" w:color="auto"/>
        <w:left w:val="none" w:sz="0" w:space="0" w:color="auto"/>
        <w:bottom w:val="none" w:sz="0" w:space="0" w:color="auto"/>
        <w:right w:val="none" w:sz="0" w:space="0" w:color="auto"/>
      </w:divBdr>
    </w:div>
    <w:div w:id="624776263">
      <w:bodyDiv w:val="1"/>
      <w:marLeft w:val="0"/>
      <w:marRight w:val="0"/>
      <w:marTop w:val="0"/>
      <w:marBottom w:val="0"/>
      <w:divBdr>
        <w:top w:val="none" w:sz="0" w:space="0" w:color="auto"/>
        <w:left w:val="none" w:sz="0" w:space="0" w:color="auto"/>
        <w:bottom w:val="none" w:sz="0" w:space="0" w:color="auto"/>
        <w:right w:val="none" w:sz="0" w:space="0" w:color="auto"/>
      </w:divBdr>
    </w:div>
    <w:div w:id="1337810252">
      <w:bodyDiv w:val="1"/>
      <w:marLeft w:val="0"/>
      <w:marRight w:val="0"/>
      <w:marTop w:val="0"/>
      <w:marBottom w:val="0"/>
      <w:divBdr>
        <w:top w:val="none" w:sz="0" w:space="0" w:color="auto"/>
        <w:left w:val="none" w:sz="0" w:space="0" w:color="auto"/>
        <w:bottom w:val="none" w:sz="0" w:space="0" w:color="auto"/>
        <w:right w:val="none" w:sz="0" w:space="0" w:color="auto"/>
      </w:divBdr>
      <w:divsChild>
        <w:div w:id="1269005537">
          <w:marLeft w:val="0"/>
          <w:marRight w:val="0"/>
          <w:marTop w:val="0"/>
          <w:marBottom w:val="0"/>
          <w:divBdr>
            <w:top w:val="none" w:sz="0" w:space="0" w:color="auto"/>
            <w:left w:val="none" w:sz="0" w:space="0" w:color="auto"/>
            <w:bottom w:val="none" w:sz="0" w:space="0" w:color="auto"/>
            <w:right w:val="none" w:sz="0" w:space="0" w:color="auto"/>
          </w:divBdr>
        </w:div>
        <w:div w:id="1891067973">
          <w:marLeft w:val="0"/>
          <w:marRight w:val="0"/>
          <w:marTop w:val="0"/>
          <w:marBottom w:val="0"/>
          <w:divBdr>
            <w:top w:val="none" w:sz="0" w:space="0" w:color="auto"/>
            <w:left w:val="none" w:sz="0" w:space="0" w:color="auto"/>
            <w:bottom w:val="none" w:sz="0" w:space="0" w:color="auto"/>
            <w:right w:val="none" w:sz="0" w:space="0" w:color="auto"/>
          </w:divBdr>
        </w:div>
        <w:div w:id="1105416311">
          <w:marLeft w:val="0"/>
          <w:marRight w:val="0"/>
          <w:marTop w:val="0"/>
          <w:marBottom w:val="0"/>
          <w:divBdr>
            <w:top w:val="none" w:sz="0" w:space="0" w:color="auto"/>
            <w:left w:val="none" w:sz="0" w:space="0" w:color="auto"/>
            <w:bottom w:val="none" w:sz="0" w:space="0" w:color="auto"/>
            <w:right w:val="none" w:sz="0" w:space="0" w:color="auto"/>
          </w:divBdr>
        </w:div>
        <w:div w:id="1965959721">
          <w:marLeft w:val="0"/>
          <w:marRight w:val="0"/>
          <w:marTop w:val="0"/>
          <w:marBottom w:val="0"/>
          <w:divBdr>
            <w:top w:val="none" w:sz="0" w:space="0" w:color="auto"/>
            <w:left w:val="none" w:sz="0" w:space="0" w:color="auto"/>
            <w:bottom w:val="none" w:sz="0" w:space="0" w:color="auto"/>
            <w:right w:val="none" w:sz="0" w:space="0" w:color="auto"/>
          </w:divBdr>
        </w:div>
        <w:div w:id="2037847561">
          <w:marLeft w:val="0"/>
          <w:marRight w:val="0"/>
          <w:marTop w:val="0"/>
          <w:marBottom w:val="0"/>
          <w:divBdr>
            <w:top w:val="none" w:sz="0" w:space="0" w:color="auto"/>
            <w:left w:val="none" w:sz="0" w:space="0" w:color="auto"/>
            <w:bottom w:val="none" w:sz="0" w:space="0" w:color="auto"/>
            <w:right w:val="none" w:sz="0" w:space="0" w:color="auto"/>
          </w:divBdr>
        </w:div>
        <w:div w:id="1953438401">
          <w:marLeft w:val="0"/>
          <w:marRight w:val="0"/>
          <w:marTop w:val="0"/>
          <w:marBottom w:val="0"/>
          <w:divBdr>
            <w:top w:val="none" w:sz="0" w:space="0" w:color="auto"/>
            <w:left w:val="none" w:sz="0" w:space="0" w:color="auto"/>
            <w:bottom w:val="none" w:sz="0" w:space="0" w:color="auto"/>
            <w:right w:val="none" w:sz="0" w:space="0" w:color="auto"/>
          </w:divBdr>
        </w:div>
        <w:div w:id="1561597789">
          <w:marLeft w:val="0"/>
          <w:marRight w:val="0"/>
          <w:marTop w:val="0"/>
          <w:marBottom w:val="0"/>
          <w:divBdr>
            <w:top w:val="none" w:sz="0" w:space="0" w:color="auto"/>
            <w:left w:val="none" w:sz="0" w:space="0" w:color="auto"/>
            <w:bottom w:val="none" w:sz="0" w:space="0" w:color="auto"/>
            <w:right w:val="none" w:sz="0" w:space="0" w:color="auto"/>
          </w:divBdr>
        </w:div>
        <w:div w:id="1500999868">
          <w:marLeft w:val="0"/>
          <w:marRight w:val="0"/>
          <w:marTop w:val="0"/>
          <w:marBottom w:val="0"/>
          <w:divBdr>
            <w:top w:val="none" w:sz="0" w:space="0" w:color="auto"/>
            <w:left w:val="none" w:sz="0" w:space="0" w:color="auto"/>
            <w:bottom w:val="none" w:sz="0" w:space="0" w:color="auto"/>
            <w:right w:val="none" w:sz="0" w:space="0" w:color="auto"/>
          </w:divBdr>
        </w:div>
        <w:div w:id="2089184498">
          <w:marLeft w:val="0"/>
          <w:marRight w:val="0"/>
          <w:marTop w:val="0"/>
          <w:marBottom w:val="0"/>
          <w:divBdr>
            <w:top w:val="none" w:sz="0" w:space="0" w:color="auto"/>
            <w:left w:val="none" w:sz="0" w:space="0" w:color="auto"/>
            <w:bottom w:val="none" w:sz="0" w:space="0" w:color="auto"/>
            <w:right w:val="none" w:sz="0" w:space="0" w:color="auto"/>
          </w:divBdr>
        </w:div>
        <w:div w:id="745298420">
          <w:marLeft w:val="0"/>
          <w:marRight w:val="0"/>
          <w:marTop w:val="0"/>
          <w:marBottom w:val="0"/>
          <w:divBdr>
            <w:top w:val="none" w:sz="0" w:space="0" w:color="auto"/>
            <w:left w:val="none" w:sz="0" w:space="0" w:color="auto"/>
            <w:bottom w:val="none" w:sz="0" w:space="0" w:color="auto"/>
            <w:right w:val="none" w:sz="0" w:space="0" w:color="auto"/>
          </w:divBdr>
        </w:div>
        <w:div w:id="175847093">
          <w:marLeft w:val="0"/>
          <w:marRight w:val="0"/>
          <w:marTop w:val="0"/>
          <w:marBottom w:val="0"/>
          <w:divBdr>
            <w:top w:val="none" w:sz="0" w:space="0" w:color="auto"/>
            <w:left w:val="none" w:sz="0" w:space="0" w:color="auto"/>
            <w:bottom w:val="none" w:sz="0" w:space="0" w:color="auto"/>
            <w:right w:val="none" w:sz="0" w:space="0" w:color="auto"/>
          </w:divBdr>
        </w:div>
        <w:div w:id="1425489459">
          <w:marLeft w:val="0"/>
          <w:marRight w:val="0"/>
          <w:marTop w:val="0"/>
          <w:marBottom w:val="0"/>
          <w:divBdr>
            <w:top w:val="none" w:sz="0" w:space="0" w:color="auto"/>
            <w:left w:val="none" w:sz="0" w:space="0" w:color="auto"/>
            <w:bottom w:val="none" w:sz="0" w:space="0" w:color="auto"/>
            <w:right w:val="none" w:sz="0" w:space="0" w:color="auto"/>
          </w:divBdr>
        </w:div>
        <w:div w:id="1107891483">
          <w:marLeft w:val="0"/>
          <w:marRight w:val="0"/>
          <w:marTop w:val="0"/>
          <w:marBottom w:val="0"/>
          <w:divBdr>
            <w:top w:val="none" w:sz="0" w:space="0" w:color="auto"/>
            <w:left w:val="none" w:sz="0" w:space="0" w:color="auto"/>
            <w:bottom w:val="none" w:sz="0" w:space="0" w:color="auto"/>
            <w:right w:val="none" w:sz="0" w:space="0" w:color="auto"/>
          </w:divBdr>
        </w:div>
        <w:div w:id="1186674068">
          <w:marLeft w:val="0"/>
          <w:marRight w:val="0"/>
          <w:marTop w:val="0"/>
          <w:marBottom w:val="0"/>
          <w:divBdr>
            <w:top w:val="none" w:sz="0" w:space="0" w:color="auto"/>
            <w:left w:val="none" w:sz="0" w:space="0" w:color="auto"/>
            <w:bottom w:val="none" w:sz="0" w:space="0" w:color="auto"/>
            <w:right w:val="none" w:sz="0" w:space="0" w:color="auto"/>
          </w:divBdr>
        </w:div>
        <w:div w:id="205988174">
          <w:marLeft w:val="0"/>
          <w:marRight w:val="0"/>
          <w:marTop w:val="0"/>
          <w:marBottom w:val="0"/>
          <w:divBdr>
            <w:top w:val="none" w:sz="0" w:space="0" w:color="auto"/>
            <w:left w:val="none" w:sz="0" w:space="0" w:color="auto"/>
            <w:bottom w:val="none" w:sz="0" w:space="0" w:color="auto"/>
            <w:right w:val="none" w:sz="0" w:space="0" w:color="auto"/>
          </w:divBdr>
        </w:div>
        <w:div w:id="1259558714">
          <w:marLeft w:val="0"/>
          <w:marRight w:val="0"/>
          <w:marTop w:val="0"/>
          <w:marBottom w:val="0"/>
          <w:divBdr>
            <w:top w:val="none" w:sz="0" w:space="0" w:color="auto"/>
            <w:left w:val="none" w:sz="0" w:space="0" w:color="auto"/>
            <w:bottom w:val="none" w:sz="0" w:space="0" w:color="auto"/>
            <w:right w:val="none" w:sz="0" w:space="0" w:color="auto"/>
          </w:divBdr>
        </w:div>
        <w:div w:id="1968852399">
          <w:marLeft w:val="0"/>
          <w:marRight w:val="0"/>
          <w:marTop w:val="0"/>
          <w:marBottom w:val="0"/>
          <w:divBdr>
            <w:top w:val="none" w:sz="0" w:space="0" w:color="auto"/>
            <w:left w:val="none" w:sz="0" w:space="0" w:color="auto"/>
            <w:bottom w:val="none" w:sz="0" w:space="0" w:color="auto"/>
            <w:right w:val="none" w:sz="0" w:space="0" w:color="auto"/>
          </w:divBdr>
        </w:div>
      </w:divsChild>
    </w:div>
    <w:div w:id="1935893575">
      <w:bodyDiv w:val="1"/>
      <w:marLeft w:val="0"/>
      <w:marRight w:val="0"/>
      <w:marTop w:val="0"/>
      <w:marBottom w:val="0"/>
      <w:divBdr>
        <w:top w:val="none" w:sz="0" w:space="0" w:color="auto"/>
        <w:left w:val="none" w:sz="0" w:space="0" w:color="auto"/>
        <w:bottom w:val="none" w:sz="0" w:space="0" w:color="auto"/>
        <w:right w:val="none" w:sz="0" w:space="0" w:color="auto"/>
      </w:divBdr>
      <w:divsChild>
        <w:div w:id="1744522801">
          <w:marLeft w:val="0"/>
          <w:marRight w:val="0"/>
          <w:marTop w:val="0"/>
          <w:marBottom w:val="0"/>
          <w:divBdr>
            <w:top w:val="none" w:sz="0" w:space="0" w:color="auto"/>
            <w:left w:val="none" w:sz="0" w:space="0" w:color="auto"/>
            <w:bottom w:val="none" w:sz="0" w:space="0" w:color="auto"/>
            <w:right w:val="none" w:sz="0" w:space="0" w:color="auto"/>
          </w:divBdr>
        </w:div>
        <w:div w:id="1516572301">
          <w:marLeft w:val="0"/>
          <w:marRight w:val="0"/>
          <w:marTop w:val="0"/>
          <w:marBottom w:val="0"/>
          <w:divBdr>
            <w:top w:val="none" w:sz="0" w:space="0" w:color="auto"/>
            <w:left w:val="none" w:sz="0" w:space="0" w:color="auto"/>
            <w:bottom w:val="none" w:sz="0" w:space="0" w:color="auto"/>
            <w:right w:val="none" w:sz="0" w:space="0" w:color="auto"/>
          </w:divBdr>
        </w:div>
        <w:div w:id="837692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g"/><Relationship Id="rId18" Type="http://schemas.openxmlformats.org/officeDocument/2006/relationships/hyperlink" Target="http://www.sbn.gob.pe" TargetMode="External"/><Relationship Id="rId3" Type="http://schemas.openxmlformats.org/officeDocument/2006/relationships/styles" Target="styles.xml"/><Relationship Id="rId21" Type="http://schemas.openxmlformats.org/officeDocument/2006/relationships/hyperlink" Target="http://www.sbn.gob.pe"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bn.gob.pe" TargetMode="External"/><Relationship Id="rId20" Type="http://schemas.openxmlformats.org/officeDocument/2006/relationships/hyperlink" Target="http://www.sbn.gob.p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www.sbn.gob/"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6.jpeg"/><Relationship Id="rId22"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6830C-8343-4B6C-9ABF-E55E1C3CC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253573</Words>
  <Characters>1394656</Characters>
  <Application>Microsoft Office Word</Application>
  <DocSecurity>0</DocSecurity>
  <Lines>11622</Lines>
  <Paragraphs>3289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Roger Moron Vasquez</dc:creator>
  <cp:keywords/>
  <dc:description/>
  <cp:lastModifiedBy>Toshiba-User</cp:lastModifiedBy>
  <cp:revision>2</cp:revision>
  <cp:lastPrinted>2016-12-30T14:34:00Z</cp:lastPrinted>
  <dcterms:created xsi:type="dcterms:W3CDTF">2019-06-17T05:26:00Z</dcterms:created>
  <dcterms:modified xsi:type="dcterms:W3CDTF">2019-06-17T05:26:00Z</dcterms:modified>
</cp:coreProperties>
</file>